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FA5B0" w14:textId="3278BCBC" w:rsidR="009819C1" w:rsidRDefault="009819C1" w:rsidP="000355F5">
      <w:pPr>
        <w:rPr>
          <w:rFonts w:asciiTheme="majorBidi" w:hAnsiTheme="majorBidi" w:cstheme="majorBidi"/>
          <w:b/>
          <w:bCs/>
          <w:sz w:val="24"/>
          <w:szCs w:val="24"/>
        </w:rPr>
      </w:pPr>
      <w:bookmarkStart w:id="0" w:name="_Hlk148209136"/>
      <w:bookmarkEnd w:id="0"/>
    </w:p>
    <w:p w14:paraId="13197BEE" w14:textId="77777777" w:rsidR="000355F5" w:rsidRDefault="000355F5" w:rsidP="000355F5">
      <w:pPr>
        <w:spacing w:line="480" w:lineRule="auto"/>
        <w:jc w:val="center"/>
        <w:rPr>
          <w:rFonts w:asciiTheme="majorBidi" w:hAnsiTheme="majorBidi" w:cstheme="majorBidi"/>
          <w:color w:val="000000"/>
          <w:sz w:val="24"/>
          <w:szCs w:val="24"/>
          <w:shd w:val="clear" w:color="auto" w:fill="FFFFFF"/>
        </w:rPr>
      </w:pPr>
    </w:p>
    <w:p w14:paraId="6EE34F5E" w14:textId="2168C455" w:rsidR="006605E7" w:rsidRDefault="006605E7" w:rsidP="006605E7">
      <w:pPr>
        <w:spacing w:line="480" w:lineRule="auto"/>
        <w:rPr>
          <w:rFonts w:asciiTheme="majorBidi" w:hAnsiTheme="majorBidi" w:cstheme="majorBidi"/>
          <w:color w:val="000000"/>
          <w:sz w:val="24"/>
          <w:szCs w:val="24"/>
          <w:shd w:val="clear" w:color="auto" w:fill="FFFFFF"/>
        </w:rPr>
      </w:pPr>
      <w:r w:rsidRPr="003208A2">
        <w:rPr>
          <w:noProof/>
          <w:lang w:eastAsia="en-GB"/>
        </w:rPr>
        <w:drawing>
          <wp:inline distT="0" distB="0" distL="0" distR="0" wp14:anchorId="4B40BC08" wp14:editId="0D7A5FDE">
            <wp:extent cx="3322897" cy="1193289"/>
            <wp:effectExtent l="0" t="0" r="0" b="0"/>
            <wp:docPr id="1506141491" name="Picture 1506141491" descr="C:\Users\dragoc\AppData\Local\Microsoft\Windows\INetCache\Content.Outlook\KLKFNIYE\LSBU_2020_B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oc\AppData\Local\Microsoft\Windows\INetCache\Content.Outlook\KLKFNIYE\LSBU_2020_B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4572" cy="1219028"/>
                    </a:xfrm>
                    <a:prstGeom prst="rect">
                      <a:avLst/>
                    </a:prstGeom>
                    <a:noFill/>
                    <a:ln>
                      <a:noFill/>
                    </a:ln>
                  </pic:spPr>
                </pic:pic>
              </a:graphicData>
            </a:graphic>
          </wp:inline>
        </w:drawing>
      </w:r>
    </w:p>
    <w:p w14:paraId="0D89E144" w14:textId="091E6A5E" w:rsidR="00D30746" w:rsidRDefault="004C2202" w:rsidP="000355F5">
      <w:pPr>
        <w:spacing w:line="480" w:lineRule="auto"/>
        <w:jc w:val="center"/>
        <w:rPr>
          <w:rFonts w:asciiTheme="majorBidi" w:hAnsiTheme="majorBidi" w:cstheme="majorBidi"/>
          <w:color w:val="000000"/>
          <w:sz w:val="24"/>
          <w:szCs w:val="24"/>
          <w:shd w:val="clear" w:color="auto" w:fill="FFFFFF"/>
        </w:rPr>
      </w:pPr>
      <w:r w:rsidRPr="000355F5">
        <w:rPr>
          <w:rFonts w:asciiTheme="majorBidi" w:hAnsiTheme="majorBidi" w:cstheme="majorBidi"/>
          <w:color w:val="000000"/>
          <w:sz w:val="24"/>
          <w:szCs w:val="24"/>
          <w:shd w:val="clear" w:color="auto" w:fill="FFFFFF"/>
        </w:rPr>
        <w:t>Measuring the impact of CSR versus non-CSR communication on FMCG consumers in Egypt: Theory of Reasoned Action and the role of message-consumer congruence.</w:t>
      </w:r>
    </w:p>
    <w:p w14:paraId="0E327ABD" w14:textId="003AA0C3" w:rsidR="000355F5" w:rsidRDefault="000355F5" w:rsidP="000355F5">
      <w:pPr>
        <w:spacing w:line="480" w:lineRule="auto"/>
        <w:jc w:val="center"/>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By</w:t>
      </w:r>
    </w:p>
    <w:p w14:paraId="0680C841" w14:textId="750FADB2" w:rsidR="000355F5" w:rsidRPr="006605E7" w:rsidRDefault="000355F5" w:rsidP="006605E7">
      <w:pPr>
        <w:spacing w:line="240" w:lineRule="auto"/>
        <w:jc w:val="center"/>
        <w:rPr>
          <w:rFonts w:asciiTheme="majorBidi" w:hAnsiTheme="majorBidi" w:cstheme="majorBidi"/>
          <w:sz w:val="24"/>
          <w:szCs w:val="24"/>
          <w:shd w:val="clear" w:color="auto" w:fill="FFFFFF"/>
        </w:rPr>
      </w:pPr>
      <w:r w:rsidRPr="006605E7">
        <w:rPr>
          <w:rFonts w:asciiTheme="majorBidi" w:hAnsiTheme="majorBidi" w:cstheme="majorBidi"/>
          <w:sz w:val="24"/>
          <w:szCs w:val="24"/>
          <w:shd w:val="clear" w:color="auto" w:fill="FFFFFF"/>
        </w:rPr>
        <w:t>Nashwa Nader</w:t>
      </w:r>
      <w:r w:rsidR="006605E7" w:rsidRPr="006605E7">
        <w:rPr>
          <w:rFonts w:asciiTheme="majorBidi" w:hAnsiTheme="majorBidi" w:cstheme="majorBidi"/>
          <w:sz w:val="24"/>
          <w:szCs w:val="24"/>
          <w:shd w:val="clear" w:color="auto" w:fill="FFFFFF"/>
        </w:rPr>
        <w:t xml:space="preserve"> Saadeldin Mohamed</w:t>
      </w:r>
      <w:r w:rsidRPr="006605E7">
        <w:rPr>
          <w:rFonts w:asciiTheme="majorBidi" w:hAnsiTheme="majorBidi" w:cstheme="majorBidi"/>
          <w:sz w:val="24"/>
          <w:szCs w:val="24"/>
          <w:shd w:val="clear" w:color="auto" w:fill="FFFFFF"/>
        </w:rPr>
        <w:t xml:space="preserve"> Sadek </w:t>
      </w:r>
    </w:p>
    <w:p w14:paraId="698F39C2" w14:textId="59A2B15D" w:rsidR="006605E7" w:rsidRDefault="006605E7" w:rsidP="006605E7">
      <w:pPr>
        <w:spacing w:line="240" w:lineRule="auto"/>
        <w:jc w:val="center"/>
        <w:rPr>
          <w:rFonts w:asciiTheme="majorBidi" w:hAnsiTheme="majorBidi" w:cstheme="majorBidi"/>
          <w:color w:val="000000"/>
          <w:sz w:val="24"/>
          <w:szCs w:val="24"/>
          <w:shd w:val="clear" w:color="auto" w:fill="FFFFFF"/>
        </w:rPr>
      </w:pPr>
      <w:r w:rsidRPr="006605E7">
        <w:rPr>
          <w:rFonts w:asciiTheme="majorBidi" w:hAnsiTheme="majorBidi" w:cstheme="majorBidi"/>
          <w:sz w:val="24"/>
          <w:szCs w:val="24"/>
          <w:shd w:val="clear" w:color="auto" w:fill="FFFFFF"/>
        </w:rPr>
        <w:t xml:space="preserve">ORCID: </w:t>
      </w:r>
      <w:hyperlink r:id="rId12" w:tgtFrame="_blank" w:history="1">
        <w:r w:rsidRPr="006605E7">
          <w:rPr>
            <w:rStyle w:val="Hyperlink"/>
            <w:rFonts w:asciiTheme="majorBidi" w:hAnsiTheme="majorBidi" w:cstheme="majorBidi"/>
            <w:color w:val="auto"/>
            <w:sz w:val="24"/>
            <w:szCs w:val="24"/>
            <w:u w:val="none"/>
            <w:shd w:val="clear" w:color="auto" w:fill="FFFFFF"/>
          </w:rPr>
          <w:t>0000-0003-1430-1130</w:t>
        </w:r>
      </w:hyperlink>
    </w:p>
    <w:p w14:paraId="5FA51B0E" w14:textId="77777777" w:rsidR="000355F5" w:rsidRDefault="000355F5" w:rsidP="000355F5">
      <w:pPr>
        <w:spacing w:line="480" w:lineRule="auto"/>
        <w:jc w:val="center"/>
        <w:rPr>
          <w:rFonts w:asciiTheme="majorBidi" w:hAnsiTheme="majorBidi" w:cstheme="majorBidi"/>
          <w:sz w:val="24"/>
          <w:szCs w:val="24"/>
        </w:rPr>
      </w:pPr>
    </w:p>
    <w:p w14:paraId="2EA5C0FF" w14:textId="161C8849" w:rsidR="000355F5" w:rsidRDefault="000355F5" w:rsidP="000355F5">
      <w:pPr>
        <w:spacing w:line="480" w:lineRule="auto"/>
        <w:jc w:val="center"/>
        <w:rPr>
          <w:rFonts w:asciiTheme="majorBidi" w:hAnsiTheme="majorBidi" w:cstheme="majorBidi"/>
          <w:sz w:val="24"/>
          <w:szCs w:val="24"/>
        </w:rPr>
      </w:pPr>
      <w:r w:rsidRPr="000355F5">
        <w:rPr>
          <w:rFonts w:asciiTheme="majorBidi" w:hAnsiTheme="majorBidi" w:cstheme="majorBidi"/>
          <w:sz w:val="24"/>
          <w:szCs w:val="24"/>
        </w:rPr>
        <w:t>Supervisory team: Dr. Barbara Czarnecka and Dr. Rana Tajvidi</w:t>
      </w:r>
    </w:p>
    <w:p w14:paraId="4BD05F1D" w14:textId="77777777" w:rsidR="000355F5" w:rsidRDefault="000355F5" w:rsidP="000355F5">
      <w:pPr>
        <w:spacing w:line="480" w:lineRule="auto"/>
        <w:jc w:val="center"/>
        <w:rPr>
          <w:rFonts w:asciiTheme="majorBidi" w:hAnsiTheme="majorBidi" w:cstheme="majorBidi"/>
          <w:sz w:val="24"/>
          <w:szCs w:val="24"/>
        </w:rPr>
      </w:pPr>
    </w:p>
    <w:p w14:paraId="24675E11" w14:textId="5C0BCD50" w:rsidR="000355F5" w:rsidRDefault="000355F5" w:rsidP="000355F5">
      <w:pPr>
        <w:spacing w:line="480" w:lineRule="auto"/>
        <w:jc w:val="center"/>
        <w:rPr>
          <w:rFonts w:asciiTheme="majorBidi" w:hAnsiTheme="majorBidi" w:cstheme="majorBidi"/>
          <w:sz w:val="24"/>
          <w:szCs w:val="24"/>
        </w:rPr>
      </w:pPr>
      <w:r w:rsidRPr="000355F5">
        <w:rPr>
          <w:rFonts w:asciiTheme="majorBidi" w:hAnsiTheme="majorBidi" w:cstheme="majorBidi"/>
          <w:sz w:val="24"/>
          <w:szCs w:val="24"/>
        </w:rPr>
        <w:t xml:space="preserve">This thesis is submitted to </w:t>
      </w:r>
      <w:r>
        <w:rPr>
          <w:rFonts w:asciiTheme="majorBidi" w:hAnsiTheme="majorBidi" w:cstheme="majorBidi"/>
          <w:sz w:val="24"/>
          <w:szCs w:val="24"/>
        </w:rPr>
        <w:t>London South Bank University Business School</w:t>
      </w:r>
      <w:r w:rsidRPr="000355F5">
        <w:rPr>
          <w:rFonts w:asciiTheme="majorBidi" w:hAnsiTheme="majorBidi" w:cstheme="majorBidi"/>
          <w:sz w:val="24"/>
          <w:szCs w:val="24"/>
        </w:rPr>
        <w:t xml:space="preserve"> in partial fulfilment of the requirements for</w:t>
      </w:r>
    </w:p>
    <w:p w14:paraId="05968E49" w14:textId="529D23BF" w:rsidR="000355F5" w:rsidRDefault="000355F5" w:rsidP="000355F5">
      <w:pPr>
        <w:spacing w:line="480" w:lineRule="auto"/>
        <w:jc w:val="center"/>
        <w:rPr>
          <w:rFonts w:asciiTheme="majorBidi" w:hAnsiTheme="majorBidi" w:cstheme="majorBidi"/>
          <w:sz w:val="24"/>
          <w:szCs w:val="24"/>
        </w:rPr>
      </w:pPr>
      <w:r>
        <w:rPr>
          <w:rFonts w:asciiTheme="majorBidi" w:hAnsiTheme="majorBidi" w:cstheme="majorBidi"/>
          <w:sz w:val="24"/>
          <w:szCs w:val="24"/>
        </w:rPr>
        <w:t>PhD in Management, Marketing, and People</w:t>
      </w:r>
    </w:p>
    <w:p w14:paraId="1CBEA4FB" w14:textId="77777777" w:rsidR="000355F5" w:rsidRDefault="000355F5" w:rsidP="000355F5">
      <w:pPr>
        <w:spacing w:line="480" w:lineRule="auto"/>
        <w:jc w:val="center"/>
        <w:rPr>
          <w:rFonts w:asciiTheme="majorBidi" w:hAnsiTheme="majorBidi" w:cstheme="majorBidi"/>
          <w:sz w:val="24"/>
          <w:szCs w:val="24"/>
        </w:rPr>
      </w:pPr>
    </w:p>
    <w:p w14:paraId="21D93004" w14:textId="77777777" w:rsidR="000355F5" w:rsidRDefault="000355F5" w:rsidP="000355F5">
      <w:pPr>
        <w:spacing w:line="480" w:lineRule="auto"/>
        <w:jc w:val="center"/>
        <w:rPr>
          <w:rFonts w:asciiTheme="majorBidi" w:hAnsiTheme="majorBidi" w:cstheme="majorBidi"/>
          <w:sz w:val="24"/>
          <w:szCs w:val="24"/>
        </w:rPr>
      </w:pPr>
    </w:p>
    <w:p w14:paraId="26F5A919" w14:textId="453D6ABA" w:rsidR="000355F5" w:rsidRDefault="000A0EE0" w:rsidP="000355F5">
      <w:pPr>
        <w:spacing w:line="480" w:lineRule="auto"/>
        <w:jc w:val="center"/>
        <w:rPr>
          <w:rFonts w:asciiTheme="majorBidi" w:hAnsiTheme="majorBidi" w:cstheme="majorBidi"/>
          <w:sz w:val="24"/>
          <w:szCs w:val="24"/>
        </w:rPr>
      </w:pPr>
      <w:r>
        <w:rPr>
          <w:rFonts w:asciiTheme="majorBidi" w:hAnsiTheme="majorBidi" w:cstheme="majorBidi"/>
          <w:sz w:val="24"/>
          <w:szCs w:val="24"/>
        </w:rPr>
        <w:t>September</w:t>
      </w:r>
      <w:r w:rsidR="000355F5">
        <w:rPr>
          <w:rFonts w:asciiTheme="majorBidi" w:hAnsiTheme="majorBidi" w:cstheme="majorBidi"/>
          <w:sz w:val="24"/>
          <w:szCs w:val="24"/>
        </w:rPr>
        <w:t xml:space="preserve"> 202</w:t>
      </w:r>
      <w:r>
        <w:rPr>
          <w:rFonts w:asciiTheme="majorBidi" w:hAnsiTheme="majorBidi" w:cstheme="majorBidi"/>
          <w:sz w:val="24"/>
          <w:szCs w:val="24"/>
        </w:rPr>
        <w:t>4</w:t>
      </w:r>
      <w:r w:rsidR="000355F5">
        <w:rPr>
          <w:rFonts w:asciiTheme="majorBidi" w:hAnsiTheme="majorBidi" w:cstheme="majorBidi"/>
          <w:sz w:val="24"/>
          <w:szCs w:val="24"/>
        </w:rPr>
        <w:t xml:space="preserve"> </w:t>
      </w:r>
    </w:p>
    <w:p w14:paraId="01A7D288" w14:textId="77777777" w:rsidR="000355F5" w:rsidRDefault="000355F5" w:rsidP="000355F5">
      <w:pPr>
        <w:spacing w:line="480" w:lineRule="auto"/>
        <w:jc w:val="center"/>
        <w:rPr>
          <w:rFonts w:asciiTheme="majorBidi" w:hAnsiTheme="majorBidi" w:cstheme="majorBidi"/>
          <w:sz w:val="24"/>
          <w:szCs w:val="24"/>
        </w:rPr>
      </w:pPr>
    </w:p>
    <w:p w14:paraId="4EA7380C" w14:textId="77777777" w:rsidR="007A6844" w:rsidRDefault="007A6844" w:rsidP="006605E7">
      <w:pPr>
        <w:shd w:val="clear" w:color="auto" w:fill="FFFFFF"/>
        <w:spacing w:after="0" w:line="480" w:lineRule="auto"/>
        <w:rPr>
          <w:rFonts w:asciiTheme="majorBidi" w:hAnsiTheme="majorBidi" w:cstheme="majorBidi"/>
          <w:sz w:val="24"/>
          <w:szCs w:val="24"/>
        </w:rPr>
      </w:pPr>
    </w:p>
    <w:p w14:paraId="5D4C9CC9" w14:textId="48B12362" w:rsidR="007A6844" w:rsidRPr="00894443" w:rsidRDefault="007A6844" w:rsidP="005410DF">
      <w:pPr>
        <w:shd w:val="clear" w:color="auto" w:fill="FFFFFF"/>
        <w:spacing w:after="0" w:line="480" w:lineRule="auto"/>
        <w:ind w:firstLine="720"/>
        <w:jc w:val="center"/>
        <w:rPr>
          <w:rFonts w:asciiTheme="majorBidi" w:eastAsia="Times New Roman" w:hAnsiTheme="majorBidi" w:cstheme="majorBidi"/>
          <w:b/>
          <w:bCs/>
          <w:color w:val="201C0E"/>
          <w:spacing w:val="8"/>
          <w:sz w:val="24"/>
          <w:szCs w:val="24"/>
          <w:bdr w:val="none" w:sz="0" w:space="0" w:color="auto" w:frame="1"/>
          <w:lang w:eastAsia="en-GB"/>
        </w:rPr>
      </w:pPr>
      <w:r w:rsidRPr="00894443">
        <w:rPr>
          <w:rFonts w:asciiTheme="majorBidi" w:eastAsia="Times New Roman" w:hAnsiTheme="majorBidi" w:cstheme="majorBidi"/>
          <w:b/>
          <w:bCs/>
          <w:color w:val="201C0E"/>
          <w:spacing w:val="8"/>
          <w:sz w:val="24"/>
          <w:szCs w:val="24"/>
          <w:bdr w:val="none" w:sz="0" w:space="0" w:color="auto" w:frame="1"/>
          <w:lang w:eastAsia="en-GB"/>
        </w:rPr>
        <w:lastRenderedPageBreak/>
        <w:t>Abstract</w:t>
      </w:r>
    </w:p>
    <w:p w14:paraId="766B488C" w14:textId="0D7F464A" w:rsidR="00ED4037" w:rsidRPr="0074101C" w:rsidRDefault="007A6844" w:rsidP="005410DF">
      <w:pPr>
        <w:shd w:val="clear" w:color="auto" w:fill="FFFFFF"/>
        <w:spacing w:after="0" w:line="480" w:lineRule="auto"/>
        <w:ind w:firstLine="720"/>
        <w:jc w:val="both"/>
        <w:rPr>
          <w:rFonts w:ascii="Times New Roman" w:hAnsi="Times New Roman" w:cs="Times New Roman"/>
          <w:color w:val="1F1F1F"/>
          <w:sz w:val="24"/>
          <w:szCs w:val="24"/>
        </w:rPr>
      </w:pPr>
      <w:r w:rsidRPr="0074101C">
        <w:rPr>
          <w:rFonts w:ascii="Times New Roman" w:eastAsia="Times New Roman" w:hAnsi="Times New Roman" w:cs="Times New Roman"/>
          <w:color w:val="201C0E"/>
          <w:spacing w:val="8"/>
          <w:sz w:val="24"/>
          <w:szCs w:val="24"/>
          <w:bdr w:val="none" w:sz="0" w:space="0" w:color="auto" w:frame="1"/>
          <w:lang w:eastAsia="en-GB"/>
        </w:rPr>
        <w:t>Considering changes in consumer behaviour and the emergenc</w:t>
      </w:r>
      <w:r w:rsidR="00E43235" w:rsidRPr="0074101C">
        <w:rPr>
          <w:rFonts w:ascii="Times New Roman" w:eastAsia="Times New Roman" w:hAnsi="Times New Roman" w:cs="Times New Roman"/>
          <w:color w:val="201C0E"/>
          <w:spacing w:val="8"/>
          <w:sz w:val="24"/>
          <w:szCs w:val="24"/>
          <w:bdr w:val="none" w:sz="0" w:space="0" w:color="auto" w:frame="1"/>
          <w:lang w:eastAsia="en-GB"/>
        </w:rPr>
        <w:t>e</w:t>
      </w:r>
      <w:r w:rsidRPr="0074101C">
        <w:rPr>
          <w:rFonts w:ascii="Times New Roman" w:eastAsia="Times New Roman" w:hAnsi="Times New Roman" w:cs="Times New Roman"/>
          <w:color w:val="201C0E"/>
          <w:spacing w:val="8"/>
          <w:sz w:val="24"/>
          <w:szCs w:val="24"/>
          <w:bdr w:val="none" w:sz="0" w:space="0" w:color="auto" w:frame="1"/>
          <w:lang w:eastAsia="en-GB"/>
        </w:rPr>
        <w:t xml:space="preserve"> of new media, this thesis contributes to literature on CSR communication by comparing the effectiveness of CSR communication to non-CSR communication in Egypt among FMCG consumers. </w:t>
      </w:r>
      <w:r w:rsidR="00ED4037" w:rsidRPr="0074101C">
        <w:rPr>
          <w:rFonts w:ascii="Times New Roman" w:hAnsi="Times New Roman" w:cs="Times New Roman"/>
          <w:color w:val="1F1F1F"/>
          <w:sz w:val="24"/>
          <w:szCs w:val="24"/>
        </w:rPr>
        <w:t xml:space="preserve">Whilst multitude of studies focused on various </w:t>
      </w:r>
      <w:r w:rsidR="00AA3394" w:rsidRPr="0074101C">
        <w:rPr>
          <w:rFonts w:ascii="Times New Roman" w:hAnsi="Times New Roman" w:cs="Times New Roman"/>
          <w:color w:val="1F1F1F"/>
          <w:sz w:val="24"/>
          <w:szCs w:val="24"/>
        </w:rPr>
        <w:t xml:space="preserve">aspects of </w:t>
      </w:r>
      <w:r w:rsidR="00ED4037" w:rsidRPr="0074101C">
        <w:rPr>
          <w:rFonts w:ascii="Times New Roman" w:hAnsi="Times New Roman" w:cs="Times New Roman"/>
          <w:color w:val="1F1F1F"/>
          <w:sz w:val="24"/>
          <w:szCs w:val="24"/>
        </w:rPr>
        <w:t xml:space="preserve">CSR </w:t>
      </w:r>
      <w:r w:rsidR="00AA3394" w:rsidRPr="0074101C">
        <w:rPr>
          <w:rFonts w:ascii="Times New Roman" w:hAnsi="Times New Roman" w:cs="Times New Roman"/>
          <w:color w:val="1F1F1F"/>
          <w:sz w:val="24"/>
          <w:szCs w:val="24"/>
        </w:rPr>
        <w:t xml:space="preserve">communication </w:t>
      </w:r>
      <w:r w:rsidR="00ED4037" w:rsidRPr="0074101C">
        <w:rPr>
          <w:rFonts w:ascii="Times New Roman" w:hAnsi="Times New Roman" w:cs="Times New Roman"/>
          <w:color w:val="1F1F1F"/>
          <w:sz w:val="24"/>
          <w:szCs w:val="24"/>
        </w:rPr>
        <w:t xml:space="preserve">in Western markets, their generalizability to markets of different sociocultural characteristics cannot be guaranteed. </w:t>
      </w:r>
      <w:r w:rsidR="007C4765" w:rsidRPr="0074101C">
        <w:rPr>
          <w:rFonts w:ascii="Times New Roman" w:hAnsi="Times New Roman" w:cs="Times New Roman"/>
          <w:color w:val="1F1F1F"/>
          <w:sz w:val="24"/>
          <w:szCs w:val="24"/>
        </w:rPr>
        <w:t xml:space="preserve">Coupled with the evolving nature of the sociocultural and consumption environment, the need for </w:t>
      </w:r>
      <w:r w:rsidR="005E2492" w:rsidRPr="0074101C">
        <w:rPr>
          <w:rFonts w:ascii="Times New Roman" w:hAnsi="Times New Roman" w:cs="Times New Roman"/>
          <w:color w:val="1F1F1F"/>
          <w:sz w:val="24"/>
          <w:szCs w:val="24"/>
        </w:rPr>
        <w:t xml:space="preserve">differentiated replications is </w:t>
      </w:r>
      <w:r w:rsidR="00E97F45" w:rsidRPr="0074101C">
        <w:rPr>
          <w:rFonts w:ascii="Times New Roman" w:hAnsi="Times New Roman" w:cs="Times New Roman"/>
          <w:color w:val="1F1F1F"/>
          <w:sz w:val="24"/>
          <w:szCs w:val="24"/>
        </w:rPr>
        <w:t xml:space="preserve">addressed in this study. </w:t>
      </w:r>
    </w:p>
    <w:p w14:paraId="05CF2609" w14:textId="31FF6079" w:rsidR="001F615A" w:rsidRPr="0074101C" w:rsidRDefault="00AA3394" w:rsidP="005410DF">
      <w:pPr>
        <w:shd w:val="clear" w:color="auto" w:fill="FFFFFF"/>
        <w:spacing w:after="0" w:line="480" w:lineRule="auto"/>
        <w:ind w:firstLine="720"/>
        <w:jc w:val="both"/>
        <w:rPr>
          <w:rFonts w:ascii="Times New Roman" w:eastAsia="Times New Roman" w:hAnsi="Times New Roman" w:cs="Times New Roman"/>
          <w:color w:val="201C0E"/>
          <w:spacing w:val="8"/>
          <w:sz w:val="24"/>
          <w:szCs w:val="24"/>
          <w:bdr w:val="none" w:sz="0" w:space="0" w:color="auto" w:frame="1"/>
          <w:lang w:eastAsia="en-GB"/>
        </w:rPr>
      </w:pPr>
      <w:r w:rsidRPr="0074101C">
        <w:rPr>
          <w:rFonts w:ascii="Times New Roman" w:eastAsia="Times New Roman" w:hAnsi="Times New Roman" w:cs="Times New Roman"/>
          <w:color w:val="201C0E"/>
          <w:spacing w:val="8"/>
          <w:sz w:val="24"/>
          <w:szCs w:val="24"/>
          <w:bdr w:val="none" w:sz="0" w:space="0" w:color="auto" w:frame="1"/>
          <w:lang w:eastAsia="en-GB"/>
        </w:rPr>
        <w:t>Therefore,</w:t>
      </w:r>
      <w:r w:rsidR="007A6844" w:rsidRPr="0074101C">
        <w:rPr>
          <w:rFonts w:ascii="Times New Roman" w:eastAsia="Times New Roman" w:hAnsi="Times New Roman" w:cs="Times New Roman"/>
          <w:color w:val="201C0E"/>
          <w:spacing w:val="8"/>
          <w:sz w:val="24"/>
          <w:szCs w:val="24"/>
          <w:bdr w:val="none" w:sz="0" w:space="0" w:color="auto" w:frame="1"/>
          <w:lang w:eastAsia="en-GB"/>
        </w:rPr>
        <w:t xml:space="preserve"> this thesis </w:t>
      </w:r>
      <w:r w:rsidRPr="0074101C">
        <w:rPr>
          <w:rFonts w:ascii="Times New Roman" w:eastAsia="Times New Roman" w:hAnsi="Times New Roman" w:cs="Times New Roman"/>
          <w:color w:val="201C0E"/>
          <w:spacing w:val="8"/>
          <w:sz w:val="24"/>
          <w:szCs w:val="24"/>
          <w:bdr w:val="none" w:sz="0" w:space="0" w:color="auto" w:frame="1"/>
          <w:lang w:eastAsia="en-GB"/>
        </w:rPr>
        <w:t>addresses this gap and is</w:t>
      </w:r>
      <w:r w:rsidR="007A6844" w:rsidRPr="0074101C">
        <w:rPr>
          <w:rFonts w:ascii="Times New Roman" w:eastAsia="Times New Roman" w:hAnsi="Times New Roman" w:cs="Times New Roman"/>
          <w:color w:val="201C0E"/>
          <w:spacing w:val="8"/>
          <w:sz w:val="24"/>
          <w:szCs w:val="24"/>
          <w:bdr w:val="none" w:sz="0" w:space="0" w:color="auto" w:frame="1"/>
          <w:lang w:eastAsia="en-GB"/>
        </w:rPr>
        <w:t xml:space="preserve"> one of the first studies that examine</w:t>
      </w:r>
      <w:r w:rsidR="00F24B9A" w:rsidRPr="0074101C">
        <w:rPr>
          <w:rFonts w:ascii="Times New Roman" w:eastAsia="Times New Roman" w:hAnsi="Times New Roman" w:cs="Times New Roman"/>
          <w:color w:val="201C0E"/>
          <w:spacing w:val="8"/>
          <w:sz w:val="24"/>
          <w:szCs w:val="24"/>
          <w:bdr w:val="none" w:sz="0" w:space="0" w:color="auto" w:frame="1"/>
          <w:lang w:eastAsia="en-GB"/>
        </w:rPr>
        <w:t>s</w:t>
      </w:r>
      <w:r w:rsidR="00E97F45" w:rsidRPr="0074101C">
        <w:rPr>
          <w:rFonts w:ascii="Times New Roman" w:eastAsia="Times New Roman" w:hAnsi="Times New Roman" w:cs="Times New Roman"/>
          <w:color w:val="201C0E"/>
          <w:spacing w:val="8"/>
          <w:sz w:val="24"/>
          <w:szCs w:val="24"/>
          <w:bdr w:val="none" w:sz="0" w:space="0" w:color="auto" w:frame="1"/>
          <w:lang w:eastAsia="en-GB"/>
        </w:rPr>
        <w:t>,</w:t>
      </w:r>
      <w:r w:rsidR="00F24B9A" w:rsidRPr="0074101C">
        <w:rPr>
          <w:rFonts w:ascii="Times New Roman" w:eastAsia="Times New Roman" w:hAnsi="Times New Roman" w:cs="Times New Roman"/>
          <w:color w:val="201C0E"/>
          <w:spacing w:val="8"/>
          <w:sz w:val="24"/>
          <w:szCs w:val="24"/>
          <w:bdr w:val="none" w:sz="0" w:space="0" w:color="auto" w:frame="1"/>
          <w:lang w:eastAsia="en-GB"/>
        </w:rPr>
        <w:t xml:space="preserve"> in a mixed-methods design</w:t>
      </w:r>
      <w:r w:rsidR="00E97F45" w:rsidRPr="0074101C">
        <w:rPr>
          <w:rFonts w:ascii="Times New Roman" w:eastAsia="Times New Roman" w:hAnsi="Times New Roman" w:cs="Times New Roman"/>
          <w:color w:val="201C0E"/>
          <w:spacing w:val="8"/>
          <w:sz w:val="24"/>
          <w:szCs w:val="24"/>
          <w:bdr w:val="none" w:sz="0" w:space="0" w:color="auto" w:frame="1"/>
          <w:lang w:eastAsia="en-GB"/>
        </w:rPr>
        <w:t>,</w:t>
      </w:r>
      <w:r w:rsidR="007A6844" w:rsidRPr="0074101C">
        <w:rPr>
          <w:rFonts w:ascii="Times New Roman" w:eastAsia="Times New Roman" w:hAnsi="Times New Roman" w:cs="Times New Roman"/>
          <w:color w:val="201C0E"/>
          <w:spacing w:val="8"/>
          <w:sz w:val="24"/>
          <w:szCs w:val="24"/>
          <w:bdr w:val="none" w:sz="0" w:space="0" w:color="auto" w:frame="1"/>
          <w:lang w:eastAsia="en-GB"/>
        </w:rPr>
        <w:t xml:space="preserve"> the impact of CSR and non-CSR communication on consumers’ brand attitudes </w:t>
      </w:r>
      <w:r w:rsidR="004F32FF" w:rsidRPr="0074101C">
        <w:rPr>
          <w:rFonts w:ascii="Times New Roman" w:eastAsia="Times New Roman" w:hAnsi="Times New Roman" w:cs="Times New Roman"/>
          <w:color w:val="201C0E"/>
          <w:spacing w:val="8"/>
          <w:sz w:val="24"/>
          <w:szCs w:val="24"/>
          <w:bdr w:val="none" w:sz="0" w:space="0" w:color="auto" w:frame="1"/>
          <w:lang w:eastAsia="en-GB"/>
        </w:rPr>
        <w:t xml:space="preserve">and purchase intentions </w:t>
      </w:r>
      <w:r w:rsidR="007A6844" w:rsidRPr="0074101C">
        <w:rPr>
          <w:rFonts w:ascii="Times New Roman" w:eastAsia="Times New Roman" w:hAnsi="Times New Roman" w:cs="Times New Roman"/>
          <w:color w:val="201C0E"/>
          <w:spacing w:val="8"/>
          <w:sz w:val="24"/>
          <w:szCs w:val="24"/>
          <w:bdr w:val="none" w:sz="0" w:space="0" w:color="auto" w:frame="1"/>
          <w:lang w:eastAsia="en-GB"/>
        </w:rPr>
        <w:t xml:space="preserve">in Egypt. </w:t>
      </w:r>
      <w:r w:rsidR="00F24B9A" w:rsidRPr="0074101C">
        <w:rPr>
          <w:rFonts w:ascii="Times New Roman" w:eastAsia="Times New Roman" w:hAnsi="Times New Roman" w:cs="Times New Roman"/>
          <w:color w:val="201C0E"/>
          <w:spacing w:val="8"/>
          <w:sz w:val="24"/>
          <w:szCs w:val="24"/>
          <w:bdr w:val="none" w:sz="0" w:space="0" w:color="auto" w:frame="1"/>
          <w:lang w:eastAsia="en-GB"/>
        </w:rPr>
        <w:t>Theoretically</w:t>
      </w:r>
      <w:r w:rsidR="007A6844" w:rsidRPr="0074101C">
        <w:rPr>
          <w:rFonts w:ascii="Times New Roman" w:eastAsia="Times New Roman" w:hAnsi="Times New Roman" w:cs="Times New Roman"/>
          <w:color w:val="201C0E"/>
          <w:spacing w:val="8"/>
          <w:sz w:val="24"/>
          <w:szCs w:val="24"/>
          <w:bdr w:val="none" w:sz="0" w:space="0" w:color="auto" w:frame="1"/>
          <w:lang w:eastAsia="en-GB"/>
        </w:rPr>
        <w:t xml:space="preserve">, this study integrates multiple theories </w:t>
      </w:r>
      <w:r w:rsidR="00F24B9A" w:rsidRPr="0074101C">
        <w:rPr>
          <w:rFonts w:ascii="Times New Roman" w:eastAsia="Times New Roman" w:hAnsi="Times New Roman" w:cs="Times New Roman"/>
          <w:color w:val="201C0E"/>
          <w:spacing w:val="8"/>
          <w:sz w:val="24"/>
          <w:szCs w:val="24"/>
          <w:bdr w:val="none" w:sz="0" w:space="0" w:color="auto" w:frame="1"/>
          <w:lang w:eastAsia="en-GB"/>
        </w:rPr>
        <w:t xml:space="preserve">to propose </w:t>
      </w:r>
      <w:r w:rsidR="007A6844" w:rsidRPr="0074101C">
        <w:rPr>
          <w:rFonts w:ascii="Times New Roman" w:eastAsia="Times New Roman" w:hAnsi="Times New Roman" w:cs="Times New Roman"/>
          <w:color w:val="201C0E"/>
          <w:spacing w:val="8"/>
          <w:sz w:val="24"/>
          <w:szCs w:val="24"/>
          <w:bdr w:val="none" w:sz="0" w:space="0" w:color="auto" w:frame="1"/>
          <w:lang w:eastAsia="en-GB"/>
        </w:rPr>
        <w:t xml:space="preserve"> a </w:t>
      </w:r>
      <w:r w:rsidR="0054005B" w:rsidRPr="0074101C">
        <w:rPr>
          <w:rFonts w:ascii="Times New Roman" w:eastAsia="Times New Roman" w:hAnsi="Times New Roman" w:cs="Times New Roman"/>
          <w:color w:val="201C0E"/>
          <w:spacing w:val="8"/>
          <w:sz w:val="24"/>
          <w:szCs w:val="24"/>
          <w:bdr w:val="none" w:sz="0" w:space="0" w:color="auto" w:frame="1"/>
          <w:lang w:eastAsia="en-GB"/>
        </w:rPr>
        <w:t>novel and comprehensive</w:t>
      </w:r>
      <w:r w:rsidR="005410DF" w:rsidRPr="0074101C">
        <w:rPr>
          <w:rFonts w:ascii="Times New Roman" w:eastAsia="Times New Roman" w:hAnsi="Times New Roman" w:cs="Times New Roman"/>
          <w:color w:val="201C0E"/>
          <w:spacing w:val="8"/>
          <w:sz w:val="24"/>
          <w:szCs w:val="24"/>
          <w:bdr w:val="none" w:sz="0" w:space="0" w:color="auto" w:frame="1"/>
          <w:lang w:eastAsia="en-GB"/>
        </w:rPr>
        <w:t xml:space="preserve"> </w:t>
      </w:r>
      <w:r w:rsidR="007A6844" w:rsidRPr="0074101C">
        <w:rPr>
          <w:rFonts w:ascii="Times New Roman" w:eastAsia="Times New Roman" w:hAnsi="Times New Roman" w:cs="Times New Roman"/>
          <w:color w:val="201C0E"/>
          <w:spacing w:val="8"/>
          <w:sz w:val="24"/>
          <w:szCs w:val="24"/>
          <w:bdr w:val="none" w:sz="0" w:space="0" w:color="auto" w:frame="1"/>
          <w:lang w:eastAsia="en-GB"/>
        </w:rPr>
        <w:t>conceptual framework from which theoretical contributions</w:t>
      </w:r>
      <w:r w:rsidR="00E43235" w:rsidRPr="0074101C">
        <w:rPr>
          <w:rFonts w:ascii="Times New Roman" w:eastAsia="Times New Roman" w:hAnsi="Times New Roman" w:cs="Times New Roman"/>
          <w:color w:val="201C0E"/>
          <w:spacing w:val="8"/>
          <w:sz w:val="24"/>
          <w:szCs w:val="24"/>
          <w:bdr w:val="none" w:sz="0" w:space="0" w:color="auto" w:frame="1"/>
          <w:lang w:eastAsia="en-GB"/>
        </w:rPr>
        <w:t xml:space="preserve"> have</w:t>
      </w:r>
      <w:r w:rsidR="007A6844" w:rsidRPr="0074101C">
        <w:rPr>
          <w:rFonts w:ascii="Times New Roman" w:eastAsia="Times New Roman" w:hAnsi="Times New Roman" w:cs="Times New Roman"/>
          <w:color w:val="201C0E"/>
          <w:spacing w:val="8"/>
          <w:sz w:val="24"/>
          <w:szCs w:val="24"/>
          <w:bdr w:val="none" w:sz="0" w:space="0" w:color="auto" w:frame="1"/>
          <w:lang w:eastAsia="en-GB"/>
        </w:rPr>
        <w:t xml:space="preserve"> emerged. </w:t>
      </w:r>
      <w:r w:rsidR="001F615A" w:rsidRPr="0074101C">
        <w:rPr>
          <w:rFonts w:ascii="Times New Roman" w:eastAsia="Times New Roman" w:hAnsi="Times New Roman" w:cs="Times New Roman"/>
          <w:color w:val="201C0E"/>
          <w:spacing w:val="8"/>
          <w:sz w:val="24"/>
          <w:szCs w:val="24"/>
          <w:bdr w:val="none" w:sz="0" w:space="0" w:color="auto" w:frame="1"/>
          <w:lang w:eastAsia="en-GB"/>
        </w:rPr>
        <w:t xml:space="preserve">Specifically, </w:t>
      </w:r>
      <w:r w:rsidR="0054005B" w:rsidRPr="0074101C">
        <w:rPr>
          <w:rFonts w:ascii="Times New Roman" w:eastAsia="Times New Roman" w:hAnsi="Times New Roman" w:cs="Times New Roman"/>
          <w:color w:val="201C0E"/>
          <w:spacing w:val="8"/>
          <w:sz w:val="24"/>
          <w:szCs w:val="24"/>
          <w:bdr w:val="none" w:sz="0" w:space="0" w:color="auto" w:frame="1"/>
          <w:lang w:eastAsia="en-GB"/>
        </w:rPr>
        <w:t>d</w:t>
      </w:r>
      <w:r w:rsidR="001F615A" w:rsidRPr="0074101C">
        <w:rPr>
          <w:rFonts w:ascii="Times New Roman" w:eastAsia="Times New Roman" w:hAnsi="Times New Roman" w:cs="Times New Roman"/>
          <w:color w:val="201C0E"/>
          <w:spacing w:val="8"/>
          <w:sz w:val="24"/>
          <w:szCs w:val="24"/>
          <w:bdr w:val="none" w:sz="0" w:space="0" w:color="auto" w:frame="1"/>
          <w:lang w:eastAsia="en-GB"/>
        </w:rPr>
        <w:t xml:space="preserve">rawing on the Theory of Reasoned Action, the Stimuli-Organism-Response framework, and the concept of value congruence, this research explores the impact of CSR communication strategies on brand attitudes and purchase intentions. </w:t>
      </w:r>
    </w:p>
    <w:p w14:paraId="110025AC" w14:textId="2D24D97A" w:rsidR="007A6844" w:rsidRPr="0074101C" w:rsidRDefault="00F24B9A" w:rsidP="005410DF">
      <w:pPr>
        <w:shd w:val="clear" w:color="auto" w:fill="FFFFFF"/>
        <w:spacing w:after="0" w:line="480" w:lineRule="auto"/>
        <w:ind w:firstLine="720"/>
        <w:jc w:val="both"/>
        <w:rPr>
          <w:rFonts w:ascii="Times New Roman" w:eastAsia="Times New Roman" w:hAnsi="Times New Roman" w:cs="Times New Roman"/>
          <w:b/>
          <w:bCs/>
          <w:color w:val="201C0E"/>
          <w:sz w:val="24"/>
          <w:szCs w:val="24"/>
          <w:lang w:eastAsia="en-GB"/>
        </w:rPr>
      </w:pPr>
      <w:r w:rsidRPr="0074101C">
        <w:rPr>
          <w:rFonts w:ascii="Times New Roman" w:eastAsia="Times New Roman" w:hAnsi="Times New Roman" w:cs="Times New Roman"/>
          <w:color w:val="201C0E"/>
          <w:spacing w:val="8"/>
          <w:sz w:val="24"/>
          <w:szCs w:val="24"/>
          <w:bdr w:val="none" w:sz="0" w:space="0" w:color="auto" w:frame="1"/>
          <w:lang w:eastAsia="en-GB"/>
        </w:rPr>
        <w:t>Therefore, the study contributes new knowledge on CSR brand communication effectiveness in an under-researched socio-cultural context</w:t>
      </w:r>
      <w:r w:rsidR="00BF1744" w:rsidRPr="0074101C">
        <w:rPr>
          <w:rFonts w:ascii="Times New Roman" w:eastAsia="Times New Roman" w:hAnsi="Times New Roman" w:cs="Times New Roman"/>
          <w:color w:val="201C0E"/>
          <w:spacing w:val="8"/>
          <w:sz w:val="24"/>
          <w:szCs w:val="24"/>
          <w:bdr w:val="none" w:sz="0" w:space="0" w:color="auto" w:frame="1"/>
          <w:lang w:eastAsia="en-GB"/>
        </w:rPr>
        <w:t xml:space="preserve"> in order to establish its applicability and effectiveness in a new market. </w:t>
      </w:r>
    </w:p>
    <w:p w14:paraId="4DB1EF61" w14:textId="79B7D6CA" w:rsidR="007A6844" w:rsidRPr="0074101C" w:rsidRDefault="007A6844" w:rsidP="005410DF">
      <w:pPr>
        <w:shd w:val="clear" w:color="auto" w:fill="FFFFFF"/>
        <w:spacing w:after="0" w:line="480" w:lineRule="auto"/>
        <w:ind w:firstLine="360"/>
        <w:jc w:val="both"/>
        <w:rPr>
          <w:rFonts w:ascii="Times New Roman" w:hAnsi="Times New Roman" w:cs="Times New Roman"/>
          <w:sz w:val="24"/>
          <w:szCs w:val="24"/>
        </w:rPr>
      </w:pPr>
      <w:r w:rsidRPr="0074101C">
        <w:rPr>
          <w:rFonts w:ascii="Times New Roman" w:hAnsi="Times New Roman" w:cs="Times New Roman"/>
          <w:sz w:val="24"/>
          <w:szCs w:val="24"/>
        </w:rPr>
        <w:t>This study employed mixed research methods by conducting 2x2 factorial survey</w:t>
      </w:r>
      <w:r w:rsidR="00635226" w:rsidRPr="0074101C">
        <w:rPr>
          <w:rFonts w:ascii="Times New Roman" w:hAnsi="Times New Roman" w:cs="Times New Roman"/>
          <w:sz w:val="24"/>
          <w:szCs w:val="24"/>
        </w:rPr>
        <w:t xml:space="preserve"> experiment</w:t>
      </w:r>
      <w:r w:rsidRPr="0074101C">
        <w:rPr>
          <w:rFonts w:ascii="Times New Roman" w:hAnsi="Times New Roman" w:cs="Times New Roman"/>
          <w:sz w:val="24"/>
          <w:szCs w:val="24"/>
        </w:rPr>
        <w:t xml:space="preserve">s to compare the effects of CSR to non-CSR communication and to examine the role of message-respondent congruence. The final data </w:t>
      </w:r>
      <w:r w:rsidR="00BF1744" w:rsidRPr="0074101C">
        <w:rPr>
          <w:rFonts w:ascii="Times New Roman" w:hAnsi="Times New Roman" w:cs="Times New Roman"/>
          <w:sz w:val="24"/>
          <w:szCs w:val="24"/>
        </w:rPr>
        <w:t>set included responses from</w:t>
      </w:r>
      <w:r w:rsidRPr="0074101C">
        <w:rPr>
          <w:rFonts w:ascii="Times New Roman" w:hAnsi="Times New Roman" w:cs="Times New Roman"/>
          <w:sz w:val="24"/>
          <w:szCs w:val="24"/>
        </w:rPr>
        <w:t xml:space="preserve"> 474 respondents. Following that, semi-structured interviews were conducted on a smaller sample to gain deeper insights on </w:t>
      </w:r>
      <w:r w:rsidR="00635226" w:rsidRPr="0074101C">
        <w:rPr>
          <w:rFonts w:ascii="Times New Roman" w:hAnsi="Times New Roman" w:cs="Times New Roman"/>
          <w:sz w:val="24"/>
          <w:szCs w:val="24"/>
        </w:rPr>
        <w:t>respondents’</w:t>
      </w:r>
      <w:r w:rsidRPr="0074101C">
        <w:rPr>
          <w:rFonts w:ascii="Times New Roman" w:hAnsi="Times New Roman" w:cs="Times New Roman"/>
          <w:sz w:val="24"/>
          <w:szCs w:val="24"/>
        </w:rPr>
        <w:t xml:space="preserve"> perceptions of CSR communication. </w:t>
      </w:r>
    </w:p>
    <w:p w14:paraId="3E394969" w14:textId="77777777" w:rsidR="007A6844" w:rsidRPr="0074101C" w:rsidRDefault="007A6844" w:rsidP="005410DF">
      <w:pPr>
        <w:shd w:val="clear" w:color="auto" w:fill="FFFFFF"/>
        <w:spacing w:after="0" w:line="480" w:lineRule="auto"/>
        <w:ind w:firstLine="720"/>
        <w:jc w:val="both"/>
        <w:rPr>
          <w:rFonts w:ascii="Times New Roman" w:hAnsi="Times New Roman" w:cs="Times New Roman"/>
          <w:sz w:val="24"/>
          <w:szCs w:val="24"/>
          <w:lang w:val="en-US"/>
        </w:rPr>
      </w:pPr>
      <w:r w:rsidRPr="0074101C">
        <w:rPr>
          <w:rFonts w:ascii="Times New Roman" w:hAnsi="Times New Roman" w:cs="Times New Roman"/>
          <w:sz w:val="24"/>
          <w:szCs w:val="24"/>
        </w:rPr>
        <w:lastRenderedPageBreak/>
        <w:t>Applying independent sample t-test, the comparisons between the groups revealed that all averages of the brand attitudes were significantly higher for consumers who were subjected to the CSR message. Based on structural equation modelling, t</w:t>
      </w:r>
      <w:r w:rsidRPr="0074101C">
        <w:rPr>
          <w:rFonts w:ascii="Times New Roman" w:hAnsi="Times New Roman" w:cs="Times New Roman"/>
          <w:sz w:val="24"/>
          <w:szCs w:val="24"/>
          <w:lang w:val="en-US"/>
        </w:rPr>
        <w:t xml:space="preserve">here were direct positive effects of CSR communication on ad likeability, emotional brand attachment, brand trust and purchase intentions. Also, the qualitative data revealed a plethora of strategic suggestions for CSR communication. </w:t>
      </w:r>
    </w:p>
    <w:p w14:paraId="5DE890D9" w14:textId="15820760" w:rsidR="00AA3079" w:rsidRPr="0074101C" w:rsidRDefault="007A6844" w:rsidP="00F72834">
      <w:pPr>
        <w:spacing w:after="0" w:line="480" w:lineRule="auto"/>
        <w:ind w:firstLine="360"/>
        <w:jc w:val="both"/>
        <w:rPr>
          <w:rFonts w:ascii="Times New Roman" w:hAnsi="Times New Roman" w:cs="Times New Roman"/>
          <w:sz w:val="28"/>
          <w:szCs w:val="28"/>
        </w:rPr>
      </w:pPr>
      <w:r w:rsidRPr="0074101C">
        <w:rPr>
          <w:rFonts w:ascii="Times New Roman" w:hAnsi="Times New Roman" w:cs="Times New Roman"/>
          <w:sz w:val="24"/>
          <w:szCs w:val="24"/>
        </w:rPr>
        <w:t xml:space="preserve">The theoretical application in this study revealed that this study’s theoretical contribution asserts that for TRA to be applicable to different product types, attitudes towards the brand is necessary to measure. </w:t>
      </w:r>
      <w:r w:rsidR="00AA3079" w:rsidRPr="0074101C">
        <w:rPr>
          <w:rFonts w:ascii="Times New Roman" w:hAnsi="Times New Roman" w:cs="Times New Roman"/>
          <w:sz w:val="24"/>
          <w:szCs w:val="24"/>
        </w:rPr>
        <w:t xml:space="preserve">The study provided further evidence to attest to the fact that </w:t>
      </w:r>
      <w:r w:rsidR="00DB6AC2" w:rsidRPr="0074101C">
        <w:rPr>
          <w:rFonts w:ascii="Times New Roman" w:hAnsi="Times New Roman" w:cs="Times New Roman"/>
          <w:sz w:val="24"/>
          <w:szCs w:val="24"/>
        </w:rPr>
        <w:t xml:space="preserve">the concepts of </w:t>
      </w:r>
      <w:r w:rsidR="00AA3079" w:rsidRPr="0074101C">
        <w:rPr>
          <w:rFonts w:ascii="Times New Roman" w:hAnsi="Times New Roman" w:cs="Times New Roman"/>
          <w:sz w:val="24"/>
          <w:szCs w:val="24"/>
        </w:rPr>
        <w:t xml:space="preserve">attitude towards brand and attitude towards ad </w:t>
      </w:r>
      <w:r w:rsidR="0063157A" w:rsidRPr="0074101C">
        <w:rPr>
          <w:rFonts w:ascii="Times New Roman" w:hAnsi="Times New Roman" w:cs="Times New Roman"/>
          <w:sz w:val="24"/>
          <w:szCs w:val="24"/>
        </w:rPr>
        <w:t xml:space="preserve">are important variables which </w:t>
      </w:r>
      <w:r w:rsidR="00AA3079" w:rsidRPr="0074101C">
        <w:rPr>
          <w:rFonts w:ascii="Times New Roman" w:hAnsi="Times New Roman" w:cs="Times New Roman"/>
          <w:sz w:val="24"/>
          <w:szCs w:val="24"/>
        </w:rPr>
        <w:t xml:space="preserve">influence intention to buy the advertised product confirming TRA assumptions in case of CSR communication. </w:t>
      </w:r>
    </w:p>
    <w:p w14:paraId="36C20D93" w14:textId="3E09B078" w:rsidR="007A6844" w:rsidRPr="0074101C" w:rsidRDefault="007A6844" w:rsidP="005410DF">
      <w:pPr>
        <w:spacing w:after="0" w:line="480" w:lineRule="auto"/>
        <w:ind w:firstLine="360"/>
        <w:jc w:val="both"/>
        <w:rPr>
          <w:rFonts w:ascii="Times New Roman" w:hAnsi="Times New Roman" w:cs="Times New Roman"/>
          <w:sz w:val="24"/>
          <w:szCs w:val="24"/>
        </w:rPr>
      </w:pPr>
      <w:r w:rsidRPr="0074101C">
        <w:rPr>
          <w:rFonts w:ascii="Times New Roman" w:hAnsi="Times New Roman" w:cs="Times New Roman"/>
          <w:sz w:val="24"/>
          <w:szCs w:val="24"/>
        </w:rPr>
        <w:t xml:space="preserve">Furthermore, the findings direct researchers to be aware that when applying TRA and SOR, some attitudes might have stronger effects on purchase intentions than others. </w:t>
      </w:r>
    </w:p>
    <w:p w14:paraId="3A6E1020" w14:textId="45FDE632" w:rsidR="009759E5" w:rsidRPr="0074101C" w:rsidRDefault="009759E5" w:rsidP="00F72834">
      <w:pPr>
        <w:spacing w:after="0" w:line="480" w:lineRule="auto"/>
        <w:ind w:firstLine="360"/>
        <w:jc w:val="both"/>
        <w:rPr>
          <w:rFonts w:ascii="Times New Roman" w:hAnsi="Times New Roman" w:cs="Times New Roman"/>
          <w:sz w:val="24"/>
          <w:szCs w:val="24"/>
        </w:rPr>
      </w:pPr>
      <w:r w:rsidRPr="0074101C">
        <w:rPr>
          <w:rFonts w:ascii="Times New Roman" w:hAnsi="Times New Roman" w:cs="Times New Roman"/>
          <w:sz w:val="24"/>
          <w:szCs w:val="24"/>
        </w:rPr>
        <w:t xml:space="preserve">Practically, this study offers a number of implications. First, </w:t>
      </w:r>
      <w:r w:rsidR="00512EE0" w:rsidRPr="0074101C">
        <w:rPr>
          <w:rFonts w:ascii="Times New Roman" w:hAnsi="Times New Roman" w:cs="Times New Roman"/>
          <w:sz w:val="24"/>
          <w:szCs w:val="24"/>
        </w:rPr>
        <w:t>it confirmed</w:t>
      </w:r>
      <w:r w:rsidRPr="0074101C">
        <w:rPr>
          <w:rFonts w:ascii="Times New Roman" w:hAnsi="Times New Roman" w:cs="Times New Roman"/>
          <w:sz w:val="24"/>
          <w:szCs w:val="24"/>
        </w:rPr>
        <w:t xml:space="preserve"> that CRS communication appeal is more effective than non-CSR communication appeal in Egypt for a specific brand</w:t>
      </w:r>
      <w:r w:rsidR="00512EE0" w:rsidRPr="0074101C">
        <w:rPr>
          <w:rFonts w:ascii="Times New Roman" w:hAnsi="Times New Roman" w:cs="Times New Roman"/>
          <w:sz w:val="24"/>
          <w:szCs w:val="24"/>
        </w:rPr>
        <w:t xml:space="preserve"> and hence brand managers can be confident that </w:t>
      </w:r>
      <w:r w:rsidR="00A16779" w:rsidRPr="0074101C">
        <w:rPr>
          <w:rFonts w:ascii="Times New Roman" w:hAnsi="Times New Roman" w:cs="Times New Roman"/>
          <w:sz w:val="24"/>
          <w:szCs w:val="24"/>
        </w:rPr>
        <w:t xml:space="preserve">CSR appeals are more likely to lead to more positive brand and ad attitudes which in turn influence buying intentions. </w:t>
      </w:r>
    </w:p>
    <w:p w14:paraId="4D8F7E5E" w14:textId="56833073" w:rsidR="007A6844" w:rsidRPr="0074101C" w:rsidRDefault="007A6844" w:rsidP="005410DF">
      <w:pPr>
        <w:shd w:val="clear" w:color="auto" w:fill="FFFFFF"/>
        <w:spacing w:after="0" w:line="480" w:lineRule="auto"/>
        <w:ind w:firstLine="360"/>
        <w:jc w:val="both"/>
        <w:rPr>
          <w:rFonts w:ascii="Times New Roman" w:hAnsi="Times New Roman" w:cs="Times New Roman"/>
          <w:sz w:val="24"/>
          <w:szCs w:val="24"/>
        </w:rPr>
      </w:pPr>
      <w:r w:rsidRPr="0074101C">
        <w:rPr>
          <w:rFonts w:ascii="Times New Roman" w:eastAsia="Times New Roman" w:hAnsi="Times New Roman" w:cs="Times New Roman"/>
          <w:color w:val="201C0E"/>
          <w:spacing w:val="8"/>
          <w:sz w:val="24"/>
          <w:szCs w:val="24"/>
          <w:bdr w:val="none" w:sz="0" w:space="0" w:color="auto" w:frame="1"/>
          <w:lang w:eastAsia="en-GB"/>
        </w:rPr>
        <w:t>Lastly,</w:t>
      </w:r>
      <w:r w:rsidRPr="0074101C">
        <w:rPr>
          <w:rFonts w:ascii="Times New Roman" w:eastAsia="Times New Roman" w:hAnsi="Times New Roman" w:cs="Times New Roman"/>
          <w:b/>
          <w:bCs/>
          <w:color w:val="201C0E"/>
          <w:spacing w:val="8"/>
          <w:sz w:val="24"/>
          <w:szCs w:val="24"/>
          <w:bdr w:val="none" w:sz="0" w:space="0" w:color="auto" w:frame="1"/>
          <w:lang w:eastAsia="en-GB"/>
        </w:rPr>
        <w:t xml:space="preserve"> </w:t>
      </w:r>
      <w:r w:rsidRPr="0074101C">
        <w:rPr>
          <w:rFonts w:ascii="Times New Roman" w:hAnsi="Times New Roman" w:cs="Times New Roman"/>
          <w:sz w:val="24"/>
          <w:szCs w:val="24"/>
        </w:rPr>
        <w:t>this study has some confounding variables such as prior consumer perception of the brand and price perception as they were</w:t>
      </w:r>
      <w:r w:rsidR="00E43235" w:rsidRPr="0074101C">
        <w:rPr>
          <w:rFonts w:ascii="Times New Roman" w:hAnsi="Times New Roman" w:cs="Times New Roman"/>
          <w:sz w:val="24"/>
          <w:szCs w:val="24"/>
        </w:rPr>
        <w:t xml:space="preserve"> no</w:t>
      </w:r>
      <w:r w:rsidRPr="0074101C">
        <w:rPr>
          <w:rFonts w:ascii="Times New Roman" w:hAnsi="Times New Roman" w:cs="Times New Roman"/>
          <w:sz w:val="24"/>
          <w:szCs w:val="24"/>
        </w:rPr>
        <w:t>t measured. Some questions related to other potential confounding variables were included to statistically control post data collection. Moreover, the cultural context of the study is specific to Egypt; hence, these experiments ought to be</w:t>
      </w:r>
      <w:r w:rsidR="002E73D0" w:rsidRPr="0074101C">
        <w:rPr>
          <w:rFonts w:ascii="Times New Roman" w:hAnsi="Times New Roman" w:cs="Times New Roman"/>
          <w:sz w:val="24"/>
          <w:szCs w:val="24"/>
        </w:rPr>
        <w:t xml:space="preserve"> subjected to further differentiated replications</w:t>
      </w:r>
      <w:r w:rsidRPr="0074101C">
        <w:rPr>
          <w:rFonts w:ascii="Times New Roman" w:hAnsi="Times New Roman" w:cs="Times New Roman"/>
          <w:sz w:val="24"/>
          <w:szCs w:val="24"/>
        </w:rPr>
        <w:t xml:space="preserve"> in other countries to compare results between different cultures</w:t>
      </w:r>
      <w:r w:rsidR="002E73D0" w:rsidRPr="0074101C">
        <w:rPr>
          <w:rFonts w:ascii="Times New Roman" w:hAnsi="Times New Roman" w:cs="Times New Roman"/>
          <w:sz w:val="24"/>
          <w:szCs w:val="24"/>
        </w:rPr>
        <w:t>.</w:t>
      </w:r>
    </w:p>
    <w:p w14:paraId="14EFBE4F" w14:textId="77777777" w:rsidR="007A6844" w:rsidRPr="00894443" w:rsidRDefault="007A6844" w:rsidP="005410DF">
      <w:pPr>
        <w:shd w:val="clear" w:color="auto" w:fill="FFFFFF"/>
        <w:spacing w:after="0" w:line="480" w:lineRule="auto"/>
        <w:jc w:val="both"/>
        <w:rPr>
          <w:rFonts w:asciiTheme="majorBidi" w:eastAsia="Times New Roman" w:hAnsiTheme="majorBidi" w:cstheme="majorBidi"/>
          <w:b/>
          <w:bCs/>
          <w:color w:val="201C0E"/>
          <w:spacing w:val="8"/>
          <w:sz w:val="24"/>
          <w:szCs w:val="24"/>
          <w:bdr w:val="none" w:sz="0" w:space="0" w:color="auto" w:frame="1"/>
          <w:lang w:eastAsia="en-GB"/>
        </w:rPr>
      </w:pPr>
      <w:r w:rsidRPr="00894443">
        <w:rPr>
          <w:rFonts w:asciiTheme="majorBidi" w:eastAsia="Times New Roman" w:hAnsiTheme="majorBidi" w:cstheme="majorBidi"/>
          <w:b/>
          <w:bCs/>
          <w:color w:val="201C0E"/>
          <w:spacing w:val="8"/>
          <w:sz w:val="24"/>
          <w:szCs w:val="24"/>
          <w:bdr w:val="none" w:sz="0" w:space="0" w:color="auto" w:frame="1"/>
          <w:lang w:eastAsia="en-GB"/>
        </w:rPr>
        <w:t>Keywords</w:t>
      </w:r>
    </w:p>
    <w:p w14:paraId="4C648E3A" w14:textId="77777777" w:rsidR="007A6844" w:rsidRPr="00C97BDB" w:rsidRDefault="007A6844" w:rsidP="005410DF">
      <w:pPr>
        <w:spacing w:line="480" w:lineRule="auto"/>
        <w:ind w:firstLine="720"/>
        <w:jc w:val="both"/>
        <w:rPr>
          <w:rFonts w:ascii="Times New Roman" w:hAnsi="Times New Roman" w:cs="Times New Roman"/>
          <w:sz w:val="24"/>
          <w:szCs w:val="24"/>
        </w:rPr>
      </w:pPr>
      <w:r w:rsidRPr="00C97BDB">
        <w:rPr>
          <w:rFonts w:ascii="Times New Roman" w:hAnsi="Times New Roman" w:cs="Times New Roman"/>
          <w:sz w:val="24"/>
          <w:szCs w:val="24"/>
        </w:rPr>
        <w:lastRenderedPageBreak/>
        <w:t xml:space="preserve">CSR communication, consumer behaviour, purchase intention, consumer attitudes, FMCG, Theory of Reasoned Action, SOR theory, value congruence, halo effect, social media advertising, TV advertising </w:t>
      </w:r>
    </w:p>
    <w:p w14:paraId="212D2E0E" w14:textId="77777777" w:rsidR="007A6844" w:rsidRDefault="007A6844" w:rsidP="00064A53">
      <w:pPr>
        <w:jc w:val="center"/>
        <w:rPr>
          <w:rFonts w:asciiTheme="majorBidi" w:hAnsiTheme="majorBidi" w:cstheme="majorBidi"/>
          <w:b/>
          <w:bCs/>
          <w:sz w:val="24"/>
          <w:szCs w:val="24"/>
        </w:rPr>
      </w:pPr>
    </w:p>
    <w:p w14:paraId="1C3A3ED8" w14:textId="77777777" w:rsidR="007A6844" w:rsidRDefault="007A6844" w:rsidP="00064A53">
      <w:pPr>
        <w:jc w:val="center"/>
        <w:rPr>
          <w:rFonts w:asciiTheme="majorBidi" w:hAnsiTheme="majorBidi" w:cstheme="majorBidi"/>
          <w:b/>
          <w:bCs/>
          <w:sz w:val="24"/>
          <w:szCs w:val="24"/>
        </w:rPr>
      </w:pPr>
    </w:p>
    <w:p w14:paraId="1A0F3703" w14:textId="77777777" w:rsidR="007A6844" w:rsidRDefault="007A6844" w:rsidP="00064A53">
      <w:pPr>
        <w:jc w:val="center"/>
        <w:rPr>
          <w:rFonts w:asciiTheme="majorBidi" w:hAnsiTheme="majorBidi" w:cstheme="majorBidi"/>
          <w:b/>
          <w:bCs/>
          <w:sz w:val="24"/>
          <w:szCs w:val="24"/>
        </w:rPr>
      </w:pPr>
    </w:p>
    <w:p w14:paraId="20F4887E" w14:textId="77777777" w:rsidR="007A6844" w:rsidRDefault="007A6844" w:rsidP="00064A53">
      <w:pPr>
        <w:jc w:val="center"/>
        <w:rPr>
          <w:rFonts w:asciiTheme="majorBidi" w:hAnsiTheme="majorBidi" w:cstheme="majorBidi"/>
          <w:b/>
          <w:bCs/>
          <w:sz w:val="24"/>
          <w:szCs w:val="24"/>
        </w:rPr>
      </w:pPr>
    </w:p>
    <w:p w14:paraId="09198F23" w14:textId="77777777" w:rsidR="007A6844" w:rsidRDefault="007A6844" w:rsidP="00064A53">
      <w:pPr>
        <w:jc w:val="center"/>
        <w:rPr>
          <w:rFonts w:asciiTheme="majorBidi" w:hAnsiTheme="majorBidi" w:cstheme="majorBidi"/>
          <w:b/>
          <w:bCs/>
          <w:sz w:val="24"/>
          <w:szCs w:val="24"/>
        </w:rPr>
      </w:pPr>
    </w:p>
    <w:p w14:paraId="4FB07465" w14:textId="77777777" w:rsidR="007A6844" w:rsidRDefault="007A6844" w:rsidP="00064A53">
      <w:pPr>
        <w:jc w:val="center"/>
        <w:rPr>
          <w:rFonts w:asciiTheme="majorBidi" w:hAnsiTheme="majorBidi" w:cstheme="majorBidi"/>
          <w:b/>
          <w:bCs/>
          <w:sz w:val="24"/>
          <w:szCs w:val="24"/>
        </w:rPr>
      </w:pPr>
    </w:p>
    <w:p w14:paraId="7E89B715" w14:textId="77777777" w:rsidR="007A6844" w:rsidRDefault="007A6844" w:rsidP="00064A53">
      <w:pPr>
        <w:jc w:val="center"/>
        <w:rPr>
          <w:rFonts w:asciiTheme="majorBidi" w:hAnsiTheme="majorBidi" w:cstheme="majorBidi"/>
          <w:b/>
          <w:bCs/>
          <w:sz w:val="24"/>
          <w:szCs w:val="24"/>
        </w:rPr>
      </w:pPr>
    </w:p>
    <w:p w14:paraId="7DA294AC" w14:textId="77777777" w:rsidR="007A6844" w:rsidRDefault="007A6844" w:rsidP="00064A53">
      <w:pPr>
        <w:jc w:val="center"/>
        <w:rPr>
          <w:rFonts w:asciiTheme="majorBidi" w:hAnsiTheme="majorBidi" w:cstheme="majorBidi"/>
          <w:b/>
          <w:bCs/>
          <w:sz w:val="24"/>
          <w:szCs w:val="24"/>
        </w:rPr>
      </w:pPr>
    </w:p>
    <w:p w14:paraId="14B0A3C7" w14:textId="2B8B1B9C" w:rsidR="007D08D3" w:rsidRDefault="007D08D3">
      <w:pPr>
        <w:rPr>
          <w:rFonts w:asciiTheme="majorBidi" w:hAnsiTheme="majorBidi" w:cstheme="majorBidi"/>
          <w:b/>
          <w:bCs/>
          <w:sz w:val="24"/>
          <w:szCs w:val="24"/>
        </w:rPr>
      </w:pPr>
      <w:r>
        <w:rPr>
          <w:rFonts w:asciiTheme="majorBidi" w:hAnsiTheme="majorBidi" w:cstheme="majorBidi"/>
          <w:b/>
          <w:bCs/>
          <w:sz w:val="24"/>
          <w:szCs w:val="24"/>
        </w:rPr>
        <w:br w:type="page"/>
      </w:r>
    </w:p>
    <w:p w14:paraId="12AEEDCA" w14:textId="77777777" w:rsidR="007A6844" w:rsidRDefault="007A6844" w:rsidP="00064A53">
      <w:pPr>
        <w:jc w:val="center"/>
        <w:rPr>
          <w:rFonts w:asciiTheme="majorBidi" w:hAnsiTheme="majorBidi" w:cstheme="majorBidi"/>
          <w:b/>
          <w:bCs/>
          <w:sz w:val="24"/>
          <w:szCs w:val="24"/>
        </w:rPr>
      </w:pPr>
    </w:p>
    <w:p w14:paraId="4676BDE6" w14:textId="3E45BEAC" w:rsidR="00064A53" w:rsidRPr="00891F01" w:rsidRDefault="00064A53" w:rsidP="00064A53">
      <w:pPr>
        <w:jc w:val="center"/>
        <w:rPr>
          <w:rFonts w:asciiTheme="majorBidi" w:hAnsiTheme="majorBidi" w:cstheme="majorBidi"/>
          <w:b/>
          <w:bCs/>
          <w:sz w:val="24"/>
          <w:szCs w:val="24"/>
        </w:rPr>
      </w:pPr>
      <w:r w:rsidRPr="00891F01">
        <w:rPr>
          <w:rFonts w:asciiTheme="majorBidi" w:hAnsiTheme="majorBidi" w:cstheme="majorBidi"/>
          <w:b/>
          <w:bCs/>
          <w:sz w:val="24"/>
          <w:szCs w:val="24"/>
        </w:rPr>
        <w:t>Acknowledgements</w:t>
      </w:r>
    </w:p>
    <w:p w14:paraId="54600063" w14:textId="30EF03FF" w:rsidR="00064A53" w:rsidRPr="004E0878" w:rsidRDefault="00064A53" w:rsidP="007C54A1">
      <w:pPr>
        <w:spacing w:after="0" w:line="480" w:lineRule="auto"/>
        <w:jc w:val="both"/>
        <w:rPr>
          <w:rFonts w:asciiTheme="majorBidi" w:hAnsiTheme="majorBidi" w:cstheme="majorBidi"/>
          <w:sz w:val="24"/>
          <w:szCs w:val="24"/>
        </w:rPr>
      </w:pPr>
      <w:r w:rsidRPr="004E0878">
        <w:rPr>
          <w:rFonts w:asciiTheme="majorBidi" w:hAnsiTheme="majorBidi" w:cstheme="majorBidi"/>
          <w:sz w:val="24"/>
          <w:szCs w:val="24"/>
        </w:rPr>
        <w:t>Ph.D.</w:t>
      </w:r>
      <w:r w:rsidR="00A31F93">
        <w:rPr>
          <w:rFonts w:asciiTheme="majorBidi" w:hAnsiTheme="majorBidi" w:cstheme="majorBidi"/>
          <w:sz w:val="24"/>
          <w:szCs w:val="24"/>
        </w:rPr>
        <w:t xml:space="preserve"> </w:t>
      </w:r>
      <w:r w:rsidRPr="004E0878">
        <w:rPr>
          <w:rFonts w:asciiTheme="majorBidi" w:hAnsiTheme="majorBidi" w:cstheme="majorBidi"/>
          <w:sz w:val="24"/>
          <w:szCs w:val="24"/>
        </w:rPr>
        <w:t>is a journey that imparts precious learnings, but what I appreciate the most is the level of scientific maturity and systematic cognitive thinking that emerges towards the end of this journey. While few peers discouraged me from earning a Ph</w:t>
      </w:r>
      <w:r w:rsidR="00A31F93">
        <w:rPr>
          <w:rFonts w:asciiTheme="majorBidi" w:hAnsiTheme="majorBidi" w:cstheme="majorBidi"/>
          <w:sz w:val="24"/>
          <w:szCs w:val="24"/>
        </w:rPr>
        <w:t>.</w:t>
      </w:r>
      <w:r w:rsidRPr="004E0878">
        <w:rPr>
          <w:rFonts w:asciiTheme="majorBidi" w:hAnsiTheme="majorBidi" w:cstheme="majorBidi"/>
          <w:sz w:val="24"/>
          <w:szCs w:val="24"/>
        </w:rPr>
        <w:t>D</w:t>
      </w:r>
      <w:r w:rsidR="00A31F93">
        <w:rPr>
          <w:rFonts w:asciiTheme="majorBidi" w:hAnsiTheme="majorBidi" w:cstheme="majorBidi"/>
          <w:sz w:val="24"/>
          <w:szCs w:val="24"/>
        </w:rPr>
        <w:t>.</w:t>
      </w:r>
      <w:r w:rsidRPr="004E0878">
        <w:rPr>
          <w:rFonts w:asciiTheme="majorBidi" w:hAnsiTheme="majorBidi" w:cstheme="majorBidi"/>
          <w:sz w:val="24"/>
          <w:szCs w:val="24"/>
        </w:rPr>
        <w:t xml:space="preserve"> by over-stressing the amount of struggle an individual goes through, I was blessed to have a supervisor who held my hand even before I began the program. I count myself lucky for having Dr. Barbara Czarnecka as my supervisor as she was exceptional and gave me </w:t>
      </w:r>
      <w:r>
        <w:rPr>
          <w:rFonts w:asciiTheme="majorBidi" w:hAnsiTheme="majorBidi" w:cstheme="majorBidi"/>
          <w:sz w:val="24"/>
          <w:szCs w:val="24"/>
        </w:rPr>
        <w:t>excellent</w:t>
      </w:r>
      <w:r w:rsidRPr="004E0878">
        <w:rPr>
          <w:rFonts w:asciiTheme="majorBidi" w:hAnsiTheme="majorBidi" w:cstheme="majorBidi"/>
          <w:sz w:val="24"/>
          <w:szCs w:val="24"/>
        </w:rPr>
        <w:t xml:space="preserve"> mentorship and guidance. Dr. </w:t>
      </w:r>
      <w:r w:rsidR="00B72CBC">
        <w:rPr>
          <w:rFonts w:asciiTheme="majorBidi" w:hAnsiTheme="majorBidi" w:cstheme="majorBidi"/>
          <w:sz w:val="24"/>
          <w:szCs w:val="24"/>
        </w:rPr>
        <w:t>Czarnecka</w:t>
      </w:r>
      <w:r w:rsidRPr="004E0878">
        <w:rPr>
          <w:rFonts w:asciiTheme="majorBidi" w:hAnsiTheme="majorBidi" w:cstheme="majorBidi"/>
          <w:sz w:val="24"/>
          <w:szCs w:val="24"/>
        </w:rPr>
        <w:t xml:space="preserve"> provided me with a wholesome support throughout my journey with Ph.D.  Also, I am grateful for Dr. Rana Tajvidi for being on my supervision committee and offering</w:t>
      </w:r>
      <w:r>
        <w:rPr>
          <w:rFonts w:asciiTheme="majorBidi" w:hAnsiTheme="majorBidi" w:cstheme="majorBidi"/>
          <w:sz w:val="24"/>
          <w:szCs w:val="24"/>
        </w:rPr>
        <w:t xml:space="preserve"> great advice and</w:t>
      </w:r>
      <w:r w:rsidRPr="004E0878">
        <w:rPr>
          <w:rFonts w:asciiTheme="majorBidi" w:hAnsiTheme="majorBidi" w:cstheme="majorBidi"/>
          <w:sz w:val="24"/>
          <w:szCs w:val="24"/>
        </w:rPr>
        <w:t xml:space="preserve"> insightful recommendations. </w:t>
      </w:r>
    </w:p>
    <w:p w14:paraId="01FBBC05" w14:textId="3CF7A55E" w:rsidR="00064A53" w:rsidRPr="004E0878" w:rsidRDefault="00064A53" w:rsidP="007C54A1">
      <w:pPr>
        <w:spacing w:after="0" w:line="480" w:lineRule="auto"/>
        <w:jc w:val="both"/>
        <w:rPr>
          <w:rFonts w:asciiTheme="majorBidi" w:hAnsiTheme="majorBidi" w:cstheme="majorBidi"/>
          <w:sz w:val="24"/>
          <w:szCs w:val="24"/>
        </w:rPr>
      </w:pPr>
      <w:r w:rsidRPr="004E0878">
        <w:rPr>
          <w:rFonts w:asciiTheme="majorBidi" w:hAnsiTheme="majorBidi" w:cstheme="majorBidi"/>
          <w:sz w:val="24"/>
          <w:szCs w:val="24"/>
        </w:rPr>
        <w:t xml:space="preserve">I also want to express my gratitude to all the respondents who volunteered their time and participated in this study. This thesis would not have existed without </w:t>
      </w:r>
      <w:r>
        <w:rPr>
          <w:rFonts w:asciiTheme="majorBidi" w:hAnsiTheme="majorBidi" w:cstheme="majorBidi"/>
          <w:sz w:val="24"/>
          <w:szCs w:val="24"/>
        </w:rPr>
        <w:t xml:space="preserve">their </w:t>
      </w:r>
      <w:r w:rsidRPr="004E0878">
        <w:rPr>
          <w:rFonts w:asciiTheme="majorBidi" w:hAnsiTheme="majorBidi" w:cstheme="majorBidi"/>
          <w:sz w:val="24"/>
          <w:szCs w:val="24"/>
        </w:rPr>
        <w:t>commitment.</w:t>
      </w:r>
    </w:p>
    <w:p w14:paraId="3168CE6E" w14:textId="00C2CA1D" w:rsidR="00064A53" w:rsidRPr="004E0878" w:rsidRDefault="00B945DB" w:rsidP="007C54A1">
      <w:pPr>
        <w:spacing w:after="0" w:line="480" w:lineRule="auto"/>
        <w:jc w:val="both"/>
        <w:rPr>
          <w:rFonts w:asciiTheme="majorBidi" w:hAnsiTheme="majorBidi" w:cstheme="majorBidi"/>
          <w:sz w:val="24"/>
          <w:szCs w:val="24"/>
        </w:rPr>
      </w:pPr>
      <w:r>
        <w:rPr>
          <w:rFonts w:asciiTheme="majorBidi" w:hAnsiTheme="majorBidi" w:cstheme="majorBidi"/>
          <w:sz w:val="24"/>
          <w:szCs w:val="24"/>
        </w:rPr>
        <w:t>Furthermore</w:t>
      </w:r>
      <w:r w:rsidR="00064A53" w:rsidRPr="004E0878">
        <w:rPr>
          <w:rFonts w:asciiTheme="majorBidi" w:hAnsiTheme="majorBidi" w:cstheme="majorBidi"/>
          <w:sz w:val="24"/>
          <w:szCs w:val="24"/>
        </w:rPr>
        <w:t xml:space="preserve">, I want to thank my friends </w:t>
      </w:r>
      <w:r w:rsidR="00064A53">
        <w:rPr>
          <w:rFonts w:asciiTheme="majorBidi" w:hAnsiTheme="majorBidi" w:cstheme="majorBidi"/>
          <w:sz w:val="24"/>
          <w:szCs w:val="24"/>
        </w:rPr>
        <w:t>for their positivity that opposed my occasional whining</w:t>
      </w:r>
      <w:r w:rsidR="00064A53" w:rsidRPr="004E0878">
        <w:rPr>
          <w:rFonts w:asciiTheme="majorBidi" w:hAnsiTheme="majorBidi" w:cstheme="majorBidi"/>
          <w:sz w:val="24"/>
          <w:szCs w:val="24"/>
        </w:rPr>
        <w:t>. I want to</w:t>
      </w:r>
      <w:r w:rsidR="00A31CFF">
        <w:rPr>
          <w:rFonts w:asciiTheme="majorBidi" w:hAnsiTheme="majorBidi" w:cstheme="majorBidi"/>
          <w:sz w:val="24"/>
          <w:szCs w:val="24"/>
        </w:rPr>
        <w:t xml:space="preserve"> give special</w:t>
      </w:r>
      <w:r w:rsidR="00064A53" w:rsidRPr="004E0878">
        <w:rPr>
          <w:rFonts w:asciiTheme="majorBidi" w:hAnsiTheme="majorBidi" w:cstheme="majorBidi"/>
          <w:sz w:val="24"/>
          <w:szCs w:val="24"/>
        </w:rPr>
        <w:t xml:space="preserve"> thank</w:t>
      </w:r>
      <w:r w:rsidR="00A31CFF">
        <w:rPr>
          <w:rFonts w:asciiTheme="majorBidi" w:hAnsiTheme="majorBidi" w:cstheme="majorBidi"/>
          <w:sz w:val="24"/>
          <w:szCs w:val="24"/>
        </w:rPr>
        <w:t>s to</w:t>
      </w:r>
      <w:r w:rsidR="00064A53" w:rsidRPr="004E0878">
        <w:rPr>
          <w:rFonts w:asciiTheme="majorBidi" w:hAnsiTheme="majorBidi" w:cstheme="majorBidi"/>
          <w:sz w:val="24"/>
          <w:szCs w:val="24"/>
        </w:rPr>
        <w:t xml:space="preserve"> Dr. Shorouk Hamzawi for her tremendous encouragement </w:t>
      </w:r>
      <w:r w:rsidR="00EA4BED">
        <w:rPr>
          <w:rFonts w:asciiTheme="majorBidi" w:hAnsiTheme="majorBidi" w:cstheme="majorBidi"/>
          <w:sz w:val="24"/>
          <w:szCs w:val="24"/>
        </w:rPr>
        <w:t xml:space="preserve">and </w:t>
      </w:r>
      <w:r w:rsidR="00A31CFF">
        <w:rPr>
          <w:rFonts w:asciiTheme="majorBidi" w:hAnsiTheme="majorBidi" w:cstheme="majorBidi"/>
          <w:sz w:val="24"/>
          <w:szCs w:val="24"/>
        </w:rPr>
        <w:t>help</w:t>
      </w:r>
      <w:r w:rsidR="00EA4BED">
        <w:rPr>
          <w:rFonts w:asciiTheme="majorBidi" w:hAnsiTheme="majorBidi" w:cstheme="majorBidi"/>
          <w:sz w:val="24"/>
          <w:szCs w:val="24"/>
        </w:rPr>
        <w:t xml:space="preserve"> as she was</w:t>
      </w:r>
      <w:r w:rsidR="00064A53" w:rsidRPr="004E0878">
        <w:rPr>
          <w:rFonts w:asciiTheme="majorBidi" w:hAnsiTheme="majorBidi" w:cstheme="majorBidi"/>
          <w:sz w:val="24"/>
          <w:szCs w:val="24"/>
        </w:rPr>
        <w:t xml:space="preserve"> always </w:t>
      </w:r>
      <w:r w:rsidR="00A31CFF">
        <w:rPr>
          <w:rFonts w:asciiTheme="majorBidi" w:hAnsiTheme="majorBidi" w:cstheme="majorBidi"/>
          <w:sz w:val="24"/>
          <w:szCs w:val="24"/>
        </w:rPr>
        <w:t>keen</w:t>
      </w:r>
      <w:r w:rsidR="00064A53" w:rsidRPr="004E0878">
        <w:rPr>
          <w:rFonts w:asciiTheme="majorBidi" w:hAnsiTheme="majorBidi" w:cstheme="majorBidi"/>
          <w:sz w:val="24"/>
          <w:szCs w:val="24"/>
        </w:rPr>
        <w:t xml:space="preserve"> to discuss </w:t>
      </w:r>
      <w:r w:rsidR="00EA4BED">
        <w:rPr>
          <w:rFonts w:asciiTheme="majorBidi" w:hAnsiTheme="majorBidi" w:cstheme="majorBidi"/>
          <w:sz w:val="24"/>
          <w:szCs w:val="24"/>
        </w:rPr>
        <w:t>my thesis</w:t>
      </w:r>
      <w:r w:rsidR="00B72CBC">
        <w:rPr>
          <w:rFonts w:asciiTheme="majorBidi" w:hAnsiTheme="majorBidi" w:cstheme="majorBidi"/>
          <w:sz w:val="24"/>
          <w:szCs w:val="24"/>
        </w:rPr>
        <w:t xml:space="preserve"> with me for </w:t>
      </w:r>
      <w:r w:rsidR="00A31F93">
        <w:rPr>
          <w:rFonts w:asciiTheme="majorBidi" w:hAnsiTheme="majorBidi" w:cstheme="majorBidi"/>
          <w:sz w:val="24"/>
          <w:szCs w:val="24"/>
        </w:rPr>
        <w:t>many</w:t>
      </w:r>
      <w:r w:rsidR="00B72CBC">
        <w:rPr>
          <w:rFonts w:asciiTheme="majorBidi" w:hAnsiTheme="majorBidi" w:cstheme="majorBidi"/>
          <w:sz w:val="24"/>
          <w:szCs w:val="24"/>
        </w:rPr>
        <w:t xml:space="preserve"> hours</w:t>
      </w:r>
      <w:r w:rsidR="00064A53" w:rsidRPr="004E0878">
        <w:rPr>
          <w:rFonts w:asciiTheme="majorBidi" w:hAnsiTheme="majorBidi" w:cstheme="majorBidi"/>
          <w:sz w:val="24"/>
          <w:szCs w:val="24"/>
        </w:rPr>
        <w:t xml:space="preserve">.  </w:t>
      </w:r>
    </w:p>
    <w:p w14:paraId="1CC417CD" w14:textId="5663848C" w:rsidR="00064A53" w:rsidRDefault="00064A53" w:rsidP="007C54A1">
      <w:pPr>
        <w:spacing w:after="0" w:line="480" w:lineRule="auto"/>
        <w:jc w:val="both"/>
        <w:rPr>
          <w:rFonts w:asciiTheme="majorBidi" w:hAnsiTheme="majorBidi" w:cstheme="majorBidi"/>
          <w:sz w:val="24"/>
          <w:szCs w:val="24"/>
        </w:rPr>
      </w:pPr>
      <w:r w:rsidRPr="004E0878">
        <w:rPr>
          <w:rFonts w:asciiTheme="majorBidi" w:hAnsiTheme="majorBidi" w:cstheme="majorBidi"/>
          <w:sz w:val="24"/>
          <w:szCs w:val="24"/>
        </w:rPr>
        <w:t xml:space="preserve">Lastly and most importantly, I dedicate this work to the most wonderful people in life, my father Nader Saad El Din and my Mother Naira Omar. I will be forever thankful to them for always being eager to offer me all kinds of support before I even ask for it. I am truly blessed to have such loving and encouraging parents and I only hope that I can make them as happy </w:t>
      </w:r>
      <w:r>
        <w:rPr>
          <w:rFonts w:asciiTheme="majorBidi" w:hAnsiTheme="majorBidi" w:cstheme="majorBidi"/>
          <w:sz w:val="24"/>
          <w:szCs w:val="24"/>
        </w:rPr>
        <w:t>as</w:t>
      </w:r>
      <w:r w:rsidRPr="004E0878">
        <w:rPr>
          <w:rFonts w:asciiTheme="majorBidi" w:hAnsiTheme="majorBidi" w:cstheme="majorBidi"/>
          <w:sz w:val="24"/>
          <w:szCs w:val="24"/>
        </w:rPr>
        <w:t xml:space="preserve"> they always ensure that I am. Also, I would like to thank my sister, Nehal Nader</w:t>
      </w:r>
      <w:r>
        <w:rPr>
          <w:rFonts w:asciiTheme="majorBidi" w:hAnsiTheme="majorBidi" w:cstheme="majorBidi"/>
          <w:sz w:val="24"/>
          <w:szCs w:val="24"/>
        </w:rPr>
        <w:t>,</w:t>
      </w:r>
      <w:r w:rsidRPr="004E0878">
        <w:rPr>
          <w:rFonts w:asciiTheme="majorBidi" w:hAnsiTheme="majorBidi" w:cstheme="majorBidi"/>
          <w:sz w:val="24"/>
          <w:szCs w:val="24"/>
        </w:rPr>
        <w:t xml:space="preserve"> for</w:t>
      </w:r>
      <w:r>
        <w:rPr>
          <w:rFonts w:asciiTheme="majorBidi" w:hAnsiTheme="majorBidi" w:cstheme="majorBidi"/>
          <w:sz w:val="24"/>
          <w:szCs w:val="24"/>
        </w:rPr>
        <w:t xml:space="preserve"> being a major source of encouragement and</w:t>
      </w:r>
      <w:r w:rsidRPr="004E0878">
        <w:rPr>
          <w:rFonts w:asciiTheme="majorBidi" w:hAnsiTheme="majorBidi" w:cstheme="majorBidi"/>
          <w:sz w:val="24"/>
          <w:szCs w:val="24"/>
        </w:rPr>
        <w:t xml:space="preserve"> always being generous with her advice and emotional support. </w:t>
      </w:r>
    </w:p>
    <w:p w14:paraId="32BE7036" w14:textId="29B3D823" w:rsidR="00B01F74" w:rsidRDefault="00064A53" w:rsidP="007D08D3">
      <w:pPr>
        <w:spacing w:line="480" w:lineRule="auto"/>
        <w:jc w:val="both"/>
        <w:rPr>
          <w:rFonts w:asciiTheme="majorBidi" w:hAnsiTheme="majorBidi" w:cstheme="majorBidi"/>
          <w:sz w:val="24"/>
          <w:szCs w:val="24"/>
        </w:rPr>
      </w:pPr>
      <w:r w:rsidRPr="004E0878">
        <w:rPr>
          <w:rFonts w:asciiTheme="majorBidi" w:hAnsiTheme="majorBidi" w:cstheme="majorBidi"/>
          <w:sz w:val="24"/>
          <w:szCs w:val="24"/>
        </w:rPr>
        <w:t>May this mark the beginning of many more future achievemen</w:t>
      </w:r>
      <w:r>
        <w:rPr>
          <w:rFonts w:asciiTheme="majorBidi" w:hAnsiTheme="majorBidi" w:cstheme="majorBidi"/>
          <w:sz w:val="24"/>
          <w:szCs w:val="24"/>
        </w:rPr>
        <w:t>ts.</w:t>
      </w:r>
    </w:p>
    <w:p w14:paraId="4AA14F66" w14:textId="77777777" w:rsidR="007D08D3" w:rsidRDefault="007D08D3" w:rsidP="007D08D3">
      <w:pPr>
        <w:spacing w:line="480" w:lineRule="auto"/>
        <w:jc w:val="both"/>
        <w:rPr>
          <w:rFonts w:asciiTheme="majorBidi" w:hAnsiTheme="majorBidi" w:cstheme="majorBidi"/>
          <w:sz w:val="24"/>
          <w:szCs w:val="24"/>
        </w:rPr>
      </w:pPr>
    </w:p>
    <w:p w14:paraId="1349E97E" w14:textId="77777777" w:rsidR="0074101C" w:rsidRDefault="0074101C" w:rsidP="00A31F93">
      <w:pPr>
        <w:rPr>
          <w:rFonts w:asciiTheme="majorBidi" w:eastAsia="Times New Roman" w:hAnsiTheme="majorBidi" w:cstheme="majorBidi"/>
          <w:b/>
          <w:bCs/>
          <w:color w:val="201C0E"/>
          <w:spacing w:val="8"/>
          <w:sz w:val="24"/>
          <w:szCs w:val="24"/>
          <w:bdr w:val="none" w:sz="0" w:space="0" w:color="auto" w:frame="1"/>
          <w:lang w:eastAsia="en-GB"/>
        </w:rPr>
      </w:pPr>
    </w:p>
    <w:tbl>
      <w:tblPr>
        <w:tblStyle w:val="TableGrid"/>
        <w:tblW w:w="1020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962"/>
        <w:gridCol w:w="567"/>
      </w:tblGrid>
      <w:tr w:rsidR="002C69A1" w:rsidRPr="00BD7537" w14:paraId="47B79C0E" w14:textId="77777777" w:rsidTr="00170402">
        <w:tc>
          <w:tcPr>
            <w:tcW w:w="9640" w:type="dxa"/>
            <w:gridSpan w:val="2"/>
          </w:tcPr>
          <w:p w14:paraId="6635B090" w14:textId="77777777" w:rsidR="002C69A1" w:rsidRPr="00A31F93" w:rsidRDefault="002C69A1" w:rsidP="00170402">
            <w:pPr>
              <w:jc w:val="center"/>
              <w:rPr>
                <w:rFonts w:ascii="Times New Roman" w:hAnsi="Times New Roman" w:cs="Times New Roman"/>
                <w:b/>
                <w:bCs/>
                <w:sz w:val="24"/>
                <w:szCs w:val="24"/>
              </w:rPr>
            </w:pPr>
            <w:r w:rsidRPr="00A31F93">
              <w:rPr>
                <w:rFonts w:ascii="Times New Roman" w:hAnsi="Times New Roman" w:cs="Times New Roman"/>
                <w:b/>
                <w:bCs/>
                <w:sz w:val="24"/>
                <w:szCs w:val="24"/>
              </w:rPr>
              <w:t>Table of Contents</w:t>
            </w:r>
          </w:p>
        </w:tc>
        <w:tc>
          <w:tcPr>
            <w:tcW w:w="567" w:type="dxa"/>
          </w:tcPr>
          <w:p w14:paraId="34C3699E" w14:textId="77777777" w:rsidR="002C69A1" w:rsidRPr="00BD7537" w:rsidRDefault="002C69A1" w:rsidP="00170402">
            <w:pPr>
              <w:jc w:val="center"/>
              <w:rPr>
                <w:rFonts w:ascii="Times New Roman" w:hAnsi="Times New Roman" w:cs="Times New Roman"/>
              </w:rPr>
            </w:pPr>
          </w:p>
        </w:tc>
      </w:tr>
      <w:tr w:rsidR="002C69A1" w:rsidRPr="00BD7537" w14:paraId="59FEBFCB" w14:textId="77777777" w:rsidTr="00170402">
        <w:tc>
          <w:tcPr>
            <w:tcW w:w="4678" w:type="dxa"/>
          </w:tcPr>
          <w:p w14:paraId="69EA8DC4"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Abstract </w:t>
            </w:r>
          </w:p>
        </w:tc>
        <w:tc>
          <w:tcPr>
            <w:tcW w:w="4962" w:type="dxa"/>
          </w:tcPr>
          <w:p w14:paraId="664D7962"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453694FE" w14:textId="77777777" w:rsidR="002C69A1" w:rsidRPr="00BD7537" w:rsidRDefault="002C69A1" w:rsidP="00170402">
            <w:pPr>
              <w:rPr>
                <w:rFonts w:ascii="Times New Roman" w:hAnsi="Times New Roman" w:cs="Times New Roman"/>
              </w:rPr>
            </w:pPr>
            <w:r>
              <w:rPr>
                <w:rFonts w:ascii="Times New Roman" w:hAnsi="Times New Roman" w:cs="Times New Roman"/>
              </w:rPr>
              <w:t>2</w:t>
            </w:r>
          </w:p>
        </w:tc>
      </w:tr>
      <w:tr w:rsidR="002C69A1" w:rsidRPr="00BD7537" w14:paraId="37B4AA75" w14:textId="77777777" w:rsidTr="00170402">
        <w:tc>
          <w:tcPr>
            <w:tcW w:w="4678" w:type="dxa"/>
          </w:tcPr>
          <w:p w14:paraId="1D10C1B0"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Acknowledgements </w:t>
            </w:r>
          </w:p>
        </w:tc>
        <w:tc>
          <w:tcPr>
            <w:tcW w:w="4962" w:type="dxa"/>
          </w:tcPr>
          <w:p w14:paraId="26E348D7"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786E3A04" w14:textId="77777777" w:rsidR="002C69A1" w:rsidRPr="00BD7537" w:rsidRDefault="002C69A1" w:rsidP="00170402">
            <w:pPr>
              <w:rPr>
                <w:rFonts w:ascii="Times New Roman" w:hAnsi="Times New Roman" w:cs="Times New Roman"/>
              </w:rPr>
            </w:pPr>
            <w:r>
              <w:rPr>
                <w:rFonts w:ascii="Times New Roman" w:hAnsi="Times New Roman" w:cs="Times New Roman"/>
              </w:rPr>
              <w:t>5</w:t>
            </w:r>
          </w:p>
        </w:tc>
      </w:tr>
      <w:tr w:rsidR="002C69A1" w:rsidRPr="00BD7537" w14:paraId="6E23E53A" w14:textId="77777777" w:rsidTr="00170402">
        <w:tc>
          <w:tcPr>
            <w:tcW w:w="4678" w:type="dxa"/>
          </w:tcPr>
          <w:p w14:paraId="28FC1FD9" w14:textId="77777777" w:rsidR="002C69A1"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Table of Contents </w:t>
            </w:r>
          </w:p>
        </w:tc>
        <w:tc>
          <w:tcPr>
            <w:tcW w:w="4962" w:type="dxa"/>
          </w:tcPr>
          <w:p w14:paraId="6B5E9D66"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27C93C88" w14:textId="77777777" w:rsidR="002C69A1" w:rsidRPr="00BD7537" w:rsidRDefault="002C69A1" w:rsidP="00170402">
            <w:pPr>
              <w:rPr>
                <w:rFonts w:ascii="Times New Roman" w:hAnsi="Times New Roman" w:cs="Times New Roman"/>
              </w:rPr>
            </w:pPr>
            <w:r>
              <w:rPr>
                <w:rFonts w:ascii="Times New Roman" w:hAnsi="Times New Roman" w:cs="Times New Roman"/>
              </w:rPr>
              <w:t>6</w:t>
            </w:r>
          </w:p>
        </w:tc>
      </w:tr>
      <w:tr w:rsidR="002C69A1" w:rsidRPr="00BD7537" w14:paraId="38CD808E" w14:textId="77777777" w:rsidTr="00170402">
        <w:tc>
          <w:tcPr>
            <w:tcW w:w="4678" w:type="dxa"/>
          </w:tcPr>
          <w:p w14:paraId="721DC845"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List of Figures </w:t>
            </w:r>
          </w:p>
        </w:tc>
        <w:tc>
          <w:tcPr>
            <w:tcW w:w="4962" w:type="dxa"/>
          </w:tcPr>
          <w:p w14:paraId="7B98F5F9"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6215BDA" w14:textId="77777777" w:rsidR="002C69A1" w:rsidRPr="00BD7537" w:rsidRDefault="002C69A1" w:rsidP="00170402">
            <w:pPr>
              <w:rPr>
                <w:rFonts w:ascii="Times New Roman" w:hAnsi="Times New Roman" w:cs="Times New Roman"/>
              </w:rPr>
            </w:pPr>
            <w:r>
              <w:rPr>
                <w:rFonts w:ascii="Times New Roman" w:hAnsi="Times New Roman" w:cs="Times New Roman"/>
              </w:rPr>
              <w:t>11</w:t>
            </w:r>
          </w:p>
        </w:tc>
      </w:tr>
      <w:tr w:rsidR="002C69A1" w:rsidRPr="00BD7537" w14:paraId="58FF0D1B" w14:textId="77777777" w:rsidTr="00170402">
        <w:tc>
          <w:tcPr>
            <w:tcW w:w="4678" w:type="dxa"/>
          </w:tcPr>
          <w:p w14:paraId="3EC99091"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List of Tables </w:t>
            </w:r>
          </w:p>
        </w:tc>
        <w:tc>
          <w:tcPr>
            <w:tcW w:w="4962" w:type="dxa"/>
          </w:tcPr>
          <w:p w14:paraId="55BBE15E"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23C1B30F" w14:textId="77777777" w:rsidR="002C69A1" w:rsidRPr="00BD7537" w:rsidRDefault="002C69A1" w:rsidP="00170402">
            <w:pPr>
              <w:rPr>
                <w:rFonts w:ascii="Times New Roman" w:hAnsi="Times New Roman" w:cs="Times New Roman"/>
              </w:rPr>
            </w:pPr>
            <w:r>
              <w:rPr>
                <w:rFonts w:ascii="Times New Roman" w:hAnsi="Times New Roman" w:cs="Times New Roman"/>
              </w:rPr>
              <w:t>13</w:t>
            </w:r>
          </w:p>
        </w:tc>
      </w:tr>
      <w:tr w:rsidR="002C69A1" w:rsidRPr="00BD7537" w14:paraId="6C0412A6" w14:textId="77777777" w:rsidTr="00170402">
        <w:tc>
          <w:tcPr>
            <w:tcW w:w="4678" w:type="dxa"/>
          </w:tcPr>
          <w:p w14:paraId="4BA6A9A9"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List of Abbreviations </w:t>
            </w:r>
          </w:p>
        </w:tc>
        <w:tc>
          <w:tcPr>
            <w:tcW w:w="4962" w:type="dxa"/>
          </w:tcPr>
          <w:p w14:paraId="53C7A4F7"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2D107924" w14:textId="77777777" w:rsidR="002C69A1" w:rsidRPr="00BD7537" w:rsidRDefault="002C69A1" w:rsidP="00170402">
            <w:pPr>
              <w:rPr>
                <w:rFonts w:ascii="Times New Roman" w:hAnsi="Times New Roman" w:cs="Times New Roman"/>
              </w:rPr>
            </w:pPr>
            <w:r>
              <w:rPr>
                <w:rFonts w:ascii="Times New Roman" w:hAnsi="Times New Roman" w:cs="Times New Roman"/>
              </w:rPr>
              <w:t>18</w:t>
            </w:r>
          </w:p>
        </w:tc>
      </w:tr>
      <w:tr w:rsidR="002C69A1" w:rsidRPr="00BD7537" w14:paraId="59206A5F" w14:textId="77777777" w:rsidTr="00170402">
        <w:tc>
          <w:tcPr>
            <w:tcW w:w="4678" w:type="dxa"/>
          </w:tcPr>
          <w:p w14:paraId="734C4976" w14:textId="77777777" w:rsidR="002C69A1" w:rsidRPr="00BD7537" w:rsidRDefault="002C69A1" w:rsidP="00170402">
            <w:pPr>
              <w:rPr>
                <w:rFonts w:ascii="Times New Roman" w:hAnsi="Times New Roman" w:cs="Times New Roman"/>
                <w:sz w:val="24"/>
                <w:szCs w:val="24"/>
              </w:rPr>
            </w:pPr>
            <w:r w:rsidRPr="00BD7537">
              <w:rPr>
                <w:rFonts w:ascii="Times New Roman" w:hAnsi="Times New Roman" w:cs="Times New Roman"/>
                <w:sz w:val="24"/>
                <w:szCs w:val="24"/>
              </w:rPr>
              <w:t xml:space="preserve">Chapter 1 – Introduction </w:t>
            </w:r>
          </w:p>
        </w:tc>
        <w:tc>
          <w:tcPr>
            <w:tcW w:w="4962" w:type="dxa"/>
          </w:tcPr>
          <w:p w14:paraId="50AB2815"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512D7CFA" w14:textId="77777777" w:rsidR="002C69A1" w:rsidRPr="00BD7537" w:rsidRDefault="002C69A1" w:rsidP="00170402">
            <w:pPr>
              <w:rPr>
                <w:rFonts w:ascii="Times New Roman" w:hAnsi="Times New Roman" w:cs="Times New Roman"/>
              </w:rPr>
            </w:pPr>
            <w:r>
              <w:rPr>
                <w:rFonts w:ascii="Times New Roman" w:hAnsi="Times New Roman" w:cs="Times New Roman"/>
              </w:rPr>
              <w:t>18</w:t>
            </w:r>
          </w:p>
        </w:tc>
      </w:tr>
      <w:tr w:rsidR="002C69A1" w:rsidRPr="00BD7537" w14:paraId="67A1E845" w14:textId="77777777" w:rsidTr="00170402">
        <w:tc>
          <w:tcPr>
            <w:tcW w:w="4678" w:type="dxa"/>
          </w:tcPr>
          <w:p w14:paraId="4B9D9966" w14:textId="77777777" w:rsidR="002C69A1" w:rsidRPr="00BD7537" w:rsidRDefault="002C69A1" w:rsidP="00170402">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1.0 </w:t>
            </w:r>
            <w:r w:rsidRPr="00BD7537">
              <w:rPr>
                <w:rFonts w:ascii="Times New Roman" w:hAnsi="Times New Roman" w:cs="Times New Roman"/>
                <w:sz w:val="24"/>
                <w:szCs w:val="24"/>
              </w:rPr>
              <w:t>Introduction</w:t>
            </w:r>
          </w:p>
        </w:tc>
        <w:tc>
          <w:tcPr>
            <w:tcW w:w="4962" w:type="dxa"/>
          </w:tcPr>
          <w:p w14:paraId="7812C48E"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030B6803" w14:textId="77777777" w:rsidR="002C69A1" w:rsidRPr="00BD7537" w:rsidRDefault="002C69A1" w:rsidP="00170402">
            <w:pPr>
              <w:rPr>
                <w:rFonts w:ascii="Times New Roman" w:hAnsi="Times New Roman" w:cs="Times New Roman"/>
              </w:rPr>
            </w:pPr>
            <w:r>
              <w:rPr>
                <w:rFonts w:ascii="Times New Roman" w:hAnsi="Times New Roman" w:cs="Times New Roman"/>
              </w:rPr>
              <w:t>18</w:t>
            </w:r>
          </w:p>
        </w:tc>
      </w:tr>
      <w:tr w:rsidR="002C69A1" w:rsidRPr="00BD7537" w14:paraId="26CEBB84" w14:textId="77777777" w:rsidTr="00170402">
        <w:tc>
          <w:tcPr>
            <w:tcW w:w="4678" w:type="dxa"/>
          </w:tcPr>
          <w:p w14:paraId="49588D37" w14:textId="77777777" w:rsidR="002C69A1" w:rsidRPr="00BD7537" w:rsidRDefault="002C69A1" w:rsidP="00170402">
            <w:pPr>
              <w:pStyle w:val="ListParagraph"/>
              <w:numPr>
                <w:ilvl w:val="1"/>
                <w:numId w:val="27"/>
              </w:numPr>
              <w:rPr>
                <w:rFonts w:ascii="Times New Roman" w:hAnsi="Times New Roman" w:cs="Times New Roman"/>
                <w:sz w:val="24"/>
                <w:szCs w:val="24"/>
              </w:rPr>
            </w:pPr>
            <w:r>
              <w:rPr>
                <w:rFonts w:ascii="Times New Roman" w:hAnsi="Times New Roman" w:cs="Times New Roman"/>
                <w:sz w:val="24"/>
                <w:szCs w:val="24"/>
              </w:rPr>
              <w:t xml:space="preserve">Background of the Study </w:t>
            </w:r>
            <w:r w:rsidRPr="00BD7537">
              <w:rPr>
                <w:rFonts w:ascii="Times New Roman" w:hAnsi="Times New Roman" w:cs="Times New Roman"/>
                <w:sz w:val="24"/>
                <w:szCs w:val="24"/>
              </w:rPr>
              <w:t xml:space="preserve"> </w:t>
            </w:r>
          </w:p>
        </w:tc>
        <w:tc>
          <w:tcPr>
            <w:tcW w:w="4962" w:type="dxa"/>
          </w:tcPr>
          <w:p w14:paraId="652E41E8"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AA353B3" w14:textId="77777777" w:rsidR="002C69A1" w:rsidRPr="00BD7537" w:rsidRDefault="002C69A1" w:rsidP="00170402">
            <w:pPr>
              <w:rPr>
                <w:rFonts w:ascii="Times New Roman" w:hAnsi="Times New Roman" w:cs="Times New Roman"/>
              </w:rPr>
            </w:pPr>
            <w:r>
              <w:rPr>
                <w:rFonts w:ascii="Times New Roman" w:hAnsi="Times New Roman" w:cs="Times New Roman"/>
              </w:rPr>
              <w:t>20</w:t>
            </w:r>
          </w:p>
        </w:tc>
      </w:tr>
      <w:tr w:rsidR="002C69A1" w:rsidRPr="00BD7537" w14:paraId="56FC2E04" w14:textId="77777777" w:rsidTr="00170402">
        <w:tc>
          <w:tcPr>
            <w:tcW w:w="4678" w:type="dxa"/>
          </w:tcPr>
          <w:p w14:paraId="63FC8759" w14:textId="77777777" w:rsidR="002C69A1" w:rsidRPr="00BD7537" w:rsidRDefault="002C69A1" w:rsidP="00170402">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1.2 Researcher Background </w:t>
            </w:r>
          </w:p>
        </w:tc>
        <w:tc>
          <w:tcPr>
            <w:tcW w:w="4962" w:type="dxa"/>
          </w:tcPr>
          <w:p w14:paraId="69E15DB6"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05D4FD0A" w14:textId="77777777" w:rsidR="002C69A1" w:rsidRPr="00BD7537" w:rsidRDefault="002C69A1" w:rsidP="00170402">
            <w:pPr>
              <w:rPr>
                <w:rFonts w:ascii="Times New Roman" w:hAnsi="Times New Roman" w:cs="Times New Roman"/>
              </w:rPr>
            </w:pPr>
            <w:r>
              <w:rPr>
                <w:rFonts w:ascii="Times New Roman" w:hAnsi="Times New Roman" w:cs="Times New Roman"/>
              </w:rPr>
              <w:t>20</w:t>
            </w:r>
          </w:p>
        </w:tc>
      </w:tr>
      <w:tr w:rsidR="002C69A1" w:rsidRPr="00BD7537" w14:paraId="751F96BF" w14:textId="77777777" w:rsidTr="00170402">
        <w:tc>
          <w:tcPr>
            <w:tcW w:w="4678" w:type="dxa"/>
          </w:tcPr>
          <w:p w14:paraId="237E30F0" w14:textId="77777777" w:rsidR="002C69A1" w:rsidRPr="00BD7537" w:rsidRDefault="002C69A1" w:rsidP="00170402">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1.3 Research Gap </w:t>
            </w:r>
          </w:p>
        </w:tc>
        <w:tc>
          <w:tcPr>
            <w:tcW w:w="4962" w:type="dxa"/>
          </w:tcPr>
          <w:p w14:paraId="3B2826BA"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0E62889D" w14:textId="77777777" w:rsidR="002C69A1" w:rsidRPr="00BD7537" w:rsidRDefault="002C69A1" w:rsidP="00170402">
            <w:pPr>
              <w:rPr>
                <w:rFonts w:ascii="Times New Roman" w:hAnsi="Times New Roman" w:cs="Times New Roman"/>
              </w:rPr>
            </w:pPr>
            <w:r>
              <w:rPr>
                <w:rFonts w:ascii="Times New Roman" w:hAnsi="Times New Roman" w:cs="Times New Roman"/>
              </w:rPr>
              <w:t>18</w:t>
            </w:r>
          </w:p>
        </w:tc>
      </w:tr>
      <w:tr w:rsidR="002C69A1" w:rsidRPr="00BD7537" w14:paraId="310D059B" w14:textId="77777777" w:rsidTr="00170402">
        <w:tc>
          <w:tcPr>
            <w:tcW w:w="4678" w:type="dxa"/>
          </w:tcPr>
          <w:p w14:paraId="57E70191" w14:textId="77777777" w:rsidR="002C69A1" w:rsidRPr="00BD7537" w:rsidRDefault="002C69A1" w:rsidP="00170402">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1.4 Research aims and objectives  </w:t>
            </w:r>
          </w:p>
        </w:tc>
        <w:tc>
          <w:tcPr>
            <w:tcW w:w="4962" w:type="dxa"/>
          </w:tcPr>
          <w:p w14:paraId="5433EBF8"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66F07031" w14:textId="77777777" w:rsidR="002C69A1" w:rsidRPr="00BD7537" w:rsidRDefault="002C69A1" w:rsidP="00170402">
            <w:pPr>
              <w:rPr>
                <w:rFonts w:ascii="Times New Roman" w:hAnsi="Times New Roman" w:cs="Times New Roman"/>
              </w:rPr>
            </w:pPr>
            <w:r>
              <w:rPr>
                <w:rFonts w:ascii="Times New Roman" w:hAnsi="Times New Roman" w:cs="Times New Roman"/>
              </w:rPr>
              <w:t>23</w:t>
            </w:r>
          </w:p>
        </w:tc>
      </w:tr>
      <w:tr w:rsidR="002C69A1" w:rsidRPr="00BD7537" w14:paraId="2EB552B5" w14:textId="77777777" w:rsidTr="00170402">
        <w:tc>
          <w:tcPr>
            <w:tcW w:w="4678" w:type="dxa"/>
          </w:tcPr>
          <w:p w14:paraId="5B9CE42C" w14:textId="77777777" w:rsidR="002C69A1" w:rsidRPr="00BD7537" w:rsidRDefault="002C69A1" w:rsidP="00170402">
            <w:pPr>
              <w:pStyle w:val="ListParagraph"/>
              <w:ind w:left="360"/>
              <w:rPr>
                <w:rFonts w:ascii="Times New Roman" w:hAnsi="Times New Roman" w:cs="Times New Roman"/>
                <w:sz w:val="24"/>
                <w:szCs w:val="24"/>
              </w:rPr>
            </w:pPr>
            <w:r w:rsidRPr="00BD7537">
              <w:rPr>
                <w:rFonts w:ascii="Times New Roman" w:hAnsi="Times New Roman" w:cs="Times New Roman"/>
                <w:sz w:val="24"/>
                <w:szCs w:val="24"/>
              </w:rPr>
              <w:t>1.</w:t>
            </w:r>
            <w:r>
              <w:rPr>
                <w:rFonts w:ascii="Times New Roman" w:hAnsi="Times New Roman" w:cs="Times New Roman"/>
                <w:sz w:val="24"/>
                <w:szCs w:val="24"/>
              </w:rPr>
              <w:t>5 Scope of the Study</w:t>
            </w:r>
          </w:p>
        </w:tc>
        <w:tc>
          <w:tcPr>
            <w:tcW w:w="4962" w:type="dxa"/>
          </w:tcPr>
          <w:p w14:paraId="2CEA5629"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4F82522" w14:textId="77777777" w:rsidR="002C69A1" w:rsidRPr="00BD7537" w:rsidRDefault="002C69A1" w:rsidP="00170402">
            <w:pPr>
              <w:rPr>
                <w:rFonts w:ascii="Times New Roman" w:hAnsi="Times New Roman" w:cs="Times New Roman"/>
              </w:rPr>
            </w:pPr>
            <w:r>
              <w:rPr>
                <w:rFonts w:ascii="Times New Roman" w:hAnsi="Times New Roman" w:cs="Times New Roman"/>
              </w:rPr>
              <w:t>24</w:t>
            </w:r>
          </w:p>
        </w:tc>
      </w:tr>
      <w:tr w:rsidR="002C69A1" w:rsidRPr="00BD7537" w14:paraId="21BCCB65" w14:textId="77777777" w:rsidTr="00170402">
        <w:tc>
          <w:tcPr>
            <w:tcW w:w="4678" w:type="dxa"/>
          </w:tcPr>
          <w:p w14:paraId="7D32BCEC" w14:textId="77777777" w:rsidR="002C69A1" w:rsidRPr="00BD7537" w:rsidRDefault="002C69A1" w:rsidP="00170402">
            <w:pPr>
              <w:pStyle w:val="ListParagraph"/>
              <w:numPr>
                <w:ilvl w:val="1"/>
                <w:numId w:val="28"/>
              </w:numPr>
              <w:shd w:val="clear" w:color="auto" w:fill="FFFFFF"/>
              <w:rPr>
                <w:rFonts w:ascii="Times New Roman" w:hAnsi="Times New Roman" w:cs="Times New Roman"/>
                <w:sz w:val="24"/>
                <w:szCs w:val="24"/>
              </w:rPr>
            </w:pPr>
            <w:r>
              <w:rPr>
                <w:rFonts w:ascii="Times New Roman" w:hAnsi="Times New Roman" w:cs="Times New Roman"/>
                <w:sz w:val="24"/>
                <w:szCs w:val="24"/>
              </w:rPr>
              <w:t xml:space="preserve">Contributions of the thesis </w:t>
            </w:r>
          </w:p>
        </w:tc>
        <w:tc>
          <w:tcPr>
            <w:tcW w:w="4962" w:type="dxa"/>
          </w:tcPr>
          <w:p w14:paraId="1E869B67"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2D048706" w14:textId="77777777" w:rsidR="002C69A1" w:rsidRPr="00BD7537" w:rsidRDefault="002C69A1" w:rsidP="00170402">
            <w:pPr>
              <w:rPr>
                <w:rFonts w:ascii="Times New Roman" w:hAnsi="Times New Roman" w:cs="Times New Roman"/>
              </w:rPr>
            </w:pPr>
            <w:r>
              <w:rPr>
                <w:rFonts w:ascii="Times New Roman" w:hAnsi="Times New Roman" w:cs="Times New Roman"/>
              </w:rPr>
              <w:t>25</w:t>
            </w:r>
          </w:p>
        </w:tc>
      </w:tr>
      <w:tr w:rsidR="002C69A1" w:rsidRPr="00BD7537" w14:paraId="1D6945B4" w14:textId="77777777" w:rsidTr="00170402">
        <w:tc>
          <w:tcPr>
            <w:tcW w:w="4678" w:type="dxa"/>
          </w:tcPr>
          <w:p w14:paraId="62D3AFD7" w14:textId="77777777" w:rsidR="002C69A1" w:rsidRPr="00BD7537" w:rsidRDefault="002C69A1" w:rsidP="00170402">
            <w:pPr>
              <w:pStyle w:val="ListParagraph"/>
              <w:shd w:val="clear" w:color="auto" w:fill="FFFFFF"/>
              <w:ind w:left="360"/>
              <w:rPr>
                <w:rFonts w:ascii="Times New Roman" w:hAnsi="Times New Roman" w:cs="Times New Roman"/>
                <w:sz w:val="24"/>
                <w:szCs w:val="24"/>
              </w:rPr>
            </w:pPr>
            <w:r>
              <w:rPr>
                <w:rFonts w:ascii="Times New Roman" w:hAnsi="Times New Roman" w:cs="Times New Roman"/>
                <w:sz w:val="24"/>
                <w:szCs w:val="24"/>
              </w:rPr>
              <w:t xml:space="preserve">1.7 Research Methods </w:t>
            </w:r>
          </w:p>
        </w:tc>
        <w:tc>
          <w:tcPr>
            <w:tcW w:w="4962" w:type="dxa"/>
          </w:tcPr>
          <w:p w14:paraId="6E0DB640"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1F15ABB7" w14:textId="77777777" w:rsidR="002C69A1" w:rsidRPr="00BD7537" w:rsidRDefault="002C69A1" w:rsidP="00170402">
            <w:pPr>
              <w:rPr>
                <w:rFonts w:ascii="Times New Roman" w:hAnsi="Times New Roman" w:cs="Times New Roman"/>
              </w:rPr>
            </w:pPr>
            <w:r>
              <w:rPr>
                <w:rFonts w:ascii="Times New Roman" w:hAnsi="Times New Roman" w:cs="Times New Roman"/>
              </w:rPr>
              <w:t>29</w:t>
            </w:r>
          </w:p>
        </w:tc>
      </w:tr>
      <w:tr w:rsidR="002C69A1" w:rsidRPr="00BD7537" w14:paraId="2140FEEE" w14:textId="77777777" w:rsidTr="00170402">
        <w:tc>
          <w:tcPr>
            <w:tcW w:w="4678" w:type="dxa"/>
          </w:tcPr>
          <w:p w14:paraId="6AA3C309" w14:textId="77777777" w:rsidR="002C69A1" w:rsidRPr="00477BB4" w:rsidRDefault="002C69A1" w:rsidP="00170402">
            <w:pPr>
              <w:pStyle w:val="ListParagraph"/>
              <w:shd w:val="clear" w:color="auto" w:fill="FFFFFF"/>
              <w:ind w:left="360"/>
              <w:rPr>
                <w:rFonts w:ascii="Times New Roman" w:hAnsi="Times New Roman" w:cs="Times New Roman"/>
                <w:sz w:val="24"/>
                <w:szCs w:val="24"/>
              </w:rPr>
            </w:pPr>
            <w:r w:rsidRPr="00BD7537">
              <w:rPr>
                <w:rFonts w:ascii="Times New Roman" w:hAnsi="Times New Roman" w:cs="Times New Roman"/>
                <w:sz w:val="24"/>
                <w:szCs w:val="24"/>
              </w:rPr>
              <w:t>1.</w:t>
            </w:r>
            <w:r>
              <w:rPr>
                <w:rFonts w:ascii="Times New Roman" w:hAnsi="Times New Roman" w:cs="Times New Roman"/>
                <w:sz w:val="24"/>
                <w:szCs w:val="24"/>
              </w:rPr>
              <w:t xml:space="preserve">8 </w:t>
            </w:r>
            <w:r w:rsidRPr="00BD7537">
              <w:rPr>
                <w:rFonts w:ascii="Times New Roman" w:hAnsi="Times New Roman" w:cs="Times New Roman"/>
                <w:sz w:val="24"/>
                <w:szCs w:val="24"/>
              </w:rPr>
              <w:t xml:space="preserve">Overview of the structure of the thesis </w:t>
            </w:r>
          </w:p>
        </w:tc>
        <w:tc>
          <w:tcPr>
            <w:tcW w:w="4962" w:type="dxa"/>
          </w:tcPr>
          <w:p w14:paraId="277E1666"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2B2E10A3" w14:textId="77777777" w:rsidR="002C69A1" w:rsidRPr="00BD7537" w:rsidRDefault="002C69A1" w:rsidP="00170402">
            <w:pPr>
              <w:rPr>
                <w:rFonts w:ascii="Times New Roman" w:hAnsi="Times New Roman" w:cs="Times New Roman"/>
              </w:rPr>
            </w:pPr>
            <w:r>
              <w:rPr>
                <w:rFonts w:ascii="Times New Roman" w:hAnsi="Times New Roman" w:cs="Times New Roman"/>
              </w:rPr>
              <w:t>31</w:t>
            </w:r>
          </w:p>
        </w:tc>
      </w:tr>
      <w:tr w:rsidR="002C69A1" w:rsidRPr="00BD7537" w14:paraId="592FDE4F" w14:textId="77777777" w:rsidTr="00170402">
        <w:tc>
          <w:tcPr>
            <w:tcW w:w="4678" w:type="dxa"/>
          </w:tcPr>
          <w:p w14:paraId="5580AF66" w14:textId="77777777" w:rsidR="002C69A1" w:rsidRPr="00BD7537" w:rsidRDefault="002C69A1" w:rsidP="00170402">
            <w:pPr>
              <w:pStyle w:val="ListParagraph"/>
              <w:shd w:val="clear" w:color="auto" w:fill="FFFFFF"/>
              <w:ind w:left="360"/>
              <w:rPr>
                <w:rFonts w:ascii="Times New Roman" w:hAnsi="Times New Roman" w:cs="Times New Roman"/>
              </w:rPr>
            </w:pPr>
            <w:r w:rsidRPr="00BD7537">
              <w:rPr>
                <w:rFonts w:ascii="Times New Roman" w:hAnsi="Times New Roman" w:cs="Times New Roman"/>
                <w:sz w:val="24"/>
                <w:szCs w:val="24"/>
              </w:rPr>
              <w:t>1.</w:t>
            </w:r>
            <w:r>
              <w:rPr>
                <w:rFonts w:ascii="Times New Roman" w:hAnsi="Times New Roman" w:cs="Times New Roman"/>
                <w:sz w:val="24"/>
                <w:szCs w:val="24"/>
              </w:rPr>
              <w:t>9</w:t>
            </w:r>
            <w:r w:rsidRPr="00BD7537">
              <w:rPr>
                <w:rFonts w:ascii="Times New Roman" w:hAnsi="Times New Roman" w:cs="Times New Roman"/>
                <w:sz w:val="24"/>
                <w:szCs w:val="24"/>
              </w:rPr>
              <w:t xml:space="preserve"> Summary</w:t>
            </w:r>
          </w:p>
        </w:tc>
        <w:tc>
          <w:tcPr>
            <w:tcW w:w="4962" w:type="dxa"/>
          </w:tcPr>
          <w:p w14:paraId="44D5CC13"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5902BD95" w14:textId="77777777" w:rsidR="002C69A1" w:rsidRPr="00BD7537" w:rsidRDefault="002C69A1" w:rsidP="00170402">
            <w:pPr>
              <w:rPr>
                <w:rFonts w:ascii="Times New Roman" w:hAnsi="Times New Roman" w:cs="Times New Roman"/>
              </w:rPr>
            </w:pPr>
            <w:r>
              <w:rPr>
                <w:rFonts w:ascii="Times New Roman" w:hAnsi="Times New Roman" w:cs="Times New Roman"/>
              </w:rPr>
              <w:t>37</w:t>
            </w:r>
          </w:p>
        </w:tc>
      </w:tr>
      <w:tr w:rsidR="002C69A1" w:rsidRPr="00BD7537" w14:paraId="54730954" w14:textId="77777777" w:rsidTr="00170402">
        <w:tc>
          <w:tcPr>
            <w:tcW w:w="4678" w:type="dxa"/>
          </w:tcPr>
          <w:p w14:paraId="1C706D18" w14:textId="77777777" w:rsidR="002C69A1" w:rsidRPr="00BD7537" w:rsidRDefault="002C69A1" w:rsidP="00170402">
            <w:pPr>
              <w:rPr>
                <w:rFonts w:ascii="Times New Roman" w:hAnsi="Times New Roman" w:cs="Times New Roman"/>
                <w:sz w:val="24"/>
                <w:szCs w:val="24"/>
              </w:rPr>
            </w:pPr>
            <w:r w:rsidRPr="00BD7537">
              <w:rPr>
                <w:rFonts w:ascii="Times New Roman" w:hAnsi="Times New Roman" w:cs="Times New Roman"/>
              </w:rPr>
              <w:t xml:space="preserve">Chapter </w:t>
            </w:r>
            <w:r>
              <w:rPr>
                <w:rFonts w:ascii="Times New Roman" w:hAnsi="Times New Roman" w:cs="Times New Roman"/>
              </w:rPr>
              <w:t>2</w:t>
            </w:r>
            <w:r w:rsidRPr="00BD7537">
              <w:rPr>
                <w:rFonts w:ascii="Times New Roman" w:hAnsi="Times New Roman" w:cs="Times New Roman"/>
              </w:rPr>
              <w:t xml:space="preserve"> - Literature Review</w:t>
            </w:r>
          </w:p>
        </w:tc>
        <w:tc>
          <w:tcPr>
            <w:tcW w:w="4962" w:type="dxa"/>
          </w:tcPr>
          <w:p w14:paraId="2015F6E1"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05ACE252" w14:textId="77777777" w:rsidR="002C69A1" w:rsidRPr="00BD7537" w:rsidRDefault="002C69A1" w:rsidP="00170402">
            <w:pPr>
              <w:rPr>
                <w:rFonts w:ascii="Times New Roman" w:hAnsi="Times New Roman" w:cs="Times New Roman"/>
              </w:rPr>
            </w:pPr>
            <w:r>
              <w:rPr>
                <w:rFonts w:ascii="Times New Roman" w:hAnsi="Times New Roman" w:cs="Times New Roman"/>
              </w:rPr>
              <w:t>38</w:t>
            </w:r>
          </w:p>
        </w:tc>
      </w:tr>
      <w:tr w:rsidR="002C69A1" w:rsidRPr="00BD7537" w14:paraId="7A4A2E94" w14:textId="77777777" w:rsidTr="00170402">
        <w:tc>
          <w:tcPr>
            <w:tcW w:w="4678" w:type="dxa"/>
          </w:tcPr>
          <w:p w14:paraId="5C39B56E"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   2</w:t>
            </w:r>
            <w:r w:rsidRPr="00BD7537">
              <w:rPr>
                <w:rFonts w:ascii="Times New Roman" w:hAnsi="Times New Roman" w:cs="Times New Roman"/>
                <w:sz w:val="24"/>
                <w:szCs w:val="24"/>
              </w:rPr>
              <w:t>.</w:t>
            </w:r>
            <w:r>
              <w:rPr>
                <w:rFonts w:ascii="Times New Roman" w:hAnsi="Times New Roman" w:cs="Times New Roman"/>
                <w:sz w:val="24"/>
                <w:szCs w:val="24"/>
              </w:rPr>
              <w:t>0</w:t>
            </w:r>
            <w:r w:rsidRPr="00BD7537">
              <w:rPr>
                <w:rFonts w:ascii="Times New Roman" w:hAnsi="Times New Roman" w:cs="Times New Roman"/>
                <w:sz w:val="24"/>
                <w:szCs w:val="24"/>
              </w:rPr>
              <w:t xml:space="preserve"> Introduction </w:t>
            </w:r>
          </w:p>
        </w:tc>
        <w:tc>
          <w:tcPr>
            <w:tcW w:w="4962" w:type="dxa"/>
          </w:tcPr>
          <w:p w14:paraId="2CF2159A"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5E338A36" w14:textId="77777777" w:rsidR="002C69A1" w:rsidRPr="00BD7537" w:rsidRDefault="002C69A1" w:rsidP="00170402">
            <w:pPr>
              <w:rPr>
                <w:rFonts w:ascii="Times New Roman" w:hAnsi="Times New Roman" w:cs="Times New Roman"/>
              </w:rPr>
            </w:pPr>
            <w:r>
              <w:rPr>
                <w:rFonts w:ascii="Times New Roman" w:hAnsi="Times New Roman" w:cs="Times New Roman"/>
              </w:rPr>
              <w:t>38</w:t>
            </w:r>
          </w:p>
        </w:tc>
      </w:tr>
      <w:tr w:rsidR="002C69A1" w:rsidRPr="00BD7537" w14:paraId="4532CFCB" w14:textId="77777777" w:rsidTr="00170402">
        <w:trPr>
          <w:trHeight w:val="287"/>
        </w:trPr>
        <w:tc>
          <w:tcPr>
            <w:tcW w:w="4678" w:type="dxa"/>
          </w:tcPr>
          <w:p w14:paraId="0AE9D25D"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   2</w:t>
            </w:r>
            <w:r w:rsidRPr="00BD7537">
              <w:rPr>
                <w:rFonts w:ascii="Times New Roman" w:hAnsi="Times New Roman" w:cs="Times New Roman"/>
                <w:sz w:val="24"/>
                <w:szCs w:val="24"/>
              </w:rPr>
              <w:t>.</w:t>
            </w:r>
            <w:r>
              <w:rPr>
                <w:rFonts w:ascii="Times New Roman" w:hAnsi="Times New Roman" w:cs="Times New Roman"/>
                <w:sz w:val="24"/>
                <w:szCs w:val="24"/>
              </w:rPr>
              <w:t>1</w:t>
            </w:r>
            <w:r w:rsidRPr="00BD7537">
              <w:rPr>
                <w:rFonts w:ascii="Times New Roman" w:hAnsi="Times New Roman" w:cs="Times New Roman"/>
                <w:sz w:val="24"/>
                <w:szCs w:val="24"/>
              </w:rPr>
              <w:t xml:space="preserve"> Definitions </w:t>
            </w:r>
          </w:p>
        </w:tc>
        <w:tc>
          <w:tcPr>
            <w:tcW w:w="4962" w:type="dxa"/>
          </w:tcPr>
          <w:p w14:paraId="4737F128"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482B6E49" w14:textId="77777777" w:rsidR="002C69A1" w:rsidRPr="00BD7537" w:rsidRDefault="002C69A1" w:rsidP="00170402">
            <w:pPr>
              <w:rPr>
                <w:rFonts w:ascii="Times New Roman" w:hAnsi="Times New Roman" w:cs="Times New Roman"/>
              </w:rPr>
            </w:pPr>
            <w:r>
              <w:rPr>
                <w:rFonts w:ascii="Times New Roman" w:hAnsi="Times New Roman" w:cs="Times New Roman"/>
              </w:rPr>
              <w:t>39</w:t>
            </w:r>
          </w:p>
        </w:tc>
      </w:tr>
      <w:tr w:rsidR="002C69A1" w:rsidRPr="00BD7537" w14:paraId="3915ABD2" w14:textId="77777777" w:rsidTr="00170402">
        <w:tc>
          <w:tcPr>
            <w:tcW w:w="4678" w:type="dxa"/>
          </w:tcPr>
          <w:p w14:paraId="495A8074"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2</w:t>
            </w:r>
            <w:r w:rsidRPr="00BD7537">
              <w:rPr>
                <w:rFonts w:ascii="Times New Roman" w:hAnsi="Times New Roman" w:cs="Times New Roman"/>
                <w:sz w:val="24"/>
                <w:szCs w:val="24"/>
              </w:rPr>
              <w:t>.</w:t>
            </w:r>
            <w:r>
              <w:rPr>
                <w:rFonts w:ascii="Times New Roman" w:hAnsi="Times New Roman" w:cs="Times New Roman"/>
                <w:sz w:val="24"/>
                <w:szCs w:val="24"/>
              </w:rPr>
              <w:t>1</w:t>
            </w:r>
            <w:r w:rsidRPr="00BD7537">
              <w:rPr>
                <w:rFonts w:ascii="Times New Roman" w:hAnsi="Times New Roman" w:cs="Times New Roman"/>
                <w:sz w:val="24"/>
                <w:szCs w:val="24"/>
              </w:rPr>
              <w:t xml:space="preserve">.1 CSR Definitions </w:t>
            </w:r>
          </w:p>
        </w:tc>
        <w:tc>
          <w:tcPr>
            <w:tcW w:w="4962" w:type="dxa"/>
          </w:tcPr>
          <w:p w14:paraId="2FFEB696"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59AF672A" w14:textId="77777777" w:rsidR="002C69A1" w:rsidRPr="00BD7537" w:rsidRDefault="002C69A1" w:rsidP="00170402">
            <w:pPr>
              <w:rPr>
                <w:rFonts w:ascii="Times New Roman" w:hAnsi="Times New Roman" w:cs="Times New Roman"/>
              </w:rPr>
            </w:pPr>
            <w:r>
              <w:rPr>
                <w:rFonts w:ascii="Times New Roman" w:hAnsi="Times New Roman" w:cs="Times New Roman"/>
              </w:rPr>
              <w:t>39</w:t>
            </w:r>
          </w:p>
        </w:tc>
      </w:tr>
      <w:tr w:rsidR="002C69A1" w:rsidRPr="00BD7537" w14:paraId="640048C9" w14:textId="77777777" w:rsidTr="00170402">
        <w:tc>
          <w:tcPr>
            <w:tcW w:w="4678" w:type="dxa"/>
          </w:tcPr>
          <w:p w14:paraId="0F6D70E8"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2</w:t>
            </w:r>
            <w:r w:rsidRPr="00BD7537">
              <w:rPr>
                <w:rFonts w:ascii="Times New Roman" w:hAnsi="Times New Roman" w:cs="Times New Roman"/>
                <w:sz w:val="24"/>
                <w:szCs w:val="24"/>
              </w:rPr>
              <w:t>.</w:t>
            </w:r>
            <w:r>
              <w:rPr>
                <w:rFonts w:ascii="Times New Roman" w:hAnsi="Times New Roman" w:cs="Times New Roman"/>
                <w:sz w:val="24"/>
                <w:szCs w:val="24"/>
              </w:rPr>
              <w:t>1</w:t>
            </w:r>
            <w:r w:rsidRPr="00BD7537">
              <w:rPr>
                <w:rFonts w:ascii="Times New Roman" w:hAnsi="Times New Roman" w:cs="Times New Roman"/>
                <w:sz w:val="24"/>
                <w:szCs w:val="24"/>
              </w:rPr>
              <w:t xml:space="preserve">.2 Non-CSR Definitions </w:t>
            </w:r>
          </w:p>
        </w:tc>
        <w:tc>
          <w:tcPr>
            <w:tcW w:w="4962" w:type="dxa"/>
          </w:tcPr>
          <w:p w14:paraId="7491310C"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01137F1E" w14:textId="77777777" w:rsidR="002C69A1" w:rsidRPr="00BD7537" w:rsidRDefault="002C69A1" w:rsidP="00170402">
            <w:pPr>
              <w:rPr>
                <w:rFonts w:ascii="Times New Roman" w:hAnsi="Times New Roman" w:cs="Times New Roman"/>
              </w:rPr>
            </w:pPr>
            <w:r>
              <w:rPr>
                <w:rFonts w:ascii="Times New Roman" w:hAnsi="Times New Roman" w:cs="Times New Roman"/>
              </w:rPr>
              <w:t>41</w:t>
            </w:r>
          </w:p>
        </w:tc>
      </w:tr>
      <w:tr w:rsidR="002C69A1" w:rsidRPr="00BD7537" w14:paraId="51815518" w14:textId="77777777" w:rsidTr="00170402">
        <w:tc>
          <w:tcPr>
            <w:tcW w:w="4678" w:type="dxa"/>
          </w:tcPr>
          <w:p w14:paraId="79F52B46"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   2</w:t>
            </w:r>
            <w:r w:rsidRPr="00BD7537">
              <w:rPr>
                <w:rFonts w:ascii="Times New Roman" w:hAnsi="Times New Roman" w:cs="Times New Roman"/>
                <w:sz w:val="24"/>
                <w:szCs w:val="24"/>
              </w:rPr>
              <w:t>.</w:t>
            </w:r>
            <w:r>
              <w:rPr>
                <w:rFonts w:ascii="Times New Roman" w:hAnsi="Times New Roman" w:cs="Times New Roman"/>
                <w:sz w:val="24"/>
                <w:szCs w:val="24"/>
              </w:rPr>
              <w:t>2</w:t>
            </w:r>
            <w:r w:rsidRPr="00BD7537">
              <w:rPr>
                <w:rFonts w:ascii="Times New Roman" w:hAnsi="Times New Roman" w:cs="Times New Roman"/>
                <w:sz w:val="24"/>
                <w:szCs w:val="24"/>
              </w:rPr>
              <w:t xml:space="preserve"> Types of CSR</w:t>
            </w:r>
          </w:p>
        </w:tc>
        <w:tc>
          <w:tcPr>
            <w:tcW w:w="4962" w:type="dxa"/>
          </w:tcPr>
          <w:p w14:paraId="4D8A0315"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42A510C6" w14:textId="77777777" w:rsidR="002C69A1" w:rsidRPr="00BD7537" w:rsidRDefault="002C69A1" w:rsidP="00170402">
            <w:pPr>
              <w:rPr>
                <w:rFonts w:ascii="Times New Roman" w:hAnsi="Times New Roman" w:cs="Times New Roman"/>
              </w:rPr>
            </w:pPr>
            <w:r>
              <w:rPr>
                <w:rFonts w:ascii="Times New Roman" w:hAnsi="Times New Roman" w:cs="Times New Roman"/>
              </w:rPr>
              <w:t>42</w:t>
            </w:r>
          </w:p>
        </w:tc>
      </w:tr>
      <w:tr w:rsidR="002C69A1" w:rsidRPr="00BD7537" w14:paraId="0BE60536" w14:textId="77777777" w:rsidTr="00170402">
        <w:tc>
          <w:tcPr>
            <w:tcW w:w="4678" w:type="dxa"/>
          </w:tcPr>
          <w:p w14:paraId="69AA5966"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   2</w:t>
            </w:r>
            <w:r w:rsidRPr="00BD7537">
              <w:rPr>
                <w:rFonts w:ascii="Times New Roman" w:hAnsi="Times New Roman" w:cs="Times New Roman"/>
                <w:sz w:val="24"/>
                <w:szCs w:val="24"/>
              </w:rPr>
              <w:t>.</w:t>
            </w:r>
            <w:r>
              <w:rPr>
                <w:rFonts w:ascii="Times New Roman" w:hAnsi="Times New Roman" w:cs="Times New Roman"/>
                <w:sz w:val="24"/>
                <w:szCs w:val="24"/>
              </w:rPr>
              <w:t>3</w:t>
            </w:r>
            <w:r w:rsidRPr="00BD7537">
              <w:rPr>
                <w:rFonts w:ascii="Times New Roman" w:hAnsi="Times New Roman" w:cs="Times New Roman"/>
                <w:sz w:val="24"/>
                <w:szCs w:val="24"/>
              </w:rPr>
              <w:t xml:space="preserve"> </w:t>
            </w:r>
            <w:r>
              <w:rPr>
                <w:rFonts w:ascii="Times New Roman" w:hAnsi="Times New Roman" w:cs="Times New Roman"/>
                <w:sz w:val="24"/>
                <w:szCs w:val="24"/>
              </w:rPr>
              <w:t>Impact</w:t>
            </w:r>
            <w:r w:rsidRPr="00BD7537">
              <w:rPr>
                <w:rFonts w:ascii="Times New Roman" w:hAnsi="Times New Roman" w:cs="Times New Roman"/>
                <w:sz w:val="24"/>
                <w:szCs w:val="24"/>
              </w:rPr>
              <w:t xml:space="preserve"> of CSR communication </w:t>
            </w:r>
          </w:p>
        </w:tc>
        <w:tc>
          <w:tcPr>
            <w:tcW w:w="4962" w:type="dxa"/>
          </w:tcPr>
          <w:p w14:paraId="47349C89"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4865FE9F" w14:textId="77777777" w:rsidR="002C69A1" w:rsidRPr="00BD7537" w:rsidRDefault="002C69A1" w:rsidP="00170402">
            <w:pPr>
              <w:rPr>
                <w:rFonts w:ascii="Times New Roman" w:hAnsi="Times New Roman" w:cs="Times New Roman"/>
              </w:rPr>
            </w:pPr>
            <w:r>
              <w:rPr>
                <w:rFonts w:ascii="Times New Roman" w:hAnsi="Times New Roman" w:cs="Times New Roman"/>
              </w:rPr>
              <w:t>44</w:t>
            </w:r>
          </w:p>
        </w:tc>
      </w:tr>
      <w:tr w:rsidR="002C69A1" w:rsidRPr="00BD7537" w14:paraId="21F8D937" w14:textId="77777777" w:rsidTr="00170402">
        <w:tc>
          <w:tcPr>
            <w:tcW w:w="4678" w:type="dxa"/>
          </w:tcPr>
          <w:p w14:paraId="1262AE3B"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   2.4</w:t>
            </w:r>
            <w:r w:rsidRPr="00BD7537">
              <w:rPr>
                <w:rFonts w:ascii="Times New Roman" w:hAnsi="Times New Roman" w:cs="Times New Roman"/>
                <w:sz w:val="24"/>
                <w:szCs w:val="24"/>
              </w:rPr>
              <w:t xml:space="preserve"> CSR and consumer</w:t>
            </w:r>
            <w:r>
              <w:rPr>
                <w:rFonts w:ascii="Times New Roman" w:hAnsi="Times New Roman" w:cs="Times New Roman"/>
                <w:sz w:val="24"/>
                <w:szCs w:val="24"/>
              </w:rPr>
              <w:t xml:space="preserve">s’ brand attitudes </w:t>
            </w:r>
          </w:p>
        </w:tc>
        <w:tc>
          <w:tcPr>
            <w:tcW w:w="4962" w:type="dxa"/>
          </w:tcPr>
          <w:p w14:paraId="6EC2B717"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EF6ED42" w14:textId="77777777" w:rsidR="002C69A1" w:rsidRPr="00BD7537" w:rsidRDefault="002C69A1" w:rsidP="00170402">
            <w:pPr>
              <w:rPr>
                <w:rFonts w:ascii="Times New Roman" w:hAnsi="Times New Roman" w:cs="Times New Roman"/>
              </w:rPr>
            </w:pPr>
            <w:r>
              <w:rPr>
                <w:rFonts w:ascii="Times New Roman" w:hAnsi="Times New Roman" w:cs="Times New Roman"/>
              </w:rPr>
              <w:t>49</w:t>
            </w:r>
          </w:p>
        </w:tc>
      </w:tr>
      <w:tr w:rsidR="002C69A1" w:rsidRPr="00BD7537" w14:paraId="29A4B223" w14:textId="77777777" w:rsidTr="00170402">
        <w:tc>
          <w:tcPr>
            <w:tcW w:w="4678" w:type="dxa"/>
          </w:tcPr>
          <w:p w14:paraId="62B1DD75"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   2</w:t>
            </w:r>
            <w:r w:rsidRPr="00BD7537">
              <w:rPr>
                <w:rFonts w:ascii="Times New Roman" w:hAnsi="Times New Roman" w:cs="Times New Roman"/>
                <w:sz w:val="24"/>
                <w:szCs w:val="24"/>
              </w:rPr>
              <w:t>.</w:t>
            </w:r>
            <w:r>
              <w:rPr>
                <w:rFonts w:ascii="Times New Roman" w:hAnsi="Times New Roman" w:cs="Times New Roman"/>
                <w:sz w:val="24"/>
                <w:szCs w:val="24"/>
              </w:rPr>
              <w:t>5</w:t>
            </w:r>
            <w:r w:rsidRPr="00BD7537">
              <w:rPr>
                <w:rFonts w:ascii="Times New Roman" w:hAnsi="Times New Roman" w:cs="Times New Roman"/>
                <w:sz w:val="24"/>
                <w:szCs w:val="24"/>
              </w:rPr>
              <w:t xml:space="preserve"> CSR in the Middle East </w:t>
            </w:r>
          </w:p>
        </w:tc>
        <w:tc>
          <w:tcPr>
            <w:tcW w:w="4962" w:type="dxa"/>
          </w:tcPr>
          <w:p w14:paraId="5C89C079"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2BA9BC2C" w14:textId="77777777" w:rsidR="002C69A1" w:rsidRPr="00BD7537" w:rsidRDefault="002C69A1" w:rsidP="00170402">
            <w:pPr>
              <w:rPr>
                <w:rFonts w:ascii="Times New Roman" w:hAnsi="Times New Roman" w:cs="Times New Roman"/>
              </w:rPr>
            </w:pPr>
            <w:r>
              <w:rPr>
                <w:rFonts w:ascii="Times New Roman" w:hAnsi="Times New Roman" w:cs="Times New Roman"/>
              </w:rPr>
              <w:t>53</w:t>
            </w:r>
          </w:p>
        </w:tc>
      </w:tr>
      <w:tr w:rsidR="002C69A1" w:rsidRPr="00BD7537" w14:paraId="4A0FEF65" w14:textId="77777777" w:rsidTr="00170402">
        <w:tc>
          <w:tcPr>
            <w:tcW w:w="4678" w:type="dxa"/>
          </w:tcPr>
          <w:p w14:paraId="2E52AD80" w14:textId="77777777" w:rsidR="002C69A1" w:rsidRPr="00BD7537" w:rsidRDefault="002C69A1" w:rsidP="00170402">
            <w:pPr>
              <w:rPr>
                <w:rFonts w:ascii="Times New Roman" w:hAnsi="Times New Roman" w:cs="Times New Roman"/>
                <w:sz w:val="24"/>
                <w:szCs w:val="24"/>
              </w:rPr>
            </w:pPr>
            <w:r w:rsidRPr="008D1498">
              <w:rPr>
                <w:rFonts w:ascii="Times New Roman" w:hAnsi="Times New Roman" w:cs="Times New Roman"/>
                <w:sz w:val="24"/>
                <w:szCs w:val="24"/>
              </w:rPr>
              <w:t xml:space="preserve">   </w:t>
            </w:r>
            <w:r>
              <w:rPr>
                <w:rFonts w:ascii="Times New Roman" w:hAnsi="Times New Roman" w:cs="Times New Roman"/>
                <w:sz w:val="24"/>
                <w:szCs w:val="24"/>
              </w:rPr>
              <w:t>2</w:t>
            </w:r>
            <w:r w:rsidRPr="008D1498">
              <w:rPr>
                <w:rFonts w:ascii="Times New Roman" w:hAnsi="Times New Roman" w:cs="Times New Roman"/>
                <w:sz w:val="24"/>
                <w:szCs w:val="24"/>
              </w:rPr>
              <w:t>.6 CSR Communication</w:t>
            </w:r>
          </w:p>
        </w:tc>
        <w:tc>
          <w:tcPr>
            <w:tcW w:w="4962" w:type="dxa"/>
          </w:tcPr>
          <w:p w14:paraId="34D6D799"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119E917" w14:textId="77777777" w:rsidR="002C69A1" w:rsidRPr="00BD7537" w:rsidRDefault="002C69A1" w:rsidP="00170402">
            <w:pPr>
              <w:rPr>
                <w:rFonts w:ascii="Times New Roman" w:hAnsi="Times New Roman" w:cs="Times New Roman"/>
              </w:rPr>
            </w:pPr>
            <w:r>
              <w:rPr>
                <w:rFonts w:ascii="Times New Roman" w:hAnsi="Times New Roman" w:cs="Times New Roman"/>
              </w:rPr>
              <w:t>55</w:t>
            </w:r>
          </w:p>
        </w:tc>
      </w:tr>
      <w:tr w:rsidR="002C69A1" w:rsidRPr="00BD7537" w14:paraId="518F25A9" w14:textId="77777777" w:rsidTr="00170402">
        <w:tc>
          <w:tcPr>
            <w:tcW w:w="4678" w:type="dxa"/>
          </w:tcPr>
          <w:p w14:paraId="605FDFF0"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 xml:space="preserve">   2.7 Brand Attitudes </w:t>
            </w:r>
          </w:p>
        </w:tc>
        <w:tc>
          <w:tcPr>
            <w:tcW w:w="4962" w:type="dxa"/>
          </w:tcPr>
          <w:p w14:paraId="591EE9C1"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11FA7CB7" w14:textId="77777777" w:rsidR="002C69A1" w:rsidRPr="00BD7537" w:rsidRDefault="002C69A1" w:rsidP="00170402">
            <w:pPr>
              <w:rPr>
                <w:rFonts w:ascii="Times New Roman" w:hAnsi="Times New Roman" w:cs="Times New Roman"/>
              </w:rPr>
            </w:pPr>
            <w:r>
              <w:rPr>
                <w:rFonts w:ascii="Times New Roman" w:hAnsi="Times New Roman" w:cs="Times New Roman"/>
              </w:rPr>
              <w:t>56</w:t>
            </w:r>
          </w:p>
        </w:tc>
      </w:tr>
      <w:tr w:rsidR="002C69A1" w:rsidRPr="00BD7537" w14:paraId="1542F9AC" w14:textId="77777777" w:rsidTr="00170402">
        <w:tc>
          <w:tcPr>
            <w:tcW w:w="4678" w:type="dxa"/>
          </w:tcPr>
          <w:p w14:paraId="7BA4B289"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2</w:t>
            </w:r>
            <w:r w:rsidRPr="00BD7537">
              <w:rPr>
                <w:rFonts w:ascii="Times New Roman" w:hAnsi="Times New Roman" w:cs="Times New Roman"/>
                <w:sz w:val="24"/>
                <w:szCs w:val="24"/>
              </w:rPr>
              <w:t>.7.1 CSR Perception</w:t>
            </w:r>
          </w:p>
        </w:tc>
        <w:tc>
          <w:tcPr>
            <w:tcW w:w="4962" w:type="dxa"/>
          </w:tcPr>
          <w:p w14:paraId="7862326B"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6A352E6D" w14:textId="77777777" w:rsidR="002C69A1" w:rsidRPr="00BD7537" w:rsidRDefault="002C69A1" w:rsidP="00170402">
            <w:pPr>
              <w:rPr>
                <w:rFonts w:ascii="Times New Roman" w:hAnsi="Times New Roman" w:cs="Times New Roman"/>
              </w:rPr>
            </w:pPr>
            <w:r>
              <w:rPr>
                <w:rFonts w:ascii="Times New Roman" w:hAnsi="Times New Roman" w:cs="Times New Roman"/>
              </w:rPr>
              <w:t>57</w:t>
            </w:r>
          </w:p>
        </w:tc>
      </w:tr>
      <w:tr w:rsidR="002C69A1" w:rsidRPr="00BD7537" w14:paraId="49E4D4C4" w14:textId="77777777" w:rsidTr="00170402">
        <w:tc>
          <w:tcPr>
            <w:tcW w:w="4678" w:type="dxa"/>
          </w:tcPr>
          <w:p w14:paraId="4570E871" w14:textId="77777777" w:rsidR="002C69A1" w:rsidRPr="00BD7537" w:rsidRDefault="002C69A1" w:rsidP="00170402">
            <w:pPr>
              <w:rPr>
                <w:rFonts w:ascii="Times New Roman" w:eastAsia="Times New Roman" w:hAnsi="Times New Roman" w:cs="Times New Roman"/>
                <w:lang w:eastAsia="en-GB"/>
              </w:rPr>
            </w:pPr>
            <w:r>
              <w:rPr>
                <w:rFonts w:ascii="Times New Roman" w:hAnsi="Times New Roman" w:cs="Times New Roman"/>
                <w:sz w:val="24"/>
                <w:szCs w:val="24"/>
              </w:rPr>
              <w:t>2</w:t>
            </w:r>
            <w:r w:rsidRPr="00BD7537">
              <w:rPr>
                <w:rFonts w:ascii="Times New Roman" w:hAnsi="Times New Roman" w:cs="Times New Roman"/>
                <w:sz w:val="24"/>
                <w:szCs w:val="24"/>
              </w:rPr>
              <w:t xml:space="preserve">.7.2 CSR </w:t>
            </w:r>
            <w:r>
              <w:rPr>
                <w:rFonts w:ascii="Times New Roman" w:hAnsi="Times New Roman" w:cs="Times New Roman"/>
                <w:sz w:val="24"/>
                <w:szCs w:val="24"/>
              </w:rPr>
              <w:t xml:space="preserve">and </w:t>
            </w:r>
            <w:r w:rsidRPr="00BD7537">
              <w:rPr>
                <w:rFonts w:ascii="Times New Roman" w:hAnsi="Times New Roman" w:cs="Times New Roman"/>
                <w:sz w:val="24"/>
                <w:szCs w:val="24"/>
              </w:rPr>
              <w:t xml:space="preserve">Ad Likeability </w:t>
            </w:r>
          </w:p>
        </w:tc>
        <w:tc>
          <w:tcPr>
            <w:tcW w:w="4962" w:type="dxa"/>
          </w:tcPr>
          <w:p w14:paraId="1792104B"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5987CD89" w14:textId="77777777" w:rsidR="002C69A1" w:rsidRPr="00BD7537" w:rsidRDefault="002C69A1" w:rsidP="00170402">
            <w:pPr>
              <w:rPr>
                <w:rFonts w:ascii="Times New Roman" w:hAnsi="Times New Roman" w:cs="Times New Roman"/>
              </w:rPr>
            </w:pPr>
            <w:r>
              <w:rPr>
                <w:rFonts w:ascii="Times New Roman" w:hAnsi="Times New Roman" w:cs="Times New Roman"/>
              </w:rPr>
              <w:t>58</w:t>
            </w:r>
          </w:p>
        </w:tc>
      </w:tr>
      <w:tr w:rsidR="002C69A1" w:rsidRPr="00BD7537" w14:paraId="449DED47" w14:textId="77777777" w:rsidTr="00170402">
        <w:tc>
          <w:tcPr>
            <w:tcW w:w="4678" w:type="dxa"/>
          </w:tcPr>
          <w:p w14:paraId="6AC32E6E"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2</w:t>
            </w:r>
            <w:r w:rsidRPr="00BD7537">
              <w:rPr>
                <w:rFonts w:ascii="Times New Roman" w:hAnsi="Times New Roman" w:cs="Times New Roman"/>
                <w:sz w:val="24"/>
                <w:szCs w:val="24"/>
              </w:rPr>
              <w:t xml:space="preserve">.7.3 CSR and Brand Likeability </w:t>
            </w:r>
          </w:p>
        </w:tc>
        <w:tc>
          <w:tcPr>
            <w:tcW w:w="4962" w:type="dxa"/>
          </w:tcPr>
          <w:p w14:paraId="5CD919E3"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0FC2F0D6" w14:textId="77777777" w:rsidR="002C69A1" w:rsidRPr="00BD7537" w:rsidRDefault="002C69A1" w:rsidP="00170402">
            <w:pPr>
              <w:rPr>
                <w:rFonts w:ascii="Times New Roman" w:hAnsi="Times New Roman" w:cs="Times New Roman"/>
              </w:rPr>
            </w:pPr>
            <w:r>
              <w:rPr>
                <w:rFonts w:ascii="Times New Roman" w:hAnsi="Times New Roman" w:cs="Times New Roman"/>
              </w:rPr>
              <w:t>60</w:t>
            </w:r>
          </w:p>
        </w:tc>
      </w:tr>
      <w:tr w:rsidR="002C69A1" w:rsidRPr="00BD7537" w14:paraId="775CBC2C" w14:textId="77777777" w:rsidTr="00170402">
        <w:tc>
          <w:tcPr>
            <w:tcW w:w="4678" w:type="dxa"/>
          </w:tcPr>
          <w:p w14:paraId="79A484B9"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2</w:t>
            </w:r>
            <w:r w:rsidRPr="00BD7537">
              <w:rPr>
                <w:rFonts w:ascii="Times New Roman" w:hAnsi="Times New Roman" w:cs="Times New Roman"/>
                <w:sz w:val="24"/>
                <w:szCs w:val="24"/>
              </w:rPr>
              <w:t xml:space="preserve">.7.4 CSR and Brand Trust </w:t>
            </w:r>
          </w:p>
        </w:tc>
        <w:tc>
          <w:tcPr>
            <w:tcW w:w="4962" w:type="dxa"/>
          </w:tcPr>
          <w:p w14:paraId="3784956F"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74659046" w14:textId="77777777" w:rsidR="002C69A1" w:rsidRPr="00BD7537" w:rsidRDefault="002C69A1" w:rsidP="00170402">
            <w:pPr>
              <w:rPr>
                <w:rFonts w:ascii="Times New Roman" w:hAnsi="Times New Roman" w:cs="Times New Roman"/>
              </w:rPr>
            </w:pPr>
            <w:r>
              <w:rPr>
                <w:rFonts w:ascii="Times New Roman" w:hAnsi="Times New Roman" w:cs="Times New Roman"/>
              </w:rPr>
              <w:t>61</w:t>
            </w:r>
          </w:p>
        </w:tc>
      </w:tr>
      <w:tr w:rsidR="002C69A1" w:rsidRPr="00BD7537" w14:paraId="0B8F6348" w14:textId="77777777" w:rsidTr="00170402">
        <w:tc>
          <w:tcPr>
            <w:tcW w:w="4678" w:type="dxa"/>
          </w:tcPr>
          <w:p w14:paraId="3BABCFCF" w14:textId="77777777" w:rsidR="002C69A1" w:rsidRPr="00BD7537" w:rsidRDefault="002C69A1" w:rsidP="00170402">
            <w:pPr>
              <w:rPr>
                <w:rFonts w:ascii="Times New Roman" w:eastAsia="Times New Roman" w:hAnsi="Times New Roman" w:cs="Times New Roman"/>
                <w:sz w:val="24"/>
                <w:szCs w:val="24"/>
                <w:lang w:eastAsia="en-GB"/>
              </w:rPr>
            </w:pPr>
            <w:r>
              <w:rPr>
                <w:rFonts w:ascii="Times New Roman" w:hAnsi="Times New Roman" w:cs="Times New Roman"/>
                <w:sz w:val="24"/>
                <w:szCs w:val="24"/>
              </w:rPr>
              <w:t>2</w:t>
            </w:r>
            <w:r w:rsidRPr="00A31F93">
              <w:rPr>
                <w:rFonts w:ascii="Times New Roman" w:hAnsi="Times New Roman" w:cs="Times New Roman"/>
                <w:sz w:val="24"/>
                <w:szCs w:val="24"/>
              </w:rPr>
              <w:t>.7.5</w:t>
            </w:r>
            <w:r>
              <w:rPr>
                <w:rFonts w:ascii="Times New Roman" w:hAnsi="Times New Roman" w:cs="Times New Roman"/>
                <w:sz w:val="24"/>
                <w:szCs w:val="24"/>
              </w:rPr>
              <w:t xml:space="preserve"> </w:t>
            </w:r>
            <w:r w:rsidRPr="00A31F93">
              <w:rPr>
                <w:rFonts w:ascii="Times New Roman" w:hAnsi="Times New Roman" w:cs="Times New Roman"/>
                <w:sz w:val="24"/>
                <w:szCs w:val="24"/>
              </w:rPr>
              <w:t xml:space="preserve">CSR and Perceived Product functionality </w:t>
            </w:r>
          </w:p>
        </w:tc>
        <w:tc>
          <w:tcPr>
            <w:tcW w:w="4962" w:type="dxa"/>
          </w:tcPr>
          <w:p w14:paraId="494FFA5C"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1C44842D" w14:textId="77777777" w:rsidR="002C69A1" w:rsidRPr="00BD7537" w:rsidRDefault="002C69A1" w:rsidP="00170402">
            <w:pPr>
              <w:rPr>
                <w:rFonts w:ascii="Times New Roman" w:hAnsi="Times New Roman" w:cs="Times New Roman"/>
              </w:rPr>
            </w:pPr>
            <w:r>
              <w:rPr>
                <w:rFonts w:ascii="Times New Roman" w:hAnsi="Times New Roman" w:cs="Times New Roman"/>
              </w:rPr>
              <w:t>62</w:t>
            </w:r>
          </w:p>
        </w:tc>
      </w:tr>
      <w:tr w:rsidR="002C69A1" w:rsidRPr="00BD7537" w14:paraId="4CE1BA6A" w14:textId="77777777" w:rsidTr="00170402">
        <w:tc>
          <w:tcPr>
            <w:tcW w:w="4678" w:type="dxa"/>
          </w:tcPr>
          <w:p w14:paraId="16E065B9" w14:textId="77777777" w:rsidR="002C69A1" w:rsidRPr="00BD7537" w:rsidRDefault="002C69A1" w:rsidP="00170402">
            <w:pPr>
              <w:rPr>
                <w:rFonts w:ascii="Times New Roman" w:hAnsi="Times New Roman" w:cs="Times New Roman"/>
                <w:sz w:val="24"/>
                <w:szCs w:val="24"/>
              </w:rPr>
            </w:pPr>
            <w:r>
              <w:rPr>
                <w:rFonts w:ascii="Times New Roman" w:hAnsi="Times New Roman" w:cs="Times New Roman"/>
                <w:sz w:val="24"/>
                <w:szCs w:val="24"/>
              </w:rPr>
              <w:t>2</w:t>
            </w:r>
            <w:r w:rsidRPr="00A31F93">
              <w:rPr>
                <w:rFonts w:ascii="Times New Roman" w:hAnsi="Times New Roman" w:cs="Times New Roman"/>
                <w:sz w:val="24"/>
                <w:szCs w:val="24"/>
              </w:rPr>
              <w:t>.7.6 CSR and Emotional Brand Attachment</w:t>
            </w:r>
          </w:p>
        </w:tc>
        <w:tc>
          <w:tcPr>
            <w:tcW w:w="4962" w:type="dxa"/>
          </w:tcPr>
          <w:p w14:paraId="39AB3643"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784D69D3" w14:textId="77777777" w:rsidR="002C69A1" w:rsidRPr="00BD7537" w:rsidRDefault="002C69A1" w:rsidP="00170402">
            <w:pPr>
              <w:rPr>
                <w:rFonts w:ascii="Times New Roman" w:hAnsi="Times New Roman" w:cs="Times New Roman"/>
              </w:rPr>
            </w:pPr>
            <w:r>
              <w:rPr>
                <w:rFonts w:ascii="Times New Roman" w:hAnsi="Times New Roman" w:cs="Times New Roman"/>
              </w:rPr>
              <w:t>64</w:t>
            </w:r>
          </w:p>
        </w:tc>
      </w:tr>
      <w:tr w:rsidR="002C69A1" w:rsidRPr="00BD7537" w14:paraId="6B74A133" w14:textId="77777777" w:rsidTr="00170402">
        <w:tc>
          <w:tcPr>
            <w:tcW w:w="4678" w:type="dxa"/>
          </w:tcPr>
          <w:p w14:paraId="0AB94A9B" w14:textId="77777777" w:rsidR="002C69A1" w:rsidRPr="00BD7537" w:rsidRDefault="002C69A1" w:rsidP="00170402">
            <w:pPr>
              <w:rPr>
                <w:rFonts w:ascii="Times New Roman" w:hAnsi="Times New Roman" w:cs="Times New Roman"/>
              </w:rPr>
            </w:pPr>
            <w:r>
              <w:rPr>
                <w:rFonts w:ascii="Times New Roman" w:hAnsi="Times New Roman" w:cs="Times New Roman"/>
                <w:sz w:val="24"/>
                <w:szCs w:val="24"/>
              </w:rPr>
              <w:t>2,</w:t>
            </w:r>
            <w:r w:rsidRPr="00A31F93">
              <w:rPr>
                <w:rFonts w:ascii="Times New Roman" w:hAnsi="Times New Roman" w:cs="Times New Roman"/>
                <w:sz w:val="24"/>
                <w:szCs w:val="24"/>
              </w:rPr>
              <w:t>7.7 CSR and measuring Purchase intention</w:t>
            </w:r>
          </w:p>
        </w:tc>
        <w:tc>
          <w:tcPr>
            <w:tcW w:w="4962" w:type="dxa"/>
          </w:tcPr>
          <w:p w14:paraId="016FC479"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7D11738" w14:textId="77777777" w:rsidR="002C69A1" w:rsidRPr="00BD7537" w:rsidRDefault="002C69A1" w:rsidP="00170402">
            <w:pPr>
              <w:rPr>
                <w:rFonts w:ascii="Times New Roman" w:hAnsi="Times New Roman" w:cs="Times New Roman"/>
              </w:rPr>
            </w:pPr>
            <w:r>
              <w:rPr>
                <w:rFonts w:ascii="Times New Roman" w:hAnsi="Times New Roman" w:cs="Times New Roman"/>
              </w:rPr>
              <w:t>66</w:t>
            </w:r>
          </w:p>
        </w:tc>
      </w:tr>
      <w:tr w:rsidR="002C69A1" w:rsidRPr="00BD7537" w14:paraId="03ECEE3B" w14:textId="77777777" w:rsidTr="00170402">
        <w:tc>
          <w:tcPr>
            <w:tcW w:w="4678" w:type="dxa"/>
          </w:tcPr>
          <w:p w14:paraId="74590F5F" w14:textId="77777777" w:rsidR="002C69A1" w:rsidRPr="00BD7537" w:rsidRDefault="002C69A1" w:rsidP="00170402">
            <w:pPr>
              <w:rPr>
                <w:rFonts w:ascii="Times New Roman" w:hAnsi="Times New Roman" w:cs="Times New Roman"/>
              </w:rPr>
            </w:pPr>
            <w:r w:rsidRPr="00A31F93">
              <w:rPr>
                <w:rFonts w:ascii="Times New Roman" w:hAnsi="Times New Roman" w:cs="Times New Roman"/>
                <w:sz w:val="24"/>
                <w:szCs w:val="24"/>
              </w:rPr>
              <w:t xml:space="preserve">   </w:t>
            </w:r>
            <w:r>
              <w:rPr>
                <w:rFonts w:ascii="Times New Roman" w:hAnsi="Times New Roman" w:cs="Times New Roman"/>
                <w:sz w:val="24"/>
                <w:szCs w:val="24"/>
              </w:rPr>
              <w:t>2</w:t>
            </w:r>
            <w:r w:rsidRPr="00A31F93">
              <w:rPr>
                <w:rFonts w:ascii="Times New Roman" w:hAnsi="Times New Roman" w:cs="Times New Roman"/>
                <w:sz w:val="24"/>
                <w:szCs w:val="24"/>
              </w:rPr>
              <w:t>.8 CSR communication strategies</w:t>
            </w:r>
            <w:r w:rsidRPr="00A31F93">
              <w:rPr>
                <w:rFonts w:asciiTheme="majorBidi" w:hAnsiTheme="majorBidi" w:cstheme="majorBidi"/>
                <w:sz w:val="24"/>
                <w:szCs w:val="24"/>
              </w:rPr>
              <w:t xml:space="preserve"> </w:t>
            </w:r>
          </w:p>
        </w:tc>
        <w:tc>
          <w:tcPr>
            <w:tcW w:w="4962" w:type="dxa"/>
          </w:tcPr>
          <w:p w14:paraId="17AF9471"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45DE804D" w14:textId="77777777" w:rsidR="002C69A1" w:rsidRPr="00BD7537" w:rsidRDefault="002C69A1" w:rsidP="00170402">
            <w:pPr>
              <w:rPr>
                <w:rFonts w:ascii="Times New Roman" w:hAnsi="Times New Roman" w:cs="Times New Roman"/>
              </w:rPr>
            </w:pPr>
            <w:r>
              <w:rPr>
                <w:rFonts w:ascii="Times New Roman" w:hAnsi="Times New Roman" w:cs="Times New Roman"/>
              </w:rPr>
              <w:t>70</w:t>
            </w:r>
          </w:p>
        </w:tc>
      </w:tr>
      <w:tr w:rsidR="002C69A1" w:rsidRPr="00BD7537" w14:paraId="1FB7EBCE" w14:textId="77777777" w:rsidTr="00170402">
        <w:tc>
          <w:tcPr>
            <w:tcW w:w="4678" w:type="dxa"/>
          </w:tcPr>
          <w:p w14:paraId="337C0242" w14:textId="77777777" w:rsidR="002C69A1" w:rsidRPr="00BD7537" w:rsidRDefault="002C69A1" w:rsidP="00170402">
            <w:pPr>
              <w:rPr>
                <w:rFonts w:ascii="Times New Roman" w:hAnsi="Times New Roman" w:cs="Times New Roman"/>
                <w:sz w:val="24"/>
                <w:szCs w:val="24"/>
              </w:rPr>
            </w:pPr>
            <w:r>
              <w:rPr>
                <w:rFonts w:asciiTheme="majorBidi" w:hAnsiTheme="majorBidi" w:cstheme="majorBidi"/>
                <w:sz w:val="24"/>
                <w:szCs w:val="24"/>
              </w:rPr>
              <w:t>2</w:t>
            </w:r>
            <w:r w:rsidRPr="00A31F93">
              <w:rPr>
                <w:rFonts w:asciiTheme="majorBidi" w:hAnsiTheme="majorBidi" w:cstheme="majorBidi"/>
                <w:sz w:val="24"/>
                <w:szCs w:val="24"/>
              </w:rPr>
              <w:t>.8.1 The nature of the company and its brands</w:t>
            </w:r>
          </w:p>
        </w:tc>
        <w:tc>
          <w:tcPr>
            <w:tcW w:w="4962" w:type="dxa"/>
          </w:tcPr>
          <w:p w14:paraId="376F79FD"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4AA7BAD9" w14:textId="77777777" w:rsidR="002C69A1" w:rsidRPr="00BD7537" w:rsidRDefault="002C69A1" w:rsidP="00170402">
            <w:pPr>
              <w:rPr>
                <w:rFonts w:ascii="Times New Roman" w:hAnsi="Times New Roman" w:cs="Times New Roman"/>
              </w:rPr>
            </w:pPr>
            <w:r>
              <w:rPr>
                <w:rFonts w:ascii="Times New Roman" w:hAnsi="Times New Roman" w:cs="Times New Roman"/>
              </w:rPr>
              <w:t>72</w:t>
            </w:r>
          </w:p>
        </w:tc>
      </w:tr>
      <w:tr w:rsidR="002C69A1" w:rsidRPr="00BD7537" w14:paraId="63FE5035" w14:textId="77777777" w:rsidTr="00170402">
        <w:tc>
          <w:tcPr>
            <w:tcW w:w="4678" w:type="dxa"/>
          </w:tcPr>
          <w:p w14:paraId="6DDDF08F" w14:textId="77777777" w:rsidR="002C69A1" w:rsidRPr="00BD7537" w:rsidRDefault="002C69A1" w:rsidP="00170402">
            <w:pPr>
              <w:rPr>
                <w:rFonts w:ascii="Times New Roman" w:hAnsi="Times New Roman" w:cs="Times New Roman"/>
                <w:sz w:val="24"/>
                <w:szCs w:val="24"/>
              </w:rPr>
            </w:pPr>
            <w:r>
              <w:rPr>
                <w:rFonts w:asciiTheme="majorBidi" w:hAnsiTheme="majorBidi" w:cstheme="majorBidi"/>
                <w:sz w:val="24"/>
                <w:szCs w:val="24"/>
              </w:rPr>
              <w:t>2</w:t>
            </w:r>
            <w:r w:rsidRPr="00A31F93">
              <w:rPr>
                <w:rFonts w:asciiTheme="majorBidi" w:hAnsiTheme="majorBidi" w:cstheme="majorBidi"/>
                <w:sz w:val="24"/>
                <w:szCs w:val="24"/>
              </w:rPr>
              <w:t>.8.2 CSR-Company fit</w:t>
            </w:r>
            <w:r w:rsidRPr="00A31F93">
              <w:rPr>
                <w:rFonts w:asciiTheme="majorBidi" w:hAnsiTheme="majorBidi" w:cstheme="majorBidi"/>
                <w:b/>
                <w:bCs/>
                <w:sz w:val="24"/>
                <w:szCs w:val="24"/>
              </w:rPr>
              <w:t xml:space="preserve"> </w:t>
            </w:r>
          </w:p>
        </w:tc>
        <w:tc>
          <w:tcPr>
            <w:tcW w:w="4962" w:type="dxa"/>
          </w:tcPr>
          <w:p w14:paraId="76629D06"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402EF1C8" w14:textId="77777777" w:rsidR="002C69A1" w:rsidRPr="00BD7537" w:rsidRDefault="002C69A1" w:rsidP="00170402">
            <w:pPr>
              <w:rPr>
                <w:rFonts w:ascii="Times New Roman" w:hAnsi="Times New Roman" w:cs="Times New Roman"/>
              </w:rPr>
            </w:pPr>
            <w:r>
              <w:rPr>
                <w:rFonts w:ascii="Times New Roman" w:hAnsi="Times New Roman" w:cs="Times New Roman"/>
              </w:rPr>
              <w:t>73</w:t>
            </w:r>
          </w:p>
        </w:tc>
      </w:tr>
      <w:tr w:rsidR="002C69A1" w:rsidRPr="00BD7537" w14:paraId="6AA0BF1B" w14:textId="77777777" w:rsidTr="00170402">
        <w:tc>
          <w:tcPr>
            <w:tcW w:w="4678" w:type="dxa"/>
          </w:tcPr>
          <w:p w14:paraId="2E57F731" w14:textId="77777777" w:rsidR="002C69A1" w:rsidRPr="00BD7537" w:rsidRDefault="002C69A1" w:rsidP="00170402">
            <w:pPr>
              <w:rPr>
                <w:rFonts w:ascii="Times New Roman" w:hAnsi="Times New Roman" w:cs="Times New Roman"/>
                <w:sz w:val="24"/>
                <w:szCs w:val="24"/>
              </w:rPr>
            </w:pPr>
            <w:r>
              <w:rPr>
                <w:rFonts w:asciiTheme="majorBidi" w:hAnsiTheme="majorBidi" w:cstheme="majorBidi"/>
                <w:sz w:val="24"/>
                <w:szCs w:val="24"/>
              </w:rPr>
              <w:t>2</w:t>
            </w:r>
            <w:r w:rsidRPr="00A31F93">
              <w:rPr>
                <w:rFonts w:asciiTheme="majorBidi" w:hAnsiTheme="majorBidi" w:cstheme="majorBidi"/>
                <w:sz w:val="24"/>
                <w:szCs w:val="24"/>
              </w:rPr>
              <w:t xml:space="preserve">.8.3 The Communication: The What and The How </w:t>
            </w:r>
          </w:p>
        </w:tc>
        <w:tc>
          <w:tcPr>
            <w:tcW w:w="4962" w:type="dxa"/>
          </w:tcPr>
          <w:p w14:paraId="7FB2E8E4"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0D9D67B8" w14:textId="77777777" w:rsidR="002C69A1" w:rsidRPr="00BD7537" w:rsidRDefault="002C69A1" w:rsidP="00170402">
            <w:pPr>
              <w:rPr>
                <w:rFonts w:ascii="Times New Roman" w:hAnsi="Times New Roman" w:cs="Times New Roman"/>
              </w:rPr>
            </w:pPr>
            <w:r>
              <w:rPr>
                <w:rFonts w:ascii="Times New Roman" w:hAnsi="Times New Roman" w:cs="Times New Roman"/>
              </w:rPr>
              <w:t>75</w:t>
            </w:r>
          </w:p>
        </w:tc>
      </w:tr>
      <w:tr w:rsidR="002C69A1" w:rsidRPr="00BD7537" w14:paraId="1BB7DC8A" w14:textId="77777777" w:rsidTr="00170402">
        <w:tc>
          <w:tcPr>
            <w:tcW w:w="4678" w:type="dxa"/>
          </w:tcPr>
          <w:p w14:paraId="33D050AA" w14:textId="77777777" w:rsidR="002C69A1" w:rsidRPr="00BD7537" w:rsidRDefault="002C69A1" w:rsidP="00170402">
            <w:pPr>
              <w:jc w:val="lowKashida"/>
              <w:rPr>
                <w:rFonts w:ascii="Times New Roman" w:hAnsi="Times New Roman" w:cs="Times New Roman"/>
                <w:sz w:val="24"/>
                <w:szCs w:val="24"/>
              </w:rPr>
            </w:pPr>
            <w:r w:rsidRPr="00A31F93">
              <w:rPr>
                <w:rFonts w:asciiTheme="majorBidi" w:hAnsiTheme="majorBidi" w:cstheme="majorBidi"/>
                <w:sz w:val="24"/>
                <w:szCs w:val="24"/>
              </w:rPr>
              <w:t xml:space="preserve">    </w:t>
            </w:r>
            <w:r>
              <w:rPr>
                <w:rFonts w:asciiTheme="majorBidi" w:hAnsiTheme="majorBidi" w:cstheme="majorBidi"/>
                <w:sz w:val="24"/>
                <w:szCs w:val="24"/>
              </w:rPr>
              <w:t>2</w:t>
            </w:r>
            <w:r w:rsidRPr="00A31F93">
              <w:rPr>
                <w:rFonts w:asciiTheme="majorBidi" w:hAnsiTheme="majorBidi" w:cstheme="majorBidi"/>
                <w:sz w:val="24"/>
                <w:szCs w:val="24"/>
              </w:rPr>
              <w:t xml:space="preserve">.9 Media Vehicle </w:t>
            </w:r>
          </w:p>
        </w:tc>
        <w:tc>
          <w:tcPr>
            <w:tcW w:w="4962" w:type="dxa"/>
          </w:tcPr>
          <w:p w14:paraId="59B36C23"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53486783" w14:textId="77777777" w:rsidR="002C69A1" w:rsidRPr="00BD7537" w:rsidRDefault="002C69A1" w:rsidP="00170402">
            <w:pPr>
              <w:rPr>
                <w:rFonts w:ascii="Times New Roman" w:hAnsi="Times New Roman" w:cs="Times New Roman"/>
              </w:rPr>
            </w:pPr>
            <w:r>
              <w:rPr>
                <w:rFonts w:ascii="Times New Roman" w:hAnsi="Times New Roman" w:cs="Times New Roman"/>
              </w:rPr>
              <w:t>78</w:t>
            </w:r>
          </w:p>
        </w:tc>
      </w:tr>
      <w:tr w:rsidR="002C69A1" w:rsidRPr="00BD7537" w14:paraId="290183AB" w14:textId="77777777" w:rsidTr="00170402">
        <w:tc>
          <w:tcPr>
            <w:tcW w:w="4678" w:type="dxa"/>
          </w:tcPr>
          <w:p w14:paraId="77946CB3" w14:textId="77777777" w:rsidR="002C69A1" w:rsidRPr="00BD7537" w:rsidRDefault="002C69A1" w:rsidP="00170402">
            <w:pPr>
              <w:jc w:val="lowKashida"/>
              <w:rPr>
                <w:rFonts w:ascii="Times New Roman" w:hAnsi="Times New Roman" w:cs="Times New Roman"/>
                <w:sz w:val="24"/>
                <w:szCs w:val="24"/>
              </w:rPr>
            </w:pPr>
            <w:r w:rsidRPr="00A31F93">
              <w:rPr>
                <w:rFonts w:asciiTheme="majorBidi" w:hAnsiTheme="majorBidi" w:cstheme="majorBidi"/>
                <w:sz w:val="24"/>
                <w:szCs w:val="24"/>
              </w:rPr>
              <w:t xml:space="preserve">    </w:t>
            </w:r>
            <w:r>
              <w:rPr>
                <w:rFonts w:asciiTheme="majorBidi" w:hAnsiTheme="majorBidi" w:cstheme="majorBidi"/>
                <w:sz w:val="24"/>
                <w:szCs w:val="24"/>
              </w:rPr>
              <w:t>2</w:t>
            </w:r>
            <w:r w:rsidRPr="00A31F93">
              <w:rPr>
                <w:rFonts w:asciiTheme="majorBidi" w:hAnsiTheme="majorBidi" w:cstheme="majorBidi"/>
                <w:sz w:val="24"/>
                <w:szCs w:val="24"/>
              </w:rPr>
              <w:t>.10 CSR in the FMCG sector</w:t>
            </w:r>
          </w:p>
        </w:tc>
        <w:tc>
          <w:tcPr>
            <w:tcW w:w="4962" w:type="dxa"/>
          </w:tcPr>
          <w:p w14:paraId="141B15AD"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6E1B510E" w14:textId="77777777" w:rsidR="002C69A1" w:rsidRPr="00BD7537" w:rsidRDefault="002C69A1" w:rsidP="00170402">
            <w:pPr>
              <w:rPr>
                <w:rFonts w:ascii="Times New Roman" w:hAnsi="Times New Roman" w:cs="Times New Roman"/>
              </w:rPr>
            </w:pPr>
            <w:r>
              <w:rPr>
                <w:rFonts w:ascii="Times New Roman" w:hAnsi="Times New Roman" w:cs="Times New Roman"/>
              </w:rPr>
              <w:t>81</w:t>
            </w:r>
          </w:p>
        </w:tc>
      </w:tr>
      <w:tr w:rsidR="002C69A1" w:rsidRPr="00BD7537" w14:paraId="2DDD4533" w14:textId="77777777" w:rsidTr="00170402">
        <w:tc>
          <w:tcPr>
            <w:tcW w:w="4678" w:type="dxa"/>
          </w:tcPr>
          <w:p w14:paraId="3A24FB15" w14:textId="77777777" w:rsidR="002C69A1" w:rsidRPr="00BD7537" w:rsidRDefault="002C69A1" w:rsidP="00170402">
            <w:pPr>
              <w:adjustRightInd w:val="0"/>
              <w:jc w:val="lowKashida"/>
              <w:rPr>
                <w:rFonts w:ascii="Times New Roman" w:hAnsi="Times New Roman" w:cs="Times New Roman"/>
                <w:sz w:val="24"/>
                <w:szCs w:val="24"/>
              </w:rPr>
            </w:pPr>
            <w:r w:rsidRPr="00A31F93">
              <w:rPr>
                <w:rFonts w:asciiTheme="majorBidi" w:hAnsiTheme="majorBidi" w:cstheme="majorBidi"/>
                <w:sz w:val="24"/>
                <w:szCs w:val="24"/>
              </w:rPr>
              <w:t xml:space="preserve">    </w:t>
            </w:r>
            <w:r>
              <w:rPr>
                <w:rFonts w:asciiTheme="majorBidi" w:hAnsiTheme="majorBidi" w:cstheme="majorBidi"/>
                <w:sz w:val="24"/>
                <w:szCs w:val="24"/>
              </w:rPr>
              <w:t>2</w:t>
            </w:r>
            <w:r w:rsidRPr="00A31F93">
              <w:rPr>
                <w:rFonts w:asciiTheme="majorBidi" w:hAnsiTheme="majorBidi" w:cstheme="majorBidi"/>
                <w:sz w:val="24"/>
                <w:szCs w:val="24"/>
              </w:rPr>
              <w:t xml:space="preserve">.11 Chapter Summary </w:t>
            </w:r>
          </w:p>
        </w:tc>
        <w:tc>
          <w:tcPr>
            <w:tcW w:w="4962" w:type="dxa"/>
          </w:tcPr>
          <w:p w14:paraId="37C124CE"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07ADB3F4" w14:textId="77777777" w:rsidR="002C69A1" w:rsidRPr="00BD7537" w:rsidRDefault="002C69A1" w:rsidP="00170402">
            <w:pPr>
              <w:rPr>
                <w:rFonts w:ascii="Times New Roman" w:hAnsi="Times New Roman" w:cs="Times New Roman"/>
              </w:rPr>
            </w:pPr>
            <w:r>
              <w:rPr>
                <w:rFonts w:ascii="Times New Roman" w:hAnsi="Times New Roman" w:cs="Times New Roman"/>
              </w:rPr>
              <w:t>83</w:t>
            </w:r>
          </w:p>
        </w:tc>
      </w:tr>
      <w:tr w:rsidR="002C69A1" w:rsidRPr="00BD7537" w14:paraId="52553E0A" w14:textId="77777777" w:rsidTr="00170402">
        <w:tc>
          <w:tcPr>
            <w:tcW w:w="4678" w:type="dxa"/>
          </w:tcPr>
          <w:p w14:paraId="1CB479CA" w14:textId="77777777" w:rsidR="002C69A1" w:rsidRPr="00BD7537" w:rsidRDefault="002C69A1" w:rsidP="00170402">
            <w:pPr>
              <w:adjustRightInd w:val="0"/>
              <w:jc w:val="lowKashida"/>
              <w:rPr>
                <w:rFonts w:ascii="Times New Roman" w:hAnsi="Times New Roman" w:cs="Times New Roman"/>
                <w:sz w:val="24"/>
                <w:szCs w:val="24"/>
              </w:rPr>
            </w:pPr>
            <w:r w:rsidRPr="00BD7537">
              <w:rPr>
                <w:rFonts w:ascii="Times New Roman" w:hAnsi="Times New Roman" w:cs="Times New Roman"/>
                <w:sz w:val="24"/>
                <w:szCs w:val="24"/>
              </w:rPr>
              <w:t xml:space="preserve">Chapter </w:t>
            </w:r>
            <w:r>
              <w:rPr>
                <w:rFonts w:ascii="Times New Roman" w:hAnsi="Times New Roman" w:cs="Times New Roman"/>
                <w:sz w:val="24"/>
                <w:szCs w:val="24"/>
              </w:rPr>
              <w:t xml:space="preserve">3 </w:t>
            </w:r>
            <w:r w:rsidRPr="00BD7537">
              <w:rPr>
                <w:rFonts w:ascii="Times New Roman" w:hAnsi="Times New Roman" w:cs="Times New Roman"/>
                <w:sz w:val="24"/>
                <w:szCs w:val="24"/>
              </w:rPr>
              <w:t>- Systematic Literature Review</w:t>
            </w:r>
          </w:p>
        </w:tc>
        <w:tc>
          <w:tcPr>
            <w:tcW w:w="4962" w:type="dxa"/>
          </w:tcPr>
          <w:p w14:paraId="52B10011"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6B5C632A" w14:textId="77777777" w:rsidR="002C69A1" w:rsidRPr="00BD7537" w:rsidRDefault="002C69A1" w:rsidP="00170402">
            <w:pPr>
              <w:rPr>
                <w:rFonts w:ascii="Times New Roman" w:hAnsi="Times New Roman" w:cs="Times New Roman"/>
              </w:rPr>
            </w:pPr>
            <w:r>
              <w:rPr>
                <w:rFonts w:ascii="Times New Roman" w:hAnsi="Times New Roman" w:cs="Times New Roman"/>
              </w:rPr>
              <w:t>84</w:t>
            </w:r>
          </w:p>
        </w:tc>
      </w:tr>
      <w:tr w:rsidR="002C69A1" w:rsidRPr="00BD7537" w14:paraId="385B6844" w14:textId="77777777" w:rsidTr="00170402">
        <w:tc>
          <w:tcPr>
            <w:tcW w:w="4678" w:type="dxa"/>
          </w:tcPr>
          <w:p w14:paraId="2B39E22C" w14:textId="77777777" w:rsidR="002C69A1" w:rsidRPr="007A4CB2" w:rsidRDefault="002C69A1" w:rsidP="00170402">
            <w:pPr>
              <w:adjustRightInd w:val="0"/>
              <w:jc w:val="lowKashida"/>
              <w:rPr>
                <w:rFonts w:ascii="Times New Roman" w:hAnsi="Times New Roman" w:cs="Times New Roman"/>
                <w:sz w:val="24"/>
                <w:szCs w:val="24"/>
                <w:highlight w:val="yellow"/>
              </w:rPr>
            </w:pPr>
            <w:r>
              <w:rPr>
                <w:rFonts w:ascii="Times New Roman" w:hAnsi="Times New Roman" w:cs="Times New Roman"/>
                <w:sz w:val="24"/>
                <w:szCs w:val="24"/>
              </w:rPr>
              <w:t xml:space="preserve">      3</w:t>
            </w:r>
            <w:r w:rsidRPr="00BD7537">
              <w:rPr>
                <w:rFonts w:ascii="Times New Roman" w:hAnsi="Times New Roman" w:cs="Times New Roman"/>
                <w:sz w:val="24"/>
                <w:szCs w:val="24"/>
              </w:rPr>
              <w:t>.</w:t>
            </w:r>
            <w:r>
              <w:rPr>
                <w:rFonts w:ascii="Times New Roman" w:hAnsi="Times New Roman" w:cs="Times New Roman"/>
                <w:sz w:val="24"/>
                <w:szCs w:val="24"/>
              </w:rPr>
              <w:t>0</w:t>
            </w:r>
            <w:r w:rsidRPr="00BD7537">
              <w:rPr>
                <w:rFonts w:ascii="Times New Roman" w:hAnsi="Times New Roman" w:cs="Times New Roman"/>
                <w:sz w:val="24"/>
                <w:szCs w:val="24"/>
              </w:rPr>
              <w:t xml:space="preserve"> Introduction </w:t>
            </w:r>
          </w:p>
        </w:tc>
        <w:tc>
          <w:tcPr>
            <w:tcW w:w="4962" w:type="dxa"/>
          </w:tcPr>
          <w:p w14:paraId="66A671F9"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1A6F3BF2" w14:textId="77777777" w:rsidR="002C69A1" w:rsidRPr="00BD7537" w:rsidRDefault="002C69A1" w:rsidP="00170402">
            <w:pPr>
              <w:rPr>
                <w:rFonts w:ascii="Times New Roman" w:hAnsi="Times New Roman" w:cs="Times New Roman"/>
              </w:rPr>
            </w:pPr>
            <w:r>
              <w:rPr>
                <w:rFonts w:ascii="Times New Roman" w:hAnsi="Times New Roman" w:cs="Times New Roman"/>
              </w:rPr>
              <w:t>84</w:t>
            </w:r>
          </w:p>
        </w:tc>
      </w:tr>
      <w:tr w:rsidR="002C69A1" w:rsidRPr="00BD7537" w14:paraId="6D5A2A90" w14:textId="77777777" w:rsidTr="00170402">
        <w:tc>
          <w:tcPr>
            <w:tcW w:w="4678" w:type="dxa"/>
          </w:tcPr>
          <w:p w14:paraId="25BBB8C5" w14:textId="77777777" w:rsidR="002C69A1" w:rsidRPr="008D1498" w:rsidRDefault="002C69A1" w:rsidP="00170402">
            <w:pPr>
              <w:adjustRightInd w:val="0"/>
              <w:jc w:val="lowKashida"/>
              <w:rPr>
                <w:rFonts w:ascii="Times New Roman" w:hAnsi="Times New Roman" w:cs="Times New Roman"/>
                <w:sz w:val="24"/>
                <w:szCs w:val="24"/>
              </w:rPr>
            </w:pPr>
            <w:r>
              <w:rPr>
                <w:rFonts w:ascii="Times New Roman" w:hAnsi="Times New Roman" w:cs="Times New Roman"/>
                <w:sz w:val="24"/>
                <w:szCs w:val="24"/>
              </w:rPr>
              <w:t xml:space="preserve">      3</w:t>
            </w:r>
            <w:r w:rsidRPr="00BD7537">
              <w:rPr>
                <w:rFonts w:ascii="Times New Roman" w:hAnsi="Times New Roman" w:cs="Times New Roman"/>
                <w:sz w:val="24"/>
                <w:szCs w:val="24"/>
              </w:rPr>
              <w:t>.</w:t>
            </w:r>
            <w:r>
              <w:rPr>
                <w:rFonts w:ascii="Times New Roman" w:hAnsi="Times New Roman" w:cs="Times New Roman"/>
                <w:sz w:val="24"/>
                <w:szCs w:val="24"/>
              </w:rPr>
              <w:t>1</w:t>
            </w:r>
            <w:r w:rsidRPr="00BD7537">
              <w:rPr>
                <w:rFonts w:ascii="Times New Roman" w:hAnsi="Times New Roman" w:cs="Times New Roman"/>
                <w:sz w:val="24"/>
                <w:szCs w:val="24"/>
              </w:rPr>
              <w:t xml:space="preserve"> Method</w:t>
            </w:r>
          </w:p>
        </w:tc>
        <w:tc>
          <w:tcPr>
            <w:tcW w:w="4962" w:type="dxa"/>
          </w:tcPr>
          <w:p w14:paraId="2DAC1CA8"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ED4309F" w14:textId="77777777" w:rsidR="002C69A1" w:rsidRPr="00BD7537" w:rsidRDefault="002C69A1" w:rsidP="00170402">
            <w:pPr>
              <w:rPr>
                <w:rFonts w:ascii="Times New Roman" w:hAnsi="Times New Roman" w:cs="Times New Roman"/>
              </w:rPr>
            </w:pPr>
            <w:r>
              <w:rPr>
                <w:rFonts w:ascii="Times New Roman" w:hAnsi="Times New Roman" w:cs="Times New Roman"/>
              </w:rPr>
              <w:t>84</w:t>
            </w:r>
          </w:p>
        </w:tc>
      </w:tr>
      <w:tr w:rsidR="002C69A1" w:rsidRPr="00BD7537" w14:paraId="02076428" w14:textId="77777777" w:rsidTr="00170402">
        <w:tc>
          <w:tcPr>
            <w:tcW w:w="4678" w:type="dxa"/>
          </w:tcPr>
          <w:p w14:paraId="371FB83F" w14:textId="77777777" w:rsidR="002C69A1" w:rsidRPr="00BD7537" w:rsidRDefault="002C69A1" w:rsidP="00170402">
            <w:pPr>
              <w:adjustRightInd w:val="0"/>
              <w:jc w:val="lowKashida"/>
              <w:rPr>
                <w:rFonts w:ascii="Times New Roman" w:hAnsi="Times New Roman" w:cs="Times New Roman"/>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1</w:t>
            </w:r>
            <w:r w:rsidRPr="00BD7537">
              <w:rPr>
                <w:rFonts w:ascii="Times New Roman" w:hAnsi="Times New Roman" w:cs="Times New Roman"/>
                <w:sz w:val="24"/>
                <w:szCs w:val="24"/>
              </w:rPr>
              <w:t xml:space="preserve">.1 Literature Search </w:t>
            </w:r>
          </w:p>
        </w:tc>
        <w:tc>
          <w:tcPr>
            <w:tcW w:w="4962" w:type="dxa"/>
          </w:tcPr>
          <w:p w14:paraId="56EC0BF2"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893328F" w14:textId="77777777" w:rsidR="002C69A1" w:rsidRPr="00BD7537" w:rsidRDefault="002C69A1" w:rsidP="00170402">
            <w:pPr>
              <w:rPr>
                <w:rFonts w:ascii="Times New Roman" w:hAnsi="Times New Roman" w:cs="Times New Roman"/>
              </w:rPr>
            </w:pPr>
            <w:r>
              <w:rPr>
                <w:rFonts w:ascii="Times New Roman" w:hAnsi="Times New Roman" w:cs="Times New Roman"/>
              </w:rPr>
              <w:t>84</w:t>
            </w:r>
          </w:p>
        </w:tc>
      </w:tr>
      <w:tr w:rsidR="002C69A1" w:rsidRPr="00BD7537" w14:paraId="2289D5C1" w14:textId="77777777" w:rsidTr="00170402">
        <w:tc>
          <w:tcPr>
            <w:tcW w:w="4678" w:type="dxa"/>
          </w:tcPr>
          <w:p w14:paraId="7099FB97" w14:textId="77777777" w:rsidR="002C69A1" w:rsidRPr="00BD7537" w:rsidRDefault="002C69A1" w:rsidP="00170402">
            <w:pPr>
              <w:adjustRightInd w:val="0"/>
              <w:jc w:val="lowKashida"/>
              <w:rPr>
                <w:rFonts w:ascii="Times New Roman" w:hAnsi="Times New Roman" w:cs="Times New Roman"/>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1</w:t>
            </w:r>
            <w:r w:rsidRPr="00BD7537">
              <w:rPr>
                <w:rFonts w:ascii="Times New Roman" w:hAnsi="Times New Roman" w:cs="Times New Roman"/>
                <w:sz w:val="24"/>
                <w:szCs w:val="24"/>
              </w:rPr>
              <w:t xml:space="preserve">.2 Exclusion and Inclusion Criteria  </w:t>
            </w:r>
          </w:p>
        </w:tc>
        <w:tc>
          <w:tcPr>
            <w:tcW w:w="4962" w:type="dxa"/>
          </w:tcPr>
          <w:p w14:paraId="5E55BE60"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1A7556A6" w14:textId="77777777" w:rsidR="002C69A1" w:rsidRPr="00BD7537" w:rsidRDefault="002C69A1" w:rsidP="00170402">
            <w:pPr>
              <w:rPr>
                <w:rFonts w:ascii="Times New Roman" w:hAnsi="Times New Roman" w:cs="Times New Roman"/>
              </w:rPr>
            </w:pPr>
            <w:r>
              <w:rPr>
                <w:rFonts w:ascii="Times New Roman" w:hAnsi="Times New Roman" w:cs="Times New Roman"/>
              </w:rPr>
              <w:t>86</w:t>
            </w:r>
          </w:p>
        </w:tc>
      </w:tr>
      <w:tr w:rsidR="002C69A1" w:rsidRPr="00BD7537" w14:paraId="028CA19D" w14:textId="77777777" w:rsidTr="00170402">
        <w:tc>
          <w:tcPr>
            <w:tcW w:w="4678" w:type="dxa"/>
          </w:tcPr>
          <w:p w14:paraId="1CDA107A" w14:textId="77777777" w:rsidR="002C69A1" w:rsidRPr="00BD7537" w:rsidRDefault="002C69A1" w:rsidP="00170402">
            <w:pPr>
              <w:adjustRightInd w:val="0"/>
              <w:jc w:val="lowKashida"/>
              <w:rPr>
                <w:rFonts w:ascii="Times New Roman" w:hAnsi="Times New Roman" w:cs="Times New Roman"/>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1</w:t>
            </w:r>
            <w:r w:rsidRPr="00BD7537">
              <w:rPr>
                <w:rFonts w:ascii="Times New Roman" w:hAnsi="Times New Roman" w:cs="Times New Roman"/>
                <w:sz w:val="24"/>
                <w:szCs w:val="24"/>
              </w:rPr>
              <w:t xml:space="preserve">.3 Selection of Relevant Studies   </w:t>
            </w:r>
          </w:p>
        </w:tc>
        <w:tc>
          <w:tcPr>
            <w:tcW w:w="4962" w:type="dxa"/>
          </w:tcPr>
          <w:p w14:paraId="74B6D71B"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25672F41" w14:textId="77777777" w:rsidR="002C69A1" w:rsidRPr="00BD7537" w:rsidRDefault="002C69A1" w:rsidP="00170402">
            <w:pPr>
              <w:rPr>
                <w:rFonts w:ascii="Times New Roman" w:hAnsi="Times New Roman" w:cs="Times New Roman"/>
              </w:rPr>
            </w:pPr>
            <w:r>
              <w:rPr>
                <w:rFonts w:ascii="Times New Roman" w:hAnsi="Times New Roman" w:cs="Times New Roman"/>
              </w:rPr>
              <w:t>86</w:t>
            </w:r>
          </w:p>
        </w:tc>
      </w:tr>
      <w:tr w:rsidR="002C69A1" w:rsidRPr="00BD7537" w14:paraId="2B8F5628" w14:textId="77777777" w:rsidTr="00170402">
        <w:tc>
          <w:tcPr>
            <w:tcW w:w="4678" w:type="dxa"/>
          </w:tcPr>
          <w:p w14:paraId="6820C512" w14:textId="77777777" w:rsidR="002C69A1" w:rsidRPr="00BD7537" w:rsidRDefault="002C69A1" w:rsidP="00170402">
            <w:pPr>
              <w:adjustRightInd w:val="0"/>
              <w:jc w:val="lowKashida"/>
              <w:rPr>
                <w:rFonts w:ascii="Times New Roman" w:hAnsi="Times New Roman" w:cs="Times New Roman"/>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1</w:t>
            </w:r>
            <w:r w:rsidRPr="00BD7537">
              <w:rPr>
                <w:rFonts w:ascii="Times New Roman" w:hAnsi="Times New Roman" w:cs="Times New Roman"/>
                <w:sz w:val="24"/>
                <w:szCs w:val="24"/>
              </w:rPr>
              <w:t xml:space="preserve">.4 Review of Final articles    </w:t>
            </w:r>
          </w:p>
        </w:tc>
        <w:tc>
          <w:tcPr>
            <w:tcW w:w="4962" w:type="dxa"/>
          </w:tcPr>
          <w:p w14:paraId="4C3536DB"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30864EF2" w14:textId="77777777" w:rsidR="002C69A1" w:rsidRPr="00BD7537" w:rsidRDefault="002C69A1" w:rsidP="00170402">
            <w:pPr>
              <w:rPr>
                <w:rFonts w:ascii="Times New Roman" w:hAnsi="Times New Roman" w:cs="Times New Roman"/>
              </w:rPr>
            </w:pPr>
            <w:r>
              <w:rPr>
                <w:rFonts w:ascii="Times New Roman" w:hAnsi="Times New Roman" w:cs="Times New Roman"/>
              </w:rPr>
              <w:t>87</w:t>
            </w:r>
          </w:p>
        </w:tc>
      </w:tr>
      <w:tr w:rsidR="002C69A1" w:rsidRPr="00BD7537" w14:paraId="1E782797" w14:textId="77777777" w:rsidTr="00170402">
        <w:tc>
          <w:tcPr>
            <w:tcW w:w="4678" w:type="dxa"/>
          </w:tcPr>
          <w:p w14:paraId="34E917DF" w14:textId="77777777" w:rsidR="002C69A1" w:rsidRPr="00A31F93" w:rsidRDefault="002C69A1" w:rsidP="00170402">
            <w:pPr>
              <w:adjustRightInd w:val="0"/>
              <w:jc w:val="lowKashida"/>
              <w:rPr>
                <w:rFonts w:ascii="Times New Roman" w:hAnsi="Times New Roman" w:cs="Times New Roman"/>
                <w:sz w:val="24"/>
                <w:szCs w:val="24"/>
              </w:rPr>
            </w:pPr>
            <w:r>
              <w:rPr>
                <w:rFonts w:ascii="Times New Roman" w:hAnsi="Times New Roman" w:cs="Times New Roman"/>
                <w:sz w:val="24"/>
                <w:szCs w:val="24"/>
              </w:rPr>
              <w:t xml:space="preserve">     3</w:t>
            </w:r>
            <w:r w:rsidRPr="00BD7537">
              <w:rPr>
                <w:rFonts w:ascii="Times New Roman" w:hAnsi="Times New Roman" w:cs="Times New Roman"/>
                <w:sz w:val="24"/>
                <w:szCs w:val="24"/>
              </w:rPr>
              <w:t>.</w:t>
            </w:r>
            <w:r>
              <w:rPr>
                <w:rFonts w:ascii="Times New Roman" w:hAnsi="Times New Roman" w:cs="Times New Roman"/>
                <w:sz w:val="24"/>
                <w:szCs w:val="24"/>
              </w:rPr>
              <w:t>2</w:t>
            </w:r>
            <w:r w:rsidRPr="00BD7537">
              <w:rPr>
                <w:rFonts w:ascii="Times New Roman" w:hAnsi="Times New Roman" w:cs="Times New Roman"/>
                <w:sz w:val="24"/>
                <w:szCs w:val="24"/>
              </w:rPr>
              <w:t xml:space="preserve"> Results   </w:t>
            </w:r>
          </w:p>
        </w:tc>
        <w:tc>
          <w:tcPr>
            <w:tcW w:w="4962" w:type="dxa"/>
          </w:tcPr>
          <w:p w14:paraId="6D458998"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1FBC8647" w14:textId="77777777" w:rsidR="002C69A1" w:rsidRPr="00BD7537" w:rsidRDefault="002C69A1" w:rsidP="00170402">
            <w:pPr>
              <w:rPr>
                <w:rFonts w:ascii="Times New Roman" w:hAnsi="Times New Roman" w:cs="Times New Roman"/>
              </w:rPr>
            </w:pPr>
            <w:r>
              <w:rPr>
                <w:rFonts w:ascii="Times New Roman" w:hAnsi="Times New Roman" w:cs="Times New Roman"/>
              </w:rPr>
              <w:t>87</w:t>
            </w:r>
          </w:p>
        </w:tc>
      </w:tr>
      <w:tr w:rsidR="002C69A1" w:rsidRPr="00E27067" w14:paraId="6950C51B" w14:textId="77777777" w:rsidTr="00170402">
        <w:tc>
          <w:tcPr>
            <w:tcW w:w="4678" w:type="dxa"/>
          </w:tcPr>
          <w:p w14:paraId="02937E83" w14:textId="77777777" w:rsidR="002C69A1" w:rsidRPr="00A31F93" w:rsidRDefault="002C69A1" w:rsidP="00170402">
            <w:pPr>
              <w:adjustRightInd w:val="0"/>
              <w:jc w:val="lowKashida"/>
              <w:rPr>
                <w:rFonts w:ascii="Times New Roman" w:hAnsi="Times New Roman" w:cs="Times New Roman"/>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2</w:t>
            </w:r>
            <w:r w:rsidRPr="00BD7537">
              <w:rPr>
                <w:rFonts w:ascii="Times New Roman" w:hAnsi="Times New Roman" w:cs="Times New Roman"/>
                <w:sz w:val="24"/>
                <w:szCs w:val="24"/>
              </w:rPr>
              <w:t xml:space="preserve">.1 Descriptive Results </w:t>
            </w:r>
          </w:p>
        </w:tc>
        <w:tc>
          <w:tcPr>
            <w:tcW w:w="4962" w:type="dxa"/>
          </w:tcPr>
          <w:p w14:paraId="6F6912F9"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2D09BAD2" w14:textId="77777777" w:rsidR="002C69A1" w:rsidRPr="00E27067" w:rsidRDefault="002C69A1" w:rsidP="00170402">
            <w:pPr>
              <w:rPr>
                <w:rFonts w:asciiTheme="majorBidi" w:hAnsiTheme="majorBidi" w:cstheme="majorBidi"/>
              </w:rPr>
            </w:pPr>
            <w:r>
              <w:rPr>
                <w:rFonts w:asciiTheme="majorBidi" w:hAnsiTheme="majorBidi" w:cstheme="majorBidi"/>
              </w:rPr>
              <w:t>87</w:t>
            </w:r>
          </w:p>
        </w:tc>
      </w:tr>
      <w:tr w:rsidR="002C69A1" w:rsidRPr="00E27067" w14:paraId="1BAB89E1" w14:textId="77777777" w:rsidTr="00170402">
        <w:tc>
          <w:tcPr>
            <w:tcW w:w="4678" w:type="dxa"/>
          </w:tcPr>
          <w:p w14:paraId="5AA68D33" w14:textId="77777777" w:rsidR="002C69A1" w:rsidRPr="00A31F93" w:rsidRDefault="002C69A1" w:rsidP="00170402">
            <w:pPr>
              <w:rPr>
                <w:rFonts w:ascii="Times New Roman" w:hAnsi="Times New Roman" w:cs="Times New Roman"/>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2</w:t>
            </w:r>
            <w:r w:rsidRPr="00BD7537">
              <w:rPr>
                <w:rFonts w:ascii="Times New Roman" w:hAnsi="Times New Roman" w:cs="Times New Roman"/>
                <w:sz w:val="24"/>
                <w:szCs w:val="24"/>
              </w:rPr>
              <w:t>.2 CSR in The Middle East</w:t>
            </w:r>
          </w:p>
        </w:tc>
        <w:tc>
          <w:tcPr>
            <w:tcW w:w="4962" w:type="dxa"/>
          </w:tcPr>
          <w:p w14:paraId="4283C90D"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54C4C44C" w14:textId="77777777" w:rsidR="002C69A1" w:rsidRPr="00E27067" w:rsidRDefault="002C69A1" w:rsidP="00170402">
            <w:pPr>
              <w:rPr>
                <w:rFonts w:asciiTheme="majorBidi" w:hAnsiTheme="majorBidi" w:cstheme="majorBidi"/>
              </w:rPr>
            </w:pPr>
            <w:r>
              <w:rPr>
                <w:rFonts w:asciiTheme="majorBidi" w:hAnsiTheme="majorBidi" w:cstheme="majorBidi"/>
              </w:rPr>
              <w:t>88</w:t>
            </w:r>
          </w:p>
        </w:tc>
      </w:tr>
      <w:tr w:rsidR="002C69A1" w:rsidRPr="00E27067" w14:paraId="52A37507" w14:textId="77777777" w:rsidTr="00170402">
        <w:tc>
          <w:tcPr>
            <w:tcW w:w="4678" w:type="dxa"/>
          </w:tcPr>
          <w:p w14:paraId="1ED5304B" w14:textId="77777777" w:rsidR="002C69A1" w:rsidRPr="00A31F93" w:rsidRDefault="002C69A1" w:rsidP="00170402">
            <w:pPr>
              <w:rPr>
                <w:rFonts w:asciiTheme="majorBidi" w:hAnsiTheme="majorBidi" w:cstheme="majorBidi"/>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2</w:t>
            </w:r>
            <w:r w:rsidRPr="00BD7537">
              <w:rPr>
                <w:rFonts w:ascii="Times New Roman" w:hAnsi="Times New Roman" w:cs="Times New Roman"/>
                <w:sz w:val="24"/>
                <w:szCs w:val="24"/>
              </w:rPr>
              <w:t>.3 CSR and Religious Values</w:t>
            </w:r>
          </w:p>
        </w:tc>
        <w:tc>
          <w:tcPr>
            <w:tcW w:w="4962" w:type="dxa"/>
          </w:tcPr>
          <w:p w14:paraId="73AA5F85" w14:textId="77777777" w:rsidR="002C69A1" w:rsidRPr="00BD7537" w:rsidRDefault="002C69A1" w:rsidP="00170402">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567" w:type="dxa"/>
          </w:tcPr>
          <w:p w14:paraId="6A1F6CF2" w14:textId="77777777" w:rsidR="002C69A1" w:rsidRPr="00E27067" w:rsidRDefault="002C69A1" w:rsidP="00170402">
            <w:pPr>
              <w:rPr>
                <w:rFonts w:asciiTheme="majorBidi" w:hAnsiTheme="majorBidi" w:cstheme="majorBidi"/>
              </w:rPr>
            </w:pPr>
            <w:r>
              <w:rPr>
                <w:rFonts w:asciiTheme="majorBidi" w:hAnsiTheme="majorBidi" w:cstheme="majorBidi"/>
              </w:rPr>
              <w:t>90</w:t>
            </w:r>
          </w:p>
        </w:tc>
      </w:tr>
      <w:tr w:rsidR="002C69A1" w:rsidRPr="00E27067" w14:paraId="6E1F7693" w14:textId="77777777" w:rsidTr="00170402">
        <w:tc>
          <w:tcPr>
            <w:tcW w:w="4678" w:type="dxa"/>
          </w:tcPr>
          <w:p w14:paraId="63CD63B5" w14:textId="77777777" w:rsidR="002C69A1" w:rsidRPr="00A31F93" w:rsidRDefault="002C69A1" w:rsidP="00170402">
            <w:pPr>
              <w:rPr>
                <w:rFonts w:asciiTheme="majorBidi" w:hAnsiTheme="majorBidi" w:cstheme="majorBidi"/>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2</w:t>
            </w:r>
            <w:r w:rsidRPr="00BD7537">
              <w:rPr>
                <w:rFonts w:ascii="Times New Roman" w:hAnsi="Times New Roman" w:cs="Times New Roman"/>
                <w:sz w:val="24"/>
                <w:szCs w:val="24"/>
              </w:rPr>
              <w:t>.4 Impact of CSR</w:t>
            </w:r>
          </w:p>
        </w:tc>
        <w:tc>
          <w:tcPr>
            <w:tcW w:w="4962" w:type="dxa"/>
          </w:tcPr>
          <w:p w14:paraId="5977129C"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4811CE2D" w14:textId="77777777" w:rsidR="002C69A1" w:rsidRPr="00E27067" w:rsidRDefault="002C69A1" w:rsidP="00170402">
            <w:pPr>
              <w:rPr>
                <w:rFonts w:asciiTheme="majorBidi" w:hAnsiTheme="majorBidi" w:cstheme="majorBidi"/>
              </w:rPr>
            </w:pPr>
            <w:r>
              <w:rPr>
                <w:rFonts w:asciiTheme="majorBidi" w:hAnsiTheme="majorBidi" w:cstheme="majorBidi"/>
              </w:rPr>
              <w:t>90</w:t>
            </w:r>
          </w:p>
        </w:tc>
      </w:tr>
      <w:tr w:rsidR="002C69A1" w:rsidRPr="00E27067" w14:paraId="4E3DA0FE" w14:textId="77777777" w:rsidTr="00170402">
        <w:tc>
          <w:tcPr>
            <w:tcW w:w="4678" w:type="dxa"/>
          </w:tcPr>
          <w:p w14:paraId="4814EAA0" w14:textId="77777777" w:rsidR="002C69A1" w:rsidRPr="00A31F93" w:rsidRDefault="002C69A1" w:rsidP="00170402">
            <w:pPr>
              <w:rPr>
                <w:rFonts w:asciiTheme="majorBidi" w:hAnsiTheme="majorBidi" w:cstheme="majorBidi"/>
                <w:b/>
                <w:bCs/>
                <w:sz w:val="24"/>
                <w:szCs w:val="24"/>
              </w:rPr>
            </w:pPr>
            <w:r>
              <w:rPr>
                <w:rFonts w:ascii="Times New Roman" w:eastAsia="Times New Roman" w:hAnsi="Times New Roman" w:cs="Times New Roman"/>
                <w:lang w:eastAsia="en-GB"/>
              </w:rPr>
              <w:t>3</w:t>
            </w:r>
            <w:r w:rsidRPr="00BD7537">
              <w:rPr>
                <w:rFonts w:ascii="Times New Roman" w:eastAsia="Times New Roman" w:hAnsi="Times New Roman" w:cs="Times New Roman"/>
                <w:lang w:eastAsia="en-GB"/>
              </w:rPr>
              <w:t>.</w:t>
            </w:r>
            <w:r>
              <w:rPr>
                <w:rFonts w:ascii="Times New Roman" w:eastAsia="Times New Roman" w:hAnsi="Times New Roman" w:cs="Times New Roman"/>
                <w:lang w:eastAsia="en-GB"/>
              </w:rPr>
              <w:t>2</w:t>
            </w:r>
            <w:r w:rsidRPr="00BD7537">
              <w:rPr>
                <w:rFonts w:ascii="Times New Roman" w:eastAsia="Times New Roman" w:hAnsi="Times New Roman" w:cs="Times New Roman"/>
                <w:lang w:eastAsia="en-GB"/>
              </w:rPr>
              <w:t xml:space="preserve">.5 CSR Communication </w:t>
            </w:r>
          </w:p>
        </w:tc>
        <w:tc>
          <w:tcPr>
            <w:tcW w:w="4962" w:type="dxa"/>
          </w:tcPr>
          <w:p w14:paraId="6579D477"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DD8B8FE" w14:textId="77777777" w:rsidR="002C69A1" w:rsidRPr="00E27067" w:rsidRDefault="002C69A1" w:rsidP="00170402">
            <w:pPr>
              <w:rPr>
                <w:rFonts w:asciiTheme="majorBidi" w:hAnsiTheme="majorBidi" w:cstheme="majorBidi"/>
              </w:rPr>
            </w:pPr>
            <w:r>
              <w:rPr>
                <w:rFonts w:asciiTheme="majorBidi" w:hAnsiTheme="majorBidi" w:cstheme="majorBidi"/>
              </w:rPr>
              <w:t>93</w:t>
            </w:r>
          </w:p>
        </w:tc>
      </w:tr>
      <w:tr w:rsidR="002C69A1" w:rsidRPr="00E27067" w14:paraId="72459A46" w14:textId="77777777" w:rsidTr="00170402">
        <w:tc>
          <w:tcPr>
            <w:tcW w:w="4678" w:type="dxa"/>
          </w:tcPr>
          <w:p w14:paraId="2D561D5F" w14:textId="77777777" w:rsidR="002C69A1" w:rsidRPr="00A31F93" w:rsidRDefault="002C69A1" w:rsidP="00170402">
            <w:pPr>
              <w:rPr>
                <w:rFonts w:asciiTheme="majorBidi" w:hAnsiTheme="majorBidi" w:cstheme="majorBidi"/>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2</w:t>
            </w:r>
            <w:r w:rsidRPr="00BD7537">
              <w:rPr>
                <w:rFonts w:ascii="Times New Roman" w:hAnsi="Times New Roman" w:cs="Times New Roman"/>
                <w:sz w:val="24"/>
                <w:szCs w:val="24"/>
              </w:rPr>
              <w:t xml:space="preserve">.6 CSR Perception </w:t>
            </w:r>
          </w:p>
        </w:tc>
        <w:tc>
          <w:tcPr>
            <w:tcW w:w="4962" w:type="dxa"/>
          </w:tcPr>
          <w:p w14:paraId="5BB18AF8"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452D348B" w14:textId="77777777" w:rsidR="002C69A1" w:rsidRPr="00E27067" w:rsidRDefault="002C69A1" w:rsidP="00170402">
            <w:pPr>
              <w:rPr>
                <w:rFonts w:asciiTheme="majorBidi" w:hAnsiTheme="majorBidi" w:cstheme="majorBidi"/>
              </w:rPr>
            </w:pPr>
            <w:r>
              <w:rPr>
                <w:rFonts w:asciiTheme="majorBidi" w:hAnsiTheme="majorBidi" w:cstheme="majorBidi"/>
              </w:rPr>
              <w:t>93</w:t>
            </w:r>
          </w:p>
        </w:tc>
      </w:tr>
      <w:tr w:rsidR="002C69A1" w:rsidRPr="00E27067" w14:paraId="2D5D6DF8" w14:textId="77777777" w:rsidTr="00170402">
        <w:trPr>
          <w:trHeight w:val="274"/>
        </w:trPr>
        <w:tc>
          <w:tcPr>
            <w:tcW w:w="4678" w:type="dxa"/>
          </w:tcPr>
          <w:p w14:paraId="733C7134" w14:textId="77777777" w:rsidR="002C69A1" w:rsidRPr="00A31F93" w:rsidRDefault="002C69A1" w:rsidP="00170402">
            <w:pPr>
              <w:rPr>
                <w:rFonts w:asciiTheme="majorBidi" w:hAnsiTheme="majorBidi" w:cstheme="majorBidi"/>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2</w:t>
            </w:r>
            <w:r w:rsidRPr="00BD7537">
              <w:rPr>
                <w:rFonts w:ascii="Times New Roman" w:hAnsi="Times New Roman" w:cs="Times New Roman"/>
                <w:sz w:val="24"/>
                <w:szCs w:val="24"/>
              </w:rPr>
              <w:t xml:space="preserve">.7 CSR and stakeholders </w:t>
            </w:r>
          </w:p>
        </w:tc>
        <w:tc>
          <w:tcPr>
            <w:tcW w:w="4962" w:type="dxa"/>
          </w:tcPr>
          <w:p w14:paraId="70CFC8CE"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E577CD8" w14:textId="77777777" w:rsidR="002C69A1" w:rsidRPr="00E27067" w:rsidRDefault="002C69A1" w:rsidP="00170402">
            <w:pPr>
              <w:rPr>
                <w:rFonts w:asciiTheme="majorBidi" w:hAnsiTheme="majorBidi" w:cstheme="majorBidi"/>
              </w:rPr>
            </w:pPr>
            <w:r>
              <w:rPr>
                <w:rFonts w:asciiTheme="majorBidi" w:hAnsiTheme="majorBidi" w:cstheme="majorBidi"/>
              </w:rPr>
              <w:t>94</w:t>
            </w:r>
          </w:p>
        </w:tc>
      </w:tr>
      <w:tr w:rsidR="002C69A1" w:rsidRPr="00E27067" w14:paraId="31FAAD4D" w14:textId="77777777" w:rsidTr="00170402">
        <w:tc>
          <w:tcPr>
            <w:tcW w:w="4678" w:type="dxa"/>
          </w:tcPr>
          <w:p w14:paraId="7450948A" w14:textId="77777777" w:rsidR="002C69A1" w:rsidRPr="00A31F93" w:rsidRDefault="002C69A1" w:rsidP="00170402">
            <w:pPr>
              <w:adjustRightInd w:val="0"/>
              <w:jc w:val="lowKashida"/>
              <w:rPr>
                <w:rFonts w:asciiTheme="majorBidi" w:hAnsiTheme="majorBidi" w:cstheme="majorBidi"/>
                <w:sz w:val="24"/>
                <w:szCs w:val="24"/>
              </w:rPr>
            </w:pPr>
            <w:r>
              <w:rPr>
                <w:rFonts w:ascii="Times New Roman" w:eastAsia="Times New Roman" w:hAnsi="Times New Roman" w:cs="Times New Roman"/>
                <w:sz w:val="24"/>
                <w:szCs w:val="24"/>
                <w:lang w:eastAsia="en-GB"/>
              </w:rPr>
              <w:t>3</w:t>
            </w:r>
            <w:r w:rsidRPr="00BD7537">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2</w:t>
            </w:r>
            <w:r w:rsidRPr="00BD7537">
              <w:rPr>
                <w:rFonts w:ascii="Times New Roman" w:eastAsia="Times New Roman" w:hAnsi="Times New Roman" w:cs="Times New Roman"/>
                <w:sz w:val="24"/>
                <w:szCs w:val="24"/>
                <w:lang w:eastAsia="en-GB"/>
              </w:rPr>
              <w:t xml:space="preserve">.8 CSR in Egypt </w:t>
            </w:r>
          </w:p>
        </w:tc>
        <w:tc>
          <w:tcPr>
            <w:tcW w:w="4962" w:type="dxa"/>
          </w:tcPr>
          <w:p w14:paraId="525F5CFB"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F7EE3EC" w14:textId="77777777" w:rsidR="002C69A1" w:rsidRPr="00E27067" w:rsidRDefault="002C69A1" w:rsidP="00170402">
            <w:pPr>
              <w:rPr>
                <w:rFonts w:asciiTheme="majorBidi" w:hAnsiTheme="majorBidi" w:cstheme="majorBidi"/>
              </w:rPr>
            </w:pPr>
            <w:r>
              <w:rPr>
                <w:rFonts w:asciiTheme="majorBidi" w:hAnsiTheme="majorBidi" w:cstheme="majorBidi"/>
              </w:rPr>
              <w:t>96</w:t>
            </w:r>
          </w:p>
        </w:tc>
      </w:tr>
      <w:tr w:rsidR="002C69A1" w:rsidRPr="00E27067" w14:paraId="3D6BAC83" w14:textId="77777777" w:rsidTr="00170402">
        <w:tc>
          <w:tcPr>
            <w:tcW w:w="4678" w:type="dxa"/>
          </w:tcPr>
          <w:p w14:paraId="78D73145" w14:textId="77777777" w:rsidR="002C69A1" w:rsidRPr="00A31F93" w:rsidRDefault="002C69A1" w:rsidP="00170402">
            <w:pPr>
              <w:adjustRightInd w:val="0"/>
              <w:jc w:val="lowKashida"/>
              <w:rPr>
                <w:rFonts w:asciiTheme="majorBidi" w:hAnsiTheme="majorBidi" w:cstheme="majorBidi"/>
                <w:sz w:val="24"/>
                <w:szCs w:val="24"/>
              </w:rPr>
            </w:pPr>
            <w:r>
              <w:rPr>
                <w:rFonts w:ascii="Times New Roman" w:hAnsi="Times New Roman" w:cs="Times New Roman"/>
                <w:sz w:val="24"/>
                <w:szCs w:val="24"/>
              </w:rPr>
              <w:t>3</w:t>
            </w:r>
            <w:r w:rsidRPr="00BD7537">
              <w:rPr>
                <w:rFonts w:ascii="Times New Roman" w:hAnsi="Times New Roman" w:cs="Times New Roman"/>
                <w:sz w:val="24"/>
                <w:szCs w:val="24"/>
              </w:rPr>
              <w:t>.</w:t>
            </w:r>
            <w:r>
              <w:rPr>
                <w:rFonts w:ascii="Times New Roman" w:hAnsi="Times New Roman" w:cs="Times New Roman"/>
                <w:sz w:val="24"/>
                <w:szCs w:val="24"/>
              </w:rPr>
              <w:t>3</w:t>
            </w:r>
            <w:r w:rsidRPr="00BD7537">
              <w:rPr>
                <w:rFonts w:ascii="Times New Roman" w:hAnsi="Times New Roman" w:cs="Times New Roman"/>
                <w:sz w:val="24"/>
                <w:szCs w:val="24"/>
              </w:rPr>
              <w:t xml:space="preserve"> Conclusion</w:t>
            </w:r>
          </w:p>
        </w:tc>
        <w:tc>
          <w:tcPr>
            <w:tcW w:w="4962" w:type="dxa"/>
          </w:tcPr>
          <w:p w14:paraId="728A1D26"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78D2906" w14:textId="77777777" w:rsidR="002C69A1" w:rsidRPr="00E27067" w:rsidRDefault="002C69A1" w:rsidP="00170402">
            <w:pPr>
              <w:rPr>
                <w:rFonts w:asciiTheme="majorBidi" w:hAnsiTheme="majorBidi" w:cstheme="majorBidi"/>
              </w:rPr>
            </w:pPr>
            <w:r>
              <w:rPr>
                <w:rFonts w:asciiTheme="majorBidi" w:hAnsiTheme="majorBidi" w:cstheme="majorBidi"/>
              </w:rPr>
              <w:t>98</w:t>
            </w:r>
          </w:p>
        </w:tc>
      </w:tr>
      <w:tr w:rsidR="002C69A1" w:rsidRPr="00E27067" w14:paraId="468F2BAE" w14:textId="77777777" w:rsidTr="00170402">
        <w:tc>
          <w:tcPr>
            <w:tcW w:w="4678" w:type="dxa"/>
          </w:tcPr>
          <w:p w14:paraId="66C5F58E" w14:textId="77777777" w:rsidR="002C69A1" w:rsidRPr="00A31F93" w:rsidRDefault="002C69A1" w:rsidP="00170402">
            <w:pPr>
              <w:rPr>
                <w:rFonts w:asciiTheme="majorBidi" w:hAnsiTheme="majorBidi" w:cstheme="majorBidi"/>
                <w:sz w:val="24"/>
                <w:szCs w:val="24"/>
              </w:rPr>
            </w:pPr>
            <w:r w:rsidRPr="00A31F93">
              <w:rPr>
                <w:rFonts w:asciiTheme="majorBidi" w:hAnsiTheme="majorBidi" w:cstheme="majorBidi"/>
                <w:sz w:val="24"/>
                <w:szCs w:val="24"/>
              </w:rPr>
              <w:t>Chapter 4 - Theoretical Framework</w:t>
            </w:r>
          </w:p>
        </w:tc>
        <w:tc>
          <w:tcPr>
            <w:tcW w:w="4962" w:type="dxa"/>
          </w:tcPr>
          <w:p w14:paraId="536A2BDD"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B21B0FA" w14:textId="77777777" w:rsidR="002C69A1" w:rsidRPr="00E27067" w:rsidRDefault="002C69A1" w:rsidP="00170402">
            <w:pPr>
              <w:rPr>
                <w:rFonts w:asciiTheme="majorBidi" w:hAnsiTheme="majorBidi" w:cstheme="majorBidi"/>
              </w:rPr>
            </w:pPr>
            <w:r>
              <w:rPr>
                <w:rFonts w:asciiTheme="majorBidi" w:hAnsiTheme="majorBidi" w:cstheme="majorBidi"/>
              </w:rPr>
              <w:t>100</w:t>
            </w:r>
          </w:p>
        </w:tc>
      </w:tr>
      <w:tr w:rsidR="002C69A1" w:rsidRPr="00E27067" w14:paraId="6003684C" w14:textId="77777777" w:rsidTr="00170402">
        <w:tc>
          <w:tcPr>
            <w:tcW w:w="4678" w:type="dxa"/>
          </w:tcPr>
          <w:p w14:paraId="7D8B8946"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4.</w:t>
            </w:r>
            <w:r>
              <w:rPr>
                <w:rFonts w:asciiTheme="majorBidi" w:hAnsiTheme="majorBidi" w:cstheme="majorBidi"/>
                <w:sz w:val="24"/>
                <w:szCs w:val="24"/>
              </w:rPr>
              <w:t>0</w:t>
            </w:r>
            <w:r w:rsidRPr="00477BB4">
              <w:rPr>
                <w:rFonts w:asciiTheme="majorBidi" w:hAnsiTheme="majorBidi" w:cstheme="majorBidi"/>
                <w:sz w:val="24"/>
                <w:szCs w:val="24"/>
              </w:rPr>
              <w:t xml:space="preserve"> Introduction</w:t>
            </w:r>
          </w:p>
        </w:tc>
        <w:tc>
          <w:tcPr>
            <w:tcW w:w="4962" w:type="dxa"/>
          </w:tcPr>
          <w:p w14:paraId="6D1E452D"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D50CE34" w14:textId="77777777" w:rsidR="002C69A1" w:rsidRPr="00E27067" w:rsidRDefault="002C69A1" w:rsidP="00170402">
            <w:pPr>
              <w:rPr>
                <w:rFonts w:asciiTheme="majorBidi" w:hAnsiTheme="majorBidi" w:cstheme="majorBidi"/>
              </w:rPr>
            </w:pPr>
            <w:r>
              <w:rPr>
                <w:rFonts w:asciiTheme="majorBidi" w:hAnsiTheme="majorBidi" w:cstheme="majorBidi"/>
              </w:rPr>
              <w:t>100</w:t>
            </w:r>
          </w:p>
        </w:tc>
      </w:tr>
      <w:tr w:rsidR="002C69A1" w:rsidRPr="00E27067" w14:paraId="47E0A977" w14:textId="77777777" w:rsidTr="00170402">
        <w:tc>
          <w:tcPr>
            <w:tcW w:w="4678" w:type="dxa"/>
          </w:tcPr>
          <w:p w14:paraId="7DC5096B"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4.</w:t>
            </w:r>
            <w:r>
              <w:rPr>
                <w:rFonts w:asciiTheme="majorBidi" w:hAnsiTheme="majorBidi" w:cstheme="majorBidi"/>
                <w:sz w:val="24"/>
                <w:szCs w:val="24"/>
              </w:rPr>
              <w:t>1</w:t>
            </w:r>
            <w:r w:rsidRPr="00477BB4">
              <w:rPr>
                <w:rFonts w:asciiTheme="majorBidi" w:hAnsiTheme="majorBidi" w:cstheme="majorBidi"/>
                <w:sz w:val="24"/>
                <w:szCs w:val="24"/>
              </w:rPr>
              <w:t xml:space="preserve"> Theories in consumer behaviour </w:t>
            </w:r>
          </w:p>
        </w:tc>
        <w:tc>
          <w:tcPr>
            <w:tcW w:w="4962" w:type="dxa"/>
          </w:tcPr>
          <w:p w14:paraId="0B073799"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EECA773" w14:textId="77777777" w:rsidR="002C69A1" w:rsidRPr="00E27067" w:rsidRDefault="002C69A1" w:rsidP="00170402">
            <w:pPr>
              <w:rPr>
                <w:rFonts w:asciiTheme="majorBidi" w:hAnsiTheme="majorBidi" w:cstheme="majorBidi"/>
              </w:rPr>
            </w:pPr>
            <w:r>
              <w:rPr>
                <w:rFonts w:asciiTheme="majorBidi" w:hAnsiTheme="majorBidi" w:cstheme="majorBidi"/>
              </w:rPr>
              <w:t>101</w:t>
            </w:r>
          </w:p>
        </w:tc>
      </w:tr>
      <w:tr w:rsidR="002C69A1" w:rsidRPr="00E27067" w14:paraId="6EED2CAB" w14:textId="77777777" w:rsidTr="00170402">
        <w:tc>
          <w:tcPr>
            <w:tcW w:w="4678" w:type="dxa"/>
          </w:tcPr>
          <w:p w14:paraId="10D20709"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4.</w:t>
            </w:r>
            <w:r>
              <w:rPr>
                <w:rFonts w:asciiTheme="majorBidi" w:hAnsiTheme="majorBidi" w:cstheme="majorBidi"/>
                <w:sz w:val="24"/>
                <w:szCs w:val="24"/>
              </w:rPr>
              <w:t>2</w:t>
            </w:r>
            <w:r w:rsidRPr="00477BB4">
              <w:rPr>
                <w:rFonts w:asciiTheme="majorBidi" w:hAnsiTheme="majorBidi" w:cstheme="majorBidi"/>
                <w:sz w:val="24"/>
                <w:szCs w:val="24"/>
              </w:rPr>
              <w:t xml:space="preserve"> Theory of Reasoned Action </w:t>
            </w:r>
          </w:p>
        </w:tc>
        <w:tc>
          <w:tcPr>
            <w:tcW w:w="4962" w:type="dxa"/>
          </w:tcPr>
          <w:p w14:paraId="64649EB6"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329A009" w14:textId="77777777" w:rsidR="002C69A1" w:rsidRPr="00E27067" w:rsidRDefault="002C69A1" w:rsidP="00170402">
            <w:pPr>
              <w:rPr>
                <w:rFonts w:asciiTheme="majorBidi" w:hAnsiTheme="majorBidi" w:cstheme="majorBidi"/>
              </w:rPr>
            </w:pPr>
            <w:r>
              <w:rPr>
                <w:rFonts w:asciiTheme="majorBidi" w:hAnsiTheme="majorBidi" w:cstheme="majorBidi"/>
              </w:rPr>
              <w:t>104</w:t>
            </w:r>
          </w:p>
        </w:tc>
      </w:tr>
      <w:tr w:rsidR="002C69A1" w:rsidRPr="00E27067" w14:paraId="3426D4B2" w14:textId="77777777" w:rsidTr="00170402">
        <w:tc>
          <w:tcPr>
            <w:tcW w:w="4678" w:type="dxa"/>
          </w:tcPr>
          <w:p w14:paraId="1BD78D31"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2</w:t>
            </w:r>
            <w:r w:rsidRPr="00477BB4">
              <w:rPr>
                <w:rFonts w:asciiTheme="majorBidi" w:hAnsiTheme="majorBidi" w:cstheme="majorBidi"/>
                <w:sz w:val="24"/>
                <w:szCs w:val="24"/>
              </w:rPr>
              <w:t>.1 Criticism of TRA</w:t>
            </w:r>
          </w:p>
        </w:tc>
        <w:tc>
          <w:tcPr>
            <w:tcW w:w="4962" w:type="dxa"/>
          </w:tcPr>
          <w:p w14:paraId="37505EF4"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1577B6D"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10</w:t>
            </w:r>
          </w:p>
        </w:tc>
      </w:tr>
      <w:tr w:rsidR="002C69A1" w:rsidRPr="00E27067" w14:paraId="7FE19A2A" w14:textId="77777777" w:rsidTr="00170402">
        <w:tc>
          <w:tcPr>
            <w:tcW w:w="4678" w:type="dxa"/>
          </w:tcPr>
          <w:p w14:paraId="50BA912C"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2</w:t>
            </w:r>
            <w:r w:rsidRPr="00477BB4">
              <w:rPr>
                <w:rFonts w:asciiTheme="majorBidi" w:hAnsiTheme="majorBidi" w:cstheme="majorBidi"/>
                <w:sz w:val="24"/>
                <w:szCs w:val="24"/>
              </w:rPr>
              <w:t xml:space="preserve">.2 Theory Application and Amendments </w:t>
            </w:r>
          </w:p>
        </w:tc>
        <w:tc>
          <w:tcPr>
            <w:tcW w:w="4962" w:type="dxa"/>
          </w:tcPr>
          <w:p w14:paraId="20601D07"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246596E"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11</w:t>
            </w:r>
          </w:p>
        </w:tc>
      </w:tr>
      <w:tr w:rsidR="002C69A1" w:rsidRPr="00E27067" w14:paraId="0BEE7726" w14:textId="77777777" w:rsidTr="00170402">
        <w:tc>
          <w:tcPr>
            <w:tcW w:w="4678" w:type="dxa"/>
          </w:tcPr>
          <w:p w14:paraId="0CE428DC"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4.</w:t>
            </w:r>
            <w:r>
              <w:rPr>
                <w:rFonts w:asciiTheme="majorBidi" w:hAnsiTheme="majorBidi" w:cstheme="majorBidi"/>
                <w:sz w:val="24"/>
                <w:szCs w:val="24"/>
              </w:rPr>
              <w:t>3</w:t>
            </w:r>
            <w:r w:rsidRPr="00477BB4">
              <w:rPr>
                <w:rFonts w:asciiTheme="majorBidi" w:hAnsiTheme="majorBidi" w:cstheme="majorBidi"/>
                <w:sz w:val="24"/>
                <w:szCs w:val="24"/>
              </w:rPr>
              <w:t xml:space="preserve"> Stimuli-Organism-Response Theory </w:t>
            </w:r>
          </w:p>
        </w:tc>
        <w:tc>
          <w:tcPr>
            <w:tcW w:w="4962" w:type="dxa"/>
          </w:tcPr>
          <w:p w14:paraId="28002D1B"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9CF2C97"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16</w:t>
            </w:r>
          </w:p>
        </w:tc>
      </w:tr>
      <w:tr w:rsidR="002C69A1" w:rsidRPr="00E27067" w14:paraId="56C9E03B" w14:textId="77777777" w:rsidTr="00170402">
        <w:tc>
          <w:tcPr>
            <w:tcW w:w="4678" w:type="dxa"/>
          </w:tcPr>
          <w:p w14:paraId="565D9B8F"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3</w:t>
            </w:r>
            <w:r w:rsidRPr="00477BB4">
              <w:rPr>
                <w:rFonts w:asciiTheme="majorBidi" w:hAnsiTheme="majorBidi" w:cstheme="majorBidi"/>
                <w:sz w:val="24"/>
                <w:szCs w:val="24"/>
              </w:rPr>
              <w:t xml:space="preserve">.1 Criticism of SOR Theory </w:t>
            </w:r>
          </w:p>
        </w:tc>
        <w:tc>
          <w:tcPr>
            <w:tcW w:w="4962" w:type="dxa"/>
          </w:tcPr>
          <w:p w14:paraId="6025A3F9"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1F107E4C"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18</w:t>
            </w:r>
          </w:p>
        </w:tc>
      </w:tr>
      <w:tr w:rsidR="002C69A1" w:rsidRPr="00E27067" w14:paraId="0738FD4F" w14:textId="77777777" w:rsidTr="00170402">
        <w:tc>
          <w:tcPr>
            <w:tcW w:w="4678" w:type="dxa"/>
          </w:tcPr>
          <w:p w14:paraId="19AC213C"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3</w:t>
            </w:r>
            <w:r w:rsidRPr="00477BB4">
              <w:rPr>
                <w:rFonts w:asciiTheme="majorBidi" w:hAnsiTheme="majorBidi" w:cstheme="majorBidi"/>
                <w:sz w:val="24"/>
                <w:szCs w:val="24"/>
              </w:rPr>
              <w:t>.2 Application of SOR Theory</w:t>
            </w:r>
          </w:p>
        </w:tc>
        <w:tc>
          <w:tcPr>
            <w:tcW w:w="4962" w:type="dxa"/>
          </w:tcPr>
          <w:p w14:paraId="7B83C08D"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87EE58D"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19</w:t>
            </w:r>
          </w:p>
        </w:tc>
      </w:tr>
      <w:tr w:rsidR="002C69A1" w:rsidRPr="00E27067" w14:paraId="68AEC181" w14:textId="77777777" w:rsidTr="00170402">
        <w:tc>
          <w:tcPr>
            <w:tcW w:w="4678" w:type="dxa"/>
          </w:tcPr>
          <w:p w14:paraId="305A842F"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4.</w:t>
            </w:r>
            <w:r>
              <w:rPr>
                <w:rFonts w:asciiTheme="majorBidi" w:hAnsiTheme="majorBidi" w:cstheme="majorBidi"/>
                <w:sz w:val="24"/>
                <w:szCs w:val="24"/>
              </w:rPr>
              <w:t>4</w:t>
            </w:r>
            <w:r w:rsidRPr="00477BB4">
              <w:rPr>
                <w:rFonts w:asciiTheme="majorBidi" w:hAnsiTheme="majorBidi" w:cstheme="majorBidi"/>
                <w:sz w:val="24"/>
                <w:szCs w:val="24"/>
              </w:rPr>
              <w:t xml:space="preserve"> Halo Effect </w:t>
            </w:r>
          </w:p>
        </w:tc>
        <w:tc>
          <w:tcPr>
            <w:tcW w:w="4962" w:type="dxa"/>
          </w:tcPr>
          <w:p w14:paraId="1B8DD9AA"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BE41963"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20</w:t>
            </w:r>
          </w:p>
        </w:tc>
      </w:tr>
      <w:tr w:rsidR="002C69A1" w:rsidRPr="00E27067" w14:paraId="154CD8A5" w14:textId="77777777" w:rsidTr="00170402">
        <w:tc>
          <w:tcPr>
            <w:tcW w:w="4678" w:type="dxa"/>
          </w:tcPr>
          <w:p w14:paraId="13426A33"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4</w:t>
            </w:r>
            <w:r w:rsidRPr="00477BB4">
              <w:rPr>
                <w:rFonts w:asciiTheme="majorBidi" w:hAnsiTheme="majorBidi" w:cstheme="majorBidi"/>
                <w:sz w:val="24"/>
                <w:szCs w:val="24"/>
              </w:rPr>
              <w:t xml:space="preserve">.1 Halo Effect in CSR literature </w:t>
            </w:r>
          </w:p>
        </w:tc>
        <w:tc>
          <w:tcPr>
            <w:tcW w:w="4962" w:type="dxa"/>
          </w:tcPr>
          <w:p w14:paraId="75F0F56D"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8043AB4"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21</w:t>
            </w:r>
          </w:p>
        </w:tc>
      </w:tr>
      <w:tr w:rsidR="002C69A1" w:rsidRPr="00E27067" w14:paraId="67A8DADF" w14:textId="77777777" w:rsidTr="00170402">
        <w:tc>
          <w:tcPr>
            <w:tcW w:w="4678" w:type="dxa"/>
          </w:tcPr>
          <w:p w14:paraId="401FEFD5"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4</w:t>
            </w:r>
            <w:r w:rsidRPr="00477BB4">
              <w:rPr>
                <w:rFonts w:asciiTheme="majorBidi" w:hAnsiTheme="majorBidi" w:cstheme="majorBidi"/>
                <w:sz w:val="24"/>
                <w:szCs w:val="24"/>
              </w:rPr>
              <w:t xml:space="preserve">.2 Halo Effect of Media Vehicle </w:t>
            </w:r>
          </w:p>
        </w:tc>
        <w:tc>
          <w:tcPr>
            <w:tcW w:w="4962" w:type="dxa"/>
          </w:tcPr>
          <w:p w14:paraId="24409992"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5D502BB0"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22</w:t>
            </w:r>
          </w:p>
        </w:tc>
      </w:tr>
      <w:tr w:rsidR="002C69A1" w:rsidRPr="00E27067" w14:paraId="0E5CE87F" w14:textId="77777777" w:rsidTr="00170402">
        <w:tc>
          <w:tcPr>
            <w:tcW w:w="4678" w:type="dxa"/>
          </w:tcPr>
          <w:p w14:paraId="53E19858"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4</w:t>
            </w:r>
            <w:r w:rsidRPr="00477BB4">
              <w:rPr>
                <w:rFonts w:asciiTheme="majorBidi" w:hAnsiTheme="majorBidi" w:cstheme="majorBidi"/>
                <w:sz w:val="24"/>
                <w:szCs w:val="24"/>
              </w:rPr>
              <w:t xml:space="preserve">.3 Criticism of halo effect </w:t>
            </w:r>
          </w:p>
        </w:tc>
        <w:tc>
          <w:tcPr>
            <w:tcW w:w="4962" w:type="dxa"/>
          </w:tcPr>
          <w:p w14:paraId="109E4110"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232B52B"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24</w:t>
            </w:r>
          </w:p>
        </w:tc>
      </w:tr>
      <w:tr w:rsidR="002C69A1" w:rsidRPr="00E27067" w14:paraId="367B23EB" w14:textId="77777777" w:rsidTr="00170402">
        <w:tc>
          <w:tcPr>
            <w:tcW w:w="4678" w:type="dxa"/>
          </w:tcPr>
          <w:p w14:paraId="1D501A9E"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4</w:t>
            </w:r>
            <w:r w:rsidRPr="00477BB4">
              <w:rPr>
                <w:rFonts w:asciiTheme="majorBidi" w:hAnsiTheme="majorBidi" w:cstheme="majorBidi"/>
                <w:sz w:val="24"/>
                <w:szCs w:val="24"/>
              </w:rPr>
              <w:t xml:space="preserve">.4 Application of halo effect </w:t>
            </w:r>
          </w:p>
        </w:tc>
        <w:tc>
          <w:tcPr>
            <w:tcW w:w="4962" w:type="dxa"/>
          </w:tcPr>
          <w:p w14:paraId="2519E802"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DE64893"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25</w:t>
            </w:r>
          </w:p>
        </w:tc>
      </w:tr>
      <w:tr w:rsidR="002C69A1" w:rsidRPr="00E27067" w14:paraId="6D369BE1" w14:textId="77777777" w:rsidTr="00170402">
        <w:tc>
          <w:tcPr>
            <w:tcW w:w="4678" w:type="dxa"/>
          </w:tcPr>
          <w:p w14:paraId="2D1DB33B"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4.</w:t>
            </w:r>
            <w:r>
              <w:rPr>
                <w:rFonts w:asciiTheme="majorBidi" w:hAnsiTheme="majorBidi" w:cstheme="majorBidi"/>
                <w:sz w:val="24"/>
                <w:szCs w:val="24"/>
              </w:rPr>
              <w:t>5</w:t>
            </w:r>
            <w:r w:rsidRPr="00477BB4">
              <w:rPr>
                <w:rFonts w:asciiTheme="majorBidi" w:hAnsiTheme="majorBidi" w:cstheme="majorBidi"/>
                <w:sz w:val="24"/>
                <w:szCs w:val="24"/>
              </w:rPr>
              <w:t xml:space="preserve"> </w:t>
            </w:r>
            <w:r>
              <w:rPr>
                <w:rFonts w:asciiTheme="majorBidi" w:hAnsiTheme="majorBidi" w:cstheme="majorBidi"/>
                <w:sz w:val="24"/>
                <w:szCs w:val="24"/>
              </w:rPr>
              <w:t>Value Congruence Concept</w:t>
            </w:r>
            <w:r w:rsidRPr="00477BB4">
              <w:rPr>
                <w:rFonts w:asciiTheme="majorBidi" w:hAnsiTheme="majorBidi" w:cstheme="majorBidi"/>
                <w:sz w:val="24"/>
                <w:szCs w:val="24"/>
              </w:rPr>
              <w:t xml:space="preserve"> </w:t>
            </w:r>
          </w:p>
        </w:tc>
        <w:tc>
          <w:tcPr>
            <w:tcW w:w="4962" w:type="dxa"/>
          </w:tcPr>
          <w:p w14:paraId="6771B580"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104CCBE4"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26</w:t>
            </w:r>
          </w:p>
        </w:tc>
      </w:tr>
      <w:tr w:rsidR="002C69A1" w:rsidRPr="00E27067" w14:paraId="544B8B42" w14:textId="77777777" w:rsidTr="00170402">
        <w:tc>
          <w:tcPr>
            <w:tcW w:w="4678" w:type="dxa"/>
          </w:tcPr>
          <w:p w14:paraId="6306ED77"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5</w:t>
            </w:r>
            <w:r w:rsidRPr="00477BB4">
              <w:rPr>
                <w:rFonts w:asciiTheme="majorBidi" w:hAnsiTheme="majorBidi" w:cstheme="majorBidi"/>
                <w:sz w:val="24"/>
                <w:szCs w:val="24"/>
              </w:rPr>
              <w:t xml:space="preserve">.1 Criticism of </w:t>
            </w:r>
            <w:r>
              <w:rPr>
                <w:rFonts w:asciiTheme="majorBidi" w:hAnsiTheme="majorBidi" w:cstheme="majorBidi"/>
                <w:sz w:val="24"/>
                <w:szCs w:val="24"/>
              </w:rPr>
              <w:t xml:space="preserve">value congruence </w:t>
            </w:r>
            <w:r w:rsidRPr="00477BB4">
              <w:rPr>
                <w:rFonts w:asciiTheme="majorBidi" w:hAnsiTheme="majorBidi" w:cstheme="majorBidi"/>
                <w:sz w:val="24"/>
                <w:szCs w:val="24"/>
              </w:rPr>
              <w:t xml:space="preserve"> </w:t>
            </w:r>
          </w:p>
        </w:tc>
        <w:tc>
          <w:tcPr>
            <w:tcW w:w="4962" w:type="dxa"/>
          </w:tcPr>
          <w:p w14:paraId="1BD0C945"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3C62A25"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28</w:t>
            </w:r>
          </w:p>
        </w:tc>
      </w:tr>
      <w:tr w:rsidR="002C69A1" w:rsidRPr="00E27067" w14:paraId="006E146D" w14:textId="77777777" w:rsidTr="00170402">
        <w:tc>
          <w:tcPr>
            <w:tcW w:w="4678" w:type="dxa"/>
          </w:tcPr>
          <w:p w14:paraId="712A3731" w14:textId="77777777" w:rsidR="002C69A1" w:rsidRPr="00477BB4" w:rsidRDefault="002C69A1" w:rsidP="00170402">
            <w:pPr>
              <w:adjustRightInd w:val="0"/>
              <w:rPr>
                <w:rFonts w:asciiTheme="majorBidi" w:hAnsiTheme="majorBidi" w:cstheme="majorBidi"/>
                <w:sz w:val="24"/>
                <w:szCs w:val="24"/>
              </w:rPr>
            </w:pPr>
            <w:r w:rsidRPr="00477BB4">
              <w:rPr>
                <w:rFonts w:asciiTheme="majorBidi" w:hAnsiTheme="majorBidi" w:cstheme="majorBidi"/>
                <w:sz w:val="24"/>
                <w:szCs w:val="24"/>
              </w:rPr>
              <w:t>4.</w:t>
            </w:r>
            <w:r>
              <w:rPr>
                <w:rFonts w:asciiTheme="majorBidi" w:hAnsiTheme="majorBidi" w:cstheme="majorBidi"/>
                <w:sz w:val="24"/>
                <w:szCs w:val="24"/>
              </w:rPr>
              <w:t>5</w:t>
            </w:r>
            <w:r w:rsidRPr="00477BB4">
              <w:rPr>
                <w:rFonts w:asciiTheme="majorBidi" w:hAnsiTheme="majorBidi" w:cstheme="majorBidi"/>
                <w:sz w:val="24"/>
                <w:szCs w:val="24"/>
              </w:rPr>
              <w:t>.2</w:t>
            </w:r>
            <w:r>
              <w:rPr>
                <w:rFonts w:asciiTheme="majorBidi" w:hAnsiTheme="majorBidi" w:cstheme="majorBidi"/>
                <w:sz w:val="24"/>
                <w:szCs w:val="24"/>
              </w:rPr>
              <w:t xml:space="preserve"> Value Congruence</w:t>
            </w:r>
            <w:r w:rsidRPr="00477BB4">
              <w:rPr>
                <w:rFonts w:asciiTheme="majorBidi" w:hAnsiTheme="majorBidi" w:cstheme="majorBidi"/>
                <w:sz w:val="24"/>
                <w:szCs w:val="24"/>
              </w:rPr>
              <w:t xml:space="preserve"> Application</w:t>
            </w:r>
          </w:p>
        </w:tc>
        <w:tc>
          <w:tcPr>
            <w:tcW w:w="4962" w:type="dxa"/>
          </w:tcPr>
          <w:p w14:paraId="7B94594B"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5329440"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28</w:t>
            </w:r>
          </w:p>
        </w:tc>
      </w:tr>
      <w:tr w:rsidR="002C69A1" w:rsidRPr="00E27067" w14:paraId="5FD456B4" w14:textId="77777777" w:rsidTr="00170402">
        <w:tc>
          <w:tcPr>
            <w:tcW w:w="4678" w:type="dxa"/>
          </w:tcPr>
          <w:p w14:paraId="1A123D6B"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4.</w:t>
            </w:r>
            <w:r>
              <w:rPr>
                <w:rFonts w:asciiTheme="majorBidi" w:hAnsiTheme="majorBidi" w:cstheme="majorBidi"/>
                <w:sz w:val="24"/>
                <w:szCs w:val="24"/>
              </w:rPr>
              <w:t>6</w:t>
            </w:r>
            <w:r w:rsidRPr="00477BB4">
              <w:rPr>
                <w:rFonts w:asciiTheme="majorBidi" w:hAnsiTheme="majorBidi" w:cstheme="majorBidi"/>
                <w:sz w:val="24"/>
                <w:szCs w:val="24"/>
              </w:rPr>
              <w:t xml:space="preserve"> Conceptual Framework </w:t>
            </w:r>
          </w:p>
        </w:tc>
        <w:tc>
          <w:tcPr>
            <w:tcW w:w="4962" w:type="dxa"/>
          </w:tcPr>
          <w:p w14:paraId="48CADE9B"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9CAB025"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30</w:t>
            </w:r>
          </w:p>
        </w:tc>
      </w:tr>
      <w:tr w:rsidR="002C69A1" w:rsidRPr="00E27067" w14:paraId="55EDE27D" w14:textId="77777777" w:rsidTr="00170402">
        <w:tc>
          <w:tcPr>
            <w:tcW w:w="4678" w:type="dxa"/>
          </w:tcPr>
          <w:p w14:paraId="700F1A5E"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Chapter 5</w:t>
            </w:r>
            <w:r w:rsidRPr="00477BB4">
              <w:rPr>
                <w:rFonts w:asciiTheme="majorBidi" w:hAnsiTheme="majorBidi" w:cstheme="majorBidi"/>
                <w:sz w:val="24"/>
                <w:szCs w:val="24"/>
              </w:rPr>
              <w:t xml:space="preserve"> </w:t>
            </w:r>
            <w:r>
              <w:rPr>
                <w:rFonts w:asciiTheme="majorBidi" w:hAnsiTheme="majorBidi" w:cstheme="majorBidi"/>
                <w:sz w:val="24"/>
                <w:szCs w:val="24"/>
              </w:rPr>
              <w:t>–</w:t>
            </w:r>
            <w:r w:rsidRPr="00477BB4">
              <w:rPr>
                <w:rFonts w:asciiTheme="majorBidi" w:hAnsiTheme="majorBidi" w:cstheme="majorBidi"/>
                <w:sz w:val="24"/>
                <w:szCs w:val="24"/>
              </w:rPr>
              <w:t xml:space="preserve"> </w:t>
            </w:r>
            <w:r>
              <w:rPr>
                <w:rFonts w:asciiTheme="majorBidi" w:hAnsiTheme="majorBidi" w:cstheme="majorBidi"/>
                <w:sz w:val="24"/>
                <w:szCs w:val="24"/>
              </w:rPr>
              <w:t xml:space="preserve">Methodology </w:t>
            </w:r>
            <w:r w:rsidRPr="00477BB4">
              <w:rPr>
                <w:rFonts w:asciiTheme="majorBidi" w:hAnsiTheme="majorBidi" w:cstheme="majorBidi"/>
                <w:sz w:val="24"/>
                <w:szCs w:val="24"/>
              </w:rPr>
              <w:t xml:space="preserve"> </w:t>
            </w:r>
          </w:p>
        </w:tc>
        <w:tc>
          <w:tcPr>
            <w:tcW w:w="4962" w:type="dxa"/>
          </w:tcPr>
          <w:p w14:paraId="0E738655"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0F519DD"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34</w:t>
            </w:r>
          </w:p>
        </w:tc>
      </w:tr>
      <w:tr w:rsidR="002C69A1" w:rsidRPr="00E27067" w14:paraId="6F8B7E22" w14:textId="77777777" w:rsidTr="00170402">
        <w:tc>
          <w:tcPr>
            <w:tcW w:w="4678" w:type="dxa"/>
          </w:tcPr>
          <w:p w14:paraId="2216BFE3"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5.</w:t>
            </w:r>
            <w:r>
              <w:rPr>
                <w:rFonts w:asciiTheme="majorBidi" w:hAnsiTheme="majorBidi" w:cstheme="majorBidi"/>
                <w:sz w:val="24"/>
                <w:szCs w:val="24"/>
              </w:rPr>
              <w:t>0</w:t>
            </w:r>
            <w:r w:rsidRPr="00477BB4">
              <w:rPr>
                <w:rFonts w:asciiTheme="majorBidi" w:hAnsiTheme="majorBidi" w:cstheme="majorBidi"/>
                <w:sz w:val="24"/>
                <w:szCs w:val="24"/>
              </w:rPr>
              <w:t xml:space="preserve"> Introduction</w:t>
            </w:r>
          </w:p>
        </w:tc>
        <w:tc>
          <w:tcPr>
            <w:tcW w:w="4962" w:type="dxa"/>
          </w:tcPr>
          <w:p w14:paraId="5DCC2AAD"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7C8E0610"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34</w:t>
            </w:r>
          </w:p>
        </w:tc>
      </w:tr>
      <w:tr w:rsidR="002C69A1" w:rsidRPr="00E27067" w14:paraId="1E72D450" w14:textId="77777777" w:rsidTr="00170402">
        <w:tc>
          <w:tcPr>
            <w:tcW w:w="4678" w:type="dxa"/>
          </w:tcPr>
          <w:p w14:paraId="5572D4F6"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5.</w:t>
            </w:r>
            <w:r>
              <w:rPr>
                <w:rFonts w:asciiTheme="majorBidi" w:hAnsiTheme="majorBidi" w:cstheme="majorBidi"/>
                <w:sz w:val="24"/>
                <w:szCs w:val="24"/>
              </w:rPr>
              <w:t>1</w:t>
            </w:r>
            <w:r w:rsidRPr="00477BB4">
              <w:rPr>
                <w:rFonts w:asciiTheme="majorBidi" w:hAnsiTheme="majorBidi" w:cstheme="majorBidi"/>
                <w:sz w:val="24"/>
                <w:szCs w:val="24"/>
              </w:rPr>
              <w:t xml:space="preserve"> Summary of Research Design </w:t>
            </w:r>
          </w:p>
        </w:tc>
        <w:tc>
          <w:tcPr>
            <w:tcW w:w="4962" w:type="dxa"/>
          </w:tcPr>
          <w:p w14:paraId="3160CFE3"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A140E3B"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34</w:t>
            </w:r>
          </w:p>
        </w:tc>
      </w:tr>
      <w:tr w:rsidR="002C69A1" w:rsidRPr="00E27067" w14:paraId="47488B34" w14:textId="77777777" w:rsidTr="00170402">
        <w:tc>
          <w:tcPr>
            <w:tcW w:w="4678" w:type="dxa"/>
          </w:tcPr>
          <w:p w14:paraId="3647C39A"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5.</w:t>
            </w:r>
            <w:r>
              <w:rPr>
                <w:rFonts w:asciiTheme="majorBidi" w:hAnsiTheme="majorBidi" w:cstheme="majorBidi"/>
                <w:sz w:val="24"/>
                <w:szCs w:val="24"/>
              </w:rPr>
              <w:t>2</w:t>
            </w:r>
            <w:r w:rsidRPr="00477BB4">
              <w:rPr>
                <w:rFonts w:asciiTheme="majorBidi" w:hAnsiTheme="majorBidi" w:cstheme="majorBidi"/>
                <w:sz w:val="24"/>
                <w:szCs w:val="24"/>
              </w:rPr>
              <w:t xml:space="preserve"> Ontological and epistemological assumptions </w:t>
            </w:r>
          </w:p>
        </w:tc>
        <w:tc>
          <w:tcPr>
            <w:tcW w:w="4962" w:type="dxa"/>
          </w:tcPr>
          <w:p w14:paraId="7A27A9CF"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5EAA533F" w14:textId="77777777" w:rsidR="002C69A1" w:rsidRPr="00E27067" w:rsidRDefault="002C69A1" w:rsidP="00170402">
            <w:pPr>
              <w:rPr>
                <w:rFonts w:asciiTheme="majorBidi" w:hAnsiTheme="majorBidi" w:cstheme="majorBidi"/>
              </w:rPr>
            </w:pPr>
            <w:r>
              <w:rPr>
                <w:rFonts w:asciiTheme="majorBidi" w:hAnsiTheme="majorBidi" w:cstheme="majorBidi"/>
              </w:rPr>
              <w:t>136</w:t>
            </w:r>
          </w:p>
        </w:tc>
      </w:tr>
      <w:tr w:rsidR="002C69A1" w:rsidRPr="00E27067" w14:paraId="4A190702" w14:textId="77777777" w:rsidTr="00170402">
        <w:tc>
          <w:tcPr>
            <w:tcW w:w="4678" w:type="dxa"/>
          </w:tcPr>
          <w:p w14:paraId="45111245"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5.</w:t>
            </w:r>
            <w:r>
              <w:rPr>
                <w:rFonts w:asciiTheme="majorBidi" w:hAnsiTheme="majorBidi" w:cstheme="majorBidi"/>
                <w:sz w:val="24"/>
                <w:szCs w:val="24"/>
              </w:rPr>
              <w:t>2</w:t>
            </w:r>
            <w:r w:rsidRPr="00477BB4">
              <w:rPr>
                <w:rFonts w:asciiTheme="majorBidi" w:hAnsiTheme="majorBidi" w:cstheme="majorBidi"/>
                <w:sz w:val="24"/>
                <w:szCs w:val="24"/>
              </w:rPr>
              <w:t xml:space="preserve">.1 Ontology </w:t>
            </w:r>
          </w:p>
        </w:tc>
        <w:tc>
          <w:tcPr>
            <w:tcW w:w="4962" w:type="dxa"/>
          </w:tcPr>
          <w:p w14:paraId="3AF6CCBD"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919492D" w14:textId="77777777" w:rsidR="002C69A1" w:rsidRPr="00E27067" w:rsidRDefault="002C69A1" w:rsidP="00170402">
            <w:pPr>
              <w:rPr>
                <w:rFonts w:asciiTheme="majorBidi" w:hAnsiTheme="majorBidi" w:cstheme="majorBidi"/>
              </w:rPr>
            </w:pPr>
            <w:r>
              <w:rPr>
                <w:rFonts w:asciiTheme="majorBidi" w:hAnsiTheme="majorBidi" w:cstheme="majorBidi"/>
              </w:rPr>
              <w:t>136</w:t>
            </w:r>
          </w:p>
        </w:tc>
      </w:tr>
      <w:tr w:rsidR="002C69A1" w:rsidRPr="00E27067" w14:paraId="4D9A6DA9" w14:textId="77777777" w:rsidTr="00170402">
        <w:tc>
          <w:tcPr>
            <w:tcW w:w="4678" w:type="dxa"/>
          </w:tcPr>
          <w:p w14:paraId="3D2EB264"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5.</w:t>
            </w:r>
            <w:r>
              <w:rPr>
                <w:rFonts w:asciiTheme="majorBidi" w:hAnsiTheme="majorBidi" w:cstheme="majorBidi"/>
                <w:sz w:val="24"/>
                <w:szCs w:val="24"/>
              </w:rPr>
              <w:t>2</w:t>
            </w:r>
            <w:r w:rsidRPr="00477BB4">
              <w:rPr>
                <w:rFonts w:asciiTheme="majorBidi" w:hAnsiTheme="majorBidi" w:cstheme="majorBidi"/>
                <w:sz w:val="24"/>
                <w:szCs w:val="24"/>
              </w:rPr>
              <w:t xml:space="preserve">.2 Epistemology </w:t>
            </w:r>
          </w:p>
        </w:tc>
        <w:tc>
          <w:tcPr>
            <w:tcW w:w="4962" w:type="dxa"/>
          </w:tcPr>
          <w:p w14:paraId="437E77ED"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5CB9184"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40</w:t>
            </w:r>
          </w:p>
        </w:tc>
      </w:tr>
      <w:tr w:rsidR="002C69A1" w:rsidRPr="00E27067" w14:paraId="02BCEB75" w14:textId="77777777" w:rsidTr="00170402">
        <w:tc>
          <w:tcPr>
            <w:tcW w:w="4678" w:type="dxa"/>
          </w:tcPr>
          <w:p w14:paraId="386DDE23" w14:textId="77777777" w:rsidR="002C69A1" w:rsidRPr="00477BB4"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477BB4">
              <w:rPr>
                <w:rFonts w:asciiTheme="majorBidi" w:hAnsiTheme="majorBidi" w:cstheme="majorBidi"/>
                <w:sz w:val="24"/>
                <w:szCs w:val="24"/>
              </w:rPr>
              <w:t>5.</w:t>
            </w:r>
            <w:r>
              <w:rPr>
                <w:rFonts w:asciiTheme="majorBidi" w:hAnsiTheme="majorBidi" w:cstheme="majorBidi"/>
                <w:sz w:val="24"/>
                <w:szCs w:val="24"/>
              </w:rPr>
              <w:t>3</w:t>
            </w:r>
            <w:r w:rsidRPr="00477BB4">
              <w:rPr>
                <w:rFonts w:asciiTheme="majorBidi" w:hAnsiTheme="majorBidi" w:cstheme="majorBidi"/>
                <w:sz w:val="24"/>
                <w:szCs w:val="24"/>
              </w:rPr>
              <w:t xml:space="preserve"> Reliability and Validity of Research Methods </w:t>
            </w:r>
          </w:p>
        </w:tc>
        <w:tc>
          <w:tcPr>
            <w:tcW w:w="4962" w:type="dxa"/>
          </w:tcPr>
          <w:p w14:paraId="69EFB436"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BE1711B" w14:textId="77777777" w:rsidR="002C69A1" w:rsidRPr="00E27067" w:rsidRDefault="002C69A1" w:rsidP="00170402">
            <w:pPr>
              <w:rPr>
                <w:rFonts w:asciiTheme="majorBidi" w:hAnsiTheme="majorBidi" w:cstheme="majorBidi"/>
              </w:rPr>
            </w:pPr>
            <w:r>
              <w:rPr>
                <w:rFonts w:asciiTheme="majorBidi" w:hAnsiTheme="majorBidi" w:cstheme="majorBidi"/>
              </w:rPr>
              <w:t>141</w:t>
            </w:r>
          </w:p>
        </w:tc>
      </w:tr>
      <w:tr w:rsidR="002C69A1" w:rsidRPr="00E27067" w14:paraId="2118E719" w14:textId="77777777" w:rsidTr="00170402">
        <w:tc>
          <w:tcPr>
            <w:tcW w:w="4678" w:type="dxa"/>
          </w:tcPr>
          <w:p w14:paraId="24A1A865" w14:textId="77777777" w:rsidR="002C69A1" w:rsidRPr="00FF3B00"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  </w:t>
            </w:r>
            <w:r w:rsidRPr="00FF3B00">
              <w:rPr>
                <w:rFonts w:asciiTheme="majorBidi" w:hAnsiTheme="majorBidi" w:cstheme="majorBidi"/>
                <w:sz w:val="24"/>
                <w:szCs w:val="24"/>
              </w:rPr>
              <w:t>5.</w:t>
            </w:r>
            <w:r>
              <w:rPr>
                <w:rFonts w:asciiTheme="majorBidi" w:hAnsiTheme="majorBidi" w:cstheme="majorBidi"/>
                <w:sz w:val="24"/>
                <w:szCs w:val="24"/>
              </w:rPr>
              <w:t>4</w:t>
            </w:r>
            <w:r w:rsidRPr="00FF3B00">
              <w:rPr>
                <w:rFonts w:asciiTheme="majorBidi" w:hAnsiTheme="majorBidi" w:cstheme="majorBidi"/>
                <w:sz w:val="24"/>
                <w:szCs w:val="24"/>
              </w:rPr>
              <w:t xml:space="preserve"> Study 1: Survey experiment </w:t>
            </w:r>
          </w:p>
        </w:tc>
        <w:tc>
          <w:tcPr>
            <w:tcW w:w="4962" w:type="dxa"/>
          </w:tcPr>
          <w:p w14:paraId="68C5E9B5"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BA3AC62"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42</w:t>
            </w:r>
          </w:p>
        </w:tc>
      </w:tr>
      <w:tr w:rsidR="002C69A1" w:rsidRPr="00E27067" w14:paraId="391D7E82" w14:textId="77777777" w:rsidTr="00170402">
        <w:tc>
          <w:tcPr>
            <w:tcW w:w="4678" w:type="dxa"/>
          </w:tcPr>
          <w:p w14:paraId="53666619" w14:textId="77777777" w:rsidR="002C69A1" w:rsidRPr="00FF3B00" w:rsidRDefault="002C69A1" w:rsidP="00170402">
            <w:pPr>
              <w:adjustRightInd w:val="0"/>
              <w:rPr>
                <w:rFonts w:asciiTheme="majorBidi" w:hAnsiTheme="majorBidi" w:cstheme="majorBidi"/>
                <w:sz w:val="24"/>
                <w:szCs w:val="24"/>
              </w:rPr>
            </w:pPr>
            <w:r w:rsidRPr="00FF3B00">
              <w:rPr>
                <w:rFonts w:asciiTheme="majorBidi" w:hAnsiTheme="majorBidi" w:cstheme="majorBidi"/>
                <w:sz w:val="24"/>
                <w:szCs w:val="24"/>
              </w:rPr>
              <w:t>5.</w:t>
            </w:r>
            <w:r>
              <w:rPr>
                <w:rFonts w:asciiTheme="majorBidi" w:hAnsiTheme="majorBidi" w:cstheme="majorBidi"/>
                <w:sz w:val="24"/>
                <w:szCs w:val="24"/>
              </w:rPr>
              <w:t>4</w:t>
            </w:r>
            <w:r w:rsidRPr="00FF3B00">
              <w:rPr>
                <w:rFonts w:asciiTheme="majorBidi" w:hAnsiTheme="majorBidi" w:cstheme="majorBidi"/>
                <w:sz w:val="24"/>
                <w:szCs w:val="24"/>
              </w:rPr>
              <w:t xml:space="preserve">.1. Reliability and Validity in Survey Experiments </w:t>
            </w:r>
          </w:p>
        </w:tc>
        <w:tc>
          <w:tcPr>
            <w:tcW w:w="4962" w:type="dxa"/>
          </w:tcPr>
          <w:p w14:paraId="1A67B9E1"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1852BCB1"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42</w:t>
            </w:r>
          </w:p>
        </w:tc>
      </w:tr>
      <w:tr w:rsidR="002C69A1" w:rsidRPr="00E27067" w14:paraId="63AFFC5E" w14:textId="77777777" w:rsidTr="00170402">
        <w:tc>
          <w:tcPr>
            <w:tcW w:w="4678" w:type="dxa"/>
          </w:tcPr>
          <w:p w14:paraId="3B8B2183" w14:textId="77777777" w:rsidR="002C69A1" w:rsidRPr="00FF3B00" w:rsidRDefault="002C69A1" w:rsidP="00170402">
            <w:pPr>
              <w:adjustRightInd w:val="0"/>
              <w:rPr>
                <w:rFonts w:asciiTheme="majorBidi" w:hAnsiTheme="majorBidi" w:cstheme="majorBidi"/>
                <w:sz w:val="24"/>
                <w:szCs w:val="24"/>
              </w:rPr>
            </w:pPr>
            <w:r w:rsidRPr="00FF3B00">
              <w:rPr>
                <w:rFonts w:asciiTheme="majorBidi" w:hAnsiTheme="majorBidi" w:cstheme="majorBidi"/>
                <w:sz w:val="24"/>
                <w:szCs w:val="24"/>
              </w:rPr>
              <w:t>5.</w:t>
            </w:r>
            <w:r>
              <w:rPr>
                <w:rFonts w:asciiTheme="majorBidi" w:hAnsiTheme="majorBidi" w:cstheme="majorBidi"/>
                <w:sz w:val="24"/>
                <w:szCs w:val="24"/>
              </w:rPr>
              <w:t>4</w:t>
            </w:r>
            <w:r w:rsidRPr="00FF3B00">
              <w:rPr>
                <w:rFonts w:asciiTheme="majorBidi" w:hAnsiTheme="majorBidi" w:cstheme="majorBidi"/>
                <w:sz w:val="24"/>
                <w:szCs w:val="24"/>
              </w:rPr>
              <w:t xml:space="preserve">.2. Design Process </w:t>
            </w:r>
          </w:p>
        </w:tc>
        <w:tc>
          <w:tcPr>
            <w:tcW w:w="4962" w:type="dxa"/>
          </w:tcPr>
          <w:p w14:paraId="639161B9"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5B5EECD1"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43</w:t>
            </w:r>
          </w:p>
        </w:tc>
      </w:tr>
      <w:tr w:rsidR="002C69A1" w:rsidRPr="00E27067" w14:paraId="2277BC30" w14:textId="77777777" w:rsidTr="00170402">
        <w:trPr>
          <w:trHeight w:val="209"/>
        </w:trPr>
        <w:tc>
          <w:tcPr>
            <w:tcW w:w="4678" w:type="dxa"/>
          </w:tcPr>
          <w:p w14:paraId="7171984F" w14:textId="77777777" w:rsidR="002C69A1" w:rsidRPr="00FF3B00" w:rsidRDefault="002C69A1" w:rsidP="00170402">
            <w:pPr>
              <w:adjustRightInd w:val="0"/>
              <w:rPr>
                <w:rFonts w:asciiTheme="majorBidi" w:hAnsiTheme="majorBidi" w:cstheme="majorBidi"/>
                <w:sz w:val="24"/>
                <w:szCs w:val="24"/>
              </w:rPr>
            </w:pPr>
            <w:r w:rsidRPr="00FF3B00">
              <w:rPr>
                <w:rFonts w:asciiTheme="majorBidi" w:hAnsiTheme="majorBidi" w:cstheme="majorBidi"/>
                <w:sz w:val="24"/>
                <w:szCs w:val="24"/>
              </w:rPr>
              <w:t>5.</w:t>
            </w:r>
            <w:r>
              <w:rPr>
                <w:rFonts w:asciiTheme="majorBidi" w:hAnsiTheme="majorBidi" w:cstheme="majorBidi"/>
                <w:sz w:val="24"/>
                <w:szCs w:val="24"/>
              </w:rPr>
              <w:t>4</w:t>
            </w:r>
            <w:r w:rsidRPr="00FF3B00">
              <w:rPr>
                <w:rFonts w:asciiTheme="majorBidi" w:hAnsiTheme="majorBidi" w:cstheme="majorBidi"/>
                <w:sz w:val="24"/>
                <w:szCs w:val="24"/>
              </w:rPr>
              <w:t>.3. Stimuli Development</w:t>
            </w:r>
          </w:p>
        </w:tc>
        <w:tc>
          <w:tcPr>
            <w:tcW w:w="4962" w:type="dxa"/>
          </w:tcPr>
          <w:p w14:paraId="2DECF9B3"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77340A30"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46</w:t>
            </w:r>
          </w:p>
        </w:tc>
      </w:tr>
      <w:tr w:rsidR="002C69A1" w:rsidRPr="00E27067" w14:paraId="0CC06180" w14:textId="77777777" w:rsidTr="00170402">
        <w:tc>
          <w:tcPr>
            <w:tcW w:w="4678" w:type="dxa"/>
          </w:tcPr>
          <w:p w14:paraId="667B54E0" w14:textId="77777777" w:rsidR="002C69A1" w:rsidRPr="00FF3B00" w:rsidRDefault="002C69A1" w:rsidP="00170402">
            <w:pPr>
              <w:adjustRightInd w:val="0"/>
              <w:rPr>
                <w:rFonts w:asciiTheme="majorBidi" w:hAnsiTheme="majorBidi" w:cstheme="majorBidi"/>
                <w:sz w:val="24"/>
                <w:szCs w:val="24"/>
              </w:rPr>
            </w:pPr>
            <w:r w:rsidRPr="00FF3B00">
              <w:rPr>
                <w:rFonts w:asciiTheme="majorBidi" w:hAnsiTheme="majorBidi" w:cstheme="majorBidi"/>
                <w:sz w:val="24"/>
                <w:szCs w:val="24"/>
              </w:rPr>
              <w:t>5.</w:t>
            </w:r>
            <w:r>
              <w:rPr>
                <w:rFonts w:asciiTheme="majorBidi" w:hAnsiTheme="majorBidi" w:cstheme="majorBidi"/>
                <w:sz w:val="24"/>
                <w:szCs w:val="24"/>
              </w:rPr>
              <w:t>4</w:t>
            </w:r>
            <w:r w:rsidRPr="00FF3B00">
              <w:rPr>
                <w:rFonts w:asciiTheme="majorBidi" w:hAnsiTheme="majorBidi" w:cstheme="majorBidi"/>
                <w:sz w:val="24"/>
                <w:szCs w:val="24"/>
              </w:rPr>
              <w:t>.</w:t>
            </w:r>
            <w:r>
              <w:rPr>
                <w:rFonts w:asciiTheme="majorBidi" w:hAnsiTheme="majorBidi" w:cstheme="majorBidi"/>
                <w:sz w:val="24"/>
                <w:szCs w:val="24"/>
              </w:rPr>
              <w:t>4</w:t>
            </w:r>
            <w:r w:rsidRPr="00FF3B00">
              <w:rPr>
                <w:rFonts w:asciiTheme="majorBidi" w:hAnsiTheme="majorBidi" w:cstheme="majorBidi"/>
                <w:sz w:val="24"/>
                <w:szCs w:val="24"/>
              </w:rPr>
              <w:t xml:space="preserve">. </w:t>
            </w:r>
            <w:r>
              <w:rPr>
                <w:rFonts w:asciiTheme="majorBidi" w:hAnsiTheme="majorBidi" w:cstheme="majorBidi"/>
                <w:sz w:val="24"/>
                <w:szCs w:val="24"/>
              </w:rPr>
              <w:t xml:space="preserve">Pilot Study </w:t>
            </w:r>
          </w:p>
        </w:tc>
        <w:tc>
          <w:tcPr>
            <w:tcW w:w="4962" w:type="dxa"/>
          </w:tcPr>
          <w:p w14:paraId="2474149B"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1447421F"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50</w:t>
            </w:r>
          </w:p>
        </w:tc>
      </w:tr>
      <w:tr w:rsidR="002C69A1" w:rsidRPr="00E27067" w14:paraId="7287A1B0" w14:textId="77777777" w:rsidTr="00170402">
        <w:tc>
          <w:tcPr>
            <w:tcW w:w="4678" w:type="dxa"/>
          </w:tcPr>
          <w:p w14:paraId="4B6934DB" w14:textId="77777777" w:rsidR="002C69A1" w:rsidRPr="00FF3B00" w:rsidRDefault="002C69A1" w:rsidP="00170402">
            <w:pPr>
              <w:adjustRightInd w:val="0"/>
              <w:rPr>
                <w:rFonts w:asciiTheme="majorBidi" w:hAnsiTheme="majorBidi" w:cstheme="majorBidi"/>
                <w:sz w:val="24"/>
                <w:szCs w:val="24"/>
              </w:rPr>
            </w:pPr>
            <w:r>
              <w:rPr>
                <w:rFonts w:asciiTheme="majorBidi" w:hAnsiTheme="majorBidi" w:cstheme="majorBidi"/>
                <w:sz w:val="24"/>
                <w:szCs w:val="24"/>
              </w:rPr>
              <w:t xml:space="preserve">5.4.5 Survey Experiment Design </w:t>
            </w:r>
          </w:p>
        </w:tc>
        <w:tc>
          <w:tcPr>
            <w:tcW w:w="4962" w:type="dxa"/>
          </w:tcPr>
          <w:p w14:paraId="1E1D88BB" w14:textId="77777777" w:rsidR="002C69A1"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E13393C"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51</w:t>
            </w:r>
          </w:p>
        </w:tc>
      </w:tr>
      <w:tr w:rsidR="002C69A1" w:rsidRPr="00E27067" w14:paraId="0D468581" w14:textId="77777777" w:rsidTr="00170402">
        <w:tc>
          <w:tcPr>
            <w:tcW w:w="4678" w:type="dxa"/>
          </w:tcPr>
          <w:p w14:paraId="5852D68C" w14:textId="77777777" w:rsidR="002C69A1" w:rsidRPr="00847374" w:rsidRDefault="002C69A1" w:rsidP="00170402">
            <w:pPr>
              <w:adjustRightInd w:val="0"/>
              <w:rPr>
                <w:rFonts w:asciiTheme="majorBidi" w:hAnsiTheme="majorBidi" w:cstheme="majorBidi"/>
                <w:sz w:val="24"/>
                <w:szCs w:val="24"/>
              </w:rPr>
            </w:pPr>
            <w:r w:rsidRPr="00847374">
              <w:rPr>
                <w:rFonts w:asciiTheme="majorBidi" w:hAnsiTheme="majorBidi" w:cstheme="majorBidi"/>
                <w:sz w:val="24"/>
                <w:szCs w:val="24"/>
              </w:rPr>
              <w:t>5.</w:t>
            </w:r>
            <w:r>
              <w:rPr>
                <w:rFonts w:asciiTheme="majorBidi" w:hAnsiTheme="majorBidi" w:cstheme="majorBidi"/>
                <w:sz w:val="24"/>
                <w:szCs w:val="24"/>
              </w:rPr>
              <w:t>4</w:t>
            </w:r>
            <w:r w:rsidRPr="00847374">
              <w:rPr>
                <w:rFonts w:asciiTheme="majorBidi" w:hAnsiTheme="majorBidi" w:cstheme="majorBidi"/>
                <w:sz w:val="24"/>
                <w:szCs w:val="24"/>
              </w:rPr>
              <w:t>.6. Questionnaire Design</w:t>
            </w:r>
          </w:p>
        </w:tc>
        <w:tc>
          <w:tcPr>
            <w:tcW w:w="4962" w:type="dxa"/>
          </w:tcPr>
          <w:p w14:paraId="7CFD8B34"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5D23BA2"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52</w:t>
            </w:r>
          </w:p>
        </w:tc>
      </w:tr>
      <w:tr w:rsidR="002C69A1" w:rsidRPr="00E27067" w14:paraId="3BED6B05" w14:textId="77777777" w:rsidTr="00170402">
        <w:tc>
          <w:tcPr>
            <w:tcW w:w="4678" w:type="dxa"/>
          </w:tcPr>
          <w:p w14:paraId="657C5C8F" w14:textId="77777777" w:rsidR="002C69A1" w:rsidRPr="00847374" w:rsidRDefault="002C69A1" w:rsidP="00170402">
            <w:pPr>
              <w:adjustRightInd w:val="0"/>
              <w:rPr>
                <w:rFonts w:asciiTheme="majorBidi" w:hAnsiTheme="majorBidi" w:cstheme="majorBidi"/>
                <w:sz w:val="24"/>
                <w:szCs w:val="24"/>
              </w:rPr>
            </w:pPr>
            <w:r w:rsidRPr="00B9061D">
              <w:rPr>
                <w:rFonts w:asciiTheme="majorBidi" w:hAnsiTheme="majorBidi" w:cstheme="majorBidi"/>
                <w:sz w:val="24"/>
                <w:szCs w:val="24"/>
              </w:rPr>
              <w:t>5.4.6.1 Socio-economic status questions</w:t>
            </w:r>
          </w:p>
        </w:tc>
        <w:tc>
          <w:tcPr>
            <w:tcW w:w="4962" w:type="dxa"/>
          </w:tcPr>
          <w:p w14:paraId="6EF7CAB7"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328B67B"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55</w:t>
            </w:r>
          </w:p>
        </w:tc>
      </w:tr>
      <w:tr w:rsidR="002C69A1" w:rsidRPr="00E27067" w14:paraId="42D7663C" w14:textId="77777777" w:rsidTr="00170402">
        <w:tc>
          <w:tcPr>
            <w:tcW w:w="4678" w:type="dxa"/>
          </w:tcPr>
          <w:p w14:paraId="1E2F6C98" w14:textId="77777777" w:rsidR="002C69A1" w:rsidRPr="00847374" w:rsidRDefault="002C69A1" w:rsidP="00170402">
            <w:pPr>
              <w:rPr>
                <w:rFonts w:asciiTheme="majorBidi" w:hAnsiTheme="majorBidi" w:cstheme="majorBidi"/>
                <w:sz w:val="24"/>
                <w:szCs w:val="24"/>
              </w:rPr>
            </w:pPr>
            <w:r w:rsidRPr="00847374">
              <w:rPr>
                <w:rFonts w:asciiTheme="majorBidi" w:hAnsiTheme="majorBidi" w:cstheme="majorBidi"/>
                <w:sz w:val="24"/>
                <w:szCs w:val="24"/>
              </w:rPr>
              <w:t>5.</w:t>
            </w:r>
            <w:r>
              <w:rPr>
                <w:rFonts w:asciiTheme="majorBidi" w:hAnsiTheme="majorBidi" w:cstheme="majorBidi"/>
                <w:sz w:val="24"/>
                <w:szCs w:val="24"/>
              </w:rPr>
              <w:t>4</w:t>
            </w:r>
            <w:r w:rsidRPr="00847374">
              <w:rPr>
                <w:rFonts w:asciiTheme="majorBidi" w:hAnsiTheme="majorBidi" w:cstheme="majorBidi"/>
                <w:sz w:val="24"/>
                <w:szCs w:val="24"/>
              </w:rPr>
              <w:t>.7 Sampling</w:t>
            </w:r>
          </w:p>
        </w:tc>
        <w:tc>
          <w:tcPr>
            <w:tcW w:w="4962" w:type="dxa"/>
          </w:tcPr>
          <w:p w14:paraId="1C65CB87"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83DB863"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57</w:t>
            </w:r>
          </w:p>
        </w:tc>
      </w:tr>
      <w:tr w:rsidR="002C69A1" w:rsidRPr="00E27067" w14:paraId="01352A92" w14:textId="77777777" w:rsidTr="00170402">
        <w:tc>
          <w:tcPr>
            <w:tcW w:w="4678" w:type="dxa"/>
          </w:tcPr>
          <w:p w14:paraId="5C79F572" w14:textId="77777777" w:rsidR="002C69A1" w:rsidRPr="00847374" w:rsidRDefault="002C69A1" w:rsidP="00170402">
            <w:pPr>
              <w:adjustRightInd w:val="0"/>
              <w:rPr>
                <w:rFonts w:asciiTheme="majorBidi" w:hAnsiTheme="majorBidi" w:cstheme="majorBidi"/>
                <w:sz w:val="24"/>
                <w:szCs w:val="24"/>
              </w:rPr>
            </w:pPr>
            <w:r w:rsidRPr="00847374">
              <w:rPr>
                <w:rFonts w:asciiTheme="majorBidi" w:hAnsiTheme="majorBidi" w:cstheme="majorBidi"/>
                <w:sz w:val="24"/>
                <w:szCs w:val="24"/>
              </w:rPr>
              <w:t>5.</w:t>
            </w:r>
            <w:r>
              <w:rPr>
                <w:rFonts w:asciiTheme="majorBidi" w:hAnsiTheme="majorBidi" w:cstheme="majorBidi"/>
                <w:sz w:val="24"/>
                <w:szCs w:val="24"/>
              </w:rPr>
              <w:t>4</w:t>
            </w:r>
            <w:r w:rsidRPr="00847374">
              <w:rPr>
                <w:rFonts w:asciiTheme="majorBidi" w:hAnsiTheme="majorBidi" w:cstheme="majorBidi"/>
                <w:sz w:val="24"/>
                <w:szCs w:val="24"/>
              </w:rPr>
              <w:t>.8 Recruitment methods</w:t>
            </w:r>
          </w:p>
        </w:tc>
        <w:tc>
          <w:tcPr>
            <w:tcW w:w="4962" w:type="dxa"/>
          </w:tcPr>
          <w:p w14:paraId="4DC9F499"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57B977C8"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59</w:t>
            </w:r>
          </w:p>
        </w:tc>
      </w:tr>
      <w:tr w:rsidR="002C69A1" w:rsidRPr="00E27067" w14:paraId="59F66381" w14:textId="77777777" w:rsidTr="00170402">
        <w:tc>
          <w:tcPr>
            <w:tcW w:w="4678" w:type="dxa"/>
          </w:tcPr>
          <w:p w14:paraId="6FAEE0A1" w14:textId="77777777" w:rsidR="002C69A1" w:rsidRPr="00847374" w:rsidRDefault="002C69A1" w:rsidP="00170402">
            <w:pPr>
              <w:adjustRightInd w:val="0"/>
              <w:jc w:val="both"/>
              <w:rPr>
                <w:rFonts w:asciiTheme="majorBidi" w:hAnsiTheme="majorBidi" w:cstheme="majorBidi"/>
                <w:sz w:val="24"/>
                <w:szCs w:val="24"/>
              </w:rPr>
            </w:pPr>
            <w:r>
              <w:rPr>
                <w:rFonts w:asciiTheme="majorBidi" w:hAnsiTheme="majorBidi" w:cstheme="majorBidi"/>
                <w:sz w:val="24"/>
                <w:szCs w:val="24"/>
              </w:rPr>
              <w:t xml:space="preserve">  </w:t>
            </w:r>
            <w:r w:rsidRPr="00847374">
              <w:rPr>
                <w:rFonts w:asciiTheme="majorBidi" w:hAnsiTheme="majorBidi" w:cstheme="majorBidi"/>
                <w:sz w:val="24"/>
                <w:szCs w:val="24"/>
              </w:rPr>
              <w:t>5.</w:t>
            </w:r>
            <w:r>
              <w:rPr>
                <w:rFonts w:asciiTheme="majorBidi" w:hAnsiTheme="majorBidi" w:cstheme="majorBidi"/>
                <w:sz w:val="24"/>
                <w:szCs w:val="24"/>
              </w:rPr>
              <w:t>5</w:t>
            </w:r>
            <w:r w:rsidRPr="00847374">
              <w:rPr>
                <w:rFonts w:asciiTheme="majorBidi" w:hAnsiTheme="majorBidi" w:cstheme="majorBidi"/>
                <w:sz w:val="24"/>
                <w:szCs w:val="24"/>
              </w:rPr>
              <w:t xml:space="preserve"> Study Two</w:t>
            </w:r>
          </w:p>
        </w:tc>
        <w:tc>
          <w:tcPr>
            <w:tcW w:w="4962" w:type="dxa"/>
          </w:tcPr>
          <w:p w14:paraId="22EC662B"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218515E"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61</w:t>
            </w:r>
          </w:p>
        </w:tc>
      </w:tr>
      <w:tr w:rsidR="002C69A1" w:rsidRPr="00E27067" w14:paraId="48A9355A" w14:textId="77777777" w:rsidTr="00170402">
        <w:tc>
          <w:tcPr>
            <w:tcW w:w="4678" w:type="dxa"/>
          </w:tcPr>
          <w:p w14:paraId="5C543C54" w14:textId="77777777" w:rsidR="002C69A1" w:rsidRDefault="002C69A1" w:rsidP="00170402">
            <w:pPr>
              <w:adjustRightInd w:val="0"/>
              <w:jc w:val="mediumKashida"/>
              <w:rPr>
                <w:rFonts w:asciiTheme="majorBidi" w:hAnsiTheme="majorBidi" w:cstheme="majorBidi"/>
                <w:sz w:val="24"/>
                <w:szCs w:val="24"/>
              </w:rPr>
            </w:pPr>
            <w:r w:rsidRPr="00B9061D">
              <w:rPr>
                <w:rFonts w:asciiTheme="majorBidi" w:hAnsiTheme="majorBidi" w:cstheme="majorBidi"/>
                <w:sz w:val="24"/>
                <w:szCs w:val="24"/>
              </w:rPr>
              <w:t>5.5.1 Reliability and Validity in Semi-structured interviews</w:t>
            </w:r>
          </w:p>
        </w:tc>
        <w:tc>
          <w:tcPr>
            <w:tcW w:w="4962" w:type="dxa"/>
          </w:tcPr>
          <w:p w14:paraId="269B5502"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018F62F"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61</w:t>
            </w:r>
          </w:p>
        </w:tc>
      </w:tr>
      <w:tr w:rsidR="002C69A1" w:rsidRPr="00E27067" w14:paraId="1EF7CFF3" w14:textId="77777777" w:rsidTr="00170402">
        <w:tc>
          <w:tcPr>
            <w:tcW w:w="4678" w:type="dxa"/>
          </w:tcPr>
          <w:p w14:paraId="1E709417" w14:textId="77777777" w:rsidR="002C69A1" w:rsidRPr="00847374" w:rsidRDefault="002C69A1" w:rsidP="00170402">
            <w:pPr>
              <w:adjustRightInd w:val="0"/>
              <w:jc w:val="mediumKashida"/>
              <w:rPr>
                <w:rFonts w:asciiTheme="majorBidi" w:hAnsiTheme="majorBidi" w:cstheme="majorBidi"/>
                <w:sz w:val="24"/>
                <w:szCs w:val="24"/>
              </w:rPr>
            </w:pPr>
            <w:r w:rsidRPr="00847374">
              <w:rPr>
                <w:rFonts w:asciiTheme="majorBidi" w:hAnsiTheme="majorBidi" w:cstheme="majorBidi"/>
                <w:sz w:val="24"/>
                <w:szCs w:val="24"/>
              </w:rPr>
              <w:t>5.</w:t>
            </w:r>
            <w:r>
              <w:rPr>
                <w:rFonts w:asciiTheme="majorBidi" w:hAnsiTheme="majorBidi" w:cstheme="majorBidi"/>
                <w:sz w:val="24"/>
                <w:szCs w:val="24"/>
              </w:rPr>
              <w:t>5</w:t>
            </w:r>
            <w:r w:rsidRPr="00847374">
              <w:rPr>
                <w:rFonts w:asciiTheme="majorBidi" w:hAnsiTheme="majorBidi" w:cstheme="majorBidi"/>
                <w:sz w:val="24"/>
                <w:szCs w:val="24"/>
              </w:rPr>
              <w:t xml:space="preserve">.2 Research Design </w:t>
            </w:r>
          </w:p>
        </w:tc>
        <w:tc>
          <w:tcPr>
            <w:tcW w:w="4962" w:type="dxa"/>
          </w:tcPr>
          <w:p w14:paraId="5FEDFA64"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47ABA578"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63</w:t>
            </w:r>
          </w:p>
        </w:tc>
      </w:tr>
      <w:tr w:rsidR="002C69A1" w:rsidRPr="00E27067" w14:paraId="509ED02F" w14:textId="77777777" w:rsidTr="00170402">
        <w:tc>
          <w:tcPr>
            <w:tcW w:w="4678" w:type="dxa"/>
          </w:tcPr>
          <w:p w14:paraId="23F17193" w14:textId="77777777" w:rsidR="002C69A1" w:rsidRPr="00847374" w:rsidRDefault="002C69A1" w:rsidP="00170402">
            <w:pPr>
              <w:adjustRightInd w:val="0"/>
              <w:jc w:val="both"/>
              <w:rPr>
                <w:rFonts w:asciiTheme="majorBidi" w:hAnsiTheme="majorBidi" w:cstheme="majorBidi"/>
                <w:sz w:val="24"/>
                <w:szCs w:val="24"/>
              </w:rPr>
            </w:pPr>
            <w:r w:rsidRPr="00847374">
              <w:rPr>
                <w:rFonts w:asciiTheme="majorBidi" w:hAnsiTheme="majorBidi" w:cstheme="majorBidi"/>
                <w:sz w:val="24"/>
                <w:szCs w:val="24"/>
              </w:rPr>
              <w:t>5.</w:t>
            </w:r>
            <w:r>
              <w:rPr>
                <w:rFonts w:asciiTheme="majorBidi" w:hAnsiTheme="majorBidi" w:cstheme="majorBidi"/>
                <w:sz w:val="24"/>
                <w:szCs w:val="24"/>
              </w:rPr>
              <w:t>5</w:t>
            </w:r>
            <w:r w:rsidRPr="00847374">
              <w:rPr>
                <w:rFonts w:asciiTheme="majorBidi" w:hAnsiTheme="majorBidi" w:cstheme="majorBidi"/>
                <w:sz w:val="24"/>
                <w:szCs w:val="24"/>
              </w:rPr>
              <w:t>.3 Interview Guide</w:t>
            </w:r>
          </w:p>
        </w:tc>
        <w:tc>
          <w:tcPr>
            <w:tcW w:w="4962" w:type="dxa"/>
          </w:tcPr>
          <w:p w14:paraId="009ED525"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8639D84"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64</w:t>
            </w:r>
          </w:p>
        </w:tc>
      </w:tr>
      <w:tr w:rsidR="002C69A1" w:rsidRPr="00E27067" w14:paraId="73980773" w14:textId="77777777" w:rsidTr="00170402">
        <w:tc>
          <w:tcPr>
            <w:tcW w:w="4678" w:type="dxa"/>
          </w:tcPr>
          <w:p w14:paraId="77A56A58" w14:textId="77777777" w:rsidR="002C69A1" w:rsidRPr="00847374" w:rsidRDefault="002C69A1" w:rsidP="00170402">
            <w:pPr>
              <w:adjustRightInd w:val="0"/>
              <w:rPr>
                <w:rFonts w:asciiTheme="majorBidi" w:hAnsiTheme="majorBidi" w:cstheme="majorBidi"/>
                <w:sz w:val="24"/>
                <w:szCs w:val="24"/>
              </w:rPr>
            </w:pPr>
            <w:r w:rsidRPr="00847374">
              <w:rPr>
                <w:rFonts w:asciiTheme="majorBidi" w:hAnsiTheme="majorBidi" w:cstheme="majorBidi"/>
                <w:sz w:val="24"/>
                <w:szCs w:val="24"/>
              </w:rPr>
              <w:t>Chapter 6 Results – Study One</w:t>
            </w:r>
          </w:p>
        </w:tc>
        <w:tc>
          <w:tcPr>
            <w:tcW w:w="4962" w:type="dxa"/>
          </w:tcPr>
          <w:p w14:paraId="1FEDB8EB"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7DDBC817"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66</w:t>
            </w:r>
          </w:p>
        </w:tc>
      </w:tr>
      <w:tr w:rsidR="002C69A1" w:rsidRPr="00E27067" w14:paraId="07A1693F" w14:textId="77777777" w:rsidTr="00170402">
        <w:tc>
          <w:tcPr>
            <w:tcW w:w="4678" w:type="dxa"/>
          </w:tcPr>
          <w:p w14:paraId="2A62B29A" w14:textId="77777777" w:rsidR="002C69A1" w:rsidRPr="00B9061D" w:rsidRDefault="002C69A1" w:rsidP="00170402">
            <w:pPr>
              <w:pStyle w:val="ListParagraph"/>
              <w:ind w:left="0"/>
              <w:rPr>
                <w:rFonts w:asciiTheme="majorBidi" w:hAnsiTheme="majorBidi" w:cstheme="majorBidi"/>
                <w:sz w:val="24"/>
                <w:szCs w:val="24"/>
              </w:rPr>
            </w:pPr>
            <w:r>
              <w:rPr>
                <w:rFonts w:asciiTheme="majorBidi" w:hAnsiTheme="majorBidi" w:cstheme="majorBidi"/>
                <w:sz w:val="24"/>
                <w:szCs w:val="24"/>
              </w:rPr>
              <w:t xml:space="preserve">  6.0 </w:t>
            </w:r>
            <w:r w:rsidRPr="00B9061D">
              <w:rPr>
                <w:rFonts w:asciiTheme="majorBidi" w:hAnsiTheme="majorBidi" w:cstheme="majorBidi"/>
                <w:sz w:val="24"/>
                <w:szCs w:val="24"/>
              </w:rPr>
              <w:t>Introduction</w:t>
            </w:r>
          </w:p>
        </w:tc>
        <w:tc>
          <w:tcPr>
            <w:tcW w:w="4962" w:type="dxa"/>
          </w:tcPr>
          <w:p w14:paraId="276A801C"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BC1748F"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66</w:t>
            </w:r>
          </w:p>
        </w:tc>
      </w:tr>
      <w:tr w:rsidR="002C69A1" w:rsidRPr="00E27067" w14:paraId="3A5EFA11" w14:textId="77777777" w:rsidTr="00170402">
        <w:tc>
          <w:tcPr>
            <w:tcW w:w="4678" w:type="dxa"/>
          </w:tcPr>
          <w:p w14:paraId="564F3A73" w14:textId="77777777" w:rsidR="002C69A1" w:rsidRPr="00847374" w:rsidRDefault="002C69A1" w:rsidP="00170402">
            <w:pPr>
              <w:pStyle w:val="ListParagraph"/>
              <w:ind w:left="0"/>
              <w:rPr>
                <w:rFonts w:asciiTheme="majorBidi" w:hAnsiTheme="majorBidi" w:cstheme="majorBidi"/>
                <w:sz w:val="24"/>
                <w:szCs w:val="24"/>
              </w:rPr>
            </w:pPr>
            <w:r>
              <w:rPr>
                <w:rFonts w:asciiTheme="majorBidi" w:hAnsiTheme="majorBidi" w:cstheme="majorBidi"/>
                <w:sz w:val="24"/>
                <w:szCs w:val="24"/>
              </w:rPr>
              <w:t xml:space="preserve">6.1 </w:t>
            </w:r>
            <w:r w:rsidRPr="00847374">
              <w:rPr>
                <w:rFonts w:asciiTheme="majorBidi" w:hAnsiTheme="majorBidi" w:cstheme="majorBidi"/>
                <w:sz w:val="24"/>
                <w:szCs w:val="24"/>
              </w:rPr>
              <w:t xml:space="preserve">Research questions and hypotheses </w:t>
            </w:r>
          </w:p>
        </w:tc>
        <w:tc>
          <w:tcPr>
            <w:tcW w:w="4962" w:type="dxa"/>
          </w:tcPr>
          <w:p w14:paraId="38824032"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77E57FA6"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66</w:t>
            </w:r>
          </w:p>
        </w:tc>
      </w:tr>
      <w:tr w:rsidR="002C69A1" w:rsidRPr="00E27067" w14:paraId="23B1C98B" w14:textId="77777777" w:rsidTr="00170402">
        <w:tc>
          <w:tcPr>
            <w:tcW w:w="4678" w:type="dxa"/>
          </w:tcPr>
          <w:p w14:paraId="68AC3444" w14:textId="77777777" w:rsidR="002C69A1" w:rsidRPr="00847374" w:rsidRDefault="002C69A1" w:rsidP="00170402">
            <w:pPr>
              <w:pStyle w:val="ListParagraph"/>
              <w:spacing w:before="120"/>
              <w:ind w:left="0"/>
              <w:rPr>
                <w:rFonts w:asciiTheme="majorBidi" w:hAnsiTheme="majorBidi" w:cstheme="majorBidi"/>
                <w:sz w:val="24"/>
                <w:szCs w:val="24"/>
              </w:rPr>
            </w:pPr>
            <w:r>
              <w:rPr>
                <w:rFonts w:asciiTheme="majorBidi" w:hAnsiTheme="majorBidi" w:cstheme="majorBidi"/>
                <w:sz w:val="24"/>
                <w:szCs w:val="24"/>
              </w:rPr>
              <w:t xml:space="preserve">  6.2 </w:t>
            </w:r>
            <w:r w:rsidRPr="00847374">
              <w:rPr>
                <w:rFonts w:asciiTheme="majorBidi" w:hAnsiTheme="majorBidi" w:cstheme="majorBidi"/>
                <w:sz w:val="24"/>
                <w:szCs w:val="24"/>
              </w:rPr>
              <w:t>Sample calculation</w:t>
            </w:r>
          </w:p>
        </w:tc>
        <w:tc>
          <w:tcPr>
            <w:tcW w:w="4962" w:type="dxa"/>
          </w:tcPr>
          <w:p w14:paraId="315E0998"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7FA2CD7A"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68</w:t>
            </w:r>
          </w:p>
        </w:tc>
      </w:tr>
      <w:tr w:rsidR="002C69A1" w:rsidRPr="00E27067" w14:paraId="18E89BBA" w14:textId="77777777" w:rsidTr="00170402">
        <w:tc>
          <w:tcPr>
            <w:tcW w:w="4678" w:type="dxa"/>
          </w:tcPr>
          <w:p w14:paraId="768D95A9" w14:textId="77777777" w:rsidR="002C69A1" w:rsidRPr="00847374" w:rsidRDefault="002C69A1" w:rsidP="00170402">
            <w:pPr>
              <w:contextualSpacing/>
              <w:rPr>
                <w:rFonts w:asciiTheme="majorBidi" w:hAnsiTheme="majorBidi" w:cstheme="majorBidi"/>
                <w:sz w:val="24"/>
                <w:szCs w:val="24"/>
              </w:rPr>
            </w:pPr>
            <w:r>
              <w:rPr>
                <w:rFonts w:asciiTheme="majorBidi" w:hAnsiTheme="majorBidi" w:cstheme="majorBidi"/>
                <w:sz w:val="24"/>
                <w:szCs w:val="24"/>
              </w:rPr>
              <w:t xml:space="preserve">  </w:t>
            </w:r>
            <w:r w:rsidRPr="00847374">
              <w:rPr>
                <w:rFonts w:asciiTheme="majorBidi" w:hAnsiTheme="majorBidi" w:cstheme="majorBidi"/>
                <w:sz w:val="24"/>
                <w:szCs w:val="24"/>
              </w:rPr>
              <w:t>6.</w:t>
            </w:r>
            <w:r>
              <w:rPr>
                <w:rFonts w:asciiTheme="majorBidi" w:hAnsiTheme="majorBidi" w:cstheme="majorBidi"/>
                <w:sz w:val="24"/>
                <w:szCs w:val="24"/>
              </w:rPr>
              <w:t>3</w:t>
            </w:r>
            <w:r w:rsidRPr="00847374">
              <w:rPr>
                <w:rFonts w:asciiTheme="majorBidi" w:hAnsiTheme="majorBidi" w:cstheme="majorBidi"/>
                <w:sz w:val="24"/>
                <w:szCs w:val="24"/>
              </w:rPr>
              <w:t xml:space="preserve"> Descriptive Analysis </w:t>
            </w:r>
          </w:p>
        </w:tc>
        <w:tc>
          <w:tcPr>
            <w:tcW w:w="4962" w:type="dxa"/>
          </w:tcPr>
          <w:p w14:paraId="30B36F21"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EBB0CD8"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68</w:t>
            </w:r>
          </w:p>
        </w:tc>
      </w:tr>
      <w:tr w:rsidR="002C69A1" w:rsidRPr="00E27067" w14:paraId="3A0D1635" w14:textId="77777777" w:rsidTr="00170402">
        <w:tc>
          <w:tcPr>
            <w:tcW w:w="4678" w:type="dxa"/>
          </w:tcPr>
          <w:p w14:paraId="2EAAFFB8" w14:textId="77777777" w:rsidR="002C69A1" w:rsidRPr="00847374" w:rsidRDefault="002C69A1" w:rsidP="00170402">
            <w:pPr>
              <w:spacing w:after="160"/>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847374">
              <w:rPr>
                <w:rFonts w:asciiTheme="majorBidi" w:hAnsiTheme="majorBidi" w:cstheme="majorBidi"/>
                <w:sz w:val="24"/>
                <w:szCs w:val="24"/>
              </w:rPr>
              <w:t>6.</w:t>
            </w:r>
            <w:r>
              <w:rPr>
                <w:rFonts w:asciiTheme="majorBidi" w:hAnsiTheme="majorBidi" w:cstheme="majorBidi"/>
                <w:sz w:val="24"/>
                <w:szCs w:val="24"/>
              </w:rPr>
              <w:t>4</w:t>
            </w:r>
            <w:r w:rsidRPr="00847374">
              <w:rPr>
                <w:rFonts w:asciiTheme="majorBidi" w:hAnsiTheme="majorBidi" w:cstheme="majorBidi"/>
                <w:sz w:val="24"/>
                <w:szCs w:val="24"/>
              </w:rPr>
              <w:t xml:space="preserve"> Missing data Analysis</w:t>
            </w:r>
          </w:p>
        </w:tc>
        <w:tc>
          <w:tcPr>
            <w:tcW w:w="4962" w:type="dxa"/>
          </w:tcPr>
          <w:p w14:paraId="712104D1"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1AC2B100" w14:textId="77777777" w:rsidR="002C69A1" w:rsidRPr="00E27067" w:rsidRDefault="002C69A1" w:rsidP="00170402">
            <w:pPr>
              <w:rPr>
                <w:rFonts w:asciiTheme="majorBidi" w:hAnsiTheme="majorBidi" w:cstheme="majorBidi"/>
              </w:rPr>
            </w:pPr>
            <w:r w:rsidRPr="00E27067">
              <w:rPr>
                <w:rFonts w:asciiTheme="majorBidi" w:hAnsiTheme="majorBidi" w:cstheme="majorBidi"/>
              </w:rPr>
              <w:t>16</w:t>
            </w:r>
            <w:r>
              <w:rPr>
                <w:rFonts w:asciiTheme="majorBidi" w:hAnsiTheme="majorBidi" w:cstheme="majorBidi"/>
              </w:rPr>
              <w:t>9</w:t>
            </w:r>
          </w:p>
        </w:tc>
      </w:tr>
      <w:tr w:rsidR="002C69A1" w:rsidRPr="00E27067" w14:paraId="7E96C14E" w14:textId="77777777" w:rsidTr="00170402">
        <w:tc>
          <w:tcPr>
            <w:tcW w:w="4678" w:type="dxa"/>
          </w:tcPr>
          <w:p w14:paraId="2319B47D" w14:textId="77777777" w:rsidR="002C69A1" w:rsidRPr="00847374" w:rsidRDefault="002C69A1" w:rsidP="00170402">
            <w:pPr>
              <w:adjustRightInd w:val="0"/>
              <w:rPr>
                <w:rFonts w:asciiTheme="majorBidi" w:hAnsiTheme="majorBidi" w:cstheme="majorBidi"/>
                <w:sz w:val="24"/>
                <w:szCs w:val="24"/>
              </w:rPr>
            </w:pPr>
            <w:r>
              <w:rPr>
                <w:rFonts w:asciiTheme="majorBidi" w:eastAsia="Times New Roman" w:hAnsiTheme="majorBidi" w:cstheme="majorBidi"/>
                <w:sz w:val="24"/>
                <w:szCs w:val="24"/>
              </w:rPr>
              <w:t xml:space="preserve">  6.5 </w:t>
            </w:r>
            <w:r w:rsidRPr="00847374">
              <w:rPr>
                <w:rFonts w:asciiTheme="majorBidi" w:eastAsia="Times New Roman" w:hAnsiTheme="majorBidi" w:cstheme="majorBidi"/>
                <w:sz w:val="24"/>
                <w:szCs w:val="24"/>
              </w:rPr>
              <w:t>Demographics Analysis</w:t>
            </w:r>
          </w:p>
        </w:tc>
        <w:tc>
          <w:tcPr>
            <w:tcW w:w="4962" w:type="dxa"/>
          </w:tcPr>
          <w:p w14:paraId="2C2DF2F5"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79CE68C8"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72</w:t>
            </w:r>
          </w:p>
        </w:tc>
      </w:tr>
      <w:tr w:rsidR="002C69A1" w:rsidRPr="00E27067" w14:paraId="63DAEC7C" w14:textId="77777777" w:rsidTr="00170402">
        <w:tc>
          <w:tcPr>
            <w:tcW w:w="4678" w:type="dxa"/>
          </w:tcPr>
          <w:p w14:paraId="7882C8E4" w14:textId="77777777" w:rsidR="002C69A1" w:rsidRPr="00847374" w:rsidRDefault="002C69A1" w:rsidP="00170402">
            <w:pPr>
              <w:spacing w:after="160"/>
              <w:contextualSpacing/>
              <w:jc w:val="both"/>
              <w:rPr>
                <w:rFonts w:asciiTheme="majorBidi" w:hAnsiTheme="majorBidi" w:cstheme="majorBidi"/>
                <w:sz w:val="24"/>
                <w:szCs w:val="24"/>
              </w:rPr>
            </w:pPr>
            <w:r w:rsidRPr="00847374">
              <w:rPr>
                <w:rFonts w:asciiTheme="majorBidi" w:hAnsiTheme="majorBidi" w:cstheme="majorBidi"/>
                <w:sz w:val="24"/>
                <w:szCs w:val="24"/>
              </w:rPr>
              <w:t>6.</w:t>
            </w:r>
            <w:r>
              <w:rPr>
                <w:rFonts w:asciiTheme="majorBidi" w:hAnsiTheme="majorBidi" w:cstheme="majorBidi"/>
                <w:sz w:val="24"/>
                <w:szCs w:val="24"/>
              </w:rPr>
              <w:t>5</w:t>
            </w:r>
            <w:r w:rsidRPr="00847374">
              <w:rPr>
                <w:rFonts w:asciiTheme="majorBidi" w:hAnsiTheme="majorBidi" w:cstheme="majorBidi"/>
                <w:sz w:val="24"/>
                <w:szCs w:val="24"/>
              </w:rPr>
              <w:t>.1 Gender</w:t>
            </w:r>
          </w:p>
        </w:tc>
        <w:tc>
          <w:tcPr>
            <w:tcW w:w="4962" w:type="dxa"/>
          </w:tcPr>
          <w:p w14:paraId="4C61C0E6"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5D320AF3"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73</w:t>
            </w:r>
          </w:p>
        </w:tc>
      </w:tr>
      <w:tr w:rsidR="002C69A1" w:rsidRPr="00E27067" w14:paraId="0EC7C18F" w14:textId="77777777" w:rsidTr="00170402">
        <w:tc>
          <w:tcPr>
            <w:tcW w:w="4678" w:type="dxa"/>
          </w:tcPr>
          <w:p w14:paraId="60AF3393" w14:textId="77777777" w:rsidR="002C69A1" w:rsidRPr="00847374" w:rsidRDefault="002C69A1" w:rsidP="00170402">
            <w:pPr>
              <w:spacing w:after="160"/>
              <w:contextualSpacing/>
              <w:jc w:val="both"/>
              <w:rPr>
                <w:rFonts w:asciiTheme="majorBidi" w:hAnsiTheme="majorBidi" w:cstheme="majorBidi"/>
                <w:sz w:val="24"/>
                <w:szCs w:val="24"/>
              </w:rPr>
            </w:pPr>
            <w:r w:rsidRPr="00847374">
              <w:rPr>
                <w:rFonts w:asciiTheme="majorBidi" w:hAnsiTheme="majorBidi" w:cstheme="majorBidi"/>
                <w:sz w:val="24"/>
                <w:szCs w:val="24"/>
              </w:rPr>
              <w:t>6.</w:t>
            </w:r>
            <w:r>
              <w:rPr>
                <w:rFonts w:asciiTheme="majorBidi" w:hAnsiTheme="majorBidi" w:cstheme="majorBidi"/>
                <w:sz w:val="24"/>
                <w:szCs w:val="24"/>
              </w:rPr>
              <w:t>5</w:t>
            </w:r>
            <w:r w:rsidRPr="00847374">
              <w:rPr>
                <w:rFonts w:asciiTheme="majorBidi" w:hAnsiTheme="majorBidi" w:cstheme="majorBidi"/>
                <w:sz w:val="24"/>
                <w:szCs w:val="24"/>
              </w:rPr>
              <w:t>.2 Education</w:t>
            </w:r>
          </w:p>
        </w:tc>
        <w:tc>
          <w:tcPr>
            <w:tcW w:w="4962" w:type="dxa"/>
          </w:tcPr>
          <w:p w14:paraId="3C5A8923"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784BCB6B"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73</w:t>
            </w:r>
          </w:p>
        </w:tc>
      </w:tr>
      <w:tr w:rsidR="002C69A1" w:rsidRPr="00E27067" w14:paraId="26251A1C" w14:textId="77777777" w:rsidTr="00170402">
        <w:tc>
          <w:tcPr>
            <w:tcW w:w="4678" w:type="dxa"/>
          </w:tcPr>
          <w:p w14:paraId="20593DD4" w14:textId="77777777" w:rsidR="002C69A1" w:rsidRPr="00847374" w:rsidRDefault="002C69A1" w:rsidP="00170402">
            <w:pPr>
              <w:spacing w:after="160"/>
              <w:contextualSpacing/>
              <w:jc w:val="both"/>
              <w:rPr>
                <w:rFonts w:asciiTheme="majorBidi" w:hAnsiTheme="majorBidi" w:cstheme="majorBidi"/>
                <w:sz w:val="24"/>
                <w:szCs w:val="24"/>
              </w:rPr>
            </w:pPr>
            <w:r w:rsidRPr="00847374">
              <w:rPr>
                <w:rFonts w:asciiTheme="majorBidi" w:hAnsiTheme="majorBidi" w:cstheme="majorBidi"/>
                <w:sz w:val="24"/>
                <w:szCs w:val="24"/>
              </w:rPr>
              <w:t>6.</w:t>
            </w:r>
            <w:r>
              <w:rPr>
                <w:rFonts w:asciiTheme="majorBidi" w:hAnsiTheme="majorBidi" w:cstheme="majorBidi"/>
                <w:sz w:val="24"/>
                <w:szCs w:val="24"/>
              </w:rPr>
              <w:t>5</w:t>
            </w:r>
            <w:r w:rsidRPr="00847374">
              <w:rPr>
                <w:rFonts w:asciiTheme="majorBidi" w:hAnsiTheme="majorBidi" w:cstheme="majorBidi"/>
                <w:sz w:val="24"/>
                <w:szCs w:val="24"/>
              </w:rPr>
              <w:t>.3 Profession and Income</w:t>
            </w:r>
          </w:p>
        </w:tc>
        <w:tc>
          <w:tcPr>
            <w:tcW w:w="4962" w:type="dxa"/>
          </w:tcPr>
          <w:p w14:paraId="1AA5AE4F"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11CBA54"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74</w:t>
            </w:r>
          </w:p>
        </w:tc>
      </w:tr>
      <w:tr w:rsidR="002C69A1" w:rsidRPr="00E27067" w14:paraId="5E8E47B4" w14:textId="77777777" w:rsidTr="00170402">
        <w:tc>
          <w:tcPr>
            <w:tcW w:w="4678" w:type="dxa"/>
          </w:tcPr>
          <w:p w14:paraId="786765BB" w14:textId="77777777" w:rsidR="002C69A1" w:rsidRPr="00847374" w:rsidRDefault="002C69A1" w:rsidP="00170402">
            <w:pPr>
              <w:jc w:val="both"/>
              <w:rPr>
                <w:rFonts w:asciiTheme="majorBidi" w:hAnsiTheme="majorBidi" w:cstheme="majorBidi"/>
                <w:sz w:val="24"/>
                <w:szCs w:val="24"/>
              </w:rPr>
            </w:pPr>
            <w:r w:rsidRPr="00847374">
              <w:rPr>
                <w:rFonts w:asciiTheme="majorBidi" w:hAnsiTheme="majorBidi" w:cstheme="majorBidi"/>
                <w:sz w:val="24"/>
                <w:szCs w:val="24"/>
              </w:rPr>
              <w:t>6.</w:t>
            </w:r>
            <w:r>
              <w:rPr>
                <w:rFonts w:asciiTheme="majorBidi" w:hAnsiTheme="majorBidi" w:cstheme="majorBidi"/>
                <w:sz w:val="24"/>
                <w:szCs w:val="24"/>
              </w:rPr>
              <w:t>5</w:t>
            </w:r>
            <w:r w:rsidRPr="00847374">
              <w:rPr>
                <w:rFonts w:asciiTheme="majorBidi" w:hAnsiTheme="majorBidi" w:cstheme="majorBidi"/>
                <w:sz w:val="24"/>
                <w:szCs w:val="24"/>
              </w:rPr>
              <w:t>.4 First-choice brand to clean surfaces and floors at your home</w:t>
            </w:r>
          </w:p>
        </w:tc>
        <w:tc>
          <w:tcPr>
            <w:tcW w:w="4962" w:type="dxa"/>
          </w:tcPr>
          <w:p w14:paraId="31B6B4AA"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493DAFCE"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75</w:t>
            </w:r>
          </w:p>
        </w:tc>
      </w:tr>
      <w:tr w:rsidR="002C69A1" w:rsidRPr="00E27067" w14:paraId="37C61B61" w14:textId="77777777" w:rsidTr="00170402">
        <w:tc>
          <w:tcPr>
            <w:tcW w:w="4678" w:type="dxa"/>
          </w:tcPr>
          <w:p w14:paraId="1361A460" w14:textId="77777777" w:rsidR="002C69A1" w:rsidRPr="00847374" w:rsidRDefault="002C69A1" w:rsidP="00170402">
            <w:pPr>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847374">
              <w:rPr>
                <w:rFonts w:asciiTheme="majorBidi" w:hAnsiTheme="majorBidi" w:cstheme="majorBidi"/>
                <w:sz w:val="24"/>
                <w:szCs w:val="24"/>
              </w:rPr>
              <w:t>6.</w:t>
            </w:r>
            <w:r>
              <w:rPr>
                <w:rFonts w:asciiTheme="majorBidi" w:hAnsiTheme="majorBidi" w:cstheme="majorBidi"/>
                <w:sz w:val="24"/>
                <w:szCs w:val="24"/>
              </w:rPr>
              <w:t>6</w:t>
            </w:r>
            <w:r w:rsidRPr="00847374">
              <w:rPr>
                <w:rFonts w:asciiTheme="majorBidi" w:hAnsiTheme="majorBidi" w:cstheme="majorBidi"/>
                <w:sz w:val="24"/>
                <w:szCs w:val="24"/>
              </w:rPr>
              <w:t xml:space="preserve"> Analysis of constructs’ validity and reliability</w:t>
            </w:r>
          </w:p>
        </w:tc>
        <w:tc>
          <w:tcPr>
            <w:tcW w:w="4962" w:type="dxa"/>
          </w:tcPr>
          <w:p w14:paraId="23EBC481"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6DE433C"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75</w:t>
            </w:r>
          </w:p>
        </w:tc>
      </w:tr>
      <w:tr w:rsidR="002C69A1" w:rsidRPr="00E27067" w14:paraId="2C4BC0F1" w14:textId="77777777" w:rsidTr="00170402">
        <w:tc>
          <w:tcPr>
            <w:tcW w:w="4678" w:type="dxa"/>
          </w:tcPr>
          <w:p w14:paraId="46153620" w14:textId="77777777" w:rsidR="002C69A1" w:rsidRDefault="002C69A1" w:rsidP="00170402">
            <w:pPr>
              <w:contextualSpacing/>
              <w:jc w:val="both"/>
              <w:rPr>
                <w:rFonts w:asciiTheme="majorBidi" w:hAnsiTheme="majorBidi" w:cstheme="majorBidi"/>
                <w:sz w:val="24"/>
                <w:szCs w:val="24"/>
              </w:rPr>
            </w:pPr>
            <w:r>
              <w:rPr>
                <w:rFonts w:asciiTheme="majorBidi" w:hAnsiTheme="majorBidi" w:cstheme="majorBidi"/>
                <w:sz w:val="24"/>
                <w:szCs w:val="24"/>
              </w:rPr>
              <w:t xml:space="preserve"> 6.7 Common Method Bias </w:t>
            </w:r>
          </w:p>
        </w:tc>
        <w:tc>
          <w:tcPr>
            <w:tcW w:w="4962" w:type="dxa"/>
          </w:tcPr>
          <w:p w14:paraId="36CA33F4" w14:textId="77777777" w:rsidR="002C69A1" w:rsidRPr="00847374"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637F8AD"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78</w:t>
            </w:r>
          </w:p>
        </w:tc>
      </w:tr>
      <w:tr w:rsidR="002C69A1" w:rsidRPr="00E27067" w14:paraId="376FEEE5" w14:textId="77777777" w:rsidTr="00170402">
        <w:tc>
          <w:tcPr>
            <w:tcW w:w="4678" w:type="dxa"/>
          </w:tcPr>
          <w:p w14:paraId="7135AAF3" w14:textId="77777777" w:rsidR="002C69A1" w:rsidRPr="00B023E5" w:rsidRDefault="002C69A1" w:rsidP="00170402">
            <w:pPr>
              <w:contextualSpacing/>
              <w:jc w:val="both"/>
              <w:rPr>
                <w:rFonts w:asciiTheme="majorBidi" w:hAnsiTheme="majorBidi" w:cstheme="majorBidi"/>
                <w:sz w:val="24"/>
                <w:szCs w:val="24"/>
              </w:rPr>
            </w:pPr>
            <w:r>
              <w:rPr>
                <w:rFonts w:asciiTheme="majorBidi" w:hAnsiTheme="majorBidi" w:cstheme="majorBidi"/>
                <w:sz w:val="24"/>
                <w:szCs w:val="24"/>
              </w:rPr>
              <w:t xml:space="preserve"> </w:t>
            </w:r>
            <w:r w:rsidRPr="00B023E5">
              <w:rPr>
                <w:rFonts w:asciiTheme="majorBidi" w:hAnsiTheme="majorBidi" w:cstheme="majorBidi"/>
                <w:sz w:val="24"/>
                <w:szCs w:val="24"/>
              </w:rPr>
              <w:t>6.8 Creating indicators</w:t>
            </w:r>
          </w:p>
        </w:tc>
        <w:tc>
          <w:tcPr>
            <w:tcW w:w="4962" w:type="dxa"/>
          </w:tcPr>
          <w:p w14:paraId="32EC1E78"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759B48B"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80</w:t>
            </w:r>
          </w:p>
        </w:tc>
      </w:tr>
      <w:tr w:rsidR="002C69A1" w:rsidRPr="00E27067" w14:paraId="40C5F360" w14:textId="77777777" w:rsidTr="00170402">
        <w:tc>
          <w:tcPr>
            <w:tcW w:w="4678" w:type="dxa"/>
          </w:tcPr>
          <w:p w14:paraId="5C2C9C15" w14:textId="77777777" w:rsidR="002C69A1" w:rsidRPr="00B023E5" w:rsidRDefault="002C69A1" w:rsidP="00170402">
            <w:pPr>
              <w:contextualSpacing/>
              <w:jc w:val="both"/>
              <w:rPr>
                <w:rFonts w:asciiTheme="majorBidi" w:hAnsiTheme="majorBidi" w:cstheme="majorBidi"/>
                <w:sz w:val="24"/>
                <w:szCs w:val="24"/>
              </w:rPr>
            </w:pPr>
            <w:r w:rsidRPr="00B023E5">
              <w:rPr>
                <w:rFonts w:asciiTheme="majorBidi" w:hAnsiTheme="majorBidi" w:cstheme="majorBidi"/>
                <w:sz w:val="24"/>
                <w:szCs w:val="24"/>
              </w:rPr>
              <w:t>6.9 Descriptive Statistics of Question Items and Constructs</w:t>
            </w:r>
          </w:p>
        </w:tc>
        <w:tc>
          <w:tcPr>
            <w:tcW w:w="4962" w:type="dxa"/>
          </w:tcPr>
          <w:p w14:paraId="366CCA1D"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6929760"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80</w:t>
            </w:r>
          </w:p>
        </w:tc>
      </w:tr>
      <w:tr w:rsidR="002C69A1" w:rsidRPr="00E27067" w14:paraId="21404624" w14:textId="77777777" w:rsidTr="00170402">
        <w:tc>
          <w:tcPr>
            <w:tcW w:w="4678" w:type="dxa"/>
          </w:tcPr>
          <w:p w14:paraId="051677E1"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6.9.1 CSR and non-CSR Groups</w:t>
            </w:r>
          </w:p>
        </w:tc>
        <w:tc>
          <w:tcPr>
            <w:tcW w:w="4962" w:type="dxa"/>
          </w:tcPr>
          <w:p w14:paraId="4A01A996"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CD3B7D5"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80</w:t>
            </w:r>
          </w:p>
        </w:tc>
      </w:tr>
      <w:tr w:rsidR="002C69A1" w:rsidRPr="00E27067" w14:paraId="0E41BA92" w14:textId="77777777" w:rsidTr="00170402">
        <w:tc>
          <w:tcPr>
            <w:tcW w:w="4678" w:type="dxa"/>
          </w:tcPr>
          <w:p w14:paraId="39CF8BCD"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6.9.2 Television and social media groups</w:t>
            </w:r>
          </w:p>
        </w:tc>
        <w:tc>
          <w:tcPr>
            <w:tcW w:w="4962" w:type="dxa"/>
          </w:tcPr>
          <w:p w14:paraId="6A32FE34"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414EFCB6"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81</w:t>
            </w:r>
          </w:p>
        </w:tc>
      </w:tr>
      <w:tr w:rsidR="002C69A1" w:rsidRPr="00E27067" w14:paraId="2DC551AC" w14:textId="77777777" w:rsidTr="00170402">
        <w:tc>
          <w:tcPr>
            <w:tcW w:w="4678" w:type="dxa"/>
          </w:tcPr>
          <w:p w14:paraId="0A9F2E76"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 xml:space="preserve">6.9.3 Ad </w:t>
            </w:r>
            <w:r>
              <w:rPr>
                <w:rFonts w:asciiTheme="majorBidi" w:hAnsiTheme="majorBidi" w:cstheme="majorBidi"/>
                <w:sz w:val="24"/>
                <w:szCs w:val="24"/>
              </w:rPr>
              <w:t>l</w:t>
            </w:r>
            <w:r w:rsidRPr="00B023E5">
              <w:rPr>
                <w:rFonts w:asciiTheme="majorBidi" w:hAnsiTheme="majorBidi" w:cstheme="majorBidi"/>
                <w:sz w:val="24"/>
                <w:szCs w:val="24"/>
              </w:rPr>
              <w:t>ikeability</w:t>
            </w:r>
          </w:p>
        </w:tc>
        <w:tc>
          <w:tcPr>
            <w:tcW w:w="4962" w:type="dxa"/>
          </w:tcPr>
          <w:p w14:paraId="17C619EB"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5DD16ED"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81</w:t>
            </w:r>
          </w:p>
        </w:tc>
      </w:tr>
      <w:tr w:rsidR="002C69A1" w:rsidRPr="00E27067" w14:paraId="505EAC15" w14:textId="77777777" w:rsidTr="00170402">
        <w:tc>
          <w:tcPr>
            <w:tcW w:w="4678" w:type="dxa"/>
          </w:tcPr>
          <w:p w14:paraId="05DB0995"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6.9.4 CSR perception</w:t>
            </w:r>
          </w:p>
        </w:tc>
        <w:tc>
          <w:tcPr>
            <w:tcW w:w="4962" w:type="dxa"/>
          </w:tcPr>
          <w:p w14:paraId="3F0B414A"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2DD49B83"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82</w:t>
            </w:r>
          </w:p>
        </w:tc>
      </w:tr>
      <w:tr w:rsidR="002C69A1" w:rsidRPr="00E27067" w14:paraId="39751C0F" w14:textId="77777777" w:rsidTr="00170402">
        <w:tc>
          <w:tcPr>
            <w:tcW w:w="4678" w:type="dxa"/>
          </w:tcPr>
          <w:p w14:paraId="5AFC8402"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6.9.5 Brand functionality</w:t>
            </w:r>
          </w:p>
        </w:tc>
        <w:tc>
          <w:tcPr>
            <w:tcW w:w="4962" w:type="dxa"/>
          </w:tcPr>
          <w:p w14:paraId="24612D86"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3F1C3DA1"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82</w:t>
            </w:r>
          </w:p>
        </w:tc>
      </w:tr>
      <w:tr w:rsidR="002C69A1" w:rsidRPr="00E27067" w14:paraId="1BBB577C" w14:textId="77777777" w:rsidTr="00170402">
        <w:tc>
          <w:tcPr>
            <w:tcW w:w="4678" w:type="dxa"/>
          </w:tcPr>
          <w:p w14:paraId="5CC24BBB"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 xml:space="preserve">6.9.6 Brand </w:t>
            </w:r>
            <w:r>
              <w:rPr>
                <w:rFonts w:asciiTheme="majorBidi" w:hAnsiTheme="majorBidi" w:cstheme="majorBidi"/>
                <w:sz w:val="24"/>
                <w:szCs w:val="24"/>
              </w:rPr>
              <w:t>l</w:t>
            </w:r>
            <w:r w:rsidRPr="00B023E5">
              <w:rPr>
                <w:rFonts w:asciiTheme="majorBidi" w:hAnsiTheme="majorBidi" w:cstheme="majorBidi"/>
                <w:sz w:val="24"/>
                <w:szCs w:val="24"/>
              </w:rPr>
              <w:t>ikeability</w:t>
            </w:r>
          </w:p>
        </w:tc>
        <w:tc>
          <w:tcPr>
            <w:tcW w:w="4962" w:type="dxa"/>
          </w:tcPr>
          <w:p w14:paraId="24E02E6F"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47622893"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83</w:t>
            </w:r>
          </w:p>
        </w:tc>
      </w:tr>
      <w:tr w:rsidR="002C69A1" w:rsidRPr="00E27067" w14:paraId="1F85C9DE" w14:textId="77777777" w:rsidTr="00170402">
        <w:tc>
          <w:tcPr>
            <w:tcW w:w="4678" w:type="dxa"/>
          </w:tcPr>
          <w:p w14:paraId="7D17FFD8"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6.9.7 Emotional brand attachment</w:t>
            </w:r>
          </w:p>
        </w:tc>
        <w:tc>
          <w:tcPr>
            <w:tcW w:w="4962" w:type="dxa"/>
          </w:tcPr>
          <w:p w14:paraId="1CBEEC78"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38279C1"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84</w:t>
            </w:r>
          </w:p>
        </w:tc>
      </w:tr>
      <w:tr w:rsidR="002C69A1" w:rsidRPr="00E27067" w14:paraId="0A418656" w14:textId="77777777" w:rsidTr="00170402">
        <w:tc>
          <w:tcPr>
            <w:tcW w:w="4678" w:type="dxa"/>
          </w:tcPr>
          <w:p w14:paraId="6A9DFA93"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6.9.8 Brand trust</w:t>
            </w:r>
          </w:p>
        </w:tc>
        <w:tc>
          <w:tcPr>
            <w:tcW w:w="4962" w:type="dxa"/>
          </w:tcPr>
          <w:p w14:paraId="49A2CAB2"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546DAB8"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85</w:t>
            </w:r>
          </w:p>
        </w:tc>
      </w:tr>
      <w:tr w:rsidR="002C69A1" w:rsidRPr="00E27067" w14:paraId="11EDD9A6" w14:textId="77777777" w:rsidTr="00170402">
        <w:tc>
          <w:tcPr>
            <w:tcW w:w="4678" w:type="dxa"/>
          </w:tcPr>
          <w:p w14:paraId="0ECB3B48" w14:textId="77777777" w:rsidR="002C69A1" w:rsidRPr="00B023E5" w:rsidRDefault="002C69A1" w:rsidP="00170402">
            <w:pPr>
              <w:spacing w:after="160"/>
              <w:contextualSpacing/>
              <w:jc w:val="both"/>
              <w:rPr>
                <w:rFonts w:asciiTheme="majorBidi" w:hAnsiTheme="majorBidi" w:cstheme="majorBidi"/>
                <w:sz w:val="24"/>
                <w:szCs w:val="24"/>
              </w:rPr>
            </w:pPr>
            <w:r w:rsidRPr="00B023E5">
              <w:rPr>
                <w:rFonts w:asciiTheme="majorBidi" w:hAnsiTheme="majorBidi" w:cstheme="majorBidi"/>
                <w:sz w:val="24"/>
                <w:szCs w:val="24"/>
              </w:rPr>
              <w:t>6.9.9 Purchase Intention</w:t>
            </w:r>
          </w:p>
        </w:tc>
        <w:tc>
          <w:tcPr>
            <w:tcW w:w="4962" w:type="dxa"/>
          </w:tcPr>
          <w:p w14:paraId="25ADE8D0"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1BC93B1F"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85</w:t>
            </w:r>
          </w:p>
        </w:tc>
      </w:tr>
      <w:tr w:rsidR="002C69A1" w:rsidRPr="00E27067" w14:paraId="2D1A7C31" w14:textId="77777777" w:rsidTr="00170402">
        <w:tc>
          <w:tcPr>
            <w:tcW w:w="4678" w:type="dxa"/>
          </w:tcPr>
          <w:p w14:paraId="6CC3706C" w14:textId="77777777" w:rsidR="002C69A1" w:rsidRPr="00B023E5" w:rsidRDefault="002C69A1" w:rsidP="00170402">
            <w:pPr>
              <w:spacing w:after="160"/>
              <w:contextualSpacing/>
              <w:rPr>
                <w:rFonts w:asciiTheme="majorBidi" w:hAnsiTheme="majorBidi" w:cstheme="majorBidi"/>
                <w:sz w:val="24"/>
                <w:szCs w:val="24"/>
              </w:rPr>
            </w:pPr>
            <w:r>
              <w:rPr>
                <w:rFonts w:asciiTheme="majorBidi" w:hAnsiTheme="majorBidi" w:cstheme="majorBidi"/>
                <w:sz w:val="24"/>
                <w:szCs w:val="24"/>
              </w:rPr>
              <w:t xml:space="preserve">  </w:t>
            </w:r>
            <w:r w:rsidRPr="00B023E5">
              <w:rPr>
                <w:rFonts w:asciiTheme="majorBidi" w:hAnsiTheme="majorBidi" w:cstheme="majorBidi"/>
                <w:sz w:val="24"/>
                <w:szCs w:val="24"/>
              </w:rPr>
              <w:t>6.10 Inferential Data Analysis</w:t>
            </w:r>
          </w:p>
        </w:tc>
        <w:tc>
          <w:tcPr>
            <w:tcW w:w="4962" w:type="dxa"/>
          </w:tcPr>
          <w:p w14:paraId="20BCC524"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4E3AAC2"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85</w:t>
            </w:r>
          </w:p>
        </w:tc>
      </w:tr>
      <w:tr w:rsidR="002C69A1" w:rsidRPr="00E27067" w14:paraId="678C63F7" w14:textId="77777777" w:rsidTr="00170402">
        <w:tc>
          <w:tcPr>
            <w:tcW w:w="4678" w:type="dxa"/>
          </w:tcPr>
          <w:p w14:paraId="6C1B219D" w14:textId="77777777" w:rsidR="002C69A1" w:rsidRPr="00B023E5" w:rsidRDefault="002C69A1" w:rsidP="00170402">
            <w:pPr>
              <w:spacing w:after="160"/>
              <w:contextualSpacing/>
              <w:rPr>
                <w:rFonts w:asciiTheme="majorBidi" w:hAnsiTheme="majorBidi" w:cstheme="majorBidi"/>
                <w:sz w:val="24"/>
                <w:szCs w:val="24"/>
              </w:rPr>
            </w:pPr>
            <w:r w:rsidRPr="00B023E5">
              <w:rPr>
                <w:rFonts w:asciiTheme="majorBidi" w:hAnsiTheme="majorBidi" w:cstheme="majorBidi"/>
                <w:sz w:val="24"/>
                <w:szCs w:val="24"/>
              </w:rPr>
              <w:t>6.10.1 Normality of Distribution Test</w:t>
            </w:r>
          </w:p>
        </w:tc>
        <w:tc>
          <w:tcPr>
            <w:tcW w:w="4962" w:type="dxa"/>
          </w:tcPr>
          <w:p w14:paraId="67E57E9E"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6A375387"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86</w:t>
            </w:r>
          </w:p>
        </w:tc>
      </w:tr>
      <w:tr w:rsidR="002C69A1" w:rsidRPr="00E27067" w14:paraId="0D4B369F" w14:textId="77777777" w:rsidTr="00170402">
        <w:tc>
          <w:tcPr>
            <w:tcW w:w="4678" w:type="dxa"/>
          </w:tcPr>
          <w:p w14:paraId="0FE3F996" w14:textId="77777777" w:rsidR="002C69A1" w:rsidRPr="00B023E5" w:rsidRDefault="002C69A1" w:rsidP="00170402">
            <w:pPr>
              <w:spacing w:after="160"/>
              <w:contextualSpacing/>
              <w:rPr>
                <w:rFonts w:asciiTheme="majorBidi" w:hAnsiTheme="majorBidi" w:cstheme="majorBidi"/>
                <w:sz w:val="24"/>
                <w:szCs w:val="24"/>
              </w:rPr>
            </w:pPr>
            <w:r w:rsidRPr="00B023E5">
              <w:rPr>
                <w:rFonts w:asciiTheme="majorBidi" w:hAnsiTheme="majorBidi" w:cstheme="majorBidi"/>
                <w:sz w:val="24"/>
                <w:szCs w:val="24"/>
              </w:rPr>
              <w:t xml:space="preserve">6.10.2 Correlation Test </w:t>
            </w:r>
          </w:p>
        </w:tc>
        <w:tc>
          <w:tcPr>
            <w:tcW w:w="4962" w:type="dxa"/>
          </w:tcPr>
          <w:p w14:paraId="37EAB6D3"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4274937F"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87</w:t>
            </w:r>
          </w:p>
        </w:tc>
      </w:tr>
      <w:tr w:rsidR="002C69A1" w:rsidRPr="00E27067" w14:paraId="79795B64" w14:textId="77777777" w:rsidTr="00170402">
        <w:tc>
          <w:tcPr>
            <w:tcW w:w="4678" w:type="dxa"/>
          </w:tcPr>
          <w:p w14:paraId="197B302E" w14:textId="77777777" w:rsidR="002C69A1" w:rsidRPr="00B023E5" w:rsidRDefault="002C69A1" w:rsidP="00170402">
            <w:pPr>
              <w:spacing w:after="160"/>
              <w:contextualSpacing/>
              <w:rPr>
                <w:rFonts w:asciiTheme="majorBidi" w:hAnsiTheme="majorBidi" w:cstheme="majorBidi"/>
                <w:sz w:val="24"/>
                <w:szCs w:val="24"/>
              </w:rPr>
            </w:pPr>
            <w:r w:rsidRPr="00B023E5">
              <w:rPr>
                <w:rFonts w:asciiTheme="majorBidi" w:hAnsiTheme="majorBidi" w:cstheme="majorBidi"/>
                <w:sz w:val="24"/>
                <w:szCs w:val="24"/>
              </w:rPr>
              <w:t xml:space="preserve">6.10.3 Comparing groups against each other </w:t>
            </w:r>
          </w:p>
        </w:tc>
        <w:tc>
          <w:tcPr>
            <w:tcW w:w="4962" w:type="dxa"/>
          </w:tcPr>
          <w:p w14:paraId="25F413F4"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1FAE36CF"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89</w:t>
            </w:r>
          </w:p>
        </w:tc>
      </w:tr>
      <w:tr w:rsidR="002C69A1" w:rsidRPr="00E27067" w14:paraId="123F1714" w14:textId="77777777" w:rsidTr="00170402">
        <w:tc>
          <w:tcPr>
            <w:tcW w:w="4678" w:type="dxa"/>
          </w:tcPr>
          <w:p w14:paraId="3FB4145F" w14:textId="77777777" w:rsidR="002C69A1" w:rsidRPr="00B023E5" w:rsidRDefault="002C69A1" w:rsidP="00170402">
            <w:pPr>
              <w:jc w:val="both"/>
              <w:rPr>
                <w:rFonts w:asciiTheme="majorBidi" w:hAnsiTheme="majorBidi" w:cstheme="majorBidi"/>
                <w:sz w:val="24"/>
                <w:szCs w:val="24"/>
              </w:rPr>
            </w:pPr>
            <w:r w:rsidRPr="00B023E5">
              <w:rPr>
                <w:rFonts w:asciiTheme="majorBidi" w:hAnsiTheme="majorBidi" w:cstheme="majorBidi"/>
                <w:sz w:val="24"/>
                <w:szCs w:val="24"/>
              </w:rPr>
              <w:t>6.10.3.1 CSR vs. non-CSR Communication</w:t>
            </w:r>
          </w:p>
        </w:tc>
        <w:tc>
          <w:tcPr>
            <w:tcW w:w="4962" w:type="dxa"/>
          </w:tcPr>
          <w:p w14:paraId="7A7E62E4"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5DA4B19F"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89</w:t>
            </w:r>
          </w:p>
        </w:tc>
      </w:tr>
      <w:tr w:rsidR="002C69A1" w:rsidRPr="00E27067" w14:paraId="43928CA5" w14:textId="77777777" w:rsidTr="00170402">
        <w:tc>
          <w:tcPr>
            <w:tcW w:w="4678" w:type="dxa"/>
          </w:tcPr>
          <w:p w14:paraId="1965067A" w14:textId="77777777" w:rsidR="002C69A1" w:rsidRPr="00B023E5" w:rsidRDefault="002C69A1" w:rsidP="00170402">
            <w:pPr>
              <w:jc w:val="both"/>
              <w:rPr>
                <w:rFonts w:asciiTheme="majorBidi" w:hAnsiTheme="majorBidi" w:cstheme="majorBidi"/>
                <w:sz w:val="24"/>
                <w:szCs w:val="24"/>
              </w:rPr>
            </w:pPr>
            <w:r w:rsidRPr="00B023E5">
              <w:rPr>
                <w:rFonts w:asciiTheme="majorBidi" w:hAnsiTheme="majorBidi" w:cstheme="majorBidi"/>
                <w:sz w:val="24"/>
                <w:szCs w:val="24"/>
              </w:rPr>
              <w:t xml:space="preserve">6.10.3.2 Television vs social media advertising </w:t>
            </w:r>
          </w:p>
        </w:tc>
        <w:tc>
          <w:tcPr>
            <w:tcW w:w="4962" w:type="dxa"/>
          </w:tcPr>
          <w:p w14:paraId="53B6303D" w14:textId="77777777" w:rsidR="002C69A1" w:rsidRPr="00B023E5" w:rsidRDefault="002C69A1" w:rsidP="00170402">
            <w:r w:rsidRPr="00BD7537">
              <w:rPr>
                <w:rFonts w:ascii="Times New Roman" w:hAnsi="Times New Roman" w:cs="Times New Roman"/>
              </w:rPr>
              <w:t>……………………………………………………</w:t>
            </w:r>
            <w:r>
              <w:rPr>
                <w:rFonts w:ascii="Times New Roman" w:hAnsi="Times New Roman" w:cs="Times New Roman"/>
              </w:rPr>
              <w:t>….</w:t>
            </w:r>
          </w:p>
        </w:tc>
        <w:tc>
          <w:tcPr>
            <w:tcW w:w="567" w:type="dxa"/>
          </w:tcPr>
          <w:p w14:paraId="0F657DAA" w14:textId="77777777" w:rsidR="002C69A1" w:rsidRPr="00E27067" w:rsidRDefault="002C69A1" w:rsidP="00170402">
            <w:pPr>
              <w:rPr>
                <w:rFonts w:asciiTheme="majorBidi" w:hAnsiTheme="majorBidi" w:cstheme="majorBidi"/>
              </w:rPr>
            </w:pPr>
            <w:r>
              <w:rPr>
                <w:rFonts w:asciiTheme="majorBidi" w:hAnsiTheme="majorBidi" w:cstheme="majorBidi"/>
              </w:rPr>
              <w:t>191</w:t>
            </w:r>
          </w:p>
        </w:tc>
      </w:tr>
      <w:tr w:rsidR="002C69A1" w:rsidRPr="00E27067" w14:paraId="7A876A73" w14:textId="77777777" w:rsidTr="00170402">
        <w:tc>
          <w:tcPr>
            <w:tcW w:w="4678" w:type="dxa"/>
          </w:tcPr>
          <w:p w14:paraId="682A5E05"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6.10.3.3 CSR and TV advertising group</w:t>
            </w:r>
          </w:p>
        </w:tc>
        <w:tc>
          <w:tcPr>
            <w:tcW w:w="4962" w:type="dxa"/>
          </w:tcPr>
          <w:p w14:paraId="3C65DBFB"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AB4F0D2"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93</w:t>
            </w:r>
          </w:p>
        </w:tc>
      </w:tr>
      <w:tr w:rsidR="002C69A1" w:rsidRPr="00E27067" w14:paraId="48F3CDD1" w14:textId="77777777" w:rsidTr="00170402">
        <w:tc>
          <w:tcPr>
            <w:tcW w:w="4678" w:type="dxa"/>
          </w:tcPr>
          <w:p w14:paraId="380BA687"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6.10.3.4 CSR for social media</w:t>
            </w:r>
          </w:p>
        </w:tc>
        <w:tc>
          <w:tcPr>
            <w:tcW w:w="4962" w:type="dxa"/>
          </w:tcPr>
          <w:p w14:paraId="3200607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53824DE9"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94</w:t>
            </w:r>
          </w:p>
        </w:tc>
      </w:tr>
      <w:tr w:rsidR="002C69A1" w:rsidRPr="00E27067" w14:paraId="73064B5F" w14:textId="77777777" w:rsidTr="00170402">
        <w:tc>
          <w:tcPr>
            <w:tcW w:w="4678" w:type="dxa"/>
          </w:tcPr>
          <w:p w14:paraId="4C2BB386"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 xml:space="preserve">  6.11 Testing Hypotheses and model fitness</w:t>
            </w:r>
          </w:p>
        </w:tc>
        <w:tc>
          <w:tcPr>
            <w:tcW w:w="4962" w:type="dxa"/>
          </w:tcPr>
          <w:p w14:paraId="43930B66"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B291B39"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96</w:t>
            </w:r>
          </w:p>
        </w:tc>
      </w:tr>
      <w:tr w:rsidR="002C69A1" w:rsidRPr="00E27067" w14:paraId="0BFFF96F" w14:textId="77777777" w:rsidTr="00170402">
        <w:tc>
          <w:tcPr>
            <w:tcW w:w="4678" w:type="dxa"/>
          </w:tcPr>
          <w:p w14:paraId="53866A7B"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6.11.1 First theoretical model excluding moderators</w:t>
            </w:r>
          </w:p>
        </w:tc>
        <w:tc>
          <w:tcPr>
            <w:tcW w:w="4962" w:type="dxa"/>
          </w:tcPr>
          <w:p w14:paraId="66AFCAF8"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10A8794"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98</w:t>
            </w:r>
          </w:p>
        </w:tc>
      </w:tr>
      <w:tr w:rsidR="002C69A1" w:rsidRPr="00E27067" w14:paraId="08E1FE5C" w14:textId="77777777" w:rsidTr="00170402">
        <w:tc>
          <w:tcPr>
            <w:tcW w:w="4678" w:type="dxa"/>
          </w:tcPr>
          <w:p w14:paraId="7610C16F"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6.11.2 Estimating the model after excluding insignificant paths</w:t>
            </w:r>
          </w:p>
        </w:tc>
        <w:tc>
          <w:tcPr>
            <w:tcW w:w="4962" w:type="dxa"/>
          </w:tcPr>
          <w:p w14:paraId="7BD9A7CF"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807A8C2" w14:textId="77777777" w:rsidR="002C69A1" w:rsidRPr="00E27067" w:rsidRDefault="002C69A1" w:rsidP="00170402">
            <w:pPr>
              <w:rPr>
                <w:rFonts w:asciiTheme="majorBidi" w:hAnsiTheme="majorBidi" w:cstheme="majorBidi"/>
              </w:rPr>
            </w:pPr>
            <w:r w:rsidRPr="00E27067">
              <w:rPr>
                <w:rFonts w:asciiTheme="majorBidi" w:hAnsiTheme="majorBidi" w:cstheme="majorBidi"/>
              </w:rPr>
              <w:t>1</w:t>
            </w:r>
            <w:r>
              <w:rPr>
                <w:rFonts w:asciiTheme="majorBidi" w:hAnsiTheme="majorBidi" w:cstheme="majorBidi"/>
              </w:rPr>
              <w:t>99</w:t>
            </w:r>
          </w:p>
        </w:tc>
      </w:tr>
      <w:tr w:rsidR="002C69A1" w:rsidRPr="00E27067" w14:paraId="0CEA1747" w14:textId="77777777" w:rsidTr="00170402">
        <w:tc>
          <w:tcPr>
            <w:tcW w:w="4678" w:type="dxa"/>
          </w:tcPr>
          <w:p w14:paraId="60E7C7C4"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6.11.2.1 Direct effects</w:t>
            </w:r>
          </w:p>
        </w:tc>
        <w:tc>
          <w:tcPr>
            <w:tcW w:w="4962" w:type="dxa"/>
          </w:tcPr>
          <w:p w14:paraId="36E79AD2"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E2B445A" w14:textId="77777777" w:rsidR="002C69A1" w:rsidRPr="00E27067" w:rsidRDefault="002C69A1" w:rsidP="00170402">
            <w:pPr>
              <w:rPr>
                <w:rFonts w:asciiTheme="majorBidi" w:hAnsiTheme="majorBidi" w:cstheme="majorBidi"/>
              </w:rPr>
            </w:pPr>
            <w:r>
              <w:rPr>
                <w:rFonts w:asciiTheme="majorBidi" w:hAnsiTheme="majorBidi" w:cstheme="majorBidi"/>
              </w:rPr>
              <w:t>200</w:t>
            </w:r>
          </w:p>
        </w:tc>
      </w:tr>
      <w:tr w:rsidR="002C69A1" w:rsidRPr="00E27067" w14:paraId="2D5F5C7B" w14:textId="77777777" w:rsidTr="00170402">
        <w:trPr>
          <w:trHeight w:val="308"/>
        </w:trPr>
        <w:tc>
          <w:tcPr>
            <w:tcW w:w="4678" w:type="dxa"/>
          </w:tcPr>
          <w:p w14:paraId="0B8BA589"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 xml:space="preserve">6.11.3 Indirect effects </w:t>
            </w:r>
          </w:p>
        </w:tc>
        <w:tc>
          <w:tcPr>
            <w:tcW w:w="4962" w:type="dxa"/>
          </w:tcPr>
          <w:p w14:paraId="075A28BA"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8D924A3" w14:textId="77777777" w:rsidR="002C69A1" w:rsidRPr="00E27067" w:rsidRDefault="002C69A1" w:rsidP="00170402">
            <w:pPr>
              <w:rPr>
                <w:rFonts w:asciiTheme="majorBidi" w:hAnsiTheme="majorBidi" w:cstheme="majorBidi"/>
              </w:rPr>
            </w:pPr>
            <w:r>
              <w:rPr>
                <w:rFonts w:asciiTheme="majorBidi" w:hAnsiTheme="majorBidi" w:cstheme="majorBidi"/>
              </w:rPr>
              <w:t>202</w:t>
            </w:r>
          </w:p>
        </w:tc>
      </w:tr>
      <w:tr w:rsidR="002C69A1" w:rsidRPr="00E27067" w14:paraId="3F804324" w14:textId="77777777" w:rsidTr="00170402">
        <w:trPr>
          <w:trHeight w:val="308"/>
        </w:trPr>
        <w:tc>
          <w:tcPr>
            <w:tcW w:w="4678" w:type="dxa"/>
          </w:tcPr>
          <w:p w14:paraId="3E6B974D" w14:textId="77777777" w:rsidR="002C69A1" w:rsidRPr="00E27067" w:rsidRDefault="002C69A1" w:rsidP="00170402">
            <w:pPr>
              <w:jc w:val="both"/>
              <w:rPr>
                <w:rFonts w:asciiTheme="majorBidi" w:hAnsiTheme="majorBidi" w:cstheme="majorBidi"/>
                <w:sz w:val="24"/>
                <w:szCs w:val="24"/>
              </w:rPr>
            </w:pPr>
            <w:r>
              <w:rPr>
                <w:rFonts w:asciiTheme="majorBidi" w:hAnsiTheme="majorBidi" w:cstheme="majorBidi"/>
                <w:sz w:val="24"/>
                <w:szCs w:val="24"/>
              </w:rPr>
              <w:t xml:space="preserve">6.11.4 Model Fit Indices </w:t>
            </w:r>
          </w:p>
        </w:tc>
        <w:tc>
          <w:tcPr>
            <w:tcW w:w="4962" w:type="dxa"/>
          </w:tcPr>
          <w:p w14:paraId="40983CCA" w14:textId="77777777" w:rsidR="002C69A1" w:rsidRPr="00BD7537" w:rsidRDefault="002C69A1" w:rsidP="00170402">
            <w:pPr>
              <w:rPr>
                <w:rFonts w:ascii="Times New Roman" w:hAnsi="Times New Roman" w:cs="Times New Roman"/>
              </w:rPr>
            </w:pPr>
            <w:r>
              <w:rPr>
                <w:rFonts w:ascii="Times New Roman" w:hAnsi="Times New Roman" w:cs="Times New Roman"/>
              </w:rPr>
              <w:t>………………………………………………………..</w:t>
            </w:r>
          </w:p>
        </w:tc>
        <w:tc>
          <w:tcPr>
            <w:tcW w:w="567" w:type="dxa"/>
          </w:tcPr>
          <w:p w14:paraId="2B60E6BA" w14:textId="77777777" w:rsidR="002C69A1" w:rsidRPr="00E27067" w:rsidRDefault="002C69A1" w:rsidP="00170402">
            <w:pPr>
              <w:rPr>
                <w:rFonts w:asciiTheme="majorBidi" w:hAnsiTheme="majorBidi" w:cstheme="majorBidi"/>
              </w:rPr>
            </w:pPr>
            <w:r>
              <w:rPr>
                <w:rFonts w:asciiTheme="majorBidi" w:hAnsiTheme="majorBidi" w:cstheme="majorBidi"/>
              </w:rPr>
              <w:t>207</w:t>
            </w:r>
          </w:p>
        </w:tc>
      </w:tr>
      <w:tr w:rsidR="002C69A1" w:rsidRPr="00E27067" w14:paraId="1499E664" w14:textId="77777777" w:rsidTr="00170402">
        <w:tc>
          <w:tcPr>
            <w:tcW w:w="4678" w:type="dxa"/>
          </w:tcPr>
          <w:p w14:paraId="369C8030"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 xml:space="preserve">   6.12 Testing the moderation effects of CSR perception</w:t>
            </w:r>
          </w:p>
        </w:tc>
        <w:tc>
          <w:tcPr>
            <w:tcW w:w="4962" w:type="dxa"/>
          </w:tcPr>
          <w:p w14:paraId="2CEE8F8D"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5705CD18" w14:textId="77777777" w:rsidR="002C69A1" w:rsidRPr="00E27067" w:rsidRDefault="002C69A1" w:rsidP="00170402">
            <w:pPr>
              <w:rPr>
                <w:rFonts w:asciiTheme="majorBidi" w:hAnsiTheme="majorBidi" w:cstheme="majorBidi"/>
              </w:rPr>
            </w:pPr>
            <w:r>
              <w:rPr>
                <w:rFonts w:asciiTheme="majorBidi" w:hAnsiTheme="majorBidi" w:cstheme="majorBidi"/>
              </w:rPr>
              <w:t>207</w:t>
            </w:r>
          </w:p>
        </w:tc>
      </w:tr>
      <w:tr w:rsidR="002C69A1" w:rsidRPr="00E27067" w14:paraId="37CA1B0F" w14:textId="77777777" w:rsidTr="00170402">
        <w:tc>
          <w:tcPr>
            <w:tcW w:w="4678" w:type="dxa"/>
          </w:tcPr>
          <w:p w14:paraId="6F28478B" w14:textId="77777777" w:rsidR="002C69A1" w:rsidRPr="00E27067" w:rsidRDefault="002C69A1" w:rsidP="00170402">
            <w:pPr>
              <w:tabs>
                <w:tab w:val="left" w:pos="630"/>
              </w:tabs>
              <w:jc w:val="both"/>
              <w:rPr>
                <w:rFonts w:asciiTheme="majorBidi" w:hAnsiTheme="majorBidi" w:cstheme="majorBidi"/>
                <w:sz w:val="24"/>
                <w:szCs w:val="24"/>
              </w:rPr>
            </w:pPr>
            <w:r w:rsidRPr="00E27067">
              <w:rPr>
                <w:rFonts w:asciiTheme="majorBidi" w:hAnsiTheme="majorBidi" w:cstheme="majorBidi"/>
                <w:sz w:val="24"/>
                <w:szCs w:val="24"/>
              </w:rPr>
              <w:t xml:space="preserve">6.12.1 First theoretical model for CSR group. </w:t>
            </w:r>
          </w:p>
        </w:tc>
        <w:tc>
          <w:tcPr>
            <w:tcW w:w="4962" w:type="dxa"/>
          </w:tcPr>
          <w:p w14:paraId="774D88B1"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481EF66" w14:textId="77777777" w:rsidR="002C69A1" w:rsidRPr="00E27067" w:rsidRDefault="002C69A1" w:rsidP="00170402">
            <w:pPr>
              <w:rPr>
                <w:rFonts w:asciiTheme="majorBidi" w:hAnsiTheme="majorBidi" w:cstheme="majorBidi"/>
              </w:rPr>
            </w:pPr>
            <w:r>
              <w:rPr>
                <w:rFonts w:asciiTheme="majorBidi" w:hAnsiTheme="majorBidi" w:cstheme="majorBidi"/>
              </w:rPr>
              <w:t>210</w:t>
            </w:r>
          </w:p>
        </w:tc>
      </w:tr>
      <w:tr w:rsidR="002C69A1" w:rsidRPr="00E27067" w14:paraId="7032C8E0" w14:textId="77777777" w:rsidTr="00170402">
        <w:tc>
          <w:tcPr>
            <w:tcW w:w="4678" w:type="dxa"/>
          </w:tcPr>
          <w:p w14:paraId="5F7CE3CA"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6.12.2 Estimating the model after excluding insignificant paths</w:t>
            </w:r>
          </w:p>
        </w:tc>
        <w:tc>
          <w:tcPr>
            <w:tcW w:w="4962" w:type="dxa"/>
          </w:tcPr>
          <w:p w14:paraId="553BB850"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F1ABF88" w14:textId="77777777" w:rsidR="002C69A1" w:rsidRPr="00E27067" w:rsidRDefault="002C69A1" w:rsidP="00170402">
            <w:pPr>
              <w:rPr>
                <w:rFonts w:asciiTheme="majorBidi" w:hAnsiTheme="majorBidi" w:cstheme="majorBidi"/>
              </w:rPr>
            </w:pPr>
            <w:r>
              <w:rPr>
                <w:rFonts w:asciiTheme="majorBidi" w:hAnsiTheme="majorBidi" w:cstheme="majorBidi"/>
              </w:rPr>
              <w:t>212</w:t>
            </w:r>
          </w:p>
        </w:tc>
      </w:tr>
      <w:tr w:rsidR="002C69A1" w:rsidRPr="00E27067" w14:paraId="1077F3FC" w14:textId="77777777" w:rsidTr="00170402">
        <w:tc>
          <w:tcPr>
            <w:tcW w:w="4678" w:type="dxa"/>
          </w:tcPr>
          <w:p w14:paraId="67513EF8"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 xml:space="preserve">6.12.3 Direct effects </w:t>
            </w:r>
          </w:p>
        </w:tc>
        <w:tc>
          <w:tcPr>
            <w:tcW w:w="4962" w:type="dxa"/>
          </w:tcPr>
          <w:p w14:paraId="32E9AB34"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4959AE13" w14:textId="77777777" w:rsidR="002C69A1" w:rsidRPr="00E27067" w:rsidRDefault="002C69A1" w:rsidP="00170402">
            <w:pPr>
              <w:rPr>
                <w:rFonts w:asciiTheme="majorBidi" w:hAnsiTheme="majorBidi" w:cstheme="majorBidi"/>
              </w:rPr>
            </w:pPr>
            <w:r>
              <w:rPr>
                <w:rFonts w:asciiTheme="majorBidi" w:hAnsiTheme="majorBidi" w:cstheme="majorBidi"/>
              </w:rPr>
              <w:t>212</w:t>
            </w:r>
          </w:p>
        </w:tc>
      </w:tr>
      <w:tr w:rsidR="002C69A1" w:rsidRPr="00E27067" w14:paraId="79DBF529" w14:textId="77777777" w:rsidTr="00170402">
        <w:trPr>
          <w:trHeight w:val="301"/>
        </w:trPr>
        <w:tc>
          <w:tcPr>
            <w:tcW w:w="4678" w:type="dxa"/>
          </w:tcPr>
          <w:p w14:paraId="64D7BF4B"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6.12.4 Indirect effects</w:t>
            </w:r>
          </w:p>
        </w:tc>
        <w:tc>
          <w:tcPr>
            <w:tcW w:w="4962" w:type="dxa"/>
          </w:tcPr>
          <w:p w14:paraId="43D29BA7"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1AA35BB" w14:textId="77777777" w:rsidR="002C69A1" w:rsidRPr="00E27067" w:rsidRDefault="002C69A1" w:rsidP="00170402">
            <w:pPr>
              <w:rPr>
                <w:rFonts w:asciiTheme="majorBidi" w:hAnsiTheme="majorBidi" w:cstheme="majorBidi"/>
              </w:rPr>
            </w:pPr>
            <w:r>
              <w:rPr>
                <w:rFonts w:asciiTheme="majorBidi" w:hAnsiTheme="majorBidi" w:cstheme="majorBidi"/>
              </w:rPr>
              <w:t>213</w:t>
            </w:r>
          </w:p>
        </w:tc>
      </w:tr>
      <w:tr w:rsidR="002C69A1" w:rsidRPr="00E27067" w14:paraId="7EACCCC0" w14:textId="77777777" w:rsidTr="00170402">
        <w:tc>
          <w:tcPr>
            <w:tcW w:w="4678" w:type="dxa"/>
          </w:tcPr>
          <w:p w14:paraId="065928E0" w14:textId="77777777" w:rsidR="002C69A1" w:rsidRPr="00E27067" w:rsidRDefault="002C69A1" w:rsidP="00170402">
            <w:pPr>
              <w:pStyle w:val="CommentText"/>
              <w:jc w:val="both"/>
              <w:rPr>
                <w:rFonts w:asciiTheme="majorBidi" w:hAnsiTheme="majorBidi" w:cstheme="majorBidi"/>
                <w:sz w:val="24"/>
                <w:szCs w:val="24"/>
              </w:rPr>
            </w:pPr>
            <w:r w:rsidRPr="00E27067">
              <w:rPr>
                <w:rFonts w:asciiTheme="majorBidi" w:hAnsiTheme="majorBidi" w:cstheme="majorBidi"/>
                <w:sz w:val="24"/>
                <w:szCs w:val="24"/>
              </w:rPr>
              <w:t>6.12.5 Second theoretical model for non-CSR group</w:t>
            </w:r>
          </w:p>
        </w:tc>
        <w:tc>
          <w:tcPr>
            <w:tcW w:w="4962" w:type="dxa"/>
          </w:tcPr>
          <w:p w14:paraId="2581C582"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E82E58A"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15</w:t>
            </w:r>
          </w:p>
        </w:tc>
      </w:tr>
      <w:tr w:rsidR="002C69A1" w:rsidRPr="00E27067" w14:paraId="44D4547E" w14:textId="77777777" w:rsidTr="00170402">
        <w:tc>
          <w:tcPr>
            <w:tcW w:w="4678" w:type="dxa"/>
          </w:tcPr>
          <w:p w14:paraId="4637D810" w14:textId="77777777" w:rsidR="002C69A1" w:rsidRPr="00E27067" w:rsidRDefault="002C69A1" w:rsidP="00170402">
            <w:pPr>
              <w:pStyle w:val="CommentText"/>
              <w:jc w:val="both"/>
              <w:rPr>
                <w:rFonts w:asciiTheme="majorBidi" w:hAnsiTheme="majorBidi" w:cstheme="majorBidi"/>
                <w:sz w:val="24"/>
                <w:szCs w:val="24"/>
              </w:rPr>
            </w:pPr>
            <w:r w:rsidRPr="00E27067">
              <w:rPr>
                <w:rFonts w:asciiTheme="majorBidi" w:hAnsiTheme="majorBidi" w:cstheme="majorBidi"/>
                <w:sz w:val="24"/>
                <w:szCs w:val="24"/>
              </w:rPr>
              <w:t>6.12.6 Estimating the model after excluding insignificant paths</w:t>
            </w:r>
          </w:p>
        </w:tc>
        <w:tc>
          <w:tcPr>
            <w:tcW w:w="4962" w:type="dxa"/>
          </w:tcPr>
          <w:p w14:paraId="6768B075"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6465FC2"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16</w:t>
            </w:r>
          </w:p>
        </w:tc>
      </w:tr>
      <w:tr w:rsidR="002C69A1" w:rsidRPr="00E27067" w14:paraId="303F98BA" w14:textId="77777777" w:rsidTr="00170402">
        <w:tc>
          <w:tcPr>
            <w:tcW w:w="4678" w:type="dxa"/>
          </w:tcPr>
          <w:p w14:paraId="20BA3666"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 xml:space="preserve">6.12.7 Direct effects </w:t>
            </w:r>
          </w:p>
        </w:tc>
        <w:tc>
          <w:tcPr>
            <w:tcW w:w="4962" w:type="dxa"/>
          </w:tcPr>
          <w:p w14:paraId="22C5AB9E"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14558798"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16</w:t>
            </w:r>
          </w:p>
        </w:tc>
      </w:tr>
      <w:tr w:rsidR="002C69A1" w:rsidRPr="00E27067" w14:paraId="65D0C2BE" w14:textId="77777777" w:rsidTr="00170402">
        <w:tc>
          <w:tcPr>
            <w:tcW w:w="4678" w:type="dxa"/>
          </w:tcPr>
          <w:p w14:paraId="12D2EE7D"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6.12.8 Indirect effects</w:t>
            </w:r>
          </w:p>
        </w:tc>
        <w:tc>
          <w:tcPr>
            <w:tcW w:w="4962" w:type="dxa"/>
          </w:tcPr>
          <w:p w14:paraId="4113FFD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74B7B95"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17</w:t>
            </w:r>
          </w:p>
        </w:tc>
      </w:tr>
      <w:tr w:rsidR="002C69A1" w:rsidRPr="00E27067" w14:paraId="13DA0A05" w14:textId="77777777" w:rsidTr="00170402">
        <w:tc>
          <w:tcPr>
            <w:tcW w:w="4678" w:type="dxa"/>
          </w:tcPr>
          <w:p w14:paraId="14CBD508" w14:textId="77777777" w:rsidR="002C69A1" w:rsidRPr="00E27067" w:rsidRDefault="002C69A1" w:rsidP="00170402">
            <w:pPr>
              <w:pStyle w:val="CommentText"/>
              <w:jc w:val="both"/>
              <w:rPr>
                <w:rFonts w:asciiTheme="majorBidi" w:hAnsiTheme="majorBidi" w:cstheme="majorBidi"/>
                <w:sz w:val="24"/>
                <w:szCs w:val="24"/>
              </w:rPr>
            </w:pPr>
            <w:r w:rsidRPr="00E27067">
              <w:rPr>
                <w:rFonts w:asciiTheme="majorBidi" w:hAnsiTheme="majorBidi" w:cstheme="majorBidi"/>
                <w:sz w:val="24"/>
                <w:szCs w:val="24"/>
              </w:rPr>
              <w:t xml:space="preserve">    6.13 Chapter Summary</w:t>
            </w:r>
          </w:p>
        </w:tc>
        <w:tc>
          <w:tcPr>
            <w:tcW w:w="4962" w:type="dxa"/>
          </w:tcPr>
          <w:p w14:paraId="6AB85DD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DF5A57A"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17</w:t>
            </w:r>
          </w:p>
        </w:tc>
      </w:tr>
      <w:tr w:rsidR="002C69A1" w:rsidRPr="00E27067" w14:paraId="3C0CCF4E" w14:textId="77777777" w:rsidTr="00170402">
        <w:tc>
          <w:tcPr>
            <w:tcW w:w="4678" w:type="dxa"/>
          </w:tcPr>
          <w:p w14:paraId="2EBF2D58"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Chapter 7 Results – Study Two</w:t>
            </w:r>
          </w:p>
        </w:tc>
        <w:tc>
          <w:tcPr>
            <w:tcW w:w="4962" w:type="dxa"/>
          </w:tcPr>
          <w:p w14:paraId="773B6667"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CD46AAA"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20</w:t>
            </w:r>
          </w:p>
        </w:tc>
      </w:tr>
      <w:tr w:rsidR="002C69A1" w:rsidRPr="00E27067" w14:paraId="7B98949C" w14:textId="77777777" w:rsidTr="00170402">
        <w:tc>
          <w:tcPr>
            <w:tcW w:w="4678" w:type="dxa"/>
          </w:tcPr>
          <w:p w14:paraId="5279AB1E"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color w:val="2E2E2E"/>
                <w:sz w:val="24"/>
                <w:szCs w:val="24"/>
              </w:rPr>
              <w:t xml:space="preserve">   7.0 Introduction</w:t>
            </w:r>
          </w:p>
        </w:tc>
        <w:tc>
          <w:tcPr>
            <w:tcW w:w="4962" w:type="dxa"/>
          </w:tcPr>
          <w:p w14:paraId="20A67830"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D5D9E8F"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20</w:t>
            </w:r>
          </w:p>
        </w:tc>
      </w:tr>
      <w:tr w:rsidR="002C69A1" w:rsidRPr="00E27067" w14:paraId="2D989E90" w14:textId="77777777" w:rsidTr="00170402">
        <w:tc>
          <w:tcPr>
            <w:tcW w:w="4678" w:type="dxa"/>
          </w:tcPr>
          <w:p w14:paraId="278A1B83" w14:textId="77777777" w:rsidR="002C69A1" w:rsidRPr="00E27067" w:rsidRDefault="002C69A1" w:rsidP="00170402">
            <w:pPr>
              <w:widowControl w:val="0"/>
              <w:rPr>
                <w:rFonts w:asciiTheme="majorBidi" w:hAnsiTheme="majorBidi" w:cstheme="majorBidi"/>
                <w:sz w:val="24"/>
                <w:szCs w:val="24"/>
              </w:rPr>
            </w:pPr>
            <w:r w:rsidRPr="00E27067">
              <w:rPr>
                <w:rFonts w:asciiTheme="majorBidi" w:hAnsiTheme="majorBidi" w:cstheme="majorBidi"/>
                <w:color w:val="2E2E2E"/>
                <w:sz w:val="24"/>
                <w:szCs w:val="24"/>
              </w:rPr>
              <w:t xml:space="preserve">   7.1 Strategies of Qualitative Data Analysis </w:t>
            </w:r>
          </w:p>
        </w:tc>
        <w:tc>
          <w:tcPr>
            <w:tcW w:w="4962" w:type="dxa"/>
          </w:tcPr>
          <w:p w14:paraId="784E275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948EC28"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20</w:t>
            </w:r>
          </w:p>
        </w:tc>
      </w:tr>
      <w:tr w:rsidR="002C69A1" w:rsidRPr="00E27067" w14:paraId="666A1370" w14:textId="77777777" w:rsidTr="00170402">
        <w:tc>
          <w:tcPr>
            <w:tcW w:w="4678" w:type="dxa"/>
          </w:tcPr>
          <w:p w14:paraId="5307C098" w14:textId="77777777" w:rsidR="002C69A1" w:rsidRPr="00E27067" w:rsidRDefault="002C69A1" w:rsidP="00170402">
            <w:pPr>
              <w:widowControl w:val="0"/>
              <w:rPr>
                <w:rFonts w:asciiTheme="majorBidi" w:hAnsiTheme="majorBidi" w:cstheme="majorBidi"/>
                <w:color w:val="2E2E2E"/>
                <w:sz w:val="24"/>
                <w:szCs w:val="24"/>
              </w:rPr>
            </w:pPr>
            <w:r w:rsidRPr="00E27067">
              <w:rPr>
                <w:rFonts w:asciiTheme="majorBidi" w:hAnsiTheme="majorBidi" w:cstheme="majorBidi"/>
                <w:color w:val="2E2E2E"/>
                <w:sz w:val="24"/>
                <w:szCs w:val="24"/>
              </w:rPr>
              <w:t>7.1.1 Compiling</w:t>
            </w:r>
          </w:p>
        </w:tc>
        <w:tc>
          <w:tcPr>
            <w:tcW w:w="4962" w:type="dxa"/>
          </w:tcPr>
          <w:p w14:paraId="6B746F97"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CE9F508"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24</w:t>
            </w:r>
          </w:p>
        </w:tc>
      </w:tr>
      <w:tr w:rsidR="002C69A1" w:rsidRPr="00E27067" w14:paraId="62DDA0E0" w14:textId="77777777" w:rsidTr="00170402">
        <w:tc>
          <w:tcPr>
            <w:tcW w:w="4678" w:type="dxa"/>
          </w:tcPr>
          <w:p w14:paraId="0E78A04F" w14:textId="77777777" w:rsidR="002C69A1" w:rsidRPr="00E27067" w:rsidRDefault="002C69A1" w:rsidP="00170402">
            <w:pPr>
              <w:widowControl w:val="0"/>
              <w:rPr>
                <w:rFonts w:asciiTheme="majorBidi" w:hAnsiTheme="majorBidi" w:cstheme="majorBidi"/>
                <w:color w:val="2E2E2E"/>
                <w:sz w:val="24"/>
                <w:szCs w:val="24"/>
              </w:rPr>
            </w:pPr>
            <w:r w:rsidRPr="00E27067">
              <w:rPr>
                <w:rFonts w:asciiTheme="majorBidi" w:hAnsiTheme="majorBidi" w:cstheme="majorBidi"/>
                <w:color w:val="2E2E2E"/>
                <w:sz w:val="24"/>
                <w:szCs w:val="24"/>
              </w:rPr>
              <w:t xml:space="preserve">7.1.2 Disassembling, Reassembling, and Interpreting </w:t>
            </w:r>
          </w:p>
        </w:tc>
        <w:tc>
          <w:tcPr>
            <w:tcW w:w="4962" w:type="dxa"/>
          </w:tcPr>
          <w:p w14:paraId="44AAAA66"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257F1A1"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25</w:t>
            </w:r>
          </w:p>
        </w:tc>
      </w:tr>
      <w:tr w:rsidR="002C69A1" w:rsidRPr="00E27067" w14:paraId="416736D9" w14:textId="77777777" w:rsidTr="00170402">
        <w:trPr>
          <w:trHeight w:val="255"/>
        </w:trPr>
        <w:tc>
          <w:tcPr>
            <w:tcW w:w="4678" w:type="dxa"/>
          </w:tcPr>
          <w:p w14:paraId="6B71A716" w14:textId="77777777" w:rsidR="002C69A1" w:rsidRPr="008C6F5D" w:rsidRDefault="002C69A1" w:rsidP="00170402">
            <w:pPr>
              <w:widowControl w:val="0"/>
              <w:rPr>
                <w:rFonts w:asciiTheme="majorBidi" w:hAnsiTheme="majorBidi" w:cstheme="majorBidi"/>
                <w:sz w:val="24"/>
                <w:szCs w:val="24"/>
              </w:rPr>
            </w:pPr>
            <w:r w:rsidRPr="008C6F5D">
              <w:rPr>
                <w:rStyle w:val="Hyperlink"/>
                <w:rFonts w:asciiTheme="majorBidi" w:hAnsiTheme="majorBidi" w:cstheme="majorBidi"/>
                <w:color w:val="auto"/>
                <w:sz w:val="24"/>
                <w:szCs w:val="24"/>
                <w:u w:val="none"/>
              </w:rPr>
              <w:t xml:space="preserve">7.1.3 Concluding </w:t>
            </w:r>
          </w:p>
        </w:tc>
        <w:tc>
          <w:tcPr>
            <w:tcW w:w="4962" w:type="dxa"/>
          </w:tcPr>
          <w:p w14:paraId="0223DE8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51D5589"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27</w:t>
            </w:r>
          </w:p>
        </w:tc>
      </w:tr>
      <w:tr w:rsidR="002C69A1" w:rsidRPr="00E27067" w14:paraId="36CE8D60" w14:textId="77777777" w:rsidTr="00170402">
        <w:tc>
          <w:tcPr>
            <w:tcW w:w="4678" w:type="dxa"/>
          </w:tcPr>
          <w:p w14:paraId="2FAFF7A7" w14:textId="77777777" w:rsidR="002C69A1" w:rsidRPr="008C6F5D" w:rsidRDefault="002C69A1" w:rsidP="00170402">
            <w:pPr>
              <w:widowControl w:val="0"/>
              <w:rPr>
                <w:rFonts w:asciiTheme="majorBidi" w:hAnsiTheme="majorBidi" w:cstheme="majorBidi"/>
                <w:sz w:val="24"/>
                <w:szCs w:val="24"/>
              </w:rPr>
            </w:pPr>
            <w:r w:rsidRPr="008C6F5D">
              <w:rPr>
                <w:rStyle w:val="Hyperlink"/>
                <w:rFonts w:asciiTheme="majorBidi" w:hAnsiTheme="majorBidi" w:cstheme="majorBidi"/>
                <w:color w:val="auto"/>
                <w:sz w:val="24"/>
                <w:szCs w:val="24"/>
                <w:u w:val="none"/>
              </w:rPr>
              <w:t xml:space="preserve">  7.2 Sample Consideration </w:t>
            </w:r>
          </w:p>
        </w:tc>
        <w:tc>
          <w:tcPr>
            <w:tcW w:w="4962" w:type="dxa"/>
          </w:tcPr>
          <w:p w14:paraId="0CBC8CD3"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873353F" w14:textId="77777777" w:rsidR="002C69A1" w:rsidRPr="00E27067" w:rsidRDefault="002C69A1" w:rsidP="00170402">
            <w:pPr>
              <w:rPr>
                <w:rFonts w:asciiTheme="majorBidi" w:hAnsiTheme="majorBidi" w:cstheme="majorBidi"/>
              </w:rPr>
            </w:pPr>
            <w:r>
              <w:rPr>
                <w:rFonts w:asciiTheme="majorBidi" w:hAnsiTheme="majorBidi" w:cstheme="majorBidi"/>
              </w:rPr>
              <w:t>228</w:t>
            </w:r>
          </w:p>
        </w:tc>
      </w:tr>
      <w:tr w:rsidR="002C69A1" w:rsidRPr="00E27067" w14:paraId="4F3EB9AB" w14:textId="77777777" w:rsidTr="00170402">
        <w:tc>
          <w:tcPr>
            <w:tcW w:w="4678" w:type="dxa"/>
          </w:tcPr>
          <w:p w14:paraId="2D126D66" w14:textId="77777777" w:rsidR="002C69A1" w:rsidRPr="008C6F5D" w:rsidRDefault="002C69A1" w:rsidP="00170402">
            <w:pPr>
              <w:jc w:val="both"/>
              <w:rPr>
                <w:rFonts w:asciiTheme="majorBidi" w:hAnsiTheme="majorBidi" w:cstheme="majorBidi"/>
                <w:sz w:val="24"/>
                <w:szCs w:val="24"/>
              </w:rPr>
            </w:pPr>
            <w:r w:rsidRPr="008C6F5D">
              <w:rPr>
                <w:rStyle w:val="Hyperlink"/>
                <w:rFonts w:asciiTheme="majorBidi" w:hAnsiTheme="majorBidi" w:cstheme="majorBidi"/>
                <w:color w:val="auto"/>
                <w:sz w:val="24"/>
                <w:szCs w:val="24"/>
                <w:u w:val="none"/>
              </w:rPr>
              <w:t>7.2.1 Data Saturation and sample size</w:t>
            </w:r>
          </w:p>
        </w:tc>
        <w:tc>
          <w:tcPr>
            <w:tcW w:w="4962" w:type="dxa"/>
          </w:tcPr>
          <w:p w14:paraId="36FBAD82"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03C2AB1"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28</w:t>
            </w:r>
          </w:p>
        </w:tc>
      </w:tr>
      <w:tr w:rsidR="002C69A1" w:rsidRPr="00E27067" w14:paraId="60C7A427" w14:textId="77777777" w:rsidTr="00170402">
        <w:tc>
          <w:tcPr>
            <w:tcW w:w="4678" w:type="dxa"/>
          </w:tcPr>
          <w:p w14:paraId="3465A838" w14:textId="77777777" w:rsidR="002C69A1" w:rsidRPr="008C6F5D" w:rsidRDefault="002C69A1" w:rsidP="00170402">
            <w:pPr>
              <w:widowControl w:val="0"/>
              <w:rPr>
                <w:rFonts w:asciiTheme="majorBidi" w:hAnsiTheme="majorBidi" w:cstheme="majorBidi"/>
                <w:sz w:val="24"/>
                <w:szCs w:val="24"/>
              </w:rPr>
            </w:pPr>
            <w:r w:rsidRPr="008C6F5D">
              <w:rPr>
                <w:rStyle w:val="Hyperlink"/>
                <w:rFonts w:asciiTheme="majorBidi" w:hAnsiTheme="majorBidi" w:cstheme="majorBidi"/>
                <w:color w:val="auto"/>
                <w:sz w:val="24"/>
                <w:szCs w:val="24"/>
                <w:u w:val="none"/>
              </w:rPr>
              <w:t xml:space="preserve">7.2.2 Sample recruitment </w:t>
            </w:r>
          </w:p>
        </w:tc>
        <w:tc>
          <w:tcPr>
            <w:tcW w:w="4962" w:type="dxa"/>
          </w:tcPr>
          <w:p w14:paraId="3AF330AE"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1E9F4FDD"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29</w:t>
            </w:r>
          </w:p>
        </w:tc>
      </w:tr>
      <w:tr w:rsidR="002C69A1" w:rsidRPr="00E27067" w14:paraId="04C2A696" w14:textId="77777777" w:rsidTr="00170402">
        <w:tc>
          <w:tcPr>
            <w:tcW w:w="4678" w:type="dxa"/>
          </w:tcPr>
          <w:p w14:paraId="65F16852" w14:textId="77777777" w:rsidR="002C69A1" w:rsidRPr="00E27067" w:rsidRDefault="002C69A1" w:rsidP="00170402">
            <w:pPr>
              <w:widowControl w:val="0"/>
              <w:rPr>
                <w:rFonts w:asciiTheme="majorBidi" w:hAnsiTheme="majorBidi" w:cstheme="majorBidi"/>
                <w:sz w:val="24"/>
                <w:szCs w:val="24"/>
              </w:rPr>
            </w:pPr>
            <w:r w:rsidRPr="00E27067">
              <w:rPr>
                <w:rFonts w:asciiTheme="majorBidi" w:hAnsiTheme="majorBidi" w:cstheme="majorBidi"/>
                <w:sz w:val="24"/>
                <w:szCs w:val="24"/>
              </w:rPr>
              <w:t xml:space="preserve">  7.3 Results </w:t>
            </w:r>
          </w:p>
        </w:tc>
        <w:tc>
          <w:tcPr>
            <w:tcW w:w="4962" w:type="dxa"/>
          </w:tcPr>
          <w:p w14:paraId="793C112A"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106B705F"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30</w:t>
            </w:r>
          </w:p>
        </w:tc>
      </w:tr>
      <w:tr w:rsidR="002C69A1" w:rsidRPr="00E27067" w14:paraId="4F01BFB8" w14:textId="77777777" w:rsidTr="00170402">
        <w:tc>
          <w:tcPr>
            <w:tcW w:w="4678" w:type="dxa"/>
          </w:tcPr>
          <w:p w14:paraId="3A7D7334" w14:textId="77777777" w:rsidR="002C69A1" w:rsidRPr="00E27067" w:rsidRDefault="002C69A1" w:rsidP="00170402">
            <w:pPr>
              <w:widowControl w:val="0"/>
              <w:rPr>
                <w:rFonts w:asciiTheme="majorBidi" w:hAnsiTheme="majorBidi" w:cstheme="majorBidi"/>
                <w:sz w:val="24"/>
                <w:szCs w:val="24"/>
              </w:rPr>
            </w:pPr>
            <w:r w:rsidRPr="00E27067">
              <w:rPr>
                <w:rFonts w:asciiTheme="majorBidi" w:hAnsiTheme="majorBidi" w:cstheme="majorBidi"/>
                <w:sz w:val="24"/>
                <w:szCs w:val="24"/>
              </w:rPr>
              <w:t xml:space="preserve">7.3.1 Demographics </w:t>
            </w:r>
          </w:p>
        </w:tc>
        <w:tc>
          <w:tcPr>
            <w:tcW w:w="4962" w:type="dxa"/>
          </w:tcPr>
          <w:p w14:paraId="79B959E5"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56BA9562"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30</w:t>
            </w:r>
          </w:p>
        </w:tc>
      </w:tr>
      <w:tr w:rsidR="002C69A1" w:rsidRPr="00E27067" w14:paraId="4552D8BF" w14:textId="77777777" w:rsidTr="00170402">
        <w:tc>
          <w:tcPr>
            <w:tcW w:w="4678" w:type="dxa"/>
          </w:tcPr>
          <w:p w14:paraId="1124DDFF" w14:textId="77777777" w:rsidR="002C69A1" w:rsidRPr="00E27067" w:rsidRDefault="002C69A1" w:rsidP="00170402">
            <w:pPr>
              <w:jc w:val="both"/>
              <w:rPr>
                <w:rFonts w:asciiTheme="majorBidi" w:hAnsiTheme="majorBidi" w:cstheme="majorBidi"/>
                <w:sz w:val="24"/>
                <w:szCs w:val="24"/>
              </w:rPr>
            </w:pPr>
            <w:r w:rsidRPr="00E27067">
              <w:rPr>
                <w:rFonts w:asciiTheme="majorBidi" w:hAnsiTheme="majorBidi" w:cstheme="majorBidi"/>
                <w:sz w:val="24"/>
                <w:szCs w:val="24"/>
              </w:rPr>
              <w:t>7.3.2 Choosing products</w:t>
            </w:r>
          </w:p>
        </w:tc>
        <w:tc>
          <w:tcPr>
            <w:tcW w:w="4962" w:type="dxa"/>
          </w:tcPr>
          <w:p w14:paraId="4E65458B"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1E29D165" w14:textId="77777777" w:rsidR="002C69A1" w:rsidRPr="00E27067" w:rsidRDefault="002C69A1" w:rsidP="00170402">
            <w:pPr>
              <w:rPr>
                <w:rFonts w:asciiTheme="majorBidi" w:hAnsiTheme="majorBidi" w:cstheme="majorBidi"/>
              </w:rPr>
            </w:pPr>
            <w:r>
              <w:rPr>
                <w:rFonts w:asciiTheme="majorBidi" w:hAnsiTheme="majorBidi" w:cstheme="majorBidi"/>
              </w:rPr>
              <w:t>231</w:t>
            </w:r>
          </w:p>
        </w:tc>
      </w:tr>
      <w:tr w:rsidR="002C69A1" w:rsidRPr="00E27067" w14:paraId="7D3E3C12" w14:textId="77777777" w:rsidTr="00170402">
        <w:tc>
          <w:tcPr>
            <w:tcW w:w="4678" w:type="dxa"/>
          </w:tcPr>
          <w:p w14:paraId="1651F50D"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7.3.3 CSR Perception</w:t>
            </w:r>
          </w:p>
        </w:tc>
        <w:tc>
          <w:tcPr>
            <w:tcW w:w="4962" w:type="dxa"/>
          </w:tcPr>
          <w:p w14:paraId="6132A925"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F8FDDD6"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29</w:t>
            </w:r>
          </w:p>
        </w:tc>
      </w:tr>
      <w:tr w:rsidR="002C69A1" w:rsidRPr="00E27067" w14:paraId="44CC0A56" w14:textId="77777777" w:rsidTr="00170402">
        <w:tc>
          <w:tcPr>
            <w:tcW w:w="4678" w:type="dxa"/>
          </w:tcPr>
          <w:p w14:paraId="57937CF1"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7.3.4 Ad likeability</w:t>
            </w:r>
          </w:p>
        </w:tc>
        <w:tc>
          <w:tcPr>
            <w:tcW w:w="4962" w:type="dxa"/>
          </w:tcPr>
          <w:p w14:paraId="502D13E0"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C60488C"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33</w:t>
            </w:r>
          </w:p>
        </w:tc>
      </w:tr>
      <w:tr w:rsidR="002C69A1" w:rsidRPr="00E27067" w14:paraId="4F0F0F32" w14:textId="77777777" w:rsidTr="00170402">
        <w:tc>
          <w:tcPr>
            <w:tcW w:w="4678" w:type="dxa"/>
          </w:tcPr>
          <w:p w14:paraId="62B5593C"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 xml:space="preserve">7.3.4.1 Ad Likeability CSR ad </w:t>
            </w:r>
          </w:p>
        </w:tc>
        <w:tc>
          <w:tcPr>
            <w:tcW w:w="4962" w:type="dxa"/>
          </w:tcPr>
          <w:p w14:paraId="622D4463"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DA571E3"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33</w:t>
            </w:r>
          </w:p>
        </w:tc>
      </w:tr>
      <w:tr w:rsidR="002C69A1" w:rsidRPr="00E27067" w14:paraId="7A7A6587" w14:textId="77777777" w:rsidTr="00170402">
        <w:tc>
          <w:tcPr>
            <w:tcW w:w="4678" w:type="dxa"/>
          </w:tcPr>
          <w:p w14:paraId="0FC6C337"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7.3.4.2 Ad likeability non-CSR ad</w:t>
            </w:r>
          </w:p>
        </w:tc>
        <w:tc>
          <w:tcPr>
            <w:tcW w:w="4962" w:type="dxa"/>
          </w:tcPr>
          <w:p w14:paraId="573BC47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AEDA908"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35</w:t>
            </w:r>
          </w:p>
        </w:tc>
      </w:tr>
      <w:tr w:rsidR="002C69A1" w:rsidRPr="00E27067" w14:paraId="174C4D61" w14:textId="77777777" w:rsidTr="00170402">
        <w:tc>
          <w:tcPr>
            <w:tcW w:w="4678" w:type="dxa"/>
          </w:tcPr>
          <w:p w14:paraId="4495F324"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 xml:space="preserve">7.3.4.3 Ad Likeability on social media </w:t>
            </w:r>
          </w:p>
        </w:tc>
        <w:tc>
          <w:tcPr>
            <w:tcW w:w="4962" w:type="dxa"/>
          </w:tcPr>
          <w:p w14:paraId="479D72B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E477B26"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33</w:t>
            </w:r>
          </w:p>
        </w:tc>
      </w:tr>
      <w:tr w:rsidR="002C69A1" w:rsidRPr="00E27067" w14:paraId="6CA734DB" w14:textId="77777777" w:rsidTr="00170402">
        <w:tc>
          <w:tcPr>
            <w:tcW w:w="4678" w:type="dxa"/>
          </w:tcPr>
          <w:p w14:paraId="65413D5B" w14:textId="77777777" w:rsidR="002C69A1" w:rsidRPr="00E27067" w:rsidRDefault="002C69A1" w:rsidP="00170402">
            <w:pPr>
              <w:widowControl w:val="0"/>
              <w:rPr>
                <w:rFonts w:asciiTheme="majorBidi" w:hAnsiTheme="majorBidi" w:cstheme="majorBidi"/>
                <w:sz w:val="24"/>
                <w:szCs w:val="24"/>
              </w:rPr>
            </w:pPr>
            <w:r w:rsidRPr="00E27067">
              <w:rPr>
                <w:rFonts w:asciiTheme="majorBidi" w:hAnsiTheme="majorBidi" w:cstheme="majorBidi"/>
                <w:sz w:val="24"/>
                <w:szCs w:val="24"/>
              </w:rPr>
              <w:t>7.3.5 Ad Comparisons</w:t>
            </w:r>
          </w:p>
        </w:tc>
        <w:tc>
          <w:tcPr>
            <w:tcW w:w="4962" w:type="dxa"/>
          </w:tcPr>
          <w:p w14:paraId="12DBB1F7"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11470569"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37</w:t>
            </w:r>
          </w:p>
        </w:tc>
      </w:tr>
      <w:tr w:rsidR="002C69A1" w:rsidRPr="00E27067" w14:paraId="48E25E77" w14:textId="77777777" w:rsidTr="00170402">
        <w:tc>
          <w:tcPr>
            <w:tcW w:w="4678" w:type="dxa"/>
          </w:tcPr>
          <w:p w14:paraId="65A399BC"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7.3.6 Media channel preference</w:t>
            </w:r>
          </w:p>
        </w:tc>
        <w:tc>
          <w:tcPr>
            <w:tcW w:w="4962" w:type="dxa"/>
          </w:tcPr>
          <w:p w14:paraId="504DBBF4"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513066BE"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38</w:t>
            </w:r>
          </w:p>
        </w:tc>
      </w:tr>
      <w:tr w:rsidR="002C69A1" w:rsidRPr="00E27067" w14:paraId="24236251" w14:textId="77777777" w:rsidTr="00170402">
        <w:tc>
          <w:tcPr>
            <w:tcW w:w="4678" w:type="dxa"/>
          </w:tcPr>
          <w:p w14:paraId="2F4ED419"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7.3.7 Brand likeability</w:t>
            </w:r>
          </w:p>
        </w:tc>
        <w:tc>
          <w:tcPr>
            <w:tcW w:w="4962" w:type="dxa"/>
          </w:tcPr>
          <w:p w14:paraId="7E2B86E3"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6E2C16D"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39</w:t>
            </w:r>
          </w:p>
        </w:tc>
      </w:tr>
      <w:tr w:rsidR="002C69A1" w:rsidRPr="00E27067" w14:paraId="2A5F4DC1" w14:textId="77777777" w:rsidTr="00170402">
        <w:tc>
          <w:tcPr>
            <w:tcW w:w="4678" w:type="dxa"/>
          </w:tcPr>
          <w:p w14:paraId="7C7F9098"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7.3.8 Emotional brand attachment</w:t>
            </w:r>
          </w:p>
        </w:tc>
        <w:tc>
          <w:tcPr>
            <w:tcW w:w="4962" w:type="dxa"/>
          </w:tcPr>
          <w:p w14:paraId="44DB08E3"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1F0B513"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40</w:t>
            </w:r>
          </w:p>
        </w:tc>
      </w:tr>
      <w:tr w:rsidR="002C69A1" w:rsidRPr="00E27067" w14:paraId="2608B6BC" w14:textId="77777777" w:rsidTr="00170402">
        <w:tc>
          <w:tcPr>
            <w:tcW w:w="4678" w:type="dxa"/>
          </w:tcPr>
          <w:p w14:paraId="2536B344"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7.3.9 Brand trust</w:t>
            </w:r>
          </w:p>
        </w:tc>
        <w:tc>
          <w:tcPr>
            <w:tcW w:w="4962" w:type="dxa"/>
          </w:tcPr>
          <w:p w14:paraId="3E87FC7D"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1EE1783" w14:textId="77777777" w:rsidR="002C69A1" w:rsidRPr="00E27067" w:rsidRDefault="002C69A1" w:rsidP="00170402">
            <w:pPr>
              <w:rPr>
                <w:rFonts w:asciiTheme="majorBidi" w:hAnsiTheme="majorBidi" w:cstheme="majorBidi"/>
              </w:rPr>
            </w:pPr>
            <w:r>
              <w:rPr>
                <w:rFonts w:asciiTheme="majorBidi" w:hAnsiTheme="majorBidi" w:cstheme="majorBidi"/>
              </w:rPr>
              <w:t>241</w:t>
            </w:r>
          </w:p>
        </w:tc>
      </w:tr>
      <w:tr w:rsidR="002C69A1" w:rsidRPr="00E27067" w14:paraId="5B3EBFD9" w14:textId="77777777" w:rsidTr="00170402">
        <w:tc>
          <w:tcPr>
            <w:tcW w:w="4678" w:type="dxa"/>
          </w:tcPr>
          <w:p w14:paraId="37572257"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7.3.10 Perceived brand functionality</w:t>
            </w:r>
          </w:p>
        </w:tc>
        <w:tc>
          <w:tcPr>
            <w:tcW w:w="4962" w:type="dxa"/>
          </w:tcPr>
          <w:p w14:paraId="24CD3E7F"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0E34E46"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42</w:t>
            </w:r>
          </w:p>
        </w:tc>
      </w:tr>
      <w:tr w:rsidR="002C69A1" w:rsidRPr="00E27067" w14:paraId="08737ABF" w14:textId="77777777" w:rsidTr="00170402">
        <w:tc>
          <w:tcPr>
            <w:tcW w:w="4678" w:type="dxa"/>
          </w:tcPr>
          <w:p w14:paraId="1152E1BE"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7.3.11 Purchase intention</w:t>
            </w:r>
          </w:p>
        </w:tc>
        <w:tc>
          <w:tcPr>
            <w:tcW w:w="4962" w:type="dxa"/>
          </w:tcPr>
          <w:p w14:paraId="33AAFDCE"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41D7A220"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44</w:t>
            </w:r>
          </w:p>
        </w:tc>
      </w:tr>
      <w:tr w:rsidR="002C69A1" w:rsidRPr="00E27067" w14:paraId="2FB33F9B" w14:textId="77777777" w:rsidTr="00170402">
        <w:tc>
          <w:tcPr>
            <w:tcW w:w="4678" w:type="dxa"/>
          </w:tcPr>
          <w:p w14:paraId="5138B20D"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7.3.11.1 Purchase intention after the CSR ad</w:t>
            </w:r>
          </w:p>
        </w:tc>
        <w:tc>
          <w:tcPr>
            <w:tcW w:w="4962" w:type="dxa"/>
          </w:tcPr>
          <w:p w14:paraId="07136D33"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F50F427"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44</w:t>
            </w:r>
          </w:p>
        </w:tc>
      </w:tr>
      <w:tr w:rsidR="002C69A1" w:rsidRPr="00E27067" w14:paraId="6CBCC900" w14:textId="77777777" w:rsidTr="00170402">
        <w:tc>
          <w:tcPr>
            <w:tcW w:w="4678" w:type="dxa"/>
          </w:tcPr>
          <w:p w14:paraId="0A9BE312" w14:textId="77777777" w:rsidR="002C69A1" w:rsidRPr="00E27067" w:rsidRDefault="002C69A1" w:rsidP="00170402">
            <w:pPr>
              <w:widowControl w:val="0"/>
              <w:rPr>
                <w:rFonts w:asciiTheme="majorBidi" w:hAnsiTheme="majorBidi" w:cstheme="majorBidi"/>
                <w:sz w:val="24"/>
                <w:szCs w:val="24"/>
              </w:rPr>
            </w:pPr>
            <w:r w:rsidRPr="00E27067">
              <w:rPr>
                <w:rFonts w:asciiTheme="majorBidi" w:hAnsiTheme="majorBidi" w:cstheme="majorBidi"/>
                <w:sz w:val="24"/>
                <w:szCs w:val="24"/>
              </w:rPr>
              <w:t xml:space="preserve">7.3.11.2 Purchase intention from the CSR ad of an unknown product </w:t>
            </w:r>
          </w:p>
        </w:tc>
        <w:tc>
          <w:tcPr>
            <w:tcW w:w="4962" w:type="dxa"/>
          </w:tcPr>
          <w:p w14:paraId="1962E123"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163CD04"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45</w:t>
            </w:r>
          </w:p>
        </w:tc>
      </w:tr>
      <w:tr w:rsidR="002C69A1" w:rsidRPr="00E27067" w14:paraId="3339432F" w14:textId="77777777" w:rsidTr="00170402">
        <w:tc>
          <w:tcPr>
            <w:tcW w:w="4678" w:type="dxa"/>
          </w:tcPr>
          <w:p w14:paraId="2177E7D5" w14:textId="77777777" w:rsidR="002C69A1" w:rsidRPr="00E27067" w:rsidRDefault="002C69A1" w:rsidP="00170402">
            <w:pPr>
              <w:widowControl w:val="0"/>
              <w:rPr>
                <w:rFonts w:asciiTheme="majorBidi" w:hAnsiTheme="majorBidi" w:cstheme="majorBidi"/>
                <w:sz w:val="24"/>
                <w:szCs w:val="24"/>
              </w:rPr>
            </w:pPr>
            <w:r w:rsidRPr="00E27067">
              <w:rPr>
                <w:rFonts w:asciiTheme="majorBidi" w:hAnsiTheme="majorBidi" w:cstheme="majorBidi"/>
                <w:sz w:val="24"/>
                <w:szCs w:val="24"/>
              </w:rPr>
              <w:t xml:space="preserve">7.3.11.3 Purchase intention of non-CSR ad </w:t>
            </w:r>
          </w:p>
        </w:tc>
        <w:tc>
          <w:tcPr>
            <w:tcW w:w="4962" w:type="dxa"/>
          </w:tcPr>
          <w:p w14:paraId="1005ABE0"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449F6D84"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46</w:t>
            </w:r>
          </w:p>
        </w:tc>
      </w:tr>
      <w:tr w:rsidR="002C69A1" w:rsidRPr="00E27067" w14:paraId="25F334C2" w14:textId="77777777" w:rsidTr="00170402">
        <w:tc>
          <w:tcPr>
            <w:tcW w:w="4678" w:type="dxa"/>
          </w:tcPr>
          <w:p w14:paraId="36D340EF"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7.3.12 CSR strategy</w:t>
            </w:r>
          </w:p>
        </w:tc>
        <w:tc>
          <w:tcPr>
            <w:tcW w:w="4962" w:type="dxa"/>
          </w:tcPr>
          <w:p w14:paraId="616EE903"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6EE1046"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47</w:t>
            </w:r>
          </w:p>
        </w:tc>
      </w:tr>
      <w:tr w:rsidR="002C69A1" w:rsidRPr="00E27067" w14:paraId="202D9F65" w14:textId="77777777" w:rsidTr="00170402">
        <w:tc>
          <w:tcPr>
            <w:tcW w:w="4678" w:type="dxa"/>
          </w:tcPr>
          <w:p w14:paraId="7E3BBC88" w14:textId="77777777" w:rsidR="002C69A1" w:rsidRPr="00E27067" w:rsidRDefault="002C69A1" w:rsidP="00170402">
            <w:pPr>
              <w:widowControl w:val="0"/>
              <w:rPr>
                <w:rFonts w:asciiTheme="majorBidi" w:hAnsiTheme="majorBidi" w:cstheme="majorBidi"/>
                <w:color w:val="2E2E2E"/>
                <w:sz w:val="24"/>
                <w:szCs w:val="24"/>
              </w:rPr>
            </w:pPr>
            <w:r w:rsidRPr="00E27067">
              <w:rPr>
                <w:rFonts w:asciiTheme="majorBidi" w:hAnsiTheme="majorBidi" w:cstheme="majorBidi"/>
                <w:color w:val="2E2E2E"/>
                <w:sz w:val="24"/>
                <w:szCs w:val="24"/>
              </w:rPr>
              <w:t>7.3.13 Congruity</w:t>
            </w:r>
          </w:p>
        </w:tc>
        <w:tc>
          <w:tcPr>
            <w:tcW w:w="4962" w:type="dxa"/>
          </w:tcPr>
          <w:p w14:paraId="54BCA73D"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468B67C"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49</w:t>
            </w:r>
          </w:p>
        </w:tc>
      </w:tr>
      <w:tr w:rsidR="002C69A1" w:rsidRPr="00E27067" w14:paraId="74437529" w14:textId="77777777" w:rsidTr="00170402">
        <w:tc>
          <w:tcPr>
            <w:tcW w:w="4678" w:type="dxa"/>
          </w:tcPr>
          <w:p w14:paraId="1148B232" w14:textId="77777777" w:rsidR="002C69A1" w:rsidRPr="00E27067" w:rsidRDefault="002C69A1" w:rsidP="00170402">
            <w:pPr>
              <w:widowControl w:val="0"/>
              <w:rPr>
                <w:rFonts w:asciiTheme="majorBidi" w:hAnsiTheme="majorBidi" w:cstheme="majorBidi"/>
                <w:sz w:val="24"/>
                <w:szCs w:val="24"/>
              </w:rPr>
            </w:pPr>
            <w:r w:rsidRPr="00E27067">
              <w:rPr>
                <w:rFonts w:asciiTheme="majorBidi" w:hAnsiTheme="majorBidi" w:cstheme="majorBidi"/>
                <w:sz w:val="24"/>
                <w:szCs w:val="24"/>
              </w:rPr>
              <w:t xml:space="preserve">   7.4 Conclusion</w:t>
            </w:r>
          </w:p>
        </w:tc>
        <w:tc>
          <w:tcPr>
            <w:tcW w:w="4962" w:type="dxa"/>
          </w:tcPr>
          <w:p w14:paraId="2CE8ED19"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7EDCB61D"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50</w:t>
            </w:r>
          </w:p>
        </w:tc>
      </w:tr>
      <w:tr w:rsidR="002C69A1" w:rsidRPr="00E27067" w14:paraId="07FBA98D" w14:textId="77777777" w:rsidTr="00170402">
        <w:tc>
          <w:tcPr>
            <w:tcW w:w="4678" w:type="dxa"/>
          </w:tcPr>
          <w:p w14:paraId="5AF2A532"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Chapter 8 - Discussion</w:t>
            </w:r>
          </w:p>
        </w:tc>
        <w:tc>
          <w:tcPr>
            <w:tcW w:w="4962" w:type="dxa"/>
          </w:tcPr>
          <w:p w14:paraId="29B86062"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15654B0"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51</w:t>
            </w:r>
          </w:p>
        </w:tc>
      </w:tr>
      <w:tr w:rsidR="002C69A1" w:rsidRPr="00E27067" w14:paraId="34F22989" w14:textId="77777777" w:rsidTr="00170402">
        <w:tc>
          <w:tcPr>
            <w:tcW w:w="4678" w:type="dxa"/>
          </w:tcPr>
          <w:p w14:paraId="5CA42FE2"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8.0 Introduction</w:t>
            </w:r>
          </w:p>
        </w:tc>
        <w:tc>
          <w:tcPr>
            <w:tcW w:w="4962" w:type="dxa"/>
          </w:tcPr>
          <w:p w14:paraId="21CDCAA5"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EE3D1BD"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51</w:t>
            </w:r>
          </w:p>
        </w:tc>
      </w:tr>
      <w:tr w:rsidR="002C69A1" w:rsidRPr="00E27067" w14:paraId="3FFDF95E" w14:textId="77777777" w:rsidTr="00170402">
        <w:tc>
          <w:tcPr>
            <w:tcW w:w="4678" w:type="dxa"/>
          </w:tcPr>
          <w:p w14:paraId="49303992"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8.1 Theoretical Discussion </w:t>
            </w:r>
          </w:p>
        </w:tc>
        <w:tc>
          <w:tcPr>
            <w:tcW w:w="4962" w:type="dxa"/>
          </w:tcPr>
          <w:p w14:paraId="5A1D76D8"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7653062"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52</w:t>
            </w:r>
          </w:p>
        </w:tc>
      </w:tr>
      <w:tr w:rsidR="002C69A1" w:rsidRPr="00E27067" w14:paraId="060893A9" w14:textId="77777777" w:rsidTr="00170402">
        <w:tc>
          <w:tcPr>
            <w:tcW w:w="4678" w:type="dxa"/>
          </w:tcPr>
          <w:p w14:paraId="0D5455DB"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8.1.1 TRA</w:t>
            </w:r>
          </w:p>
        </w:tc>
        <w:tc>
          <w:tcPr>
            <w:tcW w:w="4962" w:type="dxa"/>
          </w:tcPr>
          <w:p w14:paraId="776E69B4"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1DA129A"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53</w:t>
            </w:r>
          </w:p>
        </w:tc>
      </w:tr>
      <w:tr w:rsidR="002C69A1" w:rsidRPr="00E27067" w14:paraId="4CC8EE10" w14:textId="77777777" w:rsidTr="00170402">
        <w:tc>
          <w:tcPr>
            <w:tcW w:w="4678" w:type="dxa"/>
          </w:tcPr>
          <w:p w14:paraId="12157B96"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8.1.2 SOR Theory </w:t>
            </w:r>
          </w:p>
        </w:tc>
        <w:tc>
          <w:tcPr>
            <w:tcW w:w="4962" w:type="dxa"/>
          </w:tcPr>
          <w:p w14:paraId="5D32DE04"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37C25F6" w14:textId="77777777" w:rsidR="002C69A1" w:rsidRPr="00E27067" w:rsidRDefault="002C69A1" w:rsidP="00170402">
            <w:pPr>
              <w:rPr>
                <w:rFonts w:asciiTheme="majorBidi" w:hAnsiTheme="majorBidi" w:cstheme="majorBidi"/>
              </w:rPr>
            </w:pPr>
            <w:r>
              <w:rPr>
                <w:rFonts w:asciiTheme="majorBidi" w:hAnsiTheme="majorBidi" w:cstheme="majorBidi"/>
              </w:rPr>
              <w:t>255</w:t>
            </w:r>
          </w:p>
        </w:tc>
      </w:tr>
      <w:tr w:rsidR="002C69A1" w:rsidRPr="00E27067" w14:paraId="414E9EA1" w14:textId="77777777" w:rsidTr="00170402">
        <w:tc>
          <w:tcPr>
            <w:tcW w:w="4678" w:type="dxa"/>
          </w:tcPr>
          <w:p w14:paraId="5361AF48"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8.1.3 Halo Effect</w:t>
            </w:r>
          </w:p>
        </w:tc>
        <w:tc>
          <w:tcPr>
            <w:tcW w:w="4962" w:type="dxa"/>
          </w:tcPr>
          <w:p w14:paraId="658E4455"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1DE04F4A" w14:textId="77777777" w:rsidR="002C69A1" w:rsidRPr="00E27067" w:rsidRDefault="002C69A1" w:rsidP="00170402">
            <w:pPr>
              <w:rPr>
                <w:rFonts w:asciiTheme="majorBidi" w:hAnsiTheme="majorBidi" w:cstheme="majorBidi"/>
              </w:rPr>
            </w:pPr>
            <w:r>
              <w:rPr>
                <w:rFonts w:asciiTheme="majorBidi" w:hAnsiTheme="majorBidi" w:cstheme="majorBidi"/>
              </w:rPr>
              <w:t>257</w:t>
            </w:r>
          </w:p>
        </w:tc>
      </w:tr>
      <w:tr w:rsidR="002C69A1" w:rsidRPr="00E27067" w14:paraId="7E4E4106" w14:textId="77777777" w:rsidTr="00170402">
        <w:tc>
          <w:tcPr>
            <w:tcW w:w="4678" w:type="dxa"/>
          </w:tcPr>
          <w:p w14:paraId="00284AAD"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8.1.4 Value Congruence </w:t>
            </w:r>
          </w:p>
        </w:tc>
        <w:tc>
          <w:tcPr>
            <w:tcW w:w="4962" w:type="dxa"/>
          </w:tcPr>
          <w:p w14:paraId="24C58D91"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49D4A86D" w14:textId="77777777" w:rsidR="002C69A1" w:rsidRPr="00E27067" w:rsidRDefault="002C69A1" w:rsidP="00170402">
            <w:pPr>
              <w:rPr>
                <w:rFonts w:asciiTheme="majorBidi" w:hAnsiTheme="majorBidi" w:cstheme="majorBidi"/>
              </w:rPr>
            </w:pPr>
            <w:r>
              <w:rPr>
                <w:rFonts w:asciiTheme="majorBidi" w:hAnsiTheme="majorBidi" w:cstheme="majorBidi"/>
              </w:rPr>
              <w:t>259</w:t>
            </w:r>
          </w:p>
        </w:tc>
      </w:tr>
      <w:tr w:rsidR="002C69A1" w:rsidRPr="00E27067" w14:paraId="0976244D" w14:textId="77777777" w:rsidTr="00170402">
        <w:tc>
          <w:tcPr>
            <w:tcW w:w="4678" w:type="dxa"/>
          </w:tcPr>
          <w:p w14:paraId="1B2184CF"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  8.2 Main findings</w:t>
            </w:r>
          </w:p>
        </w:tc>
        <w:tc>
          <w:tcPr>
            <w:tcW w:w="4962" w:type="dxa"/>
          </w:tcPr>
          <w:p w14:paraId="6FF0B5F7"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081AA7D" w14:textId="77777777" w:rsidR="002C69A1" w:rsidRPr="00E27067" w:rsidRDefault="002C69A1" w:rsidP="00170402">
            <w:pPr>
              <w:rPr>
                <w:rFonts w:asciiTheme="majorBidi" w:hAnsiTheme="majorBidi" w:cstheme="majorBidi"/>
              </w:rPr>
            </w:pPr>
            <w:r>
              <w:rPr>
                <w:rFonts w:asciiTheme="majorBidi" w:hAnsiTheme="majorBidi" w:cstheme="majorBidi"/>
              </w:rPr>
              <w:t>262</w:t>
            </w:r>
          </w:p>
        </w:tc>
      </w:tr>
      <w:tr w:rsidR="002C69A1" w:rsidRPr="00E27067" w14:paraId="0308B540" w14:textId="77777777" w:rsidTr="00170402">
        <w:tc>
          <w:tcPr>
            <w:tcW w:w="4678" w:type="dxa"/>
          </w:tcPr>
          <w:p w14:paraId="145B5BDE"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8.2.1 CSR Perception</w:t>
            </w:r>
          </w:p>
        </w:tc>
        <w:tc>
          <w:tcPr>
            <w:tcW w:w="4962" w:type="dxa"/>
          </w:tcPr>
          <w:p w14:paraId="0FE013FA"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26B221F" w14:textId="77777777" w:rsidR="002C69A1" w:rsidRPr="00E27067" w:rsidRDefault="002C69A1" w:rsidP="00170402">
            <w:pPr>
              <w:rPr>
                <w:rFonts w:asciiTheme="majorBidi" w:hAnsiTheme="majorBidi" w:cstheme="majorBidi"/>
              </w:rPr>
            </w:pPr>
            <w:r>
              <w:rPr>
                <w:rFonts w:asciiTheme="majorBidi" w:hAnsiTheme="majorBidi" w:cstheme="majorBidi"/>
              </w:rPr>
              <w:t>263</w:t>
            </w:r>
          </w:p>
        </w:tc>
      </w:tr>
      <w:tr w:rsidR="002C69A1" w:rsidRPr="00E27067" w14:paraId="69F6B688" w14:textId="77777777" w:rsidTr="00170402">
        <w:tc>
          <w:tcPr>
            <w:tcW w:w="4678" w:type="dxa"/>
          </w:tcPr>
          <w:p w14:paraId="001E1A01"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8.2.2 Ad Likeability </w:t>
            </w:r>
          </w:p>
        </w:tc>
        <w:tc>
          <w:tcPr>
            <w:tcW w:w="4962" w:type="dxa"/>
          </w:tcPr>
          <w:p w14:paraId="1DD8479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D3FF716" w14:textId="77777777" w:rsidR="002C69A1" w:rsidRPr="00E27067" w:rsidRDefault="002C69A1" w:rsidP="00170402">
            <w:pPr>
              <w:rPr>
                <w:rFonts w:asciiTheme="majorBidi" w:hAnsiTheme="majorBidi" w:cstheme="majorBidi"/>
              </w:rPr>
            </w:pPr>
            <w:r>
              <w:rPr>
                <w:rFonts w:asciiTheme="majorBidi" w:hAnsiTheme="majorBidi" w:cstheme="majorBidi"/>
              </w:rPr>
              <w:t>264</w:t>
            </w:r>
          </w:p>
        </w:tc>
      </w:tr>
      <w:tr w:rsidR="002C69A1" w:rsidRPr="00E27067" w14:paraId="1FA972DA" w14:textId="77777777" w:rsidTr="00170402">
        <w:tc>
          <w:tcPr>
            <w:tcW w:w="4678" w:type="dxa"/>
          </w:tcPr>
          <w:p w14:paraId="38C5760E"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8.2.3 Emotional Brand Attachment </w:t>
            </w:r>
          </w:p>
        </w:tc>
        <w:tc>
          <w:tcPr>
            <w:tcW w:w="4962" w:type="dxa"/>
          </w:tcPr>
          <w:p w14:paraId="0A4ED5CD"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D6CBD5E" w14:textId="77777777" w:rsidR="002C69A1" w:rsidRPr="00E27067" w:rsidRDefault="002C69A1" w:rsidP="00170402">
            <w:pPr>
              <w:rPr>
                <w:rFonts w:asciiTheme="majorBidi" w:hAnsiTheme="majorBidi" w:cstheme="majorBidi"/>
              </w:rPr>
            </w:pPr>
            <w:r w:rsidRPr="00E27067">
              <w:rPr>
                <w:rFonts w:asciiTheme="majorBidi" w:hAnsiTheme="majorBidi" w:cstheme="majorBidi"/>
              </w:rPr>
              <w:t>2</w:t>
            </w:r>
            <w:r>
              <w:rPr>
                <w:rFonts w:asciiTheme="majorBidi" w:hAnsiTheme="majorBidi" w:cstheme="majorBidi"/>
              </w:rPr>
              <w:t>65</w:t>
            </w:r>
          </w:p>
        </w:tc>
      </w:tr>
      <w:tr w:rsidR="002C69A1" w:rsidRPr="00E27067" w14:paraId="5EABC96E" w14:textId="77777777" w:rsidTr="00170402">
        <w:tc>
          <w:tcPr>
            <w:tcW w:w="4678" w:type="dxa"/>
          </w:tcPr>
          <w:p w14:paraId="42A7D569"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sz w:val="24"/>
                <w:szCs w:val="24"/>
              </w:rPr>
              <w:t>8.2.4 Perceived Brand Functionality</w:t>
            </w:r>
          </w:p>
        </w:tc>
        <w:tc>
          <w:tcPr>
            <w:tcW w:w="4962" w:type="dxa"/>
          </w:tcPr>
          <w:p w14:paraId="3BB2EA2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59CE6955" w14:textId="77777777" w:rsidR="002C69A1" w:rsidRPr="00E27067" w:rsidRDefault="002C69A1" w:rsidP="00170402">
            <w:pPr>
              <w:rPr>
                <w:rFonts w:asciiTheme="majorBidi" w:hAnsiTheme="majorBidi" w:cstheme="majorBidi"/>
              </w:rPr>
            </w:pPr>
            <w:r>
              <w:rPr>
                <w:rFonts w:asciiTheme="majorBidi" w:hAnsiTheme="majorBidi" w:cstheme="majorBidi"/>
              </w:rPr>
              <w:t>268</w:t>
            </w:r>
          </w:p>
        </w:tc>
      </w:tr>
      <w:tr w:rsidR="002C69A1" w:rsidRPr="00E27067" w14:paraId="53098C84" w14:textId="77777777" w:rsidTr="00170402">
        <w:tc>
          <w:tcPr>
            <w:tcW w:w="4678" w:type="dxa"/>
          </w:tcPr>
          <w:p w14:paraId="7F5B5BD8"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8.2.5 Brand Likeability</w:t>
            </w:r>
          </w:p>
        </w:tc>
        <w:tc>
          <w:tcPr>
            <w:tcW w:w="4962" w:type="dxa"/>
          </w:tcPr>
          <w:p w14:paraId="6EDF7A55"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E64FB4E" w14:textId="77777777" w:rsidR="002C69A1" w:rsidRPr="00E27067" w:rsidRDefault="002C69A1" w:rsidP="00170402">
            <w:pPr>
              <w:rPr>
                <w:rFonts w:asciiTheme="majorBidi" w:hAnsiTheme="majorBidi" w:cstheme="majorBidi"/>
              </w:rPr>
            </w:pPr>
            <w:r>
              <w:rPr>
                <w:rFonts w:asciiTheme="majorBidi" w:hAnsiTheme="majorBidi" w:cstheme="majorBidi"/>
              </w:rPr>
              <w:t>269</w:t>
            </w:r>
          </w:p>
        </w:tc>
      </w:tr>
      <w:tr w:rsidR="002C69A1" w:rsidRPr="00E27067" w14:paraId="5A702F83" w14:textId="77777777" w:rsidTr="00170402">
        <w:tc>
          <w:tcPr>
            <w:tcW w:w="4678" w:type="dxa"/>
          </w:tcPr>
          <w:p w14:paraId="30609219"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8.2.6 Brand Trust </w:t>
            </w:r>
          </w:p>
        </w:tc>
        <w:tc>
          <w:tcPr>
            <w:tcW w:w="4962" w:type="dxa"/>
          </w:tcPr>
          <w:p w14:paraId="03D1A360"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1C7548A2" w14:textId="77777777" w:rsidR="002C69A1" w:rsidRPr="00E27067" w:rsidRDefault="002C69A1" w:rsidP="00170402">
            <w:pPr>
              <w:rPr>
                <w:rFonts w:asciiTheme="majorBidi" w:hAnsiTheme="majorBidi" w:cstheme="majorBidi"/>
              </w:rPr>
            </w:pPr>
            <w:r>
              <w:rPr>
                <w:rFonts w:asciiTheme="majorBidi" w:hAnsiTheme="majorBidi" w:cstheme="majorBidi"/>
              </w:rPr>
              <w:t>271</w:t>
            </w:r>
          </w:p>
        </w:tc>
      </w:tr>
      <w:tr w:rsidR="002C69A1" w:rsidRPr="00E27067" w14:paraId="76C43237" w14:textId="77777777" w:rsidTr="00170402">
        <w:tc>
          <w:tcPr>
            <w:tcW w:w="4678" w:type="dxa"/>
          </w:tcPr>
          <w:p w14:paraId="1CDBAB6E"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8.2.7 Media Vehicle </w:t>
            </w:r>
          </w:p>
        </w:tc>
        <w:tc>
          <w:tcPr>
            <w:tcW w:w="4962" w:type="dxa"/>
          </w:tcPr>
          <w:p w14:paraId="324C5196"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4E2AAEE" w14:textId="77777777" w:rsidR="002C69A1" w:rsidRPr="00E27067" w:rsidRDefault="002C69A1" w:rsidP="00170402">
            <w:pPr>
              <w:rPr>
                <w:rFonts w:asciiTheme="majorBidi" w:hAnsiTheme="majorBidi" w:cstheme="majorBidi"/>
              </w:rPr>
            </w:pPr>
            <w:r>
              <w:rPr>
                <w:rFonts w:asciiTheme="majorBidi" w:hAnsiTheme="majorBidi" w:cstheme="majorBidi"/>
              </w:rPr>
              <w:t>273</w:t>
            </w:r>
          </w:p>
        </w:tc>
      </w:tr>
      <w:tr w:rsidR="002C69A1" w:rsidRPr="00E27067" w14:paraId="23260B74" w14:textId="77777777" w:rsidTr="00170402">
        <w:tc>
          <w:tcPr>
            <w:tcW w:w="4678" w:type="dxa"/>
          </w:tcPr>
          <w:p w14:paraId="5FC76C4D"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8.2.8 Purchase Intention </w:t>
            </w:r>
          </w:p>
        </w:tc>
        <w:tc>
          <w:tcPr>
            <w:tcW w:w="4962" w:type="dxa"/>
          </w:tcPr>
          <w:p w14:paraId="0092BDCA"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18878C82" w14:textId="77777777" w:rsidR="002C69A1" w:rsidRPr="00E27067" w:rsidRDefault="002C69A1" w:rsidP="00170402">
            <w:pPr>
              <w:rPr>
                <w:rFonts w:asciiTheme="majorBidi" w:hAnsiTheme="majorBidi" w:cstheme="majorBidi"/>
              </w:rPr>
            </w:pPr>
            <w:r>
              <w:rPr>
                <w:rFonts w:asciiTheme="majorBidi" w:hAnsiTheme="majorBidi" w:cstheme="majorBidi"/>
              </w:rPr>
              <w:t>274</w:t>
            </w:r>
          </w:p>
        </w:tc>
      </w:tr>
      <w:tr w:rsidR="002C69A1" w:rsidRPr="00E27067" w14:paraId="2DBBF86E" w14:textId="77777777" w:rsidTr="00170402">
        <w:tc>
          <w:tcPr>
            <w:tcW w:w="4678" w:type="dxa"/>
          </w:tcPr>
          <w:p w14:paraId="05923746"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8.2.9 CSR Strategies </w:t>
            </w:r>
          </w:p>
        </w:tc>
        <w:tc>
          <w:tcPr>
            <w:tcW w:w="4962" w:type="dxa"/>
          </w:tcPr>
          <w:p w14:paraId="555F3742"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40D7B15C" w14:textId="77777777" w:rsidR="002C69A1" w:rsidRPr="00E27067" w:rsidRDefault="002C69A1" w:rsidP="00170402">
            <w:pPr>
              <w:rPr>
                <w:rFonts w:asciiTheme="majorBidi" w:hAnsiTheme="majorBidi" w:cstheme="majorBidi"/>
              </w:rPr>
            </w:pPr>
            <w:r>
              <w:rPr>
                <w:rFonts w:asciiTheme="majorBidi" w:hAnsiTheme="majorBidi" w:cstheme="majorBidi"/>
              </w:rPr>
              <w:t>276</w:t>
            </w:r>
          </w:p>
        </w:tc>
      </w:tr>
      <w:tr w:rsidR="002C69A1" w:rsidRPr="00E27067" w14:paraId="58CA1D9E" w14:textId="77777777" w:rsidTr="00170402">
        <w:tc>
          <w:tcPr>
            <w:tcW w:w="4678" w:type="dxa"/>
          </w:tcPr>
          <w:p w14:paraId="1F365DEB" w14:textId="77777777" w:rsidR="002C69A1" w:rsidRPr="00E27067" w:rsidRDefault="002C69A1" w:rsidP="00170402">
            <w:pPr>
              <w:adjustRightInd w:val="0"/>
              <w:rPr>
                <w:rFonts w:asciiTheme="majorBidi" w:hAnsiTheme="majorBidi" w:cstheme="majorBidi"/>
                <w:sz w:val="24"/>
                <w:szCs w:val="24"/>
              </w:rPr>
            </w:pPr>
            <w:r w:rsidRPr="00E27067">
              <w:rPr>
                <w:rFonts w:asciiTheme="majorBidi" w:hAnsiTheme="majorBidi" w:cstheme="majorBidi"/>
                <w:sz w:val="24"/>
                <w:szCs w:val="24"/>
              </w:rPr>
              <w:t xml:space="preserve">  8.3 Chapter Summary </w:t>
            </w:r>
          </w:p>
        </w:tc>
        <w:tc>
          <w:tcPr>
            <w:tcW w:w="4962" w:type="dxa"/>
          </w:tcPr>
          <w:p w14:paraId="03BDBE91"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1446B03" w14:textId="77777777" w:rsidR="002C69A1" w:rsidRPr="00E27067" w:rsidRDefault="002C69A1" w:rsidP="00170402">
            <w:pPr>
              <w:rPr>
                <w:rFonts w:asciiTheme="majorBidi" w:hAnsiTheme="majorBidi" w:cstheme="majorBidi"/>
              </w:rPr>
            </w:pPr>
            <w:r>
              <w:rPr>
                <w:rFonts w:asciiTheme="majorBidi" w:hAnsiTheme="majorBidi" w:cstheme="majorBidi"/>
              </w:rPr>
              <w:t>277</w:t>
            </w:r>
          </w:p>
        </w:tc>
      </w:tr>
      <w:tr w:rsidR="002C69A1" w:rsidRPr="00E27067" w14:paraId="47CE3E99" w14:textId="77777777" w:rsidTr="00170402">
        <w:tc>
          <w:tcPr>
            <w:tcW w:w="4678" w:type="dxa"/>
          </w:tcPr>
          <w:p w14:paraId="5CDF13D5"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Chapter 9 - Conclusions</w:t>
            </w:r>
          </w:p>
        </w:tc>
        <w:tc>
          <w:tcPr>
            <w:tcW w:w="4962" w:type="dxa"/>
          </w:tcPr>
          <w:p w14:paraId="7508BF9F"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6BAC3085" w14:textId="77777777" w:rsidR="002C69A1" w:rsidRPr="00E27067" w:rsidRDefault="002C69A1" w:rsidP="00170402">
            <w:pPr>
              <w:rPr>
                <w:rFonts w:asciiTheme="majorBidi" w:hAnsiTheme="majorBidi" w:cstheme="majorBidi"/>
              </w:rPr>
            </w:pPr>
            <w:r>
              <w:rPr>
                <w:rFonts w:asciiTheme="majorBidi" w:hAnsiTheme="majorBidi" w:cstheme="majorBidi"/>
              </w:rPr>
              <w:t>279</w:t>
            </w:r>
          </w:p>
        </w:tc>
      </w:tr>
      <w:tr w:rsidR="002C69A1" w:rsidRPr="00E27067" w14:paraId="4E9CE94A" w14:textId="77777777" w:rsidTr="00170402">
        <w:tc>
          <w:tcPr>
            <w:tcW w:w="4678" w:type="dxa"/>
          </w:tcPr>
          <w:p w14:paraId="4E445D28"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 xml:space="preserve">  9.0 Chapter Overview </w:t>
            </w:r>
          </w:p>
        </w:tc>
        <w:tc>
          <w:tcPr>
            <w:tcW w:w="4962" w:type="dxa"/>
          </w:tcPr>
          <w:p w14:paraId="2FB69EC0"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BF4EFB7" w14:textId="77777777" w:rsidR="002C69A1" w:rsidRPr="00E27067" w:rsidRDefault="002C69A1" w:rsidP="00170402">
            <w:pPr>
              <w:rPr>
                <w:rFonts w:asciiTheme="majorBidi" w:hAnsiTheme="majorBidi" w:cstheme="majorBidi"/>
              </w:rPr>
            </w:pPr>
            <w:r>
              <w:rPr>
                <w:rFonts w:asciiTheme="majorBidi" w:hAnsiTheme="majorBidi" w:cstheme="majorBidi"/>
              </w:rPr>
              <w:t>279</w:t>
            </w:r>
          </w:p>
        </w:tc>
      </w:tr>
      <w:tr w:rsidR="002C69A1" w:rsidRPr="00E27067" w14:paraId="6E4AB51D" w14:textId="77777777" w:rsidTr="00170402">
        <w:tc>
          <w:tcPr>
            <w:tcW w:w="4678" w:type="dxa"/>
          </w:tcPr>
          <w:p w14:paraId="74AEA35B"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 xml:space="preserve">  9.1 Main Findings </w:t>
            </w:r>
          </w:p>
        </w:tc>
        <w:tc>
          <w:tcPr>
            <w:tcW w:w="4962" w:type="dxa"/>
          </w:tcPr>
          <w:p w14:paraId="6ABDD457"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F87F83B" w14:textId="77777777" w:rsidR="002C69A1" w:rsidRPr="00E27067" w:rsidRDefault="002C69A1" w:rsidP="00170402">
            <w:pPr>
              <w:rPr>
                <w:rFonts w:asciiTheme="majorBidi" w:hAnsiTheme="majorBidi" w:cstheme="majorBidi"/>
              </w:rPr>
            </w:pPr>
            <w:r>
              <w:rPr>
                <w:rFonts w:asciiTheme="majorBidi" w:hAnsiTheme="majorBidi" w:cstheme="majorBidi"/>
              </w:rPr>
              <w:t>280</w:t>
            </w:r>
          </w:p>
        </w:tc>
      </w:tr>
      <w:tr w:rsidR="002C69A1" w:rsidRPr="00E27067" w14:paraId="1561E67B" w14:textId="77777777" w:rsidTr="00170402">
        <w:tc>
          <w:tcPr>
            <w:tcW w:w="4678" w:type="dxa"/>
          </w:tcPr>
          <w:p w14:paraId="431316E4"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 xml:space="preserve">  9.2 The Study’s Contributions  </w:t>
            </w:r>
          </w:p>
        </w:tc>
        <w:tc>
          <w:tcPr>
            <w:tcW w:w="4962" w:type="dxa"/>
          </w:tcPr>
          <w:p w14:paraId="4E61FE52"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2066734C" w14:textId="77777777" w:rsidR="002C69A1" w:rsidRPr="00E27067" w:rsidRDefault="002C69A1" w:rsidP="00170402">
            <w:pPr>
              <w:rPr>
                <w:rFonts w:asciiTheme="majorBidi" w:hAnsiTheme="majorBidi" w:cstheme="majorBidi"/>
              </w:rPr>
            </w:pPr>
            <w:r>
              <w:rPr>
                <w:rFonts w:asciiTheme="majorBidi" w:hAnsiTheme="majorBidi" w:cstheme="majorBidi"/>
              </w:rPr>
              <w:t>281</w:t>
            </w:r>
          </w:p>
        </w:tc>
      </w:tr>
      <w:tr w:rsidR="002C69A1" w:rsidRPr="00E27067" w14:paraId="39B3B1FD" w14:textId="77777777" w:rsidTr="00170402">
        <w:tc>
          <w:tcPr>
            <w:tcW w:w="4678" w:type="dxa"/>
          </w:tcPr>
          <w:p w14:paraId="67D3B52D"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 xml:space="preserve">  9.3 Limitations</w:t>
            </w:r>
          </w:p>
        </w:tc>
        <w:tc>
          <w:tcPr>
            <w:tcW w:w="4962" w:type="dxa"/>
          </w:tcPr>
          <w:p w14:paraId="3FDA7DE7"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C1CD8BD" w14:textId="77777777" w:rsidR="002C69A1" w:rsidRPr="00E27067" w:rsidRDefault="002C69A1" w:rsidP="00170402">
            <w:pPr>
              <w:rPr>
                <w:rFonts w:asciiTheme="majorBidi" w:hAnsiTheme="majorBidi" w:cstheme="majorBidi"/>
              </w:rPr>
            </w:pPr>
            <w:r>
              <w:rPr>
                <w:rFonts w:asciiTheme="majorBidi" w:hAnsiTheme="majorBidi" w:cstheme="majorBidi"/>
              </w:rPr>
              <w:t>284</w:t>
            </w:r>
          </w:p>
        </w:tc>
      </w:tr>
      <w:tr w:rsidR="002C69A1" w:rsidRPr="00E27067" w14:paraId="7C44899D" w14:textId="77777777" w:rsidTr="00170402">
        <w:tc>
          <w:tcPr>
            <w:tcW w:w="4678" w:type="dxa"/>
          </w:tcPr>
          <w:p w14:paraId="3DBFFCE5"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 xml:space="preserve">  9.4 Future Research</w:t>
            </w:r>
          </w:p>
        </w:tc>
        <w:tc>
          <w:tcPr>
            <w:tcW w:w="4962" w:type="dxa"/>
          </w:tcPr>
          <w:p w14:paraId="0955A9B2"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65BD699" w14:textId="77777777" w:rsidR="002C69A1" w:rsidRPr="00E27067" w:rsidRDefault="002C69A1" w:rsidP="00170402">
            <w:pPr>
              <w:rPr>
                <w:rFonts w:asciiTheme="majorBidi" w:hAnsiTheme="majorBidi" w:cstheme="majorBidi"/>
              </w:rPr>
            </w:pPr>
            <w:r>
              <w:rPr>
                <w:rFonts w:asciiTheme="majorBidi" w:hAnsiTheme="majorBidi" w:cstheme="majorBidi"/>
              </w:rPr>
              <w:t>286</w:t>
            </w:r>
          </w:p>
        </w:tc>
      </w:tr>
      <w:tr w:rsidR="002C69A1" w:rsidRPr="00E27067" w14:paraId="7932802F" w14:textId="77777777" w:rsidTr="00170402">
        <w:tc>
          <w:tcPr>
            <w:tcW w:w="4678" w:type="dxa"/>
          </w:tcPr>
          <w:p w14:paraId="6C604AA9" w14:textId="77777777" w:rsidR="002C69A1" w:rsidRPr="00E27067" w:rsidRDefault="002C69A1" w:rsidP="00170402">
            <w:pPr>
              <w:rPr>
                <w:rFonts w:asciiTheme="majorBidi" w:hAnsiTheme="majorBidi" w:cstheme="majorBidi"/>
                <w:sz w:val="24"/>
                <w:szCs w:val="24"/>
              </w:rPr>
            </w:pPr>
            <w:r w:rsidRPr="00E27067">
              <w:rPr>
                <w:rFonts w:asciiTheme="majorBidi" w:hAnsiTheme="majorBidi" w:cstheme="majorBidi"/>
                <w:sz w:val="24"/>
                <w:szCs w:val="24"/>
              </w:rPr>
              <w:t xml:space="preserve">  9.5 Summary and closing remarks </w:t>
            </w:r>
          </w:p>
        </w:tc>
        <w:tc>
          <w:tcPr>
            <w:tcW w:w="4962" w:type="dxa"/>
          </w:tcPr>
          <w:p w14:paraId="451D34B3"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C7B81E2" w14:textId="77777777" w:rsidR="002C69A1" w:rsidRPr="00E27067" w:rsidRDefault="002C69A1" w:rsidP="00170402">
            <w:pPr>
              <w:rPr>
                <w:rFonts w:asciiTheme="majorBidi" w:hAnsiTheme="majorBidi" w:cstheme="majorBidi"/>
              </w:rPr>
            </w:pPr>
            <w:r>
              <w:rPr>
                <w:rFonts w:asciiTheme="majorBidi" w:hAnsiTheme="majorBidi" w:cstheme="majorBidi"/>
              </w:rPr>
              <w:t>289</w:t>
            </w:r>
          </w:p>
        </w:tc>
      </w:tr>
      <w:tr w:rsidR="002C69A1" w:rsidRPr="002F4481" w14:paraId="5D6A3F21" w14:textId="77777777" w:rsidTr="00170402">
        <w:tc>
          <w:tcPr>
            <w:tcW w:w="4678" w:type="dxa"/>
          </w:tcPr>
          <w:p w14:paraId="216C770C" w14:textId="77777777" w:rsidR="002C69A1" w:rsidRPr="002F4481" w:rsidRDefault="002C69A1" w:rsidP="00170402">
            <w:pPr>
              <w:widowControl w:val="0"/>
              <w:outlineLvl w:val="2"/>
              <w:rPr>
                <w:rFonts w:asciiTheme="majorBidi" w:hAnsiTheme="majorBidi" w:cstheme="majorBidi"/>
                <w:color w:val="2E2E2E"/>
                <w:sz w:val="24"/>
                <w:szCs w:val="24"/>
              </w:rPr>
            </w:pPr>
            <w:r w:rsidRPr="002F4481">
              <w:rPr>
                <w:rFonts w:asciiTheme="majorBidi" w:hAnsiTheme="majorBidi" w:cstheme="majorBidi"/>
                <w:color w:val="2E2E2E"/>
                <w:sz w:val="24"/>
                <w:szCs w:val="24"/>
              </w:rPr>
              <w:t xml:space="preserve">List of References </w:t>
            </w:r>
          </w:p>
        </w:tc>
        <w:tc>
          <w:tcPr>
            <w:tcW w:w="4962" w:type="dxa"/>
          </w:tcPr>
          <w:p w14:paraId="591FD775" w14:textId="77777777" w:rsidR="002C69A1" w:rsidRPr="002F4481" w:rsidRDefault="002C69A1" w:rsidP="00170402">
            <w:pPr>
              <w:rPr>
                <w:rFonts w:asciiTheme="majorBidi" w:hAnsiTheme="majorBidi" w:cstheme="majorBidi"/>
              </w:rPr>
            </w:pPr>
            <w:r w:rsidRPr="002F4481">
              <w:rPr>
                <w:rFonts w:ascii="Times New Roman" w:hAnsi="Times New Roman" w:cs="Times New Roman"/>
              </w:rPr>
              <w:t>……………………………………………………….</w:t>
            </w:r>
          </w:p>
        </w:tc>
        <w:tc>
          <w:tcPr>
            <w:tcW w:w="567" w:type="dxa"/>
          </w:tcPr>
          <w:p w14:paraId="35998403" w14:textId="77777777" w:rsidR="002C69A1" w:rsidRPr="002F4481" w:rsidRDefault="002C69A1" w:rsidP="00170402">
            <w:pPr>
              <w:rPr>
                <w:rFonts w:asciiTheme="majorBidi" w:hAnsiTheme="majorBidi" w:cstheme="majorBidi"/>
              </w:rPr>
            </w:pPr>
            <w:r w:rsidRPr="002F4481">
              <w:rPr>
                <w:rFonts w:asciiTheme="majorBidi" w:hAnsiTheme="majorBidi" w:cstheme="majorBidi"/>
              </w:rPr>
              <w:t>2</w:t>
            </w:r>
            <w:r>
              <w:rPr>
                <w:rFonts w:asciiTheme="majorBidi" w:hAnsiTheme="majorBidi" w:cstheme="majorBidi"/>
              </w:rPr>
              <w:t>90</w:t>
            </w:r>
          </w:p>
        </w:tc>
      </w:tr>
      <w:tr w:rsidR="002C69A1" w:rsidRPr="00E27067" w14:paraId="69DEE225" w14:textId="77777777" w:rsidTr="00170402">
        <w:tc>
          <w:tcPr>
            <w:tcW w:w="4678" w:type="dxa"/>
          </w:tcPr>
          <w:p w14:paraId="5004BF3C"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Appendix A</w:t>
            </w:r>
          </w:p>
        </w:tc>
        <w:tc>
          <w:tcPr>
            <w:tcW w:w="4962" w:type="dxa"/>
          </w:tcPr>
          <w:p w14:paraId="6129505D"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8FCEB63" w14:textId="77777777" w:rsidR="002C69A1" w:rsidRPr="00E27067" w:rsidRDefault="002C69A1" w:rsidP="00170402">
            <w:pPr>
              <w:rPr>
                <w:rFonts w:asciiTheme="majorBidi" w:hAnsiTheme="majorBidi" w:cstheme="majorBidi"/>
              </w:rPr>
            </w:pPr>
            <w:r>
              <w:rPr>
                <w:rFonts w:asciiTheme="majorBidi" w:hAnsiTheme="majorBidi" w:cstheme="majorBidi"/>
              </w:rPr>
              <w:t>374</w:t>
            </w:r>
          </w:p>
        </w:tc>
      </w:tr>
      <w:tr w:rsidR="002C69A1" w:rsidRPr="00E27067" w14:paraId="70AEDEF4" w14:textId="77777777" w:rsidTr="00170402">
        <w:tc>
          <w:tcPr>
            <w:tcW w:w="4678" w:type="dxa"/>
          </w:tcPr>
          <w:p w14:paraId="26969396"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Appendix B</w:t>
            </w:r>
          </w:p>
        </w:tc>
        <w:tc>
          <w:tcPr>
            <w:tcW w:w="4962" w:type="dxa"/>
          </w:tcPr>
          <w:p w14:paraId="79A8BBC7"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5938BCC6" w14:textId="77777777" w:rsidR="002C69A1" w:rsidRPr="00E27067" w:rsidRDefault="002C69A1" w:rsidP="00170402">
            <w:pPr>
              <w:rPr>
                <w:rFonts w:asciiTheme="majorBidi" w:hAnsiTheme="majorBidi" w:cstheme="majorBidi"/>
              </w:rPr>
            </w:pPr>
            <w:r>
              <w:rPr>
                <w:rFonts w:asciiTheme="majorBidi" w:hAnsiTheme="majorBidi" w:cstheme="majorBidi"/>
              </w:rPr>
              <w:t>381</w:t>
            </w:r>
          </w:p>
        </w:tc>
      </w:tr>
      <w:tr w:rsidR="002C69A1" w:rsidRPr="00E27067" w14:paraId="73B7981F" w14:textId="77777777" w:rsidTr="00170402">
        <w:tc>
          <w:tcPr>
            <w:tcW w:w="4678" w:type="dxa"/>
          </w:tcPr>
          <w:p w14:paraId="7FAC2D79"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Appendix C</w:t>
            </w:r>
          </w:p>
        </w:tc>
        <w:tc>
          <w:tcPr>
            <w:tcW w:w="4962" w:type="dxa"/>
          </w:tcPr>
          <w:p w14:paraId="0B597E76"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03551FF4" w14:textId="77777777" w:rsidR="002C69A1" w:rsidRPr="00E27067" w:rsidRDefault="002C69A1" w:rsidP="00170402">
            <w:pPr>
              <w:rPr>
                <w:rFonts w:asciiTheme="majorBidi" w:hAnsiTheme="majorBidi" w:cstheme="majorBidi"/>
              </w:rPr>
            </w:pPr>
            <w:r>
              <w:rPr>
                <w:rFonts w:asciiTheme="majorBidi" w:hAnsiTheme="majorBidi" w:cstheme="majorBidi"/>
              </w:rPr>
              <w:t>385</w:t>
            </w:r>
          </w:p>
        </w:tc>
      </w:tr>
      <w:tr w:rsidR="002C69A1" w:rsidRPr="00E27067" w14:paraId="5256A563" w14:textId="77777777" w:rsidTr="00170402">
        <w:trPr>
          <w:trHeight w:val="183"/>
        </w:trPr>
        <w:tc>
          <w:tcPr>
            <w:tcW w:w="4678" w:type="dxa"/>
          </w:tcPr>
          <w:p w14:paraId="6553DE37"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Appendix D</w:t>
            </w:r>
          </w:p>
        </w:tc>
        <w:tc>
          <w:tcPr>
            <w:tcW w:w="4962" w:type="dxa"/>
          </w:tcPr>
          <w:p w14:paraId="5D80C59C"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029E583" w14:textId="77777777" w:rsidR="002C69A1" w:rsidRPr="00E27067" w:rsidRDefault="002C69A1" w:rsidP="00170402">
            <w:pPr>
              <w:rPr>
                <w:rFonts w:asciiTheme="majorBidi" w:hAnsiTheme="majorBidi" w:cstheme="majorBidi"/>
              </w:rPr>
            </w:pPr>
            <w:r>
              <w:rPr>
                <w:rFonts w:asciiTheme="majorBidi" w:hAnsiTheme="majorBidi" w:cstheme="majorBidi"/>
              </w:rPr>
              <w:t>392</w:t>
            </w:r>
          </w:p>
        </w:tc>
      </w:tr>
      <w:tr w:rsidR="002C69A1" w:rsidRPr="00E27067" w14:paraId="5E2841D1" w14:textId="77777777" w:rsidTr="00170402">
        <w:tc>
          <w:tcPr>
            <w:tcW w:w="4678" w:type="dxa"/>
          </w:tcPr>
          <w:p w14:paraId="611395CA" w14:textId="77777777" w:rsidR="002C69A1" w:rsidRPr="00E27067" w:rsidRDefault="002C69A1" w:rsidP="00170402">
            <w:pPr>
              <w:widowControl w:val="0"/>
              <w:outlineLvl w:val="2"/>
              <w:rPr>
                <w:rFonts w:asciiTheme="majorBidi" w:hAnsiTheme="majorBidi" w:cstheme="majorBidi"/>
                <w:color w:val="2E2E2E"/>
                <w:sz w:val="24"/>
                <w:szCs w:val="24"/>
              </w:rPr>
            </w:pPr>
            <w:r w:rsidRPr="00E27067">
              <w:rPr>
                <w:rFonts w:asciiTheme="majorBidi" w:hAnsiTheme="majorBidi" w:cstheme="majorBidi"/>
                <w:color w:val="2E2E2E"/>
                <w:sz w:val="24"/>
                <w:szCs w:val="24"/>
              </w:rPr>
              <w:t>Appendix E</w:t>
            </w:r>
          </w:p>
        </w:tc>
        <w:tc>
          <w:tcPr>
            <w:tcW w:w="4962" w:type="dxa"/>
          </w:tcPr>
          <w:p w14:paraId="47664385" w14:textId="77777777" w:rsidR="002C69A1" w:rsidRPr="00E27067" w:rsidRDefault="002C69A1" w:rsidP="00170402">
            <w:pPr>
              <w:rPr>
                <w:rFonts w:asciiTheme="majorBidi" w:hAnsiTheme="majorBidi" w:cstheme="majorBidi"/>
              </w:rPr>
            </w:pPr>
            <w:r w:rsidRPr="00BD7537">
              <w:rPr>
                <w:rFonts w:ascii="Times New Roman" w:hAnsi="Times New Roman" w:cs="Times New Roman"/>
              </w:rPr>
              <w:t>……………………………………………………</w:t>
            </w:r>
            <w:r>
              <w:rPr>
                <w:rFonts w:ascii="Times New Roman" w:hAnsi="Times New Roman" w:cs="Times New Roman"/>
              </w:rPr>
              <w:t>….</w:t>
            </w:r>
          </w:p>
        </w:tc>
        <w:tc>
          <w:tcPr>
            <w:tcW w:w="567" w:type="dxa"/>
          </w:tcPr>
          <w:p w14:paraId="393916B0" w14:textId="77777777" w:rsidR="002C69A1" w:rsidRPr="00E27067" w:rsidRDefault="002C69A1" w:rsidP="00170402">
            <w:pPr>
              <w:rPr>
                <w:rFonts w:asciiTheme="majorBidi" w:hAnsiTheme="majorBidi" w:cstheme="majorBidi"/>
              </w:rPr>
            </w:pPr>
            <w:r>
              <w:rPr>
                <w:rFonts w:asciiTheme="majorBidi" w:hAnsiTheme="majorBidi" w:cstheme="majorBidi"/>
              </w:rPr>
              <w:t>406</w:t>
            </w:r>
          </w:p>
        </w:tc>
      </w:tr>
    </w:tbl>
    <w:p w14:paraId="4EBE43FD" w14:textId="77777777" w:rsidR="004316ED" w:rsidRPr="00E27067" w:rsidRDefault="004316ED" w:rsidP="00EF74C5">
      <w:pPr>
        <w:jc w:val="center"/>
        <w:rPr>
          <w:rFonts w:asciiTheme="majorBidi" w:hAnsiTheme="majorBidi" w:cstheme="majorBidi"/>
          <w:b/>
          <w:bCs/>
          <w:sz w:val="24"/>
          <w:szCs w:val="24"/>
        </w:rPr>
      </w:pPr>
    </w:p>
    <w:p w14:paraId="316F0530" w14:textId="77777777" w:rsidR="00B01F74" w:rsidRPr="00E27067" w:rsidRDefault="00B01F74" w:rsidP="00EF74C5">
      <w:pPr>
        <w:jc w:val="center"/>
        <w:rPr>
          <w:rFonts w:asciiTheme="majorBidi" w:hAnsiTheme="majorBidi" w:cstheme="majorBidi"/>
          <w:b/>
          <w:bCs/>
          <w:sz w:val="24"/>
          <w:szCs w:val="24"/>
        </w:rPr>
      </w:pPr>
    </w:p>
    <w:p w14:paraId="27447CCC" w14:textId="77777777" w:rsidR="00B01F74" w:rsidRDefault="00B01F74" w:rsidP="00EF74C5">
      <w:pPr>
        <w:jc w:val="center"/>
        <w:rPr>
          <w:rFonts w:asciiTheme="majorBidi" w:hAnsiTheme="majorBidi" w:cstheme="majorBidi"/>
          <w:b/>
          <w:bCs/>
          <w:sz w:val="24"/>
          <w:szCs w:val="24"/>
        </w:rPr>
      </w:pPr>
    </w:p>
    <w:p w14:paraId="3E52BC2C" w14:textId="77777777" w:rsidR="000177EB" w:rsidRDefault="000177EB" w:rsidP="00EF74C5">
      <w:pPr>
        <w:jc w:val="center"/>
        <w:rPr>
          <w:rFonts w:asciiTheme="majorBidi" w:hAnsiTheme="majorBidi" w:cstheme="majorBidi"/>
          <w:b/>
          <w:bCs/>
          <w:sz w:val="24"/>
          <w:szCs w:val="24"/>
        </w:rPr>
      </w:pPr>
    </w:p>
    <w:p w14:paraId="1FDE8B8A" w14:textId="77777777" w:rsidR="000177EB" w:rsidRDefault="000177EB" w:rsidP="00EF74C5">
      <w:pPr>
        <w:jc w:val="center"/>
        <w:rPr>
          <w:rFonts w:asciiTheme="majorBidi" w:hAnsiTheme="majorBidi" w:cstheme="majorBidi"/>
          <w:b/>
          <w:bCs/>
          <w:sz w:val="24"/>
          <w:szCs w:val="24"/>
        </w:rPr>
      </w:pPr>
    </w:p>
    <w:p w14:paraId="64DFEFF6" w14:textId="77777777" w:rsidR="000177EB" w:rsidRDefault="000177EB" w:rsidP="00EF74C5">
      <w:pPr>
        <w:jc w:val="center"/>
        <w:rPr>
          <w:rFonts w:asciiTheme="majorBidi" w:hAnsiTheme="majorBidi" w:cstheme="majorBidi"/>
          <w:b/>
          <w:bCs/>
          <w:sz w:val="24"/>
          <w:szCs w:val="24"/>
        </w:rPr>
      </w:pPr>
    </w:p>
    <w:p w14:paraId="491C5819" w14:textId="77777777" w:rsidR="00E27067" w:rsidRDefault="00E27067" w:rsidP="00EF74C5">
      <w:pPr>
        <w:jc w:val="center"/>
        <w:rPr>
          <w:rFonts w:asciiTheme="majorBidi" w:hAnsiTheme="majorBidi" w:cstheme="majorBidi"/>
          <w:b/>
          <w:bCs/>
          <w:sz w:val="24"/>
          <w:szCs w:val="24"/>
        </w:rPr>
      </w:pPr>
    </w:p>
    <w:p w14:paraId="696C76BE" w14:textId="548E9FB1" w:rsidR="00233F82" w:rsidRDefault="00233F82" w:rsidP="00B945DB">
      <w:pPr>
        <w:rPr>
          <w:rFonts w:asciiTheme="majorBidi" w:hAnsiTheme="majorBidi" w:cstheme="majorBidi"/>
          <w:b/>
          <w:bCs/>
          <w:sz w:val="24"/>
          <w:szCs w:val="24"/>
        </w:rPr>
      </w:pPr>
    </w:p>
    <w:p w14:paraId="1F25C89B" w14:textId="77777777" w:rsidR="002F4481" w:rsidRDefault="002F4481">
      <w:pPr>
        <w:rPr>
          <w:rFonts w:asciiTheme="majorBidi" w:hAnsiTheme="majorBidi" w:cstheme="majorBidi"/>
          <w:b/>
          <w:bCs/>
          <w:sz w:val="24"/>
          <w:szCs w:val="24"/>
        </w:rPr>
      </w:pPr>
      <w:r>
        <w:rPr>
          <w:rFonts w:asciiTheme="majorBidi" w:hAnsiTheme="majorBidi" w:cstheme="majorBidi"/>
          <w:b/>
          <w:bCs/>
          <w:sz w:val="24"/>
          <w:szCs w:val="24"/>
        </w:rPr>
        <w:br w:type="page"/>
      </w:r>
    </w:p>
    <w:p w14:paraId="4ABFC769" w14:textId="396CD4A0" w:rsidR="00FE08A8" w:rsidRDefault="00FE08A8" w:rsidP="001776CA">
      <w:pPr>
        <w:spacing w:after="0"/>
        <w:jc w:val="center"/>
        <w:rPr>
          <w:rFonts w:asciiTheme="majorBidi" w:hAnsiTheme="majorBidi" w:cstheme="majorBidi"/>
          <w:b/>
          <w:bCs/>
          <w:sz w:val="24"/>
          <w:szCs w:val="24"/>
        </w:rPr>
      </w:pPr>
      <w:r>
        <w:rPr>
          <w:rFonts w:asciiTheme="majorBidi" w:hAnsiTheme="majorBidi" w:cstheme="majorBidi"/>
          <w:b/>
          <w:bCs/>
          <w:sz w:val="24"/>
          <w:szCs w:val="24"/>
        </w:rPr>
        <w:t>List of Figures</w:t>
      </w:r>
    </w:p>
    <w:tbl>
      <w:tblPr>
        <w:tblStyle w:val="TableGrid"/>
        <w:tblpPr w:leftFromText="180" w:rightFromText="180" w:vertAnchor="page" w:horzAnchor="margin" w:tblpXSpec="center" w:tblpY="2741"/>
        <w:tblW w:w="10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4175"/>
        <w:gridCol w:w="4935"/>
        <w:gridCol w:w="808"/>
      </w:tblGrid>
      <w:tr w:rsidR="001776CA" w:rsidRPr="00BD7537" w14:paraId="7A79F7AC" w14:textId="77777777" w:rsidTr="0074101C">
        <w:trPr>
          <w:trHeight w:val="190"/>
        </w:trPr>
        <w:tc>
          <w:tcPr>
            <w:tcW w:w="676" w:type="dxa"/>
          </w:tcPr>
          <w:p w14:paraId="2321076A"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1</w:t>
            </w:r>
          </w:p>
        </w:tc>
        <w:tc>
          <w:tcPr>
            <w:tcW w:w="4175" w:type="dxa"/>
          </w:tcPr>
          <w:p w14:paraId="4526355D" w14:textId="77777777" w:rsidR="001776CA" w:rsidRPr="00BD7537" w:rsidRDefault="001776CA" w:rsidP="001776CA">
            <w:pPr>
              <w:rPr>
                <w:rFonts w:ascii="Times New Roman" w:hAnsi="Times New Roman" w:cs="Times New Roman"/>
                <w:sz w:val="24"/>
                <w:szCs w:val="24"/>
              </w:rPr>
            </w:pPr>
            <w:r>
              <w:rPr>
                <w:rFonts w:asciiTheme="majorBidi" w:hAnsiTheme="majorBidi" w:cstheme="majorBidi"/>
                <w:sz w:val="24"/>
                <w:szCs w:val="24"/>
              </w:rPr>
              <w:t>Scope of the study</w:t>
            </w:r>
          </w:p>
        </w:tc>
        <w:tc>
          <w:tcPr>
            <w:tcW w:w="4935" w:type="dxa"/>
          </w:tcPr>
          <w:p w14:paraId="65DA120A" w14:textId="77777777" w:rsidR="001776CA" w:rsidRPr="00BD7537" w:rsidRDefault="001776CA" w:rsidP="001776CA">
            <w:pPr>
              <w:rPr>
                <w:rFonts w:ascii="Times New Roman" w:hAnsi="Times New Roman" w:cs="Times New Roman"/>
              </w:rPr>
            </w:pPr>
            <w:r w:rsidRPr="00BD7537">
              <w:rPr>
                <w:rFonts w:ascii="Times New Roman" w:hAnsi="Times New Roman" w:cs="Times New Roman"/>
              </w:rPr>
              <w:t>………………………………………………</w:t>
            </w:r>
            <w:r>
              <w:rPr>
                <w:rFonts w:ascii="Times New Roman" w:hAnsi="Times New Roman" w:cs="Times New Roman"/>
              </w:rPr>
              <w:t>……….</w:t>
            </w:r>
          </w:p>
        </w:tc>
        <w:tc>
          <w:tcPr>
            <w:tcW w:w="808" w:type="dxa"/>
          </w:tcPr>
          <w:p w14:paraId="79F300FE" w14:textId="0B540FFA" w:rsidR="001776CA" w:rsidRPr="00BD7537" w:rsidRDefault="00EF6350" w:rsidP="001776CA">
            <w:pPr>
              <w:rPr>
                <w:rFonts w:ascii="Times New Roman" w:hAnsi="Times New Roman" w:cs="Times New Roman"/>
              </w:rPr>
            </w:pPr>
            <w:r>
              <w:rPr>
                <w:rFonts w:ascii="Times New Roman" w:hAnsi="Times New Roman" w:cs="Times New Roman"/>
              </w:rPr>
              <w:t>2</w:t>
            </w:r>
            <w:r w:rsidR="00AD44B6">
              <w:rPr>
                <w:rFonts w:ascii="Times New Roman" w:hAnsi="Times New Roman" w:cs="Times New Roman"/>
              </w:rPr>
              <w:t>5</w:t>
            </w:r>
          </w:p>
        </w:tc>
      </w:tr>
      <w:tr w:rsidR="001776CA" w:rsidRPr="00BD7537" w14:paraId="78769C1E" w14:textId="77777777" w:rsidTr="0074101C">
        <w:trPr>
          <w:trHeight w:val="410"/>
        </w:trPr>
        <w:tc>
          <w:tcPr>
            <w:tcW w:w="676" w:type="dxa"/>
          </w:tcPr>
          <w:p w14:paraId="341F74CD" w14:textId="77777777" w:rsidR="001776CA" w:rsidRDefault="001776CA" w:rsidP="001776CA">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4175" w:type="dxa"/>
          </w:tcPr>
          <w:p w14:paraId="35D0A4EE" w14:textId="77777777" w:rsidR="001776CA" w:rsidRPr="00781146" w:rsidRDefault="001776CA" w:rsidP="001776CA">
            <w:pPr>
              <w:rPr>
                <w:rFonts w:asciiTheme="majorBidi" w:hAnsiTheme="majorBidi" w:cstheme="majorBidi"/>
                <w:kern w:val="2"/>
                <w:sz w:val="24"/>
                <w:szCs w:val="24"/>
              </w:rPr>
            </w:pPr>
            <w:r w:rsidRPr="00781146">
              <w:rPr>
                <w:rFonts w:asciiTheme="majorBidi" w:hAnsiTheme="majorBidi" w:cstheme="majorBidi"/>
                <w:sz w:val="24"/>
                <w:szCs w:val="24"/>
              </w:rPr>
              <w:t>A summary of stages taken to achieve the study's</w:t>
            </w:r>
            <w:r>
              <w:rPr>
                <w:rFonts w:asciiTheme="majorBidi" w:hAnsiTheme="majorBidi" w:cstheme="majorBidi"/>
                <w:sz w:val="24"/>
                <w:szCs w:val="24"/>
              </w:rPr>
              <w:t xml:space="preserve"> </w:t>
            </w:r>
            <w:r w:rsidRPr="00781146">
              <w:rPr>
                <w:rFonts w:asciiTheme="majorBidi" w:hAnsiTheme="majorBidi" w:cstheme="majorBidi"/>
                <w:sz w:val="24"/>
                <w:szCs w:val="24"/>
              </w:rPr>
              <w:t>objective</w:t>
            </w:r>
            <w:r>
              <w:rPr>
                <w:rFonts w:asciiTheme="majorBidi" w:hAnsiTheme="majorBidi" w:cstheme="majorBidi"/>
                <w:sz w:val="24"/>
                <w:szCs w:val="24"/>
              </w:rPr>
              <w:t>s</w:t>
            </w:r>
          </w:p>
        </w:tc>
        <w:tc>
          <w:tcPr>
            <w:tcW w:w="4935" w:type="dxa"/>
          </w:tcPr>
          <w:p w14:paraId="20540ABD"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532CCB0D" w14:textId="1153AD40" w:rsidR="001776CA" w:rsidRPr="00BD7537" w:rsidRDefault="0074101C" w:rsidP="001776CA">
            <w:pPr>
              <w:rPr>
                <w:rFonts w:ascii="Times New Roman" w:hAnsi="Times New Roman" w:cs="Times New Roman"/>
              </w:rPr>
            </w:pPr>
            <w:r>
              <w:rPr>
                <w:rFonts w:ascii="Times New Roman" w:hAnsi="Times New Roman" w:cs="Times New Roman"/>
              </w:rPr>
              <w:t>31</w:t>
            </w:r>
          </w:p>
        </w:tc>
      </w:tr>
      <w:tr w:rsidR="001776CA" w:rsidRPr="00BD7537" w14:paraId="4F5365E2" w14:textId="77777777" w:rsidTr="0074101C">
        <w:trPr>
          <w:trHeight w:val="190"/>
        </w:trPr>
        <w:tc>
          <w:tcPr>
            <w:tcW w:w="676" w:type="dxa"/>
          </w:tcPr>
          <w:p w14:paraId="79502866" w14:textId="77777777" w:rsidR="001776CA" w:rsidRPr="00BD7537" w:rsidRDefault="001776CA" w:rsidP="001776CA">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4175" w:type="dxa"/>
          </w:tcPr>
          <w:p w14:paraId="132ADADA" w14:textId="77777777" w:rsidR="001776CA" w:rsidRPr="00BD7537" w:rsidRDefault="001776CA" w:rsidP="001776CA">
            <w:pPr>
              <w:pStyle w:val="ListParagraph"/>
              <w:ind w:left="0"/>
              <w:rPr>
                <w:rFonts w:ascii="Times New Roman" w:hAnsi="Times New Roman" w:cs="Times New Roman"/>
                <w:sz w:val="24"/>
                <w:szCs w:val="24"/>
              </w:rPr>
            </w:pPr>
            <w:r>
              <w:rPr>
                <w:rFonts w:ascii="Times New Roman" w:eastAsia="Times New Roman" w:hAnsi="Times New Roman" w:cs="Times New Roman"/>
                <w:noProof/>
                <w:sz w:val="24"/>
                <w:szCs w:val="24"/>
                <w:lang w:eastAsia="en-GB"/>
              </w:rPr>
              <w:t>Steps conducted for the systematic review</w:t>
            </w:r>
          </w:p>
        </w:tc>
        <w:tc>
          <w:tcPr>
            <w:tcW w:w="4935" w:type="dxa"/>
          </w:tcPr>
          <w:p w14:paraId="6E1A922B"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0C666593" w14:textId="3D47B55B" w:rsidR="001776CA" w:rsidRPr="00BD7537" w:rsidRDefault="00EF6350" w:rsidP="001776CA">
            <w:pPr>
              <w:rPr>
                <w:rFonts w:ascii="Times New Roman" w:hAnsi="Times New Roman" w:cs="Times New Roman"/>
              </w:rPr>
            </w:pPr>
            <w:r>
              <w:rPr>
                <w:rFonts w:ascii="Times New Roman" w:hAnsi="Times New Roman" w:cs="Times New Roman"/>
              </w:rPr>
              <w:t>8</w:t>
            </w:r>
            <w:r w:rsidR="003151C5">
              <w:rPr>
                <w:rFonts w:ascii="Times New Roman" w:hAnsi="Times New Roman" w:cs="Times New Roman"/>
              </w:rPr>
              <w:t>7</w:t>
            </w:r>
          </w:p>
        </w:tc>
      </w:tr>
      <w:tr w:rsidR="001776CA" w:rsidRPr="00BD7537" w14:paraId="64C927DD" w14:textId="77777777" w:rsidTr="0074101C">
        <w:trPr>
          <w:trHeight w:val="190"/>
        </w:trPr>
        <w:tc>
          <w:tcPr>
            <w:tcW w:w="676" w:type="dxa"/>
          </w:tcPr>
          <w:p w14:paraId="4D7872C1" w14:textId="77777777" w:rsidR="001776CA" w:rsidRPr="00BD7537" w:rsidRDefault="001776CA" w:rsidP="001776CA">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4175" w:type="dxa"/>
          </w:tcPr>
          <w:p w14:paraId="20D74648" w14:textId="77777777" w:rsidR="001776CA" w:rsidRPr="00BD7537" w:rsidRDefault="001776CA" w:rsidP="001776CA">
            <w:pPr>
              <w:pStyle w:val="ListParagraph"/>
              <w:ind w:left="0"/>
              <w:rPr>
                <w:rFonts w:ascii="Times New Roman" w:hAnsi="Times New Roman" w:cs="Times New Roman"/>
                <w:sz w:val="24"/>
                <w:szCs w:val="24"/>
              </w:rPr>
            </w:pPr>
            <w:r w:rsidRPr="00384836">
              <w:rPr>
                <w:rFonts w:asciiTheme="majorBidi" w:hAnsiTheme="majorBidi" w:cstheme="majorBidi"/>
                <w:sz w:val="24"/>
                <w:szCs w:val="24"/>
              </w:rPr>
              <w:t xml:space="preserve">The tri-component model </w:t>
            </w:r>
            <w:sdt>
              <w:sdtPr>
                <w:rPr>
                  <w:rFonts w:asciiTheme="majorBidi" w:hAnsiTheme="majorBidi" w:cstheme="majorBidi"/>
                  <w:sz w:val="24"/>
                  <w:szCs w:val="24"/>
                </w:rPr>
                <w:id w:val="295655449"/>
                <w:citation/>
              </w:sdtPr>
              <w:sdtContent>
                <w:r w:rsidRPr="00384836">
                  <w:rPr>
                    <w:rFonts w:asciiTheme="majorBidi" w:hAnsiTheme="majorBidi" w:cstheme="majorBidi"/>
                    <w:sz w:val="24"/>
                    <w:szCs w:val="24"/>
                  </w:rPr>
                  <w:fldChar w:fldCharType="begin"/>
                </w:r>
                <w:r w:rsidRPr="00384836">
                  <w:rPr>
                    <w:rFonts w:asciiTheme="majorBidi" w:hAnsiTheme="majorBidi" w:cstheme="majorBidi"/>
                    <w:sz w:val="24"/>
                    <w:szCs w:val="24"/>
                  </w:rPr>
                  <w:instrText xml:space="preserve"> CITATION Pic05 \l 2057 </w:instrText>
                </w:r>
                <w:r w:rsidRPr="00384836">
                  <w:rPr>
                    <w:rFonts w:asciiTheme="majorBidi" w:hAnsiTheme="majorBidi" w:cstheme="majorBidi"/>
                    <w:sz w:val="24"/>
                    <w:szCs w:val="24"/>
                  </w:rPr>
                  <w:fldChar w:fldCharType="separate"/>
                </w:r>
                <w:r w:rsidRPr="00384836">
                  <w:rPr>
                    <w:rFonts w:asciiTheme="majorBidi" w:hAnsiTheme="majorBidi" w:cstheme="majorBidi"/>
                    <w:sz w:val="24"/>
                    <w:szCs w:val="24"/>
                  </w:rPr>
                  <w:t>(Pickens, 2005)</w:t>
                </w:r>
                <w:r w:rsidRPr="00384836">
                  <w:rPr>
                    <w:rFonts w:asciiTheme="majorBidi" w:hAnsiTheme="majorBidi" w:cstheme="majorBidi"/>
                    <w:sz w:val="24"/>
                    <w:szCs w:val="24"/>
                  </w:rPr>
                  <w:fldChar w:fldCharType="end"/>
                </w:r>
              </w:sdtContent>
            </w:sdt>
          </w:p>
        </w:tc>
        <w:tc>
          <w:tcPr>
            <w:tcW w:w="4935" w:type="dxa"/>
          </w:tcPr>
          <w:p w14:paraId="7DB00EC5"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66339ADE" w14:textId="5F0D5BCD" w:rsidR="001776CA" w:rsidRPr="00BD7537" w:rsidRDefault="00EF6350" w:rsidP="001776CA">
            <w:pPr>
              <w:rPr>
                <w:rFonts w:ascii="Times New Roman" w:hAnsi="Times New Roman" w:cs="Times New Roman"/>
              </w:rPr>
            </w:pPr>
            <w:r>
              <w:rPr>
                <w:rFonts w:ascii="Times New Roman" w:hAnsi="Times New Roman" w:cs="Times New Roman"/>
              </w:rPr>
              <w:t>10</w:t>
            </w:r>
            <w:r w:rsidR="003151C5">
              <w:rPr>
                <w:rFonts w:ascii="Times New Roman" w:hAnsi="Times New Roman" w:cs="Times New Roman"/>
              </w:rPr>
              <w:t>4</w:t>
            </w:r>
          </w:p>
        </w:tc>
      </w:tr>
      <w:tr w:rsidR="001776CA" w:rsidRPr="00BD7537" w14:paraId="02338F8A" w14:textId="77777777" w:rsidTr="0074101C">
        <w:trPr>
          <w:trHeight w:val="395"/>
        </w:trPr>
        <w:tc>
          <w:tcPr>
            <w:tcW w:w="676" w:type="dxa"/>
          </w:tcPr>
          <w:p w14:paraId="140B34BC" w14:textId="77777777" w:rsidR="001776CA" w:rsidRPr="00BD7537"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5</w:t>
            </w:r>
          </w:p>
        </w:tc>
        <w:tc>
          <w:tcPr>
            <w:tcW w:w="4175" w:type="dxa"/>
          </w:tcPr>
          <w:p w14:paraId="0CF2D5E9" w14:textId="51086928" w:rsidR="001776CA" w:rsidRPr="00BD7537" w:rsidRDefault="001776CA" w:rsidP="001776CA">
            <w:pPr>
              <w:pStyle w:val="ListParagraph"/>
              <w:shd w:val="clear" w:color="auto" w:fill="FFFFFF"/>
              <w:ind w:left="0"/>
              <w:rPr>
                <w:rFonts w:ascii="Times New Roman" w:hAnsi="Times New Roman" w:cs="Times New Roman"/>
                <w:sz w:val="24"/>
                <w:szCs w:val="24"/>
              </w:rPr>
            </w:pPr>
            <w:r w:rsidRPr="00574CDD">
              <w:rPr>
                <w:rFonts w:asciiTheme="majorBidi" w:hAnsiTheme="majorBidi" w:cstheme="majorBidi"/>
                <w:sz w:val="24"/>
                <w:szCs w:val="24"/>
              </w:rPr>
              <w:t xml:space="preserve">TRA and TPB </w:t>
            </w:r>
            <w:r w:rsidR="00667700">
              <w:rPr>
                <w:rFonts w:asciiTheme="majorBidi" w:hAnsiTheme="majorBidi" w:cstheme="majorBidi"/>
                <w:sz w:val="24"/>
                <w:szCs w:val="24"/>
              </w:rPr>
              <w:t>assumptions as</w:t>
            </w:r>
            <w:r w:rsidRPr="00574CDD">
              <w:rPr>
                <w:rFonts w:asciiTheme="majorBidi" w:hAnsiTheme="majorBidi" w:cstheme="majorBidi"/>
                <w:sz w:val="24"/>
                <w:szCs w:val="24"/>
              </w:rPr>
              <w:t xml:space="preserve"> developed by Ajzen</w:t>
            </w:r>
            <w:sdt>
              <w:sdtPr>
                <w:rPr>
                  <w:rFonts w:asciiTheme="majorBidi" w:hAnsiTheme="majorBidi" w:cstheme="majorBidi"/>
                  <w:sz w:val="24"/>
                  <w:szCs w:val="24"/>
                </w:rPr>
                <w:id w:val="45622368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Fis75 \n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(1975)</w:t>
                </w:r>
                <w:r>
                  <w:rPr>
                    <w:rFonts w:asciiTheme="majorBidi" w:hAnsiTheme="majorBidi" w:cstheme="majorBidi"/>
                    <w:sz w:val="24"/>
                    <w:szCs w:val="24"/>
                  </w:rPr>
                  <w:fldChar w:fldCharType="end"/>
                </w:r>
              </w:sdtContent>
            </w:sdt>
          </w:p>
        </w:tc>
        <w:tc>
          <w:tcPr>
            <w:tcW w:w="4935" w:type="dxa"/>
          </w:tcPr>
          <w:p w14:paraId="5B04F54E"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68438AE0" w14:textId="08570CEF" w:rsidR="001776CA" w:rsidRPr="00BD7537" w:rsidRDefault="00667700" w:rsidP="001776CA">
            <w:pPr>
              <w:rPr>
                <w:rFonts w:ascii="Times New Roman" w:hAnsi="Times New Roman" w:cs="Times New Roman"/>
              </w:rPr>
            </w:pPr>
            <w:r>
              <w:rPr>
                <w:rFonts w:ascii="Times New Roman" w:hAnsi="Times New Roman" w:cs="Times New Roman"/>
              </w:rPr>
              <w:t>10</w:t>
            </w:r>
            <w:r w:rsidR="003151C5">
              <w:rPr>
                <w:rFonts w:ascii="Times New Roman" w:hAnsi="Times New Roman" w:cs="Times New Roman"/>
              </w:rPr>
              <w:t>9</w:t>
            </w:r>
          </w:p>
        </w:tc>
      </w:tr>
      <w:tr w:rsidR="001776CA" w:rsidRPr="00BD7537" w14:paraId="37FF2B75" w14:textId="77777777" w:rsidTr="0074101C">
        <w:trPr>
          <w:trHeight w:val="205"/>
        </w:trPr>
        <w:tc>
          <w:tcPr>
            <w:tcW w:w="676" w:type="dxa"/>
          </w:tcPr>
          <w:p w14:paraId="0F1664A6" w14:textId="77777777" w:rsidR="001776CA"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6</w:t>
            </w:r>
          </w:p>
        </w:tc>
        <w:tc>
          <w:tcPr>
            <w:tcW w:w="4175" w:type="dxa"/>
          </w:tcPr>
          <w:p w14:paraId="691FDAAB" w14:textId="77777777" w:rsidR="001776CA" w:rsidRPr="00344430"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Application of TRA</w:t>
            </w:r>
          </w:p>
        </w:tc>
        <w:tc>
          <w:tcPr>
            <w:tcW w:w="4935" w:type="dxa"/>
          </w:tcPr>
          <w:p w14:paraId="0614C2F8"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65884656" w14:textId="20AD0551" w:rsidR="001776CA" w:rsidRPr="00BD7537" w:rsidRDefault="00667700" w:rsidP="001776CA">
            <w:pPr>
              <w:rPr>
                <w:rFonts w:ascii="Times New Roman" w:hAnsi="Times New Roman" w:cs="Times New Roman"/>
              </w:rPr>
            </w:pPr>
            <w:r>
              <w:rPr>
                <w:rFonts w:ascii="Times New Roman" w:hAnsi="Times New Roman" w:cs="Times New Roman"/>
              </w:rPr>
              <w:t>1</w:t>
            </w:r>
            <w:r w:rsidR="00EF6350">
              <w:rPr>
                <w:rFonts w:ascii="Times New Roman" w:hAnsi="Times New Roman" w:cs="Times New Roman"/>
              </w:rPr>
              <w:t>1</w:t>
            </w:r>
            <w:r w:rsidR="003151C5">
              <w:rPr>
                <w:rFonts w:ascii="Times New Roman" w:hAnsi="Times New Roman" w:cs="Times New Roman"/>
              </w:rPr>
              <w:t>5</w:t>
            </w:r>
          </w:p>
        </w:tc>
      </w:tr>
      <w:tr w:rsidR="001776CA" w:rsidRPr="00BD7537" w14:paraId="1F7F91FB" w14:textId="77777777" w:rsidTr="0074101C">
        <w:trPr>
          <w:trHeight w:val="190"/>
        </w:trPr>
        <w:tc>
          <w:tcPr>
            <w:tcW w:w="676" w:type="dxa"/>
          </w:tcPr>
          <w:p w14:paraId="5332F5A7" w14:textId="77777777" w:rsidR="001776CA" w:rsidRPr="00BD7537"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7</w:t>
            </w:r>
          </w:p>
        </w:tc>
        <w:tc>
          <w:tcPr>
            <w:tcW w:w="4175" w:type="dxa"/>
          </w:tcPr>
          <w:p w14:paraId="6506F2D0" w14:textId="77777777" w:rsidR="001776CA" w:rsidRPr="00BD7537" w:rsidRDefault="001776CA" w:rsidP="001776CA">
            <w:pPr>
              <w:pStyle w:val="ListParagraph"/>
              <w:shd w:val="clear" w:color="auto" w:fill="FFFFFF"/>
              <w:ind w:left="0"/>
              <w:rPr>
                <w:rFonts w:ascii="Times New Roman" w:hAnsi="Times New Roman" w:cs="Times New Roman"/>
                <w:sz w:val="24"/>
                <w:szCs w:val="24"/>
              </w:rPr>
            </w:pPr>
            <w:r w:rsidRPr="00344430">
              <w:rPr>
                <w:rFonts w:ascii="Times New Roman" w:hAnsi="Times New Roman" w:cs="Times New Roman"/>
                <w:sz w:val="24"/>
                <w:szCs w:val="24"/>
              </w:rPr>
              <w:t>SOR Theory Framework (Mehrabian &amp; Russell, 1974)</w:t>
            </w:r>
          </w:p>
        </w:tc>
        <w:tc>
          <w:tcPr>
            <w:tcW w:w="4935" w:type="dxa"/>
          </w:tcPr>
          <w:p w14:paraId="569E0C06"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084022B1" w14:textId="3CDB2E67" w:rsidR="001776CA" w:rsidRPr="00BD7537" w:rsidRDefault="00EF6350" w:rsidP="001776CA">
            <w:pPr>
              <w:rPr>
                <w:rFonts w:ascii="Times New Roman" w:hAnsi="Times New Roman" w:cs="Times New Roman"/>
              </w:rPr>
            </w:pPr>
            <w:r>
              <w:rPr>
                <w:rFonts w:ascii="Times New Roman" w:hAnsi="Times New Roman" w:cs="Times New Roman"/>
              </w:rPr>
              <w:t>11</w:t>
            </w:r>
            <w:r w:rsidR="003151C5">
              <w:rPr>
                <w:rFonts w:ascii="Times New Roman" w:hAnsi="Times New Roman" w:cs="Times New Roman"/>
              </w:rPr>
              <w:t>7</w:t>
            </w:r>
          </w:p>
        </w:tc>
      </w:tr>
      <w:tr w:rsidR="001776CA" w:rsidRPr="00BD7537" w14:paraId="53F00C5F" w14:textId="77777777" w:rsidTr="0074101C">
        <w:trPr>
          <w:trHeight w:val="210"/>
        </w:trPr>
        <w:tc>
          <w:tcPr>
            <w:tcW w:w="676" w:type="dxa"/>
          </w:tcPr>
          <w:p w14:paraId="7C100E11" w14:textId="77777777" w:rsidR="001776CA"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8</w:t>
            </w:r>
          </w:p>
        </w:tc>
        <w:tc>
          <w:tcPr>
            <w:tcW w:w="4175" w:type="dxa"/>
          </w:tcPr>
          <w:p w14:paraId="0EF891BF" w14:textId="77777777" w:rsidR="001776CA" w:rsidRPr="00F737C6" w:rsidRDefault="001776CA" w:rsidP="001776CA">
            <w:pPr>
              <w:pStyle w:val="ListParagraph"/>
              <w:shd w:val="clear" w:color="auto" w:fill="FFFFFF"/>
              <w:ind w:left="0"/>
              <w:rPr>
                <w:rFonts w:asciiTheme="majorBidi" w:hAnsiTheme="majorBidi" w:cstheme="majorBidi"/>
                <w:sz w:val="24"/>
                <w:szCs w:val="24"/>
                <w:highlight w:val="yellow"/>
              </w:rPr>
            </w:pPr>
            <w:r w:rsidRPr="00781146">
              <w:rPr>
                <w:rFonts w:asciiTheme="majorBidi" w:hAnsiTheme="majorBidi" w:cstheme="majorBidi"/>
                <w:sz w:val="24"/>
                <w:szCs w:val="24"/>
              </w:rPr>
              <w:t>The possibility of halo effects presented with dotted lines</w:t>
            </w:r>
          </w:p>
        </w:tc>
        <w:tc>
          <w:tcPr>
            <w:tcW w:w="4935" w:type="dxa"/>
          </w:tcPr>
          <w:p w14:paraId="70FC11B1"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113FB42E" w14:textId="40180D0E" w:rsidR="001776CA" w:rsidRPr="00BD7537" w:rsidRDefault="00EF6350" w:rsidP="001776CA">
            <w:pPr>
              <w:rPr>
                <w:rFonts w:ascii="Times New Roman" w:hAnsi="Times New Roman" w:cs="Times New Roman"/>
              </w:rPr>
            </w:pPr>
            <w:r>
              <w:rPr>
                <w:rFonts w:ascii="Times New Roman" w:hAnsi="Times New Roman" w:cs="Times New Roman"/>
              </w:rPr>
              <w:t>12</w:t>
            </w:r>
            <w:r w:rsidR="003151C5">
              <w:rPr>
                <w:rFonts w:ascii="Times New Roman" w:hAnsi="Times New Roman" w:cs="Times New Roman"/>
              </w:rPr>
              <w:t>5</w:t>
            </w:r>
          </w:p>
        </w:tc>
      </w:tr>
      <w:tr w:rsidR="001776CA" w:rsidRPr="00BD7537" w14:paraId="7EA4213B" w14:textId="77777777" w:rsidTr="0074101C">
        <w:trPr>
          <w:trHeight w:val="210"/>
        </w:trPr>
        <w:tc>
          <w:tcPr>
            <w:tcW w:w="676" w:type="dxa"/>
          </w:tcPr>
          <w:p w14:paraId="3B17732D" w14:textId="77777777" w:rsidR="001776CA" w:rsidRPr="00BD7537"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9</w:t>
            </w:r>
          </w:p>
        </w:tc>
        <w:tc>
          <w:tcPr>
            <w:tcW w:w="4175" w:type="dxa"/>
          </w:tcPr>
          <w:p w14:paraId="0DAA56F3" w14:textId="77777777" w:rsidR="001776CA" w:rsidRPr="00781146" w:rsidRDefault="001776CA" w:rsidP="001776CA">
            <w:pPr>
              <w:pStyle w:val="ListParagraph"/>
              <w:shd w:val="clear" w:color="auto" w:fill="FFFFFF"/>
              <w:ind w:left="0"/>
              <w:rPr>
                <w:rFonts w:asciiTheme="majorBidi" w:hAnsiTheme="majorBidi" w:cstheme="majorBidi"/>
                <w:sz w:val="24"/>
                <w:szCs w:val="24"/>
              </w:rPr>
            </w:pPr>
            <w:r w:rsidRPr="00781146">
              <w:rPr>
                <w:rFonts w:asciiTheme="majorBidi" w:hAnsiTheme="majorBidi" w:cstheme="majorBidi"/>
                <w:sz w:val="24"/>
                <w:szCs w:val="24"/>
              </w:rPr>
              <w:t xml:space="preserve">The study’s conceptual model  </w:t>
            </w:r>
          </w:p>
        </w:tc>
        <w:tc>
          <w:tcPr>
            <w:tcW w:w="4935" w:type="dxa"/>
          </w:tcPr>
          <w:p w14:paraId="5AD65455"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6B6E3996" w14:textId="4701E332" w:rsidR="001776CA" w:rsidRPr="00BD7537" w:rsidRDefault="00667700" w:rsidP="001776CA">
            <w:pPr>
              <w:rPr>
                <w:rFonts w:ascii="Times New Roman" w:hAnsi="Times New Roman" w:cs="Times New Roman"/>
              </w:rPr>
            </w:pPr>
            <w:r>
              <w:rPr>
                <w:rFonts w:ascii="Times New Roman" w:hAnsi="Times New Roman" w:cs="Times New Roman"/>
              </w:rPr>
              <w:t>1</w:t>
            </w:r>
            <w:r w:rsidR="003151C5">
              <w:rPr>
                <w:rFonts w:ascii="Times New Roman" w:hAnsi="Times New Roman" w:cs="Times New Roman"/>
              </w:rPr>
              <w:t>32</w:t>
            </w:r>
          </w:p>
        </w:tc>
      </w:tr>
      <w:tr w:rsidR="001776CA" w:rsidRPr="00BD7537" w14:paraId="351ACCAF" w14:textId="77777777" w:rsidTr="0074101C">
        <w:trPr>
          <w:trHeight w:val="395"/>
        </w:trPr>
        <w:tc>
          <w:tcPr>
            <w:tcW w:w="676" w:type="dxa"/>
          </w:tcPr>
          <w:p w14:paraId="799BCA71" w14:textId="77777777" w:rsidR="001776CA"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10</w:t>
            </w:r>
          </w:p>
        </w:tc>
        <w:tc>
          <w:tcPr>
            <w:tcW w:w="4175" w:type="dxa"/>
          </w:tcPr>
          <w:p w14:paraId="68B2548C" w14:textId="77777777" w:rsidR="001776CA" w:rsidRPr="00781146" w:rsidRDefault="001776CA" w:rsidP="001776CA">
            <w:pPr>
              <w:pStyle w:val="ListParagraph"/>
              <w:shd w:val="clear" w:color="auto" w:fill="FFFFFF"/>
              <w:ind w:left="0"/>
              <w:rPr>
                <w:rFonts w:asciiTheme="majorBidi" w:hAnsiTheme="majorBidi" w:cstheme="majorBidi"/>
                <w:sz w:val="24"/>
                <w:szCs w:val="24"/>
              </w:rPr>
            </w:pPr>
            <w:r w:rsidRPr="00781146">
              <w:rPr>
                <w:rFonts w:asciiTheme="majorBidi" w:hAnsiTheme="majorBidi" w:cstheme="majorBidi"/>
                <w:sz w:val="24"/>
                <w:szCs w:val="24"/>
              </w:rPr>
              <w:t>The sequential steps conducted in the study to collect data</w:t>
            </w:r>
          </w:p>
        </w:tc>
        <w:tc>
          <w:tcPr>
            <w:tcW w:w="4935" w:type="dxa"/>
          </w:tcPr>
          <w:p w14:paraId="1C6276AC"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086F68F9" w14:textId="73F32392" w:rsidR="001776CA" w:rsidRPr="00BD7537" w:rsidRDefault="00667700" w:rsidP="001776CA">
            <w:pPr>
              <w:rPr>
                <w:rFonts w:ascii="Times New Roman" w:hAnsi="Times New Roman" w:cs="Times New Roman"/>
              </w:rPr>
            </w:pPr>
            <w:r>
              <w:rPr>
                <w:rFonts w:ascii="Times New Roman" w:hAnsi="Times New Roman" w:cs="Times New Roman"/>
              </w:rPr>
              <w:t>1</w:t>
            </w:r>
            <w:r w:rsidR="00EF6350">
              <w:rPr>
                <w:rFonts w:ascii="Times New Roman" w:hAnsi="Times New Roman" w:cs="Times New Roman"/>
              </w:rPr>
              <w:t>3</w:t>
            </w:r>
            <w:r w:rsidR="003151C5">
              <w:rPr>
                <w:rFonts w:ascii="Times New Roman" w:hAnsi="Times New Roman" w:cs="Times New Roman"/>
              </w:rPr>
              <w:t>5</w:t>
            </w:r>
          </w:p>
        </w:tc>
      </w:tr>
      <w:tr w:rsidR="001776CA" w:rsidRPr="00BD7537" w14:paraId="5464A212" w14:textId="77777777" w:rsidTr="0074101C">
        <w:trPr>
          <w:trHeight w:val="395"/>
        </w:trPr>
        <w:tc>
          <w:tcPr>
            <w:tcW w:w="676" w:type="dxa"/>
          </w:tcPr>
          <w:p w14:paraId="602B2033" w14:textId="77777777" w:rsidR="001776CA"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11</w:t>
            </w:r>
          </w:p>
        </w:tc>
        <w:tc>
          <w:tcPr>
            <w:tcW w:w="4175" w:type="dxa"/>
          </w:tcPr>
          <w:p w14:paraId="717F416E" w14:textId="45D48CF4" w:rsidR="001776CA" w:rsidRPr="00781146" w:rsidRDefault="001776CA" w:rsidP="001776CA">
            <w:pPr>
              <w:pStyle w:val="ListParagraph"/>
              <w:shd w:val="clear" w:color="auto" w:fill="FFFFFF"/>
              <w:ind w:left="0"/>
              <w:rPr>
                <w:rFonts w:asciiTheme="majorBidi" w:hAnsiTheme="majorBidi" w:cstheme="majorBidi"/>
                <w:sz w:val="24"/>
                <w:szCs w:val="24"/>
              </w:rPr>
            </w:pPr>
            <w:r w:rsidRPr="00781146">
              <w:rPr>
                <w:rFonts w:asciiTheme="majorBidi" w:hAnsiTheme="majorBidi" w:cstheme="majorBidi"/>
                <w:sz w:val="24"/>
                <w:szCs w:val="24"/>
              </w:rPr>
              <w:t>Main epistemological approaches applied in social sciences</w:t>
            </w:r>
          </w:p>
        </w:tc>
        <w:tc>
          <w:tcPr>
            <w:tcW w:w="4935" w:type="dxa"/>
          </w:tcPr>
          <w:p w14:paraId="39FE114C"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62EA5FA8" w14:textId="069611FE" w:rsidR="001776CA" w:rsidRPr="00BD7537" w:rsidRDefault="00EF6350" w:rsidP="001776CA">
            <w:pPr>
              <w:rPr>
                <w:rFonts w:ascii="Times New Roman" w:hAnsi="Times New Roman" w:cs="Times New Roman"/>
              </w:rPr>
            </w:pPr>
            <w:r>
              <w:rPr>
                <w:rFonts w:ascii="Times New Roman" w:hAnsi="Times New Roman" w:cs="Times New Roman"/>
              </w:rPr>
              <w:t>13</w:t>
            </w:r>
            <w:r w:rsidR="003151C5">
              <w:rPr>
                <w:rFonts w:ascii="Times New Roman" w:hAnsi="Times New Roman" w:cs="Times New Roman"/>
              </w:rPr>
              <w:t>9</w:t>
            </w:r>
          </w:p>
        </w:tc>
      </w:tr>
      <w:tr w:rsidR="001776CA" w:rsidRPr="00BD7537" w14:paraId="0147C73D" w14:textId="77777777" w:rsidTr="0074101C">
        <w:trPr>
          <w:trHeight w:val="395"/>
        </w:trPr>
        <w:tc>
          <w:tcPr>
            <w:tcW w:w="676" w:type="dxa"/>
          </w:tcPr>
          <w:p w14:paraId="33AA77EA" w14:textId="77777777" w:rsidR="001776CA"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12</w:t>
            </w:r>
          </w:p>
        </w:tc>
        <w:tc>
          <w:tcPr>
            <w:tcW w:w="4175" w:type="dxa"/>
          </w:tcPr>
          <w:p w14:paraId="2DC70AA6" w14:textId="77777777" w:rsidR="001776CA" w:rsidRPr="00344430" w:rsidRDefault="001776CA" w:rsidP="001776CA">
            <w:pPr>
              <w:pStyle w:val="ListParagraph"/>
              <w:shd w:val="clear" w:color="auto" w:fill="FFFFFF"/>
              <w:ind w:left="0"/>
              <w:rPr>
                <w:rFonts w:ascii="Times New Roman" w:hAnsi="Times New Roman" w:cs="Times New Roman"/>
              </w:rPr>
            </w:pPr>
            <w:r w:rsidRPr="00E30E28">
              <w:rPr>
                <w:rFonts w:ascii="Times New Roman" w:hAnsi="Times New Roman" w:cs="Times New Roman"/>
              </w:rPr>
              <w:t>Respondents’ choice of the type of CSR campaign they believed Egypt needed the most</w:t>
            </w:r>
          </w:p>
        </w:tc>
        <w:tc>
          <w:tcPr>
            <w:tcW w:w="4935" w:type="dxa"/>
          </w:tcPr>
          <w:p w14:paraId="47F05673"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6A3152F1" w14:textId="4E91D923" w:rsidR="001776CA" w:rsidRPr="00BD7537" w:rsidRDefault="00EF6350" w:rsidP="001776CA">
            <w:pPr>
              <w:rPr>
                <w:rFonts w:ascii="Times New Roman" w:hAnsi="Times New Roman" w:cs="Times New Roman"/>
              </w:rPr>
            </w:pPr>
            <w:r>
              <w:rPr>
                <w:rFonts w:ascii="Times New Roman" w:hAnsi="Times New Roman" w:cs="Times New Roman"/>
              </w:rPr>
              <w:t>14</w:t>
            </w:r>
            <w:r w:rsidR="003151C5">
              <w:rPr>
                <w:rFonts w:ascii="Times New Roman" w:hAnsi="Times New Roman" w:cs="Times New Roman"/>
              </w:rPr>
              <w:t>5</w:t>
            </w:r>
          </w:p>
        </w:tc>
      </w:tr>
      <w:tr w:rsidR="001776CA" w:rsidRPr="00BD7537" w14:paraId="0C051A90" w14:textId="77777777" w:rsidTr="0074101C">
        <w:trPr>
          <w:trHeight w:val="542"/>
        </w:trPr>
        <w:tc>
          <w:tcPr>
            <w:tcW w:w="676" w:type="dxa"/>
          </w:tcPr>
          <w:p w14:paraId="39B320EA" w14:textId="77777777" w:rsidR="001776CA"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13</w:t>
            </w:r>
          </w:p>
        </w:tc>
        <w:tc>
          <w:tcPr>
            <w:tcW w:w="4175" w:type="dxa"/>
          </w:tcPr>
          <w:p w14:paraId="28027BDD" w14:textId="77777777" w:rsidR="001776CA" w:rsidRPr="00E30E28" w:rsidRDefault="001776CA" w:rsidP="001776CA">
            <w:pPr>
              <w:pStyle w:val="ListParagraph"/>
              <w:shd w:val="clear" w:color="auto" w:fill="FFFFFF"/>
              <w:ind w:left="0"/>
              <w:rPr>
                <w:rFonts w:ascii="Times New Roman" w:hAnsi="Times New Roman" w:cs="Times New Roman"/>
              </w:rPr>
            </w:pPr>
            <w:r w:rsidRPr="00E30E28">
              <w:rPr>
                <w:rFonts w:ascii="Times New Roman" w:hAnsi="Times New Roman" w:cs="Times New Roman"/>
              </w:rPr>
              <w:t>The experimental model of study one showing the expected causal relationship between the independent variables and the dependent variables</w:t>
            </w:r>
          </w:p>
        </w:tc>
        <w:tc>
          <w:tcPr>
            <w:tcW w:w="4935" w:type="dxa"/>
          </w:tcPr>
          <w:p w14:paraId="02569DD6"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4FF1D855" w14:textId="22B20921" w:rsidR="001776CA" w:rsidRPr="00BD7537" w:rsidRDefault="00667700" w:rsidP="001776CA">
            <w:pPr>
              <w:rPr>
                <w:rFonts w:ascii="Times New Roman" w:hAnsi="Times New Roman" w:cs="Times New Roman"/>
              </w:rPr>
            </w:pPr>
            <w:r>
              <w:rPr>
                <w:rFonts w:ascii="Times New Roman" w:hAnsi="Times New Roman" w:cs="Times New Roman"/>
              </w:rPr>
              <w:t>1</w:t>
            </w:r>
            <w:r w:rsidR="003151C5">
              <w:rPr>
                <w:rFonts w:ascii="Times New Roman" w:hAnsi="Times New Roman" w:cs="Times New Roman"/>
              </w:rPr>
              <w:t>52</w:t>
            </w:r>
          </w:p>
        </w:tc>
      </w:tr>
      <w:tr w:rsidR="001776CA" w:rsidRPr="00BD7537" w14:paraId="0FE946DA" w14:textId="77777777" w:rsidTr="0074101C">
        <w:trPr>
          <w:trHeight w:val="395"/>
        </w:trPr>
        <w:tc>
          <w:tcPr>
            <w:tcW w:w="676" w:type="dxa"/>
          </w:tcPr>
          <w:p w14:paraId="3AD8BD16" w14:textId="77777777" w:rsidR="001776CA" w:rsidRDefault="001776CA" w:rsidP="001776C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14</w:t>
            </w:r>
          </w:p>
        </w:tc>
        <w:tc>
          <w:tcPr>
            <w:tcW w:w="4175" w:type="dxa"/>
          </w:tcPr>
          <w:p w14:paraId="27DAC65E" w14:textId="77777777" w:rsidR="001776CA" w:rsidRPr="00E30E28" w:rsidRDefault="001776CA" w:rsidP="001776CA">
            <w:pPr>
              <w:pStyle w:val="ListParagraph"/>
              <w:shd w:val="clear" w:color="auto" w:fill="FFFFFF"/>
              <w:ind w:left="0"/>
              <w:rPr>
                <w:rFonts w:ascii="Times New Roman" w:hAnsi="Times New Roman" w:cs="Times New Roman"/>
              </w:rPr>
            </w:pPr>
            <w:r>
              <w:rPr>
                <w:rFonts w:ascii="Times New Roman" w:hAnsi="Times New Roman" w:cs="Times New Roman"/>
              </w:rPr>
              <w:t xml:space="preserve">Conceptual Model </w:t>
            </w:r>
          </w:p>
        </w:tc>
        <w:tc>
          <w:tcPr>
            <w:tcW w:w="4935" w:type="dxa"/>
          </w:tcPr>
          <w:p w14:paraId="0EF8C1AB"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782A7577" w14:textId="75B2BA8B" w:rsidR="001776CA" w:rsidRPr="00BD7537" w:rsidRDefault="00667700" w:rsidP="001776CA">
            <w:pPr>
              <w:rPr>
                <w:rFonts w:ascii="Times New Roman" w:hAnsi="Times New Roman" w:cs="Times New Roman"/>
              </w:rPr>
            </w:pPr>
            <w:r>
              <w:rPr>
                <w:rFonts w:ascii="Times New Roman" w:hAnsi="Times New Roman" w:cs="Times New Roman"/>
              </w:rPr>
              <w:t>1</w:t>
            </w:r>
            <w:r w:rsidR="00EF6350">
              <w:rPr>
                <w:rFonts w:ascii="Times New Roman" w:hAnsi="Times New Roman" w:cs="Times New Roman"/>
              </w:rPr>
              <w:t>6</w:t>
            </w:r>
            <w:r w:rsidR="003151C5">
              <w:rPr>
                <w:rFonts w:ascii="Times New Roman" w:hAnsi="Times New Roman" w:cs="Times New Roman"/>
              </w:rPr>
              <w:t>8</w:t>
            </w:r>
          </w:p>
        </w:tc>
      </w:tr>
      <w:tr w:rsidR="001776CA" w:rsidRPr="00BD7537" w14:paraId="194970E5" w14:textId="77777777" w:rsidTr="0074101C">
        <w:trPr>
          <w:trHeight w:val="395"/>
        </w:trPr>
        <w:tc>
          <w:tcPr>
            <w:tcW w:w="676" w:type="dxa"/>
          </w:tcPr>
          <w:p w14:paraId="034FCCFA"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15</w:t>
            </w:r>
          </w:p>
        </w:tc>
        <w:tc>
          <w:tcPr>
            <w:tcW w:w="4175" w:type="dxa"/>
          </w:tcPr>
          <w:p w14:paraId="277733A4" w14:textId="77777777" w:rsidR="001776CA" w:rsidRPr="00BD7537" w:rsidRDefault="001776CA" w:rsidP="001776CA">
            <w:pPr>
              <w:rPr>
                <w:rFonts w:ascii="Times New Roman" w:hAnsi="Times New Roman" w:cs="Times New Roman"/>
                <w:sz w:val="24"/>
                <w:szCs w:val="24"/>
              </w:rPr>
            </w:pPr>
            <w:r>
              <w:rPr>
                <w:rFonts w:asciiTheme="majorBidi" w:hAnsiTheme="majorBidi" w:cstheme="majorBidi"/>
                <w:sz w:val="24"/>
                <w:szCs w:val="24"/>
                <w:lang w:bidi="ar-EG"/>
              </w:rPr>
              <w:t>Sample size computation through G*power</w:t>
            </w:r>
          </w:p>
        </w:tc>
        <w:tc>
          <w:tcPr>
            <w:tcW w:w="4935" w:type="dxa"/>
          </w:tcPr>
          <w:p w14:paraId="2304E37D"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0D97F2C7" w14:textId="054E1CA3" w:rsidR="001776CA" w:rsidRPr="00BD7537" w:rsidRDefault="00EF6350" w:rsidP="001776CA">
            <w:pPr>
              <w:rPr>
                <w:rFonts w:ascii="Times New Roman" w:hAnsi="Times New Roman" w:cs="Times New Roman"/>
              </w:rPr>
            </w:pPr>
            <w:r>
              <w:rPr>
                <w:rFonts w:ascii="Times New Roman" w:hAnsi="Times New Roman" w:cs="Times New Roman"/>
              </w:rPr>
              <w:t>16</w:t>
            </w:r>
            <w:r w:rsidR="003151C5">
              <w:rPr>
                <w:rFonts w:ascii="Times New Roman" w:hAnsi="Times New Roman" w:cs="Times New Roman"/>
              </w:rPr>
              <w:t>9</w:t>
            </w:r>
          </w:p>
        </w:tc>
      </w:tr>
      <w:tr w:rsidR="001776CA" w:rsidRPr="00BD7537" w14:paraId="6F5105FA" w14:textId="77777777" w:rsidTr="0074101C">
        <w:trPr>
          <w:trHeight w:val="410"/>
        </w:trPr>
        <w:tc>
          <w:tcPr>
            <w:tcW w:w="676" w:type="dxa"/>
          </w:tcPr>
          <w:p w14:paraId="317CC84D"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16</w:t>
            </w:r>
          </w:p>
        </w:tc>
        <w:tc>
          <w:tcPr>
            <w:tcW w:w="4175" w:type="dxa"/>
          </w:tcPr>
          <w:p w14:paraId="1B1CF3EA" w14:textId="77777777" w:rsidR="001776CA" w:rsidRPr="006A1DAB" w:rsidRDefault="001776CA" w:rsidP="001776CA">
            <w:pPr>
              <w:rPr>
                <w:rFonts w:asciiTheme="majorBidi" w:hAnsiTheme="majorBidi" w:cstheme="majorBidi"/>
                <w:sz w:val="24"/>
                <w:szCs w:val="24"/>
              </w:rPr>
            </w:pPr>
            <w:r>
              <w:rPr>
                <w:rFonts w:asciiTheme="majorBidi" w:hAnsiTheme="majorBidi" w:cstheme="majorBidi"/>
                <w:sz w:val="24"/>
                <w:szCs w:val="24"/>
                <w:lang w:bidi="ar-EG"/>
              </w:rPr>
              <w:t>Breakdown of the respondent’s genders</w:t>
            </w:r>
          </w:p>
        </w:tc>
        <w:tc>
          <w:tcPr>
            <w:tcW w:w="4935" w:type="dxa"/>
          </w:tcPr>
          <w:p w14:paraId="40C6057D"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07CD7012" w14:textId="6AE429FF" w:rsidR="001776CA" w:rsidRPr="00BD7537" w:rsidRDefault="00EF6350" w:rsidP="001776CA">
            <w:pPr>
              <w:rPr>
                <w:rFonts w:ascii="Times New Roman" w:hAnsi="Times New Roman" w:cs="Times New Roman"/>
              </w:rPr>
            </w:pPr>
            <w:r>
              <w:rPr>
                <w:rFonts w:ascii="Times New Roman" w:hAnsi="Times New Roman" w:cs="Times New Roman"/>
              </w:rPr>
              <w:t>17</w:t>
            </w:r>
            <w:r w:rsidR="003151C5">
              <w:rPr>
                <w:rFonts w:ascii="Times New Roman" w:hAnsi="Times New Roman" w:cs="Times New Roman"/>
              </w:rPr>
              <w:t>3</w:t>
            </w:r>
          </w:p>
        </w:tc>
      </w:tr>
      <w:tr w:rsidR="001776CA" w:rsidRPr="00BD7537" w14:paraId="6CDA188B" w14:textId="77777777" w:rsidTr="0074101C">
        <w:trPr>
          <w:trHeight w:val="395"/>
        </w:trPr>
        <w:tc>
          <w:tcPr>
            <w:tcW w:w="676" w:type="dxa"/>
          </w:tcPr>
          <w:p w14:paraId="125F44CE"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17</w:t>
            </w:r>
          </w:p>
        </w:tc>
        <w:tc>
          <w:tcPr>
            <w:tcW w:w="4175" w:type="dxa"/>
          </w:tcPr>
          <w:p w14:paraId="6BDF4569" w14:textId="328F9139" w:rsidR="001776CA" w:rsidRPr="00BD7537" w:rsidRDefault="00376942" w:rsidP="001776CA">
            <w:pPr>
              <w:rPr>
                <w:rFonts w:ascii="Times New Roman" w:hAnsi="Times New Roman" w:cs="Times New Roman"/>
                <w:sz w:val="24"/>
                <w:szCs w:val="24"/>
              </w:rPr>
            </w:pPr>
            <w:r>
              <w:rPr>
                <w:rFonts w:asciiTheme="majorBidi" w:hAnsiTheme="majorBidi" w:cstheme="majorBidi"/>
                <w:sz w:val="24"/>
                <w:szCs w:val="24"/>
                <w:lang w:bidi="ar-EG"/>
              </w:rPr>
              <w:t>Breakdown of the respondents’ educational levels</w:t>
            </w:r>
          </w:p>
        </w:tc>
        <w:tc>
          <w:tcPr>
            <w:tcW w:w="4935" w:type="dxa"/>
          </w:tcPr>
          <w:p w14:paraId="6F76BE49"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396EDB26" w14:textId="21D4675A" w:rsidR="001776CA" w:rsidRPr="00BD7537" w:rsidRDefault="00EF6350" w:rsidP="001776CA">
            <w:pPr>
              <w:rPr>
                <w:rFonts w:ascii="Times New Roman" w:hAnsi="Times New Roman" w:cs="Times New Roman"/>
              </w:rPr>
            </w:pPr>
            <w:r>
              <w:rPr>
                <w:rFonts w:ascii="Times New Roman" w:hAnsi="Times New Roman" w:cs="Times New Roman"/>
              </w:rPr>
              <w:t>17</w:t>
            </w:r>
            <w:r w:rsidR="003151C5">
              <w:rPr>
                <w:rFonts w:ascii="Times New Roman" w:hAnsi="Times New Roman" w:cs="Times New Roman"/>
              </w:rPr>
              <w:t>4</w:t>
            </w:r>
          </w:p>
        </w:tc>
      </w:tr>
      <w:tr w:rsidR="001776CA" w:rsidRPr="00BD7537" w14:paraId="6B671AC8" w14:textId="77777777" w:rsidTr="0074101C">
        <w:trPr>
          <w:trHeight w:val="395"/>
        </w:trPr>
        <w:tc>
          <w:tcPr>
            <w:tcW w:w="676" w:type="dxa"/>
          </w:tcPr>
          <w:p w14:paraId="05EC813D"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18</w:t>
            </w:r>
          </w:p>
        </w:tc>
        <w:tc>
          <w:tcPr>
            <w:tcW w:w="4175" w:type="dxa"/>
          </w:tcPr>
          <w:p w14:paraId="5D26B4A2" w14:textId="77777777" w:rsidR="001776CA" w:rsidRPr="006A1DAB" w:rsidRDefault="001776CA" w:rsidP="001776CA">
            <w:pPr>
              <w:rPr>
                <w:rFonts w:ascii="Times New Roman" w:hAnsi="Times New Roman" w:cs="Times New Roman"/>
                <w:sz w:val="24"/>
                <w:szCs w:val="24"/>
              </w:rPr>
            </w:pPr>
            <w:r w:rsidRPr="006A1DAB">
              <w:rPr>
                <w:rFonts w:asciiTheme="majorBidi" w:hAnsiTheme="majorBidi" w:cstheme="majorBidi"/>
                <w:sz w:val="24"/>
                <w:szCs w:val="24"/>
                <w:lang w:bidi="ar-EG"/>
              </w:rPr>
              <w:t>Frequency of the respondents’ level</w:t>
            </w:r>
            <w:r>
              <w:rPr>
                <w:rFonts w:asciiTheme="majorBidi" w:hAnsiTheme="majorBidi" w:cstheme="majorBidi"/>
                <w:sz w:val="24"/>
                <w:szCs w:val="24"/>
                <w:lang w:bidi="ar-EG"/>
              </w:rPr>
              <w:t>s</w:t>
            </w:r>
            <w:r w:rsidRPr="006A1DAB">
              <w:rPr>
                <w:rFonts w:asciiTheme="majorBidi" w:hAnsiTheme="majorBidi" w:cstheme="majorBidi"/>
                <w:sz w:val="24"/>
                <w:szCs w:val="24"/>
                <w:lang w:bidi="ar-EG"/>
              </w:rPr>
              <w:t xml:space="preserve"> of income</w:t>
            </w:r>
          </w:p>
        </w:tc>
        <w:tc>
          <w:tcPr>
            <w:tcW w:w="4935" w:type="dxa"/>
          </w:tcPr>
          <w:p w14:paraId="30ECA2E3"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0131B7DC" w14:textId="0FD40AB0" w:rsidR="001776CA" w:rsidRPr="00BD7537" w:rsidRDefault="00EF6350" w:rsidP="001776CA">
            <w:pPr>
              <w:rPr>
                <w:rFonts w:ascii="Times New Roman" w:hAnsi="Times New Roman" w:cs="Times New Roman"/>
              </w:rPr>
            </w:pPr>
            <w:r>
              <w:rPr>
                <w:rFonts w:ascii="Times New Roman" w:hAnsi="Times New Roman" w:cs="Times New Roman"/>
              </w:rPr>
              <w:t>17</w:t>
            </w:r>
            <w:r w:rsidR="003151C5">
              <w:rPr>
                <w:rFonts w:ascii="Times New Roman" w:hAnsi="Times New Roman" w:cs="Times New Roman"/>
              </w:rPr>
              <w:t>4</w:t>
            </w:r>
          </w:p>
        </w:tc>
      </w:tr>
      <w:tr w:rsidR="001776CA" w:rsidRPr="00BD7537" w14:paraId="22F1E042" w14:textId="77777777" w:rsidTr="0074101C">
        <w:trPr>
          <w:trHeight w:val="395"/>
        </w:trPr>
        <w:tc>
          <w:tcPr>
            <w:tcW w:w="676" w:type="dxa"/>
          </w:tcPr>
          <w:p w14:paraId="6D7B5CC5"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19</w:t>
            </w:r>
          </w:p>
        </w:tc>
        <w:tc>
          <w:tcPr>
            <w:tcW w:w="4175" w:type="dxa"/>
          </w:tcPr>
          <w:p w14:paraId="30A2EF86" w14:textId="77777777" w:rsidR="001776CA" w:rsidRPr="00BD7537" w:rsidRDefault="001776CA" w:rsidP="001776CA">
            <w:pPr>
              <w:rPr>
                <w:rFonts w:ascii="Times New Roman" w:hAnsi="Times New Roman" w:cs="Times New Roman"/>
                <w:sz w:val="24"/>
                <w:szCs w:val="24"/>
              </w:rPr>
            </w:pPr>
            <w:r>
              <w:rPr>
                <w:rFonts w:asciiTheme="majorBidi" w:hAnsiTheme="majorBidi" w:cstheme="majorBidi"/>
                <w:sz w:val="24"/>
                <w:szCs w:val="24"/>
                <w:lang w:bidi="ar-EG"/>
              </w:rPr>
              <w:t>Frequency of the respondents’ first choice for surface and floor cleaning</w:t>
            </w:r>
          </w:p>
        </w:tc>
        <w:tc>
          <w:tcPr>
            <w:tcW w:w="4935" w:type="dxa"/>
          </w:tcPr>
          <w:p w14:paraId="75CBA831"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210048B4" w14:textId="23BDF3DF" w:rsidR="001776CA" w:rsidRPr="00BD7537" w:rsidRDefault="00376942" w:rsidP="001776CA">
            <w:pPr>
              <w:rPr>
                <w:rFonts w:ascii="Times New Roman" w:hAnsi="Times New Roman" w:cs="Times New Roman"/>
              </w:rPr>
            </w:pPr>
            <w:r>
              <w:rPr>
                <w:rFonts w:ascii="Times New Roman" w:hAnsi="Times New Roman" w:cs="Times New Roman"/>
              </w:rPr>
              <w:t>1</w:t>
            </w:r>
            <w:r w:rsidR="00EF6350">
              <w:rPr>
                <w:rFonts w:ascii="Times New Roman" w:hAnsi="Times New Roman" w:cs="Times New Roman"/>
              </w:rPr>
              <w:t>7</w:t>
            </w:r>
            <w:r w:rsidR="003151C5">
              <w:rPr>
                <w:rFonts w:ascii="Times New Roman" w:hAnsi="Times New Roman" w:cs="Times New Roman"/>
              </w:rPr>
              <w:t>5</w:t>
            </w:r>
          </w:p>
        </w:tc>
      </w:tr>
      <w:tr w:rsidR="001776CA" w:rsidRPr="00BD7537" w14:paraId="592CC84E" w14:textId="77777777" w:rsidTr="0074101C">
        <w:trPr>
          <w:trHeight w:val="395"/>
        </w:trPr>
        <w:tc>
          <w:tcPr>
            <w:tcW w:w="676" w:type="dxa"/>
          </w:tcPr>
          <w:p w14:paraId="343506AA"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20</w:t>
            </w:r>
          </w:p>
        </w:tc>
        <w:tc>
          <w:tcPr>
            <w:tcW w:w="4175" w:type="dxa"/>
          </w:tcPr>
          <w:p w14:paraId="714D748E" w14:textId="77777777" w:rsidR="001776CA" w:rsidRPr="00BD7537" w:rsidRDefault="001776CA" w:rsidP="001776CA">
            <w:pPr>
              <w:rPr>
                <w:rFonts w:ascii="Times New Roman" w:hAnsi="Times New Roman" w:cs="Times New Roman"/>
                <w:sz w:val="24"/>
                <w:szCs w:val="24"/>
              </w:rPr>
            </w:pPr>
            <w:r w:rsidRPr="005951BD">
              <w:rPr>
                <w:rFonts w:asciiTheme="majorBidi" w:hAnsiTheme="majorBidi" w:cstheme="majorBidi"/>
                <w:sz w:val="24"/>
                <w:szCs w:val="24"/>
                <w:lang w:bidi="ar-EG"/>
              </w:rPr>
              <w:t>A</w:t>
            </w:r>
            <w:r w:rsidRPr="005951BD">
              <w:rPr>
                <w:rFonts w:asciiTheme="majorBidi" w:hAnsiTheme="majorBidi" w:cstheme="majorBidi"/>
                <w:lang w:bidi="ar-EG"/>
              </w:rPr>
              <w:t>verage of variables of CSR and non-CSR Communication</w:t>
            </w:r>
          </w:p>
        </w:tc>
        <w:tc>
          <w:tcPr>
            <w:tcW w:w="4935" w:type="dxa"/>
          </w:tcPr>
          <w:p w14:paraId="437D72C2"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3EA84A07" w14:textId="21FA3759" w:rsidR="001776CA" w:rsidRPr="00BD7537" w:rsidRDefault="00376942" w:rsidP="001776CA">
            <w:pPr>
              <w:rPr>
                <w:rFonts w:ascii="Times New Roman" w:hAnsi="Times New Roman" w:cs="Times New Roman"/>
              </w:rPr>
            </w:pPr>
            <w:r>
              <w:rPr>
                <w:rFonts w:ascii="Times New Roman" w:hAnsi="Times New Roman" w:cs="Times New Roman"/>
              </w:rPr>
              <w:t>1</w:t>
            </w:r>
            <w:r w:rsidR="003151C5">
              <w:rPr>
                <w:rFonts w:ascii="Times New Roman" w:hAnsi="Times New Roman" w:cs="Times New Roman"/>
              </w:rPr>
              <w:t>91</w:t>
            </w:r>
          </w:p>
        </w:tc>
      </w:tr>
      <w:tr w:rsidR="001776CA" w:rsidRPr="00BD7537" w14:paraId="1B2F2CD4" w14:textId="77777777" w:rsidTr="0074101C">
        <w:trPr>
          <w:trHeight w:val="395"/>
        </w:trPr>
        <w:tc>
          <w:tcPr>
            <w:tcW w:w="676" w:type="dxa"/>
          </w:tcPr>
          <w:p w14:paraId="260D4968"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21</w:t>
            </w:r>
          </w:p>
        </w:tc>
        <w:tc>
          <w:tcPr>
            <w:tcW w:w="4175" w:type="dxa"/>
          </w:tcPr>
          <w:p w14:paraId="66C5D1ED" w14:textId="77777777" w:rsidR="001776CA" w:rsidRPr="00BD7537" w:rsidRDefault="001776CA" w:rsidP="001776CA">
            <w:pPr>
              <w:rPr>
                <w:rFonts w:ascii="Times New Roman" w:hAnsi="Times New Roman" w:cs="Times New Roman"/>
                <w:sz w:val="24"/>
                <w:szCs w:val="24"/>
              </w:rPr>
            </w:pPr>
            <w:r w:rsidRPr="005951BD">
              <w:rPr>
                <w:rFonts w:asciiTheme="majorBidi" w:hAnsiTheme="majorBidi" w:cstheme="majorBidi"/>
                <w:sz w:val="24"/>
                <w:szCs w:val="24"/>
              </w:rPr>
              <w:t>Average of variables of TV and social media advertising</w:t>
            </w:r>
          </w:p>
        </w:tc>
        <w:tc>
          <w:tcPr>
            <w:tcW w:w="4935" w:type="dxa"/>
          </w:tcPr>
          <w:p w14:paraId="4E136550"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59227D56" w14:textId="003ED403" w:rsidR="001776CA" w:rsidRPr="00BD7537" w:rsidRDefault="00376942" w:rsidP="001776CA">
            <w:pPr>
              <w:rPr>
                <w:rFonts w:ascii="Times New Roman" w:hAnsi="Times New Roman" w:cs="Times New Roman"/>
              </w:rPr>
            </w:pPr>
            <w:r>
              <w:rPr>
                <w:rFonts w:ascii="Times New Roman" w:hAnsi="Times New Roman" w:cs="Times New Roman"/>
              </w:rPr>
              <w:t>1</w:t>
            </w:r>
            <w:r w:rsidR="00EF6350">
              <w:rPr>
                <w:rFonts w:ascii="Times New Roman" w:hAnsi="Times New Roman" w:cs="Times New Roman"/>
              </w:rPr>
              <w:t>9</w:t>
            </w:r>
            <w:r w:rsidR="003151C5">
              <w:rPr>
                <w:rFonts w:ascii="Times New Roman" w:hAnsi="Times New Roman" w:cs="Times New Roman"/>
              </w:rPr>
              <w:t>3</w:t>
            </w:r>
          </w:p>
        </w:tc>
      </w:tr>
      <w:tr w:rsidR="001776CA" w:rsidRPr="00BD7537" w14:paraId="417991EB" w14:textId="77777777" w:rsidTr="0074101C">
        <w:trPr>
          <w:trHeight w:val="395"/>
        </w:trPr>
        <w:tc>
          <w:tcPr>
            <w:tcW w:w="676" w:type="dxa"/>
          </w:tcPr>
          <w:p w14:paraId="7BD779A8"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22</w:t>
            </w:r>
          </w:p>
        </w:tc>
        <w:tc>
          <w:tcPr>
            <w:tcW w:w="4175" w:type="dxa"/>
          </w:tcPr>
          <w:p w14:paraId="14632E86" w14:textId="77777777" w:rsidR="001776CA" w:rsidRPr="00BD7537" w:rsidRDefault="001776CA" w:rsidP="001776CA">
            <w:pPr>
              <w:rPr>
                <w:rFonts w:ascii="Times New Roman" w:hAnsi="Times New Roman" w:cs="Times New Roman"/>
                <w:sz w:val="24"/>
                <w:szCs w:val="24"/>
              </w:rPr>
            </w:pPr>
            <w:r w:rsidRPr="006A1DAB">
              <w:rPr>
                <w:rFonts w:ascii="Times New Roman" w:hAnsi="Times New Roman" w:cs="Times New Roman"/>
                <w:sz w:val="24"/>
                <w:szCs w:val="24"/>
              </w:rPr>
              <w:t xml:space="preserve">Average of variables of CSR and non-CSR with the Television group  </w:t>
            </w:r>
          </w:p>
        </w:tc>
        <w:tc>
          <w:tcPr>
            <w:tcW w:w="4935" w:type="dxa"/>
          </w:tcPr>
          <w:p w14:paraId="3BFC9456"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63D36FEC" w14:textId="5BCC54CD" w:rsidR="001776CA" w:rsidRPr="00BD7537" w:rsidRDefault="00376942" w:rsidP="001776CA">
            <w:pPr>
              <w:rPr>
                <w:rFonts w:ascii="Times New Roman" w:hAnsi="Times New Roman" w:cs="Times New Roman"/>
              </w:rPr>
            </w:pPr>
            <w:r>
              <w:rPr>
                <w:rFonts w:ascii="Times New Roman" w:hAnsi="Times New Roman" w:cs="Times New Roman"/>
              </w:rPr>
              <w:t>1</w:t>
            </w:r>
            <w:r w:rsidR="006D7B5E">
              <w:rPr>
                <w:rFonts w:ascii="Times New Roman" w:hAnsi="Times New Roman" w:cs="Times New Roman"/>
              </w:rPr>
              <w:t>9</w:t>
            </w:r>
            <w:r w:rsidR="003151C5">
              <w:rPr>
                <w:rFonts w:ascii="Times New Roman" w:hAnsi="Times New Roman" w:cs="Times New Roman"/>
              </w:rPr>
              <w:t>3</w:t>
            </w:r>
          </w:p>
        </w:tc>
      </w:tr>
      <w:tr w:rsidR="001776CA" w:rsidRPr="00BD7537" w14:paraId="64FE19C3" w14:textId="77777777" w:rsidTr="0074101C">
        <w:trPr>
          <w:trHeight w:val="395"/>
        </w:trPr>
        <w:tc>
          <w:tcPr>
            <w:tcW w:w="676" w:type="dxa"/>
          </w:tcPr>
          <w:p w14:paraId="6FDFAE66"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23</w:t>
            </w:r>
          </w:p>
        </w:tc>
        <w:tc>
          <w:tcPr>
            <w:tcW w:w="4175" w:type="dxa"/>
          </w:tcPr>
          <w:p w14:paraId="73326A93" w14:textId="77777777" w:rsidR="001776CA" w:rsidRPr="009D23F0" w:rsidRDefault="001776CA" w:rsidP="001776CA">
            <w:pPr>
              <w:rPr>
                <w:rFonts w:asciiTheme="majorBidi" w:hAnsiTheme="majorBidi" w:cstheme="majorBidi"/>
                <w:sz w:val="24"/>
                <w:szCs w:val="24"/>
              </w:rPr>
            </w:pPr>
            <w:r w:rsidRPr="009D23F0">
              <w:rPr>
                <w:rFonts w:asciiTheme="majorBidi" w:hAnsiTheme="majorBidi" w:cstheme="majorBidi"/>
                <w:sz w:val="24"/>
                <w:szCs w:val="24"/>
              </w:rPr>
              <w:t xml:space="preserve">Average of variables among in the social media groups </w:t>
            </w:r>
          </w:p>
        </w:tc>
        <w:tc>
          <w:tcPr>
            <w:tcW w:w="4935" w:type="dxa"/>
          </w:tcPr>
          <w:p w14:paraId="702F7C6A"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68C4E7D1" w14:textId="0D9A2F40" w:rsidR="001776CA" w:rsidRPr="00BD7537" w:rsidRDefault="006D7B5E" w:rsidP="001776CA">
            <w:pPr>
              <w:rPr>
                <w:rFonts w:ascii="Times New Roman" w:hAnsi="Times New Roman" w:cs="Times New Roman"/>
              </w:rPr>
            </w:pPr>
            <w:r>
              <w:rPr>
                <w:rFonts w:ascii="Times New Roman" w:hAnsi="Times New Roman" w:cs="Times New Roman"/>
              </w:rPr>
              <w:t>19</w:t>
            </w:r>
            <w:r w:rsidR="003151C5">
              <w:rPr>
                <w:rFonts w:ascii="Times New Roman" w:hAnsi="Times New Roman" w:cs="Times New Roman"/>
              </w:rPr>
              <w:t>6</w:t>
            </w:r>
          </w:p>
        </w:tc>
      </w:tr>
      <w:tr w:rsidR="001776CA" w:rsidRPr="00BD7537" w14:paraId="05F3E504" w14:textId="77777777" w:rsidTr="0074101C">
        <w:trPr>
          <w:trHeight w:val="395"/>
        </w:trPr>
        <w:tc>
          <w:tcPr>
            <w:tcW w:w="676" w:type="dxa"/>
          </w:tcPr>
          <w:p w14:paraId="032F29B5"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24</w:t>
            </w:r>
          </w:p>
        </w:tc>
        <w:tc>
          <w:tcPr>
            <w:tcW w:w="4175" w:type="dxa"/>
          </w:tcPr>
          <w:p w14:paraId="435FAC64" w14:textId="77777777" w:rsidR="001776CA" w:rsidRPr="009D23F0" w:rsidRDefault="001776CA" w:rsidP="001776CA">
            <w:pPr>
              <w:rPr>
                <w:rFonts w:ascii="Times New Roman" w:hAnsi="Times New Roman" w:cs="Times New Roman"/>
                <w:sz w:val="24"/>
                <w:szCs w:val="24"/>
              </w:rPr>
            </w:pPr>
            <w:r w:rsidRPr="009D23F0">
              <w:rPr>
                <w:rFonts w:asciiTheme="majorBidi" w:hAnsiTheme="majorBidi" w:cstheme="majorBidi"/>
                <w:sz w:val="24"/>
                <w:szCs w:val="24"/>
              </w:rPr>
              <w:t>Theoretical model without the moderators</w:t>
            </w:r>
          </w:p>
        </w:tc>
        <w:tc>
          <w:tcPr>
            <w:tcW w:w="4935" w:type="dxa"/>
          </w:tcPr>
          <w:p w14:paraId="4865558B" w14:textId="77777777" w:rsidR="001776CA" w:rsidRPr="00BD7537" w:rsidRDefault="001776CA" w:rsidP="001776CA">
            <w:pPr>
              <w:rPr>
                <w:rFonts w:ascii="Times New Roman" w:hAnsi="Times New Roman" w:cs="Times New Roman"/>
              </w:rPr>
            </w:pPr>
            <w:r w:rsidRPr="008B14B5">
              <w:rPr>
                <w:rFonts w:ascii="Times New Roman" w:hAnsi="Times New Roman" w:cs="Times New Roman"/>
              </w:rPr>
              <w:t>……………………………………………………….</w:t>
            </w:r>
          </w:p>
        </w:tc>
        <w:tc>
          <w:tcPr>
            <w:tcW w:w="808" w:type="dxa"/>
          </w:tcPr>
          <w:p w14:paraId="728F7E79" w14:textId="5E60C17C" w:rsidR="001776CA" w:rsidRPr="00BD7537" w:rsidRDefault="00376942" w:rsidP="001776CA">
            <w:pPr>
              <w:rPr>
                <w:rFonts w:ascii="Times New Roman" w:hAnsi="Times New Roman" w:cs="Times New Roman"/>
              </w:rPr>
            </w:pPr>
            <w:r>
              <w:rPr>
                <w:rFonts w:ascii="Times New Roman" w:hAnsi="Times New Roman" w:cs="Times New Roman"/>
              </w:rPr>
              <w:t>1</w:t>
            </w:r>
            <w:r w:rsidR="006D7B5E">
              <w:rPr>
                <w:rFonts w:ascii="Times New Roman" w:hAnsi="Times New Roman" w:cs="Times New Roman"/>
              </w:rPr>
              <w:t>9</w:t>
            </w:r>
            <w:r w:rsidR="003324FF">
              <w:rPr>
                <w:rFonts w:ascii="Times New Roman" w:hAnsi="Times New Roman" w:cs="Times New Roman"/>
              </w:rPr>
              <w:t>8</w:t>
            </w:r>
          </w:p>
        </w:tc>
      </w:tr>
      <w:tr w:rsidR="001776CA" w:rsidRPr="00BD7537" w14:paraId="595FE7C3" w14:textId="77777777" w:rsidTr="0074101C">
        <w:trPr>
          <w:trHeight w:val="395"/>
        </w:trPr>
        <w:tc>
          <w:tcPr>
            <w:tcW w:w="676" w:type="dxa"/>
          </w:tcPr>
          <w:p w14:paraId="78A58412"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25</w:t>
            </w:r>
          </w:p>
        </w:tc>
        <w:tc>
          <w:tcPr>
            <w:tcW w:w="4175" w:type="dxa"/>
          </w:tcPr>
          <w:p w14:paraId="00C89A88" w14:textId="77777777" w:rsidR="001776CA" w:rsidRPr="004810B3" w:rsidRDefault="001776CA" w:rsidP="001776CA">
            <w:pPr>
              <w:rPr>
                <w:rFonts w:ascii="Times New Roman" w:hAnsi="Times New Roman" w:cs="Times New Roman"/>
                <w:sz w:val="24"/>
                <w:szCs w:val="24"/>
              </w:rPr>
            </w:pPr>
            <w:r w:rsidRPr="004810B3">
              <w:rPr>
                <w:rFonts w:asciiTheme="majorBidi" w:hAnsiTheme="majorBidi" w:cstheme="majorBidi"/>
                <w:sz w:val="24"/>
                <w:szCs w:val="24"/>
              </w:rPr>
              <w:t>Theoretical model after removing insignificant relationships</w:t>
            </w:r>
          </w:p>
        </w:tc>
        <w:tc>
          <w:tcPr>
            <w:tcW w:w="4935" w:type="dxa"/>
          </w:tcPr>
          <w:p w14:paraId="2ADD0DC7"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7D6651E0" w14:textId="7C757C91" w:rsidR="001776CA" w:rsidRPr="00BD7537" w:rsidRDefault="006D7B5E" w:rsidP="001776CA">
            <w:pPr>
              <w:rPr>
                <w:rFonts w:ascii="Times New Roman" w:hAnsi="Times New Roman" w:cs="Times New Roman"/>
              </w:rPr>
            </w:pPr>
            <w:r>
              <w:rPr>
                <w:rFonts w:ascii="Times New Roman" w:hAnsi="Times New Roman" w:cs="Times New Roman"/>
              </w:rPr>
              <w:t>19</w:t>
            </w:r>
            <w:r w:rsidR="003324FF">
              <w:rPr>
                <w:rFonts w:ascii="Times New Roman" w:hAnsi="Times New Roman" w:cs="Times New Roman"/>
              </w:rPr>
              <w:t>9</w:t>
            </w:r>
          </w:p>
        </w:tc>
      </w:tr>
      <w:tr w:rsidR="001776CA" w:rsidRPr="00BD7537" w14:paraId="23160211" w14:textId="77777777" w:rsidTr="0074101C">
        <w:trPr>
          <w:trHeight w:val="395"/>
        </w:trPr>
        <w:tc>
          <w:tcPr>
            <w:tcW w:w="676" w:type="dxa"/>
          </w:tcPr>
          <w:p w14:paraId="4F4AFCEE"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26</w:t>
            </w:r>
          </w:p>
        </w:tc>
        <w:tc>
          <w:tcPr>
            <w:tcW w:w="4175" w:type="dxa"/>
          </w:tcPr>
          <w:p w14:paraId="0AD60F2E" w14:textId="77777777" w:rsidR="001776CA" w:rsidRPr="00BD7537" w:rsidRDefault="001776CA" w:rsidP="001776CA">
            <w:pPr>
              <w:rPr>
                <w:rFonts w:ascii="Times New Roman" w:hAnsi="Times New Roman" w:cs="Times New Roman"/>
                <w:sz w:val="24"/>
                <w:szCs w:val="24"/>
              </w:rPr>
            </w:pPr>
            <w:r w:rsidRPr="006A1DAB">
              <w:rPr>
                <w:rFonts w:ascii="Times New Roman" w:hAnsi="Times New Roman" w:cs="Times New Roman"/>
                <w:sz w:val="24"/>
                <w:szCs w:val="24"/>
              </w:rPr>
              <w:t>The final estimated model including insignificant relationships</w:t>
            </w:r>
          </w:p>
        </w:tc>
        <w:tc>
          <w:tcPr>
            <w:tcW w:w="4935" w:type="dxa"/>
          </w:tcPr>
          <w:p w14:paraId="51110D95"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1642FDF9" w14:textId="26CD2AF7" w:rsidR="001776CA" w:rsidRPr="00BD7537" w:rsidRDefault="006D7B5E" w:rsidP="001776CA">
            <w:pPr>
              <w:rPr>
                <w:rFonts w:ascii="Times New Roman" w:hAnsi="Times New Roman" w:cs="Times New Roman"/>
              </w:rPr>
            </w:pPr>
            <w:r>
              <w:rPr>
                <w:rFonts w:ascii="Times New Roman" w:hAnsi="Times New Roman" w:cs="Times New Roman"/>
              </w:rPr>
              <w:t>20</w:t>
            </w:r>
            <w:r w:rsidR="003324FF">
              <w:rPr>
                <w:rFonts w:ascii="Times New Roman" w:hAnsi="Times New Roman" w:cs="Times New Roman"/>
              </w:rPr>
              <w:t>5</w:t>
            </w:r>
          </w:p>
        </w:tc>
      </w:tr>
      <w:tr w:rsidR="001776CA" w:rsidRPr="00BD7537" w14:paraId="6CC5459F" w14:textId="77777777" w:rsidTr="0074101C">
        <w:trPr>
          <w:trHeight w:val="395"/>
        </w:trPr>
        <w:tc>
          <w:tcPr>
            <w:tcW w:w="676" w:type="dxa"/>
          </w:tcPr>
          <w:p w14:paraId="1E59FA07"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27</w:t>
            </w:r>
          </w:p>
        </w:tc>
        <w:tc>
          <w:tcPr>
            <w:tcW w:w="4175" w:type="dxa"/>
          </w:tcPr>
          <w:p w14:paraId="7CD9ACB1"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 xml:space="preserve">Result Model </w:t>
            </w:r>
          </w:p>
        </w:tc>
        <w:tc>
          <w:tcPr>
            <w:tcW w:w="4935" w:type="dxa"/>
          </w:tcPr>
          <w:p w14:paraId="45C2ED73"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621C2506" w14:textId="7F4400AD" w:rsidR="001776CA" w:rsidRPr="00BD7537" w:rsidRDefault="006D7B5E" w:rsidP="001776CA">
            <w:pPr>
              <w:rPr>
                <w:rFonts w:ascii="Times New Roman" w:hAnsi="Times New Roman" w:cs="Times New Roman"/>
              </w:rPr>
            </w:pPr>
            <w:r>
              <w:rPr>
                <w:rFonts w:ascii="Times New Roman" w:hAnsi="Times New Roman" w:cs="Times New Roman"/>
              </w:rPr>
              <w:t>20</w:t>
            </w:r>
            <w:r w:rsidR="003324FF">
              <w:rPr>
                <w:rFonts w:ascii="Times New Roman" w:hAnsi="Times New Roman" w:cs="Times New Roman"/>
              </w:rPr>
              <w:t>6</w:t>
            </w:r>
          </w:p>
        </w:tc>
      </w:tr>
      <w:tr w:rsidR="001776CA" w:rsidRPr="00BD7537" w14:paraId="3F76321C" w14:textId="77777777" w:rsidTr="0074101C">
        <w:trPr>
          <w:trHeight w:val="395"/>
        </w:trPr>
        <w:tc>
          <w:tcPr>
            <w:tcW w:w="676" w:type="dxa"/>
          </w:tcPr>
          <w:p w14:paraId="670CDAEC"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28</w:t>
            </w:r>
          </w:p>
        </w:tc>
        <w:tc>
          <w:tcPr>
            <w:tcW w:w="4175" w:type="dxa"/>
          </w:tcPr>
          <w:p w14:paraId="73377ACE" w14:textId="77777777" w:rsidR="001776CA" w:rsidRPr="00BD7537" w:rsidRDefault="001776CA" w:rsidP="001776CA">
            <w:pPr>
              <w:rPr>
                <w:rFonts w:ascii="Times New Roman" w:hAnsi="Times New Roman" w:cs="Times New Roman"/>
                <w:sz w:val="24"/>
                <w:szCs w:val="24"/>
              </w:rPr>
            </w:pPr>
            <w:r w:rsidRPr="009D23F0">
              <w:rPr>
                <w:rFonts w:ascii="Times New Roman" w:hAnsi="Times New Roman" w:cs="Times New Roman"/>
                <w:sz w:val="24"/>
                <w:szCs w:val="24"/>
              </w:rPr>
              <w:t>Theoretical model without the moderators for the CSR group</w:t>
            </w:r>
          </w:p>
        </w:tc>
        <w:tc>
          <w:tcPr>
            <w:tcW w:w="4935" w:type="dxa"/>
          </w:tcPr>
          <w:p w14:paraId="326F2055"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6C381B24" w14:textId="16B111DA" w:rsidR="001776CA" w:rsidRPr="00BD7537" w:rsidRDefault="006D7B5E" w:rsidP="001776CA">
            <w:pPr>
              <w:rPr>
                <w:rFonts w:ascii="Times New Roman" w:hAnsi="Times New Roman" w:cs="Times New Roman"/>
              </w:rPr>
            </w:pPr>
            <w:r>
              <w:rPr>
                <w:rFonts w:ascii="Times New Roman" w:hAnsi="Times New Roman" w:cs="Times New Roman"/>
              </w:rPr>
              <w:t>2</w:t>
            </w:r>
            <w:r w:rsidR="003324FF">
              <w:rPr>
                <w:rFonts w:ascii="Times New Roman" w:hAnsi="Times New Roman" w:cs="Times New Roman"/>
              </w:rPr>
              <w:t>11</w:t>
            </w:r>
          </w:p>
        </w:tc>
      </w:tr>
      <w:tr w:rsidR="001776CA" w:rsidRPr="00BD7537" w14:paraId="16CB561D" w14:textId="77777777" w:rsidTr="0074101C">
        <w:trPr>
          <w:trHeight w:val="395"/>
        </w:trPr>
        <w:tc>
          <w:tcPr>
            <w:tcW w:w="676" w:type="dxa"/>
          </w:tcPr>
          <w:p w14:paraId="346D23BB"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29</w:t>
            </w:r>
          </w:p>
        </w:tc>
        <w:tc>
          <w:tcPr>
            <w:tcW w:w="4175" w:type="dxa"/>
          </w:tcPr>
          <w:p w14:paraId="5A008251" w14:textId="77777777" w:rsidR="001776CA" w:rsidRPr="00F737C6" w:rsidRDefault="001776CA" w:rsidP="001776CA">
            <w:pPr>
              <w:rPr>
                <w:rFonts w:asciiTheme="majorBidi" w:hAnsiTheme="majorBidi" w:cstheme="majorBidi"/>
              </w:rPr>
            </w:pPr>
            <w:r w:rsidRPr="009D23F0">
              <w:rPr>
                <w:rFonts w:asciiTheme="majorBidi" w:hAnsiTheme="majorBidi" w:cstheme="majorBidi"/>
              </w:rPr>
              <w:t>Theoretical model for CSR group after removing insignificant relationships</w:t>
            </w:r>
          </w:p>
        </w:tc>
        <w:tc>
          <w:tcPr>
            <w:tcW w:w="4935" w:type="dxa"/>
          </w:tcPr>
          <w:p w14:paraId="60943EE8"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323E302F" w14:textId="6F0807B1" w:rsidR="001776CA" w:rsidRPr="00BD7537" w:rsidRDefault="006D7B5E" w:rsidP="001776CA">
            <w:pPr>
              <w:rPr>
                <w:rFonts w:ascii="Times New Roman" w:hAnsi="Times New Roman" w:cs="Times New Roman"/>
              </w:rPr>
            </w:pPr>
            <w:r>
              <w:rPr>
                <w:rFonts w:ascii="Times New Roman" w:hAnsi="Times New Roman" w:cs="Times New Roman"/>
              </w:rPr>
              <w:t>2</w:t>
            </w:r>
            <w:r w:rsidR="003324FF">
              <w:rPr>
                <w:rFonts w:ascii="Times New Roman" w:hAnsi="Times New Roman" w:cs="Times New Roman"/>
              </w:rPr>
              <w:t>12</w:t>
            </w:r>
          </w:p>
        </w:tc>
      </w:tr>
      <w:tr w:rsidR="001776CA" w:rsidRPr="00BD7537" w14:paraId="71659823" w14:textId="77777777" w:rsidTr="0074101C">
        <w:trPr>
          <w:trHeight w:val="395"/>
        </w:trPr>
        <w:tc>
          <w:tcPr>
            <w:tcW w:w="676" w:type="dxa"/>
          </w:tcPr>
          <w:p w14:paraId="11B3649D"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30</w:t>
            </w:r>
          </w:p>
        </w:tc>
        <w:tc>
          <w:tcPr>
            <w:tcW w:w="4175" w:type="dxa"/>
          </w:tcPr>
          <w:p w14:paraId="2A2798DA" w14:textId="59345E14" w:rsidR="001776CA" w:rsidRPr="00BD7537" w:rsidRDefault="00376942" w:rsidP="001776CA">
            <w:pPr>
              <w:rPr>
                <w:rFonts w:ascii="Times New Roman" w:hAnsi="Times New Roman" w:cs="Times New Roman"/>
                <w:sz w:val="24"/>
                <w:szCs w:val="24"/>
              </w:rPr>
            </w:pPr>
            <w:r w:rsidRPr="009D23F0">
              <w:rPr>
                <w:rFonts w:ascii="Times New Roman" w:hAnsi="Times New Roman" w:cs="Times New Roman"/>
                <w:sz w:val="24"/>
                <w:szCs w:val="24"/>
              </w:rPr>
              <w:t>Theoretical model without the moderators for non-CSR group</w:t>
            </w:r>
          </w:p>
        </w:tc>
        <w:tc>
          <w:tcPr>
            <w:tcW w:w="4935" w:type="dxa"/>
          </w:tcPr>
          <w:p w14:paraId="4C1FB76A"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77CC3DA3" w14:textId="2D76D1C6" w:rsidR="001776CA" w:rsidRPr="00BD7537" w:rsidRDefault="006D7B5E" w:rsidP="001776CA">
            <w:pPr>
              <w:rPr>
                <w:rFonts w:ascii="Times New Roman" w:hAnsi="Times New Roman" w:cs="Times New Roman"/>
              </w:rPr>
            </w:pPr>
            <w:r>
              <w:rPr>
                <w:rFonts w:ascii="Times New Roman" w:hAnsi="Times New Roman" w:cs="Times New Roman"/>
              </w:rPr>
              <w:t>21</w:t>
            </w:r>
            <w:r w:rsidR="003324FF">
              <w:rPr>
                <w:rFonts w:ascii="Times New Roman" w:hAnsi="Times New Roman" w:cs="Times New Roman"/>
              </w:rPr>
              <w:t>5</w:t>
            </w:r>
          </w:p>
        </w:tc>
      </w:tr>
      <w:tr w:rsidR="001776CA" w:rsidRPr="00BD7537" w14:paraId="6C56CBDA" w14:textId="77777777" w:rsidTr="0074101C">
        <w:trPr>
          <w:trHeight w:val="395"/>
        </w:trPr>
        <w:tc>
          <w:tcPr>
            <w:tcW w:w="676" w:type="dxa"/>
          </w:tcPr>
          <w:p w14:paraId="618A75B7"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31</w:t>
            </w:r>
          </w:p>
        </w:tc>
        <w:tc>
          <w:tcPr>
            <w:tcW w:w="4175" w:type="dxa"/>
          </w:tcPr>
          <w:p w14:paraId="17D2E931" w14:textId="77777777" w:rsidR="001776CA" w:rsidRPr="00BD7537" w:rsidRDefault="001776CA" w:rsidP="001776CA">
            <w:pPr>
              <w:rPr>
                <w:rFonts w:ascii="Times New Roman" w:hAnsi="Times New Roman" w:cs="Times New Roman"/>
                <w:sz w:val="24"/>
                <w:szCs w:val="24"/>
              </w:rPr>
            </w:pPr>
            <w:r w:rsidRPr="00E138D3">
              <w:rPr>
                <w:rFonts w:asciiTheme="majorBidi" w:hAnsiTheme="majorBidi" w:cstheme="majorBidi"/>
                <w:sz w:val="24"/>
                <w:szCs w:val="24"/>
              </w:rPr>
              <w:t>Theoretical model for non-CSR group after removing insignificant relationships</w:t>
            </w:r>
          </w:p>
        </w:tc>
        <w:tc>
          <w:tcPr>
            <w:tcW w:w="4935" w:type="dxa"/>
          </w:tcPr>
          <w:p w14:paraId="1148AC02"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2BFB8CD7" w14:textId="7B192260" w:rsidR="001776CA" w:rsidRPr="00BD7537" w:rsidRDefault="006D7B5E" w:rsidP="001776CA">
            <w:pPr>
              <w:rPr>
                <w:rFonts w:ascii="Times New Roman" w:hAnsi="Times New Roman" w:cs="Times New Roman"/>
              </w:rPr>
            </w:pPr>
            <w:r>
              <w:rPr>
                <w:rFonts w:ascii="Times New Roman" w:hAnsi="Times New Roman" w:cs="Times New Roman"/>
              </w:rPr>
              <w:t>21</w:t>
            </w:r>
            <w:r w:rsidR="003324FF">
              <w:rPr>
                <w:rFonts w:ascii="Times New Roman" w:hAnsi="Times New Roman" w:cs="Times New Roman"/>
              </w:rPr>
              <w:t>6</w:t>
            </w:r>
          </w:p>
        </w:tc>
      </w:tr>
      <w:tr w:rsidR="001776CA" w:rsidRPr="00BD7537" w14:paraId="029B5BE5" w14:textId="77777777" w:rsidTr="0074101C">
        <w:trPr>
          <w:trHeight w:val="410"/>
        </w:trPr>
        <w:tc>
          <w:tcPr>
            <w:tcW w:w="676" w:type="dxa"/>
          </w:tcPr>
          <w:p w14:paraId="58D7496E" w14:textId="77777777" w:rsidR="001776CA" w:rsidRDefault="001776CA" w:rsidP="001776CA">
            <w:pPr>
              <w:rPr>
                <w:rFonts w:ascii="Times New Roman" w:hAnsi="Times New Roman" w:cs="Times New Roman"/>
                <w:sz w:val="24"/>
                <w:szCs w:val="24"/>
              </w:rPr>
            </w:pPr>
            <w:r>
              <w:rPr>
                <w:rFonts w:ascii="Times New Roman" w:hAnsi="Times New Roman" w:cs="Times New Roman"/>
                <w:sz w:val="24"/>
                <w:szCs w:val="24"/>
              </w:rPr>
              <w:t>32</w:t>
            </w:r>
          </w:p>
        </w:tc>
        <w:tc>
          <w:tcPr>
            <w:tcW w:w="4175" w:type="dxa"/>
          </w:tcPr>
          <w:p w14:paraId="5628D5B4" w14:textId="77777777" w:rsidR="001776CA" w:rsidRPr="00E138D3" w:rsidRDefault="001776CA" w:rsidP="001776CA">
            <w:pPr>
              <w:rPr>
                <w:rFonts w:asciiTheme="majorBidi" w:hAnsiTheme="majorBidi" w:cstheme="majorBidi"/>
                <w:sz w:val="24"/>
                <w:szCs w:val="24"/>
              </w:rPr>
            </w:pPr>
            <w:r>
              <w:rPr>
                <w:rFonts w:asciiTheme="majorBidi" w:hAnsiTheme="majorBidi" w:cstheme="majorBidi"/>
                <w:sz w:val="24"/>
                <w:szCs w:val="24"/>
              </w:rPr>
              <w:t xml:space="preserve">Conceptual Model </w:t>
            </w:r>
          </w:p>
        </w:tc>
        <w:tc>
          <w:tcPr>
            <w:tcW w:w="4935" w:type="dxa"/>
          </w:tcPr>
          <w:p w14:paraId="779B44F0"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1AB09045" w14:textId="438D193D" w:rsidR="001776CA" w:rsidRPr="00BD7537" w:rsidRDefault="006D7B5E" w:rsidP="001776CA">
            <w:pPr>
              <w:rPr>
                <w:rFonts w:ascii="Times New Roman" w:hAnsi="Times New Roman" w:cs="Times New Roman"/>
              </w:rPr>
            </w:pPr>
            <w:r>
              <w:rPr>
                <w:rFonts w:ascii="Times New Roman" w:hAnsi="Times New Roman" w:cs="Times New Roman"/>
              </w:rPr>
              <w:t>2</w:t>
            </w:r>
            <w:r w:rsidR="003324FF">
              <w:rPr>
                <w:rFonts w:ascii="Times New Roman" w:hAnsi="Times New Roman" w:cs="Times New Roman"/>
              </w:rPr>
              <w:t>52</w:t>
            </w:r>
          </w:p>
        </w:tc>
      </w:tr>
      <w:tr w:rsidR="001776CA" w:rsidRPr="00BD7537" w14:paraId="08C88C71" w14:textId="77777777" w:rsidTr="0074101C">
        <w:trPr>
          <w:trHeight w:val="395"/>
        </w:trPr>
        <w:tc>
          <w:tcPr>
            <w:tcW w:w="676" w:type="dxa"/>
          </w:tcPr>
          <w:p w14:paraId="1D2115D8"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33</w:t>
            </w:r>
          </w:p>
        </w:tc>
        <w:tc>
          <w:tcPr>
            <w:tcW w:w="4175" w:type="dxa"/>
          </w:tcPr>
          <w:p w14:paraId="194FB50C" w14:textId="77777777" w:rsidR="001776CA" w:rsidRPr="00BD7537" w:rsidRDefault="001776CA" w:rsidP="001776CA">
            <w:pPr>
              <w:rPr>
                <w:rFonts w:ascii="Times New Roman" w:hAnsi="Times New Roman" w:cs="Times New Roman"/>
                <w:sz w:val="24"/>
                <w:szCs w:val="24"/>
              </w:rPr>
            </w:pPr>
            <w:r>
              <w:rPr>
                <w:rFonts w:asciiTheme="majorBidi" w:hAnsiTheme="majorBidi" w:cstheme="majorBidi"/>
                <w:sz w:val="24"/>
                <w:szCs w:val="24"/>
              </w:rPr>
              <w:t>The application of TRA</w:t>
            </w:r>
          </w:p>
        </w:tc>
        <w:tc>
          <w:tcPr>
            <w:tcW w:w="4935" w:type="dxa"/>
          </w:tcPr>
          <w:p w14:paraId="21E152F8"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5C38C41E" w14:textId="12FE6D09" w:rsidR="001776CA" w:rsidRPr="00BD7537" w:rsidRDefault="006D7B5E" w:rsidP="001776CA">
            <w:pPr>
              <w:rPr>
                <w:rFonts w:ascii="Times New Roman" w:hAnsi="Times New Roman" w:cs="Times New Roman"/>
              </w:rPr>
            </w:pPr>
            <w:r>
              <w:rPr>
                <w:rFonts w:ascii="Times New Roman" w:hAnsi="Times New Roman" w:cs="Times New Roman"/>
              </w:rPr>
              <w:t>25</w:t>
            </w:r>
            <w:r w:rsidR="003324FF">
              <w:rPr>
                <w:rFonts w:ascii="Times New Roman" w:hAnsi="Times New Roman" w:cs="Times New Roman"/>
              </w:rPr>
              <w:t>5</w:t>
            </w:r>
          </w:p>
        </w:tc>
      </w:tr>
      <w:tr w:rsidR="001776CA" w:rsidRPr="00BD7537" w14:paraId="4A3E006D" w14:textId="77777777" w:rsidTr="0074101C">
        <w:trPr>
          <w:trHeight w:val="791"/>
        </w:trPr>
        <w:tc>
          <w:tcPr>
            <w:tcW w:w="676" w:type="dxa"/>
          </w:tcPr>
          <w:p w14:paraId="10C080DA" w14:textId="77777777" w:rsidR="001776CA" w:rsidRDefault="001776CA" w:rsidP="001776CA">
            <w:pPr>
              <w:rPr>
                <w:rFonts w:ascii="Times New Roman" w:hAnsi="Times New Roman" w:cs="Times New Roman"/>
                <w:sz w:val="24"/>
                <w:szCs w:val="24"/>
              </w:rPr>
            </w:pPr>
            <w:r>
              <w:rPr>
                <w:rFonts w:ascii="Times New Roman" w:hAnsi="Times New Roman" w:cs="Times New Roman"/>
                <w:sz w:val="24"/>
                <w:szCs w:val="24"/>
              </w:rPr>
              <w:t>34a)</w:t>
            </w:r>
          </w:p>
        </w:tc>
        <w:tc>
          <w:tcPr>
            <w:tcW w:w="4175" w:type="dxa"/>
          </w:tcPr>
          <w:p w14:paraId="441BEEB5" w14:textId="77777777" w:rsidR="001776CA" w:rsidRDefault="001776CA" w:rsidP="001776CA">
            <w:pPr>
              <w:rPr>
                <w:rFonts w:asciiTheme="majorBidi" w:hAnsiTheme="majorBidi" w:cstheme="majorBidi"/>
                <w:sz w:val="24"/>
                <w:szCs w:val="24"/>
              </w:rPr>
            </w:pPr>
            <w:r w:rsidRPr="00E138D3">
              <w:rPr>
                <w:rFonts w:asciiTheme="majorBidi" w:hAnsiTheme="majorBidi" w:cstheme="majorBidi"/>
                <w:sz w:val="24"/>
                <w:szCs w:val="24"/>
              </w:rPr>
              <w:t>The original SOR theory (Mehrabian &amp; Russell, 1974)</w:t>
            </w:r>
          </w:p>
        </w:tc>
        <w:tc>
          <w:tcPr>
            <w:tcW w:w="4935" w:type="dxa"/>
          </w:tcPr>
          <w:p w14:paraId="7EA1627A"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104BE287" w14:textId="7977877B" w:rsidR="001776CA" w:rsidRPr="00BD7537" w:rsidRDefault="006D7B5E" w:rsidP="001776CA">
            <w:pPr>
              <w:rPr>
                <w:rFonts w:ascii="Times New Roman" w:hAnsi="Times New Roman" w:cs="Times New Roman"/>
              </w:rPr>
            </w:pPr>
            <w:r>
              <w:rPr>
                <w:rFonts w:ascii="Times New Roman" w:hAnsi="Times New Roman" w:cs="Times New Roman"/>
              </w:rPr>
              <w:t>25</w:t>
            </w:r>
            <w:r w:rsidR="003324FF">
              <w:rPr>
                <w:rFonts w:ascii="Times New Roman" w:hAnsi="Times New Roman" w:cs="Times New Roman"/>
              </w:rPr>
              <w:t>7</w:t>
            </w:r>
          </w:p>
        </w:tc>
      </w:tr>
      <w:tr w:rsidR="001776CA" w:rsidRPr="00BD7537" w14:paraId="2B4D4A3D" w14:textId="77777777" w:rsidTr="0074101C">
        <w:trPr>
          <w:trHeight w:val="806"/>
        </w:trPr>
        <w:tc>
          <w:tcPr>
            <w:tcW w:w="676" w:type="dxa"/>
          </w:tcPr>
          <w:p w14:paraId="47A335F5" w14:textId="77777777" w:rsidR="001776CA" w:rsidRDefault="001776CA" w:rsidP="001776CA">
            <w:pPr>
              <w:rPr>
                <w:rFonts w:ascii="Times New Roman" w:hAnsi="Times New Roman" w:cs="Times New Roman"/>
                <w:sz w:val="24"/>
                <w:szCs w:val="24"/>
              </w:rPr>
            </w:pPr>
            <w:r>
              <w:rPr>
                <w:rFonts w:ascii="Times New Roman" w:hAnsi="Times New Roman" w:cs="Times New Roman"/>
                <w:sz w:val="24"/>
                <w:szCs w:val="24"/>
              </w:rPr>
              <w:t xml:space="preserve">34b) </w:t>
            </w:r>
          </w:p>
        </w:tc>
        <w:tc>
          <w:tcPr>
            <w:tcW w:w="4175" w:type="dxa"/>
          </w:tcPr>
          <w:p w14:paraId="5B59C21B" w14:textId="77777777" w:rsidR="001776CA" w:rsidRDefault="001776CA" w:rsidP="001776CA">
            <w:pPr>
              <w:rPr>
                <w:rFonts w:asciiTheme="majorBidi" w:hAnsiTheme="majorBidi" w:cstheme="majorBidi"/>
                <w:sz w:val="24"/>
                <w:szCs w:val="24"/>
              </w:rPr>
            </w:pPr>
            <w:r>
              <w:rPr>
                <w:rFonts w:asciiTheme="majorBidi" w:hAnsiTheme="majorBidi" w:cstheme="majorBidi"/>
                <w:sz w:val="24"/>
                <w:szCs w:val="24"/>
              </w:rPr>
              <w:t>S</w:t>
            </w:r>
            <w:r w:rsidRPr="00E138D3">
              <w:rPr>
                <w:rFonts w:asciiTheme="majorBidi" w:hAnsiTheme="majorBidi" w:cstheme="majorBidi"/>
                <w:sz w:val="24"/>
                <w:szCs w:val="24"/>
              </w:rPr>
              <w:t>OR Theoretical contributions as presented by this study</w:t>
            </w:r>
          </w:p>
        </w:tc>
        <w:tc>
          <w:tcPr>
            <w:tcW w:w="4935" w:type="dxa"/>
          </w:tcPr>
          <w:p w14:paraId="1D78784D"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31ABEA6E" w14:textId="77913E47" w:rsidR="001776CA" w:rsidRPr="00BD7537" w:rsidRDefault="006D7B5E" w:rsidP="001776CA">
            <w:pPr>
              <w:rPr>
                <w:rFonts w:ascii="Times New Roman" w:hAnsi="Times New Roman" w:cs="Times New Roman"/>
              </w:rPr>
            </w:pPr>
            <w:r>
              <w:rPr>
                <w:rFonts w:ascii="Times New Roman" w:hAnsi="Times New Roman" w:cs="Times New Roman"/>
              </w:rPr>
              <w:t>25</w:t>
            </w:r>
            <w:r w:rsidR="003324FF">
              <w:rPr>
                <w:rFonts w:ascii="Times New Roman" w:hAnsi="Times New Roman" w:cs="Times New Roman"/>
              </w:rPr>
              <w:t>7</w:t>
            </w:r>
          </w:p>
        </w:tc>
      </w:tr>
      <w:tr w:rsidR="001776CA" w:rsidRPr="00BD7537" w14:paraId="4A7C5B98" w14:textId="77777777" w:rsidTr="0074101C">
        <w:trPr>
          <w:trHeight w:val="395"/>
        </w:trPr>
        <w:tc>
          <w:tcPr>
            <w:tcW w:w="676" w:type="dxa"/>
          </w:tcPr>
          <w:p w14:paraId="4F25DC8D"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35</w:t>
            </w:r>
          </w:p>
        </w:tc>
        <w:tc>
          <w:tcPr>
            <w:tcW w:w="4175" w:type="dxa"/>
          </w:tcPr>
          <w:p w14:paraId="7A8AF79E" w14:textId="77777777" w:rsidR="001776CA" w:rsidRPr="00BD7537" w:rsidRDefault="001776CA" w:rsidP="001776CA">
            <w:pPr>
              <w:rPr>
                <w:rFonts w:ascii="Times New Roman" w:hAnsi="Times New Roman" w:cs="Times New Roman"/>
                <w:sz w:val="24"/>
                <w:szCs w:val="24"/>
              </w:rPr>
            </w:pPr>
            <w:r>
              <w:rPr>
                <w:rFonts w:asciiTheme="majorBidi" w:hAnsiTheme="majorBidi" w:cstheme="majorBidi"/>
                <w:sz w:val="24"/>
                <w:szCs w:val="24"/>
              </w:rPr>
              <w:t>Halo effect appearing in the SOR model</w:t>
            </w:r>
          </w:p>
        </w:tc>
        <w:tc>
          <w:tcPr>
            <w:tcW w:w="4935" w:type="dxa"/>
          </w:tcPr>
          <w:p w14:paraId="404A65E7"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0134325A" w14:textId="05B14201" w:rsidR="001776CA" w:rsidRPr="00BD7537" w:rsidRDefault="006D7B5E" w:rsidP="001776CA">
            <w:pPr>
              <w:rPr>
                <w:rFonts w:ascii="Times New Roman" w:hAnsi="Times New Roman" w:cs="Times New Roman"/>
              </w:rPr>
            </w:pPr>
            <w:r>
              <w:rPr>
                <w:rFonts w:ascii="Times New Roman" w:hAnsi="Times New Roman" w:cs="Times New Roman"/>
              </w:rPr>
              <w:t>25</w:t>
            </w:r>
            <w:r w:rsidR="003324FF">
              <w:rPr>
                <w:rFonts w:ascii="Times New Roman" w:hAnsi="Times New Roman" w:cs="Times New Roman"/>
              </w:rPr>
              <w:t>8</w:t>
            </w:r>
          </w:p>
        </w:tc>
      </w:tr>
      <w:tr w:rsidR="001776CA" w:rsidRPr="00BD7537" w14:paraId="72CEA5FB" w14:textId="77777777" w:rsidTr="0074101C">
        <w:trPr>
          <w:trHeight w:val="395"/>
        </w:trPr>
        <w:tc>
          <w:tcPr>
            <w:tcW w:w="676" w:type="dxa"/>
          </w:tcPr>
          <w:p w14:paraId="1FD2B934"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36</w:t>
            </w:r>
          </w:p>
        </w:tc>
        <w:tc>
          <w:tcPr>
            <w:tcW w:w="4175" w:type="dxa"/>
          </w:tcPr>
          <w:p w14:paraId="7217BCCE" w14:textId="77777777" w:rsidR="001776CA" w:rsidRPr="00BD7537" w:rsidRDefault="001776CA" w:rsidP="001776CA">
            <w:pPr>
              <w:rPr>
                <w:rFonts w:ascii="Times New Roman" w:hAnsi="Times New Roman" w:cs="Times New Roman"/>
                <w:sz w:val="24"/>
                <w:szCs w:val="24"/>
              </w:rPr>
            </w:pPr>
            <w:r w:rsidRPr="00E138D3">
              <w:rPr>
                <w:rFonts w:ascii="Times New Roman" w:hAnsi="Times New Roman" w:cs="Times New Roman"/>
                <w:sz w:val="24"/>
                <w:szCs w:val="24"/>
              </w:rPr>
              <w:t>Congruity between high CSR perception and brand attitudes and purchase intention</w:t>
            </w:r>
          </w:p>
        </w:tc>
        <w:tc>
          <w:tcPr>
            <w:tcW w:w="4935" w:type="dxa"/>
          </w:tcPr>
          <w:p w14:paraId="13B31E87"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59A6E5E7" w14:textId="46806CEC" w:rsidR="001776CA" w:rsidRPr="00BD7537" w:rsidRDefault="00E43281" w:rsidP="001776CA">
            <w:pPr>
              <w:rPr>
                <w:rFonts w:ascii="Times New Roman" w:hAnsi="Times New Roman" w:cs="Times New Roman"/>
              </w:rPr>
            </w:pPr>
            <w:r>
              <w:rPr>
                <w:rFonts w:ascii="Times New Roman" w:hAnsi="Times New Roman" w:cs="Times New Roman"/>
              </w:rPr>
              <w:t>2</w:t>
            </w:r>
            <w:r w:rsidR="003324FF">
              <w:rPr>
                <w:rFonts w:ascii="Times New Roman" w:hAnsi="Times New Roman" w:cs="Times New Roman"/>
              </w:rPr>
              <w:t>61</w:t>
            </w:r>
          </w:p>
        </w:tc>
      </w:tr>
      <w:tr w:rsidR="001776CA" w:rsidRPr="00BD7537" w14:paraId="5B43B729" w14:textId="77777777" w:rsidTr="0074101C">
        <w:trPr>
          <w:trHeight w:val="395"/>
        </w:trPr>
        <w:tc>
          <w:tcPr>
            <w:tcW w:w="676" w:type="dxa"/>
          </w:tcPr>
          <w:p w14:paraId="7CC290EE"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37</w:t>
            </w:r>
          </w:p>
        </w:tc>
        <w:tc>
          <w:tcPr>
            <w:tcW w:w="4175" w:type="dxa"/>
          </w:tcPr>
          <w:p w14:paraId="4F3EF950"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The main direct and indirect effects of CSR communication and television</w:t>
            </w:r>
          </w:p>
        </w:tc>
        <w:tc>
          <w:tcPr>
            <w:tcW w:w="4935" w:type="dxa"/>
          </w:tcPr>
          <w:p w14:paraId="3DEF5FD5"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233C4C31" w14:textId="37160FED" w:rsidR="001776CA" w:rsidRPr="00BD7537" w:rsidRDefault="00E43281" w:rsidP="001776CA">
            <w:pPr>
              <w:rPr>
                <w:rFonts w:ascii="Times New Roman" w:hAnsi="Times New Roman" w:cs="Times New Roman"/>
              </w:rPr>
            </w:pPr>
            <w:r>
              <w:rPr>
                <w:rFonts w:ascii="Times New Roman" w:hAnsi="Times New Roman" w:cs="Times New Roman"/>
              </w:rPr>
              <w:t>26</w:t>
            </w:r>
            <w:r w:rsidR="003324FF">
              <w:rPr>
                <w:rFonts w:ascii="Times New Roman" w:hAnsi="Times New Roman" w:cs="Times New Roman"/>
              </w:rPr>
              <w:t>3</w:t>
            </w:r>
          </w:p>
        </w:tc>
      </w:tr>
      <w:tr w:rsidR="001776CA" w:rsidRPr="00BD7537" w14:paraId="37C75DE7" w14:textId="77777777" w:rsidTr="0074101C">
        <w:trPr>
          <w:trHeight w:val="395"/>
        </w:trPr>
        <w:tc>
          <w:tcPr>
            <w:tcW w:w="676" w:type="dxa"/>
          </w:tcPr>
          <w:p w14:paraId="4FD6850C"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38</w:t>
            </w:r>
          </w:p>
        </w:tc>
        <w:tc>
          <w:tcPr>
            <w:tcW w:w="4175" w:type="dxa"/>
          </w:tcPr>
          <w:p w14:paraId="73BAFF70" w14:textId="77777777" w:rsidR="001776CA" w:rsidRPr="00BD7537" w:rsidRDefault="001776CA" w:rsidP="001776CA">
            <w:pPr>
              <w:rPr>
                <w:rFonts w:ascii="Times New Roman" w:hAnsi="Times New Roman" w:cs="Times New Roman"/>
                <w:sz w:val="24"/>
                <w:szCs w:val="24"/>
              </w:rPr>
            </w:pPr>
            <w:r>
              <w:rPr>
                <w:rFonts w:asciiTheme="majorBidi" w:eastAsia="Times New Roman" w:hAnsiTheme="majorBidi" w:cstheme="majorBidi"/>
                <w:sz w:val="24"/>
                <w:szCs w:val="24"/>
                <w:lang w:eastAsia="en-GB"/>
              </w:rPr>
              <w:t>The moderating effect of CSR perception</w:t>
            </w:r>
          </w:p>
        </w:tc>
        <w:tc>
          <w:tcPr>
            <w:tcW w:w="4935" w:type="dxa"/>
          </w:tcPr>
          <w:p w14:paraId="67E662F9"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0C6FCAE5" w14:textId="5E825B0E" w:rsidR="001776CA" w:rsidRPr="00BD7537" w:rsidRDefault="00E43281" w:rsidP="001776CA">
            <w:pPr>
              <w:rPr>
                <w:rFonts w:ascii="Times New Roman" w:hAnsi="Times New Roman" w:cs="Times New Roman"/>
              </w:rPr>
            </w:pPr>
            <w:r>
              <w:rPr>
                <w:rFonts w:ascii="Times New Roman" w:hAnsi="Times New Roman" w:cs="Times New Roman"/>
              </w:rPr>
              <w:t>26</w:t>
            </w:r>
            <w:r w:rsidR="003324FF">
              <w:rPr>
                <w:rFonts w:ascii="Times New Roman" w:hAnsi="Times New Roman" w:cs="Times New Roman"/>
              </w:rPr>
              <w:t>4</w:t>
            </w:r>
          </w:p>
        </w:tc>
      </w:tr>
      <w:tr w:rsidR="001776CA" w:rsidRPr="00BD7537" w14:paraId="0CD90143" w14:textId="77777777" w:rsidTr="0074101C">
        <w:trPr>
          <w:trHeight w:val="395"/>
        </w:trPr>
        <w:tc>
          <w:tcPr>
            <w:tcW w:w="676" w:type="dxa"/>
          </w:tcPr>
          <w:p w14:paraId="766A2EEC" w14:textId="77777777" w:rsidR="001776CA" w:rsidRPr="00BD7537" w:rsidRDefault="001776CA" w:rsidP="001776CA">
            <w:pPr>
              <w:rPr>
                <w:rFonts w:ascii="Times New Roman" w:hAnsi="Times New Roman" w:cs="Times New Roman"/>
                <w:sz w:val="24"/>
                <w:szCs w:val="24"/>
              </w:rPr>
            </w:pPr>
            <w:r>
              <w:rPr>
                <w:rFonts w:ascii="Times New Roman" w:hAnsi="Times New Roman" w:cs="Times New Roman"/>
                <w:sz w:val="24"/>
                <w:szCs w:val="24"/>
              </w:rPr>
              <w:t>39</w:t>
            </w:r>
          </w:p>
        </w:tc>
        <w:tc>
          <w:tcPr>
            <w:tcW w:w="4175" w:type="dxa"/>
          </w:tcPr>
          <w:p w14:paraId="629702ED" w14:textId="77777777" w:rsidR="001776CA" w:rsidRPr="00BD7537" w:rsidRDefault="001776CA" w:rsidP="001776CA">
            <w:pPr>
              <w:rPr>
                <w:rFonts w:ascii="Times New Roman" w:hAnsi="Times New Roman" w:cs="Times New Roman"/>
                <w:sz w:val="24"/>
                <w:szCs w:val="24"/>
              </w:rPr>
            </w:pPr>
            <w:r w:rsidRPr="00E138D3">
              <w:rPr>
                <w:rFonts w:ascii="Times New Roman" w:hAnsi="Times New Roman" w:cs="Times New Roman"/>
                <w:sz w:val="24"/>
                <w:szCs w:val="24"/>
              </w:rPr>
              <w:t>Direct Effects of brand attitudes on purchase intention</w:t>
            </w:r>
          </w:p>
        </w:tc>
        <w:tc>
          <w:tcPr>
            <w:tcW w:w="4935" w:type="dxa"/>
          </w:tcPr>
          <w:p w14:paraId="56582D37" w14:textId="77777777" w:rsidR="001776CA" w:rsidRPr="00BD7537" w:rsidRDefault="001776CA" w:rsidP="001776CA">
            <w:pPr>
              <w:rPr>
                <w:rFonts w:ascii="Times New Roman" w:hAnsi="Times New Roman" w:cs="Times New Roman"/>
              </w:rPr>
            </w:pPr>
            <w:r w:rsidRPr="001850E8">
              <w:rPr>
                <w:rFonts w:ascii="Times New Roman" w:hAnsi="Times New Roman" w:cs="Times New Roman"/>
              </w:rPr>
              <w:t>……………………………………………………….</w:t>
            </w:r>
          </w:p>
        </w:tc>
        <w:tc>
          <w:tcPr>
            <w:tcW w:w="808" w:type="dxa"/>
          </w:tcPr>
          <w:p w14:paraId="0FCB7F22" w14:textId="4EAB4049" w:rsidR="001776CA" w:rsidRPr="00BD7537" w:rsidRDefault="00E43281" w:rsidP="001776CA">
            <w:pPr>
              <w:rPr>
                <w:rFonts w:ascii="Times New Roman" w:hAnsi="Times New Roman" w:cs="Times New Roman"/>
              </w:rPr>
            </w:pPr>
            <w:r>
              <w:rPr>
                <w:rFonts w:ascii="Times New Roman" w:hAnsi="Times New Roman" w:cs="Times New Roman"/>
              </w:rPr>
              <w:t>27</w:t>
            </w:r>
            <w:r w:rsidR="003324FF">
              <w:rPr>
                <w:rFonts w:ascii="Times New Roman" w:hAnsi="Times New Roman" w:cs="Times New Roman"/>
              </w:rPr>
              <w:t>5</w:t>
            </w:r>
          </w:p>
        </w:tc>
      </w:tr>
    </w:tbl>
    <w:p w14:paraId="7CE85864" w14:textId="4AA3C3B6" w:rsidR="001776CA" w:rsidRDefault="001776CA" w:rsidP="001776CA">
      <w:pPr>
        <w:rPr>
          <w:rFonts w:asciiTheme="majorBidi" w:hAnsiTheme="majorBidi" w:cstheme="majorBidi"/>
          <w:b/>
          <w:bCs/>
          <w:sz w:val="24"/>
          <w:szCs w:val="24"/>
        </w:rPr>
      </w:pPr>
    </w:p>
    <w:p w14:paraId="5D33FC49" w14:textId="638A4682" w:rsidR="00B01F74" w:rsidRDefault="00FE08A8" w:rsidP="00EF74C5">
      <w:pPr>
        <w:jc w:val="center"/>
        <w:rPr>
          <w:rFonts w:asciiTheme="majorBidi" w:hAnsiTheme="majorBidi" w:cstheme="majorBidi"/>
          <w:b/>
          <w:bCs/>
          <w:sz w:val="24"/>
          <w:szCs w:val="24"/>
        </w:rPr>
      </w:pPr>
      <w:r>
        <w:rPr>
          <w:rFonts w:asciiTheme="majorBidi" w:hAnsiTheme="majorBidi" w:cstheme="majorBidi"/>
          <w:b/>
          <w:bCs/>
          <w:sz w:val="24"/>
          <w:szCs w:val="24"/>
        </w:rPr>
        <w:t xml:space="preserve"> </w:t>
      </w:r>
    </w:p>
    <w:p w14:paraId="7EAB1B31" w14:textId="77777777" w:rsidR="00FE08A8" w:rsidRDefault="00FE08A8" w:rsidP="00EF74C5">
      <w:pPr>
        <w:jc w:val="center"/>
        <w:rPr>
          <w:rFonts w:asciiTheme="majorBidi" w:hAnsiTheme="majorBidi" w:cstheme="majorBidi"/>
          <w:b/>
          <w:bCs/>
          <w:sz w:val="24"/>
          <w:szCs w:val="24"/>
        </w:rPr>
      </w:pPr>
    </w:p>
    <w:p w14:paraId="71BA4F8B" w14:textId="77777777" w:rsidR="00FE08A8" w:rsidRDefault="00FE08A8" w:rsidP="00EF74C5">
      <w:pPr>
        <w:jc w:val="center"/>
        <w:rPr>
          <w:rFonts w:asciiTheme="majorBidi" w:hAnsiTheme="majorBidi" w:cstheme="majorBidi"/>
          <w:b/>
          <w:bCs/>
          <w:sz w:val="24"/>
          <w:szCs w:val="24"/>
        </w:rPr>
      </w:pPr>
    </w:p>
    <w:p w14:paraId="03E98383" w14:textId="77777777" w:rsidR="00FE08A8" w:rsidRDefault="00FE08A8" w:rsidP="00EF74C5">
      <w:pPr>
        <w:jc w:val="center"/>
        <w:rPr>
          <w:rFonts w:asciiTheme="majorBidi" w:hAnsiTheme="majorBidi" w:cstheme="majorBidi"/>
          <w:b/>
          <w:bCs/>
          <w:sz w:val="24"/>
          <w:szCs w:val="24"/>
        </w:rPr>
      </w:pPr>
    </w:p>
    <w:p w14:paraId="7686C4D6" w14:textId="77777777" w:rsidR="00FE08A8" w:rsidRDefault="00FE08A8" w:rsidP="00EF74C5">
      <w:pPr>
        <w:jc w:val="center"/>
        <w:rPr>
          <w:rFonts w:asciiTheme="majorBidi" w:hAnsiTheme="majorBidi" w:cstheme="majorBidi"/>
          <w:b/>
          <w:bCs/>
          <w:sz w:val="24"/>
          <w:szCs w:val="24"/>
        </w:rPr>
      </w:pPr>
    </w:p>
    <w:p w14:paraId="4405941C" w14:textId="77777777" w:rsidR="00FE08A8" w:rsidRDefault="00FE08A8" w:rsidP="001776CA">
      <w:pPr>
        <w:rPr>
          <w:rFonts w:asciiTheme="majorBidi" w:hAnsiTheme="majorBidi" w:cstheme="majorBidi"/>
          <w:b/>
          <w:bCs/>
          <w:sz w:val="24"/>
          <w:szCs w:val="24"/>
        </w:rPr>
      </w:pPr>
    </w:p>
    <w:p w14:paraId="23179A1D" w14:textId="77777777" w:rsidR="004C2202" w:rsidRDefault="004C2202" w:rsidP="004C2202">
      <w:pPr>
        <w:rPr>
          <w:rFonts w:asciiTheme="majorBidi" w:hAnsiTheme="majorBidi" w:cstheme="majorBidi"/>
          <w:b/>
          <w:bCs/>
          <w:sz w:val="24"/>
          <w:szCs w:val="24"/>
        </w:rPr>
      </w:pPr>
    </w:p>
    <w:tbl>
      <w:tblPr>
        <w:tblStyle w:val="TableGrid"/>
        <w:tblpPr w:leftFromText="180" w:rightFromText="180" w:horzAnchor="margin" w:tblpXSpec="center" w:tblpY="269"/>
        <w:tblW w:w="10768" w:type="dxa"/>
        <w:tblLayout w:type="fixed"/>
        <w:tblLook w:val="04A0" w:firstRow="1" w:lastRow="0" w:firstColumn="1" w:lastColumn="0" w:noHBand="0" w:noVBand="1"/>
      </w:tblPr>
      <w:tblGrid>
        <w:gridCol w:w="562"/>
        <w:gridCol w:w="3695"/>
        <w:gridCol w:w="5803"/>
        <w:gridCol w:w="708"/>
      </w:tblGrid>
      <w:tr w:rsidR="004C2202" w:rsidRPr="00BD7537" w14:paraId="40BB5A64" w14:textId="77777777" w:rsidTr="00EC32C9">
        <w:tc>
          <w:tcPr>
            <w:tcW w:w="562" w:type="dxa"/>
            <w:tcBorders>
              <w:top w:val="nil"/>
              <w:left w:val="nil"/>
              <w:bottom w:val="nil"/>
              <w:right w:val="nil"/>
            </w:tcBorders>
          </w:tcPr>
          <w:p w14:paraId="2AFBB245" w14:textId="77777777" w:rsidR="004C2202" w:rsidRDefault="004C2202" w:rsidP="009B788D">
            <w:pPr>
              <w:rPr>
                <w:rFonts w:ascii="Times New Roman" w:hAnsi="Times New Roman" w:cs="Times New Roman"/>
                <w:sz w:val="24"/>
                <w:szCs w:val="24"/>
              </w:rPr>
            </w:pPr>
          </w:p>
        </w:tc>
        <w:tc>
          <w:tcPr>
            <w:tcW w:w="3695" w:type="dxa"/>
            <w:tcBorders>
              <w:top w:val="nil"/>
              <w:left w:val="nil"/>
              <w:bottom w:val="nil"/>
              <w:right w:val="nil"/>
            </w:tcBorders>
          </w:tcPr>
          <w:p w14:paraId="14F2CC39" w14:textId="77777777" w:rsidR="004C2202" w:rsidRPr="00285F6A" w:rsidRDefault="004C2202" w:rsidP="009B788D">
            <w:pPr>
              <w:rPr>
                <w:rFonts w:ascii="Times New Roman" w:eastAsia="Times New Roman" w:hAnsi="Times New Roman" w:cs="Times New Roman"/>
                <w:noProof/>
                <w:sz w:val="24"/>
                <w:szCs w:val="24"/>
                <w:lang w:eastAsia="en-GB"/>
              </w:rPr>
            </w:pPr>
          </w:p>
        </w:tc>
        <w:tc>
          <w:tcPr>
            <w:tcW w:w="5803" w:type="dxa"/>
            <w:tcBorders>
              <w:top w:val="nil"/>
              <w:left w:val="nil"/>
              <w:bottom w:val="nil"/>
              <w:right w:val="nil"/>
            </w:tcBorders>
          </w:tcPr>
          <w:p w14:paraId="4191614D" w14:textId="1AE46F6F" w:rsidR="004C2202" w:rsidRPr="00A57A40" w:rsidRDefault="00A57A40" w:rsidP="00A57A40">
            <w:pPr>
              <w:jc w:val="both"/>
              <w:rPr>
                <w:rFonts w:ascii="Times New Roman" w:hAnsi="Times New Roman" w:cs="Times New Roman"/>
                <w:b/>
                <w:bCs/>
                <w:sz w:val="24"/>
                <w:szCs w:val="24"/>
              </w:rPr>
            </w:pPr>
            <w:r w:rsidRPr="00A57A40">
              <w:rPr>
                <w:rFonts w:ascii="Times New Roman" w:hAnsi="Times New Roman" w:cs="Times New Roman"/>
                <w:b/>
                <w:bCs/>
                <w:sz w:val="24"/>
                <w:szCs w:val="24"/>
              </w:rPr>
              <w:t xml:space="preserve">   </w:t>
            </w:r>
          </w:p>
        </w:tc>
        <w:tc>
          <w:tcPr>
            <w:tcW w:w="708" w:type="dxa"/>
            <w:tcBorders>
              <w:top w:val="nil"/>
              <w:left w:val="nil"/>
              <w:bottom w:val="nil"/>
              <w:right w:val="nil"/>
            </w:tcBorders>
          </w:tcPr>
          <w:p w14:paraId="014EA277" w14:textId="77777777" w:rsidR="004C2202" w:rsidRPr="00BD7537" w:rsidRDefault="004C2202" w:rsidP="009B788D">
            <w:pPr>
              <w:rPr>
                <w:rFonts w:ascii="Times New Roman" w:hAnsi="Times New Roman" w:cs="Times New Roman"/>
              </w:rPr>
            </w:pPr>
          </w:p>
        </w:tc>
      </w:tr>
      <w:tr w:rsidR="004C2202" w:rsidRPr="00BD7537" w14:paraId="75E498DE" w14:textId="77777777" w:rsidTr="003A5F57">
        <w:tc>
          <w:tcPr>
            <w:tcW w:w="562" w:type="dxa"/>
            <w:tcBorders>
              <w:top w:val="nil"/>
              <w:left w:val="nil"/>
              <w:bottom w:val="nil"/>
              <w:right w:val="nil"/>
            </w:tcBorders>
          </w:tcPr>
          <w:p w14:paraId="6E8779C8" w14:textId="77777777" w:rsidR="004C2202" w:rsidRDefault="004C2202" w:rsidP="009B788D">
            <w:pPr>
              <w:rPr>
                <w:rFonts w:ascii="Times New Roman" w:hAnsi="Times New Roman" w:cs="Times New Roman"/>
                <w:sz w:val="24"/>
                <w:szCs w:val="24"/>
              </w:rPr>
            </w:pPr>
          </w:p>
        </w:tc>
        <w:tc>
          <w:tcPr>
            <w:tcW w:w="3695" w:type="dxa"/>
            <w:tcBorders>
              <w:top w:val="nil"/>
              <w:left w:val="nil"/>
              <w:bottom w:val="nil"/>
              <w:right w:val="nil"/>
            </w:tcBorders>
          </w:tcPr>
          <w:p w14:paraId="5E57CF96" w14:textId="77777777" w:rsidR="004C2202" w:rsidRPr="00285F6A" w:rsidRDefault="004C2202" w:rsidP="009B788D">
            <w:pPr>
              <w:rPr>
                <w:rFonts w:ascii="Times New Roman" w:eastAsia="Times New Roman" w:hAnsi="Times New Roman" w:cs="Times New Roman"/>
                <w:noProof/>
                <w:sz w:val="24"/>
                <w:szCs w:val="24"/>
                <w:lang w:eastAsia="en-GB"/>
              </w:rPr>
            </w:pPr>
          </w:p>
        </w:tc>
        <w:tc>
          <w:tcPr>
            <w:tcW w:w="5803" w:type="dxa"/>
            <w:tcBorders>
              <w:top w:val="nil"/>
              <w:left w:val="nil"/>
              <w:bottom w:val="nil"/>
              <w:right w:val="nil"/>
            </w:tcBorders>
          </w:tcPr>
          <w:p w14:paraId="27AF15B8" w14:textId="77777777" w:rsidR="00E27067" w:rsidRDefault="00E27067" w:rsidP="009B788D">
            <w:pPr>
              <w:rPr>
                <w:rFonts w:ascii="Times New Roman" w:hAnsi="Times New Roman" w:cs="Times New Roman"/>
                <w:b/>
                <w:bCs/>
                <w:sz w:val="24"/>
                <w:szCs w:val="24"/>
              </w:rPr>
            </w:pPr>
          </w:p>
          <w:p w14:paraId="69C396EA" w14:textId="3FAB3F7B" w:rsidR="004C2202" w:rsidRPr="00A31F93" w:rsidRDefault="00A31F93" w:rsidP="009B788D">
            <w:pPr>
              <w:rPr>
                <w:rFonts w:ascii="Times New Roman" w:hAnsi="Times New Roman" w:cs="Times New Roman"/>
                <w:b/>
                <w:bCs/>
                <w:sz w:val="24"/>
                <w:szCs w:val="24"/>
              </w:rPr>
            </w:pPr>
            <w:r w:rsidRPr="00A31F93">
              <w:rPr>
                <w:rFonts w:ascii="Times New Roman" w:hAnsi="Times New Roman" w:cs="Times New Roman"/>
                <w:b/>
                <w:bCs/>
                <w:sz w:val="24"/>
                <w:szCs w:val="24"/>
              </w:rPr>
              <w:t>List of Tables</w:t>
            </w:r>
          </w:p>
        </w:tc>
        <w:tc>
          <w:tcPr>
            <w:tcW w:w="708" w:type="dxa"/>
            <w:tcBorders>
              <w:top w:val="nil"/>
              <w:left w:val="nil"/>
              <w:bottom w:val="nil"/>
              <w:right w:val="nil"/>
            </w:tcBorders>
          </w:tcPr>
          <w:p w14:paraId="0F817EA7" w14:textId="77777777" w:rsidR="004C2202" w:rsidRPr="00BD7537" w:rsidRDefault="004C2202" w:rsidP="009B788D">
            <w:pPr>
              <w:rPr>
                <w:rFonts w:ascii="Times New Roman" w:hAnsi="Times New Roman" w:cs="Times New Roman"/>
              </w:rPr>
            </w:pPr>
          </w:p>
        </w:tc>
      </w:tr>
      <w:tr w:rsidR="004C2202" w:rsidRPr="00BD7537" w14:paraId="41C1B4CC" w14:textId="77777777" w:rsidTr="00EC32C9">
        <w:tc>
          <w:tcPr>
            <w:tcW w:w="562" w:type="dxa"/>
            <w:tcBorders>
              <w:top w:val="nil"/>
              <w:left w:val="nil"/>
              <w:bottom w:val="nil"/>
              <w:right w:val="nil"/>
            </w:tcBorders>
          </w:tcPr>
          <w:p w14:paraId="49153D8D" w14:textId="77777777" w:rsidR="004C2202" w:rsidRDefault="004C2202" w:rsidP="009B788D">
            <w:pPr>
              <w:rPr>
                <w:rFonts w:ascii="Times New Roman" w:hAnsi="Times New Roman" w:cs="Times New Roman"/>
                <w:sz w:val="24"/>
                <w:szCs w:val="24"/>
              </w:rPr>
            </w:pPr>
          </w:p>
        </w:tc>
        <w:tc>
          <w:tcPr>
            <w:tcW w:w="3695" w:type="dxa"/>
            <w:tcBorders>
              <w:top w:val="nil"/>
              <w:left w:val="nil"/>
              <w:bottom w:val="nil"/>
              <w:right w:val="nil"/>
            </w:tcBorders>
          </w:tcPr>
          <w:p w14:paraId="4EE72BC7" w14:textId="77777777" w:rsidR="004C2202" w:rsidRPr="00285F6A" w:rsidRDefault="004C2202" w:rsidP="009B788D">
            <w:pPr>
              <w:rPr>
                <w:rFonts w:ascii="Times New Roman" w:eastAsia="Times New Roman" w:hAnsi="Times New Roman" w:cs="Times New Roman"/>
                <w:noProof/>
                <w:sz w:val="24"/>
                <w:szCs w:val="24"/>
                <w:lang w:eastAsia="en-GB"/>
              </w:rPr>
            </w:pPr>
          </w:p>
        </w:tc>
        <w:tc>
          <w:tcPr>
            <w:tcW w:w="5803" w:type="dxa"/>
            <w:tcBorders>
              <w:top w:val="nil"/>
              <w:left w:val="nil"/>
              <w:bottom w:val="nil"/>
              <w:right w:val="nil"/>
            </w:tcBorders>
          </w:tcPr>
          <w:p w14:paraId="15875E2B" w14:textId="77777777" w:rsidR="004C2202" w:rsidRDefault="004C2202" w:rsidP="009B788D">
            <w:pPr>
              <w:rPr>
                <w:rFonts w:ascii="Times New Roman" w:hAnsi="Times New Roman" w:cs="Times New Roman"/>
              </w:rPr>
            </w:pPr>
          </w:p>
        </w:tc>
        <w:tc>
          <w:tcPr>
            <w:tcW w:w="708" w:type="dxa"/>
            <w:tcBorders>
              <w:top w:val="nil"/>
              <w:left w:val="nil"/>
              <w:bottom w:val="nil"/>
              <w:right w:val="nil"/>
            </w:tcBorders>
          </w:tcPr>
          <w:p w14:paraId="0534482E" w14:textId="77777777" w:rsidR="004C2202" w:rsidRPr="00BD7537" w:rsidRDefault="004C2202" w:rsidP="009B788D">
            <w:pPr>
              <w:rPr>
                <w:rFonts w:ascii="Times New Roman" w:hAnsi="Times New Roman" w:cs="Times New Roman"/>
              </w:rPr>
            </w:pPr>
          </w:p>
        </w:tc>
      </w:tr>
      <w:tr w:rsidR="00E43281" w:rsidRPr="00BD7537" w14:paraId="76D386FD" w14:textId="77777777" w:rsidTr="00EC32C9">
        <w:tc>
          <w:tcPr>
            <w:tcW w:w="562" w:type="dxa"/>
            <w:tcBorders>
              <w:top w:val="nil"/>
              <w:left w:val="nil"/>
              <w:bottom w:val="nil"/>
              <w:right w:val="nil"/>
            </w:tcBorders>
          </w:tcPr>
          <w:p w14:paraId="2B668B99" w14:textId="2BEE84EF" w:rsidR="00E43281" w:rsidRDefault="00E43281" w:rsidP="00E43281">
            <w:pPr>
              <w:rPr>
                <w:rFonts w:ascii="Times New Roman" w:hAnsi="Times New Roman" w:cs="Times New Roman"/>
                <w:sz w:val="24"/>
                <w:szCs w:val="24"/>
              </w:rPr>
            </w:pPr>
            <w:r>
              <w:rPr>
                <w:rFonts w:ascii="Times New Roman" w:hAnsi="Times New Roman" w:cs="Times New Roman"/>
                <w:sz w:val="24"/>
                <w:szCs w:val="24"/>
              </w:rPr>
              <w:t>1</w:t>
            </w:r>
          </w:p>
        </w:tc>
        <w:tc>
          <w:tcPr>
            <w:tcW w:w="3695" w:type="dxa"/>
            <w:tcBorders>
              <w:top w:val="nil"/>
              <w:left w:val="nil"/>
              <w:bottom w:val="nil"/>
              <w:right w:val="nil"/>
            </w:tcBorders>
          </w:tcPr>
          <w:p w14:paraId="180632F1" w14:textId="58D9536E" w:rsidR="00E43281" w:rsidRPr="00285F6A" w:rsidRDefault="00E43281" w:rsidP="00E43281">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Summary of the study’s contributions </w:t>
            </w:r>
          </w:p>
        </w:tc>
        <w:tc>
          <w:tcPr>
            <w:tcW w:w="5803" w:type="dxa"/>
            <w:tcBorders>
              <w:top w:val="nil"/>
              <w:left w:val="nil"/>
              <w:bottom w:val="nil"/>
              <w:right w:val="nil"/>
            </w:tcBorders>
          </w:tcPr>
          <w:p w14:paraId="40DD1088" w14:textId="70AA6493" w:rsidR="00E43281" w:rsidRDefault="00E43281" w:rsidP="00E43281">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7BD00818" w14:textId="276EFAF8" w:rsidR="00E43281" w:rsidRDefault="00E43281" w:rsidP="00E43281">
            <w:pPr>
              <w:rPr>
                <w:rFonts w:ascii="Times New Roman" w:hAnsi="Times New Roman" w:cs="Times New Roman"/>
              </w:rPr>
            </w:pPr>
            <w:r>
              <w:rPr>
                <w:rFonts w:ascii="Times New Roman" w:hAnsi="Times New Roman" w:cs="Times New Roman"/>
              </w:rPr>
              <w:t>2</w:t>
            </w:r>
            <w:r w:rsidR="00E3562A">
              <w:rPr>
                <w:rFonts w:ascii="Times New Roman" w:hAnsi="Times New Roman" w:cs="Times New Roman"/>
              </w:rPr>
              <w:t>9</w:t>
            </w:r>
          </w:p>
        </w:tc>
      </w:tr>
      <w:tr w:rsidR="00E43281" w:rsidRPr="00BD7537" w14:paraId="52906593" w14:textId="77777777" w:rsidTr="00EC32C9">
        <w:tc>
          <w:tcPr>
            <w:tcW w:w="562" w:type="dxa"/>
            <w:tcBorders>
              <w:top w:val="nil"/>
              <w:left w:val="nil"/>
              <w:bottom w:val="nil"/>
              <w:right w:val="nil"/>
            </w:tcBorders>
          </w:tcPr>
          <w:p w14:paraId="68044095" w14:textId="18B085DD" w:rsidR="00E43281" w:rsidRPr="00BD7537" w:rsidRDefault="00E43281" w:rsidP="00E43281">
            <w:pPr>
              <w:rPr>
                <w:rFonts w:ascii="Times New Roman" w:hAnsi="Times New Roman" w:cs="Times New Roman"/>
                <w:sz w:val="24"/>
                <w:szCs w:val="24"/>
              </w:rPr>
            </w:pPr>
            <w:bookmarkStart w:id="1" w:name="_Hlk147343141"/>
            <w:r>
              <w:rPr>
                <w:rFonts w:ascii="Times New Roman" w:hAnsi="Times New Roman" w:cs="Times New Roman"/>
                <w:sz w:val="24"/>
                <w:szCs w:val="24"/>
              </w:rPr>
              <w:t>2</w:t>
            </w:r>
          </w:p>
        </w:tc>
        <w:tc>
          <w:tcPr>
            <w:tcW w:w="3695" w:type="dxa"/>
            <w:tcBorders>
              <w:top w:val="nil"/>
              <w:left w:val="nil"/>
              <w:bottom w:val="nil"/>
              <w:right w:val="nil"/>
            </w:tcBorders>
          </w:tcPr>
          <w:p w14:paraId="062E8726" w14:textId="22B01063" w:rsidR="00E43281" w:rsidRPr="00BD7537" w:rsidRDefault="00E3562A" w:rsidP="00E43281">
            <w:pPr>
              <w:rPr>
                <w:rFonts w:ascii="Times New Roman" w:hAnsi="Times New Roman" w:cs="Times New Roman"/>
                <w:sz w:val="24"/>
                <w:szCs w:val="24"/>
              </w:rPr>
            </w:pPr>
            <w:r w:rsidRPr="00E3562A">
              <w:rPr>
                <w:rFonts w:ascii="Times New Roman" w:eastAsia="Times New Roman" w:hAnsi="Times New Roman" w:cs="Times New Roman"/>
                <w:noProof/>
                <w:sz w:val="24"/>
                <w:szCs w:val="24"/>
                <w:lang w:eastAsia="en-GB"/>
              </w:rPr>
              <w:t xml:space="preserve">Search Strings for the literature review  </w:t>
            </w:r>
          </w:p>
        </w:tc>
        <w:tc>
          <w:tcPr>
            <w:tcW w:w="5803" w:type="dxa"/>
            <w:tcBorders>
              <w:top w:val="nil"/>
              <w:left w:val="nil"/>
              <w:bottom w:val="nil"/>
              <w:right w:val="nil"/>
            </w:tcBorders>
          </w:tcPr>
          <w:p w14:paraId="42036950" w14:textId="77777777" w:rsidR="00E43281" w:rsidRPr="00BD7537" w:rsidRDefault="00E43281" w:rsidP="00E43281">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7EBF7DC" w14:textId="36274BB1" w:rsidR="00E43281" w:rsidRPr="00BD7537" w:rsidRDefault="00E43281" w:rsidP="00E43281">
            <w:pPr>
              <w:rPr>
                <w:rFonts w:ascii="Times New Roman" w:hAnsi="Times New Roman" w:cs="Times New Roman"/>
              </w:rPr>
            </w:pPr>
            <w:r>
              <w:rPr>
                <w:rFonts w:ascii="Times New Roman" w:hAnsi="Times New Roman" w:cs="Times New Roman"/>
              </w:rPr>
              <w:t>3</w:t>
            </w:r>
            <w:r w:rsidR="00E3562A">
              <w:rPr>
                <w:rFonts w:ascii="Times New Roman" w:hAnsi="Times New Roman" w:cs="Times New Roman"/>
              </w:rPr>
              <w:t>9</w:t>
            </w:r>
          </w:p>
        </w:tc>
      </w:tr>
      <w:tr w:rsidR="00E43281" w:rsidRPr="00BD7537" w14:paraId="3B2FA956" w14:textId="77777777" w:rsidTr="00EC32C9">
        <w:tc>
          <w:tcPr>
            <w:tcW w:w="562" w:type="dxa"/>
            <w:tcBorders>
              <w:top w:val="nil"/>
              <w:left w:val="nil"/>
              <w:bottom w:val="nil"/>
              <w:right w:val="nil"/>
            </w:tcBorders>
          </w:tcPr>
          <w:p w14:paraId="08958A27" w14:textId="7766AAC1" w:rsidR="00E43281" w:rsidRPr="00BD7537" w:rsidRDefault="00E43281" w:rsidP="00E43281">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3695" w:type="dxa"/>
            <w:tcBorders>
              <w:top w:val="nil"/>
              <w:left w:val="nil"/>
              <w:bottom w:val="nil"/>
              <w:right w:val="nil"/>
            </w:tcBorders>
          </w:tcPr>
          <w:p w14:paraId="6BE1B429" w14:textId="6BA0580E" w:rsidR="00E43281" w:rsidRPr="00BD7537" w:rsidRDefault="00E43281" w:rsidP="00E43281">
            <w:pPr>
              <w:pStyle w:val="ListParagraph"/>
              <w:ind w:left="0"/>
              <w:rPr>
                <w:rFonts w:ascii="Times New Roman" w:hAnsi="Times New Roman" w:cs="Times New Roman"/>
                <w:sz w:val="24"/>
                <w:szCs w:val="24"/>
              </w:rPr>
            </w:pPr>
            <w:r w:rsidRPr="00656661">
              <w:rPr>
                <w:rFonts w:asciiTheme="majorBidi" w:hAnsiTheme="majorBidi" w:cstheme="majorBidi"/>
                <w:sz w:val="24"/>
                <w:szCs w:val="24"/>
              </w:rPr>
              <w:t>Difference between CSR, social marketing, and cause-related marketing</w:t>
            </w:r>
          </w:p>
        </w:tc>
        <w:tc>
          <w:tcPr>
            <w:tcW w:w="5803" w:type="dxa"/>
            <w:tcBorders>
              <w:top w:val="nil"/>
              <w:left w:val="nil"/>
              <w:bottom w:val="nil"/>
              <w:right w:val="nil"/>
            </w:tcBorders>
          </w:tcPr>
          <w:p w14:paraId="4CC9795D" w14:textId="77777777" w:rsidR="00E43281" w:rsidRPr="00BD7537" w:rsidRDefault="00E43281" w:rsidP="00E43281">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841B0FC" w14:textId="25C48325" w:rsidR="00E43281" w:rsidRPr="00BD7537" w:rsidRDefault="00E3562A" w:rsidP="00E43281">
            <w:pPr>
              <w:rPr>
                <w:rFonts w:ascii="Times New Roman" w:hAnsi="Times New Roman" w:cs="Times New Roman"/>
              </w:rPr>
            </w:pPr>
            <w:r>
              <w:rPr>
                <w:rFonts w:ascii="Times New Roman" w:hAnsi="Times New Roman" w:cs="Times New Roman"/>
              </w:rPr>
              <w:t>41</w:t>
            </w:r>
          </w:p>
        </w:tc>
      </w:tr>
      <w:tr w:rsidR="00E43281" w:rsidRPr="00BD7537" w14:paraId="2BF2AFA4" w14:textId="77777777" w:rsidTr="00EC32C9">
        <w:tc>
          <w:tcPr>
            <w:tcW w:w="562" w:type="dxa"/>
            <w:tcBorders>
              <w:top w:val="nil"/>
              <w:left w:val="nil"/>
              <w:bottom w:val="nil"/>
              <w:right w:val="nil"/>
            </w:tcBorders>
          </w:tcPr>
          <w:p w14:paraId="446EB44D" w14:textId="577183AA" w:rsidR="00E43281" w:rsidRDefault="00E43281" w:rsidP="00E43281">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3695" w:type="dxa"/>
            <w:tcBorders>
              <w:top w:val="nil"/>
              <w:left w:val="nil"/>
              <w:bottom w:val="nil"/>
              <w:right w:val="nil"/>
            </w:tcBorders>
          </w:tcPr>
          <w:p w14:paraId="6607CC9B" w14:textId="2B31568F" w:rsidR="00E43281" w:rsidRPr="00656661" w:rsidRDefault="00AC2233" w:rsidP="00E43281">
            <w:pPr>
              <w:pStyle w:val="ListParagraph"/>
              <w:ind w:left="0"/>
              <w:rPr>
                <w:rFonts w:asciiTheme="majorBidi" w:hAnsiTheme="majorBidi" w:cstheme="majorBidi"/>
                <w:sz w:val="24"/>
                <w:szCs w:val="24"/>
              </w:rPr>
            </w:pPr>
            <w:r>
              <w:rPr>
                <w:rFonts w:asciiTheme="majorBidi" w:hAnsiTheme="majorBidi" w:cstheme="majorBidi"/>
                <w:sz w:val="24"/>
                <w:szCs w:val="24"/>
              </w:rPr>
              <w:t>Impact of CSR and non-CSR communication for the company or brand</w:t>
            </w:r>
          </w:p>
        </w:tc>
        <w:tc>
          <w:tcPr>
            <w:tcW w:w="5803" w:type="dxa"/>
            <w:tcBorders>
              <w:top w:val="nil"/>
              <w:left w:val="nil"/>
              <w:bottom w:val="nil"/>
              <w:right w:val="nil"/>
            </w:tcBorders>
          </w:tcPr>
          <w:p w14:paraId="54413FF5" w14:textId="346320E1" w:rsidR="00E43281" w:rsidRDefault="00AC2233" w:rsidP="00E43281">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63F7830" w14:textId="5AA92670" w:rsidR="00E43281" w:rsidRDefault="00AC2233" w:rsidP="00E43281">
            <w:pPr>
              <w:rPr>
                <w:rFonts w:ascii="Times New Roman" w:hAnsi="Times New Roman" w:cs="Times New Roman"/>
              </w:rPr>
            </w:pPr>
            <w:r>
              <w:rPr>
                <w:rFonts w:ascii="Times New Roman" w:hAnsi="Times New Roman" w:cs="Times New Roman"/>
              </w:rPr>
              <w:t>4</w:t>
            </w:r>
            <w:r w:rsidR="00E3562A">
              <w:rPr>
                <w:rFonts w:ascii="Times New Roman" w:hAnsi="Times New Roman" w:cs="Times New Roman"/>
              </w:rPr>
              <w:t>8</w:t>
            </w:r>
          </w:p>
        </w:tc>
      </w:tr>
      <w:tr w:rsidR="0095238A" w:rsidRPr="00BD7537" w14:paraId="3BA08079" w14:textId="77777777" w:rsidTr="00EC32C9">
        <w:tc>
          <w:tcPr>
            <w:tcW w:w="562" w:type="dxa"/>
            <w:tcBorders>
              <w:top w:val="nil"/>
              <w:left w:val="nil"/>
              <w:bottom w:val="nil"/>
              <w:right w:val="nil"/>
            </w:tcBorders>
          </w:tcPr>
          <w:p w14:paraId="3386F092" w14:textId="3EA052BE" w:rsidR="0095238A" w:rsidRDefault="0095238A" w:rsidP="0095238A">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3695" w:type="dxa"/>
            <w:tcBorders>
              <w:top w:val="nil"/>
              <w:left w:val="nil"/>
              <w:bottom w:val="nil"/>
              <w:right w:val="nil"/>
            </w:tcBorders>
          </w:tcPr>
          <w:p w14:paraId="5AC7D107" w14:textId="279308C9" w:rsidR="0095238A" w:rsidRPr="00656661" w:rsidRDefault="0095238A" w:rsidP="0095238A">
            <w:pPr>
              <w:pStyle w:val="ListParagraph"/>
              <w:ind w:left="0"/>
              <w:rPr>
                <w:rFonts w:asciiTheme="majorBidi" w:hAnsiTheme="majorBidi" w:cstheme="majorBidi"/>
                <w:sz w:val="24"/>
                <w:szCs w:val="24"/>
              </w:rPr>
            </w:pPr>
            <w:r>
              <w:rPr>
                <w:rFonts w:asciiTheme="majorBidi" w:hAnsiTheme="majorBidi" w:cstheme="majorBidi"/>
                <w:sz w:val="24"/>
                <w:szCs w:val="24"/>
              </w:rPr>
              <w:t>Studies from literature examining the impact of CSR on consumer behaviour</w:t>
            </w:r>
          </w:p>
        </w:tc>
        <w:tc>
          <w:tcPr>
            <w:tcW w:w="5803" w:type="dxa"/>
            <w:tcBorders>
              <w:top w:val="nil"/>
              <w:left w:val="nil"/>
              <w:bottom w:val="nil"/>
              <w:right w:val="nil"/>
            </w:tcBorders>
          </w:tcPr>
          <w:p w14:paraId="3EAAEF08" w14:textId="4EC4BE9E" w:rsidR="0095238A"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3EA0D88D" w14:textId="5D1A9F79" w:rsidR="0095238A" w:rsidRDefault="0095238A" w:rsidP="0095238A">
            <w:pPr>
              <w:rPr>
                <w:rFonts w:ascii="Times New Roman" w:hAnsi="Times New Roman" w:cs="Times New Roman"/>
              </w:rPr>
            </w:pPr>
            <w:r>
              <w:rPr>
                <w:rFonts w:ascii="Times New Roman" w:hAnsi="Times New Roman" w:cs="Times New Roman"/>
              </w:rPr>
              <w:t>52</w:t>
            </w:r>
          </w:p>
        </w:tc>
      </w:tr>
      <w:tr w:rsidR="0095238A" w:rsidRPr="00BD7537" w14:paraId="379F9AEC" w14:textId="77777777" w:rsidTr="00EC32C9">
        <w:tc>
          <w:tcPr>
            <w:tcW w:w="562" w:type="dxa"/>
            <w:tcBorders>
              <w:top w:val="nil"/>
              <w:left w:val="nil"/>
              <w:bottom w:val="nil"/>
              <w:right w:val="nil"/>
            </w:tcBorders>
          </w:tcPr>
          <w:p w14:paraId="3F6728C8" w14:textId="0107108D" w:rsidR="0095238A" w:rsidRDefault="0095238A" w:rsidP="0095238A">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3695" w:type="dxa"/>
            <w:tcBorders>
              <w:top w:val="nil"/>
              <w:left w:val="nil"/>
              <w:bottom w:val="nil"/>
              <w:right w:val="nil"/>
            </w:tcBorders>
          </w:tcPr>
          <w:p w14:paraId="73945B8B" w14:textId="33C450DB" w:rsidR="0095238A" w:rsidRDefault="0095238A" w:rsidP="0095238A">
            <w:pPr>
              <w:pStyle w:val="ListParagraph"/>
              <w:ind w:left="0"/>
              <w:rPr>
                <w:rFonts w:asciiTheme="majorBidi" w:hAnsiTheme="majorBidi" w:cstheme="majorBidi"/>
                <w:sz w:val="24"/>
                <w:szCs w:val="24"/>
              </w:rPr>
            </w:pPr>
            <w:r w:rsidRPr="00656661">
              <w:rPr>
                <w:rFonts w:asciiTheme="majorBidi" w:hAnsiTheme="majorBidi" w:cstheme="majorBidi"/>
                <w:sz w:val="24"/>
                <w:szCs w:val="24"/>
              </w:rPr>
              <w:t xml:space="preserve">Search Strings for the literature review  </w:t>
            </w:r>
          </w:p>
        </w:tc>
        <w:tc>
          <w:tcPr>
            <w:tcW w:w="5803" w:type="dxa"/>
            <w:tcBorders>
              <w:top w:val="nil"/>
              <w:left w:val="nil"/>
              <w:bottom w:val="nil"/>
              <w:right w:val="nil"/>
            </w:tcBorders>
          </w:tcPr>
          <w:p w14:paraId="1D88CA00" w14:textId="4F61A096" w:rsidR="0095238A"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23BA280F" w14:textId="4FC58943" w:rsidR="0095238A" w:rsidRDefault="0095238A" w:rsidP="0095238A">
            <w:pPr>
              <w:rPr>
                <w:rFonts w:ascii="Times New Roman" w:hAnsi="Times New Roman" w:cs="Times New Roman"/>
              </w:rPr>
            </w:pPr>
            <w:r>
              <w:rPr>
                <w:rFonts w:ascii="Times New Roman" w:hAnsi="Times New Roman" w:cs="Times New Roman"/>
              </w:rPr>
              <w:t>85</w:t>
            </w:r>
          </w:p>
        </w:tc>
      </w:tr>
      <w:tr w:rsidR="0095238A" w:rsidRPr="00BD7537" w14:paraId="23AF98FB" w14:textId="77777777" w:rsidTr="00EC32C9">
        <w:trPr>
          <w:trHeight w:val="287"/>
        </w:trPr>
        <w:tc>
          <w:tcPr>
            <w:tcW w:w="562" w:type="dxa"/>
            <w:tcBorders>
              <w:top w:val="nil"/>
              <w:left w:val="nil"/>
              <w:bottom w:val="nil"/>
              <w:right w:val="nil"/>
            </w:tcBorders>
          </w:tcPr>
          <w:p w14:paraId="3A72EB97" w14:textId="77777777" w:rsidR="0095238A" w:rsidRPr="00BD7537" w:rsidRDefault="0095238A" w:rsidP="0095238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7</w:t>
            </w:r>
          </w:p>
        </w:tc>
        <w:tc>
          <w:tcPr>
            <w:tcW w:w="3695" w:type="dxa"/>
            <w:tcBorders>
              <w:top w:val="nil"/>
              <w:left w:val="nil"/>
              <w:bottom w:val="nil"/>
              <w:right w:val="nil"/>
            </w:tcBorders>
          </w:tcPr>
          <w:p w14:paraId="65C4C6D0" w14:textId="2C50FB7B" w:rsidR="0095238A" w:rsidRPr="00AC2233" w:rsidRDefault="0095238A" w:rsidP="0095238A">
            <w:pPr>
              <w:pStyle w:val="ListParagraph"/>
              <w:ind w:left="0"/>
              <w:rPr>
                <w:rFonts w:asciiTheme="majorBidi" w:hAnsiTheme="majorBidi" w:cstheme="majorBidi"/>
                <w:b/>
                <w:bCs/>
                <w:sz w:val="24"/>
                <w:szCs w:val="24"/>
              </w:rPr>
            </w:pPr>
            <w:r w:rsidRPr="00AC2233">
              <w:rPr>
                <w:rFonts w:asciiTheme="majorBidi" w:hAnsiTheme="majorBidi" w:cstheme="majorBidi"/>
                <w:sz w:val="24"/>
                <w:szCs w:val="24"/>
              </w:rPr>
              <w:t>Summary of articles providing evidence on the benefits of CSR to companies in the Middle East</w:t>
            </w:r>
          </w:p>
        </w:tc>
        <w:tc>
          <w:tcPr>
            <w:tcW w:w="5803" w:type="dxa"/>
            <w:tcBorders>
              <w:top w:val="nil"/>
              <w:left w:val="nil"/>
              <w:bottom w:val="nil"/>
              <w:right w:val="nil"/>
            </w:tcBorders>
          </w:tcPr>
          <w:p w14:paraId="490BF3ED"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A99A72F" w14:textId="541F2B1F" w:rsidR="0095238A" w:rsidRPr="00BD7537" w:rsidRDefault="0095238A" w:rsidP="0095238A">
            <w:pPr>
              <w:rPr>
                <w:rFonts w:ascii="Times New Roman" w:hAnsi="Times New Roman" w:cs="Times New Roman"/>
              </w:rPr>
            </w:pPr>
            <w:r>
              <w:rPr>
                <w:rFonts w:ascii="Times New Roman" w:hAnsi="Times New Roman" w:cs="Times New Roman"/>
              </w:rPr>
              <w:t>92</w:t>
            </w:r>
          </w:p>
        </w:tc>
      </w:tr>
      <w:tr w:rsidR="0095238A" w:rsidRPr="00BD7537" w14:paraId="3723CFE4" w14:textId="77777777" w:rsidTr="00EC32C9">
        <w:tc>
          <w:tcPr>
            <w:tcW w:w="562" w:type="dxa"/>
            <w:tcBorders>
              <w:top w:val="nil"/>
              <w:left w:val="nil"/>
              <w:bottom w:val="nil"/>
              <w:right w:val="nil"/>
            </w:tcBorders>
          </w:tcPr>
          <w:p w14:paraId="103E9E07" w14:textId="73EB3F9B" w:rsidR="0095238A" w:rsidRDefault="0095238A" w:rsidP="0095238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8</w:t>
            </w:r>
          </w:p>
        </w:tc>
        <w:tc>
          <w:tcPr>
            <w:tcW w:w="3695" w:type="dxa"/>
            <w:tcBorders>
              <w:top w:val="nil"/>
              <w:left w:val="nil"/>
              <w:bottom w:val="nil"/>
              <w:right w:val="nil"/>
            </w:tcBorders>
          </w:tcPr>
          <w:p w14:paraId="4D412B43" w14:textId="4FE07FCD" w:rsidR="0095238A" w:rsidRPr="00435067" w:rsidRDefault="0095238A" w:rsidP="0095238A">
            <w:pPr>
              <w:pStyle w:val="ListParagraph"/>
              <w:shd w:val="clear" w:color="auto" w:fill="FFFFFF"/>
              <w:ind w:left="0"/>
              <w:rPr>
                <w:rFonts w:asciiTheme="majorBidi" w:hAnsiTheme="majorBidi" w:cstheme="majorBidi"/>
                <w:color w:val="2E2E2E"/>
                <w:sz w:val="24"/>
                <w:szCs w:val="24"/>
              </w:rPr>
            </w:pPr>
            <w:r w:rsidRPr="00AF5757">
              <w:rPr>
                <w:rFonts w:asciiTheme="majorBidi" w:hAnsiTheme="majorBidi" w:cstheme="majorBidi"/>
                <w:color w:val="2E2E2E"/>
                <w:sz w:val="24"/>
                <w:szCs w:val="24"/>
              </w:rPr>
              <w:t>Summary of main theories discussed in this section</w:t>
            </w:r>
          </w:p>
        </w:tc>
        <w:tc>
          <w:tcPr>
            <w:tcW w:w="5803" w:type="dxa"/>
            <w:tcBorders>
              <w:top w:val="nil"/>
              <w:left w:val="nil"/>
              <w:bottom w:val="nil"/>
              <w:right w:val="nil"/>
            </w:tcBorders>
          </w:tcPr>
          <w:p w14:paraId="5825966F" w14:textId="77777777" w:rsidR="0095238A" w:rsidRDefault="0095238A" w:rsidP="0095238A">
            <w:pPr>
              <w:rPr>
                <w:rFonts w:ascii="Times New Roman" w:hAnsi="Times New Roman" w:cs="Times New Roman"/>
              </w:rPr>
            </w:pPr>
          </w:p>
        </w:tc>
        <w:tc>
          <w:tcPr>
            <w:tcW w:w="708" w:type="dxa"/>
            <w:tcBorders>
              <w:top w:val="nil"/>
              <w:left w:val="nil"/>
              <w:bottom w:val="nil"/>
              <w:right w:val="nil"/>
            </w:tcBorders>
          </w:tcPr>
          <w:p w14:paraId="35090C26" w14:textId="36155379" w:rsidR="0095238A" w:rsidRDefault="0095238A" w:rsidP="0095238A">
            <w:pPr>
              <w:rPr>
                <w:rFonts w:ascii="Times New Roman" w:hAnsi="Times New Roman" w:cs="Times New Roman"/>
              </w:rPr>
            </w:pPr>
            <w:r>
              <w:rPr>
                <w:rFonts w:ascii="Times New Roman" w:hAnsi="Times New Roman" w:cs="Times New Roman"/>
              </w:rPr>
              <w:t>106</w:t>
            </w:r>
          </w:p>
        </w:tc>
      </w:tr>
      <w:tr w:rsidR="0095238A" w:rsidRPr="00BD7537" w14:paraId="47F5A851" w14:textId="77777777" w:rsidTr="00EC32C9">
        <w:tc>
          <w:tcPr>
            <w:tcW w:w="562" w:type="dxa"/>
            <w:tcBorders>
              <w:top w:val="nil"/>
              <w:left w:val="nil"/>
              <w:bottom w:val="nil"/>
              <w:right w:val="nil"/>
            </w:tcBorders>
          </w:tcPr>
          <w:p w14:paraId="228CA609" w14:textId="371F2341" w:rsidR="0095238A" w:rsidRPr="00BD7537" w:rsidRDefault="0095238A" w:rsidP="0095238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9</w:t>
            </w:r>
          </w:p>
        </w:tc>
        <w:tc>
          <w:tcPr>
            <w:tcW w:w="3695" w:type="dxa"/>
            <w:tcBorders>
              <w:top w:val="nil"/>
              <w:left w:val="nil"/>
              <w:bottom w:val="nil"/>
              <w:right w:val="nil"/>
            </w:tcBorders>
          </w:tcPr>
          <w:p w14:paraId="08CA5A60" w14:textId="77777777" w:rsidR="0095238A" w:rsidRPr="00477BB4" w:rsidRDefault="0095238A" w:rsidP="0095238A">
            <w:pPr>
              <w:pStyle w:val="ListParagraph"/>
              <w:shd w:val="clear" w:color="auto" w:fill="FFFFFF"/>
              <w:ind w:left="0"/>
              <w:rPr>
                <w:rFonts w:ascii="Times New Roman" w:hAnsi="Times New Roman" w:cs="Times New Roman"/>
                <w:sz w:val="24"/>
                <w:szCs w:val="24"/>
              </w:rPr>
            </w:pPr>
            <w:r w:rsidRPr="00435067">
              <w:rPr>
                <w:rFonts w:asciiTheme="majorBidi" w:hAnsiTheme="majorBidi" w:cstheme="majorBidi"/>
                <w:color w:val="2E2E2E"/>
                <w:sz w:val="24"/>
                <w:szCs w:val="24"/>
              </w:rPr>
              <w:t>The application of SOR in this research study</w:t>
            </w:r>
          </w:p>
        </w:tc>
        <w:tc>
          <w:tcPr>
            <w:tcW w:w="5803" w:type="dxa"/>
            <w:tcBorders>
              <w:top w:val="nil"/>
              <w:left w:val="nil"/>
              <w:bottom w:val="nil"/>
              <w:right w:val="nil"/>
            </w:tcBorders>
          </w:tcPr>
          <w:p w14:paraId="55F9C3B4"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9D5BE62" w14:textId="571864C2" w:rsidR="0095238A" w:rsidRPr="00BD7537" w:rsidRDefault="0095238A" w:rsidP="0095238A">
            <w:pPr>
              <w:rPr>
                <w:rFonts w:ascii="Times New Roman" w:hAnsi="Times New Roman" w:cs="Times New Roman"/>
              </w:rPr>
            </w:pPr>
            <w:r>
              <w:rPr>
                <w:rFonts w:ascii="Times New Roman" w:hAnsi="Times New Roman" w:cs="Times New Roman"/>
              </w:rPr>
              <w:t>120</w:t>
            </w:r>
          </w:p>
        </w:tc>
      </w:tr>
      <w:tr w:rsidR="0095238A" w:rsidRPr="00BD7537" w14:paraId="6575818E" w14:textId="77777777" w:rsidTr="00EC32C9">
        <w:tc>
          <w:tcPr>
            <w:tcW w:w="562" w:type="dxa"/>
            <w:tcBorders>
              <w:top w:val="nil"/>
              <w:left w:val="nil"/>
              <w:bottom w:val="nil"/>
              <w:right w:val="nil"/>
            </w:tcBorders>
          </w:tcPr>
          <w:p w14:paraId="364708CA" w14:textId="7AB614FF" w:rsidR="0095238A" w:rsidRPr="00BD7537" w:rsidRDefault="0095238A" w:rsidP="0095238A">
            <w:pPr>
              <w:pStyle w:val="ListParagraph"/>
              <w:shd w:val="clear" w:color="auto" w:fill="FFFFFF"/>
              <w:ind w:left="0"/>
              <w:rPr>
                <w:rFonts w:ascii="Times New Roman" w:hAnsi="Times New Roman" w:cs="Times New Roman"/>
                <w:sz w:val="24"/>
                <w:szCs w:val="24"/>
              </w:rPr>
            </w:pPr>
            <w:r>
              <w:rPr>
                <w:rFonts w:ascii="Times New Roman" w:hAnsi="Times New Roman" w:cs="Times New Roman"/>
                <w:sz w:val="24"/>
                <w:szCs w:val="24"/>
              </w:rPr>
              <w:t>10</w:t>
            </w:r>
          </w:p>
        </w:tc>
        <w:tc>
          <w:tcPr>
            <w:tcW w:w="3695" w:type="dxa"/>
            <w:tcBorders>
              <w:top w:val="nil"/>
              <w:left w:val="nil"/>
              <w:bottom w:val="nil"/>
              <w:right w:val="nil"/>
            </w:tcBorders>
          </w:tcPr>
          <w:p w14:paraId="5E28ED4C" w14:textId="77777777" w:rsidR="0095238A" w:rsidRPr="00BD7537" w:rsidRDefault="0095238A" w:rsidP="0095238A">
            <w:pPr>
              <w:pStyle w:val="ListParagraph"/>
              <w:shd w:val="clear" w:color="auto" w:fill="FFFFFF"/>
              <w:ind w:left="0"/>
              <w:rPr>
                <w:rFonts w:ascii="Times New Roman" w:hAnsi="Times New Roman" w:cs="Times New Roman"/>
              </w:rPr>
            </w:pPr>
            <w:r>
              <w:rPr>
                <w:rFonts w:asciiTheme="majorBidi" w:hAnsiTheme="majorBidi" w:cstheme="majorBidi"/>
                <w:sz w:val="24"/>
                <w:szCs w:val="24"/>
              </w:rPr>
              <w:t>A summary of conceptual and theoretical frameworks applied in this research</w:t>
            </w:r>
          </w:p>
        </w:tc>
        <w:tc>
          <w:tcPr>
            <w:tcW w:w="5803" w:type="dxa"/>
            <w:tcBorders>
              <w:top w:val="nil"/>
              <w:left w:val="nil"/>
              <w:bottom w:val="nil"/>
              <w:right w:val="nil"/>
            </w:tcBorders>
          </w:tcPr>
          <w:p w14:paraId="63245420"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03BC2F76" w14:textId="627A430D" w:rsidR="0095238A" w:rsidRPr="00BD7537" w:rsidRDefault="0095238A" w:rsidP="0095238A">
            <w:pPr>
              <w:rPr>
                <w:rFonts w:ascii="Times New Roman" w:hAnsi="Times New Roman" w:cs="Times New Roman"/>
              </w:rPr>
            </w:pPr>
            <w:r>
              <w:rPr>
                <w:rFonts w:ascii="Times New Roman" w:hAnsi="Times New Roman" w:cs="Times New Roman"/>
              </w:rPr>
              <w:t>130</w:t>
            </w:r>
          </w:p>
        </w:tc>
      </w:tr>
      <w:tr w:rsidR="0095238A" w:rsidRPr="00BD7537" w14:paraId="4032D139" w14:textId="77777777" w:rsidTr="00EC32C9">
        <w:tc>
          <w:tcPr>
            <w:tcW w:w="562" w:type="dxa"/>
            <w:tcBorders>
              <w:top w:val="nil"/>
              <w:left w:val="nil"/>
              <w:bottom w:val="nil"/>
              <w:right w:val="nil"/>
            </w:tcBorders>
          </w:tcPr>
          <w:p w14:paraId="67F80D8F" w14:textId="062FE83C"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11</w:t>
            </w:r>
          </w:p>
        </w:tc>
        <w:tc>
          <w:tcPr>
            <w:tcW w:w="3695" w:type="dxa"/>
            <w:tcBorders>
              <w:top w:val="nil"/>
              <w:left w:val="nil"/>
              <w:bottom w:val="nil"/>
              <w:right w:val="nil"/>
            </w:tcBorders>
          </w:tcPr>
          <w:p w14:paraId="322D1326" w14:textId="77777777" w:rsidR="0095238A" w:rsidRPr="00BD7537" w:rsidRDefault="0095238A" w:rsidP="0095238A">
            <w:pPr>
              <w:rPr>
                <w:rFonts w:ascii="Times New Roman" w:hAnsi="Times New Roman" w:cs="Times New Roman"/>
                <w:sz w:val="24"/>
                <w:szCs w:val="24"/>
              </w:rPr>
            </w:pPr>
            <w:r w:rsidRPr="007A225E">
              <w:rPr>
                <w:rFonts w:asciiTheme="majorBidi" w:hAnsiTheme="majorBidi" w:cstheme="majorBidi"/>
                <w:sz w:val="24"/>
                <w:szCs w:val="24"/>
                <w:lang w:val="en-US"/>
              </w:rPr>
              <w:t>A summary of this study’s hypotheses and research questions</w:t>
            </w:r>
          </w:p>
        </w:tc>
        <w:tc>
          <w:tcPr>
            <w:tcW w:w="5803" w:type="dxa"/>
            <w:tcBorders>
              <w:top w:val="nil"/>
              <w:left w:val="nil"/>
              <w:bottom w:val="nil"/>
              <w:right w:val="nil"/>
            </w:tcBorders>
          </w:tcPr>
          <w:p w14:paraId="06445760"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06D8A4B1" w14:textId="5A834E2A" w:rsidR="0095238A" w:rsidRPr="00BD7537" w:rsidRDefault="0095238A" w:rsidP="0095238A">
            <w:pPr>
              <w:rPr>
                <w:rFonts w:ascii="Times New Roman" w:hAnsi="Times New Roman" w:cs="Times New Roman"/>
              </w:rPr>
            </w:pPr>
            <w:r>
              <w:rPr>
                <w:rFonts w:ascii="Times New Roman" w:hAnsi="Times New Roman" w:cs="Times New Roman"/>
              </w:rPr>
              <w:t>131</w:t>
            </w:r>
          </w:p>
        </w:tc>
      </w:tr>
      <w:tr w:rsidR="0095238A" w:rsidRPr="00BD7537" w14:paraId="706DE9B1" w14:textId="77777777" w:rsidTr="00EC32C9">
        <w:tc>
          <w:tcPr>
            <w:tcW w:w="562" w:type="dxa"/>
            <w:tcBorders>
              <w:top w:val="nil"/>
              <w:left w:val="nil"/>
              <w:bottom w:val="nil"/>
              <w:right w:val="nil"/>
            </w:tcBorders>
          </w:tcPr>
          <w:p w14:paraId="78915703" w14:textId="2ED0EF67"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12</w:t>
            </w:r>
          </w:p>
        </w:tc>
        <w:tc>
          <w:tcPr>
            <w:tcW w:w="3695" w:type="dxa"/>
            <w:tcBorders>
              <w:top w:val="nil"/>
              <w:left w:val="nil"/>
              <w:bottom w:val="nil"/>
              <w:right w:val="nil"/>
            </w:tcBorders>
          </w:tcPr>
          <w:p w14:paraId="7AC41016" w14:textId="77777777" w:rsidR="0095238A" w:rsidRPr="00BD7537" w:rsidRDefault="0095238A" w:rsidP="0095238A">
            <w:pPr>
              <w:rPr>
                <w:rFonts w:ascii="Times New Roman" w:hAnsi="Times New Roman" w:cs="Times New Roman"/>
                <w:sz w:val="24"/>
                <w:szCs w:val="24"/>
              </w:rPr>
            </w:pPr>
            <w:r w:rsidRPr="001E37D2">
              <w:rPr>
                <w:rFonts w:ascii="Times New Roman" w:hAnsi="Times New Roman" w:cs="Times New Roman"/>
                <w:sz w:val="24"/>
                <w:szCs w:val="24"/>
              </w:rPr>
              <w:t>Summary of the main types of reliability</w:t>
            </w:r>
          </w:p>
        </w:tc>
        <w:tc>
          <w:tcPr>
            <w:tcW w:w="5803" w:type="dxa"/>
            <w:tcBorders>
              <w:top w:val="nil"/>
              <w:left w:val="nil"/>
              <w:bottom w:val="nil"/>
              <w:right w:val="nil"/>
            </w:tcBorders>
          </w:tcPr>
          <w:p w14:paraId="4EAA21E3"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FE2F214" w14:textId="63D3B712" w:rsidR="0095238A" w:rsidRPr="00BD7537" w:rsidRDefault="0095238A" w:rsidP="0095238A">
            <w:pPr>
              <w:rPr>
                <w:rFonts w:ascii="Times New Roman" w:hAnsi="Times New Roman" w:cs="Times New Roman"/>
              </w:rPr>
            </w:pPr>
            <w:r>
              <w:rPr>
                <w:rFonts w:ascii="Times New Roman" w:hAnsi="Times New Roman" w:cs="Times New Roman"/>
              </w:rPr>
              <w:t>141</w:t>
            </w:r>
          </w:p>
        </w:tc>
      </w:tr>
      <w:tr w:rsidR="0095238A" w:rsidRPr="00BD7537" w14:paraId="3BE200C2" w14:textId="77777777" w:rsidTr="00EC32C9">
        <w:trPr>
          <w:trHeight w:val="41"/>
        </w:trPr>
        <w:tc>
          <w:tcPr>
            <w:tcW w:w="562" w:type="dxa"/>
            <w:tcBorders>
              <w:top w:val="nil"/>
              <w:left w:val="nil"/>
              <w:bottom w:val="nil"/>
              <w:right w:val="nil"/>
            </w:tcBorders>
          </w:tcPr>
          <w:p w14:paraId="43AB1207" w14:textId="47E165AE"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13</w:t>
            </w:r>
          </w:p>
        </w:tc>
        <w:tc>
          <w:tcPr>
            <w:tcW w:w="3695" w:type="dxa"/>
            <w:tcBorders>
              <w:top w:val="nil"/>
              <w:left w:val="nil"/>
              <w:bottom w:val="nil"/>
              <w:right w:val="nil"/>
            </w:tcBorders>
          </w:tcPr>
          <w:p w14:paraId="14DF7195" w14:textId="77777777" w:rsidR="0095238A" w:rsidRPr="00BD7537" w:rsidRDefault="0095238A" w:rsidP="0095238A">
            <w:pPr>
              <w:rPr>
                <w:rFonts w:ascii="Times New Roman" w:hAnsi="Times New Roman" w:cs="Times New Roman"/>
                <w:sz w:val="24"/>
                <w:szCs w:val="24"/>
              </w:rPr>
            </w:pPr>
            <w:r w:rsidRPr="00A6104A">
              <w:rPr>
                <w:rFonts w:ascii="Times New Roman" w:hAnsi="Times New Roman" w:cs="Times New Roman"/>
                <w:sz w:val="24"/>
                <w:szCs w:val="24"/>
              </w:rPr>
              <w:t>Summary of main types of validity</w:t>
            </w:r>
          </w:p>
        </w:tc>
        <w:tc>
          <w:tcPr>
            <w:tcW w:w="5803" w:type="dxa"/>
            <w:tcBorders>
              <w:top w:val="nil"/>
              <w:left w:val="nil"/>
              <w:bottom w:val="nil"/>
              <w:right w:val="nil"/>
            </w:tcBorders>
          </w:tcPr>
          <w:p w14:paraId="5B152F34"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56C0C212" w14:textId="25E7A55D" w:rsidR="0095238A" w:rsidRPr="00BD7537" w:rsidRDefault="0095238A" w:rsidP="0095238A">
            <w:pPr>
              <w:rPr>
                <w:rFonts w:ascii="Times New Roman" w:hAnsi="Times New Roman" w:cs="Times New Roman"/>
              </w:rPr>
            </w:pPr>
            <w:r>
              <w:rPr>
                <w:rFonts w:ascii="Times New Roman" w:hAnsi="Times New Roman" w:cs="Times New Roman"/>
              </w:rPr>
              <w:t>141</w:t>
            </w:r>
          </w:p>
        </w:tc>
      </w:tr>
      <w:tr w:rsidR="0095238A" w:rsidRPr="00BD7537" w14:paraId="0B437ED3" w14:textId="77777777" w:rsidTr="00EC32C9">
        <w:tc>
          <w:tcPr>
            <w:tcW w:w="562" w:type="dxa"/>
            <w:tcBorders>
              <w:top w:val="nil"/>
              <w:left w:val="nil"/>
              <w:bottom w:val="nil"/>
              <w:right w:val="nil"/>
            </w:tcBorders>
          </w:tcPr>
          <w:p w14:paraId="6843F29C" w14:textId="2636CE4A"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14</w:t>
            </w:r>
          </w:p>
        </w:tc>
        <w:tc>
          <w:tcPr>
            <w:tcW w:w="3695" w:type="dxa"/>
            <w:tcBorders>
              <w:top w:val="nil"/>
              <w:left w:val="nil"/>
              <w:bottom w:val="nil"/>
              <w:right w:val="nil"/>
            </w:tcBorders>
          </w:tcPr>
          <w:p w14:paraId="11BF263D" w14:textId="77777777" w:rsidR="0095238A" w:rsidRPr="00BD7537" w:rsidRDefault="0095238A" w:rsidP="0095238A">
            <w:pPr>
              <w:rPr>
                <w:rFonts w:ascii="Times New Roman" w:hAnsi="Times New Roman" w:cs="Times New Roman"/>
                <w:sz w:val="24"/>
                <w:szCs w:val="24"/>
              </w:rPr>
            </w:pPr>
            <w:r w:rsidRPr="00E674FA">
              <w:rPr>
                <w:rFonts w:ascii="Times New Roman" w:hAnsi="Times New Roman" w:cs="Times New Roman"/>
                <w:sz w:val="24"/>
                <w:szCs w:val="24"/>
              </w:rPr>
              <w:t>2x2 survey experiment</w:t>
            </w:r>
          </w:p>
        </w:tc>
        <w:tc>
          <w:tcPr>
            <w:tcW w:w="5803" w:type="dxa"/>
            <w:tcBorders>
              <w:top w:val="nil"/>
              <w:left w:val="nil"/>
              <w:bottom w:val="nil"/>
              <w:right w:val="nil"/>
            </w:tcBorders>
          </w:tcPr>
          <w:p w14:paraId="6D2AA449"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7ED7238" w14:textId="4F228C69" w:rsidR="0095238A" w:rsidRPr="00BD7537" w:rsidRDefault="0095238A" w:rsidP="0095238A">
            <w:pPr>
              <w:rPr>
                <w:rFonts w:ascii="Times New Roman" w:hAnsi="Times New Roman" w:cs="Times New Roman"/>
              </w:rPr>
            </w:pPr>
            <w:r>
              <w:rPr>
                <w:rFonts w:ascii="Times New Roman" w:hAnsi="Times New Roman" w:cs="Times New Roman"/>
              </w:rPr>
              <w:t>148</w:t>
            </w:r>
          </w:p>
        </w:tc>
      </w:tr>
      <w:tr w:rsidR="0095238A" w:rsidRPr="00BD7537" w14:paraId="1CF2E82A" w14:textId="77777777" w:rsidTr="00EC32C9">
        <w:tc>
          <w:tcPr>
            <w:tcW w:w="562" w:type="dxa"/>
            <w:tcBorders>
              <w:top w:val="nil"/>
              <w:left w:val="nil"/>
              <w:bottom w:val="nil"/>
              <w:right w:val="nil"/>
            </w:tcBorders>
          </w:tcPr>
          <w:p w14:paraId="37652C23" w14:textId="189BD712"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15</w:t>
            </w:r>
          </w:p>
        </w:tc>
        <w:tc>
          <w:tcPr>
            <w:tcW w:w="3695" w:type="dxa"/>
            <w:tcBorders>
              <w:top w:val="nil"/>
              <w:left w:val="nil"/>
              <w:bottom w:val="nil"/>
              <w:right w:val="nil"/>
            </w:tcBorders>
          </w:tcPr>
          <w:p w14:paraId="3F5AF921" w14:textId="77777777" w:rsidR="0095238A" w:rsidRPr="006A1DAB" w:rsidRDefault="0095238A" w:rsidP="0095238A">
            <w:pPr>
              <w:rPr>
                <w:rFonts w:asciiTheme="majorBidi" w:hAnsiTheme="majorBidi" w:cstheme="majorBidi"/>
                <w:sz w:val="24"/>
                <w:szCs w:val="24"/>
              </w:rPr>
            </w:pPr>
            <w:r w:rsidRPr="00E674FA">
              <w:rPr>
                <w:rFonts w:asciiTheme="majorBidi" w:hAnsiTheme="majorBidi" w:cstheme="majorBidi"/>
                <w:sz w:val="24"/>
                <w:szCs w:val="24"/>
              </w:rPr>
              <w:t>Constructs used in the survey experiment</w:t>
            </w:r>
          </w:p>
        </w:tc>
        <w:tc>
          <w:tcPr>
            <w:tcW w:w="5803" w:type="dxa"/>
            <w:tcBorders>
              <w:top w:val="nil"/>
              <w:left w:val="nil"/>
              <w:bottom w:val="nil"/>
              <w:right w:val="nil"/>
            </w:tcBorders>
          </w:tcPr>
          <w:p w14:paraId="20144C98"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45CB2262" w14:textId="4AE979D0" w:rsidR="0095238A" w:rsidRPr="00BD7537" w:rsidRDefault="0095238A" w:rsidP="0095238A">
            <w:pPr>
              <w:rPr>
                <w:rFonts w:ascii="Times New Roman" w:hAnsi="Times New Roman" w:cs="Times New Roman"/>
              </w:rPr>
            </w:pPr>
            <w:r>
              <w:rPr>
                <w:rFonts w:ascii="Times New Roman" w:hAnsi="Times New Roman" w:cs="Times New Roman"/>
              </w:rPr>
              <w:t>155</w:t>
            </w:r>
          </w:p>
        </w:tc>
      </w:tr>
      <w:tr w:rsidR="0095238A" w:rsidRPr="00BD7537" w14:paraId="223AD799" w14:textId="77777777" w:rsidTr="00EC32C9">
        <w:tc>
          <w:tcPr>
            <w:tcW w:w="562" w:type="dxa"/>
            <w:tcBorders>
              <w:top w:val="nil"/>
              <w:left w:val="nil"/>
              <w:bottom w:val="nil"/>
              <w:right w:val="nil"/>
            </w:tcBorders>
          </w:tcPr>
          <w:p w14:paraId="2DC14F94" w14:textId="094E04FA"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16</w:t>
            </w:r>
          </w:p>
        </w:tc>
        <w:tc>
          <w:tcPr>
            <w:tcW w:w="3695" w:type="dxa"/>
            <w:tcBorders>
              <w:top w:val="nil"/>
              <w:left w:val="nil"/>
              <w:bottom w:val="nil"/>
              <w:right w:val="nil"/>
            </w:tcBorders>
          </w:tcPr>
          <w:p w14:paraId="6C169CB5" w14:textId="77777777" w:rsidR="0095238A" w:rsidRPr="00BD7537" w:rsidRDefault="0095238A" w:rsidP="0095238A">
            <w:pPr>
              <w:rPr>
                <w:rFonts w:ascii="Times New Roman" w:hAnsi="Times New Roman" w:cs="Times New Roman"/>
                <w:sz w:val="24"/>
                <w:szCs w:val="24"/>
              </w:rPr>
            </w:pPr>
            <w:r w:rsidRPr="00E674FA">
              <w:rPr>
                <w:rFonts w:ascii="Times New Roman" w:hAnsi="Times New Roman" w:cs="Times New Roman"/>
                <w:sz w:val="24"/>
                <w:szCs w:val="24"/>
              </w:rPr>
              <w:t>Four dimensions of reliability applied in study</w:t>
            </w:r>
            <w:r>
              <w:rPr>
                <w:rFonts w:ascii="Times New Roman" w:hAnsi="Times New Roman" w:cs="Times New Roman"/>
                <w:sz w:val="24"/>
                <w:szCs w:val="24"/>
              </w:rPr>
              <w:t xml:space="preserve"> two</w:t>
            </w:r>
          </w:p>
        </w:tc>
        <w:tc>
          <w:tcPr>
            <w:tcW w:w="5803" w:type="dxa"/>
            <w:tcBorders>
              <w:top w:val="nil"/>
              <w:left w:val="nil"/>
              <w:bottom w:val="nil"/>
              <w:right w:val="nil"/>
            </w:tcBorders>
          </w:tcPr>
          <w:p w14:paraId="3A86B195"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5C577546" w14:textId="4FA8983D" w:rsidR="0095238A" w:rsidRPr="00BD7537" w:rsidRDefault="0095238A" w:rsidP="0095238A">
            <w:pPr>
              <w:rPr>
                <w:rFonts w:ascii="Times New Roman" w:hAnsi="Times New Roman" w:cs="Times New Roman"/>
              </w:rPr>
            </w:pPr>
            <w:r>
              <w:rPr>
                <w:rFonts w:ascii="Times New Roman" w:hAnsi="Times New Roman" w:cs="Times New Roman"/>
              </w:rPr>
              <w:t>162</w:t>
            </w:r>
          </w:p>
        </w:tc>
      </w:tr>
      <w:tr w:rsidR="0095238A" w:rsidRPr="00BD7537" w14:paraId="3CF95E99" w14:textId="77777777" w:rsidTr="00EC32C9">
        <w:tc>
          <w:tcPr>
            <w:tcW w:w="562" w:type="dxa"/>
            <w:tcBorders>
              <w:top w:val="nil"/>
              <w:left w:val="nil"/>
              <w:bottom w:val="nil"/>
              <w:right w:val="nil"/>
            </w:tcBorders>
          </w:tcPr>
          <w:p w14:paraId="466DC1E7" w14:textId="177CB779"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17</w:t>
            </w:r>
          </w:p>
        </w:tc>
        <w:tc>
          <w:tcPr>
            <w:tcW w:w="3695" w:type="dxa"/>
            <w:tcBorders>
              <w:top w:val="nil"/>
              <w:left w:val="nil"/>
              <w:bottom w:val="nil"/>
              <w:right w:val="nil"/>
            </w:tcBorders>
          </w:tcPr>
          <w:p w14:paraId="7BB49308" w14:textId="77777777" w:rsidR="0095238A" w:rsidRPr="00E674FA" w:rsidRDefault="0095238A" w:rsidP="0095238A">
            <w:pPr>
              <w:contextualSpacing/>
              <w:jc w:val="both"/>
              <w:rPr>
                <w:rFonts w:asciiTheme="majorBidi" w:eastAsia="Times New Roman" w:hAnsiTheme="majorBidi" w:cstheme="majorBidi"/>
                <w:sz w:val="24"/>
                <w:szCs w:val="24"/>
              </w:rPr>
            </w:pPr>
            <w:r w:rsidRPr="008D75D3">
              <w:rPr>
                <w:rFonts w:asciiTheme="majorBidi" w:eastAsia="Times New Roman" w:hAnsiTheme="majorBidi" w:cstheme="majorBidi"/>
                <w:sz w:val="24"/>
                <w:szCs w:val="24"/>
              </w:rPr>
              <w:t>Description of demographic characteristics among survey participants (n=474)</w:t>
            </w:r>
          </w:p>
        </w:tc>
        <w:tc>
          <w:tcPr>
            <w:tcW w:w="5803" w:type="dxa"/>
            <w:tcBorders>
              <w:top w:val="nil"/>
              <w:left w:val="nil"/>
              <w:bottom w:val="nil"/>
              <w:right w:val="nil"/>
            </w:tcBorders>
          </w:tcPr>
          <w:p w14:paraId="59798B1F"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26DB0FC9" w14:textId="1568E3F7" w:rsidR="0095238A" w:rsidRPr="00BD7537" w:rsidRDefault="0095238A" w:rsidP="0095238A">
            <w:pPr>
              <w:rPr>
                <w:rFonts w:ascii="Times New Roman" w:hAnsi="Times New Roman" w:cs="Times New Roman"/>
              </w:rPr>
            </w:pPr>
            <w:r>
              <w:rPr>
                <w:rFonts w:ascii="Times New Roman" w:hAnsi="Times New Roman" w:cs="Times New Roman"/>
              </w:rPr>
              <w:t>173</w:t>
            </w:r>
          </w:p>
        </w:tc>
      </w:tr>
      <w:tr w:rsidR="0095238A" w:rsidRPr="00BD7537" w14:paraId="184E1D3D" w14:textId="77777777" w:rsidTr="00EC32C9">
        <w:tc>
          <w:tcPr>
            <w:tcW w:w="562" w:type="dxa"/>
            <w:tcBorders>
              <w:top w:val="nil"/>
              <w:left w:val="nil"/>
              <w:bottom w:val="nil"/>
              <w:right w:val="nil"/>
            </w:tcBorders>
          </w:tcPr>
          <w:p w14:paraId="45AEDF7C" w14:textId="2A594BD7"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18</w:t>
            </w:r>
          </w:p>
        </w:tc>
        <w:tc>
          <w:tcPr>
            <w:tcW w:w="3695" w:type="dxa"/>
            <w:tcBorders>
              <w:top w:val="nil"/>
              <w:left w:val="nil"/>
              <w:bottom w:val="nil"/>
              <w:right w:val="nil"/>
            </w:tcBorders>
          </w:tcPr>
          <w:p w14:paraId="60C071F6" w14:textId="77777777" w:rsidR="0095238A" w:rsidRPr="00BD7537" w:rsidRDefault="0095238A" w:rsidP="0095238A">
            <w:pPr>
              <w:rPr>
                <w:rFonts w:ascii="Times New Roman" w:hAnsi="Times New Roman" w:cs="Times New Roman"/>
                <w:sz w:val="24"/>
                <w:szCs w:val="24"/>
              </w:rPr>
            </w:pPr>
            <w:r w:rsidRPr="00834E03">
              <w:rPr>
                <w:rFonts w:asciiTheme="majorBidi" w:hAnsiTheme="majorBidi" w:cstheme="majorBidi"/>
                <w:sz w:val="24"/>
                <w:szCs w:val="24"/>
                <w:lang w:bidi="ar-EG"/>
              </w:rPr>
              <w:t>Reliability of scale items measured with Cronbach's Alpha coefficient</w:t>
            </w:r>
          </w:p>
        </w:tc>
        <w:tc>
          <w:tcPr>
            <w:tcW w:w="5803" w:type="dxa"/>
            <w:tcBorders>
              <w:top w:val="nil"/>
              <w:left w:val="nil"/>
              <w:bottom w:val="nil"/>
              <w:right w:val="nil"/>
            </w:tcBorders>
          </w:tcPr>
          <w:p w14:paraId="51E0C302"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36A5F8FF" w14:textId="7AAF685E" w:rsidR="0095238A" w:rsidRPr="00BD7537" w:rsidRDefault="0095238A" w:rsidP="0095238A">
            <w:pPr>
              <w:rPr>
                <w:rFonts w:ascii="Times New Roman" w:hAnsi="Times New Roman" w:cs="Times New Roman"/>
              </w:rPr>
            </w:pPr>
            <w:r>
              <w:rPr>
                <w:rFonts w:ascii="Times New Roman" w:hAnsi="Times New Roman" w:cs="Times New Roman"/>
              </w:rPr>
              <w:t>177</w:t>
            </w:r>
          </w:p>
        </w:tc>
      </w:tr>
      <w:tr w:rsidR="0095238A" w:rsidRPr="00BD7537" w14:paraId="5471D1FC" w14:textId="77777777" w:rsidTr="00EC32C9">
        <w:tc>
          <w:tcPr>
            <w:tcW w:w="562" w:type="dxa"/>
            <w:tcBorders>
              <w:top w:val="nil"/>
              <w:left w:val="nil"/>
              <w:bottom w:val="nil"/>
              <w:right w:val="nil"/>
            </w:tcBorders>
          </w:tcPr>
          <w:p w14:paraId="07C47565" w14:textId="630DE1E4" w:rsidR="0095238A" w:rsidRDefault="0095238A" w:rsidP="0095238A">
            <w:pPr>
              <w:rPr>
                <w:rFonts w:ascii="Times New Roman" w:hAnsi="Times New Roman" w:cs="Times New Roman"/>
                <w:sz w:val="24"/>
                <w:szCs w:val="24"/>
              </w:rPr>
            </w:pPr>
            <w:r>
              <w:rPr>
                <w:rFonts w:ascii="Times New Roman" w:hAnsi="Times New Roman" w:cs="Times New Roman"/>
                <w:sz w:val="24"/>
                <w:szCs w:val="24"/>
              </w:rPr>
              <w:t>19</w:t>
            </w:r>
          </w:p>
        </w:tc>
        <w:tc>
          <w:tcPr>
            <w:tcW w:w="3695" w:type="dxa"/>
            <w:tcBorders>
              <w:top w:val="nil"/>
              <w:left w:val="nil"/>
              <w:bottom w:val="nil"/>
              <w:right w:val="nil"/>
            </w:tcBorders>
          </w:tcPr>
          <w:p w14:paraId="16D85B11" w14:textId="77777777" w:rsidR="0095238A" w:rsidRPr="00834E03" w:rsidRDefault="0095238A" w:rsidP="0095238A">
            <w:pPr>
              <w:rPr>
                <w:rFonts w:asciiTheme="majorBidi" w:hAnsiTheme="majorBidi" w:cstheme="majorBidi"/>
                <w:sz w:val="24"/>
                <w:szCs w:val="24"/>
                <w:lang w:bidi="ar-EG"/>
              </w:rPr>
            </w:pPr>
            <w:r>
              <w:rPr>
                <w:rFonts w:asciiTheme="majorBidi" w:hAnsiTheme="majorBidi" w:cstheme="majorBidi"/>
                <w:sz w:val="24"/>
                <w:szCs w:val="24"/>
                <w:lang w:bidi="ar-EG"/>
              </w:rPr>
              <w:t xml:space="preserve">Total Variance </w:t>
            </w:r>
          </w:p>
        </w:tc>
        <w:tc>
          <w:tcPr>
            <w:tcW w:w="5803" w:type="dxa"/>
            <w:tcBorders>
              <w:top w:val="nil"/>
              <w:left w:val="nil"/>
              <w:bottom w:val="nil"/>
              <w:right w:val="nil"/>
            </w:tcBorders>
          </w:tcPr>
          <w:p w14:paraId="052A5792"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446E3EF3" w14:textId="661A6467" w:rsidR="0095238A" w:rsidRPr="00BD7537" w:rsidRDefault="0095238A" w:rsidP="0095238A">
            <w:pPr>
              <w:rPr>
                <w:rFonts w:ascii="Times New Roman" w:hAnsi="Times New Roman" w:cs="Times New Roman"/>
              </w:rPr>
            </w:pPr>
            <w:r>
              <w:rPr>
                <w:rFonts w:ascii="Times New Roman" w:hAnsi="Times New Roman" w:cs="Times New Roman"/>
              </w:rPr>
              <w:t>179</w:t>
            </w:r>
          </w:p>
        </w:tc>
      </w:tr>
      <w:tr w:rsidR="0095238A" w:rsidRPr="00BD7537" w14:paraId="4B778BF4" w14:textId="77777777" w:rsidTr="00EC32C9">
        <w:tc>
          <w:tcPr>
            <w:tcW w:w="562" w:type="dxa"/>
            <w:tcBorders>
              <w:top w:val="nil"/>
              <w:left w:val="nil"/>
              <w:bottom w:val="nil"/>
              <w:right w:val="nil"/>
            </w:tcBorders>
          </w:tcPr>
          <w:p w14:paraId="2D9184FE" w14:textId="48D1D455"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20</w:t>
            </w:r>
          </w:p>
        </w:tc>
        <w:tc>
          <w:tcPr>
            <w:tcW w:w="3695" w:type="dxa"/>
            <w:tcBorders>
              <w:top w:val="nil"/>
              <w:left w:val="nil"/>
              <w:bottom w:val="nil"/>
              <w:right w:val="nil"/>
            </w:tcBorders>
          </w:tcPr>
          <w:p w14:paraId="42A7D2F3" w14:textId="61C861C8" w:rsidR="0095238A" w:rsidRPr="00BD7537" w:rsidRDefault="0095238A" w:rsidP="0095238A">
            <w:pPr>
              <w:rPr>
                <w:rFonts w:ascii="Times New Roman" w:hAnsi="Times New Roman" w:cs="Times New Roman"/>
                <w:sz w:val="24"/>
                <w:szCs w:val="24"/>
              </w:rPr>
            </w:pPr>
            <w:r w:rsidRPr="00656661">
              <w:rPr>
                <w:rFonts w:asciiTheme="majorBidi" w:hAnsiTheme="majorBidi" w:cstheme="majorBidi"/>
                <w:sz w:val="24"/>
                <w:szCs w:val="24"/>
                <w:lang w:bidi="ar-EG"/>
              </w:rPr>
              <w:t>Breakdown of CSR and non-CSR on TV and social media</w:t>
            </w:r>
          </w:p>
        </w:tc>
        <w:tc>
          <w:tcPr>
            <w:tcW w:w="5803" w:type="dxa"/>
            <w:tcBorders>
              <w:top w:val="nil"/>
              <w:left w:val="nil"/>
              <w:bottom w:val="nil"/>
              <w:right w:val="nil"/>
            </w:tcBorders>
          </w:tcPr>
          <w:p w14:paraId="3B54837A"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3444B8F0" w14:textId="04D02619" w:rsidR="0095238A" w:rsidRPr="00BD7537" w:rsidRDefault="0095238A" w:rsidP="0095238A">
            <w:pPr>
              <w:rPr>
                <w:rFonts w:ascii="Times New Roman" w:hAnsi="Times New Roman" w:cs="Times New Roman"/>
              </w:rPr>
            </w:pPr>
            <w:r>
              <w:rPr>
                <w:rFonts w:ascii="Times New Roman" w:hAnsi="Times New Roman" w:cs="Times New Roman"/>
              </w:rPr>
              <w:t>181</w:t>
            </w:r>
          </w:p>
        </w:tc>
      </w:tr>
      <w:tr w:rsidR="0095238A" w:rsidRPr="00BD7537" w14:paraId="501BC470" w14:textId="77777777" w:rsidTr="00EC32C9">
        <w:tc>
          <w:tcPr>
            <w:tcW w:w="562" w:type="dxa"/>
            <w:tcBorders>
              <w:top w:val="nil"/>
              <w:left w:val="nil"/>
              <w:bottom w:val="nil"/>
              <w:right w:val="nil"/>
            </w:tcBorders>
          </w:tcPr>
          <w:p w14:paraId="7190B519" w14:textId="5299EDE2" w:rsidR="0095238A" w:rsidRDefault="0095238A" w:rsidP="0095238A">
            <w:pPr>
              <w:rPr>
                <w:rFonts w:ascii="Times New Roman" w:hAnsi="Times New Roman" w:cs="Times New Roman"/>
                <w:sz w:val="24"/>
                <w:szCs w:val="24"/>
              </w:rPr>
            </w:pPr>
            <w:r>
              <w:rPr>
                <w:rFonts w:ascii="Times New Roman" w:hAnsi="Times New Roman" w:cs="Times New Roman"/>
                <w:sz w:val="24"/>
                <w:szCs w:val="24"/>
              </w:rPr>
              <w:t>21</w:t>
            </w:r>
          </w:p>
        </w:tc>
        <w:tc>
          <w:tcPr>
            <w:tcW w:w="3695" w:type="dxa"/>
            <w:tcBorders>
              <w:top w:val="nil"/>
              <w:left w:val="nil"/>
              <w:bottom w:val="nil"/>
              <w:right w:val="nil"/>
            </w:tcBorders>
          </w:tcPr>
          <w:p w14:paraId="578077D2" w14:textId="12DA629C" w:rsidR="0095238A" w:rsidRPr="00F9756C" w:rsidRDefault="0095238A" w:rsidP="0095238A">
            <w:pPr>
              <w:pStyle w:val="Caption"/>
              <w:rPr>
                <w:rFonts w:asciiTheme="majorBidi" w:hAnsiTheme="majorBidi" w:cstheme="majorBidi"/>
                <w:i w:val="0"/>
                <w:iCs w:val="0"/>
                <w:color w:val="auto"/>
                <w:sz w:val="24"/>
                <w:szCs w:val="24"/>
                <w:lang w:bidi="ar-EG"/>
              </w:rPr>
            </w:pPr>
            <w:r w:rsidRPr="00F9756C">
              <w:rPr>
                <w:rFonts w:asciiTheme="majorBidi" w:hAnsiTheme="majorBidi" w:cstheme="majorBidi"/>
                <w:i w:val="0"/>
                <w:iCs w:val="0"/>
                <w:sz w:val="24"/>
                <w:szCs w:val="24"/>
                <w:lang w:bidi="ar-EG"/>
              </w:rPr>
              <w:t>Breakdown of respondents in television and social media</w:t>
            </w:r>
          </w:p>
        </w:tc>
        <w:tc>
          <w:tcPr>
            <w:tcW w:w="5803" w:type="dxa"/>
            <w:tcBorders>
              <w:top w:val="nil"/>
              <w:left w:val="nil"/>
              <w:bottom w:val="nil"/>
              <w:right w:val="nil"/>
            </w:tcBorders>
          </w:tcPr>
          <w:p w14:paraId="768187E1" w14:textId="4B7BA8E8" w:rsidR="0095238A"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246C5B6" w14:textId="4B79475F" w:rsidR="0095238A" w:rsidRDefault="0095238A" w:rsidP="0095238A">
            <w:pPr>
              <w:rPr>
                <w:rFonts w:ascii="Times New Roman" w:hAnsi="Times New Roman" w:cs="Times New Roman"/>
              </w:rPr>
            </w:pPr>
            <w:r>
              <w:rPr>
                <w:rFonts w:ascii="Times New Roman" w:hAnsi="Times New Roman" w:cs="Times New Roman"/>
              </w:rPr>
              <w:t>181</w:t>
            </w:r>
          </w:p>
        </w:tc>
      </w:tr>
      <w:tr w:rsidR="0095238A" w:rsidRPr="00BD7537" w14:paraId="0A092CDD" w14:textId="77777777" w:rsidTr="00EC32C9">
        <w:tc>
          <w:tcPr>
            <w:tcW w:w="562" w:type="dxa"/>
            <w:tcBorders>
              <w:top w:val="nil"/>
              <w:left w:val="nil"/>
              <w:bottom w:val="nil"/>
              <w:right w:val="nil"/>
            </w:tcBorders>
          </w:tcPr>
          <w:p w14:paraId="4440F565" w14:textId="72897519"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22</w:t>
            </w:r>
          </w:p>
        </w:tc>
        <w:tc>
          <w:tcPr>
            <w:tcW w:w="3695" w:type="dxa"/>
            <w:tcBorders>
              <w:top w:val="nil"/>
              <w:left w:val="nil"/>
              <w:bottom w:val="nil"/>
              <w:right w:val="nil"/>
            </w:tcBorders>
          </w:tcPr>
          <w:p w14:paraId="0B12F0CC" w14:textId="57FC3E6F" w:rsidR="0095238A" w:rsidRPr="00656661" w:rsidRDefault="0095238A" w:rsidP="0095238A">
            <w:pPr>
              <w:pStyle w:val="Caption"/>
              <w:rPr>
                <w:rFonts w:asciiTheme="majorBidi" w:hAnsiTheme="majorBidi" w:cstheme="majorBidi"/>
                <w:i w:val="0"/>
                <w:iCs w:val="0"/>
                <w:color w:val="auto"/>
                <w:sz w:val="24"/>
                <w:szCs w:val="24"/>
                <w:lang w:bidi="ar-EG"/>
              </w:rPr>
            </w:pPr>
            <w:r>
              <w:rPr>
                <w:rFonts w:asciiTheme="majorBidi" w:hAnsiTheme="majorBidi" w:cstheme="majorBidi"/>
                <w:i w:val="0"/>
                <w:iCs w:val="0"/>
                <w:color w:val="auto"/>
                <w:sz w:val="24"/>
                <w:szCs w:val="24"/>
                <w:lang w:bidi="ar-EG"/>
              </w:rPr>
              <w:t xml:space="preserve">Breakdown of CSR and non-CSR on TV and social media </w:t>
            </w:r>
          </w:p>
        </w:tc>
        <w:tc>
          <w:tcPr>
            <w:tcW w:w="5803" w:type="dxa"/>
            <w:tcBorders>
              <w:top w:val="nil"/>
              <w:left w:val="nil"/>
              <w:bottom w:val="nil"/>
              <w:right w:val="nil"/>
            </w:tcBorders>
          </w:tcPr>
          <w:p w14:paraId="70AC7210"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22A0B33F" w14:textId="54BD40E7" w:rsidR="0095238A" w:rsidRPr="00BD7537" w:rsidRDefault="0095238A" w:rsidP="0095238A">
            <w:pPr>
              <w:rPr>
                <w:rFonts w:ascii="Times New Roman" w:hAnsi="Times New Roman" w:cs="Times New Roman"/>
              </w:rPr>
            </w:pPr>
            <w:r>
              <w:rPr>
                <w:rFonts w:ascii="Times New Roman" w:hAnsi="Times New Roman" w:cs="Times New Roman"/>
              </w:rPr>
              <w:t>181</w:t>
            </w:r>
          </w:p>
        </w:tc>
      </w:tr>
      <w:tr w:rsidR="0095238A" w:rsidRPr="00BD7537" w14:paraId="21E4A03C" w14:textId="77777777" w:rsidTr="00EC32C9">
        <w:tc>
          <w:tcPr>
            <w:tcW w:w="562" w:type="dxa"/>
            <w:tcBorders>
              <w:top w:val="nil"/>
              <w:left w:val="nil"/>
              <w:bottom w:val="nil"/>
              <w:right w:val="nil"/>
            </w:tcBorders>
          </w:tcPr>
          <w:p w14:paraId="1D0ADDDF" w14:textId="0DCCC73E"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23</w:t>
            </w:r>
          </w:p>
        </w:tc>
        <w:tc>
          <w:tcPr>
            <w:tcW w:w="3695" w:type="dxa"/>
            <w:tcBorders>
              <w:top w:val="nil"/>
              <w:left w:val="nil"/>
              <w:bottom w:val="nil"/>
              <w:right w:val="nil"/>
            </w:tcBorders>
          </w:tcPr>
          <w:p w14:paraId="44EE87B5" w14:textId="77777777" w:rsidR="0095238A" w:rsidRPr="00BD7537" w:rsidRDefault="0095238A" w:rsidP="0095238A">
            <w:pPr>
              <w:rPr>
                <w:rFonts w:ascii="Times New Roman" w:hAnsi="Times New Roman" w:cs="Times New Roman"/>
                <w:sz w:val="24"/>
                <w:szCs w:val="24"/>
              </w:rPr>
            </w:pPr>
            <w:r w:rsidRPr="00656661">
              <w:rPr>
                <w:rFonts w:asciiTheme="majorBidi" w:hAnsiTheme="majorBidi" w:cstheme="majorBidi"/>
                <w:sz w:val="24"/>
                <w:szCs w:val="24"/>
              </w:rPr>
              <w:t>Breakdown of respondents in television and social media</w:t>
            </w:r>
          </w:p>
        </w:tc>
        <w:tc>
          <w:tcPr>
            <w:tcW w:w="5803" w:type="dxa"/>
            <w:tcBorders>
              <w:top w:val="nil"/>
              <w:left w:val="nil"/>
              <w:bottom w:val="nil"/>
              <w:right w:val="nil"/>
            </w:tcBorders>
          </w:tcPr>
          <w:p w14:paraId="0DD9007A"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58F3F401" w14:textId="1F24DB59" w:rsidR="0095238A" w:rsidRPr="00BD7537" w:rsidRDefault="0095238A" w:rsidP="0095238A">
            <w:pPr>
              <w:rPr>
                <w:rFonts w:ascii="Times New Roman" w:hAnsi="Times New Roman" w:cs="Times New Roman"/>
              </w:rPr>
            </w:pPr>
            <w:r>
              <w:rPr>
                <w:rFonts w:ascii="Times New Roman" w:hAnsi="Times New Roman" w:cs="Times New Roman"/>
              </w:rPr>
              <w:t>181</w:t>
            </w:r>
          </w:p>
        </w:tc>
      </w:tr>
      <w:tr w:rsidR="0095238A" w:rsidRPr="00BD7537" w14:paraId="78CD2EF9" w14:textId="77777777" w:rsidTr="00EC32C9">
        <w:tc>
          <w:tcPr>
            <w:tcW w:w="562" w:type="dxa"/>
            <w:tcBorders>
              <w:top w:val="nil"/>
              <w:left w:val="nil"/>
              <w:bottom w:val="nil"/>
              <w:right w:val="nil"/>
            </w:tcBorders>
          </w:tcPr>
          <w:p w14:paraId="5AE3D76A" w14:textId="51A31AFA"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24</w:t>
            </w:r>
          </w:p>
        </w:tc>
        <w:tc>
          <w:tcPr>
            <w:tcW w:w="3695" w:type="dxa"/>
            <w:tcBorders>
              <w:top w:val="nil"/>
              <w:left w:val="nil"/>
              <w:bottom w:val="nil"/>
              <w:right w:val="nil"/>
            </w:tcBorders>
          </w:tcPr>
          <w:p w14:paraId="71CBF17E" w14:textId="77777777" w:rsidR="0095238A" w:rsidRPr="00BD7537" w:rsidRDefault="0095238A" w:rsidP="0095238A">
            <w:pPr>
              <w:rPr>
                <w:rFonts w:ascii="Times New Roman" w:hAnsi="Times New Roman" w:cs="Times New Roman"/>
                <w:sz w:val="24"/>
                <w:szCs w:val="24"/>
              </w:rPr>
            </w:pPr>
            <w:r w:rsidRPr="008E3F49">
              <w:rPr>
                <w:rFonts w:asciiTheme="majorBidi" w:hAnsiTheme="majorBidi" w:cstheme="majorBidi"/>
                <w:sz w:val="24"/>
                <w:szCs w:val="24"/>
                <w:lang w:bidi="ar-EG"/>
              </w:rPr>
              <w:t>Descriptive statistics of the CSR perception construct</w:t>
            </w:r>
          </w:p>
        </w:tc>
        <w:tc>
          <w:tcPr>
            <w:tcW w:w="5803" w:type="dxa"/>
            <w:tcBorders>
              <w:top w:val="nil"/>
              <w:left w:val="nil"/>
              <w:bottom w:val="nil"/>
              <w:right w:val="nil"/>
            </w:tcBorders>
          </w:tcPr>
          <w:p w14:paraId="37FC75DF"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B42B2AB" w14:textId="0D4A0CEB" w:rsidR="0095238A" w:rsidRPr="00BD7537" w:rsidRDefault="0095238A" w:rsidP="0095238A">
            <w:pPr>
              <w:rPr>
                <w:rFonts w:ascii="Times New Roman" w:hAnsi="Times New Roman" w:cs="Times New Roman"/>
              </w:rPr>
            </w:pPr>
            <w:r>
              <w:rPr>
                <w:rFonts w:ascii="Times New Roman" w:hAnsi="Times New Roman" w:cs="Times New Roman"/>
              </w:rPr>
              <w:t>182</w:t>
            </w:r>
          </w:p>
        </w:tc>
      </w:tr>
      <w:tr w:rsidR="0095238A" w:rsidRPr="00BD7537" w14:paraId="526FBBD3" w14:textId="77777777" w:rsidTr="00EC32C9">
        <w:tc>
          <w:tcPr>
            <w:tcW w:w="562" w:type="dxa"/>
            <w:tcBorders>
              <w:top w:val="nil"/>
              <w:left w:val="nil"/>
              <w:bottom w:val="nil"/>
              <w:right w:val="nil"/>
            </w:tcBorders>
          </w:tcPr>
          <w:p w14:paraId="728FF32D" w14:textId="6F12507F"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25</w:t>
            </w:r>
          </w:p>
        </w:tc>
        <w:tc>
          <w:tcPr>
            <w:tcW w:w="3695" w:type="dxa"/>
            <w:tcBorders>
              <w:top w:val="nil"/>
              <w:left w:val="nil"/>
              <w:bottom w:val="nil"/>
              <w:right w:val="nil"/>
            </w:tcBorders>
          </w:tcPr>
          <w:p w14:paraId="1770F4C5" w14:textId="77777777" w:rsidR="0095238A" w:rsidRPr="00EF6D57" w:rsidRDefault="0095238A" w:rsidP="0095238A">
            <w:pPr>
              <w:jc w:val="both"/>
              <w:rPr>
                <w:rFonts w:asciiTheme="majorBidi" w:hAnsiTheme="majorBidi" w:cstheme="majorBidi"/>
                <w:sz w:val="24"/>
                <w:szCs w:val="24"/>
                <w:lang w:bidi="ar-EG"/>
              </w:rPr>
            </w:pPr>
            <w:r w:rsidRPr="008E3F49">
              <w:rPr>
                <w:rFonts w:asciiTheme="majorBidi" w:hAnsiTheme="majorBidi" w:cstheme="majorBidi"/>
                <w:sz w:val="24"/>
                <w:szCs w:val="24"/>
                <w:lang w:bidi="ar-EG"/>
              </w:rPr>
              <w:t>Descriptive statistics of the brand functionality construct</w:t>
            </w:r>
          </w:p>
        </w:tc>
        <w:tc>
          <w:tcPr>
            <w:tcW w:w="5803" w:type="dxa"/>
            <w:tcBorders>
              <w:top w:val="nil"/>
              <w:left w:val="nil"/>
              <w:bottom w:val="nil"/>
              <w:right w:val="nil"/>
            </w:tcBorders>
          </w:tcPr>
          <w:p w14:paraId="636AE0F0"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64439F2" w14:textId="1B11FA1A" w:rsidR="0095238A" w:rsidRPr="00BD7537" w:rsidRDefault="0095238A" w:rsidP="0095238A">
            <w:pPr>
              <w:rPr>
                <w:rFonts w:ascii="Times New Roman" w:hAnsi="Times New Roman" w:cs="Times New Roman"/>
              </w:rPr>
            </w:pPr>
            <w:r>
              <w:rPr>
                <w:rFonts w:ascii="Times New Roman" w:hAnsi="Times New Roman" w:cs="Times New Roman"/>
              </w:rPr>
              <w:t>183</w:t>
            </w:r>
          </w:p>
        </w:tc>
      </w:tr>
      <w:tr w:rsidR="0095238A" w:rsidRPr="00BD7537" w14:paraId="0399D450" w14:textId="77777777" w:rsidTr="00EC32C9">
        <w:tc>
          <w:tcPr>
            <w:tcW w:w="562" w:type="dxa"/>
            <w:tcBorders>
              <w:top w:val="nil"/>
              <w:left w:val="nil"/>
              <w:bottom w:val="nil"/>
              <w:right w:val="nil"/>
            </w:tcBorders>
          </w:tcPr>
          <w:p w14:paraId="23856F5C" w14:textId="2111A4B0"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26</w:t>
            </w:r>
          </w:p>
        </w:tc>
        <w:tc>
          <w:tcPr>
            <w:tcW w:w="3695" w:type="dxa"/>
            <w:tcBorders>
              <w:top w:val="nil"/>
              <w:left w:val="nil"/>
              <w:bottom w:val="nil"/>
              <w:right w:val="nil"/>
            </w:tcBorders>
          </w:tcPr>
          <w:p w14:paraId="510DF0DE" w14:textId="77777777" w:rsidR="0095238A" w:rsidRPr="00BD7537" w:rsidRDefault="0095238A" w:rsidP="0095238A">
            <w:pPr>
              <w:rPr>
                <w:rFonts w:ascii="Times New Roman" w:hAnsi="Times New Roman" w:cs="Times New Roman"/>
                <w:sz w:val="24"/>
                <w:szCs w:val="24"/>
              </w:rPr>
            </w:pPr>
            <w:r w:rsidRPr="00EF6D57">
              <w:rPr>
                <w:rFonts w:ascii="Times New Roman" w:hAnsi="Times New Roman" w:cs="Times New Roman"/>
                <w:sz w:val="24"/>
                <w:szCs w:val="24"/>
              </w:rPr>
              <w:t>Descriptive statistics of the brand likeability construct</w:t>
            </w:r>
          </w:p>
        </w:tc>
        <w:tc>
          <w:tcPr>
            <w:tcW w:w="5803" w:type="dxa"/>
            <w:tcBorders>
              <w:top w:val="nil"/>
              <w:left w:val="nil"/>
              <w:bottom w:val="nil"/>
              <w:right w:val="nil"/>
            </w:tcBorders>
          </w:tcPr>
          <w:p w14:paraId="1EDE4353"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4FC9965A" w14:textId="08275AE5" w:rsidR="0095238A" w:rsidRPr="00BD7537" w:rsidRDefault="0095238A" w:rsidP="0095238A">
            <w:pPr>
              <w:rPr>
                <w:rFonts w:ascii="Times New Roman" w:hAnsi="Times New Roman" w:cs="Times New Roman"/>
              </w:rPr>
            </w:pPr>
            <w:r>
              <w:rPr>
                <w:rFonts w:ascii="Times New Roman" w:hAnsi="Times New Roman" w:cs="Times New Roman"/>
              </w:rPr>
              <w:t>184</w:t>
            </w:r>
          </w:p>
        </w:tc>
      </w:tr>
      <w:tr w:rsidR="0095238A" w:rsidRPr="00BD7537" w14:paraId="0FC58B1F" w14:textId="77777777" w:rsidTr="00EC32C9">
        <w:tc>
          <w:tcPr>
            <w:tcW w:w="562" w:type="dxa"/>
            <w:tcBorders>
              <w:top w:val="nil"/>
              <w:left w:val="nil"/>
              <w:bottom w:val="nil"/>
              <w:right w:val="nil"/>
            </w:tcBorders>
          </w:tcPr>
          <w:p w14:paraId="3F72BDD4" w14:textId="0D06F2B0"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27</w:t>
            </w:r>
          </w:p>
        </w:tc>
        <w:tc>
          <w:tcPr>
            <w:tcW w:w="3695" w:type="dxa"/>
            <w:tcBorders>
              <w:top w:val="nil"/>
              <w:left w:val="nil"/>
              <w:bottom w:val="nil"/>
              <w:right w:val="nil"/>
            </w:tcBorders>
          </w:tcPr>
          <w:p w14:paraId="2FE953C5" w14:textId="77777777" w:rsidR="0095238A" w:rsidRPr="00BD7537" w:rsidRDefault="0095238A" w:rsidP="0095238A">
            <w:pPr>
              <w:rPr>
                <w:rFonts w:ascii="Times New Roman" w:hAnsi="Times New Roman" w:cs="Times New Roman"/>
                <w:sz w:val="24"/>
                <w:szCs w:val="24"/>
              </w:rPr>
            </w:pPr>
            <w:r w:rsidRPr="00EF6D57">
              <w:rPr>
                <w:rFonts w:ascii="Times New Roman" w:hAnsi="Times New Roman" w:cs="Times New Roman"/>
                <w:sz w:val="24"/>
                <w:szCs w:val="24"/>
              </w:rPr>
              <w:t>Descriptive statistics of the</w:t>
            </w:r>
            <w:r>
              <w:rPr>
                <w:rFonts w:ascii="Times New Roman" w:hAnsi="Times New Roman" w:cs="Times New Roman"/>
                <w:sz w:val="24"/>
                <w:szCs w:val="24"/>
              </w:rPr>
              <w:t xml:space="preserve"> emotional</w:t>
            </w:r>
            <w:r w:rsidRPr="00EF6D57">
              <w:rPr>
                <w:rFonts w:ascii="Times New Roman" w:hAnsi="Times New Roman" w:cs="Times New Roman"/>
                <w:sz w:val="24"/>
                <w:szCs w:val="24"/>
              </w:rPr>
              <w:t xml:space="preserve"> brand attachment construct</w:t>
            </w:r>
          </w:p>
        </w:tc>
        <w:tc>
          <w:tcPr>
            <w:tcW w:w="5803" w:type="dxa"/>
            <w:tcBorders>
              <w:top w:val="nil"/>
              <w:left w:val="nil"/>
              <w:bottom w:val="nil"/>
              <w:right w:val="nil"/>
            </w:tcBorders>
          </w:tcPr>
          <w:p w14:paraId="253F79AB"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0F2B6B71" w14:textId="0DCEEAF4" w:rsidR="0095238A" w:rsidRPr="00BD7537" w:rsidRDefault="0095238A" w:rsidP="0095238A">
            <w:pPr>
              <w:rPr>
                <w:rFonts w:ascii="Times New Roman" w:hAnsi="Times New Roman" w:cs="Times New Roman"/>
              </w:rPr>
            </w:pPr>
            <w:r>
              <w:rPr>
                <w:rFonts w:ascii="Times New Roman" w:hAnsi="Times New Roman" w:cs="Times New Roman"/>
              </w:rPr>
              <w:t>184</w:t>
            </w:r>
          </w:p>
        </w:tc>
      </w:tr>
      <w:tr w:rsidR="0095238A" w:rsidRPr="00BD7537" w14:paraId="06377703" w14:textId="77777777" w:rsidTr="00EC32C9">
        <w:tc>
          <w:tcPr>
            <w:tcW w:w="562" w:type="dxa"/>
            <w:tcBorders>
              <w:top w:val="nil"/>
              <w:left w:val="nil"/>
              <w:bottom w:val="nil"/>
              <w:right w:val="nil"/>
            </w:tcBorders>
          </w:tcPr>
          <w:p w14:paraId="2876D92A" w14:textId="26723A1A"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28</w:t>
            </w:r>
          </w:p>
        </w:tc>
        <w:tc>
          <w:tcPr>
            <w:tcW w:w="3695" w:type="dxa"/>
            <w:tcBorders>
              <w:top w:val="nil"/>
              <w:left w:val="nil"/>
              <w:bottom w:val="nil"/>
              <w:right w:val="nil"/>
            </w:tcBorders>
          </w:tcPr>
          <w:p w14:paraId="7275DCDF" w14:textId="77777777" w:rsidR="0095238A" w:rsidRPr="00EF6D57" w:rsidRDefault="0095238A" w:rsidP="0095238A">
            <w:pPr>
              <w:jc w:val="both"/>
              <w:rPr>
                <w:rFonts w:asciiTheme="majorBidi" w:hAnsiTheme="majorBidi" w:cstheme="majorBidi"/>
                <w:sz w:val="24"/>
                <w:szCs w:val="24"/>
                <w:lang w:bidi="ar-EG"/>
              </w:rPr>
            </w:pPr>
            <w:r w:rsidRPr="00EF6D57">
              <w:rPr>
                <w:rFonts w:asciiTheme="majorBidi" w:hAnsiTheme="majorBidi" w:cstheme="majorBidi"/>
                <w:sz w:val="24"/>
                <w:szCs w:val="24"/>
                <w:lang w:bidi="ar-EG"/>
              </w:rPr>
              <w:t>Descriptive statistics of the brand trust construct</w:t>
            </w:r>
          </w:p>
        </w:tc>
        <w:tc>
          <w:tcPr>
            <w:tcW w:w="5803" w:type="dxa"/>
            <w:tcBorders>
              <w:top w:val="nil"/>
              <w:left w:val="nil"/>
              <w:bottom w:val="nil"/>
              <w:right w:val="nil"/>
            </w:tcBorders>
          </w:tcPr>
          <w:p w14:paraId="2EA75531"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47C0E24" w14:textId="49D67E79" w:rsidR="0095238A" w:rsidRPr="00BD7537" w:rsidRDefault="0095238A" w:rsidP="0095238A">
            <w:pPr>
              <w:rPr>
                <w:rFonts w:ascii="Times New Roman" w:hAnsi="Times New Roman" w:cs="Times New Roman"/>
              </w:rPr>
            </w:pPr>
            <w:r>
              <w:rPr>
                <w:rFonts w:ascii="Times New Roman" w:hAnsi="Times New Roman" w:cs="Times New Roman"/>
              </w:rPr>
              <w:t>185</w:t>
            </w:r>
          </w:p>
        </w:tc>
      </w:tr>
      <w:tr w:rsidR="0095238A" w:rsidRPr="00BD7537" w14:paraId="516D27FF" w14:textId="77777777" w:rsidTr="00EC32C9">
        <w:tc>
          <w:tcPr>
            <w:tcW w:w="562" w:type="dxa"/>
            <w:tcBorders>
              <w:top w:val="nil"/>
              <w:left w:val="nil"/>
              <w:bottom w:val="nil"/>
              <w:right w:val="nil"/>
            </w:tcBorders>
          </w:tcPr>
          <w:p w14:paraId="18DD7234" w14:textId="770673D0"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29</w:t>
            </w:r>
          </w:p>
        </w:tc>
        <w:tc>
          <w:tcPr>
            <w:tcW w:w="3695" w:type="dxa"/>
            <w:tcBorders>
              <w:top w:val="nil"/>
              <w:left w:val="nil"/>
              <w:bottom w:val="nil"/>
              <w:right w:val="nil"/>
            </w:tcBorders>
          </w:tcPr>
          <w:p w14:paraId="0272ECA4" w14:textId="77777777" w:rsidR="0095238A" w:rsidRPr="00F737C6" w:rsidRDefault="0095238A" w:rsidP="0095238A">
            <w:pPr>
              <w:rPr>
                <w:rFonts w:asciiTheme="majorBidi" w:hAnsiTheme="majorBidi" w:cstheme="majorBidi"/>
              </w:rPr>
            </w:pPr>
            <w:r w:rsidRPr="00EF6D57">
              <w:rPr>
                <w:rFonts w:asciiTheme="majorBidi" w:hAnsiTheme="majorBidi" w:cstheme="majorBidi"/>
              </w:rPr>
              <w:t>Descriptive statistics of the purchase intention construct</w:t>
            </w:r>
          </w:p>
        </w:tc>
        <w:tc>
          <w:tcPr>
            <w:tcW w:w="5803" w:type="dxa"/>
            <w:tcBorders>
              <w:top w:val="nil"/>
              <w:left w:val="nil"/>
              <w:bottom w:val="nil"/>
              <w:right w:val="nil"/>
            </w:tcBorders>
          </w:tcPr>
          <w:p w14:paraId="0DED0874"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5969F873" w14:textId="645729B4" w:rsidR="0095238A" w:rsidRPr="00BD7537" w:rsidRDefault="0095238A" w:rsidP="0095238A">
            <w:pPr>
              <w:rPr>
                <w:rFonts w:ascii="Times New Roman" w:hAnsi="Times New Roman" w:cs="Times New Roman"/>
              </w:rPr>
            </w:pPr>
            <w:r>
              <w:rPr>
                <w:rFonts w:ascii="Times New Roman" w:hAnsi="Times New Roman" w:cs="Times New Roman"/>
              </w:rPr>
              <w:t>185</w:t>
            </w:r>
          </w:p>
        </w:tc>
      </w:tr>
      <w:tr w:rsidR="0095238A" w:rsidRPr="00BD7537" w14:paraId="565D9E4B" w14:textId="77777777" w:rsidTr="00EC32C9">
        <w:tc>
          <w:tcPr>
            <w:tcW w:w="562" w:type="dxa"/>
            <w:tcBorders>
              <w:top w:val="nil"/>
              <w:left w:val="nil"/>
              <w:bottom w:val="nil"/>
              <w:right w:val="nil"/>
            </w:tcBorders>
          </w:tcPr>
          <w:p w14:paraId="63A441C5" w14:textId="02686139"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30</w:t>
            </w:r>
          </w:p>
        </w:tc>
        <w:tc>
          <w:tcPr>
            <w:tcW w:w="3695" w:type="dxa"/>
            <w:tcBorders>
              <w:top w:val="nil"/>
              <w:left w:val="nil"/>
              <w:bottom w:val="nil"/>
              <w:right w:val="nil"/>
            </w:tcBorders>
          </w:tcPr>
          <w:p w14:paraId="2F7BFE21" w14:textId="77777777"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T</w:t>
            </w:r>
            <w:r w:rsidRPr="00EF6D57">
              <w:rPr>
                <w:rFonts w:ascii="Times New Roman" w:hAnsi="Times New Roman" w:cs="Times New Roman"/>
                <w:sz w:val="24"/>
                <w:szCs w:val="24"/>
              </w:rPr>
              <w:t>est of normality and value of significance of the variables</w:t>
            </w:r>
          </w:p>
        </w:tc>
        <w:tc>
          <w:tcPr>
            <w:tcW w:w="5803" w:type="dxa"/>
            <w:tcBorders>
              <w:top w:val="nil"/>
              <w:left w:val="nil"/>
              <w:bottom w:val="nil"/>
              <w:right w:val="nil"/>
            </w:tcBorders>
          </w:tcPr>
          <w:p w14:paraId="42D1107B"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9720603" w14:textId="7BB5C3B6" w:rsidR="0095238A" w:rsidRPr="00BD7537" w:rsidRDefault="0095238A" w:rsidP="0095238A">
            <w:pPr>
              <w:rPr>
                <w:rFonts w:ascii="Times New Roman" w:hAnsi="Times New Roman" w:cs="Times New Roman"/>
              </w:rPr>
            </w:pPr>
            <w:r>
              <w:rPr>
                <w:rFonts w:ascii="Times New Roman" w:hAnsi="Times New Roman" w:cs="Times New Roman"/>
              </w:rPr>
              <w:t>18</w:t>
            </w:r>
            <w:r w:rsidR="009B4425">
              <w:rPr>
                <w:rFonts w:ascii="Times New Roman" w:hAnsi="Times New Roman" w:cs="Times New Roman"/>
              </w:rPr>
              <w:t>7</w:t>
            </w:r>
          </w:p>
        </w:tc>
      </w:tr>
      <w:tr w:rsidR="0095238A" w:rsidRPr="00BD7537" w14:paraId="707CE72E" w14:textId="77777777" w:rsidTr="00EC32C9">
        <w:tc>
          <w:tcPr>
            <w:tcW w:w="562" w:type="dxa"/>
            <w:tcBorders>
              <w:top w:val="nil"/>
              <w:left w:val="nil"/>
              <w:bottom w:val="nil"/>
              <w:right w:val="nil"/>
            </w:tcBorders>
          </w:tcPr>
          <w:p w14:paraId="608E9117" w14:textId="276BAD70"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31</w:t>
            </w:r>
          </w:p>
        </w:tc>
        <w:tc>
          <w:tcPr>
            <w:tcW w:w="3695" w:type="dxa"/>
            <w:tcBorders>
              <w:top w:val="nil"/>
              <w:left w:val="nil"/>
              <w:bottom w:val="nil"/>
              <w:right w:val="nil"/>
            </w:tcBorders>
          </w:tcPr>
          <w:p w14:paraId="58610422" w14:textId="77777777" w:rsidR="0095238A" w:rsidRPr="00BD7537" w:rsidRDefault="0095238A" w:rsidP="0095238A">
            <w:pPr>
              <w:rPr>
                <w:rFonts w:ascii="Times New Roman" w:hAnsi="Times New Roman" w:cs="Times New Roman"/>
                <w:sz w:val="24"/>
                <w:szCs w:val="24"/>
              </w:rPr>
            </w:pPr>
            <w:r w:rsidRPr="00EF6D57">
              <w:rPr>
                <w:rFonts w:ascii="Times New Roman" w:hAnsi="Times New Roman" w:cs="Times New Roman"/>
                <w:sz w:val="24"/>
                <w:szCs w:val="24"/>
              </w:rPr>
              <w:t>Pearson’s coefficient correlation between the variables of the study</w:t>
            </w:r>
          </w:p>
        </w:tc>
        <w:tc>
          <w:tcPr>
            <w:tcW w:w="5803" w:type="dxa"/>
            <w:tcBorders>
              <w:top w:val="nil"/>
              <w:left w:val="nil"/>
              <w:bottom w:val="nil"/>
              <w:right w:val="nil"/>
            </w:tcBorders>
          </w:tcPr>
          <w:p w14:paraId="1CE871F5"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C68832C" w14:textId="1ED340D4" w:rsidR="0095238A" w:rsidRPr="00BD7537" w:rsidRDefault="0095238A" w:rsidP="0095238A">
            <w:pPr>
              <w:rPr>
                <w:rFonts w:ascii="Times New Roman" w:hAnsi="Times New Roman" w:cs="Times New Roman"/>
              </w:rPr>
            </w:pPr>
            <w:r>
              <w:rPr>
                <w:rFonts w:ascii="Times New Roman" w:hAnsi="Times New Roman" w:cs="Times New Roman"/>
              </w:rPr>
              <w:t>18</w:t>
            </w:r>
            <w:r w:rsidR="009B4425">
              <w:rPr>
                <w:rFonts w:ascii="Times New Roman" w:hAnsi="Times New Roman" w:cs="Times New Roman"/>
              </w:rPr>
              <w:t>8</w:t>
            </w:r>
          </w:p>
        </w:tc>
      </w:tr>
      <w:tr w:rsidR="0095238A" w:rsidRPr="00BD7537" w14:paraId="716583DA" w14:textId="77777777" w:rsidTr="00EC32C9">
        <w:tc>
          <w:tcPr>
            <w:tcW w:w="562" w:type="dxa"/>
            <w:tcBorders>
              <w:top w:val="nil"/>
              <w:left w:val="nil"/>
              <w:bottom w:val="nil"/>
              <w:right w:val="nil"/>
            </w:tcBorders>
          </w:tcPr>
          <w:p w14:paraId="02BDB265" w14:textId="3C5B30B7"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32</w:t>
            </w:r>
          </w:p>
        </w:tc>
        <w:tc>
          <w:tcPr>
            <w:tcW w:w="3695" w:type="dxa"/>
            <w:tcBorders>
              <w:top w:val="nil"/>
              <w:left w:val="nil"/>
              <w:bottom w:val="nil"/>
              <w:right w:val="nil"/>
            </w:tcBorders>
          </w:tcPr>
          <w:p w14:paraId="427188B6" w14:textId="77777777" w:rsidR="0095238A" w:rsidRPr="00EF6D57" w:rsidRDefault="0095238A" w:rsidP="0095238A">
            <w:pPr>
              <w:rPr>
                <w:rFonts w:asciiTheme="majorBidi" w:hAnsiTheme="majorBidi" w:cstheme="majorBidi"/>
                <w:sz w:val="24"/>
                <w:szCs w:val="24"/>
                <w:lang w:bidi="ar-EG"/>
              </w:rPr>
            </w:pPr>
            <w:r w:rsidRPr="005951BD">
              <w:rPr>
                <w:rFonts w:asciiTheme="majorBidi" w:hAnsiTheme="majorBidi" w:cstheme="majorBidi"/>
                <w:sz w:val="24"/>
                <w:szCs w:val="24"/>
                <w:lang w:bidi="ar-EG"/>
              </w:rPr>
              <w:t xml:space="preserve">T-test of the variables in the </w:t>
            </w:r>
            <w:r>
              <w:rPr>
                <w:rFonts w:asciiTheme="majorBidi" w:hAnsiTheme="majorBidi" w:cstheme="majorBidi"/>
                <w:sz w:val="24"/>
                <w:szCs w:val="24"/>
                <w:lang w:bidi="ar-EG"/>
              </w:rPr>
              <w:t>CSR and non-CSR</w:t>
            </w:r>
            <w:r w:rsidRPr="005951BD">
              <w:rPr>
                <w:rFonts w:asciiTheme="majorBidi" w:hAnsiTheme="majorBidi" w:cstheme="majorBidi"/>
                <w:sz w:val="24"/>
                <w:szCs w:val="24"/>
                <w:lang w:bidi="ar-EG"/>
              </w:rPr>
              <w:t xml:space="preserve"> groups</w:t>
            </w:r>
          </w:p>
        </w:tc>
        <w:tc>
          <w:tcPr>
            <w:tcW w:w="5803" w:type="dxa"/>
            <w:tcBorders>
              <w:top w:val="nil"/>
              <w:left w:val="nil"/>
              <w:bottom w:val="nil"/>
              <w:right w:val="nil"/>
            </w:tcBorders>
          </w:tcPr>
          <w:p w14:paraId="1896748E"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5F022C2C" w14:textId="07113533" w:rsidR="0095238A" w:rsidRPr="00BD7537" w:rsidRDefault="0095238A" w:rsidP="0095238A">
            <w:pPr>
              <w:rPr>
                <w:rFonts w:ascii="Times New Roman" w:hAnsi="Times New Roman" w:cs="Times New Roman"/>
              </w:rPr>
            </w:pPr>
            <w:r>
              <w:rPr>
                <w:rFonts w:ascii="Times New Roman" w:hAnsi="Times New Roman" w:cs="Times New Roman"/>
              </w:rPr>
              <w:t>1</w:t>
            </w:r>
            <w:r w:rsidR="009B4425">
              <w:rPr>
                <w:rFonts w:ascii="Times New Roman" w:hAnsi="Times New Roman" w:cs="Times New Roman"/>
              </w:rPr>
              <w:t>91</w:t>
            </w:r>
          </w:p>
        </w:tc>
      </w:tr>
      <w:tr w:rsidR="0095238A" w:rsidRPr="00BD7537" w14:paraId="32CA2BA8" w14:textId="77777777" w:rsidTr="00EC32C9">
        <w:tc>
          <w:tcPr>
            <w:tcW w:w="562" w:type="dxa"/>
            <w:tcBorders>
              <w:top w:val="nil"/>
              <w:left w:val="nil"/>
              <w:bottom w:val="nil"/>
              <w:right w:val="nil"/>
            </w:tcBorders>
          </w:tcPr>
          <w:p w14:paraId="5E80234D" w14:textId="485D2672"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33</w:t>
            </w:r>
          </w:p>
        </w:tc>
        <w:tc>
          <w:tcPr>
            <w:tcW w:w="3695" w:type="dxa"/>
            <w:tcBorders>
              <w:top w:val="nil"/>
              <w:left w:val="nil"/>
              <w:bottom w:val="nil"/>
              <w:right w:val="nil"/>
            </w:tcBorders>
          </w:tcPr>
          <w:p w14:paraId="74D72A65" w14:textId="77777777" w:rsidR="0095238A" w:rsidRPr="00BD7537" w:rsidRDefault="0095238A" w:rsidP="0095238A">
            <w:pPr>
              <w:rPr>
                <w:rFonts w:ascii="Times New Roman" w:hAnsi="Times New Roman" w:cs="Times New Roman"/>
                <w:sz w:val="24"/>
                <w:szCs w:val="24"/>
              </w:rPr>
            </w:pPr>
            <w:r w:rsidRPr="005951BD">
              <w:rPr>
                <w:rFonts w:asciiTheme="majorBidi" w:hAnsiTheme="majorBidi" w:cstheme="majorBidi"/>
                <w:sz w:val="24"/>
                <w:szCs w:val="24"/>
                <w:lang w:bidi="ar-EG"/>
              </w:rPr>
              <w:t>T-test of the variables in the TV and social media groups</w:t>
            </w:r>
          </w:p>
        </w:tc>
        <w:tc>
          <w:tcPr>
            <w:tcW w:w="5803" w:type="dxa"/>
            <w:tcBorders>
              <w:top w:val="nil"/>
              <w:left w:val="nil"/>
              <w:bottom w:val="nil"/>
              <w:right w:val="nil"/>
            </w:tcBorders>
          </w:tcPr>
          <w:p w14:paraId="7D825455"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0BEA3399" w14:textId="791C2AE2" w:rsidR="0095238A" w:rsidRPr="00BD7537" w:rsidRDefault="0095238A" w:rsidP="0095238A">
            <w:pPr>
              <w:rPr>
                <w:rFonts w:ascii="Times New Roman" w:hAnsi="Times New Roman" w:cs="Times New Roman"/>
              </w:rPr>
            </w:pPr>
            <w:r>
              <w:rPr>
                <w:rFonts w:ascii="Times New Roman" w:hAnsi="Times New Roman" w:cs="Times New Roman"/>
              </w:rPr>
              <w:t>1</w:t>
            </w:r>
            <w:r w:rsidR="009B4425">
              <w:rPr>
                <w:rFonts w:ascii="Times New Roman" w:hAnsi="Times New Roman" w:cs="Times New Roman"/>
              </w:rPr>
              <w:t>92</w:t>
            </w:r>
          </w:p>
        </w:tc>
      </w:tr>
      <w:tr w:rsidR="0095238A" w:rsidRPr="00BD7537" w14:paraId="744C9A66" w14:textId="77777777" w:rsidTr="00EC32C9">
        <w:tc>
          <w:tcPr>
            <w:tcW w:w="562" w:type="dxa"/>
            <w:tcBorders>
              <w:top w:val="nil"/>
              <w:left w:val="nil"/>
              <w:bottom w:val="nil"/>
              <w:right w:val="nil"/>
            </w:tcBorders>
          </w:tcPr>
          <w:p w14:paraId="10F992EB" w14:textId="71FBA292"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34</w:t>
            </w:r>
          </w:p>
        </w:tc>
        <w:tc>
          <w:tcPr>
            <w:tcW w:w="3695" w:type="dxa"/>
            <w:tcBorders>
              <w:top w:val="nil"/>
              <w:left w:val="nil"/>
              <w:bottom w:val="nil"/>
              <w:right w:val="nil"/>
            </w:tcBorders>
          </w:tcPr>
          <w:p w14:paraId="5185EE67" w14:textId="77777777" w:rsidR="0095238A" w:rsidRPr="00F737C6" w:rsidRDefault="0095238A" w:rsidP="0095238A">
            <w:pPr>
              <w:spacing w:after="160" w:line="259" w:lineRule="auto"/>
              <w:rPr>
                <w:rFonts w:asciiTheme="majorBidi" w:hAnsiTheme="majorBidi" w:cstheme="majorBidi"/>
                <w:sz w:val="24"/>
                <w:szCs w:val="24"/>
                <w:lang w:bidi="ar-EG"/>
              </w:rPr>
            </w:pPr>
            <w:r w:rsidRPr="005951BD">
              <w:rPr>
                <w:rFonts w:asciiTheme="majorBidi" w:hAnsiTheme="majorBidi" w:cstheme="majorBidi"/>
                <w:sz w:val="24"/>
                <w:szCs w:val="24"/>
                <w:lang w:bidi="ar-EG"/>
              </w:rPr>
              <w:t xml:space="preserve">T-test of the variables </w:t>
            </w:r>
            <w:r>
              <w:rPr>
                <w:rFonts w:asciiTheme="majorBidi" w:hAnsiTheme="majorBidi" w:cstheme="majorBidi"/>
                <w:sz w:val="24"/>
                <w:szCs w:val="24"/>
                <w:lang w:bidi="ar-EG"/>
              </w:rPr>
              <w:t>of</w:t>
            </w:r>
            <w:r w:rsidRPr="005951BD">
              <w:rPr>
                <w:rFonts w:asciiTheme="majorBidi" w:hAnsiTheme="majorBidi" w:cstheme="majorBidi"/>
                <w:sz w:val="24"/>
                <w:szCs w:val="24"/>
                <w:lang w:bidi="ar-EG"/>
              </w:rPr>
              <w:t xml:space="preserve"> the CSR and non-CSR groups</w:t>
            </w:r>
            <w:r>
              <w:rPr>
                <w:rFonts w:asciiTheme="majorBidi" w:hAnsiTheme="majorBidi" w:cstheme="majorBidi"/>
                <w:sz w:val="24"/>
                <w:szCs w:val="24"/>
                <w:lang w:bidi="ar-EG"/>
              </w:rPr>
              <w:t xml:space="preserve"> within the Television group </w:t>
            </w:r>
          </w:p>
        </w:tc>
        <w:tc>
          <w:tcPr>
            <w:tcW w:w="5803" w:type="dxa"/>
            <w:tcBorders>
              <w:top w:val="nil"/>
              <w:left w:val="nil"/>
              <w:bottom w:val="nil"/>
              <w:right w:val="nil"/>
            </w:tcBorders>
          </w:tcPr>
          <w:p w14:paraId="1A17C5A1"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D056DA8" w14:textId="656A144D" w:rsidR="0095238A" w:rsidRPr="00BD7537" w:rsidRDefault="0095238A" w:rsidP="0095238A">
            <w:pPr>
              <w:rPr>
                <w:rFonts w:ascii="Times New Roman" w:hAnsi="Times New Roman" w:cs="Times New Roman"/>
              </w:rPr>
            </w:pPr>
            <w:r>
              <w:rPr>
                <w:rFonts w:ascii="Times New Roman" w:hAnsi="Times New Roman" w:cs="Times New Roman"/>
              </w:rPr>
              <w:t>19</w:t>
            </w:r>
            <w:r w:rsidR="009B4425">
              <w:rPr>
                <w:rFonts w:ascii="Times New Roman" w:hAnsi="Times New Roman" w:cs="Times New Roman"/>
              </w:rPr>
              <w:t>4</w:t>
            </w:r>
          </w:p>
        </w:tc>
      </w:tr>
      <w:tr w:rsidR="0095238A" w:rsidRPr="00BD7537" w14:paraId="7468F67C" w14:textId="77777777" w:rsidTr="00EC32C9">
        <w:tc>
          <w:tcPr>
            <w:tcW w:w="562" w:type="dxa"/>
            <w:tcBorders>
              <w:top w:val="nil"/>
              <w:left w:val="nil"/>
              <w:bottom w:val="nil"/>
              <w:right w:val="nil"/>
            </w:tcBorders>
          </w:tcPr>
          <w:p w14:paraId="39CC2920" w14:textId="2B9F5577"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35</w:t>
            </w:r>
          </w:p>
        </w:tc>
        <w:tc>
          <w:tcPr>
            <w:tcW w:w="3695" w:type="dxa"/>
            <w:tcBorders>
              <w:top w:val="nil"/>
              <w:left w:val="nil"/>
              <w:bottom w:val="nil"/>
              <w:right w:val="nil"/>
            </w:tcBorders>
          </w:tcPr>
          <w:p w14:paraId="68528405" w14:textId="77777777" w:rsidR="0095238A" w:rsidRPr="00EF6D57" w:rsidRDefault="0095238A" w:rsidP="0095238A">
            <w:pPr>
              <w:spacing w:after="160" w:line="259" w:lineRule="auto"/>
              <w:rPr>
                <w:rFonts w:asciiTheme="majorBidi" w:hAnsiTheme="majorBidi" w:cstheme="majorBidi"/>
                <w:sz w:val="24"/>
                <w:szCs w:val="24"/>
                <w:lang w:bidi="ar-EG"/>
              </w:rPr>
            </w:pPr>
            <w:r w:rsidRPr="005951BD">
              <w:rPr>
                <w:rFonts w:asciiTheme="majorBidi" w:hAnsiTheme="majorBidi" w:cstheme="majorBidi"/>
                <w:sz w:val="24"/>
                <w:szCs w:val="24"/>
                <w:lang w:bidi="ar-EG"/>
              </w:rPr>
              <w:t>T-test of the</w:t>
            </w:r>
            <w:r>
              <w:rPr>
                <w:rFonts w:asciiTheme="majorBidi" w:hAnsiTheme="majorBidi" w:cstheme="majorBidi"/>
                <w:sz w:val="24"/>
                <w:szCs w:val="24"/>
                <w:lang w:bidi="ar-EG"/>
              </w:rPr>
              <w:t xml:space="preserve"> </w:t>
            </w:r>
            <w:r w:rsidRPr="005951BD">
              <w:rPr>
                <w:rFonts w:asciiTheme="majorBidi" w:hAnsiTheme="majorBidi" w:cstheme="majorBidi"/>
                <w:sz w:val="24"/>
                <w:szCs w:val="24"/>
                <w:lang w:bidi="ar-EG"/>
              </w:rPr>
              <w:t>variables in the social media groups</w:t>
            </w:r>
          </w:p>
        </w:tc>
        <w:tc>
          <w:tcPr>
            <w:tcW w:w="5803" w:type="dxa"/>
            <w:tcBorders>
              <w:top w:val="nil"/>
              <w:left w:val="nil"/>
              <w:bottom w:val="nil"/>
              <w:right w:val="nil"/>
            </w:tcBorders>
          </w:tcPr>
          <w:p w14:paraId="409F9406"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44FE8CB6" w14:textId="68931120" w:rsidR="0095238A" w:rsidRPr="00BD7537" w:rsidRDefault="0095238A" w:rsidP="0095238A">
            <w:pPr>
              <w:rPr>
                <w:rFonts w:ascii="Times New Roman" w:hAnsi="Times New Roman" w:cs="Times New Roman"/>
              </w:rPr>
            </w:pPr>
            <w:r>
              <w:rPr>
                <w:rFonts w:ascii="Times New Roman" w:hAnsi="Times New Roman" w:cs="Times New Roman"/>
              </w:rPr>
              <w:t>19</w:t>
            </w:r>
            <w:r w:rsidR="009B4425">
              <w:rPr>
                <w:rFonts w:ascii="Times New Roman" w:hAnsi="Times New Roman" w:cs="Times New Roman"/>
              </w:rPr>
              <w:t>5</w:t>
            </w:r>
          </w:p>
        </w:tc>
      </w:tr>
      <w:tr w:rsidR="0095238A" w:rsidRPr="00BD7537" w14:paraId="7D84C8BE" w14:textId="77777777" w:rsidTr="00EC32C9">
        <w:tc>
          <w:tcPr>
            <w:tcW w:w="562" w:type="dxa"/>
            <w:tcBorders>
              <w:top w:val="nil"/>
              <w:left w:val="nil"/>
              <w:bottom w:val="nil"/>
              <w:right w:val="nil"/>
            </w:tcBorders>
          </w:tcPr>
          <w:p w14:paraId="79C4E11D" w14:textId="712CE8C2"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36</w:t>
            </w:r>
          </w:p>
        </w:tc>
        <w:tc>
          <w:tcPr>
            <w:tcW w:w="3695" w:type="dxa"/>
            <w:tcBorders>
              <w:top w:val="nil"/>
              <w:left w:val="nil"/>
              <w:bottom w:val="nil"/>
              <w:right w:val="nil"/>
            </w:tcBorders>
          </w:tcPr>
          <w:p w14:paraId="10FD0F4C" w14:textId="77777777" w:rsidR="0095238A" w:rsidRPr="00BD7537" w:rsidRDefault="0095238A" w:rsidP="0095238A">
            <w:pPr>
              <w:rPr>
                <w:rFonts w:ascii="Times New Roman" w:hAnsi="Times New Roman" w:cs="Times New Roman"/>
                <w:sz w:val="24"/>
                <w:szCs w:val="24"/>
              </w:rPr>
            </w:pPr>
            <w:r w:rsidRPr="005951BD">
              <w:rPr>
                <w:rFonts w:asciiTheme="majorBidi" w:hAnsiTheme="majorBidi" w:cstheme="majorBidi"/>
                <w:sz w:val="24"/>
                <w:szCs w:val="24"/>
              </w:rPr>
              <w:t>Summary of the model fit indices applied to test the study’s research model</w:t>
            </w:r>
          </w:p>
        </w:tc>
        <w:tc>
          <w:tcPr>
            <w:tcW w:w="5803" w:type="dxa"/>
            <w:tcBorders>
              <w:top w:val="nil"/>
              <w:left w:val="nil"/>
              <w:bottom w:val="nil"/>
              <w:right w:val="nil"/>
            </w:tcBorders>
          </w:tcPr>
          <w:p w14:paraId="57409087"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2F5748A" w14:textId="458C90A4" w:rsidR="0095238A" w:rsidRPr="00BD7537" w:rsidRDefault="0095238A" w:rsidP="0095238A">
            <w:pPr>
              <w:rPr>
                <w:rFonts w:ascii="Times New Roman" w:hAnsi="Times New Roman" w:cs="Times New Roman"/>
              </w:rPr>
            </w:pPr>
            <w:r>
              <w:rPr>
                <w:rFonts w:ascii="Times New Roman" w:hAnsi="Times New Roman" w:cs="Times New Roman"/>
              </w:rPr>
              <w:t>19</w:t>
            </w:r>
            <w:r w:rsidR="009B4425">
              <w:rPr>
                <w:rFonts w:ascii="Times New Roman" w:hAnsi="Times New Roman" w:cs="Times New Roman"/>
              </w:rPr>
              <w:t>7</w:t>
            </w:r>
          </w:p>
        </w:tc>
      </w:tr>
      <w:tr w:rsidR="0095238A" w:rsidRPr="00BD7537" w14:paraId="3BBAC2BF" w14:textId="77777777" w:rsidTr="00EC32C9">
        <w:tc>
          <w:tcPr>
            <w:tcW w:w="562" w:type="dxa"/>
            <w:tcBorders>
              <w:top w:val="nil"/>
              <w:left w:val="nil"/>
              <w:bottom w:val="nil"/>
              <w:right w:val="nil"/>
            </w:tcBorders>
          </w:tcPr>
          <w:p w14:paraId="6A160F77" w14:textId="1C7DB6F5"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37</w:t>
            </w:r>
          </w:p>
        </w:tc>
        <w:tc>
          <w:tcPr>
            <w:tcW w:w="3695" w:type="dxa"/>
            <w:tcBorders>
              <w:top w:val="nil"/>
              <w:left w:val="nil"/>
              <w:bottom w:val="nil"/>
              <w:right w:val="nil"/>
            </w:tcBorders>
          </w:tcPr>
          <w:p w14:paraId="6B5C3E8A" w14:textId="77777777" w:rsidR="0095238A" w:rsidRPr="00BD7537" w:rsidRDefault="0095238A" w:rsidP="0095238A">
            <w:pPr>
              <w:rPr>
                <w:rFonts w:ascii="Times New Roman" w:hAnsi="Times New Roman" w:cs="Times New Roman"/>
                <w:sz w:val="24"/>
                <w:szCs w:val="24"/>
              </w:rPr>
            </w:pPr>
            <w:r w:rsidRPr="00EF6D57">
              <w:rPr>
                <w:rFonts w:ascii="Times New Roman" w:hAnsi="Times New Roman" w:cs="Times New Roman"/>
                <w:sz w:val="24"/>
                <w:szCs w:val="24"/>
              </w:rPr>
              <w:t>Regression Weights: (Group number 1 - Default model)</w:t>
            </w:r>
          </w:p>
        </w:tc>
        <w:tc>
          <w:tcPr>
            <w:tcW w:w="5803" w:type="dxa"/>
            <w:tcBorders>
              <w:top w:val="nil"/>
              <w:left w:val="nil"/>
              <w:bottom w:val="nil"/>
              <w:right w:val="nil"/>
            </w:tcBorders>
          </w:tcPr>
          <w:p w14:paraId="4CD82D11"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C45C59C" w14:textId="5CA91887" w:rsidR="0095238A" w:rsidRPr="00BD7537" w:rsidRDefault="009B4425" w:rsidP="0095238A">
            <w:pPr>
              <w:rPr>
                <w:rFonts w:ascii="Times New Roman" w:hAnsi="Times New Roman" w:cs="Times New Roman"/>
              </w:rPr>
            </w:pPr>
            <w:r>
              <w:rPr>
                <w:rFonts w:ascii="Times New Roman" w:hAnsi="Times New Roman" w:cs="Times New Roman"/>
              </w:rPr>
              <w:t>201</w:t>
            </w:r>
          </w:p>
        </w:tc>
      </w:tr>
      <w:tr w:rsidR="0095238A" w:rsidRPr="00BD7537" w14:paraId="560BFD3A" w14:textId="77777777" w:rsidTr="00EC32C9">
        <w:tc>
          <w:tcPr>
            <w:tcW w:w="562" w:type="dxa"/>
            <w:tcBorders>
              <w:top w:val="nil"/>
              <w:left w:val="nil"/>
              <w:bottom w:val="nil"/>
              <w:right w:val="nil"/>
            </w:tcBorders>
          </w:tcPr>
          <w:p w14:paraId="06CDE166" w14:textId="2A2876E8" w:rsidR="0095238A" w:rsidRDefault="0095238A" w:rsidP="0095238A">
            <w:pPr>
              <w:rPr>
                <w:rFonts w:ascii="Times New Roman" w:hAnsi="Times New Roman" w:cs="Times New Roman"/>
                <w:sz w:val="24"/>
                <w:szCs w:val="24"/>
              </w:rPr>
            </w:pPr>
            <w:r>
              <w:rPr>
                <w:rFonts w:ascii="Times New Roman" w:hAnsi="Times New Roman" w:cs="Times New Roman"/>
                <w:sz w:val="24"/>
                <w:szCs w:val="24"/>
              </w:rPr>
              <w:t>38</w:t>
            </w:r>
          </w:p>
        </w:tc>
        <w:tc>
          <w:tcPr>
            <w:tcW w:w="3695" w:type="dxa"/>
            <w:tcBorders>
              <w:top w:val="nil"/>
              <w:left w:val="nil"/>
              <w:bottom w:val="nil"/>
              <w:right w:val="nil"/>
            </w:tcBorders>
          </w:tcPr>
          <w:p w14:paraId="234CA886" w14:textId="77777777" w:rsidR="0095238A" w:rsidRDefault="0095238A" w:rsidP="0095238A">
            <w:pPr>
              <w:rPr>
                <w:rFonts w:asciiTheme="majorBidi" w:hAnsiTheme="majorBidi" w:cstheme="majorBidi"/>
                <w:sz w:val="24"/>
                <w:szCs w:val="24"/>
              </w:rPr>
            </w:pPr>
            <w:r w:rsidRPr="00EF6D57">
              <w:rPr>
                <w:rFonts w:ascii="Times New Roman" w:hAnsi="Times New Roman" w:cs="Times New Roman"/>
                <w:sz w:val="24"/>
                <w:szCs w:val="24"/>
              </w:rPr>
              <w:t>Regression Weights: (Group number 1 - Default model</w:t>
            </w:r>
            <w:r>
              <w:rPr>
                <w:rFonts w:ascii="Times New Roman" w:hAnsi="Times New Roman" w:cs="Times New Roman"/>
                <w:sz w:val="24"/>
                <w:szCs w:val="24"/>
              </w:rPr>
              <w:t xml:space="preserve"> after excluding insignificant paths</w:t>
            </w:r>
            <w:r w:rsidRPr="00EF6D57">
              <w:rPr>
                <w:rFonts w:ascii="Times New Roman" w:hAnsi="Times New Roman" w:cs="Times New Roman"/>
                <w:sz w:val="24"/>
                <w:szCs w:val="24"/>
              </w:rPr>
              <w:t>)</w:t>
            </w:r>
          </w:p>
        </w:tc>
        <w:tc>
          <w:tcPr>
            <w:tcW w:w="5803" w:type="dxa"/>
            <w:tcBorders>
              <w:top w:val="nil"/>
              <w:left w:val="nil"/>
              <w:bottom w:val="nil"/>
              <w:right w:val="nil"/>
            </w:tcBorders>
          </w:tcPr>
          <w:p w14:paraId="4EE9E56F"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7E13BB79" w14:textId="26DAFB59" w:rsidR="0095238A" w:rsidRPr="00BD7537" w:rsidRDefault="009B4425" w:rsidP="0095238A">
            <w:pPr>
              <w:rPr>
                <w:rFonts w:ascii="Times New Roman" w:hAnsi="Times New Roman" w:cs="Times New Roman"/>
              </w:rPr>
            </w:pPr>
            <w:r>
              <w:rPr>
                <w:rFonts w:ascii="Times New Roman" w:hAnsi="Times New Roman" w:cs="Times New Roman"/>
              </w:rPr>
              <w:t>202</w:t>
            </w:r>
          </w:p>
        </w:tc>
      </w:tr>
      <w:tr w:rsidR="0095238A" w:rsidRPr="00BD7537" w14:paraId="425F4638" w14:textId="77777777" w:rsidTr="00EC32C9">
        <w:tc>
          <w:tcPr>
            <w:tcW w:w="562" w:type="dxa"/>
            <w:tcBorders>
              <w:top w:val="nil"/>
              <w:left w:val="nil"/>
              <w:bottom w:val="nil"/>
              <w:right w:val="nil"/>
            </w:tcBorders>
          </w:tcPr>
          <w:p w14:paraId="24FE860B" w14:textId="6FA4DD3B" w:rsidR="0095238A" w:rsidRDefault="0095238A" w:rsidP="0095238A">
            <w:pPr>
              <w:rPr>
                <w:rFonts w:ascii="Times New Roman" w:hAnsi="Times New Roman" w:cs="Times New Roman"/>
                <w:sz w:val="24"/>
                <w:szCs w:val="24"/>
              </w:rPr>
            </w:pPr>
            <w:r>
              <w:rPr>
                <w:rFonts w:ascii="Times New Roman" w:hAnsi="Times New Roman" w:cs="Times New Roman"/>
                <w:sz w:val="24"/>
                <w:szCs w:val="24"/>
              </w:rPr>
              <w:t>39</w:t>
            </w:r>
          </w:p>
        </w:tc>
        <w:tc>
          <w:tcPr>
            <w:tcW w:w="3695" w:type="dxa"/>
            <w:tcBorders>
              <w:top w:val="nil"/>
              <w:left w:val="nil"/>
              <w:bottom w:val="nil"/>
              <w:right w:val="nil"/>
            </w:tcBorders>
          </w:tcPr>
          <w:p w14:paraId="53692405" w14:textId="77777777" w:rsidR="0095238A" w:rsidRDefault="0095238A" w:rsidP="0095238A">
            <w:pPr>
              <w:rPr>
                <w:rFonts w:asciiTheme="majorBidi" w:hAnsiTheme="majorBidi" w:cstheme="majorBidi"/>
                <w:sz w:val="24"/>
                <w:szCs w:val="24"/>
              </w:rPr>
            </w:pPr>
            <w:r>
              <w:rPr>
                <w:rFonts w:asciiTheme="majorBidi" w:hAnsiTheme="majorBidi" w:cstheme="majorBidi"/>
                <w:sz w:val="24"/>
                <w:szCs w:val="24"/>
              </w:rPr>
              <w:t xml:space="preserve">R-squared results </w:t>
            </w:r>
          </w:p>
        </w:tc>
        <w:tc>
          <w:tcPr>
            <w:tcW w:w="5803" w:type="dxa"/>
            <w:tcBorders>
              <w:top w:val="nil"/>
              <w:left w:val="nil"/>
              <w:bottom w:val="nil"/>
              <w:right w:val="nil"/>
            </w:tcBorders>
          </w:tcPr>
          <w:p w14:paraId="0397AD5C"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CE25838" w14:textId="385B54FA" w:rsidR="0095238A" w:rsidRPr="00BD7537" w:rsidRDefault="009B4425" w:rsidP="0095238A">
            <w:pPr>
              <w:rPr>
                <w:rFonts w:ascii="Times New Roman" w:hAnsi="Times New Roman" w:cs="Times New Roman"/>
              </w:rPr>
            </w:pPr>
            <w:r>
              <w:rPr>
                <w:rFonts w:ascii="Times New Roman" w:hAnsi="Times New Roman" w:cs="Times New Roman"/>
              </w:rPr>
              <w:t>202</w:t>
            </w:r>
          </w:p>
        </w:tc>
      </w:tr>
      <w:tr w:rsidR="0095238A" w:rsidRPr="00BD7537" w14:paraId="0A5A67DE" w14:textId="77777777" w:rsidTr="00EC32C9">
        <w:tc>
          <w:tcPr>
            <w:tcW w:w="562" w:type="dxa"/>
            <w:tcBorders>
              <w:top w:val="nil"/>
              <w:left w:val="nil"/>
              <w:bottom w:val="nil"/>
              <w:right w:val="nil"/>
            </w:tcBorders>
          </w:tcPr>
          <w:p w14:paraId="5C159F25" w14:textId="2EEE12B4"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40</w:t>
            </w:r>
          </w:p>
        </w:tc>
        <w:tc>
          <w:tcPr>
            <w:tcW w:w="3695" w:type="dxa"/>
            <w:tcBorders>
              <w:top w:val="nil"/>
              <w:left w:val="nil"/>
              <w:bottom w:val="nil"/>
              <w:right w:val="nil"/>
            </w:tcBorders>
          </w:tcPr>
          <w:p w14:paraId="44872F40" w14:textId="77777777" w:rsidR="0095238A" w:rsidRPr="00BD7537" w:rsidRDefault="0095238A" w:rsidP="0095238A">
            <w:pPr>
              <w:rPr>
                <w:rFonts w:ascii="Times New Roman" w:hAnsi="Times New Roman" w:cs="Times New Roman"/>
                <w:sz w:val="24"/>
                <w:szCs w:val="24"/>
              </w:rPr>
            </w:pPr>
            <w:r>
              <w:rPr>
                <w:rFonts w:asciiTheme="majorBidi" w:hAnsiTheme="majorBidi" w:cstheme="majorBidi"/>
                <w:sz w:val="24"/>
                <w:szCs w:val="24"/>
              </w:rPr>
              <w:t>A summary of the indirect effects of the independent variables</w:t>
            </w:r>
          </w:p>
        </w:tc>
        <w:tc>
          <w:tcPr>
            <w:tcW w:w="5803" w:type="dxa"/>
            <w:tcBorders>
              <w:top w:val="nil"/>
              <w:left w:val="nil"/>
              <w:bottom w:val="nil"/>
              <w:right w:val="nil"/>
            </w:tcBorders>
          </w:tcPr>
          <w:p w14:paraId="112C77CE"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71FCCD3C" w14:textId="44AFDE83" w:rsidR="0095238A" w:rsidRPr="00BD7537" w:rsidRDefault="0095238A" w:rsidP="0095238A">
            <w:pPr>
              <w:rPr>
                <w:rFonts w:ascii="Times New Roman" w:hAnsi="Times New Roman" w:cs="Times New Roman"/>
              </w:rPr>
            </w:pPr>
            <w:r>
              <w:rPr>
                <w:rFonts w:ascii="Times New Roman" w:hAnsi="Times New Roman" w:cs="Times New Roman"/>
              </w:rPr>
              <w:t>20</w:t>
            </w:r>
            <w:r w:rsidR="009B4425">
              <w:rPr>
                <w:rFonts w:ascii="Times New Roman" w:hAnsi="Times New Roman" w:cs="Times New Roman"/>
              </w:rPr>
              <w:t>4</w:t>
            </w:r>
          </w:p>
        </w:tc>
      </w:tr>
      <w:tr w:rsidR="0095238A" w:rsidRPr="00BD7537" w14:paraId="2A702C46" w14:textId="77777777" w:rsidTr="00EC32C9">
        <w:tc>
          <w:tcPr>
            <w:tcW w:w="562" w:type="dxa"/>
            <w:tcBorders>
              <w:top w:val="nil"/>
              <w:left w:val="nil"/>
              <w:bottom w:val="nil"/>
              <w:right w:val="nil"/>
            </w:tcBorders>
          </w:tcPr>
          <w:p w14:paraId="494F66DF" w14:textId="481AD578"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41</w:t>
            </w:r>
          </w:p>
        </w:tc>
        <w:tc>
          <w:tcPr>
            <w:tcW w:w="3695" w:type="dxa"/>
            <w:tcBorders>
              <w:top w:val="nil"/>
              <w:left w:val="nil"/>
              <w:bottom w:val="nil"/>
              <w:right w:val="nil"/>
            </w:tcBorders>
          </w:tcPr>
          <w:p w14:paraId="062A4DD6" w14:textId="77777777" w:rsidR="0095238A" w:rsidRPr="00BD7537" w:rsidRDefault="0095238A" w:rsidP="0095238A">
            <w:pPr>
              <w:rPr>
                <w:rFonts w:ascii="Times New Roman" w:hAnsi="Times New Roman" w:cs="Times New Roman"/>
                <w:sz w:val="24"/>
                <w:szCs w:val="24"/>
              </w:rPr>
            </w:pPr>
            <w:r w:rsidRPr="00FD0A74">
              <w:rPr>
                <w:rFonts w:ascii="Times New Roman" w:hAnsi="Times New Roman" w:cs="Times New Roman"/>
                <w:sz w:val="24"/>
                <w:szCs w:val="24"/>
              </w:rPr>
              <w:t>The goodness of the model with fit Indices for the estimated SEM</w:t>
            </w:r>
          </w:p>
        </w:tc>
        <w:tc>
          <w:tcPr>
            <w:tcW w:w="5803" w:type="dxa"/>
            <w:tcBorders>
              <w:top w:val="nil"/>
              <w:left w:val="nil"/>
              <w:bottom w:val="nil"/>
              <w:right w:val="nil"/>
            </w:tcBorders>
          </w:tcPr>
          <w:p w14:paraId="1FF8AF89"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2272D55E" w14:textId="61BB97EC" w:rsidR="0095238A" w:rsidRPr="00BD7537" w:rsidRDefault="0095238A" w:rsidP="0095238A">
            <w:pPr>
              <w:rPr>
                <w:rFonts w:ascii="Times New Roman" w:hAnsi="Times New Roman" w:cs="Times New Roman"/>
              </w:rPr>
            </w:pPr>
            <w:r>
              <w:rPr>
                <w:rFonts w:ascii="Times New Roman" w:hAnsi="Times New Roman" w:cs="Times New Roman"/>
              </w:rPr>
              <w:t>20</w:t>
            </w:r>
            <w:r w:rsidR="009B4425">
              <w:rPr>
                <w:rFonts w:ascii="Times New Roman" w:hAnsi="Times New Roman" w:cs="Times New Roman"/>
              </w:rPr>
              <w:t>7</w:t>
            </w:r>
          </w:p>
        </w:tc>
      </w:tr>
      <w:tr w:rsidR="0095238A" w:rsidRPr="00BD7537" w14:paraId="580AAB12" w14:textId="77777777" w:rsidTr="00EC32C9">
        <w:tc>
          <w:tcPr>
            <w:tcW w:w="562" w:type="dxa"/>
            <w:tcBorders>
              <w:top w:val="nil"/>
              <w:left w:val="nil"/>
              <w:bottom w:val="nil"/>
              <w:right w:val="nil"/>
            </w:tcBorders>
          </w:tcPr>
          <w:p w14:paraId="2C5F4AF4" w14:textId="713686B0"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42</w:t>
            </w:r>
          </w:p>
        </w:tc>
        <w:tc>
          <w:tcPr>
            <w:tcW w:w="3695" w:type="dxa"/>
            <w:tcBorders>
              <w:top w:val="nil"/>
              <w:left w:val="nil"/>
              <w:bottom w:val="nil"/>
              <w:right w:val="nil"/>
            </w:tcBorders>
          </w:tcPr>
          <w:p w14:paraId="5ECB3E18" w14:textId="77777777" w:rsidR="0095238A" w:rsidRPr="005428B1" w:rsidRDefault="0095238A" w:rsidP="0095238A">
            <w:pPr>
              <w:rPr>
                <w:rFonts w:ascii="Times New Roman" w:hAnsi="Times New Roman" w:cs="Times New Roman"/>
                <w:sz w:val="24"/>
                <w:szCs w:val="24"/>
              </w:rPr>
            </w:pPr>
            <w:r w:rsidRPr="005428B1">
              <w:rPr>
                <w:rFonts w:asciiTheme="majorBidi" w:hAnsiTheme="majorBidi" w:cstheme="majorBidi"/>
                <w:sz w:val="24"/>
                <w:szCs w:val="24"/>
              </w:rPr>
              <w:t>Frequency of high and low perception of CSR</w:t>
            </w:r>
          </w:p>
        </w:tc>
        <w:tc>
          <w:tcPr>
            <w:tcW w:w="5803" w:type="dxa"/>
            <w:tcBorders>
              <w:top w:val="nil"/>
              <w:left w:val="nil"/>
              <w:bottom w:val="nil"/>
              <w:right w:val="nil"/>
            </w:tcBorders>
          </w:tcPr>
          <w:p w14:paraId="3619F530"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CDFFD71" w14:textId="7594055E" w:rsidR="0095238A" w:rsidRPr="00BD7537" w:rsidRDefault="0095238A" w:rsidP="0095238A">
            <w:pPr>
              <w:rPr>
                <w:rFonts w:ascii="Times New Roman" w:hAnsi="Times New Roman" w:cs="Times New Roman"/>
              </w:rPr>
            </w:pPr>
            <w:r>
              <w:rPr>
                <w:rFonts w:ascii="Times New Roman" w:hAnsi="Times New Roman" w:cs="Times New Roman"/>
              </w:rPr>
              <w:t>20</w:t>
            </w:r>
            <w:r w:rsidR="005428B1">
              <w:rPr>
                <w:rFonts w:ascii="Times New Roman" w:hAnsi="Times New Roman" w:cs="Times New Roman"/>
              </w:rPr>
              <w:t>8</w:t>
            </w:r>
          </w:p>
        </w:tc>
      </w:tr>
      <w:tr w:rsidR="0095238A" w:rsidRPr="00BD7537" w14:paraId="4A844C99" w14:textId="77777777" w:rsidTr="00EC32C9">
        <w:trPr>
          <w:trHeight w:val="122"/>
        </w:trPr>
        <w:tc>
          <w:tcPr>
            <w:tcW w:w="562" w:type="dxa"/>
            <w:tcBorders>
              <w:top w:val="nil"/>
              <w:left w:val="nil"/>
              <w:bottom w:val="nil"/>
              <w:right w:val="nil"/>
            </w:tcBorders>
          </w:tcPr>
          <w:p w14:paraId="2C51B545" w14:textId="0C61A812"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43</w:t>
            </w:r>
          </w:p>
        </w:tc>
        <w:tc>
          <w:tcPr>
            <w:tcW w:w="3695" w:type="dxa"/>
            <w:tcBorders>
              <w:top w:val="nil"/>
              <w:left w:val="nil"/>
              <w:bottom w:val="nil"/>
              <w:right w:val="nil"/>
            </w:tcBorders>
          </w:tcPr>
          <w:p w14:paraId="55A3E8D7" w14:textId="77777777" w:rsidR="0095238A" w:rsidRPr="005428B1" w:rsidRDefault="0095238A" w:rsidP="0095238A">
            <w:pPr>
              <w:rPr>
                <w:rFonts w:ascii="Times New Roman" w:hAnsi="Times New Roman" w:cs="Times New Roman"/>
                <w:sz w:val="24"/>
                <w:szCs w:val="24"/>
              </w:rPr>
            </w:pPr>
            <w:r w:rsidRPr="005428B1">
              <w:rPr>
                <w:rFonts w:ascii="Times New Roman" w:hAnsi="Times New Roman" w:cs="Times New Roman"/>
                <w:sz w:val="24"/>
                <w:szCs w:val="24"/>
              </w:rPr>
              <w:t>Z-score</w:t>
            </w:r>
          </w:p>
        </w:tc>
        <w:tc>
          <w:tcPr>
            <w:tcW w:w="5803" w:type="dxa"/>
            <w:tcBorders>
              <w:top w:val="nil"/>
              <w:left w:val="nil"/>
              <w:bottom w:val="nil"/>
              <w:right w:val="nil"/>
            </w:tcBorders>
          </w:tcPr>
          <w:p w14:paraId="0C28529B"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01F5B744" w14:textId="4D0CFA38" w:rsidR="0095238A" w:rsidRPr="00BD7537" w:rsidRDefault="0095238A" w:rsidP="0095238A">
            <w:pPr>
              <w:rPr>
                <w:rFonts w:ascii="Times New Roman" w:hAnsi="Times New Roman" w:cs="Times New Roman"/>
              </w:rPr>
            </w:pPr>
            <w:r>
              <w:rPr>
                <w:rFonts w:ascii="Times New Roman" w:hAnsi="Times New Roman" w:cs="Times New Roman"/>
              </w:rPr>
              <w:t>20</w:t>
            </w:r>
            <w:r w:rsidR="005428B1">
              <w:rPr>
                <w:rFonts w:ascii="Times New Roman" w:hAnsi="Times New Roman" w:cs="Times New Roman"/>
              </w:rPr>
              <w:t>8</w:t>
            </w:r>
          </w:p>
        </w:tc>
      </w:tr>
      <w:tr w:rsidR="0095238A" w:rsidRPr="00BD7537" w14:paraId="4085380B" w14:textId="77777777" w:rsidTr="00EC32C9">
        <w:tc>
          <w:tcPr>
            <w:tcW w:w="562" w:type="dxa"/>
            <w:tcBorders>
              <w:top w:val="nil"/>
              <w:left w:val="nil"/>
              <w:bottom w:val="nil"/>
              <w:right w:val="nil"/>
            </w:tcBorders>
          </w:tcPr>
          <w:p w14:paraId="507B5975" w14:textId="2CDBE58D"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44</w:t>
            </w:r>
          </w:p>
        </w:tc>
        <w:tc>
          <w:tcPr>
            <w:tcW w:w="3695" w:type="dxa"/>
            <w:tcBorders>
              <w:top w:val="nil"/>
              <w:left w:val="nil"/>
              <w:bottom w:val="nil"/>
              <w:right w:val="nil"/>
            </w:tcBorders>
          </w:tcPr>
          <w:p w14:paraId="2723C01D" w14:textId="77777777" w:rsidR="0095238A" w:rsidRPr="00BD7537" w:rsidRDefault="0095238A" w:rsidP="0095238A">
            <w:pPr>
              <w:rPr>
                <w:rFonts w:ascii="Times New Roman" w:hAnsi="Times New Roman" w:cs="Times New Roman"/>
                <w:sz w:val="24"/>
                <w:szCs w:val="24"/>
              </w:rPr>
            </w:pPr>
            <w:r w:rsidRPr="00D500FB">
              <w:rPr>
                <w:rFonts w:ascii="Times New Roman" w:hAnsi="Times New Roman" w:cs="Times New Roman"/>
                <w:sz w:val="24"/>
                <w:szCs w:val="24"/>
              </w:rPr>
              <w:t>Effect size of CSR perception on all variables</w:t>
            </w:r>
          </w:p>
        </w:tc>
        <w:tc>
          <w:tcPr>
            <w:tcW w:w="5803" w:type="dxa"/>
            <w:tcBorders>
              <w:top w:val="nil"/>
              <w:left w:val="nil"/>
              <w:bottom w:val="nil"/>
              <w:right w:val="nil"/>
            </w:tcBorders>
          </w:tcPr>
          <w:p w14:paraId="218DCD83"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5811DE2D" w14:textId="4506833A" w:rsidR="0095238A" w:rsidRPr="00BD7537" w:rsidRDefault="0095238A" w:rsidP="0095238A">
            <w:pPr>
              <w:rPr>
                <w:rFonts w:ascii="Times New Roman" w:hAnsi="Times New Roman" w:cs="Times New Roman"/>
              </w:rPr>
            </w:pPr>
            <w:r>
              <w:rPr>
                <w:rFonts w:ascii="Times New Roman" w:hAnsi="Times New Roman" w:cs="Times New Roman"/>
              </w:rPr>
              <w:t>2</w:t>
            </w:r>
            <w:r w:rsidR="005428B1">
              <w:rPr>
                <w:rFonts w:ascii="Times New Roman" w:hAnsi="Times New Roman" w:cs="Times New Roman"/>
              </w:rPr>
              <w:t>10</w:t>
            </w:r>
          </w:p>
        </w:tc>
      </w:tr>
      <w:tr w:rsidR="0095238A" w:rsidRPr="00BD7537" w14:paraId="3640591D" w14:textId="77777777" w:rsidTr="00EC32C9">
        <w:tc>
          <w:tcPr>
            <w:tcW w:w="562" w:type="dxa"/>
            <w:tcBorders>
              <w:top w:val="nil"/>
              <w:left w:val="nil"/>
              <w:bottom w:val="nil"/>
              <w:right w:val="nil"/>
            </w:tcBorders>
          </w:tcPr>
          <w:p w14:paraId="51C3D3B7" w14:textId="6434C0E2"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45</w:t>
            </w:r>
          </w:p>
        </w:tc>
        <w:tc>
          <w:tcPr>
            <w:tcW w:w="3695" w:type="dxa"/>
            <w:tcBorders>
              <w:top w:val="nil"/>
              <w:left w:val="nil"/>
              <w:bottom w:val="nil"/>
              <w:right w:val="nil"/>
            </w:tcBorders>
          </w:tcPr>
          <w:p w14:paraId="609DE586" w14:textId="77777777" w:rsidR="0095238A" w:rsidRPr="00BD7537" w:rsidRDefault="0095238A" w:rsidP="0095238A">
            <w:pPr>
              <w:rPr>
                <w:rFonts w:ascii="Times New Roman" w:hAnsi="Times New Roman" w:cs="Times New Roman"/>
                <w:sz w:val="24"/>
                <w:szCs w:val="24"/>
              </w:rPr>
            </w:pPr>
            <w:r w:rsidRPr="00D500FB">
              <w:rPr>
                <w:rFonts w:ascii="Times New Roman" w:hAnsi="Times New Roman" w:cs="Times New Roman"/>
                <w:sz w:val="24"/>
                <w:szCs w:val="24"/>
              </w:rPr>
              <w:t>Regression Weights: (Group number 1 - Default model)</w:t>
            </w:r>
          </w:p>
        </w:tc>
        <w:tc>
          <w:tcPr>
            <w:tcW w:w="5803" w:type="dxa"/>
            <w:tcBorders>
              <w:top w:val="nil"/>
              <w:left w:val="nil"/>
              <w:bottom w:val="nil"/>
              <w:right w:val="nil"/>
            </w:tcBorders>
          </w:tcPr>
          <w:p w14:paraId="247B41EA"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279C67A1" w14:textId="45262D24" w:rsidR="0095238A" w:rsidRPr="00BD7537" w:rsidRDefault="0095238A" w:rsidP="0095238A">
            <w:pPr>
              <w:rPr>
                <w:rFonts w:ascii="Times New Roman" w:hAnsi="Times New Roman" w:cs="Times New Roman"/>
              </w:rPr>
            </w:pPr>
            <w:r>
              <w:rPr>
                <w:rFonts w:ascii="Times New Roman" w:hAnsi="Times New Roman" w:cs="Times New Roman"/>
              </w:rPr>
              <w:t>2</w:t>
            </w:r>
            <w:r w:rsidR="005428B1">
              <w:rPr>
                <w:rFonts w:ascii="Times New Roman" w:hAnsi="Times New Roman" w:cs="Times New Roman"/>
              </w:rPr>
              <w:t>12</w:t>
            </w:r>
          </w:p>
        </w:tc>
      </w:tr>
      <w:tr w:rsidR="0095238A" w:rsidRPr="00BD7537" w14:paraId="36DB69C2" w14:textId="77777777" w:rsidTr="00EC32C9">
        <w:tc>
          <w:tcPr>
            <w:tcW w:w="562" w:type="dxa"/>
            <w:tcBorders>
              <w:top w:val="nil"/>
              <w:left w:val="nil"/>
              <w:bottom w:val="nil"/>
              <w:right w:val="nil"/>
            </w:tcBorders>
          </w:tcPr>
          <w:p w14:paraId="14C68225" w14:textId="6FD1D528" w:rsidR="0095238A" w:rsidRDefault="0095238A" w:rsidP="0095238A">
            <w:pPr>
              <w:rPr>
                <w:rFonts w:ascii="Times New Roman" w:hAnsi="Times New Roman" w:cs="Times New Roman"/>
                <w:sz w:val="24"/>
                <w:szCs w:val="24"/>
              </w:rPr>
            </w:pPr>
            <w:r>
              <w:rPr>
                <w:rFonts w:ascii="Times New Roman" w:hAnsi="Times New Roman" w:cs="Times New Roman"/>
                <w:sz w:val="24"/>
                <w:szCs w:val="24"/>
              </w:rPr>
              <w:t>46</w:t>
            </w:r>
          </w:p>
        </w:tc>
        <w:tc>
          <w:tcPr>
            <w:tcW w:w="3695" w:type="dxa"/>
            <w:tcBorders>
              <w:top w:val="nil"/>
              <w:left w:val="nil"/>
              <w:bottom w:val="nil"/>
              <w:right w:val="nil"/>
            </w:tcBorders>
          </w:tcPr>
          <w:p w14:paraId="1E7B8848" w14:textId="34C29F04" w:rsidR="0095238A" w:rsidRPr="00D500FB" w:rsidRDefault="0095238A" w:rsidP="0095238A">
            <w:pPr>
              <w:rPr>
                <w:rFonts w:ascii="Times New Roman" w:hAnsi="Times New Roman" w:cs="Times New Roman"/>
                <w:sz w:val="24"/>
                <w:szCs w:val="24"/>
              </w:rPr>
            </w:pPr>
            <w:r w:rsidRPr="001D14BD">
              <w:rPr>
                <w:rFonts w:ascii="Times New Roman" w:hAnsi="Times New Roman" w:cs="Times New Roman"/>
                <w:sz w:val="24"/>
                <w:szCs w:val="24"/>
              </w:rPr>
              <w:t>Regression Weights: (Group numb 1 – Default model)</w:t>
            </w:r>
          </w:p>
        </w:tc>
        <w:tc>
          <w:tcPr>
            <w:tcW w:w="5803" w:type="dxa"/>
            <w:tcBorders>
              <w:top w:val="nil"/>
              <w:left w:val="nil"/>
              <w:bottom w:val="nil"/>
              <w:right w:val="nil"/>
            </w:tcBorders>
          </w:tcPr>
          <w:p w14:paraId="0427E689" w14:textId="77777777" w:rsidR="0095238A" w:rsidRDefault="0095238A" w:rsidP="0095238A">
            <w:pPr>
              <w:rPr>
                <w:rFonts w:ascii="Times New Roman" w:hAnsi="Times New Roman" w:cs="Times New Roman"/>
              </w:rPr>
            </w:pPr>
          </w:p>
        </w:tc>
        <w:tc>
          <w:tcPr>
            <w:tcW w:w="708" w:type="dxa"/>
            <w:tcBorders>
              <w:top w:val="nil"/>
              <w:left w:val="nil"/>
              <w:bottom w:val="nil"/>
              <w:right w:val="nil"/>
            </w:tcBorders>
          </w:tcPr>
          <w:p w14:paraId="09C3C7FA" w14:textId="1F51EF26" w:rsidR="0095238A" w:rsidRPr="00BD7537" w:rsidRDefault="0095238A" w:rsidP="0095238A">
            <w:pPr>
              <w:rPr>
                <w:rFonts w:ascii="Times New Roman" w:hAnsi="Times New Roman" w:cs="Times New Roman"/>
              </w:rPr>
            </w:pPr>
            <w:r>
              <w:rPr>
                <w:rFonts w:ascii="Times New Roman" w:hAnsi="Times New Roman" w:cs="Times New Roman"/>
              </w:rPr>
              <w:t>21</w:t>
            </w:r>
            <w:r w:rsidR="005428B1">
              <w:rPr>
                <w:rFonts w:ascii="Times New Roman" w:hAnsi="Times New Roman" w:cs="Times New Roman"/>
              </w:rPr>
              <w:t>4</w:t>
            </w:r>
          </w:p>
        </w:tc>
      </w:tr>
      <w:tr w:rsidR="0095238A" w:rsidRPr="00BD7537" w14:paraId="7B5EE7AC" w14:textId="77777777" w:rsidTr="00EC32C9">
        <w:tc>
          <w:tcPr>
            <w:tcW w:w="562" w:type="dxa"/>
            <w:tcBorders>
              <w:top w:val="nil"/>
              <w:left w:val="nil"/>
              <w:bottom w:val="nil"/>
              <w:right w:val="nil"/>
            </w:tcBorders>
          </w:tcPr>
          <w:p w14:paraId="5DA78E44" w14:textId="2494D559"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47</w:t>
            </w:r>
          </w:p>
        </w:tc>
        <w:tc>
          <w:tcPr>
            <w:tcW w:w="3695" w:type="dxa"/>
            <w:tcBorders>
              <w:top w:val="nil"/>
              <w:left w:val="nil"/>
              <w:bottom w:val="nil"/>
              <w:right w:val="nil"/>
            </w:tcBorders>
          </w:tcPr>
          <w:p w14:paraId="0009B3A7" w14:textId="77777777" w:rsidR="0095238A" w:rsidRPr="00BD7537" w:rsidRDefault="0095238A" w:rsidP="0095238A">
            <w:pPr>
              <w:rPr>
                <w:rFonts w:ascii="Times New Roman" w:hAnsi="Times New Roman" w:cs="Times New Roman"/>
                <w:sz w:val="24"/>
                <w:szCs w:val="24"/>
              </w:rPr>
            </w:pPr>
            <w:r w:rsidRPr="00D500FB">
              <w:rPr>
                <w:rFonts w:ascii="Times New Roman" w:hAnsi="Times New Roman" w:cs="Times New Roman"/>
                <w:sz w:val="24"/>
                <w:szCs w:val="24"/>
              </w:rPr>
              <w:t>The goodness of the model with fit Indices for the estimated SEM</w:t>
            </w:r>
          </w:p>
        </w:tc>
        <w:tc>
          <w:tcPr>
            <w:tcW w:w="5803" w:type="dxa"/>
            <w:tcBorders>
              <w:top w:val="nil"/>
              <w:left w:val="nil"/>
              <w:bottom w:val="nil"/>
              <w:right w:val="nil"/>
            </w:tcBorders>
          </w:tcPr>
          <w:p w14:paraId="0F3DC531"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4FC2B321" w14:textId="1301A305" w:rsidR="0095238A" w:rsidRPr="00BD7537" w:rsidRDefault="0095238A" w:rsidP="0095238A">
            <w:pPr>
              <w:rPr>
                <w:rFonts w:ascii="Times New Roman" w:hAnsi="Times New Roman" w:cs="Times New Roman"/>
              </w:rPr>
            </w:pPr>
            <w:r>
              <w:rPr>
                <w:rFonts w:ascii="Times New Roman" w:hAnsi="Times New Roman" w:cs="Times New Roman"/>
              </w:rPr>
              <w:t>21</w:t>
            </w:r>
            <w:r w:rsidR="005428B1">
              <w:rPr>
                <w:rFonts w:ascii="Times New Roman" w:hAnsi="Times New Roman" w:cs="Times New Roman"/>
              </w:rPr>
              <w:t>4</w:t>
            </w:r>
          </w:p>
        </w:tc>
      </w:tr>
      <w:tr w:rsidR="0095238A" w:rsidRPr="00BD7537" w14:paraId="0D4D6524" w14:textId="77777777" w:rsidTr="00EC32C9">
        <w:tc>
          <w:tcPr>
            <w:tcW w:w="562" w:type="dxa"/>
            <w:tcBorders>
              <w:top w:val="nil"/>
              <w:left w:val="nil"/>
              <w:bottom w:val="nil"/>
              <w:right w:val="nil"/>
            </w:tcBorders>
          </w:tcPr>
          <w:p w14:paraId="02EAB4B0" w14:textId="3874006D"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48</w:t>
            </w:r>
          </w:p>
        </w:tc>
        <w:tc>
          <w:tcPr>
            <w:tcW w:w="3695" w:type="dxa"/>
            <w:tcBorders>
              <w:top w:val="nil"/>
              <w:left w:val="nil"/>
              <w:bottom w:val="nil"/>
              <w:right w:val="nil"/>
            </w:tcBorders>
          </w:tcPr>
          <w:p w14:paraId="01227984" w14:textId="3BAE7414" w:rsidR="0095238A" w:rsidRPr="00BD7537" w:rsidRDefault="0095238A" w:rsidP="0095238A">
            <w:pPr>
              <w:rPr>
                <w:rFonts w:ascii="Times New Roman" w:hAnsi="Times New Roman" w:cs="Times New Roman"/>
                <w:sz w:val="24"/>
                <w:szCs w:val="24"/>
              </w:rPr>
            </w:pPr>
            <w:r w:rsidRPr="00D500FB">
              <w:rPr>
                <w:rFonts w:ascii="Times New Roman" w:hAnsi="Times New Roman" w:cs="Times New Roman"/>
                <w:sz w:val="24"/>
                <w:szCs w:val="24"/>
              </w:rPr>
              <w:t>Regression Weights: (Group number 2 - Default model)</w:t>
            </w:r>
          </w:p>
        </w:tc>
        <w:tc>
          <w:tcPr>
            <w:tcW w:w="5803" w:type="dxa"/>
            <w:tcBorders>
              <w:top w:val="nil"/>
              <w:left w:val="nil"/>
              <w:bottom w:val="nil"/>
              <w:right w:val="nil"/>
            </w:tcBorders>
          </w:tcPr>
          <w:p w14:paraId="229C6B90"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5D73D09" w14:textId="74D8D350" w:rsidR="0095238A" w:rsidRPr="00BD7537" w:rsidRDefault="0095238A" w:rsidP="0095238A">
            <w:pPr>
              <w:rPr>
                <w:rFonts w:ascii="Times New Roman" w:hAnsi="Times New Roman" w:cs="Times New Roman"/>
              </w:rPr>
            </w:pPr>
            <w:r>
              <w:rPr>
                <w:rFonts w:ascii="Times New Roman" w:hAnsi="Times New Roman" w:cs="Times New Roman"/>
              </w:rPr>
              <w:t>21</w:t>
            </w:r>
            <w:r w:rsidR="005428B1">
              <w:rPr>
                <w:rFonts w:ascii="Times New Roman" w:hAnsi="Times New Roman" w:cs="Times New Roman"/>
              </w:rPr>
              <w:t>6</w:t>
            </w:r>
          </w:p>
        </w:tc>
      </w:tr>
      <w:tr w:rsidR="0095238A" w:rsidRPr="00BD7537" w14:paraId="2A1B7904" w14:textId="77777777" w:rsidTr="00EC32C9">
        <w:tc>
          <w:tcPr>
            <w:tcW w:w="562" w:type="dxa"/>
            <w:tcBorders>
              <w:top w:val="nil"/>
              <w:left w:val="nil"/>
              <w:bottom w:val="nil"/>
              <w:right w:val="nil"/>
            </w:tcBorders>
          </w:tcPr>
          <w:p w14:paraId="399F1EE3" w14:textId="2BF69F1C" w:rsidR="0095238A" w:rsidRDefault="0095238A" w:rsidP="0095238A">
            <w:pPr>
              <w:rPr>
                <w:rFonts w:ascii="Times New Roman" w:hAnsi="Times New Roman" w:cs="Times New Roman"/>
                <w:sz w:val="24"/>
                <w:szCs w:val="24"/>
              </w:rPr>
            </w:pPr>
            <w:r>
              <w:rPr>
                <w:rFonts w:ascii="Times New Roman" w:hAnsi="Times New Roman" w:cs="Times New Roman"/>
                <w:sz w:val="24"/>
                <w:szCs w:val="24"/>
              </w:rPr>
              <w:t>49</w:t>
            </w:r>
          </w:p>
        </w:tc>
        <w:tc>
          <w:tcPr>
            <w:tcW w:w="3695" w:type="dxa"/>
            <w:tcBorders>
              <w:top w:val="nil"/>
              <w:left w:val="nil"/>
              <w:bottom w:val="nil"/>
              <w:right w:val="nil"/>
            </w:tcBorders>
          </w:tcPr>
          <w:p w14:paraId="2870C14F" w14:textId="304EC04C" w:rsidR="0095238A" w:rsidRPr="00D500FB" w:rsidRDefault="0095238A" w:rsidP="0095238A">
            <w:pPr>
              <w:rPr>
                <w:rFonts w:ascii="Times New Roman" w:hAnsi="Times New Roman" w:cs="Times New Roman"/>
                <w:sz w:val="24"/>
                <w:szCs w:val="24"/>
              </w:rPr>
            </w:pPr>
            <w:r w:rsidRPr="00D500FB">
              <w:rPr>
                <w:rFonts w:ascii="Times New Roman" w:hAnsi="Times New Roman" w:cs="Times New Roman"/>
                <w:sz w:val="24"/>
                <w:szCs w:val="24"/>
              </w:rPr>
              <w:t xml:space="preserve">Regression Weights: (Group number 2 </w:t>
            </w:r>
            <w:r>
              <w:rPr>
                <w:rFonts w:ascii="Times New Roman" w:hAnsi="Times New Roman" w:cs="Times New Roman"/>
                <w:sz w:val="24"/>
                <w:szCs w:val="24"/>
              </w:rPr>
              <w:t>–</w:t>
            </w:r>
            <w:r w:rsidRPr="00D500FB">
              <w:rPr>
                <w:rFonts w:ascii="Times New Roman" w:hAnsi="Times New Roman" w:cs="Times New Roman"/>
                <w:sz w:val="24"/>
                <w:szCs w:val="24"/>
              </w:rPr>
              <w:t xml:space="preserve"> </w:t>
            </w:r>
            <w:r>
              <w:rPr>
                <w:rFonts w:ascii="Times New Roman" w:hAnsi="Times New Roman" w:cs="Times New Roman"/>
                <w:sz w:val="24"/>
                <w:szCs w:val="24"/>
              </w:rPr>
              <w:t>Significant paths</w:t>
            </w:r>
            <w:r w:rsidRPr="00D500FB">
              <w:rPr>
                <w:rFonts w:ascii="Times New Roman" w:hAnsi="Times New Roman" w:cs="Times New Roman"/>
                <w:sz w:val="24"/>
                <w:szCs w:val="24"/>
              </w:rPr>
              <w:t>)</w:t>
            </w:r>
          </w:p>
        </w:tc>
        <w:tc>
          <w:tcPr>
            <w:tcW w:w="5803" w:type="dxa"/>
            <w:tcBorders>
              <w:top w:val="nil"/>
              <w:left w:val="nil"/>
              <w:bottom w:val="nil"/>
              <w:right w:val="nil"/>
            </w:tcBorders>
          </w:tcPr>
          <w:p w14:paraId="08B4BB2F" w14:textId="0B91FECC" w:rsidR="0095238A"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87DB87E" w14:textId="10CEF85F" w:rsidR="0095238A" w:rsidRDefault="0095238A" w:rsidP="0095238A">
            <w:pPr>
              <w:rPr>
                <w:rFonts w:ascii="Times New Roman" w:hAnsi="Times New Roman" w:cs="Times New Roman"/>
              </w:rPr>
            </w:pPr>
            <w:r>
              <w:rPr>
                <w:rFonts w:ascii="Times New Roman" w:hAnsi="Times New Roman" w:cs="Times New Roman"/>
              </w:rPr>
              <w:t>21</w:t>
            </w:r>
            <w:r w:rsidR="005428B1">
              <w:rPr>
                <w:rFonts w:ascii="Times New Roman" w:hAnsi="Times New Roman" w:cs="Times New Roman"/>
              </w:rPr>
              <w:t>7</w:t>
            </w:r>
          </w:p>
        </w:tc>
      </w:tr>
      <w:tr w:rsidR="0095238A" w:rsidRPr="00BD7537" w14:paraId="6139D23F" w14:textId="77777777" w:rsidTr="00EC32C9">
        <w:tc>
          <w:tcPr>
            <w:tcW w:w="562" w:type="dxa"/>
            <w:tcBorders>
              <w:top w:val="nil"/>
              <w:left w:val="nil"/>
              <w:bottom w:val="nil"/>
              <w:right w:val="nil"/>
            </w:tcBorders>
          </w:tcPr>
          <w:p w14:paraId="4C216857" w14:textId="2067299C"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50</w:t>
            </w:r>
          </w:p>
        </w:tc>
        <w:tc>
          <w:tcPr>
            <w:tcW w:w="3695" w:type="dxa"/>
            <w:tcBorders>
              <w:top w:val="nil"/>
              <w:left w:val="nil"/>
              <w:bottom w:val="nil"/>
              <w:right w:val="nil"/>
            </w:tcBorders>
          </w:tcPr>
          <w:p w14:paraId="38ACBC3B" w14:textId="77777777" w:rsidR="0095238A" w:rsidRPr="00BD7537" w:rsidRDefault="0095238A" w:rsidP="0095238A">
            <w:pPr>
              <w:rPr>
                <w:rFonts w:ascii="Times New Roman" w:hAnsi="Times New Roman" w:cs="Times New Roman"/>
                <w:sz w:val="24"/>
                <w:szCs w:val="24"/>
              </w:rPr>
            </w:pPr>
            <w:r w:rsidRPr="00D500FB">
              <w:rPr>
                <w:rFonts w:ascii="Times New Roman" w:hAnsi="Times New Roman" w:cs="Times New Roman"/>
                <w:sz w:val="24"/>
                <w:szCs w:val="24"/>
              </w:rPr>
              <w:t>The goodness of the model with fit Indices for the estimated SEM</w:t>
            </w:r>
          </w:p>
        </w:tc>
        <w:tc>
          <w:tcPr>
            <w:tcW w:w="5803" w:type="dxa"/>
            <w:tcBorders>
              <w:top w:val="nil"/>
              <w:left w:val="nil"/>
              <w:bottom w:val="nil"/>
              <w:right w:val="nil"/>
            </w:tcBorders>
          </w:tcPr>
          <w:p w14:paraId="55BDE91E"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71A4FAE3" w14:textId="4EE56F86" w:rsidR="0095238A" w:rsidRPr="00BD7537" w:rsidRDefault="0095238A" w:rsidP="0095238A">
            <w:pPr>
              <w:rPr>
                <w:rFonts w:ascii="Times New Roman" w:hAnsi="Times New Roman" w:cs="Times New Roman"/>
              </w:rPr>
            </w:pPr>
            <w:r>
              <w:rPr>
                <w:rFonts w:ascii="Times New Roman" w:hAnsi="Times New Roman" w:cs="Times New Roman"/>
              </w:rPr>
              <w:t>21</w:t>
            </w:r>
            <w:r w:rsidR="005428B1">
              <w:rPr>
                <w:rFonts w:ascii="Times New Roman" w:hAnsi="Times New Roman" w:cs="Times New Roman"/>
              </w:rPr>
              <w:t>8</w:t>
            </w:r>
          </w:p>
        </w:tc>
      </w:tr>
      <w:tr w:rsidR="0095238A" w:rsidRPr="00BD7537" w14:paraId="00A85222" w14:textId="77777777" w:rsidTr="00EC32C9">
        <w:tc>
          <w:tcPr>
            <w:tcW w:w="562" w:type="dxa"/>
            <w:tcBorders>
              <w:top w:val="nil"/>
              <w:left w:val="nil"/>
              <w:bottom w:val="nil"/>
              <w:right w:val="nil"/>
            </w:tcBorders>
          </w:tcPr>
          <w:p w14:paraId="0243976D" w14:textId="1BD14323"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51</w:t>
            </w:r>
          </w:p>
        </w:tc>
        <w:tc>
          <w:tcPr>
            <w:tcW w:w="3695" w:type="dxa"/>
            <w:tcBorders>
              <w:top w:val="nil"/>
              <w:left w:val="nil"/>
              <w:bottom w:val="nil"/>
              <w:right w:val="nil"/>
            </w:tcBorders>
          </w:tcPr>
          <w:p w14:paraId="7614F095" w14:textId="77777777" w:rsidR="0095238A" w:rsidRPr="00BD7537" w:rsidRDefault="0095238A" w:rsidP="0095238A">
            <w:pPr>
              <w:rPr>
                <w:rFonts w:ascii="Times New Roman" w:hAnsi="Times New Roman" w:cs="Times New Roman"/>
                <w:sz w:val="24"/>
                <w:szCs w:val="24"/>
              </w:rPr>
            </w:pPr>
            <w:r>
              <w:rPr>
                <w:rFonts w:asciiTheme="majorBidi" w:hAnsiTheme="majorBidi" w:cstheme="majorBidi"/>
                <w:sz w:val="24"/>
                <w:szCs w:val="24"/>
              </w:rPr>
              <w:t>Final results of all tested hypotheses</w:t>
            </w:r>
          </w:p>
        </w:tc>
        <w:tc>
          <w:tcPr>
            <w:tcW w:w="5803" w:type="dxa"/>
            <w:tcBorders>
              <w:top w:val="nil"/>
              <w:left w:val="nil"/>
              <w:bottom w:val="nil"/>
              <w:right w:val="nil"/>
            </w:tcBorders>
          </w:tcPr>
          <w:p w14:paraId="1C5E88FB"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71B9D188" w14:textId="2A52A769" w:rsidR="0095238A" w:rsidRPr="00BD7537" w:rsidRDefault="0095238A" w:rsidP="0095238A">
            <w:pPr>
              <w:rPr>
                <w:rFonts w:ascii="Times New Roman" w:hAnsi="Times New Roman" w:cs="Times New Roman"/>
              </w:rPr>
            </w:pPr>
            <w:r>
              <w:rPr>
                <w:rFonts w:ascii="Times New Roman" w:hAnsi="Times New Roman" w:cs="Times New Roman"/>
              </w:rPr>
              <w:t>21</w:t>
            </w:r>
            <w:r w:rsidR="005428B1">
              <w:rPr>
                <w:rFonts w:ascii="Times New Roman" w:hAnsi="Times New Roman" w:cs="Times New Roman"/>
              </w:rPr>
              <w:t>9</w:t>
            </w:r>
          </w:p>
        </w:tc>
      </w:tr>
      <w:tr w:rsidR="0095238A" w:rsidRPr="00BD7537" w14:paraId="5D0C8C0A" w14:textId="77777777" w:rsidTr="00EC32C9">
        <w:tc>
          <w:tcPr>
            <w:tcW w:w="562" w:type="dxa"/>
            <w:tcBorders>
              <w:top w:val="nil"/>
              <w:left w:val="nil"/>
              <w:bottom w:val="nil"/>
              <w:right w:val="nil"/>
            </w:tcBorders>
          </w:tcPr>
          <w:p w14:paraId="5463A26A" w14:textId="2EDDF616"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52</w:t>
            </w:r>
          </w:p>
        </w:tc>
        <w:tc>
          <w:tcPr>
            <w:tcW w:w="3695" w:type="dxa"/>
            <w:tcBorders>
              <w:top w:val="nil"/>
              <w:left w:val="nil"/>
              <w:bottom w:val="nil"/>
              <w:right w:val="nil"/>
            </w:tcBorders>
          </w:tcPr>
          <w:p w14:paraId="0D5AA1F7" w14:textId="77777777" w:rsidR="0095238A" w:rsidRPr="00BD7537" w:rsidRDefault="0095238A" w:rsidP="0095238A">
            <w:pPr>
              <w:rPr>
                <w:rFonts w:ascii="Times New Roman" w:hAnsi="Times New Roman" w:cs="Times New Roman"/>
                <w:sz w:val="24"/>
                <w:szCs w:val="24"/>
              </w:rPr>
            </w:pPr>
            <w:r w:rsidRPr="00B62CE5">
              <w:rPr>
                <w:rFonts w:asciiTheme="majorBidi" w:hAnsiTheme="majorBidi" w:cstheme="majorBidi"/>
                <w:sz w:val="24"/>
                <w:szCs w:val="24"/>
                <w:shd w:val="clear" w:color="auto" w:fill="FFFFFF"/>
              </w:rPr>
              <w:t>A summary of different qualitative analysis methods</w:t>
            </w:r>
          </w:p>
        </w:tc>
        <w:tc>
          <w:tcPr>
            <w:tcW w:w="5803" w:type="dxa"/>
            <w:tcBorders>
              <w:top w:val="nil"/>
              <w:left w:val="nil"/>
              <w:bottom w:val="nil"/>
              <w:right w:val="nil"/>
            </w:tcBorders>
          </w:tcPr>
          <w:p w14:paraId="69043D6C"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62B53704" w14:textId="15B7080A" w:rsidR="0095238A" w:rsidRPr="00BD7537" w:rsidRDefault="0095238A" w:rsidP="0095238A">
            <w:pPr>
              <w:rPr>
                <w:rFonts w:ascii="Times New Roman" w:hAnsi="Times New Roman" w:cs="Times New Roman"/>
              </w:rPr>
            </w:pPr>
            <w:r>
              <w:rPr>
                <w:rFonts w:ascii="Times New Roman" w:hAnsi="Times New Roman" w:cs="Times New Roman"/>
              </w:rPr>
              <w:t>22</w:t>
            </w:r>
            <w:r w:rsidR="005428B1">
              <w:rPr>
                <w:rFonts w:ascii="Times New Roman" w:hAnsi="Times New Roman" w:cs="Times New Roman"/>
              </w:rPr>
              <w:t>1</w:t>
            </w:r>
          </w:p>
        </w:tc>
      </w:tr>
      <w:tr w:rsidR="0095238A" w:rsidRPr="00BD7537" w14:paraId="6B6CE64B" w14:textId="77777777" w:rsidTr="00EC32C9">
        <w:tc>
          <w:tcPr>
            <w:tcW w:w="562" w:type="dxa"/>
            <w:tcBorders>
              <w:top w:val="nil"/>
              <w:left w:val="nil"/>
              <w:bottom w:val="nil"/>
              <w:right w:val="nil"/>
            </w:tcBorders>
          </w:tcPr>
          <w:p w14:paraId="45653193" w14:textId="0B02C4C5"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53</w:t>
            </w:r>
          </w:p>
        </w:tc>
        <w:tc>
          <w:tcPr>
            <w:tcW w:w="3695" w:type="dxa"/>
            <w:tcBorders>
              <w:top w:val="nil"/>
              <w:left w:val="nil"/>
              <w:bottom w:val="nil"/>
              <w:right w:val="nil"/>
            </w:tcBorders>
          </w:tcPr>
          <w:p w14:paraId="562BBB5A" w14:textId="77777777" w:rsidR="0095238A" w:rsidRPr="00BD7537" w:rsidRDefault="0095238A" w:rsidP="0095238A">
            <w:pPr>
              <w:rPr>
                <w:rFonts w:ascii="Times New Roman" w:hAnsi="Times New Roman" w:cs="Times New Roman"/>
                <w:sz w:val="24"/>
                <w:szCs w:val="24"/>
              </w:rPr>
            </w:pPr>
            <w:r w:rsidRPr="00B62CE5">
              <w:rPr>
                <w:rFonts w:asciiTheme="majorBidi" w:hAnsiTheme="majorBidi" w:cstheme="majorBidi"/>
                <w:sz w:val="24"/>
                <w:szCs w:val="24"/>
                <w:shd w:val="clear" w:color="auto" w:fill="FFFFFF"/>
              </w:rPr>
              <w:t>Five phases of qualitative data analysis</w:t>
            </w:r>
          </w:p>
        </w:tc>
        <w:tc>
          <w:tcPr>
            <w:tcW w:w="5803" w:type="dxa"/>
            <w:tcBorders>
              <w:top w:val="nil"/>
              <w:left w:val="nil"/>
              <w:bottom w:val="nil"/>
              <w:right w:val="nil"/>
            </w:tcBorders>
          </w:tcPr>
          <w:p w14:paraId="66BF5B90"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5628846B" w14:textId="0FA75044" w:rsidR="0095238A" w:rsidRPr="00BD7537" w:rsidRDefault="0095238A" w:rsidP="0095238A">
            <w:pPr>
              <w:rPr>
                <w:rFonts w:ascii="Times New Roman" w:hAnsi="Times New Roman" w:cs="Times New Roman"/>
              </w:rPr>
            </w:pPr>
            <w:r>
              <w:rPr>
                <w:rFonts w:ascii="Times New Roman" w:hAnsi="Times New Roman" w:cs="Times New Roman"/>
              </w:rPr>
              <w:t>2</w:t>
            </w:r>
            <w:r w:rsidR="005428B1">
              <w:rPr>
                <w:rFonts w:ascii="Times New Roman" w:hAnsi="Times New Roman" w:cs="Times New Roman"/>
              </w:rPr>
              <w:t>23</w:t>
            </w:r>
          </w:p>
        </w:tc>
      </w:tr>
      <w:tr w:rsidR="0095238A" w:rsidRPr="00BD7537" w14:paraId="3E2F6071" w14:textId="77777777" w:rsidTr="00EC32C9">
        <w:tc>
          <w:tcPr>
            <w:tcW w:w="562" w:type="dxa"/>
            <w:tcBorders>
              <w:top w:val="nil"/>
              <w:left w:val="nil"/>
              <w:bottom w:val="nil"/>
              <w:right w:val="nil"/>
            </w:tcBorders>
          </w:tcPr>
          <w:p w14:paraId="4BCBBAE4" w14:textId="1644A77F"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54</w:t>
            </w:r>
          </w:p>
        </w:tc>
        <w:tc>
          <w:tcPr>
            <w:tcW w:w="3695" w:type="dxa"/>
            <w:tcBorders>
              <w:top w:val="nil"/>
              <w:left w:val="nil"/>
              <w:bottom w:val="nil"/>
              <w:right w:val="nil"/>
            </w:tcBorders>
          </w:tcPr>
          <w:p w14:paraId="61CD892E" w14:textId="77777777" w:rsidR="0095238A" w:rsidRPr="00BD7537" w:rsidRDefault="0095238A" w:rsidP="0095238A">
            <w:pPr>
              <w:rPr>
                <w:rFonts w:ascii="Times New Roman" w:hAnsi="Times New Roman" w:cs="Times New Roman"/>
                <w:sz w:val="24"/>
                <w:szCs w:val="24"/>
              </w:rPr>
            </w:pPr>
            <w:r w:rsidRPr="00B62CE5">
              <w:rPr>
                <w:rFonts w:asciiTheme="majorBidi" w:hAnsiTheme="majorBidi" w:cstheme="majorBidi"/>
                <w:color w:val="2E2E2E"/>
                <w:sz w:val="24"/>
                <w:szCs w:val="24"/>
              </w:rPr>
              <w:t>Summarises the main types of coding in qualitative data analysis</w:t>
            </w:r>
          </w:p>
        </w:tc>
        <w:tc>
          <w:tcPr>
            <w:tcW w:w="5803" w:type="dxa"/>
            <w:tcBorders>
              <w:top w:val="nil"/>
              <w:left w:val="nil"/>
              <w:bottom w:val="nil"/>
              <w:right w:val="nil"/>
            </w:tcBorders>
          </w:tcPr>
          <w:p w14:paraId="25148713"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1F8EA3D2" w14:textId="38D4F279" w:rsidR="0095238A" w:rsidRPr="00BD7537" w:rsidRDefault="0095238A" w:rsidP="0095238A">
            <w:pPr>
              <w:rPr>
                <w:rFonts w:ascii="Times New Roman" w:hAnsi="Times New Roman" w:cs="Times New Roman"/>
              </w:rPr>
            </w:pPr>
            <w:r>
              <w:rPr>
                <w:rFonts w:ascii="Times New Roman" w:hAnsi="Times New Roman" w:cs="Times New Roman"/>
              </w:rPr>
              <w:t>223</w:t>
            </w:r>
          </w:p>
        </w:tc>
      </w:tr>
      <w:tr w:rsidR="0095238A" w:rsidRPr="00BD7537" w14:paraId="5C983A5B" w14:textId="77777777" w:rsidTr="00EC32C9">
        <w:tc>
          <w:tcPr>
            <w:tcW w:w="562" w:type="dxa"/>
            <w:tcBorders>
              <w:top w:val="nil"/>
              <w:left w:val="nil"/>
              <w:bottom w:val="nil"/>
              <w:right w:val="nil"/>
            </w:tcBorders>
          </w:tcPr>
          <w:p w14:paraId="3A93AEE2" w14:textId="5F01F448"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55</w:t>
            </w:r>
          </w:p>
        </w:tc>
        <w:tc>
          <w:tcPr>
            <w:tcW w:w="3695" w:type="dxa"/>
            <w:tcBorders>
              <w:top w:val="nil"/>
              <w:left w:val="nil"/>
              <w:bottom w:val="nil"/>
              <w:right w:val="nil"/>
            </w:tcBorders>
          </w:tcPr>
          <w:p w14:paraId="4EA8FA27" w14:textId="77777777" w:rsidR="0095238A" w:rsidRPr="00BD7537" w:rsidRDefault="0095238A" w:rsidP="0095238A">
            <w:pPr>
              <w:rPr>
                <w:rFonts w:ascii="Times New Roman" w:hAnsi="Times New Roman" w:cs="Times New Roman"/>
                <w:sz w:val="24"/>
                <w:szCs w:val="24"/>
              </w:rPr>
            </w:pPr>
            <w:r w:rsidRPr="00B62CE5">
              <w:rPr>
                <w:rFonts w:asciiTheme="majorBidi" w:hAnsiTheme="majorBidi" w:cstheme="majorBidi"/>
                <w:color w:val="2E2E2E"/>
                <w:sz w:val="24"/>
                <w:szCs w:val="24"/>
              </w:rPr>
              <w:t>Codes and themes emerged from the findings</w:t>
            </w:r>
          </w:p>
        </w:tc>
        <w:tc>
          <w:tcPr>
            <w:tcW w:w="5803" w:type="dxa"/>
            <w:tcBorders>
              <w:top w:val="nil"/>
              <w:left w:val="nil"/>
              <w:bottom w:val="nil"/>
              <w:right w:val="nil"/>
            </w:tcBorders>
          </w:tcPr>
          <w:p w14:paraId="43919325"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42C6B846" w14:textId="3B3D9FD8" w:rsidR="0095238A" w:rsidRPr="00BD7537" w:rsidRDefault="0095238A" w:rsidP="0095238A">
            <w:pPr>
              <w:rPr>
                <w:rFonts w:ascii="Times New Roman" w:hAnsi="Times New Roman" w:cs="Times New Roman"/>
              </w:rPr>
            </w:pPr>
            <w:r>
              <w:rPr>
                <w:rFonts w:ascii="Times New Roman" w:hAnsi="Times New Roman" w:cs="Times New Roman"/>
              </w:rPr>
              <w:t>22</w:t>
            </w:r>
            <w:r w:rsidR="005428B1">
              <w:rPr>
                <w:rFonts w:ascii="Times New Roman" w:hAnsi="Times New Roman" w:cs="Times New Roman"/>
              </w:rPr>
              <w:t>7</w:t>
            </w:r>
          </w:p>
        </w:tc>
      </w:tr>
      <w:tr w:rsidR="0095238A" w:rsidRPr="00BD7537" w14:paraId="59FB1209" w14:textId="77777777" w:rsidTr="00EC32C9">
        <w:tc>
          <w:tcPr>
            <w:tcW w:w="562" w:type="dxa"/>
            <w:tcBorders>
              <w:top w:val="nil"/>
              <w:left w:val="nil"/>
              <w:bottom w:val="nil"/>
              <w:right w:val="nil"/>
            </w:tcBorders>
          </w:tcPr>
          <w:p w14:paraId="5703A899" w14:textId="7B875F09"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56</w:t>
            </w:r>
          </w:p>
        </w:tc>
        <w:tc>
          <w:tcPr>
            <w:tcW w:w="3695" w:type="dxa"/>
            <w:tcBorders>
              <w:top w:val="nil"/>
              <w:left w:val="nil"/>
              <w:bottom w:val="nil"/>
              <w:right w:val="nil"/>
            </w:tcBorders>
          </w:tcPr>
          <w:p w14:paraId="4267D2DE" w14:textId="77777777" w:rsidR="0095238A" w:rsidRPr="00BD7537" w:rsidRDefault="0095238A" w:rsidP="0095238A">
            <w:pPr>
              <w:rPr>
                <w:rFonts w:ascii="Times New Roman" w:hAnsi="Times New Roman" w:cs="Times New Roman"/>
                <w:sz w:val="24"/>
                <w:szCs w:val="24"/>
              </w:rPr>
            </w:pPr>
            <w:r>
              <w:rPr>
                <w:rFonts w:asciiTheme="majorBidi" w:hAnsiTheme="majorBidi" w:cstheme="majorBidi"/>
                <w:sz w:val="24"/>
                <w:szCs w:val="24"/>
              </w:rPr>
              <w:t>Demographic characteristics of respondents in the qualitative study</w:t>
            </w:r>
          </w:p>
        </w:tc>
        <w:tc>
          <w:tcPr>
            <w:tcW w:w="5803" w:type="dxa"/>
            <w:tcBorders>
              <w:top w:val="nil"/>
              <w:left w:val="nil"/>
              <w:bottom w:val="nil"/>
              <w:right w:val="nil"/>
            </w:tcBorders>
          </w:tcPr>
          <w:p w14:paraId="24116DF6"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4BB42BA4" w14:textId="6F4C74E9" w:rsidR="0095238A" w:rsidRPr="00BD7537" w:rsidRDefault="0095238A" w:rsidP="0095238A">
            <w:pPr>
              <w:rPr>
                <w:rFonts w:ascii="Times New Roman" w:hAnsi="Times New Roman" w:cs="Times New Roman"/>
              </w:rPr>
            </w:pPr>
            <w:r>
              <w:rPr>
                <w:rFonts w:ascii="Times New Roman" w:hAnsi="Times New Roman" w:cs="Times New Roman"/>
              </w:rPr>
              <w:t>2</w:t>
            </w:r>
            <w:r w:rsidR="005428B1">
              <w:rPr>
                <w:rFonts w:ascii="Times New Roman" w:hAnsi="Times New Roman" w:cs="Times New Roman"/>
              </w:rPr>
              <w:t>31</w:t>
            </w:r>
          </w:p>
        </w:tc>
      </w:tr>
      <w:tr w:rsidR="0095238A" w:rsidRPr="00BD7537" w14:paraId="599781FE" w14:textId="77777777" w:rsidTr="00EC32C9">
        <w:tc>
          <w:tcPr>
            <w:tcW w:w="562" w:type="dxa"/>
            <w:tcBorders>
              <w:top w:val="nil"/>
              <w:left w:val="nil"/>
              <w:bottom w:val="nil"/>
              <w:right w:val="nil"/>
            </w:tcBorders>
          </w:tcPr>
          <w:p w14:paraId="0FEFCCD9" w14:textId="3A316CCF"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57</w:t>
            </w:r>
          </w:p>
        </w:tc>
        <w:tc>
          <w:tcPr>
            <w:tcW w:w="3695" w:type="dxa"/>
            <w:tcBorders>
              <w:top w:val="nil"/>
              <w:left w:val="nil"/>
              <w:bottom w:val="nil"/>
              <w:right w:val="nil"/>
            </w:tcBorders>
          </w:tcPr>
          <w:p w14:paraId="7D9251AF" w14:textId="77777777" w:rsidR="0095238A" w:rsidRPr="00BD7537" w:rsidRDefault="0095238A" w:rsidP="0095238A">
            <w:pPr>
              <w:rPr>
                <w:rFonts w:ascii="Times New Roman" w:hAnsi="Times New Roman" w:cs="Times New Roman"/>
                <w:sz w:val="24"/>
                <w:szCs w:val="24"/>
              </w:rPr>
            </w:pPr>
            <w:r>
              <w:rPr>
                <w:rFonts w:asciiTheme="majorBidi" w:hAnsiTheme="majorBidi" w:cstheme="majorBidi"/>
                <w:sz w:val="24"/>
                <w:szCs w:val="24"/>
              </w:rPr>
              <w:t>Summary of some respondents’ descriptions of CSR and non-CSR ads</w:t>
            </w:r>
          </w:p>
        </w:tc>
        <w:tc>
          <w:tcPr>
            <w:tcW w:w="5803" w:type="dxa"/>
            <w:tcBorders>
              <w:top w:val="nil"/>
              <w:left w:val="nil"/>
              <w:bottom w:val="nil"/>
              <w:right w:val="nil"/>
            </w:tcBorders>
          </w:tcPr>
          <w:p w14:paraId="715490E5"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544797CD" w14:textId="7BB8CBC1" w:rsidR="0095238A" w:rsidRPr="00BD7537" w:rsidRDefault="0095238A" w:rsidP="0095238A">
            <w:pPr>
              <w:rPr>
                <w:rFonts w:ascii="Times New Roman" w:hAnsi="Times New Roman" w:cs="Times New Roman"/>
              </w:rPr>
            </w:pPr>
            <w:r>
              <w:rPr>
                <w:rFonts w:ascii="Times New Roman" w:hAnsi="Times New Roman" w:cs="Times New Roman"/>
              </w:rPr>
              <w:t>23</w:t>
            </w:r>
            <w:r w:rsidR="005428B1">
              <w:rPr>
                <w:rFonts w:ascii="Times New Roman" w:hAnsi="Times New Roman" w:cs="Times New Roman"/>
              </w:rPr>
              <w:t>8</w:t>
            </w:r>
          </w:p>
        </w:tc>
      </w:tr>
      <w:tr w:rsidR="0095238A" w:rsidRPr="00BD7537" w14:paraId="335E067F" w14:textId="77777777" w:rsidTr="00EC32C9">
        <w:trPr>
          <w:trHeight w:val="48"/>
        </w:trPr>
        <w:tc>
          <w:tcPr>
            <w:tcW w:w="562" w:type="dxa"/>
            <w:tcBorders>
              <w:top w:val="nil"/>
              <w:left w:val="nil"/>
              <w:bottom w:val="nil"/>
              <w:right w:val="nil"/>
            </w:tcBorders>
          </w:tcPr>
          <w:p w14:paraId="315CDFB0" w14:textId="123A8FB3"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58</w:t>
            </w:r>
          </w:p>
        </w:tc>
        <w:tc>
          <w:tcPr>
            <w:tcW w:w="3695" w:type="dxa"/>
            <w:tcBorders>
              <w:top w:val="nil"/>
              <w:left w:val="nil"/>
              <w:bottom w:val="nil"/>
              <w:right w:val="nil"/>
            </w:tcBorders>
          </w:tcPr>
          <w:p w14:paraId="52FE43BE" w14:textId="77777777" w:rsidR="0095238A" w:rsidRPr="00BD7537" w:rsidRDefault="0095238A" w:rsidP="0095238A">
            <w:pPr>
              <w:rPr>
                <w:rFonts w:ascii="Times New Roman" w:hAnsi="Times New Roman" w:cs="Times New Roman"/>
                <w:sz w:val="24"/>
                <w:szCs w:val="24"/>
              </w:rPr>
            </w:pPr>
            <w:r>
              <w:rPr>
                <w:rFonts w:asciiTheme="majorBidi" w:hAnsiTheme="majorBidi" w:cstheme="majorBidi"/>
                <w:color w:val="2E2E2E"/>
                <w:sz w:val="24"/>
                <w:szCs w:val="24"/>
              </w:rPr>
              <w:t>A summary of the main suggested CSR strategies along with the number of respondents</w:t>
            </w:r>
          </w:p>
        </w:tc>
        <w:tc>
          <w:tcPr>
            <w:tcW w:w="5803" w:type="dxa"/>
            <w:tcBorders>
              <w:top w:val="nil"/>
              <w:left w:val="nil"/>
              <w:bottom w:val="nil"/>
              <w:right w:val="nil"/>
            </w:tcBorders>
          </w:tcPr>
          <w:p w14:paraId="7F79C3EF"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7D5EA7F3" w14:textId="44768F92" w:rsidR="0095238A" w:rsidRPr="00BD7537" w:rsidRDefault="0095238A" w:rsidP="0095238A">
            <w:pPr>
              <w:rPr>
                <w:rFonts w:ascii="Times New Roman" w:hAnsi="Times New Roman" w:cs="Times New Roman"/>
              </w:rPr>
            </w:pPr>
            <w:r>
              <w:rPr>
                <w:rFonts w:ascii="Times New Roman" w:hAnsi="Times New Roman" w:cs="Times New Roman"/>
              </w:rPr>
              <w:t>24</w:t>
            </w:r>
            <w:r w:rsidR="005428B1">
              <w:rPr>
                <w:rFonts w:ascii="Times New Roman" w:hAnsi="Times New Roman" w:cs="Times New Roman"/>
              </w:rPr>
              <w:t>8</w:t>
            </w:r>
          </w:p>
        </w:tc>
      </w:tr>
      <w:tr w:rsidR="0095238A" w:rsidRPr="00BD7537" w14:paraId="5CAA886C" w14:textId="77777777" w:rsidTr="00EC32C9">
        <w:trPr>
          <w:trHeight w:val="48"/>
        </w:trPr>
        <w:tc>
          <w:tcPr>
            <w:tcW w:w="562" w:type="dxa"/>
            <w:tcBorders>
              <w:top w:val="nil"/>
              <w:left w:val="nil"/>
              <w:bottom w:val="nil"/>
              <w:right w:val="nil"/>
            </w:tcBorders>
          </w:tcPr>
          <w:p w14:paraId="6E8E3545" w14:textId="62F62028" w:rsidR="0095238A" w:rsidRPr="00BD7537" w:rsidRDefault="0095238A" w:rsidP="0095238A">
            <w:pPr>
              <w:rPr>
                <w:rFonts w:ascii="Times New Roman" w:hAnsi="Times New Roman" w:cs="Times New Roman"/>
                <w:sz w:val="24"/>
                <w:szCs w:val="24"/>
              </w:rPr>
            </w:pPr>
            <w:r>
              <w:rPr>
                <w:rFonts w:ascii="Times New Roman" w:hAnsi="Times New Roman" w:cs="Times New Roman"/>
                <w:sz w:val="24"/>
                <w:szCs w:val="24"/>
              </w:rPr>
              <w:t>59</w:t>
            </w:r>
          </w:p>
        </w:tc>
        <w:tc>
          <w:tcPr>
            <w:tcW w:w="3695" w:type="dxa"/>
            <w:tcBorders>
              <w:top w:val="nil"/>
              <w:left w:val="nil"/>
              <w:bottom w:val="nil"/>
              <w:right w:val="nil"/>
            </w:tcBorders>
          </w:tcPr>
          <w:p w14:paraId="609E8D07" w14:textId="77777777" w:rsidR="0095238A" w:rsidRPr="00BD7537" w:rsidRDefault="0095238A" w:rsidP="0095238A">
            <w:pPr>
              <w:rPr>
                <w:rFonts w:ascii="Times New Roman" w:hAnsi="Times New Roman" w:cs="Times New Roman"/>
                <w:sz w:val="24"/>
                <w:szCs w:val="24"/>
              </w:rPr>
            </w:pPr>
            <w:r>
              <w:rPr>
                <w:rFonts w:asciiTheme="majorBidi" w:hAnsiTheme="majorBidi" w:cstheme="majorBidi"/>
                <w:sz w:val="24"/>
                <w:szCs w:val="24"/>
              </w:rPr>
              <w:t>The impact of CSR perception on brand attitudes</w:t>
            </w:r>
          </w:p>
        </w:tc>
        <w:tc>
          <w:tcPr>
            <w:tcW w:w="5803" w:type="dxa"/>
            <w:tcBorders>
              <w:top w:val="nil"/>
              <w:left w:val="nil"/>
              <w:bottom w:val="nil"/>
              <w:right w:val="nil"/>
            </w:tcBorders>
          </w:tcPr>
          <w:p w14:paraId="3D953436" w14:textId="77777777" w:rsidR="0095238A" w:rsidRPr="00BD7537"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2000E053" w14:textId="2AD96740" w:rsidR="0095238A" w:rsidRPr="00BD7537" w:rsidRDefault="0095238A" w:rsidP="0095238A">
            <w:pPr>
              <w:rPr>
                <w:rFonts w:ascii="Times New Roman" w:hAnsi="Times New Roman" w:cs="Times New Roman"/>
              </w:rPr>
            </w:pPr>
            <w:r>
              <w:rPr>
                <w:rFonts w:ascii="Times New Roman" w:hAnsi="Times New Roman" w:cs="Times New Roman"/>
              </w:rPr>
              <w:t>2</w:t>
            </w:r>
            <w:r w:rsidR="005428B1">
              <w:rPr>
                <w:rFonts w:ascii="Times New Roman" w:hAnsi="Times New Roman" w:cs="Times New Roman"/>
              </w:rPr>
              <w:t>60</w:t>
            </w:r>
          </w:p>
        </w:tc>
      </w:tr>
      <w:tr w:rsidR="0095238A" w:rsidRPr="00BD7537" w14:paraId="2CAAD720" w14:textId="77777777" w:rsidTr="00EC32C9">
        <w:trPr>
          <w:trHeight w:val="48"/>
        </w:trPr>
        <w:tc>
          <w:tcPr>
            <w:tcW w:w="562" w:type="dxa"/>
            <w:tcBorders>
              <w:top w:val="nil"/>
              <w:left w:val="nil"/>
              <w:bottom w:val="nil"/>
              <w:right w:val="nil"/>
            </w:tcBorders>
          </w:tcPr>
          <w:p w14:paraId="51BEBEEE" w14:textId="27570FC5" w:rsidR="0095238A" w:rsidRDefault="0095238A" w:rsidP="0095238A">
            <w:pPr>
              <w:rPr>
                <w:rFonts w:ascii="Times New Roman" w:hAnsi="Times New Roman" w:cs="Times New Roman"/>
                <w:sz w:val="24"/>
                <w:szCs w:val="24"/>
              </w:rPr>
            </w:pPr>
            <w:r>
              <w:rPr>
                <w:rFonts w:ascii="Times New Roman" w:hAnsi="Times New Roman" w:cs="Times New Roman"/>
                <w:sz w:val="24"/>
                <w:szCs w:val="24"/>
              </w:rPr>
              <w:t>60</w:t>
            </w:r>
          </w:p>
        </w:tc>
        <w:tc>
          <w:tcPr>
            <w:tcW w:w="3695" w:type="dxa"/>
            <w:tcBorders>
              <w:top w:val="nil"/>
              <w:left w:val="nil"/>
              <w:bottom w:val="nil"/>
              <w:right w:val="nil"/>
            </w:tcBorders>
          </w:tcPr>
          <w:p w14:paraId="1DAF9039" w14:textId="75738D8B" w:rsidR="0095238A" w:rsidRDefault="0095238A" w:rsidP="0095238A">
            <w:pPr>
              <w:rPr>
                <w:rFonts w:asciiTheme="majorBidi" w:hAnsiTheme="majorBidi" w:cstheme="majorBidi"/>
                <w:sz w:val="24"/>
                <w:szCs w:val="24"/>
              </w:rPr>
            </w:pPr>
            <w:r>
              <w:rPr>
                <w:rFonts w:asciiTheme="majorBidi" w:hAnsiTheme="majorBidi" w:cstheme="majorBidi"/>
                <w:sz w:val="24"/>
                <w:szCs w:val="24"/>
              </w:rPr>
              <w:t xml:space="preserve">Summary of this thesis research objectives </w:t>
            </w:r>
          </w:p>
        </w:tc>
        <w:tc>
          <w:tcPr>
            <w:tcW w:w="5803" w:type="dxa"/>
            <w:tcBorders>
              <w:top w:val="nil"/>
              <w:left w:val="nil"/>
              <w:bottom w:val="nil"/>
              <w:right w:val="nil"/>
            </w:tcBorders>
          </w:tcPr>
          <w:p w14:paraId="733C936D" w14:textId="13C64E31" w:rsidR="0095238A"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75F0A9B1" w14:textId="0E4A8189" w:rsidR="0095238A" w:rsidRDefault="0095238A" w:rsidP="0095238A">
            <w:pPr>
              <w:rPr>
                <w:rFonts w:ascii="Times New Roman" w:hAnsi="Times New Roman" w:cs="Times New Roman"/>
              </w:rPr>
            </w:pPr>
            <w:r>
              <w:rPr>
                <w:rFonts w:ascii="Times New Roman" w:hAnsi="Times New Roman" w:cs="Times New Roman"/>
              </w:rPr>
              <w:t>2</w:t>
            </w:r>
            <w:r w:rsidR="005428B1">
              <w:rPr>
                <w:rFonts w:ascii="Times New Roman" w:hAnsi="Times New Roman" w:cs="Times New Roman"/>
              </w:rPr>
              <w:t>80</w:t>
            </w:r>
          </w:p>
        </w:tc>
      </w:tr>
      <w:tr w:rsidR="0095238A" w:rsidRPr="00BD7537" w14:paraId="4E24295C" w14:textId="77777777" w:rsidTr="00EC32C9">
        <w:trPr>
          <w:trHeight w:val="48"/>
        </w:trPr>
        <w:tc>
          <w:tcPr>
            <w:tcW w:w="562" w:type="dxa"/>
            <w:tcBorders>
              <w:top w:val="nil"/>
              <w:left w:val="nil"/>
              <w:bottom w:val="nil"/>
              <w:right w:val="nil"/>
            </w:tcBorders>
          </w:tcPr>
          <w:p w14:paraId="3A2C0D1C" w14:textId="0AD04D54" w:rsidR="0095238A" w:rsidRDefault="0095238A" w:rsidP="0095238A">
            <w:pPr>
              <w:rPr>
                <w:rFonts w:ascii="Times New Roman" w:hAnsi="Times New Roman" w:cs="Times New Roman"/>
                <w:sz w:val="24"/>
                <w:szCs w:val="24"/>
              </w:rPr>
            </w:pPr>
            <w:r>
              <w:rPr>
                <w:rFonts w:ascii="Times New Roman" w:hAnsi="Times New Roman" w:cs="Times New Roman"/>
                <w:sz w:val="24"/>
                <w:szCs w:val="24"/>
              </w:rPr>
              <w:t>61</w:t>
            </w:r>
          </w:p>
        </w:tc>
        <w:tc>
          <w:tcPr>
            <w:tcW w:w="3695" w:type="dxa"/>
            <w:tcBorders>
              <w:top w:val="nil"/>
              <w:left w:val="nil"/>
              <w:bottom w:val="nil"/>
              <w:right w:val="nil"/>
            </w:tcBorders>
          </w:tcPr>
          <w:p w14:paraId="46FFB20E" w14:textId="3DEE8358" w:rsidR="0095238A" w:rsidRDefault="0095238A" w:rsidP="0095238A">
            <w:pPr>
              <w:rPr>
                <w:rFonts w:asciiTheme="majorBidi" w:hAnsiTheme="majorBidi" w:cstheme="majorBidi"/>
                <w:sz w:val="24"/>
                <w:szCs w:val="24"/>
              </w:rPr>
            </w:pPr>
            <w:r>
              <w:rPr>
                <w:rFonts w:asciiTheme="majorBidi" w:hAnsiTheme="majorBidi" w:cstheme="majorBidi"/>
                <w:sz w:val="24"/>
                <w:szCs w:val="24"/>
              </w:rPr>
              <w:t xml:space="preserve">A summary of the study’s main contributions </w:t>
            </w:r>
          </w:p>
        </w:tc>
        <w:tc>
          <w:tcPr>
            <w:tcW w:w="5803" w:type="dxa"/>
            <w:tcBorders>
              <w:top w:val="nil"/>
              <w:left w:val="nil"/>
              <w:bottom w:val="nil"/>
              <w:right w:val="nil"/>
            </w:tcBorders>
          </w:tcPr>
          <w:p w14:paraId="5A5E967B" w14:textId="7794309B" w:rsidR="0095238A" w:rsidRDefault="0095238A" w:rsidP="0095238A">
            <w:pPr>
              <w:rPr>
                <w:rFonts w:ascii="Times New Roman" w:hAnsi="Times New Roman" w:cs="Times New Roman"/>
              </w:rPr>
            </w:pPr>
            <w:r>
              <w:rPr>
                <w:rFonts w:ascii="Times New Roman" w:hAnsi="Times New Roman" w:cs="Times New Roman"/>
              </w:rPr>
              <w:t>…………………………………………………………………</w:t>
            </w:r>
          </w:p>
        </w:tc>
        <w:tc>
          <w:tcPr>
            <w:tcW w:w="708" w:type="dxa"/>
            <w:tcBorders>
              <w:top w:val="nil"/>
              <w:left w:val="nil"/>
              <w:bottom w:val="nil"/>
              <w:right w:val="nil"/>
            </w:tcBorders>
          </w:tcPr>
          <w:p w14:paraId="79BFCCE3" w14:textId="2CDE7B89" w:rsidR="0095238A" w:rsidRDefault="0095238A" w:rsidP="0095238A">
            <w:pPr>
              <w:rPr>
                <w:rFonts w:ascii="Times New Roman" w:hAnsi="Times New Roman" w:cs="Times New Roman"/>
              </w:rPr>
            </w:pPr>
            <w:r>
              <w:rPr>
                <w:rFonts w:ascii="Times New Roman" w:hAnsi="Times New Roman" w:cs="Times New Roman"/>
              </w:rPr>
              <w:t>2</w:t>
            </w:r>
            <w:r w:rsidR="005428B1">
              <w:rPr>
                <w:rFonts w:ascii="Times New Roman" w:hAnsi="Times New Roman" w:cs="Times New Roman"/>
              </w:rPr>
              <w:t>84</w:t>
            </w:r>
          </w:p>
        </w:tc>
      </w:tr>
      <w:bookmarkEnd w:id="1"/>
    </w:tbl>
    <w:p w14:paraId="1AFFECD1" w14:textId="77777777" w:rsidR="00862109" w:rsidRDefault="00862109" w:rsidP="004C2202">
      <w:pPr>
        <w:rPr>
          <w:rFonts w:asciiTheme="majorBidi" w:hAnsiTheme="majorBidi" w:cstheme="majorBidi"/>
          <w:b/>
          <w:bCs/>
          <w:sz w:val="24"/>
          <w:szCs w:val="24"/>
        </w:rPr>
      </w:pPr>
    </w:p>
    <w:p w14:paraId="6C0C44D5" w14:textId="77777777" w:rsidR="004C2202" w:rsidRDefault="004C2202" w:rsidP="004C2202">
      <w:pPr>
        <w:rPr>
          <w:rFonts w:asciiTheme="majorBidi" w:hAnsiTheme="majorBidi" w:cstheme="majorBidi"/>
          <w:b/>
          <w:bCs/>
          <w:sz w:val="24"/>
          <w:szCs w:val="24"/>
        </w:rPr>
      </w:pPr>
    </w:p>
    <w:p w14:paraId="4500CABE" w14:textId="77777777" w:rsidR="004C2202" w:rsidRDefault="004C2202" w:rsidP="004C2202">
      <w:pPr>
        <w:rPr>
          <w:rFonts w:asciiTheme="majorBidi" w:hAnsiTheme="majorBidi" w:cstheme="majorBidi"/>
          <w:b/>
          <w:bCs/>
          <w:sz w:val="24"/>
          <w:szCs w:val="24"/>
        </w:rPr>
      </w:pPr>
    </w:p>
    <w:p w14:paraId="11D00E79" w14:textId="77777777" w:rsidR="004C2202" w:rsidRDefault="004C2202" w:rsidP="004C2202">
      <w:pPr>
        <w:rPr>
          <w:rFonts w:asciiTheme="majorBidi" w:hAnsiTheme="majorBidi" w:cstheme="majorBidi"/>
          <w:b/>
          <w:bCs/>
          <w:sz w:val="24"/>
          <w:szCs w:val="24"/>
        </w:rPr>
      </w:pPr>
    </w:p>
    <w:p w14:paraId="11AE325A" w14:textId="77777777" w:rsidR="004C2202" w:rsidRDefault="004C2202" w:rsidP="004C2202">
      <w:pPr>
        <w:rPr>
          <w:rFonts w:asciiTheme="majorBidi" w:hAnsiTheme="majorBidi" w:cstheme="majorBidi"/>
          <w:b/>
          <w:bCs/>
          <w:sz w:val="24"/>
          <w:szCs w:val="24"/>
        </w:rPr>
      </w:pPr>
    </w:p>
    <w:p w14:paraId="2400FDA8" w14:textId="77777777" w:rsidR="004C2202" w:rsidRDefault="004C2202" w:rsidP="004C2202">
      <w:pPr>
        <w:rPr>
          <w:rFonts w:asciiTheme="majorBidi" w:hAnsiTheme="majorBidi" w:cstheme="majorBidi"/>
          <w:b/>
          <w:bCs/>
          <w:sz w:val="24"/>
          <w:szCs w:val="24"/>
        </w:rPr>
      </w:pPr>
    </w:p>
    <w:p w14:paraId="6255F616" w14:textId="77777777" w:rsidR="00A31F93" w:rsidRDefault="00A31F93" w:rsidP="004C2202">
      <w:pPr>
        <w:rPr>
          <w:rFonts w:asciiTheme="majorBidi" w:hAnsiTheme="majorBidi" w:cstheme="majorBidi"/>
          <w:b/>
          <w:bCs/>
          <w:sz w:val="24"/>
          <w:szCs w:val="24"/>
        </w:rPr>
      </w:pPr>
    </w:p>
    <w:p w14:paraId="1FAD38E4" w14:textId="77777777" w:rsidR="004C2202" w:rsidRDefault="004C2202" w:rsidP="004C2202">
      <w:pPr>
        <w:rPr>
          <w:rFonts w:asciiTheme="majorBidi" w:hAnsiTheme="majorBidi" w:cstheme="majorBidi"/>
          <w:b/>
          <w:bCs/>
          <w:sz w:val="24"/>
          <w:szCs w:val="24"/>
        </w:rPr>
      </w:pPr>
    </w:p>
    <w:p w14:paraId="3A83E137" w14:textId="77777777" w:rsidR="003A5F57" w:rsidRDefault="003A5F57">
      <w:pPr>
        <w:rPr>
          <w:rFonts w:asciiTheme="majorBidi" w:hAnsiTheme="majorBidi" w:cstheme="majorBidi"/>
          <w:b/>
          <w:bCs/>
          <w:sz w:val="24"/>
          <w:szCs w:val="24"/>
        </w:rPr>
      </w:pPr>
      <w:r>
        <w:rPr>
          <w:rFonts w:asciiTheme="majorBidi" w:hAnsiTheme="majorBidi" w:cstheme="majorBidi"/>
          <w:b/>
          <w:bCs/>
          <w:sz w:val="24"/>
          <w:szCs w:val="24"/>
        </w:rPr>
        <w:br w:type="page"/>
      </w:r>
    </w:p>
    <w:p w14:paraId="634B11D3" w14:textId="71288504" w:rsidR="00FE335F" w:rsidRPr="009E7DDF" w:rsidRDefault="00FE335F" w:rsidP="00EF74C5">
      <w:pPr>
        <w:jc w:val="center"/>
        <w:rPr>
          <w:rFonts w:asciiTheme="majorBidi" w:hAnsiTheme="majorBidi" w:cstheme="majorBidi"/>
          <w:b/>
          <w:bCs/>
          <w:sz w:val="24"/>
          <w:szCs w:val="24"/>
        </w:rPr>
      </w:pPr>
      <w:r w:rsidRPr="009E7DDF">
        <w:rPr>
          <w:rFonts w:asciiTheme="majorBidi" w:hAnsiTheme="majorBidi" w:cstheme="majorBidi"/>
          <w:b/>
          <w:bCs/>
          <w:sz w:val="24"/>
          <w:szCs w:val="24"/>
        </w:rPr>
        <w:t>List of Abbreviations</w:t>
      </w:r>
    </w:p>
    <w:p w14:paraId="1FB52DF8" w14:textId="13AFDD6D" w:rsidR="00B01F74" w:rsidRDefault="00B01F74" w:rsidP="00B01F74">
      <w:pPr>
        <w:rPr>
          <w:rFonts w:asciiTheme="majorBidi" w:hAnsiTheme="majorBidi" w:cstheme="majorBidi"/>
          <w:sz w:val="24"/>
          <w:szCs w:val="24"/>
        </w:rPr>
      </w:pPr>
      <w:r w:rsidRPr="009E7DDF">
        <w:rPr>
          <w:rFonts w:asciiTheme="majorBidi" w:hAnsiTheme="majorBidi" w:cstheme="majorBidi"/>
          <w:sz w:val="24"/>
          <w:szCs w:val="24"/>
        </w:rPr>
        <w:t xml:space="preserve">ABC: </w:t>
      </w:r>
      <w:r w:rsidR="00A102C9">
        <w:rPr>
          <w:rFonts w:asciiTheme="majorBidi" w:hAnsiTheme="majorBidi" w:cstheme="majorBidi"/>
          <w:sz w:val="24"/>
          <w:szCs w:val="24"/>
        </w:rPr>
        <w:t>A</w:t>
      </w:r>
      <w:r w:rsidRPr="009E7DDF">
        <w:rPr>
          <w:rFonts w:asciiTheme="majorBidi" w:hAnsiTheme="majorBidi" w:cstheme="majorBidi"/>
          <w:sz w:val="24"/>
          <w:szCs w:val="24"/>
        </w:rPr>
        <w:t xml:space="preserve">ttitude-behaviour-context </w:t>
      </w:r>
    </w:p>
    <w:p w14:paraId="07B1C5A1" w14:textId="78C37D02" w:rsidR="00A102C9" w:rsidRDefault="00A102C9" w:rsidP="00B01F74">
      <w:pPr>
        <w:rPr>
          <w:rFonts w:asciiTheme="majorBidi" w:hAnsiTheme="majorBidi" w:cstheme="majorBidi"/>
          <w:sz w:val="24"/>
          <w:szCs w:val="24"/>
        </w:rPr>
      </w:pPr>
      <w:r>
        <w:rPr>
          <w:rFonts w:asciiTheme="majorBidi" w:hAnsiTheme="majorBidi" w:cstheme="majorBidi"/>
          <w:sz w:val="24"/>
          <w:szCs w:val="24"/>
          <w:lang w:bidi="ar-EG"/>
        </w:rPr>
        <w:t>AVE: A</w:t>
      </w:r>
      <w:r w:rsidRPr="008D75D3">
        <w:rPr>
          <w:rFonts w:asciiTheme="majorBidi" w:hAnsiTheme="majorBidi" w:cstheme="majorBidi"/>
          <w:sz w:val="24"/>
          <w:szCs w:val="24"/>
          <w:lang w:bidi="ar-EG"/>
        </w:rPr>
        <w:t xml:space="preserve">verage </w:t>
      </w:r>
      <w:r>
        <w:rPr>
          <w:rFonts w:asciiTheme="majorBidi" w:hAnsiTheme="majorBidi" w:cstheme="majorBidi"/>
          <w:sz w:val="24"/>
          <w:szCs w:val="24"/>
          <w:lang w:bidi="ar-EG"/>
        </w:rPr>
        <w:t>V</w:t>
      </w:r>
      <w:r w:rsidRPr="008D75D3">
        <w:rPr>
          <w:rFonts w:asciiTheme="majorBidi" w:hAnsiTheme="majorBidi" w:cstheme="majorBidi"/>
          <w:sz w:val="24"/>
          <w:szCs w:val="24"/>
          <w:lang w:bidi="ar-EG"/>
        </w:rPr>
        <w:t xml:space="preserve">ariance </w:t>
      </w:r>
      <w:r>
        <w:rPr>
          <w:rFonts w:asciiTheme="majorBidi" w:hAnsiTheme="majorBidi" w:cstheme="majorBidi"/>
          <w:sz w:val="24"/>
          <w:szCs w:val="24"/>
          <w:lang w:bidi="ar-EG"/>
        </w:rPr>
        <w:t>E</w:t>
      </w:r>
      <w:r w:rsidRPr="008D75D3">
        <w:rPr>
          <w:rFonts w:asciiTheme="majorBidi" w:hAnsiTheme="majorBidi" w:cstheme="majorBidi"/>
          <w:sz w:val="24"/>
          <w:szCs w:val="24"/>
          <w:lang w:bidi="ar-EG"/>
        </w:rPr>
        <w:t>xtracted</w:t>
      </w:r>
    </w:p>
    <w:p w14:paraId="24A7A14A" w14:textId="3D300CBE" w:rsidR="00B01F74" w:rsidRDefault="00B01F74" w:rsidP="00B01F74">
      <w:pPr>
        <w:rPr>
          <w:rFonts w:asciiTheme="majorBidi" w:hAnsiTheme="majorBidi" w:cstheme="majorBidi"/>
          <w:sz w:val="24"/>
          <w:szCs w:val="24"/>
        </w:rPr>
      </w:pPr>
      <w:r w:rsidRPr="009E7DDF">
        <w:rPr>
          <w:rFonts w:asciiTheme="majorBidi" w:hAnsiTheme="majorBidi" w:cstheme="majorBidi"/>
          <w:sz w:val="24"/>
          <w:szCs w:val="24"/>
        </w:rPr>
        <w:t xml:space="preserve">CCB: Consumer </w:t>
      </w:r>
      <w:r w:rsidR="00A102C9">
        <w:rPr>
          <w:rFonts w:asciiTheme="majorBidi" w:hAnsiTheme="majorBidi" w:cstheme="majorBidi"/>
          <w:sz w:val="24"/>
          <w:szCs w:val="24"/>
        </w:rPr>
        <w:t>C</w:t>
      </w:r>
      <w:r w:rsidRPr="009E7DDF">
        <w:rPr>
          <w:rFonts w:asciiTheme="majorBidi" w:hAnsiTheme="majorBidi" w:cstheme="majorBidi"/>
          <w:sz w:val="24"/>
          <w:szCs w:val="24"/>
        </w:rPr>
        <w:t xml:space="preserve">itizenship </w:t>
      </w:r>
      <w:r w:rsidR="00A102C9">
        <w:rPr>
          <w:rFonts w:asciiTheme="majorBidi" w:hAnsiTheme="majorBidi" w:cstheme="majorBidi"/>
          <w:sz w:val="24"/>
          <w:szCs w:val="24"/>
        </w:rPr>
        <w:t>B</w:t>
      </w:r>
      <w:r w:rsidRPr="009E7DDF">
        <w:rPr>
          <w:rFonts w:asciiTheme="majorBidi" w:hAnsiTheme="majorBidi" w:cstheme="majorBidi"/>
          <w:sz w:val="24"/>
          <w:szCs w:val="24"/>
        </w:rPr>
        <w:t xml:space="preserve">ehaviour </w:t>
      </w:r>
    </w:p>
    <w:p w14:paraId="6673A299" w14:textId="6A16F9EB" w:rsidR="00B01F74" w:rsidRDefault="00B01F74" w:rsidP="00B01F74">
      <w:pPr>
        <w:rPr>
          <w:rFonts w:asciiTheme="majorBidi" w:hAnsiTheme="majorBidi" w:cstheme="majorBidi"/>
          <w:sz w:val="24"/>
          <w:szCs w:val="24"/>
        </w:rPr>
      </w:pPr>
      <w:r w:rsidRPr="00D25EE3">
        <w:rPr>
          <w:rFonts w:asciiTheme="majorBidi" w:hAnsiTheme="majorBidi" w:cstheme="majorBidi"/>
          <w:sz w:val="24"/>
          <w:szCs w:val="24"/>
        </w:rPr>
        <w:t>CDT:</w:t>
      </w:r>
      <w:r w:rsidRPr="00D25EE3">
        <w:rPr>
          <w:rFonts w:asciiTheme="majorBidi" w:hAnsiTheme="majorBidi" w:cstheme="majorBidi"/>
          <w:b/>
          <w:bCs/>
          <w:sz w:val="24"/>
          <w:szCs w:val="24"/>
        </w:rPr>
        <w:t xml:space="preserve"> </w:t>
      </w:r>
      <w:r>
        <w:rPr>
          <w:rFonts w:asciiTheme="majorBidi" w:hAnsiTheme="majorBidi" w:cstheme="majorBidi"/>
          <w:sz w:val="24"/>
          <w:szCs w:val="24"/>
        </w:rPr>
        <w:t>C</w:t>
      </w:r>
      <w:r w:rsidRPr="009E7DDF">
        <w:rPr>
          <w:rFonts w:asciiTheme="majorBidi" w:hAnsiTheme="majorBidi" w:cstheme="majorBidi"/>
          <w:sz w:val="24"/>
          <w:szCs w:val="24"/>
        </w:rPr>
        <w:t xml:space="preserve">ognitive </w:t>
      </w:r>
      <w:r>
        <w:rPr>
          <w:rFonts w:asciiTheme="majorBidi" w:hAnsiTheme="majorBidi" w:cstheme="majorBidi"/>
          <w:sz w:val="24"/>
          <w:szCs w:val="24"/>
        </w:rPr>
        <w:t>D</w:t>
      </w:r>
      <w:r w:rsidRPr="009E7DDF">
        <w:rPr>
          <w:rFonts w:asciiTheme="majorBidi" w:hAnsiTheme="majorBidi" w:cstheme="majorBidi"/>
          <w:sz w:val="24"/>
          <w:szCs w:val="24"/>
        </w:rPr>
        <w:t xml:space="preserve">issonance </w:t>
      </w:r>
      <w:r>
        <w:rPr>
          <w:rFonts w:asciiTheme="majorBidi" w:hAnsiTheme="majorBidi" w:cstheme="majorBidi"/>
          <w:sz w:val="24"/>
          <w:szCs w:val="24"/>
        </w:rPr>
        <w:t>T</w:t>
      </w:r>
      <w:r w:rsidRPr="009E7DDF">
        <w:rPr>
          <w:rFonts w:asciiTheme="majorBidi" w:hAnsiTheme="majorBidi" w:cstheme="majorBidi"/>
          <w:sz w:val="24"/>
          <w:szCs w:val="24"/>
        </w:rPr>
        <w:t xml:space="preserve">heory </w:t>
      </w:r>
    </w:p>
    <w:p w14:paraId="6920A341" w14:textId="5467D205" w:rsidR="00B01F74" w:rsidRDefault="00B01F74" w:rsidP="00B01F74">
      <w:pPr>
        <w:rPr>
          <w:rFonts w:asciiTheme="majorBidi" w:hAnsiTheme="majorBidi" w:cstheme="majorBidi"/>
          <w:sz w:val="24"/>
          <w:szCs w:val="24"/>
        </w:rPr>
      </w:pPr>
      <w:r w:rsidRPr="009E7DDF">
        <w:rPr>
          <w:rFonts w:asciiTheme="majorBidi" w:hAnsiTheme="majorBidi" w:cstheme="majorBidi"/>
          <w:sz w:val="24"/>
          <w:szCs w:val="24"/>
        </w:rPr>
        <w:t xml:space="preserve">CET: </w:t>
      </w:r>
      <w:r>
        <w:rPr>
          <w:rFonts w:asciiTheme="majorBidi" w:hAnsiTheme="majorBidi" w:cstheme="majorBidi"/>
          <w:sz w:val="24"/>
          <w:szCs w:val="24"/>
        </w:rPr>
        <w:t>C</w:t>
      </w:r>
      <w:r w:rsidRPr="009E7DDF">
        <w:rPr>
          <w:rFonts w:asciiTheme="majorBidi" w:hAnsiTheme="majorBidi" w:cstheme="majorBidi"/>
          <w:sz w:val="24"/>
          <w:szCs w:val="24"/>
        </w:rPr>
        <w:t xml:space="preserve">ognitive </w:t>
      </w:r>
      <w:r>
        <w:rPr>
          <w:rFonts w:asciiTheme="majorBidi" w:hAnsiTheme="majorBidi" w:cstheme="majorBidi"/>
          <w:sz w:val="24"/>
          <w:szCs w:val="24"/>
        </w:rPr>
        <w:t>E</w:t>
      </w:r>
      <w:r w:rsidRPr="009E7DDF">
        <w:rPr>
          <w:rFonts w:asciiTheme="majorBidi" w:hAnsiTheme="majorBidi" w:cstheme="majorBidi"/>
          <w:sz w:val="24"/>
          <w:szCs w:val="24"/>
        </w:rPr>
        <w:t xml:space="preserve">motion </w:t>
      </w:r>
      <w:r>
        <w:rPr>
          <w:rFonts w:asciiTheme="majorBidi" w:hAnsiTheme="majorBidi" w:cstheme="majorBidi"/>
          <w:sz w:val="24"/>
          <w:szCs w:val="24"/>
        </w:rPr>
        <w:t>T</w:t>
      </w:r>
      <w:r w:rsidRPr="009E7DDF">
        <w:rPr>
          <w:rFonts w:asciiTheme="majorBidi" w:hAnsiTheme="majorBidi" w:cstheme="majorBidi"/>
          <w:sz w:val="24"/>
          <w:szCs w:val="24"/>
        </w:rPr>
        <w:t xml:space="preserve">heory </w:t>
      </w:r>
    </w:p>
    <w:p w14:paraId="7FD07837" w14:textId="7164D613" w:rsidR="00684DB5" w:rsidRDefault="00684DB5" w:rsidP="00B01F74">
      <w:pPr>
        <w:rPr>
          <w:rFonts w:asciiTheme="majorBidi" w:hAnsiTheme="majorBidi" w:cstheme="majorBidi"/>
          <w:sz w:val="24"/>
          <w:szCs w:val="24"/>
        </w:rPr>
      </w:pPr>
      <w:r>
        <w:rPr>
          <w:rFonts w:asciiTheme="majorBidi" w:hAnsiTheme="majorBidi" w:cstheme="majorBidi"/>
          <w:sz w:val="24"/>
          <w:szCs w:val="24"/>
        </w:rPr>
        <w:t xml:space="preserve">CMB: Common Method Bias </w:t>
      </w:r>
    </w:p>
    <w:p w14:paraId="20BDD25C" w14:textId="2AFC1B14" w:rsidR="00FE335F" w:rsidRDefault="00FE335F" w:rsidP="00FE335F">
      <w:pPr>
        <w:rPr>
          <w:rFonts w:asciiTheme="majorBidi" w:hAnsiTheme="majorBidi" w:cstheme="majorBidi"/>
          <w:sz w:val="24"/>
          <w:szCs w:val="24"/>
        </w:rPr>
      </w:pPr>
      <w:r w:rsidRPr="009E7DDF">
        <w:rPr>
          <w:rFonts w:asciiTheme="majorBidi" w:hAnsiTheme="majorBidi" w:cstheme="majorBidi"/>
          <w:sz w:val="24"/>
          <w:szCs w:val="24"/>
        </w:rPr>
        <w:t xml:space="preserve">CSR: </w:t>
      </w:r>
      <w:bookmarkStart w:id="2" w:name="_Hlk140563801"/>
      <w:r w:rsidRPr="009E7DDF">
        <w:rPr>
          <w:rFonts w:asciiTheme="majorBidi" w:hAnsiTheme="majorBidi" w:cstheme="majorBidi"/>
          <w:sz w:val="24"/>
          <w:szCs w:val="24"/>
        </w:rPr>
        <w:t xml:space="preserve">Corporate Social Responsibility </w:t>
      </w:r>
      <w:bookmarkEnd w:id="2"/>
    </w:p>
    <w:p w14:paraId="764ABB1A" w14:textId="1F187279" w:rsidR="000177EB" w:rsidRDefault="000177EB" w:rsidP="000177EB">
      <w:pPr>
        <w:rPr>
          <w:rFonts w:asciiTheme="majorBidi" w:hAnsiTheme="majorBidi" w:cstheme="majorBidi"/>
          <w:sz w:val="24"/>
          <w:szCs w:val="24"/>
        </w:rPr>
      </w:pPr>
      <w:r w:rsidRPr="009E7DDF">
        <w:rPr>
          <w:rFonts w:asciiTheme="majorBidi" w:hAnsiTheme="majorBidi" w:cstheme="majorBidi"/>
          <w:sz w:val="24"/>
          <w:szCs w:val="24"/>
        </w:rPr>
        <w:t xml:space="preserve">ELM: Elaboration Likelihood Model </w:t>
      </w:r>
    </w:p>
    <w:p w14:paraId="2AAF384B" w14:textId="6632A02F" w:rsidR="000177EB" w:rsidRDefault="000177EB" w:rsidP="000177EB">
      <w:pPr>
        <w:rPr>
          <w:rFonts w:asciiTheme="majorBidi" w:hAnsiTheme="majorBidi" w:cstheme="majorBidi"/>
          <w:sz w:val="24"/>
          <w:szCs w:val="24"/>
        </w:rPr>
      </w:pPr>
      <w:r w:rsidRPr="009E7DDF">
        <w:rPr>
          <w:rFonts w:asciiTheme="majorBidi" w:hAnsiTheme="majorBidi" w:cstheme="majorBidi"/>
          <w:sz w:val="24"/>
          <w:szCs w:val="24"/>
        </w:rPr>
        <w:t xml:space="preserve">FMCG: Fast-Moving Consumer goods </w:t>
      </w:r>
    </w:p>
    <w:p w14:paraId="7D3B8324" w14:textId="77777777" w:rsidR="000177EB" w:rsidRPr="009E7DDF" w:rsidRDefault="000177EB" w:rsidP="000177EB">
      <w:pPr>
        <w:rPr>
          <w:rFonts w:asciiTheme="majorBidi" w:hAnsiTheme="majorBidi" w:cstheme="majorBidi"/>
          <w:sz w:val="24"/>
          <w:szCs w:val="24"/>
        </w:rPr>
      </w:pPr>
      <w:r w:rsidRPr="009E7DDF">
        <w:rPr>
          <w:rFonts w:asciiTheme="majorBidi" w:hAnsiTheme="majorBidi" w:cstheme="majorBidi"/>
          <w:sz w:val="24"/>
          <w:szCs w:val="24"/>
        </w:rPr>
        <w:t>GCC: Gulf Cooperation Council</w:t>
      </w:r>
    </w:p>
    <w:p w14:paraId="2D3BCEB1" w14:textId="075AA82F" w:rsidR="00FE335F" w:rsidRDefault="00FE335F" w:rsidP="00FE335F">
      <w:pPr>
        <w:rPr>
          <w:rFonts w:asciiTheme="majorBidi" w:hAnsiTheme="majorBidi" w:cstheme="majorBidi"/>
          <w:sz w:val="24"/>
          <w:szCs w:val="24"/>
        </w:rPr>
      </w:pPr>
      <w:r w:rsidRPr="009E7DDF">
        <w:rPr>
          <w:rFonts w:asciiTheme="majorBidi" w:hAnsiTheme="majorBidi" w:cstheme="majorBidi"/>
          <w:sz w:val="24"/>
          <w:szCs w:val="24"/>
        </w:rPr>
        <w:t xml:space="preserve">ISO: </w:t>
      </w:r>
      <w:r w:rsidR="00684DB5">
        <w:rPr>
          <w:rFonts w:asciiTheme="majorBidi" w:hAnsiTheme="majorBidi" w:cstheme="majorBidi"/>
          <w:sz w:val="24"/>
          <w:szCs w:val="24"/>
        </w:rPr>
        <w:t>I</w:t>
      </w:r>
      <w:r w:rsidRPr="009E7DDF">
        <w:rPr>
          <w:rFonts w:asciiTheme="majorBidi" w:hAnsiTheme="majorBidi" w:cstheme="majorBidi"/>
          <w:sz w:val="24"/>
          <w:szCs w:val="24"/>
        </w:rPr>
        <w:t xml:space="preserve">nternational </w:t>
      </w:r>
      <w:r w:rsidR="00684DB5">
        <w:rPr>
          <w:rFonts w:asciiTheme="majorBidi" w:hAnsiTheme="majorBidi" w:cstheme="majorBidi"/>
          <w:sz w:val="24"/>
          <w:szCs w:val="24"/>
        </w:rPr>
        <w:t>O</w:t>
      </w:r>
      <w:r w:rsidRPr="009E7DDF">
        <w:rPr>
          <w:rFonts w:asciiTheme="majorBidi" w:hAnsiTheme="majorBidi" w:cstheme="majorBidi"/>
          <w:sz w:val="24"/>
          <w:szCs w:val="24"/>
        </w:rPr>
        <w:t xml:space="preserve">rganization for </w:t>
      </w:r>
      <w:r w:rsidR="00684DB5">
        <w:rPr>
          <w:rFonts w:asciiTheme="majorBidi" w:hAnsiTheme="majorBidi" w:cstheme="majorBidi"/>
          <w:sz w:val="24"/>
          <w:szCs w:val="24"/>
        </w:rPr>
        <w:t>S</w:t>
      </w:r>
      <w:r w:rsidRPr="009E7DDF">
        <w:rPr>
          <w:rFonts w:asciiTheme="majorBidi" w:hAnsiTheme="majorBidi" w:cstheme="majorBidi"/>
          <w:sz w:val="24"/>
          <w:szCs w:val="24"/>
        </w:rPr>
        <w:t xml:space="preserve">tandardization </w:t>
      </w:r>
    </w:p>
    <w:p w14:paraId="73C344D7" w14:textId="637BF3E6" w:rsidR="000177EB" w:rsidRPr="009E7DDF" w:rsidRDefault="000177EB" w:rsidP="000177EB">
      <w:pPr>
        <w:rPr>
          <w:rFonts w:asciiTheme="majorBidi" w:hAnsiTheme="majorBidi" w:cstheme="majorBidi"/>
          <w:sz w:val="24"/>
          <w:szCs w:val="24"/>
        </w:rPr>
      </w:pPr>
      <w:r w:rsidRPr="009E7DDF">
        <w:rPr>
          <w:rFonts w:asciiTheme="majorBidi" w:hAnsiTheme="majorBidi" w:cstheme="majorBidi"/>
          <w:sz w:val="24"/>
          <w:szCs w:val="24"/>
        </w:rPr>
        <w:t>MENA: Middle East and North Africa</w:t>
      </w:r>
    </w:p>
    <w:p w14:paraId="7A4E632D" w14:textId="5DE2748E" w:rsidR="00FE335F" w:rsidRDefault="00FE335F" w:rsidP="00FE335F">
      <w:pPr>
        <w:rPr>
          <w:rFonts w:asciiTheme="majorBidi" w:hAnsiTheme="majorBidi" w:cstheme="majorBidi"/>
          <w:sz w:val="24"/>
          <w:szCs w:val="24"/>
        </w:rPr>
      </w:pPr>
      <w:r w:rsidRPr="009E7DDF">
        <w:rPr>
          <w:rFonts w:asciiTheme="majorBidi" w:hAnsiTheme="majorBidi" w:cstheme="majorBidi"/>
          <w:sz w:val="24"/>
          <w:szCs w:val="24"/>
        </w:rPr>
        <w:t xml:space="preserve">PCE: Perceived </w:t>
      </w:r>
      <w:r w:rsidR="00684DB5">
        <w:rPr>
          <w:rFonts w:asciiTheme="majorBidi" w:hAnsiTheme="majorBidi" w:cstheme="majorBidi"/>
          <w:sz w:val="24"/>
          <w:szCs w:val="24"/>
        </w:rPr>
        <w:t>C</w:t>
      </w:r>
      <w:r w:rsidRPr="009E7DDF">
        <w:rPr>
          <w:rFonts w:asciiTheme="majorBidi" w:hAnsiTheme="majorBidi" w:cstheme="majorBidi"/>
          <w:sz w:val="24"/>
          <w:szCs w:val="24"/>
        </w:rPr>
        <w:t xml:space="preserve">onsumer </w:t>
      </w:r>
      <w:r w:rsidR="00684DB5">
        <w:rPr>
          <w:rFonts w:asciiTheme="majorBidi" w:hAnsiTheme="majorBidi" w:cstheme="majorBidi"/>
          <w:sz w:val="24"/>
          <w:szCs w:val="24"/>
        </w:rPr>
        <w:t>E</w:t>
      </w:r>
      <w:r w:rsidRPr="009E7DDF">
        <w:rPr>
          <w:rFonts w:asciiTheme="majorBidi" w:hAnsiTheme="majorBidi" w:cstheme="majorBidi"/>
          <w:sz w:val="24"/>
          <w:szCs w:val="24"/>
        </w:rPr>
        <w:t>ffectiveness</w:t>
      </w:r>
    </w:p>
    <w:p w14:paraId="4F488E54" w14:textId="1CAE858E" w:rsidR="007948F7" w:rsidRDefault="007948F7" w:rsidP="00FE335F">
      <w:pPr>
        <w:rPr>
          <w:rFonts w:asciiTheme="majorBidi" w:hAnsiTheme="majorBidi" w:cstheme="majorBidi"/>
          <w:sz w:val="24"/>
          <w:szCs w:val="24"/>
        </w:rPr>
      </w:pPr>
      <w:r>
        <w:rPr>
          <w:rFonts w:asciiTheme="majorBidi" w:hAnsiTheme="majorBidi" w:cstheme="majorBidi"/>
          <w:sz w:val="24"/>
          <w:szCs w:val="24"/>
        </w:rPr>
        <w:t>ROI: R</w:t>
      </w:r>
      <w:r w:rsidRPr="007948F7">
        <w:rPr>
          <w:rFonts w:asciiTheme="majorBidi" w:hAnsiTheme="majorBidi" w:cstheme="majorBidi"/>
          <w:sz w:val="24"/>
          <w:szCs w:val="24"/>
        </w:rPr>
        <w:t>eturn-on-investment</w:t>
      </w:r>
    </w:p>
    <w:p w14:paraId="6150AB91" w14:textId="77777777" w:rsidR="000177EB" w:rsidRPr="009E7DDF" w:rsidRDefault="000177EB" w:rsidP="000177EB">
      <w:pPr>
        <w:rPr>
          <w:rFonts w:asciiTheme="majorBidi" w:hAnsiTheme="majorBidi" w:cstheme="majorBidi"/>
          <w:sz w:val="24"/>
          <w:szCs w:val="24"/>
        </w:rPr>
      </w:pPr>
      <w:r w:rsidRPr="009E7DDF">
        <w:rPr>
          <w:rFonts w:asciiTheme="majorBidi" w:hAnsiTheme="majorBidi" w:cstheme="majorBidi"/>
          <w:sz w:val="24"/>
          <w:szCs w:val="24"/>
        </w:rPr>
        <w:t xml:space="preserve">S.E:  Sample Error </w:t>
      </w:r>
    </w:p>
    <w:p w14:paraId="2D106612" w14:textId="6D82B9CF" w:rsidR="000177EB" w:rsidRDefault="000177EB" w:rsidP="000177EB">
      <w:pPr>
        <w:rPr>
          <w:rFonts w:asciiTheme="majorBidi" w:hAnsiTheme="majorBidi" w:cstheme="majorBidi"/>
          <w:sz w:val="24"/>
          <w:szCs w:val="24"/>
        </w:rPr>
      </w:pPr>
      <w:r>
        <w:rPr>
          <w:rFonts w:asciiTheme="majorBidi" w:hAnsiTheme="majorBidi" w:cstheme="majorBidi"/>
          <w:sz w:val="24"/>
          <w:szCs w:val="24"/>
        </w:rPr>
        <w:t xml:space="preserve">SEM: Structural Equation Model </w:t>
      </w:r>
    </w:p>
    <w:p w14:paraId="69288FBC" w14:textId="0AB4F559" w:rsidR="000177EB" w:rsidRDefault="000177EB" w:rsidP="000177EB">
      <w:pPr>
        <w:rPr>
          <w:rFonts w:asciiTheme="majorBidi" w:hAnsiTheme="majorBidi" w:cstheme="majorBidi"/>
          <w:sz w:val="24"/>
          <w:szCs w:val="24"/>
        </w:rPr>
      </w:pPr>
      <w:r>
        <w:rPr>
          <w:rFonts w:asciiTheme="majorBidi" w:hAnsiTheme="majorBidi" w:cstheme="majorBidi"/>
          <w:sz w:val="24"/>
          <w:szCs w:val="24"/>
        </w:rPr>
        <w:t xml:space="preserve">SES: </w:t>
      </w:r>
      <w:r w:rsidR="00EB45E2">
        <w:rPr>
          <w:rFonts w:asciiTheme="majorBidi" w:hAnsiTheme="majorBidi" w:cstheme="majorBidi"/>
          <w:sz w:val="24"/>
          <w:szCs w:val="24"/>
        </w:rPr>
        <w:t>Socioeconomic</w:t>
      </w:r>
      <w:r>
        <w:rPr>
          <w:rFonts w:asciiTheme="majorBidi" w:hAnsiTheme="majorBidi" w:cstheme="majorBidi"/>
          <w:sz w:val="24"/>
          <w:szCs w:val="24"/>
        </w:rPr>
        <w:t xml:space="preserve"> </w:t>
      </w:r>
      <w:r w:rsidR="00684DB5">
        <w:rPr>
          <w:rFonts w:asciiTheme="majorBidi" w:hAnsiTheme="majorBidi" w:cstheme="majorBidi"/>
          <w:sz w:val="24"/>
          <w:szCs w:val="24"/>
        </w:rPr>
        <w:t>S</w:t>
      </w:r>
      <w:r>
        <w:rPr>
          <w:rFonts w:asciiTheme="majorBidi" w:hAnsiTheme="majorBidi" w:cstheme="majorBidi"/>
          <w:sz w:val="24"/>
          <w:szCs w:val="24"/>
        </w:rPr>
        <w:t xml:space="preserve">tatus </w:t>
      </w:r>
    </w:p>
    <w:p w14:paraId="63982908" w14:textId="552E31E2" w:rsidR="000177EB" w:rsidRDefault="000177EB" w:rsidP="000177EB">
      <w:pPr>
        <w:rPr>
          <w:rFonts w:asciiTheme="majorBidi" w:hAnsiTheme="majorBidi" w:cstheme="majorBidi"/>
          <w:sz w:val="24"/>
          <w:szCs w:val="24"/>
        </w:rPr>
      </w:pPr>
      <w:r w:rsidRPr="009E7DDF">
        <w:rPr>
          <w:rFonts w:asciiTheme="majorBidi" w:hAnsiTheme="majorBidi" w:cstheme="majorBidi"/>
          <w:sz w:val="24"/>
          <w:szCs w:val="24"/>
        </w:rPr>
        <w:t xml:space="preserve">SET: Social Exchange Theory </w:t>
      </w:r>
    </w:p>
    <w:p w14:paraId="64514C5C" w14:textId="77777777" w:rsidR="000177EB" w:rsidRDefault="000177EB" w:rsidP="000177EB">
      <w:pPr>
        <w:rPr>
          <w:rFonts w:asciiTheme="majorBidi" w:hAnsiTheme="majorBidi" w:cstheme="majorBidi"/>
          <w:sz w:val="24"/>
          <w:szCs w:val="24"/>
        </w:rPr>
      </w:pPr>
      <w:r w:rsidRPr="009E7DDF">
        <w:rPr>
          <w:rFonts w:asciiTheme="majorBidi" w:hAnsiTheme="majorBidi" w:cstheme="majorBidi"/>
          <w:sz w:val="24"/>
          <w:szCs w:val="24"/>
        </w:rPr>
        <w:t xml:space="preserve">SIT: </w:t>
      </w:r>
      <w:r>
        <w:rPr>
          <w:rFonts w:asciiTheme="majorBidi" w:hAnsiTheme="majorBidi" w:cstheme="majorBidi"/>
          <w:sz w:val="24"/>
          <w:szCs w:val="24"/>
        </w:rPr>
        <w:t>S</w:t>
      </w:r>
      <w:r w:rsidRPr="009E7DDF">
        <w:rPr>
          <w:rFonts w:asciiTheme="majorBidi" w:hAnsiTheme="majorBidi" w:cstheme="majorBidi"/>
          <w:sz w:val="24"/>
          <w:szCs w:val="24"/>
        </w:rPr>
        <w:t xml:space="preserve">ocial </w:t>
      </w:r>
      <w:r>
        <w:rPr>
          <w:rFonts w:asciiTheme="majorBidi" w:hAnsiTheme="majorBidi" w:cstheme="majorBidi"/>
          <w:sz w:val="24"/>
          <w:szCs w:val="24"/>
        </w:rPr>
        <w:t>I</w:t>
      </w:r>
      <w:r w:rsidRPr="009E7DDF">
        <w:rPr>
          <w:rFonts w:asciiTheme="majorBidi" w:hAnsiTheme="majorBidi" w:cstheme="majorBidi"/>
          <w:sz w:val="24"/>
          <w:szCs w:val="24"/>
        </w:rPr>
        <w:t xml:space="preserve">dentity </w:t>
      </w:r>
      <w:r>
        <w:rPr>
          <w:rFonts w:asciiTheme="majorBidi" w:hAnsiTheme="majorBidi" w:cstheme="majorBidi"/>
          <w:sz w:val="24"/>
          <w:szCs w:val="24"/>
        </w:rPr>
        <w:t>T</w:t>
      </w:r>
      <w:r w:rsidRPr="009E7DDF">
        <w:rPr>
          <w:rFonts w:asciiTheme="majorBidi" w:hAnsiTheme="majorBidi" w:cstheme="majorBidi"/>
          <w:sz w:val="24"/>
          <w:szCs w:val="24"/>
        </w:rPr>
        <w:t xml:space="preserve">heory </w:t>
      </w:r>
    </w:p>
    <w:p w14:paraId="011B1D27" w14:textId="35E335FF" w:rsidR="000177EB" w:rsidRPr="009E7DDF" w:rsidRDefault="000177EB" w:rsidP="000177EB">
      <w:pPr>
        <w:rPr>
          <w:rFonts w:asciiTheme="majorBidi" w:hAnsiTheme="majorBidi" w:cstheme="majorBidi"/>
          <w:sz w:val="24"/>
          <w:szCs w:val="24"/>
        </w:rPr>
      </w:pPr>
      <w:r w:rsidRPr="009E7DDF">
        <w:rPr>
          <w:rFonts w:asciiTheme="majorBidi" w:hAnsiTheme="majorBidi" w:cstheme="majorBidi"/>
          <w:sz w:val="24"/>
          <w:szCs w:val="24"/>
        </w:rPr>
        <w:t xml:space="preserve">SOR: </w:t>
      </w:r>
      <w:r w:rsidR="00684DB5">
        <w:rPr>
          <w:rFonts w:asciiTheme="majorBidi" w:hAnsiTheme="majorBidi" w:cstheme="majorBidi"/>
          <w:sz w:val="24"/>
          <w:szCs w:val="24"/>
        </w:rPr>
        <w:t>S</w:t>
      </w:r>
      <w:r w:rsidRPr="009E7DDF">
        <w:rPr>
          <w:rFonts w:asciiTheme="majorBidi" w:hAnsiTheme="majorBidi" w:cstheme="majorBidi"/>
          <w:sz w:val="24"/>
          <w:szCs w:val="24"/>
        </w:rPr>
        <w:t>timuli-</w:t>
      </w:r>
      <w:r w:rsidR="00684DB5">
        <w:rPr>
          <w:rFonts w:asciiTheme="majorBidi" w:hAnsiTheme="majorBidi" w:cstheme="majorBidi"/>
          <w:sz w:val="24"/>
          <w:szCs w:val="24"/>
        </w:rPr>
        <w:t>O</w:t>
      </w:r>
      <w:r w:rsidRPr="009E7DDF">
        <w:rPr>
          <w:rFonts w:asciiTheme="majorBidi" w:hAnsiTheme="majorBidi" w:cstheme="majorBidi"/>
          <w:sz w:val="24"/>
          <w:szCs w:val="24"/>
        </w:rPr>
        <w:t>rganism-</w:t>
      </w:r>
      <w:r w:rsidR="00684DB5">
        <w:rPr>
          <w:rFonts w:asciiTheme="majorBidi" w:hAnsiTheme="majorBidi" w:cstheme="majorBidi"/>
          <w:sz w:val="24"/>
          <w:szCs w:val="24"/>
        </w:rPr>
        <w:t>R</w:t>
      </w:r>
      <w:r w:rsidRPr="009E7DDF">
        <w:rPr>
          <w:rFonts w:asciiTheme="majorBidi" w:hAnsiTheme="majorBidi" w:cstheme="majorBidi"/>
          <w:sz w:val="24"/>
          <w:szCs w:val="24"/>
        </w:rPr>
        <w:t xml:space="preserve">esponse </w:t>
      </w:r>
    </w:p>
    <w:p w14:paraId="463344A4" w14:textId="77777777" w:rsidR="00FE335F" w:rsidRPr="009E7DDF" w:rsidRDefault="00FE335F" w:rsidP="00FE335F">
      <w:pPr>
        <w:rPr>
          <w:rFonts w:asciiTheme="majorBidi" w:hAnsiTheme="majorBidi" w:cstheme="majorBidi"/>
          <w:sz w:val="24"/>
          <w:szCs w:val="24"/>
        </w:rPr>
      </w:pPr>
      <w:r w:rsidRPr="009E7DDF">
        <w:rPr>
          <w:rFonts w:asciiTheme="majorBidi" w:hAnsiTheme="majorBidi" w:cstheme="majorBidi"/>
          <w:sz w:val="24"/>
          <w:szCs w:val="24"/>
        </w:rPr>
        <w:t xml:space="preserve">TPB: Theory of Planned Behaviour </w:t>
      </w:r>
    </w:p>
    <w:p w14:paraId="37DD222B" w14:textId="77777777" w:rsidR="00FE335F" w:rsidRDefault="00FE335F" w:rsidP="00FE335F">
      <w:pPr>
        <w:rPr>
          <w:rFonts w:asciiTheme="majorBidi" w:hAnsiTheme="majorBidi" w:cstheme="majorBidi"/>
          <w:sz w:val="24"/>
          <w:szCs w:val="24"/>
        </w:rPr>
      </w:pPr>
      <w:r w:rsidRPr="009E7DDF">
        <w:rPr>
          <w:rFonts w:asciiTheme="majorBidi" w:hAnsiTheme="majorBidi" w:cstheme="majorBidi"/>
          <w:sz w:val="24"/>
          <w:szCs w:val="24"/>
        </w:rPr>
        <w:t xml:space="preserve">TRA: Theory of Reasoned Action </w:t>
      </w:r>
    </w:p>
    <w:p w14:paraId="260F98A2" w14:textId="77777777" w:rsidR="007E57A4" w:rsidRDefault="007E57A4" w:rsidP="00FE335F">
      <w:pPr>
        <w:rPr>
          <w:rFonts w:asciiTheme="majorBidi" w:hAnsiTheme="majorBidi" w:cstheme="majorBidi"/>
          <w:sz w:val="24"/>
          <w:szCs w:val="24"/>
        </w:rPr>
      </w:pPr>
    </w:p>
    <w:p w14:paraId="7199FB4C" w14:textId="77777777" w:rsidR="00A102C9" w:rsidRPr="009E7DDF" w:rsidRDefault="00A102C9" w:rsidP="00FE335F">
      <w:pPr>
        <w:rPr>
          <w:rFonts w:asciiTheme="majorBidi" w:hAnsiTheme="majorBidi" w:cstheme="majorBidi"/>
          <w:sz w:val="24"/>
          <w:szCs w:val="24"/>
        </w:rPr>
      </w:pPr>
    </w:p>
    <w:p w14:paraId="7E4C2356" w14:textId="77777777" w:rsidR="00E61261" w:rsidRDefault="00E61261">
      <w:pPr>
        <w:rPr>
          <w:rFonts w:asciiTheme="majorBidi" w:hAnsiTheme="majorBidi" w:cstheme="majorBidi"/>
          <w:b/>
          <w:bCs/>
          <w:sz w:val="24"/>
          <w:szCs w:val="24"/>
        </w:rPr>
      </w:pPr>
      <w:r>
        <w:rPr>
          <w:rFonts w:asciiTheme="majorBidi" w:hAnsiTheme="majorBidi" w:cstheme="majorBidi"/>
          <w:b/>
          <w:bCs/>
          <w:sz w:val="24"/>
          <w:szCs w:val="24"/>
        </w:rPr>
        <w:br w:type="page"/>
      </w:r>
    </w:p>
    <w:p w14:paraId="3580BAD8" w14:textId="37B38D9A" w:rsidR="00EF74C5" w:rsidRDefault="00EF74C5" w:rsidP="00EF74C5">
      <w:pPr>
        <w:jc w:val="center"/>
        <w:rPr>
          <w:rFonts w:asciiTheme="majorBidi" w:hAnsiTheme="majorBidi" w:cstheme="majorBidi"/>
          <w:b/>
          <w:bCs/>
          <w:sz w:val="24"/>
          <w:szCs w:val="24"/>
        </w:rPr>
      </w:pPr>
      <w:r w:rsidRPr="003E582C">
        <w:rPr>
          <w:rFonts w:asciiTheme="majorBidi" w:hAnsiTheme="majorBidi" w:cstheme="majorBidi"/>
          <w:b/>
          <w:bCs/>
          <w:sz w:val="24"/>
          <w:szCs w:val="24"/>
        </w:rPr>
        <w:t>Chapter 1</w:t>
      </w:r>
    </w:p>
    <w:p w14:paraId="2E3A4365" w14:textId="48BB6365" w:rsidR="0044456D" w:rsidRPr="003E582C" w:rsidRDefault="0044456D" w:rsidP="00EF74C5">
      <w:pPr>
        <w:jc w:val="center"/>
        <w:rPr>
          <w:rFonts w:asciiTheme="majorBidi" w:hAnsiTheme="majorBidi" w:cstheme="majorBidi"/>
          <w:b/>
          <w:bCs/>
          <w:sz w:val="24"/>
          <w:szCs w:val="24"/>
        </w:rPr>
      </w:pPr>
      <w:r>
        <w:rPr>
          <w:rFonts w:asciiTheme="majorBidi" w:hAnsiTheme="majorBidi" w:cstheme="majorBidi"/>
          <w:b/>
          <w:bCs/>
          <w:sz w:val="24"/>
          <w:szCs w:val="24"/>
        </w:rPr>
        <w:t xml:space="preserve">Introduction </w:t>
      </w:r>
    </w:p>
    <w:p w14:paraId="054CCC0C" w14:textId="1453E1AA" w:rsidR="00027BE0" w:rsidRPr="003E582C" w:rsidRDefault="003D385E" w:rsidP="003D385E">
      <w:pPr>
        <w:rPr>
          <w:rFonts w:asciiTheme="majorBidi" w:hAnsiTheme="majorBidi" w:cstheme="majorBidi"/>
          <w:b/>
          <w:bCs/>
          <w:sz w:val="24"/>
          <w:szCs w:val="24"/>
        </w:rPr>
      </w:pPr>
      <w:r>
        <w:rPr>
          <w:rFonts w:asciiTheme="majorBidi" w:hAnsiTheme="majorBidi" w:cstheme="majorBidi"/>
          <w:b/>
          <w:bCs/>
          <w:sz w:val="24"/>
          <w:szCs w:val="24"/>
        </w:rPr>
        <w:t xml:space="preserve">1.0 </w:t>
      </w:r>
      <w:r w:rsidR="00EF74C5" w:rsidRPr="003E582C">
        <w:rPr>
          <w:rFonts w:asciiTheme="majorBidi" w:hAnsiTheme="majorBidi" w:cstheme="majorBidi"/>
          <w:b/>
          <w:bCs/>
          <w:sz w:val="24"/>
          <w:szCs w:val="24"/>
        </w:rPr>
        <w:t>Introduction</w:t>
      </w:r>
    </w:p>
    <w:p w14:paraId="6DF3660F" w14:textId="7A3F8244" w:rsidR="00505C3D" w:rsidRPr="00505C3D" w:rsidRDefault="002C7CB3" w:rsidP="00C5347F">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3D385E">
        <w:rPr>
          <w:rFonts w:asciiTheme="majorBidi" w:hAnsiTheme="majorBidi" w:cstheme="majorBidi"/>
          <w:sz w:val="24"/>
          <w:szCs w:val="24"/>
        </w:rPr>
        <w:t xml:space="preserve">This chapter provides a preliminary </w:t>
      </w:r>
      <w:r w:rsidR="00505C3D">
        <w:rPr>
          <w:rFonts w:asciiTheme="majorBidi" w:hAnsiTheme="majorBidi" w:cstheme="majorBidi"/>
          <w:sz w:val="24"/>
          <w:szCs w:val="24"/>
        </w:rPr>
        <w:t xml:space="preserve">outline of the thesis and introduces the topic and main objectives of the study. </w:t>
      </w:r>
      <w:r w:rsidR="00B945DB">
        <w:rPr>
          <w:rFonts w:asciiTheme="majorBidi" w:hAnsiTheme="majorBidi" w:cstheme="majorBidi"/>
          <w:sz w:val="24"/>
          <w:szCs w:val="24"/>
        </w:rPr>
        <w:t>It</w:t>
      </w:r>
      <w:r w:rsidR="00505C3D" w:rsidRPr="00505C3D">
        <w:rPr>
          <w:rFonts w:asciiTheme="majorBidi" w:hAnsiTheme="majorBidi" w:cstheme="majorBidi"/>
          <w:sz w:val="24"/>
          <w:szCs w:val="24"/>
        </w:rPr>
        <w:t xml:space="preserve"> briefly discusses </w:t>
      </w:r>
      <w:r w:rsidR="000D5EC9">
        <w:rPr>
          <w:rFonts w:asciiTheme="majorBidi" w:hAnsiTheme="majorBidi" w:cstheme="majorBidi"/>
          <w:sz w:val="24"/>
          <w:szCs w:val="24"/>
        </w:rPr>
        <w:t>my personal</w:t>
      </w:r>
      <w:r w:rsidR="00505C3D" w:rsidRPr="00505C3D">
        <w:rPr>
          <w:rFonts w:asciiTheme="majorBidi" w:hAnsiTheme="majorBidi" w:cstheme="majorBidi"/>
          <w:sz w:val="24"/>
          <w:szCs w:val="24"/>
        </w:rPr>
        <w:t xml:space="preserve"> motivation</w:t>
      </w:r>
      <w:r w:rsidR="000D5EC9">
        <w:rPr>
          <w:rFonts w:asciiTheme="majorBidi" w:hAnsiTheme="majorBidi" w:cstheme="majorBidi"/>
          <w:sz w:val="24"/>
          <w:szCs w:val="24"/>
        </w:rPr>
        <w:t xml:space="preserve"> as well as</w:t>
      </w:r>
      <w:r w:rsidR="00B945DB">
        <w:rPr>
          <w:rFonts w:asciiTheme="majorBidi" w:hAnsiTheme="majorBidi" w:cstheme="majorBidi"/>
          <w:sz w:val="24"/>
          <w:szCs w:val="24"/>
        </w:rPr>
        <w:t xml:space="preserve"> the</w:t>
      </w:r>
      <w:r w:rsidR="000D5EC9">
        <w:rPr>
          <w:rFonts w:asciiTheme="majorBidi" w:hAnsiTheme="majorBidi" w:cstheme="majorBidi"/>
          <w:sz w:val="24"/>
          <w:szCs w:val="24"/>
        </w:rPr>
        <w:t xml:space="preserve"> academic </w:t>
      </w:r>
      <w:r w:rsidR="00173596">
        <w:rPr>
          <w:rFonts w:asciiTheme="majorBidi" w:hAnsiTheme="majorBidi" w:cstheme="majorBidi"/>
          <w:sz w:val="24"/>
          <w:szCs w:val="24"/>
        </w:rPr>
        <w:t>necessity</w:t>
      </w:r>
      <w:r w:rsidR="00505C3D" w:rsidRPr="00505C3D">
        <w:rPr>
          <w:rFonts w:asciiTheme="majorBidi" w:hAnsiTheme="majorBidi" w:cstheme="majorBidi"/>
          <w:sz w:val="24"/>
          <w:szCs w:val="24"/>
        </w:rPr>
        <w:t xml:space="preserve"> for </w:t>
      </w:r>
      <w:r w:rsidR="000D5EC9">
        <w:rPr>
          <w:rFonts w:asciiTheme="majorBidi" w:hAnsiTheme="majorBidi" w:cstheme="majorBidi"/>
          <w:sz w:val="24"/>
          <w:szCs w:val="24"/>
        </w:rPr>
        <w:t>conducting</w:t>
      </w:r>
      <w:r w:rsidR="00505C3D" w:rsidRPr="00505C3D">
        <w:rPr>
          <w:rFonts w:asciiTheme="majorBidi" w:hAnsiTheme="majorBidi" w:cstheme="majorBidi"/>
          <w:sz w:val="24"/>
          <w:szCs w:val="24"/>
        </w:rPr>
        <w:t xml:space="preserve"> this research</w:t>
      </w:r>
      <w:r w:rsidR="00505C3D">
        <w:rPr>
          <w:rFonts w:asciiTheme="majorBidi" w:hAnsiTheme="majorBidi" w:cstheme="majorBidi"/>
          <w:sz w:val="24"/>
          <w:szCs w:val="24"/>
        </w:rPr>
        <w:t xml:space="preserve"> </w:t>
      </w:r>
      <w:r w:rsidR="00173596">
        <w:rPr>
          <w:rFonts w:asciiTheme="majorBidi" w:hAnsiTheme="majorBidi" w:cstheme="majorBidi"/>
          <w:sz w:val="24"/>
          <w:szCs w:val="24"/>
        </w:rPr>
        <w:t>in</w:t>
      </w:r>
      <w:r w:rsidR="00505C3D">
        <w:rPr>
          <w:rFonts w:asciiTheme="majorBidi" w:hAnsiTheme="majorBidi" w:cstheme="majorBidi"/>
          <w:sz w:val="24"/>
          <w:szCs w:val="24"/>
        </w:rPr>
        <w:t xml:space="preserve"> Corporate Social Responsibility (CSR)</w:t>
      </w:r>
      <w:r w:rsidR="00173596">
        <w:rPr>
          <w:rFonts w:asciiTheme="majorBidi" w:hAnsiTheme="majorBidi" w:cstheme="majorBidi"/>
          <w:sz w:val="24"/>
          <w:szCs w:val="24"/>
        </w:rPr>
        <w:t xml:space="preserve"> </w:t>
      </w:r>
      <w:r w:rsidR="00226CF0">
        <w:rPr>
          <w:rFonts w:asciiTheme="majorBidi" w:hAnsiTheme="majorBidi" w:cstheme="majorBidi"/>
          <w:sz w:val="24"/>
          <w:szCs w:val="24"/>
        </w:rPr>
        <w:t xml:space="preserve">brand communications </w:t>
      </w:r>
      <w:r w:rsidR="00173596">
        <w:rPr>
          <w:rFonts w:asciiTheme="majorBidi" w:hAnsiTheme="majorBidi" w:cstheme="majorBidi"/>
          <w:sz w:val="24"/>
          <w:szCs w:val="24"/>
        </w:rPr>
        <w:t xml:space="preserve">in Egypt. Accordingly, </w:t>
      </w:r>
      <w:r w:rsidR="00173596" w:rsidRPr="00173596">
        <w:rPr>
          <w:rFonts w:asciiTheme="majorBidi" w:hAnsiTheme="majorBidi" w:cstheme="majorBidi"/>
          <w:sz w:val="24"/>
          <w:szCs w:val="24"/>
        </w:rPr>
        <w:t>this</w:t>
      </w:r>
      <w:r w:rsidR="00505C3D" w:rsidRPr="00173596">
        <w:rPr>
          <w:rFonts w:asciiTheme="majorBidi" w:hAnsiTheme="majorBidi" w:cstheme="majorBidi"/>
          <w:sz w:val="24"/>
          <w:szCs w:val="24"/>
        </w:rPr>
        <w:t xml:space="preserve"> chapter </w:t>
      </w:r>
      <w:r w:rsidR="00173596" w:rsidRPr="00173596">
        <w:rPr>
          <w:rFonts w:asciiTheme="majorBidi" w:hAnsiTheme="majorBidi" w:cstheme="majorBidi"/>
          <w:sz w:val="24"/>
          <w:szCs w:val="24"/>
        </w:rPr>
        <w:t xml:space="preserve">presents the main discovered research gaps that arose from literature, a summary of the research methods, </w:t>
      </w:r>
      <w:r w:rsidR="00C40408">
        <w:rPr>
          <w:rFonts w:asciiTheme="majorBidi" w:hAnsiTheme="majorBidi" w:cstheme="majorBidi"/>
          <w:sz w:val="24"/>
          <w:szCs w:val="24"/>
        </w:rPr>
        <w:t xml:space="preserve">summary of results and contributions, and finally </w:t>
      </w:r>
      <w:r w:rsidR="00173596" w:rsidRPr="00173596">
        <w:rPr>
          <w:rFonts w:asciiTheme="majorBidi" w:hAnsiTheme="majorBidi" w:cstheme="majorBidi"/>
          <w:sz w:val="24"/>
          <w:szCs w:val="24"/>
        </w:rPr>
        <w:t xml:space="preserve"> an outline of the structure of this </w:t>
      </w:r>
      <w:r w:rsidR="00173596">
        <w:rPr>
          <w:rFonts w:asciiTheme="majorBidi" w:hAnsiTheme="majorBidi" w:cstheme="majorBidi"/>
          <w:sz w:val="24"/>
          <w:szCs w:val="24"/>
        </w:rPr>
        <w:t xml:space="preserve">dissertation. </w:t>
      </w:r>
      <w:r w:rsidR="00173596">
        <w:rPr>
          <w:rFonts w:asciiTheme="majorBidi" w:hAnsiTheme="majorBidi" w:cstheme="majorBidi"/>
          <w:sz w:val="24"/>
          <w:szCs w:val="24"/>
          <w:u w:val="single"/>
        </w:rPr>
        <w:t xml:space="preserve"> </w:t>
      </w:r>
    </w:p>
    <w:p w14:paraId="4407EA8C" w14:textId="77777777" w:rsidR="00505C3D" w:rsidRPr="00505C3D" w:rsidRDefault="00505C3D" w:rsidP="00C5347F">
      <w:pPr>
        <w:pStyle w:val="ListParagraph"/>
        <w:numPr>
          <w:ilvl w:val="1"/>
          <w:numId w:val="22"/>
        </w:numPr>
        <w:spacing w:after="0" w:line="480" w:lineRule="auto"/>
        <w:jc w:val="both"/>
        <w:rPr>
          <w:rFonts w:asciiTheme="majorBidi" w:hAnsiTheme="majorBidi" w:cstheme="majorBidi"/>
          <w:b/>
          <w:bCs/>
          <w:sz w:val="24"/>
          <w:szCs w:val="24"/>
        </w:rPr>
      </w:pPr>
      <w:r w:rsidRPr="00505C3D">
        <w:rPr>
          <w:rFonts w:asciiTheme="majorBidi" w:hAnsiTheme="majorBidi" w:cstheme="majorBidi"/>
          <w:b/>
          <w:bCs/>
          <w:sz w:val="24"/>
          <w:szCs w:val="24"/>
        </w:rPr>
        <w:t>Background of the Study</w:t>
      </w:r>
    </w:p>
    <w:p w14:paraId="0AC14C02" w14:textId="1E8D998E" w:rsidR="00712BF9" w:rsidRPr="0023458B" w:rsidRDefault="00505C3D" w:rsidP="00F72834">
      <w:pPr>
        <w:spacing w:after="0" w:line="480" w:lineRule="auto"/>
        <w:jc w:val="both"/>
        <w:rPr>
          <w:rFonts w:asciiTheme="majorBidi" w:eastAsia="Times New Roman" w:hAnsiTheme="majorBidi" w:cstheme="majorBidi"/>
          <w:kern w:val="0"/>
          <w:sz w:val="24"/>
          <w:szCs w:val="24"/>
          <w:lang w:eastAsia="en-GB"/>
          <w14:ligatures w14:val="none"/>
        </w:rPr>
      </w:pPr>
      <w:r w:rsidRPr="00C9523C">
        <w:rPr>
          <w:rFonts w:asciiTheme="majorBidi" w:hAnsiTheme="majorBidi" w:cstheme="majorBidi"/>
          <w:sz w:val="24"/>
          <w:szCs w:val="24"/>
        </w:rPr>
        <w:tab/>
      </w:r>
      <w:r w:rsidR="00EF74C5" w:rsidRPr="00C9523C">
        <w:rPr>
          <w:rFonts w:asciiTheme="majorBidi" w:hAnsiTheme="majorBidi" w:cstheme="majorBidi"/>
          <w:sz w:val="24"/>
          <w:szCs w:val="24"/>
        </w:rPr>
        <w:t xml:space="preserve">Due to </w:t>
      </w:r>
      <w:r w:rsidR="00FE335F" w:rsidRPr="00C9523C">
        <w:rPr>
          <w:rFonts w:asciiTheme="majorBidi" w:hAnsiTheme="majorBidi" w:cstheme="majorBidi"/>
          <w:sz w:val="24"/>
          <w:szCs w:val="24"/>
        </w:rPr>
        <w:t xml:space="preserve">the </w:t>
      </w:r>
      <w:r w:rsidR="00EF74C5" w:rsidRPr="00C9523C">
        <w:rPr>
          <w:rFonts w:asciiTheme="majorBidi" w:hAnsiTheme="majorBidi" w:cstheme="majorBidi"/>
          <w:sz w:val="24"/>
          <w:szCs w:val="24"/>
        </w:rPr>
        <w:t>growing awareness of social and environmental issues in recent years, the marketing environment has experienced major changes</w:t>
      </w:r>
      <w:r w:rsidR="005C54E7" w:rsidRPr="00C9523C">
        <w:rPr>
          <w:rFonts w:asciiTheme="majorBidi" w:hAnsiTheme="majorBidi" w:cstheme="majorBidi"/>
          <w:sz w:val="24"/>
          <w:szCs w:val="24"/>
        </w:rPr>
        <w:t xml:space="preserve"> in the last decade</w:t>
      </w:r>
      <w:r w:rsidR="00DD2653" w:rsidRPr="00C4527B">
        <w:rPr>
          <w:rFonts w:asciiTheme="majorBidi" w:hAnsiTheme="majorBidi" w:cstheme="majorBidi"/>
          <w:sz w:val="24"/>
          <w:szCs w:val="24"/>
        </w:rPr>
        <w:t xml:space="preserve"> </w:t>
      </w:r>
      <w:sdt>
        <w:sdtPr>
          <w:rPr>
            <w:rFonts w:asciiTheme="majorBidi" w:hAnsiTheme="majorBidi" w:cstheme="majorBidi"/>
            <w:sz w:val="24"/>
            <w:szCs w:val="24"/>
          </w:rPr>
          <w:id w:val="881140294"/>
          <w:citation/>
        </w:sdtPr>
        <w:sdtContent>
          <w:r w:rsidR="00DD2653" w:rsidRPr="00C4527B">
            <w:rPr>
              <w:rFonts w:asciiTheme="majorBidi" w:hAnsiTheme="majorBidi" w:cstheme="majorBidi"/>
              <w:sz w:val="24"/>
              <w:szCs w:val="24"/>
            </w:rPr>
            <w:fldChar w:fldCharType="begin"/>
          </w:r>
          <w:r w:rsidR="00DD2653">
            <w:rPr>
              <w:rFonts w:asciiTheme="majorBidi" w:hAnsiTheme="majorBidi" w:cstheme="majorBidi"/>
              <w:sz w:val="24"/>
              <w:szCs w:val="24"/>
            </w:rPr>
            <w:instrText xml:space="preserve"> CITATION Ami21 \l 2057  \m Gar17 \m Zhu16</w:instrText>
          </w:r>
          <w:r w:rsidR="00DD2653" w:rsidRPr="00C4527B">
            <w:rPr>
              <w:rFonts w:asciiTheme="majorBidi" w:hAnsiTheme="majorBidi" w:cstheme="majorBidi"/>
              <w:sz w:val="24"/>
              <w:szCs w:val="24"/>
            </w:rPr>
            <w:fldChar w:fldCharType="separate"/>
          </w:r>
          <w:r w:rsidR="00DD2653" w:rsidRPr="00F15534">
            <w:rPr>
              <w:rFonts w:asciiTheme="majorBidi" w:hAnsiTheme="majorBidi" w:cstheme="majorBidi"/>
              <w:sz w:val="24"/>
              <w:szCs w:val="24"/>
            </w:rPr>
            <w:t>(Amin, Mohamed, &amp; Elragal, 2021; Garg &amp; Sharma, 2017; Zhu &amp; Sarkis, 2016)</w:t>
          </w:r>
          <w:r w:rsidR="00DD2653" w:rsidRPr="00C4527B">
            <w:rPr>
              <w:rFonts w:asciiTheme="majorBidi" w:hAnsiTheme="majorBidi" w:cstheme="majorBidi"/>
              <w:sz w:val="24"/>
              <w:szCs w:val="24"/>
            </w:rPr>
            <w:fldChar w:fldCharType="end"/>
          </w:r>
        </w:sdtContent>
      </w:sdt>
      <w:r w:rsidR="00DD2653" w:rsidRPr="00C4527B">
        <w:rPr>
          <w:rFonts w:asciiTheme="majorBidi" w:hAnsiTheme="majorBidi" w:cstheme="majorBidi"/>
          <w:sz w:val="24"/>
          <w:szCs w:val="24"/>
        </w:rPr>
        <w:t xml:space="preserve">. </w:t>
      </w:r>
      <w:r w:rsidR="00571614">
        <w:rPr>
          <w:rFonts w:asciiTheme="majorBidi" w:hAnsiTheme="majorBidi" w:cstheme="majorBidi"/>
          <w:sz w:val="24"/>
          <w:szCs w:val="24"/>
        </w:rPr>
        <w:t xml:space="preserve">Coupled with </w:t>
      </w:r>
      <w:r w:rsidR="004E0F32">
        <w:rPr>
          <w:rFonts w:asciiTheme="majorBidi" w:hAnsiTheme="majorBidi" w:cstheme="majorBidi"/>
          <w:sz w:val="24"/>
          <w:szCs w:val="24"/>
        </w:rPr>
        <w:t xml:space="preserve">significant shifts in media landscape and consumption, </w:t>
      </w:r>
      <w:r w:rsidR="000549DB">
        <w:rPr>
          <w:rFonts w:asciiTheme="majorBidi" w:hAnsiTheme="majorBidi" w:cstheme="majorBidi"/>
          <w:sz w:val="24"/>
          <w:szCs w:val="24"/>
        </w:rPr>
        <w:t xml:space="preserve">the importance of consumer attitudes and opinions continues to be a theoretically and practically important topic. </w:t>
      </w:r>
      <w:r w:rsidR="00B945DB">
        <w:rPr>
          <w:rFonts w:asciiTheme="majorBidi" w:hAnsiTheme="majorBidi" w:cstheme="majorBidi"/>
          <w:sz w:val="24"/>
          <w:szCs w:val="24"/>
        </w:rPr>
        <w:t>B</w:t>
      </w:r>
      <w:r w:rsidR="005C54E7" w:rsidRPr="00C9523C">
        <w:rPr>
          <w:rFonts w:asciiTheme="majorBidi" w:hAnsiTheme="majorBidi" w:cstheme="majorBidi"/>
          <w:sz w:val="24"/>
          <w:szCs w:val="24"/>
        </w:rPr>
        <w:t xml:space="preserve">usinesses need to stay informed about </w:t>
      </w:r>
      <w:r w:rsidR="00DC3A38">
        <w:rPr>
          <w:rFonts w:asciiTheme="majorBidi" w:hAnsiTheme="majorBidi" w:cstheme="majorBidi"/>
          <w:sz w:val="24"/>
          <w:szCs w:val="24"/>
        </w:rPr>
        <w:t xml:space="preserve">shifts </w:t>
      </w:r>
      <w:r w:rsidR="005C54E7" w:rsidRPr="00C9523C">
        <w:rPr>
          <w:rFonts w:asciiTheme="majorBidi" w:hAnsiTheme="majorBidi" w:cstheme="majorBidi"/>
          <w:sz w:val="24"/>
          <w:szCs w:val="24"/>
        </w:rPr>
        <w:t xml:space="preserve">in consumer behaviour, </w:t>
      </w:r>
      <w:r w:rsidR="00F46B0D">
        <w:rPr>
          <w:rFonts w:asciiTheme="majorBidi" w:hAnsiTheme="majorBidi" w:cstheme="majorBidi"/>
          <w:sz w:val="24"/>
          <w:szCs w:val="24"/>
        </w:rPr>
        <w:t xml:space="preserve">particularly now that consumers recognize marketing techniques more than ever </w:t>
      </w:r>
      <w:sdt>
        <w:sdtPr>
          <w:rPr>
            <w:rFonts w:asciiTheme="majorBidi" w:hAnsiTheme="majorBidi" w:cstheme="majorBidi"/>
            <w:sz w:val="24"/>
            <w:szCs w:val="24"/>
          </w:rPr>
          <w:id w:val="30466687"/>
          <w:citation/>
        </w:sdtPr>
        <w:sdtContent>
          <w:r w:rsidR="005C54E7" w:rsidRPr="00C9523C">
            <w:rPr>
              <w:rFonts w:asciiTheme="majorBidi" w:hAnsiTheme="majorBidi" w:cstheme="majorBidi"/>
              <w:sz w:val="24"/>
              <w:szCs w:val="24"/>
            </w:rPr>
            <w:fldChar w:fldCharType="begin"/>
          </w:r>
          <w:r w:rsidR="005C54E7" w:rsidRPr="00C9523C">
            <w:rPr>
              <w:rFonts w:asciiTheme="majorBidi" w:hAnsiTheme="majorBidi" w:cstheme="majorBidi"/>
              <w:sz w:val="24"/>
              <w:szCs w:val="24"/>
            </w:rPr>
            <w:instrText xml:space="preserve"> CITATION Alk22 \l 2057  \m Uka20</w:instrText>
          </w:r>
          <w:r w:rsidR="005C54E7" w:rsidRPr="00C9523C">
            <w:rPr>
              <w:rFonts w:asciiTheme="majorBidi" w:hAnsiTheme="majorBidi" w:cstheme="majorBidi"/>
              <w:sz w:val="24"/>
              <w:szCs w:val="24"/>
            </w:rPr>
            <w:fldChar w:fldCharType="separate"/>
          </w:r>
          <w:r w:rsidR="005C54E7" w:rsidRPr="00C9523C">
            <w:rPr>
              <w:rFonts w:asciiTheme="majorBidi" w:hAnsiTheme="majorBidi" w:cstheme="majorBidi"/>
              <w:sz w:val="24"/>
              <w:szCs w:val="24"/>
            </w:rPr>
            <w:t>(Alkhafagi &amp; Alsiede, 2022; Ukaegbu, 2020)</w:t>
          </w:r>
          <w:r w:rsidR="005C54E7" w:rsidRPr="00C9523C">
            <w:rPr>
              <w:rFonts w:asciiTheme="majorBidi" w:hAnsiTheme="majorBidi" w:cstheme="majorBidi"/>
              <w:sz w:val="24"/>
              <w:szCs w:val="24"/>
            </w:rPr>
            <w:fldChar w:fldCharType="end"/>
          </w:r>
        </w:sdtContent>
      </w:sdt>
      <w:r w:rsidR="005C54E7" w:rsidRPr="00C9523C">
        <w:rPr>
          <w:rFonts w:asciiTheme="majorBidi" w:hAnsiTheme="majorBidi" w:cstheme="majorBidi"/>
          <w:sz w:val="24"/>
          <w:szCs w:val="24"/>
        </w:rPr>
        <w:t>.</w:t>
      </w:r>
      <w:r w:rsidR="00DD28F3" w:rsidRPr="00C9523C">
        <w:rPr>
          <w:rFonts w:asciiTheme="majorBidi" w:hAnsiTheme="majorBidi" w:cstheme="majorBidi"/>
          <w:sz w:val="24"/>
          <w:szCs w:val="24"/>
        </w:rPr>
        <w:t xml:space="preserve"> </w:t>
      </w:r>
      <w:r w:rsidR="00B0524E" w:rsidRPr="00C9523C">
        <w:rPr>
          <w:rFonts w:asciiTheme="majorBidi" w:hAnsiTheme="majorBidi" w:cstheme="majorBidi"/>
          <w:sz w:val="24"/>
          <w:szCs w:val="24"/>
        </w:rPr>
        <w:t xml:space="preserve">Thus, it is necessary </w:t>
      </w:r>
      <w:r w:rsidR="007927BF" w:rsidRPr="00C9523C">
        <w:rPr>
          <w:rFonts w:asciiTheme="majorBidi" w:hAnsiTheme="majorBidi" w:cstheme="majorBidi"/>
          <w:sz w:val="24"/>
          <w:szCs w:val="24"/>
        </w:rPr>
        <w:t xml:space="preserve">to keep consumers at the centre of </w:t>
      </w:r>
      <w:r w:rsidR="002B1A75">
        <w:rPr>
          <w:rFonts w:asciiTheme="majorBidi" w:hAnsiTheme="majorBidi" w:cstheme="majorBidi"/>
          <w:sz w:val="24"/>
          <w:szCs w:val="24"/>
        </w:rPr>
        <w:t xml:space="preserve">marketing and </w:t>
      </w:r>
      <w:r w:rsidR="005E48EF">
        <w:rPr>
          <w:rFonts w:asciiTheme="majorBidi" w:hAnsiTheme="majorBidi" w:cstheme="majorBidi"/>
          <w:sz w:val="24"/>
          <w:szCs w:val="24"/>
        </w:rPr>
        <w:t xml:space="preserve">communication </w:t>
      </w:r>
      <w:r w:rsidR="007927BF" w:rsidRPr="00C9523C">
        <w:rPr>
          <w:rFonts w:asciiTheme="majorBidi" w:hAnsiTheme="majorBidi" w:cstheme="majorBidi"/>
          <w:sz w:val="24"/>
          <w:szCs w:val="24"/>
        </w:rPr>
        <w:t xml:space="preserve">planning and focus on evaluating the effectiveness of communication strategies from the consumers’ perspectives. </w:t>
      </w:r>
      <w:r w:rsidR="00DD28F3" w:rsidRPr="00C9523C">
        <w:rPr>
          <w:rFonts w:asciiTheme="majorBidi" w:hAnsiTheme="majorBidi" w:cstheme="majorBidi"/>
          <w:sz w:val="24"/>
          <w:szCs w:val="24"/>
        </w:rPr>
        <w:t xml:space="preserve">One of these noticeable changes is that consumers now expect companies to actively support social and environmental issues </w:t>
      </w:r>
      <w:sdt>
        <w:sdtPr>
          <w:rPr>
            <w:rFonts w:asciiTheme="majorBidi" w:hAnsiTheme="majorBidi" w:cstheme="majorBidi"/>
            <w:sz w:val="24"/>
            <w:szCs w:val="24"/>
          </w:rPr>
          <w:id w:val="1185638022"/>
          <w:citation/>
        </w:sdtPr>
        <w:sdtContent>
          <w:r w:rsidR="00451DEA" w:rsidRPr="00C9523C">
            <w:rPr>
              <w:rFonts w:asciiTheme="majorBidi" w:hAnsiTheme="majorBidi" w:cstheme="majorBidi"/>
              <w:sz w:val="24"/>
              <w:szCs w:val="24"/>
            </w:rPr>
            <w:fldChar w:fldCharType="begin"/>
          </w:r>
          <w:r w:rsidR="00451DEA" w:rsidRPr="00C9523C">
            <w:rPr>
              <w:rFonts w:asciiTheme="majorBidi" w:hAnsiTheme="majorBidi" w:cstheme="majorBidi"/>
              <w:sz w:val="24"/>
              <w:szCs w:val="24"/>
            </w:rPr>
            <w:instrText xml:space="preserve"> CITATION Hal19 \l 2057  \m Lia20</w:instrText>
          </w:r>
          <w:r w:rsidR="00451DEA" w:rsidRPr="00C9523C">
            <w:rPr>
              <w:rFonts w:asciiTheme="majorBidi" w:hAnsiTheme="majorBidi" w:cstheme="majorBidi"/>
              <w:sz w:val="24"/>
              <w:szCs w:val="24"/>
            </w:rPr>
            <w:fldChar w:fldCharType="separate"/>
          </w:r>
          <w:r w:rsidR="00451DEA" w:rsidRPr="00C9523C">
            <w:rPr>
              <w:rFonts w:asciiTheme="majorBidi" w:hAnsiTheme="majorBidi" w:cstheme="majorBidi"/>
              <w:sz w:val="24"/>
              <w:szCs w:val="24"/>
            </w:rPr>
            <w:t>(Haldar, 2019; Liang &amp; Renneboog, 2020)</w:t>
          </w:r>
          <w:r w:rsidR="00451DEA" w:rsidRPr="00C9523C">
            <w:rPr>
              <w:rFonts w:asciiTheme="majorBidi" w:hAnsiTheme="majorBidi" w:cstheme="majorBidi"/>
              <w:sz w:val="24"/>
              <w:szCs w:val="24"/>
            </w:rPr>
            <w:fldChar w:fldCharType="end"/>
          </w:r>
        </w:sdtContent>
      </w:sdt>
      <w:r w:rsidR="00451DEA" w:rsidRPr="00C9523C">
        <w:rPr>
          <w:rFonts w:asciiTheme="majorBidi" w:hAnsiTheme="majorBidi" w:cstheme="majorBidi"/>
          <w:sz w:val="24"/>
          <w:szCs w:val="24"/>
        </w:rPr>
        <w:t>.</w:t>
      </w:r>
      <w:r w:rsidR="00627054" w:rsidRPr="00C9523C">
        <w:rPr>
          <w:rFonts w:asciiTheme="majorBidi" w:hAnsiTheme="majorBidi" w:cstheme="majorBidi"/>
          <w:sz w:val="24"/>
          <w:szCs w:val="24"/>
        </w:rPr>
        <w:t xml:space="preserve"> </w:t>
      </w:r>
      <w:r w:rsidR="00A1682B">
        <w:rPr>
          <w:rFonts w:asciiTheme="majorBidi" w:hAnsiTheme="majorBidi" w:cstheme="majorBidi"/>
          <w:sz w:val="24"/>
          <w:szCs w:val="24"/>
        </w:rPr>
        <w:t xml:space="preserve">This led to the advent of novel marketing or corporate strategies such as the concept of corporate social responsibility (CSR).  </w:t>
      </w:r>
      <w:r w:rsidR="00823459">
        <w:rPr>
          <w:rFonts w:asciiTheme="majorBidi" w:hAnsiTheme="majorBidi" w:cstheme="majorBidi"/>
          <w:sz w:val="24"/>
          <w:szCs w:val="24"/>
        </w:rPr>
        <w:t xml:space="preserve">In </w:t>
      </w:r>
      <w:r w:rsidR="00056CA2">
        <w:rPr>
          <w:rFonts w:asciiTheme="majorBidi" w:hAnsiTheme="majorBidi" w:cstheme="majorBidi"/>
          <w:sz w:val="24"/>
          <w:szCs w:val="24"/>
        </w:rPr>
        <w:t>the simplest</w:t>
      </w:r>
      <w:r w:rsidR="00823459">
        <w:rPr>
          <w:rFonts w:asciiTheme="majorBidi" w:hAnsiTheme="majorBidi" w:cstheme="majorBidi"/>
          <w:sz w:val="24"/>
          <w:szCs w:val="24"/>
        </w:rPr>
        <w:t xml:space="preserve"> terms, </w:t>
      </w:r>
      <w:r w:rsidR="00A1682B">
        <w:rPr>
          <w:rFonts w:asciiTheme="majorBidi" w:hAnsiTheme="majorBidi" w:cstheme="majorBidi"/>
          <w:sz w:val="24"/>
          <w:szCs w:val="24"/>
        </w:rPr>
        <w:t>CSR is defined as</w:t>
      </w:r>
      <w:r w:rsidR="00C4527B">
        <w:rPr>
          <w:rFonts w:asciiTheme="majorBidi" w:hAnsiTheme="majorBidi" w:cstheme="majorBidi"/>
          <w:sz w:val="24"/>
          <w:szCs w:val="24"/>
        </w:rPr>
        <w:t xml:space="preserve"> the responsibilities that business</w:t>
      </w:r>
      <w:r w:rsidR="00196EDF">
        <w:rPr>
          <w:rFonts w:asciiTheme="majorBidi" w:hAnsiTheme="majorBidi" w:cstheme="majorBidi"/>
          <w:sz w:val="24"/>
          <w:szCs w:val="24"/>
        </w:rPr>
        <w:t>es</w:t>
      </w:r>
      <w:r w:rsidR="00C4527B">
        <w:rPr>
          <w:rFonts w:asciiTheme="majorBidi" w:hAnsiTheme="majorBidi" w:cstheme="majorBidi"/>
          <w:sz w:val="24"/>
          <w:szCs w:val="24"/>
        </w:rPr>
        <w:t xml:space="preserve"> have towards the environment and society </w:t>
      </w:r>
      <w:sdt>
        <w:sdtPr>
          <w:rPr>
            <w:rFonts w:asciiTheme="majorBidi" w:hAnsiTheme="majorBidi" w:cstheme="majorBidi"/>
            <w:sz w:val="24"/>
            <w:szCs w:val="24"/>
          </w:rPr>
          <w:id w:val="1736901536"/>
          <w:citation/>
        </w:sdtPr>
        <w:sdtContent>
          <w:r w:rsidR="00C4527B" w:rsidRPr="00DF1B7A">
            <w:rPr>
              <w:rFonts w:asciiTheme="majorBidi" w:hAnsiTheme="majorBidi" w:cstheme="majorBidi"/>
              <w:sz w:val="24"/>
              <w:szCs w:val="24"/>
            </w:rPr>
            <w:fldChar w:fldCharType="begin"/>
          </w:r>
          <w:r w:rsidR="00C4527B">
            <w:rPr>
              <w:rFonts w:asciiTheme="majorBidi" w:hAnsiTheme="majorBidi" w:cstheme="majorBidi"/>
              <w:sz w:val="24"/>
              <w:szCs w:val="24"/>
            </w:rPr>
            <w:instrText xml:space="preserve">CITATION Fer21 \l 2057 </w:instrText>
          </w:r>
          <w:r w:rsidR="00C4527B" w:rsidRPr="00DF1B7A">
            <w:rPr>
              <w:rFonts w:asciiTheme="majorBidi" w:hAnsiTheme="majorBidi" w:cstheme="majorBidi"/>
              <w:sz w:val="24"/>
              <w:szCs w:val="24"/>
            </w:rPr>
            <w:fldChar w:fldCharType="separate"/>
          </w:r>
          <w:r w:rsidR="00C4527B" w:rsidRPr="00D978D2">
            <w:rPr>
              <w:rFonts w:asciiTheme="majorBidi" w:hAnsiTheme="majorBidi" w:cstheme="majorBidi"/>
              <w:sz w:val="24"/>
              <w:szCs w:val="24"/>
            </w:rPr>
            <w:t>(Fernández, Hartmann, &amp; Apaolaza, 2021)</w:t>
          </w:r>
          <w:r w:rsidR="00C4527B" w:rsidRPr="00DF1B7A">
            <w:rPr>
              <w:rFonts w:asciiTheme="majorBidi" w:hAnsiTheme="majorBidi" w:cstheme="majorBidi"/>
              <w:sz w:val="24"/>
              <w:szCs w:val="24"/>
            </w:rPr>
            <w:fldChar w:fldCharType="end"/>
          </w:r>
        </w:sdtContent>
      </w:sdt>
      <w:r w:rsidR="00C4527B" w:rsidRPr="00DF1B7A">
        <w:rPr>
          <w:rFonts w:asciiTheme="majorBidi" w:hAnsiTheme="majorBidi" w:cstheme="majorBidi"/>
          <w:sz w:val="24"/>
          <w:szCs w:val="24"/>
        </w:rPr>
        <w:t>.</w:t>
      </w:r>
      <w:r w:rsidR="00C4527B">
        <w:t xml:space="preserve"> </w:t>
      </w:r>
      <w:r w:rsidR="003F39C2">
        <w:t xml:space="preserve"> </w:t>
      </w:r>
      <w:r w:rsidR="003F39C2" w:rsidRPr="00C12D64">
        <w:rPr>
          <w:rFonts w:ascii="Times New Roman" w:hAnsi="Times New Roman" w:cs="Times New Roman"/>
          <w:sz w:val="24"/>
          <w:szCs w:val="24"/>
        </w:rPr>
        <w:t xml:space="preserve">Some evidence </w:t>
      </w:r>
      <w:r w:rsidR="00C12D64" w:rsidRPr="00C12D64">
        <w:rPr>
          <w:rFonts w:ascii="Times New Roman" w:hAnsi="Times New Roman" w:cs="Times New Roman"/>
          <w:sz w:val="24"/>
          <w:szCs w:val="24"/>
        </w:rPr>
        <w:t xml:space="preserve">shows </w:t>
      </w:r>
      <w:r w:rsidR="00C4527B" w:rsidRPr="00C4527B">
        <w:rPr>
          <w:rFonts w:asciiTheme="majorBidi" w:hAnsiTheme="majorBidi" w:cstheme="majorBidi"/>
          <w:sz w:val="24"/>
          <w:szCs w:val="24"/>
        </w:rPr>
        <w:t>that</w:t>
      </w:r>
      <w:r w:rsidR="00C4527B">
        <w:t xml:space="preserve"> </w:t>
      </w:r>
      <w:r w:rsidR="0092049C" w:rsidRPr="00C9523C">
        <w:rPr>
          <w:rFonts w:asciiTheme="majorBidi" w:hAnsiTheme="majorBidi" w:cstheme="majorBidi"/>
          <w:sz w:val="24"/>
          <w:szCs w:val="24"/>
        </w:rPr>
        <w:t xml:space="preserve">brands that </w:t>
      </w:r>
      <w:r w:rsidR="00C12D64">
        <w:rPr>
          <w:rFonts w:asciiTheme="majorBidi" w:hAnsiTheme="majorBidi" w:cstheme="majorBidi"/>
          <w:sz w:val="24"/>
          <w:szCs w:val="24"/>
        </w:rPr>
        <w:t xml:space="preserve">tell consumers about their CSR effects via CSR communication </w:t>
      </w:r>
      <w:r w:rsidR="0092049C" w:rsidRPr="00C9523C">
        <w:rPr>
          <w:rFonts w:asciiTheme="majorBidi" w:hAnsiTheme="majorBidi" w:cstheme="majorBidi"/>
          <w:sz w:val="24"/>
          <w:szCs w:val="24"/>
        </w:rPr>
        <w:t>can generate revenue, increase brand loyalty, strengthen customer connections</w:t>
      </w:r>
      <w:r w:rsidR="005D6108" w:rsidRPr="00C9523C">
        <w:rPr>
          <w:rFonts w:asciiTheme="majorBidi" w:hAnsiTheme="majorBidi" w:cstheme="majorBidi"/>
          <w:sz w:val="24"/>
          <w:szCs w:val="24"/>
        </w:rPr>
        <w:t xml:space="preserve"> </w:t>
      </w:r>
      <w:r w:rsidR="0092049C" w:rsidRPr="00C9523C">
        <w:rPr>
          <w:rFonts w:asciiTheme="majorBidi" w:hAnsiTheme="majorBidi" w:cstheme="majorBidi"/>
          <w:sz w:val="24"/>
          <w:szCs w:val="24"/>
        </w:rPr>
        <w:t>while making a beneficial impact on society and the environmen</w:t>
      </w:r>
      <w:r w:rsidR="005D6108" w:rsidRPr="00C9523C">
        <w:rPr>
          <w:rFonts w:asciiTheme="majorBidi" w:hAnsiTheme="majorBidi" w:cstheme="majorBidi"/>
          <w:sz w:val="24"/>
          <w:szCs w:val="24"/>
        </w:rPr>
        <w:t>t</w:t>
      </w:r>
      <w:sdt>
        <w:sdtPr>
          <w:rPr>
            <w:rFonts w:asciiTheme="majorBidi" w:hAnsiTheme="majorBidi" w:cstheme="majorBidi"/>
            <w:sz w:val="24"/>
            <w:szCs w:val="24"/>
          </w:rPr>
          <w:id w:val="206758663"/>
          <w:citation/>
        </w:sdtPr>
        <w:sdtContent>
          <w:r w:rsidR="001A6A18" w:rsidRPr="00C9523C">
            <w:rPr>
              <w:rFonts w:asciiTheme="majorBidi" w:hAnsiTheme="majorBidi" w:cstheme="majorBidi"/>
              <w:sz w:val="24"/>
              <w:szCs w:val="24"/>
            </w:rPr>
            <w:fldChar w:fldCharType="begin"/>
          </w:r>
          <w:r w:rsidR="001A6A18" w:rsidRPr="00C9523C">
            <w:rPr>
              <w:rFonts w:asciiTheme="majorBidi" w:hAnsiTheme="majorBidi" w:cstheme="majorBidi"/>
              <w:sz w:val="24"/>
              <w:szCs w:val="24"/>
            </w:rPr>
            <w:instrText xml:space="preserve"> CITATION LuJ23 \l 2057 </w:instrText>
          </w:r>
          <w:r w:rsidR="000B486D" w:rsidRPr="00C9523C">
            <w:rPr>
              <w:rFonts w:asciiTheme="majorBidi" w:hAnsiTheme="majorBidi" w:cstheme="majorBidi"/>
              <w:sz w:val="24"/>
              <w:szCs w:val="24"/>
            </w:rPr>
            <w:instrText xml:space="preserve"> \m LeT21</w:instrText>
          </w:r>
          <w:r w:rsidR="001A6A18" w:rsidRPr="00C9523C">
            <w:rPr>
              <w:rFonts w:asciiTheme="majorBidi" w:hAnsiTheme="majorBidi" w:cstheme="majorBidi"/>
              <w:sz w:val="24"/>
              <w:szCs w:val="24"/>
            </w:rPr>
            <w:fldChar w:fldCharType="separate"/>
          </w:r>
          <w:r w:rsidR="000B486D" w:rsidRPr="00C9523C">
            <w:rPr>
              <w:rFonts w:asciiTheme="majorBidi" w:hAnsiTheme="majorBidi" w:cstheme="majorBidi"/>
              <w:noProof/>
              <w:sz w:val="24"/>
              <w:szCs w:val="24"/>
            </w:rPr>
            <w:t xml:space="preserve"> (Lu, et al., 2020; Tiep Le, Ngo, &amp; Aureliano-Silva, 2021)</w:t>
          </w:r>
          <w:r w:rsidR="001A6A18" w:rsidRPr="00C9523C">
            <w:rPr>
              <w:rFonts w:asciiTheme="majorBidi" w:hAnsiTheme="majorBidi" w:cstheme="majorBidi"/>
              <w:sz w:val="24"/>
              <w:szCs w:val="24"/>
            </w:rPr>
            <w:fldChar w:fldCharType="end"/>
          </w:r>
        </w:sdtContent>
      </w:sdt>
      <w:r w:rsidR="005D6108" w:rsidRPr="00C9523C">
        <w:rPr>
          <w:rFonts w:asciiTheme="majorBidi" w:hAnsiTheme="majorBidi" w:cstheme="majorBidi"/>
          <w:sz w:val="24"/>
          <w:szCs w:val="24"/>
        </w:rPr>
        <w:t>.</w:t>
      </w:r>
      <w:r w:rsidR="00C4527B">
        <w:rPr>
          <w:rFonts w:asciiTheme="majorBidi" w:hAnsiTheme="majorBidi" w:cstheme="majorBidi"/>
          <w:sz w:val="24"/>
          <w:szCs w:val="24"/>
        </w:rPr>
        <w:t xml:space="preserve"> These advantages of CSR communication were exceptionally evident in</w:t>
      </w:r>
      <w:r w:rsidR="00831A3E">
        <w:rPr>
          <w:rFonts w:asciiTheme="majorBidi" w:hAnsiTheme="majorBidi" w:cstheme="majorBidi"/>
          <w:sz w:val="24"/>
          <w:szCs w:val="24"/>
        </w:rPr>
        <w:t xml:space="preserve"> studies in the context of</w:t>
      </w:r>
      <w:r w:rsidR="00C4527B">
        <w:rPr>
          <w:rFonts w:asciiTheme="majorBidi" w:hAnsiTheme="majorBidi" w:cstheme="majorBidi"/>
          <w:sz w:val="24"/>
          <w:szCs w:val="24"/>
        </w:rPr>
        <w:t xml:space="preserve"> the fast moving consumers goods (FMCG) industry</w:t>
      </w:r>
      <w:r w:rsidR="00E60DA5" w:rsidRPr="00E60DA5">
        <w:rPr>
          <w:rFonts w:asciiTheme="majorBidi" w:hAnsiTheme="majorBidi" w:cstheme="majorBidi"/>
          <w:sz w:val="24"/>
          <w:szCs w:val="24"/>
        </w:rPr>
        <w:t xml:space="preserve"> </w:t>
      </w:r>
      <w:sdt>
        <w:sdtPr>
          <w:rPr>
            <w:rFonts w:asciiTheme="majorBidi" w:hAnsiTheme="majorBidi" w:cstheme="majorBidi"/>
            <w:sz w:val="24"/>
            <w:szCs w:val="24"/>
          </w:rPr>
          <w:id w:val="-1887168118"/>
          <w:citation/>
        </w:sdtPr>
        <w:sdtContent>
          <w:r w:rsidR="00E60DA5">
            <w:rPr>
              <w:rFonts w:asciiTheme="majorBidi" w:hAnsiTheme="majorBidi" w:cstheme="majorBidi"/>
              <w:sz w:val="24"/>
              <w:szCs w:val="24"/>
            </w:rPr>
            <w:fldChar w:fldCharType="begin"/>
          </w:r>
          <w:r w:rsidR="00E60DA5">
            <w:rPr>
              <w:rFonts w:asciiTheme="majorBidi" w:hAnsiTheme="majorBidi" w:cstheme="majorBidi"/>
              <w:sz w:val="24"/>
              <w:szCs w:val="24"/>
            </w:rPr>
            <w:instrText xml:space="preserve"> CITATION Cur18 \l 2057  \m Sug19</w:instrText>
          </w:r>
          <w:r w:rsidR="00E60DA5">
            <w:rPr>
              <w:rFonts w:asciiTheme="majorBidi" w:hAnsiTheme="majorBidi" w:cstheme="majorBidi"/>
              <w:sz w:val="24"/>
              <w:szCs w:val="24"/>
            </w:rPr>
            <w:fldChar w:fldCharType="separate"/>
          </w:r>
          <w:r w:rsidR="00E60DA5" w:rsidRPr="0002256A">
            <w:rPr>
              <w:rFonts w:asciiTheme="majorBidi" w:hAnsiTheme="majorBidi" w:cstheme="majorBidi"/>
              <w:noProof/>
              <w:sz w:val="24"/>
              <w:szCs w:val="24"/>
            </w:rPr>
            <w:t>(Currás-Pérez, Dolz-Dolz, Miquel-Romero, &amp; Miquel-Romero, 2018; Suganthi, 2019)</w:t>
          </w:r>
          <w:r w:rsidR="00E60DA5">
            <w:rPr>
              <w:rFonts w:asciiTheme="majorBidi" w:hAnsiTheme="majorBidi" w:cstheme="majorBidi"/>
              <w:sz w:val="24"/>
              <w:szCs w:val="24"/>
            </w:rPr>
            <w:fldChar w:fldCharType="end"/>
          </w:r>
        </w:sdtContent>
      </w:sdt>
      <w:r w:rsidR="00C4527B">
        <w:rPr>
          <w:rFonts w:asciiTheme="majorBidi" w:hAnsiTheme="majorBidi" w:cstheme="majorBidi"/>
          <w:sz w:val="24"/>
          <w:szCs w:val="24"/>
        </w:rPr>
        <w:t>.</w:t>
      </w:r>
      <w:r w:rsidR="00E60DA5">
        <w:rPr>
          <w:rFonts w:asciiTheme="majorBidi" w:hAnsiTheme="majorBidi" w:cstheme="majorBidi"/>
          <w:sz w:val="24"/>
          <w:szCs w:val="24"/>
        </w:rPr>
        <w:t xml:space="preserve"> FMCG</w:t>
      </w:r>
      <w:r w:rsidR="008133C8">
        <w:rPr>
          <w:rFonts w:asciiTheme="majorBidi" w:hAnsiTheme="majorBidi" w:cstheme="majorBidi"/>
          <w:sz w:val="24"/>
          <w:szCs w:val="24"/>
        </w:rPr>
        <w:t xml:space="preserve"> products are </w:t>
      </w:r>
      <w:r w:rsidR="00E60DA5">
        <w:rPr>
          <w:rFonts w:asciiTheme="majorBidi" w:hAnsiTheme="majorBidi" w:cstheme="majorBidi"/>
          <w:sz w:val="24"/>
          <w:szCs w:val="24"/>
        </w:rPr>
        <w:t xml:space="preserve"> low-involvement products in which the value of the transaction is not high and the purchase decision process does not consume a long time</w:t>
      </w:r>
      <w:r w:rsidR="00E60DA5" w:rsidRPr="00E60DA5">
        <w:rPr>
          <w:rFonts w:asciiTheme="majorBidi" w:hAnsiTheme="majorBidi" w:cstheme="majorBidi"/>
          <w:sz w:val="24"/>
          <w:szCs w:val="24"/>
        </w:rPr>
        <w:t xml:space="preserve"> </w:t>
      </w:r>
      <w:sdt>
        <w:sdtPr>
          <w:rPr>
            <w:rFonts w:asciiTheme="majorBidi" w:hAnsiTheme="majorBidi" w:cstheme="majorBidi"/>
            <w:sz w:val="24"/>
            <w:szCs w:val="24"/>
          </w:rPr>
          <w:id w:val="1553347967"/>
          <w:citation/>
        </w:sdtPr>
        <w:sdtContent>
          <w:r w:rsidR="00E60DA5" w:rsidRPr="00F34C27">
            <w:rPr>
              <w:rFonts w:asciiTheme="majorBidi" w:hAnsiTheme="majorBidi" w:cstheme="majorBidi"/>
              <w:sz w:val="24"/>
              <w:szCs w:val="24"/>
            </w:rPr>
            <w:fldChar w:fldCharType="begin"/>
          </w:r>
          <w:r w:rsidR="00E60DA5" w:rsidRPr="00F34C27">
            <w:rPr>
              <w:rFonts w:asciiTheme="majorBidi" w:hAnsiTheme="majorBidi" w:cstheme="majorBidi"/>
              <w:sz w:val="24"/>
              <w:szCs w:val="24"/>
            </w:rPr>
            <w:instrText xml:space="preserve"> CITATION Man18 \l 2057  \m Ver23</w:instrText>
          </w:r>
          <w:r w:rsidR="00E60DA5" w:rsidRPr="00F34C27">
            <w:rPr>
              <w:rFonts w:asciiTheme="majorBidi" w:hAnsiTheme="majorBidi" w:cstheme="majorBidi"/>
              <w:sz w:val="24"/>
              <w:szCs w:val="24"/>
            </w:rPr>
            <w:fldChar w:fldCharType="separate"/>
          </w:r>
          <w:r w:rsidR="00E60DA5" w:rsidRPr="00F34C27">
            <w:rPr>
              <w:rFonts w:asciiTheme="majorBidi" w:hAnsiTheme="majorBidi" w:cstheme="majorBidi"/>
              <w:noProof/>
              <w:sz w:val="24"/>
              <w:szCs w:val="24"/>
            </w:rPr>
            <w:t xml:space="preserve"> (Mann &amp; Ghuman, 2018; Verma, Rojhe, Horská , Sharma, &amp; Šedík , 2023)</w:t>
          </w:r>
          <w:r w:rsidR="00E60DA5" w:rsidRPr="00F34C27">
            <w:rPr>
              <w:rFonts w:asciiTheme="majorBidi" w:hAnsiTheme="majorBidi" w:cstheme="majorBidi"/>
              <w:sz w:val="24"/>
              <w:szCs w:val="24"/>
            </w:rPr>
            <w:fldChar w:fldCharType="end"/>
          </w:r>
        </w:sdtContent>
      </w:sdt>
      <w:r w:rsidR="00E60DA5" w:rsidRPr="00F34C27">
        <w:rPr>
          <w:rFonts w:asciiTheme="majorBidi" w:hAnsiTheme="majorBidi" w:cstheme="majorBidi"/>
          <w:sz w:val="24"/>
          <w:szCs w:val="24"/>
        </w:rPr>
        <w:t>.</w:t>
      </w:r>
      <w:r w:rsidR="00E60DA5">
        <w:rPr>
          <w:rFonts w:asciiTheme="majorBidi" w:hAnsiTheme="majorBidi" w:cstheme="majorBidi"/>
          <w:sz w:val="24"/>
          <w:szCs w:val="24"/>
        </w:rPr>
        <w:t xml:space="preserve"> </w:t>
      </w:r>
      <w:r w:rsidR="0092049C" w:rsidRPr="00C9523C">
        <w:rPr>
          <w:rFonts w:asciiTheme="majorBidi" w:eastAsia="Times New Roman" w:hAnsiTheme="majorBidi" w:cstheme="majorBidi"/>
          <w:vanish/>
          <w:kern w:val="0"/>
          <w:sz w:val="24"/>
          <w:szCs w:val="24"/>
          <w:lang w:eastAsia="en-GB"/>
          <w14:ligatures w14:val="none"/>
        </w:rPr>
        <w:t>Top of Form</w:t>
      </w:r>
      <w:r w:rsidR="00712BF9" w:rsidRPr="00C9523C">
        <w:rPr>
          <w:rFonts w:asciiTheme="majorBidi" w:eastAsia="Times New Roman" w:hAnsiTheme="majorBidi" w:cstheme="majorBidi"/>
          <w:kern w:val="0"/>
          <w:sz w:val="24"/>
          <w:szCs w:val="24"/>
          <w:lang w:eastAsia="en-GB"/>
          <w14:ligatures w14:val="none"/>
        </w:rPr>
        <w:t xml:space="preserve"> For that reason, this study focuses on consumers’ </w:t>
      </w:r>
      <w:r w:rsidR="00E60DA5">
        <w:rPr>
          <w:rFonts w:asciiTheme="majorBidi" w:eastAsia="Times New Roman" w:hAnsiTheme="majorBidi" w:cstheme="majorBidi"/>
          <w:kern w:val="0"/>
          <w:sz w:val="24"/>
          <w:szCs w:val="24"/>
          <w:lang w:eastAsia="en-GB"/>
          <w14:ligatures w14:val="none"/>
        </w:rPr>
        <w:t>perception of CSR communication</w:t>
      </w:r>
      <w:r w:rsidR="00C73A9F">
        <w:rPr>
          <w:rFonts w:asciiTheme="majorBidi" w:eastAsia="Times New Roman" w:hAnsiTheme="majorBidi" w:cstheme="majorBidi"/>
          <w:kern w:val="0"/>
          <w:sz w:val="24"/>
          <w:szCs w:val="24"/>
          <w:lang w:eastAsia="en-GB"/>
          <w14:ligatures w14:val="none"/>
        </w:rPr>
        <w:t xml:space="preserve"> in comparison to non-CSR</w:t>
      </w:r>
      <w:r w:rsidR="00E60DA5">
        <w:rPr>
          <w:rFonts w:asciiTheme="majorBidi" w:eastAsia="Times New Roman" w:hAnsiTheme="majorBidi" w:cstheme="majorBidi"/>
          <w:kern w:val="0"/>
          <w:sz w:val="24"/>
          <w:szCs w:val="24"/>
          <w:lang w:eastAsia="en-GB"/>
          <w14:ligatures w14:val="none"/>
        </w:rPr>
        <w:t xml:space="preserve"> in the FMCG industry.</w:t>
      </w:r>
      <w:r w:rsidR="00C73A9F">
        <w:rPr>
          <w:rFonts w:asciiTheme="majorBidi" w:eastAsia="Times New Roman" w:hAnsiTheme="majorBidi" w:cstheme="majorBidi"/>
          <w:kern w:val="0"/>
          <w:sz w:val="24"/>
          <w:szCs w:val="24"/>
          <w:lang w:eastAsia="en-GB"/>
          <w14:ligatures w14:val="none"/>
        </w:rPr>
        <w:t xml:space="preserve"> In this thesis, </w:t>
      </w:r>
      <w:bookmarkStart w:id="3" w:name="_Hlk157195336"/>
      <w:r w:rsidR="00C73A9F">
        <w:rPr>
          <w:rFonts w:asciiTheme="majorBidi" w:eastAsia="Times New Roman" w:hAnsiTheme="majorBidi" w:cstheme="majorBidi"/>
          <w:kern w:val="0"/>
          <w:sz w:val="24"/>
          <w:szCs w:val="24"/>
          <w:lang w:eastAsia="en-GB"/>
          <w14:ligatures w14:val="none"/>
        </w:rPr>
        <w:t>non-CSR refers to co</w:t>
      </w:r>
      <w:r w:rsidR="0023458B">
        <w:rPr>
          <w:rFonts w:asciiTheme="majorBidi" w:eastAsia="Times New Roman" w:hAnsiTheme="majorBidi" w:cstheme="majorBidi"/>
          <w:kern w:val="0"/>
          <w:sz w:val="24"/>
          <w:szCs w:val="24"/>
          <w:lang w:eastAsia="en-GB"/>
          <w14:ligatures w14:val="none"/>
        </w:rPr>
        <w:t xml:space="preserve">mmercial marketing communications that are focused on informing the targeted consumers about the company’s products and services </w:t>
      </w:r>
      <w:sdt>
        <w:sdtPr>
          <w:rPr>
            <w:rFonts w:asciiTheme="majorBidi" w:hAnsiTheme="majorBidi" w:cstheme="majorBidi"/>
            <w:sz w:val="24"/>
            <w:szCs w:val="24"/>
          </w:rPr>
          <w:id w:val="-609197585"/>
          <w:citation/>
        </w:sdtPr>
        <w:sdtContent>
          <w:r w:rsidR="0023458B" w:rsidRPr="00041ACA">
            <w:rPr>
              <w:rFonts w:asciiTheme="majorBidi" w:hAnsiTheme="majorBidi" w:cstheme="majorBidi"/>
              <w:sz w:val="24"/>
              <w:szCs w:val="24"/>
            </w:rPr>
            <w:fldChar w:fldCharType="begin"/>
          </w:r>
          <w:r w:rsidR="0023458B" w:rsidRPr="00041ACA">
            <w:rPr>
              <w:rFonts w:asciiTheme="majorBidi" w:hAnsiTheme="majorBidi" w:cstheme="majorBidi"/>
              <w:sz w:val="24"/>
              <w:szCs w:val="24"/>
            </w:rPr>
            <w:instrText xml:space="preserve"> CITATION Che231 \l 2057  \m Kri22</w:instrText>
          </w:r>
          <w:r w:rsidR="0023458B" w:rsidRPr="00041ACA">
            <w:rPr>
              <w:rFonts w:asciiTheme="majorBidi" w:hAnsiTheme="majorBidi" w:cstheme="majorBidi"/>
              <w:sz w:val="24"/>
              <w:szCs w:val="24"/>
            </w:rPr>
            <w:fldChar w:fldCharType="separate"/>
          </w:r>
          <w:r w:rsidR="0023458B" w:rsidRPr="00041ACA">
            <w:rPr>
              <w:rFonts w:asciiTheme="majorBidi" w:hAnsiTheme="majorBidi" w:cstheme="majorBidi"/>
              <w:noProof/>
              <w:sz w:val="24"/>
              <w:szCs w:val="24"/>
            </w:rPr>
            <w:t>(Chen, Hung-Baesecke, &amp; Cheng, 2023; Krištofík , Medzihorský, &amp; Musa, 2022)</w:t>
          </w:r>
          <w:r w:rsidR="0023458B" w:rsidRPr="00041ACA">
            <w:rPr>
              <w:rFonts w:asciiTheme="majorBidi" w:hAnsiTheme="majorBidi" w:cstheme="majorBidi"/>
              <w:sz w:val="24"/>
              <w:szCs w:val="24"/>
            </w:rPr>
            <w:fldChar w:fldCharType="end"/>
          </w:r>
        </w:sdtContent>
      </w:sdt>
      <w:r w:rsidR="0023458B">
        <w:rPr>
          <w:rFonts w:asciiTheme="majorBidi" w:hAnsiTheme="majorBidi" w:cstheme="majorBidi"/>
          <w:sz w:val="24"/>
          <w:szCs w:val="24"/>
        </w:rPr>
        <w:t>.</w:t>
      </w:r>
      <w:bookmarkEnd w:id="3"/>
      <w:r w:rsidR="0023458B">
        <w:rPr>
          <w:rFonts w:asciiTheme="majorBidi" w:eastAsia="Times New Roman" w:hAnsiTheme="majorBidi" w:cstheme="majorBidi"/>
          <w:kern w:val="0"/>
          <w:sz w:val="24"/>
          <w:szCs w:val="24"/>
          <w:lang w:eastAsia="en-GB"/>
          <w14:ligatures w14:val="none"/>
        </w:rPr>
        <w:t xml:space="preserve"> This thesis f</w:t>
      </w:r>
      <w:r w:rsidR="00E60DA5">
        <w:rPr>
          <w:rFonts w:asciiTheme="majorBidi" w:eastAsia="Times New Roman" w:hAnsiTheme="majorBidi" w:cstheme="majorBidi"/>
          <w:kern w:val="0"/>
          <w:sz w:val="24"/>
          <w:szCs w:val="24"/>
          <w:lang w:eastAsia="en-GB"/>
          <w14:ligatures w14:val="none"/>
        </w:rPr>
        <w:t>ocus</w:t>
      </w:r>
      <w:r w:rsidR="0023458B">
        <w:rPr>
          <w:rFonts w:asciiTheme="majorBidi" w:eastAsia="Times New Roman" w:hAnsiTheme="majorBidi" w:cstheme="majorBidi"/>
          <w:kern w:val="0"/>
          <w:sz w:val="24"/>
          <w:szCs w:val="24"/>
          <w:lang w:eastAsia="en-GB"/>
          <w14:ligatures w14:val="none"/>
        </w:rPr>
        <w:t>es</w:t>
      </w:r>
      <w:r w:rsidR="00E60DA5">
        <w:rPr>
          <w:rFonts w:asciiTheme="majorBidi" w:eastAsia="Times New Roman" w:hAnsiTheme="majorBidi" w:cstheme="majorBidi"/>
          <w:kern w:val="0"/>
          <w:sz w:val="24"/>
          <w:szCs w:val="24"/>
          <w:lang w:eastAsia="en-GB"/>
          <w14:ligatures w14:val="none"/>
        </w:rPr>
        <w:t xml:space="preserve"> on consumers’ perspective </w:t>
      </w:r>
      <w:r w:rsidR="00712BF9" w:rsidRPr="00C9523C">
        <w:rPr>
          <w:rFonts w:asciiTheme="majorBidi" w:eastAsia="Times New Roman" w:hAnsiTheme="majorBidi" w:cstheme="majorBidi"/>
          <w:kern w:val="0"/>
          <w:sz w:val="24"/>
          <w:szCs w:val="24"/>
          <w:lang w:eastAsia="en-GB"/>
          <w14:ligatures w14:val="none"/>
        </w:rPr>
        <w:t xml:space="preserve">not only because </w:t>
      </w:r>
      <w:r w:rsidR="00712BF9" w:rsidRPr="00A1682B">
        <w:rPr>
          <w:rFonts w:asciiTheme="majorBidi" w:eastAsia="Times New Roman" w:hAnsiTheme="majorBidi" w:cstheme="majorBidi"/>
          <w:kern w:val="0"/>
          <w:sz w:val="24"/>
          <w:szCs w:val="24"/>
          <w:lang w:eastAsia="en-GB"/>
          <w14:ligatures w14:val="none"/>
        </w:rPr>
        <w:t>consumers are usually the largest and most influential group of stakeholders</w:t>
      </w:r>
      <w:r w:rsidR="00C9523C" w:rsidRPr="00A1682B">
        <w:rPr>
          <w:rFonts w:asciiTheme="majorBidi" w:hAnsiTheme="majorBidi" w:cstheme="majorBidi"/>
          <w:color w:val="2E2E2E"/>
          <w:sz w:val="24"/>
          <w:szCs w:val="24"/>
        </w:rPr>
        <w:t xml:space="preserve"> </w:t>
      </w:r>
      <w:sdt>
        <w:sdtPr>
          <w:rPr>
            <w:rFonts w:asciiTheme="majorBidi" w:hAnsiTheme="majorBidi" w:cstheme="majorBidi"/>
            <w:sz w:val="24"/>
            <w:szCs w:val="24"/>
          </w:rPr>
          <w:id w:val="-1933277480"/>
          <w:citation/>
        </w:sdtPr>
        <w:sdtContent>
          <w:r w:rsidR="00C9523C" w:rsidRPr="00A1682B">
            <w:rPr>
              <w:rFonts w:asciiTheme="majorBidi" w:hAnsiTheme="majorBidi" w:cstheme="majorBidi"/>
              <w:sz w:val="24"/>
              <w:szCs w:val="24"/>
            </w:rPr>
            <w:fldChar w:fldCharType="begin"/>
          </w:r>
          <w:r w:rsidR="00C9523C" w:rsidRPr="00A1682B">
            <w:rPr>
              <w:rFonts w:asciiTheme="majorBidi" w:hAnsiTheme="majorBidi" w:cstheme="majorBidi"/>
              <w:sz w:val="24"/>
              <w:szCs w:val="24"/>
            </w:rPr>
            <w:instrText xml:space="preserve"> CITATION Paq13 \l 2057 </w:instrText>
          </w:r>
          <w:r w:rsidR="00C9523C" w:rsidRPr="00A1682B">
            <w:rPr>
              <w:rFonts w:asciiTheme="majorBidi" w:hAnsiTheme="majorBidi" w:cstheme="majorBidi"/>
              <w:sz w:val="24"/>
              <w:szCs w:val="24"/>
            </w:rPr>
            <w:fldChar w:fldCharType="separate"/>
          </w:r>
          <w:r w:rsidR="00C9523C" w:rsidRPr="00A1682B">
            <w:rPr>
              <w:rFonts w:asciiTheme="majorBidi" w:hAnsiTheme="majorBidi" w:cstheme="majorBidi"/>
              <w:noProof/>
              <w:sz w:val="24"/>
              <w:szCs w:val="24"/>
            </w:rPr>
            <w:t>(Paquette &amp; Clacy, 2013)</w:t>
          </w:r>
          <w:r w:rsidR="00C9523C" w:rsidRPr="00A1682B">
            <w:rPr>
              <w:rFonts w:asciiTheme="majorBidi" w:hAnsiTheme="majorBidi" w:cstheme="majorBidi"/>
              <w:sz w:val="24"/>
              <w:szCs w:val="24"/>
            </w:rPr>
            <w:fldChar w:fldCharType="end"/>
          </w:r>
        </w:sdtContent>
      </w:sdt>
      <w:r w:rsidR="00B945DB" w:rsidRPr="00A1682B">
        <w:rPr>
          <w:rFonts w:asciiTheme="majorBidi" w:hAnsiTheme="majorBidi" w:cstheme="majorBidi"/>
          <w:sz w:val="24"/>
          <w:szCs w:val="24"/>
        </w:rPr>
        <w:t>,</w:t>
      </w:r>
      <w:r w:rsidR="00712BF9" w:rsidRPr="00A1682B">
        <w:rPr>
          <w:rFonts w:asciiTheme="majorBidi" w:eastAsia="Times New Roman" w:hAnsiTheme="majorBidi" w:cstheme="majorBidi"/>
          <w:kern w:val="0"/>
          <w:sz w:val="24"/>
          <w:szCs w:val="24"/>
          <w:lang w:eastAsia="en-GB"/>
          <w14:ligatures w14:val="none"/>
        </w:rPr>
        <w:t xml:space="preserve"> but also</w:t>
      </w:r>
      <w:r w:rsidR="00B945DB" w:rsidRPr="00A1682B">
        <w:rPr>
          <w:rFonts w:asciiTheme="majorBidi" w:eastAsia="Times New Roman" w:hAnsiTheme="majorBidi" w:cstheme="majorBidi"/>
          <w:kern w:val="0"/>
          <w:sz w:val="24"/>
          <w:szCs w:val="24"/>
          <w:lang w:eastAsia="en-GB"/>
          <w14:ligatures w14:val="none"/>
        </w:rPr>
        <w:t xml:space="preserve"> </w:t>
      </w:r>
      <w:r w:rsidR="00712BF9" w:rsidRPr="00A1682B">
        <w:rPr>
          <w:rFonts w:asciiTheme="majorBidi" w:eastAsia="Times New Roman" w:hAnsiTheme="majorBidi" w:cstheme="majorBidi"/>
          <w:kern w:val="0"/>
          <w:sz w:val="24"/>
          <w:szCs w:val="24"/>
          <w:lang w:eastAsia="en-GB"/>
          <w14:ligatures w14:val="none"/>
        </w:rPr>
        <w:t xml:space="preserve">they are </w:t>
      </w:r>
      <w:r w:rsidR="00712BF9" w:rsidRPr="00A1682B">
        <w:rPr>
          <w:rFonts w:asciiTheme="majorBidi" w:hAnsiTheme="majorBidi" w:cstheme="majorBidi"/>
          <w:sz w:val="24"/>
          <w:szCs w:val="24"/>
        </w:rPr>
        <w:t xml:space="preserve">the primary audience for CSR communication as </w:t>
      </w:r>
      <w:r w:rsidR="00F00B77" w:rsidRPr="00A1682B">
        <w:rPr>
          <w:rFonts w:asciiTheme="majorBidi" w:hAnsiTheme="majorBidi" w:cstheme="majorBidi"/>
          <w:sz w:val="24"/>
          <w:szCs w:val="24"/>
        </w:rPr>
        <w:t>posited in literature</w:t>
      </w:r>
      <w:r w:rsidR="00C9523C">
        <w:rPr>
          <w:rFonts w:asciiTheme="majorBidi" w:hAnsiTheme="majorBidi" w:cstheme="majorBidi"/>
          <w:color w:val="2E2E2E"/>
          <w:sz w:val="24"/>
          <w:szCs w:val="24"/>
        </w:rPr>
        <w:t xml:space="preserve"> </w:t>
      </w:r>
      <w:sdt>
        <w:sdtPr>
          <w:rPr>
            <w:rFonts w:asciiTheme="majorBidi" w:hAnsiTheme="majorBidi" w:cstheme="majorBidi"/>
            <w:sz w:val="24"/>
            <w:szCs w:val="24"/>
          </w:rPr>
          <w:id w:val="-1594774859"/>
          <w:citation/>
        </w:sdtPr>
        <w:sdtContent>
          <w:r w:rsidR="00C9523C" w:rsidRPr="00C9523C">
            <w:rPr>
              <w:rFonts w:asciiTheme="majorBidi" w:hAnsiTheme="majorBidi" w:cstheme="majorBidi"/>
              <w:sz w:val="24"/>
              <w:szCs w:val="24"/>
            </w:rPr>
            <w:fldChar w:fldCharType="begin"/>
          </w:r>
          <w:r w:rsidR="00C9523C" w:rsidRPr="00C9523C">
            <w:rPr>
              <w:rFonts w:asciiTheme="majorBidi" w:hAnsiTheme="majorBidi" w:cstheme="majorBidi"/>
              <w:color w:val="2E2E2E"/>
              <w:sz w:val="24"/>
              <w:szCs w:val="24"/>
            </w:rPr>
            <w:instrText xml:space="preserve"> CITATION Kim194 \l 2057  \m Ove21 \m Uzu17 \m You221</w:instrText>
          </w:r>
          <w:r w:rsidR="00C9523C" w:rsidRPr="00C9523C">
            <w:rPr>
              <w:rFonts w:asciiTheme="majorBidi" w:hAnsiTheme="majorBidi" w:cstheme="majorBidi"/>
              <w:sz w:val="24"/>
              <w:szCs w:val="24"/>
            </w:rPr>
            <w:fldChar w:fldCharType="separate"/>
          </w:r>
          <w:r w:rsidR="00C9523C" w:rsidRPr="00C9523C">
            <w:rPr>
              <w:rFonts w:asciiTheme="majorBidi" w:hAnsiTheme="majorBidi" w:cstheme="majorBidi"/>
              <w:noProof/>
              <w:color w:val="2E2E2E"/>
              <w:sz w:val="24"/>
              <w:szCs w:val="24"/>
            </w:rPr>
            <w:t>(Kim, Krishna, &amp; Dhanesh, 2019; Overton, Kim, Zhang, &amp; Huang, 2021; Uzunoğlu, Türkel, &amp; Akyar, 2017; You &amp; Hon, 2022)</w:t>
          </w:r>
          <w:r w:rsidR="00C9523C" w:rsidRPr="00C9523C">
            <w:rPr>
              <w:rFonts w:asciiTheme="majorBidi" w:hAnsiTheme="majorBidi" w:cstheme="majorBidi"/>
              <w:sz w:val="24"/>
              <w:szCs w:val="24"/>
            </w:rPr>
            <w:fldChar w:fldCharType="end"/>
          </w:r>
        </w:sdtContent>
      </w:sdt>
      <w:r w:rsidR="00C9523C">
        <w:rPr>
          <w:rFonts w:asciiTheme="majorBidi" w:hAnsiTheme="majorBidi" w:cstheme="majorBidi"/>
          <w:sz w:val="24"/>
          <w:szCs w:val="24"/>
        </w:rPr>
        <w:t>.</w:t>
      </w:r>
    </w:p>
    <w:p w14:paraId="21C182BC" w14:textId="6678967B" w:rsidR="003E582C" w:rsidRDefault="002C7CB3" w:rsidP="00F72834">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5D6108" w:rsidRPr="00B0524E">
        <w:rPr>
          <w:rFonts w:asciiTheme="majorBidi" w:hAnsiTheme="majorBidi" w:cstheme="majorBidi"/>
          <w:sz w:val="24"/>
          <w:szCs w:val="24"/>
        </w:rPr>
        <w:t xml:space="preserve">Nonetheless, </w:t>
      </w:r>
      <w:r w:rsidRPr="00B0524E">
        <w:rPr>
          <w:rFonts w:asciiTheme="majorBidi" w:hAnsiTheme="majorBidi" w:cstheme="majorBidi"/>
          <w:sz w:val="24"/>
          <w:szCs w:val="24"/>
        </w:rPr>
        <w:t xml:space="preserve">CSR communication has its own set of challenges. </w:t>
      </w:r>
      <w:r w:rsidR="00747831" w:rsidRPr="00B0524E">
        <w:rPr>
          <w:rFonts w:asciiTheme="majorBidi" w:hAnsiTheme="majorBidi" w:cstheme="majorBidi"/>
          <w:sz w:val="24"/>
          <w:szCs w:val="24"/>
        </w:rPr>
        <w:t>Obviously, not all consumers care about CSR</w:t>
      </w:r>
      <w:r w:rsidR="00D92E2F">
        <w:rPr>
          <w:rFonts w:asciiTheme="majorBidi" w:hAnsiTheme="majorBidi" w:cstheme="majorBidi"/>
          <w:sz w:val="24"/>
          <w:szCs w:val="24"/>
        </w:rPr>
        <w:t xml:space="preserve">. Additionally, </w:t>
      </w:r>
      <w:r w:rsidR="00747831" w:rsidRPr="00B0524E">
        <w:rPr>
          <w:rFonts w:asciiTheme="majorBidi" w:hAnsiTheme="majorBidi" w:cstheme="majorBidi"/>
          <w:sz w:val="24"/>
          <w:szCs w:val="24"/>
        </w:rPr>
        <w:t>t</w:t>
      </w:r>
      <w:r w:rsidRPr="00B0524E">
        <w:rPr>
          <w:rFonts w:asciiTheme="majorBidi" w:hAnsiTheme="majorBidi" w:cstheme="majorBidi"/>
          <w:sz w:val="24"/>
          <w:szCs w:val="24"/>
        </w:rPr>
        <w:t>he success of CSR communication depend</w:t>
      </w:r>
      <w:r w:rsidR="00A66859" w:rsidRPr="00B0524E">
        <w:rPr>
          <w:rFonts w:asciiTheme="majorBidi" w:hAnsiTheme="majorBidi" w:cstheme="majorBidi"/>
          <w:sz w:val="24"/>
          <w:szCs w:val="24"/>
        </w:rPr>
        <w:t>s</w:t>
      </w:r>
      <w:r w:rsidRPr="00B0524E">
        <w:rPr>
          <w:rFonts w:asciiTheme="majorBidi" w:hAnsiTheme="majorBidi" w:cstheme="majorBidi"/>
          <w:sz w:val="24"/>
          <w:szCs w:val="24"/>
        </w:rPr>
        <w:t xml:space="preserve"> on a variety of factors such as, </w:t>
      </w:r>
      <w:r w:rsidR="00EC52E2" w:rsidRPr="00B0524E">
        <w:rPr>
          <w:rFonts w:asciiTheme="majorBidi" w:hAnsiTheme="majorBidi" w:cstheme="majorBidi"/>
          <w:sz w:val="24"/>
          <w:szCs w:val="24"/>
        </w:rPr>
        <w:t>but not limited to, level of brand awareness, type of product,</w:t>
      </w:r>
      <w:r w:rsidR="00D92E2F">
        <w:rPr>
          <w:rFonts w:asciiTheme="majorBidi" w:hAnsiTheme="majorBidi" w:cstheme="majorBidi"/>
          <w:sz w:val="24"/>
          <w:szCs w:val="24"/>
        </w:rPr>
        <w:t xml:space="preserve"> and</w:t>
      </w:r>
      <w:r w:rsidR="00EC52E2" w:rsidRPr="00B0524E">
        <w:rPr>
          <w:rFonts w:asciiTheme="majorBidi" w:hAnsiTheme="majorBidi" w:cstheme="majorBidi"/>
          <w:sz w:val="24"/>
          <w:szCs w:val="24"/>
        </w:rPr>
        <w:t xml:space="preserve"> type of CSR campaign</w:t>
      </w:r>
      <w:r w:rsidR="002D6E4B" w:rsidRPr="00B0524E">
        <w:rPr>
          <w:rFonts w:asciiTheme="majorBidi" w:hAnsiTheme="majorBidi" w:cstheme="majorBidi"/>
          <w:sz w:val="24"/>
          <w:szCs w:val="24"/>
        </w:rPr>
        <w:t xml:space="preserve"> </w:t>
      </w:r>
      <w:sdt>
        <w:sdtPr>
          <w:rPr>
            <w:rFonts w:asciiTheme="majorBidi" w:hAnsiTheme="majorBidi" w:cstheme="majorBidi"/>
            <w:sz w:val="24"/>
            <w:szCs w:val="24"/>
          </w:rPr>
          <w:id w:val="-1209336336"/>
          <w:citation/>
        </w:sdtPr>
        <w:sdtContent>
          <w:r w:rsidR="002D6E4B" w:rsidRPr="00B0524E">
            <w:rPr>
              <w:rFonts w:asciiTheme="majorBidi" w:hAnsiTheme="majorBidi" w:cstheme="majorBidi"/>
              <w:sz w:val="24"/>
              <w:szCs w:val="24"/>
            </w:rPr>
            <w:fldChar w:fldCharType="begin"/>
          </w:r>
          <w:r w:rsidR="002D6E4B" w:rsidRPr="00B0524E">
            <w:rPr>
              <w:rFonts w:asciiTheme="majorBidi" w:hAnsiTheme="majorBidi" w:cstheme="majorBidi"/>
              <w:sz w:val="24"/>
              <w:szCs w:val="24"/>
            </w:rPr>
            <w:instrText xml:space="preserve">CITATION Cha211 \m Hur201 \t  \l 2057 </w:instrText>
          </w:r>
          <w:r w:rsidR="007F4B29" w:rsidRPr="00B0524E">
            <w:rPr>
              <w:rFonts w:asciiTheme="majorBidi" w:hAnsiTheme="majorBidi" w:cstheme="majorBidi"/>
              <w:sz w:val="24"/>
              <w:szCs w:val="24"/>
            </w:rPr>
            <w:instrText xml:space="preserve"> \m Kuo20</w:instrText>
          </w:r>
          <w:r w:rsidR="002D6E4B" w:rsidRPr="00B0524E">
            <w:rPr>
              <w:rFonts w:asciiTheme="majorBidi" w:hAnsiTheme="majorBidi" w:cstheme="majorBidi"/>
              <w:sz w:val="24"/>
              <w:szCs w:val="24"/>
            </w:rPr>
            <w:fldChar w:fldCharType="separate"/>
          </w:r>
          <w:r w:rsidR="007F4B29" w:rsidRPr="00B0524E">
            <w:rPr>
              <w:rFonts w:asciiTheme="majorBidi" w:hAnsiTheme="majorBidi" w:cstheme="majorBidi"/>
              <w:noProof/>
              <w:sz w:val="24"/>
              <w:szCs w:val="24"/>
            </w:rPr>
            <w:t>(Chatzopoulou &amp; Kiewiet, 2021; Hur, Moon, &amp; Kim, 2020; Kuokkanen &amp; Sun, 2020)</w:t>
          </w:r>
          <w:r w:rsidR="002D6E4B" w:rsidRPr="00B0524E">
            <w:rPr>
              <w:rFonts w:asciiTheme="majorBidi" w:hAnsiTheme="majorBidi" w:cstheme="majorBidi"/>
              <w:sz w:val="24"/>
              <w:szCs w:val="24"/>
            </w:rPr>
            <w:fldChar w:fldCharType="end"/>
          </w:r>
        </w:sdtContent>
      </w:sdt>
      <w:r w:rsidR="00E1147B" w:rsidRPr="00B0524E">
        <w:rPr>
          <w:rFonts w:asciiTheme="majorBidi" w:hAnsiTheme="majorBidi" w:cstheme="majorBidi"/>
          <w:sz w:val="24"/>
          <w:szCs w:val="24"/>
        </w:rPr>
        <w:t>.</w:t>
      </w:r>
      <w:r w:rsidR="00C4527B">
        <w:rPr>
          <w:rFonts w:asciiTheme="majorBidi" w:hAnsiTheme="majorBidi" w:cstheme="majorBidi"/>
          <w:sz w:val="24"/>
          <w:szCs w:val="24"/>
        </w:rPr>
        <w:t xml:space="preserve"> According to literature, n</w:t>
      </w:r>
      <w:r w:rsidR="001F7AA6" w:rsidRPr="007927BF">
        <w:rPr>
          <w:rFonts w:asciiTheme="majorBidi" w:hAnsiTheme="majorBidi" w:cstheme="majorBidi"/>
          <w:sz w:val="24"/>
          <w:szCs w:val="24"/>
        </w:rPr>
        <w:t xml:space="preserve">umerous studies focused on different applications of CSR </w:t>
      </w:r>
      <w:r w:rsidR="00F30354">
        <w:rPr>
          <w:rFonts w:asciiTheme="majorBidi" w:hAnsiTheme="majorBidi" w:cstheme="majorBidi"/>
          <w:sz w:val="24"/>
          <w:szCs w:val="24"/>
        </w:rPr>
        <w:t xml:space="preserve">communication </w:t>
      </w:r>
      <w:sdt>
        <w:sdtPr>
          <w:rPr>
            <w:rFonts w:asciiTheme="majorBidi" w:hAnsiTheme="majorBidi" w:cstheme="majorBidi"/>
            <w:sz w:val="24"/>
            <w:szCs w:val="24"/>
          </w:rPr>
          <w:id w:val="-1489175416"/>
          <w:citation/>
        </w:sdtPr>
        <w:sdtContent>
          <w:r w:rsidR="00B0524E" w:rsidRPr="00B0524E">
            <w:rPr>
              <w:rFonts w:asciiTheme="majorBidi" w:hAnsiTheme="majorBidi" w:cstheme="majorBidi"/>
              <w:sz w:val="24"/>
              <w:szCs w:val="24"/>
            </w:rPr>
            <w:fldChar w:fldCharType="begin"/>
          </w:r>
          <w:r w:rsidR="00B0524E" w:rsidRPr="00B0524E">
            <w:rPr>
              <w:rFonts w:asciiTheme="majorBidi" w:hAnsiTheme="majorBidi" w:cstheme="majorBidi"/>
              <w:sz w:val="24"/>
              <w:szCs w:val="24"/>
            </w:rPr>
            <w:instrText xml:space="preserve"> CITATION Pet21 \l 2057  \m Sun20 \m Zho22</w:instrText>
          </w:r>
          <w:r w:rsidR="00B0524E" w:rsidRPr="00B0524E">
            <w:rPr>
              <w:rFonts w:asciiTheme="majorBidi" w:hAnsiTheme="majorBidi" w:cstheme="majorBidi"/>
              <w:sz w:val="24"/>
              <w:szCs w:val="24"/>
            </w:rPr>
            <w:fldChar w:fldCharType="separate"/>
          </w:r>
          <w:r w:rsidR="00B0524E" w:rsidRPr="00B0524E">
            <w:rPr>
              <w:rFonts w:asciiTheme="majorBidi" w:hAnsiTheme="majorBidi" w:cstheme="majorBidi"/>
              <w:noProof/>
              <w:sz w:val="24"/>
              <w:szCs w:val="24"/>
            </w:rPr>
            <w:t>(Peterson, Minton, Liu, &amp; Bartholomew, 2021; Sun &amp; Wang, 2020; Zhong, Ren, &amp; Wu , 2022)</w:t>
          </w:r>
          <w:r w:rsidR="00B0524E" w:rsidRPr="00B0524E">
            <w:rPr>
              <w:rFonts w:asciiTheme="majorBidi" w:hAnsiTheme="majorBidi" w:cstheme="majorBidi"/>
              <w:sz w:val="24"/>
              <w:szCs w:val="24"/>
            </w:rPr>
            <w:fldChar w:fldCharType="end"/>
          </w:r>
        </w:sdtContent>
      </w:sdt>
      <w:r w:rsidR="007927BF">
        <w:rPr>
          <w:rFonts w:asciiTheme="majorBidi" w:hAnsiTheme="majorBidi" w:cstheme="majorBidi"/>
          <w:sz w:val="24"/>
          <w:szCs w:val="24"/>
        </w:rPr>
        <w:t>;</w:t>
      </w:r>
      <w:r w:rsidR="00B0524E" w:rsidRPr="00B0524E">
        <w:rPr>
          <w:rFonts w:asciiTheme="majorBidi" w:hAnsiTheme="majorBidi" w:cstheme="majorBidi"/>
          <w:sz w:val="24"/>
          <w:szCs w:val="24"/>
        </w:rPr>
        <w:t xml:space="preserve"> </w:t>
      </w:r>
      <w:r w:rsidR="00B0524E" w:rsidRPr="007927BF">
        <w:rPr>
          <w:rFonts w:asciiTheme="majorBidi" w:hAnsiTheme="majorBidi" w:cstheme="majorBidi"/>
          <w:sz w:val="24"/>
          <w:szCs w:val="24"/>
        </w:rPr>
        <w:t>however</w:t>
      </w:r>
      <w:r w:rsidR="007927BF">
        <w:rPr>
          <w:rFonts w:asciiTheme="majorBidi" w:hAnsiTheme="majorBidi" w:cstheme="majorBidi"/>
          <w:sz w:val="24"/>
          <w:szCs w:val="24"/>
        </w:rPr>
        <w:t>,</w:t>
      </w:r>
      <w:r w:rsidR="00B0524E" w:rsidRPr="007927BF">
        <w:rPr>
          <w:rFonts w:asciiTheme="majorBidi" w:hAnsiTheme="majorBidi" w:cstheme="majorBidi"/>
          <w:sz w:val="24"/>
          <w:szCs w:val="24"/>
        </w:rPr>
        <w:t xml:space="preserve"> </w:t>
      </w:r>
      <w:r w:rsidR="001F7AA6" w:rsidRPr="00C4527B">
        <w:rPr>
          <w:rFonts w:asciiTheme="majorBidi" w:hAnsiTheme="majorBidi" w:cstheme="majorBidi"/>
          <w:sz w:val="24"/>
          <w:szCs w:val="24"/>
        </w:rPr>
        <w:t>th</w:t>
      </w:r>
      <w:r w:rsidR="007927BF" w:rsidRPr="00C4527B">
        <w:rPr>
          <w:rFonts w:asciiTheme="majorBidi" w:hAnsiTheme="majorBidi" w:cstheme="majorBidi"/>
          <w:sz w:val="24"/>
          <w:szCs w:val="24"/>
        </w:rPr>
        <w:t>ere</w:t>
      </w:r>
      <w:r w:rsidR="001F7AA6" w:rsidRPr="00C4527B">
        <w:rPr>
          <w:rFonts w:asciiTheme="majorBidi" w:hAnsiTheme="majorBidi" w:cstheme="majorBidi"/>
          <w:sz w:val="24"/>
          <w:szCs w:val="24"/>
        </w:rPr>
        <w:t xml:space="preserve"> </w:t>
      </w:r>
      <w:r w:rsidR="00B0524E" w:rsidRPr="00C4527B">
        <w:rPr>
          <w:rFonts w:asciiTheme="majorBidi" w:hAnsiTheme="majorBidi" w:cstheme="majorBidi"/>
          <w:sz w:val="24"/>
          <w:szCs w:val="24"/>
        </w:rPr>
        <w:t>are</w:t>
      </w:r>
      <w:r w:rsidR="001F7AA6" w:rsidRPr="00C4527B">
        <w:rPr>
          <w:rFonts w:asciiTheme="majorBidi" w:hAnsiTheme="majorBidi" w:cstheme="majorBidi"/>
          <w:sz w:val="24"/>
          <w:szCs w:val="24"/>
        </w:rPr>
        <w:t xml:space="preserve"> relatively few studies on the effectiveness of CSR communication </w:t>
      </w:r>
      <w:r w:rsidR="00C4527B">
        <w:rPr>
          <w:rFonts w:asciiTheme="majorBidi" w:hAnsiTheme="majorBidi" w:cstheme="majorBidi"/>
          <w:sz w:val="24"/>
          <w:szCs w:val="24"/>
        </w:rPr>
        <w:t xml:space="preserve">on </w:t>
      </w:r>
      <w:r w:rsidR="00E60DA5">
        <w:rPr>
          <w:rFonts w:asciiTheme="majorBidi" w:hAnsiTheme="majorBidi" w:cstheme="majorBidi"/>
          <w:sz w:val="24"/>
          <w:szCs w:val="24"/>
        </w:rPr>
        <w:t xml:space="preserve">FMCG </w:t>
      </w:r>
      <w:r w:rsidR="00C4527B">
        <w:rPr>
          <w:rFonts w:asciiTheme="majorBidi" w:hAnsiTheme="majorBidi" w:cstheme="majorBidi"/>
          <w:sz w:val="24"/>
          <w:szCs w:val="24"/>
        </w:rPr>
        <w:t xml:space="preserve">consumers in the Middle East </w:t>
      </w:r>
      <w:sdt>
        <w:sdtPr>
          <w:rPr>
            <w:rFonts w:asciiTheme="majorBidi" w:hAnsiTheme="majorBidi" w:cstheme="majorBidi"/>
            <w:sz w:val="24"/>
            <w:szCs w:val="24"/>
          </w:rPr>
          <w:id w:val="1596125100"/>
          <w:citation/>
        </w:sdtPr>
        <w:sdtContent>
          <w:r w:rsidR="00C4527B" w:rsidRPr="00594265">
            <w:rPr>
              <w:rFonts w:asciiTheme="majorBidi" w:hAnsiTheme="majorBidi" w:cstheme="majorBidi"/>
              <w:sz w:val="24"/>
              <w:szCs w:val="24"/>
            </w:rPr>
            <w:fldChar w:fldCharType="begin"/>
          </w:r>
          <w:r w:rsidR="00C4527B" w:rsidRPr="00594265">
            <w:rPr>
              <w:rFonts w:asciiTheme="majorBidi" w:hAnsiTheme="majorBidi" w:cstheme="majorBidi"/>
              <w:sz w:val="24"/>
              <w:szCs w:val="24"/>
            </w:rPr>
            <w:instrText xml:space="preserve"> CITATION Dia201 \l 2057  \m Nur20</w:instrText>
          </w:r>
          <w:r w:rsidR="00C4527B" w:rsidRPr="00594265">
            <w:rPr>
              <w:rFonts w:asciiTheme="majorBidi" w:hAnsiTheme="majorBidi" w:cstheme="majorBidi"/>
              <w:sz w:val="24"/>
              <w:szCs w:val="24"/>
            </w:rPr>
            <w:fldChar w:fldCharType="separate"/>
          </w:r>
          <w:r w:rsidR="00C4527B" w:rsidRPr="00594265">
            <w:rPr>
              <w:rFonts w:asciiTheme="majorBidi" w:hAnsiTheme="majorBidi" w:cstheme="majorBidi"/>
              <w:noProof/>
              <w:sz w:val="24"/>
              <w:szCs w:val="24"/>
            </w:rPr>
            <w:t>(Diab &amp; Metwally, 2020; Nurunnabi, Alfakhri, &amp; Alfakhri, 2020)</w:t>
          </w:r>
          <w:r w:rsidR="00C4527B" w:rsidRPr="00594265">
            <w:rPr>
              <w:rFonts w:asciiTheme="majorBidi" w:hAnsiTheme="majorBidi" w:cstheme="majorBidi"/>
              <w:sz w:val="24"/>
              <w:szCs w:val="24"/>
            </w:rPr>
            <w:fldChar w:fldCharType="end"/>
          </w:r>
        </w:sdtContent>
      </w:sdt>
      <w:r w:rsidR="00C4527B">
        <w:rPr>
          <w:rFonts w:asciiTheme="majorBidi" w:hAnsiTheme="majorBidi" w:cstheme="majorBidi"/>
          <w:sz w:val="24"/>
          <w:szCs w:val="24"/>
        </w:rPr>
        <w:t xml:space="preserve">. </w:t>
      </w:r>
      <w:r w:rsidR="000C5437">
        <w:rPr>
          <w:rFonts w:asciiTheme="majorBidi" w:hAnsiTheme="majorBidi" w:cstheme="majorBidi"/>
          <w:sz w:val="24"/>
          <w:szCs w:val="24"/>
        </w:rPr>
        <w:t xml:space="preserve">As socio-cultural and economic context has been confirmed to be an important variable in </w:t>
      </w:r>
      <w:r w:rsidR="00B37B37">
        <w:rPr>
          <w:rFonts w:asciiTheme="majorBidi" w:hAnsiTheme="majorBidi" w:cstheme="majorBidi"/>
          <w:sz w:val="24"/>
          <w:szCs w:val="24"/>
        </w:rPr>
        <w:t xml:space="preserve">consumer behaviour, I set out to extend the body of knowledge about CSR communication in an under-researched market. </w:t>
      </w:r>
      <w:r w:rsidR="00C55DAF" w:rsidRPr="00261E5D">
        <w:rPr>
          <w:rFonts w:ascii="Times New Roman" w:hAnsi="Times New Roman" w:cs="Times New Roman"/>
          <w:color w:val="1F1F1F"/>
          <w:sz w:val="24"/>
          <w:szCs w:val="24"/>
        </w:rPr>
        <w:t xml:space="preserve">Whilst multitude of studies focused on various aspects of CSR communication in Western markets, their generalizability to markets of different sociocultural characteristics cannot be </w:t>
      </w:r>
      <w:r w:rsidR="00C55DAF" w:rsidRPr="00BE7F49">
        <w:rPr>
          <w:rFonts w:ascii="Times New Roman" w:hAnsi="Times New Roman" w:cs="Times New Roman"/>
          <w:color w:val="1F1F1F"/>
          <w:sz w:val="24"/>
          <w:szCs w:val="24"/>
        </w:rPr>
        <w:t>guaranteed</w:t>
      </w:r>
      <w:r w:rsidR="00BE7F49" w:rsidRPr="00BE7F49">
        <w:rPr>
          <w:rFonts w:ascii="Times New Roman" w:hAnsi="Times New Roman" w:cs="Times New Roman"/>
          <w:color w:val="1F1F1F"/>
          <w:sz w:val="24"/>
          <w:szCs w:val="24"/>
        </w:rPr>
        <w:t xml:space="preserve"> (</w:t>
      </w:r>
      <w:r w:rsidR="00BE7F49" w:rsidRPr="00BE7F49">
        <w:rPr>
          <w:rFonts w:ascii="Times New Roman" w:hAnsi="Times New Roman" w:cs="Times New Roman"/>
          <w:sz w:val="24"/>
          <w:szCs w:val="24"/>
        </w:rPr>
        <w:t>Cheng, Dimoka, &amp; Pavlou, 2016</w:t>
      </w:r>
      <w:r w:rsidR="002B1B59" w:rsidRPr="002B1B59">
        <w:rPr>
          <w:rFonts w:ascii="Times New Roman" w:hAnsi="Times New Roman" w:cs="Times New Roman"/>
          <w:sz w:val="24"/>
          <w:szCs w:val="24"/>
        </w:rPr>
        <w:t xml:space="preserve">; </w:t>
      </w:r>
      <w:r w:rsidR="002B1B59" w:rsidRPr="002B1B59">
        <w:rPr>
          <w:rFonts w:ascii="Times New Roman" w:hAnsi="Times New Roman" w:cs="Times New Roman"/>
          <w:color w:val="222222"/>
          <w:sz w:val="24"/>
          <w:szCs w:val="24"/>
          <w:shd w:val="clear" w:color="auto" w:fill="FFFFFF"/>
        </w:rPr>
        <w:t xml:space="preserve">Bonett, </w:t>
      </w:r>
      <w:r w:rsidR="002B1B59" w:rsidRPr="003171D5">
        <w:rPr>
          <w:rFonts w:ascii="Times New Roman" w:hAnsi="Times New Roman" w:cs="Times New Roman"/>
          <w:color w:val="222222"/>
          <w:sz w:val="24"/>
          <w:szCs w:val="24"/>
          <w:shd w:val="clear" w:color="auto" w:fill="FFFFFF"/>
        </w:rPr>
        <w:t>2012</w:t>
      </w:r>
      <w:r w:rsidR="003171D5" w:rsidRPr="003171D5">
        <w:rPr>
          <w:rFonts w:ascii="Times New Roman" w:hAnsi="Times New Roman" w:cs="Times New Roman"/>
          <w:color w:val="222222"/>
          <w:sz w:val="24"/>
          <w:szCs w:val="24"/>
          <w:shd w:val="clear" w:color="auto" w:fill="FFFFFF"/>
        </w:rPr>
        <w:t>; Earp &amp; Trafimow, 2015</w:t>
      </w:r>
      <w:r w:rsidR="00BE7F49" w:rsidRPr="003171D5">
        <w:rPr>
          <w:rFonts w:ascii="Times New Roman" w:hAnsi="Times New Roman" w:cs="Times New Roman"/>
          <w:sz w:val="24"/>
          <w:szCs w:val="24"/>
        </w:rPr>
        <w:t>).</w:t>
      </w:r>
      <w:r w:rsidR="00C55DAF" w:rsidRPr="00261E5D">
        <w:rPr>
          <w:rFonts w:ascii="Times New Roman" w:hAnsi="Times New Roman" w:cs="Times New Roman"/>
          <w:color w:val="1F1F1F"/>
          <w:sz w:val="24"/>
          <w:szCs w:val="24"/>
        </w:rPr>
        <w:t xml:space="preserve"> Coupled with the evolving nature of the sociocultural and consumption environment, the need for differentiated replications is addressed in </w:t>
      </w:r>
      <w:r w:rsidR="00C55DAF" w:rsidRPr="006439B8">
        <w:rPr>
          <w:rFonts w:ascii="Times New Roman" w:hAnsi="Times New Roman" w:cs="Times New Roman"/>
          <w:color w:val="1F1F1F"/>
          <w:sz w:val="24"/>
          <w:szCs w:val="24"/>
        </w:rPr>
        <w:t>this study</w:t>
      </w:r>
      <w:r w:rsidR="00144E0C" w:rsidRPr="006439B8">
        <w:rPr>
          <w:rFonts w:ascii="Times New Roman" w:hAnsi="Times New Roman" w:cs="Times New Roman"/>
          <w:color w:val="1F1F1F"/>
          <w:sz w:val="24"/>
          <w:szCs w:val="24"/>
        </w:rPr>
        <w:t xml:space="preserve"> (</w:t>
      </w:r>
      <w:r w:rsidR="00144E0C" w:rsidRPr="006439B8">
        <w:rPr>
          <w:rFonts w:ascii="Times New Roman" w:hAnsi="Times New Roman" w:cs="Times New Roman"/>
          <w:color w:val="222222"/>
          <w:sz w:val="24"/>
          <w:szCs w:val="24"/>
          <w:shd w:val="clear" w:color="auto" w:fill="FFFFFF"/>
        </w:rPr>
        <w:t>Uncles &amp; Kwok, 2013</w:t>
      </w:r>
      <w:r w:rsidR="009F27CF">
        <w:rPr>
          <w:rFonts w:ascii="Times New Roman" w:hAnsi="Times New Roman" w:cs="Times New Roman"/>
          <w:color w:val="222222"/>
          <w:sz w:val="24"/>
          <w:szCs w:val="24"/>
          <w:shd w:val="clear" w:color="auto" w:fill="FFFFFF"/>
        </w:rPr>
        <w:t xml:space="preserve">; </w:t>
      </w:r>
      <w:r w:rsidR="009F27CF" w:rsidRPr="009F27CF">
        <w:rPr>
          <w:rFonts w:ascii="Times New Roman" w:hAnsi="Times New Roman" w:cs="Times New Roman"/>
          <w:color w:val="222222"/>
          <w:sz w:val="24"/>
          <w:szCs w:val="24"/>
          <w:shd w:val="clear" w:color="auto" w:fill="FFFFFF"/>
        </w:rPr>
        <w:t>Evanschitzky &amp; Armstrong, 2013).</w:t>
      </w:r>
      <w:r w:rsidR="00C55DAF" w:rsidRPr="00261E5D">
        <w:rPr>
          <w:rFonts w:ascii="Times New Roman" w:hAnsi="Times New Roman" w:cs="Times New Roman"/>
          <w:color w:val="1F1F1F"/>
          <w:sz w:val="24"/>
          <w:szCs w:val="24"/>
        </w:rPr>
        <w:t xml:space="preserve"> </w:t>
      </w:r>
      <w:r w:rsidR="007927BF">
        <w:rPr>
          <w:rFonts w:asciiTheme="majorBidi" w:hAnsiTheme="majorBidi" w:cstheme="majorBidi"/>
          <w:sz w:val="24"/>
          <w:szCs w:val="24"/>
        </w:rPr>
        <w:t>This</w:t>
      </w:r>
      <w:r w:rsidR="00C4527B">
        <w:rPr>
          <w:rFonts w:asciiTheme="majorBidi" w:hAnsiTheme="majorBidi" w:cstheme="majorBidi"/>
          <w:sz w:val="24"/>
          <w:szCs w:val="24"/>
        </w:rPr>
        <w:t xml:space="preserve"> was </w:t>
      </w:r>
      <w:r w:rsidR="00041ACA">
        <w:rPr>
          <w:rFonts w:asciiTheme="majorBidi" w:hAnsiTheme="majorBidi" w:cstheme="majorBidi"/>
          <w:sz w:val="24"/>
          <w:szCs w:val="24"/>
        </w:rPr>
        <w:t xml:space="preserve">a major research </w:t>
      </w:r>
      <w:r w:rsidR="007927BF">
        <w:rPr>
          <w:rFonts w:asciiTheme="majorBidi" w:hAnsiTheme="majorBidi" w:cstheme="majorBidi"/>
          <w:sz w:val="24"/>
          <w:szCs w:val="24"/>
        </w:rPr>
        <w:t>gap</w:t>
      </w:r>
      <w:r w:rsidR="00C4527B">
        <w:rPr>
          <w:rFonts w:asciiTheme="majorBidi" w:hAnsiTheme="majorBidi" w:cstheme="majorBidi"/>
          <w:sz w:val="24"/>
          <w:szCs w:val="24"/>
        </w:rPr>
        <w:t xml:space="preserve"> that appeared from the literature.</w:t>
      </w:r>
      <w:r w:rsidR="007927BF">
        <w:rPr>
          <w:rFonts w:asciiTheme="majorBidi" w:hAnsiTheme="majorBidi" w:cstheme="majorBidi"/>
          <w:sz w:val="24"/>
          <w:szCs w:val="24"/>
        </w:rPr>
        <w:t xml:space="preserve"> </w:t>
      </w:r>
      <w:r w:rsidR="00C4527B">
        <w:rPr>
          <w:rFonts w:asciiTheme="majorBidi" w:hAnsiTheme="majorBidi" w:cstheme="majorBidi"/>
          <w:sz w:val="24"/>
          <w:szCs w:val="24"/>
        </w:rPr>
        <w:t>Research gaps that this thesis attempts to bridge are further explained in</w:t>
      </w:r>
      <w:r w:rsidR="00041ACA">
        <w:rPr>
          <w:rFonts w:asciiTheme="majorBidi" w:hAnsiTheme="majorBidi" w:cstheme="majorBidi"/>
          <w:sz w:val="24"/>
          <w:szCs w:val="24"/>
        </w:rPr>
        <w:t xml:space="preserve"> this chapter in</w:t>
      </w:r>
      <w:r w:rsidR="00C4527B">
        <w:rPr>
          <w:rFonts w:asciiTheme="majorBidi" w:hAnsiTheme="majorBidi" w:cstheme="majorBidi"/>
          <w:sz w:val="24"/>
          <w:szCs w:val="24"/>
        </w:rPr>
        <w:t xml:space="preserve"> </w:t>
      </w:r>
      <w:r w:rsidR="00C4527B" w:rsidRPr="00041ACA">
        <w:rPr>
          <w:rFonts w:asciiTheme="majorBidi" w:hAnsiTheme="majorBidi" w:cstheme="majorBidi"/>
          <w:sz w:val="24"/>
          <w:szCs w:val="24"/>
        </w:rPr>
        <w:t xml:space="preserve">section </w:t>
      </w:r>
      <w:r w:rsidR="00041ACA" w:rsidRPr="00041ACA">
        <w:rPr>
          <w:rFonts w:asciiTheme="majorBidi" w:hAnsiTheme="majorBidi" w:cstheme="majorBidi"/>
          <w:sz w:val="24"/>
          <w:szCs w:val="24"/>
        </w:rPr>
        <w:t>1.3</w:t>
      </w:r>
      <w:r w:rsidR="00C4527B" w:rsidRPr="00041ACA">
        <w:rPr>
          <w:rFonts w:asciiTheme="majorBidi" w:hAnsiTheme="majorBidi" w:cstheme="majorBidi"/>
          <w:sz w:val="24"/>
          <w:szCs w:val="24"/>
        </w:rPr>
        <w:t>.</w:t>
      </w:r>
    </w:p>
    <w:p w14:paraId="767B5482" w14:textId="77777777" w:rsidR="000D5EC9" w:rsidRDefault="004E7B44">
      <w:pPr>
        <w:pStyle w:val="ListParagraph"/>
        <w:numPr>
          <w:ilvl w:val="1"/>
          <w:numId w:val="22"/>
        </w:numPr>
        <w:spacing w:after="0" w:line="480" w:lineRule="auto"/>
        <w:rPr>
          <w:rFonts w:asciiTheme="majorBidi" w:hAnsiTheme="majorBidi" w:cstheme="majorBidi"/>
          <w:b/>
          <w:bCs/>
          <w:sz w:val="24"/>
          <w:szCs w:val="24"/>
        </w:rPr>
      </w:pPr>
      <w:r w:rsidRPr="004E7B44">
        <w:rPr>
          <w:rFonts w:asciiTheme="majorBidi" w:hAnsiTheme="majorBidi" w:cstheme="majorBidi"/>
          <w:b/>
          <w:bCs/>
          <w:sz w:val="24"/>
          <w:szCs w:val="24"/>
        </w:rPr>
        <w:t xml:space="preserve">Researcher Background </w:t>
      </w:r>
    </w:p>
    <w:p w14:paraId="1CD04C8E" w14:textId="01EBECFE" w:rsidR="003320A4" w:rsidRDefault="000D5EC9" w:rsidP="00F72834">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r>
      <w:r w:rsidRPr="000D5EC9">
        <w:rPr>
          <w:rFonts w:asciiTheme="majorBidi" w:hAnsiTheme="majorBidi" w:cstheme="majorBidi"/>
          <w:sz w:val="24"/>
          <w:szCs w:val="24"/>
        </w:rPr>
        <w:t>Spending more than four years working in a multinational corporate</w:t>
      </w:r>
      <w:r>
        <w:rPr>
          <w:rFonts w:asciiTheme="majorBidi" w:hAnsiTheme="majorBidi" w:cstheme="majorBidi"/>
          <w:sz w:val="24"/>
          <w:szCs w:val="24"/>
        </w:rPr>
        <w:t xml:space="preserve"> in the United Arab Emirates (UAE)</w:t>
      </w:r>
      <w:r w:rsidRPr="000D5EC9">
        <w:rPr>
          <w:rFonts w:asciiTheme="majorBidi" w:hAnsiTheme="majorBidi" w:cstheme="majorBidi"/>
          <w:sz w:val="24"/>
          <w:szCs w:val="24"/>
        </w:rPr>
        <w:t xml:space="preserve">, I </w:t>
      </w:r>
      <w:r>
        <w:rPr>
          <w:rFonts w:asciiTheme="majorBidi" w:hAnsiTheme="majorBidi" w:cstheme="majorBidi"/>
          <w:sz w:val="24"/>
          <w:szCs w:val="24"/>
        </w:rPr>
        <w:t xml:space="preserve">gained </w:t>
      </w:r>
      <w:r w:rsidRPr="000D5EC9">
        <w:rPr>
          <w:rFonts w:asciiTheme="majorBidi" w:hAnsiTheme="majorBidi" w:cstheme="majorBidi"/>
          <w:sz w:val="24"/>
          <w:szCs w:val="24"/>
        </w:rPr>
        <w:t>hands on understanding o</w:t>
      </w:r>
      <w:r w:rsidR="00D92E2F">
        <w:rPr>
          <w:rFonts w:asciiTheme="majorBidi" w:hAnsiTheme="majorBidi" w:cstheme="majorBidi"/>
          <w:sz w:val="24"/>
          <w:szCs w:val="24"/>
        </w:rPr>
        <w:t>f</w:t>
      </w:r>
      <w:r>
        <w:rPr>
          <w:rFonts w:asciiTheme="majorBidi" w:hAnsiTheme="majorBidi" w:cstheme="majorBidi"/>
          <w:sz w:val="24"/>
          <w:szCs w:val="24"/>
        </w:rPr>
        <w:t xml:space="preserve"> the investments that companies place behind communication strategies. More importantly, I also understood the way</w:t>
      </w:r>
      <w:r w:rsidR="00D7441F">
        <w:rPr>
          <w:rFonts w:asciiTheme="majorBidi" w:hAnsiTheme="majorBidi" w:cstheme="majorBidi"/>
          <w:sz w:val="24"/>
          <w:szCs w:val="24"/>
        </w:rPr>
        <w:t xml:space="preserve"> </w:t>
      </w:r>
      <w:r>
        <w:rPr>
          <w:rFonts w:asciiTheme="majorBidi" w:hAnsiTheme="majorBidi" w:cstheme="majorBidi"/>
          <w:sz w:val="24"/>
          <w:szCs w:val="24"/>
        </w:rPr>
        <w:t xml:space="preserve">companies measure the success of these strategies and their positive impact on consumers in terms of their attitudes towards the brands. During this time, I came across multiple circumstances in which the planned and executed marketing strategy did not quite achieve the expected </w:t>
      </w:r>
      <w:r w:rsidR="00812984">
        <w:rPr>
          <w:rFonts w:asciiTheme="majorBidi" w:hAnsiTheme="majorBidi" w:cstheme="majorBidi"/>
          <w:sz w:val="24"/>
          <w:szCs w:val="24"/>
        </w:rPr>
        <w:t>results</w:t>
      </w:r>
      <w:r>
        <w:rPr>
          <w:rFonts w:asciiTheme="majorBidi" w:hAnsiTheme="majorBidi" w:cstheme="majorBidi"/>
          <w:sz w:val="24"/>
          <w:szCs w:val="24"/>
        </w:rPr>
        <w:t xml:space="preserve"> on consumers. Hence, the marketing team and </w:t>
      </w:r>
      <w:r w:rsidR="00812984">
        <w:rPr>
          <w:rFonts w:asciiTheme="majorBidi" w:hAnsiTheme="majorBidi" w:cstheme="majorBidi"/>
          <w:sz w:val="24"/>
          <w:szCs w:val="24"/>
        </w:rPr>
        <w:t>I</w:t>
      </w:r>
      <w:r>
        <w:rPr>
          <w:rFonts w:asciiTheme="majorBidi" w:hAnsiTheme="majorBidi" w:cstheme="majorBidi"/>
          <w:sz w:val="24"/>
          <w:szCs w:val="24"/>
        </w:rPr>
        <w:t xml:space="preserve"> engaged in multiple research projects to further understand what kinds of brand communications would be more impactful on consumers’ brand attitudes and behaviours. </w:t>
      </w:r>
      <w:r w:rsidR="00812984">
        <w:rPr>
          <w:rFonts w:asciiTheme="majorBidi" w:hAnsiTheme="majorBidi" w:cstheme="majorBidi"/>
          <w:sz w:val="24"/>
          <w:szCs w:val="24"/>
        </w:rPr>
        <w:t>T</w:t>
      </w:r>
      <w:r>
        <w:rPr>
          <w:rFonts w:asciiTheme="majorBidi" w:hAnsiTheme="majorBidi" w:cstheme="majorBidi"/>
          <w:sz w:val="24"/>
          <w:szCs w:val="24"/>
        </w:rPr>
        <w:t xml:space="preserve">his gap between communication goals and result on consumers triggered a personal goal for me to further explore </w:t>
      </w:r>
      <w:r w:rsidR="00812984">
        <w:rPr>
          <w:rFonts w:asciiTheme="majorBidi" w:hAnsiTheme="majorBidi" w:cstheme="majorBidi"/>
          <w:sz w:val="24"/>
          <w:szCs w:val="24"/>
        </w:rPr>
        <w:t xml:space="preserve">the </w:t>
      </w:r>
      <w:r>
        <w:rPr>
          <w:rFonts w:asciiTheme="majorBidi" w:hAnsiTheme="majorBidi" w:cstheme="majorBidi"/>
          <w:sz w:val="24"/>
          <w:szCs w:val="24"/>
        </w:rPr>
        <w:t xml:space="preserve">impact of different communication strategies from an academic </w:t>
      </w:r>
      <w:r w:rsidR="00173596">
        <w:rPr>
          <w:rFonts w:asciiTheme="majorBidi" w:hAnsiTheme="majorBidi" w:cstheme="majorBidi"/>
          <w:sz w:val="24"/>
          <w:szCs w:val="24"/>
        </w:rPr>
        <w:t>standpoint</w:t>
      </w:r>
      <w:r>
        <w:rPr>
          <w:rFonts w:asciiTheme="majorBidi" w:hAnsiTheme="majorBidi" w:cstheme="majorBidi"/>
          <w:sz w:val="24"/>
          <w:szCs w:val="24"/>
        </w:rPr>
        <w:t xml:space="preserve">. </w:t>
      </w:r>
      <w:r w:rsidR="00B00154">
        <w:rPr>
          <w:rFonts w:asciiTheme="majorBidi" w:hAnsiTheme="majorBidi" w:cstheme="majorBidi"/>
          <w:sz w:val="24"/>
          <w:szCs w:val="24"/>
        </w:rPr>
        <w:t xml:space="preserve">The below section gives more details on the main research gaps identified in this thesis. </w:t>
      </w:r>
    </w:p>
    <w:p w14:paraId="6BF3EE7A" w14:textId="77777777" w:rsidR="00041ACA" w:rsidRDefault="00041ACA" w:rsidP="00041ACA">
      <w:pPr>
        <w:pStyle w:val="ListParagraph"/>
        <w:numPr>
          <w:ilvl w:val="1"/>
          <w:numId w:val="22"/>
        </w:numPr>
        <w:shd w:val="clear" w:color="auto" w:fill="FFFFFF"/>
        <w:spacing w:after="0" w:line="480" w:lineRule="auto"/>
        <w:rPr>
          <w:rFonts w:asciiTheme="majorBidi" w:hAnsiTheme="majorBidi" w:cstheme="majorBidi"/>
          <w:b/>
          <w:bCs/>
          <w:sz w:val="24"/>
          <w:szCs w:val="24"/>
        </w:rPr>
      </w:pPr>
      <w:r w:rsidRPr="00987507">
        <w:rPr>
          <w:rFonts w:asciiTheme="majorBidi" w:hAnsiTheme="majorBidi" w:cstheme="majorBidi"/>
          <w:b/>
          <w:bCs/>
          <w:sz w:val="24"/>
          <w:szCs w:val="24"/>
        </w:rPr>
        <w:t xml:space="preserve">Research Gap </w:t>
      </w:r>
    </w:p>
    <w:p w14:paraId="4F014AD3" w14:textId="0BFF10B9" w:rsidR="00041ACA" w:rsidRDefault="00B00154" w:rsidP="00F72834">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 </w:t>
      </w:r>
      <w:r w:rsidR="00041ACA">
        <w:rPr>
          <w:rFonts w:asciiTheme="majorBidi" w:hAnsiTheme="majorBidi" w:cstheme="majorBidi"/>
          <w:sz w:val="24"/>
          <w:szCs w:val="24"/>
        </w:rPr>
        <w:t>On the one hand, t</w:t>
      </w:r>
      <w:r w:rsidR="00041ACA" w:rsidRPr="003D247D">
        <w:rPr>
          <w:rFonts w:asciiTheme="majorBidi" w:hAnsiTheme="majorBidi" w:cstheme="majorBidi"/>
          <w:sz w:val="24"/>
          <w:szCs w:val="24"/>
        </w:rPr>
        <w:t>here is a substantial number of studies that clearly identif</w:t>
      </w:r>
      <w:r w:rsidR="00041ACA">
        <w:rPr>
          <w:rFonts w:asciiTheme="majorBidi" w:hAnsiTheme="majorBidi" w:cstheme="majorBidi"/>
          <w:sz w:val="24"/>
          <w:szCs w:val="24"/>
        </w:rPr>
        <w:t>y</w:t>
      </w:r>
      <w:r w:rsidR="00041ACA" w:rsidRPr="003D247D">
        <w:rPr>
          <w:rFonts w:asciiTheme="majorBidi" w:hAnsiTheme="majorBidi" w:cstheme="majorBidi"/>
          <w:sz w:val="24"/>
          <w:szCs w:val="24"/>
        </w:rPr>
        <w:t xml:space="preserve"> a plethora of positive outcomes for businesses resulting from CSR communication</w:t>
      </w:r>
      <w:r w:rsidR="00041ACA" w:rsidRPr="003D247D">
        <w:rPr>
          <w:rFonts w:ascii="Times New Roman" w:hAnsi="Times New Roman" w:cs="Times New Roman"/>
          <w:sz w:val="24"/>
          <w:szCs w:val="24"/>
        </w:rPr>
        <w:t xml:space="preserve"> </w:t>
      </w:r>
      <w:sdt>
        <w:sdtPr>
          <w:id w:val="1864478905"/>
          <w:citation/>
        </w:sdtPr>
        <w:sdtContent>
          <w:r w:rsidR="00041ACA" w:rsidRPr="003D247D">
            <w:fldChar w:fldCharType="begin"/>
          </w:r>
          <w:r w:rsidR="00041ACA" w:rsidRPr="003D247D">
            <w:rPr>
              <w:rFonts w:ascii="Times New Roman" w:hAnsi="Times New Roman" w:cs="Times New Roman"/>
              <w:sz w:val="24"/>
              <w:szCs w:val="24"/>
            </w:rPr>
            <w:instrText xml:space="preserve"> CITATION Abu211 \l 2057  \m Dan20 \m Nai21 \m Sal222</w:instrText>
          </w:r>
          <w:r w:rsidR="00041ACA" w:rsidRPr="003D247D">
            <w:fldChar w:fldCharType="separate"/>
          </w:r>
          <w:r w:rsidR="00041ACA" w:rsidRPr="003D247D">
            <w:rPr>
              <w:rFonts w:ascii="Times New Roman" w:hAnsi="Times New Roman" w:cs="Times New Roman"/>
              <w:noProof/>
              <w:sz w:val="24"/>
              <w:szCs w:val="24"/>
            </w:rPr>
            <w:t>(Abu Zayyad, et al., 2021; Dang, Nguyen, &amp; Pervan, 2020; Nair, 2021; Salam, Jahed, &amp; Palmer, 2022)</w:t>
          </w:r>
          <w:r w:rsidR="00041ACA" w:rsidRPr="003D247D">
            <w:fldChar w:fldCharType="end"/>
          </w:r>
        </w:sdtContent>
      </w:sdt>
      <w:r w:rsidR="00041ACA" w:rsidRPr="003D247D">
        <w:rPr>
          <w:rFonts w:asciiTheme="majorBidi" w:hAnsiTheme="majorBidi" w:cstheme="majorBidi"/>
          <w:sz w:val="24"/>
          <w:szCs w:val="24"/>
        </w:rPr>
        <w:t>.</w:t>
      </w:r>
      <w:r w:rsidR="00041ACA">
        <w:rPr>
          <w:rFonts w:asciiTheme="majorBidi" w:hAnsiTheme="majorBidi" w:cstheme="majorBidi"/>
          <w:sz w:val="24"/>
          <w:szCs w:val="24"/>
        </w:rPr>
        <w:t xml:space="preserve"> On the other hand, </w:t>
      </w:r>
      <w:r w:rsidR="00041ACA" w:rsidRPr="006D659B">
        <w:rPr>
          <w:rFonts w:asciiTheme="majorBidi" w:hAnsiTheme="majorBidi" w:cstheme="majorBidi"/>
          <w:sz w:val="24"/>
          <w:szCs w:val="24"/>
        </w:rPr>
        <w:t xml:space="preserve">millions of companies globally launch </w:t>
      </w:r>
      <w:r w:rsidR="00DD1394">
        <w:rPr>
          <w:rFonts w:asciiTheme="majorBidi" w:hAnsiTheme="majorBidi" w:cstheme="majorBidi"/>
          <w:sz w:val="24"/>
          <w:szCs w:val="24"/>
        </w:rPr>
        <w:t xml:space="preserve">non-CSR </w:t>
      </w:r>
      <w:r w:rsidR="00041ACA" w:rsidRPr="006D659B">
        <w:rPr>
          <w:rFonts w:asciiTheme="majorBidi" w:hAnsiTheme="majorBidi" w:cstheme="majorBidi"/>
          <w:sz w:val="24"/>
          <w:szCs w:val="24"/>
        </w:rPr>
        <w:t>advertising</w:t>
      </w:r>
      <w:r w:rsidR="00DD1394">
        <w:rPr>
          <w:rFonts w:asciiTheme="majorBidi" w:hAnsiTheme="majorBidi" w:cstheme="majorBidi"/>
          <w:sz w:val="24"/>
          <w:szCs w:val="24"/>
        </w:rPr>
        <w:t xml:space="preserve"> campaigns </w:t>
      </w:r>
      <w:sdt>
        <w:sdtPr>
          <w:rPr>
            <w:rFonts w:asciiTheme="majorBidi" w:hAnsiTheme="majorBidi" w:cstheme="majorBidi"/>
            <w:sz w:val="24"/>
            <w:szCs w:val="24"/>
          </w:rPr>
          <w:id w:val="52819144"/>
          <w:citation/>
        </w:sdtPr>
        <w:sdtContent>
          <w:r w:rsidR="00041ACA" w:rsidRPr="006D659B">
            <w:rPr>
              <w:rFonts w:asciiTheme="majorBidi" w:hAnsiTheme="majorBidi" w:cstheme="majorBidi"/>
              <w:sz w:val="24"/>
              <w:szCs w:val="24"/>
            </w:rPr>
            <w:fldChar w:fldCharType="begin"/>
          </w:r>
          <w:r w:rsidR="00041ACA" w:rsidRPr="006D659B">
            <w:rPr>
              <w:rFonts w:asciiTheme="majorBidi" w:hAnsiTheme="majorBidi" w:cstheme="majorBidi"/>
              <w:sz w:val="24"/>
              <w:szCs w:val="24"/>
            </w:rPr>
            <w:instrText xml:space="preserve"> CITATION Dau22 \l 2057 </w:instrText>
          </w:r>
          <w:r w:rsidR="00041ACA">
            <w:rPr>
              <w:rFonts w:asciiTheme="majorBidi" w:hAnsiTheme="majorBidi" w:cstheme="majorBidi"/>
              <w:sz w:val="24"/>
              <w:szCs w:val="24"/>
            </w:rPr>
            <w:instrText xml:space="preserve"> \m Nav23</w:instrText>
          </w:r>
          <w:r w:rsidR="00041ACA" w:rsidRPr="006D659B">
            <w:rPr>
              <w:rFonts w:asciiTheme="majorBidi" w:hAnsiTheme="majorBidi" w:cstheme="majorBidi"/>
              <w:sz w:val="24"/>
              <w:szCs w:val="24"/>
            </w:rPr>
            <w:fldChar w:fldCharType="separate"/>
          </w:r>
          <w:r w:rsidR="00041ACA">
            <w:rPr>
              <w:rFonts w:asciiTheme="majorBidi" w:hAnsiTheme="majorBidi" w:cstheme="majorBidi"/>
              <w:noProof/>
              <w:sz w:val="24"/>
              <w:szCs w:val="24"/>
            </w:rPr>
            <w:t xml:space="preserve"> </w:t>
          </w:r>
          <w:r w:rsidR="00041ACA" w:rsidRPr="006879B0">
            <w:rPr>
              <w:rFonts w:asciiTheme="majorBidi" w:hAnsiTheme="majorBidi" w:cstheme="majorBidi"/>
              <w:noProof/>
              <w:sz w:val="24"/>
              <w:szCs w:val="24"/>
            </w:rPr>
            <w:t>(Dautovic, 2022; Navarro, 2023)</w:t>
          </w:r>
          <w:r w:rsidR="00041ACA" w:rsidRPr="006D659B">
            <w:rPr>
              <w:rFonts w:asciiTheme="majorBidi" w:hAnsiTheme="majorBidi" w:cstheme="majorBidi"/>
              <w:sz w:val="24"/>
              <w:szCs w:val="24"/>
            </w:rPr>
            <w:fldChar w:fldCharType="end"/>
          </w:r>
        </w:sdtContent>
      </w:sdt>
      <w:r w:rsidR="00041ACA">
        <w:rPr>
          <w:rFonts w:asciiTheme="majorBidi" w:hAnsiTheme="majorBidi" w:cstheme="majorBidi"/>
          <w:sz w:val="24"/>
          <w:szCs w:val="24"/>
        </w:rPr>
        <w:t xml:space="preserve">, and the </w:t>
      </w:r>
      <w:r w:rsidR="00041ACA" w:rsidRPr="003D247D">
        <w:rPr>
          <w:rFonts w:asciiTheme="majorBidi" w:hAnsiTheme="majorBidi" w:cstheme="majorBidi"/>
          <w:sz w:val="24"/>
          <w:szCs w:val="24"/>
        </w:rPr>
        <w:t xml:space="preserve">literature provides a surfeit of </w:t>
      </w:r>
      <w:r w:rsidR="00041ACA">
        <w:rPr>
          <w:rFonts w:asciiTheme="majorBidi" w:hAnsiTheme="majorBidi" w:cstheme="majorBidi"/>
          <w:sz w:val="24"/>
          <w:szCs w:val="24"/>
        </w:rPr>
        <w:t>publications</w:t>
      </w:r>
      <w:r w:rsidR="00041ACA" w:rsidRPr="003D247D">
        <w:rPr>
          <w:rFonts w:asciiTheme="majorBidi" w:hAnsiTheme="majorBidi" w:cstheme="majorBidi"/>
          <w:sz w:val="24"/>
          <w:szCs w:val="24"/>
        </w:rPr>
        <w:t xml:space="preserve"> looking at </w:t>
      </w:r>
      <w:r w:rsidR="00041ACA">
        <w:rPr>
          <w:rFonts w:asciiTheme="majorBidi" w:hAnsiTheme="majorBidi" w:cstheme="majorBidi"/>
          <w:sz w:val="24"/>
          <w:szCs w:val="24"/>
        </w:rPr>
        <w:t>the impact of</w:t>
      </w:r>
      <w:r w:rsidR="00041ACA" w:rsidRPr="003D247D">
        <w:rPr>
          <w:rFonts w:asciiTheme="majorBidi" w:hAnsiTheme="majorBidi" w:cstheme="majorBidi"/>
          <w:sz w:val="24"/>
          <w:szCs w:val="24"/>
        </w:rPr>
        <w:t xml:space="preserve"> non-CSR communication on consumers </w:t>
      </w:r>
      <w:sdt>
        <w:sdtPr>
          <w:rPr>
            <w:rFonts w:asciiTheme="majorBidi" w:hAnsiTheme="majorBidi" w:cstheme="majorBidi"/>
            <w:sz w:val="24"/>
            <w:szCs w:val="24"/>
          </w:rPr>
          <w:id w:val="-1914774431"/>
          <w:citation/>
        </w:sdtPr>
        <w:sdtContent>
          <w:r w:rsidR="00041ACA">
            <w:rPr>
              <w:rFonts w:asciiTheme="majorBidi" w:hAnsiTheme="majorBidi" w:cstheme="majorBidi"/>
              <w:sz w:val="24"/>
              <w:szCs w:val="24"/>
            </w:rPr>
            <w:fldChar w:fldCharType="begin"/>
          </w:r>
          <w:r w:rsidR="00041ACA">
            <w:rPr>
              <w:rFonts w:asciiTheme="majorBidi" w:hAnsiTheme="majorBidi" w:cstheme="majorBidi"/>
              <w:sz w:val="24"/>
              <w:szCs w:val="24"/>
            </w:rPr>
            <w:instrText xml:space="preserve"> CITATION Che231 \l 2057  \m Kri22</w:instrText>
          </w:r>
          <w:r w:rsidR="00041ACA">
            <w:rPr>
              <w:rFonts w:asciiTheme="majorBidi" w:hAnsiTheme="majorBidi" w:cstheme="majorBidi"/>
              <w:sz w:val="24"/>
              <w:szCs w:val="24"/>
            </w:rPr>
            <w:fldChar w:fldCharType="separate"/>
          </w:r>
          <w:r w:rsidR="00041ACA" w:rsidRPr="0002256A">
            <w:rPr>
              <w:rFonts w:asciiTheme="majorBidi" w:hAnsiTheme="majorBidi" w:cstheme="majorBidi"/>
              <w:noProof/>
              <w:sz w:val="24"/>
              <w:szCs w:val="24"/>
            </w:rPr>
            <w:t>(Chen, Hung-Baesecke, &amp; Cheng, 2023; Krištofík , Medzihorský, &amp; Musa, 2022)</w:t>
          </w:r>
          <w:r w:rsidR="00041ACA">
            <w:rPr>
              <w:rFonts w:asciiTheme="majorBidi" w:hAnsiTheme="majorBidi" w:cstheme="majorBidi"/>
              <w:sz w:val="24"/>
              <w:szCs w:val="24"/>
            </w:rPr>
            <w:fldChar w:fldCharType="end"/>
          </w:r>
        </w:sdtContent>
      </w:sdt>
      <w:r w:rsidR="00041ACA">
        <w:rPr>
          <w:rFonts w:asciiTheme="majorBidi" w:hAnsiTheme="majorBidi" w:cstheme="majorBidi"/>
          <w:sz w:val="24"/>
          <w:szCs w:val="24"/>
        </w:rPr>
        <w:t xml:space="preserve">. However, there is a lack of sufficient studies that compare the </w:t>
      </w:r>
      <w:r w:rsidR="00374957">
        <w:rPr>
          <w:rFonts w:asciiTheme="majorBidi" w:hAnsiTheme="majorBidi" w:cstheme="majorBidi"/>
          <w:sz w:val="24"/>
          <w:szCs w:val="24"/>
        </w:rPr>
        <w:t>impact</w:t>
      </w:r>
      <w:r w:rsidR="00041ACA">
        <w:rPr>
          <w:rFonts w:asciiTheme="majorBidi" w:hAnsiTheme="majorBidi" w:cstheme="majorBidi"/>
          <w:sz w:val="24"/>
          <w:szCs w:val="24"/>
        </w:rPr>
        <w:t xml:space="preserve"> of non-CSR and CSR communication strategies aimed to influence consumers’ decisions.</w:t>
      </w:r>
      <w:r w:rsidR="00DB42A5">
        <w:rPr>
          <w:rFonts w:asciiTheme="majorBidi" w:hAnsiTheme="majorBidi" w:cstheme="majorBidi"/>
          <w:sz w:val="24"/>
          <w:szCs w:val="24"/>
        </w:rPr>
        <w:t xml:space="preserve"> Given that both communication strategies (CSR and non-CSR) appear to be advantageous for the companies, it would be insightful to understand which strategy would be more impactful on consumers’ brand attitudes and purchase intention.</w:t>
      </w:r>
      <w:r w:rsidR="00041ACA">
        <w:rPr>
          <w:rFonts w:asciiTheme="majorBidi" w:hAnsiTheme="majorBidi" w:cstheme="majorBidi"/>
          <w:sz w:val="24"/>
          <w:szCs w:val="24"/>
        </w:rPr>
        <w:t xml:space="preserve"> This is an important comparison to examine to determine the most effective communication strategy that will benefit the company and society. </w:t>
      </w:r>
    </w:p>
    <w:p w14:paraId="6A6208B4" w14:textId="77777777" w:rsidR="00F11AFB" w:rsidRDefault="00041ACA" w:rsidP="00F7283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Moreover, there is a limited number of publications that investigate the impact of CSR communication on brand likeability which identifies another important research gap. </w:t>
      </w:r>
    </w:p>
    <w:p w14:paraId="18454185" w14:textId="599830E0" w:rsidR="00DB42A5" w:rsidRPr="00DB42A5" w:rsidRDefault="00F11AFB" w:rsidP="00F728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This is an important gap to fill because b</w:t>
      </w:r>
      <w:r w:rsidRPr="00D04716">
        <w:rPr>
          <w:rFonts w:ascii="Times New Roman" w:hAnsi="Times New Roman" w:cs="Times New Roman"/>
          <w:sz w:val="24"/>
          <w:szCs w:val="24"/>
        </w:rPr>
        <w:t>rand likeability</w:t>
      </w:r>
      <w:r>
        <w:rPr>
          <w:rFonts w:ascii="Times New Roman" w:hAnsi="Times New Roman" w:cs="Times New Roman"/>
          <w:sz w:val="24"/>
          <w:szCs w:val="24"/>
        </w:rPr>
        <w:t xml:space="preserve"> </w:t>
      </w:r>
      <w:r w:rsidRPr="00D04716">
        <w:rPr>
          <w:rFonts w:ascii="Times New Roman" w:hAnsi="Times New Roman" w:cs="Times New Roman"/>
          <w:sz w:val="24"/>
          <w:szCs w:val="24"/>
        </w:rPr>
        <w:t>has an important impact on consumers</w:t>
      </w:r>
      <w:r>
        <w:rPr>
          <w:rFonts w:ascii="Times New Roman" w:hAnsi="Times New Roman" w:cs="Times New Roman"/>
          <w:sz w:val="24"/>
          <w:szCs w:val="24"/>
        </w:rPr>
        <w:t>’</w:t>
      </w:r>
      <w:r w:rsidRPr="00D04716">
        <w:rPr>
          <w:rFonts w:ascii="Times New Roman" w:hAnsi="Times New Roman" w:cs="Times New Roman"/>
          <w:sz w:val="24"/>
          <w:szCs w:val="24"/>
        </w:rPr>
        <w:t xml:space="preserve"> loyalty and </w:t>
      </w:r>
      <w:r>
        <w:rPr>
          <w:rFonts w:ascii="Times New Roman" w:hAnsi="Times New Roman" w:cs="Times New Roman"/>
          <w:sz w:val="24"/>
          <w:szCs w:val="24"/>
        </w:rPr>
        <w:t xml:space="preserve">their </w:t>
      </w:r>
      <w:r w:rsidRPr="00D04716">
        <w:rPr>
          <w:rFonts w:ascii="Times New Roman" w:hAnsi="Times New Roman" w:cs="Times New Roman"/>
          <w:sz w:val="24"/>
          <w:szCs w:val="24"/>
        </w:rPr>
        <w:t xml:space="preserve">willingness to accept any </w:t>
      </w:r>
      <w:r>
        <w:rPr>
          <w:rFonts w:ascii="Times New Roman" w:hAnsi="Times New Roman" w:cs="Times New Roman"/>
          <w:sz w:val="24"/>
          <w:szCs w:val="24"/>
        </w:rPr>
        <w:t>issues</w:t>
      </w:r>
      <w:r w:rsidRPr="00D04716">
        <w:rPr>
          <w:rFonts w:ascii="Times New Roman" w:hAnsi="Times New Roman" w:cs="Times New Roman"/>
          <w:sz w:val="24"/>
          <w:szCs w:val="24"/>
        </w:rPr>
        <w:t xml:space="preserve"> in the product</w:t>
      </w:r>
      <w:sdt>
        <w:sdtPr>
          <w:rPr>
            <w:rFonts w:ascii="Times New Roman" w:hAnsi="Times New Roman" w:cs="Times New Roman"/>
            <w:sz w:val="24"/>
            <w:szCs w:val="24"/>
          </w:rPr>
          <w:id w:val="306595040"/>
          <w:citation/>
        </w:sdtPr>
        <w:sdtContent>
          <w:r w:rsidRPr="00D04716">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Ohl21 \t  \l 2057 </w:instrText>
          </w:r>
          <w:r w:rsidRPr="00D04716">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2256A">
            <w:rPr>
              <w:rFonts w:ascii="Times New Roman" w:hAnsi="Times New Roman" w:cs="Times New Roman"/>
              <w:noProof/>
              <w:sz w:val="24"/>
              <w:szCs w:val="24"/>
            </w:rPr>
            <w:t>(Ohlwein &amp; Bruno, 2021)</w:t>
          </w:r>
          <w:r w:rsidRPr="00D04716">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Additionally, </w:t>
      </w:r>
      <w:bookmarkStart w:id="4" w:name="_Hlk157192892"/>
      <w:r>
        <w:rPr>
          <w:rFonts w:ascii="Times New Roman" w:hAnsi="Times New Roman" w:cs="Times New Roman"/>
          <w:sz w:val="24"/>
          <w:szCs w:val="24"/>
        </w:rPr>
        <w:t xml:space="preserve">well-published researchers </w:t>
      </w:r>
      <w:bookmarkEnd w:id="4"/>
      <w:r>
        <w:rPr>
          <w:rFonts w:ascii="Times New Roman" w:hAnsi="Times New Roman" w:cs="Times New Roman"/>
          <w:sz w:val="24"/>
          <w:szCs w:val="24"/>
        </w:rPr>
        <w:t>in marketing such as</w:t>
      </w:r>
      <w:r w:rsidR="00DB42A5">
        <w:rPr>
          <w:rFonts w:ascii="Times New Roman" w:hAnsi="Times New Roman" w:cs="Times New Roman"/>
          <w:sz w:val="24"/>
          <w:szCs w:val="24"/>
        </w:rPr>
        <w:t xml:space="preserve"> Nguyen, Melewar and Chen </w:t>
      </w:r>
      <w:sdt>
        <w:sdtPr>
          <w:rPr>
            <w:rFonts w:ascii="Times New Roman" w:hAnsi="Times New Roman" w:cs="Times New Roman"/>
            <w:sz w:val="24"/>
            <w:szCs w:val="24"/>
            <w:shd w:val="clear" w:color="auto" w:fill="FFFFFF"/>
          </w:rPr>
          <w:id w:val="1592585801"/>
          <w:citation/>
        </w:sdtPr>
        <w:sdtContent>
          <w:r w:rsidR="00DB42A5" w:rsidRPr="00E27067">
            <w:rPr>
              <w:rFonts w:ascii="Times New Roman" w:hAnsi="Times New Roman" w:cs="Times New Roman"/>
              <w:sz w:val="24"/>
              <w:szCs w:val="24"/>
              <w:shd w:val="clear" w:color="auto" w:fill="FFFFFF"/>
            </w:rPr>
            <w:fldChar w:fldCharType="begin"/>
          </w:r>
          <w:r w:rsidR="00DB42A5">
            <w:rPr>
              <w:rFonts w:ascii="Times New Roman" w:hAnsi="Times New Roman" w:cs="Times New Roman"/>
              <w:sz w:val="24"/>
              <w:szCs w:val="24"/>
              <w:shd w:val="clear" w:color="auto" w:fill="FFFFFF"/>
            </w:rPr>
            <w:instrText xml:space="preserve">CITATION Ngu13 \n  \t  \l 2057 </w:instrText>
          </w:r>
          <w:r w:rsidR="00DB42A5" w:rsidRPr="00E27067">
            <w:rPr>
              <w:rFonts w:ascii="Times New Roman" w:hAnsi="Times New Roman" w:cs="Times New Roman"/>
              <w:sz w:val="24"/>
              <w:szCs w:val="24"/>
              <w:shd w:val="clear" w:color="auto" w:fill="FFFFFF"/>
            </w:rPr>
            <w:fldChar w:fldCharType="separate"/>
          </w:r>
          <w:r w:rsidR="00DB42A5" w:rsidRPr="00DB42A5">
            <w:rPr>
              <w:rFonts w:ascii="Times New Roman" w:hAnsi="Times New Roman" w:cs="Times New Roman"/>
              <w:noProof/>
              <w:sz w:val="24"/>
              <w:szCs w:val="24"/>
              <w:shd w:val="clear" w:color="auto" w:fill="FFFFFF"/>
            </w:rPr>
            <w:t>(2013)</w:t>
          </w:r>
          <w:r w:rsidR="00DB42A5" w:rsidRPr="00E27067">
            <w:rPr>
              <w:rFonts w:ascii="Times New Roman" w:hAnsi="Times New Roman" w:cs="Times New Roman"/>
              <w:sz w:val="24"/>
              <w:szCs w:val="24"/>
              <w:shd w:val="clear" w:color="auto" w:fill="FFFFFF"/>
            </w:rPr>
            <w:fldChar w:fldCharType="end"/>
          </w:r>
        </w:sdtContent>
      </w:sdt>
      <w:r w:rsidR="00DB42A5">
        <w:rPr>
          <w:rFonts w:ascii="Times New Roman" w:hAnsi="Times New Roman" w:cs="Times New Roman"/>
          <w:sz w:val="24"/>
          <w:szCs w:val="24"/>
        </w:rPr>
        <w:t xml:space="preserve"> </w:t>
      </w:r>
      <w:r>
        <w:rPr>
          <w:rFonts w:ascii="Times New Roman" w:hAnsi="Times New Roman" w:cs="Times New Roman"/>
          <w:sz w:val="24"/>
          <w:szCs w:val="24"/>
        </w:rPr>
        <w:t xml:space="preserve">argued that brand likeability </w:t>
      </w:r>
      <w:r w:rsidR="00DB42A5">
        <w:rPr>
          <w:rFonts w:ascii="Times New Roman" w:hAnsi="Times New Roman" w:cs="Times New Roman"/>
          <w:sz w:val="24"/>
          <w:szCs w:val="24"/>
        </w:rPr>
        <w:t xml:space="preserve">is a main variable that provides indications to important brand-related aspects such as brand satisfaction and positive consumer-brand relationship. </w:t>
      </w:r>
    </w:p>
    <w:p w14:paraId="0810B5D6" w14:textId="1671ACD6" w:rsidR="00041ACA" w:rsidRDefault="00DB42A5" w:rsidP="00F72834">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Thirdly, w</w:t>
      </w:r>
      <w:r w:rsidR="00041ACA" w:rsidRPr="00C4527B">
        <w:rPr>
          <w:rFonts w:asciiTheme="majorBidi" w:hAnsiTheme="majorBidi" w:cstheme="majorBidi"/>
          <w:sz w:val="24"/>
          <w:szCs w:val="24"/>
        </w:rPr>
        <w:t>hen th</w:t>
      </w:r>
      <w:r>
        <w:rPr>
          <w:rFonts w:asciiTheme="majorBidi" w:hAnsiTheme="majorBidi" w:cstheme="majorBidi"/>
          <w:sz w:val="24"/>
          <w:szCs w:val="24"/>
        </w:rPr>
        <w:t xml:space="preserve">e concept of benefits of CSR communication </w:t>
      </w:r>
      <w:r w:rsidR="00041ACA" w:rsidRPr="00C4527B">
        <w:rPr>
          <w:rFonts w:asciiTheme="majorBidi" w:hAnsiTheme="majorBidi" w:cstheme="majorBidi"/>
          <w:sz w:val="24"/>
          <w:szCs w:val="24"/>
        </w:rPr>
        <w:t>is clubbed with the discussion on advantages of different media vehicles,</w:t>
      </w:r>
      <w:r w:rsidR="00041ACA">
        <w:rPr>
          <w:rFonts w:asciiTheme="majorBidi" w:hAnsiTheme="majorBidi" w:cstheme="majorBidi"/>
          <w:sz w:val="24"/>
          <w:szCs w:val="24"/>
        </w:rPr>
        <w:t xml:space="preserve"> a noticeable research gap emerge</w:t>
      </w:r>
      <w:r>
        <w:rPr>
          <w:rFonts w:asciiTheme="majorBidi" w:hAnsiTheme="majorBidi" w:cstheme="majorBidi"/>
          <w:sz w:val="24"/>
          <w:szCs w:val="24"/>
        </w:rPr>
        <w:t>d</w:t>
      </w:r>
      <w:r w:rsidR="00041ACA">
        <w:rPr>
          <w:rFonts w:asciiTheme="majorBidi" w:hAnsiTheme="majorBidi" w:cstheme="majorBidi"/>
          <w:sz w:val="24"/>
          <w:szCs w:val="24"/>
        </w:rPr>
        <w:t xml:space="preserve"> calling for an investigation on what has the most positive influence on consumers, the communication strategy or the media vehicle? </w:t>
      </w:r>
      <w:r>
        <w:rPr>
          <w:rFonts w:asciiTheme="majorBidi" w:hAnsiTheme="majorBidi" w:cstheme="majorBidi"/>
          <w:sz w:val="24"/>
          <w:szCs w:val="24"/>
        </w:rPr>
        <w:t xml:space="preserve"> While television is still known to be the most successful media platform for </w:t>
      </w:r>
      <w:r w:rsidR="00C73A9F">
        <w:rPr>
          <w:rFonts w:asciiTheme="majorBidi" w:hAnsiTheme="majorBidi" w:cstheme="majorBidi"/>
          <w:sz w:val="24"/>
          <w:szCs w:val="24"/>
        </w:rPr>
        <w:t>increasing</w:t>
      </w:r>
      <w:r>
        <w:rPr>
          <w:rFonts w:asciiTheme="majorBidi" w:hAnsiTheme="majorBidi" w:cstheme="majorBidi"/>
          <w:sz w:val="24"/>
          <w:szCs w:val="24"/>
        </w:rPr>
        <w:t xml:space="preserve"> brand awareness </w:t>
      </w:r>
      <w:sdt>
        <w:sdtPr>
          <w:rPr>
            <w:rFonts w:asciiTheme="majorBidi" w:hAnsiTheme="majorBidi" w:cstheme="majorBidi"/>
            <w:sz w:val="24"/>
            <w:szCs w:val="24"/>
          </w:rPr>
          <w:id w:val="-40290604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Bat16 \l 2057  \m Nie21</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(Batra &amp; Keller, 2016; Niederdeppe, et al.,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consumers might </w:t>
      </w:r>
      <w:r w:rsidR="00D27A3B">
        <w:rPr>
          <w:rFonts w:asciiTheme="majorBidi" w:hAnsiTheme="majorBidi" w:cstheme="majorBidi"/>
          <w:sz w:val="24"/>
          <w:szCs w:val="24"/>
        </w:rPr>
        <w:t xml:space="preserve">also </w:t>
      </w:r>
      <w:r w:rsidR="00C73A9F">
        <w:rPr>
          <w:rFonts w:asciiTheme="majorBidi" w:hAnsiTheme="majorBidi" w:cstheme="majorBidi"/>
          <w:sz w:val="24"/>
          <w:szCs w:val="24"/>
        </w:rPr>
        <w:t xml:space="preserve">develop an </w:t>
      </w:r>
      <w:r>
        <w:rPr>
          <w:rFonts w:asciiTheme="majorBidi" w:hAnsiTheme="majorBidi" w:cstheme="majorBidi"/>
          <w:sz w:val="24"/>
          <w:szCs w:val="24"/>
        </w:rPr>
        <w:t>emotional</w:t>
      </w:r>
      <w:r w:rsidR="00C73A9F">
        <w:rPr>
          <w:rFonts w:asciiTheme="majorBidi" w:hAnsiTheme="majorBidi" w:cstheme="majorBidi"/>
          <w:sz w:val="24"/>
          <w:szCs w:val="24"/>
        </w:rPr>
        <w:t xml:space="preserve"> bond with</w:t>
      </w:r>
      <w:r>
        <w:rPr>
          <w:rFonts w:asciiTheme="majorBidi" w:hAnsiTheme="majorBidi" w:cstheme="majorBidi"/>
          <w:sz w:val="24"/>
          <w:szCs w:val="24"/>
        </w:rPr>
        <w:t xml:space="preserve"> brands </w:t>
      </w:r>
      <w:r w:rsidR="00C73A9F">
        <w:rPr>
          <w:rFonts w:asciiTheme="majorBidi" w:hAnsiTheme="majorBidi" w:cstheme="majorBidi"/>
          <w:sz w:val="24"/>
          <w:szCs w:val="24"/>
        </w:rPr>
        <w:t xml:space="preserve">that are </w:t>
      </w:r>
      <w:r>
        <w:rPr>
          <w:rFonts w:asciiTheme="majorBidi" w:hAnsiTheme="majorBidi" w:cstheme="majorBidi"/>
          <w:sz w:val="24"/>
          <w:szCs w:val="24"/>
        </w:rPr>
        <w:t>advertised on social media</w:t>
      </w:r>
      <w:sdt>
        <w:sdtPr>
          <w:rPr>
            <w:rFonts w:asciiTheme="majorBidi" w:hAnsiTheme="majorBidi" w:cstheme="majorBidi"/>
            <w:sz w:val="24"/>
            <w:szCs w:val="24"/>
          </w:rPr>
          <w:id w:val="-28181337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Gha17 \l 2057  \m Teo16</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(Gharib, Philpott, &amp; Duan, 2017; Teo, 2016)</w:t>
          </w:r>
          <w:r>
            <w:rPr>
              <w:rFonts w:asciiTheme="majorBidi" w:hAnsiTheme="majorBidi" w:cstheme="majorBidi"/>
              <w:sz w:val="24"/>
              <w:szCs w:val="24"/>
            </w:rPr>
            <w:fldChar w:fldCharType="end"/>
          </w:r>
        </w:sdtContent>
      </w:sdt>
      <w:r w:rsidR="00C73A9F">
        <w:rPr>
          <w:rFonts w:asciiTheme="majorBidi" w:hAnsiTheme="majorBidi" w:cstheme="majorBidi"/>
          <w:sz w:val="24"/>
          <w:szCs w:val="24"/>
        </w:rPr>
        <w:t>. Thus, b</w:t>
      </w:r>
      <w:r w:rsidR="00041ACA" w:rsidRPr="006D659B">
        <w:rPr>
          <w:rFonts w:asciiTheme="majorBidi" w:hAnsiTheme="majorBidi" w:cstheme="majorBidi"/>
          <w:sz w:val="24"/>
          <w:szCs w:val="24"/>
        </w:rPr>
        <w:t xml:space="preserve">ased on the carried-out literature reviews in this research, there is </w:t>
      </w:r>
      <w:r w:rsidR="00041ACA" w:rsidRPr="00C4527B">
        <w:rPr>
          <w:rFonts w:asciiTheme="majorBidi" w:hAnsiTheme="majorBidi" w:cstheme="majorBidi"/>
          <w:sz w:val="24"/>
          <w:szCs w:val="24"/>
        </w:rPr>
        <w:t>a clear gap in literature in distinguishing between the impact of CSR communication and non-CSR communication on consumers through different media vehicles.</w:t>
      </w:r>
      <w:r w:rsidR="00041ACA" w:rsidRPr="006D659B">
        <w:rPr>
          <w:rFonts w:asciiTheme="majorBidi" w:hAnsiTheme="majorBidi" w:cstheme="majorBidi"/>
          <w:sz w:val="24"/>
          <w:szCs w:val="24"/>
        </w:rPr>
        <w:t xml:space="preserve"> </w:t>
      </w:r>
    </w:p>
    <w:p w14:paraId="0815CC69" w14:textId="1344F8E8" w:rsidR="006D57C1" w:rsidRDefault="00041ACA" w:rsidP="00F72834">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 </w:t>
      </w:r>
      <w:r w:rsidR="00DB42A5">
        <w:rPr>
          <w:rFonts w:asciiTheme="majorBidi" w:hAnsiTheme="majorBidi" w:cstheme="majorBidi"/>
          <w:sz w:val="24"/>
          <w:szCs w:val="24"/>
        </w:rPr>
        <w:t>Lastly</w:t>
      </w:r>
      <w:r>
        <w:rPr>
          <w:rFonts w:asciiTheme="majorBidi" w:hAnsiTheme="majorBidi" w:cstheme="majorBidi"/>
          <w:sz w:val="24"/>
          <w:szCs w:val="24"/>
        </w:rPr>
        <w:t>, the literature review revealed that there is a substantial gap in Middle Eastern literature examining the impact of CSR communication on FMCG consumers</w:t>
      </w:r>
      <w:r w:rsidRPr="00172CDC">
        <w:rPr>
          <w:rFonts w:asciiTheme="majorBidi" w:hAnsiTheme="majorBidi" w:cstheme="majorBidi"/>
          <w:sz w:val="24"/>
          <w:szCs w:val="24"/>
        </w:rPr>
        <w:t xml:space="preserve"> </w:t>
      </w:r>
      <w:sdt>
        <w:sdtPr>
          <w:rPr>
            <w:rFonts w:asciiTheme="majorBidi" w:hAnsiTheme="majorBidi" w:cstheme="majorBidi"/>
            <w:sz w:val="24"/>
            <w:szCs w:val="24"/>
          </w:rPr>
          <w:id w:val="-134547469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ElH21 \m Nur20 \l 2057 </w:instrText>
          </w:r>
          <w:r>
            <w:rPr>
              <w:rFonts w:asciiTheme="majorBidi" w:hAnsiTheme="majorBidi" w:cstheme="majorBidi"/>
              <w:sz w:val="24"/>
              <w:szCs w:val="24"/>
            </w:rPr>
            <w:fldChar w:fldCharType="separate"/>
          </w:r>
          <w:r w:rsidRPr="00172CDC">
            <w:rPr>
              <w:rFonts w:asciiTheme="majorBidi" w:hAnsiTheme="majorBidi" w:cstheme="majorBidi"/>
              <w:noProof/>
              <w:sz w:val="24"/>
              <w:szCs w:val="24"/>
            </w:rPr>
            <w:t>(El Haddad, Bachkirov, &amp; Grishina, 2021; Nurunnabi, Alfakhri, &amp; Alfakhri, 2020)</w:t>
          </w:r>
          <w:r>
            <w:rPr>
              <w:rFonts w:asciiTheme="majorBidi" w:hAnsiTheme="majorBidi" w:cstheme="majorBidi"/>
              <w:sz w:val="24"/>
              <w:szCs w:val="24"/>
            </w:rPr>
            <w:fldChar w:fldCharType="end"/>
          </w:r>
        </w:sdtContent>
      </w:sdt>
      <w:r>
        <w:rPr>
          <w:rFonts w:asciiTheme="majorBidi" w:hAnsiTheme="majorBidi" w:cstheme="majorBidi"/>
          <w:sz w:val="24"/>
          <w:szCs w:val="24"/>
        </w:rPr>
        <w:t>.</w:t>
      </w:r>
      <w:r w:rsidR="003848C6">
        <w:rPr>
          <w:rFonts w:asciiTheme="majorBidi" w:hAnsiTheme="majorBidi" w:cstheme="majorBidi"/>
          <w:sz w:val="24"/>
          <w:szCs w:val="24"/>
        </w:rPr>
        <w:t xml:space="preserve"> As mentioned above, </w:t>
      </w:r>
      <w:r w:rsidR="0069110A">
        <w:rPr>
          <w:rFonts w:asciiTheme="majorBidi" w:hAnsiTheme="majorBidi" w:cstheme="majorBidi"/>
          <w:sz w:val="24"/>
          <w:szCs w:val="24"/>
        </w:rPr>
        <w:t>w</w:t>
      </w:r>
      <w:r w:rsidR="0069110A" w:rsidRPr="00261E5D">
        <w:rPr>
          <w:rFonts w:ascii="Times New Roman" w:hAnsi="Times New Roman" w:cs="Times New Roman"/>
          <w:color w:val="1F1F1F"/>
          <w:sz w:val="24"/>
          <w:szCs w:val="24"/>
        </w:rPr>
        <w:t xml:space="preserve">hilst multitude of studies focused on various aspects of CSR communication in Western markets, their generalizability to markets of different sociocultural characteristics cannot be </w:t>
      </w:r>
      <w:r w:rsidR="0069110A" w:rsidRPr="00BE7F49">
        <w:rPr>
          <w:rFonts w:ascii="Times New Roman" w:hAnsi="Times New Roman" w:cs="Times New Roman"/>
          <w:color w:val="1F1F1F"/>
          <w:sz w:val="24"/>
          <w:szCs w:val="24"/>
        </w:rPr>
        <w:t>guaranteed (</w:t>
      </w:r>
      <w:r w:rsidR="0069110A" w:rsidRPr="00BE7F49">
        <w:rPr>
          <w:rFonts w:ascii="Times New Roman" w:hAnsi="Times New Roman" w:cs="Times New Roman"/>
          <w:sz w:val="24"/>
          <w:szCs w:val="24"/>
        </w:rPr>
        <w:t>Cheng, Dimoka, &amp; Pavlou, 2016</w:t>
      </w:r>
      <w:r w:rsidR="0069110A" w:rsidRPr="002B1B59">
        <w:rPr>
          <w:rFonts w:ascii="Times New Roman" w:hAnsi="Times New Roman" w:cs="Times New Roman"/>
          <w:sz w:val="24"/>
          <w:szCs w:val="24"/>
        </w:rPr>
        <w:t xml:space="preserve">; </w:t>
      </w:r>
      <w:r w:rsidR="0069110A" w:rsidRPr="002B1B59">
        <w:rPr>
          <w:rFonts w:ascii="Times New Roman" w:hAnsi="Times New Roman" w:cs="Times New Roman"/>
          <w:color w:val="222222"/>
          <w:sz w:val="24"/>
          <w:szCs w:val="24"/>
          <w:shd w:val="clear" w:color="auto" w:fill="FFFFFF"/>
        </w:rPr>
        <w:t xml:space="preserve">Bonett, </w:t>
      </w:r>
      <w:r w:rsidR="0069110A" w:rsidRPr="003171D5">
        <w:rPr>
          <w:rFonts w:ascii="Times New Roman" w:hAnsi="Times New Roman" w:cs="Times New Roman"/>
          <w:color w:val="222222"/>
          <w:sz w:val="24"/>
          <w:szCs w:val="24"/>
          <w:shd w:val="clear" w:color="auto" w:fill="FFFFFF"/>
        </w:rPr>
        <w:t>2012; Earp &amp; Trafimow, 2015</w:t>
      </w:r>
      <w:r w:rsidR="0069110A" w:rsidRPr="003171D5">
        <w:rPr>
          <w:rFonts w:ascii="Times New Roman" w:hAnsi="Times New Roman" w:cs="Times New Roman"/>
          <w:sz w:val="24"/>
          <w:szCs w:val="24"/>
        </w:rPr>
        <w:t>).</w:t>
      </w:r>
      <w:r w:rsidR="0069110A" w:rsidRPr="00261E5D">
        <w:rPr>
          <w:rFonts w:ascii="Times New Roman" w:hAnsi="Times New Roman" w:cs="Times New Roman"/>
          <w:color w:val="1F1F1F"/>
          <w:sz w:val="24"/>
          <w:szCs w:val="24"/>
        </w:rPr>
        <w:t xml:space="preserve"> Coupled with the evolving nature of the sociocultural and consumption environment, the need for differentiated replications is addressed in </w:t>
      </w:r>
      <w:r w:rsidR="0069110A" w:rsidRPr="006439B8">
        <w:rPr>
          <w:rFonts w:ascii="Times New Roman" w:hAnsi="Times New Roman" w:cs="Times New Roman"/>
          <w:color w:val="1F1F1F"/>
          <w:sz w:val="24"/>
          <w:szCs w:val="24"/>
        </w:rPr>
        <w:t>this study (</w:t>
      </w:r>
      <w:r w:rsidR="0069110A" w:rsidRPr="006439B8">
        <w:rPr>
          <w:rFonts w:ascii="Times New Roman" w:hAnsi="Times New Roman" w:cs="Times New Roman"/>
          <w:color w:val="222222"/>
          <w:sz w:val="24"/>
          <w:szCs w:val="24"/>
          <w:shd w:val="clear" w:color="auto" w:fill="FFFFFF"/>
        </w:rPr>
        <w:t>Uncles &amp; Kwok, 2013</w:t>
      </w:r>
      <w:r w:rsidR="0069110A">
        <w:rPr>
          <w:rFonts w:ascii="Times New Roman" w:hAnsi="Times New Roman" w:cs="Times New Roman"/>
          <w:color w:val="222222"/>
          <w:sz w:val="24"/>
          <w:szCs w:val="24"/>
          <w:shd w:val="clear" w:color="auto" w:fill="FFFFFF"/>
        </w:rPr>
        <w:t xml:space="preserve">; </w:t>
      </w:r>
      <w:r w:rsidR="0069110A" w:rsidRPr="009F27CF">
        <w:rPr>
          <w:rFonts w:ascii="Times New Roman" w:hAnsi="Times New Roman" w:cs="Times New Roman"/>
          <w:color w:val="222222"/>
          <w:sz w:val="24"/>
          <w:szCs w:val="24"/>
          <w:shd w:val="clear" w:color="auto" w:fill="FFFFFF"/>
        </w:rPr>
        <w:t>Evanschitzky &amp; Armstrong, 2013).</w:t>
      </w:r>
      <w:r w:rsidR="0069110A" w:rsidRPr="00261E5D">
        <w:rPr>
          <w:rFonts w:ascii="Times New Roman" w:hAnsi="Times New Roman" w:cs="Times New Roman"/>
          <w:color w:val="1F1F1F"/>
          <w:sz w:val="24"/>
          <w:szCs w:val="24"/>
        </w:rPr>
        <w:t xml:space="preserve"> </w:t>
      </w:r>
      <w:r w:rsidR="00C73A9F">
        <w:rPr>
          <w:rFonts w:asciiTheme="majorBidi" w:hAnsiTheme="majorBidi" w:cstheme="majorBidi"/>
          <w:sz w:val="24"/>
          <w:szCs w:val="24"/>
        </w:rPr>
        <w:t xml:space="preserve"> </w:t>
      </w:r>
      <w:r w:rsidR="003C6563">
        <w:rPr>
          <w:rFonts w:asciiTheme="majorBidi" w:hAnsiTheme="majorBidi" w:cstheme="majorBidi"/>
          <w:sz w:val="24"/>
          <w:szCs w:val="24"/>
        </w:rPr>
        <w:t xml:space="preserve">This gap is evidenced in </w:t>
      </w:r>
      <w:r w:rsidR="00C73A9F">
        <w:rPr>
          <w:rFonts w:asciiTheme="majorBidi" w:hAnsiTheme="majorBidi" w:cstheme="majorBidi"/>
          <w:sz w:val="24"/>
          <w:szCs w:val="24"/>
        </w:rPr>
        <w:t xml:space="preserve">Chapter three </w:t>
      </w:r>
      <w:r w:rsidR="003C6563">
        <w:rPr>
          <w:rFonts w:asciiTheme="majorBidi" w:hAnsiTheme="majorBidi" w:cstheme="majorBidi"/>
          <w:sz w:val="24"/>
          <w:szCs w:val="24"/>
        </w:rPr>
        <w:t xml:space="preserve">which includes a systematic review of </w:t>
      </w:r>
      <w:r w:rsidR="00C73A9F">
        <w:rPr>
          <w:rFonts w:asciiTheme="majorBidi" w:hAnsiTheme="majorBidi" w:cstheme="majorBidi"/>
          <w:sz w:val="24"/>
          <w:szCs w:val="24"/>
        </w:rPr>
        <w:t>of CSR studies in the Middle East; however, they are not focused on examining the positive impact of CSR communication on consumers.</w:t>
      </w:r>
      <w:r>
        <w:rPr>
          <w:rFonts w:asciiTheme="majorBidi" w:hAnsiTheme="majorBidi" w:cstheme="majorBidi"/>
          <w:sz w:val="24"/>
          <w:szCs w:val="24"/>
        </w:rPr>
        <w:t xml:space="preserve"> In comparison to global literature, there is </w:t>
      </w:r>
      <w:r w:rsidR="003C6563">
        <w:rPr>
          <w:rFonts w:asciiTheme="majorBidi" w:hAnsiTheme="majorBidi" w:cstheme="majorBidi"/>
          <w:sz w:val="24"/>
          <w:szCs w:val="24"/>
        </w:rPr>
        <w:t xml:space="preserve">limited </w:t>
      </w:r>
      <w:r w:rsidR="00C73A9F">
        <w:rPr>
          <w:rFonts w:asciiTheme="majorBidi" w:hAnsiTheme="majorBidi" w:cstheme="majorBidi"/>
          <w:sz w:val="24"/>
          <w:szCs w:val="24"/>
        </w:rPr>
        <w:t>research</w:t>
      </w:r>
      <w:r>
        <w:rPr>
          <w:rFonts w:asciiTheme="majorBidi" w:hAnsiTheme="majorBidi" w:cstheme="majorBidi"/>
          <w:sz w:val="24"/>
          <w:szCs w:val="24"/>
        </w:rPr>
        <w:t xml:space="preserve"> exploring different types of CSR communication, impact of CSR on consumers, or CSR communication for different types of products in the Middle East. </w:t>
      </w:r>
      <w:r w:rsidR="0023458B" w:rsidRPr="0023458B">
        <w:rPr>
          <w:rFonts w:asciiTheme="majorBidi" w:hAnsiTheme="majorBidi" w:cstheme="majorBidi"/>
          <w:sz w:val="24"/>
          <w:szCs w:val="24"/>
        </w:rPr>
        <w:t>Given the vastness of the Middle East and the diversity of its nations' cultures and societies, this study will concentrate on Egyptian society and its consumers</w:t>
      </w:r>
      <w:r w:rsidR="00DF79EF">
        <w:rPr>
          <w:rFonts w:asciiTheme="majorBidi" w:hAnsiTheme="majorBidi" w:cstheme="majorBidi"/>
          <w:sz w:val="24"/>
          <w:szCs w:val="24"/>
        </w:rPr>
        <w:t xml:space="preserve"> for several reasons</w:t>
      </w:r>
      <w:r w:rsidR="0023458B" w:rsidRPr="0023458B">
        <w:rPr>
          <w:rFonts w:asciiTheme="majorBidi" w:hAnsiTheme="majorBidi" w:cstheme="majorBidi"/>
          <w:sz w:val="24"/>
          <w:szCs w:val="24"/>
        </w:rPr>
        <w:t>.</w:t>
      </w:r>
      <w:r w:rsidR="0023458B">
        <w:rPr>
          <w:rFonts w:asciiTheme="majorBidi" w:hAnsiTheme="majorBidi" w:cstheme="majorBidi"/>
          <w:sz w:val="24"/>
          <w:szCs w:val="24"/>
        </w:rPr>
        <w:t xml:space="preserve"> </w:t>
      </w:r>
      <w:r w:rsidR="00DF79EF">
        <w:rPr>
          <w:rFonts w:asciiTheme="majorBidi" w:hAnsiTheme="majorBidi" w:cstheme="majorBidi"/>
          <w:sz w:val="24"/>
          <w:szCs w:val="24"/>
        </w:rPr>
        <w:t>Firstly, Egypt is the most densely populated Arab country that is known for its ethnic homogeneity (</w:t>
      </w:r>
      <w:bookmarkStart w:id="5" w:name="_Hlk158370371"/>
      <w:r w:rsidR="00DF79EF">
        <w:rPr>
          <w:rFonts w:asciiTheme="majorBidi" w:hAnsiTheme="majorBidi" w:cstheme="majorBidi"/>
          <w:sz w:val="24"/>
          <w:szCs w:val="24"/>
        </w:rPr>
        <w:t xml:space="preserve">Rehman, 2023; Unicef, 2017). </w:t>
      </w:r>
      <w:bookmarkEnd w:id="5"/>
      <w:r w:rsidR="00DF79EF">
        <w:rPr>
          <w:rFonts w:asciiTheme="majorBidi" w:hAnsiTheme="majorBidi" w:cstheme="majorBidi"/>
          <w:sz w:val="24"/>
          <w:szCs w:val="24"/>
        </w:rPr>
        <w:t xml:space="preserve">Secondly, </w:t>
      </w:r>
      <w:r w:rsidR="0023458B" w:rsidRPr="0023458B">
        <w:rPr>
          <w:rFonts w:asciiTheme="majorBidi" w:hAnsiTheme="majorBidi" w:cstheme="majorBidi"/>
          <w:sz w:val="24"/>
          <w:szCs w:val="24"/>
        </w:rPr>
        <w:t xml:space="preserve">Egypt is </w:t>
      </w:r>
      <w:r w:rsidR="0023458B">
        <w:rPr>
          <w:rFonts w:asciiTheme="majorBidi" w:hAnsiTheme="majorBidi" w:cstheme="majorBidi"/>
          <w:sz w:val="24"/>
          <w:szCs w:val="24"/>
        </w:rPr>
        <w:t>perceived</w:t>
      </w:r>
      <w:r w:rsidR="0023458B" w:rsidRPr="0023458B">
        <w:rPr>
          <w:rFonts w:asciiTheme="majorBidi" w:hAnsiTheme="majorBidi" w:cstheme="majorBidi"/>
          <w:sz w:val="24"/>
          <w:szCs w:val="24"/>
        </w:rPr>
        <w:t xml:space="preserve"> as having a strong potential for CSR because of the need to raise the general standard of life for the popula</w:t>
      </w:r>
      <w:r w:rsidR="0023458B">
        <w:rPr>
          <w:rFonts w:asciiTheme="majorBidi" w:hAnsiTheme="majorBidi" w:cstheme="majorBidi"/>
          <w:sz w:val="24"/>
          <w:szCs w:val="24"/>
        </w:rPr>
        <w:t xml:space="preserve">tion </w:t>
      </w:r>
      <w:sdt>
        <w:sdtPr>
          <w:rPr>
            <w:rFonts w:asciiTheme="majorBidi" w:hAnsiTheme="majorBidi" w:cstheme="majorBidi"/>
            <w:sz w:val="24"/>
            <w:szCs w:val="24"/>
          </w:rPr>
          <w:id w:val="1039633445"/>
          <w:citation/>
        </w:sdtPr>
        <w:sdtContent>
          <w:r w:rsidR="0023458B" w:rsidRPr="0023458B">
            <w:rPr>
              <w:rFonts w:asciiTheme="majorBidi" w:hAnsiTheme="majorBidi" w:cstheme="majorBidi"/>
              <w:sz w:val="24"/>
              <w:szCs w:val="24"/>
            </w:rPr>
            <w:fldChar w:fldCharType="begin"/>
          </w:r>
          <w:r w:rsidR="0023458B" w:rsidRPr="0023458B">
            <w:rPr>
              <w:rFonts w:asciiTheme="majorBidi" w:hAnsiTheme="majorBidi" w:cstheme="majorBidi"/>
              <w:sz w:val="24"/>
              <w:szCs w:val="24"/>
            </w:rPr>
            <w:instrText xml:space="preserve">CITATION Sal22 \m Placeholder1 \t  \l 2057 </w:instrText>
          </w:r>
          <w:r w:rsidR="0023458B" w:rsidRPr="0023458B">
            <w:rPr>
              <w:rFonts w:asciiTheme="majorBidi" w:hAnsiTheme="majorBidi" w:cstheme="majorBidi"/>
              <w:sz w:val="24"/>
              <w:szCs w:val="24"/>
            </w:rPr>
            <w:fldChar w:fldCharType="separate"/>
          </w:r>
          <w:r w:rsidR="0023458B" w:rsidRPr="0023458B">
            <w:rPr>
              <w:rFonts w:asciiTheme="majorBidi" w:hAnsiTheme="majorBidi" w:cstheme="majorBidi"/>
              <w:noProof/>
              <w:sz w:val="24"/>
              <w:szCs w:val="24"/>
            </w:rPr>
            <w:t>(Salama, 2009; Serrano, 2021)</w:t>
          </w:r>
          <w:r w:rsidR="0023458B" w:rsidRPr="0023458B">
            <w:rPr>
              <w:rFonts w:asciiTheme="majorBidi" w:hAnsiTheme="majorBidi" w:cstheme="majorBidi"/>
              <w:sz w:val="24"/>
              <w:szCs w:val="24"/>
            </w:rPr>
            <w:fldChar w:fldCharType="end"/>
          </w:r>
        </w:sdtContent>
      </w:sdt>
      <w:r w:rsidR="0023458B" w:rsidRPr="0023458B">
        <w:rPr>
          <w:rFonts w:asciiTheme="majorBidi" w:hAnsiTheme="majorBidi" w:cstheme="majorBidi"/>
          <w:sz w:val="24"/>
          <w:szCs w:val="24"/>
        </w:rPr>
        <w:t>.</w:t>
      </w:r>
      <w:r w:rsidR="0023458B">
        <w:rPr>
          <w:rFonts w:asciiTheme="majorBidi" w:hAnsiTheme="majorBidi" w:cstheme="majorBidi"/>
          <w:sz w:val="24"/>
          <w:szCs w:val="24"/>
        </w:rPr>
        <w:t xml:space="preserve"> </w:t>
      </w:r>
      <w:r w:rsidR="00DF79EF">
        <w:rPr>
          <w:rFonts w:asciiTheme="majorBidi" w:hAnsiTheme="majorBidi" w:cstheme="majorBidi"/>
          <w:sz w:val="24"/>
          <w:szCs w:val="24"/>
        </w:rPr>
        <w:t xml:space="preserve">Thirdly, </w:t>
      </w:r>
      <w:r w:rsidR="00DF79EF" w:rsidRPr="00DF79EF">
        <w:rPr>
          <w:rFonts w:asciiTheme="majorBidi" w:hAnsiTheme="majorBidi" w:cstheme="majorBidi"/>
          <w:sz w:val="24"/>
          <w:szCs w:val="24"/>
        </w:rPr>
        <w:t xml:space="preserve">Egypt is considered the most attractive country in Africa and in the Middle East for international investments </w:t>
      </w:r>
      <w:sdt>
        <w:sdtPr>
          <w:rPr>
            <w:rFonts w:asciiTheme="majorBidi" w:hAnsiTheme="majorBidi" w:cstheme="majorBidi"/>
            <w:sz w:val="24"/>
            <w:szCs w:val="24"/>
          </w:rPr>
          <w:id w:val="184255276"/>
          <w:citation/>
        </w:sdtPr>
        <w:sdtContent>
          <w:r w:rsidR="00DF79EF" w:rsidRPr="00DF79EF">
            <w:rPr>
              <w:rFonts w:asciiTheme="majorBidi" w:hAnsiTheme="majorBidi" w:cstheme="majorBidi"/>
              <w:sz w:val="24"/>
              <w:szCs w:val="24"/>
            </w:rPr>
            <w:fldChar w:fldCharType="begin"/>
          </w:r>
          <w:r w:rsidR="00DF79EF" w:rsidRPr="00DF79EF">
            <w:rPr>
              <w:rFonts w:asciiTheme="majorBidi" w:hAnsiTheme="majorBidi" w:cstheme="majorBidi"/>
              <w:sz w:val="24"/>
              <w:szCs w:val="24"/>
            </w:rPr>
            <w:instrText xml:space="preserve"> CITATION ElS22 \l 2057  \m Ony21</w:instrText>
          </w:r>
          <w:r w:rsidR="00DF79EF" w:rsidRPr="00DF79EF">
            <w:rPr>
              <w:rFonts w:asciiTheme="majorBidi" w:hAnsiTheme="majorBidi" w:cstheme="majorBidi"/>
              <w:sz w:val="24"/>
              <w:szCs w:val="24"/>
            </w:rPr>
            <w:fldChar w:fldCharType="separate"/>
          </w:r>
          <w:r w:rsidR="00DF79EF" w:rsidRPr="00DF79EF">
            <w:rPr>
              <w:rFonts w:asciiTheme="majorBidi" w:hAnsiTheme="majorBidi" w:cstheme="majorBidi"/>
              <w:noProof/>
              <w:sz w:val="24"/>
              <w:szCs w:val="24"/>
            </w:rPr>
            <w:t>(El-Shabrawy, 2022; Onyango, 2021)</w:t>
          </w:r>
          <w:r w:rsidR="00DF79EF" w:rsidRPr="00DF79EF">
            <w:rPr>
              <w:rFonts w:asciiTheme="majorBidi" w:hAnsiTheme="majorBidi" w:cstheme="majorBidi"/>
              <w:sz w:val="24"/>
              <w:szCs w:val="24"/>
            </w:rPr>
            <w:fldChar w:fldCharType="end"/>
          </w:r>
        </w:sdtContent>
      </w:sdt>
      <w:r w:rsidR="00DF79EF" w:rsidRPr="00DF79EF">
        <w:rPr>
          <w:rFonts w:asciiTheme="majorBidi" w:hAnsiTheme="majorBidi" w:cstheme="majorBidi"/>
          <w:sz w:val="24"/>
          <w:szCs w:val="24"/>
        </w:rPr>
        <w:t xml:space="preserve">. </w:t>
      </w:r>
      <w:r w:rsidRPr="0023458B">
        <w:rPr>
          <w:rFonts w:asciiTheme="majorBidi" w:hAnsiTheme="majorBidi" w:cstheme="majorBidi"/>
          <w:sz w:val="24"/>
          <w:szCs w:val="24"/>
        </w:rPr>
        <w:t>The</w:t>
      </w:r>
      <w:r>
        <w:rPr>
          <w:rFonts w:asciiTheme="majorBidi" w:hAnsiTheme="majorBidi" w:cstheme="majorBidi"/>
          <w:sz w:val="24"/>
          <w:szCs w:val="24"/>
        </w:rPr>
        <w:t xml:space="preserve"> subsequent section </w:t>
      </w:r>
      <w:r w:rsidR="0023458B">
        <w:rPr>
          <w:rFonts w:asciiTheme="majorBidi" w:hAnsiTheme="majorBidi" w:cstheme="majorBidi"/>
          <w:sz w:val="24"/>
          <w:szCs w:val="24"/>
        </w:rPr>
        <w:t>outlines the main research aims and objectives that were identified</w:t>
      </w:r>
      <w:r>
        <w:rPr>
          <w:rFonts w:asciiTheme="majorBidi" w:hAnsiTheme="majorBidi" w:cstheme="majorBidi"/>
          <w:sz w:val="24"/>
          <w:szCs w:val="24"/>
        </w:rPr>
        <w:t xml:space="preserve"> </w:t>
      </w:r>
      <w:r w:rsidR="0023458B">
        <w:rPr>
          <w:rFonts w:asciiTheme="majorBidi" w:hAnsiTheme="majorBidi" w:cstheme="majorBidi"/>
          <w:sz w:val="24"/>
          <w:szCs w:val="24"/>
        </w:rPr>
        <w:t xml:space="preserve">with the purpose of </w:t>
      </w:r>
      <w:r>
        <w:rPr>
          <w:rFonts w:asciiTheme="majorBidi" w:hAnsiTheme="majorBidi" w:cstheme="majorBidi"/>
          <w:sz w:val="24"/>
          <w:szCs w:val="24"/>
        </w:rPr>
        <w:t>bridging these identified research gaps.</w:t>
      </w:r>
    </w:p>
    <w:p w14:paraId="580D9A78" w14:textId="77777777" w:rsidR="006D57C1" w:rsidRDefault="006D57C1">
      <w:pPr>
        <w:rPr>
          <w:rFonts w:asciiTheme="majorBidi" w:hAnsiTheme="majorBidi" w:cstheme="majorBidi"/>
          <w:sz w:val="24"/>
          <w:szCs w:val="24"/>
        </w:rPr>
      </w:pPr>
      <w:r>
        <w:rPr>
          <w:rFonts w:asciiTheme="majorBidi" w:hAnsiTheme="majorBidi" w:cstheme="majorBidi"/>
          <w:sz w:val="24"/>
          <w:szCs w:val="24"/>
        </w:rPr>
        <w:br w:type="page"/>
      </w:r>
    </w:p>
    <w:p w14:paraId="1ADFB58F" w14:textId="77777777" w:rsidR="00041ACA" w:rsidRPr="000D5EC9" w:rsidRDefault="00041ACA" w:rsidP="00F72834">
      <w:pPr>
        <w:spacing w:after="0" w:line="480" w:lineRule="auto"/>
        <w:jc w:val="both"/>
        <w:rPr>
          <w:rFonts w:asciiTheme="majorBidi" w:hAnsiTheme="majorBidi" w:cstheme="majorBidi"/>
          <w:sz w:val="24"/>
          <w:szCs w:val="24"/>
        </w:rPr>
      </w:pPr>
    </w:p>
    <w:p w14:paraId="602C3AD8" w14:textId="52EF800C" w:rsidR="00875E41" w:rsidRPr="00AC44E9" w:rsidRDefault="003E582C">
      <w:pPr>
        <w:pStyle w:val="ListParagraph"/>
        <w:numPr>
          <w:ilvl w:val="1"/>
          <w:numId w:val="22"/>
        </w:numPr>
        <w:spacing w:after="0" w:line="480" w:lineRule="auto"/>
        <w:ind w:left="357" w:hanging="357"/>
        <w:rPr>
          <w:rFonts w:asciiTheme="majorBidi" w:hAnsiTheme="majorBidi" w:cstheme="majorBidi"/>
          <w:b/>
          <w:bCs/>
          <w:sz w:val="24"/>
          <w:szCs w:val="24"/>
        </w:rPr>
      </w:pPr>
      <w:r w:rsidRPr="00875E41">
        <w:rPr>
          <w:rFonts w:asciiTheme="majorBidi" w:hAnsiTheme="majorBidi" w:cstheme="majorBidi"/>
          <w:b/>
          <w:bCs/>
          <w:sz w:val="24"/>
          <w:szCs w:val="24"/>
        </w:rPr>
        <w:t>Research aim</w:t>
      </w:r>
      <w:r w:rsidR="00B00154">
        <w:rPr>
          <w:rFonts w:asciiTheme="majorBidi" w:hAnsiTheme="majorBidi" w:cstheme="majorBidi"/>
          <w:b/>
          <w:bCs/>
          <w:sz w:val="24"/>
          <w:szCs w:val="24"/>
        </w:rPr>
        <w:t>s</w:t>
      </w:r>
      <w:r w:rsidRPr="00875E41">
        <w:rPr>
          <w:rFonts w:asciiTheme="majorBidi" w:hAnsiTheme="majorBidi" w:cstheme="majorBidi"/>
          <w:b/>
          <w:bCs/>
          <w:sz w:val="24"/>
          <w:szCs w:val="24"/>
        </w:rPr>
        <w:t xml:space="preserve"> and objectives </w:t>
      </w:r>
    </w:p>
    <w:p w14:paraId="79160C2A" w14:textId="30840AD8" w:rsidR="00324445" w:rsidRDefault="00875E41" w:rsidP="00F72834">
      <w:pPr>
        <w:shd w:val="clear" w:color="auto" w:fill="FFFFFF"/>
        <w:spacing w:after="0" w:line="480" w:lineRule="auto"/>
        <w:ind w:firstLine="360"/>
        <w:jc w:val="both"/>
        <w:rPr>
          <w:rFonts w:asciiTheme="majorBidi" w:hAnsiTheme="majorBidi" w:cstheme="majorBidi"/>
          <w:sz w:val="24"/>
          <w:szCs w:val="24"/>
        </w:rPr>
      </w:pPr>
      <w:r w:rsidRPr="007927BF">
        <w:rPr>
          <w:rFonts w:asciiTheme="majorBidi" w:hAnsiTheme="majorBidi" w:cstheme="majorBidi"/>
          <w:sz w:val="24"/>
          <w:szCs w:val="24"/>
        </w:rPr>
        <w:t>A</w:t>
      </w:r>
      <w:r w:rsidR="007927BF" w:rsidRPr="007927BF">
        <w:rPr>
          <w:rFonts w:asciiTheme="majorBidi" w:hAnsiTheme="majorBidi" w:cstheme="majorBidi"/>
          <w:sz w:val="24"/>
          <w:szCs w:val="24"/>
        </w:rPr>
        <w:t>s discussed above</w:t>
      </w:r>
      <w:r w:rsidRPr="007927BF">
        <w:rPr>
          <w:rFonts w:asciiTheme="majorBidi" w:hAnsiTheme="majorBidi" w:cstheme="majorBidi"/>
          <w:sz w:val="24"/>
          <w:szCs w:val="24"/>
        </w:rPr>
        <w:t xml:space="preserve">, in reference </w:t>
      </w:r>
      <w:r w:rsidR="00AF3AB2" w:rsidRPr="007927BF">
        <w:rPr>
          <w:rFonts w:asciiTheme="majorBidi" w:hAnsiTheme="majorBidi" w:cstheme="majorBidi"/>
          <w:sz w:val="24"/>
          <w:szCs w:val="24"/>
        </w:rPr>
        <w:t>to recent changes in consumer behaviour, it is evident in literature that consumers favour certain communication messages and channels over others</w:t>
      </w:r>
      <w:sdt>
        <w:sdtPr>
          <w:rPr>
            <w:rFonts w:asciiTheme="majorBidi" w:hAnsiTheme="majorBidi" w:cstheme="majorBidi"/>
            <w:sz w:val="24"/>
            <w:szCs w:val="24"/>
          </w:rPr>
          <w:id w:val="-1263147293"/>
          <w:citation/>
        </w:sdtPr>
        <w:sdtContent>
          <w:r w:rsidR="00AC44E9" w:rsidRPr="007927BF">
            <w:rPr>
              <w:rFonts w:asciiTheme="majorBidi" w:hAnsiTheme="majorBidi" w:cstheme="majorBidi"/>
              <w:sz w:val="24"/>
              <w:szCs w:val="24"/>
            </w:rPr>
            <w:fldChar w:fldCharType="begin"/>
          </w:r>
          <w:r w:rsidR="00AC44E9" w:rsidRPr="007927BF">
            <w:rPr>
              <w:rFonts w:asciiTheme="majorBidi" w:hAnsiTheme="majorBidi" w:cstheme="majorBidi"/>
              <w:sz w:val="24"/>
              <w:szCs w:val="24"/>
            </w:rPr>
            <w:instrText xml:space="preserve"> CITATION Sch192 \l 2057 </w:instrText>
          </w:r>
          <w:r w:rsidR="00AC44E9" w:rsidRPr="007927BF">
            <w:rPr>
              <w:rFonts w:asciiTheme="majorBidi" w:hAnsiTheme="majorBidi" w:cstheme="majorBidi"/>
              <w:sz w:val="24"/>
              <w:szCs w:val="24"/>
            </w:rPr>
            <w:fldChar w:fldCharType="separate"/>
          </w:r>
          <w:r w:rsidR="00AC44E9" w:rsidRPr="007927BF">
            <w:rPr>
              <w:rFonts w:asciiTheme="majorBidi" w:hAnsiTheme="majorBidi" w:cstheme="majorBidi"/>
              <w:sz w:val="24"/>
              <w:szCs w:val="24"/>
            </w:rPr>
            <w:t xml:space="preserve"> (Schreiner, Rese, &amp; Baier, 2019)</w:t>
          </w:r>
          <w:r w:rsidR="00AC44E9" w:rsidRPr="007927BF">
            <w:rPr>
              <w:rFonts w:asciiTheme="majorBidi" w:hAnsiTheme="majorBidi" w:cstheme="majorBidi"/>
              <w:sz w:val="24"/>
              <w:szCs w:val="24"/>
            </w:rPr>
            <w:fldChar w:fldCharType="end"/>
          </w:r>
        </w:sdtContent>
      </w:sdt>
      <w:r w:rsidR="00AF3AB2" w:rsidRPr="007927BF">
        <w:rPr>
          <w:rFonts w:asciiTheme="majorBidi" w:hAnsiTheme="majorBidi" w:cstheme="majorBidi"/>
          <w:sz w:val="24"/>
          <w:szCs w:val="24"/>
        </w:rPr>
        <w:t>.</w:t>
      </w:r>
      <w:r w:rsidR="00AF3AB2" w:rsidRPr="00AC44E9">
        <w:rPr>
          <w:rFonts w:asciiTheme="majorBidi" w:hAnsiTheme="majorBidi" w:cstheme="majorBidi"/>
          <w:sz w:val="24"/>
          <w:szCs w:val="24"/>
        </w:rPr>
        <w:t xml:space="preserve"> This raised the </w:t>
      </w:r>
      <w:bookmarkStart w:id="6" w:name="_Hlk142232499"/>
      <w:r w:rsidR="00AF3AB2" w:rsidRPr="00AC44E9">
        <w:rPr>
          <w:rFonts w:asciiTheme="majorBidi" w:hAnsiTheme="majorBidi" w:cstheme="majorBidi"/>
          <w:sz w:val="24"/>
          <w:szCs w:val="24"/>
        </w:rPr>
        <w:t>question of which communication</w:t>
      </w:r>
      <w:r w:rsidR="006258CB">
        <w:rPr>
          <w:rFonts w:asciiTheme="majorBidi" w:hAnsiTheme="majorBidi" w:cstheme="majorBidi"/>
          <w:sz w:val="24"/>
          <w:szCs w:val="24"/>
        </w:rPr>
        <w:t xml:space="preserve"> strategy</w:t>
      </w:r>
      <w:r w:rsidR="00AF3AB2" w:rsidRPr="00AC44E9">
        <w:rPr>
          <w:rFonts w:asciiTheme="majorBidi" w:hAnsiTheme="majorBidi" w:cstheme="majorBidi"/>
          <w:sz w:val="24"/>
          <w:szCs w:val="24"/>
        </w:rPr>
        <w:t xml:space="preserve"> </w:t>
      </w:r>
      <w:r w:rsidR="006258CB">
        <w:rPr>
          <w:rFonts w:asciiTheme="majorBidi" w:hAnsiTheme="majorBidi" w:cstheme="majorBidi"/>
          <w:sz w:val="24"/>
          <w:szCs w:val="24"/>
        </w:rPr>
        <w:t>and</w:t>
      </w:r>
      <w:r w:rsidR="006258CB" w:rsidRPr="00AC44E9">
        <w:rPr>
          <w:rFonts w:asciiTheme="majorBidi" w:hAnsiTheme="majorBidi" w:cstheme="majorBidi"/>
          <w:sz w:val="24"/>
          <w:szCs w:val="24"/>
        </w:rPr>
        <w:t xml:space="preserve"> </w:t>
      </w:r>
      <w:r w:rsidR="00AF3AB2" w:rsidRPr="00AC44E9">
        <w:rPr>
          <w:rFonts w:asciiTheme="majorBidi" w:hAnsiTheme="majorBidi" w:cstheme="majorBidi"/>
          <w:sz w:val="24"/>
          <w:szCs w:val="24"/>
        </w:rPr>
        <w:t xml:space="preserve">media </w:t>
      </w:r>
      <w:r w:rsidR="006258CB">
        <w:rPr>
          <w:rFonts w:asciiTheme="majorBidi" w:hAnsiTheme="majorBidi" w:cstheme="majorBidi"/>
          <w:sz w:val="24"/>
          <w:szCs w:val="24"/>
        </w:rPr>
        <w:t>vehicle</w:t>
      </w:r>
      <w:r w:rsidR="006258CB" w:rsidRPr="00AC44E9">
        <w:rPr>
          <w:rFonts w:asciiTheme="majorBidi" w:hAnsiTheme="majorBidi" w:cstheme="majorBidi"/>
          <w:sz w:val="24"/>
          <w:szCs w:val="24"/>
        </w:rPr>
        <w:t xml:space="preserve"> </w:t>
      </w:r>
      <w:r w:rsidR="00AF3AB2" w:rsidRPr="00AC44E9">
        <w:rPr>
          <w:rFonts w:asciiTheme="majorBidi" w:hAnsiTheme="majorBidi" w:cstheme="majorBidi"/>
          <w:sz w:val="24"/>
          <w:szCs w:val="24"/>
        </w:rPr>
        <w:t>has the greatest influence on consumer behavioural intention</w:t>
      </w:r>
      <w:r w:rsidR="00AC44E9" w:rsidRPr="00AC44E9">
        <w:rPr>
          <w:rFonts w:asciiTheme="majorBidi" w:hAnsiTheme="majorBidi" w:cstheme="majorBidi"/>
          <w:sz w:val="24"/>
          <w:szCs w:val="24"/>
        </w:rPr>
        <w:t xml:space="preserve"> in Egypt</w:t>
      </w:r>
      <w:r w:rsidR="00D92E2F">
        <w:rPr>
          <w:rFonts w:asciiTheme="majorBidi" w:hAnsiTheme="majorBidi" w:cstheme="majorBidi"/>
          <w:sz w:val="24"/>
          <w:szCs w:val="24"/>
        </w:rPr>
        <w:t>.</w:t>
      </w:r>
      <w:r w:rsidR="00AF3AB2" w:rsidRPr="00AC44E9">
        <w:rPr>
          <w:rFonts w:asciiTheme="majorBidi" w:hAnsiTheme="majorBidi" w:cstheme="majorBidi"/>
          <w:sz w:val="24"/>
          <w:szCs w:val="24"/>
        </w:rPr>
        <w:t xml:space="preserve"> </w:t>
      </w:r>
      <w:bookmarkEnd w:id="6"/>
      <w:r w:rsidR="00AF3AB2" w:rsidRPr="00AC44E9">
        <w:rPr>
          <w:rFonts w:asciiTheme="majorBidi" w:hAnsiTheme="majorBidi" w:cstheme="majorBidi"/>
          <w:sz w:val="24"/>
          <w:szCs w:val="24"/>
        </w:rPr>
        <w:t xml:space="preserve">Accordingly, this </w:t>
      </w:r>
      <w:r w:rsidR="00AC44E9" w:rsidRPr="00AC44E9">
        <w:rPr>
          <w:rFonts w:asciiTheme="majorBidi" w:hAnsiTheme="majorBidi" w:cstheme="majorBidi"/>
          <w:sz w:val="24"/>
          <w:szCs w:val="24"/>
        </w:rPr>
        <w:t>study</w:t>
      </w:r>
      <w:r w:rsidR="00AF3AB2" w:rsidRPr="00AC44E9">
        <w:rPr>
          <w:rFonts w:asciiTheme="majorBidi" w:hAnsiTheme="majorBidi" w:cstheme="majorBidi"/>
          <w:sz w:val="24"/>
          <w:szCs w:val="24"/>
        </w:rPr>
        <w:t xml:space="preserve"> aims to critically explore</w:t>
      </w:r>
      <w:r w:rsidR="007927BF">
        <w:rPr>
          <w:rFonts w:asciiTheme="majorBidi" w:hAnsiTheme="majorBidi" w:cstheme="majorBidi"/>
          <w:sz w:val="24"/>
          <w:szCs w:val="24"/>
        </w:rPr>
        <w:t xml:space="preserve"> CSR</w:t>
      </w:r>
      <w:r w:rsidR="00AF3AB2" w:rsidRPr="00AC44E9">
        <w:rPr>
          <w:rFonts w:asciiTheme="majorBidi" w:hAnsiTheme="majorBidi" w:cstheme="majorBidi"/>
          <w:sz w:val="24"/>
          <w:szCs w:val="24"/>
        </w:rPr>
        <w:t xml:space="preserve"> as a communication strategy on different media platforms in Egypt.</w:t>
      </w:r>
      <w:r w:rsidR="00AC44E9" w:rsidRPr="00AC44E9">
        <w:rPr>
          <w:rFonts w:asciiTheme="majorBidi" w:hAnsiTheme="majorBidi" w:cstheme="majorBidi"/>
          <w:sz w:val="24"/>
          <w:szCs w:val="24"/>
        </w:rPr>
        <w:t xml:space="preserve"> </w:t>
      </w:r>
      <w:r w:rsidR="00AC44E9" w:rsidRPr="00B36C72">
        <w:rPr>
          <w:rFonts w:asciiTheme="majorBidi" w:hAnsiTheme="majorBidi" w:cstheme="majorBidi"/>
          <w:sz w:val="24"/>
          <w:szCs w:val="24"/>
        </w:rPr>
        <w:t>The core objective of this thesis is to investigate if CSR communication will have a</w:t>
      </w:r>
      <w:r w:rsidR="00B36C72" w:rsidRPr="00B36C72">
        <w:rPr>
          <w:rFonts w:asciiTheme="majorBidi" w:hAnsiTheme="majorBidi" w:cstheme="majorBidi"/>
          <w:sz w:val="24"/>
          <w:szCs w:val="24"/>
        </w:rPr>
        <w:t xml:space="preserve">n </w:t>
      </w:r>
      <w:r w:rsidR="00AC44E9" w:rsidRPr="00B36C72">
        <w:rPr>
          <w:rFonts w:asciiTheme="majorBidi" w:hAnsiTheme="majorBidi" w:cstheme="majorBidi"/>
          <w:sz w:val="24"/>
          <w:szCs w:val="24"/>
        </w:rPr>
        <w:t>impact on consumers’ attitudes towards brand</w:t>
      </w:r>
      <w:r w:rsidR="00B36C72" w:rsidRPr="00B36C72">
        <w:rPr>
          <w:rFonts w:asciiTheme="majorBidi" w:hAnsiTheme="majorBidi" w:cstheme="majorBidi"/>
          <w:sz w:val="24"/>
          <w:szCs w:val="24"/>
        </w:rPr>
        <w:t xml:space="preserve">s </w:t>
      </w:r>
      <w:r w:rsidR="009148B0" w:rsidRPr="00B36C72">
        <w:rPr>
          <w:rFonts w:asciiTheme="majorBidi" w:hAnsiTheme="majorBidi" w:cstheme="majorBidi"/>
          <w:sz w:val="24"/>
          <w:szCs w:val="24"/>
        </w:rPr>
        <w:t>in Egypt</w:t>
      </w:r>
      <w:r w:rsidR="00AC44E9" w:rsidRPr="00B36C72">
        <w:rPr>
          <w:rFonts w:asciiTheme="majorBidi" w:hAnsiTheme="majorBidi" w:cstheme="majorBidi"/>
          <w:sz w:val="24"/>
          <w:szCs w:val="24"/>
        </w:rPr>
        <w:t>.</w:t>
      </w:r>
      <w:r w:rsidR="00AF3AB2" w:rsidRPr="00B36C72">
        <w:rPr>
          <w:rFonts w:asciiTheme="majorBidi" w:hAnsiTheme="majorBidi" w:cstheme="majorBidi"/>
          <w:sz w:val="24"/>
          <w:szCs w:val="24"/>
        </w:rPr>
        <w:t xml:space="preserve"> </w:t>
      </w:r>
      <w:r w:rsidR="00AF3AB2" w:rsidRPr="00AC44E9">
        <w:rPr>
          <w:rFonts w:asciiTheme="majorBidi" w:hAnsiTheme="majorBidi" w:cstheme="majorBidi"/>
          <w:sz w:val="24"/>
          <w:szCs w:val="24"/>
        </w:rPr>
        <w:t>Drawing on the</w:t>
      </w:r>
      <w:r w:rsidR="00AC44E9" w:rsidRPr="00AC44E9">
        <w:rPr>
          <w:rFonts w:asciiTheme="majorBidi" w:hAnsiTheme="majorBidi" w:cstheme="majorBidi"/>
          <w:sz w:val="24"/>
          <w:szCs w:val="24"/>
        </w:rPr>
        <w:t xml:space="preserve"> Stimuli-Organism-Response,</w:t>
      </w:r>
      <w:r w:rsidR="00AF3AB2" w:rsidRPr="00AC44E9">
        <w:rPr>
          <w:rFonts w:asciiTheme="majorBidi" w:hAnsiTheme="majorBidi" w:cstheme="majorBidi"/>
          <w:sz w:val="24"/>
          <w:szCs w:val="24"/>
        </w:rPr>
        <w:t xml:space="preserve"> Theory of Reasoned Acti</w:t>
      </w:r>
      <w:r w:rsidR="00B36C72">
        <w:rPr>
          <w:rFonts w:asciiTheme="majorBidi" w:hAnsiTheme="majorBidi" w:cstheme="majorBidi"/>
          <w:sz w:val="24"/>
          <w:szCs w:val="24"/>
        </w:rPr>
        <w:t>on</w:t>
      </w:r>
      <w:r w:rsidR="00AF3AB2" w:rsidRPr="00AC44E9">
        <w:rPr>
          <w:rFonts w:asciiTheme="majorBidi" w:hAnsiTheme="majorBidi" w:cstheme="majorBidi"/>
          <w:sz w:val="24"/>
          <w:szCs w:val="24"/>
        </w:rPr>
        <w:t xml:space="preserve">, </w:t>
      </w:r>
      <w:r w:rsidR="009473F3">
        <w:rPr>
          <w:rFonts w:asciiTheme="majorBidi" w:hAnsiTheme="majorBidi" w:cstheme="majorBidi"/>
          <w:sz w:val="24"/>
          <w:szCs w:val="24"/>
        </w:rPr>
        <w:t>value congruence</w:t>
      </w:r>
      <w:r w:rsidR="00AF3AB2" w:rsidRPr="00AC44E9">
        <w:rPr>
          <w:rFonts w:asciiTheme="majorBidi" w:hAnsiTheme="majorBidi" w:cstheme="majorBidi"/>
          <w:sz w:val="24"/>
          <w:szCs w:val="24"/>
        </w:rPr>
        <w:t xml:space="preserve">, and </w:t>
      </w:r>
      <w:r w:rsidR="00AC44E9" w:rsidRPr="00AC44E9">
        <w:rPr>
          <w:rFonts w:asciiTheme="majorBidi" w:hAnsiTheme="majorBidi" w:cstheme="majorBidi"/>
          <w:sz w:val="24"/>
          <w:szCs w:val="24"/>
        </w:rPr>
        <w:t>halo effect</w:t>
      </w:r>
      <w:r w:rsidR="00AF3AB2" w:rsidRPr="00AC44E9">
        <w:rPr>
          <w:rFonts w:asciiTheme="majorBidi" w:hAnsiTheme="majorBidi" w:cstheme="majorBidi"/>
          <w:sz w:val="24"/>
          <w:szCs w:val="24"/>
        </w:rPr>
        <w:t xml:space="preserve">, this </w:t>
      </w:r>
      <w:r w:rsidR="00AC44E9" w:rsidRPr="00AC44E9">
        <w:rPr>
          <w:rFonts w:asciiTheme="majorBidi" w:hAnsiTheme="majorBidi" w:cstheme="majorBidi"/>
          <w:sz w:val="24"/>
          <w:szCs w:val="24"/>
        </w:rPr>
        <w:t>research</w:t>
      </w:r>
      <w:r w:rsidR="00AF3AB2" w:rsidRPr="00AC44E9">
        <w:rPr>
          <w:rFonts w:asciiTheme="majorBidi" w:hAnsiTheme="majorBidi" w:cstheme="majorBidi"/>
          <w:sz w:val="24"/>
          <w:szCs w:val="24"/>
        </w:rPr>
        <w:t xml:space="preserve"> compares the </w:t>
      </w:r>
      <w:r w:rsidR="00AF3AB2" w:rsidRPr="0066050E">
        <w:rPr>
          <w:rFonts w:asciiTheme="majorBidi" w:hAnsiTheme="majorBidi" w:cstheme="majorBidi"/>
          <w:sz w:val="24"/>
          <w:szCs w:val="24"/>
        </w:rPr>
        <w:t>effectiveness of CSR and non-CSR communication on social media and television in Egypt focusing on fast-moving consumer goods (FMCGs)</w:t>
      </w:r>
      <w:r w:rsidR="00AC44E9">
        <w:rPr>
          <w:rFonts w:asciiTheme="majorBidi" w:hAnsiTheme="majorBidi" w:cstheme="majorBidi"/>
          <w:sz w:val="24"/>
          <w:szCs w:val="24"/>
        </w:rPr>
        <w:t>.</w:t>
      </w:r>
      <w:r w:rsidR="00AF3AB2" w:rsidRPr="0066050E">
        <w:rPr>
          <w:rFonts w:asciiTheme="majorBidi" w:hAnsiTheme="majorBidi" w:cstheme="majorBidi"/>
          <w:sz w:val="24"/>
          <w:szCs w:val="24"/>
        </w:rPr>
        <w:t xml:space="preserve"> </w:t>
      </w:r>
      <w:r w:rsidR="00AC44E9">
        <w:rPr>
          <w:rFonts w:asciiTheme="majorBidi" w:hAnsiTheme="majorBidi" w:cstheme="majorBidi"/>
          <w:sz w:val="24"/>
          <w:szCs w:val="24"/>
        </w:rPr>
        <w:t xml:space="preserve">Additionally, this research </w:t>
      </w:r>
      <w:r w:rsidR="00AF3AB2" w:rsidRPr="0066050E">
        <w:rPr>
          <w:rFonts w:asciiTheme="majorBidi" w:hAnsiTheme="majorBidi" w:cstheme="majorBidi"/>
          <w:sz w:val="24"/>
          <w:szCs w:val="24"/>
        </w:rPr>
        <w:t>explores the role of message-respondent congruence</w:t>
      </w:r>
      <w:r w:rsidR="00AC44E9">
        <w:rPr>
          <w:rFonts w:asciiTheme="majorBidi" w:hAnsiTheme="majorBidi" w:cstheme="majorBidi"/>
          <w:sz w:val="24"/>
          <w:szCs w:val="24"/>
        </w:rPr>
        <w:t xml:space="preserve"> </w:t>
      </w:r>
      <w:r w:rsidR="00701902">
        <w:rPr>
          <w:rFonts w:asciiTheme="majorBidi" w:hAnsiTheme="majorBidi" w:cstheme="majorBidi"/>
          <w:sz w:val="24"/>
          <w:szCs w:val="24"/>
        </w:rPr>
        <w:t xml:space="preserve">by </w:t>
      </w:r>
      <w:r w:rsidR="00701902" w:rsidRPr="00035753">
        <w:rPr>
          <w:rFonts w:asciiTheme="majorBidi" w:hAnsiTheme="majorBidi" w:cstheme="majorBidi"/>
          <w:sz w:val="24"/>
          <w:szCs w:val="24"/>
        </w:rPr>
        <w:t>measur</w:t>
      </w:r>
      <w:r w:rsidR="00701902">
        <w:rPr>
          <w:rFonts w:asciiTheme="majorBidi" w:hAnsiTheme="majorBidi" w:cstheme="majorBidi"/>
          <w:sz w:val="24"/>
          <w:szCs w:val="24"/>
        </w:rPr>
        <w:t>ing</w:t>
      </w:r>
      <w:r w:rsidR="00701902" w:rsidRPr="00035753">
        <w:rPr>
          <w:rFonts w:asciiTheme="majorBidi" w:hAnsiTheme="majorBidi" w:cstheme="majorBidi"/>
          <w:sz w:val="24"/>
          <w:szCs w:val="24"/>
        </w:rPr>
        <w:t xml:space="preserve"> the congruency between respondent’s CSR perception and their attitude towards the CSR communicatio</w:t>
      </w:r>
      <w:r w:rsidR="00701902">
        <w:rPr>
          <w:rFonts w:asciiTheme="majorBidi" w:hAnsiTheme="majorBidi" w:cstheme="majorBidi"/>
          <w:sz w:val="24"/>
          <w:szCs w:val="24"/>
        </w:rPr>
        <w:t xml:space="preserve">n. </w:t>
      </w:r>
    </w:p>
    <w:p w14:paraId="570A0C45" w14:textId="7DC491B0" w:rsidR="00C37F1F" w:rsidRDefault="00701902" w:rsidP="00F72834">
      <w:pPr>
        <w:shd w:val="clear" w:color="auto" w:fill="FFFFFF"/>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To summarise, </w:t>
      </w:r>
      <w:r w:rsidRPr="00701902">
        <w:rPr>
          <w:rFonts w:asciiTheme="majorBidi" w:hAnsiTheme="majorBidi" w:cstheme="majorBidi"/>
          <w:sz w:val="24"/>
          <w:szCs w:val="24"/>
        </w:rPr>
        <w:t>the aim of this thesis will be accomplished through the following research objectives:</w:t>
      </w:r>
    </w:p>
    <w:p w14:paraId="4B4CD8FE" w14:textId="7799F3C8" w:rsidR="00494340" w:rsidRPr="00490905" w:rsidRDefault="00490905" w:rsidP="00F72834">
      <w:pPr>
        <w:pStyle w:val="ListParagraph"/>
        <w:numPr>
          <w:ilvl w:val="0"/>
          <w:numId w:val="1"/>
        </w:numPr>
        <w:shd w:val="clear" w:color="auto" w:fill="FFFFFF"/>
        <w:spacing w:after="0" w:line="480" w:lineRule="auto"/>
        <w:jc w:val="both"/>
        <w:rPr>
          <w:rFonts w:asciiTheme="majorBidi" w:hAnsiTheme="majorBidi" w:cstheme="majorBidi"/>
          <w:sz w:val="24"/>
          <w:szCs w:val="24"/>
        </w:rPr>
      </w:pPr>
      <w:bookmarkStart w:id="7" w:name="_Hlk136795193"/>
      <w:r w:rsidRPr="00490905">
        <w:rPr>
          <w:rFonts w:asciiTheme="majorBidi" w:hAnsiTheme="majorBidi" w:cstheme="majorBidi"/>
          <w:sz w:val="24"/>
          <w:szCs w:val="24"/>
        </w:rPr>
        <w:t xml:space="preserve">To </w:t>
      </w:r>
      <w:r w:rsidR="00324445">
        <w:rPr>
          <w:rFonts w:asciiTheme="majorBidi" w:hAnsiTheme="majorBidi" w:cstheme="majorBidi"/>
          <w:sz w:val="24"/>
          <w:szCs w:val="24"/>
        </w:rPr>
        <w:t xml:space="preserve">examine the effectiveness of </w:t>
      </w:r>
      <w:r w:rsidR="00265059">
        <w:rPr>
          <w:rFonts w:asciiTheme="majorBidi" w:hAnsiTheme="majorBidi" w:cstheme="majorBidi"/>
          <w:sz w:val="24"/>
          <w:szCs w:val="24"/>
        </w:rPr>
        <w:t xml:space="preserve">communication strategy </w:t>
      </w:r>
      <w:r w:rsidRPr="00490905">
        <w:rPr>
          <w:rFonts w:asciiTheme="majorBidi" w:hAnsiTheme="majorBidi" w:cstheme="majorBidi"/>
          <w:sz w:val="24"/>
          <w:szCs w:val="24"/>
        </w:rPr>
        <w:t xml:space="preserve">of CSR </w:t>
      </w:r>
      <w:r w:rsidR="00265059">
        <w:rPr>
          <w:rFonts w:asciiTheme="majorBidi" w:hAnsiTheme="majorBidi" w:cstheme="majorBidi"/>
          <w:sz w:val="24"/>
          <w:szCs w:val="24"/>
        </w:rPr>
        <w:t xml:space="preserve">communication </w:t>
      </w:r>
      <w:r w:rsidRPr="00490905">
        <w:rPr>
          <w:rFonts w:asciiTheme="majorBidi" w:hAnsiTheme="majorBidi" w:cstheme="majorBidi"/>
          <w:sz w:val="24"/>
          <w:szCs w:val="24"/>
        </w:rPr>
        <w:t xml:space="preserve">and non-CSR </w:t>
      </w:r>
      <w:r w:rsidR="00265059">
        <w:rPr>
          <w:rFonts w:asciiTheme="majorBidi" w:hAnsiTheme="majorBidi" w:cstheme="majorBidi"/>
          <w:sz w:val="24"/>
          <w:szCs w:val="24"/>
        </w:rPr>
        <w:t>communication</w:t>
      </w:r>
      <w:r w:rsidR="00265059" w:rsidRPr="00490905">
        <w:rPr>
          <w:rFonts w:asciiTheme="majorBidi" w:hAnsiTheme="majorBidi" w:cstheme="majorBidi"/>
          <w:sz w:val="24"/>
          <w:szCs w:val="24"/>
        </w:rPr>
        <w:t xml:space="preserve"> </w:t>
      </w:r>
      <w:r w:rsidR="00265059">
        <w:rPr>
          <w:rFonts w:asciiTheme="majorBidi" w:hAnsiTheme="majorBidi" w:cstheme="majorBidi"/>
          <w:sz w:val="24"/>
          <w:szCs w:val="24"/>
        </w:rPr>
        <w:t>strateg</w:t>
      </w:r>
      <w:r w:rsidR="0061319C">
        <w:rPr>
          <w:rFonts w:asciiTheme="majorBidi" w:hAnsiTheme="majorBidi" w:cstheme="majorBidi"/>
          <w:sz w:val="24"/>
          <w:szCs w:val="24"/>
        </w:rPr>
        <w:t>ies</w:t>
      </w:r>
      <w:r w:rsidR="00265059">
        <w:rPr>
          <w:rFonts w:asciiTheme="majorBidi" w:hAnsiTheme="majorBidi" w:cstheme="majorBidi"/>
          <w:sz w:val="24"/>
          <w:szCs w:val="24"/>
        </w:rPr>
        <w:t xml:space="preserve"> </w:t>
      </w:r>
      <w:r w:rsidRPr="00490905">
        <w:rPr>
          <w:rFonts w:asciiTheme="majorBidi" w:hAnsiTheme="majorBidi" w:cstheme="majorBidi"/>
          <w:sz w:val="24"/>
          <w:szCs w:val="24"/>
        </w:rPr>
        <w:t xml:space="preserve">among FMCG Egyptian consumers </w:t>
      </w:r>
    </w:p>
    <w:p w14:paraId="57DDDB44" w14:textId="01BDE348" w:rsidR="00EB42C9" w:rsidRPr="00EB42C9" w:rsidRDefault="00EB42C9" w:rsidP="00F72834">
      <w:pPr>
        <w:pStyle w:val="ListParagraph"/>
        <w:numPr>
          <w:ilvl w:val="0"/>
          <w:numId w:val="1"/>
        </w:numPr>
        <w:shd w:val="clear" w:color="auto" w:fill="FFFFFF"/>
        <w:jc w:val="both"/>
        <w:rPr>
          <w:rFonts w:asciiTheme="majorBidi" w:hAnsiTheme="majorBidi" w:cstheme="majorBidi"/>
          <w:sz w:val="24"/>
          <w:szCs w:val="24"/>
        </w:rPr>
      </w:pPr>
      <w:r w:rsidRPr="00BA2F0F">
        <w:rPr>
          <w:rFonts w:asciiTheme="majorBidi" w:hAnsiTheme="majorBidi" w:cstheme="majorBidi"/>
          <w:sz w:val="24"/>
          <w:szCs w:val="24"/>
        </w:rPr>
        <w:t>To explore the effects of different media vehicles (</w:t>
      </w:r>
      <w:r w:rsidR="00935FBD">
        <w:rPr>
          <w:rFonts w:asciiTheme="majorBidi" w:hAnsiTheme="majorBidi" w:cstheme="majorBidi"/>
          <w:sz w:val="24"/>
          <w:szCs w:val="24"/>
        </w:rPr>
        <w:t>t</w:t>
      </w:r>
      <w:r w:rsidR="00935FBD" w:rsidRPr="00BA2F0F">
        <w:rPr>
          <w:rFonts w:asciiTheme="majorBidi" w:hAnsiTheme="majorBidi" w:cstheme="majorBidi"/>
          <w:sz w:val="24"/>
          <w:szCs w:val="24"/>
        </w:rPr>
        <w:t xml:space="preserve">elevision </w:t>
      </w:r>
      <w:r w:rsidRPr="00BA2F0F">
        <w:rPr>
          <w:rFonts w:asciiTheme="majorBidi" w:hAnsiTheme="majorBidi" w:cstheme="majorBidi"/>
          <w:sz w:val="24"/>
          <w:szCs w:val="24"/>
        </w:rPr>
        <w:t xml:space="preserve">and social media) on </w:t>
      </w:r>
      <w:r>
        <w:rPr>
          <w:rFonts w:asciiTheme="majorBidi" w:hAnsiTheme="majorBidi" w:cstheme="majorBidi"/>
          <w:sz w:val="24"/>
          <w:szCs w:val="24"/>
        </w:rPr>
        <w:t xml:space="preserve">FMCG </w:t>
      </w:r>
      <w:r w:rsidRPr="00BA2F0F">
        <w:rPr>
          <w:rFonts w:asciiTheme="majorBidi" w:hAnsiTheme="majorBidi" w:cstheme="majorBidi"/>
          <w:sz w:val="24"/>
          <w:szCs w:val="24"/>
        </w:rPr>
        <w:t>Egyptian consumers.</w:t>
      </w:r>
    </w:p>
    <w:p w14:paraId="0DAA8454" w14:textId="77777777" w:rsidR="00EB42C9" w:rsidRPr="00EB42C9" w:rsidRDefault="00EB42C9" w:rsidP="00F72834">
      <w:pPr>
        <w:pStyle w:val="ListParagraph"/>
        <w:shd w:val="clear" w:color="auto" w:fill="FFFFFF"/>
        <w:jc w:val="both"/>
        <w:rPr>
          <w:rFonts w:asciiTheme="majorBidi" w:hAnsiTheme="majorBidi" w:cstheme="majorBidi"/>
          <w:sz w:val="24"/>
          <w:szCs w:val="24"/>
        </w:rPr>
      </w:pPr>
    </w:p>
    <w:p w14:paraId="24F0A636" w14:textId="3BC2ADE8" w:rsidR="000903C2" w:rsidRPr="000903C2" w:rsidRDefault="00D93F2D" w:rsidP="00F72834">
      <w:pPr>
        <w:pStyle w:val="ListParagraph"/>
        <w:numPr>
          <w:ilvl w:val="0"/>
          <w:numId w:val="1"/>
        </w:numPr>
        <w:shd w:val="clear" w:color="auto" w:fill="FFFFFF"/>
        <w:spacing w:after="0" w:line="480" w:lineRule="auto"/>
        <w:jc w:val="both"/>
        <w:rPr>
          <w:rFonts w:asciiTheme="majorBidi" w:hAnsiTheme="majorBidi" w:cstheme="majorBidi"/>
          <w:sz w:val="24"/>
          <w:szCs w:val="24"/>
        </w:rPr>
      </w:pPr>
      <w:r w:rsidRPr="00490905">
        <w:rPr>
          <w:rFonts w:asciiTheme="majorBidi" w:hAnsiTheme="majorBidi" w:cstheme="majorBidi"/>
          <w:sz w:val="24"/>
          <w:szCs w:val="24"/>
        </w:rPr>
        <w:t xml:space="preserve">To examine </w:t>
      </w:r>
      <w:r>
        <w:rPr>
          <w:rFonts w:asciiTheme="majorBidi" w:hAnsiTheme="majorBidi" w:cstheme="majorBidi"/>
          <w:sz w:val="24"/>
          <w:szCs w:val="24"/>
        </w:rPr>
        <w:t>consumers’</w:t>
      </w:r>
      <w:r w:rsidRPr="00490905">
        <w:rPr>
          <w:rFonts w:asciiTheme="majorBidi" w:hAnsiTheme="majorBidi" w:cstheme="majorBidi"/>
          <w:sz w:val="24"/>
          <w:szCs w:val="24"/>
        </w:rPr>
        <w:t xml:space="preserve"> </w:t>
      </w:r>
      <w:r>
        <w:rPr>
          <w:rFonts w:asciiTheme="majorBidi" w:hAnsiTheme="majorBidi" w:cstheme="majorBidi"/>
          <w:sz w:val="24"/>
          <w:szCs w:val="24"/>
        </w:rPr>
        <w:t>perception</w:t>
      </w:r>
      <w:r w:rsidRPr="00490905">
        <w:rPr>
          <w:rFonts w:asciiTheme="majorBidi" w:hAnsiTheme="majorBidi" w:cstheme="majorBidi"/>
          <w:sz w:val="24"/>
          <w:szCs w:val="24"/>
        </w:rPr>
        <w:t xml:space="preserve"> of CSR as a communication strategy in the FMCG category</w:t>
      </w:r>
      <w:r>
        <w:rPr>
          <w:rFonts w:asciiTheme="majorBidi" w:hAnsiTheme="majorBidi" w:cstheme="majorBidi"/>
          <w:sz w:val="24"/>
          <w:szCs w:val="24"/>
        </w:rPr>
        <w:t xml:space="preserve"> in Egypt</w:t>
      </w:r>
      <w:r w:rsidR="00195EA6">
        <w:rPr>
          <w:rFonts w:asciiTheme="majorBidi" w:hAnsiTheme="majorBidi" w:cstheme="majorBidi"/>
          <w:sz w:val="24"/>
          <w:szCs w:val="24"/>
        </w:rPr>
        <w:t>.</w:t>
      </w:r>
      <w:r w:rsidR="000903C2">
        <w:rPr>
          <w:rFonts w:asciiTheme="majorBidi" w:hAnsiTheme="majorBidi" w:cstheme="majorBidi"/>
          <w:sz w:val="24"/>
          <w:szCs w:val="24"/>
        </w:rPr>
        <w:t xml:space="preserve"> </w:t>
      </w:r>
    </w:p>
    <w:p w14:paraId="7DF77AE3" w14:textId="3D6DDE25" w:rsidR="003723CF" w:rsidRDefault="003723CF" w:rsidP="00F72834">
      <w:pPr>
        <w:pStyle w:val="ListParagraph"/>
        <w:numPr>
          <w:ilvl w:val="0"/>
          <w:numId w:val="1"/>
        </w:numPr>
        <w:shd w:val="clear" w:color="auto" w:fill="FFFFFF"/>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To </w:t>
      </w:r>
      <w:r w:rsidR="00324445">
        <w:rPr>
          <w:rFonts w:asciiTheme="majorBidi" w:hAnsiTheme="majorBidi" w:cstheme="majorBidi"/>
          <w:sz w:val="24"/>
          <w:szCs w:val="24"/>
        </w:rPr>
        <w:t>further contribute to academic</w:t>
      </w:r>
      <w:r>
        <w:rPr>
          <w:rFonts w:asciiTheme="majorBidi" w:hAnsiTheme="majorBidi" w:cstheme="majorBidi"/>
          <w:sz w:val="24"/>
          <w:szCs w:val="24"/>
        </w:rPr>
        <w:t xml:space="preserve"> literature by uncovering theoretical, and managerial contributions from the findings. </w:t>
      </w:r>
    </w:p>
    <w:bookmarkEnd w:id="7"/>
    <w:p w14:paraId="0C163B02" w14:textId="3F2CDC25" w:rsidR="00987507" w:rsidRDefault="00410CF1" w:rsidP="00F72834">
      <w:pPr>
        <w:shd w:val="clear" w:color="auto" w:fill="FFFFFF"/>
        <w:spacing w:after="0" w:line="480" w:lineRule="auto"/>
        <w:ind w:firstLine="360"/>
        <w:jc w:val="both"/>
        <w:rPr>
          <w:rFonts w:asciiTheme="majorBidi" w:hAnsiTheme="majorBidi" w:cstheme="majorBidi"/>
          <w:sz w:val="24"/>
          <w:szCs w:val="24"/>
        </w:rPr>
      </w:pPr>
      <w:r w:rsidRPr="00B36C72">
        <w:rPr>
          <w:rFonts w:asciiTheme="majorBidi" w:hAnsiTheme="majorBidi" w:cstheme="majorBidi"/>
          <w:sz w:val="24"/>
          <w:szCs w:val="24"/>
        </w:rPr>
        <w:t xml:space="preserve">In order to achieve, the </w:t>
      </w:r>
      <w:r w:rsidR="00B36C72" w:rsidRPr="00B36C72">
        <w:rPr>
          <w:rFonts w:asciiTheme="majorBidi" w:hAnsiTheme="majorBidi" w:cstheme="majorBidi"/>
          <w:sz w:val="24"/>
          <w:szCs w:val="24"/>
        </w:rPr>
        <w:t>above-mentioned</w:t>
      </w:r>
      <w:r w:rsidRPr="00B36C72">
        <w:rPr>
          <w:rFonts w:asciiTheme="majorBidi" w:hAnsiTheme="majorBidi" w:cstheme="majorBidi"/>
          <w:sz w:val="24"/>
          <w:szCs w:val="24"/>
        </w:rPr>
        <w:t xml:space="preserve"> goals, </w:t>
      </w:r>
      <w:r w:rsidR="00B36C72" w:rsidRPr="00B36C72">
        <w:rPr>
          <w:rFonts w:asciiTheme="majorBidi" w:hAnsiTheme="majorBidi" w:cstheme="majorBidi"/>
          <w:sz w:val="24"/>
          <w:szCs w:val="24"/>
        </w:rPr>
        <w:t xml:space="preserve">the study is set to </w:t>
      </w:r>
      <w:r w:rsidR="00236B16" w:rsidRPr="00B36C72">
        <w:rPr>
          <w:rFonts w:asciiTheme="majorBidi" w:hAnsiTheme="majorBidi" w:cstheme="majorBidi"/>
          <w:sz w:val="24"/>
          <w:szCs w:val="24"/>
        </w:rPr>
        <w:t>explore</w:t>
      </w:r>
      <w:r w:rsidR="009626C5" w:rsidRPr="00B36C72">
        <w:rPr>
          <w:rFonts w:asciiTheme="majorBidi" w:hAnsiTheme="majorBidi" w:cstheme="majorBidi"/>
          <w:sz w:val="24"/>
          <w:szCs w:val="24"/>
        </w:rPr>
        <w:t xml:space="preserve"> the </w:t>
      </w:r>
      <w:r w:rsidR="00904B75" w:rsidRPr="00B36C72">
        <w:rPr>
          <w:rFonts w:asciiTheme="majorBidi" w:hAnsiTheme="majorBidi" w:cstheme="majorBidi"/>
          <w:sz w:val="24"/>
          <w:szCs w:val="24"/>
        </w:rPr>
        <w:t>effectiveness of</w:t>
      </w:r>
      <w:r w:rsidR="00236B16" w:rsidRPr="00B36C72">
        <w:rPr>
          <w:rFonts w:asciiTheme="majorBidi" w:hAnsiTheme="majorBidi" w:cstheme="majorBidi"/>
          <w:sz w:val="24"/>
          <w:szCs w:val="24"/>
        </w:rPr>
        <w:t xml:space="preserve"> CSR communication by measuring </w:t>
      </w:r>
      <w:r w:rsidR="009626C5" w:rsidRPr="00B36C72">
        <w:rPr>
          <w:rFonts w:asciiTheme="majorBidi" w:hAnsiTheme="majorBidi" w:cstheme="majorBidi"/>
          <w:sz w:val="24"/>
          <w:szCs w:val="24"/>
        </w:rPr>
        <w:t xml:space="preserve">attitudes that customers might </w:t>
      </w:r>
      <w:r w:rsidR="00B36C72" w:rsidRPr="00B36C72">
        <w:rPr>
          <w:rFonts w:asciiTheme="majorBidi" w:hAnsiTheme="majorBidi" w:cstheme="majorBidi"/>
          <w:sz w:val="24"/>
          <w:szCs w:val="24"/>
        </w:rPr>
        <w:t>develop</w:t>
      </w:r>
      <w:r w:rsidR="009626C5" w:rsidRPr="00B36C72">
        <w:rPr>
          <w:rFonts w:asciiTheme="majorBidi" w:hAnsiTheme="majorBidi" w:cstheme="majorBidi"/>
          <w:sz w:val="24"/>
          <w:szCs w:val="24"/>
        </w:rPr>
        <w:t xml:space="preserve"> as a result of</w:t>
      </w:r>
      <w:r w:rsidR="00761378" w:rsidRPr="00B36C72">
        <w:rPr>
          <w:rFonts w:asciiTheme="majorBidi" w:hAnsiTheme="majorBidi" w:cstheme="majorBidi"/>
          <w:sz w:val="24"/>
          <w:szCs w:val="24"/>
        </w:rPr>
        <w:t xml:space="preserve"> exposure to</w:t>
      </w:r>
      <w:r w:rsidR="00236B16" w:rsidRPr="00B36C72">
        <w:rPr>
          <w:rFonts w:asciiTheme="majorBidi" w:hAnsiTheme="majorBidi" w:cstheme="majorBidi"/>
          <w:sz w:val="24"/>
          <w:szCs w:val="24"/>
        </w:rPr>
        <w:t xml:space="preserve"> CSR communication</w:t>
      </w:r>
      <w:r w:rsidR="00324445" w:rsidRPr="00B36C72">
        <w:rPr>
          <w:rFonts w:asciiTheme="majorBidi" w:hAnsiTheme="majorBidi" w:cstheme="majorBidi"/>
          <w:sz w:val="24"/>
          <w:szCs w:val="24"/>
        </w:rPr>
        <w:t xml:space="preserve"> versus non-CSR communication</w:t>
      </w:r>
      <w:r w:rsidR="00236B16" w:rsidRPr="00B36C72">
        <w:rPr>
          <w:rFonts w:asciiTheme="majorBidi" w:hAnsiTheme="majorBidi" w:cstheme="majorBidi"/>
          <w:sz w:val="24"/>
          <w:szCs w:val="24"/>
        </w:rPr>
        <w:t>.</w:t>
      </w:r>
      <w:r w:rsidR="00236B16">
        <w:rPr>
          <w:rFonts w:asciiTheme="majorBidi" w:hAnsiTheme="majorBidi" w:cstheme="majorBidi"/>
          <w:sz w:val="24"/>
          <w:szCs w:val="24"/>
        </w:rPr>
        <w:t xml:space="preserve"> These attitudes were identified from the literature reviews that revealed that certain attitudes are usually measured to determine the success</w:t>
      </w:r>
      <w:r w:rsidR="00E71BA2">
        <w:rPr>
          <w:rFonts w:asciiTheme="majorBidi" w:hAnsiTheme="majorBidi" w:cstheme="majorBidi"/>
          <w:sz w:val="24"/>
          <w:szCs w:val="24"/>
        </w:rPr>
        <w:t xml:space="preserve"> or measure the performance</w:t>
      </w:r>
      <w:r w:rsidR="00236B16">
        <w:rPr>
          <w:rFonts w:asciiTheme="majorBidi" w:hAnsiTheme="majorBidi" w:cstheme="majorBidi"/>
          <w:sz w:val="24"/>
          <w:szCs w:val="24"/>
        </w:rPr>
        <w:t xml:space="preserve"> of certain communications. These were the attitudes that were carefully considered in this study to also measure the overall success of CSR communication specifically towards purchase intention. </w:t>
      </w:r>
      <w:r w:rsidR="00E71BA2">
        <w:rPr>
          <w:rFonts w:asciiTheme="majorBidi" w:hAnsiTheme="majorBidi" w:cstheme="majorBidi"/>
          <w:sz w:val="24"/>
          <w:szCs w:val="24"/>
        </w:rPr>
        <w:t>P</w:t>
      </w:r>
      <w:r w:rsidR="00236B16">
        <w:rPr>
          <w:rFonts w:asciiTheme="majorBidi" w:hAnsiTheme="majorBidi" w:cstheme="majorBidi"/>
          <w:sz w:val="24"/>
          <w:szCs w:val="24"/>
        </w:rPr>
        <w:t xml:space="preserve">urchase intention was deemed to be the main outcome of this study </w:t>
      </w:r>
      <w:r w:rsidR="00E71BA2">
        <w:rPr>
          <w:rFonts w:asciiTheme="majorBidi" w:hAnsiTheme="majorBidi" w:cstheme="majorBidi"/>
          <w:sz w:val="24"/>
          <w:szCs w:val="24"/>
        </w:rPr>
        <w:t>o</w:t>
      </w:r>
      <w:r w:rsidR="00236B16">
        <w:rPr>
          <w:rFonts w:asciiTheme="majorBidi" w:hAnsiTheme="majorBidi" w:cstheme="majorBidi"/>
          <w:sz w:val="24"/>
          <w:szCs w:val="24"/>
        </w:rPr>
        <w:t xml:space="preserve">n which the success of CSR and non-CSR communication presented in the study will be assessed. </w:t>
      </w:r>
    </w:p>
    <w:p w14:paraId="5316CA36" w14:textId="34C51C25" w:rsidR="004E7B44" w:rsidRPr="00812984" w:rsidRDefault="004E7B44">
      <w:pPr>
        <w:pStyle w:val="ListParagraph"/>
        <w:numPr>
          <w:ilvl w:val="1"/>
          <w:numId w:val="22"/>
        </w:numPr>
        <w:shd w:val="clear" w:color="auto" w:fill="FFFFFF"/>
        <w:spacing w:after="0" w:line="480" w:lineRule="auto"/>
        <w:rPr>
          <w:rFonts w:asciiTheme="majorBidi" w:hAnsiTheme="majorBidi" w:cstheme="majorBidi"/>
          <w:b/>
          <w:bCs/>
          <w:sz w:val="24"/>
          <w:szCs w:val="24"/>
        </w:rPr>
      </w:pPr>
      <w:r w:rsidRPr="00812984">
        <w:rPr>
          <w:rFonts w:asciiTheme="majorBidi" w:hAnsiTheme="majorBidi" w:cstheme="majorBidi"/>
          <w:b/>
          <w:bCs/>
          <w:sz w:val="24"/>
          <w:szCs w:val="24"/>
        </w:rPr>
        <w:t xml:space="preserve">Scope of the study </w:t>
      </w:r>
    </w:p>
    <w:p w14:paraId="2C585E9F" w14:textId="46BB7DD6" w:rsidR="004E7B44" w:rsidRDefault="004E7B44" w:rsidP="004E7B44">
      <w:pPr>
        <w:shd w:val="clear" w:color="auto" w:fill="FFFFFF"/>
        <w:spacing w:after="0" w:line="480" w:lineRule="auto"/>
        <w:ind w:firstLine="360"/>
        <w:rPr>
          <w:rFonts w:asciiTheme="majorBidi" w:hAnsiTheme="majorBidi" w:cstheme="majorBidi"/>
          <w:sz w:val="24"/>
          <w:szCs w:val="24"/>
        </w:rPr>
      </w:pPr>
      <w:r w:rsidRPr="00812984">
        <w:rPr>
          <w:rFonts w:asciiTheme="majorBidi" w:hAnsiTheme="majorBidi" w:cstheme="majorBidi"/>
          <w:sz w:val="24"/>
          <w:szCs w:val="24"/>
        </w:rPr>
        <w:t xml:space="preserve">Mainly, the identified parameters of this study emerged from the literature and the pressing need in literature to explore CSR communication in </w:t>
      </w:r>
      <w:r>
        <w:rPr>
          <w:rFonts w:asciiTheme="majorBidi" w:hAnsiTheme="majorBidi" w:cstheme="majorBidi"/>
          <w:sz w:val="24"/>
          <w:szCs w:val="24"/>
        </w:rPr>
        <w:t>a specific context. As mentioned above, the main geographic scope of this study is Egypt. While there are many countries in the Middle East, Egypt was deemed to be the most appropriate country in the Middle East to conduct this research. This is because, as further explained in this thesis, Egypt is a large country that offers prospects for international investment</w:t>
      </w:r>
      <w:sdt>
        <w:sdtPr>
          <w:rPr>
            <w:rFonts w:asciiTheme="majorBidi" w:hAnsiTheme="majorBidi" w:cstheme="majorBidi"/>
            <w:sz w:val="24"/>
            <w:szCs w:val="24"/>
          </w:rPr>
          <w:id w:val="-13380092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Mon23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22C20">
            <w:rPr>
              <w:rFonts w:asciiTheme="majorBidi" w:hAnsiTheme="majorBidi" w:cstheme="majorBidi"/>
              <w:noProof/>
              <w:sz w:val="24"/>
              <w:szCs w:val="24"/>
            </w:rPr>
            <w:t>(Moneim, 2023)</w:t>
          </w:r>
          <w:r>
            <w:rPr>
              <w:rFonts w:asciiTheme="majorBidi" w:hAnsiTheme="majorBidi" w:cstheme="majorBidi"/>
              <w:sz w:val="24"/>
              <w:szCs w:val="24"/>
            </w:rPr>
            <w:fldChar w:fldCharType="end"/>
          </w:r>
        </w:sdtContent>
      </w:sdt>
      <w:r>
        <w:rPr>
          <w:rFonts w:asciiTheme="majorBidi" w:hAnsiTheme="majorBidi" w:cstheme="majorBidi"/>
          <w:sz w:val="24"/>
          <w:szCs w:val="24"/>
        </w:rPr>
        <w:t>. Additionally, literature revealed that Egypt has a considerable need for CSR campaigns in general</w:t>
      </w:r>
      <w:sdt>
        <w:sdtPr>
          <w:rPr>
            <w:rFonts w:asciiTheme="majorBidi" w:hAnsiTheme="majorBidi" w:cstheme="majorBidi"/>
            <w:sz w:val="24"/>
            <w:szCs w:val="24"/>
          </w:rPr>
          <w:id w:val="-4668560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Dia201 \l 2057  \m Kha21</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22C20">
            <w:rPr>
              <w:rFonts w:asciiTheme="majorBidi" w:hAnsiTheme="majorBidi" w:cstheme="majorBidi"/>
              <w:noProof/>
              <w:sz w:val="24"/>
              <w:szCs w:val="24"/>
            </w:rPr>
            <w:t>(Diab &amp; Metwally, 2020; Khalil , Ismail, &amp; Ghalwash,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65F3F318" w14:textId="257D2C8E" w:rsidR="004E7B44" w:rsidRDefault="004E7B44" w:rsidP="00C55720">
      <w:pPr>
        <w:shd w:val="clear" w:color="auto" w:fill="FFFFFF"/>
        <w:spacing w:after="0" w:line="480" w:lineRule="auto"/>
        <w:ind w:firstLine="360"/>
        <w:rPr>
          <w:rFonts w:asciiTheme="majorBidi" w:hAnsiTheme="majorBidi" w:cstheme="majorBidi"/>
          <w:sz w:val="24"/>
          <w:szCs w:val="24"/>
        </w:rPr>
      </w:pPr>
      <w:r>
        <w:rPr>
          <w:rFonts w:asciiTheme="majorBidi" w:hAnsiTheme="majorBidi" w:cstheme="majorBidi"/>
          <w:sz w:val="24"/>
          <w:szCs w:val="24"/>
        </w:rPr>
        <w:t xml:space="preserve">Moreover, it is important to note that communication styles and the attitudes that consumers develop towards these styles differ from one product type </w:t>
      </w:r>
      <w:r w:rsidR="00C16E1D">
        <w:rPr>
          <w:rFonts w:asciiTheme="majorBidi" w:hAnsiTheme="majorBidi" w:cstheme="majorBidi"/>
          <w:sz w:val="24"/>
          <w:szCs w:val="24"/>
        </w:rPr>
        <w:t>to</w:t>
      </w:r>
      <w:r>
        <w:rPr>
          <w:rFonts w:asciiTheme="majorBidi" w:hAnsiTheme="majorBidi" w:cstheme="majorBidi"/>
          <w:sz w:val="24"/>
          <w:szCs w:val="24"/>
        </w:rPr>
        <w:t xml:space="preserve"> another</w:t>
      </w:r>
      <w:sdt>
        <w:sdtPr>
          <w:rPr>
            <w:rFonts w:asciiTheme="majorBidi" w:hAnsiTheme="majorBidi" w:cstheme="majorBidi"/>
            <w:sz w:val="24"/>
            <w:szCs w:val="24"/>
          </w:rPr>
          <w:id w:val="145229165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Ans18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DB0D8E">
            <w:rPr>
              <w:rFonts w:asciiTheme="majorBidi" w:hAnsiTheme="majorBidi" w:cstheme="majorBidi"/>
              <w:noProof/>
              <w:sz w:val="24"/>
              <w:szCs w:val="24"/>
            </w:rPr>
            <w:t>(Ansary &amp; Hashim , 2018)</w:t>
          </w:r>
          <w:r>
            <w:rPr>
              <w:rFonts w:asciiTheme="majorBidi" w:hAnsiTheme="majorBidi" w:cstheme="majorBidi"/>
              <w:sz w:val="24"/>
              <w:szCs w:val="24"/>
            </w:rPr>
            <w:fldChar w:fldCharType="end"/>
          </w:r>
        </w:sdtContent>
      </w:sdt>
      <w:r>
        <w:rPr>
          <w:rFonts w:asciiTheme="majorBidi" w:hAnsiTheme="majorBidi" w:cstheme="majorBidi"/>
          <w:sz w:val="24"/>
          <w:szCs w:val="24"/>
        </w:rPr>
        <w:t>. This research focuses on the FMCG category by presenting Dettol, a popular domestic cleaning product, as an example to present the hypothetical CSR campaign to respondents. Furthermore, based on the above identified research objectives, this study</w:t>
      </w:r>
      <w:r w:rsidR="00C650BC">
        <w:rPr>
          <w:rFonts w:asciiTheme="majorBidi" w:hAnsiTheme="majorBidi" w:cstheme="majorBidi"/>
          <w:sz w:val="24"/>
          <w:szCs w:val="24"/>
        </w:rPr>
        <w:t xml:space="preserve"> </w:t>
      </w:r>
      <w:r>
        <w:rPr>
          <w:rFonts w:asciiTheme="majorBidi" w:hAnsiTheme="majorBidi" w:cstheme="majorBidi"/>
          <w:sz w:val="24"/>
          <w:szCs w:val="24"/>
        </w:rPr>
        <w:t>examine</w:t>
      </w:r>
      <w:r w:rsidR="00C650BC">
        <w:rPr>
          <w:rFonts w:asciiTheme="majorBidi" w:hAnsiTheme="majorBidi" w:cstheme="majorBidi"/>
          <w:sz w:val="24"/>
          <w:szCs w:val="24"/>
        </w:rPr>
        <w:t>s</w:t>
      </w:r>
      <w:r>
        <w:rPr>
          <w:rFonts w:asciiTheme="majorBidi" w:hAnsiTheme="majorBidi" w:cstheme="majorBidi"/>
          <w:sz w:val="24"/>
          <w:szCs w:val="24"/>
        </w:rPr>
        <w:t xml:space="preserve"> the impact of CSR and non-CSR communication on two media channels, Facebook and television. Figure </w:t>
      </w:r>
      <w:r w:rsidR="00A01C05">
        <w:rPr>
          <w:rFonts w:asciiTheme="majorBidi" w:hAnsiTheme="majorBidi" w:cstheme="majorBidi"/>
          <w:sz w:val="24"/>
          <w:szCs w:val="24"/>
        </w:rPr>
        <w:t>1</w:t>
      </w:r>
      <w:r>
        <w:rPr>
          <w:rFonts w:asciiTheme="majorBidi" w:hAnsiTheme="majorBidi" w:cstheme="majorBidi"/>
          <w:sz w:val="24"/>
          <w:szCs w:val="24"/>
        </w:rPr>
        <w:t xml:space="preserve"> summarises the specific aspects related to CSR communication that this study entails. </w:t>
      </w:r>
      <w:r w:rsidR="00DB2D64">
        <w:rPr>
          <w:rFonts w:asciiTheme="majorBidi" w:hAnsiTheme="majorBidi" w:cstheme="majorBidi"/>
          <w:sz w:val="24"/>
          <w:szCs w:val="24"/>
        </w:rPr>
        <w:t xml:space="preserve">The following section briefly explains the thesis’s main contributions to knowledge, practice, and theory. </w:t>
      </w:r>
    </w:p>
    <w:p w14:paraId="4E6F6C15" w14:textId="70822E12" w:rsidR="004810B3" w:rsidRDefault="009105CC" w:rsidP="00E77650">
      <w:pPr>
        <w:shd w:val="clear" w:color="auto" w:fill="FFFFFF"/>
        <w:spacing w:after="0" w:line="480" w:lineRule="auto"/>
        <w:ind w:firstLine="36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14:anchorId="5AC1DE32" wp14:editId="2888FBE3">
            <wp:simplePos x="0" y="0"/>
            <wp:positionH relativeFrom="column">
              <wp:posOffset>-840971</wp:posOffset>
            </wp:positionH>
            <wp:positionV relativeFrom="paragraph">
              <wp:posOffset>6061</wp:posOffset>
            </wp:positionV>
            <wp:extent cx="5085080" cy="2677160"/>
            <wp:effectExtent l="0" t="0" r="0" b="8890"/>
            <wp:wrapTight wrapText="bothSides">
              <wp:wrapPolygon edited="0">
                <wp:start x="10196" y="0"/>
                <wp:lineTo x="9710" y="615"/>
                <wp:lineTo x="9063" y="2152"/>
                <wp:lineTo x="9063" y="3228"/>
                <wp:lineTo x="9387" y="5072"/>
                <wp:lineTo x="9468" y="7531"/>
                <wp:lineTo x="6393" y="7685"/>
                <wp:lineTo x="5017" y="8454"/>
                <wp:lineTo x="5179" y="13526"/>
                <wp:lineTo x="8335" y="14909"/>
                <wp:lineTo x="10600" y="14909"/>
                <wp:lineTo x="9872" y="15831"/>
                <wp:lineTo x="9144" y="17214"/>
                <wp:lineTo x="9144" y="19827"/>
                <wp:lineTo x="10034" y="21518"/>
                <wp:lineTo x="10196" y="21518"/>
                <wp:lineTo x="11410" y="21518"/>
                <wp:lineTo x="11652" y="21518"/>
                <wp:lineTo x="12462" y="19827"/>
                <wp:lineTo x="12542" y="17214"/>
                <wp:lineTo x="11733" y="15831"/>
                <wp:lineTo x="11005" y="14909"/>
                <wp:lineTo x="13109" y="14909"/>
                <wp:lineTo x="16507" y="13372"/>
                <wp:lineTo x="16669" y="8607"/>
                <wp:lineTo x="15213" y="7685"/>
                <wp:lineTo x="12138" y="7531"/>
                <wp:lineTo x="12300" y="5072"/>
                <wp:lineTo x="12623" y="2306"/>
                <wp:lineTo x="11814" y="461"/>
                <wp:lineTo x="11410" y="0"/>
                <wp:lineTo x="10196" y="0"/>
              </wp:wrapPolygon>
            </wp:wrapTight>
            <wp:docPr id="132030877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3E44E224" w14:textId="1C27E163" w:rsidR="004810B3" w:rsidRDefault="004810B3" w:rsidP="00E77650">
      <w:pPr>
        <w:shd w:val="clear" w:color="auto" w:fill="FFFFFF"/>
        <w:spacing w:after="0" w:line="480" w:lineRule="auto"/>
        <w:ind w:firstLine="360"/>
        <w:rPr>
          <w:rFonts w:asciiTheme="majorBidi" w:hAnsiTheme="majorBidi" w:cstheme="majorBidi"/>
          <w:sz w:val="24"/>
          <w:szCs w:val="24"/>
        </w:rPr>
      </w:pPr>
    </w:p>
    <w:p w14:paraId="049D6DE8" w14:textId="5BC5909F" w:rsidR="004810B3" w:rsidRDefault="004810B3" w:rsidP="00E77650">
      <w:pPr>
        <w:shd w:val="clear" w:color="auto" w:fill="FFFFFF"/>
        <w:spacing w:after="0" w:line="480" w:lineRule="auto"/>
        <w:ind w:firstLine="360"/>
        <w:rPr>
          <w:rFonts w:asciiTheme="majorBidi" w:hAnsiTheme="majorBidi" w:cstheme="majorBidi"/>
          <w:sz w:val="24"/>
          <w:szCs w:val="24"/>
        </w:rPr>
      </w:pPr>
    </w:p>
    <w:p w14:paraId="33AFADF1" w14:textId="4E5017DE" w:rsidR="004810B3" w:rsidRDefault="004810B3" w:rsidP="00E77650">
      <w:pPr>
        <w:shd w:val="clear" w:color="auto" w:fill="FFFFFF"/>
        <w:spacing w:after="0" w:line="480" w:lineRule="auto"/>
        <w:ind w:firstLine="360"/>
        <w:rPr>
          <w:rFonts w:asciiTheme="majorBidi" w:hAnsiTheme="majorBidi" w:cstheme="majorBidi"/>
          <w:sz w:val="24"/>
          <w:szCs w:val="24"/>
        </w:rPr>
      </w:pPr>
    </w:p>
    <w:p w14:paraId="1A402920" w14:textId="427936BC" w:rsidR="004810B3" w:rsidRDefault="004810B3" w:rsidP="00E77650">
      <w:pPr>
        <w:shd w:val="clear" w:color="auto" w:fill="FFFFFF"/>
        <w:spacing w:after="0" w:line="480" w:lineRule="auto"/>
        <w:ind w:firstLine="360"/>
        <w:rPr>
          <w:rFonts w:asciiTheme="majorBidi" w:hAnsiTheme="majorBidi" w:cstheme="majorBidi"/>
          <w:sz w:val="24"/>
          <w:szCs w:val="24"/>
        </w:rPr>
      </w:pPr>
    </w:p>
    <w:p w14:paraId="620DC3B3" w14:textId="2F53AF2B" w:rsidR="004810B3" w:rsidRDefault="004810B3" w:rsidP="008D132A">
      <w:pPr>
        <w:shd w:val="clear" w:color="auto" w:fill="FFFFFF"/>
        <w:spacing w:after="0" w:line="480" w:lineRule="auto"/>
        <w:rPr>
          <w:rFonts w:asciiTheme="majorBidi" w:hAnsiTheme="majorBidi" w:cstheme="majorBidi"/>
          <w:sz w:val="24"/>
          <w:szCs w:val="24"/>
        </w:rPr>
      </w:pPr>
    </w:p>
    <w:p w14:paraId="02BEA0F7" w14:textId="0FF177AB" w:rsidR="004810B3" w:rsidRDefault="004810B3" w:rsidP="00E77650">
      <w:pPr>
        <w:shd w:val="clear" w:color="auto" w:fill="FFFFFF"/>
        <w:spacing w:after="0" w:line="480" w:lineRule="auto"/>
        <w:ind w:firstLine="360"/>
        <w:rPr>
          <w:rFonts w:asciiTheme="majorBidi" w:hAnsiTheme="majorBidi" w:cstheme="majorBidi"/>
          <w:sz w:val="24"/>
          <w:szCs w:val="24"/>
        </w:rPr>
      </w:pPr>
    </w:p>
    <w:p w14:paraId="0B46663D" w14:textId="412A085D" w:rsidR="00044DE9" w:rsidRDefault="00044DE9" w:rsidP="00044DE9">
      <w:pPr>
        <w:shd w:val="clear" w:color="auto" w:fill="FFFFFF"/>
        <w:spacing w:after="0" w:line="480" w:lineRule="auto"/>
        <w:rPr>
          <w:rFonts w:asciiTheme="majorBidi" w:hAnsiTheme="majorBidi" w:cstheme="majorBidi"/>
          <w:sz w:val="24"/>
          <w:szCs w:val="24"/>
        </w:rPr>
      </w:pPr>
      <w:r>
        <w:rPr>
          <w:noProof/>
        </w:rPr>
        <mc:AlternateContent>
          <mc:Choice Requires="wps">
            <w:drawing>
              <wp:anchor distT="0" distB="0" distL="114300" distR="114300" simplePos="0" relativeHeight="251659776" behindDoc="0" locked="0" layoutInCell="1" allowOverlap="1" wp14:anchorId="7EC86754" wp14:editId="2B7BA307">
                <wp:simplePos x="0" y="0"/>
                <wp:positionH relativeFrom="margin">
                  <wp:posOffset>-1059</wp:posOffset>
                </wp:positionH>
                <wp:positionV relativeFrom="paragraph">
                  <wp:posOffset>316018</wp:posOffset>
                </wp:positionV>
                <wp:extent cx="5598160" cy="258445"/>
                <wp:effectExtent l="0" t="0" r="2540" b="8255"/>
                <wp:wrapSquare wrapText="bothSides"/>
                <wp:docPr id="11279822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8160" cy="258445"/>
                        </a:xfrm>
                        <a:prstGeom prst="rect">
                          <a:avLst/>
                        </a:prstGeom>
                        <a:solidFill>
                          <a:prstClr val="white"/>
                        </a:solidFill>
                        <a:ln>
                          <a:noFill/>
                        </a:ln>
                      </wps:spPr>
                      <wps:txbx>
                        <w:txbxContent>
                          <w:p w14:paraId="29DEA7EF" w14:textId="1F7A3D40" w:rsidR="00C55720" w:rsidRPr="00C55720" w:rsidRDefault="00C55720" w:rsidP="00C55720">
                            <w:pPr>
                              <w:pStyle w:val="Caption"/>
                              <w:rPr>
                                <w:rFonts w:asciiTheme="majorBidi" w:hAnsiTheme="majorBidi" w:cstheme="majorBidi"/>
                                <w:noProof/>
                                <w:sz w:val="24"/>
                                <w:szCs w:val="24"/>
                              </w:rPr>
                            </w:pPr>
                            <w:r w:rsidRPr="00C55720">
                              <w:rPr>
                                <w:rFonts w:asciiTheme="majorBidi" w:hAnsiTheme="majorBidi" w:cstheme="majorBidi"/>
                              </w:rPr>
                              <w:t xml:space="preserve">Figure 1 Scope of the Study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EC86754" id="_x0000_t202" coordsize="21600,21600" o:spt="202" path="m,l,21600r21600,l21600,xe">
                <v:stroke joinstyle="miter"/>
                <v:path gradientshapeok="t" o:connecttype="rect"/>
              </v:shapetype>
              <v:shape id="Text Box 10" o:spid="_x0000_s1026" type="#_x0000_t202" style="position:absolute;margin-left:-.1pt;margin-top:24.9pt;width:440.8pt;height:20.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" stroked="f">
                <v:textbox style="mso-fit-shape-to-text:t" inset="0,0,0,0">
                  <w:txbxContent>
                    <w:p w14:paraId="29DEA7EF" w14:textId="1F7A3D40" w:rsidR="00C55720" w:rsidRPr="00C55720" w:rsidRDefault="00C55720" w:rsidP="00C55720">
                      <w:pPr>
                        <w:pStyle w:val="Caption"/>
                        <w:rPr>
                          <w:rFonts w:asciiTheme="majorBidi" w:hAnsiTheme="majorBidi" w:cstheme="majorBidi"/>
                          <w:noProof/>
                          <w:sz w:val="24"/>
                          <w:szCs w:val="24"/>
                        </w:rPr>
                      </w:pPr>
                      <w:r w:rsidRPr="00C55720">
                        <w:rPr>
                          <w:rFonts w:asciiTheme="majorBidi" w:hAnsiTheme="majorBidi" w:cstheme="majorBidi"/>
                        </w:rPr>
                        <w:t xml:space="preserve">Figure 1 Scope of the Study </w:t>
                      </w:r>
                    </w:p>
                  </w:txbxContent>
                </v:textbox>
                <w10:wrap type="square" anchorx="margin"/>
              </v:shape>
            </w:pict>
          </mc:Fallback>
        </mc:AlternateContent>
      </w:r>
    </w:p>
    <w:p w14:paraId="414797E6" w14:textId="0C6C4E3E" w:rsidR="003714C1" w:rsidRPr="003714C1" w:rsidRDefault="003714C1">
      <w:pPr>
        <w:pStyle w:val="ListParagraph"/>
        <w:numPr>
          <w:ilvl w:val="1"/>
          <w:numId w:val="22"/>
        </w:numPr>
        <w:shd w:val="clear" w:color="auto" w:fill="FFFFFF"/>
        <w:spacing w:after="0" w:line="480" w:lineRule="auto"/>
        <w:rPr>
          <w:rFonts w:asciiTheme="majorBidi" w:hAnsiTheme="majorBidi" w:cstheme="majorBidi"/>
          <w:b/>
          <w:bCs/>
          <w:sz w:val="24"/>
          <w:szCs w:val="24"/>
        </w:rPr>
      </w:pPr>
      <w:bookmarkStart w:id="8" w:name="_Hlk152538758"/>
      <w:r w:rsidRPr="003714C1">
        <w:rPr>
          <w:rFonts w:asciiTheme="majorBidi" w:hAnsiTheme="majorBidi" w:cstheme="majorBidi"/>
          <w:b/>
          <w:bCs/>
          <w:sz w:val="24"/>
          <w:szCs w:val="24"/>
        </w:rPr>
        <w:t xml:space="preserve">Contributions of the thesis </w:t>
      </w:r>
    </w:p>
    <w:p w14:paraId="7C7CBBC5" w14:textId="73DE5BE1" w:rsidR="00D75541" w:rsidRPr="00B85374" w:rsidRDefault="003714C1" w:rsidP="008D132A">
      <w:pPr>
        <w:spacing w:after="0" w:line="480" w:lineRule="auto"/>
      </w:pPr>
      <w:r>
        <w:rPr>
          <w:rFonts w:asciiTheme="majorBidi" w:hAnsiTheme="majorBidi" w:cstheme="majorBidi"/>
          <w:sz w:val="24"/>
          <w:szCs w:val="24"/>
        </w:rPr>
        <w:tab/>
      </w:r>
      <w:bookmarkStart w:id="9" w:name="_Hlk158303803"/>
      <w:r>
        <w:rPr>
          <w:rFonts w:asciiTheme="majorBidi" w:hAnsiTheme="majorBidi" w:cstheme="majorBidi"/>
          <w:sz w:val="24"/>
          <w:szCs w:val="24"/>
        </w:rPr>
        <w:t>Th</w:t>
      </w:r>
      <w:r w:rsidR="00955BD4">
        <w:rPr>
          <w:rFonts w:asciiTheme="majorBidi" w:hAnsiTheme="majorBidi" w:cstheme="majorBidi"/>
          <w:sz w:val="24"/>
          <w:szCs w:val="24"/>
        </w:rPr>
        <w:t xml:space="preserve">is thesis provides a plenty of substantial contributions that </w:t>
      </w:r>
      <w:r w:rsidR="00F37707">
        <w:rPr>
          <w:rFonts w:asciiTheme="majorBidi" w:hAnsiTheme="majorBidi" w:cstheme="majorBidi"/>
          <w:sz w:val="24"/>
          <w:szCs w:val="24"/>
        </w:rPr>
        <w:t xml:space="preserve">added value to the advancement of CSR communication research. </w:t>
      </w:r>
      <w:r w:rsidR="007246C2">
        <w:rPr>
          <w:rFonts w:asciiTheme="majorBidi" w:hAnsiTheme="majorBidi" w:cstheme="majorBidi"/>
          <w:sz w:val="24"/>
          <w:szCs w:val="24"/>
        </w:rPr>
        <w:t xml:space="preserve">The contributions of this thesis </w:t>
      </w:r>
      <w:r w:rsidR="00955BD4">
        <w:rPr>
          <w:rFonts w:asciiTheme="majorBidi" w:hAnsiTheme="majorBidi" w:cstheme="majorBidi"/>
          <w:sz w:val="24"/>
          <w:szCs w:val="24"/>
        </w:rPr>
        <w:t xml:space="preserve">are threefold. These contributions consist of five contributions to </w:t>
      </w:r>
      <w:r w:rsidR="009660F3">
        <w:rPr>
          <w:rFonts w:asciiTheme="majorBidi" w:hAnsiTheme="majorBidi" w:cstheme="majorBidi"/>
          <w:sz w:val="24"/>
          <w:szCs w:val="24"/>
        </w:rPr>
        <w:t>knowledge</w:t>
      </w:r>
      <w:r>
        <w:rPr>
          <w:rFonts w:asciiTheme="majorBidi" w:hAnsiTheme="majorBidi" w:cstheme="majorBidi"/>
          <w:sz w:val="24"/>
          <w:szCs w:val="24"/>
        </w:rPr>
        <w:t>,</w:t>
      </w:r>
      <w:r w:rsidR="00955BD4">
        <w:rPr>
          <w:rFonts w:asciiTheme="majorBidi" w:hAnsiTheme="majorBidi" w:cstheme="majorBidi"/>
          <w:sz w:val="24"/>
          <w:szCs w:val="24"/>
        </w:rPr>
        <w:t xml:space="preserve"> three contributions to theory</w:t>
      </w:r>
      <w:r>
        <w:rPr>
          <w:rFonts w:asciiTheme="majorBidi" w:hAnsiTheme="majorBidi" w:cstheme="majorBidi"/>
          <w:sz w:val="24"/>
          <w:szCs w:val="24"/>
        </w:rPr>
        <w:t xml:space="preserve"> and</w:t>
      </w:r>
      <w:r w:rsidR="00955BD4">
        <w:rPr>
          <w:rFonts w:asciiTheme="majorBidi" w:hAnsiTheme="majorBidi" w:cstheme="majorBidi"/>
          <w:sz w:val="24"/>
          <w:szCs w:val="24"/>
        </w:rPr>
        <w:t xml:space="preserve"> three contribution</w:t>
      </w:r>
      <w:r w:rsidR="00F37707">
        <w:rPr>
          <w:rFonts w:asciiTheme="majorBidi" w:hAnsiTheme="majorBidi" w:cstheme="majorBidi"/>
          <w:sz w:val="24"/>
          <w:szCs w:val="24"/>
        </w:rPr>
        <w:t>s</w:t>
      </w:r>
      <w:r w:rsidR="00955BD4">
        <w:rPr>
          <w:rFonts w:asciiTheme="majorBidi" w:hAnsiTheme="majorBidi" w:cstheme="majorBidi"/>
          <w:sz w:val="24"/>
          <w:szCs w:val="24"/>
        </w:rPr>
        <w:t xml:space="preserve"> to practice. Firstly, I outline the contributions to knowledge. </w:t>
      </w:r>
      <w:r w:rsidRPr="00790784">
        <w:rPr>
          <w:rFonts w:asciiTheme="majorBidi" w:hAnsiTheme="majorBidi" w:cstheme="majorBidi"/>
          <w:sz w:val="24"/>
          <w:szCs w:val="24"/>
        </w:rPr>
        <w:t xml:space="preserve">Despite the Middle East's vastness and the need to further explore this notion in the region, CSR as a topic is often </w:t>
      </w:r>
      <w:r w:rsidR="00C650BC">
        <w:rPr>
          <w:rFonts w:asciiTheme="majorBidi" w:hAnsiTheme="majorBidi" w:cstheme="majorBidi"/>
          <w:sz w:val="24"/>
          <w:szCs w:val="24"/>
        </w:rPr>
        <w:t>under-researched</w:t>
      </w:r>
      <w:r w:rsidR="00D75541" w:rsidRPr="00D75541">
        <w:rPr>
          <w:rFonts w:asciiTheme="majorBidi" w:hAnsiTheme="majorBidi" w:cstheme="majorBidi"/>
          <w:noProof/>
          <w:sz w:val="24"/>
          <w:szCs w:val="24"/>
        </w:rPr>
        <w:t xml:space="preserve"> </w:t>
      </w:r>
      <w:r w:rsidR="00D75541">
        <w:rPr>
          <w:rFonts w:asciiTheme="majorBidi" w:hAnsiTheme="majorBidi" w:cstheme="majorBidi"/>
          <w:noProof/>
          <w:sz w:val="24"/>
          <w:szCs w:val="24"/>
        </w:rPr>
        <w:t>(</w:t>
      </w:r>
      <w:r w:rsidR="00D75541" w:rsidRPr="003275FC">
        <w:rPr>
          <w:rFonts w:asciiTheme="majorBidi" w:hAnsiTheme="majorBidi" w:cstheme="majorBidi"/>
          <w:noProof/>
          <w:sz w:val="24"/>
          <w:szCs w:val="24"/>
        </w:rPr>
        <w:t xml:space="preserve">Alawamleh &amp; Giacaman, 2020; Al Mubarak, Ben Hamed, &amp; Al Mubarak , </w:t>
      </w:r>
      <w:r w:rsidR="00DD2653" w:rsidRPr="00DD2653">
        <w:rPr>
          <w:rFonts w:asciiTheme="majorBidi" w:hAnsiTheme="majorBidi" w:cstheme="majorBidi"/>
          <w:noProof/>
          <w:sz w:val="24"/>
          <w:szCs w:val="24"/>
        </w:rPr>
        <w:t>Khamis &amp; Ismail, 2022</w:t>
      </w:r>
      <w:r w:rsidR="00D75541">
        <w:rPr>
          <w:rFonts w:asciiTheme="majorBidi" w:hAnsiTheme="majorBidi" w:cstheme="majorBidi"/>
          <w:noProof/>
          <w:sz w:val="24"/>
          <w:szCs w:val="24"/>
        </w:rPr>
        <w:t>)</w:t>
      </w:r>
      <w:r w:rsidR="003B7715">
        <w:rPr>
          <w:rFonts w:asciiTheme="majorBidi" w:hAnsiTheme="majorBidi" w:cstheme="majorBidi"/>
          <w:noProof/>
          <w:sz w:val="24"/>
          <w:szCs w:val="24"/>
        </w:rPr>
        <w:t>.</w:t>
      </w:r>
      <w:r w:rsidR="00DD2653">
        <w:rPr>
          <w:rFonts w:asciiTheme="majorBidi" w:hAnsiTheme="majorBidi" w:cstheme="majorBidi"/>
          <w:sz w:val="24"/>
          <w:szCs w:val="24"/>
        </w:rPr>
        <w:t xml:space="preserve"> </w:t>
      </w:r>
      <w:r w:rsidR="00D75541" w:rsidRPr="00296C42">
        <w:rPr>
          <w:rFonts w:asciiTheme="majorBidi" w:hAnsiTheme="majorBidi" w:cstheme="majorBidi"/>
          <w:sz w:val="24"/>
          <w:szCs w:val="24"/>
        </w:rPr>
        <w:t xml:space="preserve">This thesis </w:t>
      </w:r>
      <w:r w:rsidR="003E489C">
        <w:rPr>
          <w:rFonts w:asciiTheme="majorBidi" w:hAnsiTheme="majorBidi" w:cstheme="majorBidi"/>
          <w:sz w:val="24"/>
          <w:szCs w:val="24"/>
        </w:rPr>
        <w:t xml:space="preserve">expands the body of literature </w:t>
      </w:r>
      <w:r w:rsidR="00D75541" w:rsidRPr="00296C42">
        <w:rPr>
          <w:rFonts w:asciiTheme="majorBidi" w:hAnsiTheme="majorBidi" w:cstheme="majorBidi"/>
          <w:sz w:val="24"/>
          <w:szCs w:val="24"/>
        </w:rPr>
        <w:t xml:space="preserve">by examining the influence of CSR communication on consumers in </w:t>
      </w:r>
      <w:r w:rsidR="003E489C">
        <w:rPr>
          <w:rFonts w:asciiTheme="majorBidi" w:hAnsiTheme="majorBidi" w:cstheme="majorBidi"/>
          <w:sz w:val="24"/>
          <w:szCs w:val="24"/>
        </w:rPr>
        <w:t xml:space="preserve">a </w:t>
      </w:r>
      <w:r w:rsidR="003E489C" w:rsidRPr="009105CC">
        <w:rPr>
          <w:rFonts w:asciiTheme="majorBidi" w:hAnsiTheme="majorBidi" w:cstheme="majorBidi"/>
          <w:sz w:val="24"/>
          <w:szCs w:val="24"/>
        </w:rPr>
        <w:t xml:space="preserve">Middle Eastern country which is </w:t>
      </w:r>
      <w:r w:rsidR="00D75541" w:rsidRPr="009105CC">
        <w:rPr>
          <w:rFonts w:asciiTheme="majorBidi" w:hAnsiTheme="majorBidi" w:cstheme="majorBidi"/>
          <w:sz w:val="24"/>
          <w:szCs w:val="24"/>
        </w:rPr>
        <w:t>Egypt</w:t>
      </w:r>
      <w:r w:rsidR="003E489C" w:rsidRPr="009105CC">
        <w:rPr>
          <w:rFonts w:asciiTheme="majorBidi" w:hAnsiTheme="majorBidi" w:cstheme="majorBidi"/>
          <w:sz w:val="24"/>
          <w:szCs w:val="24"/>
        </w:rPr>
        <w:t>. Most importantly, the main contribution to literature is comparing the effect of CSR to non-CSR communication.</w:t>
      </w:r>
      <w:r w:rsidRPr="009105CC">
        <w:rPr>
          <w:rFonts w:asciiTheme="majorBidi" w:hAnsiTheme="majorBidi" w:cstheme="majorBidi"/>
          <w:sz w:val="24"/>
          <w:szCs w:val="24"/>
        </w:rPr>
        <w:t xml:space="preserve"> To my knowledge, this is the first study that compare</w:t>
      </w:r>
      <w:r w:rsidR="009660F3" w:rsidRPr="009105CC">
        <w:rPr>
          <w:rFonts w:asciiTheme="majorBidi" w:hAnsiTheme="majorBidi" w:cstheme="majorBidi"/>
          <w:sz w:val="24"/>
          <w:szCs w:val="24"/>
        </w:rPr>
        <w:t>s</w:t>
      </w:r>
      <w:r w:rsidRPr="009105CC">
        <w:rPr>
          <w:rFonts w:asciiTheme="majorBidi" w:hAnsiTheme="majorBidi" w:cstheme="majorBidi"/>
          <w:sz w:val="24"/>
          <w:szCs w:val="24"/>
        </w:rPr>
        <w:t xml:space="preserve"> the effects of CSR to non-CSR</w:t>
      </w:r>
      <w:r>
        <w:rPr>
          <w:rFonts w:asciiTheme="majorBidi" w:hAnsiTheme="majorBidi" w:cstheme="majorBidi"/>
          <w:sz w:val="24"/>
          <w:szCs w:val="24"/>
        </w:rPr>
        <w:t xml:space="preserve"> </w:t>
      </w:r>
      <w:r w:rsidR="003E489C">
        <w:rPr>
          <w:rFonts w:asciiTheme="majorBidi" w:hAnsiTheme="majorBidi" w:cstheme="majorBidi"/>
          <w:sz w:val="24"/>
          <w:szCs w:val="24"/>
        </w:rPr>
        <w:t xml:space="preserve">as a broad communication strategy </w:t>
      </w:r>
      <w:r>
        <w:rPr>
          <w:rFonts w:asciiTheme="majorBidi" w:hAnsiTheme="majorBidi" w:cstheme="majorBidi"/>
          <w:sz w:val="24"/>
          <w:szCs w:val="24"/>
        </w:rPr>
        <w:t>on consumers</w:t>
      </w:r>
      <w:r w:rsidR="009660F3">
        <w:rPr>
          <w:rFonts w:asciiTheme="majorBidi" w:hAnsiTheme="majorBidi" w:cstheme="majorBidi"/>
          <w:sz w:val="24"/>
          <w:szCs w:val="24"/>
        </w:rPr>
        <w:t>’</w:t>
      </w:r>
      <w:r>
        <w:rPr>
          <w:rFonts w:asciiTheme="majorBidi" w:hAnsiTheme="majorBidi" w:cstheme="majorBidi"/>
          <w:sz w:val="24"/>
          <w:szCs w:val="24"/>
        </w:rPr>
        <w:t xml:space="preserve"> attitudes and purchase intentions in the FMCG industry.</w:t>
      </w:r>
      <w:r w:rsidR="005A7C40">
        <w:rPr>
          <w:rFonts w:asciiTheme="majorBidi" w:hAnsiTheme="majorBidi" w:cstheme="majorBidi"/>
          <w:sz w:val="24"/>
          <w:szCs w:val="24"/>
        </w:rPr>
        <w:t xml:space="preserve"> This comparison of the influence of CSR versus non-CSR communication is a particularly important and novel contribution to literature. This is because companies launch a lot of CSR and non-CSR communication campaigns however, there isn’t enough research that examine which communication strategy is more positively influential on consumers’ brand attitudes.</w:t>
      </w:r>
      <w:r w:rsidR="00427656">
        <w:rPr>
          <w:rFonts w:asciiTheme="majorBidi" w:hAnsiTheme="majorBidi" w:cstheme="majorBidi"/>
          <w:sz w:val="24"/>
          <w:szCs w:val="24"/>
        </w:rPr>
        <w:t xml:space="preserve"> </w:t>
      </w:r>
      <w:r w:rsidR="00D75541" w:rsidRPr="00296C42">
        <w:rPr>
          <w:rFonts w:asciiTheme="majorBidi" w:hAnsiTheme="majorBidi" w:cstheme="majorBidi"/>
          <w:sz w:val="24"/>
          <w:szCs w:val="24"/>
        </w:rPr>
        <w:t>This study sheds a particular focus on certain brand attitudes</w:t>
      </w:r>
      <w:r w:rsidR="00D75541">
        <w:rPr>
          <w:rFonts w:asciiTheme="majorBidi" w:hAnsiTheme="majorBidi" w:cstheme="majorBidi"/>
          <w:sz w:val="24"/>
          <w:szCs w:val="24"/>
        </w:rPr>
        <w:t xml:space="preserve"> (section</w:t>
      </w:r>
      <w:r w:rsidR="00A95B0D">
        <w:rPr>
          <w:rFonts w:asciiTheme="majorBidi" w:hAnsiTheme="majorBidi" w:cstheme="majorBidi"/>
          <w:sz w:val="24"/>
          <w:szCs w:val="24"/>
        </w:rPr>
        <w:t xml:space="preserve">s </w:t>
      </w:r>
      <w:r w:rsidR="005A7C40">
        <w:rPr>
          <w:rFonts w:asciiTheme="majorBidi" w:hAnsiTheme="majorBidi" w:cstheme="majorBidi"/>
          <w:sz w:val="24"/>
          <w:szCs w:val="24"/>
        </w:rPr>
        <w:t>2</w:t>
      </w:r>
      <w:r w:rsidR="00A95B0D">
        <w:rPr>
          <w:rFonts w:asciiTheme="majorBidi" w:hAnsiTheme="majorBidi" w:cstheme="majorBidi"/>
          <w:sz w:val="24"/>
          <w:szCs w:val="24"/>
        </w:rPr>
        <w:t xml:space="preserve">.7.1- </w:t>
      </w:r>
      <w:r w:rsidR="005A7C40">
        <w:rPr>
          <w:rFonts w:asciiTheme="majorBidi" w:hAnsiTheme="majorBidi" w:cstheme="majorBidi"/>
          <w:sz w:val="24"/>
          <w:szCs w:val="24"/>
        </w:rPr>
        <w:t>2</w:t>
      </w:r>
      <w:r w:rsidR="00A95B0D">
        <w:rPr>
          <w:rFonts w:asciiTheme="majorBidi" w:hAnsiTheme="majorBidi" w:cstheme="majorBidi"/>
          <w:sz w:val="24"/>
          <w:szCs w:val="24"/>
        </w:rPr>
        <w:t xml:space="preserve">.7.7) </w:t>
      </w:r>
      <w:r w:rsidR="00D75541" w:rsidRPr="00296C42">
        <w:rPr>
          <w:rFonts w:asciiTheme="majorBidi" w:hAnsiTheme="majorBidi" w:cstheme="majorBidi"/>
          <w:sz w:val="24"/>
          <w:szCs w:val="24"/>
        </w:rPr>
        <w:t>that would lead to purchase intention which is considered the main measure in this study. The</w:t>
      </w:r>
      <w:r w:rsidR="00D75541">
        <w:rPr>
          <w:rFonts w:asciiTheme="majorBidi" w:hAnsiTheme="majorBidi" w:cstheme="majorBidi"/>
          <w:sz w:val="24"/>
          <w:szCs w:val="24"/>
        </w:rPr>
        <w:t xml:space="preserve"> identified</w:t>
      </w:r>
      <w:r w:rsidR="00D75541" w:rsidRPr="00296C42">
        <w:rPr>
          <w:rFonts w:asciiTheme="majorBidi" w:hAnsiTheme="majorBidi" w:cstheme="majorBidi"/>
          <w:sz w:val="24"/>
          <w:szCs w:val="24"/>
        </w:rPr>
        <w:t xml:space="preserve"> brand attitudes</w:t>
      </w:r>
      <w:r w:rsidR="00D75541">
        <w:rPr>
          <w:rFonts w:asciiTheme="majorBidi" w:hAnsiTheme="majorBidi" w:cstheme="majorBidi"/>
          <w:sz w:val="24"/>
          <w:szCs w:val="24"/>
        </w:rPr>
        <w:t xml:space="preserve"> in this study (such as brand likeability, emotional brand attachment, brand trust, etc</w:t>
      </w:r>
      <w:r w:rsidR="00C650BC">
        <w:rPr>
          <w:rFonts w:asciiTheme="majorBidi" w:hAnsiTheme="majorBidi" w:cstheme="majorBidi"/>
          <w:sz w:val="24"/>
          <w:szCs w:val="24"/>
        </w:rPr>
        <w:t>.</w:t>
      </w:r>
      <w:r w:rsidR="00D75541">
        <w:rPr>
          <w:rFonts w:asciiTheme="majorBidi" w:hAnsiTheme="majorBidi" w:cstheme="majorBidi"/>
          <w:sz w:val="24"/>
          <w:szCs w:val="24"/>
        </w:rPr>
        <w:t>)</w:t>
      </w:r>
      <w:r w:rsidR="00D75541" w:rsidRPr="00296C42">
        <w:rPr>
          <w:rFonts w:asciiTheme="majorBidi" w:hAnsiTheme="majorBidi" w:cstheme="majorBidi"/>
          <w:sz w:val="24"/>
          <w:szCs w:val="24"/>
        </w:rPr>
        <w:t xml:space="preserve"> are significant as these attitudes</w:t>
      </w:r>
      <w:r w:rsidR="00730049">
        <w:rPr>
          <w:rFonts w:asciiTheme="majorBidi" w:hAnsiTheme="majorBidi" w:cstheme="majorBidi"/>
          <w:sz w:val="24"/>
          <w:szCs w:val="24"/>
        </w:rPr>
        <w:t xml:space="preserve"> are </w:t>
      </w:r>
      <w:r w:rsidR="00D75541" w:rsidRPr="00296C42">
        <w:rPr>
          <w:rFonts w:asciiTheme="majorBidi" w:hAnsiTheme="majorBidi" w:cstheme="majorBidi"/>
          <w:sz w:val="24"/>
          <w:szCs w:val="24"/>
        </w:rPr>
        <w:t>typically</w:t>
      </w:r>
      <w:r w:rsidR="00730049">
        <w:rPr>
          <w:rFonts w:asciiTheme="majorBidi" w:hAnsiTheme="majorBidi" w:cstheme="majorBidi"/>
          <w:sz w:val="24"/>
          <w:szCs w:val="24"/>
        </w:rPr>
        <w:t xml:space="preserve"> expected to </w:t>
      </w:r>
      <w:r w:rsidR="00D75541" w:rsidRPr="00296C42">
        <w:rPr>
          <w:rFonts w:asciiTheme="majorBidi" w:hAnsiTheme="majorBidi" w:cstheme="majorBidi"/>
          <w:sz w:val="24"/>
          <w:szCs w:val="24"/>
        </w:rPr>
        <w:t>result from any brand communication</w:t>
      </w:r>
      <w:r w:rsidR="00730049" w:rsidRPr="00730049">
        <w:rPr>
          <w:rFonts w:asciiTheme="majorBidi" w:hAnsiTheme="majorBidi" w:cstheme="majorBidi"/>
          <w:sz w:val="24"/>
          <w:szCs w:val="24"/>
        </w:rPr>
        <w:t xml:space="preserve"> </w:t>
      </w:r>
      <w:sdt>
        <w:sdtPr>
          <w:rPr>
            <w:rFonts w:asciiTheme="majorBidi" w:hAnsiTheme="majorBidi" w:cstheme="majorBidi"/>
            <w:sz w:val="24"/>
            <w:szCs w:val="24"/>
          </w:rPr>
          <w:id w:val="-1169859119"/>
          <w:citation/>
        </w:sdtPr>
        <w:sdtContent>
          <w:r w:rsidR="00730049">
            <w:rPr>
              <w:rFonts w:asciiTheme="majorBidi" w:hAnsiTheme="majorBidi" w:cstheme="majorBidi"/>
              <w:sz w:val="24"/>
              <w:szCs w:val="24"/>
            </w:rPr>
            <w:fldChar w:fldCharType="begin"/>
          </w:r>
          <w:r w:rsidR="00730049">
            <w:rPr>
              <w:rFonts w:asciiTheme="majorBidi" w:hAnsiTheme="majorBidi" w:cstheme="majorBidi"/>
              <w:sz w:val="24"/>
              <w:szCs w:val="24"/>
            </w:rPr>
            <w:instrText xml:space="preserve"> CITATION Góm23 \l 2057  \m Gri161</w:instrText>
          </w:r>
          <w:r w:rsidR="00730049">
            <w:rPr>
              <w:rFonts w:asciiTheme="majorBidi" w:hAnsiTheme="majorBidi" w:cstheme="majorBidi"/>
              <w:sz w:val="24"/>
              <w:szCs w:val="24"/>
            </w:rPr>
            <w:fldChar w:fldCharType="separate"/>
          </w:r>
          <w:r w:rsidR="00730049" w:rsidRPr="00E83E7B">
            <w:rPr>
              <w:rFonts w:asciiTheme="majorBidi" w:hAnsiTheme="majorBidi" w:cstheme="majorBidi"/>
              <w:noProof/>
              <w:sz w:val="24"/>
              <w:szCs w:val="24"/>
            </w:rPr>
            <w:t>(Gómez-Rico, Molina-Collado, Santos-Vijande, Molina-Collado, &amp; Imhoff , 2023; Grinsven &amp; Das, 2016)</w:t>
          </w:r>
          <w:r w:rsidR="00730049">
            <w:rPr>
              <w:rFonts w:asciiTheme="majorBidi" w:hAnsiTheme="majorBidi" w:cstheme="majorBidi"/>
              <w:sz w:val="24"/>
              <w:szCs w:val="24"/>
            </w:rPr>
            <w:fldChar w:fldCharType="end"/>
          </w:r>
        </w:sdtContent>
      </w:sdt>
      <w:r w:rsidR="00D75541" w:rsidRPr="00296C42">
        <w:rPr>
          <w:rFonts w:asciiTheme="majorBidi" w:hAnsiTheme="majorBidi" w:cstheme="majorBidi"/>
          <w:sz w:val="24"/>
          <w:szCs w:val="24"/>
        </w:rPr>
        <w:t xml:space="preserve">. </w:t>
      </w:r>
      <w:r w:rsidR="003E489C">
        <w:rPr>
          <w:rFonts w:asciiTheme="majorBidi" w:hAnsiTheme="majorBidi" w:cstheme="majorBidi"/>
          <w:sz w:val="24"/>
          <w:szCs w:val="24"/>
        </w:rPr>
        <w:t xml:space="preserve"> </w:t>
      </w:r>
      <w:bookmarkStart w:id="10" w:name="_Hlk157271228"/>
      <w:r w:rsidR="003E489C">
        <w:rPr>
          <w:rFonts w:asciiTheme="majorBidi" w:hAnsiTheme="majorBidi" w:cstheme="majorBidi"/>
          <w:sz w:val="24"/>
          <w:szCs w:val="24"/>
        </w:rPr>
        <w:t xml:space="preserve">While </w:t>
      </w:r>
      <w:r w:rsidR="003E489C" w:rsidRPr="009105CC">
        <w:rPr>
          <w:rFonts w:asciiTheme="majorBidi" w:hAnsiTheme="majorBidi" w:cstheme="majorBidi"/>
          <w:sz w:val="24"/>
          <w:szCs w:val="24"/>
        </w:rPr>
        <w:t>brand likeability</w:t>
      </w:r>
      <w:r w:rsidR="003E489C">
        <w:rPr>
          <w:rFonts w:asciiTheme="majorBidi" w:hAnsiTheme="majorBidi" w:cstheme="majorBidi"/>
          <w:sz w:val="24"/>
          <w:szCs w:val="24"/>
        </w:rPr>
        <w:t xml:space="preserve"> is a crucial attitude that determines the success </w:t>
      </w:r>
      <w:bookmarkEnd w:id="10"/>
      <w:r w:rsidR="003E489C">
        <w:rPr>
          <w:rFonts w:asciiTheme="majorBidi" w:hAnsiTheme="majorBidi" w:cstheme="majorBidi"/>
          <w:sz w:val="24"/>
          <w:szCs w:val="24"/>
        </w:rPr>
        <w:t>of communication campaigns</w:t>
      </w:r>
      <w:r w:rsidR="004B668B" w:rsidRPr="004B668B">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890797666"/>
          <w:citation/>
        </w:sdtPr>
        <w:sdtContent>
          <w:r w:rsidR="004B668B" w:rsidRPr="00E27067">
            <w:rPr>
              <w:rFonts w:ascii="Times New Roman" w:hAnsi="Times New Roman" w:cs="Times New Roman"/>
              <w:sz w:val="24"/>
              <w:szCs w:val="24"/>
              <w:shd w:val="clear" w:color="auto" w:fill="FFFFFF"/>
            </w:rPr>
            <w:fldChar w:fldCharType="begin"/>
          </w:r>
          <w:r w:rsidR="004B668B" w:rsidRPr="00E27067">
            <w:rPr>
              <w:rFonts w:ascii="Times New Roman" w:hAnsi="Times New Roman" w:cs="Times New Roman"/>
              <w:sz w:val="24"/>
              <w:szCs w:val="24"/>
              <w:shd w:val="clear" w:color="auto" w:fill="FFFFFF"/>
            </w:rPr>
            <w:instrText xml:space="preserve"> CITATION Ngu13 \l 2057 </w:instrText>
          </w:r>
          <w:r w:rsidR="004B668B" w:rsidRPr="00E27067">
            <w:rPr>
              <w:rFonts w:ascii="Times New Roman" w:hAnsi="Times New Roman" w:cs="Times New Roman"/>
              <w:sz w:val="24"/>
              <w:szCs w:val="24"/>
              <w:shd w:val="clear" w:color="auto" w:fill="FFFFFF"/>
            </w:rPr>
            <w:fldChar w:fldCharType="separate"/>
          </w:r>
          <w:r w:rsidR="004B668B" w:rsidRPr="00E27067">
            <w:rPr>
              <w:rFonts w:ascii="Times New Roman" w:hAnsi="Times New Roman" w:cs="Times New Roman"/>
              <w:noProof/>
              <w:sz w:val="24"/>
              <w:szCs w:val="24"/>
              <w:shd w:val="clear" w:color="auto" w:fill="FFFFFF"/>
            </w:rPr>
            <w:t>(Nguyen, Melewar, &amp; Chen, 2013)</w:t>
          </w:r>
          <w:r w:rsidR="004B668B" w:rsidRPr="00E27067">
            <w:rPr>
              <w:rFonts w:ascii="Times New Roman" w:hAnsi="Times New Roman" w:cs="Times New Roman"/>
              <w:sz w:val="24"/>
              <w:szCs w:val="24"/>
              <w:shd w:val="clear" w:color="auto" w:fill="FFFFFF"/>
            </w:rPr>
            <w:fldChar w:fldCharType="end"/>
          </w:r>
        </w:sdtContent>
      </w:sdt>
      <w:r w:rsidR="003E489C">
        <w:rPr>
          <w:rFonts w:asciiTheme="majorBidi" w:hAnsiTheme="majorBidi" w:cstheme="majorBidi"/>
          <w:sz w:val="24"/>
          <w:szCs w:val="24"/>
        </w:rPr>
        <w:t>, it is not examined in reference to CSR. This study contributes to knowledge by comparing the effects of CSR and non-CSR communications on brand likeability</w:t>
      </w:r>
      <w:r w:rsidR="005A7C40">
        <w:rPr>
          <w:rFonts w:asciiTheme="majorBidi" w:hAnsiTheme="majorBidi" w:cstheme="majorBidi"/>
          <w:sz w:val="24"/>
          <w:szCs w:val="24"/>
        </w:rPr>
        <w:t xml:space="preserve">. </w:t>
      </w:r>
      <w:r w:rsidR="00341607">
        <w:rPr>
          <w:rFonts w:asciiTheme="majorBidi" w:hAnsiTheme="majorBidi" w:cstheme="majorBidi"/>
          <w:sz w:val="24"/>
          <w:szCs w:val="24"/>
        </w:rPr>
        <w:t>Additionally, the study negates some findings in literature</w:t>
      </w:r>
      <w:sdt>
        <w:sdtPr>
          <w:rPr>
            <w:rFonts w:ascii="Times New Roman" w:hAnsi="Times New Roman" w:cs="Times New Roman"/>
            <w:sz w:val="24"/>
            <w:szCs w:val="24"/>
          </w:rPr>
          <w:id w:val="879520034"/>
          <w:citation/>
        </w:sdtPr>
        <w:sdtContent>
          <w:r w:rsidR="00341607" w:rsidRPr="00D04716">
            <w:rPr>
              <w:rFonts w:ascii="Times New Roman" w:hAnsi="Times New Roman" w:cs="Times New Roman"/>
              <w:sz w:val="24"/>
              <w:szCs w:val="24"/>
            </w:rPr>
            <w:fldChar w:fldCharType="begin"/>
          </w:r>
          <w:r w:rsidR="00341607" w:rsidRPr="00D04716">
            <w:rPr>
              <w:rFonts w:ascii="Times New Roman" w:hAnsi="Times New Roman" w:cs="Times New Roman"/>
              <w:sz w:val="24"/>
              <w:szCs w:val="24"/>
            </w:rPr>
            <w:instrText xml:space="preserve"> CITATION Moh171 \l 2057 </w:instrText>
          </w:r>
          <w:r w:rsidR="00341607" w:rsidRPr="00D04716">
            <w:rPr>
              <w:rFonts w:ascii="Times New Roman" w:hAnsi="Times New Roman" w:cs="Times New Roman"/>
              <w:sz w:val="24"/>
              <w:szCs w:val="24"/>
            </w:rPr>
            <w:fldChar w:fldCharType="separate"/>
          </w:r>
          <w:r w:rsidR="00341607">
            <w:rPr>
              <w:rFonts w:ascii="Times New Roman" w:hAnsi="Times New Roman" w:cs="Times New Roman"/>
              <w:noProof/>
              <w:sz w:val="24"/>
              <w:szCs w:val="24"/>
            </w:rPr>
            <w:t xml:space="preserve"> </w:t>
          </w:r>
          <w:r w:rsidR="00341607" w:rsidRPr="0002256A">
            <w:rPr>
              <w:rFonts w:ascii="Times New Roman" w:hAnsi="Times New Roman" w:cs="Times New Roman"/>
              <w:noProof/>
              <w:sz w:val="24"/>
              <w:szCs w:val="24"/>
            </w:rPr>
            <w:t>(Mohan, Jiménez, Brown, &amp; Cantrell, 2017)</w:t>
          </w:r>
          <w:r w:rsidR="00341607" w:rsidRPr="00D04716">
            <w:rPr>
              <w:rFonts w:ascii="Times New Roman" w:hAnsi="Times New Roman" w:cs="Times New Roman"/>
              <w:sz w:val="24"/>
              <w:szCs w:val="24"/>
            </w:rPr>
            <w:fldChar w:fldCharType="end"/>
          </w:r>
        </w:sdtContent>
      </w:sdt>
      <w:r w:rsidR="00341607">
        <w:rPr>
          <w:rFonts w:ascii="Times New Roman" w:hAnsi="Times New Roman" w:cs="Times New Roman"/>
          <w:sz w:val="24"/>
          <w:szCs w:val="24"/>
        </w:rPr>
        <w:t xml:space="preserve"> as it showed that neither did CSR nor non-CSR had significant impacts on </w:t>
      </w:r>
      <w:r w:rsidR="00341607" w:rsidRPr="009105CC">
        <w:rPr>
          <w:rFonts w:ascii="Times New Roman" w:hAnsi="Times New Roman" w:cs="Times New Roman"/>
          <w:sz w:val="24"/>
          <w:szCs w:val="24"/>
        </w:rPr>
        <w:t>brand functionality.</w:t>
      </w:r>
      <w:r w:rsidR="00B85374" w:rsidRPr="009105CC">
        <w:t xml:space="preserve"> </w:t>
      </w:r>
      <w:r w:rsidR="00292FC9" w:rsidRPr="009105CC">
        <w:rPr>
          <w:rFonts w:asciiTheme="majorBidi" w:hAnsiTheme="majorBidi" w:cstheme="majorBidi"/>
          <w:sz w:val="24"/>
          <w:szCs w:val="24"/>
        </w:rPr>
        <w:t xml:space="preserve">Another academic </w:t>
      </w:r>
      <w:r w:rsidR="00F87B21" w:rsidRPr="009105CC">
        <w:rPr>
          <w:rFonts w:asciiTheme="majorBidi" w:hAnsiTheme="majorBidi" w:cstheme="majorBidi"/>
          <w:sz w:val="24"/>
          <w:szCs w:val="24"/>
        </w:rPr>
        <w:t>contribution</w:t>
      </w:r>
      <w:r w:rsidR="00C650BC" w:rsidRPr="009105CC">
        <w:rPr>
          <w:rFonts w:asciiTheme="majorBidi" w:hAnsiTheme="majorBidi" w:cstheme="majorBidi"/>
          <w:sz w:val="24"/>
          <w:szCs w:val="24"/>
        </w:rPr>
        <w:t xml:space="preserve"> is</w:t>
      </w:r>
      <w:r w:rsidR="00292FC9" w:rsidRPr="009105CC">
        <w:rPr>
          <w:rFonts w:asciiTheme="majorBidi" w:hAnsiTheme="majorBidi" w:cstheme="majorBidi"/>
          <w:sz w:val="24"/>
          <w:szCs w:val="24"/>
        </w:rPr>
        <w:t xml:space="preserve"> that </w:t>
      </w:r>
      <w:r w:rsidR="00F87B21" w:rsidRPr="009105CC">
        <w:rPr>
          <w:rFonts w:asciiTheme="majorBidi" w:hAnsiTheme="majorBidi" w:cstheme="majorBidi"/>
          <w:sz w:val="24"/>
          <w:szCs w:val="24"/>
        </w:rPr>
        <w:t>this dissertation i</w:t>
      </w:r>
      <w:r w:rsidR="00292FC9" w:rsidRPr="009105CC">
        <w:rPr>
          <w:rFonts w:asciiTheme="majorBidi" w:hAnsiTheme="majorBidi" w:cstheme="majorBidi"/>
          <w:sz w:val="24"/>
          <w:szCs w:val="24"/>
        </w:rPr>
        <w:t xml:space="preserve">s </w:t>
      </w:r>
      <w:r w:rsidR="00F87B21" w:rsidRPr="009105CC">
        <w:rPr>
          <w:rFonts w:asciiTheme="majorBidi" w:hAnsiTheme="majorBidi" w:cstheme="majorBidi"/>
          <w:sz w:val="24"/>
          <w:szCs w:val="24"/>
        </w:rPr>
        <w:t xml:space="preserve">grounded in the analysis of congruency between CSR perception and </w:t>
      </w:r>
      <w:r w:rsidR="009660F3" w:rsidRPr="009105CC">
        <w:rPr>
          <w:rFonts w:asciiTheme="majorBidi" w:hAnsiTheme="majorBidi" w:cstheme="majorBidi"/>
          <w:sz w:val="24"/>
          <w:szCs w:val="24"/>
        </w:rPr>
        <w:t xml:space="preserve">brand values and the way if this congruency impacts </w:t>
      </w:r>
      <w:r w:rsidR="00F87B21" w:rsidRPr="009105CC">
        <w:rPr>
          <w:rFonts w:asciiTheme="majorBidi" w:hAnsiTheme="majorBidi" w:cstheme="majorBidi"/>
          <w:sz w:val="24"/>
          <w:szCs w:val="24"/>
        </w:rPr>
        <w:t>consumers’ brand attitudes.</w:t>
      </w:r>
      <w:r w:rsidR="00F87B21">
        <w:rPr>
          <w:rFonts w:asciiTheme="majorBidi" w:hAnsiTheme="majorBidi" w:cstheme="majorBidi"/>
          <w:sz w:val="24"/>
          <w:szCs w:val="24"/>
        </w:rPr>
        <w:t xml:space="preserve"> </w:t>
      </w:r>
      <w:r w:rsidR="00292FC9">
        <w:rPr>
          <w:rFonts w:asciiTheme="majorBidi" w:hAnsiTheme="majorBidi" w:cstheme="majorBidi"/>
          <w:sz w:val="24"/>
          <w:szCs w:val="24"/>
        </w:rPr>
        <w:t>There are many studies that investigate the congruency effect between brand communication and consumers’ attitudes or behaviours</w:t>
      </w:r>
      <w:r w:rsidR="00292FC9" w:rsidRPr="00890DE4">
        <w:rPr>
          <w:rFonts w:asciiTheme="majorBidi" w:hAnsiTheme="majorBidi" w:cstheme="majorBidi"/>
          <w:sz w:val="24"/>
          <w:szCs w:val="24"/>
        </w:rPr>
        <w:t xml:space="preserve"> </w:t>
      </w:r>
      <w:sdt>
        <w:sdtPr>
          <w:rPr>
            <w:rFonts w:asciiTheme="majorBidi" w:hAnsiTheme="majorBidi" w:cstheme="majorBidi"/>
            <w:sz w:val="24"/>
            <w:szCs w:val="24"/>
          </w:rPr>
          <w:id w:val="-1654897772"/>
          <w:citation/>
        </w:sdtPr>
        <w:sdtContent>
          <w:r w:rsidR="00292FC9">
            <w:rPr>
              <w:rFonts w:asciiTheme="majorBidi" w:hAnsiTheme="majorBidi" w:cstheme="majorBidi"/>
              <w:sz w:val="24"/>
              <w:szCs w:val="24"/>
            </w:rPr>
            <w:fldChar w:fldCharType="begin"/>
          </w:r>
          <w:r w:rsidR="00292FC9">
            <w:rPr>
              <w:rFonts w:asciiTheme="majorBidi" w:hAnsiTheme="majorBidi" w:cstheme="majorBidi"/>
              <w:sz w:val="24"/>
              <w:szCs w:val="24"/>
            </w:rPr>
            <w:instrText xml:space="preserve">CITATION Bur21 \m UlI18 \t  \l 2057 </w:instrText>
          </w:r>
          <w:r w:rsidR="00292FC9">
            <w:rPr>
              <w:rFonts w:asciiTheme="majorBidi" w:hAnsiTheme="majorBidi" w:cstheme="majorBidi"/>
              <w:sz w:val="24"/>
              <w:szCs w:val="24"/>
            </w:rPr>
            <w:fldChar w:fldCharType="separate"/>
          </w:r>
          <w:r w:rsidR="00292FC9" w:rsidRPr="00890DE4">
            <w:rPr>
              <w:rFonts w:asciiTheme="majorBidi" w:hAnsiTheme="majorBidi" w:cstheme="majorBidi"/>
              <w:noProof/>
              <w:sz w:val="24"/>
              <w:szCs w:val="24"/>
            </w:rPr>
            <w:t>(Burnasheva &amp; Suh, 2021; Ul Islam, Rahman, &amp; Hollebeek , 2018)</w:t>
          </w:r>
          <w:r w:rsidR="00292FC9">
            <w:rPr>
              <w:rFonts w:asciiTheme="majorBidi" w:hAnsiTheme="majorBidi" w:cstheme="majorBidi"/>
              <w:sz w:val="24"/>
              <w:szCs w:val="24"/>
            </w:rPr>
            <w:fldChar w:fldCharType="end"/>
          </w:r>
        </w:sdtContent>
      </w:sdt>
      <w:r w:rsidR="00292FC9">
        <w:rPr>
          <w:rFonts w:asciiTheme="majorBidi" w:hAnsiTheme="majorBidi" w:cstheme="majorBidi"/>
          <w:sz w:val="24"/>
          <w:szCs w:val="24"/>
        </w:rPr>
        <w:t>. However, there are</w:t>
      </w:r>
      <w:r w:rsidR="00DD362B">
        <w:rPr>
          <w:rFonts w:asciiTheme="majorBidi" w:hAnsiTheme="majorBidi" w:cstheme="majorBidi"/>
          <w:sz w:val="24"/>
          <w:szCs w:val="24"/>
        </w:rPr>
        <w:t xml:space="preserve"> not</w:t>
      </w:r>
      <w:r w:rsidR="00292FC9">
        <w:rPr>
          <w:rFonts w:asciiTheme="majorBidi" w:hAnsiTheme="majorBidi" w:cstheme="majorBidi"/>
          <w:sz w:val="24"/>
          <w:szCs w:val="24"/>
        </w:rPr>
        <w:t xml:space="preserve"> enough studies in </w:t>
      </w:r>
      <w:r w:rsidR="00DD362B">
        <w:rPr>
          <w:rFonts w:asciiTheme="majorBidi" w:hAnsiTheme="majorBidi" w:cstheme="majorBidi"/>
          <w:sz w:val="24"/>
          <w:szCs w:val="24"/>
        </w:rPr>
        <w:t xml:space="preserve">the </w:t>
      </w:r>
      <w:r w:rsidR="00292FC9">
        <w:rPr>
          <w:rFonts w:asciiTheme="majorBidi" w:hAnsiTheme="majorBidi" w:cstheme="majorBidi"/>
          <w:sz w:val="24"/>
          <w:szCs w:val="24"/>
        </w:rPr>
        <w:t xml:space="preserve">literature that examine the congruency between consumers’ CSR perceptions and attitudes towards the </w:t>
      </w:r>
      <w:r w:rsidR="00F87B21">
        <w:rPr>
          <w:rFonts w:asciiTheme="majorBidi" w:hAnsiTheme="majorBidi" w:cstheme="majorBidi"/>
          <w:sz w:val="24"/>
          <w:szCs w:val="24"/>
        </w:rPr>
        <w:t xml:space="preserve">consumer goods </w:t>
      </w:r>
      <w:r w:rsidR="00292FC9">
        <w:rPr>
          <w:rFonts w:asciiTheme="majorBidi" w:hAnsiTheme="majorBidi" w:cstheme="majorBidi"/>
          <w:sz w:val="24"/>
          <w:szCs w:val="24"/>
        </w:rPr>
        <w:t>brand.</w:t>
      </w:r>
    </w:p>
    <w:p w14:paraId="07DB0CB0" w14:textId="10DC96AD" w:rsidR="003449BD" w:rsidRPr="008D132A" w:rsidRDefault="00D75541" w:rsidP="00AF08F6">
      <w:pPr>
        <w:spacing w:after="0" w:line="480" w:lineRule="auto"/>
        <w:rPr>
          <w:rFonts w:ascii="Times New Roman" w:hAnsi="Times New Roman" w:cs="Times New Roman"/>
          <w:sz w:val="24"/>
          <w:szCs w:val="24"/>
        </w:rPr>
      </w:pPr>
      <w:r>
        <w:rPr>
          <w:rFonts w:asciiTheme="majorBidi" w:hAnsiTheme="majorBidi" w:cstheme="majorBidi"/>
          <w:sz w:val="24"/>
          <w:szCs w:val="24"/>
        </w:rPr>
        <w:tab/>
      </w:r>
      <w:r w:rsidR="00955BD4">
        <w:rPr>
          <w:rFonts w:asciiTheme="majorBidi" w:hAnsiTheme="majorBidi" w:cstheme="majorBidi"/>
          <w:sz w:val="24"/>
          <w:szCs w:val="24"/>
        </w:rPr>
        <w:t>Secondly</w:t>
      </w:r>
      <w:r w:rsidR="003714C1">
        <w:rPr>
          <w:rFonts w:asciiTheme="majorBidi" w:hAnsiTheme="majorBidi" w:cstheme="majorBidi"/>
          <w:sz w:val="24"/>
          <w:szCs w:val="24"/>
        </w:rPr>
        <w:t xml:space="preserve">, the findings of the research provide </w:t>
      </w:r>
      <w:r w:rsidR="005A7C40">
        <w:rPr>
          <w:rFonts w:asciiTheme="majorBidi" w:hAnsiTheme="majorBidi" w:cstheme="majorBidi"/>
          <w:sz w:val="24"/>
          <w:szCs w:val="24"/>
        </w:rPr>
        <w:t>groundbreaking</w:t>
      </w:r>
      <w:r w:rsidR="003714C1">
        <w:rPr>
          <w:rFonts w:asciiTheme="majorBidi" w:hAnsiTheme="majorBidi" w:cstheme="majorBidi"/>
          <w:sz w:val="24"/>
          <w:szCs w:val="24"/>
        </w:rPr>
        <w:t xml:space="preserve"> </w:t>
      </w:r>
      <w:r w:rsidR="003714C1" w:rsidRPr="00B96200">
        <w:rPr>
          <w:rFonts w:asciiTheme="majorBidi" w:hAnsiTheme="majorBidi" w:cstheme="majorBidi"/>
          <w:sz w:val="24"/>
          <w:szCs w:val="24"/>
        </w:rPr>
        <w:t>theoretical contributions</w:t>
      </w:r>
      <w:r w:rsidR="003714C1">
        <w:rPr>
          <w:rFonts w:asciiTheme="majorBidi" w:hAnsiTheme="majorBidi" w:cstheme="majorBidi"/>
          <w:sz w:val="24"/>
          <w:szCs w:val="24"/>
        </w:rPr>
        <w:t xml:space="preserve"> to the Theory of Reasoned Action. </w:t>
      </w:r>
      <w:bookmarkStart w:id="11" w:name="_Hlk157274723"/>
      <w:r w:rsidR="003714C1">
        <w:rPr>
          <w:rFonts w:asciiTheme="majorBidi" w:hAnsiTheme="majorBidi" w:cstheme="majorBidi"/>
          <w:sz w:val="24"/>
          <w:szCs w:val="24"/>
        </w:rPr>
        <w:t xml:space="preserve">This is mainly conceptualised </w:t>
      </w:r>
      <w:r w:rsidR="00F63212">
        <w:rPr>
          <w:rFonts w:asciiTheme="majorBidi" w:hAnsiTheme="majorBidi" w:cstheme="majorBidi"/>
          <w:sz w:val="24"/>
          <w:szCs w:val="24"/>
        </w:rPr>
        <w:t xml:space="preserve">by </w:t>
      </w:r>
      <w:r w:rsidR="005A7C40">
        <w:rPr>
          <w:rFonts w:asciiTheme="majorBidi" w:hAnsiTheme="majorBidi" w:cstheme="majorBidi"/>
          <w:sz w:val="24"/>
          <w:szCs w:val="24"/>
        </w:rPr>
        <w:t>proving that</w:t>
      </w:r>
      <w:r w:rsidR="00F63212">
        <w:rPr>
          <w:rFonts w:asciiTheme="majorBidi" w:hAnsiTheme="majorBidi" w:cstheme="majorBidi"/>
          <w:sz w:val="24"/>
          <w:szCs w:val="24"/>
        </w:rPr>
        <w:t xml:space="preserve"> </w:t>
      </w:r>
      <w:r w:rsidR="00F63212" w:rsidRPr="0022443A">
        <w:rPr>
          <w:rFonts w:asciiTheme="majorBidi" w:hAnsiTheme="majorBidi" w:cstheme="majorBidi"/>
          <w:sz w:val="24"/>
          <w:szCs w:val="24"/>
        </w:rPr>
        <w:t>bran</w:t>
      </w:r>
      <w:r w:rsidR="003449BD" w:rsidRPr="0022443A">
        <w:rPr>
          <w:rFonts w:asciiTheme="majorBidi" w:hAnsiTheme="majorBidi" w:cstheme="majorBidi"/>
          <w:sz w:val="24"/>
          <w:szCs w:val="24"/>
        </w:rPr>
        <w:t>d</w:t>
      </w:r>
      <w:r w:rsidR="00F63212" w:rsidRPr="0022443A">
        <w:rPr>
          <w:rFonts w:asciiTheme="majorBidi" w:hAnsiTheme="majorBidi" w:cstheme="majorBidi"/>
          <w:sz w:val="24"/>
          <w:szCs w:val="24"/>
        </w:rPr>
        <w:t xml:space="preserve"> attitudes </w:t>
      </w:r>
      <w:r w:rsidR="005A7C40">
        <w:rPr>
          <w:rFonts w:asciiTheme="majorBidi" w:hAnsiTheme="majorBidi" w:cstheme="majorBidi"/>
          <w:sz w:val="24"/>
          <w:szCs w:val="24"/>
        </w:rPr>
        <w:t>had a significant effect on behavioural intention in the</w:t>
      </w:r>
      <w:r w:rsidR="00F63212" w:rsidRPr="0022443A">
        <w:rPr>
          <w:rFonts w:asciiTheme="majorBidi" w:hAnsiTheme="majorBidi" w:cstheme="majorBidi"/>
          <w:sz w:val="24"/>
          <w:szCs w:val="24"/>
        </w:rPr>
        <w:t xml:space="preserve"> </w:t>
      </w:r>
      <w:bookmarkEnd w:id="11"/>
      <w:r w:rsidR="00F63212">
        <w:rPr>
          <w:rFonts w:asciiTheme="majorBidi" w:hAnsiTheme="majorBidi" w:cstheme="majorBidi"/>
          <w:sz w:val="24"/>
          <w:szCs w:val="24"/>
        </w:rPr>
        <w:t>consumer goods</w:t>
      </w:r>
      <w:r w:rsidR="005A7C40">
        <w:rPr>
          <w:rFonts w:asciiTheme="majorBidi" w:hAnsiTheme="majorBidi" w:cstheme="majorBidi"/>
          <w:sz w:val="24"/>
          <w:szCs w:val="24"/>
        </w:rPr>
        <w:t xml:space="preserve"> industry</w:t>
      </w:r>
      <w:r w:rsidR="003449BD">
        <w:rPr>
          <w:rFonts w:asciiTheme="majorBidi" w:hAnsiTheme="majorBidi" w:cstheme="majorBidi"/>
          <w:sz w:val="24"/>
          <w:szCs w:val="24"/>
        </w:rPr>
        <w:t>. This contribution was further accentuated by</w:t>
      </w:r>
      <w:r w:rsidR="003714C1">
        <w:rPr>
          <w:rFonts w:asciiTheme="majorBidi" w:hAnsiTheme="majorBidi" w:cstheme="majorBidi"/>
          <w:sz w:val="24"/>
          <w:szCs w:val="24"/>
        </w:rPr>
        <w:t xml:space="preserve"> examining the varying strengths of different brand attitudes </w:t>
      </w:r>
      <w:r w:rsidR="003449BD">
        <w:rPr>
          <w:rFonts w:asciiTheme="majorBidi" w:hAnsiTheme="majorBidi" w:cstheme="majorBidi"/>
          <w:sz w:val="24"/>
          <w:szCs w:val="24"/>
        </w:rPr>
        <w:t xml:space="preserve">and their different impacts on purchase intention </w:t>
      </w:r>
      <w:r w:rsidR="005A7C40">
        <w:rPr>
          <w:rFonts w:asciiTheme="majorBidi" w:hAnsiTheme="majorBidi" w:cstheme="majorBidi"/>
          <w:sz w:val="24"/>
          <w:szCs w:val="24"/>
        </w:rPr>
        <w:t>led by</w:t>
      </w:r>
      <w:r w:rsidR="003449BD">
        <w:rPr>
          <w:rFonts w:asciiTheme="majorBidi" w:hAnsiTheme="majorBidi" w:cstheme="majorBidi"/>
          <w:sz w:val="24"/>
          <w:szCs w:val="24"/>
        </w:rPr>
        <w:t xml:space="preserve"> CSR communication</w:t>
      </w:r>
      <w:r w:rsidR="005A7C40">
        <w:rPr>
          <w:rFonts w:asciiTheme="majorBidi" w:hAnsiTheme="majorBidi" w:cstheme="majorBidi"/>
          <w:sz w:val="24"/>
          <w:szCs w:val="24"/>
        </w:rPr>
        <w:t xml:space="preserve">. </w:t>
      </w:r>
      <w:r w:rsidR="008D132A">
        <w:rPr>
          <w:rFonts w:asciiTheme="majorBidi" w:hAnsiTheme="majorBidi" w:cstheme="majorBidi"/>
          <w:sz w:val="24"/>
          <w:szCs w:val="24"/>
        </w:rPr>
        <w:t xml:space="preserve">Additionally, the study confirms the applicability of </w:t>
      </w:r>
      <w:r w:rsidR="008D132A" w:rsidRPr="0022443A">
        <w:rPr>
          <w:rFonts w:asciiTheme="majorBidi" w:hAnsiTheme="majorBidi" w:cstheme="majorBidi"/>
          <w:sz w:val="24"/>
          <w:szCs w:val="24"/>
        </w:rPr>
        <w:t>halo effect</w:t>
      </w:r>
      <w:r w:rsidR="008D132A">
        <w:rPr>
          <w:rFonts w:asciiTheme="majorBidi" w:hAnsiTheme="majorBidi" w:cstheme="majorBidi"/>
          <w:sz w:val="24"/>
          <w:szCs w:val="24"/>
        </w:rPr>
        <w:t xml:space="preserve"> in CSR such</w:t>
      </w:r>
      <w:r w:rsidR="005A7C40">
        <w:rPr>
          <w:rFonts w:asciiTheme="majorBidi" w:hAnsiTheme="majorBidi" w:cstheme="majorBidi"/>
          <w:sz w:val="24"/>
          <w:szCs w:val="24"/>
        </w:rPr>
        <w:t xml:space="preserve"> </w:t>
      </w:r>
      <w:r w:rsidR="008D132A">
        <w:rPr>
          <w:rFonts w:asciiTheme="majorBidi" w:hAnsiTheme="majorBidi" w:cstheme="majorBidi"/>
          <w:sz w:val="24"/>
          <w:szCs w:val="24"/>
        </w:rPr>
        <w:t xml:space="preserve">that CSR communication has a halo or indirect effect on purchase intention. Also, the study further contributes to theory as it confirms the applicability of the stimuli-organism-response framework and confirms the findings of other researchers </w:t>
      </w:r>
      <w:sdt>
        <w:sdtPr>
          <w:rPr>
            <w:rFonts w:asciiTheme="majorBidi" w:hAnsiTheme="majorBidi" w:cstheme="majorBidi"/>
            <w:sz w:val="24"/>
            <w:szCs w:val="24"/>
          </w:rPr>
          <w:id w:val="-849711957"/>
          <w:citation/>
        </w:sdtPr>
        <w:sdtContent>
          <w:r w:rsidR="008D132A">
            <w:rPr>
              <w:rFonts w:asciiTheme="majorBidi" w:hAnsiTheme="majorBidi" w:cstheme="majorBidi"/>
              <w:sz w:val="24"/>
              <w:szCs w:val="24"/>
            </w:rPr>
            <w:fldChar w:fldCharType="begin"/>
          </w:r>
          <w:r w:rsidR="008D132A">
            <w:rPr>
              <w:rFonts w:asciiTheme="majorBidi" w:hAnsiTheme="majorBidi" w:cstheme="majorBidi"/>
              <w:sz w:val="24"/>
              <w:szCs w:val="24"/>
            </w:rPr>
            <w:instrText xml:space="preserve">CITATION SuL20 \l 2057 </w:instrText>
          </w:r>
          <w:r w:rsidR="008D132A">
            <w:rPr>
              <w:rFonts w:asciiTheme="majorBidi" w:hAnsiTheme="majorBidi" w:cstheme="majorBidi"/>
              <w:sz w:val="24"/>
              <w:szCs w:val="24"/>
            </w:rPr>
            <w:fldChar w:fldCharType="separate"/>
          </w:r>
          <w:r w:rsidR="008D132A" w:rsidRPr="00BB2846">
            <w:rPr>
              <w:rFonts w:asciiTheme="majorBidi" w:hAnsiTheme="majorBidi" w:cstheme="majorBidi"/>
              <w:noProof/>
              <w:sz w:val="24"/>
              <w:szCs w:val="24"/>
            </w:rPr>
            <w:t>(Su, Lian, &amp; Huan, 2020)</w:t>
          </w:r>
          <w:r w:rsidR="008D132A">
            <w:rPr>
              <w:rFonts w:asciiTheme="majorBidi" w:hAnsiTheme="majorBidi" w:cstheme="majorBidi"/>
              <w:sz w:val="24"/>
              <w:szCs w:val="24"/>
            </w:rPr>
            <w:fldChar w:fldCharType="end"/>
          </w:r>
        </w:sdtContent>
      </w:sdt>
      <w:r w:rsidR="008D132A">
        <w:rPr>
          <w:rFonts w:asciiTheme="majorBidi" w:hAnsiTheme="majorBidi" w:cstheme="majorBidi"/>
          <w:sz w:val="24"/>
          <w:szCs w:val="24"/>
        </w:rPr>
        <w:t xml:space="preserve"> who found a direct effect from stimuli to response. </w:t>
      </w:r>
    </w:p>
    <w:p w14:paraId="2EFF8D18" w14:textId="77357FEF" w:rsidR="00341607" w:rsidRDefault="003449BD" w:rsidP="00AF08F6">
      <w:pPr>
        <w:spacing w:after="0" w:line="480" w:lineRule="auto"/>
        <w:rPr>
          <w:rFonts w:asciiTheme="majorBidi" w:hAnsiTheme="majorBidi" w:cstheme="majorBidi"/>
          <w:sz w:val="24"/>
          <w:szCs w:val="24"/>
        </w:rPr>
      </w:pPr>
      <w:r>
        <w:rPr>
          <w:rFonts w:asciiTheme="majorBidi" w:hAnsiTheme="majorBidi" w:cstheme="majorBidi"/>
          <w:sz w:val="24"/>
          <w:szCs w:val="24"/>
        </w:rPr>
        <w:tab/>
      </w:r>
      <w:r w:rsidR="00955BD4">
        <w:rPr>
          <w:rFonts w:asciiTheme="majorBidi" w:hAnsiTheme="majorBidi" w:cstheme="majorBidi"/>
          <w:sz w:val="24"/>
          <w:szCs w:val="24"/>
        </w:rPr>
        <w:t>Thirdly</w:t>
      </w:r>
      <w:r w:rsidR="003714C1">
        <w:rPr>
          <w:rFonts w:asciiTheme="majorBidi" w:hAnsiTheme="majorBidi" w:cstheme="majorBidi"/>
          <w:sz w:val="24"/>
          <w:szCs w:val="24"/>
        </w:rPr>
        <w:t xml:space="preserve">, the thesis conveys managerial contributions by </w:t>
      </w:r>
      <w:r w:rsidR="00DD180D" w:rsidRPr="00DD180D">
        <w:rPr>
          <w:rFonts w:asciiTheme="majorBidi" w:hAnsiTheme="majorBidi" w:cstheme="majorBidi"/>
          <w:sz w:val="24"/>
          <w:szCs w:val="24"/>
        </w:rPr>
        <w:t>examining if CSR communication has an impact on Egyptian consumers and if that impact would be stronger than that of non-CSR communication.</w:t>
      </w:r>
      <w:r w:rsidR="00DD180D">
        <w:rPr>
          <w:rFonts w:asciiTheme="majorBidi" w:hAnsiTheme="majorBidi" w:cstheme="majorBidi"/>
          <w:sz w:val="24"/>
          <w:szCs w:val="24"/>
        </w:rPr>
        <w:t xml:space="preserve"> This contribution paves the way for decision-makers and other stakeholders on the possibility of implementing a communication strategy that will have a </w:t>
      </w:r>
      <w:r w:rsidR="009105CC">
        <w:rPr>
          <w:rFonts w:asciiTheme="majorBidi" w:hAnsiTheme="majorBidi" w:cstheme="majorBidi"/>
          <w:sz w:val="24"/>
          <w:szCs w:val="24"/>
        </w:rPr>
        <w:t xml:space="preserve">stronger </w:t>
      </w:r>
      <w:r w:rsidR="00DD180D" w:rsidRPr="0022443A">
        <w:rPr>
          <w:rFonts w:asciiTheme="majorBidi" w:hAnsiTheme="majorBidi" w:cstheme="majorBidi"/>
          <w:sz w:val="24"/>
          <w:szCs w:val="24"/>
        </w:rPr>
        <w:t>positive impact on consumers’ attitudes and purchase intention</w:t>
      </w:r>
      <w:r w:rsidR="00DD180D">
        <w:rPr>
          <w:rFonts w:asciiTheme="majorBidi" w:hAnsiTheme="majorBidi" w:cstheme="majorBidi"/>
          <w:sz w:val="24"/>
          <w:szCs w:val="24"/>
        </w:rPr>
        <w:t xml:space="preserve">. In fact, </w:t>
      </w:r>
      <w:r w:rsidR="00DD180D" w:rsidRPr="00DD180D">
        <w:rPr>
          <w:rFonts w:asciiTheme="majorBidi" w:hAnsiTheme="majorBidi" w:cstheme="majorBidi"/>
          <w:sz w:val="24"/>
          <w:szCs w:val="24"/>
        </w:rPr>
        <w:t>this dissertation goes a level further by examining the underlying reasons behind the difference in brand attitudes and consumers’ purchase intention</w:t>
      </w:r>
      <w:r w:rsidR="009660F3">
        <w:rPr>
          <w:rFonts w:asciiTheme="majorBidi" w:hAnsiTheme="majorBidi" w:cstheme="majorBidi"/>
          <w:sz w:val="24"/>
          <w:szCs w:val="24"/>
        </w:rPr>
        <w:t>s</w:t>
      </w:r>
      <w:r w:rsidR="00DD180D" w:rsidRPr="00DD180D">
        <w:rPr>
          <w:rFonts w:asciiTheme="majorBidi" w:hAnsiTheme="majorBidi" w:cstheme="majorBidi"/>
          <w:sz w:val="24"/>
          <w:szCs w:val="24"/>
        </w:rPr>
        <w:t xml:space="preserve"> resulting from CSR and non-CSR communication on social media and television.</w:t>
      </w:r>
      <w:r w:rsidR="00DD180D">
        <w:rPr>
          <w:rFonts w:asciiTheme="majorBidi" w:hAnsiTheme="majorBidi" w:cstheme="majorBidi"/>
          <w:sz w:val="24"/>
          <w:szCs w:val="24"/>
        </w:rPr>
        <w:t xml:space="preserve"> </w:t>
      </w:r>
      <w:r w:rsidR="00DD180D" w:rsidRPr="00DD180D">
        <w:rPr>
          <w:rFonts w:asciiTheme="majorBidi" w:hAnsiTheme="majorBidi" w:cstheme="majorBidi"/>
          <w:sz w:val="24"/>
          <w:szCs w:val="24"/>
        </w:rPr>
        <w:t>Hence, this study</w:t>
      </w:r>
      <w:r w:rsidR="00DD180D">
        <w:rPr>
          <w:rFonts w:asciiTheme="majorBidi" w:hAnsiTheme="majorBidi" w:cstheme="majorBidi"/>
          <w:sz w:val="24"/>
          <w:szCs w:val="24"/>
        </w:rPr>
        <w:t xml:space="preserve"> does not only address the research gap that compares the effectiveness of CSR and non-CSR communication strategies; but also, it fills this gap by uncovering consumers’ insights and perceptions on both communication strategies and media platforms in Egypt. </w:t>
      </w:r>
      <w:r w:rsidR="00AF08F6">
        <w:rPr>
          <w:rFonts w:asciiTheme="majorBidi" w:hAnsiTheme="majorBidi" w:cstheme="majorBidi"/>
          <w:sz w:val="24"/>
          <w:szCs w:val="24"/>
        </w:rPr>
        <w:t xml:space="preserve">For instance, another contribution to practice is that this study provides insights that </w:t>
      </w:r>
      <w:r w:rsidR="00AF08F6" w:rsidRPr="0022443A">
        <w:rPr>
          <w:rFonts w:asciiTheme="majorBidi" w:hAnsiTheme="majorBidi" w:cstheme="majorBidi"/>
          <w:sz w:val="24"/>
          <w:szCs w:val="24"/>
        </w:rPr>
        <w:t>brand likeability</w:t>
      </w:r>
      <w:r w:rsidR="00AF08F6">
        <w:rPr>
          <w:rFonts w:asciiTheme="majorBidi" w:hAnsiTheme="majorBidi" w:cstheme="majorBidi"/>
          <w:sz w:val="24"/>
          <w:szCs w:val="24"/>
        </w:rPr>
        <w:t xml:space="preserve"> is not an explicit concept. Respondents liked the brand more when the</w:t>
      </w:r>
      <w:r w:rsidR="00954B11">
        <w:rPr>
          <w:rFonts w:asciiTheme="majorBidi" w:hAnsiTheme="majorBidi" w:cstheme="majorBidi"/>
          <w:sz w:val="24"/>
          <w:szCs w:val="24"/>
        </w:rPr>
        <w:t>y</w:t>
      </w:r>
      <w:r w:rsidR="00AF08F6">
        <w:rPr>
          <w:rFonts w:asciiTheme="majorBidi" w:hAnsiTheme="majorBidi" w:cstheme="majorBidi"/>
          <w:sz w:val="24"/>
          <w:szCs w:val="24"/>
        </w:rPr>
        <w:t xml:space="preserve"> were subject to the CSR campaign because of the humanitarian initiative that was communicated. Moreover, the study’s results and discussion provide </w:t>
      </w:r>
      <w:r w:rsidR="00954B11">
        <w:rPr>
          <w:rFonts w:asciiTheme="majorBidi" w:hAnsiTheme="majorBidi" w:cstheme="majorBidi"/>
          <w:sz w:val="24"/>
          <w:szCs w:val="24"/>
        </w:rPr>
        <w:t xml:space="preserve">further </w:t>
      </w:r>
      <w:r w:rsidR="00AF08F6">
        <w:rPr>
          <w:rFonts w:asciiTheme="majorBidi" w:hAnsiTheme="majorBidi" w:cstheme="majorBidi"/>
          <w:sz w:val="24"/>
          <w:szCs w:val="24"/>
        </w:rPr>
        <w:t xml:space="preserve">managerial contributions by giving specifications on the </w:t>
      </w:r>
      <w:r w:rsidR="00AF08F6" w:rsidRPr="00044DE9">
        <w:rPr>
          <w:rFonts w:asciiTheme="majorBidi" w:hAnsiTheme="majorBidi" w:cstheme="majorBidi"/>
          <w:sz w:val="24"/>
          <w:szCs w:val="24"/>
        </w:rPr>
        <w:t>way brand trust</w:t>
      </w:r>
      <w:r w:rsidR="00AF08F6">
        <w:rPr>
          <w:rFonts w:asciiTheme="majorBidi" w:hAnsiTheme="majorBidi" w:cstheme="majorBidi"/>
          <w:sz w:val="24"/>
          <w:szCs w:val="24"/>
        </w:rPr>
        <w:t xml:space="preserve"> can be increased from CSR communications. The results provide strategies to increase trust by ensuring that the communicated CSR campaign has a real value to people or society, provides the </w:t>
      </w:r>
      <w:r w:rsidR="009105CC">
        <w:rPr>
          <w:rFonts w:asciiTheme="majorBidi" w:hAnsiTheme="majorBidi" w:cstheme="majorBidi"/>
          <w:sz w:val="24"/>
          <w:szCs w:val="24"/>
        </w:rPr>
        <w:t>audience</w:t>
      </w:r>
      <w:r w:rsidR="00AF08F6">
        <w:rPr>
          <w:rFonts w:asciiTheme="majorBidi" w:hAnsiTheme="majorBidi" w:cstheme="majorBidi"/>
          <w:sz w:val="24"/>
          <w:szCs w:val="24"/>
        </w:rPr>
        <w:t xml:space="preserve"> with enough information about the campaign, and communicates that the brand has an approval from a trusted governmental body. </w:t>
      </w:r>
      <w:r w:rsidR="008939E2">
        <w:rPr>
          <w:rFonts w:asciiTheme="majorBidi" w:hAnsiTheme="majorBidi" w:cstheme="majorBidi"/>
          <w:sz w:val="24"/>
          <w:szCs w:val="24"/>
        </w:rPr>
        <w:t xml:space="preserve">Table one provides a summary of this study’s contribution to knowledge, theory, and practice. </w:t>
      </w:r>
      <w:r w:rsidR="003714C1">
        <w:rPr>
          <w:rFonts w:asciiTheme="majorBidi" w:hAnsiTheme="majorBidi" w:cstheme="majorBidi"/>
          <w:sz w:val="24"/>
          <w:szCs w:val="24"/>
        </w:rPr>
        <w:t xml:space="preserve">The following section briefly explains the </w:t>
      </w:r>
      <w:r w:rsidR="00DD180D">
        <w:rPr>
          <w:rFonts w:asciiTheme="majorBidi" w:hAnsiTheme="majorBidi" w:cstheme="majorBidi"/>
          <w:sz w:val="24"/>
          <w:szCs w:val="24"/>
        </w:rPr>
        <w:t xml:space="preserve">sequence and the main methods applied in this dissertation to obtain and analyse data. </w:t>
      </w:r>
    </w:p>
    <w:p w14:paraId="1D7271CB" w14:textId="77777777" w:rsidR="009105CC" w:rsidRDefault="009105CC">
      <w:r>
        <w:br w:type="page"/>
      </w:r>
    </w:p>
    <w:tbl>
      <w:tblPr>
        <w:tblStyle w:val="TableGrid"/>
        <w:tblW w:w="0" w:type="auto"/>
        <w:jc w:val="center"/>
        <w:tblLook w:val="04A0" w:firstRow="1" w:lastRow="0" w:firstColumn="1" w:lastColumn="0" w:noHBand="0" w:noVBand="1"/>
      </w:tblPr>
      <w:tblGrid>
        <w:gridCol w:w="2689"/>
        <w:gridCol w:w="2835"/>
        <w:gridCol w:w="2835"/>
      </w:tblGrid>
      <w:tr w:rsidR="00341607" w14:paraId="2EC1C98D" w14:textId="77777777" w:rsidTr="009105CC">
        <w:trPr>
          <w:jc w:val="center"/>
        </w:trPr>
        <w:tc>
          <w:tcPr>
            <w:tcW w:w="2689" w:type="dxa"/>
          </w:tcPr>
          <w:p w14:paraId="263B279A" w14:textId="31B8E693" w:rsidR="00341607" w:rsidRDefault="00341607" w:rsidP="00341607">
            <w:pPr>
              <w:rPr>
                <w:rFonts w:asciiTheme="majorBidi" w:hAnsiTheme="majorBidi" w:cstheme="majorBidi"/>
                <w:sz w:val="24"/>
                <w:szCs w:val="24"/>
              </w:rPr>
            </w:pPr>
            <w:r>
              <w:rPr>
                <w:rFonts w:asciiTheme="majorBidi" w:hAnsiTheme="majorBidi" w:cstheme="majorBidi"/>
                <w:sz w:val="24"/>
                <w:szCs w:val="24"/>
              </w:rPr>
              <w:t xml:space="preserve">Contribution to Knowledge </w:t>
            </w:r>
            <w:r w:rsidR="008D132A">
              <w:rPr>
                <w:rFonts w:asciiTheme="majorBidi" w:hAnsiTheme="majorBidi" w:cstheme="majorBidi"/>
                <w:sz w:val="24"/>
                <w:szCs w:val="24"/>
              </w:rPr>
              <w:t>(</w:t>
            </w:r>
            <w:r w:rsidR="00955BD4">
              <w:rPr>
                <w:rFonts w:asciiTheme="majorBidi" w:hAnsiTheme="majorBidi" w:cstheme="majorBidi"/>
                <w:sz w:val="24"/>
                <w:szCs w:val="24"/>
              </w:rPr>
              <w:t>5)</w:t>
            </w:r>
          </w:p>
        </w:tc>
        <w:tc>
          <w:tcPr>
            <w:tcW w:w="2835" w:type="dxa"/>
          </w:tcPr>
          <w:p w14:paraId="466AF69E" w14:textId="01CD80DA" w:rsidR="00341607" w:rsidRDefault="00341607" w:rsidP="00341607">
            <w:pPr>
              <w:rPr>
                <w:rFonts w:asciiTheme="majorBidi" w:hAnsiTheme="majorBidi" w:cstheme="majorBidi"/>
                <w:sz w:val="24"/>
                <w:szCs w:val="24"/>
              </w:rPr>
            </w:pPr>
            <w:r>
              <w:rPr>
                <w:rFonts w:asciiTheme="majorBidi" w:hAnsiTheme="majorBidi" w:cstheme="majorBidi"/>
                <w:sz w:val="24"/>
                <w:szCs w:val="24"/>
              </w:rPr>
              <w:t xml:space="preserve">Contribution to Theory </w:t>
            </w:r>
            <w:r w:rsidR="008D132A">
              <w:rPr>
                <w:rFonts w:asciiTheme="majorBidi" w:hAnsiTheme="majorBidi" w:cstheme="majorBidi"/>
                <w:sz w:val="24"/>
                <w:szCs w:val="24"/>
              </w:rPr>
              <w:t xml:space="preserve">(3) </w:t>
            </w:r>
          </w:p>
        </w:tc>
        <w:tc>
          <w:tcPr>
            <w:tcW w:w="2835" w:type="dxa"/>
          </w:tcPr>
          <w:p w14:paraId="0CC4138A" w14:textId="77777777" w:rsidR="00341607" w:rsidRDefault="00341607" w:rsidP="00341607">
            <w:pPr>
              <w:rPr>
                <w:rFonts w:asciiTheme="majorBidi" w:hAnsiTheme="majorBidi" w:cstheme="majorBidi"/>
                <w:sz w:val="24"/>
                <w:szCs w:val="24"/>
              </w:rPr>
            </w:pPr>
            <w:r>
              <w:rPr>
                <w:rFonts w:asciiTheme="majorBidi" w:hAnsiTheme="majorBidi" w:cstheme="majorBidi"/>
                <w:sz w:val="24"/>
                <w:szCs w:val="24"/>
              </w:rPr>
              <w:t xml:space="preserve">Contribution to Practice </w:t>
            </w:r>
          </w:p>
          <w:p w14:paraId="1083E3AB" w14:textId="366AB33D" w:rsidR="00955BD4" w:rsidRDefault="00955BD4" w:rsidP="00341607">
            <w:pPr>
              <w:rPr>
                <w:rFonts w:asciiTheme="majorBidi" w:hAnsiTheme="majorBidi" w:cstheme="majorBidi"/>
                <w:sz w:val="24"/>
                <w:szCs w:val="24"/>
              </w:rPr>
            </w:pPr>
            <w:r>
              <w:rPr>
                <w:rFonts w:asciiTheme="majorBidi" w:hAnsiTheme="majorBidi" w:cstheme="majorBidi"/>
                <w:sz w:val="24"/>
                <w:szCs w:val="24"/>
              </w:rPr>
              <w:t xml:space="preserve">(3) </w:t>
            </w:r>
          </w:p>
        </w:tc>
      </w:tr>
      <w:tr w:rsidR="00341607" w14:paraId="5FE27D71" w14:textId="77777777" w:rsidTr="009105CC">
        <w:trPr>
          <w:jc w:val="center"/>
        </w:trPr>
        <w:tc>
          <w:tcPr>
            <w:tcW w:w="2689" w:type="dxa"/>
          </w:tcPr>
          <w:p w14:paraId="1D7362E3" w14:textId="440D6CED" w:rsidR="00955BD4" w:rsidRPr="00341607" w:rsidRDefault="00341607" w:rsidP="00955BD4">
            <w:pPr>
              <w:jc w:val="both"/>
              <w:rPr>
                <w:rFonts w:asciiTheme="majorBidi" w:hAnsiTheme="majorBidi" w:cstheme="majorBidi"/>
                <w:sz w:val="24"/>
                <w:szCs w:val="24"/>
              </w:rPr>
            </w:pPr>
            <w:r w:rsidRPr="00341607">
              <w:rPr>
                <w:rFonts w:asciiTheme="majorBidi" w:hAnsiTheme="majorBidi" w:cstheme="majorBidi"/>
                <w:sz w:val="24"/>
                <w:szCs w:val="24"/>
              </w:rPr>
              <w:t>-</w:t>
            </w:r>
            <w:r>
              <w:rPr>
                <w:rFonts w:asciiTheme="majorBidi" w:hAnsiTheme="majorBidi" w:cstheme="majorBidi"/>
                <w:sz w:val="24"/>
                <w:szCs w:val="24"/>
              </w:rPr>
              <w:t xml:space="preserve"> </w:t>
            </w:r>
            <w:r w:rsidRPr="00341607">
              <w:rPr>
                <w:rFonts w:asciiTheme="majorBidi" w:hAnsiTheme="majorBidi" w:cstheme="majorBidi"/>
                <w:sz w:val="24"/>
                <w:szCs w:val="24"/>
              </w:rPr>
              <w:t xml:space="preserve">The impact of CSR communication on Egyptian consumers </w:t>
            </w:r>
          </w:p>
          <w:p w14:paraId="76A3A214" w14:textId="77777777" w:rsidR="00341607" w:rsidRDefault="00341607" w:rsidP="00341607">
            <w:pPr>
              <w:jc w:val="both"/>
              <w:rPr>
                <w:rFonts w:asciiTheme="majorBidi" w:hAnsiTheme="majorBidi" w:cstheme="majorBidi"/>
                <w:sz w:val="24"/>
                <w:szCs w:val="24"/>
              </w:rPr>
            </w:pPr>
          </w:p>
          <w:p w14:paraId="5D31D55B" w14:textId="5BD2E0F8" w:rsidR="00955BD4" w:rsidRDefault="00341607" w:rsidP="00955BD4">
            <w:pPr>
              <w:jc w:val="both"/>
              <w:rPr>
                <w:rFonts w:asciiTheme="majorBidi" w:hAnsiTheme="majorBidi" w:cstheme="majorBidi"/>
                <w:sz w:val="24"/>
                <w:szCs w:val="24"/>
              </w:rPr>
            </w:pPr>
            <w:r>
              <w:rPr>
                <w:rFonts w:asciiTheme="majorBidi" w:hAnsiTheme="majorBidi" w:cstheme="majorBidi"/>
                <w:sz w:val="24"/>
                <w:szCs w:val="24"/>
              </w:rPr>
              <w:t xml:space="preserve">-  </w:t>
            </w:r>
            <w:r w:rsidRPr="00341607">
              <w:rPr>
                <w:rFonts w:asciiTheme="majorBidi" w:hAnsiTheme="majorBidi" w:cstheme="majorBidi"/>
                <w:sz w:val="24"/>
                <w:szCs w:val="24"/>
              </w:rPr>
              <w:t xml:space="preserve">CSR communication is more effective than non-CSR communication </w:t>
            </w:r>
          </w:p>
          <w:p w14:paraId="59C93F41" w14:textId="77777777" w:rsidR="00955BD4" w:rsidRPr="00341607" w:rsidRDefault="00955BD4" w:rsidP="00341607">
            <w:pPr>
              <w:jc w:val="both"/>
              <w:rPr>
                <w:rFonts w:asciiTheme="majorBidi" w:hAnsiTheme="majorBidi" w:cstheme="majorBidi"/>
                <w:sz w:val="24"/>
                <w:szCs w:val="24"/>
              </w:rPr>
            </w:pPr>
          </w:p>
          <w:p w14:paraId="1617AC5A" w14:textId="77777777" w:rsidR="00341607" w:rsidRDefault="00341607" w:rsidP="00341607">
            <w:pPr>
              <w:jc w:val="both"/>
              <w:rPr>
                <w:rFonts w:asciiTheme="majorBidi" w:hAnsiTheme="majorBidi" w:cstheme="majorBidi"/>
                <w:sz w:val="24"/>
                <w:szCs w:val="24"/>
              </w:rPr>
            </w:pPr>
            <w:r>
              <w:rPr>
                <w:rFonts w:asciiTheme="majorBidi" w:hAnsiTheme="majorBidi" w:cstheme="majorBidi"/>
                <w:sz w:val="24"/>
                <w:szCs w:val="24"/>
              </w:rPr>
              <w:t xml:space="preserve">-  </w:t>
            </w:r>
            <w:r w:rsidRPr="00341607">
              <w:rPr>
                <w:rFonts w:asciiTheme="majorBidi" w:hAnsiTheme="majorBidi" w:cstheme="majorBidi"/>
                <w:sz w:val="24"/>
                <w:szCs w:val="24"/>
              </w:rPr>
              <w:t xml:space="preserve">CSR communication has a positive impact on brand likeability </w:t>
            </w:r>
          </w:p>
          <w:p w14:paraId="1BB1C6AB" w14:textId="77777777" w:rsidR="00955BD4" w:rsidRDefault="00955BD4" w:rsidP="00341607">
            <w:pPr>
              <w:jc w:val="both"/>
              <w:rPr>
                <w:rFonts w:asciiTheme="majorBidi" w:hAnsiTheme="majorBidi" w:cstheme="majorBidi"/>
                <w:sz w:val="24"/>
                <w:szCs w:val="24"/>
              </w:rPr>
            </w:pPr>
          </w:p>
          <w:p w14:paraId="646ED290" w14:textId="60F91FA0" w:rsidR="00341607" w:rsidRDefault="00341607" w:rsidP="00341607">
            <w:pPr>
              <w:jc w:val="both"/>
              <w:rPr>
                <w:rFonts w:ascii="Times New Roman" w:hAnsi="Times New Roman" w:cs="Times New Roman"/>
                <w:sz w:val="24"/>
                <w:szCs w:val="24"/>
              </w:rPr>
            </w:pPr>
            <w:r>
              <w:rPr>
                <w:rFonts w:ascii="Times New Roman" w:hAnsi="Times New Roman" w:cs="Times New Roman"/>
                <w:sz w:val="24"/>
                <w:szCs w:val="24"/>
              </w:rPr>
              <w:t xml:space="preserve">- </w:t>
            </w:r>
            <w:r w:rsidRPr="00341607">
              <w:rPr>
                <w:rFonts w:ascii="Times New Roman" w:hAnsi="Times New Roman" w:cs="Times New Roman"/>
                <w:sz w:val="24"/>
                <w:szCs w:val="24"/>
              </w:rPr>
              <w:t>CSR and non-CSR communication do not significantly impact brand functionality</w:t>
            </w:r>
          </w:p>
          <w:p w14:paraId="62326496" w14:textId="77777777" w:rsidR="00955BD4" w:rsidRDefault="00955BD4" w:rsidP="00341607">
            <w:pPr>
              <w:jc w:val="both"/>
              <w:rPr>
                <w:rFonts w:ascii="Times New Roman" w:hAnsi="Times New Roman" w:cs="Times New Roman"/>
                <w:sz w:val="24"/>
                <w:szCs w:val="24"/>
              </w:rPr>
            </w:pPr>
          </w:p>
          <w:p w14:paraId="2C2C75C2" w14:textId="77777777" w:rsidR="008D132A" w:rsidRDefault="008D132A" w:rsidP="00341607">
            <w:pPr>
              <w:jc w:val="both"/>
              <w:rPr>
                <w:rFonts w:asciiTheme="majorBidi" w:hAnsiTheme="majorBidi" w:cstheme="majorBidi"/>
                <w:sz w:val="24"/>
                <w:szCs w:val="24"/>
              </w:rPr>
            </w:pPr>
            <w:r>
              <w:rPr>
                <w:rFonts w:asciiTheme="majorBidi" w:hAnsiTheme="majorBidi" w:cstheme="majorBidi"/>
                <w:sz w:val="24"/>
                <w:szCs w:val="24"/>
              </w:rPr>
              <w:t xml:space="preserve">-  Congruence between Personal values and brand’s CSR positively affects brand attitudes </w:t>
            </w:r>
          </w:p>
          <w:p w14:paraId="543364E6" w14:textId="77777777" w:rsidR="00924106" w:rsidRDefault="00924106" w:rsidP="00341607">
            <w:pPr>
              <w:jc w:val="both"/>
              <w:rPr>
                <w:rFonts w:asciiTheme="majorBidi" w:hAnsiTheme="majorBidi" w:cstheme="majorBidi"/>
                <w:sz w:val="24"/>
                <w:szCs w:val="24"/>
              </w:rPr>
            </w:pPr>
          </w:p>
          <w:p w14:paraId="5B5DE310" w14:textId="46886578" w:rsidR="00924106" w:rsidRPr="00341607" w:rsidRDefault="00924106" w:rsidP="00341607">
            <w:pPr>
              <w:jc w:val="both"/>
              <w:rPr>
                <w:rFonts w:asciiTheme="majorBidi" w:hAnsiTheme="majorBidi" w:cstheme="majorBidi"/>
                <w:sz w:val="24"/>
                <w:szCs w:val="24"/>
              </w:rPr>
            </w:pPr>
            <w:r>
              <w:rPr>
                <w:rFonts w:asciiTheme="majorBidi" w:hAnsiTheme="majorBidi" w:cstheme="majorBidi"/>
                <w:sz w:val="24"/>
                <w:szCs w:val="24"/>
              </w:rPr>
              <w:t xml:space="preserve">- extension of </w:t>
            </w:r>
            <w:r w:rsidR="00FE1BA8">
              <w:rPr>
                <w:rFonts w:asciiTheme="majorBidi" w:hAnsiTheme="majorBidi" w:cstheme="majorBidi"/>
                <w:sz w:val="24"/>
                <w:szCs w:val="24"/>
              </w:rPr>
              <w:t xml:space="preserve">CSR communication research in an under researched market providing additional evidence with regards to generalizability of CSR communication effects </w:t>
            </w:r>
          </w:p>
        </w:tc>
        <w:tc>
          <w:tcPr>
            <w:tcW w:w="2835" w:type="dxa"/>
          </w:tcPr>
          <w:p w14:paraId="20B160B2" w14:textId="12721969" w:rsidR="00955BD4" w:rsidRDefault="008D132A" w:rsidP="00955BD4">
            <w:pPr>
              <w:rPr>
                <w:rFonts w:asciiTheme="majorBidi" w:hAnsiTheme="majorBidi" w:cstheme="majorBidi"/>
                <w:sz w:val="24"/>
                <w:szCs w:val="24"/>
              </w:rPr>
            </w:pPr>
            <w:r>
              <w:rPr>
                <w:rFonts w:asciiTheme="majorBidi" w:hAnsiTheme="majorBidi" w:cstheme="majorBidi"/>
                <w:sz w:val="24"/>
                <w:szCs w:val="24"/>
              </w:rPr>
              <w:t xml:space="preserve">-  Brand attitudes examined in the theory of reasoned action instead of behavioural attitudes </w:t>
            </w:r>
          </w:p>
          <w:p w14:paraId="0B3D021A" w14:textId="77777777" w:rsidR="00955BD4" w:rsidRDefault="00955BD4" w:rsidP="00955BD4">
            <w:pPr>
              <w:rPr>
                <w:rFonts w:asciiTheme="majorBidi" w:hAnsiTheme="majorBidi" w:cstheme="majorBidi"/>
                <w:sz w:val="24"/>
                <w:szCs w:val="24"/>
              </w:rPr>
            </w:pPr>
          </w:p>
          <w:p w14:paraId="41CD19D7" w14:textId="521889FA" w:rsidR="00955BD4" w:rsidRDefault="008D132A" w:rsidP="00955BD4">
            <w:pPr>
              <w:rPr>
                <w:rFonts w:asciiTheme="majorBidi" w:hAnsiTheme="majorBidi" w:cstheme="majorBidi"/>
                <w:sz w:val="24"/>
                <w:szCs w:val="24"/>
              </w:rPr>
            </w:pPr>
            <w:r>
              <w:rPr>
                <w:rFonts w:asciiTheme="majorBidi" w:hAnsiTheme="majorBidi" w:cstheme="majorBidi"/>
                <w:sz w:val="24"/>
                <w:szCs w:val="24"/>
              </w:rPr>
              <w:t xml:space="preserve">-  CSR communication has a halo effect on brand attitudes and purchase intention </w:t>
            </w:r>
          </w:p>
          <w:p w14:paraId="65521D94" w14:textId="77777777" w:rsidR="00955BD4" w:rsidRDefault="00955BD4" w:rsidP="008D132A">
            <w:pPr>
              <w:rPr>
                <w:rFonts w:asciiTheme="majorBidi" w:hAnsiTheme="majorBidi" w:cstheme="majorBidi"/>
                <w:sz w:val="24"/>
                <w:szCs w:val="24"/>
              </w:rPr>
            </w:pPr>
          </w:p>
          <w:p w14:paraId="3BDCC989" w14:textId="1A2DE813" w:rsidR="008D132A" w:rsidRDefault="008D132A" w:rsidP="008D132A">
            <w:pPr>
              <w:rPr>
                <w:rFonts w:asciiTheme="majorBidi" w:hAnsiTheme="majorBidi" w:cstheme="majorBidi"/>
                <w:sz w:val="24"/>
                <w:szCs w:val="24"/>
              </w:rPr>
            </w:pPr>
            <w:r>
              <w:rPr>
                <w:rFonts w:asciiTheme="majorBidi" w:hAnsiTheme="majorBidi" w:cstheme="majorBidi"/>
                <w:sz w:val="24"/>
                <w:szCs w:val="24"/>
              </w:rPr>
              <w:t xml:space="preserve">-  Direct effect from stimuli to response withing the stimuli-organism-response framework </w:t>
            </w:r>
          </w:p>
        </w:tc>
        <w:tc>
          <w:tcPr>
            <w:tcW w:w="2835" w:type="dxa"/>
          </w:tcPr>
          <w:p w14:paraId="40E5771B" w14:textId="77777777" w:rsidR="00341607" w:rsidRDefault="00AF08F6" w:rsidP="00341607">
            <w:pPr>
              <w:rPr>
                <w:rFonts w:asciiTheme="majorBidi" w:hAnsiTheme="majorBidi" w:cstheme="majorBidi"/>
                <w:sz w:val="24"/>
                <w:szCs w:val="24"/>
              </w:rPr>
            </w:pPr>
            <w:r w:rsidRPr="00955BD4">
              <w:rPr>
                <w:rFonts w:asciiTheme="majorBidi" w:hAnsiTheme="majorBidi" w:cstheme="majorBidi"/>
                <w:sz w:val="24"/>
                <w:szCs w:val="24"/>
              </w:rPr>
              <w:t xml:space="preserve">-  CSR </w:t>
            </w:r>
            <w:r w:rsidR="00955BD4" w:rsidRPr="00955BD4">
              <w:rPr>
                <w:rFonts w:asciiTheme="majorBidi" w:hAnsiTheme="majorBidi" w:cstheme="majorBidi"/>
                <w:sz w:val="24"/>
                <w:szCs w:val="24"/>
              </w:rPr>
              <w:t>has a more positive impact on consumers’ attitudes and purchase intention than non-CSR communication</w:t>
            </w:r>
          </w:p>
          <w:p w14:paraId="1812D491" w14:textId="77777777" w:rsidR="00955BD4" w:rsidRDefault="00955BD4" w:rsidP="00341607">
            <w:pPr>
              <w:rPr>
                <w:rFonts w:asciiTheme="majorBidi" w:hAnsiTheme="majorBidi" w:cstheme="majorBidi"/>
                <w:sz w:val="24"/>
                <w:szCs w:val="24"/>
              </w:rPr>
            </w:pPr>
          </w:p>
          <w:p w14:paraId="4F74840A" w14:textId="77777777" w:rsidR="00955BD4" w:rsidRDefault="00955BD4" w:rsidP="00341607">
            <w:pPr>
              <w:rPr>
                <w:rFonts w:asciiTheme="majorBidi" w:hAnsiTheme="majorBidi" w:cstheme="majorBidi"/>
                <w:sz w:val="24"/>
                <w:szCs w:val="24"/>
              </w:rPr>
            </w:pPr>
            <w:r>
              <w:rPr>
                <w:rFonts w:asciiTheme="majorBidi" w:hAnsiTheme="majorBidi" w:cstheme="majorBidi"/>
                <w:sz w:val="24"/>
                <w:szCs w:val="24"/>
              </w:rPr>
              <w:t xml:space="preserve">-  CSR had a higher impact on brand likeability than non-CSR communication because respondents liked the humanitarian message in the ad. </w:t>
            </w:r>
          </w:p>
          <w:p w14:paraId="78143324" w14:textId="77777777" w:rsidR="00955BD4" w:rsidRDefault="00955BD4" w:rsidP="00341607">
            <w:pPr>
              <w:rPr>
                <w:rFonts w:asciiTheme="majorBidi" w:hAnsiTheme="majorBidi" w:cstheme="majorBidi"/>
                <w:sz w:val="24"/>
                <w:szCs w:val="24"/>
              </w:rPr>
            </w:pPr>
          </w:p>
          <w:p w14:paraId="202C55C1" w14:textId="07787FA3" w:rsidR="00955BD4" w:rsidRDefault="00955BD4" w:rsidP="0022443A">
            <w:pPr>
              <w:keepNext/>
              <w:rPr>
                <w:rFonts w:asciiTheme="majorBidi" w:hAnsiTheme="majorBidi" w:cstheme="majorBidi"/>
                <w:sz w:val="24"/>
                <w:szCs w:val="24"/>
              </w:rPr>
            </w:pPr>
            <w:r>
              <w:rPr>
                <w:rFonts w:asciiTheme="majorBidi" w:hAnsiTheme="majorBidi" w:cstheme="majorBidi"/>
                <w:sz w:val="24"/>
                <w:szCs w:val="24"/>
              </w:rPr>
              <w:t>-  CSR campaign will drive higher brand trust if the campaign has a real value to people or society, provides enough information about the campaign, and communicates that the brand partnered with a governmental body.</w:t>
            </w:r>
          </w:p>
        </w:tc>
      </w:tr>
    </w:tbl>
    <w:bookmarkEnd w:id="9"/>
    <w:p w14:paraId="1769BB0D" w14:textId="6E66780C" w:rsidR="00341607" w:rsidRDefault="0022443A" w:rsidP="0022443A">
      <w:pPr>
        <w:pStyle w:val="Caption"/>
        <w:rPr>
          <w:rFonts w:asciiTheme="majorBidi" w:hAnsiTheme="majorBidi" w:cstheme="majorBidi"/>
          <w:sz w:val="24"/>
          <w:szCs w:val="24"/>
        </w:rPr>
      </w:pPr>
      <w:r>
        <w:t xml:space="preserve">Table </w:t>
      </w:r>
      <w:r w:rsidR="00044DE9">
        <w:t>1</w:t>
      </w:r>
      <w:r>
        <w:t xml:space="preserve"> Summary of the study’s contributions </w:t>
      </w:r>
    </w:p>
    <w:bookmarkEnd w:id="8"/>
    <w:p w14:paraId="053C4195" w14:textId="2829C19C" w:rsidR="00CC1573" w:rsidRPr="00E77650" w:rsidRDefault="00CC1573">
      <w:pPr>
        <w:pStyle w:val="ListParagraph"/>
        <w:numPr>
          <w:ilvl w:val="1"/>
          <w:numId w:val="22"/>
        </w:numPr>
        <w:shd w:val="clear" w:color="auto" w:fill="FFFFFF"/>
        <w:spacing w:after="0" w:line="480" w:lineRule="auto"/>
        <w:rPr>
          <w:rFonts w:asciiTheme="majorBidi" w:hAnsiTheme="majorBidi" w:cstheme="majorBidi"/>
          <w:b/>
          <w:bCs/>
          <w:sz w:val="24"/>
          <w:szCs w:val="24"/>
        </w:rPr>
      </w:pPr>
      <w:r w:rsidRPr="00E77650">
        <w:rPr>
          <w:rFonts w:asciiTheme="majorBidi" w:hAnsiTheme="majorBidi" w:cstheme="majorBidi"/>
          <w:b/>
          <w:bCs/>
          <w:sz w:val="24"/>
          <w:szCs w:val="24"/>
        </w:rPr>
        <w:t xml:space="preserve">Research methods </w:t>
      </w:r>
    </w:p>
    <w:p w14:paraId="7DAC0E73" w14:textId="72D2DE9A" w:rsidR="00181895" w:rsidRDefault="000B701F" w:rsidP="004E7B44">
      <w:pPr>
        <w:shd w:val="clear" w:color="auto" w:fill="FFFFFF"/>
        <w:spacing w:after="0" w:line="480" w:lineRule="auto"/>
        <w:ind w:firstLine="360"/>
        <w:rPr>
          <w:rFonts w:asciiTheme="majorBidi" w:hAnsiTheme="majorBidi" w:cstheme="majorBidi"/>
          <w:sz w:val="24"/>
          <w:szCs w:val="24"/>
        </w:rPr>
      </w:pPr>
      <w:r>
        <w:rPr>
          <w:rFonts w:asciiTheme="majorBidi" w:hAnsiTheme="majorBidi" w:cstheme="majorBidi"/>
          <w:sz w:val="24"/>
          <w:szCs w:val="24"/>
        </w:rPr>
        <w:t>This study followed a logical sequence to clearly identify the exact gaps in</w:t>
      </w:r>
      <w:r w:rsidR="00B71D3B">
        <w:rPr>
          <w:rFonts w:asciiTheme="majorBidi" w:hAnsiTheme="majorBidi" w:cstheme="majorBidi"/>
          <w:sz w:val="24"/>
          <w:szCs w:val="24"/>
        </w:rPr>
        <w:t xml:space="preserve"> the</w:t>
      </w:r>
      <w:r>
        <w:rPr>
          <w:rFonts w:asciiTheme="majorBidi" w:hAnsiTheme="majorBidi" w:cstheme="majorBidi"/>
          <w:sz w:val="24"/>
          <w:szCs w:val="24"/>
        </w:rPr>
        <w:t xml:space="preserve"> literature and the most suitable methodological approach for the study’s purpose. Consequently</w:t>
      </w:r>
      <w:r w:rsidR="0052036F" w:rsidRPr="000B701F">
        <w:rPr>
          <w:rFonts w:asciiTheme="majorBidi" w:hAnsiTheme="majorBidi" w:cstheme="majorBidi"/>
          <w:sz w:val="24"/>
          <w:szCs w:val="24"/>
        </w:rPr>
        <w:t>, multiple methods were applied to collect different types of data to handle the objectives from different perspectives.</w:t>
      </w:r>
      <w:r w:rsidR="000F4CF9">
        <w:rPr>
          <w:rFonts w:asciiTheme="majorBidi" w:hAnsiTheme="majorBidi" w:cstheme="majorBidi"/>
          <w:sz w:val="24"/>
          <w:szCs w:val="24"/>
        </w:rPr>
        <w:t xml:space="preserve"> </w:t>
      </w:r>
      <w:r w:rsidR="00CC1573" w:rsidRPr="00CC1573">
        <w:rPr>
          <w:rFonts w:asciiTheme="majorBidi" w:hAnsiTheme="majorBidi" w:cstheme="majorBidi"/>
          <w:sz w:val="24"/>
          <w:szCs w:val="24"/>
        </w:rPr>
        <w:t xml:space="preserve">Firstly, </w:t>
      </w:r>
      <w:r>
        <w:rPr>
          <w:rFonts w:asciiTheme="majorBidi" w:hAnsiTheme="majorBidi" w:cstheme="majorBidi"/>
          <w:sz w:val="24"/>
          <w:szCs w:val="24"/>
        </w:rPr>
        <w:t xml:space="preserve">the </w:t>
      </w:r>
      <w:r w:rsidR="00CC1573" w:rsidRPr="00CC1573">
        <w:rPr>
          <w:rFonts w:asciiTheme="majorBidi" w:hAnsiTheme="majorBidi" w:cstheme="majorBidi"/>
          <w:sz w:val="24"/>
          <w:szCs w:val="24"/>
        </w:rPr>
        <w:t>systematic</w:t>
      </w:r>
      <w:r w:rsidR="00650420">
        <w:rPr>
          <w:rFonts w:asciiTheme="majorBidi" w:hAnsiTheme="majorBidi" w:cstheme="majorBidi"/>
          <w:sz w:val="24"/>
          <w:szCs w:val="24"/>
        </w:rPr>
        <w:t xml:space="preserve"> narrative</w:t>
      </w:r>
      <w:r w:rsidR="00CC1573" w:rsidRPr="00CC1573">
        <w:rPr>
          <w:rFonts w:asciiTheme="majorBidi" w:hAnsiTheme="majorBidi" w:cstheme="majorBidi"/>
          <w:sz w:val="24"/>
          <w:szCs w:val="24"/>
        </w:rPr>
        <w:t xml:space="preserve"> literature review is presented on CSR communication studies published in the</w:t>
      </w:r>
      <w:r>
        <w:rPr>
          <w:rFonts w:asciiTheme="majorBidi" w:hAnsiTheme="majorBidi" w:cstheme="majorBidi"/>
          <w:sz w:val="24"/>
          <w:szCs w:val="24"/>
        </w:rPr>
        <w:t xml:space="preserve"> Middle East</w:t>
      </w:r>
      <w:r w:rsidR="00CC1573" w:rsidRPr="00CC1573">
        <w:rPr>
          <w:rFonts w:asciiTheme="majorBidi" w:hAnsiTheme="majorBidi" w:cstheme="majorBidi"/>
          <w:sz w:val="24"/>
          <w:szCs w:val="24"/>
        </w:rPr>
        <w:t xml:space="preserve"> in the </w:t>
      </w:r>
      <w:r w:rsidR="00CC1573" w:rsidRPr="009660F3">
        <w:rPr>
          <w:rFonts w:asciiTheme="majorBidi" w:hAnsiTheme="majorBidi" w:cstheme="majorBidi"/>
          <w:sz w:val="24"/>
          <w:szCs w:val="24"/>
        </w:rPr>
        <w:t>past five years.</w:t>
      </w:r>
      <w:r w:rsidR="00CC1573" w:rsidRPr="00CC1573">
        <w:rPr>
          <w:rFonts w:asciiTheme="majorBidi" w:hAnsiTheme="majorBidi" w:cstheme="majorBidi"/>
          <w:sz w:val="24"/>
          <w:szCs w:val="24"/>
        </w:rPr>
        <w:t xml:space="preserve"> </w:t>
      </w:r>
      <w:r>
        <w:rPr>
          <w:rFonts w:asciiTheme="majorBidi" w:hAnsiTheme="majorBidi" w:cstheme="majorBidi"/>
          <w:sz w:val="24"/>
          <w:szCs w:val="24"/>
        </w:rPr>
        <w:t>This step marked the initiation of this research journey as it was necessary to understand the current literature on CSR in the Middle East before making any further decision or assumptions. The results of the systematic review revealed that the literature on CSR communication in the Middle East is quite limiting (section</w:t>
      </w:r>
      <w:r w:rsidR="00972842">
        <w:rPr>
          <w:rFonts w:asciiTheme="majorBidi" w:hAnsiTheme="majorBidi" w:cstheme="majorBidi"/>
          <w:sz w:val="24"/>
          <w:szCs w:val="24"/>
        </w:rPr>
        <w:t xml:space="preserve"> 2.</w:t>
      </w:r>
      <w:r w:rsidR="00F177E1">
        <w:rPr>
          <w:rFonts w:asciiTheme="majorBidi" w:hAnsiTheme="majorBidi" w:cstheme="majorBidi"/>
          <w:sz w:val="24"/>
          <w:szCs w:val="24"/>
        </w:rPr>
        <w:t>3</w:t>
      </w:r>
      <w:r>
        <w:rPr>
          <w:rFonts w:asciiTheme="majorBidi" w:hAnsiTheme="majorBidi" w:cstheme="majorBidi"/>
          <w:sz w:val="24"/>
          <w:szCs w:val="24"/>
        </w:rPr>
        <w:t>)</w:t>
      </w:r>
      <w:r w:rsidR="00972842">
        <w:rPr>
          <w:rFonts w:asciiTheme="majorBidi" w:hAnsiTheme="majorBidi" w:cstheme="majorBidi"/>
          <w:sz w:val="24"/>
          <w:szCs w:val="24"/>
        </w:rPr>
        <w:t xml:space="preserve"> which did not provide </w:t>
      </w:r>
      <w:r w:rsidR="00972842" w:rsidRPr="00A1682B">
        <w:rPr>
          <w:rFonts w:asciiTheme="majorBidi" w:hAnsiTheme="majorBidi" w:cstheme="majorBidi"/>
          <w:sz w:val="24"/>
          <w:szCs w:val="24"/>
        </w:rPr>
        <w:t>enough findings related to CSR communication strategies that can help in developing hypotheses and examining theoretical applications.</w:t>
      </w:r>
      <w:r>
        <w:rPr>
          <w:rFonts w:asciiTheme="majorBidi" w:hAnsiTheme="majorBidi" w:cstheme="majorBidi"/>
          <w:sz w:val="24"/>
          <w:szCs w:val="24"/>
        </w:rPr>
        <w:t xml:space="preserve"> </w:t>
      </w:r>
      <w:r w:rsidR="00972842">
        <w:rPr>
          <w:rFonts w:asciiTheme="majorBidi" w:hAnsiTheme="majorBidi" w:cstheme="majorBidi"/>
          <w:sz w:val="24"/>
          <w:szCs w:val="24"/>
        </w:rPr>
        <w:t>For that reason, the second stage was conducting a</w:t>
      </w:r>
      <w:r w:rsidR="008364BA">
        <w:rPr>
          <w:rFonts w:asciiTheme="majorBidi" w:hAnsiTheme="majorBidi" w:cstheme="majorBidi"/>
          <w:sz w:val="24"/>
          <w:szCs w:val="24"/>
        </w:rPr>
        <w:t xml:space="preserve"> narrative </w:t>
      </w:r>
      <w:r w:rsidR="0052036F" w:rsidRPr="00172CDC">
        <w:rPr>
          <w:rFonts w:asciiTheme="majorBidi" w:hAnsiTheme="majorBidi" w:cstheme="majorBidi"/>
          <w:sz w:val="24"/>
          <w:szCs w:val="24"/>
        </w:rPr>
        <w:t xml:space="preserve">literature review to gain a wider understanding of the application of CSR in </w:t>
      </w:r>
      <w:r w:rsidR="00B96200" w:rsidRPr="00172CDC">
        <w:rPr>
          <w:rFonts w:asciiTheme="majorBidi" w:hAnsiTheme="majorBidi" w:cstheme="majorBidi"/>
          <w:sz w:val="24"/>
          <w:szCs w:val="24"/>
        </w:rPr>
        <w:t>developed</w:t>
      </w:r>
      <w:r w:rsidR="0052036F" w:rsidRPr="00172CDC">
        <w:rPr>
          <w:rFonts w:asciiTheme="majorBidi" w:hAnsiTheme="majorBidi" w:cstheme="majorBidi"/>
          <w:sz w:val="24"/>
          <w:szCs w:val="24"/>
        </w:rPr>
        <w:t xml:space="preserve"> countries</w:t>
      </w:r>
      <w:r w:rsidR="00EE5C9A" w:rsidRPr="00172CDC">
        <w:rPr>
          <w:rFonts w:asciiTheme="majorBidi" w:hAnsiTheme="majorBidi" w:cstheme="majorBidi"/>
          <w:sz w:val="24"/>
          <w:szCs w:val="24"/>
        </w:rPr>
        <w:t xml:space="preserve"> and to generate coherent hypotheses</w:t>
      </w:r>
      <w:r w:rsidR="0052036F" w:rsidRPr="00172CDC">
        <w:rPr>
          <w:rFonts w:asciiTheme="majorBidi" w:hAnsiTheme="majorBidi" w:cstheme="majorBidi"/>
          <w:sz w:val="24"/>
          <w:szCs w:val="24"/>
        </w:rPr>
        <w:t>.</w:t>
      </w:r>
      <w:r w:rsidR="00711694">
        <w:rPr>
          <w:rFonts w:asciiTheme="majorBidi" w:hAnsiTheme="majorBidi" w:cstheme="majorBidi"/>
          <w:sz w:val="24"/>
          <w:szCs w:val="24"/>
        </w:rPr>
        <w:t xml:space="preserve"> This was important to gain </w:t>
      </w:r>
      <w:r w:rsidR="00DD362B">
        <w:rPr>
          <w:rFonts w:asciiTheme="majorBidi" w:hAnsiTheme="majorBidi" w:cstheme="majorBidi"/>
          <w:sz w:val="24"/>
          <w:szCs w:val="24"/>
        </w:rPr>
        <w:t>knowledge</w:t>
      </w:r>
      <w:r w:rsidR="00711694">
        <w:rPr>
          <w:rFonts w:asciiTheme="majorBidi" w:hAnsiTheme="majorBidi" w:cstheme="majorBidi"/>
          <w:sz w:val="24"/>
          <w:szCs w:val="24"/>
        </w:rPr>
        <w:t xml:space="preserve"> from the abundant studies on CSR communication in global literature that </w:t>
      </w:r>
      <w:r w:rsidR="00DD362B">
        <w:rPr>
          <w:rFonts w:asciiTheme="majorBidi" w:hAnsiTheme="majorBidi" w:cstheme="majorBidi"/>
          <w:sz w:val="24"/>
          <w:szCs w:val="24"/>
        </w:rPr>
        <w:t>gives</w:t>
      </w:r>
      <w:r w:rsidR="00711694">
        <w:rPr>
          <w:rFonts w:asciiTheme="majorBidi" w:hAnsiTheme="majorBidi" w:cstheme="majorBidi"/>
          <w:sz w:val="24"/>
          <w:szCs w:val="24"/>
        </w:rPr>
        <w:t xml:space="preserve"> insights on the impact of CSR, definitions of CSR, strategies in CSR communications, etc. At this stage, the dissertation provided a substantial review from</w:t>
      </w:r>
      <w:r w:rsidR="00B71D3B">
        <w:rPr>
          <w:rFonts w:asciiTheme="majorBidi" w:hAnsiTheme="majorBidi" w:cstheme="majorBidi"/>
          <w:sz w:val="24"/>
          <w:szCs w:val="24"/>
        </w:rPr>
        <w:t xml:space="preserve"> the</w:t>
      </w:r>
      <w:r w:rsidR="00711694">
        <w:rPr>
          <w:rFonts w:asciiTheme="majorBidi" w:hAnsiTheme="majorBidi" w:cstheme="majorBidi"/>
          <w:sz w:val="24"/>
          <w:szCs w:val="24"/>
        </w:rPr>
        <w:t xml:space="preserve"> literature examining important topics related to CSR communication</w:t>
      </w:r>
      <w:r w:rsidR="000F74CF">
        <w:rPr>
          <w:rFonts w:asciiTheme="majorBidi" w:hAnsiTheme="majorBidi" w:cstheme="majorBidi"/>
          <w:sz w:val="24"/>
          <w:szCs w:val="24"/>
        </w:rPr>
        <w:t xml:space="preserve"> and the study’s objectives. Subsequently, the dissertation conducted a review of some of the theories related to consumer attitudes</w:t>
      </w:r>
      <w:r w:rsidR="00B71D3B">
        <w:rPr>
          <w:rFonts w:asciiTheme="majorBidi" w:hAnsiTheme="majorBidi" w:cstheme="majorBidi"/>
          <w:sz w:val="24"/>
          <w:szCs w:val="24"/>
        </w:rPr>
        <w:t>. A</w:t>
      </w:r>
      <w:r w:rsidR="000F74CF">
        <w:rPr>
          <w:rFonts w:asciiTheme="majorBidi" w:hAnsiTheme="majorBidi" w:cstheme="majorBidi"/>
          <w:sz w:val="24"/>
          <w:szCs w:val="24"/>
        </w:rPr>
        <w:t>ccordingly,</w:t>
      </w:r>
      <w:r w:rsidR="00B71D3B">
        <w:rPr>
          <w:rFonts w:asciiTheme="majorBidi" w:hAnsiTheme="majorBidi" w:cstheme="majorBidi"/>
          <w:sz w:val="24"/>
          <w:szCs w:val="24"/>
        </w:rPr>
        <w:t xml:space="preserve"> this</w:t>
      </w:r>
      <w:r w:rsidR="000F74CF">
        <w:rPr>
          <w:rFonts w:asciiTheme="majorBidi" w:hAnsiTheme="majorBidi" w:cstheme="majorBidi"/>
          <w:sz w:val="24"/>
          <w:szCs w:val="24"/>
        </w:rPr>
        <w:t xml:space="preserve"> developed</w:t>
      </w:r>
      <w:r w:rsidR="00711694">
        <w:rPr>
          <w:rFonts w:asciiTheme="majorBidi" w:hAnsiTheme="majorBidi" w:cstheme="majorBidi"/>
          <w:sz w:val="24"/>
          <w:szCs w:val="24"/>
        </w:rPr>
        <w:t xml:space="preserve"> the study’s </w:t>
      </w:r>
      <w:r w:rsidR="000F74CF">
        <w:rPr>
          <w:rFonts w:asciiTheme="majorBidi" w:hAnsiTheme="majorBidi" w:cstheme="majorBidi"/>
          <w:sz w:val="24"/>
          <w:szCs w:val="24"/>
        </w:rPr>
        <w:t>theoretical</w:t>
      </w:r>
      <w:r w:rsidR="00711694">
        <w:rPr>
          <w:rFonts w:asciiTheme="majorBidi" w:hAnsiTheme="majorBidi" w:cstheme="majorBidi"/>
          <w:sz w:val="24"/>
          <w:szCs w:val="24"/>
        </w:rPr>
        <w:t xml:space="preserve"> framework.</w:t>
      </w:r>
      <w:r w:rsidR="0052036F">
        <w:rPr>
          <w:rFonts w:asciiTheme="majorBidi" w:hAnsiTheme="majorBidi" w:cstheme="majorBidi"/>
          <w:sz w:val="24"/>
          <w:szCs w:val="24"/>
        </w:rPr>
        <w:t xml:space="preserve"> </w:t>
      </w:r>
      <w:r w:rsidR="000F74CF">
        <w:rPr>
          <w:rFonts w:asciiTheme="majorBidi" w:hAnsiTheme="majorBidi" w:cstheme="majorBidi"/>
          <w:sz w:val="24"/>
          <w:szCs w:val="24"/>
        </w:rPr>
        <w:t>At this stage,</w:t>
      </w:r>
      <w:r w:rsidR="00181895">
        <w:rPr>
          <w:rFonts w:asciiTheme="majorBidi" w:hAnsiTheme="majorBidi" w:cstheme="majorBidi"/>
          <w:sz w:val="24"/>
          <w:szCs w:val="24"/>
        </w:rPr>
        <w:t xml:space="preserve"> after critical analysis of literature and theory,</w:t>
      </w:r>
      <w:r w:rsidR="000F74CF">
        <w:rPr>
          <w:rFonts w:asciiTheme="majorBidi" w:hAnsiTheme="majorBidi" w:cstheme="majorBidi"/>
          <w:sz w:val="24"/>
          <w:szCs w:val="24"/>
        </w:rPr>
        <w:t xml:space="preserve"> the </w:t>
      </w:r>
      <w:r w:rsidR="00181895">
        <w:rPr>
          <w:rFonts w:asciiTheme="majorBidi" w:hAnsiTheme="majorBidi" w:cstheme="majorBidi"/>
          <w:sz w:val="24"/>
          <w:szCs w:val="24"/>
        </w:rPr>
        <w:t xml:space="preserve">study’s hypotheses, research questions, and theoretical framework have been set. </w:t>
      </w:r>
    </w:p>
    <w:p w14:paraId="6EE1C979" w14:textId="50899CCB" w:rsidR="004E7B44" w:rsidRDefault="00181895" w:rsidP="004E7B44">
      <w:pPr>
        <w:shd w:val="clear" w:color="auto" w:fill="FFFFFF"/>
        <w:spacing w:after="0" w:line="480" w:lineRule="auto"/>
        <w:ind w:firstLine="360"/>
        <w:rPr>
          <w:rFonts w:asciiTheme="majorBidi" w:hAnsiTheme="majorBidi" w:cstheme="majorBidi"/>
          <w:sz w:val="24"/>
          <w:szCs w:val="24"/>
        </w:rPr>
      </w:pPr>
      <w:r>
        <w:rPr>
          <w:rFonts w:asciiTheme="majorBidi" w:hAnsiTheme="majorBidi" w:cstheme="majorBidi"/>
          <w:sz w:val="24"/>
          <w:szCs w:val="24"/>
        </w:rPr>
        <w:t>The next stage was data collection.</w:t>
      </w:r>
      <w:r w:rsidR="00CC1573" w:rsidRPr="00CC1573">
        <w:rPr>
          <w:rFonts w:asciiTheme="majorBidi" w:hAnsiTheme="majorBidi" w:cstheme="majorBidi"/>
          <w:sz w:val="24"/>
          <w:szCs w:val="24"/>
        </w:rPr>
        <w:t xml:space="preserve"> 2x2 factorial survey experiments were conducted to compare the effects of CSR </w:t>
      </w:r>
      <w:r w:rsidR="00C65233">
        <w:rPr>
          <w:rFonts w:asciiTheme="majorBidi" w:hAnsiTheme="majorBidi" w:cstheme="majorBidi"/>
          <w:sz w:val="24"/>
          <w:szCs w:val="24"/>
        </w:rPr>
        <w:t xml:space="preserve">and </w:t>
      </w:r>
      <w:r w:rsidR="00CC1573" w:rsidRPr="00CC1573">
        <w:rPr>
          <w:rFonts w:asciiTheme="majorBidi" w:hAnsiTheme="majorBidi" w:cstheme="majorBidi"/>
          <w:sz w:val="24"/>
          <w:szCs w:val="24"/>
        </w:rPr>
        <w:t xml:space="preserve"> non-CSR </w:t>
      </w:r>
      <w:r w:rsidR="0052036F">
        <w:rPr>
          <w:rFonts w:asciiTheme="majorBidi" w:hAnsiTheme="majorBidi" w:cstheme="majorBidi"/>
          <w:sz w:val="24"/>
          <w:szCs w:val="24"/>
        </w:rPr>
        <w:t>communication</w:t>
      </w:r>
      <w:r w:rsidR="00CC1573" w:rsidRPr="00CC1573">
        <w:rPr>
          <w:rFonts w:asciiTheme="majorBidi" w:hAnsiTheme="majorBidi" w:cstheme="majorBidi"/>
          <w:sz w:val="24"/>
          <w:szCs w:val="24"/>
        </w:rPr>
        <w:t xml:space="preserve"> on television and social media and to examine the role of message-respondent congruence. The experimental stimuli presented </w:t>
      </w:r>
      <w:r w:rsidR="00DC130E">
        <w:rPr>
          <w:rFonts w:asciiTheme="majorBidi" w:hAnsiTheme="majorBidi" w:cstheme="majorBidi"/>
          <w:sz w:val="24"/>
          <w:szCs w:val="24"/>
        </w:rPr>
        <w:t xml:space="preserve">Dettol, a </w:t>
      </w:r>
      <w:r w:rsidR="00CC1573" w:rsidRPr="00CC1573">
        <w:rPr>
          <w:rFonts w:asciiTheme="majorBidi" w:hAnsiTheme="majorBidi" w:cstheme="majorBidi"/>
          <w:sz w:val="24"/>
          <w:szCs w:val="24"/>
        </w:rPr>
        <w:t>popular brand in Egypt</w:t>
      </w:r>
      <w:r w:rsidR="0052036F">
        <w:rPr>
          <w:rFonts w:asciiTheme="majorBidi" w:hAnsiTheme="majorBidi" w:cstheme="majorBidi"/>
          <w:sz w:val="24"/>
          <w:szCs w:val="24"/>
        </w:rPr>
        <w:t xml:space="preserve"> in the </w:t>
      </w:r>
      <w:r w:rsidR="00DC130E">
        <w:rPr>
          <w:rFonts w:asciiTheme="majorBidi" w:hAnsiTheme="majorBidi" w:cstheme="majorBidi"/>
          <w:sz w:val="24"/>
          <w:szCs w:val="24"/>
        </w:rPr>
        <w:t>FMCG</w:t>
      </w:r>
      <w:r w:rsidR="0052036F">
        <w:rPr>
          <w:rFonts w:asciiTheme="majorBidi" w:hAnsiTheme="majorBidi" w:cstheme="majorBidi"/>
          <w:sz w:val="24"/>
          <w:szCs w:val="24"/>
        </w:rPr>
        <w:t xml:space="preserve"> industry</w:t>
      </w:r>
      <w:r w:rsidR="00CC1573" w:rsidRPr="00CC1573">
        <w:rPr>
          <w:rFonts w:asciiTheme="majorBidi" w:hAnsiTheme="majorBidi" w:cstheme="majorBidi"/>
          <w:sz w:val="24"/>
          <w:szCs w:val="24"/>
        </w:rPr>
        <w:t xml:space="preserve"> and showed a hypothetical campaign which announced opening a free clinic in a poor town in Egypt. I applied purposive criterion sampling to ensure that respondents fit the criteria of the brand’s </w:t>
      </w:r>
      <w:r w:rsidR="009660F3">
        <w:rPr>
          <w:rFonts w:asciiTheme="majorBidi" w:hAnsiTheme="majorBidi" w:cstheme="majorBidi"/>
          <w:sz w:val="24"/>
          <w:szCs w:val="24"/>
        </w:rPr>
        <w:t xml:space="preserve">potential </w:t>
      </w:r>
      <w:r w:rsidR="00CC1573" w:rsidRPr="00CC1573">
        <w:rPr>
          <w:rFonts w:asciiTheme="majorBidi" w:hAnsiTheme="majorBidi" w:cstheme="majorBidi"/>
          <w:sz w:val="24"/>
          <w:szCs w:val="24"/>
        </w:rPr>
        <w:t xml:space="preserve">target audience. Final data was collected from 474 respondents. </w:t>
      </w:r>
      <w:r>
        <w:rPr>
          <w:rFonts w:asciiTheme="majorBidi" w:hAnsiTheme="majorBidi" w:cstheme="majorBidi"/>
          <w:sz w:val="24"/>
          <w:szCs w:val="24"/>
        </w:rPr>
        <w:t>Lastly</w:t>
      </w:r>
      <w:r w:rsidR="00DC130E">
        <w:rPr>
          <w:rFonts w:asciiTheme="majorBidi" w:hAnsiTheme="majorBidi" w:cstheme="majorBidi"/>
          <w:sz w:val="24"/>
          <w:szCs w:val="24"/>
        </w:rPr>
        <w:t>, to gain deeper insights on the consumers’ answers presented in a quantitative format, semi-structured interviews were conducted on a smaller sample of the respondents who were subjected to the CSR communication. The interviews were necessary in this study</w:t>
      </w:r>
      <w:r w:rsidR="005C7EBB">
        <w:rPr>
          <w:rFonts w:asciiTheme="majorBidi" w:hAnsiTheme="majorBidi" w:cstheme="majorBidi"/>
          <w:sz w:val="24"/>
          <w:szCs w:val="24"/>
        </w:rPr>
        <w:t xml:space="preserve"> to</w:t>
      </w:r>
      <w:r w:rsidR="00DC130E">
        <w:rPr>
          <w:rFonts w:asciiTheme="majorBidi" w:hAnsiTheme="majorBidi" w:cstheme="majorBidi"/>
          <w:sz w:val="24"/>
          <w:szCs w:val="24"/>
        </w:rPr>
        <w:t xml:space="preserve"> </w:t>
      </w:r>
      <w:r w:rsidR="005C7EBB">
        <w:rPr>
          <w:rFonts w:asciiTheme="majorBidi" w:hAnsiTheme="majorBidi" w:cstheme="majorBidi"/>
          <w:sz w:val="24"/>
          <w:szCs w:val="24"/>
        </w:rPr>
        <w:t xml:space="preserve">further strengthen the conclusions that this study needs about the consumers’ perspectives to successfully accomplish the research objectives. </w:t>
      </w:r>
      <w:r>
        <w:rPr>
          <w:rFonts w:asciiTheme="majorBidi" w:hAnsiTheme="majorBidi" w:cstheme="majorBidi"/>
          <w:sz w:val="24"/>
          <w:szCs w:val="24"/>
        </w:rPr>
        <w:t xml:space="preserve">Figure </w:t>
      </w:r>
      <w:r w:rsidR="0040301C">
        <w:rPr>
          <w:rFonts w:asciiTheme="majorBidi" w:hAnsiTheme="majorBidi" w:cstheme="majorBidi"/>
          <w:sz w:val="24"/>
          <w:szCs w:val="24"/>
        </w:rPr>
        <w:t>2</w:t>
      </w:r>
      <w:r>
        <w:rPr>
          <w:rFonts w:asciiTheme="majorBidi" w:hAnsiTheme="majorBidi" w:cstheme="majorBidi"/>
          <w:sz w:val="24"/>
          <w:szCs w:val="24"/>
        </w:rPr>
        <w:t xml:space="preserve"> summarises the main stages conducted in the study that </w:t>
      </w:r>
      <w:r w:rsidR="00A01C05">
        <w:rPr>
          <w:rFonts w:asciiTheme="majorBidi" w:hAnsiTheme="majorBidi" w:cstheme="majorBidi"/>
          <w:sz w:val="24"/>
          <w:szCs w:val="24"/>
        </w:rPr>
        <w:t>led</w:t>
      </w:r>
      <w:r>
        <w:rPr>
          <w:rFonts w:asciiTheme="majorBidi" w:hAnsiTheme="majorBidi" w:cstheme="majorBidi"/>
          <w:sz w:val="24"/>
          <w:szCs w:val="24"/>
        </w:rPr>
        <w:t xml:space="preserve"> to the data collection methods. The following section provides an outline of the structure of this dissertation. </w:t>
      </w:r>
    </w:p>
    <w:p w14:paraId="1C98F32A" w14:textId="027C9470" w:rsidR="007B5968" w:rsidRPr="007B5968" w:rsidRDefault="007B5968" w:rsidP="007B5968">
      <w:pPr>
        <w:spacing w:after="0" w:line="240" w:lineRule="auto"/>
        <w:rPr>
          <w:rFonts w:ascii="Times New Roman" w:eastAsia="Times New Roman" w:hAnsi="Times New Roman" w:cs="Times New Roman"/>
          <w:kern w:val="0"/>
          <w:sz w:val="24"/>
          <w:szCs w:val="24"/>
          <w:lang w:eastAsia="en-GB"/>
          <w14:ligatures w14:val="none"/>
        </w:rPr>
      </w:pPr>
      <w:r w:rsidRPr="007B5968">
        <w:rPr>
          <w:rFonts w:ascii="Times New Roman" w:eastAsia="Times New Roman" w:hAnsi="Times New Roman" w:cs="Times New Roman"/>
          <w:noProof/>
          <w:kern w:val="0"/>
          <w:sz w:val="24"/>
          <w:szCs w:val="24"/>
          <w:lang w:eastAsia="en-GB"/>
          <w14:ligatures w14:val="none"/>
        </w:rPr>
        <w:drawing>
          <wp:inline distT="0" distB="0" distL="0" distR="0" wp14:anchorId="06FC6AC6" wp14:editId="5AEE7A05">
            <wp:extent cx="1579886" cy="4381081"/>
            <wp:effectExtent l="0" t="0" r="1270" b="0"/>
            <wp:docPr id="1051557817"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57817" name="Picture 1" descr="A close-up of a pap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4488" cy="4421573"/>
                    </a:xfrm>
                    <a:prstGeom prst="rect">
                      <a:avLst/>
                    </a:prstGeom>
                    <a:noFill/>
                    <a:ln>
                      <a:noFill/>
                    </a:ln>
                  </pic:spPr>
                </pic:pic>
              </a:graphicData>
            </a:graphic>
          </wp:inline>
        </w:drawing>
      </w:r>
    </w:p>
    <w:p w14:paraId="6C7BDCE7" w14:textId="3A8CAE83" w:rsidR="0095546F" w:rsidRDefault="0095546F" w:rsidP="0095546F">
      <w:pPr>
        <w:keepNext/>
        <w:spacing w:after="0" w:line="240" w:lineRule="auto"/>
      </w:pPr>
    </w:p>
    <w:p w14:paraId="3802B20F" w14:textId="5BB149D0" w:rsidR="00D61536" w:rsidRPr="009B6D77" w:rsidRDefault="0095546F" w:rsidP="00B71D3B">
      <w:pPr>
        <w:pStyle w:val="Caption"/>
        <w:rPr>
          <w:rFonts w:ascii="Times New Roman" w:eastAsia="Times New Roman" w:hAnsi="Times New Roman" w:cs="Times New Roman"/>
          <w:kern w:val="0"/>
          <w:sz w:val="24"/>
          <w:szCs w:val="24"/>
          <w:lang w:eastAsia="en-GB"/>
          <w14:ligatures w14:val="none"/>
        </w:rPr>
      </w:pPr>
      <w:r>
        <w:t>Figure 2 A summary of stages taken to achieve the study's objectives.</w:t>
      </w:r>
    </w:p>
    <w:p w14:paraId="78FEAD7D" w14:textId="6FB607AB" w:rsidR="007672E5" w:rsidRPr="00E77650" w:rsidRDefault="007672E5">
      <w:pPr>
        <w:pStyle w:val="ListParagraph"/>
        <w:numPr>
          <w:ilvl w:val="1"/>
          <w:numId w:val="22"/>
        </w:numPr>
        <w:shd w:val="clear" w:color="auto" w:fill="FFFFFF"/>
        <w:spacing w:after="0" w:line="480" w:lineRule="auto"/>
        <w:rPr>
          <w:rFonts w:asciiTheme="majorBidi" w:hAnsiTheme="majorBidi" w:cstheme="majorBidi"/>
          <w:b/>
          <w:bCs/>
          <w:sz w:val="24"/>
          <w:szCs w:val="24"/>
        </w:rPr>
      </w:pPr>
      <w:r w:rsidRPr="00E77650">
        <w:rPr>
          <w:rFonts w:asciiTheme="majorBidi" w:hAnsiTheme="majorBidi" w:cstheme="majorBidi"/>
          <w:b/>
          <w:bCs/>
          <w:sz w:val="24"/>
          <w:szCs w:val="24"/>
        </w:rPr>
        <w:t xml:space="preserve">Overview of the structure of the thesis </w:t>
      </w:r>
    </w:p>
    <w:p w14:paraId="41F9F55B" w14:textId="20FD077A" w:rsidR="007672E5" w:rsidRDefault="007672E5"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Chapter 1 </w:t>
      </w:r>
      <w:r w:rsidR="00DD3D6A">
        <w:rPr>
          <w:rFonts w:asciiTheme="majorBidi" w:hAnsiTheme="majorBidi" w:cstheme="majorBidi"/>
          <w:sz w:val="24"/>
          <w:szCs w:val="24"/>
        </w:rPr>
        <w:t xml:space="preserve">– Introduction </w:t>
      </w:r>
    </w:p>
    <w:p w14:paraId="7EF6CD65" w14:textId="1FACBCE6" w:rsidR="007672E5" w:rsidRDefault="007672E5" w:rsidP="008D109C">
      <w:pPr>
        <w:pStyle w:val="ListParagraph"/>
        <w:shd w:val="clear" w:color="auto" w:fill="FFFFFF"/>
        <w:spacing w:after="0" w:line="480" w:lineRule="auto"/>
        <w:ind w:left="360" w:firstLine="360"/>
        <w:rPr>
          <w:rFonts w:asciiTheme="majorBidi" w:hAnsiTheme="majorBidi" w:cstheme="majorBidi"/>
          <w:sz w:val="24"/>
          <w:szCs w:val="24"/>
        </w:rPr>
      </w:pPr>
      <w:r w:rsidRPr="007672E5">
        <w:rPr>
          <w:rFonts w:asciiTheme="majorBidi" w:hAnsiTheme="majorBidi" w:cstheme="majorBidi"/>
          <w:sz w:val="24"/>
          <w:szCs w:val="24"/>
        </w:rPr>
        <w:t xml:space="preserve">The thesis's </w:t>
      </w:r>
      <w:r>
        <w:rPr>
          <w:rFonts w:asciiTheme="majorBidi" w:hAnsiTheme="majorBidi" w:cstheme="majorBidi"/>
          <w:sz w:val="24"/>
          <w:szCs w:val="24"/>
        </w:rPr>
        <w:t>introductory</w:t>
      </w:r>
      <w:r w:rsidRPr="007672E5">
        <w:rPr>
          <w:rFonts w:asciiTheme="majorBidi" w:hAnsiTheme="majorBidi" w:cstheme="majorBidi"/>
          <w:sz w:val="24"/>
          <w:szCs w:val="24"/>
        </w:rPr>
        <w:t xml:space="preserve"> chapter establishes </w:t>
      </w:r>
      <w:r>
        <w:rPr>
          <w:rFonts w:asciiTheme="majorBidi" w:hAnsiTheme="majorBidi" w:cstheme="majorBidi"/>
          <w:sz w:val="24"/>
          <w:szCs w:val="24"/>
        </w:rPr>
        <w:t>an overview of</w:t>
      </w:r>
      <w:r w:rsidRPr="007672E5">
        <w:rPr>
          <w:rFonts w:asciiTheme="majorBidi" w:hAnsiTheme="majorBidi" w:cstheme="majorBidi"/>
          <w:sz w:val="24"/>
          <w:szCs w:val="24"/>
        </w:rPr>
        <w:t xml:space="preserve"> thesis's </w:t>
      </w:r>
      <w:r>
        <w:rPr>
          <w:rFonts w:asciiTheme="majorBidi" w:hAnsiTheme="majorBidi" w:cstheme="majorBidi"/>
          <w:sz w:val="24"/>
          <w:szCs w:val="24"/>
        </w:rPr>
        <w:t>topic and objectives</w:t>
      </w:r>
      <w:r w:rsidRPr="007672E5">
        <w:rPr>
          <w:rFonts w:asciiTheme="majorBidi" w:hAnsiTheme="majorBidi" w:cstheme="majorBidi"/>
          <w:sz w:val="24"/>
          <w:szCs w:val="24"/>
        </w:rPr>
        <w:t>. The introduction to the study</w:t>
      </w:r>
      <w:r w:rsidR="008D1176">
        <w:rPr>
          <w:rFonts w:asciiTheme="majorBidi" w:hAnsiTheme="majorBidi" w:cstheme="majorBidi"/>
          <w:sz w:val="24"/>
          <w:szCs w:val="24"/>
        </w:rPr>
        <w:t xml:space="preserve"> </w:t>
      </w:r>
      <w:r w:rsidR="0080176A">
        <w:rPr>
          <w:rFonts w:asciiTheme="majorBidi" w:hAnsiTheme="majorBidi" w:cstheme="majorBidi"/>
          <w:sz w:val="24"/>
          <w:szCs w:val="24"/>
        </w:rPr>
        <w:t>presents</w:t>
      </w:r>
      <w:r w:rsidR="008D1176">
        <w:rPr>
          <w:rFonts w:asciiTheme="majorBidi" w:hAnsiTheme="majorBidi" w:cstheme="majorBidi"/>
          <w:sz w:val="24"/>
          <w:szCs w:val="24"/>
        </w:rPr>
        <w:t xml:space="preserve"> </w:t>
      </w:r>
      <w:r w:rsidRPr="007672E5">
        <w:rPr>
          <w:rFonts w:asciiTheme="majorBidi" w:hAnsiTheme="majorBidi" w:cstheme="majorBidi"/>
          <w:sz w:val="24"/>
          <w:szCs w:val="24"/>
        </w:rPr>
        <w:t xml:space="preserve">the thesis's goals and objectives, </w:t>
      </w:r>
      <w:r w:rsidR="008D1176">
        <w:rPr>
          <w:rFonts w:asciiTheme="majorBidi" w:hAnsiTheme="majorBidi" w:cstheme="majorBidi"/>
          <w:sz w:val="24"/>
          <w:szCs w:val="24"/>
        </w:rPr>
        <w:t>initial explanation of this thesis’s data collection methods</w:t>
      </w:r>
      <w:r w:rsidRPr="007672E5">
        <w:rPr>
          <w:rFonts w:asciiTheme="majorBidi" w:hAnsiTheme="majorBidi" w:cstheme="majorBidi"/>
          <w:sz w:val="24"/>
          <w:szCs w:val="24"/>
        </w:rPr>
        <w:t>, the study's design and scope, the research significance, and finally an overview of the chapters that make up the thesis</w:t>
      </w:r>
      <w:r w:rsidR="008D1176">
        <w:rPr>
          <w:rFonts w:asciiTheme="majorBidi" w:hAnsiTheme="majorBidi" w:cstheme="majorBidi"/>
          <w:sz w:val="24"/>
          <w:szCs w:val="24"/>
        </w:rPr>
        <w:t>.</w:t>
      </w:r>
      <w:r w:rsidR="009660F3">
        <w:rPr>
          <w:rFonts w:asciiTheme="majorBidi" w:hAnsiTheme="majorBidi" w:cstheme="majorBidi"/>
          <w:sz w:val="24"/>
          <w:szCs w:val="24"/>
        </w:rPr>
        <w:t xml:space="preserve"> Chapter 1 highlights outlines the main objective of the study which is comparing the impact of CSR to non-CSR communication on different medica vehicles on FMCG consumers in Egypt. The chapter also presents the background of the study,</w:t>
      </w:r>
      <w:r w:rsidR="00C10F79">
        <w:rPr>
          <w:rFonts w:asciiTheme="majorBidi" w:hAnsiTheme="majorBidi" w:cstheme="majorBidi"/>
          <w:sz w:val="24"/>
          <w:szCs w:val="24"/>
        </w:rPr>
        <w:t xml:space="preserve"> research gaps,</w:t>
      </w:r>
      <w:r w:rsidR="009660F3">
        <w:rPr>
          <w:rFonts w:asciiTheme="majorBidi" w:hAnsiTheme="majorBidi" w:cstheme="majorBidi"/>
          <w:sz w:val="24"/>
          <w:szCs w:val="24"/>
        </w:rPr>
        <w:t xml:space="preserve"> the rationale for examining FMCG product in Egypt, and the contributions of the thesis.</w:t>
      </w:r>
    </w:p>
    <w:p w14:paraId="62896203" w14:textId="38D75D8E" w:rsidR="007672E5" w:rsidRDefault="007672E5"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Chapter </w:t>
      </w:r>
      <w:r w:rsidR="009660F3">
        <w:rPr>
          <w:rFonts w:asciiTheme="majorBidi" w:hAnsiTheme="majorBidi" w:cstheme="majorBidi"/>
          <w:sz w:val="24"/>
          <w:szCs w:val="24"/>
        </w:rPr>
        <w:t xml:space="preserve">2 </w:t>
      </w:r>
      <w:r w:rsidR="00DD3D6A">
        <w:rPr>
          <w:rFonts w:asciiTheme="majorBidi" w:hAnsiTheme="majorBidi" w:cstheme="majorBidi"/>
          <w:sz w:val="24"/>
          <w:szCs w:val="24"/>
        </w:rPr>
        <w:t xml:space="preserve">- Literature Review </w:t>
      </w:r>
    </w:p>
    <w:p w14:paraId="73E7A2E6" w14:textId="2F495EA6" w:rsidR="00BF799C" w:rsidRDefault="008D1176" w:rsidP="008D109C">
      <w:pPr>
        <w:pStyle w:val="ListParagraph"/>
        <w:shd w:val="clear" w:color="auto" w:fill="FFFFFF"/>
        <w:spacing w:after="0" w:line="480" w:lineRule="auto"/>
        <w:ind w:left="360" w:firstLine="360"/>
        <w:rPr>
          <w:rFonts w:asciiTheme="majorBidi" w:hAnsiTheme="majorBidi" w:cstheme="majorBidi"/>
          <w:sz w:val="24"/>
          <w:szCs w:val="24"/>
        </w:rPr>
      </w:pPr>
      <w:r>
        <w:rPr>
          <w:rFonts w:asciiTheme="majorBidi" w:hAnsiTheme="majorBidi" w:cstheme="majorBidi"/>
          <w:sz w:val="24"/>
          <w:szCs w:val="24"/>
        </w:rPr>
        <w:t>I</w:t>
      </w:r>
      <w:r w:rsidR="002E1A03">
        <w:rPr>
          <w:rFonts w:asciiTheme="majorBidi" w:hAnsiTheme="majorBidi" w:cstheme="majorBidi"/>
          <w:sz w:val="24"/>
          <w:szCs w:val="24"/>
        </w:rPr>
        <w:t xml:space="preserve">n chapter </w:t>
      </w:r>
      <w:r w:rsidR="009660F3">
        <w:rPr>
          <w:rFonts w:asciiTheme="majorBidi" w:hAnsiTheme="majorBidi" w:cstheme="majorBidi"/>
          <w:sz w:val="24"/>
          <w:szCs w:val="24"/>
        </w:rPr>
        <w:t>two</w:t>
      </w:r>
      <w:r w:rsidR="002E1A03">
        <w:rPr>
          <w:rFonts w:asciiTheme="majorBidi" w:hAnsiTheme="majorBidi" w:cstheme="majorBidi"/>
          <w:sz w:val="24"/>
          <w:szCs w:val="24"/>
        </w:rPr>
        <w:t>, I</w:t>
      </w:r>
      <w:r>
        <w:rPr>
          <w:rFonts w:asciiTheme="majorBidi" w:hAnsiTheme="majorBidi" w:cstheme="majorBidi"/>
          <w:sz w:val="24"/>
          <w:szCs w:val="24"/>
        </w:rPr>
        <w:t xml:space="preserve"> </w:t>
      </w:r>
      <w:r w:rsidR="002E1A03">
        <w:rPr>
          <w:rFonts w:asciiTheme="majorBidi" w:hAnsiTheme="majorBidi" w:cstheme="majorBidi"/>
          <w:sz w:val="24"/>
          <w:szCs w:val="24"/>
        </w:rPr>
        <w:t xml:space="preserve">examine global </w:t>
      </w:r>
      <w:r w:rsidRPr="008D1176">
        <w:rPr>
          <w:rFonts w:asciiTheme="majorBidi" w:hAnsiTheme="majorBidi" w:cstheme="majorBidi"/>
          <w:sz w:val="24"/>
          <w:szCs w:val="24"/>
        </w:rPr>
        <w:t xml:space="preserve">literature pertinent to the thesis </w:t>
      </w:r>
      <w:r w:rsidR="002E1A03">
        <w:rPr>
          <w:rFonts w:asciiTheme="majorBidi" w:hAnsiTheme="majorBidi" w:cstheme="majorBidi"/>
          <w:sz w:val="24"/>
          <w:szCs w:val="24"/>
        </w:rPr>
        <w:t>area of study by conducting a</w:t>
      </w:r>
      <w:r w:rsidR="008364BA">
        <w:rPr>
          <w:rFonts w:asciiTheme="majorBidi" w:hAnsiTheme="majorBidi" w:cstheme="majorBidi"/>
          <w:sz w:val="24"/>
          <w:szCs w:val="24"/>
        </w:rPr>
        <w:t xml:space="preserve"> narrative </w:t>
      </w:r>
      <w:r w:rsidR="002E1A03">
        <w:rPr>
          <w:rFonts w:asciiTheme="majorBidi" w:hAnsiTheme="majorBidi" w:cstheme="majorBidi"/>
          <w:sz w:val="24"/>
          <w:szCs w:val="24"/>
        </w:rPr>
        <w:t>literature review</w:t>
      </w:r>
      <w:r w:rsidR="009660F3">
        <w:rPr>
          <w:rFonts w:asciiTheme="majorBidi" w:hAnsiTheme="majorBidi" w:cstheme="majorBidi"/>
          <w:sz w:val="24"/>
          <w:szCs w:val="24"/>
        </w:rPr>
        <w:t xml:space="preserve"> on different topics related to CSR communication</w:t>
      </w:r>
      <w:r w:rsidR="002E1A03">
        <w:rPr>
          <w:rFonts w:asciiTheme="majorBidi" w:hAnsiTheme="majorBidi" w:cstheme="majorBidi"/>
          <w:sz w:val="24"/>
          <w:szCs w:val="24"/>
        </w:rPr>
        <w:t xml:space="preserve">. In this chapter, various topics related to CSR </w:t>
      </w:r>
      <w:r w:rsidR="00B71D3B">
        <w:rPr>
          <w:rFonts w:asciiTheme="majorBidi" w:hAnsiTheme="majorBidi" w:cstheme="majorBidi"/>
          <w:sz w:val="24"/>
          <w:szCs w:val="24"/>
        </w:rPr>
        <w:t>are</w:t>
      </w:r>
      <w:r w:rsidR="002E1A03">
        <w:rPr>
          <w:rFonts w:asciiTheme="majorBidi" w:hAnsiTheme="majorBidi" w:cstheme="majorBidi"/>
          <w:sz w:val="24"/>
          <w:szCs w:val="24"/>
        </w:rPr>
        <w:t xml:space="preserve"> reviewed in literature. The chapter start</w:t>
      </w:r>
      <w:r w:rsidR="00F94905">
        <w:rPr>
          <w:rFonts w:asciiTheme="majorBidi" w:hAnsiTheme="majorBidi" w:cstheme="majorBidi"/>
          <w:sz w:val="24"/>
          <w:szCs w:val="24"/>
        </w:rPr>
        <w:t>s</w:t>
      </w:r>
      <w:r w:rsidR="002E1A03">
        <w:rPr>
          <w:rFonts w:asciiTheme="majorBidi" w:hAnsiTheme="majorBidi" w:cstheme="majorBidi"/>
          <w:sz w:val="24"/>
          <w:szCs w:val="24"/>
        </w:rPr>
        <w:t xml:space="preserve"> with sections explaining the most common definitions of CSR</w:t>
      </w:r>
      <w:r w:rsidR="00295C1A">
        <w:rPr>
          <w:rFonts w:asciiTheme="majorBidi" w:hAnsiTheme="majorBidi" w:cstheme="majorBidi"/>
          <w:sz w:val="24"/>
          <w:szCs w:val="24"/>
        </w:rPr>
        <w:t xml:space="preserve">, types of CSR and </w:t>
      </w:r>
      <w:r w:rsidR="002E1A03">
        <w:rPr>
          <w:rFonts w:asciiTheme="majorBidi" w:hAnsiTheme="majorBidi" w:cstheme="majorBidi"/>
          <w:sz w:val="24"/>
          <w:szCs w:val="24"/>
        </w:rPr>
        <w:t xml:space="preserve">the benefits of CSR. Afterwards, some of the other discussed topics </w:t>
      </w:r>
      <w:r w:rsidR="00B71D3B">
        <w:rPr>
          <w:rFonts w:asciiTheme="majorBidi" w:hAnsiTheme="majorBidi" w:cstheme="majorBidi"/>
          <w:sz w:val="24"/>
          <w:szCs w:val="24"/>
        </w:rPr>
        <w:t>are</w:t>
      </w:r>
      <w:r w:rsidR="002E1A03">
        <w:rPr>
          <w:rFonts w:asciiTheme="majorBidi" w:hAnsiTheme="majorBidi" w:cstheme="majorBidi"/>
          <w:sz w:val="24"/>
          <w:szCs w:val="24"/>
        </w:rPr>
        <w:t xml:space="preserve"> </w:t>
      </w:r>
      <w:r w:rsidR="00295C1A">
        <w:rPr>
          <w:rFonts w:asciiTheme="majorBidi" w:hAnsiTheme="majorBidi" w:cstheme="majorBidi"/>
          <w:sz w:val="24"/>
          <w:szCs w:val="24"/>
        </w:rPr>
        <w:t xml:space="preserve">CSR and consumer behaviour, </w:t>
      </w:r>
      <w:r w:rsidR="002E1A03">
        <w:rPr>
          <w:rFonts w:asciiTheme="majorBidi" w:hAnsiTheme="majorBidi" w:cstheme="majorBidi"/>
          <w:sz w:val="24"/>
          <w:szCs w:val="24"/>
        </w:rPr>
        <w:t xml:space="preserve">CSR strategies, </w:t>
      </w:r>
      <w:r w:rsidR="00295C1A">
        <w:rPr>
          <w:rFonts w:asciiTheme="majorBidi" w:hAnsiTheme="majorBidi" w:cstheme="majorBidi"/>
          <w:sz w:val="24"/>
          <w:szCs w:val="24"/>
        </w:rPr>
        <w:t>etc. This is an imperative chapter because the majority of this study’s hypotheses</w:t>
      </w:r>
      <w:r w:rsidR="00F94905">
        <w:rPr>
          <w:rFonts w:asciiTheme="majorBidi" w:hAnsiTheme="majorBidi" w:cstheme="majorBidi"/>
          <w:sz w:val="24"/>
          <w:szCs w:val="24"/>
        </w:rPr>
        <w:t xml:space="preserve"> and further research gaps</w:t>
      </w:r>
      <w:r w:rsidR="00295C1A">
        <w:rPr>
          <w:rFonts w:asciiTheme="majorBidi" w:hAnsiTheme="majorBidi" w:cstheme="majorBidi"/>
          <w:sz w:val="24"/>
          <w:szCs w:val="24"/>
        </w:rPr>
        <w:t xml:space="preserve"> emerged from this chapter. </w:t>
      </w:r>
      <w:r w:rsidR="0088045D">
        <w:rPr>
          <w:rFonts w:asciiTheme="majorBidi" w:hAnsiTheme="majorBidi" w:cstheme="majorBidi"/>
          <w:sz w:val="24"/>
          <w:szCs w:val="24"/>
        </w:rPr>
        <w:t>Mainly, this chapter revealed that while there are a plethora of studies that examine the positive impact of CSR communication on consumers’ brand attitudes, there are not enough studies that compare between CSR and non-CSR communication strategies</w:t>
      </w:r>
      <w:r w:rsidR="00B319BC">
        <w:rPr>
          <w:rFonts w:asciiTheme="majorBidi" w:hAnsiTheme="majorBidi" w:cstheme="majorBidi"/>
          <w:sz w:val="24"/>
          <w:szCs w:val="24"/>
        </w:rPr>
        <w:t xml:space="preserve"> in their impact on consumers. The findings of the chapter presented strategies to ensure the success of CSR communication and the way these strategies are more successful in low -involvement products such as FMCG.</w:t>
      </w:r>
      <w:r w:rsidR="0088045D">
        <w:rPr>
          <w:rFonts w:asciiTheme="majorBidi" w:hAnsiTheme="majorBidi" w:cstheme="majorBidi"/>
          <w:sz w:val="24"/>
          <w:szCs w:val="24"/>
        </w:rPr>
        <w:t xml:space="preserve"> </w:t>
      </w:r>
      <w:r w:rsidR="00B319BC">
        <w:rPr>
          <w:rFonts w:asciiTheme="majorBidi" w:hAnsiTheme="majorBidi" w:cstheme="majorBidi"/>
          <w:sz w:val="24"/>
          <w:szCs w:val="24"/>
        </w:rPr>
        <w:t xml:space="preserve">Additionally, this literature review showed that key measure of the success of communication strategies like brand likeability is not examined enough in the context of CSR communication. </w:t>
      </w:r>
      <w:r w:rsidR="008D109C">
        <w:rPr>
          <w:rFonts w:asciiTheme="majorBidi" w:hAnsiTheme="majorBidi" w:cstheme="majorBidi"/>
          <w:sz w:val="24"/>
          <w:szCs w:val="24"/>
        </w:rPr>
        <w:t xml:space="preserve">Most importantly, the review revealed that CSR as a concept is understudied in the Middle East. </w:t>
      </w:r>
    </w:p>
    <w:p w14:paraId="1EAE9F0D" w14:textId="0C88D97F" w:rsidR="009660F3" w:rsidRDefault="009660F3" w:rsidP="009660F3">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Chapter 3 – Systematic Literature Review </w:t>
      </w:r>
    </w:p>
    <w:p w14:paraId="426102A0" w14:textId="21B55710" w:rsidR="009660F3" w:rsidRPr="004B44B9" w:rsidRDefault="00C27B0F" w:rsidP="004B44B9">
      <w:pPr>
        <w:pStyle w:val="ListParagraph"/>
        <w:shd w:val="clear" w:color="auto" w:fill="FFFFFF"/>
        <w:spacing w:after="0" w:line="480" w:lineRule="auto"/>
        <w:ind w:left="360" w:firstLine="360"/>
        <w:rPr>
          <w:rFonts w:asciiTheme="majorBidi" w:hAnsiTheme="majorBidi" w:cstheme="majorBidi"/>
          <w:sz w:val="24"/>
          <w:szCs w:val="24"/>
        </w:rPr>
      </w:pPr>
      <w:r>
        <w:rPr>
          <w:rFonts w:asciiTheme="majorBidi" w:hAnsiTheme="majorBidi" w:cstheme="majorBidi"/>
          <w:sz w:val="24"/>
          <w:szCs w:val="24"/>
        </w:rPr>
        <w:t>Since chapter two identified that the Middle East is an important region for multinational companies,</w:t>
      </w:r>
      <w:r w:rsidR="004B44B9">
        <w:rPr>
          <w:rFonts w:asciiTheme="majorBidi" w:hAnsiTheme="majorBidi" w:cstheme="majorBidi"/>
          <w:sz w:val="24"/>
          <w:szCs w:val="24"/>
        </w:rPr>
        <w:t xml:space="preserve"> in</w:t>
      </w:r>
      <w:r>
        <w:rPr>
          <w:rFonts w:asciiTheme="majorBidi" w:hAnsiTheme="majorBidi" w:cstheme="majorBidi"/>
          <w:sz w:val="24"/>
          <w:szCs w:val="24"/>
        </w:rPr>
        <w:t xml:space="preserve"> </w:t>
      </w:r>
      <w:r w:rsidR="009660F3">
        <w:rPr>
          <w:rFonts w:asciiTheme="majorBidi" w:hAnsiTheme="majorBidi" w:cstheme="majorBidi"/>
          <w:sz w:val="24"/>
          <w:szCs w:val="24"/>
        </w:rPr>
        <w:t>the third chapter of this thesis, I conduct a systematic literature review for CSR communication in the Middle East</w:t>
      </w:r>
      <w:r>
        <w:rPr>
          <w:rFonts w:asciiTheme="majorBidi" w:hAnsiTheme="majorBidi" w:cstheme="majorBidi"/>
          <w:sz w:val="24"/>
          <w:szCs w:val="24"/>
        </w:rPr>
        <w:t>. This is necessary to</w:t>
      </w:r>
      <w:r w:rsidR="00B319BC">
        <w:rPr>
          <w:rFonts w:asciiTheme="majorBidi" w:hAnsiTheme="majorBidi" w:cstheme="majorBidi"/>
          <w:sz w:val="24"/>
          <w:szCs w:val="24"/>
        </w:rPr>
        <w:t xml:space="preserve"> </w:t>
      </w:r>
      <w:r>
        <w:rPr>
          <w:rFonts w:asciiTheme="majorBidi" w:hAnsiTheme="majorBidi" w:cstheme="majorBidi"/>
          <w:sz w:val="24"/>
          <w:szCs w:val="24"/>
        </w:rPr>
        <w:t>thoroughly examine the way CSR is studied in the Middle East</w:t>
      </w:r>
      <w:r w:rsidR="009660F3">
        <w:rPr>
          <w:rFonts w:asciiTheme="majorBidi" w:hAnsiTheme="majorBidi" w:cstheme="majorBidi"/>
          <w:sz w:val="24"/>
          <w:szCs w:val="24"/>
        </w:rPr>
        <w:t xml:space="preserve">. This chapter elaborates the specific steps adopted to systematically review a substantial number of peer-reviewed articles published about CSR in the Middle East. Chapter two provides conclusions of an enclosed sum of articles about CSR in the Middle East published in highly ranked journals in the past five years. Mainly, this chapter identifies </w:t>
      </w:r>
      <w:r>
        <w:rPr>
          <w:rFonts w:asciiTheme="majorBidi" w:hAnsiTheme="majorBidi" w:cstheme="majorBidi"/>
          <w:sz w:val="24"/>
          <w:szCs w:val="24"/>
        </w:rPr>
        <w:t>that</w:t>
      </w:r>
      <w:r w:rsidR="009660F3">
        <w:rPr>
          <w:rFonts w:asciiTheme="majorBidi" w:hAnsiTheme="majorBidi" w:cstheme="majorBidi"/>
          <w:sz w:val="24"/>
          <w:szCs w:val="24"/>
        </w:rPr>
        <w:t xml:space="preserve"> CSR </w:t>
      </w:r>
      <w:r>
        <w:rPr>
          <w:rFonts w:asciiTheme="majorBidi" w:hAnsiTheme="majorBidi" w:cstheme="majorBidi"/>
          <w:sz w:val="24"/>
          <w:szCs w:val="24"/>
        </w:rPr>
        <w:t xml:space="preserve">communication and its impact on consumers </w:t>
      </w:r>
      <w:r w:rsidR="009660F3">
        <w:rPr>
          <w:rFonts w:asciiTheme="majorBidi" w:hAnsiTheme="majorBidi" w:cstheme="majorBidi"/>
          <w:sz w:val="24"/>
          <w:szCs w:val="24"/>
        </w:rPr>
        <w:t xml:space="preserve">in the Middle East </w:t>
      </w:r>
      <w:r>
        <w:rPr>
          <w:rFonts w:asciiTheme="majorBidi" w:hAnsiTheme="majorBidi" w:cstheme="majorBidi"/>
          <w:sz w:val="24"/>
          <w:szCs w:val="24"/>
        </w:rPr>
        <w:t>is understudied which</w:t>
      </w:r>
      <w:r w:rsidR="009660F3">
        <w:rPr>
          <w:rFonts w:asciiTheme="majorBidi" w:hAnsiTheme="majorBidi" w:cstheme="majorBidi"/>
          <w:sz w:val="24"/>
          <w:szCs w:val="24"/>
        </w:rPr>
        <w:t xml:space="preserve"> uncovers an important gap in literature.  </w:t>
      </w:r>
      <w:r>
        <w:rPr>
          <w:rFonts w:asciiTheme="majorBidi" w:hAnsiTheme="majorBidi" w:cstheme="majorBidi"/>
          <w:sz w:val="24"/>
          <w:szCs w:val="24"/>
        </w:rPr>
        <w:t>Additionally, there were some evidence that decision makers in companies in the Middle East lacked the acumen to plan and implement CSR communication strategies.</w:t>
      </w:r>
    </w:p>
    <w:p w14:paraId="3BECB201" w14:textId="6436358D" w:rsidR="00BF799C" w:rsidRDefault="00BF799C"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Chapter 4 – Theoretical Framework</w:t>
      </w:r>
    </w:p>
    <w:p w14:paraId="57DC10F5" w14:textId="38A8ADED" w:rsidR="00295C1A" w:rsidRDefault="00BF799C" w:rsidP="004B44B9">
      <w:pPr>
        <w:pStyle w:val="ListParagraph"/>
        <w:shd w:val="clear" w:color="auto" w:fill="FFFFFF"/>
        <w:spacing w:after="0" w:line="480" w:lineRule="auto"/>
        <w:ind w:left="360" w:firstLine="360"/>
        <w:rPr>
          <w:rFonts w:asciiTheme="majorBidi" w:hAnsiTheme="majorBidi" w:cstheme="majorBidi"/>
          <w:sz w:val="24"/>
          <w:szCs w:val="24"/>
        </w:rPr>
      </w:pPr>
      <w:r w:rsidRPr="00BF799C">
        <w:rPr>
          <w:rFonts w:asciiTheme="majorBidi" w:hAnsiTheme="majorBidi" w:cstheme="majorBidi"/>
          <w:sz w:val="24"/>
          <w:szCs w:val="24"/>
        </w:rPr>
        <w:t>This chapter discusses some of the important theories used in the consumer behaviour and CSR literature that I consulted for this investigation.</w:t>
      </w:r>
      <w:r w:rsidR="004B44B9">
        <w:rPr>
          <w:rFonts w:asciiTheme="majorBidi" w:hAnsiTheme="majorBidi" w:cstheme="majorBidi"/>
          <w:sz w:val="24"/>
          <w:szCs w:val="24"/>
        </w:rPr>
        <w:t xml:space="preserve"> The chapter begins with an analysis of the main theories in consumer behaviour. Most of the commonly used theories in consumer behaviour literature focus on examining change in attitudes, persuasive effects, and actual behaviour. This study examines the difference in impact between CSR and non-CSR communication on consumers’ brand attitudes and purchase intention. </w:t>
      </w:r>
      <w:r w:rsidRPr="00BF799C">
        <w:rPr>
          <w:rFonts w:asciiTheme="majorBidi" w:hAnsiTheme="majorBidi" w:cstheme="majorBidi"/>
          <w:sz w:val="24"/>
          <w:szCs w:val="24"/>
        </w:rPr>
        <w:t>In order to improve th</w:t>
      </w:r>
      <w:r>
        <w:rPr>
          <w:rFonts w:asciiTheme="majorBidi" w:hAnsiTheme="majorBidi" w:cstheme="majorBidi"/>
          <w:sz w:val="24"/>
          <w:szCs w:val="24"/>
        </w:rPr>
        <w:t>is study’s</w:t>
      </w:r>
      <w:r w:rsidRPr="00BF799C">
        <w:rPr>
          <w:rFonts w:asciiTheme="majorBidi" w:hAnsiTheme="majorBidi" w:cstheme="majorBidi"/>
          <w:sz w:val="24"/>
          <w:szCs w:val="24"/>
        </w:rPr>
        <w:t xml:space="preserve"> model's explanatory capabilities, the theoretical framework combines a number of theories</w:t>
      </w:r>
      <w:r>
        <w:rPr>
          <w:rFonts w:asciiTheme="majorBidi" w:hAnsiTheme="majorBidi" w:cstheme="majorBidi"/>
          <w:sz w:val="24"/>
          <w:szCs w:val="24"/>
        </w:rPr>
        <w:t xml:space="preserve"> that are thoroughly examined in chapter four</w:t>
      </w:r>
      <w:r w:rsidR="004B44B9">
        <w:rPr>
          <w:rFonts w:asciiTheme="majorBidi" w:hAnsiTheme="majorBidi" w:cstheme="majorBidi"/>
          <w:sz w:val="24"/>
          <w:szCs w:val="24"/>
        </w:rPr>
        <w:t xml:space="preserve">. </w:t>
      </w:r>
      <w:r>
        <w:rPr>
          <w:rFonts w:asciiTheme="majorBidi" w:hAnsiTheme="majorBidi" w:cstheme="majorBidi"/>
          <w:sz w:val="24"/>
          <w:szCs w:val="24"/>
        </w:rPr>
        <w:t xml:space="preserve">The chapter identifies </w:t>
      </w:r>
      <w:r w:rsidR="007F2FC9">
        <w:rPr>
          <w:rFonts w:asciiTheme="majorBidi" w:hAnsiTheme="majorBidi" w:cstheme="majorBidi"/>
          <w:sz w:val="24"/>
          <w:szCs w:val="24"/>
        </w:rPr>
        <w:t xml:space="preserve">four theories </w:t>
      </w:r>
      <w:r w:rsidRPr="00FD0B0F">
        <w:rPr>
          <w:rFonts w:asciiTheme="majorBidi" w:hAnsiTheme="majorBidi" w:cstheme="majorBidi"/>
          <w:sz w:val="24"/>
          <w:szCs w:val="24"/>
        </w:rPr>
        <w:t xml:space="preserve">that </w:t>
      </w:r>
      <w:r w:rsidR="00B71D3B">
        <w:rPr>
          <w:rFonts w:asciiTheme="majorBidi" w:hAnsiTheme="majorBidi" w:cstheme="majorBidi"/>
          <w:sz w:val="24"/>
          <w:szCs w:val="24"/>
        </w:rPr>
        <w:t>are</w:t>
      </w:r>
      <w:r w:rsidRPr="00FD0B0F">
        <w:rPr>
          <w:rFonts w:asciiTheme="majorBidi" w:hAnsiTheme="majorBidi" w:cstheme="majorBidi"/>
          <w:sz w:val="24"/>
          <w:szCs w:val="24"/>
        </w:rPr>
        <w:t xml:space="preserve"> regarded most appropriate for this study’s specific objectives</w:t>
      </w:r>
      <w:r w:rsidR="007F2FC9">
        <w:rPr>
          <w:rFonts w:asciiTheme="majorBidi" w:hAnsiTheme="majorBidi" w:cstheme="majorBidi"/>
          <w:sz w:val="24"/>
          <w:szCs w:val="24"/>
        </w:rPr>
        <w:t xml:space="preserve"> while discussing their criticism, application in literature, and application in this study.</w:t>
      </w:r>
      <w:r w:rsidR="004B44B9">
        <w:rPr>
          <w:rFonts w:asciiTheme="majorBidi" w:hAnsiTheme="majorBidi" w:cstheme="majorBidi"/>
          <w:sz w:val="24"/>
          <w:szCs w:val="24"/>
        </w:rPr>
        <w:t xml:space="preserve"> Firstly, this study relies on the </w:t>
      </w:r>
      <w:r w:rsidR="007F2FC9">
        <w:rPr>
          <w:rFonts w:asciiTheme="majorBidi" w:hAnsiTheme="majorBidi" w:cstheme="majorBidi"/>
          <w:sz w:val="24"/>
          <w:szCs w:val="24"/>
        </w:rPr>
        <w:t>Theory of Reasoned Action</w:t>
      </w:r>
      <w:r w:rsidR="004B44B9">
        <w:rPr>
          <w:rFonts w:asciiTheme="majorBidi" w:hAnsiTheme="majorBidi" w:cstheme="majorBidi"/>
          <w:sz w:val="24"/>
          <w:szCs w:val="24"/>
        </w:rPr>
        <w:t xml:space="preserve"> to examine the impact of CSR and brand attitudes on purchase intention. Secondly, to fully capture the relationship of the original communication strategy (CSR vs. non-CSR), the study uses the</w:t>
      </w:r>
      <w:r w:rsidR="007F2FC9">
        <w:rPr>
          <w:rFonts w:asciiTheme="majorBidi" w:hAnsiTheme="majorBidi" w:cstheme="majorBidi"/>
          <w:sz w:val="24"/>
          <w:szCs w:val="24"/>
        </w:rPr>
        <w:t xml:space="preserve"> Stimuli</w:t>
      </w:r>
      <w:r w:rsidR="0080176A">
        <w:rPr>
          <w:rFonts w:asciiTheme="majorBidi" w:hAnsiTheme="majorBidi" w:cstheme="majorBidi"/>
          <w:sz w:val="24"/>
          <w:szCs w:val="24"/>
        </w:rPr>
        <w:t>,</w:t>
      </w:r>
      <w:r w:rsidR="007F2FC9">
        <w:rPr>
          <w:rFonts w:asciiTheme="majorBidi" w:hAnsiTheme="majorBidi" w:cstheme="majorBidi"/>
          <w:sz w:val="24"/>
          <w:szCs w:val="24"/>
        </w:rPr>
        <w:t xml:space="preserve"> Organism, </w:t>
      </w:r>
      <w:r w:rsidR="0080176A">
        <w:rPr>
          <w:rFonts w:asciiTheme="majorBidi" w:hAnsiTheme="majorBidi" w:cstheme="majorBidi"/>
          <w:sz w:val="24"/>
          <w:szCs w:val="24"/>
        </w:rPr>
        <w:t xml:space="preserve">and </w:t>
      </w:r>
      <w:r w:rsidR="007F2FC9">
        <w:rPr>
          <w:rFonts w:asciiTheme="majorBidi" w:hAnsiTheme="majorBidi" w:cstheme="majorBidi"/>
          <w:sz w:val="24"/>
          <w:szCs w:val="24"/>
        </w:rPr>
        <w:t xml:space="preserve">Response </w:t>
      </w:r>
      <w:r w:rsidR="004B44B9">
        <w:rPr>
          <w:rFonts w:asciiTheme="majorBidi" w:hAnsiTheme="majorBidi" w:cstheme="majorBidi"/>
          <w:sz w:val="24"/>
          <w:szCs w:val="24"/>
        </w:rPr>
        <w:t xml:space="preserve">framework. Additionally, it appeared in literature that even in cases when CSR doesn’t have direct benefits to the company, it might have a positive “spillover” or “halo” effect on positive brand attitudes. Thus, this study examines the </w:t>
      </w:r>
      <w:r w:rsidR="007F2FC9">
        <w:rPr>
          <w:rFonts w:asciiTheme="majorBidi" w:hAnsiTheme="majorBidi" w:cstheme="majorBidi"/>
          <w:sz w:val="24"/>
          <w:szCs w:val="24"/>
        </w:rPr>
        <w:t>halo effect</w:t>
      </w:r>
      <w:r w:rsidR="004B44B9">
        <w:rPr>
          <w:rFonts w:asciiTheme="majorBidi" w:hAnsiTheme="majorBidi" w:cstheme="majorBidi"/>
          <w:sz w:val="24"/>
          <w:szCs w:val="24"/>
        </w:rPr>
        <w:t xml:space="preserve"> of the communication strategy and media vehicle. Lastly, the</w:t>
      </w:r>
      <w:r w:rsidR="007F2FC9">
        <w:rPr>
          <w:rFonts w:asciiTheme="majorBidi" w:hAnsiTheme="majorBidi" w:cstheme="majorBidi"/>
          <w:sz w:val="24"/>
          <w:szCs w:val="24"/>
        </w:rPr>
        <w:t xml:space="preserve"> </w:t>
      </w:r>
      <w:r w:rsidR="00E43774">
        <w:rPr>
          <w:rFonts w:asciiTheme="majorBidi" w:hAnsiTheme="majorBidi" w:cstheme="majorBidi"/>
          <w:sz w:val="24"/>
          <w:szCs w:val="24"/>
        </w:rPr>
        <w:t>value congruence</w:t>
      </w:r>
      <w:r w:rsidR="004B44B9">
        <w:rPr>
          <w:rFonts w:asciiTheme="majorBidi" w:hAnsiTheme="majorBidi" w:cstheme="majorBidi"/>
          <w:sz w:val="24"/>
          <w:szCs w:val="24"/>
        </w:rPr>
        <w:t xml:space="preserve"> concept is applied to assess if there is congruency between consumers’ and brand’s values and if this congruency leads to positive brand attitudes.  </w:t>
      </w:r>
    </w:p>
    <w:p w14:paraId="3AFED1F4" w14:textId="3F6DCE03" w:rsidR="00295C1A" w:rsidRDefault="00295C1A"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Chapter </w:t>
      </w:r>
      <w:r w:rsidR="00BF799C">
        <w:rPr>
          <w:rFonts w:asciiTheme="majorBidi" w:hAnsiTheme="majorBidi" w:cstheme="majorBidi"/>
          <w:sz w:val="24"/>
          <w:szCs w:val="24"/>
        </w:rPr>
        <w:t>5</w:t>
      </w:r>
      <w:r w:rsidR="00DD3D6A">
        <w:rPr>
          <w:rFonts w:asciiTheme="majorBidi" w:hAnsiTheme="majorBidi" w:cstheme="majorBidi"/>
          <w:sz w:val="24"/>
          <w:szCs w:val="24"/>
        </w:rPr>
        <w:t xml:space="preserve"> – Method</w:t>
      </w:r>
      <w:r w:rsidR="00395741">
        <w:rPr>
          <w:rFonts w:asciiTheme="majorBidi" w:hAnsiTheme="majorBidi" w:cstheme="majorBidi"/>
          <w:sz w:val="24"/>
          <w:szCs w:val="24"/>
        </w:rPr>
        <w:t xml:space="preserve">ology </w:t>
      </w:r>
    </w:p>
    <w:p w14:paraId="56D04F4B" w14:textId="2B323EED" w:rsidR="003723CF" w:rsidRPr="004B44B9" w:rsidRDefault="004173CF" w:rsidP="004B44B9">
      <w:pPr>
        <w:pStyle w:val="ListParagraph"/>
        <w:shd w:val="clear" w:color="auto" w:fill="FFFFFF"/>
        <w:spacing w:after="0" w:line="480" w:lineRule="auto"/>
        <w:ind w:left="360" w:firstLine="360"/>
        <w:rPr>
          <w:rFonts w:asciiTheme="majorBidi" w:hAnsiTheme="majorBidi" w:cstheme="majorBidi"/>
          <w:sz w:val="24"/>
          <w:szCs w:val="24"/>
        </w:rPr>
      </w:pPr>
      <w:r>
        <w:rPr>
          <w:rFonts w:asciiTheme="majorBidi" w:hAnsiTheme="majorBidi" w:cstheme="majorBidi"/>
          <w:sz w:val="24"/>
          <w:szCs w:val="24"/>
        </w:rPr>
        <w:t>This chapter provides a detailed</w:t>
      </w:r>
      <w:r w:rsidRPr="004173CF">
        <w:rPr>
          <w:rFonts w:asciiTheme="majorBidi" w:hAnsiTheme="majorBidi" w:cstheme="majorBidi"/>
          <w:sz w:val="24"/>
          <w:szCs w:val="24"/>
        </w:rPr>
        <w:t xml:space="preserve"> </w:t>
      </w:r>
      <w:r>
        <w:rPr>
          <w:rFonts w:asciiTheme="majorBidi" w:hAnsiTheme="majorBidi" w:cstheme="majorBidi"/>
          <w:sz w:val="24"/>
          <w:szCs w:val="24"/>
        </w:rPr>
        <w:t xml:space="preserve">discussion on the study’s design and the </w:t>
      </w:r>
      <w:r w:rsidR="00C802E3">
        <w:rPr>
          <w:rFonts w:asciiTheme="majorBidi" w:hAnsiTheme="majorBidi" w:cstheme="majorBidi"/>
          <w:sz w:val="24"/>
          <w:szCs w:val="24"/>
        </w:rPr>
        <w:t xml:space="preserve">data collection strategies undergone for the purpose of this thesis. The first section of chapter </w:t>
      </w:r>
      <w:r w:rsidR="0080176A">
        <w:rPr>
          <w:rFonts w:asciiTheme="majorBidi" w:hAnsiTheme="majorBidi" w:cstheme="majorBidi"/>
          <w:sz w:val="24"/>
          <w:szCs w:val="24"/>
        </w:rPr>
        <w:t>five</w:t>
      </w:r>
      <w:r w:rsidR="00C802E3">
        <w:rPr>
          <w:rFonts w:asciiTheme="majorBidi" w:hAnsiTheme="majorBidi" w:cstheme="majorBidi"/>
          <w:sz w:val="24"/>
          <w:szCs w:val="24"/>
        </w:rPr>
        <w:t xml:space="preserve"> presents the various o</w:t>
      </w:r>
      <w:r w:rsidR="00C802E3" w:rsidRPr="00C802E3">
        <w:rPr>
          <w:rFonts w:asciiTheme="majorBidi" w:hAnsiTheme="majorBidi" w:cstheme="majorBidi"/>
          <w:sz w:val="24"/>
          <w:szCs w:val="24"/>
        </w:rPr>
        <w:t>ntological and epistemological concepts</w:t>
      </w:r>
      <w:r w:rsidR="00C802E3">
        <w:rPr>
          <w:rFonts w:asciiTheme="majorBidi" w:hAnsiTheme="majorBidi" w:cstheme="majorBidi"/>
          <w:sz w:val="24"/>
          <w:szCs w:val="24"/>
        </w:rPr>
        <w:t xml:space="preserve"> assumed in this research. Further</w:t>
      </w:r>
      <w:r w:rsidR="00B71D3B">
        <w:rPr>
          <w:rFonts w:asciiTheme="majorBidi" w:hAnsiTheme="majorBidi" w:cstheme="majorBidi"/>
          <w:sz w:val="24"/>
          <w:szCs w:val="24"/>
        </w:rPr>
        <w:t>more</w:t>
      </w:r>
      <w:r w:rsidR="00C802E3">
        <w:rPr>
          <w:rFonts w:asciiTheme="majorBidi" w:hAnsiTheme="majorBidi" w:cstheme="majorBidi"/>
          <w:sz w:val="24"/>
          <w:szCs w:val="24"/>
        </w:rPr>
        <w:t>, I explain and identify various reliability and validity measures for quantitative and qualitative data undertaken for this study.</w:t>
      </w:r>
      <w:r w:rsidR="00DD3D6A">
        <w:rPr>
          <w:rFonts w:asciiTheme="majorBidi" w:hAnsiTheme="majorBidi" w:cstheme="majorBidi"/>
          <w:sz w:val="24"/>
          <w:szCs w:val="24"/>
        </w:rPr>
        <w:t xml:space="preserve"> Further,</w:t>
      </w:r>
      <w:r w:rsidR="00DD3D6A" w:rsidRPr="00DD3D6A">
        <w:rPr>
          <w:rFonts w:asciiTheme="majorBidi" w:hAnsiTheme="majorBidi" w:cstheme="majorBidi"/>
          <w:sz w:val="24"/>
          <w:szCs w:val="24"/>
        </w:rPr>
        <w:t xml:space="preserve"> the </w:t>
      </w:r>
      <w:r w:rsidR="00DD3D6A">
        <w:rPr>
          <w:rFonts w:asciiTheme="majorBidi" w:hAnsiTheme="majorBidi" w:cstheme="majorBidi"/>
          <w:sz w:val="24"/>
          <w:szCs w:val="24"/>
        </w:rPr>
        <w:t>chapter</w:t>
      </w:r>
      <w:r w:rsidR="00DD3D6A" w:rsidRPr="00DD3D6A">
        <w:rPr>
          <w:rFonts w:asciiTheme="majorBidi" w:hAnsiTheme="majorBidi" w:cstheme="majorBidi"/>
          <w:sz w:val="24"/>
          <w:szCs w:val="24"/>
        </w:rPr>
        <w:t xml:space="preserve"> justifies the </w:t>
      </w:r>
      <w:r w:rsidR="00DD3D6A">
        <w:rPr>
          <w:rFonts w:asciiTheme="majorBidi" w:hAnsiTheme="majorBidi" w:cstheme="majorBidi"/>
          <w:sz w:val="24"/>
          <w:szCs w:val="24"/>
        </w:rPr>
        <w:t>rationale for the use</w:t>
      </w:r>
      <w:r w:rsidR="00DD3D6A" w:rsidRPr="00DD3D6A">
        <w:rPr>
          <w:rFonts w:asciiTheme="majorBidi" w:hAnsiTheme="majorBidi" w:cstheme="majorBidi"/>
          <w:sz w:val="24"/>
          <w:szCs w:val="24"/>
        </w:rPr>
        <w:t xml:space="preserve"> of </w:t>
      </w:r>
      <w:r w:rsidR="00DD3D6A">
        <w:rPr>
          <w:rFonts w:asciiTheme="majorBidi" w:hAnsiTheme="majorBidi" w:cstheme="majorBidi"/>
          <w:sz w:val="24"/>
          <w:szCs w:val="24"/>
        </w:rPr>
        <w:t xml:space="preserve">mixed methodologies (quantitative and qualitative). </w:t>
      </w:r>
      <w:r w:rsidR="004B44B9">
        <w:rPr>
          <w:rFonts w:asciiTheme="majorBidi" w:hAnsiTheme="majorBidi" w:cstheme="majorBidi"/>
          <w:sz w:val="24"/>
          <w:szCs w:val="24"/>
        </w:rPr>
        <w:t xml:space="preserve">The chapter explains the quantitative method for the first study which was survey experiment. This was important to provide figures to explain the strength of relationships between stimuli, attitudes, and purchase intention. As explained in chapter five, this was followed by a qualitative study that employs semi-structured interviews for study two. </w:t>
      </w:r>
      <w:r w:rsidR="004B44B9" w:rsidRPr="004B44B9">
        <w:rPr>
          <w:rFonts w:asciiTheme="majorBidi" w:hAnsiTheme="majorBidi" w:cstheme="majorBidi"/>
          <w:sz w:val="24"/>
          <w:szCs w:val="24"/>
        </w:rPr>
        <w:t>This was deemed necessary to gain insights on the consumers’ differing opinions when these communication strategies are applied through different media vehicles.</w:t>
      </w:r>
      <w:r w:rsidR="004B44B9">
        <w:rPr>
          <w:rFonts w:asciiTheme="majorBidi" w:hAnsiTheme="majorBidi" w:cstheme="majorBidi"/>
          <w:sz w:val="24"/>
          <w:szCs w:val="24"/>
        </w:rPr>
        <w:t xml:space="preserve"> In this chapter,</w:t>
      </w:r>
      <w:r w:rsidR="00C802E3" w:rsidRPr="004B44B9">
        <w:rPr>
          <w:rFonts w:asciiTheme="majorBidi" w:hAnsiTheme="majorBidi" w:cstheme="majorBidi"/>
          <w:sz w:val="24"/>
          <w:szCs w:val="24"/>
        </w:rPr>
        <w:t xml:space="preserve"> I present the detailed steps taken in designing the research framework and collecting data. These steps include stimuli development, </w:t>
      </w:r>
      <w:r w:rsidR="004A37A4" w:rsidRPr="004B44B9">
        <w:rPr>
          <w:rFonts w:asciiTheme="majorBidi" w:hAnsiTheme="majorBidi" w:cstheme="majorBidi"/>
          <w:sz w:val="24"/>
          <w:szCs w:val="24"/>
        </w:rPr>
        <w:t>questionnaire</w:t>
      </w:r>
      <w:r w:rsidR="00C802E3" w:rsidRPr="004B44B9">
        <w:rPr>
          <w:rFonts w:asciiTheme="majorBidi" w:hAnsiTheme="majorBidi" w:cstheme="majorBidi"/>
          <w:sz w:val="24"/>
          <w:szCs w:val="24"/>
        </w:rPr>
        <w:t xml:space="preserve"> design, pilot tests, etc. </w:t>
      </w:r>
    </w:p>
    <w:p w14:paraId="059D1999" w14:textId="471C9E72" w:rsidR="007F2FC9" w:rsidRDefault="007F2FC9"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Chapter 6 – Results of Study One </w:t>
      </w:r>
    </w:p>
    <w:p w14:paraId="446119F6" w14:textId="1475053F" w:rsidR="007F2FC9" w:rsidRDefault="00113FE3" w:rsidP="004B44B9">
      <w:pPr>
        <w:pStyle w:val="ListParagraph"/>
        <w:shd w:val="clear" w:color="auto" w:fill="FFFFFF"/>
        <w:spacing w:after="0" w:line="480" w:lineRule="auto"/>
        <w:ind w:left="360" w:firstLine="360"/>
        <w:rPr>
          <w:rFonts w:asciiTheme="majorBidi" w:hAnsiTheme="majorBidi" w:cstheme="majorBidi"/>
          <w:sz w:val="24"/>
          <w:szCs w:val="24"/>
        </w:rPr>
      </w:pPr>
      <w:r w:rsidRPr="0015630D">
        <w:rPr>
          <w:rFonts w:asciiTheme="majorBidi" w:hAnsiTheme="majorBidi" w:cstheme="majorBidi"/>
          <w:sz w:val="24"/>
          <w:szCs w:val="24"/>
        </w:rPr>
        <w:t>In this chapter</w:t>
      </w:r>
      <w:r w:rsidR="000B25E6">
        <w:rPr>
          <w:rFonts w:asciiTheme="majorBidi" w:hAnsiTheme="majorBidi" w:cstheme="majorBidi"/>
          <w:sz w:val="24"/>
          <w:szCs w:val="24"/>
        </w:rPr>
        <w:t>,</w:t>
      </w:r>
      <w:r w:rsidRPr="0015630D">
        <w:rPr>
          <w:rFonts w:asciiTheme="majorBidi" w:hAnsiTheme="majorBidi" w:cstheme="majorBidi"/>
          <w:sz w:val="24"/>
          <w:szCs w:val="24"/>
        </w:rPr>
        <w:t xml:space="preserve"> I present key research findings from the obtained quantitative data</w:t>
      </w:r>
      <w:r w:rsidR="0015630D" w:rsidRPr="0015630D">
        <w:rPr>
          <w:rFonts w:asciiTheme="majorBidi" w:hAnsiTheme="majorBidi" w:cstheme="majorBidi"/>
          <w:sz w:val="24"/>
          <w:szCs w:val="24"/>
        </w:rPr>
        <w:t xml:space="preserve"> </w:t>
      </w:r>
      <w:r w:rsidR="00F1224C">
        <w:rPr>
          <w:rFonts w:asciiTheme="majorBidi" w:hAnsiTheme="majorBidi" w:cstheme="majorBidi"/>
          <w:sz w:val="24"/>
          <w:szCs w:val="24"/>
        </w:rPr>
        <w:t>collected</w:t>
      </w:r>
      <w:r w:rsidR="0015630D" w:rsidRPr="0015630D">
        <w:rPr>
          <w:rFonts w:asciiTheme="majorBidi" w:hAnsiTheme="majorBidi" w:cstheme="majorBidi"/>
          <w:sz w:val="24"/>
          <w:szCs w:val="24"/>
        </w:rPr>
        <w:t xml:space="preserve"> from a sample of 474 respondents in Egypt. The data was</w:t>
      </w:r>
      <w:r w:rsidRPr="0015630D">
        <w:rPr>
          <w:rFonts w:asciiTheme="majorBidi" w:hAnsiTheme="majorBidi" w:cstheme="majorBidi"/>
          <w:sz w:val="24"/>
          <w:szCs w:val="24"/>
        </w:rPr>
        <w:t xml:space="preserve"> </w:t>
      </w:r>
      <w:r w:rsidR="0015630D" w:rsidRPr="0015630D">
        <w:rPr>
          <w:rFonts w:asciiTheme="majorBidi" w:hAnsiTheme="majorBidi" w:cstheme="majorBidi"/>
          <w:sz w:val="24"/>
          <w:szCs w:val="24"/>
        </w:rPr>
        <w:t>collected from</w:t>
      </w:r>
      <w:r w:rsidRPr="0015630D">
        <w:rPr>
          <w:rFonts w:asciiTheme="majorBidi" w:hAnsiTheme="majorBidi" w:cstheme="majorBidi"/>
          <w:sz w:val="24"/>
          <w:szCs w:val="24"/>
        </w:rPr>
        <w:t xml:space="preserve"> 2x2 survey experiments</w:t>
      </w:r>
      <w:r w:rsidR="0015630D" w:rsidRPr="0015630D">
        <w:rPr>
          <w:rFonts w:asciiTheme="majorBidi" w:hAnsiTheme="majorBidi" w:cstheme="majorBidi"/>
          <w:sz w:val="24"/>
          <w:szCs w:val="24"/>
        </w:rPr>
        <w:t>. The chapter furnishes detailed descriptive statistics, inferential data and coefficient correlation analysis.</w:t>
      </w:r>
      <w:r w:rsidR="00365358">
        <w:rPr>
          <w:rFonts w:asciiTheme="majorBidi" w:hAnsiTheme="majorBidi" w:cstheme="majorBidi"/>
          <w:sz w:val="24"/>
          <w:szCs w:val="24"/>
        </w:rPr>
        <w:t xml:space="preserve"> Different measures of validity and reliability</w:t>
      </w:r>
      <w:r w:rsidR="009673E4">
        <w:rPr>
          <w:rFonts w:asciiTheme="majorBidi" w:hAnsiTheme="majorBidi" w:cstheme="majorBidi"/>
          <w:sz w:val="24"/>
          <w:szCs w:val="24"/>
        </w:rPr>
        <w:t xml:space="preserve"> were applied and tested in this chapter.</w:t>
      </w:r>
      <w:r w:rsidR="0015630D" w:rsidRPr="0015630D">
        <w:rPr>
          <w:rFonts w:asciiTheme="majorBidi" w:hAnsiTheme="majorBidi" w:cstheme="majorBidi"/>
          <w:sz w:val="24"/>
          <w:szCs w:val="24"/>
        </w:rPr>
        <w:t xml:space="preserve"> </w:t>
      </w:r>
      <w:r w:rsidR="0015630D">
        <w:rPr>
          <w:rFonts w:asciiTheme="majorBidi" w:hAnsiTheme="majorBidi" w:cstheme="majorBidi"/>
          <w:sz w:val="24"/>
          <w:szCs w:val="24"/>
        </w:rPr>
        <w:t xml:space="preserve">The chapter analyses the results to provide </w:t>
      </w:r>
      <w:r w:rsidR="000B25E6">
        <w:rPr>
          <w:rFonts w:asciiTheme="majorBidi" w:hAnsiTheme="majorBidi" w:cstheme="majorBidi"/>
          <w:sz w:val="24"/>
          <w:szCs w:val="24"/>
        </w:rPr>
        <w:t>essential conclusions linked to the theories used in the study</w:t>
      </w:r>
      <w:r w:rsidR="00B71D3B">
        <w:rPr>
          <w:rFonts w:asciiTheme="majorBidi" w:hAnsiTheme="majorBidi" w:cstheme="majorBidi"/>
          <w:sz w:val="24"/>
          <w:szCs w:val="24"/>
        </w:rPr>
        <w:t xml:space="preserve">, and </w:t>
      </w:r>
      <w:r w:rsidR="000B25E6">
        <w:rPr>
          <w:rFonts w:asciiTheme="majorBidi" w:hAnsiTheme="majorBidi" w:cstheme="majorBidi"/>
          <w:sz w:val="24"/>
          <w:szCs w:val="24"/>
        </w:rPr>
        <w:t xml:space="preserve">to reject or accept the proposed hypotheses. </w:t>
      </w:r>
      <w:r w:rsidR="00627E1A">
        <w:rPr>
          <w:rFonts w:asciiTheme="majorBidi" w:hAnsiTheme="majorBidi" w:cstheme="majorBidi"/>
          <w:sz w:val="24"/>
          <w:szCs w:val="24"/>
        </w:rPr>
        <w:t xml:space="preserve">The </w:t>
      </w:r>
      <w:r w:rsidR="009673E4">
        <w:rPr>
          <w:rFonts w:asciiTheme="majorBidi" w:hAnsiTheme="majorBidi" w:cstheme="majorBidi"/>
          <w:sz w:val="24"/>
          <w:szCs w:val="24"/>
        </w:rPr>
        <w:t>main</w:t>
      </w:r>
      <w:r w:rsidR="00627E1A">
        <w:rPr>
          <w:rFonts w:asciiTheme="majorBidi" w:hAnsiTheme="majorBidi" w:cstheme="majorBidi"/>
          <w:sz w:val="24"/>
          <w:szCs w:val="24"/>
        </w:rPr>
        <w:t xml:space="preserve"> result from this quantitative study is that CSR has a stronger positive </w:t>
      </w:r>
      <w:r w:rsidR="00365358">
        <w:rPr>
          <w:rFonts w:asciiTheme="majorBidi" w:hAnsiTheme="majorBidi" w:cstheme="majorBidi"/>
          <w:sz w:val="24"/>
          <w:szCs w:val="24"/>
        </w:rPr>
        <w:t xml:space="preserve">direct and indirect </w:t>
      </w:r>
      <w:r w:rsidR="00627E1A">
        <w:rPr>
          <w:rFonts w:asciiTheme="majorBidi" w:hAnsiTheme="majorBidi" w:cstheme="majorBidi"/>
          <w:sz w:val="24"/>
          <w:szCs w:val="24"/>
        </w:rPr>
        <w:t>effect</w:t>
      </w:r>
      <w:r w:rsidR="00365358">
        <w:rPr>
          <w:rFonts w:asciiTheme="majorBidi" w:hAnsiTheme="majorBidi" w:cstheme="majorBidi"/>
          <w:sz w:val="24"/>
          <w:szCs w:val="24"/>
        </w:rPr>
        <w:t>s</w:t>
      </w:r>
      <w:r w:rsidR="00627E1A">
        <w:rPr>
          <w:rFonts w:asciiTheme="majorBidi" w:hAnsiTheme="majorBidi" w:cstheme="majorBidi"/>
          <w:sz w:val="24"/>
          <w:szCs w:val="24"/>
        </w:rPr>
        <w:t xml:space="preserve"> on</w:t>
      </w:r>
      <w:r w:rsidR="00AA5027">
        <w:rPr>
          <w:rFonts w:asciiTheme="majorBidi" w:hAnsiTheme="majorBidi" w:cstheme="majorBidi"/>
          <w:sz w:val="24"/>
          <w:szCs w:val="24"/>
        </w:rPr>
        <w:t xml:space="preserve"> almost all</w:t>
      </w:r>
      <w:r w:rsidR="00627E1A">
        <w:rPr>
          <w:rFonts w:asciiTheme="majorBidi" w:hAnsiTheme="majorBidi" w:cstheme="majorBidi"/>
          <w:sz w:val="24"/>
          <w:szCs w:val="24"/>
        </w:rPr>
        <w:t xml:space="preserve"> brand attitudes and purchase intention than non-CSR did. </w:t>
      </w:r>
      <w:r w:rsidR="00AA5027">
        <w:rPr>
          <w:rFonts w:asciiTheme="majorBidi" w:hAnsiTheme="majorBidi" w:cstheme="majorBidi"/>
          <w:sz w:val="24"/>
          <w:szCs w:val="24"/>
        </w:rPr>
        <w:t xml:space="preserve">These results lead to accepting seven out of eleven hypotheses in which H1, H2, H4, H6, H8, H9, H11 were accepted and H3, H5, H7, and H10 were rejected. One of the attitudes that were more influenced by non-CSR more than CSR was perceived brand functionality which had a stronger effect on purchase intention than emotional brand attachment. </w:t>
      </w:r>
      <w:r w:rsidR="00365358">
        <w:rPr>
          <w:rFonts w:asciiTheme="majorBidi" w:hAnsiTheme="majorBidi" w:cstheme="majorBidi"/>
          <w:sz w:val="24"/>
          <w:szCs w:val="24"/>
        </w:rPr>
        <w:t xml:space="preserve">Another important result was that Television as a media vehicle has a stronger positive effect on brand attitudes than social media. </w:t>
      </w:r>
    </w:p>
    <w:p w14:paraId="4B891110" w14:textId="31245C40" w:rsidR="007F2FC9" w:rsidRDefault="007F2FC9"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Chapter</w:t>
      </w:r>
      <w:r w:rsidR="00B84D5C">
        <w:rPr>
          <w:rFonts w:asciiTheme="majorBidi" w:hAnsiTheme="majorBidi" w:cstheme="majorBidi"/>
          <w:sz w:val="24"/>
          <w:szCs w:val="24"/>
        </w:rPr>
        <w:t xml:space="preserve"> 7</w:t>
      </w:r>
      <w:r>
        <w:rPr>
          <w:rFonts w:asciiTheme="majorBidi" w:hAnsiTheme="majorBidi" w:cstheme="majorBidi"/>
          <w:sz w:val="24"/>
          <w:szCs w:val="24"/>
        </w:rPr>
        <w:t xml:space="preserve">– Results of Study Two  </w:t>
      </w:r>
    </w:p>
    <w:p w14:paraId="02B4BB9D" w14:textId="5DAB8144" w:rsidR="00501058" w:rsidRDefault="000B25E6" w:rsidP="009673E4">
      <w:pPr>
        <w:pStyle w:val="ListParagraph"/>
        <w:shd w:val="clear" w:color="auto" w:fill="FFFFFF"/>
        <w:spacing w:after="0" w:line="480" w:lineRule="auto"/>
        <w:ind w:left="360" w:firstLine="360"/>
        <w:rPr>
          <w:rFonts w:asciiTheme="majorBidi" w:hAnsiTheme="majorBidi" w:cstheme="majorBidi"/>
          <w:sz w:val="24"/>
          <w:szCs w:val="24"/>
        </w:rPr>
      </w:pPr>
      <w:r>
        <w:rPr>
          <w:rFonts w:asciiTheme="majorBidi" w:hAnsiTheme="majorBidi" w:cstheme="majorBidi"/>
          <w:sz w:val="24"/>
          <w:szCs w:val="24"/>
        </w:rPr>
        <w:t>Chapter</w:t>
      </w:r>
      <w:r w:rsidR="00B84D5C">
        <w:rPr>
          <w:rFonts w:asciiTheme="majorBidi" w:hAnsiTheme="majorBidi" w:cstheme="majorBidi"/>
          <w:sz w:val="24"/>
          <w:szCs w:val="24"/>
        </w:rPr>
        <w:t xml:space="preserve"> </w:t>
      </w:r>
      <w:r w:rsidR="009673E4">
        <w:rPr>
          <w:rFonts w:asciiTheme="majorBidi" w:hAnsiTheme="majorBidi" w:cstheme="majorBidi"/>
          <w:sz w:val="24"/>
          <w:szCs w:val="24"/>
        </w:rPr>
        <w:t>seven</w:t>
      </w:r>
      <w:r w:rsidR="00B84D5C">
        <w:rPr>
          <w:rFonts w:asciiTheme="majorBidi" w:hAnsiTheme="majorBidi" w:cstheme="majorBidi"/>
          <w:sz w:val="24"/>
          <w:szCs w:val="24"/>
        </w:rPr>
        <w:t xml:space="preserve"> </w:t>
      </w:r>
      <w:r>
        <w:rPr>
          <w:rFonts w:asciiTheme="majorBidi" w:hAnsiTheme="majorBidi" w:cstheme="majorBidi"/>
          <w:sz w:val="24"/>
          <w:szCs w:val="24"/>
        </w:rPr>
        <w:t xml:space="preserve">examines the qualitative results from study two as obtained from the semi-structured interviews. The chapter provides a thorough explanation of different </w:t>
      </w:r>
      <w:r w:rsidR="00501058">
        <w:rPr>
          <w:rFonts w:asciiTheme="majorBidi" w:hAnsiTheme="majorBidi" w:cstheme="majorBidi"/>
          <w:sz w:val="24"/>
          <w:szCs w:val="24"/>
        </w:rPr>
        <w:t>techniques</w:t>
      </w:r>
      <w:r>
        <w:rPr>
          <w:rFonts w:asciiTheme="majorBidi" w:hAnsiTheme="majorBidi" w:cstheme="majorBidi"/>
          <w:sz w:val="24"/>
          <w:szCs w:val="24"/>
        </w:rPr>
        <w:t xml:space="preserve"> applied to sort and organi</w:t>
      </w:r>
      <w:r w:rsidR="009660F3">
        <w:rPr>
          <w:rFonts w:asciiTheme="majorBidi" w:hAnsiTheme="majorBidi" w:cstheme="majorBidi"/>
          <w:sz w:val="24"/>
          <w:szCs w:val="24"/>
        </w:rPr>
        <w:t>s</w:t>
      </w:r>
      <w:r>
        <w:rPr>
          <w:rFonts w:asciiTheme="majorBidi" w:hAnsiTheme="majorBidi" w:cstheme="majorBidi"/>
          <w:sz w:val="24"/>
          <w:szCs w:val="24"/>
        </w:rPr>
        <w:t xml:space="preserve">e the qualitative data. </w:t>
      </w:r>
      <w:r w:rsidR="00501058">
        <w:rPr>
          <w:rFonts w:asciiTheme="majorBidi" w:hAnsiTheme="majorBidi" w:cstheme="majorBidi"/>
          <w:sz w:val="24"/>
          <w:szCs w:val="24"/>
        </w:rPr>
        <w:t>Afterwards, the chapter presents and reports the qualitative data based on the identified themes.</w:t>
      </w:r>
      <w:r>
        <w:rPr>
          <w:rFonts w:asciiTheme="majorBidi" w:hAnsiTheme="majorBidi" w:cstheme="majorBidi"/>
          <w:sz w:val="24"/>
          <w:szCs w:val="24"/>
        </w:rPr>
        <w:t xml:space="preserve"> </w:t>
      </w:r>
      <w:r w:rsidR="009673E4">
        <w:rPr>
          <w:rFonts w:asciiTheme="majorBidi" w:hAnsiTheme="majorBidi" w:cstheme="majorBidi"/>
          <w:sz w:val="24"/>
          <w:szCs w:val="24"/>
        </w:rPr>
        <w:t xml:space="preserve">Based on the results of the qualitative study, it was evident that respondents favoured the CSR communication over the non-CSR because of the humanitarian project it communicated. </w:t>
      </w:r>
      <w:r w:rsidR="009673E4" w:rsidRPr="000C7762">
        <w:rPr>
          <w:rFonts w:asciiTheme="majorBidi" w:hAnsiTheme="majorBidi" w:cstheme="majorBidi"/>
          <w:sz w:val="24"/>
          <w:szCs w:val="24"/>
        </w:rPr>
        <w:t xml:space="preserve">These </w:t>
      </w:r>
      <w:r w:rsidR="009673E4">
        <w:rPr>
          <w:rFonts w:asciiTheme="majorBidi" w:hAnsiTheme="majorBidi" w:cstheme="majorBidi"/>
          <w:sz w:val="24"/>
          <w:szCs w:val="24"/>
        </w:rPr>
        <w:t xml:space="preserve">positive </w:t>
      </w:r>
      <w:r w:rsidR="009673E4" w:rsidRPr="000C7762">
        <w:rPr>
          <w:rFonts w:asciiTheme="majorBidi" w:hAnsiTheme="majorBidi" w:cstheme="majorBidi"/>
          <w:sz w:val="24"/>
          <w:szCs w:val="24"/>
        </w:rPr>
        <w:t xml:space="preserve">attitudes towards the CSR ad and the brand led to </w:t>
      </w:r>
      <w:r w:rsidR="009673E4">
        <w:rPr>
          <w:rFonts w:asciiTheme="majorBidi" w:hAnsiTheme="majorBidi" w:cstheme="majorBidi"/>
          <w:sz w:val="24"/>
          <w:szCs w:val="24"/>
        </w:rPr>
        <w:t>positive</w:t>
      </w:r>
      <w:r w:rsidR="009673E4" w:rsidRPr="000C7762">
        <w:rPr>
          <w:rFonts w:asciiTheme="majorBidi" w:hAnsiTheme="majorBidi" w:cstheme="majorBidi"/>
          <w:sz w:val="24"/>
          <w:szCs w:val="24"/>
        </w:rPr>
        <w:t xml:space="preserve"> purchase intentions</w:t>
      </w:r>
      <w:r w:rsidR="009673E4">
        <w:rPr>
          <w:rFonts w:asciiTheme="majorBidi" w:hAnsiTheme="majorBidi" w:cstheme="majorBidi"/>
          <w:sz w:val="24"/>
          <w:szCs w:val="24"/>
        </w:rPr>
        <w:t xml:space="preserve"> of the product</w:t>
      </w:r>
      <w:r w:rsidR="009673E4" w:rsidRPr="000C7762">
        <w:rPr>
          <w:rFonts w:asciiTheme="majorBidi" w:hAnsiTheme="majorBidi" w:cstheme="majorBidi"/>
          <w:sz w:val="24"/>
          <w:szCs w:val="24"/>
        </w:rPr>
        <w:t>.</w:t>
      </w:r>
      <w:r w:rsidR="009673E4">
        <w:rPr>
          <w:rFonts w:asciiTheme="majorBidi" w:hAnsiTheme="majorBidi" w:cstheme="majorBidi"/>
          <w:sz w:val="24"/>
          <w:szCs w:val="24"/>
        </w:rPr>
        <w:t xml:space="preserve"> Further supporting the results in chapter six, </w:t>
      </w:r>
      <w:r w:rsidR="009673E4" w:rsidRPr="009673E4">
        <w:rPr>
          <w:rFonts w:asciiTheme="majorBidi" w:hAnsiTheme="majorBidi" w:cstheme="majorBidi"/>
          <w:sz w:val="24"/>
          <w:szCs w:val="24"/>
        </w:rPr>
        <w:t>a</w:t>
      </w:r>
      <w:r w:rsidR="009673E4">
        <w:rPr>
          <w:rFonts w:asciiTheme="majorBidi" w:hAnsiTheme="majorBidi" w:cstheme="majorBidi"/>
          <w:sz w:val="24"/>
          <w:szCs w:val="24"/>
        </w:rPr>
        <w:t xml:space="preserve"> positive</w:t>
      </w:r>
      <w:r w:rsidR="009673E4" w:rsidRPr="009673E4">
        <w:rPr>
          <w:rFonts w:asciiTheme="majorBidi" w:hAnsiTheme="majorBidi" w:cstheme="majorBidi"/>
          <w:sz w:val="24"/>
          <w:szCs w:val="24"/>
        </w:rPr>
        <w:t xml:space="preserve"> congruity between people’s personal values and the values communicated in the </w:t>
      </w:r>
      <w:r w:rsidR="009673E4">
        <w:rPr>
          <w:rFonts w:asciiTheme="majorBidi" w:hAnsiTheme="majorBidi" w:cstheme="majorBidi"/>
          <w:sz w:val="24"/>
          <w:szCs w:val="24"/>
        </w:rPr>
        <w:t xml:space="preserve">CSR </w:t>
      </w:r>
      <w:r w:rsidR="009673E4" w:rsidRPr="009673E4">
        <w:rPr>
          <w:rFonts w:asciiTheme="majorBidi" w:hAnsiTheme="majorBidi" w:cstheme="majorBidi"/>
          <w:sz w:val="24"/>
          <w:szCs w:val="24"/>
        </w:rPr>
        <w:t>ad ha</w:t>
      </w:r>
      <w:r w:rsidR="009673E4">
        <w:rPr>
          <w:rFonts w:asciiTheme="majorBidi" w:hAnsiTheme="majorBidi" w:cstheme="majorBidi"/>
          <w:sz w:val="24"/>
          <w:szCs w:val="24"/>
        </w:rPr>
        <w:t>d</w:t>
      </w:r>
      <w:r w:rsidR="009673E4" w:rsidRPr="009673E4">
        <w:rPr>
          <w:rFonts w:asciiTheme="majorBidi" w:hAnsiTheme="majorBidi" w:cstheme="majorBidi"/>
          <w:sz w:val="24"/>
          <w:szCs w:val="24"/>
        </w:rPr>
        <w:t xml:space="preserve"> a positive influence on brand attitudes and purchase intention.</w:t>
      </w:r>
      <w:r w:rsidR="009673E4" w:rsidRPr="000C7762">
        <w:rPr>
          <w:rFonts w:asciiTheme="majorBidi" w:hAnsiTheme="majorBidi" w:cstheme="majorBidi"/>
          <w:sz w:val="24"/>
          <w:szCs w:val="24"/>
        </w:rPr>
        <w:t xml:space="preserve"> </w:t>
      </w:r>
      <w:r w:rsidR="009673E4">
        <w:rPr>
          <w:rFonts w:asciiTheme="majorBidi" w:hAnsiTheme="majorBidi" w:cstheme="majorBidi"/>
          <w:sz w:val="24"/>
          <w:szCs w:val="24"/>
        </w:rPr>
        <w:t xml:space="preserve">Lastly, an important finding was that a considerable number of respondents reported that they were sceptical towards the genuineness of the CSR communication and accordingly, they suggested strategies to increase trust towards CSR communication. </w:t>
      </w:r>
      <w:r w:rsidR="008C6A76">
        <w:rPr>
          <w:rFonts w:asciiTheme="majorBidi" w:hAnsiTheme="majorBidi" w:cstheme="majorBidi"/>
          <w:sz w:val="24"/>
          <w:szCs w:val="24"/>
        </w:rPr>
        <w:t>The results of study one and two are further expanded on in the discussions chapter.</w:t>
      </w:r>
    </w:p>
    <w:p w14:paraId="282F4D83" w14:textId="768418BC" w:rsidR="00DD3D6A" w:rsidRDefault="007F2FC9"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Chapter </w:t>
      </w:r>
      <w:r w:rsidR="00B84D5C">
        <w:rPr>
          <w:rFonts w:asciiTheme="majorBidi" w:hAnsiTheme="majorBidi" w:cstheme="majorBidi"/>
          <w:sz w:val="24"/>
          <w:szCs w:val="24"/>
        </w:rPr>
        <w:t>8</w:t>
      </w:r>
      <w:r>
        <w:rPr>
          <w:rFonts w:asciiTheme="majorBidi" w:hAnsiTheme="majorBidi" w:cstheme="majorBidi"/>
          <w:sz w:val="24"/>
          <w:szCs w:val="24"/>
        </w:rPr>
        <w:t xml:space="preserve"> – Discussion</w:t>
      </w:r>
    </w:p>
    <w:p w14:paraId="47986891" w14:textId="49D2FB84" w:rsidR="00822759" w:rsidRPr="00822759" w:rsidRDefault="00501058" w:rsidP="00822759">
      <w:pPr>
        <w:pStyle w:val="ListParagraph"/>
        <w:shd w:val="clear" w:color="auto" w:fill="FFFFFF"/>
        <w:spacing w:after="0" w:line="480" w:lineRule="auto"/>
        <w:ind w:left="360" w:firstLine="360"/>
        <w:rPr>
          <w:rFonts w:asciiTheme="majorBidi" w:hAnsiTheme="majorBidi" w:cstheme="majorBidi"/>
          <w:sz w:val="24"/>
          <w:szCs w:val="24"/>
        </w:rPr>
      </w:pPr>
      <w:r>
        <w:rPr>
          <w:rFonts w:asciiTheme="majorBidi" w:hAnsiTheme="majorBidi" w:cstheme="majorBidi"/>
          <w:sz w:val="24"/>
          <w:szCs w:val="24"/>
        </w:rPr>
        <w:t xml:space="preserve">This chapter provides a wholesome discussion that reflects on </w:t>
      </w:r>
      <w:r w:rsidR="00F1224C">
        <w:rPr>
          <w:rFonts w:asciiTheme="majorBidi" w:hAnsiTheme="majorBidi" w:cstheme="majorBidi"/>
          <w:sz w:val="24"/>
          <w:szCs w:val="24"/>
        </w:rPr>
        <w:t>the results that were presented earlier. Chapter seven provides insightful information that connects the</w:t>
      </w:r>
      <w:r w:rsidR="008C6A76">
        <w:rPr>
          <w:rFonts w:asciiTheme="majorBidi" w:hAnsiTheme="majorBidi" w:cstheme="majorBidi"/>
          <w:sz w:val="24"/>
          <w:szCs w:val="24"/>
        </w:rPr>
        <w:t xml:space="preserve"> reported</w:t>
      </w:r>
      <w:r w:rsidR="00F1224C">
        <w:rPr>
          <w:rFonts w:asciiTheme="majorBidi" w:hAnsiTheme="majorBidi" w:cstheme="majorBidi"/>
          <w:sz w:val="24"/>
          <w:szCs w:val="24"/>
        </w:rPr>
        <w:t xml:space="preserve"> results with findings from literature as well as with the identified theories for th</w:t>
      </w:r>
      <w:r w:rsidR="008C6A76">
        <w:rPr>
          <w:rFonts w:asciiTheme="majorBidi" w:hAnsiTheme="majorBidi" w:cstheme="majorBidi"/>
          <w:sz w:val="24"/>
          <w:szCs w:val="24"/>
        </w:rPr>
        <w:t>is thesis</w:t>
      </w:r>
      <w:r w:rsidR="00F1224C">
        <w:rPr>
          <w:rFonts w:asciiTheme="majorBidi" w:hAnsiTheme="majorBidi" w:cstheme="majorBidi"/>
          <w:sz w:val="24"/>
          <w:szCs w:val="24"/>
        </w:rPr>
        <w:t xml:space="preserve">. </w:t>
      </w:r>
      <w:r w:rsidR="009673E4">
        <w:rPr>
          <w:rFonts w:asciiTheme="majorBidi" w:hAnsiTheme="majorBidi" w:cstheme="majorBidi"/>
          <w:sz w:val="24"/>
          <w:szCs w:val="24"/>
        </w:rPr>
        <w:t xml:space="preserve">The discussions highlighted the </w:t>
      </w:r>
      <w:r w:rsidR="00822759">
        <w:rPr>
          <w:rFonts w:asciiTheme="majorBidi" w:hAnsiTheme="majorBidi" w:cstheme="majorBidi"/>
          <w:sz w:val="24"/>
          <w:szCs w:val="24"/>
        </w:rPr>
        <w:t xml:space="preserve">main theoretical contributions and confirmations that this study provides. The chapter discusses the thesis’s main theoretical contribution to the theory of reasoned action which is conceptualised by identifying the positive effects that brand attitudes have over purchase intention. The chapter discusses the congruency </w:t>
      </w:r>
      <w:r w:rsidR="00822759" w:rsidRPr="00822759">
        <w:rPr>
          <w:rFonts w:asciiTheme="majorBidi" w:hAnsiTheme="majorBidi" w:cstheme="majorBidi"/>
          <w:sz w:val="24"/>
          <w:szCs w:val="24"/>
        </w:rPr>
        <w:t xml:space="preserve">between </w:t>
      </w:r>
      <w:r w:rsidR="00822759">
        <w:rPr>
          <w:rFonts w:asciiTheme="majorBidi" w:hAnsiTheme="majorBidi" w:cstheme="majorBidi"/>
          <w:sz w:val="24"/>
          <w:szCs w:val="24"/>
        </w:rPr>
        <w:t xml:space="preserve">respondents’ </w:t>
      </w:r>
      <w:r w:rsidR="00822759" w:rsidRPr="00822759">
        <w:rPr>
          <w:rFonts w:asciiTheme="majorBidi" w:hAnsiTheme="majorBidi" w:cstheme="majorBidi"/>
          <w:sz w:val="24"/>
          <w:szCs w:val="24"/>
        </w:rPr>
        <w:t xml:space="preserve">CSR perception and brand </w:t>
      </w:r>
      <w:r w:rsidR="00822759">
        <w:rPr>
          <w:rFonts w:asciiTheme="majorBidi" w:hAnsiTheme="majorBidi" w:cstheme="majorBidi"/>
          <w:sz w:val="24"/>
          <w:szCs w:val="24"/>
        </w:rPr>
        <w:t>beliefs</w:t>
      </w:r>
      <w:r w:rsidR="00822759" w:rsidRPr="00822759">
        <w:rPr>
          <w:rFonts w:asciiTheme="majorBidi" w:hAnsiTheme="majorBidi" w:cstheme="majorBidi"/>
          <w:sz w:val="24"/>
          <w:szCs w:val="24"/>
        </w:rPr>
        <w:t xml:space="preserve"> and the way this congruency </w:t>
      </w:r>
      <w:r w:rsidR="00822759">
        <w:rPr>
          <w:rFonts w:asciiTheme="majorBidi" w:hAnsiTheme="majorBidi" w:cstheme="majorBidi"/>
          <w:sz w:val="24"/>
          <w:szCs w:val="24"/>
        </w:rPr>
        <w:t xml:space="preserve">positively </w:t>
      </w:r>
      <w:r w:rsidR="00822759" w:rsidRPr="00822759">
        <w:rPr>
          <w:rFonts w:asciiTheme="majorBidi" w:hAnsiTheme="majorBidi" w:cstheme="majorBidi"/>
          <w:sz w:val="24"/>
          <w:szCs w:val="24"/>
        </w:rPr>
        <w:t>impacts consumers’ brand attitudes</w:t>
      </w:r>
      <w:r w:rsidR="00822759">
        <w:rPr>
          <w:rFonts w:asciiTheme="majorBidi" w:hAnsiTheme="majorBidi" w:cstheme="majorBidi"/>
          <w:sz w:val="24"/>
          <w:szCs w:val="24"/>
        </w:rPr>
        <w:t xml:space="preserve">. Additionally, this chapter confirms some of the important findings in literature such as the positive halo effect of CSR communication on brand attitudes as well as the contributions to literature such as the result that CSR communication has a stronger positive effect on brand attitudes than non-CSR communication. </w:t>
      </w:r>
    </w:p>
    <w:p w14:paraId="4A0E09B4" w14:textId="1D832A14" w:rsidR="007F2FC9" w:rsidRDefault="007F2FC9"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Chapter </w:t>
      </w:r>
      <w:r w:rsidR="00B84D5C">
        <w:rPr>
          <w:rFonts w:asciiTheme="majorBidi" w:hAnsiTheme="majorBidi" w:cstheme="majorBidi"/>
          <w:sz w:val="24"/>
          <w:szCs w:val="24"/>
        </w:rPr>
        <w:t>9</w:t>
      </w:r>
      <w:r>
        <w:rPr>
          <w:rFonts w:asciiTheme="majorBidi" w:hAnsiTheme="majorBidi" w:cstheme="majorBidi"/>
          <w:sz w:val="24"/>
          <w:szCs w:val="24"/>
        </w:rPr>
        <w:t xml:space="preserve"> – Conclusion</w:t>
      </w:r>
      <w:r w:rsidR="00667700">
        <w:rPr>
          <w:rFonts w:asciiTheme="majorBidi" w:hAnsiTheme="majorBidi" w:cstheme="majorBidi"/>
          <w:sz w:val="24"/>
          <w:szCs w:val="24"/>
        </w:rPr>
        <w:t>s</w:t>
      </w:r>
    </w:p>
    <w:p w14:paraId="7F8681B5" w14:textId="76CC2AA7" w:rsidR="00F1224C" w:rsidRDefault="00F1224C" w:rsidP="00822759">
      <w:pPr>
        <w:pStyle w:val="ListParagraph"/>
        <w:shd w:val="clear" w:color="auto" w:fill="FFFFFF"/>
        <w:spacing w:after="0" w:line="480" w:lineRule="auto"/>
        <w:ind w:left="360" w:firstLine="360"/>
        <w:rPr>
          <w:rFonts w:asciiTheme="majorBidi" w:hAnsiTheme="majorBidi" w:cstheme="majorBidi"/>
          <w:sz w:val="24"/>
          <w:szCs w:val="24"/>
        </w:rPr>
      </w:pPr>
      <w:r w:rsidRPr="00F1224C">
        <w:rPr>
          <w:rFonts w:asciiTheme="majorBidi" w:hAnsiTheme="majorBidi" w:cstheme="majorBidi"/>
          <w:sz w:val="24"/>
          <w:szCs w:val="24"/>
        </w:rPr>
        <w:t>I</w:t>
      </w:r>
      <w:r>
        <w:rPr>
          <w:rFonts w:asciiTheme="majorBidi" w:hAnsiTheme="majorBidi" w:cstheme="majorBidi"/>
          <w:sz w:val="24"/>
          <w:szCs w:val="24"/>
        </w:rPr>
        <w:t xml:space="preserve">n chapter </w:t>
      </w:r>
      <w:r w:rsidR="00B84D5C">
        <w:rPr>
          <w:rFonts w:asciiTheme="majorBidi" w:hAnsiTheme="majorBidi" w:cstheme="majorBidi"/>
          <w:sz w:val="24"/>
          <w:szCs w:val="24"/>
        </w:rPr>
        <w:t>nine</w:t>
      </w:r>
      <w:r>
        <w:rPr>
          <w:rFonts w:asciiTheme="majorBidi" w:hAnsiTheme="majorBidi" w:cstheme="majorBidi"/>
          <w:sz w:val="24"/>
          <w:szCs w:val="24"/>
        </w:rPr>
        <w:t>, I</w:t>
      </w:r>
      <w:r w:rsidRPr="00F1224C">
        <w:rPr>
          <w:rFonts w:asciiTheme="majorBidi" w:hAnsiTheme="majorBidi" w:cstheme="majorBidi"/>
          <w:sz w:val="24"/>
          <w:szCs w:val="24"/>
        </w:rPr>
        <w:t xml:space="preserve"> </w:t>
      </w:r>
      <w:r>
        <w:rPr>
          <w:rFonts w:asciiTheme="majorBidi" w:hAnsiTheme="majorBidi" w:cstheme="majorBidi"/>
          <w:sz w:val="24"/>
          <w:szCs w:val="24"/>
        </w:rPr>
        <w:t>conclude</w:t>
      </w:r>
      <w:r w:rsidRPr="00F1224C">
        <w:rPr>
          <w:rFonts w:asciiTheme="majorBidi" w:hAnsiTheme="majorBidi" w:cstheme="majorBidi"/>
          <w:sz w:val="24"/>
          <w:szCs w:val="24"/>
        </w:rPr>
        <w:t xml:space="preserve"> the research and describe how the goal</w:t>
      </w:r>
      <w:r>
        <w:rPr>
          <w:rFonts w:asciiTheme="majorBidi" w:hAnsiTheme="majorBidi" w:cstheme="majorBidi"/>
          <w:sz w:val="24"/>
          <w:szCs w:val="24"/>
        </w:rPr>
        <w:t>s</w:t>
      </w:r>
      <w:r w:rsidRPr="00F1224C">
        <w:rPr>
          <w:rFonts w:asciiTheme="majorBidi" w:hAnsiTheme="majorBidi" w:cstheme="majorBidi"/>
          <w:sz w:val="24"/>
          <w:szCs w:val="24"/>
        </w:rPr>
        <w:t xml:space="preserve"> and objectives stated </w:t>
      </w:r>
      <w:r>
        <w:rPr>
          <w:rFonts w:asciiTheme="majorBidi" w:hAnsiTheme="majorBidi" w:cstheme="majorBidi"/>
          <w:sz w:val="24"/>
          <w:szCs w:val="24"/>
        </w:rPr>
        <w:t xml:space="preserve">earlier </w:t>
      </w:r>
      <w:r w:rsidR="00E77650">
        <w:rPr>
          <w:rFonts w:asciiTheme="majorBidi" w:hAnsiTheme="majorBidi" w:cstheme="majorBidi"/>
          <w:sz w:val="24"/>
          <w:szCs w:val="24"/>
        </w:rPr>
        <w:t>were</w:t>
      </w:r>
      <w:r w:rsidRPr="00F1224C">
        <w:rPr>
          <w:rFonts w:asciiTheme="majorBidi" w:hAnsiTheme="majorBidi" w:cstheme="majorBidi"/>
          <w:sz w:val="24"/>
          <w:szCs w:val="24"/>
        </w:rPr>
        <w:t xml:space="preserve"> attained.</w:t>
      </w:r>
      <w:r>
        <w:rPr>
          <w:rFonts w:asciiTheme="majorBidi" w:hAnsiTheme="majorBidi" w:cstheme="majorBidi"/>
          <w:sz w:val="24"/>
          <w:szCs w:val="24"/>
        </w:rPr>
        <w:t xml:space="preserve"> This chapter highlights the main outputs of this thesis</w:t>
      </w:r>
      <w:r w:rsidR="00822759">
        <w:rPr>
          <w:rFonts w:asciiTheme="majorBidi" w:hAnsiTheme="majorBidi" w:cstheme="majorBidi"/>
          <w:sz w:val="24"/>
          <w:szCs w:val="24"/>
        </w:rPr>
        <w:t xml:space="preserve"> such as the idea that CSR can be a more successful communication strategy than non-CSR if certain strategies were carefully applied.</w:t>
      </w:r>
      <w:r>
        <w:rPr>
          <w:rFonts w:asciiTheme="majorBidi" w:hAnsiTheme="majorBidi" w:cstheme="majorBidi"/>
          <w:sz w:val="24"/>
          <w:szCs w:val="24"/>
        </w:rPr>
        <w:t xml:space="preserve"> </w:t>
      </w:r>
      <w:r w:rsidR="00822759">
        <w:rPr>
          <w:rFonts w:asciiTheme="majorBidi" w:hAnsiTheme="majorBidi" w:cstheme="majorBidi"/>
          <w:sz w:val="24"/>
          <w:szCs w:val="24"/>
        </w:rPr>
        <w:t>Also,</w:t>
      </w:r>
      <w:r>
        <w:rPr>
          <w:rFonts w:asciiTheme="majorBidi" w:hAnsiTheme="majorBidi" w:cstheme="majorBidi"/>
          <w:sz w:val="24"/>
          <w:szCs w:val="24"/>
        </w:rPr>
        <w:t xml:space="preserve"> </w:t>
      </w:r>
      <w:r w:rsidR="00822759">
        <w:rPr>
          <w:rFonts w:asciiTheme="majorBidi" w:hAnsiTheme="majorBidi" w:cstheme="majorBidi"/>
          <w:sz w:val="24"/>
          <w:szCs w:val="24"/>
        </w:rPr>
        <w:t xml:space="preserve">this chapter summarises </w:t>
      </w:r>
      <w:r>
        <w:rPr>
          <w:rFonts w:asciiTheme="majorBidi" w:hAnsiTheme="majorBidi" w:cstheme="majorBidi"/>
          <w:sz w:val="24"/>
          <w:szCs w:val="24"/>
        </w:rPr>
        <w:t xml:space="preserve">the theoretical, academic, and managerial contributions of this study. </w:t>
      </w:r>
      <w:r w:rsidR="00822759">
        <w:rPr>
          <w:rFonts w:asciiTheme="majorBidi" w:hAnsiTheme="majorBidi" w:cstheme="majorBidi"/>
          <w:sz w:val="24"/>
          <w:szCs w:val="24"/>
        </w:rPr>
        <w:t>Additionally</w:t>
      </w:r>
      <w:r w:rsidR="00AC49C8">
        <w:rPr>
          <w:rFonts w:asciiTheme="majorBidi" w:hAnsiTheme="majorBidi" w:cstheme="majorBidi"/>
          <w:sz w:val="24"/>
          <w:szCs w:val="24"/>
        </w:rPr>
        <w:t xml:space="preserve">, this chapter </w:t>
      </w:r>
      <w:r w:rsidR="00822759">
        <w:rPr>
          <w:rFonts w:asciiTheme="majorBidi" w:hAnsiTheme="majorBidi" w:cstheme="majorBidi"/>
          <w:sz w:val="24"/>
          <w:szCs w:val="24"/>
        </w:rPr>
        <w:t>outlines the limitations of the study as well as</w:t>
      </w:r>
      <w:r w:rsidR="00AC49C8">
        <w:rPr>
          <w:rFonts w:asciiTheme="majorBidi" w:hAnsiTheme="majorBidi" w:cstheme="majorBidi"/>
          <w:sz w:val="24"/>
          <w:szCs w:val="24"/>
        </w:rPr>
        <w:t xml:space="preserve"> the wide array of future research opportunities that </w:t>
      </w:r>
      <w:r w:rsidR="00B71D3B">
        <w:rPr>
          <w:rFonts w:asciiTheme="majorBidi" w:hAnsiTheme="majorBidi" w:cstheme="majorBidi"/>
          <w:sz w:val="24"/>
          <w:szCs w:val="24"/>
        </w:rPr>
        <w:t>have risen</w:t>
      </w:r>
      <w:r w:rsidR="00AC49C8">
        <w:rPr>
          <w:rFonts w:asciiTheme="majorBidi" w:hAnsiTheme="majorBidi" w:cstheme="majorBidi"/>
          <w:sz w:val="24"/>
          <w:szCs w:val="24"/>
        </w:rPr>
        <w:t xml:space="preserve"> from the topic of the study as well as the data.</w:t>
      </w:r>
      <w:r w:rsidR="00822759">
        <w:rPr>
          <w:rFonts w:asciiTheme="majorBidi" w:hAnsiTheme="majorBidi" w:cstheme="majorBidi"/>
          <w:sz w:val="24"/>
          <w:szCs w:val="24"/>
        </w:rPr>
        <w:t xml:space="preserve"> One of the future research opportunities that were identified was to examine the same topic in different countries and identify the possibility of any cultural variations that may impact the results. Another future research idea was examining different types of CSR such as internal and environmental CSR.</w:t>
      </w:r>
    </w:p>
    <w:p w14:paraId="1C63A137" w14:textId="00DA3A09" w:rsidR="007F2FC9" w:rsidRDefault="007E048C" w:rsidP="00E77650">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List of </w:t>
      </w:r>
      <w:r w:rsidR="001E6B75">
        <w:rPr>
          <w:rFonts w:asciiTheme="majorBidi" w:hAnsiTheme="majorBidi" w:cstheme="majorBidi"/>
          <w:sz w:val="24"/>
          <w:szCs w:val="24"/>
        </w:rPr>
        <w:t>References</w:t>
      </w:r>
    </w:p>
    <w:p w14:paraId="15D5BE10" w14:textId="2F90180A" w:rsidR="00701902" w:rsidRDefault="0063616E" w:rsidP="00822759">
      <w:pPr>
        <w:pStyle w:val="ListParagraph"/>
        <w:shd w:val="clear" w:color="auto" w:fill="FFFFFF"/>
        <w:spacing w:after="0" w:line="480" w:lineRule="auto"/>
        <w:ind w:left="360" w:firstLine="360"/>
        <w:rPr>
          <w:rFonts w:asciiTheme="majorBidi" w:hAnsiTheme="majorBidi" w:cstheme="majorBidi"/>
          <w:sz w:val="24"/>
          <w:szCs w:val="24"/>
        </w:rPr>
      </w:pPr>
      <w:r>
        <w:rPr>
          <w:rFonts w:asciiTheme="majorBidi" w:hAnsiTheme="majorBidi" w:cstheme="majorBidi"/>
          <w:sz w:val="24"/>
          <w:szCs w:val="24"/>
        </w:rPr>
        <w:t xml:space="preserve">This is the last </w:t>
      </w:r>
      <w:r w:rsidR="007E048C">
        <w:rPr>
          <w:rFonts w:asciiTheme="majorBidi" w:hAnsiTheme="majorBidi" w:cstheme="majorBidi"/>
          <w:sz w:val="24"/>
          <w:szCs w:val="24"/>
        </w:rPr>
        <w:t>section</w:t>
      </w:r>
      <w:r>
        <w:rPr>
          <w:rFonts w:asciiTheme="majorBidi" w:hAnsiTheme="majorBidi" w:cstheme="majorBidi"/>
          <w:sz w:val="24"/>
          <w:szCs w:val="24"/>
        </w:rPr>
        <w:t xml:space="preserve"> of the thesis that provides an alphabetical list of all references and sources used to build different chapters and sections in the thesis. </w:t>
      </w:r>
      <w:r w:rsidR="00B47DD7">
        <w:rPr>
          <w:rFonts w:asciiTheme="majorBidi" w:hAnsiTheme="majorBidi" w:cstheme="majorBidi"/>
          <w:sz w:val="24"/>
          <w:szCs w:val="24"/>
        </w:rPr>
        <w:t xml:space="preserve">This chapter is followed by the appendices as mentioned above in table of contents. </w:t>
      </w:r>
    </w:p>
    <w:p w14:paraId="66A285E0" w14:textId="03F6C476" w:rsidR="00AC49C8" w:rsidRDefault="00AC49C8" w:rsidP="00AC49C8">
      <w:pPr>
        <w:pStyle w:val="ListParagraph"/>
        <w:shd w:val="clear" w:color="auto" w:fill="FFFFFF"/>
        <w:spacing w:after="0" w:line="480" w:lineRule="auto"/>
        <w:ind w:left="360"/>
        <w:rPr>
          <w:rFonts w:asciiTheme="majorBidi" w:hAnsiTheme="majorBidi" w:cstheme="majorBidi"/>
          <w:sz w:val="24"/>
          <w:szCs w:val="24"/>
        </w:rPr>
      </w:pPr>
      <w:r>
        <w:rPr>
          <w:rFonts w:asciiTheme="majorBidi" w:hAnsiTheme="majorBidi" w:cstheme="majorBidi"/>
          <w:sz w:val="24"/>
          <w:szCs w:val="24"/>
        </w:rPr>
        <w:t xml:space="preserve">Appendices </w:t>
      </w:r>
    </w:p>
    <w:p w14:paraId="2164838B" w14:textId="3B28A33F" w:rsidR="003320A4" w:rsidRPr="00041ACA" w:rsidRDefault="00AC49C8" w:rsidP="00822759">
      <w:pPr>
        <w:pStyle w:val="ListParagraph"/>
        <w:shd w:val="clear" w:color="auto" w:fill="FFFFFF"/>
        <w:spacing w:after="0" w:line="480" w:lineRule="auto"/>
        <w:ind w:left="360" w:firstLine="360"/>
        <w:rPr>
          <w:rFonts w:asciiTheme="majorBidi" w:hAnsiTheme="majorBidi" w:cstheme="majorBidi"/>
          <w:sz w:val="24"/>
          <w:szCs w:val="24"/>
        </w:rPr>
      </w:pPr>
      <w:r>
        <w:rPr>
          <w:rFonts w:asciiTheme="majorBidi" w:hAnsiTheme="majorBidi" w:cstheme="majorBidi"/>
          <w:sz w:val="24"/>
          <w:szCs w:val="24"/>
        </w:rPr>
        <w:t xml:space="preserve">As outlined above in the table of contents, this thesis provides supporting information included in the appendices such as a list of all articles included in the systematic reviews, the guide for the systematic review, etc. </w:t>
      </w:r>
    </w:p>
    <w:p w14:paraId="2AA6F07B" w14:textId="0F6BAB40" w:rsidR="00D811D3" w:rsidRPr="00E77650" w:rsidRDefault="00E77650">
      <w:pPr>
        <w:pStyle w:val="ListParagraph"/>
        <w:numPr>
          <w:ilvl w:val="1"/>
          <w:numId w:val="22"/>
        </w:numPr>
        <w:spacing w:after="0" w:line="480" w:lineRule="auto"/>
        <w:rPr>
          <w:rFonts w:asciiTheme="majorBidi" w:hAnsiTheme="majorBidi" w:cstheme="majorBidi"/>
          <w:b/>
          <w:bCs/>
          <w:sz w:val="24"/>
          <w:szCs w:val="24"/>
        </w:rPr>
      </w:pPr>
      <w:r w:rsidRPr="00E77650">
        <w:rPr>
          <w:rFonts w:asciiTheme="majorBidi" w:hAnsiTheme="majorBidi" w:cstheme="majorBidi"/>
          <w:b/>
          <w:bCs/>
          <w:sz w:val="24"/>
          <w:szCs w:val="24"/>
        </w:rPr>
        <w:t xml:space="preserve">Summary </w:t>
      </w:r>
    </w:p>
    <w:p w14:paraId="7512A581" w14:textId="615D1A10" w:rsidR="008067DB" w:rsidRDefault="00D25EE3" w:rsidP="00112EF5">
      <w:pPr>
        <w:pStyle w:val="ListParagraph"/>
        <w:spacing w:after="0" w:line="480" w:lineRule="auto"/>
        <w:ind w:left="360"/>
        <w:rPr>
          <w:rFonts w:asciiTheme="majorBidi" w:hAnsiTheme="majorBidi" w:cstheme="majorBidi"/>
          <w:sz w:val="24"/>
          <w:szCs w:val="24"/>
        </w:rPr>
      </w:pPr>
      <w:r>
        <w:rPr>
          <w:rFonts w:asciiTheme="majorBidi" w:hAnsiTheme="majorBidi" w:cstheme="majorBidi"/>
          <w:sz w:val="24"/>
          <w:szCs w:val="24"/>
        </w:rPr>
        <w:tab/>
      </w:r>
      <w:r w:rsidR="00E77650">
        <w:rPr>
          <w:rFonts w:asciiTheme="majorBidi" w:hAnsiTheme="majorBidi" w:cstheme="majorBidi"/>
          <w:sz w:val="24"/>
          <w:szCs w:val="24"/>
        </w:rPr>
        <w:t>In this chapter, a</w:t>
      </w:r>
      <w:r w:rsidR="00E77650" w:rsidRPr="00E77650">
        <w:rPr>
          <w:rFonts w:asciiTheme="majorBidi" w:hAnsiTheme="majorBidi" w:cstheme="majorBidi"/>
          <w:sz w:val="24"/>
          <w:szCs w:val="24"/>
        </w:rPr>
        <w:t xml:space="preserve">n introduction to the </w:t>
      </w:r>
      <w:r w:rsidR="00E77650">
        <w:rPr>
          <w:rFonts w:asciiTheme="majorBidi" w:hAnsiTheme="majorBidi" w:cstheme="majorBidi"/>
          <w:sz w:val="24"/>
          <w:szCs w:val="24"/>
        </w:rPr>
        <w:t>topic</w:t>
      </w:r>
      <w:r w:rsidR="00E77650" w:rsidRPr="00E77650">
        <w:rPr>
          <w:rFonts w:asciiTheme="majorBidi" w:hAnsiTheme="majorBidi" w:cstheme="majorBidi"/>
          <w:sz w:val="24"/>
          <w:szCs w:val="24"/>
        </w:rPr>
        <w:t xml:space="preserve"> </w:t>
      </w:r>
      <w:r w:rsidR="00B71D3B">
        <w:rPr>
          <w:rFonts w:asciiTheme="majorBidi" w:hAnsiTheme="majorBidi" w:cstheme="majorBidi"/>
          <w:sz w:val="24"/>
          <w:szCs w:val="24"/>
        </w:rPr>
        <w:t>is</w:t>
      </w:r>
      <w:r w:rsidR="00E77650" w:rsidRPr="00E77650">
        <w:rPr>
          <w:rFonts w:asciiTheme="majorBidi" w:hAnsiTheme="majorBidi" w:cstheme="majorBidi"/>
          <w:sz w:val="24"/>
          <w:szCs w:val="24"/>
        </w:rPr>
        <w:t xml:space="preserve"> provided. </w:t>
      </w:r>
      <w:r w:rsidR="00E77650">
        <w:rPr>
          <w:rFonts w:asciiTheme="majorBidi" w:hAnsiTheme="majorBidi" w:cstheme="majorBidi"/>
          <w:sz w:val="24"/>
          <w:szCs w:val="24"/>
        </w:rPr>
        <w:t>I</w:t>
      </w:r>
      <w:r w:rsidR="00E77650" w:rsidRPr="00E77650">
        <w:rPr>
          <w:rFonts w:asciiTheme="majorBidi" w:hAnsiTheme="majorBidi" w:cstheme="majorBidi"/>
          <w:sz w:val="24"/>
          <w:szCs w:val="24"/>
        </w:rPr>
        <w:t xml:space="preserve"> discuss the context and reasoning for conducting this research, introduced the goal</w:t>
      </w:r>
      <w:r w:rsidR="00E77650">
        <w:rPr>
          <w:rFonts w:asciiTheme="majorBidi" w:hAnsiTheme="majorBidi" w:cstheme="majorBidi"/>
          <w:sz w:val="24"/>
          <w:szCs w:val="24"/>
        </w:rPr>
        <w:t>s</w:t>
      </w:r>
      <w:r w:rsidR="00E77650" w:rsidRPr="00E77650">
        <w:rPr>
          <w:rFonts w:asciiTheme="majorBidi" w:hAnsiTheme="majorBidi" w:cstheme="majorBidi"/>
          <w:sz w:val="24"/>
          <w:szCs w:val="24"/>
        </w:rPr>
        <w:t xml:space="preserve"> and objective</w:t>
      </w:r>
      <w:r w:rsidR="00E77650">
        <w:rPr>
          <w:rFonts w:asciiTheme="majorBidi" w:hAnsiTheme="majorBidi" w:cstheme="majorBidi"/>
          <w:sz w:val="24"/>
          <w:szCs w:val="24"/>
        </w:rPr>
        <w:t>s</w:t>
      </w:r>
      <w:r w:rsidR="00E77650" w:rsidRPr="00E77650">
        <w:rPr>
          <w:rFonts w:asciiTheme="majorBidi" w:hAnsiTheme="majorBidi" w:cstheme="majorBidi"/>
          <w:sz w:val="24"/>
          <w:szCs w:val="24"/>
        </w:rPr>
        <w:t xml:space="preserve">, the </w:t>
      </w:r>
      <w:r w:rsidR="00E77650">
        <w:rPr>
          <w:rFonts w:asciiTheme="majorBidi" w:hAnsiTheme="majorBidi" w:cstheme="majorBidi"/>
          <w:sz w:val="24"/>
          <w:szCs w:val="24"/>
        </w:rPr>
        <w:t>methods</w:t>
      </w:r>
      <w:r w:rsidR="00E77650" w:rsidRPr="00E77650">
        <w:rPr>
          <w:rFonts w:asciiTheme="majorBidi" w:hAnsiTheme="majorBidi" w:cstheme="majorBidi"/>
          <w:sz w:val="24"/>
          <w:szCs w:val="24"/>
        </w:rPr>
        <w:t>,</w:t>
      </w:r>
      <w:r w:rsidR="00E77650">
        <w:rPr>
          <w:rFonts w:asciiTheme="majorBidi" w:hAnsiTheme="majorBidi" w:cstheme="majorBidi"/>
          <w:sz w:val="24"/>
          <w:szCs w:val="24"/>
        </w:rPr>
        <w:t xml:space="preserve"> and </w:t>
      </w:r>
      <w:r w:rsidR="00E77650" w:rsidRPr="00E77650">
        <w:rPr>
          <w:rFonts w:asciiTheme="majorBidi" w:hAnsiTheme="majorBidi" w:cstheme="majorBidi"/>
          <w:sz w:val="24"/>
          <w:szCs w:val="24"/>
        </w:rPr>
        <w:t xml:space="preserve">the </w:t>
      </w:r>
      <w:r w:rsidR="00E77650">
        <w:rPr>
          <w:rFonts w:asciiTheme="majorBidi" w:hAnsiTheme="majorBidi" w:cstheme="majorBidi"/>
          <w:sz w:val="24"/>
          <w:szCs w:val="24"/>
        </w:rPr>
        <w:t>contribution of</w:t>
      </w:r>
      <w:r w:rsidR="00E77650" w:rsidRPr="00E77650">
        <w:rPr>
          <w:rFonts w:asciiTheme="majorBidi" w:hAnsiTheme="majorBidi" w:cstheme="majorBidi"/>
          <w:sz w:val="24"/>
          <w:szCs w:val="24"/>
        </w:rPr>
        <w:t xml:space="preserve"> the thesis</w:t>
      </w:r>
      <w:r w:rsidR="00E77650">
        <w:rPr>
          <w:rFonts w:asciiTheme="majorBidi" w:hAnsiTheme="majorBidi" w:cstheme="majorBidi"/>
          <w:sz w:val="24"/>
          <w:szCs w:val="24"/>
        </w:rPr>
        <w:t xml:space="preserve">. </w:t>
      </w:r>
      <w:r w:rsidR="00822759">
        <w:rPr>
          <w:rFonts w:asciiTheme="majorBidi" w:hAnsiTheme="majorBidi" w:cstheme="majorBidi"/>
          <w:sz w:val="24"/>
          <w:szCs w:val="24"/>
        </w:rPr>
        <w:t xml:space="preserve">The chapter provided an overview of the main chapters of the thesis a long with the key highlights of every chapter. </w:t>
      </w:r>
      <w:r w:rsidR="00E77650">
        <w:rPr>
          <w:rFonts w:asciiTheme="majorBidi" w:hAnsiTheme="majorBidi" w:cstheme="majorBidi"/>
          <w:sz w:val="24"/>
          <w:szCs w:val="24"/>
        </w:rPr>
        <w:t>The following chapter</w:t>
      </w:r>
      <w:r w:rsidR="00E77650" w:rsidRPr="00E77650">
        <w:rPr>
          <w:rFonts w:asciiTheme="majorBidi" w:hAnsiTheme="majorBidi" w:cstheme="majorBidi"/>
          <w:sz w:val="24"/>
          <w:szCs w:val="24"/>
        </w:rPr>
        <w:t xml:space="preserve"> </w:t>
      </w:r>
      <w:r w:rsidR="00E77650">
        <w:rPr>
          <w:rFonts w:asciiTheme="majorBidi" w:hAnsiTheme="majorBidi" w:cstheme="majorBidi"/>
          <w:sz w:val="24"/>
          <w:szCs w:val="24"/>
        </w:rPr>
        <w:t>present</w:t>
      </w:r>
      <w:r w:rsidR="00B71D3B">
        <w:rPr>
          <w:rFonts w:asciiTheme="majorBidi" w:hAnsiTheme="majorBidi" w:cstheme="majorBidi"/>
          <w:sz w:val="24"/>
          <w:szCs w:val="24"/>
        </w:rPr>
        <w:t>s</w:t>
      </w:r>
      <w:r w:rsidR="00E77650">
        <w:rPr>
          <w:rFonts w:asciiTheme="majorBidi" w:hAnsiTheme="majorBidi" w:cstheme="majorBidi"/>
          <w:sz w:val="24"/>
          <w:szCs w:val="24"/>
        </w:rPr>
        <w:t xml:space="preserve"> a </w:t>
      </w:r>
      <w:r w:rsidR="00112EF5">
        <w:rPr>
          <w:rFonts w:asciiTheme="majorBidi" w:hAnsiTheme="majorBidi" w:cstheme="majorBidi"/>
          <w:sz w:val="24"/>
          <w:szCs w:val="24"/>
        </w:rPr>
        <w:t xml:space="preserve">broad </w:t>
      </w:r>
      <w:r w:rsidR="00E77650" w:rsidRPr="00E77650">
        <w:rPr>
          <w:rFonts w:asciiTheme="majorBidi" w:hAnsiTheme="majorBidi" w:cstheme="majorBidi"/>
          <w:sz w:val="24"/>
          <w:szCs w:val="24"/>
        </w:rPr>
        <w:t>literature</w:t>
      </w:r>
      <w:r w:rsidR="00E77650">
        <w:rPr>
          <w:rFonts w:asciiTheme="majorBidi" w:hAnsiTheme="majorBidi" w:cstheme="majorBidi"/>
          <w:sz w:val="24"/>
          <w:szCs w:val="24"/>
        </w:rPr>
        <w:t xml:space="preserve"> review</w:t>
      </w:r>
      <w:r w:rsidR="00E77650" w:rsidRPr="00E77650">
        <w:rPr>
          <w:rFonts w:asciiTheme="majorBidi" w:hAnsiTheme="majorBidi" w:cstheme="majorBidi"/>
          <w:sz w:val="24"/>
          <w:szCs w:val="24"/>
        </w:rPr>
        <w:t xml:space="preserve"> </w:t>
      </w:r>
      <w:r w:rsidR="00E77650">
        <w:rPr>
          <w:rFonts w:asciiTheme="majorBidi" w:hAnsiTheme="majorBidi" w:cstheme="majorBidi"/>
          <w:sz w:val="24"/>
          <w:szCs w:val="24"/>
        </w:rPr>
        <w:t>about CSR communication</w:t>
      </w:r>
      <w:r w:rsidR="00822759">
        <w:rPr>
          <w:rFonts w:asciiTheme="majorBidi" w:hAnsiTheme="majorBidi" w:cstheme="majorBidi"/>
          <w:sz w:val="24"/>
          <w:szCs w:val="24"/>
        </w:rPr>
        <w:t xml:space="preserve"> in terms of its benefits, impact on consumers, strategies, application in FMCG, etc</w:t>
      </w:r>
      <w:r w:rsidR="00E77650">
        <w:rPr>
          <w:rFonts w:asciiTheme="majorBidi" w:hAnsiTheme="majorBidi" w:cstheme="majorBidi"/>
          <w:sz w:val="24"/>
          <w:szCs w:val="24"/>
        </w:rPr>
        <w:t xml:space="preserve">. </w:t>
      </w:r>
    </w:p>
    <w:p w14:paraId="34ACB9B5" w14:textId="6617AC80" w:rsidR="003320A4" w:rsidRPr="00044DE9" w:rsidRDefault="008067DB" w:rsidP="00044DE9">
      <w:pPr>
        <w:rPr>
          <w:rFonts w:asciiTheme="majorBidi" w:hAnsiTheme="majorBidi" w:cstheme="majorBidi"/>
          <w:sz w:val="24"/>
          <w:szCs w:val="24"/>
        </w:rPr>
      </w:pPr>
      <w:r>
        <w:rPr>
          <w:rFonts w:asciiTheme="majorBidi" w:hAnsiTheme="majorBidi" w:cstheme="majorBidi"/>
          <w:sz w:val="24"/>
          <w:szCs w:val="24"/>
        </w:rPr>
        <w:br w:type="page"/>
      </w:r>
    </w:p>
    <w:p w14:paraId="5D1B07E8" w14:textId="6A4E709B" w:rsidR="00A96566" w:rsidRPr="00E27067" w:rsidRDefault="00A96566" w:rsidP="00C95C8A">
      <w:pPr>
        <w:jc w:val="center"/>
        <w:rPr>
          <w:rFonts w:asciiTheme="majorBidi" w:hAnsiTheme="majorBidi" w:cstheme="majorBidi"/>
          <w:b/>
          <w:bCs/>
          <w:sz w:val="24"/>
          <w:szCs w:val="24"/>
        </w:rPr>
      </w:pPr>
      <w:r w:rsidRPr="00E27067">
        <w:rPr>
          <w:rFonts w:asciiTheme="majorBidi" w:hAnsiTheme="majorBidi" w:cstheme="majorBidi"/>
          <w:b/>
          <w:bCs/>
          <w:sz w:val="24"/>
          <w:szCs w:val="24"/>
        </w:rPr>
        <w:t xml:space="preserve">Chapter </w:t>
      </w:r>
      <w:r w:rsidR="008067DB">
        <w:rPr>
          <w:rFonts w:asciiTheme="majorBidi" w:hAnsiTheme="majorBidi" w:cstheme="majorBidi"/>
          <w:b/>
          <w:bCs/>
          <w:sz w:val="24"/>
          <w:szCs w:val="24"/>
        </w:rPr>
        <w:t>2</w:t>
      </w:r>
      <w:r w:rsidRPr="00E27067">
        <w:rPr>
          <w:rFonts w:asciiTheme="majorBidi" w:hAnsiTheme="majorBidi" w:cstheme="majorBidi"/>
          <w:b/>
          <w:bCs/>
          <w:sz w:val="24"/>
          <w:szCs w:val="24"/>
        </w:rPr>
        <w:t xml:space="preserve"> </w:t>
      </w:r>
    </w:p>
    <w:p w14:paraId="54C51577" w14:textId="1CDFC842" w:rsidR="00A96566" w:rsidRPr="00E27067" w:rsidRDefault="00A96566" w:rsidP="00C95C8A">
      <w:pPr>
        <w:jc w:val="center"/>
        <w:rPr>
          <w:rFonts w:asciiTheme="majorBidi" w:hAnsiTheme="majorBidi" w:cstheme="majorBidi"/>
          <w:b/>
          <w:bCs/>
          <w:sz w:val="24"/>
          <w:szCs w:val="24"/>
        </w:rPr>
      </w:pPr>
      <w:r w:rsidRPr="00E27067">
        <w:rPr>
          <w:rFonts w:asciiTheme="majorBidi" w:hAnsiTheme="majorBidi" w:cstheme="majorBidi"/>
          <w:b/>
          <w:bCs/>
          <w:sz w:val="24"/>
          <w:szCs w:val="24"/>
        </w:rPr>
        <w:t xml:space="preserve">Literature Review </w:t>
      </w:r>
    </w:p>
    <w:p w14:paraId="27D567C0" w14:textId="4628EC69" w:rsidR="00A96566" w:rsidRDefault="008067DB" w:rsidP="00A96566">
      <w:pPr>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w:t>
      </w:r>
      <w:r w:rsidR="00594265">
        <w:rPr>
          <w:rFonts w:asciiTheme="majorBidi" w:hAnsiTheme="majorBidi" w:cstheme="majorBidi"/>
          <w:b/>
          <w:bCs/>
          <w:sz w:val="24"/>
          <w:szCs w:val="24"/>
        </w:rPr>
        <w:t>0</w:t>
      </w:r>
      <w:r w:rsidR="00A96566">
        <w:rPr>
          <w:rFonts w:asciiTheme="majorBidi" w:hAnsiTheme="majorBidi" w:cstheme="majorBidi"/>
          <w:b/>
          <w:bCs/>
          <w:sz w:val="24"/>
          <w:szCs w:val="24"/>
        </w:rPr>
        <w:t xml:space="preserve"> Introduction </w:t>
      </w:r>
    </w:p>
    <w:p w14:paraId="04413D7B" w14:textId="58CDA22D" w:rsidR="00E03154" w:rsidRPr="00B429EF" w:rsidRDefault="008067DB" w:rsidP="008067DB">
      <w:pPr>
        <w:spacing w:after="0" w:line="480" w:lineRule="auto"/>
        <w:ind w:firstLine="720"/>
        <w:rPr>
          <w:rFonts w:asciiTheme="majorBidi" w:hAnsiTheme="majorBidi" w:cstheme="majorBidi"/>
          <w:sz w:val="24"/>
          <w:szCs w:val="24"/>
        </w:rPr>
      </w:pPr>
      <w:bookmarkStart w:id="12" w:name="_Hlk157531475"/>
      <w:r>
        <w:rPr>
          <w:rFonts w:asciiTheme="majorBidi" w:hAnsiTheme="majorBidi" w:cstheme="majorBidi"/>
          <w:sz w:val="24"/>
          <w:szCs w:val="24"/>
        </w:rPr>
        <w:t>T</w:t>
      </w:r>
      <w:r w:rsidR="00A96566">
        <w:rPr>
          <w:rFonts w:asciiTheme="majorBidi" w:hAnsiTheme="majorBidi" w:cstheme="majorBidi"/>
          <w:sz w:val="24"/>
          <w:szCs w:val="24"/>
        </w:rPr>
        <w:t xml:space="preserve">his </w:t>
      </w:r>
      <w:r w:rsidR="00521A98">
        <w:rPr>
          <w:rFonts w:asciiTheme="majorBidi" w:hAnsiTheme="majorBidi" w:cstheme="majorBidi"/>
          <w:sz w:val="24"/>
          <w:szCs w:val="24"/>
        </w:rPr>
        <w:t>chapter</w:t>
      </w:r>
      <w:r w:rsidR="00A96566">
        <w:rPr>
          <w:rFonts w:asciiTheme="majorBidi" w:hAnsiTheme="majorBidi" w:cstheme="majorBidi"/>
          <w:sz w:val="24"/>
          <w:szCs w:val="24"/>
        </w:rPr>
        <w:t xml:space="preserve"> </w:t>
      </w:r>
      <w:r w:rsidR="00521A98">
        <w:rPr>
          <w:rFonts w:asciiTheme="majorBidi" w:hAnsiTheme="majorBidi" w:cstheme="majorBidi"/>
          <w:sz w:val="24"/>
          <w:szCs w:val="24"/>
        </w:rPr>
        <w:t>presents a</w:t>
      </w:r>
      <w:r w:rsidR="00772158">
        <w:rPr>
          <w:rFonts w:asciiTheme="majorBidi" w:hAnsiTheme="majorBidi" w:cstheme="majorBidi"/>
          <w:sz w:val="24"/>
          <w:szCs w:val="24"/>
        </w:rPr>
        <w:t xml:space="preserve"> narrative </w:t>
      </w:r>
      <w:r w:rsidR="00521A98">
        <w:rPr>
          <w:rFonts w:asciiTheme="majorBidi" w:hAnsiTheme="majorBidi" w:cstheme="majorBidi"/>
          <w:sz w:val="24"/>
          <w:szCs w:val="24"/>
        </w:rPr>
        <w:t xml:space="preserve">literature review to explore and clarify important concepts related to CSR communication. </w:t>
      </w:r>
      <w:r w:rsidR="00A96566" w:rsidRPr="00CD532F">
        <w:rPr>
          <w:rFonts w:asciiTheme="majorBidi" w:hAnsiTheme="majorBidi" w:cstheme="majorBidi"/>
          <w:sz w:val="24"/>
          <w:szCs w:val="24"/>
        </w:rPr>
        <w:t xml:space="preserve">The </w:t>
      </w:r>
      <w:r w:rsidR="00521A98" w:rsidRPr="00CD532F">
        <w:rPr>
          <w:rFonts w:asciiTheme="majorBidi" w:hAnsiTheme="majorBidi" w:cstheme="majorBidi"/>
          <w:sz w:val="24"/>
          <w:szCs w:val="24"/>
        </w:rPr>
        <w:t xml:space="preserve">purpose of </w:t>
      </w:r>
      <w:r w:rsidR="00772158" w:rsidRPr="00CD532F">
        <w:rPr>
          <w:rFonts w:asciiTheme="majorBidi" w:hAnsiTheme="majorBidi" w:cstheme="majorBidi"/>
          <w:sz w:val="24"/>
          <w:szCs w:val="24"/>
        </w:rPr>
        <w:t>a narrative</w:t>
      </w:r>
      <w:r w:rsidR="00B429EF" w:rsidRPr="00CD532F">
        <w:rPr>
          <w:rFonts w:asciiTheme="majorBidi" w:hAnsiTheme="majorBidi" w:cstheme="majorBidi"/>
          <w:sz w:val="24"/>
          <w:szCs w:val="24"/>
        </w:rPr>
        <w:t xml:space="preserve"> </w:t>
      </w:r>
      <w:r w:rsidR="00521A98" w:rsidRPr="00CD532F">
        <w:rPr>
          <w:rFonts w:asciiTheme="majorBidi" w:hAnsiTheme="majorBidi" w:cstheme="majorBidi"/>
          <w:sz w:val="24"/>
          <w:szCs w:val="24"/>
        </w:rPr>
        <w:t>liter</w:t>
      </w:r>
      <w:bookmarkEnd w:id="12"/>
      <w:r w:rsidR="00521A98" w:rsidRPr="00CD532F">
        <w:rPr>
          <w:rFonts w:asciiTheme="majorBidi" w:hAnsiTheme="majorBidi" w:cstheme="majorBidi"/>
          <w:sz w:val="24"/>
          <w:szCs w:val="24"/>
        </w:rPr>
        <w:t xml:space="preserve">ature </w:t>
      </w:r>
      <w:r w:rsidR="00A96566" w:rsidRPr="00CD532F">
        <w:rPr>
          <w:rFonts w:asciiTheme="majorBidi" w:hAnsiTheme="majorBidi" w:cstheme="majorBidi"/>
          <w:sz w:val="24"/>
          <w:szCs w:val="24"/>
        </w:rPr>
        <w:t>review is</w:t>
      </w:r>
      <w:r w:rsidR="00126E70" w:rsidRPr="00CD532F">
        <w:rPr>
          <w:rFonts w:asciiTheme="majorBidi" w:hAnsiTheme="majorBidi" w:cstheme="majorBidi"/>
          <w:sz w:val="24"/>
          <w:szCs w:val="24"/>
        </w:rPr>
        <w:t xml:space="preserve"> to provide an overview of a subject area</w:t>
      </w:r>
      <w:r w:rsidR="00772158" w:rsidRPr="00CD532F">
        <w:rPr>
          <w:rFonts w:asciiTheme="majorBidi" w:hAnsiTheme="majorBidi" w:cstheme="majorBidi"/>
          <w:sz w:val="24"/>
          <w:szCs w:val="24"/>
        </w:rPr>
        <w:t xml:space="preserve"> in a descriptive manner</w:t>
      </w:r>
      <w:sdt>
        <w:sdtPr>
          <w:rPr>
            <w:rFonts w:asciiTheme="majorBidi" w:hAnsiTheme="majorBidi" w:cstheme="majorBidi"/>
            <w:sz w:val="24"/>
            <w:szCs w:val="24"/>
          </w:rPr>
          <w:id w:val="741067123"/>
          <w:citation/>
        </w:sdtPr>
        <w:sdtContent>
          <w:r w:rsidR="00E75D8B" w:rsidRPr="00CD532F">
            <w:rPr>
              <w:rFonts w:asciiTheme="majorBidi" w:hAnsiTheme="majorBidi" w:cstheme="majorBidi"/>
              <w:sz w:val="24"/>
              <w:szCs w:val="24"/>
            </w:rPr>
            <w:fldChar w:fldCharType="begin"/>
          </w:r>
          <w:r w:rsidR="00E75D8B" w:rsidRPr="00CD532F">
            <w:rPr>
              <w:rFonts w:asciiTheme="majorBidi" w:hAnsiTheme="majorBidi" w:cstheme="majorBidi"/>
              <w:sz w:val="24"/>
              <w:szCs w:val="24"/>
            </w:rPr>
            <w:instrText xml:space="preserve"> CITATION Dem23 \l 2057 </w:instrText>
          </w:r>
          <w:r w:rsidR="00E75D8B" w:rsidRPr="00CD532F">
            <w:rPr>
              <w:rFonts w:asciiTheme="majorBidi" w:hAnsiTheme="majorBidi" w:cstheme="majorBidi"/>
              <w:sz w:val="24"/>
              <w:szCs w:val="24"/>
            </w:rPr>
            <w:fldChar w:fldCharType="separate"/>
          </w:r>
          <w:r w:rsidR="00E75D8B" w:rsidRPr="00CD532F">
            <w:rPr>
              <w:rFonts w:asciiTheme="majorBidi" w:hAnsiTheme="majorBidi" w:cstheme="majorBidi"/>
              <w:noProof/>
              <w:sz w:val="24"/>
              <w:szCs w:val="24"/>
            </w:rPr>
            <w:t xml:space="preserve"> (Demiris, Oliver, &amp; Washington, 2019)</w:t>
          </w:r>
          <w:r w:rsidR="00E75D8B" w:rsidRPr="00CD532F">
            <w:rPr>
              <w:rFonts w:asciiTheme="majorBidi" w:hAnsiTheme="majorBidi" w:cstheme="majorBidi"/>
              <w:sz w:val="24"/>
              <w:szCs w:val="24"/>
            </w:rPr>
            <w:fldChar w:fldCharType="end"/>
          </w:r>
        </w:sdtContent>
      </w:sdt>
      <w:r w:rsidR="00126E70" w:rsidRPr="00CD532F">
        <w:rPr>
          <w:rFonts w:asciiTheme="majorBidi" w:hAnsiTheme="majorBidi" w:cstheme="majorBidi"/>
          <w:sz w:val="24"/>
          <w:szCs w:val="24"/>
        </w:rPr>
        <w:t>.</w:t>
      </w:r>
      <w:r w:rsidR="00E75D8B" w:rsidRPr="00CD532F">
        <w:rPr>
          <w:rFonts w:asciiTheme="majorBidi" w:hAnsiTheme="majorBidi" w:cstheme="majorBidi"/>
          <w:sz w:val="24"/>
          <w:szCs w:val="24"/>
        </w:rPr>
        <w:t xml:space="preserve"> </w:t>
      </w:r>
      <w:r w:rsidR="00126E70" w:rsidRPr="00CD532F">
        <w:rPr>
          <w:rFonts w:asciiTheme="majorBidi" w:hAnsiTheme="majorBidi" w:cstheme="majorBidi"/>
          <w:sz w:val="24"/>
          <w:szCs w:val="24"/>
        </w:rPr>
        <w:t xml:space="preserve">Instead of going in-depth, the goal </w:t>
      </w:r>
      <w:r w:rsidR="009A73B8" w:rsidRPr="00CD532F">
        <w:rPr>
          <w:rFonts w:asciiTheme="majorBidi" w:hAnsiTheme="majorBidi" w:cstheme="majorBidi"/>
          <w:sz w:val="24"/>
          <w:szCs w:val="24"/>
        </w:rPr>
        <w:t xml:space="preserve">of this review </w:t>
      </w:r>
      <w:r w:rsidR="00126E70" w:rsidRPr="00CD532F">
        <w:rPr>
          <w:rFonts w:asciiTheme="majorBidi" w:hAnsiTheme="majorBidi" w:cstheme="majorBidi"/>
          <w:sz w:val="24"/>
          <w:szCs w:val="24"/>
        </w:rPr>
        <w:t xml:space="preserve">is to broaden </w:t>
      </w:r>
      <w:r w:rsidR="009A73B8" w:rsidRPr="00CD532F">
        <w:rPr>
          <w:rFonts w:asciiTheme="majorBidi" w:hAnsiTheme="majorBidi" w:cstheme="majorBidi"/>
          <w:sz w:val="24"/>
          <w:szCs w:val="24"/>
        </w:rPr>
        <w:t>knowledge of CSR</w:t>
      </w:r>
      <w:r w:rsidR="00126E70" w:rsidRPr="00CD532F">
        <w:rPr>
          <w:rFonts w:asciiTheme="majorBidi" w:hAnsiTheme="majorBidi" w:cstheme="majorBidi"/>
          <w:sz w:val="24"/>
          <w:szCs w:val="24"/>
        </w:rPr>
        <w:t xml:space="preserve"> and acquire an exploratory sense of different areas within the same subject</w:t>
      </w:r>
      <w:sdt>
        <w:sdtPr>
          <w:rPr>
            <w:rFonts w:asciiTheme="majorBidi" w:hAnsiTheme="majorBidi" w:cstheme="majorBidi"/>
            <w:sz w:val="24"/>
            <w:szCs w:val="24"/>
          </w:rPr>
          <w:id w:val="1501778973"/>
          <w:citation/>
        </w:sdtPr>
        <w:sdtContent>
          <w:r w:rsidR="00633888" w:rsidRPr="00CD532F">
            <w:rPr>
              <w:rFonts w:asciiTheme="majorBidi" w:hAnsiTheme="majorBidi" w:cstheme="majorBidi"/>
              <w:sz w:val="24"/>
              <w:szCs w:val="24"/>
            </w:rPr>
            <w:fldChar w:fldCharType="begin"/>
          </w:r>
          <w:r w:rsidR="00633888" w:rsidRPr="00CD532F">
            <w:rPr>
              <w:rFonts w:asciiTheme="majorBidi" w:hAnsiTheme="majorBidi" w:cstheme="majorBidi"/>
              <w:sz w:val="24"/>
              <w:szCs w:val="24"/>
            </w:rPr>
            <w:instrText xml:space="preserve"> CITATION Fur21 \l 2057 </w:instrText>
          </w:r>
          <w:r w:rsidR="00633888" w:rsidRPr="00CD532F">
            <w:rPr>
              <w:rFonts w:asciiTheme="majorBidi" w:hAnsiTheme="majorBidi" w:cstheme="majorBidi"/>
              <w:sz w:val="24"/>
              <w:szCs w:val="24"/>
            </w:rPr>
            <w:fldChar w:fldCharType="separate"/>
          </w:r>
          <w:r w:rsidR="00633888" w:rsidRPr="00CD532F">
            <w:rPr>
              <w:rFonts w:asciiTheme="majorBidi" w:hAnsiTheme="majorBidi" w:cstheme="majorBidi"/>
              <w:noProof/>
              <w:sz w:val="24"/>
              <w:szCs w:val="24"/>
            </w:rPr>
            <w:t xml:space="preserve"> (Furley &amp; Goldschmied, 2021)</w:t>
          </w:r>
          <w:r w:rsidR="00633888" w:rsidRPr="00CD532F">
            <w:rPr>
              <w:rFonts w:asciiTheme="majorBidi" w:hAnsiTheme="majorBidi" w:cstheme="majorBidi"/>
              <w:sz w:val="24"/>
              <w:szCs w:val="24"/>
            </w:rPr>
            <w:fldChar w:fldCharType="end"/>
          </w:r>
        </w:sdtContent>
      </w:sdt>
      <w:r w:rsidR="00126E70" w:rsidRPr="00CD532F">
        <w:rPr>
          <w:rFonts w:asciiTheme="majorBidi" w:hAnsiTheme="majorBidi" w:cstheme="majorBidi"/>
          <w:sz w:val="24"/>
          <w:szCs w:val="24"/>
        </w:rPr>
        <w:t xml:space="preserve">. </w:t>
      </w:r>
      <w:r w:rsidR="00B429EF" w:rsidRPr="00CD532F">
        <w:rPr>
          <w:rFonts w:asciiTheme="majorBidi" w:hAnsiTheme="majorBidi" w:cstheme="majorBidi"/>
          <w:sz w:val="24"/>
          <w:szCs w:val="24"/>
        </w:rPr>
        <w:t>Some of the limitations of</w:t>
      </w:r>
      <w:r w:rsidR="00772158" w:rsidRPr="00CD532F">
        <w:rPr>
          <w:rFonts w:asciiTheme="majorBidi" w:hAnsiTheme="majorBidi" w:cstheme="majorBidi"/>
          <w:sz w:val="24"/>
          <w:szCs w:val="24"/>
        </w:rPr>
        <w:t xml:space="preserve"> narrative</w:t>
      </w:r>
      <w:r w:rsidR="00506543" w:rsidRPr="00CD532F">
        <w:rPr>
          <w:rFonts w:asciiTheme="majorBidi" w:hAnsiTheme="majorBidi" w:cstheme="majorBidi"/>
          <w:sz w:val="24"/>
          <w:szCs w:val="24"/>
        </w:rPr>
        <w:t xml:space="preserve"> literature review</w:t>
      </w:r>
      <w:r w:rsidR="00772158" w:rsidRPr="00CD532F">
        <w:rPr>
          <w:rFonts w:asciiTheme="majorBidi" w:hAnsiTheme="majorBidi" w:cstheme="majorBidi"/>
          <w:sz w:val="24"/>
          <w:szCs w:val="24"/>
        </w:rPr>
        <w:t>s</w:t>
      </w:r>
      <w:r w:rsidR="00B429EF" w:rsidRPr="00CD532F">
        <w:rPr>
          <w:rFonts w:asciiTheme="majorBidi" w:hAnsiTheme="majorBidi" w:cstheme="majorBidi"/>
          <w:sz w:val="24"/>
          <w:szCs w:val="24"/>
        </w:rPr>
        <w:t xml:space="preserve"> entail that</w:t>
      </w:r>
      <w:r w:rsidR="00506543" w:rsidRPr="00CD532F">
        <w:rPr>
          <w:rFonts w:asciiTheme="majorBidi" w:hAnsiTheme="majorBidi" w:cstheme="majorBidi"/>
          <w:sz w:val="24"/>
          <w:szCs w:val="24"/>
        </w:rPr>
        <w:t xml:space="preserve"> reported studies are selected based on the researcher’s </w:t>
      </w:r>
      <w:r w:rsidR="00506543" w:rsidRPr="008067DB">
        <w:rPr>
          <w:rFonts w:asciiTheme="majorBidi" w:hAnsiTheme="majorBidi" w:cstheme="majorBidi"/>
          <w:sz w:val="24"/>
          <w:szCs w:val="24"/>
        </w:rPr>
        <w:t>personal interpretation</w:t>
      </w:r>
      <w:r w:rsidR="00B429EF" w:rsidRPr="008067DB">
        <w:rPr>
          <w:rFonts w:asciiTheme="majorBidi" w:hAnsiTheme="majorBidi" w:cstheme="majorBidi"/>
          <w:sz w:val="24"/>
          <w:szCs w:val="24"/>
        </w:rPr>
        <w:t xml:space="preserve"> and the data extraction is informal</w:t>
      </w:r>
      <w:r w:rsidR="00506543" w:rsidRPr="008067DB">
        <w:rPr>
          <w:rFonts w:asciiTheme="majorBidi" w:hAnsiTheme="majorBidi" w:cstheme="majorBidi"/>
          <w:sz w:val="24"/>
          <w:szCs w:val="24"/>
        </w:rPr>
        <w:t xml:space="preserve"> </w:t>
      </w:r>
      <w:sdt>
        <w:sdtPr>
          <w:rPr>
            <w:rFonts w:asciiTheme="majorBidi" w:hAnsiTheme="majorBidi" w:cstheme="majorBidi"/>
            <w:sz w:val="24"/>
            <w:szCs w:val="24"/>
          </w:rPr>
          <w:id w:val="-548836917"/>
          <w:citation/>
        </w:sdtPr>
        <w:sdtContent>
          <w:r w:rsidR="00B429EF" w:rsidRPr="008067DB">
            <w:rPr>
              <w:rFonts w:asciiTheme="majorBidi" w:hAnsiTheme="majorBidi" w:cstheme="majorBidi"/>
              <w:sz w:val="24"/>
              <w:szCs w:val="24"/>
            </w:rPr>
            <w:fldChar w:fldCharType="begin"/>
          </w:r>
          <w:r w:rsidR="00B429EF" w:rsidRPr="008067DB">
            <w:rPr>
              <w:rFonts w:asciiTheme="majorBidi" w:hAnsiTheme="majorBidi" w:cstheme="majorBidi"/>
              <w:sz w:val="24"/>
              <w:szCs w:val="24"/>
            </w:rPr>
            <w:instrText xml:space="preserve"> CITATION Das20 \l 2057  \m Xia17</w:instrText>
          </w:r>
          <w:r w:rsidR="00B429EF" w:rsidRPr="008067DB">
            <w:rPr>
              <w:rFonts w:asciiTheme="majorBidi" w:hAnsiTheme="majorBidi" w:cstheme="majorBidi"/>
              <w:sz w:val="24"/>
              <w:szCs w:val="24"/>
            </w:rPr>
            <w:fldChar w:fldCharType="separate"/>
          </w:r>
          <w:r w:rsidR="00B429EF" w:rsidRPr="008067DB">
            <w:rPr>
              <w:rFonts w:asciiTheme="majorBidi" w:hAnsiTheme="majorBidi" w:cstheme="majorBidi"/>
              <w:sz w:val="24"/>
              <w:szCs w:val="24"/>
            </w:rPr>
            <w:t>(Dash, 2020; Xiao &amp; Watson, 2017)</w:t>
          </w:r>
          <w:r w:rsidR="00B429EF" w:rsidRPr="008067DB">
            <w:rPr>
              <w:rFonts w:asciiTheme="majorBidi" w:hAnsiTheme="majorBidi" w:cstheme="majorBidi"/>
              <w:sz w:val="24"/>
              <w:szCs w:val="24"/>
            </w:rPr>
            <w:fldChar w:fldCharType="end"/>
          </w:r>
        </w:sdtContent>
      </w:sdt>
      <w:r w:rsidR="00B429EF" w:rsidRPr="008067DB">
        <w:rPr>
          <w:rFonts w:asciiTheme="majorBidi" w:hAnsiTheme="majorBidi" w:cstheme="majorBidi"/>
          <w:sz w:val="24"/>
          <w:szCs w:val="24"/>
        </w:rPr>
        <w:t xml:space="preserve">. </w:t>
      </w:r>
      <w:r w:rsidR="00B429EF" w:rsidRPr="00CD532F">
        <w:rPr>
          <w:rFonts w:asciiTheme="majorBidi" w:hAnsiTheme="majorBidi" w:cstheme="majorBidi"/>
          <w:sz w:val="24"/>
          <w:szCs w:val="24"/>
        </w:rPr>
        <w:t xml:space="preserve">However, this approach of literature review was deemed most appropriate for the purpose of the chapter of this dissertation because </w:t>
      </w:r>
      <w:r w:rsidR="008312AB" w:rsidRPr="00CD532F">
        <w:rPr>
          <w:rFonts w:asciiTheme="majorBidi" w:hAnsiTheme="majorBidi" w:cstheme="majorBidi"/>
          <w:sz w:val="24"/>
          <w:szCs w:val="24"/>
        </w:rPr>
        <w:t xml:space="preserve">other types of literature reviews like systematic or scoping literature reviews require a narrow topic </w:t>
      </w:r>
      <w:sdt>
        <w:sdtPr>
          <w:rPr>
            <w:rFonts w:asciiTheme="majorBidi" w:hAnsiTheme="majorBidi" w:cstheme="majorBidi"/>
            <w:sz w:val="24"/>
            <w:szCs w:val="24"/>
          </w:rPr>
          <w:id w:val="605543462"/>
          <w:citation/>
        </w:sdtPr>
        <w:sdtContent>
          <w:r w:rsidR="008312AB" w:rsidRPr="00CD532F">
            <w:rPr>
              <w:rFonts w:asciiTheme="majorBidi" w:hAnsiTheme="majorBidi" w:cstheme="majorBidi"/>
              <w:sz w:val="24"/>
              <w:szCs w:val="24"/>
            </w:rPr>
            <w:fldChar w:fldCharType="begin"/>
          </w:r>
          <w:r w:rsidR="008312AB" w:rsidRPr="00CD532F">
            <w:rPr>
              <w:rFonts w:asciiTheme="majorBidi" w:hAnsiTheme="majorBidi" w:cstheme="majorBidi"/>
              <w:sz w:val="24"/>
              <w:szCs w:val="24"/>
            </w:rPr>
            <w:instrText xml:space="preserve"> CITATION Men201 \l 2057  \m Mun22</w:instrText>
          </w:r>
          <w:r w:rsidR="008312AB" w:rsidRPr="00CD532F">
            <w:rPr>
              <w:rFonts w:asciiTheme="majorBidi" w:hAnsiTheme="majorBidi" w:cstheme="majorBidi"/>
              <w:sz w:val="24"/>
              <w:szCs w:val="24"/>
            </w:rPr>
            <w:fldChar w:fldCharType="separate"/>
          </w:r>
          <w:r w:rsidR="008312AB" w:rsidRPr="00CD532F">
            <w:rPr>
              <w:rFonts w:asciiTheme="majorBidi" w:hAnsiTheme="majorBidi" w:cstheme="majorBidi"/>
              <w:noProof/>
              <w:sz w:val="24"/>
              <w:szCs w:val="24"/>
            </w:rPr>
            <w:t>(Mengist, Soromessa, &amp; Legese, 2020; Munn, et al., 2022)</w:t>
          </w:r>
          <w:r w:rsidR="008312AB" w:rsidRPr="00CD532F">
            <w:rPr>
              <w:rFonts w:asciiTheme="majorBidi" w:hAnsiTheme="majorBidi" w:cstheme="majorBidi"/>
              <w:sz w:val="24"/>
              <w:szCs w:val="24"/>
            </w:rPr>
            <w:fldChar w:fldCharType="end"/>
          </w:r>
        </w:sdtContent>
      </w:sdt>
      <w:r w:rsidR="008312AB" w:rsidRPr="00CD532F">
        <w:rPr>
          <w:rFonts w:asciiTheme="majorBidi" w:hAnsiTheme="majorBidi" w:cstheme="majorBidi"/>
          <w:sz w:val="24"/>
          <w:szCs w:val="24"/>
        </w:rPr>
        <w:t xml:space="preserve">. </w:t>
      </w:r>
      <w:r w:rsidR="00E75D8B" w:rsidRPr="00CD532F">
        <w:rPr>
          <w:rFonts w:asciiTheme="majorBidi" w:hAnsiTheme="majorBidi" w:cstheme="majorBidi"/>
          <w:sz w:val="24"/>
          <w:szCs w:val="24"/>
        </w:rPr>
        <w:t>Narrative</w:t>
      </w:r>
      <w:r w:rsidR="00A96566" w:rsidRPr="00CD532F">
        <w:rPr>
          <w:rFonts w:asciiTheme="majorBidi" w:hAnsiTheme="majorBidi" w:cstheme="majorBidi"/>
          <w:sz w:val="24"/>
          <w:szCs w:val="24"/>
        </w:rPr>
        <w:t xml:space="preserve"> review</w:t>
      </w:r>
      <w:r w:rsidR="00F43BB5" w:rsidRPr="00CD532F">
        <w:rPr>
          <w:rFonts w:asciiTheme="majorBidi" w:hAnsiTheme="majorBidi" w:cstheme="majorBidi"/>
          <w:sz w:val="24"/>
          <w:szCs w:val="24"/>
        </w:rPr>
        <w:t>s</w:t>
      </w:r>
      <w:r w:rsidR="00A96566" w:rsidRPr="00CD532F">
        <w:rPr>
          <w:rFonts w:asciiTheme="majorBidi" w:hAnsiTheme="majorBidi" w:cstheme="majorBidi"/>
          <w:sz w:val="24"/>
          <w:szCs w:val="24"/>
        </w:rPr>
        <w:t xml:space="preserve"> ha</w:t>
      </w:r>
      <w:r w:rsidR="00F43BB5" w:rsidRPr="00CD532F">
        <w:rPr>
          <w:rFonts w:asciiTheme="majorBidi" w:hAnsiTheme="majorBidi" w:cstheme="majorBidi"/>
          <w:sz w:val="24"/>
          <w:szCs w:val="24"/>
        </w:rPr>
        <w:t xml:space="preserve">ve </w:t>
      </w:r>
      <w:r w:rsidR="00A96566" w:rsidRPr="00CD532F">
        <w:rPr>
          <w:rFonts w:asciiTheme="majorBidi" w:hAnsiTheme="majorBidi" w:cstheme="majorBidi"/>
          <w:sz w:val="24"/>
          <w:szCs w:val="24"/>
        </w:rPr>
        <w:t>been widely applied in</w:t>
      </w:r>
      <w:r w:rsidR="00F43BB5" w:rsidRPr="00CD532F">
        <w:rPr>
          <w:rFonts w:asciiTheme="majorBidi" w:hAnsiTheme="majorBidi" w:cstheme="majorBidi"/>
          <w:sz w:val="24"/>
          <w:szCs w:val="24"/>
        </w:rPr>
        <w:t xml:space="preserve"> different fields</w:t>
      </w:r>
      <w:r w:rsidR="00B04611" w:rsidRPr="00CD532F">
        <w:rPr>
          <w:rFonts w:asciiTheme="majorBidi" w:hAnsiTheme="majorBidi" w:cstheme="majorBidi"/>
          <w:sz w:val="24"/>
          <w:szCs w:val="24"/>
        </w:rPr>
        <w:t xml:space="preserve"> </w:t>
      </w:r>
      <w:sdt>
        <w:sdtPr>
          <w:rPr>
            <w:rFonts w:asciiTheme="majorBidi" w:hAnsiTheme="majorBidi" w:cstheme="majorBidi"/>
            <w:sz w:val="24"/>
            <w:szCs w:val="24"/>
          </w:rPr>
          <w:id w:val="2042391783"/>
          <w:citation/>
        </w:sdtPr>
        <w:sdtContent>
          <w:r w:rsidR="00B00340" w:rsidRPr="00CD532F">
            <w:rPr>
              <w:rFonts w:asciiTheme="majorBidi" w:hAnsiTheme="majorBidi" w:cstheme="majorBidi"/>
              <w:sz w:val="24"/>
              <w:szCs w:val="24"/>
            </w:rPr>
            <w:fldChar w:fldCharType="begin"/>
          </w:r>
          <w:r w:rsidR="00B00340" w:rsidRPr="00CD532F">
            <w:rPr>
              <w:rFonts w:asciiTheme="majorBidi" w:hAnsiTheme="majorBidi" w:cstheme="majorBidi"/>
              <w:sz w:val="24"/>
              <w:szCs w:val="24"/>
            </w:rPr>
            <w:instrText xml:space="preserve"> CITATION Dzy22 \l 2057  \m Lop19 \m Pot20</w:instrText>
          </w:r>
          <w:r w:rsidR="00B00340" w:rsidRPr="00CD532F">
            <w:rPr>
              <w:rFonts w:asciiTheme="majorBidi" w:hAnsiTheme="majorBidi" w:cstheme="majorBidi"/>
              <w:sz w:val="24"/>
              <w:szCs w:val="24"/>
            </w:rPr>
            <w:fldChar w:fldCharType="separate"/>
          </w:r>
          <w:r w:rsidR="00B00340" w:rsidRPr="00CD532F">
            <w:rPr>
              <w:rFonts w:asciiTheme="majorBidi" w:hAnsiTheme="majorBidi" w:cstheme="majorBidi"/>
              <w:noProof/>
              <w:sz w:val="24"/>
              <w:szCs w:val="24"/>
            </w:rPr>
            <w:t>(Dzyuban, et al., 2022; Lopez-Fernandez, Williams, Griffiths, &amp; Kuss, 2019; Rismanbaf, 2020)</w:t>
          </w:r>
          <w:r w:rsidR="00B00340" w:rsidRPr="00CD532F">
            <w:rPr>
              <w:rFonts w:asciiTheme="majorBidi" w:hAnsiTheme="majorBidi" w:cstheme="majorBidi"/>
              <w:sz w:val="24"/>
              <w:szCs w:val="24"/>
            </w:rPr>
            <w:fldChar w:fldCharType="end"/>
          </w:r>
        </w:sdtContent>
      </w:sdt>
      <w:r w:rsidR="00B00340" w:rsidRPr="00CD532F">
        <w:rPr>
          <w:rFonts w:asciiTheme="majorBidi" w:hAnsiTheme="majorBidi" w:cstheme="majorBidi"/>
          <w:sz w:val="24"/>
          <w:szCs w:val="24"/>
        </w:rPr>
        <w:t xml:space="preserve"> </w:t>
      </w:r>
      <w:r w:rsidR="00D82746" w:rsidRPr="00CD532F">
        <w:rPr>
          <w:rFonts w:asciiTheme="majorBidi" w:hAnsiTheme="majorBidi" w:cstheme="majorBidi"/>
          <w:sz w:val="24"/>
          <w:szCs w:val="24"/>
        </w:rPr>
        <w:t xml:space="preserve">and in branding and </w:t>
      </w:r>
      <w:r w:rsidR="00A96566" w:rsidRPr="00CD532F">
        <w:rPr>
          <w:rFonts w:asciiTheme="majorBidi" w:hAnsiTheme="majorBidi" w:cstheme="majorBidi"/>
          <w:sz w:val="24"/>
          <w:szCs w:val="24"/>
        </w:rPr>
        <w:t>marketing literature</w:t>
      </w:r>
      <w:r w:rsidR="00CD532F" w:rsidRPr="00CD532F">
        <w:rPr>
          <w:rFonts w:asciiTheme="majorBidi" w:hAnsiTheme="majorBidi" w:cstheme="majorBidi"/>
          <w:sz w:val="24"/>
          <w:szCs w:val="24"/>
        </w:rPr>
        <w:t xml:space="preserve"> </w:t>
      </w:r>
      <w:sdt>
        <w:sdtPr>
          <w:rPr>
            <w:rFonts w:asciiTheme="majorBidi" w:hAnsiTheme="majorBidi" w:cstheme="majorBidi"/>
            <w:sz w:val="24"/>
            <w:szCs w:val="24"/>
          </w:rPr>
          <w:id w:val="561368982"/>
          <w:citation/>
        </w:sdtPr>
        <w:sdtContent>
          <w:r w:rsidR="00CD532F" w:rsidRPr="00CD532F">
            <w:rPr>
              <w:rFonts w:asciiTheme="majorBidi" w:hAnsiTheme="majorBidi" w:cstheme="majorBidi"/>
              <w:sz w:val="24"/>
              <w:szCs w:val="24"/>
            </w:rPr>
            <w:fldChar w:fldCharType="begin"/>
          </w:r>
          <w:r w:rsidR="00CD532F" w:rsidRPr="00CD532F">
            <w:rPr>
              <w:rFonts w:asciiTheme="majorBidi" w:hAnsiTheme="majorBidi" w:cstheme="majorBidi"/>
              <w:sz w:val="24"/>
              <w:szCs w:val="24"/>
            </w:rPr>
            <w:instrText xml:space="preserve"> CITATION ElH20 \l 2057  \m Ham22 \m Lub21 \m Per20</w:instrText>
          </w:r>
          <w:r w:rsidR="00CD532F" w:rsidRPr="00CD532F">
            <w:rPr>
              <w:rFonts w:asciiTheme="majorBidi" w:hAnsiTheme="majorBidi" w:cstheme="majorBidi"/>
              <w:sz w:val="24"/>
              <w:szCs w:val="24"/>
            </w:rPr>
            <w:fldChar w:fldCharType="separate"/>
          </w:r>
          <w:r w:rsidR="00CD532F" w:rsidRPr="00CD532F">
            <w:rPr>
              <w:rFonts w:asciiTheme="majorBidi" w:hAnsiTheme="majorBidi" w:cstheme="majorBidi"/>
              <w:noProof/>
              <w:sz w:val="24"/>
              <w:szCs w:val="24"/>
            </w:rPr>
            <w:t>(ElHaffar, Durif, &amp; Dubé , 2020; Hamzawi, 2022; Lubowiecki-Vikuk, Dąbrowska, &amp; Machnik, 2021; Perkins, Khoo-Lattimore, &amp; Arcodia, 2020)</w:t>
          </w:r>
          <w:r w:rsidR="00CD532F" w:rsidRPr="00CD532F">
            <w:rPr>
              <w:rFonts w:asciiTheme="majorBidi" w:hAnsiTheme="majorBidi" w:cstheme="majorBidi"/>
              <w:sz w:val="24"/>
              <w:szCs w:val="24"/>
            </w:rPr>
            <w:fldChar w:fldCharType="end"/>
          </w:r>
        </w:sdtContent>
      </w:sdt>
      <w:r w:rsidR="00A96566" w:rsidRPr="00CD532F">
        <w:rPr>
          <w:rFonts w:asciiTheme="majorBidi" w:hAnsiTheme="majorBidi" w:cstheme="majorBidi"/>
          <w:sz w:val="24"/>
          <w:szCs w:val="24"/>
        </w:rPr>
        <w:t>. Hence, this chapter provides a</w:t>
      </w:r>
      <w:r w:rsidR="00E03154" w:rsidRPr="00CD532F">
        <w:rPr>
          <w:rFonts w:asciiTheme="majorBidi" w:hAnsiTheme="majorBidi" w:cstheme="majorBidi"/>
          <w:sz w:val="24"/>
          <w:szCs w:val="24"/>
        </w:rPr>
        <w:t xml:space="preserve"> semi-systematic</w:t>
      </w:r>
      <w:r w:rsidR="00A96566" w:rsidRPr="00CD532F">
        <w:rPr>
          <w:rFonts w:asciiTheme="majorBidi" w:hAnsiTheme="majorBidi" w:cstheme="majorBidi"/>
          <w:sz w:val="24"/>
          <w:szCs w:val="24"/>
        </w:rPr>
        <w:t xml:space="preserve"> </w:t>
      </w:r>
      <w:r w:rsidR="00772158" w:rsidRPr="00CD532F">
        <w:rPr>
          <w:rFonts w:asciiTheme="majorBidi" w:hAnsiTheme="majorBidi" w:cstheme="majorBidi"/>
          <w:sz w:val="24"/>
          <w:szCs w:val="24"/>
        </w:rPr>
        <w:t>narrative</w:t>
      </w:r>
      <w:r w:rsidR="00A96566" w:rsidRPr="00CD532F">
        <w:rPr>
          <w:rFonts w:asciiTheme="majorBidi" w:hAnsiTheme="majorBidi" w:cstheme="majorBidi"/>
          <w:sz w:val="24"/>
          <w:szCs w:val="24"/>
        </w:rPr>
        <w:t xml:space="preserve"> literature review on some of the main topics related to CSR communication which support</w:t>
      </w:r>
      <w:r w:rsidR="00594265" w:rsidRPr="00CD532F">
        <w:rPr>
          <w:rFonts w:asciiTheme="majorBidi" w:hAnsiTheme="majorBidi" w:cstheme="majorBidi"/>
          <w:sz w:val="24"/>
          <w:szCs w:val="24"/>
        </w:rPr>
        <w:t>s</w:t>
      </w:r>
      <w:r w:rsidR="00A96566" w:rsidRPr="00CD532F">
        <w:rPr>
          <w:rFonts w:asciiTheme="majorBidi" w:hAnsiTheme="majorBidi" w:cstheme="majorBidi"/>
          <w:sz w:val="24"/>
          <w:szCs w:val="24"/>
        </w:rPr>
        <w:t xml:space="preserve"> hypotheses development for this study.</w:t>
      </w:r>
      <w:r w:rsidR="00A96566">
        <w:rPr>
          <w:rFonts w:asciiTheme="majorBidi" w:hAnsiTheme="majorBidi" w:cstheme="majorBidi"/>
          <w:sz w:val="24"/>
          <w:szCs w:val="24"/>
        </w:rPr>
        <w:t xml:space="preserve"> </w:t>
      </w:r>
    </w:p>
    <w:p w14:paraId="2CFBD7F2" w14:textId="0FCBA033" w:rsidR="00D82746" w:rsidRDefault="00A96566" w:rsidP="001A6A8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search for this review began in 2020, with broad reading on CSR terms and definitions, applications, and </w:t>
      </w:r>
      <w:r w:rsidR="001D7149">
        <w:rPr>
          <w:rFonts w:asciiTheme="majorBidi" w:hAnsiTheme="majorBidi" w:cstheme="majorBidi"/>
          <w:sz w:val="24"/>
          <w:szCs w:val="24"/>
        </w:rPr>
        <w:t>strategies</w:t>
      </w:r>
      <w:r>
        <w:rPr>
          <w:rFonts w:asciiTheme="majorBidi" w:hAnsiTheme="majorBidi" w:cstheme="majorBidi"/>
          <w:sz w:val="24"/>
          <w:szCs w:val="24"/>
        </w:rPr>
        <w:t>.</w:t>
      </w:r>
      <w:r w:rsidR="00594265">
        <w:rPr>
          <w:rFonts w:asciiTheme="majorBidi" w:hAnsiTheme="majorBidi" w:cstheme="majorBidi"/>
          <w:sz w:val="24"/>
          <w:szCs w:val="24"/>
        </w:rPr>
        <w:t xml:space="preserve"> Table </w:t>
      </w:r>
      <w:r w:rsidR="008939E2">
        <w:rPr>
          <w:rFonts w:asciiTheme="majorBidi" w:hAnsiTheme="majorBidi" w:cstheme="majorBidi"/>
          <w:sz w:val="24"/>
          <w:szCs w:val="24"/>
        </w:rPr>
        <w:t>two</w:t>
      </w:r>
      <w:r w:rsidR="00594265">
        <w:rPr>
          <w:rFonts w:asciiTheme="majorBidi" w:hAnsiTheme="majorBidi" w:cstheme="majorBidi"/>
          <w:sz w:val="24"/>
          <w:szCs w:val="24"/>
        </w:rPr>
        <w:t xml:space="preserve"> provides a summary of all the key terms used in the online searching process. </w:t>
      </w:r>
      <w:r w:rsidR="00725166">
        <w:rPr>
          <w:rFonts w:asciiTheme="majorBidi" w:hAnsiTheme="majorBidi" w:cstheme="majorBidi"/>
          <w:sz w:val="24"/>
          <w:szCs w:val="24"/>
        </w:rPr>
        <w:t>Unlike the systematic literature review presented in the previous chapter, t</w:t>
      </w:r>
      <w:r w:rsidR="00594265">
        <w:rPr>
          <w:rFonts w:asciiTheme="majorBidi" w:hAnsiTheme="majorBidi" w:cstheme="majorBidi"/>
          <w:sz w:val="24"/>
          <w:szCs w:val="24"/>
        </w:rPr>
        <w:t xml:space="preserve">he </w:t>
      </w:r>
      <w:r w:rsidR="00725166">
        <w:rPr>
          <w:rFonts w:asciiTheme="majorBidi" w:hAnsiTheme="majorBidi" w:cstheme="majorBidi"/>
          <w:sz w:val="24"/>
          <w:szCs w:val="24"/>
        </w:rPr>
        <w:t>criteria did not include a limit for the</w:t>
      </w:r>
      <w:r w:rsidR="00594265">
        <w:rPr>
          <w:rFonts w:asciiTheme="majorBidi" w:hAnsiTheme="majorBidi" w:cstheme="majorBidi"/>
          <w:sz w:val="24"/>
          <w:szCs w:val="24"/>
        </w:rPr>
        <w:t xml:space="preserve"> date of publication. This is because some section</w:t>
      </w:r>
      <w:r w:rsidR="00E12E97">
        <w:rPr>
          <w:rFonts w:asciiTheme="majorBidi" w:hAnsiTheme="majorBidi" w:cstheme="majorBidi"/>
          <w:sz w:val="24"/>
          <w:szCs w:val="24"/>
        </w:rPr>
        <w:t>s</w:t>
      </w:r>
      <w:r w:rsidR="00594265">
        <w:rPr>
          <w:rFonts w:asciiTheme="majorBidi" w:hAnsiTheme="majorBidi" w:cstheme="majorBidi"/>
          <w:sz w:val="24"/>
          <w:szCs w:val="24"/>
        </w:rPr>
        <w:t xml:space="preserve"> of this chapter refer to the origin of some concepts which le</w:t>
      </w:r>
      <w:r w:rsidR="00E12E97">
        <w:rPr>
          <w:rFonts w:asciiTheme="majorBidi" w:hAnsiTheme="majorBidi" w:cstheme="majorBidi"/>
          <w:sz w:val="24"/>
          <w:szCs w:val="24"/>
        </w:rPr>
        <w:t>a</w:t>
      </w:r>
      <w:r w:rsidR="00594265">
        <w:rPr>
          <w:rFonts w:asciiTheme="majorBidi" w:hAnsiTheme="majorBidi" w:cstheme="majorBidi"/>
          <w:sz w:val="24"/>
          <w:szCs w:val="24"/>
        </w:rPr>
        <w:t>d</w:t>
      </w:r>
      <w:r w:rsidR="00E12E97">
        <w:rPr>
          <w:rFonts w:asciiTheme="majorBidi" w:hAnsiTheme="majorBidi" w:cstheme="majorBidi"/>
          <w:sz w:val="24"/>
          <w:szCs w:val="24"/>
        </w:rPr>
        <w:t xml:space="preserve">s </w:t>
      </w:r>
      <w:r w:rsidR="00594265">
        <w:rPr>
          <w:rFonts w:asciiTheme="majorBidi" w:hAnsiTheme="majorBidi" w:cstheme="majorBidi"/>
          <w:sz w:val="24"/>
          <w:szCs w:val="24"/>
        </w:rPr>
        <w:t xml:space="preserve">to the importance of </w:t>
      </w:r>
      <w:r w:rsidR="00126E70">
        <w:rPr>
          <w:rFonts w:asciiTheme="majorBidi" w:hAnsiTheme="majorBidi" w:cstheme="majorBidi"/>
          <w:sz w:val="24"/>
          <w:szCs w:val="24"/>
        </w:rPr>
        <w:t>reviewing and referencing</w:t>
      </w:r>
      <w:r w:rsidR="00594265">
        <w:rPr>
          <w:rFonts w:asciiTheme="majorBidi" w:hAnsiTheme="majorBidi" w:cstheme="majorBidi"/>
          <w:sz w:val="24"/>
          <w:szCs w:val="24"/>
        </w:rPr>
        <w:t xml:space="preserve"> some old studies. Yet, the inclusion </w:t>
      </w:r>
      <w:r w:rsidR="00725166">
        <w:rPr>
          <w:rFonts w:asciiTheme="majorBidi" w:hAnsiTheme="majorBidi" w:cstheme="majorBidi"/>
          <w:sz w:val="24"/>
          <w:szCs w:val="24"/>
        </w:rPr>
        <w:t>focused</w:t>
      </w:r>
      <w:r w:rsidR="00594265">
        <w:rPr>
          <w:rFonts w:asciiTheme="majorBidi" w:hAnsiTheme="majorBidi" w:cstheme="majorBidi"/>
          <w:sz w:val="24"/>
          <w:szCs w:val="24"/>
        </w:rPr>
        <w:t xml:space="preserve"> on </w:t>
      </w:r>
      <w:r w:rsidR="00725166">
        <w:rPr>
          <w:rFonts w:asciiTheme="majorBidi" w:hAnsiTheme="majorBidi" w:cstheme="majorBidi"/>
          <w:sz w:val="24"/>
          <w:szCs w:val="24"/>
        </w:rPr>
        <w:t xml:space="preserve">credible </w:t>
      </w:r>
      <w:r w:rsidR="00594265">
        <w:rPr>
          <w:rFonts w:asciiTheme="majorBidi" w:hAnsiTheme="majorBidi" w:cstheme="majorBidi"/>
          <w:sz w:val="24"/>
          <w:szCs w:val="24"/>
        </w:rPr>
        <w:t xml:space="preserve">studies </w:t>
      </w:r>
      <w:r w:rsidR="00725166">
        <w:rPr>
          <w:rFonts w:asciiTheme="majorBidi" w:hAnsiTheme="majorBidi" w:cstheme="majorBidi"/>
          <w:sz w:val="24"/>
          <w:szCs w:val="24"/>
        </w:rPr>
        <w:t xml:space="preserve">or material </w:t>
      </w:r>
      <w:r w:rsidR="00594265">
        <w:rPr>
          <w:rFonts w:asciiTheme="majorBidi" w:hAnsiTheme="majorBidi" w:cstheme="majorBidi"/>
          <w:sz w:val="24"/>
          <w:szCs w:val="24"/>
        </w:rPr>
        <w:t xml:space="preserve">that provided compelling findings that were related to this thesis’s main topic. </w:t>
      </w:r>
      <w:r w:rsidR="00F43BB5" w:rsidRPr="008067DB">
        <w:rPr>
          <w:rFonts w:asciiTheme="majorBidi" w:hAnsiTheme="majorBidi" w:cstheme="majorBidi"/>
          <w:sz w:val="24"/>
          <w:szCs w:val="24"/>
        </w:rPr>
        <w:t>Information was obtained from peer-reviewed journals, books, and statistical reports.</w:t>
      </w:r>
      <w:r w:rsidR="00F43BB5">
        <w:rPr>
          <w:rFonts w:asciiTheme="majorBidi" w:hAnsiTheme="majorBidi" w:cstheme="majorBidi"/>
          <w:sz w:val="24"/>
          <w:szCs w:val="24"/>
        </w:rPr>
        <w:t xml:space="preserve"> The main search engines used were Google Scholar and </w:t>
      </w:r>
      <w:r w:rsidR="00497D7F">
        <w:rPr>
          <w:rFonts w:asciiTheme="majorBidi" w:hAnsiTheme="majorBidi" w:cstheme="majorBidi"/>
          <w:sz w:val="24"/>
          <w:szCs w:val="24"/>
        </w:rPr>
        <w:t xml:space="preserve">LSBU’s </w:t>
      </w:r>
      <w:r w:rsidR="00F43BB5">
        <w:rPr>
          <w:rFonts w:asciiTheme="majorBidi" w:hAnsiTheme="majorBidi" w:cstheme="majorBidi"/>
          <w:sz w:val="24"/>
          <w:szCs w:val="24"/>
        </w:rPr>
        <w:t xml:space="preserve">online library. </w:t>
      </w:r>
    </w:p>
    <w:tbl>
      <w:tblPr>
        <w:tblStyle w:val="TableGrid"/>
        <w:tblW w:w="0" w:type="auto"/>
        <w:tblInd w:w="540" w:type="dxa"/>
        <w:tblLook w:val="04A0" w:firstRow="1" w:lastRow="0" w:firstColumn="1" w:lastColumn="0" w:noHBand="0" w:noVBand="1"/>
      </w:tblPr>
      <w:tblGrid>
        <w:gridCol w:w="3402"/>
        <w:gridCol w:w="4536"/>
      </w:tblGrid>
      <w:tr w:rsidR="00F43BB5" w:rsidRPr="00151ABA" w14:paraId="1456AF5B" w14:textId="77777777" w:rsidTr="00044DE9">
        <w:tc>
          <w:tcPr>
            <w:tcW w:w="3402" w:type="dxa"/>
          </w:tcPr>
          <w:p w14:paraId="1991388E" w14:textId="6B865574" w:rsidR="00F43BB5" w:rsidRPr="00151ABA" w:rsidRDefault="00725166" w:rsidP="00E12E97">
            <w:pPr>
              <w:rPr>
                <w:rFonts w:asciiTheme="majorBidi" w:hAnsiTheme="majorBidi" w:cstheme="majorBidi"/>
                <w:sz w:val="20"/>
                <w:szCs w:val="20"/>
              </w:rPr>
            </w:pPr>
            <w:r w:rsidRPr="00151ABA">
              <w:rPr>
                <w:rFonts w:asciiTheme="majorBidi" w:hAnsiTheme="majorBidi" w:cstheme="majorBidi"/>
                <w:sz w:val="20"/>
                <w:szCs w:val="20"/>
              </w:rPr>
              <w:t>Search Term</w:t>
            </w:r>
          </w:p>
        </w:tc>
        <w:tc>
          <w:tcPr>
            <w:tcW w:w="4536" w:type="dxa"/>
          </w:tcPr>
          <w:p w14:paraId="73335BD3" w14:textId="650CC996" w:rsidR="00F43BB5" w:rsidRPr="00151ABA" w:rsidRDefault="00B66578" w:rsidP="00E12E97">
            <w:pPr>
              <w:rPr>
                <w:rFonts w:asciiTheme="majorBidi" w:hAnsiTheme="majorBidi" w:cstheme="majorBidi"/>
                <w:sz w:val="20"/>
                <w:szCs w:val="20"/>
              </w:rPr>
            </w:pPr>
            <w:r w:rsidRPr="00151ABA">
              <w:rPr>
                <w:rFonts w:asciiTheme="majorBidi" w:hAnsiTheme="majorBidi" w:cstheme="majorBidi"/>
                <w:sz w:val="20"/>
                <w:szCs w:val="20"/>
              </w:rPr>
              <w:t>And/or</w:t>
            </w:r>
            <w:r w:rsidR="00B746F9" w:rsidRPr="00151ABA">
              <w:rPr>
                <w:rFonts w:asciiTheme="majorBidi" w:hAnsiTheme="majorBidi" w:cstheme="majorBidi"/>
                <w:sz w:val="20"/>
                <w:szCs w:val="20"/>
              </w:rPr>
              <w:t xml:space="preserve"> </w:t>
            </w:r>
            <w:r w:rsidR="00725166" w:rsidRPr="00151ABA">
              <w:rPr>
                <w:rFonts w:asciiTheme="majorBidi" w:hAnsiTheme="majorBidi" w:cstheme="majorBidi"/>
                <w:sz w:val="20"/>
                <w:szCs w:val="20"/>
              </w:rPr>
              <w:t xml:space="preserve"> </w:t>
            </w:r>
          </w:p>
        </w:tc>
      </w:tr>
      <w:tr w:rsidR="00F43BB5" w:rsidRPr="00151ABA" w14:paraId="336F66D3" w14:textId="77777777" w:rsidTr="00044DE9">
        <w:tc>
          <w:tcPr>
            <w:tcW w:w="3402" w:type="dxa"/>
          </w:tcPr>
          <w:p w14:paraId="5C91F9B8" w14:textId="4F062DE3" w:rsidR="00F43BB5" w:rsidRPr="00151ABA" w:rsidRDefault="00B746F9" w:rsidP="00B66578">
            <w:pPr>
              <w:rPr>
                <w:rFonts w:asciiTheme="majorBidi" w:hAnsiTheme="majorBidi" w:cstheme="majorBidi"/>
                <w:sz w:val="20"/>
                <w:szCs w:val="20"/>
              </w:rPr>
            </w:pPr>
            <w:r w:rsidRPr="00151ABA">
              <w:rPr>
                <w:rFonts w:asciiTheme="majorBidi" w:hAnsiTheme="majorBidi" w:cstheme="majorBidi"/>
                <w:sz w:val="20"/>
                <w:szCs w:val="20"/>
              </w:rPr>
              <w:t>“</w:t>
            </w:r>
            <w:r w:rsidR="006A2843" w:rsidRPr="00151ABA">
              <w:rPr>
                <w:rFonts w:asciiTheme="majorBidi" w:hAnsiTheme="majorBidi" w:cstheme="majorBidi"/>
                <w:sz w:val="20"/>
                <w:szCs w:val="20"/>
              </w:rPr>
              <w:t>CSR Definitions</w:t>
            </w:r>
            <w:r w:rsidRPr="00151ABA">
              <w:rPr>
                <w:rFonts w:asciiTheme="majorBidi" w:hAnsiTheme="majorBidi" w:cstheme="majorBidi"/>
                <w:sz w:val="20"/>
                <w:szCs w:val="20"/>
              </w:rPr>
              <w:t>”</w:t>
            </w:r>
            <w:r w:rsidR="006A2843" w:rsidRPr="00151ABA">
              <w:rPr>
                <w:rFonts w:asciiTheme="majorBidi" w:hAnsiTheme="majorBidi" w:cstheme="majorBidi"/>
                <w:sz w:val="20"/>
                <w:szCs w:val="20"/>
              </w:rPr>
              <w:t xml:space="preserve"> </w:t>
            </w:r>
          </w:p>
        </w:tc>
        <w:tc>
          <w:tcPr>
            <w:tcW w:w="4536" w:type="dxa"/>
          </w:tcPr>
          <w:p w14:paraId="6725E281" w14:textId="6D30A6E3" w:rsidR="00F43BB5" w:rsidRPr="00151ABA" w:rsidRDefault="00B746F9" w:rsidP="00B66578">
            <w:pPr>
              <w:rPr>
                <w:rFonts w:asciiTheme="majorBidi" w:hAnsiTheme="majorBidi" w:cstheme="majorBidi"/>
                <w:sz w:val="20"/>
                <w:szCs w:val="20"/>
              </w:rPr>
            </w:pPr>
            <w:r w:rsidRPr="00151ABA">
              <w:rPr>
                <w:rFonts w:asciiTheme="majorBidi" w:hAnsiTheme="majorBidi" w:cstheme="majorBidi"/>
                <w:sz w:val="20"/>
                <w:szCs w:val="20"/>
              </w:rPr>
              <w:t>“</w:t>
            </w:r>
            <w:r w:rsidR="006A2843" w:rsidRPr="00151ABA">
              <w:rPr>
                <w:rFonts w:asciiTheme="majorBidi" w:hAnsiTheme="majorBidi" w:cstheme="majorBidi"/>
                <w:sz w:val="20"/>
                <w:szCs w:val="20"/>
              </w:rPr>
              <w:t>Non-CSR definition</w:t>
            </w:r>
            <w:r w:rsidR="00B66578" w:rsidRPr="00151ABA">
              <w:rPr>
                <w:rFonts w:asciiTheme="majorBidi" w:hAnsiTheme="majorBidi" w:cstheme="majorBidi"/>
                <w:sz w:val="20"/>
                <w:szCs w:val="20"/>
              </w:rPr>
              <w:t>,</w:t>
            </w:r>
            <w:r w:rsidRPr="00151ABA">
              <w:rPr>
                <w:rFonts w:asciiTheme="majorBidi" w:hAnsiTheme="majorBidi" w:cstheme="majorBidi"/>
                <w:sz w:val="20"/>
                <w:szCs w:val="20"/>
              </w:rPr>
              <w:t>”</w:t>
            </w:r>
            <w:r w:rsidR="006A2843" w:rsidRPr="00151ABA">
              <w:rPr>
                <w:rFonts w:asciiTheme="majorBidi" w:hAnsiTheme="majorBidi" w:cstheme="majorBidi"/>
                <w:sz w:val="20"/>
                <w:szCs w:val="20"/>
              </w:rPr>
              <w:t xml:space="preserve"> </w:t>
            </w:r>
            <w:r w:rsidRPr="00151ABA">
              <w:rPr>
                <w:rFonts w:asciiTheme="majorBidi" w:hAnsiTheme="majorBidi" w:cstheme="majorBidi"/>
                <w:sz w:val="20"/>
                <w:szCs w:val="20"/>
              </w:rPr>
              <w:t>“</w:t>
            </w:r>
            <w:r w:rsidR="006A2843" w:rsidRPr="00151ABA">
              <w:rPr>
                <w:rFonts w:asciiTheme="majorBidi" w:hAnsiTheme="majorBidi" w:cstheme="majorBidi"/>
                <w:sz w:val="20"/>
                <w:szCs w:val="20"/>
              </w:rPr>
              <w:t>cause-related marketing</w:t>
            </w:r>
            <w:r w:rsidR="00B66578" w:rsidRPr="00151ABA">
              <w:rPr>
                <w:rFonts w:asciiTheme="majorBidi" w:hAnsiTheme="majorBidi" w:cstheme="majorBidi"/>
                <w:sz w:val="20"/>
                <w:szCs w:val="20"/>
              </w:rPr>
              <w:t>,</w:t>
            </w:r>
            <w:r w:rsidRPr="00151ABA">
              <w:rPr>
                <w:rFonts w:asciiTheme="majorBidi" w:hAnsiTheme="majorBidi" w:cstheme="majorBidi"/>
                <w:sz w:val="20"/>
                <w:szCs w:val="20"/>
              </w:rPr>
              <w:t>”</w:t>
            </w:r>
            <w:r w:rsidR="006A2843" w:rsidRPr="00151ABA">
              <w:rPr>
                <w:rFonts w:asciiTheme="majorBidi" w:hAnsiTheme="majorBidi" w:cstheme="majorBidi"/>
                <w:sz w:val="20"/>
                <w:szCs w:val="20"/>
              </w:rPr>
              <w:t xml:space="preserve"> </w:t>
            </w:r>
            <w:r w:rsidRPr="00151ABA">
              <w:rPr>
                <w:rFonts w:asciiTheme="majorBidi" w:hAnsiTheme="majorBidi" w:cstheme="majorBidi"/>
                <w:sz w:val="20"/>
                <w:szCs w:val="20"/>
              </w:rPr>
              <w:t>“</w:t>
            </w:r>
            <w:r w:rsidR="006A2843" w:rsidRPr="00151ABA">
              <w:rPr>
                <w:rFonts w:asciiTheme="majorBidi" w:hAnsiTheme="majorBidi" w:cstheme="majorBidi"/>
                <w:sz w:val="20"/>
                <w:szCs w:val="20"/>
              </w:rPr>
              <w:t>social marketing</w:t>
            </w:r>
            <w:r w:rsidRPr="00151ABA">
              <w:rPr>
                <w:rFonts w:asciiTheme="majorBidi" w:hAnsiTheme="majorBidi" w:cstheme="majorBidi"/>
                <w:sz w:val="20"/>
                <w:szCs w:val="20"/>
              </w:rPr>
              <w:t>”</w:t>
            </w:r>
            <w:r w:rsidR="006A2843" w:rsidRPr="00151ABA">
              <w:rPr>
                <w:rFonts w:asciiTheme="majorBidi" w:hAnsiTheme="majorBidi" w:cstheme="majorBidi"/>
                <w:sz w:val="20"/>
                <w:szCs w:val="20"/>
              </w:rPr>
              <w:t xml:space="preserve"> </w:t>
            </w:r>
          </w:p>
        </w:tc>
      </w:tr>
      <w:tr w:rsidR="00F43BB5" w:rsidRPr="00151ABA" w14:paraId="525838A1" w14:textId="77777777" w:rsidTr="00044DE9">
        <w:tc>
          <w:tcPr>
            <w:tcW w:w="3402" w:type="dxa"/>
          </w:tcPr>
          <w:p w14:paraId="53C87F13" w14:textId="62030A30" w:rsidR="00F43BB5" w:rsidRPr="00151ABA" w:rsidRDefault="00B746F9" w:rsidP="00B66578">
            <w:pPr>
              <w:rPr>
                <w:rFonts w:asciiTheme="majorBidi" w:hAnsiTheme="majorBidi" w:cstheme="majorBidi"/>
                <w:sz w:val="20"/>
                <w:szCs w:val="20"/>
              </w:rPr>
            </w:pPr>
            <w:r w:rsidRPr="00151ABA">
              <w:rPr>
                <w:rFonts w:asciiTheme="majorBidi" w:hAnsiTheme="majorBidi" w:cstheme="majorBidi"/>
                <w:sz w:val="20"/>
                <w:szCs w:val="20"/>
              </w:rPr>
              <w:t xml:space="preserve">“Types of CSR” </w:t>
            </w:r>
          </w:p>
        </w:tc>
        <w:tc>
          <w:tcPr>
            <w:tcW w:w="4536" w:type="dxa"/>
          </w:tcPr>
          <w:p w14:paraId="4DBFCE3F" w14:textId="1CA228C4" w:rsidR="00F43BB5" w:rsidRPr="00151ABA" w:rsidRDefault="00B746F9" w:rsidP="00B66578">
            <w:pPr>
              <w:rPr>
                <w:rFonts w:asciiTheme="majorBidi" w:hAnsiTheme="majorBidi" w:cstheme="majorBidi"/>
                <w:sz w:val="20"/>
                <w:szCs w:val="20"/>
              </w:rPr>
            </w:pPr>
            <w:r w:rsidRPr="00151ABA">
              <w:rPr>
                <w:rFonts w:asciiTheme="majorBidi" w:hAnsiTheme="majorBidi" w:cstheme="majorBidi"/>
                <w:sz w:val="20"/>
                <w:szCs w:val="20"/>
              </w:rPr>
              <w:t xml:space="preserve">“Types of CSR communication” </w:t>
            </w:r>
          </w:p>
        </w:tc>
      </w:tr>
      <w:tr w:rsidR="00F43BB5" w:rsidRPr="00151ABA" w14:paraId="18DD1FEB" w14:textId="77777777" w:rsidTr="00044DE9">
        <w:tc>
          <w:tcPr>
            <w:tcW w:w="3402" w:type="dxa"/>
          </w:tcPr>
          <w:p w14:paraId="1D8147FD" w14:textId="1719C458" w:rsidR="00F43BB5" w:rsidRPr="00151ABA" w:rsidRDefault="00B746F9" w:rsidP="00B66578">
            <w:pPr>
              <w:rPr>
                <w:rFonts w:asciiTheme="majorBidi" w:hAnsiTheme="majorBidi" w:cstheme="majorBidi"/>
                <w:sz w:val="20"/>
                <w:szCs w:val="20"/>
              </w:rPr>
            </w:pPr>
            <w:r w:rsidRPr="00151ABA">
              <w:rPr>
                <w:rFonts w:asciiTheme="majorBidi" w:hAnsiTheme="majorBidi" w:cstheme="majorBidi"/>
                <w:sz w:val="20"/>
                <w:szCs w:val="20"/>
              </w:rPr>
              <w:t>“Benefits of CSR”</w:t>
            </w:r>
          </w:p>
        </w:tc>
        <w:tc>
          <w:tcPr>
            <w:tcW w:w="4536" w:type="dxa"/>
          </w:tcPr>
          <w:p w14:paraId="03B3840A" w14:textId="07F16E97" w:rsidR="00F43BB5" w:rsidRPr="00151ABA" w:rsidRDefault="00B746F9" w:rsidP="00B66578">
            <w:pPr>
              <w:rPr>
                <w:rFonts w:asciiTheme="majorBidi" w:hAnsiTheme="majorBidi" w:cstheme="majorBidi"/>
                <w:sz w:val="20"/>
                <w:szCs w:val="20"/>
              </w:rPr>
            </w:pPr>
            <w:r w:rsidRPr="00151ABA">
              <w:rPr>
                <w:rFonts w:asciiTheme="majorBidi" w:hAnsiTheme="majorBidi" w:cstheme="majorBidi"/>
                <w:sz w:val="20"/>
                <w:szCs w:val="20"/>
              </w:rPr>
              <w:t>“Impact of CSR,” “</w:t>
            </w:r>
            <w:r w:rsidR="00FF57AB" w:rsidRPr="00151ABA">
              <w:rPr>
                <w:rFonts w:asciiTheme="majorBidi" w:hAnsiTheme="majorBidi" w:cstheme="majorBidi"/>
                <w:sz w:val="20"/>
                <w:szCs w:val="20"/>
              </w:rPr>
              <w:t>i</w:t>
            </w:r>
            <w:r w:rsidRPr="00151ABA">
              <w:rPr>
                <w:rFonts w:asciiTheme="majorBidi" w:hAnsiTheme="majorBidi" w:cstheme="majorBidi"/>
                <w:sz w:val="20"/>
                <w:szCs w:val="20"/>
              </w:rPr>
              <w:t>mpact of CSR</w:t>
            </w:r>
            <w:r w:rsidR="00B66578" w:rsidRPr="00151ABA">
              <w:rPr>
                <w:rFonts w:asciiTheme="majorBidi" w:hAnsiTheme="majorBidi" w:cstheme="majorBidi"/>
                <w:sz w:val="20"/>
                <w:szCs w:val="20"/>
              </w:rPr>
              <w:t xml:space="preserve"> </w:t>
            </w:r>
            <w:r w:rsidR="00FF57AB" w:rsidRPr="00151ABA">
              <w:rPr>
                <w:rFonts w:asciiTheme="majorBidi" w:hAnsiTheme="majorBidi" w:cstheme="majorBidi"/>
                <w:sz w:val="20"/>
                <w:szCs w:val="20"/>
              </w:rPr>
              <w:t>c</w:t>
            </w:r>
            <w:r w:rsidR="00B66578" w:rsidRPr="00151ABA">
              <w:rPr>
                <w:rFonts w:asciiTheme="majorBidi" w:hAnsiTheme="majorBidi" w:cstheme="majorBidi"/>
                <w:sz w:val="20"/>
                <w:szCs w:val="20"/>
              </w:rPr>
              <w:t>ommunication</w:t>
            </w:r>
            <w:r w:rsidRPr="00151ABA">
              <w:rPr>
                <w:rFonts w:asciiTheme="majorBidi" w:hAnsiTheme="majorBidi" w:cstheme="majorBidi"/>
                <w:sz w:val="20"/>
                <w:szCs w:val="20"/>
              </w:rPr>
              <w:t>,” “</w:t>
            </w:r>
            <w:r w:rsidR="00FF57AB" w:rsidRPr="00151ABA">
              <w:rPr>
                <w:rFonts w:asciiTheme="majorBidi" w:hAnsiTheme="majorBidi" w:cstheme="majorBidi"/>
                <w:sz w:val="20"/>
                <w:szCs w:val="20"/>
              </w:rPr>
              <w:t>e</w:t>
            </w:r>
            <w:r w:rsidRPr="00151ABA">
              <w:rPr>
                <w:rFonts w:asciiTheme="majorBidi" w:hAnsiTheme="majorBidi" w:cstheme="majorBidi"/>
                <w:sz w:val="20"/>
                <w:szCs w:val="20"/>
              </w:rPr>
              <w:t>ffects of CSR,” “</w:t>
            </w:r>
            <w:r w:rsidR="00FF57AB" w:rsidRPr="00151ABA">
              <w:rPr>
                <w:rFonts w:asciiTheme="majorBidi" w:hAnsiTheme="majorBidi" w:cstheme="majorBidi"/>
                <w:sz w:val="20"/>
                <w:szCs w:val="20"/>
              </w:rPr>
              <w:t>e</w:t>
            </w:r>
            <w:r w:rsidRPr="00151ABA">
              <w:rPr>
                <w:rFonts w:asciiTheme="majorBidi" w:hAnsiTheme="majorBidi" w:cstheme="majorBidi"/>
                <w:sz w:val="20"/>
                <w:szCs w:val="20"/>
              </w:rPr>
              <w:t>ffects of CSR communication,” “</w:t>
            </w:r>
            <w:r w:rsidR="00FF57AB" w:rsidRPr="00151ABA">
              <w:rPr>
                <w:rFonts w:asciiTheme="majorBidi" w:hAnsiTheme="majorBidi" w:cstheme="majorBidi"/>
                <w:sz w:val="20"/>
                <w:szCs w:val="20"/>
              </w:rPr>
              <w:t>i</w:t>
            </w:r>
            <w:r w:rsidRPr="00151ABA">
              <w:rPr>
                <w:rFonts w:asciiTheme="majorBidi" w:hAnsiTheme="majorBidi" w:cstheme="majorBidi"/>
                <w:sz w:val="20"/>
                <w:szCs w:val="20"/>
              </w:rPr>
              <w:t>mpact of CSR on co</w:t>
            </w:r>
            <w:r w:rsidR="00B66578" w:rsidRPr="00151ABA">
              <w:rPr>
                <w:rFonts w:asciiTheme="majorBidi" w:hAnsiTheme="majorBidi" w:cstheme="majorBidi"/>
                <w:sz w:val="20"/>
                <w:szCs w:val="20"/>
              </w:rPr>
              <w:t>n</w:t>
            </w:r>
            <w:r w:rsidRPr="00151ABA">
              <w:rPr>
                <w:rFonts w:asciiTheme="majorBidi" w:hAnsiTheme="majorBidi" w:cstheme="majorBidi"/>
                <w:sz w:val="20"/>
                <w:szCs w:val="20"/>
              </w:rPr>
              <w:t xml:space="preserve">sumers” </w:t>
            </w:r>
          </w:p>
        </w:tc>
      </w:tr>
      <w:tr w:rsidR="00F43BB5" w:rsidRPr="00151ABA" w14:paraId="6882CBC1" w14:textId="77777777" w:rsidTr="00044DE9">
        <w:tc>
          <w:tcPr>
            <w:tcW w:w="3402" w:type="dxa"/>
          </w:tcPr>
          <w:p w14:paraId="761E3B42" w14:textId="1F947DAA" w:rsidR="00F43BB5" w:rsidRPr="00151ABA" w:rsidRDefault="0032783A" w:rsidP="0032783A">
            <w:pPr>
              <w:rPr>
                <w:rFonts w:asciiTheme="majorBidi" w:hAnsiTheme="majorBidi" w:cstheme="majorBidi"/>
                <w:sz w:val="20"/>
                <w:szCs w:val="20"/>
              </w:rPr>
            </w:pPr>
            <w:r w:rsidRPr="00151ABA">
              <w:rPr>
                <w:rFonts w:asciiTheme="majorBidi" w:hAnsiTheme="majorBidi" w:cstheme="majorBidi"/>
                <w:sz w:val="20"/>
                <w:szCs w:val="20"/>
              </w:rPr>
              <w:t>“CSR and consumer attitudes”</w:t>
            </w:r>
          </w:p>
        </w:tc>
        <w:tc>
          <w:tcPr>
            <w:tcW w:w="4536" w:type="dxa"/>
          </w:tcPr>
          <w:p w14:paraId="00D4385C" w14:textId="6F04FDC5" w:rsidR="00F43BB5" w:rsidRPr="00151ABA" w:rsidRDefault="0032783A" w:rsidP="0032783A">
            <w:pPr>
              <w:rPr>
                <w:rFonts w:asciiTheme="majorBidi" w:hAnsiTheme="majorBidi" w:cstheme="majorBidi"/>
                <w:sz w:val="20"/>
                <w:szCs w:val="20"/>
              </w:rPr>
            </w:pPr>
            <w:r w:rsidRPr="00151ABA">
              <w:rPr>
                <w:rFonts w:asciiTheme="majorBidi" w:hAnsiTheme="majorBidi" w:cstheme="majorBidi"/>
                <w:sz w:val="20"/>
                <w:szCs w:val="20"/>
              </w:rPr>
              <w:t>“CSR and brand attitudes,” “CSR and consumer behaviour”</w:t>
            </w:r>
          </w:p>
        </w:tc>
      </w:tr>
      <w:tr w:rsidR="00F43BB5" w:rsidRPr="00151ABA" w14:paraId="47FAA791" w14:textId="77777777" w:rsidTr="00044DE9">
        <w:tc>
          <w:tcPr>
            <w:tcW w:w="3402" w:type="dxa"/>
          </w:tcPr>
          <w:p w14:paraId="7CCF9D01" w14:textId="4B5CC381" w:rsidR="00F43BB5" w:rsidRPr="00151ABA" w:rsidRDefault="0032783A" w:rsidP="0032783A">
            <w:pPr>
              <w:rPr>
                <w:rFonts w:asciiTheme="majorBidi" w:hAnsiTheme="majorBidi" w:cstheme="majorBidi"/>
                <w:sz w:val="20"/>
                <w:szCs w:val="20"/>
              </w:rPr>
            </w:pPr>
            <w:r w:rsidRPr="00151ABA">
              <w:rPr>
                <w:rFonts w:asciiTheme="majorBidi" w:hAnsiTheme="majorBidi" w:cstheme="majorBidi"/>
                <w:sz w:val="20"/>
                <w:szCs w:val="20"/>
              </w:rPr>
              <w:t>“CSR in the Middle East”</w:t>
            </w:r>
          </w:p>
        </w:tc>
        <w:tc>
          <w:tcPr>
            <w:tcW w:w="4536" w:type="dxa"/>
          </w:tcPr>
          <w:p w14:paraId="43C71843" w14:textId="23C7DE8B" w:rsidR="00F43BB5" w:rsidRPr="00151ABA" w:rsidRDefault="0032783A" w:rsidP="0032783A">
            <w:pPr>
              <w:rPr>
                <w:rFonts w:asciiTheme="majorBidi" w:hAnsiTheme="majorBidi" w:cstheme="majorBidi"/>
                <w:sz w:val="20"/>
                <w:szCs w:val="20"/>
              </w:rPr>
            </w:pPr>
            <w:r w:rsidRPr="00151ABA">
              <w:rPr>
                <w:rFonts w:asciiTheme="majorBidi" w:hAnsiTheme="majorBidi" w:cstheme="majorBidi"/>
                <w:sz w:val="20"/>
                <w:szCs w:val="20"/>
              </w:rPr>
              <w:t>“CSR in developing countries,” “CSR in Arab countries”</w:t>
            </w:r>
          </w:p>
        </w:tc>
      </w:tr>
      <w:tr w:rsidR="00F43BB5" w:rsidRPr="00151ABA" w14:paraId="5F4FD764" w14:textId="77777777" w:rsidTr="00044DE9">
        <w:tc>
          <w:tcPr>
            <w:tcW w:w="3402" w:type="dxa"/>
          </w:tcPr>
          <w:p w14:paraId="75FB4EB9" w14:textId="3F97F8D4" w:rsidR="00F43BB5" w:rsidRPr="00151ABA" w:rsidRDefault="0032783A" w:rsidP="0032783A">
            <w:pPr>
              <w:rPr>
                <w:rFonts w:asciiTheme="majorBidi" w:hAnsiTheme="majorBidi" w:cstheme="majorBidi"/>
                <w:sz w:val="20"/>
                <w:szCs w:val="20"/>
              </w:rPr>
            </w:pPr>
            <w:r w:rsidRPr="00151ABA">
              <w:rPr>
                <w:rFonts w:asciiTheme="majorBidi" w:hAnsiTheme="majorBidi" w:cstheme="majorBidi"/>
                <w:sz w:val="20"/>
                <w:szCs w:val="20"/>
              </w:rPr>
              <w:t>“CSR Communication”</w:t>
            </w:r>
          </w:p>
        </w:tc>
        <w:tc>
          <w:tcPr>
            <w:tcW w:w="4536" w:type="dxa"/>
          </w:tcPr>
          <w:p w14:paraId="4508025F" w14:textId="072A4D17" w:rsidR="00F43BB5" w:rsidRPr="00151ABA" w:rsidRDefault="0032783A" w:rsidP="0032783A">
            <w:pPr>
              <w:rPr>
                <w:rFonts w:asciiTheme="majorBidi" w:hAnsiTheme="majorBidi" w:cstheme="majorBidi"/>
                <w:sz w:val="20"/>
                <w:szCs w:val="20"/>
              </w:rPr>
            </w:pPr>
            <w:r w:rsidRPr="00151ABA">
              <w:rPr>
                <w:rFonts w:asciiTheme="majorBidi" w:hAnsiTheme="majorBidi" w:cstheme="majorBidi"/>
                <w:sz w:val="20"/>
                <w:szCs w:val="20"/>
              </w:rPr>
              <w:t>“CSR in advertising”</w:t>
            </w:r>
          </w:p>
        </w:tc>
      </w:tr>
      <w:tr w:rsidR="0032783A" w:rsidRPr="00151ABA" w14:paraId="572AB973" w14:textId="77777777" w:rsidTr="00044DE9">
        <w:tc>
          <w:tcPr>
            <w:tcW w:w="3402" w:type="dxa"/>
          </w:tcPr>
          <w:p w14:paraId="1DF89F93" w14:textId="0E792DC4" w:rsidR="0032783A" w:rsidRPr="00151ABA" w:rsidRDefault="0032783A" w:rsidP="00FF57AB">
            <w:pPr>
              <w:rPr>
                <w:rFonts w:asciiTheme="majorBidi" w:hAnsiTheme="majorBidi" w:cstheme="majorBidi"/>
                <w:sz w:val="20"/>
                <w:szCs w:val="20"/>
              </w:rPr>
            </w:pPr>
            <w:r w:rsidRPr="00151ABA">
              <w:rPr>
                <w:rFonts w:asciiTheme="majorBidi" w:hAnsiTheme="majorBidi" w:cstheme="majorBidi"/>
                <w:sz w:val="20"/>
                <w:szCs w:val="20"/>
              </w:rPr>
              <w:t>“Brand Attitudes”</w:t>
            </w:r>
          </w:p>
        </w:tc>
        <w:tc>
          <w:tcPr>
            <w:tcW w:w="4536" w:type="dxa"/>
          </w:tcPr>
          <w:p w14:paraId="660E8C56" w14:textId="0A733488" w:rsidR="0032783A" w:rsidRPr="00151ABA" w:rsidRDefault="0032783A" w:rsidP="00FF57AB">
            <w:pPr>
              <w:rPr>
                <w:rFonts w:asciiTheme="majorBidi" w:hAnsiTheme="majorBidi" w:cstheme="majorBidi"/>
                <w:sz w:val="20"/>
                <w:szCs w:val="20"/>
              </w:rPr>
            </w:pPr>
            <w:r w:rsidRPr="00151ABA">
              <w:rPr>
                <w:rFonts w:asciiTheme="majorBidi" w:hAnsiTheme="majorBidi" w:cstheme="majorBidi"/>
                <w:sz w:val="20"/>
                <w:szCs w:val="20"/>
              </w:rPr>
              <w:t xml:space="preserve">“Brand </w:t>
            </w:r>
            <w:r w:rsidR="00FF57AB" w:rsidRPr="00151ABA">
              <w:rPr>
                <w:rFonts w:asciiTheme="majorBidi" w:hAnsiTheme="majorBidi" w:cstheme="majorBidi"/>
                <w:sz w:val="20"/>
                <w:szCs w:val="20"/>
              </w:rPr>
              <w:t>l</w:t>
            </w:r>
            <w:r w:rsidRPr="00151ABA">
              <w:rPr>
                <w:rFonts w:asciiTheme="majorBidi" w:hAnsiTheme="majorBidi" w:cstheme="majorBidi"/>
                <w:sz w:val="20"/>
                <w:szCs w:val="20"/>
              </w:rPr>
              <w:t xml:space="preserve">oyalty,” “CSR </w:t>
            </w:r>
            <w:r w:rsidR="00FF57AB" w:rsidRPr="00151ABA">
              <w:rPr>
                <w:rFonts w:asciiTheme="majorBidi" w:hAnsiTheme="majorBidi" w:cstheme="majorBidi"/>
                <w:sz w:val="20"/>
                <w:szCs w:val="20"/>
              </w:rPr>
              <w:t>p</w:t>
            </w:r>
            <w:r w:rsidRPr="00151ABA">
              <w:rPr>
                <w:rFonts w:asciiTheme="majorBidi" w:hAnsiTheme="majorBidi" w:cstheme="majorBidi"/>
                <w:sz w:val="20"/>
                <w:szCs w:val="20"/>
              </w:rPr>
              <w:t xml:space="preserve">erception,” </w:t>
            </w:r>
            <w:r w:rsidR="00FF57AB" w:rsidRPr="00151ABA">
              <w:rPr>
                <w:rFonts w:asciiTheme="majorBidi" w:hAnsiTheme="majorBidi" w:cstheme="majorBidi"/>
                <w:sz w:val="20"/>
                <w:szCs w:val="20"/>
              </w:rPr>
              <w:t xml:space="preserve">“CSR and ad likeability,” “CSR and brand likeability,” “CSR and brand trust,” “CSR and perceived product functionality,” “CSR and emotional brand attachment” </w:t>
            </w:r>
          </w:p>
        </w:tc>
      </w:tr>
      <w:tr w:rsidR="0032783A" w:rsidRPr="00151ABA" w14:paraId="0AB0F89C" w14:textId="77777777" w:rsidTr="00044DE9">
        <w:tc>
          <w:tcPr>
            <w:tcW w:w="3402" w:type="dxa"/>
          </w:tcPr>
          <w:p w14:paraId="1D19546F" w14:textId="51ADDF68" w:rsidR="0032783A" w:rsidRPr="00151ABA" w:rsidRDefault="00FF57AB" w:rsidP="00FF57AB">
            <w:pPr>
              <w:rPr>
                <w:rFonts w:asciiTheme="majorBidi" w:hAnsiTheme="majorBidi" w:cstheme="majorBidi"/>
                <w:sz w:val="20"/>
                <w:szCs w:val="20"/>
              </w:rPr>
            </w:pPr>
            <w:r w:rsidRPr="00151ABA">
              <w:rPr>
                <w:rFonts w:asciiTheme="majorBidi" w:hAnsiTheme="majorBidi" w:cstheme="majorBidi"/>
                <w:sz w:val="20"/>
                <w:szCs w:val="20"/>
              </w:rPr>
              <w:t>“Measuring purchase Intention”</w:t>
            </w:r>
          </w:p>
        </w:tc>
        <w:tc>
          <w:tcPr>
            <w:tcW w:w="4536" w:type="dxa"/>
          </w:tcPr>
          <w:p w14:paraId="6FC8F020" w14:textId="528AE2EF" w:rsidR="0032783A" w:rsidRPr="00151ABA" w:rsidRDefault="00FF57AB" w:rsidP="00FF57AB">
            <w:pPr>
              <w:rPr>
                <w:rFonts w:asciiTheme="majorBidi" w:hAnsiTheme="majorBidi" w:cstheme="majorBidi"/>
                <w:sz w:val="20"/>
                <w:szCs w:val="20"/>
              </w:rPr>
            </w:pPr>
            <w:r w:rsidRPr="00151ABA">
              <w:rPr>
                <w:rFonts w:asciiTheme="majorBidi" w:hAnsiTheme="majorBidi" w:cstheme="majorBidi"/>
                <w:sz w:val="20"/>
                <w:szCs w:val="20"/>
              </w:rPr>
              <w:t>“Purchase intention,” “CSR and purchase intention”</w:t>
            </w:r>
          </w:p>
        </w:tc>
      </w:tr>
      <w:tr w:rsidR="0032783A" w:rsidRPr="00151ABA" w14:paraId="424A4E06" w14:textId="77777777" w:rsidTr="00044DE9">
        <w:tc>
          <w:tcPr>
            <w:tcW w:w="3402" w:type="dxa"/>
          </w:tcPr>
          <w:p w14:paraId="423E2B40" w14:textId="425BE5A3" w:rsidR="0032783A" w:rsidRPr="00151ABA" w:rsidRDefault="00FF57AB" w:rsidP="00FF57AB">
            <w:pPr>
              <w:rPr>
                <w:rFonts w:asciiTheme="majorBidi" w:hAnsiTheme="majorBidi" w:cstheme="majorBidi"/>
                <w:sz w:val="20"/>
                <w:szCs w:val="20"/>
              </w:rPr>
            </w:pPr>
            <w:r w:rsidRPr="00151ABA">
              <w:rPr>
                <w:rFonts w:asciiTheme="majorBidi" w:hAnsiTheme="majorBidi" w:cstheme="majorBidi"/>
                <w:sz w:val="20"/>
                <w:szCs w:val="20"/>
              </w:rPr>
              <w:t>“CSR Communication strategies”</w:t>
            </w:r>
          </w:p>
        </w:tc>
        <w:tc>
          <w:tcPr>
            <w:tcW w:w="4536" w:type="dxa"/>
          </w:tcPr>
          <w:p w14:paraId="660E0107" w14:textId="314A7ED7" w:rsidR="0032783A" w:rsidRPr="00151ABA" w:rsidRDefault="00FF57AB" w:rsidP="00FF57AB">
            <w:pPr>
              <w:rPr>
                <w:rFonts w:asciiTheme="majorBidi" w:hAnsiTheme="majorBidi" w:cstheme="majorBidi"/>
                <w:sz w:val="20"/>
                <w:szCs w:val="20"/>
              </w:rPr>
            </w:pPr>
            <w:r w:rsidRPr="00151ABA">
              <w:rPr>
                <w:rFonts w:asciiTheme="majorBidi" w:hAnsiTheme="majorBidi" w:cstheme="majorBidi"/>
                <w:sz w:val="20"/>
                <w:szCs w:val="20"/>
              </w:rPr>
              <w:t>“CSR-company fit,” “CSR communication strategy”</w:t>
            </w:r>
          </w:p>
        </w:tc>
      </w:tr>
      <w:tr w:rsidR="00FF57AB" w:rsidRPr="00151ABA" w14:paraId="510DBD22" w14:textId="77777777" w:rsidTr="00044DE9">
        <w:tc>
          <w:tcPr>
            <w:tcW w:w="3402" w:type="dxa"/>
          </w:tcPr>
          <w:p w14:paraId="38FF2B91" w14:textId="0D3E5156" w:rsidR="00FF57AB" w:rsidRPr="00151ABA" w:rsidRDefault="00FF57AB" w:rsidP="00FF57AB">
            <w:pPr>
              <w:rPr>
                <w:rFonts w:asciiTheme="majorBidi" w:hAnsiTheme="majorBidi" w:cstheme="majorBidi"/>
                <w:sz w:val="20"/>
                <w:szCs w:val="20"/>
              </w:rPr>
            </w:pPr>
            <w:r w:rsidRPr="00151ABA">
              <w:rPr>
                <w:rFonts w:asciiTheme="majorBidi" w:hAnsiTheme="majorBidi" w:cstheme="majorBidi"/>
                <w:sz w:val="20"/>
                <w:szCs w:val="20"/>
              </w:rPr>
              <w:t>“Media Vehicle”</w:t>
            </w:r>
          </w:p>
        </w:tc>
        <w:tc>
          <w:tcPr>
            <w:tcW w:w="4536" w:type="dxa"/>
          </w:tcPr>
          <w:p w14:paraId="3037358A" w14:textId="74C1F6E0" w:rsidR="00FF57AB" w:rsidRPr="00151ABA" w:rsidRDefault="00FF57AB" w:rsidP="00FF57AB">
            <w:pPr>
              <w:rPr>
                <w:rFonts w:asciiTheme="majorBidi" w:hAnsiTheme="majorBidi" w:cstheme="majorBidi"/>
                <w:sz w:val="20"/>
                <w:szCs w:val="20"/>
              </w:rPr>
            </w:pPr>
            <w:r w:rsidRPr="00151ABA">
              <w:rPr>
                <w:rFonts w:asciiTheme="majorBidi" w:hAnsiTheme="majorBidi" w:cstheme="majorBidi"/>
                <w:sz w:val="20"/>
                <w:szCs w:val="20"/>
              </w:rPr>
              <w:t xml:space="preserve">“Media channels,” “media types,” “social media,” “Television,” “digital media” </w:t>
            </w:r>
          </w:p>
        </w:tc>
      </w:tr>
      <w:tr w:rsidR="00FF57AB" w:rsidRPr="00151ABA" w14:paraId="7896306C" w14:textId="77777777" w:rsidTr="00044DE9">
        <w:tc>
          <w:tcPr>
            <w:tcW w:w="3402" w:type="dxa"/>
          </w:tcPr>
          <w:p w14:paraId="171D9E91" w14:textId="6464A6E5" w:rsidR="00FF57AB" w:rsidRPr="00151ABA" w:rsidRDefault="00FF57AB" w:rsidP="00FF57AB">
            <w:pPr>
              <w:rPr>
                <w:rFonts w:asciiTheme="majorBidi" w:hAnsiTheme="majorBidi" w:cstheme="majorBidi"/>
                <w:sz w:val="20"/>
                <w:szCs w:val="20"/>
              </w:rPr>
            </w:pPr>
            <w:r w:rsidRPr="00151ABA">
              <w:rPr>
                <w:rFonts w:asciiTheme="majorBidi" w:hAnsiTheme="majorBidi" w:cstheme="majorBidi"/>
                <w:sz w:val="20"/>
                <w:szCs w:val="20"/>
              </w:rPr>
              <w:t>“CSR in FMCG”</w:t>
            </w:r>
          </w:p>
        </w:tc>
        <w:tc>
          <w:tcPr>
            <w:tcW w:w="4536" w:type="dxa"/>
          </w:tcPr>
          <w:p w14:paraId="6658D2A7" w14:textId="281DD2F2" w:rsidR="00FF57AB" w:rsidRPr="00151ABA" w:rsidRDefault="00FF57AB" w:rsidP="001A6A8D">
            <w:pPr>
              <w:keepNext/>
              <w:rPr>
                <w:rFonts w:asciiTheme="majorBidi" w:hAnsiTheme="majorBidi" w:cstheme="majorBidi"/>
                <w:sz w:val="20"/>
                <w:szCs w:val="20"/>
              </w:rPr>
            </w:pPr>
            <w:r w:rsidRPr="00151ABA">
              <w:rPr>
                <w:rFonts w:asciiTheme="majorBidi" w:hAnsiTheme="majorBidi" w:cstheme="majorBidi"/>
                <w:sz w:val="20"/>
                <w:szCs w:val="20"/>
              </w:rPr>
              <w:t>“CSR and FMCG,” “CSR and consumer goods”</w:t>
            </w:r>
          </w:p>
        </w:tc>
      </w:tr>
    </w:tbl>
    <w:p w14:paraId="35388735" w14:textId="2E48063A" w:rsidR="00D82746" w:rsidRDefault="001A6A8D" w:rsidP="001A6A8D">
      <w:pPr>
        <w:pStyle w:val="Caption"/>
        <w:rPr>
          <w:rFonts w:asciiTheme="majorBidi" w:hAnsiTheme="majorBidi" w:cstheme="majorBidi"/>
          <w:sz w:val="24"/>
          <w:szCs w:val="24"/>
        </w:rPr>
      </w:pPr>
      <w:r>
        <w:t xml:space="preserve">Table </w:t>
      </w:r>
      <w:r w:rsidR="00044DE9">
        <w:t>2</w:t>
      </w:r>
      <w:r>
        <w:t xml:space="preserve"> Search Strings</w:t>
      </w:r>
      <w:r w:rsidR="00053611">
        <w:t xml:space="preserve"> for the literature review </w:t>
      </w:r>
      <w:r>
        <w:t xml:space="preserve"> </w:t>
      </w:r>
    </w:p>
    <w:p w14:paraId="0929F047" w14:textId="64C72EB7" w:rsidR="0049009A" w:rsidRPr="0049009A" w:rsidRDefault="00A96566" w:rsidP="0049009A">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This chapter </w:t>
      </w:r>
      <w:r w:rsidR="00594265">
        <w:rPr>
          <w:rFonts w:asciiTheme="majorBidi" w:hAnsiTheme="majorBidi" w:cstheme="majorBidi"/>
          <w:sz w:val="24"/>
          <w:szCs w:val="24"/>
        </w:rPr>
        <w:t>begins below by describing</w:t>
      </w:r>
      <w:r>
        <w:rPr>
          <w:rFonts w:asciiTheme="majorBidi" w:hAnsiTheme="majorBidi" w:cstheme="majorBidi"/>
          <w:sz w:val="24"/>
          <w:szCs w:val="24"/>
        </w:rPr>
        <w:t xml:space="preserve"> fundamental topics related to this study’s objectives. Some of these topics include main definitions, types and benefits of CSR communication. </w:t>
      </w:r>
      <w:r w:rsidR="00594265">
        <w:rPr>
          <w:rFonts w:asciiTheme="majorBidi" w:hAnsiTheme="majorBidi" w:cstheme="majorBidi"/>
          <w:sz w:val="24"/>
          <w:szCs w:val="24"/>
        </w:rPr>
        <w:t>Further on, the review dives into more detailed topics</w:t>
      </w:r>
      <w:r w:rsidR="005A39ED">
        <w:rPr>
          <w:rFonts w:asciiTheme="majorBidi" w:hAnsiTheme="majorBidi" w:cstheme="majorBidi"/>
          <w:sz w:val="24"/>
          <w:szCs w:val="24"/>
        </w:rPr>
        <w:t xml:space="preserve"> such as CSR communication strategies, CSR and consumers attitudes, CSR in the FMCG category, etc. </w:t>
      </w:r>
      <w:r w:rsidR="00594265">
        <w:rPr>
          <w:rFonts w:asciiTheme="majorBidi" w:hAnsiTheme="majorBidi" w:cstheme="majorBidi"/>
          <w:sz w:val="24"/>
          <w:szCs w:val="24"/>
        </w:rPr>
        <w:t xml:space="preserve"> </w:t>
      </w:r>
    </w:p>
    <w:p w14:paraId="627BC3FE" w14:textId="144F13DE" w:rsidR="00A96566" w:rsidRDefault="008067DB" w:rsidP="00E27067">
      <w:pPr>
        <w:spacing w:after="0" w:line="480" w:lineRule="auto"/>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w:t>
      </w:r>
      <w:r w:rsidR="00594265">
        <w:rPr>
          <w:rFonts w:asciiTheme="majorBidi" w:hAnsiTheme="majorBidi" w:cstheme="majorBidi"/>
          <w:b/>
          <w:bCs/>
          <w:sz w:val="24"/>
          <w:szCs w:val="24"/>
        </w:rPr>
        <w:t>1</w:t>
      </w:r>
      <w:r w:rsidR="00A96566">
        <w:rPr>
          <w:rFonts w:asciiTheme="majorBidi" w:hAnsiTheme="majorBidi" w:cstheme="majorBidi"/>
          <w:b/>
          <w:bCs/>
          <w:sz w:val="24"/>
          <w:szCs w:val="24"/>
        </w:rPr>
        <w:t xml:space="preserve"> Definitions </w:t>
      </w:r>
    </w:p>
    <w:p w14:paraId="78262605" w14:textId="620A6CB5" w:rsidR="005A39ED" w:rsidRPr="005A39ED" w:rsidRDefault="005A39ED" w:rsidP="00E27067">
      <w:pPr>
        <w:spacing w:after="0" w:line="480" w:lineRule="auto"/>
        <w:rPr>
          <w:rFonts w:asciiTheme="majorBidi" w:hAnsiTheme="majorBidi" w:cstheme="majorBidi"/>
          <w:sz w:val="24"/>
          <w:szCs w:val="24"/>
        </w:rPr>
      </w:pPr>
      <w:r>
        <w:rPr>
          <w:rFonts w:asciiTheme="majorBidi" w:hAnsiTheme="majorBidi" w:cstheme="majorBidi"/>
          <w:sz w:val="24"/>
          <w:szCs w:val="24"/>
        </w:rPr>
        <w:tab/>
      </w:r>
      <w:r w:rsidRPr="005A39ED">
        <w:rPr>
          <w:rFonts w:asciiTheme="majorBidi" w:hAnsiTheme="majorBidi" w:cstheme="majorBidi"/>
          <w:sz w:val="24"/>
          <w:szCs w:val="24"/>
        </w:rPr>
        <w:t xml:space="preserve">For the purposes of this study, CSR communication in reference to non-CSR communication was selected to be the main topic of interest. For that reason, it is necessary to </w:t>
      </w:r>
      <w:r>
        <w:rPr>
          <w:rFonts w:asciiTheme="majorBidi" w:hAnsiTheme="majorBidi" w:cstheme="majorBidi"/>
          <w:sz w:val="24"/>
          <w:szCs w:val="24"/>
        </w:rPr>
        <w:t>begin with understanding the definitions of CSR and non-CSR as</w:t>
      </w:r>
      <w:r w:rsidR="00BA30D2">
        <w:rPr>
          <w:rFonts w:asciiTheme="majorBidi" w:hAnsiTheme="majorBidi" w:cstheme="majorBidi"/>
          <w:sz w:val="24"/>
          <w:szCs w:val="24"/>
        </w:rPr>
        <w:t xml:space="preserve"> they appear</w:t>
      </w:r>
      <w:r>
        <w:rPr>
          <w:rFonts w:asciiTheme="majorBidi" w:hAnsiTheme="majorBidi" w:cstheme="majorBidi"/>
          <w:sz w:val="24"/>
          <w:szCs w:val="24"/>
        </w:rPr>
        <w:t xml:space="preserve"> in literature. </w:t>
      </w:r>
    </w:p>
    <w:p w14:paraId="411AE41B" w14:textId="4E107C07" w:rsidR="00A96566" w:rsidRPr="000F1DEC" w:rsidRDefault="008067DB" w:rsidP="00E27067">
      <w:pPr>
        <w:spacing w:after="0" w:line="480" w:lineRule="auto"/>
        <w:rPr>
          <w:rFonts w:asciiTheme="majorBidi" w:hAnsiTheme="majorBidi" w:cstheme="majorBidi"/>
          <w:b/>
          <w:bCs/>
          <w:sz w:val="24"/>
          <w:szCs w:val="24"/>
        </w:rPr>
      </w:pPr>
      <w:r>
        <w:rPr>
          <w:rFonts w:asciiTheme="majorBidi" w:hAnsiTheme="majorBidi" w:cstheme="majorBidi"/>
          <w:b/>
          <w:bCs/>
          <w:sz w:val="24"/>
          <w:szCs w:val="24"/>
        </w:rPr>
        <w:t>2</w:t>
      </w:r>
      <w:r w:rsidR="003847C2">
        <w:rPr>
          <w:rFonts w:asciiTheme="majorBidi" w:hAnsiTheme="majorBidi" w:cstheme="majorBidi"/>
          <w:b/>
          <w:bCs/>
          <w:sz w:val="24"/>
          <w:szCs w:val="24"/>
        </w:rPr>
        <w:t>.</w:t>
      </w:r>
      <w:r w:rsidR="00594265">
        <w:rPr>
          <w:rFonts w:asciiTheme="majorBidi" w:hAnsiTheme="majorBidi" w:cstheme="majorBidi"/>
          <w:b/>
          <w:bCs/>
          <w:sz w:val="24"/>
          <w:szCs w:val="24"/>
        </w:rPr>
        <w:t>1</w:t>
      </w:r>
      <w:r w:rsidR="003847C2">
        <w:rPr>
          <w:rFonts w:asciiTheme="majorBidi" w:hAnsiTheme="majorBidi" w:cstheme="majorBidi"/>
          <w:b/>
          <w:bCs/>
          <w:sz w:val="24"/>
          <w:szCs w:val="24"/>
        </w:rPr>
        <w:t xml:space="preserve">.1 CSR Definitions </w:t>
      </w:r>
    </w:p>
    <w:p w14:paraId="45675CF2" w14:textId="7D073A18" w:rsidR="00642CF1" w:rsidRDefault="00A96566" w:rsidP="00E27067">
      <w:pPr>
        <w:spacing w:after="0" w:line="480" w:lineRule="auto"/>
        <w:ind w:firstLine="720"/>
        <w:jc w:val="lowKashida"/>
        <w:rPr>
          <w:rFonts w:asciiTheme="majorBidi" w:hAnsiTheme="majorBidi" w:cstheme="majorBidi"/>
          <w:sz w:val="24"/>
          <w:szCs w:val="24"/>
        </w:rPr>
      </w:pPr>
      <w:r>
        <w:rPr>
          <w:rFonts w:asciiTheme="majorBidi" w:hAnsiTheme="majorBidi" w:cstheme="majorBidi"/>
          <w:sz w:val="24"/>
          <w:szCs w:val="24"/>
        </w:rPr>
        <w:t xml:space="preserve">One of the earliest definitions of corporate social responsibility (CSR) encapsulates the way firms consider and actively respond to concerns beyond the company’s </w:t>
      </w:r>
      <w:r w:rsidRPr="00500846">
        <w:rPr>
          <w:rFonts w:asciiTheme="majorBidi" w:hAnsiTheme="majorBidi" w:cstheme="majorBidi"/>
          <w:sz w:val="24"/>
          <w:szCs w:val="24"/>
        </w:rPr>
        <w:t>specific economic, technological, and legal needs in order to achieve social advantages in addition to the typical economic gains that the company pursues</w:t>
      </w:r>
      <w:r>
        <w:rPr>
          <w:rFonts w:asciiTheme="majorBidi" w:hAnsiTheme="majorBidi" w:cstheme="majorBidi"/>
          <w:sz w:val="24"/>
          <w:szCs w:val="24"/>
        </w:rPr>
        <w:t xml:space="preserve"> </w:t>
      </w:r>
      <w:sdt>
        <w:sdtPr>
          <w:rPr>
            <w:rFonts w:asciiTheme="majorBidi" w:hAnsiTheme="majorBidi" w:cstheme="majorBidi"/>
            <w:sz w:val="24"/>
            <w:szCs w:val="24"/>
          </w:rPr>
          <w:id w:val="154709405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Dav73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(Davis, 1973)</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DF1B7A">
        <w:rPr>
          <w:rFonts w:asciiTheme="majorBidi" w:hAnsiTheme="majorBidi" w:cstheme="majorBidi"/>
          <w:sz w:val="24"/>
          <w:szCs w:val="24"/>
        </w:rPr>
        <w:t xml:space="preserve">While there are various CSR definitions, some </w:t>
      </w:r>
      <w:r>
        <w:rPr>
          <w:rFonts w:asciiTheme="majorBidi" w:hAnsiTheme="majorBidi" w:cstheme="majorBidi"/>
          <w:sz w:val="24"/>
          <w:szCs w:val="24"/>
        </w:rPr>
        <w:t>researchers</w:t>
      </w:r>
      <w:r w:rsidRPr="00DF1B7A">
        <w:rPr>
          <w:rFonts w:asciiTheme="majorBidi" w:hAnsiTheme="majorBidi" w:cstheme="majorBidi"/>
          <w:sz w:val="24"/>
          <w:szCs w:val="24"/>
        </w:rPr>
        <w:t xml:space="preserve"> define CSR as </w:t>
      </w:r>
      <w:bookmarkStart w:id="13" w:name="_Hlk157187375"/>
      <w:r w:rsidRPr="00DF1B7A">
        <w:rPr>
          <w:rFonts w:asciiTheme="majorBidi" w:hAnsiTheme="majorBidi" w:cstheme="majorBidi"/>
          <w:sz w:val="24"/>
          <w:szCs w:val="24"/>
        </w:rPr>
        <w:t xml:space="preserve">the broader responsibility that a company carries towards </w:t>
      </w:r>
      <w:r w:rsidRPr="00A1682B">
        <w:rPr>
          <w:rFonts w:asciiTheme="majorBidi" w:hAnsiTheme="majorBidi" w:cstheme="majorBidi"/>
          <w:sz w:val="24"/>
          <w:szCs w:val="24"/>
        </w:rPr>
        <w:t>society</w:t>
      </w:r>
      <w:r>
        <w:rPr>
          <w:rFonts w:asciiTheme="majorBidi" w:hAnsiTheme="majorBidi" w:cstheme="majorBidi"/>
          <w:sz w:val="24"/>
          <w:szCs w:val="24"/>
        </w:rPr>
        <w:t xml:space="preserve"> and the environment</w:t>
      </w:r>
      <w:r w:rsidRPr="00DF1B7A">
        <w:rPr>
          <w:rFonts w:asciiTheme="majorBidi" w:hAnsiTheme="majorBidi" w:cstheme="majorBidi"/>
          <w:sz w:val="24"/>
          <w:szCs w:val="24"/>
        </w:rPr>
        <w:t xml:space="preserve"> </w:t>
      </w:r>
      <w:sdt>
        <w:sdtPr>
          <w:rPr>
            <w:rFonts w:asciiTheme="majorBidi" w:hAnsiTheme="majorBidi" w:cstheme="majorBidi"/>
            <w:sz w:val="24"/>
            <w:szCs w:val="24"/>
          </w:rPr>
          <w:id w:val="-2122603899"/>
          <w:citation/>
        </w:sdtPr>
        <w:sdtContent>
          <w:r w:rsidRPr="00DF1B7A">
            <w:rPr>
              <w:rFonts w:asciiTheme="majorBidi" w:hAnsiTheme="majorBidi" w:cstheme="majorBidi"/>
              <w:sz w:val="24"/>
              <w:szCs w:val="24"/>
            </w:rPr>
            <w:fldChar w:fldCharType="begin"/>
          </w:r>
          <w:r>
            <w:rPr>
              <w:rFonts w:asciiTheme="majorBidi" w:hAnsiTheme="majorBidi" w:cstheme="majorBidi"/>
              <w:sz w:val="24"/>
              <w:szCs w:val="24"/>
            </w:rPr>
            <w:instrText>CITATION AlA17 \l 2057  \m Fer21</w:instrText>
          </w:r>
          <w:r w:rsidRPr="00DF1B7A">
            <w:rPr>
              <w:rFonts w:asciiTheme="majorBidi" w:hAnsiTheme="majorBidi" w:cstheme="majorBidi"/>
              <w:sz w:val="24"/>
              <w:szCs w:val="24"/>
            </w:rPr>
            <w:fldChar w:fldCharType="separate"/>
          </w:r>
          <w:r w:rsidRPr="0002256A">
            <w:rPr>
              <w:rFonts w:asciiTheme="majorBidi" w:hAnsiTheme="majorBidi" w:cstheme="majorBidi"/>
              <w:noProof/>
              <w:sz w:val="24"/>
              <w:szCs w:val="24"/>
            </w:rPr>
            <w:t>(Al‐Abdin, Roy, &amp; Nicholson, 2017; Fernández, Hartmann, &amp; Apaolaza, 2021)</w:t>
          </w:r>
          <w:r w:rsidRPr="00DF1B7A">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w:t>
      </w:r>
      <w:bookmarkEnd w:id="13"/>
      <w:r w:rsidRPr="00DF1B7A">
        <w:rPr>
          <w:rFonts w:asciiTheme="majorBidi" w:hAnsiTheme="majorBidi" w:cstheme="majorBidi"/>
          <w:sz w:val="24"/>
          <w:szCs w:val="24"/>
        </w:rPr>
        <w:t>Nevertheless, the most inclusive definition</w:t>
      </w:r>
      <w:r>
        <w:rPr>
          <w:rFonts w:asciiTheme="majorBidi" w:hAnsiTheme="majorBidi" w:cstheme="majorBidi"/>
          <w:sz w:val="24"/>
          <w:szCs w:val="24"/>
        </w:rPr>
        <w:t xml:space="preserve"> </w:t>
      </w:r>
      <w:r w:rsidRPr="00DF1B7A">
        <w:rPr>
          <w:rFonts w:asciiTheme="majorBidi" w:hAnsiTheme="majorBidi" w:cstheme="majorBidi"/>
          <w:sz w:val="24"/>
          <w:szCs w:val="24"/>
        </w:rPr>
        <w:t>of CSR refer</w:t>
      </w:r>
      <w:r>
        <w:rPr>
          <w:rFonts w:asciiTheme="majorBidi" w:hAnsiTheme="majorBidi" w:cstheme="majorBidi"/>
          <w:sz w:val="24"/>
          <w:szCs w:val="24"/>
        </w:rPr>
        <w:t>s</w:t>
      </w:r>
      <w:r w:rsidRPr="00DF1B7A">
        <w:rPr>
          <w:rFonts w:asciiTheme="majorBidi" w:hAnsiTheme="majorBidi" w:cstheme="majorBidi"/>
          <w:sz w:val="24"/>
          <w:szCs w:val="24"/>
        </w:rPr>
        <w:t xml:space="preserve"> to the </w:t>
      </w:r>
      <w:r w:rsidRPr="00A1682B">
        <w:rPr>
          <w:rFonts w:asciiTheme="majorBidi" w:hAnsiTheme="majorBidi" w:cstheme="majorBidi"/>
          <w:sz w:val="24"/>
          <w:szCs w:val="24"/>
        </w:rPr>
        <w:t>company’s voluntarily commitment to society that goes beyond its own financial profits, meets and exceeds economic, social, legal, and ethical expectations of stakeholders and society</w:t>
      </w:r>
      <w:r>
        <w:rPr>
          <w:rFonts w:asciiTheme="majorBidi" w:hAnsiTheme="majorBidi" w:cstheme="majorBidi"/>
          <w:sz w:val="24"/>
          <w:szCs w:val="24"/>
        </w:rPr>
        <w:t xml:space="preserve"> </w:t>
      </w:r>
      <w:sdt>
        <w:sdtPr>
          <w:rPr>
            <w:rFonts w:asciiTheme="majorBidi" w:hAnsiTheme="majorBidi" w:cstheme="majorBidi"/>
            <w:sz w:val="24"/>
            <w:szCs w:val="24"/>
          </w:rPr>
          <w:id w:val="-74710609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CITATION Car79 \m Fal07 \m Kim17 \t  \l 2057  \m YuJ22</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(Carroll, 1979; Falck &amp; Heblich, 2007; Kim Y. , 2017; Yu, Lho, &amp; Han,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201B8E">
        <w:rPr>
          <w:rFonts w:asciiTheme="majorBidi" w:hAnsiTheme="majorBidi" w:cstheme="majorBidi"/>
          <w:sz w:val="24"/>
          <w:szCs w:val="24"/>
        </w:rPr>
        <w:t xml:space="preserve">Based on Carroll’s </w:t>
      </w:r>
      <w:sdt>
        <w:sdtPr>
          <w:rPr>
            <w:rFonts w:asciiTheme="majorBidi" w:hAnsiTheme="majorBidi" w:cstheme="majorBidi"/>
            <w:sz w:val="24"/>
            <w:szCs w:val="24"/>
          </w:rPr>
          <w:id w:val="-182527059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Car79 \n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(1979)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201B8E">
        <w:rPr>
          <w:rFonts w:asciiTheme="majorBidi" w:hAnsiTheme="majorBidi" w:cstheme="majorBidi"/>
          <w:sz w:val="24"/>
          <w:szCs w:val="24"/>
        </w:rPr>
        <w:t xml:space="preserve">conceptualisation of CSR, firms execute social initiatives based on </w:t>
      </w:r>
      <w:r>
        <w:rPr>
          <w:rFonts w:asciiTheme="majorBidi" w:hAnsiTheme="majorBidi" w:cstheme="majorBidi"/>
          <w:sz w:val="24"/>
          <w:szCs w:val="24"/>
        </w:rPr>
        <w:t xml:space="preserve">the </w:t>
      </w:r>
      <w:r w:rsidRPr="00201B8E">
        <w:rPr>
          <w:rFonts w:asciiTheme="majorBidi" w:hAnsiTheme="majorBidi" w:cstheme="majorBidi"/>
          <w:sz w:val="24"/>
          <w:szCs w:val="24"/>
        </w:rPr>
        <w:t>corporate social performance conceptual model that are four-fold. These folds include whether CSR first, go</w:t>
      </w:r>
      <w:r w:rsidR="00E12E97">
        <w:rPr>
          <w:rFonts w:asciiTheme="majorBidi" w:hAnsiTheme="majorBidi" w:cstheme="majorBidi"/>
          <w:sz w:val="24"/>
          <w:szCs w:val="24"/>
        </w:rPr>
        <w:t>es</w:t>
      </w:r>
      <w:r w:rsidRPr="00201B8E">
        <w:rPr>
          <w:rFonts w:asciiTheme="majorBidi" w:hAnsiTheme="majorBidi" w:cstheme="majorBidi"/>
          <w:sz w:val="24"/>
          <w:szCs w:val="24"/>
        </w:rPr>
        <w:t xml:space="preserve"> beyond the economic goals of the firm</w:t>
      </w:r>
      <w:r w:rsidR="00E12E97">
        <w:rPr>
          <w:rFonts w:asciiTheme="majorBidi" w:hAnsiTheme="majorBidi" w:cstheme="majorBidi"/>
          <w:sz w:val="24"/>
          <w:szCs w:val="24"/>
        </w:rPr>
        <w:t>,</w:t>
      </w:r>
      <w:r w:rsidRPr="00201B8E">
        <w:rPr>
          <w:rFonts w:asciiTheme="majorBidi" w:hAnsiTheme="majorBidi" w:cstheme="majorBidi"/>
          <w:sz w:val="24"/>
          <w:szCs w:val="24"/>
        </w:rPr>
        <w:t xml:space="preserve"> second, go</w:t>
      </w:r>
      <w:r w:rsidR="00E12E97">
        <w:rPr>
          <w:rFonts w:asciiTheme="majorBidi" w:hAnsiTheme="majorBidi" w:cstheme="majorBidi"/>
          <w:sz w:val="24"/>
          <w:szCs w:val="24"/>
        </w:rPr>
        <w:t>es</w:t>
      </w:r>
      <w:r w:rsidRPr="00201B8E">
        <w:rPr>
          <w:rFonts w:asciiTheme="majorBidi" w:hAnsiTheme="majorBidi" w:cstheme="majorBidi"/>
          <w:sz w:val="24"/>
          <w:szCs w:val="24"/>
        </w:rPr>
        <w:t xml:space="preserve"> beyond the minimum legal requirements of the country</w:t>
      </w:r>
      <w:r w:rsidR="00E12E97">
        <w:rPr>
          <w:rFonts w:asciiTheme="majorBidi" w:hAnsiTheme="majorBidi" w:cstheme="majorBidi"/>
          <w:sz w:val="24"/>
          <w:szCs w:val="24"/>
        </w:rPr>
        <w:t>,</w:t>
      </w:r>
      <w:r w:rsidRPr="00201B8E">
        <w:rPr>
          <w:rFonts w:asciiTheme="majorBidi" w:hAnsiTheme="majorBidi" w:cstheme="majorBidi"/>
          <w:sz w:val="24"/>
          <w:szCs w:val="24"/>
        </w:rPr>
        <w:t xml:space="preserve"> third, attend</w:t>
      </w:r>
      <w:r w:rsidR="00B23922">
        <w:rPr>
          <w:rFonts w:asciiTheme="majorBidi" w:hAnsiTheme="majorBidi" w:cstheme="majorBidi"/>
          <w:sz w:val="24"/>
          <w:szCs w:val="24"/>
        </w:rPr>
        <w:t>s</w:t>
      </w:r>
      <w:r w:rsidRPr="00201B8E">
        <w:rPr>
          <w:rFonts w:asciiTheme="majorBidi" w:hAnsiTheme="majorBidi" w:cstheme="majorBidi"/>
          <w:sz w:val="24"/>
          <w:szCs w:val="24"/>
        </w:rPr>
        <w:t xml:space="preserve"> to an existing issue pertained to the economy, society, environment, health, education, etc</w:t>
      </w:r>
      <w:r w:rsidR="00B23922">
        <w:rPr>
          <w:rFonts w:asciiTheme="majorBidi" w:hAnsiTheme="majorBidi" w:cstheme="majorBidi"/>
          <w:sz w:val="24"/>
          <w:szCs w:val="24"/>
        </w:rPr>
        <w:t>,</w:t>
      </w:r>
      <w:r w:rsidRPr="00201B8E">
        <w:rPr>
          <w:rFonts w:asciiTheme="majorBidi" w:hAnsiTheme="majorBidi" w:cstheme="majorBidi"/>
          <w:sz w:val="24"/>
          <w:szCs w:val="24"/>
        </w:rPr>
        <w:t xml:space="preserve"> and fourth, </w:t>
      </w:r>
      <w:r w:rsidR="00B23922">
        <w:rPr>
          <w:rFonts w:asciiTheme="majorBidi" w:hAnsiTheme="majorBidi" w:cstheme="majorBidi"/>
          <w:sz w:val="24"/>
          <w:szCs w:val="24"/>
        </w:rPr>
        <w:t>is</w:t>
      </w:r>
      <w:r w:rsidRPr="00201B8E">
        <w:rPr>
          <w:rFonts w:asciiTheme="majorBidi" w:hAnsiTheme="majorBidi" w:cstheme="majorBidi"/>
          <w:sz w:val="24"/>
          <w:szCs w:val="24"/>
        </w:rPr>
        <w:t xml:space="preserve"> reactive or proactive in nature</w:t>
      </w:r>
      <w:r>
        <w:rPr>
          <w:rFonts w:asciiTheme="majorBidi" w:hAnsiTheme="majorBidi" w:cstheme="majorBidi"/>
          <w:sz w:val="24"/>
          <w:szCs w:val="24"/>
        </w:rPr>
        <w:t xml:space="preserve"> </w:t>
      </w:r>
      <w:sdt>
        <w:sdtPr>
          <w:rPr>
            <w:rFonts w:asciiTheme="majorBidi" w:hAnsiTheme="majorBidi" w:cstheme="majorBidi"/>
            <w:sz w:val="24"/>
            <w:szCs w:val="24"/>
          </w:rPr>
          <w:id w:val="-31641823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Car79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(Carroll, 1979)</w:t>
          </w:r>
          <w:r>
            <w:rPr>
              <w:rFonts w:asciiTheme="majorBidi" w:hAnsiTheme="majorBidi" w:cstheme="majorBidi"/>
              <w:sz w:val="24"/>
              <w:szCs w:val="24"/>
            </w:rPr>
            <w:fldChar w:fldCharType="end"/>
          </w:r>
        </w:sdtContent>
      </w:sdt>
      <w:r w:rsidRPr="00201B8E">
        <w:rPr>
          <w:rFonts w:asciiTheme="majorBidi" w:hAnsiTheme="majorBidi" w:cstheme="majorBidi"/>
          <w:sz w:val="24"/>
          <w:szCs w:val="24"/>
        </w:rPr>
        <w:t>. Proactive CSR strategies are those that are initiated by the company</w:t>
      </w:r>
      <w:r w:rsidR="00B23922">
        <w:rPr>
          <w:rFonts w:asciiTheme="majorBidi" w:hAnsiTheme="majorBidi" w:cstheme="majorBidi"/>
          <w:sz w:val="24"/>
          <w:szCs w:val="24"/>
        </w:rPr>
        <w:t>,</w:t>
      </w:r>
      <w:r w:rsidRPr="00201B8E">
        <w:rPr>
          <w:rFonts w:asciiTheme="majorBidi" w:hAnsiTheme="majorBidi" w:cstheme="majorBidi"/>
          <w:sz w:val="24"/>
          <w:szCs w:val="24"/>
        </w:rPr>
        <w:t xml:space="preserve"> whereas reactive CSR strategies are launched in response to a corporate disaster with the intention to enhance the company’s image</w:t>
      </w:r>
      <w:r>
        <w:rPr>
          <w:rFonts w:asciiTheme="majorBidi" w:hAnsiTheme="majorBidi" w:cstheme="majorBidi"/>
          <w:sz w:val="24"/>
          <w:szCs w:val="24"/>
        </w:rPr>
        <w:t xml:space="preserve"> </w:t>
      </w:r>
      <w:sdt>
        <w:sdtPr>
          <w:rPr>
            <w:rFonts w:asciiTheme="majorBidi" w:hAnsiTheme="majorBidi" w:cstheme="majorBidi"/>
            <w:sz w:val="24"/>
            <w:szCs w:val="24"/>
          </w:rPr>
          <w:id w:val="157739957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Kim17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(Kim Y. , 2017)</w:t>
          </w:r>
          <w:r>
            <w:rPr>
              <w:rFonts w:asciiTheme="majorBidi" w:hAnsiTheme="majorBidi" w:cstheme="majorBidi"/>
              <w:sz w:val="24"/>
              <w:szCs w:val="24"/>
            </w:rPr>
            <w:fldChar w:fldCharType="end"/>
          </w:r>
        </w:sdtContent>
      </w:sdt>
      <w:r w:rsidRPr="00201B8E">
        <w:rPr>
          <w:rFonts w:asciiTheme="majorBidi" w:hAnsiTheme="majorBidi" w:cstheme="majorBidi"/>
          <w:sz w:val="24"/>
          <w:szCs w:val="24"/>
        </w:rPr>
        <w:t xml:space="preserve">. Most notably, in 2011, the </w:t>
      </w:r>
      <w:bookmarkStart w:id="14" w:name="_Hlk128132827"/>
      <w:r w:rsidRPr="00201B8E">
        <w:rPr>
          <w:rFonts w:asciiTheme="majorBidi" w:hAnsiTheme="majorBidi" w:cstheme="majorBidi"/>
          <w:sz w:val="24"/>
          <w:szCs w:val="24"/>
        </w:rPr>
        <w:t xml:space="preserve">international organization for standardization (ISO), </w:t>
      </w:r>
      <w:bookmarkEnd w:id="14"/>
      <w:r w:rsidRPr="00201B8E">
        <w:rPr>
          <w:rFonts w:asciiTheme="majorBidi" w:hAnsiTheme="majorBidi" w:cstheme="majorBidi"/>
          <w:sz w:val="24"/>
          <w:szCs w:val="24"/>
        </w:rPr>
        <w:t>defined CSR and published a framework as a guidance on CSR that can be implemented by any organization. ISO</w:t>
      </w:r>
      <w:sdt>
        <w:sdtPr>
          <w:rPr>
            <w:rFonts w:asciiTheme="majorBidi" w:hAnsiTheme="majorBidi" w:cstheme="majorBidi"/>
            <w:sz w:val="24"/>
            <w:szCs w:val="24"/>
          </w:rPr>
          <w:id w:val="52915414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ISO11 \n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(2011)</w:t>
          </w:r>
          <w:r>
            <w:rPr>
              <w:rFonts w:asciiTheme="majorBidi" w:hAnsiTheme="majorBidi" w:cstheme="majorBidi"/>
              <w:sz w:val="24"/>
              <w:szCs w:val="24"/>
            </w:rPr>
            <w:fldChar w:fldCharType="end"/>
          </w:r>
        </w:sdtContent>
      </w:sdt>
      <w:r w:rsidRPr="00201B8E">
        <w:rPr>
          <w:rFonts w:asciiTheme="majorBidi" w:hAnsiTheme="majorBidi" w:cstheme="majorBidi"/>
          <w:sz w:val="24"/>
          <w:szCs w:val="24"/>
        </w:rPr>
        <w:t xml:space="preserve"> defined CSR as the responsibility that the organization bears towards society and the environment through transparent and ethical actions and contributions towards the health and welfare of society while meeting the expectations of stakeholders.</w:t>
      </w:r>
      <w:r>
        <w:rPr>
          <w:rFonts w:asciiTheme="majorBidi" w:hAnsiTheme="majorBidi" w:cstheme="majorBidi"/>
          <w:sz w:val="24"/>
          <w:szCs w:val="24"/>
        </w:rPr>
        <w:t xml:space="preserve"> </w:t>
      </w:r>
      <w:r w:rsidR="00122C76">
        <w:rPr>
          <w:rFonts w:asciiTheme="majorBidi" w:hAnsiTheme="majorBidi" w:cstheme="majorBidi"/>
          <w:sz w:val="24"/>
          <w:szCs w:val="24"/>
        </w:rPr>
        <w:t>In this study</w:t>
      </w:r>
      <w:r>
        <w:rPr>
          <w:rFonts w:asciiTheme="majorBidi" w:hAnsiTheme="majorBidi" w:cstheme="majorBidi"/>
          <w:sz w:val="24"/>
          <w:szCs w:val="24"/>
        </w:rPr>
        <w:t>, CSR communication refers to the communication and advertising initiatives about the companies CSR strategies and initiatives</w:t>
      </w:r>
      <w:sdt>
        <w:sdtPr>
          <w:rPr>
            <w:rFonts w:asciiTheme="majorBidi" w:hAnsiTheme="majorBidi" w:cstheme="majorBidi"/>
            <w:sz w:val="24"/>
            <w:szCs w:val="24"/>
          </w:rPr>
          <w:id w:val="-119654024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Ras17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(Rasche, Morsing , &amp; Moon,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642CF1">
        <w:rPr>
          <w:rFonts w:asciiTheme="majorBidi" w:hAnsiTheme="majorBidi" w:cstheme="majorBidi"/>
          <w:sz w:val="24"/>
          <w:szCs w:val="24"/>
        </w:rPr>
        <w:t xml:space="preserve">Also, it is important to note that CSR, social </w:t>
      </w:r>
      <w:r w:rsidR="00E920F3">
        <w:rPr>
          <w:rFonts w:asciiTheme="majorBidi" w:hAnsiTheme="majorBidi" w:cstheme="majorBidi"/>
          <w:sz w:val="24"/>
          <w:szCs w:val="24"/>
        </w:rPr>
        <w:t>marketing,</w:t>
      </w:r>
      <w:r w:rsidR="00642CF1">
        <w:rPr>
          <w:rFonts w:asciiTheme="majorBidi" w:hAnsiTheme="majorBidi" w:cstheme="majorBidi"/>
          <w:sz w:val="24"/>
          <w:szCs w:val="24"/>
        </w:rPr>
        <w:t xml:space="preserve"> and cause-related marketing have some similarities and other dissimilar elements </w:t>
      </w:r>
      <w:sdt>
        <w:sdtPr>
          <w:rPr>
            <w:rFonts w:asciiTheme="majorBidi" w:hAnsiTheme="majorBidi" w:cstheme="majorBidi"/>
            <w:sz w:val="24"/>
            <w:szCs w:val="24"/>
          </w:rPr>
          <w:id w:val="789016940"/>
          <w:citation/>
        </w:sdtPr>
        <w:sdtContent>
          <w:r w:rsidR="00642CF1">
            <w:rPr>
              <w:rFonts w:asciiTheme="majorBidi" w:hAnsiTheme="majorBidi" w:cstheme="majorBidi"/>
              <w:sz w:val="24"/>
              <w:szCs w:val="24"/>
            </w:rPr>
            <w:fldChar w:fldCharType="begin"/>
          </w:r>
          <w:r w:rsidR="00642CF1">
            <w:rPr>
              <w:rFonts w:asciiTheme="majorBidi" w:hAnsiTheme="majorBidi" w:cstheme="majorBidi"/>
              <w:sz w:val="24"/>
              <w:szCs w:val="24"/>
            </w:rPr>
            <w:instrText xml:space="preserve"> CITATION Cus12 \l 2057 </w:instrText>
          </w:r>
          <w:r w:rsidR="00DD04DE">
            <w:rPr>
              <w:rFonts w:asciiTheme="majorBidi" w:hAnsiTheme="majorBidi" w:cstheme="majorBidi"/>
              <w:sz w:val="24"/>
              <w:szCs w:val="24"/>
            </w:rPr>
            <w:instrText xml:space="preserve"> \m Moy22</w:instrText>
          </w:r>
          <w:r w:rsidR="00642CF1">
            <w:rPr>
              <w:rFonts w:asciiTheme="majorBidi" w:hAnsiTheme="majorBidi" w:cstheme="majorBidi"/>
              <w:sz w:val="24"/>
              <w:szCs w:val="24"/>
            </w:rPr>
            <w:fldChar w:fldCharType="separate"/>
          </w:r>
          <w:r w:rsidR="00DD04DE" w:rsidRPr="00DD04DE">
            <w:rPr>
              <w:rFonts w:asciiTheme="majorBidi" w:hAnsiTheme="majorBidi" w:cstheme="majorBidi"/>
              <w:noProof/>
              <w:sz w:val="24"/>
              <w:szCs w:val="24"/>
            </w:rPr>
            <w:t>(Cusot &amp; Falconi, 2012; Moyo, Duffett, &amp; Knott, 2022)</w:t>
          </w:r>
          <w:r w:rsidR="00642CF1">
            <w:rPr>
              <w:rFonts w:asciiTheme="majorBidi" w:hAnsiTheme="majorBidi" w:cstheme="majorBidi"/>
              <w:sz w:val="24"/>
              <w:szCs w:val="24"/>
            </w:rPr>
            <w:fldChar w:fldCharType="end"/>
          </w:r>
        </w:sdtContent>
      </w:sdt>
      <w:r w:rsidR="00642CF1">
        <w:rPr>
          <w:rFonts w:asciiTheme="majorBidi" w:hAnsiTheme="majorBidi" w:cstheme="majorBidi"/>
          <w:sz w:val="24"/>
          <w:szCs w:val="24"/>
        </w:rPr>
        <w:t xml:space="preserve">. Therefore, the below table gives a brief summary of the main definitions of each </w:t>
      </w:r>
      <w:r w:rsidR="00DD04DE">
        <w:rPr>
          <w:rFonts w:asciiTheme="majorBidi" w:hAnsiTheme="majorBidi" w:cstheme="majorBidi"/>
          <w:sz w:val="24"/>
          <w:szCs w:val="24"/>
        </w:rPr>
        <w:t>concept</w:t>
      </w:r>
      <w:r w:rsidR="00642CF1">
        <w:rPr>
          <w:rFonts w:asciiTheme="majorBidi" w:hAnsiTheme="majorBidi" w:cstheme="majorBidi"/>
          <w:sz w:val="24"/>
          <w:szCs w:val="24"/>
        </w:rPr>
        <w:t xml:space="preserve"> which explains the main difference between them. </w:t>
      </w:r>
    </w:p>
    <w:tbl>
      <w:tblPr>
        <w:tblStyle w:val="TableGrid"/>
        <w:tblW w:w="8505" w:type="dxa"/>
        <w:tblInd w:w="250" w:type="dxa"/>
        <w:tblLook w:val="04A0" w:firstRow="1" w:lastRow="0" w:firstColumn="1" w:lastColumn="0" w:noHBand="0" w:noVBand="1"/>
      </w:tblPr>
      <w:tblGrid>
        <w:gridCol w:w="1276"/>
        <w:gridCol w:w="2268"/>
        <w:gridCol w:w="2410"/>
        <w:gridCol w:w="2551"/>
      </w:tblGrid>
      <w:tr w:rsidR="00642CF1" w:rsidRPr="00151ABA" w14:paraId="43EE0240" w14:textId="77777777" w:rsidTr="00026112">
        <w:trPr>
          <w:trHeight w:val="282"/>
        </w:trPr>
        <w:tc>
          <w:tcPr>
            <w:tcW w:w="1276" w:type="dxa"/>
          </w:tcPr>
          <w:p w14:paraId="3DF35700" w14:textId="77777777" w:rsidR="00642CF1" w:rsidRPr="00151ABA" w:rsidRDefault="00642CF1" w:rsidP="00392365">
            <w:pPr>
              <w:jc w:val="lowKashida"/>
              <w:rPr>
                <w:rFonts w:asciiTheme="majorBidi" w:hAnsiTheme="majorBidi" w:cstheme="majorBidi"/>
                <w:sz w:val="20"/>
                <w:szCs w:val="20"/>
              </w:rPr>
            </w:pPr>
          </w:p>
        </w:tc>
        <w:tc>
          <w:tcPr>
            <w:tcW w:w="2268" w:type="dxa"/>
          </w:tcPr>
          <w:p w14:paraId="3B5D6B66" w14:textId="5A5E8DC7" w:rsidR="00642CF1" w:rsidRPr="00151ABA" w:rsidRDefault="00642CF1" w:rsidP="00392365">
            <w:pPr>
              <w:jc w:val="lowKashida"/>
              <w:rPr>
                <w:rFonts w:asciiTheme="majorBidi" w:hAnsiTheme="majorBidi" w:cstheme="majorBidi"/>
                <w:sz w:val="20"/>
                <w:szCs w:val="20"/>
              </w:rPr>
            </w:pPr>
            <w:r w:rsidRPr="00151ABA">
              <w:rPr>
                <w:rFonts w:asciiTheme="majorBidi" w:hAnsiTheme="majorBidi" w:cstheme="majorBidi"/>
                <w:sz w:val="20"/>
                <w:szCs w:val="20"/>
              </w:rPr>
              <w:t>CSR</w:t>
            </w:r>
          </w:p>
        </w:tc>
        <w:tc>
          <w:tcPr>
            <w:tcW w:w="2410" w:type="dxa"/>
          </w:tcPr>
          <w:p w14:paraId="09EDFE13" w14:textId="2C8736A6" w:rsidR="00642CF1" w:rsidRPr="00151ABA" w:rsidRDefault="00642CF1" w:rsidP="00392365">
            <w:pPr>
              <w:jc w:val="lowKashida"/>
              <w:rPr>
                <w:rFonts w:asciiTheme="majorBidi" w:hAnsiTheme="majorBidi" w:cstheme="majorBidi"/>
                <w:sz w:val="20"/>
                <w:szCs w:val="20"/>
              </w:rPr>
            </w:pPr>
            <w:r w:rsidRPr="00151ABA">
              <w:rPr>
                <w:rFonts w:asciiTheme="majorBidi" w:hAnsiTheme="majorBidi" w:cstheme="majorBidi"/>
                <w:sz w:val="20"/>
                <w:szCs w:val="20"/>
              </w:rPr>
              <w:t xml:space="preserve">Social Marketing </w:t>
            </w:r>
          </w:p>
        </w:tc>
        <w:tc>
          <w:tcPr>
            <w:tcW w:w="2551" w:type="dxa"/>
          </w:tcPr>
          <w:p w14:paraId="0A38E676" w14:textId="5D11F548" w:rsidR="00642CF1" w:rsidRPr="00151ABA" w:rsidRDefault="00642CF1" w:rsidP="00392365">
            <w:pPr>
              <w:jc w:val="lowKashida"/>
              <w:rPr>
                <w:rFonts w:asciiTheme="majorBidi" w:hAnsiTheme="majorBidi" w:cstheme="majorBidi"/>
                <w:sz w:val="20"/>
                <w:szCs w:val="20"/>
              </w:rPr>
            </w:pPr>
            <w:r w:rsidRPr="00151ABA">
              <w:rPr>
                <w:rFonts w:asciiTheme="majorBidi" w:hAnsiTheme="majorBidi" w:cstheme="majorBidi"/>
                <w:sz w:val="20"/>
                <w:szCs w:val="20"/>
              </w:rPr>
              <w:t xml:space="preserve">Cause-Related Marketing </w:t>
            </w:r>
          </w:p>
        </w:tc>
      </w:tr>
      <w:tr w:rsidR="00642CF1" w:rsidRPr="00151ABA" w14:paraId="186A8F99" w14:textId="77777777" w:rsidTr="00026112">
        <w:tc>
          <w:tcPr>
            <w:tcW w:w="1276" w:type="dxa"/>
          </w:tcPr>
          <w:p w14:paraId="083D0474" w14:textId="51D7F57F" w:rsidR="00642CF1" w:rsidRPr="00151ABA" w:rsidRDefault="003D15F2" w:rsidP="00C16333">
            <w:pPr>
              <w:spacing w:line="480" w:lineRule="auto"/>
              <w:jc w:val="lowKashida"/>
              <w:rPr>
                <w:rFonts w:asciiTheme="majorBidi" w:hAnsiTheme="majorBidi" w:cstheme="majorBidi"/>
                <w:sz w:val="20"/>
                <w:szCs w:val="20"/>
              </w:rPr>
            </w:pPr>
            <w:r w:rsidRPr="00151ABA">
              <w:rPr>
                <w:rFonts w:asciiTheme="majorBidi" w:hAnsiTheme="majorBidi" w:cstheme="majorBidi"/>
                <w:sz w:val="20"/>
                <w:szCs w:val="20"/>
              </w:rPr>
              <w:t>Definition</w:t>
            </w:r>
            <w:r w:rsidR="0049009A" w:rsidRPr="00151ABA">
              <w:rPr>
                <w:rFonts w:asciiTheme="majorBidi" w:hAnsiTheme="majorBidi" w:cstheme="majorBidi"/>
                <w:sz w:val="20"/>
                <w:szCs w:val="20"/>
              </w:rPr>
              <w:t>s</w:t>
            </w:r>
          </w:p>
        </w:tc>
        <w:tc>
          <w:tcPr>
            <w:tcW w:w="2268" w:type="dxa"/>
          </w:tcPr>
          <w:p w14:paraId="27E0851F" w14:textId="70CF039D" w:rsidR="00642CF1" w:rsidRPr="00151ABA" w:rsidRDefault="00A12011" w:rsidP="00AB6CAA">
            <w:pPr>
              <w:jc w:val="both"/>
              <w:rPr>
                <w:rFonts w:asciiTheme="majorBidi" w:hAnsiTheme="majorBidi" w:cstheme="majorBidi"/>
                <w:sz w:val="20"/>
                <w:szCs w:val="20"/>
              </w:rPr>
            </w:pPr>
            <w:r w:rsidRPr="00151ABA">
              <w:rPr>
                <w:rFonts w:asciiTheme="majorBidi" w:hAnsiTheme="majorBidi" w:cstheme="majorBidi"/>
                <w:sz w:val="20"/>
                <w:szCs w:val="20"/>
              </w:rPr>
              <w:t>CSR refers to the company's voluntary and philanthropic activities that go beyond minimal legal requirements that entail</w:t>
            </w:r>
            <w:r w:rsidR="00936B55" w:rsidRPr="00151ABA">
              <w:rPr>
                <w:rFonts w:asciiTheme="majorBidi" w:hAnsiTheme="majorBidi" w:cstheme="majorBidi"/>
                <w:sz w:val="20"/>
                <w:szCs w:val="20"/>
              </w:rPr>
              <w:t xml:space="preserve"> involving</w:t>
            </w:r>
            <w:r w:rsidRPr="00151ABA">
              <w:rPr>
                <w:rFonts w:asciiTheme="majorBidi" w:hAnsiTheme="majorBidi" w:cstheme="majorBidi"/>
                <w:sz w:val="20"/>
                <w:szCs w:val="20"/>
              </w:rPr>
              <w:t xml:space="preserve"> social, economic, and environmental challenges environmental considerations into</w:t>
            </w:r>
            <w:r w:rsidR="00936B55" w:rsidRPr="00151ABA">
              <w:rPr>
                <w:rFonts w:asciiTheme="majorBidi" w:hAnsiTheme="majorBidi" w:cstheme="majorBidi"/>
                <w:sz w:val="20"/>
                <w:szCs w:val="20"/>
              </w:rPr>
              <w:t xml:space="preserve"> its</w:t>
            </w:r>
            <w:r w:rsidRPr="00151ABA">
              <w:rPr>
                <w:rFonts w:asciiTheme="majorBidi" w:hAnsiTheme="majorBidi" w:cstheme="majorBidi"/>
                <w:sz w:val="20"/>
                <w:szCs w:val="20"/>
              </w:rPr>
              <w:t xml:space="preserve"> practises</w:t>
            </w:r>
            <w:r w:rsidR="00936B55" w:rsidRPr="00151ABA">
              <w:rPr>
                <w:rFonts w:asciiTheme="majorBidi" w:hAnsiTheme="majorBidi" w:cstheme="majorBidi"/>
                <w:sz w:val="20"/>
                <w:szCs w:val="20"/>
              </w:rPr>
              <w:t xml:space="preserve"> </w:t>
            </w:r>
            <w:sdt>
              <w:sdtPr>
                <w:rPr>
                  <w:rFonts w:asciiTheme="majorBidi" w:hAnsiTheme="majorBidi" w:cstheme="majorBidi"/>
                  <w:sz w:val="20"/>
                  <w:szCs w:val="20"/>
                </w:rPr>
                <w:id w:val="-1983462282"/>
                <w:citation/>
              </w:sdtPr>
              <w:sdtContent>
                <w:r w:rsidR="00936B55" w:rsidRPr="00151ABA">
                  <w:rPr>
                    <w:rFonts w:asciiTheme="majorBidi" w:hAnsiTheme="majorBidi" w:cstheme="majorBidi"/>
                    <w:sz w:val="20"/>
                    <w:szCs w:val="20"/>
                  </w:rPr>
                  <w:fldChar w:fldCharType="begin"/>
                </w:r>
                <w:r w:rsidR="00936B55" w:rsidRPr="00151ABA">
                  <w:rPr>
                    <w:rFonts w:asciiTheme="majorBidi" w:hAnsiTheme="majorBidi" w:cstheme="majorBidi"/>
                    <w:sz w:val="20"/>
                    <w:szCs w:val="20"/>
                  </w:rPr>
                  <w:instrText xml:space="preserve"> CITATION Gal19 \l 2057 </w:instrText>
                </w:r>
                <w:r w:rsidR="00936B55" w:rsidRPr="00151ABA">
                  <w:rPr>
                    <w:rFonts w:asciiTheme="majorBidi" w:hAnsiTheme="majorBidi" w:cstheme="majorBidi"/>
                    <w:sz w:val="20"/>
                    <w:szCs w:val="20"/>
                  </w:rPr>
                  <w:fldChar w:fldCharType="separate"/>
                </w:r>
                <w:r w:rsidR="00936B55" w:rsidRPr="00151ABA">
                  <w:rPr>
                    <w:rFonts w:asciiTheme="majorBidi" w:hAnsiTheme="majorBidi" w:cstheme="majorBidi"/>
                    <w:noProof/>
                    <w:sz w:val="20"/>
                    <w:szCs w:val="20"/>
                  </w:rPr>
                  <w:t>(Gallardo-Vázquez, Valdez-Juárez, &amp; Lizcano-Álvarez, 2019)</w:t>
                </w:r>
                <w:r w:rsidR="00936B55" w:rsidRPr="00151ABA">
                  <w:rPr>
                    <w:rFonts w:asciiTheme="majorBidi" w:hAnsiTheme="majorBidi" w:cstheme="majorBidi"/>
                    <w:sz w:val="20"/>
                    <w:szCs w:val="20"/>
                  </w:rPr>
                  <w:fldChar w:fldCharType="end"/>
                </w:r>
              </w:sdtContent>
            </w:sdt>
            <w:r w:rsidR="00936B55" w:rsidRPr="00151ABA">
              <w:rPr>
                <w:rFonts w:asciiTheme="majorBidi" w:hAnsiTheme="majorBidi" w:cstheme="majorBidi"/>
                <w:sz w:val="20"/>
                <w:szCs w:val="20"/>
              </w:rPr>
              <w:t xml:space="preserve">. </w:t>
            </w:r>
          </w:p>
        </w:tc>
        <w:tc>
          <w:tcPr>
            <w:tcW w:w="2410" w:type="dxa"/>
          </w:tcPr>
          <w:p w14:paraId="6B5FCBD4" w14:textId="44847B3D" w:rsidR="00AB6CAA" w:rsidRPr="00151ABA" w:rsidRDefault="00AB6CAA" w:rsidP="00AB6CAA">
            <w:pPr>
              <w:jc w:val="both"/>
              <w:rPr>
                <w:rFonts w:asciiTheme="majorBidi" w:hAnsiTheme="majorBidi" w:cstheme="majorBidi"/>
                <w:sz w:val="20"/>
                <w:szCs w:val="20"/>
              </w:rPr>
            </w:pPr>
            <w:r w:rsidRPr="00151ABA">
              <w:rPr>
                <w:rFonts w:asciiTheme="majorBidi" w:hAnsiTheme="majorBidi" w:cstheme="majorBidi"/>
                <w:sz w:val="20"/>
                <w:szCs w:val="20"/>
              </w:rPr>
              <w:t>Social marketing is aimed towards designing and implementing programmes focused on behavioural change and promoting positive behaviour and prevent negative behaviour through the application of marketing strategies and practises</w:t>
            </w:r>
            <w:sdt>
              <w:sdtPr>
                <w:rPr>
                  <w:rFonts w:asciiTheme="majorBidi" w:hAnsiTheme="majorBidi" w:cstheme="majorBidi"/>
                  <w:sz w:val="20"/>
                  <w:szCs w:val="20"/>
                </w:rPr>
                <w:id w:val="527453070"/>
                <w:citation/>
              </w:sdtPr>
              <w:sdtContent>
                <w:r w:rsidRPr="00151ABA">
                  <w:rPr>
                    <w:rFonts w:asciiTheme="majorBidi" w:hAnsiTheme="majorBidi" w:cstheme="majorBidi"/>
                    <w:sz w:val="20"/>
                    <w:szCs w:val="20"/>
                  </w:rPr>
                  <w:fldChar w:fldCharType="begin"/>
                </w:r>
                <w:r w:rsidRPr="00151ABA">
                  <w:rPr>
                    <w:rFonts w:asciiTheme="majorBidi" w:hAnsiTheme="majorBidi" w:cstheme="majorBidi"/>
                    <w:sz w:val="20"/>
                    <w:szCs w:val="20"/>
                  </w:rPr>
                  <w:instrText xml:space="preserve"> CITATION Lee20 \l 2057 </w:instrText>
                </w:r>
                <w:r w:rsidRPr="00151ABA">
                  <w:rPr>
                    <w:rFonts w:asciiTheme="majorBidi" w:hAnsiTheme="majorBidi" w:cstheme="majorBidi"/>
                    <w:sz w:val="20"/>
                    <w:szCs w:val="20"/>
                  </w:rPr>
                  <w:fldChar w:fldCharType="separate"/>
                </w:r>
                <w:r w:rsidRPr="00151ABA">
                  <w:rPr>
                    <w:rFonts w:asciiTheme="majorBidi" w:hAnsiTheme="majorBidi" w:cstheme="majorBidi"/>
                    <w:noProof/>
                    <w:sz w:val="20"/>
                    <w:szCs w:val="20"/>
                  </w:rPr>
                  <w:t xml:space="preserve"> (Lee &amp; Kotler, 2020)</w:t>
                </w:r>
                <w:r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w:t>
            </w:r>
          </w:p>
        </w:tc>
        <w:tc>
          <w:tcPr>
            <w:tcW w:w="2551" w:type="dxa"/>
          </w:tcPr>
          <w:p w14:paraId="07CA2A27" w14:textId="05A5AD89" w:rsidR="009E0402" w:rsidRPr="00151ABA" w:rsidRDefault="002D6497" w:rsidP="009E0402">
            <w:pPr>
              <w:rPr>
                <w:sz w:val="20"/>
                <w:szCs w:val="20"/>
              </w:rPr>
            </w:pPr>
            <w:r w:rsidRPr="00151ABA">
              <w:rPr>
                <w:rFonts w:asciiTheme="majorBidi" w:hAnsiTheme="majorBidi" w:cstheme="majorBidi"/>
                <w:sz w:val="20"/>
                <w:szCs w:val="20"/>
              </w:rPr>
              <w:t>Cause-related marketing is frequently organised as a promotional</w:t>
            </w:r>
            <w:r w:rsidR="0023110C" w:rsidRPr="00151ABA">
              <w:rPr>
                <w:rFonts w:asciiTheme="majorBidi" w:hAnsiTheme="majorBidi" w:cstheme="majorBidi"/>
                <w:sz w:val="20"/>
                <w:szCs w:val="20"/>
              </w:rPr>
              <w:t xml:space="preserve">                               </w:t>
            </w:r>
            <w:r w:rsidRPr="00151ABA">
              <w:rPr>
                <w:rFonts w:asciiTheme="majorBidi" w:hAnsiTheme="majorBidi" w:cstheme="majorBidi"/>
                <w:sz w:val="20"/>
                <w:szCs w:val="20"/>
              </w:rPr>
              <w:t xml:space="preserve"> campaign</w:t>
            </w:r>
            <w:r w:rsidR="00DD04DE" w:rsidRPr="00151ABA">
              <w:rPr>
                <w:rFonts w:asciiTheme="majorBidi" w:hAnsiTheme="majorBidi" w:cstheme="majorBidi"/>
                <w:sz w:val="20"/>
                <w:szCs w:val="20"/>
              </w:rPr>
              <w:t xml:space="preserve"> in which usually the company commits to donating a certain percent of sales to</w:t>
            </w:r>
            <w:r w:rsidRPr="00151ABA">
              <w:rPr>
                <w:rFonts w:asciiTheme="majorBidi" w:hAnsiTheme="majorBidi" w:cstheme="majorBidi"/>
                <w:sz w:val="20"/>
                <w:szCs w:val="20"/>
              </w:rPr>
              <w:t xml:space="preserve"> a non-profit organization with </w:t>
            </w:r>
            <w:r w:rsidR="00DD04DE" w:rsidRPr="00151ABA">
              <w:rPr>
                <w:rFonts w:asciiTheme="majorBidi" w:hAnsiTheme="majorBidi" w:cstheme="majorBidi"/>
                <w:sz w:val="20"/>
                <w:szCs w:val="20"/>
              </w:rPr>
              <w:t>a</w:t>
            </w:r>
            <w:r w:rsidRPr="00151ABA">
              <w:rPr>
                <w:rFonts w:asciiTheme="majorBidi" w:hAnsiTheme="majorBidi" w:cstheme="majorBidi"/>
                <w:sz w:val="20"/>
                <w:szCs w:val="20"/>
              </w:rPr>
              <w:t xml:space="preserve"> goal of supporting a social or charitable cause</w:t>
            </w:r>
            <w:r w:rsidR="009E0402" w:rsidRPr="00151ABA">
              <w:rPr>
                <w:rFonts w:asciiTheme="majorBidi" w:hAnsiTheme="majorBidi" w:cstheme="majorBidi"/>
                <w:sz w:val="20"/>
                <w:szCs w:val="20"/>
              </w:rPr>
              <w:t xml:space="preserve"> </w:t>
            </w:r>
            <w:sdt>
              <w:sdtPr>
                <w:rPr>
                  <w:rFonts w:asciiTheme="majorBidi" w:hAnsiTheme="majorBidi" w:cstheme="majorBidi"/>
                  <w:sz w:val="20"/>
                  <w:szCs w:val="20"/>
                </w:rPr>
                <w:id w:val="1580946021"/>
                <w:citation/>
              </w:sdtPr>
              <w:sdtContent>
                <w:r w:rsidR="009E0402" w:rsidRPr="00151ABA">
                  <w:rPr>
                    <w:rFonts w:asciiTheme="majorBidi" w:hAnsiTheme="majorBidi" w:cstheme="majorBidi"/>
                    <w:sz w:val="20"/>
                    <w:szCs w:val="20"/>
                  </w:rPr>
                  <w:fldChar w:fldCharType="begin"/>
                </w:r>
                <w:r w:rsidR="009E0402" w:rsidRPr="00151ABA">
                  <w:rPr>
                    <w:rFonts w:asciiTheme="majorBidi" w:hAnsiTheme="majorBidi" w:cstheme="majorBidi"/>
                    <w:sz w:val="20"/>
                    <w:szCs w:val="20"/>
                  </w:rPr>
                  <w:instrText xml:space="preserve"> CITATION Bei13 \l 2057  \m Var88</w:instrText>
                </w:r>
                <w:r w:rsidR="009E0402" w:rsidRPr="00151ABA">
                  <w:rPr>
                    <w:rFonts w:asciiTheme="majorBidi" w:hAnsiTheme="majorBidi" w:cstheme="majorBidi"/>
                    <w:sz w:val="20"/>
                    <w:szCs w:val="20"/>
                  </w:rPr>
                  <w:fldChar w:fldCharType="separate"/>
                </w:r>
                <w:r w:rsidR="009E0402" w:rsidRPr="00151ABA">
                  <w:rPr>
                    <w:rFonts w:asciiTheme="majorBidi" w:hAnsiTheme="majorBidi" w:cstheme="majorBidi"/>
                    <w:noProof/>
                    <w:sz w:val="20"/>
                    <w:szCs w:val="20"/>
                  </w:rPr>
                  <w:t>(Beise-Zee, 2013; Varadarajan &amp; Menon, 1988)</w:t>
                </w:r>
                <w:r w:rsidR="009E0402" w:rsidRPr="00151ABA">
                  <w:rPr>
                    <w:rFonts w:asciiTheme="majorBidi" w:hAnsiTheme="majorBidi" w:cstheme="majorBidi"/>
                    <w:sz w:val="20"/>
                    <w:szCs w:val="20"/>
                  </w:rPr>
                  <w:fldChar w:fldCharType="end"/>
                </w:r>
              </w:sdtContent>
            </w:sdt>
            <w:r w:rsidR="009E0402" w:rsidRPr="00151ABA">
              <w:rPr>
                <w:rFonts w:asciiTheme="majorBidi" w:hAnsiTheme="majorBidi" w:cstheme="majorBidi"/>
                <w:sz w:val="20"/>
                <w:szCs w:val="20"/>
              </w:rPr>
              <w:t>.</w:t>
            </w:r>
          </w:p>
          <w:p w14:paraId="551B6E7D" w14:textId="71BFD0B7" w:rsidR="00642CF1" w:rsidRPr="00151ABA" w:rsidRDefault="00642CF1" w:rsidP="002D6497">
            <w:pPr>
              <w:jc w:val="lowKashida"/>
              <w:rPr>
                <w:rFonts w:asciiTheme="majorBidi" w:hAnsiTheme="majorBidi" w:cstheme="majorBidi"/>
                <w:sz w:val="20"/>
                <w:szCs w:val="20"/>
              </w:rPr>
            </w:pPr>
          </w:p>
        </w:tc>
      </w:tr>
      <w:tr w:rsidR="00642CF1" w:rsidRPr="00151ABA" w14:paraId="2BD11ECC" w14:textId="77777777" w:rsidTr="00026112">
        <w:tc>
          <w:tcPr>
            <w:tcW w:w="1276" w:type="dxa"/>
          </w:tcPr>
          <w:p w14:paraId="02ED07D5" w14:textId="0F9001CE" w:rsidR="00642CF1" w:rsidRPr="00151ABA" w:rsidRDefault="003D15F2" w:rsidP="00C16333">
            <w:pPr>
              <w:spacing w:line="480" w:lineRule="auto"/>
              <w:jc w:val="lowKashida"/>
              <w:rPr>
                <w:rFonts w:asciiTheme="majorBidi" w:hAnsiTheme="majorBidi" w:cstheme="majorBidi"/>
                <w:sz w:val="20"/>
                <w:szCs w:val="20"/>
              </w:rPr>
            </w:pPr>
            <w:r w:rsidRPr="00151ABA">
              <w:rPr>
                <w:rFonts w:asciiTheme="majorBidi" w:hAnsiTheme="majorBidi" w:cstheme="majorBidi"/>
                <w:sz w:val="20"/>
                <w:szCs w:val="20"/>
              </w:rPr>
              <w:t>Example</w:t>
            </w:r>
            <w:r w:rsidR="0049009A" w:rsidRPr="00151ABA">
              <w:rPr>
                <w:rFonts w:asciiTheme="majorBidi" w:hAnsiTheme="majorBidi" w:cstheme="majorBidi"/>
                <w:sz w:val="20"/>
                <w:szCs w:val="20"/>
              </w:rPr>
              <w:t>s</w:t>
            </w:r>
          </w:p>
        </w:tc>
        <w:tc>
          <w:tcPr>
            <w:tcW w:w="2268" w:type="dxa"/>
          </w:tcPr>
          <w:p w14:paraId="5A522A74" w14:textId="7AA6A21C" w:rsidR="00642CF1" w:rsidRPr="00151ABA" w:rsidRDefault="003D15F2" w:rsidP="004F0FCA">
            <w:pPr>
              <w:jc w:val="lowKashida"/>
              <w:rPr>
                <w:rFonts w:asciiTheme="majorBidi" w:hAnsiTheme="majorBidi" w:cstheme="majorBidi"/>
                <w:sz w:val="20"/>
                <w:szCs w:val="20"/>
              </w:rPr>
            </w:pPr>
            <w:r w:rsidRPr="00151ABA">
              <w:rPr>
                <w:rFonts w:asciiTheme="majorBidi" w:hAnsiTheme="majorBidi" w:cstheme="majorBidi"/>
                <w:sz w:val="20"/>
                <w:szCs w:val="20"/>
              </w:rPr>
              <w:t>Pfizer provided cash grants, product donations and access solutions that aided in</w:t>
            </w:r>
            <w:r w:rsidR="004F0FCA" w:rsidRPr="00151ABA">
              <w:rPr>
                <w:rFonts w:asciiTheme="majorBidi" w:hAnsiTheme="majorBidi" w:cstheme="majorBidi"/>
                <w:sz w:val="20"/>
                <w:szCs w:val="20"/>
              </w:rPr>
              <w:t xml:space="preserve"> various</w:t>
            </w:r>
            <w:r w:rsidRPr="00151ABA">
              <w:rPr>
                <w:rFonts w:asciiTheme="majorBidi" w:hAnsiTheme="majorBidi" w:cstheme="majorBidi"/>
                <w:sz w:val="20"/>
                <w:szCs w:val="20"/>
              </w:rPr>
              <w:t xml:space="preserve"> disasters </w:t>
            </w:r>
            <w:r w:rsidR="004F0FCA" w:rsidRPr="00151ABA">
              <w:rPr>
                <w:rFonts w:asciiTheme="majorBidi" w:hAnsiTheme="majorBidi" w:cstheme="majorBidi"/>
                <w:sz w:val="20"/>
                <w:szCs w:val="20"/>
              </w:rPr>
              <w:t xml:space="preserve">such as the refugee crisis in the Middle East, Zika outbreak, the Zika outbreak and Hurricane </w:t>
            </w:r>
            <w:r w:rsidRPr="00151ABA">
              <w:rPr>
                <w:rFonts w:asciiTheme="majorBidi" w:hAnsiTheme="majorBidi" w:cstheme="majorBidi"/>
                <w:sz w:val="20"/>
                <w:szCs w:val="20"/>
              </w:rPr>
              <w:t>Matthew in Haiti and the United States</w:t>
            </w:r>
            <w:sdt>
              <w:sdtPr>
                <w:rPr>
                  <w:rFonts w:asciiTheme="majorBidi" w:hAnsiTheme="majorBidi" w:cstheme="majorBidi"/>
                  <w:sz w:val="20"/>
                  <w:szCs w:val="20"/>
                </w:rPr>
                <w:id w:val="125830428"/>
                <w:citation/>
              </w:sdtPr>
              <w:sdtContent>
                <w:r w:rsidR="004F0FCA" w:rsidRPr="00151ABA">
                  <w:rPr>
                    <w:rFonts w:asciiTheme="majorBidi" w:hAnsiTheme="majorBidi" w:cstheme="majorBidi"/>
                    <w:sz w:val="20"/>
                    <w:szCs w:val="20"/>
                  </w:rPr>
                  <w:fldChar w:fldCharType="begin"/>
                </w:r>
                <w:r w:rsidR="004F0FCA" w:rsidRPr="00151ABA">
                  <w:rPr>
                    <w:rFonts w:asciiTheme="majorBidi" w:hAnsiTheme="majorBidi" w:cstheme="majorBidi"/>
                    <w:sz w:val="20"/>
                    <w:szCs w:val="20"/>
                  </w:rPr>
                  <w:instrText xml:space="preserve"> CITATION Pfi23 \l 2057 </w:instrText>
                </w:r>
                <w:r w:rsidR="004F0FCA" w:rsidRPr="00151ABA">
                  <w:rPr>
                    <w:rFonts w:asciiTheme="majorBidi" w:hAnsiTheme="majorBidi" w:cstheme="majorBidi"/>
                    <w:sz w:val="20"/>
                    <w:szCs w:val="20"/>
                  </w:rPr>
                  <w:fldChar w:fldCharType="separate"/>
                </w:r>
                <w:r w:rsidR="004F0FCA" w:rsidRPr="00151ABA">
                  <w:rPr>
                    <w:rFonts w:asciiTheme="majorBidi" w:hAnsiTheme="majorBidi" w:cstheme="majorBidi"/>
                    <w:noProof/>
                    <w:sz w:val="20"/>
                    <w:szCs w:val="20"/>
                  </w:rPr>
                  <w:t xml:space="preserve"> (Pfizer, 2023)</w:t>
                </w:r>
                <w:r w:rsidR="004F0FCA"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 xml:space="preserve">. </w:t>
            </w:r>
          </w:p>
        </w:tc>
        <w:tc>
          <w:tcPr>
            <w:tcW w:w="2410" w:type="dxa"/>
          </w:tcPr>
          <w:p w14:paraId="1D338733" w14:textId="3AD03B8E" w:rsidR="00642CF1" w:rsidRPr="00151ABA" w:rsidRDefault="008E1310" w:rsidP="003A14AD">
            <w:pPr>
              <w:jc w:val="lowKashida"/>
              <w:rPr>
                <w:rFonts w:asciiTheme="majorBidi" w:hAnsiTheme="majorBidi" w:cstheme="majorBidi"/>
                <w:sz w:val="20"/>
                <w:szCs w:val="20"/>
              </w:rPr>
            </w:pPr>
            <w:r w:rsidRPr="00151ABA">
              <w:rPr>
                <w:rFonts w:asciiTheme="majorBidi" w:hAnsiTheme="majorBidi" w:cstheme="majorBidi"/>
                <w:sz w:val="20"/>
                <w:szCs w:val="20"/>
              </w:rPr>
              <w:t xml:space="preserve">Dove, a hygiene brand, </w:t>
            </w:r>
            <w:r w:rsidR="003A14AD" w:rsidRPr="00151ABA">
              <w:rPr>
                <w:rFonts w:asciiTheme="majorBidi" w:hAnsiTheme="majorBidi" w:cstheme="majorBidi"/>
                <w:sz w:val="20"/>
                <w:szCs w:val="20"/>
              </w:rPr>
              <w:t xml:space="preserve">launched a campaign called “ShowUs” to challenge negative stereo types against different beauty standards </w:t>
            </w:r>
            <w:sdt>
              <w:sdtPr>
                <w:rPr>
                  <w:rFonts w:asciiTheme="majorBidi" w:hAnsiTheme="majorBidi" w:cstheme="majorBidi"/>
                  <w:sz w:val="20"/>
                  <w:szCs w:val="20"/>
                </w:rPr>
                <w:id w:val="-829745675"/>
                <w:citation/>
              </w:sdtPr>
              <w:sdtContent>
                <w:r w:rsidR="003A14AD" w:rsidRPr="00151ABA">
                  <w:rPr>
                    <w:rFonts w:asciiTheme="majorBidi" w:hAnsiTheme="majorBidi" w:cstheme="majorBidi"/>
                    <w:sz w:val="20"/>
                    <w:szCs w:val="20"/>
                  </w:rPr>
                  <w:fldChar w:fldCharType="begin"/>
                </w:r>
                <w:r w:rsidR="003A14AD" w:rsidRPr="00151ABA">
                  <w:rPr>
                    <w:rFonts w:asciiTheme="majorBidi" w:hAnsiTheme="majorBidi" w:cstheme="majorBidi"/>
                    <w:sz w:val="20"/>
                    <w:szCs w:val="20"/>
                  </w:rPr>
                  <w:instrText xml:space="preserve"> CITATION Lop23 \l 2057 </w:instrText>
                </w:r>
                <w:r w:rsidR="003A14AD" w:rsidRPr="00151ABA">
                  <w:rPr>
                    <w:rFonts w:asciiTheme="majorBidi" w:hAnsiTheme="majorBidi" w:cstheme="majorBidi"/>
                    <w:sz w:val="20"/>
                    <w:szCs w:val="20"/>
                  </w:rPr>
                  <w:fldChar w:fldCharType="separate"/>
                </w:r>
                <w:r w:rsidR="003A14AD" w:rsidRPr="00151ABA">
                  <w:rPr>
                    <w:rFonts w:asciiTheme="majorBidi" w:hAnsiTheme="majorBidi" w:cstheme="majorBidi"/>
                    <w:noProof/>
                    <w:sz w:val="20"/>
                    <w:szCs w:val="20"/>
                  </w:rPr>
                  <w:t>(Lopez, 2023)</w:t>
                </w:r>
                <w:r w:rsidR="003A14AD" w:rsidRPr="00151ABA">
                  <w:rPr>
                    <w:rFonts w:asciiTheme="majorBidi" w:hAnsiTheme="majorBidi" w:cstheme="majorBidi"/>
                    <w:sz w:val="20"/>
                    <w:szCs w:val="20"/>
                  </w:rPr>
                  <w:fldChar w:fldCharType="end"/>
                </w:r>
              </w:sdtContent>
            </w:sdt>
            <w:r w:rsidR="003A14AD" w:rsidRPr="00151ABA">
              <w:rPr>
                <w:rFonts w:asciiTheme="majorBidi" w:hAnsiTheme="majorBidi" w:cstheme="majorBidi"/>
                <w:sz w:val="20"/>
                <w:szCs w:val="20"/>
              </w:rPr>
              <w:t xml:space="preserve">. </w:t>
            </w:r>
          </w:p>
        </w:tc>
        <w:tc>
          <w:tcPr>
            <w:tcW w:w="2551" w:type="dxa"/>
          </w:tcPr>
          <w:p w14:paraId="5CD67EF3" w14:textId="29ECF89E" w:rsidR="00642CF1" w:rsidRPr="00151ABA" w:rsidRDefault="002D6497" w:rsidP="001A6A8D">
            <w:pPr>
              <w:keepNext/>
              <w:jc w:val="lowKashida"/>
              <w:rPr>
                <w:rFonts w:asciiTheme="majorBidi" w:hAnsiTheme="majorBidi" w:cstheme="majorBidi"/>
                <w:sz w:val="20"/>
                <w:szCs w:val="20"/>
              </w:rPr>
            </w:pPr>
            <w:r w:rsidRPr="00151ABA">
              <w:rPr>
                <w:rFonts w:asciiTheme="majorBidi" w:hAnsiTheme="majorBidi" w:cstheme="majorBidi"/>
                <w:sz w:val="20"/>
                <w:szCs w:val="20"/>
              </w:rPr>
              <w:t>In collaboration with Arizona State University, Starbucks launched a campaign offering some of its employees the opportunity to go to college, tuition-free</w:t>
            </w:r>
            <w:sdt>
              <w:sdtPr>
                <w:rPr>
                  <w:rFonts w:asciiTheme="majorBidi" w:hAnsiTheme="majorBidi" w:cstheme="majorBidi"/>
                  <w:sz w:val="20"/>
                  <w:szCs w:val="20"/>
                </w:rPr>
                <w:id w:val="122824724"/>
                <w:citation/>
              </w:sdtPr>
              <w:sdtContent>
                <w:r w:rsidRPr="00151ABA">
                  <w:rPr>
                    <w:rFonts w:asciiTheme="majorBidi" w:hAnsiTheme="majorBidi" w:cstheme="majorBidi"/>
                    <w:sz w:val="20"/>
                    <w:szCs w:val="20"/>
                  </w:rPr>
                  <w:fldChar w:fldCharType="begin"/>
                </w:r>
                <w:r w:rsidRPr="00151ABA">
                  <w:rPr>
                    <w:rFonts w:asciiTheme="majorBidi" w:hAnsiTheme="majorBidi" w:cstheme="majorBidi"/>
                    <w:sz w:val="20"/>
                    <w:szCs w:val="20"/>
                  </w:rPr>
                  <w:instrText xml:space="preserve"> CITATION Car20 \l 2057 </w:instrText>
                </w:r>
                <w:r w:rsidRPr="00151ABA">
                  <w:rPr>
                    <w:rFonts w:asciiTheme="majorBidi" w:hAnsiTheme="majorBidi" w:cstheme="majorBidi"/>
                    <w:sz w:val="20"/>
                    <w:szCs w:val="20"/>
                  </w:rPr>
                  <w:fldChar w:fldCharType="separate"/>
                </w:r>
                <w:r w:rsidRPr="00151ABA">
                  <w:rPr>
                    <w:rFonts w:asciiTheme="majorBidi" w:hAnsiTheme="majorBidi" w:cstheme="majorBidi"/>
                    <w:noProof/>
                    <w:sz w:val="20"/>
                    <w:szCs w:val="20"/>
                  </w:rPr>
                  <w:t xml:space="preserve"> (Carmicheal, 2020)</w:t>
                </w:r>
                <w:r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 xml:space="preserve">. </w:t>
            </w:r>
          </w:p>
        </w:tc>
      </w:tr>
    </w:tbl>
    <w:p w14:paraId="3DF4A0EA" w14:textId="3B41E82B" w:rsidR="003D41AB" w:rsidRDefault="001A6A8D" w:rsidP="001A6A8D">
      <w:pPr>
        <w:pStyle w:val="Caption"/>
        <w:rPr>
          <w:rFonts w:asciiTheme="majorBidi" w:hAnsiTheme="majorBidi" w:cstheme="majorBidi"/>
          <w:sz w:val="24"/>
          <w:szCs w:val="24"/>
        </w:rPr>
      </w:pPr>
      <w:r>
        <w:t xml:space="preserve">Table </w:t>
      </w:r>
      <w:r w:rsidR="00044DE9">
        <w:t>3</w:t>
      </w:r>
      <w:r>
        <w:t xml:space="preserve"> Difference between CSR, social marketing, and cause-related marketing</w:t>
      </w:r>
    </w:p>
    <w:p w14:paraId="7E20F164" w14:textId="7C55EDEA" w:rsidR="003847C2" w:rsidRPr="003847C2" w:rsidRDefault="008067DB" w:rsidP="00E27067">
      <w:pPr>
        <w:spacing w:after="0" w:line="480" w:lineRule="auto"/>
        <w:rPr>
          <w:rFonts w:asciiTheme="majorBidi" w:hAnsiTheme="majorBidi" w:cstheme="majorBidi"/>
          <w:b/>
          <w:bCs/>
          <w:sz w:val="24"/>
          <w:szCs w:val="24"/>
        </w:rPr>
      </w:pPr>
      <w:r>
        <w:rPr>
          <w:rFonts w:asciiTheme="majorBidi" w:hAnsiTheme="majorBidi" w:cstheme="majorBidi"/>
          <w:b/>
          <w:bCs/>
          <w:sz w:val="24"/>
          <w:szCs w:val="24"/>
        </w:rPr>
        <w:t>2</w:t>
      </w:r>
      <w:r w:rsidR="003847C2">
        <w:rPr>
          <w:rFonts w:asciiTheme="majorBidi" w:hAnsiTheme="majorBidi" w:cstheme="majorBidi"/>
          <w:b/>
          <w:bCs/>
          <w:sz w:val="24"/>
          <w:szCs w:val="24"/>
        </w:rPr>
        <w:t>.</w:t>
      </w:r>
      <w:r w:rsidR="00812B3A">
        <w:rPr>
          <w:rFonts w:asciiTheme="majorBidi" w:hAnsiTheme="majorBidi" w:cstheme="majorBidi"/>
          <w:b/>
          <w:bCs/>
          <w:sz w:val="24"/>
          <w:szCs w:val="24"/>
        </w:rPr>
        <w:t>1</w:t>
      </w:r>
      <w:r w:rsidR="003847C2">
        <w:rPr>
          <w:rFonts w:asciiTheme="majorBidi" w:hAnsiTheme="majorBidi" w:cstheme="majorBidi"/>
          <w:b/>
          <w:bCs/>
          <w:sz w:val="24"/>
          <w:szCs w:val="24"/>
        </w:rPr>
        <w:t xml:space="preserve">.2 Non-CSR Definitions </w:t>
      </w:r>
    </w:p>
    <w:p w14:paraId="14686F1D" w14:textId="4888F14C" w:rsidR="00122C76" w:rsidRDefault="00181732" w:rsidP="00E27067">
      <w:pPr>
        <w:spacing w:after="0" w:line="480" w:lineRule="auto"/>
        <w:ind w:firstLine="720"/>
        <w:jc w:val="lowKashida"/>
        <w:rPr>
          <w:rFonts w:asciiTheme="majorBidi" w:hAnsiTheme="majorBidi" w:cstheme="majorBidi"/>
          <w:sz w:val="24"/>
          <w:szCs w:val="24"/>
        </w:rPr>
      </w:pPr>
      <w:r>
        <w:rPr>
          <w:rFonts w:asciiTheme="majorBidi" w:hAnsiTheme="majorBidi" w:cstheme="majorBidi"/>
          <w:sz w:val="24"/>
          <w:szCs w:val="24"/>
        </w:rPr>
        <w:t xml:space="preserve">Since the main objective of this thesis is to compare CSR to non-CSR communication, it is essential to also identify the </w:t>
      </w:r>
      <w:r w:rsidR="003D41AB">
        <w:rPr>
          <w:rFonts w:asciiTheme="majorBidi" w:hAnsiTheme="majorBidi" w:cstheme="majorBidi"/>
          <w:sz w:val="24"/>
          <w:szCs w:val="24"/>
        </w:rPr>
        <w:t xml:space="preserve">definition of non-CSR communication and what it refers to in this study. Non-CSR communication as a term was used in </w:t>
      </w:r>
      <w:r w:rsidR="003847C2">
        <w:rPr>
          <w:rFonts w:asciiTheme="majorBidi" w:hAnsiTheme="majorBidi" w:cstheme="majorBidi"/>
          <w:sz w:val="24"/>
          <w:szCs w:val="24"/>
        </w:rPr>
        <w:t>a</w:t>
      </w:r>
      <w:r w:rsidR="003D41AB">
        <w:rPr>
          <w:rFonts w:asciiTheme="majorBidi" w:hAnsiTheme="majorBidi" w:cstheme="majorBidi"/>
          <w:sz w:val="24"/>
          <w:szCs w:val="24"/>
        </w:rPr>
        <w:t xml:space="preserve"> stud</w:t>
      </w:r>
      <w:r w:rsidR="003847C2">
        <w:rPr>
          <w:rFonts w:asciiTheme="majorBidi" w:hAnsiTheme="majorBidi" w:cstheme="majorBidi"/>
          <w:sz w:val="24"/>
          <w:szCs w:val="24"/>
        </w:rPr>
        <w:t xml:space="preserve">y that examined the difference between CSR and non-CSR communication in the hospitality industry examining tourists’ behaviours </w:t>
      </w:r>
      <w:r w:rsidR="003D41AB">
        <w:rPr>
          <w:rFonts w:asciiTheme="majorBidi" w:hAnsiTheme="majorBidi" w:cstheme="majorBidi"/>
          <w:sz w:val="24"/>
          <w:szCs w:val="24"/>
        </w:rPr>
        <w:t>in which the term referred to communication related to the brand and its history without any reference to CSR activities</w:t>
      </w:r>
      <w:sdt>
        <w:sdtPr>
          <w:rPr>
            <w:rFonts w:asciiTheme="majorBidi" w:hAnsiTheme="majorBidi" w:cstheme="majorBidi"/>
            <w:sz w:val="24"/>
            <w:szCs w:val="24"/>
          </w:rPr>
          <w:id w:val="-561950082"/>
          <w:citation/>
        </w:sdtPr>
        <w:sdtContent>
          <w:r w:rsidR="003D41AB" w:rsidRPr="00026112">
            <w:rPr>
              <w:rFonts w:asciiTheme="majorBidi" w:hAnsiTheme="majorBidi" w:cstheme="majorBidi"/>
              <w:sz w:val="24"/>
              <w:szCs w:val="24"/>
            </w:rPr>
            <w:fldChar w:fldCharType="begin"/>
          </w:r>
          <w:r w:rsidR="003D41AB" w:rsidRPr="00026112">
            <w:rPr>
              <w:rFonts w:asciiTheme="majorBidi" w:hAnsiTheme="majorBidi" w:cstheme="majorBidi"/>
              <w:sz w:val="24"/>
              <w:szCs w:val="24"/>
            </w:rPr>
            <w:instrText xml:space="preserve"> CITATION Ett20 \l 2057 </w:instrText>
          </w:r>
          <w:r w:rsidR="003D41AB" w:rsidRPr="00026112">
            <w:rPr>
              <w:rFonts w:asciiTheme="majorBidi" w:hAnsiTheme="majorBidi" w:cstheme="majorBidi"/>
              <w:sz w:val="24"/>
              <w:szCs w:val="24"/>
            </w:rPr>
            <w:fldChar w:fldCharType="separate"/>
          </w:r>
          <w:r w:rsidR="003D41AB" w:rsidRPr="00026112">
            <w:rPr>
              <w:rFonts w:asciiTheme="majorBidi" w:hAnsiTheme="majorBidi" w:cstheme="majorBidi"/>
              <w:noProof/>
              <w:sz w:val="24"/>
              <w:szCs w:val="24"/>
            </w:rPr>
            <w:t xml:space="preserve"> (Ettinger, Grabner-Kräuter, &amp; Okazaki, 2020)</w:t>
          </w:r>
          <w:r w:rsidR="003D41AB" w:rsidRPr="00026112">
            <w:rPr>
              <w:rFonts w:asciiTheme="majorBidi" w:hAnsiTheme="majorBidi" w:cstheme="majorBidi"/>
              <w:sz w:val="24"/>
              <w:szCs w:val="24"/>
            </w:rPr>
            <w:fldChar w:fldCharType="end"/>
          </w:r>
        </w:sdtContent>
      </w:sdt>
      <w:r w:rsidR="003D41AB" w:rsidRPr="00026112">
        <w:rPr>
          <w:rFonts w:asciiTheme="majorBidi" w:hAnsiTheme="majorBidi" w:cstheme="majorBidi"/>
          <w:sz w:val="24"/>
          <w:szCs w:val="24"/>
        </w:rPr>
        <w:t>.</w:t>
      </w:r>
      <w:r w:rsidR="003847C2" w:rsidRPr="00026112">
        <w:rPr>
          <w:rFonts w:asciiTheme="majorBidi" w:hAnsiTheme="majorBidi" w:cstheme="majorBidi"/>
          <w:sz w:val="24"/>
          <w:szCs w:val="24"/>
        </w:rPr>
        <w:t xml:space="preserve"> </w:t>
      </w:r>
      <w:r w:rsidR="003847C2">
        <w:rPr>
          <w:rFonts w:asciiTheme="majorBidi" w:hAnsiTheme="majorBidi" w:cstheme="majorBidi"/>
          <w:sz w:val="24"/>
          <w:szCs w:val="24"/>
        </w:rPr>
        <w:t>This study concluded that different types of CSR communication contributed to decrease the tourists’ intention for unethical behaviour more than non-CSR communication did</w:t>
      </w:r>
      <w:r w:rsidR="003847C2" w:rsidRPr="003847C2">
        <w:rPr>
          <w:rFonts w:asciiTheme="majorBidi" w:hAnsiTheme="majorBidi" w:cstheme="majorBidi"/>
          <w:sz w:val="24"/>
          <w:szCs w:val="24"/>
        </w:rPr>
        <w:t xml:space="preserve"> </w:t>
      </w:r>
      <w:sdt>
        <w:sdtPr>
          <w:rPr>
            <w:rFonts w:asciiTheme="majorBidi" w:hAnsiTheme="majorBidi" w:cstheme="majorBidi"/>
            <w:sz w:val="24"/>
            <w:szCs w:val="24"/>
          </w:rPr>
          <w:id w:val="804276186"/>
          <w:citation/>
        </w:sdtPr>
        <w:sdtContent>
          <w:r w:rsidR="003847C2">
            <w:rPr>
              <w:rFonts w:asciiTheme="majorBidi" w:hAnsiTheme="majorBidi" w:cstheme="majorBidi"/>
              <w:sz w:val="24"/>
              <w:szCs w:val="24"/>
            </w:rPr>
            <w:fldChar w:fldCharType="begin"/>
          </w:r>
          <w:r w:rsidR="003847C2">
            <w:rPr>
              <w:rFonts w:asciiTheme="majorBidi" w:hAnsiTheme="majorBidi" w:cstheme="majorBidi"/>
              <w:sz w:val="24"/>
              <w:szCs w:val="24"/>
            </w:rPr>
            <w:instrText xml:space="preserve"> CITATION Ett20 \l 2057 </w:instrText>
          </w:r>
          <w:r w:rsidR="003847C2">
            <w:rPr>
              <w:rFonts w:asciiTheme="majorBidi" w:hAnsiTheme="majorBidi" w:cstheme="majorBidi"/>
              <w:sz w:val="24"/>
              <w:szCs w:val="24"/>
            </w:rPr>
            <w:fldChar w:fldCharType="separate"/>
          </w:r>
          <w:r w:rsidR="003847C2">
            <w:rPr>
              <w:rFonts w:asciiTheme="majorBidi" w:hAnsiTheme="majorBidi" w:cstheme="majorBidi"/>
              <w:noProof/>
              <w:sz w:val="24"/>
              <w:szCs w:val="24"/>
            </w:rPr>
            <w:t xml:space="preserve"> </w:t>
          </w:r>
          <w:r w:rsidR="003847C2" w:rsidRPr="003D41AB">
            <w:rPr>
              <w:rFonts w:asciiTheme="majorBidi" w:hAnsiTheme="majorBidi" w:cstheme="majorBidi"/>
              <w:noProof/>
              <w:sz w:val="24"/>
              <w:szCs w:val="24"/>
            </w:rPr>
            <w:t>(Ettinger, Grabner-Kräuter, &amp; Okazaki, 2020)</w:t>
          </w:r>
          <w:r w:rsidR="003847C2">
            <w:rPr>
              <w:rFonts w:asciiTheme="majorBidi" w:hAnsiTheme="majorBidi" w:cstheme="majorBidi"/>
              <w:sz w:val="24"/>
              <w:szCs w:val="24"/>
            </w:rPr>
            <w:fldChar w:fldCharType="end"/>
          </w:r>
        </w:sdtContent>
      </w:sdt>
      <w:r w:rsidR="003847C2">
        <w:rPr>
          <w:rFonts w:asciiTheme="majorBidi" w:hAnsiTheme="majorBidi" w:cstheme="majorBidi"/>
          <w:sz w:val="24"/>
          <w:szCs w:val="24"/>
        </w:rPr>
        <w:t>.</w:t>
      </w:r>
      <w:r w:rsidR="00122C76">
        <w:rPr>
          <w:rFonts w:asciiTheme="majorBidi" w:hAnsiTheme="majorBidi" w:cstheme="majorBidi"/>
          <w:sz w:val="24"/>
          <w:szCs w:val="24"/>
        </w:rPr>
        <w:t xml:space="preserve"> Other researchers referred to </w:t>
      </w:r>
      <w:bookmarkStart w:id="15" w:name="_Hlk157191112"/>
      <w:r w:rsidR="00122C76" w:rsidRPr="00122C76">
        <w:rPr>
          <w:rFonts w:asciiTheme="majorBidi" w:hAnsiTheme="majorBidi" w:cstheme="majorBidi"/>
          <w:sz w:val="24"/>
          <w:szCs w:val="24"/>
        </w:rPr>
        <w:t xml:space="preserve">non-CSR communication </w:t>
      </w:r>
      <w:bookmarkStart w:id="16" w:name="_Hlk157195523"/>
      <w:sdt>
        <w:sdtPr>
          <w:rPr>
            <w:rFonts w:asciiTheme="majorBidi" w:hAnsiTheme="majorBidi" w:cstheme="majorBidi"/>
            <w:sz w:val="24"/>
            <w:szCs w:val="24"/>
          </w:rPr>
          <w:id w:val="1375281982"/>
          <w:citation/>
        </w:sdtPr>
        <w:sdtContent>
          <w:r w:rsidR="00122C76" w:rsidRPr="00041ACA">
            <w:rPr>
              <w:rFonts w:asciiTheme="majorBidi" w:hAnsiTheme="majorBidi" w:cstheme="majorBidi"/>
              <w:sz w:val="24"/>
              <w:szCs w:val="24"/>
            </w:rPr>
            <w:fldChar w:fldCharType="begin"/>
          </w:r>
          <w:r w:rsidR="00122C76" w:rsidRPr="00041ACA">
            <w:rPr>
              <w:rFonts w:asciiTheme="majorBidi" w:hAnsiTheme="majorBidi" w:cstheme="majorBidi"/>
              <w:sz w:val="24"/>
              <w:szCs w:val="24"/>
            </w:rPr>
            <w:instrText xml:space="preserve"> CITATION Che231 \l 2057  \m Kri22</w:instrText>
          </w:r>
          <w:r w:rsidR="00122C76" w:rsidRPr="00041ACA">
            <w:rPr>
              <w:rFonts w:asciiTheme="majorBidi" w:hAnsiTheme="majorBidi" w:cstheme="majorBidi"/>
              <w:sz w:val="24"/>
              <w:szCs w:val="24"/>
            </w:rPr>
            <w:fldChar w:fldCharType="separate"/>
          </w:r>
          <w:r w:rsidR="00122C76" w:rsidRPr="00041ACA">
            <w:rPr>
              <w:rFonts w:asciiTheme="majorBidi" w:hAnsiTheme="majorBidi" w:cstheme="majorBidi"/>
              <w:noProof/>
              <w:sz w:val="24"/>
              <w:szCs w:val="24"/>
            </w:rPr>
            <w:t>(Chen, Hung-Baesecke, &amp; Cheng, 2023; Krištofík , Medzihorský, &amp; Musa, 2022)</w:t>
          </w:r>
          <w:r w:rsidR="00122C76" w:rsidRPr="00041ACA">
            <w:rPr>
              <w:rFonts w:asciiTheme="majorBidi" w:hAnsiTheme="majorBidi" w:cstheme="majorBidi"/>
              <w:sz w:val="24"/>
              <w:szCs w:val="24"/>
            </w:rPr>
            <w:fldChar w:fldCharType="end"/>
          </w:r>
        </w:sdtContent>
      </w:sdt>
      <w:r w:rsidR="00122C76" w:rsidRPr="00041ACA">
        <w:rPr>
          <w:rFonts w:asciiTheme="majorBidi" w:hAnsiTheme="majorBidi" w:cstheme="majorBidi"/>
          <w:sz w:val="24"/>
          <w:szCs w:val="24"/>
        </w:rPr>
        <w:t xml:space="preserve"> </w:t>
      </w:r>
      <w:r w:rsidR="00122C76" w:rsidRPr="00122C76">
        <w:rPr>
          <w:rFonts w:asciiTheme="majorBidi" w:hAnsiTheme="majorBidi" w:cstheme="majorBidi"/>
          <w:sz w:val="24"/>
          <w:szCs w:val="24"/>
        </w:rPr>
        <w:t xml:space="preserve">as a set of commercial persuasive communication seeking to inform targeted consumers or potential consumers about a company’s products and services to achieve the company’s objectives for its products and services </w:t>
      </w:r>
      <w:sdt>
        <w:sdtPr>
          <w:rPr>
            <w:rFonts w:asciiTheme="majorBidi" w:hAnsiTheme="majorBidi" w:cstheme="majorBidi"/>
            <w:sz w:val="24"/>
            <w:szCs w:val="24"/>
          </w:rPr>
          <w:id w:val="1104072221"/>
          <w:citation/>
        </w:sdtPr>
        <w:sdtContent>
          <w:r w:rsidR="00122C76" w:rsidRPr="00041ACA">
            <w:rPr>
              <w:rFonts w:asciiTheme="majorBidi" w:hAnsiTheme="majorBidi" w:cstheme="majorBidi"/>
              <w:sz w:val="24"/>
              <w:szCs w:val="24"/>
            </w:rPr>
            <w:fldChar w:fldCharType="begin"/>
          </w:r>
          <w:r w:rsidR="00122C76" w:rsidRPr="00041ACA">
            <w:rPr>
              <w:rFonts w:asciiTheme="majorBidi" w:hAnsiTheme="majorBidi" w:cstheme="majorBidi"/>
              <w:sz w:val="24"/>
              <w:szCs w:val="24"/>
            </w:rPr>
            <w:instrText xml:space="preserve"> CITATION Car19 \l 2057  \m Sie17</w:instrText>
          </w:r>
          <w:r w:rsidR="00122C76" w:rsidRPr="00041ACA">
            <w:rPr>
              <w:rFonts w:asciiTheme="majorBidi" w:hAnsiTheme="majorBidi" w:cstheme="majorBidi"/>
              <w:sz w:val="24"/>
              <w:szCs w:val="24"/>
            </w:rPr>
            <w:fldChar w:fldCharType="separate"/>
          </w:r>
          <w:r w:rsidR="00122C76" w:rsidRPr="00041ACA">
            <w:rPr>
              <w:rFonts w:asciiTheme="majorBidi" w:hAnsiTheme="majorBidi" w:cstheme="majorBidi"/>
              <w:noProof/>
              <w:sz w:val="24"/>
              <w:szCs w:val="24"/>
            </w:rPr>
            <w:t>(Carrillo-Durán &amp; Tato-Jiménez , 2019; Siegert, Rimscha, &amp; Grubenmann, 2017)</w:t>
          </w:r>
          <w:r w:rsidR="00122C76" w:rsidRPr="00041ACA">
            <w:rPr>
              <w:rFonts w:asciiTheme="majorBidi" w:hAnsiTheme="majorBidi" w:cstheme="majorBidi"/>
              <w:sz w:val="24"/>
              <w:szCs w:val="24"/>
            </w:rPr>
            <w:fldChar w:fldCharType="end"/>
          </w:r>
        </w:sdtContent>
      </w:sdt>
      <w:r w:rsidR="00122C76" w:rsidRPr="00041ACA">
        <w:rPr>
          <w:rFonts w:asciiTheme="majorBidi" w:hAnsiTheme="majorBidi" w:cstheme="majorBidi"/>
          <w:sz w:val="24"/>
          <w:szCs w:val="24"/>
        </w:rPr>
        <w:t>.</w:t>
      </w:r>
    </w:p>
    <w:bookmarkEnd w:id="15"/>
    <w:bookmarkEnd w:id="16"/>
    <w:p w14:paraId="3FADAAD0" w14:textId="371005A5" w:rsidR="00A96566" w:rsidRDefault="003847C2" w:rsidP="003A14AD">
      <w:pPr>
        <w:spacing w:after="0" w:line="480" w:lineRule="auto"/>
        <w:ind w:firstLine="720"/>
        <w:jc w:val="lowKashida"/>
        <w:rPr>
          <w:rFonts w:asciiTheme="majorBidi" w:hAnsiTheme="majorBidi" w:cstheme="majorBidi"/>
          <w:sz w:val="24"/>
          <w:szCs w:val="24"/>
        </w:rPr>
      </w:pPr>
      <w:r>
        <w:rPr>
          <w:rFonts w:asciiTheme="majorBidi" w:hAnsiTheme="majorBidi" w:cstheme="majorBidi"/>
          <w:sz w:val="24"/>
          <w:szCs w:val="24"/>
        </w:rPr>
        <w:t xml:space="preserve"> </w:t>
      </w:r>
      <w:r w:rsidR="00285D8C">
        <w:rPr>
          <w:rFonts w:asciiTheme="majorBidi" w:hAnsiTheme="majorBidi" w:cstheme="majorBidi"/>
          <w:sz w:val="24"/>
          <w:szCs w:val="24"/>
        </w:rPr>
        <w:t>One</w:t>
      </w:r>
      <w:r>
        <w:rPr>
          <w:rFonts w:asciiTheme="majorBidi" w:hAnsiTheme="majorBidi" w:cstheme="majorBidi"/>
          <w:sz w:val="24"/>
          <w:szCs w:val="24"/>
        </w:rPr>
        <w:t xml:space="preserve"> study compared between internal CSR, external CSR, and non-CSR </w:t>
      </w:r>
      <w:r w:rsidR="00CF18C0">
        <w:rPr>
          <w:rFonts w:asciiTheme="majorBidi" w:hAnsiTheme="majorBidi" w:cstheme="majorBidi"/>
          <w:sz w:val="24"/>
          <w:szCs w:val="24"/>
        </w:rPr>
        <w:t>communication</w:t>
      </w:r>
      <w:sdt>
        <w:sdtPr>
          <w:rPr>
            <w:rFonts w:asciiTheme="majorBidi" w:hAnsiTheme="majorBidi" w:cstheme="majorBidi"/>
            <w:sz w:val="24"/>
            <w:szCs w:val="24"/>
          </w:rPr>
          <w:id w:val="493218111"/>
          <w:citation/>
        </w:sdtPr>
        <w:sdtContent>
          <w:r w:rsidR="00CF18C0" w:rsidRPr="00041ACA">
            <w:rPr>
              <w:rFonts w:asciiTheme="majorBidi" w:hAnsiTheme="majorBidi" w:cstheme="majorBidi"/>
              <w:sz w:val="24"/>
              <w:szCs w:val="24"/>
            </w:rPr>
            <w:fldChar w:fldCharType="begin"/>
          </w:r>
          <w:r w:rsidR="00CF18C0" w:rsidRPr="00041ACA">
            <w:rPr>
              <w:rFonts w:asciiTheme="majorBidi" w:hAnsiTheme="majorBidi" w:cstheme="majorBidi"/>
              <w:sz w:val="24"/>
              <w:szCs w:val="24"/>
            </w:rPr>
            <w:instrText xml:space="preserve"> CITATION Wan18 \l 2057 </w:instrText>
          </w:r>
          <w:r w:rsidR="00CF18C0" w:rsidRPr="00041ACA">
            <w:rPr>
              <w:rFonts w:asciiTheme="majorBidi" w:hAnsiTheme="majorBidi" w:cstheme="majorBidi"/>
              <w:sz w:val="24"/>
              <w:szCs w:val="24"/>
            </w:rPr>
            <w:fldChar w:fldCharType="separate"/>
          </w:r>
          <w:r w:rsidR="00CF18C0" w:rsidRPr="00041ACA">
            <w:rPr>
              <w:rFonts w:asciiTheme="majorBidi" w:hAnsiTheme="majorBidi" w:cstheme="majorBidi"/>
              <w:noProof/>
              <w:sz w:val="24"/>
              <w:szCs w:val="24"/>
            </w:rPr>
            <w:t xml:space="preserve"> (Wang &amp; Huang , 2018)</w:t>
          </w:r>
          <w:r w:rsidR="00CF18C0" w:rsidRPr="00041ACA">
            <w:rPr>
              <w:rFonts w:asciiTheme="majorBidi" w:hAnsiTheme="majorBidi" w:cstheme="majorBidi"/>
              <w:sz w:val="24"/>
              <w:szCs w:val="24"/>
            </w:rPr>
            <w:fldChar w:fldCharType="end"/>
          </w:r>
        </w:sdtContent>
      </w:sdt>
      <w:r w:rsidR="00CF18C0" w:rsidRPr="00041ACA">
        <w:rPr>
          <w:rFonts w:asciiTheme="majorBidi" w:hAnsiTheme="majorBidi" w:cstheme="majorBidi"/>
          <w:sz w:val="24"/>
          <w:szCs w:val="24"/>
        </w:rPr>
        <w:t>.</w:t>
      </w:r>
      <w:r w:rsidR="00CF18C0">
        <w:rPr>
          <w:rFonts w:asciiTheme="majorBidi" w:hAnsiTheme="majorBidi" w:cstheme="majorBidi"/>
          <w:sz w:val="24"/>
          <w:szCs w:val="24"/>
        </w:rPr>
        <w:t xml:space="preserve"> However, that study’s objective </w:t>
      </w:r>
      <w:r w:rsidR="00B23922">
        <w:rPr>
          <w:rFonts w:asciiTheme="majorBidi" w:hAnsiTheme="majorBidi" w:cstheme="majorBidi"/>
          <w:sz w:val="24"/>
          <w:szCs w:val="24"/>
        </w:rPr>
        <w:t>is</w:t>
      </w:r>
      <w:r w:rsidR="00CF18C0">
        <w:rPr>
          <w:rFonts w:asciiTheme="majorBidi" w:hAnsiTheme="majorBidi" w:cstheme="majorBidi"/>
          <w:sz w:val="24"/>
          <w:szCs w:val="24"/>
        </w:rPr>
        <w:t xml:space="preserve"> to examine the impact of the CEO of the company as the message source in which the non-CSR communication referred to messages from a company’s CEO about his personal life and family</w:t>
      </w:r>
      <w:r w:rsidR="00CF18C0" w:rsidRPr="00CF18C0">
        <w:rPr>
          <w:rFonts w:asciiTheme="majorBidi" w:hAnsiTheme="majorBidi" w:cstheme="majorBidi"/>
          <w:sz w:val="24"/>
          <w:szCs w:val="24"/>
        </w:rPr>
        <w:t xml:space="preserve"> </w:t>
      </w:r>
      <w:bookmarkStart w:id="17" w:name="_Hlk148106423"/>
      <w:sdt>
        <w:sdtPr>
          <w:rPr>
            <w:rFonts w:asciiTheme="majorBidi" w:hAnsiTheme="majorBidi" w:cstheme="majorBidi"/>
            <w:sz w:val="24"/>
            <w:szCs w:val="24"/>
          </w:rPr>
          <w:id w:val="-477680625"/>
          <w:citation/>
        </w:sdtPr>
        <w:sdtContent>
          <w:r w:rsidR="00CF18C0">
            <w:rPr>
              <w:rFonts w:asciiTheme="majorBidi" w:hAnsiTheme="majorBidi" w:cstheme="majorBidi"/>
              <w:sz w:val="24"/>
              <w:szCs w:val="24"/>
            </w:rPr>
            <w:fldChar w:fldCharType="begin"/>
          </w:r>
          <w:r w:rsidR="00CF18C0">
            <w:rPr>
              <w:rFonts w:asciiTheme="majorBidi" w:hAnsiTheme="majorBidi" w:cstheme="majorBidi"/>
              <w:sz w:val="24"/>
              <w:szCs w:val="24"/>
            </w:rPr>
            <w:instrText xml:space="preserve"> CITATION Wan18 \l 2057 </w:instrText>
          </w:r>
          <w:r w:rsidR="00CF18C0">
            <w:rPr>
              <w:rFonts w:asciiTheme="majorBidi" w:hAnsiTheme="majorBidi" w:cstheme="majorBidi"/>
              <w:sz w:val="24"/>
              <w:szCs w:val="24"/>
            </w:rPr>
            <w:fldChar w:fldCharType="separate"/>
          </w:r>
          <w:r w:rsidR="00CF18C0">
            <w:rPr>
              <w:rFonts w:asciiTheme="majorBidi" w:hAnsiTheme="majorBidi" w:cstheme="majorBidi"/>
              <w:noProof/>
              <w:sz w:val="24"/>
              <w:szCs w:val="24"/>
            </w:rPr>
            <w:t xml:space="preserve"> </w:t>
          </w:r>
          <w:r w:rsidR="00CF18C0" w:rsidRPr="00CF18C0">
            <w:rPr>
              <w:rFonts w:asciiTheme="majorBidi" w:hAnsiTheme="majorBidi" w:cstheme="majorBidi"/>
              <w:noProof/>
              <w:sz w:val="24"/>
              <w:szCs w:val="24"/>
            </w:rPr>
            <w:t>(Wang &amp; Huang , 2018)</w:t>
          </w:r>
          <w:r w:rsidR="00CF18C0">
            <w:rPr>
              <w:rFonts w:asciiTheme="majorBidi" w:hAnsiTheme="majorBidi" w:cstheme="majorBidi"/>
              <w:sz w:val="24"/>
              <w:szCs w:val="24"/>
            </w:rPr>
            <w:fldChar w:fldCharType="end"/>
          </w:r>
        </w:sdtContent>
      </w:sdt>
      <w:r w:rsidR="00CF18C0">
        <w:rPr>
          <w:rFonts w:asciiTheme="majorBidi" w:hAnsiTheme="majorBidi" w:cstheme="majorBidi"/>
          <w:sz w:val="24"/>
          <w:szCs w:val="24"/>
        </w:rPr>
        <w:t xml:space="preserve">.  </w:t>
      </w:r>
      <w:bookmarkEnd w:id="17"/>
      <w:r w:rsidR="00E118A4">
        <w:rPr>
          <w:rFonts w:asciiTheme="majorBidi" w:hAnsiTheme="majorBidi" w:cstheme="majorBidi"/>
          <w:sz w:val="24"/>
          <w:szCs w:val="24"/>
        </w:rPr>
        <w:t xml:space="preserve">Additionally, another study comparing between CSR and non-CSR communication’s effect on the consumers’ perception of the brand to be socially responsible found that CSR is more </w:t>
      </w:r>
      <w:r w:rsidR="00144CA8">
        <w:rPr>
          <w:rFonts w:asciiTheme="majorBidi" w:hAnsiTheme="majorBidi" w:cstheme="majorBidi"/>
          <w:sz w:val="24"/>
          <w:szCs w:val="24"/>
        </w:rPr>
        <w:t xml:space="preserve">effective in </w:t>
      </w:r>
      <w:r w:rsidR="007647C8">
        <w:rPr>
          <w:rFonts w:asciiTheme="majorBidi" w:hAnsiTheme="majorBidi" w:cstheme="majorBidi"/>
          <w:sz w:val="24"/>
          <w:szCs w:val="24"/>
        </w:rPr>
        <w:t xml:space="preserve">increasing </w:t>
      </w:r>
      <w:r w:rsidR="00E118A4">
        <w:rPr>
          <w:rFonts w:asciiTheme="majorBidi" w:hAnsiTheme="majorBidi" w:cstheme="majorBidi"/>
          <w:sz w:val="24"/>
          <w:szCs w:val="24"/>
        </w:rPr>
        <w:t xml:space="preserve"> responsible behaviour and the brand’s </w:t>
      </w:r>
      <w:r w:rsidR="007647C8">
        <w:rPr>
          <w:rFonts w:asciiTheme="majorBidi" w:hAnsiTheme="majorBidi" w:cstheme="majorBidi"/>
          <w:sz w:val="24"/>
          <w:szCs w:val="24"/>
        </w:rPr>
        <w:t xml:space="preserve">perceived </w:t>
      </w:r>
      <w:r w:rsidR="00E118A4">
        <w:rPr>
          <w:rFonts w:asciiTheme="majorBidi" w:hAnsiTheme="majorBidi" w:cstheme="majorBidi"/>
          <w:sz w:val="24"/>
          <w:szCs w:val="24"/>
        </w:rPr>
        <w:t>reputation than non-CSR</w:t>
      </w:r>
      <w:sdt>
        <w:sdtPr>
          <w:rPr>
            <w:rFonts w:asciiTheme="majorBidi" w:hAnsiTheme="majorBidi" w:cstheme="majorBidi"/>
            <w:sz w:val="24"/>
            <w:szCs w:val="24"/>
          </w:rPr>
          <w:id w:val="1302887184"/>
          <w:citation/>
        </w:sdtPr>
        <w:sdtContent>
          <w:r w:rsidR="007A451B" w:rsidRPr="00041ACA">
            <w:rPr>
              <w:rFonts w:asciiTheme="majorBidi" w:hAnsiTheme="majorBidi" w:cstheme="majorBidi"/>
              <w:sz w:val="24"/>
              <w:szCs w:val="24"/>
            </w:rPr>
            <w:fldChar w:fldCharType="begin"/>
          </w:r>
          <w:r w:rsidR="007A451B" w:rsidRPr="00041ACA">
            <w:rPr>
              <w:rFonts w:asciiTheme="majorBidi" w:hAnsiTheme="majorBidi" w:cstheme="majorBidi"/>
              <w:sz w:val="24"/>
              <w:szCs w:val="24"/>
            </w:rPr>
            <w:instrText xml:space="preserve"> CITATION Tar20 \l 2057 </w:instrText>
          </w:r>
          <w:r w:rsidR="007A451B" w:rsidRPr="00041ACA">
            <w:rPr>
              <w:rFonts w:asciiTheme="majorBidi" w:hAnsiTheme="majorBidi" w:cstheme="majorBidi"/>
              <w:sz w:val="24"/>
              <w:szCs w:val="24"/>
            </w:rPr>
            <w:fldChar w:fldCharType="separate"/>
          </w:r>
          <w:r w:rsidR="007A451B" w:rsidRPr="00041ACA">
            <w:rPr>
              <w:rFonts w:asciiTheme="majorBidi" w:hAnsiTheme="majorBidi" w:cstheme="majorBidi"/>
              <w:noProof/>
              <w:sz w:val="24"/>
              <w:szCs w:val="24"/>
            </w:rPr>
            <w:t xml:space="preserve"> (Tarabashkina, Tarabashkina, Quester, &amp; Soutar, 2020)</w:t>
          </w:r>
          <w:r w:rsidR="007A451B" w:rsidRPr="00041ACA">
            <w:rPr>
              <w:rFonts w:asciiTheme="majorBidi" w:hAnsiTheme="majorBidi" w:cstheme="majorBidi"/>
              <w:sz w:val="24"/>
              <w:szCs w:val="24"/>
            </w:rPr>
            <w:fldChar w:fldCharType="end"/>
          </w:r>
        </w:sdtContent>
      </w:sdt>
      <w:r w:rsidR="00E118A4">
        <w:rPr>
          <w:rFonts w:asciiTheme="majorBidi" w:hAnsiTheme="majorBidi" w:cstheme="majorBidi"/>
          <w:sz w:val="24"/>
          <w:szCs w:val="24"/>
        </w:rPr>
        <w:t>.</w:t>
      </w:r>
      <w:r w:rsidR="00D144FB">
        <w:rPr>
          <w:rFonts w:asciiTheme="majorBidi" w:hAnsiTheme="majorBidi" w:cstheme="majorBidi"/>
          <w:sz w:val="24"/>
          <w:szCs w:val="24"/>
        </w:rPr>
        <w:t xml:space="preserve"> Also, another study that compares between CSR and non-CSR related tweets found that </w:t>
      </w:r>
      <w:r w:rsidR="00D144FB" w:rsidRPr="00D144FB">
        <w:rPr>
          <w:rFonts w:asciiTheme="majorBidi" w:hAnsiTheme="majorBidi" w:cstheme="majorBidi"/>
          <w:sz w:val="24"/>
          <w:szCs w:val="24"/>
        </w:rPr>
        <w:t xml:space="preserve">CSR-related tweets are less interactive than non-CSR-related </w:t>
      </w:r>
      <w:r w:rsidR="00D144FB" w:rsidRPr="00041ACA">
        <w:rPr>
          <w:rFonts w:asciiTheme="majorBidi" w:hAnsiTheme="majorBidi" w:cstheme="majorBidi"/>
          <w:sz w:val="24"/>
          <w:szCs w:val="24"/>
        </w:rPr>
        <w:t>tweets</w:t>
      </w:r>
      <w:bookmarkStart w:id="18" w:name="_Hlk148106728"/>
      <w:sdt>
        <w:sdtPr>
          <w:rPr>
            <w:rFonts w:asciiTheme="majorBidi" w:hAnsiTheme="majorBidi" w:cstheme="majorBidi"/>
            <w:sz w:val="24"/>
            <w:szCs w:val="24"/>
          </w:rPr>
          <w:id w:val="-1686594982"/>
          <w:citation/>
        </w:sdtPr>
        <w:sdtContent>
          <w:r w:rsidR="00F52E39" w:rsidRPr="00041ACA">
            <w:rPr>
              <w:rFonts w:asciiTheme="majorBidi" w:hAnsiTheme="majorBidi" w:cstheme="majorBidi"/>
              <w:sz w:val="24"/>
              <w:szCs w:val="24"/>
            </w:rPr>
            <w:fldChar w:fldCharType="begin"/>
          </w:r>
          <w:r w:rsidR="00F52E39" w:rsidRPr="00041ACA">
            <w:rPr>
              <w:rFonts w:asciiTheme="majorBidi" w:hAnsiTheme="majorBidi" w:cstheme="majorBidi"/>
              <w:sz w:val="24"/>
              <w:szCs w:val="24"/>
            </w:rPr>
            <w:instrText xml:space="preserve"> CITATION Ara18 \l 2057 </w:instrText>
          </w:r>
          <w:r w:rsidR="00F52E39" w:rsidRPr="00041ACA">
            <w:rPr>
              <w:rFonts w:asciiTheme="majorBidi" w:hAnsiTheme="majorBidi" w:cstheme="majorBidi"/>
              <w:sz w:val="24"/>
              <w:szCs w:val="24"/>
            </w:rPr>
            <w:fldChar w:fldCharType="separate"/>
          </w:r>
          <w:r w:rsidR="00F52E39" w:rsidRPr="00041ACA">
            <w:rPr>
              <w:rFonts w:asciiTheme="majorBidi" w:hAnsiTheme="majorBidi" w:cstheme="majorBidi"/>
              <w:noProof/>
              <w:sz w:val="24"/>
              <w:szCs w:val="24"/>
            </w:rPr>
            <w:t xml:space="preserve"> (Araujo &amp; Kollat, 2018)</w:t>
          </w:r>
          <w:r w:rsidR="00F52E39" w:rsidRPr="00041ACA">
            <w:rPr>
              <w:rFonts w:asciiTheme="majorBidi" w:hAnsiTheme="majorBidi" w:cstheme="majorBidi"/>
              <w:sz w:val="24"/>
              <w:szCs w:val="24"/>
            </w:rPr>
            <w:fldChar w:fldCharType="end"/>
          </w:r>
        </w:sdtContent>
      </w:sdt>
      <w:r w:rsidR="00D144FB">
        <w:rPr>
          <w:rFonts w:asciiTheme="majorBidi" w:hAnsiTheme="majorBidi" w:cstheme="majorBidi"/>
          <w:sz w:val="24"/>
          <w:szCs w:val="24"/>
        </w:rPr>
        <w:t xml:space="preserve">. </w:t>
      </w:r>
      <w:bookmarkEnd w:id="18"/>
      <w:r w:rsidR="00D144FB">
        <w:rPr>
          <w:rFonts w:asciiTheme="majorBidi" w:hAnsiTheme="majorBidi" w:cstheme="majorBidi"/>
          <w:sz w:val="24"/>
          <w:szCs w:val="24"/>
        </w:rPr>
        <w:t xml:space="preserve">Evidently, there are not </w:t>
      </w:r>
      <w:r w:rsidR="002867E6">
        <w:rPr>
          <w:rFonts w:asciiTheme="majorBidi" w:hAnsiTheme="majorBidi" w:cstheme="majorBidi"/>
          <w:sz w:val="24"/>
          <w:szCs w:val="24"/>
        </w:rPr>
        <w:t xml:space="preserve">many </w:t>
      </w:r>
      <w:r w:rsidR="00D144FB">
        <w:rPr>
          <w:rFonts w:asciiTheme="majorBidi" w:hAnsiTheme="majorBidi" w:cstheme="majorBidi"/>
          <w:sz w:val="24"/>
          <w:szCs w:val="24"/>
        </w:rPr>
        <w:t xml:space="preserve">studies that compare the effectiveness of CSR and non-CSR communication as a </w:t>
      </w:r>
      <w:r w:rsidR="00200696">
        <w:rPr>
          <w:rFonts w:asciiTheme="majorBidi" w:hAnsiTheme="majorBidi" w:cstheme="majorBidi"/>
          <w:sz w:val="24"/>
          <w:szCs w:val="24"/>
        </w:rPr>
        <w:t>communication strategy</w:t>
      </w:r>
      <w:sdt>
        <w:sdtPr>
          <w:rPr>
            <w:rFonts w:asciiTheme="majorBidi" w:hAnsiTheme="majorBidi" w:cstheme="majorBidi"/>
            <w:sz w:val="24"/>
            <w:szCs w:val="24"/>
          </w:rPr>
          <w:id w:val="35320384"/>
          <w:citation/>
        </w:sdtPr>
        <w:sdtContent>
          <w:r w:rsidR="00200696" w:rsidRPr="00041ACA">
            <w:rPr>
              <w:rFonts w:asciiTheme="majorBidi" w:hAnsiTheme="majorBidi" w:cstheme="majorBidi"/>
              <w:sz w:val="24"/>
              <w:szCs w:val="24"/>
            </w:rPr>
            <w:fldChar w:fldCharType="begin"/>
          </w:r>
          <w:r w:rsidR="00200696" w:rsidRPr="00041ACA">
            <w:rPr>
              <w:rFonts w:asciiTheme="majorBidi" w:hAnsiTheme="majorBidi" w:cstheme="majorBidi"/>
              <w:sz w:val="24"/>
              <w:szCs w:val="24"/>
            </w:rPr>
            <w:instrText xml:space="preserve"> CITATION Ett13 \l 2057 </w:instrText>
          </w:r>
          <w:r w:rsidR="00200696" w:rsidRPr="00041ACA">
            <w:rPr>
              <w:rFonts w:asciiTheme="majorBidi" w:hAnsiTheme="majorBidi" w:cstheme="majorBidi"/>
              <w:sz w:val="24"/>
              <w:szCs w:val="24"/>
            </w:rPr>
            <w:fldChar w:fldCharType="separate"/>
          </w:r>
          <w:r w:rsidR="00200696" w:rsidRPr="00041ACA">
            <w:rPr>
              <w:rFonts w:asciiTheme="majorBidi" w:hAnsiTheme="majorBidi" w:cstheme="majorBidi"/>
              <w:noProof/>
              <w:sz w:val="24"/>
              <w:szCs w:val="24"/>
            </w:rPr>
            <w:t xml:space="preserve"> (Etter, 2013)</w:t>
          </w:r>
          <w:r w:rsidR="00200696" w:rsidRPr="00041ACA">
            <w:rPr>
              <w:rFonts w:asciiTheme="majorBidi" w:hAnsiTheme="majorBidi" w:cstheme="majorBidi"/>
              <w:sz w:val="24"/>
              <w:szCs w:val="24"/>
            </w:rPr>
            <w:fldChar w:fldCharType="end"/>
          </w:r>
        </w:sdtContent>
      </w:sdt>
      <w:r w:rsidR="00200696">
        <w:rPr>
          <w:rFonts w:asciiTheme="majorBidi" w:hAnsiTheme="majorBidi" w:cstheme="majorBidi"/>
          <w:sz w:val="24"/>
          <w:szCs w:val="24"/>
        </w:rPr>
        <w:t>.</w:t>
      </w:r>
      <w:r w:rsidR="007A451B">
        <w:rPr>
          <w:rFonts w:asciiTheme="majorBidi" w:hAnsiTheme="majorBidi" w:cstheme="majorBidi"/>
          <w:sz w:val="24"/>
          <w:szCs w:val="24"/>
        </w:rPr>
        <w:t xml:space="preserve"> Accordingly, this thesis is filling an important gap in</w:t>
      </w:r>
      <w:r w:rsidR="00B23922">
        <w:rPr>
          <w:rFonts w:asciiTheme="majorBidi" w:hAnsiTheme="majorBidi" w:cstheme="majorBidi"/>
          <w:sz w:val="24"/>
          <w:szCs w:val="24"/>
        </w:rPr>
        <w:t xml:space="preserve"> the</w:t>
      </w:r>
      <w:r w:rsidR="007A451B">
        <w:rPr>
          <w:rFonts w:asciiTheme="majorBidi" w:hAnsiTheme="majorBidi" w:cstheme="majorBidi"/>
          <w:sz w:val="24"/>
          <w:szCs w:val="24"/>
        </w:rPr>
        <w:t xml:space="preserve"> literature by examining consumers’ attitudes and purchase intentions resulting from CSR communication versus non-CSR communication. </w:t>
      </w:r>
      <w:r>
        <w:rPr>
          <w:rFonts w:asciiTheme="majorBidi" w:hAnsiTheme="majorBidi" w:cstheme="majorBidi"/>
          <w:sz w:val="24"/>
          <w:szCs w:val="24"/>
        </w:rPr>
        <w:t>In different contexts</w:t>
      </w:r>
      <w:r w:rsidR="0069093B">
        <w:rPr>
          <w:rFonts w:asciiTheme="majorBidi" w:hAnsiTheme="majorBidi" w:cstheme="majorBidi"/>
          <w:sz w:val="24"/>
          <w:szCs w:val="24"/>
        </w:rPr>
        <w:t>, other studies in literature used the term “non-CSR”</w:t>
      </w:r>
      <w:r w:rsidR="007A451B">
        <w:rPr>
          <w:rFonts w:asciiTheme="majorBidi" w:hAnsiTheme="majorBidi" w:cstheme="majorBidi"/>
          <w:sz w:val="24"/>
          <w:szCs w:val="24"/>
        </w:rPr>
        <w:t xml:space="preserve"> </w:t>
      </w:r>
      <w:sdt>
        <w:sdtPr>
          <w:rPr>
            <w:rFonts w:asciiTheme="majorBidi" w:hAnsiTheme="majorBidi" w:cstheme="majorBidi"/>
            <w:sz w:val="24"/>
            <w:szCs w:val="24"/>
          </w:rPr>
          <w:id w:val="-232162703"/>
          <w:citation/>
        </w:sdtPr>
        <w:sdtContent>
          <w:r w:rsidR="007A451B">
            <w:rPr>
              <w:rFonts w:asciiTheme="majorBidi" w:hAnsiTheme="majorBidi" w:cstheme="majorBidi"/>
              <w:sz w:val="24"/>
              <w:szCs w:val="24"/>
            </w:rPr>
            <w:fldChar w:fldCharType="begin"/>
          </w:r>
          <w:r w:rsidR="007A451B">
            <w:rPr>
              <w:rFonts w:asciiTheme="majorBidi" w:hAnsiTheme="majorBidi" w:cstheme="majorBidi"/>
              <w:sz w:val="24"/>
              <w:szCs w:val="24"/>
            </w:rPr>
            <w:instrText xml:space="preserve">CITATION Che233 \t  \l 2057 </w:instrText>
          </w:r>
          <w:r w:rsidR="00337E97">
            <w:rPr>
              <w:rFonts w:asciiTheme="majorBidi" w:hAnsiTheme="majorBidi" w:cstheme="majorBidi"/>
              <w:sz w:val="24"/>
              <w:szCs w:val="24"/>
            </w:rPr>
            <w:instrText xml:space="preserve"> \m Far171</w:instrText>
          </w:r>
          <w:r w:rsidR="007A451B">
            <w:rPr>
              <w:rFonts w:asciiTheme="majorBidi" w:hAnsiTheme="majorBidi" w:cstheme="majorBidi"/>
              <w:sz w:val="24"/>
              <w:szCs w:val="24"/>
            </w:rPr>
            <w:fldChar w:fldCharType="separate"/>
          </w:r>
          <w:r w:rsidR="00337E97" w:rsidRPr="00337E97">
            <w:rPr>
              <w:rFonts w:asciiTheme="majorBidi" w:hAnsiTheme="majorBidi" w:cstheme="majorBidi"/>
              <w:noProof/>
              <w:sz w:val="24"/>
              <w:szCs w:val="24"/>
            </w:rPr>
            <w:t>(Chen, Hung-Baesecke, &amp; Cheng, 2023; Farache, Tetchner, &amp; Kollat , 2017)</w:t>
          </w:r>
          <w:r w:rsidR="007A451B">
            <w:rPr>
              <w:rFonts w:asciiTheme="majorBidi" w:hAnsiTheme="majorBidi" w:cstheme="majorBidi"/>
              <w:sz w:val="24"/>
              <w:szCs w:val="24"/>
            </w:rPr>
            <w:fldChar w:fldCharType="end"/>
          </w:r>
        </w:sdtContent>
      </w:sdt>
      <w:r w:rsidR="00337E97">
        <w:rPr>
          <w:rFonts w:asciiTheme="majorBidi" w:hAnsiTheme="majorBidi" w:cstheme="majorBidi"/>
          <w:sz w:val="24"/>
          <w:szCs w:val="24"/>
        </w:rPr>
        <w:t xml:space="preserve">. </w:t>
      </w:r>
      <w:r w:rsidR="00122C76">
        <w:rPr>
          <w:rFonts w:asciiTheme="majorBidi" w:hAnsiTheme="majorBidi" w:cstheme="majorBidi"/>
          <w:sz w:val="24"/>
          <w:szCs w:val="24"/>
        </w:rPr>
        <w:t>Based on the above definitions, i</w:t>
      </w:r>
      <w:r w:rsidR="00337E97">
        <w:rPr>
          <w:rFonts w:asciiTheme="majorBidi" w:hAnsiTheme="majorBidi" w:cstheme="majorBidi"/>
          <w:sz w:val="24"/>
          <w:szCs w:val="24"/>
        </w:rPr>
        <w:t xml:space="preserve">n this study, non-CSR communication refers to any advertising or communication from the brand or the company to consumers that focuses on the brand, its history, </w:t>
      </w:r>
      <w:r w:rsidR="002B486E">
        <w:rPr>
          <w:rFonts w:asciiTheme="majorBidi" w:hAnsiTheme="majorBidi" w:cstheme="majorBidi"/>
          <w:sz w:val="24"/>
          <w:szCs w:val="24"/>
        </w:rPr>
        <w:t xml:space="preserve">products, </w:t>
      </w:r>
      <w:r w:rsidR="00337E97">
        <w:rPr>
          <w:rFonts w:asciiTheme="majorBidi" w:hAnsiTheme="majorBidi" w:cstheme="majorBidi"/>
          <w:sz w:val="24"/>
          <w:szCs w:val="24"/>
        </w:rPr>
        <w:t xml:space="preserve">benefits, or functions and does not include any communication related to the company’s social or environmental activities. </w:t>
      </w:r>
    </w:p>
    <w:p w14:paraId="047EC096" w14:textId="7E39A58A" w:rsidR="00A96566" w:rsidRPr="005B666A" w:rsidRDefault="008067DB" w:rsidP="003A14AD">
      <w:pPr>
        <w:spacing w:after="0" w:line="480" w:lineRule="auto"/>
        <w:jc w:val="lowKashida"/>
        <w:rPr>
          <w:rFonts w:asciiTheme="majorBidi" w:hAnsiTheme="majorBidi" w:cstheme="majorBidi"/>
          <w:b/>
          <w:bCs/>
          <w:sz w:val="24"/>
          <w:szCs w:val="24"/>
        </w:rPr>
      </w:pPr>
      <w:r>
        <w:rPr>
          <w:rFonts w:asciiTheme="majorBidi" w:hAnsiTheme="majorBidi" w:cstheme="majorBidi"/>
          <w:b/>
          <w:bCs/>
          <w:sz w:val="24"/>
          <w:szCs w:val="24"/>
        </w:rPr>
        <w:t>2</w:t>
      </w:r>
      <w:r w:rsidR="00A96566" w:rsidRPr="00F94905">
        <w:rPr>
          <w:rFonts w:asciiTheme="majorBidi" w:hAnsiTheme="majorBidi" w:cstheme="majorBidi"/>
          <w:b/>
          <w:bCs/>
          <w:sz w:val="24"/>
          <w:szCs w:val="24"/>
        </w:rPr>
        <w:t>.</w:t>
      </w:r>
      <w:r w:rsidR="001F73FA">
        <w:rPr>
          <w:rFonts w:asciiTheme="majorBidi" w:hAnsiTheme="majorBidi" w:cstheme="majorBidi"/>
          <w:b/>
          <w:bCs/>
          <w:sz w:val="24"/>
          <w:szCs w:val="24"/>
        </w:rPr>
        <w:t>2</w:t>
      </w:r>
      <w:r w:rsidR="00A96566" w:rsidRPr="00F94905">
        <w:rPr>
          <w:rFonts w:asciiTheme="majorBidi" w:hAnsiTheme="majorBidi" w:cstheme="majorBidi"/>
          <w:b/>
          <w:bCs/>
          <w:sz w:val="24"/>
          <w:szCs w:val="24"/>
        </w:rPr>
        <w:t xml:space="preserve"> Types of CSR</w:t>
      </w:r>
    </w:p>
    <w:p w14:paraId="2B6F0CEF" w14:textId="36B728B5" w:rsidR="003864DC" w:rsidRDefault="00A96566" w:rsidP="003864DC">
      <w:pPr>
        <w:spacing w:after="0" w:line="480" w:lineRule="auto"/>
        <w:ind w:firstLine="720"/>
        <w:jc w:val="lowKashida"/>
        <w:rPr>
          <w:rFonts w:asciiTheme="majorBidi" w:hAnsiTheme="majorBidi" w:cstheme="majorBidi"/>
          <w:sz w:val="24"/>
          <w:szCs w:val="24"/>
        </w:rPr>
      </w:pPr>
      <w:r w:rsidRPr="006373EE">
        <w:rPr>
          <w:rFonts w:asciiTheme="majorBidi" w:hAnsiTheme="majorBidi" w:cstheme="majorBidi"/>
          <w:sz w:val="24"/>
          <w:szCs w:val="24"/>
        </w:rPr>
        <w:t>CSR is normally categorized by external and internal activities</w:t>
      </w:r>
      <w:sdt>
        <w:sdtPr>
          <w:rPr>
            <w:rFonts w:asciiTheme="majorBidi" w:hAnsiTheme="majorBidi" w:cstheme="majorBidi"/>
            <w:sz w:val="24"/>
            <w:szCs w:val="24"/>
          </w:rPr>
          <w:id w:val="275454107"/>
          <w:citation/>
        </w:sdtPr>
        <w:sdtContent>
          <w:r w:rsidRPr="00041ACA">
            <w:rPr>
              <w:rFonts w:asciiTheme="majorBidi" w:hAnsiTheme="majorBidi" w:cstheme="majorBidi"/>
              <w:sz w:val="24"/>
              <w:szCs w:val="24"/>
            </w:rPr>
            <w:fldChar w:fldCharType="begin"/>
          </w:r>
          <w:r w:rsidRPr="00041ACA">
            <w:rPr>
              <w:rFonts w:asciiTheme="majorBidi" w:hAnsiTheme="majorBidi" w:cstheme="majorBidi"/>
              <w:sz w:val="24"/>
              <w:szCs w:val="24"/>
            </w:rPr>
            <w:instrText xml:space="preserve"> CITATION AlS19 \l 2057 </w:instrText>
          </w:r>
          <w:r w:rsidRPr="00041ACA">
            <w:rPr>
              <w:rFonts w:asciiTheme="majorBidi" w:hAnsiTheme="majorBidi" w:cstheme="majorBidi"/>
              <w:sz w:val="24"/>
              <w:szCs w:val="24"/>
            </w:rPr>
            <w:fldChar w:fldCharType="separate"/>
          </w:r>
          <w:r w:rsidRPr="00041ACA">
            <w:rPr>
              <w:rFonts w:asciiTheme="majorBidi" w:hAnsiTheme="majorBidi" w:cstheme="majorBidi"/>
              <w:noProof/>
              <w:sz w:val="24"/>
              <w:szCs w:val="24"/>
            </w:rPr>
            <w:t xml:space="preserve"> (Al-Shammari , Rasheed, &amp; Al-Shammari, 2019)</w:t>
          </w:r>
          <w:r w:rsidRPr="00041ACA">
            <w:rPr>
              <w:rFonts w:asciiTheme="majorBidi" w:hAnsiTheme="majorBidi" w:cstheme="majorBidi"/>
              <w:sz w:val="24"/>
              <w:szCs w:val="24"/>
            </w:rPr>
            <w:fldChar w:fldCharType="end"/>
          </w:r>
        </w:sdtContent>
      </w:sdt>
      <w:r w:rsidRPr="00041ACA">
        <w:rPr>
          <w:rFonts w:asciiTheme="majorBidi" w:hAnsiTheme="majorBidi" w:cstheme="majorBidi"/>
          <w:sz w:val="24"/>
          <w:szCs w:val="24"/>
        </w:rPr>
        <w:t>.</w:t>
      </w:r>
      <w:r w:rsidR="00122C76">
        <w:rPr>
          <w:rFonts w:asciiTheme="majorBidi" w:hAnsiTheme="majorBidi" w:cstheme="majorBidi"/>
          <w:sz w:val="24"/>
          <w:szCs w:val="24"/>
        </w:rPr>
        <w:t xml:space="preserve"> </w:t>
      </w:r>
      <w:r w:rsidRPr="00D3444C">
        <w:rPr>
          <w:rFonts w:asciiTheme="majorBidi" w:hAnsiTheme="majorBidi" w:cstheme="majorBidi"/>
          <w:sz w:val="24"/>
          <w:szCs w:val="24"/>
        </w:rPr>
        <w:t xml:space="preserve">Internal CSR refers to actions centred </w:t>
      </w:r>
      <w:r w:rsidR="00B23922">
        <w:rPr>
          <w:rFonts w:asciiTheme="majorBidi" w:hAnsiTheme="majorBidi" w:cstheme="majorBidi"/>
          <w:sz w:val="24"/>
          <w:szCs w:val="24"/>
        </w:rPr>
        <w:t>on</w:t>
      </w:r>
      <w:r w:rsidRPr="00D3444C">
        <w:rPr>
          <w:rFonts w:asciiTheme="majorBidi" w:hAnsiTheme="majorBidi" w:cstheme="majorBidi"/>
          <w:sz w:val="24"/>
          <w:szCs w:val="24"/>
        </w:rPr>
        <w:t xml:space="preserve"> the </w:t>
      </w:r>
      <w:r>
        <w:rPr>
          <w:rFonts w:asciiTheme="majorBidi" w:hAnsiTheme="majorBidi" w:cstheme="majorBidi"/>
          <w:sz w:val="24"/>
          <w:szCs w:val="24"/>
        </w:rPr>
        <w:t>attention given to</w:t>
      </w:r>
      <w:r w:rsidRPr="00D3444C">
        <w:rPr>
          <w:rFonts w:asciiTheme="majorBidi" w:hAnsiTheme="majorBidi" w:cstheme="majorBidi"/>
          <w:sz w:val="24"/>
          <w:szCs w:val="24"/>
        </w:rPr>
        <w:t xml:space="preserve"> internal stakeholders (such as business owners and employees); in contrast, external CSR refers to activities centred </w:t>
      </w:r>
      <w:r w:rsidR="00B23922">
        <w:rPr>
          <w:rFonts w:asciiTheme="majorBidi" w:hAnsiTheme="majorBidi" w:cstheme="majorBidi"/>
          <w:sz w:val="24"/>
          <w:szCs w:val="24"/>
        </w:rPr>
        <w:t>on</w:t>
      </w:r>
      <w:r w:rsidRPr="00D3444C">
        <w:rPr>
          <w:rFonts w:asciiTheme="majorBidi" w:hAnsiTheme="majorBidi" w:cstheme="majorBidi"/>
          <w:sz w:val="24"/>
          <w:szCs w:val="24"/>
        </w:rPr>
        <w:t xml:space="preserve"> external stakeholders (such as </w:t>
      </w:r>
      <w:r>
        <w:rPr>
          <w:rFonts w:asciiTheme="majorBidi" w:hAnsiTheme="majorBidi" w:cstheme="majorBidi"/>
          <w:sz w:val="24"/>
          <w:szCs w:val="24"/>
        </w:rPr>
        <w:t>customers</w:t>
      </w:r>
      <w:r w:rsidRPr="00D3444C">
        <w:rPr>
          <w:rFonts w:asciiTheme="majorBidi" w:hAnsiTheme="majorBidi" w:cstheme="majorBidi"/>
          <w:sz w:val="24"/>
          <w:szCs w:val="24"/>
        </w:rPr>
        <w:t>, consumers, and the environment</w:t>
      </w:r>
      <w:r w:rsidRPr="008067DB">
        <w:rPr>
          <w:rFonts w:asciiTheme="majorBidi" w:hAnsiTheme="majorBidi" w:cstheme="majorBidi"/>
          <w:sz w:val="24"/>
          <w:szCs w:val="24"/>
        </w:rPr>
        <w:t>)</w:t>
      </w:r>
      <w:bookmarkStart w:id="19" w:name="_Hlk144298762"/>
      <w:sdt>
        <w:sdtPr>
          <w:rPr>
            <w:rFonts w:asciiTheme="majorBidi" w:hAnsiTheme="majorBidi" w:cstheme="majorBidi"/>
            <w:sz w:val="24"/>
            <w:szCs w:val="24"/>
          </w:rPr>
          <w:id w:val="790249065"/>
          <w:citation/>
        </w:sdtPr>
        <w:sdtContent>
          <w:r w:rsidRPr="008067DB">
            <w:rPr>
              <w:rFonts w:asciiTheme="majorBidi" w:hAnsiTheme="majorBidi" w:cstheme="majorBidi"/>
              <w:sz w:val="24"/>
              <w:szCs w:val="24"/>
            </w:rPr>
            <w:fldChar w:fldCharType="begin"/>
          </w:r>
          <w:r w:rsidRPr="008067DB">
            <w:rPr>
              <w:rFonts w:asciiTheme="majorBidi" w:hAnsiTheme="majorBidi" w:cstheme="majorBidi"/>
              <w:sz w:val="24"/>
              <w:szCs w:val="24"/>
            </w:rPr>
            <w:instrText xml:space="preserve"> CITATION Zho22 \l 2057 </w:instrText>
          </w:r>
          <w:r w:rsidRPr="008067DB">
            <w:rPr>
              <w:rFonts w:asciiTheme="majorBidi" w:hAnsiTheme="majorBidi" w:cstheme="majorBidi"/>
              <w:sz w:val="24"/>
              <w:szCs w:val="24"/>
            </w:rPr>
            <w:fldChar w:fldCharType="separate"/>
          </w:r>
          <w:r w:rsidRPr="008067DB">
            <w:rPr>
              <w:rFonts w:asciiTheme="majorBidi" w:hAnsiTheme="majorBidi" w:cstheme="majorBidi"/>
              <w:noProof/>
              <w:sz w:val="24"/>
              <w:szCs w:val="24"/>
            </w:rPr>
            <w:t xml:space="preserve"> (Zhong, Ren, &amp; Wu , 2022)</w:t>
          </w:r>
          <w:r w:rsidRPr="008067DB">
            <w:rPr>
              <w:rFonts w:asciiTheme="majorBidi" w:hAnsiTheme="majorBidi" w:cstheme="majorBidi"/>
              <w:sz w:val="24"/>
              <w:szCs w:val="24"/>
            </w:rPr>
            <w:fldChar w:fldCharType="end"/>
          </w:r>
        </w:sdtContent>
      </w:sdt>
      <w:r w:rsidRPr="008067DB">
        <w:rPr>
          <w:rFonts w:asciiTheme="majorBidi" w:hAnsiTheme="majorBidi" w:cstheme="majorBidi"/>
          <w:sz w:val="24"/>
          <w:szCs w:val="24"/>
        </w:rPr>
        <w:t>.</w:t>
      </w:r>
      <w:r>
        <w:rPr>
          <w:rFonts w:asciiTheme="majorBidi" w:hAnsiTheme="majorBidi" w:cstheme="majorBidi"/>
          <w:sz w:val="24"/>
          <w:szCs w:val="24"/>
        </w:rPr>
        <w:t xml:space="preserve"> </w:t>
      </w:r>
      <w:bookmarkEnd w:id="19"/>
      <w:r>
        <w:rPr>
          <w:rFonts w:asciiTheme="majorBidi" w:hAnsiTheme="majorBidi" w:cstheme="majorBidi"/>
          <w:sz w:val="24"/>
          <w:szCs w:val="24"/>
        </w:rPr>
        <w:t>Other types of CSR that are frequently examined in literature are based on the type of contribution: monetary or in-kind contributions</w:t>
      </w:r>
      <w:sdt>
        <w:sdtPr>
          <w:rPr>
            <w:rFonts w:asciiTheme="majorBidi" w:hAnsiTheme="majorBidi" w:cstheme="majorBidi"/>
            <w:sz w:val="24"/>
            <w:szCs w:val="24"/>
          </w:rPr>
          <w:id w:val="192637957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Lin22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(Lin, Lii , &amp; Ding, 2022)</w:t>
          </w:r>
          <w:r>
            <w:rPr>
              <w:rFonts w:asciiTheme="majorBidi" w:hAnsiTheme="majorBidi" w:cstheme="majorBidi"/>
              <w:sz w:val="24"/>
              <w:szCs w:val="24"/>
            </w:rPr>
            <w:fldChar w:fldCharType="end"/>
          </w:r>
        </w:sdtContent>
      </w:sdt>
      <w:r>
        <w:rPr>
          <w:rFonts w:asciiTheme="majorBidi" w:hAnsiTheme="majorBidi" w:cstheme="majorBidi"/>
          <w:sz w:val="24"/>
          <w:szCs w:val="24"/>
        </w:rPr>
        <w:t>. Monetary contribution refers to direct financial contribution in the form of cash or goods and in-kind contribution refers to the company’s efforts and indirect contributions towards a certain cause</w:t>
      </w:r>
      <w:sdt>
        <w:sdtPr>
          <w:rPr>
            <w:rFonts w:asciiTheme="majorBidi" w:hAnsiTheme="majorBidi" w:cstheme="majorBidi"/>
            <w:sz w:val="24"/>
            <w:szCs w:val="24"/>
          </w:rPr>
          <w:id w:val="35138636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Lin22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(Lin, Lii , &amp; Ding,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Usually, it is expected that with in-kind campaigns, consumers tend to be more emotionally involved with the campaign and the company than with monetary campaigns </w:t>
      </w:r>
      <w:sdt>
        <w:sdtPr>
          <w:rPr>
            <w:rFonts w:asciiTheme="majorBidi" w:hAnsiTheme="majorBidi" w:cstheme="majorBidi"/>
            <w:sz w:val="24"/>
            <w:szCs w:val="24"/>
          </w:rPr>
          <w:id w:val="618961926"/>
          <w:citation/>
        </w:sdtPr>
        <w:sdtContent>
          <w:r w:rsidRPr="008067DB">
            <w:rPr>
              <w:rFonts w:asciiTheme="majorBidi" w:hAnsiTheme="majorBidi" w:cstheme="majorBidi"/>
              <w:sz w:val="24"/>
              <w:szCs w:val="24"/>
            </w:rPr>
            <w:fldChar w:fldCharType="begin"/>
          </w:r>
          <w:r w:rsidRPr="008067DB">
            <w:rPr>
              <w:rFonts w:asciiTheme="majorBidi" w:hAnsiTheme="majorBidi" w:cstheme="majorBidi"/>
              <w:sz w:val="24"/>
              <w:szCs w:val="24"/>
            </w:rPr>
            <w:instrText xml:space="preserve"> CITATION Kim15 \l 2057 </w:instrText>
          </w:r>
          <w:r w:rsidRPr="008067DB">
            <w:rPr>
              <w:rFonts w:asciiTheme="majorBidi" w:hAnsiTheme="majorBidi" w:cstheme="majorBidi"/>
              <w:sz w:val="24"/>
              <w:szCs w:val="24"/>
            </w:rPr>
            <w:fldChar w:fldCharType="separate"/>
          </w:r>
          <w:r w:rsidRPr="008067DB">
            <w:rPr>
              <w:rFonts w:asciiTheme="majorBidi" w:hAnsiTheme="majorBidi" w:cstheme="majorBidi"/>
              <w:noProof/>
              <w:sz w:val="24"/>
              <w:szCs w:val="24"/>
            </w:rPr>
            <w:t>(Kim, et al., 2015)</w:t>
          </w:r>
          <w:r w:rsidRPr="008067DB">
            <w:rPr>
              <w:rFonts w:asciiTheme="majorBidi" w:hAnsiTheme="majorBidi" w:cstheme="majorBidi"/>
              <w:sz w:val="24"/>
              <w:szCs w:val="24"/>
            </w:rPr>
            <w:fldChar w:fldCharType="end"/>
          </w:r>
        </w:sdtContent>
      </w:sdt>
      <w:r w:rsidRPr="008067DB">
        <w:rPr>
          <w:rFonts w:asciiTheme="majorBidi" w:hAnsiTheme="majorBidi" w:cstheme="majorBidi"/>
          <w:sz w:val="24"/>
          <w:szCs w:val="24"/>
        </w:rPr>
        <w:t xml:space="preserve">. </w:t>
      </w:r>
      <w:r w:rsidR="00BA0EE9" w:rsidRPr="008067DB">
        <w:rPr>
          <w:rFonts w:asciiTheme="majorBidi" w:hAnsiTheme="majorBidi" w:cstheme="majorBidi"/>
          <w:sz w:val="24"/>
          <w:szCs w:val="24"/>
        </w:rPr>
        <w:t>Another study</w:t>
      </w:r>
      <w:r w:rsidRPr="008067DB">
        <w:rPr>
          <w:rFonts w:asciiTheme="majorBidi" w:hAnsiTheme="majorBidi" w:cstheme="majorBidi"/>
          <w:sz w:val="24"/>
          <w:szCs w:val="24"/>
        </w:rPr>
        <w:t xml:space="preserve"> categori</w:t>
      </w:r>
      <w:r w:rsidR="00B23922" w:rsidRPr="008067DB">
        <w:rPr>
          <w:rFonts w:asciiTheme="majorBidi" w:hAnsiTheme="majorBidi" w:cstheme="majorBidi"/>
          <w:sz w:val="24"/>
          <w:szCs w:val="24"/>
        </w:rPr>
        <w:t>s</w:t>
      </w:r>
      <w:r w:rsidRPr="008067DB">
        <w:rPr>
          <w:rFonts w:asciiTheme="majorBidi" w:hAnsiTheme="majorBidi" w:cstheme="majorBidi"/>
          <w:sz w:val="24"/>
          <w:szCs w:val="24"/>
        </w:rPr>
        <w:t>es CSR into product development, in-kind donations, and CSR commercials</w:t>
      </w:r>
      <w:sdt>
        <w:sdtPr>
          <w:rPr>
            <w:rFonts w:asciiTheme="majorBidi" w:hAnsiTheme="majorBidi" w:cstheme="majorBidi"/>
            <w:sz w:val="24"/>
            <w:szCs w:val="24"/>
          </w:rPr>
          <w:id w:val="-1866586353"/>
          <w:citation/>
        </w:sdtPr>
        <w:sdtContent>
          <w:r w:rsidRPr="008067DB">
            <w:rPr>
              <w:rFonts w:asciiTheme="majorBidi" w:hAnsiTheme="majorBidi" w:cstheme="majorBidi"/>
              <w:sz w:val="24"/>
              <w:szCs w:val="24"/>
            </w:rPr>
            <w:fldChar w:fldCharType="begin"/>
          </w:r>
          <w:r w:rsidRPr="008067DB">
            <w:rPr>
              <w:rFonts w:asciiTheme="majorBidi" w:hAnsiTheme="majorBidi" w:cstheme="majorBidi"/>
              <w:sz w:val="24"/>
              <w:szCs w:val="24"/>
            </w:rPr>
            <w:instrText xml:space="preserve"> CITATION Zha22 \l 2057 </w:instrText>
          </w:r>
          <w:r w:rsidRPr="008067DB">
            <w:rPr>
              <w:rFonts w:asciiTheme="majorBidi" w:hAnsiTheme="majorBidi" w:cstheme="majorBidi"/>
              <w:sz w:val="24"/>
              <w:szCs w:val="24"/>
            </w:rPr>
            <w:fldChar w:fldCharType="separate"/>
          </w:r>
          <w:r w:rsidRPr="008067DB">
            <w:rPr>
              <w:rFonts w:asciiTheme="majorBidi" w:hAnsiTheme="majorBidi" w:cstheme="majorBidi"/>
              <w:noProof/>
              <w:sz w:val="24"/>
              <w:szCs w:val="24"/>
            </w:rPr>
            <w:t xml:space="preserve"> (Zhang &amp; Wang , 2022)</w:t>
          </w:r>
          <w:r w:rsidRPr="008067DB">
            <w:rPr>
              <w:rFonts w:asciiTheme="majorBidi" w:hAnsiTheme="majorBidi" w:cstheme="majorBidi"/>
              <w:sz w:val="24"/>
              <w:szCs w:val="24"/>
            </w:rPr>
            <w:fldChar w:fldCharType="end"/>
          </w:r>
        </w:sdtContent>
      </w:sdt>
      <w:r w:rsidRPr="008067DB">
        <w:rPr>
          <w:rFonts w:asciiTheme="majorBidi" w:hAnsiTheme="majorBidi" w:cstheme="majorBidi"/>
          <w:sz w:val="24"/>
          <w:szCs w:val="24"/>
        </w:rPr>
        <w:t xml:space="preserve">. It </w:t>
      </w:r>
      <w:r w:rsidR="00B23922" w:rsidRPr="008067DB">
        <w:rPr>
          <w:rFonts w:asciiTheme="majorBidi" w:hAnsiTheme="majorBidi" w:cstheme="majorBidi"/>
          <w:sz w:val="24"/>
          <w:szCs w:val="24"/>
        </w:rPr>
        <w:t>is</w:t>
      </w:r>
      <w:r w:rsidRPr="008067DB">
        <w:rPr>
          <w:rFonts w:asciiTheme="majorBidi" w:hAnsiTheme="majorBidi" w:cstheme="majorBidi"/>
          <w:sz w:val="24"/>
          <w:szCs w:val="24"/>
        </w:rPr>
        <w:t xml:space="preserve"> concluded that product development</w:t>
      </w:r>
      <w:r>
        <w:rPr>
          <w:rFonts w:asciiTheme="majorBidi" w:hAnsiTheme="majorBidi" w:cstheme="majorBidi"/>
          <w:sz w:val="24"/>
          <w:szCs w:val="24"/>
        </w:rPr>
        <w:t xml:space="preserve"> </w:t>
      </w:r>
      <w:r w:rsidR="00B23922">
        <w:rPr>
          <w:rFonts w:asciiTheme="majorBidi" w:hAnsiTheme="majorBidi" w:cstheme="majorBidi"/>
          <w:sz w:val="24"/>
          <w:szCs w:val="24"/>
        </w:rPr>
        <w:t>is</w:t>
      </w:r>
      <w:r>
        <w:rPr>
          <w:rFonts w:asciiTheme="majorBidi" w:hAnsiTheme="majorBidi" w:cstheme="majorBidi"/>
          <w:sz w:val="24"/>
          <w:szCs w:val="24"/>
        </w:rPr>
        <w:t xml:space="preserve"> the most effective in terms of favourable corporate image and brand equity; in-kind donation </w:t>
      </w:r>
      <w:r w:rsidR="00B23922">
        <w:rPr>
          <w:rFonts w:asciiTheme="majorBidi" w:hAnsiTheme="majorBidi" w:cstheme="majorBidi"/>
          <w:sz w:val="24"/>
          <w:szCs w:val="24"/>
        </w:rPr>
        <w:t>is</w:t>
      </w:r>
      <w:r>
        <w:rPr>
          <w:rFonts w:asciiTheme="majorBidi" w:hAnsiTheme="majorBidi" w:cstheme="majorBidi"/>
          <w:sz w:val="24"/>
          <w:szCs w:val="24"/>
        </w:rPr>
        <w:t xml:space="preserve"> perceived to be dynamic and uncreative resulting in favourable brand image but not brand equity; and lastly, CSR commercials appear to provide audience with positivit</w:t>
      </w:r>
      <w:r w:rsidR="00B23922">
        <w:rPr>
          <w:rFonts w:asciiTheme="majorBidi" w:hAnsiTheme="majorBidi" w:cstheme="majorBidi"/>
          <w:sz w:val="24"/>
          <w:szCs w:val="24"/>
        </w:rPr>
        <w:t>y,</w:t>
      </w:r>
      <w:r>
        <w:rPr>
          <w:rFonts w:asciiTheme="majorBidi" w:hAnsiTheme="majorBidi" w:cstheme="majorBidi"/>
          <w:sz w:val="24"/>
          <w:szCs w:val="24"/>
        </w:rPr>
        <w:t xml:space="preserve"> but do not positively impact corporate image and brand equity</w:t>
      </w:r>
      <w:sdt>
        <w:sdtPr>
          <w:rPr>
            <w:rFonts w:asciiTheme="majorBidi" w:hAnsiTheme="majorBidi" w:cstheme="majorBidi"/>
            <w:sz w:val="24"/>
            <w:szCs w:val="24"/>
          </w:rPr>
          <w:id w:val="64385605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Zha22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(Zhang &amp; Wang , 2022)</w:t>
          </w:r>
          <w:r>
            <w:rPr>
              <w:rFonts w:asciiTheme="majorBidi" w:hAnsiTheme="majorBidi" w:cstheme="majorBidi"/>
              <w:sz w:val="24"/>
              <w:szCs w:val="24"/>
            </w:rPr>
            <w:fldChar w:fldCharType="end"/>
          </w:r>
        </w:sdtContent>
      </w:sdt>
      <w:r>
        <w:rPr>
          <w:rFonts w:asciiTheme="majorBidi" w:hAnsiTheme="majorBidi" w:cstheme="majorBidi"/>
          <w:sz w:val="24"/>
          <w:szCs w:val="24"/>
        </w:rPr>
        <w:t>. These findings point to the importance of “dynamism and innovativeness” when it comes to CSR strategies especially in challenged societies</w:t>
      </w:r>
      <w:sdt>
        <w:sdtPr>
          <w:rPr>
            <w:rFonts w:asciiTheme="majorBidi" w:hAnsiTheme="majorBidi" w:cstheme="majorBidi"/>
            <w:sz w:val="24"/>
            <w:szCs w:val="24"/>
          </w:rPr>
          <w:id w:val="-101993834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Zha22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(Zhang &amp; Wang ,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Most importantly, when consumers are </w:t>
      </w:r>
      <w:r w:rsidRPr="008067DB">
        <w:rPr>
          <w:rFonts w:asciiTheme="majorBidi" w:hAnsiTheme="majorBidi" w:cstheme="majorBidi"/>
          <w:sz w:val="24"/>
          <w:szCs w:val="24"/>
        </w:rPr>
        <w:t>strongly interested in a specific cause, they will scrutini</w:t>
      </w:r>
      <w:r w:rsidR="00B23922" w:rsidRPr="008067DB">
        <w:rPr>
          <w:rFonts w:asciiTheme="majorBidi" w:hAnsiTheme="majorBidi" w:cstheme="majorBidi"/>
          <w:sz w:val="24"/>
          <w:szCs w:val="24"/>
        </w:rPr>
        <w:t>s</w:t>
      </w:r>
      <w:r w:rsidRPr="008067DB">
        <w:rPr>
          <w:rFonts w:asciiTheme="majorBidi" w:hAnsiTheme="majorBidi" w:cstheme="majorBidi"/>
          <w:sz w:val="24"/>
          <w:szCs w:val="24"/>
        </w:rPr>
        <w:t xml:space="preserve">e the advertisement addressing this issue and may result in developing positive attitudes and behavioural intentions towards the advertisement and the company </w:t>
      </w:r>
      <w:sdt>
        <w:sdtPr>
          <w:rPr>
            <w:rFonts w:asciiTheme="majorBidi" w:hAnsiTheme="majorBidi" w:cstheme="majorBidi"/>
            <w:sz w:val="24"/>
            <w:szCs w:val="24"/>
          </w:rPr>
          <w:id w:val="1046881781"/>
          <w:citation/>
        </w:sdtPr>
        <w:sdtContent>
          <w:r w:rsidRPr="008067DB">
            <w:rPr>
              <w:rFonts w:asciiTheme="majorBidi" w:hAnsiTheme="majorBidi" w:cstheme="majorBidi"/>
              <w:sz w:val="24"/>
              <w:szCs w:val="24"/>
            </w:rPr>
            <w:fldChar w:fldCharType="begin"/>
          </w:r>
          <w:r w:rsidRPr="008067DB">
            <w:rPr>
              <w:rFonts w:asciiTheme="majorBidi" w:hAnsiTheme="majorBidi" w:cstheme="majorBidi"/>
              <w:sz w:val="24"/>
              <w:szCs w:val="24"/>
            </w:rPr>
            <w:instrText xml:space="preserve"> CITATION Dha18 \l 2057 </w:instrText>
          </w:r>
          <w:r w:rsidRPr="008067DB">
            <w:rPr>
              <w:rFonts w:asciiTheme="majorBidi" w:hAnsiTheme="majorBidi" w:cstheme="majorBidi"/>
              <w:sz w:val="24"/>
              <w:szCs w:val="24"/>
            </w:rPr>
            <w:fldChar w:fldCharType="separate"/>
          </w:r>
          <w:r w:rsidRPr="008067DB">
            <w:rPr>
              <w:rFonts w:asciiTheme="majorBidi" w:hAnsiTheme="majorBidi" w:cstheme="majorBidi"/>
              <w:noProof/>
              <w:sz w:val="24"/>
              <w:szCs w:val="24"/>
            </w:rPr>
            <w:t>(Dhanesh &amp; Nekmat, 2018)</w:t>
          </w:r>
          <w:r w:rsidRPr="008067DB">
            <w:rPr>
              <w:rFonts w:asciiTheme="majorBidi" w:hAnsiTheme="majorBidi" w:cstheme="majorBidi"/>
              <w:sz w:val="24"/>
              <w:szCs w:val="24"/>
            </w:rPr>
            <w:fldChar w:fldCharType="end"/>
          </w:r>
        </w:sdtContent>
      </w:sdt>
      <w:r w:rsidRPr="008067DB">
        <w:rPr>
          <w:rFonts w:asciiTheme="majorBidi" w:hAnsiTheme="majorBidi" w:cstheme="majorBidi"/>
          <w:sz w:val="24"/>
          <w:szCs w:val="24"/>
        </w:rPr>
        <w:t xml:space="preserve">. For that reason, consumers should believe that the effort or value that the company is contributing to is real, relevant to them and will have a valuable impact on society. This study </w:t>
      </w:r>
      <w:r w:rsidR="00122C76" w:rsidRPr="008067DB">
        <w:rPr>
          <w:rFonts w:asciiTheme="majorBidi" w:hAnsiTheme="majorBidi" w:cstheme="majorBidi"/>
          <w:sz w:val="24"/>
          <w:szCs w:val="24"/>
        </w:rPr>
        <w:t>examines on</w:t>
      </w:r>
      <w:r w:rsidR="00B23922" w:rsidRPr="008067DB">
        <w:rPr>
          <w:rFonts w:asciiTheme="majorBidi" w:hAnsiTheme="majorBidi" w:cstheme="majorBidi"/>
          <w:sz w:val="24"/>
          <w:szCs w:val="24"/>
        </w:rPr>
        <w:t>e</w:t>
      </w:r>
      <w:r w:rsidR="00122C76" w:rsidRPr="008067DB">
        <w:rPr>
          <w:rFonts w:asciiTheme="majorBidi" w:hAnsiTheme="majorBidi" w:cstheme="majorBidi"/>
          <w:sz w:val="24"/>
          <w:szCs w:val="24"/>
        </w:rPr>
        <w:t xml:space="preserve"> of the CSR types discussed above which is considered to be </w:t>
      </w:r>
      <w:r w:rsidRPr="008067DB">
        <w:rPr>
          <w:rFonts w:asciiTheme="majorBidi" w:hAnsiTheme="majorBidi" w:cstheme="majorBidi"/>
          <w:sz w:val="24"/>
          <w:szCs w:val="24"/>
        </w:rPr>
        <w:t xml:space="preserve">CSR </w:t>
      </w:r>
      <w:r w:rsidR="00122C76" w:rsidRPr="008067DB">
        <w:rPr>
          <w:rFonts w:asciiTheme="majorBidi" w:hAnsiTheme="majorBidi" w:cstheme="majorBidi"/>
          <w:sz w:val="24"/>
          <w:szCs w:val="24"/>
        </w:rPr>
        <w:t xml:space="preserve">in-kind </w:t>
      </w:r>
      <w:r w:rsidRPr="008067DB">
        <w:rPr>
          <w:rFonts w:asciiTheme="majorBidi" w:hAnsiTheme="majorBidi" w:cstheme="majorBidi"/>
          <w:sz w:val="24"/>
          <w:szCs w:val="24"/>
        </w:rPr>
        <w:t>commercials</w:t>
      </w:r>
      <w:r w:rsidR="00122C76">
        <w:rPr>
          <w:rFonts w:asciiTheme="majorBidi" w:hAnsiTheme="majorBidi" w:cstheme="majorBidi"/>
          <w:sz w:val="24"/>
          <w:szCs w:val="24"/>
        </w:rPr>
        <w:t xml:space="preserve"> or communication</w:t>
      </w:r>
      <w:r>
        <w:rPr>
          <w:rFonts w:asciiTheme="majorBidi" w:hAnsiTheme="majorBidi" w:cstheme="majorBidi"/>
          <w:sz w:val="24"/>
          <w:szCs w:val="24"/>
        </w:rPr>
        <w:t xml:space="preserve"> while carefully considering the above discussed strategies.</w:t>
      </w:r>
    </w:p>
    <w:p w14:paraId="0DAEF7DD" w14:textId="5C2C57DA" w:rsidR="00A96566" w:rsidRDefault="00350829" w:rsidP="008067DB">
      <w:pPr>
        <w:spacing w:after="0" w:line="480" w:lineRule="auto"/>
        <w:rPr>
          <w:rFonts w:asciiTheme="majorBidi" w:hAnsiTheme="majorBidi" w:cstheme="majorBidi"/>
          <w:sz w:val="24"/>
          <w:szCs w:val="24"/>
        </w:rPr>
      </w:pPr>
      <w:r>
        <w:rPr>
          <w:rFonts w:asciiTheme="majorBidi" w:hAnsiTheme="majorBidi" w:cstheme="majorBidi"/>
          <w:sz w:val="24"/>
          <w:szCs w:val="24"/>
        </w:rPr>
        <w:tab/>
      </w:r>
      <w:r w:rsidR="003864DC">
        <w:rPr>
          <w:rFonts w:asciiTheme="majorBidi" w:hAnsiTheme="majorBidi" w:cstheme="majorBidi"/>
          <w:sz w:val="24"/>
          <w:szCs w:val="24"/>
        </w:rPr>
        <w:t>CSR</w:t>
      </w:r>
      <w:r w:rsidR="005053B1">
        <w:rPr>
          <w:rFonts w:asciiTheme="majorBidi" w:hAnsiTheme="majorBidi" w:cstheme="majorBidi"/>
          <w:sz w:val="24"/>
          <w:szCs w:val="24"/>
        </w:rPr>
        <w:t xml:space="preserve"> campaigns usually take the form of</w:t>
      </w:r>
      <w:r w:rsidR="003864DC">
        <w:rPr>
          <w:rFonts w:asciiTheme="majorBidi" w:hAnsiTheme="majorBidi" w:cstheme="majorBidi"/>
          <w:sz w:val="24"/>
          <w:szCs w:val="24"/>
        </w:rPr>
        <w:t xml:space="preserve"> </w:t>
      </w:r>
      <w:r>
        <w:rPr>
          <w:rFonts w:asciiTheme="majorBidi" w:hAnsiTheme="majorBidi" w:cstheme="majorBidi"/>
          <w:sz w:val="24"/>
          <w:szCs w:val="24"/>
        </w:rPr>
        <w:t xml:space="preserve">economic, </w:t>
      </w:r>
      <w:r w:rsidR="003864DC">
        <w:rPr>
          <w:rFonts w:asciiTheme="majorBidi" w:hAnsiTheme="majorBidi" w:cstheme="majorBidi"/>
          <w:sz w:val="24"/>
          <w:szCs w:val="24"/>
        </w:rPr>
        <w:t>social,</w:t>
      </w:r>
      <w:r w:rsidR="005053B1">
        <w:rPr>
          <w:rFonts w:asciiTheme="majorBidi" w:hAnsiTheme="majorBidi" w:cstheme="majorBidi"/>
          <w:sz w:val="24"/>
          <w:szCs w:val="24"/>
        </w:rPr>
        <w:t xml:space="preserve"> environmental or health</w:t>
      </w:r>
      <w:r w:rsidR="00865B71">
        <w:rPr>
          <w:rFonts w:asciiTheme="majorBidi" w:hAnsiTheme="majorBidi" w:cstheme="majorBidi"/>
          <w:sz w:val="24"/>
          <w:szCs w:val="24"/>
        </w:rPr>
        <w:t>care</w:t>
      </w:r>
      <w:r w:rsidR="005053B1">
        <w:rPr>
          <w:rFonts w:asciiTheme="majorBidi" w:hAnsiTheme="majorBidi" w:cstheme="majorBidi"/>
          <w:sz w:val="24"/>
          <w:szCs w:val="24"/>
        </w:rPr>
        <w:t xml:space="preserve"> </w:t>
      </w:r>
      <w:r w:rsidR="005053B1" w:rsidRPr="008067DB">
        <w:rPr>
          <w:rFonts w:asciiTheme="majorBidi" w:hAnsiTheme="majorBidi" w:cstheme="majorBidi"/>
          <w:sz w:val="24"/>
          <w:szCs w:val="24"/>
        </w:rPr>
        <w:t>CSR</w:t>
      </w:r>
      <w:r w:rsidR="0040437C" w:rsidRPr="008067DB">
        <w:rPr>
          <w:rFonts w:asciiTheme="majorBidi" w:hAnsiTheme="majorBidi" w:cstheme="majorBidi"/>
          <w:sz w:val="24"/>
          <w:szCs w:val="24"/>
        </w:rPr>
        <w:t xml:space="preserve"> </w:t>
      </w:r>
      <w:sdt>
        <w:sdtPr>
          <w:rPr>
            <w:rFonts w:asciiTheme="majorBidi" w:hAnsiTheme="majorBidi" w:cstheme="majorBidi"/>
            <w:sz w:val="24"/>
            <w:szCs w:val="24"/>
          </w:rPr>
          <w:id w:val="999311204"/>
          <w:citation/>
        </w:sdtPr>
        <w:sdtContent>
          <w:r w:rsidR="0040437C" w:rsidRPr="008067DB">
            <w:rPr>
              <w:rFonts w:asciiTheme="majorBidi" w:hAnsiTheme="majorBidi" w:cstheme="majorBidi"/>
              <w:sz w:val="24"/>
              <w:szCs w:val="24"/>
            </w:rPr>
            <w:fldChar w:fldCharType="begin"/>
          </w:r>
          <w:r w:rsidR="0040437C" w:rsidRPr="008067DB">
            <w:rPr>
              <w:rFonts w:asciiTheme="majorBidi" w:hAnsiTheme="majorBidi" w:cstheme="majorBidi"/>
              <w:sz w:val="24"/>
              <w:szCs w:val="24"/>
            </w:rPr>
            <w:instrText xml:space="preserve"> CITATION Bab13 \l 2057  \m 18cur</w:instrText>
          </w:r>
          <w:r w:rsidR="0040437C" w:rsidRPr="008067DB">
            <w:rPr>
              <w:rFonts w:asciiTheme="majorBidi" w:hAnsiTheme="majorBidi" w:cstheme="majorBidi"/>
              <w:sz w:val="24"/>
              <w:szCs w:val="24"/>
            </w:rPr>
            <w:fldChar w:fldCharType="separate"/>
          </w:r>
          <w:r w:rsidR="0040437C" w:rsidRPr="008067DB">
            <w:rPr>
              <w:rFonts w:asciiTheme="majorBidi" w:hAnsiTheme="majorBidi" w:cstheme="majorBidi"/>
              <w:noProof/>
              <w:sz w:val="24"/>
              <w:szCs w:val="24"/>
            </w:rPr>
            <w:t>(Babor &amp; Robaina , 2013; Currás-Pérez, Dolz-Dolz, Miquel-Romero, &amp; Sánchez-García, 2018)</w:t>
          </w:r>
          <w:r w:rsidR="0040437C" w:rsidRPr="008067DB">
            <w:rPr>
              <w:rFonts w:asciiTheme="majorBidi" w:hAnsiTheme="majorBidi" w:cstheme="majorBidi"/>
              <w:sz w:val="24"/>
              <w:szCs w:val="24"/>
            </w:rPr>
            <w:fldChar w:fldCharType="end"/>
          </w:r>
        </w:sdtContent>
      </w:sdt>
      <w:r w:rsidR="005053B1" w:rsidRPr="008067DB">
        <w:rPr>
          <w:rFonts w:asciiTheme="majorBidi" w:hAnsiTheme="majorBidi" w:cstheme="majorBidi"/>
          <w:sz w:val="24"/>
          <w:szCs w:val="24"/>
        </w:rPr>
        <w:t>. The economic dimension is concerned with society's expectations that the company will sell high-quality goods and services, provide stable employment, and obtain utilities</w:t>
      </w:r>
      <w:bookmarkStart w:id="20" w:name="_Hlk145365549"/>
      <w:r w:rsidR="0040437C" w:rsidRPr="008067DB">
        <w:rPr>
          <w:rFonts w:asciiTheme="majorBidi" w:hAnsiTheme="majorBidi" w:cstheme="majorBidi"/>
          <w:sz w:val="24"/>
          <w:szCs w:val="24"/>
        </w:rPr>
        <w:t xml:space="preserve"> </w:t>
      </w:r>
      <w:sdt>
        <w:sdtPr>
          <w:rPr>
            <w:rFonts w:asciiTheme="majorBidi" w:hAnsiTheme="majorBidi" w:cstheme="majorBidi"/>
            <w:sz w:val="24"/>
            <w:szCs w:val="24"/>
          </w:rPr>
          <w:id w:val="-1085060234"/>
          <w:citation/>
        </w:sdtPr>
        <w:sdtContent>
          <w:r w:rsidR="0040437C" w:rsidRPr="008067DB">
            <w:rPr>
              <w:rFonts w:asciiTheme="majorBidi" w:hAnsiTheme="majorBidi" w:cstheme="majorBidi"/>
              <w:sz w:val="24"/>
              <w:szCs w:val="24"/>
            </w:rPr>
            <w:fldChar w:fldCharType="begin"/>
          </w:r>
          <w:r w:rsidR="0040437C" w:rsidRPr="008067DB">
            <w:rPr>
              <w:rFonts w:asciiTheme="majorBidi" w:hAnsiTheme="majorBidi" w:cstheme="majorBidi"/>
              <w:sz w:val="24"/>
              <w:szCs w:val="24"/>
            </w:rPr>
            <w:instrText xml:space="preserve"> CITATION Alv17 \l 2057 </w:instrText>
          </w:r>
          <w:r w:rsidR="0040437C" w:rsidRPr="008067DB">
            <w:rPr>
              <w:rFonts w:asciiTheme="majorBidi" w:hAnsiTheme="majorBidi" w:cstheme="majorBidi"/>
              <w:sz w:val="24"/>
              <w:szCs w:val="24"/>
            </w:rPr>
            <w:fldChar w:fldCharType="separate"/>
          </w:r>
          <w:r w:rsidR="0040437C" w:rsidRPr="008067DB">
            <w:rPr>
              <w:rFonts w:asciiTheme="majorBidi" w:hAnsiTheme="majorBidi" w:cstheme="majorBidi"/>
              <w:noProof/>
              <w:sz w:val="24"/>
              <w:szCs w:val="24"/>
            </w:rPr>
            <w:t>(Alvarado-Herrera, Bigne, Aldas-Manzano, &amp; Curras-Perez, 2017)</w:t>
          </w:r>
          <w:r w:rsidR="0040437C" w:rsidRPr="008067DB">
            <w:rPr>
              <w:rFonts w:asciiTheme="majorBidi" w:hAnsiTheme="majorBidi" w:cstheme="majorBidi"/>
              <w:sz w:val="24"/>
              <w:szCs w:val="24"/>
            </w:rPr>
            <w:fldChar w:fldCharType="end"/>
          </w:r>
        </w:sdtContent>
      </w:sdt>
      <w:r w:rsidR="005053B1" w:rsidRPr="008067DB">
        <w:rPr>
          <w:rFonts w:asciiTheme="majorBidi" w:hAnsiTheme="majorBidi" w:cstheme="majorBidi"/>
          <w:sz w:val="24"/>
          <w:szCs w:val="24"/>
        </w:rPr>
        <w:t xml:space="preserve">. </w:t>
      </w:r>
      <w:bookmarkEnd w:id="20"/>
      <w:r w:rsidR="0040437C" w:rsidRPr="008067DB">
        <w:rPr>
          <w:rFonts w:asciiTheme="majorBidi" w:hAnsiTheme="majorBidi" w:cstheme="majorBidi"/>
          <w:sz w:val="24"/>
          <w:szCs w:val="24"/>
        </w:rPr>
        <w:t>Social CSR refers to the company’s support to the local community with social causes</w:t>
      </w:r>
      <w:r w:rsidRPr="008067DB">
        <w:rPr>
          <w:rFonts w:asciiTheme="majorBidi" w:hAnsiTheme="majorBidi" w:cstheme="majorBidi"/>
          <w:sz w:val="24"/>
          <w:szCs w:val="24"/>
        </w:rPr>
        <w:t xml:space="preserve"> </w:t>
      </w:r>
      <w:sdt>
        <w:sdtPr>
          <w:rPr>
            <w:rFonts w:asciiTheme="majorBidi" w:hAnsiTheme="majorBidi" w:cstheme="majorBidi"/>
            <w:sz w:val="24"/>
            <w:szCs w:val="24"/>
          </w:rPr>
          <w:id w:val="-2046517801"/>
          <w:citation/>
        </w:sdtPr>
        <w:sdtContent>
          <w:r w:rsidRPr="008067DB">
            <w:rPr>
              <w:rFonts w:asciiTheme="majorBidi" w:hAnsiTheme="majorBidi" w:cstheme="majorBidi"/>
              <w:sz w:val="24"/>
              <w:szCs w:val="24"/>
            </w:rPr>
            <w:fldChar w:fldCharType="begin"/>
          </w:r>
          <w:r w:rsidRPr="008067DB">
            <w:rPr>
              <w:rFonts w:asciiTheme="majorBidi" w:hAnsiTheme="majorBidi" w:cstheme="majorBidi"/>
              <w:sz w:val="24"/>
              <w:szCs w:val="24"/>
            </w:rPr>
            <w:instrText xml:space="preserve"> CITATION Alv17 \l 2057 </w:instrText>
          </w:r>
          <w:r w:rsidRPr="008067DB">
            <w:rPr>
              <w:rFonts w:asciiTheme="majorBidi" w:hAnsiTheme="majorBidi" w:cstheme="majorBidi"/>
              <w:sz w:val="24"/>
              <w:szCs w:val="24"/>
            </w:rPr>
            <w:fldChar w:fldCharType="separate"/>
          </w:r>
          <w:r w:rsidRPr="008067DB">
            <w:rPr>
              <w:rFonts w:asciiTheme="majorBidi" w:hAnsiTheme="majorBidi" w:cstheme="majorBidi"/>
              <w:noProof/>
              <w:sz w:val="24"/>
              <w:szCs w:val="24"/>
            </w:rPr>
            <w:t>(Alvarado-Herrera, Bigne, Aldas-Manzano, &amp; Curras-Perez, 2017)</w:t>
          </w:r>
          <w:r w:rsidRPr="008067DB">
            <w:rPr>
              <w:rFonts w:asciiTheme="majorBidi" w:hAnsiTheme="majorBidi" w:cstheme="majorBidi"/>
              <w:sz w:val="24"/>
              <w:szCs w:val="24"/>
            </w:rPr>
            <w:fldChar w:fldCharType="end"/>
          </w:r>
        </w:sdtContent>
      </w:sdt>
      <w:r w:rsidR="0040437C" w:rsidRPr="008067DB">
        <w:rPr>
          <w:rFonts w:asciiTheme="majorBidi" w:hAnsiTheme="majorBidi" w:cstheme="majorBidi"/>
          <w:sz w:val="24"/>
          <w:szCs w:val="24"/>
        </w:rPr>
        <w:t>.</w:t>
      </w:r>
      <w:r w:rsidR="0040437C">
        <w:rPr>
          <w:rFonts w:asciiTheme="majorBidi" w:hAnsiTheme="majorBidi" w:cstheme="majorBidi"/>
          <w:sz w:val="24"/>
          <w:szCs w:val="24"/>
        </w:rPr>
        <w:t xml:space="preserve"> </w:t>
      </w:r>
      <w:r>
        <w:rPr>
          <w:rFonts w:asciiTheme="majorBidi" w:hAnsiTheme="majorBidi" w:cstheme="majorBidi"/>
          <w:sz w:val="24"/>
          <w:szCs w:val="24"/>
        </w:rPr>
        <w:t>Environmental CSR refers to the company’s efforts to be more environmentally sustainable an</w:t>
      </w:r>
      <w:r w:rsidR="00B23922">
        <w:rPr>
          <w:rFonts w:asciiTheme="majorBidi" w:hAnsiTheme="majorBidi" w:cstheme="majorBidi"/>
          <w:sz w:val="24"/>
          <w:szCs w:val="24"/>
        </w:rPr>
        <w:t>d</w:t>
      </w:r>
      <w:r>
        <w:rPr>
          <w:rFonts w:asciiTheme="majorBidi" w:hAnsiTheme="majorBidi" w:cstheme="majorBidi"/>
          <w:sz w:val="24"/>
          <w:szCs w:val="24"/>
        </w:rPr>
        <w:t xml:space="preserve"> engage in acts relate</w:t>
      </w:r>
      <w:r w:rsidR="00B23922">
        <w:rPr>
          <w:rFonts w:asciiTheme="majorBidi" w:hAnsiTheme="majorBidi" w:cstheme="majorBidi"/>
          <w:sz w:val="24"/>
          <w:szCs w:val="24"/>
        </w:rPr>
        <w:t>d</w:t>
      </w:r>
      <w:r>
        <w:rPr>
          <w:rFonts w:asciiTheme="majorBidi" w:hAnsiTheme="majorBidi" w:cstheme="majorBidi"/>
          <w:sz w:val="24"/>
          <w:szCs w:val="24"/>
        </w:rPr>
        <w:t xml:space="preserve"> to waste management and preserving natural resources</w:t>
      </w:r>
      <w:r w:rsidRPr="00350829">
        <w:rPr>
          <w:rFonts w:asciiTheme="majorBidi" w:hAnsiTheme="majorBidi" w:cstheme="majorBidi"/>
          <w:sz w:val="24"/>
          <w:szCs w:val="24"/>
        </w:rPr>
        <w:t xml:space="preserve"> </w:t>
      </w:r>
      <w:sdt>
        <w:sdtPr>
          <w:rPr>
            <w:rFonts w:asciiTheme="majorBidi" w:hAnsiTheme="majorBidi" w:cstheme="majorBidi"/>
            <w:sz w:val="24"/>
            <w:szCs w:val="24"/>
          </w:rPr>
          <w:id w:val="77213008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Fer23 \l 2057 </w:instrText>
          </w:r>
          <w:r>
            <w:rPr>
              <w:rFonts w:asciiTheme="majorBidi" w:hAnsiTheme="majorBidi" w:cstheme="majorBidi"/>
              <w:sz w:val="24"/>
              <w:szCs w:val="24"/>
            </w:rPr>
            <w:fldChar w:fldCharType="separate"/>
          </w:r>
          <w:r w:rsidRPr="00A31D47">
            <w:rPr>
              <w:rFonts w:asciiTheme="majorBidi" w:hAnsiTheme="majorBidi" w:cstheme="majorBidi"/>
              <w:noProof/>
              <w:sz w:val="24"/>
              <w:szCs w:val="24"/>
            </w:rPr>
            <w:t>(Fernando, Brock, &amp; Munichiello, 2023)</w:t>
          </w:r>
          <w:r>
            <w:rPr>
              <w:rFonts w:asciiTheme="majorBidi" w:hAnsiTheme="majorBidi" w:cstheme="majorBidi"/>
              <w:sz w:val="24"/>
              <w:szCs w:val="24"/>
            </w:rPr>
            <w:fldChar w:fldCharType="end"/>
          </w:r>
        </w:sdtContent>
      </w:sdt>
      <w:r>
        <w:rPr>
          <w:rFonts w:asciiTheme="majorBidi" w:hAnsiTheme="majorBidi" w:cstheme="majorBidi"/>
          <w:sz w:val="24"/>
          <w:szCs w:val="24"/>
        </w:rPr>
        <w:t>.</w:t>
      </w:r>
      <w:r w:rsidR="007E7DB8">
        <w:rPr>
          <w:rFonts w:asciiTheme="majorBidi" w:hAnsiTheme="majorBidi" w:cstheme="majorBidi"/>
          <w:sz w:val="24"/>
          <w:szCs w:val="24"/>
        </w:rPr>
        <w:t xml:space="preserve"> Lastly, CSR in health</w:t>
      </w:r>
      <w:r w:rsidR="00865B71">
        <w:rPr>
          <w:rFonts w:asciiTheme="majorBidi" w:hAnsiTheme="majorBidi" w:cstheme="majorBidi"/>
          <w:sz w:val="24"/>
          <w:szCs w:val="24"/>
        </w:rPr>
        <w:t>care</w:t>
      </w:r>
      <w:r w:rsidR="007E7DB8">
        <w:rPr>
          <w:rFonts w:asciiTheme="majorBidi" w:hAnsiTheme="majorBidi" w:cstheme="majorBidi"/>
          <w:sz w:val="24"/>
          <w:szCs w:val="24"/>
        </w:rPr>
        <w:t xml:space="preserve"> caters to initiatives related to the overall health and well-being of society</w:t>
      </w:r>
      <w:r w:rsidR="00865B71" w:rsidRPr="00865B71">
        <w:rPr>
          <w:rFonts w:asciiTheme="majorBidi" w:hAnsiTheme="majorBidi" w:cstheme="majorBidi"/>
          <w:sz w:val="24"/>
          <w:szCs w:val="24"/>
        </w:rPr>
        <w:t xml:space="preserve"> </w:t>
      </w:r>
      <w:sdt>
        <w:sdtPr>
          <w:rPr>
            <w:rFonts w:asciiTheme="majorBidi" w:hAnsiTheme="majorBidi" w:cstheme="majorBidi"/>
            <w:sz w:val="24"/>
            <w:szCs w:val="24"/>
          </w:rPr>
          <w:id w:val="1128742962"/>
          <w:citation/>
        </w:sdtPr>
        <w:sdtContent>
          <w:r w:rsidR="00865B71" w:rsidRPr="008067DB">
            <w:rPr>
              <w:rFonts w:asciiTheme="majorBidi" w:hAnsiTheme="majorBidi" w:cstheme="majorBidi"/>
              <w:sz w:val="24"/>
              <w:szCs w:val="24"/>
            </w:rPr>
            <w:fldChar w:fldCharType="begin"/>
          </w:r>
          <w:r w:rsidR="00865B71" w:rsidRPr="008067DB">
            <w:rPr>
              <w:rFonts w:asciiTheme="majorBidi" w:hAnsiTheme="majorBidi" w:cstheme="majorBidi"/>
              <w:sz w:val="24"/>
              <w:szCs w:val="24"/>
            </w:rPr>
            <w:instrText xml:space="preserve">CITATION Hos20 \l 2057 </w:instrText>
          </w:r>
          <w:r w:rsidR="00865B71" w:rsidRPr="008067DB">
            <w:rPr>
              <w:rFonts w:asciiTheme="majorBidi" w:hAnsiTheme="majorBidi" w:cstheme="majorBidi"/>
              <w:sz w:val="24"/>
              <w:szCs w:val="24"/>
            </w:rPr>
            <w:fldChar w:fldCharType="separate"/>
          </w:r>
          <w:r w:rsidR="00865B71" w:rsidRPr="008067DB">
            <w:rPr>
              <w:rFonts w:asciiTheme="majorBidi" w:hAnsiTheme="majorBidi" w:cstheme="majorBidi"/>
              <w:noProof/>
              <w:sz w:val="24"/>
              <w:szCs w:val="24"/>
            </w:rPr>
            <w:t>(Hossain, Yahya, &amp; Khan, 2020)</w:t>
          </w:r>
          <w:r w:rsidR="00865B71" w:rsidRPr="008067DB">
            <w:rPr>
              <w:rFonts w:asciiTheme="majorBidi" w:hAnsiTheme="majorBidi" w:cstheme="majorBidi"/>
              <w:sz w:val="24"/>
              <w:szCs w:val="24"/>
            </w:rPr>
            <w:fldChar w:fldCharType="end"/>
          </w:r>
        </w:sdtContent>
      </w:sdt>
      <w:r w:rsidR="007E7DB8" w:rsidRPr="008067DB">
        <w:rPr>
          <w:rFonts w:asciiTheme="majorBidi" w:hAnsiTheme="majorBidi" w:cstheme="majorBidi"/>
          <w:sz w:val="24"/>
          <w:szCs w:val="24"/>
        </w:rPr>
        <w:t>. These</w:t>
      </w:r>
      <w:r w:rsidR="007E7DB8">
        <w:rPr>
          <w:rFonts w:asciiTheme="majorBidi" w:hAnsiTheme="majorBidi" w:cstheme="majorBidi"/>
          <w:sz w:val="24"/>
          <w:szCs w:val="24"/>
        </w:rPr>
        <w:t xml:space="preserve"> initiatives can be related to spreading awareness on methods of prevention of viruses or opening or sponsoring polyclinics</w:t>
      </w:r>
      <w:r w:rsidR="00865B71" w:rsidRPr="00865B71">
        <w:rPr>
          <w:rFonts w:asciiTheme="majorBidi" w:hAnsiTheme="majorBidi" w:cstheme="majorBidi"/>
          <w:sz w:val="24"/>
          <w:szCs w:val="24"/>
        </w:rPr>
        <w:t xml:space="preserve"> </w:t>
      </w:r>
      <w:sdt>
        <w:sdtPr>
          <w:rPr>
            <w:rFonts w:asciiTheme="majorBidi" w:hAnsiTheme="majorBidi" w:cstheme="majorBidi"/>
            <w:sz w:val="24"/>
            <w:szCs w:val="24"/>
          </w:rPr>
          <w:id w:val="-1977369319"/>
          <w:citation/>
        </w:sdtPr>
        <w:sdtContent>
          <w:r w:rsidR="00865B71">
            <w:rPr>
              <w:rFonts w:asciiTheme="majorBidi" w:hAnsiTheme="majorBidi" w:cstheme="majorBidi"/>
              <w:sz w:val="24"/>
              <w:szCs w:val="24"/>
            </w:rPr>
            <w:fldChar w:fldCharType="begin"/>
          </w:r>
          <w:r w:rsidR="00865B71">
            <w:rPr>
              <w:rFonts w:asciiTheme="majorBidi" w:hAnsiTheme="majorBidi" w:cstheme="majorBidi"/>
              <w:sz w:val="24"/>
              <w:szCs w:val="24"/>
            </w:rPr>
            <w:instrText xml:space="preserve"> CITATION Hos20 \l 2057  \m Ten21</w:instrText>
          </w:r>
          <w:r w:rsidR="00865B71">
            <w:rPr>
              <w:rFonts w:asciiTheme="majorBidi" w:hAnsiTheme="majorBidi" w:cstheme="majorBidi"/>
              <w:sz w:val="24"/>
              <w:szCs w:val="24"/>
            </w:rPr>
            <w:fldChar w:fldCharType="separate"/>
          </w:r>
          <w:r w:rsidR="00865B71" w:rsidRPr="006667EE">
            <w:rPr>
              <w:rFonts w:asciiTheme="majorBidi" w:hAnsiTheme="majorBidi" w:cstheme="majorBidi"/>
              <w:noProof/>
              <w:sz w:val="24"/>
              <w:szCs w:val="24"/>
            </w:rPr>
            <w:t>(Hossain, Yahya, &amp; Khan, 2020; Teng, Teng, Wu, &amp; Chang, 2021)</w:t>
          </w:r>
          <w:r w:rsidR="00865B71">
            <w:rPr>
              <w:rFonts w:asciiTheme="majorBidi" w:hAnsiTheme="majorBidi" w:cstheme="majorBidi"/>
              <w:sz w:val="24"/>
              <w:szCs w:val="24"/>
            </w:rPr>
            <w:fldChar w:fldCharType="end"/>
          </w:r>
        </w:sdtContent>
      </w:sdt>
      <w:r w:rsidR="007E7DB8">
        <w:rPr>
          <w:rFonts w:asciiTheme="majorBidi" w:hAnsiTheme="majorBidi" w:cstheme="majorBidi"/>
          <w:sz w:val="24"/>
          <w:szCs w:val="24"/>
        </w:rPr>
        <w:t xml:space="preserve">. </w:t>
      </w:r>
      <w:r w:rsidR="00A95B0D">
        <w:rPr>
          <w:rFonts w:asciiTheme="majorBidi" w:hAnsiTheme="majorBidi" w:cstheme="majorBidi"/>
          <w:sz w:val="24"/>
          <w:szCs w:val="24"/>
        </w:rPr>
        <w:t>Chapter five</w:t>
      </w:r>
      <w:r w:rsidR="00122C76">
        <w:rPr>
          <w:rFonts w:asciiTheme="majorBidi" w:hAnsiTheme="majorBidi" w:cstheme="majorBidi"/>
          <w:sz w:val="24"/>
          <w:szCs w:val="24"/>
        </w:rPr>
        <w:t xml:space="preserve"> </w:t>
      </w:r>
      <w:r w:rsidR="005E4C99">
        <w:rPr>
          <w:rFonts w:asciiTheme="majorBidi" w:hAnsiTheme="majorBidi" w:cstheme="majorBidi"/>
          <w:sz w:val="24"/>
          <w:szCs w:val="24"/>
        </w:rPr>
        <w:t>explains the methodological process that led to the specific CSR campaign</w:t>
      </w:r>
      <w:r w:rsidR="00865B71">
        <w:rPr>
          <w:rFonts w:asciiTheme="majorBidi" w:hAnsiTheme="majorBidi" w:cstheme="majorBidi"/>
          <w:sz w:val="24"/>
          <w:szCs w:val="24"/>
        </w:rPr>
        <w:t xml:space="preserve"> that was chosen</w:t>
      </w:r>
      <w:r w:rsidR="005E4C99">
        <w:rPr>
          <w:rFonts w:asciiTheme="majorBidi" w:hAnsiTheme="majorBidi" w:cstheme="majorBidi"/>
          <w:sz w:val="24"/>
          <w:szCs w:val="24"/>
        </w:rPr>
        <w:t xml:space="preserve"> to be the main topic of study.</w:t>
      </w:r>
      <w:r w:rsidR="00122C76">
        <w:rPr>
          <w:rFonts w:asciiTheme="majorBidi" w:hAnsiTheme="majorBidi" w:cstheme="majorBidi"/>
          <w:sz w:val="24"/>
          <w:szCs w:val="24"/>
        </w:rPr>
        <w:t xml:space="preserve"> </w:t>
      </w:r>
      <w:r w:rsidR="00A96566">
        <w:rPr>
          <w:rFonts w:asciiTheme="majorBidi" w:hAnsiTheme="majorBidi" w:cstheme="majorBidi"/>
          <w:sz w:val="24"/>
          <w:szCs w:val="24"/>
        </w:rPr>
        <w:t>The next section will further discuss the various benefits that brands and companies gain from CSR communication</w:t>
      </w:r>
      <w:r w:rsidR="005E4C99">
        <w:rPr>
          <w:rFonts w:asciiTheme="majorBidi" w:hAnsiTheme="majorBidi" w:cstheme="majorBidi"/>
          <w:sz w:val="24"/>
          <w:szCs w:val="24"/>
        </w:rPr>
        <w:t xml:space="preserve"> by discussing the impact of CSR communication on consumers</w:t>
      </w:r>
      <w:r w:rsidR="00A96566">
        <w:rPr>
          <w:rFonts w:asciiTheme="majorBidi" w:hAnsiTheme="majorBidi" w:cstheme="majorBidi"/>
          <w:sz w:val="24"/>
          <w:szCs w:val="24"/>
        </w:rPr>
        <w:t xml:space="preserve">.  </w:t>
      </w:r>
    </w:p>
    <w:p w14:paraId="0C6783B3" w14:textId="2B58A366" w:rsidR="00A96566" w:rsidRPr="00F77256" w:rsidRDefault="008067DB" w:rsidP="00F94905">
      <w:pPr>
        <w:spacing w:after="0" w:line="480" w:lineRule="auto"/>
        <w:jc w:val="lowKashida"/>
        <w:rPr>
          <w:rFonts w:asciiTheme="majorBidi" w:hAnsiTheme="majorBidi" w:cstheme="majorBidi"/>
          <w:b/>
          <w:bCs/>
          <w:sz w:val="24"/>
          <w:szCs w:val="24"/>
        </w:rPr>
      </w:pPr>
      <w:r>
        <w:rPr>
          <w:rFonts w:asciiTheme="majorBidi" w:hAnsiTheme="majorBidi" w:cstheme="majorBidi"/>
          <w:b/>
          <w:bCs/>
          <w:sz w:val="24"/>
          <w:szCs w:val="24"/>
        </w:rPr>
        <w:t>2</w:t>
      </w:r>
      <w:r w:rsidR="00A96566" w:rsidRPr="00F77256">
        <w:rPr>
          <w:rFonts w:asciiTheme="majorBidi" w:hAnsiTheme="majorBidi" w:cstheme="majorBidi"/>
          <w:b/>
          <w:bCs/>
          <w:sz w:val="24"/>
          <w:szCs w:val="24"/>
        </w:rPr>
        <w:t>.</w:t>
      </w:r>
      <w:r w:rsidR="001F73FA">
        <w:rPr>
          <w:rFonts w:asciiTheme="majorBidi" w:hAnsiTheme="majorBidi" w:cstheme="majorBidi"/>
          <w:b/>
          <w:bCs/>
          <w:sz w:val="24"/>
          <w:szCs w:val="24"/>
        </w:rPr>
        <w:t>3</w:t>
      </w:r>
      <w:r w:rsidR="00A96566" w:rsidRPr="00F77256">
        <w:rPr>
          <w:rFonts w:asciiTheme="majorBidi" w:hAnsiTheme="majorBidi" w:cstheme="majorBidi"/>
          <w:b/>
          <w:bCs/>
          <w:sz w:val="24"/>
          <w:szCs w:val="24"/>
        </w:rPr>
        <w:t xml:space="preserve"> </w:t>
      </w:r>
      <w:r w:rsidR="00DE24D5">
        <w:rPr>
          <w:rFonts w:asciiTheme="majorBidi" w:hAnsiTheme="majorBidi" w:cstheme="majorBidi"/>
          <w:b/>
          <w:bCs/>
          <w:sz w:val="24"/>
          <w:szCs w:val="24"/>
        </w:rPr>
        <w:t>Impact</w:t>
      </w:r>
      <w:r w:rsidR="005E4C99">
        <w:rPr>
          <w:rFonts w:asciiTheme="majorBidi" w:hAnsiTheme="majorBidi" w:cstheme="majorBidi"/>
          <w:b/>
          <w:bCs/>
          <w:sz w:val="24"/>
          <w:szCs w:val="24"/>
        </w:rPr>
        <w:t xml:space="preserve"> </w:t>
      </w:r>
      <w:r w:rsidR="00A96566">
        <w:rPr>
          <w:rFonts w:asciiTheme="majorBidi" w:hAnsiTheme="majorBidi" w:cstheme="majorBidi"/>
          <w:b/>
          <w:bCs/>
          <w:sz w:val="24"/>
          <w:szCs w:val="24"/>
        </w:rPr>
        <w:t xml:space="preserve">of </w:t>
      </w:r>
      <w:r w:rsidR="00A96566" w:rsidRPr="00F77256">
        <w:rPr>
          <w:rFonts w:asciiTheme="majorBidi" w:hAnsiTheme="majorBidi" w:cstheme="majorBidi"/>
          <w:b/>
          <w:bCs/>
          <w:sz w:val="24"/>
          <w:szCs w:val="24"/>
        </w:rPr>
        <w:t xml:space="preserve">CSR communication </w:t>
      </w:r>
    </w:p>
    <w:p w14:paraId="7A341628" w14:textId="1E83769D" w:rsidR="00A96566" w:rsidRPr="00F260E2" w:rsidRDefault="00A96566" w:rsidP="00F94905">
      <w:pPr>
        <w:spacing w:after="0" w:line="480" w:lineRule="auto"/>
        <w:ind w:firstLine="720"/>
        <w:jc w:val="lowKashida"/>
        <w:rPr>
          <w:rFonts w:asciiTheme="majorBidi" w:hAnsiTheme="majorBidi" w:cstheme="majorBidi"/>
          <w:sz w:val="24"/>
          <w:szCs w:val="24"/>
        </w:rPr>
      </w:pPr>
      <w:r>
        <w:rPr>
          <w:rFonts w:asciiTheme="majorBidi" w:hAnsiTheme="majorBidi" w:cstheme="majorBidi"/>
          <w:sz w:val="24"/>
          <w:szCs w:val="24"/>
        </w:rPr>
        <w:t>In the past few years, there has been a vast discussion in literature on CSR communication in developed countries</w:t>
      </w:r>
      <w:sdt>
        <w:sdtPr>
          <w:rPr>
            <w:rFonts w:asciiTheme="majorBidi" w:hAnsiTheme="majorBidi" w:cstheme="majorBidi"/>
            <w:sz w:val="24"/>
            <w:szCs w:val="24"/>
          </w:rPr>
          <w:id w:val="-982470727"/>
          <w:citation/>
        </w:sdtPr>
        <w:sdtContent>
          <w:r>
            <w:rPr>
              <w:rFonts w:asciiTheme="majorBidi" w:hAnsiTheme="majorBidi" w:cstheme="majorBidi"/>
              <w:sz w:val="24"/>
              <w:szCs w:val="24"/>
            </w:rPr>
            <w:fldChar w:fldCharType="begin"/>
          </w:r>
          <w:r w:rsidR="009E52A6">
            <w:rPr>
              <w:rFonts w:asciiTheme="majorBidi" w:hAnsiTheme="majorBidi" w:cstheme="majorBidi"/>
              <w:sz w:val="24"/>
              <w:szCs w:val="24"/>
            </w:rPr>
            <w:instrText xml:space="preserve">CITATION Bar21 \m Kim192 \t  \m Sch201 \m Sch191 \l 2057 </w:instrText>
          </w:r>
          <w:r>
            <w:rPr>
              <w:rFonts w:asciiTheme="majorBidi" w:hAnsiTheme="majorBidi" w:cstheme="majorBidi"/>
              <w:sz w:val="24"/>
              <w:szCs w:val="24"/>
            </w:rPr>
            <w:fldChar w:fldCharType="separate"/>
          </w:r>
          <w:r w:rsidR="009E52A6">
            <w:rPr>
              <w:rFonts w:asciiTheme="majorBidi" w:hAnsiTheme="majorBidi" w:cstheme="majorBidi"/>
              <w:noProof/>
              <w:sz w:val="24"/>
              <w:szCs w:val="24"/>
            </w:rPr>
            <w:t xml:space="preserve"> </w:t>
          </w:r>
          <w:r w:rsidR="009E52A6" w:rsidRPr="009E52A6">
            <w:rPr>
              <w:rFonts w:asciiTheme="majorBidi" w:hAnsiTheme="majorBidi" w:cstheme="majorBidi"/>
              <w:noProof/>
              <w:sz w:val="24"/>
              <w:szCs w:val="24"/>
            </w:rPr>
            <w:t>(Bartikowski &amp; Berens, 2021; Kim S. , 2019; Schaefer, Terlutter, &amp; Diehl, 2020; Schoeneborn, Morsing, &amp; Crane,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However, CSR as a communication strategy has not been </w:t>
      </w:r>
      <w:r w:rsidR="005E4C99">
        <w:rPr>
          <w:rFonts w:asciiTheme="majorBidi" w:hAnsiTheme="majorBidi" w:cstheme="majorBidi"/>
          <w:sz w:val="24"/>
          <w:szCs w:val="24"/>
        </w:rPr>
        <w:t xml:space="preserve">thoroughly </w:t>
      </w:r>
      <w:r>
        <w:rPr>
          <w:rFonts w:asciiTheme="majorBidi" w:hAnsiTheme="majorBidi" w:cstheme="majorBidi"/>
          <w:sz w:val="24"/>
          <w:szCs w:val="24"/>
        </w:rPr>
        <w:t>investigated in comparison to non-CSR communication strategies. Like most mass marketing communication strategies, CSR communication strategies provide a plethora of benefits to consumers and organizations</w:t>
      </w:r>
      <w:sdt>
        <w:sdtPr>
          <w:rPr>
            <w:rFonts w:asciiTheme="majorBidi" w:hAnsiTheme="majorBidi" w:cstheme="majorBidi"/>
            <w:sz w:val="24"/>
            <w:szCs w:val="24"/>
          </w:rPr>
          <w:id w:val="-1159300141"/>
          <w:citation/>
        </w:sdtPr>
        <w:sdtContent>
          <w:r w:rsidRPr="008067DB">
            <w:rPr>
              <w:rFonts w:asciiTheme="majorBidi" w:hAnsiTheme="majorBidi" w:cstheme="majorBidi"/>
              <w:sz w:val="24"/>
              <w:szCs w:val="24"/>
            </w:rPr>
            <w:fldChar w:fldCharType="begin"/>
          </w:r>
          <w:r w:rsidRPr="008067DB">
            <w:rPr>
              <w:rFonts w:asciiTheme="majorBidi" w:hAnsiTheme="majorBidi" w:cstheme="majorBidi"/>
              <w:sz w:val="24"/>
              <w:szCs w:val="24"/>
            </w:rPr>
            <w:instrText xml:space="preserve">CITATION Cho21 \m Kim21 \t  \l 2057 </w:instrText>
          </w:r>
          <w:r w:rsidRPr="008067DB">
            <w:rPr>
              <w:rFonts w:asciiTheme="majorBidi" w:hAnsiTheme="majorBidi" w:cstheme="majorBidi"/>
              <w:sz w:val="24"/>
              <w:szCs w:val="24"/>
            </w:rPr>
            <w:fldChar w:fldCharType="separate"/>
          </w:r>
          <w:r w:rsidRPr="008067DB">
            <w:rPr>
              <w:rFonts w:asciiTheme="majorBidi" w:hAnsiTheme="majorBidi" w:cstheme="majorBidi"/>
              <w:noProof/>
              <w:sz w:val="24"/>
              <w:szCs w:val="24"/>
            </w:rPr>
            <w:t xml:space="preserve"> (Chomvilailuk &amp; Butcher, 2021; Kim &amp; Ji, 2021)</w:t>
          </w:r>
          <w:r w:rsidRPr="008067DB">
            <w:rPr>
              <w:rFonts w:asciiTheme="majorBidi" w:hAnsiTheme="majorBidi" w:cstheme="majorBidi"/>
              <w:sz w:val="24"/>
              <w:szCs w:val="24"/>
            </w:rPr>
            <w:fldChar w:fldCharType="end"/>
          </w:r>
        </w:sdtContent>
      </w:sdt>
      <w:r w:rsidRPr="008067DB">
        <w:rPr>
          <w:rFonts w:asciiTheme="majorBidi" w:hAnsiTheme="majorBidi" w:cstheme="majorBidi"/>
          <w:sz w:val="24"/>
          <w:szCs w:val="24"/>
        </w:rPr>
        <w:t xml:space="preserve">. </w:t>
      </w:r>
      <w:r>
        <w:rPr>
          <w:rFonts w:asciiTheme="majorBidi" w:hAnsiTheme="majorBidi" w:cstheme="majorBidi"/>
          <w:sz w:val="24"/>
          <w:szCs w:val="24"/>
        </w:rPr>
        <w:t>Nowadays</w:t>
      </w:r>
      <w:r w:rsidRPr="00F260E2">
        <w:rPr>
          <w:rFonts w:asciiTheme="majorBidi" w:hAnsiTheme="majorBidi" w:cstheme="majorBidi"/>
          <w:sz w:val="24"/>
          <w:szCs w:val="24"/>
        </w:rPr>
        <w:t xml:space="preserve">, CSR communication </w:t>
      </w:r>
      <w:r>
        <w:rPr>
          <w:rFonts w:asciiTheme="majorBidi" w:hAnsiTheme="majorBidi" w:cstheme="majorBidi"/>
          <w:sz w:val="24"/>
          <w:szCs w:val="24"/>
        </w:rPr>
        <w:t>is not</w:t>
      </w:r>
      <w:r w:rsidRPr="00F260E2">
        <w:rPr>
          <w:rFonts w:asciiTheme="majorBidi" w:hAnsiTheme="majorBidi" w:cstheme="majorBidi"/>
          <w:sz w:val="24"/>
          <w:szCs w:val="24"/>
        </w:rPr>
        <w:t xml:space="preserve"> an</w:t>
      </w:r>
      <w:r>
        <w:rPr>
          <w:rFonts w:asciiTheme="majorBidi" w:hAnsiTheme="majorBidi" w:cstheme="majorBidi"/>
          <w:sz w:val="24"/>
          <w:szCs w:val="24"/>
        </w:rPr>
        <w:t xml:space="preserve"> “option” or</w:t>
      </w:r>
      <w:r w:rsidR="00B23922">
        <w:rPr>
          <w:rFonts w:asciiTheme="majorBidi" w:hAnsiTheme="majorBidi" w:cstheme="majorBidi"/>
          <w:sz w:val="24"/>
          <w:szCs w:val="24"/>
        </w:rPr>
        <w:t xml:space="preserve"> an</w:t>
      </w:r>
      <w:r w:rsidRPr="00F260E2">
        <w:rPr>
          <w:rFonts w:asciiTheme="majorBidi" w:hAnsiTheme="majorBidi" w:cstheme="majorBidi"/>
          <w:sz w:val="24"/>
          <w:szCs w:val="24"/>
        </w:rPr>
        <w:t xml:space="preserve"> extended effort </w:t>
      </w:r>
      <w:r>
        <w:rPr>
          <w:rFonts w:asciiTheme="majorBidi" w:hAnsiTheme="majorBidi" w:cstheme="majorBidi"/>
          <w:sz w:val="24"/>
          <w:szCs w:val="24"/>
        </w:rPr>
        <w:t>by the company; h</w:t>
      </w:r>
      <w:r w:rsidRPr="00F260E2">
        <w:rPr>
          <w:rFonts w:asciiTheme="majorBidi" w:hAnsiTheme="majorBidi" w:cstheme="majorBidi"/>
          <w:sz w:val="24"/>
          <w:szCs w:val="24"/>
        </w:rPr>
        <w:t>owever, consumers</w:t>
      </w:r>
      <w:r>
        <w:rPr>
          <w:rFonts w:asciiTheme="majorBidi" w:hAnsiTheme="majorBidi" w:cstheme="majorBidi"/>
          <w:sz w:val="24"/>
          <w:szCs w:val="24"/>
        </w:rPr>
        <w:t>’</w:t>
      </w:r>
      <w:r w:rsidRPr="00F260E2">
        <w:rPr>
          <w:rFonts w:asciiTheme="majorBidi" w:hAnsiTheme="majorBidi" w:cstheme="majorBidi"/>
          <w:sz w:val="24"/>
          <w:szCs w:val="24"/>
        </w:rPr>
        <w:t xml:space="preserve"> expect</w:t>
      </w:r>
      <w:r>
        <w:rPr>
          <w:rFonts w:asciiTheme="majorBidi" w:hAnsiTheme="majorBidi" w:cstheme="majorBidi"/>
          <w:sz w:val="24"/>
          <w:szCs w:val="24"/>
        </w:rPr>
        <w:t>ations</w:t>
      </w:r>
      <w:r w:rsidR="00B23922">
        <w:rPr>
          <w:rFonts w:asciiTheme="majorBidi" w:hAnsiTheme="majorBidi" w:cstheme="majorBidi"/>
          <w:sz w:val="24"/>
          <w:szCs w:val="24"/>
        </w:rPr>
        <w:t xml:space="preserve"> have</w:t>
      </w:r>
      <w:r>
        <w:rPr>
          <w:rFonts w:asciiTheme="majorBidi" w:hAnsiTheme="majorBidi" w:cstheme="majorBidi"/>
          <w:sz w:val="24"/>
          <w:szCs w:val="24"/>
        </w:rPr>
        <w:t xml:space="preserve"> evolved leading companies to devote more efforts towards society to be differentiated among other </w:t>
      </w:r>
      <w:r w:rsidRPr="00460517">
        <w:rPr>
          <w:rFonts w:asciiTheme="majorBidi" w:hAnsiTheme="majorBidi" w:cstheme="majorBidi"/>
          <w:sz w:val="24"/>
          <w:szCs w:val="24"/>
        </w:rPr>
        <w:t xml:space="preserve">companies </w:t>
      </w:r>
      <w:sdt>
        <w:sdtPr>
          <w:rPr>
            <w:rFonts w:asciiTheme="majorBidi" w:hAnsiTheme="majorBidi" w:cstheme="majorBidi"/>
            <w:sz w:val="24"/>
            <w:szCs w:val="24"/>
          </w:rPr>
          <w:id w:val="-1741081812"/>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 CITATION Mad16 \l 2057  \m Mar21 \m Muf21</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(Madueño, Jorge, Conesa, &amp; Martínez-Martínez, 2016; Marakova, Wolak-Tuzimek, &amp; Tuckova , 2021; Muflih, 2021)</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 xml:space="preserve"> and gain corporate legitimacy in the eyes of consumers and society </w:t>
      </w:r>
      <w:sdt>
        <w:sdtPr>
          <w:rPr>
            <w:rFonts w:asciiTheme="majorBidi" w:hAnsiTheme="majorBidi" w:cstheme="majorBidi"/>
            <w:sz w:val="24"/>
            <w:szCs w:val="24"/>
          </w:rPr>
          <w:id w:val="-2060622411"/>
          <w:citation/>
        </w:sdtPr>
        <w:sdtContent>
          <w:r w:rsidRPr="00460517">
            <w:rPr>
              <w:rFonts w:asciiTheme="majorBidi" w:hAnsiTheme="majorBidi" w:cstheme="majorBidi"/>
              <w:sz w:val="24"/>
              <w:szCs w:val="24"/>
            </w:rPr>
            <w:fldChar w:fldCharType="begin"/>
          </w:r>
          <w:r w:rsidR="00B746F9" w:rsidRPr="00460517">
            <w:rPr>
              <w:rFonts w:asciiTheme="majorBidi" w:hAnsiTheme="majorBidi" w:cstheme="majorBidi"/>
              <w:sz w:val="24"/>
              <w:szCs w:val="24"/>
            </w:rPr>
            <w:instrText xml:space="preserve">CITATION Dan20 \m Dod18 \m Loc19 \t  \l 2057 </w:instrText>
          </w:r>
          <w:r w:rsidRPr="00460517">
            <w:rPr>
              <w:rFonts w:asciiTheme="majorBidi" w:hAnsiTheme="majorBidi" w:cstheme="majorBidi"/>
              <w:sz w:val="24"/>
              <w:szCs w:val="24"/>
            </w:rPr>
            <w:fldChar w:fldCharType="separate"/>
          </w:r>
          <w:r w:rsidR="00B746F9" w:rsidRPr="00460517">
            <w:rPr>
              <w:rFonts w:asciiTheme="majorBidi" w:hAnsiTheme="majorBidi" w:cstheme="majorBidi"/>
              <w:noProof/>
              <w:sz w:val="24"/>
              <w:szCs w:val="24"/>
            </w:rPr>
            <w:t>(Dang, Nguyen, &amp; Pervan, 2020; Dodd M. , 2018; Lock &amp; Schulz-Knappe , 2019)</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 One of the functional benefits that CSR seems to be serving for the company is “gaining legitimacy”</w:t>
      </w:r>
      <w:sdt>
        <w:sdtPr>
          <w:rPr>
            <w:rFonts w:asciiTheme="majorBidi" w:hAnsiTheme="majorBidi" w:cstheme="majorBidi"/>
            <w:sz w:val="24"/>
            <w:szCs w:val="24"/>
          </w:rPr>
          <w:id w:val="577025149"/>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CITATION Bac16 \m Jam18 \t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 xml:space="preserve"> (Bachmann &amp; Ingenhoff, 2016; Jamali &amp; Karam, 2018)</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w:t>
      </w:r>
      <w:r>
        <w:rPr>
          <w:rFonts w:asciiTheme="majorBidi" w:hAnsiTheme="majorBidi" w:cstheme="majorBidi"/>
          <w:sz w:val="24"/>
          <w:szCs w:val="24"/>
        </w:rPr>
        <w:t xml:space="preserve"> </w:t>
      </w:r>
      <w:r w:rsidRPr="00DF1B7A">
        <w:rPr>
          <w:rFonts w:asciiTheme="majorBidi" w:hAnsiTheme="majorBidi" w:cstheme="majorBidi"/>
          <w:sz w:val="24"/>
          <w:szCs w:val="24"/>
        </w:rPr>
        <w:t xml:space="preserve">Legitimacy is </w:t>
      </w:r>
      <w:r>
        <w:rPr>
          <w:rFonts w:asciiTheme="majorBidi" w:hAnsiTheme="majorBidi" w:cstheme="majorBidi"/>
          <w:sz w:val="24"/>
          <w:szCs w:val="24"/>
        </w:rPr>
        <w:t>earned</w:t>
      </w:r>
      <w:r w:rsidRPr="00DF1B7A">
        <w:rPr>
          <w:rFonts w:asciiTheme="majorBidi" w:hAnsiTheme="majorBidi" w:cstheme="majorBidi"/>
          <w:sz w:val="24"/>
          <w:szCs w:val="24"/>
        </w:rPr>
        <w:t xml:space="preserve"> by replicating global practices in business management while at the same time focusing on local norms </w:t>
      </w:r>
      <w:sdt>
        <w:sdtPr>
          <w:rPr>
            <w:rFonts w:asciiTheme="majorBidi" w:hAnsiTheme="majorBidi" w:cstheme="majorBidi"/>
            <w:sz w:val="24"/>
            <w:szCs w:val="24"/>
          </w:rPr>
          <w:id w:val="94145629"/>
          <w:citation/>
        </w:sdtPr>
        <w:sdtContent>
          <w:r w:rsidRPr="00DF1B7A">
            <w:rPr>
              <w:rFonts w:asciiTheme="majorBidi" w:hAnsiTheme="majorBidi" w:cstheme="majorBidi"/>
              <w:sz w:val="24"/>
              <w:szCs w:val="24"/>
            </w:rPr>
            <w:fldChar w:fldCharType="begin"/>
          </w:r>
          <w:r>
            <w:rPr>
              <w:rFonts w:asciiTheme="majorBidi" w:hAnsiTheme="majorBidi" w:cstheme="majorBidi"/>
              <w:sz w:val="24"/>
              <w:szCs w:val="24"/>
            </w:rPr>
            <w:instrText xml:space="preserve">CITATION Jam18 \t  \l 2057 </w:instrText>
          </w:r>
          <w:r w:rsidRPr="00DF1B7A">
            <w:rPr>
              <w:rFonts w:asciiTheme="majorBidi" w:hAnsiTheme="majorBidi" w:cstheme="majorBidi"/>
              <w:sz w:val="24"/>
              <w:szCs w:val="24"/>
            </w:rPr>
            <w:fldChar w:fldCharType="separate"/>
          </w:r>
          <w:r w:rsidRPr="0002256A">
            <w:rPr>
              <w:rFonts w:asciiTheme="majorBidi" w:hAnsiTheme="majorBidi" w:cstheme="majorBidi"/>
              <w:noProof/>
              <w:sz w:val="24"/>
              <w:szCs w:val="24"/>
            </w:rPr>
            <w:t>(Jamali &amp; Karam, 2018)</w:t>
          </w:r>
          <w:r w:rsidRPr="00DF1B7A">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w:t>
      </w:r>
      <w:r>
        <w:rPr>
          <w:rFonts w:asciiTheme="majorBidi" w:hAnsiTheme="majorBidi" w:cstheme="majorBidi"/>
          <w:sz w:val="24"/>
          <w:szCs w:val="24"/>
        </w:rPr>
        <w:t>This benefit is particularly important for global companies that are headquartered in certain countries but operate in others. Through CSR, multinational</w:t>
      </w:r>
      <w:r w:rsidR="00650EFD">
        <w:rPr>
          <w:rFonts w:asciiTheme="majorBidi" w:hAnsiTheme="majorBidi" w:cstheme="majorBidi"/>
          <w:sz w:val="24"/>
          <w:szCs w:val="24"/>
        </w:rPr>
        <w:t xml:space="preserve"> companies</w:t>
      </w:r>
      <w:r>
        <w:rPr>
          <w:rFonts w:asciiTheme="majorBidi" w:hAnsiTheme="majorBidi" w:cstheme="majorBidi"/>
          <w:sz w:val="24"/>
          <w:szCs w:val="24"/>
        </w:rPr>
        <w:t xml:space="preserve"> </w:t>
      </w:r>
      <w:r w:rsidRPr="00460517">
        <w:rPr>
          <w:rFonts w:asciiTheme="majorBidi" w:hAnsiTheme="majorBidi" w:cstheme="majorBidi"/>
          <w:sz w:val="24"/>
          <w:szCs w:val="24"/>
        </w:rPr>
        <w:t xml:space="preserve">gain proximity and better understanding of the needs of local communities </w:t>
      </w:r>
      <w:sdt>
        <w:sdtPr>
          <w:rPr>
            <w:rFonts w:asciiTheme="majorBidi" w:hAnsiTheme="majorBidi" w:cstheme="majorBidi"/>
            <w:sz w:val="24"/>
            <w:szCs w:val="24"/>
          </w:rPr>
          <w:id w:val="1065305162"/>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 CITATION Shi181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(Shirodkar, Beddewela, &amp; Richter, 2018)</w:t>
          </w:r>
          <w:r w:rsidRPr="00460517">
            <w:rPr>
              <w:rFonts w:asciiTheme="majorBidi" w:hAnsiTheme="majorBidi" w:cstheme="majorBidi"/>
              <w:sz w:val="24"/>
              <w:szCs w:val="24"/>
            </w:rPr>
            <w:fldChar w:fldCharType="end"/>
          </w:r>
        </w:sdtContent>
      </w:sdt>
      <w:r w:rsidRPr="00F43DFE">
        <w:rPr>
          <w:rFonts w:asciiTheme="majorBidi" w:hAnsiTheme="majorBidi" w:cstheme="majorBidi"/>
          <w:sz w:val="24"/>
          <w:szCs w:val="24"/>
        </w:rPr>
        <w:t>.</w:t>
      </w:r>
    </w:p>
    <w:p w14:paraId="3B42FC36" w14:textId="7C88055A" w:rsidR="00A96566" w:rsidRPr="00460517" w:rsidRDefault="00A96566" w:rsidP="00B40C5E">
      <w:pPr>
        <w:adjustRightInd w:val="0"/>
        <w:spacing w:after="0" w:line="480" w:lineRule="auto"/>
        <w:ind w:firstLine="720"/>
        <w:jc w:val="lowKashida"/>
        <w:rPr>
          <w:rFonts w:asciiTheme="majorBidi" w:hAnsiTheme="majorBidi" w:cstheme="majorBidi"/>
          <w:sz w:val="24"/>
          <w:szCs w:val="24"/>
        </w:rPr>
      </w:pPr>
      <w:r w:rsidRPr="00B84E74">
        <w:rPr>
          <w:rFonts w:asciiTheme="majorBidi" w:hAnsiTheme="majorBidi" w:cstheme="majorBidi"/>
          <w:sz w:val="24"/>
          <w:szCs w:val="24"/>
        </w:rPr>
        <w:t xml:space="preserve">Based on a national study on American consumers, results established that CSR communication plays a positive </w:t>
      </w:r>
      <w:r>
        <w:rPr>
          <w:rFonts w:asciiTheme="majorBidi" w:hAnsiTheme="majorBidi" w:cstheme="majorBidi"/>
          <w:sz w:val="24"/>
          <w:szCs w:val="24"/>
        </w:rPr>
        <w:t xml:space="preserve">factor mediating </w:t>
      </w:r>
      <w:r w:rsidRPr="00B84E74">
        <w:rPr>
          <w:rFonts w:asciiTheme="majorBidi" w:hAnsiTheme="majorBidi" w:cstheme="majorBidi"/>
          <w:sz w:val="24"/>
          <w:szCs w:val="24"/>
        </w:rPr>
        <w:t>the relationship between CSR and company assessment</w:t>
      </w:r>
      <w:r>
        <w:rPr>
          <w:rFonts w:asciiTheme="majorBidi" w:hAnsiTheme="majorBidi" w:cstheme="majorBidi"/>
          <w:sz w:val="24"/>
          <w:szCs w:val="24"/>
        </w:rPr>
        <w:t xml:space="preserve"> </w:t>
      </w:r>
      <w:sdt>
        <w:sdtPr>
          <w:rPr>
            <w:rFonts w:asciiTheme="majorBidi" w:hAnsiTheme="majorBidi" w:cstheme="majorBidi"/>
            <w:sz w:val="24"/>
            <w:szCs w:val="24"/>
          </w:rPr>
          <w:id w:val="64948274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Kim191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(Kim S. ,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Other </w:t>
      </w:r>
      <w:r w:rsidRPr="00024CDD">
        <w:rPr>
          <w:rFonts w:asciiTheme="majorBidi" w:hAnsiTheme="majorBidi" w:cstheme="majorBidi"/>
          <w:sz w:val="24"/>
          <w:szCs w:val="24"/>
        </w:rPr>
        <w:t>studies found that CSR</w:t>
      </w:r>
      <w:r>
        <w:rPr>
          <w:rFonts w:asciiTheme="majorBidi" w:hAnsiTheme="majorBidi" w:cstheme="majorBidi"/>
          <w:sz w:val="24"/>
          <w:szCs w:val="24"/>
        </w:rPr>
        <w:t xml:space="preserve"> communication</w:t>
      </w:r>
      <w:r w:rsidRPr="00024CDD">
        <w:rPr>
          <w:rFonts w:asciiTheme="majorBidi" w:hAnsiTheme="majorBidi" w:cstheme="majorBidi"/>
          <w:sz w:val="24"/>
          <w:szCs w:val="24"/>
        </w:rPr>
        <w:t xml:space="preserve"> provides benefits to the company such as </w:t>
      </w:r>
      <w:r>
        <w:rPr>
          <w:rFonts w:asciiTheme="majorBidi" w:hAnsiTheme="majorBidi" w:cstheme="majorBidi"/>
          <w:sz w:val="24"/>
          <w:szCs w:val="24"/>
        </w:rPr>
        <w:t>enhancing</w:t>
      </w:r>
      <w:r w:rsidRPr="00024CDD">
        <w:rPr>
          <w:rFonts w:asciiTheme="majorBidi" w:hAnsiTheme="majorBidi" w:cstheme="majorBidi"/>
          <w:sz w:val="24"/>
          <w:szCs w:val="24"/>
        </w:rPr>
        <w:t xml:space="preserve"> </w:t>
      </w:r>
      <w:r w:rsidRPr="004549C3">
        <w:rPr>
          <w:rFonts w:asciiTheme="majorBidi" w:hAnsiTheme="majorBidi" w:cstheme="majorBidi"/>
          <w:sz w:val="24"/>
          <w:szCs w:val="24"/>
        </w:rPr>
        <w:t>company reputation</w:t>
      </w:r>
      <w:r>
        <w:rPr>
          <w:rFonts w:asciiTheme="majorBidi" w:hAnsiTheme="majorBidi" w:cstheme="majorBidi"/>
          <w:sz w:val="24"/>
          <w:szCs w:val="24"/>
        </w:rPr>
        <w:t xml:space="preserve"> and image</w:t>
      </w:r>
      <w:sdt>
        <w:sdtPr>
          <w:rPr>
            <w:rFonts w:asciiTheme="majorBidi" w:hAnsiTheme="majorBidi" w:cstheme="majorBidi"/>
            <w:sz w:val="24"/>
            <w:szCs w:val="24"/>
          </w:rPr>
          <w:id w:val="-1770761512"/>
          <w:citation/>
        </w:sdtPr>
        <w:sdtContent>
          <w:r>
            <w:rPr>
              <w:rFonts w:asciiTheme="majorBidi" w:hAnsiTheme="majorBidi" w:cstheme="majorBidi"/>
              <w:sz w:val="24"/>
              <w:szCs w:val="24"/>
            </w:rPr>
            <w:fldChar w:fldCharType="begin"/>
          </w:r>
          <w:r w:rsidR="001F73FA">
            <w:rPr>
              <w:rFonts w:asciiTheme="majorBidi" w:hAnsiTheme="majorBidi" w:cstheme="majorBidi"/>
              <w:sz w:val="24"/>
              <w:szCs w:val="24"/>
            </w:rPr>
            <w:instrText xml:space="preserve">CITATION DuS10 \t  \m Mar21 \l 2057 </w:instrText>
          </w:r>
          <w:r>
            <w:rPr>
              <w:rFonts w:asciiTheme="majorBidi" w:hAnsiTheme="majorBidi" w:cstheme="majorBidi"/>
              <w:sz w:val="24"/>
              <w:szCs w:val="24"/>
            </w:rPr>
            <w:fldChar w:fldCharType="separate"/>
          </w:r>
          <w:r w:rsidR="001F73FA">
            <w:rPr>
              <w:rFonts w:asciiTheme="majorBidi" w:hAnsiTheme="majorBidi" w:cstheme="majorBidi"/>
              <w:noProof/>
              <w:sz w:val="24"/>
              <w:szCs w:val="24"/>
            </w:rPr>
            <w:t xml:space="preserve"> </w:t>
          </w:r>
          <w:r w:rsidR="001F73FA" w:rsidRPr="001F73FA">
            <w:rPr>
              <w:rFonts w:asciiTheme="majorBidi" w:hAnsiTheme="majorBidi" w:cstheme="majorBidi"/>
              <w:noProof/>
              <w:sz w:val="24"/>
              <w:szCs w:val="24"/>
            </w:rPr>
            <w:t>(Du, Bhattacharya, &amp; Sen, 2010; Marakova, Wolak-Tuzimek, &amp; Tuckova ,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This positive company image built through </w:t>
      </w:r>
      <w:r w:rsidRPr="00CB0662">
        <w:rPr>
          <w:rFonts w:asciiTheme="majorBidi" w:hAnsiTheme="majorBidi" w:cstheme="majorBidi"/>
          <w:sz w:val="24"/>
          <w:szCs w:val="24"/>
        </w:rPr>
        <w:t>CSR campaigns provide</w:t>
      </w:r>
      <w:r>
        <w:rPr>
          <w:rFonts w:asciiTheme="majorBidi" w:hAnsiTheme="majorBidi" w:cstheme="majorBidi"/>
          <w:sz w:val="24"/>
          <w:szCs w:val="24"/>
        </w:rPr>
        <w:t>s</w:t>
      </w:r>
      <w:r w:rsidRPr="00CB0662">
        <w:rPr>
          <w:rFonts w:asciiTheme="majorBidi" w:hAnsiTheme="majorBidi" w:cstheme="majorBidi"/>
          <w:sz w:val="24"/>
          <w:szCs w:val="24"/>
        </w:rPr>
        <w:t xml:space="preserve"> signals </w:t>
      </w:r>
      <w:r>
        <w:rPr>
          <w:rFonts w:asciiTheme="majorBidi" w:hAnsiTheme="majorBidi" w:cstheme="majorBidi"/>
          <w:sz w:val="24"/>
          <w:szCs w:val="24"/>
        </w:rPr>
        <w:t xml:space="preserve">to consumers </w:t>
      </w:r>
      <w:r w:rsidRPr="00CB0662">
        <w:rPr>
          <w:rFonts w:asciiTheme="majorBidi" w:hAnsiTheme="majorBidi" w:cstheme="majorBidi"/>
          <w:sz w:val="24"/>
          <w:szCs w:val="24"/>
        </w:rPr>
        <w:t xml:space="preserve">that generate inferences on encouraging company behaviours which will enhance the overall company reputation </w:t>
      </w:r>
      <w:sdt>
        <w:sdtPr>
          <w:rPr>
            <w:rFonts w:asciiTheme="majorBidi" w:hAnsiTheme="majorBidi" w:cstheme="majorBidi"/>
            <w:sz w:val="24"/>
            <w:szCs w:val="24"/>
          </w:rPr>
          <w:id w:val="1135224658"/>
          <w:citation/>
        </w:sdtPr>
        <w:sdtContent>
          <w:r w:rsidRPr="00460517">
            <w:rPr>
              <w:rFonts w:asciiTheme="majorBidi" w:hAnsiTheme="majorBidi" w:cstheme="majorBidi"/>
              <w:sz w:val="24"/>
              <w:szCs w:val="24"/>
            </w:rPr>
            <w:fldChar w:fldCharType="begin"/>
          </w:r>
          <w:r w:rsidRPr="00460517">
            <w:rPr>
              <w:rFonts w:asciiTheme="majorBidi" w:hAnsiTheme="majorBidi" w:cstheme="majorBidi"/>
              <w:noProof/>
              <w:sz w:val="24"/>
              <w:szCs w:val="24"/>
            </w:rPr>
            <w:instrText xml:space="preserve"> CITATION Mil20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(Miller, Eden, &amp; Li, 2020)</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w:t>
      </w:r>
      <w:r w:rsidR="00BA0EE9" w:rsidRPr="00460517">
        <w:rPr>
          <w:rFonts w:ascii="Georgia" w:hAnsi="Georgia"/>
          <w:color w:val="2E2E2E"/>
        </w:rPr>
        <w:t xml:space="preserve"> </w:t>
      </w:r>
    </w:p>
    <w:p w14:paraId="13D26AE1" w14:textId="304CD820" w:rsidR="00A96566" w:rsidRPr="003F4BB5" w:rsidRDefault="00D96817" w:rsidP="00621FBB">
      <w:pPr>
        <w:spacing w:after="0" w:line="480" w:lineRule="auto"/>
      </w:pPr>
      <w:r w:rsidRPr="00460517">
        <w:rPr>
          <w:rFonts w:asciiTheme="majorBidi" w:hAnsiTheme="majorBidi" w:cstheme="majorBidi"/>
          <w:sz w:val="24"/>
          <w:szCs w:val="24"/>
        </w:rPr>
        <w:tab/>
      </w:r>
      <w:r w:rsidR="00A96566" w:rsidRPr="00460517">
        <w:rPr>
          <w:rFonts w:asciiTheme="majorBidi" w:hAnsiTheme="majorBidi" w:cstheme="majorBidi"/>
          <w:sz w:val="24"/>
          <w:szCs w:val="24"/>
        </w:rPr>
        <w:t xml:space="preserve">Furthermore, CSR communication strengthens relationships with </w:t>
      </w:r>
      <w:r w:rsidR="00963EE9" w:rsidRPr="00460517">
        <w:rPr>
          <w:rFonts w:asciiTheme="majorBidi" w:hAnsiTheme="majorBidi" w:cstheme="majorBidi"/>
          <w:sz w:val="24"/>
          <w:szCs w:val="24"/>
        </w:rPr>
        <w:t xml:space="preserve">the public and </w:t>
      </w:r>
      <w:r w:rsidR="00A96566" w:rsidRPr="00460517">
        <w:rPr>
          <w:rFonts w:asciiTheme="majorBidi" w:hAnsiTheme="majorBidi" w:cstheme="majorBidi"/>
          <w:sz w:val="24"/>
          <w:szCs w:val="24"/>
        </w:rPr>
        <w:t>different stakeholders</w:t>
      </w:r>
      <w:r w:rsidR="002F5AA4" w:rsidRPr="00460517">
        <w:rPr>
          <w:rFonts w:asciiTheme="majorBidi" w:hAnsiTheme="majorBidi" w:cstheme="majorBidi"/>
          <w:sz w:val="24"/>
          <w:szCs w:val="24"/>
        </w:rPr>
        <w:t xml:space="preserve"> in several ways</w:t>
      </w:r>
      <w:r w:rsidR="003F4BB5" w:rsidRPr="00460517">
        <w:rPr>
          <w:rFonts w:asciiTheme="majorBidi" w:hAnsiTheme="majorBidi" w:cstheme="majorBidi"/>
          <w:sz w:val="24"/>
          <w:szCs w:val="24"/>
        </w:rPr>
        <w:t xml:space="preserve"> </w:t>
      </w:r>
      <w:sdt>
        <w:sdtPr>
          <w:id w:val="388698530"/>
          <w:citation/>
        </w:sdtPr>
        <w:sdtContent>
          <w:r w:rsidR="003F4BB5" w:rsidRPr="00460517">
            <w:fldChar w:fldCharType="begin"/>
          </w:r>
          <w:r w:rsidR="003F4BB5" w:rsidRPr="00460517">
            <w:rPr>
              <w:rFonts w:asciiTheme="majorBidi" w:hAnsiTheme="majorBidi" w:cstheme="majorBidi"/>
              <w:sz w:val="24"/>
              <w:szCs w:val="24"/>
            </w:rPr>
            <w:instrText xml:space="preserve"> CITATION JiY18 \l 2057  \m Lee19</w:instrText>
          </w:r>
          <w:r w:rsidR="003F4BB5" w:rsidRPr="00460517">
            <w:fldChar w:fldCharType="separate"/>
          </w:r>
          <w:r w:rsidR="003F4BB5" w:rsidRPr="00460517">
            <w:rPr>
              <w:rFonts w:asciiTheme="majorBidi" w:hAnsiTheme="majorBidi" w:cstheme="majorBidi"/>
              <w:noProof/>
              <w:sz w:val="24"/>
              <w:szCs w:val="24"/>
            </w:rPr>
            <w:t>(Ji &amp; Yang, 2018; Lee, Zhang, &amp; Abitbol , 2019)</w:t>
          </w:r>
          <w:r w:rsidR="003F4BB5" w:rsidRPr="00460517">
            <w:fldChar w:fldCharType="end"/>
          </w:r>
        </w:sdtContent>
      </w:sdt>
      <w:r w:rsidR="00A96566" w:rsidRPr="00460517">
        <w:rPr>
          <w:rFonts w:asciiTheme="majorBidi" w:hAnsiTheme="majorBidi" w:cstheme="majorBidi"/>
          <w:sz w:val="24"/>
          <w:szCs w:val="24"/>
        </w:rPr>
        <w:t>.</w:t>
      </w:r>
      <w:r w:rsidR="00A96566">
        <w:rPr>
          <w:rFonts w:asciiTheme="majorBidi" w:hAnsiTheme="majorBidi" w:cstheme="majorBidi"/>
          <w:sz w:val="24"/>
          <w:szCs w:val="24"/>
        </w:rPr>
        <w:t xml:space="preserve"> In a way, internal stakeholders will be more motivated, committed to the company, and will gain more expertise when they work on CSR campaigns </w:t>
      </w:r>
      <w:sdt>
        <w:sdtPr>
          <w:rPr>
            <w:rFonts w:asciiTheme="majorBidi" w:hAnsiTheme="majorBidi" w:cstheme="majorBidi"/>
            <w:sz w:val="24"/>
            <w:szCs w:val="24"/>
          </w:rPr>
          <w:id w:val="100772455"/>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Aka16 \l 2057  \m Hur20 \m Mar21</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(Akash, Ferguson, &amp; Duman, 2016; Hur, Moon, &amp; Kim, 2020; Marakova, Wolak-Tuzimek, &amp; Tuckova , 2021)</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As for consumers,</w:t>
      </w:r>
      <w:r w:rsidR="00A96566" w:rsidRPr="00024CDD">
        <w:rPr>
          <w:rFonts w:asciiTheme="majorBidi" w:hAnsiTheme="majorBidi" w:cstheme="majorBidi"/>
          <w:sz w:val="24"/>
          <w:szCs w:val="24"/>
        </w:rPr>
        <w:t xml:space="preserve"> </w:t>
      </w:r>
      <w:r w:rsidR="00A96566">
        <w:rPr>
          <w:rFonts w:asciiTheme="majorBidi" w:hAnsiTheme="majorBidi" w:cstheme="majorBidi"/>
          <w:sz w:val="24"/>
          <w:szCs w:val="24"/>
        </w:rPr>
        <w:t xml:space="preserve">it was evident in </w:t>
      </w:r>
      <w:r w:rsidR="002F5AA4">
        <w:rPr>
          <w:rFonts w:asciiTheme="majorBidi" w:hAnsiTheme="majorBidi" w:cstheme="majorBidi"/>
          <w:sz w:val="24"/>
          <w:szCs w:val="24"/>
        </w:rPr>
        <w:t xml:space="preserve">the </w:t>
      </w:r>
      <w:r w:rsidR="00A96566">
        <w:rPr>
          <w:rFonts w:asciiTheme="majorBidi" w:hAnsiTheme="majorBidi" w:cstheme="majorBidi"/>
          <w:sz w:val="24"/>
          <w:szCs w:val="24"/>
        </w:rPr>
        <w:t>literature that, based on some studies, CSR messages ha</w:t>
      </w:r>
      <w:r w:rsidR="002F5AA4">
        <w:rPr>
          <w:rFonts w:asciiTheme="majorBidi" w:hAnsiTheme="majorBidi" w:cstheme="majorBidi"/>
          <w:sz w:val="24"/>
          <w:szCs w:val="24"/>
        </w:rPr>
        <w:t>ve</w:t>
      </w:r>
      <w:r w:rsidR="00A96566">
        <w:rPr>
          <w:rFonts w:asciiTheme="majorBidi" w:hAnsiTheme="majorBidi" w:cstheme="majorBidi"/>
          <w:sz w:val="24"/>
          <w:szCs w:val="24"/>
        </w:rPr>
        <w:t xml:space="preserve"> an indirect positive effect on </w:t>
      </w:r>
      <w:r w:rsidR="00A96566" w:rsidRPr="00ED13CF">
        <w:rPr>
          <w:rFonts w:asciiTheme="majorBidi" w:hAnsiTheme="majorBidi" w:cstheme="majorBidi"/>
          <w:sz w:val="24"/>
          <w:szCs w:val="24"/>
        </w:rPr>
        <w:t>consumer trust</w:t>
      </w:r>
      <w:sdt>
        <w:sdtPr>
          <w:rPr>
            <w:rFonts w:asciiTheme="majorBidi" w:hAnsiTheme="majorBidi" w:cstheme="majorBidi"/>
            <w:sz w:val="24"/>
            <w:szCs w:val="24"/>
          </w:rPr>
          <w:id w:val="-125997521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Chr21 \l 2057  \m Jeo19</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D96817">
            <w:rPr>
              <w:rFonts w:asciiTheme="majorBidi" w:hAnsiTheme="majorBidi" w:cstheme="majorBidi"/>
              <w:noProof/>
              <w:sz w:val="24"/>
              <w:szCs w:val="24"/>
            </w:rPr>
            <w:t>(Christis &amp; Wang, 2021; Jeon &amp; An, 2019)</w:t>
          </w:r>
          <w:r>
            <w:rPr>
              <w:rFonts w:asciiTheme="majorBidi" w:hAnsiTheme="majorBidi" w:cstheme="majorBidi"/>
              <w:sz w:val="24"/>
              <w:szCs w:val="24"/>
            </w:rPr>
            <w:fldChar w:fldCharType="end"/>
          </w:r>
        </w:sdtContent>
      </w:sdt>
      <w:r w:rsidR="00A96566">
        <w:rPr>
          <w:rFonts w:asciiTheme="majorBidi" w:hAnsiTheme="majorBidi" w:cstheme="majorBidi"/>
          <w:noProof/>
          <w:sz w:val="24"/>
          <w:szCs w:val="24"/>
        </w:rPr>
        <w:t xml:space="preserve">. </w:t>
      </w:r>
      <w:r w:rsidR="00A96566">
        <w:rPr>
          <w:rFonts w:asciiTheme="majorBidi" w:hAnsiTheme="majorBidi" w:cstheme="majorBidi"/>
          <w:sz w:val="24"/>
          <w:szCs w:val="24"/>
        </w:rPr>
        <w:t>This trust allow</w:t>
      </w:r>
      <w:r w:rsidR="002F5AA4">
        <w:rPr>
          <w:rFonts w:asciiTheme="majorBidi" w:hAnsiTheme="majorBidi" w:cstheme="majorBidi"/>
          <w:sz w:val="24"/>
          <w:szCs w:val="24"/>
        </w:rPr>
        <w:t>s</w:t>
      </w:r>
      <w:r w:rsidR="00A96566">
        <w:rPr>
          <w:rFonts w:asciiTheme="majorBidi" w:hAnsiTheme="majorBidi" w:cstheme="majorBidi"/>
          <w:sz w:val="24"/>
          <w:szCs w:val="24"/>
        </w:rPr>
        <w:t xml:space="preserve"> consumers to believe in the company’s expertise without requiring constant evidence</w:t>
      </w:r>
      <w:sdt>
        <w:sdtPr>
          <w:rPr>
            <w:rFonts w:asciiTheme="majorBidi" w:hAnsiTheme="majorBidi" w:cstheme="majorBidi"/>
            <w:sz w:val="24"/>
            <w:szCs w:val="24"/>
          </w:rPr>
          <w:id w:val="-211652837"/>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Prz18 \l 2057 </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(Przepiorka &amp; Horne, 2018)</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Such trust can be earned because consumers tend to assess greater levels of company credibility through the company’s CSR communication when certain strategies (discussed in the next section) are considered </w:t>
      </w:r>
      <w:sdt>
        <w:sdtPr>
          <w:rPr>
            <w:rFonts w:asciiTheme="majorBidi" w:hAnsiTheme="majorBidi" w:cstheme="majorBidi"/>
            <w:sz w:val="24"/>
            <w:szCs w:val="24"/>
          </w:rPr>
          <w:id w:val="1593820882"/>
          <w:citation/>
        </w:sdtPr>
        <w:sdtContent>
          <w:r w:rsidR="00A96566" w:rsidRPr="00460517">
            <w:rPr>
              <w:rFonts w:asciiTheme="majorBidi" w:hAnsiTheme="majorBidi" w:cstheme="majorBidi"/>
              <w:sz w:val="24"/>
              <w:szCs w:val="24"/>
            </w:rPr>
            <w:fldChar w:fldCharType="begin"/>
          </w:r>
          <w:r w:rsidR="00A96566" w:rsidRPr="00460517">
            <w:rPr>
              <w:rFonts w:asciiTheme="majorBidi" w:hAnsiTheme="majorBidi" w:cstheme="majorBidi"/>
              <w:sz w:val="24"/>
              <w:szCs w:val="24"/>
            </w:rPr>
            <w:instrText xml:space="preserve"> CITATION GoE17 \l 2057  \m Pet21</w:instrText>
          </w:r>
          <w:r w:rsidR="00A96566" w:rsidRPr="00460517">
            <w:rPr>
              <w:rFonts w:asciiTheme="majorBidi" w:hAnsiTheme="majorBidi" w:cstheme="majorBidi"/>
              <w:sz w:val="24"/>
              <w:szCs w:val="24"/>
            </w:rPr>
            <w:fldChar w:fldCharType="separate"/>
          </w:r>
          <w:r w:rsidR="00A96566" w:rsidRPr="00460517">
            <w:rPr>
              <w:rFonts w:asciiTheme="majorBidi" w:hAnsiTheme="majorBidi" w:cstheme="majorBidi"/>
              <w:noProof/>
              <w:sz w:val="24"/>
              <w:szCs w:val="24"/>
            </w:rPr>
            <w:t>(Go &amp; Bortree, 2017; Peterson, Minton, Liu, &amp; Bartholomew, 2021)</w:t>
          </w:r>
          <w:r w:rsidR="00A96566" w:rsidRPr="00460517">
            <w:rPr>
              <w:rFonts w:asciiTheme="majorBidi" w:hAnsiTheme="majorBidi" w:cstheme="majorBidi"/>
              <w:sz w:val="24"/>
              <w:szCs w:val="24"/>
            </w:rPr>
            <w:fldChar w:fldCharType="end"/>
          </w:r>
        </w:sdtContent>
      </w:sdt>
      <w:r w:rsidR="00A96566" w:rsidRPr="00460517">
        <w:rPr>
          <w:rFonts w:asciiTheme="majorBidi" w:hAnsiTheme="majorBidi" w:cstheme="majorBidi"/>
          <w:sz w:val="24"/>
          <w:szCs w:val="24"/>
        </w:rPr>
        <w:t>. Several</w:t>
      </w:r>
      <w:r w:rsidR="00A96566">
        <w:rPr>
          <w:rFonts w:asciiTheme="majorBidi" w:hAnsiTheme="majorBidi" w:cstheme="majorBidi"/>
          <w:sz w:val="24"/>
          <w:szCs w:val="24"/>
        </w:rPr>
        <w:t xml:space="preserve"> studies in </w:t>
      </w:r>
      <w:r w:rsidR="002F5AA4">
        <w:rPr>
          <w:rFonts w:asciiTheme="majorBidi" w:hAnsiTheme="majorBidi" w:cstheme="majorBidi"/>
          <w:sz w:val="24"/>
          <w:szCs w:val="24"/>
        </w:rPr>
        <w:t xml:space="preserve">the </w:t>
      </w:r>
      <w:r w:rsidR="00A96566">
        <w:rPr>
          <w:rFonts w:asciiTheme="majorBidi" w:hAnsiTheme="majorBidi" w:cstheme="majorBidi"/>
          <w:sz w:val="24"/>
          <w:szCs w:val="24"/>
        </w:rPr>
        <w:t xml:space="preserve">literature conclude that CSR campaigns are considered as essential cues for consumers to form </w:t>
      </w:r>
      <w:r w:rsidR="00A96566" w:rsidRPr="00ED13CF">
        <w:rPr>
          <w:rFonts w:asciiTheme="majorBidi" w:hAnsiTheme="majorBidi" w:cstheme="majorBidi"/>
          <w:sz w:val="24"/>
          <w:szCs w:val="24"/>
        </w:rPr>
        <w:t>positive attitudes</w:t>
      </w:r>
      <w:r w:rsidR="00A96566">
        <w:rPr>
          <w:rFonts w:asciiTheme="majorBidi" w:hAnsiTheme="majorBidi" w:cstheme="majorBidi"/>
          <w:sz w:val="24"/>
          <w:szCs w:val="24"/>
        </w:rPr>
        <w:t xml:space="preserve"> towards the company </w:t>
      </w:r>
      <w:sdt>
        <w:sdtPr>
          <w:rPr>
            <w:rFonts w:asciiTheme="majorBidi" w:hAnsiTheme="majorBidi" w:cstheme="majorBidi"/>
            <w:sz w:val="24"/>
            <w:szCs w:val="24"/>
          </w:rPr>
          <w:id w:val="1383128891"/>
          <w:citation/>
        </w:sdtPr>
        <w:sdtContent>
          <w:r w:rsidR="00A96566">
            <w:rPr>
              <w:rFonts w:asciiTheme="majorBidi" w:hAnsiTheme="majorBidi" w:cstheme="majorBidi"/>
              <w:sz w:val="24"/>
              <w:szCs w:val="24"/>
            </w:rPr>
            <w:fldChar w:fldCharType="begin"/>
          </w:r>
          <w:r w:rsidR="00170BD7">
            <w:rPr>
              <w:rFonts w:asciiTheme="majorBidi" w:hAnsiTheme="majorBidi" w:cstheme="majorBidi"/>
              <w:sz w:val="24"/>
              <w:szCs w:val="24"/>
            </w:rPr>
            <w:instrText xml:space="preserve">CITATION Yeo19 \t  \m Rim18 \t  \l 2057 </w:instrText>
          </w:r>
          <w:r w:rsidR="00A96566">
            <w:rPr>
              <w:rFonts w:asciiTheme="majorBidi" w:hAnsiTheme="majorBidi" w:cstheme="majorBidi"/>
              <w:sz w:val="24"/>
              <w:szCs w:val="24"/>
            </w:rPr>
            <w:fldChar w:fldCharType="separate"/>
          </w:r>
          <w:r w:rsidR="00170BD7" w:rsidRPr="00170BD7">
            <w:rPr>
              <w:rFonts w:asciiTheme="majorBidi" w:hAnsiTheme="majorBidi" w:cstheme="majorBidi"/>
              <w:noProof/>
              <w:sz w:val="24"/>
              <w:szCs w:val="24"/>
            </w:rPr>
            <w:t>(Kim, Park, &amp; Kim, 2019; Rim, Park, &amp; Song, 2018)</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This is because, a large body of literature indicates that consumers are likely to promote businesses and spread </w:t>
      </w:r>
      <w:r w:rsidR="00A96566" w:rsidRPr="00ED13CF">
        <w:rPr>
          <w:rFonts w:asciiTheme="majorBidi" w:hAnsiTheme="majorBidi" w:cstheme="majorBidi"/>
          <w:sz w:val="24"/>
          <w:szCs w:val="24"/>
        </w:rPr>
        <w:t>positive word-of-mouth</w:t>
      </w:r>
      <w:r w:rsidR="00A96566">
        <w:rPr>
          <w:rFonts w:asciiTheme="majorBidi" w:hAnsiTheme="majorBidi" w:cstheme="majorBidi"/>
          <w:sz w:val="24"/>
          <w:szCs w:val="24"/>
        </w:rPr>
        <w:t xml:space="preserve"> about the company and its brands when they are involved in CSR </w:t>
      </w:r>
      <w:r w:rsidR="00A96566" w:rsidRPr="00460517">
        <w:rPr>
          <w:rFonts w:asciiTheme="majorBidi" w:hAnsiTheme="majorBidi" w:cstheme="majorBidi"/>
          <w:sz w:val="24"/>
          <w:szCs w:val="24"/>
        </w:rPr>
        <w:t xml:space="preserve">activities </w:t>
      </w:r>
      <w:sdt>
        <w:sdtPr>
          <w:rPr>
            <w:rFonts w:asciiTheme="majorBidi" w:hAnsiTheme="majorBidi" w:cstheme="majorBidi"/>
            <w:sz w:val="24"/>
            <w:szCs w:val="24"/>
          </w:rPr>
          <w:id w:val="1466240374"/>
          <w:citation/>
        </w:sdtPr>
        <w:sdtContent>
          <w:r w:rsidR="00A96566" w:rsidRPr="00460517">
            <w:rPr>
              <w:rFonts w:asciiTheme="majorBidi" w:hAnsiTheme="majorBidi" w:cstheme="majorBidi"/>
              <w:sz w:val="24"/>
              <w:szCs w:val="24"/>
            </w:rPr>
            <w:fldChar w:fldCharType="begin"/>
          </w:r>
          <w:r w:rsidR="00A96566" w:rsidRPr="00460517">
            <w:rPr>
              <w:rFonts w:asciiTheme="majorBidi" w:hAnsiTheme="majorBidi" w:cstheme="majorBidi"/>
              <w:sz w:val="24"/>
              <w:szCs w:val="24"/>
            </w:rPr>
            <w:instrText xml:space="preserve"> CITATION Alh20 \l 2057  \m Alj20 \m Cra16 \m Gon22 \m Ove21 \m Yoo18 \m VoT19</w:instrText>
          </w:r>
          <w:r w:rsidR="00A96566" w:rsidRPr="00460517">
            <w:rPr>
              <w:rFonts w:asciiTheme="majorBidi" w:hAnsiTheme="majorBidi" w:cstheme="majorBidi"/>
              <w:sz w:val="24"/>
              <w:szCs w:val="24"/>
            </w:rPr>
            <w:fldChar w:fldCharType="separate"/>
          </w:r>
          <w:r w:rsidR="00A96566" w:rsidRPr="00460517">
            <w:rPr>
              <w:rFonts w:asciiTheme="majorBidi" w:hAnsiTheme="majorBidi" w:cstheme="majorBidi"/>
              <w:noProof/>
              <w:sz w:val="24"/>
              <w:szCs w:val="24"/>
            </w:rPr>
            <w:t>(Alhouz &amp; Hasouneh, 2020; Aljarah, 2020; Crane &amp; Glozer, 2016; Gong, Wang, &amp; Lee, 2022; Overton, Kim, Zhang, &amp; Huang, 2021; Yoo &amp; Lee, 2018; Vo, Xiao, &amp; Ho, 2019)</w:t>
          </w:r>
          <w:r w:rsidR="00A96566" w:rsidRPr="00460517">
            <w:rPr>
              <w:rFonts w:asciiTheme="majorBidi" w:hAnsiTheme="majorBidi" w:cstheme="majorBidi"/>
              <w:sz w:val="24"/>
              <w:szCs w:val="24"/>
            </w:rPr>
            <w:fldChar w:fldCharType="end"/>
          </w:r>
        </w:sdtContent>
      </w:sdt>
      <w:r w:rsidR="00A96566" w:rsidRPr="00460517">
        <w:rPr>
          <w:rFonts w:asciiTheme="majorBidi" w:hAnsiTheme="majorBidi" w:cstheme="majorBidi"/>
          <w:sz w:val="24"/>
          <w:szCs w:val="24"/>
        </w:rPr>
        <w:t>.</w:t>
      </w:r>
      <w:r w:rsidR="00A96566">
        <w:rPr>
          <w:rFonts w:asciiTheme="majorBidi" w:hAnsiTheme="majorBidi" w:cstheme="majorBidi"/>
          <w:sz w:val="24"/>
          <w:szCs w:val="24"/>
        </w:rPr>
        <w:t xml:space="preserve"> Such attitudes positively influence the consumers’ purchase intentions and</w:t>
      </w:r>
      <w:r w:rsidR="002F5AA4">
        <w:rPr>
          <w:rFonts w:asciiTheme="majorBidi" w:hAnsiTheme="majorBidi" w:cstheme="majorBidi"/>
          <w:sz w:val="24"/>
          <w:szCs w:val="24"/>
        </w:rPr>
        <w:t xml:space="preserve"> their</w:t>
      </w:r>
      <w:r w:rsidR="00A96566">
        <w:rPr>
          <w:rFonts w:asciiTheme="majorBidi" w:hAnsiTheme="majorBidi" w:cstheme="majorBidi"/>
          <w:sz w:val="24"/>
          <w:szCs w:val="24"/>
        </w:rPr>
        <w:t xml:space="preserve"> engage</w:t>
      </w:r>
      <w:r w:rsidR="002F5AA4">
        <w:rPr>
          <w:rFonts w:asciiTheme="majorBidi" w:hAnsiTheme="majorBidi" w:cstheme="majorBidi"/>
          <w:sz w:val="24"/>
          <w:szCs w:val="24"/>
        </w:rPr>
        <w:t>ment</w:t>
      </w:r>
      <w:r w:rsidR="00A96566">
        <w:rPr>
          <w:rFonts w:asciiTheme="majorBidi" w:hAnsiTheme="majorBidi" w:cstheme="majorBidi"/>
          <w:sz w:val="24"/>
          <w:szCs w:val="24"/>
        </w:rPr>
        <w:t xml:space="preserve"> in positive communication about the company </w:t>
      </w:r>
      <w:sdt>
        <w:sdtPr>
          <w:rPr>
            <w:rFonts w:asciiTheme="majorBidi" w:hAnsiTheme="majorBidi" w:cstheme="majorBidi"/>
            <w:sz w:val="24"/>
            <w:szCs w:val="24"/>
          </w:rPr>
          <w:id w:val="1187564204"/>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Yeo19 \t  \l 2057 </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(Kim, Park, &amp; Kim, 2019)</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w:t>
      </w:r>
      <w:r w:rsidR="00A96566" w:rsidRPr="00714BD5">
        <w:rPr>
          <w:rFonts w:asciiTheme="majorBidi" w:hAnsiTheme="majorBidi" w:cstheme="majorBidi"/>
          <w:sz w:val="24"/>
          <w:szCs w:val="24"/>
        </w:rPr>
        <w:t xml:space="preserve">For instance, a study examining CSR claims on packaged food products revealed that CSR claims or messages have a positive impact on </w:t>
      </w:r>
      <w:r w:rsidR="00A96566" w:rsidRPr="00E60DA5">
        <w:rPr>
          <w:rFonts w:asciiTheme="majorBidi" w:hAnsiTheme="majorBidi" w:cstheme="majorBidi"/>
          <w:sz w:val="24"/>
          <w:szCs w:val="24"/>
        </w:rPr>
        <w:t>purchase intention and the consumers’ willingness to pay more for these products</w:t>
      </w:r>
      <w:r w:rsidR="00A96566">
        <w:rPr>
          <w:rFonts w:asciiTheme="majorBidi" w:hAnsiTheme="majorBidi" w:cstheme="majorBidi"/>
          <w:sz w:val="24"/>
          <w:szCs w:val="24"/>
        </w:rPr>
        <w:t xml:space="preserve"> </w:t>
      </w:r>
      <w:sdt>
        <w:sdtPr>
          <w:rPr>
            <w:rFonts w:asciiTheme="majorBidi" w:hAnsiTheme="majorBidi" w:cstheme="majorBidi"/>
            <w:sz w:val="24"/>
            <w:szCs w:val="24"/>
          </w:rPr>
          <w:id w:val="-634095332"/>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Dia20 \m Wei18 \t  \l 2057 </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(Diallo, Mouelhi, Gadekar, &amp; Schill , 2020; Wei, Kim, Miao, Behnke, &amp; Almanza, 2018)</w:t>
          </w:r>
          <w:r w:rsidR="00A96566">
            <w:rPr>
              <w:rFonts w:asciiTheme="majorBidi" w:hAnsiTheme="majorBidi" w:cstheme="majorBidi"/>
              <w:sz w:val="24"/>
              <w:szCs w:val="24"/>
            </w:rPr>
            <w:fldChar w:fldCharType="end"/>
          </w:r>
        </w:sdtContent>
      </w:sdt>
      <w:r w:rsidR="00A96566" w:rsidRPr="00714BD5">
        <w:rPr>
          <w:rFonts w:asciiTheme="majorBidi" w:hAnsiTheme="majorBidi" w:cstheme="majorBidi"/>
          <w:sz w:val="24"/>
          <w:szCs w:val="24"/>
        </w:rPr>
        <w:t xml:space="preserve">. Similarly, a study conducted on consumable goods, durable goods, and stigmatized industry, showed that CSR campaigns have a positive impact on purchase intentions </w:t>
      </w:r>
      <w:r w:rsidR="00A96566">
        <w:rPr>
          <w:rFonts w:asciiTheme="majorBidi" w:hAnsiTheme="majorBidi" w:cstheme="majorBidi"/>
          <w:sz w:val="24"/>
          <w:szCs w:val="24"/>
        </w:rPr>
        <w:t xml:space="preserve">across these types of products </w:t>
      </w:r>
      <w:sdt>
        <w:sdtPr>
          <w:rPr>
            <w:rFonts w:asciiTheme="majorBidi" w:hAnsiTheme="majorBidi" w:cstheme="majorBidi"/>
            <w:sz w:val="24"/>
            <w:szCs w:val="24"/>
          </w:rPr>
          <w:id w:val="928391782"/>
          <w:citation/>
        </w:sdtPr>
        <w:sdtContent>
          <w:r w:rsidR="00A96566" w:rsidRPr="00714BD5">
            <w:rPr>
              <w:rFonts w:asciiTheme="majorBidi" w:hAnsiTheme="majorBidi" w:cstheme="majorBidi"/>
              <w:sz w:val="24"/>
              <w:szCs w:val="24"/>
            </w:rPr>
            <w:fldChar w:fldCharType="begin"/>
          </w:r>
          <w:r w:rsidR="00A96566" w:rsidRPr="00714BD5">
            <w:rPr>
              <w:rFonts w:asciiTheme="majorBidi" w:hAnsiTheme="majorBidi" w:cstheme="majorBidi"/>
              <w:sz w:val="24"/>
              <w:szCs w:val="24"/>
            </w:rPr>
            <w:instrText xml:space="preserve">CITATION Yeo19 \t  \l 2057 </w:instrText>
          </w:r>
          <w:r w:rsidR="00A96566" w:rsidRPr="00714BD5">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(Kim, Park, &amp; Kim, 2019)</w:t>
          </w:r>
          <w:r w:rsidR="00A96566" w:rsidRPr="00714BD5">
            <w:rPr>
              <w:rFonts w:asciiTheme="majorBidi" w:hAnsiTheme="majorBidi" w:cstheme="majorBidi"/>
              <w:sz w:val="24"/>
              <w:szCs w:val="24"/>
            </w:rPr>
            <w:fldChar w:fldCharType="end"/>
          </w:r>
        </w:sdtContent>
      </w:sdt>
      <w:r w:rsidR="00A96566">
        <w:rPr>
          <w:rFonts w:asciiTheme="majorBidi" w:hAnsiTheme="majorBidi" w:cstheme="majorBidi"/>
          <w:sz w:val="24"/>
          <w:szCs w:val="24"/>
        </w:rPr>
        <w:t>.</w:t>
      </w:r>
    </w:p>
    <w:p w14:paraId="5BCCD9DA" w14:textId="5A9300AC" w:rsidR="00460517" w:rsidRDefault="00A96566" w:rsidP="001A6A8D">
      <w:pPr>
        <w:adjustRightInd w:val="0"/>
        <w:spacing w:after="0" w:line="480" w:lineRule="auto"/>
        <w:ind w:firstLine="720"/>
        <w:jc w:val="lowKashida"/>
        <w:rPr>
          <w:rFonts w:asciiTheme="majorBidi" w:hAnsiTheme="majorBidi" w:cstheme="majorBidi"/>
          <w:sz w:val="24"/>
          <w:szCs w:val="24"/>
        </w:rPr>
      </w:pPr>
      <w:r>
        <w:rPr>
          <w:rFonts w:asciiTheme="majorBidi" w:hAnsiTheme="majorBidi" w:cstheme="majorBidi"/>
          <w:sz w:val="24"/>
          <w:szCs w:val="24"/>
        </w:rPr>
        <w:t>This study compare</w:t>
      </w:r>
      <w:r w:rsidR="002F5AA4">
        <w:rPr>
          <w:rFonts w:asciiTheme="majorBidi" w:hAnsiTheme="majorBidi" w:cstheme="majorBidi"/>
          <w:sz w:val="24"/>
          <w:szCs w:val="24"/>
        </w:rPr>
        <w:t>s</w:t>
      </w:r>
      <w:r w:rsidR="00861991">
        <w:rPr>
          <w:rFonts w:asciiTheme="majorBidi" w:hAnsiTheme="majorBidi" w:cstheme="majorBidi"/>
          <w:sz w:val="24"/>
          <w:szCs w:val="24"/>
        </w:rPr>
        <w:t xml:space="preserve"> </w:t>
      </w:r>
      <w:r>
        <w:rPr>
          <w:rFonts w:asciiTheme="majorBidi" w:hAnsiTheme="majorBidi" w:cstheme="majorBidi"/>
          <w:sz w:val="24"/>
          <w:szCs w:val="24"/>
        </w:rPr>
        <w:t xml:space="preserve">the </w:t>
      </w:r>
      <w:r w:rsidR="00621FBB">
        <w:rPr>
          <w:rFonts w:asciiTheme="majorBidi" w:hAnsiTheme="majorBidi" w:cstheme="majorBidi"/>
          <w:sz w:val="24"/>
          <w:szCs w:val="24"/>
        </w:rPr>
        <w:t>impact</w:t>
      </w:r>
      <w:r>
        <w:rPr>
          <w:rFonts w:asciiTheme="majorBidi" w:hAnsiTheme="majorBidi" w:cstheme="majorBidi"/>
          <w:sz w:val="24"/>
          <w:szCs w:val="24"/>
        </w:rPr>
        <w:t xml:space="preserve"> of CSR communication to the effects of non-CSR communication. While CSR communication provides the company with plenty of benefits as discussed above, non-CSR communication, as referred to in </w:t>
      </w:r>
      <w:r w:rsidR="00861991">
        <w:rPr>
          <w:rFonts w:asciiTheme="majorBidi" w:hAnsiTheme="majorBidi" w:cstheme="majorBidi"/>
          <w:sz w:val="24"/>
          <w:szCs w:val="24"/>
        </w:rPr>
        <w:t xml:space="preserve">the </w:t>
      </w:r>
      <w:r>
        <w:rPr>
          <w:rFonts w:asciiTheme="majorBidi" w:hAnsiTheme="majorBidi" w:cstheme="majorBidi"/>
          <w:sz w:val="24"/>
          <w:szCs w:val="24"/>
        </w:rPr>
        <w:t xml:space="preserve">literature, has substantial benefits as well. The main highlight or advantage of non-CSR communication is that the message is focused on </w:t>
      </w:r>
      <w:r w:rsidRPr="00E60DA5">
        <w:rPr>
          <w:rFonts w:asciiTheme="majorBidi" w:hAnsiTheme="majorBidi" w:cstheme="majorBidi"/>
          <w:sz w:val="24"/>
          <w:szCs w:val="24"/>
        </w:rPr>
        <w:t>the functions and benefits of the products</w:t>
      </w:r>
      <w:sdt>
        <w:sdtPr>
          <w:rPr>
            <w:rFonts w:asciiTheme="majorBidi" w:hAnsiTheme="majorBidi" w:cstheme="majorBidi"/>
            <w:sz w:val="24"/>
            <w:szCs w:val="24"/>
          </w:rPr>
          <w:id w:val="1523357337"/>
          <w:citation/>
        </w:sdtPr>
        <w:sdtContent>
          <w:r>
            <w:rPr>
              <w:rFonts w:asciiTheme="majorBidi" w:hAnsiTheme="majorBidi" w:cstheme="majorBidi"/>
              <w:sz w:val="24"/>
              <w:szCs w:val="24"/>
            </w:rPr>
            <w:fldChar w:fldCharType="begin"/>
          </w:r>
          <w:r w:rsidR="00621FBB">
            <w:rPr>
              <w:rFonts w:asciiTheme="majorBidi" w:hAnsiTheme="majorBidi" w:cstheme="majorBidi"/>
              <w:sz w:val="24"/>
              <w:szCs w:val="24"/>
            </w:rPr>
            <w:instrText xml:space="preserve">CITATION AlB23 \t  \l 2057 </w:instrText>
          </w:r>
          <w:r>
            <w:rPr>
              <w:rFonts w:asciiTheme="majorBidi" w:hAnsiTheme="majorBidi" w:cstheme="majorBidi"/>
              <w:sz w:val="24"/>
              <w:szCs w:val="24"/>
            </w:rPr>
            <w:fldChar w:fldCharType="separate"/>
          </w:r>
          <w:r w:rsidR="00621FBB">
            <w:rPr>
              <w:rFonts w:asciiTheme="majorBidi" w:hAnsiTheme="majorBidi" w:cstheme="majorBidi"/>
              <w:noProof/>
              <w:sz w:val="24"/>
              <w:szCs w:val="24"/>
            </w:rPr>
            <w:t xml:space="preserve"> </w:t>
          </w:r>
          <w:r w:rsidR="00621FBB" w:rsidRPr="00621FBB">
            <w:rPr>
              <w:rFonts w:asciiTheme="majorBidi" w:hAnsiTheme="majorBidi" w:cstheme="majorBidi"/>
              <w:noProof/>
              <w:sz w:val="24"/>
              <w:szCs w:val="24"/>
            </w:rPr>
            <w:t>(Al Bara, Affandi, Farid, &amp; Marzuki,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There is evidence in </w:t>
      </w:r>
      <w:r w:rsidR="00861991">
        <w:rPr>
          <w:rFonts w:asciiTheme="majorBidi" w:hAnsiTheme="majorBidi" w:cstheme="majorBidi"/>
          <w:sz w:val="24"/>
          <w:szCs w:val="24"/>
        </w:rPr>
        <w:t xml:space="preserve">the </w:t>
      </w:r>
      <w:r>
        <w:rPr>
          <w:rFonts w:asciiTheme="majorBidi" w:hAnsiTheme="majorBidi" w:cstheme="majorBidi"/>
          <w:sz w:val="24"/>
          <w:szCs w:val="24"/>
        </w:rPr>
        <w:t xml:space="preserve">literature that the information that consumers obtain from advertising may trigger consumers’ curiosity which will lead to </w:t>
      </w:r>
      <w:r w:rsidRPr="00E60DA5">
        <w:rPr>
          <w:rFonts w:asciiTheme="majorBidi" w:hAnsiTheme="majorBidi" w:cstheme="majorBidi"/>
          <w:sz w:val="24"/>
          <w:szCs w:val="24"/>
        </w:rPr>
        <w:t>purchase intention</w:t>
      </w:r>
      <w:sdt>
        <w:sdtPr>
          <w:rPr>
            <w:rFonts w:asciiTheme="majorBidi" w:hAnsiTheme="majorBidi" w:cstheme="majorBidi"/>
            <w:sz w:val="24"/>
            <w:szCs w:val="24"/>
          </w:rPr>
          <w:id w:val="468482283"/>
          <w:citation/>
        </w:sdtPr>
        <w:sdtContent>
          <w:r w:rsidRPr="00E60DA5">
            <w:rPr>
              <w:rFonts w:asciiTheme="majorBidi" w:hAnsiTheme="majorBidi" w:cstheme="majorBidi"/>
              <w:sz w:val="24"/>
              <w:szCs w:val="24"/>
            </w:rPr>
            <w:fldChar w:fldCharType="begin"/>
          </w:r>
          <w:r w:rsidRPr="00E60DA5">
            <w:rPr>
              <w:rFonts w:asciiTheme="majorBidi" w:hAnsiTheme="majorBidi" w:cstheme="majorBidi"/>
              <w:sz w:val="24"/>
              <w:szCs w:val="24"/>
            </w:rPr>
            <w:instrText xml:space="preserve"> CITATION Hil16 \l 2057  \m Wri18</w:instrText>
          </w:r>
          <w:r w:rsidRPr="00E60DA5">
            <w:rPr>
              <w:rFonts w:asciiTheme="majorBidi" w:hAnsiTheme="majorBidi" w:cstheme="majorBidi"/>
              <w:sz w:val="24"/>
              <w:szCs w:val="24"/>
            </w:rPr>
            <w:fldChar w:fldCharType="separate"/>
          </w:r>
          <w:r w:rsidRPr="00E60DA5">
            <w:rPr>
              <w:rFonts w:asciiTheme="majorBidi" w:hAnsiTheme="majorBidi" w:cstheme="majorBidi"/>
              <w:noProof/>
              <w:sz w:val="24"/>
              <w:szCs w:val="24"/>
            </w:rPr>
            <w:t xml:space="preserve"> (Hill, Fombelle, &amp; Sirianni, 2016; Wright, Clarkson, &amp; Kardes , 2018)</w:t>
          </w:r>
          <w:r w:rsidRPr="00E60DA5">
            <w:rPr>
              <w:rFonts w:asciiTheme="majorBidi" w:hAnsiTheme="majorBidi" w:cstheme="majorBidi"/>
              <w:sz w:val="24"/>
              <w:szCs w:val="24"/>
            </w:rPr>
            <w:fldChar w:fldCharType="end"/>
          </w:r>
        </w:sdtContent>
      </w:sdt>
      <w:r w:rsidRPr="00E60DA5">
        <w:rPr>
          <w:rFonts w:asciiTheme="majorBidi" w:hAnsiTheme="majorBidi" w:cstheme="majorBidi"/>
          <w:sz w:val="24"/>
          <w:szCs w:val="24"/>
        </w:rPr>
        <w:t>. Additionally, the frequency</w:t>
      </w:r>
      <w:r>
        <w:rPr>
          <w:rFonts w:asciiTheme="majorBidi" w:hAnsiTheme="majorBidi" w:cstheme="majorBidi"/>
          <w:sz w:val="24"/>
          <w:szCs w:val="24"/>
        </w:rPr>
        <w:t xml:space="preserve"> of non-CSR advertising highlighting the brands’ functions and benefits has a positive effect on retaining the brands’ customers and blocking competition</w:t>
      </w:r>
      <w:sdt>
        <w:sdtPr>
          <w:rPr>
            <w:rFonts w:asciiTheme="majorBidi" w:hAnsiTheme="majorBidi" w:cstheme="majorBidi"/>
            <w:sz w:val="24"/>
            <w:szCs w:val="24"/>
          </w:rPr>
          <w:id w:val="-124995812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Ede08 \l 2057  \m Sta12</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(Edeling &amp; Fischer, 2016; Stahl, Heitmann, Lehmann, &amp; Neslin, 2012)</w:t>
          </w:r>
          <w:r>
            <w:rPr>
              <w:rFonts w:asciiTheme="majorBidi" w:hAnsiTheme="majorBidi" w:cstheme="majorBidi"/>
              <w:sz w:val="24"/>
              <w:szCs w:val="24"/>
            </w:rPr>
            <w:fldChar w:fldCharType="end"/>
          </w:r>
        </w:sdtContent>
      </w:sdt>
      <w:r>
        <w:rPr>
          <w:rFonts w:asciiTheme="majorBidi" w:hAnsiTheme="majorBidi" w:cstheme="majorBidi"/>
          <w:sz w:val="24"/>
          <w:szCs w:val="24"/>
        </w:rPr>
        <w:t>.</w:t>
      </w:r>
      <w:r w:rsidR="004763B3">
        <w:rPr>
          <w:rFonts w:asciiTheme="majorBidi" w:hAnsiTheme="majorBidi" w:cstheme="majorBidi"/>
          <w:sz w:val="24"/>
          <w:szCs w:val="24"/>
        </w:rPr>
        <w:t xml:space="preserve"> Clearly, both communication strategies have positive impact on consumers. Thus, it is necessary to examine if CSR communication has an impact on FMCG consumers in Egypt and if there is a difference in impact between CSR and non-CSR communication. </w:t>
      </w:r>
      <w:r>
        <w:rPr>
          <w:rFonts w:asciiTheme="majorBidi" w:hAnsiTheme="majorBidi" w:cstheme="majorBidi"/>
          <w:sz w:val="24"/>
          <w:szCs w:val="24"/>
        </w:rPr>
        <w:t>Below is a table that summari</w:t>
      </w:r>
      <w:r w:rsidR="001A6A8D">
        <w:rPr>
          <w:rFonts w:asciiTheme="majorBidi" w:hAnsiTheme="majorBidi" w:cstheme="majorBidi"/>
          <w:sz w:val="24"/>
          <w:szCs w:val="24"/>
        </w:rPr>
        <w:t>s</w:t>
      </w:r>
      <w:r>
        <w:rPr>
          <w:rFonts w:asciiTheme="majorBidi" w:hAnsiTheme="majorBidi" w:cstheme="majorBidi"/>
          <w:sz w:val="24"/>
          <w:szCs w:val="24"/>
        </w:rPr>
        <w:t>es some of the most important benefits of CSR and non-CSR communication.</w:t>
      </w:r>
    </w:p>
    <w:p w14:paraId="004462E8" w14:textId="2E7529C0" w:rsidR="00A96566" w:rsidRPr="00F22281" w:rsidRDefault="00460517" w:rsidP="00460517">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8959" w:type="dxa"/>
        <w:tblInd w:w="250" w:type="dxa"/>
        <w:tblLook w:val="04A0" w:firstRow="1" w:lastRow="0" w:firstColumn="1" w:lastColumn="0" w:noHBand="0" w:noVBand="1"/>
      </w:tblPr>
      <w:tblGrid>
        <w:gridCol w:w="1559"/>
        <w:gridCol w:w="2694"/>
        <w:gridCol w:w="1559"/>
        <w:gridCol w:w="3147"/>
      </w:tblGrid>
      <w:tr w:rsidR="00A96566" w:rsidRPr="00151ABA" w14:paraId="22D13587" w14:textId="77777777" w:rsidTr="00460517">
        <w:trPr>
          <w:trHeight w:val="176"/>
        </w:trPr>
        <w:tc>
          <w:tcPr>
            <w:tcW w:w="4253" w:type="dxa"/>
            <w:gridSpan w:val="2"/>
          </w:tcPr>
          <w:p w14:paraId="5CCE6499" w14:textId="77777777" w:rsidR="00A96566" w:rsidRPr="00151ABA" w:rsidRDefault="00A96566" w:rsidP="00953448">
            <w:pPr>
              <w:jc w:val="center"/>
              <w:rPr>
                <w:rFonts w:asciiTheme="majorBidi" w:hAnsiTheme="majorBidi" w:cstheme="majorBidi"/>
                <w:sz w:val="20"/>
                <w:szCs w:val="20"/>
              </w:rPr>
            </w:pPr>
            <w:bookmarkStart w:id="21" w:name="_Hlk94041146"/>
            <w:r w:rsidRPr="00151ABA">
              <w:rPr>
                <w:rFonts w:asciiTheme="majorBidi" w:hAnsiTheme="majorBidi" w:cstheme="majorBidi"/>
                <w:sz w:val="20"/>
                <w:szCs w:val="20"/>
              </w:rPr>
              <w:t>CSR Communication</w:t>
            </w:r>
          </w:p>
        </w:tc>
        <w:tc>
          <w:tcPr>
            <w:tcW w:w="4706" w:type="dxa"/>
            <w:gridSpan w:val="2"/>
          </w:tcPr>
          <w:p w14:paraId="74F62AB4" w14:textId="77777777" w:rsidR="00A96566" w:rsidRPr="00151ABA" w:rsidRDefault="00A96566" w:rsidP="00953448">
            <w:pPr>
              <w:jc w:val="center"/>
              <w:rPr>
                <w:rFonts w:asciiTheme="majorBidi" w:hAnsiTheme="majorBidi" w:cstheme="majorBidi"/>
                <w:sz w:val="20"/>
                <w:szCs w:val="20"/>
              </w:rPr>
            </w:pPr>
            <w:r w:rsidRPr="00151ABA">
              <w:rPr>
                <w:rFonts w:asciiTheme="majorBidi" w:hAnsiTheme="majorBidi" w:cstheme="majorBidi"/>
                <w:sz w:val="20"/>
                <w:szCs w:val="20"/>
              </w:rPr>
              <w:t>Non-CSR Communication</w:t>
            </w:r>
          </w:p>
        </w:tc>
      </w:tr>
      <w:tr w:rsidR="00A96566" w:rsidRPr="00151ABA" w14:paraId="7F0A4409" w14:textId="77777777" w:rsidTr="00460517">
        <w:trPr>
          <w:trHeight w:val="170"/>
        </w:trPr>
        <w:tc>
          <w:tcPr>
            <w:tcW w:w="1559" w:type="dxa"/>
          </w:tcPr>
          <w:p w14:paraId="4EFF3284" w14:textId="77777777" w:rsidR="00A96566" w:rsidRPr="00151ABA" w:rsidRDefault="00A96566" w:rsidP="00953448">
            <w:pPr>
              <w:jc w:val="center"/>
              <w:rPr>
                <w:rFonts w:asciiTheme="majorBidi" w:hAnsiTheme="majorBidi" w:cstheme="majorBidi"/>
                <w:sz w:val="20"/>
                <w:szCs w:val="20"/>
              </w:rPr>
            </w:pPr>
            <w:r w:rsidRPr="00151ABA">
              <w:rPr>
                <w:rFonts w:asciiTheme="majorBidi" w:hAnsiTheme="majorBidi" w:cstheme="majorBidi"/>
                <w:sz w:val="20"/>
                <w:szCs w:val="20"/>
              </w:rPr>
              <w:t>Benefit</w:t>
            </w:r>
          </w:p>
        </w:tc>
        <w:tc>
          <w:tcPr>
            <w:tcW w:w="2694" w:type="dxa"/>
          </w:tcPr>
          <w:p w14:paraId="2F41CDD1" w14:textId="77777777" w:rsidR="00A96566" w:rsidRPr="00151ABA" w:rsidRDefault="00A96566" w:rsidP="00953448">
            <w:pPr>
              <w:jc w:val="center"/>
              <w:rPr>
                <w:rFonts w:asciiTheme="majorBidi" w:hAnsiTheme="majorBidi" w:cstheme="majorBidi"/>
                <w:sz w:val="20"/>
                <w:szCs w:val="20"/>
              </w:rPr>
            </w:pPr>
            <w:r w:rsidRPr="00151ABA">
              <w:rPr>
                <w:rFonts w:asciiTheme="majorBidi" w:hAnsiTheme="majorBidi" w:cstheme="majorBidi"/>
                <w:sz w:val="20"/>
                <w:szCs w:val="20"/>
              </w:rPr>
              <w:t>Source</w:t>
            </w:r>
          </w:p>
        </w:tc>
        <w:tc>
          <w:tcPr>
            <w:tcW w:w="1559" w:type="dxa"/>
          </w:tcPr>
          <w:p w14:paraId="0A8198EE" w14:textId="77777777" w:rsidR="00A96566" w:rsidRPr="00151ABA" w:rsidRDefault="00A96566" w:rsidP="00953448">
            <w:pPr>
              <w:jc w:val="center"/>
              <w:rPr>
                <w:rFonts w:asciiTheme="majorBidi" w:hAnsiTheme="majorBidi" w:cstheme="majorBidi"/>
                <w:sz w:val="20"/>
                <w:szCs w:val="20"/>
              </w:rPr>
            </w:pPr>
            <w:r w:rsidRPr="00151ABA">
              <w:rPr>
                <w:rFonts w:asciiTheme="majorBidi" w:hAnsiTheme="majorBidi" w:cstheme="majorBidi"/>
                <w:sz w:val="20"/>
                <w:szCs w:val="20"/>
              </w:rPr>
              <w:t>Benefit</w:t>
            </w:r>
          </w:p>
        </w:tc>
        <w:tc>
          <w:tcPr>
            <w:tcW w:w="3147" w:type="dxa"/>
          </w:tcPr>
          <w:p w14:paraId="28D4994F" w14:textId="77777777" w:rsidR="00A96566" w:rsidRPr="00151ABA" w:rsidRDefault="00A96566" w:rsidP="00953448">
            <w:pPr>
              <w:jc w:val="center"/>
              <w:rPr>
                <w:rFonts w:asciiTheme="majorBidi" w:hAnsiTheme="majorBidi" w:cstheme="majorBidi"/>
                <w:sz w:val="20"/>
                <w:szCs w:val="20"/>
              </w:rPr>
            </w:pPr>
            <w:r w:rsidRPr="00151ABA">
              <w:rPr>
                <w:rFonts w:asciiTheme="majorBidi" w:hAnsiTheme="majorBidi" w:cstheme="majorBidi"/>
                <w:sz w:val="20"/>
                <w:szCs w:val="20"/>
              </w:rPr>
              <w:t>Source</w:t>
            </w:r>
          </w:p>
        </w:tc>
      </w:tr>
      <w:tr w:rsidR="00A96566" w:rsidRPr="00151ABA" w14:paraId="5DC21D1F" w14:textId="77777777" w:rsidTr="00460517">
        <w:trPr>
          <w:trHeight w:val="960"/>
        </w:trPr>
        <w:tc>
          <w:tcPr>
            <w:tcW w:w="1559" w:type="dxa"/>
          </w:tcPr>
          <w:p w14:paraId="47E11364"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Gaining Legitimacy </w:t>
            </w:r>
            <w:r w:rsidRPr="00151ABA">
              <w:rPr>
                <w:rFonts w:asciiTheme="majorBidi" w:hAnsiTheme="majorBidi" w:cstheme="majorBidi"/>
                <w:sz w:val="20"/>
                <w:szCs w:val="20"/>
              </w:rPr>
              <w:br/>
            </w:r>
          </w:p>
          <w:p w14:paraId="20B1C290" w14:textId="77777777" w:rsidR="00A96566" w:rsidRPr="00151ABA" w:rsidRDefault="00A96566" w:rsidP="00953448">
            <w:pPr>
              <w:rPr>
                <w:rFonts w:asciiTheme="majorBidi" w:hAnsiTheme="majorBidi" w:cstheme="majorBidi"/>
                <w:sz w:val="20"/>
                <w:szCs w:val="20"/>
              </w:rPr>
            </w:pPr>
          </w:p>
        </w:tc>
        <w:tc>
          <w:tcPr>
            <w:tcW w:w="2694" w:type="dxa"/>
          </w:tcPr>
          <w:p w14:paraId="5E81E2FB"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26227677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Bac16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(Bachmann &amp; Ingenhoff, 2016)</w:t>
                </w:r>
                <w:r w:rsidR="00A96566" w:rsidRPr="00151ABA">
                  <w:rPr>
                    <w:rFonts w:asciiTheme="majorBidi" w:hAnsiTheme="majorBidi" w:cstheme="majorBidi"/>
                    <w:sz w:val="20"/>
                    <w:szCs w:val="20"/>
                  </w:rPr>
                  <w:fldChar w:fldCharType="end"/>
                </w:r>
              </w:sdtContent>
            </w:sdt>
          </w:p>
          <w:p w14:paraId="37ED9AC4"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760979319"/>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Dan20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(Dang, Nguyen, &amp; Pervan, 2020)</w:t>
                </w:r>
                <w:r w:rsidR="00A96566" w:rsidRPr="00151ABA">
                  <w:rPr>
                    <w:rFonts w:asciiTheme="majorBidi" w:hAnsiTheme="majorBidi" w:cstheme="majorBidi"/>
                    <w:sz w:val="20"/>
                    <w:szCs w:val="20"/>
                  </w:rPr>
                  <w:fldChar w:fldCharType="end"/>
                </w:r>
              </w:sdtContent>
            </w:sdt>
            <w:r w:rsidR="00A96566" w:rsidRPr="00151ABA">
              <w:rPr>
                <w:rFonts w:asciiTheme="majorBidi" w:hAnsiTheme="majorBidi" w:cstheme="majorBidi"/>
                <w:sz w:val="20"/>
                <w:szCs w:val="20"/>
                <w:lang w:val="sv-SE"/>
              </w:rPr>
              <w:br/>
            </w:r>
            <w:sdt>
              <w:sdtPr>
                <w:rPr>
                  <w:rFonts w:asciiTheme="majorBidi" w:hAnsiTheme="majorBidi" w:cstheme="majorBidi"/>
                  <w:sz w:val="20"/>
                  <w:szCs w:val="20"/>
                </w:rPr>
                <w:id w:val="-2052148160"/>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Dod18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(Dodd M. , 2018)</w:t>
                </w:r>
                <w:r w:rsidR="00A96566" w:rsidRPr="00151ABA">
                  <w:rPr>
                    <w:rFonts w:asciiTheme="majorBidi" w:hAnsiTheme="majorBidi" w:cstheme="majorBidi"/>
                    <w:sz w:val="20"/>
                    <w:szCs w:val="20"/>
                  </w:rPr>
                  <w:fldChar w:fldCharType="end"/>
                </w:r>
              </w:sdtContent>
            </w:sdt>
          </w:p>
          <w:p w14:paraId="3157140A" w14:textId="5DC9AD5F"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204756266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CITATION Jam18 \t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(Jamali &amp; Karam, 2018)</w:t>
                </w:r>
                <w:r w:rsidR="00A96566" w:rsidRPr="00151ABA">
                  <w:rPr>
                    <w:rFonts w:asciiTheme="majorBidi" w:hAnsiTheme="majorBidi" w:cstheme="majorBidi"/>
                    <w:sz w:val="20"/>
                    <w:szCs w:val="20"/>
                  </w:rPr>
                  <w:fldChar w:fldCharType="end"/>
                </w:r>
              </w:sdtContent>
            </w:sdt>
            <w:r w:rsidR="00A96566" w:rsidRPr="00151ABA">
              <w:rPr>
                <w:rFonts w:asciiTheme="majorBidi" w:hAnsiTheme="majorBidi" w:cstheme="majorBidi"/>
                <w:sz w:val="20"/>
                <w:szCs w:val="20"/>
                <w:lang w:val="sv-SE"/>
              </w:rPr>
              <w:br/>
            </w:r>
            <w:sdt>
              <w:sdtPr>
                <w:rPr>
                  <w:rFonts w:asciiTheme="majorBidi" w:hAnsiTheme="majorBidi" w:cstheme="majorBidi"/>
                  <w:sz w:val="20"/>
                  <w:szCs w:val="20"/>
                </w:rPr>
                <w:id w:val="-1248340482"/>
                <w:citation/>
              </w:sdtPr>
              <w:sdtContent>
                <w:r w:rsidR="00A96566" w:rsidRPr="00151ABA">
                  <w:rPr>
                    <w:rFonts w:asciiTheme="majorBidi" w:hAnsiTheme="majorBidi" w:cstheme="majorBidi"/>
                    <w:sz w:val="20"/>
                    <w:szCs w:val="20"/>
                  </w:rPr>
                  <w:fldChar w:fldCharType="begin"/>
                </w:r>
                <w:r w:rsidR="00754487" w:rsidRPr="00151ABA">
                  <w:rPr>
                    <w:rFonts w:asciiTheme="majorBidi" w:hAnsiTheme="majorBidi" w:cstheme="majorBidi"/>
                    <w:sz w:val="20"/>
                    <w:szCs w:val="20"/>
                    <w:lang w:val="sv-SE"/>
                  </w:rPr>
                  <w:instrText xml:space="preserve">CITATION Loc19 \t  \l 2057 </w:instrText>
                </w:r>
                <w:r w:rsidR="00A96566" w:rsidRPr="00151ABA">
                  <w:rPr>
                    <w:rFonts w:asciiTheme="majorBidi" w:hAnsiTheme="majorBidi" w:cstheme="majorBidi"/>
                    <w:sz w:val="20"/>
                    <w:szCs w:val="20"/>
                  </w:rPr>
                  <w:fldChar w:fldCharType="separate"/>
                </w:r>
                <w:r w:rsidR="00754487" w:rsidRPr="00151ABA">
                  <w:rPr>
                    <w:rFonts w:asciiTheme="majorBidi" w:hAnsiTheme="majorBidi" w:cstheme="majorBidi"/>
                    <w:noProof/>
                    <w:kern w:val="2"/>
                    <w:sz w:val="20"/>
                    <w:szCs w:val="20"/>
                    <w:lang w:val="sv-SE"/>
                  </w:rPr>
                  <w:t>(Lock &amp; Schulz-Knappe , 2019)</w:t>
                </w:r>
                <w:r w:rsidR="00A96566" w:rsidRPr="00151ABA">
                  <w:rPr>
                    <w:rFonts w:asciiTheme="majorBidi" w:hAnsiTheme="majorBidi" w:cstheme="majorBidi"/>
                    <w:sz w:val="20"/>
                    <w:szCs w:val="20"/>
                  </w:rPr>
                  <w:fldChar w:fldCharType="end"/>
                </w:r>
              </w:sdtContent>
            </w:sdt>
          </w:p>
        </w:tc>
        <w:tc>
          <w:tcPr>
            <w:tcW w:w="1559" w:type="dxa"/>
          </w:tcPr>
          <w:p w14:paraId="74A89E5E"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Awareness of product features and benefits</w:t>
            </w:r>
          </w:p>
        </w:tc>
        <w:tc>
          <w:tcPr>
            <w:tcW w:w="3147" w:type="dxa"/>
          </w:tcPr>
          <w:p w14:paraId="03D07B15"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37446579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Cul17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(Culley, 2017)</w:t>
                </w:r>
                <w:r w:rsidR="00A96566" w:rsidRPr="00151ABA">
                  <w:rPr>
                    <w:rFonts w:asciiTheme="majorBidi" w:hAnsiTheme="majorBidi" w:cstheme="majorBidi"/>
                    <w:sz w:val="20"/>
                    <w:szCs w:val="20"/>
                  </w:rPr>
                  <w:fldChar w:fldCharType="end"/>
                </w:r>
              </w:sdtContent>
            </w:sdt>
          </w:p>
          <w:bookmarkStart w:id="22" w:name="_Hlk144301231"/>
          <w:p w14:paraId="700E7CB7"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525930813"/>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Nai21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(Nair, 2021)</w:t>
                </w:r>
                <w:r w:rsidR="00A96566" w:rsidRPr="00151ABA">
                  <w:rPr>
                    <w:rFonts w:asciiTheme="majorBidi" w:hAnsiTheme="majorBidi" w:cstheme="majorBidi"/>
                    <w:sz w:val="20"/>
                    <w:szCs w:val="20"/>
                  </w:rPr>
                  <w:fldChar w:fldCharType="end"/>
                </w:r>
              </w:sdtContent>
            </w:sdt>
          </w:p>
          <w:bookmarkEnd w:id="22"/>
          <w:p w14:paraId="76D35923"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48004256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Per19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(Perumal &amp; Ragul, 2019)</w:t>
                </w:r>
                <w:r w:rsidR="00A96566" w:rsidRPr="00151ABA">
                  <w:rPr>
                    <w:rFonts w:asciiTheme="majorBidi" w:hAnsiTheme="majorBidi" w:cstheme="majorBidi"/>
                    <w:sz w:val="20"/>
                    <w:szCs w:val="20"/>
                  </w:rPr>
                  <w:fldChar w:fldCharType="end"/>
                </w:r>
              </w:sdtContent>
            </w:sdt>
          </w:p>
          <w:p w14:paraId="250F79D8"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92187273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Wei01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(Weinberg, 2001)</w:t>
                </w:r>
                <w:r w:rsidR="00A96566" w:rsidRPr="00151ABA">
                  <w:rPr>
                    <w:rFonts w:asciiTheme="majorBidi" w:hAnsiTheme="majorBidi" w:cstheme="majorBidi"/>
                    <w:sz w:val="20"/>
                    <w:szCs w:val="20"/>
                  </w:rPr>
                  <w:fldChar w:fldCharType="end"/>
                </w:r>
              </w:sdtContent>
            </w:sdt>
          </w:p>
        </w:tc>
      </w:tr>
      <w:tr w:rsidR="00A96566" w:rsidRPr="00151ABA" w14:paraId="03812195" w14:textId="77777777" w:rsidTr="00460517">
        <w:trPr>
          <w:trHeight w:val="1447"/>
        </w:trPr>
        <w:tc>
          <w:tcPr>
            <w:tcW w:w="1559" w:type="dxa"/>
          </w:tcPr>
          <w:p w14:paraId="7AE41D4D"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Positive Public perception of the company </w:t>
            </w:r>
          </w:p>
        </w:tc>
        <w:tc>
          <w:tcPr>
            <w:tcW w:w="2694" w:type="dxa"/>
          </w:tcPr>
          <w:p w14:paraId="1C451A85" w14:textId="16EC7B0A"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792358938"/>
                <w:citation/>
              </w:sdtPr>
              <w:sdtContent>
                <w:r w:rsidR="00A96566" w:rsidRPr="00151ABA">
                  <w:rPr>
                    <w:rFonts w:asciiTheme="majorBidi" w:hAnsiTheme="majorBidi" w:cstheme="majorBidi"/>
                    <w:sz w:val="20"/>
                    <w:szCs w:val="20"/>
                  </w:rPr>
                  <w:fldChar w:fldCharType="begin"/>
                </w:r>
                <w:r w:rsidR="00754487" w:rsidRPr="00151ABA">
                  <w:rPr>
                    <w:rFonts w:asciiTheme="majorBidi" w:hAnsiTheme="majorBidi" w:cstheme="majorBidi"/>
                    <w:sz w:val="20"/>
                    <w:szCs w:val="20"/>
                    <w:lang w:val="sv-SE"/>
                  </w:rPr>
                  <w:instrText xml:space="preserve">CITATION DuS10 \t  \l 2057 </w:instrText>
                </w:r>
                <w:r w:rsidR="00A96566" w:rsidRPr="00151ABA">
                  <w:rPr>
                    <w:rFonts w:asciiTheme="majorBidi" w:hAnsiTheme="majorBidi" w:cstheme="majorBidi"/>
                    <w:sz w:val="20"/>
                    <w:szCs w:val="20"/>
                  </w:rPr>
                  <w:fldChar w:fldCharType="separate"/>
                </w:r>
                <w:r w:rsidR="00754487" w:rsidRPr="00151ABA">
                  <w:rPr>
                    <w:rFonts w:asciiTheme="majorBidi" w:hAnsiTheme="majorBidi" w:cstheme="majorBidi"/>
                    <w:noProof/>
                    <w:kern w:val="2"/>
                    <w:sz w:val="20"/>
                    <w:szCs w:val="20"/>
                    <w:lang w:val="sv-SE"/>
                  </w:rPr>
                  <w:t>(Du, Bhattacharya, &amp; Sen, 2010)</w:t>
                </w:r>
                <w:r w:rsidR="00A96566" w:rsidRPr="00151ABA">
                  <w:rPr>
                    <w:rFonts w:asciiTheme="majorBidi" w:hAnsiTheme="majorBidi" w:cstheme="majorBidi"/>
                    <w:sz w:val="20"/>
                    <w:szCs w:val="20"/>
                  </w:rPr>
                  <w:fldChar w:fldCharType="end"/>
                </w:r>
              </w:sdtContent>
            </w:sdt>
          </w:p>
          <w:p w14:paraId="22172A6C"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43055100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CITATION Ell06 \t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(Ellen, Webb, &amp; Mohr , 2006)</w:t>
                </w:r>
                <w:r w:rsidR="00A96566" w:rsidRPr="00151ABA">
                  <w:rPr>
                    <w:rFonts w:asciiTheme="majorBidi" w:hAnsiTheme="majorBidi" w:cstheme="majorBidi"/>
                    <w:sz w:val="20"/>
                    <w:szCs w:val="20"/>
                  </w:rPr>
                  <w:fldChar w:fldCharType="end"/>
                </w:r>
              </w:sdtContent>
            </w:sdt>
          </w:p>
          <w:p w14:paraId="6DC33D5C"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870030144"/>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Gal10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(Gallbreath, 2010)</w:t>
                </w:r>
                <w:r w:rsidR="00A96566" w:rsidRPr="00151ABA">
                  <w:rPr>
                    <w:rFonts w:asciiTheme="majorBidi" w:hAnsiTheme="majorBidi" w:cstheme="majorBidi"/>
                    <w:sz w:val="20"/>
                    <w:szCs w:val="20"/>
                  </w:rPr>
                  <w:fldChar w:fldCharType="end"/>
                </w:r>
              </w:sdtContent>
            </w:sdt>
          </w:p>
          <w:p w14:paraId="7615E13D" w14:textId="0938F24C"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936019115"/>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Jur17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(Jurietti, Mandelli, &amp; Fudurić, 2017)</w:t>
                </w:r>
                <w:r w:rsidR="00A96566" w:rsidRPr="00151ABA">
                  <w:rPr>
                    <w:rFonts w:asciiTheme="majorBidi" w:hAnsiTheme="majorBidi" w:cstheme="majorBidi"/>
                    <w:sz w:val="20"/>
                    <w:szCs w:val="20"/>
                  </w:rPr>
                  <w:fldChar w:fldCharType="end"/>
                </w:r>
              </w:sdtContent>
            </w:sdt>
            <w:r w:rsidR="00A96566" w:rsidRPr="00151ABA">
              <w:rPr>
                <w:rFonts w:asciiTheme="majorBidi" w:hAnsiTheme="majorBidi" w:cstheme="majorBidi"/>
                <w:sz w:val="20"/>
                <w:szCs w:val="20"/>
                <w:lang w:val="sv-SE"/>
              </w:rPr>
              <w:br/>
            </w:r>
            <w:sdt>
              <w:sdtPr>
                <w:rPr>
                  <w:rFonts w:asciiTheme="majorBidi" w:hAnsiTheme="majorBidi" w:cstheme="majorBidi"/>
                  <w:sz w:val="20"/>
                  <w:szCs w:val="20"/>
                </w:rPr>
                <w:id w:val="104864971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CITATION Yeo19 \t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(Kim, Park, &amp; Kim, 2019)</w:t>
                </w:r>
                <w:r w:rsidR="00A96566" w:rsidRPr="00151ABA">
                  <w:rPr>
                    <w:rFonts w:asciiTheme="majorBidi" w:hAnsiTheme="majorBidi" w:cstheme="majorBidi"/>
                    <w:sz w:val="20"/>
                    <w:szCs w:val="20"/>
                  </w:rPr>
                  <w:fldChar w:fldCharType="end"/>
                </w:r>
              </w:sdtContent>
            </w:sdt>
            <w:r w:rsidR="00A96566" w:rsidRPr="00151ABA">
              <w:rPr>
                <w:rFonts w:asciiTheme="majorBidi" w:hAnsiTheme="majorBidi" w:cstheme="majorBidi"/>
                <w:sz w:val="20"/>
                <w:szCs w:val="20"/>
                <w:lang w:val="sv-SE"/>
              </w:rPr>
              <w:br/>
            </w:r>
            <w:sdt>
              <w:sdtPr>
                <w:rPr>
                  <w:rFonts w:asciiTheme="majorBidi" w:hAnsiTheme="majorBidi" w:cstheme="majorBidi"/>
                  <w:sz w:val="20"/>
                  <w:szCs w:val="20"/>
                </w:rPr>
                <w:id w:val="420379525"/>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Mar21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(Marakova, Wolak-Tuzimek, &amp; Tuckova , 2021)</w:t>
                </w:r>
                <w:r w:rsidR="00A96566" w:rsidRPr="00151ABA">
                  <w:rPr>
                    <w:rFonts w:asciiTheme="majorBidi" w:hAnsiTheme="majorBidi" w:cstheme="majorBidi"/>
                    <w:sz w:val="20"/>
                    <w:szCs w:val="20"/>
                  </w:rPr>
                  <w:fldChar w:fldCharType="end"/>
                </w:r>
              </w:sdtContent>
            </w:sdt>
          </w:p>
          <w:p w14:paraId="406ED3E0" w14:textId="43F3F094" w:rsidR="00A96566" w:rsidRPr="00041AC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634537607"/>
                <w:citation/>
              </w:sdtPr>
              <w:sdtContent>
                <w:r w:rsidR="00A96566" w:rsidRPr="00151ABA">
                  <w:rPr>
                    <w:rFonts w:asciiTheme="majorBidi" w:hAnsiTheme="majorBidi" w:cstheme="majorBidi"/>
                    <w:sz w:val="20"/>
                    <w:szCs w:val="20"/>
                  </w:rPr>
                  <w:fldChar w:fldCharType="begin"/>
                </w:r>
                <w:r w:rsidR="00E60DA5" w:rsidRPr="00041ACA">
                  <w:rPr>
                    <w:rFonts w:asciiTheme="majorBidi" w:hAnsiTheme="majorBidi" w:cstheme="majorBidi"/>
                    <w:sz w:val="20"/>
                    <w:szCs w:val="20"/>
                    <w:lang w:val="sv-SE"/>
                  </w:rPr>
                  <w:instrText xml:space="preserve">CITATION Rim18 \t  \l 2057 </w:instrText>
                </w:r>
                <w:r w:rsidR="00A96566" w:rsidRPr="00151ABA">
                  <w:rPr>
                    <w:rFonts w:asciiTheme="majorBidi" w:hAnsiTheme="majorBidi" w:cstheme="majorBidi"/>
                    <w:sz w:val="20"/>
                    <w:szCs w:val="20"/>
                  </w:rPr>
                  <w:fldChar w:fldCharType="separate"/>
                </w:r>
                <w:r w:rsidR="00E60DA5" w:rsidRPr="00041ACA">
                  <w:rPr>
                    <w:rFonts w:asciiTheme="majorBidi" w:hAnsiTheme="majorBidi" w:cstheme="majorBidi"/>
                    <w:noProof/>
                    <w:sz w:val="20"/>
                    <w:szCs w:val="20"/>
                    <w:lang w:val="sv-SE"/>
                  </w:rPr>
                  <w:t>(Rim, Park, &amp; Song, 2018)</w:t>
                </w:r>
                <w:r w:rsidR="00A96566" w:rsidRPr="00151ABA">
                  <w:rPr>
                    <w:rFonts w:asciiTheme="majorBidi" w:hAnsiTheme="majorBidi" w:cstheme="majorBidi"/>
                    <w:sz w:val="20"/>
                    <w:szCs w:val="20"/>
                  </w:rPr>
                  <w:fldChar w:fldCharType="end"/>
                </w:r>
              </w:sdtContent>
            </w:sdt>
          </w:p>
          <w:p w14:paraId="76C315CF" w14:textId="77777777" w:rsidR="00A96566" w:rsidRPr="00041AC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465857906"/>
                <w:citation/>
              </w:sdtPr>
              <w:sdtContent>
                <w:r w:rsidR="00A96566" w:rsidRPr="00151ABA">
                  <w:rPr>
                    <w:rFonts w:asciiTheme="majorBidi" w:hAnsiTheme="majorBidi" w:cstheme="majorBidi"/>
                    <w:sz w:val="20"/>
                    <w:szCs w:val="20"/>
                  </w:rPr>
                  <w:fldChar w:fldCharType="begin"/>
                </w:r>
                <w:r w:rsidR="00A96566" w:rsidRPr="00041ACA">
                  <w:rPr>
                    <w:rFonts w:asciiTheme="majorBidi" w:hAnsiTheme="majorBidi" w:cstheme="majorBidi"/>
                    <w:sz w:val="20"/>
                    <w:szCs w:val="20"/>
                    <w:lang w:val="sv-SE"/>
                  </w:rPr>
                  <w:instrText xml:space="preserve"> CITATION Vet19 \l 2057 </w:instrText>
                </w:r>
                <w:r w:rsidR="00A96566" w:rsidRPr="00151ABA">
                  <w:rPr>
                    <w:rFonts w:asciiTheme="majorBidi" w:hAnsiTheme="majorBidi" w:cstheme="majorBidi"/>
                    <w:sz w:val="20"/>
                    <w:szCs w:val="20"/>
                  </w:rPr>
                  <w:fldChar w:fldCharType="separate"/>
                </w:r>
                <w:r w:rsidR="00A96566" w:rsidRPr="00041ACA">
                  <w:rPr>
                    <w:rFonts w:asciiTheme="majorBidi" w:hAnsiTheme="majorBidi" w:cstheme="majorBidi"/>
                    <w:noProof/>
                    <w:sz w:val="20"/>
                    <w:szCs w:val="20"/>
                    <w:lang w:val="sv-SE"/>
                  </w:rPr>
                  <w:t>(Vethirajan &amp; Ramu, 2019)</w:t>
                </w:r>
                <w:r w:rsidR="00A96566" w:rsidRPr="00151ABA">
                  <w:rPr>
                    <w:rFonts w:asciiTheme="majorBidi" w:hAnsiTheme="majorBidi" w:cstheme="majorBidi"/>
                    <w:sz w:val="20"/>
                    <w:szCs w:val="20"/>
                  </w:rPr>
                  <w:fldChar w:fldCharType="end"/>
                </w:r>
              </w:sdtContent>
            </w:sdt>
          </w:p>
        </w:tc>
        <w:tc>
          <w:tcPr>
            <w:tcW w:w="1559" w:type="dxa"/>
          </w:tcPr>
          <w:p w14:paraId="35289372"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Increase firm value and company’s stock price</w:t>
            </w:r>
          </w:p>
        </w:tc>
        <w:tc>
          <w:tcPr>
            <w:tcW w:w="3147" w:type="dxa"/>
          </w:tcPr>
          <w:p w14:paraId="70AD4FF5"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215044969"/>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Fos09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(Fosfuri &amp; Giarratana, 2009)</w:t>
                </w:r>
                <w:r w:rsidR="00A96566" w:rsidRPr="00151ABA">
                  <w:rPr>
                    <w:rFonts w:asciiTheme="majorBidi" w:hAnsiTheme="majorBidi" w:cstheme="majorBidi"/>
                    <w:sz w:val="20"/>
                    <w:szCs w:val="20"/>
                  </w:rPr>
                  <w:fldChar w:fldCharType="end"/>
                </w:r>
              </w:sdtContent>
            </w:sdt>
          </w:p>
          <w:p w14:paraId="43E15826"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777833219"/>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Han05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(Hanssens, Leeflang, &amp; Wittink, 2005)</w:t>
                </w:r>
                <w:r w:rsidR="00A96566" w:rsidRPr="00151ABA">
                  <w:rPr>
                    <w:rFonts w:asciiTheme="majorBidi" w:hAnsiTheme="majorBidi" w:cstheme="majorBidi"/>
                    <w:sz w:val="20"/>
                    <w:szCs w:val="20"/>
                  </w:rPr>
                  <w:fldChar w:fldCharType="end"/>
                </w:r>
              </w:sdtContent>
            </w:sdt>
          </w:p>
          <w:p w14:paraId="36FF843E"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981909521"/>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CITATION Jos10 \t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(Joshi &amp; Hanssens, 2010)</w:t>
                </w:r>
                <w:r w:rsidR="00A96566" w:rsidRPr="00151ABA">
                  <w:rPr>
                    <w:rFonts w:asciiTheme="majorBidi" w:hAnsiTheme="majorBidi" w:cstheme="majorBidi"/>
                    <w:sz w:val="20"/>
                    <w:szCs w:val="20"/>
                  </w:rPr>
                  <w:fldChar w:fldCharType="end"/>
                </w:r>
              </w:sdtContent>
            </w:sdt>
          </w:p>
        </w:tc>
      </w:tr>
      <w:tr w:rsidR="00A96566" w:rsidRPr="00151ABA" w14:paraId="6DCBB205" w14:textId="77777777" w:rsidTr="00460517">
        <w:trPr>
          <w:trHeight w:val="1334"/>
        </w:trPr>
        <w:tc>
          <w:tcPr>
            <w:tcW w:w="1559" w:type="dxa"/>
          </w:tcPr>
          <w:p w14:paraId="0BF2098E"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Gaining Consumer Trust </w:t>
            </w:r>
          </w:p>
        </w:tc>
        <w:tc>
          <w:tcPr>
            <w:tcW w:w="2694" w:type="dxa"/>
          </w:tcPr>
          <w:p w14:paraId="5F653771"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167435435"/>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CHE15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(Chernev &amp; Blair, 2015)</w:t>
                </w:r>
                <w:r w:rsidR="00A96566" w:rsidRPr="00151ABA">
                  <w:rPr>
                    <w:rFonts w:asciiTheme="majorBidi" w:hAnsiTheme="majorBidi" w:cstheme="majorBidi"/>
                    <w:sz w:val="20"/>
                    <w:szCs w:val="20"/>
                  </w:rPr>
                  <w:fldChar w:fldCharType="end"/>
                </w:r>
              </w:sdtContent>
            </w:sdt>
          </w:p>
          <w:p w14:paraId="4FA0F636" w14:textId="59BF1FCF" w:rsidR="009F430F"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561332288"/>
                <w:citation/>
              </w:sdtPr>
              <w:sdtContent>
                <w:r w:rsidR="009F430F" w:rsidRPr="00151ABA">
                  <w:rPr>
                    <w:rFonts w:asciiTheme="majorBidi" w:hAnsiTheme="majorBidi" w:cstheme="majorBidi"/>
                    <w:sz w:val="20"/>
                    <w:szCs w:val="20"/>
                  </w:rPr>
                  <w:fldChar w:fldCharType="begin"/>
                </w:r>
                <w:r w:rsidR="009F430F" w:rsidRPr="00151ABA">
                  <w:rPr>
                    <w:rFonts w:asciiTheme="majorBidi" w:hAnsiTheme="majorBidi" w:cstheme="majorBidi"/>
                    <w:sz w:val="20"/>
                    <w:szCs w:val="20"/>
                  </w:rPr>
                  <w:instrText xml:space="preserve"> CITATION Chr21 \l 2057 </w:instrText>
                </w:r>
                <w:r w:rsidR="009F430F" w:rsidRPr="00151ABA">
                  <w:rPr>
                    <w:rFonts w:asciiTheme="majorBidi" w:hAnsiTheme="majorBidi" w:cstheme="majorBidi"/>
                    <w:sz w:val="20"/>
                    <w:szCs w:val="20"/>
                  </w:rPr>
                  <w:fldChar w:fldCharType="separate"/>
                </w:r>
                <w:r w:rsidR="009F430F" w:rsidRPr="00151ABA">
                  <w:rPr>
                    <w:rFonts w:asciiTheme="majorBidi" w:hAnsiTheme="majorBidi" w:cstheme="majorBidi"/>
                    <w:noProof/>
                    <w:sz w:val="20"/>
                    <w:szCs w:val="20"/>
                  </w:rPr>
                  <w:t>(Christis &amp; Wang, 2021)</w:t>
                </w:r>
                <w:r w:rsidR="009F430F" w:rsidRPr="00151ABA">
                  <w:rPr>
                    <w:rFonts w:asciiTheme="majorBidi" w:hAnsiTheme="majorBidi" w:cstheme="majorBidi"/>
                    <w:sz w:val="20"/>
                    <w:szCs w:val="20"/>
                  </w:rPr>
                  <w:fldChar w:fldCharType="end"/>
                </w:r>
              </w:sdtContent>
            </w:sdt>
          </w:p>
          <w:p w14:paraId="490CE65B"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97555676"/>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GoE17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(Go &amp; Bortree, 2017)</w:t>
                </w:r>
                <w:r w:rsidR="00A96566" w:rsidRPr="00151ABA">
                  <w:rPr>
                    <w:rFonts w:asciiTheme="majorBidi" w:hAnsiTheme="majorBidi" w:cstheme="majorBidi"/>
                    <w:sz w:val="20"/>
                    <w:szCs w:val="20"/>
                  </w:rPr>
                  <w:fldChar w:fldCharType="end"/>
                </w:r>
              </w:sdtContent>
            </w:sdt>
          </w:p>
          <w:p w14:paraId="0EEE1803"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2015303743"/>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Pet21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(Peterson, Minton, Liu, &amp; Bartholomew, 2021)</w:t>
                </w:r>
                <w:r w:rsidR="00A96566" w:rsidRPr="00151ABA">
                  <w:rPr>
                    <w:rFonts w:asciiTheme="majorBidi" w:hAnsiTheme="majorBidi" w:cstheme="majorBidi"/>
                    <w:sz w:val="20"/>
                    <w:szCs w:val="20"/>
                  </w:rPr>
                  <w:fldChar w:fldCharType="end"/>
                </w:r>
              </w:sdtContent>
            </w:sdt>
          </w:p>
          <w:p w14:paraId="5F1BF498" w14:textId="450597FD" w:rsidR="00A96566" w:rsidRPr="00EA0069" w:rsidRDefault="00000000" w:rsidP="00953448">
            <w:pPr>
              <w:rPr>
                <w:rFonts w:asciiTheme="majorBidi" w:hAnsiTheme="majorBidi" w:cstheme="majorBidi"/>
                <w:sz w:val="20"/>
                <w:szCs w:val="20"/>
              </w:rPr>
            </w:pPr>
            <w:sdt>
              <w:sdtPr>
                <w:rPr>
                  <w:rFonts w:asciiTheme="majorBidi" w:hAnsiTheme="majorBidi" w:cstheme="majorBidi"/>
                  <w:sz w:val="20"/>
                  <w:szCs w:val="20"/>
                </w:rPr>
                <w:id w:val="1826168799"/>
                <w:citation/>
              </w:sdtPr>
              <w:sdtContent>
                <w:r w:rsidR="00A96566" w:rsidRPr="00151ABA">
                  <w:rPr>
                    <w:rFonts w:asciiTheme="majorBidi" w:hAnsiTheme="majorBidi" w:cstheme="majorBidi"/>
                    <w:sz w:val="20"/>
                    <w:szCs w:val="20"/>
                  </w:rPr>
                  <w:fldChar w:fldCharType="begin"/>
                </w:r>
                <w:r w:rsidR="00A96566" w:rsidRPr="00EA0069">
                  <w:rPr>
                    <w:rFonts w:asciiTheme="majorBidi" w:hAnsiTheme="majorBidi" w:cstheme="majorBidi"/>
                    <w:sz w:val="20"/>
                    <w:szCs w:val="20"/>
                  </w:rPr>
                  <w:instrText xml:space="preserve"> CITATION Prz18 \l 2057 </w:instrText>
                </w:r>
                <w:r w:rsidR="00A96566" w:rsidRPr="00151ABA">
                  <w:rPr>
                    <w:rFonts w:asciiTheme="majorBidi" w:hAnsiTheme="majorBidi" w:cstheme="majorBidi"/>
                    <w:sz w:val="20"/>
                    <w:szCs w:val="20"/>
                  </w:rPr>
                  <w:fldChar w:fldCharType="separate"/>
                </w:r>
                <w:r w:rsidR="00A96566" w:rsidRPr="00EA0069">
                  <w:rPr>
                    <w:rFonts w:asciiTheme="majorBidi" w:hAnsiTheme="majorBidi" w:cstheme="majorBidi"/>
                    <w:noProof/>
                    <w:sz w:val="20"/>
                    <w:szCs w:val="20"/>
                  </w:rPr>
                  <w:t>(Przepiorka &amp; Horne, 2018)</w:t>
                </w:r>
                <w:r w:rsidR="00A96566" w:rsidRPr="00151ABA">
                  <w:rPr>
                    <w:rFonts w:asciiTheme="majorBidi" w:hAnsiTheme="majorBidi" w:cstheme="majorBidi"/>
                    <w:sz w:val="20"/>
                    <w:szCs w:val="20"/>
                  </w:rPr>
                  <w:fldChar w:fldCharType="end"/>
                </w:r>
              </w:sdtContent>
            </w:sdt>
          </w:p>
          <w:p w14:paraId="4E834C53" w14:textId="77777777" w:rsidR="00A96566" w:rsidRPr="00EA0069" w:rsidRDefault="00000000" w:rsidP="00953448">
            <w:pPr>
              <w:rPr>
                <w:rFonts w:asciiTheme="majorBidi" w:hAnsiTheme="majorBidi" w:cstheme="majorBidi"/>
                <w:sz w:val="20"/>
                <w:szCs w:val="20"/>
              </w:rPr>
            </w:pPr>
            <w:sdt>
              <w:sdtPr>
                <w:rPr>
                  <w:rFonts w:asciiTheme="majorBidi" w:hAnsiTheme="majorBidi" w:cstheme="majorBidi"/>
                  <w:sz w:val="20"/>
                  <w:szCs w:val="20"/>
                </w:rPr>
                <w:id w:val="-833602935"/>
                <w:citation/>
              </w:sdtPr>
              <w:sdtContent>
                <w:r w:rsidR="00A96566" w:rsidRPr="00151ABA">
                  <w:rPr>
                    <w:rFonts w:asciiTheme="majorBidi" w:hAnsiTheme="majorBidi" w:cstheme="majorBidi"/>
                    <w:sz w:val="20"/>
                    <w:szCs w:val="20"/>
                  </w:rPr>
                  <w:fldChar w:fldCharType="begin"/>
                </w:r>
                <w:r w:rsidR="00A96566" w:rsidRPr="00EA0069">
                  <w:rPr>
                    <w:rFonts w:asciiTheme="majorBidi" w:hAnsiTheme="majorBidi" w:cstheme="majorBidi"/>
                    <w:sz w:val="20"/>
                    <w:szCs w:val="20"/>
                  </w:rPr>
                  <w:instrText xml:space="preserve"> CITATION Vla13 \l 2057 </w:instrText>
                </w:r>
                <w:r w:rsidR="00A96566" w:rsidRPr="00151ABA">
                  <w:rPr>
                    <w:rFonts w:asciiTheme="majorBidi" w:hAnsiTheme="majorBidi" w:cstheme="majorBidi"/>
                    <w:sz w:val="20"/>
                    <w:szCs w:val="20"/>
                  </w:rPr>
                  <w:fldChar w:fldCharType="separate"/>
                </w:r>
                <w:r w:rsidR="00A96566" w:rsidRPr="00EA0069">
                  <w:rPr>
                    <w:rFonts w:asciiTheme="majorBidi" w:hAnsiTheme="majorBidi" w:cstheme="majorBidi"/>
                    <w:noProof/>
                    <w:sz w:val="20"/>
                    <w:szCs w:val="20"/>
                  </w:rPr>
                  <w:t>( Vlachos, Krepapa, Panagopoulos, &amp; Tsamakos, 2013)</w:t>
                </w:r>
                <w:r w:rsidR="00A96566" w:rsidRPr="00151ABA">
                  <w:rPr>
                    <w:rFonts w:asciiTheme="majorBidi" w:hAnsiTheme="majorBidi" w:cstheme="majorBidi"/>
                    <w:sz w:val="20"/>
                    <w:szCs w:val="20"/>
                  </w:rPr>
                  <w:fldChar w:fldCharType="end"/>
                </w:r>
              </w:sdtContent>
            </w:sdt>
          </w:p>
        </w:tc>
        <w:tc>
          <w:tcPr>
            <w:tcW w:w="1559" w:type="dxa"/>
          </w:tcPr>
          <w:p w14:paraId="1E13F594"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Consumer loyalty and retention </w:t>
            </w:r>
          </w:p>
        </w:tc>
        <w:tc>
          <w:tcPr>
            <w:tcW w:w="3147" w:type="dxa"/>
          </w:tcPr>
          <w:p w14:paraId="7EC0F80B" w14:textId="77777777" w:rsidR="00A96566" w:rsidRPr="00151ABA" w:rsidRDefault="00000000" w:rsidP="00953448">
            <w:pPr>
              <w:adjustRightInd w:val="0"/>
              <w:rPr>
                <w:rFonts w:asciiTheme="majorBidi" w:hAnsiTheme="majorBidi" w:cstheme="majorBidi"/>
                <w:sz w:val="20"/>
                <w:szCs w:val="20"/>
              </w:rPr>
            </w:pPr>
            <w:sdt>
              <w:sdtPr>
                <w:rPr>
                  <w:rFonts w:asciiTheme="majorBidi" w:hAnsiTheme="majorBidi" w:cstheme="majorBidi"/>
                  <w:sz w:val="20"/>
                  <w:szCs w:val="20"/>
                </w:rPr>
                <w:id w:val="212086286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Bas17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(Bassano, Gaeta, Piciocchi, &amp; Spohrer, 2017)</w:t>
                </w:r>
                <w:r w:rsidR="00A96566" w:rsidRPr="00151ABA">
                  <w:rPr>
                    <w:rFonts w:asciiTheme="majorBidi" w:hAnsiTheme="majorBidi" w:cstheme="majorBidi"/>
                    <w:sz w:val="20"/>
                    <w:szCs w:val="20"/>
                  </w:rPr>
                  <w:fldChar w:fldCharType="end"/>
                </w:r>
              </w:sdtContent>
            </w:sdt>
          </w:p>
          <w:p w14:paraId="4BF8B090" w14:textId="77777777" w:rsidR="00A96566" w:rsidRPr="00151ABA" w:rsidRDefault="00000000" w:rsidP="00953448">
            <w:pPr>
              <w:adjustRightInd w:val="0"/>
              <w:rPr>
                <w:rFonts w:asciiTheme="majorBidi" w:hAnsiTheme="majorBidi" w:cstheme="majorBidi"/>
                <w:sz w:val="20"/>
                <w:szCs w:val="20"/>
              </w:rPr>
            </w:pPr>
            <w:sdt>
              <w:sdtPr>
                <w:rPr>
                  <w:rFonts w:asciiTheme="majorBidi" w:hAnsiTheme="majorBidi" w:cstheme="majorBidi"/>
                  <w:sz w:val="20"/>
                  <w:szCs w:val="20"/>
                </w:rPr>
                <w:id w:val="-207173233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Bru20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(Bruce, Becker, &amp; Reinartz, 2020)</w:t>
                </w:r>
                <w:r w:rsidR="00A96566" w:rsidRPr="00151ABA">
                  <w:rPr>
                    <w:rFonts w:asciiTheme="majorBidi" w:hAnsiTheme="majorBidi" w:cstheme="majorBidi"/>
                    <w:sz w:val="20"/>
                    <w:szCs w:val="20"/>
                  </w:rPr>
                  <w:fldChar w:fldCharType="end"/>
                </w:r>
              </w:sdtContent>
            </w:sdt>
          </w:p>
          <w:p w14:paraId="1E9A53D0" w14:textId="77777777" w:rsidR="00A96566" w:rsidRPr="00151ABA" w:rsidRDefault="00000000" w:rsidP="00953448">
            <w:pPr>
              <w:adjustRightInd w:val="0"/>
              <w:rPr>
                <w:rFonts w:asciiTheme="majorBidi" w:hAnsiTheme="majorBidi" w:cstheme="majorBidi"/>
                <w:sz w:val="20"/>
                <w:szCs w:val="20"/>
              </w:rPr>
            </w:pPr>
            <w:sdt>
              <w:sdtPr>
                <w:rPr>
                  <w:rFonts w:asciiTheme="majorBidi" w:hAnsiTheme="majorBidi" w:cstheme="majorBidi"/>
                  <w:sz w:val="20"/>
                  <w:szCs w:val="20"/>
                </w:rPr>
                <w:id w:val="-1014990068"/>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Cul17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(Culley, 2017)</w:t>
                </w:r>
                <w:r w:rsidR="00A96566" w:rsidRPr="00151ABA">
                  <w:rPr>
                    <w:rFonts w:asciiTheme="majorBidi" w:hAnsiTheme="majorBidi" w:cstheme="majorBidi"/>
                    <w:sz w:val="20"/>
                    <w:szCs w:val="20"/>
                  </w:rPr>
                  <w:fldChar w:fldCharType="end"/>
                </w:r>
              </w:sdtContent>
            </w:sdt>
          </w:p>
          <w:p w14:paraId="218E21B0"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7831267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Ede08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(Edeling &amp; Fischer, 2016)</w:t>
                </w:r>
                <w:r w:rsidR="00A96566" w:rsidRPr="00151ABA">
                  <w:rPr>
                    <w:rFonts w:asciiTheme="majorBidi" w:hAnsiTheme="majorBidi" w:cstheme="majorBidi"/>
                    <w:sz w:val="20"/>
                    <w:szCs w:val="20"/>
                  </w:rPr>
                  <w:fldChar w:fldCharType="end"/>
                </w:r>
              </w:sdtContent>
            </w:sdt>
          </w:p>
          <w:p w14:paraId="64AF2F95" w14:textId="77777777" w:rsidR="00A96566" w:rsidRPr="00151ABA" w:rsidRDefault="00000000" w:rsidP="00953448">
            <w:pPr>
              <w:adjustRightInd w:val="0"/>
              <w:rPr>
                <w:rFonts w:asciiTheme="majorBidi" w:hAnsiTheme="majorBidi" w:cstheme="majorBidi"/>
                <w:sz w:val="20"/>
                <w:szCs w:val="20"/>
              </w:rPr>
            </w:pPr>
            <w:sdt>
              <w:sdtPr>
                <w:rPr>
                  <w:rFonts w:asciiTheme="majorBidi" w:hAnsiTheme="majorBidi" w:cstheme="majorBidi"/>
                  <w:sz w:val="20"/>
                  <w:szCs w:val="20"/>
                </w:rPr>
                <w:id w:val="587426381"/>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Ree17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(Reeves, 2017)</w:t>
                </w:r>
                <w:r w:rsidR="00A96566" w:rsidRPr="00151ABA">
                  <w:rPr>
                    <w:rFonts w:asciiTheme="majorBidi" w:hAnsiTheme="majorBidi" w:cstheme="majorBidi"/>
                    <w:sz w:val="20"/>
                    <w:szCs w:val="20"/>
                  </w:rPr>
                  <w:fldChar w:fldCharType="end"/>
                </w:r>
              </w:sdtContent>
            </w:sdt>
          </w:p>
          <w:p w14:paraId="2FC14E62" w14:textId="77777777" w:rsidR="00A96566" w:rsidRPr="00151ABA" w:rsidRDefault="00000000" w:rsidP="00953448">
            <w:pPr>
              <w:adjustRightInd w:val="0"/>
              <w:rPr>
                <w:rFonts w:asciiTheme="majorBidi" w:hAnsiTheme="majorBidi" w:cstheme="majorBidi"/>
                <w:sz w:val="20"/>
                <w:szCs w:val="20"/>
              </w:rPr>
            </w:pPr>
            <w:sdt>
              <w:sdtPr>
                <w:rPr>
                  <w:rFonts w:asciiTheme="majorBidi" w:hAnsiTheme="majorBidi" w:cstheme="majorBidi"/>
                  <w:sz w:val="20"/>
                  <w:szCs w:val="20"/>
                </w:rPr>
                <w:id w:val="-866911273"/>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Sta12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(Stahl, Heitmann, Lehmann, &amp; Neslin, 2012)</w:t>
                </w:r>
                <w:r w:rsidR="00A96566" w:rsidRPr="00151ABA">
                  <w:rPr>
                    <w:rFonts w:asciiTheme="majorBidi" w:hAnsiTheme="majorBidi" w:cstheme="majorBidi"/>
                    <w:sz w:val="20"/>
                    <w:szCs w:val="20"/>
                  </w:rPr>
                  <w:fldChar w:fldCharType="end"/>
                </w:r>
              </w:sdtContent>
            </w:sdt>
          </w:p>
          <w:p w14:paraId="25E8C49E" w14:textId="77777777" w:rsidR="00A96566" w:rsidRPr="00151ABA" w:rsidRDefault="00000000" w:rsidP="00953448">
            <w:pPr>
              <w:adjustRightInd w:val="0"/>
              <w:rPr>
                <w:rFonts w:asciiTheme="majorBidi" w:hAnsiTheme="majorBidi" w:cstheme="majorBidi"/>
                <w:sz w:val="20"/>
                <w:szCs w:val="20"/>
              </w:rPr>
            </w:pPr>
            <w:sdt>
              <w:sdtPr>
                <w:rPr>
                  <w:rFonts w:asciiTheme="majorBidi" w:hAnsiTheme="majorBidi" w:cstheme="majorBidi"/>
                  <w:sz w:val="20"/>
                  <w:szCs w:val="20"/>
                </w:rPr>
                <w:id w:val="-1034649015"/>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Zha19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(Zhang &amp; He, 2019)</w:t>
                </w:r>
                <w:r w:rsidR="00A96566" w:rsidRPr="00151ABA">
                  <w:rPr>
                    <w:rFonts w:asciiTheme="majorBidi" w:hAnsiTheme="majorBidi" w:cstheme="majorBidi"/>
                    <w:sz w:val="20"/>
                    <w:szCs w:val="20"/>
                  </w:rPr>
                  <w:fldChar w:fldCharType="end"/>
                </w:r>
              </w:sdtContent>
            </w:sdt>
          </w:p>
        </w:tc>
      </w:tr>
      <w:tr w:rsidR="00A96566" w:rsidRPr="00151ABA" w14:paraId="22CE54D0" w14:textId="77777777" w:rsidTr="00460517">
        <w:trPr>
          <w:trHeight w:val="841"/>
        </w:trPr>
        <w:tc>
          <w:tcPr>
            <w:tcW w:w="1559" w:type="dxa"/>
          </w:tcPr>
          <w:p w14:paraId="3A7954BD"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Positive word of mouth </w:t>
            </w:r>
          </w:p>
        </w:tc>
        <w:tc>
          <w:tcPr>
            <w:tcW w:w="2694" w:type="dxa"/>
          </w:tcPr>
          <w:p w14:paraId="5BB4B84A"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990720490"/>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Cra16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(Crane &amp; Glozer, 2016)</w:t>
                </w:r>
                <w:r w:rsidR="00A96566" w:rsidRPr="00151ABA">
                  <w:rPr>
                    <w:rFonts w:asciiTheme="majorBidi" w:hAnsiTheme="majorBidi" w:cstheme="majorBidi"/>
                    <w:sz w:val="20"/>
                    <w:szCs w:val="20"/>
                  </w:rPr>
                  <w:fldChar w:fldCharType="end"/>
                </w:r>
              </w:sdtContent>
            </w:sdt>
            <w:r w:rsidR="00A96566" w:rsidRPr="00151ABA">
              <w:rPr>
                <w:rFonts w:asciiTheme="majorBidi" w:hAnsiTheme="majorBidi" w:cstheme="majorBidi"/>
                <w:sz w:val="20"/>
                <w:szCs w:val="20"/>
              </w:rPr>
              <w:br/>
            </w:r>
            <w:sdt>
              <w:sdtPr>
                <w:rPr>
                  <w:rFonts w:asciiTheme="majorBidi" w:hAnsiTheme="majorBidi" w:cstheme="majorBidi"/>
                  <w:sz w:val="20"/>
                  <w:szCs w:val="20"/>
                </w:rPr>
                <w:id w:val="12805381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Ove21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(Overton, Kim, Zhang, &amp; Huang, 2021)</w:t>
                </w:r>
                <w:r w:rsidR="00A96566" w:rsidRPr="00151ABA">
                  <w:rPr>
                    <w:rFonts w:asciiTheme="majorBidi" w:hAnsiTheme="majorBidi" w:cstheme="majorBidi"/>
                    <w:sz w:val="20"/>
                    <w:szCs w:val="20"/>
                  </w:rPr>
                  <w:fldChar w:fldCharType="end"/>
                </w:r>
              </w:sdtContent>
            </w:sdt>
          </w:p>
          <w:p w14:paraId="3F0EE2B9" w14:textId="4D5D9B11"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22638535"/>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WuL20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(Wu &amp; Overton, 2020)</w:t>
                </w:r>
                <w:r w:rsidR="00A96566" w:rsidRPr="00151ABA">
                  <w:rPr>
                    <w:rFonts w:asciiTheme="majorBidi" w:hAnsiTheme="majorBidi" w:cstheme="majorBidi"/>
                    <w:sz w:val="20"/>
                    <w:szCs w:val="20"/>
                  </w:rPr>
                  <w:fldChar w:fldCharType="end"/>
                </w:r>
              </w:sdtContent>
            </w:sdt>
            <w:r w:rsidR="00A96566" w:rsidRPr="00151ABA">
              <w:rPr>
                <w:rFonts w:asciiTheme="majorBidi" w:hAnsiTheme="majorBidi" w:cstheme="majorBidi"/>
                <w:sz w:val="20"/>
                <w:szCs w:val="20"/>
              </w:rPr>
              <w:br/>
            </w:r>
            <w:sdt>
              <w:sdtPr>
                <w:rPr>
                  <w:rFonts w:asciiTheme="majorBidi" w:hAnsiTheme="majorBidi" w:cstheme="majorBidi"/>
                  <w:sz w:val="20"/>
                  <w:szCs w:val="20"/>
                </w:rPr>
                <w:id w:val="-678894760"/>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Yoo18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 Yoo &amp; Lee, 2018)</w:t>
                </w:r>
                <w:r w:rsidR="00A96566" w:rsidRPr="00151ABA">
                  <w:rPr>
                    <w:rFonts w:asciiTheme="majorBidi" w:hAnsiTheme="majorBidi" w:cstheme="majorBidi"/>
                    <w:sz w:val="20"/>
                    <w:szCs w:val="20"/>
                  </w:rPr>
                  <w:fldChar w:fldCharType="end"/>
                </w:r>
              </w:sdtContent>
            </w:sdt>
          </w:p>
        </w:tc>
        <w:tc>
          <w:tcPr>
            <w:tcW w:w="1559" w:type="dxa"/>
          </w:tcPr>
          <w:p w14:paraId="391CA601"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Increase product trial </w:t>
            </w:r>
          </w:p>
        </w:tc>
        <w:tc>
          <w:tcPr>
            <w:tcW w:w="3147" w:type="dxa"/>
          </w:tcPr>
          <w:p w14:paraId="1B194331"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99475675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Cul17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(Culley, 2017)</w:t>
                </w:r>
                <w:r w:rsidR="00A96566" w:rsidRPr="00151ABA">
                  <w:rPr>
                    <w:rFonts w:asciiTheme="majorBidi" w:hAnsiTheme="majorBidi" w:cstheme="majorBidi"/>
                    <w:sz w:val="20"/>
                    <w:szCs w:val="20"/>
                  </w:rPr>
                  <w:fldChar w:fldCharType="end"/>
                </w:r>
              </w:sdtContent>
            </w:sdt>
          </w:p>
          <w:p w14:paraId="33336593"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2106924876"/>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Kem01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(Kempf &amp; Laczniak, 2001)</w:t>
                </w:r>
                <w:r w:rsidR="00A96566" w:rsidRPr="00151ABA">
                  <w:rPr>
                    <w:rFonts w:asciiTheme="majorBidi" w:hAnsiTheme="majorBidi" w:cstheme="majorBidi"/>
                    <w:sz w:val="20"/>
                    <w:szCs w:val="20"/>
                  </w:rPr>
                  <w:fldChar w:fldCharType="end"/>
                </w:r>
              </w:sdtContent>
            </w:sdt>
          </w:p>
          <w:p w14:paraId="55CC89C6"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480734464"/>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Smi15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(Smith, Bansal-Travers, O'Connor, Goniewicz, &amp; Hyland, 2015)</w:t>
                </w:r>
                <w:r w:rsidR="00A96566" w:rsidRPr="00151ABA">
                  <w:rPr>
                    <w:rFonts w:asciiTheme="majorBidi" w:hAnsiTheme="majorBidi" w:cstheme="majorBidi"/>
                    <w:sz w:val="20"/>
                    <w:szCs w:val="20"/>
                  </w:rPr>
                  <w:fldChar w:fldCharType="end"/>
                </w:r>
              </w:sdtContent>
            </w:sdt>
          </w:p>
        </w:tc>
      </w:tr>
      <w:tr w:rsidR="00A96566" w:rsidRPr="00151ABA" w14:paraId="6FEDFA2E" w14:textId="77777777" w:rsidTr="00460517">
        <w:trPr>
          <w:trHeight w:val="487"/>
        </w:trPr>
        <w:tc>
          <w:tcPr>
            <w:tcW w:w="1559" w:type="dxa"/>
          </w:tcPr>
          <w:p w14:paraId="609867E8"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Purchase Intention </w:t>
            </w:r>
          </w:p>
        </w:tc>
        <w:tc>
          <w:tcPr>
            <w:tcW w:w="2694" w:type="dxa"/>
          </w:tcPr>
          <w:p w14:paraId="51D71FE6" w14:textId="01CADAE3" w:rsidR="00A96566" w:rsidRPr="00EA0069" w:rsidRDefault="00000000" w:rsidP="00953448">
            <w:pPr>
              <w:rPr>
                <w:rFonts w:asciiTheme="majorBidi" w:hAnsiTheme="majorBidi" w:cstheme="majorBidi"/>
                <w:sz w:val="20"/>
                <w:szCs w:val="20"/>
                <w:lang w:val="pl-PL"/>
              </w:rPr>
            </w:pPr>
            <w:sdt>
              <w:sdtPr>
                <w:rPr>
                  <w:rFonts w:asciiTheme="majorBidi" w:hAnsiTheme="majorBidi" w:cstheme="majorBidi"/>
                  <w:sz w:val="20"/>
                  <w:szCs w:val="20"/>
                </w:rPr>
                <w:id w:val="-1953081724"/>
                <w:citation/>
              </w:sdtPr>
              <w:sdtContent>
                <w:r w:rsidR="00A96566" w:rsidRPr="00151ABA">
                  <w:rPr>
                    <w:rFonts w:asciiTheme="majorBidi" w:hAnsiTheme="majorBidi" w:cstheme="majorBidi"/>
                    <w:sz w:val="20"/>
                    <w:szCs w:val="20"/>
                  </w:rPr>
                  <w:fldChar w:fldCharType="begin"/>
                </w:r>
                <w:r w:rsidR="00A96566" w:rsidRPr="00EA0069">
                  <w:rPr>
                    <w:rFonts w:asciiTheme="majorBidi" w:hAnsiTheme="majorBidi" w:cstheme="majorBidi"/>
                    <w:sz w:val="20"/>
                    <w:szCs w:val="20"/>
                    <w:lang w:val="pl-PL"/>
                  </w:rPr>
                  <w:instrText xml:space="preserve">CITATION Yeo19 \t  \l 2057 </w:instrText>
                </w:r>
                <w:r w:rsidR="00A96566" w:rsidRPr="00151ABA">
                  <w:rPr>
                    <w:rFonts w:asciiTheme="majorBidi" w:hAnsiTheme="majorBidi" w:cstheme="majorBidi"/>
                    <w:sz w:val="20"/>
                    <w:szCs w:val="20"/>
                  </w:rPr>
                  <w:fldChar w:fldCharType="separate"/>
                </w:r>
                <w:r w:rsidR="00A96566" w:rsidRPr="00EA0069">
                  <w:rPr>
                    <w:rFonts w:asciiTheme="majorBidi" w:hAnsiTheme="majorBidi" w:cstheme="majorBidi"/>
                    <w:noProof/>
                    <w:sz w:val="20"/>
                    <w:szCs w:val="20"/>
                    <w:lang w:val="pl-PL"/>
                  </w:rPr>
                  <w:t>(Kim, Park, &amp; Kim, 2019)</w:t>
                </w:r>
                <w:r w:rsidR="00A96566" w:rsidRPr="00151ABA">
                  <w:rPr>
                    <w:rFonts w:asciiTheme="majorBidi" w:hAnsiTheme="majorBidi" w:cstheme="majorBidi"/>
                    <w:sz w:val="20"/>
                    <w:szCs w:val="20"/>
                  </w:rPr>
                  <w:fldChar w:fldCharType="end"/>
                </w:r>
              </w:sdtContent>
            </w:sdt>
            <w:r w:rsidR="00A96566" w:rsidRPr="00EA0069">
              <w:rPr>
                <w:rFonts w:asciiTheme="majorBidi" w:hAnsiTheme="majorBidi" w:cstheme="majorBidi"/>
                <w:sz w:val="20"/>
                <w:szCs w:val="20"/>
                <w:lang w:val="pl-PL"/>
              </w:rPr>
              <w:br/>
            </w:r>
            <w:sdt>
              <w:sdtPr>
                <w:rPr>
                  <w:rFonts w:asciiTheme="majorBidi" w:hAnsiTheme="majorBidi" w:cstheme="majorBidi"/>
                  <w:sz w:val="20"/>
                  <w:szCs w:val="20"/>
                </w:rPr>
                <w:id w:val="-2143256395"/>
                <w:citation/>
              </w:sdtPr>
              <w:sdtContent>
                <w:r w:rsidR="00A96566" w:rsidRPr="00151ABA">
                  <w:rPr>
                    <w:rFonts w:asciiTheme="majorBidi" w:hAnsiTheme="majorBidi" w:cstheme="majorBidi"/>
                    <w:sz w:val="20"/>
                    <w:szCs w:val="20"/>
                  </w:rPr>
                  <w:fldChar w:fldCharType="begin"/>
                </w:r>
                <w:r w:rsidR="00754487" w:rsidRPr="00EA0069">
                  <w:rPr>
                    <w:rFonts w:asciiTheme="majorBidi" w:hAnsiTheme="majorBidi" w:cstheme="majorBidi"/>
                    <w:sz w:val="20"/>
                    <w:szCs w:val="20"/>
                    <w:lang w:val="pl-PL"/>
                  </w:rPr>
                  <w:instrText xml:space="preserve">CITATION Wei18 \t  \l 2057 </w:instrText>
                </w:r>
                <w:r w:rsidR="00A96566" w:rsidRPr="00151ABA">
                  <w:rPr>
                    <w:rFonts w:asciiTheme="majorBidi" w:hAnsiTheme="majorBidi" w:cstheme="majorBidi"/>
                    <w:sz w:val="20"/>
                    <w:szCs w:val="20"/>
                  </w:rPr>
                  <w:fldChar w:fldCharType="separate"/>
                </w:r>
                <w:r w:rsidR="00754487" w:rsidRPr="00EA0069">
                  <w:rPr>
                    <w:rFonts w:asciiTheme="majorBidi" w:hAnsiTheme="majorBidi" w:cstheme="majorBidi"/>
                    <w:noProof/>
                    <w:sz w:val="20"/>
                    <w:szCs w:val="20"/>
                    <w:lang w:val="pl-PL"/>
                  </w:rPr>
                  <w:t>(Wei, Kim, Miao, Behnke, &amp; Almanza, 2018)</w:t>
                </w:r>
                <w:r w:rsidR="00A96566" w:rsidRPr="00151ABA">
                  <w:rPr>
                    <w:rFonts w:asciiTheme="majorBidi" w:hAnsiTheme="majorBidi" w:cstheme="majorBidi"/>
                    <w:sz w:val="20"/>
                    <w:szCs w:val="20"/>
                  </w:rPr>
                  <w:fldChar w:fldCharType="end"/>
                </w:r>
              </w:sdtContent>
            </w:sdt>
          </w:p>
        </w:tc>
        <w:tc>
          <w:tcPr>
            <w:tcW w:w="1559" w:type="dxa"/>
          </w:tcPr>
          <w:p w14:paraId="44EF949E"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Increase share of voice </w:t>
            </w:r>
          </w:p>
        </w:tc>
        <w:tc>
          <w:tcPr>
            <w:tcW w:w="3147" w:type="dxa"/>
          </w:tcPr>
          <w:p w14:paraId="362557FA"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26014853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Hil16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(Hill, Fombelle, &amp; Sirianni, 2016)</w:t>
                </w:r>
                <w:r w:rsidR="00A96566" w:rsidRPr="00151ABA">
                  <w:rPr>
                    <w:rFonts w:asciiTheme="majorBidi" w:hAnsiTheme="majorBidi" w:cstheme="majorBidi"/>
                    <w:sz w:val="20"/>
                    <w:szCs w:val="20"/>
                  </w:rPr>
                  <w:fldChar w:fldCharType="end"/>
                </w:r>
              </w:sdtContent>
            </w:sdt>
          </w:p>
          <w:p w14:paraId="51ACDED9"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888913339"/>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Wri18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(Wright, Clarkson, &amp; Kardes , 2018)</w:t>
                </w:r>
                <w:r w:rsidR="00A96566" w:rsidRPr="00151ABA">
                  <w:rPr>
                    <w:rFonts w:asciiTheme="majorBidi" w:hAnsiTheme="majorBidi" w:cstheme="majorBidi"/>
                    <w:sz w:val="20"/>
                    <w:szCs w:val="20"/>
                  </w:rPr>
                  <w:fldChar w:fldCharType="end"/>
                </w:r>
              </w:sdtContent>
            </w:sdt>
          </w:p>
        </w:tc>
      </w:tr>
      <w:tr w:rsidR="00A96566" w:rsidRPr="00151ABA" w14:paraId="24A1186E" w14:textId="77777777" w:rsidTr="00460517">
        <w:trPr>
          <w:trHeight w:val="958"/>
        </w:trPr>
        <w:tc>
          <w:tcPr>
            <w:tcW w:w="1559" w:type="dxa"/>
          </w:tcPr>
          <w:p w14:paraId="17A39E44"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Competitive Advantage </w:t>
            </w:r>
          </w:p>
        </w:tc>
        <w:bookmarkStart w:id="23" w:name="_Hlk146415026"/>
        <w:tc>
          <w:tcPr>
            <w:tcW w:w="2694" w:type="dxa"/>
          </w:tcPr>
          <w:p w14:paraId="7AFB4B60"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914226669"/>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Ass17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(Assaf, Josiassen, Ahn, &amp; Mattila, 2017)</w:t>
                </w:r>
                <w:r w:rsidR="00A96566" w:rsidRPr="00151ABA">
                  <w:rPr>
                    <w:rFonts w:asciiTheme="majorBidi" w:hAnsiTheme="majorBidi" w:cstheme="majorBidi"/>
                    <w:sz w:val="20"/>
                    <w:szCs w:val="20"/>
                  </w:rPr>
                  <w:fldChar w:fldCharType="end"/>
                </w:r>
              </w:sdtContent>
            </w:sdt>
            <w:r w:rsidR="00A96566" w:rsidRPr="00151ABA">
              <w:rPr>
                <w:rFonts w:asciiTheme="majorBidi" w:hAnsiTheme="majorBidi" w:cstheme="majorBidi"/>
                <w:sz w:val="20"/>
                <w:szCs w:val="20"/>
              </w:rPr>
              <w:br/>
            </w:r>
            <w:sdt>
              <w:sdtPr>
                <w:rPr>
                  <w:rFonts w:asciiTheme="majorBidi" w:hAnsiTheme="majorBidi" w:cstheme="majorBidi"/>
                  <w:sz w:val="20"/>
                  <w:szCs w:val="20"/>
                </w:rPr>
                <w:id w:val="-31302636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Bha04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 Bhattacharya &amp; Sen, 2004)</w:t>
                </w:r>
                <w:r w:rsidR="00A96566" w:rsidRPr="00151ABA">
                  <w:rPr>
                    <w:rFonts w:asciiTheme="majorBidi" w:hAnsiTheme="majorBidi" w:cstheme="majorBidi"/>
                    <w:sz w:val="20"/>
                    <w:szCs w:val="20"/>
                  </w:rPr>
                  <w:fldChar w:fldCharType="end"/>
                </w:r>
              </w:sdtContent>
            </w:sdt>
            <w:r w:rsidR="00A96566" w:rsidRPr="00151ABA">
              <w:rPr>
                <w:rFonts w:asciiTheme="majorBidi" w:hAnsiTheme="majorBidi" w:cstheme="majorBidi"/>
                <w:sz w:val="20"/>
                <w:szCs w:val="20"/>
              </w:rPr>
              <w:br/>
            </w:r>
            <w:sdt>
              <w:sdtPr>
                <w:rPr>
                  <w:rFonts w:asciiTheme="majorBidi" w:hAnsiTheme="majorBidi" w:cstheme="majorBidi"/>
                  <w:sz w:val="20"/>
                  <w:szCs w:val="20"/>
                </w:rPr>
                <w:id w:val="-147442794"/>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Hul08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(Hull &amp; Rothenberg, 2008)</w:t>
                </w:r>
                <w:r w:rsidR="00A96566" w:rsidRPr="00151ABA">
                  <w:rPr>
                    <w:rFonts w:asciiTheme="majorBidi" w:hAnsiTheme="majorBidi" w:cstheme="majorBidi"/>
                    <w:sz w:val="20"/>
                    <w:szCs w:val="20"/>
                  </w:rPr>
                  <w:fldChar w:fldCharType="end"/>
                </w:r>
              </w:sdtContent>
            </w:sdt>
          </w:p>
          <w:p w14:paraId="0D9E5F65" w14:textId="6D3AE832" w:rsidR="00A96566" w:rsidRPr="00151ABA" w:rsidRDefault="00000000" w:rsidP="00460517">
            <w:pPr>
              <w:rPr>
                <w:rFonts w:asciiTheme="majorBidi" w:hAnsiTheme="majorBidi" w:cstheme="majorBidi"/>
                <w:sz w:val="20"/>
                <w:szCs w:val="20"/>
              </w:rPr>
            </w:pPr>
            <w:sdt>
              <w:sdtPr>
                <w:rPr>
                  <w:rFonts w:asciiTheme="majorBidi" w:hAnsiTheme="majorBidi" w:cstheme="majorBidi"/>
                  <w:sz w:val="20"/>
                  <w:szCs w:val="20"/>
                </w:rPr>
                <w:id w:val="-1761663221"/>
                <w:citation/>
              </w:sdtPr>
              <w:sdtContent>
                <w:r w:rsidR="00A96566" w:rsidRPr="00151ABA">
                  <w:rPr>
                    <w:rFonts w:asciiTheme="majorBidi" w:hAnsiTheme="majorBidi" w:cstheme="majorBidi"/>
                    <w:sz w:val="20"/>
                    <w:szCs w:val="20"/>
                  </w:rPr>
                  <w:fldChar w:fldCharType="begin"/>
                </w:r>
                <w:r w:rsidR="00754487" w:rsidRPr="00151ABA">
                  <w:rPr>
                    <w:rFonts w:asciiTheme="majorBidi" w:hAnsiTheme="majorBidi" w:cstheme="majorBidi"/>
                    <w:sz w:val="20"/>
                    <w:szCs w:val="20"/>
                  </w:rPr>
                  <w:instrText xml:space="preserve">CITATION Kim17 \t  \l 2057 </w:instrText>
                </w:r>
                <w:r w:rsidR="00A96566" w:rsidRPr="00151ABA">
                  <w:rPr>
                    <w:rFonts w:asciiTheme="majorBidi" w:hAnsiTheme="majorBidi" w:cstheme="majorBidi"/>
                    <w:sz w:val="20"/>
                    <w:szCs w:val="20"/>
                  </w:rPr>
                  <w:fldChar w:fldCharType="separate"/>
                </w:r>
                <w:r w:rsidR="00754487" w:rsidRPr="00151ABA">
                  <w:rPr>
                    <w:rFonts w:asciiTheme="majorBidi" w:hAnsiTheme="majorBidi" w:cstheme="majorBidi"/>
                    <w:noProof/>
                    <w:kern w:val="2"/>
                    <w:sz w:val="20"/>
                    <w:szCs w:val="20"/>
                  </w:rPr>
                  <w:t>(Kim &amp; Ji, 2017)</w:t>
                </w:r>
                <w:r w:rsidR="00A96566" w:rsidRPr="00151ABA">
                  <w:rPr>
                    <w:rFonts w:asciiTheme="majorBidi" w:hAnsiTheme="majorBidi" w:cstheme="majorBidi"/>
                    <w:sz w:val="20"/>
                    <w:szCs w:val="20"/>
                  </w:rPr>
                  <w:fldChar w:fldCharType="end"/>
                </w:r>
              </w:sdtContent>
            </w:sdt>
            <w:bookmarkEnd w:id="23"/>
          </w:p>
        </w:tc>
        <w:tc>
          <w:tcPr>
            <w:tcW w:w="1559" w:type="dxa"/>
          </w:tcPr>
          <w:p w14:paraId="0FBE617D"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Increase purchase intention  </w:t>
            </w:r>
          </w:p>
        </w:tc>
        <w:tc>
          <w:tcPr>
            <w:tcW w:w="3147" w:type="dxa"/>
          </w:tcPr>
          <w:p w14:paraId="15AEA9F1"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75162296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Liu16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(Liu &amp; Zhang, 2016)</w:t>
                </w:r>
                <w:r w:rsidR="00A96566" w:rsidRPr="00151ABA">
                  <w:rPr>
                    <w:rFonts w:asciiTheme="majorBidi" w:hAnsiTheme="majorBidi" w:cstheme="majorBidi"/>
                    <w:sz w:val="20"/>
                    <w:szCs w:val="20"/>
                  </w:rPr>
                  <w:fldChar w:fldCharType="end"/>
                </w:r>
              </w:sdtContent>
            </w:sdt>
          </w:p>
          <w:p w14:paraId="68BA387F"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185862291"/>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Sar21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(Sarılgan, Akan, Bakır, &amp; Süleç, 2021)</w:t>
                </w:r>
                <w:r w:rsidR="00A96566" w:rsidRPr="00151ABA">
                  <w:rPr>
                    <w:rFonts w:asciiTheme="majorBidi" w:hAnsiTheme="majorBidi" w:cstheme="majorBidi"/>
                    <w:sz w:val="20"/>
                    <w:szCs w:val="20"/>
                  </w:rPr>
                  <w:fldChar w:fldCharType="end"/>
                </w:r>
              </w:sdtContent>
            </w:sdt>
          </w:p>
          <w:p w14:paraId="4B1657F2"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405994534"/>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Zha19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(Zhang &amp; He, 2019)</w:t>
                </w:r>
                <w:r w:rsidR="00A96566" w:rsidRPr="00151ABA">
                  <w:rPr>
                    <w:rFonts w:asciiTheme="majorBidi" w:hAnsiTheme="majorBidi" w:cstheme="majorBidi"/>
                    <w:sz w:val="20"/>
                    <w:szCs w:val="20"/>
                  </w:rPr>
                  <w:fldChar w:fldCharType="end"/>
                </w:r>
              </w:sdtContent>
            </w:sdt>
          </w:p>
          <w:p w14:paraId="3338C9C3" w14:textId="77777777" w:rsidR="00A96566" w:rsidRPr="00151ABA" w:rsidRDefault="00A96566" w:rsidP="00953448">
            <w:pPr>
              <w:rPr>
                <w:rFonts w:asciiTheme="majorBidi" w:hAnsiTheme="majorBidi" w:cstheme="majorBidi"/>
                <w:sz w:val="20"/>
                <w:szCs w:val="20"/>
              </w:rPr>
            </w:pPr>
          </w:p>
        </w:tc>
      </w:tr>
      <w:tr w:rsidR="00A96566" w:rsidRPr="00151ABA" w14:paraId="351291E9" w14:textId="77777777" w:rsidTr="00460517">
        <w:trPr>
          <w:trHeight w:val="850"/>
        </w:trPr>
        <w:tc>
          <w:tcPr>
            <w:tcW w:w="1559" w:type="dxa"/>
          </w:tcPr>
          <w:p w14:paraId="5332FE97"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Building Brand Awareness </w:t>
            </w:r>
          </w:p>
        </w:tc>
        <w:tc>
          <w:tcPr>
            <w:tcW w:w="2694" w:type="dxa"/>
          </w:tcPr>
          <w:p w14:paraId="665DBD65"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612354484"/>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Kit12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(Kitzmueller &amp; Shimshack, 2012)</w:t>
                </w:r>
                <w:r w:rsidR="00A96566" w:rsidRPr="00151ABA">
                  <w:rPr>
                    <w:rFonts w:asciiTheme="majorBidi" w:hAnsiTheme="majorBidi" w:cstheme="majorBidi"/>
                    <w:sz w:val="20"/>
                    <w:szCs w:val="20"/>
                  </w:rPr>
                  <w:fldChar w:fldCharType="end"/>
                </w:r>
              </w:sdtContent>
            </w:sdt>
          </w:p>
        </w:tc>
        <w:tc>
          <w:tcPr>
            <w:tcW w:w="1559" w:type="dxa"/>
          </w:tcPr>
          <w:p w14:paraId="3537C407"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Triggers consumers’ attention</w:t>
            </w:r>
          </w:p>
        </w:tc>
        <w:tc>
          <w:tcPr>
            <w:tcW w:w="3147" w:type="dxa"/>
          </w:tcPr>
          <w:p w14:paraId="37680F71" w14:textId="77777777" w:rsidR="00A96566" w:rsidRPr="00151ABA" w:rsidRDefault="00000000" w:rsidP="00953448">
            <w:pPr>
              <w:rPr>
                <w:rFonts w:asciiTheme="majorBidi" w:hAnsiTheme="majorBidi" w:cstheme="majorBidi"/>
                <w:sz w:val="20"/>
                <w:szCs w:val="20"/>
                <w:lang w:val="sv-SE"/>
              </w:rPr>
            </w:pPr>
            <w:sdt>
              <w:sdtPr>
                <w:rPr>
                  <w:rFonts w:asciiTheme="majorBidi" w:hAnsiTheme="majorBidi" w:cstheme="majorBidi"/>
                  <w:sz w:val="20"/>
                  <w:szCs w:val="20"/>
                </w:rPr>
                <w:id w:val="-198021770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sv-SE"/>
                  </w:rPr>
                  <w:instrText xml:space="preserve"> CITATION Beu21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sv-SE"/>
                  </w:rPr>
                  <w:t>(Beuckels, De Jans, Cauberghe, &amp; Hudders, 2021)</w:t>
                </w:r>
                <w:r w:rsidR="00A96566" w:rsidRPr="00151ABA">
                  <w:rPr>
                    <w:rFonts w:asciiTheme="majorBidi" w:hAnsiTheme="majorBidi" w:cstheme="majorBidi"/>
                    <w:sz w:val="20"/>
                    <w:szCs w:val="20"/>
                  </w:rPr>
                  <w:fldChar w:fldCharType="end"/>
                </w:r>
              </w:sdtContent>
            </w:sdt>
          </w:p>
          <w:p w14:paraId="2E254628"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551001653"/>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Goe17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(Goel &amp; Upadhyay, 2017)</w:t>
                </w:r>
                <w:r w:rsidR="00A96566" w:rsidRPr="00151ABA">
                  <w:rPr>
                    <w:rFonts w:asciiTheme="majorBidi" w:hAnsiTheme="majorBidi" w:cstheme="majorBidi"/>
                    <w:sz w:val="20"/>
                    <w:szCs w:val="20"/>
                  </w:rPr>
                  <w:fldChar w:fldCharType="end"/>
                </w:r>
              </w:sdtContent>
            </w:sdt>
          </w:p>
          <w:p w14:paraId="670139C8"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425644420"/>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Pie22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(Pieters, Wedel, &amp; Batra, 2010)</w:t>
                </w:r>
                <w:r w:rsidR="00A96566" w:rsidRPr="00151ABA">
                  <w:rPr>
                    <w:rFonts w:asciiTheme="majorBidi" w:hAnsiTheme="majorBidi" w:cstheme="majorBidi"/>
                    <w:sz w:val="20"/>
                    <w:szCs w:val="20"/>
                  </w:rPr>
                  <w:fldChar w:fldCharType="end"/>
                </w:r>
              </w:sdtContent>
            </w:sdt>
          </w:p>
        </w:tc>
      </w:tr>
      <w:tr w:rsidR="00A96566" w:rsidRPr="00151ABA" w14:paraId="54D6C4A5" w14:textId="77777777" w:rsidTr="00460517">
        <w:trPr>
          <w:trHeight w:val="132"/>
        </w:trPr>
        <w:tc>
          <w:tcPr>
            <w:tcW w:w="1559" w:type="dxa"/>
          </w:tcPr>
          <w:p w14:paraId="247472D6"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Increase Employee engagement and expertise </w:t>
            </w:r>
          </w:p>
        </w:tc>
        <w:tc>
          <w:tcPr>
            <w:tcW w:w="2694" w:type="dxa"/>
          </w:tcPr>
          <w:p w14:paraId="22663165"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919605440"/>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Aka16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(Akash, Ferguson, &amp; Duman, 2016)</w:t>
                </w:r>
                <w:r w:rsidR="00A96566" w:rsidRPr="00151ABA">
                  <w:rPr>
                    <w:rFonts w:asciiTheme="majorBidi" w:hAnsiTheme="majorBidi" w:cstheme="majorBidi"/>
                    <w:sz w:val="20"/>
                    <w:szCs w:val="20"/>
                  </w:rPr>
                  <w:fldChar w:fldCharType="end"/>
                </w:r>
              </w:sdtContent>
            </w:sdt>
          </w:p>
          <w:p w14:paraId="4581A544"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066030954"/>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Hur20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(Hur, Moon, &amp; Kim, 2020)</w:t>
                </w:r>
                <w:r w:rsidR="00A96566" w:rsidRPr="00151ABA">
                  <w:rPr>
                    <w:rFonts w:asciiTheme="majorBidi" w:hAnsiTheme="majorBidi" w:cstheme="majorBidi"/>
                    <w:sz w:val="20"/>
                    <w:szCs w:val="20"/>
                  </w:rPr>
                  <w:fldChar w:fldCharType="end"/>
                </w:r>
              </w:sdtContent>
            </w:sdt>
          </w:p>
          <w:p w14:paraId="19ADF6AD" w14:textId="77777777" w:rsidR="00A96566" w:rsidRPr="00151ABA" w:rsidRDefault="00000000" w:rsidP="00953448">
            <w:pPr>
              <w:rPr>
                <w:rFonts w:asciiTheme="majorBidi" w:hAnsiTheme="majorBidi" w:cstheme="majorBidi"/>
                <w:sz w:val="20"/>
                <w:szCs w:val="20"/>
                <w:lang w:val="pl-PL"/>
              </w:rPr>
            </w:pPr>
            <w:sdt>
              <w:sdtPr>
                <w:rPr>
                  <w:rFonts w:asciiTheme="majorBidi" w:hAnsiTheme="majorBidi" w:cstheme="majorBidi"/>
                  <w:sz w:val="20"/>
                  <w:szCs w:val="20"/>
                </w:rPr>
                <w:id w:val="100308368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pl-PL"/>
                  </w:rPr>
                  <w:instrText xml:space="preserve"> CITATION Cha17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pl-PL"/>
                  </w:rPr>
                  <w:t>(Chaudhary, 2017)</w:t>
                </w:r>
                <w:r w:rsidR="00A96566" w:rsidRPr="00151ABA">
                  <w:rPr>
                    <w:rFonts w:asciiTheme="majorBidi" w:hAnsiTheme="majorBidi" w:cstheme="majorBidi"/>
                    <w:sz w:val="20"/>
                    <w:szCs w:val="20"/>
                  </w:rPr>
                  <w:fldChar w:fldCharType="end"/>
                </w:r>
              </w:sdtContent>
            </w:sdt>
          </w:p>
          <w:p w14:paraId="41DCFD93" w14:textId="77777777" w:rsidR="00A96566" w:rsidRPr="00151ABA" w:rsidRDefault="00000000" w:rsidP="00953448">
            <w:pPr>
              <w:rPr>
                <w:rFonts w:asciiTheme="majorBidi" w:hAnsiTheme="majorBidi" w:cstheme="majorBidi"/>
                <w:sz w:val="20"/>
                <w:szCs w:val="20"/>
                <w:lang w:val="pl-PL"/>
              </w:rPr>
            </w:pPr>
            <w:sdt>
              <w:sdtPr>
                <w:rPr>
                  <w:rFonts w:asciiTheme="majorBidi" w:hAnsiTheme="majorBidi" w:cstheme="majorBidi"/>
                  <w:sz w:val="20"/>
                  <w:szCs w:val="20"/>
                </w:rPr>
                <w:id w:val="-620606130"/>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lang w:val="pl-PL"/>
                  </w:rPr>
                  <w:instrText xml:space="preserve"> CITATION Mar21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lang w:val="pl-PL"/>
                  </w:rPr>
                  <w:t>(Marakova, Wolak-Tuzimek, &amp; Tuckova , 2021)</w:t>
                </w:r>
                <w:r w:rsidR="00A96566" w:rsidRPr="00151ABA">
                  <w:rPr>
                    <w:rFonts w:asciiTheme="majorBidi" w:hAnsiTheme="majorBidi" w:cstheme="majorBidi"/>
                    <w:sz w:val="20"/>
                    <w:szCs w:val="20"/>
                  </w:rPr>
                  <w:fldChar w:fldCharType="end"/>
                </w:r>
              </w:sdtContent>
            </w:sdt>
          </w:p>
          <w:p w14:paraId="55F8C91E"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947575544"/>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May04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(May, Gilson, &amp; Harter, 2004)</w:t>
                </w:r>
                <w:r w:rsidR="00A96566" w:rsidRPr="00151ABA">
                  <w:rPr>
                    <w:rFonts w:asciiTheme="majorBidi" w:hAnsiTheme="majorBidi" w:cstheme="majorBidi"/>
                    <w:sz w:val="20"/>
                    <w:szCs w:val="20"/>
                  </w:rPr>
                  <w:fldChar w:fldCharType="end"/>
                </w:r>
              </w:sdtContent>
            </w:sdt>
          </w:p>
          <w:p w14:paraId="44486023"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1428853902"/>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Vet19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(Vethirajan &amp; Ramu, 2019)</w:t>
                </w:r>
                <w:r w:rsidR="00A96566" w:rsidRPr="00151ABA">
                  <w:rPr>
                    <w:rFonts w:asciiTheme="majorBidi" w:hAnsiTheme="majorBidi" w:cstheme="majorBidi"/>
                    <w:sz w:val="20"/>
                    <w:szCs w:val="20"/>
                  </w:rPr>
                  <w:fldChar w:fldCharType="end"/>
                </w:r>
              </w:sdtContent>
            </w:sdt>
          </w:p>
        </w:tc>
        <w:tc>
          <w:tcPr>
            <w:tcW w:w="1559" w:type="dxa"/>
          </w:tcPr>
          <w:p w14:paraId="279CE932" w14:textId="77777777" w:rsidR="00A96566" w:rsidRPr="00151ABA" w:rsidRDefault="00A96566" w:rsidP="00953448">
            <w:pPr>
              <w:rPr>
                <w:rFonts w:asciiTheme="majorBidi" w:hAnsiTheme="majorBidi" w:cstheme="majorBidi"/>
                <w:sz w:val="20"/>
                <w:szCs w:val="20"/>
              </w:rPr>
            </w:pPr>
            <w:r w:rsidRPr="00151ABA">
              <w:rPr>
                <w:rFonts w:asciiTheme="majorBidi" w:hAnsiTheme="majorBidi" w:cstheme="majorBidi"/>
                <w:sz w:val="20"/>
                <w:szCs w:val="20"/>
              </w:rPr>
              <w:t xml:space="preserve">Brand name recall and brand-information retention </w:t>
            </w:r>
          </w:p>
        </w:tc>
        <w:tc>
          <w:tcPr>
            <w:tcW w:w="3147" w:type="dxa"/>
          </w:tcPr>
          <w:p w14:paraId="49AAEBC5"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2034489794"/>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Chu11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(Chung &amp; Zhao, 2011)</w:t>
                </w:r>
                <w:r w:rsidR="00A96566" w:rsidRPr="00151ABA">
                  <w:rPr>
                    <w:rFonts w:asciiTheme="majorBidi" w:hAnsiTheme="majorBidi" w:cstheme="majorBidi"/>
                    <w:sz w:val="20"/>
                    <w:szCs w:val="20"/>
                  </w:rPr>
                  <w:fldChar w:fldCharType="end"/>
                </w:r>
              </w:sdtContent>
            </w:sdt>
          </w:p>
          <w:p w14:paraId="3D23BEC8"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334727979"/>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Cli07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(Cline &amp; Kellaris, 2007)</w:t>
                </w:r>
                <w:r w:rsidR="00A96566" w:rsidRPr="00151ABA">
                  <w:rPr>
                    <w:rFonts w:asciiTheme="majorBidi" w:hAnsiTheme="majorBidi" w:cstheme="majorBidi"/>
                    <w:sz w:val="20"/>
                    <w:szCs w:val="20"/>
                  </w:rPr>
                  <w:fldChar w:fldCharType="end"/>
                </w:r>
              </w:sdtContent>
            </w:sdt>
          </w:p>
          <w:p w14:paraId="1F5ACCCF" w14:textId="77777777" w:rsidR="00A96566" w:rsidRPr="00151ABA" w:rsidRDefault="00000000" w:rsidP="00953448">
            <w:pPr>
              <w:rPr>
                <w:rFonts w:asciiTheme="majorBidi" w:hAnsiTheme="majorBidi" w:cstheme="majorBidi"/>
                <w:sz w:val="20"/>
                <w:szCs w:val="20"/>
              </w:rPr>
            </w:pPr>
            <w:sdt>
              <w:sdtPr>
                <w:rPr>
                  <w:rFonts w:asciiTheme="majorBidi" w:hAnsiTheme="majorBidi" w:cstheme="majorBidi"/>
                  <w:sz w:val="20"/>
                  <w:szCs w:val="20"/>
                </w:rPr>
                <w:id w:val="-2021539733"/>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Goe17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(Goel &amp; Upadhyay, 2017)</w:t>
                </w:r>
                <w:r w:rsidR="00A96566" w:rsidRPr="00151ABA">
                  <w:rPr>
                    <w:rFonts w:asciiTheme="majorBidi" w:hAnsiTheme="majorBidi" w:cstheme="majorBidi"/>
                    <w:sz w:val="20"/>
                    <w:szCs w:val="20"/>
                  </w:rPr>
                  <w:fldChar w:fldCharType="end"/>
                </w:r>
              </w:sdtContent>
            </w:sdt>
          </w:p>
          <w:p w14:paraId="796FE5FB" w14:textId="77777777" w:rsidR="00A96566" w:rsidRPr="00151ABA" w:rsidRDefault="00000000" w:rsidP="001A6A8D">
            <w:pPr>
              <w:keepNext/>
              <w:rPr>
                <w:rFonts w:asciiTheme="majorBidi" w:hAnsiTheme="majorBidi" w:cstheme="majorBidi"/>
                <w:sz w:val="20"/>
                <w:szCs w:val="20"/>
              </w:rPr>
            </w:pPr>
            <w:sdt>
              <w:sdtPr>
                <w:rPr>
                  <w:rFonts w:asciiTheme="majorBidi" w:hAnsiTheme="majorBidi" w:cstheme="majorBidi"/>
                  <w:sz w:val="20"/>
                  <w:szCs w:val="20"/>
                </w:rPr>
                <w:id w:val="10425527"/>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Huh20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(Huhmann &amp; Limbu, 2020)</w:t>
                </w:r>
                <w:r w:rsidR="00A96566" w:rsidRPr="00151ABA">
                  <w:rPr>
                    <w:rFonts w:asciiTheme="majorBidi" w:hAnsiTheme="majorBidi" w:cstheme="majorBidi"/>
                    <w:sz w:val="20"/>
                    <w:szCs w:val="20"/>
                  </w:rPr>
                  <w:fldChar w:fldCharType="end"/>
                </w:r>
              </w:sdtContent>
            </w:sdt>
          </w:p>
        </w:tc>
      </w:tr>
    </w:tbl>
    <w:bookmarkEnd w:id="21"/>
    <w:p w14:paraId="46414C2D" w14:textId="06D0CCDF" w:rsidR="00460517" w:rsidRDefault="001A6A8D" w:rsidP="00460517">
      <w:pPr>
        <w:pStyle w:val="Caption"/>
      </w:pPr>
      <w:r>
        <w:t xml:space="preserve">Table </w:t>
      </w:r>
      <w:r w:rsidR="00044DE9">
        <w:t>4</w:t>
      </w:r>
      <w:r>
        <w:t xml:space="preserve"> </w:t>
      </w:r>
      <w:r w:rsidR="00053611">
        <w:t xml:space="preserve">Impact of </w:t>
      </w:r>
      <w:r>
        <w:t xml:space="preserve">CSR </w:t>
      </w:r>
      <w:r w:rsidR="00053611">
        <w:t xml:space="preserve">and non-CSR communication </w:t>
      </w:r>
      <w:r>
        <w:t>for the company or brand</w:t>
      </w:r>
    </w:p>
    <w:p w14:paraId="281BE1E3" w14:textId="77777777" w:rsidR="00460517" w:rsidRDefault="00460517">
      <w:pPr>
        <w:rPr>
          <w:i/>
          <w:iCs/>
          <w:color w:val="000000" w:themeColor="text2"/>
          <w:sz w:val="18"/>
          <w:szCs w:val="18"/>
        </w:rPr>
      </w:pPr>
      <w:r>
        <w:br w:type="page"/>
      </w:r>
    </w:p>
    <w:p w14:paraId="5E014DA0" w14:textId="77777777" w:rsidR="00A96566" w:rsidRPr="00460517" w:rsidRDefault="00A96566" w:rsidP="00460517">
      <w:pPr>
        <w:pStyle w:val="Caption"/>
      </w:pPr>
    </w:p>
    <w:p w14:paraId="73F9C9B0" w14:textId="229907E5" w:rsidR="00A96566" w:rsidRPr="00477697" w:rsidRDefault="00460517" w:rsidP="00F94905">
      <w:pPr>
        <w:adjustRightInd w:val="0"/>
        <w:spacing w:after="0" w:line="480" w:lineRule="auto"/>
        <w:jc w:val="lowKashida"/>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w:t>
      </w:r>
      <w:r w:rsidR="001F73FA">
        <w:rPr>
          <w:rFonts w:asciiTheme="majorBidi" w:hAnsiTheme="majorBidi" w:cstheme="majorBidi"/>
          <w:b/>
          <w:bCs/>
          <w:sz w:val="24"/>
          <w:szCs w:val="24"/>
        </w:rPr>
        <w:t>4</w:t>
      </w:r>
      <w:r w:rsidR="00A96566">
        <w:rPr>
          <w:rFonts w:asciiTheme="majorBidi" w:hAnsiTheme="majorBidi" w:cstheme="majorBidi"/>
          <w:b/>
          <w:bCs/>
          <w:sz w:val="24"/>
          <w:szCs w:val="24"/>
        </w:rPr>
        <w:t xml:space="preserve"> </w:t>
      </w:r>
      <w:r w:rsidR="00A96566" w:rsidRPr="00477697">
        <w:rPr>
          <w:rFonts w:asciiTheme="majorBidi" w:hAnsiTheme="majorBidi" w:cstheme="majorBidi"/>
          <w:b/>
          <w:bCs/>
          <w:sz w:val="24"/>
          <w:szCs w:val="24"/>
        </w:rPr>
        <w:t>CSR and consumer</w:t>
      </w:r>
      <w:r w:rsidR="001F73FA">
        <w:rPr>
          <w:rFonts w:asciiTheme="majorBidi" w:hAnsiTheme="majorBidi" w:cstheme="majorBidi"/>
          <w:b/>
          <w:bCs/>
          <w:sz w:val="24"/>
          <w:szCs w:val="24"/>
        </w:rPr>
        <w:t xml:space="preserve">s’ </w:t>
      </w:r>
      <w:r w:rsidR="00B746F9">
        <w:rPr>
          <w:rFonts w:asciiTheme="majorBidi" w:hAnsiTheme="majorBidi" w:cstheme="majorBidi"/>
          <w:b/>
          <w:bCs/>
          <w:sz w:val="24"/>
          <w:szCs w:val="24"/>
        </w:rPr>
        <w:t xml:space="preserve">brand </w:t>
      </w:r>
      <w:r w:rsidR="005A39ED">
        <w:rPr>
          <w:rFonts w:asciiTheme="majorBidi" w:hAnsiTheme="majorBidi" w:cstheme="majorBidi"/>
          <w:b/>
          <w:bCs/>
          <w:sz w:val="24"/>
          <w:szCs w:val="24"/>
        </w:rPr>
        <w:t>attitude</w:t>
      </w:r>
      <w:r w:rsidR="001F73FA">
        <w:rPr>
          <w:rFonts w:asciiTheme="majorBidi" w:hAnsiTheme="majorBidi" w:cstheme="majorBidi"/>
          <w:b/>
          <w:bCs/>
          <w:sz w:val="24"/>
          <w:szCs w:val="24"/>
        </w:rPr>
        <w:t>s</w:t>
      </w:r>
      <w:r w:rsidR="00A96566" w:rsidRPr="00477697">
        <w:rPr>
          <w:rFonts w:asciiTheme="majorBidi" w:hAnsiTheme="majorBidi" w:cstheme="majorBidi"/>
          <w:b/>
          <w:bCs/>
          <w:sz w:val="24"/>
          <w:szCs w:val="24"/>
        </w:rPr>
        <w:t xml:space="preserve">  </w:t>
      </w:r>
    </w:p>
    <w:p w14:paraId="50BB4B10" w14:textId="1A05C4D6" w:rsidR="00A96566" w:rsidRPr="00DF1B7A" w:rsidRDefault="00A96566" w:rsidP="00F94905">
      <w:pPr>
        <w:adjustRightInd w:val="0"/>
        <w:spacing w:after="0" w:line="480" w:lineRule="auto"/>
        <w:ind w:firstLine="720"/>
        <w:jc w:val="lowKashida"/>
        <w:rPr>
          <w:rFonts w:asciiTheme="majorBidi" w:hAnsiTheme="majorBidi" w:cstheme="majorBidi"/>
          <w:sz w:val="24"/>
          <w:szCs w:val="24"/>
        </w:rPr>
      </w:pPr>
      <w:r>
        <w:rPr>
          <w:rFonts w:asciiTheme="majorBidi" w:hAnsiTheme="majorBidi" w:cstheme="majorBidi"/>
          <w:sz w:val="24"/>
          <w:szCs w:val="24"/>
        </w:rPr>
        <w:t>There has been an apparent need in</w:t>
      </w:r>
      <w:r w:rsidR="00861991">
        <w:rPr>
          <w:rFonts w:asciiTheme="majorBidi" w:hAnsiTheme="majorBidi" w:cstheme="majorBidi"/>
          <w:sz w:val="24"/>
          <w:szCs w:val="24"/>
        </w:rPr>
        <w:t xml:space="preserve"> the</w:t>
      </w:r>
      <w:r>
        <w:rPr>
          <w:rFonts w:asciiTheme="majorBidi" w:hAnsiTheme="majorBidi" w:cstheme="majorBidi"/>
          <w:sz w:val="24"/>
          <w:szCs w:val="24"/>
        </w:rPr>
        <w:t xml:space="preserve"> literature to examine </w:t>
      </w:r>
      <w:r w:rsidR="004C15C4">
        <w:rPr>
          <w:rFonts w:asciiTheme="majorBidi" w:hAnsiTheme="majorBidi" w:cstheme="majorBidi"/>
          <w:sz w:val="24"/>
          <w:szCs w:val="24"/>
        </w:rPr>
        <w:t xml:space="preserve">the effectiveness of </w:t>
      </w:r>
      <w:r>
        <w:rPr>
          <w:rFonts w:asciiTheme="majorBidi" w:hAnsiTheme="majorBidi" w:cstheme="majorBidi"/>
          <w:sz w:val="24"/>
          <w:szCs w:val="24"/>
        </w:rPr>
        <w:t>CSR</w:t>
      </w:r>
      <w:r w:rsidR="004C15C4">
        <w:rPr>
          <w:rFonts w:asciiTheme="majorBidi" w:hAnsiTheme="majorBidi" w:cstheme="majorBidi"/>
          <w:sz w:val="24"/>
          <w:szCs w:val="24"/>
        </w:rPr>
        <w:t xml:space="preserve"> communication</w:t>
      </w:r>
      <w:r>
        <w:rPr>
          <w:rFonts w:asciiTheme="majorBidi" w:hAnsiTheme="majorBidi" w:cstheme="majorBidi"/>
          <w:sz w:val="24"/>
          <w:szCs w:val="24"/>
        </w:rPr>
        <w:t xml:space="preserve"> from the consumers’ </w:t>
      </w:r>
      <w:r w:rsidRPr="00460517">
        <w:rPr>
          <w:rFonts w:asciiTheme="majorBidi" w:hAnsiTheme="majorBidi" w:cstheme="majorBidi"/>
          <w:sz w:val="24"/>
          <w:szCs w:val="24"/>
        </w:rPr>
        <w:t xml:space="preserve">perspective </w:t>
      </w:r>
      <w:sdt>
        <w:sdtPr>
          <w:rPr>
            <w:rFonts w:asciiTheme="majorBidi" w:hAnsiTheme="majorBidi" w:cstheme="majorBidi"/>
            <w:sz w:val="24"/>
            <w:szCs w:val="24"/>
          </w:rPr>
          <w:id w:val="1001239645"/>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 CITATION Par17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(Park, Kim, &amp; Kwon, 2017)</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 xml:space="preserve">. While CSR represents a form of the social role that companies have towards society, consumer citizenship behaviour is the role that individuals have in society. </w:t>
      </w:r>
      <w:bookmarkStart w:id="24" w:name="_Hlk128138211"/>
      <w:r w:rsidRPr="00460517">
        <w:rPr>
          <w:rFonts w:asciiTheme="majorBidi" w:hAnsiTheme="majorBidi" w:cstheme="majorBidi"/>
          <w:sz w:val="24"/>
          <w:szCs w:val="24"/>
        </w:rPr>
        <w:t xml:space="preserve">Consumer citizenship behaviour (CCB) </w:t>
      </w:r>
      <w:bookmarkEnd w:id="24"/>
      <w:r w:rsidRPr="00460517">
        <w:rPr>
          <w:rFonts w:asciiTheme="majorBidi" w:hAnsiTheme="majorBidi" w:cstheme="majorBidi"/>
          <w:sz w:val="24"/>
          <w:szCs w:val="24"/>
        </w:rPr>
        <w:t>is the consumers’ voluntary and optional or extra role in society</w:t>
      </w:r>
      <w:sdt>
        <w:sdtPr>
          <w:rPr>
            <w:rFonts w:asciiTheme="majorBidi" w:hAnsiTheme="majorBidi" w:cstheme="majorBidi"/>
            <w:sz w:val="24"/>
            <w:szCs w:val="24"/>
          </w:rPr>
          <w:id w:val="1361624083"/>
          <w:citation/>
        </w:sdtPr>
        <w:sdtContent>
          <w:r w:rsidR="00241E62" w:rsidRPr="00460517">
            <w:rPr>
              <w:rFonts w:asciiTheme="majorBidi" w:hAnsiTheme="majorBidi" w:cstheme="majorBidi"/>
              <w:sz w:val="24"/>
              <w:szCs w:val="24"/>
            </w:rPr>
            <w:fldChar w:fldCharType="begin"/>
          </w:r>
          <w:r w:rsidR="00241E62" w:rsidRPr="00460517">
            <w:rPr>
              <w:rFonts w:asciiTheme="majorBidi" w:hAnsiTheme="majorBidi" w:cstheme="majorBidi"/>
              <w:sz w:val="24"/>
              <w:szCs w:val="24"/>
            </w:rPr>
            <w:instrText xml:space="preserve">CITATION Hur201 \t  \l 2057 </w:instrText>
          </w:r>
          <w:r w:rsidR="00241E62" w:rsidRPr="00460517">
            <w:rPr>
              <w:rFonts w:asciiTheme="majorBidi" w:hAnsiTheme="majorBidi" w:cstheme="majorBidi"/>
              <w:sz w:val="24"/>
              <w:szCs w:val="24"/>
            </w:rPr>
            <w:fldChar w:fldCharType="separate"/>
          </w:r>
          <w:r w:rsidR="00241E62" w:rsidRPr="00460517">
            <w:rPr>
              <w:rFonts w:asciiTheme="majorBidi" w:hAnsiTheme="majorBidi" w:cstheme="majorBidi"/>
              <w:noProof/>
              <w:sz w:val="24"/>
              <w:szCs w:val="24"/>
            </w:rPr>
            <w:t xml:space="preserve"> (Hur, Moon, &amp; Kim, 2020)</w:t>
          </w:r>
          <w:r w:rsidR="00241E62"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 xml:space="preserve">. Dang, Nguen, and Pervan </w:t>
      </w:r>
      <w:sdt>
        <w:sdtPr>
          <w:rPr>
            <w:rFonts w:asciiTheme="majorBidi" w:hAnsiTheme="majorBidi" w:cstheme="majorBidi"/>
            <w:sz w:val="24"/>
            <w:szCs w:val="24"/>
          </w:rPr>
          <w:id w:val="85963369"/>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CITATION Dan20 \n  \t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(2020)</w:t>
          </w:r>
          <w:r w:rsidRPr="00460517">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conducted a study to investigate the influence of retail CSR in China on CCB with the perceived consumer effectiveness as</w:t>
      </w:r>
      <w:r>
        <w:rPr>
          <w:rFonts w:asciiTheme="majorBidi" w:hAnsiTheme="majorBidi" w:cstheme="majorBidi"/>
          <w:sz w:val="24"/>
          <w:szCs w:val="24"/>
        </w:rPr>
        <w:t xml:space="preserve"> a</w:t>
      </w:r>
      <w:r w:rsidRPr="00DF1B7A">
        <w:rPr>
          <w:rFonts w:asciiTheme="majorBidi" w:hAnsiTheme="majorBidi" w:cstheme="majorBidi"/>
          <w:sz w:val="24"/>
          <w:szCs w:val="24"/>
        </w:rPr>
        <w:t xml:space="preserve"> mediating factor.</w:t>
      </w:r>
      <w:r>
        <w:rPr>
          <w:rFonts w:asciiTheme="majorBidi" w:hAnsiTheme="majorBidi" w:cstheme="majorBidi"/>
          <w:sz w:val="24"/>
          <w:szCs w:val="24"/>
        </w:rPr>
        <w:t xml:space="preserve"> </w:t>
      </w:r>
      <w:bookmarkStart w:id="25" w:name="_Hlk128138293"/>
      <w:r w:rsidRPr="00DF1B7A">
        <w:rPr>
          <w:rFonts w:asciiTheme="majorBidi" w:hAnsiTheme="majorBidi" w:cstheme="majorBidi"/>
          <w:sz w:val="24"/>
          <w:szCs w:val="24"/>
        </w:rPr>
        <w:t xml:space="preserve">Perceived consumer effectiveness </w:t>
      </w:r>
      <w:bookmarkEnd w:id="25"/>
      <w:r w:rsidRPr="00DF1B7A">
        <w:rPr>
          <w:rFonts w:asciiTheme="majorBidi" w:hAnsiTheme="majorBidi" w:cstheme="majorBidi"/>
          <w:sz w:val="24"/>
          <w:szCs w:val="24"/>
        </w:rPr>
        <w:t xml:space="preserve">(PCE) is defined as the consumers’ perception of </w:t>
      </w:r>
      <w:r>
        <w:rPr>
          <w:rFonts w:asciiTheme="majorBidi" w:hAnsiTheme="majorBidi" w:cstheme="majorBidi"/>
          <w:sz w:val="24"/>
          <w:szCs w:val="24"/>
        </w:rPr>
        <w:t>their</w:t>
      </w:r>
      <w:r w:rsidRPr="00DF1B7A">
        <w:rPr>
          <w:rFonts w:asciiTheme="majorBidi" w:hAnsiTheme="majorBidi" w:cstheme="majorBidi"/>
          <w:sz w:val="24"/>
          <w:szCs w:val="24"/>
        </w:rPr>
        <w:t xml:space="preserve"> abilit</w:t>
      </w:r>
      <w:r>
        <w:rPr>
          <w:rFonts w:asciiTheme="majorBidi" w:hAnsiTheme="majorBidi" w:cstheme="majorBidi"/>
          <w:sz w:val="24"/>
          <w:szCs w:val="24"/>
        </w:rPr>
        <w:t>ies</w:t>
      </w:r>
      <w:r w:rsidRPr="00DF1B7A">
        <w:rPr>
          <w:rFonts w:asciiTheme="majorBidi" w:hAnsiTheme="majorBidi" w:cstheme="majorBidi"/>
          <w:sz w:val="24"/>
          <w:szCs w:val="24"/>
        </w:rPr>
        <w:t xml:space="preserve"> to employ efforts and behaviours to contribute to</w:t>
      </w:r>
      <w:r>
        <w:rPr>
          <w:rFonts w:asciiTheme="majorBidi" w:hAnsiTheme="majorBidi" w:cstheme="majorBidi"/>
          <w:sz w:val="24"/>
          <w:szCs w:val="24"/>
        </w:rPr>
        <w:t xml:space="preserve"> a</w:t>
      </w:r>
      <w:r w:rsidRPr="00DF1B7A">
        <w:rPr>
          <w:rFonts w:asciiTheme="majorBidi" w:hAnsiTheme="majorBidi" w:cstheme="majorBidi"/>
          <w:sz w:val="24"/>
          <w:szCs w:val="24"/>
        </w:rPr>
        <w:t xml:space="preserve"> certain social </w:t>
      </w:r>
      <w:r w:rsidRPr="000E1345">
        <w:rPr>
          <w:rFonts w:asciiTheme="majorBidi" w:hAnsiTheme="majorBidi" w:cstheme="majorBidi"/>
          <w:sz w:val="24"/>
          <w:szCs w:val="24"/>
        </w:rPr>
        <w:t xml:space="preserve">cause </w:t>
      </w:r>
      <w:sdt>
        <w:sdtPr>
          <w:rPr>
            <w:rFonts w:asciiTheme="majorBidi" w:hAnsiTheme="majorBidi" w:cstheme="majorBidi"/>
            <w:sz w:val="24"/>
            <w:szCs w:val="24"/>
          </w:rPr>
          <w:id w:val="-1811244555"/>
          <w:citation/>
        </w:sdtPr>
        <w:sdtContent>
          <w:r w:rsidRPr="000E1345">
            <w:rPr>
              <w:rFonts w:asciiTheme="majorBidi" w:hAnsiTheme="majorBidi" w:cstheme="majorBidi"/>
              <w:sz w:val="24"/>
              <w:szCs w:val="24"/>
            </w:rPr>
            <w:fldChar w:fldCharType="begin"/>
          </w:r>
          <w:r w:rsidRPr="000E1345">
            <w:rPr>
              <w:rFonts w:asciiTheme="majorBidi" w:hAnsiTheme="majorBidi" w:cstheme="majorBidi"/>
              <w:sz w:val="24"/>
              <w:szCs w:val="24"/>
            </w:rPr>
            <w:instrText xml:space="preserve"> CITATION Han20 \l 2057 </w:instrText>
          </w:r>
          <w:r w:rsidRPr="000E1345">
            <w:rPr>
              <w:rFonts w:asciiTheme="majorBidi" w:hAnsiTheme="majorBidi" w:cstheme="majorBidi"/>
              <w:sz w:val="24"/>
              <w:szCs w:val="24"/>
            </w:rPr>
            <w:fldChar w:fldCharType="separate"/>
          </w:r>
          <w:r w:rsidRPr="000E1345">
            <w:rPr>
              <w:rFonts w:asciiTheme="majorBidi" w:hAnsiTheme="majorBidi" w:cstheme="majorBidi"/>
              <w:noProof/>
              <w:sz w:val="24"/>
              <w:szCs w:val="24"/>
            </w:rPr>
            <w:t>(Hanss &amp; Doran, 2020)</w:t>
          </w:r>
          <w:r w:rsidRPr="000E1345">
            <w:rPr>
              <w:rFonts w:asciiTheme="majorBidi" w:hAnsiTheme="majorBidi" w:cstheme="majorBidi"/>
              <w:sz w:val="24"/>
              <w:szCs w:val="24"/>
            </w:rPr>
            <w:fldChar w:fldCharType="end"/>
          </w:r>
        </w:sdtContent>
      </w:sdt>
      <w:r w:rsidRPr="000E1345">
        <w:rPr>
          <w:rFonts w:asciiTheme="majorBidi" w:hAnsiTheme="majorBidi" w:cstheme="majorBidi"/>
          <w:sz w:val="24"/>
          <w:szCs w:val="24"/>
        </w:rPr>
        <w:t>.</w:t>
      </w:r>
      <w:r w:rsidRPr="00DF1B7A">
        <w:rPr>
          <w:rFonts w:asciiTheme="majorBidi" w:hAnsiTheme="majorBidi" w:cstheme="majorBidi"/>
          <w:sz w:val="24"/>
          <w:szCs w:val="24"/>
        </w:rPr>
        <w:t xml:space="preserve"> The researchers found out that retail CSR has a positive effect on consumers’ perception</w:t>
      </w:r>
      <w:r>
        <w:rPr>
          <w:rFonts w:asciiTheme="majorBidi" w:hAnsiTheme="majorBidi" w:cstheme="majorBidi"/>
          <w:sz w:val="24"/>
          <w:szCs w:val="24"/>
        </w:rPr>
        <w:t xml:space="preserve"> of the company</w:t>
      </w:r>
      <w:r w:rsidRPr="00DF1B7A">
        <w:rPr>
          <w:rFonts w:asciiTheme="majorBidi" w:hAnsiTheme="majorBidi" w:cstheme="majorBidi"/>
          <w:sz w:val="24"/>
          <w:szCs w:val="24"/>
        </w:rPr>
        <w:t xml:space="preserve"> </w:t>
      </w:r>
      <w:r>
        <w:rPr>
          <w:rFonts w:asciiTheme="majorBidi" w:hAnsiTheme="majorBidi" w:cstheme="majorBidi"/>
          <w:sz w:val="24"/>
          <w:szCs w:val="24"/>
        </w:rPr>
        <w:t>which provides</w:t>
      </w:r>
      <w:r w:rsidRPr="00DF1B7A">
        <w:rPr>
          <w:rFonts w:asciiTheme="majorBidi" w:hAnsiTheme="majorBidi" w:cstheme="majorBidi"/>
          <w:sz w:val="24"/>
          <w:szCs w:val="24"/>
        </w:rPr>
        <w:t xml:space="preserve"> them</w:t>
      </w:r>
      <w:r>
        <w:rPr>
          <w:rFonts w:asciiTheme="majorBidi" w:hAnsiTheme="majorBidi" w:cstheme="majorBidi"/>
          <w:sz w:val="24"/>
          <w:szCs w:val="24"/>
        </w:rPr>
        <w:t xml:space="preserve"> with</w:t>
      </w:r>
      <w:r w:rsidRPr="00DF1B7A">
        <w:rPr>
          <w:rFonts w:asciiTheme="majorBidi" w:hAnsiTheme="majorBidi" w:cstheme="majorBidi"/>
          <w:sz w:val="24"/>
          <w:szCs w:val="24"/>
        </w:rPr>
        <w:t xml:space="preserve"> a sense that they can inflect</w:t>
      </w:r>
      <w:r>
        <w:rPr>
          <w:rFonts w:asciiTheme="majorBidi" w:hAnsiTheme="majorBidi" w:cstheme="majorBidi"/>
          <w:sz w:val="24"/>
          <w:szCs w:val="24"/>
        </w:rPr>
        <w:t xml:space="preserve"> positive</w:t>
      </w:r>
      <w:r w:rsidRPr="00DF1B7A">
        <w:rPr>
          <w:rFonts w:asciiTheme="majorBidi" w:hAnsiTheme="majorBidi" w:cstheme="majorBidi"/>
          <w:sz w:val="24"/>
          <w:szCs w:val="24"/>
        </w:rPr>
        <w:t xml:space="preserve"> change on society and the environment which motivates them to </w:t>
      </w:r>
      <w:r>
        <w:rPr>
          <w:rFonts w:asciiTheme="majorBidi" w:hAnsiTheme="majorBidi" w:cstheme="majorBidi"/>
          <w:sz w:val="24"/>
          <w:szCs w:val="24"/>
        </w:rPr>
        <w:t>behave</w:t>
      </w:r>
      <w:r w:rsidRPr="00DF1B7A">
        <w:rPr>
          <w:rFonts w:asciiTheme="majorBidi" w:hAnsiTheme="majorBidi" w:cstheme="majorBidi"/>
          <w:sz w:val="24"/>
          <w:szCs w:val="24"/>
        </w:rPr>
        <w:t xml:space="preserve"> </w:t>
      </w:r>
      <w:r>
        <w:rPr>
          <w:rFonts w:asciiTheme="majorBidi" w:hAnsiTheme="majorBidi" w:cstheme="majorBidi"/>
          <w:sz w:val="24"/>
          <w:szCs w:val="24"/>
        </w:rPr>
        <w:t>responsibly</w:t>
      </w:r>
      <w:r w:rsidRPr="00DF1B7A">
        <w:rPr>
          <w:rFonts w:asciiTheme="majorBidi" w:hAnsiTheme="majorBidi" w:cstheme="majorBidi"/>
          <w:sz w:val="24"/>
          <w:szCs w:val="24"/>
        </w:rPr>
        <w:t xml:space="preserve"> </w:t>
      </w:r>
      <w:sdt>
        <w:sdtPr>
          <w:rPr>
            <w:rFonts w:asciiTheme="majorBidi" w:hAnsiTheme="majorBidi" w:cstheme="majorBidi"/>
            <w:sz w:val="24"/>
            <w:szCs w:val="24"/>
          </w:rPr>
          <w:id w:val="36474939"/>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 CITATION Dan20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(Dang, Nguyen, &amp; Pervan, 2020)</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w:t>
      </w:r>
      <w:r w:rsidRPr="00DF1B7A">
        <w:rPr>
          <w:rFonts w:asciiTheme="majorBidi" w:hAnsiTheme="majorBidi" w:cstheme="majorBidi"/>
          <w:sz w:val="24"/>
          <w:szCs w:val="24"/>
        </w:rPr>
        <w:t xml:space="preserve"> In reference to the signalling theory</w:t>
      </w:r>
      <w:sdt>
        <w:sdtPr>
          <w:rPr>
            <w:rFonts w:asciiTheme="majorBidi" w:hAnsiTheme="majorBidi" w:cstheme="majorBidi"/>
            <w:sz w:val="24"/>
            <w:szCs w:val="24"/>
          </w:rPr>
          <w:id w:val="-1667629636"/>
          <w:citation/>
        </w:sdtPr>
        <w:sdtContent>
          <w:r w:rsidRPr="00DF1B7A">
            <w:rPr>
              <w:rFonts w:asciiTheme="majorBidi" w:hAnsiTheme="majorBidi" w:cstheme="majorBidi"/>
              <w:sz w:val="24"/>
              <w:szCs w:val="24"/>
            </w:rPr>
            <w:fldChar w:fldCharType="begin"/>
          </w:r>
          <w:r w:rsidRPr="00DF1B7A">
            <w:rPr>
              <w:rFonts w:asciiTheme="majorBidi" w:hAnsiTheme="majorBidi" w:cstheme="majorBidi"/>
              <w:sz w:val="24"/>
              <w:szCs w:val="24"/>
            </w:rPr>
            <w:instrText xml:space="preserve"> CITATION Spe73 \l 2057 </w:instrText>
          </w:r>
          <w:r w:rsidRPr="00DF1B7A">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(Spence , 1973)</w:t>
          </w:r>
          <w:r w:rsidRPr="00DF1B7A">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Dang, Nguyen, Pervan </w:t>
      </w:r>
      <w:sdt>
        <w:sdtPr>
          <w:rPr>
            <w:rFonts w:asciiTheme="majorBidi" w:hAnsiTheme="majorBidi" w:cstheme="majorBidi"/>
            <w:sz w:val="24"/>
            <w:szCs w:val="24"/>
          </w:rPr>
          <w:id w:val="531697213"/>
          <w:citation/>
        </w:sdtPr>
        <w:sdtContent>
          <w:r w:rsidRPr="00DF1B7A">
            <w:rPr>
              <w:rFonts w:asciiTheme="majorBidi" w:hAnsiTheme="majorBidi" w:cstheme="majorBidi"/>
              <w:sz w:val="24"/>
              <w:szCs w:val="24"/>
            </w:rPr>
            <w:fldChar w:fldCharType="begin"/>
          </w:r>
          <w:r w:rsidRPr="00DF1B7A">
            <w:rPr>
              <w:rFonts w:asciiTheme="majorBidi" w:hAnsiTheme="majorBidi" w:cstheme="majorBidi"/>
              <w:sz w:val="24"/>
              <w:szCs w:val="24"/>
            </w:rPr>
            <w:instrText xml:space="preserve">CITATION Dan20 \n  \t  \l 2057 </w:instrText>
          </w:r>
          <w:r w:rsidRPr="00DF1B7A">
            <w:rPr>
              <w:rFonts w:asciiTheme="majorBidi" w:hAnsiTheme="majorBidi" w:cstheme="majorBidi"/>
              <w:sz w:val="24"/>
              <w:szCs w:val="24"/>
            </w:rPr>
            <w:fldChar w:fldCharType="separate"/>
          </w:r>
          <w:r w:rsidRPr="0002256A">
            <w:rPr>
              <w:rFonts w:asciiTheme="majorBidi" w:hAnsiTheme="majorBidi" w:cstheme="majorBidi"/>
              <w:noProof/>
              <w:sz w:val="24"/>
              <w:szCs w:val="24"/>
            </w:rPr>
            <w:t>(2020)</w:t>
          </w:r>
          <w:r w:rsidRPr="00DF1B7A">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DF1B7A">
        <w:rPr>
          <w:rFonts w:asciiTheme="majorBidi" w:hAnsiTheme="majorBidi" w:cstheme="majorBidi"/>
          <w:sz w:val="24"/>
          <w:szCs w:val="24"/>
        </w:rPr>
        <w:t>found out that</w:t>
      </w:r>
      <w:r>
        <w:rPr>
          <w:rFonts w:asciiTheme="majorBidi" w:hAnsiTheme="majorBidi" w:cstheme="majorBidi"/>
          <w:sz w:val="24"/>
          <w:szCs w:val="24"/>
        </w:rPr>
        <w:t xml:space="preserve">, </w:t>
      </w:r>
      <w:r w:rsidRPr="00DF1B7A">
        <w:rPr>
          <w:rFonts w:asciiTheme="majorBidi" w:hAnsiTheme="majorBidi" w:cstheme="majorBidi"/>
          <w:sz w:val="24"/>
          <w:szCs w:val="24"/>
        </w:rPr>
        <w:t xml:space="preserve">retail CSR projects “signal” to consumers that these retailers are socially or environmentally responsible which leads to earning the trust of the consumers. Therefore, when retailers earn the trust of their consumers through CSR initiatives, consumers will be more loyal to these retailers and will support them by, at least, purchasing their products. This is because, consumers will believe that associating with these retailers will have an </w:t>
      </w:r>
      <w:r w:rsidRPr="00E17CEC">
        <w:rPr>
          <w:rFonts w:asciiTheme="majorBidi" w:hAnsiTheme="majorBidi" w:cstheme="majorBidi"/>
          <w:sz w:val="24"/>
          <w:szCs w:val="24"/>
        </w:rPr>
        <w:t xml:space="preserve">indirect positive impact on society </w:t>
      </w:r>
      <w:sdt>
        <w:sdtPr>
          <w:rPr>
            <w:rFonts w:asciiTheme="majorBidi" w:hAnsiTheme="majorBidi" w:cstheme="majorBidi"/>
            <w:sz w:val="24"/>
            <w:szCs w:val="24"/>
          </w:rPr>
          <w:id w:val="848451749"/>
          <w:citation/>
        </w:sdtPr>
        <w:sdtContent>
          <w:r w:rsidRPr="00E17CEC">
            <w:rPr>
              <w:rFonts w:asciiTheme="majorBidi" w:hAnsiTheme="majorBidi" w:cstheme="majorBidi"/>
              <w:sz w:val="24"/>
              <w:szCs w:val="24"/>
            </w:rPr>
            <w:fldChar w:fldCharType="begin"/>
          </w:r>
          <w:r w:rsidRPr="00E17CEC">
            <w:rPr>
              <w:rFonts w:asciiTheme="majorBidi" w:hAnsiTheme="majorBidi" w:cstheme="majorBidi"/>
              <w:sz w:val="24"/>
              <w:szCs w:val="24"/>
            </w:rPr>
            <w:instrText xml:space="preserve"> CITATION Dan20 \l 2057 </w:instrText>
          </w:r>
          <w:r w:rsidRPr="00E17CEC">
            <w:rPr>
              <w:rFonts w:asciiTheme="majorBidi" w:hAnsiTheme="majorBidi" w:cstheme="majorBidi"/>
              <w:sz w:val="24"/>
              <w:szCs w:val="24"/>
            </w:rPr>
            <w:fldChar w:fldCharType="separate"/>
          </w:r>
          <w:r w:rsidRPr="00E17CEC">
            <w:rPr>
              <w:rFonts w:asciiTheme="majorBidi" w:hAnsiTheme="majorBidi" w:cstheme="majorBidi"/>
              <w:noProof/>
              <w:sz w:val="24"/>
              <w:szCs w:val="24"/>
            </w:rPr>
            <w:t>(Dang, Nguyen, &amp; Pervan, 2020)</w:t>
          </w:r>
          <w:r w:rsidRPr="00E17CEC">
            <w:rPr>
              <w:rFonts w:asciiTheme="majorBidi" w:hAnsiTheme="majorBidi" w:cstheme="majorBidi"/>
              <w:sz w:val="24"/>
              <w:szCs w:val="24"/>
            </w:rPr>
            <w:fldChar w:fldCharType="end"/>
          </w:r>
        </w:sdtContent>
      </w:sdt>
      <w:r w:rsidRPr="00E17CEC">
        <w:rPr>
          <w:rFonts w:asciiTheme="majorBidi" w:hAnsiTheme="majorBidi" w:cstheme="majorBidi"/>
          <w:sz w:val="24"/>
          <w:szCs w:val="24"/>
        </w:rPr>
        <w:t>.</w:t>
      </w:r>
      <w:r w:rsidRPr="00DF1B7A">
        <w:rPr>
          <w:rFonts w:asciiTheme="majorBidi" w:hAnsiTheme="majorBidi" w:cstheme="majorBidi"/>
          <w:sz w:val="24"/>
          <w:szCs w:val="24"/>
        </w:rPr>
        <w:t xml:space="preserve"> </w:t>
      </w:r>
    </w:p>
    <w:p w14:paraId="3C3B94D5" w14:textId="32AB0E25" w:rsidR="00A96566" w:rsidRPr="00DF1B7A" w:rsidRDefault="00A96566" w:rsidP="00CE5120">
      <w:pPr>
        <w:adjustRightInd w:val="0"/>
        <w:spacing w:after="0" w:line="480" w:lineRule="auto"/>
        <w:ind w:firstLine="720"/>
        <w:jc w:val="lowKashida"/>
        <w:rPr>
          <w:rFonts w:asciiTheme="majorBidi" w:hAnsiTheme="majorBidi" w:cstheme="majorBidi"/>
          <w:sz w:val="24"/>
          <w:szCs w:val="24"/>
        </w:rPr>
      </w:pPr>
      <w:r w:rsidRPr="00DF1B7A">
        <w:rPr>
          <w:rFonts w:asciiTheme="majorBidi" w:hAnsiTheme="majorBidi" w:cstheme="majorBidi"/>
          <w:sz w:val="24"/>
          <w:szCs w:val="24"/>
        </w:rPr>
        <w:t>There are other studies in literature that focus on the impact o</w:t>
      </w:r>
      <w:r>
        <w:rPr>
          <w:rFonts w:asciiTheme="majorBidi" w:hAnsiTheme="majorBidi" w:cstheme="majorBidi"/>
          <w:sz w:val="24"/>
          <w:szCs w:val="24"/>
        </w:rPr>
        <w:t>f</w:t>
      </w:r>
      <w:r w:rsidRPr="00DF1B7A">
        <w:rPr>
          <w:rFonts w:asciiTheme="majorBidi" w:hAnsiTheme="majorBidi" w:cstheme="majorBidi"/>
          <w:sz w:val="24"/>
          <w:szCs w:val="24"/>
        </w:rPr>
        <w:t xml:space="preserve"> </w:t>
      </w:r>
      <w:r>
        <w:rPr>
          <w:rFonts w:asciiTheme="majorBidi" w:hAnsiTheme="majorBidi" w:cstheme="majorBidi"/>
          <w:sz w:val="24"/>
          <w:szCs w:val="24"/>
        </w:rPr>
        <w:t xml:space="preserve">CSR </w:t>
      </w:r>
      <w:r w:rsidR="00F00B9B">
        <w:rPr>
          <w:rFonts w:asciiTheme="majorBidi" w:hAnsiTheme="majorBidi" w:cstheme="majorBidi"/>
          <w:sz w:val="24"/>
          <w:szCs w:val="24"/>
        </w:rPr>
        <w:t xml:space="preserve">communication </w:t>
      </w:r>
      <w:r>
        <w:rPr>
          <w:rFonts w:asciiTheme="majorBidi" w:hAnsiTheme="majorBidi" w:cstheme="majorBidi"/>
          <w:sz w:val="24"/>
          <w:szCs w:val="24"/>
        </w:rPr>
        <w:t xml:space="preserve">on </w:t>
      </w:r>
      <w:r w:rsidRPr="00DF1B7A">
        <w:rPr>
          <w:rFonts w:asciiTheme="majorBidi" w:hAnsiTheme="majorBidi" w:cstheme="majorBidi"/>
          <w:sz w:val="24"/>
          <w:szCs w:val="24"/>
        </w:rPr>
        <w:t xml:space="preserve">consumers when companies communicate the way they intended to launch CSR campaigns. </w:t>
      </w:r>
      <w:r w:rsidRPr="00460517">
        <w:rPr>
          <w:rFonts w:asciiTheme="majorBidi" w:hAnsiTheme="majorBidi" w:cstheme="majorBidi"/>
          <w:sz w:val="24"/>
          <w:szCs w:val="24"/>
        </w:rPr>
        <w:t xml:space="preserve">Newman, Gorlin, and Dhar </w:t>
      </w:r>
      <w:sdt>
        <w:sdtPr>
          <w:rPr>
            <w:rFonts w:asciiTheme="majorBidi" w:hAnsiTheme="majorBidi" w:cstheme="majorBidi"/>
            <w:sz w:val="24"/>
            <w:szCs w:val="24"/>
          </w:rPr>
          <w:id w:val="300274644"/>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CITATION New14 \n  \t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(2014)</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w:t>
      </w:r>
      <w:r w:rsidRPr="00DF1B7A">
        <w:rPr>
          <w:rFonts w:asciiTheme="majorBidi" w:hAnsiTheme="majorBidi" w:cstheme="majorBidi"/>
          <w:sz w:val="24"/>
          <w:szCs w:val="24"/>
        </w:rPr>
        <w:t xml:space="preserve"> conducted several experiments on 303 respondents to investigate consumers’ responses in terms of company perception and purchase intention if the company communicates that they intended to produce products that are environment friendly. The researchers found that consumers’ perception of product quality and their purchase intentions </w:t>
      </w:r>
      <w:r w:rsidR="00861991">
        <w:rPr>
          <w:rFonts w:asciiTheme="majorBidi" w:hAnsiTheme="majorBidi" w:cstheme="majorBidi"/>
          <w:sz w:val="24"/>
          <w:szCs w:val="24"/>
        </w:rPr>
        <w:t>are</w:t>
      </w:r>
      <w:r w:rsidRPr="00DF1B7A">
        <w:rPr>
          <w:rFonts w:asciiTheme="majorBidi" w:hAnsiTheme="majorBidi" w:cstheme="majorBidi"/>
          <w:sz w:val="24"/>
          <w:szCs w:val="24"/>
        </w:rPr>
        <w:t xml:space="preserve"> higher when the company communicated that they did not intend to develop environment-friendly products and that it was a “coincidence” that happened during production</w:t>
      </w:r>
      <w:sdt>
        <w:sdtPr>
          <w:rPr>
            <w:rFonts w:asciiTheme="majorBidi" w:hAnsiTheme="majorBidi" w:cstheme="majorBidi"/>
            <w:sz w:val="24"/>
            <w:szCs w:val="24"/>
          </w:rPr>
          <w:id w:val="1186172561"/>
          <w:citation/>
        </w:sdtPr>
        <w:sdtContent>
          <w:r w:rsidRPr="00DF1B7A">
            <w:rPr>
              <w:rFonts w:asciiTheme="majorBidi" w:hAnsiTheme="majorBidi" w:cstheme="majorBidi"/>
              <w:sz w:val="24"/>
              <w:szCs w:val="24"/>
            </w:rPr>
            <w:fldChar w:fldCharType="begin"/>
          </w:r>
          <w:r w:rsidRPr="00DF1B7A">
            <w:rPr>
              <w:rFonts w:asciiTheme="majorBidi" w:hAnsiTheme="majorBidi" w:cstheme="majorBidi"/>
              <w:sz w:val="24"/>
              <w:szCs w:val="24"/>
            </w:rPr>
            <w:instrText xml:space="preserve">CITATION New14 \t  \l 2057 </w:instrText>
          </w:r>
          <w:r w:rsidRPr="00DF1B7A">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(Newman, Gorlin, &amp; Dhar, 2014)</w:t>
          </w:r>
          <w:r w:rsidRPr="00DF1B7A">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w:t>
      </w:r>
      <w:r>
        <w:rPr>
          <w:rFonts w:asciiTheme="majorBidi" w:hAnsiTheme="majorBidi" w:cstheme="majorBidi"/>
          <w:sz w:val="24"/>
          <w:szCs w:val="24"/>
        </w:rPr>
        <w:t>Remarkably</w:t>
      </w:r>
      <w:r w:rsidRPr="00DF1B7A">
        <w:rPr>
          <w:rFonts w:asciiTheme="majorBidi" w:hAnsiTheme="majorBidi" w:cstheme="majorBidi"/>
          <w:sz w:val="24"/>
          <w:szCs w:val="24"/>
        </w:rPr>
        <w:t>, it was evident that consumers are less likely to deduce a negative inference about a company’s intended social or environmental efforts if these efforts were not inherently related to the company’s product</w:t>
      </w:r>
      <w:r>
        <w:rPr>
          <w:rFonts w:asciiTheme="majorBidi" w:hAnsiTheme="majorBidi" w:cstheme="majorBidi"/>
          <w:sz w:val="24"/>
          <w:szCs w:val="24"/>
        </w:rPr>
        <w:t>s</w:t>
      </w:r>
      <w:r w:rsidRPr="00DF1B7A">
        <w:rPr>
          <w:rFonts w:asciiTheme="majorBidi" w:hAnsiTheme="majorBidi" w:cstheme="majorBidi"/>
          <w:sz w:val="24"/>
          <w:szCs w:val="24"/>
        </w:rPr>
        <w:t xml:space="preserve"> </w:t>
      </w:r>
      <w:sdt>
        <w:sdtPr>
          <w:rPr>
            <w:rFonts w:asciiTheme="majorBidi" w:hAnsiTheme="majorBidi" w:cstheme="majorBidi"/>
            <w:sz w:val="24"/>
            <w:szCs w:val="24"/>
          </w:rPr>
          <w:id w:val="-2090686200"/>
          <w:citation/>
        </w:sdtPr>
        <w:sdtContent>
          <w:r w:rsidRPr="00DF1B7A">
            <w:rPr>
              <w:rFonts w:asciiTheme="majorBidi" w:hAnsiTheme="majorBidi" w:cstheme="majorBidi"/>
              <w:sz w:val="24"/>
              <w:szCs w:val="24"/>
            </w:rPr>
            <w:fldChar w:fldCharType="begin"/>
          </w:r>
          <w:r w:rsidRPr="00DF1B7A">
            <w:rPr>
              <w:rFonts w:asciiTheme="majorBidi" w:hAnsiTheme="majorBidi" w:cstheme="majorBidi"/>
              <w:sz w:val="24"/>
              <w:szCs w:val="24"/>
            </w:rPr>
            <w:instrText xml:space="preserve"> CITATION New14 \l 2057 </w:instrText>
          </w:r>
          <w:r w:rsidRPr="00DF1B7A">
            <w:rPr>
              <w:rFonts w:asciiTheme="majorBidi" w:hAnsiTheme="majorBidi" w:cstheme="majorBidi"/>
              <w:sz w:val="24"/>
              <w:szCs w:val="24"/>
            </w:rPr>
            <w:fldChar w:fldCharType="separate"/>
          </w:r>
          <w:r w:rsidRPr="0002256A">
            <w:rPr>
              <w:rFonts w:asciiTheme="majorBidi" w:hAnsiTheme="majorBidi" w:cstheme="majorBidi"/>
              <w:noProof/>
              <w:sz w:val="24"/>
              <w:szCs w:val="24"/>
            </w:rPr>
            <w:t>(Newman, Gorlin, &amp; Dhar, 2014)</w:t>
          </w:r>
          <w:r w:rsidRPr="00DF1B7A">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This is because, when the </w:t>
      </w:r>
      <w:r w:rsidRPr="00E17CEC">
        <w:rPr>
          <w:rFonts w:asciiTheme="majorBidi" w:hAnsiTheme="majorBidi" w:cstheme="majorBidi"/>
          <w:sz w:val="24"/>
          <w:szCs w:val="24"/>
        </w:rPr>
        <w:t xml:space="preserve">value that the consumer is receiving is separated from the product functions, consumers will not infer that the company </w:t>
      </w:r>
      <w:r w:rsidR="00D216CD">
        <w:rPr>
          <w:rFonts w:asciiTheme="majorBidi" w:hAnsiTheme="majorBidi" w:cstheme="majorBidi"/>
          <w:sz w:val="24"/>
          <w:szCs w:val="24"/>
        </w:rPr>
        <w:t xml:space="preserve">has </w:t>
      </w:r>
      <w:r w:rsidRPr="00E17CEC">
        <w:rPr>
          <w:rFonts w:asciiTheme="majorBidi" w:hAnsiTheme="majorBidi" w:cstheme="majorBidi"/>
          <w:sz w:val="24"/>
          <w:szCs w:val="24"/>
        </w:rPr>
        <w:t xml:space="preserve">compromised on the quality of the product’s functions by diverting some of its resources away from enhancing the product’s quality </w:t>
      </w:r>
      <w:sdt>
        <w:sdtPr>
          <w:rPr>
            <w:rFonts w:asciiTheme="majorBidi" w:hAnsiTheme="majorBidi" w:cstheme="majorBidi"/>
            <w:sz w:val="24"/>
            <w:szCs w:val="24"/>
          </w:rPr>
          <w:id w:val="1274286622"/>
          <w:citation/>
        </w:sdtPr>
        <w:sdtContent>
          <w:r w:rsidRPr="00E17CEC">
            <w:rPr>
              <w:rFonts w:asciiTheme="majorBidi" w:hAnsiTheme="majorBidi" w:cstheme="majorBidi"/>
              <w:sz w:val="24"/>
              <w:szCs w:val="24"/>
            </w:rPr>
            <w:fldChar w:fldCharType="begin"/>
          </w:r>
          <w:r w:rsidRPr="00E17CEC">
            <w:rPr>
              <w:rFonts w:asciiTheme="majorBidi" w:hAnsiTheme="majorBidi" w:cstheme="majorBidi"/>
              <w:sz w:val="24"/>
              <w:szCs w:val="24"/>
            </w:rPr>
            <w:instrText xml:space="preserve"> CITATION New14 \l 2057 </w:instrText>
          </w:r>
          <w:r w:rsidRPr="00E17CEC">
            <w:rPr>
              <w:rFonts w:asciiTheme="majorBidi" w:hAnsiTheme="majorBidi" w:cstheme="majorBidi"/>
              <w:sz w:val="24"/>
              <w:szCs w:val="24"/>
            </w:rPr>
            <w:fldChar w:fldCharType="separate"/>
          </w:r>
          <w:r w:rsidRPr="00E17CEC">
            <w:rPr>
              <w:rFonts w:asciiTheme="majorBidi" w:hAnsiTheme="majorBidi" w:cstheme="majorBidi"/>
              <w:noProof/>
              <w:sz w:val="24"/>
              <w:szCs w:val="24"/>
            </w:rPr>
            <w:t>(Newman, Gorlin, &amp; Dhar, 2014)</w:t>
          </w:r>
          <w:r w:rsidRPr="00E17CEC">
            <w:rPr>
              <w:rFonts w:asciiTheme="majorBidi" w:hAnsiTheme="majorBidi" w:cstheme="majorBidi"/>
              <w:sz w:val="24"/>
              <w:szCs w:val="24"/>
            </w:rPr>
            <w:fldChar w:fldCharType="end"/>
          </w:r>
        </w:sdtContent>
      </w:sdt>
      <w:r w:rsidRPr="00E17CEC">
        <w:rPr>
          <w:rFonts w:asciiTheme="majorBidi" w:hAnsiTheme="majorBidi" w:cstheme="majorBidi"/>
          <w:sz w:val="24"/>
          <w:szCs w:val="24"/>
        </w:rPr>
        <w:t>.</w:t>
      </w:r>
      <w:r w:rsidRPr="00DF1B7A">
        <w:rPr>
          <w:rFonts w:asciiTheme="majorBidi" w:hAnsiTheme="majorBidi" w:cstheme="majorBidi"/>
          <w:sz w:val="24"/>
          <w:szCs w:val="24"/>
        </w:rPr>
        <w:t xml:space="preserve"> </w:t>
      </w:r>
      <w:r>
        <w:rPr>
          <w:rFonts w:asciiTheme="majorBidi" w:hAnsiTheme="majorBidi" w:cstheme="majorBidi"/>
          <w:sz w:val="24"/>
          <w:szCs w:val="24"/>
        </w:rPr>
        <w:t xml:space="preserve">This is an interesting finding, because, </w:t>
      </w:r>
      <w:r w:rsidRPr="00DF1B7A">
        <w:rPr>
          <w:rFonts w:asciiTheme="majorBidi" w:hAnsiTheme="majorBidi" w:cstheme="majorBidi"/>
          <w:sz w:val="24"/>
          <w:szCs w:val="24"/>
        </w:rPr>
        <w:t>based on an</w:t>
      </w:r>
      <w:r>
        <w:rPr>
          <w:rFonts w:asciiTheme="majorBidi" w:hAnsiTheme="majorBidi" w:cstheme="majorBidi"/>
          <w:sz w:val="24"/>
          <w:szCs w:val="24"/>
        </w:rPr>
        <w:t>other</w:t>
      </w:r>
      <w:r w:rsidRPr="00DF1B7A">
        <w:rPr>
          <w:rFonts w:asciiTheme="majorBidi" w:hAnsiTheme="majorBidi" w:cstheme="majorBidi"/>
          <w:sz w:val="24"/>
          <w:szCs w:val="24"/>
        </w:rPr>
        <w:t xml:space="preserve"> experimental study of 56 participants, when consumers know that a company </w:t>
      </w:r>
      <w:r>
        <w:rPr>
          <w:rFonts w:asciiTheme="majorBidi" w:hAnsiTheme="majorBidi" w:cstheme="majorBidi"/>
          <w:sz w:val="24"/>
          <w:szCs w:val="24"/>
        </w:rPr>
        <w:t>is involved in social activities regardless of its relevance to the company’s products</w:t>
      </w:r>
      <w:r w:rsidRPr="00DF1B7A">
        <w:rPr>
          <w:rFonts w:asciiTheme="majorBidi" w:hAnsiTheme="majorBidi" w:cstheme="majorBidi"/>
          <w:sz w:val="24"/>
          <w:szCs w:val="24"/>
        </w:rPr>
        <w:t xml:space="preserve">, they would </w:t>
      </w:r>
      <w:r>
        <w:rPr>
          <w:rFonts w:asciiTheme="majorBidi" w:hAnsiTheme="majorBidi" w:cstheme="majorBidi"/>
          <w:sz w:val="24"/>
          <w:szCs w:val="24"/>
        </w:rPr>
        <w:t xml:space="preserve">generally </w:t>
      </w:r>
      <w:r w:rsidRPr="00DF1B7A">
        <w:rPr>
          <w:rFonts w:asciiTheme="majorBidi" w:hAnsiTheme="majorBidi" w:cstheme="majorBidi"/>
          <w:sz w:val="24"/>
          <w:szCs w:val="24"/>
        </w:rPr>
        <w:t xml:space="preserve">perceive its products to be </w:t>
      </w:r>
      <w:r w:rsidRPr="00E17CEC">
        <w:rPr>
          <w:rFonts w:asciiTheme="majorBidi" w:hAnsiTheme="majorBidi" w:cstheme="majorBidi"/>
          <w:sz w:val="24"/>
          <w:szCs w:val="24"/>
        </w:rPr>
        <w:t>functionally better than other companies that are not socially responsible</w:t>
      </w:r>
      <w:sdt>
        <w:sdtPr>
          <w:rPr>
            <w:rFonts w:asciiTheme="majorBidi" w:hAnsiTheme="majorBidi" w:cstheme="majorBidi"/>
            <w:sz w:val="24"/>
            <w:szCs w:val="24"/>
          </w:rPr>
          <w:id w:val="-1768302113"/>
          <w:citation/>
        </w:sdtPr>
        <w:sdtContent>
          <w:r w:rsidRPr="00E17CEC">
            <w:rPr>
              <w:rFonts w:asciiTheme="majorBidi" w:hAnsiTheme="majorBidi" w:cstheme="majorBidi"/>
              <w:sz w:val="24"/>
              <w:szCs w:val="24"/>
            </w:rPr>
            <w:fldChar w:fldCharType="begin"/>
          </w:r>
          <w:r w:rsidRPr="00E17CEC">
            <w:rPr>
              <w:rFonts w:asciiTheme="majorBidi" w:hAnsiTheme="majorBidi" w:cstheme="majorBidi"/>
              <w:sz w:val="24"/>
              <w:szCs w:val="24"/>
            </w:rPr>
            <w:instrText xml:space="preserve">CITATION CHE15 \l 2057 </w:instrText>
          </w:r>
          <w:r w:rsidRPr="00E17CEC">
            <w:rPr>
              <w:rFonts w:asciiTheme="majorBidi" w:hAnsiTheme="majorBidi" w:cstheme="majorBidi"/>
              <w:sz w:val="24"/>
              <w:szCs w:val="24"/>
            </w:rPr>
            <w:fldChar w:fldCharType="separate"/>
          </w:r>
          <w:r w:rsidRPr="00E17CEC">
            <w:rPr>
              <w:rFonts w:asciiTheme="majorBidi" w:hAnsiTheme="majorBidi" w:cstheme="majorBidi"/>
              <w:noProof/>
              <w:sz w:val="24"/>
              <w:szCs w:val="24"/>
            </w:rPr>
            <w:t xml:space="preserve"> (Chernev &amp; Blair, 2015)</w:t>
          </w:r>
          <w:r w:rsidRPr="00E17CEC">
            <w:rPr>
              <w:rFonts w:asciiTheme="majorBidi" w:hAnsiTheme="majorBidi" w:cstheme="majorBidi"/>
              <w:sz w:val="24"/>
              <w:szCs w:val="24"/>
            </w:rPr>
            <w:fldChar w:fldCharType="end"/>
          </w:r>
        </w:sdtContent>
      </w:sdt>
      <w:r w:rsidRPr="00E17CEC">
        <w:rPr>
          <w:rFonts w:asciiTheme="majorBidi" w:hAnsiTheme="majorBidi" w:cstheme="majorBidi"/>
          <w:sz w:val="24"/>
          <w:szCs w:val="24"/>
        </w:rPr>
        <w:t>.</w:t>
      </w:r>
      <w:r w:rsidRPr="00DF1B7A">
        <w:rPr>
          <w:rFonts w:asciiTheme="majorBidi" w:hAnsiTheme="majorBidi" w:cstheme="majorBidi"/>
          <w:sz w:val="24"/>
          <w:szCs w:val="24"/>
        </w:rPr>
        <w:t xml:space="preserve"> The researchers link this finding to the “halo effect” such that</w:t>
      </w:r>
      <w:r>
        <w:rPr>
          <w:rFonts w:asciiTheme="majorBidi" w:hAnsiTheme="majorBidi" w:cstheme="majorBidi"/>
          <w:sz w:val="24"/>
          <w:szCs w:val="24"/>
        </w:rPr>
        <w:t>,</w:t>
      </w:r>
      <w:r w:rsidRPr="00DF1B7A">
        <w:rPr>
          <w:rFonts w:asciiTheme="majorBidi" w:hAnsiTheme="majorBidi" w:cstheme="majorBidi"/>
          <w:sz w:val="24"/>
          <w:szCs w:val="24"/>
        </w:rPr>
        <w:t xml:space="preserve"> the overall social strategy of a company </w:t>
      </w:r>
      <w:r>
        <w:rPr>
          <w:rFonts w:asciiTheme="majorBidi" w:hAnsiTheme="majorBidi" w:cstheme="majorBidi"/>
          <w:sz w:val="24"/>
          <w:szCs w:val="24"/>
        </w:rPr>
        <w:t xml:space="preserve">has a </w:t>
      </w:r>
      <w:r w:rsidRPr="00DF1B7A">
        <w:rPr>
          <w:rFonts w:asciiTheme="majorBidi" w:hAnsiTheme="majorBidi" w:cstheme="majorBidi"/>
          <w:sz w:val="24"/>
          <w:szCs w:val="24"/>
        </w:rPr>
        <w:t>positive</w:t>
      </w:r>
      <w:r>
        <w:rPr>
          <w:rFonts w:asciiTheme="majorBidi" w:hAnsiTheme="majorBidi" w:cstheme="majorBidi"/>
          <w:sz w:val="24"/>
          <w:szCs w:val="24"/>
        </w:rPr>
        <w:t xml:space="preserve"> spill-over</w:t>
      </w:r>
      <w:r w:rsidRPr="00DF1B7A">
        <w:rPr>
          <w:rFonts w:asciiTheme="majorBidi" w:hAnsiTheme="majorBidi" w:cstheme="majorBidi"/>
          <w:sz w:val="24"/>
          <w:szCs w:val="24"/>
        </w:rPr>
        <w:t xml:space="preserve"> </w:t>
      </w:r>
      <w:r>
        <w:rPr>
          <w:rFonts w:asciiTheme="majorBidi" w:hAnsiTheme="majorBidi" w:cstheme="majorBidi"/>
          <w:sz w:val="24"/>
          <w:szCs w:val="24"/>
        </w:rPr>
        <w:t>e</w:t>
      </w:r>
      <w:r w:rsidRPr="00DF1B7A">
        <w:rPr>
          <w:rFonts w:asciiTheme="majorBidi" w:hAnsiTheme="majorBidi" w:cstheme="majorBidi"/>
          <w:sz w:val="24"/>
          <w:szCs w:val="24"/>
        </w:rPr>
        <w:t>ffect</w:t>
      </w:r>
      <w:r>
        <w:rPr>
          <w:rFonts w:asciiTheme="majorBidi" w:hAnsiTheme="majorBidi" w:cstheme="majorBidi"/>
          <w:sz w:val="24"/>
          <w:szCs w:val="24"/>
        </w:rPr>
        <w:t xml:space="preserve"> on</w:t>
      </w:r>
      <w:r w:rsidRPr="00DF1B7A">
        <w:rPr>
          <w:rFonts w:asciiTheme="majorBidi" w:hAnsiTheme="majorBidi" w:cstheme="majorBidi"/>
          <w:sz w:val="24"/>
          <w:szCs w:val="24"/>
        </w:rPr>
        <w:t xml:space="preserve"> consumers’ perceptions of the functionality of the company’s products </w:t>
      </w:r>
      <w:sdt>
        <w:sdtPr>
          <w:rPr>
            <w:rFonts w:asciiTheme="majorBidi" w:hAnsiTheme="majorBidi" w:cstheme="majorBidi"/>
            <w:sz w:val="24"/>
            <w:szCs w:val="24"/>
          </w:rPr>
          <w:id w:val="1794643884"/>
          <w:citation/>
        </w:sdtPr>
        <w:sdtContent>
          <w:r w:rsidRPr="00DF1B7A">
            <w:rPr>
              <w:rFonts w:asciiTheme="majorBidi" w:hAnsiTheme="majorBidi" w:cstheme="majorBidi"/>
              <w:sz w:val="24"/>
              <w:szCs w:val="24"/>
            </w:rPr>
            <w:fldChar w:fldCharType="begin"/>
          </w:r>
          <w:r w:rsidRPr="00DF1B7A">
            <w:rPr>
              <w:rFonts w:asciiTheme="majorBidi" w:hAnsiTheme="majorBidi" w:cstheme="majorBidi"/>
              <w:sz w:val="24"/>
              <w:szCs w:val="24"/>
            </w:rPr>
            <w:instrText xml:space="preserve"> CITATION CHE15 \l 2057 </w:instrText>
          </w:r>
          <w:r w:rsidRPr="00DF1B7A">
            <w:rPr>
              <w:rFonts w:asciiTheme="majorBidi" w:hAnsiTheme="majorBidi" w:cstheme="majorBidi"/>
              <w:sz w:val="24"/>
              <w:szCs w:val="24"/>
            </w:rPr>
            <w:fldChar w:fldCharType="separate"/>
          </w:r>
          <w:r w:rsidRPr="0002256A">
            <w:rPr>
              <w:rFonts w:asciiTheme="majorBidi" w:hAnsiTheme="majorBidi" w:cstheme="majorBidi"/>
              <w:sz w:val="24"/>
              <w:szCs w:val="24"/>
            </w:rPr>
            <w:t>(Chernev &amp; Blair, 2015)</w:t>
          </w:r>
          <w:r w:rsidRPr="00DF1B7A">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w:t>
      </w:r>
    </w:p>
    <w:p w14:paraId="54C9780F" w14:textId="45E53A7A" w:rsidR="00A96566" w:rsidRDefault="00CE5120" w:rsidP="00CE5120">
      <w:pPr>
        <w:spacing w:after="0" w:line="480" w:lineRule="auto"/>
        <w:rPr>
          <w:rFonts w:asciiTheme="majorBidi" w:hAnsiTheme="majorBidi" w:cstheme="majorBidi"/>
          <w:sz w:val="24"/>
          <w:szCs w:val="24"/>
        </w:rPr>
      </w:pPr>
      <w:r>
        <w:rPr>
          <w:rFonts w:asciiTheme="majorBidi" w:hAnsiTheme="majorBidi" w:cstheme="majorBidi"/>
          <w:sz w:val="24"/>
          <w:szCs w:val="24"/>
        </w:rPr>
        <w:tab/>
      </w:r>
      <w:r w:rsidR="00A96566" w:rsidRPr="00DF1B7A">
        <w:rPr>
          <w:rFonts w:asciiTheme="majorBidi" w:hAnsiTheme="majorBidi" w:cstheme="majorBidi"/>
          <w:sz w:val="24"/>
          <w:szCs w:val="24"/>
        </w:rPr>
        <w:t xml:space="preserve">Based on an experimental study on 665 US college students, proactive CSR strategies revealed more favourable attitudes towards the firm and stronger purchase intention </w:t>
      </w:r>
      <w:r w:rsidR="00A96566">
        <w:rPr>
          <w:rFonts w:asciiTheme="majorBidi" w:hAnsiTheme="majorBidi" w:cstheme="majorBidi"/>
          <w:sz w:val="24"/>
          <w:szCs w:val="24"/>
        </w:rPr>
        <w:t>when</w:t>
      </w:r>
      <w:r w:rsidR="00A96566" w:rsidRPr="00DF1B7A">
        <w:rPr>
          <w:rFonts w:asciiTheme="majorBidi" w:hAnsiTheme="majorBidi" w:cstheme="majorBidi"/>
          <w:sz w:val="24"/>
          <w:szCs w:val="24"/>
        </w:rPr>
        <w:t xml:space="preserve"> compared to reactive CSR strategies</w:t>
      </w:r>
      <w:r w:rsidR="00A96566" w:rsidRPr="00F627B8">
        <w:rPr>
          <w:rFonts w:asciiTheme="majorBidi" w:hAnsiTheme="majorBidi" w:cstheme="majorBidi"/>
          <w:sz w:val="24"/>
          <w:szCs w:val="24"/>
        </w:rPr>
        <w:t xml:space="preserve"> </w:t>
      </w:r>
      <w:sdt>
        <w:sdtPr>
          <w:rPr>
            <w:rFonts w:asciiTheme="majorBidi" w:hAnsiTheme="majorBidi" w:cstheme="majorBidi"/>
            <w:sz w:val="24"/>
            <w:szCs w:val="24"/>
          </w:rPr>
          <w:id w:val="-1665624025"/>
          <w:citation/>
        </w:sdtPr>
        <w:sdtContent>
          <w:r w:rsidR="00A96566" w:rsidRPr="00460517">
            <w:rPr>
              <w:rFonts w:asciiTheme="majorBidi" w:hAnsiTheme="majorBidi" w:cstheme="majorBidi"/>
              <w:sz w:val="24"/>
              <w:szCs w:val="24"/>
            </w:rPr>
            <w:fldChar w:fldCharType="begin"/>
          </w:r>
          <w:r w:rsidR="00A96566" w:rsidRPr="00460517">
            <w:rPr>
              <w:rFonts w:asciiTheme="majorBidi" w:hAnsiTheme="majorBidi" w:cstheme="majorBidi"/>
              <w:sz w:val="24"/>
              <w:szCs w:val="24"/>
            </w:rPr>
            <w:instrText xml:space="preserve">CITATION Kim17 \t  \l 2057 </w:instrText>
          </w:r>
          <w:r w:rsidR="00A96566" w:rsidRPr="00460517">
            <w:rPr>
              <w:rFonts w:asciiTheme="majorBidi" w:hAnsiTheme="majorBidi" w:cstheme="majorBidi"/>
              <w:sz w:val="24"/>
              <w:szCs w:val="24"/>
            </w:rPr>
            <w:fldChar w:fldCharType="separate"/>
          </w:r>
          <w:r w:rsidR="00A96566" w:rsidRPr="00460517">
            <w:rPr>
              <w:rFonts w:asciiTheme="majorBidi" w:hAnsiTheme="majorBidi" w:cstheme="majorBidi"/>
              <w:sz w:val="24"/>
              <w:szCs w:val="24"/>
            </w:rPr>
            <w:t>(Kim Y. , 2017)</w:t>
          </w:r>
          <w:r w:rsidR="00A96566" w:rsidRPr="00460517">
            <w:rPr>
              <w:rFonts w:asciiTheme="majorBidi" w:hAnsiTheme="majorBidi" w:cstheme="majorBidi"/>
              <w:sz w:val="24"/>
              <w:szCs w:val="24"/>
            </w:rPr>
            <w:fldChar w:fldCharType="end"/>
          </w:r>
        </w:sdtContent>
      </w:sdt>
      <w:r w:rsidR="00A96566" w:rsidRPr="00460517">
        <w:rPr>
          <w:rFonts w:asciiTheme="majorBidi" w:hAnsiTheme="majorBidi" w:cstheme="majorBidi"/>
          <w:sz w:val="24"/>
          <w:szCs w:val="24"/>
        </w:rPr>
        <w:t>.</w:t>
      </w:r>
      <w:r w:rsidR="00A96566" w:rsidRPr="00DF1B7A">
        <w:rPr>
          <w:rFonts w:asciiTheme="majorBidi" w:hAnsiTheme="majorBidi" w:cstheme="majorBidi"/>
          <w:sz w:val="24"/>
          <w:szCs w:val="24"/>
        </w:rPr>
        <w:t xml:space="preserve"> </w:t>
      </w:r>
      <w:r w:rsidR="00A96566">
        <w:rPr>
          <w:rFonts w:asciiTheme="majorBidi" w:hAnsiTheme="majorBidi" w:cstheme="majorBidi"/>
          <w:sz w:val="24"/>
          <w:szCs w:val="24"/>
        </w:rPr>
        <w:t>Essentially</w:t>
      </w:r>
      <w:r w:rsidR="00A96566" w:rsidRPr="00DF1B7A">
        <w:rPr>
          <w:rFonts w:asciiTheme="majorBidi" w:hAnsiTheme="majorBidi" w:cstheme="majorBidi"/>
          <w:sz w:val="24"/>
          <w:szCs w:val="24"/>
        </w:rPr>
        <w:t>, the study showed that price is still a key influence on consumers’ attitudes and purchase intention</w:t>
      </w:r>
      <w:r w:rsidR="00B07DCA" w:rsidRPr="00B07DCA">
        <w:rPr>
          <w:rFonts w:asciiTheme="majorBidi" w:hAnsiTheme="majorBidi" w:cstheme="majorBidi"/>
          <w:sz w:val="24"/>
          <w:szCs w:val="24"/>
        </w:rPr>
        <w:t xml:space="preserve"> </w:t>
      </w:r>
      <w:sdt>
        <w:sdtPr>
          <w:rPr>
            <w:rFonts w:asciiTheme="majorBidi" w:hAnsiTheme="majorBidi" w:cstheme="majorBidi"/>
            <w:sz w:val="24"/>
            <w:szCs w:val="24"/>
          </w:rPr>
          <w:id w:val="-711961650"/>
          <w:citation/>
        </w:sdtPr>
        <w:sdtContent>
          <w:r w:rsidR="00B07DCA" w:rsidRPr="00DF1B7A">
            <w:rPr>
              <w:rFonts w:asciiTheme="majorBidi" w:hAnsiTheme="majorBidi" w:cstheme="majorBidi"/>
              <w:sz w:val="24"/>
              <w:szCs w:val="24"/>
            </w:rPr>
            <w:fldChar w:fldCharType="begin"/>
          </w:r>
          <w:r w:rsidR="00B07DCA">
            <w:rPr>
              <w:rFonts w:asciiTheme="majorBidi" w:hAnsiTheme="majorBidi" w:cstheme="majorBidi"/>
              <w:sz w:val="24"/>
              <w:szCs w:val="24"/>
            </w:rPr>
            <w:instrText xml:space="preserve">CITATION Kim17 \t  \l 2057 </w:instrText>
          </w:r>
          <w:r w:rsidR="00B07DCA" w:rsidRPr="00DF1B7A">
            <w:rPr>
              <w:rFonts w:asciiTheme="majorBidi" w:hAnsiTheme="majorBidi" w:cstheme="majorBidi"/>
              <w:sz w:val="24"/>
              <w:szCs w:val="24"/>
            </w:rPr>
            <w:fldChar w:fldCharType="separate"/>
          </w:r>
          <w:r w:rsidR="00B07DCA" w:rsidRPr="0002256A">
            <w:rPr>
              <w:rFonts w:asciiTheme="majorBidi" w:hAnsiTheme="majorBidi" w:cstheme="majorBidi"/>
              <w:sz w:val="24"/>
              <w:szCs w:val="24"/>
            </w:rPr>
            <w:t>(Kim Y. , 2017)</w:t>
          </w:r>
          <w:r w:rsidR="00B07DCA" w:rsidRPr="00DF1B7A">
            <w:rPr>
              <w:rFonts w:asciiTheme="majorBidi" w:hAnsiTheme="majorBidi" w:cstheme="majorBidi"/>
              <w:sz w:val="24"/>
              <w:szCs w:val="24"/>
            </w:rPr>
            <w:fldChar w:fldCharType="end"/>
          </w:r>
        </w:sdtContent>
      </w:sdt>
      <w:r w:rsidR="00A96566" w:rsidRPr="00DF1B7A">
        <w:rPr>
          <w:rFonts w:asciiTheme="majorBidi" w:hAnsiTheme="majorBidi" w:cstheme="majorBidi"/>
          <w:sz w:val="24"/>
          <w:szCs w:val="24"/>
        </w:rPr>
        <w:t xml:space="preserve">. This is because, consumers showed more positive attitudes towards companies that offer lower prices whether they launch proactive or reactive CSR initiatives </w:t>
      </w:r>
      <w:sdt>
        <w:sdtPr>
          <w:rPr>
            <w:rFonts w:asciiTheme="majorBidi" w:hAnsiTheme="majorBidi" w:cstheme="majorBidi"/>
            <w:sz w:val="24"/>
            <w:szCs w:val="24"/>
          </w:rPr>
          <w:id w:val="-1412467337"/>
          <w:citation/>
        </w:sdtPr>
        <w:sdtContent>
          <w:r w:rsidR="00A96566" w:rsidRPr="00DF1B7A">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Kim17 \t  \l 2057 </w:instrText>
          </w:r>
          <w:r w:rsidR="00A96566" w:rsidRPr="00DF1B7A">
            <w:rPr>
              <w:rFonts w:asciiTheme="majorBidi" w:hAnsiTheme="majorBidi" w:cstheme="majorBidi"/>
              <w:sz w:val="24"/>
              <w:szCs w:val="24"/>
            </w:rPr>
            <w:fldChar w:fldCharType="separate"/>
          </w:r>
          <w:r w:rsidR="00A96566" w:rsidRPr="0002256A">
            <w:rPr>
              <w:rFonts w:asciiTheme="majorBidi" w:hAnsiTheme="majorBidi" w:cstheme="majorBidi"/>
              <w:sz w:val="24"/>
              <w:szCs w:val="24"/>
            </w:rPr>
            <w:t>(Kim Y. , 2017)</w:t>
          </w:r>
          <w:r w:rsidR="00A96566" w:rsidRPr="00DF1B7A">
            <w:rPr>
              <w:rFonts w:asciiTheme="majorBidi" w:hAnsiTheme="majorBidi" w:cstheme="majorBidi"/>
              <w:sz w:val="24"/>
              <w:szCs w:val="24"/>
            </w:rPr>
            <w:fldChar w:fldCharType="end"/>
          </w:r>
        </w:sdtContent>
      </w:sdt>
      <w:r w:rsidR="00A96566" w:rsidRPr="00DF1B7A">
        <w:rPr>
          <w:rFonts w:asciiTheme="majorBidi" w:hAnsiTheme="majorBidi" w:cstheme="majorBidi"/>
          <w:sz w:val="24"/>
          <w:szCs w:val="24"/>
        </w:rPr>
        <w:t>. Hence, based on the findings of that study, consumers may not yet be willing to pay more for socially active products</w:t>
      </w:r>
      <w:r w:rsidR="00A96566" w:rsidRPr="00E15C6B">
        <w:rPr>
          <w:rFonts w:asciiTheme="majorBidi" w:hAnsiTheme="majorBidi" w:cstheme="majorBidi"/>
          <w:sz w:val="24"/>
          <w:szCs w:val="24"/>
        </w:rPr>
        <w:t xml:space="preserve"> </w:t>
      </w:r>
      <w:sdt>
        <w:sdtPr>
          <w:rPr>
            <w:rFonts w:asciiTheme="majorBidi" w:hAnsiTheme="majorBidi" w:cstheme="majorBidi"/>
            <w:sz w:val="24"/>
            <w:szCs w:val="24"/>
          </w:rPr>
          <w:id w:val="1024512221"/>
          <w:citation/>
        </w:sdtPr>
        <w:sdtContent>
          <w:r w:rsidR="00A96566" w:rsidRPr="00DF1B7A">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Kim17 \t  \l 2057 </w:instrText>
          </w:r>
          <w:r w:rsidR="00A96566" w:rsidRPr="00DF1B7A">
            <w:rPr>
              <w:rFonts w:asciiTheme="majorBidi" w:hAnsiTheme="majorBidi" w:cstheme="majorBidi"/>
              <w:sz w:val="24"/>
              <w:szCs w:val="24"/>
            </w:rPr>
            <w:fldChar w:fldCharType="separate"/>
          </w:r>
          <w:r w:rsidR="00A96566" w:rsidRPr="0002256A">
            <w:rPr>
              <w:rFonts w:asciiTheme="majorBidi" w:hAnsiTheme="majorBidi" w:cstheme="majorBidi"/>
              <w:sz w:val="24"/>
              <w:szCs w:val="24"/>
            </w:rPr>
            <w:t>(Kim Y. , 2017)</w:t>
          </w:r>
          <w:r w:rsidR="00A96566" w:rsidRPr="00DF1B7A">
            <w:rPr>
              <w:rFonts w:asciiTheme="majorBidi" w:hAnsiTheme="majorBidi" w:cstheme="majorBidi"/>
              <w:sz w:val="24"/>
              <w:szCs w:val="24"/>
            </w:rPr>
            <w:fldChar w:fldCharType="end"/>
          </w:r>
        </w:sdtContent>
      </w:sdt>
      <w:r w:rsidR="00A96566" w:rsidRPr="00DF1B7A">
        <w:rPr>
          <w:rFonts w:asciiTheme="majorBidi" w:hAnsiTheme="majorBidi" w:cstheme="majorBidi"/>
          <w:sz w:val="24"/>
          <w:szCs w:val="24"/>
        </w:rPr>
        <w:t xml:space="preserve">. </w:t>
      </w:r>
      <w:r w:rsidR="00A96566">
        <w:rPr>
          <w:rFonts w:asciiTheme="majorBidi" w:hAnsiTheme="majorBidi" w:cstheme="majorBidi"/>
          <w:sz w:val="24"/>
          <w:szCs w:val="24"/>
        </w:rPr>
        <w:t>However, that study had its limitations. The study was based on a student sample which makes the findings very specific to students in the US and hence restricts generalisability.</w:t>
      </w:r>
      <w:r w:rsidR="003B31C2">
        <w:rPr>
          <w:rFonts w:asciiTheme="majorBidi" w:hAnsiTheme="majorBidi" w:cstheme="majorBidi"/>
          <w:sz w:val="24"/>
          <w:szCs w:val="24"/>
        </w:rPr>
        <w:t xml:space="preserve"> In fact, it appears in literature that different age groups are influenced differently by CSR communication</w:t>
      </w:r>
      <w:r w:rsidRPr="00CE5120">
        <w:rPr>
          <w:rFonts w:asciiTheme="majorBidi" w:hAnsiTheme="majorBidi" w:cstheme="majorBidi"/>
          <w:sz w:val="24"/>
          <w:szCs w:val="24"/>
        </w:rPr>
        <w:t xml:space="preserve"> </w:t>
      </w:r>
      <w:sdt>
        <w:sdtPr>
          <w:rPr>
            <w:rFonts w:asciiTheme="majorBidi" w:hAnsiTheme="majorBidi" w:cstheme="majorBidi"/>
            <w:sz w:val="24"/>
            <w:szCs w:val="24"/>
          </w:rPr>
          <w:id w:val="-840317237"/>
          <w:citation/>
        </w:sdtPr>
        <w:sdtContent>
          <w:r w:rsidRPr="00CE5120">
            <w:rPr>
              <w:rFonts w:asciiTheme="majorBidi" w:hAnsiTheme="majorBidi" w:cstheme="majorBidi"/>
              <w:sz w:val="24"/>
              <w:szCs w:val="24"/>
            </w:rPr>
            <w:fldChar w:fldCharType="begin"/>
          </w:r>
          <w:r w:rsidRPr="00CE5120">
            <w:rPr>
              <w:rFonts w:asciiTheme="majorBidi" w:hAnsiTheme="majorBidi" w:cstheme="majorBidi"/>
              <w:sz w:val="24"/>
              <w:szCs w:val="24"/>
            </w:rPr>
            <w:instrText xml:space="preserve"> CITATION zar22 \l 2057 </w:instrText>
          </w:r>
          <w:r w:rsidRPr="00CE5120">
            <w:rPr>
              <w:rFonts w:asciiTheme="majorBidi" w:hAnsiTheme="majorBidi" w:cstheme="majorBidi"/>
              <w:sz w:val="24"/>
              <w:szCs w:val="24"/>
            </w:rPr>
            <w:fldChar w:fldCharType="separate"/>
          </w:r>
          <w:r w:rsidRPr="00CE5120">
            <w:rPr>
              <w:rFonts w:asciiTheme="majorBidi" w:hAnsiTheme="majorBidi" w:cstheme="majorBidi"/>
              <w:sz w:val="24"/>
              <w:szCs w:val="24"/>
            </w:rPr>
            <w:t>(Szarková, Kozáková, &amp; Savov, 2022)</w:t>
          </w:r>
          <w:r w:rsidRPr="00CE5120">
            <w:rPr>
              <w:rFonts w:asciiTheme="majorBidi" w:hAnsiTheme="majorBidi" w:cstheme="majorBidi"/>
              <w:sz w:val="24"/>
              <w:szCs w:val="24"/>
            </w:rPr>
            <w:fldChar w:fldCharType="end"/>
          </w:r>
        </w:sdtContent>
      </w:sdt>
      <w:r>
        <w:rPr>
          <w:rFonts w:asciiTheme="majorBidi" w:hAnsiTheme="majorBidi" w:cstheme="majorBidi"/>
          <w:sz w:val="24"/>
          <w:szCs w:val="24"/>
        </w:rPr>
        <w:t>.</w:t>
      </w:r>
      <w:r w:rsidR="003B31C2">
        <w:rPr>
          <w:rFonts w:asciiTheme="majorBidi" w:hAnsiTheme="majorBidi" w:cstheme="majorBidi"/>
          <w:sz w:val="24"/>
          <w:szCs w:val="24"/>
        </w:rPr>
        <w:t xml:space="preserve"> </w:t>
      </w:r>
      <w:r w:rsidR="00A96566">
        <w:rPr>
          <w:rFonts w:asciiTheme="majorBidi" w:hAnsiTheme="majorBidi" w:cstheme="majorBidi"/>
          <w:sz w:val="24"/>
          <w:szCs w:val="24"/>
        </w:rPr>
        <w:t xml:space="preserve">Other studies on </w:t>
      </w:r>
      <w:r w:rsidR="003B31C2">
        <w:rPr>
          <w:rFonts w:asciiTheme="majorBidi" w:hAnsiTheme="majorBidi" w:cstheme="majorBidi"/>
          <w:sz w:val="24"/>
          <w:szCs w:val="24"/>
        </w:rPr>
        <w:t>older</w:t>
      </w:r>
      <w:r w:rsidR="00A96566">
        <w:rPr>
          <w:rFonts w:asciiTheme="majorBidi" w:hAnsiTheme="majorBidi" w:cstheme="majorBidi"/>
          <w:sz w:val="24"/>
          <w:szCs w:val="24"/>
        </w:rPr>
        <w:t xml:space="preserve"> respondents reveal similar findings in which respondents were willing to pay more and purchase products by socially and environmentally responsible companies</w:t>
      </w:r>
      <w:sdt>
        <w:sdtPr>
          <w:rPr>
            <w:rFonts w:asciiTheme="majorBidi" w:hAnsiTheme="majorBidi" w:cstheme="majorBidi"/>
            <w:sz w:val="24"/>
            <w:szCs w:val="24"/>
          </w:rPr>
          <w:id w:val="-1150438792"/>
          <w:citation/>
        </w:sdtPr>
        <w:sdtContent>
          <w:r w:rsidR="00A96566" w:rsidRPr="00460517">
            <w:rPr>
              <w:rFonts w:asciiTheme="majorBidi" w:hAnsiTheme="majorBidi" w:cstheme="majorBidi"/>
              <w:sz w:val="24"/>
              <w:szCs w:val="24"/>
            </w:rPr>
            <w:fldChar w:fldCharType="begin"/>
          </w:r>
          <w:r w:rsidR="00A96566" w:rsidRPr="00460517">
            <w:rPr>
              <w:rFonts w:asciiTheme="majorBidi" w:hAnsiTheme="majorBidi" w:cstheme="majorBidi"/>
              <w:sz w:val="24"/>
              <w:szCs w:val="24"/>
            </w:rPr>
            <w:instrText xml:space="preserve"> CITATION Bec20 \l 2057 </w:instrText>
          </w:r>
          <w:r w:rsidR="00A96566" w:rsidRPr="00460517">
            <w:rPr>
              <w:rFonts w:asciiTheme="majorBidi" w:hAnsiTheme="majorBidi" w:cstheme="majorBidi"/>
              <w:sz w:val="24"/>
              <w:szCs w:val="24"/>
            </w:rPr>
            <w:fldChar w:fldCharType="separate"/>
          </w:r>
          <w:r w:rsidR="00A96566" w:rsidRPr="00460517">
            <w:rPr>
              <w:rFonts w:asciiTheme="majorBidi" w:hAnsiTheme="majorBidi" w:cstheme="majorBidi"/>
              <w:noProof/>
              <w:sz w:val="24"/>
              <w:szCs w:val="24"/>
            </w:rPr>
            <w:t xml:space="preserve"> (Becchetti, Corrado, Pelligra, &amp; Rossetti, 2020)</w:t>
          </w:r>
          <w:r w:rsidR="00A96566" w:rsidRPr="00460517">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and respondents showed higher trust and loyalty towards such companies</w:t>
      </w:r>
      <w:sdt>
        <w:sdtPr>
          <w:rPr>
            <w:rFonts w:asciiTheme="majorBidi" w:hAnsiTheme="majorBidi" w:cstheme="majorBidi"/>
            <w:sz w:val="24"/>
            <w:szCs w:val="24"/>
          </w:rPr>
          <w:id w:val="1630364263"/>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Ser19 \l 2057  \m Riv19</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12412A">
            <w:rPr>
              <w:rFonts w:asciiTheme="majorBidi" w:hAnsiTheme="majorBidi" w:cstheme="majorBidi"/>
              <w:noProof/>
              <w:sz w:val="24"/>
              <w:szCs w:val="24"/>
            </w:rPr>
            <w:t>(Servera-Francés &amp; Piqueras-Tomás, 2019; Rivera, Bigne, &amp; Curras-Perez, 2019)</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In addition, findings from such a developed market especially such the US which has unique socioeconomic, cultural, and political dynamics </w:t>
      </w:r>
      <w:sdt>
        <w:sdtPr>
          <w:rPr>
            <w:rFonts w:asciiTheme="majorBidi" w:hAnsiTheme="majorBidi" w:cstheme="majorBidi"/>
            <w:sz w:val="24"/>
            <w:szCs w:val="24"/>
          </w:rPr>
          <w:id w:val="-240565289"/>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Alw15 \l 2057 </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(Alwin &amp; Tufiş, 2015)</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can seldom be applicable to other less developed markets. </w:t>
      </w:r>
      <w:r w:rsidR="00A96566" w:rsidRPr="00DF1B7A">
        <w:rPr>
          <w:rFonts w:asciiTheme="majorBidi" w:hAnsiTheme="majorBidi" w:cstheme="majorBidi"/>
          <w:sz w:val="24"/>
          <w:szCs w:val="24"/>
        </w:rPr>
        <w:t xml:space="preserve">Another salient finding that emerged from the study was that the </w:t>
      </w:r>
      <w:r w:rsidR="00A96566" w:rsidRPr="00E27067">
        <w:rPr>
          <w:rFonts w:asciiTheme="majorBidi" w:hAnsiTheme="majorBidi" w:cstheme="majorBidi"/>
          <w:sz w:val="24"/>
          <w:szCs w:val="24"/>
        </w:rPr>
        <w:t>purchase intention was weakest when a company engaged in reactive CSR initiatives even when they offered cheaper prices</w:t>
      </w:r>
      <w:sdt>
        <w:sdtPr>
          <w:rPr>
            <w:rFonts w:asciiTheme="majorBidi" w:hAnsiTheme="majorBidi" w:cstheme="majorBidi"/>
            <w:sz w:val="24"/>
            <w:szCs w:val="24"/>
          </w:rPr>
          <w:id w:val="994925523"/>
          <w:citation/>
        </w:sdtPr>
        <w:sdtContent>
          <w:r w:rsidR="00A96566" w:rsidRPr="00460517">
            <w:rPr>
              <w:rFonts w:asciiTheme="majorBidi" w:hAnsiTheme="majorBidi" w:cstheme="majorBidi"/>
              <w:sz w:val="24"/>
              <w:szCs w:val="24"/>
            </w:rPr>
            <w:fldChar w:fldCharType="begin"/>
          </w:r>
          <w:r w:rsidR="00A96566" w:rsidRPr="00460517">
            <w:rPr>
              <w:rFonts w:asciiTheme="majorBidi" w:hAnsiTheme="majorBidi" w:cstheme="majorBidi"/>
              <w:sz w:val="24"/>
              <w:szCs w:val="24"/>
            </w:rPr>
            <w:instrText xml:space="preserve">CITATION Kim17 \t  \l 2057 </w:instrText>
          </w:r>
          <w:r w:rsidR="00A96566" w:rsidRPr="00460517">
            <w:rPr>
              <w:rFonts w:asciiTheme="majorBidi" w:hAnsiTheme="majorBidi" w:cstheme="majorBidi"/>
              <w:sz w:val="24"/>
              <w:szCs w:val="24"/>
            </w:rPr>
            <w:fldChar w:fldCharType="separate"/>
          </w:r>
          <w:r w:rsidR="00A96566" w:rsidRPr="00460517">
            <w:rPr>
              <w:rFonts w:asciiTheme="majorBidi" w:hAnsiTheme="majorBidi" w:cstheme="majorBidi"/>
              <w:noProof/>
              <w:sz w:val="24"/>
              <w:szCs w:val="24"/>
            </w:rPr>
            <w:t xml:space="preserve"> (Kim Y. , 2017)</w:t>
          </w:r>
          <w:r w:rsidR="00A96566" w:rsidRPr="00460517">
            <w:rPr>
              <w:rFonts w:asciiTheme="majorBidi" w:hAnsiTheme="majorBidi" w:cstheme="majorBidi"/>
              <w:sz w:val="24"/>
              <w:szCs w:val="24"/>
            </w:rPr>
            <w:fldChar w:fldCharType="end"/>
          </w:r>
        </w:sdtContent>
      </w:sdt>
      <w:r w:rsidR="00A96566" w:rsidRPr="00460517">
        <w:rPr>
          <w:rFonts w:asciiTheme="majorBidi" w:hAnsiTheme="majorBidi" w:cstheme="majorBidi"/>
          <w:sz w:val="24"/>
          <w:szCs w:val="24"/>
        </w:rPr>
        <w:t>.</w:t>
      </w:r>
      <w:r w:rsidR="00A96566" w:rsidRPr="00E27067">
        <w:rPr>
          <w:rFonts w:asciiTheme="majorBidi" w:hAnsiTheme="majorBidi" w:cstheme="majorBidi"/>
          <w:sz w:val="24"/>
          <w:szCs w:val="24"/>
        </w:rPr>
        <w:t xml:space="preserve"> This is because </w:t>
      </w:r>
      <w:r w:rsidR="00D216CD" w:rsidRPr="00E27067">
        <w:rPr>
          <w:rFonts w:asciiTheme="majorBidi" w:hAnsiTheme="majorBidi" w:cstheme="majorBidi"/>
          <w:sz w:val="24"/>
          <w:szCs w:val="24"/>
        </w:rPr>
        <w:t>consumers</w:t>
      </w:r>
      <w:r w:rsidR="00A96566" w:rsidRPr="00E27067">
        <w:rPr>
          <w:rFonts w:asciiTheme="majorBidi" w:hAnsiTheme="majorBidi" w:cstheme="majorBidi"/>
          <w:sz w:val="24"/>
          <w:szCs w:val="24"/>
        </w:rPr>
        <w:t xml:space="preserve"> </w:t>
      </w:r>
      <w:r w:rsidR="00D216CD" w:rsidRPr="00E27067">
        <w:rPr>
          <w:rFonts w:asciiTheme="majorBidi" w:hAnsiTheme="majorBidi" w:cstheme="majorBidi"/>
          <w:sz w:val="24"/>
          <w:szCs w:val="24"/>
        </w:rPr>
        <w:t>are</w:t>
      </w:r>
      <w:r w:rsidR="00A96566" w:rsidRPr="00E27067">
        <w:rPr>
          <w:rFonts w:asciiTheme="majorBidi" w:hAnsiTheme="majorBidi" w:cstheme="majorBidi"/>
          <w:sz w:val="24"/>
          <w:szCs w:val="24"/>
        </w:rPr>
        <w:t xml:space="preserve"> discouraged to associate with this firm</w:t>
      </w:r>
      <w:r w:rsidR="00A96566" w:rsidRPr="00DF1B7A">
        <w:rPr>
          <w:rFonts w:asciiTheme="majorBidi" w:hAnsiTheme="majorBidi" w:cstheme="majorBidi"/>
          <w:sz w:val="24"/>
          <w:szCs w:val="24"/>
        </w:rPr>
        <w:t xml:space="preserve"> or even reward it by buying its products</w:t>
      </w:r>
      <w:r w:rsidR="00A96566">
        <w:rPr>
          <w:rFonts w:asciiTheme="majorBidi" w:hAnsiTheme="majorBidi" w:cstheme="majorBidi"/>
          <w:sz w:val="24"/>
          <w:szCs w:val="24"/>
        </w:rPr>
        <w:t xml:space="preserve"> even if they were relatively cheaper</w:t>
      </w:r>
      <w:r w:rsidR="00A96566" w:rsidRPr="00DF1B7A">
        <w:rPr>
          <w:rFonts w:asciiTheme="majorBidi" w:hAnsiTheme="majorBidi" w:cstheme="majorBidi"/>
          <w:sz w:val="24"/>
          <w:szCs w:val="24"/>
        </w:rPr>
        <w:t xml:space="preserve"> </w:t>
      </w:r>
      <w:sdt>
        <w:sdtPr>
          <w:rPr>
            <w:rFonts w:asciiTheme="majorBidi" w:hAnsiTheme="majorBidi" w:cstheme="majorBidi"/>
            <w:sz w:val="24"/>
            <w:szCs w:val="24"/>
          </w:rPr>
          <w:id w:val="1311914430"/>
          <w:citation/>
        </w:sdtPr>
        <w:sdtContent>
          <w:r w:rsidR="00A96566" w:rsidRPr="00DF1B7A">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Kim17 \t  \l 2057 </w:instrText>
          </w:r>
          <w:r w:rsidR="00A96566" w:rsidRPr="00DF1B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(Kim Y. , 2017)</w:t>
          </w:r>
          <w:r w:rsidR="00A96566" w:rsidRPr="00DF1B7A">
            <w:rPr>
              <w:rFonts w:asciiTheme="majorBidi" w:hAnsiTheme="majorBidi" w:cstheme="majorBidi"/>
              <w:sz w:val="24"/>
              <w:szCs w:val="24"/>
            </w:rPr>
            <w:fldChar w:fldCharType="end"/>
          </w:r>
        </w:sdtContent>
      </w:sdt>
      <w:r w:rsidR="00A96566" w:rsidRPr="00DF1B7A">
        <w:rPr>
          <w:rFonts w:asciiTheme="majorBidi" w:hAnsiTheme="majorBidi" w:cstheme="majorBidi"/>
          <w:sz w:val="24"/>
          <w:szCs w:val="24"/>
        </w:rPr>
        <w:t>. In fact, when consumers deal with a passive or reactive CSR strategies that a firm is launching (especially if the company is attempting to enhance its reputation by responding to a PR disaster), they might feel tricked with the cheaper or discounted prices that the company is offering; hence, they w</w:t>
      </w:r>
      <w:r w:rsidR="00D216CD">
        <w:rPr>
          <w:rFonts w:asciiTheme="majorBidi" w:hAnsiTheme="majorBidi" w:cstheme="majorBidi"/>
          <w:sz w:val="24"/>
          <w:szCs w:val="24"/>
        </w:rPr>
        <w:t>ill not</w:t>
      </w:r>
      <w:r w:rsidR="00A96566" w:rsidRPr="00DF1B7A">
        <w:rPr>
          <w:rFonts w:asciiTheme="majorBidi" w:hAnsiTheme="majorBidi" w:cstheme="majorBidi"/>
          <w:sz w:val="24"/>
          <w:szCs w:val="24"/>
        </w:rPr>
        <w:t xml:space="preserve"> purchase them</w:t>
      </w:r>
      <w:r w:rsidR="00D216CD" w:rsidRPr="00D216CD">
        <w:rPr>
          <w:rFonts w:asciiTheme="majorBidi" w:hAnsiTheme="majorBidi" w:cstheme="majorBidi"/>
          <w:sz w:val="24"/>
          <w:szCs w:val="24"/>
        </w:rPr>
        <w:t xml:space="preserve"> </w:t>
      </w:r>
      <w:sdt>
        <w:sdtPr>
          <w:rPr>
            <w:rFonts w:asciiTheme="majorBidi" w:hAnsiTheme="majorBidi" w:cstheme="majorBidi"/>
            <w:sz w:val="24"/>
            <w:szCs w:val="24"/>
          </w:rPr>
          <w:id w:val="-794833140"/>
          <w:citation/>
        </w:sdtPr>
        <w:sdtContent>
          <w:r w:rsidR="00D216CD" w:rsidRPr="00DF1B7A">
            <w:rPr>
              <w:rFonts w:asciiTheme="majorBidi" w:hAnsiTheme="majorBidi" w:cstheme="majorBidi"/>
              <w:sz w:val="24"/>
              <w:szCs w:val="24"/>
            </w:rPr>
            <w:fldChar w:fldCharType="begin"/>
          </w:r>
          <w:r w:rsidR="00D216CD">
            <w:rPr>
              <w:rFonts w:asciiTheme="majorBidi" w:hAnsiTheme="majorBidi" w:cstheme="majorBidi"/>
              <w:sz w:val="24"/>
              <w:szCs w:val="24"/>
            </w:rPr>
            <w:instrText xml:space="preserve">CITATION Kim17 \t  \l 2057 </w:instrText>
          </w:r>
          <w:r w:rsidR="00D216CD" w:rsidRPr="00DF1B7A">
            <w:rPr>
              <w:rFonts w:asciiTheme="majorBidi" w:hAnsiTheme="majorBidi" w:cstheme="majorBidi"/>
              <w:sz w:val="24"/>
              <w:szCs w:val="24"/>
            </w:rPr>
            <w:fldChar w:fldCharType="separate"/>
          </w:r>
          <w:r w:rsidR="00D216CD" w:rsidRPr="0002256A">
            <w:rPr>
              <w:rFonts w:asciiTheme="majorBidi" w:hAnsiTheme="majorBidi" w:cstheme="majorBidi"/>
              <w:noProof/>
              <w:sz w:val="24"/>
              <w:szCs w:val="24"/>
            </w:rPr>
            <w:t>(Kim Y. , 2017)</w:t>
          </w:r>
          <w:r w:rsidR="00D216CD" w:rsidRPr="00DF1B7A">
            <w:rPr>
              <w:rFonts w:asciiTheme="majorBidi" w:hAnsiTheme="majorBidi" w:cstheme="majorBidi"/>
              <w:sz w:val="24"/>
              <w:szCs w:val="24"/>
            </w:rPr>
            <w:fldChar w:fldCharType="end"/>
          </w:r>
        </w:sdtContent>
      </w:sdt>
      <w:r w:rsidR="00A96566" w:rsidRPr="00DF1B7A">
        <w:rPr>
          <w:rFonts w:asciiTheme="majorBidi" w:hAnsiTheme="majorBidi" w:cstheme="majorBidi"/>
          <w:sz w:val="24"/>
          <w:szCs w:val="24"/>
        </w:rPr>
        <w:t xml:space="preserve">. </w:t>
      </w:r>
      <w:r w:rsidR="00BB4D0E">
        <w:rPr>
          <w:rFonts w:asciiTheme="majorBidi" w:hAnsiTheme="majorBidi" w:cstheme="majorBidi"/>
          <w:sz w:val="24"/>
          <w:szCs w:val="24"/>
        </w:rPr>
        <w:t>Additionally, CSR communication might impact gender groups differently</w:t>
      </w:r>
      <w:sdt>
        <w:sdtPr>
          <w:rPr>
            <w:rFonts w:asciiTheme="majorBidi" w:hAnsiTheme="majorBidi" w:cstheme="majorBidi"/>
            <w:sz w:val="24"/>
            <w:szCs w:val="24"/>
          </w:rPr>
          <w:id w:val="260269132"/>
          <w:citation/>
        </w:sdtPr>
        <w:sdtContent>
          <w:r w:rsidR="00BB4D0E">
            <w:rPr>
              <w:rFonts w:asciiTheme="majorBidi" w:hAnsiTheme="majorBidi" w:cstheme="majorBidi"/>
              <w:sz w:val="24"/>
              <w:szCs w:val="24"/>
            </w:rPr>
            <w:fldChar w:fldCharType="begin"/>
          </w:r>
          <w:r w:rsidR="00AF3F53">
            <w:rPr>
              <w:rFonts w:asciiTheme="majorBidi" w:hAnsiTheme="majorBidi" w:cstheme="majorBidi"/>
              <w:sz w:val="24"/>
              <w:szCs w:val="24"/>
            </w:rPr>
            <w:instrText xml:space="preserve">CITATION Heo21 \m Pér17 \t  \l 2057 </w:instrText>
          </w:r>
          <w:r w:rsidR="00BB4D0E">
            <w:rPr>
              <w:rFonts w:asciiTheme="majorBidi" w:hAnsiTheme="majorBidi" w:cstheme="majorBidi"/>
              <w:sz w:val="24"/>
              <w:szCs w:val="24"/>
            </w:rPr>
            <w:fldChar w:fldCharType="separate"/>
          </w:r>
          <w:r w:rsidR="00AF3F53">
            <w:rPr>
              <w:rFonts w:asciiTheme="majorBidi" w:hAnsiTheme="majorBidi" w:cstheme="majorBidi"/>
              <w:noProof/>
              <w:sz w:val="24"/>
              <w:szCs w:val="24"/>
            </w:rPr>
            <w:t xml:space="preserve"> </w:t>
          </w:r>
          <w:r w:rsidR="00AF3F53" w:rsidRPr="00AF3F53">
            <w:rPr>
              <w:rFonts w:asciiTheme="majorBidi" w:hAnsiTheme="majorBidi" w:cstheme="majorBidi"/>
              <w:noProof/>
              <w:sz w:val="24"/>
              <w:szCs w:val="24"/>
            </w:rPr>
            <w:t>(Heo, Choi, Overton, Kim, &amp; Zhang, 2021; Pérez &amp; Rodríguez del Bosque, 2017)</w:t>
          </w:r>
          <w:r w:rsidR="00BB4D0E">
            <w:rPr>
              <w:rFonts w:asciiTheme="majorBidi" w:hAnsiTheme="majorBidi" w:cstheme="majorBidi"/>
              <w:sz w:val="24"/>
              <w:szCs w:val="24"/>
            </w:rPr>
            <w:fldChar w:fldCharType="end"/>
          </w:r>
        </w:sdtContent>
      </w:sdt>
      <w:r w:rsidR="00DB1CC0">
        <w:rPr>
          <w:rFonts w:asciiTheme="majorBidi" w:hAnsiTheme="majorBidi" w:cstheme="majorBidi"/>
          <w:sz w:val="24"/>
          <w:szCs w:val="24"/>
        </w:rPr>
        <w:t xml:space="preserve"> and different genders may have different purchase intentions to certain types of products</w:t>
      </w:r>
      <w:sdt>
        <w:sdtPr>
          <w:rPr>
            <w:rFonts w:asciiTheme="majorBidi" w:hAnsiTheme="majorBidi" w:cstheme="majorBidi"/>
            <w:sz w:val="24"/>
            <w:szCs w:val="24"/>
          </w:rPr>
          <w:id w:val="332729881"/>
          <w:citation/>
        </w:sdtPr>
        <w:sdtContent>
          <w:r w:rsidR="00DB1CC0">
            <w:rPr>
              <w:rFonts w:asciiTheme="majorBidi" w:hAnsiTheme="majorBidi" w:cstheme="majorBidi"/>
              <w:sz w:val="24"/>
              <w:szCs w:val="24"/>
            </w:rPr>
            <w:fldChar w:fldCharType="begin"/>
          </w:r>
          <w:r w:rsidR="00F9101A">
            <w:rPr>
              <w:rFonts w:asciiTheme="majorBidi" w:hAnsiTheme="majorBidi" w:cstheme="majorBidi"/>
              <w:sz w:val="24"/>
              <w:szCs w:val="24"/>
            </w:rPr>
            <w:instrText xml:space="preserve">CITATION Gun22 \t  \l 2057 </w:instrText>
          </w:r>
          <w:r w:rsidR="00DB1CC0">
            <w:rPr>
              <w:rFonts w:asciiTheme="majorBidi" w:hAnsiTheme="majorBidi" w:cstheme="majorBidi"/>
              <w:sz w:val="24"/>
              <w:szCs w:val="24"/>
            </w:rPr>
            <w:fldChar w:fldCharType="separate"/>
          </w:r>
          <w:r w:rsidR="00F9101A">
            <w:rPr>
              <w:rFonts w:asciiTheme="majorBidi" w:hAnsiTheme="majorBidi" w:cstheme="majorBidi"/>
              <w:noProof/>
              <w:sz w:val="24"/>
              <w:szCs w:val="24"/>
            </w:rPr>
            <w:t xml:space="preserve"> </w:t>
          </w:r>
          <w:r w:rsidR="00F9101A" w:rsidRPr="00F9101A">
            <w:rPr>
              <w:rFonts w:asciiTheme="majorBidi" w:hAnsiTheme="majorBidi" w:cstheme="majorBidi"/>
              <w:noProof/>
              <w:sz w:val="24"/>
              <w:szCs w:val="24"/>
            </w:rPr>
            <w:t>(Gundala, Nawaz, M, Boobalan, &amp; Gajenderan, 2022)</w:t>
          </w:r>
          <w:r w:rsidR="00DB1CC0">
            <w:rPr>
              <w:rFonts w:asciiTheme="majorBidi" w:hAnsiTheme="majorBidi" w:cstheme="majorBidi"/>
              <w:sz w:val="24"/>
              <w:szCs w:val="24"/>
            </w:rPr>
            <w:fldChar w:fldCharType="end"/>
          </w:r>
        </w:sdtContent>
      </w:sdt>
      <w:r w:rsidR="00BB4D0E">
        <w:rPr>
          <w:rFonts w:asciiTheme="majorBidi" w:hAnsiTheme="majorBidi" w:cstheme="majorBidi"/>
          <w:sz w:val="24"/>
          <w:szCs w:val="24"/>
        </w:rPr>
        <w:t xml:space="preserve">. </w:t>
      </w:r>
      <w:r w:rsidR="00AF3F53">
        <w:rPr>
          <w:rFonts w:asciiTheme="majorBidi" w:hAnsiTheme="majorBidi" w:cstheme="majorBidi"/>
          <w:sz w:val="24"/>
          <w:szCs w:val="24"/>
        </w:rPr>
        <w:t xml:space="preserve">However, this is not the focus of this study as explained in sections 5.5.2 and 5.5.8. </w:t>
      </w:r>
    </w:p>
    <w:p w14:paraId="062AE8E2" w14:textId="10D26370" w:rsidR="00A96566" w:rsidRPr="00F22281" w:rsidRDefault="00A96566" w:rsidP="001A6A8D">
      <w:pPr>
        <w:adjustRightInd w:val="0"/>
        <w:spacing w:after="0" w:line="480" w:lineRule="auto"/>
        <w:ind w:firstLine="720"/>
        <w:jc w:val="lowKashida"/>
        <w:rPr>
          <w:rFonts w:asciiTheme="majorBidi" w:hAnsiTheme="majorBidi" w:cstheme="majorBidi"/>
          <w:sz w:val="24"/>
          <w:szCs w:val="24"/>
        </w:rPr>
      </w:pPr>
      <w:r>
        <w:rPr>
          <w:rFonts w:asciiTheme="majorBidi" w:hAnsiTheme="majorBidi" w:cstheme="majorBidi"/>
          <w:sz w:val="24"/>
          <w:szCs w:val="24"/>
        </w:rPr>
        <w:t>Also, this study focuse</w:t>
      </w:r>
      <w:r w:rsidR="00D216CD">
        <w:rPr>
          <w:rFonts w:asciiTheme="majorBidi" w:hAnsiTheme="majorBidi" w:cstheme="majorBidi"/>
          <w:sz w:val="24"/>
          <w:szCs w:val="24"/>
        </w:rPr>
        <w:t>s</w:t>
      </w:r>
      <w:r>
        <w:rPr>
          <w:rFonts w:asciiTheme="majorBidi" w:hAnsiTheme="majorBidi" w:cstheme="majorBidi"/>
          <w:sz w:val="24"/>
          <w:szCs w:val="24"/>
        </w:rPr>
        <w:t xml:space="preserve"> on a Middle Eastern context due to the differences in behaviours and cultures among countries. An </w:t>
      </w:r>
      <w:r w:rsidRPr="00B55DCA">
        <w:rPr>
          <w:rFonts w:asciiTheme="majorBidi" w:hAnsiTheme="majorBidi" w:cstheme="majorBidi"/>
          <w:sz w:val="24"/>
          <w:szCs w:val="24"/>
        </w:rPr>
        <w:t xml:space="preserve">experimental study </w:t>
      </w:r>
      <w:r>
        <w:rPr>
          <w:rFonts w:asciiTheme="majorBidi" w:hAnsiTheme="majorBidi" w:cstheme="majorBidi"/>
          <w:sz w:val="24"/>
          <w:szCs w:val="24"/>
        </w:rPr>
        <w:t xml:space="preserve">conducted </w:t>
      </w:r>
      <w:r w:rsidRPr="00B55DCA">
        <w:rPr>
          <w:rFonts w:asciiTheme="majorBidi" w:hAnsiTheme="majorBidi" w:cstheme="majorBidi"/>
          <w:sz w:val="24"/>
          <w:szCs w:val="24"/>
        </w:rPr>
        <w:t>on 960 consumers from the U.S. and from Mexico used Nokia as the brand conducting CSR campaigns in the experiment</w:t>
      </w:r>
      <w:r w:rsidRPr="00F627B8">
        <w:rPr>
          <w:rFonts w:asciiTheme="majorBidi" w:hAnsiTheme="majorBidi" w:cstheme="majorBidi"/>
          <w:sz w:val="24"/>
          <w:szCs w:val="24"/>
        </w:rPr>
        <w:t xml:space="preserve"> </w:t>
      </w:r>
      <w:sdt>
        <w:sdtPr>
          <w:rPr>
            <w:rFonts w:asciiTheme="majorBidi" w:hAnsiTheme="majorBidi" w:cstheme="majorBidi"/>
            <w:sz w:val="24"/>
            <w:szCs w:val="24"/>
          </w:rPr>
          <w:id w:val="-193125965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Bec11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(Becker-Olsen, Taylor, Hill, &amp; Yalcinkaya, 2011)</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B55DCA">
        <w:rPr>
          <w:rFonts w:asciiTheme="majorBidi" w:hAnsiTheme="majorBidi" w:cstheme="majorBidi"/>
          <w:sz w:val="24"/>
          <w:szCs w:val="24"/>
        </w:rPr>
        <w:t xml:space="preserve"> </w:t>
      </w:r>
      <w:r>
        <w:rPr>
          <w:rFonts w:asciiTheme="majorBidi" w:hAnsiTheme="majorBidi" w:cstheme="majorBidi"/>
          <w:sz w:val="24"/>
          <w:szCs w:val="24"/>
        </w:rPr>
        <w:t>T</w:t>
      </w:r>
      <w:r w:rsidRPr="00B55DCA">
        <w:rPr>
          <w:rFonts w:asciiTheme="majorBidi" w:hAnsiTheme="majorBidi" w:cstheme="majorBidi"/>
          <w:sz w:val="24"/>
          <w:szCs w:val="24"/>
        </w:rPr>
        <w:t xml:space="preserve">he </w:t>
      </w:r>
      <w:r w:rsidRPr="00460517">
        <w:rPr>
          <w:rFonts w:asciiTheme="majorBidi" w:hAnsiTheme="majorBidi" w:cstheme="majorBidi"/>
          <w:sz w:val="24"/>
          <w:szCs w:val="24"/>
        </w:rPr>
        <w:t>perception of a global brand (like Nokia) assists CSR campaigns to have a more positive impact on brand identification and company reputation</w:t>
      </w:r>
      <w:r w:rsidRPr="00B55DCA">
        <w:rPr>
          <w:rFonts w:asciiTheme="majorBidi" w:hAnsiTheme="majorBidi" w:cstheme="majorBidi"/>
          <w:sz w:val="24"/>
          <w:szCs w:val="24"/>
        </w:rPr>
        <w:t xml:space="preserve"> </w:t>
      </w:r>
      <w:sdt>
        <w:sdtPr>
          <w:rPr>
            <w:rFonts w:asciiTheme="majorBidi" w:hAnsiTheme="majorBidi" w:cstheme="majorBidi"/>
            <w:sz w:val="24"/>
            <w:szCs w:val="24"/>
          </w:rPr>
          <w:id w:val="96030687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Bec11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(Becker-Olsen, Taylor, Hill, &amp; Yalcinkaya, 2011)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B55DCA">
        <w:rPr>
          <w:rFonts w:asciiTheme="majorBidi" w:hAnsiTheme="majorBidi" w:cstheme="majorBidi"/>
          <w:sz w:val="24"/>
          <w:szCs w:val="24"/>
        </w:rPr>
        <w:t>Additionally, while consumers from both countries showed that they highly value CSR initiatives launched by multinational organizations, perceptions of CSR and expectations from CSR campaigns differed between both countries used in the study</w:t>
      </w:r>
      <w:r>
        <w:rPr>
          <w:rFonts w:asciiTheme="majorBidi" w:hAnsiTheme="majorBidi" w:cstheme="majorBidi"/>
          <w:sz w:val="24"/>
          <w:szCs w:val="24"/>
        </w:rPr>
        <w:t xml:space="preserve"> </w:t>
      </w:r>
      <w:sdt>
        <w:sdtPr>
          <w:rPr>
            <w:rFonts w:asciiTheme="majorBidi" w:hAnsiTheme="majorBidi" w:cstheme="majorBidi"/>
            <w:sz w:val="24"/>
            <w:szCs w:val="24"/>
          </w:rPr>
          <w:id w:val="-52240310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Bec11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(Becker-Olsen, Taylor, Hill, &amp; Yalcinkaya, 2011)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B55DCA">
        <w:rPr>
          <w:rFonts w:asciiTheme="majorBidi" w:hAnsiTheme="majorBidi" w:cstheme="majorBidi"/>
          <w:sz w:val="24"/>
          <w:szCs w:val="24"/>
        </w:rPr>
        <w:t xml:space="preserve">This is because, there are several inconsistencies between developed and underdeveloped countries as, generally, CSR is more commonly implemented in developed countries; hence, it is expected more there </w:t>
      </w:r>
      <w:sdt>
        <w:sdtPr>
          <w:rPr>
            <w:rFonts w:asciiTheme="majorBidi" w:hAnsiTheme="majorBidi" w:cstheme="majorBidi"/>
            <w:sz w:val="24"/>
            <w:szCs w:val="24"/>
          </w:rPr>
          <w:id w:val="-94584245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Bec11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(Becker-Olsen, Taylor, Hill, &amp; Yalcinkaya, 2011)</w:t>
          </w:r>
          <w:r>
            <w:rPr>
              <w:rFonts w:asciiTheme="majorBidi" w:hAnsiTheme="majorBidi" w:cstheme="majorBidi"/>
              <w:sz w:val="24"/>
              <w:szCs w:val="24"/>
            </w:rPr>
            <w:fldChar w:fldCharType="end"/>
          </w:r>
        </w:sdtContent>
      </w:sdt>
      <w:r>
        <w:rPr>
          <w:rFonts w:asciiTheme="majorBidi" w:hAnsiTheme="majorBidi" w:cstheme="majorBidi"/>
          <w:sz w:val="24"/>
          <w:szCs w:val="24"/>
        </w:rPr>
        <w:t>. Since a lot of CSR research is focused on developed countries, this study will investigate the perceived values of CSR in the Middle East and the impact of the consumers’ perception on the consumers’ behaviour which will be examined in the following section. The below table summari</w:t>
      </w:r>
      <w:r w:rsidR="008939E2">
        <w:rPr>
          <w:rFonts w:asciiTheme="majorBidi" w:hAnsiTheme="majorBidi" w:cstheme="majorBidi"/>
          <w:sz w:val="24"/>
          <w:szCs w:val="24"/>
        </w:rPr>
        <w:t>s</w:t>
      </w:r>
      <w:r>
        <w:rPr>
          <w:rFonts w:asciiTheme="majorBidi" w:hAnsiTheme="majorBidi" w:cstheme="majorBidi"/>
          <w:sz w:val="24"/>
          <w:szCs w:val="24"/>
        </w:rPr>
        <w:t xml:space="preserve">es some of the studies in literature that discuss the impact of CSR on consumer behaviour. </w:t>
      </w:r>
    </w:p>
    <w:tbl>
      <w:tblPr>
        <w:tblStyle w:val="TableGrid"/>
        <w:tblW w:w="0" w:type="auto"/>
        <w:tblInd w:w="392" w:type="dxa"/>
        <w:tblLook w:val="04A0" w:firstRow="1" w:lastRow="0" w:firstColumn="1" w:lastColumn="0" w:noHBand="0" w:noVBand="1"/>
      </w:tblPr>
      <w:tblGrid>
        <w:gridCol w:w="3685"/>
        <w:gridCol w:w="1766"/>
        <w:gridCol w:w="2629"/>
      </w:tblGrid>
      <w:tr w:rsidR="00A96566" w:rsidRPr="00151ABA" w14:paraId="03870B59" w14:textId="77777777" w:rsidTr="00026112">
        <w:trPr>
          <w:trHeight w:val="251"/>
        </w:trPr>
        <w:tc>
          <w:tcPr>
            <w:tcW w:w="3685" w:type="dxa"/>
          </w:tcPr>
          <w:p w14:paraId="3734EB43" w14:textId="77777777" w:rsidR="00A96566" w:rsidRPr="00151ABA" w:rsidRDefault="00A96566" w:rsidP="0032783A">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Impact on consumers </w:t>
            </w:r>
          </w:p>
        </w:tc>
        <w:tc>
          <w:tcPr>
            <w:tcW w:w="1766" w:type="dxa"/>
          </w:tcPr>
          <w:p w14:paraId="043235EC" w14:textId="77777777" w:rsidR="00A96566" w:rsidRPr="00151ABA" w:rsidRDefault="00A96566" w:rsidP="0032783A">
            <w:pPr>
              <w:adjustRightInd w:val="0"/>
              <w:jc w:val="lowKashida"/>
              <w:rPr>
                <w:rFonts w:asciiTheme="majorBidi" w:hAnsiTheme="majorBidi" w:cstheme="majorBidi"/>
                <w:sz w:val="20"/>
                <w:szCs w:val="20"/>
              </w:rPr>
            </w:pPr>
            <w:r w:rsidRPr="00151ABA">
              <w:rPr>
                <w:rFonts w:asciiTheme="majorBidi" w:hAnsiTheme="majorBidi" w:cstheme="majorBidi"/>
                <w:sz w:val="20"/>
                <w:szCs w:val="20"/>
              </w:rPr>
              <w:t>Country</w:t>
            </w:r>
          </w:p>
        </w:tc>
        <w:tc>
          <w:tcPr>
            <w:tcW w:w="2629" w:type="dxa"/>
          </w:tcPr>
          <w:p w14:paraId="154B4447" w14:textId="77777777" w:rsidR="00A96566" w:rsidRPr="00151ABA" w:rsidRDefault="00A96566" w:rsidP="0032783A">
            <w:pPr>
              <w:adjustRightInd w:val="0"/>
              <w:jc w:val="lowKashida"/>
              <w:rPr>
                <w:rFonts w:asciiTheme="majorBidi" w:hAnsiTheme="majorBidi" w:cstheme="majorBidi"/>
                <w:sz w:val="20"/>
                <w:szCs w:val="20"/>
              </w:rPr>
            </w:pPr>
            <w:r w:rsidRPr="00151ABA">
              <w:rPr>
                <w:rFonts w:asciiTheme="majorBidi" w:hAnsiTheme="majorBidi" w:cstheme="majorBidi"/>
                <w:sz w:val="20"/>
                <w:szCs w:val="20"/>
              </w:rPr>
              <w:t>Source</w:t>
            </w:r>
          </w:p>
        </w:tc>
      </w:tr>
      <w:tr w:rsidR="00A96566" w:rsidRPr="00151ABA" w14:paraId="03FADC4F" w14:textId="77777777" w:rsidTr="00026112">
        <w:trPr>
          <w:trHeight w:val="552"/>
        </w:trPr>
        <w:tc>
          <w:tcPr>
            <w:tcW w:w="3685" w:type="dxa"/>
          </w:tcPr>
          <w:p w14:paraId="6ECB079B"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Positive perception of the Company</w:t>
            </w:r>
          </w:p>
          <w:p w14:paraId="7DEFC0F0"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Responsible behaviour towards society and the environment </w:t>
            </w:r>
          </w:p>
          <w:p w14:paraId="71C9AC4C"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Consumer loyalty </w:t>
            </w:r>
          </w:p>
        </w:tc>
        <w:tc>
          <w:tcPr>
            <w:tcW w:w="1766" w:type="dxa"/>
          </w:tcPr>
          <w:p w14:paraId="60E3DC37" w14:textId="77777777" w:rsidR="00A96566" w:rsidRPr="00151ABA" w:rsidRDefault="00A96566" w:rsidP="00953448">
            <w:pPr>
              <w:adjustRightInd w:val="0"/>
              <w:spacing w:line="480" w:lineRule="auto"/>
              <w:jc w:val="lowKashida"/>
              <w:rPr>
                <w:rFonts w:asciiTheme="majorBidi" w:hAnsiTheme="majorBidi" w:cstheme="majorBidi"/>
                <w:sz w:val="20"/>
                <w:szCs w:val="20"/>
              </w:rPr>
            </w:pPr>
            <w:r w:rsidRPr="00151ABA">
              <w:rPr>
                <w:rFonts w:asciiTheme="majorBidi" w:hAnsiTheme="majorBidi" w:cstheme="majorBidi"/>
                <w:sz w:val="20"/>
                <w:szCs w:val="20"/>
              </w:rPr>
              <w:t>China</w:t>
            </w:r>
          </w:p>
        </w:tc>
        <w:bookmarkStart w:id="26" w:name="_Hlk144301466"/>
        <w:tc>
          <w:tcPr>
            <w:tcW w:w="2629" w:type="dxa"/>
          </w:tcPr>
          <w:p w14:paraId="20840685" w14:textId="77777777" w:rsidR="00A96566" w:rsidRPr="00151ABA" w:rsidRDefault="00000000" w:rsidP="00F22281">
            <w:pPr>
              <w:adjustRightInd w:val="0"/>
              <w:jc w:val="lowKashida"/>
              <w:rPr>
                <w:rFonts w:asciiTheme="majorBidi" w:hAnsiTheme="majorBidi" w:cstheme="majorBidi"/>
                <w:sz w:val="20"/>
                <w:szCs w:val="20"/>
              </w:rPr>
            </w:pPr>
            <w:sdt>
              <w:sdtPr>
                <w:rPr>
                  <w:rFonts w:asciiTheme="majorBidi" w:hAnsiTheme="majorBidi" w:cstheme="majorBidi"/>
                  <w:sz w:val="20"/>
                  <w:szCs w:val="20"/>
                </w:rPr>
                <w:id w:val="743073623"/>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CITATION Dan20 \t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(Dang, Nguyen, &amp; Pervan, 2020)</w:t>
                </w:r>
                <w:r w:rsidR="00A96566" w:rsidRPr="00151ABA">
                  <w:rPr>
                    <w:rFonts w:asciiTheme="majorBidi" w:hAnsiTheme="majorBidi" w:cstheme="majorBidi"/>
                    <w:sz w:val="20"/>
                    <w:szCs w:val="20"/>
                  </w:rPr>
                  <w:fldChar w:fldCharType="end"/>
                </w:r>
              </w:sdtContent>
            </w:sdt>
            <w:bookmarkEnd w:id="26"/>
          </w:p>
        </w:tc>
      </w:tr>
      <w:tr w:rsidR="00A96566" w:rsidRPr="00151ABA" w14:paraId="3ED70D50" w14:textId="77777777" w:rsidTr="00026112">
        <w:trPr>
          <w:trHeight w:val="545"/>
        </w:trPr>
        <w:tc>
          <w:tcPr>
            <w:tcW w:w="3685" w:type="dxa"/>
          </w:tcPr>
          <w:p w14:paraId="49E27AD2"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Higher perception of product quality </w:t>
            </w:r>
          </w:p>
          <w:p w14:paraId="108EA601"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Purchase intention </w:t>
            </w:r>
          </w:p>
        </w:tc>
        <w:tc>
          <w:tcPr>
            <w:tcW w:w="1766" w:type="dxa"/>
          </w:tcPr>
          <w:p w14:paraId="4B83346D" w14:textId="77777777" w:rsidR="00A96566" w:rsidRPr="00151ABA" w:rsidRDefault="00A96566" w:rsidP="00953448">
            <w:pPr>
              <w:adjustRightInd w:val="0"/>
              <w:spacing w:line="480" w:lineRule="auto"/>
              <w:jc w:val="lowKashida"/>
              <w:rPr>
                <w:rFonts w:asciiTheme="majorBidi" w:hAnsiTheme="majorBidi" w:cstheme="majorBidi"/>
                <w:sz w:val="20"/>
                <w:szCs w:val="20"/>
              </w:rPr>
            </w:pPr>
            <w:r w:rsidRPr="00151ABA">
              <w:rPr>
                <w:rFonts w:asciiTheme="majorBidi" w:hAnsiTheme="majorBidi" w:cstheme="majorBidi"/>
                <w:sz w:val="20"/>
                <w:szCs w:val="20"/>
              </w:rPr>
              <w:t>USA</w:t>
            </w:r>
          </w:p>
        </w:tc>
        <w:tc>
          <w:tcPr>
            <w:tcW w:w="2629" w:type="dxa"/>
          </w:tcPr>
          <w:p w14:paraId="037F1F0E" w14:textId="77777777" w:rsidR="00A96566" w:rsidRPr="00151ABA" w:rsidRDefault="00000000" w:rsidP="00F22281">
            <w:pPr>
              <w:adjustRightInd w:val="0"/>
              <w:jc w:val="lowKashida"/>
              <w:rPr>
                <w:rFonts w:asciiTheme="majorBidi" w:hAnsiTheme="majorBidi" w:cstheme="majorBidi"/>
                <w:sz w:val="20"/>
                <w:szCs w:val="20"/>
              </w:rPr>
            </w:pPr>
            <w:sdt>
              <w:sdtPr>
                <w:rPr>
                  <w:rFonts w:asciiTheme="majorBidi" w:hAnsiTheme="majorBidi" w:cstheme="majorBidi"/>
                  <w:sz w:val="20"/>
                  <w:szCs w:val="20"/>
                </w:rPr>
                <w:id w:val="-1014066751"/>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CITATION New14 \t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 xml:space="preserve"> (Newman, Gorlin, &amp; Dhar, 2014)</w:t>
                </w:r>
                <w:r w:rsidR="00A96566" w:rsidRPr="00151ABA">
                  <w:rPr>
                    <w:rFonts w:asciiTheme="majorBidi" w:hAnsiTheme="majorBidi" w:cstheme="majorBidi"/>
                    <w:sz w:val="20"/>
                    <w:szCs w:val="20"/>
                  </w:rPr>
                  <w:fldChar w:fldCharType="end"/>
                </w:r>
              </w:sdtContent>
            </w:sdt>
          </w:p>
        </w:tc>
      </w:tr>
      <w:tr w:rsidR="00A96566" w:rsidRPr="00151ABA" w14:paraId="6851B657" w14:textId="77777777" w:rsidTr="00026112">
        <w:trPr>
          <w:trHeight w:val="301"/>
        </w:trPr>
        <w:tc>
          <w:tcPr>
            <w:tcW w:w="3685" w:type="dxa"/>
          </w:tcPr>
          <w:p w14:paraId="5B269CDD"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Better perception of the functionality of the company’s products </w:t>
            </w:r>
          </w:p>
        </w:tc>
        <w:tc>
          <w:tcPr>
            <w:tcW w:w="1766" w:type="dxa"/>
          </w:tcPr>
          <w:p w14:paraId="735CAC37" w14:textId="77777777" w:rsidR="00A96566" w:rsidRPr="00151ABA" w:rsidRDefault="00A96566" w:rsidP="00953448">
            <w:pPr>
              <w:adjustRightInd w:val="0"/>
              <w:spacing w:line="480" w:lineRule="auto"/>
              <w:jc w:val="lowKashida"/>
              <w:rPr>
                <w:rFonts w:asciiTheme="majorBidi" w:hAnsiTheme="majorBidi" w:cstheme="majorBidi"/>
                <w:sz w:val="20"/>
                <w:szCs w:val="20"/>
              </w:rPr>
            </w:pPr>
            <w:r w:rsidRPr="00151ABA">
              <w:rPr>
                <w:rFonts w:asciiTheme="majorBidi" w:hAnsiTheme="majorBidi" w:cstheme="majorBidi"/>
                <w:sz w:val="20"/>
                <w:szCs w:val="20"/>
              </w:rPr>
              <w:t>USA</w:t>
            </w:r>
          </w:p>
        </w:tc>
        <w:tc>
          <w:tcPr>
            <w:tcW w:w="2629" w:type="dxa"/>
          </w:tcPr>
          <w:p w14:paraId="4547A354" w14:textId="77777777" w:rsidR="00A96566" w:rsidRPr="00151ABA" w:rsidRDefault="00000000" w:rsidP="00F22281">
            <w:pPr>
              <w:adjustRightInd w:val="0"/>
              <w:jc w:val="lowKashida"/>
              <w:rPr>
                <w:rFonts w:asciiTheme="majorBidi" w:hAnsiTheme="majorBidi" w:cstheme="majorBidi"/>
                <w:sz w:val="20"/>
                <w:szCs w:val="20"/>
              </w:rPr>
            </w:pPr>
            <w:sdt>
              <w:sdtPr>
                <w:rPr>
                  <w:rFonts w:asciiTheme="majorBidi" w:hAnsiTheme="majorBidi" w:cstheme="majorBidi"/>
                  <w:sz w:val="20"/>
                  <w:szCs w:val="20"/>
                </w:rPr>
                <w:id w:val="867262658"/>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CITATION CHE15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 xml:space="preserve"> (Chernev &amp; Blair, 2015)</w:t>
                </w:r>
                <w:r w:rsidR="00A96566" w:rsidRPr="00151ABA">
                  <w:rPr>
                    <w:rFonts w:asciiTheme="majorBidi" w:hAnsiTheme="majorBidi" w:cstheme="majorBidi"/>
                    <w:sz w:val="20"/>
                    <w:szCs w:val="20"/>
                  </w:rPr>
                  <w:fldChar w:fldCharType="end"/>
                </w:r>
              </w:sdtContent>
            </w:sdt>
          </w:p>
        </w:tc>
      </w:tr>
      <w:tr w:rsidR="00A96566" w:rsidRPr="00151ABA" w14:paraId="73DBCEC9" w14:textId="77777777" w:rsidTr="00026112">
        <w:trPr>
          <w:trHeight w:val="545"/>
        </w:trPr>
        <w:tc>
          <w:tcPr>
            <w:tcW w:w="3685" w:type="dxa"/>
          </w:tcPr>
          <w:p w14:paraId="21CD05DE"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Favourable attitudes towards the firm and stronger purchase intention </w:t>
            </w:r>
          </w:p>
        </w:tc>
        <w:tc>
          <w:tcPr>
            <w:tcW w:w="1766" w:type="dxa"/>
          </w:tcPr>
          <w:p w14:paraId="5166DC74" w14:textId="77777777" w:rsidR="00A96566" w:rsidRPr="00151ABA" w:rsidRDefault="00A96566" w:rsidP="00953448">
            <w:pPr>
              <w:adjustRightInd w:val="0"/>
              <w:spacing w:line="480" w:lineRule="auto"/>
              <w:jc w:val="lowKashida"/>
              <w:rPr>
                <w:rFonts w:asciiTheme="majorBidi" w:hAnsiTheme="majorBidi" w:cstheme="majorBidi"/>
                <w:sz w:val="20"/>
                <w:szCs w:val="20"/>
              </w:rPr>
            </w:pPr>
            <w:r w:rsidRPr="00151ABA">
              <w:rPr>
                <w:rFonts w:asciiTheme="majorBidi" w:hAnsiTheme="majorBidi" w:cstheme="majorBidi"/>
                <w:sz w:val="20"/>
                <w:szCs w:val="20"/>
              </w:rPr>
              <w:t>USA</w:t>
            </w:r>
          </w:p>
        </w:tc>
        <w:tc>
          <w:tcPr>
            <w:tcW w:w="2629" w:type="dxa"/>
          </w:tcPr>
          <w:p w14:paraId="722440EE" w14:textId="77777777" w:rsidR="00A96566" w:rsidRPr="00151ABA" w:rsidRDefault="00000000" w:rsidP="00F22281">
            <w:pPr>
              <w:adjustRightInd w:val="0"/>
              <w:jc w:val="lowKashida"/>
              <w:rPr>
                <w:rFonts w:asciiTheme="majorBidi" w:hAnsiTheme="majorBidi" w:cstheme="majorBidi"/>
                <w:sz w:val="20"/>
                <w:szCs w:val="20"/>
              </w:rPr>
            </w:pPr>
            <w:sdt>
              <w:sdtPr>
                <w:rPr>
                  <w:rFonts w:asciiTheme="majorBidi" w:hAnsiTheme="majorBidi" w:cstheme="majorBidi"/>
                  <w:sz w:val="20"/>
                  <w:szCs w:val="20"/>
                </w:rPr>
                <w:id w:val="1191878008"/>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CITATION Kim17 \t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(Kim Y. , 2017)</w:t>
                </w:r>
                <w:r w:rsidR="00A96566" w:rsidRPr="00151ABA">
                  <w:rPr>
                    <w:rFonts w:asciiTheme="majorBidi" w:hAnsiTheme="majorBidi" w:cstheme="majorBidi"/>
                    <w:sz w:val="20"/>
                    <w:szCs w:val="20"/>
                  </w:rPr>
                  <w:fldChar w:fldCharType="end"/>
                </w:r>
              </w:sdtContent>
            </w:sdt>
          </w:p>
        </w:tc>
      </w:tr>
      <w:tr w:rsidR="00A96566" w:rsidRPr="00151ABA" w14:paraId="1C630E51" w14:textId="77777777" w:rsidTr="00026112">
        <w:trPr>
          <w:trHeight w:val="285"/>
        </w:trPr>
        <w:tc>
          <w:tcPr>
            <w:tcW w:w="3685" w:type="dxa"/>
          </w:tcPr>
          <w:p w14:paraId="5298FD9D"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High consumers’ brand identification </w:t>
            </w:r>
          </w:p>
        </w:tc>
        <w:tc>
          <w:tcPr>
            <w:tcW w:w="1766" w:type="dxa"/>
          </w:tcPr>
          <w:p w14:paraId="52464EF8" w14:textId="77777777" w:rsidR="00A96566" w:rsidRPr="00151ABA" w:rsidRDefault="00A96566" w:rsidP="00F22281">
            <w:pPr>
              <w:adjustRightInd w:val="0"/>
              <w:jc w:val="both"/>
              <w:rPr>
                <w:rFonts w:asciiTheme="majorBidi" w:hAnsiTheme="majorBidi" w:cstheme="majorBidi"/>
                <w:sz w:val="20"/>
                <w:szCs w:val="20"/>
              </w:rPr>
            </w:pPr>
            <w:r w:rsidRPr="00151ABA">
              <w:rPr>
                <w:rFonts w:asciiTheme="majorBidi" w:hAnsiTheme="majorBidi" w:cstheme="majorBidi"/>
                <w:sz w:val="20"/>
                <w:szCs w:val="20"/>
              </w:rPr>
              <w:t xml:space="preserve">USA and Mexico </w:t>
            </w:r>
          </w:p>
        </w:tc>
        <w:tc>
          <w:tcPr>
            <w:tcW w:w="2629" w:type="dxa"/>
          </w:tcPr>
          <w:p w14:paraId="6E505F40" w14:textId="77777777" w:rsidR="00A96566" w:rsidRPr="00151ABA" w:rsidRDefault="00000000" w:rsidP="00F22281">
            <w:pPr>
              <w:adjustRightInd w:val="0"/>
              <w:jc w:val="lowKashida"/>
              <w:rPr>
                <w:rFonts w:asciiTheme="majorBidi" w:hAnsiTheme="majorBidi" w:cstheme="majorBidi"/>
                <w:sz w:val="20"/>
                <w:szCs w:val="20"/>
              </w:rPr>
            </w:pPr>
            <w:sdt>
              <w:sdtPr>
                <w:rPr>
                  <w:rFonts w:asciiTheme="majorBidi" w:hAnsiTheme="majorBidi" w:cstheme="majorBidi"/>
                  <w:sz w:val="20"/>
                  <w:szCs w:val="20"/>
                </w:rPr>
                <w:id w:val="2114327945"/>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Bec11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(Becker-Olsen, Taylor, Hill, &amp; Yalcinkaya, 2011)</w:t>
                </w:r>
                <w:r w:rsidR="00A96566" w:rsidRPr="00151ABA">
                  <w:rPr>
                    <w:rFonts w:asciiTheme="majorBidi" w:hAnsiTheme="majorBidi" w:cstheme="majorBidi"/>
                    <w:sz w:val="20"/>
                    <w:szCs w:val="20"/>
                  </w:rPr>
                  <w:fldChar w:fldCharType="end"/>
                </w:r>
              </w:sdtContent>
            </w:sdt>
          </w:p>
        </w:tc>
      </w:tr>
      <w:tr w:rsidR="00A96566" w:rsidRPr="00151ABA" w14:paraId="66E599D4" w14:textId="77777777" w:rsidTr="00026112">
        <w:trPr>
          <w:trHeight w:val="351"/>
        </w:trPr>
        <w:tc>
          <w:tcPr>
            <w:tcW w:w="3685" w:type="dxa"/>
          </w:tcPr>
          <w:p w14:paraId="1F28FAD7"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High willingness to pay more for products from environmentally and socially responsible companies </w:t>
            </w:r>
          </w:p>
        </w:tc>
        <w:tc>
          <w:tcPr>
            <w:tcW w:w="1766" w:type="dxa"/>
          </w:tcPr>
          <w:p w14:paraId="022BD38A"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Italy </w:t>
            </w:r>
          </w:p>
        </w:tc>
        <w:tc>
          <w:tcPr>
            <w:tcW w:w="2629" w:type="dxa"/>
          </w:tcPr>
          <w:p w14:paraId="665F08E8" w14:textId="77777777" w:rsidR="00A96566" w:rsidRPr="00151ABA" w:rsidRDefault="00000000" w:rsidP="00F22281">
            <w:pPr>
              <w:adjustRightInd w:val="0"/>
              <w:jc w:val="lowKashida"/>
              <w:rPr>
                <w:rFonts w:asciiTheme="majorBidi" w:hAnsiTheme="majorBidi" w:cstheme="majorBidi"/>
                <w:sz w:val="20"/>
                <w:szCs w:val="20"/>
              </w:rPr>
            </w:pPr>
            <w:sdt>
              <w:sdtPr>
                <w:rPr>
                  <w:rFonts w:asciiTheme="majorBidi" w:hAnsiTheme="majorBidi" w:cstheme="majorBidi"/>
                  <w:sz w:val="20"/>
                  <w:szCs w:val="20"/>
                </w:rPr>
                <w:id w:val="1501689549"/>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Bec20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 xml:space="preserve"> (Becchetti, Corrado, Pelligra, &amp; Rossetti, 2020)</w:t>
                </w:r>
                <w:r w:rsidR="00A96566" w:rsidRPr="00151ABA">
                  <w:rPr>
                    <w:rFonts w:asciiTheme="majorBidi" w:hAnsiTheme="majorBidi" w:cstheme="majorBidi"/>
                    <w:sz w:val="20"/>
                    <w:szCs w:val="20"/>
                  </w:rPr>
                  <w:fldChar w:fldCharType="end"/>
                </w:r>
              </w:sdtContent>
            </w:sdt>
          </w:p>
        </w:tc>
      </w:tr>
      <w:tr w:rsidR="00A96566" w:rsidRPr="00151ABA" w14:paraId="79CEB74C" w14:textId="77777777" w:rsidTr="00026112">
        <w:trPr>
          <w:trHeight w:val="417"/>
        </w:trPr>
        <w:tc>
          <w:tcPr>
            <w:tcW w:w="3685" w:type="dxa"/>
          </w:tcPr>
          <w:p w14:paraId="114B39ED"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Increased trust and attitudinal in the company </w:t>
            </w:r>
          </w:p>
        </w:tc>
        <w:tc>
          <w:tcPr>
            <w:tcW w:w="1766" w:type="dxa"/>
          </w:tcPr>
          <w:p w14:paraId="0DF9FFC2"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Spain </w:t>
            </w:r>
          </w:p>
        </w:tc>
        <w:tc>
          <w:tcPr>
            <w:tcW w:w="2629" w:type="dxa"/>
          </w:tcPr>
          <w:p w14:paraId="4AD573F7" w14:textId="77777777" w:rsidR="00A96566" w:rsidRPr="00151ABA" w:rsidRDefault="00000000" w:rsidP="00953448">
            <w:pPr>
              <w:adjustRightInd w:val="0"/>
              <w:jc w:val="lowKashida"/>
              <w:rPr>
                <w:rFonts w:asciiTheme="majorBidi" w:hAnsiTheme="majorBidi" w:cstheme="majorBidi"/>
                <w:sz w:val="20"/>
                <w:szCs w:val="20"/>
              </w:rPr>
            </w:pPr>
            <w:sdt>
              <w:sdtPr>
                <w:rPr>
                  <w:rFonts w:asciiTheme="majorBidi" w:hAnsiTheme="majorBidi" w:cstheme="majorBidi"/>
                  <w:sz w:val="20"/>
                  <w:szCs w:val="20"/>
                </w:rPr>
                <w:id w:val="-1120837438"/>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Ser19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 xml:space="preserve"> (Servera-Francés &amp; Piqueras-Tomás, 2019)</w:t>
                </w:r>
                <w:r w:rsidR="00A96566" w:rsidRPr="00151ABA">
                  <w:rPr>
                    <w:rFonts w:asciiTheme="majorBidi" w:hAnsiTheme="majorBidi" w:cstheme="majorBidi"/>
                    <w:sz w:val="20"/>
                    <w:szCs w:val="20"/>
                  </w:rPr>
                  <w:fldChar w:fldCharType="end"/>
                </w:r>
              </w:sdtContent>
            </w:sdt>
          </w:p>
        </w:tc>
      </w:tr>
      <w:tr w:rsidR="00A96566" w:rsidRPr="00151ABA" w14:paraId="3A91BA25" w14:textId="77777777" w:rsidTr="00026112">
        <w:trPr>
          <w:trHeight w:val="407"/>
        </w:trPr>
        <w:tc>
          <w:tcPr>
            <w:tcW w:w="3685" w:type="dxa"/>
          </w:tcPr>
          <w:p w14:paraId="0A5AE662"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 xml:space="preserve">Increased consumer trust and loyalty towards the company </w:t>
            </w:r>
          </w:p>
        </w:tc>
        <w:tc>
          <w:tcPr>
            <w:tcW w:w="1766" w:type="dxa"/>
          </w:tcPr>
          <w:p w14:paraId="5C44F62C" w14:textId="77777777" w:rsidR="00A96566" w:rsidRPr="00151ABA" w:rsidRDefault="00A96566" w:rsidP="00953448">
            <w:pPr>
              <w:adjustRightInd w:val="0"/>
              <w:jc w:val="lowKashida"/>
              <w:rPr>
                <w:rFonts w:asciiTheme="majorBidi" w:hAnsiTheme="majorBidi" w:cstheme="majorBidi"/>
                <w:sz w:val="20"/>
                <w:szCs w:val="20"/>
              </w:rPr>
            </w:pPr>
            <w:r w:rsidRPr="00151ABA">
              <w:rPr>
                <w:rFonts w:asciiTheme="majorBidi" w:hAnsiTheme="majorBidi" w:cstheme="majorBidi"/>
                <w:sz w:val="20"/>
                <w:szCs w:val="20"/>
              </w:rPr>
              <w:t>Spain</w:t>
            </w:r>
          </w:p>
        </w:tc>
        <w:tc>
          <w:tcPr>
            <w:tcW w:w="2629" w:type="dxa"/>
          </w:tcPr>
          <w:p w14:paraId="5CA4D524" w14:textId="77777777" w:rsidR="00A96566" w:rsidRPr="00151ABA" w:rsidRDefault="00000000" w:rsidP="001A6A8D">
            <w:pPr>
              <w:keepNext/>
              <w:adjustRightInd w:val="0"/>
              <w:jc w:val="lowKashida"/>
              <w:rPr>
                <w:rFonts w:asciiTheme="majorBidi" w:hAnsiTheme="majorBidi" w:cstheme="majorBidi"/>
                <w:sz w:val="20"/>
                <w:szCs w:val="20"/>
              </w:rPr>
            </w:pPr>
            <w:sdt>
              <w:sdtPr>
                <w:rPr>
                  <w:rFonts w:asciiTheme="majorBidi" w:hAnsiTheme="majorBidi" w:cstheme="majorBidi"/>
                  <w:sz w:val="20"/>
                  <w:szCs w:val="20"/>
                </w:rPr>
                <w:id w:val="-1542821618"/>
                <w:citation/>
              </w:sdtPr>
              <w:sdtContent>
                <w:r w:rsidR="00A96566" w:rsidRPr="00151ABA">
                  <w:rPr>
                    <w:rFonts w:asciiTheme="majorBidi" w:hAnsiTheme="majorBidi" w:cstheme="majorBidi"/>
                    <w:sz w:val="20"/>
                    <w:szCs w:val="20"/>
                  </w:rPr>
                  <w:fldChar w:fldCharType="begin"/>
                </w:r>
                <w:r w:rsidR="00A96566" w:rsidRPr="00151ABA">
                  <w:rPr>
                    <w:rFonts w:asciiTheme="majorBidi" w:hAnsiTheme="majorBidi" w:cstheme="majorBidi"/>
                    <w:sz w:val="20"/>
                    <w:szCs w:val="20"/>
                  </w:rPr>
                  <w:instrText xml:space="preserve"> CITATION Riv19 \l 2057 </w:instrText>
                </w:r>
                <w:r w:rsidR="00A96566" w:rsidRPr="00151ABA">
                  <w:rPr>
                    <w:rFonts w:asciiTheme="majorBidi" w:hAnsiTheme="majorBidi" w:cstheme="majorBidi"/>
                    <w:sz w:val="20"/>
                    <w:szCs w:val="20"/>
                  </w:rPr>
                  <w:fldChar w:fldCharType="separate"/>
                </w:r>
                <w:r w:rsidR="00A96566" w:rsidRPr="00151ABA">
                  <w:rPr>
                    <w:rFonts w:asciiTheme="majorBidi" w:hAnsiTheme="majorBidi" w:cstheme="majorBidi"/>
                    <w:noProof/>
                    <w:sz w:val="20"/>
                    <w:szCs w:val="20"/>
                  </w:rPr>
                  <w:t>(Rivera, Bigne, &amp; Curras-Perez, 2019)</w:t>
                </w:r>
                <w:r w:rsidR="00A96566" w:rsidRPr="00151ABA">
                  <w:rPr>
                    <w:rFonts w:asciiTheme="majorBidi" w:hAnsiTheme="majorBidi" w:cstheme="majorBidi"/>
                    <w:sz w:val="20"/>
                    <w:szCs w:val="20"/>
                  </w:rPr>
                  <w:fldChar w:fldCharType="end"/>
                </w:r>
              </w:sdtContent>
            </w:sdt>
          </w:p>
        </w:tc>
      </w:tr>
    </w:tbl>
    <w:p w14:paraId="039EDEC8" w14:textId="08A9D608" w:rsidR="00A96566" w:rsidRDefault="001A6A8D" w:rsidP="001A6A8D">
      <w:pPr>
        <w:pStyle w:val="Caption"/>
        <w:rPr>
          <w:rFonts w:asciiTheme="majorBidi" w:hAnsiTheme="majorBidi" w:cstheme="majorBidi"/>
          <w:sz w:val="24"/>
          <w:szCs w:val="24"/>
        </w:rPr>
      </w:pPr>
      <w:r>
        <w:t xml:space="preserve">Table </w:t>
      </w:r>
      <w:r w:rsidR="00044DE9">
        <w:t>5</w:t>
      </w:r>
      <w:r>
        <w:t xml:space="preserve"> Studies from literature examining the impact of CSR on consumer behaviour </w:t>
      </w:r>
    </w:p>
    <w:p w14:paraId="073816DB" w14:textId="77777777" w:rsidR="00460517" w:rsidRDefault="00460517">
      <w:pPr>
        <w:rPr>
          <w:rFonts w:asciiTheme="majorBidi" w:hAnsiTheme="majorBidi" w:cstheme="majorBidi"/>
          <w:b/>
          <w:bCs/>
          <w:sz w:val="24"/>
          <w:szCs w:val="24"/>
        </w:rPr>
      </w:pPr>
      <w:r>
        <w:rPr>
          <w:rFonts w:asciiTheme="majorBidi" w:hAnsiTheme="majorBidi" w:cstheme="majorBidi"/>
          <w:b/>
          <w:bCs/>
          <w:sz w:val="24"/>
          <w:szCs w:val="24"/>
        </w:rPr>
        <w:br w:type="page"/>
      </w:r>
    </w:p>
    <w:p w14:paraId="00D5611F" w14:textId="06BFCD6A" w:rsidR="00A96566" w:rsidRDefault="00460517" w:rsidP="0015154A">
      <w:pPr>
        <w:adjustRightInd w:val="0"/>
        <w:spacing w:after="0" w:line="480" w:lineRule="auto"/>
        <w:ind w:firstLine="720"/>
        <w:jc w:val="lowKashida"/>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w:t>
      </w:r>
      <w:r w:rsidR="00DD69CF">
        <w:rPr>
          <w:rFonts w:asciiTheme="majorBidi" w:hAnsiTheme="majorBidi" w:cstheme="majorBidi"/>
          <w:b/>
          <w:bCs/>
          <w:sz w:val="24"/>
          <w:szCs w:val="24"/>
        </w:rPr>
        <w:t>5</w:t>
      </w:r>
      <w:r w:rsidR="00A96566">
        <w:rPr>
          <w:rFonts w:asciiTheme="majorBidi" w:hAnsiTheme="majorBidi" w:cstheme="majorBidi"/>
          <w:b/>
          <w:bCs/>
          <w:sz w:val="24"/>
          <w:szCs w:val="24"/>
        </w:rPr>
        <w:t xml:space="preserve"> </w:t>
      </w:r>
      <w:r w:rsidR="00A96566" w:rsidRPr="00F55049">
        <w:rPr>
          <w:rFonts w:asciiTheme="majorBidi" w:hAnsiTheme="majorBidi" w:cstheme="majorBidi"/>
          <w:b/>
          <w:bCs/>
          <w:sz w:val="24"/>
          <w:szCs w:val="24"/>
        </w:rPr>
        <w:t xml:space="preserve">CSR in the Middle East </w:t>
      </w:r>
    </w:p>
    <w:p w14:paraId="34C9EDC7" w14:textId="1E518D18" w:rsidR="00460517" w:rsidRPr="00460517" w:rsidRDefault="00A96566" w:rsidP="00460517">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One of this study’s objectives is to expand the literature on CSR in the </w:t>
      </w:r>
      <w:bookmarkStart w:id="27" w:name="_Hlk128140493"/>
      <w:r>
        <w:rPr>
          <w:rFonts w:asciiTheme="majorBidi" w:hAnsiTheme="majorBidi" w:cstheme="majorBidi"/>
          <w:sz w:val="24"/>
          <w:szCs w:val="24"/>
        </w:rPr>
        <w:t xml:space="preserve">Middle East and North Africa </w:t>
      </w:r>
      <w:bookmarkEnd w:id="27"/>
      <w:r>
        <w:rPr>
          <w:rFonts w:asciiTheme="majorBidi" w:hAnsiTheme="majorBidi" w:cstheme="majorBidi"/>
          <w:sz w:val="24"/>
          <w:szCs w:val="24"/>
        </w:rPr>
        <w:t>(MENA) for a couple of reasons. Firstly, t</w:t>
      </w:r>
      <w:r w:rsidRPr="00A16170">
        <w:rPr>
          <w:rFonts w:asciiTheme="majorBidi" w:hAnsiTheme="majorBidi" w:cstheme="majorBidi"/>
          <w:sz w:val="24"/>
          <w:szCs w:val="24"/>
        </w:rPr>
        <w:t xml:space="preserve">he MENA </w:t>
      </w:r>
      <w:r>
        <w:rPr>
          <w:rFonts w:asciiTheme="majorBidi" w:hAnsiTheme="majorBidi" w:cstheme="majorBidi"/>
          <w:sz w:val="24"/>
          <w:szCs w:val="24"/>
        </w:rPr>
        <w:t>region</w:t>
      </w:r>
      <w:r w:rsidRPr="00A16170">
        <w:rPr>
          <w:rFonts w:asciiTheme="majorBidi" w:hAnsiTheme="majorBidi" w:cstheme="majorBidi"/>
          <w:sz w:val="24"/>
          <w:szCs w:val="24"/>
        </w:rPr>
        <w:t xml:space="preserve"> </w:t>
      </w:r>
      <w:r>
        <w:rPr>
          <w:rFonts w:asciiTheme="majorBidi" w:hAnsiTheme="majorBidi" w:cstheme="majorBidi"/>
          <w:sz w:val="24"/>
          <w:szCs w:val="24"/>
        </w:rPr>
        <w:t>became</w:t>
      </w:r>
      <w:r w:rsidRPr="00A16170">
        <w:rPr>
          <w:rFonts w:asciiTheme="majorBidi" w:hAnsiTheme="majorBidi" w:cstheme="majorBidi"/>
          <w:sz w:val="24"/>
          <w:szCs w:val="24"/>
        </w:rPr>
        <w:t xml:space="preserve"> a thriving hub for entrepreneurship and commercial innovation and is currently </w:t>
      </w:r>
      <w:r>
        <w:rPr>
          <w:rFonts w:asciiTheme="majorBidi" w:hAnsiTheme="majorBidi" w:cstheme="majorBidi"/>
          <w:sz w:val="24"/>
          <w:szCs w:val="24"/>
        </w:rPr>
        <w:t>demonstrating</w:t>
      </w:r>
      <w:r w:rsidRPr="00A16170">
        <w:rPr>
          <w:rFonts w:asciiTheme="majorBidi" w:hAnsiTheme="majorBidi" w:cstheme="majorBidi"/>
          <w:sz w:val="24"/>
          <w:szCs w:val="24"/>
        </w:rPr>
        <w:t xml:space="preserve"> steady growth</w:t>
      </w:r>
      <w:sdt>
        <w:sdtPr>
          <w:rPr>
            <w:rFonts w:asciiTheme="majorBidi" w:hAnsiTheme="majorBidi" w:cstheme="majorBidi"/>
            <w:sz w:val="24"/>
            <w:szCs w:val="24"/>
          </w:rPr>
          <w:id w:val="-119930319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Alk18 \l 2057  \m Sin22 \m Bud19</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(Alkasmi, El Hamamsy, Khoury, &amp; Syed, 2018; Sindakis &amp; Aggarwal, 2022; Budhwar, Pereira, Mellahi, &amp; Singh , 2019)</w:t>
          </w:r>
          <w:r>
            <w:rPr>
              <w:rFonts w:asciiTheme="majorBidi" w:hAnsiTheme="majorBidi" w:cstheme="majorBidi"/>
              <w:sz w:val="24"/>
              <w:szCs w:val="24"/>
            </w:rPr>
            <w:fldChar w:fldCharType="end"/>
          </w:r>
        </w:sdtContent>
      </w:sdt>
      <w:r w:rsidRPr="00A16170">
        <w:rPr>
          <w:rFonts w:asciiTheme="majorBidi" w:hAnsiTheme="majorBidi" w:cstheme="majorBidi"/>
          <w:sz w:val="24"/>
          <w:szCs w:val="24"/>
        </w:rPr>
        <w:t>.</w:t>
      </w:r>
      <w:r>
        <w:rPr>
          <w:rFonts w:asciiTheme="majorBidi" w:hAnsiTheme="majorBidi" w:cstheme="majorBidi"/>
          <w:sz w:val="24"/>
          <w:szCs w:val="24"/>
        </w:rPr>
        <w:t xml:space="preserve"> Secondly, m</w:t>
      </w:r>
      <w:r w:rsidRPr="00880B7F">
        <w:rPr>
          <w:rFonts w:asciiTheme="majorBidi" w:hAnsiTheme="majorBidi" w:cstheme="majorBidi"/>
          <w:sz w:val="24"/>
          <w:szCs w:val="24"/>
        </w:rPr>
        <w:t xml:space="preserve">ost of the findings </w:t>
      </w:r>
      <w:r>
        <w:rPr>
          <w:rFonts w:asciiTheme="majorBidi" w:hAnsiTheme="majorBidi" w:cstheme="majorBidi"/>
          <w:sz w:val="24"/>
          <w:szCs w:val="24"/>
        </w:rPr>
        <w:t xml:space="preserve">in literature from developed countries </w:t>
      </w:r>
      <w:r w:rsidRPr="00880B7F">
        <w:rPr>
          <w:rFonts w:asciiTheme="majorBidi" w:hAnsiTheme="majorBidi" w:cstheme="majorBidi"/>
          <w:sz w:val="24"/>
          <w:szCs w:val="24"/>
        </w:rPr>
        <w:t>cannot be generalise</w:t>
      </w:r>
      <w:r>
        <w:rPr>
          <w:rFonts w:asciiTheme="majorBidi" w:hAnsiTheme="majorBidi" w:cstheme="majorBidi"/>
          <w:sz w:val="24"/>
          <w:szCs w:val="24"/>
        </w:rPr>
        <w:t>d</w:t>
      </w:r>
      <w:r w:rsidRPr="00880B7F">
        <w:rPr>
          <w:rFonts w:asciiTheme="majorBidi" w:hAnsiTheme="majorBidi" w:cstheme="majorBidi"/>
          <w:sz w:val="24"/>
          <w:szCs w:val="24"/>
        </w:rPr>
        <w:t xml:space="preserve"> to </w:t>
      </w:r>
      <w:r>
        <w:rPr>
          <w:rFonts w:asciiTheme="majorBidi" w:hAnsiTheme="majorBidi" w:cstheme="majorBidi"/>
          <w:sz w:val="24"/>
          <w:szCs w:val="24"/>
        </w:rPr>
        <w:t>developing countries</w:t>
      </w:r>
      <w:r w:rsidRPr="00880B7F">
        <w:rPr>
          <w:rFonts w:asciiTheme="majorBidi" w:hAnsiTheme="majorBidi" w:cstheme="majorBidi"/>
          <w:sz w:val="24"/>
          <w:szCs w:val="24"/>
        </w:rPr>
        <w:t xml:space="preserve"> due to differences in cultur</w:t>
      </w:r>
      <w:r>
        <w:rPr>
          <w:rFonts w:asciiTheme="majorBidi" w:hAnsiTheme="majorBidi" w:cstheme="majorBidi"/>
          <w:sz w:val="24"/>
          <w:szCs w:val="24"/>
        </w:rPr>
        <w:t>e,</w:t>
      </w:r>
      <w:r w:rsidRPr="00880B7F">
        <w:rPr>
          <w:rFonts w:asciiTheme="majorBidi" w:hAnsiTheme="majorBidi" w:cstheme="majorBidi"/>
          <w:sz w:val="24"/>
          <w:szCs w:val="24"/>
        </w:rPr>
        <w:t xml:space="preserve"> politic</w:t>
      </w:r>
      <w:r>
        <w:rPr>
          <w:rFonts w:asciiTheme="majorBidi" w:hAnsiTheme="majorBidi" w:cstheme="majorBidi"/>
          <w:sz w:val="24"/>
          <w:szCs w:val="24"/>
        </w:rPr>
        <w:t xml:space="preserve">s, </w:t>
      </w:r>
      <w:r w:rsidRPr="00880B7F">
        <w:rPr>
          <w:rFonts w:asciiTheme="majorBidi" w:hAnsiTheme="majorBidi" w:cstheme="majorBidi"/>
          <w:sz w:val="24"/>
          <w:szCs w:val="24"/>
        </w:rPr>
        <w:t>religio</w:t>
      </w:r>
      <w:r>
        <w:rPr>
          <w:rFonts w:asciiTheme="majorBidi" w:hAnsiTheme="majorBidi" w:cstheme="majorBidi"/>
          <w:sz w:val="24"/>
          <w:szCs w:val="24"/>
        </w:rPr>
        <w:t xml:space="preserve">n, and </w:t>
      </w:r>
      <w:r w:rsidR="00D216CD">
        <w:rPr>
          <w:rFonts w:asciiTheme="majorBidi" w:hAnsiTheme="majorBidi" w:cstheme="majorBidi"/>
          <w:sz w:val="24"/>
          <w:szCs w:val="24"/>
        </w:rPr>
        <w:t>socio-economic</w:t>
      </w:r>
      <w:r>
        <w:rPr>
          <w:rFonts w:asciiTheme="majorBidi" w:hAnsiTheme="majorBidi" w:cstheme="majorBidi"/>
          <w:sz w:val="24"/>
          <w:szCs w:val="24"/>
        </w:rPr>
        <w:t xml:space="preserve"> development</w:t>
      </w:r>
      <w:r w:rsidR="0032783A">
        <w:rPr>
          <w:rFonts w:ascii="Times New Roman" w:hAnsi="Times New Roman" w:cs="Times New Roman"/>
          <w:sz w:val="24"/>
          <w:szCs w:val="24"/>
        </w:rPr>
        <w:t xml:space="preserve"> </w:t>
      </w:r>
      <w:sdt>
        <w:sdtPr>
          <w:id w:val="237834108"/>
          <w:citation/>
        </w:sdtPr>
        <w:sdtContent>
          <w:r w:rsidR="00F32A37">
            <w:fldChar w:fldCharType="begin"/>
          </w:r>
          <w:r w:rsidR="00F32A37">
            <w:rPr>
              <w:rFonts w:ascii="Times New Roman" w:hAnsi="Times New Roman" w:cs="Times New Roman"/>
              <w:sz w:val="24"/>
              <w:szCs w:val="24"/>
            </w:rPr>
            <w:instrText xml:space="preserve"> CITATION Abu211 \l 2057  \m Dan20 \m Nai21 \m Sal222</w:instrText>
          </w:r>
          <w:r w:rsidR="00F32A37">
            <w:fldChar w:fldCharType="separate"/>
          </w:r>
          <w:r w:rsidR="00F32A37" w:rsidRPr="00B36BEB">
            <w:rPr>
              <w:rFonts w:ascii="Times New Roman" w:hAnsi="Times New Roman" w:cs="Times New Roman"/>
              <w:noProof/>
              <w:sz w:val="24"/>
              <w:szCs w:val="24"/>
            </w:rPr>
            <w:t>(Abu Zayyad, et al., 2021; Dang, Nguyen, &amp; Pervan, 2020; Nair, 2021; Salam, Jahed, &amp; Palmer, 2022)</w:t>
          </w:r>
          <w:r w:rsidR="00F32A37">
            <w:fldChar w:fldCharType="end"/>
          </w:r>
        </w:sdtContent>
      </w:sdt>
      <w:r>
        <w:rPr>
          <w:rFonts w:asciiTheme="majorBidi" w:hAnsiTheme="majorBidi" w:cstheme="majorBidi"/>
          <w:sz w:val="24"/>
          <w:szCs w:val="24"/>
        </w:rPr>
        <w:t>. Aspects such as citizenship and consumer behaviour of people from different cultures make findings generali</w:t>
      </w:r>
      <w:r w:rsidR="00D216CD">
        <w:rPr>
          <w:rFonts w:asciiTheme="majorBidi" w:hAnsiTheme="majorBidi" w:cstheme="majorBidi"/>
          <w:sz w:val="24"/>
          <w:szCs w:val="24"/>
        </w:rPr>
        <w:t>s</w:t>
      </w:r>
      <w:r>
        <w:rPr>
          <w:rFonts w:asciiTheme="majorBidi" w:hAnsiTheme="majorBidi" w:cstheme="majorBidi"/>
          <w:sz w:val="24"/>
          <w:szCs w:val="24"/>
        </w:rPr>
        <w:t xml:space="preserve">ability from studies in Western countries even more problematic. Especially that </w:t>
      </w:r>
      <w:bookmarkStart w:id="28" w:name="_Hlk157197260"/>
      <w:r>
        <w:rPr>
          <w:rFonts w:asciiTheme="majorBidi" w:hAnsiTheme="majorBidi" w:cstheme="majorBidi"/>
          <w:sz w:val="24"/>
          <w:szCs w:val="24"/>
        </w:rPr>
        <w:t>it has been observed that country-specific variations affect the impact of CSR</w:t>
      </w:r>
      <w:sdt>
        <w:sdtPr>
          <w:rPr>
            <w:rFonts w:asciiTheme="majorBidi" w:hAnsiTheme="majorBidi" w:cstheme="majorBidi"/>
            <w:sz w:val="24"/>
            <w:szCs w:val="24"/>
          </w:rPr>
          <w:id w:val="146831954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Jam20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(Jamali, Jain, Samara, &amp; Zoghbi,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and should be taken into consideration</w:t>
      </w:r>
      <w:r w:rsidR="002C4862">
        <w:rPr>
          <w:rFonts w:asciiTheme="majorBidi" w:hAnsiTheme="majorBidi" w:cstheme="majorBidi"/>
          <w:sz w:val="24"/>
          <w:szCs w:val="24"/>
        </w:rPr>
        <w:t xml:space="preserve"> </w:t>
      </w:r>
      <w:sdt>
        <w:sdtPr>
          <w:rPr>
            <w:rFonts w:asciiTheme="majorBidi" w:hAnsiTheme="majorBidi" w:cstheme="majorBidi"/>
            <w:sz w:val="24"/>
            <w:szCs w:val="24"/>
          </w:rPr>
          <w:id w:val="-2133468849"/>
          <w:citation/>
        </w:sdtPr>
        <w:sdtContent>
          <w:r w:rsidR="002C4862">
            <w:rPr>
              <w:rFonts w:asciiTheme="majorBidi" w:hAnsiTheme="majorBidi" w:cstheme="majorBidi"/>
              <w:sz w:val="24"/>
              <w:szCs w:val="24"/>
            </w:rPr>
            <w:fldChar w:fldCharType="begin"/>
          </w:r>
          <w:r w:rsidR="002C4862">
            <w:rPr>
              <w:rFonts w:asciiTheme="majorBidi" w:hAnsiTheme="majorBidi" w:cstheme="majorBidi"/>
              <w:sz w:val="24"/>
              <w:szCs w:val="24"/>
            </w:rPr>
            <w:instrText xml:space="preserve"> CITATION Kha23 \l 2057  \m Mah11</w:instrText>
          </w:r>
          <w:r w:rsidR="002C4862">
            <w:rPr>
              <w:rFonts w:asciiTheme="majorBidi" w:hAnsiTheme="majorBidi" w:cstheme="majorBidi"/>
              <w:sz w:val="24"/>
              <w:szCs w:val="24"/>
            </w:rPr>
            <w:fldChar w:fldCharType="separate"/>
          </w:r>
          <w:r w:rsidR="002C4862" w:rsidRPr="002C4862">
            <w:rPr>
              <w:rFonts w:asciiTheme="majorBidi" w:hAnsiTheme="majorBidi" w:cstheme="majorBidi"/>
              <w:noProof/>
              <w:sz w:val="24"/>
              <w:szCs w:val="24"/>
            </w:rPr>
            <w:t>(Khan, Afeef, Ilyas, &amp; Jan, 2023; Mahadeo, Oogarah-Hanuman, &amp; Soobaroyen, 2011)</w:t>
          </w:r>
          <w:r w:rsidR="002C4862">
            <w:rPr>
              <w:rFonts w:asciiTheme="majorBidi" w:hAnsiTheme="majorBidi" w:cstheme="majorBidi"/>
              <w:sz w:val="24"/>
              <w:szCs w:val="24"/>
            </w:rPr>
            <w:fldChar w:fldCharType="end"/>
          </w:r>
        </w:sdtContent>
      </w:sdt>
      <w:r w:rsidR="002C4862">
        <w:rPr>
          <w:rFonts w:asciiTheme="majorBidi" w:hAnsiTheme="majorBidi" w:cstheme="majorBidi"/>
          <w:sz w:val="24"/>
          <w:szCs w:val="24"/>
        </w:rPr>
        <w:t>.</w:t>
      </w:r>
      <w:r>
        <w:rPr>
          <w:rFonts w:asciiTheme="majorBidi" w:hAnsiTheme="majorBidi" w:cstheme="majorBidi"/>
          <w:sz w:val="24"/>
          <w:szCs w:val="24"/>
        </w:rPr>
        <w:t xml:space="preserve"> </w:t>
      </w:r>
      <w:bookmarkEnd w:id="28"/>
      <w:r>
        <w:rPr>
          <w:rFonts w:asciiTheme="majorBidi" w:hAnsiTheme="majorBidi" w:cstheme="majorBidi"/>
          <w:sz w:val="24"/>
          <w:szCs w:val="24"/>
        </w:rPr>
        <w:t xml:space="preserve">One of the most important variations is the difference between individualistic cultures that are more common in Western countries (e.g., the US, UK, and Australia) and collective cultures that are more common in Asian, Middle Eastern, and Latin countries </w:t>
      </w:r>
      <w:sdt>
        <w:sdtPr>
          <w:rPr>
            <w:rFonts w:asciiTheme="majorBidi" w:hAnsiTheme="majorBidi" w:cstheme="majorBidi"/>
            <w:sz w:val="24"/>
            <w:szCs w:val="24"/>
          </w:rPr>
          <w:id w:val="57716815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Dha17 \m Hof01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(Dharm , 2017; Hofstede, 2001)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People in individualistic societies are usually independent and like to differentiate themselves from others </w:t>
      </w:r>
      <w:sdt>
        <w:sdtPr>
          <w:rPr>
            <w:rFonts w:asciiTheme="majorBidi" w:hAnsiTheme="majorBidi" w:cstheme="majorBidi"/>
            <w:sz w:val="24"/>
            <w:szCs w:val="24"/>
          </w:rPr>
          <w:id w:val="-58106958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Fat20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(Fatehi, Priestley, &amp; Taasoobshirazi, 2020)</w:t>
          </w:r>
          <w:r>
            <w:rPr>
              <w:rFonts w:asciiTheme="majorBidi" w:hAnsiTheme="majorBidi" w:cstheme="majorBidi"/>
              <w:sz w:val="24"/>
              <w:szCs w:val="24"/>
            </w:rPr>
            <w:fldChar w:fldCharType="end"/>
          </w:r>
        </w:sdtContent>
      </w:sdt>
      <w:r>
        <w:rPr>
          <w:rFonts w:asciiTheme="majorBidi" w:hAnsiTheme="majorBidi" w:cstheme="majorBidi"/>
          <w:sz w:val="24"/>
          <w:szCs w:val="24"/>
        </w:rPr>
        <w:t>, whereas people in collective societie</w:t>
      </w:r>
      <w:r w:rsidR="001A65C0">
        <w:rPr>
          <w:rFonts w:asciiTheme="majorBidi" w:hAnsiTheme="majorBidi" w:cstheme="majorBidi"/>
          <w:sz w:val="24"/>
          <w:szCs w:val="24"/>
        </w:rPr>
        <w:t>s</w:t>
      </w:r>
      <w:r>
        <w:rPr>
          <w:rFonts w:asciiTheme="majorBidi" w:hAnsiTheme="majorBidi" w:cstheme="majorBidi"/>
          <w:sz w:val="24"/>
          <w:szCs w:val="24"/>
        </w:rPr>
        <w:t xml:space="preserve"> are more interdependent and feel the importance of belonging in groups </w:t>
      </w:r>
      <w:sdt>
        <w:sdtPr>
          <w:rPr>
            <w:rFonts w:asciiTheme="majorBidi" w:hAnsiTheme="majorBidi" w:cstheme="majorBidi"/>
            <w:b/>
            <w:bCs/>
            <w:sz w:val="24"/>
            <w:szCs w:val="24"/>
          </w:rPr>
          <w:id w:val="110713068"/>
          <w:citation/>
        </w:sdtPr>
        <w:sdtContent>
          <w:r>
            <w:rPr>
              <w:rFonts w:asciiTheme="majorBidi" w:hAnsiTheme="majorBidi" w:cstheme="majorBidi"/>
              <w:b/>
              <w:bCs/>
              <w:sz w:val="24"/>
              <w:szCs w:val="24"/>
            </w:rPr>
            <w:fldChar w:fldCharType="begin"/>
          </w:r>
          <w:r>
            <w:rPr>
              <w:rFonts w:asciiTheme="majorBidi" w:hAnsiTheme="majorBidi" w:cstheme="majorBidi"/>
              <w:b/>
              <w:bCs/>
              <w:sz w:val="24"/>
              <w:szCs w:val="24"/>
            </w:rPr>
            <w:instrText xml:space="preserve"> CITATION Gob16 \l 2057  \m Nic21</w:instrText>
          </w:r>
          <w:r>
            <w:rPr>
              <w:rFonts w:asciiTheme="majorBidi" w:hAnsiTheme="majorBidi" w:cstheme="majorBidi"/>
              <w:b/>
              <w:bCs/>
              <w:sz w:val="24"/>
              <w:szCs w:val="24"/>
            </w:rPr>
            <w:fldChar w:fldCharType="separate"/>
          </w:r>
          <w:r w:rsidRPr="0002256A">
            <w:rPr>
              <w:rFonts w:asciiTheme="majorBidi" w:hAnsiTheme="majorBidi" w:cstheme="majorBidi"/>
              <w:noProof/>
              <w:sz w:val="24"/>
              <w:szCs w:val="24"/>
            </w:rPr>
            <w:t>(Goby &amp; Nickerson , 2016; Nickerson, 2021)</w:t>
          </w:r>
          <w:r>
            <w:rPr>
              <w:rFonts w:asciiTheme="majorBidi" w:hAnsiTheme="majorBidi" w:cstheme="majorBidi"/>
              <w:b/>
              <w:bCs/>
              <w:sz w:val="24"/>
              <w:szCs w:val="24"/>
            </w:rPr>
            <w:fldChar w:fldCharType="end"/>
          </w:r>
        </w:sdtContent>
      </w:sdt>
      <w:r>
        <w:rPr>
          <w:rFonts w:asciiTheme="majorBidi" w:hAnsiTheme="majorBidi" w:cstheme="majorBidi"/>
          <w:b/>
          <w:bCs/>
          <w:sz w:val="24"/>
          <w:szCs w:val="24"/>
        </w:rPr>
        <w:t>.</w:t>
      </w:r>
      <w:r w:rsidR="001A65C0">
        <w:rPr>
          <w:rFonts w:asciiTheme="majorBidi" w:hAnsiTheme="majorBidi" w:cstheme="majorBidi"/>
          <w:b/>
          <w:bCs/>
          <w:sz w:val="24"/>
          <w:szCs w:val="24"/>
        </w:rPr>
        <w:t xml:space="preserve"> </w:t>
      </w:r>
      <w:r w:rsidR="001A65C0" w:rsidRPr="001A65C0">
        <w:rPr>
          <w:rFonts w:asciiTheme="majorBidi" w:hAnsiTheme="majorBidi" w:cstheme="majorBidi"/>
          <w:sz w:val="24"/>
          <w:szCs w:val="24"/>
        </w:rPr>
        <w:t>This justifies the fact that perceptions of CSR and consumer behaviour in general drastically differ among different countries.</w:t>
      </w:r>
      <w:r w:rsidR="00460517">
        <w:rPr>
          <w:rFonts w:asciiTheme="majorBidi" w:hAnsiTheme="majorBidi" w:cstheme="majorBidi"/>
          <w:sz w:val="24"/>
          <w:szCs w:val="24"/>
        </w:rPr>
        <w:t xml:space="preserve"> Additionally,  CSR research in the Egypt and the Middle East is lacking </w:t>
      </w:r>
      <w:sdt>
        <w:sdtPr>
          <w:rPr>
            <w:rFonts w:asciiTheme="majorBidi" w:hAnsiTheme="majorBidi" w:cstheme="majorBidi"/>
            <w:sz w:val="24"/>
            <w:szCs w:val="24"/>
          </w:rPr>
          <w:id w:val="2018496457"/>
          <w:citation/>
        </w:sdtPr>
        <w:sdtContent>
          <w:r w:rsidR="00460517" w:rsidRPr="00594265">
            <w:rPr>
              <w:rFonts w:asciiTheme="majorBidi" w:hAnsiTheme="majorBidi" w:cstheme="majorBidi"/>
              <w:sz w:val="24"/>
              <w:szCs w:val="24"/>
            </w:rPr>
            <w:fldChar w:fldCharType="begin"/>
          </w:r>
          <w:r w:rsidR="00460517">
            <w:rPr>
              <w:rFonts w:asciiTheme="majorBidi" w:hAnsiTheme="majorBidi" w:cstheme="majorBidi"/>
              <w:sz w:val="24"/>
              <w:szCs w:val="24"/>
            </w:rPr>
            <w:instrText xml:space="preserve">CITATION Dia201 \l 2057 </w:instrText>
          </w:r>
          <w:r w:rsidR="00460517" w:rsidRPr="00594265">
            <w:rPr>
              <w:rFonts w:asciiTheme="majorBidi" w:hAnsiTheme="majorBidi" w:cstheme="majorBidi"/>
              <w:sz w:val="24"/>
              <w:szCs w:val="24"/>
            </w:rPr>
            <w:fldChar w:fldCharType="separate"/>
          </w:r>
          <w:r w:rsidR="00460517" w:rsidRPr="00460517">
            <w:rPr>
              <w:rFonts w:asciiTheme="majorBidi" w:hAnsiTheme="majorBidi" w:cstheme="majorBidi"/>
              <w:noProof/>
              <w:sz w:val="24"/>
              <w:szCs w:val="24"/>
            </w:rPr>
            <w:t>(Diab &amp; Metwally, 2020)</w:t>
          </w:r>
          <w:r w:rsidR="00460517" w:rsidRPr="00594265">
            <w:rPr>
              <w:rFonts w:asciiTheme="majorBidi" w:hAnsiTheme="majorBidi" w:cstheme="majorBidi"/>
              <w:sz w:val="24"/>
              <w:szCs w:val="24"/>
            </w:rPr>
            <w:fldChar w:fldCharType="end"/>
          </w:r>
        </w:sdtContent>
      </w:sdt>
      <w:r w:rsidR="00460517" w:rsidRPr="00594265">
        <w:rPr>
          <w:rFonts w:asciiTheme="majorBidi" w:hAnsiTheme="majorBidi" w:cstheme="majorBidi"/>
          <w:sz w:val="24"/>
          <w:szCs w:val="24"/>
        </w:rPr>
        <w:t>.</w:t>
      </w:r>
      <w:r w:rsidR="00460517">
        <w:rPr>
          <w:rFonts w:asciiTheme="majorBidi" w:hAnsiTheme="majorBidi" w:cstheme="majorBidi"/>
          <w:sz w:val="24"/>
          <w:szCs w:val="24"/>
        </w:rPr>
        <w:t xml:space="preserve"> The next paragraph provides some insight on the Middle East region. </w:t>
      </w:r>
    </w:p>
    <w:p w14:paraId="1355DDB5" w14:textId="2D156CF9" w:rsidR="00A96566" w:rsidRDefault="00A96566" w:rsidP="0032783A">
      <w:pPr>
        <w:adjustRightInd w:val="0"/>
        <w:spacing w:after="0" w:line="480" w:lineRule="auto"/>
        <w:ind w:firstLine="720"/>
        <w:jc w:val="lowKashida"/>
        <w:rPr>
          <w:rFonts w:asciiTheme="majorBidi" w:hAnsiTheme="majorBidi" w:cstheme="majorBidi"/>
          <w:sz w:val="24"/>
          <w:szCs w:val="24"/>
        </w:rPr>
      </w:pPr>
      <w:r w:rsidRPr="0011455E">
        <w:rPr>
          <w:rFonts w:asciiTheme="majorBidi" w:hAnsiTheme="majorBidi" w:cstheme="majorBidi"/>
          <w:sz w:val="24"/>
          <w:szCs w:val="24"/>
        </w:rPr>
        <w:t>The</w:t>
      </w:r>
      <w:r>
        <w:rPr>
          <w:rFonts w:asciiTheme="majorBidi" w:hAnsiTheme="majorBidi" w:cstheme="majorBidi"/>
          <w:sz w:val="24"/>
          <w:szCs w:val="24"/>
        </w:rPr>
        <w:t xml:space="preserve"> </w:t>
      </w:r>
      <w:r w:rsidRPr="0011455E">
        <w:rPr>
          <w:rFonts w:asciiTheme="majorBidi" w:hAnsiTheme="majorBidi" w:cstheme="majorBidi"/>
          <w:sz w:val="24"/>
          <w:szCs w:val="24"/>
        </w:rPr>
        <w:t>MENA</w:t>
      </w:r>
      <w:r>
        <w:rPr>
          <w:rFonts w:asciiTheme="majorBidi" w:hAnsiTheme="majorBidi" w:cstheme="majorBidi"/>
          <w:sz w:val="24"/>
          <w:szCs w:val="24"/>
        </w:rPr>
        <w:t xml:space="preserve"> </w:t>
      </w:r>
      <w:r w:rsidRPr="0011455E">
        <w:rPr>
          <w:rFonts w:asciiTheme="majorBidi" w:hAnsiTheme="majorBidi" w:cstheme="majorBidi"/>
          <w:sz w:val="24"/>
          <w:szCs w:val="24"/>
        </w:rPr>
        <w:t xml:space="preserve">region is comprised of </w:t>
      </w:r>
      <w:r w:rsidRPr="00460517">
        <w:rPr>
          <w:rFonts w:asciiTheme="majorBidi" w:hAnsiTheme="majorBidi" w:cstheme="majorBidi"/>
          <w:sz w:val="24"/>
          <w:szCs w:val="24"/>
        </w:rPr>
        <w:t>six countries</w:t>
      </w:r>
      <w:r w:rsidRPr="0011455E">
        <w:rPr>
          <w:rFonts w:asciiTheme="majorBidi" w:hAnsiTheme="majorBidi" w:cstheme="majorBidi"/>
          <w:sz w:val="24"/>
          <w:szCs w:val="24"/>
        </w:rPr>
        <w:t xml:space="preserve"> of the </w:t>
      </w:r>
      <w:bookmarkStart w:id="29" w:name="_Hlk128140655"/>
      <w:r w:rsidRPr="0011455E">
        <w:rPr>
          <w:rFonts w:asciiTheme="majorBidi" w:hAnsiTheme="majorBidi" w:cstheme="majorBidi"/>
          <w:sz w:val="24"/>
          <w:szCs w:val="24"/>
        </w:rPr>
        <w:t xml:space="preserve">Gulf Cooperation Council </w:t>
      </w:r>
      <w:bookmarkEnd w:id="29"/>
      <w:r w:rsidRPr="0011455E">
        <w:rPr>
          <w:rFonts w:asciiTheme="majorBidi" w:hAnsiTheme="majorBidi" w:cstheme="majorBidi"/>
          <w:sz w:val="24"/>
          <w:szCs w:val="24"/>
        </w:rPr>
        <w:t>(GCC) countries: Bahrain, Kuwait, Oman, Qatar, Saudi Arabia and the United Arab Emirates; four Maghreb countries</w:t>
      </w:r>
      <w:r>
        <w:rPr>
          <w:rFonts w:asciiTheme="majorBidi" w:hAnsiTheme="majorBidi" w:cstheme="majorBidi"/>
          <w:sz w:val="24"/>
          <w:szCs w:val="24"/>
        </w:rPr>
        <w:t>:</w:t>
      </w:r>
      <w:r w:rsidRPr="0011455E">
        <w:rPr>
          <w:rFonts w:asciiTheme="majorBidi" w:hAnsiTheme="majorBidi" w:cstheme="majorBidi"/>
          <w:sz w:val="24"/>
          <w:szCs w:val="24"/>
        </w:rPr>
        <w:t xml:space="preserve"> Algeria, Libya, Morocco and Tunisia; and seven countries situated at the geographical middle of the region, namely, Egypt, Lebanon, Syria, Iraq, Israel, Jordan, and the West Bank and Gaza</w:t>
      </w:r>
      <w:bookmarkStart w:id="30" w:name="_Hlk144726843"/>
      <w:r w:rsidR="001E518E" w:rsidRPr="001E518E">
        <w:rPr>
          <w:rFonts w:asciiTheme="majorBidi" w:hAnsiTheme="majorBidi" w:cstheme="majorBidi"/>
          <w:sz w:val="24"/>
          <w:szCs w:val="24"/>
        </w:rPr>
        <w:t xml:space="preserve"> </w:t>
      </w:r>
      <w:sdt>
        <w:sdtPr>
          <w:rPr>
            <w:rFonts w:asciiTheme="majorBidi" w:hAnsiTheme="majorBidi" w:cstheme="majorBidi"/>
            <w:sz w:val="24"/>
            <w:szCs w:val="24"/>
          </w:rPr>
          <w:id w:val="628367083"/>
          <w:citation/>
        </w:sdtPr>
        <w:sdtContent>
          <w:r w:rsidR="001E518E" w:rsidRPr="0011455E">
            <w:rPr>
              <w:rFonts w:asciiTheme="majorBidi" w:hAnsiTheme="majorBidi" w:cstheme="majorBidi"/>
              <w:sz w:val="24"/>
              <w:szCs w:val="24"/>
            </w:rPr>
            <w:fldChar w:fldCharType="begin"/>
          </w:r>
          <w:r w:rsidR="001E518E">
            <w:rPr>
              <w:rFonts w:asciiTheme="majorBidi" w:hAnsiTheme="majorBidi" w:cstheme="majorBidi"/>
              <w:sz w:val="24"/>
              <w:szCs w:val="24"/>
            </w:rPr>
            <w:instrText xml:space="preserve">CITATION ElE \m Placeholder5 \l 2057 </w:instrText>
          </w:r>
          <w:r w:rsidR="001E518E" w:rsidRPr="0011455E">
            <w:rPr>
              <w:rFonts w:asciiTheme="majorBidi" w:hAnsiTheme="majorBidi" w:cstheme="majorBidi"/>
              <w:sz w:val="24"/>
              <w:szCs w:val="24"/>
            </w:rPr>
            <w:fldChar w:fldCharType="separate"/>
          </w:r>
          <w:r w:rsidR="001E518E" w:rsidRPr="001E518E">
            <w:rPr>
              <w:rFonts w:asciiTheme="majorBidi" w:hAnsiTheme="majorBidi" w:cstheme="majorBidi"/>
              <w:noProof/>
              <w:sz w:val="24"/>
              <w:szCs w:val="24"/>
            </w:rPr>
            <w:t>(El-Erian &amp; Fischer , 2000; World Bank Group , 2021)</w:t>
          </w:r>
          <w:r w:rsidR="001E518E" w:rsidRPr="0011455E">
            <w:rPr>
              <w:rFonts w:asciiTheme="majorBidi" w:hAnsiTheme="majorBidi" w:cstheme="majorBidi"/>
              <w:sz w:val="24"/>
              <w:szCs w:val="24"/>
            </w:rPr>
            <w:fldChar w:fldCharType="end"/>
          </w:r>
        </w:sdtContent>
      </w:sdt>
      <w:r w:rsidR="001E518E">
        <w:rPr>
          <w:rFonts w:asciiTheme="majorBidi" w:hAnsiTheme="majorBidi" w:cstheme="majorBidi"/>
          <w:sz w:val="24"/>
          <w:szCs w:val="24"/>
        </w:rPr>
        <w:t>.</w:t>
      </w:r>
      <w:r>
        <w:rPr>
          <w:rFonts w:asciiTheme="majorBidi" w:hAnsiTheme="majorBidi" w:cstheme="majorBidi"/>
          <w:sz w:val="24"/>
          <w:szCs w:val="24"/>
        </w:rPr>
        <w:t xml:space="preserve"> </w:t>
      </w:r>
      <w:bookmarkStart w:id="31" w:name="_Hlk157197293"/>
      <w:bookmarkEnd w:id="30"/>
      <w:r>
        <w:rPr>
          <w:rFonts w:asciiTheme="majorBidi" w:hAnsiTheme="majorBidi" w:cstheme="majorBidi"/>
          <w:sz w:val="24"/>
          <w:szCs w:val="24"/>
        </w:rPr>
        <w:t>Since the Middle East is a large region in which countries have cultural and societal variations, this study will focus on the Egyptian society and its consumers.</w:t>
      </w:r>
      <w:r w:rsidRPr="003A2E80">
        <w:t xml:space="preserve"> </w:t>
      </w:r>
      <w:r w:rsidRPr="00460517">
        <w:rPr>
          <w:rFonts w:asciiTheme="majorBidi" w:hAnsiTheme="majorBidi" w:cstheme="majorBidi"/>
          <w:sz w:val="24"/>
          <w:szCs w:val="24"/>
        </w:rPr>
        <w:t xml:space="preserve">Egypt is considered a country with high potential for CSR </w:t>
      </w:r>
      <w:sdt>
        <w:sdtPr>
          <w:rPr>
            <w:rFonts w:asciiTheme="majorBidi" w:hAnsiTheme="majorBidi" w:cstheme="majorBidi"/>
            <w:sz w:val="24"/>
            <w:szCs w:val="24"/>
          </w:rPr>
          <w:id w:val="2106539360"/>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CITATION Sal22 \m Placeholder1 \t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(Salama, 2009; Serrano, 2021)</w:t>
          </w:r>
          <w:r w:rsidRPr="00460517">
            <w:rPr>
              <w:rFonts w:asciiTheme="majorBidi" w:hAnsiTheme="majorBidi" w:cstheme="majorBidi"/>
              <w:sz w:val="24"/>
              <w:szCs w:val="24"/>
            </w:rPr>
            <w:fldChar w:fldCharType="end"/>
          </w:r>
        </w:sdtContent>
      </w:sdt>
      <w:r w:rsidR="003F4AC5" w:rsidRPr="00460517">
        <w:rPr>
          <w:rFonts w:asciiTheme="majorBidi" w:hAnsiTheme="majorBidi" w:cstheme="majorBidi"/>
          <w:sz w:val="24"/>
          <w:szCs w:val="24"/>
        </w:rPr>
        <w:t xml:space="preserve"> due to the </w:t>
      </w:r>
      <w:r w:rsidR="003A37DD" w:rsidRPr="00460517">
        <w:rPr>
          <w:rFonts w:asciiTheme="majorBidi" w:hAnsiTheme="majorBidi" w:cstheme="majorBidi"/>
          <w:sz w:val="24"/>
          <w:szCs w:val="24"/>
        </w:rPr>
        <w:t>necessity</w:t>
      </w:r>
      <w:r w:rsidR="003F4AC5" w:rsidRPr="00460517">
        <w:rPr>
          <w:rFonts w:asciiTheme="majorBidi" w:hAnsiTheme="majorBidi" w:cstheme="majorBidi"/>
          <w:sz w:val="24"/>
          <w:szCs w:val="24"/>
        </w:rPr>
        <w:t xml:space="preserve"> to improve the overall standard of living of the population</w:t>
      </w:r>
      <w:sdt>
        <w:sdtPr>
          <w:rPr>
            <w:rFonts w:asciiTheme="majorBidi" w:hAnsiTheme="majorBidi" w:cstheme="majorBidi"/>
            <w:sz w:val="24"/>
            <w:szCs w:val="24"/>
          </w:rPr>
          <w:id w:val="1205518406"/>
          <w:citation/>
        </w:sdtPr>
        <w:sdtContent>
          <w:r w:rsidR="003A37DD" w:rsidRPr="00460517">
            <w:rPr>
              <w:rFonts w:asciiTheme="majorBidi" w:hAnsiTheme="majorBidi" w:cstheme="majorBidi"/>
              <w:sz w:val="24"/>
              <w:szCs w:val="24"/>
            </w:rPr>
            <w:fldChar w:fldCharType="begin"/>
          </w:r>
          <w:r w:rsidR="003A37DD" w:rsidRPr="00460517">
            <w:rPr>
              <w:rFonts w:asciiTheme="majorBidi" w:hAnsiTheme="majorBidi" w:cstheme="majorBidi"/>
              <w:sz w:val="24"/>
              <w:szCs w:val="24"/>
            </w:rPr>
            <w:instrText xml:space="preserve"> CITATION Abd19 \l 2057 </w:instrText>
          </w:r>
          <w:r w:rsidR="003A37DD" w:rsidRPr="00460517">
            <w:rPr>
              <w:rFonts w:asciiTheme="majorBidi" w:hAnsiTheme="majorBidi" w:cstheme="majorBidi"/>
              <w:sz w:val="24"/>
              <w:szCs w:val="24"/>
            </w:rPr>
            <w:fldChar w:fldCharType="separate"/>
          </w:r>
          <w:r w:rsidR="003A37DD" w:rsidRPr="00460517">
            <w:rPr>
              <w:rFonts w:asciiTheme="majorBidi" w:hAnsiTheme="majorBidi" w:cstheme="majorBidi"/>
              <w:noProof/>
              <w:sz w:val="24"/>
              <w:szCs w:val="24"/>
            </w:rPr>
            <w:t xml:space="preserve"> (Abdelhalim &amp; Gamal Eldin , 2019)</w:t>
          </w:r>
          <w:r w:rsidR="003A37DD"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 xml:space="preserve">. </w:t>
      </w:r>
      <w:r w:rsidR="005E6463" w:rsidRPr="00460517">
        <w:rPr>
          <w:rFonts w:asciiTheme="majorBidi" w:hAnsiTheme="majorBidi" w:cstheme="majorBidi"/>
          <w:sz w:val="24"/>
          <w:szCs w:val="24"/>
        </w:rPr>
        <w:t>It</w:t>
      </w:r>
      <w:r w:rsidRPr="00460517">
        <w:rPr>
          <w:rFonts w:asciiTheme="majorBidi" w:hAnsiTheme="majorBidi" w:cstheme="majorBidi"/>
          <w:sz w:val="24"/>
          <w:szCs w:val="24"/>
        </w:rPr>
        <w:t xml:space="preserve"> appears that Egyptians are inclined to engage in altruistic actions that have direct benefits on society </w:t>
      </w:r>
      <w:sdt>
        <w:sdtPr>
          <w:rPr>
            <w:rFonts w:asciiTheme="majorBidi" w:hAnsiTheme="majorBidi" w:cstheme="majorBidi"/>
            <w:sz w:val="24"/>
            <w:szCs w:val="24"/>
          </w:rPr>
          <w:id w:val="-799527309"/>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 CITATION Ham14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(Hammad, El-Bassiouny, Pallab, &amp; Mukhopadhyay, 2014)</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w:t>
      </w:r>
      <w:r>
        <w:rPr>
          <w:rFonts w:asciiTheme="majorBidi" w:hAnsiTheme="majorBidi" w:cstheme="majorBidi"/>
          <w:sz w:val="24"/>
          <w:szCs w:val="24"/>
        </w:rPr>
        <w:t xml:space="preserve"> </w:t>
      </w:r>
      <w:bookmarkEnd w:id="31"/>
      <w:r>
        <w:rPr>
          <w:rFonts w:asciiTheme="majorBidi" w:hAnsiTheme="majorBidi" w:cstheme="majorBidi"/>
          <w:sz w:val="24"/>
          <w:szCs w:val="24"/>
        </w:rPr>
        <w:t xml:space="preserve">There has been some indication in </w:t>
      </w:r>
      <w:r w:rsidR="00D216CD">
        <w:rPr>
          <w:rFonts w:asciiTheme="majorBidi" w:hAnsiTheme="majorBidi" w:cstheme="majorBidi"/>
          <w:sz w:val="24"/>
          <w:szCs w:val="24"/>
        </w:rPr>
        <w:t xml:space="preserve">the </w:t>
      </w:r>
      <w:r>
        <w:rPr>
          <w:rFonts w:asciiTheme="majorBidi" w:hAnsiTheme="majorBidi" w:cstheme="majorBidi"/>
          <w:sz w:val="24"/>
          <w:szCs w:val="24"/>
        </w:rPr>
        <w:t xml:space="preserve">literature that Egyptian consumers appreciate the value of socially and environmentally responsible products. For example, </w:t>
      </w:r>
      <w:r w:rsidRPr="00212609">
        <w:rPr>
          <w:rFonts w:asciiTheme="majorBidi" w:hAnsiTheme="majorBidi" w:cstheme="majorBidi"/>
          <w:sz w:val="24"/>
          <w:szCs w:val="24"/>
        </w:rPr>
        <w:t>higher social classes in Egypt </w:t>
      </w:r>
      <w:r>
        <w:rPr>
          <w:rFonts w:asciiTheme="majorBidi" w:hAnsiTheme="majorBidi" w:cstheme="majorBidi"/>
          <w:sz w:val="24"/>
          <w:szCs w:val="24"/>
        </w:rPr>
        <w:t xml:space="preserve">appear to </w:t>
      </w:r>
      <w:r w:rsidRPr="00212609">
        <w:rPr>
          <w:rFonts w:asciiTheme="majorBidi" w:hAnsiTheme="majorBidi" w:cstheme="majorBidi"/>
          <w:sz w:val="24"/>
          <w:szCs w:val="24"/>
        </w:rPr>
        <w:t>show positive affective attitude</w:t>
      </w:r>
      <w:r>
        <w:rPr>
          <w:rFonts w:asciiTheme="majorBidi" w:hAnsiTheme="majorBidi" w:cstheme="majorBidi"/>
          <w:sz w:val="24"/>
          <w:szCs w:val="24"/>
        </w:rPr>
        <w:t xml:space="preserve"> towards</w:t>
      </w:r>
      <w:r w:rsidRPr="00212609">
        <w:rPr>
          <w:rFonts w:asciiTheme="majorBidi" w:hAnsiTheme="majorBidi" w:cstheme="majorBidi"/>
          <w:sz w:val="24"/>
          <w:szCs w:val="24"/>
        </w:rPr>
        <w:t xml:space="preserve"> green and solar energy </w:t>
      </w:r>
      <w:r w:rsidRPr="00460517">
        <w:rPr>
          <w:rFonts w:asciiTheme="majorBidi" w:hAnsiTheme="majorBidi" w:cstheme="majorBidi"/>
          <w:sz w:val="24"/>
          <w:szCs w:val="24"/>
        </w:rPr>
        <w:t xml:space="preserve">innovations </w:t>
      </w:r>
      <w:sdt>
        <w:sdtPr>
          <w:rPr>
            <w:rFonts w:asciiTheme="majorBidi" w:hAnsiTheme="majorBidi" w:cstheme="majorBidi"/>
            <w:sz w:val="24"/>
            <w:szCs w:val="24"/>
          </w:rPr>
          <w:id w:val="111324225"/>
          <w:citation/>
        </w:sdtPr>
        <w:sdtContent>
          <w:r w:rsidRPr="00460517">
            <w:rPr>
              <w:rFonts w:asciiTheme="majorBidi" w:hAnsiTheme="majorBidi" w:cstheme="majorBidi"/>
              <w:sz w:val="24"/>
              <w:szCs w:val="24"/>
            </w:rPr>
            <w:fldChar w:fldCharType="begin"/>
          </w:r>
          <w:r w:rsidRPr="00460517">
            <w:rPr>
              <w:rFonts w:asciiTheme="majorBidi" w:hAnsiTheme="majorBidi" w:cstheme="majorBidi"/>
              <w:sz w:val="24"/>
              <w:szCs w:val="24"/>
            </w:rPr>
            <w:instrText xml:space="preserve">CITATION Adi18 \t  \l 2057 </w:instrText>
          </w:r>
          <w:r w:rsidRPr="00460517">
            <w:rPr>
              <w:rFonts w:asciiTheme="majorBidi" w:hAnsiTheme="majorBidi" w:cstheme="majorBidi"/>
              <w:sz w:val="24"/>
              <w:szCs w:val="24"/>
            </w:rPr>
            <w:fldChar w:fldCharType="separate"/>
          </w:r>
          <w:r w:rsidRPr="00460517">
            <w:rPr>
              <w:rFonts w:asciiTheme="majorBidi" w:hAnsiTheme="majorBidi" w:cstheme="majorBidi"/>
              <w:noProof/>
              <w:sz w:val="24"/>
              <w:szCs w:val="24"/>
            </w:rPr>
            <w:t>(Adib, El-Bassiouny, &amp; Roosen, 2018)</w:t>
          </w:r>
          <w:r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 Additionally</w:t>
      </w:r>
      <w:r>
        <w:rPr>
          <w:rFonts w:asciiTheme="majorBidi" w:hAnsiTheme="majorBidi" w:cstheme="majorBidi"/>
          <w:sz w:val="24"/>
          <w:szCs w:val="24"/>
        </w:rPr>
        <w:t>, b</w:t>
      </w:r>
      <w:r w:rsidRPr="00394712">
        <w:rPr>
          <w:rFonts w:asciiTheme="majorBidi" w:hAnsiTheme="majorBidi" w:cstheme="majorBidi"/>
          <w:sz w:val="24"/>
          <w:szCs w:val="24"/>
        </w:rPr>
        <w:t xml:space="preserve">ased on a survey carried out in some of Egypt’s biggest cities (Cairo, Alexandria, Port-Said), 39% of the respondents (28% with a </w:t>
      </w:r>
      <w:r w:rsidR="00064A53" w:rsidRPr="00394712">
        <w:rPr>
          <w:rFonts w:asciiTheme="majorBidi" w:hAnsiTheme="majorBidi" w:cstheme="majorBidi"/>
          <w:sz w:val="24"/>
          <w:szCs w:val="24"/>
        </w:rPr>
        <w:t>high-income</w:t>
      </w:r>
      <w:r w:rsidRPr="00394712">
        <w:rPr>
          <w:rFonts w:asciiTheme="majorBidi" w:hAnsiTheme="majorBidi" w:cstheme="majorBidi"/>
          <w:sz w:val="24"/>
          <w:szCs w:val="24"/>
        </w:rPr>
        <w:t xml:space="preserve"> level) reported that they are willing to pay for premium sustainable products </w:t>
      </w:r>
      <w:sdt>
        <w:sdtPr>
          <w:rPr>
            <w:rFonts w:asciiTheme="majorBidi" w:hAnsiTheme="majorBidi" w:cstheme="majorBidi"/>
            <w:sz w:val="24"/>
            <w:szCs w:val="24"/>
          </w:rPr>
          <w:id w:val="-171195167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Mos16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(Mostafa, 2016)</w:t>
          </w:r>
          <w:r>
            <w:rPr>
              <w:rFonts w:asciiTheme="majorBidi" w:hAnsiTheme="majorBidi" w:cstheme="majorBidi"/>
              <w:sz w:val="24"/>
              <w:szCs w:val="24"/>
            </w:rPr>
            <w:fldChar w:fldCharType="end"/>
          </w:r>
        </w:sdtContent>
      </w:sdt>
      <w:r>
        <w:rPr>
          <w:rFonts w:asciiTheme="majorBidi" w:hAnsiTheme="majorBidi" w:cstheme="majorBidi"/>
          <w:sz w:val="24"/>
          <w:szCs w:val="24"/>
        </w:rPr>
        <w:t>. Some studies show that consumers in Egypt are more willing to support local more than global causes as they perceive those local social acts would be more beneficial for society and the local citizens</w:t>
      </w:r>
      <w:sdt>
        <w:sdtPr>
          <w:rPr>
            <w:rFonts w:asciiTheme="majorBidi" w:hAnsiTheme="majorBidi" w:cstheme="majorBidi"/>
            <w:sz w:val="24"/>
            <w:szCs w:val="24"/>
          </w:rPr>
          <w:id w:val="187017869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Ham14 \l 2057  \m Hoe02</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(Hammad, El-Bassiouny, Pallab, &amp; Mukhopadhyay, 2014; Hoefller &amp; Keller , 2002)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However, more recently, across </w:t>
      </w:r>
      <w:r w:rsidRPr="00460517">
        <w:rPr>
          <w:rFonts w:asciiTheme="majorBidi" w:hAnsiTheme="majorBidi" w:cstheme="majorBidi"/>
          <w:sz w:val="24"/>
          <w:szCs w:val="24"/>
        </w:rPr>
        <w:t>certain classes of Egyptian citizens, there could be some advances in mentalities leading them to have more global</w:t>
      </w:r>
      <w:r w:rsidR="00D216CD" w:rsidRPr="00460517">
        <w:rPr>
          <w:rFonts w:asciiTheme="majorBidi" w:hAnsiTheme="majorBidi" w:cstheme="majorBidi"/>
          <w:sz w:val="24"/>
          <w:szCs w:val="24"/>
        </w:rPr>
        <w:t>ised</w:t>
      </w:r>
      <w:r w:rsidRPr="00460517">
        <w:rPr>
          <w:rFonts w:asciiTheme="majorBidi" w:hAnsiTheme="majorBidi" w:cstheme="majorBidi"/>
          <w:sz w:val="24"/>
          <w:szCs w:val="24"/>
        </w:rPr>
        <w:t xml:space="preserve"> mind</w:t>
      </w:r>
      <w:r w:rsidR="00D216CD" w:rsidRPr="00460517">
        <w:rPr>
          <w:rFonts w:asciiTheme="majorBidi" w:hAnsiTheme="majorBidi" w:cstheme="majorBidi"/>
          <w:sz w:val="24"/>
          <w:szCs w:val="24"/>
        </w:rPr>
        <w:t>-</w:t>
      </w:r>
      <w:r w:rsidRPr="00460517">
        <w:rPr>
          <w:rFonts w:asciiTheme="majorBidi" w:hAnsiTheme="majorBidi" w:cstheme="majorBidi"/>
          <w:sz w:val="24"/>
          <w:szCs w:val="24"/>
        </w:rPr>
        <w:t>set</w:t>
      </w:r>
      <w:r w:rsidR="005E6463" w:rsidRPr="00460517">
        <w:rPr>
          <w:rFonts w:asciiTheme="majorBidi" w:hAnsiTheme="majorBidi" w:cstheme="majorBidi"/>
          <w:sz w:val="24"/>
          <w:szCs w:val="24"/>
        </w:rPr>
        <w:t>s</w:t>
      </w:r>
      <w:r w:rsidR="00C03044" w:rsidRPr="00460517">
        <w:rPr>
          <w:rFonts w:asciiTheme="majorBidi" w:hAnsiTheme="majorBidi" w:cstheme="majorBidi"/>
          <w:sz w:val="24"/>
          <w:szCs w:val="24"/>
        </w:rPr>
        <w:t xml:space="preserve"> </w:t>
      </w:r>
      <w:sdt>
        <w:sdtPr>
          <w:rPr>
            <w:rFonts w:asciiTheme="majorBidi" w:hAnsiTheme="majorBidi" w:cstheme="majorBidi"/>
            <w:sz w:val="24"/>
            <w:szCs w:val="24"/>
          </w:rPr>
          <w:id w:val="278612095"/>
          <w:citation/>
        </w:sdtPr>
        <w:sdtContent>
          <w:r w:rsidR="00C03044" w:rsidRPr="00460517">
            <w:rPr>
              <w:rFonts w:asciiTheme="majorBidi" w:hAnsiTheme="majorBidi" w:cstheme="majorBidi"/>
              <w:sz w:val="24"/>
              <w:szCs w:val="24"/>
            </w:rPr>
            <w:fldChar w:fldCharType="begin"/>
          </w:r>
          <w:r w:rsidR="00C03044" w:rsidRPr="00460517">
            <w:rPr>
              <w:rFonts w:asciiTheme="majorBidi" w:hAnsiTheme="majorBidi" w:cstheme="majorBidi"/>
              <w:sz w:val="24"/>
              <w:szCs w:val="24"/>
            </w:rPr>
            <w:instrText xml:space="preserve"> CITATION Has21 \l 2057  \m Osm21</w:instrText>
          </w:r>
          <w:r w:rsidR="00C03044" w:rsidRPr="00460517">
            <w:rPr>
              <w:rFonts w:asciiTheme="majorBidi" w:hAnsiTheme="majorBidi" w:cstheme="majorBidi"/>
              <w:sz w:val="24"/>
              <w:szCs w:val="24"/>
            </w:rPr>
            <w:fldChar w:fldCharType="separate"/>
          </w:r>
          <w:r w:rsidR="00C03044" w:rsidRPr="00460517">
            <w:rPr>
              <w:rFonts w:asciiTheme="majorBidi" w:hAnsiTheme="majorBidi" w:cstheme="majorBidi"/>
              <w:noProof/>
              <w:sz w:val="24"/>
              <w:szCs w:val="24"/>
            </w:rPr>
            <w:t>(Hassan, 2021; Osman, Gallhofer, &amp; Haslam, 2021)</w:t>
          </w:r>
          <w:r w:rsidR="00C03044" w:rsidRPr="00460517">
            <w:rPr>
              <w:rFonts w:asciiTheme="majorBidi" w:hAnsiTheme="majorBidi" w:cstheme="majorBidi"/>
              <w:sz w:val="24"/>
              <w:szCs w:val="24"/>
            </w:rPr>
            <w:fldChar w:fldCharType="end"/>
          </w:r>
        </w:sdtContent>
      </w:sdt>
      <w:r w:rsidRPr="00460517">
        <w:rPr>
          <w:rFonts w:asciiTheme="majorBidi" w:hAnsiTheme="majorBidi" w:cstheme="majorBidi"/>
          <w:sz w:val="24"/>
          <w:szCs w:val="24"/>
        </w:rPr>
        <w:t>.</w:t>
      </w:r>
      <w:r w:rsidR="00460517">
        <w:rPr>
          <w:rFonts w:asciiTheme="majorBidi" w:hAnsiTheme="majorBidi" w:cstheme="majorBidi"/>
          <w:sz w:val="24"/>
          <w:szCs w:val="24"/>
        </w:rPr>
        <w:t xml:space="preserve"> </w:t>
      </w:r>
      <w:r>
        <w:rPr>
          <w:rFonts w:asciiTheme="majorBidi" w:hAnsiTheme="majorBidi" w:cstheme="majorBidi"/>
          <w:sz w:val="24"/>
          <w:szCs w:val="24"/>
        </w:rPr>
        <w:t>For instance, since Egypt became one of the highest African countries accepting refugee</w:t>
      </w:r>
      <w:r w:rsidR="0013692C">
        <w:rPr>
          <w:rFonts w:asciiTheme="majorBidi" w:hAnsiTheme="majorBidi" w:cstheme="majorBidi"/>
          <w:sz w:val="24"/>
          <w:szCs w:val="24"/>
        </w:rPr>
        <w:t>s</w:t>
      </w:r>
      <w:r>
        <w:rPr>
          <w:rFonts w:asciiTheme="majorBidi" w:hAnsiTheme="majorBidi" w:cstheme="majorBidi"/>
          <w:sz w:val="24"/>
          <w:szCs w:val="24"/>
        </w:rPr>
        <w:t xml:space="preserve"> from many distraught countries such as Yemen and Syria </w:t>
      </w:r>
      <w:sdt>
        <w:sdtPr>
          <w:rPr>
            <w:rFonts w:asciiTheme="majorBidi" w:hAnsiTheme="majorBidi" w:cstheme="majorBidi"/>
            <w:sz w:val="24"/>
            <w:szCs w:val="24"/>
          </w:rPr>
          <w:id w:val="158626405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Has21 \l 2057  \m Seb19</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(Hassan, 2021; Sebaiee,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it is evident that Egypt as a whole does not exist in silo and they pay attention to </w:t>
      </w:r>
      <w:r w:rsidR="0013692C">
        <w:rPr>
          <w:rFonts w:asciiTheme="majorBidi" w:hAnsiTheme="majorBidi" w:cstheme="majorBidi"/>
          <w:sz w:val="24"/>
          <w:szCs w:val="24"/>
        </w:rPr>
        <w:t xml:space="preserve">the </w:t>
      </w:r>
      <w:r>
        <w:rPr>
          <w:rFonts w:asciiTheme="majorBidi" w:hAnsiTheme="majorBidi" w:cstheme="majorBidi"/>
          <w:sz w:val="24"/>
          <w:szCs w:val="24"/>
        </w:rPr>
        <w:t>global issues surrounding it. In fact, Egypt’s society demonstrate</w:t>
      </w:r>
      <w:r w:rsidR="0013692C">
        <w:rPr>
          <w:rFonts w:asciiTheme="majorBidi" w:hAnsiTheme="majorBidi" w:cstheme="majorBidi"/>
          <w:sz w:val="24"/>
          <w:szCs w:val="24"/>
        </w:rPr>
        <w:t>s</w:t>
      </w:r>
      <w:r>
        <w:rPr>
          <w:rFonts w:asciiTheme="majorBidi" w:hAnsiTheme="majorBidi" w:cstheme="majorBidi"/>
          <w:sz w:val="24"/>
          <w:szCs w:val="24"/>
        </w:rPr>
        <w:t xml:space="preserve"> special attention towards Syrian refugees and the issues they face </w:t>
      </w:r>
      <w:sdt>
        <w:sdtPr>
          <w:rPr>
            <w:rFonts w:asciiTheme="majorBidi" w:hAnsiTheme="majorBidi" w:cstheme="majorBidi"/>
            <w:sz w:val="24"/>
            <w:szCs w:val="24"/>
          </w:rPr>
          <w:id w:val="-23362582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Abd13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(Abdelwahab, 2013)</w:t>
          </w:r>
          <w:r>
            <w:rPr>
              <w:rFonts w:asciiTheme="majorBidi" w:hAnsiTheme="majorBidi" w:cstheme="majorBidi"/>
              <w:sz w:val="24"/>
              <w:szCs w:val="24"/>
            </w:rPr>
            <w:fldChar w:fldCharType="end"/>
          </w:r>
        </w:sdtContent>
      </w:sdt>
      <w:r>
        <w:rPr>
          <w:rFonts w:asciiTheme="majorBidi" w:hAnsiTheme="majorBidi" w:cstheme="majorBidi"/>
          <w:sz w:val="24"/>
          <w:szCs w:val="24"/>
        </w:rPr>
        <w:t>. For example, Plan International Egypt, an organization that supports children with issues related to education, protection, and social cohesion, started psychosocial programs for more than 4,000 Syrian refugees to minimi</w:t>
      </w:r>
      <w:r w:rsidR="0013692C">
        <w:rPr>
          <w:rFonts w:asciiTheme="majorBidi" w:hAnsiTheme="majorBidi" w:cstheme="majorBidi"/>
          <w:sz w:val="24"/>
          <w:szCs w:val="24"/>
        </w:rPr>
        <w:t>s</w:t>
      </w:r>
      <w:r>
        <w:rPr>
          <w:rFonts w:asciiTheme="majorBidi" w:hAnsiTheme="majorBidi" w:cstheme="majorBidi"/>
          <w:sz w:val="24"/>
          <w:szCs w:val="24"/>
        </w:rPr>
        <w:t xml:space="preserve">e psychosocial distress for Syrian children </w:t>
      </w:r>
      <w:sdt>
        <w:sdtPr>
          <w:rPr>
            <w:rFonts w:asciiTheme="majorBidi" w:hAnsiTheme="majorBidi" w:cstheme="majorBidi"/>
            <w:sz w:val="24"/>
            <w:szCs w:val="24"/>
          </w:rPr>
          <w:id w:val="-213346937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Pla17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(Plan International, 2017)</w:t>
          </w:r>
          <w:r>
            <w:rPr>
              <w:rFonts w:asciiTheme="majorBidi" w:hAnsiTheme="majorBidi" w:cstheme="majorBidi"/>
              <w:sz w:val="24"/>
              <w:szCs w:val="24"/>
            </w:rPr>
            <w:fldChar w:fldCharType="end"/>
          </w:r>
        </w:sdtContent>
      </w:sdt>
      <w:r>
        <w:rPr>
          <w:rFonts w:asciiTheme="majorBidi" w:hAnsiTheme="majorBidi" w:cstheme="majorBidi"/>
          <w:sz w:val="24"/>
          <w:szCs w:val="24"/>
        </w:rPr>
        <w:t>. It is crucial to examine the way consumers perceive such initiatives and if these perceptions have an impact on behaviours.</w:t>
      </w:r>
      <w:r w:rsidR="00460517">
        <w:rPr>
          <w:rFonts w:asciiTheme="majorBidi" w:hAnsiTheme="majorBidi" w:cstheme="majorBidi"/>
          <w:sz w:val="24"/>
          <w:szCs w:val="24"/>
        </w:rPr>
        <w:t xml:space="preserve"> As described in this section, examining CSR in the Middle East expands the body of literature on CSR.</w:t>
      </w:r>
      <w:r>
        <w:rPr>
          <w:rFonts w:asciiTheme="majorBidi" w:hAnsiTheme="majorBidi" w:cstheme="majorBidi"/>
          <w:sz w:val="24"/>
          <w:szCs w:val="24"/>
        </w:rPr>
        <w:t xml:space="preserve"> Hence, this study posits the first research question below:</w:t>
      </w:r>
    </w:p>
    <w:p w14:paraId="357ACD0E" w14:textId="43195FDD" w:rsidR="00460517" w:rsidRDefault="00E11D13" w:rsidP="00460517">
      <w:pPr>
        <w:adjustRightInd w:val="0"/>
        <w:spacing w:line="480" w:lineRule="auto"/>
        <w:jc w:val="lowKashida"/>
        <w:rPr>
          <w:rFonts w:asciiTheme="majorBidi" w:hAnsiTheme="majorBidi" w:cstheme="majorBidi"/>
        </w:rPr>
      </w:pPr>
      <w:bookmarkStart w:id="32" w:name="_Hlk137822360"/>
      <w:r>
        <w:rPr>
          <w:rFonts w:asciiTheme="majorBidi" w:hAnsiTheme="majorBidi" w:cstheme="majorBidi"/>
        </w:rPr>
        <w:t xml:space="preserve">RQ1: What is the effect of CSR communication on Egyptian consumers of FMCG and how does this affect their attitudes </w:t>
      </w:r>
      <w:r w:rsidR="00902C53">
        <w:rPr>
          <w:rFonts w:asciiTheme="majorBidi" w:hAnsiTheme="majorBidi" w:cstheme="majorBidi"/>
        </w:rPr>
        <w:t xml:space="preserve">and purchase intention </w:t>
      </w:r>
      <w:r>
        <w:rPr>
          <w:rFonts w:asciiTheme="majorBidi" w:hAnsiTheme="majorBidi" w:cstheme="majorBidi"/>
        </w:rPr>
        <w:t>towards the brand?</w:t>
      </w:r>
      <w:bookmarkEnd w:id="32"/>
    </w:p>
    <w:p w14:paraId="1602AA90" w14:textId="4B54B337" w:rsidR="00460517" w:rsidRPr="00460517" w:rsidRDefault="00460517" w:rsidP="00460517">
      <w:pPr>
        <w:adjustRightInd w:val="0"/>
        <w:spacing w:line="480" w:lineRule="auto"/>
        <w:jc w:val="lowKashida"/>
        <w:rPr>
          <w:rFonts w:asciiTheme="majorBidi" w:hAnsiTheme="majorBidi" w:cstheme="majorBidi"/>
        </w:rPr>
      </w:pPr>
      <w:r>
        <w:rPr>
          <w:rFonts w:asciiTheme="majorBidi" w:hAnsiTheme="majorBidi" w:cstheme="majorBidi"/>
        </w:rPr>
        <w:t>The following section examines the concept of CSR in literature as a communication strategy.</w:t>
      </w:r>
    </w:p>
    <w:p w14:paraId="6F62BA05" w14:textId="7FD8EED4" w:rsidR="00A96566" w:rsidRPr="00621992" w:rsidRDefault="00460517" w:rsidP="00DD69CF">
      <w:pPr>
        <w:adjustRightInd w:val="0"/>
        <w:spacing w:after="0" w:line="480" w:lineRule="auto"/>
        <w:jc w:val="lowKashida"/>
        <w:rPr>
          <w:rFonts w:asciiTheme="majorBidi" w:hAnsiTheme="majorBidi" w:cstheme="majorBidi"/>
          <w:b/>
          <w:bCs/>
          <w:sz w:val="24"/>
          <w:szCs w:val="24"/>
        </w:rPr>
      </w:pPr>
      <w:r>
        <w:rPr>
          <w:rFonts w:asciiTheme="majorBidi" w:hAnsiTheme="majorBidi" w:cstheme="majorBidi"/>
          <w:b/>
          <w:bCs/>
          <w:sz w:val="24"/>
          <w:szCs w:val="24"/>
        </w:rPr>
        <w:t>2</w:t>
      </w:r>
      <w:r w:rsidR="00A96566" w:rsidRPr="002F5CD1">
        <w:rPr>
          <w:rFonts w:asciiTheme="majorBidi" w:hAnsiTheme="majorBidi" w:cstheme="majorBidi"/>
          <w:b/>
          <w:bCs/>
          <w:sz w:val="24"/>
          <w:szCs w:val="24"/>
        </w:rPr>
        <w:t>.</w:t>
      </w:r>
      <w:r w:rsidR="00DD69CF">
        <w:rPr>
          <w:rFonts w:asciiTheme="majorBidi" w:hAnsiTheme="majorBidi" w:cstheme="majorBidi"/>
          <w:b/>
          <w:bCs/>
          <w:sz w:val="24"/>
          <w:szCs w:val="24"/>
        </w:rPr>
        <w:t>6</w:t>
      </w:r>
      <w:r w:rsidR="00A96566" w:rsidRPr="002F5CD1">
        <w:rPr>
          <w:rFonts w:asciiTheme="majorBidi" w:hAnsiTheme="majorBidi" w:cstheme="majorBidi"/>
          <w:b/>
          <w:bCs/>
          <w:sz w:val="24"/>
          <w:szCs w:val="24"/>
        </w:rPr>
        <w:t xml:space="preserve"> CSR </w:t>
      </w:r>
      <w:r w:rsidR="0032783A">
        <w:rPr>
          <w:rFonts w:asciiTheme="majorBidi" w:hAnsiTheme="majorBidi" w:cstheme="majorBidi"/>
          <w:b/>
          <w:bCs/>
          <w:sz w:val="24"/>
          <w:szCs w:val="24"/>
        </w:rPr>
        <w:t xml:space="preserve">Communication </w:t>
      </w:r>
    </w:p>
    <w:p w14:paraId="109E4B6F" w14:textId="4111ABA4" w:rsidR="00A35946" w:rsidRDefault="00A96566" w:rsidP="00460517">
      <w:pPr>
        <w:adjustRightInd w:val="0"/>
        <w:spacing w:after="0" w:line="480" w:lineRule="auto"/>
        <w:ind w:firstLine="720"/>
        <w:rPr>
          <w:rFonts w:asciiTheme="majorBidi" w:hAnsiTheme="majorBidi" w:cstheme="majorBidi"/>
          <w:sz w:val="24"/>
          <w:szCs w:val="24"/>
        </w:rPr>
      </w:pPr>
      <w:r w:rsidRPr="00907E78">
        <w:rPr>
          <w:rFonts w:asciiTheme="majorBidi" w:hAnsiTheme="majorBidi" w:cstheme="majorBidi"/>
          <w:sz w:val="24"/>
          <w:szCs w:val="24"/>
        </w:rPr>
        <w:t xml:space="preserve">Advertising CSR became a </w:t>
      </w:r>
      <w:r>
        <w:rPr>
          <w:rFonts w:asciiTheme="majorBidi" w:hAnsiTheme="majorBidi" w:cstheme="majorBidi"/>
          <w:sz w:val="24"/>
          <w:szCs w:val="24"/>
        </w:rPr>
        <w:t>rising</w:t>
      </w:r>
      <w:r w:rsidRPr="00907E78">
        <w:rPr>
          <w:rFonts w:asciiTheme="majorBidi" w:hAnsiTheme="majorBidi" w:cstheme="majorBidi"/>
          <w:sz w:val="24"/>
          <w:szCs w:val="24"/>
        </w:rPr>
        <w:t xml:space="preserve"> trend in some countries. In the 2018 Super Bowl, brands such as Coca-Cola, Verizon, Toyota, T-Mobile </w:t>
      </w:r>
      <w:r w:rsidR="0013692C">
        <w:rPr>
          <w:rFonts w:asciiTheme="majorBidi" w:hAnsiTheme="majorBidi" w:cstheme="majorBidi"/>
          <w:sz w:val="24"/>
          <w:szCs w:val="24"/>
        </w:rPr>
        <w:t xml:space="preserve">addressed </w:t>
      </w:r>
      <w:r w:rsidRPr="00907E78">
        <w:rPr>
          <w:rFonts w:asciiTheme="majorBidi" w:hAnsiTheme="majorBidi" w:cstheme="majorBidi"/>
          <w:sz w:val="24"/>
          <w:szCs w:val="24"/>
        </w:rPr>
        <w:t xml:space="preserve">social issues </w:t>
      </w:r>
      <w:sdt>
        <w:sdtPr>
          <w:rPr>
            <w:rFonts w:asciiTheme="majorBidi" w:hAnsiTheme="majorBidi" w:cstheme="majorBidi"/>
            <w:sz w:val="24"/>
            <w:szCs w:val="24"/>
          </w:rPr>
          <w:id w:val="840817525"/>
          <w:citation/>
        </w:sdtPr>
        <w:sdtContent>
          <w:r w:rsidRPr="00907E78">
            <w:rPr>
              <w:rFonts w:asciiTheme="majorBidi" w:hAnsiTheme="majorBidi" w:cstheme="majorBidi"/>
              <w:sz w:val="24"/>
              <w:szCs w:val="24"/>
            </w:rPr>
            <w:fldChar w:fldCharType="begin"/>
          </w:r>
          <w:r w:rsidRPr="00907E78">
            <w:rPr>
              <w:rFonts w:asciiTheme="majorBidi" w:hAnsiTheme="majorBidi" w:cstheme="majorBidi"/>
              <w:sz w:val="24"/>
              <w:szCs w:val="24"/>
            </w:rPr>
            <w:instrText xml:space="preserve"> CITATION Tay18 \l 2057 </w:instrText>
          </w:r>
          <w:r w:rsidRPr="00907E78">
            <w:rPr>
              <w:rFonts w:asciiTheme="majorBidi" w:hAnsiTheme="majorBidi" w:cstheme="majorBidi"/>
              <w:sz w:val="24"/>
              <w:szCs w:val="24"/>
            </w:rPr>
            <w:fldChar w:fldCharType="separate"/>
          </w:r>
          <w:r w:rsidRPr="0002256A">
            <w:rPr>
              <w:rFonts w:asciiTheme="majorBidi" w:hAnsiTheme="majorBidi" w:cstheme="majorBidi"/>
              <w:noProof/>
              <w:sz w:val="24"/>
              <w:szCs w:val="24"/>
            </w:rPr>
            <w:t>(Taylor , 2018)</w:t>
          </w:r>
          <w:r w:rsidRPr="00907E78">
            <w:rPr>
              <w:rFonts w:asciiTheme="majorBidi" w:hAnsiTheme="majorBidi" w:cstheme="majorBidi"/>
              <w:sz w:val="24"/>
              <w:szCs w:val="24"/>
            </w:rPr>
            <w:fldChar w:fldCharType="end"/>
          </w:r>
        </w:sdtContent>
      </w:sdt>
      <w:r w:rsidRPr="00907E78">
        <w:rPr>
          <w:rFonts w:asciiTheme="majorBidi" w:hAnsiTheme="majorBidi" w:cstheme="majorBidi"/>
          <w:sz w:val="24"/>
          <w:szCs w:val="24"/>
        </w:rPr>
        <w:t xml:space="preserve">. For example, Coca-Cola addressed social issues on diversity and acceptance </w:t>
      </w:r>
      <w:sdt>
        <w:sdtPr>
          <w:rPr>
            <w:rFonts w:asciiTheme="majorBidi" w:hAnsiTheme="majorBidi" w:cstheme="majorBidi"/>
            <w:sz w:val="24"/>
            <w:szCs w:val="24"/>
          </w:rPr>
          <w:id w:val="-395046960"/>
          <w:citation/>
        </w:sdtPr>
        <w:sdtContent>
          <w:r w:rsidRPr="00907E78">
            <w:rPr>
              <w:rFonts w:asciiTheme="majorBidi" w:hAnsiTheme="majorBidi" w:cstheme="majorBidi"/>
              <w:sz w:val="24"/>
              <w:szCs w:val="24"/>
            </w:rPr>
            <w:fldChar w:fldCharType="begin"/>
          </w:r>
          <w:r w:rsidRPr="00907E78">
            <w:rPr>
              <w:rFonts w:asciiTheme="majorBidi" w:hAnsiTheme="majorBidi" w:cstheme="majorBidi"/>
              <w:sz w:val="24"/>
              <w:szCs w:val="24"/>
            </w:rPr>
            <w:instrText xml:space="preserve"> CITATION Sch18 \l 2057 </w:instrText>
          </w:r>
          <w:r w:rsidRPr="00907E78">
            <w:rPr>
              <w:rFonts w:asciiTheme="majorBidi" w:hAnsiTheme="majorBidi" w:cstheme="majorBidi"/>
              <w:sz w:val="24"/>
              <w:szCs w:val="24"/>
            </w:rPr>
            <w:fldChar w:fldCharType="separate"/>
          </w:r>
          <w:r w:rsidRPr="0002256A">
            <w:rPr>
              <w:rFonts w:asciiTheme="majorBidi" w:hAnsiTheme="majorBidi" w:cstheme="majorBidi"/>
              <w:noProof/>
              <w:sz w:val="24"/>
              <w:szCs w:val="24"/>
            </w:rPr>
            <w:t>(Schultz , 2018)</w:t>
          </w:r>
          <w:r w:rsidRPr="00907E78">
            <w:rPr>
              <w:rFonts w:asciiTheme="majorBidi" w:hAnsiTheme="majorBidi" w:cstheme="majorBidi"/>
              <w:sz w:val="24"/>
              <w:szCs w:val="24"/>
            </w:rPr>
            <w:fldChar w:fldCharType="end"/>
          </w:r>
        </w:sdtContent>
      </w:sdt>
      <w:r w:rsidRPr="00907E78">
        <w:rPr>
          <w:rFonts w:asciiTheme="majorBidi" w:hAnsiTheme="majorBidi" w:cstheme="majorBidi"/>
          <w:sz w:val="24"/>
          <w:szCs w:val="24"/>
        </w:rPr>
        <w:t xml:space="preserve"> and Toyota addressed a message on supporting disabilities </w:t>
      </w:r>
      <w:sdt>
        <w:sdtPr>
          <w:rPr>
            <w:rFonts w:asciiTheme="majorBidi" w:hAnsiTheme="majorBidi" w:cstheme="majorBidi"/>
            <w:sz w:val="24"/>
            <w:szCs w:val="24"/>
          </w:rPr>
          <w:id w:val="1552355323"/>
          <w:citation/>
        </w:sdtPr>
        <w:sdtContent>
          <w:r w:rsidRPr="00907E78">
            <w:rPr>
              <w:rFonts w:asciiTheme="majorBidi" w:hAnsiTheme="majorBidi" w:cstheme="majorBidi"/>
              <w:sz w:val="24"/>
              <w:szCs w:val="24"/>
            </w:rPr>
            <w:fldChar w:fldCharType="begin"/>
          </w:r>
          <w:r w:rsidRPr="00907E78">
            <w:rPr>
              <w:rFonts w:asciiTheme="majorBidi" w:hAnsiTheme="majorBidi" w:cstheme="majorBidi"/>
              <w:sz w:val="24"/>
              <w:szCs w:val="24"/>
            </w:rPr>
            <w:instrText xml:space="preserve"> CITATION Ewi18 \l 2057 </w:instrText>
          </w:r>
          <w:r w:rsidRPr="00907E78">
            <w:rPr>
              <w:rFonts w:asciiTheme="majorBidi" w:hAnsiTheme="majorBidi" w:cstheme="majorBidi"/>
              <w:sz w:val="24"/>
              <w:szCs w:val="24"/>
            </w:rPr>
            <w:fldChar w:fldCharType="separate"/>
          </w:r>
          <w:r w:rsidRPr="0002256A">
            <w:rPr>
              <w:rFonts w:asciiTheme="majorBidi" w:hAnsiTheme="majorBidi" w:cstheme="majorBidi"/>
              <w:noProof/>
              <w:sz w:val="24"/>
              <w:szCs w:val="24"/>
            </w:rPr>
            <w:t>(Ewing, 2018)</w:t>
          </w:r>
          <w:r w:rsidRPr="00907E78">
            <w:rPr>
              <w:rFonts w:asciiTheme="majorBidi" w:hAnsiTheme="majorBidi" w:cstheme="majorBidi"/>
              <w:sz w:val="24"/>
              <w:szCs w:val="24"/>
            </w:rPr>
            <w:fldChar w:fldCharType="end"/>
          </w:r>
        </w:sdtContent>
      </w:sdt>
      <w:r w:rsidRPr="00907E78">
        <w:rPr>
          <w:rFonts w:asciiTheme="majorBidi" w:hAnsiTheme="majorBidi" w:cstheme="majorBidi"/>
          <w:sz w:val="24"/>
          <w:szCs w:val="24"/>
        </w:rPr>
        <w:t>. CSR can boost the expected return on advertising spending as it plays a significant role in mediating the relationship between advertising and firm performance</w:t>
      </w:r>
      <w:sdt>
        <w:sdtPr>
          <w:rPr>
            <w:rFonts w:asciiTheme="majorBidi" w:hAnsiTheme="majorBidi" w:cstheme="majorBidi"/>
            <w:sz w:val="24"/>
            <w:szCs w:val="24"/>
          </w:rPr>
          <w:id w:val="1022906526"/>
          <w:citation/>
        </w:sdtPr>
        <w:sdtContent>
          <w:r w:rsidRPr="00907E78">
            <w:rPr>
              <w:rFonts w:asciiTheme="majorBidi" w:hAnsiTheme="majorBidi" w:cstheme="majorBidi"/>
              <w:sz w:val="24"/>
              <w:szCs w:val="24"/>
            </w:rPr>
            <w:fldChar w:fldCharType="begin"/>
          </w:r>
          <w:r w:rsidRPr="00907E78">
            <w:rPr>
              <w:rFonts w:asciiTheme="majorBidi" w:hAnsiTheme="majorBidi" w:cstheme="majorBidi"/>
              <w:sz w:val="24"/>
              <w:szCs w:val="24"/>
            </w:rPr>
            <w:instrText xml:space="preserve"> CITATION Ass17 \l 2057 </w:instrText>
          </w:r>
          <w:r w:rsidRPr="00907E78">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(Assaf, Josiassen, Ahn, &amp; Mattila, 2017)</w:t>
          </w:r>
          <w:r w:rsidRPr="00907E78">
            <w:rPr>
              <w:rFonts w:asciiTheme="majorBidi" w:hAnsiTheme="majorBidi" w:cstheme="majorBidi"/>
              <w:sz w:val="24"/>
              <w:szCs w:val="24"/>
            </w:rPr>
            <w:fldChar w:fldCharType="end"/>
          </w:r>
        </w:sdtContent>
      </w:sdt>
      <w:r w:rsidRPr="00907E78">
        <w:rPr>
          <w:rFonts w:asciiTheme="majorBidi" w:hAnsiTheme="majorBidi" w:cstheme="majorBidi"/>
          <w:sz w:val="24"/>
          <w:szCs w:val="24"/>
        </w:rPr>
        <w:t xml:space="preserve">. The idea that CSR can serve as a way of product differentiation </w:t>
      </w:r>
      <w:sdt>
        <w:sdtPr>
          <w:rPr>
            <w:rFonts w:asciiTheme="majorBidi" w:hAnsiTheme="majorBidi" w:cstheme="majorBidi"/>
            <w:sz w:val="24"/>
            <w:szCs w:val="24"/>
          </w:rPr>
          <w:id w:val="306989239"/>
          <w:citation/>
        </w:sdtPr>
        <w:sdtContent>
          <w:r w:rsidRPr="00907E78">
            <w:rPr>
              <w:rFonts w:asciiTheme="majorBidi" w:hAnsiTheme="majorBidi" w:cstheme="majorBidi"/>
              <w:sz w:val="24"/>
              <w:szCs w:val="24"/>
            </w:rPr>
            <w:fldChar w:fldCharType="begin"/>
          </w:r>
          <w:r w:rsidRPr="00907E78">
            <w:rPr>
              <w:rFonts w:asciiTheme="majorBidi" w:hAnsiTheme="majorBidi" w:cstheme="majorBidi"/>
              <w:sz w:val="24"/>
              <w:szCs w:val="24"/>
            </w:rPr>
            <w:instrText xml:space="preserve"> CITATION Ass17 \l 2057 </w:instrText>
          </w:r>
          <w:r w:rsidRPr="00907E78">
            <w:rPr>
              <w:rFonts w:asciiTheme="majorBidi" w:hAnsiTheme="majorBidi" w:cstheme="majorBidi"/>
              <w:sz w:val="24"/>
              <w:szCs w:val="24"/>
            </w:rPr>
            <w:fldChar w:fldCharType="separate"/>
          </w:r>
          <w:r w:rsidRPr="0002256A">
            <w:rPr>
              <w:rFonts w:asciiTheme="majorBidi" w:hAnsiTheme="majorBidi" w:cstheme="majorBidi"/>
              <w:noProof/>
              <w:sz w:val="24"/>
              <w:szCs w:val="24"/>
            </w:rPr>
            <w:t>(Assaf, Josiassen, Ahn, &amp; Mattila, 2017)</w:t>
          </w:r>
          <w:r w:rsidRPr="00907E78">
            <w:rPr>
              <w:rFonts w:asciiTheme="majorBidi" w:hAnsiTheme="majorBidi" w:cstheme="majorBidi"/>
              <w:sz w:val="24"/>
              <w:szCs w:val="24"/>
            </w:rPr>
            <w:fldChar w:fldCharType="end"/>
          </w:r>
        </w:sdtContent>
      </w:sdt>
      <w:r w:rsidRPr="00907E78">
        <w:rPr>
          <w:rFonts w:asciiTheme="majorBidi" w:hAnsiTheme="majorBidi" w:cstheme="majorBidi"/>
          <w:sz w:val="24"/>
          <w:szCs w:val="24"/>
        </w:rPr>
        <w:t xml:space="preserve"> emerged from the advertising and marketing literature. In a way, firms employ CSR to advertise and differentiate their products which can lead to </w:t>
      </w:r>
      <w:r>
        <w:rPr>
          <w:rFonts w:asciiTheme="majorBidi" w:hAnsiTheme="majorBidi" w:cstheme="majorBidi"/>
          <w:sz w:val="24"/>
          <w:szCs w:val="24"/>
        </w:rPr>
        <w:t>creating</w:t>
      </w:r>
      <w:r w:rsidRPr="00907E78">
        <w:rPr>
          <w:rFonts w:asciiTheme="majorBidi" w:hAnsiTheme="majorBidi" w:cstheme="majorBidi"/>
          <w:sz w:val="24"/>
          <w:szCs w:val="24"/>
        </w:rPr>
        <w:t xml:space="preserve"> brand loyalty</w:t>
      </w:r>
      <w:sdt>
        <w:sdtPr>
          <w:rPr>
            <w:rFonts w:asciiTheme="majorBidi" w:hAnsiTheme="majorBidi" w:cstheme="majorBidi"/>
            <w:sz w:val="24"/>
            <w:szCs w:val="24"/>
          </w:rPr>
          <w:id w:val="-203063967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Alm19 \l 2057  \m LuJ20</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(Almeida &amp; Coelho , 2019; Lu, et al., 2020)</w:t>
          </w:r>
          <w:r>
            <w:rPr>
              <w:rFonts w:asciiTheme="majorBidi" w:hAnsiTheme="majorBidi" w:cstheme="majorBidi"/>
              <w:sz w:val="24"/>
              <w:szCs w:val="24"/>
            </w:rPr>
            <w:fldChar w:fldCharType="end"/>
          </w:r>
        </w:sdtContent>
      </w:sdt>
      <w:r w:rsidRPr="00907E78">
        <w:rPr>
          <w:rFonts w:asciiTheme="majorBidi" w:hAnsiTheme="majorBidi" w:cstheme="majorBidi"/>
          <w:sz w:val="24"/>
          <w:szCs w:val="24"/>
        </w:rPr>
        <w:t>.</w:t>
      </w:r>
      <w:r>
        <w:rPr>
          <w:rFonts w:asciiTheme="majorBidi" w:hAnsiTheme="majorBidi" w:cstheme="majorBidi"/>
          <w:sz w:val="24"/>
          <w:szCs w:val="24"/>
        </w:rPr>
        <w:t xml:space="preserve"> </w:t>
      </w:r>
      <w:r w:rsidRPr="0066107A">
        <w:rPr>
          <w:rFonts w:asciiTheme="majorBidi" w:hAnsiTheme="majorBidi" w:cstheme="majorBidi"/>
          <w:sz w:val="24"/>
          <w:szCs w:val="24"/>
        </w:rPr>
        <w:t xml:space="preserve">Actually, there are not enough studies in literature </w:t>
      </w:r>
      <w:r w:rsidR="0013692C">
        <w:rPr>
          <w:rFonts w:asciiTheme="majorBidi" w:hAnsiTheme="majorBidi" w:cstheme="majorBidi"/>
          <w:sz w:val="24"/>
          <w:szCs w:val="24"/>
        </w:rPr>
        <w:t xml:space="preserve">that </w:t>
      </w:r>
      <w:r w:rsidRPr="0066107A">
        <w:rPr>
          <w:rFonts w:asciiTheme="majorBidi" w:hAnsiTheme="majorBidi" w:cstheme="majorBidi"/>
          <w:sz w:val="24"/>
          <w:szCs w:val="24"/>
        </w:rPr>
        <w:t xml:space="preserve">investigate the different effects between employing CSR as a marketing strategy and other commercial marketing strategies </w:t>
      </w:r>
      <w:sdt>
        <w:sdtPr>
          <w:rPr>
            <w:rFonts w:asciiTheme="majorBidi" w:hAnsiTheme="majorBidi" w:cstheme="majorBidi"/>
            <w:sz w:val="24"/>
            <w:szCs w:val="24"/>
          </w:rPr>
          <w:id w:val="-2051687643"/>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Blo06 \l 2057  \m Kit12</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(Bloom, Hoeffler , Keller, &amp; Basurto Meza, 2006; Kitzmueller &amp; Shimshack, 2012)</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w:t>
      </w:r>
      <w:r>
        <w:rPr>
          <w:rFonts w:asciiTheme="majorBidi" w:hAnsiTheme="majorBidi" w:cstheme="majorBidi"/>
          <w:sz w:val="24"/>
          <w:szCs w:val="24"/>
        </w:rPr>
        <w:t xml:space="preserve"> For that reason, this study set</w:t>
      </w:r>
      <w:r w:rsidR="0013692C">
        <w:rPr>
          <w:rFonts w:asciiTheme="majorBidi" w:hAnsiTheme="majorBidi" w:cstheme="majorBidi"/>
          <w:sz w:val="24"/>
          <w:szCs w:val="24"/>
        </w:rPr>
        <w:t xml:space="preserve">s </w:t>
      </w:r>
      <w:r>
        <w:rPr>
          <w:rFonts w:asciiTheme="majorBidi" w:hAnsiTheme="majorBidi" w:cstheme="majorBidi"/>
          <w:sz w:val="24"/>
          <w:szCs w:val="24"/>
        </w:rPr>
        <w:t xml:space="preserve">to examine and compare the effects of CSR communication to the effects of non-CSR communication </w:t>
      </w:r>
      <w:r w:rsidR="000128B7">
        <w:rPr>
          <w:rFonts w:asciiTheme="majorBidi" w:hAnsiTheme="majorBidi" w:cstheme="majorBidi"/>
          <w:sz w:val="24"/>
          <w:szCs w:val="24"/>
        </w:rPr>
        <w:t xml:space="preserve">on brand attitudes as </w:t>
      </w:r>
      <w:r>
        <w:rPr>
          <w:rFonts w:asciiTheme="majorBidi" w:hAnsiTheme="majorBidi" w:cstheme="majorBidi"/>
          <w:sz w:val="24"/>
          <w:szCs w:val="24"/>
        </w:rPr>
        <w:t xml:space="preserve">discussed below. </w:t>
      </w:r>
    </w:p>
    <w:p w14:paraId="546235CE" w14:textId="7539E351" w:rsidR="00BA469A" w:rsidRPr="00460517" w:rsidRDefault="00683658" w:rsidP="00460517">
      <w:pPr>
        <w:pStyle w:val="ListParagraph"/>
        <w:numPr>
          <w:ilvl w:val="1"/>
          <w:numId w:val="36"/>
        </w:numPr>
        <w:adjustRightInd w:val="0"/>
        <w:spacing w:after="0" w:line="480" w:lineRule="auto"/>
        <w:rPr>
          <w:rFonts w:asciiTheme="majorBidi" w:hAnsiTheme="majorBidi" w:cstheme="majorBidi"/>
          <w:b/>
          <w:bCs/>
          <w:sz w:val="24"/>
          <w:szCs w:val="24"/>
        </w:rPr>
      </w:pPr>
      <w:r w:rsidRPr="00460517">
        <w:rPr>
          <w:rFonts w:asciiTheme="majorBidi" w:hAnsiTheme="majorBidi" w:cstheme="majorBidi"/>
          <w:b/>
          <w:bCs/>
          <w:sz w:val="24"/>
          <w:szCs w:val="24"/>
        </w:rPr>
        <w:t xml:space="preserve">Brand Attitudes </w:t>
      </w:r>
    </w:p>
    <w:p w14:paraId="245BA378" w14:textId="75375343" w:rsidR="000128B7" w:rsidRDefault="0067604C" w:rsidP="00B90713">
      <w:pPr>
        <w:spacing w:after="0" w:line="480" w:lineRule="auto"/>
        <w:rPr>
          <w:rFonts w:asciiTheme="majorBidi" w:hAnsiTheme="majorBidi" w:cstheme="majorBidi"/>
          <w:sz w:val="24"/>
          <w:szCs w:val="24"/>
        </w:rPr>
      </w:pPr>
      <w:r>
        <w:rPr>
          <w:rFonts w:asciiTheme="majorBidi" w:hAnsiTheme="majorBidi" w:cstheme="majorBidi"/>
          <w:sz w:val="24"/>
          <w:szCs w:val="24"/>
        </w:rPr>
        <w:tab/>
      </w:r>
      <w:r w:rsidR="00D01985">
        <w:rPr>
          <w:rFonts w:asciiTheme="majorBidi" w:hAnsiTheme="majorBidi" w:cstheme="majorBidi"/>
          <w:sz w:val="24"/>
          <w:szCs w:val="24"/>
        </w:rPr>
        <w:t xml:space="preserve">Long acknowledged for their capacity to </w:t>
      </w:r>
      <w:r w:rsidR="00801844">
        <w:rPr>
          <w:rFonts w:asciiTheme="majorBidi" w:hAnsiTheme="majorBidi" w:cstheme="majorBidi"/>
          <w:sz w:val="24"/>
          <w:szCs w:val="24"/>
        </w:rPr>
        <w:t>predict and influence behaviour</w:t>
      </w:r>
      <w:r w:rsidR="006E3946">
        <w:rPr>
          <w:rFonts w:asciiTheme="majorBidi" w:hAnsiTheme="majorBidi" w:cstheme="majorBidi"/>
          <w:sz w:val="24"/>
          <w:szCs w:val="24"/>
        </w:rPr>
        <w:t xml:space="preserve">, </w:t>
      </w:r>
      <w:r w:rsidR="00D01985">
        <w:rPr>
          <w:rFonts w:asciiTheme="majorBidi" w:hAnsiTheme="majorBidi" w:cstheme="majorBidi"/>
          <w:sz w:val="24"/>
          <w:szCs w:val="24"/>
        </w:rPr>
        <w:t xml:space="preserve">attitudes are </w:t>
      </w:r>
      <w:r w:rsidR="00801844">
        <w:rPr>
          <w:rFonts w:asciiTheme="majorBidi" w:hAnsiTheme="majorBidi" w:cstheme="majorBidi"/>
          <w:sz w:val="24"/>
          <w:szCs w:val="24"/>
        </w:rPr>
        <w:t xml:space="preserve">known as an </w:t>
      </w:r>
      <w:r w:rsidR="00D01985">
        <w:rPr>
          <w:rFonts w:asciiTheme="majorBidi" w:hAnsiTheme="majorBidi" w:cstheme="majorBidi"/>
          <w:sz w:val="24"/>
          <w:szCs w:val="24"/>
        </w:rPr>
        <w:t xml:space="preserve">essential psychological construct </w:t>
      </w:r>
      <w:sdt>
        <w:sdtPr>
          <w:rPr>
            <w:rFonts w:asciiTheme="majorBidi" w:hAnsiTheme="majorBidi" w:cstheme="majorBidi"/>
            <w:sz w:val="24"/>
            <w:szCs w:val="24"/>
          </w:rPr>
          <w:id w:val="-54390137"/>
          <w:citation/>
        </w:sdtPr>
        <w:sdtContent>
          <w:r w:rsidR="00D01985" w:rsidRPr="00E60DA5">
            <w:rPr>
              <w:rFonts w:asciiTheme="majorBidi" w:hAnsiTheme="majorBidi" w:cstheme="majorBidi"/>
              <w:sz w:val="24"/>
              <w:szCs w:val="24"/>
            </w:rPr>
            <w:fldChar w:fldCharType="begin"/>
          </w:r>
          <w:r w:rsidR="00D01985" w:rsidRPr="00E60DA5">
            <w:rPr>
              <w:rFonts w:asciiTheme="majorBidi" w:hAnsiTheme="majorBidi" w:cstheme="majorBidi"/>
              <w:sz w:val="24"/>
              <w:szCs w:val="24"/>
            </w:rPr>
            <w:instrText xml:space="preserve"> CITATION Kra95 \l 2057 </w:instrText>
          </w:r>
          <w:r w:rsidR="00D01985" w:rsidRPr="00E60DA5">
            <w:rPr>
              <w:rFonts w:asciiTheme="majorBidi" w:hAnsiTheme="majorBidi" w:cstheme="majorBidi"/>
              <w:sz w:val="24"/>
              <w:szCs w:val="24"/>
            </w:rPr>
            <w:fldChar w:fldCharType="separate"/>
          </w:r>
          <w:r w:rsidR="00D01985" w:rsidRPr="00E60DA5">
            <w:rPr>
              <w:rFonts w:asciiTheme="majorBidi" w:hAnsiTheme="majorBidi" w:cstheme="majorBidi"/>
              <w:noProof/>
              <w:sz w:val="24"/>
              <w:szCs w:val="24"/>
            </w:rPr>
            <w:t>(Kraus, 1995)</w:t>
          </w:r>
          <w:r w:rsidR="00D01985" w:rsidRPr="00E60DA5">
            <w:rPr>
              <w:rFonts w:asciiTheme="majorBidi" w:hAnsiTheme="majorBidi" w:cstheme="majorBidi"/>
              <w:sz w:val="24"/>
              <w:szCs w:val="24"/>
            </w:rPr>
            <w:fldChar w:fldCharType="end"/>
          </w:r>
        </w:sdtContent>
      </w:sdt>
      <w:r w:rsidR="00801844" w:rsidRPr="00E60DA5">
        <w:rPr>
          <w:rFonts w:asciiTheme="majorBidi" w:hAnsiTheme="majorBidi" w:cstheme="majorBidi"/>
          <w:sz w:val="24"/>
          <w:szCs w:val="24"/>
        </w:rPr>
        <w:t>.</w:t>
      </w:r>
      <w:r w:rsidR="00801844">
        <w:rPr>
          <w:rFonts w:asciiTheme="majorBidi" w:hAnsiTheme="majorBidi" w:cstheme="majorBidi"/>
          <w:sz w:val="24"/>
          <w:szCs w:val="24"/>
        </w:rPr>
        <w:t xml:space="preserve"> </w:t>
      </w:r>
      <w:r w:rsidR="00801844" w:rsidRPr="00B1433C">
        <w:rPr>
          <w:rFonts w:asciiTheme="majorBidi" w:hAnsiTheme="majorBidi" w:cstheme="majorBidi"/>
          <w:sz w:val="24"/>
          <w:szCs w:val="24"/>
        </w:rPr>
        <w:t>A person's attitude is an expression of their favourable or unfavourable internal opinions of something (for example, a concept, object, or person)</w:t>
      </w:r>
      <w:sdt>
        <w:sdtPr>
          <w:rPr>
            <w:rFonts w:asciiTheme="majorBidi" w:hAnsiTheme="majorBidi" w:cstheme="majorBidi"/>
            <w:sz w:val="24"/>
            <w:szCs w:val="24"/>
          </w:rPr>
          <w:id w:val="1853989591"/>
          <w:citation/>
        </w:sdtPr>
        <w:sdtContent>
          <w:r w:rsidR="00801844" w:rsidRPr="00B1433C">
            <w:rPr>
              <w:rFonts w:asciiTheme="majorBidi" w:hAnsiTheme="majorBidi" w:cstheme="majorBidi"/>
              <w:sz w:val="24"/>
              <w:szCs w:val="24"/>
            </w:rPr>
            <w:fldChar w:fldCharType="begin"/>
          </w:r>
          <w:r w:rsidR="00801844" w:rsidRPr="00B1433C">
            <w:rPr>
              <w:rFonts w:asciiTheme="majorBidi" w:hAnsiTheme="majorBidi" w:cstheme="majorBidi"/>
              <w:sz w:val="24"/>
              <w:szCs w:val="24"/>
            </w:rPr>
            <w:instrText xml:space="preserve">CITATION Mit23 \t  \l 2057 </w:instrText>
          </w:r>
          <w:r w:rsidR="005073C3">
            <w:rPr>
              <w:rFonts w:asciiTheme="majorBidi" w:hAnsiTheme="majorBidi" w:cstheme="majorBidi"/>
              <w:sz w:val="24"/>
              <w:szCs w:val="24"/>
            </w:rPr>
            <w:instrText xml:space="preserve"> \m Sch11</w:instrText>
          </w:r>
          <w:r w:rsidR="00801844" w:rsidRPr="00B1433C">
            <w:rPr>
              <w:rFonts w:asciiTheme="majorBidi" w:hAnsiTheme="majorBidi" w:cstheme="majorBidi"/>
              <w:sz w:val="24"/>
              <w:szCs w:val="24"/>
            </w:rPr>
            <w:fldChar w:fldCharType="separate"/>
          </w:r>
          <w:r w:rsidR="005073C3">
            <w:rPr>
              <w:rFonts w:asciiTheme="majorBidi" w:hAnsiTheme="majorBidi" w:cstheme="majorBidi"/>
              <w:noProof/>
              <w:sz w:val="24"/>
              <w:szCs w:val="24"/>
            </w:rPr>
            <w:t xml:space="preserve"> </w:t>
          </w:r>
          <w:r w:rsidR="005073C3" w:rsidRPr="005073C3">
            <w:rPr>
              <w:rFonts w:asciiTheme="majorBidi" w:hAnsiTheme="majorBidi" w:cstheme="majorBidi"/>
              <w:noProof/>
              <w:sz w:val="24"/>
              <w:szCs w:val="24"/>
            </w:rPr>
            <w:t>(Mitchell &amp; Olson, 1981; Scholderer, 2011)</w:t>
          </w:r>
          <w:r w:rsidR="00801844" w:rsidRPr="00B1433C">
            <w:rPr>
              <w:rFonts w:asciiTheme="majorBidi" w:hAnsiTheme="majorBidi" w:cstheme="majorBidi"/>
              <w:sz w:val="24"/>
              <w:szCs w:val="24"/>
            </w:rPr>
            <w:fldChar w:fldCharType="end"/>
          </w:r>
        </w:sdtContent>
      </w:sdt>
      <w:r w:rsidR="00801844" w:rsidRPr="00B1433C">
        <w:rPr>
          <w:rFonts w:asciiTheme="majorBidi" w:hAnsiTheme="majorBidi" w:cstheme="majorBidi"/>
          <w:sz w:val="24"/>
          <w:szCs w:val="24"/>
        </w:rPr>
        <w:t>.</w:t>
      </w:r>
      <w:r w:rsidR="005073C3" w:rsidRPr="005073C3">
        <w:rPr>
          <w:rFonts w:asciiTheme="majorBidi" w:hAnsiTheme="majorBidi" w:cstheme="majorBidi"/>
          <w:sz w:val="24"/>
          <w:szCs w:val="24"/>
        </w:rPr>
        <w:t xml:space="preserve"> </w:t>
      </w:r>
      <w:r w:rsidR="005073C3" w:rsidRPr="00B1433C">
        <w:rPr>
          <w:rFonts w:asciiTheme="majorBidi" w:hAnsiTheme="majorBidi" w:cstheme="majorBidi"/>
          <w:sz w:val="24"/>
          <w:szCs w:val="24"/>
        </w:rPr>
        <w:t>Generally, attitude is divided into attitude towards an object</w:t>
      </w:r>
      <w:r w:rsidR="005073C3">
        <w:rPr>
          <w:rFonts w:asciiTheme="majorBidi" w:hAnsiTheme="majorBidi" w:cstheme="majorBidi"/>
          <w:sz w:val="24"/>
          <w:szCs w:val="24"/>
        </w:rPr>
        <w:t xml:space="preserve"> </w:t>
      </w:r>
      <w:r w:rsidR="005073C3" w:rsidRPr="00B1433C">
        <w:rPr>
          <w:rFonts w:asciiTheme="majorBidi" w:hAnsiTheme="majorBidi" w:cstheme="majorBidi"/>
          <w:sz w:val="24"/>
          <w:szCs w:val="24"/>
        </w:rPr>
        <w:t>or attitude towards a behaviour</w:t>
      </w:r>
      <w:sdt>
        <w:sdtPr>
          <w:rPr>
            <w:rFonts w:asciiTheme="majorBidi" w:hAnsiTheme="majorBidi" w:cstheme="majorBidi"/>
            <w:sz w:val="24"/>
            <w:szCs w:val="24"/>
          </w:rPr>
          <w:id w:val="-48536242"/>
          <w:citation/>
        </w:sdtPr>
        <w:sdtContent>
          <w:r w:rsidR="005073C3" w:rsidRPr="00B1433C">
            <w:rPr>
              <w:rFonts w:asciiTheme="majorBidi" w:hAnsiTheme="majorBidi" w:cstheme="majorBidi"/>
              <w:sz w:val="24"/>
              <w:szCs w:val="24"/>
            </w:rPr>
            <w:fldChar w:fldCharType="begin"/>
          </w:r>
          <w:r w:rsidR="005073C3" w:rsidRPr="00B1433C">
            <w:rPr>
              <w:rFonts w:asciiTheme="majorBidi" w:hAnsiTheme="majorBidi" w:cstheme="majorBidi"/>
              <w:sz w:val="24"/>
              <w:szCs w:val="24"/>
            </w:rPr>
            <w:instrText xml:space="preserve"> CITATION Gef23 \l 2057 </w:instrText>
          </w:r>
          <w:r w:rsidR="005073C3" w:rsidRPr="00B1433C">
            <w:rPr>
              <w:rFonts w:asciiTheme="majorBidi" w:hAnsiTheme="majorBidi" w:cstheme="majorBidi"/>
              <w:sz w:val="24"/>
              <w:szCs w:val="24"/>
            </w:rPr>
            <w:fldChar w:fldCharType="separate"/>
          </w:r>
          <w:r w:rsidR="005073C3" w:rsidRPr="00B1433C">
            <w:rPr>
              <w:rFonts w:asciiTheme="majorBidi" w:hAnsiTheme="majorBidi" w:cstheme="majorBidi"/>
              <w:noProof/>
              <w:sz w:val="24"/>
              <w:szCs w:val="24"/>
            </w:rPr>
            <w:t xml:space="preserve"> (Gefen &amp; Straub, 2005)</w:t>
          </w:r>
          <w:r w:rsidR="005073C3" w:rsidRPr="00B1433C">
            <w:rPr>
              <w:rFonts w:asciiTheme="majorBidi" w:hAnsiTheme="majorBidi" w:cstheme="majorBidi"/>
              <w:sz w:val="24"/>
              <w:szCs w:val="24"/>
            </w:rPr>
            <w:fldChar w:fldCharType="end"/>
          </w:r>
        </w:sdtContent>
      </w:sdt>
      <w:r w:rsidR="005073C3" w:rsidRPr="00B1433C">
        <w:rPr>
          <w:rFonts w:asciiTheme="majorBidi" w:hAnsiTheme="majorBidi" w:cstheme="majorBidi"/>
          <w:sz w:val="24"/>
          <w:szCs w:val="24"/>
        </w:rPr>
        <w:t>.</w:t>
      </w:r>
      <w:r>
        <w:rPr>
          <w:rFonts w:asciiTheme="majorBidi" w:hAnsiTheme="majorBidi" w:cstheme="majorBidi"/>
          <w:sz w:val="24"/>
          <w:szCs w:val="24"/>
        </w:rPr>
        <w:t xml:space="preserve"> A</w:t>
      </w:r>
      <w:r w:rsidRPr="0067604C">
        <w:rPr>
          <w:rFonts w:asciiTheme="majorBidi" w:hAnsiTheme="majorBidi" w:cstheme="majorBidi"/>
          <w:sz w:val="24"/>
          <w:szCs w:val="24"/>
        </w:rPr>
        <w:t xml:space="preserve">ttitude towards an object is frequently used in </w:t>
      </w:r>
      <w:r>
        <w:rPr>
          <w:rFonts w:asciiTheme="majorBidi" w:hAnsiTheme="majorBidi" w:cstheme="majorBidi"/>
          <w:sz w:val="24"/>
          <w:szCs w:val="24"/>
        </w:rPr>
        <w:t>consumer behaviour</w:t>
      </w:r>
      <w:r w:rsidRPr="0067604C">
        <w:rPr>
          <w:rFonts w:asciiTheme="majorBidi" w:hAnsiTheme="majorBidi" w:cstheme="majorBidi"/>
          <w:sz w:val="24"/>
          <w:szCs w:val="24"/>
        </w:rPr>
        <w:t xml:space="preserve"> literature </w:t>
      </w:r>
      <w:r>
        <w:rPr>
          <w:rFonts w:asciiTheme="majorBidi" w:hAnsiTheme="majorBidi" w:cstheme="majorBidi"/>
          <w:sz w:val="24"/>
          <w:szCs w:val="24"/>
        </w:rPr>
        <w:t xml:space="preserve">to </w:t>
      </w:r>
      <w:r w:rsidRPr="00024749">
        <w:rPr>
          <w:rFonts w:asciiTheme="majorBidi" w:hAnsiTheme="majorBidi" w:cstheme="majorBidi"/>
          <w:sz w:val="24"/>
          <w:szCs w:val="24"/>
        </w:rPr>
        <w:t>refer to brand attitude</w:t>
      </w:r>
      <w:r w:rsidR="00024749" w:rsidRPr="00024749">
        <w:rPr>
          <w:rFonts w:asciiTheme="majorBidi" w:hAnsiTheme="majorBidi" w:cstheme="majorBidi"/>
          <w:sz w:val="24"/>
          <w:szCs w:val="24"/>
        </w:rPr>
        <w:t xml:space="preserve"> </w:t>
      </w:r>
      <w:sdt>
        <w:sdtPr>
          <w:rPr>
            <w:rFonts w:asciiTheme="majorBidi" w:hAnsiTheme="majorBidi" w:cstheme="majorBidi"/>
            <w:sz w:val="24"/>
            <w:szCs w:val="24"/>
          </w:rPr>
          <w:id w:val="781229243"/>
          <w:citation/>
        </w:sdtPr>
        <w:sdtContent>
          <w:r w:rsidR="00024749" w:rsidRPr="00A04162">
            <w:rPr>
              <w:rFonts w:asciiTheme="majorBidi" w:hAnsiTheme="majorBidi" w:cstheme="majorBidi"/>
              <w:sz w:val="24"/>
              <w:szCs w:val="24"/>
            </w:rPr>
            <w:fldChar w:fldCharType="begin"/>
          </w:r>
          <w:r w:rsidR="00024749" w:rsidRPr="00A04162">
            <w:rPr>
              <w:rFonts w:asciiTheme="majorBidi" w:hAnsiTheme="majorBidi" w:cstheme="majorBidi"/>
              <w:sz w:val="24"/>
              <w:szCs w:val="24"/>
            </w:rPr>
            <w:instrText xml:space="preserve"> CITATION Chi20 \l 2057  \m Chu19 \m Muk20</w:instrText>
          </w:r>
          <w:r w:rsidR="00024749" w:rsidRPr="00A04162">
            <w:rPr>
              <w:rFonts w:asciiTheme="majorBidi" w:hAnsiTheme="majorBidi" w:cstheme="majorBidi"/>
              <w:sz w:val="24"/>
              <w:szCs w:val="24"/>
            </w:rPr>
            <w:fldChar w:fldCharType="separate"/>
          </w:r>
          <w:r w:rsidR="00024749" w:rsidRPr="00A04162">
            <w:rPr>
              <w:rFonts w:asciiTheme="majorBidi" w:hAnsiTheme="majorBidi" w:cstheme="majorBidi"/>
              <w:noProof/>
              <w:sz w:val="24"/>
              <w:szCs w:val="24"/>
            </w:rPr>
            <w:t>(Chin, Isa, &amp; Alodin, 2020; Chu &amp; Chen, 2019; Mukherjee &amp; Althuizen, 2020)</w:t>
          </w:r>
          <w:r w:rsidR="00024749" w:rsidRPr="00A04162">
            <w:rPr>
              <w:rFonts w:asciiTheme="majorBidi" w:hAnsiTheme="majorBidi" w:cstheme="majorBidi"/>
              <w:sz w:val="24"/>
              <w:szCs w:val="24"/>
            </w:rPr>
            <w:fldChar w:fldCharType="end"/>
          </w:r>
        </w:sdtContent>
      </w:sdt>
      <w:r w:rsidRPr="0067604C">
        <w:rPr>
          <w:rFonts w:asciiTheme="majorBidi" w:hAnsiTheme="majorBidi" w:cstheme="majorBidi"/>
          <w:sz w:val="24"/>
          <w:szCs w:val="24"/>
        </w:rPr>
        <w:t>.</w:t>
      </w:r>
      <w:r>
        <w:rPr>
          <w:rFonts w:asciiTheme="majorBidi" w:hAnsiTheme="majorBidi" w:cstheme="majorBidi"/>
          <w:sz w:val="24"/>
          <w:szCs w:val="24"/>
        </w:rPr>
        <w:t xml:space="preserve"> </w:t>
      </w:r>
      <w:r w:rsidRPr="00B1433C">
        <w:rPr>
          <w:rFonts w:asciiTheme="majorBidi" w:hAnsiTheme="majorBidi" w:cstheme="majorBidi"/>
          <w:sz w:val="24"/>
          <w:szCs w:val="24"/>
        </w:rPr>
        <w:t>Brand attitudes refer to the individual’s general evaluation of a brand</w:t>
      </w:r>
      <w:r>
        <w:rPr>
          <w:rFonts w:asciiTheme="majorBidi" w:hAnsiTheme="majorBidi" w:cstheme="majorBidi"/>
          <w:sz w:val="24"/>
          <w:szCs w:val="24"/>
        </w:rPr>
        <w:t xml:space="preserve"> </w:t>
      </w:r>
      <w:sdt>
        <w:sdtPr>
          <w:rPr>
            <w:rFonts w:asciiTheme="majorBidi" w:hAnsiTheme="majorBidi" w:cstheme="majorBidi"/>
            <w:sz w:val="24"/>
            <w:szCs w:val="24"/>
          </w:rPr>
          <w:id w:val="-156794683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Jia22 \l 2057 </w:instrText>
          </w:r>
          <w:r w:rsidR="006F43F2">
            <w:rPr>
              <w:rFonts w:asciiTheme="majorBidi" w:hAnsiTheme="majorBidi" w:cstheme="majorBidi"/>
              <w:sz w:val="24"/>
              <w:szCs w:val="24"/>
            </w:rPr>
            <w:instrText xml:space="preserve"> \m Mit811</w:instrText>
          </w:r>
          <w:r>
            <w:rPr>
              <w:rFonts w:asciiTheme="majorBidi" w:hAnsiTheme="majorBidi" w:cstheme="majorBidi"/>
              <w:sz w:val="24"/>
              <w:szCs w:val="24"/>
            </w:rPr>
            <w:fldChar w:fldCharType="separate"/>
          </w:r>
          <w:r w:rsidR="006F43F2" w:rsidRPr="006F43F2">
            <w:rPr>
              <w:rFonts w:asciiTheme="majorBidi" w:hAnsiTheme="majorBidi" w:cstheme="majorBidi"/>
              <w:noProof/>
              <w:sz w:val="24"/>
              <w:szCs w:val="24"/>
            </w:rPr>
            <w:t>(Jiao, Levin, Gaeth, &amp; Chatterjee, 2022; Mitchell &amp; Olson, 1981)</w:t>
          </w:r>
          <w:r>
            <w:rPr>
              <w:rFonts w:asciiTheme="majorBidi" w:hAnsiTheme="majorBidi" w:cstheme="majorBidi"/>
              <w:sz w:val="24"/>
              <w:szCs w:val="24"/>
            </w:rPr>
            <w:fldChar w:fldCharType="end"/>
          </w:r>
        </w:sdtContent>
      </w:sdt>
      <w:r w:rsidRPr="00B1433C">
        <w:rPr>
          <w:rFonts w:asciiTheme="majorBidi" w:hAnsiTheme="majorBidi" w:cstheme="majorBidi"/>
          <w:sz w:val="24"/>
          <w:szCs w:val="24"/>
        </w:rPr>
        <w:t xml:space="preserve">. </w:t>
      </w:r>
      <w:r w:rsidR="004A25E7">
        <w:rPr>
          <w:rFonts w:asciiTheme="majorBidi" w:hAnsiTheme="majorBidi" w:cstheme="majorBidi"/>
          <w:sz w:val="24"/>
          <w:szCs w:val="24"/>
        </w:rPr>
        <w:t>In fact, b</w:t>
      </w:r>
      <w:r w:rsidR="004A25E7" w:rsidRPr="004A25E7">
        <w:rPr>
          <w:rFonts w:asciiTheme="majorBidi" w:hAnsiTheme="majorBidi" w:cstheme="majorBidi"/>
          <w:sz w:val="24"/>
          <w:szCs w:val="24"/>
        </w:rPr>
        <w:t xml:space="preserve">rand attitude </w:t>
      </w:r>
      <w:r w:rsidR="00B90713">
        <w:rPr>
          <w:rFonts w:asciiTheme="majorBidi" w:hAnsiTheme="majorBidi" w:cstheme="majorBidi"/>
          <w:sz w:val="24"/>
          <w:szCs w:val="24"/>
        </w:rPr>
        <w:t xml:space="preserve">is </w:t>
      </w:r>
      <w:r w:rsidR="0013692C">
        <w:rPr>
          <w:rFonts w:asciiTheme="majorBidi" w:hAnsiTheme="majorBidi" w:cstheme="majorBidi"/>
          <w:sz w:val="24"/>
          <w:szCs w:val="24"/>
        </w:rPr>
        <w:t>the</w:t>
      </w:r>
      <w:r w:rsidR="00B90713">
        <w:rPr>
          <w:rFonts w:asciiTheme="majorBidi" w:hAnsiTheme="majorBidi" w:cstheme="majorBidi"/>
          <w:sz w:val="24"/>
          <w:szCs w:val="24"/>
        </w:rPr>
        <w:t xml:space="preserve"> result</w:t>
      </w:r>
      <w:r w:rsidR="004A25E7" w:rsidRPr="004A25E7">
        <w:rPr>
          <w:rFonts w:asciiTheme="majorBidi" w:hAnsiTheme="majorBidi" w:cstheme="majorBidi"/>
          <w:sz w:val="24"/>
          <w:szCs w:val="24"/>
        </w:rPr>
        <w:t xml:space="preserve"> </w:t>
      </w:r>
      <w:r w:rsidR="0013692C">
        <w:rPr>
          <w:rFonts w:asciiTheme="majorBidi" w:hAnsiTheme="majorBidi" w:cstheme="majorBidi"/>
          <w:sz w:val="24"/>
          <w:szCs w:val="24"/>
        </w:rPr>
        <w:t>of</w:t>
      </w:r>
      <w:r w:rsidR="004A25E7" w:rsidRPr="004A25E7">
        <w:rPr>
          <w:rFonts w:asciiTheme="majorBidi" w:hAnsiTheme="majorBidi" w:cstheme="majorBidi"/>
          <w:sz w:val="24"/>
          <w:szCs w:val="24"/>
        </w:rPr>
        <w:t xml:space="preserve"> </w:t>
      </w:r>
      <w:r w:rsidR="00B90713">
        <w:rPr>
          <w:rFonts w:asciiTheme="majorBidi" w:hAnsiTheme="majorBidi" w:cstheme="majorBidi"/>
          <w:sz w:val="24"/>
          <w:szCs w:val="24"/>
        </w:rPr>
        <w:t xml:space="preserve">a mix of different </w:t>
      </w:r>
      <w:r w:rsidR="004A25E7" w:rsidRPr="004A25E7">
        <w:rPr>
          <w:rFonts w:asciiTheme="majorBidi" w:hAnsiTheme="majorBidi" w:cstheme="majorBidi"/>
          <w:sz w:val="24"/>
          <w:szCs w:val="24"/>
        </w:rPr>
        <w:t xml:space="preserve">brand attributes </w:t>
      </w:r>
      <w:sdt>
        <w:sdtPr>
          <w:rPr>
            <w:rFonts w:asciiTheme="majorBidi" w:hAnsiTheme="majorBidi" w:cstheme="majorBidi"/>
            <w:sz w:val="24"/>
            <w:szCs w:val="24"/>
          </w:rPr>
          <w:id w:val="1778364624"/>
          <w:citation/>
        </w:sdtPr>
        <w:sdtContent>
          <w:r w:rsidR="00B90713">
            <w:rPr>
              <w:rFonts w:asciiTheme="majorBidi" w:hAnsiTheme="majorBidi" w:cstheme="majorBidi"/>
              <w:sz w:val="24"/>
              <w:szCs w:val="24"/>
            </w:rPr>
            <w:fldChar w:fldCharType="begin"/>
          </w:r>
          <w:r w:rsidR="00B90713">
            <w:rPr>
              <w:rFonts w:asciiTheme="majorBidi" w:hAnsiTheme="majorBidi" w:cstheme="majorBidi"/>
              <w:sz w:val="24"/>
              <w:szCs w:val="24"/>
            </w:rPr>
            <w:instrText xml:space="preserve"> CITATION Par10 \l 2057 </w:instrText>
          </w:r>
          <w:r w:rsidR="00B90713">
            <w:rPr>
              <w:rFonts w:asciiTheme="majorBidi" w:hAnsiTheme="majorBidi" w:cstheme="majorBidi"/>
              <w:sz w:val="24"/>
              <w:szCs w:val="24"/>
            </w:rPr>
            <w:fldChar w:fldCharType="separate"/>
          </w:r>
          <w:r w:rsidR="00B90713" w:rsidRPr="00B90713">
            <w:rPr>
              <w:rFonts w:asciiTheme="majorBidi" w:hAnsiTheme="majorBidi" w:cstheme="majorBidi"/>
              <w:noProof/>
              <w:sz w:val="24"/>
              <w:szCs w:val="24"/>
            </w:rPr>
            <w:t>(Park, Yu, &amp; Zhou, 2010)</w:t>
          </w:r>
          <w:r w:rsidR="00B90713">
            <w:rPr>
              <w:rFonts w:asciiTheme="majorBidi" w:hAnsiTheme="majorBidi" w:cstheme="majorBidi"/>
              <w:sz w:val="24"/>
              <w:szCs w:val="24"/>
            </w:rPr>
            <w:fldChar w:fldCharType="end"/>
          </w:r>
        </w:sdtContent>
      </w:sdt>
      <w:r w:rsidR="00B90713">
        <w:rPr>
          <w:rFonts w:asciiTheme="majorBidi" w:hAnsiTheme="majorBidi" w:cstheme="majorBidi"/>
          <w:sz w:val="24"/>
          <w:szCs w:val="24"/>
        </w:rPr>
        <w:t xml:space="preserve">. </w:t>
      </w:r>
      <w:r w:rsidR="00B90713" w:rsidRPr="00460517">
        <w:rPr>
          <w:rFonts w:asciiTheme="majorBidi" w:hAnsiTheme="majorBidi" w:cstheme="majorBidi"/>
          <w:sz w:val="24"/>
          <w:szCs w:val="24"/>
        </w:rPr>
        <w:t>Usually</w:t>
      </w:r>
      <w:r w:rsidR="00BA469A" w:rsidRPr="00460517">
        <w:rPr>
          <w:rFonts w:asciiTheme="majorBidi" w:hAnsiTheme="majorBidi" w:cstheme="majorBidi"/>
          <w:sz w:val="24"/>
          <w:szCs w:val="24"/>
        </w:rPr>
        <w:t>, b</w:t>
      </w:r>
      <w:r w:rsidR="000128B7" w:rsidRPr="00460517">
        <w:rPr>
          <w:rFonts w:asciiTheme="majorBidi" w:hAnsiTheme="majorBidi" w:cstheme="majorBidi"/>
          <w:sz w:val="24"/>
          <w:szCs w:val="24"/>
        </w:rPr>
        <w:t>rand attitudes serve as important indicators of</w:t>
      </w:r>
      <w:r w:rsidR="00BA469A" w:rsidRPr="00460517">
        <w:rPr>
          <w:rFonts w:asciiTheme="majorBidi" w:hAnsiTheme="majorBidi" w:cstheme="majorBidi"/>
          <w:sz w:val="24"/>
          <w:szCs w:val="24"/>
        </w:rPr>
        <w:t xml:space="preserve"> the success of</w:t>
      </w:r>
      <w:r w:rsidR="000128B7" w:rsidRPr="00460517">
        <w:rPr>
          <w:rFonts w:asciiTheme="majorBidi" w:hAnsiTheme="majorBidi" w:cstheme="majorBidi"/>
          <w:sz w:val="24"/>
          <w:szCs w:val="24"/>
        </w:rPr>
        <w:t xml:space="preserve"> marketing </w:t>
      </w:r>
      <w:r w:rsidR="00BA469A" w:rsidRPr="00460517">
        <w:rPr>
          <w:rFonts w:asciiTheme="majorBidi" w:hAnsiTheme="majorBidi" w:cstheme="majorBidi"/>
          <w:sz w:val="24"/>
          <w:szCs w:val="24"/>
        </w:rPr>
        <w:t xml:space="preserve">and communication strategies </w:t>
      </w:r>
      <w:sdt>
        <w:sdtPr>
          <w:rPr>
            <w:rFonts w:asciiTheme="majorBidi" w:hAnsiTheme="majorBidi" w:cstheme="majorBidi"/>
            <w:sz w:val="24"/>
            <w:szCs w:val="24"/>
          </w:rPr>
          <w:id w:val="355001437"/>
          <w:citation/>
        </w:sdtPr>
        <w:sdtContent>
          <w:r w:rsidR="00BA469A" w:rsidRPr="00460517">
            <w:rPr>
              <w:rFonts w:asciiTheme="majorBidi" w:hAnsiTheme="majorBidi" w:cstheme="majorBidi"/>
              <w:sz w:val="24"/>
              <w:szCs w:val="24"/>
            </w:rPr>
            <w:fldChar w:fldCharType="begin"/>
          </w:r>
          <w:r w:rsidR="00BA469A" w:rsidRPr="00460517">
            <w:rPr>
              <w:rFonts w:asciiTheme="majorBidi" w:hAnsiTheme="majorBidi" w:cstheme="majorBidi"/>
              <w:sz w:val="24"/>
              <w:szCs w:val="24"/>
            </w:rPr>
            <w:instrText xml:space="preserve"> CITATION Góm23 \l 2057 </w:instrText>
          </w:r>
          <w:r w:rsidR="00E83E7B" w:rsidRPr="00460517">
            <w:rPr>
              <w:rFonts w:asciiTheme="majorBidi" w:hAnsiTheme="majorBidi" w:cstheme="majorBidi"/>
              <w:sz w:val="24"/>
              <w:szCs w:val="24"/>
            </w:rPr>
            <w:instrText xml:space="preserve"> \m Gri161</w:instrText>
          </w:r>
          <w:r w:rsidR="00BA469A" w:rsidRPr="00460517">
            <w:rPr>
              <w:rFonts w:asciiTheme="majorBidi" w:hAnsiTheme="majorBidi" w:cstheme="majorBidi"/>
              <w:sz w:val="24"/>
              <w:szCs w:val="24"/>
            </w:rPr>
            <w:fldChar w:fldCharType="separate"/>
          </w:r>
          <w:r w:rsidR="00E83E7B" w:rsidRPr="00460517">
            <w:rPr>
              <w:rFonts w:asciiTheme="majorBidi" w:hAnsiTheme="majorBidi" w:cstheme="majorBidi"/>
              <w:noProof/>
              <w:sz w:val="24"/>
              <w:szCs w:val="24"/>
            </w:rPr>
            <w:t>(Gómez-Rico, Molina-Collado, Santos-Vijande, Molina-Collado, &amp; Imhoff , 2023; Grinsven &amp; Das, 2016)</w:t>
          </w:r>
          <w:r w:rsidR="00BA469A" w:rsidRPr="00460517">
            <w:rPr>
              <w:rFonts w:asciiTheme="majorBidi" w:hAnsiTheme="majorBidi" w:cstheme="majorBidi"/>
              <w:sz w:val="24"/>
              <w:szCs w:val="24"/>
            </w:rPr>
            <w:fldChar w:fldCharType="end"/>
          </w:r>
        </w:sdtContent>
      </w:sdt>
      <w:r w:rsidR="00BA469A" w:rsidRPr="00460517">
        <w:rPr>
          <w:rFonts w:asciiTheme="majorBidi" w:hAnsiTheme="majorBidi" w:cstheme="majorBidi"/>
          <w:sz w:val="24"/>
          <w:szCs w:val="24"/>
        </w:rPr>
        <w:t>.</w:t>
      </w:r>
      <w:r w:rsidR="00D20874">
        <w:rPr>
          <w:rFonts w:asciiTheme="majorBidi" w:hAnsiTheme="majorBidi" w:cstheme="majorBidi"/>
          <w:sz w:val="24"/>
          <w:szCs w:val="24"/>
        </w:rPr>
        <w:t xml:space="preserve"> </w:t>
      </w:r>
    </w:p>
    <w:p w14:paraId="56FD61FC" w14:textId="75E4C502" w:rsidR="00D20874" w:rsidRDefault="00D20874" w:rsidP="00230C9C">
      <w:pPr>
        <w:spacing w:line="480" w:lineRule="auto"/>
        <w:rPr>
          <w:rFonts w:asciiTheme="majorBidi" w:hAnsiTheme="majorBidi" w:cstheme="majorBidi"/>
          <w:sz w:val="24"/>
          <w:szCs w:val="24"/>
        </w:rPr>
      </w:pPr>
      <w:r>
        <w:rPr>
          <w:rFonts w:asciiTheme="majorBidi" w:hAnsiTheme="majorBidi" w:cstheme="majorBidi"/>
          <w:sz w:val="24"/>
          <w:szCs w:val="24"/>
        </w:rPr>
        <w:tab/>
      </w:r>
      <w:r w:rsidRPr="00B1433C">
        <w:rPr>
          <w:rFonts w:asciiTheme="majorBidi" w:hAnsiTheme="majorBidi" w:cstheme="majorBidi"/>
          <w:sz w:val="24"/>
          <w:szCs w:val="24"/>
        </w:rPr>
        <w:t xml:space="preserve">Historically, numerous studies examined brand attitudes and purchase intention in which </w:t>
      </w:r>
      <w:r w:rsidR="004F04A7">
        <w:rPr>
          <w:rFonts w:asciiTheme="majorBidi" w:hAnsiTheme="majorBidi" w:cstheme="majorBidi"/>
          <w:sz w:val="24"/>
          <w:szCs w:val="24"/>
        </w:rPr>
        <w:t>they were</w:t>
      </w:r>
      <w:r w:rsidRPr="00FF4B66">
        <w:rPr>
          <w:rFonts w:asciiTheme="majorBidi" w:hAnsiTheme="majorBidi" w:cstheme="majorBidi"/>
          <w:sz w:val="24"/>
          <w:szCs w:val="24"/>
        </w:rPr>
        <w:t xml:space="preserve"> treated as separate</w:t>
      </w:r>
      <w:r w:rsidR="00A20073" w:rsidRPr="00FF4B66">
        <w:rPr>
          <w:rFonts w:asciiTheme="majorBidi" w:hAnsiTheme="majorBidi" w:cstheme="majorBidi"/>
          <w:sz w:val="24"/>
          <w:szCs w:val="24"/>
        </w:rPr>
        <w:t xml:space="preserve"> and single</w:t>
      </w:r>
      <w:r w:rsidRPr="00FF4B66">
        <w:rPr>
          <w:rFonts w:asciiTheme="majorBidi" w:hAnsiTheme="majorBidi" w:cstheme="majorBidi"/>
          <w:sz w:val="24"/>
          <w:szCs w:val="24"/>
        </w:rPr>
        <w:t xml:space="preserve"> constructs</w:t>
      </w:r>
      <w:r w:rsidR="00024749" w:rsidRPr="00FF4B66">
        <w:rPr>
          <w:rFonts w:asciiTheme="majorBidi" w:hAnsiTheme="majorBidi" w:cstheme="majorBidi"/>
          <w:sz w:val="24"/>
          <w:szCs w:val="24"/>
        </w:rPr>
        <w:t xml:space="preserve"> </w:t>
      </w:r>
      <w:sdt>
        <w:sdtPr>
          <w:rPr>
            <w:rFonts w:asciiTheme="majorBidi" w:hAnsiTheme="majorBidi" w:cstheme="majorBidi"/>
            <w:sz w:val="24"/>
            <w:szCs w:val="24"/>
          </w:rPr>
          <w:id w:val="-963270031"/>
          <w:citation/>
        </w:sdtPr>
        <w:sdtContent>
          <w:r w:rsidR="00FF4B66">
            <w:rPr>
              <w:rFonts w:asciiTheme="majorBidi" w:hAnsiTheme="majorBidi" w:cstheme="majorBidi"/>
              <w:sz w:val="24"/>
              <w:szCs w:val="24"/>
            </w:rPr>
            <w:fldChar w:fldCharType="begin"/>
          </w:r>
          <w:r w:rsidR="00FF4B66">
            <w:rPr>
              <w:rFonts w:asciiTheme="majorBidi" w:hAnsiTheme="majorBidi" w:cstheme="majorBidi"/>
              <w:sz w:val="24"/>
              <w:szCs w:val="24"/>
            </w:rPr>
            <w:instrText xml:space="preserve"> CITATION Chi20 \l 2057  \m Lec97 \m Spe04</w:instrText>
          </w:r>
          <w:r w:rsidR="00FF4B66">
            <w:rPr>
              <w:rFonts w:asciiTheme="majorBidi" w:hAnsiTheme="majorBidi" w:cstheme="majorBidi"/>
              <w:sz w:val="24"/>
              <w:szCs w:val="24"/>
            </w:rPr>
            <w:fldChar w:fldCharType="separate"/>
          </w:r>
          <w:r w:rsidR="00FF4B66" w:rsidRPr="00874D73">
            <w:rPr>
              <w:rFonts w:asciiTheme="majorBidi" w:hAnsiTheme="majorBidi" w:cstheme="majorBidi"/>
              <w:noProof/>
              <w:sz w:val="24"/>
              <w:szCs w:val="24"/>
            </w:rPr>
            <w:t>(Chin, Isa, &amp; Alodin, 2020; Leclerc &amp; Little, 1997; Spears &amp; Singh, 2004)</w:t>
          </w:r>
          <w:r w:rsidR="00FF4B66">
            <w:rPr>
              <w:rFonts w:asciiTheme="majorBidi" w:hAnsiTheme="majorBidi" w:cstheme="majorBidi"/>
              <w:sz w:val="24"/>
              <w:szCs w:val="24"/>
            </w:rPr>
            <w:fldChar w:fldCharType="end"/>
          </w:r>
        </w:sdtContent>
      </w:sdt>
      <w:r w:rsidR="00FF4B66" w:rsidRPr="00B1433C">
        <w:rPr>
          <w:rFonts w:asciiTheme="majorBidi" w:hAnsiTheme="majorBidi" w:cstheme="majorBidi"/>
          <w:sz w:val="24"/>
          <w:szCs w:val="24"/>
        </w:rPr>
        <w:t>.</w:t>
      </w:r>
      <w:bookmarkStart w:id="33" w:name="_Hlk144980629"/>
      <w:r w:rsidRPr="00B1433C">
        <w:rPr>
          <w:rFonts w:asciiTheme="majorBidi" w:hAnsiTheme="majorBidi" w:cstheme="majorBidi"/>
          <w:sz w:val="24"/>
          <w:szCs w:val="24"/>
        </w:rPr>
        <w:t xml:space="preserve"> </w:t>
      </w:r>
      <w:bookmarkEnd w:id="33"/>
      <w:r w:rsidR="000963F2">
        <w:rPr>
          <w:rFonts w:asciiTheme="majorBidi" w:hAnsiTheme="majorBidi" w:cstheme="majorBidi"/>
          <w:sz w:val="24"/>
          <w:szCs w:val="24"/>
        </w:rPr>
        <w:t xml:space="preserve">In fact, </w:t>
      </w:r>
      <w:r w:rsidR="00257FC7">
        <w:rPr>
          <w:rFonts w:asciiTheme="majorBidi" w:hAnsiTheme="majorBidi" w:cstheme="majorBidi"/>
          <w:sz w:val="24"/>
          <w:szCs w:val="24"/>
        </w:rPr>
        <w:t>based on</w:t>
      </w:r>
      <w:r w:rsidR="000963F2">
        <w:rPr>
          <w:rFonts w:asciiTheme="majorBidi" w:hAnsiTheme="majorBidi" w:cstheme="majorBidi"/>
          <w:sz w:val="24"/>
          <w:szCs w:val="24"/>
        </w:rPr>
        <w:t xml:space="preserve"> recent studies</w:t>
      </w:r>
      <w:r w:rsidR="00257FC7">
        <w:rPr>
          <w:rFonts w:asciiTheme="majorBidi" w:hAnsiTheme="majorBidi" w:cstheme="majorBidi"/>
          <w:sz w:val="24"/>
          <w:szCs w:val="24"/>
        </w:rPr>
        <w:t xml:space="preserve">, there is </w:t>
      </w:r>
      <w:r w:rsidR="000963F2">
        <w:rPr>
          <w:rFonts w:asciiTheme="majorBidi" w:hAnsiTheme="majorBidi" w:cstheme="majorBidi"/>
          <w:sz w:val="24"/>
          <w:szCs w:val="24"/>
        </w:rPr>
        <w:t>a strong</w:t>
      </w:r>
      <w:r w:rsidR="00755075">
        <w:rPr>
          <w:rFonts w:asciiTheme="majorBidi" w:hAnsiTheme="majorBidi" w:cstheme="majorBidi"/>
          <w:sz w:val="24"/>
          <w:szCs w:val="24"/>
        </w:rPr>
        <w:t xml:space="preserve"> positive</w:t>
      </w:r>
      <w:r w:rsidR="000963F2">
        <w:rPr>
          <w:rFonts w:asciiTheme="majorBidi" w:hAnsiTheme="majorBidi" w:cstheme="majorBidi"/>
          <w:sz w:val="24"/>
          <w:szCs w:val="24"/>
        </w:rPr>
        <w:t xml:space="preserve"> relationship between </w:t>
      </w:r>
      <w:r w:rsidR="000963F2" w:rsidRPr="00FF4B66">
        <w:rPr>
          <w:rFonts w:asciiTheme="majorBidi" w:hAnsiTheme="majorBidi" w:cstheme="majorBidi"/>
          <w:sz w:val="24"/>
          <w:szCs w:val="24"/>
        </w:rPr>
        <w:t>brand attitudes</w:t>
      </w:r>
      <w:r w:rsidR="000963F2">
        <w:rPr>
          <w:rFonts w:asciiTheme="majorBidi" w:hAnsiTheme="majorBidi" w:cstheme="majorBidi"/>
          <w:sz w:val="24"/>
          <w:szCs w:val="24"/>
        </w:rPr>
        <w:t xml:space="preserve"> and purchase intention</w:t>
      </w:r>
      <w:bookmarkStart w:id="34" w:name="_Hlk146409065"/>
      <w:sdt>
        <w:sdtPr>
          <w:rPr>
            <w:rFonts w:asciiTheme="majorBidi" w:hAnsiTheme="majorBidi" w:cstheme="majorBidi"/>
            <w:sz w:val="24"/>
            <w:szCs w:val="24"/>
          </w:rPr>
          <w:id w:val="-1983845437"/>
          <w:citation/>
        </w:sdtPr>
        <w:sdtContent>
          <w:r w:rsidR="004F2FE6">
            <w:rPr>
              <w:rFonts w:asciiTheme="majorBidi" w:hAnsiTheme="majorBidi" w:cstheme="majorBidi"/>
              <w:sz w:val="24"/>
              <w:szCs w:val="24"/>
            </w:rPr>
            <w:fldChar w:fldCharType="begin"/>
          </w:r>
          <w:r w:rsidR="004F2FE6">
            <w:rPr>
              <w:rFonts w:asciiTheme="majorBidi" w:hAnsiTheme="majorBidi" w:cstheme="majorBidi"/>
              <w:sz w:val="24"/>
              <w:szCs w:val="24"/>
            </w:rPr>
            <w:instrText xml:space="preserve"> CITATION Faz22 \l 2057 </w:instrText>
          </w:r>
          <w:r w:rsidR="00257FC7">
            <w:rPr>
              <w:rFonts w:asciiTheme="majorBidi" w:hAnsiTheme="majorBidi" w:cstheme="majorBidi"/>
              <w:sz w:val="24"/>
              <w:szCs w:val="24"/>
            </w:rPr>
            <w:instrText xml:space="preserve"> \m Machi</w:instrText>
          </w:r>
          <w:r w:rsidR="004F2FE6">
            <w:rPr>
              <w:rFonts w:asciiTheme="majorBidi" w:hAnsiTheme="majorBidi" w:cstheme="majorBidi"/>
              <w:sz w:val="24"/>
              <w:szCs w:val="24"/>
            </w:rPr>
            <w:fldChar w:fldCharType="separate"/>
          </w:r>
          <w:r w:rsidR="00257FC7">
            <w:rPr>
              <w:rFonts w:asciiTheme="majorBidi" w:hAnsiTheme="majorBidi" w:cstheme="majorBidi"/>
              <w:noProof/>
              <w:sz w:val="24"/>
              <w:szCs w:val="24"/>
            </w:rPr>
            <w:t xml:space="preserve"> </w:t>
          </w:r>
          <w:r w:rsidR="00257FC7" w:rsidRPr="00257FC7">
            <w:rPr>
              <w:rFonts w:asciiTheme="majorBidi" w:hAnsiTheme="majorBidi" w:cstheme="majorBidi"/>
              <w:noProof/>
              <w:sz w:val="24"/>
              <w:szCs w:val="24"/>
            </w:rPr>
            <w:t>(Fazli-Salehi, Torres, Madadi, &amp; Zúñiga, 2022; Machi, Nemavhidi, Chuchu, Nyagadza, &amp; Venter de Villiers, 2022)</w:t>
          </w:r>
          <w:r w:rsidR="004F2FE6">
            <w:rPr>
              <w:rFonts w:asciiTheme="majorBidi" w:hAnsiTheme="majorBidi" w:cstheme="majorBidi"/>
              <w:sz w:val="24"/>
              <w:szCs w:val="24"/>
            </w:rPr>
            <w:fldChar w:fldCharType="end"/>
          </w:r>
        </w:sdtContent>
      </w:sdt>
      <w:r w:rsidR="000963F2">
        <w:rPr>
          <w:rFonts w:asciiTheme="majorBidi" w:hAnsiTheme="majorBidi" w:cstheme="majorBidi"/>
          <w:sz w:val="24"/>
          <w:szCs w:val="24"/>
        </w:rPr>
        <w:t xml:space="preserve">. </w:t>
      </w:r>
      <w:bookmarkEnd w:id="34"/>
      <w:r w:rsidR="00AA0D81" w:rsidRPr="00460517">
        <w:rPr>
          <w:rFonts w:asciiTheme="majorBidi" w:hAnsiTheme="majorBidi" w:cstheme="majorBidi"/>
          <w:sz w:val="24"/>
          <w:szCs w:val="24"/>
        </w:rPr>
        <w:t xml:space="preserve">Measuring brand attitudes </w:t>
      </w:r>
      <w:r w:rsidR="004F04A7" w:rsidRPr="00460517">
        <w:rPr>
          <w:rFonts w:asciiTheme="majorBidi" w:hAnsiTheme="majorBidi" w:cstheme="majorBidi"/>
          <w:sz w:val="24"/>
          <w:szCs w:val="24"/>
        </w:rPr>
        <w:t>has been</w:t>
      </w:r>
      <w:r w:rsidR="00AA0D81" w:rsidRPr="00460517">
        <w:rPr>
          <w:rFonts w:asciiTheme="majorBidi" w:hAnsiTheme="majorBidi" w:cstheme="majorBidi"/>
          <w:sz w:val="24"/>
          <w:szCs w:val="24"/>
        </w:rPr>
        <w:t xml:space="preserve"> done by different scales </w:t>
      </w:r>
      <w:r w:rsidR="00E93869" w:rsidRPr="00460517">
        <w:rPr>
          <w:rFonts w:asciiTheme="majorBidi" w:hAnsiTheme="majorBidi" w:cstheme="majorBidi"/>
          <w:sz w:val="24"/>
          <w:szCs w:val="24"/>
        </w:rPr>
        <w:t>by</w:t>
      </w:r>
      <w:r w:rsidR="00AA0D81" w:rsidRPr="00460517">
        <w:rPr>
          <w:rFonts w:asciiTheme="majorBidi" w:hAnsiTheme="majorBidi" w:cstheme="majorBidi"/>
          <w:sz w:val="24"/>
          <w:szCs w:val="24"/>
        </w:rPr>
        <w:t xml:space="preserve"> </w:t>
      </w:r>
      <w:r w:rsidR="00E93869" w:rsidRPr="00460517">
        <w:rPr>
          <w:rFonts w:asciiTheme="majorBidi" w:hAnsiTheme="majorBidi" w:cstheme="majorBidi"/>
          <w:sz w:val="24"/>
          <w:szCs w:val="24"/>
        </w:rPr>
        <w:t>various</w:t>
      </w:r>
      <w:r w:rsidR="00AA0D81" w:rsidRPr="00460517">
        <w:rPr>
          <w:rFonts w:asciiTheme="majorBidi" w:hAnsiTheme="majorBidi" w:cstheme="majorBidi"/>
          <w:sz w:val="24"/>
          <w:szCs w:val="24"/>
        </w:rPr>
        <w:t xml:space="preserve"> researchers</w:t>
      </w:r>
      <w:r w:rsidR="00AA72BD" w:rsidRPr="00460517">
        <w:rPr>
          <w:rFonts w:asciiTheme="majorBidi" w:hAnsiTheme="majorBidi" w:cstheme="majorBidi"/>
          <w:sz w:val="24"/>
          <w:szCs w:val="24"/>
        </w:rPr>
        <w:t xml:space="preserve"> </w:t>
      </w:r>
      <w:sdt>
        <w:sdtPr>
          <w:rPr>
            <w:rFonts w:asciiTheme="majorBidi" w:hAnsiTheme="majorBidi" w:cstheme="majorBidi"/>
            <w:sz w:val="24"/>
            <w:szCs w:val="24"/>
          </w:rPr>
          <w:id w:val="37865347"/>
          <w:citation/>
        </w:sdtPr>
        <w:sdtContent>
          <w:r w:rsidR="00AA72BD" w:rsidRPr="00460517">
            <w:rPr>
              <w:rFonts w:asciiTheme="majorBidi" w:hAnsiTheme="majorBidi" w:cstheme="majorBidi"/>
              <w:sz w:val="24"/>
              <w:szCs w:val="24"/>
            </w:rPr>
            <w:fldChar w:fldCharType="begin"/>
          </w:r>
          <w:r w:rsidR="00AA72BD" w:rsidRPr="00460517">
            <w:rPr>
              <w:rFonts w:asciiTheme="majorBidi" w:hAnsiTheme="majorBidi" w:cstheme="majorBidi"/>
              <w:sz w:val="24"/>
              <w:szCs w:val="24"/>
            </w:rPr>
            <w:instrText xml:space="preserve"> CITATION Chi20 \l 2057  \m For191 \m Raz19</w:instrText>
          </w:r>
          <w:r w:rsidR="00AA72BD" w:rsidRPr="00460517">
            <w:rPr>
              <w:rFonts w:asciiTheme="majorBidi" w:hAnsiTheme="majorBidi" w:cstheme="majorBidi"/>
              <w:sz w:val="24"/>
              <w:szCs w:val="24"/>
            </w:rPr>
            <w:fldChar w:fldCharType="separate"/>
          </w:r>
          <w:r w:rsidR="00AA72BD" w:rsidRPr="00460517">
            <w:rPr>
              <w:rFonts w:asciiTheme="majorBidi" w:hAnsiTheme="majorBidi" w:cstheme="majorBidi"/>
              <w:noProof/>
              <w:sz w:val="24"/>
              <w:szCs w:val="24"/>
            </w:rPr>
            <w:t>(Chin, Isa, &amp; Alodin, 2020; Foroudi, 2019; Razak, Themba, &amp; Sjahruddin, 2019)</w:t>
          </w:r>
          <w:r w:rsidR="00AA72BD" w:rsidRPr="00460517">
            <w:rPr>
              <w:rFonts w:asciiTheme="majorBidi" w:hAnsiTheme="majorBidi" w:cstheme="majorBidi"/>
              <w:sz w:val="24"/>
              <w:szCs w:val="24"/>
            </w:rPr>
            <w:fldChar w:fldCharType="end"/>
          </w:r>
        </w:sdtContent>
      </w:sdt>
      <w:r w:rsidR="00AA0D81" w:rsidRPr="00460517">
        <w:rPr>
          <w:rFonts w:asciiTheme="majorBidi" w:hAnsiTheme="majorBidi" w:cstheme="majorBidi"/>
          <w:sz w:val="24"/>
          <w:szCs w:val="24"/>
        </w:rPr>
        <w:t>. Yet, most of these scales measure brand attitude from a surface level</w:t>
      </w:r>
      <w:r w:rsidR="00AA72BD" w:rsidRPr="00460517">
        <w:rPr>
          <w:rFonts w:asciiTheme="majorBidi" w:hAnsiTheme="majorBidi" w:cstheme="majorBidi"/>
          <w:sz w:val="24"/>
          <w:szCs w:val="24"/>
        </w:rPr>
        <w:t xml:space="preserve"> as a singular variable </w:t>
      </w:r>
      <w:sdt>
        <w:sdtPr>
          <w:rPr>
            <w:rFonts w:asciiTheme="majorBidi" w:hAnsiTheme="majorBidi" w:cstheme="majorBidi"/>
            <w:sz w:val="24"/>
            <w:szCs w:val="24"/>
          </w:rPr>
          <w:id w:val="2055422060"/>
          <w:citation/>
        </w:sdtPr>
        <w:sdtContent>
          <w:r w:rsidR="00AA72BD" w:rsidRPr="00460517">
            <w:rPr>
              <w:rFonts w:asciiTheme="majorBidi" w:hAnsiTheme="majorBidi" w:cstheme="majorBidi"/>
              <w:sz w:val="24"/>
              <w:szCs w:val="24"/>
            </w:rPr>
            <w:fldChar w:fldCharType="begin"/>
          </w:r>
          <w:r w:rsidR="00AA72BD" w:rsidRPr="00460517">
            <w:rPr>
              <w:rFonts w:asciiTheme="majorBidi" w:hAnsiTheme="majorBidi" w:cstheme="majorBidi"/>
              <w:sz w:val="24"/>
              <w:szCs w:val="24"/>
            </w:rPr>
            <w:instrText xml:space="preserve"> CITATION For191 \l 2057  \m Hwa17</w:instrText>
          </w:r>
          <w:r w:rsidR="00AA72BD" w:rsidRPr="00460517">
            <w:rPr>
              <w:rFonts w:asciiTheme="majorBidi" w:hAnsiTheme="majorBidi" w:cstheme="majorBidi"/>
              <w:sz w:val="24"/>
              <w:szCs w:val="24"/>
            </w:rPr>
            <w:fldChar w:fldCharType="separate"/>
          </w:r>
          <w:r w:rsidR="00AA72BD" w:rsidRPr="00460517">
            <w:rPr>
              <w:rFonts w:asciiTheme="majorBidi" w:hAnsiTheme="majorBidi" w:cstheme="majorBidi"/>
              <w:noProof/>
              <w:sz w:val="24"/>
              <w:szCs w:val="24"/>
            </w:rPr>
            <w:t>(Foroudi, 2019; Hwang &amp; Hyun, 2017)</w:t>
          </w:r>
          <w:r w:rsidR="00AA72BD" w:rsidRPr="00460517">
            <w:rPr>
              <w:rFonts w:asciiTheme="majorBidi" w:hAnsiTheme="majorBidi" w:cstheme="majorBidi"/>
              <w:sz w:val="24"/>
              <w:szCs w:val="24"/>
            </w:rPr>
            <w:fldChar w:fldCharType="end"/>
          </w:r>
        </w:sdtContent>
      </w:sdt>
      <w:r w:rsidR="00AA72BD" w:rsidRPr="00460517">
        <w:rPr>
          <w:rFonts w:asciiTheme="majorBidi" w:hAnsiTheme="majorBidi" w:cstheme="majorBidi"/>
          <w:sz w:val="24"/>
          <w:szCs w:val="24"/>
        </w:rPr>
        <w:t xml:space="preserve">. </w:t>
      </w:r>
      <w:r w:rsidR="00AA0D81" w:rsidRPr="00460517">
        <w:rPr>
          <w:rFonts w:asciiTheme="majorBidi" w:hAnsiTheme="majorBidi" w:cstheme="majorBidi"/>
          <w:sz w:val="24"/>
          <w:szCs w:val="24"/>
        </w:rPr>
        <w:t>Mostly,</w:t>
      </w:r>
      <w:r w:rsidR="00AA0D81" w:rsidRPr="00B1433C">
        <w:rPr>
          <w:rFonts w:asciiTheme="majorBidi" w:hAnsiTheme="majorBidi" w:cstheme="majorBidi"/>
          <w:sz w:val="24"/>
          <w:szCs w:val="24"/>
        </w:rPr>
        <w:t xml:space="preserve"> brand attitude </w:t>
      </w:r>
      <w:r w:rsidR="004F04A7">
        <w:rPr>
          <w:rFonts w:asciiTheme="majorBidi" w:hAnsiTheme="majorBidi" w:cstheme="majorBidi"/>
          <w:sz w:val="24"/>
          <w:szCs w:val="24"/>
        </w:rPr>
        <w:t>has been</w:t>
      </w:r>
      <w:r w:rsidR="00AA0D81" w:rsidRPr="00B1433C">
        <w:rPr>
          <w:rFonts w:asciiTheme="majorBidi" w:hAnsiTheme="majorBidi" w:cstheme="majorBidi"/>
          <w:sz w:val="24"/>
          <w:szCs w:val="24"/>
        </w:rPr>
        <w:t xml:space="preserve"> measured with scales of acceptance, favourableness or preferences</w:t>
      </w:r>
      <w:sdt>
        <w:sdtPr>
          <w:rPr>
            <w:rFonts w:asciiTheme="majorBidi" w:hAnsiTheme="majorBidi" w:cstheme="majorBidi"/>
            <w:sz w:val="24"/>
            <w:szCs w:val="24"/>
          </w:rPr>
          <w:id w:val="719705551"/>
          <w:citation/>
        </w:sdtPr>
        <w:sdtContent>
          <w:r w:rsidR="00AA0D81" w:rsidRPr="00B1433C">
            <w:rPr>
              <w:rFonts w:asciiTheme="majorBidi" w:hAnsiTheme="majorBidi" w:cstheme="majorBidi"/>
              <w:sz w:val="24"/>
              <w:szCs w:val="24"/>
            </w:rPr>
            <w:fldChar w:fldCharType="begin"/>
          </w:r>
          <w:r w:rsidR="00AA0D81" w:rsidRPr="00B1433C">
            <w:rPr>
              <w:rFonts w:asciiTheme="majorBidi" w:hAnsiTheme="majorBidi" w:cstheme="majorBidi"/>
              <w:sz w:val="24"/>
              <w:szCs w:val="24"/>
            </w:rPr>
            <w:instrText xml:space="preserve"> CITATION Lut83 \l 2057  \m Ros14</w:instrText>
          </w:r>
          <w:r w:rsidR="00AA0D81" w:rsidRPr="00B1433C">
            <w:rPr>
              <w:rFonts w:asciiTheme="majorBidi" w:hAnsiTheme="majorBidi" w:cstheme="majorBidi"/>
              <w:sz w:val="24"/>
              <w:szCs w:val="24"/>
            </w:rPr>
            <w:fldChar w:fldCharType="separate"/>
          </w:r>
          <w:r w:rsidR="00AA0D81" w:rsidRPr="00B1433C">
            <w:rPr>
              <w:rFonts w:asciiTheme="majorBidi" w:hAnsiTheme="majorBidi" w:cstheme="majorBidi"/>
              <w:noProof/>
              <w:sz w:val="24"/>
              <w:szCs w:val="24"/>
            </w:rPr>
            <w:t xml:space="preserve"> (Lutz, MacKenzie, &amp; Belch, 1983; Rossiter, 2014)</w:t>
          </w:r>
          <w:r w:rsidR="00AA0D81" w:rsidRPr="00B1433C">
            <w:rPr>
              <w:rFonts w:asciiTheme="majorBidi" w:hAnsiTheme="majorBidi" w:cstheme="majorBidi"/>
              <w:sz w:val="24"/>
              <w:szCs w:val="24"/>
            </w:rPr>
            <w:fldChar w:fldCharType="end"/>
          </w:r>
        </w:sdtContent>
      </w:sdt>
      <w:r w:rsidR="00AA0D81" w:rsidRPr="00B1433C">
        <w:rPr>
          <w:rFonts w:asciiTheme="majorBidi" w:hAnsiTheme="majorBidi" w:cstheme="majorBidi"/>
          <w:sz w:val="24"/>
          <w:szCs w:val="24"/>
        </w:rPr>
        <w:t>; brand likeability</w:t>
      </w:r>
      <w:sdt>
        <w:sdtPr>
          <w:rPr>
            <w:rFonts w:asciiTheme="majorBidi" w:hAnsiTheme="majorBidi" w:cstheme="majorBidi"/>
            <w:sz w:val="24"/>
            <w:szCs w:val="24"/>
          </w:rPr>
          <w:id w:val="-171563724"/>
          <w:citation/>
        </w:sdtPr>
        <w:sdtContent>
          <w:r w:rsidR="00AA0D81" w:rsidRPr="00460517">
            <w:rPr>
              <w:rFonts w:asciiTheme="majorBidi" w:hAnsiTheme="majorBidi" w:cstheme="majorBidi"/>
              <w:sz w:val="24"/>
              <w:szCs w:val="24"/>
            </w:rPr>
            <w:fldChar w:fldCharType="begin"/>
          </w:r>
          <w:r w:rsidR="00AA0D81" w:rsidRPr="00460517">
            <w:rPr>
              <w:rFonts w:asciiTheme="majorBidi" w:hAnsiTheme="majorBidi" w:cstheme="majorBidi"/>
              <w:sz w:val="24"/>
              <w:szCs w:val="24"/>
            </w:rPr>
            <w:instrText xml:space="preserve"> CITATION Ber89 \l 2057  \m Bla23</w:instrText>
          </w:r>
          <w:r w:rsidR="00AA0D81" w:rsidRPr="00460517">
            <w:rPr>
              <w:rFonts w:asciiTheme="majorBidi" w:hAnsiTheme="majorBidi" w:cstheme="majorBidi"/>
              <w:sz w:val="24"/>
              <w:szCs w:val="24"/>
            </w:rPr>
            <w:fldChar w:fldCharType="separate"/>
          </w:r>
          <w:r w:rsidR="00AA0D81" w:rsidRPr="00460517">
            <w:rPr>
              <w:rFonts w:asciiTheme="majorBidi" w:hAnsiTheme="majorBidi" w:cstheme="majorBidi"/>
              <w:noProof/>
              <w:sz w:val="24"/>
              <w:szCs w:val="24"/>
            </w:rPr>
            <w:t xml:space="preserve"> (Berger &amp; Mitchell, 1989; Bladt, Capelleveen, &amp; Yazan, 2023)</w:t>
          </w:r>
          <w:r w:rsidR="00AA0D81" w:rsidRPr="00460517">
            <w:rPr>
              <w:rFonts w:asciiTheme="majorBidi" w:hAnsiTheme="majorBidi" w:cstheme="majorBidi"/>
              <w:sz w:val="24"/>
              <w:szCs w:val="24"/>
            </w:rPr>
            <w:fldChar w:fldCharType="end"/>
          </w:r>
        </w:sdtContent>
      </w:sdt>
      <w:r w:rsidR="00AA0D81" w:rsidRPr="00460517">
        <w:rPr>
          <w:rFonts w:asciiTheme="majorBidi" w:hAnsiTheme="majorBidi" w:cstheme="majorBidi"/>
          <w:sz w:val="24"/>
          <w:szCs w:val="24"/>
        </w:rPr>
        <w:t xml:space="preserve">; usefulness and importance </w:t>
      </w:r>
      <w:sdt>
        <w:sdtPr>
          <w:rPr>
            <w:rFonts w:asciiTheme="majorBidi" w:hAnsiTheme="majorBidi" w:cstheme="majorBidi"/>
            <w:sz w:val="24"/>
            <w:szCs w:val="24"/>
          </w:rPr>
          <w:id w:val="1793707316"/>
          <w:citation/>
        </w:sdtPr>
        <w:sdtContent>
          <w:r w:rsidR="00AA0D81" w:rsidRPr="00460517">
            <w:rPr>
              <w:rFonts w:asciiTheme="majorBidi" w:hAnsiTheme="majorBidi" w:cstheme="majorBidi"/>
              <w:sz w:val="24"/>
              <w:szCs w:val="24"/>
            </w:rPr>
            <w:fldChar w:fldCharType="begin"/>
          </w:r>
          <w:r w:rsidR="00AA0D81" w:rsidRPr="00460517">
            <w:rPr>
              <w:rFonts w:asciiTheme="majorBidi" w:hAnsiTheme="majorBidi" w:cstheme="majorBidi"/>
              <w:sz w:val="24"/>
              <w:szCs w:val="24"/>
            </w:rPr>
            <w:instrText xml:space="preserve"> CITATION Bat86 \l 2057 </w:instrText>
          </w:r>
          <w:r w:rsidR="00AA0D81" w:rsidRPr="00460517">
            <w:rPr>
              <w:rFonts w:asciiTheme="majorBidi" w:hAnsiTheme="majorBidi" w:cstheme="majorBidi"/>
              <w:sz w:val="24"/>
              <w:szCs w:val="24"/>
            </w:rPr>
            <w:fldChar w:fldCharType="separate"/>
          </w:r>
          <w:r w:rsidR="00AA0D81" w:rsidRPr="00460517">
            <w:rPr>
              <w:rFonts w:asciiTheme="majorBidi" w:hAnsiTheme="majorBidi" w:cstheme="majorBidi"/>
              <w:noProof/>
              <w:sz w:val="24"/>
              <w:szCs w:val="24"/>
            </w:rPr>
            <w:t>(Batra &amp; Ray, 1986)</w:t>
          </w:r>
          <w:r w:rsidR="00AA0D81" w:rsidRPr="00460517">
            <w:rPr>
              <w:rFonts w:asciiTheme="majorBidi" w:hAnsiTheme="majorBidi" w:cstheme="majorBidi"/>
              <w:sz w:val="24"/>
              <w:szCs w:val="24"/>
            </w:rPr>
            <w:fldChar w:fldCharType="end"/>
          </w:r>
        </w:sdtContent>
      </w:sdt>
      <w:r w:rsidR="00AA0D81" w:rsidRPr="00460517">
        <w:rPr>
          <w:rFonts w:asciiTheme="majorBidi" w:hAnsiTheme="majorBidi" w:cstheme="majorBidi"/>
          <w:sz w:val="24"/>
          <w:szCs w:val="24"/>
        </w:rPr>
        <w:t xml:space="preserve">; or attractiveness </w:t>
      </w:r>
      <w:sdt>
        <w:sdtPr>
          <w:rPr>
            <w:rFonts w:asciiTheme="majorBidi" w:hAnsiTheme="majorBidi" w:cstheme="majorBidi"/>
            <w:sz w:val="24"/>
            <w:szCs w:val="24"/>
          </w:rPr>
          <w:id w:val="-2121365432"/>
          <w:citation/>
        </w:sdtPr>
        <w:sdtContent>
          <w:r w:rsidR="00AA0D81" w:rsidRPr="00460517">
            <w:rPr>
              <w:rFonts w:asciiTheme="majorBidi" w:hAnsiTheme="majorBidi" w:cstheme="majorBidi"/>
              <w:sz w:val="24"/>
              <w:szCs w:val="24"/>
            </w:rPr>
            <w:fldChar w:fldCharType="begin"/>
          </w:r>
          <w:r w:rsidR="00AA0D81" w:rsidRPr="00460517">
            <w:rPr>
              <w:rFonts w:asciiTheme="majorBidi" w:hAnsiTheme="majorBidi" w:cstheme="majorBidi"/>
              <w:sz w:val="24"/>
              <w:szCs w:val="24"/>
            </w:rPr>
            <w:instrText xml:space="preserve"> CITATION Jan16 \l 2057 </w:instrText>
          </w:r>
          <w:r w:rsidR="00AA0D81" w:rsidRPr="00460517">
            <w:rPr>
              <w:rFonts w:asciiTheme="majorBidi" w:hAnsiTheme="majorBidi" w:cstheme="majorBidi"/>
              <w:sz w:val="24"/>
              <w:szCs w:val="24"/>
            </w:rPr>
            <w:fldChar w:fldCharType="separate"/>
          </w:r>
          <w:r w:rsidR="00AA0D81" w:rsidRPr="00460517">
            <w:rPr>
              <w:rFonts w:asciiTheme="majorBidi" w:hAnsiTheme="majorBidi" w:cstheme="majorBidi"/>
              <w:noProof/>
              <w:sz w:val="24"/>
              <w:szCs w:val="24"/>
            </w:rPr>
            <w:t>(Janssen, Fransen, Wulff, &amp; Reijmersdal, 2016)</w:t>
          </w:r>
          <w:r w:rsidR="00AA0D81" w:rsidRPr="00460517">
            <w:rPr>
              <w:rFonts w:asciiTheme="majorBidi" w:hAnsiTheme="majorBidi" w:cstheme="majorBidi"/>
              <w:sz w:val="24"/>
              <w:szCs w:val="24"/>
            </w:rPr>
            <w:fldChar w:fldCharType="end"/>
          </w:r>
        </w:sdtContent>
      </w:sdt>
      <w:r w:rsidR="00AA0D81" w:rsidRPr="00460517">
        <w:rPr>
          <w:rFonts w:asciiTheme="majorBidi" w:hAnsiTheme="majorBidi" w:cstheme="majorBidi"/>
          <w:sz w:val="24"/>
          <w:szCs w:val="24"/>
        </w:rPr>
        <w:t xml:space="preserve">. </w:t>
      </w:r>
      <w:r w:rsidR="00CE6678" w:rsidRPr="00460517">
        <w:rPr>
          <w:rFonts w:asciiTheme="majorBidi" w:hAnsiTheme="majorBidi" w:cstheme="majorBidi"/>
          <w:sz w:val="24"/>
          <w:szCs w:val="24"/>
        </w:rPr>
        <w:t>Evidently</w:t>
      </w:r>
      <w:r w:rsidR="00AA0D81" w:rsidRPr="00460517">
        <w:rPr>
          <w:rFonts w:asciiTheme="majorBidi" w:hAnsiTheme="majorBidi" w:cstheme="majorBidi"/>
          <w:sz w:val="24"/>
          <w:szCs w:val="24"/>
        </w:rPr>
        <w:t xml:space="preserve">, </w:t>
      </w:r>
      <w:r w:rsidR="00CE6678" w:rsidRPr="00460517">
        <w:rPr>
          <w:rFonts w:asciiTheme="majorBidi" w:hAnsiTheme="majorBidi" w:cstheme="majorBidi"/>
          <w:sz w:val="24"/>
          <w:szCs w:val="24"/>
        </w:rPr>
        <w:t>many</w:t>
      </w:r>
      <w:r w:rsidR="00AA0D81" w:rsidRPr="00460517">
        <w:rPr>
          <w:rFonts w:asciiTheme="majorBidi" w:hAnsiTheme="majorBidi" w:cstheme="majorBidi"/>
          <w:sz w:val="24"/>
          <w:szCs w:val="24"/>
        </w:rPr>
        <w:t xml:space="preserve"> researchers employ singular construct</w:t>
      </w:r>
      <w:r w:rsidR="00CE6678" w:rsidRPr="00460517">
        <w:rPr>
          <w:rFonts w:asciiTheme="majorBidi" w:hAnsiTheme="majorBidi" w:cstheme="majorBidi"/>
          <w:sz w:val="24"/>
          <w:szCs w:val="24"/>
        </w:rPr>
        <w:t xml:space="preserve"> to measure brand attitude because it can be limiting.</w:t>
      </w:r>
      <w:r w:rsidR="00CE6678">
        <w:rPr>
          <w:rFonts w:asciiTheme="majorBidi" w:hAnsiTheme="majorBidi" w:cstheme="majorBidi"/>
          <w:sz w:val="24"/>
          <w:szCs w:val="24"/>
        </w:rPr>
        <w:t xml:space="preserve"> On the other hand, there </w:t>
      </w:r>
      <w:r w:rsidR="004F04A7">
        <w:rPr>
          <w:rFonts w:asciiTheme="majorBidi" w:hAnsiTheme="majorBidi" w:cstheme="majorBidi"/>
          <w:sz w:val="24"/>
          <w:szCs w:val="24"/>
        </w:rPr>
        <w:t xml:space="preserve">are </w:t>
      </w:r>
      <w:r w:rsidR="00CE6678">
        <w:rPr>
          <w:rFonts w:asciiTheme="majorBidi" w:hAnsiTheme="majorBidi" w:cstheme="majorBidi"/>
          <w:sz w:val="24"/>
          <w:szCs w:val="24"/>
        </w:rPr>
        <w:t xml:space="preserve">other researchers who investigate different brand attitudes. </w:t>
      </w:r>
      <w:r w:rsidR="008D3E63">
        <w:rPr>
          <w:rFonts w:asciiTheme="majorBidi" w:hAnsiTheme="majorBidi" w:cstheme="majorBidi"/>
          <w:sz w:val="24"/>
          <w:szCs w:val="24"/>
        </w:rPr>
        <w:t>One of the commonly examined brand attitude</w:t>
      </w:r>
      <w:r w:rsidR="004F04A7">
        <w:rPr>
          <w:rFonts w:asciiTheme="majorBidi" w:hAnsiTheme="majorBidi" w:cstheme="majorBidi"/>
          <w:sz w:val="24"/>
          <w:szCs w:val="24"/>
        </w:rPr>
        <w:t>s</w:t>
      </w:r>
      <w:r w:rsidR="008D3E63">
        <w:rPr>
          <w:rFonts w:asciiTheme="majorBidi" w:hAnsiTheme="majorBidi" w:cstheme="majorBidi"/>
          <w:sz w:val="24"/>
          <w:szCs w:val="24"/>
        </w:rPr>
        <w:t xml:space="preserve"> in </w:t>
      </w:r>
      <w:r w:rsidR="004F04A7">
        <w:rPr>
          <w:rFonts w:asciiTheme="majorBidi" w:hAnsiTheme="majorBidi" w:cstheme="majorBidi"/>
          <w:sz w:val="24"/>
          <w:szCs w:val="24"/>
        </w:rPr>
        <w:t xml:space="preserve">the </w:t>
      </w:r>
      <w:r w:rsidR="008D3E63">
        <w:rPr>
          <w:rFonts w:asciiTheme="majorBidi" w:hAnsiTheme="majorBidi" w:cstheme="majorBidi"/>
          <w:sz w:val="24"/>
          <w:szCs w:val="24"/>
        </w:rPr>
        <w:t>literature is brand loyalty</w:t>
      </w:r>
      <w:sdt>
        <w:sdtPr>
          <w:rPr>
            <w:rFonts w:asciiTheme="majorBidi" w:hAnsiTheme="majorBidi" w:cstheme="majorBidi"/>
            <w:sz w:val="24"/>
            <w:szCs w:val="24"/>
          </w:rPr>
          <w:id w:val="320466172"/>
          <w:citation/>
        </w:sdtPr>
        <w:sdtContent>
          <w:r w:rsidR="00990C70">
            <w:rPr>
              <w:rFonts w:asciiTheme="majorBidi" w:hAnsiTheme="majorBidi" w:cstheme="majorBidi"/>
              <w:sz w:val="24"/>
              <w:szCs w:val="24"/>
            </w:rPr>
            <w:fldChar w:fldCharType="begin"/>
          </w:r>
          <w:r w:rsidR="004B19D4">
            <w:rPr>
              <w:rFonts w:asciiTheme="majorBidi" w:hAnsiTheme="majorBidi" w:cstheme="majorBidi"/>
              <w:sz w:val="24"/>
              <w:szCs w:val="24"/>
            </w:rPr>
            <w:instrText xml:space="preserve">CITATION Hwa21 \m For19 \t  \l 2057 </w:instrText>
          </w:r>
          <w:r w:rsidR="00990C70">
            <w:rPr>
              <w:rFonts w:asciiTheme="majorBidi" w:hAnsiTheme="majorBidi" w:cstheme="majorBidi"/>
              <w:sz w:val="24"/>
              <w:szCs w:val="24"/>
            </w:rPr>
            <w:fldChar w:fldCharType="separate"/>
          </w:r>
          <w:r w:rsidR="004B19D4">
            <w:rPr>
              <w:rFonts w:asciiTheme="majorBidi" w:hAnsiTheme="majorBidi" w:cstheme="majorBidi"/>
              <w:noProof/>
              <w:sz w:val="24"/>
              <w:szCs w:val="24"/>
            </w:rPr>
            <w:t xml:space="preserve"> </w:t>
          </w:r>
          <w:r w:rsidR="004B19D4" w:rsidRPr="004B19D4">
            <w:rPr>
              <w:rFonts w:asciiTheme="majorBidi" w:hAnsiTheme="majorBidi" w:cstheme="majorBidi"/>
              <w:noProof/>
              <w:sz w:val="24"/>
              <w:szCs w:val="24"/>
            </w:rPr>
            <w:t>(Hwang, Choe, Kim, &amp; Kim, 2021; Foroudi, 2019)</w:t>
          </w:r>
          <w:r w:rsidR="00990C70">
            <w:rPr>
              <w:rFonts w:asciiTheme="majorBidi" w:hAnsiTheme="majorBidi" w:cstheme="majorBidi"/>
              <w:sz w:val="24"/>
              <w:szCs w:val="24"/>
            </w:rPr>
            <w:fldChar w:fldCharType="end"/>
          </w:r>
        </w:sdtContent>
      </w:sdt>
      <w:r w:rsidR="008D3E63">
        <w:rPr>
          <w:rFonts w:asciiTheme="majorBidi" w:hAnsiTheme="majorBidi" w:cstheme="majorBidi"/>
          <w:sz w:val="24"/>
          <w:szCs w:val="24"/>
        </w:rPr>
        <w:t>.</w:t>
      </w:r>
      <w:r w:rsidR="00990C70">
        <w:rPr>
          <w:rFonts w:asciiTheme="majorBidi" w:hAnsiTheme="majorBidi" w:cstheme="majorBidi"/>
          <w:sz w:val="24"/>
          <w:szCs w:val="24"/>
        </w:rPr>
        <w:t xml:space="preserve"> Yet</w:t>
      </w:r>
      <w:r w:rsidR="00990C70" w:rsidRPr="00460517">
        <w:rPr>
          <w:rFonts w:asciiTheme="majorBidi" w:hAnsiTheme="majorBidi" w:cstheme="majorBidi"/>
          <w:sz w:val="24"/>
          <w:szCs w:val="24"/>
        </w:rPr>
        <w:t>, brand loyalty focuses on examining repetitive and future repurchase of the brand which is not the focus of th</w:t>
      </w:r>
      <w:r w:rsidR="004B19D4" w:rsidRPr="00460517">
        <w:rPr>
          <w:rFonts w:asciiTheme="majorBidi" w:hAnsiTheme="majorBidi" w:cstheme="majorBidi"/>
          <w:sz w:val="24"/>
          <w:szCs w:val="24"/>
        </w:rPr>
        <w:t>is</w:t>
      </w:r>
      <w:r w:rsidR="00990C70" w:rsidRPr="00460517">
        <w:rPr>
          <w:rFonts w:asciiTheme="majorBidi" w:hAnsiTheme="majorBidi" w:cstheme="majorBidi"/>
          <w:sz w:val="24"/>
          <w:szCs w:val="24"/>
        </w:rPr>
        <w:t xml:space="preserve"> study</w:t>
      </w:r>
      <w:sdt>
        <w:sdtPr>
          <w:rPr>
            <w:rFonts w:asciiTheme="majorBidi" w:hAnsiTheme="majorBidi" w:cstheme="majorBidi"/>
            <w:sz w:val="24"/>
            <w:szCs w:val="24"/>
          </w:rPr>
          <w:id w:val="-1935279919"/>
          <w:citation/>
        </w:sdtPr>
        <w:sdtContent>
          <w:r w:rsidR="004B19D4" w:rsidRPr="00460517">
            <w:rPr>
              <w:rFonts w:asciiTheme="majorBidi" w:hAnsiTheme="majorBidi" w:cstheme="majorBidi"/>
              <w:sz w:val="24"/>
              <w:szCs w:val="24"/>
            </w:rPr>
            <w:fldChar w:fldCharType="begin"/>
          </w:r>
          <w:r w:rsidR="004B19D4" w:rsidRPr="00460517">
            <w:rPr>
              <w:rFonts w:asciiTheme="majorBidi" w:hAnsiTheme="majorBidi" w:cstheme="majorBidi"/>
              <w:sz w:val="24"/>
              <w:szCs w:val="24"/>
            </w:rPr>
            <w:instrText xml:space="preserve"> CITATION Hwa21 \l 2057  \m Riz20</w:instrText>
          </w:r>
          <w:r w:rsidR="004B19D4" w:rsidRPr="00460517">
            <w:rPr>
              <w:rFonts w:asciiTheme="majorBidi" w:hAnsiTheme="majorBidi" w:cstheme="majorBidi"/>
              <w:sz w:val="24"/>
              <w:szCs w:val="24"/>
            </w:rPr>
            <w:fldChar w:fldCharType="separate"/>
          </w:r>
          <w:r w:rsidR="004B19D4" w:rsidRPr="00460517">
            <w:rPr>
              <w:rFonts w:asciiTheme="majorBidi" w:hAnsiTheme="majorBidi" w:cstheme="majorBidi"/>
              <w:noProof/>
              <w:sz w:val="24"/>
              <w:szCs w:val="24"/>
            </w:rPr>
            <w:t xml:space="preserve"> (Hwang, Choe, Kim, &amp; Kim, 2021; Rizvi, Memon, &amp; Dahri, 2020)</w:t>
          </w:r>
          <w:r w:rsidR="004B19D4" w:rsidRPr="00460517">
            <w:rPr>
              <w:rFonts w:asciiTheme="majorBidi" w:hAnsiTheme="majorBidi" w:cstheme="majorBidi"/>
              <w:sz w:val="24"/>
              <w:szCs w:val="24"/>
            </w:rPr>
            <w:fldChar w:fldCharType="end"/>
          </w:r>
        </w:sdtContent>
      </w:sdt>
      <w:r w:rsidR="004B19D4" w:rsidRPr="00460517">
        <w:rPr>
          <w:rFonts w:asciiTheme="majorBidi" w:hAnsiTheme="majorBidi" w:cstheme="majorBidi"/>
          <w:sz w:val="24"/>
          <w:szCs w:val="24"/>
        </w:rPr>
        <w:t xml:space="preserve">. </w:t>
      </w:r>
      <w:r w:rsidR="005E3607" w:rsidRPr="00460517">
        <w:rPr>
          <w:rFonts w:asciiTheme="majorBidi" w:hAnsiTheme="majorBidi" w:cstheme="majorBidi"/>
          <w:sz w:val="24"/>
          <w:szCs w:val="24"/>
        </w:rPr>
        <w:t>Other studies</w:t>
      </w:r>
      <w:r w:rsidR="004A25E7" w:rsidRPr="00460517">
        <w:rPr>
          <w:rFonts w:asciiTheme="majorBidi" w:hAnsiTheme="majorBidi" w:cstheme="majorBidi"/>
          <w:sz w:val="24"/>
          <w:szCs w:val="24"/>
        </w:rPr>
        <w:t xml:space="preserve"> measure different brand attitudes</w:t>
      </w:r>
      <w:r w:rsidR="00B90713" w:rsidRPr="00460517">
        <w:rPr>
          <w:rFonts w:asciiTheme="majorBidi" w:hAnsiTheme="majorBidi" w:cstheme="majorBidi"/>
          <w:sz w:val="24"/>
          <w:szCs w:val="24"/>
        </w:rPr>
        <w:t xml:space="preserve"> such as brand satisfaction</w:t>
      </w:r>
      <w:r w:rsidR="00405FC9" w:rsidRPr="00460517">
        <w:rPr>
          <w:rFonts w:asciiTheme="majorBidi" w:hAnsiTheme="majorBidi" w:cstheme="majorBidi"/>
          <w:sz w:val="24"/>
          <w:szCs w:val="24"/>
        </w:rPr>
        <w:t xml:space="preserve"> </w:t>
      </w:r>
      <w:sdt>
        <w:sdtPr>
          <w:rPr>
            <w:rFonts w:asciiTheme="majorBidi" w:hAnsiTheme="majorBidi" w:cstheme="majorBidi"/>
            <w:sz w:val="24"/>
            <w:szCs w:val="24"/>
          </w:rPr>
          <w:id w:val="-302774176"/>
          <w:citation/>
        </w:sdtPr>
        <w:sdtContent>
          <w:r w:rsidR="00405FC9" w:rsidRPr="00460517">
            <w:rPr>
              <w:rFonts w:asciiTheme="majorBidi" w:hAnsiTheme="majorBidi" w:cstheme="majorBidi"/>
              <w:sz w:val="24"/>
              <w:szCs w:val="24"/>
            </w:rPr>
            <w:fldChar w:fldCharType="begin"/>
          </w:r>
          <w:r w:rsidR="00405FC9" w:rsidRPr="00460517">
            <w:rPr>
              <w:rFonts w:asciiTheme="majorBidi" w:hAnsiTheme="majorBidi" w:cstheme="majorBidi"/>
              <w:sz w:val="24"/>
              <w:szCs w:val="24"/>
            </w:rPr>
            <w:instrText xml:space="preserve"> CITATION Boz18 \l 2057  \m Lee18</w:instrText>
          </w:r>
          <w:r w:rsidR="00405FC9" w:rsidRPr="00460517">
            <w:rPr>
              <w:rFonts w:asciiTheme="majorBidi" w:hAnsiTheme="majorBidi" w:cstheme="majorBidi"/>
              <w:sz w:val="24"/>
              <w:szCs w:val="24"/>
            </w:rPr>
            <w:fldChar w:fldCharType="separate"/>
          </w:r>
          <w:r w:rsidR="00405FC9" w:rsidRPr="00460517">
            <w:rPr>
              <w:rFonts w:asciiTheme="majorBidi" w:hAnsiTheme="majorBidi" w:cstheme="majorBidi"/>
              <w:noProof/>
              <w:sz w:val="24"/>
              <w:szCs w:val="24"/>
            </w:rPr>
            <w:t>(Bozbay, Karami, &amp; Arghashi, 2018; Lee, Moon, &amp; Song, 2018)</w:t>
          </w:r>
          <w:r w:rsidR="00405FC9" w:rsidRPr="00460517">
            <w:rPr>
              <w:rFonts w:asciiTheme="majorBidi" w:hAnsiTheme="majorBidi" w:cstheme="majorBidi"/>
              <w:sz w:val="24"/>
              <w:szCs w:val="24"/>
            </w:rPr>
            <w:fldChar w:fldCharType="end"/>
          </w:r>
        </w:sdtContent>
      </w:sdt>
      <w:r w:rsidR="00405FC9" w:rsidRPr="00460517">
        <w:rPr>
          <w:rFonts w:asciiTheme="majorBidi" w:hAnsiTheme="majorBidi" w:cstheme="majorBidi"/>
          <w:sz w:val="24"/>
          <w:szCs w:val="24"/>
        </w:rPr>
        <w:t xml:space="preserve">. Yet, it appeared </w:t>
      </w:r>
      <w:r w:rsidR="009E4246" w:rsidRPr="00460517">
        <w:rPr>
          <w:rFonts w:asciiTheme="majorBidi" w:hAnsiTheme="majorBidi" w:cstheme="majorBidi"/>
          <w:sz w:val="24"/>
          <w:szCs w:val="24"/>
        </w:rPr>
        <w:t>in literature that satisfaction is an indicative measure of consumption and evaluations following consumption of the product or service offered by the brand</w:t>
      </w:r>
      <w:r w:rsidR="009E4246">
        <w:rPr>
          <w:rFonts w:asciiTheme="majorBidi" w:hAnsiTheme="majorBidi" w:cstheme="majorBidi"/>
          <w:sz w:val="24"/>
          <w:szCs w:val="24"/>
        </w:rPr>
        <w:t xml:space="preserve"> </w:t>
      </w:r>
      <w:sdt>
        <w:sdtPr>
          <w:rPr>
            <w:rFonts w:asciiTheme="majorBidi" w:hAnsiTheme="majorBidi" w:cstheme="majorBidi"/>
            <w:sz w:val="24"/>
            <w:szCs w:val="24"/>
          </w:rPr>
          <w:id w:val="-809936453"/>
          <w:citation/>
        </w:sdtPr>
        <w:sdtContent>
          <w:r w:rsidR="009E4246">
            <w:rPr>
              <w:rFonts w:asciiTheme="majorBidi" w:hAnsiTheme="majorBidi" w:cstheme="majorBidi"/>
              <w:sz w:val="24"/>
              <w:szCs w:val="24"/>
            </w:rPr>
            <w:fldChar w:fldCharType="begin"/>
          </w:r>
          <w:r w:rsidR="009E4246">
            <w:rPr>
              <w:rFonts w:asciiTheme="majorBidi" w:hAnsiTheme="majorBidi" w:cstheme="majorBidi"/>
              <w:sz w:val="24"/>
              <w:szCs w:val="24"/>
            </w:rPr>
            <w:instrText xml:space="preserve">CITATION Han181 \m Hwa17 \t  \l 2057 </w:instrText>
          </w:r>
          <w:r w:rsidR="009E4246">
            <w:rPr>
              <w:rFonts w:asciiTheme="majorBidi" w:hAnsiTheme="majorBidi" w:cstheme="majorBidi"/>
              <w:sz w:val="24"/>
              <w:szCs w:val="24"/>
            </w:rPr>
            <w:fldChar w:fldCharType="separate"/>
          </w:r>
          <w:r w:rsidR="009E4246" w:rsidRPr="007462E9">
            <w:rPr>
              <w:rFonts w:asciiTheme="majorBidi" w:hAnsiTheme="majorBidi" w:cstheme="majorBidi"/>
              <w:noProof/>
              <w:sz w:val="24"/>
              <w:szCs w:val="24"/>
            </w:rPr>
            <w:t>(Han, et al., 2018; Hwang &amp; Hyun, 2017)</w:t>
          </w:r>
          <w:r w:rsidR="009E4246">
            <w:rPr>
              <w:rFonts w:asciiTheme="majorBidi" w:hAnsiTheme="majorBidi" w:cstheme="majorBidi"/>
              <w:sz w:val="24"/>
              <w:szCs w:val="24"/>
            </w:rPr>
            <w:fldChar w:fldCharType="end"/>
          </w:r>
        </w:sdtContent>
      </w:sdt>
      <w:r w:rsidR="009E4246">
        <w:rPr>
          <w:rFonts w:asciiTheme="majorBidi" w:hAnsiTheme="majorBidi" w:cstheme="majorBidi"/>
          <w:sz w:val="24"/>
          <w:szCs w:val="24"/>
        </w:rPr>
        <w:t xml:space="preserve">. Thus, this attitude would not be appropriate to examine in this study as the objective of the study is to examine purchase intention which happens </w:t>
      </w:r>
      <w:r w:rsidR="004F04A7">
        <w:rPr>
          <w:rFonts w:asciiTheme="majorBidi" w:hAnsiTheme="majorBidi" w:cstheme="majorBidi"/>
          <w:sz w:val="24"/>
          <w:szCs w:val="24"/>
        </w:rPr>
        <w:t xml:space="preserve">a </w:t>
      </w:r>
      <w:r w:rsidR="009E4246">
        <w:rPr>
          <w:rFonts w:asciiTheme="majorBidi" w:hAnsiTheme="majorBidi" w:cstheme="majorBidi"/>
          <w:sz w:val="24"/>
          <w:szCs w:val="24"/>
        </w:rPr>
        <w:t xml:space="preserve">few stages prior to consumption. </w:t>
      </w:r>
      <w:r w:rsidR="00230C9C" w:rsidRPr="00230C9C">
        <w:rPr>
          <w:rFonts w:asciiTheme="majorBidi" w:hAnsiTheme="majorBidi" w:cstheme="majorBidi"/>
          <w:sz w:val="24"/>
          <w:szCs w:val="24"/>
        </w:rPr>
        <w:t>Additionally, other researcher</w:t>
      </w:r>
      <w:r w:rsidR="005E3607" w:rsidRPr="00230C9C">
        <w:rPr>
          <w:rFonts w:asciiTheme="majorBidi" w:hAnsiTheme="majorBidi" w:cstheme="majorBidi"/>
          <w:sz w:val="24"/>
          <w:szCs w:val="24"/>
        </w:rPr>
        <w:t xml:space="preserve"> </w:t>
      </w:r>
      <w:r w:rsidR="004F04A7">
        <w:rPr>
          <w:rFonts w:asciiTheme="majorBidi" w:hAnsiTheme="majorBidi" w:cstheme="majorBidi"/>
          <w:sz w:val="24"/>
          <w:szCs w:val="24"/>
        </w:rPr>
        <w:t xml:space="preserve">have </w:t>
      </w:r>
      <w:r w:rsidR="005E3607" w:rsidRPr="00230C9C">
        <w:rPr>
          <w:rFonts w:asciiTheme="majorBidi" w:hAnsiTheme="majorBidi" w:cstheme="majorBidi"/>
          <w:sz w:val="24"/>
          <w:szCs w:val="24"/>
        </w:rPr>
        <w:t xml:space="preserve">employed a similar approach in which separate constructs like emotional brand attachment </w:t>
      </w:r>
      <w:sdt>
        <w:sdtPr>
          <w:rPr>
            <w:rFonts w:asciiTheme="majorBidi" w:hAnsiTheme="majorBidi" w:cstheme="majorBidi"/>
            <w:sz w:val="24"/>
            <w:szCs w:val="24"/>
          </w:rPr>
          <w:id w:val="-2081053670"/>
          <w:citation/>
        </w:sdtPr>
        <w:sdtContent>
          <w:r w:rsidR="005E3607" w:rsidRPr="00230C9C">
            <w:rPr>
              <w:rFonts w:asciiTheme="majorBidi" w:hAnsiTheme="majorBidi" w:cstheme="majorBidi"/>
              <w:sz w:val="24"/>
              <w:szCs w:val="24"/>
            </w:rPr>
            <w:fldChar w:fldCharType="begin"/>
          </w:r>
          <w:r w:rsidR="005E3607" w:rsidRPr="00230C9C">
            <w:rPr>
              <w:rFonts w:asciiTheme="majorBidi" w:hAnsiTheme="majorBidi" w:cstheme="majorBidi"/>
              <w:sz w:val="24"/>
              <w:szCs w:val="24"/>
            </w:rPr>
            <w:instrText xml:space="preserve"> CITATION Cha17 \l 2057 </w:instrText>
          </w:r>
          <w:r w:rsidR="005E3607" w:rsidRPr="00230C9C">
            <w:rPr>
              <w:rFonts w:asciiTheme="majorBidi" w:hAnsiTheme="majorBidi" w:cstheme="majorBidi"/>
              <w:sz w:val="24"/>
              <w:szCs w:val="24"/>
            </w:rPr>
            <w:fldChar w:fldCharType="separate"/>
          </w:r>
          <w:r w:rsidR="005E3607" w:rsidRPr="00230C9C">
            <w:rPr>
              <w:rFonts w:asciiTheme="majorBidi" w:hAnsiTheme="majorBidi" w:cstheme="majorBidi"/>
              <w:noProof/>
              <w:sz w:val="24"/>
              <w:szCs w:val="24"/>
            </w:rPr>
            <w:t>(Chatzopoulou &amp; Tsogas , 2017)</w:t>
          </w:r>
          <w:r w:rsidR="005E3607" w:rsidRPr="00230C9C">
            <w:rPr>
              <w:rFonts w:asciiTheme="majorBidi" w:hAnsiTheme="majorBidi" w:cstheme="majorBidi"/>
              <w:sz w:val="24"/>
              <w:szCs w:val="24"/>
            </w:rPr>
            <w:fldChar w:fldCharType="end"/>
          </w:r>
        </w:sdtContent>
      </w:sdt>
      <w:r w:rsidR="00551209">
        <w:rPr>
          <w:rFonts w:asciiTheme="majorBidi" w:hAnsiTheme="majorBidi" w:cstheme="majorBidi"/>
          <w:sz w:val="24"/>
          <w:szCs w:val="24"/>
        </w:rPr>
        <w:t xml:space="preserve">, </w:t>
      </w:r>
      <w:r w:rsidR="00551209" w:rsidRPr="00551209">
        <w:rPr>
          <w:rFonts w:asciiTheme="majorBidi" w:hAnsiTheme="majorBidi" w:cstheme="majorBidi"/>
          <w:sz w:val="24"/>
          <w:szCs w:val="24"/>
        </w:rPr>
        <w:t xml:space="preserve">brand recognition </w:t>
      </w:r>
      <w:sdt>
        <w:sdtPr>
          <w:rPr>
            <w:rFonts w:asciiTheme="majorBidi" w:hAnsiTheme="majorBidi" w:cstheme="majorBidi"/>
            <w:sz w:val="24"/>
            <w:szCs w:val="24"/>
          </w:rPr>
          <w:id w:val="-1438598211"/>
          <w:citation/>
        </w:sdtPr>
        <w:sdtContent>
          <w:r w:rsidR="00551209" w:rsidRPr="00551209">
            <w:rPr>
              <w:rFonts w:asciiTheme="majorBidi" w:hAnsiTheme="majorBidi" w:cstheme="majorBidi"/>
              <w:sz w:val="24"/>
              <w:szCs w:val="24"/>
            </w:rPr>
            <w:fldChar w:fldCharType="begin"/>
          </w:r>
          <w:r w:rsidR="00551209" w:rsidRPr="00551209">
            <w:rPr>
              <w:rFonts w:asciiTheme="majorBidi" w:hAnsiTheme="majorBidi" w:cstheme="majorBidi"/>
              <w:sz w:val="24"/>
              <w:szCs w:val="24"/>
            </w:rPr>
            <w:instrText xml:space="preserve"> CITATION Sin23 \l 2057 </w:instrText>
          </w:r>
          <w:r w:rsidR="00551209" w:rsidRPr="00551209">
            <w:rPr>
              <w:rFonts w:asciiTheme="majorBidi" w:hAnsiTheme="majorBidi" w:cstheme="majorBidi"/>
              <w:sz w:val="24"/>
              <w:szCs w:val="24"/>
            </w:rPr>
            <w:fldChar w:fldCharType="separate"/>
          </w:r>
          <w:r w:rsidR="00551209" w:rsidRPr="00551209">
            <w:rPr>
              <w:rFonts w:asciiTheme="majorBidi" w:hAnsiTheme="majorBidi" w:cstheme="majorBidi"/>
              <w:noProof/>
              <w:sz w:val="24"/>
              <w:szCs w:val="24"/>
            </w:rPr>
            <w:t>(Singh, Kathuria, Puri, &amp; Kapoor, 2023)</w:t>
          </w:r>
          <w:r w:rsidR="00551209" w:rsidRPr="00551209">
            <w:rPr>
              <w:rFonts w:asciiTheme="majorBidi" w:hAnsiTheme="majorBidi" w:cstheme="majorBidi"/>
              <w:sz w:val="24"/>
              <w:szCs w:val="24"/>
            </w:rPr>
            <w:fldChar w:fldCharType="end"/>
          </w:r>
        </w:sdtContent>
      </w:sdt>
      <w:r w:rsidR="00551209" w:rsidRPr="00551209">
        <w:rPr>
          <w:rFonts w:asciiTheme="majorBidi" w:hAnsiTheme="majorBidi" w:cstheme="majorBidi"/>
          <w:sz w:val="24"/>
          <w:szCs w:val="24"/>
        </w:rPr>
        <w:t>,</w:t>
      </w:r>
      <w:r w:rsidR="005E3607" w:rsidRPr="00551209">
        <w:rPr>
          <w:rFonts w:asciiTheme="majorBidi" w:hAnsiTheme="majorBidi" w:cstheme="majorBidi"/>
          <w:sz w:val="24"/>
          <w:szCs w:val="24"/>
        </w:rPr>
        <w:t xml:space="preserve"> and brand associations </w:t>
      </w:r>
      <w:sdt>
        <w:sdtPr>
          <w:rPr>
            <w:rFonts w:asciiTheme="majorBidi" w:hAnsiTheme="majorBidi" w:cstheme="majorBidi"/>
            <w:sz w:val="24"/>
            <w:szCs w:val="24"/>
          </w:rPr>
          <w:id w:val="1295871147"/>
          <w:citation/>
        </w:sdtPr>
        <w:sdtContent>
          <w:r w:rsidR="005E3607" w:rsidRPr="00551209">
            <w:rPr>
              <w:rFonts w:asciiTheme="majorBidi" w:hAnsiTheme="majorBidi" w:cstheme="majorBidi"/>
              <w:sz w:val="24"/>
              <w:szCs w:val="24"/>
            </w:rPr>
            <w:fldChar w:fldCharType="begin"/>
          </w:r>
          <w:r w:rsidR="005E3607" w:rsidRPr="00551209">
            <w:rPr>
              <w:rFonts w:asciiTheme="majorBidi" w:hAnsiTheme="majorBidi" w:cstheme="majorBidi"/>
              <w:sz w:val="24"/>
              <w:szCs w:val="24"/>
            </w:rPr>
            <w:instrText xml:space="preserve"> CITATION For19 \l 2057 </w:instrText>
          </w:r>
          <w:r w:rsidR="005E3607" w:rsidRPr="00551209">
            <w:rPr>
              <w:rFonts w:asciiTheme="majorBidi" w:hAnsiTheme="majorBidi" w:cstheme="majorBidi"/>
              <w:sz w:val="24"/>
              <w:szCs w:val="24"/>
            </w:rPr>
            <w:fldChar w:fldCharType="separate"/>
          </w:r>
          <w:r w:rsidR="005E3607" w:rsidRPr="00551209">
            <w:rPr>
              <w:rFonts w:asciiTheme="majorBidi" w:hAnsiTheme="majorBidi" w:cstheme="majorBidi"/>
              <w:noProof/>
              <w:sz w:val="24"/>
              <w:szCs w:val="24"/>
            </w:rPr>
            <w:t>(Foroudi, 2019)</w:t>
          </w:r>
          <w:r w:rsidR="005E3607" w:rsidRPr="00551209">
            <w:rPr>
              <w:rFonts w:asciiTheme="majorBidi" w:hAnsiTheme="majorBidi" w:cstheme="majorBidi"/>
              <w:sz w:val="24"/>
              <w:szCs w:val="24"/>
            </w:rPr>
            <w:fldChar w:fldCharType="end"/>
          </w:r>
        </w:sdtContent>
      </w:sdt>
      <w:r w:rsidR="005E3607" w:rsidRPr="00551209">
        <w:rPr>
          <w:rFonts w:asciiTheme="majorBidi" w:hAnsiTheme="majorBidi" w:cstheme="majorBidi"/>
          <w:sz w:val="24"/>
          <w:szCs w:val="24"/>
        </w:rPr>
        <w:t xml:space="preserve"> represented brand attitudes.</w:t>
      </w:r>
      <w:r w:rsidR="005E3607">
        <w:rPr>
          <w:rFonts w:asciiTheme="majorBidi" w:hAnsiTheme="majorBidi" w:cstheme="majorBidi"/>
          <w:sz w:val="24"/>
          <w:szCs w:val="24"/>
        </w:rPr>
        <w:t xml:space="preserve"> </w:t>
      </w:r>
      <w:r w:rsidR="00230C9C">
        <w:rPr>
          <w:rFonts w:asciiTheme="majorBidi" w:hAnsiTheme="majorBidi" w:cstheme="majorBidi"/>
          <w:sz w:val="24"/>
          <w:szCs w:val="24"/>
        </w:rPr>
        <w:t xml:space="preserve">While there is a plethora of brand attitudes, the following few </w:t>
      </w:r>
      <w:r w:rsidR="004F04A7">
        <w:rPr>
          <w:rFonts w:asciiTheme="majorBidi" w:hAnsiTheme="majorBidi" w:cstheme="majorBidi"/>
          <w:sz w:val="24"/>
          <w:szCs w:val="24"/>
        </w:rPr>
        <w:t xml:space="preserve">in </w:t>
      </w:r>
      <w:r w:rsidR="00230C9C">
        <w:rPr>
          <w:rFonts w:asciiTheme="majorBidi" w:hAnsiTheme="majorBidi" w:cstheme="majorBidi"/>
          <w:sz w:val="24"/>
          <w:szCs w:val="24"/>
        </w:rPr>
        <w:t>section</w:t>
      </w:r>
      <w:r w:rsidR="004F04A7">
        <w:rPr>
          <w:rFonts w:asciiTheme="majorBidi" w:hAnsiTheme="majorBidi" w:cstheme="majorBidi"/>
          <w:sz w:val="24"/>
          <w:szCs w:val="24"/>
        </w:rPr>
        <w:t>s</w:t>
      </w:r>
      <w:r w:rsidR="00230C9C">
        <w:rPr>
          <w:rFonts w:asciiTheme="majorBidi" w:hAnsiTheme="majorBidi" w:cstheme="majorBidi"/>
          <w:sz w:val="24"/>
          <w:szCs w:val="24"/>
        </w:rPr>
        <w:t xml:space="preserve"> 3.7.1- 3.7.7 examine the attitudes that were deemed most appropriate to measure in this study. </w:t>
      </w:r>
    </w:p>
    <w:p w14:paraId="78801985" w14:textId="63B48D63" w:rsidR="003A76FD" w:rsidRPr="00A35946" w:rsidRDefault="00460517" w:rsidP="00FF272A">
      <w:pPr>
        <w:spacing w:after="0" w:line="480" w:lineRule="auto"/>
        <w:ind w:firstLine="360"/>
        <w:rPr>
          <w:rFonts w:ascii="Times New Roman" w:hAnsi="Times New Roman" w:cs="Times New Roman"/>
          <w:b/>
          <w:bCs/>
          <w:sz w:val="24"/>
          <w:szCs w:val="24"/>
        </w:rPr>
      </w:pPr>
      <w:r>
        <w:rPr>
          <w:rFonts w:ascii="Times New Roman" w:hAnsi="Times New Roman" w:cs="Times New Roman"/>
          <w:b/>
          <w:bCs/>
          <w:sz w:val="24"/>
          <w:szCs w:val="24"/>
        </w:rPr>
        <w:t>2</w:t>
      </w:r>
      <w:r w:rsidR="00A35946" w:rsidRPr="00A35946">
        <w:rPr>
          <w:rFonts w:ascii="Times New Roman" w:hAnsi="Times New Roman" w:cs="Times New Roman"/>
          <w:b/>
          <w:bCs/>
          <w:sz w:val="24"/>
          <w:szCs w:val="24"/>
        </w:rPr>
        <w:t>.</w:t>
      </w:r>
      <w:r w:rsidR="00DD69CF">
        <w:rPr>
          <w:rFonts w:ascii="Times New Roman" w:hAnsi="Times New Roman" w:cs="Times New Roman"/>
          <w:b/>
          <w:bCs/>
          <w:sz w:val="24"/>
          <w:szCs w:val="24"/>
        </w:rPr>
        <w:t>7</w:t>
      </w:r>
      <w:r w:rsidR="00A35946" w:rsidRPr="00A35946">
        <w:rPr>
          <w:rFonts w:ascii="Times New Roman" w:hAnsi="Times New Roman" w:cs="Times New Roman"/>
          <w:b/>
          <w:bCs/>
          <w:sz w:val="24"/>
          <w:szCs w:val="24"/>
        </w:rPr>
        <w:t xml:space="preserve">.1 </w:t>
      </w:r>
      <w:r w:rsidR="003A76FD" w:rsidRPr="00A35946">
        <w:rPr>
          <w:rFonts w:ascii="Times New Roman" w:hAnsi="Times New Roman" w:cs="Times New Roman"/>
          <w:b/>
          <w:bCs/>
          <w:sz w:val="24"/>
          <w:szCs w:val="24"/>
        </w:rPr>
        <w:t>CSR Perception</w:t>
      </w:r>
    </w:p>
    <w:p w14:paraId="7D8427FF" w14:textId="3845A79C" w:rsidR="00B90231" w:rsidRPr="00E27067" w:rsidRDefault="003013C2" w:rsidP="00E27067">
      <w:pPr>
        <w:spacing w:line="480" w:lineRule="auto"/>
        <w:rPr>
          <w:rFonts w:asciiTheme="majorBidi" w:hAnsiTheme="majorBidi" w:cstheme="majorBidi"/>
          <w:sz w:val="24"/>
          <w:szCs w:val="24"/>
        </w:rPr>
      </w:pPr>
      <w:r w:rsidRPr="00E50A2D">
        <w:rPr>
          <w:rFonts w:asciiTheme="majorBidi" w:hAnsiTheme="majorBidi" w:cstheme="majorBidi"/>
          <w:sz w:val="24"/>
          <w:szCs w:val="24"/>
        </w:rPr>
        <w:t>Consumers’ CSR perception or awareness can be amplified through the companies’ marketing messages and advertising of their social efforts</w:t>
      </w:r>
      <w:sdt>
        <w:sdtPr>
          <w:rPr>
            <w:rFonts w:asciiTheme="majorBidi" w:hAnsiTheme="majorBidi" w:cstheme="majorBidi"/>
            <w:sz w:val="24"/>
            <w:szCs w:val="24"/>
          </w:rPr>
          <w:id w:val="1875580520"/>
          <w:citation/>
        </w:sdtPr>
        <w:sdtContent>
          <w:r w:rsidRPr="00E50A2D">
            <w:rPr>
              <w:rFonts w:asciiTheme="majorBidi" w:hAnsiTheme="majorBidi" w:cstheme="majorBidi"/>
              <w:sz w:val="24"/>
              <w:szCs w:val="24"/>
            </w:rPr>
            <w:fldChar w:fldCharType="begin"/>
          </w:r>
          <w:r w:rsidRPr="00E50A2D">
            <w:rPr>
              <w:rFonts w:asciiTheme="majorBidi" w:hAnsiTheme="majorBidi" w:cstheme="majorBidi"/>
              <w:sz w:val="24"/>
              <w:szCs w:val="24"/>
            </w:rPr>
            <w:instrText xml:space="preserve">CITATION DuS10 \t  \l 2057 </w:instrText>
          </w:r>
          <w:r w:rsidRPr="00E50A2D">
            <w:rPr>
              <w:rFonts w:asciiTheme="majorBidi" w:hAnsiTheme="majorBidi" w:cstheme="majorBidi"/>
              <w:sz w:val="24"/>
              <w:szCs w:val="24"/>
            </w:rPr>
            <w:fldChar w:fldCharType="separate"/>
          </w:r>
          <w:r w:rsidRPr="00E50A2D">
            <w:rPr>
              <w:rFonts w:asciiTheme="majorBidi" w:hAnsiTheme="majorBidi" w:cstheme="majorBidi"/>
              <w:noProof/>
              <w:sz w:val="24"/>
              <w:szCs w:val="24"/>
            </w:rPr>
            <w:t xml:space="preserve"> (Du, Bhattacharya, &amp; Sen, 2010)</w:t>
          </w:r>
          <w:r w:rsidRPr="00E50A2D">
            <w:rPr>
              <w:rFonts w:asciiTheme="majorBidi" w:hAnsiTheme="majorBidi" w:cstheme="majorBidi"/>
              <w:sz w:val="24"/>
              <w:szCs w:val="24"/>
            </w:rPr>
            <w:fldChar w:fldCharType="end"/>
          </w:r>
        </w:sdtContent>
      </w:sdt>
      <w:r w:rsidRPr="00E50A2D">
        <w:rPr>
          <w:rFonts w:asciiTheme="majorBidi" w:hAnsiTheme="majorBidi" w:cstheme="majorBidi"/>
          <w:sz w:val="24"/>
          <w:szCs w:val="24"/>
        </w:rPr>
        <w:t xml:space="preserve">. Some authors </w:t>
      </w:r>
      <w:r w:rsidR="004F04A7">
        <w:rPr>
          <w:rFonts w:asciiTheme="majorBidi" w:hAnsiTheme="majorBidi" w:cstheme="majorBidi"/>
          <w:sz w:val="24"/>
          <w:szCs w:val="24"/>
        </w:rPr>
        <w:t xml:space="preserve">have </w:t>
      </w:r>
      <w:r w:rsidRPr="00E50A2D">
        <w:rPr>
          <w:rFonts w:asciiTheme="majorBidi" w:hAnsiTheme="majorBidi" w:cstheme="majorBidi"/>
          <w:sz w:val="24"/>
          <w:szCs w:val="24"/>
        </w:rPr>
        <w:t xml:space="preserve">found a correlation between </w:t>
      </w:r>
      <w:r w:rsidR="004722DF" w:rsidRPr="00E50A2D">
        <w:rPr>
          <w:rFonts w:asciiTheme="majorBidi" w:hAnsiTheme="majorBidi" w:cstheme="majorBidi"/>
          <w:sz w:val="24"/>
          <w:szCs w:val="24"/>
        </w:rPr>
        <w:t>company’s sustainability initiatives and consumers’ perception of the company’s innovativeness because both types of initiatives entail similar corporate values, resources and capabilities</w:t>
      </w:r>
      <w:sdt>
        <w:sdtPr>
          <w:rPr>
            <w:rFonts w:asciiTheme="majorBidi" w:hAnsiTheme="majorBidi" w:cstheme="majorBidi"/>
            <w:sz w:val="24"/>
            <w:szCs w:val="24"/>
          </w:rPr>
          <w:id w:val="-1215031440"/>
          <w:citation/>
        </w:sdtPr>
        <w:sdtContent>
          <w:r w:rsidR="004722DF" w:rsidRPr="00E50A2D">
            <w:rPr>
              <w:rFonts w:asciiTheme="majorBidi" w:hAnsiTheme="majorBidi" w:cstheme="majorBidi"/>
              <w:sz w:val="24"/>
              <w:szCs w:val="24"/>
            </w:rPr>
            <w:fldChar w:fldCharType="begin"/>
          </w:r>
          <w:r w:rsidR="004722DF" w:rsidRPr="00E50A2D">
            <w:rPr>
              <w:rFonts w:asciiTheme="majorBidi" w:hAnsiTheme="majorBidi" w:cstheme="majorBidi"/>
              <w:sz w:val="24"/>
              <w:szCs w:val="24"/>
            </w:rPr>
            <w:instrText xml:space="preserve"> CITATION Ped18 \l 2057 </w:instrText>
          </w:r>
          <w:r w:rsidR="004722DF" w:rsidRPr="00E50A2D">
            <w:rPr>
              <w:rFonts w:asciiTheme="majorBidi" w:hAnsiTheme="majorBidi" w:cstheme="majorBidi"/>
              <w:sz w:val="24"/>
              <w:szCs w:val="24"/>
            </w:rPr>
            <w:fldChar w:fldCharType="separate"/>
          </w:r>
          <w:r w:rsidR="004722DF" w:rsidRPr="00E50A2D">
            <w:rPr>
              <w:rFonts w:asciiTheme="majorBidi" w:hAnsiTheme="majorBidi" w:cstheme="majorBidi"/>
              <w:noProof/>
              <w:sz w:val="24"/>
              <w:szCs w:val="24"/>
            </w:rPr>
            <w:t xml:space="preserve"> (Pedersen, Gwozdz, &amp; Hvass, 2018)</w:t>
          </w:r>
          <w:r w:rsidR="004722DF" w:rsidRPr="00E50A2D">
            <w:rPr>
              <w:rFonts w:asciiTheme="majorBidi" w:hAnsiTheme="majorBidi" w:cstheme="majorBidi"/>
              <w:sz w:val="24"/>
              <w:szCs w:val="24"/>
            </w:rPr>
            <w:fldChar w:fldCharType="end"/>
          </w:r>
        </w:sdtContent>
      </w:sdt>
      <w:r w:rsidR="004722DF" w:rsidRPr="00E50A2D">
        <w:rPr>
          <w:rFonts w:asciiTheme="majorBidi" w:hAnsiTheme="majorBidi" w:cstheme="majorBidi"/>
          <w:sz w:val="24"/>
          <w:szCs w:val="24"/>
        </w:rPr>
        <w:t xml:space="preserve">. There are other types of </w:t>
      </w:r>
      <w:r w:rsidR="002903C6" w:rsidRPr="00E50A2D">
        <w:rPr>
          <w:rFonts w:asciiTheme="majorBidi" w:hAnsiTheme="majorBidi" w:cstheme="majorBidi"/>
          <w:sz w:val="24"/>
          <w:szCs w:val="24"/>
        </w:rPr>
        <w:t xml:space="preserve">associations that consumers make based on their CSR perception. </w:t>
      </w:r>
      <w:r w:rsidR="00E50A2D" w:rsidRPr="00E50A2D">
        <w:rPr>
          <w:rFonts w:asciiTheme="majorBidi" w:hAnsiTheme="majorBidi" w:cstheme="majorBidi"/>
          <w:sz w:val="24"/>
          <w:szCs w:val="24"/>
        </w:rPr>
        <w:t>Similarly,</w:t>
      </w:r>
      <w:r w:rsidR="002903C6" w:rsidRPr="00E50A2D">
        <w:rPr>
          <w:rFonts w:asciiTheme="majorBidi" w:hAnsiTheme="majorBidi" w:cstheme="majorBidi"/>
          <w:sz w:val="24"/>
          <w:szCs w:val="24"/>
        </w:rPr>
        <w:t xml:space="preserve"> </w:t>
      </w:r>
      <w:r w:rsidR="00E50A2D" w:rsidRPr="00E50A2D">
        <w:rPr>
          <w:rFonts w:asciiTheme="majorBidi" w:hAnsiTheme="majorBidi" w:cstheme="majorBidi"/>
          <w:sz w:val="24"/>
          <w:szCs w:val="24"/>
        </w:rPr>
        <w:t xml:space="preserve">other authors </w:t>
      </w:r>
      <w:r w:rsidR="002903C6" w:rsidRPr="00E50A2D">
        <w:rPr>
          <w:rFonts w:asciiTheme="majorBidi" w:hAnsiTheme="majorBidi" w:cstheme="majorBidi"/>
          <w:sz w:val="24"/>
          <w:szCs w:val="24"/>
        </w:rPr>
        <w:t>postulate that CSR perception can aid in forming consumer attitudes of the company’s innovativeness and manufacturing capability</w:t>
      </w:r>
      <w:sdt>
        <w:sdtPr>
          <w:rPr>
            <w:rFonts w:asciiTheme="majorBidi" w:hAnsiTheme="majorBidi" w:cstheme="majorBidi"/>
            <w:sz w:val="24"/>
            <w:szCs w:val="24"/>
          </w:rPr>
          <w:id w:val="-640417611"/>
          <w:citation/>
        </w:sdtPr>
        <w:sdtContent>
          <w:r w:rsidR="00E50A2D" w:rsidRPr="00E50A2D">
            <w:rPr>
              <w:rFonts w:asciiTheme="majorBidi" w:hAnsiTheme="majorBidi" w:cstheme="majorBidi"/>
              <w:sz w:val="24"/>
              <w:szCs w:val="24"/>
            </w:rPr>
            <w:fldChar w:fldCharType="begin"/>
          </w:r>
          <w:r w:rsidR="00E50A2D" w:rsidRPr="00E50A2D">
            <w:rPr>
              <w:rFonts w:asciiTheme="majorBidi" w:hAnsiTheme="majorBidi" w:cstheme="majorBidi"/>
              <w:sz w:val="24"/>
              <w:szCs w:val="24"/>
            </w:rPr>
            <w:instrText>CITATION Cre18 \t  \l 2057  \m Lee211</w:instrText>
          </w:r>
          <w:r w:rsidR="00E50A2D" w:rsidRPr="00E50A2D">
            <w:rPr>
              <w:rFonts w:asciiTheme="majorBidi" w:hAnsiTheme="majorBidi" w:cstheme="majorBidi"/>
              <w:sz w:val="24"/>
              <w:szCs w:val="24"/>
            </w:rPr>
            <w:fldChar w:fldCharType="separate"/>
          </w:r>
          <w:r w:rsidR="00E50A2D" w:rsidRPr="00E50A2D">
            <w:rPr>
              <w:rFonts w:asciiTheme="majorBidi" w:hAnsiTheme="majorBidi" w:cstheme="majorBidi"/>
              <w:noProof/>
              <w:sz w:val="24"/>
              <w:szCs w:val="24"/>
            </w:rPr>
            <w:t xml:space="preserve"> (Crespo &amp; Inacio, 2018; Lee &amp; Lin, 2021)</w:t>
          </w:r>
          <w:r w:rsidR="00E50A2D" w:rsidRPr="00E50A2D">
            <w:rPr>
              <w:rFonts w:asciiTheme="majorBidi" w:hAnsiTheme="majorBidi" w:cstheme="majorBidi"/>
              <w:sz w:val="24"/>
              <w:szCs w:val="24"/>
            </w:rPr>
            <w:fldChar w:fldCharType="end"/>
          </w:r>
        </w:sdtContent>
      </w:sdt>
      <w:r w:rsidR="002903C6" w:rsidRPr="00E50A2D">
        <w:rPr>
          <w:rFonts w:asciiTheme="majorBidi" w:hAnsiTheme="majorBidi" w:cstheme="majorBidi"/>
          <w:sz w:val="24"/>
          <w:szCs w:val="24"/>
        </w:rPr>
        <w:t xml:space="preserve">. </w:t>
      </w:r>
      <w:r w:rsidR="00C0472D">
        <w:rPr>
          <w:rFonts w:asciiTheme="majorBidi" w:hAnsiTheme="majorBidi" w:cstheme="majorBidi"/>
          <w:sz w:val="24"/>
          <w:szCs w:val="24"/>
        </w:rPr>
        <w:t xml:space="preserve">In fact Lee and Lin </w:t>
      </w:r>
      <w:sdt>
        <w:sdtPr>
          <w:rPr>
            <w:rFonts w:asciiTheme="majorBidi" w:hAnsiTheme="majorBidi" w:cstheme="majorBidi"/>
            <w:sz w:val="24"/>
            <w:szCs w:val="24"/>
          </w:rPr>
          <w:id w:val="-1722274226"/>
          <w:citation/>
        </w:sdtPr>
        <w:sdtContent>
          <w:r w:rsidR="00C0472D">
            <w:rPr>
              <w:rFonts w:asciiTheme="majorBidi" w:hAnsiTheme="majorBidi" w:cstheme="majorBidi"/>
              <w:sz w:val="24"/>
              <w:szCs w:val="24"/>
            </w:rPr>
            <w:fldChar w:fldCharType="begin"/>
          </w:r>
          <w:r w:rsidR="00C0472D">
            <w:rPr>
              <w:rFonts w:asciiTheme="majorBidi" w:hAnsiTheme="majorBidi" w:cstheme="majorBidi"/>
              <w:sz w:val="24"/>
              <w:szCs w:val="24"/>
            </w:rPr>
            <w:instrText xml:space="preserve">CITATION Lee211 \n  \t  \l 2057 </w:instrText>
          </w:r>
          <w:r w:rsidR="00C0472D">
            <w:rPr>
              <w:rFonts w:asciiTheme="majorBidi" w:hAnsiTheme="majorBidi" w:cstheme="majorBidi"/>
              <w:sz w:val="24"/>
              <w:szCs w:val="24"/>
            </w:rPr>
            <w:fldChar w:fldCharType="separate"/>
          </w:r>
          <w:r w:rsidR="00C0472D" w:rsidRPr="00C0472D">
            <w:rPr>
              <w:rFonts w:asciiTheme="majorBidi" w:hAnsiTheme="majorBidi" w:cstheme="majorBidi"/>
              <w:noProof/>
              <w:sz w:val="24"/>
              <w:szCs w:val="24"/>
            </w:rPr>
            <w:t>(2021)</w:t>
          </w:r>
          <w:r w:rsidR="00C0472D">
            <w:rPr>
              <w:rFonts w:asciiTheme="majorBidi" w:hAnsiTheme="majorBidi" w:cstheme="majorBidi"/>
              <w:sz w:val="24"/>
              <w:szCs w:val="24"/>
            </w:rPr>
            <w:fldChar w:fldCharType="end"/>
          </w:r>
        </w:sdtContent>
      </w:sdt>
      <w:r w:rsidR="00A35946">
        <w:rPr>
          <w:rFonts w:asciiTheme="majorBidi" w:hAnsiTheme="majorBidi" w:cstheme="majorBidi"/>
          <w:sz w:val="24"/>
          <w:szCs w:val="24"/>
        </w:rPr>
        <w:t xml:space="preserve"> found that perception of a company’s CSR is positively associated with their attitudes towards the brand</w:t>
      </w:r>
      <w:r w:rsidR="00FF272A">
        <w:rPr>
          <w:rFonts w:asciiTheme="majorBidi" w:hAnsiTheme="majorBidi" w:cstheme="majorBidi"/>
          <w:sz w:val="24"/>
          <w:szCs w:val="24"/>
        </w:rPr>
        <w:t>. There is a variety of brand attitudes that can happen as a result of CSR perception such as</w:t>
      </w:r>
      <w:r w:rsidR="00CC1092">
        <w:rPr>
          <w:rFonts w:asciiTheme="majorBidi" w:hAnsiTheme="majorBidi" w:cstheme="majorBidi"/>
          <w:sz w:val="24"/>
          <w:szCs w:val="24"/>
        </w:rPr>
        <w:t xml:space="preserve"> emotions towards the brand</w:t>
      </w:r>
      <w:sdt>
        <w:sdtPr>
          <w:rPr>
            <w:rFonts w:asciiTheme="majorBidi" w:hAnsiTheme="majorBidi" w:cstheme="majorBidi"/>
            <w:sz w:val="24"/>
            <w:szCs w:val="24"/>
          </w:rPr>
          <w:id w:val="-484249478"/>
          <w:citation/>
        </w:sdtPr>
        <w:sdtContent>
          <w:r w:rsidR="00CC1092">
            <w:rPr>
              <w:rFonts w:asciiTheme="majorBidi" w:hAnsiTheme="majorBidi" w:cstheme="majorBidi"/>
              <w:sz w:val="24"/>
              <w:szCs w:val="24"/>
            </w:rPr>
            <w:fldChar w:fldCharType="begin"/>
          </w:r>
          <w:r w:rsidR="00CC1092">
            <w:rPr>
              <w:rFonts w:asciiTheme="majorBidi" w:hAnsiTheme="majorBidi" w:cstheme="majorBidi"/>
              <w:sz w:val="24"/>
              <w:szCs w:val="24"/>
            </w:rPr>
            <w:instrText xml:space="preserve"> CITATION Alw15 \l 2057 </w:instrText>
          </w:r>
          <w:r w:rsidR="003B1DF4">
            <w:rPr>
              <w:rFonts w:asciiTheme="majorBidi" w:hAnsiTheme="majorBidi" w:cstheme="majorBidi"/>
              <w:sz w:val="24"/>
              <w:szCs w:val="24"/>
            </w:rPr>
            <w:instrText xml:space="preserve"> \m Bia19</w:instrText>
          </w:r>
          <w:r w:rsidR="00CC1092">
            <w:rPr>
              <w:rFonts w:asciiTheme="majorBidi" w:hAnsiTheme="majorBidi" w:cstheme="majorBidi"/>
              <w:sz w:val="24"/>
              <w:szCs w:val="24"/>
            </w:rPr>
            <w:fldChar w:fldCharType="separate"/>
          </w:r>
          <w:r w:rsidR="003B1DF4">
            <w:rPr>
              <w:rFonts w:asciiTheme="majorBidi" w:hAnsiTheme="majorBidi" w:cstheme="majorBidi"/>
              <w:noProof/>
              <w:sz w:val="24"/>
              <w:szCs w:val="24"/>
            </w:rPr>
            <w:t xml:space="preserve"> </w:t>
          </w:r>
          <w:r w:rsidR="003B1DF4" w:rsidRPr="003B1DF4">
            <w:rPr>
              <w:rFonts w:asciiTheme="majorBidi" w:hAnsiTheme="majorBidi" w:cstheme="majorBidi"/>
              <w:noProof/>
              <w:sz w:val="24"/>
              <w:szCs w:val="24"/>
            </w:rPr>
            <w:t>(Alwin &amp; Tufiş, 2015; Bianchi, Bruno, &amp; Sarabia-Sanchez , 2019)</w:t>
          </w:r>
          <w:r w:rsidR="00CC1092">
            <w:rPr>
              <w:rFonts w:asciiTheme="majorBidi" w:hAnsiTheme="majorBidi" w:cstheme="majorBidi"/>
              <w:sz w:val="24"/>
              <w:szCs w:val="24"/>
            </w:rPr>
            <w:fldChar w:fldCharType="end"/>
          </w:r>
        </w:sdtContent>
      </w:sdt>
      <w:r w:rsidR="00CC1092">
        <w:rPr>
          <w:rFonts w:asciiTheme="majorBidi" w:hAnsiTheme="majorBidi" w:cstheme="majorBidi"/>
          <w:sz w:val="24"/>
          <w:szCs w:val="24"/>
        </w:rPr>
        <w:t xml:space="preserve"> ,</w:t>
      </w:r>
      <w:r w:rsidR="00FF272A">
        <w:rPr>
          <w:rFonts w:asciiTheme="majorBidi" w:hAnsiTheme="majorBidi" w:cstheme="majorBidi"/>
          <w:sz w:val="24"/>
          <w:szCs w:val="24"/>
        </w:rPr>
        <w:t xml:space="preserve"> purchase intention</w:t>
      </w:r>
      <w:r w:rsidR="00CC1092">
        <w:rPr>
          <w:rFonts w:asciiTheme="majorBidi" w:hAnsiTheme="majorBidi" w:cstheme="majorBidi"/>
          <w:sz w:val="24"/>
          <w:szCs w:val="24"/>
        </w:rPr>
        <w:t xml:space="preserve"> </w:t>
      </w:r>
      <w:sdt>
        <w:sdtPr>
          <w:rPr>
            <w:rFonts w:asciiTheme="majorBidi" w:hAnsiTheme="majorBidi" w:cstheme="majorBidi"/>
            <w:sz w:val="24"/>
            <w:szCs w:val="24"/>
          </w:rPr>
          <w:id w:val="-1356571653"/>
          <w:citation/>
        </w:sdtPr>
        <w:sdtContent>
          <w:r w:rsidR="00CC1092">
            <w:rPr>
              <w:rFonts w:asciiTheme="majorBidi" w:hAnsiTheme="majorBidi" w:cstheme="majorBidi"/>
              <w:sz w:val="24"/>
              <w:szCs w:val="24"/>
            </w:rPr>
            <w:fldChar w:fldCharType="begin"/>
          </w:r>
          <w:r w:rsidR="00CC1092">
            <w:rPr>
              <w:rFonts w:asciiTheme="majorBidi" w:hAnsiTheme="majorBidi" w:cstheme="majorBidi"/>
              <w:sz w:val="24"/>
              <w:szCs w:val="24"/>
            </w:rPr>
            <w:instrText xml:space="preserve"> CITATION Lee15 \l 2057 </w:instrText>
          </w:r>
          <w:r w:rsidR="00CC1092">
            <w:rPr>
              <w:rFonts w:asciiTheme="majorBidi" w:hAnsiTheme="majorBidi" w:cstheme="majorBidi"/>
              <w:sz w:val="24"/>
              <w:szCs w:val="24"/>
            </w:rPr>
            <w:fldChar w:fldCharType="separate"/>
          </w:r>
          <w:r w:rsidR="00CC1092" w:rsidRPr="00CC1092">
            <w:rPr>
              <w:rFonts w:asciiTheme="majorBidi" w:hAnsiTheme="majorBidi" w:cstheme="majorBidi"/>
              <w:noProof/>
              <w:sz w:val="24"/>
              <w:szCs w:val="24"/>
            </w:rPr>
            <w:t>(Lee &amp; Lee, 2015)</w:t>
          </w:r>
          <w:r w:rsidR="00CC1092">
            <w:rPr>
              <w:rFonts w:asciiTheme="majorBidi" w:hAnsiTheme="majorBidi" w:cstheme="majorBidi"/>
              <w:sz w:val="24"/>
              <w:szCs w:val="24"/>
            </w:rPr>
            <w:fldChar w:fldCharType="end"/>
          </w:r>
        </w:sdtContent>
      </w:sdt>
      <w:r w:rsidR="003B1DF4">
        <w:rPr>
          <w:rFonts w:asciiTheme="majorBidi" w:hAnsiTheme="majorBidi" w:cstheme="majorBidi"/>
          <w:sz w:val="24"/>
          <w:szCs w:val="24"/>
        </w:rPr>
        <w:t>, and brand likeability</w:t>
      </w:r>
      <w:sdt>
        <w:sdtPr>
          <w:rPr>
            <w:rFonts w:asciiTheme="majorBidi" w:hAnsiTheme="majorBidi" w:cstheme="majorBidi"/>
            <w:sz w:val="24"/>
            <w:szCs w:val="24"/>
          </w:rPr>
          <w:id w:val="-59644404"/>
          <w:citation/>
        </w:sdtPr>
        <w:sdtContent>
          <w:r w:rsidR="003B1DF4">
            <w:rPr>
              <w:rFonts w:asciiTheme="majorBidi" w:hAnsiTheme="majorBidi" w:cstheme="majorBidi"/>
              <w:sz w:val="24"/>
              <w:szCs w:val="24"/>
            </w:rPr>
            <w:fldChar w:fldCharType="begin"/>
          </w:r>
          <w:r w:rsidR="003B1DF4">
            <w:rPr>
              <w:rFonts w:asciiTheme="majorBidi" w:hAnsiTheme="majorBidi" w:cstheme="majorBidi"/>
              <w:sz w:val="24"/>
              <w:szCs w:val="24"/>
            </w:rPr>
            <w:instrText xml:space="preserve"> CITATION Bia19 \l 2057 </w:instrText>
          </w:r>
          <w:r w:rsidR="003B1DF4">
            <w:rPr>
              <w:rFonts w:asciiTheme="majorBidi" w:hAnsiTheme="majorBidi" w:cstheme="majorBidi"/>
              <w:sz w:val="24"/>
              <w:szCs w:val="24"/>
            </w:rPr>
            <w:fldChar w:fldCharType="separate"/>
          </w:r>
          <w:r w:rsidR="003B1DF4">
            <w:rPr>
              <w:rFonts w:asciiTheme="majorBidi" w:hAnsiTheme="majorBidi" w:cstheme="majorBidi"/>
              <w:noProof/>
              <w:sz w:val="24"/>
              <w:szCs w:val="24"/>
            </w:rPr>
            <w:t xml:space="preserve"> </w:t>
          </w:r>
          <w:r w:rsidR="003B1DF4" w:rsidRPr="003B1DF4">
            <w:rPr>
              <w:rFonts w:asciiTheme="majorBidi" w:hAnsiTheme="majorBidi" w:cstheme="majorBidi"/>
              <w:noProof/>
              <w:sz w:val="24"/>
              <w:szCs w:val="24"/>
            </w:rPr>
            <w:t>(Bianchi, Bruno, &amp; Sarabia-Sanchez , 2019)</w:t>
          </w:r>
          <w:r w:rsidR="003B1DF4">
            <w:rPr>
              <w:rFonts w:asciiTheme="majorBidi" w:hAnsiTheme="majorBidi" w:cstheme="majorBidi"/>
              <w:sz w:val="24"/>
              <w:szCs w:val="24"/>
            </w:rPr>
            <w:fldChar w:fldCharType="end"/>
          </w:r>
        </w:sdtContent>
      </w:sdt>
      <w:r w:rsidR="003B1DF4">
        <w:rPr>
          <w:rFonts w:asciiTheme="majorBidi" w:hAnsiTheme="majorBidi" w:cstheme="majorBidi"/>
          <w:sz w:val="24"/>
          <w:szCs w:val="24"/>
        </w:rPr>
        <w:t>.</w:t>
      </w:r>
      <w:r w:rsidR="005B7C74">
        <w:rPr>
          <w:rFonts w:asciiTheme="majorBidi" w:hAnsiTheme="majorBidi" w:cstheme="majorBidi"/>
          <w:sz w:val="24"/>
          <w:szCs w:val="24"/>
        </w:rPr>
        <w:t xml:space="preserve"> In literature, CSR perception is usually measured with items assessing the brand’s social, environmental, ethical responsibilities or initiatives</w:t>
      </w:r>
      <w:r w:rsidR="009837FE">
        <w:rPr>
          <w:rFonts w:asciiTheme="majorBidi" w:hAnsiTheme="majorBidi" w:cstheme="majorBidi"/>
          <w:sz w:val="24"/>
          <w:szCs w:val="24"/>
        </w:rPr>
        <w:t xml:space="preserve"> </w:t>
      </w:r>
      <w:sdt>
        <w:sdtPr>
          <w:rPr>
            <w:rFonts w:asciiTheme="majorBidi" w:hAnsiTheme="majorBidi" w:cstheme="majorBidi"/>
            <w:sz w:val="24"/>
            <w:szCs w:val="24"/>
          </w:rPr>
          <w:id w:val="1466691673"/>
          <w:citation/>
        </w:sdtPr>
        <w:sdtContent>
          <w:r w:rsidR="009837FE" w:rsidRPr="007334E2">
            <w:rPr>
              <w:rFonts w:asciiTheme="majorBidi" w:hAnsiTheme="majorBidi" w:cstheme="majorBidi"/>
              <w:sz w:val="24"/>
              <w:szCs w:val="24"/>
            </w:rPr>
            <w:fldChar w:fldCharType="begin"/>
          </w:r>
          <w:r w:rsidR="009837FE" w:rsidRPr="007334E2">
            <w:rPr>
              <w:rFonts w:asciiTheme="majorBidi" w:hAnsiTheme="majorBidi" w:cstheme="majorBidi"/>
              <w:sz w:val="24"/>
              <w:szCs w:val="24"/>
            </w:rPr>
            <w:instrText xml:space="preserve"> CITATION Haz18 \l 2057  \m LeeP13</w:instrText>
          </w:r>
          <w:r w:rsidR="009837FE" w:rsidRPr="007334E2">
            <w:rPr>
              <w:rFonts w:asciiTheme="majorBidi" w:hAnsiTheme="majorBidi" w:cstheme="majorBidi"/>
              <w:sz w:val="24"/>
              <w:szCs w:val="24"/>
            </w:rPr>
            <w:fldChar w:fldCharType="separate"/>
          </w:r>
          <w:r w:rsidR="009837FE" w:rsidRPr="007334E2">
            <w:rPr>
              <w:rFonts w:asciiTheme="majorBidi" w:hAnsiTheme="majorBidi" w:cstheme="majorBidi"/>
              <w:noProof/>
              <w:sz w:val="24"/>
              <w:szCs w:val="24"/>
            </w:rPr>
            <w:t>(Hazel &amp; Kang, 2018; Lee, Park, &amp; Lee, 2013)</w:t>
          </w:r>
          <w:r w:rsidR="009837FE" w:rsidRPr="007334E2">
            <w:rPr>
              <w:rFonts w:asciiTheme="majorBidi" w:hAnsiTheme="majorBidi" w:cstheme="majorBidi"/>
              <w:sz w:val="24"/>
              <w:szCs w:val="24"/>
            </w:rPr>
            <w:fldChar w:fldCharType="end"/>
          </w:r>
        </w:sdtContent>
      </w:sdt>
      <w:r w:rsidR="005B7C74">
        <w:rPr>
          <w:rFonts w:asciiTheme="majorBidi" w:hAnsiTheme="majorBidi" w:cstheme="majorBidi"/>
          <w:sz w:val="24"/>
          <w:szCs w:val="24"/>
        </w:rPr>
        <w:t>. Thus, CSR perception, in this research, is considered a cognitive attitude.</w:t>
      </w:r>
      <w:r w:rsidR="00FF272A">
        <w:rPr>
          <w:rFonts w:asciiTheme="majorBidi" w:hAnsiTheme="majorBidi" w:cstheme="majorBidi"/>
          <w:sz w:val="24"/>
          <w:szCs w:val="24"/>
        </w:rPr>
        <w:t xml:space="preserve"> </w:t>
      </w:r>
      <w:r w:rsidR="00A502E5">
        <w:rPr>
          <w:rFonts w:asciiTheme="majorBidi" w:hAnsiTheme="majorBidi" w:cstheme="majorBidi"/>
          <w:sz w:val="24"/>
          <w:szCs w:val="24"/>
        </w:rPr>
        <w:t xml:space="preserve">In this study, CSR perception refers to the personal or subjective perceptions of CSR </w:t>
      </w:r>
      <w:r w:rsidR="00BE15C9">
        <w:rPr>
          <w:rFonts w:asciiTheme="majorBidi" w:hAnsiTheme="majorBidi" w:cstheme="majorBidi"/>
          <w:sz w:val="24"/>
          <w:szCs w:val="24"/>
        </w:rPr>
        <w:t>initiatives done by the brand for society</w:t>
      </w:r>
      <w:r w:rsidR="005B7C74">
        <w:rPr>
          <w:rFonts w:asciiTheme="majorBidi" w:hAnsiTheme="majorBidi" w:cstheme="majorBidi"/>
          <w:sz w:val="24"/>
          <w:szCs w:val="24"/>
        </w:rPr>
        <w:t xml:space="preserve">, </w:t>
      </w:r>
      <w:r w:rsidR="00BE15C9">
        <w:rPr>
          <w:rFonts w:asciiTheme="majorBidi" w:hAnsiTheme="majorBidi" w:cstheme="majorBidi"/>
          <w:sz w:val="24"/>
          <w:szCs w:val="24"/>
        </w:rPr>
        <w:t xml:space="preserve">local communities. </w:t>
      </w:r>
      <w:r w:rsidR="00A502E5">
        <w:rPr>
          <w:rFonts w:asciiTheme="majorBidi" w:hAnsiTheme="majorBidi" w:cstheme="majorBidi"/>
          <w:sz w:val="24"/>
          <w:szCs w:val="24"/>
        </w:rPr>
        <w:t>Moreover, t</w:t>
      </w:r>
      <w:r w:rsidR="00FF272A">
        <w:rPr>
          <w:rFonts w:asciiTheme="majorBidi" w:hAnsiTheme="majorBidi" w:cstheme="majorBidi"/>
          <w:sz w:val="24"/>
          <w:szCs w:val="24"/>
        </w:rPr>
        <w:t xml:space="preserve">his </w:t>
      </w:r>
      <w:r w:rsidR="00E43774">
        <w:rPr>
          <w:rFonts w:asciiTheme="majorBidi" w:hAnsiTheme="majorBidi" w:cstheme="majorBidi"/>
          <w:sz w:val="24"/>
          <w:szCs w:val="24"/>
        </w:rPr>
        <w:t>reflects on the</w:t>
      </w:r>
      <w:r w:rsidR="00FF272A">
        <w:rPr>
          <w:rFonts w:asciiTheme="majorBidi" w:hAnsiTheme="majorBidi" w:cstheme="majorBidi"/>
          <w:sz w:val="24"/>
          <w:szCs w:val="24"/>
        </w:rPr>
        <w:t xml:space="preserve"> </w:t>
      </w:r>
      <w:r w:rsidR="00E43774">
        <w:rPr>
          <w:rFonts w:asciiTheme="majorBidi" w:hAnsiTheme="majorBidi" w:cstheme="majorBidi"/>
          <w:sz w:val="24"/>
          <w:szCs w:val="24"/>
        </w:rPr>
        <w:t>value congruence concept</w:t>
      </w:r>
      <w:r w:rsidR="00FF272A">
        <w:rPr>
          <w:rFonts w:asciiTheme="majorBidi" w:hAnsiTheme="majorBidi" w:cstheme="majorBidi"/>
          <w:sz w:val="24"/>
          <w:szCs w:val="24"/>
        </w:rPr>
        <w:t xml:space="preserve"> to examine the correlation between consumers’ high and low CSR perception </w:t>
      </w:r>
      <w:r w:rsidR="00A502E5">
        <w:rPr>
          <w:rFonts w:asciiTheme="majorBidi" w:hAnsiTheme="majorBidi" w:cstheme="majorBidi"/>
          <w:sz w:val="24"/>
          <w:szCs w:val="24"/>
        </w:rPr>
        <w:t>and</w:t>
      </w:r>
      <w:r w:rsidR="00FF272A">
        <w:rPr>
          <w:rFonts w:asciiTheme="majorBidi" w:hAnsiTheme="majorBidi" w:cstheme="majorBidi"/>
          <w:sz w:val="24"/>
          <w:szCs w:val="24"/>
        </w:rPr>
        <w:t xml:space="preserve"> different brand attitudes. </w:t>
      </w:r>
    </w:p>
    <w:p w14:paraId="179BD8FB" w14:textId="3F45E44F" w:rsidR="00A96566" w:rsidRPr="00DB52B9" w:rsidRDefault="00460517" w:rsidP="00C55DE1">
      <w:pPr>
        <w:spacing w:after="0" w:line="480" w:lineRule="auto"/>
        <w:ind w:firstLine="360"/>
        <w:rPr>
          <w:rFonts w:ascii="Times New Roman" w:hAnsi="Times New Roman" w:cs="Times New Roman"/>
          <w:b/>
          <w:bCs/>
          <w:sz w:val="24"/>
          <w:szCs w:val="24"/>
        </w:rPr>
      </w:pPr>
      <w:r>
        <w:rPr>
          <w:rFonts w:ascii="Times New Roman" w:hAnsi="Times New Roman" w:cs="Times New Roman"/>
          <w:b/>
          <w:bCs/>
          <w:sz w:val="24"/>
          <w:szCs w:val="24"/>
        </w:rPr>
        <w:t>2</w:t>
      </w:r>
      <w:r w:rsidR="00A96566" w:rsidRPr="00DB52B9">
        <w:rPr>
          <w:rFonts w:ascii="Times New Roman" w:hAnsi="Times New Roman" w:cs="Times New Roman"/>
          <w:b/>
          <w:bCs/>
          <w:sz w:val="24"/>
          <w:szCs w:val="24"/>
        </w:rPr>
        <w:t>.</w:t>
      </w:r>
      <w:r w:rsidR="00DD69CF" w:rsidRPr="00DB52B9">
        <w:rPr>
          <w:rFonts w:ascii="Times New Roman" w:hAnsi="Times New Roman" w:cs="Times New Roman"/>
          <w:b/>
          <w:bCs/>
          <w:sz w:val="24"/>
          <w:szCs w:val="24"/>
        </w:rPr>
        <w:t>7</w:t>
      </w:r>
      <w:r w:rsidR="00A96566" w:rsidRPr="00DB52B9">
        <w:rPr>
          <w:rFonts w:ascii="Times New Roman" w:hAnsi="Times New Roman" w:cs="Times New Roman"/>
          <w:b/>
          <w:bCs/>
          <w:sz w:val="24"/>
          <w:szCs w:val="24"/>
        </w:rPr>
        <w:t>.</w:t>
      </w:r>
      <w:r w:rsidR="003B1DF4" w:rsidRPr="00DB52B9">
        <w:rPr>
          <w:rFonts w:ascii="Times New Roman" w:hAnsi="Times New Roman" w:cs="Times New Roman"/>
          <w:b/>
          <w:bCs/>
          <w:sz w:val="24"/>
          <w:szCs w:val="24"/>
        </w:rPr>
        <w:t>2</w:t>
      </w:r>
      <w:r w:rsidR="00A96566" w:rsidRPr="00DB52B9">
        <w:rPr>
          <w:rFonts w:ascii="Times New Roman" w:hAnsi="Times New Roman" w:cs="Times New Roman"/>
          <w:b/>
          <w:bCs/>
          <w:sz w:val="24"/>
          <w:szCs w:val="24"/>
        </w:rPr>
        <w:t xml:space="preserve"> CSR </w:t>
      </w:r>
      <w:r w:rsidR="00E37E65" w:rsidRPr="00DB52B9">
        <w:rPr>
          <w:rFonts w:ascii="Times New Roman" w:hAnsi="Times New Roman" w:cs="Times New Roman"/>
          <w:b/>
          <w:bCs/>
          <w:sz w:val="24"/>
          <w:szCs w:val="24"/>
        </w:rPr>
        <w:t xml:space="preserve">and </w:t>
      </w:r>
      <w:r w:rsidR="00A96566" w:rsidRPr="00DB52B9">
        <w:rPr>
          <w:rFonts w:ascii="Times New Roman" w:hAnsi="Times New Roman" w:cs="Times New Roman"/>
          <w:b/>
          <w:bCs/>
          <w:sz w:val="24"/>
          <w:szCs w:val="24"/>
        </w:rPr>
        <w:t xml:space="preserve">Ad Likeability </w:t>
      </w:r>
    </w:p>
    <w:p w14:paraId="50DFC97C" w14:textId="4C148DDF" w:rsidR="00A96566" w:rsidRPr="00544FFF" w:rsidRDefault="00DB52B9" w:rsidP="00544FFF">
      <w:pPr>
        <w:adjustRightInd w:val="0"/>
        <w:spacing w:after="0" w:line="480" w:lineRule="auto"/>
        <w:rPr>
          <w:rFonts w:ascii="Times New Roman" w:hAnsi="Times New Roman" w:cs="Times New Roman"/>
          <w:b/>
          <w:bCs/>
          <w:sz w:val="24"/>
          <w:szCs w:val="24"/>
        </w:rPr>
      </w:pPr>
      <w:r w:rsidRPr="00DB52B9">
        <w:rPr>
          <w:rFonts w:ascii="Times New Roman" w:hAnsi="Times New Roman" w:cs="Times New Roman"/>
          <w:sz w:val="24"/>
          <w:szCs w:val="24"/>
        </w:rPr>
        <w:t xml:space="preserve">According to recent findings, ad likeability predicts consumers’ purchase intentions </w:t>
      </w:r>
      <w:sdt>
        <w:sdtPr>
          <w:rPr>
            <w:rFonts w:ascii="Times New Roman" w:hAnsi="Times New Roman" w:cs="Times New Roman"/>
            <w:sz w:val="24"/>
            <w:szCs w:val="24"/>
          </w:rPr>
          <w:id w:val="-52546753"/>
          <w:citation/>
        </w:sdtPr>
        <w:sdtContent>
          <w:r w:rsidRPr="00DB52B9">
            <w:rPr>
              <w:rFonts w:ascii="Times New Roman" w:hAnsi="Times New Roman" w:cs="Times New Roman"/>
              <w:sz w:val="24"/>
              <w:szCs w:val="24"/>
            </w:rPr>
            <w:fldChar w:fldCharType="begin"/>
          </w:r>
          <w:r w:rsidRPr="00DB52B9">
            <w:rPr>
              <w:rFonts w:ascii="Times New Roman" w:hAnsi="Times New Roman" w:cs="Times New Roman"/>
              <w:sz w:val="24"/>
              <w:szCs w:val="24"/>
            </w:rPr>
            <w:instrText xml:space="preserve"> CITATION Afi22 \l 2057  \m Kau22</w:instrText>
          </w:r>
          <w:r w:rsidRPr="00DB52B9">
            <w:rPr>
              <w:rFonts w:ascii="Times New Roman" w:hAnsi="Times New Roman" w:cs="Times New Roman"/>
              <w:sz w:val="24"/>
              <w:szCs w:val="24"/>
            </w:rPr>
            <w:fldChar w:fldCharType="separate"/>
          </w:r>
          <w:r w:rsidRPr="00DB52B9">
            <w:rPr>
              <w:rFonts w:ascii="Times New Roman" w:hAnsi="Times New Roman" w:cs="Times New Roman"/>
              <w:noProof/>
              <w:sz w:val="24"/>
              <w:szCs w:val="24"/>
            </w:rPr>
            <w:t>(Afifah, 2022; Kaur, Paul, &amp; Sharma, 2022)</w:t>
          </w:r>
          <w:r w:rsidRPr="00DB52B9">
            <w:rPr>
              <w:rFonts w:ascii="Times New Roman" w:hAnsi="Times New Roman" w:cs="Times New Roman"/>
              <w:sz w:val="24"/>
              <w:szCs w:val="24"/>
            </w:rPr>
            <w:fldChar w:fldCharType="end"/>
          </w:r>
        </w:sdtContent>
      </w:sdt>
      <w:r w:rsidRPr="00DB52B9">
        <w:rPr>
          <w:rFonts w:ascii="Times New Roman" w:hAnsi="Times New Roman" w:cs="Times New Roman"/>
          <w:sz w:val="24"/>
          <w:szCs w:val="24"/>
        </w:rPr>
        <w:t>.</w:t>
      </w:r>
      <w:r w:rsidRPr="00D04716">
        <w:rPr>
          <w:rFonts w:ascii="Times New Roman" w:hAnsi="Times New Roman" w:cs="Times New Roman"/>
          <w:sz w:val="24"/>
          <w:szCs w:val="24"/>
        </w:rPr>
        <w:t xml:space="preserve"> </w:t>
      </w:r>
      <w:bookmarkStart w:id="35" w:name="_Hlk146722528"/>
      <w:r>
        <w:rPr>
          <w:rFonts w:ascii="Times New Roman" w:hAnsi="Times New Roman" w:cs="Times New Roman"/>
          <w:sz w:val="24"/>
          <w:szCs w:val="24"/>
        </w:rPr>
        <w:t>The effectiveness of an a</w:t>
      </w:r>
      <w:r w:rsidRPr="00D04716">
        <w:rPr>
          <w:rFonts w:ascii="Times New Roman" w:hAnsi="Times New Roman" w:cs="Times New Roman"/>
          <w:sz w:val="24"/>
          <w:szCs w:val="24"/>
        </w:rPr>
        <w:t>dvertis</w:t>
      </w:r>
      <w:r>
        <w:rPr>
          <w:rFonts w:ascii="Times New Roman" w:hAnsi="Times New Roman" w:cs="Times New Roman"/>
          <w:sz w:val="24"/>
          <w:szCs w:val="24"/>
        </w:rPr>
        <w:t>ement</w:t>
      </w:r>
      <w:r w:rsidR="00A96566" w:rsidRPr="00D04716">
        <w:rPr>
          <w:rFonts w:ascii="Times New Roman" w:hAnsi="Times New Roman" w:cs="Times New Roman"/>
          <w:sz w:val="24"/>
          <w:szCs w:val="24"/>
        </w:rPr>
        <w:t xml:space="preserve"> is usually assessed based on the entire execution in terms of recall, persuasion, and the overall liking of the ad</w:t>
      </w:r>
      <w:sdt>
        <w:sdtPr>
          <w:rPr>
            <w:rFonts w:ascii="Times New Roman" w:hAnsi="Times New Roman" w:cs="Times New Roman"/>
            <w:sz w:val="24"/>
            <w:szCs w:val="24"/>
          </w:rPr>
          <w:id w:val="283317780"/>
          <w:citation/>
        </w:sdtPr>
        <w:sdtContent>
          <w:r w:rsidR="00A96566" w:rsidRPr="00D04716">
            <w:rPr>
              <w:rFonts w:ascii="Times New Roman" w:hAnsi="Times New Roman" w:cs="Times New Roman"/>
              <w:sz w:val="24"/>
              <w:szCs w:val="24"/>
            </w:rPr>
            <w:fldChar w:fldCharType="begin"/>
          </w:r>
          <w:r w:rsidR="00A96566" w:rsidRPr="00D04716">
            <w:rPr>
              <w:rFonts w:ascii="Times New Roman" w:hAnsi="Times New Roman" w:cs="Times New Roman"/>
              <w:sz w:val="24"/>
              <w:szCs w:val="24"/>
            </w:rPr>
            <w:instrText xml:space="preserve">CITATION Alw21 \t  \l 2057 </w:instrText>
          </w:r>
          <w:r w:rsidR="00A96566" w:rsidRPr="00D04716">
            <w:rPr>
              <w:rFonts w:ascii="Times New Roman" w:hAnsi="Times New Roman" w:cs="Times New Roman"/>
              <w:sz w:val="24"/>
              <w:szCs w:val="24"/>
            </w:rPr>
            <w:fldChar w:fldCharType="separate"/>
          </w:r>
          <w:r w:rsidR="00A96566">
            <w:rPr>
              <w:rFonts w:ascii="Times New Roman" w:hAnsi="Times New Roman" w:cs="Times New Roman"/>
              <w:noProof/>
              <w:sz w:val="24"/>
              <w:szCs w:val="24"/>
            </w:rPr>
            <w:t xml:space="preserve"> </w:t>
          </w:r>
          <w:r w:rsidR="00A96566" w:rsidRPr="0002256A">
            <w:rPr>
              <w:rFonts w:ascii="Times New Roman" w:hAnsi="Times New Roman" w:cs="Times New Roman"/>
              <w:noProof/>
              <w:sz w:val="24"/>
              <w:szCs w:val="24"/>
            </w:rPr>
            <w:t>(Alwitt &amp; Mitchell, 2021)</w:t>
          </w:r>
          <w:r w:rsidR="00A96566" w:rsidRPr="00D04716">
            <w:rPr>
              <w:rFonts w:ascii="Times New Roman" w:hAnsi="Times New Roman" w:cs="Times New Roman"/>
              <w:sz w:val="24"/>
              <w:szCs w:val="24"/>
            </w:rPr>
            <w:fldChar w:fldCharType="end"/>
          </w:r>
        </w:sdtContent>
      </w:sdt>
      <w:r w:rsidR="00A96566" w:rsidRPr="00D04716">
        <w:rPr>
          <w:rFonts w:ascii="Times New Roman" w:hAnsi="Times New Roman" w:cs="Times New Roman"/>
          <w:sz w:val="24"/>
          <w:szCs w:val="24"/>
        </w:rPr>
        <w:t xml:space="preserve">. </w:t>
      </w:r>
      <w:bookmarkEnd w:id="35"/>
      <w:r w:rsidR="00A96566" w:rsidRPr="00D04716">
        <w:rPr>
          <w:rFonts w:ascii="Times New Roman" w:hAnsi="Times New Roman" w:cs="Times New Roman"/>
          <w:sz w:val="24"/>
          <w:szCs w:val="24"/>
        </w:rPr>
        <w:t>For that reason, the concept of “ad likeability” is essential to evaluate the overall advertising strategy</w:t>
      </w:r>
      <w:r w:rsidR="00544FFF" w:rsidRPr="00544FFF">
        <w:rPr>
          <w:rFonts w:ascii="Times New Roman" w:hAnsi="Times New Roman" w:cs="Times New Roman"/>
          <w:b/>
          <w:bCs/>
          <w:sz w:val="24"/>
          <w:szCs w:val="24"/>
        </w:rPr>
        <w:t xml:space="preserve"> </w:t>
      </w:r>
      <w:sdt>
        <w:sdtPr>
          <w:rPr>
            <w:rFonts w:ascii="Times New Roman" w:hAnsi="Times New Roman" w:cs="Times New Roman"/>
            <w:b/>
            <w:bCs/>
            <w:sz w:val="24"/>
            <w:szCs w:val="24"/>
          </w:rPr>
          <w:id w:val="1425688854"/>
          <w:citation/>
        </w:sdtPr>
        <w:sdtContent>
          <w:r w:rsidR="00544FFF">
            <w:rPr>
              <w:rFonts w:ascii="Times New Roman" w:hAnsi="Times New Roman" w:cs="Times New Roman"/>
              <w:b/>
              <w:bCs/>
              <w:sz w:val="24"/>
              <w:szCs w:val="24"/>
            </w:rPr>
            <w:fldChar w:fldCharType="begin"/>
          </w:r>
          <w:r w:rsidR="00544FFF">
            <w:rPr>
              <w:rFonts w:ascii="Times New Roman" w:hAnsi="Times New Roman" w:cs="Times New Roman"/>
              <w:b/>
              <w:bCs/>
              <w:sz w:val="24"/>
              <w:szCs w:val="24"/>
            </w:rPr>
            <w:instrText xml:space="preserve"> CITATION Aus17 \l 2057  \m Mad18</w:instrText>
          </w:r>
          <w:r w:rsidR="00544FFF">
            <w:rPr>
              <w:rFonts w:ascii="Times New Roman" w:hAnsi="Times New Roman" w:cs="Times New Roman"/>
              <w:b/>
              <w:bCs/>
              <w:sz w:val="24"/>
              <w:szCs w:val="24"/>
            </w:rPr>
            <w:fldChar w:fldCharType="separate"/>
          </w:r>
          <w:r w:rsidR="00544FFF" w:rsidRPr="003970B6">
            <w:rPr>
              <w:rFonts w:ascii="Times New Roman" w:hAnsi="Times New Roman" w:cs="Times New Roman"/>
              <w:noProof/>
              <w:sz w:val="24"/>
              <w:szCs w:val="24"/>
            </w:rPr>
            <w:t>(Ausin, Guixeres, Bigné, &amp; Alcañiz , 2017; Madupu , Ranganathan, &amp; Sen , 2018)</w:t>
          </w:r>
          <w:r w:rsidR="00544FFF">
            <w:rPr>
              <w:rFonts w:ascii="Times New Roman" w:hAnsi="Times New Roman" w:cs="Times New Roman"/>
              <w:b/>
              <w:bCs/>
              <w:sz w:val="24"/>
              <w:szCs w:val="24"/>
            </w:rPr>
            <w:fldChar w:fldCharType="end"/>
          </w:r>
        </w:sdtContent>
      </w:sdt>
      <w:r w:rsidR="00A96566" w:rsidRPr="00D04716">
        <w:rPr>
          <w:rFonts w:ascii="Times New Roman" w:hAnsi="Times New Roman" w:cs="Times New Roman"/>
          <w:sz w:val="24"/>
          <w:szCs w:val="24"/>
        </w:rPr>
        <w:t xml:space="preserve">. </w:t>
      </w:r>
      <w:r w:rsidR="00A74574">
        <w:rPr>
          <w:rFonts w:ascii="Times New Roman" w:hAnsi="Times New Roman" w:cs="Times New Roman"/>
          <w:sz w:val="24"/>
          <w:szCs w:val="24"/>
        </w:rPr>
        <w:t xml:space="preserve">This is particularly important as ad likeability is strongly correlated with other brand attitudes like emotional brand attachment and </w:t>
      </w:r>
      <w:r w:rsidR="007C143F">
        <w:rPr>
          <w:rFonts w:ascii="Times New Roman" w:hAnsi="Times New Roman" w:cs="Times New Roman"/>
          <w:sz w:val="24"/>
          <w:szCs w:val="24"/>
        </w:rPr>
        <w:t xml:space="preserve">brand </w:t>
      </w:r>
      <w:r w:rsidR="00A74574">
        <w:rPr>
          <w:rFonts w:ascii="Times New Roman" w:hAnsi="Times New Roman" w:cs="Times New Roman"/>
          <w:sz w:val="24"/>
          <w:szCs w:val="24"/>
        </w:rPr>
        <w:t xml:space="preserve">likeability </w:t>
      </w:r>
      <w:sdt>
        <w:sdtPr>
          <w:rPr>
            <w:rFonts w:ascii="Times New Roman" w:hAnsi="Times New Roman" w:cs="Times New Roman"/>
            <w:sz w:val="24"/>
            <w:szCs w:val="24"/>
          </w:rPr>
          <w:id w:val="-1426339313"/>
          <w:citation/>
        </w:sdtPr>
        <w:sdtContent>
          <w:r w:rsidR="00A74574">
            <w:rPr>
              <w:rFonts w:ascii="Times New Roman" w:hAnsi="Times New Roman" w:cs="Times New Roman"/>
              <w:sz w:val="24"/>
              <w:szCs w:val="24"/>
            </w:rPr>
            <w:fldChar w:fldCharType="begin"/>
          </w:r>
          <w:r w:rsidR="00A47C03">
            <w:rPr>
              <w:rFonts w:ascii="Times New Roman" w:hAnsi="Times New Roman" w:cs="Times New Roman"/>
              <w:sz w:val="24"/>
              <w:szCs w:val="24"/>
            </w:rPr>
            <w:instrText xml:space="preserve">CITATION Ayd14 \m LiD22 \m Tell19 \t  \l 2057 </w:instrText>
          </w:r>
          <w:r w:rsidR="00A74574">
            <w:rPr>
              <w:rFonts w:ascii="Times New Roman" w:hAnsi="Times New Roman" w:cs="Times New Roman"/>
              <w:sz w:val="24"/>
              <w:szCs w:val="24"/>
            </w:rPr>
            <w:fldChar w:fldCharType="separate"/>
          </w:r>
          <w:r w:rsidR="00A47C03" w:rsidRPr="00A47C03">
            <w:rPr>
              <w:rFonts w:ascii="Times New Roman" w:hAnsi="Times New Roman" w:cs="Times New Roman"/>
              <w:noProof/>
              <w:sz w:val="24"/>
              <w:szCs w:val="24"/>
            </w:rPr>
            <w:t>(Aydın, 2014; Li &amp; Watanabe, 2022; Tellis, MacInnis, Tirunillai, &amp; Zhang, 2019)</w:t>
          </w:r>
          <w:r w:rsidR="00A74574">
            <w:rPr>
              <w:rFonts w:ascii="Times New Roman" w:hAnsi="Times New Roman" w:cs="Times New Roman"/>
              <w:sz w:val="24"/>
              <w:szCs w:val="24"/>
            </w:rPr>
            <w:fldChar w:fldCharType="end"/>
          </w:r>
        </w:sdtContent>
      </w:sdt>
      <w:r w:rsidR="00A74574">
        <w:rPr>
          <w:rFonts w:ascii="Times New Roman" w:hAnsi="Times New Roman" w:cs="Times New Roman"/>
          <w:sz w:val="24"/>
          <w:szCs w:val="24"/>
        </w:rPr>
        <w:t xml:space="preserve">. </w:t>
      </w:r>
      <w:r w:rsidR="00725DD4">
        <w:rPr>
          <w:rFonts w:ascii="Times New Roman" w:hAnsi="Times New Roman" w:cs="Times New Roman"/>
          <w:sz w:val="24"/>
          <w:szCs w:val="24"/>
        </w:rPr>
        <w:t>In the context of CSR, CSR advertising was strongly correlated with emotional valence</w:t>
      </w:r>
      <w:r w:rsidR="00A04F20">
        <w:rPr>
          <w:rFonts w:ascii="Times New Roman" w:hAnsi="Times New Roman" w:cs="Times New Roman"/>
          <w:sz w:val="24"/>
          <w:szCs w:val="24"/>
        </w:rPr>
        <w:t xml:space="preserve"> or the brain’s emotional reaction to the presented stimuli</w:t>
      </w:r>
      <w:sdt>
        <w:sdtPr>
          <w:rPr>
            <w:rFonts w:ascii="Times New Roman" w:hAnsi="Times New Roman" w:cs="Times New Roman"/>
            <w:sz w:val="24"/>
            <w:szCs w:val="24"/>
          </w:rPr>
          <w:id w:val="159133791"/>
          <w:citation/>
        </w:sdtPr>
        <w:sdtContent>
          <w:r w:rsidR="00A04F20">
            <w:rPr>
              <w:rFonts w:ascii="Times New Roman" w:hAnsi="Times New Roman" w:cs="Times New Roman"/>
              <w:sz w:val="24"/>
              <w:szCs w:val="24"/>
            </w:rPr>
            <w:fldChar w:fldCharType="begin"/>
          </w:r>
          <w:r w:rsidR="00A04F20">
            <w:rPr>
              <w:rFonts w:ascii="Times New Roman" w:hAnsi="Times New Roman" w:cs="Times New Roman"/>
              <w:sz w:val="24"/>
              <w:szCs w:val="24"/>
            </w:rPr>
            <w:instrText xml:space="preserve"> CITATION Jan22 \l 2057 </w:instrText>
          </w:r>
          <w:r w:rsidR="00A04F20">
            <w:rPr>
              <w:rFonts w:ascii="Times New Roman" w:hAnsi="Times New Roman" w:cs="Times New Roman"/>
              <w:sz w:val="24"/>
              <w:szCs w:val="24"/>
            </w:rPr>
            <w:fldChar w:fldCharType="separate"/>
          </w:r>
          <w:r w:rsidR="00A04F20">
            <w:rPr>
              <w:rFonts w:ascii="Times New Roman" w:hAnsi="Times New Roman" w:cs="Times New Roman"/>
              <w:noProof/>
              <w:sz w:val="24"/>
              <w:szCs w:val="24"/>
            </w:rPr>
            <w:t xml:space="preserve"> </w:t>
          </w:r>
          <w:r w:rsidR="00A04F20" w:rsidRPr="00A04F20">
            <w:rPr>
              <w:rFonts w:ascii="Times New Roman" w:hAnsi="Times New Roman" w:cs="Times New Roman"/>
              <w:noProof/>
              <w:sz w:val="24"/>
              <w:szCs w:val="24"/>
            </w:rPr>
            <w:t>(Janić, Ćirović, Dimitriadis, Dimitriadis, &amp; Alevizou, 2022)</w:t>
          </w:r>
          <w:r w:rsidR="00A04F20">
            <w:rPr>
              <w:rFonts w:ascii="Times New Roman" w:hAnsi="Times New Roman" w:cs="Times New Roman"/>
              <w:sz w:val="24"/>
              <w:szCs w:val="24"/>
            </w:rPr>
            <w:fldChar w:fldCharType="end"/>
          </w:r>
        </w:sdtContent>
      </w:sdt>
      <w:r w:rsidR="00A04F20">
        <w:rPr>
          <w:rFonts w:ascii="Times New Roman" w:hAnsi="Times New Roman" w:cs="Times New Roman"/>
          <w:sz w:val="24"/>
          <w:szCs w:val="24"/>
        </w:rPr>
        <w:t xml:space="preserve">. Usually, the items that measured </w:t>
      </w:r>
      <w:r w:rsidR="007A4041">
        <w:rPr>
          <w:rFonts w:ascii="Times New Roman" w:hAnsi="Times New Roman" w:cs="Times New Roman"/>
          <w:sz w:val="24"/>
          <w:szCs w:val="24"/>
        </w:rPr>
        <w:t xml:space="preserve">the </w:t>
      </w:r>
      <w:r w:rsidR="00A04F20">
        <w:rPr>
          <w:rFonts w:ascii="Times New Roman" w:hAnsi="Times New Roman" w:cs="Times New Roman"/>
          <w:sz w:val="24"/>
          <w:szCs w:val="24"/>
        </w:rPr>
        <w:t>ad likeability construct were related to measures of “appeal” and attractiveness</w:t>
      </w:r>
      <w:r w:rsidR="00BE15C9" w:rsidRPr="00BE15C9">
        <w:rPr>
          <w:rFonts w:asciiTheme="majorBidi" w:hAnsiTheme="majorBidi" w:cstheme="majorBidi"/>
          <w:sz w:val="24"/>
          <w:szCs w:val="24"/>
        </w:rPr>
        <w:t xml:space="preserve"> </w:t>
      </w:r>
      <w:sdt>
        <w:sdtPr>
          <w:rPr>
            <w:rFonts w:asciiTheme="majorBidi" w:hAnsiTheme="majorBidi" w:cstheme="majorBidi"/>
            <w:sz w:val="24"/>
            <w:szCs w:val="24"/>
          </w:rPr>
          <w:id w:val="19519152"/>
          <w:citation/>
        </w:sdtPr>
        <w:sdtContent>
          <w:r w:rsidR="00BE15C9">
            <w:rPr>
              <w:rFonts w:asciiTheme="majorBidi" w:hAnsiTheme="majorBidi" w:cstheme="majorBidi"/>
              <w:sz w:val="24"/>
              <w:szCs w:val="24"/>
            </w:rPr>
            <w:fldChar w:fldCharType="begin"/>
          </w:r>
          <w:r w:rsidR="00BE15C9">
            <w:rPr>
              <w:rFonts w:asciiTheme="majorBidi" w:hAnsiTheme="majorBidi" w:cstheme="majorBidi"/>
              <w:sz w:val="24"/>
              <w:szCs w:val="24"/>
            </w:rPr>
            <w:instrText xml:space="preserve">CITATION Lee191 \m Placeholder6 \l 2057 </w:instrText>
          </w:r>
          <w:r w:rsidR="00BE15C9">
            <w:rPr>
              <w:rFonts w:asciiTheme="majorBidi" w:hAnsiTheme="majorBidi" w:cstheme="majorBidi"/>
              <w:sz w:val="24"/>
              <w:szCs w:val="24"/>
            </w:rPr>
            <w:fldChar w:fldCharType="separate"/>
          </w:r>
          <w:r w:rsidR="00BE15C9" w:rsidRPr="00BE15C9">
            <w:rPr>
              <w:rFonts w:asciiTheme="majorBidi" w:hAnsiTheme="majorBidi" w:cstheme="majorBidi"/>
              <w:noProof/>
              <w:sz w:val="24"/>
              <w:szCs w:val="24"/>
            </w:rPr>
            <w:t>(Lee &amp; Haley, 2019; Taylor C. R., 2018)</w:t>
          </w:r>
          <w:r w:rsidR="00BE15C9">
            <w:rPr>
              <w:rFonts w:asciiTheme="majorBidi" w:hAnsiTheme="majorBidi" w:cstheme="majorBidi"/>
              <w:sz w:val="24"/>
              <w:szCs w:val="24"/>
            </w:rPr>
            <w:fldChar w:fldCharType="end"/>
          </w:r>
        </w:sdtContent>
      </w:sdt>
      <w:r w:rsidR="00A04F20">
        <w:rPr>
          <w:rFonts w:ascii="Times New Roman" w:hAnsi="Times New Roman" w:cs="Times New Roman"/>
          <w:sz w:val="24"/>
          <w:szCs w:val="24"/>
        </w:rPr>
        <w:t xml:space="preserve">. </w:t>
      </w:r>
      <w:r w:rsidR="00C47A71">
        <w:rPr>
          <w:rFonts w:ascii="Times New Roman" w:hAnsi="Times New Roman" w:cs="Times New Roman"/>
          <w:sz w:val="24"/>
          <w:szCs w:val="24"/>
        </w:rPr>
        <w:t xml:space="preserve">Thus, as discussed in chapter </w:t>
      </w:r>
      <w:r w:rsidR="00A95B0D">
        <w:rPr>
          <w:rFonts w:ascii="Times New Roman" w:hAnsi="Times New Roman" w:cs="Times New Roman"/>
          <w:sz w:val="24"/>
          <w:szCs w:val="24"/>
        </w:rPr>
        <w:t>3</w:t>
      </w:r>
      <w:r w:rsidR="00C47A71">
        <w:rPr>
          <w:rFonts w:ascii="Times New Roman" w:hAnsi="Times New Roman" w:cs="Times New Roman"/>
          <w:sz w:val="24"/>
          <w:szCs w:val="24"/>
        </w:rPr>
        <w:t xml:space="preserve">, ad likeability will be </w:t>
      </w:r>
      <w:r w:rsidR="00725DD4">
        <w:rPr>
          <w:rFonts w:ascii="Times New Roman" w:hAnsi="Times New Roman" w:cs="Times New Roman"/>
          <w:sz w:val="24"/>
          <w:szCs w:val="24"/>
        </w:rPr>
        <w:t xml:space="preserve">part of </w:t>
      </w:r>
      <w:r w:rsidR="00C47A71">
        <w:rPr>
          <w:rFonts w:ascii="Times New Roman" w:hAnsi="Times New Roman" w:cs="Times New Roman"/>
          <w:sz w:val="24"/>
          <w:szCs w:val="24"/>
        </w:rPr>
        <w:t>brand attitudes when certain theories are applied</w:t>
      </w:r>
      <w:r w:rsidR="00725DD4">
        <w:rPr>
          <w:rFonts w:ascii="Times New Roman" w:hAnsi="Times New Roman" w:cs="Times New Roman"/>
          <w:sz w:val="24"/>
          <w:szCs w:val="24"/>
        </w:rPr>
        <w:t xml:space="preserve"> and will be considered an affective attitude</w:t>
      </w:r>
      <w:r w:rsidR="00BE15C9">
        <w:rPr>
          <w:rFonts w:asciiTheme="majorBidi" w:hAnsiTheme="majorBidi" w:cstheme="majorBidi"/>
          <w:sz w:val="24"/>
          <w:szCs w:val="24"/>
        </w:rPr>
        <w:t>.</w:t>
      </w:r>
    </w:p>
    <w:p w14:paraId="34416BA5" w14:textId="4E23B31B" w:rsidR="00A96566" w:rsidRPr="00D04716" w:rsidRDefault="00A96566" w:rsidP="00B35F10">
      <w:pPr>
        <w:spacing w:after="0" w:line="480" w:lineRule="auto"/>
        <w:ind w:firstLine="360"/>
        <w:rPr>
          <w:rFonts w:ascii="Times New Roman" w:hAnsi="Times New Roman" w:cs="Times New Roman"/>
          <w:sz w:val="24"/>
          <w:szCs w:val="24"/>
        </w:rPr>
      </w:pPr>
      <w:bookmarkStart w:id="36" w:name="_Hlk146722510"/>
      <w:r w:rsidRPr="00D04716">
        <w:rPr>
          <w:rFonts w:ascii="Times New Roman" w:hAnsi="Times New Roman" w:cs="Times New Roman"/>
          <w:sz w:val="24"/>
          <w:szCs w:val="24"/>
        </w:rPr>
        <w:t>Additionally, it appears in</w:t>
      </w:r>
      <w:r w:rsidR="007A4041">
        <w:rPr>
          <w:rFonts w:ascii="Times New Roman" w:hAnsi="Times New Roman" w:cs="Times New Roman"/>
          <w:sz w:val="24"/>
          <w:szCs w:val="24"/>
        </w:rPr>
        <w:t xml:space="preserve"> the</w:t>
      </w:r>
      <w:r w:rsidRPr="00D04716">
        <w:rPr>
          <w:rFonts w:ascii="Times New Roman" w:hAnsi="Times New Roman" w:cs="Times New Roman"/>
          <w:sz w:val="24"/>
          <w:szCs w:val="24"/>
        </w:rPr>
        <w:t xml:space="preserve"> literature that there is a link between consumers’ general needs and their attitudes towards the elements of an ad which affects the way they like or dislike the ad</w:t>
      </w:r>
      <w:r w:rsidR="003160E4">
        <w:rPr>
          <w:rFonts w:ascii="Times New Roman" w:hAnsi="Times New Roman" w:cs="Times New Roman"/>
          <w:sz w:val="24"/>
          <w:szCs w:val="24"/>
        </w:rPr>
        <w:t xml:space="preserve"> </w:t>
      </w:r>
      <w:sdt>
        <w:sdtPr>
          <w:rPr>
            <w:rFonts w:ascii="Times New Roman" w:hAnsi="Times New Roman" w:cs="Times New Roman"/>
            <w:sz w:val="24"/>
            <w:szCs w:val="24"/>
          </w:rPr>
          <w:id w:val="-935750485"/>
          <w:citation/>
        </w:sdtPr>
        <w:sdtContent>
          <w:r w:rsidR="003160E4" w:rsidRPr="00D04716">
            <w:rPr>
              <w:rFonts w:ascii="Times New Roman" w:hAnsi="Times New Roman" w:cs="Times New Roman"/>
              <w:sz w:val="24"/>
              <w:szCs w:val="24"/>
            </w:rPr>
            <w:fldChar w:fldCharType="begin"/>
          </w:r>
          <w:r w:rsidR="003160E4" w:rsidRPr="00D04716">
            <w:rPr>
              <w:rFonts w:ascii="Times New Roman" w:hAnsi="Times New Roman" w:cs="Times New Roman"/>
              <w:sz w:val="24"/>
              <w:szCs w:val="24"/>
            </w:rPr>
            <w:instrText xml:space="preserve"> CITATION Lea21 \l 2057 </w:instrText>
          </w:r>
          <w:r w:rsidR="003160E4" w:rsidRPr="00D04716">
            <w:rPr>
              <w:rFonts w:ascii="Times New Roman" w:hAnsi="Times New Roman" w:cs="Times New Roman"/>
              <w:sz w:val="24"/>
              <w:szCs w:val="24"/>
            </w:rPr>
            <w:fldChar w:fldCharType="separate"/>
          </w:r>
          <w:r w:rsidR="003160E4" w:rsidRPr="0002256A">
            <w:rPr>
              <w:rFonts w:ascii="Times New Roman" w:hAnsi="Times New Roman" w:cs="Times New Roman"/>
              <w:noProof/>
              <w:sz w:val="24"/>
              <w:szCs w:val="24"/>
            </w:rPr>
            <w:t>(Leary, 2021)</w:t>
          </w:r>
          <w:r w:rsidR="003160E4"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w:t>
      </w:r>
      <w:bookmarkEnd w:id="36"/>
      <w:r w:rsidR="00485BF8">
        <w:rPr>
          <w:rFonts w:ascii="Times New Roman" w:hAnsi="Times New Roman" w:cs="Times New Roman"/>
          <w:sz w:val="24"/>
          <w:szCs w:val="24"/>
        </w:rPr>
        <w:t>One study showed that</w:t>
      </w:r>
      <w:r w:rsidRPr="00D04716">
        <w:rPr>
          <w:rFonts w:ascii="Times New Roman" w:hAnsi="Times New Roman" w:cs="Times New Roman"/>
          <w:sz w:val="24"/>
          <w:szCs w:val="24"/>
        </w:rPr>
        <w:t xml:space="preserve"> if consumers’ top need is freedom, they might associate a large white space in the ad’s design with freedom and they will like the ad but, if the targeted consumers have a strong need for belonging, they might associate the </w:t>
      </w:r>
      <w:r>
        <w:rPr>
          <w:rFonts w:ascii="Times New Roman" w:hAnsi="Times New Roman" w:cs="Times New Roman"/>
          <w:sz w:val="24"/>
          <w:szCs w:val="24"/>
        </w:rPr>
        <w:t xml:space="preserve">same </w:t>
      </w:r>
      <w:r w:rsidRPr="00D04716">
        <w:rPr>
          <w:rFonts w:ascii="Times New Roman" w:hAnsi="Times New Roman" w:cs="Times New Roman"/>
          <w:sz w:val="24"/>
          <w:szCs w:val="24"/>
        </w:rPr>
        <w:t xml:space="preserve">white space in the ad’s design with loneliness and they will dislike the ad </w:t>
      </w:r>
      <w:sdt>
        <w:sdtPr>
          <w:rPr>
            <w:rFonts w:ascii="Times New Roman" w:hAnsi="Times New Roman" w:cs="Times New Roman"/>
            <w:sz w:val="24"/>
            <w:szCs w:val="24"/>
          </w:rPr>
          <w:id w:val="206999987"/>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Lea21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(Leary, 2021)</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Basically, analysing consumers’ needs is a decisive factor in selecting the right communication strategy or the ad design that will affect likeability.</w:t>
      </w:r>
      <w:r>
        <w:rPr>
          <w:rFonts w:ascii="Times New Roman" w:hAnsi="Times New Roman" w:cs="Times New Roman"/>
          <w:sz w:val="24"/>
          <w:szCs w:val="24"/>
        </w:rPr>
        <w:t xml:space="preserve"> Accordingly, as explained in the methodology chapter, the study conducted a pre-experiment survey to identify the type of CSR campaign that is most relevant and valuable to Egyptian consumers. </w:t>
      </w:r>
    </w:p>
    <w:p w14:paraId="4CCB6B5D" w14:textId="5AE9E464" w:rsidR="00A96566" w:rsidRPr="00D04716" w:rsidRDefault="00280A21" w:rsidP="00DB42A5">
      <w:pPr>
        <w:spacing w:line="480" w:lineRule="auto"/>
        <w:rPr>
          <w:rFonts w:ascii="Times New Roman" w:hAnsi="Times New Roman" w:cs="Times New Roman"/>
          <w:sz w:val="24"/>
          <w:szCs w:val="24"/>
        </w:rPr>
      </w:pPr>
      <w:r w:rsidRPr="00485BF8">
        <w:rPr>
          <w:rFonts w:ascii="Times New Roman" w:hAnsi="Times New Roman" w:cs="Times New Roman"/>
          <w:sz w:val="24"/>
          <w:szCs w:val="24"/>
        </w:rPr>
        <w:tab/>
      </w:r>
      <w:r w:rsidR="00A96566" w:rsidRPr="00485BF8">
        <w:rPr>
          <w:rFonts w:ascii="Times New Roman" w:hAnsi="Times New Roman" w:cs="Times New Roman"/>
          <w:sz w:val="24"/>
          <w:szCs w:val="24"/>
        </w:rPr>
        <w:t xml:space="preserve">Since </w:t>
      </w:r>
      <w:r w:rsidR="00E978FE" w:rsidRPr="00485BF8">
        <w:rPr>
          <w:rFonts w:ascii="Times New Roman" w:hAnsi="Times New Roman" w:cs="Times New Roman"/>
          <w:sz w:val="24"/>
          <w:szCs w:val="24"/>
        </w:rPr>
        <w:t>ad</w:t>
      </w:r>
      <w:r w:rsidR="00A96566" w:rsidRPr="00485BF8">
        <w:rPr>
          <w:rFonts w:ascii="Times New Roman" w:hAnsi="Times New Roman" w:cs="Times New Roman"/>
          <w:sz w:val="24"/>
          <w:szCs w:val="24"/>
        </w:rPr>
        <w:t xml:space="preserve"> likeability can facilitate consumers’ overall response towards the brand and has a persuasive effect on their decision making </w:t>
      </w:r>
      <w:sdt>
        <w:sdtPr>
          <w:rPr>
            <w:rFonts w:ascii="Times New Roman" w:hAnsi="Times New Roman" w:cs="Times New Roman"/>
            <w:sz w:val="24"/>
            <w:szCs w:val="24"/>
          </w:rPr>
          <w:id w:val="-691224956"/>
          <w:citation/>
        </w:sdtPr>
        <w:sdtContent>
          <w:r w:rsidR="00A96566" w:rsidRPr="00485BF8">
            <w:rPr>
              <w:rFonts w:ascii="Times New Roman" w:hAnsi="Times New Roman" w:cs="Times New Roman"/>
              <w:sz w:val="24"/>
              <w:szCs w:val="24"/>
            </w:rPr>
            <w:fldChar w:fldCharType="begin"/>
          </w:r>
          <w:r w:rsidR="00A96566" w:rsidRPr="00485BF8">
            <w:rPr>
              <w:rFonts w:ascii="Times New Roman" w:hAnsi="Times New Roman" w:cs="Times New Roman"/>
              <w:sz w:val="24"/>
              <w:szCs w:val="24"/>
            </w:rPr>
            <w:instrText xml:space="preserve"> CITATION Yoo22 \l 2057 </w:instrText>
          </w:r>
          <w:r w:rsidR="00A96566" w:rsidRPr="00485BF8">
            <w:rPr>
              <w:rFonts w:ascii="Times New Roman" w:hAnsi="Times New Roman" w:cs="Times New Roman"/>
              <w:sz w:val="24"/>
              <w:szCs w:val="24"/>
            </w:rPr>
            <w:fldChar w:fldCharType="separate"/>
          </w:r>
          <w:r w:rsidR="00A96566" w:rsidRPr="00485BF8">
            <w:rPr>
              <w:rFonts w:ascii="Times New Roman" w:hAnsi="Times New Roman" w:cs="Times New Roman"/>
              <w:noProof/>
              <w:sz w:val="24"/>
              <w:szCs w:val="24"/>
            </w:rPr>
            <w:t>(Yoon &amp; Lee, 2022)</w:t>
          </w:r>
          <w:r w:rsidR="00A96566" w:rsidRPr="00485BF8">
            <w:rPr>
              <w:rFonts w:ascii="Times New Roman" w:hAnsi="Times New Roman" w:cs="Times New Roman"/>
              <w:sz w:val="24"/>
              <w:szCs w:val="24"/>
            </w:rPr>
            <w:fldChar w:fldCharType="end"/>
          </w:r>
        </w:sdtContent>
      </w:sdt>
      <w:r w:rsidR="00A96566" w:rsidRPr="00485BF8">
        <w:rPr>
          <w:rFonts w:ascii="Times New Roman" w:hAnsi="Times New Roman" w:cs="Times New Roman"/>
          <w:sz w:val="24"/>
          <w:szCs w:val="24"/>
        </w:rPr>
        <w:t xml:space="preserve">, </w:t>
      </w:r>
      <w:r w:rsidR="00A96566" w:rsidRPr="00D04716">
        <w:rPr>
          <w:rFonts w:ascii="Times New Roman" w:hAnsi="Times New Roman" w:cs="Times New Roman"/>
          <w:sz w:val="24"/>
          <w:szCs w:val="24"/>
        </w:rPr>
        <w:t xml:space="preserve">a lot of sources in </w:t>
      </w:r>
      <w:r w:rsidR="00485BF8">
        <w:rPr>
          <w:rFonts w:ascii="Times New Roman" w:hAnsi="Times New Roman" w:cs="Times New Roman"/>
          <w:sz w:val="24"/>
          <w:szCs w:val="24"/>
        </w:rPr>
        <w:t xml:space="preserve">literature </w:t>
      </w:r>
      <w:r>
        <w:rPr>
          <w:rFonts w:ascii="Times New Roman" w:hAnsi="Times New Roman" w:cs="Times New Roman"/>
          <w:sz w:val="24"/>
          <w:szCs w:val="24"/>
        </w:rPr>
        <w:t>investigate</w:t>
      </w:r>
      <w:r w:rsidR="00A96566" w:rsidRPr="00D04716">
        <w:rPr>
          <w:rFonts w:ascii="Times New Roman" w:hAnsi="Times New Roman" w:cs="Times New Roman"/>
          <w:sz w:val="24"/>
          <w:szCs w:val="24"/>
        </w:rPr>
        <w:t xml:space="preserve"> ad likeability for different types of ads such as online or printed ads</w:t>
      </w:r>
      <w:sdt>
        <w:sdtPr>
          <w:rPr>
            <w:rFonts w:ascii="Times New Roman" w:hAnsi="Times New Roman" w:cs="Times New Roman"/>
            <w:sz w:val="24"/>
            <w:szCs w:val="24"/>
          </w:rPr>
          <w:id w:val="1137224773"/>
          <w:citation/>
        </w:sdtPr>
        <w:sdtContent>
          <w:r w:rsidR="003160E4" w:rsidRPr="00D04716">
            <w:rPr>
              <w:rFonts w:ascii="Times New Roman" w:hAnsi="Times New Roman" w:cs="Times New Roman"/>
              <w:sz w:val="24"/>
              <w:szCs w:val="24"/>
            </w:rPr>
            <w:fldChar w:fldCharType="begin"/>
          </w:r>
          <w:r w:rsidR="003160E4" w:rsidRPr="00D04716">
            <w:rPr>
              <w:rFonts w:ascii="Times New Roman" w:hAnsi="Times New Roman" w:cs="Times New Roman"/>
              <w:sz w:val="24"/>
              <w:szCs w:val="24"/>
            </w:rPr>
            <w:instrText xml:space="preserve"> CITATION Tel19 \l 2057 </w:instrText>
          </w:r>
          <w:r w:rsidR="003160E4" w:rsidRPr="00D04716">
            <w:rPr>
              <w:rFonts w:ascii="Times New Roman" w:hAnsi="Times New Roman" w:cs="Times New Roman"/>
              <w:sz w:val="24"/>
              <w:szCs w:val="24"/>
            </w:rPr>
            <w:fldChar w:fldCharType="separate"/>
          </w:r>
          <w:r w:rsidR="003160E4">
            <w:rPr>
              <w:rFonts w:ascii="Times New Roman" w:hAnsi="Times New Roman" w:cs="Times New Roman"/>
              <w:noProof/>
              <w:sz w:val="24"/>
              <w:szCs w:val="24"/>
            </w:rPr>
            <w:t xml:space="preserve"> </w:t>
          </w:r>
          <w:r w:rsidR="003160E4" w:rsidRPr="0002256A">
            <w:rPr>
              <w:rFonts w:ascii="Times New Roman" w:hAnsi="Times New Roman" w:cs="Times New Roman"/>
              <w:noProof/>
              <w:sz w:val="24"/>
              <w:szCs w:val="24"/>
            </w:rPr>
            <w:t>(Tellis, MacInnis, Tirunillai, &amp; Zhang, 2019)</w:t>
          </w:r>
          <w:r w:rsidR="003160E4" w:rsidRPr="00D04716">
            <w:rPr>
              <w:rFonts w:ascii="Times New Roman" w:hAnsi="Times New Roman" w:cs="Times New Roman"/>
              <w:sz w:val="24"/>
              <w:szCs w:val="24"/>
            </w:rPr>
            <w:fldChar w:fldCharType="end"/>
          </w:r>
        </w:sdtContent>
      </w:sdt>
      <w:r w:rsidR="00A96566" w:rsidRPr="00D04716">
        <w:rPr>
          <w:rFonts w:ascii="Times New Roman" w:hAnsi="Times New Roman" w:cs="Times New Roman"/>
          <w:sz w:val="24"/>
          <w:szCs w:val="24"/>
        </w:rPr>
        <w:t xml:space="preserve">. For instance, online ad likeability is measured with </w:t>
      </w:r>
      <w:r w:rsidR="00A96566" w:rsidRPr="00485BF8">
        <w:rPr>
          <w:rFonts w:ascii="Times New Roman" w:hAnsi="Times New Roman" w:cs="Times New Roman"/>
          <w:sz w:val="24"/>
          <w:szCs w:val="24"/>
        </w:rPr>
        <w:t>“virality” or the times an ad is shared on other pages or in private conversations</w:t>
      </w:r>
      <w:sdt>
        <w:sdtPr>
          <w:rPr>
            <w:rFonts w:ascii="Times New Roman" w:hAnsi="Times New Roman" w:cs="Times New Roman"/>
            <w:sz w:val="24"/>
            <w:szCs w:val="24"/>
          </w:rPr>
          <w:id w:val="724876224"/>
          <w:citation/>
        </w:sdtPr>
        <w:sdtContent>
          <w:r w:rsidR="00485BF8" w:rsidRPr="00D04716">
            <w:rPr>
              <w:rFonts w:ascii="Times New Roman" w:hAnsi="Times New Roman" w:cs="Times New Roman"/>
              <w:sz w:val="24"/>
              <w:szCs w:val="24"/>
            </w:rPr>
            <w:fldChar w:fldCharType="begin"/>
          </w:r>
          <w:r w:rsidR="00485BF8" w:rsidRPr="00D04716">
            <w:rPr>
              <w:rFonts w:ascii="Times New Roman" w:hAnsi="Times New Roman" w:cs="Times New Roman"/>
              <w:sz w:val="24"/>
              <w:szCs w:val="24"/>
            </w:rPr>
            <w:instrText xml:space="preserve"> CITATION Tel19 \l 2057 </w:instrText>
          </w:r>
          <w:r w:rsidR="00485BF8" w:rsidRPr="00D04716">
            <w:rPr>
              <w:rFonts w:ascii="Times New Roman" w:hAnsi="Times New Roman" w:cs="Times New Roman"/>
              <w:sz w:val="24"/>
              <w:szCs w:val="24"/>
            </w:rPr>
            <w:fldChar w:fldCharType="separate"/>
          </w:r>
          <w:r w:rsidR="00485BF8">
            <w:rPr>
              <w:rFonts w:ascii="Times New Roman" w:hAnsi="Times New Roman" w:cs="Times New Roman"/>
              <w:noProof/>
              <w:sz w:val="24"/>
              <w:szCs w:val="24"/>
            </w:rPr>
            <w:t xml:space="preserve"> </w:t>
          </w:r>
          <w:r w:rsidR="00485BF8" w:rsidRPr="0002256A">
            <w:rPr>
              <w:rFonts w:ascii="Times New Roman" w:hAnsi="Times New Roman" w:cs="Times New Roman"/>
              <w:noProof/>
              <w:sz w:val="24"/>
              <w:szCs w:val="24"/>
            </w:rPr>
            <w:t>(Tellis, MacInnis, Tirunillai, &amp; Zhang, 2019)</w:t>
          </w:r>
          <w:r w:rsidR="00485BF8" w:rsidRPr="00D04716">
            <w:rPr>
              <w:rFonts w:ascii="Times New Roman" w:hAnsi="Times New Roman" w:cs="Times New Roman"/>
              <w:sz w:val="24"/>
              <w:szCs w:val="24"/>
            </w:rPr>
            <w:fldChar w:fldCharType="end"/>
          </w:r>
        </w:sdtContent>
      </w:sdt>
      <w:r w:rsidR="00A96566" w:rsidRPr="00485BF8">
        <w:rPr>
          <w:rFonts w:ascii="Times New Roman" w:hAnsi="Times New Roman" w:cs="Times New Roman"/>
          <w:sz w:val="24"/>
          <w:szCs w:val="24"/>
        </w:rPr>
        <w:t>.</w:t>
      </w:r>
      <w:r w:rsidR="00A96566" w:rsidRPr="00D04716">
        <w:rPr>
          <w:rFonts w:ascii="Times New Roman" w:hAnsi="Times New Roman" w:cs="Times New Roman"/>
          <w:sz w:val="24"/>
          <w:szCs w:val="24"/>
        </w:rPr>
        <w:t xml:space="preserve"> </w:t>
      </w:r>
      <w:r w:rsidR="00A502E5">
        <w:rPr>
          <w:rFonts w:ascii="Times New Roman" w:hAnsi="Times New Roman" w:cs="Times New Roman"/>
          <w:sz w:val="24"/>
          <w:szCs w:val="24"/>
        </w:rPr>
        <w:t>While CSR used to be an uncommon communication strategy</w:t>
      </w:r>
      <w:r w:rsidR="001729C9" w:rsidRPr="001729C9">
        <w:rPr>
          <w:rFonts w:asciiTheme="majorBidi" w:hAnsiTheme="majorBidi" w:cstheme="majorBidi"/>
          <w:sz w:val="24"/>
          <w:szCs w:val="24"/>
        </w:rPr>
        <w:t xml:space="preserve"> </w:t>
      </w:r>
      <w:sdt>
        <w:sdtPr>
          <w:rPr>
            <w:rFonts w:asciiTheme="majorBidi" w:hAnsiTheme="majorBidi" w:cstheme="majorBidi"/>
            <w:sz w:val="24"/>
            <w:szCs w:val="24"/>
          </w:rPr>
          <w:id w:val="1278223410"/>
          <w:citation/>
        </w:sdtPr>
        <w:sdtContent>
          <w:r w:rsidR="001729C9">
            <w:rPr>
              <w:rFonts w:asciiTheme="majorBidi" w:hAnsiTheme="majorBidi" w:cstheme="majorBidi"/>
              <w:sz w:val="24"/>
              <w:szCs w:val="24"/>
            </w:rPr>
            <w:fldChar w:fldCharType="begin"/>
          </w:r>
          <w:r w:rsidR="001729C9">
            <w:rPr>
              <w:rFonts w:asciiTheme="majorBidi" w:hAnsiTheme="majorBidi" w:cstheme="majorBidi"/>
              <w:sz w:val="24"/>
              <w:szCs w:val="24"/>
            </w:rPr>
            <w:instrText xml:space="preserve"> CITATION DuS10 \l 2057  \m Van15</w:instrText>
          </w:r>
          <w:r w:rsidR="001729C9">
            <w:rPr>
              <w:rFonts w:asciiTheme="majorBidi" w:hAnsiTheme="majorBidi" w:cstheme="majorBidi"/>
              <w:sz w:val="24"/>
              <w:szCs w:val="24"/>
            </w:rPr>
            <w:fldChar w:fldCharType="separate"/>
          </w:r>
          <w:r w:rsidR="001729C9" w:rsidRPr="00B036D5">
            <w:rPr>
              <w:rFonts w:asciiTheme="majorBidi" w:hAnsiTheme="majorBidi" w:cstheme="majorBidi"/>
              <w:noProof/>
              <w:sz w:val="24"/>
              <w:szCs w:val="24"/>
            </w:rPr>
            <w:t>(Du, Bhattacharya, &amp; Sen, 2010; Vanhamme, Swaen, Berens, &amp; Janssen, 2015)</w:t>
          </w:r>
          <w:r w:rsidR="001729C9">
            <w:rPr>
              <w:rFonts w:asciiTheme="majorBidi" w:hAnsiTheme="majorBidi" w:cstheme="majorBidi"/>
              <w:sz w:val="24"/>
              <w:szCs w:val="24"/>
            </w:rPr>
            <w:fldChar w:fldCharType="end"/>
          </w:r>
        </w:sdtContent>
      </w:sdt>
      <w:r w:rsidR="00A502E5">
        <w:rPr>
          <w:rFonts w:ascii="Times New Roman" w:hAnsi="Times New Roman" w:cs="Times New Roman"/>
          <w:sz w:val="24"/>
          <w:szCs w:val="24"/>
        </w:rPr>
        <w:t xml:space="preserve">, it </w:t>
      </w:r>
      <w:r w:rsidR="007A4041">
        <w:rPr>
          <w:rFonts w:ascii="Times New Roman" w:hAnsi="Times New Roman" w:cs="Times New Roman"/>
          <w:sz w:val="24"/>
          <w:szCs w:val="24"/>
        </w:rPr>
        <w:t>is now</w:t>
      </w:r>
      <w:r w:rsidR="00A502E5">
        <w:rPr>
          <w:rFonts w:ascii="Times New Roman" w:hAnsi="Times New Roman" w:cs="Times New Roman"/>
          <w:sz w:val="24"/>
          <w:szCs w:val="24"/>
        </w:rPr>
        <w:t xml:space="preserve"> more prominent and thus, more examined in global literature</w:t>
      </w:r>
      <w:r w:rsidR="003B7715" w:rsidRPr="003B7715">
        <w:rPr>
          <w:rFonts w:asciiTheme="majorBidi" w:hAnsiTheme="majorBidi" w:cstheme="majorBidi"/>
          <w:sz w:val="24"/>
          <w:szCs w:val="24"/>
        </w:rPr>
        <w:t xml:space="preserve"> </w:t>
      </w:r>
      <w:sdt>
        <w:sdtPr>
          <w:rPr>
            <w:rFonts w:asciiTheme="majorBidi" w:hAnsiTheme="majorBidi" w:cstheme="majorBidi"/>
            <w:sz w:val="24"/>
            <w:szCs w:val="24"/>
          </w:rPr>
          <w:id w:val="-2018375587"/>
          <w:citation/>
        </w:sdtPr>
        <w:sdtContent>
          <w:r w:rsidR="003B7715">
            <w:rPr>
              <w:rFonts w:asciiTheme="majorBidi" w:hAnsiTheme="majorBidi" w:cstheme="majorBidi"/>
              <w:sz w:val="24"/>
              <w:szCs w:val="24"/>
            </w:rPr>
            <w:fldChar w:fldCharType="begin"/>
          </w:r>
          <w:r w:rsidR="003B7715">
            <w:rPr>
              <w:rFonts w:asciiTheme="majorBidi" w:hAnsiTheme="majorBidi" w:cstheme="majorBidi"/>
              <w:sz w:val="24"/>
              <w:szCs w:val="24"/>
            </w:rPr>
            <w:instrText xml:space="preserve"> CITATION Put23 \l 2057  \m Ver212</w:instrText>
          </w:r>
          <w:r w:rsidR="003B7715">
            <w:rPr>
              <w:rFonts w:asciiTheme="majorBidi" w:hAnsiTheme="majorBidi" w:cstheme="majorBidi"/>
              <w:sz w:val="24"/>
              <w:szCs w:val="24"/>
            </w:rPr>
            <w:fldChar w:fldCharType="separate"/>
          </w:r>
          <w:r w:rsidR="003B7715" w:rsidRPr="00B036D5">
            <w:rPr>
              <w:rFonts w:asciiTheme="majorBidi" w:hAnsiTheme="majorBidi" w:cstheme="majorBidi"/>
              <w:noProof/>
              <w:sz w:val="24"/>
              <w:szCs w:val="24"/>
            </w:rPr>
            <w:t>(Putra, Lestari, &amp; Nasionalita, 2017; Verk, Golob, &amp; Podnar , 2021)</w:t>
          </w:r>
          <w:r w:rsidR="003B7715">
            <w:rPr>
              <w:rFonts w:asciiTheme="majorBidi" w:hAnsiTheme="majorBidi" w:cstheme="majorBidi"/>
              <w:sz w:val="24"/>
              <w:szCs w:val="24"/>
            </w:rPr>
            <w:fldChar w:fldCharType="end"/>
          </w:r>
        </w:sdtContent>
      </w:sdt>
      <w:r w:rsidR="00A502E5">
        <w:rPr>
          <w:rFonts w:ascii="Times New Roman" w:hAnsi="Times New Roman" w:cs="Times New Roman"/>
          <w:sz w:val="24"/>
          <w:szCs w:val="24"/>
        </w:rPr>
        <w:t>. However,</w:t>
      </w:r>
      <w:r w:rsidR="003B7715">
        <w:rPr>
          <w:rFonts w:ascii="Times New Roman" w:hAnsi="Times New Roman" w:cs="Times New Roman"/>
          <w:sz w:val="24"/>
          <w:szCs w:val="24"/>
        </w:rPr>
        <w:t xml:space="preserve"> since</w:t>
      </w:r>
      <w:r w:rsidR="00A502E5">
        <w:rPr>
          <w:rFonts w:ascii="Times New Roman" w:hAnsi="Times New Roman" w:cs="Times New Roman"/>
          <w:sz w:val="24"/>
          <w:szCs w:val="24"/>
        </w:rPr>
        <w:t xml:space="preserve"> </w:t>
      </w:r>
      <w:r w:rsidR="003B7715">
        <w:rPr>
          <w:rFonts w:ascii="Times New Roman" w:hAnsi="Times New Roman" w:cs="Times New Roman"/>
          <w:sz w:val="24"/>
          <w:szCs w:val="24"/>
        </w:rPr>
        <w:t>it is still considered an under</w:t>
      </w:r>
      <w:r w:rsidR="007A4041">
        <w:rPr>
          <w:rFonts w:ascii="Times New Roman" w:hAnsi="Times New Roman" w:cs="Times New Roman"/>
          <w:sz w:val="24"/>
          <w:szCs w:val="24"/>
        </w:rPr>
        <w:t xml:space="preserve">-researched </w:t>
      </w:r>
      <w:r w:rsidR="003B7715">
        <w:rPr>
          <w:rFonts w:ascii="Times New Roman" w:hAnsi="Times New Roman" w:cs="Times New Roman"/>
          <w:sz w:val="24"/>
          <w:szCs w:val="24"/>
        </w:rPr>
        <w:t xml:space="preserve">topic in Egypt </w:t>
      </w:r>
      <w:sdt>
        <w:sdtPr>
          <w:rPr>
            <w:rFonts w:ascii="Times New Roman" w:hAnsi="Times New Roman" w:cs="Times New Roman"/>
            <w:sz w:val="24"/>
            <w:szCs w:val="24"/>
          </w:rPr>
          <w:id w:val="-1363277267"/>
          <w:citation/>
        </w:sdtPr>
        <w:sdtContent>
          <w:r w:rsidR="003B7715">
            <w:rPr>
              <w:rFonts w:ascii="Times New Roman" w:hAnsi="Times New Roman" w:cs="Times New Roman"/>
              <w:sz w:val="24"/>
              <w:szCs w:val="24"/>
            </w:rPr>
            <w:fldChar w:fldCharType="begin"/>
          </w:r>
          <w:r w:rsidR="003B7715">
            <w:rPr>
              <w:rFonts w:ascii="Times New Roman" w:hAnsi="Times New Roman" w:cs="Times New Roman"/>
              <w:sz w:val="24"/>
              <w:szCs w:val="24"/>
            </w:rPr>
            <w:instrText xml:space="preserve"> CITATION ElH21 \l 2057  \m Kha221</w:instrText>
          </w:r>
          <w:r w:rsidR="003B7715">
            <w:rPr>
              <w:rFonts w:ascii="Times New Roman" w:hAnsi="Times New Roman" w:cs="Times New Roman"/>
              <w:sz w:val="24"/>
              <w:szCs w:val="24"/>
            </w:rPr>
            <w:fldChar w:fldCharType="separate"/>
          </w:r>
          <w:r w:rsidR="003B7715" w:rsidRPr="003B7715">
            <w:rPr>
              <w:rFonts w:ascii="Times New Roman" w:hAnsi="Times New Roman" w:cs="Times New Roman"/>
              <w:noProof/>
              <w:sz w:val="24"/>
              <w:szCs w:val="24"/>
            </w:rPr>
            <w:t>(El Haddad, Bachkirov, &amp; Grishina, 2021; Khamis &amp; Ismail, 2022)</w:t>
          </w:r>
          <w:r w:rsidR="003B7715">
            <w:rPr>
              <w:rFonts w:ascii="Times New Roman" w:hAnsi="Times New Roman" w:cs="Times New Roman"/>
              <w:sz w:val="24"/>
              <w:szCs w:val="24"/>
            </w:rPr>
            <w:fldChar w:fldCharType="end"/>
          </w:r>
        </w:sdtContent>
      </w:sdt>
      <w:r w:rsidR="003B7715">
        <w:rPr>
          <w:rFonts w:ascii="Times New Roman" w:hAnsi="Times New Roman" w:cs="Times New Roman"/>
          <w:sz w:val="24"/>
          <w:szCs w:val="24"/>
        </w:rPr>
        <w:t xml:space="preserve">, </w:t>
      </w:r>
      <w:r w:rsidR="00A96566" w:rsidRPr="00D04716">
        <w:rPr>
          <w:rFonts w:ascii="Times New Roman" w:hAnsi="Times New Roman" w:cs="Times New Roman"/>
          <w:sz w:val="24"/>
          <w:szCs w:val="24"/>
        </w:rPr>
        <w:t xml:space="preserve">it is essential to measure the respondents’ level of likability of CSR </w:t>
      </w:r>
      <w:r w:rsidR="00E37E65">
        <w:rPr>
          <w:rFonts w:ascii="Times New Roman" w:hAnsi="Times New Roman" w:cs="Times New Roman"/>
          <w:sz w:val="24"/>
          <w:szCs w:val="24"/>
        </w:rPr>
        <w:t>communication</w:t>
      </w:r>
      <w:r w:rsidR="00A96566" w:rsidRPr="00D04716">
        <w:rPr>
          <w:rFonts w:ascii="Times New Roman" w:hAnsi="Times New Roman" w:cs="Times New Roman"/>
          <w:sz w:val="24"/>
          <w:szCs w:val="24"/>
        </w:rPr>
        <w:t xml:space="preserve"> and </w:t>
      </w:r>
      <w:r w:rsidR="007A4041">
        <w:rPr>
          <w:rFonts w:ascii="Times New Roman" w:hAnsi="Times New Roman" w:cs="Times New Roman"/>
          <w:sz w:val="24"/>
          <w:szCs w:val="24"/>
        </w:rPr>
        <w:t xml:space="preserve">to </w:t>
      </w:r>
      <w:r w:rsidR="00A96566" w:rsidRPr="00D04716">
        <w:rPr>
          <w:rFonts w:ascii="Times New Roman" w:hAnsi="Times New Roman" w:cs="Times New Roman"/>
          <w:sz w:val="24"/>
          <w:szCs w:val="24"/>
        </w:rPr>
        <w:t xml:space="preserve">compare it </w:t>
      </w:r>
      <w:r w:rsidR="00A96566">
        <w:rPr>
          <w:rFonts w:ascii="Times New Roman" w:hAnsi="Times New Roman" w:cs="Times New Roman"/>
          <w:sz w:val="24"/>
          <w:szCs w:val="24"/>
        </w:rPr>
        <w:t xml:space="preserve">to </w:t>
      </w:r>
      <w:r w:rsidR="00A96566" w:rsidRPr="00D04716">
        <w:rPr>
          <w:rFonts w:ascii="Times New Roman" w:hAnsi="Times New Roman" w:cs="Times New Roman"/>
          <w:sz w:val="24"/>
          <w:szCs w:val="24"/>
        </w:rPr>
        <w:t xml:space="preserve">the likeability of non-CSR </w:t>
      </w:r>
      <w:r w:rsidR="00E37E65">
        <w:rPr>
          <w:rFonts w:ascii="Times New Roman" w:hAnsi="Times New Roman" w:cs="Times New Roman"/>
          <w:sz w:val="24"/>
          <w:szCs w:val="24"/>
        </w:rPr>
        <w:t>communication</w:t>
      </w:r>
      <w:r w:rsidR="00A96566" w:rsidRPr="00D04716">
        <w:rPr>
          <w:rFonts w:ascii="Times New Roman" w:hAnsi="Times New Roman" w:cs="Times New Roman"/>
          <w:sz w:val="24"/>
          <w:szCs w:val="24"/>
        </w:rPr>
        <w:t xml:space="preserve">. </w:t>
      </w:r>
    </w:p>
    <w:p w14:paraId="32E2A122" w14:textId="7F849E47" w:rsidR="00A96566" w:rsidRPr="00D04716" w:rsidRDefault="00460517" w:rsidP="00F94905">
      <w:pPr>
        <w:adjustRightInd w:val="0"/>
        <w:spacing w:after="0" w:line="480" w:lineRule="auto"/>
        <w:ind w:firstLine="360"/>
        <w:jc w:val="lowKashida"/>
        <w:rPr>
          <w:rFonts w:ascii="Times New Roman" w:hAnsi="Times New Roman" w:cs="Times New Roman"/>
          <w:b/>
          <w:bCs/>
          <w:sz w:val="24"/>
          <w:szCs w:val="24"/>
        </w:rPr>
      </w:pPr>
      <w:r>
        <w:rPr>
          <w:rFonts w:ascii="Times New Roman" w:hAnsi="Times New Roman" w:cs="Times New Roman"/>
          <w:b/>
          <w:bCs/>
          <w:sz w:val="24"/>
          <w:szCs w:val="24"/>
        </w:rPr>
        <w:t>2</w:t>
      </w:r>
      <w:r w:rsidR="00A96566">
        <w:rPr>
          <w:rFonts w:ascii="Times New Roman" w:hAnsi="Times New Roman" w:cs="Times New Roman"/>
          <w:b/>
          <w:bCs/>
          <w:sz w:val="24"/>
          <w:szCs w:val="24"/>
        </w:rPr>
        <w:t>.</w:t>
      </w:r>
      <w:r w:rsidR="00DD69CF">
        <w:rPr>
          <w:rFonts w:ascii="Times New Roman" w:hAnsi="Times New Roman" w:cs="Times New Roman"/>
          <w:b/>
          <w:bCs/>
          <w:sz w:val="24"/>
          <w:szCs w:val="24"/>
        </w:rPr>
        <w:t>7</w:t>
      </w:r>
      <w:r w:rsidR="00A96566">
        <w:rPr>
          <w:rFonts w:ascii="Times New Roman" w:hAnsi="Times New Roman" w:cs="Times New Roman"/>
          <w:b/>
          <w:bCs/>
          <w:sz w:val="24"/>
          <w:szCs w:val="24"/>
        </w:rPr>
        <w:t>.</w:t>
      </w:r>
      <w:r w:rsidR="003B1DF4">
        <w:rPr>
          <w:rFonts w:ascii="Times New Roman" w:hAnsi="Times New Roman" w:cs="Times New Roman"/>
          <w:b/>
          <w:bCs/>
          <w:sz w:val="24"/>
          <w:szCs w:val="24"/>
        </w:rPr>
        <w:t>3</w:t>
      </w:r>
      <w:r w:rsidR="00A96566">
        <w:rPr>
          <w:rFonts w:ascii="Times New Roman" w:hAnsi="Times New Roman" w:cs="Times New Roman"/>
          <w:b/>
          <w:bCs/>
          <w:sz w:val="24"/>
          <w:szCs w:val="24"/>
        </w:rPr>
        <w:t xml:space="preserve"> CSR and </w:t>
      </w:r>
      <w:r w:rsidR="00A96566" w:rsidRPr="00D04716">
        <w:rPr>
          <w:rFonts w:ascii="Times New Roman" w:hAnsi="Times New Roman" w:cs="Times New Roman"/>
          <w:b/>
          <w:bCs/>
          <w:sz w:val="24"/>
          <w:szCs w:val="24"/>
        </w:rPr>
        <w:t xml:space="preserve">Brand </w:t>
      </w:r>
      <w:r w:rsidR="00A96566">
        <w:rPr>
          <w:rFonts w:ascii="Times New Roman" w:hAnsi="Times New Roman" w:cs="Times New Roman"/>
          <w:b/>
          <w:bCs/>
          <w:sz w:val="24"/>
          <w:szCs w:val="24"/>
        </w:rPr>
        <w:t>L</w:t>
      </w:r>
      <w:r w:rsidR="00A96566" w:rsidRPr="00D04716">
        <w:rPr>
          <w:rFonts w:ascii="Times New Roman" w:hAnsi="Times New Roman" w:cs="Times New Roman"/>
          <w:b/>
          <w:bCs/>
          <w:sz w:val="24"/>
          <w:szCs w:val="24"/>
        </w:rPr>
        <w:t xml:space="preserve">ikeability </w:t>
      </w:r>
    </w:p>
    <w:p w14:paraId="5ED599CE" w14:textId="5A90E1DA" w:rsidR="00A77810" w:rsidRDefault="00A96566" w:rsidP="007A4041">
      <w:pPr>
        <w:spacing w:after="0" w:line="480" w:lineRule="auto"/>
        <w:ind w:firstLine="360"/>
        <w:rPr>
          <w:rFonts w:ascii="Times New Roman" w:hAnsi="Times New Roman" w:cs="Times New Roman"/>
          <w:sz w:val="24"/>
          <w:szCs w:val="24"/>
        </w:rPr>
      </w:pPr>
      <w:r w:rsidRPr="00E27067">
        <w:rPr>
          <w:rFonts w:ascii="Times New Roman" w:hAnsi="Times New Roman" w:cs="Times New Roman"/>
          <w:sz w:val="24"/>
          <w:szCs w:val="24"/>
          <w:shd w:val="clear" w:color="auto" w:fill="FFFFFF"/>
        </w:rPr>
        <w:t xml:space="preserve">Likeability is a psychological influence that consumers have because of a reaction to a stimulus, for example, a brand </w:t>
      </w:r>
      <w:bookmarkStart w:id="37" w:name="_Hlk157192943"/>
      <w:bookmarkStart w:id="38" w:name="_Hlk157271262"/>
      <w:sdt>
        <w:sdtPr>
          <w:rPr>
            <w:rFonts w:ascii="Times New Roman" w:hAnsi="Times New Roman" w:cs="Times New Roman"/>
            <w:sz w:val="24"/>
            <w:szCs w:val="24"/>
            <w:shd w:val="clear" w:color="auto" w:fill="FFFFFF"/>
          </w:rPr>
          <w:id w:val="-798675563"/>
          <w:citation/>
        </w:sdtPr>
        <w:sdtContent>
          <w:r w:rsidRPr="00E27067">
            <w:rPr>
              <w:rFonts w:ascii="Times New Roman" w:hAnsi="Times New Roman" w:cs="Times New Roman"/>
              <w:sz w:val="24"/>
              <w:szCs w:val="24"/>
              <w:shd w:val="clear" w:color="auto" w:fill="FFFFFF"/>
            </w:rPr>
            <w:fldChar w:fldCharType="begin"/>
          </w:r>
          <w:r w:rsidRPr="00E27067">
            <w:rPr>
              <w:rFonts w:ascii="Times New Roman" w:hAnsi="Times New Roman" w:cs="Times New Roman"/>
              <w:sz w:val="24"/>
              <w:szCs w:val="24"/>
              <w:shd w:val="clear" w:color="auto" w:fill="FFFFFF"/>
            </w:rPr>
            <w:instrText xml:space="preserve"> CITATION Ngu13 \l 2057 </w:instrText>
          </w:r>
          <w:r w:rsidRPr="00E27067">
            <w:rPr>
              <w:rFonts w:ascii="Times New Roman" w:hAnsi="Times New Roman" w:cs="Times New Roman"/>
              <w:sz w:val="24"/>
              <w:szCs w:val="24"/>
              <w:shd w:val="clear" w:color="auto" w:fill="FFFFFF"/>
            </w:rPr>
            <w:fldChar w:fldCharType="separate"/>
          </w:r>
          <w:r w:rsidRPr="00E27067">
            <w:rPr>
              <w:rFonts w:ascii="Times New Roman" w:hAnsi="Times New Roman" w:cs="Times New Roman"/>
              <w:noProof/>
              <w:sz w:val="24"/>
              <w:szCs w:val="24"/>
              <w:shd w:val="clear" w:color="auto" w:fill="FFFFFF"/>
            </w:rPr>
            <w:t>(Nguyen, Melewar, &amp; Chen, 2013)</w:t>
          </w:r>
          <w:r w:rsidRPr="00E27067">
            <w:rPr>
              <w:rFonts w:ascii="Times New Roman" w:hAnsi="Times New Roman" w:cs="Times New Roman"/>
              <w:sz w:val="24"/>
              <w:szCs w:val="24"/>
              <w:shd w:val="clear" w:color="auto" w:fill="FFFFFF"/>
            </w:rPr>
            <w:fldChar w:fldCharType="end"/>
          </w:r>
        </w:sdtContent>
      </w:sdt>
      <w:bookmarkEnd w:id="37"/>
      <w:r w:rsidRPr="00E27067">
        <w:rPr>
          <w:rFonts w:ascii="Times New Roman" w:hAnsi="Times New Roman" w:cs="Times New Roman"/>
          <w:sz w:val="24"/>
          <w:szCs w:val="24"/>
          <w:shd w:val="clear" w:color="auto" w:fill="FFFFFF"/>
        </w:rPr>
        <w:t xml:space="preserve">. </w:t>
      </w:r>
      <w:bookmarkEnd w:id="38"/>
      <w:r w:rsidRPr="00E27067">
        <w:rPr>
          <w:rFonts w:ascii="Times New Roman" w:hAnsi="Times New Roman" w:cs="Times New Roman"/>
          <w:sz w:val="24"/>
          <w:szCs w:val="24"/>
        </w:rPr>
        <w:t>Brand likeability, the degree in which a brand appeals to a customer, has an important impact on consumers’ loyalty and willingness to accept a high price and overlook</w:t>
      </w:r>
      <w:r w:rsidRPr="00D04716">
        <w:rPr>
          <w:rFonts w:ascii="Times New Roman" w:hAnsi="Times New Roman" w:cs="Times New Roman"/>
          <w:sz w:val="24"/>
          <w:szCs w:val="24"/>
        </w:rPr>
        <w:t xml:space="preserve"> any inadequacies in the products’ </w:t>
      </w:r>
      <w:r w:rsidRPr="004B668B">
        <w:rPr>
          <w:rFonts w:ascii="Times New Roman" w:hAnsi="Times New Roman" w:cs="Times New Roman"/>
          <w:sz w:val="24"/>
          <w:szCs w:val="24"/>
        </w:rPr>
        <w:t>features</w:t>
      </w:r>
      <w:r w:rsidR="00DD53FB" w:rsidRPr="004B668B">
        <w:rPr>
          <w:rFonts w:ascii="Times New Roman" w:hAnsi="Times New Roman" w:cs="Times New Roman"/>
          <w:sz w:val="24"/>
          <w:szCs w:val="24"/>
        </w:rPr>
        <w:t xml:space="preserve"> </w:t>
      </w:r>
      <w:sdt>
        <w:sdtPr>
          <w:rPr>
            <w:rFonts w:ascii="Times New Roman" w:hAnsi="Times New Roman" w:cs="Times New Roman"/>
            <w:sz w:val="24"/>
            <w:szCs w:val="24"/>
          </w:rPr>
          <w:id w:val="-348804182"/>
          <w:citation/>
        </w:sdtPr>
        <w:sdtContent>
          <w:r w:rsidR="00DD53FB" w:rsidRPr="004B668B">
            <w:rPr>
              <w:rFonts w:ascii="Times New Roman" w:hAnsi="Times New Roman" w:cs="Times New Roman"/>
              <w:sz w:val="24"/>
              <w:szCs w:val="24"/>
            </w:rPr>
            <w:fldChar w:fldCharType="begin"/>
          </w:r>
          <w:r w:rsidR="00D116EF" w:rsidRPr="004B668B">
            <w:rPr>
              <w:rFonts w:ascii="Times New Roman" w:hAnsi="Times New Roman" w:cs="Times New Roman"/>
              <w:sz w:val="24"/>
              <w:szCs w:val="24"/>
            </w:rPr>
            <w:instrText xml:space="preserve">CITATION Ngu13 \m Ohl21 \t  \l 2057 </w:instrText>
          </w:r>
          <w:r w:rsidR="00DD53FB" w:rsidRPr="004B668B">
            <w:rPr>
              <w:rFonts w:ascii="Times New Roman" w:hAnsi="Times New Roman" w:cs="Times New Roman"/>
              <w:sz w:val="24"/>
              <w:szCs w:val="24"/>
            </w:rPr>
            <w:fldChar w:fldCharType="separate"/>
          </w:r>
          <w:r w:rsidR="00D116EF" w:rsidRPr="004B668B">
            <w:rPr>
              <w:rFonts w:ascii="Times New Roman" w:hAnsi="Times New Roman" w:cs="Times New Roman"/>
              <w:noProof/>
              <w:sz w:val="24"/>
              <w:szCs w:val="24"/>
            </w:rPr>
            <w:t>(Nguyen, Melewar, &amp; Chen, 2013; Ohlwein &amp; Bruno, 2021)</w:t>
          </w:r>
          <w:r w:rsidR="00DD53FB" w:rsidRPr="004B668B">
            <w:rPr>
              <w:rFonts w:ascii="Times New Roman" w:hAnsi="Times New Roman" w:cs="Times New Roman"/>
              <w:sz w:val="24"/>
              <w:szCs w:val="24"/>
            </w:rPr>
            <w:fldChar w:fldCharType="end"/>
          </w:r>
        </w:sdtContent>
      </w:sdt>
      <w:r w:rsidRPr="004B668B">
        <w:rPr>
          <w:rFonts w:ascii="Times New Roman" w:hAnsi="Times New Roman" w:cs="Times New Roman"/>
          <w:sz w:val="24"/>
          <w:szCs w:val="24"/>
        </w:rPr>
        <w:t>.</w:t>
      </w:r>
      <w:r w:rsidRPr="00D04716">
        <w:rPr>
          <w:rFonts w:ascii="Times New Roman" w:hAnsi="Times New Roman" w:cs="Times New Roman"/>
          <w:sz w:val="24"/>
          <w:szCs w:val="24"/>
        </w:rPr>
        <w:t xml:space="preserve"> For that reason, it is essential to understand if the company’s various communication strategies achieve brand likeability. Based on an exploratory study on likeability in firm-level brands, the </w:t>
      </w:r>
      <w:r w:rsidR="00485BF8">
        <w:rPr>
          <w:rFonts w:ascii="Times New Roman" w:hAnsi="Times New Roman" w:cs="Times New Roman"/>
          <w:sz w:val="24"/>
          <w:szCs w:val="24"/>
        </w:rPr>
        <w:t>b</w:t>
      </w:r>
      <w:r w:rsidRPr="00D04716">
        <w:rPr>
          <w:rFonts w:ascii="Times New Roman" w:hAnsi="Times New Roman" w:cs="Times New Roman"/>
          <w:sz w:val="24"/>
          <w:szCs w:val="24"/>
        </w:rPr>
        <w:t xml:space="preserve">rand </w:t>
      </w:r>
      <w:r w:rsidR="00485BF8">
        <w:rPr>
          <w:rFonts w:ascii="Times New Roman" w:hAnsi="Times New Roman" w:cs="Times New Roman"/>
          <w:sz w:val="24"/>
          <w:szCs w:val="24"/>
        </w:rPr>
        <w:t>l</w:t>
      </w:r>
      <w:r w:rsidRPr="00D04716">
        <w:rPr>
          <w:rFonts w:ascii="Times New Roman" w:hAnsi="Times New Roman" w:cs="Times New Roman"/>
          <w:sz w:val="24"/>
          <w:szCs w:val="24"/>
        </w:rPr>
        <w:t xml:space="preserve">ikeability </w:t>
      </w:r>
      <w:r w:rsidR="00485BF8">
        <w:rPr>
          <w:rFonts w:ascii="Times New Roman" w:hAnsi="Times New Roman" w:cs="Times New Roman"/>
          <w:sz w:val="24"/>
          <w:szCs w:val="24"/>
        </w:rPr>
        <w:t>s</w:t>
      </w:r>
      <w:r w:rsidRPr="00D04716">
        <w:rPr>
          <w:rFonts w:ascii="Times New Roman" w:hAnsi="Times New Roman" w:cs="Times New Roman"/>
          <w:sz w:val="24"/>
          <w:szCs w:val="24"/>
        </w:rPr>
        <w:t xml:space="preserve">cale was presented based on four dimensions: positivity, interaction, personified quality, and contentment </w:t>
      </w:r>
      <w:bookmarkStart w:id="39" w:name="_Hlk145018358"/>
      <w:sdt>
        <w:sdtPr>
          <w:rPr>
            <w:rFonts w:ascii="Times New Roman" w:hAnsi="Times New Roman" w:cs="Times New Roman"/>
            <w:sz w:val="24"/>
            <w:szCs w:val="24"/>
          </w:rPr>
          <w:id w:val="1520203040"/>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Ngu15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(Nguyen, Ekinci, Simkin, &amp; Melewar, 2015)</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w:t>
      </w:r>
      <w:bookmarkEnd w:id="39"/>
      <w:r w:rsidR="00A77810" w:rsidRPr="00C52C23">
        <w:rPr>
          <w:rFonts w:ascii="Times New Roman" w:hAnsi="Times New Roman" w:cs="Times New Roman"/>
          <w:sz w:val="24"/>
          <w:szCs w:val="24"/>
        </w:rPr>
        <w:t>Brand likeability does not imply that consumers are passionate about a brand</w:t>
      </w:r>
      <w:sdt>
        <w:sdtPr>
          <w:rPr>
            <w:rFonts w:ascii="Times New Roman" w:hAnsi="Times New Roman" w:cs="Times New Roman"/>
            <w:sz w:val="24"/>
            <w:szCs w:val="24"/>
          </w:rPr>
          <w:id w:val="1957138012"/>
          <w:citation/>
        </w:sdtPr>
        <w:sdtContent>
          <w:r w:rsidR="00A77810" w:rsidRPr="00D04716">
            <w:rPr>
              <w:rFonts w:ascii="Times New Roman" w:hAnsi="Times New Roman" w:cs="Times New Roman"/>
              <w:sz w:val="24"/>
              <w:szCs w:val="24"/>
            </w:rPr>
            <w:fldChar w:fldCharType="begin"/>
          </w:r>
          <w:r w:rsidR="00A77810">
            <w:rPr>
              <w:rFonts w:ascii="Times New Roman" w:hAnsi="Times New Roman" w:cs="Times New Roman"/>
              <w:sz w:val="24"/>
              <w:szCs w:val="24"/>
            </w:rPr>
            <w:instrText xml:space="preserve">CITATION Ohl21 \t  \l 2057 </w:instrText>
          </w:r>
          <w:r w:rsidR="00A77810" w:rsidRPr="00D04716">
            <w:rPr>
              <w:rFonts w:ascii="Times New Roman" w:hAnsi="Times New Roman" w:cs="Times New Roman"/>
              <w:sz w:val="24"/>
              <w:szCs w:val="24"/>
            </w:rPr>
            <w:fldChar w:fldCharType="separate"/>
          </w:r>
          <w:r w:rsidR="00A77810">
            <w:rPr>
              <w:rFonts w:ascii="Times New Roman" w:hAnsi="Times New Roman" w:cs="Times New Roman"/>
              <w:noProof/>
              <w:sz w:val="24"/>
              <w:szCs w:val="24"/>
            </w:rPr>
            <w:t xml:space="preserve"> </w:t>
          </w:r>
          <w:r w:rsidR="00A77810" w:rsidRPr="0002256A">
            <w:rPr>
              <w:rFonts w:ascii="Times New Roman" w:hAnsi="Times New Roman" w:cs="Times New Roman"/>
              <w:noProof/>
              <w:sz w:val="24"/>
              <w:szCs w:val="24"/>
            </w:rPr>
            <w:t>(Ohlwein &amp; Bruno, 2021)</w:t>
          </w:r>
          <w:r w:rsidR="00A77810" w:rsidRPr="00D04716">
            <w:rPr>
              <w:rFonts w:ascii="Times New Roman" w:hAnsi="Times New Roman" w:cs="Times New Roman"/>
              <w:sz w:val="24"/>
              <w:szCs w:val="24"/>
            </w:rPr>
            <w:fldChar w:fldCharType="end"/>
          </w:r>
        </w:sdtContent>
      </w:sdt>
      <w:r w:rsidR="00A77810" w:rsidRPr="00C52C23">
        <w:rPr>
          <w:rFonts w:ascii="Times New Roman" w:hAnsi="Times New Roman" w:cs="Times New Roman"/>
          <w:sz w:val="24"/>
          <w:szCs w:val="24"/>
        </w:rPr>
        <w:t>.</w:t>
      </w:r>
      <w:r w:rsidR="00A77810">
        <w:rPr>
          <w:rFonts w:ascii="Times New Roman" w:hAnsi="Times New Roman" w:cs="Times New Roman"/>
          <w:sz w:val="24"/>
          <w:szCs w:val="24"/>
        </w:rPr>
        <w:t xml:space="preserve"> While some researchers found that brand likeability has cognitive and affective aspects, they claimed that cognitive process is one of the main influencing factors that trigger brand likeability</w:t>
      </w:r>
      <w:r w:rsidR="00A77810" w:rsidRPr="00DD53FB">
        <w:rPr>
          <w:rFonts w:ascii="Times New Roman" w:hAnsi="Times New Roman" w:cs="Times New Roman"/>
          <w:sz w:val="24"/>
          <w:szCs w:val="24"/>
        </w:rPr>
        <w:t xml:space="preserve"> </w:t>
      </w:r>
      <w:sdt>
        <w:sdtPr>
          <w:rPr>
            <w:rFonts w:ascii="Times New Roman" w:hAnsi="Times New Roman" w:cs="Times New Roman"/>
            <w:sz w:val="24"/>
            <w:szCs w:val="24"/>
          </w:rPr>
          <w:id w:val="1093584676"/>
          <w:citation/>
        </w:sdtPr>
        <w:sdtContent>
          <w:r w:rsidR="00A77810">
            <w:rPr>
              <w:rFonts w:ascii="Times New Roman" w:hAnsi="Times New Roman" w:cs="Times New Roman"/>
              <w:sz w:val="24"/>
              <w:szCs w:val="24"/>
            </w:rPr>
            <w:fldChar w:fldCharType="begin"/>
          </w:r>
          <w:r w:rsidR="00A77810">
            <w:rPr>
              <w:rFonts w:ascii="Times New Roman" w:hAnsi="Times New Roman" w:cs="Times New Roman"/>
              <w:sz w:val="24"/>
              <w:szCs w:val="24"/>
            </w:rPr>
            <w:instrText xml:space="preserve"> CITATION Ngu13 \l 2057  \m Sut13</w:instrText>
          </w:r>
          <w:r w:rsidR="00A77810">
            <w:rPr>
              <w:rFonts w:ascii="Times New Roman" w:hAnsi="Times New Roman" w:cs="Times New Roman"/>
              <w:sz w:val="24"/>
              <w:szCs w:val="24"/>
            </w:rPr>
            <w:fldChar w:fldCharType="separate"/>
          </w:r>
          <w:r w:rsidR="00A77810" w:rsidRPr="00E073C8">
            <w:rPr>
              <w:rFonts w:ascii="Times New Roman" w:hAnsi="Times New Roman" w:cs="Times New Roman"/>
              <w:noProof/>
              <w:sz w:val="24"/>
              <w:szCs w:val="24"/>
            </w:rPr>
            <w:t>(Nguyen, Melewar, &amp; Chen, 2013; Sutton, Baldwin, Wood, &amp; Hoffman, 2013)</w:t>
          </w:r>
          <w:r w:rsidR="00A77810">
            <w:rPr>
              <w:rFonts w:ascii="Times New Roman" w:hAnsi="Times New Roman" w:cs="Times New Roman"/>
              <w:sz w:val="24"/>
              <w:szCs w:val="24"/>
            </w:rPr>
            <w:fldChar w:fldCharType="end"/>
          </w:r>
        </w:sdtContent>
      </w:sdt>
      <w:r w:rsidR="00A77810">
        <w:rPr>
          <w:rFonts w:ascii="Times New Roman" w:hAnsi="Times New Roman" w:cs="Times New Roman"/>
          <w:sz w:val="24"/>
          <w:szCs w:val="24"/>
        </w:rPr>
        <w:t>.</w:t>
      </w:r>
      <w:r w:rsidR="007A4041">
        <w:rPr>
          <w:rFonts w:ascii="Times New Roman" w:hAnsi="Times New Roman" w:cs="Times New Roman"/>
          <w:sz w:val="24"/>
          <w:szCs w:val="24"/>
        </w:rPr>
        <w:t xml:space="preserve"> </w:t>
      </w:r>
      <w:r w:rsidR="00A77810">
        <w:rPr>
          <w:rFonts w:ascii="Times New Roman" w:hAnsi="Times New Roman" w:cs="Times New Roman"/>
          <w:sz w:val="24"/>
          <w:szCs w:val="24"/>
        </w:rPr>
        <w:t xml:space="preserve">Thus, in this research study, </w:t>
      </w:r>
      <w:r w:rsidR="00A77810" w:rsidRPr="00BD1D5E">
        <w:rPr>
          <w:rFonts w:ascii="Times New Roman" w:hAnsi="Times New Roman" w:cs="Times New Roman"/>
          <w:sz w:val="24"/>
          <w:szCs w:val="24"/>
        </w:rPr>
        <w:t>bran</w:t>
      </w:r>
      <w:r w:rsidR="007A4041">
        <w:rPr>
          <w:rFonts w:ascii="Times New Roman" w:hAnsi="Times New Roman" w:cs="Times New Roman"/>
          <w:sz w:val="24"/>
          <w:szCs w:val="24"/>
        </w:rPr>
        <w:t>d</w:t>
      </w:r>
      <w:r w:rsidR="00A77810" w:rsidRPr="00BD1D5E">
        <w:rPr>
          <w:rFonts w:ascii="Times New Roman" w:hAnsi="Times New Roman" w:cs="Times New Roman"/>
          <w:sz w:val="24"/>
          <w:szCs w:val="24"/>
        </w:rPr>
        <w:t xml:space="preserve"> likeability will be considered as a cognitive attitude.</w:t>
      </w:r>
      <w:r w:rsidR="00A77810">
        <w:rPr>
          <w:rFonts w:ascii="Times New Roman" w:hAnsi="Times New Roman" w:cs="Times New Roman"/>
          <w:sz w:val="24"/>
          <w:szCs w:val="24"/>
        </w:rPr>
        <w:t xml:space="preserve"> </w:t>
      </w:r>
    </w:p>
    <w:p w14:paraId="3B4C60BB" w14:textId="4EC8F2DC" w:rsidR="00A96566" w:rsidRDefault="00A77810" w:rsidP="00A7781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81E6A">
        <w:rPr>
          <w:rFonts w:ascii="Times New Roman" w:hAnsi="Times New Roman" w:cs="Times New Roman"/>
          <w:sz w:val="24"/>
          <w:szCs w:val="24"/>
        </w:rPr>
        <w:t xml:space="preserve">While </w:t>
      </w:r>
      <w:bookmarkStart w:id="40" w:name="_Hlk150866461"/>
      <w:r w:rsidR="00B81E6A">
        <w:rPr>
          <w:rFonts w:ascii="Times New Roman" w:hAnsi="Times New Roman" w:cs="Times New Roman"/>
          <w:sz w:val="24"/>
          <w:szCs w:val="24"/>
        </w:rPr>
        <w:t>many studies in the marketing literature assess brand health or success by measuring brand likeability</w:t>
      </w:r>
      <w:r w:rsidR="00B81E6A" w:rsidRPr="005A28CC">
        <w:rPr>
          <w:rFonts w:asciiTheme="majorBidi" w:hAnsiTheme="majorBidi" w:cstheme="majorBidi"/>
          <w:sz w:val="24"/>
          <w:szCs w:val="24"/>
        </w:rPr>
        <w:t xml:space="preserve"> </w:t>
      </w:r>
      <w:sdt>
        <w:sdtPr>
          <w:rPr>
            <w:rFonts w:asciiTheme="majorBidi" w:hAnsiTheme="majorBidi" w:cstheme="majorBidi"/>
            <w:sz w:val="24"/>
            <w:szCs w:val="24"/>
          </w:rPr>
          <w:id w:val="-1846080025"/>
          <w:citation/>
        </w:sdtPr>
        <w:sdtContent>
          <w:r w:rsidR="00B81E6A">
            <w:rPr>
              <w:rFonts w:asciiTheme="majorBidi" w:hAnsiTheme="majorBidi" w:cstheme="majorBidi"/>
              <w:sz w:val="24"/>
              <w:szCs w:val="24"/>
            </w:rPr>
            <w:fldChar w:fldCharType="begin"/>
          </w:r>
          <w:r w:rsidR="00B81E6A">
            <w:rPr>
              <w:rFonts w:asciiTheme="majorBidi" w:hAnsiTheme="majorBidi" w:cstheme="majorBidi"/>
              <w:sz w:val="24"/>
              <w:szCs w:val="24"/>
            </w:rPr>
            <w:instrText>CITATION Kan23 \m Ngy15 \t  \l 2057  \m Ohl21 \m Ott16</w:instrText>
          </w:r>
          <w:r w:rsidR="00B81E6A">
            <w:rPr>
              <w:rFonts w:asciiTheme="majorBidi" w:hAnsiTheme="majorBidi" w:cstheme="majorBidi"/>
              <w:sz w:val="24"/>
              <w:szCs w:val="24"/>
            </w:rPr>
            <w:fldChar w:fldCharType="separate"/>
          </w:r>
          <w:r w:rsidR="00B81E6A" w:rsidRPr="00185874">
            <w:rPr>
              <w:rFonts w:asciiTheme="majorBidi" w:hAnsiTheme="majorBidi" w:cstheme="majorBidi"/>
              <w:noProof/>
              <w:sz w:val="24"/>
              <w:szCs w:val="24"/>
            </w:rPr>
            <w:t>(Kang, Faria, Lee, &amp; Choi , 2023; Nguyen, Ekinci, Simkin, &amp; Melewar, 2015; Ohlwein &amp; Bruno, 2021; Ott, Vafeiadis, Kumble, &amp; Waddell, 2016)</w:t>
          </w:r>
          <w:r w:rsidR="00B81E6A">
            <w:rPr>
              <w:rFonts w:asciiTheme="majorBidi" w:hAnsiTheme="majorBidi" w:cstheme="majorBidi"/>
              <w:sz w:val="24"/>
              <w:szCs w:val="24"/>
            </w:rPr>
            <w:fldChar w:fldCharType="end"/>
          </w:r>
        </w:sdtContent>
      </w:sdt>
      <w:r w:rsidR="00B81E6A">
        <w:rPr>
          <w:rFonts w:ascii="Times New Roman" w:hAnsi="Times New Roman" w:cs="Times New Roman"/>
          <w:sz w:val="24"/>
          <w:szCs w:val="24"/>
        </w:rPr>
        <w:t>, there are</w:t>
      </w:r>
      <w:r w:rsidR="007A4041">
        <w:rPr>
          <w:rFonts w:ascii="Times New Roman" w:hAnsi="Times New Roman" w:cs="Times New Roman"/>
          <w:sz w:val="24"/>
          <w:szCs w:val="24"/>
        </w:rPr>
        <w:t xml:space="preserve"> not</w:t>
      </w:r>
      <w:r w:rsidR="00B81E6A">
        <w:rPr>
          <w:rFonts w:ascii="Times New Roman" w:hAnsi="Times New Roman" w:cs="Times New Roman"/>
          <w:sz w:val="24"/>
          <w:szCs w:val="24"/>
        </w:rPr>
        <w:t xml:space="preserve"> many studies that measure the impact </w:t>
      </w:r>
      <w:bookmarkStart w:id="41" w:name="_Hlk150866419"/>
      <w:r w:rsidR="00B81E6A">
        <w:rPr>
          <w:rFonts w:ascii="Times New Roman" w:hAnsi="Times New Roman" w:cs="Times New Roman"/>
          <w:sz w:val="24"/>
          <w:szCs w:val="24"/>
        </w:rPr>
        <w:t xml:space="preserve">of CSR communication on brand likeability. </w:t>
      </w:r>
      <w:bookmarkEnd w:id="40"/>
      <w:bookmarkEnd w:id="41"/>
      <w:r w:rsidR="00B81E6A">
        <w:rPr>
          <w:rFonts w:ascii="Times New Roman" w:hAnsi="Times New Roman" w:cs="Times New Roman"/>
          <w:sz w:val="24"/>
          <w:szCs w:val="24"/>
        </w:rPr>
        <w:t xml:space="preserve">This is crucial to examine as </w:t>
      </w:r>
      <w:bookmarkStart w:id="42" w:name="_Hlk157193031"/>
      <w:r w:rsidR="00B81E6A">
        <w:rPr>
          <w:rFonts w:ascii="Times New Roman" w:hAnsi="Times New Roman" w:cs="Times New Roman"/>
          <w:sz w:val="24"/>
          <w:szCs w:val="24"/>
        </w:rPr>
        <w:t>brand likeability serves as a main determinant to other important brand-related concepts (such as brand satisfaction) and gives an indication for the quality of consumer-brand relationship</w:t>
      </w:r>
      <w:bookmarkEnd w:id="42"/>
      <w:r w:rsidRPr="00A77810">
        <w:rPr>
          <w:rFonts w:asciiTheme="majorBidi" w:hAnsiTheme="majorBidi" w:cstheme="majorBidi"/>
          <w:sz w:val="24"/>
          <w:szCs w:val="24"/>
        </w:rPr>
        <w:t xml:space="preserve"> </w:t>
      </w:r>
      <w:sdt>
        <w:sdtPr>
          <w:rPr>
            <w:rFonts w:asciiTheme="majorBidi" w:hAnsiTheme="majorBidi" w:cstheme="majorBidi"/>
            <w:sz w:val="24"/>
            <w:szCs w:val="24"/>
          </w:rPr>
          <w:id w:val="150855312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Lam13 \l 2057  \m Ngu13</w:instrText>
          </w:r>
          <w:r>
            <w:rPr>
              <w:rFonts w:asciiTheme="majorBidi" w:hAnsiTheme="majorBidi" w:cstheme="majorBidi"/>
              <w:sz w:val="24"/>
              <w:szCs w:val="24"/>
            </w:rPr>
            <w:fldChar w:fldCharType="separate"/>
          </w:r>
          <w:r w:rsidRPr="0088479E">
            <w:rPr>
              <w:rFonts w:asciiTheme="majorBidi" w:hAnsiTheme="majorBidi" w:cstheme="majorBidi"/>
              <w:noProof/>
              <w:sz w:val="24"/>
              <w:szCs w:val="24"/>
            </w:rPr>
            <w:t>(Lam, Ahearne, Mullins, Hayati, &amp; Schillewaert , 2013; Nguyen, Melewar, &amp; Chen, 2013)</w:t>
          </w:r>
          <w:r>
            <w:rPr>
              <w:rFonts w:asciiTheme="majorBidi" w:hAnsiTheme="majorBidi" w:cstheme="majorBidi"/>
              <w:sz w:val="24"/>
              <w:szCs w:val="24"/>
            </w:rPr>
            <w:fldChar w:fldCharType="end"/>
          </w:r>
        </w:sdtContent>
      </w:sdt>
      <w:r w:rsidR="00B81E6A">
        <w:rPr>
          <w:rFonts w:ascii="Times New Roman" w:hAnsi="Times New Roman" w:cs="Times New Roman"/>
          <w:sz w:val="24"/>
          <w:szCs w:val="24"/>
        </w:rPr>
        <w:t>.</w:t>
      </w:r>
      <w:r w:rsidR="00293F21">
        <w:rPr>
          <w:rFonts w:ascii="Times New Roman" w:hAnsi="Times New Roman" w:cs="Times New Roman"/>
          <w:sz w:val="24"/>
          <w:szCs w:val="24"/>
        </w:rPr>
        <w:t xml:space="preserve"> Actually, it was demonstrated in table </w:t>
      </w:r>
      <w:r w:rsidR="00727E91">
        <w:rPr>
          <w:rFonts w:ascii="Times New Roman" w:hAnsi="Times New Roman" w:cs="Times New Roman"/>
          <w:sz w:val="24"/>
          <w:szCs w:val="24"/>
        </w:rPr>
        <w:t>five</w:t>
      </w:r>
      <w:r w:rsidR="00293F21">
        <w:rPr>
          <w:rFonts w:ascii="Times New Roman" w:hAnsi="Times New Roman" w:cs="Times New Roman"/>
          <w:sz w:val="24"/>
          <w:szCs w:val="24"/>
        </w:rPr>
        <w:t xml:space="preserve"> that there are some similarities in the impact of CSR and non-CSR communication. </w:t>
      </w:r>
      <w:r>
        <w:rPr>
          <w:rFonts w:ascii="Times New Roman" w:hAnsi="Times New Roman" w:cs="Times New Roman"/>
          <w:sz w:val="24"/>
          <w:szCs w:val="24"/>
        </w:rPr>
        <w:t xml:space="preserve">For that reason, </w:t>
      </w:r>
      <w:r w:rsidR="00A96566">
        <w:rPr>
          <w:rFonts w:ascii="Times New Roman" w:hAnsi="Times New Roman" w:cs="Times New Roman"/>
          <w:sz w:val="24"/>
          <w:szCs w:val="24"/>
        </w:rPr>
        <w:t xml:space="preserve">this study posits the below hypothesis: </w:t>
      </w:r>
    </w:p>
    <w:p w14:paraId="2A64386D" w14:textId="25B88083" w:rsidR="00A96566" w:rsidRPr="001946AE" w:rsidRDefault="00A96566" w:rsidP="00A96566">
      <w:pPr>
        <w:pStyle w:val="NormalWeb"/>
        <w:spacing w:before="67" w:beforeAutospacing="0" w:after="120" w:afterAutospacing="0" w:line="480" w:lineRule="auto"/>
        <w:ind w:firstLine="720"/>
        <w:rPr>
          <w:rFonts w:asciiTheme="majorBidi" w:eastAsia="Arial" w:hAnsiTheme="majorBidi" w:cstheme="majorBidi"/>
        </w:rPr>
      </w:pPr>
      <w:bookmarkStart w:id="43" w:name="_Hlk136376398"/>
      <w:r w:rsidRPr="008D75D3">
        <w:rPr>
          <w:rFonts w:asciiTheme="majorBidi" w:eastAsia="Arial" w:hAnsiTheme="majorBidi" w:cstheme="majorBidi"/>
        </w:rPr>
        <w:t>H</w:t>
      </w:r>
      <w:r w:rsidR="00287490">
        <w:rPr>
          <w:rFonts w:asciiTheme="majorBidi" w:eastAsia="Arial" w:hAnsiTheme="majorBidi" w:cstheme="majorBidi"/>
        </w:rPr>
        <w:t>1</w:t>
      </w:r>
      <w:r w:rsidRPr="008D75D3">
        <w:rPr>
          <w:rFonts w:asciiTheme="majorBidi" w:eastAsia="Arial" w:hAnsiTheme="majorBidi" w:cstheme="majorBidi"/>
        </w:rPr>
        <w:t xml:space="preserve">: CSR communication </w:t>
      </w:r>
      <w:r w:rsidR="00B92945">
        <w:rPr>
          <w:rFonts w:asciiTheme="majorBidi" w:eastAsia="Arial" w:hAnsiTheme="majorBidi" w:cstheme="majorBidi"/>
        </w:rPr>
        <w:t>has</w:t>
      </w:r>
      <w:r w:rsidRPr="008D75D3">
        <w:rPr>
          <w:rFonts w:asciiTheme="majorBidi" w:eastAsia="Arial" w:hAnsiTheme="majorBidi" w:cstheme="majorBidi"/>
        </w:rPr>
        <w:t xml:space="preserve"> a</w:t>
      </w:r>
      <w:r w:rsidR="00293F21">
        <w:rPr>
          <w:rFonts w:asciiTheme="majorBidi" w:eastAsia="Arial" w:hAnsiTheme="majorBidi" w:cstheme="majorBidi"/>
        </w:rPr>
        <w:t xml:space="preserve"> </w:t>
      </w:r>
      <w:r w:rsidR="00293F21" w:rsidRPr="00250747">
        <w:rPr>
          <w:rFonts w:asciiTheme="majorBidi" w:eastAsia="Arial" w:hAnsiTheme="majorBidi" w:cstheme="majorBidi"/>
        </w:rPr>
        <w:t>positive</w:t>
      </w:r>
      <w:r w:rsidR="00293F21">
        <w:rPr>
          <w:rFonts w:asciiTheme="majorBidi" w:eastAsia="Arial" w:hAnsiTheme="majorBidi" w:cstheme="majorBidi"/>
        </w:rPr>
        <w:t xml:space="preserve"> </w:t>
      </w:r>
      <w:r w:rsidRPr="008D75D3">
        <w:rPr>
          <w:rFonts w:asciiTheme="majorBidi" w:eastAsia="Arial" w:hAnsiTheme="majorBidi" w:cstheme="majorBidi"/>
        </w:rPr>
        <w:t xml:space="preserve">effect on </w:t>
      </w:r>
      <w:r>
        <w:rPr>
          <w:rFonts w:asciiTheme="majorBidi" w:eastAsia="Arial" w:hAnsiTheme="majorBidi" w:cstheme="majorBidi"/>
        </w:rPr>
        <w:t xml:space="preserve">(a) </w:t>
      </w:r>
      <w:r w:rsidRPr="008D75D3">
        <w:rPr>
          <w:rFonts w:asciiTheme="majorBidi" w:eastAsia="Arial" w:hAnsiTheme="majorBidi" w:cstheme="majorBidi"/>
        </w:rPr>
        <w:t xml:space="preserve">brand likeability and </w:t>
      </w:r>
      <w:r>
        <w:rPr>
          <w:rFonts w:asciiTheme="majorBidi" w:eastAsia="Arial" w:hAnsiTheme="majorBidi" w:cstheme="majorBidi"/>
        </w:rPr>
        <w:t xml:space="preserve">(b) ad likeability </w:t>
      </w:r>
      <w:r w:rsidRPr="008D75D3">
        <w:rPr>
          <w:rFonts w:asciiTheme="majorBidi" w:eastAsia="Arial" w:hAnsiTheme="majorBidi" w:cstheme="majorBidi"/>
        </w:rPr>
        <w:t>o</w:t>
      </w:r>
      <w:r>
        <w:rPr>
          <w:rFonts w:asciiTheme="majorBidi" w:eastAsia="Arial" w:hAnsiTheme="majorBidi" w:cstheme="majorBidi"/>
        </w:rPr>
        <w:t xml:space="preserve">n </w:t>
      </w:r>
      <w:r w:rsidRPr="008D75D3">
        <w:rPr>
          <w:rFonts w:asciiTheme="majorBidi" w:eastAsia="Arial" w:hAnsiTheme="majorBidi" w:cstheme="majorBidi"/>
        </w:rPr>
        <w:t>consumers in Egypt more than non-CSR communication.</w:t>
      </w:r>
    </w:p>
    <w:bookmarkEnd w:id="43"/>
    <w:p w14:paraId="61D56E7C" w14:textId="5CFB21D1" w:rsidR="00A96566" w:rsidRDefault="00A96566" w:rsidP="00C55DE1">
      <w:pPr>
        <w:adjustRightInd w:val="0"/>
        <w:spacing w:after="0" w:line="480" w:lineRule="auto"/>
        <w:ind w:firstLine="360"/>
        <w:jc w:val="lowKashida"/>
        <w:rPr>
          <w:rFonts w:ascii="Times New Roman" w:hAnsi="Times New Roman" w:cs="Times New Roman"/>
          <w:b/>
          <w:bCs/>
          <w:sz w:val="24"/>
          <w:szCs w:val="24"/>
        </w:rPr>
      </w:pPr>
      <w:r w:rsidRPr="00C8053C">
        <w:rPr>
          <w:rFonts w:asciiTheme="majorBidi" w:hAnsiTheme="majorBidi" w:cstheme="majorBidi"/>
          <w:b/>
          <w:bCs/>
          <w:sz w:val="24"/>
          <w:szCs w:val="24"/>
        </w:rPr>
        <w:t xml:space="preserve"> </w:t>
      </w:r>
      <w:r w:rsidR="00460517">
        <w:rPr>
          <w:rFonts w:asciiTheme="majorBidi" w:hAnsiTheme="majorBidi" w:cstheme="majorBidi"/>
          <w:b/>
          <w:bCs/>
          <w:sz w:val="24"/>
          <w:szCs w:val="24"/>
        </w:rPr>
        <w:t>2</w:t>
      </w:r>
      <w:r w:rsidRPr="00C8053C">
        <w:rPr>
          <w:rFonts w:asciiTheme="majorBidi" w:hAnsiTheme="majorBidi" w:cstheme="majorBidi"/>
          <w:b/>
          <w:bCs/>
          <w:sz w:val="24"/>
          <w:szCs w:val="24"/>
        </w:rPr>
        <w:t>.</w:t>
      </w:r>
      <w:r w:rsidR="00DD69CF">
        <w:rPr>
          <w:rFonts w:asciiTheme="majorBidi" w:hAnsiTheme="majorBidi" w:cstheme="majorBidi"/>
          <w:b/>
          <w:bCs/>
          <w:sz w:val="24"/>
          <w:szCs w:val="24"/>
        </w:rPr>
        <w:t>7</w:t>
      </w:r>
      <w:r w:rsidR="00683658">
        <w:rPr>
          <w:rFonts w:asciiTheme="majorBidi" w:hAnsiTheme="majorBidi" w:cstheme="majorBidi"/>
          <w:b/>
          <w:bCs/>
          <w:sz w:val="24"/>
          <w:szCs w:val="24"/>
        </w:rPr>
        <w:t>.4</w:t>
      </w:r>
      <w:r w:rsidRPr="00C8053C">
        <w:rPr>
          <w:rFonts w:asciiTheme="majorBidi" w:hAnsiTheme="majorBidi" w:cstheme="majorBidi"/>
          <w:b/>
          <w:bCs/>
          <w:sz w:val="24"/>
          <w:szCs w:val="24"/>
        </w:rPr>
        <w:t xml:space="preserve"> </w:t>
      </w:r>
      <w:r>
        <w:rPr>
          <w:rFonts w:asciiTheme="majorBidi" w:hAnsiTheme="majorBidi" w:cstheme="majorBidi"/>
          <w:b/>
          <w:bCs/>
          <w:sz w:val="24"/>
          <w:szCs w:val="24"/>
        </w:rPr>
        <w:t xml:space="preserve">CSR and </w:t>
      </w:r>
      <w:r w:rsidRPr="00C8053C">
        <w:rPr>
          <w:rFonts w:ascii="Times New Roman" w:hAnsi="Times New Roman" w:cs="Times New Roman"/>
          <w:b/>
          <w:bCs/>
          <w:sz w:val="24"/>
          <w:szCs w:val="24"/>
        </w:rPr>
        <w:t xml:space="preserve">Brand Trust </w:t>
      </w:r>
    </w:p>
    <w:p w14:paraId="53FC706D" w14:textId="56558A68" w:rsidR="00A96566" w:rsidRDefault="00A96566" w:rsidP="00C55DE1">
      <w:pPr>
        <w:spacing w:after="0" w:line="480" w:lineRule="auto"/>
        <w:ind w:firstLine="360"/>
        <w:rPr>
          <w:rFonts w:ascii="Times New Roman" w:hAnsi="Times New Roman" w:cs="Times New Roman"/>
          <w:sz w:val="24"/>
          <w:szCs w:val="24"/>
        </w:rPr>
      </w:pPr>
      <w:r w:rsidRPr="00D04716">
        <w:rPr>
          <w:rFonts w:ascii="Times New Roman" w:hAnsi="Times New Roman" w:cs="Times New Roman"/>
          <w:sz w:val="24"/>
          <w:szCs w:val="24"/>
        </w:rPr>
        <w:t xml:space="preserve">There is a considerable body of literature that provides evidence that brand trust helps increase consumers’ brand loyalty and willingness to buy </w:t>
      </w:r>
      <w:sdt>
        <w:sdtPr>
          <w:rPr>
            <w:rFonts w:ascii="Times New Roman" w:hAnsi="Times New Roman" w:cs="Times New Roman"/>
            <w:sz w:val="24"/>
            <w:szCs w:val="24"/>
          </w:rPr>
          <w:id w:val="932323574"/>
          <w:citation/>
        </w:sdtPr>
        <w:sdtContent>
          <w:r w:rsidRPr="00D04716">
            <w:rPr>
              <w:rFonts w:ascii="Times New Roman" w:hAnsi="Times New Roman" w:cs="Times New Roman"/>
              <w:sz w:val="24"/>
              <w:szCs w:val="24"/>
            </w:rPr>
            <w:fldChar w:fldCharType="begin"/>
          </w:r>
          <w:r w:rsidR="00C25DE1">
            <w:rPr>
              <w:rFonts w:ascii="Times New Roman" w:hAnsi="Times New Roman" w:cs="Times New Roman"/>
              <w:sz w:val="24"/>
              <w:szCs w:val="24"/>
            </w:rPr>
            <w:instrText>CITATION Las15 \l 2057  \m Rat19</w:instrText>
          </w:r>
          <w:r w:rsidRPr="00D04716">
            <w:rPr>
              <w:rFonts w:ascii="Times New Roman" w:hAnsi="Times New Roman" w:cs="Times New Roman"/>
              <w:sz w:val="24"/>
              <w:szCs w:val="24"/>
            </w:rPr>
            <w:fldChar w:fldCharType="separate"/>
          </w:r>
          <w:r w:rsidR="00C25DE1" w:rsidRPr="00C25DE1">
            <w:rPr>
              <w:rFonts w:ascii="Times New Roman" w:hAnsi="Times New Roman" w:cs="Times New Roman"/>
              <w:noProof/>
              <w:sz w:val="24"/>
              <w:szCs w:val="24"/>
            </w:rPr>
            <w:t>(Lassoued &amp; Hobbs, 2015; Rather &amp; Hollebeek, 2019)</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w:t>
      </w:r>
      <w:r w:rsidR="007A4041">
        <w:rPr>
          <w:rFonts w:ascii="Times New Roman" w:hAnsi="Times New Roman" w:cs="Times New Roman"/>
          <w:sz w:val="24"/>
          <w:szCs w:val="24"/>
        </w:rPr>
        <w:t>P</w:t>
      </w:r>
      <w:r w:rsidR="005C04FC" w:rsidRPr="00BB72D7">
        <w:rPr>
          <w:rFonts w:ascii="Times New Roman" w:hAnsi="Times New Roman" w:cs="Times New Roman"/>
          <w:sz w:val="24"/>
          <w:szCs w:val="24"/>
        </w:rPr>
        <w:t>lenty of studies in literature conclude that “trustworthiness” positively impacts the processing of information presented in communication</w:t>
      </w:r>
      <w:sdt>
        <w:sdtPr>
          <w:rPr>
            <w:rFonts w:ascii="Times New Roman" w:hAnsi="Times New Roman" w:cs="Times New Roman"/>
            <w:sz w:val="24"/>
            <w:szCs w:val="24"/>
          </w:rPr>
          <w:id w:val="-1426725739"/>
          <w:citation/>
        </w:sdtPr>
        <w:sdtContent>
          <w:r w:rsidR="005C04FC" w:rsidRPr="00BB72D7">
            <w:rPr>
              <w:rFonts w:ascii="Times New Roman" w:hAnsi="Times New Roman" w:cs="Times New Roman"/>
              <w:sz w:val="24"/>
              <w:szCs w:val="24"/>
            </w:rPr>
            <w:fldChar w:fldCharType="begin"/>
          </w:r>
          <w:r w:rsidR="005C04FC" w:rsidRPr="00BB72D7">
            <w:rPr>
              <w:rFonts w:ascii="Times New Roman" w:hAnsi="Times New Roman" w:cs="Times New Roman"/>
              <w:sz w:val="24"/>
              <w:szCs w:val="24"/>
            </w:rPr>
            <w:instrText xml:space="preserve"> CITATION Ism201 \l 2057  \m Sal17 \m Sha171</w:instrText>
          </w:r>
          <w:r w:rsidR="005C04FC" w:rsidRPr="00BB72D7">
            <w:rPr>
              <w:rFonts w:ascii="Times New Roman" w:hAnsi="Times New Roman" w:cs="Times New Roman"/>
              <w:sz w:val="24"/>
              <w:szCs w:val="24"/>
            </w:rPr>
            <w:fldChar w:fldCharType="separate"/>
          </w:r>
          <w:r w:rsidR="005C04FC">
            <w:rPr>
              <w:rFonts w:ascii="Times New Roman" w:hAnsi="Times New Roman" w:cs="Times New Roman"/>
              <w:noProof/>
              <w:sz w:val="24"/>
              <w:szCs w:val="24"/>
            </w:rPr>
            <w:t xml:space="preserve"> </w:t>
          </w:r>
          <w:r w:rsidR="005C04FC" w:rsidRPr="0002256A">
            <w:rPr>
              <w:rFonts w:ascii="Times New Roman" w:hAnsi="Times New Roman" w:cs="Times New Roman"/>
              <w:noProof/>
              <w:sz w:val="24"/>
              <w:szCs w:val="24"/>
            </w:rPr>
            <w:t>(Ismagilova E. , Slade , Rana, &amp; Dwivedi, 2020; Saleem &amp; Ellahi, 2017; Shang, Wu, &amp; Sie, 2017)</w:t>
          </w:r>
          <w:r w:rsidR="005C04FC" w:rsidRPr="00BB72D7">
            <w:rPr>
              <w:rFonts w:ascii="Times New Roman" w:hAnsi="Times New Roman" w:cs="Times New Roman"/>
              <w:sz w:val="24"/>
              <w:szCs w:val="24"/>
            </w:rPr>
            <w:fldChar w:fldCharType="end"/>
          </w:r>
        </w:sdtContent>
      </w:sdt>
      <w:r w:rsidR="005C04FC">
        <w:rPr>
          <w:rFonts w:ascii="Times New Roman" w:hAnsi="Times New Roman" w:cs="Times New Roman"/>
          <w:sz w:val="24"/>
          <w:szCs w:val="24"/>
        </w:rPr>
        <w:t xml:space="preserve">. </w:t>
      </w:r>
      <w:r w:rsidR="00293F21">
        <w:rPr>
          <w:rFonts w:ascii="Times New Roman" w:hAnsi="Times New Roman" w:cs="Times New Roman"/>
          <w:sz w:val="24"/>
          <w:szCs w:val="24"/>
        </w:rPr>
        <w:t xml:space="preserve">This makes brand trust an essential variable to examine especially in the CSR context. </w:t>
      </w:r>
      <w:r w:rsidRPr="00D04716">
        <w:rPr>
          <w:rFonts w:ascii="Times New Roman" w:hAnsi="Times New Roman" w:cs="Times New Roman"/>
          <w:sz w:val="24"/>
          <w:szCs w:val="24"/>
        </w:rPr>
        <w:t>Due to frequent incidents of false advertising and illegalities committed by the company, consumers have become cynical of the motives behind CSR communication</w:t>
      </w:r>
      <w:r w:rsidRPr="00D108EE">
        <w:rPr>
          <w:rFonts w:ascii="Times New Roman" w:hAnsi="Times New Roman" w:cs="Times New Roman"/>
          <w:sz w:val="24"/>
          <w:szCs w:val="24"/>
        </w:rPr>
        <w:t xml:space="preserve"> </w:t>
      </w:r>
      <w:sdt>
        <w:sdtPr>
          <w:rPr>
            <w:rFonts w:ascii="Times New Roman" w:hAnsi="Times New Roman" w:cs="Times New Roman"/>
            <w:sz w:val="24"/>
            <w:szCs w:val="24"/>
          </w:rPr>
          <w:id w:val="-677422084"/>
          <w:citation/>
        </w:sdtPr>
        <w:sdtContent>
          <w:r w:rsidR="00B92945" w:rsidRPr="00D04716">
            <w:rPr>
              <w:rFonts w:ascii="Times New Roman" w:hAnsi="Times New Roman" w:cs="Times New Roman"/>
              <w:sz w:val="24"/>
              <w:szCs w:val="24"/>
            </w:rPr>
            <w:fldChar w:fldCharType="begin"/>
          </w:r>
          <w:r w:rsidR="00B92945" w:rsidRPr="00D04716">
            <w:rPr>
              <w:rFonts w:ascii="Times New Roman" w:hAnsi="Times New Roman" w:cs="Times New Roman"/>
              <w:sz w:val="24"/>
              <w:szCs w:val="24"/>
            </w:rPr>
            <w:instrText xml:space="preserve"> CITATION Loc16 \l 2057 </w:instrText>
          </w:r>
          <w:r w:rsidR="00B92945" w:rsidRPr="00D04716">
            <w:rPr>
              <w:rFonts w:ascii="Times New Roman" w:hAnsi="Times New Roman" w:cs="Times New Roman"/>
              <w:sz w:val="24"/>
              <w:szCs w:val="24"/>
            </w:rPr>
            <w:fldChar w:fldCharType="separate"/>
          </w:r>
          <w:r w:rsidR="00B92945" w:rsidRPr="00D04716">
            <w:rPr>
              <w:rFonts w:ascii="Times New Roman" w:hAnsi="Times New Roman" w:cs="Times New Roman"/>
              <w:sz w:val="24"/>
              <w:szCs w:val="24"/>
            </w:rPr>
            <w:t>(Lock &amp; Seele, 2016)</w:t>
          </w:r>
          <w:r w:rsidR="00B92945" w:rsidRPr="00D04716">
            <w:rPr>
              <w:rFonts w:ascii="Times New Roman" w:hAnsi="Times New Roman" w:cs="Times New Roman"/>
              <w:sz w:val="24"/>
              <w:szCs w:val="24"/>
            </w:rPr>
            <w:fldChar w:fldCharType="end"/>
          </w:r>
        </w:sdtContent>
      </w:sdt>
      <w:r w:rsidR="00B92945">
        <w:rPr>
          <w:rFonts w:ascii="Times New Roman" w:hAnsi="Times New Roman" w:cs="Times New Roman"/>
          <w:sz w:val="24"/>
          <w:szCs w:val="24"/>
        </w:rPr>
        <w:t xml:space="preserve">. </w:t>
      </w:r>
      <w:r w:rsidRPr="00D04716">
        <w:rPr>
          <w:rFonts w:ascii="Times New Roman" w:hAnsi="Times New Roman" w:cs="Times New Roman"/>
          <w:sz w:val="24"/>
          <w:szCs w:val="24"/>
        </w:rPr>
        <w:t>Especially certain types of CSR communication such as monological CSR communication</w:t>
      </w:r>
      <w:r>
        <w:rPr>
          <w:rFonts w:ascii="Times New Roman" w:hAnsi="Times New Roman" w:cs="Times New Roman"/>
          <w:sz w:val="24"/>
          <w:szCs w:val="24"/>
        </w:rPr>
        <w:t>,</w:t>
      </w:r>
      <w:r w:rsidRPr="00D04716">
        <w:rPr>
          <w:rFonts w:ascii="Times New Roman" w:hAnsi="Times New Roman" w:cs="Times New Roman"/>
          <w:sz w:val="24"/>
          <w:szCs w:val="24"/>
        </w:rPr>
        <w:t xml:space="preserve"> in which the communication is narrated by a single character</w:t>
      </w:r>
      <w:r>
        <w:rPr>
          <w:rFonts w:ascii="Times New Roman" w:hAnsi="Times New Roman" w:cs="Times New Roman"/>
          <w:sz w:val="24"/>
          <w:szCs w:val="24"/>
        </w:rPr>
        <w:t>,</w:t>
      </w:r>
      <w:r w:rsidRPr="00D04716">
        <w:rPr>
          <w:rFonts w:ascii="Times New Roman" w:hAnsi="Times New Roman" w:cs="Times New Roman"/>
          <w:sz w:val="24"/>
          <w:szCs w:val="24"/>
        </w:rPr>
        <w:t xml:space="preserve"> is likely to increase consumers’ suspicion of the company’s intentions </w:t>
      </w:r>
      <w:sdt>
        <w:sdtPr>
          <w:rPr>
            <w:rFonts w:ascii="Times New Roman" w:hAnsi="Times New Roman" w:cs="Times New Roman"/>
            <w:sz w:val="24"/>
            <w:szCs w:val="24"/>
          </w:rPr>
          <w:id w:val="-1479448823"/>
          <w:citation/>
        </w:sdtPr>
        <w:sdtContent>
          <w:r w:rsidRPr="00D04716">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Kim17 \t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(Kim Y. , 2017)</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w:t>
      </w:r>
      <w:r w:rsidR="005C04FC">
        <w:rPr>
          <w:rFonts w:ascii="Times New Roman" w:hAnsi="Times New Roman" w:cs="Times New Roman"/>
          <w:sz w:val="24"/>
          <w:szCs w:val="24"/>
        </w:rPr>
        <w:t>O</w:t>
      </w:r>
      <w:r w:rsidRPr="00D04716">
        <w:rPr>
          <w:rFonts w:ascii="Times New Roman" w:hAnsi="Times New Roman" w:cs="Times New Roman"/>
          <w:sz w:val="24"/>
          <w:szCs w:val="24"/>
        </w:rPr>
        <w:t xml:space="preserve">ther researchers argue that other types of CSR communication such as the dialogical CSR communication has an opposite effect in which it is ideal for developing consumers’ trust with the brand </w:t>
      </w:r>
      <w:sdt>
        <w:sdtPr>
          <w:rPr>
            <w:rFonts w:ascii="Times New Roman" w:hAnsi="Times New Roman" w:cs="Times New Roman"/>
            <w:sz w:val="24"/>
            <w:szCs w:val="24"/>
          </w:rPr>
          <w:id w:val="710847036"/>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And20 \l 2057  \m Dai22 \m Lee21</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(Andersen &amp; Høvring, 2020; Dai &amp; Reich, 2022; Lee, Kim, &amp; Kim, 2021)</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w:t>
      </w:r>
      <w:r w:rsidR="005C04FC">
        <w:rPr>
          <w:rFonts w:ascii="Times New Roman" w:hAnsi="Times New Roman" w:cs="Times New Roman"/>
          <w:sz w:val="24"/>
          <w:szCs w:val="24"/>
        </w:rPr>
        <w:t>Actually, t</w:t>
      </w:r>
      <w:r w:rsidRPr="00D04716">
        <w:rPr>
          <w:rFonts w:ascii="Times New Roman" w:hAnsi="Times New Roman" w:cs="Times New Roman"/>
          <w:sz w:val="24"/>
          <w:szCs w:val="24"/>
        </w:rPr>
        <w:t xml:space="preserve">he </w:t>
      </w:r>
      <w:r w:rsidRPr="00460517">
        <w:rPr>
          <w:rFonts w:ascii="Times New Roman" w:hAnsi="Times New Roman" w:cs="Times New Roman"/>
          <w:sz w:val="24"/>
          <w:szCs w:val="24"/>
        </w:rPr>
        <w:t xml:space="preserve">more CSR communication can effectively </w:t>
      </w:r>
      <w:r w:rsidR="005C04FC" w:rsidRPr="00460517">
        <w:rPr>
          <w:rFonts w:ascii="Times New Roman" w:hAnsi="Times New Roman" w:cs="Times New Roman"/>
          <w:sz w:val="24"/>
          <w:szCs w:val="24"/>
        </w:rPr>
        <w:t>share</w:t>
      </w:r>
      <w:r w:rsidRPr="00460517">
        <w:rPr>
          <w:rFonts w:ascii="Times New Roman" w:hAnsi="Times New Roman" w:cs="Times New Roman"/>
          <w:sz w:val="24"/>
          <w:szCs w:val="24"/>
        </w:rPr>
        <w:t xml:space="preserve"> information about the CSR campaign</w:t>
      </w:r>
      <w:r w:rsidR="005C04FC" w:rsidRPr="00460517">
        <w:rPr>
          <w:rFonts w:ascii="Times New Roman" w:hAnsi="Times New Roman" w:cs="Times New Roman"/>
          <w:sz w:val="24"/>
          <w:szCs w:val="24"/>
        </w:rPr>
        <w:t xml:space="preserve">, the more </w:t>
      </w:r>
      <w:r w:rsidRPr="00460517">
        <w:rPr>
          <w:rFonts w:ascii="Times New Roman" w:hAnsi="Times New Roman" w:cs="Times New Roman"/>
          <w:sz w:val="24"/>
          <w:szCs w:val="24"/>
        </w:rPr>
        <w:t>positive influence</w:t>
      </w:r>
      <w:r w:rsidR="005C04FC" w:rsidRPr="00460517">
        <w:rPr>
          <w:rFonts w:ascii="Times New Roman" w:hAnsi="Times New Roman" w:cs="Times New Roman"/>
          <w:sz w:val="24"/>
          <w:szCs w:val="24"/>
        </w:rPr>
        <w:t xml:space="preserve"> that CSR will have on</w:t>
      </w:r>
      <w:r w:rsidRPr="00460517">
        <w:rPr>
          <w:rFonts w:ascii="Times New Roman" w:hAnsi="Times New Roman" w:cs="Times New Roman"/>
          <w:sz w:val="24"/>
          <w:szCs w:val="24"/>
        </w:rPr>
        <w:t xml:space="preserve"> consumers’ trust in the company and its brands </w:t>
      </w:r>
      <w:sdt>
        <w:sdtPr>
          <w:rPr>
            <w:rFonts w:ascii="Times New Roman" w:hAnsi="Times New Roman" w:cs="Times New Roman"/>
            <w:sz w:val="24"/>
            <w:szCs w:val="24"/>
          </w:rPr>
          <w:id w:val="1812142900"/>
          <w:citation/>
        </w:sdtPr>
        <w:sdtContent>
          <w:r w:rsidRPr="00460517">
            <w:rPr>
              <w:rFonts w:ascii="Times New Roman" w:hAnsi="Times New Roman" w:cs="Times New Roman"/>
              <w:sz w:val="24"/>
              <w:szCs w:val="24"/>
            </w:rPr>
            <w:fldChar w:fldCharType="begin"/>
          </w:r>
          <w:r w:rsidRPr="00460517">
            <w:rPr>
              <w:rFonts w:ascii="Times New Roman" w:hAnsi="Times New Roman" w:cs="Times New Roman"/>
              <w:sz w:val="24"/>
              <w:szCs w:val="24"/>
            </w:rPr>
            <w:instrText xml:space="preserve"> CITATION Jav19 \l 2057  \m Sun20 \m Zha191</w:instrText>
          </w:r>
          <w:r w:rsidRPr="00460517">
            <w:rPr>
              <w:rFonts w:ascii="Times New Roman" w:hAnsi="Times New Roman" w:cs="Times New Roman"/>
              <w:sz w:val="24"/>
              <w:szCs w:val="24"/>
            </w:rPr>
            <w:fldChar w:fldCharType="separate"/>
          </w:r>
          <w:r w:rsidRPr="00460517">
            <w:rPr>
              <w:rFonts w:ascii="Times New Roman" w:hAnsi="Times New Roman" w:cs="Times New Roman"/>
              <w:noProof/>
              <w:sz w:val="24"/>
              <w:szCs w:val="24"/>
            </w:rPr>
            <w:t>(Javed, Degong, &amp; Qadeer, 2019; Sun &amp; Wang, 2020; Zhao, Lee, &amp; Copeland , 2019)</w:t>
          </w:r>
          <w:r w:rsidRPr="00460517">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r>
        <w:rPr>
          <w:rFonts w:ascii="Times New Roman" w:hAnsi="Times New Roman" w:cs="Times New Roman"/>
          <w:sz w:val="24"/>
          <w:szCs w:val="24"/>
        </w:rPr>
        <w:t xml:space="preserve"> </w:t>
      </w:r>
      <w:r w:rsidRPr="00D04716">
        <w:rPr>
          <w:rFonts w:ascii="Times New Roman" w:hAnsi="Times New Roman" w:cs="Times New Roman"/>
          <w:sz w:val="24"/>
          <w:szCs w:val="24"/>
        </w:rPr>
        <w:t>Noticeably, based on previous research, CSR can have a positive impact on consumers’ trust for the company and its brands if certain strategies are carefully implemented in the CSR communication strategies</w:t>
      </w:r>
      <w:sdt>
        <w:sdtPr>
          <w:rPr>
            <w:rFonts w:ascii="Times New Roman" w:hAnsi="Times New Roman" w:cs="Times New Roman"/>
            <w:sz w:val="24"/>
            <w:szCs w:val="24"/>
          </w:rPr>
          <w:id w:val="2057588645"/>
          <w:citation/>
        </w:sdtPr>
        <w:sdtContent>
          <w:r w:rsidR="009F5321">
            <w:rPr>
              <w:rFonts w:ascii="Times New Roman" w:hAnsi="Times New Roman" w:cs="Times New Roman"/>
              <w:sz w:val="24"/>
              <w:szCs w:val="24"/>
            </w:rPr>
            <w:fldChar w:fldCharType="begin"/>
          </w:r>
          <w:r w:rsidR="00250747">
            <w:rPr>
              <w:rFonts w:ascii="Times New Roman" w:hAnsi="Times New Roman" w:cs="Times New Roman"/>
              <w:sz w:val="24"/>
              <w:szCs w:val="24"/>
            </w:rPr>
            <w:instrText xml:space="preserve">CITATION Kim191 \t  \m Kim19 \t  \l 2057 </w:instrText>
          </w:r>
          <w:r w:rsidR="009F5321">
            <w:rPr>
              <w:rFonts w:ascii="Times New Roman" w:hAnsi="Times New Roman" w:cs="Times New Roman"/>
              <w:sz w:val="24"/>
              <w:szCs w:val="24"/>
            </w:rPr>
            <w:fldChar w:fldCharType="separate"/>
          </w:r>
          <w:r w:rsidR="00250747">
            <w:rPr>
              <w:rFonts w:ascii="Times New Roman" w:hAnsi="Times New Roman" w:cs="Times New Roman"/>
              <w:noProof/>
              <w:sz w:val="24"/>
              <w:szCs w:val="24"/>
            </w:rPr>
            <w:t xml:space="preserve"> </w:t>
          </w:r>
          <w:r w:rsidR="00250747" w:rsidRPr="00250747">
            <w:rPr>
              <w:rFonts w:ascii="Times New Roman" w:hAnsi="Times New Roman" w:cs="Times New Roman"/>
              <w:noProof/>
              <w:sz w:val="24"/>
              <w:szCs w:val="24"/>
            </w:rPr>
            <w:t>(Kim S. , 2019; Kim &amp; Ferguson, 2019)</w:t>
          </w:r>
          <w:r w:rsidR="009F5321">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r w:rsidR="003606DE">
        <w:rPr>
          <w:rFonts w:ascii="Times New Roman" w:hAnsi="Times New Roman" w:cs="Times New Roman"/>
          <w:sz w:val="24"/>
          <w:szCs w:val="24"/>
        </w:rPr>
        <w:t xml:space="preserve"> It is apparent in literature that CSR can facilitate brand trust as CSR increases the company’s brand credibility </w:t>
      </w:r>
      <w:sdt>
        <w:sdtPr>
          <w:rPr>
            <w:rFonts w:ascii="Times New Roman" w:hAnsi="Times New Roman" w:cs="Times New Roman"/>
            <w:sz w:val="24"/>
            <w:szCs w:val="24"/>
          </w:rPr>
          <w:id w:val="-1397119350"/>
          <w:citation/>
        </w:sdtPr>
        <w:sdtContent>
          <w:r w:rsidR="003606DE">
            <w:rPr>
              <w:rFonts w:ascii="Times New Roman" w:hAnsi="Times New Roman" w:cs="Times New Roman"/>
              <w:sz w:val="24"/>
              <w:szCs w:val="24"/>
            </w:rPr>
            <w:fldChar w:fldCharType="begin"/>
          </w:r>
          <w:r w:rsidR="003606DE">
            <w:rPr>
              <w:rFonts w:ascii="Times New Roman" w:hAnsi="Times New Roman" w:cs="Times New Roman"/>
              <w:sz w:val="24"/>
              <w:szCs w:val="24"/>
            </w:rPr>
            <w:instrText xml:space="preserve"> CITATION Dzu19 \l 2057 </w:instrText>
          </w:r>
          <w:r w:rsidR="003606DE">
            <w:rPr>
              <w:rFonts w:ascii="Times New Roman" w:hAnsi="Times New Roman" w:cs="Times New Roman"/>
              <w:sz w:val="24"/>
              <w:szCs w:val="24"/>
            </w:rPr>
            <w:fldChar w:fldCharType="separate"/>
          </w:r>
          <w:r w:rsidR="003606DE" w:rsidRPr="003606DE">
            <w:rPr>
              <w:rFonts w:ascii="Times New Roman" w:hAnsi="Times New Roman" w:cs="Times New Roman"/>
              <w:noProof/>
              <w:sz w:val="24"/>
              <w:szCs w:val="24"/>
            </w:rPr>
            <w:t>(Dzupina, Koprda, &amp; Veselei, 2019)</w:t>
          </w:r>
          <w:r w:rsidR="003606DE">
            <w:rPr>
              <w:rFonts w:ascii="Times New Roman" w:hAnsi="Times New Roman" w:cs="Times New Roman"/>
              <w:sz w:val="24"/>
              <w:szCs w:val="24"/>
            </w:rPr>
            <w:fldChar w:fldCharType="end"/>
          </w:r>
        </w:sdtContent>
      </w:sdt>
      <w:r w:rsidR="00BD6ED4">
        <w:rPr>
          <w:rFonts w:ascii="Times New Roman" w:hAnsi="Times New Roman" w:cs="Times New Roman"/>
          <w:sz w:val="24"/>
          <w:szCs w:val="24"/>
        </w:rPr>
        <w:t xml:space="preserve"> </w:t>
      </w:r>
      <w:r w:rsidR="003606DE">
        <w:rPr>
          <w:rFonts w:ascii="Times New Roman" w:hAnsi="Times New Roman" w:cs="Times New Roman"/>
          <w:sz w:val="24"/>
          <w:szCs w:val="24"/>
        </w:rPr>
        <w:t>as well as the perception that the company is capable to launch CSR campaigns</w:t>
      </w:r>
      <w:sdt>
        <w:sdtPr>
          <w:rPr>
            <w:rFonts w:ascii="Times New Roman" w:hAnsi="Times New Roman" w:cs="Times New Roman"/>
            <w:sz w:val="24"/>
            <w:szCs w:val="24"/>
          </w:rPr>
          <w:id w:val="62850544"/>
          <w:citation/>
        </w:sdtPr>
        <w:sdtContent>
          <w:r w:rsidR="00BD6ED4">
            <w:rPr>
              <w:rFonts w:ascii="Times New Roman" w:hAnsi="Times New Roman" w:cs="Times New Roman"/>
              <w:sz w:val="24"/>
              <w:szCs w:val="24"/>
            </w:rPr>
            <w:fldChar w:fldCharType="begin"/>
          </w:r>
          <w:r w:rsidR="00BD6ED4">
            <w:rPr>
              <w:rFonts w:ascii="Times New Roman" w:hAnsi="Times New Roman" w:cs="Times New Roman"/>
              <w:sz w:val="24"/>
              <w:szCs w:val="24"/>
            </w:rPr>
            <w:instrText xml:space="preserve"> CITATION Moo15 \l 2057 </w:instrText>
          </w:r>
          <w:r w:rsidR="00BD6ED4">
            <w:rPr>
              <w:rFonts w:ascii="Times New Roman" w:hAnsi="Times New Roman" w:cs="Times New Roman"/>
              <w:sz w:val="24"/>
              <w:szCs w:val="24"/>
            </w:rPr>
            <w:fldChar w:fldCharType="separate"/>
          </w:r>
          <w:r w:rsidR="00BD6ED4">
            <w:rPr>
              <w:rFonts w:ascii="Times New Roman" w:hAnsi="Times New Roman" w:cs="Times New Roman"/>
              <w:noProof/>
              <w:sz w:val="24"/>
              <w:szCs w:val="24"/>
            </w:rPr>
            <w:t xml:space="preserve"> </w:t>
          </w:r>
          <w:r w:rsidR="00BD6ED4" w:rsidRPr="00BD6ED4">
            <w:rPr>
              <w:rFonts w:ascii="Times New Roman" w:hAnsi="Times New Roman" w:cs="Times New Roman"/>
              <w:noProof/>
              <w:sz w:val="24"/>
              <w:szCs w:val="24"/>
            </w:rPr>
            <w:t>(Moon, Lee, &amp; Oh, 2015)</w:t>
          </w:r>
          <w:r w:rsidR="00BD6ED4">
            <w:rPr>
              <w:rFonts w:ascii="Times New Roman" w:hAnsi="Times New Roman" w:cs="Times New Roman"/>
              <w:sz w:val="24"/>
              <w:szCs w:val="24"/>
            </w:rPr>
            <w:fldChar w:fldCharType="end"/>
          </w:r>
        </w:sdtContent>
      </w:sdt>
      <w:r w:rsidR="003606DE">
        <w:rPr>
          <w:rFonts w:ascii="Times New Roman" w:hAnsi="Times New Roman" w:cs="Times New Roman"/>
          <w:sz w:val="24"/>
          <w:szCs w:val="24"/>
        </w:rPr>
        <w:t>.</w:t>
      </w:r>
      <w:r w:rsidR="00BD6ED4">
        <w:rPr>
          <w:rFonts w:ascii="Times New Roman" w:hAnsi="Times New Roman" w:cs="Times New Roman"/>
          <w:sz w:val="24"/>
          <w:szCs w:val="24"/>
        </w:rPr>
        <w:t xml:space="preserve"> Clearly, a construct like </w:t>
      </w:r>
      <w:r w:rsidR="00BD6ED4" w:rsidRPr="00460517">
        <w:rPr>
          <w:rFonts w:ascii="Times New Roman" w:hAnsi="Times New Roman" w:cs="Times New Roman"/>
          <w:sz w:val="24"/>
          <w:szCs w:val="24"/>
        </w:rPr>
        <w:t>brand trust occurs based on rational processing of information. Thus</w:t>
      </w:r>
      <w:r w:rsidR="00BD6ED4">
        <w:rPr>
          <w:rFonts w:ascii="Times New Roman" w:hAnsi="Times New Roman" w:cs="Times New Roman"/>
          <w:sz w:val="24"/>
          <w:szCs w:val="24"/>
        </w:rPr>
        <w:t>, in this research, brand trust is considered a cognitive brand attitude. T</w:t>
      </w:r>
      <w:r>
        <w:rPr>
          <w:rFonts w:ascii="Times New Roman" w:hAnsi="Times New Roman" w:cs="Times New Roman"/>
          <w:sz w:val="24"/>
          <w:szCs w:val="24"/>
        </w:rPr>
        <w:t>his study seeks to test the below hypothes</w:t>
      </w:r>
      <w:r w:rsidR="00250747">
        <w:rPr>
          <w:rFonts w:ascii="Times New Roman" w:hAnsi="Times New Roman" w:cs="Times New Roman"/>
          <w:sz w:val="24"/>
          <w:szCs w:val="24"/>
        </w:rPr>
        <w:t>i</w:t>
      </w:r>
      <w:r>
        <w:rPr>
          <w:rFonts w:ascii="Times New Roman" w:hAnsi="Times New Roman" w:cs="Times New Roman"/>
          <w:sz w:val="24"/>
          <w:szCs w:val="24"/>
        </w:rPr>
        <w:t xml:space="preserve">s: </w:t>
      </w:r>
    </w:p>
    <w:p w14:paraId="1671D639" w14:textId="4BDC5789" w:rsidR="00A96566" w:rsidRDefault="00002857" w:rsidP="00A96566">
      <w:pPr>
        <w:pStyle w:val="NormalWeb"/>
        <w:spacing w:before="67" w:beforeAutospacing="0" w:after="120" w:afterAutospacing="0" w:line="480" w:lineRule="auto"/>
        <w:rPr>
          <w:rFonts w:asciiTheme="majorBidi" w:eastAsia="Arial" w:hAnsiTheme="majorBidi" w:cstheme="majorBidi"/>
        </w:rPr>
      </w:pPr>
      <w:bookmarkStart w:id="44" w:name="_Hlk136376417"/>
      <w:r>
        <w:rPr>
          <w:rFonts w:asciiTheme="majorBidi" w:eastAsia="Arial" w:hAnsiTheme="majorBidi" w:cstheme="majorBidi"/>
        </w:rPr>
        <w:tab/>
      </w:r>
      <w:bookmarkStart w:id="45" w:name="_Hlk145537254"/>
      <w:r w:rsidR="00A96566" w:rsidRPr="008D75D3">
        <w:rPr>
          <w:rFonts w:asciiTheme="majorBidi" w:eastAsia="Arial" w:hAnsiTheme="majorBidi" w:cstheme="majorBidi"/>
        </w:rPr>
        <w:t>H</w:t>
      </w:r>
      <w:r w:rsidR="00287490">
        <w:rPr>
          <w:rFonts w:asciiTheme="majorBidi" w:eastAsia="Arial" w:hAnsiTheme="majorBidi" w:cstheme="majorBidi"/>
        </w:rPr>
        <w:t>2</w:t>
      </w:r>
      <w:r w:rsidR="00A96566" w:rsidRPr="008D75D3">
        <w:rPr>
          <w:rFonts w:asciiTheme="majorBidi" w:eastAsia="Arial" w:hAnsiTheme="majorBidi" w:cstheme="majorBidi"/>
        </w:rPr>
        <w:t xml:space="preserve">: </w:t>
      </w:r>
      <w:bookmarkStart w:id="46" w:name="_Hlk148181583"/>
      <w:bookmarkEnd w:id="45"/>
      <w:r w:rsidR="00B7024D" w:rsidRPr="006C4D9D">
        <w:rPr>
          <w:rFonts w:asciiTheme="majorBidi" w:eastAsia="Arial" w:hAnsiTheme="majorBidi" w:cstheme="majorBidi"/>
        </w:rPr>
        <w:t xml:space="preserve">CSR communication has </w:t>
      </w:r>
      <w:r w:rsidR="00B7024D">
        <w:rPr>
          <w:rFonts w:asciiTheme="majorBidi" w:eastAsia="Arial" w:hAnsiTheme="majorBidi" w:cstheme="majorBidi"/>
        </w:rPr>
        <w:t xml:space="preserve">a </w:t>
      </w:r>
      <w:r w:rsidR="00B7024D" w:rsidRPr="006C4D9D">
        <w:rPr>
          <w:rFonts w:asciiTheme="majorBidi" w:eastAsia="Arial" w:hAnsiTheme="majorBidi" w:cstheme="majorBidi"/>
        </w:rPr>
        <w:t xml:space="preserve">positive effect on </w:t>
      </w:r>
      <w:r w:rsidR="00B7024D">
        <w:rPr>
          <w:rFonts w:asciiTheme="majorBidi" w:eastAsia="Arial" w:hAnsiTheme="majorBidi" w:cstheme="majorBidi"/>
        </w:rPr>
        <w:t xml:space="preserve">the </w:t>
      </w:r>
      <w:r w:rsidR="00B7024D" w:rsidRPr="006C4D9D">
        <w:rPr>
          <w:rFonts w:asciiTheme="majorBidi" w:eastAsia="Arial" w:hAnsiTheme="majorBidi" w:cstheme="majorBidi"/>
        </w:rPr>
        <w:t>brand trust of consumers in Egypt more than non-CSR communication.</w:t>
      </w:r>
      <w:bookmarkEnd w:id="46"/>
    </w:p>
    <w:bookmarkEnd w:id="44"/>
    <w:p w14:paraId="109B8FDA" w14:textId="10F38F70" w:rsidR="00A96566" w:rsidRPr="00D04716" w:rsidRDefault="00460517" w:rsidP="00F94905">
      <w:pPr>
        <w:adjustRightInd w:val="0"/>
        <w:spacing w:after="0" w:line="480" w:lineRule="auto"/>
        <w:ind w:firstLine="360"/>
        <w:jc w:val="lowKashida"/>
        <w:rPr>
          <w:rFonts w:ascii="Times New Roman" w:hAnsi="Times New Roman" w:cs="Times New Roman"/>
          <w:b/>
          <w:bCs/>
          <w:sz w:val="24"/>
          <w:szCs w:val="24"/>
        </w:rPr>
      </w:pPr>
      <w:r>
        <w:rPr>
          <w:rFonts w:ascii="Times New Roman" w:hAnsi="Times New Roman" w:cs="Times New Roman"/>
          <w:b/>
          <w:bCs/>
          <w:sz w:val="24"/>
          <w:szCs w:val="24"/>
        </w:rPr>
        <w:t>2</w:t>
      </w:r>
      <w:r w:rsidR="00A96566">
        <w:rPr>
          <w:rFonts w:ascii="Times New Roman" w:hAnsi="Times New Roman" w:cs="Times New Roman"/>
          <w:b/>
          <w:bCs/>
          <w:sz w:val="24"/>
          <w:szCs w:val="24"/>
        </w:rPr>
        <w:t>.</w:t>
      </w:r>
      <w:r w:rsidR="00DD69CF">
        <w:rPr>
          <w:rFonts w:ascii="Times New Roman" w:hAnsi="Times New Roman" w:cs="Times New Roman"/>
          <w:b/>
          <w:bCs/>
          <w:sz w:val="24"/>
          <w:szCs w:val="24"/>
        </w:rPr>
        <w:t>7</w:t>
      </w:r>
      <w:r w:rsidR="00A96566">
        <w:rPr>
          <w:rFonts w:ascii="Times New Roman" w:hAnsi="Times New Roman" w:cs="Times New Roman"/>
          <w:b/>
          <w:bCs/>
          <w:sz w:val="24"/>
          <w:szCs w:val="24"/>
        </w:rPr>
        <w:t>.</w:t>
      </w:r>
      <w:r w:rsidR="003B1DF4">
        <w:rPr>
          <w:rFonts w:ascii="Times New Roman" w:hAnsi="Times New Roman" w:cs="Times New Roman"/>
          <w:b/>
          <w:bCs/>
          <w:sz w:val="24"/>
          <w:szCs w:val="24"/>
        </w:rPr>
        <w:t>5</w:t>
      </w:r>
      <w:r w:rsidR="00A96566">
        <w:rPr>
          <w:rFonts w:ascii="Times New Roman" w:hAnsi="Times New Roman" w:cs="Times New Roman"/>
          <w:b/>
          <w:bCs/>
          <w:sz w:val="24"/>
          <w:szCs w:val="24"/>
        </w:rPr>
        <w:t xml:space="preserve"> </w:t>
      </w:r>
      <w:r w:rsidR="00A96566" w:rsidRPr="00D04716">
        <w:rPr>
          <w:rFonts w:ascii="Times New Roman" w:hAnsi="Times New Roman" w:cs="Times New Roman"/>
          <w:b/>
          <w:bCs/>
          <w:sz w:val="24"/>
          <w:szCs w:val="24"/>
        </w:rPr>
        <w:t xml:space="preserve">CSR and Perceived Product functionality </w:t>
      </w:r>
    </w:p>
    <w:p w14:paraId="2D419C10" w14:textId="2B751741" w:rsidR="002B3425" w:rsidRDefault="002B3425" w:rsidP="002B3425">
      <w:pPr>
        <w:adjustRightInd w:val="0"/>
        <w:spacing w:after="0" w:line="480" w:lineRule="auto"/>
        <w:ind w:firstLine="360"/>
        <w:jc w:val="lowKashida"/>
        <w:rPr>
          <w:rFonts w:ascii="Times New Roman" w:hAnsi="Times New Roman" w:cs="Times New Roman"/>
          <w:sz w:val="24"/>
          <w:szCs w:val="24"/>
        </w:rPr>
      </w:pPr>
      <w:r>
        <w:rPr>
          <w:rFonts w:ascii="Times New Roman" w:hAnsi="Times New Roman" w:cs="Times New Roman"/>
          <w:sz w:val="24"/>
          <w:szCs w:val="24"/>
        </w:rPr>
        <w:t>L</w:t>
      </w:r>
      <w:r w:rsidRPr="00D04716">
        <w:rPr>
          <w:rFonts w:ascii="Times New Roman" w:hAnsi="Times New Roman" w:cs="Times New Roman"/>
          <w:sz w:val="24"/>
          <w:szCs w:val="24"/>
        </w:rPr>
        <w:t>iterature</w:t>
      </w:r>
      <w:r>
        <w:rPr>
          <w:rFonts w:ascii="Times New Roman" w:hAnsi="Times New Roman" w:cs="Times New Roman"/>
          <w:sz w:val="24"/>
          <w:szCs w:val="24"/>
        </w:rPr>
        <w:t xml:space="preserve"> suggests</w:t>
      </w:r>
      <w:r w:rsidRPr="00D04716">
        <w:rPr>
          <w:rFonts w:ascii="Times New Roman" w:hAnsi="Times New Roman" w:cs="Times New Roman"/>
          <w:sz w:val="24"/>
          <w:szCs w:val="24"/>
        </w:rPr>
        <w:t xml:space="preserve"> that brand likeability can have a positive influence on the consumers’ perception of the product’s functionality </w:t>
      </w:r>
      <w:sdt>
        <w:sdtPr>
          <w:rPr>
            <w:rFonts w:ascii="Times New Roman" w:hAnsi="Times New Roman" w:cs="Times New Roman"/>
            <w:sz w:val="24"/>
            <w:szCs w:val="24"/>
          </w:rPr>
          <w:id w:val="372590815"/>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Sut13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(Sutton, Baldwin, Wood, &amp; Hoffman, 2013)</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r>
        <w:rPr>
          <w:rFonts w:ascii="Times New Roman" w:hAnsi="Times New Roman" w:cs="Times New Roman"/>
          <w:sz w:val="24"/>
          <w:szCs w:val="24"/>
        </w:rPr>
        <w:t xml:space="preserve"> </w:t>
      </w:r>
      <w:r w:rsidRPr="00D04716">
        <w:rPr>
          <w:rFonts w:ascii="Times New Roman" w:hAnsi="Times New Roman" w:cs="Times New Roman"/>
          <w:sz w:val="24"/>
          <w:szCs w:val="24"/>
        </w:rPr>
        <w:t xml:space="preserve">Brand functionality refers to the degree in which consumers consider </w:t>
      </w:r>
      <w:r>
        <w:rPr>
          <w:rFonts w:ascii="Times New Roman" w:hAnsi="Times New Roman" w:cs="Times New Roman"/>
          <w:sz w:val="24"/>
          <w:szCs w:val="24"/>
        </w:rPr>
        <w:t>that the</w:t>
      </w:r>
      <w:r w:rsidRPr="00D04716">
        <w:rPr>
          <w:rFonts w:ascii="Times New Roman" w:hAnsi="Times New Roman" w:cs="Times New Roman"/>
          <w:sz w:val="24"/>
          <w:szCs w:val="24"/>
        </w:rPr>
        <w:t xml:space="preserve"> brand produces products or services that are adequate to perform the expected functions that they were created to perform </w:t>
      </w:r>
      <w:bookmarkStart w:id="47" w:name="_Hlk137473467"/>
      <w:sdt>
        <w:sdtPr>
          <w:rPr>
            <w:rFonts w:ascii="Times New Roman" w:hAnsi="Times New Roman" w:cs="Times New Roman"/>
            <w:sz w:val="24"/>
            <w:szCs w:val="24"/>
          </w:rPr>
          <w:id w:val="1518887616"/>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Aak10 \l 2057  \m Gen17</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(Aaker, Vohs, &amp; Mogilner, 2010; Gendel Guterman &amp; Levy, 2017)</w:t>
          </w:r>
          <w:r w:rsidRPr="00D04716">
            <w:rPr>
              <w:rFonts w:ascii="Times New Roman" w:hAnsi="Times New Roman" w:cs="Times New Roman"/>
              <w:sz w:val="24"/>
              <w:szCs w:val="24"/>
            </w:rPr>
            <w:fldChar w:fldCharType="end"/>
          </w:r>
        </w:sdtContent>
      </w:sdt>
      <w:bookmarkEnd w:id="47"/>
      <w:r w:rsidRPr="00D04716">
        <w:rPr>
          <w:rFonts w:ascii="Times New Roman" w:hAnsi="Times New Roman" w:cs="Times New Roman"/>
          <w:sz w:val="24"/>
          <w:szCs w:val="24"/>
        </w:rPr>
        <w:t xml:space="preserve">. </w:t>
      </w:r>
      <w:r w:rsidR="00BD6ED4">
        <w:rPr>
          <w:rFonts w:ascii="Times New Roman" w:hAnsi="Times New Roman" w:cs="Times New Roman"/>
          <w:sz w:val="24"/>
          <w:szCs w:val="24"/>
        </w:rPr>
        <w:t xml:space="preserve">Accordingly, </w:t>
      </w:r>
      <w:r w:rsidR="00BD6ED4" w:rsidRPr="00460517">
        <w:rPr>
          <w:rFonts w:ascii="Times New Roman" w:hAnsi="Times New Roman" w:cs="Times New Roman"/>
          <w:sz w:val="24"/>
          <w:szCs w:val="24"/>
        </w:rPr>
        <w:t>perceived brand functionality is considered a cognitive attitude in this research.</w:t>
      </w:r>
      <w:r w:rsidR="00BD6ED4">
        <w:rPr>
          <w:rFonts w:ascii="Times New Roman" w:hAnsi="Times New Roman" w:cs="Times New Roman"/>
          <w:sz w:val="24"/>
          <w:szCs w:val="24"/>
        </w:rPr>
        <w:t xml:space="preserve"> </w:t>
      </w:r>
    </w:p>
    <w:p w14:paraId="4E3EB740" w14:textId="623372EA" w:rsidR="0030530A" w:rsidRPr="00527157" w:rsidRDefault="00A96566" w:rsidP="002B3425">
      <w:pPr>
        <w:adjustRightInd w:val="0"/>
        <w:spacing w:after="0" w:line="480" w:lineRule="auto"/>
        <w:ind w:firstLine="360"/>
        <w:jc w:val="lowKashida"/>
        <w:rPr>
          <w:rFonts w:asciiTheme="majorBidi" w:hAnsiTheme="majorBidi" w:cstheme="majorBidi"/>
          <w:sz w:val="24"/>
          <w:szCs w:val="24"/>
        </w:rPr>
      </w:pPr>
      <w:r w:rsidRPr="00D04716">
        <w:rPr>
          <w:rFonts w:ascii="Times New Roman" w:hAnsi="Times New Roman" w:cs="Times New Roman"/>
          <w:sz w:val="24"/>
          <w:szCs w:val="24"/>
        </w:rPr>
        <w:t xml:space="preserve">It appears in </w:t>
      </w:r>
      <w:r w:rsidR="007A4041">
        <w:rPr>
          <w:rFonts w:ascii="Times New Roman" w:hAnsi="Times New Roman" w:cs="Times New Roman"/>
          <w:sz w:val="24"/>
          <w:szCs w:val="24"/>
        </w:rPr>
        <w:t xml:space="preserve">the </w:t>
      </w:r>
      <w:r w:rsidRPr="00D04716">
        <w:rPr>
          <w:rFonts w:ascii="Times New Roman" w:hAnsi="Times New Roman" w:cs="Times New Roman"/>
          <w:sz w:val="24"/>
          <w:szCs w:val="24"/>
        </w:rPr>
        <w:t>literature that brand equity</w:t>
      </w:r>
      <w:r w:rsidR="00250747">
        <w:rPr>
          <w:rFonts w:ascii="Times New Roman" w:hAnsi="Times New Roman" w:cs="Times New Roman"/>
          <w:sz w:val="24"/>
          <w:szCs w:val="24"/>
        </w:rPr>
        <w:t xml:space="preserve"> or value</w:t>
      </w:r>
      <w:r w:rsidRPr="00D04716">
        <w:rPr>
          <w:rFonts w:ascii="Times New Roman" w:hAnsi="Times New Roman" w:cs="Times New Roman"/>
          <w:sz w:val="24"/>
          <w:szCs w:val="24"/>
        </w:rPr>
        <w:t xml:space="preserve"> is not</w:t>
      </w:r>
      <w:r w:rsidR="002B3425">
        <w:rPr>
          <w:rFonts w:ascii="Times New Roman" w:hAnsi="Times New Roman" w:cs="Times New Roman"/>
          <w:sz w:val="24"/>
          <w:szCs w:val="24"/>
        </w:rPr>
        <w:t xml:space="preserve"> only</w:t>
      </w:r>
      <w:r w:rsidRPr="00D04716">
        <w:rPr>
          <w:rFonts w:ascii="Times New Roman" w:hAnsi="Times New Roman" w:cs="Times New Roman"/>
          <w:sz w:val="24"/>
          <w:szCs w:val="24"/>
        </w:rPr>
        <w:t xml:space="preserve"> derived from functional brand association alone</w:t>
      </w:r>
      <w:r w:rsidR="002B3425">
        <w:rPr>
          <w:rFonts w:ascii="Times New Roman" w:hAnsi="Times New Roman" w:cs="Times New Roman"/>
          <w:sz w:val="24"/>
          <w:szCs w:val="24"/>
        </w:rPr>
        <w:t>,</w:t>
      </w:r>
      <w:r w:rsidRPr="00D04716">
        <w:rPr>
          <w:rFonts w:ascii="Times New Roman" w:hAnsi="Times New Roman" w:cs="Times New Roman"/>
          <w:sz w:val="24"/>
          <w:szCs w:val="24"/>
        </w:rPr>
        <w:t xml:space="preserve"> but </w:t>
      </w:r>
      <w:r w:rsidR="002B3425">
        <w:rPr>
          <w:rFonts w:ascii="Times New Roman" w:hAnsi="Times New Roman" w:cs="Times New Roman"/>
          <w:sz w:val="24"/>
          <w:szCs w:val="24"/>
        </w:rPr>
        <w:t xml:space="preserve">also </w:t>
      </w:r>
      <w:r w:rsidRPr="00D04716">
        <w:rPr>
          <w:rFonts w:ascii="Times New Roman" w:hAnsi="Times New Roman" w:cs="Times New Roman"/>
          <w:sz w:val="24"/>
          <w:szCs w:val="24"/>
        </w:rPr>
        <w:t>from non-functional brand associations as well</w:t>
      </w:r>
      <w:bookmarkStart w:id="48" w:name="_Hlk157272534"/>
      <w:sdt>
        <w:sdtPr>
          <w:rPr>
            <w:rFonts w:ascii="Times New Roman" w:hAnsi="Times New Roman" w:cs="Times New Roman"/>
            <w:sz w:val="24"/>
            <w:szCs w:val="24"/>
          </w:rPr>
          <w:id w:val="1591577982"/>
          <w:citation/>
        </w:sdtPr>
        <w:sdtContent>
          <w:r w:rsidRPr="00341607">
            <w:rPr>
              <w:rFonts w:ascii="Times New Roman" w:hAnsi="Times New Roman" w:cs="Times New Roman"/>
              <w:sz w:val="24"/>
              <w:szCs w:val="24"/>
            </w:rPr>
            <w:fldChar w:fldCharType="begin"/>
          </w:r>
          <w:r w:rsidRPr="00341607">
            <w:rPr>
              <w:rFonts w:ascii="Times New Roman" w:hAnsi="Times New Roman" w:cs="Times New Roman"/>
              <w:sz w:val="24"/>
              <w:szCs w:val="24"/>
            </w:rPr>
            <w:instrText xml:space="preserve"> CITATION Moh171 \l 2057 </w:instrText>
          </w:r>
          <w:r w:rsidRPr="00341607">
            <w:rPr>
              <w:rFonts w:ascii="Times New Roman" w:hAnsi="Times New Roman" w:cs="Times New Roman"/>
              <w:sz w:val="24"/>
              <w:szCs w:val="24"/>
            </w:rPr>
            <w:fldChar w:fldCharType="separate"/>
          </w:r>
          <w:r w:rsidRPr="00341607">
            <w:rPr>
              <w:rFonts w:ascii="Times New Roman" w:hAnsi="Times New Roman" w:cs="Times New Roman"/>
              <w:noProof/>
              <w:sz w:val="24"/>
              <w:szCs w:val="24"/>
            </w:rPr>
            <w:t xml:space="preserve"> (Mohan, Jiménez, Brown, &amp; Cantrell, 2017)</w:t>
          </w:r>
          <w:r w:rsidRPr="00341607">
            <w:rPr>
              <w:rFonts w:ascii="Times New Roman" w:hAnsi="Times New Roman" w:cs="Times New Roman"/>
              <w:sz w:val="24"/>
              <w:szCs w:val="24"/>
            </w:rPr>
            <w:fldChar w:fldCharType="end"/>
          </w:r>
        </w:sdtContent>
      </w:sdt>
      <w:r w:rsidRPr="00341607">
        <w:rPr>
          <w:rFonts w:ascii="Times New Roman" w:hAnsi="Times New Roman" w:cs="Times New Roman"/>
          <w:sz w:val="24"/>
          <w:szCs w:val="24"/>
        </w:rPr>
        <w:t>.</w:t>
      </w:r>
      <w:r w:rsidRPr="00D04716">
        <w:rPr>
          <w:rFonts w:ascii="Times New Roman" w:hAnsi="Times New Roman" w:cs="Times New Roman"/>
          <w:sz w:val="24"/>
          <w:szCs w:val="24"/>
        </w:rPr>
        <w:t xml:space="preserve"> </w:t>
      </w:r>
      <w:bookmarkEnd w:id="48"/>
      <w:r w:rsidRPr="00D04716">
        <w:rPr>
          <w:rFonts w:ascii="Times New Roman" w:hAnsi="Times New Roman" w:cs="Times New Roman"/>
          <w:sz w:val="24"/>
          <w:szCs w:val="24"/>
        </w:rPr>
        <w:t>Even though some studies treat functional and non-functional brand attributes as separate independent variables</w:t>
      </w:r>
      <w:sdt>
        <w:sdtPr>
          <w:rPr>
            <w:rFonts w:ascii="Times New Roman" w:hAnsi="Times New Roman" w:cs="Times New Roman"/>
            <w:sz w:val="24"/>
            <w:szCs w:val="24"/>
          </w:rPr>
          <w:id w:val="-2134543488"/>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Aak10 \l 2057  \m Ker12</w:instrText>
          </w:r>
          <w:r w:rsidRPr="00D04716">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2256A">
            <w:rPr>
              <w:rFonts w:ascii="Times New Roman" w:hAnsi="Times New Roman" w:cs="Times New Roman"/>
              <w:noProof/>
              <w:sz w:val="24"/>
              <w:szCs w:val="24"/>
            </w:rPr>
            <w:t>(Aaker, Vohs, &amp; Mogilner, 2010; Kervyn, Fiske, &amp; Malone, 2012)</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others </w:t>
      </w:r>
      <w:r w:rsidRPr="00341607">
        <w:rPr>
          <w:rFonts w:ascii="Times New Roman" w:hAnsi="Times New Roman" w:cs="Times New Roman"/>
          <w:sz w:val="24"/>
          <w:szCs w:val="24"/>
        </w:rPr>
        <w:t xml:space="preserve">suggest that functional and non-functional brand attributes can be concurring </w:t>
      </w:r>
      <w:sdt>
        <w:sdtPr>
          <w:rPr>
            <w:rFonts w:ascii="Times New Roman" w:hAnsi="Times New Roman" w:cs="Times New Roman"/>
            <w:sz w:val="24"/>
            <w:szCs w:val="24"/>
          </w:rPr>
          <w:id w:val="-2079114583"/>
          <w:citation/>
        </w:sdtPr>
        <w:sdtContent>
          <w:r w:rsidRPr="00341607">
            <w:rPr>
              <w:rFonts w:ascii="Times New Roman" w:hAnsi="Times New Roman" w:cs="Times New Roman"/>
              <w:sz w:val="24"/>
              <w:szCs w:val="24"/>
            </w:rPr>
            <w:fldChar w:fldCharType="begin"/>
          </w:r>
          <w:r w:rsidRPr="00341607">
            <w:rPr>
              <w:rFonts w:ascii="Times New Roman" w:hAnsi="Times New Roman" w:cs="Times New Roman"/>
              <w:sz w:val="24"/>
              <w:szCs w:val="24"/>
            </w:rPr>
            <w:instrText xml:space="preserve"> CITATION Moh171 \l 2057 </w:instrText>
          </w:r>
          <w:r w:rsidRPr="00341607">
            <w:rPr>
              <w:rFonts w:ascii="Times New Roman" w:hAnsi="Times New Roman" w:cs="Times New Roman"/>
              <w:sz w:val="24"/>
              <w:szCs w:val="24"/>
            </w:rPr>
            <w:fldChar w:fldCharType="separate"/>
          </w:r>
          <w:r w:rsidRPr="00341607">
            <w:rPr>
              <w:rFonts w:ascii="Times New Roman" w:hAnsi="Times New Roman" w:cs="Times New Roman"/>
              <w:noProof/>
              <w:sz w:val="24"/>
              <w:szCs w:val="24"/>
            </w:rPr>
            <w:t>(Mohan, Jiménez, Brown, &amp; Cantrell, 2017)</w:t>
          </w:r>
          <w:r w:rsidRPr="00341607">
            <w:rPr>
              <w:rFonts w:ascii="Times New Roman" w:hAnsi="Times New Roman" w:cs="Times New Roman"/>
              <w:sz w:val="24"/>
              <w:szCs w:val="24"/>
            </w:rPr>
            <w:fldChar w:fldCharType="end"/>
          </w:r>
        </w:sdtContent>
      </w:sdt>
      <w:r w:rsidRPr="00341607">
        <w:rPr>
          <w:rFonts w:ascii="Times New Roman" w:hAnsi="Times New Roman" w:cs="Times New Roman"/>
          <w:sz w:val="24"/>
          <w:szCs w:val="24"/>
        </w:rPr>
        <w:t>.</w:t>
      </w:r>
      <w:r w:rsidR="002B3425" w:rsidRPr="00341607">
        <w:rPr>
          <w:rFonts w:ascii="Times New Roman" w:hAnsi="Times New Roman" w:cs="Times New Roman"/>
          <w:sz w:val="24"/>
          <w:szCs w:val="24"/>
        </w:rPr>
        <w:t xml:space="preserve"> </w:t>
      </w:r>
      <w:r w:rsidRPr="00341607">
        <w:rPr>
          <w:rFonts w:ascii="Times New Roman" w:hAnsi="Times New Roman" w:cs="Times New Roman"/>
          <w:sz w:val="24"/>
          <w:szCs w:val="24"/>
        </w:rPr>
        <w:t xml:space="preserve">Perception of brand functionality is based on </w:t>
      </w:r>
      <w:r w:rsidR="002B3425" w:rsidRPr="00341607">
        <w:rPr>
          <w:rFonts w:ascii="Times New Roman" w:hAnsi="Times New Roman" w:cs="Times New Roman"/>
          <w:sz w:val="24"/>
          <w:szCs w:val="24"/>
        </w:rPr>
        <w:t>consumers’</w:t>
      </w:r>
      <w:r w:rsidRPr="00341607">
        <w:rPr>
          <w:rFonts w:ascii="Times New Roman" w:hAnsi="Times New Roman" w:cs="Times New Roman"/>
          <w:sz w:val="24"/>
          <w:szCs w:val="24"/>
        </w:rPr>
        <w:t xml:space="preserve"> acuity of the product quality and functionality that result from their overall assessment of a brand </w:t>
      </w:r>
      <w:sdt>
        <w:sdtPr>
          <w:rPr>
            <w:rFonts w:ascii="Times New Roman" w:hAnsi="Times New Roman" w:cs="Times New Roman"/>
            <w:sz w:val="24"/>
            <w:szCs w:val="24"/>
          </w:rPr>
          <w:id w:val="1957818861"/>
          <w:citation/>
        </w:sdtPr>
        <w:sdtContent>
          <w:r w:rsidRPr="00341607">
            <w:rPr>
              <w:rFonts w:ascii="Times New Roman" w:hAnsi="Times New Roman" w:cs="Times New Roman"/>
              <w:sz w:val="24"/>
              <w:szCs w:val="24"/>
            </w:rPr>
            <w:fldChar w:fldCharType="begin"/>
          </w:r>
          <w:r w:rsidRPr="00341607">
            <w:rPr>
              <w:rFonts w:ascii="Times New Roman" w:hAnsi="Times New Roman" w:cs="Times New Roman"/>
              <w:sz w:val="24"/>
              <w:szCs w:val="24"/>
            </w:rPr>
            <w:instrText xml:space="preserve"> CITATION Gök19 \l 2057 </w:instrText>
          </w:r>
          <w:r w:rsidRPr="00341607">
            <w:rPr>
              <w:rFonts w:ascii="Times New Roman" w:hAnsi="Times New Roman" w:cs="Times New Roman"/>
              <w:sz w:val="24"/>
              <w:szCs w:val="24"/>
            </w:rPr>
            <w:fldChar w:fldCharType="separate"/>
          </w:r>
          <w:r w:rsidRPr="00341607">
            <w:rPr>
              <w:rFonts w:ascii="Times New Roman" w:hAnsi="Times New Roman" w:cs="Times New Roman"/>
              <w:noProof/>
              <w:sz w:val="24"/>
              <w:szCs w:val="24"/>
            </w:rPr>
            <w:t>(Gök, Ersoy, &amp; Börühan, 2019)</w:t>
          </w:r>
          <w:r w:rsidRPr="00341607">
            <w:rPr>
              <w:rFonts w:ascii="Times New Roman" w:hAnsi="Times New Roman" w:cs="Times New Roman"/>
              <w:sz w:val="24"/>
              <w:szCs w:val="24"/>
            </w:rPr>
            <w:fldChar w:fldCharType="end"/>
          </w:r>
        </w:sdtContent>
      </w:sdt>
      <w:r w:rsidRPr="00341607">
        <w:rPr>
          <w:rFonts w:ascii="Times New Roman" w:hAnsi="Times New Roman" w:cs="Times New Roman"/>
          <w:sz w:val="24"/>
          <w:szCs w:val="24"/>
        </w:rPr>
        <w:t>. Some qualities that are not functional can affect the perception of product functionality</w:t>
      </w:r>
      <w:r w:rsidR="00D1667E" w:rsidRPr="00341607">
        <w:rPr>
          <w:rFonts w:ascii="Times New Roman" w:hAnsi="Times New Roman" w:cs="Times New Roman"/>
          <w:sz w:val="24"/>
          <w:szCs w:val="24"/>
        </w:rPr>
        <w:t xml:space="preserve"> </w:t>
      </w:r>
      <w:sdt>
        <w:sdtPr>
          <w:rPr>
            <w:rFonts w:ascii="Times New Roman" w:hAnsi="Times New Roman" w:cs="Times New Roman"/>
            <w:sz w:val="24"/>
            <w:szCs w:val="24"/>
          </w:rPr>
          <w:id w:val="1227570587"/>
          <w:citation/>
        </w:sdtPr>
        <w:sdtContent>
          <w:r w:rsidR="00D1667E" w:rsidRPr="00341607">
            <w:rPr>
              <w:rFonts w:ascii="Times New Roman" w:hAnsi="Times New Roman" w:cs="Times New Roman"/>
              <w:sz w:val="24"/>
              <w:szCs w:val="24"/>
            </w:rPr>
            <w:fldChar w:fldCharType="begin"/>
          </w:r>
          <w:r w:rsidR="00D1667E" w:rsidRPr="00341607">
            <w:rPr>
              <w:rFonts w:ascii="Times New Roman" w:hAnsi="Times New Roman" w:cs="Times New Roman"/>
              <w:sz w:val="24"/>
              <w:szCs w:val="24"/>
            </w:rPr>
            <w:instrText xml:space="preserve"> CITATION Gum20 \l 2057 </w:instrText>
          </w:r>
          <w:r w:rsidR="00D1667E" w:rsidRPr="00341607">
            <w:rPr>
              <w:rFonts w:ascii="Times New Roman" w:hAnsi="Times New Roman" w:cs="Times New Roman"/>
              <w:sz w:val="24"/>
              <w:szCs w:val="24"/>
            </w:rPr>
            <w:fldChar w:fldCharType="separate"/>
          </w:r>
          <w:r w:rsidR="00D1667E" w:rsidRPr="00341607">
            <w:rPr>
              <w:rFonts w:ascii="Times New Roman" w:hAnsi="Times New Roman" w:cs="Times New Roman"/>
              <w:noProof/>
              <w:sz w:val="24"/>
              <w:szCs w:val="24"/>
            </w:rPr>
            <w:t>(Gumparthi &amp; Patra, 2020)</w:t>
          </w:r>
          <w:r w:rsidR="00D1667E" w:rsidRPr="00341607">
            <w:rPr>
              <w:rFonts w:ascii="Times New Roman" w:hAnsi="Times New Roman" w:cs="Times New Roman"/>
              <w:sz w:val="24"/>
              <w:szCs w:val="24"/>
            </w:rPr>
            <w:fldChar w:fldCharType="end"/>
          </w:r>
        </w:sdtContent>
      </w:sdt>
      <w:r w:rsidRPr="00341607">
        <w:rPr>
          <w:rFonts w:ascii="Times New Roman" w:hAnsi="Times New Roman" w:cs="Times New Roman"/>
          <w:sz w:val="24"/>
          <w:szCs w:val="24"/>
        </w:rPr>
        <w:t>.</w:t>
      </w:r>
      <w:r w:rsidRPr="00D04716">
        <w:rPr>
          <w:rFonts w:ascii="Times New Roman" w:hAnsi="Times New Roman" w:cs="Times New Roman"/>
          <w:sz w:val="24"/>
          <w:szCs w:val="24"/>
        </w:rPr>
        <w:t xml:space="preserve"> For instance, overall impression of the brand can aid in evaluating product performance and physical </w:t>
      </w:r>
      <w:r>
        <w:rPr>
          <w:rFonts w:ascii="Times New Roman" w:hAnsi="Times New Roman" w:cs="Times New Roman"/>
          <w:sz w:val="24"/>
          <w:szCs w:val="24"/>
        </w:rPr>
        <w:t>features</w:t>
      </w:r>
      <w:r w:rsidRPr="00D04716">
        <w:rPr>
          <w:rFonts w:ascii="Times New Roman" w:hAnsi="Times New Roman" w:cs="Times New Roman"/>
          <w:sz w:val="24"/>
          <w:szCs w:val="24"/>
        </w:rPr>
        <w:t xml:space="preserve"> </w:t>
      </w:r>
      <w:sdt>
        <w:sdtPr>
          <w:rPr>
            <w:rFonts w:ascii="Times New Roman" w:hAnsi="Times New Roman" w:cs="Times New Roman"/>
            <w:sz w:val="24"/>
            <w:szCs w:val="24"/>
          </w:rPr>
          <w:id w:val="-1400820041"/>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Gum20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(Gumparthi &amp; Patra, 2020)</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r w:rsidR="003C0A93">
        <w:rPr>
          <w:rFonts w:ascii="Times New Roman" w:hAnsi="Times New Roman" w:cs="Times New Roman"/>
          <w:sz w:val="24"/>
          <w:szCs w:val="24"/>
        </w:rPr>
        <w:t xml:space="preserve"> Accordingly, perceived product functionality is considered a cognitive brand attitude.</w:t>
      </w:r>
      <w:r w:rsidRPr="00D04716">
        <w:rPr>
          <w:rFonts w:ascii="Times New Roman" w:hAnsi="Times New Roman" w:cs="Times New Roman"/>
          <w:sz w:val="24"/>
          <w:szCs w:val="24"/>
        </w:rPr>
        <w:t xml:space="preserve"> In advertising, it is necessary to analyse the </w:t>
      </w:r>
      <w:r w:rsidR="002B3425">
        <w:rPr>
          <w:rFonts w:ascii="Times New Roman" w:hAnsi="Times New Roman" w:cs="Times New Roman"/>
          <w:sz w:val="24"/>
          <w:szCs w:val="24"/>
        </w:rPr>
        <w:t>impact</w:t>
      </w:r>
      <w:r w:rsidRPr="00D04716">
        <w:rPr>
          <w:rFonts w:ascii="Times New Roman" w:hAnsi="Times New Roman" w:cs="Times New Roman"/>
          <w:sz w:val="24"/>
          <w:szCs w:val="24"/>
        </w:rPr>
        <w:t xml:space="preserve"> of other non-functional elements</w:t>
      </w:r>
      <w:r w:rsidR="002B3425">
        <w:rPr>
          <w:rFonts w:ascii="Times New Roman" w:hAnsi="Times New Roman" w:cs="Times New Roman"/>
          <w:sz w:val="24"/>
          <w:szCs w:val="24"/>
        </w:rPr>
        <w:t xml:space="preserve"> or messages</w:t>
      </w:r>
      <w:r w:rsidRPr="00D04716">
        <w:rPr>
          <w:rFonts w:ascii="Times New Roman" w:hAnsi="Times New Roman" w:cs="Times New Roman"/>
          <w:sz w:val="24"/>
          <w:szCs w:val="24"/>
        </w:rPr>
        <w:t xml:space="preserve"> in advertising. This is because, individuals do not analyse all the information about the products’ functions presented in the ads, but </w:t>
      </w:r>
      <w:r w:rsidRPr="00341607">
        <w:rPr>
          <w:rFonts w:ascii="Times New Roman" w:hAnsi="Times New Roman" w:cs="Times New Roman"/>
          <w:sz w:val="24"/>
          <w:szCs w:val="24"/>
        </w:rPr>
        <w:t>they rely on other cues such as the model</w:t>
      </w:r>
      <w:r w:rsidR="002B3425" w:rsidRPr="00341607">
        <w:rPr>
          <w:rFonts w:ascii="Times New Roman" w:hAnsi="Times New Roman" w:cs="Times New Roman"/>
          <w:sz w:val="24"/>
          <w:szCs w:val="24"/>
        </w:rPr>
        <w:t>s in the ad</w:t>
      </w:r>
      <w:r w:rsidRPr="00341607">
        <w:rPr>
          <w:rFonts w:ascii="Times New Roman" w:hAnsi="Times New Roman" w:cs="Times New Roman"/>
          <w:sz w:val="24"/>
          <w:szCs w:val="24"/>
        </w:rPr>
        <w:t xml:space="preserve"> or their emotional reaction to the ad to evaluate the product </w:t>
      </w:r>
      <w:sdt>
        <w:sdtPr>
          <w:rPr>
            <w:rFonts w:ascii="Times New Roman" w:hAnsi="Times New Roman" w:cs="Times New Roman"/>
            <w:sz w:val="24"/>
            <w:szCs w:val="24"/>
          </w:rPr>
          <w:id w:val="638856240"/>
          <w:citation/>
        </w:sdtPr>
        <w:sdtContent>
          <w:r w:rsidRPr="00341607">
            <w:rPr>
              <w:rFonts w:ascii="Times New Roman" w:hAnsi="Times New Roman" w:cs="Times New Roman"/>
              <w:sz w:val="24"/>
              <w:szCs w:val="24"/>
            </w:rPr>
            <w:fldChar w:fldCharType="begin"/>
          </w:r>
          <w:r w:rsidRPr="00341607">
            <w:rPr>
              <w:rFonts w:ascii="Times New Roman" w:hAnsi="Times New Roman" w:cs="Times New Roman"/>
              <w:sz w:val="24"/>
              <w:szCs w:val="24"/>
            </w:rPr>
            <w:instrText xml:space="preserve"> CITATION Alw21 \l 2057 </w:instrText>
          </w:r>
          <w:r w:rsidRPr="00341607">
            <w:rPr>
              <w:rFonts w:ascii="Times New Roman" w:hAnsi="Times New Roman" w:cs="Times New Roman"/>
              <w:sz w:val="24"/>
              <w:szCs w:val="24"/>
            </w:rPr>
            <w:fldChar w:fldCharType="separate"/>
          </w:r>
          <w:r w:rsidRPr="00341607">
            <w:rPr>
              <w:rFonts w:ascii="Times New Roman" w:hAnsi="Times New Roman" w:cs="Times New Roman"/>
              <w:noProof/>
              <w:sz w:val="24"/>
              <w:szCs w:val="24"/>
            </w:rPr>
            <w:t>(Alwitt &amp; Mitchell, 2021)</w:t>
          </w:r>
          <w:r w:rsidRPr="00341607">
            <w:rPr>
              <w:rFonts w:ascii="Times New Roman" w:hAnsi="Times New Roman" w:cs="Times New Roman"/>
              <w:sz w:val="24"/>
              <w:szCs w:val="24"/>
            </w:rPr>
            <w:fldChar w:fldCharType="end"/>
          </w:r>
        </w:sdtContent>
      </w:sdt>
      <w:r w:rsidRPr="00341607">
        <w:rPr>
          <w:rFonts w:ascii="Times New Roman" w:hAnsi="Times New Roman" w:cs="Times New Roman"/>
          <w:sz w:val="24"/>
          <w:szCs w:val="24"/>
        </w:rPr>
        <w:t>.</w:t>
      </w:r>
      <w:r w:rsidRPr="00D04716">
        <w:rPr>
          <w:rFonts w:ascii="Times New Roman" w:hAnsi="Times New Roman" w:cs="Times New Roman"/>
          <w:sz w:val="24"/>
          <w:szCs w:val="24"/>
        </w:rPr>
        <w:t xml:space="preserve"> For instance, based on an online experiment, sensory and symbolic cues in advertising can positively impact consumers’ perception towards product quality and their overall attitude towards the brand </w:t>
      </w:r>
      <w:sdt>
        <w:sdtPr>
          <w:rPr>
            <w:rFonts w:ascii="Times New Roman" w:hAnsi="Times New Roman" w:cs="Times New Roman"/>
            <w:sz w:val="24"/>
            <w:szCs w:val="24"/>
          </w:rPr>
          <w:id w:val="777757410"/>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Haa18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(Haase, Wiedmann, Bettels, &amp; Labenz, 2018)</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r>
        <w:rPr>
          <w:rFonts w:ascii="Times New Roman" w:hAnsi="Times New Roman" w:cs="Times New Roman"/>
          <w:sz w:val="24"/>
          <w:szCs w:val="24"/>
        </w:rPr>
        <w:t xml:space="preserve"> </w:t>
      </w:r>
      <w:r w:rsidRPr="00D04716">
        <w:rPr>
          <w:rFonts w:ascii="Times New Roman" w:hAnsi="Times New Roman" w:cs="Times New Roman"/>
          <w:sz w:val="24"/>
          <w:szCs w:val="24"/>
        </w:rPr>
        <w:t xml:space="preserve">This discussion </w:t>
      </w:r>
      <w:r w:rsidR="007A4041">
        <w:rPr>
          <w:rFonts w:ascii="Times New Roman" w:hAnsi="Times New Roman" w:cs="Times New Roman"/>
          <w:sz w:val="24"/>
          <w:szCs w:val="24"/>
        </w:rPr>
        <w:t>is based on</w:t>
      </w:r>
      <w:r w:rsidR="002B3425">
        <w:rPr>
          <w:rFonts w:ascii="Times New Roman" w:hAnsi="Times New Roman" w:cs="Times New Roman"/>
          <w:sz w:val="24"/>
          <w:szCs w:val="24"/>
        </w:rPr>
        <w:t xml:space="preserve"> a common</w:t>
      </w:r>
      <w:r w:rsidRPr="00D04716">
        <w:rPr>
          <w:rFonts w:ascii="Times New Roman" w:hAnsi="Times New Roman" w:cs="Times New Roman"/>
          <w:sz w:val="24"/>
          <w:szCs w:val="24"/>
        </w:rPr>
        <w:t xml:space="preserve"> discuss</w:t>
      </w:r>
      <w:r w:rsidR="002B3425">
        <w:rPr>
          <w:rFonts w:ascii="Times New Roman" w:hAnsi="Times New Roman" w:cs="Times New Roman"/>
          <w:sz w:val="24"/>
          <w:szCs w:val="24"/>
        </w:rPr>
        <w:t>ion in</w:t>
      </w:r>
      <w:r w:rsidR="007A4041">
        <w:rPr>
          <w:rFonts w:ascii="Times New Roman" w:hAnsi="Times New Roman" w:cs="Times New Roman"/>
          <w:sz w:val="24"/>
          <w:szCs w:val="24"/>
        </w:rPr>
        <w:t xml:space="preserve"> the</w:t>
      </w:r>
      <w:r w:rsidR="002B3425">
        <w:rPr>
          <w:rFonts w:ascii="Times New Roman" w:hAnsi="Times New Roman" w:cs="Times New Roman"/>
          <w:sz w:val="24"/>
          <w:szCs w:val="24"/>
        </w:rPr>
        <w:t xml:space="preserve"> literature about</w:t>
      </w:r>
      <w:r w:rsidRPr="00D04716">
        <w:rPr>
          <w:rFonts w:ascii="Times New Roman" w:hAnsi="Times New Roman" w:cs="Times New Roman"/>
          <w:sz w:val="24"/>
          <w:szCs w:val="24"/>
        </w:rPr>
        <w:t xml:space="preserve"> hedonic and utilitarian advertising. Both </w:t>
      </w:r>
      <w:r w:rsidRPr="00460517">
        <w:rPr>
          <w:rFonts w:ascii="Times New Roman" w:hAnsi="Times New Roman" w:cs="Times New Roman"/>
          <w:sz w:val="24"/>
          <w:szCs w:val="24"/>
        </w:rPr>
        <w:t>hedonic and utilitarian attributes serve as stimuli arousing cognitive and affective responses that are used to form an overall perception of the product</w:t>
      </w:r>
      <w:sdt>
        <w:sdtPr>
          <w:rPr>
            <w:rFonts w:ascii="Times New Roman" w:hAnsi="Times New Roman" w:cs="Times New Roman"/>
            <w:sz w:val="24"/>
            <w:szCs w:val="24"/>
          </w:rPr>
          <w:id w:val="262576092"/>
          <w:citation/>
        </w:sdtPr>
        <w:sdtContent>
          <w:r w:rsidRPr="00460517">
            <w:rPr>
              <w:rFonts w:ascii="Times New Roman" w:hAnsi="Times New Roman" w:cs="Times New Roman"/>
              <w:sz w:val="24"/>
              <w:szCs w:val="24"/>
            </w:rPr>
            <w:fldChar w:fldCharType="begin"/>
          </w:r>
          <w:r w:rsidRPr="00460517">
            <w:rPr>
              <w:rFonts w:ascii="Times New Roman" w:hAnsi="Times New Roman" w:cs="Times New Roman"/>
              <w:sz w:val="24"/>
              <w:szCs w:val="24"/>
            </w:rPr>
            <w:instrText xml:space="preserve"> CITATION Dew20 \l 2057 </w:instrText>
          </w:r>
          <w:r w:rsidRPr="00460517">
            <w:rPr>
              <w:rFonts w:ascii="Times New Roman" w:hAnsi="Times New Roman" w:cs="Times New Roman"/>
              <w:sz w:val="24"/>
              <w:szCs w:val="24"/>
            </w:rPr>
            <w:fldChar w:fldCharType="separate"/>
          </w:r>
          <w:r w:rsidRPr="00460517">
            <w:rPr>
              <w:rFonts w:ascii="Times New Roman" w:hAnsi="Times New Roman" w:cs="Times New Roman"/>
              <w:noProof/>
              <w:sz w:val="24"/>
              <w:szCs w:val="24"/>
            </w:rPr>
            <w:t xml:space="preserve"> (Dewi &amp; Ang, 2020)</w:t>
          </w:r>
          <w:r w:rsidRPr="00460517">
            <w:rPr>
              <w:rFonts w:ascii="Times New Roman" w:hAnsi="Times New Roman" w:cs="Times New Roman"/>
              <w:sz w:val="24"/>
              <w:szCs w:val="24"/>
            </w:rPr>
            <w:fldChar w:fldCharType="end"/>
          </w:r>
        </w:sdtContent>
      </w:sdt>
      <w:r w:rsidRPr="00460517">
        <w:rPr>
          <w:rFonts w:ascii="Times New Roman" w:hAnsi="Times New Roman" w:cs="Times New Roman"/>
          <w:sz w:val="24"/>
          <w:szCs w:val="24"/>
        </w:rPr>
        <w:t>.</w:t>
      </w:r>
      <w:r w:rsidRPr="00D04716">
        <w:rPr>
          <w:rFonts w:ascii="Times New Roman" w:hAnsi="Times New Roman" w:cs="Times New Roman"/>
          <w:sz w:val="24"/>
          <w:szCs w:val="24"/>
        </w:rPr>
        <w:t xml:space="preserve"> In fact, based on an experimental study, processing functional benefits of a product involves both cognitive and affective attitudes towards the product</w:t>
      </w:r>
      <w:bookmarkStart w:id="49" w:name="_Hlk137473436"/>
      <w:sdt>
        <w:sdtPr>
          <w:rPr>
            <w:rFonts w:ascii="Times New Roman" w:hAnsi="Times New Roman" w:cs="Times New Roman"/>
            <w:sz w:val="24"/>
            <w:szCs w:val="24"/>
          </w:rPr>
          <w:id w:val="152804824"/>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Dew20 \l 2057 </w:instrText>
          </w:r>
          <w:r w:rsidRPr="00D04716">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2256A">
            <w:rPr>
              <w:rFonts w:ascii="Times New Roman" w:hAnsi="Times New Roman" w:cs="Times New Roman"/>
              <w:noProof/>
              <w:sz w:val="24"/>
              <w:szCs w:val="24"/>
            </w:rPr>
            <w:t>(Dewi &amp; Ang, 2020)</w:t>
          </w:r>
          <w:r w:rsidRPr="00D04716">
            <w:rPr>
              <w:rFonts w:ascii="Times New Roman" w:hAnsi="Times New Roman" w:cs="Times New Roman"/>
              <w:sz w:val="24"/>
              <w:szCs w:val="24"/>
            </w:rPr>
            <w:fldChar w:fldCharType="end"/>
          </w:r>
        </w:sdtContent>
      </w:sdt>
      <w:bookmarkEnd w:id="49"/>
      <w:r w:rsidRPr="00D04716">
        <w:rPr>
          <w:rFonts w:ascii="Times New Roman" w:hAnsi="Times New Roman" w:cs="Times New Roman"/>
          <w:sz w:val="24"/>
          <w:szCs w:val="24"/>
        </w:rPr>
        <w:t xml:space="preserve">. </w:t>
      </w:r>
      <w:r>
        <w:rPr>
          <w:rFonts w:ascii="Times New Roman" w:hAnsi="Times New Roman" w:cs="Times New Roman"/>
          <w:sz w:val="24"/>
          <w:szCs w:val="24"/>
        </w:rPr>
        <w:t xml:space="preserve">Other researchers also confirm that the presence of sensory cues along with product-related cues gives consumers “reasons” to accept the functional claims made by the product in the </w:t>
      </w:r>
      <w:r w:rsidRPr="00527157">
        <w:rPr>
          <w:rFonts w:asciiTheme="majorBidi" w:hAnsiTheme="majorBidi" w:cstheme="majorBidi"/>
          <w:sz w:val="24"/>
          <w:szCs w:val="24"/>
        </w:rPr>
        <w:t>communication</w:t>
      </w:r>
      <w:sdt>
        <w:sdtPr>
          <w:rPr>
            <w:rFonts w:asciiTheme="majorBidi" w:hAnsiTheme="majorBidi" w:cstheme="majorBidi"/>
            <w:sz w:val="24"/>
            <w:szCs w:val="24"/>
          </w:rPr>
          <w:id w:val="1897000671"/>
          <w:citation/>
        </w:sdtPr>
        <w:sdtContent>
          <w:r w:rsidRPr="00527157">
            <w:rPr>
              <w:rFonts w:asciiTheme="majorBidi" w:hAnsiTheme="majorBidi" w:cstheme="majorBidi"/>
              <w:sz w:val="24"/>
              <w:szCs w:val="24"/>
            </w:rPr>
            <w:fldChar w:fldCharType="begin"/>
          </w:r>
          <w:r w:rsidRPr="00527157">
            <w:rPr>
              <w:rFonts w:asciiTheme="majorBidi" w:hAnsiTheme="majorBidi" w:cstheme="majorBidi"/>
              <w:sz w:val="24"/>
              <w:szCs w:val="24"/>
            </w:rPr>
            <w:instrText xml:space="preserve"> CITATION Bru20 \l 2057 </w:instrText>
          </w:r>
          <w:r w:rsidRPr="00527157">
            <w:rPr>
              <w:rFonts w:asciiTheme="majorBidi" w:hAnsiTheme="majorBidi" w:cstheme="majorBidi"/>
              <w:sz w:val="24"/>
              <w:szCs w:val="24"/>
            </w:rPr>
            <w:fldChar w:fldCharType="separate"/>
          </w:r>
          <w:r w:rsidRPr="00527157">
            <w:rPr>
              <w:rFonts w:asciiTheme="majorBidi" w:hAnsiTheme="majorBidi" w:cstheme="majorBidi"/>
              <w:noProof/>
              <w:sz w:val="24"/>
              <w:szCs w:val="24"/>
            </w:rPr>
            <w:t xml:space="preserve"> (Bruce, Becker, &amp; Reinartz, 2020)</w:t>
          </w:r>
          <w:r w:rsidRPr="00527157">
            <w:rPr>
              <w:rFonts w:asciiTheme="majorBidi" w:hAnsiTheme="majorBidi" w:cstheme="majorBidi"/>
              <w:sz w:val="24"/>
              <w:szCs w:val="24"/>
            </w:rPr>
            <w:fldChar w:fldCharType="end"/>
          </w:r>
        </w:sdtContent>
      </w:sdt>
      <w:r w:rsidRPr="00527157">
        <w:rPr>
          <w:rFonts w:asciiTheme="majorBidi" w:hAnsiTheme="majorBidi" w:cstheme="majorBidi"/>
          <w:sz w:val="24"/>
          <w:szCs w:val="24"/>
        </w:rPr>
        <w:t xml:space="preserve">. </w:t>
      </w:r>
      <w:r w:rsidR="0030530A" w:rsidRPr="00527157">
        <w:rPr>
          <w:rFonts w:asciiTheme="majorBidi" w:hAnsiTheme="majorBidi" w:cstheme="majorBidi"/>
          <w:color w:val="2E2E2E"/>
          <w:sz w:val="24"/>
          <w:szCs w:val="24"/>
        </w:rPr>
        <w:t>Although it is argued that sustainability initiatives hinder the perception of product functionality</w:t>
      </w:r>
      <w:sdt>
        <w:sdtPr>
          <w:rPr>
            <w:rFonts w:asciiTheme="majorBidi" w:hAnsiTheme="majorBidi" w:cstheme="majorBidi"/>
            <w:color w:val="2E2E2E"/>
            <w:sz w:val="24"/>
            <w:szCs w:val="24"/>
          </w:rPr>
          <w:id w:val="280535022"/>
          <w:citation/>
        </w:sdtPr>
        <w:sdtContent>
          <w:r w:rsidR="0030530A" w:rsidRPr="00527157">
            <w:rPr>
              <w:rFonts w:asciiTheme="majorBidi" w:hAnsiTheme="majorBidi" w:cstheme="majorBidi"/>
              <w:color w:val="2E2E2E"/>
              <w:sz w:val="24"/>
              <w:szCs w:val="24"/>
            </w:rPr>
            <w:fldChar w:fldCharType="begin"/>
          </w:r>
          <w:r w:rsidR="0030530A" w:rsidRPr="00527157">
            <w:rPr>
              <w:rFonts w:asciiTheme="majorBidi" w:hAnsiTheme="majorBidi" w:cstheme="majorBidi"/>
              <w:color w:val="2E2E2E"/>
              <w:sz w:val="24"/>
              <w:szCs w:val="24"/>
            </w:rPr>
            <w:instrText xml:space="preserve"> CITATION New2014 \l 2057 </w:instrText>
          </w:r>
          <w:r w:rsidR="0030530A" w:rsidRPr="00527157">
            <w:rPr>
              <w:rFonts w:asciiTheme="majorBidi" w:hAnsiTheme="majorBidi" w:cstheme="majorBidi"/>
              <w:color w:val="2E2E2E"/>
              <w:sz w:val="24"/>
              <w:szCs w:val="24"/>
            </w:rPr>
            <w:fldChar w:fldCharType="separate"/>
          </w:r>
          <w:r w:rsidR="0030530A" w:rsidRPr="00527157">
            <w:rPr>
              <w:rFonts w:asciiTheme="majorBidi" w:hAnsiTheme="majorBidi" w:cstheme="majorBidi"/>
              <w:noProof/>
              <w:color w:val="2E2E2E"/>
              <w:sz w:val="24"/>
              <w:szCs w:val="24"/>
            </w:rPr>
            <w:t xml:space="preserve"> (Newman, Gorlin, &amp; Dhar, 2014)</w:t>
          </w:r>
          <w:r w:rsidR="0030530A" w:rsidRPr="00527157">
            <w:rPr>
              <w:rFonts w:asciiTheme="majorBidi" w:hAnsiTheme="majorBidi" w:cstheme="majorBidi"/>
              <w:color w:val="2E2E2E"/>
              <w:sz w:val="24"/>
              <w:szCs w:val="24"/>
            </w:rPr>
            <w:fldChar w:fldCharType="end"/>
          </w:r>
        </w:sdtContent>
      </w:sdt>
      <w:r w:rsidR="0030530A" w:rsidRPr="00527157">
        <w:rPr>
          <w:rFonts w:asciiTheme="majorBidi" w:hAnsiTheme="majorBidi" w:cstheme="majorBidi"/>
          <w:color w:val="2E2E2E"/>
          <w:sz w:val="24"/>
          <w:szCs w:val="24"/>
        </w:rPr>
        <w:t xml:space="preserve">,  other researchers argued that a </w:t>
      </w:r>
      <w:r w:rsidR="0030530A" w:rsidRPr="00460517">
        <w:rPr>
          <w:rFonts w:asciiTheme="majorBidi" w:hAnsiTheme="majorBidi" w:cstheme="majorBidi"/>
          <w:color w:val="2E2E2E"/>
          <w:sz w:val="24"/>
          <w:szCs w:val="24"/>
        </w:rPr>
        <w:t xml:space="preserve">company’s sustainability initiatives </w:t>
      </w:r>
      <w:r w:rsidR="0030530A" w:rsidRPr="00527157">
        <w:rPr>
          <w:rFonts w:asciiTheme="majorBidi" w:hAnsiTheme="majorBidi" w:cstheme="majorBidi"/>
          <w:color w:val="2E2E2E"/>
          <w:sz w:val="24"/>
          <w:szCs w:val="24"/>
        </w:rPr>
        <w:t>can indirectly increase perceived product functionality</w:t>
      </w:r>
      <w:sdt>
        <w:sdtPr>
          <w:rPr>
            <w:rFonts w:asciiTheme="majorBidi" w:hAnsiTheme="majorBidi" w:cstheme="majorBidi"/>
            <w:color w:val="2E2E2E"/>
            <w:sz w:val="24"/>
            <w:szCs w:val="24"/>
          </w:rPr>
          <w:id w:val="-1356260389"/>
          <w:citation/>
        </w:sdtPr>
        <w:sdtContent>
          <w:r w:rsidR="0030530A" w:rsidRPr="00527157">
            <w:rPr>
              <w:rFonts w:asciiTheme="majorBidi" w:hAnsiTheme="majorBidi" w:cstheme="majorBidi"/>
              <w:color w:val="2E2E2E"/>
              <w:sz w:val="24"/>
              <w:szCs w:val="24"/>
            </w:rPr>
            <w:fldChar w:fldCharType="begin"/>
          </w:r>
          <w:r w:rsidR="0030530A" w:rsidRPr="00527157">
            <w:rPr>
              <w:rFonts w:asciiTheme="majorBidi" w:hAnsiTheme="majorBidi" w:cstheme="majorBidi"/>
              <w:color w:val="2E2E2E"/>
              <w:sz w:val="24"/>
              <w:szCs w:val="24"/>
            </w:rPr>
            <w:instrText xml:space="preserve">CITATION Che21 \t  \l 2057 </w:instrText>
          </w:r>
          <w:r w:rsidR="0030530A" w:rsidRPr="00527157">
            <w:rPr>
              <w:rFonts w:asciiTheme="majorBidi" w:hAnsiTheme="majorBidi" w:cstheme="majorBidi"/>
              <w:color w:val="2E2E2E"/>
              <w:sz w:val="24"/>
              <w:szCs w:val="24"/>
            </w:rPr>
            <w:fldChar w:fldCharType="separate"/>
          </w:r>
          <w:r w:rsidR="0030530A" w:rsidRPr="00527157">
            <w:rPr>
              <w:rFonts w:asciiTheme="majorBidi" w:hAnsiTheme="majorBidi" w:cstheme="majorBidi"/>
              <w:noProof/>
              <w:color w:val="2E2E2E"/>
              <w:sz w:val="24"/>
              <w:szCs w:val="24"/>
            </w:rPr>
            <w:t xml:space="preserve"> (Chernev &amp; Blair, 2021)</w:t>
          </w:r>
          <w:r w:rsidR="0030530A" w:rsidRPr="00527157">
            <w:rPr>
              <w:rFonts w:asciiTheme="majorBidi" w:hAnsiTheme="majorBidi" w:cstheme="majorBidi"/>
              <w:color w:val="2E2E2E"/>
              <w:sz w:val="24"/>
              <w:szCs w:val="24"/>
            </w:rPr>
            <w:fldChar w:fldCharType="end"/>
          </w:r>
        </w:sdtContent>
      </w:sdt>
      <w:r w:rsidR="0030530A" w:rsidRPr="00527157">
        <w:rPr>
          <w:rFonts w:asciiTheme="majorBidi" w:hAnsiTheme="majorBidi" w:cstheme="majorBidi"/>
          <w:color w:val="2E2E2E"/>
          <w:sz w:val="24"/>
          <w:szCs w:val="24"/>
        </w:rPr>
        <w:t>.</w:t>
      </w:r>
    </w:p>
    <w:p w14:paraId="49DECA12" w14:textId="7676FFC2" w:rsidR="00A96566" w:rsidRDefault="00A96566" w:rsidP="002B3425">
      <w:pPr>
        <w:adjustRightInd w:val="0"/>
        <w:spacing w:after="0" w:line="480" w:lineRule="auto"/>
        <w:ind w:firstLine="360"/>
        <w:jc w:val="lowKashida"/>
        <w:rPr>
          <w:rFonts w:ascii="Times New Roman" w:hAnsi="Times New Roman" w:cs="Times New Roman"/>
          <w:sz w:val="24"/>
          <w:szCs w:val="24"/>
        </w:rPr>
      </w:pPr>
      <w:r w:rsidRPr="00527157">
        <w:rPr>
          <w:rFonts w:asciiTheme="majorBidi" w:hAnsiTheme="majorBidi" w:cstheme="majorBidi"/>
          <w:sz w:val="24"/>
          <w:szCs w:val="24"/>
        </w:rPr>
        <w:t>Yet, the pressing argument for this study is whether affective</w:t>
      </w:r>
      <w:r w:rsidRPr="00D04716">
        <w:rPr>
          <w:rFonts w:ascii="Times New Roman" w:hAnsi="Times New Roman" w:cs="Times New Roman"/>
          <w:sz w:val="24"/>
          <w:szCs w:val="24"/>
        </w:rPr>
        <w:t xml:space="preserve"> and hedonic </w:t>
      </w:r>
      <w:r w:rsidR="003C0A93">
        <w:rPr>
          <w:rFonts w:ascii="Times New Roman" w:hAnsi="Times New Roman" w:cs="Times New Roman"/>
          <w:sz w:val="24"/>
          <w:szCs w:val="24"/>
        </w:rPr>
        <w:t>messages</w:t>
      </w:r>
      <w:r w:rsidRPr="00D04716">
        <w:rPr>
          <w:rFonts w:ascii="Times New Roman" w:hAnsi="Times New Roman" w:cs="Times New Roman"/>
          <w:sz w:val="24"/>
          <w:szCs w:val="24"/>
        </w:rPr>
        <w:t xml:space="preserve"> </w:t>
      </w:r>
      <w:r w:rsidR="003C0A93">
        <w:rPr>
          <w:rFonts w:ascii="Times New Roman" w:hAnsi="Times New Roman" w:cs="Times New Roman"/>
          <w:sz w:val="24"/>
          <w:szCs w:val="24"/>
        </w:rPr>
        <w:t>such as CSR c</w:t>
      </w:r>
      <w:r w:rsidRPr="00D04716">
        <w:rPr>
          <w:rFonts w:ascii="Times New Roman" w:hAnsi="Times New Roman" w:cs="Times New Roman"/>
          <w:sz w:val="24"/>
          <w:szCs w:val="24"/>
        </w:rPr>
        <w:t>ommunication strategies will have a direct or indirect effect on consumers’ perceived functional performance of the products.</w:t>
      </w:r>
      <w:r>
        <w:rPr>
          <w:rFonts w:ascii="Times New Roman" w:hAnsi="Times New Roman" w:cs="Times New Roman"/>
          <w:sz w:val="24"/>
          <w:szCs w:val="24"/>
        </w:rPr>
        <w:t xml:space="preserve"> </w:t>
      </w:r>
      <w:r w:rsidRPr="00D04716">
        <w:rPr>
          <w:rFonts w:ascii="Times New Roman" w:hAnsi="Times New Roman" w:cs="Times New Roman"/>
          <w:sz w:val="24"/>
          <w:szCs w:val="24"/>
        </w:rPr>
        <w:t>Based on the above discussion, it is</w:t>
      </w:r>
      <w:r>
        <w:rPr>
          <w:rFonts w:ascii="Times New Roman" w:hAnsi="Times New Roman" w:cs="Times New Roman"/>
          <w:sz w:val="24"/>
          <w:szCs w:val="24"/>
        </w:rPr>
        <w:t xml:space="preserve"> specifically</w:t>
      </w:r>
      <w:r w:rsidRPr="00D04716">
        <w:rPr>
          <w:rFonts w:ascii="Times New Roman" w:hAnsi="Times New Roman" w:cs="Times New Roman"/>
          <w:sz w:val="24"/>
          <w:szCs w:val="24"/>
        </w:rPr>
        <w:t xml:space="preserve"> important to </w:t>
      </w:r>
      <w:r>
        <w:rPr>
          <w:rFonts w:ascii="Times New Roman" w:hAnsi="Times New Roman" w:cs="Times New Roman"/>
          <w:sz w:val="24"/>
          <w:szCs w:val="24"/>
        </w:rPr>
        <w:t>examine perceived brand functionality</w:t>
      </w:r>
      <w:r w:rsidRPr="00D04716">
        <w:rPr>
          <w:rFonts w:ascii="Times New Roman" w:hAnsi="Times New Roman" w:cs="Times New Roman"/>
          <w:sz w:val="24"/>
          <w:szCs w:val="24"/>
        </w:rPr>
        <w:t xml:space="preserve"> in the field of CSR as CSR communication is not focused on advertising the functional benefits</w:t>
      </w:r>
      <w:r>
        <w:rPr>
          <w:rFonts w:ascii="Times New Roman" w:hAnsi="Times New Roman" w:cs="Times New Roman"/>
          <w:sz w:val="24"/>
          <w:szCs w:val="24"/>
        </w:rPr>
        <w:t xml:space="preserve"> and features</w:t>
      </w:r>
      <w:r w:rsidRPr="00D04716">
        <w:rPr>
          <w:rFonts w:ascii="Times New Roman" w:hAnsi="Times New Roman" w:cs="Times New Roman"/>
          <w:sz w:val="24"/>
          <w:szCs w:val="24"/>
        </w:rPr>
        <w:t xml:space="preserve"> of the products.</w:t>
      </w:r>
      <w:r>
        <w:rPr>
          <w:rFonts w:ascii="Times New Roman" w:hAnsi="Times New Roman" w:cs="Times New Roman"/>
          <w:sz w:val="24"/>
          <w:szCs w:val="24"/>
        </w:rPr>
        <w:t xml:space="preserve"> </w:t>
      </w:r>
      <w:r w:rsidR="00E15365">
        <w:rPr>
          <w:rFonts w:ascii="Times New Roman" w:hAnsi="Times New Roman" w:cs="Times New Roman"/>
          <w:sz w:val="24"/>
          <w:szCs w:val="24"/>
        </w:rPr>
        <w:t>Thus</w:t>
      </w:r>
      <w:r w:rsidRPr="00D04716">
        <w:rPr>
          <w:rFonts w:ascii="Times New Roman" w:hAnsi="Times New Roman" w:cs="Times New Roman"/>
          <w:sz w:val="24"/>
          <w:szCs w:val="24"/>
        </w:rPr>
        <w:t xml:space="preserve">, this research is set out to </w:t>
      </w:r>
      <w:r>
        <w:rPr>
          <w:rFonts w:ascii="Times New Roman" w:hAnsi="Times New Roman" w:cs="Times New Roman"/>
          <w:sz w:val="24"/>
          <w:szCs w:val="24"/>
        </w:rPr>
        <w:t xml:space="preserve">test the below hypothesis: </w:t>
      </w:r>
    </w:p>
    <w:p w14:paraId="02FAF114" w14:textId="3C47F057" w:rsidR="00A96566" w:rsidRPr="00BF222E" w:rsidRDefault="00002857" w:rsidP="00A96566">
      <w:pPr>
        <w:pStyle w:val="NormalWeb"/>
        <w:spacing w:before="67" w:beforeAutospacing="0" w:after="120" w:afterAutospacing="0" w:line="480" w:lineRule="auto"/>
        <w:rPr>
          <w:rFonts w:asciiTheme="majorBidi" w:eastAsia="Arial" w:hAnsiTheme="majorBidi" w:cstheme="majorBidi"/>
        </w:rPr>
      </w:pPr>
      <w:bookmarkStart w:id="50" w:name="_Hlk136376434"/>
      <w:r>
        <w:rPr>
          <w:rFonts w:asciiTheme="majorBidi" w:eastAsia="Arial" w:hAnsiTheme="majorBidi" w:cstheme="majorBidi"/>
        </w:rPr>
        <w:tab/>
      </w:r>
      <w:bookmarkStart w:id="51" w:name="_Hlk145537271"/>
      <w:r w:rsidR="00A96566">
        <w:rPr>
          <w:rFonts w:asciiTheme="majorBidi" w:eastAsia="Arial" w:hAnsiTheme="majorBidi" w:cstheme="majorBidi"/>
        </w:rPr>
        <w:t>H</w:t>
      </w:r>
      <w:r w:rsidR="00287490">
        <w:rPr>
          <w:rFonts w:asciiTheme="majorBidi" w:eastAsia="Arial" w:hAnsiTheme="majorBidi" w:cstheme="majorBidi"/>
        </w:rPr>
        <w:t>3</w:t>
      </w:r>
      <w:r w:rsidR="00A96566">
        <w:rPr>
          <w:rFonts w:asciiTheme="majorBidi" w:eastAsia="Arial" w:hAnsiTheme="majorBidi" w:cstheme="majorBidi"/>
        </w:rPr>
        <w:t>: C</w:t>
      </w:r>
      <w:r w:rsidR="00A96566" w:rsidRPr="008D75D3">
        <w:rPr>
          <w:rFonts w:asciiTheme="majorBidi" w:eastAsia="Arial" w:hAnsiTheme="majorBidi" w:cstheme="majorBidi"/>
        </w:rPr>
        <w:t xml:space="preserve">SR communication </w:t>
      </w:r>
      <w:r w:rsidR="00002386">
        <w:rPr>
          <w:rFonts w:asciiTheme="majorBidi" w:eastAsia="Arial" w:hAnsiTheme="majorBidi" w:cstheme="majorBidi"/>
        </w:rPr>
        <w:t>has</w:t>
      </w:r>
      <w:r w:rsidR="00A96566" w:rsidRPr="008D75D3">
        <w:rPr>
          <w:rFonts w:asciiTheme="majorBidi" w:eastAsia="Arial" w:hAnsiTheme="majorBidi" w:cstheme="majorBidi"/>
        </w:rPr>
        <w:t xml:space="preserve"> </w:t>
      </w:r>
      <w:r w:rsidR="00A96566">
        <w:rPr>
          <w:rFonts w:asciiTheme="majorBidi" w:eastAsia="Arial" w:hAnsiTheme="majorBidi" w:cstheme="majorBidi"/>
        </w:rPr>
        <w:t>a positive effect on</w:t>
      </w:r>
      <w:r w:rsidR="00D012B7">
        <w:rPr>
          <w:rFonts w:asciiTheme="majorBidi" w:eastAsia="Arial" w:hAnsiTheme="majorBidi" w:cstheme="majorBidi"/>
        </w:rPr>
        <w:t xml:space="preserve"> the</w:t>
      </w:r>
      <w:r w:rsidR="00A96566">
        <w:rPr>
          <w:rFonts w:asciiTheme="majorBidi" w:eastAsia="Arial" w:hAnsiTheme="majorBidi" w:cstheme="majorBidi"/>
        </w:rPr>
        <w:t xml:space="preserve"> </w:t>
      </w:r>
      <w:r w:rsidR="00A96566" w:rsidRPr="00F62B5D">
        <w:rPr>
          <w:rFonts w:asciiTheme="majorBidi" w:eastAsia="Arial" w:hAnsiTheme="majorBidi" w:cstheme="majorBidi"/>
        </w:rPr>
        <w:t xml:space="preserve">perceived brand functionality </w:t>
      </w:r>
      <w:r w:rsidR="00A96566" w:rsidRPr="008D75D3">
        <w:rPr>
          <w:rFonts w:asciiTheme="majorBidi" w:eastAsia="Arial" w:hAnsiTheme="majorBidi" w:cstheme="majorBidi"/>
        </w:rPr>
        <w:t>of consumers in Egypt more than non-CSR communication.</w:t>
      </w:r>
      <w:bookmarkEnd w:id="51"/>
    </w:p>
    <w:bookmarkEnd w:id="50"/>
    <w:p w14:paraId="6FFF4C40" w14:textId="26D7063B" w:rsidR="00A96566" w:rsidRPr="00D04716" w:rsidRDefault="00460517" w:rsidP="00F94905">
      <w:pPr>
        <w:adjustRightInd w:val="0"/>
        <w:spacing w:after="0" w:line="480" w:lineRule="auto"/>
        <w:ind w:firstLine="360"/>
        <w:jc w:val="lowKashida"/>
        <w:rPr>
          <w:rFonts w:ascii="Times New Roman" w:hAnsi="Times New Roman" w:cs="Times New Roman"/>
          <w:b/>
          <w:bCs/>
          <w:sz w:val="24"/>
          <w:szCs w:val="24"/>
        </w:rPr>
      </w:pPr>
      <w:r>
        <w:rPr>
          <w:rFonts w:ascii="Times New Roman" w:hAnsi="Times New Roman" w:cs="Times New Roman"/>
          <w:b/>
          <w:bCs/>
          <w:sz w:val="24"/>
          <w:szCs w:val="24"/>
        </w:rPr>
        <w:t>2</w:t>
      </w:r>
      <w:r w:rsidR="00A96566">
        <w:rPr>
          <w:rFonts w:ascii="Times New Roman" w:hAnsi="Times New Roman" w:cs="Times New Roman"/>
          <w:b/>
          <w:bCs/>
          <w:sz w:val="24"/>
          <w:szCs w:val="24"/>
        </w:rPr>
        <w:t>.</w:t>
      </w:r>
      <w:r w:rsidR="00DD69CF">
        <w:rPr>
          <w:rFonts w:ascii="Times New Roman" w:hAnsi="Times New Roman" w:cs="Times New Roman"/>
          <w:b/>
          <w:bCs/>
          <w:sz w:val="24"/>
          <w:szCs w:val="24"/>
        </w:rPr>
        <w:t>7</w:t>
      </w:r>
      <w:r w:rsidR="00A96566">
        <w:rPr>
          <w:rFonts w:ascii="Times New Roman" w:hAnsi="Times New Roman" w:cs="Times New Roman"/>
          <w:b/>
          <w:bCs/>
          <w:sz w:val="24"/>
          <w:szCs w:val="24"/>
        </w:rPr>
        <w:t>.</w:t>
      </w:r>
      <w:r w:rsidR="003B1DF4">
        <w:rPr>
          <w:rFonts w:ascii="Times New Roman" w:hAnsi="Times New Roman" w:cs="Times New Roman"/>
          <w:b/>
          <w:bCs/>
          <w:sz w:val="24"/>
          <w:szCs w:val="24"/>
        </w:rPr>
        <w:t>6</w:t>
      </w:r>
      <w:r w:rsidR="00A96566">
        <w:rPr>
          <w:rFonts w:ascii="Times New Roman" w:hAnsi="Times New Roman" w:cs="Times New Roman"/>
          <w:b/>
          <w:bCs/>
          <w:sz w:val="24"/>
          <w:szCs w:val="24"/>
        </w:rPr>
        <w:t xml:space="preserve"> </w:t>
      </w:r>
      <w:r w:rsidR="0032783A">
        <w:rPr>
          <w:rFonts w:ascii="Times New Roman" w:hAnsi="Times New Roman" w:cs="Times New Roman"/>
          <w:b/>
          <w:bCs/>
          <w:sz w:val="24"/>
          <w:szCs w:val="24"/>
        </w:rPr>
        <w:t xml:space="preserve">CSR and </w:t>
      </w:r>
      <w:r w:rsidR="00A96566" w:rsidRPr="00D04716">
        <w:rPr>
          <w:rFonts w:ascii="Times New Roman" w:hAnsi="Times New Roman" w:cs="Times New Roman"/>
          <w:b/>
          <w:bCs/>
          <w:sz w:val="24"/>
          <w:szCs w:val="24"/>
        </w:rPr>
        <w:t>Emotional Brand Attachment</w:t>
      </w:r>
    </w:p>
    <w:p w14:paraId="301D381A" w14:textId="16387209" w:rsidR="00A96566" w:rsidRPr="00D04716" w:rsidRDefault="00A96566" w:rsidP="00F94905">
      <w:pPr>
        <w:adjustRightInd w:val="0"/>
        <w:spacing w:after="0" w:line="480" w:lineRule="auto"/>
        <w:ind w:firstLine="360"/>
        <w:jc w:val="lowKashida"/>
        <w:rPr>
          <w:rFonts w:ascii="Times New Roman" w:hAnsi="Times New Roman" w:cs="Times New Roman"/>
          <w:sz w:val="24"/>
          <w:szCs w:val="24"/>
        </w:rPr>
      </w:pPr>
      <w:r>
        <w:rPr>
          <w:rFonts w:ascii="Times New Roman" w:hAnsi="Times New Roman" w:cs="Times New Roman"/>
          <w:sz w:val="24"/>
          <w:szCs w:val="24"/>
        </w:rPr>
        <w:t>As suggested previously by multiple authors, future research need</w:t>
      </w:r>
      <w:r w:rsidR="009C5253">
        <w:rPr>
          <w:rFonts w:ascii="Times New Roman" w:hAnsi="Times New Roman" w:cs="Times New Roman"/>
          <w:sz w:val="24"/>
          <w:szCs w:val="24"/>
        </w:rPr>
        <w:t>s</w:t>
      </w:r>
      <w:r>
        <w:rPr>
          <w:rFonts w:ascii="Times New Roman" w:hAnsi="Times New Roman" w:cs="Times New Roman"/>
          <w:sz w:val="24"/>
          <w:szCs w:val="24"/>
        </w:rPr>
        <w:t xml:space="preserve"> to</w:t>
      </w:r>
      <w:r w:rsidR="009C5253">
        <w:rPr>
          <w:rFonts w:ascii="Times New Roman" w:hAnsi="Times New Roman" w:cs="Times New Roman"/>
          <w:sz w:val="24"/>
          <w:szCs w:val="24"/>
        </w:rPr>
        <w:t xml:space="preserve"> not only</w:t>
      </w:r>
      <w:r>
        <w:rPr>
          <w:rFonts w:ascii="Times New Roman" w:hAnsi="Times New Roman" w:cs="Times New Roman"/>
          <w:sz w:val="24"/>
          <w:szCs w:val="24"/>
        </w:rPr>
        <w:t xml:space="preserve"> focus on, cognitive aspects but also</w:t>
      </w:r>
      <w:r w:rsidR="009C5253">
        <w:rPr>
          <w:rFonts w:ascii="Times New Roman" w:hAnsi="Times New Roman" w:cs="Times New Roman"/>
          <w:sz w:val="24"/>
          <w:szCs w:val="24"/>
        </w:rPr>
        <w:t xml:space="preserve"> </w:t>
      </w:r>
      <w:r>
        <w:rPr>
          <w:rFonts w:ascii="Times New Roman" w:hAnsi="Times New Roman" w:cs="Times New Roman"/>
          <w:sz w:val="24"/>
          <w:szCs w:val="24"/>
        </w:rPr>
        <w:t xml:space="preserve">affective responses towards CSR communication </w:t>
      </w:r>
      <w:sdt>
        <w:sdtPr>
          <w:rPr>
            <w:rFonts w:ascii="Times New Roman" w:hAnsi="Times New Roman" w:cs="Times New Roman"/>
            <w:sz w:val="24"/>
            <w:szCs w:val="24"/>
          </w:rPr>
          <w:id w:val="-223759773"/>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DuS101 \t  \l 2057 </w:instrText>
          </w:r>
          <w:r>
            <w:rPr>
              <w:rFonts w:ascii="Times New Roman" w:hAnsi="Times New Roman" w:cs="Times New Roman"/>
              <w:sz w:val="24"/>
              <w:szCs w:val="24"/>
            </w:rPr>
            <w:fldChar w:fldCharType="separate"/>
          </w:r>
          <w:r w:rsidRPr="0002256A">
            <w:rPr>
              <w:rFonts w:ascii="Times New Roman" w:hAnsi="Times New Roman" w:cs="Times New Roman"/>
              <w:noProof/>
              <w:sz w:val="24"/>
              <w:szCs w:val="24"/>
            </w:rPr>
            <w:t>(Du, Bhattacharya, &amp; Sen, 2010)</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Affective responses include feelings of happiness, empathy, and connection towards the ad </w:t>
      </w:r>
      <w:bookmarkStart w:id="52" w:name="_Hlk127636675"/>
      <w:sdt>
        <w:sdtPr>
          <w:rPr>
            <w:rFonts w:ascii="Times New Roman" w:hAnsi="Times New Roman" w:cs="Times New Roman"/>
            <w:sz w:val="24"/>
            <w:szCs w:val="24"/>
          </w:rPr>
          <w:id w:val="-1020458676"/>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DuS101 \t  \l 2057 </w:instrText>
          </w:r>
          <w:r>
            <w:rPr>
              <w:rFonts w:ascii="Times New Roman" w:hAnsi="Times New Roman" w:cs="Times New Roman"/>
              <w:sz w:val="24"/>
              <w:szCs w:val="24"/>
            </w:rPr>
            <w:fldChar w:fldCharType="separate"/>
          </w:r>
          <w:r w:rsidRPr="0002256A">
            <w:rPr>
              <w:rFonts w:ascii="Times New Roman" w:hAnsi="Times New Roman" w:cs="Times New Roman"/>
              <w:noProof/>
              <w:sz w:val="24"/>
              <w:szCs w:val="24"/>
            </w:rPr>
            <w:t>(Du, Bhattacharya, &amp; Sen, 2010)</w:t>
          </w:r>
          <w:r>
            <w:rPr>
              <w:rFonts w:ascii="Times New Roman" w:hAnsi="Times New Roman" w:cs="Times New Roman"/>
              <w:sz w:val="24"/>
              <w:szCs w:val="24"/>
            </w:rPr>
            <w:fldChar w:fldCharType="end"/>
          </w:r>
        </w:sdtContent>
      </w:sdt>
      <w:bookmarkEnd w:id="52"/>
      <w:r>
        <w:rPr>
          <w:rFonts w:ascii="Times New Roman" w:hAnsi="Times New Roman" w:cs="Times New Roman"/>
          <w:sz w:val="24"/>
          <w:szCs w:val="24"/>
        </w:rPr>
        <w:t xml:space="preserve">. </w:t>
      </w:r>
      <w:r w:rsidRPr="00D04716">
        <w:rPr>
          <w:rFonts w:ascii="Times New Roman" w:hAnsi="Times New Roman" w:cs="Times New Roman"/>
          <w:sz w:val="24"/>
          <w:szCs w:val="24"/>
        </w:rPr>
        <w:t xml:space="preserve">Theoretically, </w:t>
      </w:r>
      <w:r w:rsidR="00FC5BA8">
        <w:rPr>
          <w:rFonts w:ascii="Times New Roman" w:hAnsi="Times New Roman" w:cs="Times New Roman"/>
          <w:sz w:val="24"/>
          <w:szCs w:val="24"/>
        </w:rPr>
        <w:t xml:space="preserve">emotional </w:t>
      </w:r>
      <w:r w:rsidRPr="00D04716">
        <w:rPr>
          <w:rFonts w:ascii="Times New Roman" w:hAnsi="Times New Roman" w:cs="Times New Roman"/>
          <w:sz w:val="24"/>
          <w:szCs w:val="24"/>
        </w:rPr>
        <w:t xml:space="preserve">brand attachment refers to a strong connection that consumers establish with a brand in which consumers would be committed to spread positive word-of-mouth about the brand </w:t>
      </w:r>
      <w:sdt>
        <w:sdtPr>
          <w:rPr>
            <w:rFonts w:ascii="Times New Roman" w:hAnsi="Times New Roman" w:cs="Times New Roman"/>
            <w:sz w:val="24"/>
            <w:szCs w:val="24"/>
          </w:rPr>
          <w:id w:val="-1978293848"/>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Cha18 \l 2057  \m Den16 \m Kwo15 \m Mag21</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(Charton-Vachet &amp; Lombart, 2018; Dennis, Papagiannidis, Alamanos, &amp; Bourlakis, 2016; Kwon &amp; Mattila, 2015; Magnoni, Valette-Florence, &amp; De Barniera, 2021)</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Emotion is an imperative </w:t>
      </w:r>
      <w:r w:rsidR="00FC5BA8">
        <w:rPr>
          <w:rFonts w:ascii="Times New Roman" w:hAnsi="Times New Roman" w:cs="Times New Roman"/>
          <w:sz w:val="24"/>
          <w:szCs w:val="24"/>
        </w:rPr>
        <w:t>concept</w:t>
      </w:r>
      <w:r w:rsidRPr="00D04716">
        <w:rPr>
          <w:rFonts w:ascii="Times New Roman" w:hAnsi="Times New Roman" w:cs="Times New Roman"/>
          <w:sz w:val="24"/>
          <w:szCs w:val="24"/>
        </w:rPr>
        <w:t xml:space="preserve"> to </w:t>
      </w:r>
      <w:r w:rsidR="00FC5BA8">
        <w:rPr>
          <w:rFonts w:ascii="Times New Roman" w:hAnsi="Times New Roman" w:cs="Times New Roman"/>
          <w:sz w:val="24"/>
          <w:szCs w:val="24"/>
        </w:rPr>
        <w:t>analyse</w:t>
      </w:r>
      <w:r w:rsidRPr="00D04716">
        <w:rPr>
          <w:rFonts w:ascii="Times New Roman" w:hAnsi="Times New Roman" w:cs="Times New Roman"/>
          <w:sz w:val="24"/>
          <w:szCs w:val="24"/>
        </w:rPr>
        <w:t xml:space="preserve"> in the field of marketing as consumers’ emotions can aid in understanding changes in the consumers' decision-making process </w:t>
      </w:r>
      <w:sdt>
        <w:sdtPr>
          <w:rPr>
            <w:rFonts w:ascii="Times New Roman" w:hAnsi="Times New Roman" w:cs="Times New Roman"/>
            <w:sz w:val="24"/>
            <w:szCs w:val="24"/>
          </w:rPr>
          <w:id w:val="337661054"/>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Ham17 \l 2057  \m ouY17</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(Hamelin, El Moujahid, &amp; Thaichon, 2017; Ou &amp; Verhoef, 2017)</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Hence, brand managers in different fields focused on establishing a strong emotional connection with consumers </w:t>
      </w:r>
      <w:sdt>
        <w:sdtPr>
          <w:rPr>
            <w:rFonts w:ascii="Times New Roman" w:hAnsi="Times New Roman" w:cs="Times New Roman"/>
            <w:sz w:val="24"/>
            <w:szCs w:val="24"/>
          </w:rPr>
          <w:id w:val="581726752"/>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Sch21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(Schmitz, 2021)</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as emotional brand attachment ought to create a positive impact o</w:t>
      </w:r>
      <w:r>
        <w:rPr>
          <w:rFonts w:ascii="Times New Roman" w:hAnsi="Times New Roman" w:cs="Times New Roman"/>
          <w:sz w:val="24"/>
          <w:szCs w:val="24"/>
        </w:rPr>
        <w:t>n</w:t>
      </w:r>
      <w:r w:rsidRPr="00D04716">
        <w:rPr>
          <w:rFonts w:ascii="Times New Roman" w:hAnsi="Times New Roman" w:cs="Times New Roman"/>
          <w:sz w:val="24"/>
          <w:szCs w:val="24"/>
        </w:rPr>
        <w:t xml:space="preserve"> the firm’s profitability and brand equity </w:t>
      </w:r>
      <w:sdt>
        <w:sdtPr>
          <w:rPr>
            <w:rFonts w:ascii="Times New Roman" w:hAnsi="Times New Roman" w:cs="Times New Roman"/>
            <w:sz w:val="24"/>
            <w:szCs w:val="24"/>
          </w:rPr>
          <w:id w:val="-634944450"/>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Hei19 \l 2057  \m Cha20</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(Heinberg, Katsikeas, Ozkaya, &amp; Taube, 2019; Chang, Ko, Huang, &amp; Wang, 2020)</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A considerable number of studies referred to related constructs such as brand satisfaction, brand passion, brand trust, and brand loyalty, that have strong influence on brand attachment </w:t>
      </w:r>
      <w:sdt>
        <w:sdtPr>
          <w:rPr>
            <w:rFonts w:ascii="Times New Roman" w:hAnsi="Times New Roman" w:cs="Times New Roman"/>
            <w:sz w:val="24"/>
            <w:szCs w:val="24"/>
          </w:rPr>
          <w:id w:val="-96409029"/>
          <w:citation/>
        </w:sdtPr>
        <w:sdtContent>
          <w:r w:rsidRPr="00D04716">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Dwi19 \t  \m Hem16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(Dwivedi, Johnson, Wilkie, &amp; De Araujo-Gil, 2019; Hemsley-Brown &amp; Alnawas, 2016)</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p>
    <w:p w14:paraId="6FDE2898" w14:textId="0DC884F1" w:rsidR="005871E3" w:rsidRDefault="00A96566" w:rsidP="00575AE6">
      <w:pPr>
        <w:adjustRightInd w:val="0"/>
        <w:spacing w:after="0" w:line="480" w:lineRule="auto"/>
        <w:ind w:firstLine="360"/>
        <w:jc w:val="lowKashida"/>
        <w:rPr>
          <w:rFonts w:ascii="Times New Roman" w:hAnsi="Times New Roman" w:cs="Times New Roman"/>
          <w:sz w:val="24"/>
          <w:szCs w:val="24"/>
        </w:rPr>
      </w:pPr>
      <w:r w:rsidRPr="00D04716">
        <w:rPr>
          <w:rFonts w:ascii="Times New Roman" w:hAnsi="Times New Roman" w:cs="Times New Roman"/>
          <w:sz w:val="24"/>
          <w:szCs w:val="24"/>
        </w:rPr>
        <w:t xml:space="preserve">According to </w:t>
      </w:r>
      <w:r w:rsidR="00AB73C3">
        <w:rPr>
          <w:rFonts w:ascii="Times New Roman" w:hAnsi="Times New Roman" w:cs="Times New Roman"/>
          <w:sz w:val="24"/>
          <w:szCs w:val="24"/>
        </w:rPr>
        <w:t>past research</w:t>
      </w:r>
      <w:r w:rsidRPr="00D04716">
        <w:rPr>
          <w:rFonts w:ascii="Times New Roman" w:hAnsi="Times New Roman" w:cs="Times New Roman"/>
          <w:sz w:val="24"/>
          <w:szCs w:val="24"/>
        </w:rPr>
        <w:t>, even though advertising plays a role in marketing, there is no</w:t>
      </w:r>
      <w:r>
        <w:rPr>
          <w:rFonts w:ascii="Times New Roman" w:hAnsi="Times New Roman" w:cs="Times New Roman"/>
          <w:sz w:val="24"/>
          <w:szCs w:val="24"/>
        </w:rPr>
        <w:t>t</w:t>
      </w:r>
      <w:r w:rsidRPr="00D04716">
        <w:rPr>
          <w:rFonts w:ascii="Times New Roman" w:hAnsi="Times New Roman" w:cs="Times New Roman"/>
          <w:sz w:val="24"/>
          <w:szCs w:val="24"/>
        </w:rPr>
        <w:t xml:space="preserve"> enough research about the impact of emotions on consumers’ perceptions of advertising </w:t>
      </w:r>
      <w:sdt>
        <w:sdtPr>
          <w:rPr>
            <w:rFonts w:ascii="Times New Roman" w:hAnsi="Times New Roman" w:cs="Times New Roman"/>
            <w:sz w:val="24"/>
            <w:szCs w:val="24"/>
          </w:rPr>
          <w:id w:val="-1819567272"/>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Kao20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(Kao &amp; Du, 2020)</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 Nonetheless, there is a wide array of emotions that can be expressed through an ad that would induce different impacts on consumers</w:t>
      </w:r>
      <w:sdt>
        <w:sdtPr>
          <w:rPr>
            <w:rFonts w:ascii="Times New Roman" w:hAnsi="Times New Roman" w:cs="Times New Roman"/>
            <w:sz w:val="24"/>
            <w:szCs w:val="24"/>
          </w:rPr>
          <w:id w:val="-2046279876"/>
          <w:citation/>
        </w:sdtPr>
        <w:sdtContent>
          <w:r w:rsidR="00CA395C">
            <w:rPr>
              <w:rFonts w:ascii="Times New Roman" w:hAnsi="Times New Roman" w:cs="Times New Roman"/>
              <w:sz w:val="24"/>
              <w:szCs w:val="24"/>
            </w:rPr>
            <w:fldChar w:fldCharType="begin"/>
          </w:r>
          <w:r w:rsidR="00CA395C">
            <w:rPr>
              <w:rFonts w:ascii="Times New Roman" w:hAnsi="Times New Roman" w:cs="Times New Roman"/>
              <w:sz w:val="24"/>
              <w:szCs w:val="24"/>
            </w:rPr>
            <w:instrText xml:space="preserve"> CITATION Pha17 \l 2057  \m Poe19</w:instrText>
          </w:r>
          <w:r w:rsidR="00CA395C">
            <w:rPr>
              <w:rFonts w:ascii="Times New Roman" w:hAnsi="Times New Roman" w:cs="Times New Roman"/>
              <w:sz w:val="24"/>
              <w:szCs w:val="24"/>
            </w:rPr>
            <w:fldChar w:fldCharType="separate"/>
          </w:r>
          <w:r w:rsidR="00CA395C">
            <w:rPr>
              <w:rFonts w:ascii="Times New Roman" w:hAnsi="Times New Roman" w:cs="Times New Roman"/>
              <w:noProof/>
              <w:sz w:val="24"/>
              <w:szCs w:val="24"/>
            </w:rPr>
            <w:t xml:space="preserve"> </w:t>
          </w:r>
          <w:r w:rsidR="00CA395C" w:rsidRPr="00CA395C">
            <w:rPr>
              <w:rFonts w:ascii="Times New Roman" w:hAnsi="Times New Roman" w:cs="Times New Roman"/>
              <w:noProof/>
              <w:sz w:val="24"/>
              <w:szCs w:val="24"/>
            </w:rPr>
            <w:t>(Pham &amp; Wang, 2017; Poels &amp; Dewitte, 2019)</w:t>
          </w:r>
          <w:r w:rsidR="00CA395C">
            <w:rPr>
              <w:rFonts w:ascii="Times New Roman" w:hAnsi="Times New Roman" w:cs="Times New Roman"/>
              <w:sz w:val="24"/>
              <w:szCs w:val="24"/>
            </w:rPr>
            <w:fldChar w:fldCharType="end"/>
          </w:r>
        </w:sdtContent>
      </w:sdt>
      <w:r w:rsidRPr="00D04716">
        <w:rPr>
          <w:rFonts w:ascii="Times New Roman" w:hAnsi="Times New Roman" w:cs="Times New Roman"/>
          <w:sz w:val="24"/>
          <w:szCs w:val="24"/>
        </w:rPr>
        <w:t xml:space="preserve">. Multiple studies in literature </w:t>
      </w:r>
      <w:r w:rsidR="009C5253">
        <w:rPr>
          <w:rFonts w:ascii="Times New Roman" w:hAnsi="Times New Roman" w:cs="Times New Roman"/>
          <w:sz w:val="24"/>
          <w:szCs w:val="24"/>
        </w:rPr>
        <w:t xml:space="preserve">have </w:t>
      </w:r>
      <w:r w:rsidRPr="00D04716">
        <w:rPr>
          <w:rFonts w:ascii="Times New Roman" w:hAnsi="Times New Roman" w:cs="Times New Roman"/>
          <w:sz w:val="24"/>
          <w:szCs w:val="24"/>
        </w:rPr>
        <w:t xml:space="preserve">analysed the impact of seven emotions as outlined by Ekman </w:t>
      </w:r>
      <w:sdt>
        <w:sdtPr>
          <w:rPr>
            <w:rFonts w:ascii="Times New Roman" w:hAnsi="Times New Roman" w:cs="Times New Roman"/>
            <w:sz w:val="24"/>
            <w:szCs w:val="24"/>
          </w:rPr>
          <w:id w:val="1463383443"/>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CITATION Ekm71 \n  \t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(1971)</w:t>
          </w:r>
          <w:r w:rsidRPr="00D04716">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D04716">
        <w:rPr>
          <w:rFonts w:ascii="Times New Roman" w:hAnsi="Times New Roman" w:cs="Times New Roman"/>
          <w:sz w:val="24"/>
          <w:szCs w:val="24"/>
        </w:rPr>
        <w:t>two positive emotions (joy and surprise) and five negative emotions (anger, contempt, disgust, fear, and sadness). These studies demonstrated that, out of these seven emotions, joy appeared to the dominant emotion that had a significant impact on ad likeability</w:t>
      </w:r>
      <w:sdt>
        <w:sdtPr>
          <w:rPr>
            <w:rFonts w:ascii="Times New Roman" w:hAnsi="Times New Roman" w:cs="Times New Roman"/>
            <w:sz w:val="24"/>
            <w:szCs w:val="24"/>
          </w:rPr>
          <w:id w:val="1596286237"/>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Lew14 \l 2057  \m Ota20 \m She16 \m Tom10</w:instrText>
          </w:r>
          <w:r w:rsidRPr="00D04716">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2256A">
            <w:rPr>
              <w:rFonts w:ascii="Times New Roman" w:hAnsi="Times New Roman" w:cs="Times New Roman"/>
              <w:noProof/>
              <w:sz w:val="24"/>
              <w:szCs w:val="24"/>
            </w:rPr>
            <w:t>(Lewinski, Fransen, &amp; Tan, 2014; Otamendi &amp; Martín, 2020; Shehu, Bijmolt, &amp; Clement, 2016; Tomkovick, Yelkur, &amp; Christians, 2010)</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p>
    <w:p w14:paraId="6BFE09CB" w14:textId="4518E2E6" w:rsidR="00A96566" w:rsidRPr="000935B2" w:rsidRDefault="00A96566" w:rsidP="000935B2">
      <w:pPr>
        <w:spacing w:after="0" w:line="480" w:lineRule="auto"/>
        <w:rPr>
          <w:rFonts w:asciiTheme="majorBidi" w:hAnsiTheme="majorBidi" w:cstheme="majorBidi"/>
          <w:sz w:val="24"/>
          <w:szCs w:val="24"/>
        </w:rPr>
      </w:pPr>
      <w:r>
        <w:rPr>
          <w:rFonts w:ascii="Times New Roman" w:hAnsi="Times New Roman" w:cs="Times New Roman"/>
          <w:sz w:val="24"/>
          <w:szCs w:val="24"/>
        </w:rPr>
        <w:t xml:space="preserve"> </w:t>
      </w:r>
      <w:r w:rsidR="009C5253">
        <w:rPr>
          <w:rFonts w:ascii="Times New Roman" w:hAnsi="Times New Roman" w:cs="Times New Roman"/>
          <w:sz w:val="24"/>
          <w:szCs w:val="24"/>
        </w:rPr>
        <w:tab/>
      </w:r>
      <w:r>
        <w:rPr>
          <w:rFonts w:ascii="Times New Roman" w:hAnsi="Times New Roman" w:cs="Times New Roman"/>
          <w:sz w:val="24"/>
          <w:szCs w:val="24"/>
        </w:rPr>
        <w:t xml:space="preserve">It is apparent in literature that communicating </w:t>
      </w:r>
      <w:r w:rsidRPr="00B82F6C">
        <w:rPr>
          <w:rFonts w:ascii="Times New Roman" w:hAnsi="Times New Roman" w:cs="Times New Roman"/>
          <w:sz w:val="24"/>
          <w:szCs w:val="24"/>
        </w:rPr>
        <w:t>altruistic motives</w:t>
      </w:r>
      <w:r>
        <w:rPr>
          <w:rFonts w:ascii="Times New Roman" w:hAnsi="Times New Roman" w:cs="Times New Roman"/>
          <w:sz w:val="24"/>
          <w:szCs w:val="24"/>
        </w:rPr>
        <w:t xml:space="preserve"> in ads trigger positive emotions towards the ad</w:t>
      </w:r>
      <w:sdt>
        <w:sdtPr>
          <w:rPr>
            <w:rFonts w:ascii="Times New Roman" w:hAnsi="Times New Roman" w:cs="Times New Roman"/>
            <w:sz w:val="24"/>
            <w:szCs w:val="24"/>
          </w:rPr>
          <w:id w:val="-1315719307"/>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DuS101 \t  \m Vla09 \m Sal18 \l 2057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2256A">
            <w:rPr>
              <w:rFonts w:ascii="Times New Roman" w:hAnsi="Times New Roman" w:cs="Times New Roman"/>
              <w:noProof/>
              <w:sz w:val="24"/>
              <w:szCs w:val="24"/>
            </w:rPr>
            <w:t>(Du, Bhattacharya, &amp; Sen, 2010; Vlachos, Tsamakos, Vrechopoulos, &amp; Avramidis , 2009; Salmones &amp; Perez, 2018)</w:t>
          </w:r>
          <w:r>
            <w:rPr>
              <w:rFonts w:ascii="Times New Roman" w:hAnsi="Times New Roman" w:cs="Times New Roman"/>
              <w:sz w:val="24"/>
              <w:szCs w:val="24"/>
            </w:rPr>
            <w:fldChar w:fldCharType="end"/>
          </w:r>
        </w:sdtContent>
      </w:sdt>
      <w:r>
        <w:rPr>
          <w:rFonts w:ascii="Times New Roman" w:hAnsi="Times New Roman" w:cs="Times New Roman"/>
          <w:sz w:val="24"/>
          <w:szCs w:val="24"/>
        </w:rPr>
        <w:t>. This is important to investigate as it</w:t>
      </w:r>
      <w:r w:rsidR="009C5253">
        <w:rPr>
          <w:rFonts w:ascii="Times New Roman" w:hAnsi="Times New Roman" w:cs="Times New Roman"/>
          <w:sz w:val="24"/>
          <w:szCs w:val="24"/>
        </w:rPr>
        <w:t xml:space="preserve"> has been</w:t>
      </w:r>
      <w:r>
        <w:rPr>
          <w:rFonts w:ascii="Times New Roman" w:hAnsi="Times New Roman" w:cs="Times New Roman"/>
          <w:sz w:val="24"/>
          <w:szCs w:val="24"/>
        </w:rPr>
        <w:t xml:space="preserve"> found in research that these emotions influence consumers’ </w:t>
      </w:r>
      <w:r w:rsidR="005871E3">
        <w:rPr>
          <w:rFonts w:ascii="Times New Roman" w:hAnsi="Times New Roman" w:cs="Times New Roman"/>
          <w:sz w:val="24"/>
          <w:szCs w:val="24"/>
        </w:rPr>
        <w:t xml:space="preserve">positive </w:t>
      </w:r>
      <w:r>
        <w:rPr>
          <w:rFonts w:ascii="Times New Roman" w:hAnsi="Times New Roman" w:cs="Times New Roman"/>
          <w:sz w:val="24"/>
          <w:szCs w:val="24"/>
        </w:rPr>
        <w:t xml:space="preserve">attitudes towards the company </w:t>
      </w:r>
      <w:sdt>
        <w:sdtPr>
          <w:rPr>
            <w:rFonts w:ascii="Times New Roman" w:hAnsi="Times New Roman" w:cs="Times New Roman"/>
            <w:sz w:val="24"/>
            <w:szCs w:val="24"/>
          </w:rPr>
          <w:id w:val="199807395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LuH16 \l 2057  \m Nab18</w:instrText>
          </w:r>
          <w:r>
            <w:rPr>
              <w:rFonts w:ascii="Times New Roman" w:hAnsi="Times New Roman" w:cs="Times New Roman"/>
              <w:sz w:val="24"/>
              <w:szCs w:val="24"/>
            </w:rPr>
            <w:fldChar w:fldCharType="separate"/>
          </w:r>
          <w:r w:rsidRPr="0002256A">
            <w:rPr>
              <w:rFonts w:ascii="Times New Roman" w:hAnsi="Times New Roman" w:cs="Times New Roman"/>
              <w:noProof/>
              <w:sz w:val="24"/>
              <w:szCs w:val="24"/>
            </w:rPr>
            <w:t>(Lu H. , 2016; Nabi, Gustafson, &amp; Jensen, 2018)</w:t>
          </w:r>
          <w:r>
            <w:rPr>
              <w:rFonts w:ascii="Times New Roman" w:hAnsi="Times New Roman" w:cs="Times New Roman"/>
              <w:sz w:val="24"/>
              <w:szCs w:val="24"/>
            </w:rPr>
            <w:fldChar w:fldCharType="end"/>
          </w:r>
        </w:sdtContent>
      </w:sdt>
      <w:r>
        <w:rPr>
          <w:rFonts w:ascii="Times New Roman" w:hAnsi="Times New Roman" w:cs="Times New Roman"/>
          <w:sz w:val="24"/>
          <w:szCs w:val="24"/>
        </w:rPr>
        <w:t>.</w:t>
      </w:r>
      <w:r w:rsidR="005871E3">
        <w:rPr>
          <w:rFonts w:ascii="Times New Roman" w:hAnsi="Times New Roman" w:cs="Times New Roman"/>
          <w:sz w:val="24"/>
          <w:szCs w:val="24"/>
        </w:rPr>
        <w:t xml:space="preserve"> </w:t>
      </w:r>
      <w:r>
        <w:rPr>
          <w:rFonts w:ascii="Times New Roman" w:hAnsi="Times New Roman" w:cs="Times New Roman"/>
          <w:sz w:val="24"/>
          <w:szCs w:val="24"/>
        </w:rPr>
        <w:t>Yet, a comparison between CSR and non-CSR strategies in their influence on emotional brand attachment is not sufficiently discussed in</w:t>
      </w:r>
      <w:r w:rsidR="009C5253">
        <w:rPr>
          <w:rFonts w:ascii="Times New Roman" w:hAnsi="Times New Roman" w:cs="Times New Roman"/>
          <w:sz w:val="24"/>
          <w:szCs w:val="24"/>
        </w:rPr>
        <w:t xml:space="preserve"> the</w:t>
      </w:r>
      <w:r>
        <w:rPr>
          <w:rFonts w:ascii="Times New Roman" w:hAnsi="Times New Roman" w:cs="Times New Roman"/>
          <w:sz w:val="24"/>
          <w:szCs w:val="24"/>
        </w:rPr>
        <w:t xml:space="preserve"> literature. </w:t>
      </w:r>
      <w:r w:rsidR="0030530A">
        <w:rPr>
          <w:rFonts w:ascii="Times New Roman" w:hAnsi="Times New Roman" w:cs="Times New Roman"/>
          <w:sz w:val="24"/>
          <w:szCs w:val="24"/>
        </w:rPr>
        <w:t>According to</w:t>
      </w:r>
      <w:r w:rsidR="009C5253">
        <w:rPr>
          <w:rFonts w:ascii="Times New Roman" w:hAnsi="Times New Roman" w:cs="Times New Roman"/>
          <w:sz w:val="24"/>
          <w:szCs w:val="24"/>
        </w:rPr>
        <w:t xml:space="preserve"> the</w:t>
      </w:r>
      <w:r w:rsidR="0030530A">
        <w:rPr>
          <w:rFonts w:ascii="Times New Roman" w:hAnsi="Times New Roman" w:cs="Times New Roman"/>
          <w:sz w:val="24"/>
          <w:szCs w:val="24"/>
        </w:rPr>
        <w:t xml:space="preserve"> literature, </w:t>
      </w:r>
      <w:bookmarkStart w:id="53" w:name="_Hlk145263529"/>
      <w:r w:rsidR="006A14F7">
        <w:rPr>
          <w:rFonts w:ascii="Times New Roman" w:hAnsi="Times New Roman" w:cs="Times New Roman"/>
          <w:sz w:val="24"/>
          <w:szCs w:val="24"/>
        </w:rPr>
        <w:t>ads that have a positive influence on brand attitudes are the ones that combine cognitive and affective attributes</w:t>
      </w:r>
      <w:sdt>
        <w:sdtPr>
          <w:rPr>
            <w:rFonts w:ascii="Times New Roman" w:hAnsi="Times New Roman" w:cs="Times New Roman"/>
            <w:sz w:val="24"/>
            <w:szCs w:val="24"/>
          </w:rPr>
          <w:id w:val="427394990"/>
          <w:citation/>
        </w:sdtPr>
        <w:sdtContent>
          <w:r w:rsidR="006A14F7">
            <w:rPr>
              <w:rFonts w:ascii="Times New Roman" w:hAnsi="Times New Roman" w:cs="Times New Roman"/>
              <w:sz w:val="24"/>
              <w:szCs w:val="24"/>
            </w:rPr>
            <w:fldChar w:fldCharType="begin"/>
          </w:r>
          <w:r w:rsidR="006A14F7">
            <w:rPr>
              <w:rFonts w:ascii="Times New Roman" w:hAnsi="Times New Roman" w:cs="Times New Roman"/>
              <w:sz w:val="24"/>
              <w:szCs w:val="24"/>
            </w:rPr>
            <w:instrText xml:space="preserve"> CITATION Mat14 \l 2057 </w:instrText>
          </w:r>
          <w:r w:rsidR="006A14F7">
            <w:rPr>
              <w:rFonts w:ascii="Times New Roman" w:hAnsi="Times New Roman" w:cs="Times New Roman"/>
              <w:sz w:val="24"/>
              <w:szCs w:val="24"/>
            </w:rPr>
            <w:fldChar w:fldCharType="separate"/>
          </w:r>
          <w:r w:rsidR="006A14F7">
            <w:rPr>
              <w:rFonts w:ascii="Times New Roman" w:hAnsi="Times New Roman" w:cs="Times New Roman"/>
              <w:noProof/>
              <w:sz w:val="24"/>
              <w:szCs w:val="24"/>
            </w:rPr>
            <w:t xml:space="preserve"> </w:t>
          </w:r>
          <w:r w:rsidR="006A14F7" w:rsidRPr="006A14F7">
            <w:rPr>
              <w:rFonts w:ascii="Times New Roman" w:hAnsi="Times New Roman" w:cs="Times New Roman"/>
              <w:noProof/>
              <w:sz w:val="24"/>
              <w:szCs w:val="24"/>
            </w:rPr>
            <w:t>(Matthes, Wonneberger, &amp; Schmuck, 2014)</w:t>
          </w:r>
          <w:r w:rsidR="006A14F7">
            <w:rPr>
              <w:rFonts w:ascii="Times New Roman" w:hAnsi="Times New Roman" w:cs="Times New Roman"/>
              <w:sz w:val="24"/>
              <w:szCs w:val="24"/>
            </w:rPr>
            <w:fldChar w:fldCharType="end"/>
          </w:r>
        </w:sdtContent>
      </w:sdt>
      <w:r w:rsidR="006A14F7">
        <w:rPr>
          <w:rFonts w:ascii="Times New Roman" w:hAnsi="Times New Roman" w:cs="Times New Roman"/>
          <w:sz w:val="24"/>
          <w:szCs w:val="24"/>
        </w:rPr>
        <w:t xml:space="preserve">. </w:t>
      </w:r>
      <w:bookmarkEnd w:id="53"/>
      <w:r w:rsidR="00FA2DF4">
        <w:rPr>
          <w:rFonts w:ascii="Times New Roman" w:hAnsi="Times New Roman" w:cs="Times New Roman"/>
          <w:sz w:val="24"/>
          <w:szCs w:val="24"/>
        </w:rPr>
        <w:t>On a study on 372 online shoppers in China, it was concluded that the mediating factor of perceived product functionality outweighs the emotional value perceived by consumers for their purchase intentions</w:t>
      </w:r>
      <w:r w:rsidR="00FA2DF4" w:rsidRPr="00FA2DF4">
        <w:rPr>
          <w:rFonts w:asciiTheme="majorBidi" w:hAnsiTheme="majorBidi" w:cstheme="majorBidi"/>
          <w:sz w:val="24"/>
          <w:szCs w:val="24"/>
        </w:rPr>
        <w:t xml:space="preserve"> </w:t>
      </w:r>
      <w:sdt>
        <w:sdtPr>
          <w:rPr>
            <w:rFonts w:asciiTheme="majorBidi" w:hAnsiTheme="majorBidi" w:cstheme="majorBidi"/>
            <w:sz w:val="24"/>
            <w:szCs w:val="24"/>
          </w:rPr>
          <w:id w:val="-167336270"/>
          <w:citation/>
        </w:sdtPr>
        <w:sdtContent>
          <w:r w:rsidR="00FA2DF4">
            <w:rPr>
              <w:rFonts w:asciiTheme="majorBidi" w:hAnsiTheme="majorBidi" w:cstheme="majorBidi"/>
              <w:sz w:val="24"/>
              <w:szCs w:val="24"/>
            </w:rPr>
            <w:fldChar w:fldCharType="begin"/>
          </w:r>
          <w:r w:rsidR="00FA2DF4">
            <w:rPr>
              <w:rFonts w:asciiTheme="majorBidi" w:hAnsiTheme="majorBidi" w:cstheme="majorBidi"/>
              <w:sz w:val="24"/>
              <w:szCs w:val="24"/>
            </w:rPr>
            <w:instrText xml:space="preserve"> CITATION Xia191 \l 2057 </w:instrText>
          </w:r>
          <w:r w:rsidR="00FA2DF4">
            <w:rPr>
              <w:rFonts w:asciiTheme="majorBidi" w:hAnsiTheme="majorBidi" w:cstheme="majorBidi"/>
              <w:sz w:val="24"/>
              <w:szCs w:val="24"/>
            </w:rPr>
            <w:fldChar w:fldCharType="separate"/>
          </w:r>
          <w:r w:rsidR="00FA2DF4" w:rsidRPr="007A21A0">
            <w:rPr>
              <w:rFonts w:asciiTheme="majorBidi" w:hAnsiTheme="majorBidi" w:cstheme="majorBidi"/>
              <w:noProof/>
              <w:sz w:val="24"/>
              <w:szCs w:val="24"/>
            </w:rPr>
            <w:t>(Xiao, Guo, Yu, &amp; Liu, 2019)</w:t>
          </w:r>
          <w:r w:rsidR="00FA2DF4">
            <w:rPr>
              <w:rFonts w:asciiTheme="majorBidi" w:hAnsiTheme="majorBidi" w:cstheme="majorBidi"/>
              <w:sz w:val="24"/>
              <w:szCs w:val="24"/>
            </w:rPr>
            <w:fldChar w:fldCharType="end"/>
          </w:r>
        </w:sdtContent>
      </w:sdt>
      <w:r w:rsidR="00FA2DF4">
        <w:rPr>
          <w:rFonts w:ascii="Times New Roman" w:hAnsi="Times New Roman" w:cs="Times New Roman"/>
          <w:sz w:val="24"/>
          <w:szCs w:val="24"/>
        </w:rPr>
        <w:t>.</w:t>
      </w:r>
      <w:r w:rsidR="00BC3DCC">
        <w:rPr>
          <w:rFonts w:ascii="Times New Roman" w:hAnsi="Times New Roman" w:cs="Times New Roman"/>
          <w:sz w:val="24"/>
          <w:szCs w:val="24"/>
        </w:rPr>
        <w:t xml:space="preserve"> This was because consumers first reported the importance of the ease of the online transaction followed by the </w:t>
      </w:r>
      <w:r w:rsidR="0030530A">
        <w:rPr>
          <w:rFonts w:ascii="Times New Roman" w:hAnsi="Times New Roman" w:cs="Times New Roman"/>
          <w:sz w:val="24"/>
          <w:szCs w:val="24"/>
        </w:rPr>
        <w:t>pleasure,</w:t>
      </w:r>
      <w:r w:rsidR="00BC3DCC">
        <w:rPr>
          <w:rFonts w:ascii="Times New Roman" w:hAnsi="Times New Roman" w:cs="Times New Roman"/>
          <w:sz w:val="24"/>
          <w:szCs w:val="24"/>
        </w:rPr>
        <w:t xml:space="preserve"> they gained from online shopping </w:t>
      </w:r>
      <w:sdt>
        <w:sdtPr>
          <w:rPr>
            <w:rFonts w:asciiTheme="majorBidi" w:hAnsiTheme="majorBidi" w:cstheme="majorBidi"/>
            <w:sz w:val="24"/>
            <w:szCs w:val="24"/>
          </w:rPr>
          <w:id w:val="758172024"/>
          <w:citation/>
        </w:sdtPr>
        <w:sdtContent>
          <w:r w:rsidR="00BC3DCC">
            <w:rPr>
              <w:rFonts w:asciiTheme="majorBidi" w:hAnsiTheme="majorBidi" w:cstheme="majorBidi"/>
              <w:sz w:val="24"/>
              <w:szCs w:val="24"/>
            </w:rPr>
            <w:fldChar w:fldCharType="begin"/>
          </w:r>
          <w:r w:rsidR="00BC3DCC">
            <w:rPr>
              <w:rFonts w:asciiTheme="majorBidi" w:hAnsiTheme="majorBidi" w:cstheme="majorBidi"/>
              <w:sz w:val="24"/>
              <w:szCs w:val="24"/>
            </w:rPr>
            <w:instrText xml:space="preserve"> CITATION Xia191 \l 2057 </w:instrText>
          </w:r>
          <w:r w:rsidR="00BC3DCC">
            <w:rPr>
              <w:rFonts w:asciiTheme="majorBidi" w:hAnsiTheme="majorBidi" w:cstheme="majorBidi"/>
              <w:sz w:val="24"/>
              <w:szCs w:val="24"/>
            </w:rPr>
            <w:fldChar w:fldCharType="separate"/>
          </w:r>
          <w:r w:rsidR="00BC3DCC" w:rsidRPr="007A21A0">
            <w:rPr>
              <w:rFonts w:asciiTheme="majorBidi" w:hAnsiTheme="majorBidi" w:cstheme="majorBidi"/>
              <w:noProof/>
              <w:sz w:val="24"/>
              <w:szCs w:val="24"/>
            </w:rPr>
            <w:t>(Xiao, Guo, Yu, &amp; Liu, 2019)</w:t>
          </w:r>
          <w:r w:rsidR="00BC3DCC">
            <w:rPr>
              <w:rFonts w:asciiTheme="majorBidi" w:hAnsiTheme="majorBidi" w:cstheme="majorBidi"/>
              <w:sz w:val="24"/>
              <w:szCs w:val="24"/>
            </w:rPr>
            <w:fldChar w:fldCharType="end"/>
          </w:r>
        </w:sdtContent>
      </w:sdt>
      <w:r w:rsidR="00BC3DCC">
        <w:rPr>
          <w:rFonts w:ascii="Times New Roman" w:hAnsi="Times New Roman" w:cs="Times New Roman"/>
          <w:sz w:val="24"/>
          <w:szCs w:val="24"/>
        </w:rPr>
        <w:t>.</w:t>
      </w:r>
      <w:r w:rsidR="00FA2DF4">
        <w:rPr>
          <w:rFonts w:ascii="Times New Roman" w:hAnsi="Times New Roman" w:cs="Times New Roman"/>
          <w:sz w:val="24"/>
          <w:szCs w:val="24"/>
        </w:rPr>
        <w:t xml:space="preserve"> </w:t>
      </w:r>
      <w:r w:rsidR="006A14F7">
        <w:rPr>
          <w:rFonts w:ascii="Times New Roman" w:hAnsi="Times New Roman" w:cs="Times New Roman"/>
          <w:sz w:val="24"/>
          <w:szCs w:val="24"/>
        </w:rPr>
        <w:t>However, p</w:t>
      </w:r>
      <w:r w:rsidR="006B0C08">
        <w:rPr>
          <w:rFonts w:ascii="Times New Roman" w:hAnsi="Times New Roman" w:cs="Times New Roman"/>
          <w:sz w:val="24"/>
          <w:szCs w:val="24"/>
        </w:rPr>
        <w:t xml:space="preserve">revious studies </w:t>
      </w:r>
      <w:r w:rsidR="005E009E">
        <w:rPr>
          <w:rFonts w:ascii="Times New Roman" w:hAnsi="Times New Roman" w:cs="Times New Roman"/>
          <w:sz w:val="24"/>
          <w:szCs w:val="24"/>
        </w:rPr>
        <w:t xml:space="preserve">found that focusing more on emotional values strengthens brand loyalty than focusing on functional benefits </w:t>
      </w:r>
      <w:sdt>
        <w:sdtPr>
          <w:rPr>
            <w:rFonts w:asciiTheme="majorBidi" w:hAnsiTheme="majorBidi" w:cstheme="majorBidi"/>
            <w:sz w:val="24"/>
            <w:szCs w:val="24"/>
          </w:rPr>
          <w:id w:val="-26256009"/>
          <w:citation/>
        </w:sdtPr>
        <w:sdtContent>
          <w:r w:rsidR="00CA1EDB">
            <w:rPr>
              <w:rFonts w:asciiTheme="majorBidi" w:hAnsiTheme="majorBidi" w:cstheme="majorBidi"/>
              <w:sz w:val="24"/>
              <w:szCs w:val="24"/>
            </w:rPr>
            <w:fldChar w:fldCharType="begin"/>
          </w:r>
          <w:r w:rsidR="00CA1EDB">
            <w:rPr>
              <w:rFonts w:asciiTheme="majorBidi" w:hAnsiTheme="majorBidi" w:cstheme="majorBidi"/>
              <w:sz w:val="24"/>
              <w:szCs w:val="24"/>
            </w:rPr>
            <w:instrText xml:space="preserve"> CITATION Kat211 \l 2057  \m Nob08 \m Pin18</w:instrText>
          </w:r>
          <w:r w:rsidR="00CA1EDB">
            <w:rPr>
              <w:rFonts w:asciiTheme="majorBidi" w:hAnsiTheme="majorBidi" w:cstheme="majorBidi"/>
              <w:sz w:val="24"/>
              <w:szCs w:val="24"/>
            </w:rPr>
            <w:fldChar w:fldCharType="separate"/>
          </w:r>
          <w:r w:rsidR="00CA1EDB" w:rsidRPr="0048688F">
            <w:rPr>
              <w:rFonts w:asciiTheme="majorBidi" w:hAnsiTheme="majorBidi" w:cstheme="majorBidi"/>
              <w:noProof/>
              <w:sz w:val="24"/>
              <w:szCs w:val="24"/>
            </w:rPr>
            <w:t>(Kato, 2021; Noble &amp; Kumar, 2008; Pinochet, Lopes, Srulzon, &amp; Onusic , 2018)</w:t>
          </w:r>
          <w:r w:rsidR="00CA1EDB">
            <w:rPr>
              <w:rFonts w:asciiTheme="majorBidi" w:hAnsiTheme="majorBidi" w:cstheme="majorBidi"/>
              <w:sz w:val="24"/>
              <w:szCs w:val="24"/>
            </w:rPr>
            <w:fldChar w:fldCharType="end"/>
          </w:r>
        </w:sdtContent>
      </w:sdt>
      <w:r w:rsidR="005E009E">
        <w:rPr>
          <w:rFonts w:ascii="Georgia" w:hAnsi="Georgia"/>
          <w:color w:val="2E2E2E"/>
        </w:rPr>
        <w:t>.</w:t>
      </w:r>
      <w:r w:rsidR="00A85D94">
        <w:rPr>
          <w:rFonts w:ascii="Georgia" w:hAnsi="Georgia"/>
          <w:color w:val="2E2E2E"/>
        </w:rPr>
        <w:t xml:space="preserve"> </w:t>
      </w:r>
      <w:r w:rsidR="00BC3DCC" w:rsidRPr="009C5253">
        <w:rPr>
          <w:rFonts w:asciiTheme="majorBidi" w:hAnsiTheme="majorBidi" w:cstheme="majorBidi"/>
          <w:color w:val="2E2E2E"/>
          <w:sz w:val="24"/>
          <w:szCs w:val="24"/>
        </w:rPr>
        <w:t>R</w:t>
      </w:r>
      <w:r w:rsidR="00BC3DCC" w:rsidRPr="009C5253">
        <w:rPr>
          <w:rFonts w:asciiTheme="majorBidi" w:hAnsiTheme="majorBidi" w:cstheme="majorBidi"/>
          <w:sz w:val="24"/>
          <w:szCs w:val="24"/>
        </w:rPr>
        <w:t xml:space="preserve">eflecting these arguments on CSR literature, </w:t>
      </w:r>
      <w:r w:rsidR="00585F4A" w:rsidRPr="009C5253">
        <w:rPr>
          <w:rFonts w:asciiTheme="majorBidi" w:hAnsiTheme="majorBidi" w:cstheme="majorBidi"/>
          <w:sz w:val="24"/>
          <w:szCs w:val="24"/>
        </w:rPr>
        <w:t xml:space="preserve">unlike non-CSR communication, CSR communication does not aim to directly “sell” or promote the product or </w:t>
      </w:r>
      <w:r w:rsidR="00585F4A" w:rsidRPr="00460517">
        <w:rPr>
          <w:rFonts w:asciiTheme="majorBidi" w:hAnsiTheme="majorBidi" w:cstheme="majorBidi"/>
          <w:sz w:val="24"/>
          <w:szCs w:val="24"/>
        </w:rPr>
        <w:t>service which made consumers responses to CSR communication to be more emotional than non-CSR communication</w:t>
      </w:r>
      <w:sdt>
        <w:sdtPr>
          <w:rPr>
            <w:rFonts w:asciiTheme="majorBidi" w:hAnsiTheme="majorBidi" w:cstheme="majorBidi"/>
            <w:sz w:val="24"/>
            <w:szCs w:val="24"/>
          </w:rPr>
          <w:id w:val="-116536135"/>
          <w:citation/>
        </w:sdtPr>
        <w:sdtContent>
          <w:r w:rsidR="00585F4A" w:rsidRPr="00460517">
            <w:rPr>
              <w:rFonts w:asciiTheme="majorBidi" w:hAnsiTheme="majorBidi" w:cstheme="majorBidi"/>
              <w:sz w:val="24"/>
              <w:szCs w:val="24"/>
            </w:rPr>
            <w:fldChar w:fldCharType="begin"/>
          </w:r>
          <w:r w:rsidR="00585F4A" w:rsidRPr="00460517">
            <w:rPr>
              <w:rFonts w:asciiTheme="majorBidi" w:hAnsiTheme="majorBidi" w:cstheme="majorBidi"/>
              <w:sz w:val="24"/>
              <w:szCs w:val="24"/>
            </w:rPr>
            <w:instrText xml:space="preserve">CITATION Pér20 \t  \l 2057 </w:instrText>
          </w:r>
          <w:r w:rsidR="00585F4A" w:rsidRPr="00460517">
            <w:rPr>
              <w:rFonts w:asciiTheme="majorBidi" w:hAnsiTheme="majorBidi" w:cstheme="majorBidi"/>
              <w:sz w:val="24"/>
              <w:szCs w:val="24"/>
            </w:rPr>
            <w:fldChar w:fldCharType="separate"/>
          </w:r>
          <w:r w:rsidR="00585F4A" w:rsidRPr="00460517">
            <w:rPr>
              <w:rFonts w:asciiTheme="majorBidi" w:hAnsiTheme="majorBidi" w:cstheme="majorBidi"/>
              <w:noProof/>
              <w:sz w:val="24"/>
              <w:szCs w:val="24"/>
            </w:rPr>
            <w:t xml:space="preserve"> (Pérez, los Salmones, &amp; Baraibar-Diez, 2020)</w:t>
          </w:r>
          <w:r w:rsidR="00585F4A" w:rsidRPr="00460517">
            <w:rPr>
              <w:rFonts w:asciiTheme="majorBidi" w:hAnsiTheme="majorBidi" w:cstheme="majorBidi"/>
              <w:sz w:val="24"/>
              <w:szCs w:val="24"/>
            </w:rPr>
            <w:fldChar w:fldCharType="end"/>
          </w:r>
        </w:sdtContent>
      </w:sdt>
      <w:r w:rsidR="00585F4A" w:rsidRPr="009C5253">
        <w:rPr>
          <w:rFonts w:asciiTheme="majorBidi" w:hAnsiTheme="majorBidi" w:cstheme="majorBidi"/>
          <w:color w:val="2E2E2E"/>
          <w:sz w:val="24"/>
          <w:szCs w:val="24"/>
        </w:rPr>
        <w:t xml:space="preserve">. </w:t>
      </w:r>
      <w:r w:rsidR="00BC3DCC" w:rsidRPr="009C5253">
        <w:rPr>
          <w:rFonts w:asciiTheme="majorBidi" w:hAnsiTheme="majorBidi" w:cstheme="majorBidi"/>
          <w:color w:val="2E2E2E"/>
          <w:sz w:val="24"/>
          <w:szCs w:val="24"/>
        </w:rPr>
        <w:t>CS</w:t>
      </w:r>
      <w:r w:rsidR="00BC3DCC">
        <w:rPr>
          <w:rFonts w:ascii="Georgia" w:hAnsi="Georgia"/>
          <w:color w:val="2E2E2E"/>
        </w:rPr>
        <w:t xml:space="preserve">R as a concept is associated with emotional perception that generates an affective brand </w:t>
      </w:r>
      <w:r w:rsidR="00E22C0C">
        <w:rPr>
          <w:rFonts w:ascii="Georgia" w:hAnsi="Georgia"/>
          <w:color w:val="2E2E2E"/>
        </w:rPr>
        <w:t>positioning</w:t>
      </w:r>
      <w:sdt>
        <w:sdtPr>
          <w:rPr>
            <w:rFonts w:ascii="Georgia" w:hAnsi="Georgia"/>
            <w:color w:val="2E2E2E"/>
          </w:rPr>
          <w:id w:val="-2067790867"/>
          <w:citation/>
        </w:sdtPr>
        <w:sdtEndPr>
          <w:rPr>
            <w:rFonts w:asciiTheme="majorBidi" w:hAnsiTheme="majorBidi" w:cstheme="majorBidi"/>
            <w:color w:val="auto"/>
            <w:sz w:val="24"/>
            <w:szCs w:val="24"/>
          </w:rPr>
        </w:sdtEndPr>
        <w:sdtContent>
          <w:r w:rsidR="00E22C0C" w:rsidRPr="009C5253">
            <w:rPr>
              <w:rFonts w:asciiTheme="majorBidi" w:hAnsiTheme="majorBidi" w:cstheme="majorBidi"/>
              <w:sz w:val="24"/>
              <w:szCs w:val="24"/>
            </w:rPr>
            <w:fldChar w:fldCharType="begin"/>
          </w:r>
          <w:r w:rsidR="00E22C0C" w:rsidRPr="009C5253">
            <w:rPr>
              <w:rFonts w:asciiTheme="majorBidi" w:hAnsiTheme="majorBidi" w:cstheme="majorBidi"/>
              <w:sz w:val="24"/>
              <w:szCs w:val="24"/>
            </w:rPr>
            <w:instrText xml:space="preserve"> CITATION Cur18 \l 2057  \m Gre11</w:instrText>
          </w:r>
          <w:r w:rsidR="00E22C0C" w:rsidRPr="009C5253">
            <w:rPr>
              <w:rFonts w:asciiTheme="majorBidi" w:hAnsiTheme="majorBidi" w:cstheme="majorBidi"/>
              <w:sz w:val="24"/>
              <w:szCs w:val="24"/>
            </w:rPr>
            <w:fldChar w:fldCharType="separate"/>
          </w:r>
          <w:r w:rsidR="00E22C0C" w:rsidRPr="009C5253">
            <w:rPr>
              <w:rFonts w:asciiTheme="majorBidi" w:hAnsiTheme="majorBidi" w:cstheme="majorBidi"/>
              <w:noProof/>
              <w:sz w:val="24"/>
              <w:szCs w:val="24"/>
            </w:rPr>
            <w:t xml:space="preserve"> (Currás-Pérez R. , Dolz-Dolz, Miquel-Romero, &amp; Miquel-Romero, 2018; Green &amp; Peloza , 2011)</w:t>
          </w:r>
          <w:r w:rsidR="00E22C0C" w:rsidRPr="009C5253">
            <w:rPr>
              <w:rFonts w:asciiTheme="majorBidi" w:hAnsiTheme="majorBidi" w:cstheme="majorBidi"/>
              <w:sz w:val="24"/>
              <w:szCs w:val="24"/>
            </w:rPr>
            <w:fldChar w:fldCharType="end"/>
          </w:r>
        </w:sdtContent>
      </w:sdt>
      <w:r w:rsidR="00E22C0C" w:rsidRPr="009C5253">
        <w:rPr>
          <w:rFonts w:asciiTheme="majorBidi" w:hAnsiTheme="majorBidi" w:cstheme="majorBidi"/>
          <w:sz w:val="24"/>
          <w:szCs w:val="24"/>
        </w:rPr>
        <w:t>.</w:t>
      </w:r>
      <w:r w:rsidR="008E66F6" w:rsidRPr="009C5253">
        <w:rPr>
          <w:rFonts w:asciiTheme="majorBidi" w:hAnsiTheme="majorBidi" w:cstheme="majorBidi"/>
          <w:sz w:val="24"/>
          <w:szCs w:val="24"/>
        </w:rPr>
        <w:t xml:space="preserve"> </w:t>
      </w:r>
      <w:r w:rsidR="00CE4CBC" w:rsidRPr="009C5253">
        <w:rPr>
          <w:rFonts w:asciiTheme="majorBidi" w:hAnsiTheme="majorBidi" w:cstheme="majorBidi"/>
          <w:sz w:val="24"/>
          <w:szCs w:val="24"/>
        </w:rPr>
        <w:t>Correspondingly, it is necessary in this study to identify if there is an impact of CSR communication on emotional brand attachment</w:t>
      </w:r>
      <w:r w:rsidR="00527157" w:rsidRPr="009C5253">
        <w:rPr>
          <w:rFonts w:asciiTheme="majorBidi" w:hAnsiTheme="majorBidi" w:cstheme="majorBidi"/>
          <w:sz w:val="24"/>
          <w:szCs w:val="24"/>
        </w:rPr>
        <w:t xml:space="preserve">. </w:t>
      </w:r>
      <w:r w:rsidR="00DF674F" w:rsidRPr="009C5253">
        <w:rPr>
          <w:rFonts w:asciiTheme="majorBidi" w:hAnsiTheme="majorBidi" w:cstheme="majorBidi"/>
          <w:sz w:val="24"/>
          <w:szCs w:val="24"/>
        </w:rPr>
        <w:t>Multiple studies investigated the link between emotional brand attachment and purchase intention</w:t>
      </w:r>
      <w:sdt>
        <w:sdtPr>
          <w:rPr>
            <w:rFonts w:asciiTheme="majorBidi" w:hAnsiTheme="majorBidi" w:cstheme="majorBidi"/>
            <w:sz w:val="24"/>
            <w:szCs w:val="24"/>
          </w:rPr>
          <w:id w:val="-1588925055"/>
          <w:citation/>
        </w:sdtPr>
        <w:sdtContent>
          <w:r w:rsidR="00DF674F" w:rsidRPr="009C5253">
            <w:rPr>
              <w:rFonts w:asciiTheme="majorBidi" w:hAnsiTheme="majorBidi" w:cstheme="majorBidi"/>
              <w:sz w:val="24"/>
              <w:szCs w:val="24"/>
            </w:rPr>
            <w:fldChar w:fldCharType="begin"/>
          </w:r>
          <w:r w:rsidR="00DF674F" w:rsidRPr="009C5253">
            <w:rPr>
              <w:rFonts w:asciiTheme="majorBidi" w:hAnsiTheme="majorBidi" w:cstheme="majorBidi"/>
              <w:sz w:val="24"/>
              <w:szCs w:val="24"/>
            </w:rPr>
            <w:instrText xml:space="preserve"> CITATION Hwa19 \l 2057 </w:instrText>
          </w:r>
          <w:r w:rsidR="004D17D3" w:rsidRPr="009C5253">
            <w:rPr>
              <w:rFonts w:asciiTheme="majorBidi" w:hAnsiTheme="majorBidi" w:cstheme="majorBidi"/>
              <w:sz w:val="24"/>
              <w:szCs w:val="24"/>
            </w:rPr>
            <w:instrText xml:space="preserve"> \m Pro15</w:instrText>
          </w:r>
          <w:r w:rsidR="00DF674F" w:rsidRPr="009C5253">
            <w:rPr>
              <w:rFonts w:asciiTheme="majorBidi" w:hAnsiTheme="majorBidi" w:cstheme="majorBidi"/>
              <w:sz w:val="24"/>
              <w:szCs w:val="24"/>
            </w:rPr>
            <w:fldChar w:fldCharType="separate"/>
          </w:r>
          <w:r w:rsidR="004D17D3" w:rsidRPr="009C5253">
            <w:rPr>
              <w:rFonts w:asciiTheme="majorBidi" w:hAnsiTheme="majorBidi" w:cstheme="majorBidi"/>
              <w:noProof/>
              <w:sz w:val="24"/>
              <w:szCs w:val="24"/>
            </w:rPr>
            <w:t xml:space="preserve"> (Hwang, Baloglu, &amp; Tanford, 2019; Proksch, Orth, &amp; Cornwell, 2015)</w:t>
          </w:r>
          <w:r w:rsidR="00DF674F" w:rsidRPr="009C5253">
            <w:rPr>
              <w:rFonts w:asciiTheme="majorBidi" w:hAnsiTheme="majorBidi" w:cstheme="majorBidi"/>
              <w:sz w:val="24"/>
              <w:szCs w:val="24"/>
            </w:rPr>
            <w:fldChar w:fldCharType="end"/>
          </w:r>
        </w:sdtContent>
      </w:sdt>
      <w:r w:rsidR="00DF674F" w:rsidRPr="009C5253">
        <w:rPr>
          <w:rFonts w:asciiTheme="majorBidi" w:hAnsiTheme="majorBidi" w:cstheme="majorBidi"/>
          <w:sz w:val="24"/>
          <w:szCs w:val="24"/>
        </w:rPr>
        <w:t xml:space="preserve">. </w:t>
      </w:r>
      <w:r w:rsidR="004D17D3" w:rsidRPr="009C5253">
        <w:rPr>
          <w:rFonts w:asciiTheme="majorBidi" w:hAnsiTheme="majorBidi" w:cstheme="majorBidi"/>
          <w:sz w:val="24"/>
          <w:szCs w:val="24"/>
        </w:rPr>
        <w:t xml:space="preserve">It was observed that the relationship between emotional attachment and purchase intention is stronger when the </w:t>
      </w:r>
      <w:r w:rsidR="00736273" w:rsidRPr="009C5253">
        <w:rPr>
          <w:rFonts w:asciiTheme="majorBidi" w:hAnsiTheme="majorBidi" w:cstheme="majorBidi"/>
          <w:sz w:val="24"/>
          <w:szCs w:val="24"/>
        </w:rPr>
        <w:t xml:space="preserve">brand has a symbolic positioning </w:t>
      </w:r>
      <w:sdt>
        <w:sdtPr>
          <w:rPr>
            <w:rFonts w:asciiTheme="majorBidi" w:hAnsiTheme="majorBidi" w:cstheme="majorBidi"/>
            <w:sz w:val="24"/>
            <w:szCs w:val="24"/>
          </w:rPr>
          <w:id w:val="1951964607"/>
          <w:citation/>
        </w:sdtPr>
        <w:sdtContent>
          <w:r w:rsidR="00736273" w:rsidRPr="009C5253">
            <w:rPr>
              <w:rFonts w:asciiTheme="majorBidi" w:hAnsiTheme="majorBidi" w:cstheme="majorBidi"/>
              <w:sz w:val="24"/>
              <w:szCs w:val="24"/>
            </w:rPr>
            <w:fldChar w:fldCharType="begin"/>
          </w:r>
          <w:r w:rsidR="00736273" w:rsidRPr="009C5253">
            <w:rPr>
              <w:rFonts w:asciiTheme="majorBidi" w:hAnsiTheme="majorBidi" w:cstheme="majorBidi"/>
              <w:sz w:val="24"/>
              <w:szCs w:val="24"/>
            </w:rPr>
            <w:instrText xml:space="preserve"> CITATION Uga23 \l 2057 </w:instrText>
          </w:r>
          <w:r w:rsidR="00736273" w:rsidRPr="009C5253">
            <w:rPr>
              <w:rFonts w:asciiTheme="majorBidi" w:hAnsiTheme="majorBidi" w:cstheme="majorBidi"/>
              <w:sz w:val="24"/>
              <w:szCs w:val="24"/>
            </w:rPr>
            <w:fldChar w:fldCharType="separate"/>
          </w:r>
          <w:r w:rsidR="00736273" w:rsidRPr="009C5253">
            <w:rPr>
              <w:rFonts w:asciiTheme="majorBidi" w:hAnsiTheme="majorBidi" w:cstheme="majorBidi"/>
              <w:noProof/>
              <w:sz w:val="24"/>
              <w:szCs w:val="24"/>
            </w:rPr>
            <w:t>(Ugalde, Vila-Lopez, &amp; Kuster-Boluda, 2023)</w:t>
          </w:r>
          <w:r w:rsidR="00736273" w:rsidRPr="009C5253">
            <w:rPr>
              <w:rFonts w:asciiTheme="majorBidi" w:hAnsiTheme="majorBidi" w:cstheme="majorBidi"/>
              <w:sz w:val="24"/>
              <w:szCs w:val="24"/>
            </w:rPr>
            <w:fldChar w:fldCharType="end"/>
          </w:r>
        </w:sdtContent>
      </w:sdt>
      <w:r w:rsidR="00736273" w:rsidRPr="009C5253">
        <w:rPr>
          <w:rFonts w:asciiTheme="majorBidi" w:hAnsiTheme="majorBidi" w:cstheme="majorBidi"/>
          <w:sz w:val="24"/>
          <w:szCs w:val="24"/>
        </w:rPr>
        <w:t>. On the other hand, as discussed in the previous section</w:t>
      </w:r>
      <w:r w:rsidR="00736273">
        <w:rPr>
          <w:rFonts w:asciiTheme="majorBidi" w:hAnsiTheme="majorBidi" w:cstheme="majorBidi"/>
          <w:sz w:val="24"/>
          <w:szCs w:val="24"/>
        </w:rPr>
        <w:t xml:space="preserve">, </w:t>
      </w:r>
      <w:r w:rsidR="00CB2CB4">
        <w:rPr>
          <w:rFonts w:asciiTheme="majorBidi" w:hAnsiTheme="majorBidi" w:cstheme="majorBidi"/>
          <w:sz w:val="24"/>
          <w:szCs w:val="24"/>
        </w:rPr>
        <w:t>functional experiences also have a positive effect on purchase intention</w:t>
      </w:r>
      <w:sdt>
        <w:sdtPr>
          <w:rPr>
            <w:rFonts w:asciiTheme="majorBidi" w:hAnsiTheme="majorBidi" w:cstheme="majorBidi"/>
            <w:sz w:val="24"/>
            <w:szCs w:val="24"/>
          </w:rPr>
          <w:id w:val="-986399453"/>
          <w:citation/>
        </w:sdtPr>
        <w:sdtContent>
          <w:r w:rsidR="00CB2CB4">
            <w:rPr>
              <w:rFonts w:asciiTheme="majorBidi" w:hAnsiTheme="majorBidi" w:cstheme="majorBidi"/>
              <w:sz w:val="24"/>
              <w:szCs w:val="24"/>
            </w:rPr>
            <w:fldChar w:fldCharType="begin"/>
          </w:r>
          <w:r w:rsidR="00CB2CB4">
            <w:rPr>
              <w:rFonts w:asciiTheme="majorBidi" w:hAnsiTheme="majorBidi" w:cstheme="majorBidi"/>
              <w:sz w:val="24"/>
              <w:szCs w:val="24"/>
            </w:rPr>
            <w:instrText xml:space="preserve"> CITATION Pin18 \l 2057 </w:instrText>
          </w:r>
          <w:r w:rsidR="00CB2CB4">
            <w:rPr>
              <w:rFonts w:asciiTheme="majorBidi" w:hAnsiTheme="majorBidi" w:cstheme="majorBidi"/>
              <w:sz w:val="24"/>
              <w:szCs w:val="24"/>
            </w:rPr>
            <w:fldChar w:fldCharType="separate"/>
          </w:r>
          <w:r w:rsidR="00CB2CB4">
            <w:rPr>
              <w:rFonts w:asciiTheme="majorBidi" w:hAnsiTheme="majorBidi" w:cstheme="majorBidi"/>
              <w:noProof/>
              <w:sz w:val="24"/>
              <w:szCs w:val="24"/>
            </w:rPr>
            <w:t xml:space="preserve"> </w:t>
          </w:r>
          <w:r w:rsidR="00CB2CB4" w:rsidRPr="00CB2CB4">
            <w:rPr>
              <w:rFonts w:asciiTheme="majorBidi" w:hAnsiTheme="majorBidi" w:cstheme="majorBidi"/>
              <w:noProof/>
              <w:sz w:val="24"/>
              <w:szCs w:val="24"/>
            </w:rPr>
            <w:t>(Pinochet, Lopes, Srulzon, &amp; Onusic , 2018)</w:t>
          </w:r>
          <w:r w:rsidR="00CB2CB4">
            <w:rPr>
              <w:rFonts w:asciiTheme="majorBidi" w:hAnsiTheme="majorBidi" w:cstheme="majorBidi"/>
              <w:sz w:val="24"/>
              <w:szCs w:val="24"/>
            </w:rPr>
            <w:fldChar w:fldCharType="end"/>
          </w:r>
        </w:sdtContent>
      </w:sdt>
      <w:r w:rsidR="00CB2CB4">
        <w:rPr>
          <w:rFonts w:asciiTheme="majorBidi" w:hAnsiTheme="majorBidi" w:cstheme="majorBidi"/>
          <w:sz w:val="24"/>
          <w:szCs w:val="24"/>
        </w:rPr>
        <w:t>. Based on the above discussion,</w:t>
      </w:r>
      <w:r w:rsidR="00736273">
        <w:rPr>
          <w:rFonts w:asciiTheme="majorBidi" w:hAnsiTheme="majorBidi" w:cstheme="majorBidi"/>
          <w:sz w:val="24"/>
          <w:szCs w:val="24"/>
        </w:rPr>
        <w:t xml:space="preserve"> </w:t>
      </w:r>
      <w:r w:rsidR="00CB2CB4">
        <w:rPr>
          <w:rFonts w:asciiTheme="majorBidi" w:hAnsiTheme="majorBidi" w:cstheme="majorBidi"/>
          <w:sz w:val="24"/>
          <w:szCs w:val="24"/>
        </w:rPr>
        <w:t>perceived product functionality and emotional brand attachment are two opposite variables in which they are usually executed with different strategies. For that reason,</w:t>
      </w:r>
      <w:r w:rsidR="000935B2">
        <w:rPr>
          <w:rFonts w:asciiTheme="majorBidi" w:hAnsiTheme="majorBidi" w:cstheme="majorBidi"/>
          <w:sz w:val="24"/>
          <w:szCs w:val="24"/>
        </w:rPr>
        <w:t xml:space="preserve"> this study investigates, in the CSR context, if the impact of emotional brand attachment on purchase intention </w:t>
      </w:r>
      <w:r w:rsidR="009C5253">
        <w:rPr>
          <w:rFonts w:asciiTheme="majorBidi" w:hAnsiTheme="majorBidi" w:cstheme="majorBidi"/>
          <w:sz w:val="24"/>
          <w:szCs w:val="24"/>
        </w:rPr>
        <w:t xml:space="preserve">is </w:t>
      </w:r>
      <w:r w:rsidR="000935B2">
        <w:rPr>
          <w:rFonts w:asciiTheme="majorBidi" w:hAnsiTheme="majorBidi" w:cstheme="majorBidi"/>
          <w:sz w:val="24"/>
          <w:szCs w:val="24"/>
        </w:rPr>
        <w:t xml:space="preserve">stronger than the impact of perceived brand functionality. </w:t>
      </w:r>
      <w:r>
        <w:rPr>
          <w:rFonts w:ascii="Times New Roman" w:hAnsi="Times New Roman" w:cs="Times New Roman"/>
          <w:sz w:val="24"/>
          <w:szCs w:val="24"/>
        </w:rPr>
        <w:t xml:space="preserve">Thus, </w:t>
      </w:r>
      <w:r w:rsidR="000935B2">
        <w:rPr>
          <w:rFonts w:ascii="Times New Roman" w:hAnsi="Times New Roman" w:cs="Times New Roman"/>
          <w:sz w:val="24"/>
          <w:szCs w:val="24"/>
        </w:rPr>
        <w:t>t</w:t>
      </w:r>
      <w:r>
        <w:rPr>
          <w:rFonts w:ascii="Times New Roman" w:hAnsi="Times New Roman" w:cs="Times New Roman"/>
          <w:sz w:val="24"/>
          <w:szCs w:val="24"/>
        </w:rPr>
        <w:t>his study posits the following hypotheses:</w:t>
      </w:r>
    </w:p>
    <w:p w14:paraId="0BCAB479" w14:textId="4D684803" w:rsidR="00A96566" w:rsidRDefault="00A96566" w:rsidP="00A96566">
      <w:pPr>
        <w:pStyle w:val="NormalWeb"/>
        <w:spacing w:before="67" w:beforeAutospacing="0" w:after="120" w:afterAutospacing="0" w:line="480" w:lineRule="auto"/>
        <w:ind w:firstLine="360"/>
        <w:rPr>
          <w:rFonts w:asciiTheme="majorBidi" w:eastAsia="Arial" w:hAnsiTheme="majorBidi" w:cstheme="majorBidi"/>
        </w:rPr>
      </w:pPr>
      <w:bookmarkStart w:id="54" w:name="_Hlk136376446"/>
      <w:r w:rsidRPr="008D75D3">
        <w:rPr>
          <w:rFonts w:asciiTheme="majorBidi" w:eastAsia="Arial" w:hAnsiTheme="majorBidi" w:cstheme="majorBidi"/>
        </w:rPr>
        <w:t>H</w:t>
      </w:r>
      <w:r w:rsidR="00287490">
        <w:rPr>
          <w:rFonts w:asciiTheme="majorBidi" w:eastAsia="Arial" w:hAnsiTheme="majorBidi" w:cstheme="majorBidi"/>
        </w:rPr>
        <w:t>4</w:t>
      </w:r>
      <w:r w:rsidRPr="008D75D3">
        <w:rPr>
          <w:rFonts w:asciiTheme="majorBidi" w:eastAsia="Arial" w:hAnsiTheme="majorBidi" w:cstheme="majorBidi"/>
        </w:rPr>
        <w:t xml:space="preserve">: </w:t>
      </w:r>
      <w:r w:rsidR="00B7024D" w:rsidRPr="006C4D9D">
        <w:rPr>
          <w:rFonts w:asciiTheme="majorBidi" w:eastAsia="Arial" w:hAnsiTheme="majorBidi" w:cstheme="majorBidi"/>
        </w:rPr>
        <w:t xml:space="preserve">CSR communication has </w:t>
      </w:r>
      <w:r w:rsidR="00B7024D">
        <w:rPr>
          <w:rFonts w:asciiTheme="majorBidi" w:eastAsia="Arial" w:hAnsiTheme="majorBidi" w:cstheme="majorBidi"/>
        </w:rPr>
        <w:t xml:space="preserve">a </w:t>
      </w:r>
      <w:r w:rsidR="00B7024D" w:rsidRPr="006C4D9D">
        <w:rPr>
          <w:rFonts w:asciiTheme="majorBidi" w:eastAsia="Arial" w:hAnsiTheme="majorBidi" w:cstheme="majorBidi"/>
        </w:rPr>
        <w:t xml:space="preserve">positive effect on the emotional brand attachment of consumers in Egypt more than non-CSR communication.  </w:t>
      </w:r>
    </w:p>
    <w:p w14:paraId="7A7A4604" w14:textId="4CB6DCD7" w:rsidR="00A96566" w:rsidRDefault="00A96566" w:rsidP="00A96566">
      <w:pPr>
        <w:pStyle w:val="NormalWeb"/>
        <w:spacing w:before="67" w:beforeAutospacing="0" w:after="120" w:afterAutospacing="0" w:line="480" w:lineRule="auto"/>
        <w:ind w:firstLine="360"/>
        <w:rPr>
          <w:rFonts w:asciiTheme="majorBidi" w:eastAsia="Arial" w:hAnsiTheme="majorBidi" w:cstheme="majorBidi"/>
        </w:rPr>
      </w:pPr>
      <w:r w:rsidRPr="000935B2">
        <w:rPr>
          <w:rFonts w:asciiTheme="majorBidi" w:eastAsia="Arial" w:hAnsiTheme="majorBidi" w:cstheme="majorBidi"/>
        </w:rPr>
        <w:t>H</w:t>
      </w:r>
      <w:r w:rsidR="00287490" w:rsidRPr="000935B2">
        <w:rPr>
          <w:rFonts w:asciiTheme="majorBidi" w:eastAsia="Arial" w:hAnsiTheme="majorBidi" w:cstheme="majorBidi"/>
        </w:rPr>
        <w:t>5</w:t>
      </w:r>
      <w:r w:rsidRPr="000935B2">
        <w:rPr>
          <w:rFonts w:asciiTheme="majorBidi" w:eastAsia="Arial" w:hAnsiTheme="majorBidi" w:cstheme="majorBidi"/>
        </w:rPr>
        <w:t>: Emotional brand attachment has a stronger influence on purchase intention than brand functionality.</w:t>
      </w:r>
      <w:r w:rsidRPr="008D75D3">
        <w:rPr>
          <w:rFonts w:asciiTheme="majorBidi" w:eastAsia="Arial" w:hAnsiTheme="majorBidi" w:cstheme="majorBidi"/>
        </w:rPr>
        <w:t xml:space="preserve"> </w:t>
      </w:r>
    </w:p>
    <w:bookmarkEnd w:id="54"/>
    <w:p w14:paraId="3FDD1345" w14:textId="621E967F" w:rsidR="00A96566" w:rsidRPr="00D012B7" w:rsidRDefault="00460517" w:rsidP="00270BC2">
      <w:pPr>
        <w:adjustRightInd w:val="0"/>
        <w:spacing w:after="0"/>
        <w:rPr>
          <w:rFonts w:asciiTheme="majorBidi" w:hAnsiTheme="majorBidi" w:cstheme="majorBidi"/>
          <w:b/>
          <w:bCs/>
          <w:sz w:val="24"/>
          <w:szCs w:val="24"/>
        </w:rPr>
      </w:pPr>
      <w:r>
        <w:rPr>
          <w:rFonts w:asciiTheme="majorBidi" w:hAnsiTheme="majorBidi" w:cstheme="majorBidi"/>
          <w:b/>
          <w:bCs/>
          <w:sz w:val="24"/>
          <w:szCs w:val="24"/>
        </w:rPr>
        <w:t>2</w:t>
      </w:r>
      <w:r w:rsidR="00A96566" w:rsidRPr="00D012B7">
        <w:rPr>
          <w:rFonts w:asciiTheme="majorBidi" w:hAnsiTheme="majorBidi" w:cstheme="majorBidi"/>
          <w:b/>
          <w:bCs/>
          <w:sz w:val="24"/>
          <w:szCs w:val="24"/>
        </w:rPr>
        <w:t>.</w:t>
      </w:r>
      <w:r w:rsidR="00DD69CF" w:rsidRPr="00D012B7">
        <w:rPr>
          <w:rFonts w:asciiTheme="majorBidi" w:hAnsiTheme="majorBidi" w:cstheme="majorBidi"/>
          <w:b/>
          <w:bCs/>
          <w:sz w:val="24"/>
          <w:szCs w:val="24"/>
        </w:rPr>
        <w:t>7</w:t>
      </w:r>
      <w:r w:rsidR="00A96566" w:rsidRPr="00D012B7">
        <w:rPr>
          <w:rFonts w:asciiTheme="majorBidi" w:hAnsiTheme="majorBidi" w:cstheme="majorBidi"/>
          <w:b/>
          <w:bCs/>
          <w:sz w:val="24"/>
          <w:szCs w:val="24"/>
        </w:rPr>
        <w:t>.</w:t>
      </w:r>
      <w:r w:rsidR="003B1DF4" w:rsidRPr="00D012B7">
        <w:rPr>
          <w:rFonts w:asciiTheme="majorBidi" w:hAnsiTheme="majorBidi" w:cstheme="majorBidi"/>
          <w:b/>
          <w:bCs/>
          <w:sz w:val="24"/>
          <w:szCs w:val="24"/>
        </w:rPr>
        <w:t>7</w:t>
      </w:r>
      <w:r w:rsidR="00A96566" w:rsidRPr="00D012B7">
        <w:rPr>
          <w:rFonts w:asciiTheme="majorBidi" w:hAnsiTheme="majorBidi" w:cstheme="majorBidi"/>
          <w:b/>
          <w:bCs/>
          <w:sz w:val="24"/>
          <w:szCs w:val="24"/>
        </w:rPr>
        <w:t xml:space="preserve"> </w:t>
      </w:r>
      <w:r w:rsidR="00FF255C" w:rsidRPr="00D012B7">
        <w:rPr>
          <w:rFonts w:asciiTheme="majorBidi" w:hAnsiTheme="majorBidi" w:cstheme="majorBidi"/>
          <w:b/>
          <w:bCs/>
          <w:sz w:val="24"/>
          <w:szCs w:val="24"/>
        </w:rPr>
        <w:t>CSR and m</w:t>
      </w:r>
      <w:r w:rsidR="00AA2036" w:rsidRPr="00D012B7">
        <w:rPr>
          <w:rFonts w:asciiTheme="majorBidi" w:hAnsiTheme="majorBidi" w:cstheme="majorBidi"/>
          <w:b/>
          <w:bCs/>
          <w:sz w:val="24"/>
          <w:szCs w:val="24"/>
        </w:rPr>
        <w:t>easuring</w:t>
      </w:r>
      <w:r w:rsidR="00A96566" w:rsidRPr="00D012B7">
        <w:rPr>
          <w:rFonts w:asciiTheme="majorBidi" w:hAnsiTheme="majorBidi" w:cstheme="majorBidi"/>
          <w:b/>
          <w:bCs/>
          <w:sz w:val="24"/>
          <w:szCs w:val="24"/>
        </w:rPr>
        <w:t xml:space="preserve"> Purchase intention </w:t>
      </w:r>
      <w:r w:rsidR="00A96566" w:rsidRPr="00D012B7">
        <w:rPr>
          <w:rFonts w:asciiTheme="majorBidi" w:hAnsiTheme="majorBidi" w:cstheme="majorBidi"/>
          <w:b/>
          <w:bCs/>
          <w:sz w:val="24"/>
          <w:szCs w:val="24"/>
        </w:rPr>
        <w:br/>
      </w:r>
    </w:p>
    <w:p w14:paraId="1F3915CF" w14:textId="5E059DD6" w:rsidR="00A96566" w:rsidRPr="00E47283" w:rsidRDefault="00221E9F" w:rsidP="00E47283">
      <w:pPr>
        <w:spacing w:after="0" w:line="480" w:lineRule="auto"/>
        <w:rPr>
          <w:rFonts w:asciiTheme="majorBidi" w:hAnsiTheme="majorBidi" w:cstheme="majorBidi"/>
        </w:rPr>
      </w:pPr>
      <w:r>
        <w:rPr>
          <w:rFonts w:asciiTheme="majorBidi" w:hAnsiTheme="majorBidi" w:cstheme="majorBidi"/>
          <w:sz w:val="24"/>
          <w:szCs w:val="24"/>
        </w:rPr>
        <w:tab/>
      </w:r>
      <w:r w:rsidR="00A96566" w:rsidRPr="000854A2">
        <w:rPr>
          <w:rFonts w:asciiTheme="majorBidi" w:hAnsiTheme="majorBidi" w:cstheme="majorBidi"/>
          <w:sz w:val="24"/>
          <w:szCs w:val="24"/>
        </w:rPr>
        <w:t xml:space="preserve">The main goal of </w:t>
      </w:r>
      <w:r w:rsidR="00A96566">
        <w:rPr>
          <w:rFonts w:asciiTheme="majorBidi" w:hAnsiTheme="majorBidi" w:cstheme="majorBidi"/>
          <w:sz w:val="24"/>
          <w:szCs w:val="24"/>
        </w:rPr>
        <w:t>communication (or advertising specifically)</w:t>
      </w:r>
      <w:r w:rsidR="00A96566" w:rsidRPr="000854A2">
        <w:rPr>
          <w:rFonts w:asciiTheme="majorBidi" w:hAnsiTheme="majorBidi" w:cstheme="majorBidi"/>
          <w:sz w:val="24"/>
          <w:szCs w:val="24"/>
        </w:rPr>
        <w:t xml:space="preserve"> is to build brand awareness and promote positive brand image which will increase consumer loyalty and will have a profitable impact on the company</w:t>
      </w:r>
      <w:r w:rsidR="00A96566">
        <w:rPr>
          <w:rFonts w:asciiTheme="majorBidi" w:hAnsiTheme="majorBidi" w:cstheme="majorBidi"/>
          <w:sz w:val="24"/>
          <w:szCs w:val="24"/>
        </w:rPr>
        <w:t xml:space="preserve"> </w:t>
      </w:r>
      <w:sdt>
        <w:sdtPr>
          <w:rPr>
            <w:rFonts w:asciiTheme="majorBidi" w:hAnsiTheme="majorBidi" w:cstheme="majorBidi"/>
            <w:sz w:val="24"/>
            <w:szCs w:val="24"/>
          </w:rPr>
          <w:id w:val="819381086"/>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Bas17 \l 2057  \m Bru20 \m Ree17</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(Bassano, Gaeta, Piciocchi, &amp; Spohrer, 2017; Bruce, Becker, &amp; Reinartz, 2020; Reeves, 2017)</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w:t>
      </w:r>
      <w:r w:rsidR="00A96566" w:rsidRPr="000854A2">
        <w:rPr>
          <w:rFonts w:asciiTheme="majorBidi" w:hAnsiTheme="majorBidi" w:cstheme="majorBidi"/>
          <w:sz w:val="24"/>
          <w:szCs w:val="24"/>
        </w:rPr>
        <w:t xml:space="preserve"> </w:t>
      </w:r>
      <w:r w:rsidR="00A96566">
        <w:rPr>
          <w:rFonts w:asciiTheme="majorBidi" w:hAnsiTheme="majorBidi" w:cstheme="majorBidi"/>
          <w:sz w:val="24"/>
          <w:szCs w:val="24"/>
        </w:rPr>
        <w:t>I</w:t>
      </w:r>
      <w:r w:rsidR="00A96566" w:rsidRPr="00820BF4">
        <w:rPr>
          <w:rFonts w:asciiTheme="majorBidi" w:hAnsiTheme="majorBidi" w:cstheme="majorBidi"/>
          <w:sz w:val="24"/>
          <w:szCs w:val="24"/>
        </w:rPr>
        <w:t>n academic research, it might be difficult to measure or predict the sole effect of a hypothetical advertising campaign on</w:t>
      </w:r>
      <w:r w:rsidR="00A96566">
        <w:rPr>
          <w:rFonts w:asciiTheme="majorBidi" w:hAnsiTheme="majorBidi" w:cstheme="majorBidi"/>
          <w:sz w:val="24"/>
          <w:szCs w:val="24"/>
        </w:rPr>
        <w:t xml:space="preserve"> profitability or</w:t>
      </w:r>
      <w:r w:rsidR="00A96566" w:rsidRPr="00820BF4">
        <w:rPr>
          <w:rFonts w:asciiTheme="majorBidi" w:hAnsiTheme="majorBidi" w:cstheme="majorBidi"/>
          <w:sz w:val="24"/>
          <w:szCs w:val="24"/>
        </w:rPr>
        <w:t xml:space="preserve"> product purchase (the actual behaviour) as the decision of product purchasing is influenced</w:t>
      </w:r>
      <w:r w:rsidR="00A96566" w:rsidRPr="000854A2">
        <w:rPr>
          <w:rFonts w:asciiTheme="majorBidi" w:hAnsiTheme="majorBidi" w:cstheme="majorBidi"/>
          <w:sz w:val="24"/>
          <w:szCs w:val="24"/>
        </w:rPr>
        <w:t xml:space="preserve"> by many variables</w:t>
      </w:r>
      <w:sdt>
        <w:sdtPr>
          <w:rPr>
            <w:rFonts w:asciiTheme="majorBidi" w:hAnsiTheme="majorBidi" w:cstheme="majorBidi"/>
            <w:sz w:val="24"/>
            <w:szCs w:val="24"/>
          </w:rPr>
          <w:id w:val="1105845507"/>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Abd22 \t  \l 2057 </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(Abdelmoety, Aboul-Dahab, &amp; Agag, 2022)</w:t>
          </w:r>
          <w:r w:rsidR="00A96566">
            <w:rPr>
              <w:rFonts w:asciiTheme="majorBidi" w:hAnsiTheme="majorBidi" w:cstheme="majorBidi"/>
              <w:sz w:val="24"/>
              <w:szCs w:val="24"/>
            </w:rPr>
            <w:fldChar w:fldCharType="end"/>
          </w:r>
        </w:sdtContent>
      </w:sdt>
      <w:r w:rsidR="00A96566" w:rsidRPr="000854A2">
        <w:rPr>
          <w:rFonts w:asciiTheme="majorBidi" w:hAnsiTheme="majorBidi" w:cstheme="majorBidi"/>
          <w:sz w:val="24"/>
          <w:szCs w:val="24"/>
        </w:rPr>
        <w:t xml:space="preserve">. </w:t>
      </w:r>
      <w:r w:rsidR="00A96566">
        <w:rPr>
          <w:rFonts w:asciiTheme="majorBidi" w:hAnsiTheme="majorBidi" w:cstheme="majorBidi"/>
          <w:sz w:val="24"/>
          <w:szCs w:val="24"/>
        </w:rPr>
        <w:t>However, there ha</w:t>
      </w:r>
      <w:r w:rsidR="009C5253">
        <w:rPr>
          <w:rFonts w:asciiTheme="majorBidi" w:hAnsiTheme="majorBidi" w:cstheme="majorBidi"/>
          <w:sz w:val="24"/>
          <w:szCs w:val="24"/>
        </w:rPr>
        <w:t>ve</w:t>
      </w:r>
      <w:r w:rsidR="00A96566">
        <w:rPr>
          <w:rFonts w:asciiTheme="majorBidi" w:hAnsiTheme="majorBidi" w:cstheme="majorBidi"/>
          <w:sz w:val="24"/>
          <w:szCs w:val="24"/>
        </w:rPr>
        <w:t xml:space="preserve"> been many studies</w:t>
      </w:r>
      <w:sdt>
        <w:sdtPr>
          <w:rPr>
            <w:rFonts w:asciiTheme="majorBidi" w:hAnsiTheme="majorBidi" w:cstheme="majorBidi"/>
            <w:sz w:val="24"/>
            <w:szCs w:val="24"/>
          </w:rPr>
          <w:id w:val="-1221122305"/>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Jos18 \t  \m Rus04 \l 2057 </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(Joshi &amp; Hanssens, 2018; Rust, Ambler , Carpenter, &amp; Srivastava, 2004)</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where </w:t>
      </w:r>
      <w:r w:rsidR="00A96566" w:rsidRPr="00E60DA5">
        <w:rPr>
          <w:rFonts w:asciiTheme="majorBidi" w:hAnsiTheme="majorBidi" w:cstheme="majorBidi"/>
          <w:sz w:val="24"/>
          <w:szCs w:val="24"/>
        </w:rPr>
        <w:t>researchers raised the question on the link between advertising and revenue and yet, there has</w:t>
      </w:r>
      <w:r w:rsidR="009C5253" w:rsidRPr="00E60DA5">
        <w:rPr>
          <w:rFonts w:asciiTheme="majorBidi" w:hAnsiTheme="majorBidi" w:cstheme="majorBidi"/>
          <w:sz w:val="24"/>
          <w:szCs w:val="24"/>
        </w:rPr>
        <w:t xml:space="preserve"> not</w:t>
      </w:r>
      <w:r w:rsidR="00A96566" w:rsidRPr="00E60DA5">
        <w:rPr>
          <w:rFonts w:asciiTheme="majorBidi" w:hAnsiTheme="majorBidi" w:cstheme="majorBidi"/>
          <w:sz w:val="24"/>
          <w:szCs w:val="24"/>
        </w:rPr>
        <w:t xml:space="preserve"> been a crystal-clear answer </w:t>
      </w:r>
      <w:sdt>
        <w:sdtPr>
          <w:rPr>
            <w:rFonts w:asciiTheme="majorBidi" w:hAnsiTheme="majorBidi" w:cstheme="majorBidi"/>
            <w:sz w:val="24"/>
            <w:szCs w:val="24"/>
          </w:rPr>
          <w:id w:val="-1547063626"/>
          <w:citation/>
        </w:sdtPr>
        <w:sdtContent>
          <w:r w:rsidR="00A96566" w:rsidRPr="00E60DA5">
            <w:rPr>
              <w:rFonts w:asciiTheme="majorBidi" w:hAnsiTheme="majorBidi" w:cstheme="majorBidi"/>
              <w:sz w:val="24"/>
              <w:szCs w:val="24"/>
            </w:rPr>
            <w:fldChar w:fldCharType="begin"/>
          </w:r>
          <w:r w:rsidR="00A96566" w:rsidRPr="00E60DA5">
            <w:rPr>
              <w:rFonts w:asciiTheme="majorBidi" w:hAnsiTheme="majorBidi" w:cstheme="majorBidi"/>
              <w:sz w:val="24"/>
              <w:szCs w:val="24"/>
            </w:rPr>
            <w:instrText xml:space="preserve"> CITATION Tac17 \l 2057 </w:instrText>
          </w:r>
          <w:r w:rsidR="00A96566" w:rsidRPr="00E60DA5">
            <w:rPr>
              <w:rFonts w:asciiTheme="majorBidi" w:hAnsiTheme="majorBidi" w:cstheme="majorBidi"/>
              <w:sz w:val="24"/>
              <w:szCs w:val="24"/>
            </w:rPr>
            <w:fldChar w:fldCharType="separate"/>
          </w:r>
          <w:r w:rsidR="00A96566" w:rsidRPr="00E60DA5">
            <w:rPr>
              <w:rFonts w:asciiTheme="majorBidi" w:hAnsiTheme="majorBidi" w:cstheme="majorBidi"/>
              <w:noProof/>
              <w:sz w:val="24"/>
              <w:szCs w:val="24"/>
            </w:rPr>
            <w:t>(Tackx, Rothenberger, &amp; Verdin, 2017)</w:t>
          </w:r>
          <w:r w:rsidR="00A96566" w:rsidRPr="00E60DA5">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Generally, there are two directions for prediction of purchase behaviour that exist in literature. Majority of </w:t>
      </w:r>
      <w:r w:rsidR="00B81D5E">
        <w:rPr>
          <w:rFonts w:asciiTheme="majorBidi" w:hAnsiTheme="majorBidi" w:cstheme="majorBidi"/>
          <w:sz w:val="24"/>
          <w:szCs w:val="24"/>
        </w:rPr>
        <w:t>researchers that measure actual behaviour rely on</w:t>
      </w:r>
      <w:r w:rsidR="00A96566">
        <w:rPr>
          <w:rFonts w:asciiTheme="majorBidi" w:hAnsiTheme="majorBidi" w:cstheme="majorBidi"/>
          <w:sz w:val="24"/>
          <w:szCs w:val="24"/>
        </w:rPr>
        <w:t xml:space="preserve"> existing databases of previous purchasing behaviours to speculate future purchasing behaviour </w:t>
      </w:r>
      <w:sdt>
        <w:sdtPr>
          <w:rPr>
            <w:rFonts w:asciiTheme="majorBidi" w:hAnsiTheme="majorBidi" w:cstheme="majorBidi"/>
            <w:sz w:val="24"/>
            <w:szCs w:val="24"/>
          </w:rPr>
          <w:id w:val="-1746106651"/>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Mar20 \l 2057  \m XuJ20</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(Martínez, Schmuck, Pereverzyev Jr., Pirker, &amp; Haltmeier, 2020; Xu, Wang, Tian, Li, &amp; Gao, 2020)</w:t>
          </w:r>
          <w:r w:rsidR="00A96566">
            <w:rPr>
              <w:rFonts w:asciiTheme="majorBidi" w:hAnsiTheme="majorBidi" w:cstheme="majorBidi"/>
              <w:sz w:val="24"/>
              <w:szCs w:val="24"/>
            </w:rPr>
            <w:fldChar w:fldCharType="end"/>
          </w:r>
        </w:sdtContent>
      </w:sdt>
      <w:r w:rsidR="00A96566">
        <w:t xml:space="preserve">. </w:t>
      </w:r>
      <w:r w:rsidR="00A96566" w:rsidRPr="001D6873">
        <w:rPr>
          <w:rFonts w:asciiTheme="majorBidi" w:hAnsiTheme="majorBidi" w:cstheme="majorBidi"/>
          <w:sz w:val="24"/>
          <w:szCs w:val="24"/>
        </w:rPr>
        <w:t xml:space="preserve">Yet, these models </w:t>
      </w:r>
      <w:r w:rsidR="00A96566">
        <w:rPr>
          <w:rFonts w:asciiTheme="majorBidi" w:hAnsiTheme="majorBidi" w:cstheme="majorBidi"/>
          <w:sz w:val="24"/>
          <w:szCs w:val="24"/>
        </w:rPr>
        <w:t>would be difficult to</w:t>
      </w:r>
      <w:r w:rsidR="00A96566" w:rsidRPr="001D6873">
        <w:rPr>
          <w:rFonts w:asciiTheme="majorBidi" w:hAnsiTheme="majorBidi" w:cstheme="majorBidi"/>
          <w:sz w:val="24"/>
          <w:szCs w:val="24"/>
        </w:rPr>
        <w:t xml:space="preserve"> </w:t>
      </w:r>
      <w:r w:rsidR="00A96566">
        <w:rPr>
          <w:rFonts w:asciiTheme="majorBidi" w:hAnsiTheme="majorBidi" w:cstheme="majorBidi"/>
          <w:sz w:val="24"/>
          <w:szCs w:val="24"/>
        </w:rPr>
        <w:t>apply</w:t>
      </w:r>
      <w:r w:rsidR="00A96566" w:rsidRPr="001D6873">
        <w:rPr>
          <w:rFonts w:asciiTheme="majorBidi" w:hAnsiTheme="majorBidi" w:cstheme="majorBidi"/>
          <w:sz w:val="24"/>
          <w:szCs w:val="24"/>
        </w:rPr>
        <w:t xml:space="preserve"> if the purchase behaviour is linked to</w:t>
      </w:r>
      <w:r w:rsidR="00270BC2">
        <w:rPr>
          <w:rFonts w:asciiTheme="majorBidi" w:hAnsiTheme="majorBidi" w:cstheme="majorBidi"/>
          <w:sz w:val="24"/>
          <w:szCs w:val="24"/>
        </w:rPr>
        <w:t xml:space="preserve"> and measures</w:t>
      </w:r>
      <w:r w:rsidR="00A96566" w:rsidRPr="001D6873">
        <w:rPr>
          <w:rFonts w:asciiTheme="majorBidi" w:hAnsiTheme="majorBidi" w:cstheme="majorBidi"/>
          <w:sz w:val="24"/>
          <w:szCs w:val="24"/>
        </w:rPr>
        <w:t xml:space="preserve"> a specific</w:t>
      </w:r>
      <w:r w:rsidR="00AA2036">
        <w:rPr>
          <w:rFonts w:asciiTheme="majorBidi" w:hAnsiTheme="majorBidi" w:cstheme="majorBidi"/>
          <w:sz w:val="24"/>
          <w:szCs w:val="24"/>
        </w:rPr>
        <w:t xml:space="preserve"> hypothetical</w:t>
      </w:r>
      <w:r w:rsidR="00A96566" w:rsidRPr="001D6873">
        <w:rPr>
          <w:rFonts w:asciiTheme="majorBidi" w:hAnsiTheme="majorBidi" w:cstheme="majorBidi"/>
          <w:sz w:val="24"/>
          <w:szCs w:val="24"/>
        </w:rPr>
        <w:t xml:space="preserve"> scenario</w:t>
      </w:r>
      <w:r w:rsidR="00A96566">
        <w:rPr>
          <w:rFonts w:asciiTheme="majorBidi" w:hAnsiTheme="majorBidi" w:cstheme="majorBidi"/>
          <w:sz w:val="24"/>
          <w:szCs w:val="24"/>
        </w:rPr>
        <w:t>.</w:t>
      </w:r>
      <w:r w:rsidR="00A96566">
        <w:t xml:space="preserve"> </w:t>
      </w:r>
      <w:r w:rsidR="00A96566" w:rsidRPr="000854A2">
        <w:rPr>
          <w:rFonts w:asciiTheme="majorBidi" w:hAnsiTheme="majorBidi" w:cstheme="majorBidi"/>
          <w:sz w:val="24"/>
          <w:szCs w:val="24"/>
        </w:rPr>
        <w:t xml:space="preserve">There are </w:t>
      </w:r>
      <w:r w:rsidR="00A96566">
        <w:rPr>
          <w:rFonts w:asciiTheme="majorBidi" w:hAnsiTheme="majorBidi" w:cstheme="majorBidi"/>
          <w:sz w:val="24"/>
          <w:szCs w:val="24"/>
        </w:rPr>
        <w:t xml:space="preserve">more </w:t>
      </w:r>
      <w:r w:rsidR="00A96566" w:rsidRPr="000854A2">
        <w:rPr>
          <w:rFonts w:asciiTheme="majorBidi" w:hAnsiTheme="majorBidi" w:cstheme="majorBidi"/>
          <w:sz w:val="24"/>
          <w:szCs w:val="24"/>
        </w:rPr>
        <w:t>recent studies that attempt to measure the impact of television advertising on sales (the actual behaviour); however, these studies are conducted by examining real campaigns and measuring the actual sales that happened</w:t>
      </w:r>
      <w:r w:rsidR="00B81D5E" w:rsidRPr="00B81D5E">
        <w:rPr>
          <w:rFonts w:asciiTheme="majorBidi" w:hAnsiTheme="majorBidi" w:cstheme="majorBidi"/>
          <w:sz w:val="24"/>
          <w:szCs w:val="24"/>
        </w:rPr>
        <w:t xml:space="preserve"> </w:t>
      </w:r>
      <w:sdt>
        <w:sdtPr>
          <w:rPr>
            <w:rFonts w:asciiTheme="majorBidi" w:hAnsiTheme="majorBidi" w:cstheme="majorBidi"/>
            <w:sz w:val="24"/>
            <w:szCs w:val="24"/>
          </w:rPr>
          <w:id w:val="664124297"/>
          <w:citation/>
        </w:sdtPr>
        <w:sdtContent>
          <w:r w:rsidR="00B81D5E" w:rsidRPr="00C55DE1">
            <w:rPr>
              <w:rFonts w:asciiTheme="majorBidi" w:hAnsiTheme="majorBidi" w:cstheme="majorBidi"/>
              <w:sz w:val="24"/>
              <w:szCs w:val="24"/>
            </w:rPr>
            <w:fldChar w:fldCharType="begin"/>
          </w:r>
          <w:r w:rsidR="00B81D5E">
            <w:rPr>
              <w:rFonts w:asciiTheme="majorBidi" w:hAnsiTheme="majorBidi" w:cstheme="majorBidi"/>
              <w:sz w:val="24"/>
              <w:szCs w:val="24"/>
            </w:rPr>
            <w:instrText xml:space="preserve">CITATION Bru20 \t  \l 2057 </w:instrText>
          </w:r>
          <w:r w:rsidR="00B81D5E" w:rsidRPr="00C55DE1">
            <w:rPr>
              <w:rFonts w:asciiTheme="majorBidi" w:hAnsiTheme="majorBidi" w:cstheme="majorBidi"/>
              <w:sz w:val="24"/>
              <w:szCs w:val="24"/>
            </w:rPr>
            <w:fldChar w:fldCharType="separate"/>
          </w:r>
          <w:r w:rsidR="00B81D5E" w:rsidRPr="00B81D5E">
            <w:rPr>
              <w:rFonts w:asciiTheme="majorBidi" w:hAnsiTheme="majorBidi" w:cstheme="majorBidi"/>
              <w:noProof/>
              <w:sz w:val="24"/>
              <w:szCs w:val="24"/>
            </w:rPr>
            <w:t>(Bruce, Becker, &amp; Reinartz, 2020)</w:t>
          </w:r>
          <w:r w:rsidR="00B81D5E" w:rsidRPr="00C55DE1">
            <w:rPr>
              <w:rFonts w:asciiTheme="majorBidi" w:hAnsiTheme="majorBidi" w:cstheme="majorBidi"/>
              <w:sz w:val="24"/>
              <w:szCs w:val="24"/>
            </w:rPr>
            <w:fldChar w:fldCharType="end"/>
          </w:r>
        </w:sdtContent>
      </w:sdt>
      <w:r w:rsidR="00A96566" w:rsidRPr="000854A2">
        <w:rPr>
          <w:rFonts w:asciiTheme="majorBidi" w:hAnsiTheme="majorBidi" w:cstheme="majorBidi"/>
          <w:sz w:val="24"/>
          <w:szCs w:val="24"/>
        </w:rPr>
        <w:t xml:space="preserve">. For example, </w:t>
      </w:r>
      <w:r w:rsidR="00A96566" w:rsidRPr="00C55DE1">
        <w:rPr>
          <w:rFonts w:asciiTheme="majorBidi" w:hAnsiTheme="majorBidi" w:cstheme="majorBidi"/>
          <w:sz w:val="24"/>
          <w:szCs w:val="24"/>
        </w:rPr>
        <w:t xml:space="preserve">Bruce, Becker and Reinartz </w:t>
      </w:r>
      <w:bookmarkStart w:id="55" w:name="_Hlk97556627"/>
      <w:sdt>
        <w:sdtPr>
          <w:rPr>
            <w:rFonts w:asciiTheme="majorBidi" w:hAnsiTheme="majorBidi" w:cstheme="majorBidi"/>
            <w:sz w:val="24"/>
            <w:szCs w:val="24"/>
          </w:rPr>
          <w:id w:val="-169716815"/>
          <w:citation/>
        </w:sdtPr>
        <w:sdtContent>
          <w:r w:rsidR="00A96566" w:rsidRPr="00C55DE1">
            <w:rPr>
              <w:rFonts w:asciiTheme="majorBidi" w:hAnsiTheme="majorBidi" w:cstheme="majorBidi"/>
              <w:sz w:val="24"/>
              <w:szCs w:val="24"/>
            </w:rPr>
            <w:fldChar w:fldCharType="begin"/>
          </w:r>
          <w:r w:rsidR="00A96566" w:rsidRPr="00C55DE1">
            <w:rPr>
              <w:rFonts w:asciiTheme="majorBidi" w:hAnsiTheme="majorBidi" w:cstheme="majorBidi"/>
              <w:sz w:val="24"/>
              <w:szCs w:val="24"/>
            </w:rPr>
            <w:instrText xml:space="preserve">CITATION Bru20 \n  \t  \l 2057 </w:instrText>
          </w:r>
          <w:r w:rsidR="00A96566" w:rsidRPr="00C55DE1">
            <w:rPr>
              <w:rFonts w:asciiTheme="majorBidi" w:hAnsiTheme="majorBidi" w:cstheme="majorBidi"/>
              <w:sz w:val="24"/>
              <w:szCs w:val="24"/>
            </w:rPr>
            <w:fldChar w:fldCharType="separate"/>
          </w:r>
          <w:r w:rsidR="00A96566" w:rsidRPr="00C55DE1">
            <w:rPr>
              <w:rFonts w:asciiTheme="majorBidi" w:hAnsiTheme="majorBidi" w:cstheme="majorBidi"/>
              <w:noProof/>
              <w:sz w:val="24"/>
              <w:szCs w:val="24"/>
            </w:rPr>
            <w:t>(2020)</w:t>
          </w:r>
          <w:r w:rsidR="00A96566" w:rsidRPr="00C55DE1">
            <w:rPr>
              <w:rFonts w:asciiTheme="majorBidi" w:hAnsiTheme="majorBidi" w:cstheme="majorBidi"/>
              <w:sz w:val="24"/>
              <w:szCs w:val="24"/>
            </w:rPr>
            <w:fldChar w:fldCharType="end"/>
          </w:r>
        </w:sdtContent>
      </w:sdt>
      <w:bookmarkEnd w:id="55"/>
      <w:r w:rsidR="00A96566" w:rsidRPr="00C55DE1">
        <w:rPr>
          <w:rFonts w:asciiTheme="majorBidi" w:hAnsiTheme="majorBidi" w:cstheme="majorBidi"/>
          <w:sz w:val="24"/>
          <w:szCs w:val="24"/>
        </w:rPr>
        <w:t xml:space="preserve"> constructed a dynamic model to quantify the effects of advertising that happened on </w:t>
      </w:r>
      <w:r w:rsidR="00A96566" w:rsidRPr="00E60DA5">
        <w:rPr>
          <w:rFonts w:asciiTheme="majorBidi" w:hAnsiTheme="majorBidi" w:cstheme="majorBidi"/>
          <w:sz w:val="24"/>
          <w:szCs w:val="24"/>
        </w:rPr>
        <w:t>actual sales figures</w:t>
      </w:r>
      <w:r w:rsidR="00A96566" w:rsidRPr="00C55DE1">
        <w:rPr>
          <w:rFonts w:asciiTheme="majorBidi" w:hAnsiTheme="majorBidi" w:cstheme="majorBidi"/>
          <w:sz w:val="24"/>
          <w:szCs w:val="24"/>
        </w:rPr>
        <w:t xml:space="preserve"> while holding other influencing variables</w:t>
      </w:r>
      <w:r w:rsidR="00B81D5E">
        <w:rPr>
          <w:rFonts w:asciiTheme="majorBidi" w:hAnsiTheme="majorBidi" w:cstheme="majorBidi"/>
          <w:sz w:val="24"/>
          <w:szCs w:val="24"/>
        </w:rPr>
        <w:t xml:space="preserve"> constant. </w:t>
      </w:r>
      <w:r w:rsidR="00C172DC">
        <w:rPr>
          <w:rFonts w:asciiTheme="majorBidi" w:hAnsiTheme="majorBidi" w:cstheme="majorBidi"/>
          <w:sz w:val="24"/>
          <w:szCs w:val="24"/>
        </w:rPr>
        <w:t>Some of these variables were</w:t>
      </w:r>
      <w:r w:rsidR="00A96566" w:rsidRPr="00C55DE1">
        <w:rPr>
          <w:rFonts w:asciiTheme="majorBidi" w:hAnsiTheme="majorBidi" w:cstheme="majorBidi"/>
          <w:sz w:val="24"/>
          <w:szCs w:val="24"/>
        </w:rPr>
        <w:t xml:space="preserve"> price, in-store promotions by the brand and its competitors, and other types of </w:t>
      </w:r>
      <w:r w:rsidR="00A96566" w:rsidRPr="00E47283">
        <w:rPr>
          <w:rFonts w:asciiTheme="majorBidi" w:hAnsiTheme="majorBidi" w:cstheme="majorBidi"/>
          <w:sz w:val="24"/>
          <w:szCs w:val="24"/>
        </w:rPr>
        <w:t>advertising</w:t>
      </w:r>
      <w:sdt>
        <w:sdtPr>
          <w:rPr>
            <w:rFonts w:asciiTheme="majorBidi" w:hAnsiTheme="majorBidi" w:cstheme="majorBidi"/>
            <w:sz w:val="24"/>
            <w:szCs w:val="24"/>
          </w:rPr>
          <w:id w:val="-718750715"/>
          <w:citation/>
        </w:sdtPr>
        <w:sdtContent>
          <w:r w:rsidR="00C172DC">
            <w:rPr>
              <w:rFonts w:asciiTheme="majorBidi" w:hAnsiTheme="majorBidi" w:cstheme="majorBidi"/>
              <w:sz w:val="24"/>
              <w:szCs w:val="24"/>
            </w:rPr>
            <w:fldChar w:fldCharType="begin"/>
          </w:r>
          <w:r w:rsidR="00C172DC">
            <w:rPr>
              <w:rFonts w:asciiTheme="majorBidi" w:hAnsiTheme="majorBidi" w:cstheme="majorBidi"/>
              <w:sz w:val="24"/>
              <w:szCs w:val="24"/>
            </w:rPr>
            <w:instrText xml:space="preserve">CITATION Bru20 \t  \l 2057 </w:instrText>
          </w:r>
          <w:r w:rsidR="00C172DC">
            <w:rPr>
              <w:rFonts w:asciiTheme="majorBidi" w:hAnsiTheme="majorBidi" w:cstheme="majorBidi"/>
              <w:sz w:val="24"/>
              <w:szCs w:val="24"/>
            </w:rPr>
            <w:fldChar w:fldCharType="separate"/>
          </w:r>
          <w:r w:rsidR="00C172DC">
            <w:rPr>
              <w:rFonts w:asciiTheme="majorBidi" w:hAnsiTheme="majorBidi" w:cstheme="majorBidi"/>
              <w:noProof/>
              <w:sz w:val="24"/>
              <w:szCs w:val="24"/>
            </w:rPr>
            <w:t xml:space="preserve"> </w:t>
          </w:r>
          <w:r w:rsidR="00C172DC" w:rsidRPr="00C172DC">
            <w:rPr>
              <w:rFonts w:asciiTheme="majorBidi" w:hAnsiTheme="majorBidi" w:cstheme="majorBidi"/>
              <w:noProof/>
              <w:sz w:val="24"/>
              <w:szCs w:val="24"/>
            </w:rPr>
            <w:t>(Bruce, Becker, &amp; Reinartz, 2020)</w:t>
          </w:r>
          <w:r w:rsidR="00C172DC">
            <w:rPr>
              <w:rFonts w:asciiTheme="majorBidi" w:hAnsiTheme="majorBidi" w:cstheme="majorBidi"/>
              <w:sz w:val="24"/>
              <w:szCs w:val="24"/>
            </w:rPr>
            <w:fldChar w:fldCharType="end"/>
          </w:r>
        </w:sdtContent>
      </w:sdt>
      <w:r w:rsidR="00A96566" w:rsidRPr="00E47283">
        <w:rPr>
          <w:rFonts w:asciiTheme="majorBidi" w:hAnsiTheme="majorBidi" w:cstheme="majorBidi"/>
          <w:sz w:val="24"/>
          <w:szCs w:val="24"/>
        </w:rPr>
        <w:t xml:space="preserve">. Similarly, another study examined 323 televisions ads to analyse the impact of depiction certain attributes such as brand essence, brand heritage, realistic plots in ads on sales </w:t>
      </w:r>
      <w:sdt>
        <w:sdtPr>
          <w:rPr>
            <w:rFonts w:asciiTheme="majorBidi" w:hAnsiTheme="majorBidi" w:cstheme="majorBidi"/>
            <w:sz w:val="24"/>
            <w:szCs w:val="24"/>
          </w:rPr>
          <w:id w:val="1922370009"/>
          <w:citation/>
        </w:sdtPr>
        <w:sdtContent>
          <w:r w:rsidR="00A96566" w:rsidRPr="00E47283">
            <w:rPr>
              <w:rFonts w:asciiTheme="majorBidi" w:hAnsiTheme="majorBidi" w:cstheme="majorBidi"/>
              <w:sz w:val="24"/>
              <w:szCs w:val="24"/>
            </w:rPr>
            <w:fldChar w:fldCharType="begin"/>
          </w:r>
          <w:r w:rsidR="00A96566" w:rsidRPr="00E47283">
            <w:rPr>
              <w:rFonts w:asciiTheme="majorBidi" w:hAnsiTheme="majorBidi" w:cstheme="majorBidi"/>
              <w:sz w:val="24"/>
              <w:szCs w:val="24"/>
            </w:rPr>
            <w:instrText xml:space="preserve">CITATION Bec19 \t  \l 2057 </w:instrText>
          </w:r>
          <w:r w:rsidR="00A96566" w:rsidRPr="00E47283">
            <w:rPr>
              <w:rFonts w:asciiTheme="majorBidi" w:hAnsiTheme="majorBidi" w:cstheme="majorBidi"/>
              <w:sz w:val="24"/>
              <w:szCs w:val="24"/>
            </w:rPr>
            <w:fldChar w:fldCharType="separate"/>
          </w:r>
          <w:r w:rsidR="00A96566" w:rsidRPr="00E47283">
            <w:rPr>
              <w:rFonts w:asciiTheme="majorBidi" w:hAnsiTheme="majorBidi" w:cstheme="majorBidi"/>
              <w:noProof/>
              <w:sz w:val="24"/>
              <w:szCs w:val="24"/>
            </w:rPr>
            <w:t>(Becker, Wiegand, &amp; Reinartz, 2019)</w:t>
          </w:r>
          <w:r w:rsidR="00A96566" w:rsidRPr="00E47283">
            <w:rPr>
              <w:rFonts w:asciiTheme="majorBidi" w:hAnsiTheme="majorBidi" w:cstheme="majorBidi"/>
              <w:sz w:val="24"/>
              <w:szCs w:val="24"/>
            </w:rPr>
            <w:fldChar w:fldCharType="end"/>
          </w:r>
        </w:sdtContent>
      </w:sdt>
      <w:r w:rsidR="00A96566" w:rsidRPr="00E47283">
        <w:rPr>
          <w:rFonts w:asciiTheme="majorBidi" w:hAnsiTheme="majorBidi" w:cstheme="majorBidi"/>
          <w:sz w:val="24"/>
          <w:szCs w:val="24"/>
        </w:rPr>
        <w:t xml:space="preserve">. Weekly sales data and information on several other </w:t>
      </w:r>
      <w:r w:rsidR="00A96566" w:rsidRPr="00E60DA5">
        <w:rPr>
          <w:rFonts w:asciiTheme="majorBidi" w:hAnsiTheme="majorBidi" w:cstheme="majorBidi"/>
          <w:sz w:val="24"/>
          <w:szCs w:val="24"/>
        </w:rPr>
        <w:t xml:space="preserve">control variables such as price, promotions, and other forms of advertising were separated from the effects of the main independent variable which is television advertising </w:t>
      </w:r>
      <w:sdt>
        <w:sdtPr>
          <w:rPr>
            <w:rFonts w:asciiTheme="majorBidi" w:hAnsiTheme="majorBidi" w:cstheme="majorBidi"/>
            <w:sz w:val="24"/>
            <w:szCs w:val="24"/>
          </w:rPr>
          <w:id w:val="569393256"/>
          <w:citation/>
        </w:sdtPr>
        <w:sdtContent>
          <w:r w:rsidR="00A96566" w:rsidRPr="00E60DA5">
            <w:rPr>
              <w:rFonts w:asciiTheme="majorBidi" w:hAnsiTheme="majorBidi" w:cstheme="majorBidi"/>
              <w:sz w:val="24"/>
              <w:szCs w:val="24"/>
            </w:rPr>
            <w:fldChar w:fldCharType="begin"/>
          </w:r>
          <w:r w:rsidR="00A96566" w:rsidRPr="00E60DA5">
            <w:rPr>
              <w:rFonts w:asciiTheme="majorBidi" w:hAnsiTheme="majorBidi" w:cstheme="majorBidi"/>
              <w:sz w:val="24"/>
              <w:szCs w:val="24"/>
            </w:rPr>
            <w:instrText xml:space="preserve">CITATION Bec19 \t  \l 2057 </w:instrText>
          </w:r>
          <w:r w:rsidR="00A96566" w:rsidRPr="00E60DA5">
            <w:rPr>
              <w:rFonts w:asciiTheme="majorBidi" w:hAnsiTheme="majorBidi" w:cstheme="majorBidi"/>
              <w:sz w:val="24"/>
              <w:szCs w:val="24"/>
            </w:rPr>
            <w:fldChar w:fldCharType="separate"/>
          </w:r>
          <w:r w:rsidR="00A96566" w:rsidRPr="00E60DA5">
            <w:rPr>
              <w:rFonts w:asciiTheme="majorBidi" w:hAnsiTheme="majorBidi" w:cstheme="majorBidi"/>
              <w:noProof/>
              <w:sz w:val="24"/>
              <w:szCs w:val="24"/>
            </w:rPr>
            <w:t>(Becker, Wiegand, &amp; Reinartz, 2019)</w:t>
          </w:r>
          <w:r w:rsidR="00A96566" w:rsidRPr="00E60DA5">
            <w:rPr>
              <w:rFonts w:asciiTheme="majorBidi" w:hAnsiTheme="majorBidi" w:cstheme="majorBidi"/>
              <w:sz w:val="24"/>
              <w:szCs w:val="24"/>
            </w:rPr>
            <w:fldChar w:fldCharType="end"/>
          </w:r>
        </w:sdtContent>
      </w:sdt>
      <w:r w:rsidR="00A96566" w:rsidRPr="00E60DA5">
        <w:rPr>
          <w:rFonts w:asciiTheme="majorBidi" w:hAnsiTheme="majorBidi" w:cstheme="majorBidi"/>
          <w:sz w:val="24"/>
          <w:szCs w:val="24"/>
        </w:rPr>
        <w:t>. Many of the above-mentioned variables are difficult to control in experiments</w:t>
      </w:r>
      <w:r w:rsidR="00A96566" w:rsidRPr="00E47283">
        <w:rPr>
          <w:rFonts w:asciiTheme="majorBidi" w:hAnsiTheme="majorBidi" w:cstheme="majorBidi"/>
          <w:sz w:val="24"/>
          <w:szCs w:val="24"/>
        </w:rPr>
        <w:t xml:space="preserve"> </w:t>
      </w:r>
      <w:sdt>
        <w:sdtPr>
          <w:rPr>
            <w:rFonts w:asciiTheme="majorBidi" w:hAnsiTheme="majorBidi" w:cstheme="majorBidi"/>
            <w:sz w:val="24"/>
            <w:szCs w:val="24"/>
          </w:rPr>
          <w:id w:val="-1149890711"/>
          <w:citation/>
        </w:sdtPr>
        <w:sdtContent>
          <w:r w:rsidR="00A96566" w:rsidRPr="00E47283">
            <w:rPr>
              <w:rFonts w:asciiTheme="majorBidi" w:hAnsiTheme="majorBidi" w:cstheme="majorBidi"/>
              <w:sz w:val="24"/>
              <w:szCs w:val="24"/>
            </w:rPr>
            <w:fldChar w:fldCharType="begin"/>
          </w:r>
          <w:r w:rsidR="00A96566" w:rsidRPr="00E47283">
            <w:rPr>
              <w:rFonts w:asciiTheme="majorBidi" w:hAnsiTheme="majorBidi" w:cstheme="majorBidi"/>
              <w:sz w:val="24"/>
              <w:szCs w:val="24"/>
            </w:rPr>
            <w:instrText xml:space="preserve"> CITATION Bru20 \l 2057 </w:instrText>
          </w:r>
          <w:r w:rsidR="00A96566" w:rsidRPr="00E47283">
            <w:rPr>
              <w:rFonts w:asciiTheme="majorBidi" w:hAnsiTheme="majorBidi" w:cstheme="majorBidi"/>
              <w:sz w:val="24"/>
              <w:szCs w:val="24"/>
            </w:rPr>
            <w:fldChar w:fldCharType="separate"/>
          </w:r>
          <w:r w:rsidR="00A96566" w:rsidRPr="00E47283">
            <w:rPr>
              <w:rFonts w:asciiTheme="majorBidi" w:hAnsiTheme="majorBidi" w:cstheme="majorBidi"/>
              <w:noProof/>
              <w:sz w:val="24"/>
              <w:szCs w:val="24"/>
            </w:rPr>
            <w:t>(Bruce, Becker, &amp; Reinartz, 2020)</w:t>
          </w:r>
          <w:r w:rsidR="00A96566" w:rsidRPr="00E47283">
            <w:rPr>
              <w:rFonts w:asciiTheme="majorBidi" w:hAnsiTheme="majorBidi" w:cstheme="majorBidi"/>
              <w:sz w:val="24"/>
              <w:szCs w:val="24"/>
            </w:rPr>
            <w:fldChar w:fldCharType="end"/>
          </w:r>
        </w:sdtContent>
      </w:sdt>
      <w:r w:rsidR="00A96566" w:rsidRPr="00E47283">
        <w:rPr>
          <w:rFonts w:asciiTheme="majorBidi" w:hAnsiTheme="majorBidi" w:cstheme="majorBidi"/>
          <w:sz w:val="24"/>
          <w:szCs w:val="24"/>
        </w:rPr>
        <w:t xml:space="preserve">. Hence, measuring the impact of advertising should not be based on actual behaviour but based on preceding evaluations that </w:t>
      </w:r>
      <w:r w:rsidR="00A96566" w:rsidRPr="00E60DA5">
        <w:rPr>
          <w:rFonts w:asciiTheme="majorBidi" w:hAnsiTheme="majorBidi" w:cstheme="majorBidi"/>
          <w:sz w:val="24"/>
          <w:szCs w:val="24"/>
        </w:rPr>
        <w:t>can give high indications of future purchase behaviour</w:t>
      </w:r>
      <w:r w:rsidR="00A96566" w:rsidRPr="00E47283">
        <w:rPr>
          <w:rFonts w:asciiTheme="majorBidi" w:hAnsiTheme="majorBidi" w:cstheme="majorBidi"/>
          <w:sz w:val="24"/>
          <w:szCs w:val="24"/>
        </w:rPr>
        <w:t xml:space="preserve"> </w:t>
      </w:r>
      <w:sdt>
        <w:sdtPr>
          <w:rPr>
            <w:rFonts w:asciiTheme="majorBidi" w:hAnsiTheme="majorBidi" w:cstheme="majorBidi"/>
            <w:sz w:val="24"/>
            <w:szCs w:val="24"/>
          </w:rPr>
          <w:id w:val="1330648686"/>
          <w:citation/>
        </w:sdtPr>
        <w:sdtContent>
          <w:r w:rsidR="00A96566" w:rsidRPr="00E47283">
            <w:rPr>
              <w:rFonts w:asciiTheme="majorBidi" w:hAnsiTheme="majorBidi" w:cstheme="majorBidi"/>
              <w:sz w:val="24"/>
              <w:szCs w:val="24"/>
            </w:rPr>
            <w:fldChar w:fldCharType="begin"/>
          </w:r>
          <w:r w:rsidR="00A96566" w:rsidRPr="00E47283">
            <w:rPr>
              <w:rFonts w:asciiTheme="majorBidi" w:hAnsiTheme="majorBidi" w:cstheme="majorBidi"/>
              <w:sz w:val="24"/>
              <w:szCs w:val="24"/>
            </w:rPr>
            <w:instrText xml:space="preserve"> CITATION Ree17 \l 2057 </w:instrText>
          </w:r>
          <w:r w:rsidR="00A96566" w:rsidRPr="00E47283">
            <w:rPr>
              <w:rFonts w:asciiTheme="majorBidi" w:hAnsiTheme="majorBidi" w:cstheme="majorBidi"/>
              <w:sz w:val="24"/>
              <w:szCs w:val="24"/>
            </w:rPr>
            <w:fldChar w:fldCharType="separate"/>
          </w:r>
          <w:r w:rsidR="00A96566" w:rsidRPr="00E47283">
            <w:rPr>
              <w:rFonts w:asciiTheme="majorBidi" w:hAnsiTheme="majorBidi" w:cstheme="majorBidi"/>
              <w:noProof/>
              <w:sz w:val="24"/>
              <w:szCs w:val="24"/>
            </w:rPr>
            <w:t>(Reeves, 2017)</w:t>
          </w:r>
          <w:r w:rsidR="00A96566" w:rsidRPr="00E47283">
            <w:rPr>
              <w:rFonts w:asciiTheme="majorBidi" w:hAnsiTheme="majorBidi" w:cstheme="majorBidi"/>
              <w:sz w:val="24"/>
              <w:szCs w:val="24"/>
            </w:rPr>
            <w:fldChar w:fldCharType="end"/>
          </w:r>
        </w:sdtContent>
      </w:sdt>
      <w:r w:rsidR="00A96566" w:rsidRPr="00E47283">
        <w:rPr>
          <w:rFonts w:asciiTheme="majorBidi" w:hAnsiTheme="majorBidi" w:cstheme="majorBidi"/>
          <w:sz w:val="24"/>
          <w:szCs w:val="24"/>
        </w:rPr>
        <w:t xml:space="preserve">. </w:t>
      </w:r>
      <w:r w:rsidR="00C12520" w:rsidRPr="00E47283">
        <w:rPr>
          <w:rFonts w:asciiTheme="majorBidi" w:hAnsiTheme="majorBidi" w:cstheme="majorBidi"/>
          <w:sz w:val="24"/>
          <w:szCs w:val="24"/>
        </w:rPr>
        <w:t xml:space="preserve">In this research, there are not significant number of studies in literature that compare the effects of CSR to non-CSR communication which makes comparing actual behaviours resulting from both campaigns even more problematic to assess. </w:t>
      </w:r>
      <w:r w:rsidR="00A96566" w:rsidRPr="00E47283">
        <w:rPr>
          <w:rFonts w:asciiTheme="majorBidi" w:hAnsiTheme="majorBidi" w:cstheme="majorBidi"/>
          <w:sz w:val="24"/>
          <w:szCs w:val="24"/>
        </w:rPr>
        <w:t>Even though purchase intentions may be imperfect predictors of actual purchase behaviour, there</w:t>
      </w:r>
      <w:r w:rsidR="00D1667E">
        <w:rPr>
          <w:rFonts w:asciiTheme="majorBidi" w:hAnsiTheme="majorBidi" w:cstheme="majorBidi"/>
          <w:sz w:val="24"/>
          <w:szCs w:val="24"/>
        </w:rPr>
        <w:t xml:space="preserve"> is a</w:t>
      </w:r>
      <w:r w:rsidR="00C55DE1" w:rsidRPr="00E47283">
        <w:rPr>
          <w:rFonts w:asciiTheme="majorBidi" w:hAnsiTheme="majorBidi" w:cstheme="majorBidi"/>
          <w:sz w:val="24"/>
          <w:szCs w:val="24"/>
        </w:rPr>
        <w:t>n ample</w:t>
      </w:r>
      <w:r w:rsidR="003A7CDB">
        <w:rPr>
          <w:rFonts w:asciiTheme="majorBidi" w:hAnsiTheme="majorBidi" w:cstheme="majorBidi"/>
          <w:sz w:val="24"/>
          <w:szCs w:val="24"/>
        </w:rPr>
        <w:t xml:space="preserve"> number</w:t>
      </w:r>
      <w:r w:rsidR="00270BC2" w:rsidRPr="00E47283">
        <w:rPr>
          <w:rFonts w:asciiTheme="majorBidi" w:hAnsiTheme="majorBidi" w:cstheme="majorBidi"/>
          <w:sz w:val="24"/>
          <w:szCs w:val="24"/>
        </w:rPr>
        <w:t xml:space="preserve"> of researchers</w:t>
      </w:r>
      <w:r w:rsidR="003A7CDB">
        <w:rPr>
          <w:rFonts w:asciiTheme="majorBidi" w:hAnsiTheme="majorBidi" w:cstheme="majorBidi"/>
          <w:sz w:val="24"/>
          <w:szCs w:val="24"/>
        </w:rPr>
        <w:t xml:space="preserve"> who </w:t>
      </w:r>
      <w:r w:rsidR="00270BC2" w:rsidRPr="00E47283">
        <w:rPr>
          <w:rFonts w:asciiTheme="majorBidi" w:hAnsiTheme="majorBidi" w:cstheme="majorBidi"/>
          <w:sz w:val="24"/>
          <w:szCs w:val="24"/>
        </w:rPr>
        <w:t xml:space="preserve">found that </w:t>
      </w:r>
      <w:r w:rsidR="00270BC2" w:rsidRPr="00E60DA5">
        <w:rPr>
          <w:rFonts w:asciiTheme="majorBidi" w:hAnsiTheme="majorBidi" w:cstheme="majorBidi"/>
          <w:sz w:val="24"/>
          <w:szCs w:val="24"/>
        </w:rPr>
        <w:t>purchase intention is projected to be the basis of predicting actual behaviour and future sales</w:t>
      </w:r>
      <w:bookmarkStart w:id="56" w:name="_Hlk133771190"/>
      <w:sdt>
        <w:sdtPr>
          <w:rPr>
            <w:rFonts w:asciiTheme="majorBidi" w:hAnsiTheme="majorBidi" w:cstheme="majorBidi"/>
            <w:sz w:val="24"/>
            <w:szCs w:val="24"/>
          </w:rPr>
          <w:id w:val="1404097539"/>
          <w:citation/>
        </w:sdtPr>
        <w:sdtContent>
          <w:r w:rsidR="00270BC2" w:rsidRPr="00E47283">
            <w:rPr>
              <w:rFonts w:asciiTheme="majorBidi" w:hAnsiTheme="majorBidi" w:cstheme="majorBidi"/>
              <w:sz w:val="24"/>
              <w:szCs w:val="24"/>
            </w:rPr>
            <w:fldChar w:fldCharType="begin"/>
          </w:r>
          <w:r w:rsidR="00270BC2" w:rsidRPr="00E47283">
            <w:rPr>
              <w:rFonts w:asciiTheme="majorBidi" w:hAnsiTheme="majorBidi" w:cstheme="majorBidi"/>
              <w:sz w:val="24"/>
              <w:szCs w:val="24"/>
            </w:rPr>
            <w:instrText xml:space="preserve"> CITATION Mar181 \l 2057  \m Mor14 \m Par21</w:instrText>
          </w:r>
          <w:r w:rsidR="00270BC2" w:rsidRPr="00E47283">
            <w:rPr>
              <w:rFonts w:asciiTheme="majorBidi" w:hAnsiTheme="majorBidi" w:cstheme="majorBidi"/>
              <w:sz w:val="24"/>
              <w:szCs w:val="24"/>
            </w:rPr>
            <w:fldChar w:fldCharType="separate"/>
          </w:r>
          <w:r w:rsidR="00270BC2" w:rsidRPr="00E47283">
            <w:rPr>
              <w:rFonts w:asciiTheme="majorBidi" w:hAnsiTheme="majorBidi" w:cstheme="majorBidi"/>
              <w:noProof/>
              <w:sz w:val="24"/>
              <w:szCs w:val="24"/>
            </w:rPr>
            <w:t xml:space="preserve"> (Mar</w:t>
          </w:r>
          <w:r w:rsidR="00270BC2" w:rsidRPr="00460517">
            <w:rPr>
              <w:rFonts w:asciiTheme="majorBidi" w:hAnsiTheme="majorBidi" w:cstheme="majorBidi"/>
              <w:noProof/>
              <w:sz w:val="24"/>
              <w:szCs w:val="24"/>
            </w:rPr>
            <w:t>ti</w:t>
          </w:r>
          <w:r w:rsidR="00270BC2" w:rsidRPr="00E47283">
            <w:rPr>
              <w:rFonts w:asciiTheme="majorBidi" w:hAnsiTheme="majorBidi" w:cstheme="majorBidi"/>
              <w:noProof/>
              <w:sz w:val="24"/>
              <w:szCs w:val="24"/>
            </w:rPr>
            <w:t>ns, Costa, Oliveira, Gonçalves, &amp; Branco, 2018; Morwitz, 2014; Parkularasa &amp; Andrew, 2021)</w:t>
          </w:r>
          <w:r w:rsidR="00270BC2" w:rsidRPr="00E47283">
            <w:rPr>
              <w:rFonts w:asciiTheme="majorBidi" w:hAnsiTheme="majorBidi" w:cstheme="majorBidi"/>
              <w:sz w:val="24"/>
              <w:szCs w:val="24"/>
            </w:rPr>
            <w:fldChar w:fldCharType="end"/>
          </w:r>
        </w:sdtContent>
      </w:sdt>
      <w:r w:rsidR="00270BC2" w:rsidRPr="00E47283">
        <w:rPr>
          <w:rFonts w:asciiTheme="majorBidi" w:hAnsiTheme="majorBidi" w:cstheme="majorBidi"/>
          <w:sz w:val="24"/>
          <w:szCs w:val="24"/>
        </w:rPr>
        <w:t xml:space="preserve">. </w:t>
      </w:r>
      <w:bookmarkEnd w:id="56"/>
      <w:r w:rsidR="00C55DE1" w:rsidRPr="00E47283">
        <w:rPr>
          <w:rFonts w:asciiTheme="majorBidi" w:hAnsiTheme="majorBidi" w:cstheme="majorBidi"/>
          <w:sz w:val="24"/>
          <w:szCs w:val="24"/>
        </w:rPr>
        <w:t>This is because, p</w:t>
      </w:r>
      <w:r w:rsidR="00270BC2" w:rsidRPr="00E47283">
        <w:rPr>
          <w:rFonts w:asciiTheme="majorBidi" w:hAnsiTheme="majorBidi" w:cstheme="majorBidi"/>
          <w:sz w:val="24"/>
          <w:szCs w:val="24"/>
        </w:rPr>
        <w:t xml:space="preserve">revious research found </w:t>
      </w:r>
      <w:r w:rsidR="00270BC2" w:rsidRPr="00E60DA5">
        <w:rPr>
          <w:rFonts w:asciiTheme="majorBidi" w:hAnsiTheme="majorBidi" w:cstheme="majorBidi"/>
          <w:sz w:val="24"/>
          <w:szCs w:val="24"/>
        </w:rPr>
        <w:t>a gap between consumers’ purchase intention and actual purchase behaviour</w:t>
      </w:r>
      <w:r w:rsidRPr="00E47283">
        <w:rPr>
          <w:rFonts w:asciiTheme="majorBidi" w:hAnsiTheme="majorBidi" w:cstheme="majorBidi"/>
          <w:sz w:val="24"/>
          <w:szCs w:val="24"/>
        </w:rPr>
        <w:t xml:space="preserve"> </w:t>
      </w:r>
      <w:sdt>
        <w:sdtPr>
          <w:rPr>
            <w:rFonts w:asciiTheme="majorBidi" w:hAnsiTheme="majorBidi" w:cstheme="majorBidi"/>
            <w:sz w:val="24"/>
            <w:szCs w:val="24"/>
          </w:rPr>
          <w:id w:val="-1246491136"/>
          <w:citation/>
        </w:sdtPr>
        <w:sdtContent>
          <w:r w:rsidRPr="00E47283">
            <w:rPr>
              <w:rFonts w:asciiTheme="majorBidi" w:hAnsiTheme="majorBidi" w:cstheme="majorBidi"/>
              <w:sz w:val="24"/>
              <w:szCs w:val="24"/>
            </w:rPr>
            <w:fldChar w:fldCharType="begin"/>
          </w:r>
          <w:r w:rsidRPr="00E47283">
            <w:rPr>
              <w:rFonts w:asciiTheme="majorBidi" w:hAnsiTheme="majorBidi" w:cstheme="majorBidi"/>
              <w:sz w:val="24"/>
              <w:szCs w:val="24"/>
            </w:rPr>
            <w:instrText xml:space="preserve"> CITATION Che10 \l 2057  \m Ver08 \m Wan221</w:instrText>
          </w:r>
          <w:r w:rsidRPr="00E47283">
            <w:rPr>
              <w:rFonts w:asciiTheme="majorBidi" w:hAnsiTheme="majorBidi" w:cstheme="majorBidi"/>
              <w:sz w:val="24"/>
              <w:szCs w:val="24"/>
            </w:rPr>
            <w:fldChar w:fldCharType="separate"/>
          </w:r>
          <w:r w:rsidRPr="00E47283">
            <w:rPr>
              <w:rFonts w:asciiTheme="majorBidi" w:hAnsiTheme="majorBidi" w:cstheme="majorBidi"/>
              <w:noProof/>
              <w:sz w:val="24"/>
              <w:szCs w:val="24"/>
            </w:rPr>
            <w:t>(Chen &amp; Chai, 2010; Vermeir &amp; Verbeke, 2008; Wang &amp; Li, 2022)</w:t>
          </w:r>
          <w:r w:rsidRPr="00E47283">
            <w:rPr>
              <w:rFonts w:asciiTheme="majorBidi" w:hAnsiTheme="majorBidi" w:cstheme="majorBidi"/>
              <w:sz w:val="24"/>
              <w:szCs w:val="24"/>
            </w:rPr>
            <w:fldChar w:fldCharType="end"/>
          </w:r>
        </w:sdtContent>
      </w:sdt>
      <w:r w:rsidR="00920A52" w:rsidRPr="00E47283">
        <w:rPr>
          <w:rFonts w:asciiTheme="majorBidi" w:hAnsiTheme="majorBidi" w:cstheme="majorBidi"/>
          <w:sz w:val="24"/>
          <w:szCs w:val="24"/>
        </w:rPr>
        <w:t xml:space="preserve"> pointing towards other dimensions and measure that affect the likelihood of the behaviour to happen</w:t>
      </w:r>
      <w:sdt>
        <w:sdtPr>
          <w:rPr>
            <w:rFonts w:asciiTheme="majorBidi" w:hAnsiTheme="majorBidi" w:cstheme="majorBidi"/>
            <w:sz w:val="24"/>
            <w:szCs w:val="24"/>
          </w:rPr>
          <w:id w:val="1937329040"/>
          <w:citation/>
        </w:sdtPr>
        <w:sdtContent>
          <w:r w:rsidR="00920A52" w:rsidRPr="00E47283">
            <w:rPr>
              <w:rFonts w:asciiTheme="majorBidi" w:hAnsiTheme="majorBidi" w:cstheme="majorBidi"/>
              <w:sz w:val="24"/>
              <w:szCs w:val="24"/>
            </w:rPr>
            <w:fldChar w:fldCharType="begin"/>
          </w:r>
          <w:r w:rsidR="00920A52" w:rsidRPr="00E47283">
            <w:rPr>
              <w:rFonts w:asciiTheme="majorBidi" w:hAnsiTheme="majorBidi" w:cstheme="majorBidi"/>
              <w:sz w:val="24"/>
              <w:szCs w:val="24"/>
            </w:rPr>
            <w:instrText xml:space="preserve">CITATION Sher16 \t  \l 2057 </w:instrText>
          </w:r>
          <w:r w:rsidR="00920A52" w:rsidRPr="00E47283">
            <w:rPr>
              <w:rFonts w:asciiTheme="majorBidi" w:hAnsiTheme="majorBidi" w:cstheme="majorBidi"/>
              <w:sz w:val="24"/>
              <w:szCs w:val="24"/>
            </w:rPr>
            <w:fldChar w:fldCharType="separate"/>
          </w:r>
          <w:r w:rsidR="00920A52" w:rsidRPr="00E47283">
            <w:rPr>
              <w:rFonts w:asciiTheme="majorBidi" w:hAnsiTheme="majorBidi" w:cstheme="majorBidi"/>
              <w:noProof/>
              <w:sz w:val="24"/>
              <w:szCs w:val="24"/>
            </w:rPr>
            <w:t xml:space="preserve"> (Sheeran &amp; Webb, 2016)</w:t>
          </w:r>
          <w:r w:rsidR="00920A52" w:rsidRPr="00E47283">
            <w:rPr>
              <w:rFonts w:asciiTheme="majorBidi" w:hAnsiTheme="majorBidi" w:cstheme="majorBidi"/>
              <w:sz w:val="24"/>
              <w:szCs w:val="24"/>
            </w:rPr>
            <w:fldChar w:fldCharType="end"/>
          </w:r>
        </w:sdtContent>
      </w:sdt>
      <w:r w:rsidR="00270BC2" w:rsidRPr="00E47283">
        <w:rPr>
          <w:rFonts w:asciiTheme="majorBidi" w:hAnsiTheme="majorBidi" w:cstheme="majorBidi"/>
          <w:sz w:val="24"/>
          <w:szCs w:val="24"/>
        </w:rPr>
        <w:t xml:space="preserve">. Inter alia, factors such as </w:t>
      </w:r>
      <w:r w:rsidR="00270BC2" w:rsidRPr="00E60DA5">
        <w:rPr>
          <w:rFonts w:asciiTheme="majorBidi" w:hAnsiTheme="majorBidi" w:cstheme="majorBidi"/>
          <w:sz w:val="24"/>
          <w:szCs w:val="24"/>
        </w:rPr>
        <w:t>product availability, prices, social factors</w:t>
      </w:r>
      <w:r w:rsidR="00024000" w:rsidRPr="00E60DA5">
        <w:rPr>
          <w:rFonts w:asciiTheme="majorBidi" w:hAnsiTheme="majorBidi" w:cstheme="majorBidi"/>
          <w:sz w:val="24"/>
          <w:szCs w:val="24"/>
        </w:rPr>
        <w:t xml:space="preserve"> and other environmental factors</w:t>
      </w:r>
      <w:r w:rsidR="00270BC2" w:rsidRPr="00E60DA5">
        <w:rPr>
          <w:rFonts w:asciiTheme="majorBidi" w:hAnsiTheme="majorBidi" w:cstheme="majorBidi"/>
          <w:sz w:val="24"/>
          <w:szCs w:val="24"/>
        </w:rPr>
        <w:t xml:space="preserve"> cause discrepancies between purchase intention and actual purchase behaviour</w:t>
      </w:r>
      <w:r w:rsidR="00270BC2" w:rsidRPr="00E47283">
        <w:rPr>
          <w:rFonts w:asciiTheme="majorBidi" w:hAnsiTheme="majorBidi" w:cstheme="majorBidi"/>
          <w:sz w:val="24"/>
          <w:szCs w:val="24"/>
        </w:rPr>
        <w:t xml:space="preserve"> </w:t>
      </w:r>
      <w:sdt>
        <w:sdtPr>
          <w:rPr>
            <w:rFonts w:asciiTheme="majorBidi" w:hAnsiTheme="majorBidi" w:cstheme="majorBidi"/>
            <w:sz w:val="24"/>
            <w:szCs w:val="24"/>
          </w:rPr>
          <w:id w:val="-985937938"/>
          <w:citation/>
        </w:sdtPr>
        <w:sdtContent>
          <w:r w:rsidRPr="00E47283">
            <w:rPr>
              <w:rFonts w:asciiTheme="majorBidi" w:hAnsiTheme="majorBidi" w:cstheme="majorBidi"/>
              <w:sz w:val="24"/>
              <w:szCs w:val="24"/>
            </w:rPr>
            <w:fldChar w:fldCharType="begin"/>
          </w:r>
          <w:r w:rsidRPr="00E47283">
            <w:rPr>
              <w:rFonts w:asciiTheme="majorBidi" w:hAnsiTheme="majorBidi" w:cstheme="majorBidi"/>
              <w:sz w:val="24"/>
              <w:szCs w:val="24"/>
            </w:rPr>
            <w:instrText xml:space="preserve"> CITATION Jos15 \l 2057  \m Wan221</w:instrText>
          </w:r>
          <w:r w:rsidRPr="00E47283">
            <w:rPr>
              <w:rFonts w:asciiTheme="majorBidi" w:hAnsiTheme="majorBidi" w:cstheme="majorBidi"/>
              <w:sz w:val="24"/>
              <w:szCs w:val="24"/>
            </w:rPr>
            <w:fldChar w:fldCharType="separate"/>
          </w:r>
          <w:r w:rsidRPr="00E47283">
            <w:rPr>
              <w:rFonts w:asciiTheme="majorBidi" w:hAnsiTheme="majorBidi" w:cstheme="majorBidi"/>
              <w:noProof/>
              <w:sz w:val="24"/>
              <w:szCs w:val="24"/>
            </w:rPr>
            <w:t>(Joshi &amp; Rahman, 2015; Wang &amp; Li, 2022)</w:t>
          </w:r>
          <w:r w:rsidRPr="00E47283">
            <w:rPr>
              <w:rFonts w:asciiTheme="majorBidi" w:hAnsiTheme="majorBidi" w:cstheme="majorBidi"/>
              <w:sz w:val="24"/>
              <w:szCs w:val="24"/>
            </w:rPr>
            <w:fldChar w:fldCharType="end"/>
          </w:r>
        </w:sdtContent>
      </w:sdt>
      <w:r w:rsidR="00920A52" w:rsidRPr="00E47283">
        <w:rPr>
          <w:rFonts w:asciiTheme="majorBidi" w:hAnsiTheme="majorBidi" w:cstheme="majorBidi"/>
          <w:sz w:val="24"/>
          <w:szCs w:val="24"/>
        </w:rPr>
        <w:t>.</w:t>
      </w:r>
      <w:r w:rsidR="00960B1E" w:rsidRPr="00E47283">
        <w:rPr>
          <w:rFonts w:asciiTheme="majorBidi" w:hAnsiTheme="majorBidi" w:cstheme="majorBidi"/>
          <w:sz w:val="24"/>
          <w:szCs w:val="24"/>
        </w:rPr>
        <w:t xml:space="preserve"> Many studies </w:t>
      </w:r>
      <w:r w:rsidR="003A7CDB">
        <w:rPr>
          <w:rFonts w:asciiTheme="majorBidi" w:hAnsiTheme="majorBidi" w:cstheme="majorBidi"/>
          <w:sz w:val="24"/>
          <w:szCs w:val="24"/>
        </w:rPr>
        <w:t xml:space="preserve">have </w:t>
      </w:r>
      <w:r w:rsidR="00960B1E" w:rsidRPr="00E47283">
        <w:rPr>
          <w:rFonts w:asciiTheme="majorBidi" w:hAnsiTheme="majorBidi" w:cstheme="majorBidi"/>
          <w:sz w:val="24"/>
          <w:szCs w:val="24"/>
        </w:rPr>
        <w:t>measured the difference in purchase intentions between high and low involvement products</w:t>
      </w:r>
      <w:r w:rsidR="00E47283" w:rsidRPr="00E47283">
        <w:rPr>
          <w:rFonts w:asciiTheme="majorBidi" w:hAnsiTheme="majorBidi" w:cstheme="majorBidi"/>
          <w:sz w:val="24"/>
          <w:szCs w:val="24"/>
        </w:rPr>
        <w:t xml:space="preserve"> </w:t>
      </w:r>
      <w:sdt>
        <w:sdtPr>
          <w:rPr>
            <w:rFonts w:asciiTheme="majorBidi" w:hAnsiTheme="majorBidi" w:cstheme="majorBidi"/>
            <w:sz w:val="24"/>
            <w:szCs w:val="24"/>
          </w:rPr>
          <w:id w:val="-1226362655"/>
          <w:citation/>
        </w:sdtPr>
        <w:sdtContent>
          <w:r w:rsidR="00E47283" w:rsidRPr="00E47283">
            <w:rPr>
              <w:rFonts w:asciiTheme="majorBidi" w:hAnsiTheme="majorBidi" w:cstheme="majorBidi"/>
              <w:sz w:val="24"/>
              <w:szCs w:val="24"/>
            </w:rPr>
            <w:fldChar w:fldCharType="begin"/>
          </w:r>
          <w:r w:rsidR="00E47283" w:rsidRPr="00E47283">
            <w:rPr>
              <w:rFonts w:asciiTheme="majorBidi" w:hAnsiTheme="majorBidi" w:cstheme="majorBidi"/>
              <w:sz w:val="24"/>
              <w:szCs w:val="24"/>
            </w:rPr>
            <w:instrText>CITATION Cha16 \l 2057  \m Dro14 \m Szy21</w:instrText>
          </w:r>
          <w:r w:rsidR="00E47283" w:rsidRPr="00E47283">
            <w:rPr>
              <w:rFonts w:asciiTheme="majorBidi" w:hAnsiTheme="majorBidi" w:cstheme="majorBidi"/>
              <w:sz w:val="24"/>
              <w:szCs w:val="24"/>
            </w:rPr>
            <w:fldChar w:fldCharType="separate"/>
          </w:r>
          <w:r w:rsidR="00E47283" w:rsidRPr="00E47283">
            <w:rPr>
              <w:rFonts w:asciiTheme="majorBidi" w:hAnsiTheme="majorBidi" w:cstheme="majorBidi"/>
              <w:noProof/>
              <w:sz w:val="24"/>
              <w:szCs w:val="24"/>
            </w:rPr>
            <w:t>(Chan, K., &amp; Y., 2017; Drossos, Kokkinaki, Giaglis , &amp; Fouskas, 2014; Szymkowiak, Gaczek, &amp; Padma, 2021)</w:t>
          </w:r>
          <w:r w:rsidR="00E47283" w:rsidRPr="00E47283">
            <w:rPr>
              <w:rFonts w:asciiTheme="majorBidi" w:hAnsiTheme="majorBidi" w:cstheme="majorBidi"/>
              <w:sz w:val="24"/>
              <w:szCs w:val="24"/>
            </w:rPr>
            <w:fldChar w:fldCharType="end"/>
          </w:r>
        </w:sdtContent>
      </w:sdt>
      <w:r w:rsidR="00E47283" w:rsidRPr="00E47283">
        <w:rPr>
          <w:rFonts w:asciiTheme="majorBidi" w:hAnsiTheme="majorBidi" w:cstheme="majorBidi"/>
          <w:sz w:val="24"/>
          <w:szCs w:val="24"/>
        </w:rPr>
        <w:t xml:space="preserve">. </w:t>
      </w:r>
      <w:r w:rsidR="00960B1E" w:rsidRPr="00E47283">
        <w:rPr>
          <w:rFonts w:asciiTheme="majorBidi" w:hAnsiTheme="majorBidi" w:cstheme="majorBidi"/>
          <w:sz w:val="24"/>
          <w:szCs w:val="24"/>
        </w:rPr>
        <w:t>For instance, one study on found that a mobile text message ad on a low involvement product resulted in higher purchase intentions than high involvement products</w:t>
      </w:r>
      <w:sdt>
        <w:sdtPr>
          <w:rPr>
            <w:rFonts w:asciiTheme="majorBidi" w:hAnsiTheme="majorBidi" w:cstheme="majorBidi"/>
            <w:sz w:val="24"/>
            <w:szCs w:val="24"/>
          </w:rPr>
          <w:id w:val="-1332135163"/>
          <w:citation/>
        </w:sdtPr>
        <w:sdtContent>
          <w:r w:rsidR="00B67D4A" w:rsidRPr="00E47283">
            <w:rPr>
              <w:rFonts w:asciiTheme="majorBidi" w:hAnsiTheme="majorBidi" w:cstheme="majorBidi"/>
              <w:sz w:val="24"/>
              <w:szCs w:val="24"/>
            </w:rPr>
            <w:fldChar w:fldCharType="begin"/>
          </w:r>
          <w:r w:rsidR="00B67D4A" w:rsidRPr="00E47283">
            <w:rPr>
              <w:rFonts w:asciiTheme="majorBidi" w:hAnsiTheme="majorBidi" w:cstheme="majorBidi"/>
              <w:sz w:val="24"/>
              <w:szCs w:val="24"/>
            </w:rPr>
            <w:instrText xml:space="preserve"> CITATION Dro14 \l 2057 </w:instrText>
          </w:r>
          <w:r w:rsidR="00B67D4A" w:rsidRPr="00E47283">
            <w:rPr>
              <w:rFonts w:asciiTheme="majorBidi" w:hAnsiTheme="majorBidi" w:cstheme="majorBidi"/>
              <w:sz w:val="24"/>
              <w:szCs w:val="24"/>
            </w:rPr>
            <w:fldChar w:fldCharType="separate"/>
          </w:r>
          <w:r w:rsidR="00B67D4A" w:rsidRPr="00E47283">
            <w:rPr>
              <w:rFonts w:asciiTheme="majorBidi" w:hAnsiTheme="majorBidi" w:cstheme="majorBidi"/>
              <w:noProof/>
              <w:sz w:val="24"/>
              <w:szCs w:val="24"/>
            </w:rPr>
            <w:t xml:space="preserve"> (Drossos, Kokkinaki, Giaglis , &amp; Fouskas, 2014)</w:t>
          </w:r>
          <w:r w:rsidR="00B67D4A" w:rsidRPr="00E47283">
            <w:rPr>
              <w:rFonts w:asciiTheme="majorBidi" w:hAnsiTheme="majorBidi" w:cstheme="majorBidi"/>
              <w:sz w:val="24"/>
              <w:szCs w:val="24"/>
            </w:rPr>
            <w:fldChar w:fldCharType="end"/>
          </w:r>
        </w:sdtContent>
      </w:sdt>
      <w:r w:rsidR="00960B1E" w:rsidRPr="00E47283">
        <w:rPr>
          <w:rFonts w:asciiTheme="majorBidi" w:hAnsiTheme="majorBidi" w:cstheme="majorBidi"/>
          <w:sz w:val="24"/>
          <w:szCs w:val="24"/>
        </w:rPr>
        <w:t xml:space="preserve">. This indicates that even low involvement products </w:t>
      </w:r>
      <w:r w:rsidR="00B2095B" w:rsidRPr="00E47283">
        <w:rPr>
          <w:rFonts w:asciiTheme="majorBidi" w:hAnsiTheme="majorBidi" w:cstheme="majorBidi"/>
          <w:sz w:val="24"/>
          <w:szCs w:val="24"/>
        </w:rPr>
        <w:t>would have prior purchase intentions from consumers</w:t>
      </w:r>
      <w:sdt>
        <w:sdtPr>
          <w:rPr>
            <w:rFonts w:asciiTheme="majorBidi" w:hAnsiTheme="majorBidi" w:cstheme="majorBidi"/>
            <w:sz w:val="24"/>
            <w:szCs w:val="24"/>
          </w:rPr>
          <w:id w:val="-1307779412"/>
          <w:citation/>
        </w:sdtPr>
        <w:sdtContent>
          <w:r w:rsidR="0044200F" w:rsidRPr="00E47283">
            <w:rPr>
              <w:rFonts w:asciiTheme="majorBidi" w:hAnsiTheme="majorBidi" w:cstheme="majorBidi"/>
              <w:sz w:val="24"/>
              <w:szCs w:val="24"/>
            </w:rPr>
            <w:fldChar w:fldCharType="begin"/>
          </w:r>
          <w:r w:rsidR="0044200F" w:rsidRPr="00E47283">
            <w:rPr>
              <w:rFonts w:asciiTheme="majorBidi" w:hAnsiTheme="majorBidi" w:cstheme="majorBidi"/>
              <w:sz w:val="24"/>
              <w:szCs w:val="24"/>
            </w:rPr>
            <w:instrText xml:space="preserve"> CITATION Coş17 \l 2057 </w:instrText>
          </w:r>
          <w:r w:rsidR="00E47283" w:rsidRPr="00E47283">
            <w:rPr>
              <w:rFonts w:asciiTheme="majorBidi" w:hAnsiTheme="majorBidi" w:cstheme="majorBidi"/>
              <w:sz w:val="24"/>
              <w:szCs w:val="24"/>
            </w:rPr>
            <w:instrText xml:space="preserve"> \m Dro14</w:instrText>
          </w:r>
          <w:r w:rsidR="0044200F" w:rsidRPr="00E47283">
            <w:rPr>
              <w:rFonts w:asciiTheme="majorBidi" w:hAnsiTheme="majorBidi" w:cstheme="majorBidi"/>
              <w:sz w:val="24"/>
              <w:szCs w:val="24"/>
            </w:rPr>
            <w:fldChar w:fldCharType="separate"/>
          </w:r>
          <w:r w:rsidR="00E47283" w:rsidRPr="00E47283">
            <w:rPr>
              <w:rFonts w:asciiTheme="majorBidi" w:hAnsiTheme="majorBidi" w:cstheme="majorBidi"/>
              <w:noProof/>
              <w:sz w:val="24"/>
              <w:szCs w:val="24"/>
            </w:rPr>
            <w:t xml:space="preserve"> (Coşkun, Vocino, &amp; Polonsky, 2017; Drossos, Kokkinaki, Giaglis , &amp; Fouskas, 2014)</w:t>
          </w:r>
          <w:r w:rsidR="0044200F" w:rsidRPr="00E47283">
            <w:rPr>
              <w:rFonts w:asciiTheme="majorBidi" w:hAnsiTheme="majorBidi" w:cstheme="majorBidi"/>
              <w:sz w:val="24"/>
              <w:szCs w:val="24"/>
            </w:rPr>
            <w:fldChar w:fldCharType="end"/>
          </w:r>
        </w:sdtContent>
      </w:sdt>
      <w:r w:rsidR="00B2095B" w:rsidRPr="00E47283">
        <w:rPr>
          <w:rFonts w:asciiTheme="majorBidi" w:hAnsiTheme="majorBidi" w:cstheme="majorBidi"/>
          <w:sz w:val="24"/>
          <w:szCs w:val="24"/>
        </w:rPr>
        <w:t>.</w:t>
      </w:r>
      <w:r w:rsidR="00A96566" w:rsidRPr="00E47283">
        <w:rPr>
          <w:rFonts w:asciiTheme="majorBidi" w:hAnsiTheme="majorBidi" w:cstheme="majorBidi"/>
          <w:sz w:val="24"/>
          <w:szCs w:val="24"/>
        </w:rPr>
        <w:t xml:space="preserve"> Thus, relying on intentions to forecast actual purchase behaviour </w:t>
      </w:r>
      <w:r w:rsidR="003A7CDB">
        <w:rPr>
          <w:rFonts w:asciiTheme="majorBidi" w:hAnsiTheme="majorBidi" w:cstheme="majorBidi"/>
          <w:sz w:val="24"/>
          <w:szCs w:val="24"/>
        </w:rPr>
        <w:t>is</w:t>
      </w:r>
      <w:r w:rsidR="00A96566" w:rsidRPr="00E47283">
        <w:rPr>
          <w:rFonts w:asciiTheme="majorBidi" w:hAnsiTheme="majorBidi" w:cstheme="majorBidi"/>
          <w:sz w:val="24"/>
          <w:szCs w:val="24"/>
        </w:rPr>
        <w:t xml:space="preserve"> based on strong theoretical and empirical </w:t>
      </w:r>
      <w:r w:rsidR="00A96566" w:rsidRPr="000854A2">
        <w:rPr>
          <w:rFonts w:asciiTheme="majorBidi" w:hAnsiTheme="majorBidi" w:cstheme="majorBidi"/>
          <w:sz w:val="24"/>
          <w:szCs w:val="24"/>
        </w:rPr>
        <w:t xml:space="preserve">predictions </w:t>
      </w:r>
      <w:sdt>
        <w:sdtPr>
          <w:rPr>
            <w:rFonts w:asciiTheme="majorBidi" w:hAnsiTheme="majorBidi" w:cstheme="majorBidi"/>
            <w:sz w:val="24"/>
            <w:szCs w:val="24"/>
          </w:rPr>
          <w:id w:val="-816646357"/>
          <w:citation/>
        </w:sdtPr>
        <w:sdtContent>
          <w:r w:rsidR="00A96566" w:rsidRPr="000854A2">
            <w:rPr>
              <w:rFonts w:asciiTheme="majorBidi" w:hAnsiTheme="majorBidi" w:cstheme="majorBidi"/>
              <w:sz w:val="24"/>
              <w:szCs w:val="24"/>
            </w:rPr>
            <w:fldChar w:fldCharType="begin"/>
          </w:r>
          <w:r w:rsidR="00A96566">
            <w:rPr>
              <w:rFonts w:asciiTheme="majorBidi" w:hAnsiTheme="majorBidi" w:cstheme="majorBidi"/>
              <w:sz w:val="24"/>
              <w:szCs w:val="24"/>
            </w:rPr>
            <w:instrText>CITATION Arm10 \m Mor12 \l 2057  \m Peñ20</w:instrText>
          </w:r>
          <w:r w:rsidR="00A96566" w:rsidRPr="000854A2">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(Armitage &amp; Conner, 2010; Morwitz, 2012; Peña-García, Gil-Saura, Rodríguez-Orejuela, &amp; Siqueira-Junior, 2020)</w:t>
          </w:r>
          <w:r w:rsidR="00A96566" w:rsidRPr="000854A2">
            <w:rPr>
              <w:rFonts w:asciiTheme="majorBidi" w:hAnsiTheme="majorBidi" w:cstheme="majorBidi"/>
              <w:sz w:val="24"/>
              <w:szCs w:val="24"/>
            </w:rPr>
            <w:fldChar w:fldCharType="end"/>
          </w:r>
        </w:sdtContent>
      </w:sdt>
      <w:r w:rsidR="00A96566" w:rsidRPr="000854A2">
        <w:rPr>
          <w:rFonts w:asciiTheme="majorBidi" w:hAnsiTheme="majorBidi" w:cstheme="majorBidi"/>
          <w:sz w:val="24"/>
          <w:szCs w:val="24"/>
        </w:rPr>
        <w:t>. Hence, this study will focus on measuring purchase intentions</w:t>
      </w:r>
      <w:r w:rsidR="00A96566">
        <w:rPr>
          <w:rFonts w:asciiTheme="majorBidi" w:hAnsiTheme="majorBidi" w:cstheme="majorBidi"/>
          <w:sz w:val="24"/>
          <w:szCs w:val="24"/>
        </w:rPr>
        <w:t xml:space="preserve"> resulting from </w:t>
      </w:r>
      <w:r w:rsidR="00A96566" w:rsidRPr="000854A2">
        <w:rPr>
          <w:rFonts w:asciiTheme="majorBidi" w:hAnsiTheme="majorBidi" w:cstheme="majorBidi"/>
          <w:sz w:val="24"/>
          <w:szCs w:val="24"/>
        </w:rPr>
        <w:t xml:space="preserve">CSR </w:t>
      </w:r>
      <w:r w:rsidR="00301C67">
        <w:rPr>
          <w:rFonts w:asciiTheme="majorBidi" w:hAnsiTheme="majorBidi" w:cstheme="majorBidi"/>
          <w:sz w:val="24"/>
          <w:szCs w:val="24"/>
        </w:rPr>
        <w:t>communication</w:t>
      </w:r>
      <w:r w:rsidR="00A96566" w:rsidRPr="000854A2">
        <w:rPr>
          <w:rFonts w:asciiTheme="majorBidi" w:hAnsiTheme="majorBidi" w:cstheme="majorBidi"/>
          <w:sz w:val="24"/>
          <w:szCs w:val="24"/>
        </w:rPr>
        <w:t xml:space="preserve">. </w:t>
      </w:r>
      <w:r w:rsidR="00A96566">
        <w:rPr>
          <w:rFonts w:asciiTheme="majorBidi" w:hAnsiTheme="majorBidi" w:cstheme="majorBidi"/>
          <w:sz w:val="24"/>
          <w:szCs w:val="24"/>
        </w:rPr>
        <w:t>More details on the theor</w:t>
      </w:r>
      <w:r w:rsidR="00301C67">
        <w:rPr>
          <w:rFonts w:asciiTheme="majorBidi" w:hAnsiTheme="majorBidi" w:cstheme="majorBidi"/>
          <w:sz w:val="24"/>
          <w:szCs w:val="24"/>
        </w:rPr>
        <w:t xml:space="preserve">ies </w:t>
      </w:r>
      <w:r w:rsidR="003A7CDB">
        <w:rPr>
          <w:rFonts w:asciiTheme="majorBidi" w:hAnsiTheme="majorBidi" w:cstheme="majorBidi"/>
          <w:sz w:val="24"/>
          <w:szCs w:val="24"/>
        </w:rPr>
        <w:t xml:space="preserve">are </w:t>
      </w:r>
      <w:r w:rsidR="00A96566">
        <w:rPr>
          <w:rFonts w:asciiTheme="majorBidi" w:hAnsiTheme="majorBidi" w:cstheme="majorBidi"/>
          <w:sz w:val="24"/>
          <w:szCs w:val="24"/>
        </w:rPr>
        <w:t>applied to analyse the results of the study i</w:t>
      </w:r>
      <w:r w:rsidR="00301C67">
        <w:rPr>
          <w:rFonts w:asciiTheme="majorBidi" w:hAnsiTheme="majorBidi" w:cstheme="majorBidi"/>
          <w:sz w:val="24"/>
          <w:szCs w:val="24"/>
        </w:rPr>
        <w:t>s</w:t>
      </w:r>
      <w:r w:rsidR="00A96566">
        <w:rPr>
          <w:rFonts w:asciiTheme="majorBidi" w:hAnsiTheme="majorBidi" w:cstheme="majorBidi"/>
          <w:sz w:val="24"/>
          <w:szCs w:val="24"/>
        </w:rPr>
        <w:t xml:space="preserve"> provided in chapter four. </w:t>
      </w:r>
    </w:p>
    <w:p w14:paraId="6C067492" w14:textId="77777777" w:rsidR="00A96566" w:rsidRDefault="00A96566" w:rsidP="00D4553A">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Actually, there are many studies and meta-analyses that </w:t>
      </w:r>
      <w:r w:rsidRPr="00E60DA5">
        <w:rPr>
          <w:rFonts w:asciiTheme="majorBidi" w:hAnsiTheme="majorBidi" w:cstheme="majorBidi"/>
          <w:sz w:val="24"/>
          <w:szCs w:val="24"/>
        </w:rPr>
        <w:t>conclude that CSR communication has a positive impact on word-of-mouth and purchase intention</w:t>
      </w:r>
      <w:sdt>
        <w:sdtPr>
          <w:rPr>
            <w:rFonts w:asciiTheme="majorBidi" w:hAnsiTheme="majorBidi" w:cstheme="majorBidi"/>
            <w:sz w:val="24"/>
            <w:szCs w:val="24"/>
          </w:rPr>
          <w:id w:val="-1863504216"/>
          <w:citation/>
        </w:sdtPr>
        <w:sdtContent>
          <w:r w:rsidRPr="00820BF4">
            <w:rPr>
              <w:rFonts w:asciiTheme="majorBidi" w:hAnsiTheme="majorBidi" w:cstheme="majorBidi"/>
              <w:sz w:val="24"/>
              <w:szCs w:val="24"/>
            </w:rPr>
            <w:fldChar w:fldCharType="begin"/>
          </w:r>
          <w:r>
            <w:rPr>
              <w:rFonts w:asciiTheme="majorBidi" w:hAnsiTheme="majorBidi" w:cstheme="majorBidi"/>
              <w:sz w:val="24"/>
              <w:szCs w:val="24"/>
            </w:rPr>
            <w:instrText xml:space="preserve">CITATION Guo17 \m Ism20 \m Sin19 \l 2057 </w:instrText>
          </w:r>
          <w:r w:rsidRPr="00820BF4">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(Guo &amp; Zhou, 2017; Ismagilova E. , Slade, Rana, &amp; Dwived, 2020; Singhal, Jena, &amp; Tripathy, 2019)</w:t>
          </w:r>
          <w:r w:rsidRPr="00820BF4">
            <w:rPr>
              <w:rFonts w:asciiTheme="majorBidi" w:hAnsiTheme="majorBidi" w:cstheme="majorBidi"/>
              <w:sz w:val="24"/>
              <w:szCs w:val="24"/>
            </w:rPr>
            <w:fldChar w:fldCharType="end"/>
          </w:r>
        </w:sdtContent>
      </w:sdt>
      <w:r w:rsidRPr="00820BF4">
        <w:rPr>
          <w:rFonts w:asciiTheme="majorBidi" w:hAnsiTheme="majorBidi" w:cstheme="majorBidi"/>
          <w:sz w:val="24"/>
          <w:szCs w:val="24"/>
        </w:rPr>
        <w:t>.</w:t>
      </w:r>
      <w:r>
        <w:rPr>
          <w:rFonts w:asciiTheme="majorBidi" w:hAnsiTheme="majorBidi" w:cstheme="majorBidi"/>
          <w:sz w:val="24"/>
          <w:szCs w:val="24"/>
        </w:rPr>
        <w:t xml:space="preserve"> In fact, the positive framing of information in the CSR ad, provokes favourable memory association in the minds of consumers that elicits purchase intention</w:t>
      </w:r>
      <w:sdt>
        <w:sdtPr>
          <w:rPr>
            <w:rFonts w:asciiTheme="majorBidi" w:hAnsiTheme="majorBidi" w:cstheme="majorBidi"/>
            <w:sz w:val="24"/>
            <w:szCs w:val="24"/>
          </w:rPr>
          <w:id w:val="106761817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Bar21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(Bartikowski &amp; Berens,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It seems like the impact that CSR has on consumers’ purchase intention varies from one country to another. For instance, it appears </w:t>
      </w:r>
      <w:r w:rsidRPr="00E60DA5">
        <w:rPr>
          <w:rFonts w:asciiTheme="majorBidi" w:hAnsiTheme="majorBidi" w:cstheme="majorBidi"/>
          <w:sz w:val="24"/>
          <w:szCs w:val="24"/>
        </w:rPr>
        <w:t xml:space="preserve">that CSR have a positive influence on consumers in an Indian </w:t>
      </w:r>
      <w:sdt>
        <w:sdtPr>
          <w:rPr>
            <w:rFonts w:asciiTheme="majorBidi" w:hAnsiTheme="majorBidi" w:cstheme="majorBidi"/>
            <w:sz w:val="24"/>
            <w:szCs w:val="24"/>
          </w:rPr>
          <w:id w:val="525371304"/>
          <w:citation/>
        </w:sdtPr>
        <w:sdtContent>
          <w:r w:rsidRPr="00E60DA5">
            <w:rPr>
              <w:rFonts w:asciiTheme="majorBidi" w:hAnsiTheme="majorBidi" w:cstheme="majorBidi"/>
              <w:sz w:val="24"/>
              <w:szCs w:val="24"/>
            </w:rPr>
            <w:fldChar w:fldCharType="begin"/>
          </w:r>
          <w:r w:rsidRPr="00E60DA5">
            <w:rPr>
              <w:rFonts w:asciiTheme="majorBidi" w:hAnsiTheme="majorBidi" w:cstheme="majorBidi"/>
              <w:sz w:val="24"/>
              <w:szCs w:val="24"/>
            </w:rPr>
            <w:instrText xml:space="preserve"> CITATION Ram19 \l 2057 </w:instrText>
          </w:r>
          <w:r w:rsidRPr="00E60DA5">
            <w:rPr>
              <w:rFonts w:asciiTheme="majorBidi" w:hAnsiTheme="majorBidi" w:cstheme="majorBidi"/>
              <w:sz w:val="24"/>
              <w:szCs w:val="24"/>
            </w:rPr>
            <w:fldChar w:fldCharType="separate"/>
          </w:r>
          <w:r w:rsidRPr="00E60DA5">
            <w:rPr>
              <w:rFonts w:asciiTheme="majorBidi" w:hAnsiTheme="majorBidi" w:cstheme="majorBidi"/>
              <w:noProof/>
              <w:sz w:val="24"/>
              <w:szCs w:val="24"/>
            </w:rPr>
            <w:t>(Ramesh, Saha, Goswami, Sekar , &amp; Dahiya, 2019)</w:t>
          </w:r>
          <w:r w:rsidRPr="00E60DA5">
            <w:rPr>
              <w:rFonts w:asciiTheme="majorBidi" w:hAnsiTheme="majorBidi" w:cstheme="majorBidi"/>
              <w:sz w:val="24"/>
              <w:szCs w:val="24"/>
            </w:rPr>
            <w:fldChar w:fldCharType="end"/>
          </w:r>
        </w:sdtContent>
      </w:sdt>
      <w:r w:rsidRPr="00E60DA5">
        <w:rPr>
          <w:rFonts w:asciiTheme="majorBidi" w:hAnsiTheme="majorBidi" w:cstheme="majorBidi"/>
          <w:sz w:val="24"/>
          <w:szCs w:val="24"/>
        </w:rPr>
        <w:t xml:space="preserve"> and Korean market</w:t>
      </w:r>
      <w:sdt>
        <w:sdtPr>
          <w:rPr>
            <w:rFonts w:asciiTheme="majorBidi" w:hAnsiTheme="majorBidi" w:cstheme="majorBidi"/>
            <w:sz w:val="24"/>
            <w:szCs w:val="24"/>
          </w:rPr>
          <w:id w:val="1763023893"/>
          <w:citation/>
        </w:sdtPr>
        <w:sdtContent>
          <w:r w:rsidRPr="00E60DA5">
            <w:rPr>
              <w:rFonts w:asciiTheme="majorBidi" w:hAnsiTheme="majorBidi" w:cstheme="majorBidi"/>
              <w:sz w:val="24"/>
              <w:szCs w:val="24"/>
            </w:rPr>
            <w:fldChar w:fldCharType="begin"/>
          </w:r>
          <w:r w:rsidRPr="00E60DA5">
            <w:rPr>
              <w:rFonts w:asciiTheme="majorBidi" w:hAnsiTheme="majorBidi" w:cstheme="majorBidi"/>
              <w:sz w:val="24"/>
              <w:szCs w:val="24"/>
            </w:rPr>
            <w:instrText xml:space="preserve"> CITATION Kim16 \l 2057 </w:instrText>
          </w:r>
          <w:r w:rsidRPr="00E60DA5">
            <w:rPr>
              <w:rFonts w:asciiTheme="majorBidi" w:hAnsiTheme="majorBidi" w:cstheme="majorBidi"/>
              <w:sz w:val="24"/>
              <w:szCs w:val="24"/>
            </w:rPr>
            <w:fldChar w:fldCharType="separate"/>
          </w:r>
          <w:r w:rsidRPr="00E60DA5">
            <w:rPr>
              <w:rFonts w:asciiTheme="majorBidi" w:hAnsiTheme="majorBidi" w:cstheme="majorBidi"/>
              <w:noProof/>
              <w:sz w:val="24"/>
              <w:szCs w:val="24"/>
            </w:rPr>
            <w:t xml:space="preserve"> (Kim &amp; Bae, 2016)</w:t>
          </w:r>
          <w:r w:rsidRPr="00E60DA5">
            <w:rPr>
              <w:rFonts w:asciiTheme="majorBidi" w:hAnsiTheme="majorBidi" w:cstheme="majorBidi"/>
              <w:sz w:val="24"/>
              <w:szCs w:val="24"/>
            </w:rPr>
            <w:fldChar w:fldCharType="end"/>
          </w:r>
        </w:sdtContent>
      </w:sdt>
      <w:r w:rsidRPr="00E60DA5">
        <w:rPr>
          <w:rFonts w:asciiTheme="majorBidi" w:hAnsiTheme="majorBidi" w:cstheme="majorBidi"/>
          <w:sz w:val="24"/>
          <w:szCs w:val="24"/>
        </w:rPr>
        <w:t>; whereas, CSR may not have the same favourable effect in the American Market</w:t>
      </w:r>
      <w:sdt>
        <w:sdtPr>
          <w:rPr>
            <w:rFonts w:asciiTheme="majorBidi" w:hAnsiTheme="majorBidi" w:cstheme="majorBidi"/>
            <w:sz w:val="24"/>
            <w:szCs w:val="24"/>
          </w:rPr>
          <w:id w:val="-103488448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Kim16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(Kim &amp; Bae, 2016)</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Hence, to complete the objectives of this study and expand the CSR literature in the MENA region, every country with its unique specifications needs to be studied. Thus, I seek to answer the following hypothesis: </w:t>
      </w:r>
    </w:p>
    <w:p w14:paraId="4EB30517" w14:textId="6D9355D4" w:rsidR="00A96566" w:rsidRDefault="00575AE6" w:rsidP="00460517">
      <w:pPr>
        <w:pStyle w:val="NormalWeb"/>
        <w:spacing w:before="0" w:beforeAutospacing="0" w:after="0" w:afterAutospacing="0" w:line="480" w:lineRule="auto"/>
        <w:rPr>
          <w:rFonts w:asciiTheme="majorBidi" w:eastAsia="Arial" w:hAnsiTheme="majorBidi" w:cstheme="majorBidi"/>
        </w:rPr>
      </w:pPr>
      <w:bookmarkStart w:id="57" w:name="_Hlk136376484"/>
      <w:bookmarkStart w:id="58" w:name="_Hlk145537297"/>
      <w:bookmarkStart w:id="59" w:name="_Hlk136609996"/>
      <w:r>
        <w:rPr>
          <w:rFonts w:asciiTheme="majorBidi" w:eastAsia="Arial" w:hAnsiTheme="majorBidi" w:cstheme="majorBidi"/>
        </w:rPr>
        <w:tab/>
      </w:r>
      <w:bookmarkStart w:id="60" w:name="_Hlk145537444"/>
      <w:r w:rsidR="00A96566">
        <w:rPr>
          <w:rFonts w:asciiTheme="majorBidi" w:eastAsia="Arial" w:hAnsiTheme="majorBidi" w:cstheme="majorBidi"/>
        </w:rPr>
        <w:t>H</w:t>
      </w:r>
      <w:r w:rsidR="00287490">
        <w:rPr>
          <w:rFonts w:asciiTheme="majorBidi" w:eastAsia="Arial" w:hAnsiTheme="majorBidi" w:cstheme="majorBidi"/>
        </w:rPr>
        <w:t>6</w:t>
      </w:r>
      <w:r w:rsidR="00A96566">
        <w:rPr>
          <w:rFonts w:asciiTheme="majorBidi" w:eastAsia="Arial" w:hAnsiTheme="majorBidi" w:cstheme="majorBidi"/>
        </w:rPr>
        <w:t xml:space="preserve">: </w:t>
      </w:r>
      <w:r w:rsidR="00A96566" w:rsidRPr="008D75D3">
        <w:rPr>
          <w:rFonts w:asciiTheme="majorBidi" w:eastAsia="Arial" w:hAnsiTheme="majorBidi" w:cstheme="majorBidi"/>
        </w:rPr>
        <w:t xml:space="preserve">CSR communication </w:t>
      </w:r>
      <w:r w:rsidR="00002386">
        <w:rPr>
          <w:rFonts w:asciiTheme="majorBidi" w:eastAsia="Arial" w:hAnsiTheme="majorBidi" w:cstheme="majorBidi"/>
        </w:rPr>
        <w:t>has</w:t>
      </w:r>
      <w:r w:rsidR="00A96566" w:rsidRPr="008D75D3">
        <w:rPr>
          <w:rFonts w:asciiTheme="majorBidi" w:eastAsia="Arial" w:hAnsiTheme="majorBidi" w:cstheme="majorBidi"/>
        </w:rPr>
        <w:t xml:space="preserve"> </w:t>
      </w:r>
      <w:r w:rsidR="00A96566">
        <w:rPr>
          <w:rFonts w:asciiTheme="majorBidi" w:eastAsia="Arial" w:hAnsiTheme="majorBidi" w:cstheme="majorBidi"/>
        </w:rPr>
        <w:t xml:space="preserve">a positive effect on </w:t>
      </w:r>
      <w:r w:rsidR="00A96566" w:rsidRPr="008D75D3">
        <w:rPr>
          <w:rFonts w:asciiTheme="majorBidi" w:eastAsia="Arial" w:hAnsiTheme="majorBidi" w:cstheme="majorBidi"/>
        </w:rPr>
        <w:t>purchase intentions of consumers in Egypt more than non-CSR communication.</w:t>
      </w:r>
      <w:bookmarkEnd w:id="57"/>
      <w:bookmarkEnd w:id="60"/>
    </w:p>
    <w:bookmarkEnd w:id="58"/>
    <w:p w14:paraId="3EAE1924" w14:textId="1C975999" w:rsidR="001132CF" w:rsidRDefault="001132CF" w:rsidP="00460517">
      <w:pPr>
        <w:pStyle w:val="NormalWeb"/>
        <w:spacing w:before="0" w:beforeAutospacing="0" w:after="0" w:afterAutospacing="0" w:line="480" w:lineRule="auto"/>
        <w:ind w:firstLine="720"/>
        <w:rPr>
          <w:rFonts w:asciiTheme="majorBidi" w:eastAsia="Arial" w:hAnsiTheme="majorBidi" w:cstheme="majorBidi"/>
        </w:rPr>
      </w:pPr>
      <w:r>
        <w:rPr>
          <w:rFonts w:asciiTheme="majorBidi" w:eastAsia="Arial" w:hAnsiTheme="majorBidi" w:cstheme="majorBidi"/>
        </w:rPr>
        <w:t xml:space="preserve">The above sections identified the most important consumer attitudes towards brands that were identifiable measures of the success of </w:t>
      </w:r>
      <w:r w:rsidR="00C172DC">
        <w:rPr>
          <w:rFonts w:asciiTheme="majorBidi" w:eastAsia="Arial" w:hAnsiTheme="majorBidi" w:cstheme="majorBidi"/>
        </w:rPr>
        <w:t>CSR</w:t>
      </w:r>
      <w:r>
        <w:rPr>
          <w:rFonts w:asciiTheme="majorBidi" w:eastAsia="Arial" w:hAnsiTheme="majorBidi" w:cstheme="majorBidi"/>
        </w:rPr>
        <w:t xml:space="preserve"> communication. The above hypotheses postulate that there is an impact of CSR communication or</w:t>
      </w:r>
      <w:r w:rsidR="003A7CDB">
        <w:rPr>
          <w:rFonts w:asciiTheme="majorBidi" w:eastAsia="Arial" w:hAnsiTheme="majorBidi" w:cstheme="majorBidi"/>
        </w:rPr>
        <w:t xml:space="preserve"> the</w:t>
      </w:r>
      <w:r>
        <w:rPr>
          <w:rFonts w:asciiTheme="majorBidi" w:eastAsia="Arial" w:hAnsiTheme="majorBidi" w:cstheme="majorBidi"/>
        </w:rPr>
        <w:t xml:space="preserve"> media </w:t>
      </w:r>
      <w:r w:rsidR="00D74555">
        <w:rPr>
          <w:rFonts w:asciiTheme="majorBidi" w:eastAsia="Arial" w:hAnsiTheme="majorBidi" w:cstheme="majorBidi"/>
        </w:rPr>
        <w:t xml:space="preserve">vehicle </w:t>
      </w:r>
      <w:r>
        <w:rPr>
          <w:rFonts w:asciiTheme="majorBidi" w:eastAsia="Arial" w:hAnsiTheme="majorBidi" w:cstheme="majorBidi"/>
        </w:rPr>
        <w:t>on these attitudes which will be further explained in chapter four. The main examined attitudes in this study are CSR perception, ad likeability, brand likeability, brand trust, perceived brand functionality, and emotional brand attachment.</w:t>
      </w:r>
      <w:r w:rsidR="00C172DC">
        <w:rPr>
          <w:rFonts w:asciiTheme="majorBidi" w:eastAsia="Arial" w:hAnsiTheme="majorBidi" w:cstheme="majorBidi"/>
        </w:rPr>
        <w:t xml:space="preserve"> While there are other brand attitudes in literature, as discussed above, these attitudes were the most pertinent to study in this context. </w:t>
      </w:r>
      <w:r w:rsidR="00460517">
        <w:rPr>
          <w:rFonts w:asciiTheme="majorBidi" w:eastAsia="Arial" w:hAnsiTheme="majorBidi" w:cstheme="majorBidi"/>
        </w:rPr>
        <w:t xml:space="preserve">The following section discusses strategies suggested by researchers to increase the likelihood of the success of CSR communication. </w:t>
      </w:r>
    </w:p>
    <w:bookmarkEnd w:id="59"/>
    <w:p w14:paraId="47DA99ED" w14:textId="77777777" w:rsidR="00336690" w:rsidRDefault="00336690">
      <w:pPr>
        <w:rPr>
          <w:rFonts w:asciiTheme="majorBidi" w:hAnsiTheme="majorBidi" w:cstheme="majorBidi"/>
          <w:b/>
          <w:bCs/>
          <w:sz w:val="24"/>
          <w:szCs w:val="24"/>
        </w:rPr>
      </w:pPr>
      <w:r>
        <w:rPr>
          <w:rFonts w:asciiTheme="majorBidi" w:hAnsiTheme="majorBidi" w:cstheme="majorBidi"/>
          <w:b/>
          <w:bCs/>
          <w:sz w:val="24"/>
          <w:szCs w:val="24"/>
        </w:rPr>
        <w:br w:type="page"/>
      </w:r>
    </w:p>
    <w:p w14:paraId="0DFA7CA5" w14:textId="1B20794F" w:rsidR="00A96566" w:rsidRPr="0066107A" w:rsidRDefault="00460517" w:rsidP="00DD69CF">
      <w:pPr>
        <w:ind w:firstLine="720"/>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w:t>
      </w:r>
      <w:r w:rsidR="00DD69CF">
        <w:rPr>
          <w:rFonts w:asciiTheme="majorBidi" w:hAnsiTheme="majorBidi" w:cstheme="majorBidi"/>
          <w:b/>
          <w:bCs/>
          <w:sz w:val="24"/>
          <w:szCs w:val="24"/>
        </w:rPr>
        <w:t xml:space="preserve">8 </w:t>
      </w:r>
      <w:r w:rsidR="00A96566" w:rsidRPr="0066107A">
        <w:rPr>
          <w:rFonts w:asciiTheme="majorBidi" w:hAnsiTheme="majorBidi" w:cstheme="majorBidi"/>
          <w:b/>
          <w:bCs/>
          <w:sz w:val="24"/>
          <w:szCs w:val="24"/>
        </w:rPr>
        <w:t>CSR communication strategies</w:t>
      </w:r>
      <w:r w:rsidR="00A96566">
        <w:rPr>
          <w:rFonts w:asciiTheme="majorBidi" w:hAnsiTheme="majorBidi" w:cstheme="majorBidi"/>
          <w:b/>
          <w:bCs/>
          <w:sz w:val="24"/>
          <w:szCs w:val="24"/>
        </w:rPr>
        <w:t xml:space="preserve"> </w:t>
      </w:r>
    </w:p>
    <w:p w14:paraId="5D8C8F4B" w14:textId="198BE628" w:rsidR="00A96566" w:rsidRPr="00AC02AD" w:rsidRDefault="00A96566" w:rsidP="00460517">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In literature, CSR communication is </w:t>
      </w:r>
      <w:r w:rsidR="006454A7">
        <w:rPr>
          <w:rFonts w:asciiTheme="majorBidi" w:hAnsiTheme="majorBidi" w:cstheme="majorBidi"/>
          <w:sz w:val="24"/>
          <w:szCs w:val="24"/>
        </w:rPr>
        <w:t>presented as an</w:t>
      </w:r>
      <w:r>
        <w:rPr>
          <w:rFonts w:asciiTheme="majorBidi" w:hAnsiTheme="majorBidi" w:cstheme="majorBidi"/>
          <w:sz w:val="24"/>
          <w:szCs w:val="24"/>
        </w:rPr>
        <w:t xml:space="preserve"> interesting and also, a complex topic</w:t>
      </w:r>
      <w:sdt>
        <w:sdtPr>
          <w:rPr>
            <w:rFonts w:asciiTheme="majorBidi" w:hAnsiTheme="majorBidi" w:cstheme="majorBidi"/>
            <w:sz w:val="24"/>
            <w:szCs w:val="24"/>
          </w:rPr>
          <w:id w:val="-134447187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Elv13 \l 2057  \m Sal18</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(Elving, 2013; Salmones &amp; Perez,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66107A">
        <w:rPr>
          <w:rFonts w:asciiTheme="majorBidi" w:hAnsiTheme="majorBidi" w:cstheme="majorBidi"/>
          <w:sz w:val="24"/>
          <w:szCs w:val="24"/>
        </w:rPr>
        <w:t xml:space="preserve">In order for the company to capture all the </w:t>
      </w:r>
      <w:r>
        <w:rPr>
          <w:rFonts w:asciiTheme="majorBidi" w:hAnsiTheme="majorBidi" w:cstheme="majorBidi"/>
          <w:sz w:val="24"/>
          <w:szCs w:val="24"/>
        </w:rPr>
        <w:t>previously discussed</w:t>
      </w:r>
      <w:r w:rsidRPr="0066107A">
        <w:rPr>
          <w:rFonts w:asciiTheme="majorBidi" w:hAnsiTheme="majorBidi" w:cstheme="majorBidi"/>
          <w:sz w:val="24"/>
          <w:szCs w:val="24"/>
        </w:rPr>
        <w:t xml:space="preserve"> benefits of CSR</w:t>
      </w:r>
      <w:r>
        <w:rPr>
          <w:rFonts w:asciiTheme="majorBidi" w:hAnsiTheme="majorBidi" w:cstheme="majorBidi"/>
          <w:sz w:val="24"/>
          <w:szCs w:val="24"/>
        </w:rPr>
        <w:t xml:space="preserve">, </w:t>
      </w:r>
      <w:r w:rsidRPr="0066107A">
        <w:rPr>
          <w:rFonts w:asciiTheme="majorBidi" w:hAnsiTheme="majorBidi" w:cstheme="majorBidi"/>
          <w:sz w:val="24"/>
          <w:szCs w:val="24"/>
        </w:rPr>
        <w:t>certain strategies and aspects need to be meticulously applied</w:t>
      </w:r>
      <w:r w:rsidR="001C1E46" w:rsidRPr="001C1E46">
        <w:rPr>
          <w:rFonts w:asciiTheme="majorBidi" w:hAnsiTheme="majorBidi" w:cstheme="majorBidi"/>
          <w:sz w:val="24"/>
          <w:szCs w:val="24"/>
        </w:rPr>
        <w:t xml:space="preserve"> </w:t>
      </w:r>
      <w:sdt>
        <w:sdtPr>
          <w:rPr>
            <w:rFonts w:asciiTheme="majorBidi" w:hAnsiTheme="majorBidi" w:cstheme="majorBidi"/>
            <w:sz w:val="24"/>
            <w:szCs w:val="24"/>
          </w:rPr>
          <w:id w:val="-545072325"/>
          <w:citation/>
        </w:sdtPr>
        <w:sdtContent>
          <w:r w:rsidR="001C1E46" w:rsidRPr="0044619D">
            <w:rPr>
              <w:rFonts w:asciiTheme="majorBidi" w:hAnsiTheme="majorBidi" w:cstheme="majorBidi"/>
              <w:sz w:val="24"/>
              <w:szCs w:val="24"/>
            </w:rPr>
            <w:fldChar w:fldCharType="begin"/>
          </w:r>
          <w:r w:rsidR="001C1E46" w:rsidRPr="0044619D">
            <w:rPr>
              <w:rFonts w:asciiTheme="majorBidi" w:hAnsiTheme="majorBidi" w:cstheme="majorBidi"/>
              <w:sz w:val="24"/>
              <w:szCs w:val="24"/>
            </w:rPr>
            <w:instrText xml:space="preserve"> CITATION Kuo201 \l 2057  \m Tol20</w:instrText>
          </w:r>
          <w:r w:rsidR="001C1E46" w:rsidRPr="0044619D">
            <w:rPr>
              <w:rFonts w:asciiTheme="majorBidi" w:hAnsiTheme="majorBidi" w:cstheme="majorBidi"/>
              <w:sz w:val="24"/>
              <w:szCs w:val="24"/>
            </w:rPr>
            <w:fldChar w:fldCharType="separate"/>
          </w:r>
          <w:r w:rsidR="001C1E46" w:rsidRPr="0044619D">
            <w:rPr>
              <w:rFonts w:asciiTheme="majorBidi" w:hAnsiTheme="majorBidi" w:cstheme="majorBidi"/>
              <w:noProof/>
              <w:sz w:val="24"/>
              <w:szCs w:val="24"/>
            </w:rPr>
            <w:t>(Kuokkanen &amp; Sun, 2020; Tolmie, Lehnert, &amp; Zhao, 2020)</w:t>
          </w:r>
          <w:r w:rsidR="001C1E46" w:rsidRPr="0044619D">
            <w:rPr>
              <w:rFonts w:asciiTheme="majorBidi" w:hAnsiTheme="majorBidi" w:cstheme="majorBidi"/>
              <w:sz w:val="24"/>
              <w:szCs w:val="24"/>
            </w:rPr>
            <w:fldChar w:fldCharType="end"/>
          </w:r>
        </w:sdtContent>
      </w:sdt>
      <w:r w:rsidRPr="0066107A">
        <w:rPr>
          <w:rFonts w:asciiTheme="majorBidi" w:hAnsiTheme="majorBidi" w:cstheme="majorBidi"/>
          <w:sz w:val="24"/>
          <w:szCs w:val="24"/>
        </w:rPr>
        <w:t>. This is exceptionally important in the field of CSR, as CSR usually invites scepticism from the target</w:t>
      </w:r>
      <w:r>
        <w:rPr>
          <w:rFonts w:asciiTheme="majorBidi" w:hAnsiTheme="majorBidi" w:cstheme="majorBidi"/>
          <w:sz w:val="24"/>
          <w:szCs w:val="24"/>
        </w:rPr>
        <w:t xml:space="preserve"> audience</w:t>
      </w:r>
      <w:sdt>
        <w:sdtPr>
          <w:rPr>
            <w:rFonts w:asciiTheme="majorBidi" w:hAnsiTheme="majorBidi" w:cstheme="majorBidi"/>
            <w:sz w:val="24"/>
            <w:szCs w:val="24"/>
          </w:rPr>
          <w:id w:val="1830010081"/>
          <w:citation/>
        </w:sdtPr>
        <w:sdtContent>
          <w:r>
            <w:rPr>
              <w:rFonts w:asciiTheme="majorBidi" w:hAnsiTheme="majorBidi" w:cstheme="majorBidi"/>
              <w:sz w:val="24"/>
              <w:szCs w:val="24"/>
            </w:rPr>
            <w:fldChar w:fldCharType="begin"/>
          </w:r>
          <w:r w:rsidR="006454A7">
            <w:rPr>
              <w:rFonts w:asciiTheme="majorBidi" w:hAnsiTheme="majorBidi" w:cstheme="majorBidi"/>
              <w:sz w:val="24"/>
              <w:szCs w:val="24"/>
            </w:rPr>
            <w:instrText xml:space="preserve">CITATION Ham202 \t  \m Ora201 \t  \l 2057 </w:instrText>
          </w:r>
          <w:r>
            <w:rPr>
              <w:rFonts w:asciiTheme="majorBidi" w:hAnsiTheme="majorBidi" w:cstheme="majorBidi"/>
              <w:sz w:val="24"/>
              <w:szCs w:val="24"/>
            </w:rPr>
            <w:fldChar w:fldCharType="separate"/>
          </w:r>
          <w:r w:rsidR="006454A7">
            <w:rPr>
              <w:rFonts w:asciiTheme="majorBidi" w:hAnsiTheme="majorBidi" w:cstheme="majorBidi"/>
              <w:noProof/>
              <w:sz w:val="24"/>
              <w:szCs w:val="24"/>
            </w:rPr>
            <w:t xml:space="preserve"> </w:t>
          </w:r>
          <w:r w:rsidR="006454A7" w:rsidRPr="006454A7">
            <w:rPr>
              <w:rFonts w:asciiTheme="majorBidi" w:hAnsiTheme="majorBidi" w:cstheme="majorBidi"/>
              <w:noProof/>
              <w:sz w:val="24"/>
              <w:szCs w:val="24"/>
            </w:rPr>
            <w:t>(Ham &amp; Kim, 2020; Orazi &amp; Chan , 2020)</w:t>
          </w:r>
          <w:r>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which </w:t>
      </w:r>
      <w:r>
        <w:rPr>
          <w:rFonts w:asciiTheme="majorBidi" w:hAnsiTheme="majorBidi" w:cstheme="majorBidi"/>
          <w:sz w:val="24"/>
          <w:szCs w:val="24"/>
        </w:rPr>
        <w:t xml:space="preserve">makes CSR </w:t>
      </w:r>
      <w:r w:rsidRPr="0066107A">
        <w:rPr>
          <w:rFonts w:asciiTheme="majorBidi" w:hAnsiTheme="majorBidi" w:cstheme="majorBidi"/>
          <w:sz w:val="24"/>
          <w:szCs w:val="24"/>
        </w:rPr>
        <w:t xml:space="preserve">a risky strategy for companies to adopt. </w:t>
      </w:r>
      <w:r w:rsidR="00301C67">
        <w:rPr>
          <w:rFonts w:asciiTheme="majorBidi" w:hAnsiTheme="majorBidi" w:cstheme="majorBidi"/>
          <w:sz w:val="24"/>
          <w:szCs w:val="24"/>
        </w:rPr>
        <w:t xml:space="preserve">Consumers’ scepticism towards CSR communication was also evident in the systematic review of CSR communication in Egyptian as discussed in Chapter </w:t>
      </w:r>
      <w:r w:rsidR="006C23B4">
        <w:rPr>
          <w:rFonts w:asciiTheme="majorBidi" w:hAnsiTheme="majorBidi" w:cstheme="majorBidi"/>
          <w:sz w:val="24"/>
          <w:szCs w:val="24"/>
        </w:rPr>
        <w:t>3</w:t>
      </w:r>
      <w:sdt>
        <w:sdtPr>
          <w:rPr>
            <w:rFonts w:asciiTheme="majorBidi" w:eastAsia="Times New Roman" w:hAnsiTheme="majorBidi" w:cstheme="majorBidi"/>
            <w:sz w:val="24"/>
            <w:szCs w:val="24"/>
            <w:lang w:eastAsia="en-GB"/>
          </w:rPr>
          <w:id w:val="-405079393"/>
          <w:citation/>
        </w:sdtPr>
        <w:sdtContent>
          <w:r w:rsidR="00301C67" w:rsidRPr="00EB5663">
            <w:rPr>
              <w:rFonts w:asciiTheme="majorBidi" w:eastAsia="Times New Roman" w:hAnsiTheme="majorBidi" w:cstheme="majorBidi"/>
              <w:sz w:val="24"/>
              <w:szCs w:val="24"/>
              <w:lang w:eastAsia="en-GB"/>
            </w:rPr>
            <w:fldChar w:fldCharType="begin"/>
          </w:r>
          <w:r w:rsidR="00301C67" w:rsidRPr="00EB5663">
            <w:rPr>
              <w:rFonts w:asciiTheme="majorBidi" w:eastAsia="Times New Roman" w:hAnsiTheme="majorBidi" w:cstheme="majorBidi"/>
              <w:sz w:val="24"/>
              <w:szCs w:val="24"/>
              <w:lang w:eastAsia="en-GB"/>
            </w:rPr>
            <w:instrText xml:space="preserve"> CITATION Jam201 \l 2057 </w:instrText>
          </w:r>
          <w:r w:rsidR="00301C67" w:rsidRPr="00EB5663">
            <w:rPr>
              <w:rFonts w:asciiTheme="majorBidi" w:eastAsia="Times New Roman" w:hAnsiTheme="majorBidi" w:cstheme="majorBidi"/>
              <w:sz w:val="24"/>
              <w:szCs w:val="24"/>
              <w:lang w:eastAsia="en-GB"/>
            </w:rPr>
            <w:fldChar w:fldCharType="separate"/>
          </w:r>
          <w:r w:rsidR="00301C67">
            <w:rPr>
              <w:rFonts w:asciiTheme="majorBidi" w:eastAsia="Times New Roman" w:hAnsiTheme="majorBidi" w:cstheme="majorBidi"/>
              <w:noProof/>
              <w:sz w:val="24"/>
              <w:szCs w:val="24"/>
              <w:lang w:eastAsia="en-GB"/>
            </w:rPr>
            <w:t xml:space="preserve"> </w:t>
          </w:r>
          <w:r w:rsidR="00301C67" w:rsidRPr="003275FC">
            <w:rPr>
              <w:rFonts w:asciiTheme="majorBidi" w:eastAsia="Times New Roman" w:hAnsiTheme="majorBidi" w:cstheme="majorBidi"/>
              <w:noProof/>
              <w:sz w:val="24"/>
              <w:szCs w:val="24"/>
              <w:lang w:eastAsia="en-GB"/>
            </w:rPr>
            <w:t>(Jamali, Tanusree, Samara, &amp; Zoghbi, 2020)</w:t>
          </w:r>
          <w:r w:rsidR="00301C67" w:rsidRPr="00EB5663">
            <w:rPr>
              <w:rFonts w:asciiTheme="majorBidi" w:eastAsia="Times New Roman" w:hAnsiTheme="majorBidi" w:cstheme="majorBidi"/>
              <w:sz w:val="24"/>
              <w:szCs w:val="24"/>
              <w:lang w:eastAsia="en-GB"/>
            </w:rPr>
            <w:fldChar w:fldCharType="end"/>
          </w:r>
        </w:sdtContent>
      </w:sdt>
      <w:r w:rsidR="00301C67" w:rsidRPr="00EB5663">
        <w:rPr>
          <w:rFonts w:asciiTheme="majorBidi" w:eastAsia="Times New Roman" w:hAnsiTheme="majorBidi" w:cstheme="majorBidi"/>
          <w:sz w:val="24"/>
          <w:szCs w:val="24"/>
          <w:lang w:eastAsia="en-GB"/>
        </w:rPr>
        <w:t>.</w:t>
      </w:r>
      <w:r w:rsidR="00301C67">
        <w:rPr>
          <w:rFonts w:asciiTheme="majorBidi" w:hAnsiTheme="majorBidi" w:cstheme="majorBidi"/>
          <w:sz w:val="24"/>
          <w:szCs w:val="24"/>
        </w:rPr>
        <w:t xml:space="preserve"> For that reason, it seems that consumers </w:t>
      </w:r>
      <w:r w:rsidR="003A7CDB">
        <w:rPr>
          <w:rFonts w:asciiTheme="majorBidi" w:hAnsiTheme="majorBidi" w:cstheme="majorBidi"/>
          <w:sz w:val="24"/>
          <w:szCs w:val="24"/>
        </w:rPr>
        <w:t xml:space="preserve">have </w:t>
      </w:r>
      <w:r w:rsidR="00301C67">
        <w:rPr>
          <w:rFonts w:asciiTheme="majorBidi" w:hAnsiTheme="majorBidi" w:cstheme="majorBidi"/>
          <w:sz w:val="24"/>
          <w:szCs w:val="24"/>
        </w:rPr>
        <w:t>created some expectations from a given CSR communication in order to trust</w:t>
      </w:r>
      <w:r w:rsidR="003A7CDB">
        <w:rPr>
          <w:rFonts w:asciiTheme="majorBidi" w:hAnsiTheme="majorBidi" w:cstheme="majorBidi"/>
          <w:sz w:val="24"/>
          <w:szCs w:val="24"/>
        </w:rPr>
        <w:t xml:space="preserve"> it</w:t>
      </w:r>
      <w:r w:rsidR="00301C67">
        <w:rPr>
          <w:rFonts w:asciiTheme="majorBidi" w:hAnsiTheme="majorBidi" w:cstheme="majorBidi"/>
          <w:sz w:val="24"/>
          <w:szCs w:val="24"/>
        </w:rPr>
        <w:t xml:space="preserve"> or believe it. </w:t>
      </w:r>
      <w:r>
        <w:rPr>
          <w:rFonts w:asciiTheme="majorBidi" w:hAnsiTheme="majorBidi" w:cstheme="majorBidi"/>
          <w:sz w:val="24"/>
          <w:szCs w:val="24"/>
        </w:rPr>
        <w:t xml:space="preserve">According to </w:t>
      </w:r>
      <w:r w:rsidRPr="0067539D">
        <w:rPr>
          <w:rFonts w:asciiTheme="majorBidi" w:hAnsiTheme="majorBidi" w:cstheme="majorBidi"/>
          <w:sz w:val="24"/>
          <w:szCs w:val="24"/>
        </w:rPr>
        <w:t xml:space="preserve">Kim and Ferguson </w:t>
      </w:r>
      <w:sdt>
        <w:sdtPr>
          <w:rPr>
            <w:rFonts w:asciiTheme="majorBidi" w:hAnsiTheme="majorBidi" w:cstheme="majorBidi"/>
            <w:sz w:val="24"/>
            <w:szCs w:val="24"/>
          </w:rPr>
          <w:id w:val="-31002540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 \n  \t  \m Kim18 \n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(2014;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consumers expect </w:t>
      </w:r>
      <w:r w:rsidRPr="0067539D">
        <w:rPr>
          <w:rFonts w:asciiTheme="majorBidi" w:hAnsiTheme="majorBidi" w:cstheme="majorBidi"/>
          <w:sz w:val="24"/>
          <w:szCs w:val="24"/>
        </w:rPr>
        <w:t>six key communication components from CSR communicatio</w:t>
      </w:r>
      <w:r>
        <w:rPr>
          <w:rFonts w:asciiTheme="majorBidi" w:hAnsiTheme="majorBidi" w:cstheme="majorBidi"/>
          <w:sz w:val="24"/>
          <w:szCs w:val="24"/>
        </w:rPr>
        <w:t>n. These components are third-party endorsement, CSR information, personal relativity, transparency, consistency, and factual message tone</w:t>
      </w:r>
      <w:r w:rsidRPr="00AC02AD">
        <w:rPr>
          <w:rFonts w:asciiTheme="majorBidi" w:hAnsiTheme="majorBidi" w:cstheme="majorBidi"/>
          <w:sz w:val="24"/>
          <w:szCs w:val="24"/>
        </w:rPr>
        <w:t xml:space="preserve"> </w:t>
      </w:r>
      <w:sdt>
        <w:sdtPr>
          <w:rPr>
            <w:rFonts w:asciiTheme="majorBidi" w:hAnsiTheme="majorBidi" w:cstheme="majorBidi"/>
            <w:sz w:val="24"/>
            <w:szCs w:val="24"/>
          </w:rPr>
          <w:id w:val="-72822526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 \t  \m Kim18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(Kim &amp; Ferguson, 2014; Kim, Overton , Hull, &amp; Choi, 2018)</w:t>
          </w:r>
          <w:r>
            <w:rPr>
              <w:rFonts w:asciiTheme="majorBidi" w:hAnsiTheme="majorBidi" w:cstheme="majorBidi"/>
              <w:sz w:val="24"/>
              <w:szCs w:val="24"/>
            </w:rPr>
            <w:fldChar w:fldCharType="end"/>
          </w:r>
        </w:sdtContent>
      </w:sdt>
      <w:r>
        <w:rPr>
          <w:rFonts w:asciiTheme="majorBidi" w:hAnsiTheme="majorBidi" w:cstheme="majorBidi"/>
          <w:sz w:val="24"/>
          <w:szCs w:val="24"/>
        </w:rPr>
        <w:t>. Third party endorsement refers to a source wh</w:t>
      </w:r>
      <w:r w:rsidR="003A7CDB">
        <w:rPr>
          <w:rFonts w:asciiTheme="majorBidi" w:hAnsiTheme="majorBidi" w:cstheme="majorBidi"/>
          <w:sz w:val="24"/>
          <w:szCs w:val="24"/>
        </w:rPr>
        <w:t>ich</w:t>
      </w:r>
      <w:r>
        <w:rPr>
          <w:rFonts w:asciiTheme="majorBidi" w:hAnsiTheme="majorBidi" w:cstheme="majorBidi"/>
          <w:sz w:val="24"/>
          <w:szCs w:val="24"/>
        </w:rPr>
        <w:t xml:space="preserve"> is not from the consumer or the brand that can advocate for the campaign during the communication. CSR information refers to the detailed information conveyed in the communication about the company’s commitment, motives, and impact of the campaign. Personal relevance indicates the connectedness of the CSR area to people’s personal lives. </w:t>
      </w:r>
      <w:r w:rsidRPr="00E60DA5">
        <w:rPr>
          <w:rFonts w:asciiTheme="majorBidi" w:hAnsiTheme="majorBidi" w:cstheme="majorBidi"/>
          <w:sz w:val="24"/>
          <w:szCs w:val="24"/>
        </w:rPr>
        <w:t>Transparency</w:t>
      </w:r>
      <w:r>
        <w:rPr>
          <w:rFonts w:asciiTheme="majorBidi" w:hAnsiTheme="majorBidi" w:cstheme="majorBidi"/>
          <w:sz w:val="24"/>
          <w:szCs w:val="24"/>
        </w:rPr>
        <w:t xml:space="preserve"> indicates the importance of openly communicating information, consistency is conceptualized in the way the company steadily communicates the CSR campaign, and finally, </w:t>
      </w:r>
      <w:r w:rsidRPr="00E60DA5">
        <w:rPr>
          <w:rFonts w:asciiTheme="majorBidi" w:hAnsiTheme="majorBidi" w:cstheme="majorBidi"/>
          <w:sz w:val="24"/>
          <w:szCs w:val="24"/>
        </w:rPr>
        <w:t>factual message</w:t>
      </w:r>
      <w:r>
        <w:rPr>
          <w:rFonts w:asciiTheme="majorBidi" w:hAnsiTheme="majorBidi" w:cstheme="majorBidi"/>
          <w:sz w:val="24"/>
          <w:szCs w:val="24"/>
        </w:rPr>
        <w:t xml:space="preserve"> tone implies communicating facts to reduce the level of scepticism among consumers</w:t>
      </w:r>
      <w:r w:rsidRPr="00AC02AD">
        <w:rPr>
          <w:rFonts w:asciiTheme="majorBidi" w:hAnsiTheme="majorBidi" w:cstheme="majorBidi"/>
          <w:sz w:val="24"/>
          <w:szCs w:val="24"/>
        </w:rPr>
        <w:t xml:space="preserve"> </w:t>
      </w:r>
      <w:sdt>
        <w:sdtPr>
          <w:rPr>
            <w:rFonts w:asciiTheme="majorBidi" w:hAnsiTheme="majorBidi" w:cstheme="majorBidi"/>
            <w:sz w:val="24"/>
            <w:szCs w:val="24"/>
          </w:rPr>
          <w:id w:val="66628989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 \t  \m Kim18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(Kim &amp; Ferguson, 2014; Kim, Overton , Hull, &amp; Choi, 2018)</w:t>
          </w:r>
          <w:r>
            <w:rPr>
              <w:rFonts w:asciiTheme="majorBidi" w:hAnsiTheme="majorBidi" w:cstheme="majorBidi"/>
              <w:sz w:val="24"/>
              <w:szCs w:val="24"/>
            </w:rPr>
            <w:fldChar w:fldCharType="end"/>
          </w:r>
        </w:sdtContent>
      </w:sdt>
      <w:r w:rsidR="00A376CF">
        <w:rPr>
          <w:rFonts w:asciiTheme="majorBidi" w:hAnsiTheme="majorBidi" w:cstheme="majorBidi"/>
          <w:sz w:val="24"/>
          <w:szCs w:val="24"/>
        </w:rPr>
        <w:t>. Evidently, a</w:t>
      </w:r>
      <w:r w:rsidRPr="0066107A">
        <w:rPr>
          <w:rFonts w:asciiTheme="majorBidi" w:hAnsiTheme="majorBidi" w:cstheme="majorBidi"/>
          <w:sz w:val="24"/>
          <w:szCs w:val="24"/>
        </w:rPr>
        <w:t xml:space="preserve">mong other aspects, the </w:t>
      </w:r>
      <w:r>
        <w:rPr>
          <w:rFonts w:asciiTheme="majorBidi" w:hAnsiTheme="majorBidi" w:cstheme="majorBidi"/>
          <w:sz w:val="24"/>
          <w:szCs w:val="24"/>
        </w:rPr>
        <w:t xml:space="preserve">success of CSR </w:t>
      </w:r>
      <w:r w:rsidRPr="0066107A">
        <w:rPr>
          <w:rFonts w:asciiTheme="majorBidi" w:hAnsiTheme="majorBidi" w:cstheme="majorBidi"/>
          <w:sz w:val="24"/>
          <w:szCs w:val="24"/>
        </w:rPr>
        <w:t xml:space="preserve">depends on some aspects such as the nature of the business, </w:t>
      </w:r>
      <w:r>
        <w:rPr>
          <w:rFonts w:asciiTheme="majorBidi" w:hAnsiTheme="majorBidi" w:cstheme="majorBidi"/>
          <w:sz w:val="24"/>
          <w:szCs w:val="24"/>
        </w:rPr>
        <w:t>the company’s</w:t>
      </w:r>
      <w:r w:rsidRPr="0066107A">
        <w:rPr>
          <w:rFonts w:asciiTheme="majorBidi" w:hAnsiTheme="majorBidi" w:cstheme="majorBidi"/>
          <w:sz w:val="24"/>
          <w:szCs w:val="24"/>
        </w:rPr>
        <w:t xml:space="preserve"> goals f</w:t>
      </w:r>
      <w:r>
        <w:rPr>
          <w:rFonts w:asciiTheme="majorBidi" w:hAnsiTheme="majorBidi" w:cstheme="majorBidi"/>
          <w:sz w:val="24"/>
          <w:szCs w:val="24"/>
        </w:rPr>
        <w:t>rom</w:t>
      </w:r>
      <w:r w:rsidRPr="0066107A">
        <w:rPr>
          <w:rFonts w:asciiTheme="majorBidi" w:hAnsiTheme="majorBidi" w:cstheme="majorBidi"/>
          <w:sz w:val="24"/>
          <w:szCs w:val="24"/>
        </w:rPr>
        <w:t xml:space="preserve"> the CSR campaign, and the company’s reputation. This is very important for the CSR campaign to be deemed successful and minimi</w:t>
      </w:r>
      <w:r w:rsidR="00E60DA5">
        <w:rPr>
          <w:rFonts w:asciiTheme="majorBidi" w:hAnsiTheme="majorBidi" w:cstheme="majorBidi"/>
          <w:sz w:val="24"/>
          <w:szCs w:val="24"/>
        </w:rPr>
        <w:t>s</w:t>
      </w:r>
      <w:r w:rsidRPr="0066107A">
        <w:rPr>
          <w:rFonts w:asciiTheme="majorBidi" w:hAnsiTheme="majorBidi" w:cstheme="majorBidi"/>
          <w:sz w:val="24"/>
          <w:szCs w:val="24"/>
        </w:rPr>
        <w:t xml:space="preserve">e the risk of failure. </w:t>
      </w:r>
      <w:r>
        <w:rPr>
          <w:rFonts w:asciiTheme="majorBidi" w:hAnsiTheme="majorBidi" w:cstheme="majorBidi"/>
          <w:sz w:val="24"/>
          <w:szCs w:val="24"/>
        </w:rPr>
        <w:t xml:space="preserve">Yet, the most crucial identifying factor for decision-makers when considering major </w:t>
      </w:r>
      <w:r w:rsidR="007948F7">
        <w:rPr>
          <w:rFonts w:asciiTheme="majorBidi" w:hAnsiTheme="majorBidi" w:cstheme="majorBidi"/>
          <w:sz w:val="24"/>
          <w:szCs w:val="24"/>
        </w:rPr>
        <w:t>communication</w:t>
      </w:r>
      <w:r>
        <w:rPr>
          <w:rFonts w:asciiTheme="majorBidi" w:hAnsiTheme="majorBidi" w:cstheme="majorBidi"/>
          <w:sz w:val="24"/>
          <w:szCs w:val="24"/>
        </w:rPr>
        <w:t xml:space="preserve"> strategies, </w:t>
      </w:r>
      <w:r w:rsidR="007948F7">
        <w:rPr>
          <w:rFonts w:asciiTheme="majorBidi" w:hAnsiTheme="majorBidi" w:cstheme="majorBidi"/>
          <w:sz w:val="24"/>
          <w:szCs w:val="24"/>
        </w:rPr>
        <w:t xml:space="preserve">is the amount of monetary return that these communication strategies would generate relative to the investment on them </w:t>
      </w:r>
      <w:sdt>
        <w:sdtPr>
          <w:rPr>
            <w:rFonts w:asciiTheme="majorBidi" w:hAnsiTheme="majorBidi" w:cstheme="majorBidi"/>
            <w:sz w:val="24"/>
            <w:szCs w:val="24"/>
          </w:rPr>
          <w:id w:val="-1606425371"/>
          <w:citation/>
        </w:sdtPr>
        <w:sdtContent>
          <w:r w:rsidR="007948F7">
            <w:rPr>
              <w:rFonts w:asciiTheme="majorBidi" w:hAnsiTheme="majorBidi" w:cstheme="majorBidi"/>
              <w:sz w:val="24"/>
              <w:szCs w:val="24"/>
            </w:rPr>
            <w:fldChar w:fldCharType="begin"/>
          </w:r>
          <w:r w:rsidR="007948F7">
            <w:rPr>
              <w:rFonts w:asciiTheme="majorBidi" w:hAnsiTheme="majorBidi" w:cstheme="majorBidi"/>
              <w:sz w:val="24"/>
              <w:szCs w:val="24"/>
            </w:rPr>
            <w:instrText xml:space="preserve"> CITATION Ris21 \l 2057  \m Sil20</w:instrText>
          </w:r>
          <w:r w:rsidR="007948F7">
            <w:rPr>
              <w:rFonts w:asciiTheme="majorBidi" w:hAnsiTheme="majorBidi" w:cstheme="majorBidi"/>
              <w:sz w:val="24"/>
              <w:szCs w:val="24"/>
            </w:rPr>
            <w:fldChar w:fldCharType="separate"/>
          </w:r>
          <w:r w:rsidR="007948F7" w:rsidRPr="00804B24">
            <w:rPr>
              <w:rFonts w:asciiTheme="majorBidi" w:hAnsiTheme="majorBidi" w:cstheme="majorBidi"/>
              <w:noProof/>
              <w:sz w:val="24"/>
              <w:szCs w:val="24"/>
            </w:rPr>
            <w:t>(Risitano, Romano, Rusciano, Civero, &amp; Scarpato, 2021; Silva, Duarte, &amp; Almeida , 2020)</w:t>
          </w:r>
          <w:r w:rsidR="007948F7">
            <w:rPr>
              <w:rFonts w:asciiTheme="majorBidi" w:hAnsiTheme="majorBidi" w:cstheme="majorBidi"/>
              <w:sz w:val="24"/>
              <w:szCs w:val="24"/>
            </w:rPr>
            <w:fldChar w:fldCharType="end"/>
          </w:r>
        </w:sdtContent>
      </w:sdt>
      <w:r>
        <w:rPr>
          <w:rFonts w:asciiTheme="majorBidi" w:hAnsiTheme="majorBidi" w:cstheme="majorBidi"/>
          <w:sz w:val="24"/>
          <w:szCs w:val="24"/>
        </w:rPr>
        <w:t xml:space="preserve">. Essentially, </w:t>
      </w:r>
      <w:r w:rsidRPr="00DF1B7A">
        <w:rPr>
          <w:rFonts w:asciiTheme="majorBidi" w:hAnsiTheme="majorBidi" w:cstheme="majorBidi"/>
          <w:sz w:val="24"/>
          <w:szCs w:val="24"/>
        </w:rPr>
        <w:t xml:space="preserve">CSR engagement strategy is defined as the way in which managers identify CSR initiatives, outline the resources available to conduct these initiatives, and apply the knowledge obtained from these activities </w:t>
      </w:r>
      <w:r>
        <w:rPr>
          <w:rFonts w:asciiTheme="majorBidi" w:hAnsiTheme="majorBidi" w:cstheme="majorBidi"/>
          <w:sz w:val="24"/>
          <w:szCs w:val="24"/>
        </w:rPr>
        <w:t>on</w:t>
      </w:r>
      <w:r w:rsidRPr="00DF1B7A">
        <w:rPr>
          <w:rFonts w:asciiTheme="majorBidi" w:hAnsiTheme="majorBidi" w:cstheme="majorBidi"/>
          <w:sz w:val="24"/>
          <w:szCs w:val="24"/>
        </w:rPr>
        <w:t xml:space="preserve"> other commercial outputs </w:t>
      </w:r>
      <w:sdt>
        <w:sdtPr>
          <w:rPr>
            <w:rFonts w:asciiTheme="majorBidi" w:hAnsiTheme="majorBidi" w:cstheme="majorBidi"/>
            <w:sz w:val="24"/>
            <w:szCs w:val="24"/>
          </w:rPr>
          <w:id w:val="532699673"/>
          <w:citation/>
        </w:sdtPr>
        <w:sdtContent>
          <w:r w:rsidRPr="00DF1B7A">
            <w:rPr>
              <w:rFonts w:asciiTheme="majorBidi" w:hAnsiTheme="majorBidi" w:cstheme="majorBidi"/>
              <w:sz w:val="24"/>
              <w:szCs w:val="24"/>
            </w:rPr>
            <w:fldChar w:fldCharType="begin"/>
          </w:r>
          <w:r w:rsidRPr="00DF1B7A">
            <w:rPr>
              <w:rFonts w:asciiTheme="majorBidi" w:hAnsiTheme="majorBidi" w:cstheme="majorBidi"/>
              <w:sz w:val="24"/>
              <w:szCs w:val="24"/>
            </w:rPr>
            <w:instrText xml:space="preserve"> CITATION Tan12 \l 2057 </w:instrText>
          </w:r>
          <w:r w:rsidRPr="00DF1B7A">
            <w:rPr>
              <w:rFonts w:asciiTheme="majorBidi" w:hAnsiTheme="majorBidi" w:cstheme="majorBidi"/>
              <w:sz w:val="24"/>
              <w:szCs w:val="24"/>
            </w:rPr>
            <w:fldChar w:fldCharType="separate"/>
          </w:r>
          <w:r w:rsidRPr="0002256A">
            <w:rPr>
              <w:rFonts w:asciiTheme="majorBidi" w:hAnsiTheme="majorBidi" w:cstheme="majorBidi"/>
              <w:noProof/>
              <w:sz w:val="24"/>
              <w:szCs w:val="24"/>
            </w:rPr>
            <w:t>(Tang, Hull, &amp; Rothenberg, 2012)</w:t>
          </w:r>
          <w:r w:rsidRPr="00DF1B7A">
            <w:rPr>
              <w:rFonts w:asciiTheme="majorBidi" w:hAnsiTheme="majorBidi" w:cstheme="majorBidi"/>
              <w:sz w:val="24"/>
              <w:szCs w:val="24"/>
            </w:rPr>
            <w:fldChar w:fldCharType="end"/>
          </w:r>
        </w:sdtContent>
      </w:sdt>
      <w:r w:rsidRPr="00DF1B7A">
        <w:rPr>
          <w:rFonts w:asciiTheme="majorBidi" w:hAnsiTheme="majorBidi" w:cstheme="majorBidi"/>
          <w:sz w:val="24"/>
          <w:szCs w:val="24"/>
        </w:rPr>
        <w:t>.</w:t>
      </w:r>
      <w:r>
        <w:rPr>
          <w:rFonts w:asciiTheme="majorBidi" w:hAnsiTheme="majorBidi" w:cstheme="majorBidi"/>
          <w:sz w:val="24"/>
          <w:szCs w:val="24"/>
        </w:rPr>
        <w:t xml:space="preserve"> For that reason, i</w:t>
      </w:r>
      <w:r w:rsidRPr="00DF1B7A">
        <w:rPr>
          <w:rFonts w:asciiTheme="majorBidi" w:hAnsiTheme="majorBidi" w:cstheme="majorBidi"/>
          <w:sz w:val="24"/>
          <w:szCs w:val="24"/>
        </w:rPr>
        <w:t xml:space="preserve">t is important to assess the type of CSR activities in light </w:t>
      </w:r>
      <w:r w:rsidR="007948F7">
        <w:rPr>
          <w:rFonts w:asciiTheme="majorBidi" w:hAnsiTheme="majorBidi" w:cstheme="majorBidi"/>
          <w:sz w:val="24"/>
          <w:szCs w:val="24"/>
        </w:rPr>
        <w:t>of</w:t>
      </w:r>
      <w:r w:rsidRPr="00DF1B7A">
        <w:rPr>
          <w:rFonts w:asciiTheme="majorBidi" w:hAnsiTheme="majorBidi" w:cstheme="majorBidi"/>
          <w:sz w:val="24"/>
          <w:szCs w:val="24"/>
        </w:rPr>
        <w:t xml:space="preserve"> the resources that the organization has. </w:t>
      </w:r>
      <w:r>
        <w:rPr>
          <w:rFonts w:asciiTheme="majorBidi" w:hAnsiTheme="majorBidi" w:cstheme="majorBidi"/>
          <w:sz w:val="24"/>
          <w:szCs w:val="24"/>
        </w:rPr>
        <w:t xml:space="preserve">This is because, </w:t>
      </w:r>
      <w:r w:rsidRPr="00C4527B">
        <w:rPr>
          <w:rFonts w:asciiTheme="majorBidi" w:hAnsiTheme="majorBidi" w:cstheme="majorBidi"/>
          <w:sz w:val="24"/>
          <w:szCs w:val="24"/>
        </w:rPr>
        <w:t>CSR activities may require extra financial resources that companies do not typically budget for</w:t>
      </w:r>
      <w:sdt>
        <w:sdtPr>
          <w:rPr>
            <w:rFonts w:asciiTheme="majorBidi" w:hAnsiTheme="majorBidi" w:cstheme="majorBidi"/>
            <w:sz w:val="24"/>
            <w:szCs w:val="24"/>
          </w:rPr>
          <w:id w:val="-1464888013"/>
          <w:citation/>
        </w:sdtPr>
        <w:sdtContent>
          <w:r w:rsidRPr="00C4527B">
            <w:rPr>
              <w:rFonts w:asciiTheme="majorBidi" w:hAnsiTheme="majorBidi" w:cstheme="majorBidi"/>
              <w:sz w:val="24"/>
              <w:szCs w:val="24"/>
            </w:rPr>
            <w:fldChar w:fldCharType="begin"/>
          </w:r>
          <w:r w:rsidRPr="00C4527B">
            <w:rPr>
              <w:rFonts w:asciiTheme="majorBidi" w:hAnsiTheme="majorBidi" w:cstheme="majorBidi"/>
              <w:sz w:val="24"/>
              <w:szCs w:val="24"/>
            </w:rPr>
            <w:instrText xml:space="preserve"> CITATION Swa21 \l 2057 </w:instrText>
          </w:r>
          <w:r w:rsidRPr="00C4527B">
            <w:rPr>
              <w:rFonts w:asciiTheme="majorBidi" w:hAnsiTheme="majorBidi" w:cstheme="majorBidi"/>
              <w:sz w:val="24"/>
              <w:szCs w:val="24"/>
            </w:rPr>
            <w:fldChar w:fldCharType="separate"/>
          </w:r>
          <w:r w:rsidRPr="00C4527B">
            <w:rPr>
              <w:rFonts w:asciiTheme="majorBidi" w:hAnsiTheme="majorBidi" w:cstheme="majorBidi"/>
              <w:noProof/>
              <w:sz w:val="24"/>
              <w:szCs w:val="24"/>
            </w:rPr>
            <w:t xml:space="preserve"> (Swaen, Demoulin, &amp; Pauwels-Delassus, 2021)</w:t>
          </w:r>
          <w:r w:rsidRPr="00C4527B">
            <w:rPr>
              <w:rFonts w:asciiTheme="majorBidi" w:hAnsiTheme="majorBidi" w:cstheme="majorBidi"/>
              <w:sz w:val="24"/>
              <w:szCs w:val="24"/>
            </w:rPr>
            <w:fldChar w:fldCharType="end"/>
          </w:r>
        </w:sdtContent>
      </w:sdt>
      <w:r>
        <w:rPr>
          <w:rFonts w:asciiTheme="majorBidi" w:hAnsiTheme="majorBidi" w:cstheme="majorBidi"/>
          <w:sz w:val="24"/>
          <w:szCs w:val="24"/>
        </w:rPr>
        <w:t xml:space="preserve">. Keeping resources and returns in mind, </w:t>
      </w:r>
      <w:bookmarkStart w:id="61" w:name="_Hlk96427318"/>
      <w:r>
        <w:rPr>
          <w:rFonts w:asciiTheme="majorBidi" w:hAnsiTheme="majorBidi" w:cstheme="majorBidi"/>
          <w:sz w:val="24"/>
          <w:szCs w:val="24"/>
        </w:rPr>
        <w:t xml:space="preserve">it was </w:t>
      </w:r>
      <w:bookmarkEnd w:id="61"/>
      <w:r>
        <w:rPr>
          <w:rFonts w:asciiTheme="majorBidi" w:hAnsiTheme="majorBidi" w:cstheme="majorBidi"/>
          <w:sz w:val="24"/>
          <w:szCs w:val="24"/>
        </w:rPr>
        <w:t>found that the</w:t>
      </w:r>
      <w:r w:rsidRPr="00DF1B7A">
        <w:rPr>
          <w:rFonts w:asciiTheme="majorBidi" w:hAnsiTheme="majorBidi" w:cstheme="majorBidi"/>
          <w:sz w:val="24"/>
          <w:szCs w:val="24"/>
        </w:rPr>
        <w:t xml:space="preserve"> relatedness to the company’s activities has a positive relationship on return-on-investment</w:t>
      </w:r>
      <w:r w:rsidR="007948F7">
        <w:rPr>
          <w:rFonts w:asciiTheme="majorBidi" w:hAnsiTheme="majorBidi" w:cstheme="majorBidi"/>
          <w:sz w:val="24"/>
          <w:szCs w:val="24"/>
        </w:rPr>
        <w:t xml:space="preserve"> (ROI)</w:t>
      </w:r>
      <w:r w:rsidRPr="00DF1B7A">
        <w:rPr>
          <w:rFonts w:asciiTheme="majorBidi" w:hAnsiTheme="majorBidi" w:cstheme="majorBidi"/>
          <w:sz w:val="24"/>
          <w:szCs w:val="24"/>
        </w:rPr>
        <w:t xml:space="preserve"> </w:t>
      </w:r>
      <w:r>
        <w:rPr>
          <w:rFonts w:asciiTheme="majorBidi" w:hAnsiTheme="majorBidi" w:cstheme="majorBidi"/>
          <w:sz w:val="24"/>
          <w:szCs w:val="24"/>
        </w:rPr>
        <w:t xml:space="preserve">and </w:t>
      </w:r>
      <w:r w:rsidRPr="00DF1B7A">
        <w:rPr>
          <w:rFonts w:asciiTheme="majorBidi" w:hAnsiTheme="majorBidi" w:cstheme="majorBidi"/>
          <w:sz w:val="24"/>
          <w:szCs w:val="24"/>
        </w:rPr>
        <w:t>consistently implementing CSR initiatives can bring about positive returns to the company</w:t>
      </w:r>
      <w:sdt>
        <w:sdtPr>
          <w:rPr>
            <w:rFonts w:asciiTheme="majorBidi" w:hAnsiTheme="majorBidi" w:cstheme="majorBidi"/>
            <w:sz w:val="24"/>
            <w:szCs w:val="24"/>
          </w:rPr>
          <w:id w:val="48621341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Tan12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(Tang, Hull, &amp; Rothenberg, 2012)</w:t>
          </w:r>
          <w:r>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w:t>
      </w:r>
      <w:r>
        <w:rPr>
          <w:rFonts w:asciiTheme="majorBidi" w:hAnsiTheme="majorBidi" w:cstheme="majorBidi"/>
          <w:sz w:val="24"/>
          <w:szCs w:val="24"/>
        </w:rPr>
        <w:t xml:space="preserve">If CSR does not generate immediate financial benefits to the company, then, the budget allocated for CSR should not be </w:t>
      </w:r>
      <w:r w:rsidR="00A376CF">
        <w:rPr>
          <w:rFonts w:asciiTheme="majorBidi" w:hAnsiTheme="majorBidi" w:cstheme="majorBidi"/>
          <w:sz w:val="24"/>
          <w:szCs w:val="24"/>
        </w:rPr>
        <w:t xml:space="preserve">presented as </w:t>
      </w:r>
      <w:r>
        <w:rPr>
          <w:rFonts w:asciiTheme="majorBidi" w:hAnsiTheme="majorBidi" w:cstheme="majorBidi"/>
          <w:sz w:val="24"/>
          <w:szCs w:val="24"/>
        </w:rPr>
        <w:t xml:space="preserve">an extra financial burden on the company. In this case, decision-makers need to </w:t>
      </w:r>
      <w:r w:rsidR="00A376CF">
        <w:rPr>
          <w:rFonts w:asciiTheme="majorBidi" w:hAnsiTheme="majorBidi" w:cstheme="majorBidi"/>
          <w:sz w:val="24"/>
          <w:szCs w:val="24"/>
        </w:rPr>
        <w:t xml:space="preserve">examine the budgets that they already allocate to </w:t>
      </w:r>
      <w:r w:rsidRPr="00C4527B">
        <w:rPr>
          <w:rFonts w:asciiTheme="majorBidi" w:hAnsiTheme="majorBidi" w:cstheme="majorBidi"/>
          <w:sz w:val="24"/>
          <w:szCs w:val="24"/>
        </w:rPr>
        <w:t xml:space="preserve">non-CSR communication </w:t>
      </w:r>
      <w:r w:rsidR="00A376CF" w:rsidRPr="00C4527B">
        <w:rPr>
          <w:rFonts w:asciiTheme="majorBidi" w:hAnsiTheme="majorBidi" w:cstheme="majorBidi"/>
          <w:sz w:val="24"/>
          <w:szCs w:val="24"/>
        </w:rPr>
        <w:t>especially that FMCG companies spend a lot on marketing</w:t>
      </w:r>
      <w:r w:rsidR="00A376CF" w:rsidRPr="00A376CF">
        <w:rPr>
          <w:rFonts w:asciiTheme="majorBidi" w:hAnsiTheme="majorBidi" w:cstheme="majorBidi"/>
          <w:sz w:val="24"/>
          <w:szCs w:val="24"/>
        </w:rPr>
        <w:t xml:space="preserve"> </w:t>
      </w:r>
      <w:sdt>
        <w:sdtPr>
          <w:rPr>
            <w:rFonts w:asciiTheme="majorBidi" w:hAnsiTheme="majorBidi" w:cstheme="majorBidi"/>
            <w:sz w:val="24"/>
            <w:szCs w:val="24"/>
          </w:rPr>
          <w:id w:val="-230615548"/>
          <w:citation/>
        </w:sdtPr>
        <w:sdtContent>
          <w:r w:rsidR="00A376CF">
            <w:rPr>
              <w:rFonts w:asciiTheme="majorBidi" w:hAnsiTheme="majorBidi" w:cstheme="majorBidi"/>
              <w:sz w:val="24"/>
              <w:szCs w:val="24"/>
            </w:rPr>
            <w:fldChar w:fldCharType="begin"/>
          </w:r>
          <w:r w:rsidR="00A376CF">
            <w:rPr>
              <w:rFonts w:asciiTheme="majorBidi" w:hAnsiTheme="majorBidi" w:cstheme="majorBidi"/>
              <w:sz w:val="24"/>
              <w:szCs w:val="24"/>
            </w:rPr>
            <w:instrText xml:space="preserve"> CITATION Far23 \l 2057  \m NZa22</w:instrText>
          </w:r>
          <w:r w:rsidR="00A376CF">
            <w:rPr>
              <w:rFonts w:asciiTheme="majorBidi" w:hAnsiTheme="majorBidi" w:cstheme="majorBidi"/>
              <w:sz w:val="24"/>
              <w:szCs w:val="24"/>
            </w:rPr>
            <w:fldChar w:fldCharType="separate"/>
          </w:r>
          <w:r w:rsidR="00A376CF" w:rsidRPr="00804B24">
            <w:rPr>
              <w:rFonts w:asciiTheme="majorBidi" w:hAnsiTheme="majorBidi" w:cstheme="majorBidi"/>
              <w:noProof/>
              <w:sz w:val="24"/>
              <w:szCs w:val="24"/>
            </w:rPr>
            <w:t>(Faria, 2023; N, 2022)</w:t>
          </w:r>
          <w:r w:rsidR="00A376CF">
            <w:rPr>
              <w:rFonts w:asciiTheme="majorBidi" w:hAnsiTheme="majorBidi" w:cstheme="majorBidi"/>
              <w:sz w:val="24"/>
              <w:szCs w:val="24"/>
            </w:rPr>
            <w:fldChar w:fldCharType="end"/>
          </w:r>
        </w:sdtContent>
      </w:sdt>
      <w:r>
        <w:rPr>
          <w:rFonts w:asciiTheme="majorBidi" w:hAnsiTheme="majorBidi" w:cstheme="majorBidi"/>
          <w:sz w:val="24"/>
          <w:szCs w:val="24"/>
        </w:rPr>
        <w:t xml:space="preserve">. Especially when some researchers </w:t>
      </w:r>
      <w:r w:rsidR="003A7CDB">
        <w:rPr>
          <w:rFonts w:asciiTheme="majorBidi" w:hAnsiTheme="majorBidi" w:cstheme="majorBidi"/>
          <w:sz w:val="24"/>
          <w:szCs w:val="24"/>
        </w:rPr>
        <w:t xml:space="preserve">have </w:t>
      </w:r>
      <w:r>
        <w:rPr>
          <w:rFonts w:asciiTheme="majorBidi" w:hAnsiTheme="majorBidi" w:cstheme="majorBidi"/>
          <w:sz w:val="24"/>
          <w:szCs w:val="24"/>
        </w:rPr>
        <w:t xml:space="preserve">concluded that a slight decrease in the level of advertising for mature products does not necessarily indicate a quick decrease in sales </w:t>
      </w:r>
      <w:sdt>
        <w:sdtPr>
          <w:rPr>
            <w:rFonts w:asciiTheme="majorBidi" w:hAnsiTheme="majorBidi" w:cstheme="majorBidi"/>
            <w:sz w:val="24"/>
            <w:szCs w:val="24"/>
          </w:rPr>
          <w:id w:val="168200773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Cha21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(Chavan &amp; Deo,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7948F7">
        <w:rPr>
          <w:rFonts w:asciiTheme="majorBidi" w:hAnsiTheme="majorBidi" w:cstheme="majorBidi"/>
          <w:sz w:val="24"/>
          <w:szCs w:val="24"/>
        </w:rPr>
        <w:t>Nevertheless</w:t>
      </w:r>
      <w:r>
        <w:rPr>
          <w:rFonts w:asciiTheme="majorBidi" w:hAnsiTheme="majorBidi" w:cstheme="majorBidi"/>
          <w:sz w:val="24"/>
          <w:szCs w:val="24"/>
        </w:rPr>
        <w:t>,</w:t>
      </w:r>
      <w:r w:rsidR="007948F7">
        <w:rPr>
          <w:rFonts w:asciiTheme="majorBidi" w:hAnsiTheme="majorBidi" w:cstheme="majorBidi"/>
          <w:sz w:val="24"/>
          <w:szCs w:val="24"/>
        </w:rPr>
        <w:t xml:space="preserve"> before assessing ROI of both CSR and non-CSR communication,</w:t>
      </w:r>
      <w:r>
        <w:rPr>
          <w:rFonts w:asciiTheme="majorBidi" w:hAnsiTheme="majorBidi" w:cstheme="majorBidi"/>
          <w:sz w:val="24"/>
          <w:szCs w:val="24"/>
        </w:rPr>
        <w:t xml:space="preserve"> this </w:t>
      </w:r>
      <w:r w:rsidR="007948F7">
        <w:rPr>
          <w:rFonts w:asciiTheme="majorBidi" w:hAnsiTheme="majorBidi" w:cstheme="majorBidi"/>
          <w:sz w:val="24"/>
          <w:szCs w:val="24"/>
        </w:rPr>
        <w:t xml:space="preserve">study should first </w:t>
      </w:r>
      <w:r>
        <w:rPr>
          <w:rFonts w:asciiTheme="majorBidi" w:hAnsiTheme="majorBidi" w:cstheme="majorBidi"/>
          <w:sz w:val="24"/>
          <w:szCs w:val="24"/>
        </w:rPr>
        <w:t xml:space="preserve">fill a gap in literature by exploring the impact of CSR on consumers’ </w:t>
      </w:r>
      <w:r w:rsidR="007948F7">
        <w:rPr>
          <w:rFonts w:asciiTheme="majorBidi" w:hAnsiTheme="majorBidi" w:cstheme="majorBidi"/>
          <w:sz w:val="24"/>
          <w:szCs w:val="24"/>
        </w:rPr>
        <w:t>brand attitudes</w:t>
      </w:r>
      <w:r>
        <w:rPr>
          <w:rFonts w:asciiTheme="majorBidi" w:hAnsiTheme="majorBidi" w:cstheme="majorBidi"/>
          <w:sz w:val="24"/>
          <w:szCs w:val="24"/>
        </w:rPr>
        <w:t xml:space="preserve"> in comparison to th</w:t>
      </w:r>
      <w:r w:rsidR="007948F7">
        <w:rPr>
          <w:rFonts w:asciiTheme="majorBidi" w:hAnsiTheme="majorBidi" w:cstheme="majorBidi"/>
          <w:sz w:val="24"/>
          <w:szCs w:val="24"/>
        </w:rPr>
        <w:t xml:space="preserve">at of </w:t>
      </w:r>
      <w:r>
        <w:rPr>
          <w:rFonts w:asciiTheme="majorBidi" w:hAnsiTheme="majorBidi" w:cstheme="majorBidi"/>
          <w:sz w:val="24"/>
          <w:szCs w:val="24"/>
        </w:rPr>
        <w:t xml:space="preserve">non-CSR </w:t>
      </w:r>
      <w:r w:rsidR="007948F7">
        <w:rPr>
          <w:rFonts w:asciiTheme="majorBidi" w:hAnsiTheme="majorBidi" w:cstheme="majorBidi"/>
          <w:sz w:val="24"/>
          <w:szCs w:val="24"/>
        </w:rPr>
        <w:t>communication</w:t>
      </w:r>
      <w:r>
        <w:rPr>
          <w:rFonts w:asciiTheme="majorBidi" w:hAnsiTheme="majorBidi" w:cstheme="majorBidi"/>
          <w:sz w:val="24"/>
          <w:szCs w:val="24"/>
        </w:rPr>
        <w:t xml:space="preserve">. Also, since the financial </w:t>
      </w:r>
      <w:r w:rsidR="007948F7">
        <w:rPr>
          <w:rFonts w:asciiTheme="majorBidi" w:hAnsiTheme="majorBidi" w:cstheme="majorBidi"/>
          <w:sz w:val="24"/>
          <w:szCs w:val="24"/>
        </w:rPr>
        <w:t xml:space="preserve">profitability </w:t>
      </w:r>
      <w:r>
        <w:rPr>
          <w:rFonts w:asciiTheme="majorBidi" w:hAnsiTheme="majorBidi" w:cstheme="majorBidi"/>
          <w:sz w:val="24"/>
          <w:szCs w:val="24"/>
        </w:rPr>
        <w:t xml:space="preserve">of the company is a determining factor </w:t>
      </w:r>
      <w:sdt>
        <w:sdtPr>
          <w:rPr>
            <w:rFonts w:asciiTheme="majorBidi" w:hAnsiTheme="majorBidi" w:cstheme="majorBidi"/>
            <w:sz w:val="24"/>
            <w:szCs w:val="24"/>
          </w:rPr>
          <w:id w:val="-93127846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Tan12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(Tang, Hull, &amp; Rothenberg, 2012)</w:t>
          </w:r>
          <w:r>
            <w:rPr>
              <w:rFonts w:asciiTheme="majorBidi" w:hAnsiTheme="majorBidi" w:cstheme="majorBidi"/>
              <w:sz w:val="24"/>
              <w:szCs w:val="24"/>
            </w:rPr>
            <w:fldChar w:fldCharType="end"/>
          </w:r>
        </w:sdtContent>
      </w:sdt>
      <w:r>
        <w:rPr>
          <w:rFonts w:asciiTheme="majorBidi" w:hAnsiTheme="majorBidi" w:cstheme="majorBidi"/>
          <w:sz w:val="24"/>
          <w:szCs w:val="24"/>
        </w:rPr>
        <w:t>, the study will focus on a major FMCG brand that is well-established and has financial calibre</w:t>
      </w:r>
      <w:r w:rsidR="007948F7">
        <w:rPr>
          <w:rFonts w:asciiTheme="majorBidi" w:hAnsiTheme="majorBidi" w:cstheme="majorBidi"/>
          <w:sz w:val="24"/>
          <w:szCs w:val="24"/>
        </w:rPr>
        <w:t xml:space="preserve"> (refer to section </w:t>
      </w:r>
      <w:r w:rsidR="00A95B0D">
        <w:rPr>
          <w:rFonts w:asciiTheme="majorBidi" w:hAnsiTheme="majorBidi" w:cstheme="majorBidi"/>
          <w:sz w:val="24"/>
          <w:szCs w:val="24"/>
        </w:rPr>
        <w:t>5.4.2</w:t>
      </w:r>
      <w:r w:rsidR="007948F7">
        <w:rPr>
          <w:rFonts w:asciiTheme="majorBidi" w:hAnsiTheme="majorBidi" w:cstheme="majorBidi"/>
          <w:sz w:val="24"/>
          <w:szCs w:val="24"/>
        </w:rPr>
        <w:t>)</w:t>
      </w:r>
      <w:r>
        <w:rPr>
          <w:rFonts w:asciiTheme="majorBidi" w:hAnsiTheme="majorBidi" w:cstheme="majorBidi"/>
          <w:sz w:val="24"/>
          <w:szCs w:val="24"/>
        </w:rPr>
        <w:t xml:space="preserve">. </w:t>
      </w:r>
    </w:p>
    <w:p w14:paraId="746229C7" w14:textId="59FFD1A2" w:rsidR="00A96566" w:rsidRPr="0066107A" w:rsidRDefault="00460517" w:rsidP="00CF00C8">
      <w:pPr>
        <w:spacing w:after="0"/>
        <w:ind w:firstLine="720"/>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w:t>
      </w:r>
      <w:r w:rsidR="00DD69CF">
        <w:rPr>
          <w:rFonts w:asciiTheme="majorBidi" w:hAnsiTheme="majorBidi" w:cstheme="majorBidi"/>
          <w:b/>
          <w:bCs/>
          <w:sz w:val="24"/>
          <w:szCs w:val="24"/>
        </w:rPr>
        <w:t>8</w:t>
      </w:r>
      <w:r w:rsidR="00A96566">
        <w:rPr>
          <w:rFonts w:asciiTheme="majorBidi" w:hAnsiTheme="majorBidi" w:cstheme="majorBidi"/>
          <w:b/>
          <w:bCs/>
          <w:sz w:val="24"/>
          <w:szCs w:val="24"/>
        </w:rPr>
        <w:t xml:space="preserve">.1 </w:t>
      </w:r>
      <w:r w:rsidR="00A96566" w:rsidRPr="0066107A">
        <w:rPr>
          <w:rFonts w:asciiTheme="majorBidi" w:hAnsiTheme="majorBidi" w:cstheme="majorBidi"/>
          <w:b/>
          <w:bCs/>
          <w:sz w:val="24"/>
          <w:szCs w:val="24"/>
        </w:rPr>
        <w:t>The nature of the company and its brands</w:t>
      </w:r>
      <w:r w:rsidR="00A96566">
        <w:rPr>
          <w:rFonts w:asciiTheme="majorBidi" w:hAnsiTheme="majorBidi" w:cstheme="majorBidi"/>
          <w:b/>
          <w:bCs/>
          <w:sz w:val="24"/>
          <w:szCs w:val="24"/>
        </w:rPr>
        <w:br/>
      </w:r>
    </w:p>
    <w:p w14:paraId="74E9A8F5" w14:textId="166F8CE0" w:rsidR="00A96566" w:rsidRPr="0066107A" w:rsidRDefault="00DD69CF" w:rsidP="00002857">
      <w:pPr>
        <w:spacing w:after="0" w:line="480" w:lineRule="auto"/>
        <w:ind w:firstLine="720"/>
        <w:rPr>
          <w:rFonts w:asciiTheme="majorBidi" w:hAnsiTheme="majorBidi" w:cstheme="majorBidi"/>
          <w:sz w:val="24"/>
          <w:szCs w:val="24"/>
        </w:rPr>
      </w:pPr>
      <w:r w:rsidRPr="0066107A">
        <w:rPr>
          <w:rFonts w:asciiTheme="majorBidi" w:hAnsiTheme="majorBidi" w:cstheme="majorBidi"/>
          <w:sz w:val="24"/>
          <w:szCs w:val="24"/>
        </w:rPr>
        <w:t>To</w:t>
      </w:r>
      <w:r w:rsidR="00A96566" w:rsidRPr="0066107A">
        <w:rPr>
          <w:rFonts w:asciiTheme="majorBidi" w:hAnsiTheme="majorBidi" w:cstheme="majorBidi"/>
          <w:sz w:val="24"/>
          <w:szCs w:val="24"/>
        </w:rPr>
        <w:t xml:space="preserve"> predict the behaviour of the targeted consumers towards the company doing CSR campaigns, it is necessary to first acknowledge the company’s business, the targeted consumers, and the degree of awareness that the company’s brands have. The nature of the industry in which the corporation operates is a significant aspect to pinpoint the most suitable CSR communication strategy. In literature, there are mainly seven types of corporate brand associations that were summarized by Mann and Ghuman </w:t>
      </w:r>
      <w:sdt>
        <w:sdtPr>
          <w:rPr>
            <w:rFonts w:asciiTheme="majorBidi" w:hAnsiTheme="majorBidi" w:cstheme="majorBidi"/>
            <w:sz w:val="24"/>
            <w:szCs w:val="24"/>
          </w:rPr>
          <w:id w:val="1374433126"/>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CITATION Man18 \n  \t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(2018)</w:t>
          </w:r>
          <w:r w:rsidR="00A96566" w:rsidRPr="0066107A">
            <w:rPr>
              <w:rFonts w:asciiTheme="majorBidi" w:hAnsiTheme="majorBidi" w:cstheme="majorBidi"/>
              <w:sz w:val="24"/>
              <w:szCs w:val="24"/>
            </w:rPr>
            <w:fldChar w:fldCharType="end"/>
          </w:r>
        </w:sdtContent>
      </w:sdt>
      <w:r w:rsidR="00A96566" w:rsidRPr="0066107A">
        <w:rPr>
          <w:rFonts w:asciiTheme="majorBidi" w:hAnsiTheme="majorBidi" w:cstheme="majorBidi"/>
          <w:sz w:val="24"/>
          <w:szCs w:val="24"/>
        </w:rPr>
        <w:t>. These corporate brand associations are “corporate ability and growth</w:t>
      </w:r>
      <w:r w:rsidR="00A96566">
        <w:rPr>
          <w:rFonts w:asciiTheme="majorBidi" w:hAnsiTheme="majorBidi" w:cstheme="majorBidi"/>
          <w:sz w:val="24"/>
          <w:szCs w:val="24"/>
        </w:rPr>
        <w:t xml:space="preserve">, </w:t>
      </w:r>
      <w:r w:rsidR="00A96566" w:rsidRPr="0066107A">
        <w:rPr>
          <w:rFonts w:asciiTheme="majorBidi" w:hAnsiTheme="majorBidi" w:cstheme="majorBidi"/>
          <w:sz w:val="24"/>
          <w:szCs w:val="24"/>
        </w:rPr>
        <w:t xml:space="preserve">symbolic benefits, perceived external prestige, corporate ethics, corporate social responsibility, visual identity, and corporate communications” </w:t>
      </w:r>
      <w:sdt>
        <w:sdtPr>
          <w:rPr>
            <w:rFonts w:asciiTheme="majorBidi" w:hAnsiTheme="majorBidi" w:cstheme="majorBidi"/>
            <w:sz w:val="24"/>
            <w:szCs w:val="24"/>
          </w:rPr>
          <w:id w:val="-1992011183"/>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 CITATION Man18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(Mann &amp; Ghuman, 2018)</w:t>
          </w:r>
          <w:r w:rsidR="00A96566" w:rsidRPr="0066107A">
            <w:rPr>
              <w:rFonts w:asciiTheme="majorBidi" w:hAnsiTheme="majorBidi" w:cstheme="majorBidi"/>
              <w:sz w:val="24"/>
              <w:szCs w:val="24"/>
            </w:rPr>
            <w:fldChar w:fldCharType="end"/>
          </w:r>
        </w:sdtContent>
      </w:sdt>
      <w:r w:rsidR="00A96566" w:rsidRPr="0066107A">
        <w:rPr>
          <w:rFonts w:asciiTheme="majorBidi" w:hAnsiTheme="majorBidi" w:cstheme="majorBidi"/>
          <w:sz w:val="24"/>
          <w:szCs w:val="24"/>
        </w:rPr>
        <w:t xml:space="preserve">. </w:t>
      </w:r>
      <w:r w:rsidR="003A7CDB">
        <w:rPr>
          <w:rFonts w:asciiTheme="majorBidi" w:hAnsiTheme="majorBidi" w:cstheme="majorBidi"/>
          <w:sz w:val="24"/>
          <w:szCs w:val="24"/>
        </w:rPr>
        <w:t xml:space="preserve">Mann and Ghuman </w:t>
      </w:r>
      <w:sdt>
        <w:sdtPr>
          <w:rPr>
            <w:rFonts w:asciiTheme="majorBidi" w:hAnsiTheme="majorBidi" w:cstheme="majorBidi"/>
            <w:sz w:val="24"/>
            <w:szCs w:val="24"/>
          </w:rPr>
          <w:id w:val="-1835991286"/>
          <w:citation/>
        </w:sdtPr>
        <w:sdtContent>
          <w:r w:rsidR="003A7CDB" w:rsidRPr="0066107A">
            <w:rPr>
              <w:rFonts w:asciiTheme="majorBidi" w:hAnsiTheme="majorBidi" w:cstheme="majorBidi"/>
              <w:sz w:val="24"/>
              <w:szCs w:val="24"/>
            </w:rPr>
            <w:fldChar w:fldCharType="begin"/>
          </w:r>
          <w:r w:rsidR="003A7CDB">
            <w:rPr>
              <w:rFonts w:asciiTheme="majorBidi" w:hAnsiTheme="majorBidi" w:cstheme="majorBidi"/>
              <w:sz w:val="24"/>
              <w:szCs w:val="24"/>
            </w:rPr>
            <w:instrText xml:space="preserve">CITATION Man18 \n  \t  \l 2057 </w:instrText>
          </w:r>
          <w:r w:rsidR="003A7CDB" w:rsidRPr="0066107A">
            <w:rPr>
              <w:rFonts w:asciiTheme="majorBidi" w:hAnsiTheme="majorBidi" w:cstheme="majorBidi"/>
              <w:sz w:val="24"/>
              <w:szCs w:val="24"/>
            </w:rPr>
            <w:fldChar w:fldCharType="separate"/>
          </w:r>
          <w:r w:rsidR="003A7CDB" w:rsidRPr="003A7CDB">
            <w:rPr>
              <w:rFonts w:asciiTheme="majorBidi" w:hAnsiTheme="majorBidi" w:cstheme="majorBidi"/>
              <w:noProof/>
              <w:sz w:val="24"/>
              <w:szCs w:val="24"/>
            </w:rPr>
            <w:t>(2018)</w:t>
          </w:r>
          <w:r w:rsidR="003A7CDB" w:rsidRPr="0066107A">
            <w:rPr>
              <w:rFonts w:asciiTheme="majorBidi" w:hAnsiTheme="majorBidi" w:cstheme="majorBidi"/>
              <w:sz w:val="24"/>
              <w:szCs w:val="24"/>
            </w:rPr>
            <w:fldChar w:fldCharType="end"/>
          </w:r>
        </w:sdtContent>
      </w:sdt>
      <w:r w:rsidR="003A7CDB">
        <w:rPr>
          <w:rFonts w:asciiTheme="majorBidi" w:hAnsiTheme="majorBidi" w:cstheme="majorBidi"/>
          <w:sz w:val="24"/>
          <w:szCs w:val="24"/>
        </w:rPr>
        <w:t xml:space="preserve"> </w:t>
      </w:r>
      <w:r w:rsidR="00A96566" w:rsidRPr="0066107A">
        <w:rPr>
          <w:rFonts w:asciiTheme="majorBidi" w:hAnsiTheme="majorBidi" w:cstheme="majorBidi"/>
          <w:sz w:val="24"/>
          <w:szCs w:val="24"/>
        </w:rPr>
        <w:t xml:space="preserve">found that associating with corporate ability and growth positively affects consumers’ purchase intention in sectors such as durable products, services and FMCGs. </w:t>
      </w:r>
    </w:p>
    <w:p w14:paraId="4303ADF9" w14:textId="7166D93E" w:rsidR="00A96566" w:rsidRPr="0066107A" w:rsidRDefault="00A96566" w:rsidP="00F942AB">
      <w:pPr>
        <w:spacing w:after="0" w:line="480" w:lineRule="auto"/>
        <w:ind w:firstLine="720"/>
        <w:rPr>
          <w:rFonts w:asciiTheme="majorBidi" w:hAnsiTheme="majorBidi" w:cstheme="majorBidi"/>
          <w:sz w:val="24"/>
          <w:szCs w:val="24"/>
        </w:rPr>
      </w:pPr>
      <w:r>
        <w:rPr>
          <w:rFonts w:asciiTheme="majorBidi" w:hAnsiTheme="majorBidi" w:cstheme="majorBidi"/>
          <w:sz w:val="24"/>
          <w:szCs w:val="24"/>
        </w:rPr>
        <w:t>Furthermore</w:t>
      </w:r>
      <w:r w:rsidRPr="0066107A">
        <w:rPr>
          <w:rFonts w:asciiTheme="majorBidi" w:hAnsiTheme="majorBidi" w:cstheme="majorBidi"/>
          <w:sz w:val="24"/>
          <w:szCs w:val="24"/>
        </w:rPr>
        <w:t>, receiving CSR information has an effect o</w:t>
      </w:r>
      <w:r>
        <w:rPr>
          <w:rFonts w:asciiTheme="majorBidi" w:hAnsiTheme="majorBidi" w:cstheme="majorBidi"/>
          <w:sz w:val="24"/>
          <w:szCs w:val="24"/>
        </w:rPr>
        <w:t>n</w:t>
      </w:r>
      <w:r w:rsidRPr="0066107A">
        <w:rPr>
          <w:rFonts w:asciiTheme="majorBidi" w:hAnsiTheme="majorBidi" w:cstheme="majorBidi"/>
          <w:sz w:val="24"/>
          <w:szCs w:val="24"/>
        </w:rPr>
        <w:t xml:space="preserve"> </w:t>
      </w:r>
      <w:r>
        <w:rPr>
          <w:rFonts w:asciiTheme="majorBidi" w:hAnsiTheme="majorBidi" w:cstheme="majorBidi"/>
          <w:sz w:val="24"/>
          <w:szCs w:val="24"/>
        </w:rPr>
        <w:t>competition in</w:t>
      </w:r>
      <w:r w:rsidRPr="0066107A">
        <w:rPr>
          <w:rFonts w:asciiTheme="majorBidi" w:hAnsiTheme="majorBidi" w:cstheme="majorBidi"/>
          <w:sz w:val="24"/>
          <w:szCs w:val="24"/>
        </w:rPr>
        <w:t xml:space="preserve"> which </w:t>
      </w:r>
      <w:r>
        <w:rPr>
          <w:rFonts w:asciiTheme="majorBidi" w:hAnsiTheme="majorBidi" w:cstheme="majorBidi"/>
          <w:sz w:val="24"/>
          <w:szCs w:val="24"/>
        </w:rPr>
        <w:t xml:space="preserve">CSR </w:t>
      </w:r>
      <w:r w:rsidRPr="0066107A">
        <w:rPr>
          <w:rFonts w:asciiTheme="majorBidi" w:hAnsiTheme="majorBidi" w:cstheme="majorBidi"/>
          <w:sz w:val="24"/>
          <w:szCs w:val="24"/>
        </w:rPr>
        <w:t>can be a strategy to block the brands’ competitors in a selected market. In order to correctly identify the nature of this effect</w:t>
      </w:r>
      <w:r>
        <w:rPr>
          <w:rFonts w:asciiTheme="majorBidi" w:hAnsiTheme="majorBidi" w:cstheme="majorBidi"/>
          <w:sz w:val="24"/>
          <w:szCs w:val="24"/>
        </w:rPr>
        <w:t>,</w:t>
      </w:r>
      <w:r w:rsidRPr="0066107A">
        <w:rPr>
          <w:rFonts w:asciiTheme="majorBidi" w:hAnsiTheme="majorBidi" w:cstheme="majorBidi"/>
          <w:sz w:val="24"/>
          <w:szCs w:val="24"/>
        </w:rPr>
        <w:t xml:space="preserve"> the </w:t>
      </w:r>
      <w:r>
        <w:rPr>
          <w:rFonts w:asciiTheme="majorBidi" w:hAnsiTheme="majorBidi" w:cstheme="majorBidi"/>
          <w:sz w:val="24"/>
          <w:szCs w:val="24"/>
        </w:rPr>
        <w:t>product-knowledge</w:t>
      </w:r>
      <w:r w:rsidRPr="0066107A">
        <w:rPr>
          <w:rFonts w:asciiTheme="majorBidi" w:hAnsiTheme="majorBidi" w:cstheme="majorBidi"/>
          <w:sz w:val="24"/>
          <w:szCs w:val="24"/>
        </w:rPr>
        <w:t xml:space="preserve"> of consumers in relevance to the brand </w:t>
      </w:r>
      <w:r>
        <w:rPr>
          <w:rFonts w:asciiTheme="majorBidi" w:hAnsiTheme="majorBidi" w:cstheme="majorBidi"/>
          <w:sz w:val="24"/>
          <w:szCs w:val="24"/>
        </w:rPr>
        <w:t>in a certain</w:t>
      </w:r>
      <w:r w:rsidRPr="0066107A">
        <w:rPr>
          <w:rFonts w:asciiTheme="majorBidi" w:hAnsiTheme="majorBidi" w:cstheme="majorBidi"/>
          <w:sz w:val="24"/>
          <w:szCs w:val="24"/>
        </w:rPr>
        <w:t xml:space="preserve"> industry needs to be defined. For example, receiving CSR information about a brand has a negative impact on competing brands’ evaluation among consumers with high product knowledge</w:t>
      </w:r>
      <w:sdt>
        <w:sdtPr>
          <w:rPr>
            <w:rFonts w:asciiTheme="majorBidi" w:hAnsiTheme="majorBidi" w:cstheme="majorBidi"/>
            <w:sz w:val="24"/>
            <w:szCs w:val="24"/>
          </w:rPr>
          <w:id w:val="-1850400682"/>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Tez21 \l 2057 </w:instrText>
          </w:r>
          <w:r w:rsidRPr="0066107A">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(Tezer &amp; Tofighi, 2021)</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This is because, unlike consumers with low product knowledge, </w:t>
      </w:r>
      <w:r w:rsidRPr="00C4527B">
        <w:rPr>
          <w:rFonts w:asciiTheme="majorBidi" w:hAnsiTheme="majorBidi" w:cstheme="majorBidi"/>
          <w:sz w:val="24"/>
          <w:szCs w:val="24"/>
        </w:rPr>
        <w:t>consumers with high product knowledge already have information on competing brands easily accessible in their memory</w:t>
      </w:r>
      <w:r w:rsidR="00CE17F7" w:rsidRPr="00CE17F7">
        <w:rPr>
          <w:rFonts w:asciiTheme="majorBidi" w:hAnsiTheme="majorBidi" w:cstheme="majorBidi"/>
          <w:sz w:val="24"/>
          <w:szCs w:val="24"/>
        </w:rPr>
        <w:t xml:space="preserve"> </w:t>
      </w:r>
      <w:sdt>
        <w:sdtPr>
          <w:rPr>
            <w:rFonts w:asciiTheme="majorBidi" w:hAnsiTheme="majorBidi" w:cstheme="majorBidi"/>
            <w:sz w:val="24"/>
            <w:szCs w:val="24"/>
          </w:rPr>
          <w:id w:val="186026323"/>
          <w:citation/>
        </w:sdtPr>
        <w:sdtContent>
          <w:r w:rsidR="00CE17F7" w:rsidRPr="0066107A">
            <w:rPr>
              <w:rFonts w:asciiTheme="majorBidi" w:hAnsiTheme="majorBidi" w:cstheme="majorBidi"/>
              <w:sz w:val="24"/>
              <w:szCs w:val="24"/>
            </w:rPr>
            <w:fldChar w:fldCharType="begin"/>
          </w:r>
          <w:r w:rsidR="00CE17F7" w:rsidRPr="0066107A">
            <w:rPr>
              <w:rFonts w:asciiTheme="majorBidi" w:hAnsiTheme="majorBidi" w:cstheme="majorBidi"/>
              <w:sz w:val="24"/>
              <w:szCs w:val="24"/>
            </w:rPr>
            <w:instrText xml:space="preserve"> CITATION Tez21 \l 2057 </w:instrText>
          </w:r>
          <w:r w:rsidR="00CE17F7" w:rsidRPr="0066107A">
            <w:rPr>
              <w:rFonts w:asciiTheme="majorBidi" w:hAnsiTheme="majorBidi" w:cstheme="majorBidi"/>
              <w:sz w:val="24"/>
              <w:szCs w:val="24"/>
            </w:rPr>
            <w:fldChar w:fldCharType="separate"/>
          </w:r>
          <w:r w:rsidR="00CE17F7">
            <w:rPr>
              <w:rFonts w:asciiTheme="majorBidi" w:hAnsiTheme="majorBidi" w:cstheme="majorBidi"/>
              <w:noProof/>
              <w:sz w:val="24"/>
              <w:szCs w:val="24"/>
            </w:rPr>
            <w:t xml:space="preserve"> </w:t>
          </w:r>
          <w:r w:rsidR="00CE17F7" w:rsidRPr="0002256A">
            <w:rPr>
              <w:rFonts w:asciiTheme="majorBidi" w:hAnsiTheme="majorBidi" w:cstheme="majorBidi"/>
              <w:noProof/>
              <w:sz w:val="24"/>
              <w:szCs w:val="24"/>
            </w:rPr>
            <w:t>(Tezer &amp; Tofighi, 2021)</w:t>
          </w:r>
          <w:r w:rsidR="00CE17F7"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Thus, receiving CSR information about a brand</w:t>
      </w:r>
      <w:r>
        <w:rPr>
          <w:rFonts w:asciiTheme="majorBidi" w:hAnsiTheme="majorBidi" w:cstheme="majorBidi"/>
          <w:sz w:val="24"/>
          <w:szCs w:val="24"/>
        </w:rPr>
        <w:t xml:space="preserve"> with high typicality</w:t>
      </w:r>
      <w:r w:rsidRPr="0066107A">
        <w:rPr>
          <w:rFonts w:asciiTheme="majorBidi" w:hAnsiTheme="majorBidi" w:cstheme="majorBidi"/>
          <w:sz w:val="24"/>
          <w:szCs w:val="24"/>
        </w:rPr>
        <w:t xml:space="preserve"> negatively influences</w:t>
      </w:r>
      <w:r>
        <w:rPr>
          <w:rFonts w:asciiTheme="majorBidi" w:hAnsiTheme="majorBidi" w:cstheme="majorBidi"/>
          <w:sz w:val="24"/>
          <w:szCs w:val="24"/>
        </w:rPr>
        <w:t xml:space="preserve"> </w:t>
      </w:r>
      <w:r w:rsidRPr="0066107A">
        <w:rPr>
          <w:rFonts w:asciiTheme="majorBidi" w:hAnsiTheme="majorBidi" w:cstheme="majorBidi"/>
          <w:sz w:val="24"/>
          <w:szCs w:val="24"/>
        </w:rPr>
        <w:t>consumers’ evaluation</w:t>
      </w:r>
      <w:r>
        <w:rPr>
          <w:rFonts w:asciiTheme="majorBidi" w:hAnsiTheme="majorBidi" w:cstheme="majorBidi"/>
          <w:sz w:val="24"/>
          <w:szCs w:val="24"/>
        </w:rPr>
        <w:t>s of competing brands</w:t>
      </w:r>
      <w:sdt>
        <w:sdtPr>
          <w:rPr>
            <w:rFonts w:asciiTheme="majorBidi" w:hAnsiTheme="majorBidi" w:cstheme="majorBidi"/>
            <w:sz w:val="24"/>
            <w:szCs w:val="24"/>
          </w:rPr>
          <w:id w:val="545035428"/>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Tez21 \l 2057 </w:instrText>
          </w:r>
          <w:r w:rsidRPr="0066107A">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(Tezer &amp; Tofighi, 2021)</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This is because brands with high typicality are more likely to enjoy a top-of-mind awareness status in the minds of consumers </w:t>
      </w:r>
      <w:r>
        <w:rPr>
          <w:rFonts w:asciiTheme="majorBidi" w:hAnsiTheme="majorBidi" w:cstheme="majorBidi"/>
          <w:sz w:val="24"/>
          <w:szCs w:val="24"/>
        </w:rPr>
        <w:t>more than brands with low typicality</w:t>
      </w:r>
      <w:r w:rsidRPr="0066107A">
        <w:rPr>
          <w:rFonts w:asciiTheme="majorBidi" w:hAnsiTheme="majorBidi" w:cstheme="majorBidi"/>
          <w:sz w:val="24"/>
          <w:szCs w:val="24"/>
        </w:rPr>
        <w:t xml:space="preserve">. </w:t>
      </w:r>
      <w:r>
        <w:rPr>
          <w:rFonts w:asciiTheme="majorBidi" w:hAnsiTheme="majorBidi" w:cstheme="majorBidi"/>
          <w:sz w:val="24"/>
          <w:szCs w:val="24"/>
        </w:rPr>
        <w:t>To illustrate</w:t>
      </w:r>
      <w:r w:rsidRPr="0066107A">
        <w:rPr>
          <w:rFonts w:asciiTheme="majorBidi" w:hAnsiTheme="majorBidi" w:cstheme="majorBidi"/>
          <w:sz w:val="24"/>
          <w:szCs w:val="24"/>
        </w:rPr>
        <w:t xml:space="preserve">, both Pepsi and Coca-Cola have high brand typicality in the category of soft drinks. So, if one </w:t>
      </w:r>
      <w:r>
        <w:rPr>
          <w:rFonts w:asciiTheme="majorBidi" w:hAnsiTheme="majorBidi" w:cstheme="majorBidi"/>
          <w:sz w:val="24"/>
          <w:szCs w:val="24"/>
        </w:rPr>
        <w:t xml:space="preserve">of these </w:t>
      </w:r>
      <w:r w:rsidRPr="0066107A">
        <w:rPr>
          <w:rFonts w:asciiTheme="majorBidi" w:hAnsiTheme="majorBidi" w:cstheme="majorBidi"/>
          <w:sz w:val="24"/>
          <w:szCs w:val="24"/>
        </w:rPr>
        <w:t>brand</w:t>
      </w:r>
      <w:r>
        <w:rPr>
          <w:rFonts w:asciiTheme="majorBidi" w:hAnsiTheme="majorBidi" w:cstheme="majorBidi"/>
          <w:sz w:val="24"/>
          <w:szCs w:val="24"/>
        </w:rPr>
        <w:t xml:space="preserve">s </w:t>
      </w:r>
      <w:r w:rsidRPr="0066107A">
        <w:rPr>
          <w:rFonts w:asciiTheme="majorBidi" w:hAnsiTheme="majorBidi" w:cstheme="majorBidi"/>
          <w:sz w:val="24"/>
          <w:szCs w:val="24"/>
        </w:rPr>
        <w:t>communicates CSR, the other one is likely to be negatively affected</w:t>
      </w:r>
      <w:r>
        <w:rPr>
          <w:rFonts w:asciiTheme="majorBidi" w:hAnsiTheme="majorBidi" w:cstheme="majorBidi"/>
          <w:sz w:val="24"/>
          <w:szCs w:val="24"/>
        </w:rPr>
        <w:t>;</w:t>
      </w:r>
      <w:r w:rsidRPr="0066107A">
        <w:rPr>
          <w:rFonts w:asciiTheme="majorBidi" w:hAnsiTheme="majorBidi" w:cstheme="majorBidi"/>
          <w:sz w:val="24"/>
          <w:szCs w:val="24"/>
        </w:rPr>
        <w:t xml:space="preserve"> whereas, a brand with low typicality in the soft drink category such as</w:t>
      </w:r>
      <w:r w:rsidR="00CE17F7">
        <w:rPr>
          <w:rFonts w:asciiTheme="majorBidi" w:hAnsiTheme="majorBidi" w:cstheme="majorBidi"/>
          <w:sz w:val="24"/>
          <w:szCs w:val="24"/>
        </w:rPr>
        <w:t>, as presented in the study,</w:t>
      </w:r>
      <w:r w:rsidRPr="0066107A">
        <w:rPr>
          <w:rFonts w:asciiTheme="majorBidi" w:hAnsiTheme="majorBidi" w:cstheme="majorBidi"/>
          <w:sz w:val="24"/>
          <w:szCs w:val="24"/>
        </w:rPr>
        <w:t xml:space="preserve"> Dr. Pepper may not be negatively affected</w:t>
      </w:r>
      <w:r w:rsidR="00CE17F7" w:rsidRPr="00CE17F7">
        <w:rPr>
          <w:rFonts w:asciiTheme="majorBidi" w:hAnsiTheme="majorBidi" w:cstheme="majorBidi"/>
          <w:sz w:val="24"/>
          <w:szCs w:val="24"/>
        </w:rPr>
        <w:t xml:space="preserve"> </w:t>
      </w:r>
      <w:sdt>
        <w:sdtPr>
          <w:rPr>
            <w:rFonts w:asciiTheme="majorBidi" w:hAnsiTheme="majorBidi" w:cstheme="majorBidi"/>
            <w:sz w:val="24"/>
            <w:szCs w:val="24"/>
          </w:rPr>
          <w:id w:val="1418216242"/>
          <w:citation/>
        </w:sdtPr>
        <w:sdtContent>
          <w:r w:rsidR="00CE17F7" w:rsidRPr="0066107A">
            <w:rPr>
              <w:rFonts w:asciiTheme="majorBidi" w:hAnsiTheme="majorBidi" w:cstheme="majorBidi"/>
              <w:sz w:val="24"/>
              <w:szCs w:val="24"/>
            </w:rPr>
            <w:fldChar w:fldCharType="begin"/>
          </w:r>
          <w:r w:rsidR="00CE17F7" w:rsidRPr="0066107A">
            <w:rPr>
              <w:rFonts w:asciiTheme="majorBidi" w:hAnsiTheme="majorBidi" w:cstheme="majorBidi"/>
              <w:sz w:val="24"/>
              <w:szCs w:val="24"/>
            </w:rPr>
            <w:instrText xml:space="preserve"> CITATION Tez21 \l 2057 </w:instrText>
          </w:r>
          <w:r w:rsidR="00CE17F7" w:rsidRPr="0066107A">
            <w:rPr>
              <w:rFonts w:asciiTheme="majorBidi" w:hAnsiTheme="majorBidi" w:cstheme="majorBidi"/>
              <w:sz w:val="24"/>
              <w:szCs w:val="24"/>
            </w:rPr>
            <w:fldChar w:fldCharType="separate"/>
          </w:r>
          <w:r w:rsidR="00CE17F7">
            <w:rPr>
              <w:rFonts w:asciiTheme="majorBidi" w:hAnsiTheme="majorBidi" w:cstheme="majorBidi"/>
              <w:noProof/>
              <w:sz w:val="24"/>
              <w:szCs w:val="24"/>
            </w:rPr>
            <w:t xml:space="preserve"> </w:t>
          </w:r>
          <w:r w:rsidR="00CE17F7" w:rsidRPr="0002256A">
            <w:rPr>
              <w:rFonts w:asciiTheme="majorBidi" w:hAnsiTheme="majorBidi" w:cstheme="majorBidi"/>
              <w:noProof/>
              <w:sz w:val="24"/>
              <w:szCs w:val="24"/>
            </w:rPr>
            <w:t>(Tezer &amp; Tofighi, 2021)</w:t>
          </w:r>
          <w:r w:rsidR="00CE17F7"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w:t>
      </w:r>
      <w:r>
        <w:rPr>
          <w:rFonts w:asciiTheme="majorBidi" w:hAnsiTheme="majorBidi" w:cstheme="majorBidi"/>
          <w:sz w:val="24"/>
          <w:szCs w:val="24"/>
        </w:rPr>
        <w:t xml:space="preserve">For that reason, this study will implement the research on the consumer goods industry in which it is possible to have more than one brand that are leaders in the category and have high typicality.  </w:t>
      </w:r>
    </w:p>
    <w:p w14:paraId="7F3603BE" w14:textId="72D12E38" w:rsidR="00A96566" w:rsidRPr="0066107A" w:rsidRDefault="00A96566" w:rsidP="00F942AB">
      <w:pPr>
        <w:spacing w:after="0" w:line="480" w:lineRule="auto"/>
        <w:ind w:firstLine="720"/>
        <w:rPr>
          <w:rFonts w:asciiTheme="majorBidi" w:hAnsiTheme="majorBidi" w:cstheme="majorBidi"/>
          <w:sz w:val="24"/>
          <w:szCs w:val="24"/>
        </w:rPr>
      </w:pPr>
      <w:r w:rsidRPr="0066107A">
        <w:rPr>
          <w:rFonts w:asciiTheme="majorBidi" w:hAnsiTheme="majorBidi" w:cstheme="majorBidi"/>
          <w:sz w:val="24"/>
          <w:szCs w:val="24"/>
        </w:rPr>
        <w:t>Additionally, the size of the corporation or the stage of the company in its life cycle is necessary to set the right CSR strategy. This is because, it appears that, brand association with CSR activities are not as high as associations with non-CSR activities</w:t>
      </w:r>
      <w:sdt>
        <w:sdtPr>
          <w:rPr>
            <w:rFonts w:asciiTheme="majorBidi" w:hAnsiTheme="majorBidi" w:cstheme="majorBidi"/>
            <w:sz w:val="24"/>
            <w:szCs w:val="24"/>
          </w:rPr>
          <w:id w:val="1385835984"/>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Baw16 \l 2057 </w:instrText>
          </w:r>
          <w:r w:rsidRPr="0066107A">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(Bawa &amp; Saha, 2016)</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Hence, companies that believe their </w:t>
      </w:r>
      <w:r w:rsidRPr="00C4527B">
        <w:rPr>
          <w:rFonts w:asciiTheme="majorBidi" w:hAnsiTheme="majorBidi" w:cstheme="majorBidi"/>
          <w:sz w:val="24"/>
          <w:szCs w:val="24"/>
        </w:rPr>
        <w:t xml:space="preserve">brands do not have the highest levels of awareness or maturity in the market yet should </w:t>
      </w:r>
      <w:r w:rsidR="001A7D6E" w:rsidRPr="00C4527B">
        <w:rPr>
          <w:rFonts w:asciiTheme="majorBidi" w:hAnsiTheme="majorBidi" w:cstheme="majorBidi"/>
          <w:sz w:val="24"/>
          <w:szCs w:val="24"/>
        </w:rPr>
        <w:t xml:space="preserve">invest </w:t>
      </w:r>
      <w:r w:rsidRPr="00C4527B">
        <w:rPr>
          <w:rFonts w:asciiTheme="majorBidi" w:hAnsiTheme="majorBidi" w:cstheme="majorBidi"/>
          <w:sz w:val="24"/>
          <w:szCs w:val="24"/>
        </w:rPr>
        <w:t>more in commercial marketing (non-CSR) activities than in CSR-activities</w:t>
      </w:r>
      <w:sdt>
        <w:sdtPr>
          <w:rPr>
            <w:rFonts w:asciiTheme="majorBidi" w:hAnsiTheme="majorBidi" w:cstheme="majorBidi"/>
            <w:sz w:val="24"/>
            <w:szCs w:val="24"/>
          </w:rPr>
          <w:id w:val="1113099613"/>
          <w:citation/>
        </w:sdtPr>
        <w:sdtContent>
          <w:r w:rsidRPr="00C4527B">
            <w:rPr>
              <w:rFonts w:asciiTheme="majorBidi" w:hAnsiTheme="majorBidi" w:cstheme="majorBidi"/>
              <w:sz w:val="24"/>
              <w:szCs w:val="24"/>
            </w:rPr>
            <w:fldChar w:fldCharType="begin"/>
          </w:r>
          <w:r w:rsidRPr="00C4527B">
            <w:rPr>
              <w:rFonts w:asciiTheme="majorBidi" w:hAnsiTheme="majorBidi" w:cstheme="majorBidi"/>
              <w:sz w:val="24"/>
              <w:szCs w:val="24"/>
            </w:rPr>
            <w:instrText xml:space="preserve"> CITATION Baw16 \l 2057 </w:instrText>
          </w:r>
          <w:r w:rsidRPr="00C4527B">
            <w:rPr>
              <w:rFonts w:asciiTheme="majorBidi" w:hAnsiTheme="majorBidi" w:cstheme="majorBidi"/>
              <w:sz w:val="24"/>
              <w:szCs w:val="24"/>
            </w:rPr>
            <w:fldChar w:fldCharType="separate"/>
          </w:r>
          <w:r w:rsidRPr="00C4527B">
            <w:rPr>
              <w:rFonts w:asciiTheme="majorBidi" w:hAnsiTheme="majorBidi" w:cstheme="majorBidi"/>
              <w:noProof/>
              <w:sz w:val="24"/>
              <w:szCs w:val="24"/>
            </w:rPr>
            <w:t xml:space="preserve"> (Bawa &amp; Saha, 2016)</w:t>
          </w:r>
          <w:r w:rsidRPr="00C4527B">
            <w:rPr>
              <w:rFonts w:asciiTheme="majorBidi" w:hAnsiTheme="majorBidi" w:cstheme="majorBidi"/>
              <w:sz w:val="24"/>
              <w:szCs w:val="24"/>
            </w:rPr>
            <w:fldChar w:fldCharType="end"/>
          </w:r>
        </w:sdtContent>
      </w:sdt>
      <w:r w:rsidRPr="00C4527B">
        <w:rPr>
          <w:rFonts w:asciiTheme="majorBidi" w:hAnsiTheme="majorBidi" w:cstheme="majorBidi"/>
          <w:sz w:val="24"/>
          <w:szCs w:val="24"/>
        </w:rPr>
        <w:t>.</w:t>
      </w:r>
      <w:r w:rsidRPr="0066107A">
        <w:rPr>
          <w:rFonts w:asciiTheme="majorBidi" w:hAnsiTheme="majorBidi" w:cstheme="majorBidi"/>
          <w:sz w:val="24"/>
          <w:szCs w:val="24"/>
        </w:rPr>
        <w:t xml:space="preserve"> Hence, this study, focuses on the impact of mature and famous brands </w:t>
      </w:r>
      <w:r>
        <w:rPr>
          <w:rFonts w:asciiTheme="majorBidi" w:hAnsiTheme="majorBidi" w:cstheme="majorBidi"/>
          <w:sz w:val="24"/>
          <w:szCs w:val="24"/>
        </w:rPr>
        <w:t xml:space="preserve">in FMCG </w:t>
      </w:r>
      <w:r w:rsidRPr="0066107A">
        <w:rPr>
          <w:rFonts w:asciiTheme="majorBidi" w:hAnsiTheme="majorBidi" w:cstheme="majorBidi"/>
          <w:sz w:val="24"/>
          <w:szCs w:val="24"/>
        </w:rPr>
        <w:t xml:space="preserve">launching large CSR campaigns versus </w:t>
      </w:r>
      <w:r>
        <w:rPr>
          <w:rFonts w:asciiTheme="majorBidi" w:hAnsiTheme="majorBidi" w:cstheme="majorBidi"/>
          <w:sz w:val="24"/>
          <w:szCs w:val="24"/>
        </w:rPr>
        <w:t>non-CSR</w:t>
      </w:r>
      <w:r w:rsidRPr="0066107A">
        <w:rPr>
          <w:rFonts w:asciiTheme="majorBidi" w:hAnsiTheme="majorBidi" w:cstheme="majorBidi"/>
          <w:sz w:val="24"/>
          <w:szCs w:val="24"/>
        </w:rPr>
        <w:t xml:space="preserve"> marketing campaigns. </w:t>
      </w:r>
    </w:p>
    <w:p w14:paraId="1F06BAE4" w14:textId="736BEFDD" w:rsidR="00A96566" w:rsidRPr="0066107A" w:rsidRDefault="00460517" w:rsidP="00C95C8A">
      <w:pPr>
        <w:ind w:firstLine="720"/>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w:t>
      </w:r>
      <w:r w:rsidR="00DD69CF">
        <w:rPr>
          <w:rFonts w:asciiTheme="majorBidi" w:hAnsiTheme="majorBidi" w:cstheme="majorBidi"/>
          <w:b/>
          <w:bCs/>
          <w:sz w:val="24"/>
          <w:szCs w:val="24"/>
        </w:rPr>
        <w:t>8</w:t>
      </w:r>
      <w:r w:rsidR="00A96566">
        <w:rPr>
          <w:rFonts w:asciiTheme="majorBidi" w:hAnsiTheme="majorBidi" w:cstheme="majorBidi"/>
          <w:b/>
          <w:bCs/>
          <w:sz w:val="24"/>
          <w:szCs w:val="24"/>
        </w:rPr>
        <w:t xml:space="preserve">.2 </w:t>
      </w:r>
      <w:r w:rsidR="00A96566" w:rsidRPr="0066107A">
        <w:rPr>
          <w:rFonts w:asciiTheme="majorBidi" w:hAnsiTheme="majorBidi" w:cstheme="majorBidi"/>
          <w:b/>
          <w:bCs/>
          <w:sz w:val="24"/>
          <w:szCs w:val="24"/>
        </w:rPr>
        <w:t>CSR-Company</w:t>
      </w:r>
      <w:r w:rsidR="00A96566">
        <w:rPr>
          <w:rFonts w:asciiTheme="majorBidi" w:hAnsiTheme="majorBidi" w:cstheme="majorBidi"/>
          <w:b/>
          <w:bCs/>
          <w:sz w:val="24"/>
          <w:szCs w:val="24"/>
        </w:rPr>
        <w:t xml:space="preserve"> </w:t>
      </w:r>
      <w:r w:rsidR="00A96566" w:rsidRPr="0066107A">
        <w:rPr>
          <w:rFonts w:asciiTheme="majorBidi" w:hAnsiTheme="majorBidi" w:cstheme="majorBidi"/>
          <w:b/>
          <w:bCs/>
          <w:sz w:val="24"/>
          <w:szCs w:val="24"/>
        </w:rPr>
        <w:t xml:space="preserve">fit </w:t>
      </w:r>
    </w:p>
    <w:p w14:paraId="603C8D4D" w14:textId="3350A31B" w:rsidR="00A96566" w:rsidRPr="0066107A" w:rsidRDefault="00A96566" w:rsidP="00F94905">
      <w:pPr>
        <w:spacing w:after="0" w:line="480" w:lineRule="auto"/>
        <w:ind w:firstLine="720"/>
        <w:rPr>
          <w:rFonts w:asciiTheme="majorBidi" w:hAnsiTheme="majorBidi" w:cstheme="majorBidi"/>
          <w:sz w:val="24"/>
          <w:szCs w:val="24"/>
        </w:rPr>
      </w:pPr>
      <w:r w:rsidRPr="0066107A">
        <w:rPr>
          <w:rFonts w:asciiTheme="majorBidi" w:hAnsiTheme="majorBidi" w:cstheme="majorBidi"/>
          <w:sz w:val="24"/>
          <w:szCs w:val="24"/>
        </w:rPr>
        <w:t>Another concept that is heavily discussed in CSR literature is the concept of “CSR-fit” or “CSR-company fit.” This concept refers to the consumers’ perception of the degree of relevance or congruency between the nature of the CSR campaign and the type of industry or business that the company is operating in</w:t>
      </w:r>
      <w:sdt>
        <w:sdtPr>
          <w:rPr>
            <w:rFonts w:asciiTheme="majorBidi" w:hAnsiTheme="majorBidi" w:cstheme="majorBidi"/>
            <w:sz w:val="24"/>
            <w:szCs w:val="24"/>
          </w:rPr>
          <w:id w:val="-210078768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Aus18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(Austin &amp; Gaither , 2018)</w:t>
          </w:r>
          <w:r>
            <w:rPr>
              <w:rFonts w:asciiTheme="majorBidi" w:hAnsiTheme="majorBidi" w:cstheme="majorBidi"/>
              <w:sz w:val="24"/>
              <w:szCs w:val="24"/>
            </w:rPr>
            <w:fldChar w:fldCharType="end"/>
          </w:r>
        </w:sdtContent>
      </w:sdt>
      <w:r w:rsidRPr="0066107A">
        <w:rPr>
          <w:rFonts w:asciiTheme="majorBidi" w:hAnsiTheme="majorBidi" w:cstheme="majorBidi"/>
          <w:sz w:val="24"/>
          <w:szCs w:val="24"/>
        </w:rPr>
        <w:t>.</w:t>
      </w:r>
      <w:r>
        <w:rPr>
          <w:rFonts w:asciiTheme="majorBidi" w:hAnsiTheme="majorBidi" w:cstheme="majorBidi"/>
          <w:sz w:val="24"/>
          <w:szCs w:val="24"/>
        </w:rPr>
        <w:t xml:space="preserve"> </w:t>
      </w:r>
      <w:r w:rsidRPr="00220D81">
        <w:rPr>
          <w:rFonts w:asciiTheme="majorBidi" w:hAnsiTheme="majorBidi" w:cstheme="majorBidi"/>
          <w:sz w:val="24"/>
          <w:szCs w:val="24"/>
        </w:rPr>
        <w:t>The nature of the CSR campaign is often decided based on the company’s industry or context of operation. In literature, CSR is often classified based on the nature or social topic that the campaign encompasses or the strategy of the CSR campaign. In other words, CSR emerges from the area and scope of the company’s sector</w:t>
      </w:r>
      <w:r>
        <w:rPr>
          <w:rFonts w:asciiTheme="majorBidi" w:hAnsiTheme="majorBidi" w:cstheme="majorBidi"/>
          <w:sz w:val="24"/>
          <w:szCs w:val="24"/>
        </w:rPr>
        <w:t xml:space="preserve"> </w:t>
      </w:r>
      <w:sdt>
        <w:sdtPr>
          <w:rPr>
            <w:rFonts w:asciiTheme="majorBidi" w:hAnsiTheme="majorBidi" w:cstheme="majorBidi"/>
            <w:sz w:val="24"/>
            <w:szCs w:val="24"/>
          </w:rPr>
          <w:id w:val="81122051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Fre16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(Frederick, 2016)</w:t>
          </w:r>
          <w:r>
            <w:rPr>
              <w:rFonts w:asciiTheme="majorBidi" w:hAnsiTheme="majorBidi" w:cstheme="majorBidi"/>
              <w:sz w:val="24"/>
              <w:szCs w:val="24"/>
            </w:rPr>
            <w:fldChar w:fldCharType="end"/>
          </w:r>
        </w:sdtContent>
      </w:sdt>
      <w:r>
        <w:rPr>
          <w:rFonts w:asciiTheme="majorBidi" w:hAnsiTheme="majorBidi" w:cstheme="majorBidi"/>
          <w:sz w:val="24"/>
          <w:szCs w:val="24"/>
        </w:rPr>
        <w:t>. Nevertheless, w</w:t>
      </w:r>
      <w:r w:rsidRPr="0066107A">
        <w:rPr>
          <w:rFonts w:asciiTheme="majorBidi" w:hAnsiTheme="majorBidi" w:cstheme="majorBidi"/>
          <w:sz w:val="24"/>
          <w:szCs w:val="24"/>
        </w:rPr>
        <w:t xml:space="preserve">hether CSR activities have a low fit or a high fit with the company, it does not necessarily indicate that they will be positively or negatively received by the public </w:t>
      </w:r>
      <w:sdt>
        <w:sdtPr>
          <w:rPr>
            <w:rFonts w:asciiTheme="majorBidi" w:hAnsiTheme="majorBidi" w:cstheme="majorBidi"/>
            <w:sz w:val="24"/>
            <w:szCs w:val="24"/>
          </w:rPr>
          <w:id w:val="1478486910"/>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van17 \l 2057 </w:instrText>
          </w:r>
          <w:r>
            <w:rPr>
              <w:rFonts w:asciiTheme="majorBidi" w:hAnsiTheme="majorBidi" w:cstheme="majorBidi"/>
              <w:sz w:val="24"/>
              <w:szCs w:val="24"/>
            </w:rPr>
            <w:instrText xml:space="preserve"> \m Zas17</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(van der Meer &amp; de Jong, 2017; Zasuwa, 2017)</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w:t>
      </w:r>
      <w:r w:rsidR="007B0F6A">
        <w:rPr>
          <w:rFonts w:asciiTheme="majorBidi" w:hAnsiTheme="majorBidi" w:cstheme="majorBidi"/>
          <w:sz w:val="24"/>
          <w:szCs w:val="24"/>
        </w:rPr>
        <w:t xml:space="preserve"> As discussed above,</w:t>
      </w:r>
      <w:r w:rsidRPr="0066107A">
        <w:rPr>
          <w:rFonts w:asciiTheme="majorBidi" w:hAnsiTheme="majorBidi" w:cstheme="majorBidi"/>
          <w:sz w:val="24"/>
          <w:szCs w:val="24"/>
        </w:rPr>
        <w:t xml:space="preserve"> </w:t>
      </w:r>
      <w:r w:rsidR="007B0F6A" w:rsidRPr="0066107A">
        <w:rPr>
          <w:rFonts w:asciiTheme="majorBidi" w:hAnsiTheme="majorBidi" w:cstheme="majorBidi"/>
          <w:sz w:val="24"/>
          <w:szCs w:val="24"/>
        </w:rPr>
        <w:t>the</w:t>
      </w:r>
      <w:r w:rsidRPr="0066107A">
        <w:rPr>
          <w:rFonts w:asciiTheme="majorBidi" w:hAnsiTheme="majorBidi" w:cstheme="majorBidi"/>
          <w:sz w:val="24"/>
          <w:szCs w:val="24"/>
        </w:rPr>
        <w:t xml:space="preserve"> importance of high fit relies on multiple variables such as the company’s prior reputation, the way the CSR message was constructed, and the company’s corporate ability in general. </w:t>
      </w:r>
    </w:p>
    <w:p w14:paraId="0E059FF6" w14:textId="2DC11939" w:rsidR="00A96566" w:rsidRPr="0066107A" w:rsidRDefault="00A96566" w:rsidP="00F94905">
      <w:pPr>
        <w:adjustRightInd w:val="0"/>
        <w:spacing w:after="0" w:line="480" w:lineRule="auto"/>
        <w:ind w:firstLine="720"/>
        <w:jc w:val="lowKashida"/>
        <w:rPr>
          <w:rFonts w:asciiTheme="majorBidi" w:hAnsiTheme="majorBidi" w:cstheme="majorBidi"/>
          <w:sz w:val="24"/>
          <w:szCs w:val="24"/>
        </w:rPr>
      </w:pPr>
      <w:r w:rsidRPr="0066107A">
        <w:rPr>
          <w:rFonts w:asciiTheme="majorBidi" w:hAnsiTheme="majorBidi" w:cstheme="majorBidi"/>
          <w:sz w:val="24"/>
          <w:szCs w:val="24"/>
        </w:rPr>
        <w:t>A large body of literature argue</w:t>
      </w:r>
      <w:r w:rsidR="001A7D6E">
        <w:rPr>
          <w:rFonts w:asciiTheme="majorBidi" w:hAnsiTheme="majorBidi" w:cstheme="majorBidi"/>
          <w:sz w:val="24"/>
          <w:szCs w:val="24"/>
        </w:rPr>
        <w:t>s</w:t>
      </w:r>
      <w:r w:rsidRPr="0066107A">
        <w:rPr>
          <w:rFonts w:asciiTheme="majorBidi" w:hAnsiTheme="majorBidi" w:cstheme="majorBidi"/>
          <w:sz w:val="24"/>
          <w:szCs w:val="24"/>
        </w:rPr>
        <w:t xml:space="preserve"> in favour of the importance of companies conducing CSR campaigns in areas that are relevant to the business or operating nature of the company </w:t>
      </w:r>
      <w:sdt>
        <w:sdtPr>
          <w:rPr>
            <w:rFonts w:asciiTheme="majorBidi" w:hAnsiTheme="majorBidi" w:cstheme="majorBidi"/>
            <w:sz w:val="24"/>
            <w:szCs w:val="24"/>
          </w:rPr>
          <w:id w:val="343369927"/>
          <w:citation/>
        </w:sdtPr>
        <w:sdtContent>
          <w:r w:rsidRPr="0066107A">
            <w:rPr>
              <w:rFonts w:asciiTheme="majorBidi" w:hAnsiTheme="majorBidi" w:cstheme="majorBidi"/>
              <w:sz w:val="24"/>
              <w:szCs w:val="24"/>
            </w:rPr>
            <w:fldChar w:fldCharType="begin"/>
          </w:r>
          <w:r>
            <w:rPr>
              <w:rFonts w:asciiTheme="majorBidi" w:hAnsiTheme="majorBidi" w:cstheme="majorBidi"/>
              <w:sz w:val="24"/>
              <w:szCs w:val="24"/>
            </w:rPr>
            <w:instrText xml:space="preserve">CITATION Xin17 \m DuS10 \t  \m GoE17 \m Tan12 \t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(Deng &amp; Xu, 2017; Du, Bhattacharya, &amp; Sen, 2010; Go &amp; Bortree, 2017; Tang, Hull, &amp; Rothenberg, 2012)</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In fact, some researchers claim that high levels of CSR fit lead to positive behaviours towards the company from its customers and </w:t>
      </w:r>
      <w:r>
        <w:rPr>
          <w:rFonts w:asciiTheme="majorBidi" w:hAnsiTheme="majorBidi" w:cstheme="majorBidi"/>
          <w:sz w:val="24"/>
          <w:szCs w:val="24"/>
        </w:rPr>
        <w:t>other</w:t>
      </w:r>
      <w:r w:rsidRPr="0066107A">
        <w:rPr>
          <w:rFonts w:asciiTheme="majorBidi" w:hAnsiTheme="majorBidi" w:cstheme="majorBidi"/>
          <w:sz w:val="24"/>
          <w:szCs w:val="24"/>
        </w:rPr>
        <w:t xml:space="preserve"> stakeholders </w:t>
      </w:r>
      <w:sdt>
        <w:sdtPr>
          <w:rPr>
            <w:rFonts w:asciiTheme="majorBidi" w:hAnsiTheme="majorBidi" w:cstheme="majorBidi"/>
            <w:sz w:val="24"/>
            <w:szCs w:val="24"/>
          </w:rPr>
          <w:id w:val="-1736693285"/>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CITATION Bec21 \t  \m Kim18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(Becker-Olsen, Cudmore, &amp; Hill, 2006; Kim, Overton , Hull, &amp; Choi, 2018)</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and increases the message</w:t>
      </w:r>
      <w:r>
        <w:rPr>
          <w:rFonts w:asciiTheme="majorBidi" w:hAnsiTheme="majorBidi" w:cstheme="majorBidi"/>
          <w:sz w:val="24"/>
          <w:szCs w:val="24"/>
        </w:rPr>
        <w:t xml:space="preserve"> </w:t>
      </w:r>
      <w:r w:rsidRPr="0066107A">
        <w:rPr>
          <w:rFonts w:asciiTheme="majorBidi" w:hAnsiTheme="majorBidi" w:cstheme="majorBidi"/>
          <w:sz w:val="24"/>
          <w:szCs w:val="24"/>
        </w:rPr>
        <w:t xml:space="preserve">credibility </w:t>
      </w:r>
      <w:sdt>
        <w:sdtPr>
          <w:rPr>
            <w:rFonts w:asciiTheme="majorBidi" w:hAnsiTheme="majorBidi" w:cstheme="majorBidi"/>
            <w:sz w:val="24"/>
            <w:szCs w:val="24"/>
          </w:rPr>
          <w:id w:val="545639279"/>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GoE17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(Go &amp; Bortree, 2017)</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w:t>
      </w:r>
      <w:r>
        <w:rPr>
          <w:rFonts w:asciiTheme="majorBidi" w:hAnsiTheme="majorBidi" w:cstheme="majorBidi"/>
          <w:sz w:val="24"/>
          <w:szCs w:val="24"/>
        </w:rPr>
        <w:t>To illustrate, a study conducted on sports fans, classified types of CSR as philanthropic activities, community relations, environmental management, diversity and equality, labour relations activities, and sports governance activities</w:t>
      </w:r>
      <w:sdt>
        <w:sdtPr>
          <w:rPr>
            <w:rFonts w:asciiTheme="majorBidi" w:hAnsiTheme="majorBidi" w:cstheme="majorBidi"/>
            <w:sz w:val="24"/>
            <w:szCs w:val="24"/>
          </w:rPr>
          <w:id w:val="-125427398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Mam21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(Mamo, Agyemang, &amp; Andrew,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results of this study confirm that the most valued CSR areas for the fans were sports governance activities followed by environmental management and philanthropic activities </w:t>
      </w:r>
      <w:sdt>
        <w:sdtPr>
          <w:rPr>
            <w:rFonts w:asciiTheme="majorBidi" w:hAnsiTheme="majorBidi" w:cstheme="majorBidi"/>
            <w:sz w:val="24"/>
            <w:szCs w:val="24"/>
          </w:rPr>
          <w:id w:val="94219186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Mam21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(Mamo, Agyemang, &amp; Andrew,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66107A">
        <w:rPr>
          <w:rFonts w:asciiTheme="majorBidi" w:hAnsiTheme="majorBidi" w:cstheme="majorBidi"/>
          <w:sz w:val="24"/>
          <w:szCs w:val="24"/>
        </w:rPr>
        <w:t xml:space="preserve">Similarly, in a systematic literature review, Peloza and Shang </w:t>
      </w:r>
      <w:sdt>
        <w:sdtPr>
          <w:rPr>
            <w:rFonts w:asciiTheme="majorBidi" w:hAnsiTheme="majorBidi" w:cstheme="majorBidi"/>
            <w:sz w:val="24"/>
            <w:szCs w:val="24"/>
          </w:rPr>
          <w:id w:val="202367723"/>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CITATION Pel11 \n  \t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(2011)</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found that out of 16 studies, 13 of them indicate that </w:t>
      </w:r>
      <w:r w:rsidRPr="00C4527B">
        <w:rPr>
          <w:rFonts w:asciiTheme="majorBidi" w:hAnsiTheme="majorBidi" w:cstheme="majorBidi"/>
          <w:sz w:val="24"/>
          <w:szCs w:val="24"/>
        </w:rPr>
        <w:t>CSR-company fit</w:t>
      </w:r>
      <w:r w:rsidRPr="0066107A">
        <w:rPr>
          <w:rFonts w:asciiTheme="majorBidi" w:hAnsiTheme="majorBidi" w:cstheme="majorBidi"/>
          <w:sz w:val="24"/>
          <w:szCs w:val="24"/>
        </w:rPr>
        <w:t xml:space="preserve"> improves stakeholders’ attitudes towards the company. These findings support “</w:t>
      </w:r>
      <w:r>
        <w:rPr>
          <w:rFonts w:asciiTheme="majorBidi" w:hAnsiTheme="majorBidi" w:cstheme="majorBidi"/>
          <w:sz w:val="24"/>
          <w:szCs w:val="24"/>
        </w:rPr>
        <w:t>t</w:t>
      </w:r>
      <w:r w:rsidRPr="0066107A">
        <w:rPr>
          <w:rFonts w:asciiTheme="majorBidi" w:hAnsiTheme="majorBidi" w:cstheme="majorBidi"/>
          <w:sz w:val="24"/>
          <w:szCs w:val="24"/>
        </w:rPr>
        <w:t xml:space="preserve">he congruency theory” that supports the importance of having all aspects of a company’s operations synchronized </w:t>
      </w:r>
      <w:r>
        <w:rPr>
          <w:rFonts w:asciiTheme="majorBidi" w:hAnsiTheme="majorBidi" w:cstheme="majorBidi"/>
          <w:sz w:val="24"/>
          <w:szCs w:val="24"/>
        </w:rPr>
        <w:t>with</w:t>
      </w:r>
      <w:r w:rsidRPr="0066107A">
        <w:rPr>
          <w:rFonts w:asciiTheme="majorBidi" w:hAnsiTheme="majorBidi" w:cstheme="majorBidi"/>
          <w:sz w:val="24"/>
          <w:szCs w:val="24"/>
        </w:rPr>
        <w:t xml:space="preserve"> the organization’s performance </w:t>
      </w:r>
      <w:sdt>
        <w:sdtPr>
          <w:rPr>
            <w:rFonts w:asciiTheme="majorBidi" w:hAnsiTheme="majorBidi" w:cstheme="majorBidi"/>
            <w:sz w:val="24"/>
            <w:szCs w:val="24"/>
          </w:rPr>
          <w:id w:val="1972555625"/>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Nad80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(Nadler &amp; Tushman, 1980)</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w:t>
      </w:r>
      <w:r>
        <w:rPr>
          <w:rFonts w:asciiTheme="majorBidi" w:hAnsiTheme="majorBidi" w:cstheme="majorBidi"/>
          <w:sz w:val="24"/>
          <w:szCs w:val="24"/>
        </w:rPr>
        <w:t xml:space="preserve"> </w:t>
      </w:r>
      <w:r w:rsidRPr="00C26495">
        <w:rPr>
          <w:rFonts w:asciiTheme="majorBidi" w:hAnsiTheme="majorBidi" w:cstheme="majorBidi"/>
          <w:sz w:val="24"/>
          <w:szCs w:val="24"/>
        </w:rPr>
        <w:t>Actually, it appears in other sources in literature that the importance of CSR-fit highly depends on the company’s reputation prior to launching CSR campaigns.</w:t>
      </w:r>
      <w:r w:rsidR="001A7D6E">
        <w:rPr>
          <w:rFonts w:asciiTheme="majorBidi" w:hAnsiTheme="majorBidi" w:cstheme="majorBidi"/>
          <w:sz w:val="24"/>
          <w:szCs w:val="24"/>
        </w:rPr>
        <w:t xml:space="preserve"> </w:t>
      </w:r>
      <w:r w:rsidRPr="00C26495">
        <w:rPr>
          <w:rFonts w:asciiTheme="majorBidi" w:hAnsiTheme="majorBidi" w:cstheme="majorBidi"/>
          <w:sz w:val="24"/>
          <w:szCs w:val="24"/>
        </w:rPr>
        <w:t xml:space="preserve">Some authors conclude that when corporates have a prior positive reputation, high CSR </w:t>
      </w:r>
      <w:r>
        <w:rPr>
          <w:rFonts w:asciiTheme="majorBidi" w:hAnsiTheme="majorBidi" w:cstheme="majorBidi"/>
          <w:sz w:val="24"/>
          <w:szCs w:val="24"/>
        </w:rPr>
        <w:t xml:space="preserve">fit </w:t>
      </w:r>
      <w:r w:rsidRPr="00C26495">
        <w:rPr>
          <w:rFonts w:asciiTheme="majorBidi" w:hAnsiTheme="majorBidi" w:cstheme="majorBidi"/>
          <w:sz w:val="24"/>
          <w:szCs w:val="24"/>
        </w:rPr>
        <w:t xml:space="preserve">(such as automobile manufacturing company conducting CSR activities on traffic safety) may lead to less scepticism </w:t>
      </w:r>
      <w:sdt>
        <w:sdtPr>
          <w:rPr>
            <w:rFonts w:asciiTheme="majorBidi" w:hAnsiTheme="majorBidi" w:cstheme="majorBidi"/>
            <w:sz w:val="24"/>
            <w:szCs w:val="24"/>
          </w:rPr>
          <w:id w:val="-67249668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Kim18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(Kim, Overton , Hull, &amp; Choi,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C26495">
        <w:rPr>
          <w:rFonts w:asciiTheme="majorBidi" w:hAnsiTheme="majorBidi" w:cstheme="majorBidi"/>
          <w:sz w:val="24"/>
          <w:szCs w:val="24"/>
        </w:rPr>
        <w:t>However, in many cases, CSR campaigns as a concept (whether it’s a high-fit or low-fit) could be beneficial for reputable companies</w:t>
      </w:r>
      <w:r w:rsidR="001A7D6E">
        <w:rPr>
          <w:rFonts w:asciiTheme="majorBidi" w:hAnsiTheme="majorBidi" w:cstheme="majorBidi"/>
          <w:sz w:val="24"/>
          <w:szCs w:val="24"/>
        </w:rPr>
        <w:t>,</w:t>
      </w:r>
      <w:r w:rsidRPr="00C26495">
        <w:rPr>
          <w:rFonts w:asciiTheme="majorBidi" w:hAnsiTheme="majorBidi" w:cstheme="majorBidi"/>
          <w:sz w:val="24"/>
          <w:szCs w:val="24"/>
        </w:rPr>
        <w:t xml:space="preserve"> whereas high-fit or low-fit CSR campaigns may be disadvantageous for companies with prior negative reputation </w:t>
      </w:r>
      <w:sdt>
        <w:sdtPr>
          <w:rPr>
            <w:rFonts w:asciiTheme="majorBidi" w:hAnsiTheme="majorBidi" w:cstheme="majorBidi"/>
            <w:sz w:val="24"/>
            <w:szCs w:val="24"/>
          </w:rPr>
          <w:id w:val="-74202197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Kim19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(Kim &amp; Ferguson, 2019)</w:t>
          </w:r>
          <w:r>
            <w:rPr>
              <w:rFonts w:asciiTheme="majorBidi" w:hAnsiTheme="majorBidi" w:cstheme="majorBidi"/>
              <w:sz w:val="24"/>
              <w:szCs w:val="24"/>
            </w:rPr>
            <w:fldChar w:fldCharType="end"/>
          </w:r>
        </w:sdtContent>
      </w:sdt>
      <w:r w:rsidRPr="00C26495">
        <w:rPr>
          <w:rFonts w:asciiTheme="majorBidi" w:hAnsiTheme="majorBidi" w:cstheme="majorBidi"/>
          <w:sz w:val="24"/>
          <w:szCs w:val="24"/>
        </w:rPr>
        <w:t>. This is because consumers’ scepticism towards the company with bad reputation might increase when they find this company is undergoing CSR activations</w:t>
      </w:r>
      <w:r w:rsidRPr="00BB5BAC">
        <w:rPr>
          <w:rFonts w:asciiTheme="majorBidi" w:hAnsiTheme="majorBidi" w:cstheme="majorBidi"/>
          <w:sz w:val="24"/>
          <w:szCs w:val="24"/>
        </w:rPr>
        <w:t xml:space="preserve"> </w:t>
      </w:r>
      <w:sdt>
        <w:sdtPr>
          <w:rPr>
            <w:rFonts w:asciiTheme="majorBidi" w:hAnsiTheme="majorBidi" w:cstheme="majorBidi"/>
            <w:sz w:val="24"/>
            <w:szCs w:val="24"/>
          </w:rPr>
          <w:id w:val="94272450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Kim19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(Kim &amp; Ferguson, 2019)</w:t>
          </w:r>
          <w:r>
            <w:rPr>
              <w:rFonts w:asciiTheme="majorBidi" w:hAnsiTheme="majorBidi" w:cstheme="majorBidi"/>
              <w:sz w:val="24"/>
              <w:szCs w:val="24"/>
            </w:rPr>
            <w:fldChar w:fldCharType="end"/>
          </w:r>
        </w:sdtContent>
      </w:sdt>
      <w:r w:rsidRPr="00C26495">
        <w:rPr>
          <w:rFonts w:asciiTheme="majorBidi" w:hAnsiTheme="majorBidi" w:cstheme="majorBidi"/>
          <w:sz w:val="24"/>
          <w:szCs w:val="24"/>
        </w:rPr>
        <w:t>.</w:t>
      </w:r>
    </w:p>
    <w:p w14:paraId="08D663CE" w14:textId="7094FC0A" w:rsidR="00A96566" w:rsidRPr="0066107A" w:rsidRDefault="00460517" w:rsidP="00A96566">
      <w:pPr>
        <w:ind w:firstLine="720"/>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w:t>
      </w:r>
      <w:r w:rsidR="00DD69CF">
        <w:rPr>
          <w:rFonts w:asciiTheme="majorBidi" w:hAnsiTheme="majorBidi" w:cstheme="majorBidi"/>
          <w:b/>
          <w:bCs/>
          <w:sz w:val="24"/>
          <w:szCs w:val="24"/>
        </w:rPr>
        <w:t>8</w:t>
      </w:r>
      <w:r w:rsidR="00683658">
        <w:rPr>
          <w:rFonts w:asciiTheme="majorBidi" w:hAnsiTheme="majorBidi" w:cstheme="majorBidi"/>
          <w:b/>
          <w:bCs/>
          <w:sz w:val="24"/>
          <w:szCs w:val="24"/>
        </w:rPr>
        <w:t>.</w:t>
      </w:r>
      <w:r w:rsidR="00A96566">
        <w:rPr>
          <w:rFonts w:asciiTheme="majorBidi" w:hAnsiTheme="majorBidi" w:cstheme="majorBidi"/>
          <w:b/>
          <w:bCs/>
          <w:sz w:val="24"/>
          <w:szCs w:val="24"/>
        </w:rPr>
        <w:t xml:space="preserve">3 </w:t>
      </w:r>
      <w:r w:rsidR="00A96566" w:rsidRPr="0066107A">
        <w:rPr>
          <w:rFonts w:asciiTheme="majorBidi" w:hAnsiTheme="majorBidi" w:cstheme="majorBidi"/>
          <w:b/>
          <w:bCs/>
          <w:sz w:val="24"/>
          <w:szCs w:val="24"/>
        </w:rPr>
        <w:t xml:space="preserve">The Communication: The What and The How </w:t>
      </w:r>
    </w:p>
    <w:p w14:paraId="08C0F42F" w14:textId="0743438D" w:rsidR="00A96566" w:rsidRPr="0066107A" w:rsidRDefault="00A96566" w:rsidP="00C95C8A">
      <w:pPr>
        <w:adjustRightInd w:val="0"/>
        <w:rPr>
          <w:rFonts w:asciiTheme="majorBidi" w:hAnsiTheme="majorBidi" w:cstheme="majorBidi"/>
          <w:b/>
          <w:bCs/>
          <w:sz w:val="24"/>
          <w:szCs w:val="24"/>
        </w:rPr>
      </w:pPr>
      <w:r w:rsidRPr="0066107A">
        <w:rPr>
          <w:rFonts w:asciiTheme="majorBidi" w:hAnsiTheme="majorBidi" w:cstheme="majorBidi"/>
          <w:b/>
          <w:bCs/>
          <w:sz w:val="24"/>
          <w:szCs w:val="24"/>
        </w:rPr>
        <w:t>What</w:t>
      </w:r>
      <w:r>
        <w:rPr>
          <w:rFonts w:asciiTheme="majorBidi" w:hAnsiTheme="majorBidi" w:cstheme="majorBidi"/>
          <w:b/>
          <w:bCs/>
          <w:sz w:val="24"/>
          <w:szCs w:val="24"/>
        </w:rPr>
        <w:t xml:space="preserve"> to communicate? </w:t>
      </w:r>
    </w:p>
    <w:p w14:paraId="3DDDDBA3" w14:textId="707FA646" w:rsidR="00A96566" w:rsidRPr="001B24EB" w:rsidRDefault="00A96566" w:rsidP="001B24EB">
      <w:pPr>
        <w:spacing w:after="0" w:line="480" w:lineRule="auto"/>
        <w:ind w:firstLine="720"/>
        <w:rPr>
          <w:rFonts w:asciiTheme="majorBidi" w:hAnsiTheme="majorBidi" w:cstheme="majorBidi"/>
          <w:sz w:val="24"/>
          <w:szCs w:val="24"/>
        </w:rPr>
      </w:pPr>
      <w:r w:rsidRPr="0066107A">
        <w:rPr>
          <w:rFonts w:asciiTheme="majorBidi" w:hAnsiTheme="majorBidi" w:cstheme="majorBidi"/>
          <w:sz w:val="24"/>
          <w:szCs w:val="24"/>
        </w:rPr>
        <w:t xml:space="preserve">Other than the nature of the CSR campaign, the message or CSR information might have </w:t>
      </w:r>
      <w:r>
        <w:rPr>
          <w:rFonts w:asciiTheme="majorBidi" w:hAnsiTheme="majorBidi" w:cstheme="majorBidi"/>
          <w:sz w:val="24"/>
          <w:szCs w:val="24"/>
        </w:rPr>
        <w:t xml:space="preserve">different impact </w:t>
      </w:r>
      <w:r w:rsidRPr="0066107A">
        <w:rPr>
          <w:rFonts w:asciiTheme="majorBidi" w:hAnsiTheme="majorBidi" w:cstheme="majorBidi"/>
          <w:sz w:val="24"/>
          <w:szCs w:val="24"/>
        </w:rPr>
        <w:t>o</w:t>
      </w:r>
      <w:r>
        <w:rPr>
          <w:rFonts w:asciiTheme="majorBidi" w:hAnsiTheme="majorBidi" w:cstheme="majorBidi"/>
          <w:sz w:val="24"/>
          <w:szCs w:val="24"/>
        </w:rPr>
        <w:t>n</w:t>
      </w:r>
      <w:r w:rsidRPr="0066107A">
        <w:rPr>
          <w:rFonts w:asciiTheme="majorBidi" w:hAnsiTheme="majorBidi" w:cstheme="majorBidi"/>
          <w:sz w:val="24"/>
          <w:szCs w:val="24"/>
        </w:rPr>
        <w:t xml:space="preserve"> customers which may incur </w:t>
      </w:r>
      <w:r>
        <w:rPr>
          <w:rFonts w:asciiTheme="majorBidi" w:hAnsiTheme="majorBidi" w:cstheme="majorBidi"/>
          <w:sz w:val="24"/>
          <w:szCs w:val="24"/>
        </w:rPr>
        <w:t>variations</w:t>
      </w:r>
      <w:r w:rsidRPr="0066107A">
        <w:rPr>
          <w:rFonts w:asciiTheme="majorBidi" w:hAnsiTheme="majorBidi" w:cstheme="majorBidi"/>
          <w:sz w:val="24"/>
          <w:szCs w:val="24"/>
        </w:rPr>
        <w:t xml:space="preserve"> in their perceptions towards the products and the company </w:t>
      </w:r>
      <w:sdt>
        <w:sdtPr>
          <w:rPr>
            <w:rFonts w:asciiTheme="majorBidi" w:hAnsiTheme="majorBidi" w:cstheme="majorBidi"/>
            <w:sz w:val="24"/>
            <w:szCs w:val="24"/>
          </w:rPr>
          <w:id w:val="-1097398499"/>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Pin16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(Pino, Amatulli, De Angelis, &amp; Peluso, 2016)</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Some studies show that in some cases, consumers tend to be more cynical about CSR initiatives announced through the company’s communications </w:t>
      </w:r>
      <w:sdt>
        <w:sdtPr>
          <w:rPr>
            <w:rFonts w:asciiTheme="majorBidi" w:hAnsiTheme="majorBidi" w:cstheme="majorBidi"/>
            <w:sz w:val="24"/>
            <w:szCs w:val="24"/>
          </w:rPr>
          <w:id w:val="794480650"/>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Mat10 \l 2057  \m Yoo06</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(Mattila, Hanks, &amp; Kim, 2010; Yoon, Giirhan-Canli, &amp; Schwarz, 2006)</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Usually, consumers expect the company to communicate CSR</w:t>
      </w:r>
      <w:r w:rsidR="001A7D6E">
        <w:rPr>
          <w:rFonts w:asciiTheme="majorBidi" w:hAnsiTheme="majorBidi" w:cstheme="majorBidi"/>
          <w:sz w:val="24"/>
          <w:szCs w:val="24"/>
        </w:rPr>
        <w:t>,</w:t>
      </w:r>
      <w:r w:rsidRPr="0066107A">
        <w:rPr>
          <w:rFonts w:asciiTheme="majorBidi" w:hAnsiTheme="majorBidi" w:cstheme="majorBidi"/>
          <w:sz w:val="24"/>
          <w:szCs w:val="24"/>
        </w:rPr>
        <w:t xml:space="preserve"> but</w:t>
      </w:r>
      <w:r w:rsidR="001A7D6E">
        <w:rPr>
          <w:rFonts w:asciiTheme="majorBidi" w:hAnsiTheme="majorBidi" w:cstheme="majorBidi"/>
          <w:sz w:val="24"/>
          <w:szCs w:val="24"/>
        </w:rPr>
        <w:t xml:space="preserve"> it</w:t>
      </w:r>
      <w:r w:rsidRPr="0066107A">
        <w:rPr>
          <w:rFonts w:asciiTheme="majorBidi" w:hAnsiTheme="majorBidi" w:cstheme="majorBidi"/>
          <w:sz w:val="24"/>
          <w:szCs w:val="24"/>
        </w:rPr>
        <w:t xml:space="preserve"> does </w:t>
      </w:r>
      <w:r w:rsidRPr="00C4527B">
        <w:rPr>
          <w:rFonts w:asciiTheme="majorBidi" w:hAnsiTheme="majorBidi" w:cstheme="majorBidi"/>
          <w:sz w:val="24"/>
          <w:szCs w:val="24"/>
        </w:rPr>
        <w:t>not necessarily need to massively advertise it</w:t>
      </w:r>
      <w:r w:rsidRPr="0066107A">
        <w:rPr>
          <w:rFonts w:asciiTheme="majorBidi" w:hAnsiTheme="majorBidi" w:cstheme="majorBidi"/>
          <w:sz w:val="24"/>
          <w:szCs w:val="24"/>
        </w:rPr>
        <w:t xml:space="preserve"> </w:t>
      </w:r>
      <w:sdt>
        <w:sdtPr>
          <w:rPr>
            <w:rFonts w:asciiTheme="majorBidi" w:hAnsiTheme="majorBidi" w:cstheme="majorBidi"/>
            <w:sz w:val="24"/>
            <w:szCs w:val="24"/>
          </w:rPr>
          <w:id w:val="2057655887"/>
          <w:citation/>
        </w:sdtPr>
        <w:sdtContent>
          <w:r w:rsidR="00BE20EA">
            <w:rPr>
              <w:rFonts w:asciiTheme="majorBidi" w:hAnsiTheme="majorBidi" w:cstheme="majorBidi"/>
              <w:sz w:val="24"/>
              <w:szCs w:val="24"/>
            </w:rPr>
            <w:fldChar w:fldCharType="begin"/>
          </w:r>
          <w:r w:rsidR="00BE20EA">
            <w:rPr>
              <w:rFonts w:asciiTheme="majorBidi" w:hAnsiTheme="majorBidi" w:cstheme="majorBidi"/>
              <w:sz w:val="24"/>
              <w:szCs w:val="24"/>
            </w:rPr>
            <w:instrText xml:space="preserve"> CITATION OhH17 \l 2057 </w:instrText>
          </w:r>
          <w:r w:rsidR="00BE20EA">
            <w:rPr>
              <w:rFonts w:asciiTheme="majorBidi" w:hAnsiTheme="majorBidi" w:cstheme="majorBidi"/>
              <w:sz w:val="24"/>
              <w:szCs w:val="24"/>
            </w:rPr>
            <w:fldChar w:fldCharType="separate"/>
          </w:r>
          <w:r w:rsidR="00BE20EA" w:rsidRPr="00BE20EA">
            <w:rPr>
              <w:rFonts w:asciiTheme="majorBidi" w:hAnsiTheme="majorBidi" w:cstheme="majorBidi"/>
              <w:noProof/>
              <w:sz w:val="24"/>
              <w:szCs w:val="24"/>
            </w:rPr>
            <w:t>(Oh, Bae, &amp; Kim, 2017)</w:t>
          </w:r>
          <w:r w:rsidR="00BE20EA">
            <w:rPr>
              <w:rFonts w:asciiTheme="majorBidi" w:hAnsiTheme="majorBidi" w:cstheme="majorBidi"/>
              <w:sz w:val="24"/>
              <w:szCs w:val="24"/>
            </w:rPr>
            <w:fldChar w:fldCharType="end"/>
          </w:r>
        </w:sdtContent>
      </w:sdt>
      <w:r w:rsidR="001A7D6E">
        <w:rPr>
          <w:rFonts w:asciiTheme="majorBidi" w:hAnsiTheme="majorBidi" w:cstheme="majorBidi"/>
          <w:sz w:val="24"/>
          <w:szCs w:val="24"/>
        </w:rPr>
        <w:t>. This is because</w:t>
      </w:r>
      <w:r w:rsidRPr="0066107A">
        <w:rPr>
          <w:rFonts w:asciiTheme="majorBidi" w:hAnsiTheme="majorBidi" w:cstheme="majorBidi"/>
          <w:sz w:val="24"/>
          <w:szCs w:val="24"/>
        </w:rPr>
        <w:t xml:space="preserve"> consumers might feel that </w:t>
      </w:r>
      <w:r w:rsidR="00B31DAA">
        <w:rPr>
          <w:rFonts w:asciiTheme="majorBidi" w:hAnsiTheme="majorBidi" w:cstheme="majorBidi"/>
          <w:sz w:val="24"/>
          <w:szCs w:val="24"/>
        </w:rPr>
        <w:t>when</w:t>
      </w:r>
      <w:r w:rsidRPr="0066107A">
        <w:rPr>
          <w:rFonts w:asciiTheme="majorBidi" w:hAnsiTheme="majorBidi" w:cstheme="majorBidi"/>
          <w:sz w:val="24"/>
          <w:szCs w:val="24"/>
        </w:rPr>
        <w:t xml:space="preserve"> </w:t>
      </w:r>
      <w:bookmarkStart w:id="62" w:name="_Hlk144852743"/>
      <w:r w:rsidRPr="0066107A">
        <w:rPr>
          <w:rFonts w:asciiTheme="majorBidi" w:hAnsiTheme="majorBidi" w:cstheme="majorBidi"/>
          <w:sz w:val="24"/>
          <w:szCs w:val="24"/>
        </w:rPr>
        <w:t>compan</w:t>
      </w:r>
      <w:r w:rsidR="00B31DAA">
        <w:rPr>
          <w:rFonts w:asciiTheme="majorBidi" w:hAnsiTheme="majorBidi" w:cstheme="majorBidi"/>
          <w:sz w:val="24"/>
          <w:szCs w:val="24"/>
        </w:rPr>
        <w:t xml:space="preserve">ies </w:t>
      </w:r>
      <w:r w:rsidRPr="0066107A">
        <w:rPr>
          <w:rFonts w:asciiTheme="majorBidi" w:hAnsiTheme="majorBidi" w:cstheme="majorBidi"/>
          <w:sz w:val="24"/>
          <w:szCs w:val="24"/>
        </w:rPr>
        <w:t xml:space="preserve">spend </w:t>
      </w:r>
      <w:r w:rsidRPr="00B82F6C">
        <w:rPr>
          <w:rFonts w:asciiTheme="majorBidi" w:hAnsiTheme="majorBidi" w:cstheme="majorBidi"/>
          <w:sz w:val="24"/>
          <w:szCs w:val="24"/>
        </w:rPr>
        <w:t>on advertising</w:t>
      </w:r>
      <w:r w:rsidR="001A7D6E">
        <w:rPr>
          <w:rFonts w:asciiTheme="majorBidi" w:hAnsiTheme="majorBidi" w:cstheme="majorBidi"/>
          <w:sz w:val="24"/>
          <w:szCs w:val="24"/>
        </w:rPr>
        <w:t>,</w:t>
      </w:r>
      <w:r w:rsidRPr="00B82F6C">
        <w:rPr>
          <w:rFonts w:asciiTheme="majorBidi" w:hAnsiTheme="majorBidi" w:cstheme="majorBidi"/>
          <w:sz w:val="24"/>
          <w:szCs w:val="24"/>
        </w:rPr>
        <w:t xml:space="preserve"> CSR </w:t>
      </w:r>
      <w:bookmarkEnd w:id="62"/>
      <w:r w:rsidR="00B31DAA">
        <w:rPr>
          <w:rFonts w:asciiTheme="majorBidi" w:hAnsiTheme="majorBidi" w:cstheme="majorBidi"/>
          <w:sz w:val="24"/>
          <w:szCs w:val="24"/>
        </w:rPr>
        <w:t xml:space="preserve">might devalue the CSR initiative itself </w:t>
      </w:r>
      <w:sdt>
        <w:sdtPr>
          <w:rPr>
            <w:rFonts w:asciiTheme="majorBidi" w:hAnsiTheme="majorBidi" w:cstheme="majorBidi"/>
            <w:sz w:val="24"/>
            <w:szCs w:val="24"/>
          </w:rPr>
          <w:id w:val="-1491321098"/>
          <w:citation/>
        </w:sdtPr>
        <w:sdtContent>
          <w:r w:rsidR="00B31DAA">
            <w:rPr>
              <w:rFonts w:asciiTheme="majorBidi" w:hAnsiTheme="majorBidi" w:cstheme="majorBidi"/>
              <w:sz w:val="24"/>
              <w:szCs w:val="24"/>
            </w:rPr>
            <w:fldChar w:fldCharType="begin"/>
          </w:r>
          <w:r w:rsidR="00B31DAA">
            <w:rPr>
              <w:rFonts w:asciiTheme="majorBidi" w:hAnsiTheme="majorBidi" w:cstheme="majorBidi"/>
              <w:sz w:val="24"/>
              <w:szCs w:val="24"/>
            </w:rPr>
            <w:instrText xml:space="preserve"> CITATION Ass17 \l 2057  \m Mat10</w:instrText>
          </w:r>
          <w:r w:rsidR="00B31DAA">
            <w:rPr>
              <w:rFonts w:asciiTheme="majorBidi" w:hAnsiTheme="majorBidi" w:cstheme="majorBidi"/>
              <w:sz w:val="24"/>
              <w:szCs w:val="24"/>
            </w:rPr>
            <w:fldChar w:fldCharType="separate"/>
          </w:r>
          <w:r w:rsidR="00B31DAA" w:rsidRPr="00B31DAA">
            <w:rPr>
              <w:rFonts w:asciiTheme="majorBidi" w:hAnsiTheme="majorBidi" w:cstheme="majorBidi"/>
              <w:noProof/>
              <w:sz w:val="24"/>
              <w:szCs w:val="24"/>
            </w:rPr>
            <w:t>(Assaf, Josiassen, Ahn, &amp; Mattila, 2017; Mattila, Hanks, &amp; Kim, 2010)</w:t>
          </w:r>
          <w:r w:rsidR="00B31DAA">
            <w:rPr>
              <w:rFonts w:asciiTheme="majorBidi" w:hAnsiTheme="majorBidi" w:cstheme="majorBidi"/>
              <w:sz w:val="24"/>
              <w:szCs w:val="24"/>
            </w:rPr>
            <w:fldChar w:fldCharType="end"/>
          </w:r>
        </w:sdtContent>
      </w:sdt>
      <w:r w:rsidRPr="00B82F6C">
        <w:rPr>
          <w:rFonts w:asciiTheme="majorBidi" w:hAnsiTheme="majorBidi" w:cstheme="majorBidi"/>
          <w:sz w:val="24"/>
          <w:szCs w:val="24"/>
        </w:rPr>
        <w:t>.</w:t>
      </w:r>
      <w:r w:rsidRPr="0066107A">
        <w:rPr>
          <w:rFonts w:asciiTheme="majorBidi" w:hAnsiTheme="majorBidi" w:cstheme="majorBidi"/>
          <w:sz w:val="24"/>
          <w:szCs w:val="24"/>
        </w:rPr>
        <w:t xml:space="preserve"> That’s why the concept of “</w:t>
      </w:r>
      <w:r>
        <w:rPr>
          <w:rFonts w:asciiTheme="majorBidi" w:hAnsiTheme="majorBidi" w:cstheme="majorBidi"/>
          <w:sz w:val="24"/>
          <w:szCs w:val="24"/>
        </w:rPr>
        <w:t>n</w:t>
      </w:r>
      <w:r w:rsidRPr="0066107A">
        <w:rPr>
          <w:rFonts w:asciiTheme="majorBidi" w:hAnsiTheme="majorBidi" w:cstheme="majorBidi"/>
          <w:sz w:val="24"/>
          <w:szCs w:val="24"/>
        </w:rPr>
        <w:t xml:space="preserve">ative advertising” for CSR campaigns needs to be considered. Native CSR advertising does not directly intend to sell the company’s products or </w:t>
      </w:r>
      <w:r w:rsidR="00460517" w:rsidRPr="0066107A">
        <w:rPr>
          <w:rFonts w:asciiTheme="majorBidi" w:hAnsiTheme="majorBidi" w:cstheme="majorBidi"/>
          <w:sz w:val="24"/>
          <w:szCs w:val="24"/>
        </w:rPr>
        <w:t>services,</w:t>
      </w:r>
      <w:r w:rsidRPr="0066107A">
        <w:rPr>
          <w:rFonts w:asciiTheme="majorBidi" w:hAnsiTheme="majorBidi" w:cstheme="majorBidi"/>
          <w:sz w:val="24"/>
          <w:szCs w:val="24"/>
        </w:rPr>
        <w:t xml:space="preserve"> but it intends to communicate the company’s contributions to society </w:t>
      </w:r>
      <w:sdt>
        <w:sdtPr>
          <w:rPr>
            <w:rFonts w:asciiTheme="majorBidi" w:hAnsiTheme="majorBidi" w:cstheme="majorBidi"/>
            <w:sz w:val="24"/>
            <w:szCs w:val="24"/>
          </w:rPr>
          <w:id w:val="1172141718"/>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WuL20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(Wu &amp; Overton, 2020)</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Some scholars </w:t>
      </w:r>
      <w:r w:rsidR="001A7D6E">
        <w:rPr>
          <w:rFonts w:asciiTheme="majorBidi" w:hAnsiTheme="majorBidi" w:cstheme="majorBidi"/>
          <w:sz w:val="24"/>
          <w:szCs w:val="24"/>
        </w:rPr>
        <w:t xml:space="preserve">have </w:t>
      </w:r>
      <w:r>
        <w:rPr>
          <w:rFonts w:asciiTheme="majorBidi" w:hAnsiTheme="majorBidi" w:cstheme="majorBidi"/>
          <w:sz w:val="24"/>
          <w:szCs w:val="24"/>
        </w:rPr>
        <w:t>placed</w:t>
      </w:r>
      <w:r w:rsidRPr="0066107A">
        <w:rPr>
          <w:rFonts w:asciiTheme="majorBidi" w:hAnsiTheme="majorBidi" w:cstheme="majorBidi"/>
          <w:sz w:val="24"/>
          <w:szCs w:val="24"/>
        </w:rPr>
        <w:t xml:space="preserve"> some reservations on native advertising concluding that its effectiveness rel</w:t>
      </w:r>
      <w:r w:rsidR="001A7D6E">
        <w:rPr>
          <w:rFonts w:asciiTheme="majorBidi" w:hAnsiTheme="majorBidi" w:cstheme="majorBidi"/>
          <w:sz w:val="24"/>
          <w:szCs w:val="24"/>
        </w:rPr>
        <w:t>ies</w:t>
      </w:r>
      <w:r w:rsidRPr="0066107A">
        <w:rPr>
          <w:rFonts w:asciiTheme="majorBidi" w:hAnsiTheme="majorBidi" w:cstheme="majorBidi"/>
          <w:sz w:val="24"/>
          <w:szCs w:val="24"/>
        </w:rPr>
        <w:t xml:space="preserve"> on the content of the advertisements and how it depicts adding value to consumers </w:t>
      </w:r>
      <w:sdt>
        <w:sdtPr>
          <w:rPr>
            <w:rFonts w:asciiTheme="majorBidi" w:hAnsiTheme="majorBidi" w:cstheme="majorBidi"/>
            <w:sz w:val="24"/>
            <w:szCs w:val="24"/>
          </w:rPr>
          <w:id w:val="-1285580760"/>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EEr16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(Schauster, Ferrucci, &amp; Neill, 2016)</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Evidently, unlike traditional advertising that focuses on </w:t>
      </w:r>
      <w:r>
        <w:rPr>
          <w:rFonts w:asciiTheme="majorBidi" w:hAnsiTheme="majorBidi" w:cstheme="majorBidi"/>
          <w:sz w:val="24"/>
          <w:szCs w:val="24"/>
        </w:rPr>
        <w:t>promoting and selling</w:t>
      </w:r>
      <w:r w:rsidRPr="0066107A">
        <w:rPr>
          <w:rFonts w:asciiTheme="majorBidi" w:hAnsiTheme="majorBidi" w:cstheme="majorBidi"/>
          <w:sz w:val="24"/>
          <w:szCs w:val="24"/>
        </w:rPr>
        <w:t xml:space="preserve">, the impact of native CSR advertising has a more positive impact on consumers’ attitudes towards the advertisement and their intentions of spreading word-of-mouth </w:t>
      </w:r>
      <w:sdt>
        <w:sdtPr>
          <w:rPr>
            <w:rFonts w:asciiTheme="majorBidi" w:hAnsiTheme="majorBidi" w:cstheme="majorBidi"/>
            <w:sz w:val="24"/>
            <w:szCs w:val="24"/>
          </w:rPr>
          <w:id w:val="727729191"/>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WuL20 \l 2057 </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(Wu &amp; Overton, 2020)</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For example, based on an experimental study, consumers were more sceptical about advertising messages from financial institutes than from a well-known phone company</w:t>
      </w:r>
      <w:sdt>
        <w:sdtPr>
          <w:rPr>
            <w:rFonts w:asciiTheme="majorBidi" w:hAnsiTheme="majorBidi" w:cstheme="majorBidi"/>
            <w:sz w:val="24"/>
            <w:szCs w:val="24"/>
          </w:rPr>
          <w:id w:val="1109629798"/>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Mat10 \l 2057 </w:instrText>
          </w:r>
          <w:r w:rsidRPr="0066107A">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(Mattila, Hanks, &amp; Kim, 2010)</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Based on experiments comparing between the impact of depicting CSR in advertisements for financial institutes and advertisements for a phone company, the authors presented some interesting findings. It was concluded that, including the CSR message in the mortgage company advertisement as shown in the experiment increased the respondents’ </w:t>
      </w:r>
      <w:r>
        <w:rPr>
          <w:rFonts w:asciiTheme="majorBidi" w:hAnsiTheme="majorBidi" w:cstheme="majorBidi"/>
          <w:sz w:val="24"/>
          <w:szCs w:val="24"/>
        </w:rPr>
        <w:t xml:space="preserve">positive </w:t>
      </w:r>
      <w:r w:rsidRPr="0066107A">
        <w:rPr>
          <w:rFonts w:asciiTheme="majorBidi" w:hAnsiTheme="majorBidi" w:cstheme="majorBidi"/>
          <w:sz w:val="24"/>
          <w:szCs w:val="24"/>
        </w:rPr>
        <w:t>attitude towards the advertisement and post</w:t>
      </w:r>
      <w:r>
        <w:rPr>
          <w:rFonts w:asciiTheme="majorBidi" w:hAnsiTheme="majorBidi" w:cstheme="majorBidi"/>
          <w:sz w:val="24"/>
          <w:szCs w:val="24"/>
        </w:rPr>
        <w:t>-</w:t>
      </w:r>
      <w:r w:rsidRPr="0066107A">
        <w:rPr>
          <w:rFonts w:asciiTheme="majorBidi" w:hAnsiTheme="majorBidi" w:cstheme="majorBidi"/>
          <w:sz w:val="24"/>
          <w:szCs w:val="24"/>
        </w:rPr>
        <w:t>attitude towards company</w:t>
      </w:r>
      <w:sdt>
        <w:sdtPr>
          <w:rPr>
            <w:rFonts w:asciiTheme="majorBidi" w:hAnsiTheme="majorBidi" w:cstheme="majorBidi"/>
            <w:sz w:val="24"/>
            <w:szCs w:val="24"/>
          </w:rPr>
          <w:id w:val="335358110"/>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Mat10 \l 2057 </w:instrText>
          </w:r>
          <w:r w:rsidRPr="0066107A">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(Mattila, Hanks, &amp; Kim, 2010)</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w:t>
      </w:r>
      <w:r>
        <w:rPr>
          <w:rFonts w:asciiTheme="majorBidi" w:hAnsiTheme="majorBidi" w:cstheme="majorBidi"/>
          <w:sz w:val="24"/>
          <w:szCs w:val="24"/>
        </w:rPr>
        <w:t xml:space="preserve"> Hence, it is worth investigating if </w:t>
      </w:r>
      <w:r w:rsidRPr="0066107A">
        <w:rPr>
          <w:rFonts w:asciiTheme="majorBidi" w:hAnsiTheme="majorBidi" w:cstheme="majorBidi"/>
          <w:sz w:val="24"/>
          <w:szCs w:val="24"/>
        </w:rPr>
        <w:t xml:space="preserve">CSR advertisements </w:t>
      </w:r>
      <w:r>
        <w:rPr>
          <w:rFonts w:asciiTheme="majorBidi" w:hAnsiTheme="majorBidi" w:cstheme="majorBidi"/>
          <w:sz w:val="24"/>
          <w:szCs w:val="24"/>
        </w:rPr>
        <w:t xml:space="preserve">would </w:t>
      </w:r>
      <w:r w:rsidRPr="0066107A">
        <w:rPr>
          <w:rFonts w:asciiTheme="majorBidi" w:hAnsiTheme="majorBidi" w:cstheme="majorBidi"/>
          <w:sz w:val="24"/>
          <w:szCs w:val="24"/>
        </w:rPr>
        <w:t>have a better impact on consumer behaviour towards the company’s products</w:t>
      </w:r>
      <w:r w:rsidR="001A7D6E">
        <w:rPr>
          <w:rFonts w:asciiTheme="majorBidi" w:hAnsiTheme="majorBidi" w:cstheme="majorBidi"/>
          <w:sz w:val="24"/>
          <w:szCs w:val="24"/>
        </w:rPr>
        <w:t>,</w:t>
      </w:r>
      <w:r>
        <w:rPr>
          <w:rFonts w:asciiTheme="majorBidi" w:hAnsiTheme="majorBidi" w:cstheme="majorBidi"/>
          <w:sz w:val="24"/>
          <w:szCs w:val="24"/>
        </w:rPr>
        <w:t xml:space="preserve"> and if cheaper media</w:t>
      </w:r>
      <w:r w:rsidRPr="0066107A">
        <w:rPr>
          <w:rFonts w:asciiTheme="majorBidi" w:hAnsiTheme="majorBidi" w:cstheme="majorBidi"/>
          <w:sz w:val="24"/>
          <w:szCs w:val="24"/>
        </w:rPr>
        <w:t xml:space="preserve"> </w:t>
      </w:r>
      <w:r w:rsidR="001A7D6E">
        <w:rPr>
          <w:rFonts w:asciiTheme="majorBidi" w:hAnsiTheme="majorBidi" w:cstheme="majorBidi"/>
          <w:sz w:val="24"/>
          <w:szCs w:val="24"/>
        </w:rPr>
        <w:t>vehicles are worth considering</w:t>
      </w:r>
      <w:r>
        <w:rPr>
          <w:rFonts w:asciiTheme="majorBidi" w:hAnsiTheme="majorBidi" w:cstheme="majorBidi"/>
          <w:sz w:val="24"/>
          <w:szCs w:val="24"/>
        </w:rPr>
        <w:t xml:space="preserve"> for non-CSR advertising to</w:t>
      </w:r>
      <w:r w:rsidRPr="0066107A">
        <w:rPr>
          <w:rFonts w:asciiTheme="majorBidi" w:hAnsiTheme="majorBidi" w:cstheme="majorBidi"/>
          <w:sz w:val="24"/>
          <w:szCs w:val="24"/>
        </w:rPr>
        <w:t xml:space="preserve"> reduce spending</w:t>
      </w:r>
      <w:r w:rsidR="001A7D6E">
        <w:rPr>
          <w:rFonts w:asciiTheme="majorBidi" w:hAnsiTheme="majorBidi" w:cstheme="majorBidi"/>
          <w:sz w:val="24"/>
          <w:szCs w:val="24"/>
        </w:rPr>
        <w:t xml:space="preserve"> in order</w:t>
      </w:r>
      <w:r w:rsidRPr="0066107A">
        <w:rPr>
          <w:rFonts w:asciiTheme="majorBidi" w:hAnsiTheme="majorBidi" w:cstheme="majorBidi"/>
          <w:sz w:val="24"/>
          <w:szCs w:val="24"/>
        </w:rPr>
        <w:t xml:space="preserve"> to secure funds for the actual CSR initiatives</w:t>
      </w:r>
      <w:r>
        <w:rPr>
          <w:rFonts w:asciiTheme="majorBidi" w:hAnsiTheme="majorBidi" w:cstheme="majorBidi"/>
          <w:sz w:val="24"/>
          <w:szCs w:val="24"/>
        </w:rPr>
        <w:t>.</w:t>
      </w:r>
      <w:r w:rsidR="001B24EB">
        <w:rPr>
          <w:rFonts w:asciiTheme="majorBidi" w:hAnsiTheme="majorBidi" w:cstheme="majorBidi"/>
          <w:sz w:val="24"/>
          <w:szCs w:val="24"/>
        </w:rPr>
        <w:t xml:space="preserve"> </w:t>
      </w:r>
      <w:r w:rsidRPr="0066107A">
        <w:rPr>
          <w:rFonts w:asciiTheme="majorBidi" w:hAnsiTheme="majorBidi" w:cstheme="majorBidi"/>
          <w:sz w:val="24"/>
          <w:szCs w:val="24"/>
        </w:rPr>
        <w:t>Since some companies communicate their CSR merely to “</w:t>
      </w:r>
      <w:r w:rsidRPr="00C4527B">
        <w:rPr>
          <w:rFonts w:asciiTheme="majorBidi" w:hAnsiTheme="majorBidi" w:cstheme="majorBidi"/>
          <w:sz w:val="24"/>
          <w:szCs w:val="24"/>
        </w:rPr>
        <w:t>tick a box” or to be named “socially responsible,” consumers tend to have a sceptical attitude when receiving CSR advertising messages</w:t>
      </w:r>
      <w:r w:rsidRPr="0066107A">
        <w:rPr>
          <w:rFonts w:asciiTheme="majorBidi" w:hAnsiTheme="majorBidi" w:cstheme="majorBidi"/>
          <w:sz w:val="24"/>
          <w:szCs w:val="24"/>
        </w:rPr>
        <w:t xml:space="preserve"> </w:t>
      </w:r>
      <w:sdt>
        <w:sdtPr>
          <w:id w:val="338424624"/>
          <w:citation/>
        </w:sdtPr>
        <w:sdtContent>
          <w:r w:rsidR="001B24EB">
            <w:fldChar w:fldCharType="begin"/>
          </w:r>
          <w:r w:rsidR="001B24EB">
            <w:rPr>
              <w:rFonts w:asciiTheme="majorBidi" w:hAnsiTheme="majorBidi" w:cstheme="majorBidi"/>
              <w:sz w:val="24"/>
              <w:szCs w:val="24"/>
            </w:rPr>
            <w:instrText xml:space="preserve"> CITATION Tea21 \l 2057  \m Kim193</w:instrText>
          </w:r>
          <w:r w:rsidR="001B24EB">
            <w:fldChar w:fldCharType="separate"/>
          </w:r>
          <w:r w:rsidR="001B24EB" w:rsidRPr="00240AD9">
            <w:rPr>
              <w:rFonts w:asciiTheme="majorBidi" w:hAnsiTheme="majorBidi" w:cstheme="majorBidi"/>
              <w:noProof/>
              <w:sz w:val="24"/>
              <w:szCs w:val="24"/>
            </w:rPr>
            <w:t>(Teah, Sung, &amp; Phau, 2021; Kim &amp; Rim, 2019)</w:t>
          </w:r>
          <w:r w:rsidR="001B24EB">
            <w:fldChar w:fldCharType="end"/>
          </w:r>
        </w:sdtContent>
      </w:sdt>
      <w:r w:rsidR="001B24EB">
        <w:rPr>
          <w:rFonts w:asciiTheme="majorBidi" w:hAnsiTheme="majorBidi" w:cstheme="majorBidi"/>
          <w:sz w:val="24"/>
          <w:szCs w:val="24"/>
        </w:rPr>
        <w:t>.</w:t>
      </w:r>
      <w:r w:rsidR="001A7D6E">
        <w:rPr>
          <w:rFonts w:asciiTheme="majorBidi" w:hAnsiTheme="majorBidi" w:cstheme="majorBidi"/>
          <w:sz w:val="24"/>
          <w:szCs w:val="24"/>
        </w:rPr>
        <w:t xml:space="preserve"> </w:t>
      </w:r>
      <w:r w:rsidRPr="0066107A">
        <w:rPr>
          <w:rFonts w:asciiTheme="majorBidi" w:hAnsiTheme="majorBidi" w:cstheme="majorBidi"/>
          <w:sz w:val="24"/>
          <w:szCs w:val="24"/>
        </w:rPr>
        <w:t xml:space="preserve">Hence, earning people’s trust is exceptionally compelling in the context of CSR communication. Just like CSR strategies have to adopt society-serving motives, these strategies also have self- serving motives to achieve company goals. Yet, the pressing question here is, should companies communicate such self-serving motives or not? In fact, some </w:t>
      </w:r>
      <w:r>
        <w:rPr>
          <w:rFonts w:asciiTheme="majorBidi" w:hAnsiTheme="majorBidi" w:cstheme="majorBidi"/>
          <w:sz w:val="24"/>
          <w:szCs w:val="24"/>
        </w:rPr>
        <w:t>scholars</w:t>
      </w:r>
      <w:r w:rsidRPr="0066107A">
        <w:rPr>
          <w:rFonts w:asciiTheme="majorBidi" w:hAnsiTheme="majorBidi" w:cstheme="majorBidi"/>
          <w:sz w:val="24"/>
          <w:szCs w:val="24"/>
        </w:rPr>
        <w:t xml:space="preserve"> indicate that communicating both motives is a key factor in reducing scepticism towards the company’s CSR strategy</w:t>
      </w:r>
      <w:r>
        <w:rPr>
          <w:rFonts w:asciiTheme="majorBidi" w:hAnsiTheme="majorBidi" w:cstheme="majorBidi"/>
          <w:sz w:val="24"/>
          <w:szCs w:val="24"/>
        </w:rPr>
        <w:t xml:space="preserve"> </w:t>
      </w:r>
      <w:sdt>
        <w:sdtPr>
          <w:rPr>
            <w:rFonts w:asciiTheme="majorBidi" w:hAnsiTheme="majorBidi" w:cstheme="majorBidi"/>
            <w:sz w:val="24"/>
            <w:szCs w:val="24"/>
          </w:rPr>
          <w:id w:val="-1502885203"/>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CITATION Kim141 \t  \l 2057  \m For03</w:instrText>
          </w:r>
          <w:r w:rsidRPr="0066107A">
            <w:rPr>
              <w:rFonts w:asciiTheme="majorBidi" w:hAnsiTheme="majorBidi" w:cstheme="majorBidi"/>
              <w:sz w:val="24"/>
              <w:szCs w:val="24"/>
            </w:rPr>
            <w:fldChar w:fldCharType="separate"/>
          </w:r>
          <w:r w:rsidRPr="0002256A">
            <w:rPr>
              <w:rFonts w:asciiTheme="majorBidi" w:hAnsiTheme="majorBidi" w:cstheme="majorBidi"/>
              <w:noProof/>
              <w:sz w:val="24"/>
              <w:szCs w:val="24"/>
            </w:rPr>
            <w:t>(Kim Y. , 2014; Forehand &amp; Grier, 2003)</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 xml:space="preserve">. This is because, when the company deliberately communicates their motives or the way they will benefit from these CSR strategies, it provides consumers with indications that this company is transparent and honest which is likely to reduce scepticism and increase message credibility. </w:t>
      </w:r>
    </w:p>
    <w:p w14:paraId="445C993D" w14:textId="43CF23E5" w:rsidR="00A96566" w:rsidRPr="008B130F" w:rsidRDefault="00A96566" w:rsidP="00A96566">
      <w:pPr>
        <w:rPr>
          <w:rFonts w:asciiTheme="majorBidi" w:hAnsiTheme="majorBidi" w:cstheme="majorBidi"/>
          <w:b/>
          <w:bCs/>
          <w:sz w:val="24"/>
          <w:szCs w:val="24"/>
        </w:rPr>
      </w:pPr>
      <w:r w:rsidRPr="008B130F">
        <w:rPr>
          <w:rFonts w:asciiTheme="majorBidi" w:hAnsiTheme="majorBidi" w:cstheme="majorBidi"/>
          <w:b/>
          <w:bCs/>
          <w:sz w:val="24"/>
          <w:szCs w:val="24"/>
        </w:rPr>
        <w:t>How</w:t>
      </w:r>
      <w:r>
        <w:rPr>
          <w:rFonts w:asciiTheme="majorBidi" w:hAnsiTheme="majorBidi" w:cstheme="majorBidi"/>
          <w:b/>
          <w:bCs/>
          <w:sz w:val="24"/>
          <w:szCs w:val="24"/>
        </w:rPr>
        <w:t xml:space="preserve"> to Communicate </w:t>
      </w:r>
    </w:p>
    <w:p w14:paraId="74B57C6B" w14:textId="4A0CDFC8" w:rsidR="00BC69A2" w:rsidRDefault="001A7D6E" w:rsidP="00E11D13">
      <w:pPr>
        <w:spacing w:after="0" w:line="480" w:lineRule="auto"/>
        <w:ind w:firstLine="720"/>
        <w:rPr>
          <w:rFonts w:asciiTheme="majorBidi" w:hAnsiTheme="majorBidi" w:cstheme="majorBidi"/>
          <w:sz w:val="24"/>
          <w:szCs w:val="24"/>
        </w:rPr>
      </w:pPr>
      <w:bookmarkStart w:id="63" w:name="_Hlk115859676"/>
      <w:r>
        <w:rPr>
          <w:rFonts w:asciiTheme="majorBidi" w:hAnsiTheme="majorBidi" w:cstheme="majorBidi"/>
          <w:sz w:val="24"/>
          <w:szCs w:val="24"/>
        </w:rPr>
        <w:t>The l</w:t>
      </w:r>
      <w:r w:rsidR="00A96566">
        <w:rPr>
          <w:rFonts w:asciiTheme="majorBidi" w:hAnsiTheme="majorBidi" w:cstheme="majorBidi"/>
          <w:sz w:val="24"/>
          <w:szCs w:val="24"/>
        </w:rPr>
        <w:t xml:space="preserve">iterature shows that a large amount of CSR communication and CSR activities positively influence the attitudes of </w:t>
      </w:r>
      <w:r w:rsidR="004A1F91">
        <w:rPr>
          <w:rFonts w:asciiTheme="majorBidi" w:hAnsiTheme="majorBidi" w:cstheme="majorBidi"/>
          <w:sz w:val="24"/>
          <w:szCs w:val="24"/>
        </w:rPr>
        <w:t>people</w:t>
      </w:r>
      <w:r w:rsidR="00A96566">
        <w:rPr>
          <w:rFonts w:asciiTheme="majorBidi" w:hAnsiTheme="majorBidi" w:cstheme="majorBidi"/>
          <w:sz w:val="24"/>
          <w:szCs w:val="24"/>
        </w:rPr>
        <w:t xml:space="preserve"> towards the company </w:t>
      </w:r>
      <w:sdt>
        <w:sdtPr>
          <w:rPr>
            <w:rFonts w:asciiTheme="majorBidi" w:hAnsiTheme="majorBidi" w:cstheme="majorBidi"/>
            <w:sz w:val="24"/>
            <w:szCs w:val="24"/>
          </w:rPr>
          <w:id w:val="-1069796216"/>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Bac16 \m Vie22 \t  \l 2057 </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(Bachmann &amp; Ingenhoff, 2016; Viererbl &amp; Koch, 2022)</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However, based on two studies on 364 participants, the positive effect is reversed if the company extensively communicated CSR but did not actually engage in high-extent and high value CSR activities </w:t>
      </w:r>
      <w:sdt>
        <w:sdtPr>
          <w:rPr>
            <w:rFonts w:asciiTheme="majorBidi" w:hAnsiTheme="majorBidi" w:cstheme="majorBidi"/>
            <w:sz w:val="24"/>
            <w:szCs w:val="24"/>
          </w:rPr>
          <w:id w:val="-1751573057"/>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CITATION Vie22 \t  \l 2057 </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(Viererbl &amp; Koch, 2022)</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w:t>
      </w:r>
      <w:bookmarkEnd w:id="63"/>
      <w:r w:rsidR="00A96566" w:rsidRPr="0066107A">
        <w:rPr>
          <w:rFonts w:asciiTheme="majorBidi" w:hAnsiTheme="majorBidi" w:cstheme="majorBidi"/>
          <w:sz w:val="24"/>
          <w:szCs w:val="24"/>
        </w:rPr>
        <w:t xml:space="preserve">As for the </w:t>
      </w:r>
      <w:r w:rsidR="00A96566">
        <w:rPr>
          <w:rFonts w:asciiTheme="majorBidi" w:hAnsiTheme="majorBidi" w:cstheme="majorBidi"/>
          <w:sz w:val="24"/>
          <w:szCs w:val="24"/>
        </w:rPr>
        <w:t>channel</w:t>
      </w:r>
      <w:r w:rsidR="00A96566" w:rsidRPr="0066107A">
        <w:rPr>
          <w:rFonts w:asciiTheme="majorBidi" w:hAnsiTheme="majorBidi" w:cstheme="majorBidi"/>
          <w:sz w:val="24"/>
          <w:szCs w:val="24"/>
        </w:rPr>
        <w:t xml:space="preserve"> of communication, it appears that consumers may be receptive to one mean </w:t>
      </w:r>
      <w:r w:rsidR="00A96566">
        <w:rPr>
          <w:rFonts w:asciiTheme="majorBidi" w:hAnsiTheme="majorBidi" w:cstheme="majorBidi"/>
          <w:sz w:val="24"/>
          <w:szCs w:val="24"/>
        </w:rPr>
        <w:t xml:space="preserve">of </w:t>
      </w:r>
      <w:r w:rsidR="00A96566" w:rsidRPr="0066107A">
        <w:rPr>
          <w:rFonts w:asciiTheme="majorBidi" w:hAnsiTheme="majorBidi" w:cstheme="majorBidi"/>
          <w:sz w:val="24"/>
          <w:szCs w:val="24"/>
        </w:rPr>
        <w:t xml:space="preserve">communication more than another. It has been suggested by Kim and Ferguson </w:t>
      </w:r>
      <w:sdt>
        <w:sdtPr>
          <w:rPr>
            <w:rFonts w:asciiTheme="majorBidi" w:hAnsiTheme="majorBidi" w:cstheme="majorBidi"/>
            <w:sz w:val="24"/>
            <w:szCs w:val="24"/>
          </w:rPr>
          <w:id w:val="-844400503"/>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CITATION Kim14 \n  \t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(2014)</w:t>
          </w:r>
          <w:r w:rsidR="00A96566" w:rsidRPr="0066107A">
            <w:rPr>
              <w:rFonts w:asciiTheme="majorBidi" w:hAnsiTheme="majorBidi" w:cstheme="majorBidi"/>
              <w:sz w:val="24"/>
              <w:szCs w:val="24"/>
            </w:rPr>
            <w:fldChar w:fldCharType="end"/>
          </w:r>
        </w:sdtContent>
      </w:sdt>
      <w:r w:rsidR="00A96566" w:rsidRPr="0066107A">
        <w:rPr>
          <w:rFonts w:asciiTheme="majorBidi" w:hAnsiTheme="majorBidi" w:cstheme="majorBidi"/>
          <w:sz w:val="24"/>
          <w:szCs w:val="24"/>
        </w:rPr>
        <w:t xml:space="preserve"> </w:t>
      </w:r>
      <w:r w:rsidR="00F12B78">
        <w:rPr>
          <w:rFonts w:asciiTheme="majorBidi" w:hAnsiTheme="majorBidi" w:cstheme="majorBidi"/>
          <w:sz w:val="24"/>
          <w:szCs w:val="24"/>
        </w:rPr>
        <w:t xml:space="preserve">in their study </w:t>
      </w:r>
      <w:r w:rsidR="00A96566" w:rsidRPr="0066107A">
        <w:rPr>
          <w:rFonts w:asciiTheme="majorBidi" w:hAnsiTheme="majorBidi" w:cstheme="majorBidi"/>
          <w:sz w:val="24"/>
          <w:szCs w:val="24"/>
        </w:rPr>
        <w:t xml:space="preserve">that consumers prefer news media channels such as TV news, radio news, and social media over advertising channels like TV commercials. </w:t>
      </w:r>
      <w:r w:rsidR="00A96566" w:rsidRPr="00962EFF">
        <w:rPr>
          <w:rFonts w:asciiTheme="majorBidi" w:hAnsiTheme="majorBidi" w:cstheme="majorBidi"/>
          <w:sz w:val="24"/>
          <w:szCs w:val="24"/>
        </w:rPr>
        <w:t>Many studies in</w:t>
      </w:r>
      <w:r w:rsidR="00F12B78">
        <w:rPr>
          <w:rFonts w:asciiTheme="majorBidi" w:hAnsiTheme="majorBidi" w:cstheme="majorBidi"/>
          <w:sz w:val="24"/>
          <w:szCs w:val="24"/>
        </w:rPr>
        <w:t xml:space="preserve"> the</w:t>
      </w:r>
      <w:r w:rsidR="00A96566" w:rsidRPr="00962EFF">
        <w:rPr>
          <w:rFonts w:asciiTheme="majorBidi" w:hAnsiTheme="majorBidi" w:cstheme="majorBidi"/>
          <w:sz w:val="24"/>
          <w:szCs w:val="24"/>
        </w:rPr>
        <w:t xml:space="preserve"> literature provide empirical conclusions that live television viewership</w:t>
      </w:r>
      <w:r w:rsidR="00A96566">
        <w:rPr>
          <w:rFonts w:asciiTheme="majorBidi" w:hAnsiTheme="majorBidi" w:cstheme="majorBidi"/>
          <w:sz w:val="24"/>
          <w:szCs w:val="24"/>
        </w:rPr>
        <w:t xml:space="preserve"> in different countries</w:t>
      </w:r>
      <w:r w:rsidR="00A96566" w:rsidRPr="00962EFF">
        <w:rPr>
          <w:rFonts w:asciiTheme="majorBidi" w:hAnsiTheme="majorBidi" w:cstheme="majorBidi"/>
          <w:sz w:val="24"/>
          <w:szCs w:val="24"/>
        </w:rPr>
        <w:t xml:space="preserve"> is declining and the main reason behind this decline is the growth of entertainment means on the internet </w:t>
      </w:r>
      <w:sdt>
        <w:sdtPr>
          <w:rPr>
            <w:rFonts w:asciiTheme="majorBidi" w:hAnsiTheme="majorBidi" w:cstheme="majorBidi"/>
            <w:sz w:val="24"/>
            <w:szCs w:val="24"/>
          </w:rPr>
          <w:id w:val="-1364666172"/>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Ala21 \l 2057  \m Dam11 \m Gar20 \m Pro20</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(Ala-Fossi, Grönvall, Karppinen, &amp; Nieminen, 2021; Damratoski, Field, Mizell, &amp; Budden, 2011; García-Avilés, 2020; Proskurnova, 2020)</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w:t>
      </w:r>
      <w:r w:rsidR="00A96566" w:rsidRPr="00962EFF">
        <w:rPr>
          <w:rFonts w:asciiTheme="majorBidi" w:hAnsiTheme="majorBidi" w:cstheme="majorBidi"/>
          <w:sz w:val="24"/>
          <w:szCs w:val="24"/>
        </w:rPr>
        <w:t xml:space="preserve">For example, on an average of </w:t>
      </w:r>
      <w:r w:rsidR="00A96566" w:rsidRPr="00C4527B">
        <w:rPr>
          <w:rFonts w:asciiTheme="majorBidi" w:hAnsiTheme="majorBidi" w:cstheme="majorBidi"/>
          <w:sz w:val="24"/>
          <w:szCs w:val="24"/>
        </w:rPr>
        <w:t>32%, television viewership in countries like Egypt, Qatar, Saudi Arabia, Jordan, Tunisia, Lebanon, and UAE has declined from 2013 to 2019</w:t>
      </w:r>
      <w:sdt>
        <w:sdtPr>
          <w:rPr>
            <w:rFonts w:asciiTheme="majorBidi" w:hAnsiTheme="majorBidi" w:cstheme="majorBidi"/>
            <w:sz w:val="24"/>
            <w:szCs w:val="24"/>
          </w:rPr>
          <w:id w:val="548890439"/>
          <w:citation/>
        </w:sdtPr>
        <w:sdtContent>
          <w:r w:rsidR="00A96566" w:rsidRPr="00C4527B">
            <w:rPr>
              <w:rFonts w:asciiTheme="majorBidi" w:hAnsiTheme="majorBidi" w:cstheme="majorBidi"/>
              <w:sz w:val="24"/>
              <w:szCs w:val="24"/>
            </w:rPr>
            <w:fldChar w:fldCharType="begin"/>
          </w:r>
          <w:r w:rsidR="00A96566" w:rsidRPr="00C4527B">
            <w:rPr>
              <w:rFonts w:asciiTheme="majorBidi" w:hAnsiTheme="majorBidi" w:cstheme="majorBidi"/>
              <w:sz w:val="24"/>
              <w:szCs w:val="24"/>
            </w:rPr>
            <w:instrText xml:space="preserve"> CITATION Den19 \l 2057 </w:instrText>
          </w:r>
          <w:r w:rsidR="00A96566" w:rsidRPr="00C4527B">
            <w:rPr>
              <w:rFonts w:asciiTheme="majorBidi" w:hAnsiTheme="majorBidi" w:cstheme="majorBidi"/>
              <w:sz w:val="24"/>
              <w:szCs w:val="24"/>
            </w:rPr>
            <w:fldChar w:fldCharType="separate"/>
          </w:r>
          <w:r w:rsidR="00A96566" w:rsidRPr="00C4527B">
            <w:rPr>
              <w:rFonts w:asciiTheme="majorBidi" w:hAnsiTheme="majorBidi" w:cstheme="majorBidi"/>
              <w:noProof/>
              <w:sz w:val="24"/>
              <w:szCs w:val="24"/>
            </w:rPr>
            <w:t xml:space="preserve"> (Dennis E. E., Martin, Lance, &amp; Hassan, 2019)</w:t>
          </w:r>
          <w:r w:rsidR="00A96566" w:rsidRPr="00C4527B">
            <w:rPr>
              <w:rFonts w:asciiTheme="majorBidi" w:hAnsiTheme="majorBidi" w:cstheme="majorBidi"/>
              <w:sz w:val="24"/>
              <w:szCs w:val="24"/>
            </w:rPr>
            <w:fldChar w:fldCharType="end"/>
          </w:r>
        </w:sdtContent>
      </w:sdt>
      <w:r w:rsidR="00A96566" w:rsidRPr="00B82F6C">
        <w:rPr>
          <w:rFonts w:asciiTheme="majorBidi" w:hAnsiTheme="majorBidi" w:cstheme="majorBidi"/>
          <w:sz w:val="24"/>
          <w:szCs w:val="24"/>
        </w:rPr>
        <w:t>.</w:t>
      </w:r>
      <w:r w:rsidR="00A96566">
        <w:rPr>
          <w:rFonts w:asciiTheme="majorBidi" w:hAnsiTheme="majorBidi" w:cstheme="majorBidi"/>
          <w:sz w:val="24"/>
          <w:szCs w:val="24"/>
        </w:rPr>
        <w:t xml:space="preserve"> Similarly, according to media insights reported by Zenith agency, connected TV programs in the US (such as Netflix and Hulu) are gaining high popularity </w:t>
      </w:r>
      <w:sdt>
        <w:sdtPr>
          <w:rPr>
            <w:rFonts w:asciiTheme="majorBidi" w:hAnsiTheme="majorBidi" w:cstheme="majorBidi"/>
            <w:sz w:val="24"/>
            <w:szCs w:val="24"/>
          </w:rPr>
          <w:id w:val="731354018"/>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Cac20 \l 2057 </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(Cacheux, 2020)</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which led to a decline in live television viewership. </w:t>
      </w:r>
      <w:r w:rsidR="00A96566" w:rsidRPr="0066107A">
        <w:rPr>
          <w:rFonts w:asciiTheme="majorBidi" w:hAnsiTheme="majorBidi" w:cstheme="majorBidi"/>
          <w:sz w:val="24"/>
          <w:szCs w:val="24"/>
        </w:rPr>
        <w:t>Additionally, the form or style of the CSR message being communicate</w:t>
      </w:r>
      <w:r w:rsidR="00F12B78">
        <w:rPr>
          <w:rFonts w:asciiTheme="majorBidi" w:hAnsiTheme="majorBidi" w:cstheme="majorBidi"/>
          <w:sz w:val="24"/>
          <w:szCs w:val="24"/>
        </w:rPr>
        <w:t>d</w:t>
      </w:r>
      <w:r w:rsidR="00A96566" w:rsidRPr="0066107A">
        <w:rPr>
          <w:rFonts w:asciiTheme="majorBidi" w:hAnsiTheme="majorBidi" w:cstheme="majorBidi"/>
          <w:sz w:val="24"/>
          <w:szCs w:val="24"/>
        </w:rPr>
        <w:t xml:space="preserve"> seems to exert an influence on the CSR message credibility </w:t>
      </w:r>
      <w:sdt>
        <w:sdtPr>
          <w:rPr>
            <w:rFonts w:asciiTheme="majorBidi" w:hAnsiTheme="majorBidi" w:cstheme="majorBidi"/>
            <w:sz w:val="24"/>
            <w:szCs w:val="24"/>
          </w:rPr>
          <w:id w:val="-382397072"/>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 CITATION Yan17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(Yang &amp; Hsu, 2017)</w:t>
          </w:r>
          <w:r w:rsidR="00A96566" w:rsidRPr="0066107A">
            <w:rPr>
              <w:rFonts w:asciiTheme="majorBidi" w:hAnsiTheme="majorBidi" w:cstheme="majorBidi"/>
              <w:sz w:val="24"/>
              <w:szCs w:val="24"/>
            </w:rPr>
            <w:fldChar w:fldCharType="end"/>
          </w:r>
        </w:sdtContent>
      </w:sdt>
      <w:r w:rsidR="00A96566" w:rsidRPr="0066107A">
        <w:rPr>
          <w:rFonts w:asciiTheme="majorBidi" w:hAnsiTheme="majorBidi" w:cstheme="majorBidi"/>
          <w:sz w:val="24"/>
          <w:szCs w:val="24"/>
        </w:rPr>
        <w:t xml:space="preserve">. For instance, based on experiments conducted in Taiwan, consumers exhibit a stronger perception of advertisement credibility towards single-message advertisements versus multiple-messages advertisements </w:t>
      </w:r>
      <w:sdt>
        <w:sdtPr>
          <w:rPr>
            <w:rFonts w:asciiTheme="majorBidi" w:hAnsiTheme="majorBidi" w:cstheme="majorBidi"/>
            <w:sz w:val="24"/>
            <w:szCs w:val="24"/>
          </w:rPr>
          <w:id w:val="1082953537"/>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 CITATION Yan17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(Yang &amp; Hsu, 2017)</w:t>
          </w:r>
          <w:r w:rsidR="00A96566" w:rsidRPr="0066107A">
            <w:rPr>
              <w:rFonts w:asciiTheme="majorBidi" w:hAnsiTheme="majorBidi" w:cstheme="majorBidi"/>
              <w:sz w:val="24"/>
              <w:szCs w:val="24"/>
            </w:rPr>
            <w:fldChar w:fldCharType="end"/>
          </w:r>
        </w:sdtContent>
      </w:sdt>
      <w:r w:rsidR="00A96566" w:rsidRPr="0066107A">
        <w:rPr>
          <w:rFonts w:asciiTheme="majorBidi" w:hAnsiTheme="majorBidi" w:cstheme="majorBidi"/>
          <w:sz w:val="24"/>
          <w:szCs w:val="24"/>
        </w:rPr>
        <w:t xml:space="preserve">. This is because, </w:t>
      </w:r>
      <w:r w:rsidR="00A96566" w:rsidRPr="00C4527B">
        <w:rPr>
          <w:rFonts w:asciiTheme="majorBidi" w:hAnsiTheme="majorBidi" w:cstheme="majorBidi"/>
          <w:sz w:val="24"/>
          <w:szCs w:val="24"/>
        </w:rPr>
        <w:t>single-message</w:t>
      </w:r>
      <w:r w:rsidR="00A96566" w:rsidRPr="0066107A">
        <w:rPr>
          <w:rFonts w:asciiTheme="majorBidi" w:hAnsiTheme="majorBidi" w:cstheme="majorBidi"/>
          <w:sz w:val="24"/>
          <w:szCs w:val="24"/>
        </w:rPr>
        <w:t xml:space="preserve"> claims allow consumers to focus on a single event or single-benefit allowing them to “lower their guards” against the CSR message which will make them believe that the company is truly investing efforts to help society</w:t>
      </w:r>
      <w:sdt>
        <w:sdtPr>
          <w:rPr>
            <w:rFonts w:asciiTheme="majorBidi" w:hAnsiTheme="majorBidi" w:cstheme="majorBidi"/>
            <w:sz w:val="24"/>
            <w:szCs w:val="24"/>
          </w:rPr>
          <w:id w:val="-1546435310"/>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 CITATION Yan17 \l 2057 </w:instrText>
          </w:r>
          <w:r w:rsidR="00A96566" w:rsidRPr="0066107A">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(Yang &amp; Hsu, 2017)</w:t>
          </w:r>
          <w:r w:rsidR="00A96566" w:rsidRPr="0066107A">
            <w:rPr>
              <w:rFonts w:asciiTheme="majorBidi" w:hAnsiTheme="majorBidi" w:cstheme="majorBidi"/>
              <w:sz w:val="24"/>
              <w:szCs w:val="24"/>
            </w:rPr>
            <w:fldChar w:fldCharType="end"/>
          </w:r>
        </w:sdtContent>
      </w:sdt>
      <w:r w:rsidR="00A96566" w:rsidRPr="0066107A">
        <w:rPr>
          <w:rFonts w:asciiTheme="majorBidi" w:hAnsiTheme="majorBidi" w:cstheme="majorBidi"/>
          <w:sz w:val="24"/>
          <w:szCs w:val="24"/>
        </w:rPr>
        <w:t>.</w:t>
      </w:r>
      <w:r w:rsidR="00A96566">
        <w:rPr>
          <w:rFonts w:asciiTheme="majorBidi" w:hAnsiTheme="majorBidi" w:cstheme="majorBidi"/>
          <w:sz w:val="24"/>
          <w:szCs w:val="24"/>
        </w:rPr>
        <w:t xml:space="preserve"> </w:t>
      </w:r>
      <w:r w:rsidR="00F12B78">
        <w:rPr>
          <w:rFonts w:asciiTheme="majorBidi" w:hAnsiTheme="majorBidi" w:cstheme="majorBidi"/>
          <w:sz w:val="24"/>
          <w:szCs w:val="24"/>
        </w:rPr>
        <w:t>The l</w:t>
      </w:r>
      <w:r w:rsidR="00A96566" w:rsidRPr="0066107A">
        <w:rPr>
          <w:rFonts w:asciiTheme="majorBidi" w:hAnsiTheme="majorBidi" w:cstheme="majorBidi"/>
          <w:sz w:val="24"/>
          <w:szCs w:val="24"/>
        </w:rPr>
        <w:t>iterature points towards a plenty of approaches to communicate CSR that companies can consider adopting.</w:t>
      </w:r>
      <w:r w:rsidR="00A96566">
        <w:rPr>
          <w:rFonts w:asciiTheme="majorBidi" w:hAnsiTheme="majorBidi" w:cstheme="majorBidi"/>
          <w:sz w:val="24"/>
          <w:szCs w:val="24"/>
        </w:rPr>
        <w:t xml:space="preserve"> </w:t>
      </w:r>
      <w:r w:rsidR="00A96566" w:rsidRPr="0066107A">
        <w:rPr>
          <w:rFonts w:asciiTheme="majorBidi" w:hAnsiTheme="majorBidi" w:cstheme="majorBidi"/>
          <w:sz w:val="24"/>
          <w:szCs w:val="24"/>
        </w:rPr>
        <w:t xml:space="preserve">Based on Grunig and Hunt’s </w:t>
      </w:r>
      <w:sdt>
        <w:sdtPr>
          <w:rPr>
            <w:rFonts w:asciiTheme="majorBidi" w:hAnsiTheme="majorBidi" w:cstheme="majorBidi"/>
            <w:sz w:val="24"/>
            <w:szCs w:val="24"/>
          </w:rPr>
          <w:id w:val="-1663613136"/>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CITATION Gru84 \n  \t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(1984)</w:t>
          </w:r>
          <w:r w:rsidR="00A96566" w:rsidRPr="0066107A">
            <w:rPr>
              <w:rFonts w:asciiTheme="majorBidi" w:hAnsiTheme="majorBidi" w:cstheme="majorBidi"/>
              <w:sz w:val="24"/>
              <w:szCs w:val="24"/>
            </w:rPr>
            <w:fldChar w:fldCharType="end"/>
          </w:r>
        </w:sdtContent>
      </w:sdt>
      <w:r w:rsidR="00A96566" w:rsidRPr="0066107A">
        <w:rPr>
          <w:rFonts w:asciiTheme="majorBidi" w:hAnsiTheme="majorBidi" w:cstheme="majorBidi"/>
          <w:sz w:val="24"/>
          <w:szCs w:val="24"/>
        </w:rPr>
        <w:t xml:space="preserve"> older public relations models of communication, Morsing </w:t>
      </w:r>
      <w:sdt>
        <w:sdtPr>
          <w:rPr>
            <w:rFonts w:asciiTheme="majorBidi" w:hAnsiTheme="majorBidi" w:cstheme="majorBidi"/>
            <w:sz w:val="24"/>
            <w:szCs w:val="24"/>
          </w:rPr>
          <w:id w:val="-282419579"/>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CITATION Mor06 \n  \t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(2006)</w:t>
          </w:r>
          <w:r w:rsidR="00A96566" w:rsidRPr="0066107A">
            <w:rPr>
              <w:rFonts w:asciiTheme="majorBidi" w:hAnsiTheme="majorBidi" w:cstheme="majorBidi"/>
              <w:sz w:val="24"/>
              <w:szCs w:val="24"/>
            </w:rPr>
            <w:fldChar w:fldCharType="end"/>
          </w:r>
        </w:sdtContent>
      </w:sdt>
      <w:r w:rsidR="00A96566" w:rsidRPr="0066107A">
        <w:rPr>
          <w:rFonts w:asciiTheme="majorBidi" w:hAnsiTheme="majorBidi" w:cstheme="majorBidi"/>
          <w:sz w:val="24"/>
          <w:szCs w:val="24"/>
        </w:rPr>
        <w:t xml:space="preserve"> suggest two ways of CSR communication: one-way and two-way communication. Other studies examine disclosing the concept of consumer participation in the advertising making to consumers to increase advertisement credibility. The issue is, based on the qualitative analysis of CSR campaigns </w:t>
      </w:r>
      <w:r w:rsidR="00A96566">
        <w:rPr>
          <w:rFonts w:asciiTheme="majorBidi" w:hAnsiTheme="majorBidi" w:cstheme="majorBidi"/>
          <w:sz w:val="24"/>
          <w:szCs w:val="24"/>
        </w:rPr>
        <w:t>done by</w:t>
      </w:r>
      <w:r w:rsidR="00A96566" w:rsidRPr="0066107A">
        <w:rPr>
          <w:rFonts w:asciiTheme="majorBidi" w:hAnsiTheme="majorBidi" w:cstheme="majorBidi"/>
          <w:sz w:val="24"/>
          <w:szCs w:val="24"/>
        </w:rPr>
        <w:t xml:space="preserve"> 50 corporations, Cho, Furey, &amp; Mohr </w:t>
      </w:r>
      <w:sdt>
        <w:sdtPr>
          <w:rPr>
            <w:rFonts w:asciiTheme="majorBidi" w:hAnsiTheme="majorBidi" w:cstheme="majorBidi"/>
            <w:sz w:val="24"/>
            <w:szCs w:val="24"/>
          </w:rPr>
          <w:id w:val="1028610080"/>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CITATION Cho16 \n  \t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(2016)</w:t>
          </w:r>
          <w:r w:rsidR="00A96566" w:rsidRPr="0066107A">
            <w:rPr>
              <w:rFonts w:asciiTheme="majorBidi" w:hAnsiTheme="majorBidi" w:cstheme="majorBidi"/>
              <w:sz w:val="24"/>
              <w:szCs w:val="24"/>
            </w:rPr>
            <w:fldChar w:fldCharType="end"/>
          </w:r>
        </w:sdtContent>
      </w:sdt>
      <w:r w:rsidR="00A96566">
        <w:rPr>
          <w:rFonts w:asciiTheme="majorBidi" w:hAnsiTheme="majorBidi" w:cstheme="majorBidi"/>
          <w:sz w:val="24"/>
          <w:szCs w:val="24"/>
        </w:rPr>
        <w:t>,</w:t>
      </w:r>
      <w:r w:rsidR="00A96566" w:rsidRPr="0066107A">
        <w:rPr>
          <w:rFonts w:asciiTheme="majorBidi" w:hAnsiTheme="majorBidi" w:cstheme="majorBidi"/>
          <w:sz w:val="24"/>
          <w:szCs w:val="24"/>
        </w:rPr>
        <w:t xml:space="preserve"> found a gap between practice and theories of successful CSR communication strategies, in which most of the companies focused on one-way communication.</w:t>
      </w:r>
      <w:r w:rsidR="00A96566">
        <w:rPr>
          <w:rFonts w:asciiTheme="majorBidi" w:hAnsiTheme="majorBidi" w:cstheme="majorBidi"/>
          <w:sz w:val="24"/>
          <w:szCs w:val="24"/>
        </w:rPr>
        <w:t xml:space="preserve"> </w:t>
      </w:r>
      <w:r w:rsidR="00A96566" w:rsidRPr="0066107A">
        <w:rPr>
          <w:rFonts w:asciiTheme="majorBidi" w:hAnsiTheme="majorBidi" w:cstheme="majorBidi"/>
          <w:sz w:val="24"/>
          <w:szCs w:val="24"/>
        </w:rPr>
        <w:t>Yet, it is highly encouraged for companies to develop two-way CSR communication strateg</w:t>
      </w:r>
      <w:r w:rsidR="00A96566">
        <w:rPr>
          <w:rFonts w:asciiTheme="majorBidi" w:hAnsiTheme="majorBidi" w:cstheme="majorBidi"/>
          <w:sz w:val="24"/>
          <w:szCs w:val="24"/>
        </w:rPr>
        <w:t xml:space="preserve">ies </w:t>
      </w:r>
      <w:r w:rsidR="00A96566" w:rsidRPr="0066107A">
        <w:rPr>
          <w:rFonts w:asciiTheme="majorBidi" w:hAnsiTheme="majorBidi" w:cstheme="majorBidi"/>
          <w:sz w:val="24"/>
          <w:szCs w:val="24"/>
        </w:rPr>
        <w:t xml:space="preserve">as this will shed focus on the public creating positive attitudes towards </w:t>
      </w:r>
      <w:r w:rsidR="00A96566">
        <w:rPr>
          <w:rFonts w:asciiTheme="majorBidi" w:hAnsiTheme="majorBidi" w:cstheme="majorBidi"/>
          <w:sz w:val="24"/>
          <w:szCs w:val="24"/>
        </w:rPr>
        <w:t>the company</w:t>
      </w:r>
      <w:r w:rsidR="00A96566" w:rsidRPr="0066107A">
        <w:rPr>
          <w:rFonts w:asciiTheme="majorBidi" w:hAnsiTheme="majorBidi" w:cstheme="majorBidi"/>
          <w:sz w:val="24"/>
          <w:szCs w:val="24"/>
        </w:rPr>
        <w:t xml:space="preserve"> </w:t>
      </w:r>
      <w:sdt>
        <w:sdtPr>
          <w:rPr>
            <w:rFonts w:asciiTheme="majorBidi" w:hAnsiTheme="majorBidi" w:cstheme="majorBidi"/>
            <w:sz w:val="24"/>
            <w:szCs w:val="24"/>
          </w:rPr>
          <w:id w:val="1095834031"/>
          <w:citation/>
        </w:sdtPr>
        <w:sdtContent>
          <w:r w:rsidR="00A96566" w:rsidRPr="0066107A">
            <w:rPr>
              <w:rFonts w:asciiTheme="majorBidi" w:hAnsiTheme="majorBidi" w:cstheme="majorBidi"/>
              <w:sz w:val="24"/>
              <w:szCs w:val="24"/>
            </w:rPr>
            <w:fldChar w:fldCharType="begin"/>
          </w:r>
          <w:r w:rsidR="00A96566" w:rsidRPr="0066107A">
            <w:rPr>
              <w:rFonts w:asciiTheme="majorBidi" w:hAnsiTheme="majorBidi" w:cstheme="majorBidi"/>
              <w:sz w:val="24"/>
              <w:szCs w:val="24"/>
            </w:rPr>
            <w:instrText xml:space="preserve"> CITATION Cho16 \l 2057 </w:instrText>
          </w:r>
          <w:r w:rsidR="00A96566" w:rsidRPr="0066107A">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(Cho, Furey, &amp; Mohr, 2016)</w:t>
          </w:r>
          <w:r w:rsidR="00A96566" w:rsidRPr="0066107A">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This might provide inference that social media might be preferred by consumers as it automatically provides a two-way communication platform for the company and for consumers. Hence, the next section will provide a detailed discussion on different media vehicles. </w:t>
      </w:r>
    </w:p>
    <w:p w14:paraId="66F70935" w14:textId="56D587B5" w:rsidR="00A96566" w:rsidRDefault="00460517" w:rsidP="00D14E24">
      <w:pPr>
        <w:spacing w:after="0" w:line="480" w:lineRule="auto"/>
        <w:rPr>
          <w:rFonts w:asciiTheme="majorBidi" w:hAnsiTheme="majorBidi" w:cstheme="majorBidi"/>
          <w:b/>
          <w:bCs/>
          <w:sz w:val="24"/>
          <w:szCs w:val="24"/>
        </w:rPr>
      </w:pPr>
      <w:r>
        <w:rPr>
          <w:rFonts w:asciiTheme="majorBidi" w:hAnsiTheme="majorBidi" w:cstheme="majorBidi"/>
          <w:b/>
          <w:bCs/>
          <w:sz w:val="24"/>
          <w:szCs w:val="24"/>
        </w:rPr>
        <w:t>2</w:t>
      </w:r>
      <w:r w:rsidR="00A96566" w:rsidRPr="00E571FE">
        <w:rPr>
          <w:rFonts w:asciiTheme="majorBidi" w:hAnsiTheme="majorBidi" w:cstheme="majorBidi"/>
          <w:b/>
          <w:bCs/>
          <w:sz w:val="24"/>
          <w:szCs w:val="24"/>
        </w:rPr>
        <w:t>.</w:t>
      </w:r>
      <w:r w:rsidR="00DD69CF">
        <w:rPr>
          <w:rFonts w:asciiTheme="majorBidi" w:hAnsiTheme="majorBidi" w:cstheme="majorBidi"/>
          <w:b/>
          <w:bCs/>
          <w:sz w:val="24"/>
          <w:szCs w:val="24"/>
        </w:rPr>
        <w:t>9</w:t>
      </w:r>
      <w:r w:rsidR="00A96566" w:rsidRPr="00E571FE">
        <w:rPr>
          <w:rFonts w:asciiTheme="majorBidi" w:hAnsiTheme="majorBidi" w:cstheme="majorBidi"/>
          <w:b/>
          <w:bCs/>
          <w:sz w:val="24"/>
          <w:szCs w:val="24"/>
        </w:rPr>
        <w:t xml:space="preserve"> Media Vehicle </w:t>
      </w:r>
    </w:p>
    <w:p w14:paraId="6FD7D162" w14:textId="7785A3C1" w:rsidR="00FE48CD" w:rsidRDefault="00A96566" w:rsidP="00FE48CD">
      <w:pPr>
        <w:spacing w:after="0" w:line="480" w:lineRule="auto"/>
        <w:ind w:firstLine="720"/>
        <w:rPr>
          <w:rFonts w:asciiTheme="majorBidi" w:hAnsiTheme="majorBidi" w:cstheme="majorBidi"/>
          <w:sz w:val="24"/>
          <w:szCs w:val="24"/>
        </w:rPr>
      </w:pPr>
      <w:bookmarkStart w:id="64" w:name="_Hlk157194154"/>
      <w:r>
        <w:rPr>
          <w:rFonts w:asciiTheme="majorBidi" w:hAnsiTheme="majorBidi" w:cstheme="majorBidi"/>
          <w:sz w:val="24"/>
          <w:szCs w:val="24"/>
        </w:rPr>
        <w:t xml:space="preserve">Across literature, there is a profusion of discussion among researchers on the </w:t>
      </w:r>
      <w:r w:rsidRPr="00C4527B">
        <w:rPr>
          <w:rFonts w:asciiTheme="majorBidi" w:hAnsiTheme="majorBidi" w:cstheme="majorBidi"/>
          <w:sz w:val="24"/>
          <w:szCs w:val="24"/>
        </w:rPr>
        <w:t>effectiveness of advertising on different media platform</w:t>
      </w:r>
      <w:r w:rsidR="00F12B78" w:rsidRPr="00C4527B">
        <w:rPr>
          <w:rFonts w:asciiTheme="majorBidi" w:hAnsiTheme="majorBidi" w:cstheme="majorBidi"/>
          <w:sz w:val="24"/>
          <w:szCs w:val="24"/>
        </w:rPr>
        <w:t>s</w:t>
      </w:r>
      <w:r w:rsidRPr="00C4527B">
        <w:rPr>
          <w:rFonts w:asciiTheme="majorBidi" w:hAnsiTheme="majorBidi" w:cstheme="majorBidi"/>
          <w:sz w:val="24"/>
          <w:szCs w:val="24"/>
        </w:rPr>
        <w:t xml:space="preserve"> and whether the effectiveness is more connected to the content (the advertisement) or the context (the media platform)</w:t>
      </w:r>
      <w:sdt>
        <w:sdtPr>
          <w:rPr>
            <w:rFonts w:asciiTheme="majorBidi" w:hAnsiTheme="majorBidi" w:cstheme="majorBidi"/>
            <w:sz w:val="24"/>
            <w:szCs w:val="24"/>
          </w:rPr>
          <w:id w:val="50933232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Cal15 \l 2057  \m Voo18 \m Voo19</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(Calder, Isaac, &amp; Malthouse, 2015; Voorveld, Noort, Muntinga, &amp; Bronner, 2018; Voorveld H. A.,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End w:id="64"/>
      <w:r w:rsidRPr="00DC4A20">
        <w:rPr>
          <w:rFonts w:asciiTheme="majorBidi" w:hAnsiTheme="majorBidi" w:cstheme="majorBidi"/>
          <w:sz w:val="24"/>
          <w:szCs w:val="24"/>
        </w:rPr>
        <w:t xml:space="preserve">Since the debut of the first banner ad, online advertising has developed substantially and now makes up a sizable portion of </w:t>
      </w:r>
      <w:r>
        <w:rPr>
          <w:rFonts w:asciiTheme="majorBidi" w:hAnsiTheme="majorBidi" w:cstheme="majorBidi"/>
          <w:sz w:val="24"/>
          <w:szCs w:val="24"/>
        </w:rPr>
        <w:t xml:space="preserve">the firms </w:t>
      </w:r>
      <w:r w:rsidRPr="00DC4A20">
        <w:rPr>
          <w:rFonts w:asciiTheme="majorBidi" w:hAnsiTheme="majorBidi" w:cstheme="majorBidi"/>
          <w:sz w:val="24"/>
          <w:szCs w:val="24"/>
        </w:rPr>
        <w:t>advertising expenditures</w:t>
      </w:r>
      <w:r>
        <w:rPr>
          <w:rFonts w:asciiTheme="majorBidi" w:hAnsiTheme="majorBidi" w:cstheme="majorBidi"/>
          <w:sz w:val="24"/>
          <w:szCs w:val="24"/>
        </w:rPr>
        <w:t xml:space="preserve"> and marketing strategy </w:t>
      </w:r>
      <w:sdt>
        <w:sdtPr>
          <w:rPr>
            <w:rFonts w:asciiTheme="majorBidi" w:hAnsiTheme="majorBidi" w:cstheme="majorBidi"/>
            <w:sz w:val="24"/>
            <w:szCs w:val="24"/>
          </w:rPr>
          <w:id w:val="-98816672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Aro19 \l 2057  \m Kum15 \m Liu19</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(Arora &amp; Agarwal, 2019; Kumar, Sunder, &amp; Sharma, 2015; Liu-Thompkins, 2019)</w:t>
          </w:r>
          <w:r>
            <w:rPr>
              <w:rFonts w:asciiTheme="majorBidi" w:hAnsiTheme="majorBidi" w:cstheme="majorBidi"/>
              <w:sz w:val="24"/>
              <w:szCs w:val="24"/>
            </w:rPr>
            <w:fldChar w:fldCharType="end"/>
          </w:r>
        </w:sdtContent>
      </w:sdt>
      <w:r w:rsidRPr="00DC4A20">
        <w:rPr>
          <w:rFonts w:asciiTheme="majorBidi" w:hAnsiTheme="majorBidi" w:cstheme="majorBidi"/>
          <w:sz w:val="24"/>
          <w:szCs w:val="24"/>
        </w:rPr>
        <w:t>.</w:t>
      </w:r>
      <w:r>
        <w:rPr>
          <w:rFonts w:asciiTheme="majorBidi" w:hAnsiTheme="majorBidi" w:cstheme="majorBidi"/>
          <w:sz w:val="24"/>
          <w:szCs w:val="24"/>
        </w:rPr>
        <w:t xml:space="preserve"> It is also evident that the number of social media users is growing faster than </w:t>
      </w:r>
      <w:r w:rsidR="00935FBD">
        <w:rPr>
          <w:rFonts w:asciiTheme="majorBidi" w:hAnsiTheme="majorBidi" w:cstheme="majorBidi"/>
          <w:sz w:val="24"/>
          <w:szCs w:val="24"/>
        </w:rPr>
        <w:t>t</w:t>
      </w:r>
      <w:r>
        <w:rPr>
          <w:rFonts w:asciiTheme="majorBidi" w:hAnsiTheme="majorBidi" w:cstheme="majorBidi"/>
          <w:sz w:val="24"/>
          <w:szCs w:val="24"/>
        </w:rPr>
        <w:t>elevision users</w:t>
      </w:r>
      <w:sdt>
        <w:sdtPr>
          <w:rPr>
            <w:rFonts w:asciiTheme="majorBidi" w:hAnsiTheme="majorBidi" w:cstheme="majorBidi"/>
            <w:sz w:val="24"/>
            <w:szCs w:val="24"/>
          </w:rPr>
          <w:id w:val="31978346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Sta22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(Statista ,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515A31">
        <w:rPr>
          <w:rFonts w:asciiTheme="majorBidi" w:hAnsiTheme="majorBidi" w:cstheme="majorBidi"/>
          <w:sz w:val="24"/>
          <w:szCs w:val="24"/>
        </w:rPr>
        <w:t xml:space="preserve">In fact, </w:t>
      </w:r>
      <w:r w:rsidR="00F12B78">
        <w:rPr>
          <w:rFonts w:asciiTheme="majorBidi" w:hAnsiTheme="majorBidi" w:cstheme="majorBidi"/>
          <w:sz w:val="24"/>
          <w:szCs w:val="24"/>
        </w:rPr>
        <w:t xml:space="preserve">as </w:t>
      </w:r>
      <w:r w:rsidR="00515A31">
        <w:rPr>
          <w:rFonts w:asciiTheme="majorBidi" w:hAnsiTheme="majorBidi" w:cstheme="majorBidi"/>
          <w:sz w:val="24"/>
          <w:szCs w:val="24"/>
        </w:rPr>
        <w:t xml:space="preserve">it appeared in the systematic review (chapter </w:t>
      </w:r>
      <w:r w:rsidR="006C23B4">
        <w:rPr>
          <w:rFonts w:asciiTheme="majorBidi" w:hAnsiTheme="majorBidi" w:cstheme="majorBidi"/>
          <w:sz w:val="24"/>
          <w:szCs w:val="24"/>
        </w:rPr>
        <w:t>3</w:t>
      </w:r>
      <w:r w:rsidR="00515A31">
        <w:rPr>
          <w:rFonts w:asciiTheme="majorBidi" w:hAnsiTheme="majorBidi" w:cstheme="majorBidi"/>
          <w:sz w:val="24"/>
          <w:szCs w:val="24"/>
        </w:rPr>
        <w:t xml:space="preserve">), </w:t>
      </w:r>
      <w:r w:rsidR="00515A31" w:rsidRPr="00C27B0F">
        <w:rPr>
          <w:rFonts w:asciiTheme="majorBidi" w:hAnsiTheme="majorBidi" w:cstheme="majorBidi"/>
          <w:sz w:val="24"/>
          <w:szCs w:val="24"/>
        </w:rPr>
        <w:t>social media has a vital role on the acceptance of people of CSR</w:t>
      </w:r>
      <w:r w:rsidR="00515A31">
        <w:rPr>
          <w:rFonts w:asciiTheme="majorBidi" w:hAnsiTheme="majorBidi" w:cstheme="majorBidi"/>
          <w:sz w:val="24"/>
          <w:szCs w:val="24"/>
        </w:rPr>
        <w:t xml:space="preserve"> </w:t>
      </w:r>
      <w:sdt>
        <w:sdtPr>
          <w:rPr>
            <w:rFonts w:asciiTheme="majorBidi" w:eastAsia="Times New Roman" w:hAnsiTheme="majorBidi" w:cstheme="majorBidi"/>
            <w:sz w:val="24"/>
            <w:szCs w:val="24"/>
            <w:lang w:eastAsia="en-GB"/>
          </w:rPr>
          <w:id w:val="-1955012576"/>
          <w:citation/>
        </w:sdtPr>
        <w:sdtContent>
          <w:r w:rsidR="00515A31">
            <w:rPr>
              <w:rFonts w:asciiTheme="majorBidi" w:eastAsia="Times New Roman" w:hAnsiTheme="majorBidi" w:cstheme="majorBidi"/>
              <w:sz w:val="24"/>
              <w:szCs w:val="24"/>
              <w:lang w:eastAsia="en-GB"/>
            </w:rPr>
            <w:fldChar w:fldCharType="begin"/>
          </w:r>
          <w:r w:rsidR="00515A31">
            <w:rPr>
              <w:rFonts w:asciiTheme="majorBidi" w:eastAsia="Times New Roman" w:hAnsiTheme="majorBidi" w:cstheme="majorBidi"/>
              <w:sz w:val="24"/>
              <w:szCs w:val="24"/>
              <w:lang w:eastAsia="en-GB"/>
            </w:rPr>
            <w:instrText xml:space="preserve"> CITATION Abd23 \l 2057 </w:instrText>
          </w:r>
          <w:r w:rsidR="00515A31">
            <w:rPr>
              <w:rFonts w:asciiTheme="majorBidi" w:eastAsia="Times New Roman" w:hAnsiTheme="majorBidi" w:cstheme="majorBidi"/>
              <w:sz w:val="24"/>
              <w:szCs w:val="24"/>
              <w:lang w:eastAsia="en-GB"/>
            </w:rPr>
            <w:fldChar w:fldCharType="separate"/>
          </w:r>
          <w:r w:rsidR="00515A31" w:rsidRPr="00D516D7">
            <w:rPr>
              <w:rFonts w:asciiTheme="majorBidi" w:eastAsia="Times New Roman" w:hAnsiTheme="majorBidi" w:cstheme="majorBidi"/>
              <w:noProof/>
              <w:sz w:val="24"/>
              <w:szCs w:val="24"/>
              <w:lang w:eastAsia="en-GB"/>
            </w:rPr>
            <w:t>(Abdel Magid, et al., 2023)</w:t>
          </w:r>
          <w:r w:rsidR="00515A31">
            <w:rPr>
              <w:rFonts w:asciiTheme="majorBidi" w:eastAsia="Times New Roman" w:hAnsiTheme="majorBidi" w:cstheme="majorBidi"/>
              <w:sz w:val="24"/>
              <w:szCs w:val="24"/>
              <w:lang w:eastAsia="en-GB"/>
            </w:rPr>
            <w:fldChar w:fldCharType="end"/>
          </w:r>
        </w:sdtContent>
      </w:sdt>
      <w:r w:rsidR="00515A31">
        <w:rPr>
          <w:rFonts w:asciiTheme="majorBidi" w:hAnsiTheme="majorBidi" w:cstheme="majorBidi"/>
          <w:sz w:val="24"/>
          <w:szCs w:val="24"/>
        </w:rPr>
        <w:t>. Nonetheless</w:t>
      </w:r>
      <w:r>
        <w:rPr>
          <w:rFonts w:asciiTheme="majorBidi" w:hAnsiTheme="majorBidi" w:cstheme="majorBidi"/>
          <w:sz w:val="24"/>
          <w:szCs w:val="24"/>
        </w:rPr>
        <w:t xml:space="preserve">, it appears in literature that both media vehicles complement each other. For instance, </w:t>
      </w:r>
      <w:r w:rsidRPr="006B6C73">
        <w:rPr>
          <w:rFonts w:asciiTheme="majorBidi" w:hAnsiTheme="majorBidi" w:cstheme="majorBidi"/>
          <w:sz w:val="24"/>
          <w:szCs w:val="24"/>
        </w:rPr>
        <w:t xml:space="preserve">TV viewers </w:t>
      </w:r>
      <w:r>
        <w:rPr>
          <w:rFonts w:asciiTheme="majorBidi" w:hAnsiTheme="majorBidi" w:cstheme="majorBidi"/>
          <w:sz w:val="24"/>
          <w:szCs w:val="24"/>
        </w:rPr>
        <w:t>are sometimes</w:t>
      </w:r>
      <w:r w:rsidRPr="006B6C73">
        <w:rPr>
          <w:rFonts w:asciiTheme="majorBidi" w:hAnsiTheme="majorBidi" w:cstheme="majorBidi"/>
          <w:sz w:val="24"/>
          <w:szCs w:val="24"/>
        </w:rPr>
        <w:t xml:space="preserve"> actively </w:t>
      </w:r>
      <w:r>
        <w:rPr>
          <w:rFonts w:asciiTheme="majorBidi" w:hAnsiTheme="majorBidi" w:cstheme="majorBidi"/>
          <w:sz w:val="24"/>
          <w:szCs w:val="24"/>
        </w:rPr>
        <w:t>engaged</w:t>
      </w:r>
      <w:r w:rsidRPr="006B6C73">
        <w:rPr>
          <w:rFonts w:asciiTheme="majorBidi" w:hAnsiTheme="majorBidi" w:cstheme="majorBidi"/>
          <w:sz w:val="24"/>
          <w:szCs w:val="24"/>
        </w:rPr>
        <w:t xml:space="preserve"> while watching TV program</w:t>
      </w:r>
      <w:r>
        <w:rPr>
          <w:rFonts w:asciiTheme="majorBidi" w:hAnsiTheme="majorBidi" w:cstheme="majorBidi"/>
          <w:sz w:val="24"/>
          <w:szCs w:val="24"/>
        </w:rPr>
        <w:t>s</w:t>
      </w:r>
      <w:r w:rsidRPr="006B6C73">
        <w:rPr>
          <w:rFonts w:asciiTheme="majorBidi" w:hAnsiTheme="majorBidi" w:cstheme="majorBidi"/>
          <w:sz w:val="24"/>
          <w:szCs w:val="24"/>
        </w:rPr>
        <w:t xml:space="preserve"> by posting comments online</w:t>
      </w:r>
      <w:r>
        <w:rPr>
          <w:rFonts w:asciiTheme="majorBidi" w:hAnsiTheme="majorBidi" w:cstheme="majorBidi"/>
          <w:sz w:val="24"/>
          <w:szCs w:val="24"/>
        </w:rPr>
        <w:t xml:space="preserve"> related to what they watch on TV</w:t>
      </w:r>
      <w:sdt>
        <w:sdtPr>
          <w:rPr>
            <w:rFonts w:asciiTheme="majorBidi" w:hAnsiTheme="majorBidi" w:cstheme="majorBidi"/>
            <w:sz w:val="24"/>
            <w:szCs w:val="24"/>
          </w:rPr>
          <w:id w:val="-203719243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Mah22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(Mahanti, 2022)</w:t>
          </w:r>
          <w:r>
            <w:rPr>
              <w:rFonts w:asciiTheme="majorBidi" w:hAnsiTheme="majorBidi" w:cstheme="majorBidi"/>
              <w:sz w:val="24"/>
              <w:szCs w:val="24"/>
            </w:rPr>
            <w:fldChar w:fldCharType="end"/>
          </w:r>
        </w:sdtContent>
      </w:sdt>
      <w:r>
        <w:rPr>
          <w:rFonts w:asciiTheme="majorBidi" w:hAnsiTheme="majorBidi" w:cstheme="majorBidi"/>
          <w:sz w:val="24"/>
          <w:szCs w:val="24"/>
        </w:rPr>
        <w:t>. Moreover, it was suggested in</w:t>
      </w:r>
      <w:r w:rsidR="00F12B78">
        <w:rPr>
          <w:rFonts w:asciiTheme="majorBidi" w:hAnsiTheme="majorBidi" w:cstheme="majorBidi"/>
          <w:sz w:val="24"/>
          <w:szCs w:val="24"/>
        </w:rPr>
        <w:t xml:space="preserve"> the</w:t>
      </w:r>
      <w:r>
        <w:rPr>
          <w:rFonts w:asciiTheme="majorBidi" w:hAnsiTheme="majorBidi" w:cstheme="majorBidi"/>
          <w:sz w:val="24"/>
          <w:szCs w:val="24"/>
        </w:rPr>
        <w:t xml:space="preserve"> literature that ad engagement that results from social media positively impacts consumers’ purchase intentions</w:t>
      </w:r>
      <w:bookmarkStart w:id="65" w:name="_Hlk137505699"/>
      <w:sdt>
        <w:sdtPr>
          <w:rPr>
            <w:rFonts w:asciiTheme="majorBidi" w:hAnsiTheme="majorBidi" w:cstheme="majorBidi"/>
            <w:sz w:val="24"/>
            <w:szCs w:val="24"/>
          </w:rPr>
          <w:id w:val="7456171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Jeo21 \l 2057  \m Lat20 \m Cab22</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bookmarkStart w:id="66" w:name="_Hlk137505503"/>
          <w:r w:rsidRPr="0002256A">
            <w:rPr>
              <w:rFonts w:asciiTheme="majorBidi" w:hAnsiTheme="majorBidi" w:cstheme="majorBidi"/>
              <w:noProof/>
              <w:sz w:val="24"/>
              <w:szCs w:val="24"/>
            </w:rPr>
            <w:t>(Jeon, 2021; Latifa &amp; Calicioglub, 2020; Cabigting, Marallag, Mariano, &amp; Grimaldo, 2022</w:t>
          </w:r>
          <w:bookmarkEnd w:id="66"/>
          <w:r w:rsidRPr="0002256A">
            <w:rPr>
              <w:rFonts w:asciiTheme="majorBidi" w:hAnsiTheme="majorBidi" w:cstheme="majorBidi"/>
              <w:noProof/>
              <w:sz w:val="24"/>
              <w:szCs w:val="24"/>
            </w:rPr>
            <w:t>)</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End w:id="65"/>
      <w:r>
        <w:rPr>
          <w:rFonts w:asciiTheme="majorBidi" w:hAnsiTheme="majorBidi" w:cstheme="majorBidi"/>
          <w:sz w:val="24"/>
          <w:szCs w:val="24"/>
        </w:rPr>
        <w:t xml:space="preserve">Other researchers found that the interactive nature of social media is one of the reasons that </w:t>
      </w:r>
      <w:bookmarkStart w:id="67" w:name="_Hlk157194220"/>
      <w:r>
        <w:rPr>
          <w:rFonts w:asciiTheme="majorBidi" w:hAnsiTheme="majorBidi" w:cstheme="majorBidi"/>
          <w:sz w:val="24"/>
          <w:szCs w:val="24"/>
        </w:rPr>
        <w:t>consumers might feel emotionally attached to the brands advertised on social media</w:t>
      </w:r>
      <w:sdt>
        <w:sdtPr>
          <w:rPr>
            <w:rFonts w:asciiTheme="majorBidi" w:hAnsiTheme="majorBidi" w:cstheme="majorBidi"/>
            <w:sz w:val="24"/>
            <w:szCs w:val="24"/>
          </w:rPr>
          <w:id w:val="-41255731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Gha17 \l 2057  \m Teo16</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(Gharib, Philpott, &amp; Duan, 2017; Teo, 2016)</w:t>
          </w:r>
          <w:r>
            <w:rPr>
              <w:rFonts w:asciiTheme="majorBidi" w:hAnsiTheme="majorBidi" w:cstheme="majorBidi"/>
              <w:sz w:val="24"/>
              <w:szCs w:val="24"/>
            </w:rPr>
            <w:fldChar w:fldCharType="end"/>
          </w:r>
        </w:sdtContent>
      </w:sdt>
      <w:bookmarkEnd w:id="67"/>
      <w:r>
        <w:rPr>
          <w:rFonts w:asciiTheme="majorBidi" w:hAnsiTheme="majorBidi" w:cstheme="majorBidi"/>
          <w:sz w:val="24"/>
          <w:szCs w:val="24"/>
        </w:rPr>
        <w:t>. This emotional attachment is more likely to occur with social media users with higher motivation to express themselves</w:t>
      </w:r>
      <w:sdt>
        <w:sdtPr>
          <w:rPr>
            <w:rFonts w:asciiTheme="majorBidi" w:hAnsiTheme="majorBidi" w:cstheme="majorBidi"/>
            <w:sz w:val="24"/>
            <w:szCs w:val="24"/>
          </w:rPr>
          <w:id w:val="-157628388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Wan16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(Wang, Yeh, Yen, &amp; Sandoya, 2016)</w:t>
          </w:r>
          <w:r>
            <w:rPr>
              <w:rFonts w:asciiTheme="majorBidi" w:hAnsiTheme="majorBidi" w:cstheme="majorBidi"/>
              <w:sz w:val="24"/>
              <w:szCs w:val="24"/>
            </w:rPr>
            <w:fldChar w:fldCharType="end"/>
          </w:r>
        </w:sdtContent>
      </w:sdt>
      <w:r>
        <w:rPr>
          <w:rFonts w:asciiTheme="majorBidi" w:hAnsiTheme="majorBidi" w:cstheme="majorBidi"/>
          <w:sz w:val="24"/>
          <w:szCs w:val="24"/>
        </w:rPr>
        <w:t>. This is an important finding as emotional brand attachment has an influence on brand credibility and overall customer satisfaction</w:t>
      </w:r>
      <w:sdt>
        <w:sdtPr>
          <w:rPr>
            <w:rFonts w:asciiTheme="majorBidi" w:hAnsiTheme="majorBidi" w:cstheme="majorBidi"/>
            <w:sz w:val="24"/>
            <w:szCs w:val="24"/>
          </w:rPr>
          <w:id w:val="-113085598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Dwi18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(Dwivedi, Johnson, &amp; Wilkie, 2018)</w:t>
          </w:r>
          <w:r>
            <w:rPr>
              <w:rFonts w:asciiTheme="majorBidi" w:hAnsiTheme="majorBidi" w:cstheme="majorBidi"/>
              <w:sz w:val="24"/>
              <w:szCs w:val="24"/>
            </w:rPr>
            <w:fldChar w:fldCharType="end"/>
          </w:r>
        </w:sdtContent>
      </w:sdt>
      <w:r>
        <w:rPr>
          <w:rFonts w:asciiTheme="majorBidi" w:hAnsiTheme="majorBidi" w:cstheme="majorBidi"/>
          <w:sz w:val="24"/>
          <w:szCs w:val="24"/>
        </w:rPr>
        <w:t>.</w:t>
      </w:r>
      <w:r w:rsidR="00FE48CD">
        <w:rPr>
          <w:rFonts w:asciiTheme="majorBidi" w:hAnsiTheme="majorBidi" w:cstheme="majorBidi"/>
          <w:sz w:val="24"/>
          <w:szCs w:val="24"/>
        </w:rPr>
        <w:t xml:space="preserve"> However, based on research by </w:t>
      </w:r>
      <w:r w:rsidR="00FE48CD" w:rsidRPr="00FE48CD">
        <w:rPr>
          <w:rFonts w:asciiTheme="majorBidi" w:hAnsiTheme="majorBidi" w:cstheme="majorBidi"/>
          <w:sz w:val="24"/>
          <w:szCs w:val="24"/>
        </w:rPr>
        <w:t>Cervellon and Lirio</w:t>
      </w:r>
      <w:r w:rsidR="00FE48CD">
        <w:rPr>
          <w:rFonts w:asciiTheme="majorBidi" w:hAnsiTheme="majorBidi" w:cstheme="majorBidi"/>
          <w:sz w:val="24"/>
          <w:szCs w:val="24"/>
        </w:rPr>
        <w:t xml:space="preserve"> </w:t>
      </w:r>
      <w:sdt>
        <w:sdtPr>
          <w:rPr>
            <w:rFonts w:asciiTheme="majorBidi" w:hAnsiTheme="majorBidi" w:cstheme="majorBidi"/>
            <w:sz w:val="24"/>
            <w:szCs w:val="24"/>
          </w:rPr>
          <w:id w:val="-1709099700"/>
          <w:citation/>
        </w:sdtPr>
        <w:sdtContent>
          <w:r w:rsidR="00FE48CD">
            <w:rPr>
              <w:rFonts w:asciiTheme="majorBidi" w:hAnsiTheme="majorBidi" w:cstheme="majorBidi"/>
              <w:sz w:val="24"/>
              <w:szCs w:val="24"/>
            </w:rPr>
            <w:fldChar w:fldCharType="begin"/>
          </w:r>
          <w:r w:rsidR="00FE48CD">
            <w:rPr>
              <w:rFonts w:asciiTheme="majorBidi" w:hAnsiTheme="majorBidi" w:cstheme="majorBidi"/>
              <w:sz w:val="24"/>
              <w:szCs w:val="24"/>
            </w:rPr>
            <w:instrText xml:space="preserve">CITATION Cer17 \n  \t  \l 2057 </w:instrText>
          </w:r>
          <w:r w:rsidR="00FE48CD">
            <w:rPr>
              <w:rFonts w:asciiTheme="majorBidi" w:hAnsiTheme="majorBidi" w:cstheme="majorBidi"/>
              <w:sz w:val="24"/>
              <w:szCs w:val="24"/>
            </w:rPr>
            <w:fldChar w:fldCharType="separate"/>
          </w:r>
          <w:r w:rsidR="00FE48CD" w:rsidRPr="00FE48CD">
            <w:rPr>
              <w:rFonts w:asciiTheme="majorBidi" w:hAnsiTheme="majorBidi" w:cstheme="majorBidi"/>
              <w:noProof/>
              <w:sz w:val="24"/>
              <w:szCs w:val="24"/>
            </w:rPr>
            <w:t>(2017)</w:t>
          </w:r>
          <w:r w:rsidR="00FE48CD">
            <w:rPr>
              <w:rFonts w:asciiTheme="majorBidi" w:hAnsiTheme="majorBidi" w:cstheme="majorBidi"/>
              <w:sz w:val="24"/>
              <w:szCs w:val="24"/>
            </w:rPr>
            <w:fldChar w:fldCharType="end"/>
          </w:r>
        </w:sdtContent>
      </w:sdt>
      <w:r w:rsidR="00FE48CD" w:rsidRPr="00FE48CD">
        <w:rPr>
          <w:rFonts w:asciiTheme="majorBidi" w:hAnsiTheme="majorBidi" w:cstheme="majorBidi"/>
          <w:sz w:val="24"/>
          <w:szCs w:val="24"/>
        </w:rPr>
        <w:t xml:space="preserve">, Social media advertisements that urge </w:t>
      </w:r>
      <w:r w:rsidR="003E40AB">
        <w:rPr>
          <w:rFonts w:asciiTheme="majorBidi" w:hAnsiTheme="majorBidi" w:cstheme="majorBidi"/>
          <w:sz w:val="24"/>
          <w:szCs w:val="24"/>
        </w:rPr>
        <w:t xml:space="preserve">a </w:t>
      </w:r>
      <w:r w:rsidR="00FE48CD" w:rsidRPr="00FE48CD">
        <w:rPr>
          <w:rFonts w:asciiTheme="majorBidi" w:hAnsiTheme="majorBidi" w:cstheme="majorBidi"/>
          <w:sz w:val="24"/>
          <w:szCs w:val="24"/>
        </w:rPr>
        <w:t>purchase are disliked by consumers.</w:t>
      </w:r>
    </w:p>
    <w:p w14:paraId="150A2703" w14:textId="475FF881" w:rsidR="004B3852" w:rsidRDefault="00543994" w:rsidP="004B3852">
      <w:pPr>
        <w:spacing w:after="0" w:line="480" w:lineRule="auto"/>
        <w:rPr>
          <w:rFonts w:asciiTheme="majorBidi" w:hAnsiTheme="majorBidi" w:cstheme="majorBidi"/>
          <w:sz w:val="24"/>
          <w:szCs w:val="24"/>
        </w:rPr>
      </w:pPr>
      <w:r>
        <w:rPr>
          <w:rFonts w:asciiTheme="majorBidi" w:hAnsiTheme="majorBidi" w:cstheme="majorBidi"/>
          <w:sz w:val="24"/>
          <w:szCs w:val="24"/>
        </w:rPr>
        <w:tab/>
      </w:r>
      <w:r w:rsidR="00A96566">
        <w:rPr>
          <w:rFonts w:asciiTheme="majorBidi" w:hAnsiTheme="majorBidi" w:cstheme="majorBidi"/>
          <w:sz w:val="24"/>
          <w:szCs w:val="24"/>
        </w:rPr>
        <w:t xml:space="preserve"> However, s</w:t>
      </w:r>
      <w:r w:rsidR="00A96566" w:rsidRPr="00AB3986">
        <w:rPr>
          <w:rFonts w:asciiTheme="majorBidi" w:hAnsiTheme="majorBidi" w:cstheme="majorBidi"/>
          <w:sz w:val="24"/>
          <w:szCs w:val="24"/>
        </w:rPr>
        <w:t xml:space="preserve">ocial media </w:t>
      </w:r>
      <w:r w:rsidR="00A96566">
        <w:rPr>
          <w:rFonts w:asciiTheme="majorBidi" w:hAnsiTheme="majorBidi" w:cstheme="majorBidi"/>
          <w:sz w:val="24"/>
          <w:szCs w:val="24"/>
        </w:rPr>
        <w:t>is</w:t>
      </w:r>
      <w:r w:rsidR="00A96566" w:rsidRPr="00AB3986">
        <w:rPr>
          <w:rFonts w:asciiTheme="majorBidi" w:hAnsiTheme="majorBidi" w:cstheme="majorBidi"/>
          <w:sz w:val="24"/>
          <w:szCs w:val="24"/>
        </w:rPr>
        <w:t xml:space="preserve"> constantly </w:t>
      </w:r>
      <w:r w:rsidR="00A96566">
        <w:rPr>
          <w:rFonts w:asciiTheme="majorBidi" w:hAnsiTheme="majorBidi" w:cstheme="majorBidi"/>
          <w:sz w:val="24"/>
          <w:szCs w:val="24"/>
        </w:rPr>
        <w:t>undergoing</w:t>
      </w:r>
      <w:r w:rsidR="00A96566" w:rsidRPr="00AB3986">
        <w:rPr>
          <w:rFonts w:asciiTheme="majorBidi" w:hAnsiTheme="majorBidi" w:cstheme="majorBidi"/>
          <w:sz w:val="24"/>
          <w:szCs w:val="24"/>
        </w:rPr>
        <w:t xml:space="preserve"> </w:t>
      </w:r>
      <w:r w:rsidR="00A96566">
        <w:rPr>
          <w:rFonts w:asciiTheme="majorBidi" w:hAnsiTheme="majorBidi" w:cstheme="majorBidi"/>
          <w:sz w:val="24"/>
          <w:szCs w:val="24"/>
        </w:rPr>
        <w:t>major</w:t>
      </w:r>
      <w:r w:rsidR="00A96566" w:rsidRPr="00AB3986">
        <w:rPr>
          <w:rFonts w:asciiTheme="majorBidi" w:hAnsiTheme="majorBidi" w:cstheme="majorBidi"/>
          <w:sz w:val="24"/>
          <w:szCs w:val="24"/>
        </w:rPr>
        <w:t xml:space="preserve"> change</w:t>
      </w:r>
      <w:r w:rsidR="00A96566">
        <w:rPr>
          <w:rFonts w:asciiTheme="majorBidi" w:hAnsiTheme="majorBidi" w:cstheme="majorBidi"/>
          <w:sz w:val="24"/>
          <w:szCs w:val="24"/>
        </w:rPr>
        <w:t>s</w:t>
      </w:r>
      <w:r w:rsidR="00A96566" w:rsidRPr="00AB3986">
        <w:rPr>
          <w:rFonts w:asciiTheme="majorBidi" w:hAnsiTheme="majorBidi" w:cstheme="majorBidi"/>
          <w:sz w:val="24"/>
          <w:szCs w:val="24"/>
        </w:rPr>
        <w:t xml:space="preserve"> and </w:t>
      </w:r>
      <w:r w:rsidR="00A96566">
        <w:rPr>
          <w:rFonts w:asciiTheme="majorBidi" w:hAnsiTheme="majorBidi" w:cstheme="majorBidi"/>
          <w:sz w:val="24"/>
          <w:szCs w:val="24"/>
        </w:rPr>
        <w:t xml:space="preserve">faces </w:t>
      </w:r>
      <w:r w:rsidR="00A96566" w:rsidRPr="00AB3986">
        <w:rPr>
          <w:rFonts w:asciiTheme="majorBidi" w:hAnsiTheme="majorBidi" w:cstheme="majorBidi"/>
          <w:sz w:val="24"/>
          <w:szCs w:val="24"/>
        </w:rPr>
        <w:t xml:space="preserve">criticism </w:t>
      </w:r>
      <w:r w:rsidR="00A96566">
        <w:rPr>
          <w:rFonts w:asciiTheme="majorBidi" w:hAnsiTheme="majorBidi" w:cstheme="majorBidi"/>
          <w:sz w:val="24"/>
          <w:szCs w:val="24"/>
        </w:rPr>
        <w:t>on some issues such</w:t>
      </w:r>
      <w:r w:rsidR="00A96566" w:rsidRPr="00AB3986">
        <w:rPr>
          <w:rFonts w:asciiTheme="majorBidi" w:hAnsiTheme="majorBidi" w:cstheme="majorBidi"/>
          <w:sz w:val="24"/>
          <w:szCs w:val="24"/>
        </w:rPr>
        <w:t xml:space="preserve"> as </w:t>
      </w:r>
      <w:r w:rsidR="00A96566" w:rsidRPr="00C27B0F">
        <w:rPr>
          <w:rFonts w:asciiTheme="majorBidi" w:hAnsiTheme="majorBidi" w:cstheme="majorBidi"/>
          <w:sz w:val="24"/>
          <w:szCs w:val="24"/>
        </w:rPr>
        <w:t>data privacy and authenticity of information</w:t>
      </w:r>
      <w:sdt>
        <w:sdtPr>
          <w:rPr>
            <w:rFonts w:asciiTheme="majorBidi" w:hAnsiTheme="majorBidi" w:cstheme="majorBidi"/>
            <w:sz w:val="24"/>
            <w:szCs w:val="24"/>
          </w:rPr>
          <w:id w:val="-391582007"/>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CITATION Dwi18 \t  \l 2057  \m Vra21</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(Dwivedi, Johnson, &amp; Wilkie, 2018; Vraga &amp; Tully, 2021)</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Th</w:t>
      </w:r>
      <w:bookmarkStart w:id="68" w:name="_Hlk157194191"/>
      <w:r w:rsidR="00A96566">
        <w:rPr>
          <w:rFonts w:asciiTheme="majorBidi" w:hAnsiTheme="majorBidi" w:cstheme="majorBidi"/>
          <w:sz w:val="24"/>
          <w:szCs w:val="24"/>
        </w:rPr>
        <w:t xml:space="preserve">is could be one of the reasons that television media is still one of the most successful media vehicles for brand awareness </w:t>
      </w:r>
      <w:sdt>
        <w:sdtPr>
          <w:rPr>
            <w:rFonts w:asciiTheme="majorBidi" w:hAnsiTheme="majorBidi" w:cstheme="majorBidi"/>
            <w:sz w:val="24"/>
            <w:szCs w:val="24"/>
          </w:rPr>
          <w:id w:val="-792283810"/>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Bat16 \l 2057  \m Nie21</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(Batra &amp; Keller, 2016; Niederdeppe, et al., 2021)</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w:t>
      </w:r>
      <w:bookmarkEnd w:id="68"/>
      <w:r w:rsidR="00A96566">
        <w:rPr>
          <w:rFonts w:asciiTheme="majorBidi" w:hAnsiTheme="majorBidi" w:cstheme="majorBidi"/>
          <w:sz w:val="24"/>
          <w:szCs w:val="24"/>
        </w:rPr>
        <w:t>Mirroring these media viewing habits, a lot of companies spend majority of their money on television advertising</w:t>
      </w:r>
      <w:sdt>
        <w:sdtPr>
          <w:rPr>
            <w:rFonts w:asciiTheme="majorBidi" w:hAnsiTheme="majorBidi" w:cstheme="majorBidi"/>
            <w:sz w:val="24"/>
            <w:szCs w:val="24"/>
          </w:rPr>
          <w:id w:val="-665019041"/>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Pel17 \l 2057 </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(Pellikan, 2017)</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For example, Procter &amp; Gamble spent 7.1 billion dollars and Unilever spent 8.1 billion dollars on advertising in 2018</w:t>
      </w:r>
      <w:sdt>
        <w:sdtPr>
          <w:rPr>
            <w:rFonts w:asciiTheme="majorBidi" w:hAnsiTheme="majorBidi" w:cstheme="majorBidi"/>
            <w:sz w:val="24"/>
            <w:szCs w:val="24"/>
          </w:rPr>
          <w:id w:val="1202208026"/>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Pro19 \l 2057  \m Uni19</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(Procter &amp; Gamble, 2019; Unilever, 2019)</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This is because even though there are many other viewing options, a lot of people still prefer daily free-to-air movies and shows</w:t>
      </w:r>
      <w:sdt>
        <w:sdtPr>
          <w:rPr>
            <w:rFonts w:asciiTheme="majorBidi" w:hAnsiTheme="majorBidi" w:cstheme="majorBidi"/>
            <w:sz w:val="24"/>
            <w:szCs w:val="24"/>
          </w:rPr>
          <w:id w:val="-42367845"/>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Fea17 \l 2057 </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(Fearn &amp; Helliker, 2017)</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Hence, television advertising is deemed to provide businesses with wide audience reach</w:t>
      </w:r>
      <w:sdt>
        <w:sdtPr>
          <w:rPr>
            <w:rFonts w:asciiTheme="majorBidi" w:hAnsiTheme="majorBidi" w:cstheme="majorBidi"/>
            <w:sz w:val="24"/>
            <w:szCs w:val="24"/>
          </w:rPr>
          <w:id w:val="-627710350"/>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Alc15 \l 2057 </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(Alcorn, Buchanan, Smith, &amp; Gregory , 2015)</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It is essential to shed light on the type of media vehicle for this study because it appears in literature that the media vehicle has an impact on the audience’s scepticism towards the authenticity of the ad. Specifically, as discussed earlier in this chapter, CSR communication in general is faced with substantial scepticism</w:t>
      </w:r>
      <w:r w:rsidR="00A96566" w:rsidRPr="0015051B">
        <w:rPr>
          <w:rFonts w:asciiTheme="majorBidi" w:hAnsiTheme="majorBidi" w:cstheme="majorBidi"/>
          <w:sz w:val="24"/>
          <w:szCs w:val="24"/>
        </w:rPr>
        <w:t xml:space="preserve"> </w:t>
      </w:r>
      <w:sdt>
        <w:sdtPr>
          <w:rPr>
            <w:rFonts w:asciiTheme="majorBidi" w:hAnsiTheme="majorBidi" w:cstheme="majorBidi"/>
            <w:sz w:val="24"/>
            <w:szCs w:val="24"/>
          </w:rPr>
          <w:id w:val="-1201627111"/>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Kim18 \l 2057 </w:instrText>
          </w:r>
          <w:r w:rsidR="00A96566">
            <w:rPr>
              <w:rFonts w:asciiTheme="majorBidi" w:hAnsiTheme="majorBidi" w:cstheme="majorBidi"/>
              <w:sz w:val="24"/>
              <w:szCs w:val="24"/>
            </w:rPr>
            <w:fldChar w:fldCharType="separate"/>
          </w:r>
          <w:r w:rsidR="00A96566" w:rsidRPr="0002256A">
            <w:rPr>
              <w:rFonts w:asciiTheme="majorBidi" w:hAnsiTheme="majorBidi" w:cstheme="majorBidi"/>
              <w:noProof/>
              <w:sz w:val="24"/>
              <w:szCs w:val="24"/>
            </w:rPr>
            <w:t>(Kim, Overton , Hull, &amp; Choi, 2018)</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It appears in </w:t>
      </w:r>
      <w:r w:rsidR="00F12B78">
        <w:rPr>
          <w:rFonts w:asciiTheme="majorBidi" w:hAnsiTheme="majorBidi" w:cstheme="majorBidi"/>
          <w:sz w:val="24"/>
          <w:szCs w:val="24"/>
        </w:rPr>
        <w:t xml:space="preserve">the </w:t>
      </w:r>
      <w:r w:rsidR="00A96566">
        <w:rPr>
          <w:rFonts w:asciiTheme="majorBidi" w:hAnsiTheme="majorBidi" w:cstheme="majorBidi"/>
          <w:sz w:val="24"/>
          <w:szCs w:val="24"/>
        </w:rPr>
        <w:t>literature, that for the FMCG industry brands specifically, TV advertising seems to be the most important channel of advertising</w:t>
      </w:r>
      <w:sdt>
        <w:sdtPr>
          <w:rPr>
            <w:rFonts w:asciiTheme="majorBidi" w:hAnsiTheme="majorBidi" w:cstheme="majorBidi"/>
            <w:sz w:val="24"/>
            <w:szCs w:val="24"/>
          </w:rPr>
          <w:id w:val="-25956696"/>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CITATION Bec19 \t  \l 2057  \m Han18</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(Becker, Wiegand, &amp; Reinartz, 2019; Hanssens D. M., 2018)</w:t>
          </w:r>
          <w:r w:rsidR="00A96566">
            <w:rPr>
              <w:rFonts w:asciiTheme="majorBidi" w:hAnsiTheme="majorBidi" w:cstheme="majorBidi"/>
              <w:sz w:val="24"/>
              <w:szCs w:val="24"/>
            </w:rPr>
            <w:fldChar w:fldCharType="end"/>
          </w:r>
        </w:sdtContent>
      </w:sdt>
      <w:r w:rsidR="00A96566">
        <w:rPr>
          <w:rFonts w:asciiTheme="majorBidi" w:hAnsiTheme="majorBidi" w:cstheme="majorBidi"/>
          <w:sz w:val="24"/>
          <w:szCs w:val="24"/>
        </w:rPr>
        <w:t xml:space="preserve">. The following section will provide further details examining the FMCG industry as the understudied brand for this study is an FMCG brand. </w:t>
      </w:r>
    </w:p>
    <w:p w14:paraId="7A8BC12B" w14:textId="4732248C" w:rsidR="00A96566" w:rsidRPr="00543994" w:rsidRDefault="004B3852" w:rsidP="004B3852">
      <w:pPr>
        <w:spacing w:after="0" w:line="480" w:lineRule="auto"/>
      </w:pPr>
      <w:r>
        <w:rPr>
          <w:rFonts w:asciiTheme="majorBidi" w:hAnsiTheme="majorBidi" w:cstheme="majorBidi"/>
          <w:sz w:val="24"/>
          <w:szCs w:val="24"/>
        </w:rPr>
        <w:tab/>
      </w:r>
      <w:r w:rsidR="00A96566">
        <w:rPr>
          <w:rFonts w:asciiTheme="majorBidi" w:hAnsiTheme="majorBidi" w:cstheme="majorBidi"/>
          <w:sz w:val="24"/>
          <w:szCs w:val="24"/>
        </w:rPr>
        <w:t xml:space="preserve">Additionally, </w:t>
      </w:r>
      <w:bookmarkStart w:id="69" w:name="_Hlk157194258"/>
      <w:r w:rsidR="00A96566">
        <w:rPr>
          <w:rFonts w:asciiTheme="majorBidi" w:hAnsiTheme="majorBidi" w:cstheme="majorBidi"/>
          <w:sz w:val="24"/>
          <w:szCs w:val="24"/>
        </w:rPr>
        <w:t>television advertising in some countries in the Middle East, such as the Arabian Gulf countries, is still the most common advertising medium in the region</w:t>
      </w:r>
      <w:bookmarkStart w:id="70" w:name="_Hlk137505643"/>
      <w:bookmarkStart w:id="71" w:name="_Hlk137505888"/>
      <w:sdt>
        <w:sdtPr>
          <w:rPr>
            <w:rFonts w:asciiTheme="majorBidi" w:hAnsiTheme="majorBidi" w:cstheme="majorBidi"/>
            <w:sz w:val="24"/>
            <w:szCs w:val="24"/>
          </w:rPr>
          <w:id w:val="-1722734070"/>
          <w:citation/>
        </w:sdtPr>
        <w:sdtContent>
          <w:r w:rsidR="00A96566">
            <w:rPr>
              <w:rFonts w:asciiTheme="majorBidi" w:hAnsiTheme="majorBidi" w:cstheme="majorBidi"/>
              <w:sz w:val="24"/>
              <w:szCs w:val="24"/>
            </w:rPr>
            <w:fldChar w:fldCharType="begin"/>
          </w:r>
          <w:r w:rsidR="00A96566">
            <w:rPr>
              <w:rFonts w:asciiTheme="majorBidi" w:hAnsiTheme="majorBidi" w:cstheme="majorBidi"/>
              <w:sz w:val="24"/>
              <w:szCs w:val="24"/>
            </w:rPr>
            <w:instrText xml:space="preserve"> CITATION Den16 \l 2057 </w:instrText>
          </w:r>
          <w:r w:rsidR="00A96566">
            <w:rPr>
              <w:rFonts w:asciiTheme="majorBidi" w:hAnsiTheme="majorBidi" w:cstheme="majorBidi"/>
              <w:sz w:val="24"/>
              <w:szCs w:val="24"/>
            </w:rPr>
            <w:fldChar w:fldCharType="separate"/>
          </w:r>
          <w:r w:rsidR="00A96566">
            <w:rPr>
              <w:rFonts w:asciiTheme="majorBidi" w:hAnsiTheme="majorBidi" w:cstheme="majorBidi"/>
              <w:noProof/>
              <w:sz w:val="24"/>
              <w:szCs w:val="24"/>
            </w:rPr>
            <w:t xml:space="preserve"> </w:t>
          </w:r>
          <w:r w:rsidR="00A96566" w:rsidRPr="0002256A">
            <w:rPr>
              <w:rFonts w:asciiTheme="majorBidi" w:hAnsiTheme="majorBidi" w:cstheme="majorBidi"/>
              <w:noProof/>
              <w:sz w:val="24"/>
              <w:szCs w:val="24"/>
            </w:rPr>
            <w:t>(Dennis, Papagiannidis, Alamanos, &amp; Bourlakis, 2016)</w:t>
          </w:r>
          <w:r w:rsidR="00A96566">
            <w:rPr>
              <w:rFonts w:asciiTheme="majorBidi" w:hAnsiTheme="majorBidi" w:cstheme="majorBidi"/>
              <w:sz w:val="24"/>
              <w:szCs w:val="24"/>
            </w:rPr>
            <w:fldChar w:fldCharType="end"/>
          </w:r>
        </w:sdtContent>
      </w:sdt>
      <w:bookmarkEnd w:id="69"/>
      <w:bookmarkEnd w:id="70"/>
      <w:r w:rsidR="00A96566">
        <w:rPr>
          <w:rFonts w:asciiTheme="majorBidi" w:hAnsiTheme="majorBidi" w:cstheme="majorBidi"/>
          <w:sz w:val="24"/>
          <w:szCs w:val="24"/>
        </w:rPr>
        <w:t>.</w:t>
      </w:r>
      <w:r w:rsidR="00D128BF">
        <w:rPr>
          <w:rFonts w:asciiTheme="majorBidi" w:hAnsiTheme="majorBidi" w:cstheme="majorBidi"/>
          <w:sz w:val="24"/>
          <w:szCs w:val="24"/>
        </w:rPr>
        <w:t xml:space="preserve"> </w:t>
      </w:r>
      <w:r>
        <w:rPr>
          <w:rFonts w:asciiTheme="majorBidi" w:hAnsiTheme="majorBidi" w:cstheme="majorBidi"/>
          <w:sz w:val="24"/>
          <w:szCs w:val="24"/>
        </w:rPr>
        <w:t xml:space="preserve">In Egypt, it appears that different age groups have varying media consumption habits and preferences. </w:t>
      </w:r>
      <w:r w:rsidR="00ED3E8E">
        <w:rPr>
          <w:rFonts w:asciiTheme="majorBidi" w:hAnsiTheme="majorBidi" w:cstheme="majorBidi"/>
          <w:sz w:val="24"/>
          <w:szCs w:val="24"/>
        </w:rPr>
        <w:t>According to research, younger consumers tend to use digital media platforms more than they watch Television</w:t>
      </w:r>
      <w:sdt>
        <w:sdtPr>
          <w:rPr>
            <w:rFonts w:asciiTheme="majorBidi" w:hAnsiTheme="majorBidi" w:cstheme="majorBidi"/>
            <w:sz w:val="24"/>
            <w:szCs w:val="24"/>
          </w:rPr>
          <w:id w:val="-1223977853"/>
          <w:citation/>
        </w:sdtPr>
        <w:sdtContent>
          <w:r w:rsidR="00ED3E8E">
            <w:rPr>
              <w:rFonts w:asciiTheme="majorBidi" w:hAnsiTheme="majorBidi" w:cstheme="majorBidi"/>
              <w:sz w:val="24"/>
              <w:szCs w:val="24"/>
            </w:rPr>
            <w:fldChar w:fldCharType="begin"/>
          </w:r>
          <w:r w:rsidR="00ED3E8E">
            <w:rPr>
              <w:rFonts w:asciiTheme="majorBidi" w:hAnsiTheme="majorBidi" w:cstheme="majorBidi"/>
              <w:sz w:val="24"/>
              <w:szCs w:val="24"/>
            </w:rPr>
            <w:instrText xml:space="preserve"> CITATION Mos191 \l 2057 </w:instrText>
          </w:r>
          <w:r w:rsidR="00ED3E8E">
            <w:rPr>
              <w:rFonts w:asciiTheme="majorBidi" w:hAnsiTheme="majorBidi" w:cstheme="majorBidi"/>
              <w:sz w:val="24"/>
              <w:szCs w:val="24"/>
            </w:rPr>
            <w:fldChar w:fldCharType="separate"/>
          </w:r>
          <w:r w:rsidR="00ED3E8E">
            <w:rPr>
              <w:rFonts w:asciiTheme="majorBidi" w:hAnsiTheme="majorBidi" w:cstheme="majorBidi"/>
              <w:noProof/>
              <w:sz w:val="24"/>
              <w:szCs w:val="24"/>
            </w:rPr>
            <w:t xml:space="preserve"> </w:t>
          </w:r>
          <w:r w:rsidR="00ED3E8E" w:rsidRPr="00ED3E8E">
            <w:rPr>
              <w:rFonts w:asciiTheme="majorBidi" w:hAnsiTheme="majorBidi" w:cstheme="majorBidi"/>
              <w:noProof/>
              <w:sz w:val="24"/>
              <w:szCs w:val="24"/>
            </w:rPr>
            <w:t>(Mosharafa, 2019)</w:t>
          </w:r>
          <w:r w:rsidR="00ED3E8E">
            <w:rPr>
              <w:rFonts w:asciiTheme="majorBidi" w:hAnsiTheme="majorBidi" w:cstheme="majorBidi"/>
              <w:sz w:val="24"/>
              <w:szCs w:val="24"/>
            </w:rPr>
            <w:fldChar w:fldCharType="end"/>
          </w:r>
        </w:sdtContent>
      </w:sdt>
      <w:r w:rsidR="00ED3E8E">
        <w:rPr>
          <w:rFonts w:asciiTheme="majorBidi" w:hAnsiTheme="majorBidi" w:cstheme="majorBidi"/>
          <w:sz w:val="24"/>
          <w:szCs w:val="24"/>
        </w:rPr>
        <w:t>.</w:t>
      </w:r>
      <w:r w:rsidR="00A515F8">
        <w:rPr>
          <w:rFonts w:asciiTheme="majorBidi" w:hAnsiTheme="majorBidi" w:cstheme="majorBidi"/>
          <w:sz w:val="24"/>
          <w:szCs w:val="24"/>
        </w:rPr>
        <w:t xml:space="preserve"> In fact, social media, especially Facebook and Twitter, played </w:t>
      </w:r>
      <w:r w:rsidR="002C5F85">
        <w:rPr>
          <w:rFonts w:asciiTheme="majorBidi" w:hAnsiTheme="majorBidi" w:cstheme="majorBidi"/>
          <w:sz w:val="24"/>
          <w:szCs w:val="24"/>
        </w:rPr>
        <w:t>a</w:t>
      </w:r>
      <w:r w:rsidR="00A515F8">
        <w:rPr>
          <w:rFonts w:asciiTheme="majorBidi" w:hAnsiTheme="majorBidi" w:cstheme="majorBidi"/>
          <w:sz w:val="24"/>
          <w:szCs w:val="24"/>
        </w:rPr>
        <w:t xml:space="preserve"> major role in the uprising of the Egyptian revolution in 2011</w:t>
      </w:r>
      <w:sdt>
        <w:sdtPr>
          <w:rPr>
            <w:rFonts w:asciiTheme="majorBidi" w:hAnsiTheme="majorBidi" w:cstheme="majorBidi"/>
            <w:sz w:val="24"/>
            <w:szCs w:val="24"/>
          </w:rPr>
          <w:id w:val="1055667731"/>
          <w:citation/>
        </w:sdtPr>
        <w:sdtContent>
          <w:r w:rsidR="00A515F8">
            <w:rPr>
              <w:rFonts w:asciiTheme="majorBidi" w:hAnsiTheme="majorBidi" w:cstheme="majorBidi"/>
              <w:sz w:val="24"/>
              <w:szCs w:val="24"/>
            </w:rPr>
            <w:fldChar w:fldCharType="begin"/>
          </w:r>
          <w:r w:rsidR="00A515F8">
            <w:rPr>
              <w:rFonts w:asciiTheme="majorBidi" w:hAnsiTheme="majorBidi" w:cstheme="majorBidi"/>
              <w:sz w:val="24"/>
              <w:szCs w:val="24"/>
            </w:rPr>
            <w:instrText xml:space="preserve"> CITATION Cla20 \l 2057 </w:instrText>
          </w:r>
          <w:r w:rsidR="002C5F85">
            <w:rPr>
              <w:rFonts w:asciiTheme="majorBidi" w:hAnsiTheme="majorBidi" w:cstheme="majorBidi"/>
              <w:sz w:val="24"/>
              <w:szCs w:val="24"/>
            </w:rPr>
            <w:instrText xml:space="preserve"> \m Kam20</w:instrText>
          </w:r>
          <w:r w:rsidR="00A515F8">
            <w:rPr>
              <w:rFonts w:asciiTheme="majorBidi" w:hAnsiTheme="majorBidi" w:cstheme="majorBidi"/>
              <w:sz w:val="24"/>
              <w:szCs w:val="24"/>
            </w:rPr>
            <w:fldChar w:fldCharType="separate"/>
          </w:r>
          <w:r w:rsidR="002C5F85">
            <w:rPr>
              <w:rFonts w:asciiTheme="majorBidi" w:hAnsiTheme="majorBidi" w:cstheme="majorBidi"/>
              <w:noProof/>
              <w:sz w:val="24"/>
              <w:szCs w:val="24"/>
            </w:rPr>
            <w:t xml:space="preserve"> </w:t>
          </w:r>
          <w:r w:rsidR="002C5F85" w:rsidRPr="002C5F85">
            <w:rPr>
              <w:rFonts w:asciiTheme="majorBidi" w:hAnsiTheme="majorBidi" w:cstheme="majorBidi"/>
              <w:noProof/>
              <w:sz w:val="24"/>
              <w:szCs w:val="24"/>
            </w:rPr>
            <w:t>(Clarke &amp; Kocak, 2020; Kamel N. A., 2020)</w:t>
          </w:r>
          <w:r w:rsidR="00A515F8">
            <w:rPr>
              <w:rFonts w:asciiTheme="majorBidi" w:hAnsiTheme="majorBidi" w:cstheme="majorBidi"/>
              <w:sz w:val="24"/>
              <w:szCs w:val="24"/>
            </w:rPr>
            <w:fldChar w:fldCharType="end"/>
          </w:r>
        </w:sdtContent>
      </w:sdt>
      <w:r w:rsidR="00A515F8">
        <w:rPr>
          <w:rFonts w:asciiTheme="majorBidi" w:hAnsiTheme="majorBidi" w:cstheme="majorBidi"/>
          <w:sz w:val="24"/>
          <w:szCs w:val="24"/>
        </w:rPr>
        <w:t>.</w:t>
      </w:r>
      <w:r w:rsidR="00ED3E8E">
        <w:rPr>
          <w:rFonts w:asciiTheme="majorBidi" w:hAnsiTheme="majorBidi" w:cstheme="majorBidi"/>
          <w:sz w:val="24"/>
          <w:szCs w:val="24"/>
        </w:rPr>
        <w:t xml:space="preserve"> </w:t>
      </w:r>
      <w:r w:rsidR="00D128BF">
        <w:rPr>
          <w:rFonts w:asciiTheme="majorBidi" w:hAnsiTheme="majorBidi" w:cstheme="majorBidi"/>
          <w:sz w:val="24"/>
          <w:szCs w:val="24"/>
        </w:rPr>
        <w:t xml:space="preserve">Even </w:t>
      </w:r>
      <w:r w:rsidR="00D128BF" w:rsidRPr="00C4527B">
        <w:rPr>
          <w:rFonts w:asciiTheme="majorBidi" w:hAnsiTheme="majorBidi" w:cstheme="majorBidi"/>
          <w:sz w:val="24"/>
          <w:szCs w:val="24"/>
        </w:rPr>
        <w:t xml:space="preserve">though </w:t>
      </w:r>
      <w:r w:rsidR="002C5F85" w:rsidRPr="00C4527B">
        <w:rPr>
          <w:rFonts w:asciiTheme="majorBidi" w:hAnsiTheme="majorBidi" w:cstheme="majorBidi"/>
          <w:sz w:val="24"/>
          <w:szCs w:val="24"/>
        </w:rPr>
        <w:t>social</w:t>
      </w:r>
      <w:r w:rsidR="00D128BF" w:rsidRPr="00C4527B">
        <w:rPr>
          <w:rFonts w:asciiTheme="majorBidi" w:hAnsiTheme="majorBidi" w:cstheme="majorBidi"/>
          <w:sz w:val="24"/>
          <w:szCs w:val="24"/>
        </w:rPr>
        <w:t xml:space="preserve"> media is growing exponentially in Egypt</w:t>
      </w:r>
      <w:sdt>
        <w:sdtPr>
          <w:rPr>
            <w:rFonts w:asciiTheme="majorBidi" w:hAnsiTheme="majorBidi" w:cstheme="majorBidi"/>
            <w:sz w:val="24"/>
            <w:szCs w:val="24"/>
          </w:rPr>
          <w:id w:val="1418442319"/>
          <w:citation/>
        </w:sdtPr>
        <w:sdtContent>
          <w:r w:rsidR="00543994" w:rsidRPr="00C4527B">
            <w:rPr>
              <w:rFonts w:asciiTheme="majorBidi" w:hAnsiTheme="majorBidi" w:cstheme="majorBidi"/>
              <w:sz w:val="24"/>
              <w:szCs w:val="24"/>
            </w:rPr>
            <w:fldChar w:fldCharType="begin"/>
          </w:r>
          <w:r w:rsidR="00543994" w:rsidRPr="00C4527B">
            <w:rPr>
              <w:rFonts w:asciiTheme="majorBidi" w:hAnsiTheme="majorBidi" w:cstheme="majorBidi"/>
              <w:sz w:val="24"/>
              <w:szCs w:val="24"/>
            </w:rPr>
            <w:instrText xml:space="preserve">CITATION All23 \t  \l 2057 </w:instrText>
          </w:r>
          <w:r w:rsidR="00543994" w:rsidRPr="00C4527B">
            <w:rPr>
              <w:rFonts w:asciiTheme="majorBidi" w:hAnsiTheme="majorBidi" w:cstheme="majorBidi"/>
              <w:sz w:val="24"/>
              <w:szCs w:val="24"/>
            </w:rPr>
            <w:fldChar w:fldCharType="separate"/>
          </w:r>
          <w:r w:rsidR="00543994" w:rsidRPr="00C4527B">
            <w:rPr>
              <w:rFonts w:asciiTheme="majorBidi" w:hAnsiTheme="majorBidi" w:cstheme="majorBidi"/>
              <w:noProof/>
              <w:sz w:val="24"/>
              <w:szCs w:val="24"/>
            </w:rPr>
            <w:t xml:space="preserve"> (Allam, 2023)</w:t>
          </w:r>
          <w:r w:rsidR="00543994" w:rsidRPr="00C4527B">
            <w:rPr>
              <w:rFonts w:asciiTheme="majorBidi" w:hAnsiTheme="majorBidi" w:cstheme="majorBidi"/>
              <w:sz w:val="24"/>
              <w:szCs w:val="24"/>
            </w:rPr>
            <w:fldChar w:fldCharType="end"/>
          </w:r>
        </w:sdtContent>
      </w:sdt>
      <w:r w:rsidR="00D128BF" w:rsidRPr="00C4527B">
        <w:rPr>
          <w:rFonts w:asciiTheme="majorBidi" w:hAnsiTheme="majorBidi" w:cstheme="majorBidi"/>
          <w:sz w:val="24"/>
          <w:szCs w:val="24"/>
        </w:rPr>
        <w:t>, Television is still the most popular medium</w:t>
      </w:r>
      <w:r w:rsidR="00543994" w:rsidRPr="002C5F85">
        <w:rPr>
          <w:rFonts w:asciiTheme="majorBidi" w:hAnsiTheme="majorBidi" w:cstheme="majorBidi"/>
          <w:sz w:val="24"/>
          <w:szCs w:val="24"/>
        </w:rPr>
        <w:t xml:space="preserve"> </w:t>
      </w:r>
      <w:sdt>
        <w:sdtPr>
          <w:rPr>
            <w:rFonts w:asciiTheme="majorBidi" w:hAnsiTheme="majorBidi" w:cstheme="majorBidi"/>
            <w:sz w:val="24"/>
            <w:szCs w:val="24"/>
          </w:rPr>
          <w:id w:val="1751851928"/>
          <w:citation/>
        </w:sdtPr>
        <w:sdtContent>
          <w:r w:rsidR="00543994" w:rsidRPr="002C5F85">
            <w:rPr>
              <w:rFonts w:asciiTheme="majorBidi" w:hAnsiTheme="majorBidi" w:cstheme="majorBidi"/>
              <w:sz w:val="24"/>
              <w:szCs w:val="24"/>
            </w:rPr>
            <w:fldChar w:fldCharType="begin"/>
          </w:r>
          <w:r w:rsidR="00543994" w:rsidRPr="002C5F85">
            <w:rPr>
              <w:rFonts w:asciiTheme="majorBidi" w:hAnsiTheme="majorBidi" w:cstheme="majorBidi"/>
              <w:sz w:val="24"/>
              <w:szCs w:val="24"/>
            </w:rPr>
            <w:instrText xml:space="preserve"> CITATION All23 \l 2057  \m BBC23</w:instrText>
          </w:r>
          <w:r w:rsidR="00543994" w:rsidRPr="002C5F85">
            <w:rPr>
              <w:rFonts w:asciiTheme="majorBidi" w:hAnsiTheme="majorBidi" w:cstheme="majorBidi"/>
              <w:sz w:val="24"/>
              <w:szCs w:val="24"/>
            </w:rPr>
            <w:fldChar w:fldCharType="separate"/>
          </w:r>
          <w:r w:rsidR="00543994" w:rsidRPr="002C5F85">
            <w:rPr>
              <w:rFonts w:asciiTheme="majorBidi" w:hAnsiTheme="majorBidi" w:cstheme="majorBidi"/>
              <w:noProof/>
              <w:sz w:val="24"/>
              <w:szCs w:val="24"/>
            </w:rPr>
            <w:t>(Allam, 2023; BBC, 2023)</w:t>
          </w:r>
          <w:r w:rsidR="00543994" w:rsidRPr="002C5F85">
            <w:rPr>
              <w:rFonts w:asciiTheme="majorBidi" w:hAnsiTheme="majorBidi" w:cstheme="majorBidi"/>
              <w:sz w:val="24"/>
              <w:szCs w:val="24"/>
            </w:rPr>
            <w:fldChar w:fldCharType="end"/>
          </w:r>
        </w:sdtContent>
      </w:sdt>
      <w:r w:rsidR="00D128BF">
        <w:rPr>
          <w:rFonts w:asciiTheme="majorBidi" w:hAnsiTheme="majorBidi" w:cstheme="majorBidi"/>
          <w:sz w:val="24"/>
          <w:szCs w:val="24"/>
        </w:rPr>
        <w:t>.</w:t>
      </w:r>
      <w:bookmarkEnd w:id="71"/>
      <w:r w:rsidR="00D128BF">
        <w:rPr>
          <w:rFonts w:asciiTheme="majorBidi" w:hAnsiTheme="majorBidi" w:cstheme="majorBidi"/>
          <w:sz w:val="24"/>
          <w:szCs w:val="24"/>
        </w:rPr>
        <w:t xml:space="preserve"> </w:t>
      </w:r>
      <w:r w:rsidR="006D0E1F">
        <w:rPr>
          <w:rFonts w:asciiTheme="majorBidi" w:hAnsiTheme="majorBidi" w:cstheme="majorBidi"/>
          <w:sz w:val="24"/>
          <w:szCs w:val="24"/>
        </w:rPr>
        <w:t>Consequently, these opposing arguments in literature on different media vehicles, leave us wondering which media channel do consumers prefer and why?</w:t>
      </w:r>
      <w:r w:rsidR="00A96566">
        <w:rPr>
          <w:rFonts w:asciiTheme="majorBidi" w:hAnsiTheme="majorBidi" w:cstheme="majorBidi"/>
          <w:sz w:val="24"/>
          <w:szCs w:val="24"/>
        </w:rPr>
        <w:t xml:space="preserve"> For that reason, it is essential to investigate which media vehicle will be preferred by this study’s specific respondents. Therefore, </w:t>
      </w:r>
      <w:r w:rsidR="006D0E1F">
        <w:rPr>
          <w:rFonts w:asciiTheme="majorBidi" w:hAnsiTheme="majorBidi" w:cstheme="majorBidi"/>
          <w:sz w:val="24"/>
          <w:szCs w:val="24"/>
        </w:rPr>
        <w:t xml:space="preserve">based on the above discussion and </w:t>
      </w:r>
      <w:r w:rsidR="00A96566">
        <w:rPr>
          <w:rFonts w:asciiTheme="majorBidi" w:hAnsiTheme="majorBidi" w:cstheme="majorBidi"/>
          <w:sz w:val="24"/>
          <w:szCs w:val="24"/>
        </w:rPr>
        <w:t xml:space="preserve">to fulfil part of this study’s objectives, I posit the below research question and hypothesis: </w:t>
      </w:r>
    </w:p>
    <w:p w14:paraId="5E7E9065" w14:textId="2FC80FD0" w:rsidR="00A96566" w:rsidRPr="00E11D13" w:rsidRDefault="00002857" w:rsidP="00460517">
      <w:pPr>
        <w:pStyle w:val="NormalWeb"/>
        <w:spacing w:before="0" w:beforeAutospacing="0" w:after="0" w:afterAutospacing="0" w:line="480" w:lineRule="auto"/>
        <w:rPr>
          <w:rFonts w:asciiTheme="majorBidi" w:hAnsiTheme="majorBidi" w:cstheme="majorBidi"/>
          <w:sz w:val="22"/>
          <w:szCs w:val="22"/>
        </w:rPr>
      </w:pPr>
      <w:bookmarkStart w:id="72" w:name="_Hlk136610706"/>
      <w:bookmarkStart w:id="73" w:name="_Hlk136611624"/>
      <w:r>
        <w:rPr>
          <w:rFonts w:asciiTheme="majorBidi" w:hAnsiTheme="majorBidi" w:cstheme="majorBidi"/>
        </w:rPr>
        <w:tab/>
      </w:r>
      <w:r w:rsidR="00E11D13" w:rsidRPr="004130E9">
        <w:rPr>
          <w:rFonts w:asciiTheme="majorBidi" w:hAnsiTheme="majorBidi" w:cstheme="majorBidi"/>
          <w:sz w:val="22"/>
          <w:szCs w:val="22"/>
        </w:rPr>
        <w:t>RQ</w:t>
      </w:r>
      <w:r w:rsidR="00E11D13">
        <w:rPr>
          <w:rFonts w:asciiTheme="majorBidi" w:hAnsiTheme="majorBidi" w:cstheme="majorBidi"/>
          <w:sz w:val="22"/>
          <w:szCs w:val="22"/>
        </w:rPr>
        <w:t>2</w:t>
      </w:r>
      <w:r w:rsidR="00E11D13" w:rsidRPr="004130E9">
        <w:rPr>
          <w:rFonts w:asciiTheme="majorBidi" w:hAnsiTheme="majorBidi" w:cstheme="majorBidi"/>
          <w:sz w:val="22"/>
          <w:szCs w:val="22"/>
        </w:rPr>
        <w:t xml:space="preserve">: </w:t>
      </w:r>
      <w:r w:rsidR="00E11D13">
        <w:rPr>
          <w:rFonts w:asciiTheme="majorBidi" w:hAnsiTheme="majorBidi" w:cstheme="majorBidi"/>
          <w:sz w:val="22"/>
          <w:szCs w:val="22"/>
        </w:rPr>
        <w:t>does the impact of CSR on Egyptian consumers of FMCG differ between different media vehicles?</w:t>
      </w:r>
    </w:p>
    <w:p w14:paraId="3876639C" w14:textId="70B6F051" w:rsidR="00A96566" w:rsidRPr="00857FA3" w:rsidRDefault="00575AE6" w:rsidP="00460517">
      <w:pPr>
        <w:pStyle w:val="NormalWeb"/>
        <w:spacing w:before="0" w:beforeAutospacing="0" w:after="0" w:afterAutospacing="0" w:line="480" w:lineRule="auto"/>
        <w:rPr>
          <w:rFonts w:asciiTheme="majorBidi" w:eastAsia="Arial" w:hAnsiTheme="majorBidi" w:cstheme="majorBidi"/>
        </w:rPr>
      </w:pPr>
      <w:bookmarkStart w:id="74" w:name="_Hlk136433602"/>
      <w:bookmarkEnd w:id="72"/>
      <w:r>
        <w:rPr>
          <w:rFonts w:asciiTheme="majorBidi" w:eastAsia="Arial" w:hAnsiTheme="majorBidi" w:cstheme="majorBidi"/>
        </w:rPr>
        <w:tab/>
      </w:r>
      <w:bookmarkStart w:id="75" w:name="_Hlk145537467"/>
      <w:r w:rsidR="00A96566">
        <w:rPr>
          <w:rFonts w:asciiTheme="majorBidi" w:eastAsia="Arial" w:hAnsiTheme="majorBidi" w:cstheme="majorBidi"/>
        </w:rPr>
        <w:t>H</w:t>
      </w:r>
      <w:r w:rsidR="00287490">
        <w:rPr>
          <w:rFonts w:asciiTheme="majorBidi" w:eastAsia="Arial" w:hAnsiTheme="majorBidi" w:cstheme="majorBidi"/>
        </w:rPr>
        <w:t>7</w:t>
      </w:r>
      <w:r w:rsidR="00A96566">
        <w:rPr>
          <w:rFonts w:asciiTheme="majorBidi" w:eastAsia="Arial" w:hAnsiTheme="majorBidi" w:cstheme="majorBidi"/>
        </w:rPr>
        <w:t xml:space="preserve">: </w:t>
      </w:r>
      <w:r>
        <w:rPr>
          <w:rFonts w:asciiTheme="majorBidi" w:eastAsia="Arial" w:hAnsiTheme="majorBidi" w:cstheme="majorBidi"/>
        </w:rPr>
        <w:t>Social media</w:t>
      </w:r>
      <w:r w:rsidR="00A96566">
        <w:rPr>
          <w:rFonts w:asciiTheme="majorBidi" w:eastAsia="Arial" w:hAnsiTheme="majorBidi" w:cstheme="majorBidi"/>
        </w:rPr>
        <w:t xml:space="preserve"> has a</w:t>
      </w:r>
      <w:r w:rsidR="006D0E1F">
        <w:rPr>
          <w:rFonts w:asciiTheme="majorBidi" w:eastAsia="Arial" w:hAnsiTheme="majorBidi" w:cstheme="majorBidi"/>
        </w:rPr>
        <w:t xml:space="preserve"> stronger</w:t>
      </w:r>
      <w:r w:rsidR="00A96566">
        <w:rPr>
          <w:rFonts w:asciiTheme="majorBidi" w:eastAsia="Arial" w:hAnsiTheme="majorBidi" w:cstheme="majorBidi"/>
        </w:rPr>
        <w:t xml:space="preserve"> impact on consumers’ </w:t>
      </w:r>
      <w:r w:rsidR="006D0E1F">
        <w:rPr>
          <w:rFonts w:asciiTheme="majorBidi" w:eastAsia="Arial" w:hAnsiTheme="majorBidi" w:cstheme="majorBidi"/>
        </w:rPr>
        <w:t xml:space="preserve">attitudes towards </w:t>
      </w:r>
      <w:r w:rsidR="00A96566">
        <w:rPr>
          <w:rFonts w:asciiTheme="majorBidi" w:eastAsia="Arial" w:hAnsiTheme="majorBidi" w:cstheme="majorBidi"/>
        </w:rPr>
        <w:t>CSR communication</w:t>
      </w:r>
      <w:r w:rsidR="004E2548">
        <w:rPr>
          <w:rFonts w:asciiTheme="majorBidi" w:eastAsia="Arial" w:hAnsiTheme="majorBidi" w:cstheme="majorBidi"/>
        </w:rPr>
        <w:t xml:space="preserve"> than television</w:t>
      </w:r>
      <w:r w:rsidR="00A96566">
        <w:rPr>
          <w:rFonts w:asciiTheme="majorBidi" w:eastAsia="Arial" w:hAnsiTheme="majorBidi" w:cstheme="majorBidi"/>
        </w:rPr>
        <w:t>.</w:t>
      </w:r>
    </w:p>
    <w:bookmarkEnd w:id="73"/>
    <w:bookmarkEnd w:id="74"/>
    <w:bookmarkEnd w:id="75"/>
    <w:p w14:paraId="5B992471" w14:textId="77777777" w:rsidR="00DE2091" w:rsidRDefault="00DE2091">
      <w:pPr>
        <w:rPr>
          <w:rFonts w:asciiTheme="majorBidi" w:hAnsiTheme="majorBidi" w:cstheme="majorBidi"/>
          <w:b/>
          <w:bCs/>
          <w:sz w:val="24"/>
          <w:szCs w:val="24"/>
        </w:rPr>
      </w:pPr>
      <w:r>
        <w:rPr>
          <w:rFonts w:asciiTheme="majorBidi" w:hAnsiTheme="majorBidi" w:cstheme="majorBidi"/>
          <w:b/>
          <w:bCs/>
          <w:sz w:val="24"/>
          <w:szCs w:val="24"/>
        </w:rPr>
        <w:br w:type="page"/>
      </w:r>
    </w:p>
    <w:p w14:paraId="30D8273F" w14:textId="5C3AECBE" w:rsidR="00A96566" w:rsidRDefault="00460517" w:rsidP="004F4A51">
      <w:pPr>
        <w:adjustRightInd w:val="0"/>
        <w:spacing w:after="0" w:line="480" w:lineRule="auto"/>
        <w:jc w:val="lowKashida"/>
        <w:rPr>
          <w:rFonts w:asciiTheme="majorBidi" w:hAnsiTheme="majorBidi" w:cstheme="majorBidi"/>
          <w:b/>
          <w:bCs/>
          <w:sz w:val="24"/>
          <w:szCs w:val="24"/>
        </w:rPr>
      </w:pPr>
      <w:r>
        <w:rPr>
          <w:rFonts w:asciiTheme="majorBidi" w:hAnsiTheme="majorBidi" w:cstheme="majorBidi"/>
          <w:b/>
          <w:bCs/>
          <w:sz w:val="24"/>
          <w:szCs w:val="24"/>
        </w:rPr>
        <w:t>2</w:t>
      </w:r>
      <w:r w:rsidR="00A96566">
        <w:rPr>
          <w:rFonts w:asciiTheme="majorBidi" w:hAnsiTheme="majorBidi" w:cstheme="majorBidi"/>
          <w:b/>
          <w:bCs/>
          <w:sz w:val="24"/>
          <w:szCs w:val="24"/>
        </w:rPr>
        <w:t>.1</w:t>
      </w:r>
      <w:r w:rsidR="00DD69CF">
        <w:rPr>
          <w:rFonts w:asciiTheme="majorBidi" w:hAnsiTheme="majorBidi" w:cstheme="majorBidi"/>
          <w:b/>
          <w:bCs/>
          <w:sz w:val="24"/>
          <w:szCs w:val="24"/>
        </w:rPr>
        <w:t>0</w:t>
      </w:r>
      <w:r w:rsidR="00A96566">
        <w:rPr>
          <w:rFonts w:asciiTheme="majorBidi" w:hAnsiTheme="majorBidi" w:cstheme="majorBidi"/>
          <w:b/>
          <w:bCs/>
          <w:sz w:val="24"/>
          <w:szCs w:val="24"/>
        </w:rPr>
        <w:t xml:space="preserve"> </w:t>
      </w:r>
      <w:r w:rsidR="00A96566" w:rsidRPr="00943CE0">
        <w:rPr>
          <w:rFonts w:asciiTheme="majorBidi" w:hAnsiTheme="majorBidi" w:cstheme="majorBidi"/>
          <w:b/>
          <w:bCs/>
          <w:sz w:val="24"/>
          <w:szCs w:val="24"/>
        </w:rPr>
        <w:t>CSR in the FMCG sector</w:t>
      </w:r>
    </w:p>
    <w:p w14:paraId="284EF2DE" w14:textId="36EC1A0F" w:rsidR="00B84F60" w:rsidRDefault="00A96566" w:rsidP="004F4A51">
      <w:pPr>
        <w:adjustRightInd w:val="0"/>
        <w:spacing w:after="0" w:line="480" w:lineRule="auto"/>
        <w:ind w:firstLine="720"/>
        <w:jc w:val="lowKashida"/>
        <w:rPr>
          <w:rFonts w:asciiTheme="majorBidi" w:hAnsiTheme="majorBidi" w:cstheme="majorBidi"/>
          <w:sz w:val="24"/>
          <w:szCs w:val="24"/>
        </w:rPr>
      </w:pPr>
      <w:r w:rsidRPr="00CF2C97">
        <w:rPr>
          <w:rFonts w:asciiTheme="majorBidi" w:hAnsiTheme="majorBidi" w:cstheme="majorBidi"/>
          <w:sz w:val="24"/>
          <w:szCs w:val="24"/>
        </w:rPr>
        <w:t xml:space="preserve">FMCG is a large industry </w:t>
      </w:r>
      <w:r>
        <w:rPr>
          <w:rFonts w:asciiTheme="majorBidi" w:hAnsiTheme="majorBidi" w:cstheme="majorBidi"/>
          <w:sz w:val="24"/>
          <w:szCs w:val="24"/>
        </w:rPr>
        <w:t>that</w:t>
      </w:r>
      <w:r w:rsidRPr="00CF2C97">
        <w:rPr>
          <w:rFonts w:asciiTheme="majorBidi" w:hAnsiTheme="majorBidi" w:cstheme="majorBidi"/>
          <w:sz w:val="24"/>
          <w:szCs w:val="24"/>
        </w:rPr>
        <w:t xml:space="preserve"> includes food and beverages, tobacco, personal hygiene, household cleaning products, and over-the-counter medicine</w:t>
      </w:r>
      <w:r>
        <w:rPr>
          <w:rFonts w:asciiTheme="majorBidi" w:hAnsiTheme="majorBidi" w:cstheme="majorBidi"/>
          <w:sz w:val="24"/>
          <w:szCs w:val="24"/>
        </w:rPr>
        <w:t>s</w:t>
      </w:r>
      <w:sdt>
        <w:sdtPr>
          <w:rPr>
            <w:rFonts w:asciiTheme="majorBidi" w:hAnsiTheme="majorBidi" w:cstheme="majorBidi"/>
            <w:sz w:val="24"/>
            <w:szCs w:val="24"/>
          </w:rPr>
          <w:id w:val="-36128686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Lic19 \l 2057 </w:instrText>
          </w:r>
          <w:r>
            <w:rPr>
              <w:rFonts w:asciiTheme="majorBidi" w:hAnsiTheme="majorBidi" w:cstheme="majorBidi"/>
              <w:sz w:val="24"/>
              <w:szCs w:val="24"/>
            </w:rPr>
            <w:fldChar w:fldCharType="separate"/>
          </w:r>
          <w:r>
            <w:rPr>
              <w:rFonts w:asciiTheme="majorBidi" w:hAnsiTheme="majorBidi" w:cstheme="majorBidi"/>
              <w:sz w:val="24"/>
              <w:szCs w:val="24"/>
            </w:rPr>
            <w:t xml:space="preserve"> </w:t>
          </w:r>
          <w:r w:rsidRPr="0002256A">
            <w:rPr>
              <w:rFonts w:asciiTheme="majorBidi" w:hAnsiTheme="majorBidi" w:cstheme="majorBidi"/>
              <w:sz w:val="24"/>
              <w:szCs w:val="24"/>
            </w:rPr>
            <w:t>(Liczmańska-Kopcewicz, Mizera, &amp; Pyplacz, 2019)</w:t>
          </w:r>
          <w:r>
            <w:rPr>
              <w:rFonts w:asciiTheme="majorBidi" w:hAnsiTheme="majorBidi" w:cstheme="majorBidi"/>
              <w:sz w:val="24"/>
              <w:szCs w:val="24"/>
            </w:rPr>
            <w:fldChar w:fldCharType="end"/>
          </w:r>
        </w:sdtContent>
      </w:sdt>
      <w:r w:rsidRPr="00CF2C97">
        <w:rPr>
          <w:rFonts w:asciiTheme="majorBidi" w:hAnsiTheme="majorBidi" w:cstheme="majorBidi"/>
          <w:sz w:val="24"/>
          <w:szCs w:val="24"/>
        </w:rPr>
        <w:t>.</w:t>
      </w:r>
      <w:r w:rsidR="006645B9">
        <w:rPr>
          <w:rFonts w:asciiTheme="majorBidi" w:hAnsiTheme="majorBidi" w:cstheme="majorBidi"/>
          <w:sz w:val="24"/>
          <w:szCs w:val="24"/>
        </w:rPr>
        <w:t xml:space="preserve"> The global FMCG market is forecasted to reach 15.3 billion dollars by 2025</w:t>
      </w:r>
      <w:sdt>
        <w:sdtPr>
          <w:rPr>
            <w:rFonts w:asciiTheme="majorBidi" w:hAnsiTheme="majorBidi" w:cstheme="majorBidi"/>
            <w:sz w:val="24"/>
            <w:szCs w:val="24"/>
          </w:rPr>
          <w:id w:val="1462071323"/>
          <w:citation/>
        </w:sdtPr>
        <w:sdtContent>
          <w:r w:rsidR="006645B9">
            <w:rPr>
              <w:rFonts w:asciiTheme="majorBidi" w:hAnsiTheme="majorBidi" w:cstheme="majorBidi"/>
              <w:sz w:val="24"/>
              <w:szCs w:val="24"/>
            </w:rPr>
            <w:fldChar w:fldCharType="begin"/>
          </w:r>
          <w:r w:rsidR="006645B9">
            <w:rPr>
              <w:rFonts w:asciiTheme="majorBidi" w:hAnsiTheme="majorBidi" w:cstheme="majorBidi"/>
              <w:sz w:val="24"/>
              <w:szCs w:val="24"/>
            </w:rPr>
            <w:instrText xml:space="preserve"> CITATION Pan221 \l 2057 </w:instrText>
          </w:r>
          <w:r w:rsidR="006645B9">
            <w:rPr>
              <w:rFonts w:asciiTheme="majorBidi" w:hAnsiTheme="majorBidi" w:cstheme="majorBidi"/>
              <w:sz w:val="24"/>
              <w:szCs w:val="24"/>
            </w:rPr>
            <w:fldChar w:fldCharType="separate"/>
          </w:r>
          <w:r w:rsidR="006645B9">
            <w:rPr>
              <w:rFonts w:asciiTheme="majorBidi" w:hAnsiTheme="majorBidi" w:cstheme="majorBidi"/>
              <w:noProof/>
              <w:sz w:val="24"/>
              <w:szCs w:val="24"/>
            </w:rPr>
            <w:t xml:space="preserve"> </w:t>
          </w:r>
          <w:r w:rsidR="006645B9" w:rsidRPr="006645B9">
            <w:rPr>
              <w:rFonts w:asciiTheme="majorBidi" w:hAnsiTheme="majorBidi" w:cstheme="majorBidi"/>
              <w:noProof/>
              <w:sz w:val="24"/>
              <w:szCs w:val="24"/>
            </w:rPr>
            <w:t>(Panhwar, Pathan, &amp; Gilal, 2022)</w:t>
          </w:r>
          <w:r w:rsidR="006645B9">
            <w:rPr>
              <w:rFonts w:asciiTheme="majorBidi" w:hAnsiTheme="majorBidi" w:cstheme="majorBidi"/>
              <w:sz w:val="24"/>
              <w:szCs w:val="24"/>
            </w:rPr>
            <w:fldChar w:fldCharType="end"/>
          </w:r>
        </w:sdtContent>
      </w:sdt>
      <w:r w:rsidR="006645B9">
        <w:rPr>
          <w:rFonts w:asciiTheme="majorBidi" w:hAnsiTheme="majorBidi" w:cstheme="majorBidi"/>
          <w:sz w:val="24"/>
          <w:szCs w:val="24"/>
        </w:rPr>
        <w:t>.</w:t>
      </w:r>
      <w:r>
        <w:rPr>
          <w:rFonts w:asciiTheme="majorBidi" w:hAnsiTheme="majorBidi" w:cstheme="majorBidi"/>
          <w:sz w:val="24"/>
          <w:szCs w:val="24"/>
        </w:rPr>
        <w:t xml:space="preserve"> Basically,</w:t>
      </w:r>
      <w:r w:rsidR="004F4A51">
        <w:rPr>
          <w:rFonts w:asciiTheme="majorBidi" w:hAnsiTheme="majorBidi" w:cstheme="majorBidi"/>
          <w:sz w:val="24"/>
          <w:szCs w:val="24"/>
        </w:rPr>
        <w:t xml:space="preserve"> FMCG are</w:t>
      </w:r>
      <w:r>
        <w:rPr>
          <w:rFonts w:asciiTheme="majorBidi" w:hAnsiTheme="majorBidi" w:cstheme="majorBidi"/>
          <w:sz w:val="24"/>
          <w:szCs w:val="24"/>
        </w:rPr>
        <w:t xml:space="preserve"> products that</w:t>
      </w:r>
      <w:r w:rsidR="00435851">
        <w:rPr>
          <w:rFonts w:asciiTheme="majorBidi" w:hAnsiTheme="majorBidi" w:cstheme="majorBidi"/>
          <w:sz w:val="24"/>
          <w:szCs w:val="24"/>
        </w:rPr>
        <w:t xml:space="preserve"> have a high consumption and shelf turnover rate</w:t>
      </w:r>
      <w:sdt>
        <w:sdtPr>
          <w:rPr>
            <w:rFonts w:asciiTheme="majorBidi" w:hAnsiTheme="majorBidi" w:cstheme="majorBidi"/>
            <w:sz w:val="24"/>
            <w:szCs w:val="24"/>
          </w:rPr>
          <w:id w:val="-73054736"/>
          <w:citation/>
        </w:sdtPr>
        <w:sdtContent>
          <w:r w:rsidR="004F4A51">
            <w:rPr>
              <w:rFonts w:asciiTheme="majorBidi" w:hAnsiTheme="majorBidi" w:cstheme="majorBidi"/>
              <w:sz w:val="24"/>
              <w:szCs w:val="24"/>
            </w:rPr>
            <w:fldChar w:fldCharType="begin"/>
          </w:r>
          <w:r w:rsidR="004F4A51">
            <w:rPr>
              <w:rFonts w:asciiTheme="majorBidi" w:hAnsiTheme="majorBidi" w:cstheme="majorBidi"/>
              <w:sz w:val="24"/>
              <w:szCs w:val="24"/>
            </w:rPr>
            <w:instrText xml:space="preserve"> CITATION Sik23 \l 2057 </w:instrText>
          </w:r>
          <w:r w:rsidR="004F4A51">
            <w:rPr>
              <w:rFonts w:asciiTheme="majorBidi" w:hAnsiTheme="majorBidi" w:cstheme="majorBidi"/>
              <w:sz w:val="24"/>
              <w:szCs w:val="24"/>
            </w:rPr>
            <w:fldChar w:fldCharType="separate"/>
          </w:r>
          <w:r w:rsidR="004F4A51">
            <w:rPr>
              <w:rFonts w:asciiTheme="majorBidi" w:hAnsiTheme="majorBidi" w:cstheme="majorBidi"/>
              <w:sz w:val="24"/>
              <w:szCs w:val="24"/>
            </w:rPr>
            <w:t xml:space="preserve"> </w:t>
          </w:r>
          <w:r w:rsidR="004F4A51" w:rsidRPr="004F4A51">
            <w:rPr>
              <w:rFonts w:asciiTheme="majorBidi" w:hAnsiTheme="majorBidi" w:cstheme="majorBidi"/>
              <w:sz w:val="24"/>
              <w:szCs w:val="24"/>
            </w:rPr>
            <w:t>(Sikorska, 2023)</w:t>
          </w:r>
          <w:r w:rsidR="004F4A51">
            <w:rPr>
              <w:rFonts w:asciiTheme="majorBidi" w:hAnsiTheme="majorBidi" w:cstheme="majorBidi"/>
              <w:sz w:val="24"/>
              <w:szCs w:val="24"/>
            </w:rPr>
            <w:fldChar w:fldCharType="end"/>
          </w:r>
        </w:sdtContent>
      </w:sdt>
      <w:r>
        <w:rPr>
          <w:rFonts w:asciiTheme="majorBidi" w:hAnsiTheme="majorBidi" w:cstheme="majorBidi"/>
          <w:sz w:val="24"/>
          <w:szCs w:val="24"/>
        </w:rPr>
        <w:t>. The FMCG is not an easy industry to operate in due to the rapidly changing needs of consumers</w:t>
      </w:r>
      <w:sdt>
        <w:sdtPr>
          <w:rPr>
            <w:rFonts w:asciiTheme="majorBidi" w:hAnsiTheme="majorBidi" w:cstheme="majorBidi"/>
            <w:sz w:val="24"/>
            <w:szCs w:val="24"/>
          </w:rPr>
          <w:id w:val="81777175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Răd18 \l 2057 </w:instrText>
          </w:r>
          <w:r>
            <w:rPr>
              <w:rFonts w:asciiTheme="majorBidi" w:hAnsiTheme="majorBidi" w:cstheme="majorBidi"/>
              <w:sz w:val="24"/>
              <w:szCs w:val="24"/>
            </w:rPr>
            <w:fldChar w:fldCharType="separate"/>
          </w:r>
          <w:r>
            <w:rPr>
              <w:rFonts w:asciiTheme="majorBidi" w:hAnsiTheme="majorBidi" w:cstheme="majorBidi"/>
              <w:sz w:val="24"/>
              <w:szCs w:val="24"/>
            </w:rPr>
            <w:t xml:space="preserve"> </w:t>
          </w:r>
          <w:r w:rsidRPr="007607AD">
            <w:rPr>
              <w:rFonts w:asciiTheme="majorBidi" w:hAnsiTheme="majorBidi" w:cstheme="majorBidi"/>
              <w:sz w:val="24"/>
              <w:szCs w:val="24"/>
            </w:rPr>
            <w:t>(Rădulescu &amp; Hudea,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and the </w:t>
      </w:r>
      <w:r w:rsidRPr="00C4527B">
        <w:rPr>
          <w:rFonts w:asciiTheme="majorBidi" w:hAnsiTheme="majorBidi" w:cstheme="majorBidi"/>
          <w:sz w:val="24"/>
          <w:szCs w:val="24"/>
        </w:rPr>
        <w:t>highly competitive nature of the industry due to high similarities among products</w:t>
      </w:r>
      <w:r w:rsidR="00C4527B">
        <w:rPr>
          <w:rFonts w:asciiTheme="majorBidi" w:hAnsiTheme="majorBidi" w:cstheme="majorBidi"/>
          <w:sz w:val="24"/>
          <w:szCs w:val="24"/>
        </w:rPr>
        <w:t xml:space="preserve"> </w:t>
      </w:r>
      <w:sdt>
        <w:sdtPr>
          <w:rPr>
            <w:rFonts w:asciiTheme="majorBidi" w:hAnsiTheme="majorBidi" w:cstheme="majorBidi"/>
            <w:sz w:val="24"/>
            <w:szCs w:val="24"/>
          </w:rPr>
          <w:id w:val="-79267603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Lic19 \l 2057  \m Wil201</w:instrText>
          </w:r>
          <w:r>
            <w:rPr>
              <w:rFonts w:asciiTheme="majorBidi" w:hAnsiTheme="majorBidi" w:cstheme="majorBidi"/>
              <w:sz w:val="24"/>
              <w:szCs w:val="24"/>
            </w:rPr>
            <w:fldChar w:fldCharType="separate"/>
          </w:r>
          <w:r w:rsidRPr="0002256A">
            <w:rPr>
              <w:rFonts w:asciiTheme="majorBidi" w:hAnsiTheme="majorBidi" w:cstheme="majorBidi"/>
              <w:sz w:val="24"/>
              <w:szCs w:val="24"/>
            </w:rPr>
            <w:t>(Liczmańska-Kopcewicz, Mizera, &amp; Pyplacz, 2019; Wilkins &amp; Ireland,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4F4A51" w:rsidRPr="004F4A51">
        <w:rPr>
          <w:rFonts w:asciiTheme="majorBidi" w:hAnsiTheme="majorBidi" w:cstheme="majorBidi"/>
          <w:sz w:val="24"/>
          <w:szCs w:val="24"/>
        </w:rPr>
        <w:t>FMCG is a low involvement category</w:t>
      </w:r>
      <w:sdt>
        <w:sdtPr>
          <w:rPr>
            <w:rFonts w:asciiTheme="majorBidi" w:hAnsiTheme="majorBidi" w:cstheme="majorBidi"/>
            <w:sz w:val="24"/>
            <w:szCs w:val="24"/>
          </w:rPr>
          <w:id w:val="-1807694814"/>
          <w:citation/>
        </w:sdtPr>
        <w:sdtContent>
          <w:r w:rsidR="004F4A51" w:rsidRPr="004F4A51">
            <w:rPr>
              <w:rFonts w:asciiTheme="majorBidi" w:hAnsiTheme="majorBidi" w:cstheme="majorBidi"/>
              <w:sz w:val="24"/>
              <w:szCs w:val="24"/>
            </w:rPr>
            <w:fldChar w:fldCharType="begin"/>
          </w:r>
          <w:r w:rsidR="004F4A51" w:rsidRPr="004F4A51">
            <w:rPr>
              <w:rFonts w:asciiTheme="majorBidi" w:hAnsiTheme="majorBidi" w:cstheme="majorBidi"/>
              <w:sz w:val="24"/>
              <w:szCs w:val="24"/>
            </w:rPr>
            <w:instrText xml:space="preserve"> CITATION Bas20 \l 2057  \m Pan22</w:instrText>
          </w:r>
          <w:r w:rsidR="004F4A51" w:rsidRPr="004F4A51">
            <w:rPr>
              <w:rFonts w:asciiTheme="majorBidi" w:hAnsiTheme="majorBidi" w:cstheme="majorBidi"/>
              <w:sz w:val="24"/>
              <w:szCs w:val="24"/>
            </w:rPr>
            <w:fldChar w:fldCharType="separate"/>
          </w:r>
          <w:r w:rsidR="004F4A51" w:rsidRPr="004F4A51">
            <w:rPr>
              <w:rFonts w:asciiTheme="majorBidi" w:hAnsiTheme="majorBidi" w:cstheme="majorBidi"/>
              <w:sz w:val="24"/>
              <w:szCs w:val="24"/>
            </w:rPr>
            <w:t xml:space="preserve"> (Bashir, Jørgensen, Pedersen, &amp; Skard, 2020; Panda, Masani, &amp; Dasgupta , 2022)</w:t>
          </w:r>
          <w:r w:rsidR="004F4A51" w:rsidRPr="004F4A51">
            <w:rPr>
              <w:rFonts w:asciiTheme="majorBidi" w:hAnsiTheme="majorBidi" w:cstheme="majorBidi"/>
              <w:sz w:val="24"/>
              <w:szCs w:val="24"/>
            </w:rPr>
            <w:fldChar w:fldCharType="end"/>
          </w:r>
        </w:sdtContent>
      </w:sdt>
      <w:r w:rsidR="004F4A51" w:rsidRPr="004F4A51">
        <w:rPr>
          <w:rFonts w:asciiTheme="majorBidi" w:hAnsiTheme="majorBidi" w:cstheme="majorBidi"/>
          <w:sz w:val="24"/>
          <w:szCs w:val="24"/>
        </w:rPr>
        <w:t xml:space="preserve">. </w:t>
      </w:r>
      <w:r w:rsidR="004F4A51">
        <w:rPr>
          <w:rFonts w:asciiTheme="majorBidi" w:hAnsiTheme="majorBidi" w:cstheme="majorBidi"/>
          <w:sz w:val="24"/>
          <w:szCs w:val="24"/>
        </w:rPr>
        <w:t xml:space="preserve">As such, </w:t>
      </w:r>
      <w:bookmarkStart w:id="76" w:name="_Hlk157188734"/>
      <w:r w:rsidRPr="0066107A">
        <w:rPr>
          <w:rFonts w:asciiTheme="majorBidi" w:hAnsiTheme="majorBidi" w:cstheme="majorBidi"/>
          <w:sz w:val="24"/>
          <w:szCs w:val="24"/>
        </w:rPr>
        <w:t xml:space="preserve">FMCGs are the kind of products </w:t>
      </w:r>
      <w:r w:rsidRPr="00C4527B">
        <w:rPr>
          <w:rFonts w:asciiTheme="majorBidi" w:hAnsiTheme="majorBidi" w:cstheme="majorBidi"/>
          <w:sz w:val="24"/>
          <w:szCs w:val="24"/>
        </w:rPr>
        <w:t>that do not require a long process of decision-making and the value of the singular transaction is not high</w:t>
      </w:r>
      <w:sdt>
        <w:sdtPr>
          <w:rPr>
            <w:rFonts w:asciiTheme="majorBidi" w:hAnsiTheme="majorBidi" w:cstheme="majorBidi"/>
            <w:sz w:val="24"/>
            <w:szCs w:val="24"/>
          </w:rPr>
          <w:id w:val="-319040809"/>
          <w:citation/>
        </w:sdtPr>
        <w:sdtContent>
          <w:r w:rsidRPr="00C4527B">
            <w:rPr>
              <w:rFonts w:asciiTheme="majorBidi" w:hAnsiTheme="majorBidi" w:cstheme="majorBidi"/>
              <w:sz w:val="24"/>
              <w:szCs w:val="24"/>
            </w:rPr>
            <w:fldChar w:fldCharType="begin"/>
          </w:r>
          <w:r w:rsidRPr="00C4527B">
            <w:rPr>
              <w:rFonts w:asciiTheme="majorBidi" w:hAnsiTheme="majorBidi" w:cstheme="majorBidi"/>
              <w:sz w:val="24"/>
              <w:szCs w:val="24"/>
            </w:rPr>
            <w:instrText xml:space="preserve"> CITATION Man18 \l 2057  \m Ver23</w:instrText>
          </w:r>
          <w:r w:rsidRPr="00C4527B">
            <w:rPr>
              <w:rFonts w:asciiTheme="majorBidi" w:hAnsiTheme="majorBidi" w:cstheme="majorBidi"/>
              <w:sz w:val="24"/>
              <w:szCs w:val="24"/>
            </w:rPr>
            <w:fldChar w:fldCharType="separate"/>
          </w:r>
          <w:r w:rsidRPr="00C4527B">
            <w:rPr>
              <w:rFonts w:asciiTheme="majorBidi" w:hAnsiTheme="majorBidi" w:cstheme="majorBidi"/>
              <w:noProof/>
              <w:sz w:val="24"/>
              <w:szCs w:val="24"/>
            </w:rPr>
            <w:t xml:space="preserve"> (Mann &amp; Ghuman, 2018; Verma, Rojhe, Horská , Sharma, &amp; Šedík , 2023)</w:t>
          </w:r>
          <w:r w:rsidRPr="00C4527B">
            <w:rPr>
              <w:rFonts w:asciiTheme="majorBidi" w:hAnsiTheme="majorBidi" w:cstheme="majorBidi"/>
              <w:sz w:val="24"/>
              <w:szCs w:val="24"/>
            </w:rPr>
            <w:fldChar w:fldCharType="end"/>
          </w:r>
        </w:sdtContent>
      </w:sdt>
      <w:r w:rsidRPr="00C4527B">
        <w:rPr>
          <w:rFonts w:asciiTheme="majorBidi" w:hAnsiTheme="majorBidi" w:cstheme="majorBidi"/>
          <w:sz w:val="24"/>
          <w:szCs w:val="24"/>
        </w:rPr>
        <w:t>.</w:t>
      </w:r>
      <w:bookmarkEnd w:id="76"/>
      <w:r>
        <w:rPr>
          <w:rFonts w:asciiTheme="majorBidi" w:hAnsiTheme="majorBidi" w:cstheme="majorBidi"/>
          <w:sz w:val="24"/>
          <w:szCs w:val="24"/>
        </w:rPr>
        <w:t xml:space="preserve"> For that reason, having a competitive advantage is particularly imperative in the FMCG sector due to high similarities among the products. Hence, having a CSR strategy for FMCG companies can be a creative way to provide consumers with a reason to choose their brands over the competitors’ brands </w:t>
      </w:r>
      <w:bookmarkStart w:id="77" w:name="_Hlk157188749"/>
      <w:sdt>
        <w:sdtPr>
          <w:rPr>
            <w:rFonts w:asciiTheme="majorBidi" w:hAnsiTheme="majorBidi" w:cstheme="majorBidi"/>
            <w:sz w:val="24"/>
            <w:szCs w:val="24"/>
          </w:rPr>
          <w:id w:val="203261176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Cur18 \l 2057  \m Sug19</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(Currás-Pérez, Dolz-Dolz, Miquel-Romero, &amp; Miquel-Romero, 2018; Suganthi, 2019)</w:t>
          </w:r>
          <w:r>
            <w:rPr>
              <w:rFonts w:asciiTheme="majorBidi" w:hAnsiTheme="majorBidi" w:cstheme="majorBidi"/>
              <w:sz w:val="24"/>
              <w:szCs w:val="24"/>
            </w:rPr>
            <w:fldChar w:fldCharType="end"/>
          </w:r>
        </w:sdtContent>
      </w:sdt>
      <w:r w:rsidRPr="00B6704B">
        <w:rPr>
          <w:rFonts w:asciiTheme="majorBidi" w:hAnsiTheme="majorBidi" w:cstheme="majorBidi"/>
          <w:sz w:val="24"/>
          <w:szCs w:val="24"/>
        </w:rPr>
        <w:t>.</w:t>
      </w:r>
      <w:r w:rsidR="00B84F60">
        <w:rPr>
          <w:rFonts w:asciiTheme="majorBidi" w:hAnsiTheme="majorBidi" w:cstheme="majorBidi"/>
          <w:sz w:val="24"/>
          <w:szCs w:val="24"/>
        </w:rPr>
        <w:t xml:space="preserve"> </w:t>
      </w:r>
      <w:bookmarkEnd w:id="77"/>
      <w:r w:rsidR="00B84F60">
        <w:rPr>
          <w:rFonts w:asciiTheme="majorBidi" w:hAnsiTheme="majorBidi" w:cstheme="majorBidi"/>
          <w:sz w:val="24"/>
          <w:szCs w:val="24"/>
        </w:rPr>
        <w:t xml:space="preserve">While the top two categories that advertise the most in the Middle East in 2021 is Real Estate and Telecommunications, other FMCG subcategories like diapers, detergents, chocolate, and hair care products come in </w:t>
      </w:r>
      <w:r w:rsidR="00B84F60" w:rsidRPr="00C4527B">
        <w:rPr>
          <w:rFonts w:asciiTheme="majorBidi" w:hAnsiTheme="majorBidi" w:cstheme="majorBidi"/>
          <w:sz w:val="24"/>
          <w:szCs w:val="24"/>
        </w:rPr>
        <w:t xml:space="preserve">the top 10 most advertised categories </w:t>
      </w:r>
      <w:sdt>
        <w:sdtPr>
          <w:rPr>
            <w:rFonts w:asciiTheme="majorBidi" w:hAnsiTheme="majorBidi" w:cstheme="majorBidi"/>
            <w:sz w:val="24"/>
            <w:szCs w:val="24"/>
          </w:rPr>
          <w:id w:val="-1079062807"/>
          <w:citation/>
        </w:sdtPr>
        <w:sdtContent>
          <w:r w:rsidR="00B84F60" w:rsidRPr="00C4527B">
            <w:rPr>
              <w:rFonts w:asciiTheme="majorBidi" w:hAnsiTheme="majorBidi" w:cstheme="majorBidi"/>
              <w:sz w:val="24"/>
              <w:szCs w:val="24"/>
            </w:rPr>
            <w:fldChar w:fldCharType="begin"/>
          </w:r>
          <w:r w:rsidR="00B84F60" w:rsidRPr="00C4527B">
            <w:rPr>
              <w:rFonts w:asciiTheme="majorBidi" w:hAnsiTheme="majorBidi" w:cstheme="majorBidi"/>
              <w:sz w:val="24"/>
              <w:szCs w:val="24"/>
            </w:rPr>
            <w:instrText xml:space="preserve"> CITATION Ips22 \l 2057 </w:instrText>
          </w:r>
          <w:r w:rsidR="00B84F60" w:rsidRPr="00C4527B">
            <w:rPr>
              <w:rFonts w:asciiTheme="majorBidi" w:hAnsiTheme="majorBidi" w:cstheme="majorBidi"/>
              <w:sz w:val="24"/>
              <w:szCs w:val="24"/>
            </w:rPr>
            <w:fldChar w:fldCharType="separate"/>
          </w:r>
          <w:r w:rsidR="00B84F60" w:rsidRPr="00C4527B">
            <w:rPr>
              <w:rFonts w:asciiTheme="majorBidi" w:hAnsiTheme="majorBidi" w:cstheme="majorBidi"/>
              <w:noProof/>
              <w:sz w:val="24"/>
              <w:szCs w:val="24"/>
            </w:rPr>
            <w:t>(Ipsos, 2022)</w:t>
          </w:r>
          <w:r w:rsidR="00B84F60" w:rsidRPr="00C4527B">
            <w:rPr>
              <w:rFonts w:asciiTheme="majorBidi" w:hAnsiTheme="majorBidi" w:cstheme="majorBidi"/>
              <w:sz w:val="24"/>
              <w:szCs w:val="24"/>
            </w:rPr>
            <w:fldChar w:fldCharType="end"/>
          </w:r>
        </w:sdtContent>
      </w:sdt>
      <w:r w:rsidR="00B84F60" w:rsidRPr="00C4527B">
        <w:rPr>
          <w:rFonts w:asciiTheme="majorBidi" w:hAnsiTheme="majorBidi" w:cstheme="majorBidi"/>
          <w:sz w:val="24"/>
          <w:szCs w:val="24"/>
        </w:rPr>
        <w:t xml:space="preserve">. </w:t>
      </w:r>
      <w:r w:rsidR="00D25EE3" w:rsidRPr="00C4527B">
        <w:rPr>
          <w:rFonts w:asciiTheme="majorBidi" w:hAnsiTheme="majorBidi" w:cstheme="majorBidi"/>
          <w:sz w:val="24"/>
          <w:szCs w:val="24"/>
        </w:rPr>
        <w:t>For example, the most advertised brands in Egypt in 2021 are FMCG brands</w:t>
      </w:r>
      <w:r w:rsidR="00D25EE3">
        <w:rPr>
          <w:rFonts w:asciiTheme="majorBidi" w:hAnsiTheme="majorBidi" w:cstheme="majorBidi"/>
          <w:sz w:val="24"/>
          <w:szCs w:val="24"/>
        </w:rPr>
        <w:t xml:space="preserve"> such as potato chips and cold fizzy drinks, confectionery in Morocco, and dairy products in Saudi Arabia </w:t>
      </w:r>
      <w:sdt>
        <w:sdtPr>
          <w:rPr>
            <w:rFonts w:asciiTheme="majorBidi" w:hAnsiTheme="majorBidi" w:cstheme="majorBidi"/>
            <w:sz w:val="24"/>
            <w:szCs w:val="24"/>
          </w:rPr>
          <w:id w:val="-2061085987"/>
          <w:citation/>
        </w:sdtPr>
        <w:sdtContent>
          <w:r w:rsidR="00D25EE3">
            <w:rPr>
              <w:rFonts w:asciiTheme="majorBidi" w:hAnsiTheme="majorBidi" w:cstheme="majorBidi"/>
              <w:sz w:val="24"/>
              <w:szCs w:val="24"/>
            </w:rPr>
            <w:fldChar w:fldCharType="begin"/>
          </w:r>
          <w:r w:rsidR="00D25EE3">
            <w:rPr>
              <w:rFonts w:asciiTheme="majorBidi" w:hAnsiTheme="majorBidi" w:cstheme="majorBidi"/>
              <w:sz w:val="24"/>
              <w:szCs w:val="24"/>
            </w:rPr>
            <w:instrText xml:space="preserve"> CITATION ElG22 \l 2057 </w:instrText>
          </w:r>
          <w:r w:rsidR="00D25EE3">
            <w:rPr>
              <w:rFonts w:asciiTheme="majorBidi" w:hAnsiTheme="majorBidi" w:cstheme="majorBidi"/>
              <w:sz w:val="24"/>
              <w:szCs w:val="24"/>
            </w:rPr>
            <w:fldChar w:fldCharType="separate"/>
          </w:r>
          <w:r w:rsidR="00D25EE3" w:rsidRPr="00D25EE3">
            <w:rPr>
              <w:rFonts w:asciiTheme="majorBidi" w:hAnsiTheme="majorBidi" w:cstheme="majorBidi"/>
              <w:noProof/>
              <w:sz w:val="24"/>
              <w:szCs w:val="24"/>
            </w:rPr>
            <w:t>(El Ganari, 2022)</w:t>
          </w:r>
          <w:r w:rsidR="00D25EE3">
            <w:rPr>
              <w:rFonts w:asciiTheme="majorBidi" w:hAnsiTheme="majorBidi" w:cstheme="majorBidi"/>
              <w:sz w:val="24"/>
              <w:szCs w:val="24"/>
            </w:rPr>
            <w:fldChar w:fldCharType="end"/>
          </w:r>
        </w:sdtContent>
      </w:sdt>
      <w:r w:rsidR="00D25EE3">
        <w:rPr>
          <w:rFonts w:asciiTheme="majorBidi" w:hAnsiTheme="majorBidi" w:cstheme="majorBidi"/>
          <w:sz w:val="24"/>
          <w:szCs w:val="24"/>
        </w:rPr>
        <w:t xml:space="preserve">. </w:t>
      </w:r>
      <w:r w:rsidR="00B84F60">
        <w:rPr>
          <w:rFonts w:asciiTheme="majorBidi" w:hAnsiTheme="majorBidi" w:cstheme="majorBidi"/>
          <w:sz w:val="24"/>
          <w:szCs w:val="24"/>
        </w:rPr>
        <w:t xml:space="preserve">Hence, it is considerably indispensable to examine communication strategies in the FMCG category in the Middle East. </w:t>
      </w:r>
    </w:p>
    <w:p w14:paraId="6F6671FA" w14:textId="2B95C97E" w:rsidR="00A96566" w:rsidRDefault="00A96566" w:rsidP="00B84F60">
      <w:pPr>
        <w:adjustRightInd w:val="0"/>
        <w:spacing w:after="0" w:line="480" w:lineRule="auto"/>
        <w:ind w:firstLine="720"/>
        <w:jc w:val="lowKashida"/>
        <w:rPr>
          <w:rFonts w:asciiTheme="majorBidi" w:hAnsiTheme="majorBidi" w:cstheme="majorBidi"/>
          <w:sz w:val="24"/>
          <w:szCs w:val="24"/>
        </w:rPr>
      </w:pPr>
      <w:r w:rsidRPr="00B6704B">
        <w:rPr>
          <w:rFonts w:asciiTheme="majorBidi" w:hAnsiTheme="majorBidi" w:cstheme="majorBidi"/>
          <w:sz w:val="24"/>
          <w:szCs w:val="24"/>
        </w:rPr>
        <w:t xml:space="preserve"> To</w:t>
      </w:r>
      <w:r>
        <w:rPr>
          <w:rFonts w:asciiTheme="majorBidi" w:hAnsiTheme="majorBidi" w:cstheme="majorBidi"/>
          <w:sz w:val="24"/>
          <w:szCs w:val="24"/>
        </w:rPr>
        <w:t xml:space="preserve"> understand consumers</w:t>
      </w:r>
      <w:r w:rsidR="00F12B78">
        <w:rPr>
          <w:rFonts w:asciiTheme="majorBidi" w:hAnsiTheme="majorBidi" w:cstheme="majorBidi"/>
          <w:sz w:val="24"/>
          <w:szCs w:val="24"/>
        </w:rPr>
        <w:t>’</w:t>
      </w:r>
      <w:r>
        <w:rPr>
          <w:rFonts w:asciiTheme="majorBidi" w:hAnsiTheme="majorBidi" w:cstheme="majorBidi"/>
          <w:sz w:val="24"/>
          <w:szCs w:val="24"/>
        </w:rPr>
        <w:t xml:space="preserve"> responses to CSR, it is important not</w:t>
      </w:r>
      <w:r w:rsidR="00F12B78">
        <w:rPr>
          <w:rFonts w:asciiTheme="majorBidi" w:hAnsiTheme="majorBidi" w:cstheme="majorBidi"/>
          <w:sz w:val="24"/>
          <w:szCs w:val="24"/>
        </w:rPr>
        <w:t xml:space="preserve"> to</w:t>
      </w:r>
      <w:r>
        <w:rPr>
          <w:rFonts w:asciiTheme="majorBidi" w:hAnsiTheme="majorBidi" w:cstheme="majorBidi"/>
          <w:sz w:val="24"/>
          <w:szCs w:val="24"/>
        </w:rPr>
        <w:t xml:space="preserve"> only consider final outcomes such as purchase intentions</w:t>
      </w:r>
      <w:r w:rsidR="00F12B78">
        <w:rPr>
          <w:rFonts w:asciiTheme="majorBidi" w:hAnsiTheme="majorBidi" w:cstheme="majorBidi"/>
          <w:sz w:val="24"/>
          <w:szCs w:val="24"/>
        </w:rPr>
        <w:t>,</w:t>
      </w:r>
      <w:r>
        <w:rPr>
          <w:rFonts w:asciiTheme="majorBidi" w:hAnsiTheme="majorBidi" w:cstheme="majorBidi"/>
          <w:sz w:val="24"/>
          <w:szCs w:val="24"/>
        </w:rPr>
        <w:t xml:space="preserve"> but also</w:t>
      </w:r>
      <w:r w:rsidR="00F12B78">
        <w:rPr>
          <w:rFonts w:asciiTheme="majorBidi" w:hAnsiTheme="majorBidi" w:cstheme="majorBidi"/>
          <w:sz w:val="24"/>
          <w:szCs w:val="24"/>
        </w:rPr>
        <w:t xml:space="preserve"> to</w:t>
      </w:r>
      <w:r>
        <w:rPr>
          <w:rFonts w:asciiTheme="majorBidi" w:hAnsiTheme="majorBidi" w:cstheme="majorBidi"/>
          <w:sz w:val="24"/>
          <w:szCs w:val="24"/>
        </w:rPr>
        <w:t xml:space="preserve"> consider preceding outcomes such as consumers’ awareness of the company and its brands </w:t>
      </w:r>
      <w:sdt>
        <w:sdtPr>
          <w:rPr>
            <w:rFonts w:asciiTheme="majorBidi" w:hAnsiTheme="majorBidi" w:cstheme="majorBidi"/>
            <w:sz w:val="24"/>
            <w:szCs w:val="24"/>
          </w:rPr>
          <w:id w:val="-189866310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Bha04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 Bhattacharya &amp; Sen, 2004)</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B6704B">
        <w:rPr>
          <w:rFonts w:asciiTheme="majorBidi" w:hAnsiTheme="majorBidi" w:cstheme="majorBidi"/>
          <w:sz w:val="24"/>
          <w:szCs w:val="24"/>
        </w:rPr>
        <w:t xml:space="preserve">For instance, a company’s social strategies can result in an </w:t>
      </w:r>
      <w:r w:rsidRPr="00B82F6C">
        <w:rPr>
          <w:rFonts w:asciiTheme="majorBidi" w:hAnsiTheme="majorBidi" w:cstheme="majorBidi"/>
          <w:sz w:val="24"/>
          <w:szCs w:val="24"/>
        </w:rPr>
        <w:t>increased consumer trust in product functionality that</w:t>
      </w:r>
      <w:r w:rsidRPr="00B6704B">
        <w:rPr>
          <w:rFonts w:asciiTheme="majorBidi" w:hAnsiTheme="majorBidi" w:cstheme="majorBidi"/>
          <w:sz w:val="24"/>
          <w:szCs w:val="24"/>
        </w:rPr>
        <w:t xml:space="preserve"> </w:t>
      </w:r>
      <w:r w:rsidR="00F12B78">
        <w:rPr>
          <w:rFonts w:asciiTheme="majorBidi" w:hAnsiTheme="majorBidi" w:cstheme="majorBidi"/>
          <w:sz w:val="24"/>
          <w:szCs w:val="24"/>
        </w:rPr>
        <w:t>is</w:t>
      </w:r>
      <w:r w:rsidRPr="00B6704B">
        <w:rPr>
          <w:rFonts w:asciiTheme="majorBidi" w:hAnsiTheme="majorBidi" w:cstheme="majorBidi"/>
          <w:sz w:val="24"/>
          <w:szCs w:val="24"/>
        </w:rPr>
        <w:t xml:space="preserve"> commonly known to be untrustworthy </w:t>
      </w:r>
      <w:r>
        <w:rPr>
          <w:rFonts w:asciiTheme="majorBidi" w:hAnsiTheme="majorBidi" w:cstheme="majorBidi"/>
          <w:sz w:val="24"/>
          <w:szCs w:val="24"/>
        </w:rPr>
        <w:t>s</w:t>
      </w:r>
      <w:r w:rsidRPr="00B6704B">
        <w:rPr>
          <w:rFonts w:asciiTheme="majorBidi" w:hAnsiTheme="majorBidi" w:cstheme="majorBidi"/>
          <w:sz w:val="24"/>
          <w:szCs w:val="24"/>
        </w:rPr>
        <w:t xml:space="preserve">uch as hair-loss or teeth-whitening products </w:t>
      </w:r>
      <w:sdt>
        <w:sdtPr>
          <w:rPr>
            <w:rFonts w:asciiTheme="majorBidi" w:hAnsiTheme="majorBidi" w:cstheme="majorBidi"/>
            <w:sz w:val="24"/>
            <w:szCs w:val="24"/>
          </w:rPr>
          <w:id w:val="1601140868"/>
          <w:citation/>
        </w:sdtPr>
        <w:sdtContent>
          <w:r w:rsidRPr="00B6704B">
            <w:rPr>
              <w:rFonts w:asciiTheme="majorBidi" w:hAnsiTheme="majorBidi" w:cstheme="majorBidi"/>
              <w:sz w:val="24"/>
              <w:szCs w:val="24"/>
            </w:rPr>
            <w:fldChar w:fldCharType="begin"/>
          </w:r>
          <w:r w:rsidRPr="00B6704B">
            <w:rPr>
              <w:rFonts w:asciiTheme="majorBidi" w:hAnsiTheme="majorBidi" w:cstheme="majorBidi"/>
              <w:sz w:val="24"/>
              <w:szCs w:val="24"/>
            </w:rPr>
            <w:instrText xml:space="preserve"> CITATION CHE15 \l 2057 </w:instrText>
          </w:r>
          <w:r w:rsidRPr="00B6704B">
            <w:rPr>
              <w:rFonts w:asciiTheme="majorBidi" w:hAnsiTheme="majorBidi" w:cstheme="majorBidi"/>
              <w:sz w:val="24"/>
              <w:szCs w:val="24"/>
            </w:rPr>
            <w:fldChar w:fldCharType="separate"/>
          </w:r>
          <w:r w:rsidRPr="0002256A">
            <w:rPr>
              <w:rFonts w:asciiTheme="majorBidi" w:hAnsiTheme="majorBidi" w:cstheme="majorBidi"/>
              <w:noProof/>
              <w:sz w:val="24"/>
              <w:szCs w:val="24"/>
            </w:rPr>
            <w:t>(Chernev &amp; Blair, 2015)</w:t>
          </w:r>
          <w:r w:rsidRPr="00B6704B">
            <w:rPr>
              <w:rFonts w:asciiTheme="majorBidi" w:hAnsiTheme="majorBidi" w:cstheme="majorBidi"/>
              <w:sz w:val="24"/>
              <w:szCs w:val="24"/>
            </w:rPr>
            <w:fldChar w:fldCharType="end"/>
          </w:r>
        </w:sdtContent>
      </w:sdt>
      <w:r w:rsidRPr="00B6704B">
        <w:rPr>
          <w:rFonts w:asciiTheme="majorBidi" w:hAnsiTheme="majorBidi" w:cstheme="majorBidi"/>
          <w:sz w:val="24"/>
          <w:szCs w:val="24"/>
        </w:rPr>
        <w:t>.</w:t>
      </w:r>
      <w:r>
        <w:rPr>
          <w:rFonts w:asciiTheme="majorBidi" w:hAnsiTheme="majorBidi" w:cstheme="majorBidi"/>
          <w:sz w:val="24"/>
          <w:szCs w:val="24"/>
        </w:rPr>
        <w:t xml:space="preserve"> Based on a study on Unilever, one of the leading companies in FMCG, companies gain more “intangible” benefits from CSR such as positive corporate reputation and image reinforcement; while the “tangible” or business benefits are perceived as results of CSR on the long run</w:t>
      </w:r>
      <w:sdt>
        <w:sdtPr>
          <w:rPr>
            <w:rFonts w:asciiTheme="majorBidi" w:hAnsiTheme="majorBidi" w:cstheme="majorBidi"/>
            <w:sz w:val="24"/>
            <w:szCs w:val="24"/>
          </w:rPr>
          <w:id w:val="-28628125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Jur17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(Jurietti, Mandelli, &amp; Fudurić,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F12B78">
        <w:rPr>
          <w:rFonts w:asciiTheme="majorBidi" w:hAnsiTheme="majorBidi" w:cstheme="majorBidi"/>
          <w:sz w:val="24"/>
          <w:szCs w:val="24"/>
        </w:rPr>
        <w:t xml:space="preserve"> </w:t>
      </w:r>
      <w:r w:rsidR="00705B0C">
        <w:rPr>
          <w:rFonts w:asciiTheme="majorBidi" w:hAnsiTheme="majorBidi" w:cstheme="majorBidi"/>
          <w:sz w:val="24"/>
          <w:szCs w:val="24"/>
        </w:rPr>
        <w:t xml:space="preserve">Another study </w:t>
      </w:r>
      <w:r w:rsidR="00294A0C">
        <w:rPr>
          <w:rFonts w:asciiTheme="majorBidi" w:hAnsiTheme="majorBidi" w:cstheme="majorBidi"/>
          <w:sz w:val="24"/>
          <w:szCs w:val="24"/>
        </w:rPr>
        <w:t>on YouTube users in the United State</w:t>
      </w:r>
      <w:r w:rsidR="00F12B78">
        <w:rPr>
          <w:rFonts w:asciiTheme="majorBidi" w:hAnsiTheme="majorBidi" w:cstheme="majorBidi"/>
          <w:sz w:val="24"/>
          <w:szCs w:val="24"/>
        </w:rPr>
        <w:t>s</w:t>
      </w:r>
      <w:r w:rsidR="00294A0C">
        <w:rPr>
          <w:rFonts w:asciiTheme="majorBidi" w:hAnsiTheme="majorBidi" w:cstheme="majorBidi"/>
          <w:sz w:val="24"/>
          <w:szCs w:val="24"/>
        </w:rPr>
        <w:t xml:space="preserve"> </w:t>
      </w:r>
      <w:r w:rsidR="00705B0C">
        <w:rPr>
          <w:rFonts w:asciiTheme="majorBidi" w:hAnsiTheme="majorBidi" w:cstheme="majorBidi"/>
          <w:sz w:val="24"/>
          <w:szCs w:val="24"/>
        </w:rPr>
        <w:t xml:space="preserve">reported that branded content and functional information were particularly important for consumers of high-involvement products, whereas social values had a positive influence on consumers’ product evaluations for low involvement products </w:t>
      </w:r>
      <w:sdt>
        <w:sdtPr>
          <w:rPr>
            <w:rFonts w:asciiTheme="majorBidi" w:hAnsiTheme="majorBidi" w:cstheme="majorBidi"/>
            <w:sz w:val="24"/>
            <w:szCs w:val="24"/>
          </w:rPr>
          <w:id w:val="-870679832"/>
          <w:citation/>
        </w:sdtPr>
        <w:sdtContent>
          <w:r w:rsidR="00705B0C">
            <w:rPr>
              <w:rFonts w:asciiTheme="majorBidi" w:hAnsiTheme="majorBidi" w:cstheme="majorBidi"/>
              <w:sz w:val="24"/>
              <w:szCs w:val="24"/>
            </w:rPr>
            <w:fldChar w:fldCharType="begin"/>
          </w:r>
          <w:r w:rsidR="00705B0C">
            <w:rPr>
              <w:rFonts w:asciiTheme="majorBidi" w:hAnsiTheme="majorBidi" w:cstheme="majorBidi"/>
              <w:sz w:val="24"/>
              <w:szCs w:val="24"/>
            </w:rPr>
            <w:instrText xml:space="preserve"> CITATION Lou21 \l 2057 </w:instrText>
          </w:r>
          <w:r w:rsidR="00705B0C">
            <w:rPr>
              <w:rFonts w:asciiTheme="majorBidi" w:hAnsiTheme="majorBidi" w:cstheme="majorBidi"/>
              <w:sz w:val="24"/>
              <w:szCs w:val="24"/>
            </w:rPr>
            <w:fldChar w:fldCharType="separate"/>
          </w:r>
          <w:r w:rsidR="00705B0C" w:rsidRPr="00705B0C">
            <w:rPr>
              <w:rFonts w:asciiTheme="majorBidi" w:hAnsiTheme="majorBidi" w:cstheme="majorBidi"/>
              <w:noProof/>
              <w:sz w:val="24"/>
              <w:szCs w:val="24"/>
            </w:rPr>
            <w:t>(Lou &amp; Xie, 2021)</w:t>
          </w:r>
          <w:r w:rsidR="00705B0C">
            <w:rPr>
              <w:rFonts w:asciiTheme="majorBidi" w:hAnsiTheme="majorBidi" w:cstheme="majorBidi"/>
              <w:sz w:val="24"/>
              <w:szCs w:val="24"/>
            </w:rPr>
            <w:fldChar w:fldCharType="end"/>
          </w:r>
        </w:sdtContent>
      </w:sdt>
      <w:r w:rsidR="00705B0C">
        <w:rPr>
          <w:rFonts w:asciiTheme="majorBidi" w:hAnsiTheme="majorBidi" w:cstheme="majorBidi"/>
          <w:sz w:val="24"/>
          <w:szCs w:val="24"/>
        </w:rPr>
        <w:t xml:space="preserve">. </w:t>
      </w:r>
      <w:r>
        <w:rPr>
          <w:rFonts w:asciiTheme="majorBidi" w:hAnsiTheme="majorBidi" w:cstheme="majorBidi"/>
          <w:sz w:val="24"/>
          <w:szCs w:val="24"/>
        </w:rPr>
        <w:t xml:space="preserve">Nevertheless, majority of studies in literature focus on the effects of CSR as a whole concept and fewer studies focus on the different specific angles of CSR such as the social, economic areas. For instance, Castro-Gonzalez and other authors </w:t>
      </w:r>
      <w:sdt>
        <w:sdtPr>
          <w:rPr>
            <w:rFonts w:asciiTheme="majorBidi" w:hAnsiTheme="majorBidi" w:cstheme="majorBidi"/>
            <w:sz w:val="24"/>
            <w:szCs w:val="24"/>
          </w:rPr>
          <w:id w:val="103701288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Cas21 \n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examined FMCG consumers in Spain and concluded that while CSR as a concept has a positive impact on consumers, there was no direct link between the intentions of buying and social and environmental CSR campaigns. However, based on a study on Indian consumers of FMCGs, </w:t>
      </w:r>
      <w:r w:rsidRPr="00B82F6C">
        <w:rPr>
          <w:rFonts w:asciiTheme="majorBidi" w:hAnsiTheme="majorBidi" w:cstheme="majorBidi"/>
          <w:sz w:val="24"/>
          <w:szCs w:val="24"/>
        </w:rPr>
        <w:t>respondents preferred social CSR campaigns and were willing to pay premium prices for socially active brands</w:t>
      </w:r>
      <w:r>
        <w:rPr>
          <w:rFonts w:asciiTheme="majorBidi" w:hAnsiTheme="majorBidi" w:cstheme="majorBidi"/>
          <w:sz w:val="24"/>
          <w:szCs w:val="24"/>
        </w:rPr>
        <w:t xml:space="preserve"> </w:t>
      </w:r>
      <w:sdt>
        <w:sdtPr>
          <w:rPr>
            <w:rFonts w:asciiTheme="majorBidi" w:hAnsiTheme="majorBidi" w:cstheme="majorBidi"/>
            <w:sz w:val="24"/>
            <w:szCs w:val="24"/>
          </w:rPr>
          <w:id w:val="200439037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Man181 \l 2057  \m Rav16</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(Manimalar, 2018; Ravichandran &amp; Chandilyan , 2016)</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65775ED7" w14:textId="2EE7262C" w:rsidR="00C95C8A" w:rsidRDefault="00A96566" w:rsidP="00D25EE3">
      <w:pPr>
        <w:adjustRightInd w:val="0"/>
        <w:spacing w:line="480" w:lineRule="auto"/>
        <w:ind w:firstLine="360"/>
        <w:jc w:val="lowKashida"/>
        <w:rPr>
          <w:rFonts w:asciiTheme="majorBidi" w:hAnsiTheme="majorBidi" w:cstheme="majorBidi"/>
          <w:sz w:val="24"/>
          <w:szCs w:val="24"/>
        </w:rPr>
      </w:pPr>
      <w:r>
        <w:rPr>
          <w:rFonts w:asciiTheme="majorBidi" w:hAnsiTheme="majorBidi" w:cstheme="majorBidi"/>
          <w:sz w:val="24"/>
          <w:szCs w:val="24"/>
        </w:rPr>
        <w:t xml:space="preserve">Evidently, based on some studies in different countries, consumers of FMCG are aware of the need for CSR in this industry. Companies are becoming more aware that CSR contributes towards an increase in productivity, customer satisfaction, and revenues, a decrease in employee turnover, and an enhancement in the company’s public image </w:t>
      </w:r>
      <w:sdt>
        <w:sdtPr>
          <w:rPr>
            <w:rFonts w:asciiTheme="majorBidi" w:hAnsiTheme="majorBidi" w:cstheme="majorBidi"/>
            <w:sz w:val="24"/>
            <w:szCs w:val="24"/>
          </w:rPr>
          <w:id w:val="-151021335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Vet19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(Vethirajan &amp; Ramu, 2019)</w:t>
          </w:r>
          <w:r>
            <w:rPr>
              <w:rFonts w:asciiTheme="majorBidi" w:hAnsiTheme="majorBidi" w:cstheme="majorBidi"/>
              <w:sz w:val="24"/>
              <w:szCs w:val="24"/>
            </w:rPr>
            <w:fldChar w:fldCharType="end"/>
          </w:r>
        </w:sdtContent>
      </w:sdt>
      <w:r>
        <w:rPr>
          <w:rFonts w:asciiTheme="majorBidi" w:hAnsiTheme="majorBidi" w:cstheme="majorBidi"/>
          <w:sz w:val="24"/>
          <w:szCs w:val="24"/>
        </w:rPr>
        <w:t>. The next chapter critically analyse</w:t>
      </w:r>
      <w:r w:rsidR="00F12B78">
        <w:rPr>
          <w:rFonts w:asciiTheme="majorBidi" w:hAnsiTheme="majorBidi" w:cstheme="majorBidi"/>
          <w:sz w:val="24"/>
          <w:szCs w:val="24"/>
        </w:rPr>
        <w:t>s</w:t>
      </w:r>
      <w:r>
        <w:rPr>
          <w:rFonts w:asciiTheme="majorBidi" w:hAnsiTheme="majorBidi" w:cstheme="majorBidi"/>
          <w:sz w:val="24"/>
          <w:szCs w:val="24"/>
        </w:rPr>
        <w:t xml:space="preserve"> different theories applied in the CSR literature and identify the framework of theories that will be used to analyse the results of the study.  </w:t>
      </w:r>
    </w:p>
    <w:p w14:paraId="60BBEEF8" w14:textId="77777777" w:rsidR="00DE2091" w:rsidRDefault="00DE2091">
      <w:pPr>
        <w:rPr>
          <w:rFonts w:asciiTheme="majorBidi" w:hAnsiTheme="majorBidi" w:cstheme="majorBidi"/>
          <w:b/>
          <w:bCs/>
          <w:sz w:val="24"/>
          <w:szCs w:val="24"/>
        </w:rPr>
      </w:pPr>
      <w:bookmarkStart w:id="78" w:name="_Hlk153755015"/>
      <w:r>
        <w:rPr>
          <w:rFonts w:asciiTheme="majorBidi" w:hAnsiTheme="majorBidi" w:cstheme="majorBidi"/>
          <w:b/>
          <w:bCs/>
          <w:sz w:val="24"/>
          <w:szCs w:val="24"/>
        </w:rPr>
        <w:br w:type="page"/>
      </w:r>
    </w:p>
    <w:p w14:paraId="58E525CA" w14:textId="5E3CE221" w:rsidR="00F94905" w:rsidRDefault="00460517" w:rsidP="00480571">
      <w:pPr>
        <w:adjustRightInd w:val="0"/>
        <w:spacing w:after="0" w:line="480" w:lineRule="auto"/>
        <w:ind w:firstLine="360"/>
        <w:jc w:val="lowKashida"/>
        <w:rPr>
          <w:rFonts w:asciiTheme="majorBidi" w:hAnsiTheme="majorBidi" w:cstheme="majorBidi"/>
          <w:b/>
          <w:bCs/>
          <w:sz w:val="24"/>
          <w:szCs w:val="24"/>
        </w:rPr>
      </w:pPr>
      <w:r>
        <w:rPr>
          <w:rFonts w:asciiTheme="majorBidi" w:hAnsiTheme="majorBidi" w:cstheme="majorBidi"/>
          <w:b/>
          <w:bCs/>
          <w:sz w:val="24"/>
          <w:szCs w:val="24"/>
        </w:rPr>
        <w:t>2</w:t>
      </w:r>
      <w:r w:rsidR="00F94905" w:rsidRPr="00C67A06">
        <w:rPr>
          <w:rFonts w:asciiTheme="majorBidi" w:hAnsiTheme="majorBidi" w:cstheme="majorBidi"/>
          <w:b/>
          <w:bCs/>
          <w:sz w:val="24"/>
          <w:szCs w:val="24"/>
        </w:rPr>
        <w:t>.1</w:t>
      </w:r>
      <w:r w:rsidR="00DD69CF" w:rsidRPr="00C67A06">
        <w:rPr>
          <w:rFonts w:asciiTheme="majorBidi" w:hAnsiTheme="majorBidi" w:cstheme="majorBidi"/>
          <w:b/>
          <w:bCs/>
          <w:sz w:val="24"/>
          <w:szCs w:val="24"/>
        </w:rPr>
        <w:t>1</w:t>
      </w:r>
      <w:r w:rsidR="00F94905" w:rsidRPr="00C67A06">
        <w:rPr>
          <w:rFonts w:asciiTheme="majorBidi" w:hAnsiTheme="majorBidi" w:cstheme="majorBidi"/>
          <w:b/>
          <w:bCs/>
          <w:sz w:val="24"/>
          <w:szCs w:val="24"/>
        </w:rPr>
        <w:t xml:space="preserve"> Chapter Summary</w:t>
      </w:r>
      <w:r w:rsidR="00F94905" w:rsidRPr="00F94905">
        <w:rPr>
          <w:rFonts w:asciiTheme="majorBidi" w:hAnsiTheme="majorBidi" w:cstheme="majorBidi"/>
          <w:b/>
          <w:bCs/>
          <w:sz w:val="24"/>
          <w:szCs w:val="24"/>
        </w:rPr>
        <w:t xml:space="preserve"> </w:t>
      </w:r>
    </w:p>
    <w:p w14:paraId="00D439F2" w14:textId="19C6BA1D" w:rsidR="003320A4" w:rsidRDefault="00EA2F7F" w:rsidP="00E27067">
      <w:pPr>
        <w:spacing w:line="480" w:lineRule="auto"/>
        <w:rPr>
          <w:rFonts w:asciiTheme="majorBidi" w:hAnsiTheme="majorBidi" w:cstheme="majorBidi"/>
          <w:sz w:val="24"/>
          <w:szCs w:val="24"/>
        </w:rPr>
      </w:pPr>
      <w:r w:rsidRPr="004B318E">
        <w:rPr>
          <w:rFonts w:asciiTheme="majorBidi" w:hAnsiTheme="majorBidi" w:cstheme="majorBidi"/>
          <w:sz w:val="24"/>
          <w:szCs w:val="24"/>
        </w:rPr>
        <w:t>To summarise, this chapter explores key topics in the global CSR literature based on which</w:t>
      </w:r>
      <w:r w:rsidR="00FF57AB">
        <w:rPr>
          <w:rFonts w:asciiTheme="majorBidi" w:hAnsiTheme="majorBidi" w:cstheme="majorBidi"/>
          <w:sz w:val="24"/>
          <w:szCs w:val="24"/>
        </w:rPr>
        <w:t>,</w:t>
      </w:r>
      <w:r w:rsidRPr="004B318E">
        <w:rPr>
          <w:rFonts w:asciiTheme="majorBidi" w:hAnsiTheme="majorBidi" w:cstheme="majorBidi"/>
          <w:sz w:val="24"/>
          <w:szCs w:val="24"/>
        </w:rPr>
        <w:t xml:space="preserve"> the chapter uncovered substantial research gaps.</w:t>
      </w:r>
      <w:r w:rsidR="00FF57AB">
        <w:rPr>
          <w:rFonts w:asciiTheme="majorBidi" w:hAnsiTheme="majorBidi" w:cstheme="majorBidi"/>
          <w:sz w:val="24"/>
          <w:szCs w:val="24"/>
        </w:rPr>
        <w:t xml:space="preserve"> </w:t>
      </w:r>
      <w:r w:rsidR="00480571" w:rsidRPr="004B318E">
        <w:rPr>
          <w:rFonts w:asciiTheme="majorBidi" w:hAnsiTheme="majorBidi" w:cstheme="majorBidi"/>
          <w:sz w:val="24"/>
          <w:szCs w:val="24"/>
        </w:rPr>
        <w:t>Mainly, the review identifie</w:t>
      </w:r>
      <w:r w:rsidR="00F52E39">
        <w:rPr>
          <w:rFonts w:asciiTheme="majorBidi" w:hAnsiTheme="majorBidi" w:cstheme="majorBidi"/>
          <w:sz w:val="24"/>
          <w:szCs w:val="24"/>
        </w:rPr>
        <w:t>s</w:t>
      </w:r>
      <w:r w:rsidR="00480571" w:rsidRPr="004B318E">
        <w:rPr>
          <w:rFonts w:asciiTheme="majorBidi" w:hAnsiTheme="majorBidi" w:cstheme="majorBidi"/>
          <w:sz w:val="24"/>
          <w:szCs w:val="24"/>
        </w:rPr>
        <w:t xml:space="preserve"> that there is an extensive discussion in literature on CSR communication benefits and strategies as well as the benefits of different media channels. However, there is </w:t>
      </w:r>
      <w:r w:rsidR="00F52E39">
        <w:rPr>
          <w:rFonts w:asciiTheme="majorBidi" w:hAnsiTheme="majorBidi" w:cstheme="majorBidi"/>
          <w:sz w:val="24"/>
          <w:szCs w:val="24"/>
        </w:rPr>
        <w:t>not</w:t>
      </w:r>
      <w:r w:rsidR="00480571" w:rsidRPr="004B318E">
        <w:rPr>
          <w:rFonts w:asciiTheme="majorBidi" w:hAnsiTheme="majorBidi" w:cstheme="majorBidi"/>
          <w:sz w:val="24"/>
          <w:szCs w:val="24"/>
        </w:rPr>
        <w:t xml:space="preserve"> enough research exploring which communication </w:t>
      </w:r>
      <w:r w:rsidR="00FD123D">
        <w:rPr>
          <w:rFonts w:asciiTheme="majorBidi" w:hAnsiTheme="majorBidi" w:cstheme="majorBidi"/>
          <w:sz w:val="24"/>
          <w:szCs w:val="24"/>
        </w:rPr>
        <w:t>strategy</w:t>
      </w:r>
      <w:r w:rsidR="00FD123D" w:rsidRPr="004B318E">
        <w:rPr>
          <w:rFonts w:asciiTheme="majorBidi" w:hAnsiTheme="majorBidi" w:cstheme="majorBidi"/>
          <w:sz w:val="24"/>
          <w:szCs w:val="24"/>
        </w:rPr>
        <w:t xml:space="preserve"> </w:t>
      </w:r>
      <w:r w:rsidR="00480571" w:rsidRPr="004B318E">
        <w:rPr>
          <w:rFonts w:asciiTheme="majorBidi" w:hAnsiTheme="majorBidi" w:cstheme="majorBidi"/>
          <w:sz w:val="24"/>
          <w:szCs w:val="24"/>
        </w:rPr>
        <w:t>and media vehicle consumers prefer</w:t>
      </w:r>
      <w:r w:rsidR="00FF57AB">
        <w:rPr>
          <w:rFonts w:asciiTheme="majorBidi" w:hAnsiTheme="majorBidi" w:cstheme="majorBidi"/>
          <w:sz w:val="24"/>
          <w:szCs w:val="24"/>
        </w:rPr>
        <w:t xml:space="preserve"> or are more responsive for when it comes to CSR communication</w:t>
      </w:r>
      <w:r w:rsidR="00480571" w:rsidRPr="004B318E">
        <w:rPr>
          <w:rFonts w:asciiTheme="majorBidi" w:hAnsiTheme="majorBidi" w:cstheme="majorBidi"/>
          <w:sz w:val="24"/>
          <w:szCs w:val="24"/>
        </w:rPr>
        <w:t>. While there are some researchers who</w:t>
      </w:r>
      <w:r w:rsidR="002D7A6D">
        <w:rPr>
          <w:rFonts w:asciiTheme="majorBidi" w:hAnsiTheme="majorBidi" w:cstheme="majorBidi"/>
          <w:sz w:val="24"/>
          <w:szCs w:val="24"/>
        </w:rPr>
        <w:t xml:space="preserve"> have</w:t>
      </w:r>
      <w:r w:rsidR="00480571" w:rsidRPr="004B318E">
        <w:rPr>
          <w:rFonts w:asciiTheme="majorBidi" w:hAnsiTheme="majorBidi" w:cstheme="majorBidi"/>
          <w:sz w:val="24"/>
          <w:szCs w:val="24"/>
        </w:rPr>
        <w:t xml:space="preserve"> tackled CSR communication in reference to non-CSR communication</w:t>
      </w:r>
      <w:r w:rsidR="002D7A6D" w:rsidRPr="002D7A6D">
        <w:t xml:space="preserve"> </w:t>
      </w:r>
      <w:sdt>
        <w:sdtPr>
          <w:id w:val="-1668778291"/>
          <w:citation/>
        </w:sdtPr>
        <w:sdtContent>
          <w:r w:rsidR="002D7A6D">
            <w:fldChar w:fldCharType="begin"/>
          </w:r>
          <w:r w:rsidR="002D7A6D">
            <w:rPr>
              <w:rFonts w:asciiTheme="majorBidi" w:hAnsiTheme="majorBidi" w:cstheme="majorBidi"/>
              <w:sz w:val="24"/>
              <w:szCs w:val="24"/>
            </w:rPr>
            <w:instrText xml:space="preserve"> CITATION Ara18 \l 2057  \m Wan18</w:instrText>
          </w:r>
          <w:r w:rsidR="002D7A6D">
            <w:fldChar w:fldCharType="separate"/>
          </w:r>
          <w:r w:rsidR="002D7A6D" w:rsidRPr="008B476A">
            <w:rPr>
              <w:rFonts w:asciiTheme="majorBidi" w:hAnsiTheme="majorBidi" w:cstheme="majorBidi"/>
              <w:noProof/>
              <w:sz w:val="24"/>
              <w:szCs w:val="24"/>
            </w:rPr>
            <w:t>(Araujo &amp; Kollat, 2018; Wang &amp; Huang , 2018)</w:t>
          </w:r>
          <w:r w:rsidR="002D7A6D">
            <w:fldChar w:fldCharType="end"/>
          </w:r>
        </w:sdtContent>
      </w:sdt>
      <w:r w:rsidR="00480571" w:rsidRPr="004B318E">
        <w:rPr>
          <w:rFonts w:asciiTheme="majorBidi" w:hAnsiTheme="majorBidi" w:cstheme="majorBidi"/>
          <w:sz w:val="24"/>
          <w:szCs w:val="24"/>
        </w:rPr>
        <w:t>, the</w:t>
      </w:r>
      <w:r w:rsidR="002D7A6D">
        <w:rPr>
          <w:rFonts w:asciiTheme="majorBidi" w:hAnsiTheme="majorBidi" w:cstheme="majorBidi"/>
          <w:sz w:val="24"/>
          <w:szCs w:val="24"/>
        </w:rPr>
        <w:t>se</w:t>
      </w:r>
      <w:r w:rsidR="00480571" w:rsidRPr="004B318E">
        <w:rPr>
          <w:rFonts w:asciiTheme="majorBidi" w:hAnsiTheme="majorBidi" w:cstheme="majorBidi"/>
          <w:sz w:val="24"/>
          <w:szCs w:val="24"/>
        </w:rPr>
        <w:t xml:space="preserve"> comparison</w:t>
      </w:r>
      <w:r w:rsidR="002D7A6D">
        <w:rPr>
          <w:rFonts w:asciiTheme="majorBidi" w:hAnsiTheme="majorBidi" w:cstheme="majorBidi"/>
          <w:sz w:val="24"/>
          <w:szCs w:val="24"/>
        </w:rPr>
        <w:t>s</w:t>
      </w:r>
      <w:r w:rsidR="00480571" w:rsidRPr="004B318E">
        <w:rPr>
          <w:rFonts w:asciiTheme="majorBidi" w:hAnsiTheme="majorBidi" w:cstheme="majorBidi"/>
          <w:sz w:val="24"/>
          <w:szCs w:val="24"/>
        </w:rPr>
        <w:t xml:space="preserve"> d</w:t>
      </w:r>
      <w:r w:rsidR="002D7A6D">
        <w:rPr>
          <w:rFonts w:asciiTheme="majorBidi" w:hAnsiTheme="majorBidi" w:cstheme="majorBidi"/>
          <w:sz w:val="24"/>
          <w:szCs w:val="24"/>
        </w:rPr>
        <w:t>o</w:t>
      </w:r>
      <w:r w:rsidR="00480571" w:rsidRPr="004B318E">
        <w:rPr>
          <w:rFonts w:asciiTheme="majorBidi" w:hAnsiTheme="majorBidi" w:cstheme="majorBidi"/>
          <w:sz w:val="24"/>
          <w:szCs w:val="24"/>
        </w:rPr>
        <w:t xml:space="preserve"> not identify the </w:t>
      </w:r>
      <w:r w:rsidR="00480571" w:rsidRPr="00460517">
        <w:rPr>
          <w:rFonts w:asciiTheme="majorBidi" w:hAnsiTheme="majorBidi" w:cstheme="majorBidi"/>
          <w:sz w:val="24"/>
          <w:szCs w:val="24"/>
        </w:rPr>
        <w:t>overall effects of both communication strategies on consumer behaviour.</w:t>
      </w:r>
      <w:r w:rsidR="00480571" w:rsidRPr="004B318E">
        <w:rPr>
          <w:rFonts w:asciiTheme="majorBidi" w:hAnsiTheme="majorBidi" w:cstheme="majorBidi"/>
          <w:sz w:val="24"/>
          <w:szCs w:val="24"/>
        </w:rPr>
        <w:t xml:space="preserve"> </w:t>
      </w:r>
      <w:r w:rsidR="0094551F">
        <w:rPr>
          <w:rFonts w:asciiTheme="majorBidi" w:hAnsiTheme="majorBidi" w:cstheme="majorBidi"/>
          <w:sz w:val="24"/>
          <w:szCs w:val="24"/>
        </w:rPr>
        <w:t>For that reason, the literature review examine</w:t>
      </w:r>
      <w:r w:rsidR="002D7A6D">
        <w:rPr>
          <w:rFonts w:asciiTheme="majorBidi" w:hAnsiTheme="majorBidi" w:cstheme="majorBidi"/>
          <w:sz w:val="24"/>
          <w:szCs w:val="24"/>
        </w:rPr>
        <w:t>s</w:t>
      </w:r>
      <w:r w:rsidR="0094551F">
        <w:rPr>
          <w:rFonts w:asciiTheme="majorBidi" w:hAnsiTheme="majorBidi" w:cstheme="majorBidi"/>
          <w:sz w:val="24"/>
          <w:szCs w:val="24"/>
        </w:rPr>
        <w:t xml:space="preserve"> some of the main brand attitudes that result from non-CSR communication to examine them in CSR context.</w:t>
      </w:r>
      <w:r w:rsidR="007948F7">
        <w:rPr>
          <w:rFonts w:asciiTheme="majorBidi" w:hAnsiTheme="majorBidi" w:cstheme="majorBidi"/>
          <w:sz w:val="24"/>
          <w:szCs w:val="24"/>
        </w:rPr>
        <w:t xml:space="preserve"> </w:t>
      </w:r>
      <w:r w:rsidR="00480571" w:rsidRPr="004B318E">
        <w:rPr>
          <w:rFonts w:asciiTheme="majorBidi" w:hAnsiTheme="majorBidi" w:cstheme="majorBidi"/>
          <w:sz w:val="24"/>
          <w:szCs w:val="24"/>
        </w:rPr>
        <w:t xml:space="preserve">Consequently, this thesis aims to fill this substantial gap in literature by comparing between CSR and non-CSR communication and between communicating it on </w:t>
      </w:r>
      <w:r w:rsidR="00935FBD">
        <w:rPr>
          <w:rFonts w:asciiTheme="majorBidi" w:hAnsiTheme="majorBidi" w:cstheme="majorBidi"/>
          <w:sz w:val="24"/>
          <w:szCs w:val="24"/>
        </w:rPr>
        <w:t>t</w:t>
      </w:r>
      <w:r w:rsidR="00480571" w:rsidRPr="004B318E">
        <w:rPr>
          <w:rFonts w:asciiTheme="majorBidi" w:hAnsiTheme="majorBidi" w:cstheme="majorBidi"/>
          <w:sz w:val="24"/>
          <w:szCs w:val="24"/>
        </w:rPr>
        <w:t>elevision and social media.</w:t>
      </w:r>
      <w:r w:rsidR="0094551F">
        <w:rPr>
          <w:rFonts w:asciiTheme="majorBidi" w:hAnsiTheme="majorBidi" w:cstheme="majorBidi"/>
          <w:sz w:val="24"/>
          <w:szCs w:val="24"/>
        </w:rPr>
        <w:t xml:space="preserve"> Additionally, the chapter discussed the importance of the FMCG category and observed examples of CSR campaigns that were conducted for FMCG brands.</w:t>
      </w:r>
      <w:r w:rsidR="007948F7">
        <w:rPr>
          <w:rFonts w:asciiTheme="majorBidi" w:hAnsiTheme="majorBidi" w:cstheme="majorBidi"/>
          <w:sz w:val="24"/>
          <w:szCs w:val="24"/>
        </w:rPr>
        <w:t xml:space="preserve"> </w:t>
      </w:r>
      <w:bookmarkStart w:id="79" w:name="_Hlk157534890"/>
      <w:r w:rsidR="00460517">
        <w:rPr>
          <w:rFonts w:asciiTheme="majorBidi" w:hAnsiTheme="majorBidi" w:cstheme="majorBidi"/>
          <w:sz w:val="24"/>
          <w:szCs w:val="24"/>
        </w:rPr>
        <w:t xml:space="preserve">Most of the above examined studies </w:t>
      </w:r>
      <w:r w:rsidR="00FB578A">
        <w:rPr>
          <w:rFonts w:asciiTheme="majorBidi" w:hAnsiTheme="majorBidi" w:cstheme="majorBidi"/>
          <w:sz w:val="24"/>
          <w:szCs w:val="24"/>
        </w:rPr>
        <w:t xml:space="preserve">were conducted in Western countries without enough studies appearing to be conducting CSR research in the Middle East. For that reason, it is necessary to conduct a systematic literature review to confine </w:t>
      </w:r>
      <w:bookmarkEnd w:id="79"/>
      <w:r w:rsidR="00FB578A">
        <w:rPr>
          <w:rFonts w:asciiTheme="majorBidi" w:hAnsiTheme="majorBidi" w:cstheme="majorBidi"/>
          <w:sz w:val="24"/>
          <w:szCs w:val="24"/>
        </w:rPr>
        <w:t xml:space="preserve">te recent CSR research in the Middle East. </w:t>
      </w:r>
    </w:p>
    <w:p w14:paraId="706586EF" w14:textId="77777777" w:rsidR="00FB578A" w:rsidRDefault="00FB578A">
      <w:pPr>
        <w:rPr>
          <w:rFonts w:ascii="Times New Roman" w:hAnsi="Times New Roman" w:cs="Times New Roman"/>
          <w:b/>
          <w:bCs/>
          <w:sz w:val="24"/>
          <w:szCs w:val="24"/>
        </w:rPr>
      </w:pPr>
      <w:r>
        <w:rPr>
          <w:rFonts w:ascii="Times New Roman" w:hAnsi="Times New Roman" w:cs="Times New Roman"/>
          <w:b/>
          <w:bCs/>
          <w:sz w:val="24"/>
          <w:szCs w:val="24"/>
        </w:rPr>
        <w:br w:type="page"/>
      </w:r>
    </w:p>
    <w:p w14:paraId="6221C1E8" w14:textId="77777777" w:rsidR="0061549D" w:rsidRDefault="0061549D" w:rsidP="0061549D">
      <w:pPr>
        <w:jc w:val="center"/>
        <w:rPr>
          <w:rFonts w:ascii="Times New Roman" w:hAnsi="Times New Roman" w:cs="Times New Roman"/>
          <w:b/>
          <w:bCs/>
          <w:sz w:val="24"/>
          <w:szCs w:val="24"/>
        </w:rPr>
      </w:pPr>
      <w:bookmarkStart w:id="80" w:name="_Hlk157535252"/>
      <w:r w:rsidRPr="00494E1C">
        <w:rPr>
          <w:rFonts w:ascii="Times New Roman" w:hAnsi="Times New Roman" w:cs="Times New Roman"/>
          <w:b/>
          <w:bCs/>
          <w:sz w:val="24"/>
          <w:szCs w:val="24"/>
        </w:rPr>
        <w:t xml:space="preserve">Chapter </w:t>
      </w:r>
      <w:r>
        <w:rPr>
          <w:rFonts w:ascii="Times New Roman" w:hAnsi="Times New Roman" w:cs="Times New Roman"/>
          <w:b/>
          <w:bCs/>
          <w:sz w:val="24"/>
          <w:szCs w:val="24"/>
        </w:rPr>
        <w:t>3</w:t>
      </w:r>
    </w:p>
    <w:p w14:paraId="4418CDB4" w14:textId="77777777" w:rsidR="0061549D" w:rsidRDefault="0061549D" w:rsidP="0061549D">
      <w:pPr>
        <w:jc w:val="center"/>
        <w:rPr>
          <w:rFonts w:ascii="Times New Roman" w:hAnsi="Times New Roman" w:cs="Times New Roman"/>
          <w:b/>
          <w:bCs/>
          <w:sz w:val="24"/>
          <w:szCs w:val="24"/>
        </w:rPr>
      </w:pPr>
      <w:r w:rsidRPr="00494E1C">
        <w:rPr>
          <w:rFonts w:ascii="Times New Roman" w:hAnsi="Times New Roman" w:cs="Times New Roman"/>
          <w:b/>
          <w:bCs/>
          <w:sz w:val="24"/>
          <w:szCs w:val="24"/>
        </w:rPr>
        <w:t>Systematic Literature Review</w:t>
      </w:r>
    </w:p>
    <w:p w14:paraId="069845DD" w14:textId="77777777" w:rsidR="0061549D" w:rsidRDefault="0061549D" w:rsidP="0061549D">
      <w:pPr>
        <w:rPr>
          <w:rFonts w:ascii="Times New Roman" w:hAnsi="Times New Roman" w:cs="Times New Roman"/>
          <w:b/>
          <w:bCs/>
          <w:sz w:val="24"/>
          <w:szCs w:val="24"/>
        </w:rPr>
      </w:pPr>
      <w:r>
        <w:rPr>
          <w:rFonts w:ascii="Times New Roman" w:hAnsi="Times New Roman" w:cs="Times New Roman"/>
          <w:b/>
          <w:bCs/>
          <w:sz w:val="24"/>
          <w:szCs w:val="24"/>
        </w:rPr>
        <w:t>3</w:t>
      </w:r>
      <w:r w:rsidRPr="00904777">
        <w:rPr>
          <w:rFonts w:ascii="Times New Roman" w:hAnsi="Times New Roman" w:cs="Times New Roman"/>
          <w:b/>
          <w:bCs/>
          <w:sz w:val="24"/>
          <w:szCs w:val="24"/>
        </w:rPr>
        <w:t xml:space="preserve">.0 Introduction </w:t>
      </w:r>
    </w:p>
    <w:p w14:paraId="1ABCF01A" w14:textId="77777777" w:rsidR="0061549D" w:rsidRPr="006E4570" w:rsidRDefault="0061549D" w:rsidP="0061549D">
      <w:pPr>
        <w:spacing w:after="0" w:line="480" w:lineRule="auto"/>
        <w:ind w:firstLine="720"/>
        <w:rPr>
          <w:rFonts w:ascii="Times New Roman" w:hAnsi="Times New Roman" w:cs="Times New Roman"/>
          <w:sz w:val="24"/>
          <w:szCs w:val="24"/>
          <w:highlight w:val="yellow"/>
        </w:rPr>
      </w:pPr>
      <w:r w:rsidRPr="00F367F9">
        <w:rPr>
          <w:rFonts w:ascii="Times New Roman" w:hAnsi="Times New Roman" w:cs="Times New Roman"/>
          <w:sz w:val="24"/>
          <w:szCs w:val="24"/>
        </w:rPr>
        <w:t xml:space="preserve">This chapter provides a starting point for </w:t>
      </w:r>
      <w:r>
        <w:rPr>
          <w:rFonts w:ascii="Times New Roman" w:hAnsi="Times New Roman" w:cs="Times New Roman"/>
          <w:sz w:val="24"/>
          <w:szCs w:val="24"/>
        </w:rPr>
        <w:t xml:space="preserve">understanding the CSR literature </w:t>
      </w:r>
      <w:r w:rsidRPr="00F367F9">
        <w:rPr>
          <w:rFonts w:ascii="Times New Roman" w:hAnsi="Times New Roman" w:cs="Times New Roman"/>
          <w:sz w:val="24"/>
          <w:szCs w:val="24"/>
        </w:rPr>
        <w:t xml:space="preserve">by </w:t>
      </w:r>
      <w:r>
        <w:rPr>
          <w:rFonts w:ascii="Times New Roman" w:hAnsi="Times New Roman" w:cs="Times New Roman"/>
          <w:sz w:val="24"/>
          <w:szCs w:val="24"/>
        </w:rPr>
        <w:t>systematically reviewing published studies on</w:t>
      </w:r>
      <w:r w:rsidRPr="00F367F9">
        <w:rPr>
          <w:rFonts w:ascii="Times New Roman" w:hAnsi="Times New Roman" w:cs="Times New Roman"/>
          <w:sz w:val="24"/>
          <w:szCs w:val="24"/>
        </w:rPr>
        <w:t xml:space="preserve"> CSR communication in Egypt and the Middle East. Exploring literature for studies on CSR communication on consumers in a Middle Eastern country like Egypt can be challenging as it is vastly understudied</w:t>
      </w:r>
      <w:r w:rsidRPr="006E4570">
        <w:rPr>
          <w:rFonts w:asciiTheme="majorBidi" w:hAnsiTheme="majorBidi" w:cstheme="majorBidi"/>
          <w:sz w:val="24"/>
          <w:szCs w:val="24"/>
        </w:rPr>
        <w:t xml:space="preserve"> </w:t>
      </w:r>
      <w:sdt>
        <w:sdtPr>
          <w:rPr>
            <w:rFonts w:asciiTheme="majorBidi" w:hAnsiTheme="majorBidi" w:cstheme="majorBidi"/>
            <w:sz w:val="24"/>
            <w:szCs w:val="24"/>
          </w:rPr>
          <w:id w:val="-190011879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ElH21 \m Elh21 \m Nur20 \l 2057 </w:instrText>
          </w:r>
          <w:r>
            <w:rPr>
              <w:rFonts w:asciiTheme="majorBidi" w:hAnsiTheme="majorBidi" w:cstheme="majorBidi"/>
              <w:sz w:val="24"/>
              <w:szCs w:val="24"/>
            </w:rPr>
            <w:fldChar w:fldCharType="separate"/>
          </w:r>
          <w:r w:rsidRPr="00F367F9">
            <w:rPr>
              <w:rFonts w:asciiTheme="majorBidi" w:hAnsiTheme="majorBidi" w:cstheme="majorBidi"/>
              <w:noProof/>
              <w:sz w:val="24"/>
              <w:szCs w:val="24"/>
            </w:rPr>
            <w:t>(El Haddad, Bachkirov, &amp; Grishina, 2021; Elhoushy &amp; Lanzini, 2021; Nurunnabi, Alfakhri, &amp; Alfakhri, 2020)</w:t>
          </w:r>
          <w:r>
            <w:rPr>
              <w:rFonts w:asciiTheme="majorBidi" w:hAnsiTheme="majorBidi" w:cstheme="majorBidi"/>
              <w:sz w:val="24"/>
              <w:szCs w:val="24"/>
            </w:rPr>
            <w:fldChar w:fldCharType="end"/>
          </w:r>
        </w:sdtContent>
      </w:sdt>
      <w:r>
        <w:rPr>
          <w:rFonts w:asciiTheme="majorBidi" w:hAnsiTheme="majorBidi" w:cstheme="majorBidi"/>
          <w:sz w:val="24"/>
          <w:szCs w:val="24"/>
        </w:rPr>
        <w:t>.</w:t>
      </w:r>
      <w:r>
        <w:rPr>
          <w:rFonts w:ascii="Times New Roman" w:hAnsi="Times New Roman" w:cs="Times New Roman"/>
          <w:sz w:val="24"/>
          <w:szCs w:val="24"/>
        </w:rPr>
        <w:t>Yet, many researchers conduct systematic literature reviews in understudied topics</w:t>
      </w:r>
      <w:sdt>
        <w:sdtPr>
          <w:rPr>
            <w:rFonts w:ascii="Times New Roman" w:hAnsi="Times New Roman" w:cs="Times New Roman"/>
            <w:sz w:val="24"/>
            <w:szCs w:val="24"/>
          </w:rPr>
          <w:id w:val="-1647037758"/>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Kel18 \l 2057  \m Kil18 \m Sem19</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3275FC">
            <w:rPr>
              <w:rFonts w:ascii="Times New Roman" w:hAnsi="Times New Roman" w:cs="Times New Roman"/>
              <w:noProof/>
              <w:sz w:val="24"/>
              <w:szCs w:val="24"/>
            </w:rPr>
            <w:t>(Kelan, 2018; Kilby, Sherman, &amp; Wuthrich, 2018; Semrad, Scott-Parker, &amp; Nagele, 2019)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Pr="00150121">
        <w:rPr>
          <w:rFonts w:asciiTheme="majorBidi" w:hAnsiTheme="majorBidi" w:cstheme="majorBidi"/>
          <w:sz w:val="24"/>
          <w:szCs w:val="24"/>
        </w:rPr>
        <w:t xml:space="preserve">The </w:t>
      </w:r>
      <w:r>
        <w:rPr>
          <w:rFonts w:asciiTheme="majorBidi" w:hAnsiTheme="majorBidi" w:cstheme="majorBidi"/>
          <w:sz w:val="24"/>
          <w:szCs w:val="24"/>
        </w:rPr>
        <w:t>below review</w:t>
      </w:r>
      <w:r w:rsidRPr="00150121">
        <w:rPr>
          <w:rFonts w:asciiTheme="majorBidi" w:hAnsiTheme="majorBidi" w:cstheme="majorBidi"/>
          <w:sz w:val="24"/>
          <w:szCs w:val="24"/>
        </w:rPr>
        <w:t xml:space="preserve"> </w:t>
      </w:r>
      <w:r>
        <w:rPr>
          <w:rFonts w:asciiTheme="majorBidi" w:hAnsiTheme="majorBidi" w:cstheme="majorBidi"/>
          <w:sz w:val="24"/>
          <w:szCs w:val="24"/>
        </w:rPr>
        <w:t>employs</w:t>
      </w:r>
      <w:r w:rsidRPr="00150121">
        <w:rPr>
          <w:rFonts w:asciiTheme="majorBidi" w:hAnsiTheme="majorBidi" w:cstheme="majorBidi"/>
          <w:sz w:val="24"/>
          <w:szCs w:val="24"/>
        </w:rPr>
        <w:t xml:space="preserve"> systematic steps on a </w:t>
      </w:r>
      <w:r w:rsidRPr="00F367F9">
        <w:rPr>
          <w:rFonts w:asciiTheme="majorBidi" w:hAnsiTheme="majorBidi" w:cstheme="majorBidi"/>
          <w:sz w:val="24"/>
          <w:szCs w:val="24"/>
        </w:rPr>
        <w:t>narrative synthesis</w:t>
      </w:r>
      <w:r>
        <w:rPr>
          <w:rFonts w:asciiTheme="majorBidi" w:hAnsiTheme="majorBidi" w:cstheme="majorBidi"/>
          <w:sz w:val="24"/>
          <w:szCs w:val="24"/>
        </w:rPr>
        <w:t xml:space="preserve"> which is a common approach applied by many researchers</w:t>
      </w:r>
      <w:sdt>
        <w:sdtPr>
          <w:rPr>
            <w:rFonts w:asciiTheme="majorBidi" w:hAnsiTheme="majorBidi" w:cstheme="majorBidi"/>
            <w:sz w:val="24"/>
            <w:szCs w:val="24"/>
          </w:rPr>
          <w:id w:val="105003476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Jim21 \l 2057  \m Sch19</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(Jimoh, et al., 2021; Schwarz, et al.,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main objective of this review is to uncover the main findings that have emerged from recently published studies on CSR in the Middle East to further confirm the considerable research gap(s) that this study aims to fulfil. The following explains the detailed methods applied to conduct this systematic literature review. </w:t>
      </w:r>
    </w:p>
    <w:p w14:paraId="5D53CD7D" w14:textId="77777777" w:rsidR="0061549D" w:rsidRDefault="0061549D" w:rsidP="0061549D">
      <w:pPr>
        <w:spacing w:after="0" w:line="480" w:lineRule="auto"/>
        <w:rPr>
          <w:rFonts w:asciiTheme="majorBidi" w:hAnsiTheme="majorBidi" w:cstheme="majorBidi"/>
          <w:b/>
          <w:bCs/>
          <w:sz w:val="24"/>
          <w:szCs w:val="24"/>
        </w:rPr>
      </w:pPr>
      <w:r>
        <w:rPr>
          <w:rFonts w:asciiTheme="majorBidi" w:hAnsiTheme="majorBidi" w:cstheme="majorBidi"/>
          <w:b/>
          <w:bCs/>
          <w:sz w:val="24"/>
          <w:szCs w:val="24"/>
        </w:rPr>
        <w:t>3.1 Methods</w:t>
      </w:r>
    </w:p>
    <w:p w14:paraId="72FF2F84" w14:textId="77777777" w:rsidR="0061549D" w:rsidRDefault="0061549D" w:rsidP="0061549D">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3.1.1 Literature Search </w:t>
      </w:r>
    </w:p>
    <w:p w14:paraId="42CEC580" w14:textId="2623042F" w:rsidR="0061549D" w:rsidRPr="001A6A8D" w:rsidRDefault="0061549D" w:rsidP="0061549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Generally, the systematic process required for collecting data involved </w:t>
      </w:r>
      <w:r w:rsidRPr="009660F3">
        <w:rPr>
          <w:rFonts w:asciiTheme="majorBidi" w:hAnsiTheme="majorBidi" w:cstheme="majorBidi"/>
          <w:sz w:val="24"/>
          <w:szCs w:val="24"/>
        </w:rPr>
        <w:t>four main steps</w:t>
      </w:r>
      <w:sdt>
        <w:sdtPr>
          <w:rPr>
            <w:rFonts w:asciiTheme="majorBidi" w:hAnsiTheme="majorBidi" w:cstheme="majorBidi"/>
            <w:sz w:val="24"/>
            <w:szCs w:val="24"/>
          </w:rPr>
          <w:id w:val="1979723098"/>
          <w:citation/>
        </w:sdtPr>
        <w:sdtContent>
          <w:r w:rsidRPr="009F4AAD">
            <w:rPr>
              <w:rFonts w:asciiTheme="majorBidi" w:hAnsiTheme="majorBidi" w:cstheme="majorBidi"/>
              <w:sz w:val="24"/>
              <w:szCs w:val="24"/>
            </w:rPr>
            <w:fldChar w:fldCharType="begin"/>
          </w:r>
          <w:r w:rsidRPr="009F4AAD">
            <w:rPr>
              <w:rFonts w:asciiTheme="majorBidi" w:hAnsiTheme="majorBidi" w:cstheme="majorBidi"/>
              <w:sz w:val="24"/>
              <w:szCs w:val="24"/>
            </w:rPr>
            <w:instrText xml:space="preserve"> CITATION Men20 \l 2057 </w:instrText>
          </w:r>
          <w:r w:rsidRPr="009F4AAD">
            <w:rPr>
              <w:rFonts w:asciiTheme="majorBidi" w:hAnsiTheme="majorBidi" w:cstheme="majorBidi"/>
              <w:sz w:val="24"/>
              <w:szCs w:val="24"/>
            </w:rPr>
            <w:fldChar w:fldCharType="separate"/>
          </w:r>
          <w:r w:rsidRPr="009F4AAD">
            <w:rPr>
              <w:rFonts w:asciiTheme="majorBidi" w:hAnsiTheme="majorBidi" w:cstheme="majorBidi"/>
              <w:noProof/>
              <w:sz w:val="24"/>
              <w:szCs w:val="24"/>
            </w:rPr>
            <w:t xml:space="preserve"> (Mengist, Soromessa, &amp; Legese, 2020)</w:t>
          </w:r>
          <w:r w:rsidRPr="009F4AAD">
            <w:rPr>
              <w:rFonts w:asciiTheme="majorBidi" w:hAnsiTheme="majorBidi" w:cstheme="majorBidi"/>
              <w:sz w:val="24"/>
              <w:szCs w:val="24"/>
            </w:rPr>
            <w:fldChar w:fldCharType="end"/>
          </w:r>
        </w:sdtContent>
      </w:sdt>
      <w:r w:rsidRPr="009660F3">
        <w:rPr>
          <w:rFonts w:asciiTheme="majorBidi" w:hAnsiTheme="majorBidi" w:cstheme="majorBidi"/>
          <w:sz w:val="24"/>
          <w:szCs w:val="24"/>
        </w:rPr>
        <w:t>.</w:t>
      </w:r>
      <w:r>
        <w:rPr>
          <w:rFonts w:asciiTheme="majorBidi" w:hAnsiTheme="majorBidi" w:cstheme="majorBidi"/>
          <w:sz w:val="24"/>
          <w:szCs w:val="24"/>
        </w:rPr>
        <w:t xml:space="preserve"> These steps include determining searching platforms and databases; identifying inclusion and exclusion criteria; extracting and categorizing the data (conducting the synthesis); analysing the results and framing them into conclusion</w:t>
      </w:r>
      <w:sdt>
        <w:sdtPr>
          <w:rPr>
            <w:rFonts w:asciiTheme="majorBidi" w:hAnsiTheme="majorBidi" w:cstheme="majorBidi"/>
            <w:sz w:val="24"/>
            <w:szCs w:val="24"/>
          </w:rPr>
          <w:id w:val="29418328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Men20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(Mengist, Soromessa, &amp; Legese,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Firstly, for a thorough search, this review looked for data on London South Bank University’s (LSBU) library, Google Scholar, and other databases such as Emerald, JSTOR, SAGE, Scopus, and Wiley Online Library. Secondly, to ensure that the findings from literature are up to date and as relevant to the current time as possible, </w:t>
      </w:r>
      <w:r w:rsidRPr="00E60DA5">
        <w:rPr>
          <w:rFonts w:asciiTheme="majorBidi" w:hAnsiTheme="majorBidi" w:cstheme="majorBidi"/>
          <w:sz w:val="24"/>
          <w:szCs w:val="24"/>
        </w:rPr>
        <w:t xml:space="preserve">studies only published in 2018 onwards were considered for the scope of this section of the literature review. This is a crucial element in the review because countries in the Middle East are experiencing rapid rates of urbanization and development </w:t>
      </w:r>
      <w:sdt>
        <w:sdtPr>
          <w:rPr>
            <w:rFonts w:asciiTheme="majorBidi" w:hAnsiTheme="majorBidi" w:cstheme="majorBidi"/>
            <w:sz w:val="24"/>
            <w:szCs w:val="24"/>
          </w:rPr>
          <w:id w:val="-959879437"/>
          <w:citation/>
        </w:sdtPr>
        <w:sdtContent>
          <w:r w:rsidRPr="00E60DA5">
            <w:rPr>
              <w:rFonts w:asciiTheme="majorBidi" w:hAnsiTheme="majorBidi" w:cstheme="majorBidi"/>
              <w:sz w:val="24"/>
              <w:szCs w:val="24"/>
            </w:rPr>
            <w:fldChar w:fldCharType="begin"/>
          </w:r>
          <w:r w:rsidRPr="00E60DA5">
            <w:rPr>
              <w:rFonts w:asciiTheme="majorBidi" w:hAnsiTheme="majorBidi" w:cstheme="majorBidi"/>
              <w:sz w:val="24"/>
              <w:szCs w:val="24"/>
            </w:rPr>
            <w:instrText xml:space="preserve"> CITATION Elh21 \l 2057 </w:instrText>
          </w:r>
          <w:r w:rsidRPr="00E60DA5">
            <w:rPr>
              <w:rFonts w:asciiTheme="majorBidi" w:hAnsiTheme="majorBidi" w:cstheme="majorBidi"/>
              <w:sz w:val="24"/>
              <w:szCs w:val="24"/>
            </w:rPr>
            <w:fldChar w:fldCharType="separate"/>
          </w:r>
          <w:r w:rsidRPr="00E60DA5">
            <w:rPr>
              <w:rFonts w:asciiTheme="majorBidi" w:hAnsiTheme="majorBidi" w:cstheme="majorBidi"/>
              <w:noProof/>
              <w:sz w:val="24"/>
              <w:szCs w:val="24"/>
            </w:rPr>
            <w:t>(Elhoushy &amp; Lanzini, 2021)</w:t>
          </w:r>
          <w:r w:rsidRPr="00E60DA5">
            <w:rPr>
              <w:rFonts w:asciiTheme="majorBidi" w:hAnsiTheme="majorBidi" w:cstheme="majorBidi"/>
              <w:sz w:val="24"/>
              <w:szCs w:val="24"/>
            </w:rPr>
            <w:fldChar w:fldCharType="end"/>
          </w:r>
        </w:sdtContent>
      </w:sdt>
      <w:r w:rsidRPr="00E60DA5">
        <w:rPr>
          <w:rFonts w:asciiTheme="majorBidi" w:hAnsiTheme="majorBidi" w:cstheme="majorBidi"/>
          <w:sz w:val="24"/>
          <w:szCs w:val="24"/>
        </w:rPr>
        <w:t xml:space="preserve"> and</w:t>
      </w:r>
      <w:r>
        <w:rPr>
          <w:rFonts w:asciiTheme="majorBidi" w:hAnsiTheme="majorBidi" w:cstheme="majorBidi"/>
          <w:sz w:val="24"/>
          <w:szCs w:val="24"/>
        </w:rPr>
        <w:t xml:space="preserve"> older studies could be irrelevant to the current time. The ranking of the journal in which articles are published is also considered for this systematic review. While there is an on-going debate on which ranking guide is better for business journals, the </w:t>
      </w:r>
      <w:r w:rsidRPr="00C27B0F">
        <w:rPr>
          <w:rFonts w:asciiTheme="majorBidi" w:hAnsiTheme="majorBidi" w:cstheme="majorBidi"/>
          <w:sz w:val="24"/>
          <w:szCs w:val="24"/>
        </w:rPr>
        <w:t>Australian Business Deans Council (ABDC) is ranked high and appears to be better than other ranking guides such as Academic Journal Guide (AJG)</w:t>
      </w:r>
      <w:sdt>
        <w:sdtPr>
          <w:rPr>
            <w:rFonts w:asciiTheme="majorBidi" w:hAnsiTheme="majorBidi" w:cstheme="majorBidi"/>
            <w:sz w:val="24"/>
            <w:szCs w:val="24"/>
          </w:rPr>
          <w:id w:val="1733269576"/>
          <w:citation/>
        </w:sdtPr>
        <w:sdtContent>
          <w:r w:rsidRPr="00C27B0F">
            <w:rPr>
              <w:rFonts w:asciiTheme="majorBidi" w:hAnsiTheme="majorBidi" w:cstheme="majorBidi"/>
              <w:sz w:val="24"/>
              <w:szCs w:val="24"/>
            </w:rPr>
            <w:fldChar w:fldCharType="begin"/>
          </w:r>
          <w:r w:rsidRPr="00C27B0F">
            <w:rPr>
              <w:rFonts w:asciiTheme="majorBidi" w:hAnsiTheme="majorBidi" w:cstheme="majorBidi"/>
              <w:sz w:val="24"/>
              <w:szCs w:val="24"/>
            </w:rPr>
            <w:instrText xml:space="preserve"> CITATION Zha21 \l 2057 </w:instrText>
          </w:r>
          <w:r w:rsidRPr="00C27B0F">
            <w:rPr>
              <w:rFonts w:asciiTheme="majorBidi" w:hAnsiTheme="majorBidi" w:cstheme="majorBidi"/>
              <w:sz w:val="24"/>
              <w:szCs w:val="24"/>
            </w:rPr>
            <w:fldChar w:fldCharType="separate"/>
          </w:r>
          <w:r w:rsidRPr="00C27B0F">
            <w:rPr>
              <w:rFonts w:asciiTheme="majorBidi" w:hAnsiTheme="majorBidi" w:cstheme="majorBidi"/>
              <w:noProof/>
              <w:sz w:val="24"/>
              <w:szCs w:val="24"/>
            </w:rPr>
            <w:t xml:space="preserve"> (Zhang, 2022)</w:t>
          </w:r>
          <w:r w:rsidRPr="00C27B0F">
            <w:rPr>
              <w:rFonts w:asciiTheme="majorBidi" w:hAnsiTheme="majorBidi" w:cstheme="majorBidi"/>
              <w:sz w:val="24"/>
              <w:szCs w:val="24"/>
            </w:rPr>
            <w:fldChar w:fldCharType="end"/>
          </w:r>
        </w:sdtContent>
      </w:sdt>
      <w:r w:rsidRPr="00C27B0F">
        <w:rPr>
          <w:rFonts w:asciiTheme="majorBidi" w:hAnsiTheme="majorBidi" w:cstheme="majorBidi"/>
          <w:sz w:val="24"/>
          <w:szCs w:val="24"/>
        </w:rPr>
        <w:t xml:space="preserve">. </w:t>
      </w:r>
      <w:r>
        <w:rPr>
          <w:rFonts w:asciiTheme="majorBidi" w:hAnsiTheme="majorBidi" w:cstheme="majorBidi"/>
          <w:sz w:val="24"/>
          <w:szCs w:val="24"/>
        </w:rPr>
        <w:t xml:space="preserve">Based on the most recent ranking methodology applied by ABDC in 2019, this review included peer-reviewed journals with B rating or higher. </w:t>
      </w:r>
      <w:r w:rsidRPr="000D5258">
        <w:rPr>
          <w:rFonts w:asciiTheme="majorBidi" w:hAnsiTheme="majorBidi" w:cstheme="majorBidi"/>
          <w:sz w:val="24"/>
          <w:szCs w:val="24"/>
        </w:rPr>
        <w:t xml:space="preserve">Few studies published in journals with a C rating were included if they were highly relevant to the topic and presented robust methodologies and important findings. Some of these journals </w:t>
      </w:r>
      <w:r>
        <w:rPr>
          <w:rFonts w:asciiTheme="majorBidi" w:hAnsiTheme="majorBidi" w:cstheme="majorBidi"/>
          <w:sz w:val="24"/>
          <w:szCs w:val="24"/>
        </w:rPr>
        <w:t>are</w:t>
      </w:r>
      <w:r w:rsidRPr="000D5258">
        <w:rPr>
          <w:rFonts w:asciiTheme="majorBidi" w:hAnsiTheme="majorBidi" w:cstheme="majorBidi"/>
          <w:sz w:val="24"/>
          <w:szCs w:val="24"/>
        </w:rPr>
        <w:t xml:space="preserve"> Journal of Islamic Accounting and Business Research, Journal of Marketing Analytics, and Journal of Financial Reporting and Accounting.</w:t>
      </w:r>
      <w:r>
        <w:t xml:space="preserve">  </w:t>
      </w:r>
      <w:r>
        <w:rPr>
          <w:rFonts w:asciiTheme="majorBidi" w:hAnsiTheme="majorBidi" w:cstheme="majorBidi"/>
          <w:sz w:val="24"/>
          <w:szCs w:val="24"/>
        </w:rPr>
        <w:t xml:space="preserve">This is done only when the topic is relevant to the scope of study and to reduce the risk of missing any substantial findings related to the topic. </w:t>
      </w:r>
      <w:r>
        <w:rPr>
          <w:rFonts w:ascii="Times New Roman" w:eastAsia="Times New Roman" w:hAnsi="Times New Roman" w:cs="Times New Roman"/>
          <w:sz w:val="24"/>
          <w:szCs w:val="24"/>
          <w:lang w:eastAsia="en-GB"/>
        </w:rPr>
        <w:t xml:space="preserve">The main search strings were chosen to target the main countries in the Middle East and North Africa (MENA) region </w:t>
      </w:r>
      <w:sdt>
        <w:sdtPr>
          <w:rPr>
            <w:rFonts w:ascii="Times New Roman" w:eastAsia="Times New Roman" w:hAnsi="Times New Roman" w:cs="Times New Roman"/>
            <w:sz w:val="24"/>
            <w:szCs w:val="24"/>
            <w:lang w:eastAsia="en-GB"/>
          </w:rPr>
          <w:id w:val="-183058370"/>
          <w:citation/>
        </w:sdtPr>
        <w:sdtContent>
          <w:r>
            <w:rPr>
              <w:rFonts w:ascii="Times New Roman" w:eastAsia="Times New Roman" w:hAnsi="Times New Roman" w:cs="Times New Roman"/>
              <w:sz w:val="24"/>
              <w:szCs w:val="24"/>
              <w:lang w:eastAsia="en-GB"/>
            </w:rPr>
            <w:fldChar w:fldCharType="begin"/>
          </w:r>
          <w:r>
            <w:rPr>
              <w:rFonts w:ascii="Times New Roman" w:eastAsia="Times New Roman" w:hAnsi="Times New Roman" w:cs="Times New Roman"/>
              <w:sz w:val="24"/>
              <w:szCs w:val="24"/>
              <w:lang w:eastAsia="en-GB"/>
            </w:rPr>
            <w:instrText xml:space="preserve"> CITATION Che22 \l 2057 </w:instrText>
          </w:r>
          <w:r>
            <w:rPr>
              <w:rFonts w:ascii="Times New Roman" w:eastAsia="Times New Roman" w:hAnsi="Times New Roman" w:cs="Times New Roman"/>
              <w:sz w:val="24"/>
              <w:szCs w:val="24"/>
              <w:lang w:eastAsia="en-GB"/>
            </w:rPr>
            <w:fldChar w:fldCharType="separate"/>
          </w:r>
          <w:r w:rsidRPr="003275FC">
            <w:rPr>
              <w:rFonts w:ascii="Times New Roman" w:eastAsia="Times New Roman" w:hAnsi="Times New Roman" w:cs="Times New Roman"/>
              <w:noProof/>
              <w:sz w:val="24"/>
              <w:szCs w:val="24"/>
              <w:lang w:eastAsia="en-GB"/>
            </w:rPr>
            <w:t>(Chen, 2022)</w:t>
          </w:r>
          <w:r>
            <w:rPr>
              <w:rFonts w:ascii="Times New Roman" w:eastAsia="Times New Roman" w:hAnsi="Times New Roman" w:cs="Times New Roman"/>
              <w:sz w:val="24"/>
              <w:szCs w:val="24"/>
              <w:lang w:eastAsia="en-GB"/>
            </w:rPr>
            <w:fldChar w:fldCharType="end"/>
          </w:r>
        </w:sdtContent>
      </w:sdt>
      <w:r>
        <w:rPr>
          <w:rFonts w:ascii="Times New Roman" w:eastAsia="Times New Roman" w:hAnsi="Times New Roman" w:cs="Times New Roman"/>
          <w:sz w:val="24"/>
          <w:szCs w:val="24"/>
          <w:lang w:eastAsia="en-GB"/>
        </w:rPr>
        <w:t xml:space="preserve">. </w:t>
      </w:r>
      <w:r>
        <w:rPr>
          <w:rFonts w:asciiTheme="majorBidi" w:hAnsiTheme="majorBidi" w:cstheme="majorBidi"/>
          <w:sz w:val="24"/>
          <w:szCs w:val="24"/>
        </w:rPr>
        <w:t>The main key words that were used were “CSR communication in Egypt” and “CSR communication in the Middle East.” Similar phrases were also used as keywords for the search such as, “CSR communication in Arab Countries”, “CSR communication in North Africa,” etc. This search yielded 136 relevant articles.</w:t>
      </w:r>
      <w:r w:rsidR="008939E2">
        <w:rPr>
          <w:rFonts w:asciiTheme="majorBidi" w:hAnsiTheme="majorBidi" w:cstheme="majorBidi"/>
          <w:sz w:val="24"/>
          <w:szCs w:val="24"/>
        </w:rPr>
        <w:t xml:space="preserve"> Table six provides the search terms used in this literature review. </w:t>
      </w:r>
    </w:p>
    <w:tbl>
      <w:tblPr>
        <w:tblStyle w:val="TableGrid"/>
        <w:tblW w:w="0" w:type="auto"/>
        <w:jc w:val="center"/>
        <w:tblLook w:val="04A0" w:firstRow="1" w:lastRow="0" w:firstColumn="1" w:lastColumn="0" w:noHBand="0" w:noVBand="1"/>
      </w:tblPr>
      <w:tblGrid>
        <w:gridCol w:w="361"/>
        <w:gridCol w:w="3041"/>
        <w:gridCol w:w="4677"/>
      </w:tblGrid>
      <w:tr w:rsidR="0061549D" w:rsidRPr="00151ABA" w14:paraId="2967D11F" w14:textId="77777777" w:rsidTr="00111163">
        <w:trPr>
          <w:jc w:val="center"/>
        </w:trPr>
        <w:tc>
          <w:tcPr>
            <w:tcW w:w="361" w:type="dxa"/>
          </w:tcPr>
          <w:p w14:paraId="117BA4BB" w14:textId="77777777" w:rsidR="0061549D" w:rsidRPr="00151ABA" w:rsidRDefault="0061549D" w:rsidP="00111163">
            <w:pPr>
              <w:rPr>
                <w:rFonts w:asciiTheme="majorBidi" w:eastAsia="Times New Roman" w:hAnsiTheme="majorBidi" w:cstheme="majorBidi"/>
                <w:sz w:val="20"/>
                <w:szCs w:val="20"/>
                <w:lang w:eastAsia="en-GB"/>
              </w:rPr>
            </w:pPr>
            <w:r w:rsidRPr="00151ABA">
              <w:rPr>
                <w:rFonts w:asciiTheme="majorBidi" w:eastAsia="Times New Roman" w:hAnsiTheme="majorBidi" w:cstheme="majorBidi"/>
                <w:sz w:val="20"/>
                <w:szCs w:val="20"/>
                <w:lang w:eastAsia="en-GB"/>
              </w:rPr>
              <w:t>N</w:t>
            </w:r>
          </w:p>
        </w:tc>
        <w:tc>
          <w:tcPr>
            <w:tcW w:w="3041" w:type="dxa"/>
          </w:tcPr>
          <w:p w14:paraId="4F6B5C9F" w14:textId="77777777" w:rsidR="0061549D" w:rsidRPr="00151ABA" w:rsidRDefault="0061549D" w:rsidP="00111163">
            <w:pPr>
              <w:rPr>
                <w:rFonts w:asciiTheme="majorBidi" w:eastAsia="Times New Roman" w:hAnsiTheme="majorBidi" w:cstheme="majorBidi"/>
                <w:sz w:val="20"/>
                <w:szCs w:val="20"/>
                <w:lang w:eastAsia="en-GB"/>
              </w:rPr>
            </w:pPr>
            <w:r w:rsidRPr="00151ABA">
              <w:rPr>
                <w:rFonts w:asciiTheme="majorBidi" w:eastAsia="Times New Roman" w:hAnsiTheme="majorBidi" w:cstheme="majorBidi"/>
                <w:sz w:val="20"/>
                <w:szCs w:val="20"/>
                <w:lang w:eastAsia="en-GB"/>
              </w:rPr>
              <w:t>Fixed Search Strings</w:t>
            </w:r>
          </w:p>
        </w:tc>
        <w:tc>
          <w:tcPr>
            <w:tcW w:w="4677" w:type="dxa"/>
          </w:tcPr>
          <w:p w14:paraId="64CD0C90" w14:textId="77777777" w:rsidR="0061549D" w:rsidRPr="00151ABA" w:rsidRDefault="0061549D" w:rsidP="00111163">
            <w:pPr>
              <w:rPr>
                <w:rFonts w:asciiTheme="majorBidi" w:eastAsia="Times New Roman" w:hAnsiTheme="majorBidi" w:cstheme="majorBidi"/>
                <w:sz w:val="20"/>
                <w:szCs w:val="20"/>
                <w:lang w:eastAsia="en-GB"/>
              </w:rPr>
            </w:pPr>
            <w:r w:rsidRPr="00151ABA">
              <w:rPr>
                <w:rFonts w:asciiTheme="majorBidi" w:eastAsia="Times New Roman" w:hAnsiTheme="majorBidi" w:cstheme="majorBidi"/>
                <w:sz w:val="20"/>
                <w:szCs w:val="20"/>
                <w:lang w:eastAsia="en-GB"/>
              </w:rPr>
              <w:t>Variable Search Strings</w:t>
            </w:r>
          </w:p>
        </w:tc>
      </w:tr>
      <w:tr w:rsidR="0061549D" w:rsidRPr="00151ABA" w14:paraId="193446DB" w14:textId="77777777" w:rsidTr="00111163">
        <w:trPr>
          <w:jc w:val="center"/>
        </w:trPr>
        <w:tc>
          <w:tcPr>
            <w:tcW w:w="361" w:type="dxa"/>
          </w:tcPr>
          <w:p w14:paraId="0ECE5FD1" w14:textId="77777777" w:rsidR="0061549D" w:rsidRPr="00151ABA" w:rsidRDefault="0061549D" w:rsidP="00111163">
            <w:pPr>
              <w:rPr>
                <w:rFonts w:asciiTheme="majorBidi" w:eastAsia="Times New Roman" w:hAnsiTheme="majorBidi" w:cstheme="majorBidi"/>
                <w:sz w:val="20"/>
                <w:szCs w:val="20"/>
                <w:lang w:eastAsia="en-GB"/>
              </w:rPr>
            </w:pPr>
            <w:r w:rsidRPr="00151ABA">
              <w:rPr>
                <w:rFonts w:asciiTheme="majorBidi" w:eastAsia="Times New Roman" w:hAnsiTheme="majorBidi" w:cstheme="majorBidi"/>
                <w:sz w:val="20"/>
                <w:szCs w:val="20"/>
                <w:lang w:eastAsia="en-GB"/>
              </w:rPr>
              <w:t>1</w:t>
            </w:r>
          </w:p>
        </w:tc>
        <w:tc>
          <w:tcPr>
            <w:tcW w:w="3041" w:type="dxa"/>
          </w:tcPr>
          <w:p w14:paraId="1E3E8854" w14:textId="77777777" w:rsidR="0061549D" w:rsidRPr="00151ABA" w:rsidRDefault="0061549D" w:rsidP="00111163">
            <w:pPr>
              <w:rPr>
                <w:rFonts w:asciiTheme="majorBidi" w:eastAsia="Times New Roman" w:hAnsiTheme="majorBidi" w:cstheme="majorBidi"/>
                <w:sz w:val="20"/>
                <w:szCs w:val="20"/>
                <w:lang w:eastAsia="en-GB"/>
              </w:rPr>
            </w:pPr>
            <w:r w:rsidRPr="00151ABA">
              <w:rPr>
                <w:rFonts w:asciiTheme="majorBidi" w:eastAsia="Times New Roman" w:hAnsiTheme="majorBidi" w:cstheme="majorBidi"/>
                <w:sz w:val="20"/>
                <w:szCs w:val="20"/>
                <w:lang w:eastAsia="en-GB"/>
              </w:rPr>
              <w:t xml:space="preserve">CSR Communication </w:t>
            </w:r>
          </w:p>
        </w:tc>
        <w:tc>
          <w:tcPr>
            <w:tcW w:w="4677" w:type="dxa"/>
            <w:vMerge w:val="restart"/>
          </w:tcPr>
          <w:p w14:paraId="6000C938" w14:textId="77777777" w:rsidR="0061549D" w:rsidRPr="00151ABA" w:rsidRDefault="0061549D" w:rsidP="00111163">
            <w:pPr>
              <w:rPr>
                <w:rFonts w:asciiTheme="majorBidi" w:eastAsia="Times New Roman" w:hAnsiTheme="majorBidi" w:cstheme="majorBidi"/>
                <w:sz w:val="20"/>
                <w:szCs w:val="20"/>
                <w:lang w:eastAsia="en-GB"/>
              </w:rPr>
            </w:pPr>
            <w:r w:rsidRPr="00151ABA">
              <w:rPr>
                <w:rFonts w:asciiTheme="majorBidi" w:eastAsia="Times New Roman" w:hAnsiTheme="majorBidi" w:cstheme="majorBidi"/>
                <w:sz w:val="20"/>
                <w:szCs w:val="20"/>
                <w:lang w:eastAsia="en-GB"/>
              </w:rPr>
              <w:t xml:space="preserve">+Egypt   +Middle East +Arab Countries +North Africa +Lebanon +Jordan +Syria +Algeria +Bahrain +Iraq +Kuwait +Libya +Morocco +Oman +Qatar +Saudi Arabia +Sudan +Tunisia +United Arab Emirates +Yemen +Bahrain </w:t>
            </w:r>
          </w:p>
        </w:tc>
      </w:tr>
      <w:tr w:rsidR="0061549D" w:rsidRPr="00151ABA" w14:paraId="65304A26" w14:textId="77777777" w:rsidTr="00111163">
        <w:trPr>
          <w:jc w:val="center"/>
        </w:trPr>
        <w:tc>
          <w:tcPr>
            <w:tcW w:w="361" w:type="dxa"/>
          </w:tcPr>
          <w:p w14:paraId="058F0D6A" w14:textId="77777777" w:rsidR="0061549D" w:rsidRPr="00151ABA" w:rsidRDefault="0061549D" w:rsidP="00111163">
            <w:pPr>
              <w:rPr>
                <w:rFonts w:asciiTheme="majorBidi" w:eastAsia="Times New Roman" w:hAnsiTheme="majorBidi" w:cstheme="majorBidi"/>
                <w:sz w:val="20"/>
                <w:szCs w:val="20"/>
                <w:lang w:eastAsia="en-GB"/>
              </w:rPr>
            </w:pPr>
            <w:r w:rsidRPr="00151ABA">
              <w:rPr>
                <w:rFonts w:asciiTheme="majorBidi" w:eastAsia="Times New Roman" w:hAnsiTheme="majorBidi" w:cstheme="majorBidi"/>
                <w:sz w:val="20"/>
                <w:szCs w:val="20"/>
                <w:lang w:eastAsia="en-GB"/>
              </w:rPr>
              <w:t>2</w:t>
            </w:r>
          </w:p>
        </w:tc>
        <w:tc>
          <w:tcPr>
            <w:tcW w:w="3041" w:type="dxa"/>
          </w:tcPr>
          <w:p w14:paraId="5C02446B" w14:textId="77777777" w:rsidR="0061549D" w:rsidRPr="00151ABA" w:rsidRDefault="0061549D" w:rsidP="00111163">
            <w:pPr>
              <w:rPr>
                <w:rFonts w:asciiTheme="majorBidi" w:eastAsia="Times New Roman" w:hAnsiTheme="majorBidi" w:cstheme="majorBidi"/>
                <w:sz w:val="20"/>
                <w:szCs w:val="20"/>
                <w:lang w:eastAsia="en-GB"/>
              </w:rPr>
            </w:pPr>
            <w:r w:rsidRPr="00151ABA">
              <w:rPr>
                <w:rFonts w:asciiTheme="majorBidi" w:eastAsia="Times New Roman" w:hAnsiTheme="majorBidi" w:cstheme="majorBidi"/>
                <w:sz w:val="20"/>
                <w:szCs w:val="20"/>
                <w:lang w:eastAsia="en-GB"/>
              </w:rPr>
              <w:t xml:space="preserve">Corporate Social Responsibility </w:t>
            </w:r>
          </w:p>
        </w:tc>
        <w:tc>
          <w:tcPr>
            <w:tcW w:w="4677" w:type="dxa"/>
            <w:vMerge/>
          </w:tcPr>
          <w:p w14:paraId="5E079D74" w14:textId="77777777" w:rsidR="0061549D" w:rsidRPr="00151ABA" w:rsidRDefault="0061549D" w:rsidP="00111163">
            <w:pPr>
              <w:keepNext/>
              <w:rPr>
                <w:rFonts w:asciiTheme="majorBidi" w:eastAsia="Times New Roman" w:hAnsiTheme="majorBidi" w:cstheme="majorBidi"/>
                <w:sz w:val="20"/>
                <w:szCs w:val="20"/>
                <w:lang w:eastAsia="en-GB"/>
              </w:rPr>
            </w:pPr>
          </w:p>
        </w:tc>
      </w:tr>
    </w:tbl>
    <w:p w14:paraId="089979F0" w14:textId="5C54F63C" w:rsidR="0061549D" w:rsidRPr="009F4AAD" w:rsidRDefault="0061549D" w:rsidP="0061549D">
      <w:pPr>
        <w:pStyle w:val="Caption"/>
        <w:rPr>
          <w:color w:val="auto"/>
        </w:rPr>
      </w:pPr>
      <w:r w:rsidRPr="009F4AAD">
        <w:rPr>
          <w:color w:val="auto"/>
        </w:rPr>
        <w:t xml:space="preserve">Table </w:t>
      </w:r>
      <w:r w:rsidR="00044DE9">
        <w:rPr>
          <w:color w:val="auto"/>
        </w:rPr>
        <w:t>6</w:t>
      </w:r>
      <w:r w:rsidRPr="009F4AAD">
        <w:rPr>
          <w:color w:val="auto"/>
        </w:rPr>
        <w:t xml:space="preserve"> Search keywords used for the review</w:t>
      </w:r>
    </w:p>
    <w:p w14:paraId="037E973F" w14:textId="77777777" w:rsidR="00DE2091" w:rsidRDefault="00DE2091">
      <w:pPr>
        <w:rPr>
          <w:rFonts w:asciiTheme="majorBidi" w:hAnsiTheme="majorBidi" w:cstheme="majorBidi"/>
          <w:b/>
          <w:bCs/>
          <w:sz w:val="24"/>
          <w:szCs w:val="24"/>
        </w:rPr>
      </w:pPr>
      <w:r>
        <w:rPr>
          <w:rFonts w:asciiTheme="majorBidi" w:hAnsiTheme="majorBidi" w:cstheme="majorBidi"/>
          <w:b/>
          <w:bCs/>
          <w:i/>
          <w:iCs/>
          <w:sz w:val="24"/>
          <w:szCs w:val="24"/>
        </w:rPr>
        <w:br w:type="page"/>
      </w:r>
    </w:p>
    <w:p w14:paraId="02E78F68" w14:textId="3E2DF0E0" w:rsidR="0061549D" w:rsidRPr="009F4AAD" w:rsidRDefault="0061549D" w:rsidP="0061549D">
      <w:pPr>
        <w:pStyle w:val="Caption"/>
        <w:rPr>
          <w:i w:val="0"/>
          <w:iCs w:val="0"/>
          <w:color w:val="auto"/>
        </w:rPr>
      </w:pPr>
      <w:r>
        <w:rPr>
          <w:rFonts w:asciiTheme="majorBidi" w:hAnsiTheme="majorBidi" w:cstheme="majorBidi"/>
          <w:b/>
          <w:bCs/>
          <w:i w:val="0"/>
          <w:iCs w:val="0"/>
          <w:color w:val="auto"/>
          <w:sz w:val="24"/>
          <w:szCs w:val="24"/>
        </w:rPr>
        <w:t>3</w:t>
      </w:r>
      <w:r w:rsidRPr="009F4AAD">
        <w:rPr>
          <w:rFonts w:asciiTheme="majorBidi" w:hAnsiTheme="majorBidi" w:cstheme="majorBidi"/>
          <w:b/>
          <w:bCs/>
          <w:i w:val="0"/>
          <w:iCs w:val="0"/>
          <w:color w:val="auto"/>
          <w:sz w:val="24"/>
          <w:szCs w:val="24"/>
        </w:rPr>
        <w:t xml:space="preserve">.1.2 Exclusion and Inclusion Criteria  </w:t>
      </w:r>
    </w:p>
    <w:p w14:paraId="08754A7F" w14:textId="77777777" w:rsidR="0061549D" w:rsidRDefault="0061549D" w:rsidP="0061549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next step involved scanning all the articles titles and abstracts that the search provided to ensure that they fit the inclusion and exclusion criteria. The chosen criteria are a) the topic must be related to CSR; b) the scope of study is in Middle Eastern countries or in Egypt specifically; c) the articles published in journal ranked B or higher based on the ABDC ranking. Many articles that emerged from the initial search yielded studies conducted in developing countries such as Bangladesh, India, Ghana, Pakistan, but they are not countries in The Middle East. Also, some studies do not discuss CSR or CSR communication. Accordingly, these studies were excluded. </w:t>
      </w:r>
    </w:p>
    <w:p w14:paraId="16B7A915" w14:textId="77777777" w:rsidR="0061549D" w:rsidRPr="003558CD" w:rsidRDefault="0061549D" w:rsidP="0061549D">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3.1.3 Selection of Relevant Studies   </w:t>
      </w:r>
    </w:p>
    <w:p w14:paraId="1EDE44EB" w14:textId="77777777" w:rsidR="0061549D" w:rsidRDefault="0061549D" w:rsidP="0061549D">
      <w:pPr>
        <w:spacing w:line="480" w:lineRule="auto"/>
        <w:ind w:firstLine="720"/>
        <w:rPr>
          <w:rFonts w:asciiTheme="majorBidi" w:hAnsiTheme="majorBidi" w:cstheme="majorBidi"/>
          <w:sz w:val="24"/>
          <w:szCs w:val="24"/>
        </w:rPr>
      </w:pPr>
      <w:r>
        <w:rPr>
          <w:rFonts w:asciiTheme="majorBidi" w:hAnsiTheme="majorBidi" w:cstheme="majorBidi"/>
          <w:sz w:val="24"/>
          <w:szCs w:val="24"/>
        </w:rPr>
        <w:t>The initial 136 studies were exported to RefWorks. After scanning them on abstract level for inclusion and exclusion criteria as discussed above and discarding any duplicates, the result yielded 42 studies. These were the final articles that were thoroughly examined and were included in the results. To supplement this digital search and look for potential additional articles to include, I conducted reference check of other articles that the final articles cited</w:t>
      </w:r>
      <w:sdt>
        <w:sdtPr>
          <w:rPr>
            <w:rFonts w:asciiTheme="majorBidi" w:hAnsiTheme="majorBidi" w:cstheme="majorBidi"/>
            <w:sz w:val="24"/>
            <w:szCs w:val="24"/>
          </w:rPr>
          <w:id w:val="-91808821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Bra18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(Bramer,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This reverse process generated two additional articles, leaving a total of 42 final articles. Appendix A provides a table that includes a summary of the findings from the final articles included in the review. Those studies were grouped into two folders on RefWorks in which 26 studies were conducted in various countries in the Middle East and 16 studies were conducted in Egypt. These were the articles that I </w:t>
      </w:r>
      <w:r w:rsidRPr="00D02C46">
        <w:rPr>
          <w:rFonts w:asciiTheme="majorBidi" w:hAnsiTheme="majorBidi" w:cstheme="majorBidi"/>
          <w:sz w:val="24"/>
          <w:szCs w:val="24"/>
        </w:rPr>
        <w:t xml:space="preserve">explicitly reviewed </w:t>
      </w:r>
      <w:r>
        <w:rPr>
          <w:rFonts w:asciiTheme="majorBidi" w:hAnsiTheme="majorBidi" w:cstheme="majorBidi"/>
          <w:sz w:val="24"/>
          <w:szCs w:val="24"/>
        </w:rPr>
        <w:t xml:space="preserve">for common themes and findings that fed into a </w:t>
      </w:r>
      <w:r w:rsidRPr="00D02C46">
        <w:rPr>
          <w:rFonts w:asciiTheme="majorBidi" w:hAnsiTheme="majorBidi" w:cstheme="majorBidi"/>
          <w:sz w:val="24"/>
          <w:szCs w:val="24"/>
        </w:rPr>
        <w:t>complete qualitative</w:t>
      </w:r>
      <w:r>
        <w:rPr>
          <w:rFonts w:asciiTheme="majorBidi" w:hAnsiTheme="majorBidi" w:cstheme="majorBidi"/>
          <w:sz w:val="24"/>
          <w:szCs w:val="24"/>
        </w:rPr>
        <w:t xml:space="preserve"> systematic</w:t>
      </w:r>
      <w:r w:rsidRPr="00D02C46">
        <w:rPr>
          <w:rFonts w:asciiTheme="majorBidi" w:hAnsiTheme="majorBidi" w:cstheme="majorBidi"/>
          <w:sz w:val="24"/>
          <w:szCs w:val="24"/>
        </w:rPr>
        <w:t xml:space="preserve"> synthesis of the papers</w:t>
      </w:r>
      <w:r>
        <w:rPr>
          <w:rFonts w:asciiTheme="majorBidi" w:hAnsiTheme="majorBidi" w:cstheme="majorBidi"/>
          <w:sz w:val="24"/>
          <w:szCs w:val="24"/>
        </w:rPr>
        <w:t xml:space="preserve"> that are as highly relevant to this study’s topic as possible</w:t>
      </w:r>
      <w:r w:rsidRPr="00D02C46">
        <w:rPr>
          <w:rFonts w:asciiTheme="majorBidi" w:hAnsiTheme="majorBidi" w:cstheme="majorBidi"/>
          <w:sz w:val="24"/>
          <w:szCs w:val="24"/>
        </w:rPr>
        <w:t xml:space="preserve">. </w:t>
      </w:r>
      <w:r>
        <w:rPr>
          <w:rFonts w:asciiTheme="majorBidi" w:hAnsiTheme="majorBidi" w:cstheme="majorBidi"/>
          <w:sz w:val="24"/>
          <w:szCs w:val="24"/>
        </w:rPr>
        <w:t xml:space="preserve"> The below figure summarises the steps taken to conduct this systematic literature review. </w:t>
      </w:r>
    </w:p>
    <w:p w14:paraId="50069BBD" w14:textId="77777777" w:rsidR="0061549D" w:rsidRDefault="0061549D" w:rsidP="0061549D">
      <w:pPr>
        <w:keepNext/>
        <w:spacing w:after="0" w:line="240" w:lineRule="auto"/>
      </w:pPr>
      <w:r w:rsidRPr="008900D7">
        <w:rPr>
          <w:rFonts w:asciiTheme="majorBidi" w:hAnsiTheme="majorBidi" w:cstheme="majorBidi"/>
          <w:noProof/>
          <w:sz w:val="24"/>
          <w:szCs w:val="24"/>
        </w:rPr>
        <w:drawing>
          <wp:inline distT="0" distB="0" distL="0" distR="0" wp14:anchorId="718310E4" wp14:editId="4C2BECF2">
            <wp:extent cx="3228016" cy="3414811"/>
            <wp:effectExtent l="0" t="0" r="0" b="0"/>
            <wp:docPr id="1130380417" name="Picture 1" descr="A screenshot of a black and white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80417" name="Picture 1" descr="A screenshot of a black and white pag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301" cy="3439443"/>
                    </a:xfrm>
                    <a:prstGeom prst="rect">
                      <a:avLst/>
                    </a:prstGeom>
                    <a:noFill/>
                    <a:ln>
                      <a:noFill/>
                    </a:ln>
                  </pic:spPr>
                </pic:pic>
              </a:graphicData>
            </a:graphic>
          </wp:inline>
        </w:drawing>
      </w:r>
    </w:p>
    <w:p w14:paraId="289171DF" w14:textId="77777777" w:rsidR="0061549D" w:rsidRPr="009F4AAD" w:rsidRDefault="0061549D" w:rsidP="0061549D">
      <w:pPr>
        <w:pStyle w:val="Caption"/>
        <w:rPr>
          <w:rFonts w:ascii="Times New Roman" w:eastAsia="Times New Roman" w:hAnsi="Times New Roman" w:cs="Times New Roman"/>
          <w:color w:val="auto"/>
          <w:kern w:val="0"/>
          <w:sz w:val="24"/>
          <w:szCs w:val="24"/>
          <w:lang w:eastAsia="en-GB"/>
          <w14:ligatures w14:val="none"/>
        </w:rPr>
      </w:pPr>
      <w:r w:rsidRPr="009F4AAD">
        <w:rPr>
          <w:color w:val="auto"/>
        </w:rPr>
        <w:t>Figure 3 Steps conducted for the systematic review</w:t>
      </w:r>
    </w:p>
    <w:p w14:paraId="6ECA4FD3" w14:textId="77777777" w:rsidR="0061549D" w:rsidRDefault="0061549D" w:rsidP="0061549D">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3.1.4 Review of Final articles    </w:t>
      </w:r>
    </w:p>
    <w:p w14:paraId="62654D5B" w14:textId="77777777" w:rsidR="0061549D" w:rsidRDefault="0061549D" w:rsidP="0061549D">
      <w:pPr>
        <w:spacing w:after="0" w:line="480" w:lineRule="auto"/>
        <w:ind w:firstLine="720"/>
        <w:rPr>
          <w:rFonts w:asciiTheme="majorBidi" w:hAnsiTheme="majorBidi" w:cstheme="majorBidi"/>
          <w:sz w:val="24"/>
          <w:szCs w:val="24"/>
        </w:rPr>
      </w:pPr>
      <w:r w:rsidRPr="00C932DC">
        <w:rPr>
          <w:rFonts w:asciiTheme="majorBidi" w:hAnsiTheme="majorBidi" w:cstheme="majorBidi"/>
          <w:sz w:val="24"/>
          <w:szCs w:val="24"/>
        </w:rPr>
        <w:t>Using manual context analysis method</w:t>
      </w:r>
      <w:r>
        <w:rPr>
          <w:rFonts w:asciiTheme="majorBidi" w:hAnsiTheme="majorBidi" w:cstheme="majorBidi"/>
          <w:sz w:val="24"/>
          <w:szCs w:val="24"/>
        </w:rPr>
        <w:t xml:space="preserve">, </w:t>
      </w:r>
      <w:r w:rsidRPr="00C932DC">
        <w:rPr>
          <w:rFonts w:asciiTheme="majorBidi" w:hAnsiTheme="majorBidi" w:cstheme="majorBidi"/>
          <w:sz w:val="24"/>
          <w:szCs w:val="24"/>
        </w:rPr>
        <w:t xml:space="preserve">the final </w:t>
      </w:r>
      <w:r>
        <w:rPr>
          <w:rFonts w:asciiTheme="majorBidi" w:hAnsiTheme="majorBidi" w:cstheme="majorBidi"/>
          <w:sz w:val="24"/>
          <w:szCs w:val="24"/>
        </w:rPr>
        <w:t>42</w:t>
      </w:r>
      <w:r w:rsidRPr="00C932DC">
        <w:rPr>
          <w:rFonts w:asciiTheme="majorBidi" w:hAnsiTheme="majorBidi" w:cstheme="majorBidi"/>
          <w:sz w:val="24"/>
          <w:szCs w:val="24"/>
        </w:rPr>
        <w:t xml:space="preserve"> articles were read line-by-line to identify important topics, categorise them, and link the concepts to each other</w:t>
      </w:r>
      <w:r w:rsidRPr="004F7ABE">
        <w:rPr>
          <w:rFonts w:asciiTheme="majorBidi" w:hAnsiTheme="majorBidi" w:cstheme="majorBidi"/>
          <w:sz w:val="24"/>
          <w:szCs w:val="24"/>
        </w:rPr>
        <w:t xml:space="preserve"> </w:t>
      </w:r>
      <w:sdt>
        <w:sdtPr>
          <w:rPr>
            <w:rFonts w:asciiTheme="majorBidi" w:hAnsiTheme="majorBidi" w:cstheme="majorBidi"/>
            <w:sz w:val="24"/>
            <w:szCs w:val="24"/>
          </w:rPr>
          <w:id w:val="2101133920"/>
          <w:citation/>
        </w:sdtPr>
        <w:sdtContent>
          <w:r w:rsidRPr="00C932DC">
            <w:rPr>
              <w:rFonts w:asciiTheme="majorBidi" w:hAnsiTheme="majorBidi" w:cstheme="majorBidi"/>
              <w:sz w:val="24"/>
              <w:szCs w:val="24"/>
            </w:rPr>
            <w:fldChar w:fldCharType="begin"/>
          </w:r>
          <w:r w:rsidRPr="00C932DC">
            <w:rPr>
              <w:rFonts w:asciiTheme="majorBidi" w:hAnsiTheme="majorBidi" w:cstheme="majorBidi"/>
              <w:sz w:val="24"/>
              <w:szCs w:val="24"/>
            </w:rPr>
            <w:instrText xml:space="preserve"> CITATION Vai13 \l 2057 </w:instrText>
          </w:r>
          <w:r w:rsidRPr="00C932DC">
            <w:rPr>
              <w:rFonts w:asciiTheme="majorBidi" w:hAnsiTheme="majorBidi" w:cstheme="majorBidi"/>
              <w:sz w:val="24"/>
              <w:szCs w:val="24"/>
            </w:rPr>
            <w:fldChar w:fldCharType="separate"/>
          </w:r>
          <w:r w:rsidRPr="003275FC">
            <w:rPr>
              <w:rFonts w:asciiTheme="majorBidi" w:hAnsiTheme="majorBidi" w:cstheme="majorBidi"/>
              <w:noProof/>
              <w:sz w:val="24"/>
              <w:szCs w:val="24"/>
            </w:rPr>
            <w:t>(Vaismoradi, Turunen, &amp; Bondas, 2013)</w:t>
          </w:r>
          <w:r w:rsidRPr="00C932DC">
            <w:rPr>
              <w:rFonts w:asciiTheme="majorBidi" w:hAnsiTheme="majorBidi" w:cstheme="majorBidi"/>
              <w:sz w:val="24"/>
              <w:szCs w:val="24"/>
            </w:rPr>
            <w:fldChar w:fldCharType="end"/>
          </w:r>
        </w:sdtContent>
      </w:sdt>
      <w:r w:rsidRPr="00C932DC">
        <w:rPr>
          <w:rFonts w:asciiTheme="majorBidi" w:hAnsiTheme="majorBidi" w:cstheme="majorBidi"/>
          <w:sz w:val="24"/>
          <w:szCs w:val="24"/>
        </w:rPr>
        <w:t xml:space="preserve">. </w:t>
      </w:r>
      <w:r>
        <w:rPr>
          <w:rFonts w:asciiTheme="majorBidi" w:hAnsiTheme="majorBidi" w:cstheme="majorBidi"/>
          <w:sz w:val="24"/>
          <w:szCs w:val="24"/>
        </w:rPr>
        <w:t>Certain key phrases and sentences were pre-identified to sort the emerged topics into categories and link them to other categories</w:t>
      </w:r>
      <w:sdt>
        <w:sdtPr>
          <w:rPr>
            <w:rFonts w:asciiTheme="majorBidi" w:hAnsiTheme="majorBidi" w:cstheme="majorBidi"/>
            <w:sz w:val="24"/>
            <w:szCs w:val="24"/>
          </w:rPr>
          <w:id w:val="-181347723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Xia20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(Xiao, Cooke, Xu, &amp; Bian, 2020)</w:t>
          </w:r>
          <w:r>
            <w:rPr>
              <w:rFonts w:asciiTheme="majorBidi" w:hAnsiTheme="majorBidi" w:cstheme="majorBidi"/>
              <w:sz w:val="24"/>
              <w:szCs w:val="24"/>
            </w:rPr>
            <w:fldChar w:fldCharType="end"/>
          </w:r>
        </w:sdtContent>
      </w:sdt>
      <w:r>
        <w:rPr>
          <w:rFonts w:asciiTheme="majorBidi" w:hAnsiTheme="majorBidi" w:cstheme="majorBidi"/>
          <w:sz w:val="24"/>
          <w:szCs w:val="24"/>
        </w:rPr>
        <w:t>. Some of these pre-determined phrases include impact of CSR, CSR and stakeholders, and perception of CSR. The upcoming section will provide further details on the most discussed topics in the finally selected articles.</w:t>
      </w:r>
    </w:p>
    <w:p w14:paraId="63559810" w14:textId="77777777" w:rsidR="0061549D" w:rsidRDefault="0061549D" w:rsidP="0061549D">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3.2 Results   </w:t>
      </w:r>
    </w:p>
    <w:p w14:paraId="65B78F41" w14:textId="77777777" w:rsidR="0061549D" w:rsidRDefault="0061549D" w:rsidP="0061549D">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3.2.1 Descriptive Results </w:t>
      </w:r>
    </w:p>
    <w:p w14:paraId="4DFF8A9A" w14:textId="77777777" w:rsidR="0061549D" w:rsidRDefault="0061549D" w:rsidP="0061549D">
      <w:pPr>
        <w:spacing w:after="0" w:line="480" w:lineRule="auto"/>
        <w:ind w:firstLine="720"/>
        <w:textAlignment w:val="baseline"/>
        <w:rPr>
          <w:rFonts w:asciiTheme="majorBidi" w:eastAsia="Times New Roman" w:hAnsiTheme="majorBidi" w:cstheme="majorBidi"/>
          <w:lang w:eastAsia="en-GB"/>
        </w:rPr>
      </w:pPr>
      <w:r w:rsidRPr="00C228D3">
        <w:rPr>
          <w:rFonts w:asciiTheme="majorBidi" w:hAnsiTheme="majorBidi" w:cstheme="majorBidi"/>
          <w:sz w:val="24"/>
          <w:szCs w:val="24"/>
        </w:rPr>
        <w:t xml:space="preserve">The descriptive analysis of the results revealed that a considerable number of the final studies </w:t>
      </w:r>
      <w:r>
        <w:rPr>
          <w:rFonts w:asciiTheme="majorBidi" w:hAnsiTheme="majorBidi" w:cstheme="majorBidi"/>
          <w:sz w:val="24"/>
          <w:szCs w:val="24"/>
        </w:rPr>
        <w:t>report</w:t>
      </w:r>
      <w:r w:rsidRPr="00C228D3">
        <w:rPr>
          <w:rFonts w:asciiTheme="majorBidi" w:hAnsiTheme="majorBidi" w:cstheme="majorBidi"/>
          <w:sz w:val="24"/>
          <w:szCs w:val="24"/>
        </w:rPr>
        <w:t xml:space="preserve"> that CSR is </w:t>
      </w:r>
      <w:r>
        <w:rPr>
          <w:rFonts w:asciiTheme="majorBidi" w:hAnsiTheme="majorBidi" w:cstheme="majorBidi"/>
          <w:sz w:val="24"/>
          <w:szCs w:val="24"/>
        </w:rPr>
        <w:t>under-researched</w:t>
      </w:r>
      <w:r w:rsidRPr="00C228D3">
        <w:rPr>
          <w:rFonts w:asciiTheme="majorBidi" w:hAnsiTheme="majorBidi" w:cstheme="majorBidi"/>
          <w:sz w:val="24"/>
          <w:szCs w:val="24"/>
        </w:rPr>
        <w:t xml:space="preserve"> in developing nations especially in the Middle East (n = 1</w:t>
      </w:r>
      <w:r>
        <w:rPr>
          <w:rFonts w:asciiTheme="majorBidi" w:hAnsiTheme="majorBidi" w:cstheme="majorBidi"/>
          <w:sz w:val="24"/>
          <w:szCs w:val="24"/>
        </w:rPr>
        <w:t>4</w:t>
      </w:r>
      <w:r w:rsidRPr="00C228D3">
        <w:rPr>
          <w:rFonts w:asciiTheme="majorBidi" w:hAnsiTheme="majorBidi" w:cstheme="majorBidi"/>
          <w:sz w:val="24"/>
          <w:szCs w:val="24"/>
        </w:rPr>
        <w:t xml:space="preserve">). </w:t>
      </w:r>
      <w:r>
        <w:rPr>
          <w:rFonts w:asciiTheme="majorBidi" w:hAnsiTheme="majorBidi" w:cstheme="majorBidi"/>
          <w:sz w:val="24"/>
          <w:szCs w:val="24"/>
        </w:rPr>
        <w:t xml:space="preserve">Some of the countries that were studied in these final articles were UAE, Bahrain, Jordan, Saudi Arabia, Lebanon, etc. (n=26) and some studies focused on Egypt specifically (n=15). </w:t>
      </w:r>
      <w:r w:rsidRPr="00C228D3">
        <w:rPr>
          <w:rFonts w:asciiTheme="majorBidi" w:hAnsiTheme="majorBidi" w:cstheme="majorBidi"/>
          <w:sz w:val="24"/>
          <w:szCs w:val="24"/>
        </w:rPr>
        <w:t xml:space="preserve"> Few studies focus on the CSR report publishing and disclosure habits (n= </w:t>
      </w:r>
      <w:r>
        <w:rPr>
          <w:rFonts w:asciiTheme="majorBidi" w:hAnsiTheme="majorBidi" w:cstheme="majorBidi"/>
          <w:sz w:val="24"/>
          <w:szCs w:val="24"/>
        </w:rPr>
        <w:t>6</w:t>
      </w:r>
      <w:r w:rsidRPr="00C228D3">
        <w:rPr>
          <w:rFonts w:asciiTheme="majorBidi" w:hAnsiTheme="majorBidi" w:cstheme="majorBidi"/>
          <w:sz w:val="24"/>
          <w:szCs w:val="24"/>
        </w:rPr>
        <w:t xml:space="preserve">) and other studies examine CSR from an Islamic perspective (n=4). </w:t>
      </w:r>
      <w:r>
        <w:rPr>
          <w:rFonts w:asciiTheme="majorBidi" w:hAnsiTheme="majorBidi" w:cstheme="majorBidi"/>
          <w:sz w:val="24"/>
          <w:szCs w:val="24"/>
        </w:rPr>
        <w:t xml:space="preserve">Many of the final included studies present findings on the impact of CSR (n=10) and the perception of different types of stakeholders on CSR (n= 11). Most importantly, even though only few studies consider CSR communication as a main topic of study (n=3), a bigger number of studies refer to the phrase “CSR communication” (n= 12) but it is not the main topic of study. However, some of these studies’ main topic is CSR communication (n=3), but they mainly referred to internal CSR communication specifically. Also, the phrase “CSR perception” was mentioned in some studies (n = 14). </w:t>
      </w:r>
      <w:r w:rsidRPr="00893280">
        <w:rPr>
          <w:rFonts w:asciiTheme="majorBidi" w:hAnsiTheme="majorBidi" w:cstheme="majorBidi"/>
          <w:sz w:val="24"/>
          <w:szCs w:val="24"/>
        </w:rPr>
        <w:t xml:space="preserve">The final list of studies was published in a variety of different journals such as </w:t>
      </w:r>
      <w:r w:rsidRPr="00893280">
        <w:rPr>
          <w:rFonts w:asciiTheme="majorBidi" w:eastAsia="Times New Roman" w:hAnsiTheme="majorBidi" w:cstheme="majorBidi"/>
          <w:sz w:val="24"/>
          <w:szCs w:val="24"/>
          <w:lang w:eastAsia="en-GB"/>
        </w:rPr>
        <w:t>Journal of Marketing Communications, International Journal of Islamic and Middle Eastern Finance and Management, Public Relations Review, Journal of International Consumer Marketing, etc.</w:t>
      </w:r>
      <w:r>
        <w:rPr>
          <w:rFonts w:asciiTheme="majorBidi" w:eastAsia="Times New Roman" w:hAnsiTheme="majorBidi" w:cstheme="majorBidi"/>
          <w:lang w:eastAsia="en-GB"/>
        </w:rPr>
        <w:t xml:space="preserve"> </w:t>
      </w:r>
    </w:p>
    <w:p w14:paraId="5F75158D" w14:textId="77777777" w:rsidR="0061549D" w:rsidRDefault="0061549D" w:rsidP="0061549D">
      <w:pPr>
        <w:rPr>
          <w:rFonts w:asciiTheme="majorBidi" w:hAnsiTheme="majorBidi" w:cstheme="majorBidi"/>
          <w:b/>
          <w:bCs/>
          <w:sz w:val="24"/>
          <w:szCs w:val="24"/>
        </w:rPr>
      </w:pPr>
      <w:r>
        <w:rPr>
          <w:rFonts w:asciiTheme="majorBidi" w:hAnsiTheme="majorBidi" w:cstheme="majorBidi"/>
          <w:b/>
          <w:bCs/>
          <w:sz w:val="24"/>
          <w:szCs w:val="24"/>
        </w:rPr>
        <w:t xml:space="preserve">3.2.2 </w:t>
      </w:r>
      <w:r w:rsidRPr="00264256">
        <w:rPr>
          <w:rFonts w:asciiTheme="majorBidi" w:hAnsiTheme="majorBidi" w:cstheme="majorBidi"/>
          <w:b/>
          <w:bCs/>
          <w:sz w:val="24"/>
          <w:szCs w:val="24"/>
        </w:rPr>
        <w:t xml:space="preserve">CSR in </w:t>
      </w:r>
      <w:r>
        <w:rPr>
          <w:rFonts w:asciiTheme="majorBidi" w:hAnsiTheme="majorBidi" w:cstheme="majorBidi"/>
          <w:b/>
          <w:bCs/>
          <w:sz w:val="24"/>
          <w:szCs w:val="24"/>
        </w:rPr>
        <w:t>the Middle East</w:t>
      </w:r>
    </w:p>
    <w:p w14:paraId="29C8B9BC" w14:textId="77777777" w:rsidR="0061549D" w:rsidRPr="0079517E" w:rsidRDefault="0061549D" w:rsidP="0061549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Evidently, CSR in general is under-researched in the Middle East and in developing countries. Based on this systematic review, there is a dearth of research on CSR practices and communication in developing markets such as the Middle East </w:t>
      </w:r>
      <w:sdt>
        <w:sdtPr>
          <w:rPr>
            <w:rFonts w:asciiTheme="majorBidi" w:hAnsiTheme="majorBidi" w:cstheme="majorBidi"/>
            <w:sz w:val="24"/>
            <w:szCs w:val="24"/>
          </w:rPr>
          <w:id w:val="41752471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Aji20 \l 2057  \m Ala20 \m AlA18 \m Alf18 \m AlM19 \m Dia201 \m ElH21 \m Elh21 \m Nur20 \m Whi19</w:instrText>
          </w:r>
          <w:r>
            <w:rPr>
              <w:rFonts w:asciiTheme="majorBidi" w:hAnsiTheme="majorBidi" w:cstheme="majorBidi"/>
              <w:sz w:val="24"/>
              <w:szCs w:val="24"/>
            </w:rPr>
            <w:fldChar w:fldCharType="separate"/>
          </w:r>
          <w:r w:rsidRPr="003275FC">
            <w:rPr>
              <w:rFonts w:asciiTheme="majorBidi" w:hAnsiTheme="majorBidi" w:cstheme="majorBidi"/>
              <w:noProof/>
              <w:sz w:val="24"/>
              <w:szCs w:val="24"/>
            </w:rPr>
            <w:t>(Ajina, Roy, Nguyen, Japutra, &amp; Al-Hajla, 2020; Alawamleh &amp; Giacaman, 2020; Al-Abdin, Roy, &amp; Nicholson, 2018; Alfakhri, Nurunnabi, &amp; Alfakhri , 2018; Al Mubarak, Ben Hamed, &amp; Al Mubarak , 2019; Diab &amp; Metwally, 2020; El Haddad, Bachkirov, &amp; Grishina, 2021; Elhoushy &amp; Lanzini, 2021; Nurunnabi, Alfakhri, &amp; Alfakhri, 2020; White &amp; Alkandari,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Specifically, some researchers discuss the lack of research in Egypt </w:t>
      </w:r>
      <w:sdt>
        <w:sdtPr>
          <w:rPr>
            <w:rFonts w:asciiTheme="majorBidi" w:hAnsiTheme="majorBidi" w:cstheme="majorBidi"/>
            <w:sz w:val="24"/>
            <w:szCs w:val="24"/>
          </w:rPr>
          <w:id w:val="-214349539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Kha21 \l 2057  \m Sha22</w:instrText>
          </w:r>
          <w:r>
            <w:rPr>
              <w:rFonts w:asciiTheme="majorBidi" w:hAnsiTheme="majorBidi" w:cstheme="majorBidi"/>
              <w:sz w:val="24"/>
              <w:szCs w:val="24"/>
            </w:rPr>
            <w:fldChar w:fldCharType="separate"/>
          </w:r>
          <w:r w:rsidRPr="003275FC">
            <w:rPr>
              <w:rFonts w:asciiTheme="majorBidi" w:hAnsiTheme="majorBidi" w:cstheme="majorBidi"/>
              <w:noProof/>
              <w:sz w:val="24"/>
              <w:szCs w:val="24"/>
            </w:rPr>
            <w:t>(Khalil , Ismail, &amp; Ghalwash, 2021; Shamma,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CSR reporting, in general, in Europe and in the US is generally higher than countries in the Middle East such as Egypt </w:t>
      </w:r>
      <w:sdt>
        <w:sdtPr>
          <w:rPr>
            <w:rFonts w:asciiTheme="majorBidi" w:hAnsiTheme="majorBidi" w:cstheme="majorBidi"/>
            <w:sz w:val="24"/>
            <w:szCs w:val="24"/>
          </w:rPr>
          <w:id w:val="-736621246"/>
          <w:citation/>
        </w:sdtPr>
        <w:sdtContent>
          <w:r w:rsidRPr="00D438C5">
            <w:rPr>
              <w:rFonts w:asciiTheme="majorBidi" w:hAnsiTheme="majorBidi" w:cstheme="majorBidi"/>
              <w:sz w:val="24"/>
              <w:szCs w:val="24"/>
            </w:rPr>
            <w:fldChar w:fldCharType="begin"/>
          </w:r>
          <w:r w:rsidRPr="00D438C5">
            <w:rPr>
              <w:rFonts w:asciiTheme="majorBidi" w:hAnsiTheme="majorBidi" w:cstheme="majorBidi"/>
              <w:sz w:val="24"/>
              <w:szCs w:val="24"/>
            </w:rPr>
            <w:instrText xml:space="preserve"> CITATION ElB181 \l 2057 </w:instrText>
          </w:r>
          <w:r w:rsidRPr="00D438C5">
            <w:rPr>
              <w:rFonts w:asciiTheme="majorBidi" w:hAnsiTheme="majorBidi" w:cstheme="majorBidi"/>
              <w:sz w:val="24"/>
              <w:szCs w:val="24"/>
            </w:rPr>
            <w:fldChar w:fldCharType="separate"/>
          </w:r>
          <w:r w:rsidRPr="003275FC">
            <w:rPr>
              <w:rFonts w:asciiTheme="majorBidi" w:hAnsiTheme="majorBidi" w:cstheme="majorBidi"/>
              <w:noProof/>
              <w:sz w:val="24"/>
              <w:szCs w:val="24"/>
            </w:rPr>
            <w:t>(El-Bassiouny &amp; El-Bassiouny, Diversity, corporate governance and CSR reporting : A comparative analysis between top-listed firms in Egypt, Germany and the USA, 2018)</w:t>
          </w:r>
          <w:r w:rsidRPr="00D438C5">
            <w:rPr>
              <w:rFonts w:asciiTheme="majorBidi" w:hAnsiTheme="majorBidi" w:cstheme="majorBidi"/>
              <w:sz w:val="24"/>
              <w:szCs w:val="24"/>
            </w:rPr>
            <w:fldChar w:fldCharType="end"/>
          </w:r>
        </w:sdtContent>
      </w:sdt>
      <w:r>
        <w:rPr>
          <w:rFonts w:asciiTheme="majorBidi" w:hAnsiTheme="majorBidi" w:cstheme="majorBidi"/>
          <w:sz w:val="24"/>
          <w:szCs w:val="24"/>
        </w:rPr>
        <w:t>.  This is because CSR is commonly practised more in developed countries than in developing countries</w:t>
      </w:r>
      <w:r w:rsidRPr="00D438C5">
        <w:rPr>
          <w:rFonts w:asciiTheme="majorBidi" w:hAnsiTheme="majorBidi" w:cstheme="majorBidi"/>
          <w:sz w:val="24"/>
          <w:szCs w:val="24"/>
        </w:rPr>
        <w:t xml:space="preserve"> </w:t>
      </w:r>
      <w:sdt>
        <w:sdtPr>
          <w:rPr>
            <w:rFonts w:asciiTheme="majorBidi" w:hAnsiTheme="majorBidi" w:cstheme="majorBidi"/>
            <w:sz w:val="24"/>
            <w:szCs w:val="24"/>
          </w:rPr>
          <w:id w:val="-339941826"/>
          <w:citation/>
        </w:sdtPr>
        <w:sdtContent>
          <w:r w:rsidRPr="00D438C5">
            <w:rPr>
              <w:rFonts w:asciiTheme="majorBidi" w:hAnsiTheme="majorBidi" w:cstheme="majorBidi"/>
              <w:sz w:val="24"/>
              <w:szCs w:val="24"/>
            </w:rPr>
            <w:fldChar w:fldCharType="begin"/>
          </w:r>
          <w:r>
            <w:rPr>
              <w:rFonts w:asciiTheme="majorBidi" w:hAnsiTheme="majorBidi" w:cstheme="majorBidi"/>
              <w:sz w:val="24"/>
              <w:szCs w:val="24"/>
            </w:rPr>
            <w:instrText xml:space="preserve">CITATION ElB181 \t  \l 2057 </w:instrText>
          </w:r>
          <w:r w:rsidRPr="00D438C5">
            <w:rPr>
              <w:rFonts w:asciiTheme="majorBidi" w:hAnsiTheme="majorBidi" w:cstheme="majorBidi"/>
              <w:sz w:val="24"/>
              <w:szCs w:val="24"/>
            </w:rPr>
            <w:fldChar w:fldCharType="separate"/>
          </w:r>
          <w:r w:rsidRPr="002758E0">
            <w:rPr>
              <w:rFonts w:asciiTheme="majorBidi" w:hAnsiTheme="majorBidi" w:cstheme="majorBidi"/>
              <w:noProof/>
              <w:sz w:val="24"/>
              <w:szCs w:val="24"/>
            </w:rPr>
            <w:t>(El-Bassiouny &amp; El-Bassiouny, 2018)</w:t>
          </w:r>
          <w:r w:rsidRPr="00D438C5">
            <w:rPr>
              <w:rFonts w:asciiTheme="majorBidi" w:hAnsiTheme="majorBidi" w:cstheme="majorBidi"/>
              <w:sz w:val="24"/>
              <w:szCs w:val="24"/>
            </w:rPr>
            <w:fldChar w:fldCharType="end"/>
          </w:r>
        </w:sdtContent>
      </w:sdt>
      <w:r>
        <w:rPr>
          <w:rFonts w:asciiTheme="majorBidi" w:hAnsiTheme="majorBidi" w:cstheme="majorBidi"/>
          <w:sz w:val="24"/>
          <w:szCs w:val="24"/>
        </w:rPr>
        <w:t xml:space="preserve">, so by default, there are more activities to report. In fact, it appears in literature that companies in Egypt might have a team for CSR practices </w:t>
      </w:r>
      <w:sdt>
        <w:sdtPr>
          <w:rPr>
            <w:rFonts w:asciiTheme="majorBidi" w:eastAsia="Times New Roman" w:hAnsiTheme="majorBidi" w:cstheme="majorBidi"/>
            <w:sz w:val="24"/>
            <w:szCs w:val="24"/>
            <w:lang w:eastAsia="en-GB"/>
          </w:rPr>
          <w:id w:val="493848186"/>
          <w:citation/>
        </w:sdtPr>
        <w:sdtContent>
          <w:r w:rsidRPr="00A714E1">
            <w:rPr>
              <w:rFonts w:asciiTheme="majorBidi" w:eastAsia="Times New Roman" w:hAnsiTheme="majorBidi" w:cstheme="majorBidi"/>
              <w:sz w:val="24"/>
              <w:szCs w:val="24"/>
              <w:lang w:eastAsia="en-GB"/>
            </w:rPr>
            <w:fldChar w:fldCharType="begin"/>
          </w:r>
          <w:r w:rsidRPr="00A714E1">
            <w:rPr>
              <w:rFonts w:asciiTheme="majorBidi" w:eastAsia="Times New Roman" w:hAnsiTheme="majorBidi" w:cstheme="majorBidi"/>
              <w:sz w:val="24"/>
              <w:szCs w:val="24"/>
              <w:lang w:eastAsia="en-GB"/>
            </w:rPr>
            <w:instrText xml:space="preserve"> CITATION Osm21 \l 2057 </w:instrText>
          </w:r>
          <w:r w:rsidRPr="00A714E1">
            <w:rPr>
              <w:rFonts w:asciiTheme="majorBidi" w:eastAsia="Times New Roman" w:hAnsiTheme="majorBidi" w:cstheme="majorBidi"/>
              <w:sz w:val="24"/>
              <w:szCs w:val="24"/>
              <w:lang w:eastAsia="en-GB"/>
            </w:rPr>
            <w:fldChar w:fldCharType="separate"/>
          </w:r>
          <w:r w:rsidRPr="00A714E1">
            <w:rPr>
              <w:rFonts w:asciiTheme="majorBidi" w:eastAsia="Times New Roman" w:hAnsiTheme="majorBidi" w:cstheme="majorBidi"/>
              <w:noProof/>
              <w:sz w:val="24"/>
              <w:szCs w:val="24"/>
              <w:lang w:eastAsia="en-GB"/>
            </w:rPr>
            <w:t>(Osman, et al., 2021)</w:t>
          </w:r>
          <w:r w:rsidRPr="00A714E1">
            <w:rPr>
              <w:rFonts w:asciiTheme="majorBidi" w:eastAsia="Times New Roman" w:hAnsiTheme="majorBidi" w:cstheme="majorBidi"/>
              <w:sz w:val="24"/>
              <w:szCs w:val="24"/>
              <w:lang w:eastAsia="en-GB"/>
            </w:rPr>
            <w:fldChar w:fldCharType="end"/>
          </w:r>
        </w:sdtContent>
      </w:sdt>
      <w:r>
        <w:rPr>
          <w:rFonts w:asciiTheme="majorBidi" w:hAnsiTheme="majorBidi" w:cstheme="majorBidi"/>
          <w:sz w:val="24"/>
          <w:szCs w:val="24"/>
        </w:rPr>
        <w:t xml:space="preserve"> but, </w:t>
      </w:r>
      <w:r w:rsidRPr="00E60DA5">
        <w:rPr>
          <w:rFonts w:asciiTheme="majorBidi" w:hAnsiTheme="majorBidi" w:cstheme="majorBidi"/>
          <w:sz w:val="24"/>
          <w:szCs w:val="24"/>
        </w:rPr>
        <w:t>they lack the skill of choosing the right CSR campaign</w:t>
      </w:r>
      <w:r w:rsidRPr="00E60DA5">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202088743"/>
          <w:citation/>
        </w:sdtPr>
        <w:sdtContent>
          <w:r w:rsidRPr="00E60DA5">
            <w:rPr>
              <w:rFonts w:asciiTheme="majorBidi" w:eastAsia="Times New Roman" w:hAnsiTheme="majorBidi" w:cstheme="majorBidi"/>
              <w:sz w:val="24"/>
              <w:szCs w:val="24"/>
              <w:lang w:eastAsia="en-GB"/>
            </w:rPr>
            <w:fldChar w:fldCharType="begin"/>
          </w:r>
          <w:r w:rsidRPr="00E60DA5">
            <w:rPr>
              <w:rFonts w:asciiTheme="majorBidi" w:eastAsia="Times New Roman" w:hAnsiTheme="majorBidi" w:cstheme="majorBidi"/>
              <w:sz w:val="24"/>
              <w:szCs w:val="24"/>
              <w:lang w:eastAsia="en-GB"/>
            </w:rPr>
            <w:instrText xml:space="preserve"> CITATION Abd19 \l 2057 </w:instrText>
          </w:r>
          <w:r w:rsidRPr="00E60DA5">
            <w:rPr>
              <w:rFonts w:asciiTheme="majorBidi" w:eastAsia="Times New Roman" w:hAnsiTheme="majorBidi" w:cstheme="majorBidi"/>
              <w:sz w:val="24"/>
              <w:szCs w:val="24"/>
              <w:lang w:eastAsia="en-GB"/>
            </w:rPr>
            <w:fldChar w:fldCharType="separate"/>
          </w:r>
          <w:r w:rsidRPr="00E60DA5">
            <w:rPr>
              <w:rFonts w:asciiTheme="majorBidi" w:eastAsia="Times New Roman" w:hAnsiTheme="majorBidi" w:cstheme="majorBidi"/>
              <w:noProof/>
              <w:sz w:val="24"/>
              <w:szCs w:val="24"/>
              <w:lang w:eastAsia="en-GB"/>
            </w:rPr>
            <w:t>(Abdelhalim &amp; Gamal Eldin , 2019)</w:t>
          </w:r>
          <w:r w:rsidRPr="00E60DA5">
            <w:rPr>
              <w:rFonts w:asciiTheme="majorBidi" w:eastAsia="Times New Roman" w:hAnsiTheme="majorBidi" w:cstheme="majorBidi"/>
              <w:sz w:val="24"/>
              <w:szCs w:val="24"/>
              <w:lang w:eastAsia="en-GB"/>
            </w:rPr>
            <w:fldChar w:fldCharType="end"/>
          </w:r>
        </w:sdtContent>
      </w:sdt>
      <w:r w:rsidRPr="00E60DA5">
        <w:rPr>
          <w:rFonts w:asciiTheme="majorBidi" w:hAnsiTheme="majorBidi" w:cstheme="majorBidi"/>
          <w:sz w:val="24"/>
          <w:szCs w:val="24"/>
        </w:rPr>
        <w:t>.</w:t>
      </w:r>
      <w:r>
        <w:rPr>
          <w:rFonts w:asciiTheme="majorBidi" w:hAnsiTheme="majorBidi" w:cstheme="majorBidi"/>
          <w:sz w:val="24"/>
          <w:szCs w:val="24"/>
        </w:rPr>
        <w:t xml:space="preserve"> Additionally, it is evident in literature that CSR receives poor legal control from the government in </w:t>
      </w:r>
      <w:r w:rsidRPr="0059503E">
        <w:rPr>
          <w:rFonts w:asciiTheme="majorBidi" w:hAnsiTheme="majorBidi" w:cstheme="majorBidi"/>
          <w:sz w:val="24"/>
          <w:szCs w:val="24"/>
        </w:rPr>
        <w:t>Egypt</w:t>
      </w:r>
      <w:r w:rsidRPr="0059503E">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737737322"/>
          <w:citation/>
        </w:sdtPr>
        <w:sdtContent>
          <w:r w:rsidRPr="0059503E">
            <w:rPr>
              <w:rFonts w:asciiTheme="majorBidi" w:eastAsia="Times New Roman" w:hAnsiTheme="majorBidi" w:cstheme="majorBidi"/>
              <w:sz w:val="24"/>
              <w:szCs w:val="24"/>
              <w:lang w:eastAsia="en-GB"/>
            </w:rPr>
            <w:fldChar w:fldCharType="begin"/>
          </w:r>
          <w:r w:rsidRPr="0059503E">
            <w:rPr>
              <w:rFonts w:asciiTheme="majorBidi" w:eastAsia="Times New Roman" w:hAnsiTheme="majorBidi" w:cstheme="majorBidi"/>
              <w:sz w:val="24"/>
              <w:szCs w:val="24"/>
              <w:lang w:eastAsia="en-GB"/>
            </w:rPr>
            <w:instrText xml:space="preserve"> CITATION Abd19 \l 2057 </w:instrText>
          </w:r>
          <w:r w:rsidRPr="0059503E">
            <w:rPr>
              <w:rFonts w:asciiTheme="majorBidi" w:eastAsia="Times New Roman" w:hAnsiTheme="majorBidi" w:cstheme="majorBidi"/>
              <w:sz w:val="24"/>
              <w:szCs w:val="24"/>
              <w:lang w:eastAsia="en-GB"/>
            </w:rPr>
            <w:fldChar w:fldCharType="separate"/>
          </w:r>
          <w:r w:rsidRPr="0059503E">
            <w:rPr>
              <w:rFonts w:asciiTheme="majorBidi" w:eastAsia="Times New Roman" w:hAnsiTheme="majorBidi" w:cstheme="majorBidi"/>
              <w:noProof/>
              <w:sz w:val="24"/>
              <w:szCs w:val="24"/>
              <w:lang w:eastAsia="en-GB"/>
            </w:rPr>
            <w:t>(Abdelhalim &amp; Gamal Eldin , 2019)</w:t>
          </w:r>
          <w:r w:rsidRPr="0059503E">
            <w:rPr>
              <w:rFonts w:asciiTheme="majorBidi" w:eastAsia="Times New Roman" w:hAnsiTheme="majorBidi" w:cstheme="majorBidi"/>
              <w:sz w:val="24"/>
              <w:szCs w:val="24"/>
              <w:lang w:eastAsia="en-GB"/>
            </w:rPr>
            <w:fldChar w:fldCharType="end"/>
          </w:r>
        </w:sdtContent>
      </w:sdt>
      <w:r w:rsidRPr="0059503E">
        <w:rPr>
          <w:rFonts w:asciiTheme="majorBidi" w:hAnsiTheme="majorBidi" w:cstheme="majorBidi"/>
          <w:sz w:val="24"/>
          <w:szCs w:val="24"/>
        </w:rPr>
        <w:t>.</w:t>
      </w:r>
      <w:r>
        <w:rPr>
          <w:rFonts w:asciiTheme="majorBidi" w:hAnsiTheme="majorBidi" w:cstheme="majorBidi"/>
          <w:sz w:val="24"/>
          <w:szCs w:val="24"/>
        </w:rPr>
        <w:t xml:space="preserve"> However, it appears that economic or political instability occurring in Egypt did not reduce the level of CSR disclosure among companies; however, it slightly increased after the major political events that took place in 2011 </w:t>
      </w:r>
      <w:sdt>
        <w:sdtPr>
          <w:rPr>
            <w:rFonts w:asciiTheme="majorBidi" w:hAnsiTheme="majorBidi" w:cstheme="majorBidi"/>
            <w:sz w:val="24"/>
            <w:szCs w:val="24"/>
          </w:rPr>
          <w:id w:val="-330216244"/>
          <w:citation/>
        </w:sdtPr>
        <w:sdtContent>
          <w:r w:rsidRPr="004362C2">
            <w:rPr>
              <w:rFonts w:asciiTheme="majorBidi" w:hAnsiTheme="majorBidi" w:cstheme="majorBidi"/>
              <w:sz w:val="24"/>
              <w:szCs w:val="24"/>
            </w:rPr>
            <w:fldChar w:fldCharType="begin"/>
          </w:r>
          <w:r>
            <w:rPr>
              <w:rFonts w:asciiTheme="majorBidi" w:hAnsiTheme="majorBidi" w:cstheme="majorBidi"/>
              <w:sz w:val="24"/>
              <w:szCs w:val="24"/>
            </w:rPr>
            <w:instrText xml:space="preserve">CITATION ElB19 \t  \l 2057 </w:instrText>
          </w:r>
          <w:r w:rsidRPr="004362C2">
            <w:rPr>
              <w:rFonts w:asciiTheme="majorBidi" w:hAnsiTheme="majorBidi" w:cstheme="majorBidi"/>
              <w:sz w:val="24"/>
              <w:szCs w:val="24"/>
            </w:rPr>
            <w:fldChar w:fldCharType="separate"/>
          </w:r>
          <w:r w:rsidRPr="004B2CB1">
            <w:rPr>
              <w:rFonts w:asciiTheme="majorBidi" w:hAnsiTheme="majorBidi" w:cstheme="majorBidi"/>
              <w:noProof/>
              <w:sz w:val="24"/>
              <w:szCs w:val="24"/>
            </w:rPr>
            <w:t>(El-Bassiouny &amp; Letmathe , 2019)</w:t>
          </w:r>
          <w:r w:rsidRPr="004362C2">
            <w:rPr>
              <w:rFonts w:asciiTheme="majorBidi" w:hAnsiTheme="majorBidi" w:cstheme="majorBidi"/>
              <w:sz w:val="24"/>
              <w:szCs w:val="24"/>
            </w:rPr>
            <w:fldChar w:fldCharType="end"/>
          </w:r>
        </w:sdtContent>
      </w:sdt>
      <w:r>
        <w:rPr>
          <w:rFonts w:asciiTheme="majorBidi" w:hAnsiTheme="majorBidi" w:cstheme="majorBidi"/>
          <w:sz w:val="24"/>
          <w:szCs w:val="24"/>
        </w:rPr>
        <w:t>. S</w:t>
      </w:r>
      <w:r w:rsidRPr="007B5CC9">
        <w:rPr>
          <w:rFonts w:asciiTheme="majorBidi" w:hAnsiTheme="majorBidi" w:cstheme="majorBidi"/>
          <w:sz w:val="24"/>
          <w:szCs w:val="24"/>
        </w:rPr>
        <w:t>ustainability and integrated reporting (IR) in the ME</w:t>
      </w:r>
      <w:r>
        <w:rPr>
          <w:rFonts w:asciiTheme="majorBidi" w:hAnsiTheme="majorBidi" w:cstheme="majorBidi"/>
          <w:sz w:val="24"/>
          <w:szCs w:val="24"/>
        </w:rPr>
        <w:t xml:space="preserve"> have</w:t>
      </w:r>
      <w:r w:rsidRPr="007B5CC9">
        <w:rPr>
          <w:rFonts w:asciiTheme="majorBidi" w:hAnsiTheme="majorBidi" w:cstheme="majorBidi"/>
          <w:sz w:val="24"/>
          <w:szCs w:val="24"/>
        </w:rPr>
        <w:t xml:space="preserve"> </w:t>
      </w:r>
      <w:r>
        <w:rPr>
          <w:rFonts w:asciiTheme="majorBidi" w:hAnsiTheme="majorBidi" w:cstheme="majorBidi"/>
          <w:sz w:val="24"/>
          <w:szCs w:val="24"/>
        </w:rPr>
        <w:t>started to recently appear in the Middle East and become</w:t>
      </w:r>
      <w:r w:rsidRPr="007B5CC9">
        <w:rPr>
          <w:rFonts w:asciiTheme="majorBidi" w:hAnsiTheme="majorBidi" w:cstheme="majorBidi"/>
          <w:sz w:val="24"/>
          <w:szCs w:val="24"/>
        </w:rPr>
        <w:t xml:space="preserve"> a significant contributor to developing a sustainability habitus in the regio</w:t>
      </w:r>
      <w:r>
        <w:rPr>
          <w:rFonts w:asciiTheme="majorBidi" w:hAnsiTheme="majorBidi" w:cstheme="majorBidi"/>
          <w:sz w:val="24"/>
          <w:szCs w:val="24"/>
        </w:rPr>
        <w:t xml:space="preserve">n </w:t>
      </w:r>
      <w:sdt>
        <w:sdtPr>
          <w:rPr>
            <w:rFonts w:asciiTheme="majorBidi" w:hAnsiTheme="majorBidi" w:cstheme="majorBidi"/>
            <w:sz w:val="24"/>
            <w:szCs w:val="24"/>
          </w:rPr>
          <w:id w:val="-1433966914"/>
          <w:citation/>
        </w:sdtPr>
        <w:sdtContent>
          <w:r w:rsidRPr="00F851D3">
            <w:rPr>
              <w:rFonts w:asciiTheme="majorBidi" w:hAnsiTheme="majorBidi" w:cstheme="majorBidi"/>
              <w:sz w:val="24"/>
              <w:szCs w:val="24"/>
            </w:rPr>
            <w:fldChar w:fldCharType="begin"/>
          </w:r>
          <w:r w:rsidRPr="00F851D3">
            <w:rPr>
              <w:rFonts w:asciiTheme="majorBidi" w:hAnsiTheme="majorBidi" w:cstheme="majorBidi"/>
              <w:sz w:val="24"/>
              <w:szCs w:val="24"/>
            </w:rPr>
            <w:instrText xml:space="preserve"> CITATION Alb20 \l 2057 </w:instrText>
          </w:r>
          <w:r w:rsidRPr="00F851D3">
            <w:rPr>
              <w:rFonts w:asciiTheme="majorBidi" w:hAnsiTheme="majorBidi" w:cstheme="majorBidi"/>
              <w:sz w:val="24"/>
              <w:szCs w:val="24"/>
            </w:rPr>
            <w:fldChar w:fldCharType="separate"/>
          </w:r>
          <w:r w:rsidRPr="003275FC">
            <w:rPr>
              <w:rFonts w:asciiTheme="majorBidi" w:hAnsiTheme="majorBidi" w:cstheme="majorBidi"/>
              <w:noProof/>
              <w:sz w:val="24"/>
              <w:szCs w:val="24"/>
            </w:rPr>
            <w:t>(Alberti-Alhtaybat, Alhatabat, &amp; Al-Htaybat, 2020)</w:t>
          </w:r>
          <w:r w:rsidRPr="00F851D3">
            <w:rPr>
              <w:rFonts w:asciiTheme="majorBidi" w:hAnsiTheme="majorBidi" w:cstheme="majorBidi"/>
              <w:sz w:val="24"/>
              <w:szCs w:val="24"/>
            </w:rPr>
            <w:fldChar w:fldCharType="end"/>
          </w:r>
        </w:sdtContent>
      </w:sdt>
      <w:r w:rsidRPr="00F851D3">
        <w:rPr>
          <w:rFonts w:asciiTheme="majorBidi" w:hAnsiTheme="majorBidi" w:cstheme="majorBidi"/>
          <w:sz w:val="24"/>
          <w:szCs w:val="24"/>
        </w:rPr>
        <w:t>.</w:t>
      </w:r>
      <w:r>
        <w:rPr>
          <w:rFonts w:asciiTheme="majorBidi" w:hAnsiTheme="majorBidi" w:cstheme="majorBidi"/>
          <w:sz w:val="24"/>
          <w:szCs w:val="24"/>
        </w:rPr>
        <w:t xml:space="preserve"> </w:t>
      </w:r>
      <w:r w:rsidRPr="00041ACA">
        <w:rPr>
          <w:rFonts w:asciiTheme="majorBidi" w:hAnsiTheme="majorBidi" w:cstheme="majorBidi"/>
          <w:sz w:val="24"/>
          <w:szCs w:val="24"/>
        </w:rPr>
        <w:t xml:space="preserve">To clarify, sustainability is the broader concept of balancing economic, social, and environmental factors while making sure that the firm continues to operate and expand in the long run </w:t>
      </w:r>
      <w:sdt>
        <w:sdtPr>
          <w:rPr>
            <w:rFonts w:asciiTheme="majorBidi" w:hAnsiTheme="majorBidi" w:cstheme="majorBidi"/>
            <w:sz w:val="24"/>
            <w:szCs w:val="24"/>
          </w:rPr>
          <w:id w:val="-217516736"/>
          <w:citation/>
        </w:sdtPr>
        <w:sdtContent>
          <w:r w:rsidRPr="00021D5B">
            <w:rPr>
              <w:rFonts w:asciiTheme="majorBidi" w:hAnsiTheme="majorBidi" w:cstheme="majorBidi"/>
              <w:sz w:val="24"/>
              <w:szCs w:val="24"/>
            </w:rPr>
            <w:fldChar w:fldCharType="begin"/>
          </w:r>
          <w:r w:rsidRPr="00021D5B">
            <w:rPr>
              <w:rFonts w:asciiTheme="majorBidi" w:hAnsiTheme="majorBidi" w:cstheme="majorBidi"/>
              <w:sz w:val="24"/>
              <w:szCs w:val="24"/>
            </w:rPr>
            <w:instrText xml:space="preserve"> CITATION Wos23 \l 2057 </w:instrText>
          </w:r>
          <w:r w:rsidRPr="00021D5B">
            <w:rPr>
              <w:rFonts w:asciiTheme="majorBidi" w:hAnsiTheme="majorBidi" w:cstheme="majorBidi"/>
              <w:sz w:val="24"/>
              <w:szCs w:val="24"/>
            </w:rPr>
            <w:fldChar w:fldCharType="separate"/>
          </w:r>
          <w:r w:rsidRPr="00021D5B">
            <w:rPr>
              <w:rFonts w:asciiTheme="majorBidi" w:hAnsiTheme="majorBidi" w:cstheme="majorBidi"/>
              <w:noProof/>
              <w:sz w:val="24"/>
              <w:szCs w:val="24"/>
            </w:rPr>
            <w:t>(Wosińska, 2023)</w:t>
          </w:r>
          <w:r w:rsidRPr="00021D5B">
            <w:rPr>
              <w:rFonts w:asciiTheme="majorBidi" w:hAnsiTheme="majorBidi" w:cstheme="majorBidi"/>
              <w:sz w:val="24"/>
              <w:szCs w:val="24"/>
            </w:rPr>
            <w:fldChar w:fldCharType="end"/>
          </w:r>
        </w:sdtContent>
      </w:sdt>
      <w:r w:rsidRPr="00021D5B">
        <w:rPr>
          <w:rFonts w:asciiTheme="majorBidi" w:hAnsiTheme="majorBidi" w:cstheme="majorBidi"/>
          <w:sz w:val="24"/>
          <w:szCs w:val="24"/>
        </w:rPr>
        <w:t>.</w:t>
      </w:r>
      <w:r>
        <w:rPr>
          <w:rFonts w:asciiTheme="majorBidi" w:hAnsiTheme="majorBidi" w:cstheme="majorBidi"/>
          <w:sz w:val="24"/>
          <w:szCs w:val="24"/>
        </w:rPr>
        <w:t xml:space="preserve"> Yet, there is an evident need for the practice of CSR in general in the Middle East. D</w:t>
      </w:r>
      <w:r w:rsidRPr="00D00245">
        <w:rPr>
          <w:rFonts w:asciiTheme="majorBidi" w:hAnsiTheme="majorBidi" w:cstheme="majorBidi"/>
          <w:sz w:val="24"/>
          <w:szCs w:val="24"/>
        </w:rPr>
        <w:t xml:space="preserve">espite having abundant natural resources, favourable geographic conditions, human capital, agricultural exports, most of the </w:t>
      </w:r>
      <w:r>
        <w:rPr>
          <w:rFonts w:asciiTheme="majorBidi" w:hAnsiTheme="majorBidi" w:cstheme="majorBidi"/>
          <w:sz w:val="24"/>
          <w:szCs w:val="24"/>
        </w:rPr>
        <w:t>Middle East’s</w:t>
      </w:r>
      <w:r w:rsidRPr="00D00245">
        <w:rPr>
          <w:rFonts w:asciiTheme="majorBidi" w:hAnsiTheme="majorBidi" w:cstheme="majorBidi"/>
          <w:sz w:val="24"/>
          <w:szCs w:val="24"/>
        </w:rPr>
        <w:t xml:space="preserve"> population still lives in poverty, and many regions lack access to even the most basic amenities and services, like electricity, clean water, sanitation, and healthcare</w:t>
      </w:r>
      <w:r w:rsidRPr="00F851D3">
        <w:rPr>
          <w:rFonts w:asciiTheme="majorBidi" w:hAnsiTheme="majorBidi" w:cstheme="majorBidi"/>
          <w:sz w:val="24"/>
          <w:szCs w:val="24"/>
        </w:rPr>
        <w:t xml:space="preserve"> </w:t>
      </w:r>
      <w:sdt>
        <w:sdtPr>
          <w:rPr>
            <w:rFonts w:asciiTheme="majorBidi" w:hAnsiTheme="majorBidi" w:cstheme="majorBidi"/>
            <w:sz w:val="24"/>
            <w:szCs w:val="24"/>
          </w:rPr>
          <w:id w:val="-1625611163"/>
          <w:citation/>
        </w:sdtPr>
        <w:sdtContent>
          <w:r w:rsidRPr="00F851D3">
            <w:rPr>
              <w:rFonts w:asciiTheme="majorBidi" w:hAnsiTheme="majorBidi" w:cstheme="majorBidi"/>
              <w:sz w:val="24"/>
              <w:szCs w:val="24"/>
            </w:rPr>
            <w:fldChar w:fldCharType="begin"/>
          </w:r>
          <w:r w:rsidRPr="00F851D3">
            <w:rPr>
              <w:rFonts w:asciiTheme="majorBidi" w:hAnsiTheme="majorBidi" w:cstheme="majorBidi"/>
              <w:sz w:val="24"/>
              <w:szCs w:val="24"/>
            </w:rPr>
            <w:instrText xml:space="preserve"> CITATION Oth19 \l 2057 </w:instrText>
          </w:r>
          <w:r w:rsidRPr="00F851D3">
            <w:rPr>
              <w:rFonts w:asciiTheme="majorBidi" w:hAnsiTheme="majorBidi" w:cstheme="majorBidi"/>
              <w:sz w:val="24"/>
              <w:szCs w:val="24"/>
            </w:rPr>
            <w:fldChar w:fldCharType="separate"/>
          </w:r>
          <w:r w:rsidRPr="003275FC">
            <w:rPr>
              <w:rFonts w:asciiTheme="majorBidi" w:hAnsiTheme="majorBidi" w:cstheme="majorBidi"/>
              <w:noProof/>
              <w:sz w:val="24"/>
              <w:szCs w:val="24"/>
            </w:rPr>
            <w:t>(Othman &amp; Hafez, 2019)</w:t>
          </w:r>
          <w:r w:rsidRPr="00F851D3">
            <w:rPr>
              <w:rFonts w:asciiTheme="majorBidi" w:hAnsiTheme="majorBidi" w:cstheme="majorBidi"/>
              <w:sz w:val="24"/>
              <w:szCs w:val="24"/>
            </w:rPr>
            <w:fldChar w:fldCharType="end"/>
          </w:r>
        </w:sdtContent>
      </w:sdt>
      <w:r w:rsidRPr="00D00245">
        <w:rPr>
          <w:rFonts w:asciiTheme="majorBidi" w:hAnsiTheme="majorBidi" w:cstheme="majorBidi"/>
          <w:sz w:val="24"/>
          <w:szCs w:val="24"/>
        </w:rPr>
        <w:t>.</w:t>
      </w:r>
      <w:r>
        <w:rPr>
          <w:rFonts w:asciiTheme="majorBidi" w:hAnsiTheme="majorBidi" w:cstheme="majorBidi"/>
          <w:sz w:val="24"/>
          <w:szCs w:val="24"/>
        </w:rPr>
        <w:t xml:space="preserve"> Especially when the region is experiencing serious social and environmental issues, which compels firms and governments to take responsible actions to increase social campaigns and environmental initiatives</w:t>
      </w:r>
      <w:sdt>
        <w:sdtPr>
          <w:rPr>
            <w:rFonts w:asciiTheme="majorBidi" w:hAnsiTheme="majorBidi" w:cstheme="majorBidi"/>
            <w:sz w:val="24"/>
            <w:szCs w:val="24"/>
          </w:rPr>
          <w:id w:val="39864119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Ala20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(Alawamleh &amp; Giacaman, 2020)</w:t>
          </w:r>
          <w:r>
            <w:rPr>
              <w:rFonts w:asciiTheme="majorBidi" w:hAnsiTheme="majorBidi" w:cstheme="majorBidi"/>
              <w:sz w:val="24"/>
              <w:szCs w:val="24"/>
            </w:rPr>
            <w:fldChar w:fldCharType="end"/>
          </w:r>
        </w:sdtContent>
      </w:sdt>
      <w:r>
        <w:rPr>
          <w:rFonts w:asciiTheme="majorBidi" w:hAnsiTheme="majorBidi" w:cstheme="majorBidi"/>
          <w:sz w:val="24"/>
          <w:szCs w:val="24"/>
        </w:rPr>
        <w:t>.</w:t>
      </w:r>
    </w:p>
    <w:p w14:paraId="148A3046" w14:textId="77777777" w:rsidR="0061549D" w:rsidRPr="00306A53" w:rsidRDefault="0061549D" w:rsidP="0061549D">
      <w:pPr>
        <w:spacing w:after="0" w:line="480" w:lineRule="auto"/>
        <w:ind w:firstLine="720"/>
        <w:rPr>
          <w:rFonts w:asciiTheme="majorBidi" w:hAnsiTheme="majorBidi" w:cstheme="majorBidi"/>
          <w:sz w:val="24"/>
          <w:szCs w:val="24"/>
        </w:rPr>
      </w:pPr>
      <w:r w:rsidRPr="00F851D3">
        <w:rPr>
          <w:rFonts w:asciiTheme="majorBidi" w:hAnsiTheme="majorBidi" w:cstheme="majorBidi"/>
          <w:sz w:val="24"/>
          <w:szCs w:val="24"/>
        </w:rPr>
        <w:t xml:space="preserve">While the majority of CSR research is conducted in </w:t>
      </w:r>
      <w:r>
        <w:rPr>
          <w:rFonts w:asciiTheme="majorBidi" w:hAnsiTheme="majorBidi" w:cstheme="majorBidi"/>
          <w:sz w:val="24"/>
          <w:szCs w:val="24"/>
        </w:rPr>
        <w:t>w</w:t>
      </w:r>
      <w:r w:rsidRPr="00F851D3">
        <w:rPr>
          <w:rFonts w:asciiTheme="majorBidi" w:hAnsiTheme="majorBidi" w:cstheme="majorBidi"/>
          <w:sz w:val="24"/>
          <w:szCs w:val="24"/>
        </w:rPr>
        <w:t xml:space="preserve">estern countries, scant scholarly attention was given in eastern counties such as Jordan </w:t>
      </w:r>
      <w:sdt>
        <w:sdtPr>
          <w:rPr>
            <w:rFonts w:asciiTheme="majorBidi" w:hAnsiTheme="majorBidi" w:cstheme="majorBidi"/>
            <w:sz w:val="24"/>
            <w:szCs w:val="24"/>
          </w:rPr>
          <w:id w:val="-2003577470"/>
          <w:citation/>
        </w:sdtPr>
        <w:sdtContent>
          <w:r w:rsidRPr="00F851D3">
            <w:rPr>
              <w:rFonts w:asciiTheme="majorBidi" w:hAnsiTheme="majorBidi" w:cstheme="majorBidi"/>
              <w:sz w:val="24"/>
              <w:szCs w:val="24"/>
            </w:rPr>
            <w:fldChar w:fldCharType="begin"/>
          </w:r>
          <w:r w:rsidRPr="00F851D3">
            <w:rPr>
              <w:rFonts w:asciiTheme="majorBidi" w:hAnsiTheme="majorBidi" w:cstheme="majorBidi"/>
              <w:sz w:val="24"/>
              <w:szCs w:val="24"/>
            </w:rPr>
            <w:instrText xml:space="preserve"> CITATION Abu211 \l 2057 </w:instrText>
          </w:r>
          <w:r w:rsidRPr="00F851D3">
            <w:rPr>
              <w:rFonts w:asciiTheme="majorBidi" w:hAnsiTheme="majorBidi" w:cstheme="majorBidi"/>
              <w:sz w:val="24"/>
              <w:szCs w:val="24"/>
            </w:rPr>
            <w:fldChar w:fldCharType="separate"/>
          </w:r>
          <w:r w:rsidRPr="003275FC">
            <w:rPr>
              <w:rFonts w:asciiTheme="majorBidi" w:hAnsiTheme="majorBidi" w:cstheme="majorBidi"/>
              <w:noProof/>
              <w:sz w:val="24"/>
              <w:szCs w:val="24"/>
            </w:rPr>
            <w:t>(Abu Zayyad, et al., 2021)</w:t>
          </w:r>
          <w:r w:rsidRPr="00F851D3">
            <w:rPr>
              <w:rFonts w:asciiTheme="majorBidi" w:hAnsiTheme="majorBidi" w:cstheme="majorBidi"/>
              <w:sz w:val="24"/>
              <w:szCs w:val="24"/>
            </w:rPr>
            <w:fldChar w:fldCharType="end"/>
          </w:r>
        </w:sdtContent>
      </w:sdt>
      <w:r w:rsidRPr="00F851D3">
        <w:rPr>
          <w:rFonts w:asciiTheme="majorBidi" w:hAnsiTheme="majorBidi" w:cstheme="majorBidi"/>
          <w:sz w:val="24"/>
          <w:szCs w:val="24"/>
        </w:rPr>
        <w:t>. Yet, it is essential to examine CSR in the Middle East region</w:t>
      </w:r>
      <w:r>
        <w:rPr>
          <w:rFonts w:asciiTheme="majorBidi" w:hAnsiTheme="majorBidi" w:cstheme="majorBidi"/>
          <w:sz w:val="24"/>
          <w:szCs w:val="24"/>
        </w:rPr>
        <w:t xml:space="preserve"> specifically</w:t>
      </w:r>
      <w:r w:rsidRPr="00F851D3">
        <w:rPr>
          <w:rFonts w:asciiTheme="majorBidi" w:hAnsiTheme="majorBidi" w:cstheme="majorBidi"/>
          <w:sz w:val="24"/>
          <w:szCs w:val="24"/>
        </w:rPr>
        <w:t xml:space="preserve"> because of </w:t>
      </w:r>
      <w:r>
        <w:rPr>
          <w:rFonts w:asciiTheme="majorBidi" w:hAnsiTheme="majorBidi" w:cstheme="majorBidi"/>
          <w:sz w:val="24"/>
          <w:szCs w:val="24"/>
        </w:rPr>
        <w:t xml:space="preserve">the </w:t>
      </w:r>
      <w:r w:rsidRPr="00F851D3">
        <w:rPr>
          <w:rFonts w:asciiTheme="majorBidi" w:hAnsiTheme="majorBidi" w:cstheme="majorBidi"/>
          <w:sz w:val="24"/>
          <w:szCs w:val="24"/>
        </w:rPr>
        <w:t xml:space="preserve">wide cultural variations </w:t>
      </w:r>
      <w:r>
        <w:rPr>
          <w:rFonts w:asciiTheme="majorBidi" w:hAnsiTheme="majorBidi" w:cstheme="majorBidi"/>
          <w:sz w:val="24"/>
          <w:szCs w:val="24"/>
        </w:rPr>
        <w:t>because</w:t>
      </w:r>
      <w:r w:rsidRPr="00F851D3">
        <w:rPr>
          <w:rFonts w:asciiTheme="majorBidi" w:hAnsiTheme="majorBidi" w:cstheme="majorBidi"/>
          <w:sz w:val="24"/>
          <w:szCs w:val="24"/>
        </w:rPr>
        <w:t xml:space="preserve">, in general, </w:t>
      </w:r>
      <w:bookmarkStart w:id="81" w:name="_Hlk152582153"/>
      <w:r w:rsidRPr="00041ACA">
        <w:rPr>
          <w:rFonts w:asciiTheme="majorBidi" w:hAnsiTheme="majorBidi" w:cstheme="majorBidi"/>
          <w:sz w:val="24"/>
          <w:szCs w:val="24"/>
        </w:rPr>
        <w:t xml:space="preserve">CSR strategies are not based on a one-size-fits-all approach </w:t>
      </w:r>
      <w:sdt>
        <w:sdtPr>
          <w:rPr>
            <w:rFonts w:asciiTheme="majorBidi" w:hAnsiTheme="majorBidi" w:cstheme="majorBidi"/>
            <w:sz w:val="24"/>
            <w:szCs w:val="24"/>
          </w:rPr>
          <w:id w:val="-1684973482"/>
          <w:citation/>
        </w:sdtPr>
        <w:sdtContent>
          <w:r w:rsidRPr="00041ACA">
            <w:rPr>
              <w:rFonts w:asciiTheme="majorBidi" w:hAnsiTheme="majorBidi" w:cstheme="majorBidi"/>
              <w:sz w:val="24"/>
              <w:szCs w:val="24"/>
            </w:rPr>
            <w:fldChar w:fldCharType="begin"/>
          </w:r>
          <w:r w:rsidRPr="00041ACA">
            <w:rPr>
              <w:rFonts w:asciiTheme="majorBidi" w:hAnsiTheme="majorBidi" w:cstheme="majorBidi"/>
              <w:sz w:val="24"/>
              <w:szCs w:val="24"/>
            </w:rPr>
            <w:instrText xml:space="preserve"> CITATION Dia201 \l 2057  \m Nur20</w:instrText>
          </w:r>
          <w:r w:rsidRPr="00041ACA">
            <w:rPr>
              <w:rFonts w:asciiTheme="majorBidi" w:hAnsiTheme="majorBidi" w:cstheme="majorBidi"/>
              <w:sz w:val="24"/>
              <w:szCs w:val="24"/>
            </w:rPr>
            <w:fldChar w:fldCharType="separate"/>
          </w:r>
          <w:r w:rsidRPr="00041ACA">
            <w:rPr>
              <w:rFonts w:asciiTheme="majorBidi" w:hAnsiTheme="majorBidi" w:cstheme="majorBidi"/>
              <w:noProof/>
              <w:sz w:val="24"/>
              <w:szCs w:val="24"/>
            </w:rPr>
            <w:t>(Diab &amp; Metwally, 2020; Nurunnabi, Alfakhri, &amp; Alfakhri, 2020)</w:t>
          </w:r>
          <w:r w:rsidRPr="00041ACA">
            <w:rPr>
              <w:rFonts w:asciiTheme="majorBidi" w:hAnsiTheme="majorBidi" w:cstheme="majorBidi"/>
              <w:sz w:val="24"/>
              <w:szCs w:val="24"/>
            </w:rPr>
            <w:fldChar w:fldCharType="end"/>
          </w:r>
        </w:sdtContent>
      </w:sdt>
      <w:r w:rsidRPr="00041ACA">
        <w:rPr>
          <w:rFonts w:asciiTheme="majorBidi" w:hAnsiTheme="majorBidi" w:cstheme="majorBidi"/>
          <w:sz w:val="24"/>
          <w:szCs w:val="24"/>
        </w:rPr>
        <w:t xml:space="preserve">. The </w:t>
      </w:r>
      <w:bookmarkEnd w:id="81"/>
      <w:r w:rsidRPr="00041ACA">
        <w:rPr>
          <w:rFonts w:asciiTheme="majorBidi" w:hAnsiTheme="majorBidi" w:cstheme="majorBidi"/>
          <w:sz w:val="24"/>
          <w:szCs w:val="24"/>
        </w:rPr>
        <w:t>philanthropic and community-based traditions established in the Arab world have a profound impact on CSR activities implemented in the MENA region</w:t>
      </w:r>
      <w:sdt>
        <w:sdtPr>
          <w:rPr>
            <w:rFonts w:asciiTheme="majorBidi" w:hAnsiTheme="majorBidi" w:cstheme="majorBidi"/>
            <w:sz w:val="24"/>
            <w:szCs w:val="24"/>
          </w:rPr>
          <w:id w:val="-1397974832"/>
          <w:citation/>
        </w:sdtPr>
        <w:sdtContent>
          <w:r w:rsidRPr="00041ACA">
            <w:rPr>
              <w:rFonts w:asciiTheme="majorBidi" w:hAnsiTheme="majorBidi" w:cstheme="majorBidi"/>
              <w:sz w:val="24"/>
              <w:szCs w:val="24"/>
            </w:rPr>
            <w:fldChar w:fldCharType="begin"/>
          </w:r>
          <w:r w:rsidRPr="00041ACA">
            <w:rPr>
              <w:rFonts w:asciiTheme="majorBidi" w:hAnsiTheme="majorBidi" w:cstheme="majorBidi"/>
              <w:sz w:val="24"/>
              <w:szCs w:val="24"/>
            </w:rPr>
            <w:instrText xml:space="preserve"> CITATION AlA18 \l 2057 </w:instrText>
          </w:r>
          <w:r w:rsidRPr="00041ACA">
            <w:rPr>
              <w:rFonts w:asciiTheme="majorBidi" w:hAnsiTheme="majorBidi" w:cstheme="majorBidi"/>
              <w:sz w:val="24"/>
              <w:szCs w:val="24"/>
            </w:rPr>
            <w:fldChar w:fldCharType="separate"/>
          </w:r>
          <w:r w:rsidRPr="00041ACA">
            <w:rPr>
              <w:rFonts w:asciiTheme="majorBidi" w:hAnsiTheme="majorBidi" w:cstheme="majorBidi"/>
              <w:noProof/>
              <w:sz w:val="24"/>
              <w:szCs w:val="24"/>
            </w:rPr>
            <w:t xml:space="preserve"> (Al-Abdin, Roy, &amp; Nicholson, 2018)</w:t>
          </w:r>
          <w:r w:rsidRPr="00041ACA">
            <w:rPr>
              <w:rFonts w:asciiTheme="majorBidi" w:hAnsiTheme="majorBidi" w:cstheme="majorBidi"/>
              <w:sz w:val="24"/>
              <w:szCs w:val="24"/>
            </w:rPr>
            <w:fldChar w:fldCharType="end"/>
          </w:r>
        </w:sdtContent>
      </w:sdt>
      <w:r w:rsidRPr="00041ACA">
        <w:rPr>
          <w:rFonts w:asciiTheme="majorBidi" w:hAnsiTheme="majorBidi" w:cstheme="majorBidi"/>
          <w:sz w:val="24"/>
          <w:szCs w:val="24"/>
        </w:rPr>
        <w:t>. Another study suggests that further research on CSR performance in African countries should include socio-political and socioeconomic development as contextual variables in the research design</w:t>
      </w:r>
      <w:bookmarkStart w:id="82" w:name="_Hlk121231353"/>
      <w:r w:rsidRPr="00041ACA">
        <w:rPr>
          <w:rFonts w:asciiTheme="majorBidi" w:hAnsiTheme="majorBidi" w:cstheme="majorBidi"/>
          <w:sz w:val="24"/>
          <w:szCs w:val="24"/>
        </w:rPr>
        <w:t xml:space="preserve"> </w:t>
      </w:r>
      <w:sdt>
        <w:sdtPr>
          <w:rPr>
            <w:rFonts w:asciiTheme="majorBidi" w:hAnsiTheme="majorBidi" w:cstheme="majorBidi"/>
            <w:sz w:val="24"/>
            <w:szCs w:val="24"/>
          </w:rPr>
          <w:id w:val="357714065"/>
          <w:citation/>
        </w:sdtPr>
        <w:sdtContent>
          <w:r w:rsidRPr="00041ACA">
            <w:rPr>
              <w:rFonts w:asciiTheme="majorBidi" w:hAnsiTheme="majorBidi" w:cstheme="majorBidi"/>
              <w:sz w:val="24"/>
              <w:szCs w:val="24"/>
            </w:rPr>
            <w:fldChar w:fldCharType="begin"/>
          </w:r>
          <w:r w:rsidRPr="00041ACA">
            <w:rPr>
              <w:rFonts w:asciiTheme="majorBidi" w:hAnsiTheme="majorBidi" w:cstheme="majorBidi"/>
              <w:sz w:val="24"/>
              <w:szCs w:val="24"/>
            </w:rPr>
            <w:instrText xml:space="preserve"> CITATION Daa19 \l 2057  \m Ine20</w:instrText>
          </w:r>
          <w:r w:rsidRPr="00041ACA">
            <w:rPr>
              <w:rFonts w:asciiTheme="majorBidi" w:hAnsiTheme="majorBidi" w:cstheme="majorBidi"/>
              <w:sz w:val="24"/>
              <w:szCs w:val="24"/>
            </w:rPr>
            <w:fldChar w:fldCharType="separate"/>
          </w:r>
          <w:r w:rsidRPr="00041ACA">
            <w:rPr>
              <w:rFonts w:asciiTheme="majorBidi" w:hAnsiTheme="majorBidi" w:cstheme="majorBidi"/>
              <w:noProof/>
              <w:sz w:val="24"/>
              <w:szCs w:val="24"/>
            </w:rPr>
            <w:t>(Daas &amp; Alaraj, 2019; Inekwe, Hashim, &amp; Yahya , 2020)</w:t>
          </w:r>
          <w:r w:rsidRPr="00041ACA">
            <w:rPr>
              <w:rFonts w:asciiTheme="majorBidi" w:hAnsiTheme="majorBidi" w:cstheme="majorBidi"/>
              <w:sz w:val="24"/>
              <w:szCs w:val="24"/>
            </w:rPr>
            <w:fldChar w:fldCharType="end"/>
          </w:r>
        </w:sdtContent>
      </w:sdt>
      <w:bookmarkEnd w:id="82"/>
      <w:r w:rsidRPr="00041ACA">
        <w:rPr>
          <w:rFonts w:asciiTheme="majorBidi" w:hAnsiTheme="majorBidi" w:cstheme="majorBidi"/>
          <w:sz w:val="24"/>
          <w:szCs w:val="24"/>
        </w:rPr>
        <w:t xml:space="preserve">. In trusting cultures like UAE, people tend to have high expectations from businesses when it comes to social philanthropic duties </w:t>
      </w:r>
      <w:sdt>
        <w:sdtPr>
          <w:rPr>
            <w:rFonts w:asciiTheme="majorBidi" w:hAnsiTheme="majorBidi" w:cstheme="majorBidi"/>
            <w:sz w:val="24"/>
            <w:szCs w:val="24"/>
          </w:rPr>
          <w:id w:val="972945152"/>
          <w:citation/>
        </w:sdtPr>
        <w:sdtContent>
          <w:r w:rsidRPr="00041ACA">
            <w:rPr>
              <w:rFonts w:asciiTheme="majorBidi" w:hAnsiTheme="majorBidi" w:cstheme="majorBidi"/>
              <w:sz w:val="24"/>
              <w:szCs w:val="24"/>
            </w:rPr>
            <w:fldChar w:fldCharType="begin"/>
          </w:r>
          <w:r w:rsidRPr="00041ACA">
            <w:rPr>
              <w:rFonts w:asciiTheme="majorBidi" w:hAnsiTheme="majorBidi" w:cstheme="majorBidi"/>
              <w:sz w:val="24"/>
              <w:szCs w:val="24"/>
            </w:rPr>
            <w:instrText xml:space="preserve"> CITATION Rim181 \l 2057 </w:instrText>
          </w:r>
          <w:r w:rsidRPr="00041ACA">
            <w:rPr>
              <w:rFonts w:asciiTheme="majorBidi" w:hAnsiTheme="majorBidi" w:cstheme="majorBidi"/>
              <w:sz w:val="24"/>
              <w:szCs w:val="24"/>
            </w:rPr>
            <w:fldChar w:fldCharType="separate"/>
          </w:r>
          <w:r w:rsidRPr="00041ACA">
            <w:rPr>
              <w:rFonts w:asciiTheme="majorBidi" w:hAnsiTheme="majorBidi" w:cstheme="majorBidi"/>
              <w:noProof/>
              <w:sz w:val="24"/>
              <w:szCs w:val="24"/>
            </w:rPr>
            <w:t>(Rim &amp; Dong, 2018)</w:t>
          </w:r>
          <w:r w:rsidRPr="00041ACA">
            <w:rPr>
              <w:rFonts w:asciiTheme="majorBidi" w:hAnsiTheme="majorBidi" w:cstheme="majorBidi"/>
              <w:sz w:val="24"/>
              <w:szCs w:val="24"/>
            </w:rPr>
            <w:fldChar w:fldCharType="end"/>
          </w:r>
        </w:sdtContent>
      </w:sdt>
      <w:r w:rsidRPr="00041ACA">
        <w:rPr>
          <w:rFonts w:asciiTheme="majorBidi" w:hAnsiTheme="majorBidi" w:cstheme="majorBidi"/>
          <w:sz w:val="24"/>
          <w:szCs w:val="24"/>
        </w:rPr>
        <w:t>.</w:t>
      </w:r>
      <w:r>
        <w:rPr>
          <w:rFonts w:asciiTheme="majorBidi" w:hAnsiTheme="majorBidi" w:cstheme="majorBidi"/>
          <w:sz w:val="24"/>
          <w:szCs w:val="24"/>
        </w:rPr>
        <w:t xml:space="preserve"> Hence, even in one region like the Middle East, there are some variation and different needs from societies within countries in the same region. </w:t>
      </w:r>
    </w:p>
    <w:p w14:paraId="146AB224" w14:textId="77777777" w:rsidR="0061549D" w:rsidRDefault="0061549D" w:rsidP="0061549D">
      <w:pPr>
        <w:rPr>
          <w:rFonts w:asciiTheme="majorBidi" w:hAnsiTheme="majorBidi" w:cstheme="majorBidi"/>
          <w:b/>
          <w:bCs/>
          <w:sz w:val="24"/>
          <w:szCs w:val="24"/>
        </w:rPr>
      </w:pPr>
      <w:r>
        <w:rPr>
          <w:rFonts w:asciiTheme="majorBidi" w:hAnsiTheme="majorBidi" w:cstheme="majorBidi"/>
          <w:b/>
          <w:bCs/>
          <w:sz w:val="24"/>
          <w:szCs w:val="24"/>
        </w:rPr>
        <w:t xml:space="preserve">3.2.3 </w:t>
      </w:r>
      <w:r w:rsidRPr="00264256">
        <w:rPr>
          <w:rFonts w:asciiTheme="majorBidi" w:hAnsiTheme="majorBidi" w:cstheme="majorBidi"/>
          <w:b/>
          <w:bCs/>
          <w:sz w:val="24"/>
          <w:szCs w:val="24"/>
        </w:rPr>
        <w:t>CSR and Religious Values</w:t>
      </w:r>
    </w:p>
    <w:p w14:paraId="5C40D835" w14:textId="77777777" w:rsidR="0061549D" w:rsidRDefault="0061549D" w:rsidP="0061549D">
      <w:pPr>
        <w:spacing w:line="480" w:lineRule="auto"/>
        <w:ind w:firstLine="720"/>
        <w:rPr>
          <w:rFonts w:asciiTheme="majorBidi" w:hAnsiTheme="majorBidi" w:cstheme="majorBidi"/>
          <w:sz w:val="24"/>
          <w:szCs w:val="24"/>
        </w:rPr>
      </w:pPr>
      <w:r w:rsidRPr="006D5463">
        <w:rPr>
          <w:rFonts w:asciiTheme="majorBidi" w:hAnsiTheme="majorBidi" w:cstheme="majorBidi"/>
          <w:sz w:val="24"/>
          <w:szCs w:val="24"/>
        </w:rPr>
        <w:t xml:space="preserve">Given that this review is focused on the Middle East, some studies presented grounds for a connection between CSR strategies and the influence of Islamic religion </w:t>
      </w:r>
      <w:sdt>
        <w:sdtPr>
          <w:rPr>
            <w:rFonts w:asciiTheme="majorBidi" w:hAnsiTheme="majorBidi" w:cstheme="majorBidi"/>
            <w:sz w:val="24"/>
            <w:szCs w:val="24"/>
          </w:rPr>
          <w:id w:val="-77856395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Abu21 \l 2057  \m Alf18 \m Jam201</w:instrText>
          </w:r>
          <w:r>
            <w:rPr>
              <w:rFonts w:asciiTheme="majorBidi" w:hAnsiTheme="majorBidi" w:cstheme="majorBidi"/>
              <w:sz w:val="24"/>
              <w:szCs w:val="24"/>
            </w:rPr>
            <w:fldChar w:fldCharType="separate"/>
          </w:r>
          <w:r w:rsidRPr="003275FC">
            <w:rPr>
              <w:rFonts w:asciiTheme="majorBidi" w:hAnsiTheme="majorBidi" w:cstheme="majorBidi"/>
              <w:noProof/>
              <w:sz w:val="24"/>
              <w:szCs w:val="24"/>
            </w:rPr>
            <w:t>(Abu Al-Haija, Kolsi, &amp; Kolsi, 2021; Alfakhri, Nurunnabi, &amp; Alfakhri , 2018; Jamali, Tanusree, Samara, &amp; Zoghbi, 2020)</w:t>
          </w:r>
          <w:r>
            <w:rPr>
              <w:rFonts w:asciiTheme="majorBidi" w:hAnsiTheme="majorBidi" w:cstheme="majorBidi"/>
              <w:sz w:val="24"/>
              <w:szCs w:val="24"/>
            </w:rPr>
            <w:fldChar w:fldCharType="end"/>
          </w:r>
        </w:sdtContent>
      </w:sdt>
      <w:r w:rsidRPr="006D5463">
        <w:rPr>
          <w:rFonts w:asciiTheme="majorBidi" w:hAnsiTheme="majorBidi" w:cstheme="majorBidi"/>
          <w:sz w:val="24"/>
          <w:szCs w:val="24"/>
        </w:rPr>
        <w:t>. For instance, one study found that there are similarities and convergences between CSR Standards and Islamic pillars in a sense that the way people should behave towards the societies is deeply rooted in the Islamic religion</w:t>
      </w:r>
      <w:sdt>
        <w:sdtPr>
          <w:rPr>
            <w:rFonts w:asciiTheme="majorBidi" w:hAnsiTheme="majorBidi" w:cstheme="majorBidi"/>
            <w:sz w:val="24"/>
            <w:szCs w:val="24"/>
          </w:rPr>
          <w:id w:val="538165313"/>
          <w:citation/>
        </w:sdtPr>
        <w:sdtContent>
          <w:r w:rsidRPr="006D5463">
            <w:rPr>
              <w:rFonts w:asciiTheme="majorBidi" w:hAnsiTheme="majorBidi" w:cstheme="majorBidi"/>
              <w:sz w:val="24"/>
              <w:szCs w:val="24"/>
            </w:rPr>
            <w:fldChar w:fldCharType="begin"/>
          </w:r>
          <w:r w:rsidRPr="006D5463">
            <w:rPr>
              <w:rFonts w:asciiTheme="majorBidi" w:hAnsiTheme="majorBidi" w:cstheme="majorBidi"/>
              <w:sz w:val="24"/>
              <w:szCs w:val="24"/>
            </w:rPr>
            <w:instrText xml:space="preserve"> CITATION Abu21 \l 2057 </w:instrText>
          </w:r>
          <w:r w:rsidRPr="006D5463">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(Abu Al-Haija, Kolsi, &amp; Kolsi, 2021)</w:t>
          </w:r>
          <w:r w:rsidRPr="006D5463">
            <w:rPr>
              <w:rFonts w:asciiTheme="majorBidi" w:hAnsiTheme="majorBidi" w:cstheme="majorBidi"/>
              <w:sz w:val="24"/>
              <w:szCs w:val="24"/>
            </w:rPr>
            <w:fldChar w:fldCharType="end"/>
          </w:r>
        </w:sdtContent>
      </w:sdt>
      <w:r w:rsidRPr="006D5463">
        <w:rPr>
          <w:rFonts w:asciiTheme="majorBidi" w:hAnsiTheme="majorBidi" w:cstheme="majorBidi"/>
          <w:sz w:val="24"/>
          <w:szCs w:val="24"/>
        </w:rPr>
        <w:t xml:space="preserve">. Another study claims that examining CSR in the Muslim markets will enrich and contribute to academic literature because </w:t>
      </w:r>
      <w:r w:rsidRPr="00021D5B">
        <w:rPr>
          <w:rFonts w:asciiTheme="majorBidi" w:hAnsiTheme="majorBidi" w:cstheme="majorBidi"/>
          <w:sz w:val="24"/>
          <w:szCs w:val="24"/>
        </w:rPr>
        <w:t xml:space="preserve">Muslim markets </w:t>
      </w:r>
      <w:r w:rsidRPr="006D5463">
        <w:rPr>
          <w:rFonts w:asciiTheme="majorBidi" w:hAnsiTheme="majorBidi" w:cstheme="majorBidi"/>
          <w:sz w:val="24"/>
          <w:szCs w:val="24"/>
        </w:rPr>
        <w:t xml:space="preserve">make up approximately 20% of the world’s population and majority of the population residing in more than 50 countries are Muslims </w:t>
      </w:r>
      <w:sdt>
        <w:sdtPr>
          <w:rPr>
            <w:rFonts w:asciiTheme="majorBidi" w:hAnsiTheme="majorBidi" w:cstheme="majorBidi"/>
            <w:sz w:val="24"/>
            <w:szCs w:val="24"/>
          </w:rPr>
          <w:id w:val="-494802672"/>
          <w:citation/>
        </w:sdtPr>
        <w:sdtContent>
          <w:r w:rsidRPr="006D5463">
            <w:rPr>
              <w:rFonts w:asciiTheme="majorBidi" w:hAnsiTheme="majorBidi" w:cstheme="majorBidi"/>
              <w:sz w:val="24"/>
              <w:szCs w:val="24"/>
            </w:rPr>
            <w:fldChar w:fldCharType="begin"/>
          </w:r>
          <w:r w:rsidRPr="006D5463">
            <w:rPr>
              <w:rFonts w:asciiTheme="majorBidi" w:hAnsiTheme="majorBidi" w:cstheme="majorBidi"/>
              <w:sz w:val="24"/>
              <w:szCs w:val="24"/>
            </w:rPr>
            <w:instrText xml:space="preserve"> CITATION Alf18 \l 2057 </w:instrText>
          </w:r>
          <w:r w:rsidRPr="006D5463">
            <w:rPr>
              <w:rFonts w:asciiTheme="majorBidi" w:hAnsiTheme="majorBidi" w:cstheme="majorBidi"/>
              <w:sz w:val="24"/>
              <w:szCs w:val="24"/>
            </w:rPr>
            <w:fldChar w:fldCharType="separate"/>
          </w:r>
          <w:r w:rsidRPr="003275FC">
            <w:rPr>
              <w:rFonts w:asciiTheme="majorBidi" w:hAnsiTheme="majorBidi" w:cstheme="majorBidi"/>
              <w:noProof/>
              <w:sz w:val="24"/>
              <w:szCs w:val="24"/>
            </w:rPr>
            <w:t>(Alfakhri, Nurunnabi, &amp; Alfakhri , 2018)</w:t>
          </w:r>
          <w:r w:rsidRPr="006D5463">
            <w:rPr>
              <w:rFonts w:asciiTheme="majorBidi" w:hAnsiTheme="majorBidi" w:cstheme="majorBidi"/>
              <w:sz w:val="24"/>
              <w:szCs w:val="24"/>
            </w:rPr>
            <w:fldChar w:fldCharType="end"/>
          </w:r>
        </w:sdtContent>
      </w:sdt>
      <w:r w:rsidRPr="006D5463">
        <w:rPr>
          <w:rFonts w:asciiTheme="majorBidi" w:hAnsiTheme="majorBidi" w:cstheme="majorBidi"/>
          <w:sz w:val="24"/>
          <w:szCs w:val="24"/>
        </w:rPr>
        <w:t xml:space="preserve">. However, one study conducting a systematic literature review revealed that the impact of global trade reduced the influence of religion on CSR in Middle Eastern countries such as UAE and Saudi Arabia </w:t>
      </w:r>
      <w:sdt>
        <w:sdtPr>
          <w:rPr>
            <w:rFonts w:asciiTheme="majorBidi" w:eastAsia="Times New Roman" w:hAnsiTheme="majorBidi" w:cstheme="majorBidi"/>
            <w:sz w:val="24"/>
            <w:szCs w:val="24"/>
            <w:lang w:eastAsia="en-GB"/>
          </w:rPr>
          <w:id w:val="2009335738"/>
          <w:citation/>
        </w:sdtPr>
        <w:sdtContent>
          <w:r w:rsidRPr="006D5463">
            <w:rPr>
              <w:rFonts w:asciiTheme="majorBidi" w:eastAsia="Times New Roman" w:hAnsiTheme="majorBidi" w:cstheme="majorBidi"/>
              <w:sz w:val="24"/>
              <w:szCs w:val="24"/>
              <w:lang w:eastAsia="en-GB"/>
            </w:rPr>
            <w:fldChar w:fldCharType="begin"/>
          </w:r>
          <w:r w:rsidRPr="006D5463">
            <w:rPr>
              <w:rFonts w:asciiTheme="majorBidi" w:eastAsia="Times New Roman" w:hAnsiTheme="majorBidi" w:cstheme="majorBidi"/>
              <w:sz w:val="24"/>
              <w:szCs w:val="24"/>
              <w:lang w:eastAsia="en-GB"/>
            </w:rPr>
            <w:instrText xml:space="preserve"> CITATION Jam201 \l 2057 </w:instrText>
          </w:r>
          <w:r w:rsidRPr="006D5463">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(Jamali, Tanusree, Samara, &amp; Zoghbi, 2020)</w:t>
          </w:r>
          <w:r w:rsidRPr="006D5463">
            <w:rPr>
              <w:rFonts w:asciiTheme="majorBidi" w:eastAsia="Times New Roman" w:hAnsiTheme="majorBidi" w:cstheme="majorBidi"/>
              <w:sz w:val="24"/>
              <w:szCs w:val="24"/>
              <w:lang w:eastAsia="en-GB"/>
            </w:rPr>
            <w:fldChar w:fldCharType="end"/>
          </w:r>
        </w:sdtContent>
      </w:sdt>
      <w:r w:rsidRPr="006D5463">
        <w:rPr>
          <w:rFonts w:asciiTheme="majorBidi" w:eastAsia="Times New Roman" w:hAnsiTheme="majorBidi" w:cstheme="majorBidi"/>
          <w:sz w:val="24"/>
          <w:szCs w:val="24"/>
          <w:lang w:eastAsia="en-GB"/>
        </w:rPr>
        <w:t>.</w:t>
      </w:r>
    </w:p>
    <w:p w14:paraId="3EB34DE2" w14:textId="77777777" w:rsidR="0061549D" w:rsidRPr="00264256" w:rsidRDefault="0061549D" w:rsidP="0061549D">
      <w:pPr>
        <w:rPr>
          <w:rFonts w:asciiTheme="majorBidi" w:hAnsiTheme="majorBidi" w:cstheme="majorBidi"/>
          <w:b/>
          <w:bCs/>
          <w:sz w:val="24"/>
          <w:szCs w:val="24"/>
        </w:rPr>
      </w:pPr>
      <w:r>
        <w:rPr>
          <w:rFonts w:asciiTheme="majorBidi" w:hAnsiTheme="majorBidi" w:cstheme="majorBidi"/>
          <w:b/>
          <w:bCs/>
          <w:sz w:val="24"/>
          <w:szCs w:val="24"/>
        </w:rPr>
        <w:t xml:space="preserve">3.2.4 </w:t>
      </w:r>
      <w:r w:rsidRPr="00264256">
        <w:rPr>
          <w:rFonts w:asciiTheme="majorBidi" w:hAnsiTheme="majorBidi" w:cstheme="majorBidi"/>
          <w:b/>
          <w:bCs/>
          <w:sz w:val="24"/>
          <w:szCs w:val="24"/>
        </w:rPr>
        <w:t>Impact of CSR</w:t>
      </w:r>
    </w:p>
    <w:p w14:paraId="7FBFAEC4" w14:textId="77777777" w:rsidR="0061549D" w:rsidRDefault="0061549D" w:rsidP="0061549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 Many of the studies included in the final list of this review confirm that there are imperative direct and indirect benefits of CSR. Some of these </w:t>
      </w:r>
      <w:r w:rsidRPr="00021D5B">
        <w:rPr>
          <w:rFonts w:asciiTheme="majorBidi" w:hAnsiTheme="majorBidi" w:cstheme="majorBidi"/>
          <w:sz w:val="24"/>
          <w:szCs w:val="24"/>
        </w:rPr>
        <w:t>direct benefits</w:t>
      </w:r>
      <w:r>
        <w:rPr>
          <w:rFonts w:asciiTheme="majorBidi" w:hAnsiTheme="majorBidi" w:cstheme="majorBidi"/>
          <w:sz w:val="24"/>
          <w:szCs w:val="24"/>
        </w:rPr>
        <w:t xml:space="preserve">, based on a study conducted on Jordanian firms (specifically banks), include gaining brand credibility, positive corporate reputation, </w:t>
      </w:r>
      <w:r w:rsidRPr="009660F3">
        <w:rPr>
          <w:rFonts w:asciiTheme="majorBidi" w:hAnsiTheme="majorBidi" w:cstheme="majorBidi"/>
          <w:sz w:val="24"/>
          <w:szCs w:val="24"/>
        </w:rPr>
        <w:t xml:space="preserve">positive word of mouth </w:t>
      </w:r>
      <w:r>
        <w:rPr>
          <w:rFonts w:asciiTheme="majorBidi" w:hAnsiTheme="majorBidi" w:cstheme="majorBidi"/>
          <w:sz w:val="24"/>
          <w:szCs w:val="24"/>
        </w:rPr>
        <w:t>and repeated purchases among the banks’ consumers</w:t>
      </w:r>
      <w:bookmarkStart w:id="83" w:name="_Hlk144301155"/>
      <w:sdt>
        <w:sdtPr>
          <w:rPr>
            <w:rFonts w:asciiTheme="majorBidi" w:hAnsiTheme="majorBidi" w:cstheme="majorBidi"/>
            <w:sz w:val="24"/>
            <w:szCs w:val="24"/>
          </w:rPr>
          <w:id w:val="-119660934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Abu211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(Abu Zayyad, et al., 2021)</w:t>
          </w:r>
          <w:r>
            <w:rPr>
              <w:rFonts w:asciiTheme="majorBidi" w:hAnsiTheme="majorBidi" w:cstheme="majorBidi"/>
              <w:sz w:val="24"/>
              <w:szCs w:val="24"/>
            </w:rPr>
            <w:fldChar w:fldCharType="end"/>
          </w:r>
        </w:sdtContent>
      </w:sdt>
      <w:bookmarkEnd w:id="83"/>
      <w:r>
        <w:rPr>
          <w:rFonts w:asciiTheme="majorBidi" w:hAnsiTheme="majorBidi" w:cstheme="majorBidi"/>
          <w:sz w:val="24"/>
          <w:szCs w:val="24"/>
        </w:rPr>
        <w:t xml:space="preserve">. Also, another study conducted on consumers in Palestine and Jordan revealed that CSR has a positive impact on consumer purchase behaviour </w:t>
      </w:r>
      <w:bookmarkStart w:id="84" w:name="_Hlk134019563"/>
      <w:sdt>
        <w:sdtPr>
          <w:rPr>
            <w:rFonts w:asciiTheme="majorBidi" w:hAnsiTheme="majorBidi" w:cstheme="majorBidi"/>
            <w:sz w:val="24"/>
            <w:szCs w:val="24"/>
          </w:rPr>
          <w:id w:val="-183174824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Ala20 \l 2057 </w:instrText>
          </w:r>
          <w:r>
            <w:rPr>
              <w:rFonts w:asciiTheme="majorBidi" w:hAnsiTheme="majorBidi" w:cstheme="majorBidi"/>
              <w:sz w:val="24"/>
              <w:szCs w:val="24"/>
            </w:rPr>
            <w:fldChar w:fldCharType="separate"/>
          </w:r>
          <w:r w:rsidRPr="003275FC">
            <w:rPr>
              <w:rFonts w:asciiTheme="majorBidi" w:hAnsiTheme="majorBidi" w:cstheme="majorBidi"/>
              <w:noProof/>
              <w:sz w:val="24"/>
              <w:szCs w:val="24"/>
            </w:rPr>
            <w:t>(Alawamleh &amp; Giacaman,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End w:id="84"/>
    </w:p>
    <w:p w14:paraId="77A082F8" w14:textId="77777777" w:rsidR="0061549D" w:rsidRDefault="0061549D" w:rsidP="0061549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On the other hand, it appears that </w:t>
      </w:r>
      <w:r w:rsidRPr="00F578C4">
        <w:rPr>
          <w:rFonts w:asciiTheme="majorBidi" w:hAnsiTheme="majorBidi" w:cstheme="majorBidi"/>
          <w:sz w:val="24"/>
          <w:szCs w:val="24"/>
        </w:rPr>
        <w:t>indirect effect</w:t>
      </w:r>
      <w:r>
        <w:rPr>
          <w:rFonts w:asciiTheme="majorBidi" w:hAnsiTheme="majorBidi" w:cstheme="majorBidi"/>
          <w:sz w:val="24"/>
          <w:szCs w:val="24"/>
        </w:rPr>
        <w:t>s</w:t>
      </w:r>
      <w:r w:rsidRPr="00F578C4">
        <w:rPr>
          <w:rFonts w:asciiTheme="majorBidi" w:hAnsiTheme="majorBidi" w:cstheme="majorBidi"/>
          <w:sz w:val="24"/>
          <w:szCs w:val="24"/>
        </w:rPr>
        <w:t xml:space="preserve"> indicate that a CSR approach has a significant </w:t>
      </w:r>
      <w:r w:rsidRPr="00E27067">
        <w:rPr>
          <w:rFonts w:asciiTheme="majorBidi" w:hAnsiTheme="majorBidi" w:cstheme="majorBidi"/>
          <w:sz w:val="24"/>
          <w:szCs w:val="24"/>
        </w:rPr>
        <w:t>beneficial impact on business success and corporate performance through customer loyalty</w:t>
      </w:r>
      <w:r w:rsidRPr="00E27067">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417556507"/>
          <w:citation/>
        </w:sdtPr>
        <w:sdtContent>
          <w:r w:rsidRPr="00E27067">
            <w:rPr>
              <w:rFonts w:asciiTheme="majorBidi" w:eastAsia="Times New Roman" w:hAnsiTheme="majorBidi" w:cstheme="majorBidi"/>
              <w:sz w:val="24"/>
              <w:szCs w:val="24"/>
              <w:lang w:eastAsia="en-GB"/>
            </w:rPr>
            <w:fldChar w:fldCharType="begin"/>
          </w:r>
          <w:r w:rsidRPr="00E27067">
            <w:rPr>
              <w:rFonts w:asciiTheme="majorBidi" w:eastAsia="Times New Roman" w:hAnsiTheme="majorBidi" w:cstheme="majorBidi"/>
              <w:sz w:val="24"/>
              <w:szCs w:val="24"/>
              <w:lang w:eastAsia="en-GB"/>
            </w:rPr>
            <w:instrText xml:space="preserve"> CITATION Sal222 \l 2057 </w:instrText>
          </w:r>
          <w:r w:rsidRPr="00E27067">
            <w:rPr>
              <w:rFonts w:asciiTheme="majorBidi" w:eastAsia="Times New Roman" w:hAnsiTheme="majorBidi" w:cstheme="majorBidi"/>
              <w:sz w:val="24"/>
              <w:szCs w:val="24"/>
              <w:lang w:eastAsia="en-GB"/>
            </w:rPr>
            <w:fldChar w:fldCharType="separate"/>
          </w:r>
          <w:r w:rsidRPr="00E27067">
            <w:rPr>
              <w:rFonts w:asciiTheme="majorBidi" w:eastAsia="Times New Roman" w:hAnsiTheme="majorBidi" w:cstheme="majorBidi"/>
              <w:noProof/>
              <w:sz w:val="24"/>
              <w:szCs w:val="24"/>
              <w:lang w:eastAsia="en-GB"/>
            </w:rPr>
            <w:t>(Salam, Jahed, &amp; Palmer, 2022)</w:t>
          </w:r>
          <w:r w:rsidRPr="00E27067">
            <w:rPr>
              <w:rFonts w:asciiTheme="majorBidi" w:eastAsia="Times New Roman" w:hAnsiTheme="majorBidi" w:cstheme="majorBidi"/>
              <w:sz w:val="24"/>
              <w:szCs w:val="24"/>
              <w:lang w:eastAsia="en-GB"/>
            </w:rPr>
            <w:fldChar w:fldCharType="end"/>
          </w:r>
        </w:sdtContent>
      </w:sdt>
      <w:r w:rsidRPr="00F578C4">
        <w:rPr>
          <w:rFonts w:asciiTheme="majorBidi" w:hAnsiTheme="majorBidi" w:cstheme="majorBidi"/>
          <w:sz w:val="24"/>
          <w:szCs w:val="24"/>
        </w:rPr>
        <w:t>.</w:t>
      </w:r>
      <w:r>
        <w:rPr>
          <w:rFonts w:asciiTheme="majorBidi" w:hAnsiTheme="majorBidi" w:cstheme="majorBidi"/>
          <w:sz w:val="24"/>
          <w:szCs w:val="24"/>
        </w:rPr>
        <w:t xml:space="preserve"> Another study showed that businesses that conduct CSR campaigns benefit from positive brand positioning, increase in customer satisfaction, commitment, customer loyalty, and positive word-of-mouth</w:t>
      </w:r>
      <w:sdt>
        <w:sdtPr>
          <w:rPr>
            <w:rFonts w:asciiTheme="majorBidi" w:hAnsiTheme="majorBidi" w:cstheme="majorBidi"/>
            <w:sz w:val="24"/>
            <w:szCs w:val="24"/>
          </w:rPr>
          <w:id w:val="171492070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Aji20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(Ajina, Roy, Nguyen, Japutra, &amp; Al-Hajla,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Similarly, a recent study conducted in Tunisia concluded that the customers’ perception of the financial institute is positively </w:t>
      </w:r>
      <w:r w:rsidRPr="00E27067">
        <w:rPr>
          <w:rFonts w:asciiTheme="majorBidi" w:hAnsiTheme="majorBidi" w:cstheme="majorBidi"/>
          <w:sz w:val="24"/>
          <w:szCs w:val="24"/>
        </w:rPr>
        <w:t>influenced by the institute’s social responsibility which will lead to customer satisfaction</w:t>
      </w:r>
      <w:r w:rsidRPr="00E27067">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569767403"/>
          <w:citation/>
        </w:sdtPr>
        <w:sdtContent>
          <w:r w:rsidRPr="00E27067">
            <w:rPr>
              <w:rFonts w:asciiTheme="majorBidi" w:eastAsia="Times New Roman" w:hAnsiTheme="majorBidi" w:cstheme="majorBidi"/>
              <w:sz w:val="24"/>
              <w:szCs w:val="24"/>
              <w:lang w:eastAsia="en-GB"/>
            </w:rPr>
            <w:fldChar w:fldCharType="begin"/>
          </w:r>
          <w:r w:rsidRPr="00E27067">
            <w:rPr>
              <w:rFonts w:asciiTheme="majorBidi" w:eastAsia="Times New Roman" w:hAnsiTheme="majorBidi" w:cstheme="majorBidi"/>
              <w:sz w:val="24"/>
              <w:szCs w:val="24"/>
              <w:lang w:eastAsia="en-GB"/>
            </w:rPr>
            <w:instrText xml:space="preserve"> CITATION Lti21 \l 2057 </w:instrText>
          </w:r>
          <w:r w:rsidRPr="00E27067">
            <w:rPr>
              <w:rFonts w:asciiTheme="majorBidi" w:eastAsia="Times New Roman" w:hAnsiTheme="majorBidi" w:cstheme="majorBidi"/>
              <w:sz w:val="24"/>
              <w:szCs w:val="24"/>
              <w:lang w:eastAsia="en-GB"/>
            </w:rPr>
            <w:fldChar w:fldCharType="separate"/>
          </w:r>
          <w:r w:rsidRPr="00E27067">
            <w:rPr>
              <w:rFonts w:asciiTheme="majorBidi" w:eastAsia="Times New Roman" w:hAnsiTheme="majorBidi" w:cstheme="majorBidi"/>
              <w:noProof/>
              <w:sz w:val="24"/>
              <w:szCs w:val="24"/>
              <w:lang w:eastAsia="en-GB"/>
            </w:rPr>
            <w:t>(Ltifi &amp; Hichri, 2021)</w:t>
          </w:r>
          <w:r w:rsidRPr="00E27067">
            <w:rPr>
              <w:rFonts w:asciiTheme="majorBidi" w:eastAsia="Times New Roman" w:hAnsiTheme="majorBidi" w:cstheme="majorBidi"/>
              <w:sz w:val="24"/>
              <w:szCs w:val="24"/>
              <w:lang w:eastAsia="en-GB"/>
            </w:rPr>
            <w:fldChar w:fldCharType="end"/>
          </w:r>
        </w:sdtContent>
      </w:sdt>
      <w:r w:rsidRPr="00E27067">
        <w:rPr>
          <w:rFonts w:asciiTheme="majorBidi" w:hAnsiTheme="majorBidi" w:cstheme="majorBidi"/>
          <w:sz w:val="24"/>
          <w:szCs w:val="24"/>
        </w:rPr>
        <w:t>.</w:t>
      </w:r>
      <w:r>
        <w:rPr>
          <w:rFonts w:asciiTheme="majorBidi" w:hAnsiTheme="majorBidi" w:cstheme="majorBidi"/>
          <w:sz w:val="24"/>
          <w:szCs w:val="24"/>
        </w:rPr>
        <w:t xml:space="preserve"> Another CSR campaigns has a positive impact on corporate and brand image and positively influences consumers’ preferences in Bahrain </w:t>
      </w:r>
      <w:bookmarkStart w:id="85" w:name="_Hlk134019635"/>
      <w:sdt>
        <w:sdtPr>
          <w:rPr>
            <w:rFonts w:asciiTheme="majorBidi" w:hAnsiTheme="majorBidi" w:cstheme="majorBidi"/>
            <w:sz w:val="24"/>
            <w:szCs w:val="24"/>
          </w:rPr>
          <w:id w:val="70444513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AlM19 \l 2057 </w:instrText>
          </w:r>
          <w:r>
            <w:rPr>
              <w:rFonts w:asciiTheme="majorBidi" w:hAnsiTheme="majorBidi" w:cstheme="majorBidi"/>
              <w:sz w:val="24"/>
              <w:szCs w:val="24"/>
            </w:rPr>
            <w:fldChar w:fldCharType="separate"/>
          </w:r>
          <w:r w:rsidRPr="003275FC">
            <w:rPr>
              <w:rFonts w:asciiTheme="majorBidi" w:hAnsiTheme="majorBidi" w:cstheme="majorBidi"/>
              <w:noProof/>
              <w:sz w:val="24"/>
              <w:szCs w:val="24"/>
            </w:rPr>
            <w:t>(Al Mubarak, Ben Hamed, &amp; Al Mubarak , 2019)</w:t>
          </w:r>
          <w:r>
            <w:rPr>
              <w:rFonts w:asciiTheme="majorBidi" w:hAnsiTheme="majorBidi" w:cstheme="majorBidi"/>
              <w:sz w:val="24"/>
              <w:szCs w:val="24"/>
            </w:rPr>
            <w:fldChar w:fldCharType="end"/>
          </w:r>
        </w:sdtContent>
      </w:sdt>
      <w:bookmarkEnd w:id="85"/>
      <w:r>
        <w:rPr>
          <w:rFonts w:asciiTheme="majorBidi" w:hAnsiTheme="majorBidi" w:cstheme="majorBidi"/>
          <w:sz w:val="24"/>
          <w:szCs w:val="24"/>
        </w:rPr>
        <w:t>.</w:t>
      </w:r>
    </w:p>
    <w:p w14:paraId="63CD6857" w14:textId="77777777" w:rsidR="0061549D" w:rsidRDefault="0061549D" w:rsidP="0061549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Other studies also revealed that CSR brings about benefits to internal stakeholders as well. Studies in UAE showed that, different aspects of CSR, especially environmental and social, have a positive impact on employee engagement</w:t>
      </w:r>
      <w:sdt>
        <w:sdtPr>
          <w:rPr>
            <w:rFonts w:asciiTheme="majorBidi" w:hAnsiTheme="majorBidi" w:cstheme="majorBidi"/>
            <w:sz w:val="24"/>
            <w:szCs w:val="24"/>
          </w:rPr>
          <w:id w:val="156636623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Dut18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(Duthler &amp; Dhanesh, 2018)</w:t>
          </w:r>
          <w:r>
            <w:rPr>
              <w:rFonts w:asciiTheme="majorBidi" w:hAnsiTheme="majorBidi" w:cstheme="majorBidi"/>
              <w:sz w:val="24"/>
              <w:szCs w:val="24"/>
            </w:rPr>
            <w:fldChar w:fldCharType="end"/>
          </w:r>
        </w:sdtContent>
      </w:sdt>
      <w:r>
        <w:rPr>
          <w:rFonts w:asciiTheme="majorBidi" w:hAnsiTheme="majorBidi" w:cstheme="majorBidi"/>
          <w:sz w:val="24"/>
          <w:szCs w:val="24"/>
        </w:rPr>
        <w:t>. Moreover, interviewed business leaders in Oman and Lebanon had similar perception of CSR in which they agreed that there is a positive correlation between CSR and the company’s profitability</w:t>
      </w:r>
      <w:sdt>
        <w:sdtPr>
          <w:rPr>
            <w:rFonts w:asciiTheme="majorBidi" w:hAnsiTheme="majorBidi" w:cstheme="majorBidi"/>
            <w:sz w:val="24"/>
            <w:szCs w:val="24"/>
          </w:rPr>
          <w:id w:val="-136212966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ElH21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275FC">
            <w:rPr>
              <w:rFonts w:asciiTheme="majorBidi" w:hAnsiTheme="majorBidi" w:cstheme="majorBidi"/>
              <w:noProof/>
              <w:sz w:val="24"/>
              <w:szCs w:val="24"/>
            </w:rPr>
            <w:t>(El Haddad, Bachkirov, &amp; Grishina,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Additionally, one study conducted in Jordan claims that CSR reporting increased the overall firm value and attracts international investors </w:t>
      </w:r>
      <w:bookmarkStart w:id="86" w:name="_Hlk124162412"/>
      <w:sdt>
        <w:sdtPr>
          <w:rPr>
            <w:rFonts w:asciiTheme="majorBidi" w:hAnsiTheme="majorBidi" w:cstheme="majorBidi"/>
            <w:sz w:val="24"/>
            <w:szCs w:val="24"/>
          </w:rPr>
          <w:id w:val="-776869287"/>
          <w:citation/>
        </w:sdtPr>
        <w:sdtContent>
          <w:r w:rsidRPr="002D27A8">
            <w:rPr>
              <w:rFonts w:asciiTheme="majorBidi" w:hAnsiTheme="majorBidi" w:cstheme="majorBidi"/>
              <w:sz w:val="24"/>
              <w:szCs w:val="24"/>
            </w:rPr>
            <w:fldChar w:fldCharType="begin"/>
          </w:r>
          <w:r w:rsidRPr="002D27A8">
            <w:rPr>
              <w:rFonts w:asciiTheme="majorBidi" w:hAnsiTheme="majorBidi" w:cstheme="majorBidi"/>
              <w:sz w:val="24"/>
              <w:szCs w:val="24"/>
            </w:rPr>
            <w:instrText xml:space="preserve"> CITATION Daa19 \l 2057 </w:instrText>
          </w:r>
          <w:r w:rsidRPr="002D27A8">
            <w:rPr>
              <w:rFonts w:asciiTheme="majorBidi" w:hAnsiTheme="majorBidi" w:cstheme="majorBidi"/>
              <w:sz w:val="24"/>
              <w:szCs w:val="24"/>
            </w:rPr>
            <w:fldChar w:fldCharType="separate"/>
          </w:r>
          <w:r w:rsidRPr="003275FC">
            <w:rPr>
              <w:rFonts w:asciiTheme="majorBidi" w:hAnsiTheme="majorBidi" w:cstheme="majorBidi"/>
              <w:noProof/>
              <w:sz w:val="24"/>
              <w:szCs w:val="24"/>
            </w:rPr>
            <w:t>(Daas &amp; Alaraj, 2019)</w:t>
          </w:r>
          <w:r w:rsidRPr="002D27A8">
            <w:rPr>
              <w:rFonts w:asciiTheme="majorBidi" w:hAnsiTheme="majorBidi" w:cstheme="majorBidi"/>
              <w:sz w:val="24"/>
              <w:szCs w:val="24"/>
            </w:rPr>
            <w:fldChar w:fldCharType="end"/>
          </w:r>
        </w:sdtContent>
      </w:sdt>
      <w:bookmarkEnd w:id="86"/>
      <w:r w:rsidRPr="002D27A8">
        <w:rPr>
          <w:rFonts w:asciiTheme="majorBidi" w:hAnsiTheme="majorBidi" w:cstheme="majorBidi"/>
          <w:sz w:val="24"/>
          <w:szCs w:val="24"/>
        </w:rPr>
        <w:t>.</w:t>
      </w:r>
      <w:r>
        <w:rPr>
          <w:rFonts w:asciiTheme="majorBidi" w:eastAsia="Times New Roman" w:hAnsiTheme="majorBidi" w:cstheme="majorBidi"/>
          <w:lang w:eastAsia="en-GB"/>
        </w:rPr>
        <w:t xml:space="preserve"> O</w:t>
      </w:r>
      <w:r>
        <w:rPr>
          <w:rFonts w:asciiTheme="majorBidi" w:hAnsiTheme="majorBidi" w:cstheme="majorBidi"/>
          <w:sz w:val="24"/>
          <w:szCs w:val="24"/>
        </w:rPr>
        <w:t xml:space="preserve">n a wider outlook, one study found that </w:t>
      </w:r>
      <w:r w:rsidRPr="00A56828">
        <w:rPr>
          <w:rFonts w:asciiTheme="majorBidi" w:hAnsiTheme="majorBidi" w:cstheme="majorBidi"/>
          <w:sz w:val="24"/>
          <w:szCs w:val="24"/>
        </w:rPr>
        <w:t xml:space="preserve">CSR is positively associated with both sound governance in general and economic growth in African countries such as Egypt, Morocco, etc. Findings demonstrate that there has been a significant advancement in CSR relative to the rate of development in Africa </w:t>
      </w:r>
      <w:sdt>
        <w:sdtPr>
          <w:rPr>
            <w:rFonts w:asciiTheme="majorBidi" w:hAnsiTheme="majorBidi" w:cstheme="majorBidi"/>
            <w:sz w:val="24"/>
            <w:szCs w:val="24"/>
          </w:rPr>
          <w:id w:val="1888455241"/>
          <w:citation/>
        </w:sdtPr>
        <w:sdtContent>
          <w:r w:rsidRPr="00A56828">
            <w:rPr>
              <w:rFonts w:asciiTheme="majorBidi" w:hAnsiTheme="majorBidi" w:cstheme="majorBidi"/>
              <w:sz w:val="24"/>
              <w:szCs w:val="24"/>
            </w:rPr>
            <w:fldChar w:fldCharType="begin"/>
          </w:r>
          <w:r w:rsidRPr="00A56828">
            <w:rPr>
              <w:rFonts w:asciiTheme="majorBidi" w:hAnsiTheme="majorBidi" w:cstheme="majorBidi"/>
              <w:sz w:val="24"/>
              <w:szCs w:val="24"/>
            </w:rPr>
            <w:instrText xml:space="preserve"> CITATION Ine20 \l 2057 </w:instrText>
          </w:r>
          <w:r w:rsidRPr="00A56828">
            <w:rPr>
              <w:rFonts w:asciiTheme="majorBidi" w:hAnsiTheme="majorBidi" w:cstheme="majorBidi"/>
              <w:sz w:val="24"/>
              <w:szCs w:val="24"/>
            </w:rPr>
            <w:fldChar w:fldCharType="separate"/>
          </w:r>
          <w:r w:rsidRPr="003275FC">
            <w:rPr>
              <w:rFonts w:asciiTheme="majorBidi" w:hAnsiTheme="majorBidi" w:cstheme="majorBidi"/>
              <w:noProof/>
              <w:sz w:val="24"/>
              <w:szCs w:val="24"/>
            </w:rPr>
            <w:t>( Inekwe, Hashim, &amp; Yahya , 2020)</w:t>
          </w:r>
          <w:r w:rsidRPr="00A56828">
            <w:rPr>
              <w:rFonts w:asciiTheme="majorBidi" w:hAnsiTheme="majorBidi" w:cstheme="majorBidi"/>
              <w:sz w:val="24"/>
              <w:szCs w:val="24"/>
            </w:rPr>
            <w:fldChar w:fldCharType="end"/>
          </w:r>
        </w:sdtContent>
      </w:sdt>
      <w:r w:rsidRPr="00A56828">
        <w:rPr>
          <w:rFonts w:asciiTheme="majorBidi" w:hAnsiTheme="majorBidi" w:cstheme="majorBidi"/>
          <w:sz w:val="24"/>
          <w:szCs w:val="24"/>
        </w:rPr>
        <w:t xml:space="preserve">. </w:t>
      </w:r>
    </w:p>
    <w:p w14:paraId="5A28C25F" w14:textId="77777777" w:rsidR="0061549D" w:rsidRPr="00727E91" w:rsidRDefault="0061549D" w:rsidP="0061549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It is important to mention, as discussed above, that not all the above-mentioned studies focus on CSR communication specifically; but the results of those studies discuss the impact of practicing and reporting CSR activities. Accordingly, this provides evidence that the objective of my research fills a substantial gap in the CSR literature in the Middle East. This is because this study’s objectives are focused on CSR as a communication strategy and comparing its effects to non-CSR communication strategies. </w:t>
      </w:r>
      <w:r w:rsidRPr="00A56828">
        <w:rPr>
          <w:rFonts w:asciiTheme="majorBidi" w:hAnsiTheme="majorBidi" w:cstheme="majorBidi"/>
          <w:sz w:val="24"/>
          <w:szCs w:val="24"/>
        </w:rPr>
        <w:t>Below is a table that summari</w:t>
      </w:r>
      <w:r>
        <w:rPr>
          <w:rFonts w:asciiTheme="majorBidi" w:hAnsiTheme="majorBidi" w:cstheme="majorBidi"/>
          <w:sz w:val="24"/>
          <w:szCs w:val="24"/>
        </w:rPr>
        <w:t>s</w:t>
      </w:r>
      <w:r w:rsidRPr="00A56828">
        <w:rPr>
          <w:rFonts w:asciiTheme="majorBidi" w:hAnsiTheme="majorBidi" w:cstheme="majorBidi"/>
          <w:sz w:val="24"/>
          <w:szCs w:val="24"/>
        </w:rPr>
        <w:t>es the articles that provide evidence of the important benefits that CSR brings to companies in the Middle East.</w:t>
      </w:r>
    </w:p>
    <w:tbl>
      <w:tblPr>
        <w:tblStyle w:val="TableGrid"/>
        <w:tblW w:w="0" w:type="auto"/>
        <w:jc w:val="center"/>
        <w:tblLook w:val="04A0" w:firstRow="1" w:lastRow="0" w:firstColumn="1" w:lastColumn="0" w:noHBand="0" w:noVBand="1"/>
      </w:tblPr>
      <w:tblGrid>
        <w:gridCol w:w="1838"/>
        <w:gridCol w:w="850"/>
        <w:gridCol w:w="1988"/>
        <w:gridCol w:w="2489"/>
        <w:gridCol w:w="1418"/>
      </w:tblGrid>
      <w:tr w:rsidR="0061549D" w:rsidRPr="00151ABA" w14:paraId="0E22F584" w14:textId="77777777" w:rsidTr="00111163">
        <w:trPr>
          <w:trHeight w:val="147"/>
          <w:jc w:val="center"/>
        </w:trPr>
        <w:tc>
          <w:tcPr>
            <w:tcW w:w="1838" w:type="dxa"/>
          </w:tcPr>
          <w:p w14:paraId="68B59E83" w14:textId="77777777" w:rsidR="0061549D" w:rsidRPr="00151ABA" w:rsidRDefault="0061549D" w:rsidP="00111163">
            <w:pPr>
              <w:rPr>
                <w:rFonts w:asciiTheme="majorBidi" w:hAnsiTheme="majorBidi" w:cstheme="majorBidi"/>
                <w:sz w:val="20"/>
                <w:szCs w:val="20"/>
              </w:rPr>
            </w:pPr>
            <w:bookmarkStart w:id="87" w:name="_Hlk135593761"/>
            <w:r w:rsidRPr="00151ABA">
              <w:rPr>
                <w:rFonts w:asciiTheme="majorBidi" w:hAnsiTheme="majorBidi" w:cstheme="majorBidi"/>
                <w:sz w:val="20"/>
                <w:szCs w:val="20"/>
              </w:rPr>
              <w:t xml:space="preserve">Benefit </w:t>
            </w:r>
          </w:p>
        </w:tc>
        <w:tc>
          <w:tcPr>
            <w:tcW w:w="578" w:type="dxa"/>
          </w:tcPr>
          <w:p w14:paraId="1A8EE5ED"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Articles </w:t>
            </w:r>
          </w:p>
        </w:tc>
        <w:tc>
          <w:tcPr>
            <w:tcW w:w="0" w:type="auto"/>
          </w:tcPr>
          <w:p w14:paraId="771782DF"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Nature of the Industry</w:t>
            </w:r>
          </w:p>
        </w:tc>
        <w:tc>
          <w:tcPr>
            <w:tcW w:w="2489" w:type="dxa"/>
          </w:tcPr>
          <w:p w14:paraId="5C0493AE"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Source </w:t>
            </w:r>
          </w:p>
        </w:tc>
        <w:tc>
          <w:tcPr>
            <w:tcW w:w="1418" w:type="dxa"/>
          </w:tcPr>
          <w:p w14:paraId="36A25EFE"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Country  </w:t>
            </w:r>
          </w:p>
        </w:tc>
      </w:tr>
      <w:tr w:rsidR="0061549D" w:rsidRPr="00151ABA" w14:paraId="4C80BE8B" w14:textId="77777777" w:rsidTr="00111163">
        <w:trPr>
          <w:trHeight w:val="253"/>
          <w:jc w:val="center"/>
        </w:trPr>
        <w:tc>
          <w:tcPr>
            <w:tcW w:w="1838" w:type="dxa"/>
          </w:tcPr>
          <w:p w14:paraId="6E31881D"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Brand credibility</w:t>
            </w:r>
          </w:p>
        </w:tc>
        <w:tc>
          <w:tcPr>
            <w:tcW w:w="578" w:type="dxa"/>
          </w:tcPr>
          <w:p w14:paraId="7D3FC574"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n=1</w:t>
            </w:r>
          </w:p>
        </w:tc>
        <w:tc>
          <w:tcPr>
            <w:tcW w:w="0" w:type="auto"/>
          </w:tcPr>
          <w:p w14:paraId="1286FC56"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Banking</w:t>
            </w:r>
          </w:p>
        </w:tc>
        <w:tc>
          <w:tcPr>
            <w:tcW w:w="2489" w:type="dxa"/>
          </w:tcPr>
          <w:p w14:paraId="5F8B3932"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1565294173"/>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Abu211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(Abu Zayyad, et al., 2021)</w:t>
                </w:r>
                <w:r w:rsidR="0061549D" w:rsidRPr="00151ABA">
                  <w:rPr>
                    <w:rFonts w:asciiTheme="majorBidi" w:hAnsiTheme="majorBidi" w:cstheme="majorBidi"/>
                    <w:sz w:val="20"/>
                    <w:szCs w:val="20"/>
                  </w:rPr>
                  <w:fldChar w:fldCharType="end"/>
                </w:r>
              </w:sdtContent>
            </w:sdt>
          </w:p>
        </w:tc>
        <w:tc>
          <w:tcPr>
            <w:tcW w:w="1418" w:type="dxa"/>
          </w:tcPr>
          <w:p w14:paraId="7B1E17B7"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Jordan</w:t>
            </w:r>
          </w:p>
        </w:tc>
      </w:tr>
      <w:tr w:rsidR="0061549D" w:rsidRPr="00151ABA" w14:paraId="720A5138" w14:textId="77777777" w:rsidTr="00111163">
        <w:trPr>
          <w:trHeight w:val="788"/>
          <w:jc w:val="center"/>
        </w:trPr>
        <w:tc>
          <w:tcPr>
            <w:tcW w:w="1838" w:type="dxa"/>
          </w:tcPr>
          <w:p w14:paraId="021AA61A"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Positive Corporate Reputation </w:t>
            </w:r>
          </w:p>
        </w:tc>
        <w:tc>
          <w:tcPr>
            <w:tcW w:w="578" w:type="dxa"/>
          </w:tcPr>
          <w:p w14:paraId="5362F17C"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n=2</w:t>
            </w:r>
          </w:p>
        </w:tc>
        <w:tc>
          <w:tcPr>
            <w:tcW w:w="0" w:type="auto"/>
          </w:tcPr>
          <w:p w14:paraId="15D70B2D"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Banking</w:t>
            </w:r>
          </w:p>
        </w:tc>
        <w:tc>
          <w:tcPr>
            <w:tcW w:w="2489" w:type="dxa"/>
          </w:tcPr>
          <w:p w14:paraId="75D481C1" w14:textId="77777777" w:rsidR="0061549D" w:rsidRPr="00151ABA" w:rsidRDefault="00000000" w:rsidP="00111163">
            <w:pPr>
              <w:rPr>
                <w:rFonts w:asciiTheme="majorBidi" w:hAnsiTheme="majorBidi" w:cstheme="majorBidi"/>
                <w:sz w:val="20"/>
                <w:szCs w:val="20"/>
                <w:lang w:val="sv-SE"/>
              </w:rPr>
            </w:pPr>
            <w:sdt>
              <w:sdtPr>
                <w:rPr>
                  <w:rFonts w:asciiTheme="majorBidi" w:hAnsiTheme="majorBidi" w:cstheme="majorBidi"/>
                  <w:sz w:val="20"/>
                  <w:szCs w:val="20"/>
                </w:rPr>
                <w:id w:val="1688402897"/>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lang w:val="sv-SE"/>
                  </w:rPr>
                  <w:instrText xml:space="preserve"> CITATION Abu211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lang w:val="sv-SE"/>
                  </w:rPr>
                  <w:t>(Abu Zayyad, et al., 2021)</w:t>
                </w:r>
                <w:r w:rsidR="0061549D" w:rsidRPr="00151ABA">
                  <w:rPr>
                    <w:rFonts w:asciiTheme="majorBidi" w:hAnsiTheme="majorBidi" w:cstheme="majorBidi"/>
                    <w:sz w:val="20"/>
                    <w:szCs w:val="20"/>
                  </w:rPr>
                  <w:fldChar w:fldCharType="end"/>
                </w:r>
              </w:sdtContent>
            </w:sdt>
          </w:p>
          <w:p w14:paraId="7482C318" w14:textId="77777777" w:rsidR="0061549D" w:rsidRPr="00151ABA" w:rsidRDefault="00000000" w:rsidP="00111163">
            <w:pPr>
              <w:rPr>
                <w:rFonts w:asciiTheme="majorBidi" w:hAnsiTheme="majorBidi" w:cstheme="majorBidi"/>
                <w:sz w:val="20"/>
                <w:szCs w:val="20"/>
                <w:lang w:val="sv-SE"/>
              </w:rPr>
            </w:pPr>
            <w:sdt>
              <w:sdtPr>
                <w:rPr>
                  <w:rFonts w:asciiTheme="majorBidi" w:hAnsiTheme="majorBidi" w:cstheme="majorBidi"/>
                  <w:sz w:val="20"/>
                  <w:szCs w:val="20"/>
                </w:rPr>
                <w:id w:val="-1683117700"/>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lang w:val="sv-SE"/>
                  </w:rPr>
                  <w:instrText xml:space="preserve"> CITATION AlM19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lang w:val="sv-SE"/>
                  </w:rPr>
                  <w:t>(Al Mubarak, Ben Hamed, &amp; Al Mubarak , 2019)</w:t>
                </w:r>
                <w:r w:rsidR="0061549D" w:rsidRPr="00151ABA">
                  <w:rPr>
                    <w:rFonts w:asciiTheme="majorBidi" w:hAnsiTheme="majorBidi" w:cstheme="majorBidi"/>
                    <w:sz w:val="20"/>
                    <w:szCs w:val="20"/>
                  </w:rPr>
                  <w:fldChar w:fldCharType="end"/>
                </w:r>
              </w:sdtContent>
            </w:sdt>
          </w:p>
        </w:tc>
        <w:tc>
          <w:tcPr>
            <w:tcW w:w="1418" w:type="dxa"/>
          </w:tcPr>
          <w:p w14:paraId="578364D5"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Jordan</w:t>
            </w:r>
          </w:p>
          <w:p w14:paraId="66C0159F"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Bahrain</w:t>
            </w:r>
          </w:p>
        </w:tc>
      </w:tr>
      <w:tr w:rsidR="0061549D" w:rsidRPr="00151ABA" w14:paraId="222D2E3A" w14:textId="77777777" w:rsidTr="00111163">
        <w:trPr>
          <w:trHeight w:val="933"/>
          <w:jc w:val="center"/>
        </w:trPr>
        <w:tc>
          <w:tcPr>
            <w:tcW w:w="1838" w:type="dxa"/>
          </w:tcPr>
          <w:p w14:paraId="10DAD718"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Positive word of Mouth </w:t>
            </w:r>
          </w:p>
        </w:tc>
        <w:tc>
          <w:tcPr>
            <w:tcW w:w="578" w:type="dxa"/>
          </w:tcPr>
          <w:p w14:paraId="367A7009"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n=2</w:t>
            </w:r>
          </w:p>
        </w:tc>
        <w:tc>
          <w:tcPr>
            <w:tcW w:w="0" w:type="auto"/>
          </w:tcPr>
          <w:p w14:paraId="1228EB94"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Banking</w:t>
            </w:r>
          </w:p>
        </w:tc>
        <w:tc>
          <w:tcPr>
            <w:tcW w:w="2489" w:type="dxa"/>
          </w:tcPr>
          <w:p w14:paraId="46E24C3B"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21670696"/>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Abu211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(Abu Zayyad, et al., 2021)</w:t>
                </w:r>
                <w:r w:rsidR="0061549D" w:rsidRPr="00151ABA">
                  <w:rPr>
                    <w:rFonts w:asciiTheme="majorBidi" w:hAnsiTheme="majorBidi" w:cstheme="majorBidi"/>
                    <w:sz w:val="20"/>
                    <w:szCs w:val="20"/>
                  </w:rPr>
                  <w:fldChar w:fldCharType="end"/>
                </w:r>
              </w:sdtContent>
            </w:sdt>
          </w:p>
          <w:p w14:paraId="72934780"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860278115"/>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Aji20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(Ajina, Roy, Nguyen, Japutra, &amp; Al-Hajla, 2020)</w:t>
                </w:r>
                <w:r w:rsidR="0061549D" w:rsidRPr="00151ABA">
                  <w:rPr>
                    <w:rFonts w:asciiTheme="majorBidi" w:hAnsiTheme="majorBidi" w:cstheme="majorBidi"/>
                    <w:sz w:val="20"/>
                    <w:szCs w:val="20"/>
                  </w:rPr>
                  <w:fldChar w:fldCharType="end"/>
                </w:r>
              </w:sdtContent>
            </w:sdt>
          </w:p>
        </w:tc>
        <w:tc>
          <w:tcPr>
            <w:tcW w:w="1418" w:type="dxa"/>
          </w:tcPr>
          <w:p w14:paraId="172AF210"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Jordan</w:t>
            </w:r>
          </w:p>
          <w:p w14:paraId="65950D54"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Saudi Arabia</w:t>
            </w:r>
          </w:p>
        </w:tc>
      </w:tr>
      <w:tr w:rsidR="0061549D" w:rsidRPr="00151ABA" w14:paraId="57B458E1" w14:textId="77777777" w:rsidTr="00111163">
        <w:trPr>
          <w:trHeight w:val="677"/>
          <w:jc w:val="center"/>
        </w:trPr>
        <w:tc>
          <w:tcPr>
            <w:tcW w:w="1838" w:type="dxa"/>
          </w:tcPr>
          <w:p w14:paraId="3A533153"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Increase in Purchase and purchase intention</w:t>
            </w:r>
          </w:p>
        </w:tc>
        <w:tc>
          <w:tcPr>
            <w:tcW w:w="578" w:type="dxa"/>
          </w:tcPr>
          <w:p w14:paraId="24981738"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n=2</w:t>
            </w:r>
          </w:p>
        </w:tc>
        <w:tc>
          <w:tcPr>
            <w:tcW w:w="0" w:type="auto"/>
          </w:tcPr>
          <w:p w14:paraId="79BF7F8E"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Banking</w:t>
            </w:r>
          </w:p>
          <w:p w14:paraId="428D5DFA"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Other Industries </w:t>
            </w:r>
          </w:p>
        </w:tc>
        <w:tc>
          <w:tcPr>
            <w:tcW w:w="2489" w:type="dxa"/>
          </w:tcPr>
          <w:p w14:paraId="445B0F2B"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1291088908"/>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Abu211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(Abu Zayyad, et al., 2021)</w:t>
                </w:r>
                <w:r w:rsidR="0061549D" w:rsidRPr="00151ABA">
                  <w:rPr>
                    <w:rFonts w:asciiTheme="majorBidi" w:hAnsiTheme="majorBidi" w:cstheme="majorBidi"/>
                    <w:sz w:val="20"/>
                    <w:szCs w:val="20"/>
                  </w:rPr>
                  <w:fldChar w:fldCharType="end"/>
                </w:r>
              </w:sdtContent>
            </w:sdt>
          </w:p>
          <w:bookmarkStart w:id="88" w:name="_Hlk123914388"/>
          <w:p w14:paraId="7461CC2B"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756439318"/>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Ala20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(Alawamleh &amp; Giacaman, 2020)</w:t>
                </w:r>
                <w:r w:rsidR="0061549D" w:rsidRPr="00151ABA">
                  <w:rPr>
                    <w:rFonts w:asciiTheme="majorBidi" w:hAnsiTheme="majorBidi" w:cstheme="majorBidi"/>
                    <w:sz w:val="20"/>
                    <w:szCs w:val="20"/>
                  </w:rPr>
                  <w:fldChar w:fldCharType="end"/>
                </w:r>
              </w:sdtContent>
            </w:sdt>
            <w:bookmarkEnd w:id="88"/>
          </w:p>
        </w:tc>
        <w:tc>
          <w:tcPr>
            <w:tcW w:w="1418" w:type="dxa"/>
          </w:tcPr>
          <w:p w14:paraId="66E28EDF"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Jordan</w:t>
            </w:r>
          </w:p>
          <w:p w14:paraId="1C8FE797"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Palestine &amp; Jordan</w:t>
            </w:r>
          </w:p>
        </w:tc>
      </w:tr>
      <w:tr w:rsidR="0061549D" w:rsidRPr="00151ABA" w14:paraId="45AF3C37" w14:textId="77777777" w:rsidTr="00111163">
        <w:trPr>
          <w:trHeight w:val="659"/>
          <w:jc w:val="center"/>
        </w:trPr>
        <w:tc>
          <w:tcPr>
            <w:tcW w:w="1838" w:type="dxa"/>
          </w:tcPr>
          <w:p w14:paraId="3CC2A573"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Positive Brand Positioning </w:t>
            </w:r>
          </w:p>
        </w:tc>
        <w:tc>
          <w:tcPr>
            <w:tcW w:w="578" w:type="dxa"/>
          </w:tcPr>
          <w:p w14:paraId="12521455"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n=1</w:t>
            </w:r>
          </w:p>
        </w:tc>
        <w:tc>
          <w:tcPr>
            <w:tcW w:w="0" w:type="auto"/>
          </w:tcPr>
          <w:p w14:paraId="71E2B567"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Banking</w:t>
            </w:r>
          </w:p>
        </w:tc>
        <w:tc>
          <w:tcPr>
            <w:tcW w:w="2489" w:type="dxa"/>
          </w:tcPr>
          <w:p w14:paraId="215616EC" w14:textId="77777777" w:rsidR="0061549D" w:rsidRPr="00151ABA" w:rsidRDefault="00000000" w:rsidP="00111163">
            <w:pPr>
              <w:rPr>
                <w:rFonts w:asciiTheme="majorBidi" w:hAnsiTheme="majorBidi" w:cstheme="majorBidi"/>
                <w:sz w:val="20"/>
                <w:szCs w:val="20"/>
                <w:lang w:val="sv-SE"/>
              </w:rPr>
            </w:pPr>
            <w:sdt>
              <w:sdtPr>
                <w:rPr>
                  <w:rFonts w:asciiTheme="majorBidi" w:hAnsiTheme="majorBidi" w:cstheme="majorBidi"/>
                  <w:sz w:val="20"/>
                  <w:szCs w:val="20"/>
                </w:rPr>
                <w:id w:val="260805837"/>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lang w:val="sv-SE"/>
                  </w:rPr>
                  <w:instrText xml:space="preserve"> CITATION Aji20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lang w:val="sv-SE"/>
                  </w:rPr>
                  <w:t>(Ajina, Roy, Nguyen, Japutra, &amp; Al-Hajla, 2020)</w:t>
                </w:r>
                <w:r w:rsidR="0061549D" w:rsidRPr="00151ABA">
                  <w:rPr>
                    <w:rFonts w:asciiTheme="majorBidi" w:hAnsiTheme="majorBidi" w:cstheme="majorBidi"/>
                    <w:sz w:val="20"/>
                    <w:szCs w:val="20"/>
                  </w:rPr>
                  <w:fldChar w:fldCharType="end"/>
                </w:r>
              </w:sdtContent>
            </w:sdt>
          </w:p>
        </w:tc>
        <w:tc>
          <w:tcPr>
            <w:tcW w:w="1418" w:type="dxa"/>
          </w:tcPr>
          <w:p w14:paraId="7EBA21CA" w14:textId="77777777" w:rsidR="0061549D" w:rsidRPr="00151ABA" w:rsidRDefault="0061549D" w:rsidP="00111163">
            <w:pPr>
              <w:rPr>
                <w:rFonts w:asciiTheme="majorBidi" w:hAnsiTheme="majorBidi" w:cstheme="majorBidi"/>
                <w:b/>
                <w:bCs/>
                <w:sz w:val="20"/>
                <w:szCs w:val="20"/>
              </w:rPr>
            </w:pPr>
            <w:r w:rsidRPr="00151ABA">
              <w:rPr>
                <w:rFonts w:asciiTheme="majorBidi" w:hAnsiTheme="majorBidi" w:cstheme="majorBidi"/>
                <w:sz w:val="20"/>
                <w:szCs w:val="20"/>
              </w:rPr>
              <w:t>Saudi Arabia</w:t>
            </w:r>
          </w:p>
        </w:tc>
      </w:tr>
      <w:tr w:rsidR="0061549D" w:rsidRPr="00151ABA" w14:paraId="12600280" w14:textId="77777777" w:rsidTr="00111163">
        <w:trPr>
          <w:trHeight w:val="686"/>
          <w:jc w:val="center"/>
        </w:trPr>
        <w:tc>
          <w:tcPr>
            <w:tcW w:w="1838" w:type="dxa"/>
          </w:tcPr>
          <w:p w14:paraId="6EA5F14E"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Customer satisfaction </w:t>
            </w:r>
          </w:p>
        </w:tc>
        <w:tc>
          <w:tcPr>
            <w:tcW w:w="578" w:type="dxa"/>
          </w:tcPr>
          <w:p w14:paraId="6F2729AE"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n=2</w:t>
            </w:r>
          </w:p>
        </w:tc>
        <w:tc>
          <w:tcPr>
            <w:tcW w:w="0" w:type="auto"/>
          </w:tcPr>
          <w:p w14:paraId="4C76EB3A"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Banking</w:t>
            </w:r>
          </w:p>
        </w:tc>
        <w:tc>
          <w:tcPr>
            <w:tcW w:w="2489" w:type="dxa"/>
          </w:tcPr>
          <w:p w14:paraId="092AE305" w14:textId="77777777" w:rsidR="0061549D" w:rsidRPr="00151ABA" w:rsidRDefault="00000000" w:rsidP="00111163">
            <w:pPr>
              <w:rPr>
                <w:rFonts w:asciiTheme="majorBidi" w:hAnsiTheme="majorBidi" w:cstheme="majorBidi"/>
                <w:sz w:val="20"/>
                <w:szCs w:val="20"/>
                <w:lang w:val="sv-SE"/>
              </w:rPr>
            </w:pPr>
            <w:sdt>
              <w:sdtPr>
                <w:rPr>
                  <w:rFonts w:asciiTheme="majorBidi" w:hAnsiTheme="majorBidi" w:cstheme="majorBidi"/>
                  <w:sz w:val="20"/>
                  <w:szCs w:val="20"/>
                </w:rPr>
                <w:id w:val="1998907460"/>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lang w:val="sv-SE"/>
                  </w:rPr>
                  <w:instrText xml:space="preserve"> CITATION Aji20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lang w:val="sv-SE"/>
                  </w:rPr>
                  <w:t>(Ajina, Roy, Nguyen, Japutra, &amp; Al-Hajla, 2020)</w:t>
                </w:r>
                <w:r w:rsidR="0061549D" w:rsidRPr="00151ABA">
                  <w:rPr>
                    <w:rFonts w:asciiTheme="majorBidi" w:hAnsiTheme="majorBidi" w:cstheme="majorBidi"/>
                    <w:sz w:val="20"/>
                    <w:szCs w:val="20"/>
                  </w:rPr>
                  <w:fldChar w:fldCharType="end"/>
                </w:r>
              </w:sdtContent>
            </w:sdt>
          </w:p>
          <w:p w14:paraId="4D53ED37"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1764453546"/>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Lti21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(Ltifi &amp; Hichri, 2021)</w:t>
                </w:r>
                <w:r w:rsidR="0061549D" w:rsidRPr="00151ABA">
                  <w:rPr>
                    <w:rFonts w:asciiTheme="majorBidi" w:hAnsiTheme="majorBidi" w:cstheme="majorBidi"/>
                    <w:sz w:val="20"/>
                    <w:szCs w:val="20"/>
                  </w:rPr>
                  <w:fldChar w:fldCharType="end"/>
                </w:r>
              </w:sdtContent>
            </w:sdt>
          </w:p>
        </w:tc>
        <w:tc>
          <w:tcPr>
            <w:tcW w:w="1418" w:type="dxa"/>
          </w:tcPr>
          <w:p w14:paraId="27C02BE0" w14:textId="77777777" w:rsidR="0061549D" w:rsidRPr="00151ABA" w:rsidRDefault="0061549D" w:rsidP="00111163">
            <w:pPr>
              <w:rPr>
                <w:rFonts w:asciiTheme="majorBidi" w:hAnsiTheme="majorBidi" w:cstheme="majorBidi"/>
                <w:b/>
                <w:bCs/>
                <w:sz w:val="20"/>
                <w:szCs w:val="20"/>
              </w:rPr>
            </w:pPr>
            <w:r w:rsidRPr="00151ABA">
              <w:rPr>
                <w:rFonts w:asciiTheme="majorBidi" w:hAnsiTheme="majorBidi" w:cstheme="majorBidi"/>
                <w:sz w:val="20"/>
                <w:szCs w:val="20"/>
              </w:rPr>
              <w:t>Saudi Arabia</w:t>
            </w:r>
          </w:p>
        </w:tc>
      </w:tr>
      <w:tr w:rsidR="0061549D" w:rsidRPr="00151ABA" w14:paraId="0B00D19A" w14:textId="77777777" w:rsidTr="00111163">
        <w:trPr>
          <w:trHeight w:val="520"/>
          <w:jc w:val="center"/>
        </w:trPr>
        <w:tc>
          <w:tcPr>
            <w:tcW w:w="1838" w:type="dxa"/>
          </w:tcPr>
          <w:p w14:paraId="084C9EFA"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Commitment</w:t>
            </w:r>
          </w:p>
        </w:tc>
        <w:tc>
          <w:tcPr>
            <w:tcW w:w="578" w:type="dxa"/>
          </w:tcPr>
          <w:p w14:paraId="7E7B9251"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n=1</w:t>
            </w:r>
          </w:p>
        </w:tc>
        <w:tc>
          <w:tcPr>
            <w:tcW w:w="0" w:type="auto"/>
          </w:tcPr>
          <w:p w14:paraId="65A921CA"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Banking</w:t>
            </w:r>
          </w:p>
        </w:tc>
        <w:tc>
          <w:tcPr>
            <w:tcW w:w="2489" w:type="dxa"/>
          </w:tcPr>
          <w:p w14:paraId="24821FAC" w14:textId="77777777" w:rsidR="0061549D" w:rsidRPr="00151ABA" w:rsidRDefault="00000000" w:rsidP="00111163">
            <w:pPr>
              <w:rPr>
                <w:rFonts w:asciiTheme="majorBidi" w:hAnsiTheme="majorBidi" w:cstheme="majorBidi"/>
                <w:sz w:val="20"/>
                <w:szCs w:val="20"/>
                <w:lang w:val="sv-SE"/>
              </w:rPr>
            </w:pPr>
            <w:sdt>
              <w:sdtPr>
                <w:rPr>
                  <w:rFonts w:asciiTheme="majorBidi" w:hAnsiTheme="majorBidi" w:cstheme="majorBidi"/>
                  <w:sz w:val="20"/>
                  <w:szCs w:val="20"/>
                </w:rPr>
                <w:id w:val="-1233619440"/>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lang w:val="sv-SE"/>
                  </w:rPr>
                  <w:instrText xml:space="preserve"> CITATION Aji20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lang w:val="sv-SE"/>
                  </w:rPr>
                  <w:t>(Ajina, Roy, Nguyen, Japutra, &amp; Al-Hajla, 2020)</w:t>
                </w:r>
                <w:r w:rsidR="0061549D" w:rsidRPr="00151ABA">
                  <w:rPr>
                    <w:rFonts w:asciiTheme="majorBidi" w:hAnsiTheme="majorBidi" w:cstheme="majorBidi"/>
                    <w:sz w:val="20"/>
                    <w:szCs w:val="20"/>
                  </w:rPr>
                  <w:fldChar w:fldCharType="end"/>
                </w:r>
              </w:sdtContent>
            </w:sdt>
          </w:p>
        </w:tc>
        <w:tc>
          <w:tcPr>
            <w:tcW w:w="1418" w:type="dxa"/>
          </w:tcPr>
          <w:p w14:paraId="2F05C26E" w14:textId="77777777" w:rsidR="0061549D" w:rsidRPr="00151ABA" w:rsidRDefault="0061549D" w:rsidP="00111163">
            <w:pPr>
              <w:rPr>
                <w:rFonts w:asciiTheme="majorBidi" w:hAnsiTheme="majorBidi" w:cstheme="majorBidi"/>
                <w:b/>
                <w:bCs/>
                <w:sz w:val="20"/>
                <w:szCs w:val="20"/>
              </w:rPr>
            </w:pPr>
            <w:r w:rsidRPr="00151ABA">
              <w:rPr>
                <w:rFonts w:asciiTheme="majorBidi" w:hAnsiTheme="majorBidi" w:cstheme="majorBidi"/>
                <w:sz w:val="20"/>
                <w:szCs w:val="20"/>
              </w:rPr>
              <w:t>Saudi Arabia</w:t>
            </w:r>
          </w:p>
        </w:tc>
      </w:tr>
      <w:tr w:rsidR="0061549D" w:rsidRPr="00151ABA" w14:paraId="62DCF77F" w14:textId="77777777" w:rsidTr="00111163">
        <w:trPr>
          <w:trHeight w:val="827"/>
          <w:jc w:val="center"/>
        </w:trPr>
        <w:tc>
          <w:tcPr>
            <w:tcW w:w="1838" w:type="dxa"/>
          </w:tcPr>
          <w:p w14:paraId="3975BA0B"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Customer loyalty</w:t>
            </w:r>
          </w:p>
        </w:tc>
        <w:tc>
          <w:tcPr>
            <w:tcW w:w="578" w:type="dxa"/>
          </w:tcPr>
          <w:p w14:paraId="746EFB34"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n=2</w:t>
            </w:r>
          </w:p>
        </w:tc>
        <w:tc>
          <w:tcPr>
            <w:tcW w:w="0" w:type="auto"/>
          </w:tcPr>
          <w:p w14:paraId="60A7F778"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Banking</w:t>
            </w:r>
          </w:p>
          <w:p w14:paraId="26CDA0EB"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Business-to-business</w:t>
            </w:r>
          </w:p>
        </w:tc>
        <w:bookmarkStart w:id="89" w:name="_Hlk144301188"/>
        <w:tc>
          <w:tcPr>
            <w:tcW w:w="2489" w:type="dxa"/>
          </w:tcPr>
          <w:p w14:paraId="39A3278C" w14:textId="77777777" w:rsidR="0061549D" w:rsidRPr="00151ABA" w:rsidRDefault="00000000" w:rsidP="00111163">
            <w:pPr>
              <w:rPr>
                <w:rFonts w:asciiTheme="majorBidi" w:hAnsiTheme="majorBidi" w:cstheme="majorBidi"/>
                <w:sz w:val="20"/>
                <w:szCs w:val="20"/>
                <w:lang w:val="sv-SE"/>
              </w:rPr>
            </w:pPr>
            <w:sdt>
              <w:sdtPr>
                <w:rPr>
                  <w:rFonts w:asciiTheme="majorBidi" w:hAnsiTheme="majorBidi" w:cstheme="majorBidi"/>
                  <w:sz w:val="20"/>
                  <w:szCs w:val="20"/>
                </w:rPr>
                <w:id w:val="1246922219"/>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lang w:val="sv-SE"/>
                  </w:rPr>
                  <w:instrText xml:space="preserve"> CITATION Aji20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lang w:val="sv-SE"/>
                  </w:rPr>
                  <w:t>(Ajina, Roy, Nguyen, Japutra, &amp; Al-Hajla, 2020)</w:t>
                </w:r>
                <w:r w:rsidR="0061549D" w:rsidRPr="00151ABA">
                  <w:rPr>
                    <w:rFonts w:asciiTheme="majorBidi" w:hAnsiTheme="majorBidi" w:cstheme="majorBidi"/>
                    <w:sz w:val="20"/>
                    <w:szCs w:val="20"/>
                  </w:rPr>
                  <w:fldChar w:fldCharType="end"/>
                </w:r>
              </w:sdtContent>
            </w:sdt>
          </w:p>
          <w:p w14:paraId="4330E6F9"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1739394161"/>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Sal222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(Salam, Jahed, &amp; Palmer, 2022)</w:t>
                </w:r>
                <w:r w:rsidR="0061549D" w:rsidRPr="00151ABA">
                  <w:rPr>
                    <w:rFonts w:asciiTheme="majorBidi" w:hAnsiTheme="majorBidi" w:cstheme="majorBidi"/>
                    <w:sz w:val="20"/>
                    <w:szCs w:val="20"/>
                  </w:rPr>
                  <w:fldChar w:fldCharType="end"/>
                </w:r>
              </w:sdtContent>
            </w:sdt>
            <w:bookmarkEnd w:id="89"/>
          </w:p>
        </w:tc>
        <w:tc>
          <w:tcPr>
            <w:tcW w:w="1418" w:type="dxa"/>
          </w:tcPr>
          <w:p w14:paraId="4619B260" w14:textId="77777777" w:rsidR="0061549D" w:rsidRPr="00151ABA" w:rsidRDefault="0061549D" w:rsidP="00111163">
            <w:pPr>
              <w:rPr>
                <w:rFonts w:asciiTheme="majorBidi" w:hAnsiTheme="majorBidi" w:cstheme="majorBidi"/>
                <w:b/>
                <w:bCs/>
                <w:sz w:val="20"/>
                <w:szCs w:val="20"/>
              </w:rPr>
            </w:pPr>
            <w:r w:rsidRPr="00151ABA">
              <w:rPr>
                <w:rFonts w:asciiTheme="majorBidi" w:hAnsiTheme="majorBidi" w:cstheme="majorBidi"/>
                <w:sz w:val="20"/>
                <w:szCs w:val="20"/>
              </w:rPr>
              <w:t>Saudi Arabia</w:t>
            </w:r>
          </w:p>
        </w:tc>
      </w:tr>
      <w:tr w:rsidR="0061549D" w:rsidRPr="00151ABA" w14:paraId="32184296" w14:textId="77777777" w:rsidTr="00111163">
        <w:trPr>
          <w:trHeight w:val="414"/>
          <w:jc w:val="center"/>
        </w:trPr>
        <w:tc>
          <w:tcPr>
            <w:tcW w:w="1838" w:type="dxa"/>
          </w:tcPr>
          <w:p w14:paraId="520FAF2F"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Employee engagement</w:t>
            </w:r>
          </w:p>
        </w:tc>
        <w:tc>
          <w:tcPr>
            <w:tcW w:w="578" w:type="dxa"/>
          </w:tcPr>
          <w:p w14:paraId="3EC07511"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n=1</w:t>
            </w:r>
          </w:p>
        </w:tc>
        <w:tc>
          <w:tcPr>
            <w:tcW w:w="0" w:type="auto"/>
          </w:tcPr>
          <w:p w14:paraId="7857E297"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Different sectors</w:t>
            </w:r>
          </w:p>
        </w:tc>
        <w:tc>
          <w:tcPr>
            <w:tcW w:w="2489" w:type="dxa"/>
          </w:tcPr>
          <w:p w14:paraId="5E9CBDC1"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1110886075"/>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Dut18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(Duthler &amp; Dhanesh, 2018)</w:t>
                </w:r>
                <w:r w:rsidR="0061549D" w:rsidRPr="00151ABA">
                  <w:rPr>
                    <w:rFonts w:asciiTheme="majorBidi" w:hAnsiTheme="majorBidi" w:cstheme="majorBidi"/>
                    <w:sz w:val="20"/>
                    <w:szCs w:val="20"/>
                  </w:rPr>
                  <w:fldChar w:fldCharType="end"/>
                </w:r>
              </w:sdtContent>
            </w:sdt>
          </w:p>
        </w:tc>
        <w:tc>
          <w:tcPr>
            <w:tcW w:w="1418" w:type="dxa"/>
          </w:tcPr>
          <w:p w14:paraId="3E287B8A" w14:textId="77777777" w:rsidR="0061549D" w:rsidRPr="00151ABA" w:rsidRDefault="0061549D" w:rsidP="00111163">
            <w:pPr>
              <w:rPr>
                <w:rFonts w:asciiTheme="majorBidi" w:hAnsiTheme="majorBidi" w:cstheme="majorBidi"/>
                <w:b/>
                <w:bCs/>
                <w:sz w:val="20"/>
                <w:szCs w:val="20"/>
              </w:rPr>
            </w:pPr>
            <w:r w:rsidRPr="00151ABA">
              <w:rPr>
                <w:rFonts w:asciiTheme="majorBidi" w:hAnsiTheme="majorBidi" w:cstheme="majorBidi"/>
                <w:sz w:val="20"/>
                <w:szCs w:val="20"/>
              </w:rPr>
              <w:t>United Arab Emirates</w:t>
            </w:r>
          </w:p>
        </w:tc>
      </w:tr>
      <w:tr w:rsidR="0061549D" w:rsidRPr="00151ABA" w14:paraId="3DC80E94" w14:textId="77777777" w:rsidTr="00111163">
        <w:trPr>
          <w:trHeight w:val="353"/>
          <w:jc w:val="center"/>
        </w:trPr>
        <w:tc>
          <w:tcPr>
            <w:tcW w:w="1838" w:type="dxa"/>
          </w:tcPr>
          <w:p w14:paraId="67BF4C15"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Company’s profitability</w:t>
            </w:r>
          </w:p>
        </w:tc>
        <w:tc>
          <w:tcPr>
            <w:tcW w:w="578" w:type="dxa"/>
          </w:tcPr>
          <w:p w14:paraId="30D6A86F"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n=2</w:t>
            </w:r>
          </w:p>
        </w:tc>
        <w:tc>
          <w:tcPr>
            <w:tcW w:w="0" w:type="auto"/>
          </w:tcPr>
          <w:p w14:paraId="360865E5"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Different sectors</w:t>
            </w:r>
          </w:p>
        </w:tc>
        <w:tc>
          <w:tcPr>
            <w:tcW w:w="2489" w:type="dxa"/>
          </w:tcPr>
          <w:p w14:paraId="7B39C52D"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(Abdelhalim &amp; Gamal Eldin, 2019)</w:t>
            </w:r>
            <w:r w:rsidRPr="00151ABA">
              <w:rPr>
                <w:rFonts w:asciiTheme="majorBidi" w:hAnsiTheme="majorBidi" w:cstheme="majorBidi"/>
                <w:sz w:val="20"/>
                <w:szCs w:val="20"/>
              </w:rPr>
              <w:br/>
            </w:r>
            <w:sdt>
              <w:sdtPr>
                <w:rPr>
                  <w:rFonts w:asciiTheme="majorBidi" w:hAnsiTheme="majorBidi" w:cstheme="majorBidi"/>
                  <w:sz w:val="20"/>
                  <w:szCs w:val="20"/>
                </w:rPr>
                <w:id w:val="-576750514"/>
                <w:citation/>
              </w:sdtPr>
              <w:sdtContent>
                <w:r w:rsidRPr="00151ABA">
                  <w:rPr>
                    <w:rFonts w:asciiTheme="majorBidi" w:hAnsiTheme="majorBidi" w:cstheme="majorBidi"/>
                    <w:sz w:val="20"/>
                    <w:szCs w:val="20"/>
                  </w:rPr>
                  <w:fldChar w:fldCharType="begin"/>
                </w:r>
                <w:r w:rsidRPr="00151ABA">
                  <w:rPr>
                    <w:rFonts w:asciiTheme="majorBidi" w:hAnsiTheme="majorBidi" w:cstheme="majorBidi"/>
                    <w:sz w:val="20"/>
                    <w:szCs w:val="20"/>
                  </w:rPr>
                  <w:instrText xml:space="preserve"> CITATION ElH21 \l 2057 </w:instrText>
                </w:r>
                <w:r w:rsidRPr="00151ABA">
                  <w:rPr>
                    <w:rFonts w:asciiTheme="majorBidi" w:hAnsiTheme="majorBidi" w:cstheme="majorBidi"/>
                    <w:sz w:val="20"/>
                    <w:szCs w:val="20"/>
                  </w:rPr>
                  <w:fldChar w:fldCharType="separate"/>
                </w:r>
                <w:r w:rsidRPr="00151ABA">
                  <w:rPr>
                    <w:rFonts w:asciiTheme="majorBidi" w:hAnsiTheme="majorBidi" w:cstheme="majorBidi"/>
                    <w:noProof/>
                    <w:sz w:val="20"/>
                    <w:szCs w:val="20"/>
                  </w:rPr>
                  <w:t>(El Haddad, Bachkirov, &amp; Grishina, 2021)</w:t>
                </w:r>
                <w:r w:rsidRPr="00151ABA">
                  <w:rPr>
                    <w:rFonts w:asciiTheme="majorBidi" w:hAnsiTheme="majorBidi" w:cstheme="majorBidi"/>
                    <w:sz w:val="20"/>
                    <w:szCs w:val="20"/>
                  </w:rPr>
                  <w:fldChar w:fldCharType="end"/>
                </w:r>
              </w:sdtContent>
            </w:sdt>
          </w:p>
        </w:tc>
        <w:tc>
          <w:tcPr>
            <w:tcW w:w="1418" w:type="dxa"/>
          </w:tcPr>
          <w:p w14:paraId="724E3805"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Egypt</w:t>
            </w:r>
            <w:r w:rsidRPr="00151ABA">
              <w:rPr>
                <w:rFonts w:asciiTheme="majorBidi" w:hAnsiTheme="majorBidi" w:cstheme="majorBidi"/>
                <w:sz w:val="20"/>
                <w:szCs w:val="20"/>
              </w:rPr>
              <w:br/>
              <w:t>Oman and Lebanon</w:t>
            </w:r>
          </w:p>
        </w:tc>
      </w:tr>
      <w:tr w:rsidR="0061549D" w:rsidRPr="00151ABA" w14:paraId="72AA202D" w14:textId="77777777" w:rsidTr="00111163">
        <w:trPr>
          <w:trHeight w:val="353"/>
          <w:jc w:val="center"/>
        </w:trPr>
        <w:tc>
          <w:tcPr>
            <w:tcW w:w="1838" w:type="dxa"/>
          </w:tcPr>
          <w:p w14:paraId="3EE419DC"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Firm Value </w:t>
            </w:r>
          </w:p>
        </w:tc>
        <w:tc>
          <w:tcPr>
            <w:tcW w:w="578" w:type="dxa"/>
          </w:tcPr>
          <w:p w14:paraId="4FC0DB72"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 xml:space="preserve">n=1 </w:t>
            </w:r>
          </w:p>
        </w:tc>
        <w:tc>
          <w:tcPr>
            <w:tcW w:w="0" w:type="auto"/>
          </w:tcPr>
          <w:p w14:paraId="34AF8C0A" w14:textId="77777777" w:rsidR="0061549D" w:rsidRPr="00151ABA" w:rsidRDefault="0061549D" w:rsidP="00111163">
            <w:pPr>
              <w:rPr>
                <w:rFonts w:asciiTheme="majorBidi" w:hAnsiTheme="majorBidi" w:cstheme="majorBidi"/>
                <w:sz w:val="20"/>
                <w:szCs w:val="20"/>
              </w:rPr>
            </w:pPr>
            <w:r w:rsidRPr="00151ABA">
              <w:rPr>
                <w:rFonts w:asciiTheme="majorBidi" w:hAnsiTheme="majorBidi" w:cstheme="majorBidi"/>
                <w:sz w:val="20"/>
                <w:szCs w:val="20"/>
              </w:rPr>
              <w:t>Different sectors</w:t>
            </w:r>
          </w:p>
        </w:tc>
        <w:tc>
          <w:tcPr>
            <w:tcW w:w="2489" w:type="dxa"/>
          </w:tcPr>
          <w:p w14:paraId="4D9C3D7D" w14:textId="77777777" w:rsidR="0061549D" w:rsidRPr="00151ABA" w:rsidRDefault="00000000" w:rsidP="00111163">
            <w:pPr>
              <w:rPr>
                <w:rFonts w:asciiTheme="majorBidi" w:hAnsiTheme="majorBidi" w:cstheme="majorBidi"/>
                <w:sz w:val="20"/>
                <w:szCs w:val="20"/>
              </w:rPr>
            </w:pPr>
            <w:sdt>
              <w:sdtPr>
                <w:rPr>
                  <w:rFonts w:asciiTheme="majorBidi" w:hAnsiTheme="majorBidi" w:cstheme="majorBidi"/>
                  <w:sz w:val="20"/>
                  <w:szCs w:val="20"/>
                </w:rPr>
                <w:id w:val="-1034883827"/>
                <w:citation/>
              </w:sdtPr>
              <w:sdtContent>
                <w:r w:rsidR="0061549D" w:rsidRPr="00151ABA">
                  <w:rPr>
                    <w:rFonts w:asciiTheme="majorBidi" w:hAnsiTheme="majorBidi" w:cstheme="majorBidi"/>
                    <w:sz w:val="20"/>
                    <w:szCs w:val="20"/>
                  </w:rPr>
                  <w:fldChar w:fldCharType="begin"/>
                </w:r>
                <w:r w:rsidR="0061549D" w:rsidRPr="00151ABA">
                  <w:rPr>
                    <w:rFonts w:asciiTheme="majorBidi" w:hAnsiTheme="majorBidi" w:cstheme="majorBidi"/>
                    <w:sz w:val="20"/>
                    <w:szCs w:val="20"/>
                  </w:rPr>
                  <w:instrText xml:space="preserve"> CITATION Daa19 \l 2057 </w:instrText>
                </w:r>
                <w:r w:rsidR="0061549D" w:rsidRPr="00151ABA">
                  <w:rPr>
                    <w:rFonts w:asciiTheme="majorBidi" w:hAnsiTheme="majorBidi" w:cstheme="majorBidi"/>
                    <w:sz w:val="20"/>
                    <w:szCs w:val="20"/>
                  </w:rPr>
                  <w:fldChar w:fldCharType="separate"/>
                </w:r>
                <w:r w:rsidR="0061549D" w:rsidRPr="00151ABA">
                  <w:rPr>
                    <w:rFonts w:asciiTheme="majorBidi" w:hAnsiTheme="majorBidi" w:cstheme="majorBidi"/>
                    <w:noProof/>
                    <w:sz w:val="20"/>
                    <w:szCs w:val="20"/>
                  </w:rPr>
                  <w:t>(Daas &amp; Alaraj, 2019)</w:t>
                </w:r>
                <w:r w:rsidR="0061549D" w:rsidRPr="00151ABA">
                  <w:rPr>
                    <w:rFonts w:asciiTheme="majorBidi" w:hAnsiTheme="majorBidi" w:cstheme="majorBidi"/>
                    <w:sz w:val="20"/>
                    <w:szCs w:val="20"/>
                  </w:rPr>
                  <w:fldChar w:fldCharType="end"/>
                </w:r>
              </w:sdtContent>
            </w:sdt>
            <w:r w:rsidR="0061549D" w:rsidRPr="00151ABA">
              <w:rPr>
                <w:rFonts w:asciiTheme="majorBidi" w:hAnsiTheme="majorBidi" w:cstheme="majorBidi"/>
                <w:sz w:val="20"/>
                <w:szCs w:val="20"/>
              </w:rPr>
              <w:t>.</w:t>
            </w:r>
          </w:p>
        </w:tc>
        <w:tc>
          <w:tcPr>
            <w:tcW w:w="1418" w:type="dxa"/>
          </w:tcPr>
          <w:p w14:paraId="7DEFC6CA" w14:textId="77777777" w:rsidR="0061549D" w:rsidRPr="00151ABA" w:rsidRDefault="0061549D" w:rsidP="00111163">
            <w:pPr>
              <w:keepNext/>
              <w:rPr>
                <w:rFonts w:asciiTheme="majorBidi" w:hAnsiTheme="majorBidi" w:cstheme="majorBidi"/>
                <w:sz w:val="20"/>
                <w:szCs w:val="20"/>
              </w:rPr>
            </w:pPr>
            <w:r w:rsidRPr="00151ABA">
              <w:rPr>
                <w:rFonts w:asciiTheme="majorBidi" w:hAnsiTheme="majorBidi" w:cstheme="majorBidi"/>
                <w:sz w:val="20"/>
                <w:szCs w:val="20"/>
              </w:rPr>
              <w:t>Jordan</w:t>
            </w:r>
          </w:p>
        </w:tc>
      </w:tr>
    </w:tbl>
    <w:bookmarkEnd w:id="87"/>
    <w:p w14:paraId="03A154AA" w14:textId="7387F1EB" w:rsidR="0061549D" w:rsidRPr="00021D5B" w:rsidRDefault="0061549D" w:rsidP="0061549D">
      <w:pPr>
        <w:pStyle w:val="Caption"/>
        <w:rPr>
          <w:rFonts w:asciiTheme="majorBidi" w:hAnsiTheme="majorBidi" w:cstheme="majorBidi"/>
          <w:b/>
          <w:bCs/>
          <w:color w:val="auto"/>
          <w:sz w:val="24"/>
          <w:szCs w:val="24"/>
        </w:rPr>
      </w:pPr>
      <w:r w:rsidRPr="00021D5B">
        <w:rPr>
          <w:color w:val="auto"/>
        </w:rPr>
        <w:t xml:space="preserve">Table </w:t>
      </w:r>
      <w:r w:rsidR="00044DE9">
        <w:rPr>
          <w:color w:val="auto"/>
        </w:rPr>
        <w:t>7</w:t>
      </w:r>
      <w:r w:rsidRPr="00021D5B">
        <w:rPr>
          <w:color w:val="auto"/>
        </w:rPr>
        <w:t xml:space="preserve"> Summary of articles providing evidence on the benefits of CSR to companies in the Middle East</w:t>
      </w:r>
    </w:p>
    <w:p w14:paraId="5F39AA0A" w14:textId="77777777" w:rsidR="0061549D" w:rsidRPr="00D00245" w:rsidRDefault="0061549D" w:rsidP="0061549D">
      <w:pPr>
        <w:rPr>
          <w:rFonts w:asciiTheme="majorBidi" w:eastAsia="Times New Roman" w:hAnsiTheme="majorBidi" w:cstheme="majorBidi"/>
          <w:b/>
          <w:bCs/>
          <w:lang w:eastAsia="en-GB"/>
        </w:rPr>
      </w:pPr>
      <w:r>
        <w:rPr>
          <w:rFonts w:asciiTheme="majorBidi" w:eastAsia="Times New Roman" w:hAnsiTheme="majorBidi" w:cstheme="majorBidi"/>
          <w:b/>
          <w:bCs/>
          <w:lang w:eastAsia="en-GB"/>
        </w:rPr>
        <w:t xml:space="preserve">3.2.5 </w:t>
      </w:r>
      <w:r w:rsidRPr="00D00245">
        <w:rPr>
          <w:rFonts w:asciiTheme="majorBidi" w:eastAsia="Times New Roman" w:hAnsiTheme="majorBidi" w:cstheme="majorBidi"/>
          <w:b/>
          <w:bCs/>
          <w:lang w:eastAsia="en-GB"/>
        </w:rPr>
        <w:t xml:space="preserve">CSR Communication </w:t>
      </w:r>
    </w:p>
    <w:p w14:paraId="423D28E2" w14:textId="77777777" w:rsidR="0061549D" w:rsidRPr="005E3607" w:rsidRDefault="0061549D" w:rsidP="0061549D">
      <w:pPr>
        <w:spacing w:after="0" w:line="480" w:lineRule="auto"/>
        <w:rPr>
          <w:rFonts w:ascii="Times New Roman" w:eastAsia="Arial" w:hAnsi="Times New Roman" w:cs="Times New Roman"/>
          <w:kern w:val="0"/>
          <w:sz w:val="24"/>
          <w:szCs w:val="24"/>
          <w14:ligatures w14:val="none"/>
        </w:rPr>
      </w:pPr>
      <w:r>
        <w:rPr>
          <w:rFonts w:asciiTheme="majorBidi" w:eastAsia="Times New Roman" w:hAnsiTheme="majorBidi" w:cstheme="majorBidi"/>
          <w:sz w:val="24"/>
          <w:szCs w:val="24"/>
          <w:lang w:eastAsia="en-GB"/>
        </w:rPr>
        <w:tab/>
      </w:r>
      <w:r w:rsidRPr="00FB0ADE">
        <w:rPr>
          <w:rFonts w:asciiTheme="majorBidi" w:eastAsia="Times New Roman" w:hAnsiTheme="majorBidi" w:cstheme="majorBidi"/>
          <w:sz w:val="24"/>
          <w:szCs w:val="24"/>
          <w:lang w:eastAsia="en-GB"/>
        </w:rPr>
        <w:t xml:space="preserve">While CSR practices and strategies were the commonly discussed topics in the articles that appeared in this review, there are </w:t>
      </w:r>
      <w:r>
        <w:rPr>
          <w:rFonts w:asciiTheme="majorBidi" w:eastAsia="Times New Roman" w:hAnsiTheme="majorBidi" w:cstheme="majorBidi"/>
          <w:sz w:val="24"/>
          <w:szCs w:val="24"/>
          <w:lang w:eastAsia="en-GB"/>
        </w:rPr>
        <w:t>f</w:t>
      </w:r>
      <w:r w:rsidRPr="00FB0ADE">
        <w:rPr>
          <w:rFonts w:asciiTheme="majorBidi" w:eastAsia="Times New Roman" w:hAnsiTheme="majorBidi" w:cstheme="majorBidi"/>
          <w:sz w:val="24"/>
          <w:szCs w:val="24"/>
          <w:lang w:eastAsia="en-GB"/>
        </w:rPr>
        <w:t>ew articles that focused on CSR communication.</w:t>
      </w:r>
      <w:r>
        <w:rPr>
          <w:rFonts w:asciiTheme="majorBidi" w:eastAsia="Times New Roman" w:hAnsiTheme="majorBidi" w:cstheme="majorBidi"/>
          <w:sz w:val="24"/>
          <w:szCs w:val="24"/>
          <w:lang w:eastAsia="en-GB"/>
        </w:rPr>
        <w:t xml:space="preserve"> </w:t>
      </w:r>
      <w:r>
        <w:rPr>
          <w:rFonts w:ascii="Times New Roman" w:eastAsia="Arial" w:hAnsi="Times New Roman" w:cs="Times New Roman"/>
          <w:kern w:val="0"/>
          <w:sz w:val="24"/>
          <w:szCs w:val="24"/>
          <w14:ligatures w14:val="none"/>
        </w:rPr>
        <w:t>Generally</w:t>
      </w:r>
      <w:r w:rsidRPr="00C10F79">
        <w:rPr>
          <w:rFonts w:ascii="Times New Roman" w:eastAsia="Arial" w:hAnsi="Times New Roman" w:cs="Times New Roman"/>
          <w:kern w:val="0"/>
          <w:sz w:val="24"/>
          <w:szCs w:val="24"/>
          <w14:ligatures w14:val="none"/>
        </w:rPr>
        <w:t xml:space="preserve">, a communication strategy answers the question of how a company intends to reach its target audience with a certain message across various media </w:t>
      </w:r>
      <w:sdt>
        <w:sdtPr>
          <w:rPr>
            <w:rFonts w:ascii="Times New Roman" w:eastAsia="Arial" w:hAnsi="Times New Roman" w:cs="Times New Roman"/>
            <w:kern w:val="0"/>
            <w:sz w:val="24"/>
            <w:szCs w:val="24"/>
            <w14:ligatures w14:val="none"/>
          </w:rPr>
          <w:id w:val="-436144300"/>
          <w:citation/>
        </w:sdtPr>
        <w:sdtContent>
          <w:r w:rsidRPr="00C10F79">
            <w:rPr>
              <w:rFonts w:ascii="Times New Roman" w:eastAsia="Arial" w:hAnsi="Times New Roman" w:cs="Times New Roman"/>
              <w:kern w:val="0"/>
              <w:sz w:val="24"/>
              <w:szCs w:val="24"/>
              <w14:ligatures w14:val="none"/>
            </w:rPr>
            <w:fldChar w:fldCharType="begin"/>
          </w:r>
          <w:r w:rsidRPr="00C10F79">
            <w:rPr>
              <w:rFonts w:ascii="Times New Roman" w:eastAsia="Arial" w:hAnsi="Times New Roman" w:cs="Times New Roman"/>
              <w:kern w:val="0"/>
              <w:sz w:val="24"/>
              <w:szCs w:val="24"/>
              <w14:ligatures w14:val="none"/>
            </w:rPr>
            <w:instrText xml:space="preserve"> CITATION Ntl20 \l 2057 </w:instrText>
          </w:r>
          <w:r w:rsidRPr="00C10F79">
            <w:rPr>
              <w:rFonts w:ascii="Times New Roman" w:eastAsia="Arial" w:hAnsi="Times New Roman" w:cs="Times New Roman"/>
              <w:kern w:val="0"/>
              <w:sz w:val="24"/>
              <w:szCs w:val="24"/>
              <w14:ligatures w14:val="none"/>
            </w:rPr>
            <w:fldChar w:fldCharType="separate"/>
          </w:r>
          <w:r w:rsidRPr="00C10F79">
            <w:rPr>
              <w:rFonts w:ascii="Times New Roman" w:eastAsia="Arial" w:hAnsi="Times New Roman" w:cs="Times New Roman"/>
              <w:noProof/>
              <w:kern w:val="0"/>
              <w:sz w:val="24"/>
              <w:szCs w:val="24"/>
              <w14:ligatures w14:val="none"/>
            </w:rPr>
            <w:t>(Ntloko, 2020)</w:t>
          </w:r>
          <w:r w:rsidRPr="00C10F79">
            <w:rPr>
              <w:rFonts w:ascii="Times New Roman" w:eastAsia="Arial" w:hAnsi="Times New Roman" w:cs="Times New Roman"/>
              <w:kern w:val="0"/>
              <w:sz w:val="24"/>
              <w:szCs w:val="24"/>
              <w14:ligatures w14:val="none"/>
            </w:rPr>
            <w:fldChar w:fldCharType="end"/>
          </w:r>
        </w:sdtContent>
      </w:sdt>
      <w:r w:rsidRPr="00C10F79">
        <w:rPr>
          <w:rFonts w:ascii="Times New Roman" w:eastAsia="Arial" w:hAnsi="Times New Roman" w:cs="Times New Roman"/>
          <w:kern w:val="0"/>
          <w:sz w:val="24"/>
          <w:szCs w:val="24"/>
          <w14:ligatures w14:val="none"/>
        </w:rPr>
        <w:t>.</w:t>
      </w:r>
      <w:r>
        <w:rPr>
          <w:rFonts w:ascii="Times New Roman" w:eastAsia="Arial" w:hAnsi="Times New Roman" w:cs="Times New Roman"/>
          <w:kern w:val="0"/>
          <w:sz w:val="24"/>
          <w:szCs w:val="24"/>
          <w14:ligatures w14:val="none"/>
        </w:rPr>
        <w:t xml:space="preserve"> </w:t>
      </w:r>
      <w:r>
        <w:rPr>
          <w:rFonts w:asciiTheme="majorBidi" w:eastAsia="Times New Roman" w:hAnsiTheme="majorBidi" w:cstheme="majorBidi"/>
          <w:sz w:val="24"/>
          <w:szCs w:val="24"/>
          <w:lang w:eastAsia="en-GB"/>
        </w:rPr>
        <w:t>Just like any communication strategy, CSR can be communicated through different ways. For instance,</w:t>
      </w:r>
      <w:r w:rsidRPr="00FB0ADE">
        <w:rPr>
          <w:rFonts w:asciiTheme="majorBidi" w:eastAsia="Times New Roman" w:hAnsiTheme="majorBidi" w:cstheme="majorBidi"/>
          <w:sz w:val="24"/>
          <w:szCs w:val="24"/>
          <w:lang w:eastAsia="en-GB"/>
        </w:rPr>
        <w:t xml:space="preserve"> </w:t>
      </w:r>
      <w:r>
        <w:rPr>
          <w:rFonts w:asciiTheme="majorBidi" w:eastAsia="Times New Roman" w:hAnsiTheme="majorBidi" w:cstheme="majorBidi"/>
          <w:sz w:val="24"/>
          <w:szCs w:val="24"/>
          <w:lang w:eastAsia="en-GB"/>
        </w:rPr>
        <w:t>p</w:t>
      </w:r>
      <w:r w:rsidRPr="00EB5663">
        <w:rPr>
          <w:rFonts w:asciiTheme="majorBidi" w:eastAsia="Times New Roman" w:hAnsiTheme="majorBidi" w:cstheme="majorBidi"/>
          <w:sz w:val="24"/>
          <w:szCs w:val="24"/>
          <w:lang w:eastAsia="en-GB"/>
        </w:rPr>
        <w:t xml:space="preserve">hilanthropic causes are the most practiced strategy by </w:t>
      </w:r>
      <w:r>
        <w:rPr>
          <w:rFonts w:asciiTheme="majorBidi" w:eastAsia="Times New Roman" w:hAnsiTheme="majorBidi" w:cstheme="majorBidi"/>
          <w:sz w:val="24"/>
          <w:szCs w:val="24"/>
          <w:lang w:eastAsia="en-GB"/>
        </w:rPr>
        <w:t>international</w:t>
      </w:r>
      <w:r w:rsidRPr="00EB5663">
        <w:rPr>
          <w:rFonts w:asciiTheme="majorBidi" w:eastAsia="Times New Roman" w:hAnsiTheme="majorBidi" w:cstheme="majorBidi"/>
          <w:sz w:val="24"/>
          <w:szCs w:val="24"/>
          <w:lang w:eastAsia="en-GB"/>
        </w:rPr>
        <w:t xml:space="preserve"> banks in UAE whereas cause-promotion practices are the most common strategy practiced by </w:t>
      </w:r>
      <w:r>
        <w:rPr>
          <w:rFonts w:asciiTheme="majorBidi" w:eastAsia="Times New Roman" w:hAnsiTheme="majorBidi" w:cstheme="majorBidi"/>
          <w:sz w:val="24"/>
          <w:szCs w:val="24"/>
          <w:lang w:eastAsia="en-GB"/>
        </w:rPr>
        <w:t>local</w:t>
      </w:r>
      <w:r w:rsidRPr="00EB5663">
        <w:rPr>
          <w:rFonts w:asciiTheme="majorBidi" w:eastAsia="Times New Roman" w:hAnsiTheme="majorBidi" w:cstheme="majorBidi"/>
          <w:sz w:val="24"/>
          <w:szCs w:val="24"/>
          <w:lang w:eastAsia="en-GB"/>
        </w:rPr>
        <w:t xml:space="preserve"> banks </w:t>
      </w:r>
      <w:sdt>
        <w:sdtPr>
          <w:rPr>
            <w:rFonts w:asciiTheme="majorBidi" w:eastAsia="Times New Roman" w:hAnsiTheme="majorBidi" w:cstheme="majorBidi"/>
            <w:sz w:val="24"/>
            <w:szCs w:val="24"/>
            <w:lang w:eastAsia="en-GB"/>
          </w:rPr>
          <w:id w:val="706305389"/>
          <w:citation/>
        </w:sdtPr>
        <w:sdtContent>
          <w:r w:rsidRPr="00EB5663">
            <w:rPr>
              <w:rFonts w:asciiTheme="majorBidi" w:eastAsia="Times New Roman" w:hAnsiTheme="majorBidi" w:cstheme="majorBidi"/>
              <w:sz w:val="24"/>
              <w:szCs w:val="24"/>
              <w:lang w:eastAsia="en-GB"/>
            </w:rPr>
            <w:fldChar w:fldCharType="begin"/>
          </w:r>
          <w:r w:rsidRPr="00EB5663">
            <w:rPr>
              <w:rFonts w:asciiTheme="majorBidi" w:eastAsia="Times New Roman" w:hAnsiTheme="majorBidi" w:cstheme="majorBidi"/>
              <w:sz w:val="24"/>
              <w:szCs w:val="24"/>
              <w:lang w:eastAsia="en-GB"/>
            </w:rPr>
            <w:instrText xml:space="preserve"> CITATION Geo21 \l 2057 </w:instrText>
          </w:r>
          <w:r w:rsidRPr="00EB5663">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(Georgiadou &amp; Nickerson, Marketing strategies in communicating CSR in the Muslim market of the United Arab Emirates: insights from the banking sector, 2021)</w:t>
          </w:r>
          <w:r w:rsidRPr="00EB5663">
            <w:rPr>
              <w:rFonts w:asciiTheme="majorBidi" w:eastAsia="Times New Roman" w:hAnsiTheme="majorBidi" w:cstheme="majorBidi"/>
              <w:sz w:val="24"/>
              <w:szCs w:val="24"/>
              <w:lang w:eastAsia="en-GB"/>
            </w:rPr>
            <w:fldChar w:fldCharType="end"/>
          </w:r>
        </w:sdtContent>
      </w:sdt>
      <w:r w:rsidRPr="00EB5663">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In the review, </w:t>
      </w:r>
      <w:r w:rsidRPr="00D00245">
        <w:rPr>
          <w:rFonts w:asciiTheme="majorBidi" w:eastAsia="Times New Roman" w:hAnsiTheme="majorBidi" w:cstheme="majorBidi"/>
          <w:sz w:val="24"/>
          <w:szCs w:val="24"/>
          <w:lang w:eastAsia="en-GB"/>
        </w:rPr>
        <w:t xml:space="preserve">CSR </w:t>
      </w:r>
      <w:r>
        <w:rPr>
          <w:rFonts w:asciiTheme="majorBidi" w:eastAsia="Times New Roman" w:hAnsiTheme="majorBidi" w:cstheme="majorBidi"/>
          <w:sz w:val="24"/>
          <w:szCs w:val="24"/>
          <w:lang w:eastAsia="en-GB"/>
        </w:rPr>
        <w:t>appeared as a potential</w:t>
      </w:r>
      <w:r w:rsidRPr="00D00245">
        <w:rPr>
          <w:rFonts w:asciiTheme="majorBidi" w:eastAsia="Times New Roman" w:hAnsiTheme="majorBidi" w:cstheme="majorBidi"/>
          <w:sz w:val="24"/>
          <w:szCs w:val="24"/>
          <w:lang w:eastAsia="en-GB"/>
        </w:rPr>
        <w:t xml:space="preserve"> marketing strateg</w:t>
      </w:r>
      <w:r>
        <w:rPr>
          <w:rFonts w:asciiTheme="majorBidi" w:eastAsia="Times New Roman" w:hAnsiTheme="majorBidi" w:cstheme="majorBidi"/>
          <w:sz w:val="24"/>
          <w:szCs w:val="24"/>
          <w:lang w:eastAsia="en-GB"/>
        </w:rPr>
        <w:t>y</w:t>
      </w:r>
      <w:r w:rsidRPr="00D00245">
        <w:rPr>
          <w:rFonts w:asciiTheme="majorBidi" w:eastAsia="Times New Roman" w:hAnsiTheme="majorBidi" w:cstheme="majorBidi"/>
          <w:sz w:val="24"/>
          <w:szCs w:val="24"/>
          <w:lang w:eastAsia="en-GB"/>
        </w:rPr>
        <w:t xml:space="preserve"> for </w:t>
      </w:r>
      <w:r>
        <w:rPr>
          <w:rFonts w:asciiTheme="majorBidi" w:eastAsia="Times New Roman" w:hAnsiTheme="majorBidi" w:cstheme="majorBidi"/>
          <w:sz w:val="24"/>
          <w:szCs w:val="24"/>
          <w:lang w:eastAsia="en-GB"/>
        </w:rPr>
        <w:t>architecture and design firms</w:t>
      </w:r>
      <w:r w:rsidRPr="00D00245">
        <w:rPr>
          <w:rFonts w:asciiTheme="majorBidi" w:eastAsia="Times New Roman" w:hAnsiTheme="majorBidi" w:cstheme="majorBidi"/>
          <w:sz w:val="24"/>
          <w:szCs w:val="24"/>
          <w:lang w:eastAsia="en-GB"/>
        </w:rPr>
        <w:t xml:space="preserve"> since it emphasises the</w:t>
      </w:r>
      <w:r>
        <w:rPr>
          <w:rFonts w:asciiTheme="majorBidi" w:eastAsia="Times New Roman" w:hAnsiTheme="majorBidi" w:cstheme="majorBidi"/>
          <w:sz w:val="24"/>
          <w:szCs w:val="24"/>
          <w:lang w:eastAsia="en-GB"/>
        </w:rPr>
        <w:t xml:space="preserve"> betterment of</w:t>
      </w:r>
      <w:r w:rsidRPr="00D00245">
        <w:rPr>
          <w:rFonts w:asciiTheme="majorBidi" w:eastAsia="Times New Roman" w:hAnsiTheme="majorBidi" w:cstheme="majorBidi"/>
          <w:sz w:val="24"/>
          <w:szCs w:val="24"/>
          <w:lang w:eastAsia="en-GB"/>
        </w:rPr>
        <w:t xml:space="preserve"> society and satisfying its needs, which is consistent with the </w:t>
      </w:r>
      <w:r>
        <w:rPr>
          <w:rFonts w:asciiTheme="majorBidi" w:eastAsia="Times New Roman" w:hAnsiTheme="majorBidi" w:cstheme="majorBidi"/>
          <w:sz w:val="24"/>
          <w:szCs w:val="24"/>
          <w:lang w:eastAsia="en-GB"/>
        </w:rPr>
        <w:t xml:space="preserve">job of </w:t>
      </w:r>
      <w:r w:rsidRPr="00D00245">
        <w:rPr>
          <w:rFonts w:asciiTheme="majorBidi" w:eastAsia="Times New Roman" w:hAnsiTheme="majorBidi" w:cstheme="majorBidi"/>
          <w:sz w:val="24"/>
          <w:szCs w:val="24"/>
          <w:lang w:eastAsia="en-GB"/>
        </w:rPr>
        <w:t>architect</w:t>
      </w:r>
      <w:r>
        <w:rPr>
          <w:rFonts w:asciiTheme="majorBidi" w:eastAsia="Times New Roman" w:hAnsiTheme="majorBidi" w:cstheme="majorBidi"/>
          <w:sz w:val="24"/>
          <w:szCs w:val="24"/>
          <w:lang w:eastAsia="en-GB"/>
        </w:rPr>
        <w:t>ure</w:t>
      </w:r>
      <w:r w:rsidRPr="00D00245">
        <w:rPr>
          <w:rFonts w:asciiTheme="majorBidi" w:eastAsia="Times New Roman" w:hAnsiTheme="majorBidi" w:cstheme="majorBidi"/>
          <w:sz w:val="24"/>
          <w:szCs w:val="24"/>
          <w:lang w:eastAsia="en-GB"/>
        </w:rPr>
        <w:t xml:space="preserve">, </w:t>
      </w:r>
      <w:r>
        <w:rPr>
          <w:rFonts w:asciiTheme="majorBidi" w:eastAsia="Times New Roman" w:hAnsiTheme="majorBidi" w:cstheme="majorBidi"/>
          <w:sz w:val="24"/>
          <w:szCs w:val="24"/>
          <w:lang w:eastAsia="en-GB"/>
        </w:rPr>
        <w:t>especially</w:t>
      </w:r>
      <w:r w:rsidRPr="00D00245">
        <w:rPr>
          <w:rFonts w:asciiTheme="majorBidi" w:eastAsia="Times New Roman" w:hAnsiTheme="majorBidi" w:cstheme="majorBidi"/>
          <w:sz w:val="24"/>
          <w:szCs w:val="24"/>
          <w:lang w:eastAsia="en-GB"/>
        </w:rPr>
        <w:t xml:space="preserve"> in developing nations</w:t>
      </w:r>
      <w:sdt>
        <w:sdtPr>
          <w:rPr>
            <w:rFonts w:asciiTheme="majorBidi" w:eastAsia="Times New Roman" w:hAnsiTheme="majorBidi" w:cstheme="majorBidi"/>
            <w:sz w:val="24"/>
            <w:szCs w:val="24"/>
            <w:lang w:eastAsia="en-GB"/>
          </w:rPr>
          <w:id w:val="1087124276"/>
          <w:citation/>
        </w:sdtPr>
        <w:sdtContent>
          <w:r>
            <w:rPr>
              <w:rFonts w:asciiTheme="majorBidi" w:eastAsia="Times New Roman" w:hAnsiTheme="majorBidi" w:cstheme="majorBidi"/>
              <w:sz w:val="24"/>
              <w:szCs w:val="24"/>
              <w:lang w:eastAsia="en-GB"/>
            </w:rPr>
            <w:fldChar w:fldCharType="begin"/>
          </w:r>
          <w:r>
            <w:rPr>
              <w:rFonts w:asciiTheme="majorBidi" w:eastAsia="Times New Roman" w:hAnsiTheme="majorBidi" w:cstheme="majorBidi"/>
              <w:sz w:val="24"/>
              <w:szCs w:val="24"/>
              <w:lang w:eastAsia="en-GB"/>
            </w:rPr>
            <w:instrText xml:space="preserve"> CITATION Oth19 \l 2057 </w:instrText>
          </w:r>
          <w:r>
            <w:rPr>
              <w:rFonts w:asciiTheme="majorBidi" w:eastAsia="Times New Roman" w:hAnsiTheme="majorBidi" w:cstheme="majorBidi"/>
              <w:sz w:val="24"/>
              <w:szCs w:val="24"/>
              <w:lang w:eastAsia="en-GB"/>
            </w:rPr>
            <w:fldChar w:fldCharType="separate"/>
          </w:r>
          <w:r>
            <w:rPr>
              <w:rFonts w:asciiTheme="majorBidi" w:eastAsia="Times New Roman" w:hAnsiTheme="majorBidi" w:cstheme="majorBidi"/>
              <w:noProof/>
              <w:sz w:val="24"/>
              <w:szCs w:val="24"/>
              <w:lang w:eastAsia="en-GB"/>
            </w:rPr>
            <w:t xml:space="preserve"> </w:t>
          </w:r>
          <w:r w:rsidRPr="003275FC">
            <w:rPr>
              <w:rFonts w:asciiTheme="majorBidi" w:eastAsia="Times New Roman" w:hAnsiTheme="majorBidi" w:cstheme="majorBidi"/>
              <w:noProof/>
              <w:sz w:val="24"/>
              <w:szCs w:val="24"/>
              <w:lang w:eastAsia="en-GB"/>
            </w:rPr>
            <w:t>(Othman &amp; Hafez, 2019)</w:t>
          </w:r>
          <w:r>
            <w:rPr>
              <w:rFonts w:asciiTheme="majorBidi" w:eastAsia="Times New Roman" w:hAnsiTheme="majorBidi" w:cstheme="majorBidi"/>
              <w:sz w:val="24"/>
              <w:szCs w:val="24"/>
              <w:lang w:eastAsia="en-GB"/>
            </w:rPr>
            <w:fldChar w:fldCharType="end"/>
          </w:r>
        </w:sdtContent>
      </w:sdt>
      <w:r w:rsidRPr="00D00245">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w:t>
      </w:r>
      <w:r w:rsidRPr="00021D5B">
        <w:rPr>
          <w:rFonts w:asciiTheme="majorBidi" w:eastAsia="Times New Roman" w:hAnsiTheme="majorBidi" w:cstheme="majorBidi"/>
          <w:sz w:val="24"/>
          <w:szCs w:val="24"/>
          <w:lang w:eastAsia="en-GB"/>
        </w:rPr>
        <w:t xml:space="preserve">Another study highlights the importance of using social media in Egypt to communicate CSR campaigns because it has an impact on reducing people’s scepticism towards CSR </w:t>
      </w:r>
      <w:sdt>
        <w:sdtPr>
          <w:rPr>
            <w:rFonts w:asciiTheme="majorBidi" w:eastAsia="Times New Roman" w:hAnsiTheme="majorBidi" w:cstheme="majorBidi"/>
            <w:sz w:val="24"/>
            <w:szCs w:val="24"/>
            <w:lang w:eastAsia="en-GB"/>
          </w:rPr>
          <w:id w:val="270749041"/>
          <w:citation/>
        </w:sdtPr>
        <w:sdtContent>
          <w:r w:rsidRPr="00021D5B">
            <w:rPr>
              <w:rFonts w:asciiTheme="majorBidi" w:eastAsia="Times New Roman" w:hAnsiTheme="majorBidi" w:cstheme="majorBidi"/>
              <w:sz w:val="24"/>
              <w:szCs w:val="24"/>
              <w:lang w:eastAsia="en-GB"/>
            </w:rPr>
            <w:fldChar w:fldCharType="begin"/>
          </w:r>
          <w:r w:rsidRPr="00021D5B">
            <w:rPr>
              <w:rFonts w:asciiTheme="majorBidi" w:eastAsia="Times New Roman" w:hAnsiTheme="majorBidi" w:cstheme="majorBidi"/>
              <w:sz w:val="24"/>
              <w:szCs w:val="24"/>
              <w:lang w:eastAsia="en-GB"/>
            </w:rPr>
            <w:instrText xml:space="preserve"> CITATION Abd23 \l 2057 </w:instrText>
          </w:r>
          <w:r w:rsidRPr="00021D5B">
            <w:rPr>
              <w:rFonts w:asciiTheme="majorBidi" w:eastAsia="Times New Roman" w:hAnsiTheme="majorBidi" w:cstheme="majorBidi"/>
              <w:sz w:val="24"/>
              <w:szCs w:val="24"/>
              <w:lang w:eastAsia="en-GB"/>
            </w:rPr>
            <w:fldChar w:fldCharType="separate"/>
          </w:r>
          <w:r w:rsidRPr="00021D5B">
            <w:rPr>
              <w:rFonts w:asciiTheme="majorBidi" w:eastAsia="Times New Roman" w:hAnsiTheme="majorBidi" w:cstheme="majorBidi"/>
              <w:noProof/>
              <w:sz w:val="24"/>
              <w:szCs w:val="24"/>
              <w:lang w:eastAsia="en-GB"/>
            </w:rPr>
            <w:t>(Abdel Magid, et al., 2023)</w:t>
          </w:r>
          <w:r w:rsidRPr="00021D5B">
            <w:rPr>
              <w:rFonts w:asciiTheme="majorBidi" w:eastAsia="Times New Roman" w:hAnsiTheme="majorBidi" w:cstheme="majorBidi"/>
              <w:sz w:val="24"/>
              <w:szCs w:val="24"/>
              <w:lang w:eastAsia="en-GB"/>
            </w:rPr>
            <w:fldChar w:fldCharType="end"/>
          </w:r>
        </w:sdtContent>
      </w:sdt>
      <w:r w:rsidRPr="00021D5B">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Clearly, the specific need of any country or society and the nature of the industry affects the type of CSR campaign as well as communication strategy.</w:t>
      </w:r>
    </w:p>
    <w:p w14:paraId="3F564B7B" w14:textId="77777777" w:rsidR="0061549D" w:rsidRDefault="0061549D" w:rsidP="0061549D">
      <w:pPr>
        <w:rPr>
          <w:rFonts w:asciiTheme="majorBidi" w:hAnsiTheme="majorBidi" w:cstheme="majorBidi"/>
          <w:b/>
          <w:bCs/>
          <w:sz w:val="24"/>
          <w:szCs w:val="24"/>
        </w:rPr>
      </w:pPr>
      <w:r>
        <w:rPr>
          <w:rFonts w:asciiTheme="majorBidi" w:hAnsiTheme="majorBidi" w:cstheme="majorBidi"/>
          <w:b/>
          <w:bCs/>
          <w:sz w:val="24"/>
          <w:szCs w:val="24"/>
        </w:rPr>
        <w:t xml:space="preserve">3.2.6 </w:t>
      </w:r>
      <w:r w:rsidRPr="002117D4">
        <w:rPr>
          <w:rFonts w:asciiTheme="majorBidi" w:hAnsiTheme="majorBidi" w:cstheme="majorBidi"/>
          <w:b/>
          <w:bCs/>
          <w:sz w:val="24"/>
          <w:szCs w:val="24"/>
        </w:rPr>
        <w:t xml:space="preserve">CSR </w:t>
      </w:r>
      <w:r>
        <w:rPr>
          <w:rFonts w:asciiTheme="majorBidi" w:hAnsiTheme="majorBidi" w:cstheme="majorBidi"/>
          <w:b/>
          <w:bCs/>
          <w:sz w:val="24"/>
          <w:szCs w:val="24"/>
        </w:rPr>
        <w:t xml:space="preserve">Perception </w:t>
      </w:r>
    </w:p>
    <w:p w14:paraId="6C9A7E4E" w14:textId="77777777" w:rsidR="0061549D" w:rsidRPr="001C1B7D" w:rsidRDefault="0061549D" w:rsidP="0061549D">
      <w:pPr>
        <w:spacing w:line="480" w:lineRule="auto"/>
        <w:rPr>
          <w:rFonts w:asciiTheme="majorBidi" w:hAnsiTheme="majorBidi" w:cstheme="majorBidi"/>
          <w:sz w:val="24"/>
          <w:szCs w:val="24"/>
        </w:rPr>
      </w:pPr>
      <w:r>
        <w:rPr>
          <w:rFonts w:asciiTheme="majorBidi" w:hAnsiTheme="majorBidi" w:cstheme="majorBidi"/>
          <w:sz w:val="24"/>
          <w:szCs w:val="24"/>
        </w:rPr>
        <w:tab/>
      </w:r>
      <w:r w:rsidRPr="001C1B7D">
        <w:rPr>
          <w:rFonts w:asciiTheme="majorBidi" w:hAnsiTheme="majorBidi" w:cstheme="majorBidi"/>
          <w:sz w:val="24"/>
          <w:szCs w:val="24"/>
        </w:rPr>
        <w:t xml:space="preserve">Some studies address CSR perception but, most of them </w:t>
      </w:r>
      <w:r>
        <w:rPr>
          <w:rFonts w:asciiTheme="majorBidi" w:hAnsiTheme="majorBidi" w:cstheme="majorBidi"/>
          <w:sz w:val="24"/>
          <w:szCs w:val="24"/>
        </w:rPr>
        <w:t>examine</w:t>
      </w:r>
      <w:r w:rsidRPr="001C1B7D">
        <w:rPr>
          <w:rFonts w:asciiTheme="majorBidi" w:hAnsiTheme="majorBidi" w:cstheme="majorBidi"/>
          <w:sz w:val="24"/>
          <w:szCs w:val="24"/>
        </w:rPr>
        <w:t xml:space="preserve"> the employees’ or managers’ CSR perception</w:t>
      </w:r>
      <w:r w:rsidRPr="001C1B7D">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511180220"/>
          <w:citation/>
        </w:sdtPr>
        <w:sdtContent>
          <w:r w:rsidRPr="001C1B7D">
            <w:rPr>
              <w:rFonts w:asciiTheme="majorBidi" w:eastAsia="Times New Roman" w:hAnsiTheme="majorBidi" w:cstheme="majorBidi"/>
              <w:sz w:val="24"/>
              <w:szCs w:val="24"/>
              <w:lang w:eastAsia="en-GB"/>
            </w:rPr>
            <w:fldChar w:fldCharType="begin"/>
          </w:r>
          <w:r w:rsidRPr="001C1B7D">
            <w:rPr>
              <w:rFonts w:asciiTheme="majorBidi" w:eastAsia="Times New Roman" w:hAnsiTheme="majorBidi" w:cstheme="majorBidi"/>
              <w:sz w:val="24"/>
              <w:szCs w:val="24"/>
              <w:lang w:eastAsia="en-GB"/>
            </w:rPr>
            <w:instrText xml:space="preserve"> CITATION Dut18 \l 2057  \m ElH21</w:instrText>
          </w:r>
          <w:r w:rsidRPr="001C1B7D">
            <w:rPr>
              <w:rFonts w:asciiTheme="majorBidi" w:eastAsia="Times New Roman" w:hAnsiTheme="majorBidi" w:cstheme="majorBidi"/>
              <w:sz w:val="24"/>
              <w:szCs w:val="24"/>
              <w:lang w:eastAsia="en-GB"/>
            </w:rPr>
            <w:fldChar w:fldCharType="separate"/>
          </w:r>
          <w:r w:rsidRPr="001C1B7D">
            <w:rPr>
              <w:rFonts w:asciiTheme="majorBidi" w:eastAsia="Times New Roman" w:hAnsiTheme="majorBidi" w:cstheme="majorBidi"/>
              <w:noProof/>
              <w:sz w:val="24"/>
              <w:szCs w:val="24"/>
              <w:lang w:eastAsia="en-GB"/>
            </w:rPr>
            <w:t>(Duthler &amp; Dhanesh, 2018; El Haddad, Bachkirov, &amp; Grishina, 2021)</w:t>
          </w:r>
          <w:r w:rsidRPr="001C1B7D">
            <w:rPr>
              <w:rFonts w:asciiTheme="majorBidi" w:eastAsia="Times New Roman" w:hAnsiTheme="majorBidi" w:cstheme="majorBidi"/>
              <w:sz w:val="24"/>
              <w:szCs w:val="24"/>
              <w:lang w:eastAsia="en-GB"/>
            </w:rPr>
            <w:fldChar w:fldCharType="end"/>
          </w:r>
        </w:sdtContent>
      </w:sdt>
      <w:r w:rsidRPr="001C1B7D">
        <w:rPr>
          <w:rFonts w:asciiTheme="majorBidi" w:hAnsiTheme="majorBidi" w:cstheme="majorBidi"/>
          <w:sz w:val="24"/>
          <w:szCs w:val="24"/>
        </w:rPr>
        <w:t xml:space="preserve">. The results of the review revealed that CSR perception positively influenced employee engagement </w:t>
      </w:r>
      <w:bookmarkStart w:id="90" w:name="_Hlk136371993"/>
      <w:sdt>
        <w:sdtPr>
          <w:rPr>
            <w:rFonts w:asciiTheme="majorBidi" w:eastAsia="Times New Roman" w:hAnsiTheme="majorBidi" w:cstheme="majorBidi"/>
            <w:sz w:val="24"/>
            <w:szCs w:val="24"/>
            <w:lang w:eastAsia="en-GB"/>
          </w:rPr>
          <w:id w:val="1690171234"/>
          <w:citation/>
        </w:sdtPr>
        <w:sdtContent>
          <w:r w:rsidRPr="001C1B7D">
            <w:rPr>
              <w:rFonts w:asciiTheme="majorBidi" w:eastAsia="Times New Roman" w:hAnsiTheme="majorBidi" w:cstheme="majorBidi"/>
              <w:sz w:val="24"/>
              <w:szCs w:val="24"/>
              <w:lang w:eastAsia="en-GB"/>
            </w:rPr>
            <w:fldChar w:fldCharType="begin"/>
          </w:r>
          <w:r w:rsidRPr="001C1B7D">
            <w:rPr>
              <w:rFonts w:asciiTheme="majorBidi" w:eastAsia="Times New Roman" w:hAnsiTheme="majorBidi" w:cstheme="majorBidi"/>
              <w:sz w:val="24"/>
              <w:szCs w:val="24"/>
              <w:lang w:eastAsia="en-GB"/>
            </w:rPr>
            <w:instrText xml:space="preserve"> CITATION Dut18 \l 2057 </w:instrText>
          </w:r>
          <w:r w:rsidRPr="001C1B7D">
            <w:rPr>
              <w:rFonts w:asciiTheme="majorBidi" w:eastAsia="Times New Roman" w:hAnsiTheme="majorBidi" w:cstheme="majorBidi"/>
              <w:sz w:val="24"/>
              <w:szCs w:val="24"/>
              <w:lang w:eastAsia="en-GB"/>
            </w:rPr>
            <w:fldChar w:fldCharType="separate"/>
          </w:r>
          <w:r w:rsidRPr="001C1B7D">
            <w:rPr>
              <w:rFonts w:asciiTheme="majorBidi" w:eastAsia="Times New Roman" w:hAnsiTheme="majorBidi" w:cstheme="majorBidi"/>
              <w:noProof/>
              <w:sz w:val="24"/>
              <w:szCs w:val="24"/>
              <w:lang w:eastAsia="en-GB"/>
            </w:rPr>
            <w:t>(</w:t>
          </w:r>
          <w:bookmarkStart w:id="91" w:name="_Hlk123563343"/>
          <w:r w:rsidRPr="001C1B7D">
            <w:rPr>
              <w:rFonts w:asciiTheme="majorBidi" w:eastAsia="Times New Roman" w:hAnsiTheme="majorBidi" w:cstheme="majorBidi"/>
              <w:noProof/>
              <w:sz w:val="24"/>
              <w:szCs w:val="24"/>
              <w:lang w:eastAsia="en-GB"/>
            </w:rPr>
            <w:t>Duthler &amp; Dhanesh, 2018)</w:t>
          </w:r>
          <w:bookmarkEnd w:id="91"/>
          <w:r w:rsidRPr="001C1B7D">
            <w:rPr>
              <w:rFonts w:asciiTheme="majorBidi" w:eastAsia="Times New Roman" w:hAnsiTheme="majorBidi" w:cstheme="majorBidi"/>
              <w:sz w:val="24"/>
              <w:szCs w:val="24"/>
              <w:lang w:eastAsia="en-GB"/>
            </w:rPr>
            <w:fldChar w:fldCharType="end"/>
          </w:r>
        </w:sdtContent>
      </w:sdt>
      <w:bookmarkEnd w:id="90"/>
      <w:r w:rsidRPr="001C1B7D">
        <w:rPr>
          <w:rFonts w:asciiTheme="majorBidi" w:hAnsiTheme="majorBidi" w:cstheme="majorBidi"/>
          <w:sz w:val="24"/>
          <w:szCs w:val="24"/>
        </w:rPr>
        <w:t xml:space="preserve">  and their creativity </w:t>
      </w:r>
      <w:sdt>
        <w:sdtPr>
          <w:rPr>
            <w:rFonts w:asciiTheme="majorBidi" w:hAnsiTheme="majorBidi" w:cstheme="majorBidi"/>
            <w:sz w:val="24"/>
            <w:szCs w:val="24"/>
          </w:rPr>
          <w:id w:val="-1706859644"/>
          <w:citation/>
        </w:sdtPr>
        <w:sdtContent>
          <w:r w:rsidRPr="001C1B7D">
            <w:rPr>
              <w:rFonts w:asciiTheme="majorBidi" w:hAnsiTheme="majorBidi" w:cstheme="majorBidi"/>
              <w:sz w:val="24"/>
              <w:szCs w:val="24"/>
            </w:rPr>
            <w:fldChar w:fldCharType="begin"/>
          </w:r>
          <w:r w:rsidRPr="001C1B7D">
            <w:rPr>
              <w:rFonts w:asciiTheme="majorBidi" w:hAnsiTheme="majorBidi" w:cstheme="majorBidi"/>
              <w:sz w:val="24"/>
              <w:szCs w:val="24"/>
            </w:rPr>
            <w:instrText xml:space="preserve"> CITATION Abd18 \l 2057 </w:instrText>
          </w:r>
          <w:r w:rsidRPr="001C1B7D">
            <w:rPr>
              <w:rFonts w:asciiTheme="majorBidi" w:hAnsiTheme="majorBidi" w:cstheme="majorBidi"/>
              <w:sz w:val="24"/>
              <w:szCs w:val="24"/>
            </w:rPr>
            <w:fldChar w:fldCharType="separate"/>
          </w:r>
          <w:r w:rsidRPr="001C1B7D">
            <w:rPr>
              <w:rFonts w:asciiTheme="majorBidi" w:hAnsiTheme="majorBidi" w:cstheme="majorBidi"/>
              <w:noProof/>
              <w:sz w:val="24"/>
              <w:szCs w:val="24"/>
            </w:rPr>
            <w:t>(Abdelmotaleb, et al., 2018)</w:t>
          </w:r>
          <w:r w:rsidRPr="001C1B7D">
            <w:rPr>
              <w:rFonts w:asciiTheme="majorBidi" w:hAnsiTheme="majorBidi" w:cstheme="majorBidi"/>
              <w:sz w:val="24"/>
              <w:szCs w:val="24"/>
            </w:rPr>
            <w:fldChar w:fldCharType="end"/>
          </w:r>
        </w:sdtContent>
      </w:sdt>
      <w:r w:rsidRPr="001C1B7D">
        <w:rPr>
          <w:rFonts w:asciiTheme="majorBidi" w:hAnsiTheme="majorBidi" w:cstheme="majorBidi"/>
          <w:sz w:val="24"/>
          <w:szCs w:val="24"/>
        </w:rPr>
        <w:t>. Yet, some studies examine the perception of CSR from</w:t>
      </w:r>
      <w:r>
        <w:rPr>
          <w:rFonts w:asciiTheme="majorBidi" w:hAnsiTheme="majorBidi" w:cstheme="majorBidi"/>
          <w:sz w:val="24"/>
          <w:szCs w:val="24"/>
        </w:rPr>
        <w:t xml:space="preserve"> the</w:t>
      </w:r>
      <w:r w:rsidRPr="001C1B7D">
        <w:rPr>
          <w:rFonts w:asciiTheme="majorBidi" w:hAnsiTheme="majorBidi" w:cstheme="majorBidi"/>
          <w:sz w:val="24"/>
          <w:szCs w:val="24"/>
        </w:rPr>
        <w:t xml:space="preserve"> consumers’ perspective. One study found that consumers’ perceptions about retailers CSR activities could improve </w:t>
      </w:r>
      <w:r w:rsidRPr="001C1B7D">
        <w:rPr>
          <w:rFonts w:asciiTheme="majorBidi" w:hAnsiTheme="majorBidi" w:cstheme="majorBidi"/>
          <w:color w:val="2E2E2E"/>
          <w:sz w:val="24"/>
          <w:szCs w:val="24"/>
        </w:rPr>
        <w:t>customer citizenship behaviou</w:t>
      </w:r>
      <w:bookmarkStart w:id="92" w:name="_Hlk121489744"/>
      <w:r w:rsidRPr="001C1B7D">
        <w:rPr>
          <w:rFonts w:asciiTheme="majorBidi" w:hAnsiTheme="majorBidi" w:cstheme="majorBidi"/>
          <w:color w:val="2E2E2E"/>
          <w:sz w:val="24"/>
          <w:szCs w:val="24"/>
        </w:rPr>
        <w:t>r which points retailers to prioritise CSR to improve their relationships with customers</w:t>
      </w:r>
      <w:r w:rsidRPr="001C1B7D">
        <w:rPr>
          <w:rFonts w:asciiTheme="majorBidi" w:hAnsiTheme="majorBidi" w:cstheme="majorBidi"/>
          <w:sz w:val="24"/>
          <w:szCs w:val="24"/>
        </w:rPr>
        <w:t xml:space="preserve"> </w:t>
      </w:r>
      <w:sdt>
        <w:sdtPr>
          <w:rPr>
            <w:rFonts w:asciiTheme="majorBidi" w:eastAsia="Times New Roman" w:hAnsiTheme="majorBidi" w:cstheme="majorBidi"/>
            <w:sz w:val="24"/>
            <w:szCs w:val="24"/>
            <w:lang w:eastAsia="en-GB"/>
          </w:rPr>
          <w:id w:val="846059866"/>
          <w:citation/>
        </w:sdtPr>
        <w:sdtContent>
          <w:r w:rsidRPr="001C1B7D">
            <w:rPr>
              <w:rFonts w:asciiTheme="majorBidi" w:eastAsia="Times New Roman" w:hAnsiTheme="majorBidi" w:cstheme="majorBidi"/>
              <w:sz w:val="24"/>
              <w:szCs w:val="24"/>
              <w:lang w:eastAsia="en-GB"/>
            </w:rPr>
            <w:fldChar w:fldCharType="begin"/>
          </w:r>
          <w:r w:rsidRPr="001C1B7D">
            <w:rPr>
              <w:rFonts w:asciiTheme="majorBidi" w:eastAsia="Times New Roman" w:hAnsiTheme="majorBidi" w:cstheme="majorBidi"/>
              <w:sz w:val="24"/>
              <w:szCs w:val="24"/>
              <w:lang w:eastAsia="en-GB"/>
            </w:rPr>
            <w:instrText xml:space="preserve"> CITATION Abd223 \l 2057 </w:instrText>
          </w:r>
          <w:r w:rsidRPr="001C1B7D">
            <w:rPr>
              <w:rFonts w:asciiTheme="majorBidi" w:eastAsia="Times New Roman" w:hAnsiTheme="majorBidi" w:cstheme="majorBidi"/>
              <w:sz w:val="24"/>
              <w:szCs w:val="24"/>
              <w:lang w:eastAsia="en-GB"/>
            </w:rPr>
            <w:fldChar w:fldCharType="separate"/>
          </w:r>
          <w:r w:rsidRPr="001C1B7D">
            <w:rPr>
              <w:rFonts w:asciiTheme="majorBidi" w:eastAsia="Times New Roman" w:hAnsiTheme="majorBidi" w:cstheme="majorBidi"/>
              <w:sz w:val="24"/>
              <w:szCs w:val="24"/>
              <w:lang w:eastAsia="en-GB"/>
            </w:rPr>
            <w:t>(Abdelmoety, et al., 2022)</w:t>
          </w:r>
          <w:r w:rsidRPr="001C1B7D">
            <w:rPr>
              <w:rFonts w:asciiTheme="majorBidi" w:eastAsia="Times New Roman" w:hAnsiTheme="majorBidi" w:cstheme="majorBidi"/>
              <w:sz w:val="24"/>
              <w:szCs w:val="24"/>
              <w:lang w:eastAsia="en-GB"/>
            </w:rPr>
            <w:fldChar w:fldCharType="end"/>
          </w:r>
        </w:sdtContent>
      </w:sdt>
      <w:bookmarkEnd w:id="92"/>
      <w:r w:rsidRPr="001C1B7D">
        <w:rPr>
          <w:rFonts w:asciiTheme="majorBidi" w:eastAsia="Times New Roman" w:hAnsiTheme="majorBidi" w:cstheme="majorBidi"/>
          <w:sz w:val="24"/>
          <w:szCs w:val="24"/>
          <w:lang w:eastAsia="en-GB"/>
        </w:rPr>
        <w:t xml:space="preserve">. Clearly, when there is a congruity between customers’ values and the retailers CSR initiatives, consumers’ positive involvement with the retailer is likely to increase </w:t>
      </w:r>
      <w:sdt>
        <w:sdtPr>
          <w:rPr>
            <w:rFonts w:asciiTheme="majorBidi" w:eastAsia="Times New Roman" w:hAnsiTheme="majorBidi" w:cstheme="majorBidi"/>
            <w:sz w:val="24"/>
            <w:szCs w:val="24"/>
            <w:lang w:eastAsia="en-GB"/>
          </w:rPr>
          <w:id w:val="-19939960"/>
          <w:citation/>
        </w:sdtPr>
        <w:sdtContent>
          <w:r w:rsidRPr="001C1B7D">
            <w:rPr>
              <w:rFonts w:asciiTheme="majorBidi" w:eastAsia="Times New Roman" w:hAnsiTheme="majorBidi" w:cstheme="majorBidi"/>
              <w:sz w:val="24"/>
              <w:szCs w:val="24"/>
              <w:lang w:eastAsia="en-GB"/>
            </w:rPr>
            <w:fldChar w:fldCharType="begin"/>
          </w:r>
          <w:r w:rsidRPr="001C1B7D">
            <w:rPr>
              <w:rFonts w:asciiTheme="majorBidi" w:eastAsia="Times New Roman" w:hAnsiTheme="majorBidi" w:cstheme="majorBidi"/>
              <w:sz w:val="24"/>
              <w:szCs w:val="24"/>
              <w:lang w:eastAsia="en-GB"/>
            </w:rPr>
            <w:instrText xml:space="preserve"> CITATION Abd223 \l 2057 </w:instrText>
          </w:r>
          <w:r w:rsidRPr="001C1B7D">
            <w:rPr>
              <w:rFonts w:asciiTheme="majorBidi" w:eastAsia="Times New Roman" w:hAnsiTheme="majorBidi" w:cstheme="majorBidi"/>
              <w:sz w:val="24"/>
              <w:szCs w:val="24"/>
              <w:lang w:eastAsia="en-GB"/>
            </w:rPr>
            <w:fldChar w:fldCharType="separate"/>
          </w:r>
          <w:r w:rsidRPr="001C1B7D">
            <w:rPr>
              <w:rFonts w:asciiTheme="majorBidi" w:eastAsia="Times New Roman" w:hAnsiTheme="majorBidi" w:cstheme="majorBidi"/>
              <w:sz w:val="24"/>
              <w:szCs w:val="24"/>
              <w:lang w:eastAsia="en-GB"/>
            </w:rPr>
            <w:t>(Abdelmoety, et al., 2022)</w:t>
          </w:r>
          <w:r w:rsidRPr="001C1B7D">
            <w:rPr>
              <w:rFonts w:asciiTheme="majorBidi" w:eastAsia="Times New Roman" w:hAnsiTheme="majorBidi" w:cstheme="majorBidi"/>
              <w:sz w:val="24"/>
              <w:szCs w:val="24"/>
              <w:lang w:eastAsia="en-GB"/>
            </w:rPr>
            <w:fldChar w:fldCharType="end"/>
          </w:r>
        </w:sdtContent>
      </w:sdt>
      <w:r w:rsidRPr="001C1B7D">
        <w:rPr>
          <w:rFonts w:asciiTheme="majorBidi" w:eastAsia="Times New Roman" w:hAnsiTheme="majorBidi" w:cstheme="majorBidi"/>
          <w:sz w:val="24"/>
          <w:szCs w:val="24"/>
          <w:lang w:eastAsia="en-GB"/>
        </w:rPr>
        <w:t xml:space="preserve">. Even though, the discussion of consumers’ CSR perception appeared from the review to be limited, it provides an indication of its importance and its considerable influence on different stakeholders. Thus, the following section examines the results of the review and the different types of correlations between CSR and various stakeholders. </w:t>
      </w:r>
    </w:p>
    <w:p w14:paraId="7DEC6141" w14:textId="77777777" w:rsidR="0061549D" w:rsidRDefault="0061549D" w:rsidP="0061549D">
      <w:pPr>
        <w:rPr>
          <w:rFonts w:asciiTheme="majorBidi" w:hAnsiTheme="majorBidi" w:cstheme="majorBidi"/>
          <w:b/>
          <w:bCs/>
          <w:sz w:val="24"/>
          <w:szCs w:val="24"/>
        </w:rPr>
      </w:pPr>
      <w:r>
        <w:rPr>
          <w:rFonts w:asciiTheme="majorBidi" w:hAnsiTheme="majorBidi" w:cstheme="majorBidi"/>
          <w:b/>
          <w:bCs/>
          <w:sz w:val="24"/>
          <w:szCs w:val="24"/>
        </w:rPr>
        <w:t xml:space="preserve">3.2.7 </w:t>
      </w:r>
      <w:r w:rsidRPr="002117D4">
        <w:rPr>
          <w:rFonts w:asciiTheme="majorBidi" w:hAnsiTheme="majorBidi" w:cstheme="majorBidi"/>
          <w:b/>
          <w:bCs/>
          <w:sz w:val="24"/>
          <w:szCs w:val="24"/>
        </w:rPr>
        <w:t xml:space="preserve">CSR and stakeholders </w:t>
      </w:r>
    </w:p>
    <w:p w14:paraId="705C029B" w14:textId="77777777" w:rsidR="0061549D" w:rsidRPr="002117D4" w:rsidRDefault="0061549D" w:rsidP="0061549D">
      <w:pPr>
        <w:rPr>
          <w:rFonts w:asciiTheme="majorBidi" w:hAnsiTheme="majorBidi" w:cstheme="majorBidi"/>
          <w:b/>
          <w:bCs/>
          <w:sz w:val="24"/>
          <w:szCs w:val="24"/>
        </w:rPr>
      </w:pPr>
      <w:r>
        <w:rPr>
          <w:rFonts w:asciiTheme="majorBidi" w:hAnsiTheme="majorBidi" w:cstheme="majorBidi"/>
          <w:b/>
          <w:bCs/>
          <w:sz w:val="24"/>
          <w:szCs w:val="24"/>
        </w:rPr>
        <w:t xml:space="preserve">Consumers </w:t>
      </w:r>
    </w:p>
    <w:p w14:paraId="14DCE83A" w14:textId="77777777" w:rsidR="0061549D" w:rsidRDefault="0061549D" w:rsidP="0061549D">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 It has been found that</w:t>
      </w:r>
      <w:r w:rsidRPr="00E57AE8">
        <w:rPr>
          <w:rFonts w:asciiTheme="majorBidi" w:hAnsiTheme="majorBidi" w:cstheme="majorBidi"/>
          <w:sz w:val="24"/>
          <w:szCs w:val="24"/>
        </w:rPr>
        <w:t xml:space="preserve"> banks in UAE prioritize consumers when communicating CSR initiatives while giving less priority in their CSR communication strategies to other stakeholders such as investors and employees </w:t>
      </w:r>
      <w:sdt>
        <w:sdtPr>
          <w:rPr>
            <w:rFonts w:asciiTheme="majorBidi" w:hAnsiTheme="majorBidi" w:cstheme="majorBidi"/>
            <w:sz w:val="24"/>
            <w:szCs w:val="24"/>
          </w:rPr>
          <w:id w:val="-1812630947"/>
          <w:citation/>
        </w:sdtPr>
        <w:sdtContent>
          <w:r w:rsidRPr="00E57AE8">
            <w:rPr>
              <w:rFonts w:asciiTheme="majorBidi" w:hAnsiTheme="majorBidi" w:cstheme="majorBidi"/>
              <w:sz w:val="24"/>
              <w:szCs w:val="24"/>
            </w:rPr>
            <w:fldChar w:fldCharType="begin"/>
          </w:r>
          <w:r>
            <w:rPr>
              <w:rFonts w:asciiTheme="majorBidi" w:hAnsiTheme="majorBidi" w:cstheme="majorBidi"/>
              <w:sz w:val="24"/>
              <w:szCs w:val="24"/>
            </w:rPr>
            <w:instrText xml:space="preserve">CITATION Geo22 \t  \l 2057 </w:instrText>
          </w:r>
          <w:r w:rsidRPr="00E57AE8">
            <w:rPr>
              <w:rFonts w:asciiTheme="majorBidi" w:hAnsiTheme="majorBidi" w:cstheme="majorBidi"/>
              <w:sz w:val="24"/>
              <w:szCs w:val="24"/>
            </w:rPr>
            <w:fldChar w:fldCharType="separate"/>
          </w:r>
          <w:r w:rsidRPr="00926B7B">
            <w:rPr>
              <w:rFonts w:asciiTheme="majorBidi" w:hAnsiTheme="majorBidi" w:cstheme="majorBidi"/>
              <w:noProof/>
              <w:sz w:val="24"/>
              <w:szCs w:val="24"/>
            </w:rPr>
            <w:t>(Georgiadou, 2022)</w:t>
          </w:r>
          <w:r w:rsidRPr="00E57AE8">
            <w:rPr>
              <w:rFonts w:asciiTheme="majorBidi" w:hAnsiTheme="majorBidi" w:cstheme="majorBidi"/>
              <w:sz w:val="24"/>
              <w:szCs w:val="24"/>
            </w:rPr>
            <w:fldChar w:fldCharType="end"/>
          </w:r>
        </w:sdtContent>
      </w:sdt>
      <w:r w:rsidRPr="00E57AE8">
        <w:rPr>
          <w:rFonts w:asciiTheme="majorBidi" w:hAnsiTheme="majorBidi" w:cstheme="majorBidi"/>
          <w:sz w:val="24"/>
          <w:szCs w:val="24"/>
        </w:rPr>
        <w:t>.</w:t>
      </w:r>
      <w:r>
        <w:rPr>
          <w:rFonts w:asciiTheme="majorBidi" w:hAnsiTheme="majorBidi" w:cstheme="majorBidi"/>
          <w:sz w:val="24"/>
          <w:szCs w:val="24"/>
        </w:rPr>
        <w:t xml:space="preserve"> In fact, one of the articles that conducted a systematic review on a plethora of studies found that the sustainable purchase behaviour of consumers in the MENA region is predicted by the individual subjective norms, cultural influence, brand trust, knowledge of the campaign and their personal environmental concern </w:t>
      </w:r>
      <w:sdt>
        <w:sdtPr>
          <w:rPr>
            <w:rFonts w:asciiTheme="majorBidi" w:hAnsiTheme="majorBidi" w:cstheme="majorBidi"/>
            <w:sz w:val="24"/>
            <w:szCs w:val="24"/>
          </w:rPr>
          <w:id w:val="197648098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Elh21 \l 2057 </w:instrText>
          </w:r>
          <w:r>
            <w:rPr>
              <w:rFonts w:asciiTheme="majorBidi" w:hAnsiTheme="majorBidi" w:cstheme="majorBidi"/>
              <w:sz w:val="24"/>
              <w:szCs w:val="24"/>
            </w:rPr>
            <w:fldChar w:fldCharType="separate"/>
          </w:r>
          <w:r w:rsidRPr="003275FC">
            <w:rPr>
              <w:rFonts w:asciiTheme="majorBidi" w:hAnsiTheme="majorBidi" w:cstheme="majorBidi"/>
              <w:noProof/>
              <w:sz w:val="24"/>
              <w:szCs w:val="24"/>
            </w:rPr>
            <w:t>(Elhoushy &amp; Lanzini,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2117D4">
        <w:rPr>
          <w:rFonts w:asciiTheme="majorBidi" w:hAnsiTheme="majorBidi" w:cstheme="majorBidi"/>
          <w:sz w:val="24"/>
          <w:szCs w:val="24"/>
        </w:rPr>
        <w:t>Another study conducted on 324 Arab consumers confirmed that</w:t>
      </w:r>
      <w:r>
        <w:rPr>
          <w:rFonts w:asciiTheme="majorBidi" w:hAnsiTheme="majorBidi" w:cstheme="majorBidi"/>
          <w:sz w:val="24"/>
          <w:szCs w:val="24"/>
        </w:rPr>
        <w:t xml:space="preserve"> considerable</w:t>
      </w:r>
      <w:r w:rsidRPr="00E57AE8">
        <w:rPr>
          <w:rFonts w:asciiTheme="majorBidi" w:hAnsiTheme="majorBidi" w:cstheme="majorBidi"/>
          <w:sz w:val="24"/>
          <w:szCs w:val="24"/>
        </w:rPr>
        <w:t xml:space="preserve"> determinants of green purchasing behaviour include participants' own concern for the environment and their self-identity in environmental protection </w:t>
      </w:r>
      <w:sdt>
        <w:sdtPr>
          <w:rPr>
            <w:rFonts w:asciiTheme="majorBidi" w:hAnsiTheme="majorBidi" w:cstheme="majorBidi"/>
            <w:sz w:val="24"/>
            <w:szCs w:val="24"/>
          </w:rPr>
          <w:id w:val="-1985843691"/>
          <w:citation/>
        </w:sdtPr>
        <w:sdtContent>
          <w:r w:rsidRPr="00E57AE8">
            <w:rPr>
              <w:rFonts w:asciiTheme="majorBidi" w:hAnsiTheme="majorBidi" w:cstheme="majorBidi"/>
              <w:sz w:val="24"/>
              <w:szCs w:val="24"/>
            </w:rPr>
            <w:fldChar w:fldCharType="begin"/>
          </w:r>
          <w:r w:rsidRPr="00E57AE8">
            <w:rPr>
              <w:rFonts w:asciiTheme="majorBidi" w:hAnsiTheme="majorBidi" w:cstheme="majorBidi"/>
              <w:sz w:val="24"/>
              <w:szCs w:val="24"/>
            </w:rPr>
            <w:instrText xml:space="preserve"> CITATION ElS21 \l 2057 </w:instrText>
          </w:r>
          <w:r w:rsidRPr="00E57AE8">
            <w:rPr>
              <w:rFonts w:asciiTheme="majorBidi" w:hAnsiTheme="majorBidi" w:cstheme="majorBidi"/>
              <w:sz w:val="24"/>
              <w:szCs w:val="24"/>
            </w:rPr>
            <w:fldChar w:fldCharType="separate"/>
          </w:r>
          <w:r w:rsidRPr="003275FC">
            <w:rPr>
              <w:rFonts w:asciiTheme="majorBidi" w:hAnsiTheme="majorBidi" w:cstheme="majorBidi"/>
              <w:noProof/>
              <w:sz w:val="24"/>
              <w:szCs w:val="24"/>
            </w:rPr>
            <w:t>(El Santil, 2021)</w:t>
          </w:r>
          <w:r w:rsidRPr="00E57AE8">
            <w:rPr>
              <w:rFonts w:asciiTheme="majorBidi" w:hAnsiTheme="majorBidi" w:cstheme="majorBidi"/>
              <w:sz w:val="24"/>
              <w:szCs w:val="24"/>
            </w:rPr>
            <w:fldChar w:fldCharType="end"/>
          </w:r>
        </w:sdtContent>
      </w:sdt>
      <w:r w:rsidRPr="00E57AE8">
        <w:rPr>
          <w:rFonts w:asciiTheme="majorBidi" w:hAnsiTheme="majorBidi" w:cstheme="majorBidi"/>
          <w:sz w:val="24"/>
          <w:szCs w:val="24"/>
        </w:rPr>
        <w:t xml:space="preserve">. </w:t>
      </w:r>
      <w:r>
        <w:rPr>
          <w:rFonts w:asciiTheme="majorBidi" w:hAnsiTheme="majorBidi" w:cstheme="majorBidi"/>
          <w:sz w:val="24"/>
          <w:szCs w:val="24"/>
        </w:rPr>
        <w:t xml:space="preserve">This is also evident in another study conducted in Saudi Arabia that found that </w:t>
      </w:r>
      <w:r w:rsidRPr="00E57AE8">
        <w:rPr>
          <w:rFonts w:asciiTheme="majorBidi" w:hAnsiTheme="majorBidi" w:cstheme="majorBidi"/>
          <w:sz w:val="24"/>
          <w:szCs w:val="24"/>
        </w:rPr>
        <w:t>customers develop emotional brand attachment</w:t>
      </w:r>
      <w:r>
        <w:rPr>
          <w:rFonts w:asciiTheme="majorBidi" w:eastAsia="Times New Roman" w:hAnsiTheme="majorBidi" w:cstheme="majorBidi"/>
          <w:lang w:eastAsia="en-GB"/>
        </w:rPr>
        <w:t xml:space="preserve"> with brands that match their self-conception</w:t>
      </w:r>
      <w:r w:rsidRPr="00363020">
        <w:rPr>
          <w:rFonts w:asciiTheme="majorBidi" w:eastAsia="Times New Roman" w:hAnsiTheme="majorBidi" w:cstheme="majorBidi"/>
          <w:lang w:eastAsia="en-GB"/>
        </w:rPr>
        <w:t xml:space="preserve"> </w:t>
      </w:r>
      <w:sdt>
        <w:sdtPr>
          <w:rPr>
            <w:rFonts w:asciiTheme="majorBidi" w:eastAsia="Times New Roman" w:hAnsiTheme="majorBidi" w:cstheme="majorBidi"/>
            <w:lang w:eastAsia="en-GB"/>
          </w:rPr>
          <w:id w:val="-1461566593"/>
          <w:citation/>
        </w:sdtPr>
        <w:sdtContent>
          <w:r>
            <w:rPr>
              <w:rFonts w:asciiTheme="majorBidi" w:eastAsia="Times New Roman" w:hAnsiTheme="majorBidi" w:cstheme="majorBidi"/>
              <w:lang w:eastAsia="en-GB"/>
            </w:rPr>
            <w:fldChar w:fldCharType="begin"/>
          </w:r>
          <w:r>
            <w:rPr>
              <w:rFonts w:asciiTheme="majorBidi" w:eastAsia="Times New Roman" w:hAnsiTheme="majorBidi" w:cstheme="majorBidi"/>
              <w:lang w:eastAsia="en-GB"/>
            </w:rPr>
            <w:instrText xml:space="preserve"> CITATION Kla20 \l 2057 </w:instrText>
          </w:r>
          <w:r>
            <w:rPr>
              <w:rFonts w:asciiTheme="majorBidi" w:eastAsia="Times New Roman" w:hAnsiTheme="majorBidi" w:cstheme="majorBidi"/>
              <w:lang w:eastAsia="en-GB"/>
            </w:rPr>
            <w:fldChar w:fldCharType="separate"/>
          </w:r>
          <w:r w:rsidRPr="003275FC">
            <w:rPr>
              <w:rFonts w:asciiTheme="majorBidi" w:eastAsia="Times New Roman" w:hAnsiTheme="majorBidi" w:cstheme="majorBidi"/>
              <w:noProof/>
              <w:lang w:eastAsia="en-GB"/>
            </w:rPr>
            <w:t>(Klabi, 2020)</w:t>
          </w:r>
          <w:r>
            <w:rPr>
              <w:rFonts w:asciiTheme="majorBidi" w:eastAsia="Times New Roman" w:hAnsiTheme="majorBidi" w:cstheme="majorBidi"/>
              <w:lang w:eastAsia="en-GB"/>
            </w:rPr>
            <w:fldChar w:fldCharType="end"/>
          </w:r>
        </w:sdtContent>
      </w:sdt>
      <w:r>
        <w:rPr>
          <w:rFonts w:asciiTheme="majorBidi" w:eastAsia="Times New Roman" w:hAnsiTheme="majorBidi" w:cstheme="majorBidi"/>
          <w:lang w:eastAsia="en-GB"/>
        </w:rPr>
        <w:t xml:space="preserve">. </w:t>
      </w:r>
      <w:r w:rsidRPr="00E57AE8">
        <w:rPr>
          <w:rFonts w:asciiTheme="majorBidi" w:hAnsiTheme="majorBidi" w:cstheme="majorBidi"/>
          <w:sz w:val="24"/>
          <w:szCs w:val="24"/>
        </w:rPr>
        <w:t>The results of this study support the</w:t>
      </w:r>
      <w:r>
        <w:rPr>
          <w:rFonts w:asciiTheme="majorBidi" w:hAnsiTheme="majorBidi" w:cstheme="majorBidi"/>
          <w:sz w:val="24"/>
          <w:szCs w:val="24"/>
        </w:rPr>
        <w:t xml:space="preserve"> idea that</w:t>
      </w:r>
      <w:r w:rsidRPr="00E57AE8">
        <w:rPr>
          <w:rFonts w:asciiTheme="majorBidi" w:hAnsiTheme="majorBidi" w:cstheme="majorBidi"/>
          <w:sz w:val="24"/>
          <w:szCs w:val="24"/>
        </w:rPr>
        <w:t xml:space="preserve"> when brands convey social image congruence, the likelihood for consumers to have emotional brand attachment increases </w:t>
      </w:r>
      <w:sdt>
        <w:sdtPr>
          <w:rPr>
            <w:rFonts w:asciiTheme="majorBidi" w:hAnsiTheme="majorBidi" w:cstheme="majorBidi"/>
            <w:sz w:val="24"/>
            <w:szCs w:val="24"/>
          </w:rPr>
          <w:id w:val="-932663931"/>
          <w:citation/>
        </w:sdtPr>
        <w:sdtContent>
          <w:r w:rsidRPr="00E57AE8">
            <w:rPr>
              <w:rFonts w:asciiTheme="majorBidi" w:hAnsiTheme="majorBidi" w:cstheme="majorBidi"/>
              <w:sz w:val="24"/>
              <w:szCs w:val="24"/>
            </w:rPr>
            <w:fldChar w:fldCharType="begin"/>
          </w:r>
          <w:r w:rsidRPr="00E57AE8">
            <w:rPr>
              <w:rFonts w:asciiTheme="majorBidi" w:hAnsiTheme="majorBidi" w:cstheme="majorBidi"/>
              <w:sz w:val="24"/>
              <w:szCs w:val="24"/>
            </w:rPr>
            <w:instrText xml:space="preserve"> CITATION Kla20 \l 2057 </w:instrText>
          </w:r>
          <w:r w:rsidRPr="00E57AE8">
            <w:rPr>
              <w:rFonts w:asciiTheme="majorBidi" w:hAnsiTheme="majorBidi" w:cstheme="majorBidi"/>
              <w:sz w:val="24"/>
              <w:szCs w:val="24"/>
            </w:rPr>
            <w:fldChar w:fldCharType="separate"/>
          </w:r>
          <w:r w:rsidRPr="003275FC">
            <w:rPr>
              <w:rFonts w:asciiTheme="majorBidi" w:hAnsiTheme="majorBidi" w:cstheme="majorBidi"/>
              <w:noProof/>
              <w:sz w:val="24"/>
              <w:szCs w:val="24"/>
            </w:rPr>
            <w:t>(Klabi, 2020)</w:t>
          </w:r>
          <w:r w:rsidRPr="00E57AE8">
            <w:rPr>
              <w:rFonts w:asciiTheme="majorBidi" w:hAnsiTheme="majorBidi" w:cstheme="majorBidi"/>
              <w:sz w:val="24"/>
              <w:szCs w:val="24"/>
            </w:rPr>
            <w:fldChar w:fldCharType="end"/>
          </w:r>
        </w:sdtContent>
      </w:sdt>
      <w:r w:rsidRPr="00E57AE8">
        <w:rPr>
          <w:rFonts w:asciiTheme="majorBidi" w:hAnsiTheme="majorBidi" w:cstheme="majorBidi"/>
          <w:sz w:val="24"/>
          <w:szCs w:val="24"/>
        </w:rPr>
        <w:t xml:space="preserve">. </w:t>
      </w:r>
      <w:r>
        <w:rPr>
          <w:rFonts w:asciiTheme="majorBidi" w:hAnsiTheme="majorBidi" w:cstheme="majorBidi"/>
          <w:sz w:val="24"/>
          <w:szCs w:val="24"/>
        </w:rPr>
        <w:t>Additionally, c</w:t>
      </w:r>
      <w:r w:rsidRPr="00F578C4">
        <w:rPr>
          <w:rFonts w:asciiTheme="majorBidi" w:hAnsiTheme="majorBidi" w:cstheme="majorBidi"/>
          <w:sz w:val="24"/>
          <w:szCs w:val="24"/>
        </w:rPr>
        <w:t xml:space="preserve">ustomer </w:t>
      </w:r>
      <w:r>
        <w:rPr>
          <w:rFonts w:asciiTheme="majorBidi" w:hAnsiTheme="majorBidi" w:cstheme="majorBidi"/>
          <w:sz w:val="24"/>
          <w:szCs w:val="24"/>
        </w:rPr>
        <w:t>satisfaction</w:t>
      </w:r>
      <w:r w:rsidRPr="00F578C4">
        <w:rPr>
          <w:rFonts w:asciiTheme="majorBidi" w:hAnsiTheme="majorBidi" w:cstheme="majorBidi"/>
          <w:sz w:val="24"/>
          <w:szCs w:val="24"/>
        </w:rPr>
        <w:t xml:space="preserve"> is strongly impacted by CSR </w:t>
      </w:r>
      <w:r>
        <w:rPr>
          <w:rFonts w:asciiTheme="majorBidi" w:hAnsiTheme="majorBidi" w:cstheme="majorBidi"/>
          <w:sz w:val="24"/>
          <w:szCs w:val="24"/>
        </w:rPr>
        <w:t xml:space="preserve">campaigns </w:t>
      </w:r>
      <w:sdt>
        <w:sdtPr>
          <w:rPr>
            <w:rFonts w:asciiTheme="majorBidi" w:hAnsiTheme="majorBidi" w:cstheme="majorBidi"/>
            <w:sz w:val="24"/>
            <w:szCs w:val="24"/>
          </w:rPr>
          <w:id w:val="29865636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AlM19 \l 2057  \m Sal222</w:instrText>
          </w:r>
          <w:r>
            <w:rPr>
              <w:rFonts w:asciiTheme="majorBidi" w:hAnsiTheme="majorBidi" w:cstheme="majorBidi"/>
              <w:sz w:val="24"/>
              <w:szCs w:val="24"/>
            </w:rPr>
            <w:fldChar w:fldCharType="separate"/>
          </w:r>
          <w:r w:rsidRPr="008A2B03">
            <w:rPr>
              <w:rFonts w:asciiTheme="majorBidi" w:hAnsiTheme="majorBidi" w:cstheme="majorBidi"/>
              <w:noProof/>
              <w:sz w:val="24"/>
              <w:szCs w:val="24"/>
            </w:rPr>
            <w:t>(Al Mubarak, Ben Hamed, &amp; Al Mubarak , 2019; Salam, Jahed, &amp; Palmer,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and can enhance consumer citizenship behaviour towards the company </w:t>
      </w:r>
      <w:sdt>
        <w:sdtPr>
          <w:rPr>
            <w:rFonts w:asciiTheme="majorBidi" w:hAnsiTheme="majorBidi" w:cstheme="majorBidi"/>
            <w:sz w:val="24"/>
            <w:szCs w:val="24"/>
          </w:rPr>
          <w:id w:val="92854466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Abd223 \l 2057 </w:instrText>
          </w:r>
          <w:r>
            <w:rPr>
              <w:rFonts w:asciiTheme="majorBidi" w:hAnsiTheme="majorBidi" w:cstheme="majorBidi"/>
              <w:sz w:val="24"/>
              <w:szCs w:val="24"/>
            </w:rPr>
            <w:fldChar w:fldCharType="separate"/>
          </w:r>
          <w:r w:rsidRPr="008D6B65">
            <w:rPr>
              <w:rFonts w:asciiTheme="majorBidi" w:hAnsiTheme="majorBidi" w:cstheme="majorBidi"/>
              <w:noProof/>
              <w:sz w:val="24"/>
              <w:szCs w:val="24"/>
            </w:rPr>
            <w:t>(Abdelmoety, Aboul-Dahab, &amp; Agag, 2022)</w:t>
          </w:r>
          <w:r>
            <w:rPr>
              <w:rFonts w:asciiTheme="majorBidi" w:hAnsiTheme="majorBidi" w:cstheme="majorBidi"/>
              <w:sz w:val="24"/>
              <w:szCs w:val="24"/>
            </w:rPr>
            <w:fldChar w:fldCharType="end"/>
          </w:r>
        </w:sdtContent>
      </w:sdt>
      <w:r>
        <w:rPr>
          <w:rFonts w:asciiTheme="majorBidi" w:hAnsiTheme="majorBidi" w:cstheme="majorBidi"/>
          <w:sz w:val="24"/>
          <w:szCs w:val="24"/>
        </w:rPr>
        <w:t>.</w:t>
      </w:r>
    </w:p>
    <w:p w14:paraId="79C5AC8B" w14:textId="77777777" w:rsidR="0061549D" w:rsidRPr="00584840" w:rsidRDefault="0061549D" w:rsidP="0061549D">
      <w:pPr>
        <w:rPr>
          <w:rFonts w:asciiTheme="majorBidi" w:hAnsiTheme="majorBidi" w:cstheme="majorBidi"/>
          <w:b/>
          <w:bCs/>
          <w:sz w:val="24"/>
          <w:szCs w:val="24"/>
        </w:rPr>
      </w:pPr>
      <w:r w:rsidRPr="00584840">
        <w:rPr>
          <w:rFonts w:asciiTheme="majorBidi" w:eastAsia="Times New Roman" w:hAnsiTheme="majorBidi" w:cstheme="majorBidi"/>
          <w:b/>
          <w:bCs/>
          <w:sz w:val="24"/>
          <w:szCs w:val="24"/>
          <w:lang w:eastAsia="en-GB"/>
        </w:rPr>
        <w:t xml:space="preserve">Decision makers </w:t>
      </w:r>
    </w:p>
    <w:p w14:paraId="2F794888" w14:textId="77777777" w:rsidR="0061549D" w:rsidRPr="0030212E" w:rsidRDefault="0061549D" w:rsidP="0061549D">
      <w:pPr>
        <w:spacing w:line="480" w:lineRule="auto"/>
        <w:rPr>
          <w:rFonts w:asciiTheme="majorBidi" w:hAnsiTheme="majorBidi" w:cstheme="majorBidi"/>
          <w:b/>
          <w:bCs/>
          <w:sz w:val="24"/>
          <w:szCs w:val="24"/>
        </w:rPr>
      </w:pPr>
      <w:r>
        <w:rPr>
          <w:rFonts w:asciiTheme="majorBidi" w:eastAsia="Times New Roman" w:hAnsiTheme="majorBidi" w:cstheme="majorBidi"/>
          <w:sz w:val="24"/>
          <w:szCs w:val="24"/>
          <w:lang w:eastAsia="en-GB"/>
        </w:rPr>
        <w:tab/>
      </w:r>
      <w:r w:rsidRPr="00EB5663">
        <w:rPr>
          <w:rFonts w:asciiTheme="majorBidi" w:eastAsia="Times New Roman" w:hAnsiTheme="majorBidi" w:cstheme="majorBidi"/>
          <w:sz w:val="24"/>
          <w:szCs w:val="24"/>
          <w:lang w:eastAsia="en-GB"/>
        </w:rPr>
        <w:t>It appeared in the results that younger investors who are highly educated and earning higher income brackets have a better perception of CSR</w:t>
      </w:r>
      <w:r>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865787268"/>
          <w:citation/>
        </w:sdtPr>
        <w:sdtContent>
          <w:r w:rsidRPr="00EB5663">
            <w:rPr>
              <w:rFonts w:asciiTheme="majorBidi" w:eastAsia="Times New Roman" w:hAnsiTheme="majorBidi" w:cstheme="majorBidi"/>
              <w:sz w:val="24"/>
              <w:szCs w:val="24"/>
              <w:lang w:eastAsia="en-GB"/>
            </w:rPr>
            <w:fldChar w:fldCharType="begin"/>
          </w:r>
          <w:r w:rsidRPr="00EB5663">
            <w:rPr>
              <w:rFonts w:asciiTheme="majorBidi" w:eastAsia="Times New Roman" w:hAnsiTheme="majorBidi" w:cstheme="majorBidi"/>
              <w:sz w:val="24"/>
              <w:szCs w:val="24"/>
              <w:lang w:eastAsia="en-GB"/>
            </w:rPr>
            <w:instrText xml:space="preserve"> CITATION AlA18 \l 2057 </w:instrText>
          </w:r>
          <w:r w:rsidRPr="00EB5663">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(Al-Abdin, Roy, &amp; Nicholson, 2018)</w:t>
          </w:r>
          <w:r w:rsidRPr="00EB5663">
            <w:rPr>
              <w:rFonts w:asciiTheme="majorBidi" w:eastAsia="Times New Roman" w:hAnsiTheme="majorBidi" w:cstheme="majorBidi"/>
              <w:sz w:val="24"/>
              <w:szCs w:val="24"/>
              <w:lang w:eastAsia="en-GB"/>
            </w:rPr>
            <w:fldChar w:fldCharType="end"/>
          </w:r>
        </w:sdtContent>
      </w:sdt>
      <w:r w:rsidRPr="00EB5663">
        <w:rPr>
          <w:rFonts w:asciiTheme="majorBidi" w:eastAsia="Times New Roman" w:hAnsiTheme="majorBidi" w:cstheme="majorBidi"/>
          <w:sz w:val="24"/>
          <w:szCs w:val="24"/>
          <w:lang w:eastAsia="en-GB"/>
        </w:rPr>
        <w:t>. In fact, the results from a systematic review reveal that most studies focused on macro levels of CSR practices while limited research was conducted on CSR practices and their impact on consumers</w:t>
      </w:r>
      <w:sdt>
        <w:sdtPr>
          <w:rPr>
            <w:rFonts w:asciiTheme="majorBidi" w:eastAsia="Times New Roman" w:hAnsiTheme="majorBidi" w:cstheme="majorBidi"/>
            <w:sz w:val="24"/>
            <w:szCs w:val="24"/>
            <w:lang w:eastAsia="en-GB"/>
          </w:rPr>
          <w:id w:val="385459511"/>
          <w:citation/>
        </w:sdtPr>
        <w:sdtContent>
          <w:r w:rsidRPr="00EB5663">
            <w:rPr>
              <w:rFonts w:asciiTheme="majorBidi" w:eastAsia="Times New Roman" w:hAnsiTheme="majorBidi" w:cstheme="majorBidi"/>
              <w:sz w:val="24"/>
              <w:szCs w:val="24"/>
              <w:lang w:eastAsia="en-GB"/>
            </w:rPr>
            <w:fldChar w:fldCharType="begin"/>
          </w:r>
          <w:r w:rsidRPr="00EB5663">
            <w:rPr>
              <w:rFonts w:asciiTheme="majorBidi" w:eastAsia="Times New Roman" w:hAnsiTheme="majorBidi" w:cstheme="majorBidi"/>
              <w:sz w:val="24"/>
              <w:szCs w:val="24"/>
              <w:lang w:eastAsia="en-GB"/>
            </w:rPr>
            <w:instrText xml:space="preserve"> CITATION AlA18 \l 2057 </w:instrText>
          </w:r>
          <w:r w:rsidRPr="00EB5663">
            <w:rPr>
              <w:rFonts w:asciiTheme="majorBidi" w:eastAsia="Times New Roman" w:hAnsiTheme="majorBidi" w:cstheme="majorBidi"/>
              <w:sz w:val="24"/>
              <w:szCs w:val="24"/>
              <w:lang w:eastAsia="en-GB"/>
            </w:rPr>
            <w:fldChar w:fldCharType="separate"/>
          </w:r>
          <w:r>
            <w:rPr>
              <w:rFonts w:asciiTheme="majorBidi" w:eastAsia="Times New Roman" w:hAnsiTheme="majorBidi" w:cstheme="majorBidi"/>
              <w:noProof/>
              <w:sz w:val="24"/>
              <w:szCs w:val="24"/>
              <w:lang w:eastAsia="en-GB"/>
            </w:rPr>
            <w:t xml:space="preserve"> </w:t>
          </w:r>
          <w:r w:rsidRPr="003275FC">
            <w:rPr>
              <w:rFonts w:asciiTheme="majorBidi" w:eastAsia="Times New Roman" w:hAnsiTheme="majorBidi" w:cstheme="majorBidi"/>
              <w:noProof/>
              <w:sz w:val="24"/>
              <w:szCs w:val="24"/>
              <w:lang w:eastAsia="en-GB"/>
            </w:rPr>
            <w:t>(Al-Abdin, Roy, &amp; Nicholson, 2018)</w:t>
          </w:r>
          <w:r w:rsidRPr="00EB5663">
            <w:rPr>
              <w:rFonts w:asciiTheme="majorBidi" w:eastAsia="Times New Roman" w:hAnsiTheme="majorBidi" w:cstheme="majorBidi"/>
              <w:sz w:val="24"/>
              <w:szCs w:val="24"/>
              <w:lang w:eastAsia="en-GB"/>
            </w:rPr>
            <w:fldChar w:fldCharType="end"/>
          </w:r>
        </w:sdtContent>
      </w:sdt>
      <w:r w:rsidRPr="00EB5663">
        <w:rPr>
          <w:rFonts w:asciiTheme="majorBidi" w:eastAsia="Times New Roman" w:hAnsiTheme="majorBidi" w:cstheme="majorBidi"/>
          <w:sz w:val="24"/>
          <w:szCs w:val="24"/>
          <w:lang w:eastAsia="en-GB"/>
        </w:rPr>
        <w:t>. Based on qualitative data obtained from restaurants owners in Lebanon, a lot of restaurant owners realized the importance of CSR as it has a positive impact on their customers</w:t>
      </w:r>
      <w:r>
        <w:rPr>
          <w:rFonts w:asciiTheme="majorBidi" w:eastAsia="Times New Roman" w:hAnsiTheme="majorBidi" w:cstheme="majorBidi"/>
          <w:sz w:val="24"/>
          <w:szCs w:val="24"/>
          <w:lang w:eastAsia="en-GB"/>
        </w:rPr>
        <w:t>;</w:t>
      </w:r>
      <w:r w:rsidRPr="00EB5663">
        <w:rPr>
          <w:rFonts w:asciiTheme="majorBidi" w:eastAsia="Times New Roman" w:hAnsiTheme="majorBidi" w:cstheme="majorBidi"/>
          <w:sz w:val="24"/>
          <w:szCs w:val="24"/>
          <w:lang w:eastAsia="en-GB"/>
        </w:rPr>
        <w:t xml:space="preserve"> whereas</w:t>
      </w:r>
      <w:r>
        <w:rPr>
          <w:rFonts w:asciiTheme="majorBidi" w:eastAsia="Times New Roman" w:hAnsiTheme="majorBidi" w:cstheme="majorBidi"/>
          <w:sz w:val="24"/>
          <w:szCs w:val="24"/>
          <w:lang w:eastAsia="en-GB"/>
        </w:rPr>
        <w:t>,</w:t>
      </w:r>
      <w:r w:rsidRPr="00EB5663">
        <w:rPr>
          <w:rFonts w:asciiTheme="majorBidi" w:eastAsia="Times New Roman" w:hAnsiTheme="majorBidi" w:cstheme="majorBidi"/>
          <w:sz w:val="24"/>
          <w:szCs w:val="24"/>
          <w:lang w:eastAsia="en-GB"/>
        </w:rPr>
        <w:t xml:space="preserve"> other restaurant owners did not find a correlation between sustainability and customer satisfaction and profitability</w:t>
      </w:r>
      <w:sdt>
        <w:sdtPr>
          <w:rPr>
            <w:rFonts w:asciiTheme="majorBidi" w:eastAsia="Times New Roman" w:hAnsiTheme="majorBidi" w:cstheme="majorBidi"/>
            <w:sz w:val="24"/>
            <w:szCs w:val="24"/>
            <w:lang w:eastAsia="en-GB"/>
          </w:rPr>
          <w:id w:val="2064912588"/>
          <w:citation/>
        </w:sdtPr>
        <w:sdtContent>
          <w:r w:rsidRPr="00EB5663">
            <w:rPr>
              <w:rFonts w:asciiTheme="majorBidi" w:eastAsia="Times New Roman" w:hAnsiTheme="majorBidi" w:cstheme="majorBidi"/>
              <w:sz w:val="24"/>
              <w:szCs w:val="24"/>
              <w:lang w:eastAsia="en-GB"/>
            </w:rPr>
            <w:fldChar w:fldCharType="begin"/>
          </w:r>
          <w:r w:rsidRPr="00EB5663">
            <w:rPr>
              <w:rFonts w:asciiTheme="majorBidi" w:eastAsia="Times New Roman" w:hAnsiTheme="majorBidi" w:cstheme="majorBidi"/>
              <w:sz w:val="24"/>
              <w:szCs w:val="24"/>
              <w:lang w:eastAsia="en-GB"/>
            </w:rPr>
            <w:instrText xml:space="preserve"> CITATION Bat21 \l 2057 </w:instrText>
          </w:r>
          <w:r w:rsidRPr="00EB5663">
            <w:rPr>
              <w:rFonts w:asciiTheme="majorBidi" w:eastAsia="Times New Roman" w:hAnsiTheme="majorBidi" w:cstheme="majorBidi"/>
              <w:sz w:val="24"/>
              <w:szCs w:val="24"/>
              <w:lang w:eastAsia="en-GB"/>
            </w:rPr>
            <w:fldChar w:fldCharType="separate"/>
          </w:r>
          <w:r>
            <w:rPr>
              <w:rFonts w:asciiTheme="majorBidi" w:eastAsia="Times New Roman" w:hAnsiTheme="majorBidi" w:cstheme="majorBidi"/>
              <w:noProof/>
              <w:sz w:val="24"/>
              <w:szCs w:val="24"/>
              <w:lang w:eastAsia="en-GB"/>
            </w:rPr>
            <w:t xml:space="preserve"> </w:t>
          </w:r>
          <w:r w:rsidRPr="003275FC">
            <w:rPr>
              <w:rFonts w:asciiTheme="majorBidi" w:eastAsia="Times New Roman" w:hAnsiTheme="majorBidi" w:cstheme="majorBidi"/>
              <w:noProof/>
              <w:sz w:val="24"/>
              <w:szCs w:val="24"/>
              <w:lang w:eastAsia="en-GB"/>
            </w:rPr>
            <w:t>(Batat, 2021)</w:t>
          </w:r>
          <w:r w:rsidRPr="00EB5663">
            <w:rPr>
              <w:rFonts w:asciiTheme="majorBidi" w:eastAsia="Times New Roman" w:hAnsiTheme="majorBidi" w:cstheme="majorBidi"/>
              <w:sz w:val="24"/>
              <w:szCs w:val="24"/>
              <w:lang w:eastAsia="en-GB"/>
            </w:rPr>
            <w:fldChar w:fldCharType="end"/>
          </w:r>
        </w:sdtContent>
      </w:sdt>
      <w:r w:rsidRPr="00EB5663">
        <w:rPr>
          <w:rFonts w:asciiTheme="majorBidi" w:eastAsia="Times New Roman" w:hAnsiTheme="majorBidi" w:cstheme="majorBidi"/>
          <w:sz w:val="24"/>
          <w:szCs w:val="24"/>
          <w:lang w:eastAsia="en-GB"/>
        </w:rPr>
        <w:t xml:space="preserve">. </w:t>
      </w:r>
    </w:p>
    <w:p w14:paraId="5AE062F2" w14:textId="77777777" w:rsidR="0061549D" w:rsidRPr="00E27067" w:rsidRDefault="0061549D" w:rsidP="0061549D">
      <w:pPr>
        <w:rPr>
          <w:rFonts w:asciiTheme="majorBidi" w:eastAsia="Times New Roman" w:hAnsiTheme="majorBidi" w:cstheme="majorBidi"/>
          <w:b/>
          <w:bCs/>
          <w:sz w:val="24"/>
          <w:szCs w:val="24"/>
          <w:lang w:eastAsia="en-GB"/>
        </w:rPr>
      </w:pPr>
      <w:r w:rsidRPr="00E27067">
        <w:rPr>
          <w:rFonts w:asciiTheme="majorBidi" w:eastAsia="Times New Roman" w:hAnsiTheme="majorBidi" w:cstheme="majorBidi"/>
          <w:b/>
          <w:bCs/>
          <w:sz w:val="24"/>
          <w:szCs w:val="24"/>
          <w:lang w:eastAsia="en-GB"/>
        </w:rPr>
        <w:t xml:space="preserve">Employees </w:t>
      </w:r>
    </w:p>
    <w:p w14:paraId="6D40BA13" w14:textId="77777777" w:rsidR="0061549D" w:rsidRPr="00EB5663" w:rsidRDefault="0061549D" w:rsidP="0061549D">
      <w:pPr>
        <w:spacing w:after="0" w:line="480" w:lineRule="auto"/>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ab/>
      </w:r>
      <w:r w:rsidRPr="00EB5663">
        <w:rPr>
          <w:rFonts w:asciiTheme="majorBidi" w:eastAsia="Times New Roman" w:hAnsiTheme="majorBidi" w:cstheme="majorBidi"/>
          <w:sz w:val="24"/>
          <w:szCs w:val="24"/>
          <w:lang w:eastAsia="en-GB"/>
        </w:rPr>
        <w:t xml:space="preserve">Overall organizational performance is affected by internal positivity among employees which is positively impacted by the company’s CSR and the perceived ethical environment in a company. The findings show that ethical atmosphere significantly influences the code of ethics, which in turn affects how employees view </w:t>
      </w:r>
      <w:r>
        <w:rPr>
          <w:rFonts w:asciiTheme="majorBidi" w:eastAsia="Times New Roman" w:hAnsiTheme="majorBidi" w:cstheme="majorBidi"/>
          <w:sz w:val="24"/>
          <w:szCs w:val="24"/>
          <w:lang w:eastAsia="en-GB"/>
        </w:rPr>
        <w:t>the organisation that they work in</w:t>
      </w:r>
      <w:r w:rsidRPr="00EB5663">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314027694"/>
          <w:citation/>
        </w:sdtPr>
        <w:sdtContent>
          <w:r w:rsidRPr="00EB5663">
            <w:rPr>
              <w:rFonts w:asciiTheme="majorBidi" w:eastAsia="Times New Roman" w:hAnsiTheme="majorBidi" w:cstheme="majorBidi"/>
              <w:sz w:val="24"/>
              <w:szCs w:val="24"/>
              <w:lang w:eastAsia="en-GB"/>
            </w:rPr>
            <w:fldChar w:fldCharType="begin"/>
          </w:r>
          <w:r w:rsidRPr="00EB5663">
            <w:rPr>
              <w:rFonts w:asciiTheme="majorBidi" w:eastAsia="Times New Roman" w:hAnsiTheme="majorBidi" w:cstheme="majorBidi"/>
              <w:sz w:val="24"/>
              <w:szCs w:val="24"/>
              <w:lang w:eastAsia="en-GB"/>
            </w:rPr>
            <w:instrText xml:space="preserve"> CITATION Far18 \l 2057 </w:instrText>
          </w:r>
          <w:r w:rsidRPr="00EB5663">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(Farouk &amp; Jabeen , 2018)</w:t>
          </w:r>
          <w:r w:rsidRPr="00EB5663">
            <w:rPr>
              <w:rFonts w:asciiTheme="majorBidi" w:eastAsia="Times New Roman" w:hAnsiTheme="majorBidi" w:cstheme="majorBidi"/>
              <w:sz w:val="24"/>
              <w:szCs w:val="24"/>
              <w:lang w:eastAsia="en-GB"/>
            </w:rPr>
            <w:fldChar w:fldCharType="end"/>
          </w:r>
        </w:sdtContent>
      </w:sdt>
      <w:r w:rsidRPr="00EB5663">
        <w:rPr>
          <w:rFonts w:asciiTheme="majorBidi" w:eastAsia="Times New Roman" w:hAnsiTheme="majorBidi" w:cstheme="majorBidi"/>
          <w:sz w:val="24"/>
          <w:szCs w:val="24"/>
          <w:lang w:eastAsia="en-GB"/>
        </w:rPr>
        <w:t xml:space="preserve">. </w:t>
      </w:r>
      <w:r>
        <w:rPr>
          <w:rFonts w:asciiTheme="majorBidi" w:eastAsia="Times New Roman" w:hAnsiTheme="majorBidi" w:cstheme="majorBidi"/>
          <w:sz w:val="24"/>
          <w:szCs w:val="24"/>
          <w:lang w:eastAsia="en-GB"/>
        </w:rPr>
        <w:t>A recent quantitative study conducted in Saudi Arabia concluded that corporations in Saudi prioritize employees followed by the environment in their CSR strategies</w:t>
      </w:r>
      <w:r w:rsidRPr="009F648E">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481763223"/>
          <w:citation/>
        </w:sdtPr>
        <w:sdtContent>
          <w:r w:rsidRPr="009F648E">
            <w:rPr>
              <w:rFonts w:asciiTheme="majorBidi" w:eastAsia="Times New Roman" w:hAnsiTheme="majorBidi" w:cstheme="majorBidi"/>
              <w:sz w:val="24"/>
              <w:szCs w:val="24"/>
              <w:lang w:eastAsia="en-GB"/>
            </w:rPr>
            <w:fldChar w:fldCharType="begin"/>
          </w:r>
          <w:r w:rsidRPr="009F648E">
            <w:rPr>
              <w:rFonts w:asciiTheme="majorBidi" w:eastAsia="Times New Roman" w:hAnsiTheme="majorBidi" w:cstheme="majorBidi"/>
              <w:sz w:val="24"/>
              <w:szCs w:val="24"/>
              <w:lang w:eastAsia="en-GB"/>
            </w:rPr>
            <w:instrText xml:space="preserve"> CITATION muk22 \l 2057 </w:instrText>
          </w:r>
          <w:r w:rsidRPr="009F648E">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(Mukhtar &amp; Bahormoz, 2022)</w:t>
          </w:r>
          <w:r w:rsidRPr="009F648E">
            <w:rPr>
              <w:rFonts w:asciiTheme="majorBidi" w:eastAsia="Times New Roman" w:hAnsiTheme="majorBidi" w:cstheme="majorBidi"/>
              <w:sz w:val="24"/>
              <w:szCs w:val="24"/>
              <w:lang w:eastAsia="en-GB"/>
            </w:rPr>
            <w:fldChar w:fldCharType="end"/>
          </w:r>
        </w:sdtContent>
      </w:sdt>
      <w:r>
        <w:rPr>
          <w:rFonts w:asciiTheme="majorBidi" w:eastAsia="Times New Roman" w:hAnsiTheme="majorBidi" w:cstheme="majorBidi"/>
          <w:sz w:val="24"/>
          <w:szCs w:val="24"/>
          <w:lang w:eastAsia="en-GB"/>
        </w:rPr>
        <w:t>. Additionally, the health and safety on employees emerged as the number one “combined CSR priority”</w:t>
      </w:r>
      <w:r w:rsidRPr="00EB4C46">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242113660"/>
          <w:citation/>
        </w:sdtPr>
        <w:sdtContent>
          <w:r w:rsidRPr="00EB4C46">
            <w:rPr>
              <w:rFonts w:asciiTheme="majorBidi" w:eastAsia="Times New Roman" w:hAnsiTheme="majorBidi" w:cstheme="majorBidi"/>
              <w:sz w:val="24"/>
              <w:szCs w:val="24"/>
              <w:lang w:eastAsia="en-GB"/>
            </w:rPr>
            <w:fldChar w:fldCharType="begin"/>
          </w:r>
          <w:r w:rsidRPr="00EB4C46">
            <w:rPr>
              <w:rFonts w:asciiTheme="majorBidi" w:eastAsia="Times New Roman" w:hAnsiTheme="majorBidi" w:cstheme="majorBidi"/>
              <w:sz w:val="24"/>
              <w:szCs w:val="24"/>
              <w:lang w:eastAsia="en-GB"/>
            </w:rPr>
            <w:instrText xml:space="preserve"> CITATION muk22 \l 2057 </w:instrText>
          </w:r>
          <w:r w:rsidRPr="00EB4C46">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(Mukhtar &amp; Bahormoz, 2022)</w:t>
          </w:r>
          <w:r w:rsidRPr="00EB4C46">
            <w:rPr>
              <w:rFonts w:asciiTheme="majorBidi" w:eastAsia="Times New Roman" w:hAnsiTheme="majorBidi" w:cstheme="majorBidi"/>
              <w:sz w:val="24"/>
              <w:szCs w:val="24"/>
              <w:lang w:eastAsia="en-GB"/>
            </w:rPr>
            <w:fldChar w:fldCharType="end"/>
          </w:r>
        </w:sdtContent>
      </w:sdt>
      <w:r>
        <w:rPr>
          <w:rFonts w:asciiTheme="majorBidi" w:eastAsia="Times New Roman" w:hAnsiTheme="majorBidi" w:cstheme="majorBidi"/>
          <w:sz w:val="24"/>
          <w:szCs w:val="24"/>
          <w:lang w:eastAsia="en-GB"/>
        </w:rPr>
        <w:t xml:space="preserve">. Likewise, based on an empirical study, it appears that also in Jordan, CSR activities prioritise issues related to human resources and employee morale as it is evident from the companies’ CSR annual reports </w:t>
      </w:r>
      <w:sdt>
        <w:sdtPr>
          <w:rPr>
            <w:rFonts w:asciiTheme="majorBidi" w:eastAsia="Times New Roman" w:hAnsiTheme="majorBidi" w:cstheme="majorBidi"/>
            <w:sz w:val="24"/>
            <w:szCs w:val="24"/>
            <w:lang w:eastAsia="en-GB"/>
          </w:rPr>
          <w:id w:val="-1656761191"/>
          <w:citation/>
        </w:sdtPr>
        <w:sdtContent>
          <w:r w:rsidRPr="00372EED">
            <w:rPr>
              <w:rFonts w:asciiTheme="majorBidi" w:eastAsia="Times New Roman" w:hAnsiTheme="majorBidi" w:cstheme="majorBidi"/>
              <w:sz w:val="24"/>
              <w:szCs w:val="24"/>
              <w:lang w:eastAsia="en-GB"/>
            </w:rPr>
            <w:fldChar w:fldCharType="begin"/>
          </w:r>
          <w:r w:rsidRPr="00372EED">
            <w:rPr>
              <w:rFonts w:asciiTheme="majorBidi" w:eastAsia="Times New Roman" w:hAnsiTheme="majorBidi" w:cstheme="majorBidi"/>
              <w:sz w:val="24"/>
              <w:szCs w:val="24"/>
              <w:lang w:eastAsia="en-GB"/>
            </w:rPr>
            <w:instrText xml:space="preserve"> CITATION Daa19 \l 2057 </w:instrText>
          </w:r>
          <w:r w:rsidRPr="00372EED">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(Daas &amp; Alaraj, 2019)</w:t>
          </w:r>
          <w:r w:rsidRPr="00372EED">
            <w:rPr>
              <w:rFonts w:asciiTheme="majorBidi" w:eastAsia="Times New Roman" w:hAnsiTheme="majorBidi" w:cstheme="majorBidi"/>
              <w:sz w:val="24"/>
              <w:szCs w:val="24"/>
              <w:lang w:eastAsia="en-GB"/>
            </w:rPr>
            <w:fldChar w:fldCharType="end"/>
          </w:r>
        </w:sdtContent>
      </w:sdt>
      <w:r w:rsidRPr="00372EED">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w:t>
      </w:r>
      <w:r w:rsidRPr="002660D4">
        <w:rPr>
          <w:rFonts w:asciiTheme="majorBidi" w:eastAsia="Times New Roman" w:hAnsiTheme="majorBidi" w:cstheme="majorBidi"/>
          <w:sz w:val="24"/>
          <w:szCs w:val="24"/>
          <w:lang w:eastAsia="en-GB"/>
        </w:rPr>
        <w:t>Employee</w:t>
      </w:r>
      <w:r>
        <w:rPr>
          <w:rFonts w:asciiTheme="majorBidi" w:eastAsia="Times New Roman" w:hAnsiTheme="majorBidi" w:cstheme="majorBidi"/>
          <w:sz w:val="24"/>
          <w:szCs w:val="24"/>
          <w:lang w:eastAsia="en-GB"/>
        </w:rPr>
        <w:t xml:space="preserve">s’ perception </w:t>
      </w:r>
      <w:r w:rsidRPr="002660D4">
        <w:rPr>
          <w:rFonts w:asciiTheme="majorBidi" w:eastAsia="Times New Roman" w:hAnsiTheme="majorBidi" w:cstheme="majorBidi"/>
          <w:sz w:val="24"/>
          <w:szCs w:val="24"/>
          <w:lang w:eastAsia="en-GB"/>
        </w:rPr>
        <w:t xml:space="preserve">of an organization's internal and external CSR initiatives have a </w:t>
      </w:r>
      <w:r>
        <w:rPr>
          <w:rFonts w:asciiTheme="majorBidi" w:eastAsia="Times New Roman" w:hAnsiTheme="majorBidi" w:cstheme="majorBidi"/>
          <w:sz w:val="24"/>
          <w:szCs w:val="24"/>
          <w:lang w:eastAsia="en-GB"/>
        </w:rPr>
        <w:t>positive</w:t>
      </w:r>
      <w:r w:rsidRPr="002660D4">
        <w:rPr>
          <w:rFonts w:asciiTheme="majorBidi" w:eastAsia="Times New Roman" w:hAnsiTheme="majorBidi" w:cstheme="majorBidi"/>
          <w:sz w:val="24"/>
          <w:szCs w:val="24"/>
          <w:lang w:eastAsia="en-GB"/>
        </w:rPr>
        <w:t xml:space="preserve"> impact on the</w:t>
      </w:r>
      <w:r>
        <w:rPr>
          <w:rFonts w:asciiTheme="majorBidi" w:eastAsia="Times New Roman" w:hAnsiTheme="majorBidi" w:cstheme="majorBidi"/>
          <w:sz w:val="24"/>
          <w:szCs w:val="24"/>
          <w:lang w:eastAsia="en-GB"/>
        </w:rPr>
        <w:t xml:space="preserve"> organizational citizenship behaviour (OCB) which means that employees are likely to perform more than what is required from them at work when the company endorses local social activities </w:t>
      </w:r>
      <w:sdt>
        <w:sdtPr>
          <w:rPr>
            <w:rFonts w:asciiTheme="majorBidi" w:eastAsia="Times New Roman" w:hAnsiTheme="majorBidi" w:cstheme="majorBidi"/>
            <w:sz w:val="24"/>
            <w:szCs w:val="24"/>
            <w:lang w:eastAsia="en-GB"/>
          </w:rPr>
          <w:id w:val="-1911765819"/>
          <w:citation/>
        </w:sdtPr>
        <w:sdtContent>
          <w:r w:rsidRPr="0030212E">
            <w:rPr>
              <w:rFonts w:asciiTheme="majorBidi" w:eastAsia="Times New Roman" w:hAnsiTheme="majorBidi" w:cstheme="majorBidi"/>
              <w:sz w:val="24"/>
              <w:szCs w:val="24"/>
              <w:lang w:eastAsia="en-GB"/>
            </w:rPr>
            <w:fldChar w:fldCharType="begin"/>
          </w:r>
          <w:r w:rsidRPr="0030212E">
            <w:rPr>
              <w:rFonts w:asciiTheme="majorBidi" w:eastAsia="Times New Roman" w:hAnsiTheme="majorBidi" w:cstheme="majorBidi"/>
              <w:sz w:val="24"/>
              <w:szCs w:val="24"/>
              <w:lang w:eastAsia="en-GB"/>
            </w:rPr>
            <w:instrText xml:space="preserve"> CITATION Oua19 \l 2057 </w:instrText>
          </w:r>
          <w:r w:rsidRPr="0030212E">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(Ouakouak, Arya, &amp; Zaitouni, 2019)</w:t>
          </w:r>
          <w:r w:rsidRPr="0030212E">
            <w:rPr>
              <w:rFonts w:asciiTheme="majorBidi" w:eastAsia="Times New Roman" w:hAnsiTheme="majorBidi" w:cstheme="majorBidi"/>
              <w:sz w:val="24"/>
              <w:szCs w:val="24"/>
              <w:lang w:eastAsia="en-GB"/>
            </w:rPr>
            <w:fldChar w:fldCharType="end"/>
          </w:r>
        </w:sdtContent>
      </w:sdt>
      <w:r w:rsidRPr="0030212E">
        <w:rPr>
          <w:rFonts w:asciiTheme="majorBidi" w:eastAsia="Times New Roman" w:hAnsiTheme="majorBidi" w:cstheme="majorBidi"/>
          <w:sz w:val="24"/>
          <w:szCs w:val="24"/>
          <w:lang w:eastAsia="en-GB"/>
        </w:rPr>
        <w:t xml:space="preserve">. </w:t>
      </w:r>
      <w:r>
        <w:rPr>
          <w:rFonts w:asciiTheme="majorBidi" w:eastAsia="Times New Roman" w:hAnsiTheme="majorBidi" w:cstheme="majorBidi"/>
          <w:sz w:val="24"/>
          <w:szCs w:val="24"/>
          <w:lang w:eastAsia="en-GB"/>
        </w:rPr>
        <w:t>Additionally</w:t>
      </w:r>
      <w:r w:rsidRPr="0030212E">
        <w:rPr>
          <w:rFonts w:asciiTheme="majorBidi" w:eastAsia="Times New Roman" w:hAnsiTheme="majorBidi" w:cstheme="majorBidi"/>
          <w:sz w:val="24"/>
          <w:szCs w:val="24"/>
          <w:lang w:eastAsia="en-GB"/>
        </w:rPr>
        <w:t>, this high level of OCB is negatively associated with the employees</w:t>
      </w:r>
      <w:r>
        <w:rPr>
          <w:rFonts w:asciiTheme="majorBidi" w:eastAsia="Times New Roman" w:hAnsiTheme="majorBidi" w:cstheme="majorBidi"/>
          <w:sz w:val="24"/>
          <w:szCs w:val="24"/>
          <w:lang w:eastAsia="en-GB"/>
        </w:rPr>
        <w:t>’</w:t>
      </w:r>
      <w:r w:rsidRPr="0030212E">
        <w:rPr>
          <w:rFonts w:asciiTheme="majorBidi" w:eastAsia="Times New Roman" w:hAnsiTheme="majorBidi" w:cstheme="majorBidi"/>
          <w:sz w:val="24"/>
          <w:szCs w:val="24"/>
          <w:lang w:eastAsia="en-GB"/>
        </w:rPr>
        <w:t xml:space="preserve"> intention to quit </w:t>
      </w:r>
      <w:sdt>
        <w:sdtPr>
          <w:rPr>
            <w:rFonts w:asciiTheme="majorBidi" w:eastAsia="Times New Roman" w:hAnsiTheme="majorBidi" w:cstheme="majorBidi"/>
            <w:sz w:val="24"/>
            <w:szCs w:val="24"/>
            <w:lang w:eastAsia="en-GB"/>
          </w:rPr>
          <w:id w:val="979500354"/>
          <w:citation/>
        </w:sdtPr>
        <w:sdtContent>
          <w:r w:rsidRPr="0030212E">
            <w:rPr>
              <w:rFonts w:asciiTheme="majorBidi" w:eastAsia="Times New Roman" w:hAnsiTheme="majorBidi" w:cstheme="majorBidi"/>
              <w:sz w:val="24"/>
              <w:szCs w:val="24"/>
              <w:lang w:eastAsia="en-GB"/>
            </w:rPr>
            <w:fldChar w:fldCharType="begin"/>
          </w:r>
          <w:r w:rsidRPr="0030212E">
            <w:rPr>
              <w:rFonts w:asciiTheme="majorBidi" w:eastAsia="Times New Roman" w:hAnsiTheme="majorBidi" w:cstheme="majorBidi"/>
              <w:sz w:val="24"/>
              <w:szCs w:val="24"/>
              <w:lang w:eastAsia="en-GB"/>
            </w:rPr>
            <w:instrText xml:space="preserve"> CITATION Oua19 \l 2057 </w:instrText>
          </w:r>
          <w:r w:rsidRPr="0030212E">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(Ouakouak, Arya, &amp; Zaitouni, 2019)</w:t>
          </w:r>
          <w:r w:rsidRPr="0030212E">
            <w:rPr>
              <w:rFonts w:asciiTheme="majorBidi" w:eastAsia="Times New Roman" w:hAnsiTheme="majorBidi" w:cstheme="majorBidi"/>
              <w:sz w:val="24"/>
              <w:szCs w:val="24"/>
              <w:lang w:eastAsia="en-GB"/>
            </w:rPr>
            <w:fldChar w:fldCharType="end"/>
          </w:r>
        </w:sdtContent>
      </w:sdt>
      <w:r w:rsidRPr="0030212E">
        <w:rPr>
          <w:rFonts w:asciiTheme="majorBidi" w:eastAsia="Times New Roman" w:hAnsiTheme="majorBidi" w:cstheme="majorBidi"/>
          <w:sz w:val="24"/>
          <w:szCs w:val="24"/>
          <w:lang w:eastAsia="en-GB"/>
        </w:rPr>
        <w:t>.</w:t>
      </w:r>
    </w:p>
    <w:p w14:paraId="672F54C6" w14:textId="77777777" w:rsidR="0061549D" w:rsidRDefault="0061549D" w:rsidP="0061549D">
      <w:pPr>
        <w:rPr>
          <w:rFonts w:asciiTheme="majorBidi" w:eastAsia="Times New Roman" w:hAnsiTheme="majorBidi" w:cstheme="majorBidi"/>
          <w:b/>
          <w:bCs/>
          <w:sz w:val="24"/>
          <w:szCs w:val="24"/>
          <w:lang w:eastAsia="en-GB"/>
        </w:rPr>
      </w:pPr>
      <w:r>
        <w:rPr>
          <w:rFonts w:asciiTheme="majorBidi" w:eastAsia="Times New Roman" w:hAnsiTheme="majorBidi" w:cstheme="majorBidi"/>
          <w:b/>
          <w:bCs/>
          <w:sz w:val="24"/>
          <w:szCs w:val="24"/>
          <w:lang w:eastAsia="en-GB"/>
        </w:rPr>
        <w:t xml:space="preserve">3.2.8 </w:t>
      </w:r>
      <w:r w:rsidRPr="00EB5663">
        <w:rPr>
          <w:rFonts w:asciiTheme="majorBidi" w:eastAsia="Times New Roman" w:hAnsiTheme="majorBidi" w:cstheme="majorBidi"/>
          <w:b/>
          <w:bCs/>
          <w:sz w:val="24"/>
          <w:szCs w:val="24"/>
          <w:lang w:eastAsia="en-GB"/>
        </w:rPr>
        <w:t xml:space="preserve">CSR in Egypt </w:t>
      </w:r>
    </w:p>
    <w:p w14:paraId="1DD42319" w14:textId="77777777" w:rsidR="0061549D" w:rsidRDefault="0061549D" w:rsidP="0061549D">
      <w:pPr>
        <w:spacing w:after="0" w:line="480" w:lineRule="auto"/>
        <w:ind w:firstLine="720"/>
      </w:pPr>
      <w:r>
        <w:rPr>
          <w:rFonts w:asciiTheme="majorBidi" w:eastAsia="Times New Roman" w:hAnsiTheme="majorBidi" w:cstheme="majorBidi"/>
          <w:sz w:val="24"/>
          <w:szCs w:val="24"/>
          <w:lang w:eastAsia="en-GB"/>
        </w:rPr>
        <w:t>Focusing the analysis on Egypt, it appears that</w:t>
      </w:r>
      <w:r w:rsidRPr="001545AB">
        <w:rPr>
          <w:rFonts w:asciiTheme="majorBidi" w:eastAsia="Times New Roman" w:hAnsiTheme="majorBidi" w:cstheme="majorBidi"/>
          <w:sz w:val="24"/>
          <w:szCs w:val="24"/>
          <w:lang w:eastAsia="en-GB"/>
        </w:rPr>
        <w:t xml:space="preserve"> increasing consumer, employee, and public awareness of the importance of corporate responsibility in Egypt encourages businesses and management to enhance their social and environmental performance (El-Bassiouny &amp; Letmathe, 2018).</w:t>
      </w:r>
      <w:r>
        <w:rPr>
          <w:rFonts w:asciiTheme="majorBidi" w:eastAsia="Times New Roman" w:hAnsiTheme="majorBidi" w:cstheme="majorBidi"/>
          <w:sz w:val="24"/>
          <w:szCs w:val="24"/>
          <w:lang w:eastAsia="en-GB"/>
        </w:rPr>
        <w:t xml:space="preserve"> For that reason, it is crucial to focus on the perspective of consumers in Egypt on CSR. </w:t>
      </w:r>
      <w:r w:rsidRPr="001545AB">
        <w:rPr>
          <w:rFonts w:asciiTheme="majorBidi" w:eastAsia="Times New Roman" w:hAnsiTheme="majorBidi" w:cstheme="majorBidi"/>
          <w:sz w:val="24"/>
          <w:szCs w:val="24"/>
          <w:lang w:eastAsia="en-GB"/>
        </w:rPr>
        <w:t>In addition, the concept of CSR must be cultivated in the organizational culture where high value is placed on corporate ethics and managerial value</w:t>
      </w:r>
      <w:r>
        <w:rPr>
          <w:rFonts w:asciiTheme="majorBidi" w:eastAsia="Times New Roman" w:hAnsiTheme="majorBidi" w:cstheme="majorBidi"/>
          <w:sz w:val="24"/>
          <w:szCs w:val="24"/>
          <w:lang w:eastAsia="en-GB"/>
        </w:rPr>
        <w:t xml:space="preserve">s </w:t>
      </w:r>
      <w:sdt>
        <w:sdtPr>
          <w:rPr>
            <w:rFonts w:asciiTheme="majorBidi" w:eastAsia="Times New Roman" w:hAnsiTheme="majorBidi" w:cstheme="majorBidi"/>
            <w:sz w:val="24"/>
            <w:szCs w:val="24"/>
            <w:lang w:eastAsia="en-GB"/>
          </w:rPr>
          <w:id w:val="-499962467"/>
          <w:citation/>
        </w:sdtPr>
        <w:sdtContent>
          <w:r w:rsidRPr="001545AB">
            <w:rPr>
              <w:rFonts w:asciiTheme="majorBidi" w:eastAsia="Times New Roman" w:hAnsiTheme="majorBidi" w:cstheme="majorBidi"/>
              <w:sz w:val="24"/>
              <w:szCs w:val="24"/>
              <w:lang w:eastAsia="en-GB"/>
            </w:rPr>
            <w:fldChar w:fldCharType="begin"/>
          </w:r>
          <w:r>
            <w:rPr>
              <w:rFonts w:asciiTheme="majorBidi" w:eastAsia="Times New Roman" w:hAnsiTheme="majorBidi" w:cstheme="majorBidi"/>
              <w:sz w:val="24"/>
              <w:szCs w:val="24"/>
              <w:lang w:eastAsia="en-GB"/>
            </w:rPr>
            <w:instrText xml:space="preserve">CITATION ElB18 \t  \l 2057 </w:instrText>
          </w:r>
          <w:r w:rsidRPr="001545AB">
            <w:rPr>
              <w:rFonts w:asciiTheme="majorBidi" w:eastAsia="Times New Roman" w:hAnsiTheme="majorBidi" w:cstheme="majorBidi"/>
              <w:sz w:val="24"/>
              <w:szCs w:val="24"/>
              <w:lang w:eastAsia="en-GB"/>
            </w:rPr>
            <w:fldChar w:fldCharType="separate"/>
          </w:r>
          <w:r w:rsidRPr="00D26ECD">
            <w:rPr>
              <w:rFonts w:asciiTheme="majorBidi" w:eastAsia="Times New Roman" w:hAnsiTheme="majorBidi" w:cstheme="majorBidi"/>
              <w:noProof/>
              <w:sz w:val="24"/>
              <w:szCs w:val="24"/>
              <w:lang w:eastAsia="en-GB"/>
            </w:rPr>
            <w:t>(El-Bassiouny &amp; Letmathe, 2018)</w:t>
          </w:r>
          <w:r w:rsidRPr="001545AB">
            <w:rPr>
              <w:rFonts w:asciiTheme="majorBidi" w:eastAsia="Times New Roman" w:hAnsiTheme="majorBidi" w:cstheme="majorBidi"/>
              <w:sz w:val="24"/>
              <w:szCs w:val="24"/>
              <w:lang w:eastAsia="en-GB"/>
            </w:rPr>
            <w:fldChar w:fldCharType="end"/>
          </w:r>
        </w:sdtContent>
      </w:sdt>
      <w:r w:rsidRPr="001545AB">
        <w:rPr>
          <w:rFonts w:asciiTheme="majorBidi" w:eastAsia="Times New Roman" w:hAnsiTheme="majorBidi" w:cstheme="majorBidi"/>
          <w:sz w:val="24"/>
          <w:szCs w:val="24"/>
          <w:lang w:eastAsia="en-GB"/>
        </w:rPr>
        <w:t>.</w:t>
      </w:r>
      <w:r w:rsidRPr="00241A5E">
        <w:rPr>
          <w:rFonts w:asciiTheme="majorBidi" w:eastAsia="Times New Roman" w:hAnsiTheme="majorBidi" w:cstheme="majorBidi"/>
          <w:sz w:val="24"/>
          <w:szCs w:val="24"/>
          <w:lang w:eastAsia="en-GB"/>
        </w:rPr>
        <w:t xml:space="preserve"> However, </w:t>
      </w:r>
      <w:r>
        <w:rPr>
          <w:rFonts w:asciiTheme="majorBidi" w:eastAsia="Times New Roman" w:hAnsiTheme="majorBidi" w:cstheme="majorBidi"/>
          <w:sz w:val="24"/>
          <w:szCs w:val="24"/>
          <w:lang w:eastAsia="en-GB"/>
        </w:rPr>
        <w:t>i</w:t>
      </w:r>
      <w:r w:rsidRPr="00241A5E">
        <w:rPr>
          <w:rFonts w:asciiTheme="majorBidi" w:eastAsia="Times New Roman" w:hAnsiTheme="majorBidi" w:cstheme="majorBidi"/>
          <w:sz w:val="24"/>
          <w:szCs w:val="24"/>
          <w:lang w:eastAsia="en-GB"/>
        </w:rPr>
        <w:t xml:space="preserve">t has been found that </w:t>
      </w:r>
      <w:bookmarkStart w:id="93" w:name="_Hlk134021479"/>
      <w:r w:rsidRPr="00241A5E">
        <w:rPr>
          <w:rFonts w:asciiTheme="majorBidi" w:eastAsia="Times New Roman" w:hAnsiTheme="majorBidi" w:cstheme="majorBidi"/>
          <w:sz w:val="24"/>
          <w:szCs w:val="24"/>
          <w:lang w:eastAsia="en-GB"/>
        </w:rPr>
        <w:t xml:space="preserve">CSR may be mainly </w:t>
      </w:r>
      <w:r w:rsidRPr="00E60DA5">
        <w:rPr>
          <w:rFonts w:asciiTheme="majorBidi" w:eastAsia="Times New Roman" w:hAnsiTheme="majorBidi" w:cstheme="majorBidi"/>
          <w:sz w:val="24"/>
          <w:szCs w:val="24"/>
          <w:lang w:eastAsia="en-GB"/>
        </w:rPr>
        <w:t>practiced by companies to serve temporary goals and interests of some of the main corporate shareholders</w:t>
      </w:r>
      <w:bookmarkEnd w:id="93"/>
      <w:r w:rsidRPr="00E60DA5">
        <w:rPr>
          <w:rFonts w:asciiTheme="majorBidi" w:eastAsia="Times New Roman" w:hAnsiTheme="majorBidi" w:cstheme="majorBidi"/>
          <w:sz w:val="24"/>
          <w:szCs w:val="24"/>
          <w:lang w:eastAsia="en-GB"/>
        </w:rPr>
        <w:t xml:space="preserve"> </w:t>
      </w:r>
      <w:bookmarkStart w:id="94" w:name="_Hlk134021459"/>
      <w:sdt>
        <w:sdtPr>
          <w:rPr>
            <w:rFonts w:asciiTheme="majorBidi" w:eastAsia="Times New Roman" w:hAnsiTheme="majorBidi" w:cstheme="majorBidi"/>
            <w:sz w:val="24"/>
            <w:szCs w:val="24"/>
            <w:lang w:eastAsia="en-GB"/>
          </w:rPr>
          <w:id w:val="-1791346648"/>
          <w:citation/>
        </w:sdtPr>
        <w:sdtContent>
          <w:r w:rsidRPr="00E60DA5">
            <w:rPr>
              <w:rFonts w:asciiTheme="majorBidi" w:eastAsia="Times New Roman" w:hAnsiTheme="majorBidi" w:cstheme="majorBidi"/>
              <w:sz w:val="24"/>
              <w:szCs w:val="24"/>
              <w:lang w:eastAsia="en-GB"/>
            </w:rPr>
            <w:fldChar w:fldCharType="begin"/>
          </w:r>
          <w:r w:rsidRPr="00E60DA5">
            <w:rPr>
              <w:rFonts w:asciiTheme="majorBidi" w:eastAsia="Times New Roman" w:hAnsiTheme="majorBidi" w:cstheme="majorBidi"/>
              <w:sz w:val="24"/>
              <w:szCs w:val="24"/>
              <w:lang w:eastAsia="en-GB"/>
            </w:rPr>
            <w:instrText xml:space="preserve">CITATION ElB18 \t  \l 2057 </w:instrText>
          </w:r>
          <w:r w:rsidRPr="00E60DA5">
            <w:rPr>
              <w:rFonts w:asciiTheme="majorBidi" w:eastAsia="Times New Roman" w:hAnsiTheme="majorBidi" w:cstheme="majorBidi"/>
              <w:sz w:val="24"/>
              <w:szCs w:val="24"/>
              <w:lang w:eastAsia="en-GB"/>
            </w:rPr>
            <w:fldChar w:fldCharType="separate"/>
          </w:r>
          <w:r w:rsidRPr="00E60DA5">
            <w:rPr>
              <w:rFonts w:asciiTheme="majorBidi" w:eastAsia="Times New Roman" w:hAnsiTheme="majorBidi" w:cstheme="majorBidi"/>
              <w:noProof/>
              <w:sz w:val="24"/>
              <w:szCs w:val="24"/>
              <w:lang w:eastAsia="en-GB"/>
            </w:rPr>
            <w:t>(El-Bassiouny &amp; Letmathe, 2018)</w:t>
          </w:r>
          <w:r w:rsidRPr="00E60DA5">
            <w:rPr>
              <w:rFonts w:asciiTheme="majorBidi" w:eastAsia="Times New Roman" w:hAnsiTheme="majorBidi" w:cstheme="majorBidi"/>
              <w:sz w:val="24"/>
              <w:szCs w:val="24"/>
              <w:lang w:eastAsia="en-GB"/>
            </w:rPr>
            <w:fldChar w:fldCharType="end"/>
          </w:r>
        </w:sdtContent>
      </w:sdt>
      <w:bookmarkEnd w:id="94"/>
      <w:r w:rsidRPr="00E60DA5">
        <w:rPr>
          <w:rFonts w:asciiTheme="majorBidi" w:eastAsia="Times New Roman" w:hAnsiTheme="majorBidi" w:cstheme="majorBidi"/>
          <w:sz w:val="24"/>
          <w:szCs w:val="24"/>
          <w:lang w:eastAsia="en-GB"/>
        </w:rPr>
        <w:t>.</w:t>
      </w:r>
      <w:r w:rsidRPr="00241A5E">
        <w:rPr>
          <w:rFonts w:asciiTheme="majorBidi" w:eastAsia="Times New Roman" w:hAnsiTheme="majorBidi" w:cstheme="majorBidi"/>
          <w:sz w:val="24"/>
          <w:szCs w:val="24"/>
          <w:lang w:eastAsia="en-GB"/>
        </w:rPr>
        <w:t xml:space="preserve">  Hence, it was concluded that it is crucial to implement corporate performance guidelines that are not only aimed at generating profits but also aimed to increase overall CSR focused at environmental, social, and better quality of products and services </w:t>
      </w:r>
      <w:sdt>
        <w:sdtPr>
          <w:rPr>
            <w:rFonts w:asciiTheme="majorBidi" w:eastAsia="Times New Roman" w:hAnsiTheme="majorBidi" w:cstheme="majorBidi"/>
            <w:sz w:val="24"/>
            <w:szCs w:val="24"/>
            <w:lang w:eastAsia="en-GB"/>
          </w:rPr>
          <w:id w:val="-1367133039"/>
          <w:citation/>
        </w:sdtPr>
        <w:sdtContent>
          <w:r w:rsidRPr="001545AB">
            <w:rPr>
              <w:rFonts w:asciiTheme="majorBidi" w:eastAsia="Times New Roman" w:hAnsiTheme="majorBidi" w:cstheme="majorBidi"/>
              <w:sz w:val="24"/>
              <w:szCs w:val="24"/>
              <w:lang w:eastAsia="en-GB"/>
            </w:rPr>
            <w:fldChar w:fldCharType="begin"/>
          </w:r>
          <w:r>
            <w:rPr>
              <w:rFonts w:asciiTheme="majorBidi" w:eastAsia="Times New Roman" w:hAnsiTheme="majorBidi" w:cstheme="majorBidi"/>
              <w:sz w:val="24"/>
              <w:szCs w:val="24"/>
              <w:lang w:eastAsia="en-GB"/>
            </w:rPr>
            <w:instrText xml:space="preserve">CITATION ElB18 \t  \l 2057 </w:instrText>
          </w:r>
          <w:r w:rsidRPr="001545AB">
            <w:rPr>
              <w:rFonts w:asciiTheme="majorBidi" w:eastAsia="Times New Roman" w:hAnsiTheme="majorBidi" w:cstheme="majorBidi"/>
              <w:sz w:val="24"/>
              <w:szCs w:val="24"/>
              <w:lang w:eastAsia="en-GB"/>
            </w:rPr>
            <w:fldChar w:fldCharType="separate"/>
          </w:r>
          <w:r w:rsidRPr="00D26ECD">
            <w:rPr>
              <w:rFonts w:asciiTheme="majorBidi" w:eastAsia="Times New Roman" w:hAnsiTheme="majorBidi" w:cstheme="majorBidi"/>
              <w:noProof/>
              <w:sz w:val="24"/>
              <w:szCs w:val="24"/>
              <w:lang w:eastAsia="en-GB"/>
            </w:rPr>
            <w:t>(El-Bassiouny &amp; Letmathe, 2018)</w:t>
          </w:r>
          <w:r w:rsidRPr="001545AB">
            <w:rPr>
              <w:rFonts w:asciiTheme="majorBidi" w:eastAsia="Times New Roman" w:hAnsiTheme="majorBidi" w:cstheme="majorBidi"/>
              <w:sz w:val="24"/>
              <w:szCs w:val="24"/>
              <w:lang w:eastAsia="en-GB"/>
            </w:rPr>
            <w:fldChar w:fldCharType="end"/>
          </w:r>
        </w:sdtContent>
      </w:sdt>
      <w:r w:rsidRPr="001545AB">
        <w:rPr>
          <w:rFonts w:asciiTheme="majorBidi" w:eastAsia="Times New Roman" w:hAnsiTheme="majorBidi" w:cstheme="majorBidi"/>
          <w:sz w:val="24"/>
          <w:szCs w:val="24"/>
          <w:lang w:eastAsia="en-GB"/>
        </w:rPr>
        <w:t>.</w:t>
      </w:r>
      <w:r>
        <w:t xml:space="preserve">  </w:t>
      </w:r>
    </w:p>
    <w:p w14:paraId="6E533086" w14:textId="77777777" w:rsidR="0061549D" w:rsidRDefault="0061549D" w:rsidP="0061549D">
      <w:pPr>
        <w:spacing w:after="0" w:line="480" w:lineRule="auto"/>
        <w:ind w:firstLine="720"/>
        <w:rPr>
          <w:rFonts w:asciiTheme="majorBidi" w:eastAsia="Times New Roman" w:hAnsiTheme="majorBidi" w:cstheme="majorBidi"/>
          <w:sz w:val="24"/>
          <w:szCs w:val="24"/>
          <w:lang w:eastAsia="en-GB"/>
        </w:rPr>
      </w:pPr>
      <w:bookmarkStart w:id="95" w:name="_Hlk134021617"/>
      <w:r w:rsidRPr="004B755B">
        <w:rPr>
          <w:rFonts w:asciiTheme="majorBidi" w:eastAsia="Times New Roman" w:hAnsiTheme="majorBidi" w:cstheme="majorBidi"/>
          <w:sz w:val="24"/>
          <w:szCs w:val="24"/>
          <w:lang w:eastAsia="en-GB"/>
        </w:rPr>
        <w:t xml:space="preserve">Based on this systematic literature review, it is evident that differences in the cultural context induce a critical difference in CSR perceptions. For instance, </w:t>
      </w:r>
      <w:bookmarkStart w:id="96" w:name="_Hlk152582747"/>
      <w:r w:rsidRPr="00E60DA5">
        <w:rPr>
          <w:rFonts w:asciiTheme="majorBidi" w:eastAsia="Times New Roman" w:hAnsiTheme="majorBidi" w:cstheme="majorBidi"/>
          <w:sz w:val="24"/>
          <w:szCs w:val="24"/>
          <w:lang w:eastAsia="en-GB"/>
        </w:rPr>
        <w:t xml:space="preserve">Egyptian consumers’ value relevance (alignment of their personal values with CSR), ethical standards, and the perceptions of companies’ CSR strategies have a strong correlation with citizenship behaviour more than British consumers </w:t>
      </w:r>
      <w:sdt>
        <w:sdtPr>
          <w:rPr>
            <w:rFonts w:asciiTheme="majorBidi" w:eastAsia="Times New Roman" w:hAnsiTheme="majorBidi" w:cstheme="majorBidi"/>
            <w:sz w:val="24"/>
            <w:szCs w:val="24"/>
            <w:lang w:eastAsia="en-GB"/>
          </w:rPr>
          <w:id w:val="-1043212289"/>
          <w:citation/>
        </w:sdtPr>
        <w:sdtContent>
          <w:r w:rsidRPr="00E60DA5">
            <w:rPr>
              <w:rFonts w:asciiTheme="majorBidi" w:eastAsia="Times New Roman" w:hAnsiTheme="majorBidi" w:cstheme="majorBidi"/>
              <w:sz w:val="24"/>
              <w:szCs w:val="24"/>
              <w:lang w:eastAsia="en-GB"/>
            </w:rPr>
            <w:fldChar w:fldCharType="begin"/>
          </w:r>
          <w:r w:rsidRPr="00E60DA5">
            <w:rPr>
              <w:rFonts w:asciiTheme="majorBidi" w:eastAsia="Times New Roman" w:hAnsiTheme="majorBidi" w:cstheme="majorBidi"/>
              <w:sz w:val="24"/>
              <w:szCs w:val="24"/>
              <w:lang w:eastAsia="en-GB"/>
            </w:rPr>
            <w:instrText xml:space="preserve"> CITATION Abd223 \l 2057 </w:instrText>
          </w:r>
          <w:r w:rsidRPr="00E60DA5">
            <w:rPr>
              <w:rFonts w:asciiTheme="majorBidi" w:eastAsia="Times New Roman" w:hAnsiTheme="majorBidi" w:cstheme="majorBidi"/>
              <w:sz w:val="24"/>
              <w:szCs w:val="24"/>
              <w:lang w:eastAsia="en-GB"/>
            </w:rPr>
            <w:fldChar w:fldCharType="separate"/>
          </w:r>
          <w:r w:rsidRPr="00E60DA5">
            <w:rPr>
              <w:rFonts w:asciiTheme="majorBidi" w:eastAsia="Times New Roman" w:hAnsiTheme="majorBidi" w:cstheme="majorBidi"/>
              <w:noProof/>
              <w:sz w:val="24"/>
              <w:szCs w:val="24"/>
              <w:lang w:eastAsia="en-GB"/>
            </w:rPr>
            <w:t>(Abdelmoety, Aboul-Dahab, &amp; Agag, 2022)</w:t>
          </w:r>
          <w:r w:rsidRPr="00E60DA5">
            <w:rPr>
              <w:rFonts w:asciiTheme="majorBidi" w:eastAsia="Times New Roman" w:hAnsiTheme="majorBidi" w:cstheme="majorBidi"/>
              <w:sz w:val="24"/>
              <w:szCs w:val="24"/>
              <w:lang w:eastAsia="en-GB"/>
            </w:rPr>
            <w:fldChar w:fldCharType="end"/>
          </w:r>
        </w:sdtContent>
      </w:sdt>
      <w:r w:rsidRPr="00E60DA5">
        <w:rPr>
          <w:rFonts w:asciiTheme="majorBidi" w:eastAsia="Times New Roman" w:hAnsiTheme="majorBidi" w:cstheme="majorBidi"/>
          <w:sz w:val="24"/>
          <w:szCs w:val="24"/>
          <w:lang w:eastAsia="en-GB"/>
        </w:rPr>
        <w:t xml:space="preserve">. </w:t>
      </w:r>
      <w:bookmarkEnd w:id="96"/>
      <w:r w:rsidRPr="00E60DA5">
        <w:rPr>
          <w:rFonts w:asciiTheme="majorBidi" w:eastAsia="Times New Roman" w:hAnsiTheme="majorBidi" w:cstheme="majorBidi"/>
          <w:sz w:val="24"/>
          <w:szCs w:val="24"/>
          <w:lang w:eastAsia="en-GB"/>
        </w:rPr>
        <w:t xml:space="preserve">It was evident in the study that consumer citizenship behaviour (CCB) has a positive impact on overall business success </w:t>
      </w:r>
      <w:sdt>
        <w:sdtPr>
          <w:rPr>
            <w:rFonts w:asciiTheme="majorBidi" w:eastAsia="Times New Roman" w:hAnsiTheme="majorBidi" w:cstheme="majorBidi"/>
            <w:sz w:val="24"/>
            <w:szCs w:val="24"/>
            <w:lang w:eastAsia="en-GB"/>
          </w:rPr>
          <w:id w:val="-186905095"/>
          <w:citation/>
        </w:sdtPr>
        <w:sdtContent>
          <w:r w:rsidRPr="00E60DA5">
            <w:rPr>
              <w:rFonts w:asciiTheme="majorBidi" w:eastAsia="Times New Roman" w:hAnsiTheme="majorBidi" w:cstheme="majorBidi"/>
              <w:sz w:val="24"/>
              <w:szCs w:val="24"/>
              <w:lang w:eastAsia="en-GB"/>
            </w:rPr>
            <w:fldChar w:fldCharType="begin"/>
          </w:r>
          <w:r w:rsidRPr="00E60DA5">
            <w:rPr>
              <w:rFonts w:asciiTheme="majorBidi" w:eastAsia="Times New Roman" w:hAnsiTheme="majorBidi" w:cstheme="majorBidi"/>
              <w:sz w:val="24"/>
              <w:szCs w:val="24"/>
              <w:lang w:eastAsia="en-GB"/>
            </w:rPr>
            <w:instrText xml:space="preserve"> CITATION Abd223 \l 2057 </w:instrText>
          </w:r>
          <w:r w:rsidRPr="00E60DA5">
            <w:rPr>
              <w:rFonts w:asciiTheme="majorBidi" w:eastAsia="Times New Roman" w:hAnsiTheme="majorBidi" w:cstheme="majorBidi"/>
              <w:sz w:val="24"/>
              <w:szCs w:val="24"/>
              <w:lang w:eastAsia="en-GB"/>
            </w:rPr>
            <w:fldChar w:fldCharType="separate"/>
          </w:r>
          <w:r w:rsidRPr="00E60DA5">
            <w:rPr>
              <w:rFonts w:asciiTheme="majorBidi" w:eastAsia="Times New Roman" w:hAnsiTheme="majorBidi" w:cstheme="majorBidi"/>
              <w:noProof/>
              <w:sz w:val="24"/>
              <w:szCs w:val="24"/>
              <w:lang w:eastAsia="en-GB"/>
            </w:rPr>
            <w:t>(Abdelmoety, Aboul-Dahab, &amp; Agag, 2022)</w:t>
          </w:r>
          <w:r w:rsidRPr="00E60DA5">
            <w:rPr>
              <w:rFonts w:asciiTheme="majorBidi" w:eastAsia="Times New Roman" w:hAnsiTheme="majorBidi" w:cstheme="majorBidi"/>
              <w:sz w:val="24"/>
              <w:szCs w:val="24"/>
              <w:lang w:eastAsia="en-GB"/>
            </w:rPr>
            <w:fldChar w:fldCharType="end"/>
          </w:r>
        </w:sdtContent>
      </w:sdt>
      <w:r w:rsidRPr="00E60DA5">
        <w:rPr>
          <w:rFonts w:asciiTheme="majorBidi" w:eastAsia="Times New Roman" w:hAnsiTheme="majorBidi" w:cstheme="majorBidi"/>
          <w:sz w:val="24"/>
          <w:szCs w:val="24"/>
          <w:lang w:eastAsia="en-GB"/>
        </w:rPr>
        <w:t xml:space="preserve">. </w:t>
      </w:r>
      <w:bookmarkEnd w:id="95"/>
      <w:r w:rsidRPr="00E60DA5">
        <w:rPr>
          <w:rFonts w:asciiTheme="majorBidi" w:eastAsia="Times New Roman" w:hAnsiTheme="majorBidi" w:cstheme="majorBidi"/>
          <w:sz w:val="24"/>
          <w:szCs w:val="24"/>
          <w:lang w:eastAsia="en-GB"/>
        </w:rPr>
        <w:t xml:space="preserve">In fact, companies operating in rural villages in Egypt should attend to business and community needs as well because community needs would be highly prioritised by the people </w:t>
      </w:r>
      <w:sdt>
        <w:sdtPr>
          <w:rPr>
            <w:rFonts w:asciiTheme="majorBidi" w:eastAsia="Times New Roman" w:hAnsiTheme="majorBidi" w:cstheme="majorBidi"/>
            <w:sz w:val="24"/>
            <w:szCs w:val="24"/>
            <w:lang w:eastAsia="en-GB"/>
          </w:rPr>
          <w:id w:val="-1670624395"/>
          <w:citation/>
        </w:sdtPr>
        <w:sdtContent>
          <w:r w:rsidRPr="00E60DA5">
            <w:rPr>
              <w:rFonts w:asciiTheme="majorBidi" w:eastAsia="Times New Roman" w:hAnsiTheme="majorBidi" w:cstheme="majorBidi"/>
              <w:sz w:val="24"/>
              <w:szCs w:val="24"/>
              <w:lang w:eastAsia="en-GB"/>
            </w:rPr>
            <w:fldChar w:fldCharType="begin"/>
          </w:r>
          <w:r w:rsidRPr="00E60DA5">
            <w:rPr>
              <w:rFonts w:asciiTheme="majorBidi" w:eastAsia="Times New Roman" w:hAnsiTheme="majorBidi" w:cstheme="majorBidi"/>
              <w:sz w:val="24"/>
              <w:szCs w:val="24"/>
              <w:lang w:eastAsia="en-GB"/>
            </w:rPr>
            <w:instrText xml:space="preserve"> CITATION Dia201 \l 2057 </w:instrText>
          </w:r>
          <w:r w:rsidRPr="00E60DA5">
            <w:rPr>
              <w:rFonts w:asciiTheme="majorBidi" w:eastAsia="Times New Roman" w:hAnsiTheme="majorBidi" w:cstheme="majorBidi"/>
              <w:sz w:val="24"/>
              <w:szCs w:val="24"/>
              <w:lang w:eastAsia="en-GB"/>
            </w:rPr>
            <w:fldChar w:fldCharType="separate"/>
          </w:r>
          <w:r w:rsidRPr="00E60DA5">
            <w:rPr>
              <w:rFonts w:asciiTheme="majorBidi" w:eastAsia="Times New Roman" w:hAnsiTheme="majorBidi" w:cstheme="majorBidi"/>
              <w:noProof/>
              <w:sz w:val="24"/>
              <w:szCs w:val="24"/>
              <w:lang w:eastAsia="en-GB"/>
            </w:rPr>
            <w:t>(Diab &amp; Metwally, 2020)</w:t>
          </w:r>
          <w:r w:rsidRPr="00E60DA5">
            <w:rPr>
              <w:rFonts w:asciiTheme="majorBidi" w:eastAsia="Times New Roman" w:hAnsiTheme="majorBidi" w:cstheme="majorBidi"/>
              <w:sz w:val="24"/>
              <w:szCs w:val="24"/>
              <w:lang w:eastAsia="en-GB"/>
            </w:rPr>
            <w:fldChar w:fldCharType="end"/>
          </w:r>
        </w:sdtContent>
      </w:sdt>
      <w:r w:rsidRPr="00E60DA5">
        <w:rPr>
          <w:rFonts w:asciiTheme="majorBidi" w:eastAsia="Times New Roman" w:hAnsiTheme="majorBidi" w:cstheme="majorBidi"/>
          <w:sz w:val="24"/>
          <w:szCs w:val="24"/>
          <w:lang w:eastAsia="en-GB"/>
        </w:rPr>
        <w:t>.</w:t>
      </w:r>
      <w:r w:rsidRPr="00AF05E9">
        <w:rPr>
          <w:rFonts w:asciiTheme="majorBidi" w:eastAsia="Times New Roman" w:hAnsiTheme="majorBidi" w:cstheme="majorBidi"/>
          <w:sz w:val="24"/>
          <w:szCs w:val="24"/>
          <w:lang w:eastAsia="en-GB"/>
        </w:rPr>
        <w:t xml:space="preserve"> </w:t>
      </w:r>
      <w:bookmarkStart w:id="97" w:name="_Hlk134021651"/>
      <w:r>
        <w:rPr>
          <w:rFonts w:asciiTheme="majorBidi" w:eastAsia="Times New Roman" w:hAnsiTheme="majorBidi" w:cstheme="majorBidi"/>
          <w:sz w:val="24"/>
          <w:szCs w:val="24"/>
          <w:lang w:eastAsia="en-GB"/>
        </w:rPr>
        <w:t xml:space="preserve">Additionally, </w:t>
      </w:r>
      <w:r w:rsidRPr="00C4095A">
        <w:rPr>
          <w:rFonts w:asciiTheme="majorBidi" w:eastAsia="Times New Roman" w:hAnsiTheme="majorBidi" w:cstheme="majorBidi"/>
          <w:sz w:val="24"/>
          <w:szCs w:val="24"/>
          <w:lang w:eastAsia="en-GB"/>
        </w:rPr>
        <w:t xml:space="preserve">Gen Z consumers in Egypt, if presented with convenient access to the right products, showed a strong interest and desire to adopt sustainable lifestyles and mindful purchasing behaviour </w:t>
      </w:r>
      <w:bookmarkStart w:id="98" w:name="_Hlk123311721"/>
      <w:sdt>
        <w:sdtPr>
          <w:rPr>
            <w:rFonts w:asciiTheme="majorBidi" w:eastAsia="Times New Roman" w:hAnsiTheme="majorBidi" w:cstheme="majorBidi"/>
            <w:sz w:val="24"/>
            <w:szCs w:val="24"/>
            <w:lang w:eastAsia="en-GB"/>
          </w:rPr>
          <w:id w:val="-2098855905"/>
          <w:citation/>
        </w:sdtPr>
        <w:sdtContent>
          <w:r w:rsidRPr="00C4095A">
            <w:rPr>
              <w:rFonts w:asciiTheme="majorBidi" w:eastAsia="Times New Roman" w:hAnsiTheme="majorBidi" w:cstheme="majorBidi"/>
              <w:sz w:val="24"/>
              <w:szCs w:val="24"/>
              <w:lang w:eastAsia="en-GB"/>
            </w:rPr>
            <w:fldChar w:fldCharType="begin"/>
          </w:r>
          <w:r w:rsidRPr="00C4095A">
            <w:rPr>
              <w:rFonts w:asciiTheme="majorBidi" w:eastAsia="Times New Roman" w:hAnsiTheme="majorBidi" w:cstheme="majorBidi"/>
              <w:sz w:val="24"/>
              <w:szCs w:val="24"/>
              <w:lang w:eastAsia="en-GB"/>
            </w:rPr>
            <w:instrText xml:space="preserve"> CITATION Kha21 \l 2057 </w:instrText>
          </w:r>
          <w:r w:rsidRPr="00C4095A">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(Khalil , Ismail, &amp; Ghalwash, 2021)</w:t>
          </w:r>
          <w:r w:rsidRPr="00C4095A">
            <w:rPr>
              <w:rFonts w:asciiTheme="majorBidi" w:eastAsia="Times New Roman" w:hAnsiTheme="majorBidi" w:cstheme="majorBidi"/>
              <w:sz w:val="24"/>
              <w:szCs w:val="24"/>
              <w:lang w:eastAsia="en-GB"/>
            </w:rPr>
            <w:fldChar w:fldCharType="end"/>
          </w:r>
        </w:sdtContent>
      </w:sdt>
      <w:bookmarkEnd w:id="98"/>
      <w:r w:rsidRPr="00C4095A">
        <w:rPr>
          <w:rFonts w:asciiTheme="majorBidi" w:eastAsia="Times New Roman" w:hAnsiTheme="majorBidi" w:cstheme="majorBidi"/>
          <w:sz w:val="24"/>
          <w:szCs w:val="24"/>
          <w:lang w:eastAsia="en-GB"/>
        </w:rPr>
        <w:t>.</w:t>
      </w:r>
      <w:bookmarkEnd w:id="97"/>
      <w:r>
        <w:rPr>
          <w:rFonts w:asciiTheme="majorBidi" w:eastAsia="Times New Roman" w:hAnsiTheme="majorBidi" w:cstheme="majorBidi"/>
          <w:sz w:val="24"/>
          <w:szCs w:val="24"/>
          <w:lang w:eastAsia="en-GB"/>
        </w:rPr>
        <w:t xml:space="preserve"> Also, the study revealed that even though, Gen Z consumers are highly aware of the importance of sustainable consumption, they are not practicing these sustainable consumption behaviours due to lack of proper education systems </w:t>
      </w:r>
      <w:sdt>
        <w:sdtPr>
          <w:rPr>
            <w:rFonts w:asciiTheme="majorBidi" w:eastAsia="Times New Roman" w:hAnsiTheme="majorBidi" w:cstheme="majorBidi"/>
            <w:sz w:val="24"/>
            <w:szCs w:val="24"/>
            <w:lang w:eastAsia="en-GB"/>
          </w:rPr>
          <w:id w:val="282547065"/>
          <w:citation/>
        </w:sdtPr>
        <w:sdtContent>
          <w:r w:rsidRPr="00C4095A">
            <w:rPr>
              <w:rFonts w:asciiTheme="majorBidi" w:eastAsia="Times New Roman" w:hAnsiTheme="majorBidi" w:cstheme="majorBidi"/>
              <w:sz w:val="24"/>
              <w:szCs w:val="24"/>
              <w:lang w:eastAsia="en-GB"/>
            </w:rPr>
            <w:fldChar w:fldCharType="begin"/>
          </w:r>
          <w:r w:rsidRPr="00C4095A">
            <w:rPr>
              <w:rFonts w:asciiTheme="majorBidi" w:eastAsia="Times New Roman" w:hAnsiTheme="majorBidi" w:cstheme="majorBidi"/>
              <w:sz w:val="24"/>
              <w:szCs w:val="24"/>
              <w:lang w:eastAsia="en-GB"/>
            </w:rPr>
            <w:instrText xml:space="preserve"> CITATION Kha21 \l 2057 </w:instrText>
          </w:r>
          <w:r w:rsidRPr="00C4095A">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(Khalil , Ismail, &amp; Ghalwash, 2021)</w:t>
          </w:r>
          <w:r w:rsidRPr="00C4095A">
            <w:rPr>
              <w:rFonts w:asciiTheme="majorBidi" w:eastAsia="Times New Roman" w:hAnsiTheme="majorBidi" w:cstheme="majorBidi"/>
              <w:sz w:val="24"/>
              <w:szCs w:val="24"/>
              <w:lang w:eastAsia="en-GB"/>
            </w:rPr>
            <w:fldChar w:fldCharType="end"/>
          </w:r>
        </w:sdtContent>
      </w:sdt>
      <w:r w:rsidRPr="00C4095A">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Also, it is important to mention that</w:t>
      </w:r>
      <w:r w:rsidRPr="00EB5663">
        <w:rPr>
          <w:rFonts w:asciiTheme="majorBidi" w:eastAsia="Times New Roman" w:hAnsiTheme="majorBidi" w:cstheme="majorBidi"/>
          <w:sz w:val="24"/>
          <w:szCs w:val="24"/>
          <w:lang w:eastAsia="en-GB"/>
        </w:rPr>
        <w:t xml:space="preserve"> CSR communication in Egypt drives members of the society to be sceptical of the company and lose trust in it</w:t>
      </w:r>
      <w:sdt>
        <w:sdtPr>
          <w:rPr>
            <w:rFonts w:asciiTheme="majorBidi" w:eastAsia="Times New Roman" w:hAnsiTheme="majorBidi" w:cstheme="majorBidi"/>
            <w:sz w:val="24"/>
            <w:szCs w:val="24"/>
            <w:lang w:eastAsia="en-GB"/>
          </w:rPr>
          <w:id w:val="332343314"/>
          <w:citation/>
        </w:sdtPr>
        <w:sdtContent>
          <w:r w:rsidRPr="00EB5663">
            <w:rPr>
              <w:rFonts w:asciiTheme="majorBidi" w:eastAsia="Times New Roman" w:hAnsiTheme="majorBidi" w:cstheme="majorBidi"/>
              <w:sz w:val="24"/>
              <w:szCs w:val="24"/>
              <w:lang w:eastAsia="en-GB"/>
            </w:rPr>
            <w:fldChar w:fldCharType="begin"/>
          </w:r>
          <w:r w:rsidRPr="00EB5663">
            <w:rPr>
              <w:rFonts w:asciiTheme="majorBidi" w:eastAsia="Times New Roman" w:hAnsiTheme="majorBidi" w:cstheme="majorBidi"/>
              <w:sz w:val="24"/>
              <w:szCs w:val="24"/>
              <w:lang w:eastAsia="en-GB"/>
            </w:rPr>
            <w:instrText xml:space="preserve"> CITATION Jam201 \l 2057 </w:instrText>
          </w:r>
          <w:r w:rsidRPr="00EB5663">
            <w:rPr>
              <w:rFonts w:asciiTheme="majorBidi" w:eastAsia="Times New Roman" w:hAnsiTheme="majorBidi" w:cstheme="majorBidi"/>
              <w:sz w:val="24"/>
              <w:szCs w:val="24"/>
              <w:lang w:eastAsia="en-GB"/>
            </w:rPr>
            <w:fldChar w:fldCharType="separate"/>
          </w:r>
          <w:r>
            <w:rPr>
              <w:rFonts w:asciiTheme="majorBidi" w:eastAsia="Times New Roman" w:hAnsiTheme="majorBidi" w:cstheme="majorBidi"/>
              <w:noProof/>
              <w:sz w:val="24"/>
              <w:szCs w:val="24"/>
              <w:lang w:eastAsia="en-GB"/>
            </w:rPr>
            <w:t xml:space="preserve"> </w:t>
          </w:r>
          <w:r w:rsidRPr="003275FC">
            <w:rPr>
              <w:rFonts w:asciiTheme="majorBidi" w:eastAsia="Times New Roman" w:hAnsiTheme="majorBidi" w:cstheme="majorBidi"/>
              <w:noProof/>
              <w:sz w:val="24"/>
              <w:szCs w:val="24"/>
              <w:lang w:eastAsia="en-GB"/>
            </w:rPr>
            <w:t>(Jamali, Tanusree, Samara, &amp; Zoghbi, 2020)</w:t>
          </w:r>
          <w:r w:rsidRPr="00EB5663">
            <w:rPr>
              <w:rFonts w:asciiTheme="majorBidi" w:eastAsia="Times New Roman" w:hAnsiTheme="majorBidi" w:cstheme="majorBidi"/>
              <w:sz w:val="24"/>
              <w:szCs w:val="24"/>
              <w:lang w:eastAsia="en-GB"/>
            </w:rPr>
            <w:fldChar w:fldCharType="end"/>
          </w:r>
        </w:sdtContent>
      </w:sdt>
      <w:r w:rsidRPr="00EB5663">
        <w:rPr>
          <w:rFonts w:asciiTheme="majorBidi" w:eastAsia="Times New Roman" w:hAnsiTheme="majorBidi" w:cstheme="majorBidi"/>
          <w:sz w:val="24"/>
          <w:szCs w:val="24"/>
          <w:lang w:eastAsia="en-GB"/>
        </w:rPr>
        <w:t xml:space="preserve">. </w:t>
      </w:r>
      <w:r>
        <w:rPr>
          <w:rFonts w:asciiTheme="majorBidi" w:eastAsia="Times New Roman" w:hAnsiTheme="majorBidi" w:cstheme="majorBidi"/>
          <w:sz w:val="24"/>
          <w:szCs w:val="24"/>
          <w:lang w:eastAsia="en-GB"/>
        </w:rPr>
        <w:t>One study reported that one-way communication from the company increases consumers’ scepticism and makes them believe that the company is engaged in CSR for PR reasons not for genuine social well-being</w:t>
      </w:r>
      <w:r w:rsidRPr="001B152D">
        <w:t xml:space="preserve"> </w:t>
      </w:r>
      <w:sdt>
        <w:sdtPr>
          <w:id w:val="1086662731"/>
          <w:citation/>
        </w:sdtPr>
        <w:sdtContent>
          <w:r>
            <w:fldChar w:fldCharType="begin"/>
          </w:r>
          <w:r>
            <w:rPr>
              <w:rFonts w:asciiTheme="majorBidi" w:eastAsia="Times New Roman" w:hAnsiTheme="majorBidi" w:cstheme="majorBidi"/>
              <w:sz w:val="24"/>
              <w:szCs w:val="24"/>
              <w:lang w:eastAsia="en-GB"/>
            </w:rPr>
            <w:instrText xml:space="preserve"> CITATION ElB182 \l 2057 </w:instrText>
          </w:r>
          <w:r>
            <w:fldChar w:fldCharType="separate"/>
          </w:r>
          <w:r w:rsidRPr="003275FC">
            <w:rPr>
              <w:rFonts w:asciiTheme="majorBidi" w:eastAsia="Times New Roman" w:hAnsiTheme="majorBidi" w:cstheme="majorBidi"/>
              <w:noProof/>
              <w:sz w:val="24"/>
              <w:szCs w:val="24"/>
              <w:lang w:eastAsia="en-GB"/>
            </w:rPr>
            <w:t>(El-Bassiouny, Darrag, &amp; Zahran, 2018)</w:t>
          </w:r>
          <w:r>
            <w:fldChar w:fldCharType="end"/>
          </w:r>
        </w:sdtContent>
      </w:sdt>
      <w:r>
        <w:t xml:space="preserve">. </w:t>
      </w:r>
      <w:r>
        <w:rPr>
          <w:rFonts w:asciiTheme="majorBidi" w:eastAsia="Times New Roman" w:hAnsiTheme="majorBidi" w:cstheme="majorBidi"/>
          <w:sz w:val="24"/>
          <w:szCs w:val="24"/>
          <w:lang w:eastAsia="en-GB"/>
        </w:rPr>
        <w:t>On the other hand, two-way communication with stakeholders has a positive impact on credibility</w:t>
      </w:r>
      <w:r w:rsidRPr="001B152D">
        <w:t xml:space="preserve"> </w:t>
      </w:r>
      <w:sdt>
        <w:sdtPr>
          <w:id w:val="-1700616939"/>
          <w:citation/>
        </w:sdtPr>
        <w:sdtContent>
          <w:r>
            <w:fldChar w:fldCharType="begin"/>
          </w:r>
          <w:r>
            <w:rPr>
              <w:rFonts w:asciiTheme="majorBidi" w:eastAsia="Times New Roman" w:hAnsiTheme="majorBidi" w:cstheme="majorBidi"/>
              <w:sz w:val="24"/>
              <w:szCs w:val="24"/>
              <w:lang w:eastAsia="en-GB"/>
            </w:rPr>
            <w:instrText xml:space="preserve"> CITATION ElB182 \l 2057 </w:instrText>
          </w:r>
          <w:r>
            <w:fldChar w:fldCharType="separate"/>
          </w:r>
          <w:r w:rsidRPr="003275FC">
            <w:rPr>
              <w:rFonts w:asciiTheme="majorBidi" w:eastAsia="Times New Roman" w:hAnsiTheme="majorBidi" w:cstheme="majorBidi"/>
              <w:noProof/>
              <w:sz w:val="24"/>
              <w:szCs w:val="24"/>
              <w:lang w:eastAsia="en-GB"/>
            </w:rPr>
            <w:t>(El-Bassiouny, Darrag, &amp; Zahran, 2018)</w:t>
          </w:r>
          <w:r>
            <w:fldChar w:fldCharType="end"/>
          </w:r>
        </w:sdtContent>
      </w:sdt>
      <w:r>
        <w:t xml:space="preserve">. </w:t>
      </w:r>
      <w:r>
        <w:rPr>
          <w:rFonts w:asciiTheme="majorBidi" w:eastAsia="Times New Roman" w:hAnsiTheme="majorBidi" w:cstheme="majorBidi"/>
          <w:sz w:val="24"/>
          <w:szCs w:val="24"/>
          <w:lang w:eastAsia="en-GB"/>
        </w:rPr>
        <w:t xml:space="preserve">The study highlighted the importance of considering the CSR communication strategy and CSR media channel in relevance to the audience as such choices have an impact on consumers’ and society’s perceptions </w:t>
      </w:r>
      <w:sdt>
        <w:sdtPr>
          <w:rPr>
            <w:rFonts w:asciiTheme="majorBidi" w:eastAsia="Times New Roman" w:hAnsiTheme="majorBidi" w:cstheme="majorBidi"/>
            <w:sz w:val="24"/>
            <w:szCs w:val="24"/>
            <w:lang w:eastAsia="en-GB"/>
          </w:rPr>
          <w:id w:val="215026464"/>
          <w:citation/>
        </w:sdtPr>
        <w:sdtContent>
          <w:r>
            <w:rPr>
              <w:rFonts w:asciiTheme="majorBidi" w:eastAsia="Times New Roman" w:hAnsiTheme="majorBidi" w:cstheme="majorBidi"/>
              <w:sz w:val="24"/>
              <w:szCs w:val="24"/>
              <w:lang w:eastAsia="en-GB"/>
            </w:rPr>
            <w:fldChar w:fldCharType="begin"/>
          </w:r>
          <w:r>
            <w:rPr>
              <w:rFonts w:asciiTheme="majorBidi" w:eastAsia="Times New Roman" w:hAnsiTheme="majorBidi" w:cstheme="majorBidi"/>
              <w:sz w:val="24"/>
              <w:szCs w:val="24"/>
              <w:lang w:eastAsia="en-GB"/>
            </w:rPr>
            <w:instrText xml:space="preserve"> CITATION ElB182 \l 2057 </w:instrText>
          </w:r>
          <w:r>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(El-Bassiouny, Darrag, &amp; Zahran, 2018)</w:t>
          </w:r>
          <w:r>
            <w:rPr>
              <w:rFonts w:asciiTheme="majorBidi" w:eastAsia="Times New Roman" w:hAnsiTheme="majorBidi" w:cstheme="majorBidi"/>
              <w:sz w:val="24"/>
              <w:szCs w:val="24"/>
              <w:lang w:eastAsia="en-GB"/>
            </w:rPr>
            <w:fldChar w:fldCharType="end"/>
          </w:r>
        </w:sdtContent>
      </w:sdt>
      <w:r>
        <w:rPr>
          <w:rFonts w:asciiTheme="majorBidi" w:eastAsia="Times New Roman" w:hAnsiTheme="majorBidi" w:cstheme="majorBidi"/>
          <w:sz w:val="24"/>
          <w:szCs w:val="24"/>
          <w:lang w:eastAsia="en-GB"/>
        </w:rPr>
        <w:t>.</w:t>
      </w:r>
    </w:p>
    <w:p w14:paraId="08797899" w14:textId="77777777" w:rsidR="0061549D" w:rsidRPr="00DC600A" w:rsidRDefault="0061549D" w:rsidP="0061549D">
      <w:pPr>
        <w:spacing w:after="0" w:line="480" w:lineRule="auto"/>
        <w:ind w:firstLine="720"/>
        <w:rPr>
          <w:rStyle w:val="Hyperlink"/>
          <w:rFonts w:asciiTheme="majorBidi" w:eastAsia="Times New Roman" w:hAnsiTheme="majorBidi" w:cstheme="majorBidi"/>
          <w:color w:val="auto"/>
          <w:sz w:val="24"/>
          <w:szCs w:val="24"/>
          <w:u w:val="none"/>
          <w:lang w:eastAsia="en-GB"/>
        </w:rPr>
      </w:pPr>
      <w:r>
        <w:rPr>
          <w:rFonts w:asciiTheme="majorBidi" w:eastAsia="Times New Roman" w:hAnsiTheme="majorBidi" w:cstheme="majorBidi"/>
          <w:sz w:val="24"/>
          <w:szCs w:val="24"/>
          <w:lang w:eastAsia="en-GB"/>
        </w:rPr>
        <w:t>The analysis of the final articles showed that there are some articles that examined the impact of CSR communication in Egypt on the company and its employees. One study compared the differences in perception between Egyptian and British cultures among decision makers and managers</w:t>
      </w:r>
      <w:r w:rsidRPr="00A62C2D">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855927577"/>
          <w:citation/>
        </w:sdtPr>
        <w:sdtContent>
          <w:r w:rsidRPr="00A62C2D">
            <w:rPr>
              <w:rFonts w:asciiTheme="majorBidi" w:eastAsia="Times New Roman" w:hAnsiTheme="majorBidi" w:cstheme="majorBidi"/>
              <w:sz w:val="24"/>
              <w:szCs w:val="24"/>
              <w:lang w:eastAsia="en-GB"/>
            </w:rPr>
            <w:fldChar w:fldCharType="begin"/>
          </w:r>
          <w:r w:rsidRPr="00A62C2D">
            <w:rPr>
              <w:rFonts w:asciiTheme="majorBidi" w:eastAsia="Times New Roman" w:hAnsiTheme="majorBidi" w:cstheme="majorBidi"/>
              <w:sz w:val="24"/>
              <w:szCs w:val="24"/>
              <w:lang w:eastAsia="en-GB"/>
            </w:rPr>
            <w:instrText xml:space="preserve"> CITATION Ibr22 \l 2057 </w:instrText>
          </w:r>
          <w:r w:rsidRPr="00A62C2D">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(Ibrahim &amp; Kimbu, 2022)</w:t>
          </w:r>
          <w:r w:rsidRPr="00A62C2D">
            <w:rPr>
              <w:rFonts w:asciiTheme="majorBidi" w:eastAsia="Times New Roman" w:hAnsiTheme="majorBidi" w:cstheme="majorBidi"/>
              <w:sz w:val="24"/>
              <w:szCs w:val="24"/>
              <w:lang w:eastAsia="en-GB"/>
            </w:rPr>
            <w:fldChar w:fldCharType="end"/>
          </w:r>
        </w:sdtContent>
      </w:sdt>
      <w:r>
        <w:rPr>
          <w:rFonts w:asciiTheme="majorBidi" w:eastAsia="Times New Roman" w:hAnsiTheme="majorBidi" w:cstheme="majorBidi"/>
          <w:sz w:val="24"/>
          <w:szCs w:val="24"/>
          <w:lang w:eastAsia="en-GB"/>
        </w:rPr>
        <w:t xml:space="preserve">. This study found that, unlike in the UK, institutional pressure has a significant effect on external CSR in Egypt </w:t>
      </w:r>
      <w:sdt>
        <w:sdtPr>
          <w:rPr>
            <w:rFonts w:asciiTheme="majorBidi" w:eastAsia="Times New Roman" w:hAnsiTheme="majorBidi" w:cstheme="majorBidi"/>
            <w:sz w:val="24"/>
            <w:szCs w:val="24"/>
            <w:lang w:eastAsia="en-GB"/>
          </w:rPr>
          <w:id w:val="-801301712"/>
          <w:citation/>
        </w:sdtPr>
        <w:sdtContent>
          <w:r w:rsidRPr="00A62C2D">
            <w:rPr>
              <w:rFonts w:asciiTheme="majorBidi" w:eastAsia="Times New Roman" w:hAnsiTheme="majorBidi" w:cstheme="majorBidi"/>
              <w:sz w:val="24"/>
              <w:szCs w:val="24"/>
              <w:lang w:eastAsia="en-GB"/>
            </w:rPr>
            <w:fldChar w:fldCharType="begin"/>
          </w:r>
          <w:r w:rsidRPr="00A62C2D">
            <w:rPr>
              <w:rFonts w:asciiTheme="majorBidi" w:eastAsia="Times New Roman" w:hAnsiTheme="majorBidi" w:cstheme="majorBidi"/>
              <w:sz w:val="24"/>
              <w:szCs w:val="24"/>
              <w:lang w:eastAsia="en-GB"/>
            </w:rPr>
            <w:instrText xml:space="preserve"> CITATION Ibr22 \l 2057 </w:instrText>
          </w:r>
          <w:r w:rsidRPr="00A62C2D">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(Ibrahim &amp; Kimbu, 2022)</w:t>
          </w:r>
          <w:r w:rsidRPr="00A62C2D">
            <w:rPr>
              <w:rFonts w:asciiTheme="majorBidi" w:eastAsia="Times New Roman" w:hAnsiTheme="majorBidi" w:cstheme="majorBidi"/>
              <w:sz w:val="24"/>
              <w:szCs w:val="24"/>
              <w:lang w:eastAsia="en-GB"/>
            </w:rPr>
            <w:fldChar w:fldCharType="end"/>
          </w:r>
        </w:sdtContent>
      </w:sdt>
      <w:r>
        <w:rPr>
          <w:rFonts w:asciiTheme="majorBidi" w:eastAsia="Times New Roman" w:hAnsiTheme="majorBidi" w:cstheme="majorBidi"/>
          <w:sz w:val="24"/>
          <w:szCs w:val="24"/>
          <w:lang w:eastAsia="en-GB"/>
        </w:rPr>
        <w:t>. Also, w</w:t>
      </w:r>
      <w:r w:rsidRPr="00A62C2D">
        <w:rPr>
          <w:rFonts w:asciiTheme="majorBidi" w:eastAsia="Times New Roman" w:hAnsiTheme="majorBidi" w:cstheme="majorBidi"/>
          <w:sz w:val="24"/>
          <w:szCs w:val="24"/>
          <w:lang w:eastAsia="en-GB"/>
        </w:rPr>
        <w:t xml:space="preserve">hile Egyptian managers saw CSR as opportunity, British managers saw it as a </w:t>
      </w:r>
      <w:r>
        <w:rPr>
          <w:rFonts w:asciiTheme="majorBidi" w:eastAsia="Times New Roman" w:hAnsiTheme="majorBidi" w:cstheme="majorBidi"/>
          <w:sz w:val="24"/>
          <w:szCs w:val="24"/>
          <w:lang w:eastAsia="en-GB"/>
        </w:rPr>
        <w:t>threat</w:t>
      </w:r>
      <w:r w:rsidRPr="00A62C2D">
        <w:rPr>
          <w:rFonts w:asciiTheme="majorBidi" w:eastAsia="Times New Roman" w:hAnsiTheme="majorBidi" w:cstheme="majorBidi"/>
          <w:sz w:val="24"/>
          <w:szCs w:val="24"/>
          <w:lang w:eastAsia="en-GB"/>
        </w:rPr>
        <w:t xml:space="preserve"> to their </w:t>
      </w:r>
      <w:r>
        <w:rPr>
          <w:rFonts w:asciiTheme="majorBidi" w:eastAsia="Times New Roman" w:hAnsiTheme="majorBidi" w:cstheme="majorBidi"/>
          <w:sz w:val="24"/>
          <w:szCs w:val="24"/>
          <w:lang w:eastAsia="en-GB"/>
        </w:rPr>
        <w:t xml:space="preserve">firms </w:t>
      </w:r>
      <w:sdt>
        <w:sdtPr>
          <w:rPr>
            <w:rFonts w:asciiTheme="majorBidi" w:eastAsia="Times New Roman" w:hAnsiTheme="majorBidi" w:cstheme="majorBidi"/>
            <w:sz w:val="24"/>
            <w:szCs w:val="24"/>
            <w:lang w:eastAsia="en-GB"/>
          </w:rPr>
          <w:id w:val="-460200070"/>
          <w:citation/>
        </w:sdtPr>
        <w:sdtContent>
          <w:r w:rsidRPr="00A62C2D">
            <w:rPr>
              <w:rFonts w:asciiTheme="majorBidi" w:eastAsia="Times New Roman" w:hAnsiTheme="majorBidi" w:cstheme="majorBidi"/>
              <w:sz w:val="24"/>
              <w:szCs w:val="24"/>
              <w:lang w:eastAsia="en-GB"/>
            </w:rPr>
            <w:fldChar w:fldCharType="begin"/>
          </w:r>
          <w:r w:rsidRPr="00A62C2D">
            <w:rPr>
              <w:rFonts w:asciiTheme="majorBidi" w:eastAsia="Times New Roman" w:hAnsiTheme="majorBidi" w:cstheme="majorBidi"/>
              <w:sz w:val="24"/>
              <w:szCs w:val="24"/>
              <w:lang w:eastAsia="en-GB"/>
            </w:rPr>
            <w:instrText xml:space="preserve"> CITATION Ibr22 \l 2057 </w:instrText>
          </w:r>
          <w:r w:rsidRPr="00A62C2D">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(Ibrahim &amp; Kimbu, 2022)</w:t>
          </w:r>
          <w:r w:rsidRPr="00A62C2D">
            <w:rPr>
              <w:rFonts w:asciiTheme="majorBidi" w:eastAsia="Times New Roman" w:hAnsiTheme="majorBidi" w:cstheme="majorBidi"/>
              <w:sz w:val="24"/>
              <w:szCs w:val="24"/>
              <w:lang w:eastAsia="en-GB"/>
            </w:rPr>
            <w:fldChar w:fldCharType="end"/>
          </w:r>
        </w:sdtContent>
      </w:sdt>
      <w:r w:rsidRPr="00A62C2D">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It appears that i</w:t>
      </w:r>
      <w:r w:rsidRPr="00EA79E4">
        <w:rPr>
          <w:rFonts w:asciiTheme="majorBidi" w:eastAsia="Times New Roman" w:hAnsiTheme="majorBidi" w:cstheme="majorBidi"/>
          <w:sz w:val="24"/>
          <w:szCs w:val="24"/>
          <w:lang w:eastAsia="en-GB"/>
        </w:rPr>
        <w:t xml:space="preserve">nternal CSR </w:t>
      </w:r>
      <w:r>
        <w:rPr>
          <w:rFonts w:asciiTheme="majorBidi" w:eastAsia="Times New Roman" w:hAnsiTheme="majorBidi" w:cstheme="majorBidi"/>
          <w:sz w:val="24"/>
          <w:szCs w:val="24"/>
          <w:lang w:eastAsia="en-GB"/>
        </w:rPr>
        <w:t>has a positive effect as it</w:t>
      </w:r>
      <w:r w:rsidRPr="00EA79E4">
        <w:rPr>
          <w:rFonts w:asciiTheme="majorBidi" w:eastAsia="Times New Roman" w:hAnsiTheme="majorBidi" w:cstheme="majorBidi"/>
          <w:sz w:val="24"/>
          <w:szCs w:val="24"/>
          <w:lang w:eastAsia="en-GB"/>
        </w:rPr>
        <w:t xml:space="preserve"> foster</w:t>
      </w:r>
      <w:r>
        <w:rPr>
          <w:rFonts w:asciiTheme="majorBidi" w:eastAsia="Times New Roman" w:hAnsiTheme="majorBidi" w:cstheme="majorBidi"/>
          <w:sz w:val="24"/>
          <w:szCs w:val="24"/>
          <w:lang w:eastAsia="en-GB"/>
        </w:rPr>
        <w:t xml:space="preserve">s </w:t>
      </w:r>
      <w:r w:rsidRPr="00EA79E4">
        <w:rPr>
          <w:rFonts w:asciiTheme="majorBidi" w:eastAsia="Times New Roman" w:hAnsiTheme="majorBidi" w:cstheme="majorBidi"/>
          <w:sz w:val="24"/>
          <w:szCs w:val="24"/>
          <w:lang w:eastAsia="en-GB"/>
        </w:rPr>
        <w:t>a positive workplace culture</w:t>
      </w:r>
      <w:r w:rsidRPr="00AF05E9">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42908883"/>
          <w:citation/>
        </w:sdtPr>
        <w:sdtContent>
          <w:r w:rsidRPr="00AF05E9">
            <w:rPr>
              <w:rFonts w:asciiTheme="majorBidi" w:eastAsia="Times New Roman" w:hAnsiTheme="majorBidi" w:cstheme="majorBidi"/>
              <w:sz w:val="24"/>
              <w:szCs w:val="24"/>
              <w:lang w:eastAsia="en-GB"/>
            </w:rPr>
            <w:fldChar w:fldCharType="begin"/>
          </w:r>
          <w:r w:rsidRPr="00AF05E9">
            <w:rPr>
              <w:rFonts w:asciiTheme="majorBidi" w:eastAsia="Times New Roman" w:hAnsiTheme="majorBidi" w:cstheme="majorBidi"/>
              <w:sz w:val="24"/>
              <w:szCs w:val="24"/>
              <w:lang w:eastAsia="en-GB"/>
            </w:rPr>
            <w:instrText xml:space="preserve"> CITATION Abd18 \l 2057 </w:instrText>
          </w:r>
          <w:r w:rsidRPr="00AF05E9">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(Abdelmotaleb, Metwally, Bahy Eldin, &amp; Saha, 2018)</w:t>
          </w:r>
          <w:r w:rsidRPr="00AF05E9">
            <w:rPr>
              <w:rFonts w:asciiTheme="majorBidi" w:eastAsia="Times New Roman" w:hAnsiTheme="majorBidi" w:cstheme="majorBidi"/>
              <w:sz w:val="24"/>
              <w:szCs w:val="24"/>
              <w:lang w:eastAsia="en-GB"/>
            </w:rPr>
            <w:fldChar w:fldCharType="end"/>
          </w:r>
        </w:sdtContent>
      </w:sdt>
      <w:r w:rsidRPr="00EA79E4">
        <w:rPr>
          <w:rFonts w:asciiTheme="majorBidi" w:eastAsia="Times New Roman" w:hAnsiTheme="majorBidi" w:cstheme="majorBidi"/>
          <w:sz w:val="24"/>
          <w:szCs w:val="24"/>
          <w:lang w:eastAsia="en-GB"/>
        </w:rPr>
        <w:t xml:space="preserve">. The findings also show that </w:t>
      </w:r>
      <w:r>
        <w:rPr>
          <w:rFonts w:asciiTheme="majorBidi" w:eastAsia="Times New Roman" w:hAnsiTheme="majorBidi" w:cstheme="majorBidi"/>
          <w:sz w:val="24"/>
          <w:szCs w:val="24"/>
          <w:lang w:eastAsia="en-GB"/>
        </w:rPr>
        <w:t>positive effect</w:t>
      </w:r>
      <w:r w:rsidRPr="00EA79E4">
        <w:rPr>
          <w:rFonts w:asciiTheme="majorBidi" w:eastAsia="Times New Roman" w:hAnsiTheme="majorBidi" w:cstheme="majorBidi"/>
          <w:sz w:val="24"/>
          <w:szCs w:val="24"/>
          <w:lang w:eastAsia="en-GB"/>
        </w:rPr>
        <w:t xml:space="preserve"> has a favourable impact on employee</w:t>
      </w:r>
      <w:r>
        <w:rPr>
          <w:rFonts w:asciiTheme="majorBidi" w:eastAsia="Times New Roman" w:hAnsiTheme="majorBidi" w:cstheme="majorBidi"/>
          <w:sz w:val="24"/>
          <w:szCs w:val="24"/>
          <w:lang w:eastAsia="en-GB"/>
        </w:rPr>
        <w:t>s’</w:t>
      </w:r>
      <w:r w:rsidRPr="00EA79E4">
        <w:rPr>
          <w:rFonts w:asciiTheme="majorBidi" w:eastAsia="Times New Roman" w:hAnsiTheme="majorBidi" w:cstheme="majorBidi"/>
          <w:sz w:val="24"/>
          <w:szCs w:val="24"/>
          <w:lang w:eastAsia="en-GB"/>
        </w:rPr>
        <w:t xml:space="preserve"> attitude</w:t>
      </w:r>
      <w:r>
        <w:rPr>
          <w:rFonts w:asciiTheme="majorBidi" w:eastAsia="Times New Roman" w:hAnsiTheme="majorBidi" w:cstheme="majorBidi"/>
          <w:sz w:val="24"/>
          <w:szCs w:val="24"/>
          <w:lang w:eastAsia="en-GB"/>
        </w:rPr>
        <w:t>s</w:t>
      </w:r>
      <w:r w:rsidRPr="00AF05E9">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66875184"/>
          <w:citation/>
        </w:sdtPr>
        <w:sdtContent>
          <w:r w:rsidRPr="00AF05E9">
            <w:rPr>
              <w:rFonts w:asciiTheme="majorBidi" w:eastAsia="Times New Roman" w:hAnsiTheme="majorBidi" w:cstheme="majorBidi"/>
              <w:sz w:val="24"/>
              <w:szCs w:val="24"/>
              <w:lang w:eastAsia="en-GB"/>
            </w:rPr>
            <w:fldChar w:fldCharType="begin"/>
          </w:r>
          <w:r w:rsidRPr="00AF05E9">
            <w:rPr>
              <w:rFonts w:asciiTheme="majorBidi" w:eastAsia="Times New Roman" w:hAnsiTheme="majorBidi" w:cstheme="majorBidi"/>
              <w:sz w:val="24"/>
              <w:szCs w:val="24"/>
              <w:lang w:eastAsia="en-GB"/>
            </w:rPr>
            <w:instrText xml:space="preserve"> CITATION Abd18 \l 2057 </w:instrText>
          </w:r>
          <w:r w:rsidRPr="00AF05E9">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(Abdelmotaleb, Metwally, Bahy Eldin, &amp; Saha, 2018)</w:t>
          </w:r>
          <w:r w:rsidRPr="00AF05E9">
            <w:rPr>
              <w:rFonts w:asciiTheme="majorBidi" w:eastAsia="Times New Roman" w:hAnsiTheme="majorBidi" w:cstheme="majorBidi"/>
              <w:sz w:val="24"/>
              <w:szCs w:val="24"/>
              <w:lang w:eastAsia="en-GB"/>
            </w:rPr>
            <w:fldChar w:fldCharType="end"/>
          </w:r>
        </w:sdtContent>
      </w:sdt>
      <w:r w:rsidRPr="00EA79E4">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These po</w:t>
      </w:r>
      <w:r w:rsidRPr="00EA79E4">
        <w:rPr>
          <w:rFonts w:asciiTheme="majorBidi" w:eastAsia="Times New Roman" w:hAnsiTheme="majorBidi" w:cstheme="majorBidi"/>
          <w:sz w:val="24"/>
          <w:szCs w:val="24"/>
          <w:lang w:eastAsia="en-GB"/>
        </w:rPr>
        <w:t>sitive emotions increase employee</w:t>
      </w:r>
      <w:r>
        <w:rPr>
          <w:rFonts w:asciiTheme="majorBidi" w:eastAsia="Times New Roman" w:hAnsiTheme="majorBidi" w:cstheme="majorBidi"/>
          <w:sz w:val="24"/>
          <w:szCs w:val="24"/>
          <w:lang w:eastAsia="en-GB"/>
        </w:rPr>
        <w:t>s’</w:t>
      </w:r>
      <w:r w:rsidRPr="00EA79E4">
        <w:rPr>
          <w:rFonts w:asciiTheme="majorBidi" w:eastAsia="Times New Roman" w:hAnsiTheme="majorBidi" w:cstheme="majorBidi"/>
          <w:sz w:val="24"/>
          <w:szCs w:val="24"/>
          <w:lang w:eastAsia="en-GB"/>
        </w:rPr>
        <w:t xml:space="preserve"> likelihood of participating in creative </w:t>
      </w:r>
      <w:r>
        <w:rPr>
          <w:rFonts w:asciiTheme="majorBidi" w:eastAsia="Times New Roman" w:hAnsiTheme="majorBidi" w:cstheme="majorBidi"/>
          <w:sz w:val="24"/>
          <w:szCs w:val="24"/>
          <w:lang w:eastAsia="en-GB"/>
        </w:rPr>
        <w:t>thinking</w:t>
      </w:r>
      <w:bookmarkStart w:id="99" w:name="_Hlk121659350"/>
      <w:r w:rsidRPr="00AF05E9">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1047133527"/>
          <w:citation/>
        </w:sdtPr>
        <w:sdtContent>
          <w:r w:rsidRPr="00AF05E9">
            <w:rPr>
              <w:rFonts w:asciiTheme="majorBidi" w:eastAsia="Times New Roman" w:hAnsiTheme="majorBidi" w:cstheme="majorBidi"/>
              <w:sz w:val="24"/>
              <w:szCs w:val="24"/>
              <w:lang w:eastAsia="en-GB"/>
            </w:rPr>
            <w:fldChar w:fldCharType="begin"/>
          </w:r>
          <w:r w:rsidRPr="00AF05E9">
            <w:rPr>
              <w:rFonts w:asciiTheme="majorBidi" w:eastAsia="Times New Roman" w:hAnsiTheme="majorBidi" w:cstheme="majorBidi"/>
              <w:sz w:val="24"/>
              <w:szCs w:val="24"/>
              <w:lang w:eastAsia="en-GB"/>
            </w:rPr>
            <w:instrText xml:space="preserve"> CITATION Abd18 \l 2057 </w:instrText>
          </w:r>
          <w:r w:rsidRPr="00AF05E9">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(Abdelmotaleb, Metwally, Bahy Eldin, &amp; Saha, 2018)</w:t>
          </w:r>
          <w:r w:rsidRPr="00AF05E9">
            <w:rPr>
              <w:rFonts w:asciiTheme="majorBidi" w:eastAsia="Times New Roman" w:hAnsiTheme="majorBidi" w:cstheme="majorBidi"/>
              <w:sz w:val="24"/>
              <w:szCs w:val="24"/>
              <w:lang w:eastAsia="en-GB"/>
            </w:rPr>
            <w:fldChar w:fldCharType="end"/>
          </w:r>
        </w:sdtContent>
      </w:sdt>
      <w:bookmarkEnd w:id="99"/>
      <w:r w:rsidRPr="00EA79E4">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Further research </w:t>
      </w:r>
      <w:r w:rsidRPr="0048032A">
        <w:rPr>
          <w:rFonts w:asciiTheme="majorBidi" w:eastAsia="Times New Roman" w:hAnsiTheme="majorBidi" w:cstheme="majorBidi"/>
          <w:sz w:val="24"/>
          <w:szCs w:val="24"/>
          <w:lang w:eastAsia="en-GB"/>
        </w:rPr>
        <w:t xml:space="preserve">showed that the effective </w:t>
      </w:r>
      <w:r>
        <w:rPr>
          <w:rFonts w:asciiTheme="majorBidi" w:eastAsia="Times New Roman" w:hAnsiTheme="majorBidi" w:cstheme="majorBidi"/>
          <w:sz w:val="24"/>
          <w:szCs w:val="24"/>
          <w:lang w:eastAsia="en-GB"/>
        </w:rPr>
        <w:t>usage</w:t>
      </w:r>
      <w:r w:rsidRPr="0048032A">
        <w:rPr>
          <w:rFonts w:asciiTheme="majorBidi" w:eastAsia="Times New Roman" w:hAnsiTheme="majorBidi" w:cstheme="majorBidi"/>
          <w:sz w:val="24"/>
          <w:szCs w:val="24"/>
          <w:lang w:eastAsia="en-GB"/>
        </w:rPr>
        <w:t xml:space="preserve"> of </w:t>
      </w:r>
      <w:r>
        <w:rPr>
          <w:rFonts w:asciiTheme="majorBidi" w:eastAsia="Times New Roman" w:hAnsiTheme="majorBidi" w:cstheme="majorBidi"/>
          <w:sz w:val="24"/>
          <w:szCs w:val="24"/>
          <w:lang w:eastAsia="en-GB"/>
        </w:rPr>
        <w:t>internal communication</w:t>
      </w:r>
      <w:r w:rsidRPr="0048032A">
        <w:rPr>
          <w:rFonts w:asciiTheme="majorBidi" w:eastAsia="Times New Roman" w:hAnsiTheme="majorBidi" w:cstheme="majorBidi"/>
          <w:sz w:val="24"/>
          <w:szCs w:val="24"/>
          <w:lang w:eastAsia="en-GB"/>
        </w:rPr>
        <w:t xml:space="preserve"> offers the optimum situation to maximi</w:t>
      </w:r>
      <w:r>
        <w:rPr>
          <w:rFonts w:asciiTheme="majorBidi" w:eastAsia="Times New Roman" w:hAnsiTheme="majorBidi" w:cstheme="majorBidi"/>
          <w:sz w:val="24"/>
          <w:szCs w:val="24"/>
          <w:lang w:eastAsia="en-GB"/>
        </w:rPr>
        <w:t>s</w:t>
      </w:r>
      <w:r w:rsidRPr="0048032A">
        <w:rPr>
          <w:rFonts w:asciiTheme="majorBidi" w:eastAsia="Times New Roman" w:hAnsiTheme="majorBidi" w:cstheme="majorBidi"/>
          <w:sz w:val="24"/>
          <w:szCs w:val="24"/>
          <w:lang w:eastAsia="en-GB"/>
        </w:rPr>
        <w:t xml:space="preserve">e the </w:t>
      </w:r>
      <w:r>
        <w:rPr>
          <w:rFonts w:asciiTheme="majorBidi" w:eastAsia="Times New Roman" w:hAnsiTheme="majorBidi" w:cstheme="majorBidi"/>
          <w:sz w:val="24"/>
          <w:szCs w:val="24"/>
          <w:lang w:eastAsia="en-GB"/>
        </w:rPr>
        <w:t xml:space="preserve">benefits </w:t>
      </w:r>
      <w:r w:rsidRPr="0048032A">
        <w:rPr>
          <w:rFonts w:asciiTheme="majorBidi" w:eastAsia="Times New Roman" w:hAnsiTheme="majorBidi" w:cstheme="majorBidi"/>
          <w:sz w:val="24"/>
          <w:szCs w:val="24"/>
          <w:lang w:eastAsia="en-GB"/>
        </w:rPr>
        <w:t xml:space="preserve">CSR strategies </w:t>
      </w:r>
      <w:sdt>
        <w:sdtPr>
          <w:rPr>
            <w:rFonts w:asciiTheme="majorBidi" w:eastAsia="Times New Roman" w:hAnsiTheme="majorBidi" w:cstheme="majorBidi"/>
            <w:sz w:val="24"/>
            <w:szCs w:val="24"/>
            <w:lang w:eastAsia="en-GB"/>
          </w:rPr>
          <w:id w:val="-910924080"/>
          <w:citation/>
        </w:sdtPr>
        <w:sdtContent>
          <w:r w:rsidRPr="0048032A">
            <w:rPr>
              <w:rFonts w:asciiTheme="majorBidi" w:eastAsia="Times New Roman" w:hAnsiTheme="majorBidi" w:cstheme="majorBidi"/>
              <w:sz w:val="24"/>
              <w:szCs w:val="24"/>
              <w:lang w:eastAsia="en-GB"/>
            </w:rPr>
            <w:fldChar w:fldCharType="begin"/>
          </w:r>
          <w:r w:rsidRPr="0048032A">
            <w:rPr>
              <w:rFonts w:asciiTheme="majorBidi" w:eastAsia="Times New Roman" w:hAnsiTheme="majorBidi" w:cstheme="majorBidi"/>
              <w:sz w:val="24"/>
              <w:szCs w:val="24"/>
              <w:lang w:eastAsia="en-GB"/>
            </w:rPr>
            <w:instrText xml:space="preserve"> CITATION Bak22 \l 2057 </w:instrText>
          </w:r>
          <w:r w:rsidRPr="0048032A">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(Bakry, 2022)</w:t>
          </w:r>
          <w:r w:rsidRPr="0048032A">
            <w:rPr>
              <w:rFonts w:asciiTheme="majorBidi" w:eastAsia="Times New Roman" w:hAnsiTheme="majorBidi" w:cstheme="majorBidi"/>
              <w:sz w:val="24"/>
              <w:szCs w:val="24"/>
              <w:lang w:eastAsia="en-GB"/>
            </w:rPr>
            <w:fldChar w:fldCharType="end"/>
          </w:r>
        </w:sdtContent>
      </w:sdt>
      <w:r w:rsidRPr="0048032A">
        <w:rPr>
          <w:rFonts w:asciiTheme="majorBidi" w:eastAsia="Times New Roman" w:hAnsiTheme="majorBidi" w:cstheme="majorBidi"/>
          <w:sz w:val="24"/>
          <w:szCs w:val="24"/>
          <w:lang w:eastAsia="en-GB"/>
        </w:rPr>
        <w:t xml:space="preserve">. Egyptian companies that successfully leverage their intellectual assets will frame these assets as a competitive edge and will be placed high in the Egyptian Corporate Responsibility rankings </w:t>
      </w:r>
      <w:sdt>
        <w:sdtPr>
          <w:rPr>
            <w:rFonts w:asciiTheme="majorBidi" w:eastAsia="Times New Roman" w:hAnsiTheme="majorBidi" w:cstheme="majorBidi"/>
            <w:sz w:val="24"/>
            <w:szCs w:val="24"/>
            <w:lang w:eastAsia="en-GB"/>
          </w:rPr>
          <w:id w:val="-544832426"/>
          <w:citation/>
        </w:sdtPr>
        <w:sdtContent>
          <w:r w:rsidRPr="0048032A">
            <w:rPr>
              <w:rFonts w:asciiTheme="majorBidi" w:eastAsia="Times New Roman" w:hAnsiTheme="majorBidi" w:cstheme="majorBidi"/>
              <w:sz w:val="24"/>
              <w:szCs w:val="24"/>
              <w:lang w:eastAsia="en-GB"/>
            </w:rPr>
            <w:fldChar w:fldCharType="begin"/>
          </w:r>
          <w:r w:rsidRPr="0048032A">
            <w:rPr>
              <w:rFonts w:asciiTheme="majorBidi" w:eastAsia="Times New Roman" w:hAnsiTheme="majorBidi" w:cstheme="majorBidi"/>
              <w:sz w:val="24"/>
              <w:szCs w:val="24"/>
              <w:lang w:eastAsia="en-GB"/>
            </w:rPr>
            <w:instrText xml:space="preserve"> CITATION Bak22 \l 2057 </w:instrText>
          </w:r>
          <w:r w:rsidRPr="0048032A">
            <w:rPr>
              <w:rFonts w:asciiTheme="majorBidi" w:eastAsia="Times New Roman" w:hAnsiTheme="majorBidi" w:cstheme="majorBidi"/>
              <w:sz w:val="24"/>
              <w:szCs w:val="24"/>
              <w:lang w:eastAsia="en-GB"/>
            </w:rPr>
            <w:fldChar w:fldCharType="separate"/>
          </w:r>
          <w:r w:rsidRPr="003275FC">
            <w:rPr>
              <w:rFonts w:asciiTheme="majorBidi" w:eastAsia="Times New Roman" w:hAnsiTheme="majorBidi" w:cstheme="majorBidi"/>
              <w:noProof/>
              <w:sz w:val="24"/>
              <w:szCs w:val="24"/>
              <w:lang w:eastAsia="en-GB"/>
            </w:rPr>
            <w:t>(Bakry, 2022)</w:t>
          </w:r>
          <w:r w:rsidRPr="0048032A">
            <w:rPr>
              <w:rFonts w:asciiTheme="majorBidi" w:eastAsia="Times New Roman" w:hAnsiTheme="majorBidi" w:cstheme="majorBidi"/>
              <w:sz w:val="24"/>
              <w:szCs w:val="24"/>
              <w:lang w:eastAsia="en-GB"/>
            </w:rPr>
            <w:fldChar w:fldCharType="end"/>
          </w:r>
        </w:sdtContent>
      </w:sdt>
      <w:r w:rsidRPr="0048032A">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One important finding lead to the conclusion that </w:t>
      </w:r>
      <w:r w:rsidRPr="00E60DA5">
        <w:rPr>
          <w:rFonts w:asciiTheme="majorBidi" w:eastAsia="Times New Roman" w:hAnsiTheme="majorBidi" w:cstheme="majorBidi"/>
          <w:sz w:val="24"/>
          <w:szCs w:val="24"/>
          <w:lang w:eastAsia="en-GB"/>
        </w:rPr>
        <w:t xml:space="preserve">technological advancements positively influenced environmental performance of energy companies in Egypt which lead to an overall increase in company performance </w:t>
      </w:r>
      <w:sdt>
        <w:sdtPr>
          <w:rPr>
            <w:rFonts w:asciiTheme="majorBidi" w:eastAsia="Times New Roman" w:hAnsiTheme="majorBidi" w:cstheme="majorBidi"/>
            <w:sz w:val="24"/>
            <w:szCs w:val="24"/>
            <w:lang w:eastAsia="en-GB"/>
          </w:rPr>
          <w:id w:val="405798726"/>
          <w:citation/>
        </w:sdtPr>
        <w:sdtContent>
          <w:r w:rsidRPr="00E60DA5">
            <w:rPr>
              <w:rFonts w:asciiTheme="majorBidi" w:eastAsia="Times New Roman" w:hAnsiTheme="majorBidi" w:cstheme="majorBidi"/>
              <w:sz w:val="24"/>
              <w:szCs w:val="24"/>
              <w:lang w:eastAsia="en-GB"/>
            </w:rPr>
            <w:fldChar w:fldCharType="begin"/>
          </w:r>
          <w:r w:rsidRPr="00E60DA5">
            <w:rPr>
              <w:rFonts w:asciiTheme="majorBidi" w:eastAsia="Times New Roman" w:hAnsiTheme="majorBidi" w:cstheme="majorBidi"/>
              <w:sz w:val="24"/>
              <w:szCs w:val="24"/>
              <w:lang w:eastAsia="en-GB"/>
            </w:rPr>
            <w:instrText xml:space="preserve"> CITATION Awa21 \l 2057 </w:instrText>
          </w:r>
          <w:r w:rsidRPr="00E60DA5">
            <w:rPr>
              <w:rFonts w:asciiTheme="majorBidi" w:eastAsia="Times New Roman" w:hAnsiTheme="majorBidi" w:cstheme="majorBidi"/>
              <w:sz w:val="24"/>
              <w:szCs w:val="24"/>
              <w:lang w:eastAsia="en-GB"/>
            </w:rPr>
            <w:fldChar w:fldCharType="separate"/>
          </w:r>
          <w:r w:rsidRPr="00E60DA5">
            <w:rPr>
              <w:rFonts w:asciiTheme="majorBidi" w:eastAsia="Times New Roman" w:hAnsiTheme="majorBidi" w:cstheme="majorBidi"/>
              <w:noProof/>
              <w:sz w:val="24"/>
              <w:szCs w:val="24"/>
              <w:lang w:eastAsia="en-GB"/>
            </w:rPr>
            <w:t>(Awawdeh, Ananzeh, El-khateeb, &amp; Aljumah, 2021)</w:t>
          </w:r>
          <w:r w:rsidRPr="00E60DA5">
            <w:rPr>
              <w:rFonts w:asciiTheme="majorBidi" w:eastAsia="Times New Roman" w:hAnsiTheme="majorBidi" w:cstheme="majorBidi"/>
              <w:sz w:val="24"/>
              <w:szCs w:val="24"/>
              <w:lang w:eastAsia="en-GB"/>
            </w:rPr>
            <w:fldChar w:fldCharType="end"/>
          </w:r>
        </w:sdtContent>
      </w:sdt>
      <w:r w:rsidRPr="00E60DA5">
        <w:rPr>
          <w:rFonts w:asciiTheme="majorBidi" w:eastAsia="Times New Roman" w:hAnsiTheme="majorBidi" w:cstheme="majorBidi"/>
          <w:sz w:val="24"/>
          <w:szCs w:val="24"/>
          <w:lang w:eastAsia="en-GB"/>
        </w:rPr>
        <w:t>. Generally, it appears that CSR can be problematic to the company, but if these challenges were handled, CSR will bring about multiple benefits to the company such as trust and enhanced corporate image</w:t>
      </w:r>
      <w:bookmarkStart w:id="100" w:name="_Hlk121685797"/>
      <w:r w:rsidRPr="00E60DA5">
        <w:rPr>
          <w:rFonts w:asciiTheme="majorBidi" w:eastAsia="Times New Roman" w:hAnsiTheme="majorBidi" w:cstheme="majorBidi"/>
          <w:sz w:val="24"/>
          <w:szCs w:val="24"/>
          <w:lang w:eastAsia="en-GB"/>
        </w:rPr>
        <w:t xml:space="preserve"> </w:t>
      </w:r>
      <w:sdt>
        <w:sdtPr>
          <w:rPr>
            <w:rFonts w:asciiTheme="majorBidi" w:eastAsia="Times New Roman" w:hAnsiTheme="majorBidi" w:cstheme="majorBidi"/>
            <w:sz w:val="24"/>
            <w:szCs w:val="24"/>
            <w:lang w:eastAsia="en-GB"/>
          </w:rPr>
          <w:id w:val="577943096"/>
          <w:citation/>
        </w:sdtPr>
        <w:sdtContent>
          <w:r w:rsidRPr="00E60DA5">
            <w:rPr>
              <w:rFonts w:asciiTheme="majorBidi" w:eastAsia="Times New Roman" w:hAnsiTheme="majorBidi" w:cstheme="majorBidi"/>
              <w:sz w:val="24"/>
              <w:szCs w:val="24"/>
              <w:lang w:eastAsia="en-GB"/>
            </w:rPr>
            <w:fldChar w:fldCharType="begin"/>
          </w:r>
          <w:r w:rsidRPr="00E60DA5">
            <w:rPr>
              <w:rFonts w:asciiTheme="majorBidi" w:eastAsia="Times New Roman" w:hAnsiTheme="majorBidi" w:cstheme="majorBidi"/>
              <w:sz w:val="24"/>
              <w:szCs w:val="24"/>
              <w:lang w:eastAsia="en-GB"/>
            </w:rPr>
            <w:instrText xml:space="preserve"> CITATION Dia201 \l 2057 </w:instrText>
          </w:r>
          <w:r w:rsidRPr="00E60DA5">
            <w:rPr>
              <w:rFonts w:asciiTheme="majorBidi" w:eastAsia="Times New Roman" w:hAnsiTheme="majorBidi" w:cstheme="majorBidi"/>
              <w:sz w:val="24"/>
              <w:szCs w:val="24"/>
              <w:lang w:eastAsia="en-GB"/>
            </w:rPr>
            <w:fldChar w:fldCharType="separate"/>
          </w:r>
          <w:r w:rsidRPr="00E60DA5">
            <w:rPr>
              <w:rFonts w:asciiTheme="majorBidi" w:eastAsia="Times New Roman" w:hAnsiTheme="majorBidi" w:cstheme="majorBidi"/>
              <w:noProof/>
              <w:sz w:val="24"/>
              <w:szCs w:val="24"/>
              <w:lang w:eastAsia="en-GB"/>
            </w:rPr>
            <w:t>(Diab &amp; Metwally, 2020)</w:t>
          </w:r>
          <w:r w:rsidRPr="00E60DA5">
            <w:rPr>
              <w:rFonts w:asciiTheme="majorBidi" w:eastAsia="Times New Roman" w:hAnsiTheme="majorBidi" w:cstheme="majorBidi"/>
              <w:sz w:val="24"/>
              <w:szCs w:val="24"/>
              <w:lang w:eastAsia="en-GB"/>
            </w:rPr>
            <w:fldChar w:fldCharType="end"/>
          </w:r>
        </w:sdtContent>
      </w:sdt>
      <w:bookmarkEnd w:id="100"/>
      <w:r w:rsidRPr="00AF05E9">
        <w:rPr>
          <w:rFonts w:asciiTheme="majorBidi" w:eastAsia="Times New Roman" w:hAnsiTheme="majorBidi" w:cstheme="majorBidi"/>
          <w:sz w:val="24"/>
          <w:szCs w:val="24"/>
          <w:lang w:eastAsia="en-GB"/>
        </w:rPr>
        <w:t>.</w:t>
      </w:r>
      <w:r>
        <w:rPr>
          <w:rFonts w:asciiTheme="majorBidi" w:eastAsia="Times New Roman" w:hAnsiTheme="majorBidi" w:cstheme="majorBidi"/>
          <w:sz w:val="24"/>
          <w:szCs w:val="24"/>
          <w:lang w:eastAsia="en-GB"/>
        </w:rPr>
        <w:t xml:space="preserve"> Hence, in order for CSR communication to be deemed successful, it needs to be handled carefully while putting people’s benefit as a genuine priority for the CSR campaign.  </w:t>
      </w:r>
    </w:p>
    <w:p w14:paraId="3714390F" w14:textId="77777777" w:rsidR="0061549D" w:rsidRDefault="0061549D" w:rsidP="0061549D">
      <w:pPr>
        <w:rPr>
          <w:rFonts w:asciiTheme="majorBidi" w:hAnsiTheme="majorBidi" w:cstheme="majorBidi"/>
          <w:b/>
          <w:bCs/>
          <w:sz w:val="24"/>
          <w:szCs w:val="24"/>
        </w:rPr>
      </w:pPr>
      <w:r>
        <w:rPr>
          <w:rFonts w:asciiTheme="majorBidi" w:hAnsiTheme="majorBidi" w:cstheme="majorBidi"/>
          <w:b/>
          <w:bCs/>
          <w:sz w:val="24"/>
          <w:szCs w:val="24"/>
        </w:rPr>
        <w:t xml:space="preserve">3.3 </w:t>
      </w:r>
      <w:r w:rsidRPr="005B4785">
        <w:rPr>
          <w:rFonts w:asciiTheme="majorBidi" w:hAnsiTheme="majorBidi" w:cstheme="majorBidi"/>
          <w:b/>
          <w:bCs/>
          <w:sz w:val="24"/>
          <w:szCs w:val="24"/>
        </w:rPr>
        <w:t>Conclusion</w:t>
      </w:r>
    </w:p>
    <w:p w14:paraId="1DDDC620" w14:textId="77777777" w:rsidR="0061549D" w:rsidRDefault="0061549D" w:rsidP="0061549D">
      <w:pPr>
        <w:spacing w:after="0" w:line="480" w:lineRule="auto"/>
        <w:ind w:firstLine="720"/>
        <w:rPr>
          <w:rFonts w:asciiTheme="majorBidi" w:hAnsiTheme="majorBidi" w:cstheme="majorBidi"/>
          <w:sz w:val="24"/>
          <w:szCs w:val="24"/>
        </w:rPr>
      </w:pPr>
      <w:r w:rsidRPr="008F36B9">
        <w:rPr>
          <w:rFonts w:asciiTheme="majorBidi" w:hAnsiTheme="majorBidi" w:cstheme="majorBidi"/>
          <w:sz w:val="24"/>
          <w:szCs w:val="24"/>
        </w:rPr>
        <w:t xml:space="preserve">Finally, one of the main </w:t>
      </w:r>
      <w:r>
        <w:rPr>
          <w:rFonts w:asciiTheme="majorBidi" w:hAnsiTheme="majorBidi" w:cstheme="majorBidi"/>
          <w:sz w:val="24"/>
          <w:szCs w:val="24"/>
        </w:rPr>
        <w:t>research gaps</w:t>
      </w:r>
      <w:r w:rsidRPr="008F36B9">
        <w:rPr>
          <w:rFonts w:asciiTheme="majorBidi" w:hAnsiTheme="majorBidi" w:cstheme="majorBidi"/>
          <w:sz w:val="24"/>
          <w:szCs w:val="24"/>
        </w:rPr>
        <w:t xml:space="preserve"> </w:t>
      </w:r>
      <w:r>
        <w:rPr>
          <w:rFonts w:asciiTheme="majorBidi" w:hAnsiTheme="majorBidi" w:cstheme="majorBidi"/>
          <w:sz w:val="24"/>
          <w:szCs w:val="24"/>
        </w:rPr>
        <w:t xml:space="preserve">that emerged </w:t>
      </w:r>
      <w:r w:rsidRPr="008F36B9">
        <w:rPr>
          <w:rFonts w:asciiTheme="majorBidi" w:hAnsiTheme="majorBidi" w:cstheme="majorBidi"/>
          <w:sz w:val="24"/>
          <w:szCs w:val="24"/>
        </w:rPr>
        <w:t xml:space="preserve">from the above systematic literature review is that CSR as a topic in general is understudied in the Middle East, despite </w:t>
      </w:r>
      <w:r>
        <w:rPr>
          <w:rFonts w:asciiTheme="majorBidi" w:hAnsiTheme="majorBidi" w:cstheme="majorBidi"/>
          <w:sz w:val="24"/>
          <w:szCs w:val="24"/>
        </w:rPr>
        <w:t>the</w:t>
      </w:r>
      <w:r w:rsidRPr="008F36B9">
        <w:rPr>
          <w:rFonts w:asciiTheme="majorBidi" w:hAnsiTheme="majorBidi" w:cstheme="majorBidi"/>
          <w:sz w:val="24"/>
          <w:szCs w:val="24"/>
        </w:rPr>
        <w:t xml:space="preserve"> considerable size</w:t>
      </w:r>
      <w:r>
        <w:rPr>
          <w:rFonts w:asciiTheme="majorBidi" w:hAnsiTheme="majorBidi" w:cstheme="majorBidi"/>
          <w:sz w:val="24"/>
          <w:szCs w:val="24"/>
        </w:rPr>
        <w:t xml:space="preserve"> of the region</w:t>
      </w:r>
      <w:r w:rsidRPr="008F36B9">
        <w:rPr>
          <w:rFonts w:asciiTheme="majorBidi" w:hAnsiTheme="majorBidi" w:cstheme="majorBidi"/>
          <w:sz w:val="24"/>
          <w:szCs w:val="24"/>
        </w:rPr>
        <w:t xml:space="preserve"> and the need to</w:t>
      </w:r>
      <w:r>
        <w:rPr>
          <w:rFonts w:asciiTheme="majorBidi" w:hAnsiTheme="majorBidi" w:cstheme="majorBidi"/>
          <w:sz w:val="24"/>
          <w:szCs w:val="24"/>
        </w:rPr>
        <w:t xml:space="preserve"> further</w:t>
      </w:r>
      <w:r w:rsidRPr="008F36B9">
        <w:rPr>
          <w:rFonts w:asciiTheme="majorBidi" w:hAnsiTheme="majorBidi" w:cstheme="majorBidi"/>
          <w:sz w:val="24"/>
          <w:szCs w:val="24"/>
        </w:rPr>
        <w:t xml:space="preserve"> investigate </w:t>
      </w:r>
      <w:r>
        <w:rPr>
          <w:rFonts w:asciiTheme="majorBidi" w:hAnsiTheme="majorBidi" w:cstheme="majorBidi"/>
          <w:sz w:val="24"/>
          <w:szCs w:val="24"/>
        </w:rPr>
        <w:t>CSR communication in it</w:t>
      </w:r>
      <w:r w:rsidRPr="008F36B9">
        <w:rPr>
          <w:rFonts w:asciiTheme="majorBidi" w:hAnsiTheme="majorBidi" w:cstheme="majorBidi"/>
          <w:sz w:val="24"/>
          <w:szCs w:val="24"/>
        </w:rPr>
        <w:t xml:space="preserve">. While many studies conclude that CSR brings about multiple benefits to </w:t>
      </w:r>
      <w:r>
        <w:rPr>
          <w:rFonts w:asciiTheme="majorBidi" w:hAnsiTheme="majorBidi" w:cstheme="majorBidi"/>
          <w:sz w:val="24"/>
          <w:szCs w:val="24"/>
        </w:rPr>
        <w:t xml:space="preserve">the company and the brand, still, this systematic review identifies a key research gap as all these studies do not compare the impact of CSR communication to non-CSR communication. </w:t>
      </w:r>
      <w:bookmarkStart w:id="101" w:name="_Hlk157191317"/>
      <w:r>
        <w:rPr>
          <w:rFonts w:asciiTheme="majorBidi" w:hAnsiTheme="majorBidi" w:cstheme="majorBidi"/>
          <w:sz w:val="24"/>
          <w:szCs w:val="24"/>
        </w:rPr>
        <w:t xml:space="preserve">This comparison is particularly a substantial gap to fill as these findings shall provide compelling arguments in the literature and for decision-makers related to identifying the optimum communication strategy, not just for the benefit of society but also, for the benefit of the company. </w:t>
      </w:r>
      <w:bookmarkEnd w:id="101"/>
      <w:r>
        <w:rPr>
          <w:rFonts w:asciiTheme="majorBidi" w:hAnsiTheme="majorBidi" w:cstheme="majorBidi"/>
          <w:sz w:val="24"/>
          <w:szCs w:val="24"/>
        </w:rPr>
        <w:t xml:space="preserve">The above results of the systematic review reveal that CSR communication has been examined in some studies in the Middle East, but they </w:t>
      </w:r>
      <w:r w:rsidRPr="00787216">
        <w:rPr>
          <w:rFonts w:asciiTheme="majorBidi" w:hAnsiTheme="majorBidi" w:cstheme="majorBidi"/>
          <w:sz w:val="24"/>
          <w:szCs w:val="24"/>
        </w:rPr>
        <w:t>lack compelling findings that provides a variety of conclusions for marketing researchers. Firstly,</w:t>
      </w:r>
      <w:r>
        <w:rPr>
          <w:rFonts w:asciiTheme="majorBidi" w:hAnsiTheme="majorBidi" w:cstheme="majorBidi"/>
          <w:sz w:val="24"/>
          <w:szCs w:val="24"/>
        </w:rPr>
        <w:t xml:space="preserve"> the</w:t>
      </w:r>
      <w:r w:rsidRPr="00787216">
        <w:rPr>
          <w:rFonts w:asciiTheme="majorBidi" w:hAnsiTheme="majorBidi" w:cstheme="majorBidi"/>
          <w:sz w:val="24"/>
          <w:szCs w:val="24"/>
        </w:rPr>
        <w:t xml:space="preserve"> majority of the studies reported above examine CSR in architecture or banking sectors </w:t>
      </w:r>
      <w:r>
        <w:rPr>
          <w:rFonts w:asciiTheme="majorBidi" w:hAnsiTheme="majorBidi" w:cstheme="majorBidi"/>
          <w:sz w:val="24"/>
          <w:szCs w:val="24"/>
        </w:rPr>
        <w:t xml:space="preserve">which lacks enough attention to low-involvement consumer products that are also heavily advertised in the Middle East (section 3.12). </w:t>
      </w:r>
      <w:r w:rsidRPr="00787216">
        <w:rPr>
          <w:rFonts w:asciiTheme="majorBidi" w:hAnsiTheme="majorBidi" w:cstheme="majorBidi"/>
          <w:sz w:val="24"/>
          <w:szCs w:val="24"/>
        </w:rPr>
        <w:t>Secondly, most of the studies did not focus on CSR communication as the main topic of study or examined its influence on consumers’ attitudes. Thirdly and most importantly, none of the above studies from the final sample compared the impact of CSR to non-CSR communication.</w:t>
      </w:r>
      <w:r>
        <w:rPr>
          <w:rFonts w:asciiTheme="majorBidi" w:hAnsiTheme="majorBidi" w:cstheme="majorBidi"/>
          <w:sz w:val="24"/>
          <w:szCs w:val="24"/>
        </w:rPr>
        <w:t xml:space="preserve"> </w:t>
      </w:r>
    </w:p>
    <w:p w14:paraId="76950CD7" w14:textId="50C2CD3F" w:rsidR="00FB578A" w:rsidRPr="00E27067" w:rsidRDefault="0061549D" w:rsidP="0061549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Clearly, the CSR literature in the Middle East is limiting. This highlights the necessity of conducting a narrative literature review for CSR communication studies conducted in more developed countries. This is important to broaden the understanding and borrow knowledge from the way published studies in other countries examined the concept of CSR communication and its impact on consumers. </w:t>
      </w:r>
      <w:bookmarkEnd w:id="80"/>
      <w:r w:rsidRPr="004B318E">
        <w:rPr>
          <w:rFonts w:asciiTheme="majorBidi" w:hAnsiTheme="majorBidi" w:cstheme="majorBidi"/>
          <w:sz w:val="24"/>
          <w:szCs w:val="24"/>
        </w:rPr>
        <w:t xml:space="preserve">To reach robust conclusions from these comparisons and the relationships between communication and media </w:t>
      </w:r>
      <w:r>
        <w:rPr>
          <w:rFonts w:asciiTheme="majorBidi" w:hAnsiTheme="majorBidi" w:cstheme="majorBidi"/>
          <w:sz w:val="24"/>
          <w:szCs w:val="24"/>
        </w:rPr>
        <w:t>vehicles</w:t>
      </w:r>
      <w:r w:rsidRPr="004B318E">
        <w:rPr>
          <w:rFonts w:asciiTheme="majorBidi" w:hAnsiTheme="majorBidi" w:cstheme="majorBidi"/>
          <w:sz w:val="24"/>
          <w:szCs w:val="24"/>
        </w:rPr>
        <w:t>, the following chapter reviews some of the most commonly applied theories in consumer behaviour and the ones that are most appropriate for this study.</w:t>
      </w:r>
    </w:p>
    <w:bookmarkEnd w:id="78"/>
    <w:p w14:paraId="69A38768" w14:textId="77777777" w:rsidR="0061549D" w:rsidRDefault="0061549D">
      <w:pPr>
        <w:rPr>
          <w:rFonts w:asciiTheme="majorBidi" w:hAnsiTheme="majorBidi" w:cstheme="majorBidi"/>
          <w:b/>
          <w:bCs/>
          <w:sz w:val="24"/>
          <w:szCs w:val="24"/>
        </w:rPr>
      </w:pPr>
      <w:r>
        <w:rPr>
          <w:rFonts w:asciiTheme="majorBidi" w:hAnsiTheme="majorBidi" w:cstheme="majorBidi"/>
          <w:b/>
          <w:bCs/>
          <w:sz w:val="24"/>
          <w:szCs w:val="24"/>
        </w:rPr>
        <w:br w:type="page"/>
      </w:r>
    </w:p>
    <w:p w14:paraId="2C11B133" w14:textId="4140AFC2" w:rsidR="002241FB" w:rsidRDefault="00153EE6" w:rsidP="00153EE6">
      <w:pPr>
        <w:jc w:val="center"/>
        <w:rPr>
          <w:rFonts w:asciiTheme="majorBidi" w:hAnsiTheme="majorBidi" w:cstheme="majorBidi"/>
          <w:b/>
          <w:bCs/>
          <w:sz w:val="24"/>
          <w:szCs w:val="24"/>
        </w:rPr>
      </w:pPr>
      <w:r w:rsidRPr="007571D9">
        <w:rPr>
          <w:rFonts w:asciiTheme="majorBidi" w:hAnsiTheme="majorBidi" w:cstheme="majorBidi"/>
          <w:b/>
          <w:bCs/>
          <w:sz w:val="24"/>
          <w:szCs w:val="24"/>
        </w:rPr>
        <w:t xml:space="preserve">Chapter 4 </w:t>
      </w:r>
    </w:p>
    <w:p w14:paraId="095FB4EA" w14:textId="47396891" w:rsidR="00153EE6" w:rsidRPr="007571D9" w:rsidRDefault="00153EE6" w:rsidP="00153EE6">
      <w:pPr>
        <w:jc w:val="center"/>
        <w:rPr>
          <w:rFonts w:asciiTheme="majorBidi" w:hAnsiTheme="majorBidi" w:cstheme="majorBidi"/>
          <w:b/>
          <w:bCs/>
          <w:sz w:val="24"/>
          <w:szCs w:val="24"/>
        </w:rPr>
      </w:pPr>
      <w:r w:rsidRPr="007571D9">
        <w:rPr>
          <w:rFonts w:asciiTheme="majorBidi" w:hAnsiTheme="majorBidi" w:cstheme="majorBidi"/>
          <w:b/>
          <w:bCs/>
          <w:sz w:val="24"/>
          <w:szCs w:val="24"/>
        </w:rPr>
        <w:t>Theoretical Framework</w:t>
      </w:r>
    </w:p>
    <w:p w14:paraId="37AC1C1F" w14:textId="6C74E139" w:rsidR="00153EE6" w:rsidRPr="00FD0B0F" w:rsidRDefault="00153EE6" w:rsidP="00153EE6">
      <w:pPr>
        <w:adjustRightInd w:val="0"/>
        <w:rPr>
          <w:rFonts w:asciiTheme="majorBidi" w:hAnsiTheme="majorBidi" w:cstheme="majorBidi"/>
          <w:b/>
          <w:bCs/>
          <w:sz w:val="24"/>
          <w:szCs w:val="24"/>
        </w:rPr>
      </w:pPr>
      <w:r w:rsidRPr="00FD0B0F">
        <w:rPr>
          <w:rFonts w:asciiTheme="majorBidi" w:hAnsiTheme="majorBidi" w:cstheme="majorBidi"/>
          <w:b/>
          <w:bCs/>
          <w:sz w:val="24"/>
          <w:szCs w:val="24"/>
        </w:rPr>
        <w:t>4.</w:t>
      </w:r>
      <w:r w:rsidR="00510108">
        <w:rPr>
          <w:rFonts w:asciiTheme="majorBidi" w:hAnsiTheme="majorBidi" w:cstheme="majorBidi"/>
          <w:b/>
          <w:bCs/>
          <w:sz w:val="24"/>
          <w:szCs w:val="24"/>
        </w:rPr>
        <w:t>0</w:t>
      </w:r>
      <w:r w:rsidRPr="00FD0B0F">
        <w:rPr>
          <w:rFonts w:asciiTheme="majorBidi" w:hAnsiTheme="majorBidi" w:cstheme="majorBidi"/>
          <w:b/>
          <w:bCs/>
          <w:sz w:val="24"/>
          <w:szCs w:val="24"/>
        </w:rPr>
        <w:t xml:space="preserve"> Introduction</w:t>
      </w:r>
      <w:r w:rsidR="008105D4">
        <w:rPr>
          <w:rFonts w:asciiTheme="majorBidi" w:hAnsiTheme="majorBidi" w:cstheme="majorBidi"/>
          <w:b/>
          <w:bCs/>
          <w:sz w:val="24"/>
          <w:szCs w:val="24"/>
        </w:rPr>
        <w:t xml:space="preserve"> </w:t>
      </w:r>
    </w:p>
    <w:p w14:paraId="5664316B" w14:textId="49AAE8AC" w:rsidR="0024205C" w:rsidRDefault="008105D4" w:rsidP="00BD629C">
      <w:pPr>
        <w:spacing w:after="0" w:line="480" w:lineRule="auto"/>
        <w:ind w:firstLine="720"/>
        <w:rPr>
          <w:rFonts w:asciiTheme="majorBidi" w:hAnsiTheme="majorBidi" w:cstheme="majorBidi"/>
          <w:sz w:val="24"/>
          <w:szCs w:val="24"/>
        </w:rPr>
      </w:pPr>
      <w:r w:rsidRPr="00904777">
        <w:rPr>
          <w:rFonts w:asciiTheme="majorBidi" w:hAnsiTheme="majorBidi" w:cstheme="majorBidi"/>
          <w:sz w:val="24"/>
          <w:szCs w:val="24"/>
        </w:rPr>
        <w:t xml:space="preserve">This chapter </w:t>
      </w:r>
      <w:r w:rsidR="00C21938">
        <w:rPr>
          <w:rFonts w:asciiTheme="majorBidi" w:hAnsiTheme="majorBidi" w:cstheme="majorBidi"/>
          <w:sz w:val="24"/>
          <w:szCs w:val="24"/>
        </w:rPr>
        <w:t xml:space="preserve">begins by </w:t>
      </w:r>
      <w:r w:rsidR="00904777">
        <w:rPr>
          <w:rFonts w:asciiTheme="majorBidi" w:hAnsiTheme="majorBidi" w:cstheme="majorBidi"/>
          <w:sz w:val="24"/>
          <w:szCs w:val="24"/>
        </w:rPr>
        <w:t xml:space="preserve">critically </w:t>
      </w:r>
      <w:r w:rsidR="00C21938">
        <w:rPr>
          <w:rFonts w:asciiTheme="majorBidi" w:hAnsiTheme="majorBidi" w:cstheme="majorBidi"/>
          <w:sz w:val="24"/>
          <w:szCs w:val="24"/>
        </w:rPr>
        <w:t xml:space="preserve">reviewing some of the theories </w:t>
      </w:r>
      <w:r w:rsidR="003326EC">
        <w:rPr>
          <w:rFonts w:asciiTheme="majorBidi" w:hAnsiTheme="majorBidi" w:cstheme="majorBidi"/>
          <w:sz w:val="24"/>
          <w:szCs w:val="24"/>
        </w:rPr>
        <w:t xml:space="preserve">identified </w:t>
      </w:r>
      <w:r w:rsidR="000614D2">
        <w:rPr>
          <w:rFonts w:asciiTheme="majorBidi" w:hAnsiTheme="majorBidi" w:cstheme="majorBidi"/>
          <w:sz w:val="24"/>
          <w:szCs w:val="24"/>
        </w:rPr>
        <w:t xml:space="preserve">during the process of literature review </w:t>
      </w:r>
      <w:r w:rsidR="00C21938">
        <w:rPr>
          <w:rFonts w:asciiTheme="majorBidi" w:hAnsiTheme="majorBidi" w:cstheme="majorBidi"/>
          <w:sz w:val="24"/>
          <w:szCs w:val="24"/>
        </w:rPr>
        <w:t>that examine consumer attitudes and behaviours</w:t>
      </w:r>
      <w:r w:rsidR="000614D2">
        <w:rPr>
          <w:rFonts w:asciiTheme="majorBidi" w:hAnsiTheme="majorBidi" w:cstheme="majorBidi"/>
          <w:sz w:val="24"/>
          <w:szCs w:val="24"/>
        </w:rPr>
        <w:t xml:space="preserve"> in the context of communication effectiveness</w:t>
      </w:r>
      <w:r w:rsidR="00C21938">
        <w:rPr>
          <w:rFonts w:asciiTheme="majorBidi" w:hAnsiTheme="majorBidi" w:cstheme="majorBidi"/>
          <w:sz w:val="24"/>
          <w:szCs w:val="24"/>
        </w:rPr>
        <w:t>.</w:t>
      </w:r>
      <w:r w:rsidR="00904777" w:rsidRPr="00904777">
        <w:rPr>
          <w:rFonts w:asciiTheme="majorBidi" w:hAnsiTheme="majorBidi" w:cstheme="majorBidi"/>
          <w:sz w:val="24"/>
          <w:szCs w:val="24"/>
        </w:rPr>
        <w:t xml:space="preserve"> </w:t>
      </w:r>
      <w:r w:rsidR="00904777">
        <w:rPr>
          <w:rFonts w:asciiTheme="majorBidi" w:hAnsiTheme="majorBidi" w:cstheme="majorBidi"/>
          <w:sz w:val="24"/>
          <w:szCs w:val="24"/>
        </w:rPr>
        <w:t>Afterwards</w:t>
      </w:r>
      <w:r w:rsidR="00904777" w:rsidRPr="00FD0B0F">
        <w:rPr>
          <w:rFonts w:asciiTheme="majorBidi" w:hAnsiTheme="majorBidi" w:cstheme="majorBidi"/>
          <w:sz w:val="24"/>
          <w:szCs w:val="24"/>
        </w:rPr>
        <w:t>, I identify the theor</w:t>
      </w:r>
      <w:r w:rsidR="00904777">
        <w:rPr>
          <w:rFonts w:asciiTheme="majorBidi" w:hAnsiTheme="majorBidi" w:cstheme="majorBidi"/>
          <w:sz w:val="24"/>
          <w:szCs w:val="24"/>
        </w:rPr>
        <w:t>ies</w:t>
      </w:r>
      <w:r w:rsidR="00904777" w:rsidRPr="00FD0B0F">
        <w:rPr>
          <w:rFonts w:asciiTheme="majorBidi" w:hAnsiTheme="majorBidi" w:cstheme="majorBidi"/>
          <w:sz w:val="24"/>
          <w:szCs w:val="24"/>
        </w:rPr>
        <w:t xml:space="preserve"> that w</w:t>
      </w:r>
      <w:r w:rsidR="00904777">
        <w:rPr>
          <w:rFonts w:asciiTheme="majorBidi" w:hAnsiTheme="majorBidi" w:cstheme="majorBidi"/>
          <w:sz w:val="24"/>
          <w:szCs w:val="24"/>
        </w:rPr>
        <w:t>ere</w:t>
      </w:r>
      <w:r w:rsidR="00904777" w:rsidRPr="00FD0B0F">
        <w:rPr>
          <w:rFonts w:asciiTheme="majorBidi" w:hAnsiTheme="majorBidi" w:cstheme="majorBidi"/>
          <w:sz w:val="24"/>
          <w:szCs w:val="24"/>
        </w:rPr>
        <w:t xml:space="preserve"> regarded most appropriate for this study’s specific objectives.</w:t>
      </w:r>
      <w:r w:rsidR="00904777">
        <w:rPr>
          <w:rFonts w:asciiTheme="majorBidi" w:hAnsiTheme="majorBidi" w:cstheme="majorBidi"/>
          <w:sz w:val="24"/>
          <w:szCs w:val="24"/>
        </w:rPr>
        <w:t xml:space="preserve"> </w:t>
      </w:r>
      <w:r w:rsidR="00153EE6" w:rsidRPr="007571D9">
        <w:rPr>
          <w:rFonts w:asciiTheme="majorBidi" w:hAnsiTheme="majorBidi" w:cstheme="majorBidi"/>
          <w:sz w:val="24"/>
          <w:szCs w:val="24"/>
        </w:rPr>
        <w:t>Generally, theory-based interventions outperform non-theory-based interventions</w:t>
      </w:r>
      <w:sdt>
        <w:sdtPr>
          <w:rPr>
            <w:rFonts w:asciiTheme="majorBidi" w:hAnsiTheme="majorBidi" w:cstheme="majorBidi"/>
            <w:sz w:val="24"/>
            <w:szCs w:val="24"/>
          </w:rPr>
          <w:id w:val="1816534593"/>
          <w:citation/>
        </w:sdtPr>
        <w:sdtContent>
          <w:r w:rsidR="00153EE6" w:rsidRPr="007571D9">
            <w:rPr>
              <w:rFonts w:asciiTheme="majorBidi" w:hAnsiTheme="majorBidi" w:cstheme="majorBidi"/>
              <w:sz w:val="24"/>
              <w:szCs w:val="24"/>
            </w:rPr>
            <w:fldChar w:fldCharType="begin"/>
          </w:r>
          <w:r w:rsidR="00153EE6" w:rsidRPr="007571D9">
            <w:rPr>
              <w:rFonts w:asciiTheme="majorBidi" w:hAnsiTheme="majorBidi" w:cstheme="majorBidi"/>
              <w:sz w:val="24"/>
              <w:szCs w:val="24"/>
            </w:rPr>
            <w:instrText xml:space="preserve"> CITATION Dou21 \l 2057 </w:instrText>
          </w:r>
          <w:r w:rsidR="00153EE6" w:rsidRPr="007571D9">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(Doustmohammadian &amp; Bazhan, 2021)</w:t>
          </w:r>
          <w:r w:rsidR="00153EE6" w:rsidRPr="007571D9">
            <w:rPr>
              <w:rFonts w:asciiTheme="majorBidi" w:hAnsiTheme="majorBidi" w:cstheme="majorBidi"/>
              <w:sz w:val="24"/>
              <w:szCs w:val="24"/>
            </w:rPr>
            <w:fldChar w:fldCharType="end"/>
          </w:r>
        </w:sdtContent>
      </w:sdt>
      <w:r w:rsidR="00153EE6" w:rsidRPr="007571D9">
        <w:rPr>
          <w:rFonts w:asciiTheme="majorBidi" w:hAnsiTheme="majorBidi" w:cstheme="majorBidi"/>
          <w:sz w:val="24"/>
          <w:szCs w:val="24"/>
        </w:rPr>
        <w:t xml:space="preserve">. </w:t>
      </w:r>
      <w:r w:rsidR="00153EE6" w:rsidRPr="00FD0B0F">
        <w:rPr>
          <w:rFonts w:asciiTheme="majorBidi" w:hAnsiTheme="majorBidi" w:cstheme="majorBidi"/>
          <w:sz w:val="24"/>
          <w:szCs w:val="24"/>
        </w:rPr>
        <w:t>This chapter examines some of the key theories applied in the consumer behaviour and CSR literature</w:t>
      </w:r>
      <w:r w:rsidR="00153EE6">
        <w:rPr>
          <w:rFonts w:asciiTheme="majorBidi" w:hAnsiTheme="majorBidi" w:cstheme="majorBidi"/>
          <w:sz w:val="24"/>
          <w:szCs w:val="24"/>
        </w:rPr>
        <w:t xml:space="preserve"> that I draw on in this study</w:t>
      </w:r>
      <w:r w:rsidR="00153EE6" w:rsidRPr="00FD0B0F">
        <w:rPr>
          <w:rFonts w:asciiTheme="majorBidi" w:hAnsiTheme="majorBidi" w:cstheme="majorBidi"/>
          <w:sz w:val="24"/>
          <w:szCs w:val="24"/>
        </w:rPr>
        <w:t>.</w:t>
      </w:r>
      <w:r w:rsidR="00153EE6" w:rsidRPr="00BB04EA">
        <w:rPr>
          <w:rFonts w:asciiTheme="majorBidi" w:hAnsiTheme="majorBidi" w:cstheme="majorBidi"/>
          <w:sz w:val="24"/>
          <w:szCs w:val="24"/>
        </w:rPr>
        <w:t xml:space="preserve"> </w:t>
      </w:r>
      <w:r w:rsidR="00B7015F" w:rsidRPr="00BB04EA">
        <w:rPr>
          <w:rFonts w:asciiTheme="majorBidi" w:hAnsiTheme="majorBidi" w:cstheme="majorBidi"/>
          <w:sz w:val="24"/>
          <w:szCs w:val="24"/>
        </w:rPr>
        <w:t xml:space="preserve">It is necessary to indicate that, in academic literature, there are different types of theoretical </w:t>
      </w:r>
      <w:r w:rsidR="00BB04EA" w:rsidRPr="00BB04EA">
        <w:rPr>
          <w:rFonts w:asciiTheme="majorBidi" w:hAnsiTheme="majorBidi" w:cstheme="majorBidi"/>
          <w:sz w:val="24"/>
          <w:szCs w:val="24"/>
        </w:rPr>
        <w:t xml:space="preserve">integration </w:t>
      </w:r>
      <w:sdt>
        <w:sdtPr>
          <w:rPr>
            <w:rFonts w:asciiTheme="majorBidi" w:hAnsiTheme="majorBidi" w:cstheme="majorBidi"/>
            <w:sz w:val="24"/>
            <w:szCs w:val="24"/>
          </w:rPr>
          <w:id w:val="-1163620053"/>
          <w:citation/>
        </w:sdtPr>
        <w:sdtContent>
          <w:r w:rsidR="00BB04EA" w:rsidRPr="00BB04EA">
            <w:rPr>
              <w:rFonts w:asciiTheme="majorBidi" w:hAnsiTheme="majorBidi" w:cstheme="majorBidi"/>
              <w:sz w:val="24"/>
              <w:szCs w:val="24"/>
            </w:rPr>
            <w:fldChar w:fldCharType="begin"/>
          </w:r>
          <w:r w:rsidR="00BB04EA" w:rsidRPr="00BB04EA">
            <w:rPr>
              <w:rFonts w:asciiTheme="majorBidi" w:hAnsiTheme="majorBidi" w:cstheme="majorBidi"/>
              <w:sz w:val="24"/>
              <w:szCs w:val="24"/>
            </w:rPr>
            <w:instrText xml:space="preserve"> CITATION Hov17 \l 2057  \m The16</w:instrText>
          </w:r>
          <w:r w:rsidR="00BB04EA" w:rsidRPr="00BB04EA">
            <w:rPr>
              <w:rFonts w:asciiTheme="majorBidi" w:hAnsiTheme="majorBidi" w:cstheme="majorBidi"/>
              <w:sz w:val="24"/>
              <w:szCs w:val="24"/>
            </w:rPr>
            <w:fldChar w:fldCharType="separate"/>
          </w:r>
          <w:r w:rsidR="00BB04EA" w:rsidRPr="00BB04EA">
            <w:rPr>
              <w:rFonts w:asciiTheme="majorBidi" w:hAnsiTheme="majorBidi" w:cstheme="majorBidi"/>
              <w:noProof/>
              <w:sz w:val="24"/>
              <w:szCs w:val="24"/>
            </w:rPr>
            <w:t>(Hovorka &amp; Larsen, 2017; Loseke, 2016)</w:t>
          </w:r>
          <w:r w:rsidR="00BB04EA" w:rsidRPr="00BB04EA">
            <w:rPr>
              <w:rFonts w:asciiTheme="majorBidi" w:hAnsiTheme="majorBidi" w:cstheme="majorBidi"/>
              <w:sz w:val="24"/>
              <w:szCs w:val="24"/>
            </w:rPr>
            <w:fldChar w:fldCharType="end"/>
          </w:r>
        </w:sdtContent>
      </w:sdt>
      <w:r w:rsidR="00B7015F" w:rsidRPr="00BB04EA">
        <w:rPr>
          <w:rFonts w:asciiTheme="majorBidi" w:hAnsiTheme="majorBidi" w:cstheme="majorBidi"/>
          <w:sz w:val="24"/>
          <w:szCs w:val="24"/>
        </w:rPr>
        <w:t>.</w:t>
      </w:r>
      <w:r w:rsidR="00B7015F">
        <w:rPr>
          <w:rFonts w:asciiTheme="majorBidi" w:hAnsiTheme="majorBidi" w:cstheme="majorBidi"/>
          <w:b/>
          <w:bCs/>
          <w:sz w:val="24"/>
          <w:szCs w:val="24"/>
        </w:rPr>
        <w:t xml:space="preserve"> </w:t>
      </w:r>
      <w:r w:rsidR="00BB04EA" w:rsidRPr="003866E2">
        <w:rPr>
          <w:rFonts w:asciiTheme="majorBidi" w:hAnsiTheme="majorBidi" w:cstheme="majorBidi"/>
          <w:sz w:val="24"/>
          <w:szCs w:val="24"/>
        </w:rPr>
        <w:t>Hovorka and Larsen</w:t>
      </w:r>
      <w:r w:rsidR="003866E2" w:rsidRPr="003866E2">
        <w:rPr>
          <w:rFonts w:asciiTheme="majorBidi" w:hAnsiTheme="majorBidi" w:cstheme="majorBidi"/>
          <w:sz w:val="24"/>
          <w:szCs w:val="24"/>
        </w:rPr>
        <w:t xml:space="preserve"> </w:t>
      </w:r>
      <w:sdt>
        <w:sdtPr>
          <w:rPr>
            <w:rFonts w:asciiTheme="majorBidi" w:hAnsiTheme="majorBidi" w:cstheme="majorBidi"/>
            <w:sz w:val="24"/>
            <w:szCs w:val="24"/>
          </w:rPr>
          <w:id w:val="353540019"/>
          <w:citation/>
        </w:sdtPr>
        <w:sdtContent>
          <w:r w:rsidR="003866E2" w:rsidRPr="003866E2">
            <w:rPr>
              <w:rFonts w:asciiTheme="majorBidi" w:hAnsiTheme="majorBidi" w:cstheme="majorBidi"/>
              <w:sz w:val="24"/>
              <w:szCs w:val="24"/>
            </w:rPr>
            <w:fldChar w:fldCharType="begin"/>
          </w:r>
          <w:r w:rsidR="003866E2" w:rsidRPr="003866E2">
            <w:rPr>
              <w:rFonts w:asciiTheme="majorBidi" w:hAnsiTheme="majorBidi" w:cstheme="majorBidi"/>
              <w:sz w:val="24"/>
              <w:szCs w:val="24"/>
            </w:rPr>
            <w:instrText xml:space="preserve">CITATION Hov17 \n  \t  \l 2057 </w:instrText>
          </w:r>
          <w:r w:rsidR="003866E2" w:rsidRPr="003866E2">
            <w:rPr>
              <w:rFonts w:asciiTheme="majorBidi" w:hAnsiTheme="majorBidi" w:cstheme="majorBidi"/>
              <w:sz w:val="24"/>
              <w:szCs w:val="24"/>
            </w:rPr>
            <w:fldChar w:fldCharType="separate"/>
          </w:r>
          <w:r w:rsidR="003866E2" w:rsidRPr="003866E2">
            <w:rPr>
              <w:rFonts w:asciiTheme="majorBidi" w:hAnsiTheme="majorBidi" w:cstheme="majorBidi"/>
              <w:noProof/>
              <w:sz w:val="24"/>
              <w:szCs w:val="24"/>
            </w:rPr>
            <w:t>(2017)</w:t>
          </w:r>
          <w:r w:rsidR="003866E2" w:rsidRPr="003866E2">
            <w:rPr>
              <w:rFonts w:asciiTheme="majorBidi" w:hAnsiTheme="majorBidi" w:cstheme="majorBidi"/>
              <w:sz w:val="24"/>
              <w:szCs w:val="24"/>
            </w:rPr>
            <w:fldChar w:fldCharType="end"/>
          </w:r>
        </w:sdtContent>
      </w:sdt>
      <w:r w:rsidR="00BB04EA" w:rsidRPr="003866E2">
        <w:rPr>
          <w:rFonts w:asciiTheme="majorBidi" w:hAnsiTheme="majorBidi" w:cstheme="majorBidi"/>
          <w:sz w:val="24"/>
          <w:szCs w:val="24"/>
        </w:rPr>
        <w:t xml:space="preserve"> discuss different modes of theoretical integration such as construct integration, </w:t>
      </w:r>
      <w:r w:rsidR="003866E2" w:rsidRPr="003866E2">
        <w:rPr>
          <w:rFonts w:asciiTheme="majorBidi" w:hAnsiTheme="majorBidi" w:cstheme="majorBidi"/>
          <w:sz w:val="24"/>
          <w:szCs w:val="24"/>
        </w:rPr>
        <w:t xml:space="preserve">domain integration, and inter-field theory integration. </w:t>
      </w:r>
      <w:r w:rsidR="003866E2">
        <w:rPr>
          <w:rFonts w:asciiTheme="majorBidi" w:hAnsiTheme="majorBidi" w:cstheme="majorBidi"/>
          <w:sz w:val="24"/>
          <w:szCs w:val="24"/>
        </w:rPr>
        <w:t>Construct integration refer</w:t>
      </w:r>
      <w:r w:rsidR="0024205C">
        <w:rPr>
          <w:rFonts w:asciiTheme="majorBidi" w:hAnsiTheme="majorBidi" w:cstheme="majorBidi"/>
          <w:sz w:val="24"/>
          <w:szCs w:val="24"/>
        </w:rPr>
        <w:t>s</w:t>
      </w:r>
      <w:r w:rsidR="003866E2">
        <w:rPr>
          <w:rFonts w:asciiTheme="majorBidi" w:hAnsiTheme="majorBidi" w:cstheme="majorBidi"/>
          <w:sz w:val="24"/>
          <w:szCs w:val="24"/>
        </w:rPr>
        <w:t xml:space="preserve"> to combining different theories that follow a similar flow of</w:t>
      </w:r>
      <w:r w:rsidR="0024205C">
        <w:rPr>
          <w:rFonts w:asciiTheme="majorBidi" w:hAnsiTheme="majorBidi" w:cstheme="majorBidi"/>
          <w:sz w:val="24"/>
          <w:szCs w:val="24"/>
        </w:rPr>
        <w:t xml:space="preserve"> </w:t>
      </w:r>
      <w:r w:rsidR="003866E2">
        <w:rPr>
          <w:rFonts w:asciiTheme="majorBidi" w:hAnsiTheme="majorBidi" w:cstheme="majorBidi"/>
          <w:sz w:val="24"/>
          <w:szCs w:val="24"/>
        </w:rPr>
        <w:t xml:space="preserve">relations </w:t>
      </w:r>
      <w:r w:rsidR="0024205C">
        <w:rPr>
          <w:rFonts w:asciiTheme="majorBidi" w:hAnsiTheme="majorBidi" w:cstheme="majorBidi"/>
          <w:sz w:val="24"/>
          <w:szCs w:val="24"/>
        </w:rPr>
        <w:t>towards</w:t>
      </w:r>
      <w:r w:rsidR="003866E2">
        <w:rPr>
          <w:rFonts w:asciiTheme="majorBidi" w:hAnsiTheme="majorBidi" w:cstheme="majorBidi"/>
          <w:sz w:val="24"/>
          <w:szCs w:val="24"/>
        </w:rPr>
        <w:t xml:space="preserve"> the same dependent variable, domain integration refers to interrelated sets of propositions </w:t>
      </w:r>
      <w:r w:rsidR="0024205C">
        <w:rPr>
          <w:rFonts w:asciiTheme="majorBidi" w:hAnsiTheme="majorBidi" w:cstheme="majorBidi"/>
          <w:sz w:val="24"/>
          <w:szCs w:val="24"/>
        </w:rPr>
        <w:t xml:space="preserve">that are combined together, and inter-field theory refer to overlapping of different theories that emerge from different fields </w:t>
      </w:r>
      <w:sdt>
        <w:sdtPr>
          <w:rPr>
            <w:rFonts w:asciiTheme="majorBidi" w:hAnsiTheme="majorBidi" w:cstheme="majorBidi"/>
            <w:sz w:val="24"/>
            <w:szCs w:val="24"/>
          </w:rPr>
          <w:id w:val="1400559676"/>
          <w:citation/>
        </w:sdtPr>
        <w:sdtContent>
          <w:r w:rsidR="0024205C" w:rsidRPr="003866E2">
            <w:rPr>
              <w:rFonts w:asciiTheme="majorBidi" w:hAnsiTheme="majorBidi" w:cstheme="majorBidi"/>
              <w:sz w:val="24"/>
              <w:szCs w:val="24"/>
            </w:rPr>
            <w:fldChar w:fldCharType="begin"/>
          </w:r>
          <w:r w:rsidR="0024205C">
            <w:rPr>
              <w:rFonts w:asciiTheme="majorBidi" w:hAnsiTheme="majorBidi" w:cstheme="majorBidi"/>
              <w:sz w:val="24"/>
              <w:szCs w:val="24"/>
            </w:rPr>
            <w:instrText xml:space="preserve">CITATION Hov17 \t  \l 2057 </w:instrText>
          </w:r>
          <w:r w:rsidR="0024205C" w:rsidRPr="003866E2">
            <w:rPr>
              <w:rFonts w:asciiTheme="majorBidi" w:hAnsiTheme="majorBidi" w:cstheme="majorBidi"/>
              <w:sz w:val="24"/>
              <w:szCs w:val="24"/>
            </w:rPr>
            <w:fldChar w:fldCharType="separate"/>
          </w:r>
          <w:r w:rsidR="0024205C" w:rsidRPr="0024205C">
            <w:rPr>
              <w:rFonts w:asciiTheme="majorBidi" w:hAnsiTheme="majorBidi" w:cstheme="majorBidi"/>
              <w:noProof/>
              <w:sz w:val="24"/>
              <w:szCs w:val="24"/>
            </w:rPr>
            <w:t>(Hovorka &amp; Larsen, 2017)</w:t>
          </w:r>
          <w:r w:rsidR="0024205C" w:rsidRPr="003866E2">
            <w:rPr>
              <w:rFonts w:asciiTheme="majorBidi" w:hAnsiTheme="majorBidi" w:cstheme="majorBidi"/>
              <w:sz w:val="24"/>
              <w:szCs w:val="24"/>
            </w:rPr>
            <w:fldChar w:fldCharType="end"/>
          </w:r>
        </w:sdtContent>
      </w:sdt>
      <w:r w:rsidR="0024205C">
        <w:rPr>
          <w:rFonts w:asciiTheme="majorBidi" w:hAnsiTheme="majorBidi" w:cstheme="majorBidi"/>
          <w:sz w:val="24"/>
          <w:szCs w:val="24"/>
        </w:rPr>
        <w:t xml:space="preserve">. This research applies </w:t>
      </w:r>
      <w:r w:rsidR="0024205C" w:rsidRPr="004B44B9">
        <w:rPr>
          <w:rFonts w:asciiTheme="majorBidi" w:hAnsiTheme="majorBidi" w:cstheme="majorBidi"/>
          <w:sz w:val="24"/>
          <w:szCs w:val="24"/>
        </w:rPr>
        <w:t xml:space="preserve">construct and domain integration by applying theories that flow in the same direction and also breaking down </w:t>
      </w:r>
      <w:r w:rsidR="00C67A06" w:rsidRPr="004B44B9">
        <w:rPr>
          <w:rFonts w:asciiTheme="majorBidi" w:hAnsiTheme="majorBidi" w:cstheme="majorBidi"/>
          <w:sz w:val="24"/>
          <w:szCs w:val="24"/>
        </w:rPr>
        <w:t>a theory’s main determinant into two or more related constructs.</w:t>
      </w:r>
      <w:r w:rsidR="00C67A06">
        <w:rPr>
          <w:rFonts w:asciiTheme="majorBidi" w:hAnsiTheme="majorBidi" w:cstheme="majorBidi"/>
          <w:sz w:val="24"/>
          <w:szCs w:val="24"/>
        </w:rPr>
        <w:t xml:space="preserve"> Section 4.2 begins to explain the way these theories are applied in this research. </w:t>
      </w:r>
    </w:p>
    <w:p w14:paraId="60BFA40E" w14:textId="0BA71375" w:rsidR="00153EE6" w:rsidRDefault="00C67A06" w:rsidP="0024205C">
      <w:pPr>
        <w:spacing w:after="0" w:line="480" w:lineRule="auto"/>
        <w:rPr>
          <w:rFonts w:asciiTheme="majorBidi" w:hAnsiTheme="majorBidi" w:cstheme="majorBidi"/>
          <w:sz w:val="24"/>
          <w:szCs w:val="24"/>
        </w:rPr>
      </w:pPr>
      <w:r>
        <w:rPr>
          <w:rFonts w:asciiTheme="majorBidi" w:hAnsiTheme="majorBidi" w:cstheme="majorBidi"/>
          <w:sz w:val="24"/>
          <w:szCs w:val="24"/>
        </w:rPr>
        <w:tab/>
      </w:r>
      <w:r w:rsidR="00153EE6" w:rsidRPr="00041117">
        <w:rPr>
          <w:rFonts w:asciiTheme="majorBidi" w:hAnsiTheme="majorBidi" w:cstheme="majorBidi"/>
          <w:sz w:val="24"/>
          <w:szCs w:val="24"/>
        </w:rPr>
        <w:t xml:space="preserve">The theoretical framework </w:t>
      </w:r>
      <w:r>
        <w:rPr>
          <w:rFonts w:asciiTheme="majorBidi" w:hAnsiTheme="majorBidi" w:cstheme="majorBidi"/>
          <w:sz w:val="24"/>
          <w:szCs w:val="24"/>
        </w:rPr>
        <w:t xml:space="preserve">in this study </w:t>
      </w:r>
      <w:r w:rsidR="00153EE6" w:rsidRPr="00041117">
        <w:rPr>
          <w:rFonts w:asciiTheme="majorBidi" w:hAnsiTheme="majorBidi" w:cstheme="majorBidi"/>
          <w:sz w:val="24"/>
          <w:szCs w:val="24"/>
        </w:rPr>
        <w:t xml:space="preserve">combines selected theories </w:t>
      </w:r>
      <w:r w:rsidR="00B00154" w:rsidRPr="00041117">
        <w:rPr>
          <w:rFonts w:asciiTheme="majorBidi" w:hAnsiTheme="majorBidi" w:cstheme="majorBidi"/>
          <w:sz w:val="24"/>
          <w:szCs w:val="24"/>
        </w:rPr>
        <w:t>to</w:t>
      </w:r>
      <w:r w:rsidR="00153EE6" w:rsidRPr="00041117">
        <w:rPr>
          <w:rFonts w:asciiTheme="majorBidi" w:hAnsiTheme="majorBidi" w:cstheme="majorBidi"/>
          <w:sz w:val="24"/>
          <w:szCs w:val="24"/>
        </w:rPr>
        <w:t xml:space="preserve"> </w:t>
      </w:r>
      <w:r w:rsidR="00153EE6" w:rsidRPr="00F60616">
        <w:rPr>
          <w:rFonts w:asciiTheme="majorBidi" w:hAnsiTheme="majorBidi" w:cstheme="majorBidi"/>
          <w:sz w:val="24"/>
          <w:szCs w:val="24"/>
        </w:rPr>
        <w:t>increase the model’s explanatory properties.</w:t>
      </w:r>
      <w:r w:rsidR="00153EE6" w:rsidRPr="00041117">
        <w:rPr>
          <w:rFonts w:asciiTheme="majorBidi" w:hAnsiTheme="majorBidi" w:cstheme="majorBidi"/>
          <w:sz w:val="24"/>
          <w:szCs w:val="24"/>
        </w:rPr>
        <w:t xml:space="preserve"> </w:t>
      </w:r>
      <w:r w:rsidR="00153EE6" w:rsidRPr="00C90066">
        <w:rPr>
          <w:rFonts w:asciiTheme="majorBidi" w:hAnsiTheme="majorBidi" w:cstheme="majorBidi"/>
          <w:sz w:val="24"/>
          <w:szCs w:val="24"/>
        </w:rPr>
        <w:t>One effective way to increase a conceptual model's stability and applicability is through cross-validation</w:t>
      </w:r>
      <w:sdt>
        <w:sdtPr>
          <w:rPr>
            <w:rFonts w:asciiTheme="majorBidi" w:hAnsiTheme="majorBidi" w:cstheme="majorBidi"/>
            <w:sz w:val="24"/>
            <w:szCs w:val="24"/>
          </w:rPr>
          <w:id w:val="-1039582373"/>
          <w:citation/>
        </w:sdtPr>
        <w:sdtContent>
          <w:r w:rsidR="00153EE6" w:rsidRPr="00C90066">
            <w:rPr>
              <w:rFonts w:asciiTheme="majorBidi" w:hAnsiTheme="majorBidi" w:cstheme="majorBidi"/>
              <w:sz w:val="24"/>
              <w:szCs w:val="24"/>
            </w:rPr>
            <w:fldChar w:fldCharType="begin"/>
          </w:r>
          <w:r w:rsidR="00153EE6" w:rsidRPr="00C90066">
            <w:rPr>
              <w:rFonts w:asciiTheme="majorBidi" w:hAnsiTheme="majorBidi" w:cstheme="majorBidi"/>
              <w:sz w:val="24"/>
              <w:szCs w:val="24"/>
            </w:rPr>
            <w:instrText xml:space="preserve"> CITATION Qiu22 \l 2057 </w:instrText>
          </w:r>
          <w:r w:rsidR="00153EE6" w:rsidRPr="00C9006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(Qiu, et al., 2022)</w:t>
          </w:r>
          <w:r w:rsidR="00153EE6" w:rsidRPr="00C90066">
            <w:rPr>
              <w:rFonts w:asciiTheme="majorBidi" w:hAnsiTheme="majorBidi" w:cstheme="majorBidi"/>
              <w:sz w:val="24"/>
              <w:szCs w:val="24"/>
            </w:rPr>
            <w:fldChar w:fldCharType="end"/>
          </w:r>
        </w:sdtContent>
      </w:sdt>
      <w:r w:rsidR="00153EE6" w:rsidRPr="00C90066">
        <w:rPr>
          <w:rFonts w:asciiTheme="majorBidi" w:hAnsiTheme="majorBidi" w:cstheme="majorBidi"/>
          <w:sz w:val="24"/>
          <w:szCs w:val="24"/>
        </w:rPr>
        <w:t xml:space="preserve">. Other researchers have confirmed that combining theories like </w:t>
      </w:r>
      <w:r w:rsidR="00153EE6">
        <w:rPr>
          <w:rFonts w:asciiTheme="majorBidi" w:hAnsiTheme="majorBidi" w:cstheme="majorBidi"/>
          <w:sz w:val="24"/>
          <w:szCs w:val="24"/>
        </w:rPr>
        <w:t>the theory of planned behaviour</w:t>
      </w:r>
      <w:r w:rsidR="00153EE6" w:rsidRPr="00C90066">
        <w:rPr>
          <w:rFonts w:asciiTheme="majorBidi" w:hAnsiTheme="majorBidi" w:cstheme="majorBidi"/>
          <w:sz w:val="24"/>
          <w:szCs w:val="24"/>
        </w:rPr>
        <w:t xml:space="preserve"> and</w:t>
      </w:r>
      <w:r w:rsidR="00153EE6">
        <w:rPr>
          <w:rFonts w:asciiTheme="majorBidi" w:hAnsiTheme="majorBidi" w:cstheme="majorBidi"/>
          <w:sz w:val="24"/>
          <w:szCs w:val="24"/>
        </w:rPr>
        <w:t xml:space="preserve"> </w:t>
      </w:r>
      <w:r w:rsidR="004B44B9">
        <w:rPr>
          <w:rFonts w:asciiTheme="majorBidi" w:hAnsiTheme="majorBidi" w:cstheme="majorBidi"/>
          <w:sz w:val="24"/>
          <w:szCs w:val="24"/>
        </w:rPr>
        <w:t xml:space="preserve">the concept of value congruence </w:t>
      </w:r>
      <w:r w:rsidR="00153EE6" w:rsidRPr="004B44B9">
        <w:rPr>
          <w:rFonts w:asciiTheme="majorBidi" w:hAnsiTheme="majorBidi" w:cstheme="majorBidi"/>
          <w:sz w:val="24"/>
          <w:szCs w:val="24"/>
        </w:rPr>
        <w:t>provide greater predictability of behaviour</w:t>
      </w:r>
      <w:r w:rsidR="00153EE6" w:rsidRPr="00C90066">
        <w:rPr>
          <w:rFonts w:asciiTheme="majorBidi" w:hAnsiTheme="majorBidi" w:cstheme="majorBidi"/>
          <w:sz w:val="24"/>
          <w:szCs w:val="24"/>
        </w:rPr>
        <w:t xml:space="preserve"> and better results than relying on a single model</w:t>
      </w:r>
      <w:sdt>
        <w:sdtPr>
          <w:rPr>
            <w:rFonts w:asciiTheme="majorBidi" w:hAnsiTheme="majorBidi" w:cstheme="majorBidi"/>
            <w:sz w:val="24"/>
            <w:szCs w:val="24"/>
          </w:rPr>
          <w:id w:val="1920214104"/>
          <w:citation/>
        </w:sdtPr>
        <w:sdtContent>
          <w:r w:rsidR="00153EE6" w:rsidRPr="00C90066">
            <w:rPr>
              <w:rFonts w:asciiTheme="majorBidi" w:hAnsiTheme="majorBidi" w:cstheme="majorBidi"/>
              <w:sz w:val="24"/>
              <w:szCs w:val="24"/>
            </w:rPr>
            <w:fldChar w:fldCharType="begin"/>
          </w:r>
          <w:r w:rsidR="00153EE6" w:rsidRPr="00C90066">
            <w:rPr>
              <w:rFonts w:asciiTheme="majorBidi" w:hAnsiTheme="majorBidi" w:cstheme="majorBidi"/>
              <w:sz w:val="24"/>
              <w:szCs w:val="24"/>
            </w:rPr>
            <w:instrText xml:space="preserve"> CITATION Rao22 \l 2057 </w:instrText>
          </w:r>
          <w:r w:rsidR="00153EE6" w:rsidRPr="00C9006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(Rao, Qiu , Morrison , &amp; Wei, 2022)</w:t>
          </w:r>
          <w:r w:rsidR="00153EE6" w:rsidRPr="00C90066">
            <w:rPr>
              <w:rFonts w:asciiTheme="majorBidi" w:hAnsiTheme="majorBidi" w:cstheme="majorBidi"/>
              <w:sz w:val="24"/>
              <w:szCs w:val="24"/>
            </w:rPr>
            <w:fldChar w:fldCharType="end"/>
          </w:r>
        </w:sdtContent>
      </w:sdt>
      <w:r w:rsidR="00153EE6" w:rsidRPr="00C90066">
        <w:rPr>
          <w:rFonts w:asciiTheme="majorBidi" w:hAnsiTheme="majorBidi" w:cstheme="majorBidi"/>
          <w:sz w:val="24"/>
          <w:szCs w:val="24"/>
        </w:rPr>
        <w:t>.</w:t>
      </w:r>
      <w:r w:rsidR="00153EE6">
        <w:rPr>
          <w:rFonts w:asciiTheme="majorBidi" w:hAnsiTheme="majorBidi" w:cstheme="majorBidi"/>
          <w:sz w:val="24"/>
          <w:szCs w:val="24"/>
        </w:rPr>
        <w:t xml:space="preserve"> Similarly, other researchers combined the application of Stimuli-Organism-Response Theory with Theory of Reasoned Action</w:t>
      </w:r>
      <w:sdt>
        <w:sdtPr>
          <w:rPr>
            <w:rFonts w:asciiTheme="majorBidi" w:hAnsiTheme="majorBidi" w:cstheme="majorBidi"/>
            <w:sz w:val="24"/>
            <w:szCs w:val="24"/>
          </w:rPr>
          <w:id w:val="202071548"/>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Lig23 \l 2057 </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(Ligaraba, Chuchu, &amp; Nyagadza, 2023)</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w:t>
      </w:r>
      <w:r w:rsidR="00153EE6" w:rsidRPr="00C90066">
        <w:rPr>
          <w:rFonts w:asciiTheme="majorBidi" w:hAnsiTheme="majorBidi" w:cstheme="majorBidi"/>
          <w:sz w:val="24"/>
          <w:szCs w:val="24"/>
        </w:rPr>
        <w:t xml:space="preserve"> </w:t>
      </w:r>
      <w:r w:rsidR="00153EE6" w:rsidRPr="00FD0B0F">
        <w:rPr>
          <w:rFonts w:asciiTheme="majorBidi" w:hAnsiTheme="majorBidi" w:cstheme="majorBidi"/>
          <w:sz w:val="24"/>
          <w:szCs w:val="24"/>
        </w:rPr>
        <w:t xml:space="preserve">The below discussion critically examines </w:t>
      </w:r>
      <w:r w:rsidR="00153EE6">
        <w:rPr>
          <w:rFonts w:asciiTheme="majorBidi" w:hAnsiTheme="majorBidi" w:cstheme="majorBidi"/>
          <w:sz w:val="24"/>
          <w:szCs w:val="24"/>
        </w:rPr>
        <w:t>some</w:t>
      </w:r>
      <w:r w:rsidR="00153EE6" w:rsidRPr="00FD0B0F">
        <w:rPr>
          <w:rFonts w:asciiTheme="majorBidi" w:hAnsiTheme="majorBidi" w:cstheme="majorBidi"/>
          <w:sz w:val="24"/>
          <w:szCs w:val="24"/>
        </w:rPr>
        <w:t xml:space="preserve"> theor</w:t>
      </w:r>
      <w:r w:rsidR="00153EE6">
        <w:rPr>
          <w:rFonts w:asciiTheme="majorBidi" w:hAnsiTheme="majorBidi" w:cstheme="majorBidi"/>
          <w:sz w:val="24"/>
          <w:szCs w:val="24"/>
        </w:rPr>
        <w:t>ies in literature</w:t>
      </w:r>
      <w:r w:rsidR="00153EE6" w:rsidRPr="00FD0B0F">
        <w:rPr>
          <w:rFonts w:asciiTheme="majorBidi" w:hAnsiTheme="majorBidi" w:cstheme="majorBidi"/>
          <w:sz w:val="24"/>
          <w:szCs w:val="24"/>
        </w:rPr>
        <w:t xml:space="preserve"> in reference to the objectives of th</w:t>
      </w:r>
      <w:r w:rsidR="00153EE6">
        <w:rPr>
          <w:rFonts w:asciiTheme="majorBidi" w:hAnsiTheme="majorBidi" w:cstheme="majorBidi"/>
          <w:sz w:val="24"/>
          <w:szCs w:val="24"/>
        </w:rPr>
        <w:t>is</w:t>
      </w:r>
      <w:r w:rsidR="00153EE6" w:rsidRPr="00FD0B0F">
        <w:rPr>
          <w:rFonts w:asciiTheme="majorBidi" w:hAnsiTheme="majorBidi" w:cstheme="majorBidi"/>
          <w:sz w:val="24"/>
          <w:szCs w:val="24"/>
        </w:rPr>
        <w:t xml:space="preserve"> study. </w:t>
      </w:r>
    </w:p>
    <w:p w14:paraId="3305A246" w14:textId="70758009" w:rsidR="00153EE6" w:rsidRPr="00FD0B0F" w:rsidRDefault="00153EE6" w:rsidP="00153EE6">
      <w:pPr>
        <w:adjustRightInd w:val="0"/>
        <w:rPr>
          <w:rFonts w:asciiTheme="majorBidi" w:hAnsiTheme="majorBidi" w:cstheme="majorBidi"/>
          <w:b/>
          <w:bCs/>
          <w:sz w:val="24"/>
          <w:szCs w:val="24"/>
        </w:rPr>
      </w:pPr>
      <w:r w:rsidRPr="00FD0B0F">
        <w:rPr>
          <w:rFonts w:asciiTheme="majorBidi" w:hAnsiTheme="majorBidi" w:cstheme="majorBidi"/>
          <w:b/>
          <w:bCs/>
          <w:sz w:val="24"/>
          <w:szCs w:val="24"/>
        </w:rPr>
        <w:t>4.</w:t>
      </w:r>
      <w:r w:rsidR="00510108">
        <w:rPr>
          <w:rFonts w:asciiTheme="majorBidi" w:hAnsiTheme="majorBidi" w:cstheme="majorBidi"/>
          <w:b/>
          <w:bCs/>
          <w:sz w:val="24"/>
          <w:szCs w:val="24"/>
        </w:rPr>
        <w:t>1</w:t>
      </w:r>
      <w:r>
        <w:rPr>
          <w:rFonts w:asciiTheme="majorBidi" w:hAnsiTheme="majorBidi" w:cstheme="majorBidi"/>
          <w:b/>
          <w:bCs/>
          <w:sz w:val="24"/>
          <w:szCs w:val="24"/>
        </w:rPr>
        <w:t xml:space="preserve"> Theories in consumer behaviour literature </w:t>
      </w:r>
    </w:p>
    <w:p w14:paraId="282DF27F" w14:textId="43724618" w:rsidR="006E42F9" w:rsidRDefault="0097236D" w:rsidP="006E42F9">
      <w:pPr>
        <w:spacing w:after="0" w:line="480" w:lineRule="auto"/>
        <w:rPr>
          <w:rFonts w:asciiTheme="majorBidi" w:hAnsiTheme="majorBidi" w:cstheme="majorBidi"/>
          <w:sz w:val="24"/>
          <w:szCs w:val="24"/>
        </w:rPr>
      </w:pPr>
      <w:r>
        <w:rPr>
          <w:rFonts w:asciiTheme="majorBidi" w:hAnsiTheme="majorBidi" w:cstheme="majorBidi"/>
          <w:sz w:val="24"/>
          <w:szCs w:val="24"/>
        </w:rPr>
        <w:tab/>
      </w:r>
      <w:r w:rsidR="00153EE6" w:rsidRPr="0097236D">
        <w:rPr>
          <w:rFonts w:asciiTheme="majorBidi" w:hAnsiTheme="majorBidi" w:cstheme="majorBidi"/>
          <w:sz w:val="24"/>
          <w:szCs w:val="24"/>
        </w:rPr>
        <w:t xml:space="preserve">Numerous factors </w:t>
      </w:r>
      <w:r w:rsidR="00F27A6D">
        <w:rPr>
          <w:rFonts w:asciiTheme="majorBidi" w:hAnsiTheme="majorBidi" w:cstheme="majorBidi"/>
          <w:sz w:val="24"/>
          <w:szCs w:val="24"/>
        </w:rPr>
        <w:t xml:space="preserve">influence </w:t>
      </w:r>
      <w:r w:rsidR="00153EE6" w:rsidRPr="0097236D">
        <w:rPr>
          <w:rFonts w:asciiTheme="majorBidi" w:hAnsiTheme="majorBidi" w:cstheme="majorBidi"/>
          <w:sz w:val="24"/>
          <w:szCs w:val="24"/>
        </w:rPr>
        <w:t>consumer behaviour</w:t>
      </w:r>
      <w:sdt>
        <w:sdtPr>
          <w:rPr>
            <w:rFonts w:asciiTheme="majorBidi" w:hAnsiTheme="majorBidi" w:cstheme="majorBidi"/>
            <w:sz w:val="24"/>
            <w:szCs w:val="24"/>
          </w:rPr>
          <w:id w:val="-1421101792"/>
          <w:citation/>
        </w:sdtPr>
        <w:sdtContent>
          <w:r w:rsidRPr="0097236D">
            <w:rPr>
              <w:rFonts w:asciiTheme="majorBidi" w:hAnsiTheme="majorBidi" w:cstheme="majorBidi"/>
              <w:sz w:val="24"/>
              <w:szCs w:val="24"/>
            </w:rPr>
            <w:fldChar w:fldCharType="begin"/>
          </w:r>
          <w:r w:rsidRPr="0097236D">
            <w:rPr>
              <w:rFonts w:asciiTheme="majorBidi" w:hAnsiTheme="majorBidi" w:cstheme="majorBidi"/>
              <w:sz w:val="24"/>
              <w:szCs w:val="24"/>
            </w:rPr>
            <w:instrText xml:space="preserve"> CITATION Ani16 \l 2057  \m Paç19</w:instrText>
          </w:r>
          <w:r w:rsidRPr="0097236D">
            <w:rPr>
              <w:rFonts w:asciiTheme="majorBidi" w:hAnsiTheme="majorBidi" w:cstheme="majorBidi"/>
              <w:sz w:val="24"/>
              <w:szCs w:val="24"/>
            </w:rPr>
            <w:fldChar w:fldCharType="separate"/>
          </w:r>
          <w:r w:rsidRPr="0097236D">
            <w:rPr>
              <w:rFonts w:asciiTheme="majorBidi" w:hAnsiTheme="majorBidi" w:cstheme="majorBidi"/>
              <w:noProof/>
              <w:sz w:val="24"/>
              <w:szCs w:val="24"/>
            </w:rPr>
            <w:t>(Anisimova, 2016; Paço , Shiel , &amp; Alves, 2019)</w:t>
          </w:r>
          <w:r w:rsidRPr="0097236D">
            <w:rPr>
              <w:rFonts w:asciiTheme="majorBidi" w:hAnsiTheme="majorBidi" w:cstheme="majorBidi"/>
              <w:sz w:val="24"/>
              <w:szCs w:val="24"/>
            </w:rPr>
            <w:fldChar w:fldCharType="end"/>
          </w:r>
        </w:sdtContent>
      </w:sdt>
      <w:r w:rsidR="00153EE6" w:rsidRPr="0097236D">
        <w:rPr>
          <w:rFonts w:asciiTheme="majorBidi" w:hAnsiTheme="majorBidi" w:cstheme="majorBidi"/>
          <w:sz w:val="24"/>
          <w:szCs w:val="24"/>
        </w:rPr>
        <w:t>.</w:t>
      </w:r>
      <w:r w:rsidR="00153EE6" w:rsidRPr="007571D9">
        <w:rPr>
          <w:rFonts w:asciiTheme="majorBidi" w:hAnsiTheme="majorBidi" w:cstheme="majorBidi"/>
          <w:sz w:val="24"/>
          <w:szCs w:val="24"/>
        </w:rPr>
        <w:t xml:space="preserve"> </w:t>
      </w:r>
      <w:r w:rsidR="006332FA">
        <w:rPr>
          <w:rFonts w:asciiTheme="majorBidi" w:hAnsiTheme="majorBidi" w:cstheme="majorBidi"/>
          <w:sz w:val="24"/>
          <w:szCs w:val="24"/>
        </w:rPr>
        <w:t>T</w:t>
      </w:r>
      <w:r w:rsidR="00153EE6" w:rsidRPr="00B91465">
        <w:rPr>
          <w:rFonts w:asciiTheme="majorBidi" w:hAnsiTheme="majorBidi" w:cstheme="majorBidi"/>
          <w:sz w:val="24"/>
          <w:szCs w:val="24"/>
        </w:rPr>
        <w:t>here</w:t>
      </w:r>
      <w:r w:rsidR="00153EE6">
        <w:rPr>
          <w:rFonts w:asciiTheme="majorBidi" w:hAnsiTheme="majorBidi" w:cstheme="majorBidi"/>
          <w:sz w:val="24"/>
          <w:szCs w:val="24"/>
        </w:rPr>
        <w:t xml:space="preserve"> is</w:t>
      </w:r>
      <w:r w:rsidR="00153EE6" w:rsidRPr="00B91465">
        <w:rPr>
          <w:rFonts w:asciiTheme="majorBidi" w:hAnsiTheme="majorBidi" w:cstheme="majorBidi"/>
          <w:sz w:val="24"/>
          <w:szCs w:val="24"/>
        </w:rPr>
        <w:t xml:space="preserve"> </w:t>
      </w:r>
      <w:r w:rsidR="00153EE6">
        <w:rPr>
          <w:rFonts w:asciiTheme="majorBidi" w:hAnsiTheme="majorBidi" w:cstheme="majorBidi"/>
          <w:sz w:val="24"/>
          <w:szCs w:val="24"/>
        </w:rPr>
        <w:t>an abundance</w:t>
      </w:r>
      <w:r w:rsidR="00153EE6" w:rsidRPr="00B91465">
        <w:rPr>
          <w:rFonts w:asciiTheme="majorBidi" w:hAnsiTheme="majorBidi" w:cstheme="majorBidi"/>
          <w:sz w:val="24"/>
          <w:szCs w:val="24"/>
        </w:rPr>
        <w:t xml:space="preserve"> of theories that dissect these influencing factors and offer potential explanations for consumer behaviours and intentions. </w:t>
      </w:r>
      <w:r w:rsidR="006E42F9">
        <w:rPr>
          <w:rFonts w:asciiTheme="majorBidi" w:hAnsiTheme="majorBidi" w:cstheme="majorBidi"/>
          <w:sz w:val="24"/>
          <w:szCs w:val="24"/>
        </w:rPr>
        <w:t xml:space="preserve">However, it is necessary to review some of the commonly applied theories in consumer behaviour to identify the most appropriate framework for this study. </w:t>
      </w:r>
    </w:p>
    <w:p w14:paraId="7A2F3490" w14:textId="05BCC3E3" w:rsidR="00153EE6" w:rsidRDefault="006E42F9" w:rsidP="006E42F9">
      <w:pPr>
        <w:spacing w:after="0" w:line="480" w:lineRule="auto"/>
        <w:rPr>
          <w:rFonts w:asciiTheme="majorBidi" w:hAnsiTheme="majorBidi" w:cstheme="majorBidi"/>
          <w:sz w:val="24"/>
          <w:szCs w:val="24"/>
        </w:rPr>
      </w:pPr>
      <w:r>
        <w:rPr>
          <w:rFonts w:asciiTheme="majorBidi" w:hAnsiTheme="majorBidi" w:cstheme="majorBidi"/>
          <w:sz w:val="24"/>
          <w:szCs w:val="24"/>
        </w:rPr>
        <w:tab/>
      </w:r>
      <w:r w:rsidR="00153EE6" w:rsidRPr="007613F7">
        <w:rPr>
          <w:rFonts w:asciiTheme="majorBidi" w:hAnsiTheme="majorBidi" w:cstheme="majorBidi"/>
          <w:sz w:val="24"/>
          <w:szCs w:val="24"/>
        </w:rPr>
        <w:t>Festinger's</w:t>
      </w:r>
      <w:r w:rsidR="00153EE6">
        <w:rPr>
          <w:rFonts w:asciiTheme="majorBidi" w:hAnsiTheme="majorBidi" w:cstheme="majorBidi"/>
          <w:sz w:val="24"/>
          <w:szCs w:val="24"/>
        </w:rPr>
        <w:t xml:space="preserve"> </w:t>
      </w:r>
      <w:sdt>
        <w:sdtPr>
          <w:rPr>
            <w:rFonts w:asciiTheme="majorBidi" w:hAnsiTheme="majorBidi" w:cstheme="majorBidi"/>
            <w:sz w:val="24"/>
            <w:szCs w:val="24"/>
          </w:rPr>
          <w:id w:val="645390199"/>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CITATION Fes57 \n  \t  \l 2057 </w:instrText>
          </w:r>
          <w:r w:rsidR="00153EE6">
            <w:rPr>
              <w:rFonts w:asciiTheme="majorBidi" w:hAnsiTheme="majorBidi" w:cstheme="majorBidi"/>
              <w:sz w:val="24"/>
              <w:szCs w:val="24"/>
            </w:rPr>
            <w:fldChar w:fldCharType="separate"/>
          </w:r>
          <w:r w:rsidR="00153EE6" w:rsidRPr="0082206F">
            <w:rPr>
              <w:rFonts w:asciiTheme="majorBidi" w:hAnsiTheme="majorBidi" w:cstheme="majorBidi"/>
              <w:noProof/>
              <w:sz w:val="24"/>
              <w:szCs w:val="24"/>
            </w:rPr>
            <w:t>(1957)</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w:t>
      </w:r>
      <w:bookmarkStart w:id="102" w:name="_Hlk134193222"/>
      <w:r w:rsidR="00153EE6" w:rsidRPr="004B44B9">
        <w:rPr>
          <w:rFonts w:asciiTheme="majorBidi" w:hAnsiTheme="majorBidi" w:cstheme="majorBidi"/>
          <w:sz w:val="24"/>
          <w:szCs w:val="24"/>
        </w:rPr>
        <w:t>cognitive dissonance theory (CDT)</w:t>
      </w:r>
      <w:r w:rsidR="00153EE6" w:rsidRPr="007613F7">
        <w:rPr>
          <w:rFonts w:asciiTheme="majorBidi" w:hAnsiTheme="majorBidi" w:cstheme="majorBidi"/>
          <w:sz w:val="24"/>
          <w:szCs w:val="24"/>
        </w:rPr>
        <w:t xml:space="preserve"> </w:t>
      </w:r>
      <w:bookmarkEnd w:id="102"/>
      <w:r w:rsidR="00153EE6" w:rsidRPr="007613F7">
        <w:rPr>
          <w:rFonts w:asciiTheme="majorBidi" w:hAnsiTheme="majorBidi" w:cstheme="majorBidi"/>
          <w:sz w:val="24"/>
          <w:szCs w:val="24"/>
        </w:rPr>
        <w:t xml:space="preserve">asserts that when an individual's behaviour is inconsistent with </w:t>
      </w:r>
      <w:r w:rsidR="00153EE6">
        <w:rPr>
          <w:rFonts w:asciiTheme="majorBidi" w:hAnsiTheme="majorBidi" w:cstheme="majorBidi"/>
          <w:sz w:val="24"/>
          <w:szCs w:val="24"/>
        </w:rPr>
        <w:t>her</w:t>
      </w:r>
      <w:r w:rsidR="00153EE6" w:rsidRPr="007613F7">
        <w:rPr>
          <w:rFonts w:asciiTheme="majorBidi" w:hAnsiTheme="majorBidi" w:cstheme="majorBidi"/>
          <w:sz w:val="24"/>
          <w:szCs w:val="24"/>
        </w:rPr>
        <w:t xml:space="preserve"> or </w:t>
      </w:r>
      <w:r w:rsidR="00153EE6">
        <w:rPr>
          <w:rFonts w:asciiTheme="majorBidi" w:hAnsiTheme="majorBidi" w:cstheme="majorBidi"/>
          <w:sz w:val="24"/>
          <w:szCs w:val="24"/>
        </w:rPr>
        <w:t>his</w:t>
      </w:r>
      <w:r w:rsidR="00153EE6" w:rsidRPr="007613F7">
        <w:rPr>
          <w:rFonts w:asciiTheme="majorBidi" w:hAnsiTheme="majorBidi" w:cstheme="majorBidi"/>
          <w:sz w:val="24"/>
          <w:szCs w:val="24"/>
        </w:rPr>
        <w:t xml:space="preserve"> thoughts, an underlying psychological tension develops</w:t>
      </w:r>
      <w:sdt>
        <w:sdtPr>
          <w:rPr>
            <w:rFonts w:asciiTheme="majorBidi" w:hAnsiTheme="majorBidi" w:cstheme="majorBidi"/>
            <w:sz w:val="24"/>
            <w:szCs w:val="24"/>
          </w:rPr>
          <w:id w:val="-1432812491"/>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Tho05 \l 2057 </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144F66">
            <w:rPr>
              <w:rFonts w:asciiTheme="majorBidi" w:hAnsiTheme="majorBidi" w:cstheme="majorBidi"/>
              <w:noProof/>
              <w:sz w:val="24"/>
              <w:szCs w:val="24"/>
            </w:rPr>
            <w:t>(Thomson, MacInnis, &amp; Park, 2005)</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w:t>
      </w:r>
      <w:r w:rsidR="00153EE6" w:rsidRPr="007613F7">
        <w:rPr>
          <w:rFonts w:asciiTheme="majorBidi" w:hAnsiTheme="majorBidi" w:cstheme="majorBidi"/>
          <w:sz w:val="24"/>
          <w:szCs w:val="24"/>
        </w:rPr>
        <w:t xml:space="preserve">This tension motivates the individual to alter their </w:t>
      </w:r>
      <w:r w:rsidR="00153EE6">
        <w:rPr>
          <w:rFonts w:asciiTheme="majorBidi" w:hAnsiTheme="majorBidi" w:cstheme="majorBidi"/>
          <w:sz w:val="24"/>
          <w:szCs w:val="24"/>
        </w:rPr>
        <w:t>underlying thoughts</w:t>
      </w:r>
      <w:r w:rsidR="00153EE6" w:rsidRPr="007613F7">
        <w:rPr>
          <w:rFonts w:asciiTheme="majorBidi" w:hAnsiTheme="majorBidi" w:cstheme="majorBidi"/>
          <w:sz w:val="24"/>
          <w:szCs w:val="24"/>
        </w:rPr>
        <w:t xml:space="preserve"> and strive for </w:t>
      </w:r>
      <w:r w:rsidR="00153EE6">
        <w:rPr>
          <w:rFonts w:asciiTheme="majorBidi" w:hAnsiTheme="majorBidi" w:cstheme="majorBidi"/>
          <w:sz w:val="24"/>
          <w:szCs w:val="24"/>
        </w:rPr>
        <w:t>congruity</w:t>
      </w:r>
      <w:r w:rsidR="00153EE6" w:rsidRPr="007613F7">
        <w:rPr>
          <w:rFonts w:asciiTheme="majorBidi" w:hAnsiTheme="majorBidi" w:cstheme="majorBidi"/>
          <w:sz w:val="24"/>
          <w:szCs w:val="24"/>
        </w:rPr>
        <w:t xml:space="preserve"> between their thoughts and actions</w:t>
      </w:r>
      <w:sdt>
        <w:sdtPr>
          <w:rPr>
            <w:rFonts w:asciiTheme="majorBidi" w:hAnsiTheme="majorBidi" w:cstheme="majorBidi"/>
            <w:sz w:val="24"/>
            <w:szCs w:val="24"/>
          </w:rPr>
          <w:id w:val="-1179574066"/>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Tho05 \l 2057 </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144F66">
            <w:rPr>
              <w:rFonts w:asciiTheme="majorBidi" w:hAnsiTheme="majorBidi" w:cstheme="majorBidi"/>
              <w:noProof/>
              <w:sz w:val="24"/>
              <w:szCs w:val="24"/>
            </w:rPr>
            <w:t>(Thomson, MacInnis, &amp; Park, 2005)</w:t>
          </w:r>
          <w:r w:rsidR="00153EE6">
            <w:rPr>
              <w:rFonts w:asciiTheme="majorBidi" w:hAnsiTheme="majorBidi" w:cstheme="majorBidi"/>
              <w:sz w:val="24"/>
              <w:szCs w:val="24"/>
            </w:rPr>
            <w:fldChar w:fldCharType="end"/>
          </w:r>
        </w:sdtContent>
      </w:sdt>
      <w:r w:rsidR="00153EE6" w:rsidRPr="007613F7">
        <w:rPr>
          <w:rFonts w:asciiTheme="majorBidi" w:hAnsiTheme="majorBidi" w:cstheme="majorBidi"/>
          <w:sz w:val="24"/>
          <w:szCs w:val="24"/>
        </w:rPr>
        <w:t>.</w:t>
      </w:r>
      <w:r w:rsidR="00153EE6">
        <w:rPr>
          <w:rFonts w:asciiTheme="majorBidi" w:hAnsiTheme="majorBidi" w:cstheme="majorBidi"/>
          <w:sz w:val="24"/>
          <w:szCs w:val="24"/>
        </w:rPr>
        <w:t xml:space="preserve"> CDT have been widely applied in the marketing literature to examine actual behaviour such as shopping behaviour, impulse buying and online shopping</w:t>
      </w:r>
      <w:r w:rsidR="00153EE6" w:rsidRPr="00103103">
        <w:rPr>
          <w:rFonts w:asciiTheme="majorBidi" w:hAnsiTheme="majorBidi" w:cstheme="majorBidi"/>
          <w:sz w:val="24"/>
          <w:szCs w:val="24"/>
        </w:rPr>
        <w:t xml:space="preserve"> </w:t>
      </w:r>
      <w:sdt>
        <w:sdtPr>
          <w:rPr>
            <w:rFonts w:asciiTheme="majorBidi" w:hAnsiTheme="majorBidi" w:cstheme="majorBidi"/>
            <w:sz w:val="24"/>
            <w:szCs w:val="24"/>
          </w:rPr>
          <w:id w:val="901870390"/>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Akb20 \l 2057  \m Gök191 \m She21</w:instrText>
          </w:r>
          <w:r w:rsidR="00153EE6">
            <w:rPr>
              <w:rFonts w:asciiTheme="majorBidi" w:hAnsiTheme="majorBidi" w:cstheme="majorBidi"/>
              <w:sz w:val="24"/>
              <w:szCs w:val="24"/>
            </w:rPr>
            <w:fldChar w:fldCharType="separate"/>
          </w:r>
          <w:r w:rsidR="00153EE6" w:rsidRPr="008F7F4E">
            <w:rPr>
              <w:rFonts w:asciiTheme="majorBidi" w:hAnsiTheme="majorBidi" w:cstheme="majorBidi"/>
              <w:noProof/>
              <w:sz w:val="24"/>
              <w:szCs w:val="24"/>
            </w:rPr>
            <w:t>(Akbar, Ahmad, Asif, &amp; Siddqui, 2020; Gökcek, Carikçioğlu, &amp; Yuksel, 2019; Sheth, 2021)</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As discussed, this theory is centred around the process of translating consumers’ psychological thoughts into an actual behaviour</w:t>
      </w:r>
      <w:r w:rsidR="00DE1EAD" w:rsidRPr="00DE1EAD">
        <w:rPr>
          <w:rFonts w:asciiTheme="majorBidi" w:hAnsiTheme="majorBidi" w:cstheme="majorBidi"/>
          <w:sz w:val="24"/>
          <w:szCs w:val="24"/>
        </w:rPr>
        <w:t xml:space="preserve"> </w:t>
      </w:r>
      <w:sdt>
        <w:sdtPr>
          <w:rPr>
            <w:rFonts w:asciiTheme="majorBidi" w:hAnsiTheme="majorBidi" w:cstheme="majorBidi"/>
            <w:sz w:val="24"/>
            <w:szCs w:val="24"/>
          </w:rPr>
          <w:id w:val="1513575387"/>
          <w:citation/>
        </w:sdtPr>
        <w:sdtContent>
          <w:r w:rsidR="00DE1EAD">
            <w:rPr>
              <w:rFonts w:asciiTheme="majorBidi" w:hAnsiTheme="majorBidi" w:cstheme="majorBidi"/>
              <w:sz w:val="24"/>
              <w:szCs w:val="24"/>
            </w:rPr>
            <w:fldChar w:fldCharType="begin"/>
          </w:r>
          <w:r w:rsidR="00DE1EAD">
            <w:rPr>
              <w:rFonts w:asciiTheme="majorBidi" w:hAnsiTheme="majorBidi" w:cstheme="majorBidi"/>
              <w:sz w:val="24"/>
              <w:szCs w:val="24"/>
            </w:rPr>
            <w:instrText xml:space="preserve"> CITATION Akb20 \l 2057  \m Gök191 \m She21</w:instrText>
          </w:r>
          <w:r w:rsidR="00DE1EAD">
            <w:rPr>
              <w:rFonts w:asciiTheme="majorBidi" w:hAnsiTheme="majorBidi" w:cstheme="majorBidi"/>
              <w:sz w:val="24"/>
              <w:szCs w:val="24"/>
            </w:rPr>
            <w:fldChar w:fldCharType="separate"/>
          </w:r>
          <w:r w:rsidR="00DE1EAD" w:rsidRPr="008F7F4E">
            <w:rPr>
              <w:rFonts w:asciiTheme="majorBidi" w:hAnsiTheme="majorBidi" w:cstheme="majorBidi"/>
              <w:noProof/>
              <w:sz w:val="24"/>
              <w:szCs w:val="24"/>
            </w:rPr>
            <w:t>(Akbar, Ahmad, Asif, &amp; Siddqui, 2020; Gökcek, Carikçioğlu, &amp; Yuksel, 2019; Sheth, 2021)</w:t>
          </w:r>
          <w:r w:rsidR="00DE1EAD">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For that reason, this theory is not considered to be the most suitable as this study is focused on the influence of certain consumer attitudes on </w:t>
      </w:r>
      <w:r w:rsidR="00153EE6" w:rsidRPr="00AA7F79">
        <w:rPr>
          <w:rFonts w:asciiTheme="majorBidi" w:hAnsiTheme="majorBidi" w:cstheme="majorBidi"/>
          <w:sz w:val="24"/>
          <w:szCs w:val="24"/>
        </w:rPr>
        <w:t>purchase intention</w:t>
      </w:r>
      <w:r w:rsidR="00153EE6">
        <w:rPr>
          <w:rFonts w:asciiTheme="majorBidi" w:hAnsiTheme="majorBidi" w:cstheme="majorBidi"/>
          <w:sz w:val="24"/>
          <w:szCs w:val="24"/>
        </w:rPr>
        <w:t xml:space="preserve">. Moreover, the </w:t>
      </w:r>
      <w:bookmarkStart w:id="103" w:name="_Hlk134193290"/>
      <w:r w:rsidR="00153EE6" w:rsidRPr="00F60616">
        <w:rPr>
          <w:rFonts w:asciiTheme="majorBidi" w:hAnsiTheme="majorBidi" w:cstheme="majorBidi"/>
          <w:sz w:val="24"/>
          <w:szCs w:val="24"/>
        </w:rPr>
        <w:t>attitude-behaviour-context (ABC)</w:t>
      </w:r>
      <w:r w:rsidR="00153EE6" w:rsidRPr="00103103">
        <w:rPr>
          <w:rFonts w:asciiTheme="majorBidi" w:hAnsiTheme="majorBidi" w:cstheme="majorBidi"/>
          <w:sz w:val="24"/>
          <w:szCs w:val="24"/>
        </w:rPr>
        <w:t xml:space="preserve"> </w:t>
      </w:r>
      <w:r w:rsidR="00153EE6" w:rsidRPr="006C638F">
        <w:rPr>
          <w:rFonts w:asciiTheme="majorBidi" w:hAnsiTheme="majorBidi" w:cstheme="majorBidi"/>
          <w:sz w:val="24"/>
          <w:szCs w:val="24"/>
        </w:rPr>
        <w:t>theory</w:t>
      </w:r>
      <w:bookmarkEnd w:id="103"/>
      <w:r w:rsidR="00153EE6">
        <w:rPr>
          <w:rFonts w:asciiTheme="majorBidi" w:hAnsiTheme="majorBidi" w:cstheme="majorBidi"/>
          <w:sz w:val="24"/>
          <w:szCs w:val="24"/>
        </w:rPr>
        <w:t xml:space="preserve"> </w:t>
      </w:r>
      <w:sdt>
        <w:sdtPr>
          <w:rPr>
            <w:rFonts w:asciiTheme="majorBidi" w:hAnsiTheme="majorBidi" w:cstheme="majorBidi"/>
            <w:sz w:val="24"/>
            <w:szCs w:val="24"/>
          </w:rPr>
          <w:id w:val="443897290"/>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Gua95 \l 2057 </w:instrText>
          </w:r>
          <w:r w:rsidR="00153EE6">
            <w:rPr>
              <w:rFonts w:asciiTheme="majorBidi" w:hAnsiTheme="majorBidi" w:cstheme="majorBidi"/>
              <w:sz w:val="24"/>
              <w:szCs w:val="24"/>
            </w:rPr>
            <w:fldChar w:fldCharType="separate"/>
          </w:r>
          <w:r w:rsidR="00153EE6" w:rsidRPr="000F60CD">
            <w:rPr>
              <w:rFonts w:asciiTheme="majorBidi" w:hAnsiTheme="majorBidi" w:cstheme="majorBidi"/>
              <w:noProof/>
              <w:sz w:val="24"/>
              <w:szCs w:val="24"/>
            </w:rPr>
            <w:t>(Guagnano, Stern, &amp; Dietz, 1995)</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is focused on contextual factors and inner attitudes that influence behaviour that consumers perceive as positive behaviour</w:t>
      </w:r>
      <w:sdt>
        <w:sdtPr>
          <w:rPr>
            <w:rFonts w:asciiTheme="majorBidi" w:hAnsiTheme="majorBidi" w:cstheme="majorBidi"/>
            <w:sz w:val="24"/>
            <w:szCs w:val="24"/>
          </w:rPr>
          <w:id w:val="2019579970"/>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Zha18 \l 2057 </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(Zhang, et al., 2018)</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The theory also exhibits that consumers will only adapt certain behaviours if they will bring them benefits</w:t>
      </w:r>
      <w:sdt>
        <w:sdtPr>
          <w:rPr>
            <w:rFonts w:asciiTheme="majorBidi" w:hAnsiTheme="majorBidi" w:cstheme="majorBidi"/>
            <w:sz w:val="24"/>
            <w:szCs w:val="24"/>
          </w:rPr>
          <w:id w:val="-1512379524"/>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Zha18 \l 2057 </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(Zhang, et al., 2018)</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based on their processing of contextual factors related to actions and buying behaviour</w:t>
      </w:r>
      <w:sdt>
        <w:sdtPr>
          <w:rPr>
            <w:rFonts w:asciiTheme="majorBidi" w:hAnsiTheme="majorBidi" w:cstheme="majorBidi"/>
            <w:sz w:val="24"/>
            <w:szCs w:val="24"/>
          </w:rPr>
          <w:id w:val="-2134859528"/>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Gri16 \l 2057  \m Ert16</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(Grimmer, Kilburn, &amp; Miles, 2016; Ertz, Karakas, &amp; Sarigöllü, 2016)</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w:t>
      </w:r>
      <w:r w:rsidR="001E0DFD">
        <w:rPr>
          <w:rFonts w:asciiTheme="majorBidi" w:hAnsiTheme="majorBidi" w:cstheme="majorBidi"/>
          <w:sz w:val="24"/>
          <w:szCs w:val="24"/>
        </w:rPr>
        <w:t xml:space="preserve">Even though the ABC theory focuses on examining behaviour which is not the focus of this research, adapting behaviours similar to their perceptions is a topic of interest </w:t>
      </w:r>
      <w:r w:rsidR="00490234">
        <w:rPr>
          <w:rFonts w:asciiTheme="majorBidi" w:hAnsiTheme="majorBidi" w:cstheme="majorBidi"/>
          <w:sz w:val="24"/>
          <w:szCs w:val="24"/>
        </w:rPr>
        <w:t xml:space="preserve">that will be further examined in this chapter (section 4.6). </w:t>
      </w:r>
      <w:r w:rsidR="001E0DFD">
        <w:rPr>
          <w:rFonts w:asciiTheme="majorBidi" w:hAnsiTheme="majorBidi" w:cstheme="majorBidi"/>
          <w:sz w:val="24"/>
          <w:szCs w:val="24"/>
        </w:rPr>
        <w:t xml:space="preserve"> </w:t>
      </w:r>
    </w:p>
    <w:p w14:paraId="0000700D" w14:textId="122259E3" w:rsidR="00153EE6" w:rsidRDefault="00C67A06" w:rsidP="00B30B0E">
      <w:pPr>
        <w:spacing w:after="0" w:line="480" w:lineRule="auto"/>
        <w:rPr>
          <w:rFonts w:asciiTheme="majorBidi" w:hAnsiTheme="majorBidi" w:cstheme="majorBidi"/>
          <w:sz w:val="24"/>
          <w:szCs w:val="24"/>
        </w:rPr>
      </w:pPr>
      <w:r>
        <w:rPr>
          <w:rFonts w:asciiTheme="majorBidi" w:hAnsiTheme="majorBidi" w:cstheme="majorBidi"/>
          <w:sz w:val="24"/>
          <w:szCs w:val="24"/>
        </w:rPr>
        <w:tab/>
      </w:r>
      <w:r w:rsidR="00153EE6">
        <w:rPr>
          <w:rFonts w:asciiTheme="majorBidi" w:hAnsiTheme="majorBidi" w:cstheme="majorBidi"/>
          <w:sz w:val="24"/>
          <w:szCs w:val="24"/>
        </w:rPr>
        <w:t xml:space="preserve">Focusing on the CSR literature, the </w:t>
      </w:r>
      <w:r w:rsidR="00153EE6" w:rsidRPr="004B44B9">
        <w:rPr>
          <w:rFonts w:asciiTheme="majorBidi" w:hAnsiTheme="majorBidi" w:cstheme="majorBidi"/>
          <w:sz w:val="24"/>
          <w:szCs w:val="24"/>
        </w:rPr>
        <w:t>Social Exchange Theory</w:t>
      </w:r>
      <w:r w:rsidR="00153EE6">
        <w:rPr>
          <w:rFonts w:asciiTheme="majorBidi" w:hAnsiTheme="majorBidi" w:cstheme="majorBidi"/>
          <w:sz w:val="24"/>
          <w:szCs w:val="24"/>
        </w:rPr>
        <w:t xml:space="preserve"> is widely used. One of the earliest definitions of </w:t>
      </w:r>
      <w:bookmarkStart w:id="104" w:name="_Hlk134193340"/>
      <w:r w:rsidR="00153EE6">
        <w:rPr>
          <w:rFonts w:asciiTheme="majorBidi" w:hAnsiTheme="majorBidi" w:cstheme="majorBidi"/>
          <w:sz w:val="24"/>
          <w:szCs w:val="24"/>
        </w:rPr>
        <w:t xml:space="preserve">Social Exchange Theory (SET) </w:t>
      </w:r>
      <w:bookmarkEnd w:id="104"/>
      <w:r w:rsidR="00153EE6">
        <w:rPr>
          <w:rFonts w:asciiTheme="majorBidi" w:hAnsiTheme="majorBidi" w:cstheme="majorBidi"/>
          <w:sz w:val="24"/>
          <w:szCs w:val="24"/>
        </w:rPr>
        <w:t>refers to</w:t>
      </w:r>
      <w:r w:rsidR="00153EE6" w:rsidRPr="006320E1">
        <w:rPr>
          <w:rFonts w:asciiTheme="majorBidi" w:hAnsiTheme="majorBidi" w:cstheme="majorBidi"/>
          <w:sz w:val="24"/>
          <w:szCs w:val="24"/>
        </w:rPr>
        <w:t xml:space="preserve"> the voluntary actions of individuals that are driven by the rewarding returns that these actions are expected to bring</w:t>
      </w:r>
      <w:r w:rsidR="00153EE6" w:rsidRPr="00985B41">
        <w:rPr>
          <w:rFonts w:asciiTheme="majorBidi" w:hAnsiTheme="majorBidi" w:cstheme="majorBidi"/>
          <w:sz w:val="24"/>
          <w:szCs w:val="24"/>
        </w:rPr>
        <w:t xml:space="preserve"> </w:t>
      </w:r>
      <w:sdt>
        <w:sdtPr>
          <w:rPr>
            <w:rFonts w:asciiTheme="majorBidi" w:hAnsiTheme="majorBidi" w:cstheme="majorBidi"/>
            <w:sz w:val="24"/>
            <w:szCs w:val="24"/>
          </w:rPr>
          <w:id w:val="-5359583"/>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Bla64 \l 2057 </w:instrText>
          </w:r>
          <w:r w:rsidR="00153EE6">
            <w:rPr>
              <w:rFonts w:asciiTheme="majorBidi" w:hAnsiTheme="majorBidi" w:cstheme="majorBidi"/>
              <w:sz w:val="24"/>
              <w:szCs w:val="24"/>
            </w:rPr>
            <w:fldChar w:fldCharType="separate"/>
          </w:r>
          <w:r w:rsidR="00153EE6" w:rsidRPr="00D3289E">
            <w:rPr>
              <w:rFonts w:asciiTheme="majorBidi" w:hAnsiTheme="majorBidi" w:cstheme="majorBidi"/>
              <w:noProof/>
              <w:sz w:val="24"/>
              <w:szCs w:val="24"/>
            </w:rPr>
            <w:t>(Blau P. M., 1964)</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w:t>
      </w:r>
      <w:r w:rsidR="00153EE6">
        <w:rPr>
          <w:color w:val="4D5156"/>
          <w:sz w:val="21"/>
          <w:szCs w:val="21"/>
          <w:shd w:val="clear" w:color="auto" w:fill="FFFFFF"/>
        </w:rPr>
        <w:t xml:space="preserve"> </w:t>
      </w:r>
      <w:r w:rsidR="00153EE6">
        <w:rPr>
          <w:rFonts w:asciiTheme="majorBidi" w:hAnsiTheme="majorBidi" w:cstheme="majorBidi"/>
          <w:sz w:val="24"/>
          <w:szCs w:val="24"/>
        </w:rPr>
        <w:t>SET reali</w:t>
      </w:r>
      <w:r w:rsidR="004B44B9">
        <w:rPr>
          <w:rFonts w:asciiTheme="majorBidi" w:hAnsiTheme="majorBidi" w:cstheme="majorBidi"/>
          <w:sz w:val="24"/>
          <w:szCs w:val="24"/>
        </w:rPr>
        <w:t>s</w:t>
      </w:r>
      <w:r w:rsidR="00153EE6">
        <w:rPr>
          <w:rFonts w:asciiTheme="majorBidi" w:hAnsiTheme="majorBidi" w:cstheme="majorBidi"/>
          <w:sz w:val="24"/>
          <w:szCs w:val="24"/>
        </w:rPr>
        <w:t xml:space="preserve">es that possible outcomes of a firm’s CSR efforts come in the form of consumer </w:t>
      </w:r>
      <w:r w:rsidR="00153EE6" w:rsidRPr="00D8392D">
        <w:rPr>
          <w:rFonts w:asciiTheme="majorBidi" w:hAnsiTheme="majorBidi" w:cstheme="majorBidi"/>
          <w:sz w:val="24"/>
          <w:szCs w:val="24"/>
        </w:rPr>
        <w:t>loyalty, trust, commitment</w:t>
      </w:r>
      <w:r w:rsidR="00153EE6">
        <w:rPr>
          <w:rFonts w:asciiTheme="majorBidi" w:hAnsiTheme="majorBidi" w:cstheme="majorBidi"/>
          <w:sz w:val="24"/>
          <w:szCs w:val="24"/>
        </w:rPr>
        <w:t xml:space="preserve">, and </w:t>
      </w:r>
      <w:r w:rsidR="00153EE6" w:rsidRPr="00D8392D">
        <w:rPr>
          <w:rFonts w:asciiTheme="majorBidi" w:hAnsiTheme="majorBidi" w:cstheme="majorBidi"/>
          <w:sz w:val="24"/>
          <w:szCs w:val="24"/>
        </w:rPr>
        <w:t>satisfaction</w:t>
      </w:r>
      <w:r w:rsidR="00153EE6">
        <w:rPr>
          <w:rFonts w:asciiTheme="majorBidi" w:hAnsiTheme="majorBidi" w:cstheme="majorBidi"/>
          <w:sz w:val="24"/>
          <w:szCs w:val="24"/>
        </w:rPr>
        <w:t xml:space="preserve"> </w:t>
      </w:r>
      <w:sdt>
        <w:sdtPr>
          <w:rPr>
            <w:rFonts w:asciiTheme="majorBidi" w:hAnsiTheme="majorBidi" w:cstheme="majorBidi"/>
            <w:sz w:val="24"/>
            <w:szCs w:val="24"/>
          </w:rPr>
          <w:id w:val="-557091972"/>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KoY14 \l 2057  \m Nya16</w:instrText>
          </w:r>
          <w:r w:rsidR="00153EE6">
            <w:rPr>
              <w:rFonts w:asciiTheme="majorBidi" w:hAnsiTheme="majorBidi" w:cstheme="majorBidi"/>
              <w:sz w:val="24"/>
              <w:szCs w:val="24"/>
            </w:rPr>
            <w:fldChar w:fldCharType="separate"/>
          </w:r>
          <w:r w:rsidR="00153EE6" w:rsidRPr="00470B9B">
            <w:rPr>
              <w:rFonts w:asciiTheme="majorBidi" w:hAnsiTheme="majorBidi" w:cstheme="majorBidi"/>
              <w:noProof/>
              <w:sz w:val="24"/>
              <w:szCs w:val="24"/>
            </w:rPr>
            <w:t>(Ko, Rhee, Kim , &amp; Kim, 2014; Nyadzayo, Leckie, &amp; McDonald , 2016)</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w:t>
      </w:r>
      <w:r w:rsidR="00173020">
        <w:rPr>
          <w:rFonts w:asciiTheme="majorBidi" w:hAnsiTheme="majorBidi" w:cstheme="majorBidi"/>
          <w:sz w:val="24"/>
          <w:szCs w:val="24"/>
        </w:rPr>
        <w:t xml:space="preserve">Yet, since SET is focused on the concept that individuals are driven by </w:t>
      </w:r>
      <w:r w:rsidR="00173020" w:rsidRPr="004B44B9">
        <w:rPr>
          <w:rFonts w:asciiTheme="majorBidi" w:hAnsiTheme="majorBidi" w:cstheme="majorBidi"/>
          <w:sz w:val="24"/>
          <w:szCs w:val="24"/>
        </w:rPr>
        <w:t>rewards, SET is</w:t>
      </w:r>
      <w:r w:rsidR="00173020">
        <w:rPr>
          <w:rFonts w:asciiTheme="majorBidi" w:hAnsiTheme="majorBidi" w:cstheme="majorBidi"/>
          <w:sz w:val="24"/>
          <w:szCs w:val="24"/>
        </w:rPr>
        <w:t xml:space="preserve"> more applied in cause-related marketing</w:t>
      </w:r>
      <w:r w:rsidR="00B102EB" w:rsidRPr="00B102EB">
        <w:rPr>
          <w:rFonts w:asciiTheme="majorBidi" w:hAnsiTheme="majorBidi" w:cstheme="majorBidi"/>
          <w:sz w:val="24"/>
          <w:szCs w:val="24"/>
        </w:rPr>
        <w:t xml:space="preserve"> </w:t>
      </w:r>
      <w:sdt>
        <w:sdtPr>
          <w:rPr>
            <w:rFonts w:asciiTheme="majorBidi" w:hAnsiTheme="majorBidi" w:cstheme="majorBidi"/>
            <w:sz w:val="24"/>
            <w:szCs w:val="24"/>
          </w:rPr>
          <w:id w:val="-1108120426"/>
          <w:citation/>
        </w:sdtPr>
        <w:sdtContent>
          <w:r w:rsidR="00B102EB">
            <w:rPr>
              <w:rFonts w:asciiTheme="majorBidi" w:hAnsiTheme="majorBidi" w:cstheme="majorBidi"/>
              <w:sz w:val="24"/>
              <w:szCs w:val="24"/>
            </w:rPr>
            <w:fldChar w:fldCharType="begin"/>
          </w:r>
          <w:r w:rsidR="00B102EB">
            <w:rPr>
              <w:rFonts w:asciiTheme="majorBidi" w:hAnsiTheme="majorBidi" w:cstheme="majorBidi"/>
              <w:sz w:val="24"/>
              <w:szCs w:val="24"/>
            </w:rPr>
            <w:instrText xml:space="preserve"> CITATION Zha20 \l 2057  \m Zha231</w:instrText>
          </w:r>
          <w:r w:rsidR="00B102EB">
            <w:rPr>
              <w:rFonts w:asciiTheme="majorBidi" w:hAnsiTheme="majorBidi" w:cstheme="majorBidi"/>
              <w:sz w:val="24"/>
              <w:szCs w:val="24"/>
            </w:rPr>
            <w:fldChar w:fldCharType="separate"/>
          </w:r>
          <w:r w:rsidR="00B102EB" w:rsidRPr="00322B76">
            <w:rPr>
              <w:rFonts w:asciiTheme="majorBidi" w:hAnsiTheme="majorBidi" w:cstheme="majorBidi"/>
              <w:noProof/>
              <w:sz w:val="24"/>
              <w:szCs w:val="24"/>
            </w:rPr>
            <w:t>(Zhang, Saleme, Pang, Durl, &amp; Xu, 2020; Zhao, Yoon, &amp; Park, 2023)</w:t>
          </w:r>
          <w:r w:rsidR="00B102EB">
            <w:rPr>
              <w:rFonts w:asciiTheme="majorBidi" w:hAnsiTheme="majorBidi" w:cstheme="majorBidi"/>
              <w:sz w:val="24"/>
              <w:szCs w:val="24"/>
            </w:rPr>
            <w:fldChar w:fldCharType="end"/>
          </w:r>
        </w:sdtContent>
      </w:sdt>
      <w:r w:rsidR="00173020">
        <w:rPr>
          <w:rFonts w:asciiTheme="majorBidi" w:hAnsiTheme="majorBidi" w:cstheme="majorBidi"/>
          <w:sz w:val="24"/>
          <w:szCs w:val="24"/>
        </w:rPr>
        <w:t xml:space="preserve">. </w:t>
      </w:r>
      <w:r w:rsidR="00153EE6">
        <w:rPr>
          <w:rFonts w:asciiTheme="majorBidi" w:hAnsiTheme="majorBidi" w:cstheme="majorBidi"/>
          <w:sz w:val="24"/>
          <w:szCs w:val="24"/>
        </w:rPr>
        <w:t xml:space="preserve">In fact, when the two main influences of the SET, social influences and economic influences, appear together in one relationship, they allow consumers to have a close interpersonal relationship with the brand </w:t>
      </w:r>
      <w:sdt>
        <w:sdtPr>
          <w:rPr>
            <w:rFonts w:asciiTheme="majorBidi" w:hAnsiTheme="majorBidi" w:cstheme="majorBidi"/>
            <w:sz w:val="24"/>
            <w:szCs w:val="24"/>
          </w:rPr>
          <w:id w:val="1570690081"/>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Cro16 \l 2057 </w:instrText>
          </w:r>
          <w:r w:rsidR="00153EE6">
            <w:rPr>
              <w:rFonts w:asciiTheme="majorBidi" w:hAnsiTheme="majorBidi" w:cstheme="majorBidi"/>
              <w:sz w:val="24"/>
              <w:szCs w:val="24"/>
            </w:rPr>
            <w:fldChar w:fldCharType="separate"/>
          </w:r>
          <w:r w:rsidR="00153EE6" w:rsidRPr="00AD01B0">
            <w:rPr>
              <w:rFonts w:asciiTheme="majorBidi" w:hAnsiTheme="majorBidi" w:cstheme="majorBidi"/>
              <w:noProof/>
              <w:sz w:val="24"/>
              <w:szCs w:val="24"/>
            </w:rPr>
            <w:t>(Cropanzano, Anthony, Daniels , &amp; Hall, 2016)</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w:t>
      </w:r>
      <w:r w:rsidR="00B102EB">
        <w:rPr>
          <w:rFonts w:asciiTheme="majorBidi" w:hAnsiTheme="majorBidi" w:cstheme="majorBidi"/>
          <w:sz w:val="24"/>
          <w:szCs w:val="24"/>
        </w:rPr>
        <w:t>Thus, SET is focused on examining types of relationships that consumers have with the brand or the company. T</w:t>
      </w:r>
      <w:r w:rsidR="00153EE6">
        <w:rPr>
          <w:rFonts w:asciiTheme="majorBidi" w:hAnsiTheme="majorBidi" w:cstheme="majorBidi"/>
          <w:sz w:val="24"/>
          <w:szCs w:val="24"/>
        </w:rPr>
        <w:t>here are some researchers who critici</w:t>
      </w:r>
      <w:r w:rsidR="00173020">
        <w:rPr>
          <w:rFonts w:asciiTheme="majorBidi" w:hAnsiTheme="majorBidi" w:cstheme="majorBidi"/>
          <w:sz w:val="24"/>
          <w:szCs w:val="24"/>
        </w:rPr>
        <w:t>s</w:t>
      </w:r>
      <w:r w:rsidR="00153EE6">
        <w:rPr>
          <w:rFonts w:asciiTheme="majorBidi" w:hAnsiTheme="majorBidi" w:cstheme="majorBidi"/>
          <w:sz w:val="24"/>
          <w:szCs w:val="24"/>
        </w:rPr>
        <w:t>e SET. The SET does</w:t>
      </w:r>
      <w:r w:rsidR="002D7A6D">
        <w:rPr>
          <w:rFonts w:asciiTheme="majorBidi" w:hAnsiTheme="majorBidi" w:cstheme="majorBidi"/>
          <w:sz w:val="24"/>
          <w:szCs w:val="24"/>
        </w:rPr>
        <w:t xml:space="preserve"> not</w:t>
      </w:r>
      <w:r w:rsidR="00153EE6">
        <w:rPr>
          <w:rFonts w:asciiTheme="majorBidi" w:hAnsiTheme="majorBidi" w:cstheme="majorBidi"/>
          <w:sz w:val="24"/>
          <w:szCs w:val="24"/>
        </w:rPr>
        <w:t xml:space="preserve"> sufficiently realize hedonic influences on consumers’ decisions which makes it lack theoretical precision </w:t>
      </w:r>
      <w:sdt>
        <w:sdtPr>
          <w:rPr>
            <w:rFonts w:asciiTheme="majorBidi" w:hAnsiTheme="majorBidi" w:cstheme="majorBidi"/>
            <w:sz w:val="24"/>
            <w:szCs w:val="24"/>
          </w:rPr>
          <w:id w:val="-1463409129"/>
          <w:citation/>
        </w:sdtPr>
        <w:sdtContent>
          <w:r w:rsidR="00153EE6">
            <w:rPr>
              <w:rFonts w:asciiTheme="majorBidi" w:hAnsiTheme="majorBidi" w:cstheme="majorBidi"/>
              <w:sz w:val="24"/>
              <w:szCs w:val="24"/>
            </w:rPr>
            <w:fldChar w:fldCharType="begin"/>
          </w:r>
          <w:r w:rsidR="00153EE6" w:rsidRPr="00E128BD">
            <w:rPr>
              <w:rFonts w:asciiTheme="majorBidi" w:hAnsiTheme="majorBidi" w:cstheme="majorBidi"/>
              <w:sz w:val="24"/>
              <w:szCs w:val="24"/>
            </w:rPr>
            <w:instrText xml:space="preserve"> CITATION Cro16 \l 2057 </w:instrText>
          </w:r>
          <w:r w:rsidR="00153EE6">
            <w:rPr>
              <w:rFonts w:asciiTheme="majorBidi" w:hAnsiTheme="majorBidi" w:cstheme="majorBidi"/>
              <w:sz w:val="24"/>
              <w:szCs w:val="24"/>
            </w:rPr>
            <w:fldChar w:fldCharType="separate"/>
          </w:r>
          <w:r w:rsidR="00153EE6" w:rsidRPr="00E128BD">
            <w:rPr>
              <w:rFonts w:asciiTheme="majorBidi" w:hAnsiTheme="majorBidi" w:cstheme="majorBidi"/>
              <w:sz w:val="24"/>
              <w:szCs w:val="24"/>
            </w:rPr>
            <w:t>(Cropanzano, Anthony, Daniels , &amp; Hall, 2016)</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w:t>
      </w:r>
    </w:p>
    <w:p w14:paraId="2BD76064" w14:textId="2BF42EA4" w:rsidR="00153EE6" w:rsidRDefault="00153EE6" w:rsidP="00B30B0E">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Also, one of the theories focus on cognitive rather than the effective influences is the </w:t>
      </w:r>
      <w:r w:rsidRPr="004B44B9">
        <w:rPr>
          <w:rFonts w:asciiTheme="majorBidi" w:hAnsiTheme="majorBidi" w:cstheme="majorBidi"/>
          <w:sz w:val="24"/>
          <w:szCs w:val="24"/>
        </w:rPr>
        <w:t>Elaboration Likelihood Model.</w:t>
      </w:r>
      <w:r>
        <w:rPr>
          <w:rFonts w:asciiTheme="majorBidi" w:hAnsiTheme="majorBidi" w:cstheme="majorBidi"/>
          <w:sz w:val="24"/>
          <w:szCs w:val="24"/>
        </w:rPr>
        <w:t xml:space="preserve"> </w:t>
      </w:r>
      <w:r w:rsidRPr="00F609DD">
        <w:rPr>
          <w:rFonts w:asciiTheme="majorBidi" w:hAnsiTheme="majorBidi" w:cstheme="majorBidi"/>
          <w:sz w:val="24"/>
          <w:szCs w:val="24"/>
        </w:rPr>
        <w:t>Petty and Cacioppo</w:t>
      </w:r>
      <w:r>
        <w:rPr>
          <w:rFonts w:asciiTheme="majorBidi" w:hAnsiTheme="majorBidi" w:cstheme="majorBidi"/>
          <w:sz w:val="24"/>
          <w:szCs w:val="24"/>
        </w:rPr>
        <w:t xml:space="preserve"> </w:t>
      </w:r>
      <w:sdt>
        <w:sdtPr>
          <w:rPr>
            <w:rFonts w:asciiTheme="majorBidi" w:hAnsiTheme="majorBidi" w:cstheme="majorBidi"/>
            <w:sz w:val="24"/>
            <w:szCs w:val="24"/>
          </w:rPr>
          <w:id w:val="-191523639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Pet86 \n  \t  \l 2057 </w:instrText>
          </w:r>
          <w:r>
            <w:rPr>
              <w:rFonts w:asciiTheme="majorBidi" w:hAnsiTheme="majorBidi" w:cstheme="majorBidi"/>
              <w:sz w:val="24"/>
              <w:szCs w:val="24"/>
            </w:rPr>
            <w:fldChar w:fldCharType="separate"/>
          </w:r>
          <w:r w:rsidRPr="00985B41">
            <w:rPr>
              <w:rFonts w:asciiTheme="majorBidi" w:hAnsiTheme="majorBidi" w:cstheme="majorBidi"/>
              <w:noProof/>
              <w:sz w:val="24"/>
              <w:szCs w:val="24"/>
            </w:rPr>
            <w:t>(1986)</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F609DD">
        <w:rPr>
          <w:rFonts w:asciiTheme="majorBidi" w:hAnsiTheme="majorBidi" w:cstheme="majorBidi"/>
          <w:sz w:val="24"/>
          <w:szCs w:val="24"/>
        </w:rPr>
        <w:t xml:space="preserve">s </w:t>
      </w:r>
      <w:bookmarkStart w:id="105" w:name="_Hlk134193413"/>
      <w:r w:rsidRPr="00F609DD">
        <w:rPr>
          <w:rFonts w:asciiTheme="majorBidi" w:hAnsiTheme="majorBidi" w:cstheme="majorBidi"/>
          <w:sz w:val="24"/>
          <w:szCs w:val="24"/>
        </w:rPr>
        <w:t>Elaboration Likelihood Model (ELM)</w:t>
      </w:r>
      <w:bookmarkEnd w:id="105"/>
      <w:r w:rsidRPr="00F609DD">
        <w:rPr>
          <w:rFonts w:asciiTheme="majorBidi" w:hAnsiTheme="majorBidi" w:cstheme="majorBidi"/>
          <w:sz w:val="24"/>
          <w:szCs w:val="24"/>
        </w:rPr>
        <w:t xml:space="preserve">, broadly explicates consumers’ </w:t>
      </w:r>
      <w:r>
        <w:rPr>
          <w:rFonts w:asciiTheme="majorBidi" w:hAnsiTheme="majorBidi" w:cstheme="majorBidi"/>
          <w:sz w:val="24"/>
          <w:szCs w:val="24"/>
        </w:rPr>
        <w:t xml:space="preserve">change in </w:t>
      </w:r>
      <w:r w:rsidRPr="00F609DD">
        <w:rPr>
          <w:rFonts w:asciiTheme="majorBidi" w:hAnsiTheme="majorBidi" w:cstheme="majorBidi"/>
          <w:sz w:val="24"/>
          <w:szCs w:val="24"/>
        </w:rPr>
        <w:t>attitude</w:t>
      </w:r>
      <w:r>
        <w:rPr>
          <w:rFonts w:asciiTheme="majorBidi" w:hAnsiTheme="majorBidi" w:cstheme="majorBidi"/>
          <w:sz w:val="24"/>
          <w:szCs w:val="24"/>
        </w:rPr>
        <w:t xml:space="preserve"> and motivation resulting from the</w:t>
      </w:r>
      <w:r w:rsidRPr="00F609DD">
        <w:rPr>
          <w:rFonts w:asciiTheme="majorBidi" w:hAnsiTheme="majorBidi" w:cstheme="majorBidi"/>
          <w:sz w:val="24"/>
          <w:szCs w:val="24"/>
        </w:rPr>
        <w:t xml:space="preserve"> persuasive communications with high or low cognitive elaborations</w:t>
      </w:r>
      <w:r>
        <w:rPr>
          <w:rFonts w:asciiTheme="majorBidi" w:hAnsiTheme="majorBidi" w:cstheme="majorBidi"/>
          <w:sz w:val="24"/>
          <w:szCs w:val="24"/>
        </w:rPr>
        <w:t xml:space="preserve">. </w:t>
      </w:r>
      <w:r w:rsidRPr="00F609DD">
        <w:rPr>
          <w:rFonts w:asciiTheme="majorBidi" w:hAnsiTheme="majorBidi" w:cstheme="majorBidi"/>
          <w:sz w:val="24"/>
          <w:szCs w:val="24"/>
        </w:rPr>
        <w:t xml:space="preserve">According to ELM, </w:t>
      </w:r>
      <w:r>
        <w:rPr>
          <w:rFonts w:asciiTheme="majorBidi" w:hAnsiTheme="majorBidi" w:cstheme="majorBidi"/>
          <w:sz w:val="24"/>
          <w:szCs w:val="24"/>
        </w:rPr>
        <w:t xml:space="preserve">depending on </w:t>
      </w:r>
      <w:r w:rsidRPr="00F609DD">
        <w:rPr>
          <w:rFonts w:asciiTheme="majorBidi" w:hAnsiTheme="majorBidi" w:cstheme="majorBidi"/>
          <w:sz w:val="24"/>
          <w:szCs w:val="24"/>
        </w:rPr>
        <w:t>consumers</w:t>
      </w:r>
      <w:r>
        <w:rPr>
          <w:rFonts w:asciiTheme="majorBidi" w:hAnsiTheme="majorBidi" w:cstheme="majorBidi"/>
          <w:sz w:val="24"/>
          <w:szCs w:val="24"/>
        </w:rPr>
        <w:t xml:space="preserve">’ motivation, they will exert either high or low likelihood of elaboration which will establish the specific route through which persuasion could happen </w:t>
      </w:r>
      <w:sdt>
        <w:sdtPr>
          <w:rPr>
            <w:rFonts w:asciiTheme="majorBidi" w:hAnsiTheme="majorBidi" w:cstheme="majorBidi"/>
            <w:sz w:val="24"/>
            <w:szCs w:val="24"/>
          </w:rPr>
          <w:id w:val="-20170760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Cac86 \m Wei18 \t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(Cacioppo, Petty, Kao, &amp; Rodriguez, 1986; Wei, Kim, Miao, Behnke, &amp; Almanza, 2018)</w:t>
          </w:r>
          <w:r>
            <w:rPr>
              <w:rFonts w:asciiTheme="majorBidi" w:hAnsiTheme="majorBidi" w:cstheme="majorBidi"/>
              <w:sz w:val="24"/>
              <w:szCs w:val="24"/>
            </w:rPr>
            <w:fldChar w:fldCharType="end"/>
          </w:r>
        </w:sdtContent>
      </w:sdt>
      <w:r w:rsidRPr="00F609DD">
        <w:rPr>
          <w:rFonts w:asciiTheme="majorBidi" w:hAnsiTheme="majorBidi" w:cstheme="majorBidi"/>
          <w:sz w:val="24"/>
          <w:szCs w:val="24"/>
        </w:rPr>
        <w:t>.</w:t>
      </w:r>
      <w:r>
        <w:rPr>
          <w:rFonts w:asciiTheme="majorBidi" w:hAnsiTheme="majorBidi" w:cstheme="majorBidi"/>
          <w:sz w:val="24"/>
          <w:szCs w:val="24"/>
        </w:rPr>
        <w:t xml:space="preserve"> The main focus of ELM is to examine individual and contextual variables that describes the process of persuasion</w:t>
      </w:r>
      <w:sdt>
        <w:sdtPr>
          <w:rPr>
            <w:rFonts w:asciiTheme="majorBidi" w:hAnsiTheme="majorBidi" w:cstheme="majorBidi"/>
            <w:sz w:val="24"/>
            <w:szCs w:val="24"/>
          </w:rPr>
          <w:id w:val="32132693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Eag93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(Eagely &amp; Chaiken, 1993)</w:t>
          </w:r>
          <w:r>
            <w:rPr>
              <w:rFonts w:asciiTheme="majorBidi" w:hAnsiTheme="majorBidi" w:cstheme="majorBidi"/>
              <w:sz w:val="24"/>
              <w:szCs w:val="24"/>
            </w:rPr>
            <w:fldChar w:fldCharType="end"/>
          </w:r>
        </w:sdtContent>
      </w:sdt>
      <w:r>
        <w:rPr>
          <w:rFonts w:asciiTheme="majorBidi" w:hAnsiTheme="majorBidi" w:cstheme="majorBidi"/>
          <w:sz w:val="24"/>
          <w:szCs w:val="24"/>
        </w:rPr>
        <w:t>. Nonetheless, some researchers</w:t>
      </w:r>
      <w:r w:rsidR="002D7A6D">
        <w:rPr>
          <w:rFonts w:asciiTheme="majorBidi" w:hAnsiTheme="majorBidi" w:cstheme="majorBidi"/>
          <w:sz w:val="24"/>
          <w:szCs w:val="24"/>
        </w:rPr>
        <w:t xml:space="preserve"> have</w:t>
      </w:r>
      <w:r>
        <w:rPr>
          <w:rFonts w:asciiTheme="majorBidi" w:hAnsiTheme="majorBidi" w:cstheme="majorBidi"/>
          <w:sz w:val="24"/>
          <w:szCs w:val="24"/>
        </w:rPr>
        <w:t xml:space="preserve"> discovered some issues with ELM theory. For instance, Petty, Cacioppo, and Schuman</w:t>
      </w:r>
      <w:r w:rsidR="009D628C">
        <w:rPr>
          <w:rFonts w:asciiTheme="majorBidi" w:hAnsiTheme="majorBidi" w:cstheme="majorBidi"/>
          <w:sz w:val="24"/>
          <w:szCs w:val="24"/>
        </w:rPr>
        <w:t xml:space="preserve"> (1983)</w:t>
      </w:r>
      <w:r>
        <w:rPr>
          <w:rFonts w:asciiTheme="majorBidi" w:hAnsiTheme="majorBidi" w:cstheme="majorBidi"/>
          <w:sz w:val="24"/>
          <w:szCs w:val="24"/>
        </w:rPr>
        <w:t xml:space="preserve"> falsely assumed that the recall of the advertised products that respondents were expecting as a gift translated that they are highly involved with the product </w:t>
      </w:r>
      <w:sdt>
        <w:sdtPr>
          <w:rPr>
            <w:rFonts w:asciiTheme="majorBidi" w:hAnsiTheme="majorBidi" w:cstheme="majorBidi"/>
            <w:sz w:val="24"/>
            <w:szCs w:val="24"/>
          </w:rPr>
          <w:id w:val="-162831067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Cho03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(Choi &amp; Salmon, 2003)</w:t>
          </w:r>
          <w:r>
            <w:rPr>
              <w:rFonts w:asciiTheme="majorBidi" w:hAnsiTheme="majorBidi" w:cstheme="majorBidi"/>
              <w:sz w:val="24"/>
              <w:szCs w:val="24"/>
            </w:rPr>
            <w:fldChar w:fldCharType="end"/>
          </w:r>
        </w:sdtContent>
      </w:sdt>
      <w:r>
        <w:rPr>
          <w:rFonts w:asciiTheme="majorBidi" w:hAnsiTheme="majorBidi" w:cstheme="majorBidi"/>
          <w:sz w:val="24"/>
          <w:szCs w:val="24"/>
        </w:rPr>
        <w:t>. This indicate</w:t>
      </w:r>
      <w:r w:rsidR="002D7A6D">
        <w:rPr>
          <w:rFonts w:asciiTheme="majorBidi" w:hAnsiTheme="majorBidi" w:cstheme="majorBidi"/>
          <w:sz w:val="24"/>
          <w:szCs w:val="24"/>
        </w:rPr>
        <w:t>s</w:t>
      </w:r>
      <w:r>
        <w:rPr>
          <w:rFonts w:asciiTheme="majorBidi" w:hAnsiTheme="majorBidi" w:cstheme="majorBidi"/>
          <w:sz w:val="24"/>
          <w:szCs w:val="24"/>
        </w:rPr>
        <w:t xml:space="preserve"> that the theory lacks strong arguments that does</w:t>
      </w:r>
      <w:r w:rsidR="002D7A6D">
        <w:rPr>
          <w:rFonts w:asciiTheme="majorBidi" w:hAnsiTheme="majorBidi" w:cstheme="majorBidi"/>
          <w:sz w:val="24"/>
          <w:szCs w:val="24"/>
        </w:rPr>
        <w:t xml:space="preserve"> </w:t>
      </w:r>
      <w:r>
        <w:rPr>
          <w:rFonts w:asciiTheme="majorBidi" w:hAnsiTheme="majorBidi" w:cstheme="majorBidi"/>
          <w:sz w:val="24"/>
          <w:szCs w:val="24"/>
        </w:rPr>
        <w:t>n</w:t>
      </w:r>
      <w:r w:rsidR="002D7A6D">
        <w:rPr>
          <w:rFonts w:asciiTheme="majorBidi" w:hAnsiTheme="majorBidi" w:cstheme="majorBidi"/>
          <w:sz w:val="24"/>
          <w:szCs w:val="24"/>
        </w:rPr>
        <w:t>o</w:t>
      </w:r>
      <w:r>
        <w:rPr>
          <w:rFonts w:asciiTheme="majorBidi" w:hAnsiTheme="majorBidi" w:cstheme="majorBidi"/>
          <w:sz w:val="24"/>
          <w:szCs w:val="24"/>
        </w:rPr>
        <w:t xml:space="preserve">t provide a clear framework for different types of products </w:t>
      </w:r>
      <w:sdt>
        <w:sdtPr>
          <w:rPr>
            <w:rFonts w:asciiTheme="majorBidi" w:hAnsiTheme="majorBidi" w:cstheme="majorBidi"/>
            <w:sz w:val="24"/>
            <w:szCs w:val="24"/>
          </w:rPr>
          <w:id w:val="16891283"/>
          <w:citation/>
        </w:sdtPr>
        <w:sdtContent>
          <w:r w:rsidRPr="00D269A7">
            <w:rPr>
              <w:rFonts w:asciiTheme="majorBidi" w:hAnsiTheme="majorBidi" w:cstheme="majorBidi"/>
              <w:sz w:val="24"/>
              <w:szCs w:val="24"/>
            </w:rPr>
            <w:fldChar w:fldCharType="begin"/>
          </w:r>
          <w:r w:rsidRPr="00D269A7">
            <w:rPr>
              <w:rFonts w:asciiTheme="majorBidi" w:hAnsiTheme="majorBidi" w:cstheme="majorBidi"/>
              <w:sz w:val="24"/>
              <w:szCs w:val="24"/>
            </w:rPr>
            <w:instrText xml:space="preserve"> CITATION Kit14 \l 2057 </w:instrText>
          </w:r>
          <w:r w:rsidRPr="00D269A7">
            <w:rPr>
              <w:rFonts w:asciiTheme="majorBidi" w:hAnsiTheme="majorBidi" w:cstheme="majorBidi"/>
              <w:sz w:val="24"/>
              <w:szCs w:val="24"/>
            </w:rPr>
            <w:fldChar w:fldCharType="separate"/>
          </w:r>
          <w:r w:rsidRPr="000F60CD">
            <w:rPr>
              <w:rFonts w:asciiTheme="majorBidi" w:hAnsiTheme="majorBidi" w:cstheme="majorBidi"/>
              <w:noProof/>
              <w:sz w:val="24"/>
              <w:szCs w:val="24"/>
            </w:rPr>
            <w:t>(Kitchen, Kerr, Schultz, McColl, &amp; Pals, 2014)</w:t>
          </w:r>
          <w:r w:rsidRPr="00D269A7">
            <w:rPr>
              <w:rFonts w:asciiTheme="majorBidi" w:hAnsiTheme="majorBidi" w:cstheme="majorBidi"/>
              <w:sz w:val="24"/>
              <w:szCs w:val="24"/>
            </w:rPr>
            <w:fldChar w:fldCharType="end"/>
          </w:r>
        </w:sdtContent>
      </w:sdt>
      <w:r>
        <w:rPr>
          <w:rFonts w:asciiTheme="majorBidi" w:hAnsiTheme="majorBidi" w:cstheme="majorBidi"/>
          <w:sz w:val="24"/>
          <w:szCs w:val="24"/>
        </w:rPr>
        <w:t xml:space="preserve">. On that basis, </w:t>
      </w:r>
      <w:r w:rsidR="002D7A6D">
        <w:rPr>
          <w:rFonts w:asciiTheme="majorBidi" w:hAnsiTheme="majorBidi" w:cstheme="majorBidi"/>
          <w:sz w:val="24"/>
          <w:szCs w:val="24"/>
        </w:rPr>
        <w:t xml:space="preserve">a </w:t>
      </w:r>
      <w:r>
        <w:rPr>
          <w:rFonts w:asciiTheme="majorBidi" w:hAnsiTheme="majorBidi" w:cstheme="majorBidi"/>
          <w:sz w:val="24"/>
          <w:szCs w:val="24"/>
        </w:rPr>
        <w:t xml:space="preserve">few other researchers </w:t>
      </w:r>
      <w:r w:rsidR="002D7A6D">
        <w:rPr>
          <w:rFonts w:asciiTheme="majorBidi" w:hAnsiTheme="majorBidi" w:cstheme="majorBidi"/>
          <w:sz w:val="24"/>
          <w:szCs w:val="24"/>
        </w:rPr>
        <w:t xml:space="preserve">have </w:t>
      </w:r>
      <w:r>
        <w:rPr>
          <w:rFonts w:asciiTheme="majorBidi" w:hAnsiTheme="majorBidi" w:cstheme="majorBidi"/>
          <w:sz w:val="24"/>
          <w:szCs w:val="24"/>
        </w:rPr>
        <w:t xml:space="preserve">raised the issue of falsifying ELM </w:t>
      </w:r>
      <w:sdt>
        <w:sdtPr>
          <w:rPr>
            <w:rFonts w:asciiTheme="majorBidi" w:hAnsiTheme="majorBidi" w:cstheme="majorBidi"/>
            <w:sz w:val="24"/>
            <w:szCs w:val="24"/>
          </w:rPr>
          <w:id w:val="-31395533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Coo04 \l 2057  \m Ste09</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(Cook, Moore, &amp; Steel, 2004; Stephenson , Benoit, &amp; Tschida, 2009)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0099A29E" w14:textId="6A0A99EF" w:rsidR="00153EE6" w:rsidRDefault="00153EE6" w:rsidP="00153EE6">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Another theory that is commonly discussed in literature is </w:t>
      </w:r>
      <w:r w:rsidRPr="00F60616">
        <w:rPr>
          <w:rFonts w:asciiTheme="majorBidi" w:hAnsiTheme="majorBidi" w:cstheme="majorBidi"/>
          <w:sz w:val="24"/>
          <w:szCs w:val="24"/>
        </w:rPr>
        <w:t>the Social Identity Theory.</w:t>
      </w:r>
      <w:r>
        <w:rPr>
          <w:rFonts w:asciiTheme="majorBidi" w:hAnsiTheme="majorBidi" w:cstheme="majorBidi"/>
          <w:sz w:val="24"/>
          <w:szCs w:val="24"/>
        </w:rPr>
        <w:t xml:space="preserve"> The </w:t>
      </w:r>
      <w:bookmarkStart w:id="106" w:name="_Hlk134193520"/>
      <w:r>
        <w:rPr>
          <w:rFonts w:asciiTheme="majorBidi" w:hAnsiTheme="majorBidi" w:cstheme="majorBidi"/>
          <w:sz w:val="24"/>
          <w:szCs w:val="24"/>
        </w:rPr>
        <w:t xml:space="preserve">social identity theory (SIT) </w:t>
      </w:r>
      <w:bookmarkEnd w:id="106"/>
      <w:r>
        <w:rPr>
          <w:rFonts w:asciiTheme="majorBidi" w:hAnsiTheme="majorBidi" w:cstheme="majorBidi"/>
          <w:sz w:val="24"/>
          <w:szCs w:val="24"/>
        </w:rPr>
        <w:t xml:space="preserve">is a </w:t>
      </w:r>
      <w:r w:rsidRPr="00AA54CB">
        <w:rPr>
          <w:rFonts w:asciiTheme="majorBidi" w:hAnsiTheme="majorBidi" w:cstheme="majorBidi"/>
          <w:sz w:val="24"/>
          <w:szCs w:val="24"/>
        </w:rPr>
        <w:t xml:space="preserve">social psychological theory </w:t>
      </w:r>
      <w:r>
        <w:rPr>
          <w:rFonts w:asciiTheme="majorBidi" w:hAnsiTheme="majorBidi" w:cstheme="majorBidi"/>
          <w:sz w:val="24"/>
          <w:szCs w:val="24"/>
        </w:rPr>
        <w:t>built around</w:t>
      </w:r>
      <w:r w:rsidRPr="00AA54CB">
        <w:rPr>
          <w:rFonts w:asciiTheme="majorBidi" w:hAnsiTheme="majorBidi" w:cstheme="majorBidi"/>
          <w:sz w:val="24"/>
          <w:szCs w:val="24"/>
        </w:rPr>
        <w:t xml:space="preserve"> self-concept</w:t>
      </w:r>
      <w:r>
        <w:rPr>
          <w:rFonts w:asciiTheme="majorBidi" w:hAnsiTheme="majorBidi" w:cstheme="majorBidi"/>
          <w:sz w:val="24"/>
          <w:szCs w:val="24"/>
        </w:rPr>
        <w:t xml:space="preserve">, </w:t>
      </w:r>
      <w:r w:rsidRPr="00AA54CB">
        <w:rPr>
          <w:rFonts w:asciiTheme="majorBidi" w:hAnsiTheme="majorBidi" w:cstheme="majorBidi"/>
          <w:sz w:val="24"/>
          <w:szCs w:val="24"/>
        </w:rPr>
        <w:t xml:space="preserve">related cognitive processes and social beliefs </w:t>
      </w:r>
      <w:r>
        <w:rPr>
          <w:rFonts w:asciiTheme="majorBidi" w:hAnsiTheme="majorBidi" w:cstheme="majorBidi"/>
          <w:sz w:val="24"/>
          <w:szCs w:val="24"/>
        </w:rPr>
        <w:t>with</w:t>
      </w:r>
      <w:r w:rsidRPr="00AA54CB">
        <w:rPr>
          <w:rFonts w:asciiTheme="majorBidi" w:hAnsiTheme="majorBidi" w:cstheme="majorBidi"/>
          <w:sz w:val="24"/>
          <w:szCs w:val="24"/>
        </w:rPr>
        <w:t>in group dynamics and intergroup connections</w:t>
      </w:r>
      <w:r>
        <w:rPr>
          <w:rFonts w:asciiTheme="majorBidi" w:hAnsiTheme="majorBidi" w:cstheme="majorBidi"/>
          <w:sz w:val="24"/>
          <w:szCs w:val="24"/>
        </w:rPr>
        <w:t xml:space="preserve"> </w:t>
      </w:r>
      <w:sdt>
        <w:sdtPr>
          <w:rPr>
            <w:rFonts w:asciiTheme="majorBidi" w:hAnsiTheme="majorBidi" w:cstheme="majorBidi"/>
            <w:sz w:val="24"/>
            <w:szCs w:val="24"/>
          </w:rPr>
          <w:id w:val="195521137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Hog16 \l 2057 </w:instrText>
          </w:r>
          <w:r>
            <w:rPr>
              <w:rFonts w:asciiTheme="majorBidi" w:hAnsiTheme="majorBidi" w:cstheme="majorBidi"/>
              <w:sz w:val="24"/>
              <w:szCs w:val="24"/>
            </w:rPr>
            <w:fldChar w:fldCharType="separate"/>
          </w:r>
          <w:r w:rsidRPr="00F02940">
            <w:rPr>
              <w:rFonts w:asciiTheme="majorBidi" w:hAnsiTheme="majorBidi" w:cstheme="majorBidi"/>
              <w:noProof/>
              <w:sz w:val="24"/>
              <w:szCs w:val="24"/>
            </w:rPr>
            <w:t>(Hogg, 2016)</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earliest conceptualization of SIT is that it is centred </w:t>
      </w:r>
      <w:r w:rsidR="002D7A6D">
        <w:rPr>
          <w:rFonts w:asciiTheme="majorBidi" w:hAnsiTheme="majorBidi" w:cstheme="majorBidi"/>
          <w:sz w:val="24"/>
          <w:szCs w:val="24"/>
        </w:rPr>
        <w:t>on</w:t>
      </w:r>
      <w:r>
        <w:rPr>
          <w:rFonts w:asciiTheme="majorBidi" w:hAnsiTheme="majorBidi" w:cstheme="majorBidi"/>
          <w:sz w:val="24"/>
          <w:szCs w:val="24"/>
        </w:rPr>
        <w:t xml:space="preserve"> people’s knowledge that they bring to social groups along with emotional values that signifies their connection to these groups</w:t>
      </w:r>
      <w:sdt>
        <w:sdtPr>
          <w:rPr>
            <w:rFonts w:asciiTheme="majorBidi" w:hAnsiTheme="majorBidi" w:cstheme="majorBidi"/>
            <w:sz w:val="24"/>
            <w:szCs w:val="24"/>
          </w:rPr>
          <w:id w:val="155804278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Taj71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5D1EDD">
            <w:rPr>
              <w:rFonts w:asciiTheme="majorBidi" w:hAnsiTheme="majorBidi" w:cstheme="majorBidi"/>
              <w:noProof/>
              <w:sz w:val="24"/>
              <w:szCs w:val="24"/>
            </w:rPr>
            <w:t>(Tajfel, Billig, Flament, &amp; Bundy, 1971)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Later, Tajfel </w:t>
      </w:r>
      <w:sdt>
        <w:sdtPr>
          <w:rPr>
            <w:rFonts w:asciiTheme="majorBidi" w:hAnsiTheme="majorBidi" w:cstheme="majorBidi"/>
            <w:sz w:val="24"/>
            <w:szCs w:val="24"/>
          </w:rPr>
          <w:id w:val="212264659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Taj71 \n  \t  \l 2057 </w:instrText>
          </w:r>
          <w:r>
            <w:rPr>
              <w:rFonts w:asciiTheme="majorBidi" w:hAnsiTheme="majorBidi" w:cstheme="majorBidi"/>
              <w:sz w:val="24"/>
              <w:szCs w:val="24"/>
            </w:rPr>
            <w:fldChar w:fldCharType="separate"/>
          </w:r>
          <w:r w:rsidRPr="005D1EDD">
            <w:rPr>
              <w:rFonts w:asciiTheme="majorBidi" w:hAnsiTheme="majorBidi" w:cstheme="majorBidi"/>
              <w:noProof/>
              <w:sz w:val="24"/>
              <w:szCs w:val="24"/>
            </w:rPr>
            <w:t>(1971)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further explained the theory by claiming that a major component of an individuals’ self-identification is driven from his/her emotional attachment to the belonging of social groups. While SIT is related to this study’s scope because of the collective nature of Arabic societies </w:t>
      </w:r>
      <w:sdt>
        <w:sdtPr>
          <w:rPr>
            <w:rFonts w:asciiTheme="majorBidi" w:hAnsiTheme="majorBidi" w:cstheme="majorBidi"/>
            <w:sz w:val="24"/>
            <w:szCs w:val="24"/>
          </w:rPr>
          <w:id w:val="-146010226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Maz17 \l 2057  \m Kru21</w:instrText>
          </w:r>
          <w:r>
            <w:rPr>
              <w:rFonts w:asciiTheme="majorBidi" w:hAnsiTheme="majorBidi" w:cstheme="majorBidi"/>
              <w:sz w:val="24"/>
              <w:szCs w:val="24"/>
            </w:rPr>
            <w:fldChar w:fldCharType="separate"/>
          </w:r>
          <w:r w:rsidRPr="004B6CFF">
            <w:rPr>
              <w:rFonts w:asciiTheme="majorBidi" w:hAnsiTheme="majorBidi" w:cstheme="majorBidi"/>
              <w:noProof/>
              <w:sz w:val="24"/>
              <w:szCs w:val="24"/>
            </w:rPr>
            <w:t>(Mazbouh-Moussa &amp; Ohtsuka, 2017; Krueger, Bogers, Labaki, &amp; Basco,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theory focuses on analysing the expected behaviours that an individual possess within a group not individual actions towards a brand. Another theory that focuses on both emotional and cognitive aspects is </w:t>
      </w:r>
      <w:r w:rsidRPr="00F60616">
        <w:rPr>
          <w:rFonts w:asciiTheme="majorBidi" w:hAnsiTheme="majorBidi" w:cstheme="majorBidi"/>
          <w:sz w:val="24"/>
          <w:szCs w:val="24"/>
        </w:rPr>
        <w:t xml:space="preserve">the </w:t>
      </w:r>
      <w:bookmarkStart w:id="107" w:name="_Hlk134193620"/>
      <w:r w:rsidRPr="00F60616">
        <w:rPr>
          <w:rFonts w:asciiTheme="majorBidi" w:hAnsiTheme="majorBidi" w:cstheme="majorBidi"/>
          <w:sz w:val="24"/>
          <w:szCs w:val="24"/>
        </w:rPr>
        <w:t>cognitive emotion theory (CET).</w:t>
      </w:r>
      <w:r>
        <w:rPr>
          <w:rFonts w:asciiTheme="majorBidi" w:hAnsiTheme="majorBidi" w:cstheme="majorBidi"/>
          <w:sz w:val="24"/>
          <w:szCs w:val="24"/>
        </w:rPr>
        <w:t xml:space="preserve"> </w:t>
      </w:r>
      <w:bookmarkEnd w:id="107"/>
      <w:r>
        <w:rPr>
          <w:rFonts w:asciiTheme="majorBidi" w:hAnsiTheme="majorBidi" w:cstheme="majorBidi"/>
          <w:sz w:val="24"/>
          <w:szCs w:val="24"/>
        </w:rPr>
        <w:t>CET is commonly applied in literature examining buying behaviour</w:t>
      </w:r>
      <w:sdt>
        <w:sdtPr>
          <w:rPr>
            <w:rFonts w:asciiTheme="majorBidi" w:hAnsiTheme="majorBidi" w:cstheme="majorBidi"/>
            <w:sz w:val="24"/>
            <w:szCs w:val="24"/>
          </w:rPr>
          <w:id w:val="-103203421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Hab18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(Habib &amp; Qayyum, 2018)</w:t>
          </w:r>
          <w:r>
            <w:rPr>
              <w:rFonts w:asciiTheme="majorBidi" w:hAnsiTheme="majorBidi" w:cstheme="majorBidi"/>
              <w:sz w:val="24"/>
              <w:szCs w:val="24"/>
            </w:rPr>
            <w:fldChar w:fldCharType="end"/>
          </w:r>
        </w:sdtContent>
      </w:sdt>
      <w:r>
        <w:rPr>
          <w:rFonts w:asciiTheme="majorBidi" w:hAnsiTheme="majorBidi" w:cstheme="majorBidi"/>
          <w:sz w:val="24"/>
          <w:szCs w:val="24"/>
        </w:rPr>
        <w:t>. This theory asserts that a stimulus may lead to emotions which lead to impulsive actions</w:t>
      </w:r>
      <w:sdt>
        <w:sdtPr>
          <w:rPr>
            <w:rFonts w:asciiTheme="majorBidi" w:hAnsiTheme="majorBidi" w:cstheme="majorBidi"/>
            <w:sz w:val="24"/>
            <w:szCs w:val="24"/>
          </w:rPr>
          <w:id w:val="38484712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Haq16 \l 2057  \m Ver11</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(Haq &amp; Abbasi, 2016; Verhagen &amp; van Dolen, 2011)</w:t>
          </w:r>
          <w:r>
            <w:rPr>
              <w:rFonts w:asciiTheme="majorBidi" w:hAnsiTheme="majorBidi" w:cstheme="majorBidi"/>
              <w:sz w:val="24"/>
              <w:szCs w:val="24"/>
            </w:rPr>
            <w:fldChar w:fldCharType="end"/>
          </w:r>
        </w:sdtContent>
      </w:sdt>
      <w:r>
        <w:rPr>
          <w:rFonts w:asciiTheme="majorBidi" w:hAnsiTheme="majorBidi" w:cstheme="majorBidi"/>
          <w:sz w:val="24"/>
          <w:szCs w:val="24"/>
        </w:rPr>
        <w:t>. Based on the theory, cognition refers to the mental processing of information and emotion refers to the mental state or feeling resulting from cognitive evaluation of a stimulus</w:t>
      </w:r>
      <w:sdt>
        <w:sdtPr>
          <w:rPr>
            <w:rFonts w:asciiTheme="majorBidi" w:hAnsiTheme="majorBidi" w:cstheme="majorBidi"/>
            <w:sz w:val="24"/>
            <w:szCs w:val="24"/>
          </w:rPr>
          <w:id w:val="159643479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Akr17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(Akram , et al., 2017)</w:t>
          </w:r>
          <w:r>
            <w:rPr>
              <w:rFonts w:asciiTheme="majorBidi" w:hAnsiTheme="majorBidi" w:cstheme="majorBidi"/>
              <w:sz w:val="24"/>
              <w:szCs w:val="24"/>
            </w:rPr>
            <w:fldChar w:fldCharType="end"/>
          </w:r>
        </w:sdtContent>
      </w:sdt>
      <w:r>
        <w:rPr>
          <w:rFonts w:asciiTheme="majorBidi" w:hAnsiTheme="majorBidi" w:cstheme="majorBidi"/>
          <w:sz w:val="24"/>
          <w:szCs w:val="24"/>
        </w:rPr>
        <w:t>. Nevertheless, like most theories applied in consumer behaviour, CET focuses on consumers’ behaviours rather than intentions as the main sub</w:t>
      </w:r>
      <w:r w:rsidR="002D7A6D">
        <w:rPr>
          <w:rFonts w:asciiTheme="majorBidi" w:hAnsiTheme="majorBidi" w:cstheme="majorBidi"/>
          <w:sz w:val="24"/>
          <w:szCs w:val="24"/>
        </w:rPr>
        <w:t xml:space="preserve"> </w:t>
      </w:r>
      <w:r>
        <w:rPr>
          <w:rFonts w:asciiTheme="majorBidi" w:hAnsiTheme="majorBidi" w:cstheme="majorBidi"/>
          <w:sz w:val="24"/>
          <w:szCs w:val="24"/>
        </w:rPr>
        <w:t xml:space="preserve">processes of the theory are cognition, emotion, and behaviour </w:t>
      </w:r>
      <w:sdt>
        <w:sdtPr>
          <w:rPr>
            <w:rFonts w:asciiTheme="majorBidi" w:hAnsiTheme="majorBidi" w:cstheme="majorBidi"/>
            <w:sz w:val="24"/>
            <w:szCs w:val="24"/>
          </w:rPr>
          <w:id w:val="-138940735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Hol11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(Holmstrom &amp; Burleson, 2011)</w:t>
          </w:r>
          <w:r>
            <w:rPr>
              <w:rFonts w:asciiTheme="majorBidi" w:hAnsiTheme="majorBidi" w:cstheme="majorBidi"/>
              <w:sz w:val="24"/>
              <w:szCs w:val="24"/>
            </w:rPr>
            <w:fldChar w:fldCharType="end"/>
          </w:r>
        </w:sdtContent>
      </w:sdt>
      <w:r>
        <w:rPr>
          <w:rFonts w:asciiTheme="majorBidi" w:hAnsiTheme="majorBidi" w:cstheme="majorBidi"/>
          <w:sz w:val="24"/>
          <w:szCs w:val="24"/>
        </w:rPr>
        <w:t>. Similarly</w:t>
      </w:r>
      <w:r w:rsidRPr="00F60616">
        <w:rPr>
          <w:rFonts w:asciiTheme="majorBidi" w:hAnsiTheme="majorBidi" w:cstheme="majorBidi"/>
          <w:sz w:val="24"/>
          <w:szCs w:val="24"/>
        </w:rPr>
        <w:t>, the tri-component model</w:t>
      </w:r>
      <w:r>
        <w:rPr>
          <w:rFonts w:asciiTheme="majorBidi" w:hAnsiTheme="majorBidi" w:cstheme="majorBidi"/>
          <w:sz w:val="24"/>
          <w:szCs w:val="24"/>
        </w:rPr>
        <w:t xml:space="preserve"> explains how people perceive situations and behave towards certain situations</w:t>
      </w:r>
      <w:sdt>
        <w:sdtPr>
          <w:rPr>
            <w:rFonts w:asciiTheme="majorBidi" w:hAnsiTheme="majorBidi" w:cstheme="majorBidi"/>
            <w:sz w:val="24"/>
            <w:szCs w:val="24"/>
          </w:rPr>
          <w:id w:val="163174921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How69 \l 2057  \m Ros60</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(Howard &amp; Sheth, 1969; Rosenberg &amp; Hovland, 1960)</w:t>
          </w:r>
          <w:r>
            <w:rPr>
              <w:rFonts w:asciiTheme="majorBidi" w:hAnsiTheme="majorBidi" w:cstheme="majorBidi"/>
              <w:sz w:val="24"/>
              <w:szCs w:val="24"/>
            </w:rPr>
            <w:fldChar w:fldCharType="end"/>
          </w:r>
        </w:sdtContent>
      </w:sdt>
      <w:r>
        <w:rPr>
          <w:rFonts w:asciiTheme="majorBidi" w:hAnsiTheme="majorBidi" w:cstheme="majorBidi"/>
          <w:sz w:val="24"/>
          <w:szCs w:val="24"/>
        </w:rPr>
        <w:t>. The tri-component attitude model, as illustrated in the below figure, explains attitudes in reference to three main components which are cognition, affection, and behaviour</w:t>
      </w:r>
      <w:sdt>
        <w:sdtPr>
          <w:rPr>
            <w:rFonts w:asciiTheme="majorBidi" w:hAnsiTheme="majorBidi" w:cstheme="majorBidi"/>
            <w:sz w:val="24"/>
            <w:szCs w:val="24"/>
          </w:rPr>
          <w:id w:val="77537685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Pic05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(Pickens, 2005)</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Still, this theory focuses on actual behaviour as the main outcome of a communication or interaction.  </w:t>
      </w:r>
    </w:p>
    <w:p w14:paraId="260BC2EC" w14:textId="77777777" w:rsidR="0095546F" w:rsidRDefault="00153EE6" w:rsidP="00AA7F79">
      <w:pPr>
        <w:keepNext/>
        <w:adjustRightInd w:val="0"/>
        <w:spacing w:after="0" w:line="480" w:lineRule="auto"/>
        <w:ind w:firstLine="720"/>
      </w:pPr>
      <w:r>
        <w:rPr>
          <w:noProof/>
        </w:rPr>
        <w:drawing>
          <wp:inline distT="0" distB="0" distL="0" distR="0" wp14:anchorId="7318FC84" wp14:editId="0FD6CE44">
            <wp:extent cx="2254849" cy="163830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20"/>
                    <a:stretch>
                      <a:fillRect/>
                    </a:stretch>
                  </pic:blipFill>
                  <pic:spPr>
                    <a:xfrm>
                      <a:off x="0" y="0"/>
                      <a:ext cx="2279677" cy="1656339"/>
                    </a:xfrm>
                    <a:prstGeom prst="rect">
                      <a:avLst/>
                    </a:prstGeom>
                  </pic:spPr>
                </pic:pic>
              </a:graphicData>
            </a:graphic>
          </wp:inline>
        </w:drawing>
      </w:r>
    </w:p>
    <w:p w14:paraId="1F5E4661" w14:textId="478D2808" w:rsidR="00153EE6" w:rsidRDefault="0095546F" w:rsidP="0095546F">
      <w:pPr>
        <w:pStyle w:val="Caption"/>
        <w:rPr>
          <w:rFonts w:asciiTheme="majorBidi" w:hAnsiTheme="majorBidi" w:cstheme="majorBidi"/>
          <w:sz w:val="24"/>
          <w:szCs w:val="24"/>
        </w:rPr>
      </w:pPr>
      <w:r>
        <w:t>Figure 4 The tri-component model (Pickens, 2005)</w:t>
      </w:r>
    </w:p>
    <w:p w14:paraId="7EBEC4E6" w14:textId="1D5C3E7A" w:rsidR="00153EE6" w:rsidRDefault="00153EE6" w:rsidP="00153EE6">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There are other theories that are based on levels of contractual agreements with society. For instance, the core concept of the </w:t>
      </w:r>
      <w:r w:rsidRPr="004B44B9">
        <w:rPr>
          <w:rFonts w:asciiTheme="majorBidi" w:hAnsiTheme="majorBidi" w:cstheme="majorBidi"/>
          <w:sz w:val="24"/>
          <w:szCs w:val="24"/>
        </w:rPr>
        <w:t>legitimacy theory</w:t>
      </w:r>
      <w:r w:rsidRPr="004B44B9">
        <w:rPr>
          <w:rFonts w:asciiTheme="majorBidi" w:hAnsiTheme="majorBidi" w:cstheme="majorBidi"/>
          <w:b/>
          <w:bCs/>
          <w:sz w:val="24"/>
          <w:szCs w:val="24"/>
        </w:rPr>
        <w:t xml:space="preserve"> </w:t>
      </w:r>
      <w:r w:rsidRPr="004B44B9">
        <w:rPr>
          <w:rFonts w:asciiTheme="majorBidi" w:hAnsiTheme="majorBidi" w:cstheme="majorBidi"/>
          <w:sz w:val="24"/>
          <w:szCs w:val="24"/>
        </w:rPr>
        <w:t>is based on “social contract”</w:t>
      </w:r>
      <w:r>
        <w:rPr>
          <w:rFonts w:asciiTheme="majorBidi" w:hAnsiTheme="majorBidi" w:cstheme="majorBidi"/>
          <w:sz w:val="24"/>
          <w:szCs w:val="24"/>
        </w:rPr>
        <w:t xml:space="preserve"> and pressures from stakeholders to meet society’s expectations </w:t>
      </w:r>
      <w:sdt>
        <w:sdtPr>
          <w:rPr>
            <w:rFonts w:asciiTheme="majorBidi" w:hAnsiTheme="majorBidi" w:cstheme="majorBidi"/>
            <w:sz w:val="24"/>
            <w:szCs w:val="24"/>
          </w:rPr>
          <w:id w:val="-2902526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Dee11 \l 2057  \m Isl21 \m Gar201</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(Deegan &amp; Unerman, 2011; Islam, Kokubu, &amp; Nishitani, 2021; García-Sánchez, Rodríguez-Ariza, Aibar-Guzmán, &amp; Aibar-Guzmán, 2020)</w:t>
          </w:r>
          <w:r>
            <w:rPr>
              <w:rFonts w:asciiTheme="majorBidi" w:hAnsiTheme="majorBidi" w:cstheme="majorBidi"/>
              <w:sz w:val="24"/>
              <w:szCs w:val="24"/>
            </w:rPr>
            <w:fldChar w:fldCharType="end"/>
          </w:r>
        </w:sdtContent>
      </w:sdt>
      <w:r>
        <w:rPr>
          <w:rFonts w:asciiTheme="majorBidi" w:hAnsiTheme="majorBidi" w:cstheme="majorBidi"/>
          <w:sz w:val="24"/>
          <w:szCs w:val="24"/>
        </w:rPr>
        <w:t>. The main criticism of the legitimacy theory is embedded in the notion that the theory focuses on reputation management</w:t>
      </w:r>
      <w:sdt>
        <w:sdtPr>
          <w:rPr>
            <w:rFonts w:asciiTheme="majorBidi" w:hAnsiTheme="majorBidi" w:cstheme="majorBidi"/>
            <w:sz w:val="24"/>
            <w:szCs w:val="24"/>
          </w:rPr>
          <w:id w:val="81738250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Beb08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(Bebbington, Larrinaga, &amp; Moneva, 2008)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as, Deegan </w:t>
      </w:r>
      <w:sdt>
        <w:sdtPr>
          <w:rPr>
            <w:rFonts w:asciiTheme="majorBidi" w:hAnsiTheme="majorBidi" w:cstheme="majorBidi"/>
            <w:sz w:val="24"/>
            <w:szCs w:val="24"/>
          </w:rPr>
          <w:id w:val="-33500133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Dee19 \n  \t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recently proved that the theory is focused on influencing opinions rather than behaviours. Similarly, the social contract theory gives the moral authority to those that are impacted by the business and its operations and identifies certain guidelines to minimize deceiving of consumers</w:t>
      </w:r>
      <w:sdt>
        <w:sdtPr>
          <w:rPr>
            <w:rFonts w:asciiTheme="majorBidi" w:hAnsiTheme="majorBidi" w:cstheme="majorBidi"/>
            <w:sz w:val="24"/>
            <w:szCs w:val="24"/>
          </w:rPr>
          <w:id w:val="-30277034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Smi09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(Smith, Kimmel , &amp; Klein, 2009)</w:t>
          </w:r>
          <w:r>
            <w:rPr>
              <w:rFonts w:asciiTheme="majorBidi" w:hAnsiTheme="majorBidi" w:cstheme="majorBidi"/>
              <w:sz w:val="24"/>
              <w:szCs w:val="24"/>
            </w:rPr>
            <w:fldChar w:fldCharType="end"/>
          </w:r>
        </w:sdtContent>
      </w:sdt>
      <w:r>
        <w:rPr>
          <w:rFonts w:asciiTheme="majorBidi" w:hAnsiTheme="majorBidi" w:cstheme="majorBidi"/>
          <w:sz w:val="24"/>
          <w:szCs w:val="24"/>
        </w:rPr>
        <w:t>. Another theory that is discussed in reference to CSR is the stakeholder theory. There is an evident distinction in literature between both CSR and stakeholder theory as both emphasi</w:t>
      </w:r>
      <w:r w:rsidR="00242BE0">
        <w:rPr>
          <w:rFonts w:asciiTheme="majorBidi" w:hAnsiTheme="majorBidi" w:cstheme="majorBidi"/>
          <w:sz w:val="24"/>
          <w:szCs w:val="24"/>
        </w:rPr>
        <w:t xml:space="preserve">se </w:t>
      </w:r>
      <w:r>
        <w:rPr>
          <w:rFonts w:asciiTheme="majorBidi" w:hAnsiTheme="majorBidi" w:cstheme="majorBidi"/>
          <w:sz w:val="24"/>
          <w:szCs w:val="24"/>
        </w:rPr>
        <w:t>the importance of integrating societal interests in business operations</w:t>
      </w:r>
      <w:sdt>
        <w:sdtPr>
          <w:rPr>
            <w:rFonts w:asciiTheme="majorBidi" w:hAnsiTheme="majorBidi" w:cstheme="majorBidi"/>
            <w:sz w:val="24"/>
            <w:szCs w:val="24"/>
          </w:rPr>
          <w:id w:val="169542063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Fre23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(Freeman &amp; Dmytriyev,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In another context, the stakeholder theory asserts on a positive connection between CSR and the company’s overall economic performance </w:t>
      </w:r>
      <w:sdt>
        <w:sdtPr>
          <w:rPr>
            <w:rFonts w:asciiTheme="majorBidi" w:hAnsiTheme="majorBidi" w:cstheme="majorBidi"/>
            <w:sz w:val="24"/>
            <w:szCs w:val="24"/>
          </w:rPr>
          <w:id w:val="173403857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Dkh12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(Dkhili &amp; Ansi, 2012)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While literature suggests that for CSR campaigns to be </w:t>
      </w:r>
      <w:r w:rsidR="001E0DFD">
        <w:rPr>
          <w:rFonts w:asciiTheme="majorBidi" w:hAnsiTheme="majorBidi" w:cstheme="majorBidi"/>
          <w:sz w:val="24"/>
          <w:szCs w:val="24"/>
        </w:rPr>
        <w:t>successful,</w:t>
      </w:r>
      <w:r>
        <w:rPr>
          <w:rFonts w:asciiTheme="majorBidi" w:hAnsiTheme="majorBidi" w:cstheme="majorBidi"/>
          <w:sz w:val="24"/>
          <w:szCs w:val="24"/>
        </w:rPr>
        <w:t xml:space="preserve"> they need to be relevant to society, the nature of the CSR campaign is not the main purpose of this study.</w:t>
      </w:r>
    </w:p>
    <w:p w14:paraId="1C3C4262" w14:textId="7853BE3F" w:rsidR="00153EE6" w:rsidRDefault="00153EE6" w:rsidP="00727E91">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above explained theories are among plenty of other theories that are widely discussed in the CSR communication and consumer behaviour literature. Table </w:t>
      </w:r>
      <w:r w:rsidR="008939E2">
        <w:rPr>
          <w:rFonts w:asciiTheme="majorBidi" w:hAnsiTheme="majorBidi" w:cstheme="majorBidi"/>
          <w:sz w:val="24"/>
          <w:szCs w:val="24"/>
        </w:rPr>
        <w:t>eight</w:t>
      </w:r>
      <w:r>
        <w:rPr>
          <w:rFonts w:asciiTheme="majorBidi" w:hAnsiTheme="majorBidi" w:cstheme="majorBidi"/>
          <w:sz w:val="24"/>
          <w:szCs w:val="24"/>
        </w:rPr>
        <w:t xml:space="preserve"> summarises the above discussed theories and why they were not chosen as frameworks for this study. Clearly, not all these theories analyse the affective stimul</w:t>
      </w:r>
      <w:r w:rsidR="00027F45">
        <w:rPr>
          <w:rFonts w:asciiTheme="majorBidi" w:hAnsiTheme="majorBidi" w:cstheme="majorBidi"/>
          <w:sz w:val="24"/>
          <w:szCs w:val="24"/>
        </w:rPr>
        <w:t>i</w:t>
      </w:r>
      <w:r>
        <w:rPr>
          <w:rFonts w:asciiTheme="majorBidi" w:hAnsiTheme="majorBidi" w:cstheme="majorBidi"/>
          <w:sz w:val="24"/>
          <w:szCs w:val="24"/>
        </w:rPr>
        <w:t xml:space="preserve"> in decision-making and most of the above-discussed theories focus on behaviour as a final outcome instead of intention. Moreover, since this study is examining a relatively novel marketing strategy, it will rely on testing a hypothetical communication strategy and the possible consumer responses towards it. </w:t>
      </w:r>
    </w:p>
    <w:p w14:paraId="7FC01AE9" w14:textId="77777777" w:rsidR="00F60616" w:rsidRDefault="00F60616">
      <w:r>
        <w:br w:type="page"/>
      </w:r>
    </w:p>
    <w:tbl>
      <w:tblPr>
        <w:tblStyle w:val="TableGrid"/>
        <w:tblW w:w="8080" w:type="dxa"/>
        <w:tblInd w:w="392" w:type="dxa"/>
        <w:tblLook w:val="04A0" w:firstRow="1" w:lastRow="0" w:firstColumn="1" w:lastColumn="0" w:noHBand="0" w:noVBand="1"/>
      </w:tblPr>
      <w:tblGrid>
        <w:gridCol w:w="1843"/>
        <w:gridCol w:w="2976"/>
        <w:gridCol w:w="3261"/>
      </w:tblGrid>
      <w:tr w:rsidR="0062501B" w:rsidRPr="00151ABA" w14:paraId="0BAA7611" w14:textId="77777777" w:rsidTr="00026112">
        <w:tc>
          <w:tcPr>
            <w:tcW w:w="1843" w:type="dxa"/>
          </w:tcPr>
          <w:p w14:paraId="4ECB780D" w14:textId="0B6A154E" w:rsidR="00153EE6" w:rsidRPr="00151ABA" w:rsidRDefault="00153EE6" w:rsidP="00953448">
            <w:pPr>
              <w:adjustRightInd w:val="0"/>
              <w:jc w:val="center"/>
              <w:rPr>
                <w:rFonts w:asciiTheme="majorBidi" w:hAnsiTheme="majorBidi" w:cstheme="majorBidi"/>
                <w:sz w:val="20"/>
                <w:szCs w:val="20"/>
              </w:rPr>
            </w:pPr>
            <w:r w:rsidRPr="00151ABA">
              <w:rPr>
                <w:rFonts w:asciiTheme="majorBidi" w:hAnsiTheme="majorBidi" w:cstheme="majorBidi"/>
                <w:sz w:val="20"/>
                <w:szCs w:val="20"/>
              </w:rPr>
              <w:t>Theory</w:t>
            </w:r>
          </w:p>
        </w:tc>
        <w:tc>
          <w:tcPr>
            <w:tcW w:w="2976" w:type="dxa"/>
          </w:tcPr>
          <w:p w14:paraId="6EC96B61" w14:textId="544EB016" w:rsidR="00153EE6" w:rsidRPr="00151ABA" w:rsidRDefault="00153EE6" w:rsidP="00953448">
            <w:pPr>
              <w:adjustRightInd w:val="0"/>
              <w:jc w:val="center"/>
              <w:rPr>
                <w:rFonts w:asciiTheme="majorBidi" w:hAnsiTheme="majorBidi" w:cstheme="majorBidi"/>
                <w:sz w:val="20"/>
                <w:szCs w:val="20"/>
              </w:rPr>
            </w:pPr>
            <w:r w:rsidRPr="00151ABA">
              <w:rPr>
                <w:rFonts w:asciiTheme="majorBidi" w:hAnsiTheme="majorBidi" w:cstheme="majorBidi"/>
                <w:sz w:val="20"/>
                <w:szCs w:val="20"/>
              </w:rPr>
              <w:t>Description</w:t>
            </w:r>
          </w:p>
        </w:tc>
        <w:tc>
          <w:tcPr>
            <w:tcW w:w="3261" w:type="dxa"/>
          </w:tcPr>
          <w:p w14:paraId="40294E37" w14:textId="77777777" w:rsidR="00153EE6" w:rsidRPr="00151ABA" w:rsidRDefault="00153EE6" w:rsidP="00953448">
            <w:pPr>
              <w:adjustRightInd w:val="0"/>
              <w:jc w:val="center"/>
              <w:rPr>
                <w:rFonts w:asciiTheme="majorBidi" w:hAnsiTheme="majorBidi" w:cstheme="majorBidi"/>
                <w:sz w:val="20"/>
                <w:szCs w:val="20"/>
              </w:rPr>
            </w:pPr>
            <w:r w:rsidRPr="00151ABA">
              <w:rPr>
                <w:rFonts w:asciiTheme="majorBidi" w:hAnsiTheme="majorBidi" w:cstheme="majorBidi"/>
                <w:sz w:val="20"/>
                <w:szCs w:val="20"/>
              </w:rPr>
              <w:t>Reason for excluding in this study</w:t>
            </w:r>
          </w:p>
        </w:tc>
      </w:tr>
      <w:tr w:rsidR="0062501B" w:rsidRPr="00151ABA" w14:paraId="6503FFBB" w14:textId="77777777" w:rsidTr="00026112">
        <w:tc>
          <w:tcPr>
            <w:tcW w:w="1843" w:type="dxa"/>
          </w:tcPr>
          <w:p w14:paraId="258014BD" w14:textId="240A39A4" w:rsidR="00153EE6" w:rsidRPr="00151ABA" w:rsidRDefault="00904777" w:rsidP="00953448">
            <w:pPr>
              <w:adjustRightInd w:val="0"/>
              <w:rPr>
                <w:rFonts w:asciiTheme="majorBidi" w:hAnsiTheme="majorBidi" w:cstheme="majorBidi"/>
                <w:sz w:val="20"/>
                <w:szCs w:val="20"/>
              </w:rPr>
            </w:pPr>
            <w:r w:rsidRPr="00151ABA">
              <w:rPr>
                <w:rFonts w:asciiTheme="majorBidi" w:hAnsiTheme="majorBidi" w:cstheme="majorBidi"/>
                <w:sz w:val="20"/>
                <w:szCs w:val="20"/>
              </w:rPr>
              <w:t>C</w:t>
            </w:r>
            <w:r w:rsidR="00153EE6" w:rsidRPr="00151ABA">
              <w:rPr>
                <w:rFonts w:asciiTheme="majorBidi" w:hAnsiTheme="majorBidi" w:cstheme="majorBidi"/>
                <w:sz w:val="20"/>
                <w:szCs w:val="20"/>
              </w:rPr>
              <w:t xml:space="preserve">ognitive </w:t>
            </w:r>
            <w:r w:rsidRPr="00151ABA">
              <w:rPr>
                <w:rFonts w:asciiTheme="majorBidi" w:hAnsiTheme="majorBidi" w:cstheme="majorBidi"/>
                <w:sz w:val="20"/>
                <w:szCs w:val="20"/>
              </w:rPr>
              <w:t>D</w:t>
            </w:r>
            <w:r w:rsidR="00153EE6" w:rsidRPr="00151ABA">
              <w:rPr>
                <w:rFonts w:asciiTheme="majorBidi" w:hAnsiTheme="majorBidi" w:cstheme="majorBidi"/>
                <w:sz w:val="20"/>
                <w:szCs w:val="20"/>
              </w:rPr>
              <w:t xml:space="preserve">issonance </w:t>
            </w:r>
            <w:r w:rsidRPr="00151ABA">
              <w:rPr>
                <w:rFonts w:asciiTheme="majorBidi" w:hAnsiTheme="majorBidi" w:cstheme="majorBidi"/>
                <w:sz w:val="20"/>
                <w:szCs w:val="20"/>
              </w:rPr>
              <w:t>T</w:t>
            </w:r>
            <w:r w:rsidR="00153EE6" w:rsidRPr="00151ABA">
              <w:rPr>
                <w:rFonts w:asciiTheme="majorBidi" w:hAnsiTheme="majorBidi" w:cstheme="majorBidi"/>
                <w:sz w:val="20"/>
                <w:szCs w:val="20"/>
              </w:rPr>
              <w:t>heory (CDT)</w:t>
            </w:r>
          </w:p>
        </w:tc>
        <w:tc>
          <w:tcPr>
            <w:tcW w:w="2976" w:type="dxa"/>
          </w:tcPr>
          <w:p w14:paraId="3DA850BB" w14:textId="5E1070DA" w:rsidR="004250D8" w:rsidRPr="00151ABA" w:rsidRDefault="00153EE6" w:rsidP="004250D8">
            <w:pPr>
              <w:adjustRightInd w:val="0"/>
              <w:rPr>
                <w:rFonts w:asciiTheme="majorBidi" w:hAnsiTheme="majorBidi" w:cstheme="majorBidi"/>
                <w:sz w:val="20"/>
                <w:szCs w:val="20"/>
              </w:rPr>
            </w:pPr>
            <w:r w:rsidRPr="00151ABA">
              <w:rPr>
                <w:rFonts w:asciiTheme="majorBidi" w:hAnsiTheme="majorBidi" w:cstheme="majorBidi"/>
                <w:sz w:val="20"/>
                <w:szCs w:val="20"/>
              </w:rPr>
              <w:t xml:space="preserve">The theory asserts that when individuals’ thoughts are not consistent with their actions, they tend to </w:t>
            </w:r>
            <w:r w:rsidR="004250D8" w:rsidRPr="00151ABA">
              <w:rPr>
                <w:rFonts w:asciiTheme="majorBidi" w:hAnsiTheme="majorBidi" w:cstheme="majorBidi"/>
                <w:sz w:val="20"/>
                <w:szCs w:val="20"/>
              </w:rPr>
              <w:t xml:space="preserve">match their </w:t>
            </w:r>
            <w:r w:rsidR="00663452" w:rsidRPr="00151ABA">
              <w:rPr>
                <w:rFonts w:asciiTheme="majorBidi" w:hAnsiTheme="majorBidi" w:cstheme="majorBidi"/>
                <w:sz w:val="20"/>
                <w:szCs w:val="20"/>
              </w:rPr>
              <w:t xml:space="preserve">thoughts </w:t>
            </w:r>
            <w:r w:rsidR="004250D8" w:rsidRPr="00151ABA">
              <w:rPr>
                <w:rFonts w:asciiTheme="majorBidi" w:hAnsiTheme="majorBidi" w:cstheme="majorBidi"/>
                <w:sz w:val="20"/>
                <w:szCs w:val="20"/>
              </w:rPr>
              <w:t xml:space="preserve">with </w:t>
            </w:r>
            <w:r w:rsidRPr="00151ABA">
              <w:rPr>
                <w:rFonts w:asciiTheme="majorBidi" w:hAnsiTheme="majorBidi" w:cstheme="majorBidi"/>
                <w:sz w:val="20"/>
                <w:szCs w:val="20"/>
              </w:rPr>
              <w:t>actions</w:t>
            </w:r>
            <w:sdt>
              <w:sdtPr>
                <w:rPr>
                  <w:rFonts w:asciiTheme="majorBidi" w:hAnsiTheme="majorBidi" w:cstheme="majorBidi"/>
                  <w:sz w:val="20"/>
                  <w:szCs w:val="20"/>
                </w:rPr>
                <w:id w:val="1872188031"/>
                <w:citation/>
              </w:sdtPr>
              <w:sdtContent>
                <w:r w:rsidR="004250D8" w:rsidRPr="00151ABA">
                  <w:rPr>
                    <w:rFonts w:asciiTheme="majorBidi" w:hAnsiTheme="majorBidi" w:cstheme="majorBidi"/>
                    <w:sz w:val="20"/>
                    <w:szCs w:val="20"/>
                  </w:rPr>
                  <w:fldChar w:fldCharType="begin"/>
                </w:r>
                <w:r w:rsidR="004250D8" w:rsidRPr="00151ABA">
                  <w:rPr>
                    <w:rFonts w:asciiTheme="majorBidi" w:hAnsiTheme="majorBidi" w:cstheme="majorBidi"/>
                    <w:sz w:val="20"/>
                    <w:szCs w:val="20"/>
                  </w:rPr>
                  <w:instrText xml:space="preserve"> CITATION Tho05 \l 2057 </w:instrText>
                </w:r>
                <w:r w:rsidR="004250D8" w:rsidRPr="00151ABA">
                  <w:rPr>
                    <w:rFonts w:asciiTheme="majorBidi" w:hAnsiTheme="majorBidi" w:cstheme="majorBidi"/>
                    <w:sz w:val="20"/>
                    <w:szCs w:val="20"/>
                  </w:rPr>
                  <w:fldChar w:fldCharType="separate"/>
                </w:r>
                <w:r w:rsidR="004250D8" w:rsidRPr="00151ABA">
                  <w:rPr>
                    <w:rFonts w:asciiTheme="majorBidi" w:hAnsiTheme="majorBidi" w:cstheme="majorBidi"/>
                    <w:noProof/>
                    <w:sz w:val="20"/>
                    <w:szCs w:val="20"/>
                  </w:rPr>
                  <w:t xml:space="preserve"> (Thomson, MacInnis, &amp; Park, 2005)</w:t>
                </w:r>
                <w:r w:rsidR="004250D8" w:rsidRPr="00151ABA">
                  <w:rPr>
                    <w:rFonts w:asciiTheme="majorBidi" w:hAnsiTheme="majorBidi" w:cstheme="majorBidi"/>
                    <w:sz w:val="20"/>
                    <w:szCs w:val="20"/>
                  </w:rPr>
                  <w:fldChar w:fldCharType="end"/>
                </w:r>
              </w:sdtContent>
            </w:sdt>
            <w:r w:rsidR="004250D8" w:rsidRPr="00151ABA">
              <w:rPr>
                <w:rFonts w:asciiTheme="majorBidi" w:hAnsiTheme="majorBidi" w:cstheme="majorBidi"/>
                <w:sz w:val="20"/>
                <w:szCs w:val="20"/>
              </w:rPr>
              <w:t>.</w:t>
            </w:r>
          </w:p>
        </w:tc>
        <w:tc>
          <w:tcPr>
            <w:tcW w:w="3261" w:type="dxa"/>
          </w:tcPr>
          <w:p w14:paraId="7D2DE701" w14:textId="4BCB19AB" w:rsidR="00DE1EAD" w:rsidRPr="00151ABA" w:rsidRDefault="00153EE6" w:rsidP="00663452">
            <w:pPr>
              <w:adjustRightInd w:val="0"/>
              <w:rPr>
                <w:rFonts w:asciiTheme="majorBidi" w:hAnsiTheme="majorBidi" w:cstheme="majorBidi"/>
                <w:sz w:val="20"/>
                <w:szCs w:val="20"/>
              </w:rPr>
            </w:pPr>
            <w:r w:rsidRPr="00151ABA">
              <w:rPr>
                <w:rFonts w:asciiTheme="majorBidi" w:hAnsiTheme="majorBidi" w:cstheme="majorBidi"/>
                <w:sz w:val="20"/>
                <w:szCs w:val="20"/>
              </w:rPr>
              <w:t xml:space="preserve">This study is focused on </w:t>
            </w:r>
            <w:r w:rsidR="00663452" w:rsidRPr="00151ABA">
              <w:rPr>
                <w:rFonts w:asciiTheme="majorBidi" w:hAnsiTheme="majorBidi" w:cstheme="majorBidi"/>
                <w:sz w:val="20"/>
                <w:szCs w:val="20"/>
              </w:rPr>
              <w:t xml:space="preserve">measuring </w:t>
            </w:r>
            <w:r w:rsidRPr="00151ABA">
              <w:rPr>
                <w:rFonts w:asciiTheme="majorBidi" w:hAnsiTheme="majorBidi" w:cstheme="majorBidi"/>
                <w:sz w:val="20"/>
                <w:szCs w:val="20"/>
              </w:rPr>
              <w:t xml:space="preserve">specific attitudes </w:t>
            </w:r>
            <w:r w:rsidR="00663452" w:rsidRPr="00151ABA">
              <w:rPr>
                <w:rFonts w:asciiTheme="majorBidi" w:hAnsiTheme="majorBidi" w:cstheme="majorBidi"/>
                <w:sz w:val="20"/>
                <w:szCs w:val="20"/>
              </w:rPr>
              <w:t xml:space="preserve">on behavioural intention </w:t>
            </w:r>
            <w:r w:rsidRPr="00151ABA">
              <w:rPr>
                <w:rFonts w:asciiTheme="majorBidi" w:hAnsiTheme="majorBidi" w:cstheme="majorBidi"/>
                <w:sz w:val="20"/>
                <w:szCs w:val="20"/>
              </w:rPr>
              <w:t>more than psychological thoughts.</w:t>
            </w:r>
          </w:p>
        </w:tc>
      </w:tr>
      <w:tr w:rsidR="0062501B" w:rsidRPr="00151ABA" w14:paraId="582357E1" w14:textId="77777777" w:rsidTr="00026112">
        <w:tc>
          <w:tcPr>
            <w:tcW w:w="1843" w:type="dxa"/>
          </w:tcPr>
          <w:p w14:paraId="65769833" w14:textId="77777777"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Social Exchange Theory (SET)</w:t>
            </w:r>
          </w:p>
        </w:tc>
        <w:tc>
          <w:tcPr>
            <w:tcW w:w="2976" w:type="dxa"/>
          </w:tcPr>
          <w:p w14:paraId="11B9D29E" w14:textId="4181C3AA"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The theory refers to the individuals’ behaviours that are driven by the rewarding returns that these actions bring</w:t>
            </w:r>
            <w:r w:rsidR="00173020" w:rsidRPr="00151ABA">
              <w:rPr>
                <w:rFonts w:asciiTheme="majorBidi" w:hAnsiTheme="majorBidi" w:cstheme="majorBidi"/>
                <w:sz w:val="20"/>
                <w:szCs w:val="20"/>
              </w:rPr>
              <w:t xml:space="preserve"> </w:t>
            </w:r>
            <w:sdt>
              <w:sdtPr>
                <w:rPr>
                  <w:rFonts w:asciiTheme="majorBidi" w:hAnsiTheme="majorBidi" w:cstheme="majorBidi"/>
                  <w:sz w:val="20"/>
                  <w:szCs w:val="20"/>
                </w:rPr>
                <w:id w:val="524836906"/>
                <w:citation/>
              </w:sdtPr>
              <w:sdtContent>
                <w:r w:rsidR="00173020" w:rsidRPr="00151ABA">
                  <w:rPr>
                    <w:rFonts w:asciiTheme="majorBidi" w:hAnsiTheme="majorBidi" w:cstheme="majorBidi"/>
                    <w:sz w:val="20"/>
                    <w:szCs w:val="20"/>
                  </w:rPr>
                  <w:fldChar w:fldCharType="begin"/>
                </w:r>
                <w:r w:rsidR="00173020" w:rsidRPr="00151ABA">
                  <w:rPr>
                    <w:rFonts w:asciiTheme="majorBidi" w:hAnsiTheme="majorBidi" w:cstheme="majorBidi"/>
                    <w:sz w:val="20"/>
                    <w:szCs w:val="20"/>
                  </w:rPr>
                  <w:instrText xml:space="preserve"> CITATION Bla64 \l 2057 </w:instrText>
                </w:r>
                <w:r w:rsidR="00173020" w:rsidRPr="00151ABA">
                  <w:rPr>
                    <w:rFonts w:asciiTheme="majorBidi" w:hAnsiTheme="majorBidi" w:cstheme="majorBidi"/>
                    <w:sz w:val="20"/>
                    <w:szCs w:val="20"/>
                  </w:rPr>
                  <w:fldChar w:fldCharType="separate"/>
                </w:r>
                <w:r w:rsidR="00173020" w:rsidRPr="00151ABA">
                  <w:rPr>
                    <w:rFonts w:asciiTheme="majorBidi" w:hAnsiTheme="majorBidi" w:cstheme="majorBidi"/>
                    <w:noProof/>
                    <w:sz w:val="20"/>
                    <w:szCs w:val="20"/>
                  </w:rPr>
                  <w:t>(Blau P. M., 1964)</w:t>
                </w:r>
                <w:r w:rsidR="00173020"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w:t>
            </w:r>
            <w:r w:rsidR="00B7758C" w:rsidRPr="00151ABA">
              <w:rPr>
                <w:rFonts w:asciiTheme="majorBidi" w:hAnsiTheme="majorBidi" w:cstheme="majorBidi"/>
                <w:sz w:val="20"/>
                <w:szCs w:val="20"/>
              </w:rPr>
              <w:t xml:space="preserve">  </w:t>
            </w:r>
          </w:p>
        </w:tc>
        <w:tc>
          <w:tcPr>
            <w:tcW w:w="3261" w:type="dxa"/>
          </w:tcPr>
          <w:p w14:paraId="281C1376" w14:textId="0C39B1C9" w:rsidR="00B102EB" w:rsidRPr="00151ABA" w:rsidRDefault="00FC697B" w:rsidP="00B102EB">
            <w:pPr>
              <w:adjustRightInd w:val="0"/>
              <w:rPr>
                <w:rFonts w:asciiTheme="majorBidi" w:hAnsiTheme="majorBidi" w:cstheme="majorBidi"/>
                <w:sz w:val="20"/>
                <w:szCs w:val="20"/>
                <w:highlight w:val="yellow"/>
              </w:rPr>
            </w:pPr>
            <w:r w:rsidRPr="00151ABA">
              <w:rPr>
                <w:rFonts w:asciiTheme="majorBidi" w:hAnsiTheme="majorBidi" w:cstheme="majorBidi"/>
                <w:sz w:val="20"/>
                <w:szCs w:val="20"/>
              </w:rPr>
              <w:t>The t</w:t>
            </w:r>
            <w:r w:rsidR="00153EE6" w:rsidRPr="00151ABA">
              <w:rPr>
                <w:rFonts w:asciiTheme="majorBidi" w:hAnsiTheme="majorBidi" w:cstheme="majorBidi"/>
                <w:sz w:val="20"/>
                <w:szCs w:val="20"/>
              </w:rPr>
              <w:t>heory</w:t>
            </w:r>
            <w:r w:rsidRPr="00151ABA">
              <w:rPr>
                <w:rFonts w:asciiTheme="majorBidi" w:hAnsiTheme="majorBidi" w:cstheme="majorBidi"/>
                <w:sz w:val="20"/>
                <w:szCs w:val="20"/>
              </w:rPr>
              <w:t xml:space="preserve"> </w:t>
            </w:r>
            <w:r w:rsidR="00B102EB" w:rsidRPr="00151ABA">
              <w:rPr>
                <w:rFonts w:asciiTheme="majorBidi" w:hAnsiTheme="majorBidi" w:cstheme="majorBidi"/>
                <w:sz w:val="20"/>
                <w:szCs w:val="20"/>
              </w:rPr>
              <w:t>focuse</w:t>
            </w:r>
            <w:r w:rsidRPr="00151ABA">
              <w:rPr>
                <w:rFonts w:asciiTheme="majorBidi" w:hAnsiTheme="majorBidi" w:cstheme="majorBidi"/>
                <w:sz w:val="20"/>
                <w:szCs w:val="20"/>
              </w:rPr>
              <w:t>s</w:t>
            </w:r>
            <w:r w:rsidR="00B102EB" w:rsidRPr="00151ABA">
              <w:rPr>
                <w:rFonts w:asciiTheme="majorBidi" w:hAnsiTheme="majorBidi" w:cstheme="majorBidi"/>
                <w:sz w:val="20"/>
                <w:szCs w:val="20"/>
              </w:rPr>
              <w:t xml:space="preserve"> on </w:t>
            </w:r>
            <w:r w:rsidRPr="00151ABA">
              <w:rPr>
                <w:rFonts w:asciiTheme="majorBidi" w:hAnsiTheme="majorBidi" w:cstheme="majorBidi"/>
                <w:sz w:val="20"/>
                <w:szCs w:val="20"/>
              </w:rPr>
              <w:t>consumer-brand</w:t>
            </w:r>
            <w:r w:rsidR="00B102EB" w:rsidRPr="00151ABA">
              <w:rPr>
                <w:rFonts w:asciiTheme="majorBidi" w:hAnsiTheme="majorBidi" w:cstheme="majorBidi"/>
                <w:sz w:val="20"/>
                <w:szCs w:val="20"/>
              </w:rPr>
              <w:t xml:space="preserve"> of relationships</w:t>
            </w:r>
            <w:r w:rsidRPr="00151ABA">
              <w:rPr>
                <w:rFonts w:asciiTheme="majorBidi" w:hAnsiTheme="majorBidi" w:cstheme="majorBidi"/>
                <w:sz w:val="20"/>
                <w:szCs w:val="20"/>
              </w:rPr>
              <w:t xml:space="preserve"> and the impact of these relationships on consumers’ actions which is not the topic of the study. </w:t>
            </w:r>
          </w:p>
        </w:tc>
      </w:tr>
      <w:tr w:rsidR="0062501B" w:rsidRPr="00151ABA" w14:paraId="6488CD20" w14:textId="77777777" w:rsidTr="00026112">
        <w:tc>
          <w:tcPr>
            <w:tcW w:w="1843" w:type="dxa"/>
          </w:tcPr>
          <w:p w14:paraId="5EEF2D8D" w14:textId="77777777" w:rsidR="00153EE6" w:rsidRPr="00151ABA" w:rsidRDefault="00153EE6" w:rsidP="00904777">
            <w:pPr>
              <w:adjustRightInd w:val="0"/>
              <w:rPr>
                <w:rFonts w:asciiTheme="majorBidi" w:hAnsiTheme="majorBidi" w:cstheme="majorBidi"/>
                <w:sz w:val="20"/>
                <w:szCs w:val="20"/>
              </w:rPr>
            </w:pPr>
            <w:r w:rsidRPr="00151ABA">
              <w:rPr>
                <w:rFonts w:asciiTheme="majorBidi" w:hAnsiTheme="majorBidi" w:cstheme="majorBidi"/>
                <w:sz w:val="20"/>
                <w:szCs w:val="20"/>
              </w:rPr>
              <w:t>Social Identity Theory (SIT)</w:t>
            </w:r>
          </w:p>
        </w:tc>
        <w:tc>
          <w:tcPr>
            <w:tcW w:w="2976" w:type="dxa"/>
          </w:tcPr>
          <w:p w14:paraId="18B359C2" w14:textId="1D44BDC1"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 xml:space="preserve">The theory is centred </w:t>
            </w:r>
            <w:r w:rsidR="00027F45" w:rsidRPr="00151ABA">
              <w:rPr>
                <w:rFonts w:asciiTheme="majorBidi" w:hAnsiTheme="majorBidi" w:cstheme="majorBidi"/>
                <w:sz w:val="20"/>
                <w:szCs w:val="20"/>
              </w:rPr>
              <w:t>on</w:t>
            </w:r>
            <w:r w:rsidRPr="00151ABA">
              <w:rPr>
                <w:rFonts w:asciiTheme="majorBidi" w:hAnsiTheme="majorBidi" w:cstheme="majorBidi"/>
                <w:sz w:val="20"/>
                <w:szCs w:val="20"/>
              </w:rPr>
              <w:t xml:space="preserve"> cognitive processes and social beliefs within group and intergroup connections</w:t>
            </w:r>
            <w:r w:rsidR="00FC697B" w:rsidRPr="00151ABA">
              <w:rPr>
                <w:rFonts w:asciiTheme="majorBidi" w:hAnsiTheme="majorBidi" w:cstheme="majorBidi"/>
                <w:sz w:val="20"/>
                <w:szCs w:val="20"/>
              </w:rPr>
              <w:t xml:space="preserve"> </w:t>
            </w:r>
            <w:sdt>
              <w:sdtPr>
                <w:rPr>
                  <w:rFonts w:asciiTheme="majorBidi" w:hAnsiTheme="majorBidi" w:cstheme="majorBidi"/>
                  <w:sz w:val="20"/>
                  <w:szCs w:val="20"/>
                </w:rPr>
                <w:id w:val="-946772962"/>
                <w:citation/>
              </w:sdtPr>
              <w:sdtContent>
                <w:r w:rsidR="00FC697B" w:rsidRPr="00151ABA">
                  <w:rPr>
                    <w:rFonts w:asciiTheme="majorBidi" w:hAnsiTheme="majorBidi" w:cstheme="majorBidi"/>
                    <w:sz w:val="20"/>
                    <w:szCs w:val="20"/>
                  </w:rPr>
                  <w:fldChar w:fldCharType="begin"/>
                </w:r>
                <w:r w:rsidR="00FC697B" w:rsidRPr="00151ABA">
                  <w:rPr>
                    <w:rFonts w:asciiTheme="majorBidi" w:hAnsiTheme="majorBidi" w:cstheme="majorBidi"/>
                    <w:sz w:val="20"/>
                    <w:szCs w:val="20"/>
                  </w:rPr>
                  <w:instrText xml:space="preserve"> CITATION Taj71 \l 2057 </w:instrText>
                </w:r>
                <w:r w:rsidR="00FC697B" w:rsidRPr="00151ABA">
                  <w:rPr>
                    <w:rFonts w:asciiTheme="majorBidi" w:hAnsiTheme="majorBidi" w:cstheme="majorBidi"/>
                    <w:sz w:val="20"/>
                    <w:szCs w:val="20"/>
                  </w:rPr>
                  <w:fldChar w:fldCharType="separate"/>
                </w:r>
                <w:r w:rsidR="00FC697B" w:rsidRPr="00151ABA">
                  <w:rPr>
                    <w:rFonts w:asciiTheme="majorBidi" w:hAnsiTheme="majorBidi" w:cstheme="majorBidi"/>
                    <w:noProof/>
                    <w:sz w:val="20"/>
                    <w:szCs w:val="20"/>
                  </w:rPr>
                  <w:t xml:space="preserve"> (Tajfel, Billig, Flament, &amp; Bundy, 1971)</w:t>
                </w:r>
                <w:r w:rsidR="00FC697B"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w:t>
            </w:r>
          </w:p>
        </w:tc>
        <w:tc>
          <w:tcPr>
            <w:tcW w:w="3261" w:type="dxa"/>
          </w:tcPr>
          <w:p w14:paraId="338731A8" w14:textId="3C865AFE"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This theory is focused on individuals’ behaviours within a group, whereas, this study focuses on independent individual behaviour</w:t>
            </w:r>
            <w:r w:rsidR="00B7758C" w:rsidRPr="00151ABA">
              <w:rPr>
                <w:rFonts w:asciiTheme="majorBidi" w:hAnsiTheme="majorBidi" w:cstheme="majorBidi"/>
                <w:sz w:val="20"/>
                <w:szCs w:val="20"/>
              </w:rPr>
              <w:t>al intention</w:t>
            </w:r>
            <w:r w:rsidR="0062501B" w:rsidRPr="00151ABA">
              <w:rPr>
                <w:rFonts w:asciiTheme="majorBidi" w:hAnsiTheme="majorBidi" w:cstheme="majorBidi"/>
                <w:sz w:val="20"/>
                <w:szCs w:val="20"/>
              </w:rPr>
              <w:t xml:space="preserve"> for low involvement products</w:t>
            </w:r>
            <w:r w:rsidRPr="00151ABA">
              <w:rPr>
                <w:rFonts w:asciiTheme="majorBidi" w:hAnsiTheme="majorBidi" w:cstheme="majorBidi"/>
                <w:sz w:val="20"/>
                <w:szCs w:val="20"/>
              </w:rPr>
              <w:t>.</w:t>
            </w:r>
            <w:r w:rsidR="00B7758C" w:rsidRPr="00151ABA">
              <w:rPr>
                <w:rFonts w:asciiTheme="majorBidi" w:hAnsiTheme="majorBidi" w:cstheme="majorBidi"/>
                <w:sz w:val="20"/>
                <w:szCs w:val="20"/>
              </w:rPr>
              <w:t xml:space="preserve"> </w:t>
            </w:r>
          </w:p>
        </w:tc>
      </w:tr>
      <w:tr w:rsidR="0062501B" w:rsidRPr="00151ABA" w14:paraId="401F297E" w14:textId="77777777" w:rsidTr="00026112">
        <w:tc>
          <w:tcPr>
            <w:tcW w:w="1843" w:type="dxa"/>
          </w:tcPr>
          <w:p w14:paraId="6F322F52" w14:textId="77777777"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 xml:space="preserve">Legitimacy Theory </w:t>
            </w:r>
          </w:p>
        </w:tc>
        <w:tc>
          <w:tcPr>
            <w:tcW w:w="2976" w:type="dxa"/>
          </w:tcPr>
          <w:p w14:paraId="734E4FCD" w14:textId="115B20E7"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The theory is based on “social contract” to meet society’s expectations</w:t>
            </w:r>
            <w:r w:rsidR="00871E30" w:rsidRPr="00151ABA">
              <w:rPr>
                <w:rFonts w:asciiTheme="majorBidi" w:hAnsiTheme="majorBidi" w:cstheme="majorBidi"/>
                <w:sz w:val="20"/>
                <w:szCs w:val="20"/>
              </w:rPr>
              <w:t xml:space="preserve"> </w:t>
            </w:r>
            <w:sdt>
              <w:sdtPr>
                <w:rPr>
                  <w:rFonts w:asciiTheme="majorBidi" w:hAnsiTheme="majorBidi" w:cstheme="majorBidi"/>
                  <w:sz w:val="20"/>
                  <w:szCs w:val="20"/>
                </w:rPr>
                <w:id w:val="-971136783"/>
                <w:citation/>
              </w:sdtPr>
              <w:sdtContent>
                <w:r w:rsidR="00871E30" w:rsidRPr="00151ABA">
                  <w:rPr>
                    <w:rFonts w:asciiTheme="majorBidi" w:hAnsiTheme="majorBidi" w:cstheme="majorBidi"/>
                    <w:sz w:val="20"/>
                    <w:szCs w:val="20"/>
                  </w:rPr>
                  <w:fldChar w:fldCharType="begin"/>
                </w:r>
                <w:r w:rsidR="00871E30" w:rsidRPr="00151ABA">
                  <w:rPr>
                    <w:rFonts w:asciiTheme="majorBidi" w:hAnsiTheme="majorBidi" w:cstheme="majorBidi"/>
                    <w:sz w:val="20"/>
                    <w:szCs w:val="20"/>
                  </w:rPr>
                  <w:instrText xml:space="preserve">CITATION Dee11 \l 2057 </w:instrText>
                </w:r>
                <w:r w:rsidR="00871E30" w:rsidRPr="00151ABA">
                  <w:rPr>
                    <w:rFonts w:asciiTheme="majorBidi" w:hAnsiTheme="majorBidi" w:cstheme="majorBidi"/>
                    <w:sz w:val="20"/>
                    <w:szCs w:val="20"/>
                  </w:rPr>
                  <w:fldChar w:fldCharType="separate"/>
                </w:r>
                <w:r w:rsidR="00871E30" w:rsidRPr="00151ABA">
                  <w:rPr>
                    <w:rFonts w:asciiTheme="majorBidi" w:hAnsiTheme="majorBidi" w:cstheme="majorBidi"/>
                    <w:noProof/>
                    <w:sz w:val="20"/>
                    <w:szCs w:val="20"/>
                  </w:rPr>
                  <w:t>(Deegan &amp; Unerman, 2011)</w:t>
                </w:r>
                <w:r w:rsidR="00871E30"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w:t>
            </w:r>
            <w:r w:rsidR="00395F8B" w:rsidRPr="00151ABA">
              <w:rPr>
                <w:rFonts w:asciiTheme="majorBidi" w:hAnsiTheme="majorBidi" w:cstheme="majorBidi"/>
                <w:sz w:val="20"/>
                <w:szCs w:val="20"/>
              </w:rPr>
              <w:t xml:space="preserve"> </w:t>
            </w:r>
          </w:p>
        </w:tc>
        <w:tc>
          <w:tcPr>
            <w:tcW w:w="3261" w:type="dxa"/>
          </w:tcPr>
          <w:p w14:paraId="1E5864C9" w14:textId="42B7D921" w:rsidR="00153EE6" w:rsidRPr="00026112" w:rsidRDefault="00153EE6" w:rsidP="00953448">
            <w:pPr>
              <w:adjustRightInd w:val="0"/>
              <w:rPr>
                <w:rFonts w:asciiTheme="majorBidi" w:hAnsiTheme="majorBidi" w:cstheme="majorBidi"/>
                <w:sz w:val="20"/>
                <w:szCs w:val="20"/>
              </w:rPr>
            </w:pPr>
            <w:r w:rsidRPr="00026112">
              <w:rPr>
                <w:rFonts w:asciiTheme="majorBidi" w:hAnsiTheme="majorBidi" w:cstheme="majorBidi"/>
                <w:sz w:val="20"/>
                <w:szCs w:val="20"/>
              </w:rPr>
              <w:t>Theory tackles people’s opinions rather than final behaviour</w:t>
            </w:r>
            <w:r w:rsidR="00B7758C" w:rsidRPr="00026112">
              <w:rPr>
                <w:rFonts w:asciiTheme="majorBidi" w:hAnsiTheme="majorBidi" w:cstheme="majorBidi"/>
                <w:sz w:val="20"/>
                <w:szCs w:val="20"/>
              </w:rPr>
              <w:t>al intention.</w:t>
            </w:r>
          </w:p>
        </w:tc>
      </w:tr>
      <w:tr w:rsidR="0062501B" w:rsidRPr="00151ABA" w14:paraId="53C450D6" w14:textId="77777777" w:rsidTr="00026112">
        <w:tc>
          <w:tcPr>
            <w:tcW w:w="1843" w:type="dxa"/>
          </w:tcPr>
          <w:p w14:paraId="0687A2A4" w14:textId="77777777"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Social contract Theory</w:t>
            </w:r>
          </w:p>
          <w:p w14:paraId="1C771538" w14:textId="77777777"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 xml:space="preserve">Stakeholder Theory </w:t>
            </w:r>
          </w:p>
        </w:tc>
        <w:tc>
          <w:tcPr>
            <w:tcW w:w="2976" w:type="dxa"/>
          </w:tcPr>
          <w:p w14:paraId="1F75BC32" w14:textId="4F04AA41"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Both theories focus on societal and stakeholders’ interests in business decisions</w:t>
            </w:r>
            <w:sdt>
              <w:sdtPr>
                <w:rPr>
                  <w:rFonts w:asciiTheme="majorBidi" w:hAnsiTheme="majorBidi" w:cstheme="majorBidi"/>
                  <w:sz w:val="20"/>
                  <w:szCs w:val="20"/>
                </w:rPr>
                <w:id w:val="-1829130102"/>
                <w:citation/>
              </w:sdtPr>
              <w:sdtContent>
                <w:r w:rsidR="00871E30" w:rsidRPr="00151ABA">
                  <w:rPr>
                    <w:rFonts w:asciiTheme="majorBidi" w:hAnsiTheme="majorBidi" w:cstheme="majorBidi"/>
                    <w:sz w:val="20"/>
                    <w:szCs w:val="20"/>
                  </w:rPr>
                  <w:fldChar w:fldCharType="begin"/>
                </w:r>
                <w:r w:rsidR="00871E30" w:rsidRPr="00151ABA">
                  <w:rPr>
                    <w:rFonts w:asciiTheme="majorBidi" w:hAnsiTheme="majorBidi" w:cstheme="majorBidi"/>
                    <w:sz w:val="20"/>
                    <w:szCs w:val="20"/>
                  </w:rPr>
                  <w:instrText xml:space="preserve"> CITATION Smi09 \l 2057 </w:instrText>
                </w:r>
                <w:r w:rsidR="00871E30" w:rsidRPr="00151ABA">
                  <w:rPr>
                    <w:rFonts w:asciiTheme="majorBidi" w:hAnsiTheme="majorBidi" w:cstheme="majorBidi"/>
                    <w:sz w:val="20"/>
                    <w:szCs w:val="20"/>
                  </w:rPr>
                  <w:fldChar w:fldCharType="separate"/>
                </w:r>
                <w:r w:rsidR="00871E30" w:rsidRPr="00151ABA">
                  <w:rPr>
                    <w:rFonts w:asciiTheme="majorBidi" w:hAnsiTheme="majorBidi" w:cstheme="majorBidi"/>
                    <w:noProof/>
                    <w:sz w:val="20"/>
                    <w:szCs w:val="20"/>
                  </w:rPr>
                  <w:t xml:space="preserve"> (Smith, Kimmel , &amp; Klein, 2009)</w:t>
                </w:r>
                <w:r w:rsidR="00871E30" w:rsidRPr="00151ABA">
                  <w:rPr>
                    <w:rFonts w:asciiTheme="majorBidi" w:hAnsiTheme="majorBidi" w:cstheme="majorBidi"/>
                    <w:sz w:val="20"/>
                    <w:szCs w:val="20"/>
                  </w:rPr>
                  <w:fldChar w:fldCharType="end"/>
                </w:r>
              </w:sdtContent>
            </w:sdt>
            <w:r w:rsidR="00871E30" w:rsidRPr="00151ABA">
              <w:rPr>
                <w:rFonts w:asciiTheme="majorBidi" w:hAnsiTheme="majorBidi" w:cstheme="majorBidi"/>
                <w:sz w:val="20"/>
                <w:szCs w:val="20"/>
              </w:rPr>
              <w:t>.</w:t>
            </w:r>
          </w:p>
        </w:tc>
        <w:tc>
          <w:tcPr>
            <w:tcW w:w="3261" w:type="dxa"/>
          </w:tcPr>
          <w:p w14:paraId="02C17C25" w14:textId="5B679CA0" w:rsidR="00153EE6" w:rsidRPr="00026112" w:rsidRDefault="00153EE6" w:rsidP="00953448">
            <w:pPr>
              <w:adjustRightInd w:val="0"/>
              <w:rPr>
                <w:rFonts w:asciiTheme="majorBidi" w:hAnsiTheme="majorBidi" w:cstheme="majorBidi"/>
                <w:sz w:val="20"/>
                <w:szCs w:val="20"/>
              </w:rPr>
            </w:pPr>
            <w:r w:rsidRPr="00026112">
              <w:rPr>
                <w:rFonts w:asciiTheme="majorBidi" w:hAnsiTheme="majorBidi" w:cstheme="majorBidi"/>
                <w:sz w:val="20"/>
                <w:szCs w:val="20"/>
              </w:rPr>
              <w:t>The aim of the study is not focused on including people’s societal needs in the CSR strategy planning</w:t>
            </w:r>
            <w:r w:rsidR="00462D08" w:rsidRPr="00026112">
              <w:rPr>
                <w:rFonts w:asciiTheme="majorBidi" w:hAnsiTheme="majorBidi" w:cstheme="majorBidi"/>
                <w:sz w:val="20"/>
                <w:szCs w:val="20"/>
              </w:rPr>
              <w:t>.</w:t>
            </w:r>
          </w:p>
        </w:tc>
      </w:tr>
      <w:tr w:rsidR="0062501B" w:rsidRPr="00151ABA" w14:paraId="22AD7824" w14:textId="77777777" w:rsidTr="00026112">
        <w:tc>
          <w:tcPr>
            <w:tcW w:w="1843" w:type="dxa"/>
          </w:tcPr>
          <w:p w14:paraId="2D5E00D4" w14:textId="77777777"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Elaboration Likelihood Model (ELM)</w:t>
            </w:r>
          </w:p>
        </w:tc>
        <w:tc>
          <w:tcPr>
            <w:tcW w:w="2976" w:type="dxa"/>
          </w:tcPr>
          <w:p w14:paraId="0A52A2C1" w14:textId="557830BB"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Explains how persuasive communications can change the attitudes of consumers with high or low levels of cognitive elaboration</w:t>
            </w:r>
            <w:r w:rsidR="00462D08" w:rsidRPr="00151ABA">
              <w:rPr>
                <w:rFonts w:asciiTheme="majorBidi" w:hAnsiTheme="majorBidi" w:cstheme="majorBidi"/>
                <w:sz w:val="20"/>
                <w:szCs w:val="20"/>
              </w:rPr>
              <w:t xml:space="preserve"> </w:t>
            </w:r>
            <w:sdt>
              <w:sdtPr>
                <w:rPr>
                  <w:rFonts w:asciiTheme="majorBidi" w:hAnsiTheme="majorBidi" w:cstheme="majorBidi"/>
                  <w:sz w:val="20"/>
                  <w:szCs w:val="20"/>
                </w:rPr>
                <w:id w:val="764893606"/>
                <w:citation/>
              </w:sdtPr>
              <w:sdtContent>
                <w:r w:rsidR="00462D08" w:rsidRPr="00151ABA">
                  <w:rPr>
                    <w:rFonts w:asciiTheme="majorBidi" w:hAnsiTheme="majorBidi" w:cstheme="majorBidi"/>
                    <w:sz w:val="20"/>
                    <w:szCs w:val="20"/>
                  </w:rPr>
                  <w:fldChar w:fldCharType="begin"/>
                </w:r>
                <w:r w:rsidR="00462D08" w:rsidRPr="00151ABA">
                  <w:rPr>
                    <w:rFonts w:asciiTheme="majorBidi" w:hAnsiTheme="majorBidi" w:cstheme="majorBidi"/>
                    <w:sz w:val="20"/>
                    <w:szCs w:val="20"/>
                  </w:rPr>
                  <w:instrText xml:space="preserve">CITATION Pet86 \t  \l 2057 </w:instrText>
                </w:r>
                <w:r w:rsidR="00462D08" w:rsidRPr="00151ABA">
                  <w:rPr>
                    <w:rFonts w:asciiTheme="majorBidi" w:hAnsiTheme="majorBidi" w:cstheme="majorBidi"/>
                    <w:sz w:val="20"/>
                    <w:szCs w:val="20"/>
                  </w:rPr>
                  <w:fldChar w:fldCharType="separate"/>
                </w:r>
                <w:r w:rsidR="00462D08" w:rsidRPr="00151ABA">
                  <w:rPr>
                    <w:rFonts w:asciiTheme="majorBidi" w:hAnsiTheme="majorBidi" w:cstheme="majorBidi"/>
                    <w:noProof/>
                    <w:sz w:val="20"/>
                    <w:szCs w:val="20"/>
                  </w:rPr>
                  <w:t>(Petty &amp; Cacioppo, 1986)</w:t>
                </w:r>
                <w:r w:rsidR="00462D08"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w:t>
            </w:r>
          </w:p>
        </w:tc>
        <w:tc>
          <w:tcPr>
            <w:tcW w:w="3261" w:type="dxa"/>
          </w:tcPr>
          <w:p w14:paraId="2BDAE178" w14:textId="77777777" w:rsidR="004B44B9" w:rsidRDefault="00153EE6" w:rsidP="00953448">
            <w:pPr>
              <w:adjustRightInd w:val="0"/>
              <w:rPr>
                <w:rFonts w:asciiTheme="majorBidi" w:hAnsiTheme="majorBidi" w:cstheme="majorBidi"/>
                <w:sz w:val="20"/>
                <w:szCs w:val="20"/>
              </w:rPr>
            </w:pPr>
            <w:r w:rsidRPr="004B44B9">
              <w:rPr>
                <w:rFonts w:asciiTheme="majorBidi" w:hAnsiTheme="majorBidi" w:cstheme="majorBidi"/>
                <w:sz w:val="20"/>
                <w:szCs w:val="20"/>
              </w:rPr>
              <w:t xml:space="preserve">This theory focuses on the process of </w:t>
            </w:r>
            <w:bookmarkStart w:id="108" w:name="_Hlk157249143"/>
            <w:r w:rsidRPr="004B44B9">
              <w:rPr>
                <w:rFonts w:asciiTheme="majorBidi" w:hAnsiTheme="majorBidi" w:cstheme="majorBidi"/>
                <w:sz w:val="20"/>
                <w:szCs w:val="20"/>
              </w:rPr>
              <w:t xml:space="preserve">persuasion </w:t>
            </w:r>
            <w:bookmarkEnd w:id="108"/>
          </w:p>
          <w:p w14:paraId="1F3A8282" w14:textId="7B2A9674" w:rsidR="00153EE6" w:rsidRPr="004B44B9" w:rsidRDefault="00153EE6" w:rsidP="00953448">
            <w:pPr>
              <w:adjustRightInd w:val="0"/>
              <w:rPr>
                <w:rFonts w:asciiTheme="majorBidi" w:hAnsiTheme="majorBidi" w:cstheme="majorBidi"/>
                <w:sz w:val="20"/>
                <w:szCs w:val="20"/>
              </w:rPr>
            </w:pPr>
            <w:r w:rsidRPr="004B44B9">
              <w:rPr>
                <w:rFonts w:asciiTheme="majorBidi" w:hAnsiTheme="majorBidi" w:cstheme="majorBidi"/>
                <w:sz w:val="20"/>
                <w:szCs w:val="20"/>
              </w:rPr>
              <w:t xml:space="preserve">and </w:t>
            </w:r>
            <w:r w:rsidR="00462D08" w:rsidRPr="004B44B9">
              <w:rPr>
                <w:rFonts w:asciiTheme="majorBidi" w:hAnsiTheme="majorBidi" w:cstheme="majorBidi"/>
                <w:sz w:val="20"/>
                <w:szCs w:val="20"/>
              </w:rPr>
              <w:t xml:space="preserve">stages of </w:t>
            </w:r>
            <w:r w:rsidRPr="004B44B9">
              <w:rPr>
                <w:rFonts w:asciiTheme="majorBidi" w:hAnsiTheme="majorBidi" w:cstheme="majorBidi"/>
                <w:sz w:val="20"/>
                <w:szCs w:val="20"/>
              </w:rPr>
              <w:t xml:space="preserve">change in the audience’s attitudes after receiving a stimulus like a communication. </w:t>
            </w:r>
          </w:p>
        </w:tc>
      </w:tr>
      <w:tr w:rsidR="0062501B" w:rsidRPr="00151ABA" w14:paraId="5FB53422" w14:textId="77777777" w:rsidTr="00026112">
        <w:tc>
          <w:tcPr>
            <w:tcW w:w="1843" w:type="dxa"/>
          </w:tcPr>
          <w:p w14:paraId="73E6B86B" w14:textId="1D0B4BDD" w:rsidR="00153EE6" w:rsidRPr="00151ABA" w:rsidRDefault="00027F45" w:rsidP="00953448">
            <w:pPr>
              <w:adjustRightInd w:val="0"/>
              <w:rPr>
                <w:rFonts w:asciiTheme="majorBidi" w:hAnsiTheme="majorBidi" w:cstheme="majorBidi"/>
                <w:sz w:val="20"/>
                <w:szCs w:val="20"/>
              </w:rPr>
            </w:pPr>
            <w:r w:rsidRPr="00151ABA">
              <w:rPr>
                <w:rFonts w:asciiTheme="majorBidi" w:hAnsiTheme="majorBidi" w:cstheme="majorBidi"/>
                <w:sz w:val="20"/>
                <w:szCs w:val="20"/>
              </w:rPr>
              <w:t>C</w:t>
            </w:r>
            <w:r w:rsidR="00153EE6" w:rsidRPr="00151ABA">
              <w:rPr>
                <w:rFonts w:asciiTheme="majorBidi" w:hAnsiTheme="majorBidi" w:cstheme="majorBidi"/>
                <w:sz w:val="20"/>
                <w:szCs w:val="20"/>
              </w:rPr>
              <w:t xml:space="preserve">ognitive </w:t>
            </w:r>
            <w:r w:rsidRPr="00151ABA">
              <w:rPr>
                <w:rFonts w:asciiTheme="majorBidi" w:hAnsiTheme="majorBidi" w:cstheme="majorBidi"/>
                <w:sz w:val="20"/>
                <w:szCs w:val="20"/>
              </w:rPr>
              <w:t>E</w:t>
            </w:r>
            <w:r w:rsidR="00153EE6" w:rsidRPr="00151ABA">
              <w:rPr>
                <w:rFonts w:asciiTheme="majorBidi" w:hAnsiTheme="majorBidi" w:cstheme="majorBidi"/>
                <w:sz w:val="20"/>
                <w:szCs w:val="20"/>
              </w:rPr>
              <w:t xml:space="preserve">motion </w:t>
            </w:r>
            <w:r w:rsidRPr="00151ABA">
              <w:rPr>
                <w:rFonts w:asciiTheme="majorBidi" w:hAnsiTheme="majorBidi" w:cstheme="majorBidi"/>
                <w:sz w:val="20"/>
                <w:szCs w:val="20"/>
              </w:rPr>
              <w:t>T</w:t>
            </w:r>
            <w:r w:rsidR="00153EE6" w:rsidRPr="00151ABA">
              <w:rPr>
                <w:rFonts w:asciiTheme="majorBidi" w:hAnsiTheme="majorBidi" w:cstheme="majorBidi"/>
                <w:sz w:val="20"/>
                <w:szCs w:val="20"/>
              </w:rPr>
              <w:t>heory (CET)</w:t>
            </w:r>
          </w:p>
          <w:p w14:paraId="753DDBAD" w14:textId="77777777" w:rsidR="00153EE6" w:rsidRPr="00151ABA" w:rsidRDefault="00153EE6" w:rsidP="00953448">
            <w:pPr>
              <w:adjustRightInd w:val="0"/>
              <w:rPr>
                <w:rFonts w:asciiTheme="majorBidi" w:hAnsiTheme="majorBidi" w:cstheme="majorBidi"/>
                <w:sz w:val="20"/>
                <w:szCs w:val="20"/>
              </w:rPr>
            </w:pPr>
          </w:p>
        </w:tc>
        <w:tc>
          <w:tcPr>
            <w:tcW w:w="2976" w:type="dxa"/>
          </w:tcPr>
          <w:p w14:paraId="612170F5" w14:textId="2A4C224F"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Explains the mix of cognition and emotional influences on people’s final behaviours</w:t>
            </w:r>
            <w:r w:rsidR="00462D08" w:rsidRPr="00151ABA">
              <w:rPr>
                <w:rFonts w:asciiTheme="majorBidi" w:hAnsiTheme="majorBidi" w:cstheme="majorBidi"/>
                <w:sz w:val="20"/>
                <w:szCs w:val="20"/>
              </w:rPr>
              <w:t xml:space="preserve"> </w:t>
            </w:r>
            <w:sdt>
              <w:sdtPr>
                <w:rPr>
                  <w:rFonts w:asciiTheme="majorBidi" w:hAnsiTheme="majorBidi" w:cstheme="majorBidi"/>
                  <w:sz w:val="20"/>
                  <w:szCs w:val="20"/>
                </w:rPr>
                <w:id w:val="144089330"/>
                <w:citation/>
              </w:sdtPr>
              <w:sdtContent>
                <w:r w:rsidR="00462D08" w:rsidRPr="00151ABA">
                  <w:rPr>
                    <w:rFonts w:asciiTheme="majorBidi" w:hAnsiTheme="majorBidi" w:cstheme="majorBidi"/>
                    <w:sz w:val="20"/>
                    <w:szCs w:val="20"/>
                  </w:rPr>
                  <w:fldChar w:fldCharType="begin"/>
                </w:r>
                <w:r w:rsidR="00462D08" w:rsidRPr="00151ABA">
                  <w:rPr>
                    <w:rFonts w:asciiTheme="majorBidi" w:hAnsiTheme="majorBidi" w:cstheme="majorBidi"/>
                    <w:sz w:val="20"/>
                    <w:szCs w:val="20"/>
                  </w:rPr>
                  <w:instrText xml:space="preserve"> CITATION Akr17 \l 2057 </w:instrText>
                </w:r>
                <w:r w:rsidR="00462D08" w:rsidRPr="00151ABA">
                  <w:rPr>
                    <w:rFonts w:asciiTheme="majorBidi" w:hAnsiTheme="majorBidi" w:cstheme="majorBidi"/>
                    <w:sz w:val="20"/>
                    <w:szCs w:val="20"/>
                  </w:rPr>
                  <w:fldChar w:fldCharType="separate"/>
                </w:r>
                <w:r w:rsidR="00462D08" w:rsidRPr="00151ABA">
                  <w:rPr>
                    <w:rFonts w:asciiTheme="majorBidi" w:hAnsiTheme="majorBidi" w:cstheme="majorBidi"/>
                    <w:noProof/>
                    <w:sz w:val="20"/>
                    <w:szCs w:val="20"/>
                  </w:rPr>
                  <w:t xml:space="preserve"> (Akram , et al., 2017)</w:t>
                </w:r>
                <w:r w:rsidR="00462D08"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 xml:space="preserve">.  </w:t>
            </w:r>
          </w:p>
        </w:tc>
        <w:tc>
          <w:tcPr>
            <w:tcW w:w="3261" w:type="dxa"/>
          </w:tcPr>
          <w:p w14:paraId="5AF7639C" w14:textId="3181BFBF" w:rsidR="00153EE6" w:rsidRPr="00026112" w:rsidRDefault="00153EE6" w:rsidP="00953448">
            <w:pPr>
              <w:adjustRightInd w:val="0"/>
              <w:rPr>
                <w:rFonts w:asciiTheme="majorBidi" w:hAnsiTheme="majorBidi" w:cstheme="majorBidi"/>
                <w:sz w:val="20"/>
                <w:szCs w:val="20"/>
              </w:rPr>
            </w:pPr>
            <w:r w:rsidRPr="00026112">
              <w:rPr>
                <w:rFonts w:asciiTheme="majorBidi" w:hAnsiTheme="majorBidi" w:cstheme="majorBidi"/>
                <w:sz w:val="20"/>
                <w:szCs w:val="20"/>
              </w:rPr>
              <w:t xml:space="preserve">Focuses on behaviour rather than intention. </w:t>
            </w:r>
          </w:p>
        </w:tc>
      </w:tr>
      <w:tr w:rsidR="0062501B" w:rsidRPr="00151ABA" w14:paraId="587C2502" w14:textId="77777777" w:rsidTr="00026112">
        <w:tc>
          <w:tcPr>
            <w:tcW w:w="1843" w:type="dxa"/>
          </w:tcPr>
          <w:p w14:paraId="459DDBBC" w14:textId="77777777"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Attitude-Behaviour-Context (ABC)</w:t>
            </w:r>
          </w:p>
          <w:p w14:paraId="54039DE7" w14:textId="77777777" w:rsidR="00153EE6" w:rsidRPr="00151ABA" w:rsidRDefault="00153EE6" w:rsidP="00953448">
            <w:pPr>
              <w:adjustRightInd w:val="0"/>
              <w:rPr>
                <w:rFonts w:asciiTheme="majorBidi" w:hAnsiTheme="majorBidi" w:cstheme="majorBidi"/>
                <w:sz w:val="20"/>
                <w:szCs w:val="20"/>
              </w:rPr>
            </w:pPr>
          </w:p>
        </w:tc>
        <w:tc>
          <w:tcPr>
            <w:tcW w:w="2976" w:type="dxa"/>
          </w:tcPr>
          <w:p w14:paraId="29CD8242" w14:textId="1CB6C46C"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 xml:space="preserve">Refers to contextual factors and inner attitudes that influences behaviour that consumers perceive will provide them with benefits </w:t>
            </w:r>
            <w:sdt>
              <w:sdtPr>
                <w:rPr>
                  <w:rFonts w:asciiTheme="majorBidi" w:hAnsiTheme="majorBidi" w:cstheme="majorBidi"/>
                  <w:sz w:val="20"/>
                  <w:szCs w:val="20"/>
                </w:rPr>
                <w:id w:val="-1268761084"/>
                <w:citation/>
              </w:sdtPr>
              <w:sdtContent>
                <w:r w:rsidR="00462D08" w:rsidRPr="00151ABA">
                  <w:rPr>
                    <w:rFonts w:asciiTheme="majorBidi" w:hAnsiTheme="majorBidi" w:cstheme="majorBidi"/>
                    <w:sz w:val="20"/>
                    <w:szCs w:val="20"/>
                  </w:rPr>
                  <w:fldChar w:fldCharType="begin"/>
                </w:r>
                <w:r w:rsidR="00462D08" w:rsidRPr="00151ABA">
                  <w:rPr>
                    <w:rFonts w:asciiTheme="majorBidi" w:hAnsiTheme="majorBidi" w:cstheme="majorBidi"/>
                    <w:sz w:val="20"/>
                    <w:szCs w:val="20"/>
                  </w:rPr>
                  <w:instrText xml:space="preserve"> CITATION Gua95 \l 2057 </w:instrText>
                </w:r>
                <w:r w:rsidR="00462D08" w:rsidRPr="00151ABA">
                  <w:rPr>
                    <w:rFonts w:asciiTheme="majorBidi" w:hAnsiTheme="majorBidi" w:cstheme="majorBidi"/>
                    <w:sz w:val="20"/>
                    <w:szCs w:val="20"/>
                  </w:rPr>
                  <w:fldChar w:fldCharType="separate"/>
                </w:r>
                <w:r w:rsidR="00462D08" w:rsidRPr="00151ABA">
                  <w:rPr>
                    <w:rFonts w:asciiTheme="majorBidi" w:hAnsiTheme="majorBidi" w:cstheme="majorBidi"/>
                    <w:noProof/>
                    <w:sz w:val="20"/>
                    <w:szCs w:val="20"/>
                  </w:rPr>
                  <w:t>(Guagnano, Stern, &amp; Dietz, 1995)</w:t>
                </w:r>
                <w:r w:rsidR="00462D08" w:rsidRPr="00151ABA">
                  <w:rPr>
                    <w:rFonts w:asciiTheme="majorBidi" w:hAnsiTheme="majorBidi" w:cstheme="majorBidi"/>
                    <w:sz w:val="20"/>
                    <w:szCs w:val="20"/>
                  </w:rPr>
                  <w:fldChar w:fldCharType="end"/>
                </w:r>
              </w:sdtContent>
            </w:sdt>
            <w:r w:rsidR="00F62A0B" w:rsidRPr="00151ABA">
              <w:rPr>
                <w:rFonts w:asciiTheme="majorBidi" w:hAnsiTheme="majorBidi" w:cstheme="majorBidi"/>
                <w:sz w:val="20"/>
                <w:szCs w:val="20"/>
              </w:rPr>
              <w:t>.</w:t>
            </w:r>
          </w:p>
        </w:tc>
        <w:tc>
          <w:tcPr>
            <w:tcW w:w="3261" w:type="dxa"/>
          </w:tcPr>
          <w:p w14:paraId="4C0AE190" w14:textId="1512EC8C" w:rsidR="00153EE6" w:rsidRPr="00026112" w:rsidRDefault="00153EE6" w:rsidP="00953448">
            <w:pPr>
              <w:adjustRightInd w:val="0"/>
              <w:rPr>
                <w:rFonts w:asciiTheme="majorBidi" w:hAnsiTheme="majorBidi" w:cstheme="majorBidi"/>
                <w:sz w:val="20"/>
                <w:szCs w:val="20"/>
              </w:rPr>
            </w:pPr>
            <w:r w:rsidRPr="00026112">
              <w:rPr>
                <w:rFonts w:asciiTheme="majorBidi" w:hAnsiTheme="majorBidi" w:cstheme="majorBidi"/>
                <w:sz w:val="20"/>
                <w:szCs w:val="20"/>
              </w:rPr>
              <w:t>Theory is focused on bridging the gap between attitude and consumption behaviour</w:t>
            </w:r>
            <w:r w:rsidR="00395F8B" w:rsidRPr="00026112">
              <w:rPr>
                <w:rFonts w:asciiTheme="majorBidi" w:hAnsiTheme="majorBidi" w:cstheme="majorBidi"/>
                <w:sz w:val="20"/>
                <w:szCs w:val="20"/>
              </w:rPr>
              <w:t xml:space="preserve"> </w:t>
            </w:r>
            <w:r w:rsidR="00F62A0B" w:rsidRPr="00026112">
              <w:rPr>
                <w:rFonts w:asciiTheme="majorBidi" w:hAnsiTheme="majorBidi" w:cstheme="majorBidi"/>
                <w:sz w:val="20"/>
                <w:szCs w:val="20"/>
              </w:rPr>
              <w:t>which does</w:t>
            </w:r>
            <w:r w:rsidR="00027F45" w:rsidRPr="00026112">
              <w:rPr>
                <w:rFonts w:asciiTheme="majorBidi" w:hAnsiTheme="majorBidi" w:cstheme="majorBidi"/>
                <w:sz w:val="20"/>
                <w:szCs w:val="20"/>
              </w:rPr>
              <w:t xml:space="preserve"> no</w:t>
            </w:r>
            <w:r w:rsidR="00F62A0B" w:rsidRPr="00026112">
              <w:rPr>
                <w:rFonts w:asciiTheme="majorBidi" w:hAnsiTheme="majorBidi" w:cstheme="majorBidi"/>
                <w:sz w:val="20"/>
                <w:szCs w:val="20"/>
              </w:rPr>
              <w:t xml:space="preserve">t serve the purpose of this study. </w:t>
            </w:r>
          </w:p>
        </w:tc>
      </w:tr>
      <w:tr w:rsidR="0062501B" w:rsidRPr="00151ABA" w14:paraId="02C11DC9" w14:textId="77777777" w:rsidTr="00026112">
        <w:tc>
          <w:tcPr>
            <w:tcW w:w="1843" w:type="dxa"/>
          </w:tcPr>
          <w:p w14:paraId="2DA49372" w14:textId="77777777"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Tri-component cognitive response theory model</w:t>
            </w:r>
          </w:p>
          <w:p w14:paraId="1DB94E77" w14:textId="77777777" w:rsidR="00153EE6" w:rsidRPr="00151ABA" w:rsidRDefault="00153EE6" w:rsidP="00953448">
            <w:pPr>
              <w:adjustRightInd w:val="0"/>
              <w:rPr>
                <w:rFonts w:asciiTheme="majorBidi" w:hAnsiTheme="majorBidi" w:cstheme="majorBidi"/>
                <w:sz w:val="20"/>
                <w:szCs w:val="20"/>
              </w:rPr>
            </w:pPr>
          </w:p>
        </w:tc>
        <w:tc>
          <w:tcPr>
            <w:tcW w:w="2976" w:type="dxa"/>
          </w:tcPr>
          <w:p w14:paraId="6903DABC" w14:textId="5355ABBB" w:rsidR="00153EE6" w:rsidRPr="00151ABA" w:rsidRDefault="00153EE6" w:rsidP="00953448">
            <w:pPr>
              <w:adjustRightInd w:val="0"/>
              <w:rPr>
                <w:rFonts w:asciiTheme="majorBidi" w:hAnsiTheme="majorBidi" w:cstheme="majorBidi"/>
                <w:sz w:val="20"/>
                <w:szCs w:val="20"/>
              </w:rPr>
            </w:pPr>
            <w:r w:rsidRPr="00151ABA">
              <w:rPr>
                <w:rFonts w:asciiTheme="majorBidi" w:hAnsiTheme="majorBidi" w:cstheme="majorBidi"/>
                <w:sz w:val="20"/>
                <w:szCs w:val="20"/>
              </w:rPr>
              <w:t>Explains how people perceive situations and behave towards certain situations</w:t>
            </w:r>
            <w:r w:rsidR="00F62A0B" w:rsidRPr="00151ABA">
              <w:rPr>
                <w:rFonts w:asciiTheme="majorBidi" w:hAnsiTheme="majorBidi" w:cstheme="majorBidi"/>
                <w:sz w:val="20"/>
                <w:szCs w:val="20"/>
              </w:rPr>
              <w:t xml:space="preserve"> </w:t>
            </w:r>
            <w:sdt>
              <w:sdtPr>
                <w:rPr>
                  <w:rFonts w:asciiTheme="majorBidi" w:hAnsiTheme="majorBidi" w:cstheme="majorBidi"/>
                  <w:sz w:val="20"/>
                  <w:szCs w:val="20"/>
                </w:rPr>
                <w:id w:val="307368480"/>
                <w:citation/>
              </w:sdtPr>
              <w:sdtContent>
                <w:r w:rsidR="00F62A0B" w:rsidRPr="00151ABA">
                  <w:rPr>
                    <w:rFonts w:asciiTheme="majorBidi" w:hAnsiTheme="majorBidi" w:cstheme="majorBidi"/>
                    <w:sz w:val="20"/>
                    <w:szCs w:val="20"/>
                  </w:rPr>
                  <w:fldChar w:fldCharType="begin"/>
                </w:r>
                <w:r w:rsidR="00F62A0B" w:rsidRPr="00151ABA">
                  <w:rPr>
                    <w:rFonts w:asciiTheme="majorBidi" w:hAnsiTheme="majorBidi" w:cstheme="majorBidi"/>
                    <w:sz w:val="20"/>
                    <w:szCs w:val="20"/>
                  </w:rPr>
                  <w:instrText xml:space="preserve">CITATION Ros60 \l 2057 </w:instrText>
                </w:r>
                <w:r w:rsidR="00F62A0B" w:rsidRPr="00151ABA">
                  <w:rPr>
                    <w:rFonts w:asciiTheme="majorBidi" w:hAnsiTheme="majorBidi" w:cstheme="majorBidi"/>
                    <w:sz w:val="20"/>
                    <w:szCs w:val="20"/>
                  </w:rPr>
                  <w:fldChar w:fldCharType="separate"/>
                </w:r>
                <w:r w:rsidR="00F62A0B" w:rsidRPr="00151ABA">
                  <w:rPr>
                    <w:rFonts w:asciiTheme="majorBidi" w:hAnsiTheme="majorBidi" w:cstheme="majorBidi"/>
                    <w:noProof/>
                    <w:sz w:val="20"/>
                    <w:szCs w:val="20"/>
                  </w:rPr>
                  <w:t>(Rosenberg &amp; Hovland, 1960)</w:t>
                </w:r>
                <w:r w:rsidR="00F62A0B"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w:t>
            </w:r>
          </w:p>
        </w:tc>
        <w:tc>
          <w:tcPr>
            <w:tcW w:w="3261" w:type="dxa"/>
          </w:tcPr>
          <w:p w14:paraId="53EB3E47" w14:textId="77777777" w:rsidR="00153EE6" w:rsidRPr="00026112" w:rsidRDefault="00153EE6" w:rsidP="00727E91">
            <w:pPr>
              <w:keepNext/>
              <w:adjustRightInd w:val="0"/>
              <w:rPr>
                <w:rFonts w:asciiTheme="majorBidi" w:hAnsiTheme="majorBidi" w:cstheme="majorBidi"/>
                <w:sz w:val="20"/>
                <w:szCs w:val="20"/>
              </w:rPr>
            </w:pPr>
            <w:r w:rsidRPr="00026112">
              <w:rPr>
                <w:rFonts w:asciiTheme="majorBidi" w:hAnsiTheme="majorBidi" w:cstheme="majorBidi"/>
                <w:sz w:val="20"/>
                <w:szCs w:val="20"/>
              </w:rPr>
              <w:t xml:space="preserve">The tri-component attitude model explains attitudes in reference to three main components which are cognition, affection, and behaviour.  </w:t>
            </w:r>
          </w:p>
        </w:tc>
      </w:tr>
    </w:tbl>
    <w:p w14:paraId="45A06263" w14:textId="01F375C3" w:rsidR="00153EE6" w:rsidRDefault="00727E91" w:rsidP="00727E91">
      <w:pPr>
        <w:pStyle w:val="Caption"/>
        <w:rPr>
          <w:rFonts w:asciiTheme="majorBidi" w:hAnsiTheme="majorBidi" w:cstheme="majorBidi"/>
          <w:sz w:val="24"/>
          <w:szCs w:val="24"/>
        </w:rPr>
      </w:pPr>
      <w:r>
        <w:t xml:space="preserve">Table </w:t>
      </w:r>
      <w:r w:rsidR="00044DE9">
        <w:t>8</w:t>
      </w:r>
      <w:r>
        <w:t xml:space="preserve"> Summary of main theories discussed in this section</w:t>
      </w:r>
    </w:p>
    <w:p w14:paraId="34EB5CEA" w14:textId="32537052" w:rsidR="00153EE6" w:rsidRDefault="00153EE6" w:rsidP="00D25EE3">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One of the </w:t>
      </w:r>
      <w:r w:rsidRPr="00807060">
        <w:rPr>
          <w:rFonts w:asciiTheme="majorBidi" w:hAnsiTheme="majorBidi" w:cstheme="majorBidi"/>
          <w:sz w:val="24"/>
          <w:szCs w:val="24"/>
        </w:rPr>
        <w:t>main goal</w:t>
      </w:r>
      <w:r>
        <w:rPr>
          <w:rFonts w:asciiTheme="majorBidi" w:hAnsiTheme="majorBidi" w:cstheme="majorBidi"/>
          <w:sz w:val="24"/>
          <w:szCs w:val="24"/>
        </w:rPr>
        <w:t>s</w:t>
      </w:r>
      <w:r w:rsidRPr="00807060">
        <w:rPr>
          <w:rFonts w:asciiTheme="majorBidi" w:hAnsiTheme="majorBidi" w:cstheme="majorBidi"/>
          <w:sz w:val="24"/>
          <w:szCs w:val="24"/>
        </w:rPr>
        <w:t xml:space="preserve"> of </w:t>
      </w:r>
      <w:r>
        <w:rPr>
          <w:rFonts w:asciiTheme="majorBidi" w:hAnsiTheme="majorBidi" w:cstheme="majorBidi"/>
          <w:sz w:val="24"/>
          <w:szCs w:val="24"/>
        </w:rPr>
        <w:t>marketing communication</w:t>
      </w:r>
      <w:r w:rsidRPr="00807060">
        <w:rPr>
          <w:rFonts w:asciiTheme="majorBidi" w:hAnsiTheme="majorBidi" w:cstheme="majorBidi"/>
          <w:sz w:val="24"/>
          <w:szCs w:val="24"/>
        </w:rPr>
        <w:t xml:space="preserve"> is to build brand awareness and promote positive brand image which will increase consumer loyalty and will have a profitable impact on the company</w:t>
      </w:r>
      <w:sdt>
        <w:sdtPr>
          <w:rPr>
            <w:rFonts w:asciiTheme="majorBidi" w:hAnsiTheme="majorBidi" w:cstheme="majorBidi"/>
            <w:sz w:val="24"/>
            <w:szCs w:val="24"/>
          </w:rPr>
          <w:id w:val="91019701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Placeholder2 \t  \m Placeholder3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153EE6">
            <w:rPr>
              <w:rFonts w:asciiTheme="majorBidi" w:hAnsiTheme="majorBidi" w:cstheme="majorBidi"/>
              <w:noProof/>
              <w:sz w:val="24"/>
              <w:szCs w:val="24"/>
            </w:rPr>
            <w:t>(Bassano, Gaeta, Piciocchi, &amp; Spohrer, 2017; Bruce, Becker, &amp; Reinartz, 2020)</w:t>
          </w:r>
          <w:r>
            <w:rPr>
              <w:rFonts w:asciiTheme="majorBidi" w:hAnsiTheme="majorBidi" w:cstheme="majorBidi"/>
              <w:sz w:val="24"/>
              <w:szCs w:val="24"/>
            </w:rPr>
            <w:fldChar w:fldCharType="end"/>
          </w:r>
        </w:sdtContent>
      </w:sdt>
      <w:r w:rsidRPr="00807060">
        <w:rPr>
          <w:rFonts w:asciiTheme="majorBidi" w:hAnsiTheme="majorBidi" w:cstheme="majorBidi"/>
          <w:sz w:val="24"/>
          <w:szCs w:val="24"/>
        </w:rPr>
        <w:t xml:space="preserve">. In fact, it is difficult to measure the sole effect of a hypothetical advertising campaign on product purchase (actual behaviour) as the decision of product purchasing is </w:t>
      </w:r>
      <w:r w:rsidRPr="0010282B">
        <w:rPr>
          <w:rFonts w:asciiTheme="majorBidi" w:hAnsiTheme="majorBidi" w:cstheme="majorBidi"/>
          <w:sz w:val="24"/>
          <w:szCs w:val="24"/>
        </w:rPr>
        <w:t xml:space="preserve">influenced by </w:t>
      </w:r>
      <w:r>
        <w:rPr>
          <w:rFonts w:asciiTheme="majorBidi" w:hAnsiTheme="majorBidi" w:cstheme="majorBidi"/>
          <w:sz w:val="24"/>
          <w:szCs w:val="24"/>
        </w:rPr>
        <w:t>many</w:t>
      </w:r>
      <w:r w:rsidRPr="0010282B">
        <w:rPr>
          <w:rFonts w:asciiTheme="majorBidi" w:hAnsiTheme="majorBidi" w:cstheme="majorBidi"/>
          <w:sz w:val="24"/>
          <w:szCs w:val="24"/>
        </w:rPr>
        <w:t xml:space="preserve"> variables. Because of many other variables that are difficult to control in real life, measuring the impact of advertising </w:t>
      </w:r>
      <w:r>
        <w:rPr>
          <w:rFonts w:asciiTheme="majorBidi" w:hAnsiTheme="majorBidi" w:cstheme="majorBidi"/>
          <w:sz w:val="24"/>
          <w:szCs w:val="24"/>
        </w:rPr>
        <w:t xml:space="preserve">is usually not </w:t>
      </w:r>
      <w:r w:rsidRPr="0010282B">
        <w:rPr>
          <w:rFonts w:asciiTheme="majorBidi" w:hAnsiTheme="majorBidi" w:cstheme="majorBidi"/>
          <w:sz w:val="24"/>
          <w:szCs w:val="24"/>
        </w:rPr>
        <w:t>based on actual behaviour but based on preceding evaluations that can give high indications of future purchase behaviour</w:t>
      </w:r>
      <w:r w:rsidRPr="0029267F">
        <w:rPr>
          <w:rFonts w:asciiTheme="majorBidi" w:hAnsiTheme="majorBidi" w:cstheme="majorBidi"/>
          <w:sz w:val="24"/>
          <w:szCs w:val="24"/>
        </w:rPr>
        <w:t xml:space="preserve"> </w:t>
      </w:r>
      <w:sdt>
        <w:sdtPr>
          <w:rPr>
            <w:rFonts w:asciiTheme="majorBidi" w:hAnsiTheme="majorBidi" w:cstheme="majorBidi"/>
            <w:sz w:val="24"/>
            <w:szCs w:val="24"/>
          </w:rPr>
          <w:id w:val="-334607490"/>
          <w:citation/>
        </w:sdtPr>
        <w:sdtContent>
          <w:r w:rsidRPr="00540A51">
            <w:rPr>
              <w:rFonts w:asciiTheme="majorBidi" w:hAnsiTheme="majorBidi" w:cstheme="majorBidi"/>
              <w:sz w:val="24"/>
              <w:szCs w:val="24"/>
            </w:rPr>
            <w:fldChar w:fldCharType="begin"/>
          </w:r>
          <w:r w:rsidRPr="00540A51">
            <w:rPr>
              <w:rFonts w:asciiTheme="majorBidi" w:hAnsiTheme="majorBidi" w:cstheme="majorBidi"/>
              <w:sz w:val="24"/>
              <w:szCs w:val="24"/>
            </w:rPr>
            <w:instrText xml:space="preserve"> CITATION Ree17 \l 2057 </w:instrText>
          </w:r>
          <w:r w:rsidRPr="00540A51">
            <w:rPr>
              <w:rFonts w:asciiTheme="majorBidi" w:hAnsiTheme="majorBidi" w:cstheme="majorBidi"/>
              <w:sz w:val="24"/>
              <w:szCs w:val="24"/>
            </w:rPr>
            <w:fldChar w:fldCharType="separate"/>
          </w:r>
          <w:r w:rsidRPr="00094CEC">
            <w:rPr>
              <w:rFonts w:asciiTheme="majorBidi" w:hAnsiTheme="majorBidi" w:cstheme="majorBidi"/>
              <w:noProof/>
              <w:sz w:val="24"/>
              <w:szCs w:val="24"/>
            </w:rPr>
            <w:t>(Reeves, 2017)</w:t>
          </w:r>
          <w:r w:rsidRPr="00540A51">
            <w:rPr>
              <w:rFonts w:asciiTheme="majorBidi" w:hAnsiTheme="majorBidi" w:cstheme="majorBidi"/>
              <w:sz w:val="24"/>
              <w:szCs w:val="24"/>
            </w:rPr>
            <w:fldChar w:fldCharType="end"/>
          </w:r>
        </w:sdtContent>
      </w:sdt>
      <w:r w:rsidRPr="0010282B">
        <w:rPr>
          <w:rFonts w:asciiTheme="majorBidi" w:hAnsiTheme="majorBidi" w:cstheme="majorBidi"/>
          <w:sz w:val="24"/>
          <w:szCs w:val="24"/>
        </w:rPr>
        <w:t xml:space="preserve">. </w:t>
      </w:r>
      <w:r>
        <w:rPr>
          <w:rFonts w:asciiTheme="majorBidi" w:hAnsiTheme="majorBidi" w:cstheme="majorBidi"/>
          <w:sz w:val="24"/>
          <w:szCs w:val="24"/>
        </w:rPr>
        <w:t>As discussed above,</w:t>
      </w:r>
      <w:r w:rsidRPr="0010282B">
        <w:rPr>
          <w:rFonts w:asciiTheme="majorBidi" w:hAnsiTheme="majorBidi" w:cstheme="majorBidi"/>
          <w:sz w:val="24"/>
          <w:szCs w:val="24"/>
        </w:rPr>
        <w:t xml:space="preserve"> relying on intentions to forecast purchase behaviour </w:t>
      </w:r>
      <w:r w:rsidR="00027F45">
        <w:rPr>
          <w:rFonts w:asciiTheme="majorBidi" w:hAnsiTheme="majorBidi" w:cstheme="majorBidi"/>
          <w:sz w:val="24"/>
          <w:szCs w:val="24"/>
        </w:rPr>
        <w:t>is</w:t>
      </w:r>
      <w:r w:rsidRPr="0010282B">
        <w:rPr>
          <w:rFonts w:asciiTheme="majorBidi" w:hAnsiTheme="majorBidi" w:cstheme="majorBidi"/>
          <w:sz w:val="24"/>
          <w:szCs w:val="24"/>
        </w:rPr>
        <w:t xml:space="preserve"> based on robust theoretical and empirical predictions</w:t>
      </w:r>
      <w:r w:rsidRPr="002E2A92">
        <w:rPr>
          <w:rFonts w:asciiTheme="majorBidi" w:hAnsiTheme="majorBidi" w:cstheme="majorBidi"/>
          <w:sz w:val="24"/>
          <w:szCs w:val="24"/>
        </w:rPr>
        <w:t xml:space="preserve"> </w:t>
      </w:r>
      <w:sdt>
        <w:sdtPr>
          <w:rPr>
            <w:rFonts w:asciiTheme="majorBidi" w:hAnsiTheme="majorBidi" w:cstheme="majorBidi"/>
            <w:sz w:val="24"/>
            <w:szCs w:val="24"/>
          </w:rPr>
          <w:id w:val="-2090297314"/>
          <w:citation/>
        </w:sdtPr>
        <w:sdtContent>
          <w:r w:rsidRPr="00540A51">
            <w:rPr>
              <w:rFonts w:asciiTheme="majorBidi" w:hAnsiTheme="majorBidi" w:cstheme="majorBidi"/>
              <w:sz w:val="24"/>
              <w:szCs w:val="24"/>
            </w:rPr>
            <w:fldChar w:fldCharType="begin"/>
          </w:r>
          <w:r w:rsidRPr="00540A51">
            <w:rPr>
              <w:rFonts w:asciiTheme="majorBidi" w:hAnsiTheme="majorBidi" w:cstheme="majorBidi"/>
              <w:sz w:val="24"/>
              <w:szCs w:val="24"/>
            </w:rPr>
            <w:instrText xml:space="preserve"> CITATION Arm10 \l 2057  \m Mor12 \m She02</w:instrText>
          </w:r>
          <w:r w:rsidRPr="00540A51">
            <w:rPr>
              <w:rFonts w:asciiTheme="majorBidi" w:hAnsiTheme="majorBidi" w:cstheme="majorBidi"/>
              <w:sz w:val="24"/>
              <w:szCs w:val="24"/>
            </w:rPr>
            <w:fldChar w:fldCharType="separate"/>
          </w:r>
          <w:r w:rsidRPr="00094CEC">
            <w:rPr>
              <w:rFonts w:asciiTheme="majorBidi" w:hAnsiTheme="majorBidi" w:cstheme="majorBidi"/>
              <w:noProof/>
              <w:sz w:val="24"/>
              <w:szCs w:val="24"/>
            </w:rPr>
            <w:t>(Armitage &amp; Conner, 2010; Morwitz, 2012; Sheeran, 2002)</w:t>
          </w:r>
          <w:r w:rsidRPr="00540A51">
            <w:rPr>
              <w:rFonts w:asciiTheme="majorBidi" w:hAnsiTheme="majorBidi" w:cstheme="majorBidi"/>
              <w:sz w:val="24"/>
              <w:szCs w:val="24"/>
            </w:rPr>
            <w:fldChar w:fldCharType="end"/>
          </w:r>
        </w:sdtContent>
      </w:sdt>
      <w:r w:rsidRPr="0010282B">
        <w:rPr>
          <w:rFonts w:asciiTheme="majorBidi" w:hAnsiTheme="majorBidi" w:cstheme="majorBidi"/>
          <w:sz w:val="24"/>
          <w:szCs w:val="24"/>
        </w:rPr>
        <w:t>. Hence, this study focus</w:t>
      </w:r>
      <w:r>
        <w:rPr>
          <w:rFonts w:asciiTheme="majorBidi" w:hAnsiTheme="majorBidi" w:cstheme="majorBidi"/>
          <w:sz w:val="24"/>
          <w:szCs w:val="24"/>
        </w:rPr>
        <w:t>es</w:t>
      </w:r>
      <w:r w:rsidRPr="0010282B">
        <w:rPr>
          <w:rFonts w:asciiTheme="majorBidi" w:hAnsiTheme="majorBidi" w:cstheme="majorBidi"/>
          <w:sz w:val="24"/>
          <w:szCs w:val="24"/>
        </w:rPr>
        <w:t xml:space="preserve"> on measuring purchase intentions, perceptual effects or “halo effects” created by CSR </w:t>
      </w:r>
      <w:r w:rsidR="00395F8B">
        <w:rPr>
          <w:rFonts w:asciiTheme="majorBidi" w:hAnsiTheme="majorBidi" w:cstheme="majorBidi"/>
          <w:sz w:val="24"/>
          <w:szCs w:val="24"/>
        </w:rPr>
        <w:t>communication</w:t>
      </w:r>
      <w:r w:rsidRPr="0010282B">
        <w:rPr>
          <w:rFonts w:asciiTheme="majorBidi" w:hAnsiTheme="majorBidi" w:cstheme="majorBidi"/>
          <w:sz w:val="24"/>
          <w:szCs w:val="24"/>
        </w:rPr>
        <w:t>.</w:t>
      </w:r>
      <w:r>
        <w:rPr>
          <w:rFonts w:asciiTheme="majorBidi" w:hAnsiTheme="majorBidi" w:cstheme="majorBidi"/>
          <w:sz w:val="24"/>
          <w:szCs w:val="24"/>
        </w:rPr>
        <w:t xml:space="preserve"> Based on the preceding review of theories, the following section explains the reason that the halo </w:t>
      </w:r>
      <w:r w:rsidR="00027F45">
        <w:rPr>
          <w:rFonts w:asciiTheme="majorBidi" w:hAnsiTheme="majorBidi" w:cstheme="majorBidi"/>
          <w:sz w:val="24"/>
          <w:szCs w:val="24"/>
        </w:rPr>
        <w:t>e</w:t>
      </w:r>
      <w:r>
        <w:rPr>
          <w:rFonts w:asciiTheme="majorBidi" w:hAnsiTheme="majorBidi" w:cstheme="majorBidi"/>
          <w:sz w:val="24"/>
          <w:szCs w:val="24"/>
        </w:rPr>
        <w:t xml:space="preserve">ffect, </w:t>
      </w:r>
      <w:r w:rsidR="00E43774">
        <w:rPr>
          <w:rFonts w:asciiTheme="majorBidi" w:hAnsiTheme="majorBidi" w:cstheme="majorBidi"/>
          <w:sz w:val="24"/>
          <w:szCs w:val="24"/>
        </w:rPr>
        <w:t>value congruence</w:t>
      </w:r>
      <w:r>
        <w:rPr>
          <w:rFonts w:asciiTheme="majorBidi" w:hAnsiTheme="majorBidi" w:cstheme="majorBidi"/>
          <w:sz w:val="24"/>
          <w:szCs w:val="24"/>
        </w:rPr>
        <w:t xml:space="preserve">, Stimuli-Organism-Response theory, and </w:t>
      </w:r>
      <w:r w:rsidRPr="00C66B15">
        <w:rPr>
          <w:rFonts w:asciiTheme="majorBidi" w:hAnsiTheme="majorBidi" w:cstheme="majorBidi"/>
          <w:sz w:val="24"/>
          <w:szCs w:val="24"/>
        </w:rPr>
        <w:t xml:space="preserve">Theory of Reasoned Action, </w:t>
      </w:r>
      <w:r>
        <w:rPr>
          <w:rFonts w:asciiTheme="majorBidi" w:hAnsiTheme="majorBidi" w:cstheme="majorBidi"/>
          <w:sz w:val="24"/>
          <w:szCs w:val="24"/>
        </w:rPr>
        <w:t xml:space="preserve">were considered most appropriate for this study’s goals. The theoretical framework presented at the end of this chapter is based on those four </w:t>
      </w:r>
      <w:r w:rsidR="00F40AC7">
        <w:rPr>
          <w:rFonts w:asciiTheme="majorBidi" w:hAnsiTheme="majorBidi" w:cstheme="majorBidi"/>
          <w:sz w:val="24"/>
          <w:szCs w:val="24"/>
        </w:rPr>
        <w:t>theories</w:t>
      </w:r>
      <w:r>
        <w:rPr>
          <w:rFonts w:asciiTheme="majorBidi" w:hAnsiTheme="majorBidi" w:cstheme="majorBidi"/>
          <w:sz w:val="24"/>
          <w:szCs w:val="24"/>
        </w:rPr>
        <w:t xml:space="preserve">. </w:t>
      </w:r>
    </w:p>
    <w:p w14:paraId="6BF36D24" w14:textId="17D1DC3C" w:rsidR="00F40843" w:rsidRDefault="00F40843" w:rsidP="00F40843">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510108">
        <w:rPr>
          <w:rFonts w:asciiTheme="majorBidi" w:hAnsiTheme="majorBidi" w:cstheme="majorBidi"/>
          <w:b/>
          <w:bCs/>
          <w:sz w:val="24"/>
          <w:szCs w:val="24"/>
        </w:rPr>
        <w:t>2</w:t>
      </w:r>
      <w:r>
        <w:rPr>
          <w:rFonts w:asciiTheme="majorBidi" w:hAnsiTheme="majorBidi" w:cstheme="majorBidi"/>
          <w:b/>
          <w:bCs/>
          <w:sz w:val="24"/>
          <w:szCs w:val="24"/>
        </w:rPr>
        <w:t xml:space="preserve"> </w:t>
      </w:r>
      <w:r w:rsidRPr="00113D24">
        <w:rPr>
          <w:rFonts w:asciiTheme="majorBidi" w:hAnsiTheme="majorBidi" w:cstheme="majorBidi"/>
          <w:b/>
          <w:bCs/>
          <w:sz w:val="24"/>
          <w:szCs w:val="24"/>
        </w:rPr>
        <w:t xml:space="preserve">Theory of </w:t>
      </w:r>
      <w:r>
        <w:rPr>
          <w:rFonts w:asciiTheme="majorBidi" w:hAnsiTheme="majorBidi" w:cstheme="majorBidi"/>
          <w:b/>
          <w:bCs/>
          <w:sz w:val="24"/>
          <w:szCs w:val="24"/>
        </w:rPr>
        <w:t xml:space="preserve">Reasoned Action </w:t>
      </w:r>
    </w:p>
    <w:p w14:paraId="3CCF07E5" w14:textId="468D4047" w:rsidR="00BF0E28" w:rsidRDefault="00F40AC7" w:rsidP="00F40843">
      <w:pPr>
        <w:adjustRightInd w:val="0"/>
        <w:spacing w:after="0" w:line="480" w:lineRule="auto"/>
        <w:ind w:firstLine="720"/>
        <w:rPr>
          <w:rFonts w:asciiTheme="majorBidi" w:hAnsiTheme="majorBidi" w:cstheme="majorBidi"/>
          <w:sz w:val="24"/>
          <w:szCs w:val="24"/>
        </w:rPr>
      </w:pPr>
      <w:bookmarkStart w:id="109" w:name="_Hlk134209198"/>
      <w:r>
        <w:rPr>
          <w:rFonts w:asciiTheme="majorBidi" w:hAnsiTheme="majorBidi" w:cstheme="majorBidi"/>
          <w:sz w:val="24"/>
          <w:szCs w:val="24"/>
        </w:rPr>
        <w:t>T</w:t>
      </w:r>
      <w:r w:rsidR="00F40843">
        <w:rPr>
          <w:rFonts w:asciiTheme="majorBidi" w:hAnsiTheme="majorBidi" w:cstheme="majorBidi"/>
          <w:sz w:val="24"/>
          <w:szCs w:val="24"/>
        </w:rPr>
        <w:t xml:space="preserve">heory of reasoned action (TRA) </w:t>
      </w:r>
      <w:bookmarkEnd w:id="109"/>
      <w:r w:rsidR="00F40843">
        <w:rPr>
          <w:rFonts w:asciiTheme="majorBidi" w:hAnsiTheme="majorBidi" w:cstheme="majorBidi"/>
          <w:sz w:val="24"/>
          <w:szCs w:val="24"/>
        </w:rPr>
        <w:t>is deemed to be one of the most original theories in behavioural psychology as it provides a robust outline that explains “consciously intended behaviour”</w:t>
      </w:r>
      <w:sdt>
        <w:sdtPr>
          <w:rPr>
            <w:rFonts w:asciiTheme="majorBidi" w:hAnsiTheme="majorBidi" w:cstheme="majorBidi"/>
            <w:sz w:val="24"/>
            <w:szCs w:val="24"/>
          </w:rPr>
          <w:id w:val="668679915"/>
          <w:citation/>
        </w:sdtPr>
        <w:sdtContent>
          <w:r w:rsidR="00F40843">
            <w:rPr>
              <w:rFonts w:asciiTheme="majorBidi" w:hAnsiTheme="majorBidi" w:cstheme="majorBidi"/>
              <w:sz w:val="24"/>
              <w:szCs w:val="24"/>
            </w:rPr>
            <w:fldChar w:fldCharType="begin"/>
          </w:r>
          <w:r w:rsidR="00F40843">
            <w:rPr>
              <w:rFonts w:asciiTheme="majorBidi" w:hAnsiTheme="majorBidi" w:cstheme="majorBidi"/>
              <w:sz w:val="24"/>
              <w:szCs w:val="24"/>
            </w:rPr>
            <w:instrText xml:space="preserve"> CITATION Chu16 \l 2057  \m Law11</w:instrText>
          </w:r>
          <w:r w:rsidR="00F40843">
            <w:rPr>
              <w:rFonts w:asciiTheme="majorBidi" w:hAnsiTheme="majorBidi" w:cstheme="majorBidi"/>
              <w:sz w:val="24"/>
              <w:szCs w:val="24"/>
            </w:rPr>
            <w:fldChar w:fldCharType="separate"/>
          </w:r>
          <w:r w:rsidR="00F40843">
            <w:rPr>
              <w:rFonts w:asciiTheme="majorBidi" w:hAnsiTheme="majorBidi" w:cstheme="majorBidi"/>
              <w:noProof/>
              <w:sz w:val="24"/>
              <w:szCs w:val="24"/>
            </w:rPr>
            <w:t xml:space="preserve"> </w:t>
          </w:r>
          <w:r w:rsidR="00F40843" w:rsidRPr="000F60CD">
            <w:rPr>
              <w:rFonts w:asciiTheme="majorBidi" w:hAnsiTheme="majorBidi" w:cstheme="majorBidi"/>
              <w:noProof/>
              <w:sz w:val="24"/>
              <w:szCs w:val="24"/>
            </w:rPr>
            <w:t>(Chuah, et al., 2016; Law, 2010)</w:t>
          </w:r>
          <w:r w:rsidR="00F40843">
            <w:rPr>
              <w:rFonts w:asciiTheme="majorBidi" w:hAnsiTheme="majorBidi" w:cstheme="majorBidi"/>
              <w:sz w:val="24"/>
              <w:szCs w:val="24"/>
            </w:rPr>
            <w:fldChar w:fldCharType="end"/>
          </w:r>
        </w:sdtContent>
      </w:sdt>
      <w:r w:rsidR="00F40843">
        <w:rPr>
          <w:rFonts w:asciiTheme="majorBidi" w:hAnsiTheme="majorBidi" w:cstheme="majorBidi"/>
          <w:sz w:val="24"/>
          <w:szCs w:val="24"/>
        </w:rPr>
        <w:t>.</w:t>
      </w:r>
      <w:r w:rsidR="00027581">
        <w:rPr>
          <w:rFonts w:asciiTheme="majorBidi" w:hAnsiTheme="majorBidi" w:cstheme="majorBidi"/>
          <w:sz w:val="24"/>
          <w:szCs w:val="24"/>
        </w:rPr>
        <w:t xml:space="preserve"> A lot of studies applied TRA to examine purchase intention</w:t>
      </w:r>
      <w:sdt>
        <w:sdtPr>
          <w:rPr>
            <w:rFonts w:asciiTheme="majorBidi" w:hAnsiTheme="majorBidi" w:cstheme="majorBidi"/>
            <w:sz w:val="24"/>
            <w:szCs w:val="24"/>
          </w:rPr>
          <w:id w:val="-1967421446"/>
          <w:citation/>
        </w:sdtPr>
        <w:sdtContent>
          <w:r w:rsidR="00027581">
            <w:rPr>
              <w:rFonts w:asciiTheme="majorBidi" w:hAnsiTheme="majorBidi" w:cstheme="majorBidi"/>
              <w:sz w:val="24"/>
              <w:szCs w:val="24"/>
            </w:rPr>
            <w:fldChar w:fldCharType="begin"/>
          </w:r>
          <w:r w:rsidR="00027581">
            <w:rPr>
              <w:rFonts w:asciiTheme="majorBidi" w:hAnsiTheme="majorBidi" w:cstheme="majorBidi"/>
              <w:sz w:val="24"/>
              <w:szCs w:val="24"/>
            </w:rPr>
            <w:instrText>CITATION Gun22 \t  \l 2057  \m Kor16 \m Lan19 \m Liu201</w:instrText>
          </w:r>
          <w:r w:rsidR="00027581">
            <w:rPr>
              <w:rFonts w:asciiTheme="majorBidi" w:hAnsiTheme="majorBidi" w:cstheme="majorBidi"/>
              <w:sz w:val="24"/>
              <w:szCs w:val="24"/>
            </w:rPr>
            <w:fldChar w:fldCharType="separate"/>
          </w:r>
          <w:r w:rsidR="00027581">
            <w:rPr>
              <w:rFonts w:asciiTheme="majorBidi" w:hAnsiTheme="majorBidi" w:cstheme="majorBidi"/>
              <w:noProof/>
              <w:sz w:val="24"/>
              <w:szCs w:val="24"/>
            </w:rPr>
            <w:t xml:space="preserve"> </w:t>
          </w:r>
          <w:r w:rsidR="00027581" w:rsidRPr="00E23FB9">
            <w:rPr>
              <w:rFonts w:asciiTheme="majorBidi" w:hAnsiTheme="majorBidi" w:cstheme="majorBidi"/>
              <w:noProof/>
              <w:sz w:val="24"/>
              <w:szCs w:val="24"/>
            </w:rPr>
            <w:t>(Gundala, Nawaz, M, Boobalan, &amp; Gajenderan, 2022; Korzaan M. L., 2016; Lang &amp; Wei , 2019; Liu &amp; Tsaur, 2020)</w:t>
          </w:r>
          <w:r w:rsidR="00027581">
            <w:rPr>
              <w:rFonts w:asciiTheme="majorBidi" w:hAnsiTheme="majorBidi" w:cstheme="majorBidi"/>
              <w:sz w:val="24"/>
              <w:szCs w:val="24"/>
            </w:rPr>
            <w:fldChar w:fldCharType="end"/>
          </w:r>
        </w:sdtContent>
      </w:sdt>
      <w:r w:rsidR="00027581" w:rsidRPr="003D13B8">
        <w:rPr>
          <w:rFonts w:asciiTheme="majorBidi" w:hAnsiTheme="majorBidi" w:cstheme="majorBidi"/>
          <w:sz w:val="24"/>
          <w:szCs w:val="24"/>
        </w:rPr>
        <w:t>.</w:t>
      </w:r>
      <w:r w:rsidR="00027581">
        <w:rPr>
          <w:rFonts w:asciiTheme="majorBidi" w:hAnsiTheme="majorBidi" w:cstheme="majorBidi"/>
          <w:sz w:val="24"/>
          <w:szCs w:val="24"/>
        </w:rPr>
        <w:t xml:space="preserve"> </w:t>
      </w:r>
      <w:r w:rsidR="00F40843">
        <w:rPr>
          <w:rFonts w:asciiTheme="majorBidi" w:hAnsiTheme="majorBidi" w:cstheme="majorBidi"/>
          <w:sz w:val="24"/>
          <w:szCs w:val="24"/>
        </w:rPr>
        <w:t xml:space="preserve">TRA </w:t>
      </w:r>
      <w:bookmarkStart w:id="110" w:name="_Hlk145533929"/>
      <w:sdt>
        <w:sdtPr>
          <w:rPr>
            <w:rFonts w:asciiTheme="majorBidi" w:hAnsiTheme="majorBidi" w:cstheme="majorBidi"/>
            <w:sz w:val="24"/>
            <w:szCs w:val="24"/>
          </w:rPr>
          <w:id w:val="60607864"/>
          <w:citation/>
        </w:sdtPr>
        <w:sdtContent>
          <w:r w:rsidR="00F40843">
            <w:rPr>
              <w:rFonts w:asciiTheme="majorBidi" w:hAnsiTheme="majorBidi" w:cstheme="majorBidi"/>
              <w:sz w:val="24"/>
              <w:szCs w:val="24"/>
            </w:rPr>
            <w:fldChar w:fldCharType="begin"/>
          </w:r>
          <w:r w:rsidR="00F40843">
            <w:rPr>
              <w:rFonts w:asciiTheme="majorBidi" w:hAnsiTheme="majorBidi" w:cstheme="majorBidi"/>
              <w:sz w:val="24"/>
              <w:szCs w:val="24"/>
            </w:rPr>
            <w:instrText xml:space="preserve"> CITATION Fis75 \l 2057 </w:instrText>
          </w:r>
          <w:r w:rsidR="00F40843">
            <w:rPr>
              <w:rFonts w:asciiTheme="majorBidi" w:hAnsiTheme="majorBidi" w:cstheme="majorBidi"/>
              <w:sz w:val="24"/>
              <w:szCs w:val="24"/>
            </w:rPr>
            <w:fldChar w:fldCharType="separate"/>
          </w:r>
          <w:r w:rsidR="00F40843" w:rsidRPr="000F60CD">
            <w:rPr>
              <w:rFonts w:asciiTheme="majorBidi" w:hAnsiTheme="majorBidi" w:cstheme="majorBidi"/>
              <w:noProof/>
              <w:sz w:val="24"/>
              <w:szCs w:val="24"/>
            </w:rPr>
            <w:t>(Fishbein &amp; Ajzen, 1975)</w:t>
          </w:r>
          <w:r w:rsidR="00F40843">
            <w:rPr>
              <w:rFonts w:asciiTheme="majorBidi" w:hAnsiTheme="majorBidi" w:cstheme="majorBidi"/>
              <w:sz w:val="24"/>
              <w:szCs w:val="24"/>
            </w:rPr>
            <w:fldChar w:fldCharType="end"/>
          </w:r>
        </w:sdtContent>
      </w:sdt>
      <w:r w:rsidR="00F40843">
        <w:rPr>
          <w:rFonts w:asciiTheme="majorBidi" w:hAnsiTheme="majorBidi" w:cstheme="majorBidi"/>
          <w:sz w:val="24"/>
          <w:szCs w:val="24"/>
        </w:rPr>
        <w:t xml:space="preserve"> </w:t>
      </w:r>
      <w:bookmarkEnd w:id="110"/>
      <w:r w:rsidR="00F40843">
        <w:rPr>
          <w:rFonts w:asciiTheme="majorBidi" w:hAnsiTheme="majorBidi" w:cstheme="majorBidi"/>
          <w:sz w:val="24"/>
          <w:szCs w:val="24"/>
        </w:rPr>
        <w:t xml:space="preserve">originated </w:t>
      </w:r>
      <w:r w:rsidR="00F40843" w:rsidRPr="00DE28AE">
        <w:rPr>
          <w:rFonts w:asciiTheme="majorBidi" w:hAnsiTheme="majorBidi" w:cstheme="majorBidi"/>
          <w:sz w:val="24"/>
          <w:szCs w:val="24"/>
        </w:rPr>
        <w:t>to predict individuals</w:t>
      </w:r>
      <w:r w:rsidR="00F40843">
        <w:rPr>
          <w:rFonts w:asciiTheme="majorBidi" w:hAnsiTheme="majorBidi" w:cstheme="majorBidi"/>
          <w:sz w:val="24"/>
          <w:szCs w:val="24"/>
        </w:rPr>
        <w:t>’</w:t>
      </w:r>
      <w:r w:rsidR="00F40843" w:rsidRPr="00DE28AE">
        <w:rPr>
          <w:rFonts w:asciiTheme="majorBidi" w:hAnsiTheme="majorBidi" w:cstheme="majorBidi"/>
          <w:sz w:val="24"/>
          <w:szCs w:val="24"/>
        </w:rPr>
        <w:t xml:space="preserve"> intentio</w:t>
      </w:r>
      <w:r w:rsidR="00F40843">
        <w:rPr>
          <w:rFonts w:asciiTheme="majorBidi" w:hAnsiTheme="majorBidi" w:cstheme="majorBidi"/>
          <w:sz w:val="24"/>
          <w:szCs w:val="24"/>
        </w:rPr>
        <w:t>ns</w:t>
      </w:r>
      <w:r w:rsidR="00F40843" w:rsidRPr="00DE28AE">
        <w:rPr>
          <w:rFonts w:asciiTheme="majorBidi" w:hAnsiTheme="majorBidi" w:cstheme="majorBidi"/>
          <w:sz w:val="24"/>
          <w:szCs w:val="24"/>
        </w:rPr>
        <w:t xml:space="preserve"> to engage in</w:t>
      </w:r>
      <w:r w:rsidR="00F40843">
        <w:rPr>
          <w:rFonts w:asciiTheme="majorBidi" w:hAnsiTheme="majorBidi" w:cstheme="majorBidi"/>
          <w:sz w:val="24"/>
          <w:szCs w:val="24"/>
        </w:rPr>
        <w:t xml:space="preserve"> certain</w:t>
      </w:r>
      <w:r w:rsidR="00F40843" w:rsidRPr="00DE28AE">
        <w:rPr>
          <w:rFonts w:asciiTheme="majorBidi" w:hAnsiTheme="majorBidi" w:cstheme="majorBidi"/>
          <w:sz w:val="24"/>
          <w:szCs w:val="24"/>
        </w:rPr>
        <w:t xml:space="preserve"> behaviou</w:t>
      </w:r>
      <w:r w:rsidR="00F40843">
        <w:rPr>
          <w:rFonts w:asciiTheme="majorBidi" w:hAnsiTheme="majorBidi" w:cstheme="majorBidi"/>
          <w:sz w:val="24"/>
          <w:szCs w:val="24"/>
        </w:rPr>
        <w:t>rs. Intentions, predominantly defined by attitudes, represent people’s conscious determination towards a certain behaviour</w:t>
      </w:r>
      <w:r w:rsidR="00F40843" w:rsidRPr="00FE7A7F">
        <w:rPr>
          <w:rFonts w:asciiTheme="majorBidi" w:hAnsiTheme="majorBidi" w:cstheme="majorBidi"/>
          <w:sz w:val="24"/>
          <w:szCs w:val="24"/>
        </w:rPr>
        <w:t xml:space="preserve"> </w:t>
      </w:r>
      <w:sdt>
        <w:sdtPr>
          <w:rPr>
            <w:rFonts w:asciiTheme="majorBidi" w:hAnsiTheme="majorBidi" w:cstheme="majorBidi"/>
            <w:sz w:val="24"/>
            <w:szCs w:val="24"/>
          </w:rPr>
          <w:id w:val="-489643761"/>
          <w:citation/>
        </w:sdtPr>
        <w:sdtContent>
          <w:r w:rsidR="00F40843">
            <w:rPr>
              <w:rFonts w:asciiTheme="majorBidi" w:hAnsiTheme="majorBidi" w:cstheme="majorBidi"/>
              <w:sz w:val="24"/>
              <w:szCs w:val="24"/>
            </w:rPr>
            <w:fldChar w:fldCharType="begin"/>
          </w:r>
          <w:r w:rsidR="00F40843">
            <w:rPr>
              <w:rFonts w:asciiTheme="majorBidi" w:hAnsiTheme="majorBidi" w:cstheme="majorBidi"/>
              <w:sz w:val="24"/>
              <w:szCs w:val="24"/>
            </w:rPr>
            <w:instrText xml:space="preserve">CITATION Tha21 \t  \l 2057 </w:instrText>
          </w:r>
          <w:r w:rsidR="00F40843">
            <w:rPr>
              <w:rFonts w:asciiTheme="majorBidi" w:hAnsiTheme="majorBidi" w:cstheme="majorBidi"/>
              <w:sz w:val="24"/>
              <w:szCs w:val="24"/>
            </w:rPr>
            <w:fldChar w:fldCharType="separate"/>
          </w:r>
          <w:r w:rsidR="00F40843" w:rsidRPr="000F60CD">
            <w:rPr>
              <w:rFonts w:asciiTheme="majorBidi" w:hAnsiTheme="majorBidi" w:cstheme="majorBidi"/>
              <w:noProof/>
              <w:sz w:val="24"/>
              <w:szCs w:val="24"/>
            </w:rPr>
            <w:t>(Thapa, Gabrhel, &amp; Mishra, 2021)</w:t>
          </w:r>
          <w:r w:rsidR="00F40843">
            <w:rPr>
              <w:rFonts w:asciiTheme="majorBidi" w:hAnsiTheme="majorBidi" w:cstheme="majorBidi"/>
              <w:sz w:val="24"/>
              <w:szCs w:val="24"/>
            </w:rPr>
            <w:fldChar w:fldCharType="end"/>
          </w:r>
        </w:sdtContent>
      </w:sdt>
      <w:r w:rsidR="00F40843">
        <w:rPr>
          <w:rFonts w:asciiTheme="majorBidi" w:hAnsiTheme="majorBidi" w:cstheme="majorBidi"/>
          <w:sz w:val="24"/>
          <w:szCs w:val="24"/>
        </w:rPr>
        <w:t>.</w:t>
      </w:r>
      <w:r w:rsidR="00F40843" w:rsidRPr="00561BE3">
        <w:rPr>
          <w:rFonts w:asciiTheme="majorBidi" w:hAnsiTheme="majorBidi" w:cstheme="majorBidi"/>
          <w:sz w:val="24"/>
          <w:szCs w:val="24"/>
        </w:rPr>
        <w:t xml:space="preserve"> </w:t>
      </w:r>
      <w:r w:rsidR="00F40843" w:rsidRPr="004F4A51">
        <w:rPr>
          <w:rFonts w:asciiTheme="majorBidi" w:hAnsiTheme="majorBidi" w:cstheme="majorBidi"/>
          <w:sz w:val="24"/>
          <w:szCs w:val="24"/>
        </w:rPr>
        <w:t xml:space="preserve">Initially TRA was developed to predict the type of behaviour that is easily controlled by the individual and does not require special skills or abilities to perform </w:t>
      </w:r>
      <w:sdt>
        <w:sdtPr>
          <w:rPr>
            <w:rFonts w:asciiTheme="majorBidi" w:hAnsiTheme="majorBidi" w:cstheme="majorBidi"/>
            <w:sz w:val="24"/>
            <w:szCs w:val="24"/>
          </w:rPr>
          <w:id w:val="1807806456"/>
          <w:citation/>
        </w:sdtPr>
        <w:sdtContent>
          <w:r w:rsidR="00F40843" w:rsidRPr="004F4A51">
            <w:rPr>
              <w:rFonts w:asciiTheme="majorBidi" w:hAnsiTheme="majorBidi" w:cstheme="majorBidi"/>
              <w:sz w:val="24"/>
              <w:szCs w:val="24"/>
            </w:rPr>
            <w:fldChar w:fldCharType="begin"/>
          </w:r>
          <w:r w:rsidR="00F40843" w:rsidRPr="004F4A51">
            <w:rPr>
              <w:rFonts w:asciiTheme="majorBidi" w:hAnsiTheme="majorBidi" w:cstheme="majorBidi"/>
              <w:sz w:val="24"/>
              <w:szCs w:val="24"/>
            </w:rPr>
            <w:instrText xml:space="preserve"> CITATION Lia07 \l 2057 </w:instrText>
          </w:r>
          <w:r w:rsidR="00F40843">
            <w:rPr>
              <w:rFonts w:asciiTheme="majorBidi" w:hAnsiTheme="majorBidi" w:cstheme="majorBidi"/>
              <w:sz w:val="24"/>
              <w:szCs w:val="24"/>
            </w:rPr>
            <w:instrText xml:space="preserve"> \m Web06</w:instrText>
          </w:r>
          <w:r w:rsidR="00F40843" w:rsidRPr="004F4A51">
            <w:rPr>
              <w:rFonts w:asciiTheme="majorBidi" w:hAnsiTheme="majorBidi" w:cstheme="majorBidi"/>
              <w:sz w:val="24"/>
              <w:szCs w:val="24"/>
            </w:rPr>
            <w:fldChar w:fldCharType="separate"/>
          </w:r>
          <w:r w:rsidR="00F40843" w:rsidRPr="004F4A51">
            <w:rPr>
              <w:rFonts w:asciiTheme="majorBidi" w:hAnsiTheme="majorBidi" w:cstheme="majorBidi"/>
              <w:noProof/>
              <w:sz w:val="24"/>
              <w:szCs w:val="24"/>
            </w:rPr>
            <w:t>(Liao, Chen, &amp; Yen, 2007; Webb &amp; Sheeran, 2006)</w:t>
          </w:r>
          <w:r w:rsidR="00F40843" w:rsidRPr="004F4A51">
            <w:rPr>
              <w:rFonts w:asciiTheme="majorBidi" w:hAnsiTheme="majorBidi" w:cstheme="majorBidi"/>
              <w:sz w:val="24"/>
              <w:szCs w:val="24"/>
            </w:rPr>
            <w:fldChar w:fldCharType="end"/>
          </w:r>
        </w:sdtContent>
      </w:sdt>
      <w:r w:rsidR="00F40843">
        <w:rPr>
          <w:rFonts w:asciiTheme="majorBidi" w:hAnsiTheme="majorBidi" w:cstheme="majorBidi"/>
          <w:sz w:val="24"/>
          <w:szCs w:val="24"/>
        </w:rPr>
        <w:t>.</w:t>
      </w:r>
      <w:r w:rsidR="00F40843" w:rsidRPr="004F4A51">
        <w:rPr>
          <w:rFonts w:asciiTheme="majorBidi" w:hAnsiTheme="majorBidi" w:cstheme="majorBidi"/>
          <w:sz w:val="24"/>
          <w:szCs w:val="24"/>
        </w:rPr>
        <w:t xml:space="preserve"> </w:t>
      </w:r>
    </w:p>
    <w:p w14:paraId="7A754DDF" w14:textId="06650D97" w:rsidR="00027581" w:rsidRDefault="00F40843" w:rsidP="00BA3B5A">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The</w:t>
      </w:r>
      <w:r w:rsidR="00027581">
        <w:rPr>
          <w:rFonts w:asciiTheme="majorBidi" w:hAnsiTheme="majorBidi" w:cstheme="majorBidi"/>
          <w:sz w:val="24"/>
          <w:szCs w:val="24"/>
        </w:rPr>
        <w:t xml:space="preserve"> theory’s main assumption claims that</w:t>
      </w:r>
      <w:r>
        <w:rPr>
          <w:rFonts w:asciiTheme="majorBidi" w:hAnsiTheme="majorBidi" w:cstheme="majorBidi"/>
          <w:sz w:val="24"/>
          <w:szCs w:val="24"/>
        </w:rPr>
        <w:t xml:space="preserve"> </w:t>
      </w:r>
      <w:r w:rsidR="00027581">
        <w:rPr>
          <w:rFonts w:asciiTheme="majorBidi" w:hAnsiTheme="majorBidi" w:cstheme="majorBidi"/>
          <w:sz w:val="24"/>
          <w:szCs w:val="24"/>
        </w:rPr>
        <w:t xml:space="preserve">there is a </w:t>
      </w:r>
      <w:r>
        <w:rPr>
          <w:rFonts w:asciiTheme="majorBidi" w:hAnsiTheme="majorBidi" w:cstheme="majorBidi"/>
          <w:sz w:val="24"/>
          <w:szCs w:val="24"/>
        </w:rPr>
        <w:t xml:space="preserve">correlation between intentions and behaviours </w:t>
      </w:r>
      <w:r w:rsidR="00027F45">
        <w:rPr>
          <w:rFonts w:asciiTheme="majorBidi" w:hAnsiTheme="majorBidi" w:cstheme="majorBidi"/>
          <w:sz w:val="24"/>
          <w:szCs w:val="24"/>
        </w:rPr>
        <w:t xml:space="preserve">which </w:t>
      </w:r>
      <w:r>
        <w:rPr>
          <w:rFonts w:asciiTheme="majorBidi" w:hAnsiTheme="majorBidi" w:cstheme="majorBidi"/>
          <w:sz w:val="24"/>
          <w:szCs w:val="24"/>
        </w:rPr>
        <w:t xml:space="preserve">demonstrates that people tend to actually perform the behaviours that they intended to perform </w:t>
      </w:r>
      <w:sdt>
        <w:sdtPr>
          <w:rPr>
            <w:rFonts w:asciiTheme="majorBidi" w:hAnsiTheme="majorBidi" w:cstheme="majorBidi"/>
            <w:sz w:val="24"/>
            <w:szCs w:val="24"/>
          </w:rPr>
          <w:id w:val="626596278"/>
          <w:citation/>
        </w:sdtPr>
        <w:sdtContent>
          <w:r>
            <w:rPr>
              <w:rFonts w:asciiTheme="majorBidi" w:hAnsiTheme="majorBidi" w:cstheme="majorBidi"/>
              <w:sz w:val="24"/>
              <w:szCs w:val="24"/>
            </w:rPr>
            <w:fldChar w:fldCharType="begin"/>
          </w:r>
          <w:r w:rsidR="00027581">
            <w:rPr>
              <w:rFonts w:asciiTheme="majorBidi" w:hAnsiTheme="majorBidi" w:cstheme="majorBidi"/>
              <w:sz w:val="24"/>
              <w:szCs w:val="24"/>
            </w:rPr>
            <w:instrText xml:space="preserve">CITATION Fis75 \l 2057 </w:instrText>
          </w:r>
          <w:r>
            <w:rPr>
              <w:rFonts w:asciiTheme="majorBidi" w:hAnsiTheme="majorBidi" w:cstheme="majorBidi"/>
              <w:sz w:val="24"/>
              <w:szCs w:val="24"/>
            </w:rPr>
            <w:fldChar w:fldCharType="separate"/>
          </w:r>
          <w:r w:rsidR="00027581" w:rsidRPr="00027581">
            <w:rPr>
              <w:rFonts w:asciiTheme="majorBidi" w:hAnsiTheme="majorBidi" w:cstheme="majorBidi"/>
              <w:noProof/>
              <w:sz w:val="24"/>
              <w:szCs w:val="24"/>
            </w:rPr>
            <w:t>(Fishbein &amp; Ajzen, 1975)</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F90B9B">
        <w:rPr>
          <w:rFonts w:asciiTheme="majorBidi" w:hAnsiTheme="majorBidi" w:cstheme="majorBidi"/>
          <w:sz w:val="24"/>
          <w:szCs w:val="24"/>
        </w:rPr>
        <w:t xml:space="preserve"> In fact, the original founders of the theory and </w:t>
      </w:r>
      <w:r w:rsidR="00BB233A">
        <w:rPr>
          <w:rFonts w:asciiTheme="majorBidi" w:hAnsiTheme="majorBidi" w:cstheme="majorBidi"/>
          <w:sz w:val="24"/>
          <w:szCs w:val="24"/>
        </w:rPr>
        <w:t>other</w:t>
      </w:r>
      <w:r w:rsidRPr="00F90B9B">
        <w:rPr>
          <w:rFonts w:asciiTheme="majorBidi" w:hAnsiTheme="majorBidi" w:cstheme="majorBidi"/>
          <w:sz w:val="24"/>
          <w:szCs w:val="24"/>
        </w:rPr>
        <w:t xml:space="preserve"> researchers regarded behavioural intention to be the most direct predictor of the behaviour</w:t>
      </w:r>
      <w:sdt>
        <w:sdtPr>
          <w:rPr>
            <w:rFonts w:asciiTheme="majorBidi" w:hAnsiTheme="majorBidi" w:cstheme="majorBidi"/>
            <w:sz w:val="24"/>
            <w:szCs w:val="24"/>
          </w:rPr>
          <w:id w:val="398488512"/>
          <w:citation/>
        </w:sdtPr>
        <w:sdtContent>
          <w:r w:rsidRPr="00F90B9B">
            <w:rPr>
              <w:rFonts w:asciiTheme="majorBidi" w:hAnsiTheme="majorBidi" w:cstheme="majorBidi"/>
              <w:sz w:val="24"/>
              <w:szCs w:val="24"/>
            </w:rPr>
            <w:fldChar w:fldCharType="begin"/>
          </w:r>
          <w:r w:rsidRPr="00F90B9B">
            <w:rPr>
              <w:rFonts w:asciiTheme="majorBidi" w:hAnsiTheme="majorBidi" w:cstheme="majorBidi"/>
              <w:sz w:val="24"/>
              <w:szCs w:val="24"/>
            </w:rPr>
            <w:instrText xml:space="preserve"> CITATION Ajz91 \l 2057  \m Rau21</w:instrText>
          </w:r>
          <w:r w:rsidRPr="00F90B9B">
            <w:rPr>
              <w:rFonts w:asciiTheme="majorBidi" w:hAnsiTheme="majorBidi" w:cstheme="majorBidi"/>
              <w:sz w:val="24"/>
              <w:szCs w:val="24"/>
            </w:rPr>
            <w:fldChar w:fldCharType="separate"/>
          </w:r>
          <w:r w:rsidRPr="00F90B9B">
            <w:rPr>
              <w:rFonts w:asciiTheme="majorBidi" w:hAnsiTheme="majorBidi" w:cstheme="majorBidi"/>
              <w:noProof/>
              <w:sz w:val="24"/>
              <w:szCs w:val="24"/>
            </w:rPr>
            <w:t xml:space="preserve"> (Ajzen I. , 1991; Rausch &amp; Kopplin, 2021)</w:t>
          </w:r>
          <w:r w:rsidRPr="00F90B9B">
            <w:rPr>
              <w:rFonts w:asciiTheme="majorBidi" w:hAnsiTheme="majorBidi" w:cstheme="majorBidi"/>
              <w:sz w:val="24"/>
              <w:szCs w:val="24"/>
            </w:rPr>
            <w:fldChar w:fldCharType="end"/>
          </w:r>
        </w:sdtContent>
      </w:sdt>
      <w:r w:rsidR="009B1841" w:rsidRPr="009B1841">
        <w:rPr>
          <w:rFonts w:asciiTheme="majorBidi" w:hAnsiTheme="majorBidi" w:cstheme="majorBidi"/>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For example, some respondents who reported their intentions to sustainable use of water have reported sustainable actions towards the use of water such as taking shorter showers, rushing to repair leaks, fully loading washing machines and dishwasher, etc.</w:t>
      </w:r>
      <w:sdt>
        <w:sdtPr>
          <w:rPr>
            <w:rFonts w:asciiTheme="majorBidi" w:hAnsiTheme="majorBidi" w:cstheme="majorBidi"/>
            <w:sz w:val="24"/>
            <w:szCs w:val="24"/>
          </w:rPr>
          <w:id w:val="-178750460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Cas20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(Caspers,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6169D8">
        <w:rPr>
          <w:rFonts w:asciiTheme="majorBidi" w:hAnsiTheme="majorBidi" w:cstheme="majorBidi"/>
          <w:sz w:val="24"/>
          <w:szCs w:val="24"/>
        </w:rPr>
        <w:t>Similarly, many other studies on different types of products like eco-friendly product</w:t>
      </w:r>
      <w:r w:rsidR="00027F45">
        <w:rPr>
          <w:rFonts w:asciiTheme="majorBidi" w:hAnsiTheme="majorBidi" w:cstheme="majorBidi"/>
          <w:sz w:val="24"/>
          <w:szCs w:val="24"/>
        </w:rPr>
        <w:t>s</w:t>
      </w:r>
      <w:r w:rsidR="006169D8">
        <w:rPr>
          <w:rFonts w:asciiTheme="majorBidi" w:hAnsiTheme="majorBidi" w:cstheme="majorBidi"/>
          <w:sz w:val="24"/>
          <w:szCs w:val="24"/>
        </w:rPr>
        <w:t xml:space="preserve"> proved that </w:t>
      </w:r>
      <w:r w:rsidR="00FC1DB4">
        <w:rPr>
          <w:rFonts w:asciiTheme="majorBidi" w:hAnsiTheme="majorBidi" w:cstheme="majorBidi"/>
          <w:sz w:val="24"/>
          <w:szCs w:val="24"/>
        </w:rPr>
        <w:t>an individual’s purchase intention positively influences the likelihood of purchasing</w:t>
      </w:r>
      <w:sdt>
        <w:sdtPr>
          <w:rPr>
            <w:rFonts w:asciiTheme="majorBidi" w:hAnsiTheme="majorBidi" w:cstheme="majorBidi"/>
            <w:sz w:val="24"/>
            <w:szCs w:val="24"/>
          </w:rPr>
          <w:id w:val="-261220763"/>
          <w:citation/>
        </w:sdtPr>
        <w:sdtContent>
          <w:r w:rsidR="00FC1DB4">
            <w:rPr>
              <w:rFonts w:asciiTheme="majorBidi" w:hAnsiTheme="majorBidi" w:cstheme="majorBidi"/>
              <w:sz w:val="24"/>
              <w:szCs w:val="24"/>
            </w:rPr>
            <w:fldChar w:fldCharType="begin"/>
          </w:r>
          <w:r w:rsidR="00FC1DB4">
            <w:rPr>
              <w:rFonts w:asciiTheme="majorBidi" w:hAnsiTheme="majorBidi" w:cstheme="majorBidi"/>
              <w:sz w:val="24"/>
              <w:szCs w:val="24"/>
            </w:rPr>
            <w:instrText xml:space="preserve"> CITATION Kim23 \l 2057 </w:instrText>
          </w:r>
          <w:r w:rsidR="00FC1DB4">
            <w:rPr>
              <w:rFonts w:asciiTheme="majorBidi" w:hAnsiTheme="majorBidi" w:cstheme="majorBidi"/>
              <w:sz w:val="24"/>
              <w:szCs w:val="24"/>
            </w:rPr>
            <w:fldChar w:fldCharType="separate"/>
          </w:r>
          <w:r w:rsidR="00FC1DB4">
            <w:rPr>
              <w:rFonts w:asciiTheme="majorBidi" w:hAnsiTheme="majorBidi" w:cstheme="majorBidi"/>
              <w:noProof/>
              <w:sz w:val="24"/>
              <w:szCs w:val="24"/>
            </w:rPr>
            <w:t xml:space="preserve"> </w:t>
          </w:r>
          <w:r w:rsidR="00FC1DB4" w:rsidRPr="00FC1DB4">
            <w:rPr>
              <w:rFonts w:asciiTheme="majorBidi" w:hAnsiTheme="majorBidi" w:cstheme="majorBidi"/>
              <w:noProof/>
              <w:sz w:val="24"/>
              <w:szCs w:val="24"/>
            </w:rPr>
            <w:t>(Kim &amp; Lee, 2023)</w:t>
          </w:r>
          <w:r w:rsidR="00FC1DB4">
            <w:rPr>
              <w:rFonts w:asciiTheme="majorBidi" w:hAnsiTheme="majorBidi" w:cstheme="majorBidi"/>
              <w:sz w:val="24"/>
              <w:szCs w:val="24"/>
            </w:rPr>
            <w:fldChar w:fldCharType="end"/>
          </w:r>
        </w:sdtContent>
      </w:sdt>
      <w:r w:rsidR="00FC1DB4">
        <w:rPr>
          <w:rFonts w:asciiTheme="majorBidi" w:hAnsiTheme="majorBidi" w:cstheme="majorBidi"/>
          <w:sz w:val="24"/>
          <w:szCs w:val="24"/>
        </w:rPr>
        <w:t xml:space="preserve">. </w:t>
      </w:r>
    </w:p>
    <w:p w14:paraId="74AEE10E" w14:textId="00160F04" w:rsidR="00F40843" w:rsidRDefault="00F40843" w:rsidP="00CB15AC">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two main determinants of TRA are attitudes towards the behaviour and subjective norms </w:t>
      </w:r>
      <w:sdt>
        <w:sdtPr>
          <w:rPr>
            <w:rFonts w:asciiTheme="majorBidi" w:hAnsiTheme="majorBidi" w:cstheme="majorBidi"/>
            <w:sz w:val="24"/>
            <w:szCs w:val="24"/>
          </w:rPr>
          <w:id w:val="-2022704135"/>
          <w:citation/>
        </w:sdtPr>
        <w:sdtContent>
          <w:r w:rsidRPr="001F0388">
            <w:rPr>
              <w:rFonts w:asciiTheme="majorBidi" w:hAnsiTheme="majorBidi" w:cstheme="majorBidi"/>
              <w:sz w:val="24"/>
              <w:szCs w:val="24"/>
            </w:rPr>
            <w:fldChar w:fldCharType="begin"/>
          </w:r>
          <w:r w:rsidRPr="001F0388">
            <w:rPr>
              <w:rFonts w:asciiTheme="majorBidi" w:hAnsiTheme="majorBidi" w:cstheme="majorBidi"/>
              <w:sz w:val="24"/>
              <w:szCs w:val="24"/>
            </w:rPr>
            <w:instrText xml:space="preserve"> CITATION Fis75 \l 2057 </w:instrText>
          </w:r>
          <w:r w:rsidRPr="001F0388">
            <w:rPr>
              <w:rFonts w:asciiTheme="majorBidi" w:hAnsiTheme="majorBidi" w:cstheme="majorBidi"/>
              <w:sz w:val="24"/>
              <w:szCs w:val="24"/>
            </w:rPr>
            <w:fldChar w:fldCharType="separate"/>
          </w:r>
          <w:r w:rsidRPr="000F60CD">
            <w:rPr>
              <w:rFonts w:asciiTheme="majorBidi" w:hAnsiTheme="majorBidi" w:cstheme="majorBidi"/>
              <w:noProof/>
              <w:sz w:val="24"/>
              <w:szCs w:val="24"/>
            </w:rPr>
            <w:t>(Fishbein &amp; Ajzen, 1975)</w:t>
          </w:r>
          <w:r w:rsidRPr="001F0388">
            <w:rPr>
              <w:rFonts w:asciiTheme="majorBidi" w:hAnsiTheme="majorBidi" w:cstheme="majorBidi"/>
              <w:sz w:val="24"/>
              <w:szCs w:val="24"/>
            </w:rPr>
            <w:fldChar w:fldCharType="end"/>
          </w:r>
        </w:sdtContent>
      </w:sdt>
      <w:r w:rsidRPr="001F0388">
        <w:rPr>
          <w:rFonts w:asciiTheme="majorBidi" w:hAnsiTheme="majorBidi" w:cstheme="majorBidi"/>
          <w:sz w:val="24"/>
          <w:szCs w:val="24"/>
        </w:rPr>
        <w:t>.</w:t>
      </w:r>
      <w:r>
        <w:rPr>
          <w:rFonts w:asciiTheme="majorBidi" w:hAnsiTheme="majorBidi" w:cstheme="majorBidi"/>
          <w:sz w:val="24"/>
          <w:szCs w:val="24"/>
        </w:rPr>
        <w:t xml:space="preserve"> </w:t>
      </w:r>
      <w:r w:rsidR="00CB15AC">
        <w:rPr>
          <w:rFonts w:asciiTheme="majorBidi" w:hAnsiTheme="majorBidi" w:cstheme="majorBidi"/>
          <w:sz w:val="24"/>
          <w:szCs w:val="24"/>
        </w:rPr>
        <w:t>Firstly, as defined by the founders of the theory, attitude refers to the evaluative disposition or feelings that individuals have towards an object, institution, action, or person</w:t>
      </w:r>
      <w:sdt>
        <w:sdtPr>
          <w:rPr>
            <w:rFonts w:asciiTheme="majorBidi" w:hAnsiTheme="majorBidi" w:cstheme="majorBidi"/>
            <w:sz w:val="24"/>
            <w:szCs w:val="24"/>
          </w:rPr>
          <w:id w:val="1987735272"/>
          <w:citation/>
        </w:sdtPr>
        <w:sdtContent>
          <w:r w:rsidR="00CB15AC">
            <w:rPr>
              <w:rFonts w:asciiTheme="majorBidi" w:hAnsiTheme="majorBidi" w:cstheme="majorBidi"/>
              <w:sz w:val="24"/>
              <w:szCs w:val="24"/>
            </w:rPr>
            <w:fldChar w:fldCharType="begin"/>
          </w:r>
          <w:r w:rsidR="00CB15AC">
            <w:rPr>
              <w:rFonts w:asciiTheme="majorBidi" w:hAnsiTheme="majorBidi" w:cstheme="majorBidi"/>
              <w:sz w:val="24"/>
              <w:szCs w:val="24"/>
            </w:rPr>
            <w:instrText xml:space="preserve">CITATION Ajz88 \t  \m Fis75 \l 2057 </w:instrText>
          </w:r>
          <w:r w:rsidR="00CB15AC">
            <w:rPr>
              <w:rFonts w:asciiTheme="majorBidi" w:hAnsiTheme="majorBidi" w:cstheme="majorBidi"/>
              <w:sz w:val="24"/>
              <w:szCs w:val="24"/>
            </w:rPr>
            <w:fldChar w:fldCharType="separate"/>
          </w:r>
          <w:r w:rsidR="00CB15AC">
            <w:rPr>
              <w:rFonts w:asciiTheme="majorBidi" w:hAnsiTheme="majorBidi" w:cstheme="majorBidi"/>
              <w:noProof/>
              <w:sz w:val="24"/>
              <w:szCs w:val="24"/>
            </w:rPr>
            <w:t xml:space="preserve"> </w:t>
          </w:r>
          <w:r w:rsidR="00CB15AC" w:rsidRPr="004A3141">
            <w:rPr>
              <w:rFonts w:asciiTheme="majorBidi" w:hAnsiTheme="majorBidi" w:cstheme="majorBidi"/>
              <w:noProof/>
              <w:sz w:val="24"/>
              <w:szCs w:val="24"/>
            </w:rPr>
            <w:t>(Ajzen I. , 1988; Fishbein &amp; Ajzen, 1975)</w:t>
          </w:r>
          <w:r w:rsidR="00CB15AC">
            <w:rPr>
              <w:rFonts w:asciiTheme="majorBidi" w:hAnsiTheme="majorBidi" w:cstheme="majorBidi"/>
              <w:sz w:val="24"/>
              <w:szCs w:val="24"/>
            </w:rPr>
            <w:fldChar w:fldCharType="end"/>
          </w:r>
        </w:sdtContent>
      </w:sdt>
      <w:r w:rsidR="00CB15AC">
        <w:rPr>
          <w:rFonts w:asciiTheme="majorBidi" w:hAnsiTheme="majorBidi" w:cstheme="majorBidi"/>
          <w:sz w:val="24"/>
          <w:szCs w:val="24"/>
        </w:rPr>
        <w:t xml:space="preserve">. However, TRA </w:t>
      </w:r>
      <w:r>
        <w:rPr>
          <w:rFonts w:asciiTheme="majorBidi" w:hAnsiTheme="majorBidi" w:cstheme="majorBidi"/>
          <w:sz w:val="24"/>
          <w:szCs w:val="24"/>
        </w:rPr>
        <w:t>dictates that attitudes capture personal influences</w:t>
      </w:r>
      <w:r w:rsidR="006C7D91">
        <w:rPr>
          <w:rFonts w:asciiTheme="majorBidi" w:hAnsiTheme="majorBidi" w:cstheme="majorBidi"/>
          <w:sz w:val="24"/>
          <w:szCs w:val="24"/>
        </w:rPr>
        <w:t xml:space="preserve"> on or perceptions of a </w:t>
      </w:r>
      <w:r>
        <w:rPr>
          <w:rFonts w:asciiTheme="majorBidi" w:hAnsiTheme="majorBidi" w:cstheme="majorBidi"/>
          <w:sz w:val="24"/>
          <w:szCs w:val="24"/>
        </w:rPr>
        <w:t>behaviour</w:t>
      </w:r>
      <w:r w:rsidR="00027581">
        <w:rPr>
          <w:rFonts w:asciiTheme="majorBidi" w:hAnsiTheme="majorBidi" w:cstheme="majorBidi"/>
          <w:sz w:val="24"/>
          <w:szCs w:val="24"/>
        </w:rPr>
        <w:t xml:space="preserve"> </w:t>
      </w:r>
      <w:sdt>
        <w:sdtPr>
          <w:rPr>
            <w:rFonts w:asciiTheme="majorBidi" w:hAnsiTheme="majorBidi" w:cstheme="majorBidi"/>
            <w:sz w:val="24"/>
            <w:szCs w:val="24"/>
          </w:rPr>
          <w:id w:val="1698812048"/>
          <w:citation/>
        </w:sdtPr>
        <w:sdtContent>
          <w:r w:rsidR="00CB15AC" w:rsidRPr="001F0388">
            <w:rPr>
              <w:rFonts w:asciiTheme="majorBidi" w:hAnsiTheme="majorBidi" w:cstheme="majorBidi"/>
              <w:sz w:val="24"/>
              <w:szCs w:val="24"/>
            </w:rPr>
            <w:fldChar w:fldCharType="begin"/>
          </w:r>
          <w:r w:rsidR="00CB15AC" w:rsidRPr="001F0388">
            <w:rPr>
              <w:rFonts w:asciiTheme="majorBidi" w:hAnsiTheme="majorBidi" w:cstheme="majorBidi"/>
              <w:sz w:val="24"/>
              <w:szCs w:val="24"/>
            </w:rPr>
            <w:instrText xml:space="preserve"> CITATION Fis75 \l 2057 </w:instrText>
          </w:r>
          <w:r w:rsidR="00CB15AC" w:rsidRPr="001F0388">
            <w:rPr>
              <w:rFonts w:asciiTheme="majorBidi" w:hAnsiTheme="majorBidi" w:cstheme="majorBidi"/>
              <w:sz w:val="24"/>
              <w:szCs w:val="24"/>
            </w:rPr>
            <w:fldChar w:fldCharType="separate"/>
          </w:r>
          <w:r w:rsidR="00CB15AC" w:rsidRPr="000F60CD">
            <w:rPr>
              <w:rFonts w:asciiTheme="majorBidi" w:hAnsiTheme="majorBidi" w:cstheme="majorBidi"/>
              <w:noProof/>
              <w:sz w:val="24"/>
              <w:szCs w:val="24"/>
            </w:rPr>
            <w:t>(Fishbein &amp; Ajzen, 1975)</w:t>
          </w:r>
          <w:r w:rsidR="00CB15AC" w:rsidRPr="001F0388">
            <w:rPr>
              <w:rFonts w:asciiTheme="majorBidi" w:hAnsiTheme="majorBidi" w:cstheme="majorBidi"/>
              <w:sz w:val="24"/>
              <w:szCs w:val="24"/>
            </w:rPr>
            <w:fldChar w:fldCharType="end"/>
          </w:r>
        </w:sdtContent>
      </w:sdt>
      <w:r w:rsidR="00CB15AC">
        <w:rPr>
          <w:rFonts w:asciiTheme="majorBidi" w:hAnsiTheme="majorBidi" w:cstheme="majorBidi"/>
          <w:sz w:val="24"/>
          <w:szCs w:val="24"/>
        </w:rPr>
        <w:t>. Based on the original theory, it is essential to identify the antecedents of attitudes towards the behaviour</w:t>
      </w:r>
      <w:r w:rsidR="00CB15AC" w:rsidRPr="00B33394">
        <w:rPr>
          <w:rFonts w:asciiTheme="majorBidi" w:hAnsiTheme="majorBidi" w:cstheme="majorBidi"/>
          <w:sz w:val="24"/>
          <w:szCs w:val="24"/>
        </w:rPr>
        <w:t xml:space="preserve"> </w:t>
      </w:r>
      <w:sdt>
        <w:sdtPr>
          <w:rPr>
            <w:rFonts w:asciiTheme="majorBidi" w:hAnsiTheme="majorBidi" w:cstheme="majorBidi"/>
            <w:sz w:val="24"/>
            <w:szCs w:val="24"/>
          </w:rPr>
          <w:id w:val="120118779"/>
          <w:citation/>
        </w:sdtPr>
        <w:sdtContent>
          <w:r w:rsidR="00CB15AC">
            <w:rPr>
              <w:rFonts w:asciiTheme="majorBidi" w:hAnsiTheme="majorBidi" w:cstheme="majorBidi"/>
              <w:sz w:val="24"/>
              <w:szCs w:val="24"/>
            </w:rPr>
            <w:fldChar w:fldCharType="begin"/>
          </w:r>
          <w:r w:rsidR="00CB15AC">
            <w:rPr>
              <w:rFonts w:asciiTheme="majorBidi" w:hAnsiTheme="majorBidi" w:cstheme="majorBidi"/>
              <w:sz w:val="24"/>
              <w:szCs w:val="24"/>
            </w:rPr>
            <w:instrText xml:space="preserve">CITATION Ajz88 \t  \m Fis75 \l 2057 </w:instrText>
          </w:r>
          <w:r w:rsidR="00CB15AC">
            <w:rPr>
              <w:rFonts w:asciiTheme="majorBidi" w:hAnsiTheme="majorBidi" w:cstheme="majorBidi"/>
              <w:sz w:val="24"/>
              <w:szCs w:val="24"/>
            </w:rPr>
            <w:fldChar w:fldCharType="separate"/>
          </w:r>
          <w:r w:rsidR="00CB15AC" w:rsidRPr="00660F28">
            <w:rPr>
              <w:rFonts w:asciiTheme="majorBidi" w:hAnsiTheme="majorBidi" w:cstheme="majorBidi"/>
              <w:noProof/>
              <w:sz w:val="24"/>
              <w:szCs w:val="24"/>
            </w:rPr>
            <w:t>(Ajzen I. , 1988; Fishbein &amp; Ajzen, 1975)</w:t>
          </w:r>
          <w:r w:rsidR="00CB15AC">
            <w:rPr>
              <w:rFonts w:asciiTheme="majorBidi" w:hAnsiTheme="majorBidi" w:cstheme="majorBidi"/>
              <w:sz w:val="24"/>
              <w:szCs w:val="24"/>
            </w:rPr>
            <w:fldChar w:fldCharType="end"/>
          </w:r>
        </w:sdtContent>
      </w:sdt>
      <w:r w:rsidR="00CB15AC">
        <w:rPr>
          <w:rFonts w:asciiTheme="majorBidi" w:hAnsiTheme="majorBidi" w:cstheme="majorBidi"/>
          <w:sz w:val="24"/>
          <w:szCs w:val="24"/>
        </w:rPr>
        <w:t xml:space="preserve">. </w:t>
      </w:r>
      <w:r w:rsidR="00CB15AC">
        <w:rPr>
          <w:rFonts w:asciiTheme="majorBidi" w:hAnsiTheme="majorBidi" w:cstheme="majorBidi"/>
          <w:noProof/>
          <w:sz w:val="24"/>
          <w:szCs w:val="24"/>
        </w:rPr>
        <w:t>Secondly</w:t>
      </w:r>
      <w:r w:rsidR="00CB15AC">
        <w:rPr>
          <w:rFonts w:asciiTheme="majorBidi" w:hAnsiTheme="majorBidi" w:cstheme="majorBidi"/>
          <w:sz w:val="24"/>
          <w:szCs w:val="24"/>
        </w:rPr>
        <w:t xml:space="preserve">, subjective norms refer to the individual’s personal beliefs </w:t>
      </w:r>
      <w:sdt>
        <w:sdtPr>
          <w:rPr>
            <w:rFonts w:asciiTheme="majorBidi" w:hAnsiTheme="majorBidi" w:cstheme="majorBidi"/>
            <w:sz w:val="24"/>
            <w:szCs w:val="24"/>
          </w:rPr>
          <w:id w:val="-1158691231"/>
          <w:citation/>
        </w:sdtPr>
        <w:sdtContent>
          <w:r w:rsidR="00CB15AC">
            <w:rPr>
              <w:rFonts w:asciiTheme="majorBidi" w:hAnsiTheme="majorBidi" w:cstheme="majorBidi"/>
              <w:sz w:val="24"/>
              <w:szCs w:val="24"/>
            </w:rPr>
            <w:fldChar w:fldCharType="begin"/>
          </w:r>
          <w:r w:rsidR="00CB15AC">
            <w:rPr>
              <w:rFonts w:asciiTheme="majorBidi" w:hAnsiTheme="majorBidi" w:cstheme="majorBidi"/>
              <w:sz w:val="24"/>
              <w:szCs w:val="24"/>
            </w:rPr>
            <w:instrText xml:space="preserve">CITATION Ajz88 \t  \l 2057 </w:instrText>
          </w:r>
          <w:r w:rsidR="00CB15AC">
            <w:rPr>
              <w:rFonts w:asciiTheme="majorBidi" w:hAnsiTheme="majorBidi" w:cstheme="majorBidi"/>
              <w:sz w:val="24"/>
              <w:szCs w:val="24"/>
            </w:rPr>
            <w:fldChar w:fldCharType="separate"/>
          </w:r>
          <w:r w:rsidR="00CB15AC" w:rsidRPr="004A3141">
            <w:rPr>
              <w:rFonts w:asciiTheme="majorBidi" w:hAnsiTheme="majorBidi" w:cstheme="majorBidi"/>
              <w:noProof/>
              <w:sz w:val="24"/>
              <w:szCs w:val="24"/>
            </w:rPr>
            <w:t>(Ajzen I. , 1988)</w:t>
          </w:r>
          <w:r w:rsidR="00CB15AC">
            <w:rPr>
              <w:rFonts w:asciiTheme="majorBidi" w:hAnsiTheme="majorBidi" w:cstheme="majorBidi"/>
              <w:sz w:val="24"/>
              <w:szCs w:val="24"/>
            </w:rPr>
            <w:fldChar w:fldCharType="end"/>
          </w:r>
        </w:sdtContent>
      </w:sdt>
      <w:r w:rsidR="00CB15AC">
        <w:rPr>
          <w:rFonts w:asciiTheme="majorBidi" w:hAnsiTheme="majorBidi" w:cstheme="majorBidi"/>
          <w:sz w:val="24"/>
          <w:szCs w:val="24"/>
        </w:rPr>
        <w:t xml:space="preserve"> or t</w:t>
      </w:r>
      <w:r w:rsidR="00CB15AC" w:rsidRPr="00CD0836">
        <w:rPr>
          <w:rFonts w:asciiTheme="majorBidi" w:hAnsiTheme="majorBidi" w:cstheme="majorBidi"/>
          <w:sz w:val="24"/>
          <w:szCs w:val="24"/>
        </w:rPr>
        <w:t xml:space="preserve">he individuals’ motivation to comply with the expectations’ </w:t>
      </w:r>
      <w:r w:rsidR="00CB15AC">
        <w:rPr>
          <w:rFonts w:asciiTheme="majorBidi" w:hAnsiTheme="majorBidi" w:cstheme="majorBidi"/>
          <w:sz w:val="24"/>
          <w:szCs w:val="24"/>
        </w:rPr>
        <w:t xml:space="preserve">that others will have from this action or </w:t>
      </w:r>
      <w:r w:rsidR="00CB15AC" w:rsidRPr="00CD0836">
        <w:rPr>
          <w:rFonts w:asciiTheme="majorBidi" w:hAnsiTheme="majorBidi" w:cstheme="majorBidi"/>
          <w:sz w:val="24"/>
          <w:szCs w:val="24"/>
        </w:rPr>
        <w:t xml:space="preserve">object </w:t>
      </w:r>
      <w:sdt>
        <w:sdtPr>
          <w:rPr>
            <w:rFonts w:asciiTheme="majorBidi" w:hAnsiTheme="majorBidi" w:cstheme="majorBidi"/>
            <w:sz w:val="24"/>
            <w:szCs w:val="24"/>
          </w:rPr>
          <w:id w:val="-508360987"/>
          <w:citation/>
        </w:sdtPr>
        <w:sdtContent>
          <w:r w:rsidR="00CB15AC">
            <w:rPr>
              <w:rFonts w:asciiTheme="majorBidi" w:hAnsiTheme="majorBidi" w:cstheme="majorBidi"/>
              <w:sz w:val="24"/>
              <w:szCs w:val="24"/>
            </w:rPr>
            <w:fldChar w:fldCharType="begin"/>
          </w:r>
          <w:r w:rsidR="00CB15AC">
            <w:rPr>
              <w:rFonts w:asciiTheme="majorBidi" w:hAnsiTheme="majorBidi" w:cstheme="majorBidi"/>
              <w:sz w:val="24"/>
              <w:szCs w:val="24"/>
            </w:rPr>
            <w:instrText xml:space="preserve"> CITATION Fis75 \l 2057 </w:instrText>
          </w:r>
          <w:r w:rsidR="00CB15AC">
            <w:rPr>
              <w:rFonts w:asciiTheme="majorBidi" w:hAnsiTheme="majorBidi" w:cstheme="majorBidi"/>
              <w:sz w:val="24"/>
              <w:szCs w:val="24"/>
            </w:rPr>
            <w:fldChar w:fldCharType="separate"/>
          </w:r>
          <w:r w:rsidR="00CB15AC" w:rsidRPr="000F60CD">
            <w:rPr>
              <w:rFonts w:asciiTheme="majorBidi" w:hAnsiTheme="majorBidi" w:cstheme="majorBidi"/>
              <w:noProof/>
              <w:sz w:val="24"/>
              <w:szCs w:val="24"/>
            </w:rPr>
            <w:t>(Fishbein &amp; Ajzen, 1975)</w:t>
          </w:r>
          <w:r w:rsidR="00CB15AC">
            <w:rPr>
              <w:rFonts w:asciiTheme="majorBidi" w:hAnsiTheme="majorBidi" w:cstheme="majorBidi"/>
              <w:sz w:val="24"/>
              <w:szCs w:val="24"/>
            </w:rPr>
            <w:fldChar w:fldCharType="end"/>
          </w:r>
        </w:sdtContent>
      </w:sdt>
      <w:r w:rsidR="00CB15AC">
        <w:rPr>
          <w:rFonts w:asciiTheme="majorBidi" w:hAnsiTheme="majorBidi" w:cstheme="majorBidi"/>
          <w:sz w:val="24"/>
          <w:szCs w:val="24"/>
        </w:rPr>
        <w:t>.</w:t>
      </w:r>
      <w:bookmarkStart w:id="111" w:name="_Hlk134211818"/>
      <w:r w:rsidR="00CB15AC">
        <w:rPr>
          <w:rFonts w:asciiTheme="majorBidi" w:hAnsiTheme="majorBidi" w:cstheme="majorBidi"/>
          <w:sz w:val="24"/>
          <w:szCs w:val="24"/>
        </w:rPr>
        <w:t xml:space="preserve"> </w:t>
      </w:r>
      <w:r>
        <w:rPr>
          <w:rFonts w:asciiTheme="majorBidi" w:hAnsiTheme="majorBidi" w:cstheme="majorBidi"/>
          <w:sz w:val="24"/>
          <w:szCs w:val="24"/>
        </w:rPr>
        <w:t xml:space="preserve">Theory of Planned Behaviour (TPB) </w:t>
      </w:r>
      <w:bookmarkEnd w:id="111"/>
      <w:r>
        <w:rPr>
          <w:rFonts w:asciiTheme="majorBidi" w:hAnsiTheme="majorBidi" w:cstheme="majorBidi"/>
          <w:sz w:val="24"/>
          <w:szCs w:val="24"/>
        </w:rPr>
        <w:t xml:space="preserve">was further developed from TRA to include a third </w:t>
      </w:r>
      <w:r w:rsidRPr="0010282B">
        <w:rPr>
          <w:rFonts w:asciiTheme="majorBidi" w:hAnsiTheme="majorBidi" w:cstheme="majorBidi"/>
          <w:sz w:val="24"/>
          <w:szCs w:val="24"/>
        </w:rPr>
        <w:t>determinant</w:t>
      </w:r>
      <w:r>
        <w:rPr>
          <w:rFonts w:asciiTheme="majorBidi" w:hAnsiTheme="majorBidi" w:cstheme="majorBidi"/>
          <w:sz w:val="24"/>
          <w:szCs w:val="24"/>
        </w:rPr>
        <w:t xml:space="preserve"> </w:t>
      </w:r>
      <w:r w:rsidRPr="001F0388">
        <w:rPr>
          <w:rFonts w:asciiTheme="majorBidi" w:hAnsiTheme="majorBidi" w:cstheme="majorBidi"/>
          <w:sz w:val="24"/>
          <w:szCs w:val="24"/>
        </w:rPr>
        <w:t xml:space="preserve">which </w:t>
      </w:r>
      <w:r>
        <w:rPr>
          <w:rFonts w:asciiTheme="majorBidi" w:hAnsiTheme="majorBidi" w:cstheme="majorBidi"/>
          <w:sz w:val="24"/>
          <w:szCs w:val="24"/>
        </w:rPr>
        <w:t>is</w:t>
      </w:r>
      <w:r w:rsidRPr="001F0388">
        <w:rPr>
          <w:rFonts w:asciiTheme="majorBidi" w:hAnsiTheme="majorBidi" w:cstheme="majorBidi"/>
          <w:sz w:val="24"/>
          <w:szCs w:val="24"/>
        </w:rPr>
        <w:t xml:space="preserve"> perceived behavioural control </w:t>
      </w:r>
      <w:sdt>
        <w:sdtPr>
          <w:rPr>
            <w:rFonts w:asciiTheme="majorBidi" w:hAnsiTheme="majorBidi" w:cstheme="majorBidi"/>
            <w:sz w:val="24"/>
            <w:szCs w:val="24"/>
          </w:rPr>
          <w:id w:val="-216512567"/>
          <w:citation/>
        </w:sdtPr>
        <w:sdtContent>
          <w:r w:rsidRPr="001F0388">
            <w:rPr>
              <w:rFonts w:asciiTheme="majorBidi" w:hAnsiTheme="majorBidi" w:cstheme="majorBidi"/>
              <w:sz w:val="24"/>
              <w:szCs w:val="24"/>
            </w:rPr>
            <w:fldChar w:fldCharType="begin"/>
          </w:r>
          <w:r w:rsidRPr="001F0388">
            <w:rPr>
              <w:rFonts w:asciiTheme="majorBidi" w:hAnsiTheme="majorBidi" w:cstheme="majorBidi"/>
              <w:sz w:val="24"/>
              <w:szCs w:val="24"/>
            </w:rPr>
            <w:instrText xml:space="preserve"> CITATION Fis75 \l 2057 </w:instrText>
          </w:r>
          <w:r w:rsidRPr="001F0388">
            <w:rPr>
              <w:rFonts w:asciiTheme="majorBidi" w:hAnsiTheme="majorBidi" w:cstheme="majorBidi"/>
              <w:sz w:val="24"/>
              <w:szCs w:val="24"/>
            </w:rPr>
            <w:fldChar w:fldCharType="separate"/>
          </w:r>
          <w:r w:rsidRPr="000F60CD">
            <w:rPr>
              <w:rFonts w:asciiTheme="majorBidi" w:hAnsiTheme="majorBidi" w:cstheme="majorBidi"/>
              <w:noProof/>
              <w:sz w:val="24"/>
              <w:szCs w:val="24"/>
            </w:rPr>
            <w:t>(Fishbein &amp; Ajzen, 1975)</w:t>
          </w:r>
          <w:r w:rsidRPr="001F0388">
            <w:rPr>
              <w:rFonts w:asciiTheme="majorBidi" w:hAnsiTheme="majorBidi" w:cstheme="majorBidi"/>
              <w:sz w:val="24"/>
              <w:szCs w:val="24"/>
            </w:rPr>
            <w:fldChar w:fldCharType="end"/>
          </w:r>
        </w:sdtContent>
      </w:sdt>
      <w:r w:rsidRPr="001F0388">
        <w:rPr>
          <w:rFonts w:asciiTheme="majorBidi" w:hAnsiTheme="majorBidi" w:cstheme="majorBidi"/>
          <w:sz w:val="24"/>
          <w:szCs w:val="24"/>
        </w:rPr>
        <w:t xml:space="preserve">. </w:t>
      </w:r>
      <w:r>
        <w:rPr>
          <w:rFonts w:asciiTheme="majorBidi" w:hAnsiTheme="majorBidi" w:cstheme="majorBidi"/>
          <w:sz w:val="24"/>
          <w:szCs w:val="24"/>
        </w:rPr>
        <w:t>This third determinant was included in TPB as an extension of TRA especially in situations in which actual behaviours are not entirely under consumers’ control</w:t>
      </w:r>
      <w:sdt>
        <w:sdtPr>
          <w:rPr>
            <w:rFonts w:asciiTheme="majorBidi" w:hAnsiTheme="majorBidi" w:cstheme="majorBidi"/>
            <w:sz w:val="24"/>
            <w:szCs w:val="24"/>
          </w:rPr>
          <w:id w:val="94095561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She88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(Sheppard, Hartwick, &amp; Warshaw, 1988)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below figure identifies the main determinants of both theories. </w:t>
      </w:r>
      <w:r w:rsidR="00BA3B5A">
        <w:rPr>
          <w:rFonts w:asciiTheme="majorBidi" w:hAnsiTheme="majorBidi" w:cstheme="majorBidi"/>
          <w:sz w:val="24"/>
          <w:szCs w:val="24"/>
        </w:rPr>
        <w:t>Even though both theories do not measure actual behaviour</w:t>
      </w:r>
      <w:sdt>
        <w:sdtPr>
          <w:rPr>
            <w:rFonts w:asciiTheme="majorBidi" w:hAnsiTheme="majorBidi" w:cstheme="majorBidi"/>
            <w:sz w:val="24"/>
            <w:szCs w:val="24"/>
          </w:rPr>
          <w:id w:val="-245574394"/>
          <w:citation/>
        </w:sdtPr>
        <w:sdtContent>
          <w:r w:rsidR="000045EB">
            <w:rPr>
              <w:rFonts w:asciiTheme="majorBidi" w:hAnsiTheme="majorBidi" w:cstheme="majorBidi"/>
              <w:sz w:val="24"/>
              <w:szCs w:val="24"/>
            </w:rPr>
            <w:fldChar w:fldCharType="begin"/>
          </w:r>
          <w:r w:rsidR="000045EB">
            <w:rPr>
              <w:rFonts w:asciiTheme="majorBidi" w:hAnsiTheme="majorBidi" w:cstheme="majorBidi"/>
              <w:sz w:val="24"/>
              <w:szCs w:val="24"/>
            </w:rPr>
            <w:instrText xml:space="preserve"> CITATION Ell95 \l 2057 </w:instrText>
          </w:r>
          <w:r w:rsidR="000045EB">
            <w:rPr>
              <w:rFonts w:asciiTheme="majorBidi" w:hAnsiTheme="majorBidi" w:cstheme="majorBidi"/>
              <w:sz w:val="24"/>
              <w:szCs w:val="24"/>
            </w:rPr>
            <w:fldChar w:fldCharType="separate"/>
          </w:r>
          <w:r w:rsidR="000045EB">
            <w:rPr>
              <w:rFonts w:asciiTheme="majorBidi" w:hAnsiTheme="majorBidi" w:cstheme="majorBidi"/>
              <w:noProof/>
              <w:sz w:val="24"/>
              <w:szCs w:val="24"/>
            </w:rPr>
            <w:t xml:space="preserve"> </w:t>
          </w:r>
          <w:r w:rsidR="000045EB" w:rsidRPr="000045EB">
            <w:rPr>
              <w:rFonts w:asciiTheme="majorBidi" w:hAnsiTheme="majorBidi" w:cstheme="majorBidi"/>
              <w:noProof/>
              <w:sz w:val="24"/>
              <w:szCs w:val="24"/>
            </w:rPr>
            <w:t>(Elliott, Jobber, &amp; Sharp, 1995)</w:t>
          </w:r>
          <w:r w:rsidR="000045EB">
            <w:rPr>
              <w:rFonts w:asciiTheme="majorBidi" w:hAnsiTheme="majorBidi" w:cstheme="majorBidi"/>
              <w:sz w:val="24"/>
              <w:szCs w:val="24"/>
            </w:rPr>
            <w:fldChar w:fldCharType="end"/>
          </w:r>
        </w:sdtContent>
      </w:sdt>
      <w:r w:rsidR="00BA3B5A">
        <w:rPr>
          <w:rFonts w:asciiTheme="majorBidi" w:hAnsiTheme="majorBidi" w:cstheme="majorBidi"/>
          <w:sz w:val="24"/>
          <w:szCs w:val="24"/>
        </w:rPr>
        <w:t xml:space="preserve">, the assumptions of both </w:t>
      </w:r>
      <w:r w:rsidR="005C66A5">
        <w:rPr>
          <w:rFonts w:asciiTheme="majorBidi" w:hAnsiTheme="majorBidi" w:cstheme="majorBidi"/>
          <w:sz w:val="24"/>
          <w:szCs w:val="24"/>
        </w:rPr>
        <w:t>models</w:t>
      </w:r>
      <w:r w:rsidR="00BA3B5A">
        <w:rPr>
          <w:rFonts w:asciiTheme="majorBidi" w:hAnsiTheme="majorBidi" w:cstheme="majorBidi"/>
          <w:sz w:val="24"/>
          <w:szCs w:val="24"/>
        </w:rPr>
        <w:t xml:space="preserve"> focus on testing and measuring the predictors of the behaviour. </w:t>
      </w:r>
    </w:p>
    <w:p w14:paraId="08CF5739" w14:textId="1AA03039" w:rsidR="0095546F" w:rsidRDefault="00F40843" w:rsidP="0095546F">
      <w:r>
        <w:rPr>
          <w:noProof/>
        </w:rPr>
        <w:drawing>
          <wp:inline distT="0" distB="0" distL="0" distR="0" wp14:anchorId="7B161666" wp14:editId="4F696149">
            <wp:extent cx="2021633" cy="2748338"/>
            <wp:effectExtent l="0" t="0" r="0" b="0"/>
            <wp:docPr id="598067569" name="Picture 5980675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21"/>
                    <a:srcRect t="2122"/>
                    <a:stretch/>
                  </pic:blipFill>
                  <pic:spPr bwMode="auto">
                    <a:xfrm>
                      <a:off x="0" y="0"/>
                      <a:ext cx="2101520" cy="2856941"/>
                    </a:xfrm>
                    <a:prstGeom prst="rect">
                      <a:avLst/>
                    </a:prstGeom>
                    <a:ln>
                      <a:noFill/>
                    </a:ln>
                    <a:extLst>
                      <a:ext uri="{53640926-AAD7-44D8-BBD7-CCE9431645EC}">
                        <a14:shadowObscured xmlns:a14="http://schemas.microsoft.com/office/drawing/2010/main"/>
                      </a:ext>
                    </a:extLst>
                  </pic:spPr>
                </pic:pic>
              </a:graphicData>
            </a:graphic>
          </wp:inline>
        </w:drawing>
      </w:r>
    </w:p>
    <w:p w14:paraId="456AE9FE" w14:textId="2342944B" w:rsidR="00F40843" w:rsidRPr="00027F45" w:rsidRDefault="0095546F" w:rsidP="0095546F">
      <w:pPr>
        <w:pStyle w:val="Caption"/>
        <w:rPr>
          <w:rFonts w:asciiTheme="majorBidi" w:hAnsiTheme="majorBidi" w:cstheme="majorBidi"/>
          <w:sz w:val="24"/>
          <w:szCs w:val="24"/>
        </w:rPr>
      </w:pPr>
      <w:r w:rsidRPr="00027F45">
        <w:rPr>
          <w:rFonts w:asciiTheme="majorBidi" w:hAnsiTheme="majorBidi" w:cstheme="majorBidi"/>
        </w:rPr>
        <w:t>Figure 5 TRA and TPB assumption as developed by Fishbein and Ajzen (1975)</w:t>
      </w:r>
    </w:p>
    <w:p w14:paraId="319F8DC4" w14:textId="09E325A2" w:rsidR="00F40843" w:rsidRDefault="00F40843" w:rsidP="00294CC2">
      <w:pPr>
        <w:adjustRightInd w:val="0"/>
        <w:spacing w:line="480" w:lineRule="auto"/>
        <w:ind w:firstLine="720"/>
        <w:rPr>
          <w:rFonts w:asciiTheme="majorBidi" w:hAnsiTheme="majorBidi" w:cstheme="majorBidi"/>
          <w:noProof/>
          <w:sz w:val="24"/>
          <w:szCs w:val="24"/>
        </w:rPr>
      </w:pPr>
      <w:r>
        <w:rPr>
          <w:rFonts w:asciiTheme="majorBidi" w:hAnsiTheme="majorBidi" w:cstheme="majorBidi"/>
          <w:sz w:val="24"/>
          <w:szCs w:val="24"/>
        </w:rPr>
        <w:t>There has been significant research output that supports that there is a direct effect of attitude and subjective norms on intention</w:t>
      </w:r>
      <w:sdt>
        <w:sdtPr>
          <w:rPr>
            <w:rFonts w:asciiTheme="majorBidi" w:hAnsiTheme="majorBidi" w:cstheme="majorBidi"/>
            <w:sz w:val="24"/>
            <w:szCs w:val="24"/>
          </w:rPr>
          <w:id w:val="-72529545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Shi01 \m Zha23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(Shim , Eastlick, Lotz , &amp; Warrington, 2001; Zhang, Prybutok, &amp; Strutton, 2007)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374283">
        <w:rPr>
          <w:rFonts w:asciiTheme="majorBidi" w:hAnsiTheme="majorBidi" w:cstheme="majorBidi"/>
          <w:sz w:val="24"/>
          <w:szCs w:val="24"/>
        </w:rPr>
        <w:t>in different</w:t>
      </w:r>
      <w:r>
        <w:rPr>
          <w:rFonts w:asciiTheme="majorBidi" w:hAnsiTheme="majorBidi" w:cstheme="majorBidi"/>
          <w:sz w:val="24"/>
          <w:szCs w:val="24"/>
        </w:rPr>
        <w:t xml:space="preserve"> countr</w:t>
      </w:r>
      <w:r w:rsidR="00374283">
        <w:rPr>
          <w:rFonts w:asciiTheme="majorBidi" w:hAnsiTheme="majorBidi" w:cstheme="majorBidi"/>
          <w:sz w:val="24"/>
          <w:szCs w:val="24"/>
        </w:rPr>
        <w:t>ies</w:t>
      </w:r>
      <w:r>
        <w:rPr>
          <w:rFonts w:asciiTheme="majorBidi" w:hAnsiTheme="majorBidi" w:cstheme="majorBidi"/>
          <w:sz w:val="24"/>
          <w:szCs w:val="24"/>
        </w:rPr>
        <w:t xml:space="preserve"> </w:t>
      </w:r>
      <w:sdt>
        <w:sdtPr>
          <w:rPr>
            <w:rFonts w:asciiTheme="majorBidi" w:hAnsiTheme="majorBidi" w:cstheme="majorBidi"/>
            <w:sz w:val="24"/>
            <w:szCs w:val="24"/>
          </w:rPr>
          <w:id w:val="-43272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She03 \l 2057  \m Sum06</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(Shen, Dickson, Lennon, Montalto, &amp; Zhang, 2003; Summers, Belleau, &amp; Y, 2006)</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and product </w:t>
      </w:r>
      <w:r w:rsidR="00027581">
        <w:rPr>
          <w:rFonts w:asciiTheme="majorBidi" w:hAnsiTheme="majorBidi" w:cstheme="majorBidi"/>
          <w:sz w:val="24"/>
          <w:szCs w:val="24"/>
        </w:rPr>
        <w:t>type</w:t>
      </w:r>
      <w:r w:rsidR="00374283">
        <w:rPr>
          <w:rFonts w:asciiTheme="majorBidi" w:hAnsiTheme="majorBidi" w:cstheme="majorBidi"/>
          <w:sz w:val="24"/>
          <w:szCs w:val="24"/>
        </w:rPr>
        <w:t>s</w:t>
      </w:r>
      <w:r w:rsidR="00027581">
        <w:rPr>
          <w:rFonts w:asciiTheme="majorBidi" w:hAnsiTheme="majorBidi" w:cstheme="majorBidi"/>
          <w:sz w:val="24"/>
          <w:szCs w:val="24"/>
        </w:rPr>
        <w:t xml:space="preserve"> </w:t>
      </w:r>
      <w:sdt>
        <w:sdtPr>
          <w:rPr>
            <w:rFonts w:asciiTheme="majorBidi" w:hAnsiTheme="majorBidi" w:cstheme="majorBidi"/>
            <w:sz w:val="24"/>
            <w:szCs w:val="24"/>
          </w:rPr>
          <w:id w:val="193463110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Bre01 \l 2057  \m Mal01</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(Bredahl, 2001; Malhotra &amp; McCort, 2001)</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561BE3">
        <w:rPr>
          <w:rFonts w:asciiTheme="majorBidi" w:hAnsiTheme="majorBidi" w:cstheme="majorBidi"/>
          <w:sz w:val="24"/>
          <w:szCs w:val="24"/>
        </w:rPr>
        <w:t xml:space="preserve"> </w:t>
      </w:r>
      <w:r w:rsidRPr="003D13B8">
        <w:rPr>
          <w:rFonts w:asciiTheme="majorBidi" w:hAnsiTheme="majorBidi" w:cstheme="majorBidi"/>
          <w:sz w:val="24"/>
          <w:szCs w:val="24"/>
        </w:rPr>
        <w:t>The weight of attitude and subjective norms</w:t>
      </w:r>
      <w:r w:rsidR="006C7D91">
        <w:rPr>
          <w:rFonts w:asciiTheme="majorBidi" w:hAnsiTheme="majorBidi" w:cstheme="majorBidi"/>
          <w:sz w:val="24"/>
          <w:szCs w:val="24"/>
        </w:rPr>
        <w:t xml:space="preserve"> together</w:t>
      </w:r>
      <w:r w:rsidRPr="003D13B8">
        <w:rPr>
          <w:rFonts w:asciiTheme="majorBidi" w:hAnsiTheme="majorBidi" w:cstheme="majorBidi"/>
          <w:sz w:val="24"/>
          <w:szCs w:val="24"/>
        </w:rPr>
        <w:t xml:space="preserve"> aid in achieving the desired outcome, which is brought about by intention</w:t>
      </w:r>
      <w:sdt>
        <w:sdtPr>
          <w:rPr>
            <w:rFonts w:asciiTheme="majorBidi" w:hAnsiTheme="majorBidi" w:cstheme="majorBidi"/>
            <w:sz w:val="24"/>
            <w:szCs w:val="24"/>
          </w:rPr>
          <w:id w:val="-125621127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Ajz80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(Ajzen &amp; Fishbein, 1980)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However, </w:t>
      </w:r>
      <w:r w:rsidRPr="00F60616">
        <w:rPr>
          <w:rFonts w:asciiTheme="majorBidi" w:hAnsiTheme="majorBidi" w:cstheme="majorBidi"/>
          <w:sz w:val="24"/>
          <w:szCs w:val="24"/>
        </w:rPr>
        <w:t>the relative significance of attitudes and subjective norms on intentions varies based on the behaviour, the context, and the individuals</w:t>
      </w:r>
      <w:sdt>
        <w:sdtPr>
          <w:rPr>
            <w:rFonts w:asciiTheme="majorBidi" w:hAnsiTheme="majorBidi" w:cstheme="majorBidi"/>
            <w:sz w:val="24"/>
            <w:szCs w:val="24"/>
          </w:rPr>
          <w:id w:val="-2138089866"/>
          <w:citation/>
        </w:sdtPr>
        <w:sdtContent>
          <w:r w:rsidRPr="00F60616">
            <w:rPr>
              <w:rFonts w:asciiTheme="majorBidi" w:hAnsiTheme="majorBidi" w:cstheme="majorBidi"/>
              <w:sz w:val="24"/>
              <w:szCs w:val="24"/>
            </w:rPr>
            <w:fldChar w:fldCharType="begin"/>
          </w:r>
          <w:r w:rsidRPr="00F60616">
            <w:rPr>
              <w:rFonts w:asciiTheme="majorBidi" w:hAnsiTheme="majorBidi" w:cstheme="majorBidi"/>
              <w:sz w:val="24"/>
              <w:szCs w:val="24"/>
            </w:rPr>
            <w:instrText xml:space="preserve">CITATION Ajz80 \t  \m Mar09 \l 2057 </w:instrText>
          </w:r>
          <w:r w:rsidRPr="00F60616">
            <w:rPr>
              <w:rFonts w:asciiTheme="majorBidi" w:hAnsiTheme="majorBidi" w:cstheme="majorBidi"/>
              <w:sz w:val="24"/>
              <w:szCs w:val="24"/>
            </w:rPr>
            <w:fldChar w:fldCharType="separate"/>
          </w:r>
          <w:r w:rsidRPr="00F60616">
            <w:rPr>
              <w:rFonts w:asciiTheme="majorBidi" w:hAnsiTheme="majorBidi" w:cstheme="majorBidi"/>
              <w:noProof/>
              <w:sz w:val="24"/>
              <w:szCs w:val="24"/>
            </w:rPr>
            <w:t xml:space="preserve"> (Ajzen &amp; Fishbein, 1980; Marcketti &amp; Shelley, 2009)</w:t>
          </w:r>
          <w:r w:rsidRPr="00F60616">
            <w:rPr>
              <w:rFonts w:asciiTheme="majorBidi" w:hAnsiTheme="majorBidi" w:cstheme="majorBidi"/>
              <w:sz w:val="24"/>
              <w:szCs w:val="24"/>
            </w:rPr>
            <w:fldChar w:fldCharType="end"/>
          </w:r>
        </w:sdtContent>
      </w:sdt>
      <w:r w:rsidRPr="00F60616">
        <w:rPr>
          <w:rFonts w:asciiTheme="majorBidi" w:hAnsiTheme="majorBidi" w:cstheme="majorBidi"/>
          <w:sz w:val="24"/>
          <w:szCs w:val="24"/>
        </w:rPr>
        <w:t>.</w:t>
      </w:r>
      <w:r>
        <w:rPr>
          <w:rFonts w:asciiTheme="majorBidi" w:hAnsiTheme="majorBidi" w:cstheme="majorBidi"/>
          <w:sz w:val="24"/>
          <w:szCs w:val="24"/>
        </w:rPr>
        <w:t xml:space="preserve"> Both theories measure those determinants because they lead to the final component of TRA which is behavioural intention as recognised by Ajzen and Fishbein </w:t>
      </w:r>
      <w:sdt>
        <w:sdtPr>
          <w:rPr>
            <w:rFonts w:asciiTheme="majorBidi" w:hAnsiTheme="majorBidi" w:cstheme="majorBidi"/>
            <w:sz w:val="24"/>
            <w:szCs w:val="24"/>
          </w:rPr>
          <w:id w:val="-14359288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Ajz80 \n  \t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(1980)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as </w:t>
      </w:r>
      <w:r w:rsidR="00A20EB5">
        <w:rPr>
          <w:rFonts w:asciiTheme="majorBidi" w:hAnsiTheme="majorBidi" w:cstheme="majorBidi"/>
          <w:sz w:val="24"/>
          <w:szCs w:val="24"/>
        </w:rPr>
        <w:t xml:space="preserve">an </w:t>
      </w:r>
      <w:r>
        <w:rPr>
          <w:rFonts w:asciiTheme="majorBidi" w:hAnsiTheme="majorBidi" w:cstheme="majorBidi"/>
          <w:sz w:val="24"/>
          <w:szCs w:val="24"/>
        </w:rPr>
        <w:t>immediate determinant of actual behaviour. When both theories were compared to each other, they were both deemed adequate to measure intentions</w:t>
      </w:r>
      <w:sdt>
        <w:sdtPr>
          <w:rPr>
            <w:rFonts w:asciiTheme="majorBidi" w:hAnsiTheme="majorBidi" w:cstheme="majorBidi"/>
            <w:sz w:val="24"/>
            <w:szCs w:val="24"/>
          </w:rPr>
          <w:id w:val="-15646640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Mad921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660F28">
            <w:rPr>
              <w:rFonts w:asciiTheme="majorBidi" w:hAnsiTheme="majorBidi" w:cstheme="majorBidi"/>
              <w:noProof/>
              <w:sz w:val="24"/>
              <w:szCs w:val="24"/>
            </w:rPr>
            <w:t>(Madden, Ellen, &amp; Ajzen, 1992)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Pr>
          <w:rFonts w:asciiTheme="majorBidi" w:hAnsiTheme="majorBidi" w:cstheme="majorBidi"/>
          <w:noProof/>
          <w:sz w:val="24"/>
          <w:szCs w:val="24"/>
        </w:rPr>
        <w:t xml:space="preserve">In fact, it was concluded that </w:t>
      </w:r>
      <w:r w:rsidRPr="0077358C">
        <w:rPr>
          <w:rFonts w:asciiTheme="majorBidi" w:hAnsiTheme="majorBidi" w:cstheme="majorBidi"/>
          <w:noProof/>
          <w:sz w:val="24"/>
          <w:szCs w:val="24"/>
        </w:rPr>
        <w:t>when individuals had full control over the behaviour,</w:t>
      </w:r>
      <w:r>
        <w:rPr>
          <w:rFonts w:asciiTheme="majorBidi" w:hAnsiTheme="majorBidi" w:cstheme="majorBidi"/>
          <w:noProof/>
          <w:sz w:val="24"/>
          <w:szCs w:val="24"/>
        </w:rPr>
        <w:t xml:space="preserve"> intentions alone were adequate enough to predict behaviour as percieved behavioural control will not have a major role</w:t>
      </w:r>
      <w:sdt>
        <w:sdtPr>
          <w:rPr>
            <w:rFonts w:asciiTheme="majorBidi" w:hAnsiTheme="majorBidi" w:cstheme="majorBidi"/>
            <w:noProof/>
            <w:sz w:val="24"/>
            <w:szCs w:val="24"/>
          </w:rPr>
          <w:id w:val="1568064030"/>
          <w:citation/>
        </w:sdtPr>
        <w:sdtContent>
          <w:r>
            <w:rPr>
              <w:rFonts w:asciiTheme="majorBidi" w:hAnsiTheme="majorBidi" w:cstheme="majorBidi"/>
              <w:noProof/>
              <w:sz w:val="24"/>
              <w:szCs w:val="24"/>
            </w:rPr>
            <w:fldChar w:fldCharType="begin"/>
          </w:r>
          <w:r>
            <w:rPr>
              <w:rFonts w:asciiTheme="majorBidi" w:hAnsiTheme="majorBidi" w:cstheme="majorBidi"/>
              <w:noProof/>
              <w:sz w:val="24"/>
              <w:szCs w:val="24"/>
            </w:rPr>
            <w:instrText xml:space="preserve">CITATION Ajz86 \t  \l 2057 </w:instrText>
          </w:r>
          <w:r>
            <w:rPr>
              <w:rFonts w:asciiTheme="majorBidi" w:hAnsiTheme="majorBidi" w:cstheme="majorBidi"/>
              <w:noProof/>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(Ajzen &amp; Madden, 1986)</w:t>
          </w:r>
          <w:r>
            <w:rPr>
              <w:rFonts w:asciiTheme="majorBidi" w:hAnsiTheme="majorBidi" w:cstheme="majorBidi"/>
              <w:noProof/>
              <w:sz w:val="24"/>
              <w:szCs w:val="24"/>
            </w:rPr>
            <w:fldChar w:fldCharType="end"/>
          </w:r>
        </w:sdtContent>
      </w:sdt>
      <w:r>
        <w:rPr>
          <w:rFonts w:asciiTheme="majorBidi" w:hAnsiTheme="majorBidi" w:cstheme="majorBidi"/>
          <w:noProof/>
          <w:sz w:val="24"/>
          <w:szCs w:val="24"/>
        </w:rPr>
        <w:t>.</w:t>
      </w:r>
      <w:r w:rsidR="00374283">
        <w:rPr>
          <w:rFonts w:asciiTheme="majorBidi" w:hAnsiTheme="majorBidi" w:cstheme="majorBidi"/>
          <w:noProof/>
          <w:sz w:val="24"/>
          <w:szCs w:val="24"/>
        </w:rPr>
        <w:t xml:space="preserve"> </w:t>
      </w:r>
      <w:r>
        <w:rPr>
          <w:rFonts w:asciiTheme="majorBidi" w:hAnsiTheme="majorBidi" w:cstheme="majorBidi"/>
          <w:noProof/>
          <w:sz w:val="24"/>
          <w:szCs w:val="24"/>
        </w:rPr>
        <w:t>Later on, Ajzen</w:t>
      </w:r>
      <w:sdt>
        <w:sdtPr>
          <w:rPr>
            <w:rFonts w:asciiTheme="majorBidi" w:hAnsiTheme="majorBidi" w:cstheme="majorBidi"/>
            <w:noProof/>
            <w:sz w:val="24"/>
            <w:szCs w:val="24"/>
          </w:rPr>
          <w:id w:val="1715850555"/>
          <w:citation/>
        </w:sdtPr>
        <w:sdtContent>
          <w:r>
            <w:rPr>
              <w:rFonts w:asciiTheme="majorBidi" w:hAnsiTheme="majorBidi" w:cstheme="majorBidi"/>
              <w:noProof/>
              <w:sz w:val="24"/>
              <w:szCs w:val="24"/>
            </w:rPr>
            <w:fldChar w:fldCharType="begin"/>
          </w:r>
          <w:r>
            <w:rPr>
              <w:rFonts w:asciiTheme="majorBidi" w:hAnsiTheme="majorBidi" w:cstheme="majorBidi"/>
              <w:noProof/>
              <w:sz w:val="24"/>
              <w:szCs w:val="24"/>
            </w:rPr>
            <w:instrText xml:space="preserve">CITATION Ajz91 \n  \t  \l 2057 </w:instrText>
          </w:r>
          <w:r>
            <w:rPr>
              <w:rFonts w:asciiTheme="majorBidi" w:hAnsiTheme="majorBidi" w:cstheme="majorBidi"/>
              <w:noProof/>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(1991)</w:t>
          </w:r>
          <w:r>
            <w:rPr>
              <w:rFonts w:asciiTheme="majorBidi" w:hAnsiTheme="majorBidi" w:cstheme="majorBidi"/>
              <w:noProof/>
              <w:sz w:val="24"/>
              <w:szCs w:val="24"/>
            </w:rPr>
            <w:fldChar w:fldCharType="end"/>
          </w:r>
        </w:sdtContent>
      </w:sdt>
      <w:r>
        <w:rPr>
          <w:rFonts w:asciiTheme="majorBidi" w:hAnsiTheme="majorBidi" w:cstheme="majorBidi"/>
          <w:noProof/>
          <w:sz w:val="24"/>
          <w:szCs w:val="24"/>
        </w:rPr>
        <w:t xml:space="preserve"> claimed that the theory is </w:t>
      </w:r>
      <w:r w:rsidRPr="006F4D0A">
        <w:rPr>
          <w:rFonts w:asciiTheme="majorBidi" w:hAnsiTheme="majorBidi" w:cstheme="majorBidi"/>
          <w:noProof/>
          <w:sz w:val="24"/>
          <w:szCs w:val="24"/>
        </w:rPr>
        <w:t>"open to the inclusion of additional predictors if it can be shown that they capture a significant proportion of the variance in intention or behaviour after the theory's current variables have been taken into account" (p. 199).</w:t>
      </w:r>
      <w:r>
        <w:rPr>
          <w:rFonts w:asciiTheme="majorBidi" w:hAnsiTheme="majorBidi" w:cstheme="majorBidi"/>
          <w:noProof/>
          <w:sz w:val="24"/>
          <w:szCs w:val="24"/>
        </w:rPr>
        <w:t xml:space="preserve"> </w:t>
      </w:r>
      <w:r w:rsidR="00374283">
        <w:rPr>
          <w:rFonts w:asciiTheme="majorBidi" w:hAnsiTheme="majorBidi" w:cstheme="majorBidi"/>
          <w:noProof/>
          <w:sz w:val="24"/>
          <w:szCs w:val="24"/>
        </w:rPr>
        <w:t>I</w:t>
      </w:r>
      <w:r w:rsidRPr="00B33394">
        <w:rPr>
          <w:rFonts w:asciiTheme="majorBidi" w:hAnsiTheme="majorBidi" w:cstheme="majorBidi"/>
          <w:noProof/>
          <w:sz w:val="24"/>
          <w:szCs w:val="24"/>
        </w:rPr>
        <w:t>n comparison between TRA and TPB, it appeared that when the nature of the behaviour is perceived to be high</w:t>
      </w:r>
      <w:r w:rsidR="00374283">
        <w:rPr>
          <w:rFonts w:asciiTheme="majorBidi" w:hAnsiTheme="majorBidi" w:cstheme="majorBidi"/>
          <w:noProof/>
          <w:sz w:val="24"/>
          <w:szCs w:val="24"/>
        </w:rPr>
        <w:t xml:space="preserve">ly </w:t>
      </w:r>
      <w:r w:rsidRPr="00B33394">
        <w:rPr>
          <w:rFonts w:asciiTheme="majorBidi" w:hAnsiTheme="majorBidi" w:cstheme="majorBidi"/>
          <w:noProof/>
          <w:sz w:val="24"/>
          <w:szCs w:val="24"/>
        </w:rPr>
        <w:t>control</w:t>
      </w:r>
      <w:r w:rsidR="00374283">
        <w:rPr>
          <w:rFonts w:asciiTheme="majorBidi" w:hAnsiTheme="majorBidi" w:cstheme="majorBidi"/>
          <w:noProof/>
          <w:sz w:val="24"/>
          <w:szCs w:val="24"/>
        </w:rPr>
        <w:t>lable</w:t>
      </w:r>
      <w:r w:rsidRPr="00B33394">
        <w:rPr>
          <w:rFonts w:asciiTheme="majorBidi" w:hAnsiTheme="majorBidi" w:cstheme="majorBidi"/>
          <w:noProof/>
          <w:sz w:val="24"/>
          <w:szCs w:val="24"/>
        </w:rPr>
        <w:t>, there wasn’t a significant relationship between perceived behavioural control and the actual behaviour</w:t>
      </w:r>
      <w:sdt>
        <w:sdtPr>
          <w:rPr>
            <w:rFonts w:asciiTheme="majorBidi" w:hAnsiTheme="majorBidi" w:cstheme="majorBidi"/>
            <w:noProof/>
            <w:sz w:val="24"/>
            <w:szCs w:val="24"/>
          </w:rPr>
          <w:id w:val="-1159067248"/>
          <w:citation/>
        </w:sdtPr>
        <w:sdtContent>
          <w:r w:rsidRPr="00B33394">
            <w:rPr>
              <w:rFonts w:asciiTheme="majorBidi" w:hAnsiTheme="majorBidi" w:cstheme="majorBidi"/>
              <w:noProof/>
              <w:sz w:val="24"/>
              <w:szCs w:val="24"/>
            </w:rPr>
            <w:fldChar w:fldCharType="begin"/>
          </w:r>
          <w:r>
            <w:rPr>
              <w:rFonts w:asciiTheme="majorBidi" w:hAnsiTheme="majorBidi" w:cstheme="majorBidi"/>
              <w:noProof/>
              <w:sz w:val="24"/>
              <w:szCs w:val="24"/>
            </w:rPr>
            <w:instrText xml:space="preserve">CITATION Mad92 \t  \l 2057 </w:instrText>
          </w:r>
          <w:r w:rsidRPr="00B33394">
            <w:rPr>
              <w:rFonts w:asciiTheme="majorBidi" w:hAnsiTheme="majorBidi" w:cstheme="majorBidi"/>
              <w:noProof/>
              <w:sz w:val="24"/>
              <w:szCs w:val="24"/>
            </w:rPr>
            <w:fldChar w:fldCharType="separate"/>
          </w:r>
          <w:r>
            <w:rPr>
              <w:rFonts w:asciiTheme="majorBidi" w:hAnsiTheme="majorBidi" w:cstheme="majorBidi"/>
              <w:noProof/>
              <w:sz w:val="24"/>
              <w:szCs w:val="24"/>
            </w:rPr>
            <w:t xml:space="preserve"> </w:t>
          </w:r>
          <w:r w:rsidRPr="0077358C">
            <w:rPr>
              <w:rFonts w:asciiTheme="majorBidi" w:hAnsiTheme="majorBidi" w:cstheme="majorBidi"/>
              <w:noProof/>
              <w:sz w:val="24"/>
              <w:szCs w:val="24"/>
            </w:rPr>
            <w:t>(Madden, Ellen, &amp; Ajzen, 1992)</w:t>
          </w:r>
          <w:r w:rsidRPr="00B33394">
            <w:rPr>
              <w:rFonts w:asciiTheme="majorBidi" w:hAnsiTheme="majorBidi" w:cstheme="majorBidi"/>
              <w:noProof/>
              <w:sz w:val="24"/>
              <w:szCs w:val="24"/>
            </w:rPr>
            <w:fldChar w:fldCharType="end"/>
          </w:r>
        </w:sdtContent>
      </w:sdt>
      <w:r w:rsidRPr="00B33394">
        <w:rPr>
          <w:rFonts w:asciiTheme="majorBidi" w:hAnsiTheme="majorBidi" w:cstheme="majorBidi"/>
          <w:noProof/>
          <w:sz w:val="24"/>
          <w:szCs w:val="24"/>
        </w:rPr>
        <w:t>.</w:t>
      </w:r>
      <w:r>
        <w:rPr>
          <w:rFonts w:asciiTheme="majorBidi" w:hAnsiTheme="majorBidi" w:cstheme="majorBidi"/>
          <w:noProof/>
          <w:sz w:val="24"/>
          <w:szCs w:val="24"/>
        </w:rPr>
        <w:t xml:space="preserve"> Further studies compared between TRA and TPB in predicting purchase intention</w:t>
      </w:r>
      <w:sdt>
        <w:sdtPr>
          <w:rPr>
            <w:rFonts w:asciiTheme="majorBidi" w:hAnsiTheme="majorBidi" w:cstheme="majorBidi"/>
            <w:noProof/>
            <w:sz w:val="24"/>
            <w:szCs w:val="24"/>
          </w:rPr>
          <w:id w:val="370969060"/>
          <w:citation/>
        </w:sdtPr>
        <w:sdtContent>
          <w:r>
            <w:rPr>
              <w:rFonts w:asciiTheme="majorBidi" w:hAnsiTheme="majorBidi" w:cstheme="majorBidi"/>
              <w:noProof/>
              <w:sz w:val="24"/>
              <w:szCs w:val="24"/>
            </w:rPr>
            <w:fldChar w:fldCharType="begin"/>
          </w:r>
          <w:r>
            <w:rPr>
              <w:rFonts w:asciiTheme="majorBidi" w:hAnsiTheme="majorBidi" w:cstheme="majorBidi"/>
              <w:noProof/>
              <w:sz w:val="24"/>
              <w:szCs w:val="24"/>
            </w:rPr>
            <w:instrText xml:space="preserve">CITATION Han04 \t  \m Lin21 \t  \m Cop20 \t  \l 2057 </w:instrText>
          </w:r>
          <w:r>
            <w:rPr>
              <w:rFonts w:asciiTheme="majorBidi" w:hAnsiTheme="majorBidi" w:cstheme="majorBidi"/>
              <w:noProof/>
              <w:sz w:val="24"/>
              <w:szCs w:val="24"/>
            </w:rPr>
            <w:fldChar w:fldCharType="separate"/>
          </w:r>
          <w:r>
            <w:rPr>
              <w:rFonts w:asciiTheme="majorBidi" w:hAnsiTheme="majorBidi" w:cstheme="majorBidi"/>
              <w:noProof/>
              <w:sz w:val="24"/>
              <w:szCs w:val="24"/>
            </w:rPr>
            <w:t xml:space="preserve"> </w:t>
          </w:r>
          <w:r w:rsidRPr="0077358C">
            <w:rPr>
              <w:rFonts w:asciiTheme="majorBidi" w:hAnsiTheme="majorBidi" w:cstheme="majorBidi"/>
              <w:noProof/>
              <w:sz w:val="24"/>
              <w:szCs w:val="24"/>
            </w:rPr>
            <w:t>(Hansen, Jensen, &amp; Solgaard, 2004; Lin &amp; Xu , 2021; Copeland &amp; Zhao, 2020)</w:t>
          </w:r>
          <w:r>
            <w:rPr>
              <w:rFonts w:asciiTheme="majorBidi" w:hAnsiTheme="majorBidi" w:cstheme="majorBidi"/>
              <w:noProof/>
              <w:sz w:val="24"/>
              <w:szCs w:val="24"/>
            </w:rPr>
            <w:fldChar w:fldCharType="end"/>
          </w:r>
        </w:sdtContent>
      </w:sdt>
      <w:r>
        <w:rPr>
          <w:rFonts w:asciiTheme="majorBidi" w:hAnsiTheme="majorBidi" w:cstheme="majorBidi"/>
          <w:noProof/>
          <w:sz w:val="24"/>
          <w:szCs w:val="24"/>
        </w:rPr>
        <w:t>. For instance, even though online purchasing maybe percieved as a complicated and risky process, results showed that both theories provided a good fit to the data and were competent to explain future variations and online grocery shopping</w:t>
      </w:r>
      <w:r w:rsidRPr="00CF7E3E">
        <w:rPr>
          <w:rFonts w:asciiTheme="majorBidi" w:hAnsiTheme="majorBidi" w:cstheme="majorBidi"/>
          <w:noProof/>
          <w:sz w:val="24"/>
          <w:szCs w:val="24"/>
        </w:rPr>
        <w:t xml:space="preserve"> </w:t>
      </w:r>
      <w:sdt>
        <w:sdtPr>
          <w:rPr>
            <w:rFonts w:asciiTheme="majorBidi" w:hAnsiTheme="majorBidi" w:cstheme="majorBidi"/>
            <w:noProof/>
            <w:sz w:val="24"/>
            <w:szCs w:val="24"/>
          </w:rPr>
          <w:id w:val="1130135012"/>
          <w:citation/>
        </w:sdtPr>
        <w:sdtContent>
          <w:r>
            <w:rPr>
              <w:rFonts w:asciiTheme="majorBidi" w:hAnsiTheme="majorBidi" w:cstheme="majorBidi"/>
              <w:noProof/>
              <w:sz w:val="24"/>
              <w:szCs w:val="24"/>
            </w:rPr>
            <w:fldChar w:fldCharType="begin"/>
          </w:r>
          <w:r>
            <w:rPr>
              <w:rFonts w:asciiTheme="majorBidi" w:hAnsiTheme="majorBidi" w:cstheme="majorBidi"/>
              <w:noProof/>
              <w:sz w:val="24"/>
              <w:szCs w:val="24"/>
            </w:rPr>
            <w:instrText xml:space="preserve"> CITATION Han04 \l 2057 </w:instrText>
          </w:r>
          <w:r>
            <w:rPr>
              <w:rFonts w:asciiTheme="majorBidi" w:hAnsiTheme="majorBidi" w:cstheme="majorBidi"/>
              <w:noProof/>
              <w:sz w:val="24"/>
              <w:szCs w:val="24"/>
            </w:rPr>
            <w:fldChar w:fldCharType="separate"/>
          </w:r>
          <w:r w:rsidRPr="000F60CD">
            <w:rPr>
              <w:rFonts w:asciiTheme="majorBidi" w:hAnsiTheme="majorBidi" w:cstheme="majorBidi"/>
              <w:noProof/>
              <w:sz w:val="24"/>
              <w:szCs w:val="24"/>
            </w:rPr>
            <w:t>(Hansen, Jensen, &amp; Solgaard, 2004)</w:t>
          </w:r>
          <w:r>
            <w:rPr>
              <w:rFonts w:asciiTheme="majorBidi" w:hAnsiTheme="majorBidi" w:cstheme="majorBidi"/>
              <w:noProof/>
              <w:sz w:val="24"/>
              <w:szCs w:val="24"/>
            </w:rPr>
            <w:fldChar w:fldCharType="end"/>
          </w:r>
        </w:sdtContent>
      </w:sdt>
      <w:r>
        <w:rPr>
          <w:rFonts w:asciiTheme="majorBidi" w:hAnsiTheme="majorBidi" w:cstheme="majorBidi"/>
          <w:noProof/>
          <w:sz w:val="24"/>
          <w:szCs w:val="24"/>
        </w:rPr>
        <w:t xml:space="preserve">. </w:t>
      </w:r>
      <w:r w:rsidR="00374283">
        <w:rPr>
          <w:rFonts w:asciiTheme="majorBidi" w:hAnsiTheme="majorBidi" w:cstheme="majorBidi"/>
          <w:noProof/>
          <w:sz w:val="24"/>
          <w:szCs w:val="24"/>
        </w:rPr>
        <w:t xml:space="preserve">For that reason, this study applies TRA because the main outcome </w:t>
      </w:r>
      <w:r w:rsidR="00027F45">
        <w:rPr>
          <w:rFonts w:asciiTheme="majorBidi" w:hAnsiTheme="majorBidi" w:cstheme="majorBidi"/>
          <w:noProof/>
          <w:sz w:val="24"/>
          <w:szCs w:val="24"/>
        </w:rPr>
        <w:t>examines</w:t>
      </w:r>
      <w:r w:rsidR="00374283">
        <w:rPr>
          <w:rFonts w:asciiTheme="majorBidi" w:hAnsiTheme="majorBidi" w:cstheme="majorBidi"/>
          <w:noProof/>
          <w:sz w:val="24"/>
          <w:szCs w:val="24"/>
        </w:rPr>
        <w:t xml:space="preserve"> purchase intention of a low involvement product</w:t>
      </w:r>
    </w:p>
    <w:p w14:paraId="510E5F89" w14:textId="7AD42783" w:rsidR="00F40843" w:rsidRDefault="00F40843" w:rsidP="00F40843">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2</w:t>
      </w:r>
      <w:r>
        <w:rPr>
          <w:rFonts w:asciiTheme="majorBidi" w:hAnsiTheme="majorBidi" w:cstheme="majorBidi"/>
          <w:b/>
          <w:bCs/>
          <w:sz w:val="24"/>
          <w:szCs w:val="24"/>
        </w:rPr>
        <w:t xml:space="preserve">.1 </w:t>
      </w:r>
      <w:r w:rsidRPr="00F12BB8">
        <w:rPr>
          <w:rFonts w:asciiTheme="majorBidi" w:hAnsiTheme="majorBidi" w:cstheme="majorBidi"/>
          <w:b/>
          <w:bCs/>
          <w:sz w:val="24"/>
          <w:szCs w:val="24"/>
        </w:rPr>
        <w:t>Criticism of T</w:t>
      </w:r>
      <w:r>
        <w:rPr>
          <w:rFonts w:asciiTheme="majorBidi" w:hAnsiTheme="majorBidi" w:cstheme="majorBidi"/>
          <w:b/>
          <w:bCs/>
          <w:sz w:val="24"/>
          <w:szCs w:val="24"/>
        </w:rPr>
        <w:t>RA</w:t>
      </w:r>
    </w:p>
    <w:p w14:paraId="2F73E19D" w14:textId="41A205A6" w:rsidR="00F40843" w:rsidRPr="004F4A51" w:rsidRDefault="00F40843" w:rsidP="00783951">
      <w:pPr>
        <w:spacing w:after="0" w:line="480" w:lineRule="auto"/>
        <w:rPr>
          <w:rFonts w:asciiTheme="majorBidi" w:hAnsiTheme="majorBidi" w:cstheme="majorBidi"/>
          <w:sz w:val="24"/>
          <w:szCs w:val="24"/>
        </w:rPr>
      </w:pPr>
      <w:r>
        <w:rPr>
          <w:rFonts w:asciiTheme="majorBidi" w:hAnsiTheme="majorBidi" w:cstheme="majorBidi"/>
          <w:b/>
          <w:bCs/>
          <w:sz w:val="24"/>
          <w:szCs w:val="24"/>
        </w:rPr>
        <w:tab/>
      </w:r>
      <w:r w:rsidRPr="00BF1307">
        <w:rPr>
          <w:rFonts w:asciiTheme="majorBidi" w:hAnsiTheme="majorBidi" w:cstheme="majorBidi"/>
          <w:sz w:val="24"/>
          <w:szCs w:val="24"/>
        </w:rPr>
        <w:t xml:space="preserve">One of the critical </w:t>
      </w:r>
      <w:r w:rsidR="00F84D45">
        <w:rPr>
          <w:rFonts w:asciiTheme="majorBidi" w:hAnsiTheme="majorBidi" w:cstheme="majorBidi"/>
          <w:sz w:val="24"/>
          <w:szCs w:val="24"/>
        </w:rPr>
        <w:t xml:space="preserve">oppositions of TRA is that the prediction of the behaviour is limiting and </w:t>
      </w:r>
      <w:r w:rsidR="00F84D45" w:rsidRPr="00F60616">
        <w:rPr>
          <w:rFonts w:asciiTheme="majorBidi" w:hAnsiTheme="majorBidi" w:cstheme="majorBidi"/>
          <w:sz w:val="24"/>
          <w:szCs w:val="24"/>
        </w:rPr>
        <w:t>does not necessarily guarantee actual behaviour</w:t>
      </w:r>
      <w:r w:rsidR="007421C4" w:rsidRPr="00F60616">
        <w:rPr>
          <w:rFonts w:asciiTheme="majorBidi" w:hAnsiTheme="majorBidi" w:cstheme="majorBidi"/>
          <w:sz w:val="24"/>
          <w:szCs w:val="24"/>
        </w:rPr>
        <w:t xml:space="preserve"> </w:t>
      </w:r>
      <w:sdt>
        <w:sdtPr>
          <w:rPr>
            <w:rFonts w:asciiTheme="majorBidi" w:hAnsiTheme="majorBidi" w:cstheme="majorBidi"/>
            <w:sz w:val="24"/>
            <w:szCs w:val="24"/>
          </w:rPr>
          <w:id w:val="-1641497748"/>
          <w:citation/>
        </w:sdtPr>
        <w:sdtContent>
          <w:r w:rsidR="007421C4" w:rsidRPr="00F60616">
            <w:rPr>
              <w:rFonts w:asciiTheme="majorBidi" w:hAnsiTheme="majorBidi" w:cstheme="majorBidi"/>
              <w:sz w:val="24"/>
              <w:szCs w:val="24"/>
            </w:rPr>
            <w:fldChar w:fldCharType="begin"/>
          </w:r>
          <w:r w:rsidR="007421C4" w:rsidRPr="00F60616">
            <w:rPr>
              <w:rFonts w:asciiTheme="majorBidi" w:hAnsiTheme="majorBidi" w:cstheme="majorBidi"/>
              <w:sz w:val="24"/>
              <w:szCs w:val="24"/>
            </w:rPr>
            <w:instrText xml:space="preserve"> CITATION Ell95 \l 2057  \m Sut98</w:instrText>
          </w:r>
          <w:r w:rsidR="007421C4" w:rsidRPr="00F60616">
            <w:rPr>
              <w:rFonts w:asciiTheme="majorBidi" w:hAnsiTheme="majorBidi" w:cstheme="majorBidi"/>
              <w:sz w:val="24"/>
              <w:szCs w:val="24"/>
            </w:rPr>
            <w:fldChar w:fldCharType="separate"/>
          </w:r>
          <w:r w:rsidR="007421C4" w:rsidRPr="00F60616">
            <w:rPr>
              <w:rFonts w:asciiTheme="majorBidi" w:hAnsiTheme="majorBidi" w:cstheme="majorBidi"/>
              <w:noProof/>
              <w:sz w:val="24"/>
              <w:szCs w:val="24"/>
            </w:rPr>
            <w:t>(Elliott, Jobber, &amp; Sharp, 1995; Sutton, 1998)</w:t>
          </w:r>
          <w:r w:rsidR="007421C4" w:rsidRPr="00F60616">
            <w:rPr>
              <w:rFonts w:asciiTheme="majorBidi" w:hAnsiTheme="majorBidi" w:cstheme="majorBidi"/>
              <w:sz w:val="24"/>
              <w:szCs w:val="24"/>
            </w:rPr>
            <w:fldChar w:fldCharType="end"/>
          </w:r>
        </w:sdtContent>
      </w:sdt>
      <w:r w:rsidR="00F84D45" w:rsidRPr="00F60616">
        <w:rPr>
          <w:rFonts w:asciiTheme="majorBidi" w:hAnsiTheme="majorBidi" w:cstheme="majorBidi"/>
          <w:sz w:val="24"/>
          <w:szCs w:val="24"/>
        </w:rPr>
        <w:t>.</w:t>
      </w:r>
      <w:r w:rsidR="007421C4" w:rsidRPr="00F60616">
        <w:rPr>
          <w:rFonts w:asciiTheme="majorBidi" w:hAnsiTheme="majorBidi" w:cstheme="majorBidi"/>
          <w:sz w:val="24"/>
          <w:szCs w:val="24"/>
        </w:rPr>
        <w:t xml:space="preserve"> However, early studies </w:t>
      </w:r>
      <w:r w:rsidR="00027F45" w:rsidRPr="00F60616">
        <w:rPr>
          <w:rFonts w:asciiTheme="majorBidi" w:hAnsiTheme="majorBidi" w:cstheme="majorBidi"/>
          <w:sz w:val="24"/>
          <w:szCs w:val="24"/>
        </w:rPr>
        <w:t xml:space="preserve">have </w:t>
      </w:r>
      <w:r w:rsidR="007421C4" w:rsidRPr="00F60616">
        <w:rPr>
          <w:rFonts w:asciiTheme="majorBidi" w:hAnsiTheme="majorBidi" w:cstheme="majorBidi"/>
          <w:sz w:val="24"/>
          <w:szCs w:val="24"/>
        </w:rPr>
        <w:t xml:space="preserve">found that the prediction </w:t>
      </w:r>
      <w:r w:rsidR="00374283" w:rsidRPr="00F60616">
        <w:rPr>
          <w:rFonts w:asciiTheme="majorBidi" w:hAnsiTheme="majorBidi" w:cstheme="majorBidi"/>
          <w:sz w:val="24"/>
          <w:szCs w:val="24"/>
        </w:rPr>
        <w:t>of</w:t>
      </w:r>
      <w:r w:rsidR="007421C4" w:rsidRPr="00F60616">
        <w:rPr>
          <w:rFonts w:asciiTheme="majorBidi" w:hAnsiTheme="majorBidi" w:cstheme="majorBidi"/>
          <w:sz w:val="24"/>
          <w:szCs w:val="24"/>
        </w:rPr>
        <w:t xml:space="preserve"> behaviour can be limit</w:t>
      </w:r>
      <w:r w:rsidR="00374283" w:rsidRPr="00F60616">
        <w:rPr>
          <w:rFonts w:asciiTheme="majorBidi" w:hAnsiTheme="majorBidi" w:cstheme="majorBidi"/>
          <w:sz w:val="24"/>
          <w:szCs w:val="24"/>
        </w:rPr>
        <w:t>ing</w:t>
      </w:r>
      <w:r w:rsidR="007421C4" w:rsidRPr="00F60616">
        <w:rPr>
          <w:rFonts w:asciiTheme="majorBidi" w:hAnsiTheme="majorBidi" w:cstheme="majorBidi"/>
          <w:sz w:val="24"/>
          <w:szCs w:val="24"/>
        </w:rPr>
        <w:t xml:space="preserve"> in reference to behaviours such as practicing safe sex or dieting </w:t>
      </w:r>
      <w:sdt>
        <w:sdtPr>
          <w:rPr>
            <w:rFonts w:asciiTheme="majorBidi" w:hAnsiTheme="majorBidi" w:cstheme="majorBidi"/>
            <w:sz w:val="24"/>
            <w:szCs w:val="24"/>
          </w:rPr>
          <w:id w:val="-2010131885"/>
          <w:citation/>
        </w:sdtPr>
        <w:sdtContent>
          <w:r w:rsidR="007421C4" w:rsidRPr="00F60616">
            <w:rPr>
              <w:rFonts w:asciiTheme="majorBidi" w:hAnsiTheme="majorBidi" w:cstheme="majorBidi"/>
              <w:sz w:val="24"/>
              <w:szCs w:val="24"/>
            </w:rPr>
            <w:fldChar w:fldCharType="begin"/>
          </w:r>
          <w:r w:rsidR="007421C4" w:rsidRPr="00F60616">
            <w:rPr>
              <w:rFonts w:asciiTheme="majorBidi" w:hAnsiTheme="majorBidi" w:cstheme="majorBidi"/>
              <w:sz w:val="24"/>
              <w:szCs w:val="24"/>
            </w:rPr>
            <w:instrText xml:space="preserve"> CITATION Ell95 \l 2057 </w:instrText>
          </w:r>
          <w:r w:rsidR="007421C4" w:rsidRPr="00F60616">
            <w:rPr>
              <w:rFonts w:asciiTheme="majorBidi" w:hAnsiTheme="majorBidi" w:cstheme="majorBidi"/>
              <w:sz w:val="24"/>
              <w:szCs w:val="24"/>
            </w:rPr>
            <w:fldChar w:fldCharType="separate"/>
          </w:r>
          <w:r w:rsidR="007421C4" w:rsidRPr="00F60616">
            <w:rPr>
              <w:rFonts w:asciiTheme="majorBidi" w:hAnsiTheme="majorBidi" w:cstheme="majorBidi"/>
              <w:noProof/>
              <w:sz w:val="24"/>
              <w:szCs w:val="24"/>
            </w:rPr>
            <w:t>(Elliott, Jobber, &amp; Sharp, 1995)</w:t>
          </w:r>
          <w:r w:rsidR="007421C4" w:rsidRPr="00F60616">
            <w:rPr>
              <w:rFonts w:asciiTheme="majorBidi" w:hAnsiTheme="majorBidi" w:cstheme="majorBidi"/>
              <w:sz w:val="24"/>
              <w:szCs w:val="24"/>
            </w:rPr>
            <w:fldChar w:fldCharType="end"/>
          </w:r>
        </w:sdtContent>
      </w:sdt>
      <w:r w:rsidR="00783951" w:rsidRPr="00F60616">
        <w:rPr>
          <w:rFonts w:asciiTheme="majorBidi" w:hAnsiTheme="majorBidi" w:cstheme="majorBidi"/>
          <w:sz w:val="24"/>
          <w:szCs w:val="24"/>
        </w:rPr>
        <w:t xml:space="preserve"> which is more psychologically complex than the purchase of </w:t>
      </w:r>
      <w:r w:rsidR="00374283" w:rsidRPr="00F60616">
        <w:rPr>
          <w:rFonts w:asciiTheme="majorBidi" w:hAnsiTheme="majorBidi" w:cstheme="majorBidi"/>
          <w:sz w:val="24"/>
          <w:szCs w:val="24"/>
        </w:rPr>
        <w:t xml:space="preserve">low involvement products (such as consumer </w:t>
      </w:r>
      <w:r w:rsidR="00783951" w:rsidRPr="00F60616">
        <w:rPr>
          <w:rFonts w:asciiTheme="majorBidi" w:hAnsiTheme="majorBidi" w:cstheme="majorBidi"/>
          <w:sz w:val="24"/>
          <w:szCs w:val="24"/>
        </w:rPr>
        <w:t>goods</w:t>
      </w:r>
      <w:r w:rsidR="00374283" w:rsidRPr="00F60616">
        <w:rPr>
          <w:rFonts w:asciiTheme="majorBidi" w:hAnsiTheme="majorBidi" w:cstheme="majorBidi"/>
          <w:sz w:val="24"/>
          <w:szCs w:val="24"/>
        </w:rPr>
        <w:t>).</w:t>
      </w:r>
      <w:r w:rsidR="00783951" w:rsidRPr="00F60616">
        <w:rPr>
          <w:rFonts w:asciiTheme="majorBidi" w:hAnsiTheme="majorBidi" w:cstheme="majorBidi"/>
          <w:sz w:val="24"/>
          <w:szCs w:val="24"/>
        </w:rPr>
        <w:t xml:space="preserve"> Another opinion of </w:t>
      </w:r>
      <w:r w:rsidRPr="00F60616">
        <w:rPr>
          <w:rFonts w:asciiTheme="majorBidi" w:hAnsiTheme="majorBidi" w:cstheme="majorBidi"/>
          <w:sz w:val="24"/>
          <w:szCs w:val="24"/>
        </w:rPr>
        <w:t xml:space="preserve">TRA </w:t>
      </w:r>
      <w:r w:rsidR="00027F45" w:rsidRPr="00F60616">
        <w:rPr>
          <w:rFonts w:asciiTheme="majorBidi" w:hAnsiTheme="majorBidi" w:cstheme="majorBidi"/>
          <w:sz w:val="24"/>
          <w:szCs w:val="24"/>
        </w:rPr>
        <w:t>is</w:t>
      </w:r>
      <w:r w:rsidRPr="00F60616">
        <w:rPr>
          <w:rFonts w:asciiTheme="majorBidi" w:hAnsiTheme="majorBidi" w:cstheme="majorBidi"/>
          <w:sz w:val="24"/>
          <w:szCs w:val="24"/>
        </w:rPr>
        <w:t xml:space="preserve"> that focusing on behavioural attitudes encourages people to think of the behaviour in terms of its costs and benefits rather than its emotional impact</w:t>
      </w:r>
      <w:sdt>
        <w:sdtPr>
          <w:rPr>
            <w:rFonts w:asciiTheme="majorBidi" w:hAnsiTheme="majorBidi" w:cstheme="majorBidi"/>
            <w:sz w:val="24"/>
            <w:szCs w:val="24"/>
          </w:rPr>
          <w:id w:val="-388576884"/>
          <w:citation/>
        </w:sdtPr>
        <w:sdtContent>
          <w:r w:rsidRPr="00F60616">
            <w:rPr>
              <w:rFonts w:asciiTheme="majorBidi" w:hAnsiTheme="majorBidi" w:cstheme="majorBidi"/>
              <w:sz w:val="24"/>
              <w:szCs w:val="24"/>
            </w:rPr>
            <w:fldChar w:fldCharType="begin"/>
          </w:r>
          <w:r w:rsidRPr="00F60616">
            <w:rPr>
              <w:rFonts w:asciiTheme="majorBidi" w:hAnsiTheme="majorBidi" w:cstheme="majorBidi"/>
              <w:sz w:val="24"/>
              <w:szCs w:val="24"/>
            </w:rPr>
            <w:instrText xml:space="preserve"> CITATION Man11 \l 2057 </w:instrText>
          </w:r>
          <w:r w:rsidRPr="00F60616">
            <w:rPr>
              <w:rFonts w:asciiTheme="majorBidi" w:hAnsiTheme="majorBidi" w:cstheme="majorBidi"/>
              <w:sz w:val="24"/>
              <w:szCs w:val="24"/>
            </w:rPr>
            <w:fldChar w:fldCharType="separate"/>
          </w:r>
          <w:r w:rsidRPr="00F60616">
            <w:rPr>
              <w:rFonts w:asciiTheme="majorBidi" w:hAnsiTheme="majorBidi" w:cstheme="majorBidi"/>
              <w:noProof/>
              <w:sz w:val="24"/>
              <w:szCs w:val="24"/>
            </w:rPr>
            <w:t xml:space="preserve"> (Manstead, 2011)</w:t>
          </w:r>
          <w:r w:rsidRPr="00F60616">
            <w:rPr>
              <w:rFonts w:asciiTheme="majorBidi" w:hAnsiTheme="majorBidi" w:cstheme="majorBidi"/>
              <w:sz w:val="24"/>
              <w:szCs w:val="24"/>
            </w:rPr>
            <w:fldChar w:fldCharType="end"/>
          </w:r>
        </w:sdtContent>
      </w:sdt>
      <w:r w:rsidRPr="00F60616">
        <w:rPr>
          <w:rFonts w:asciiTheme="majorBidi" w:hAnsiTheme="majorBidi" w:cstheme="majorBidi"/>
          <w:sz w:val="24"/>
          <w:szCs w:val="24"/>
        </w:rPr>
        <w:t>. Other authors</w:t>
      </w:r>
      <w:r w:rsidR="00027F45" w:rsidRPr="00F60616">
        <w:rPr>
          <w:rFonts w:asciiTheme="majorBidi" w:hAnsiTheme="majorBidi" w:cstheme="majorBidi"/>
          <w:sz w:val="24"/>
          <w:szCs w:val="24"/>
        </w:rPr>
        <w:t xml:space="preserve"> have</w:t>
      </w:r>
      <w:r w:rsidRPr="00F60616">
        <w:rPr>
          <w:rFonts w:asciiTheme="majorBidi" w:hAnsiTheme="majorBidi" w:cstheme="majorBidi"/>
          <w:sz w:val="24"/>
          <w:szCs w:val="24"/>
        </w:rPr>
        <w:t xml:space="preserve"> criticised TRA</w:t>
      </w:r>
      <w:r w:rsidR="00374283" w:rsidRPr="00F60616">
        <w:rPr>
          <w:rFonts w:asciiTheme="majorBidi" w:hAnsiTheme="majorBidi" w:cstheme="majorBidi"/>
          <w:sz w:val="24"/>
          <w:szCs w:val="24"/>
        </w:rPr>
        <w:t xml:space="preserve"> and </w:t>
      </w:r>
      <w:r w:rsidRPr="00F60616">
        <w:rPr>
          <w:rFonts w:asciiTheme="majorBidi" w:hAnsiTheme="majorBidi" w:cstheme="majorBidi"/>
          <w:sz w:val="24"/>
          <w:szCs w:val="24"/>
        </w:rPr>
        <w:t>TPB for the linear nature of the theor</w:t>
      </w:r>
      <w:r w:rsidR="00374283" w:rsidRPr="00F60616">
        <w:rPr>
          <w:rFonts w:asciiTheme="majorBidi" w:hAnsiTheme="majorBidi" w:cstheme="majorBidi"/>
          <w:sz w:val="24"/>
          <w:szCs w:val="24"/>
        </w:rPr>
        <w:t>ies</w:t>
      </w:r>
      <w:r w:rsidRPr="00F60616">
        <w:rPr>
          <w:rFonts w:asciiTheme="majorBidi" w:hAnsiTheme="majorBidi" w:cstheme="majorBidi"/>
          <w:sz w:val="24"/>
          <w:szCs w:val="24"/>
        </w:rPr>
        <w:t>’ main predictors</w:t>
      </w:r>
      <w:sdt>
        <w:sdtPr>
          <w:rPr>
            <w:rFonts w:asciiTheme="majorBidi" w:hAnsiTheme="majorBidi" w:cstheme="majorBidi"/>
            <w:sz w:val="24"/>
            <w:szCs w:val="24"/>
          </w:rPr>
          <w:id w:val="1584028541"/>
          <w:citation/>
        </w:sdtPr>
        <w:sdtContent>
          <w:r w:rsidRPr="00F60616">
            <w:rPr>
              <w:rFonts w:asciiTheme="majorBidi" w:hAnsiTheme="majorBidi" w:cstheme="majorBidi"/>
              <w:sz w:val="24"/>
              <w:szCs w:val="24"/>
            </w:rPr>
            <w:fldChar w:fldCharType="begin"/>
          </w:r>
          <w:r w:rsidRPr="00F60616">
            <w:rPr>
              <w:rFonts w:asciiTheme="majorBidi" w:hAnsiTheme="majorBidi" w:cstheme="majorBidi"/>
              <w:sz w:val="24"/>
              <w:szCs w:val="24"/>
            </w:rPr>
            <w:instrText xml:space="preserve"> CITATION Wei98 \l 2057 </w:instrText>
          </w:r>
          <w:r w:rsidRPr="00F60616">
            <w:rPr>
              <w:rFonts w:asciiTheme="majorBidi" w:hAnsiTheme="majorBidi" w:cstheme="majorBidi"/>
              <w:sz w:val="24"/>
              <w:szCs w:val="24"/>
            </w:rPr>
            <w:fldChar w:fldCharType="separate"/>
          </w:r>
          <w:r w:rsidRPr="00F60616">
            <w:rPr>
              <w:rFonts w:asciiTheme="majorBidi" w:hAnsiTheme="majorBidi" w:cstheme="majorBidi"/>
              <w:noProof/>
              <w:sz w:val="24"/>
              <w:szCs w:val="24"/>
            </w:rPr>
            <w:t xml:space="preserve"> (Weinstein, Rothman, &amp; Sutton, 1998)</w:t>
          </w:r>
          <w:r w:rsidRPr="00F60616">
            <w:rPr>
              <w:rFonts w:asciiTheme="majorBidi" w:hAnsiTheme="majorBidi" w:cstheme="majorBidi"/>
              <w:sz w:val="24"/>
              <w:szCs w:val="24"/>
            </w:rPr>
            <w:fldChar w:fldCharType="end"/>
          </w:r>
        </w:sdtContent>
      </w:sdt>
      <w:r w:rsidRPr="00783951">
        <w:rPr>
          <w:rFonts w:asciiTheme="majorBidi" w:hAnsiTheme="majorBidi" w:cstheme="majorBidi"/>
          <w:sz w:val="24"/>
          <w:szCs w:val="24"/>
        </w:rPr>
        <w:t>.</w:t>
      </w:r>
      <w:r w:rsidRPr="00BF1307">
        <w:rPr>
          <w:rFonts w:asciiTheme="majorBidi" w:hAnsiTheme="majorBidi" w:cstheme="majorBidi"/>
          <w:sz w:val="24"/>
          <w:szCs w:val="24"/>
        </w:rPr>
        <w:t xml:space="preserve"> </w:t>
      </w:r>
      <w:r w:rsidR="00783951">
        <w:rPr>
          <w:rFonts w:asciiTheme="majorBidi" w:hAnsiTheme="majorBidi" w:cstheme="majorBidi"/>
          <w:sz w:val="24"/>
          <w:szCs w:val="24"/>
        </w:rPr>
        <w:t>In this study, attitude</w:t>
      </w:r>
      <w:r w:rsidR="00374283">
        <w:rPr>
          <w:rFonts w:asciiTheme="majorBidi" w:hAnsiTheme="majorBidi" w:cstheme="majorBidi"/>
          <w:sz w:val="24"/>
          <w:szCs w:val="24"/>
        </w:rPr>
        <w:t xml:space="preserve"> is</w:t>
      </w:r>
      <w:r w:rsidR="00783951">
        <w:rPr>
          <w:rFonts w:asciiTheme="majorBidi" w:hAnsiTheme="majorBidi" w:cstheme="majorBidi"/>
          <w:sz w:val="24"/>
          <w:szCs w:val="24"/>
        </w:rPr>
        <w:t xml:space="preserve"> </w:t>
      </w:r>
      <w:r w:rsidR="00374283">
        <w:rPr>
          <w:rFonts w:asciiTheme="majorBidi" w:hAnsiTheme="majorBidi" w:cstheme="majorBidi"/>
          <w:sz w:val="24"/>
          <w:szCs w:val="24"/>
        </w:rPr>
        <w:t>subdivided</w:t>
      </w:r>
      <w:r w:rsidR="00783951">
        <w:rPr>
          <w:rFonts w:asciiTheme="majorBidi" w:hAnsiTheme="majorBidi" w:cstheme="majorBidi"/>
          <w:sz w:val="24"/>
          <w:szCs w:val="24"/>
        </w:rPr>
        <w:t xml:space="preserve"> into multiple </w:t>
      </w:r>
      <w:r w:rsidR="00374283">
        <w:rPr>
          <w:rFonts w:asciiTheme="majorBidi" w:hAnsiTheme="majorBidi" w:cstheme="majorBidi"/>
          <w:sz w:val="24"/>
          <w:szCs w:val="24"/>
        </w:rPr>
        <w:t>attitudes</w:t>
      </w:r>
      <w:r w:rsidR="00783951">
        <w:rPr>
          <w:rFonts w:asciiTheme="majorBidi" w:hAnsiTheme="majorBidi" w:cstheme="majorBidi"/>
          <w:sz w:val="24"/>
          <w:szCs w:val="24"/>
        </w:rPr>
        <w:t xml:space="preserve"> and the impact of each individual attitude is measured on purchase intention. </w:t>
      </w:r>
      <w:r w:rsidRPr="00BF1307">
        <w:rPr>
          <w:rFonts w:asciiTheme="majorBidi" w:hAnsiTheme="majorBidi" w:cstheme="majorBidi"/>
          <w:sz w:val="24"/>
          <w:szCs w:val="24"/>
        </w:rPr>
        <w:t>In addition, the theory was criticised for having generic constructs which might make it difficult to generate specific hypotheses</w:t>
      </w:r>
      <w:sdt>
        <w:sdtPr>
          <w:rPr>
            <w:rFonts w:asciiTheme="majorBidi" w:hAnsiTheme="majorBidi" w:cstheme="majorBidi"/>
            <w:sz w:val="24"/>
            <w:szCs w:val="24"/>
          </w:rPr>
          <w:id w:val="342593114"/>
          <w:citation/>
        </w:sdtPr>
        <w:sdtContent>
          <w:r w:rsidRPr="00BF1307">
            <w:rPr>
              <w:rFonts w:asciiTheme="majorBidi" w:hAnsiTheme="majorBidi" w:cstheme="majorBidi"/>
              <w:sz w:val="24"/>
              <w:szCs w:val="24"/>
            </w:rPr>
            <w:fldChar w:fldCharType="begin"/>
          </w:r>
          <w:r w:rsidRPr="00BF1307">
            <w:rPr>
              <w:rFonts w:asciiTheme="majorBidi" w:hAnsiTheme="majorBidi" w:cstheme="majorBidi"/>
              <w:sz w:val="24"/>
              <w:szCs w:val="24"/>
            </w:rPr>
            <w:instrText xml:space="preserve"> CITATION Ogd03 \l 2057 </w:instrText>
          </w:r>
          <w:r w:rsidRPr="00BF1307">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(Ogden, 2003)</w:t>
          </w:r>
          <w:r w:rsidRPr="00BF1307">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783951">
        <w:rPr>
          <w:rFonts w:asciiTheme="majorBidi" w:hAnsiTheme="majorBidi" w:cstheme="majorBidi"/>
          <w:sz w:val="24"/>
          <w:szCs w:val="24"/>
        </w:rPr>
        <w:t>Henceforth</w:t>
      </w:r>
      <w:r>
        <w:rPr>
          <w:rFonts w:asciiTheme="majorBidi" w:hAnsiTheme="majorBidi" w:cstheme="majorBidi"/>
          <w:sz w:val="24"/>
          <w:szCs w:val="24"/>
        </w:rPr>
        <w:t xml:space="preserve">, </w:t>
      </w:r>
      <w:r w:rsidR="00027F45">
        <w:rPr>
          <w:rFonts w:asciiTheme="majorBidi" w:hAnsiTheme="majorBidi" w:cstheme="majorBidi"/>
          <w:sz w:val="24"/>
          <w:szCs w:val="24"/>
        </w:rPr>
        <w:t xml:space="preserve">the </w:t>
      </w:r>
      <w:r>
        <w:rPr>
          <w:rFonts w:asciiTheme="majorBidi" w:hAnsiTheme="majorBidi" w:cstheme="majorBidi"/>
          <w:sz w:val="24"/>
          <w:szCs w:val="24"/>
        </w:rPr>
        <w:t>majority of this study’s hypotheses emerged from</w:t>
      </w:r>
      <w:r w:rsidR="00027F45">
        <w:rPr>
          <w:rFonts w:asciiTheme="majorBidi" w:hAnsiTheme="majorBidi" w:cstheme="majorBidi"/>
          <w:sz w:val="24"/>
          <w:szCs w:val="24"/>
        </w:rPr>
        <w:t xml:space="preserve"> the</w:t>
      </w:r>
      <w:r>
        <w:rPr>
          <w:rFonts w:asciiTheme="majorBidi" w:hAnsiTheme="majorBidi" w:cstheme="majorBidi"/>
          <w:sz w:val="24"/>
          <w:szCs w:val="24"/>
        </w:rPr>
        <w:t xml:space="preserve"> literature</w:t>
      </w:r>
      <w:r w:rsidR="00783951">
        <w:rPr>
          <w:rFonts w:asciiTheme="majorBidi" w:hAnsiTheme="majorBidi" w:cstheme="majorBidi"/>
          <w:sz w:val="24"/>
          <w:szCs w:val="24"/>
        </w:rPr>
        <w:t xml:space="preserve"> as</w:t>
      </w:r>
      <w:r>
        <w:rPr>
          <w:rFonts w:asciiTheme="majorBidi" w:hAnsiTheme="majorBidi" w:cstheme="majorBidi"/>
          <w:sz w:val="24"/>
          <w:szCs w:val="24"/>
        </w:rPr>
        <w:t xml:space="preserve"> reviewed in the previous chapters. Also, </w:t>
      </w:r>
      <w:r w:rsidRPr="00F60616">
        <w:rPr>
          <w:rFonts w:asciiTheme="majorBidi" w:hAnsiTheme="majorBidi" w:cstheme="majorBidi"/>
          <w:sz w:val="24"/>
          <w:szCs w:val="24"/>
        </w:rPr>
        <w:t>TRA does not consider the impact of demographic characteristics such</w:t>
      </w:r>
      <w:r>
        <w:rPr>
          <w:rFonts w:asciiTheme="majorBidi" w:hAnsiTheme="majorBidi" w:cstheme="majorBidi"/>
          <w:sz w:val="24"/>
          <w:szCs w:val="24"/>
        </w:rPr>
        <w:t xml:space="preserve"> as age and socioeconomic status</w:t>
      </w:r>
      <w:r w:rsidR="00374283">
        <w:rPr>
          <w:rFonts w:asciiTheme="majorBidi" w:hAnsiTheme="majorBidi" w:cstheme="majorBidi"/>
          <w:sz w:val="24"/>
          <w:szCs w:val="24"/>
        </w:rPr>
        <w:t xml:space="preserve"> in the prediction of behaviour</w:t>
      </w:r>
      <w:r>
        <w:rPr>
          <w:rFonts w:asciiTheme="majorBidi" w:hAnsiTheme="majorBidi" w:cstheme="majorBidi"/>
          <w:sz w:val="24"/>
          <w:szCs w:val="24"/>
        </w:rPr>
        <w:t xml:space="preserve"> </w:t>
      </w:r>
      <w:sdt>
        <w:sdtPr>
          <w:rPr>
            <w:rFonts w:asciiTheme="majorBidi" w:hAnsiTheme="majorBidi" w:cstheme="majorBidi"/>
            <w:sz w:val="24"/>
            <w:szCs w:val="24"/>
          </w:rPr>
          <w:id w:val="-2081584540"/>
          <w:citation/>
        </w:sdtPr>
        <w:sdtContent>
          <w:r w:rsidRPr="00BF1307">
            <w:rPr>
              <w:rFonts w:asciiTheme="majorBidi" w:hAnsiTheme="majorBidi" w:cstheme="majorBidi"/>
              <w:sz w:val="24"/>
              <w:szCs w:val="24"/>
            </w:rPr>
            <w:fldChar w:fldCharType="begin"/>
          </w:r>
          <w:r w:rsidRPr="00BF1307">
            <w:rPr>
              <w:rFonts w:asciiTheme="majorBidi" w:hAnsiTheme="majorBidi" w:cstheme="majorBidi"/>
              <w:sz w:val="24"/>
              <w:szCs w:val="24"/>
            </w:rPr>
            <w:instrText xml:space="preserve"> CITATION Sni14 \l 2057 </w:instrText>
          </w:r>
          <w:r w:rsidRPr="00BF1307">
            <w:rPr>
              <w:rFonts w:asciiTheme="majorBidi" w:hAnsiTheme="majorBidi" w:cstheme="majorBidi"/>
              <w:sz w:val="24"/>
              <w:szCs w:val="24"/>
            </w:rPr>
            <w:fldChar w:fldCharType="separate"/>
          </w:r>
          <w:r w:rsidRPr="000F60CD">
            <w:rPr>
              <w:rFonts w:asciiTheme="majorBidi" w:hAnsiTheme="majorBidi" w:cstheme="majorBidi"/>
              <w:noProof/>
              <w:sz w:val="24"/>
              <w:szCs w:val="24"/>
            </w:rPr>
            <w:t>(Sniehotta, Presseau, &amp; Araújo-Soares, 2014)</w:t>
          </w:r>
          <w:r w:rsidRPr="00BF1307">
            <w:rPr>
              <w:rFonts w:asciiTheme="majorBidi" w:hAnsiTheme="majorBidi" w:cstheme="majorBidi"/>
              <w:sz w:val="24"/>
              <w:szCs w:val="24"/>
            </w:rPr>
            <w:fldChar w:fldCharType="end"/>
          </w:r>
        </w:sdtContent>
      </w:sdt>
      <w:r w:rsidRPr="00BF1307">
        <w:rPr>
          <w:rFonts w:asciiTheme="majorBidi" w:hAnsiTheme="majorBidi" w:cstheme="majorBidi"/>
          <w:sz w:val="24"/>
          <w:szCs w:val="24"/>
        </w:rPr>
        <w:t xml:space="preserve">. </w:t>
      </w:r>
      <w:r w:rsidR="00783951">
        <w:rPr>
          <w:rFonts w:asciiTheme="majorBidi" w:hAnsiTheme="majorBidi" w:cstheme="majorBidi"/>
          <w:sz w:val="24"/>
          <w:szCs w:val="24"/>
        </w:rPr>
        <w:t xml:space="preserve">For that reason, questions about demographic characteristics were included in this study </w:t>
      </w:r>
      <w:r w:rsidR="00783951" w:rsidRPr="00F60616">
        <w:rPr>
          <w:rFonts w:asciiTheme="majorBidi" w:hAnsiTheme="majorBidi" w:cstheme="majorBidi"/>
          <w:sz w:val="24"/>
          <w:szCs w:val="24"/>
        </w:rPr>
        <w:t>for sampling purposes</w:t>
      </w:r>
      <w:r w:rsidR="00783951">
        <w:rPr>
          <w:rFonts w:asciiTheme="majorBidi" w:hAnsiTheme="majorBidi" w:cstheme="majorBidi"/>
          <w:sz w:val="24"/>
          <w:szCs w:val="24"/>
        </w:rPr>
        <w:t xml:space="preserve"> (refer to section </w:t>
      </w:r>
      <w:r w:rsidR="00A95B0D">
        <w:rPr>
          <w:rFonts w:asciiTheme="majorBidi" w:hAnsiTheme="majorBidi" w:cstheme="majorBidi"/>
          <w:sz w:val="24"/>
          <w:szCs w:val="24"/>
        </w:rPr>
        <w:t>5.4.8</w:t>
      </w:r>
      <w:r w:rsidR="00783951">
        <w:rPr>
          <w:rFonts w:asciiTheme="majorBidi" w:hAnsiTheme="majorBidi" w:cstheme="majorBidi"/>
          <w:sz w:val="24"/>
          <w:szCs w:val="24"/>
        </w:rPr>
        <w:t xml:space="preserve">) </w:t>
      </w:r>
      <w:r w:rsidR="00374283">
        <w:rPr>
          <w:rFonts w:asciiTheme="majorBidi" w:hAnsiTheme="majorBidi" w:cstheme="majorBidi"/>
          <w:sz w:val="24"/>
          <w:szCs w:val="24"/>
        </w:rPr>
        <w:t>and to</w:t>
      </w:r>
      <w:r w:rsidR="00783951">
        <w:rPr>
          <w:rFonts w:asciiTheme="majorBidi" w:hAnsiTheme="majorBidi" w:cstheme="majorBidi"/>
          <w:sz w:val="24"/>
          <w:szCs w:val="24"/>
        </w:rPr>
        <w:t xml:space="preserve"> </w:t>
      </w:r>
      <w:r w:rsidR="007046F4">
        <w:rPr>
          <w:rFonts w:asciiTheme="majorBidi" w:hAnsiTheme="majorBidi" w:cstheme="majorBidi"/>
          <w:sz w:val="24"/>
          <w:szCs w:val="24"/>
        </w:rPr>
        <w:t>counter</w:t>
      </w:r>
      <w:r w:rsidR="00783951">
        <w:rPr>
          <w:rFonts w:asciiTheme="majorBidi" w:hAnsiTheme="majorBidi" w:cstheme="majorBidi"/>
          <w:sz w:val="24"/>
          <w:szCs w:val="24"/>
        </w:rPr>
        <w:t xml:space="preserve"> this criticism. </w:t>
      </w:r>
      <w:r w:rsidRPr="00BF1307">
        <w:rPr>
          <w:rFonts w:asciiTheme="majorBidi" w:hAnsiTheme="majorBidi" w:cstheme="majorBidi"/>
          <w:sz w:val="24"/>
          <w:szCs w:val="24"/>
        </w:rPr>
        <w:t xml:space="preserve">Nevertheless, </w:t>
      </w:r>
      <w:r w:rsidRPr="00F65D60">
        <w:rPr>
          <w:rFonts w:asciiTheme="majorBidi" w:hAnsiTheme="majorBidi" w:cstheme="majorBidi"/>
          <w:sz w:val="24"/>
          <w:szCs w:val="24"/>
        </w:rPr>
        <w:t xml:space="preserve">Ajzen </w:t>
      </w:r>
      <w:sdt>
        <w:sdtPr>
          <w:rPr>
            <w:rFonts w:asciiTheme="majorBidi" w:hAnsiTheme="majorBidi" w:cstheme="majorBidi"/>
            <w:sz w:val="24"/>
            <w:szCs w:val="24"/>
          </w:rPr>
          <w:id w:val="-2066636177"/>
          <w:citation/>
        </w:sdtPr>
        <w:sdtContent>
          <w:r w:rsidRPr="00F65D60">
            <w:rPr>
              <w:rFonts w:asciiTheme="majorBidi" w:hAnsiTheme="majorBidi" w:cstheme="majorBidi"/>
              <w:sz w:val="24"/>
              <w:szCs w:val="24"/>
            </w:rPr>
            <w:fldChar w:fldCharType="begin"/>
          </w:r>
          <w:r w:rsidRPr="00F65D60">
            <w:rPr>
              <w:rFonts w:asciiTheme="majorBidi" w:hAnsiTheme="majorBidi" w:cstheme="majorBidi"/>
              <w:sz w:val="24"/>
              <w:szCs w:val="24"/>
            </w:rPr>
            <w:instrText xml:space="preserve">CITATION Ice15 \n  \t  \l 2057 </w:instrText>
          </w:r>
          <w:r w:rsidRPr="00F65D60">
            <w:rPr>
              <w:rFonts w:asciiTheme="majorBidi" w:hAnsiTheme="majorBidi" w:cstheme="majorBidi"/>
              <w:sz w:val="24"/>
              <w:szCs w:val="24"/>
            </w:rPr>
            <w:fldChar w:fldCharType="separate"/>
          </w:r>
          <w:r w:rsidRPr="000F60CD">
            <w:rPr>
              <w:rFonts w:asciiTheme="majorBidi" w:hAnsiTheme="majorBidi" w:cstheme="majorBidi"/>
              <w:noProof/>
              <w:sz w:val="24"/>
              <w:szCs w:val="24"/>
            </w:rPr>
            <w:t>(2015)</w:t>
          </w:r>
          <w:r w:rsidRPr="00F65D60">
            <w:rPr>
              <w:rFonts w:asciiTheme="majorBidi" w:hAnsiTheme="majorBidi" w:cstheme="majorBidi"/>
              <w:sz w:val="24"/>
              <w:szCs w:val="24"/>
            </w:rPr>
            <w:fldChar w:fldCharType="end"/>
          </w:r>
        </w:sdtContent>
      </w:sdt>
      <w:r w:rsidRPr="00F65D60">
        <w:rPr>
          <w:rFonts w:asciiTheme="majorBidi" w:hAnsiTheme="majorBidi" w:cstheme="majorBidi"/>
          <w:sz w:val="24"/>
          <w:szCs w:val="24"/>
        </w:rPr>
        <w:t xml:space="preserve"> responds to this criticism by </w:t>
      </w:r>
      <w:r w:rsidR="007046F4">
        <w:rPr>
          <w:rFonts w:asciiTheme="majorBidi" w:hAnsiTheme="majorBidi" w:cstheme="majorBidi"/>
          <w:sz w:val="24"/>
          <w:szCs w:val="24"/>
        </w:rPr>
        <w:t>asserting</w:t>
      </w:r>
      <w:r w:rsidRPr="00F65D60">
        <w:rPr>
          <w:rFonts w:asciiTheme="majorBidi" w:hAnsiTheme="majorBidi" w:cstheme="majorBidi"/>
          <w:sz w:val="24"/>
          <w:szCs w:val="24"/>
        </w:rPr>
        <w:t xml:space="preserve"> that the theory is not static and it</w:t>
      </w:r>
      <w:r w:rsidR="00027F45">
        <w:rPr>
          <w:rFonts w:asciiTheme="majorBidi" w:hAnsiTheme="majorBidi" w:cstheme="majorBidi"/>
          <w:sz w:val="24"/>
          <w:szCs w:val="24"/>
        </w:rPr>
        <w:t>’</w:t>
      </w:r>
      <w:r w:rsidRPr="00F65D60">
        <w:rPr>
          <w:rFonts w:asciiTheme="majorBidi" w:hAnsiTheme="majorBidi" w:cstheme="majorBidi"/>
          <w:sz w:val="24"/>
          <w:szCs w:val="24"/>
        </w:rPr>
        <w:t>s capable of amending its main constructs; thus, still effective in predicting behaviour.</w:t>
      </w:r>
      <w:r>
        <w:t xml:space="preserve"> </w:t>
      </w:r>
      <w:r>
        <w:rPr>
          <w:rFonts w:asciiTheme="majorBidi" w:hAnsiTheme="majorBidi" w:cstheme="majorBidi"/>
          <w:sz w:val="24"/>
          <w:szCs w:val="24"/>
        </w:rPr>
        <w:t>Henceforth</w:t>
      </w:r>
      <w:r w:rsidRPr="00AB7A5E">
        <w:rPr>
          <w:rFonts w:asciiTheme="majorBidi" w:hAnsiTheme="majorBidi" w:cstheme="majorBidi"/>
          <w:sz w:val="24"/>
          <w:szCs w:val="24"/>
        </w:rPr>
        <w:t xml:space="preserve">, the next section describes the way TRA </w:t>
      </w:r>
      <w:r w:rsidR="00783951">
        <w:rPr>
          <w:rFonts w:asciiTheme="majorBidi" w:hAnsiTheme="majorBidi" w:cstheme="majorBidi"/>
          <w:sz w:val="24"/>
          <w:szCs w:val="24"/>
        </w:rPr>
        <w:t>is</w:t>
      </w:r>
      <w:r w:rsidRPr="00AB7A5E">
        <w:rPr>
          <w:rFonts w:asciiTheme="majorBidi" w:hAnsiTheme="majorBidi" w:cstheme="majorBidi"/>
          <w:sz w:val="24"/>
          <w:szCs w:val="24"/>
        </w:rPr>
        <w:t xml:space="preserve"> applied</w:t>
      </w:r>
      <w:r>
        <w:rPr>
          <w:rFonts w:asciiTheme="majorBidi" w:hAnsiTheme="majorBidi" w:cstheme="majorBidi"/>
          <w:sz w:val="24"/>
          <w:szCs w:val="24"/>
        </w:rPr>
        <w:t xml:space="preserve"> in this study</w:t>
      </w:r>
      <w:r w:rsidRPr="00AB7A5E">
        <w:rPr>
          <w:rFonts w:asciiTheme="majorBidi" w:hAnsiTheme="majorBidi" w:cstheme="majorBidi"/>
          <w:sz w:val="24"/>
          <w:szCs w:val="24"/>
        </w:rPr>
        <w:t xml:space="preserve"> to measure the different impacts</w:t>
      </w:r>
      <w:r>
        <w:rPr>
          <w:rFonts w:asciiTheme="majorBidi" w:hAnsiTheme="majorBidi" w:cstheme="majorBidi"/>
          <w:sz w:val="24"/>
          <w:szCs w:val="24"/>
        </w:rPr>
        <w:t xml:space="preserve"> and effect sizes</w:t>
      </w:r>
      <w:r w:rsidRPr="00AB7A5E">
        <w:rPr>
          <w:rFonts w:asciiTheme="majorBidi" w:hAnsiTheme="majorBidi" w:cstheme="majorBidi"/>
          <w:sz w:val="24"/>
          <w:szCs w:val="24"/>
        </w:rPr>
        <w:t xml:space="preserve"> of the applied variables on purchase intention. </w:t>
      </w:r>
    </w:p>
    <w:p w14:paraId="0BA30B85" w14:textId="7AAEC52E" w:rsidR="00F40843" w:rsidRDefault="00783951" w:rsidP="00783951">
      <w:pPr>
        <w:adjustRightInd w:val="0"/>
        <w:spacing w:after="0" w:line="480" w:lineRule="auto"/>
        <w:rPr>
          <w:rFonts w:asciiTheme="majorBidi" w:hAnsiTheme="majorBidi" w:cstheme="majorBidi"/>
          <w:b/>
          <w:bCs/>
          <w:sz w:val="24"/>
          <w:szCs w:val="24"/>
        </w:rPr>
      </w:pPr>
      <w:r>
        <w:rPr>
          <w:rFonts w:asciiTheme="majorBidi" w:hAnsiTheme="majorBidi" w:cstheme="majorBidi"/>
          <w:sz w:val="24"/>
          <w:szCs w:val="24"/>
        </w:rPr>
        <w:tab/>
      </w:r>
      <w:r w:rsidR="00F40843">
        <w:rPr>
          <w:rFonts w:asciiTheme="majorBidi" w:hAnsiTheme="majorBidi" w:cstheme="majorBidi"/>
          <w:sz w:val="24"/>
          <w:szCs w:val="24"/>
        </w:rPr>
        <w:t xml:space="preserve">Another </w:t>
      </w:r>
      <w:r w:rsidR="00F40843" w:rsidRPr="00AB7A5E">
        <w:rPr>
          <w:rFonts w:asciiTheme="majorBidi" w:hAnsiTheme="majorBidi" w:cstheme="majorBidi"/>
          <w:sz w:val="24"/>
          <w:szCs w:val="24"/>
        </w:rPr>
        <w:t>countering argument that</w:t>
      </w:r>
      <w:r w:rsidR="00F40843">
        <w:rPr>
          <w:rFonts w:asciiTheme="majorBidi" w:hAnsiTheme="majorBidi" w:cstheme="majorBidi"/>
          <w:sz w:val="24"/>
          <w:szCs w:val="24"/>
        </w:rPr>
        <w:t xml:space="preserve"> TRA</w:t>
      </w:r>
      <w:r w:rsidR="00027F45">
        <w:rPr>
          <w:rFonts w:asciiTheme="majorBidi" w:hAnsiTheme="majorBidi" w:cstheme="majorBidi"/>
          <w:sz w:val="24"/>
          <w:szCs w:val="24"/>
        </w:rPr>
        <w:t xml:space="preserve"> has</w:t>
      </w:r>
      <w:r w:rsidR="00F40843">
        <w:rPr>
          <w:rFonts w:asciiTheme="majorBidi" w:hAnsiTheme="majorBidi" w:cstheme="majorBidi"/>
          <w:sz w:val="24"/>
          <w:szCs w:val="24"/>
        </w:rPr>
        <w:t xml:space="preserve"> faced is that</w:t>
      </w:r>
      <w:r w:rsidR="00F40843" w:rsidRPr="00AB7A5E">
        <w:rPr>
          <w:rFonts w:asciiTheme="majorBidi" w:hAnsiTheme="majorBidi" w:cstheme="majorBidi"/>
          <w:sz w:val="24"/>
          <w:szCs w:val="24"/>
        </w:rPr>
        <w:t xml:space="preserve"> the theory disregards </w:t>
      </w:r>
      <w:r w:rsidR="00F40843" w:rsidRPr="00F60616">
        <w:rPr>
          <w:rFonts w:asciiTheme="majorBidi" w:hAnsiTheme="majorBidi" w:cstheme="majorBidi"/>
          <w:sz w:val="24"/>
          <w:szCs w:val="24"/>
        </w:rPr>
        <w:t>unconscious or habitual behaviour especially in low involvement product categories</w:t>
      </w:r>
      <w:sdt>
        <w:sdtPr>
          <w:rPr>
            <w:rFonts w:asciiTheme="majorBidi" w:hAnsiTheme="majorBidi" w:cstheme="majorBidi"/>
            <w:sz w:val="24"/>
            <w:szCs w:val="24"/>
          </w:rPr>
          <w:id w:val="-597568098"/>
          <w:citation/>
        </w:sdtPr>
        <w:sdtContent>
          <w:r w:rsidR="00F40843" w:rsidRPr="00F60616">
            <w:rPr>
              <w:rFonts w:asciiTheme="majorBidi" w:hAnsiTheme="majorBidi" w:cstheme="majorBidi"/>
              <w:sz w:val="24"/>
              <w:szCs w:val="24"/>
            </w:rPr>
            <w:fldChar w:fldCharType="begin"/>
          </w:r>
          <w:r w:rsidR="00F40843" w:rsidRPr="00F60616">
            <w:rPr>
              <w:rFonts w:asciiTheme="majorBidi" w:hAnsiTheme="majorBidi" w:cstheme="majorBidi"/>
              <w:sz w:val="24"/>
              <w:szCs w:val="24"/>
            </w:rPr>
            <w:instrText xml:space="preserve"> CITATION Pet08 \l 2057 </w:instrText>
          </w:r>
          <w:r w:rsidR="00F40843" w:rsidRPr="00F60616">
            <w:rPr>
              <w:rFonts w:asciiTheme="majorBidi" w:hAnsiTheme="majorBidi" w:cstheme="majorBidi"/>
              <w:sz w:val="24"/>
              <w:szCs w:val="24"/>
            </w:rPr>
            <w:fldChar w:fldCharType="separate"/>
          </w:r>
          <w:r w:rsidR="00F40843" w:rsidRPr="00F60616">
            <w:rPr>
              <w:rFonts w:asciiTheme="majorBidi" w:hAnsiTheme="majorBidi" w:cstheme="majorBidi"/>
              <w:noProof/>
              <w:sz w:val="24"/>
              <w:szCs w:val="24"/>
            </w:rPr>
            <w:t xml:space="preserve"> (Petrovici, Ritson, &amp; Ness, 2008)</w:t>
          </w:r>
          <w:r w:rsidR="00F40843" w:rsidRPr="00F60616">
            <w:rPr>
              <w:rFonts w:asciiTheme="majorBidi" w:hAnsiTheme="majorBidi" w:cstheme="majorBidi"/>
              <w:sz w:val="24"/>
              <w:szCs w:val="24"/>
            </w:rPr>
            <w:fldChar w:fldCharType="end"/>
          </w:r>
        </w:sdtContent>
      </w:sdt>
      <w:r w:rsidR="00F40843" w:rsidRPr="00F60616">
        <w:rPr>
          <w:rFonts w:asciiTheme="majorBidi" w:hAnsiTheme="majorBidi" w:cstheme="majorBidi"/>
          <w:sz w:val="24"/>
          <w:szCs w:val="24"/>
        </w:rPr>
        <w:t xml:space="preserve">. Actually, early </w:t>
      </w:r>
      <w:r w:rsidR="007046F4" w:rsidRPr="00F60616">
        <w:rPr>
          <w:rFonts w:asciiTheme="majorBidi" w:hAnsiTheme="majorBidi" w:cstheme="majorBidi"/>
          <w:sz w:val="24"/>
          <w:szCs w:val="24"/>
        </w:rPr>
        <w:t>researchers</w:t>
      </w:r>
      <w:r w:rsidR="00F40843" w:rsidRPr="00F60616">
        <w:rPr>
          <w:rFonts w:asciiTheme="majorBidi" w:hAnsiTheme="majorBidi" w:cstheme="majorBidi"/>
          <w:sz w:val="24"/>
          <w:szCs w:val="24"/>
        </w:rPr>
        <w:t xml:space="preserve"> claimed that individuals’ attitudes (behavioural attitudes) only we</w:t>
      </w:r>
      <w:r w:rsidRPr="00F60616">
        <w:rPr>
          <w:rFonts w:asciiTheme="majorBidi" w:hAnsiTheme="majorBidi" w:cstheme="majorBidi"/>
          <w:sz w:val="24"/>
          <w:szCs w:val="24"/>
        </w:rPr>
        <w:t>a</w:t>
      </w:r>
      <w:r w:rsidR="00F40843" w:rsidRPr="00F60616">
        <w:rPr>
          <w:rFonts w:asciiTheme="majorBidi" w:hAnsiTheme="majorBidi" w:cstheme="majorBidi"/>
          <w:sz w:val="24"/>
          <w:szCs w:val="24"/>
        </w:rPr>
        <w:t>kly predict purchase intention</w:t>
      </w:r>
      <w:sdt>
        <w:sdtPr>
          <w:rPr>
            <w:rFonts w:asciiTheme="majorBidi" w:hAnsiTheme="majorBidi" w:cstheme="majorBidi"/>
            <w:sz w:val="24"/>
            <w:szCs w:val="24"/>
          </w:rPr>
          <w:id w:val="2114165434"/>
          <w:citation/>
        </w:sdtPr>
        <w:sdtContent>
          <w:r w:rsidR="00F40843">
            <w:rPr>
              <w:rFonts w:asciiTheme="majorBidi" w:hAnsiTheme="majorBidi" w:cstheme="majorBidi"/>
              <w:sz w:val="24"/>
              <w:szCs w:val="24"/>
            </w:rPr>
            <w:fldChar w:fldCharType="begin"/>
          </w:r>
          <w:r w:rsidR="00F40843">
            <w:rPr>
              <w:rFonts w:asciiTheme="majorBidi" w:hAnsiTheme="majorBidi" w:cstheme="majorBidi"/>
              <w:sz w:val="24"/>
              <w:szCs w:val="24"/>
            </w:rPr>
            <w:instrText xml:space="preserve"> CITATION LaP34 \l 2057  \m Wic69</w:instrText>
          </w:r>
          <w:r w:rsidR="00F40843">
            <w:rPr>
              <w:rFonts w:asciiTheme="majorBidi" w:hAnsiTheme="majorBidi" w:cstheme="majorBidi"/>
              <w:sz w:val="24"/>
              <w:szCs w:val="24"/>
            </w:rPr>
            <w:fldChar w:fldCharType="separate"/>
          </w:r>
          <w:r w:rsidR="00F40843">
            <w:rPr>
              <w:rFonts w:asciiTheme="majorBidi" w:hAnsiTheme="majorBidi" w:cstheme="majorBidi"/>
              <w:noProof/>
              <w:sz w:val="24"/>
              <w:szCs w:val="24"/>
            </w:rPr>
            <w:t xml:space="preserve"> </w:t>
          </w:r>
          <w:r w:rsidR="00F40843" w:rsidRPr="007A22D4">
            <w:rPr>
              <w:rFonts w:asciiTheme="majorBidi" w:hAnsiTheme="majorBidi" w:cstheme="majorBidi"/>
              <w:noProof/>
              <w:sz w:val="24"/>
              <w:szCs w:val="24"/>
            </w:rPr>
            <w:t>(LaPiere, 1934; Wicker, 1969)</w:t>
          </w:r>
          <w:r w:rsidR="00F40843">
            <w:rPr>
              <w:rFonts w:asciiTheme="majorBidi" w:hAnsiTheme="majorBidi" w:cstheme="majorBidi"/>
              <w:sz w:val="24"/>
              <w:szCs w:val="24"/>
            </w:rPr>
            <w:fldChar w:fldCharType="end"/>
          </w:r>
        </w:sdtContent>
      </w:sdt>
      <w:r w:rsidR="00F40843">
        <w:rPr>
          <w:rFonts w:asciiTheme="majorBidi" w:hAnsiTheme="majorBidi" w:cstheme="majorBidi"/>
          <w:sz w:val="24"/>
          <w:szCs w:val="24"/>
        </w:rPr>
        <w:t>.</w:t>
      </w:r>
      <w:r w:rsidR="00F40843">
        <w:rPr>
          <w:rFonts w:asciiTheme="majorBidi" w:hAnsiTheme="majorBidi" w:cstheme="majorBidi"/>
          <w:b/>
          <w:bCs/>
          <w:sz w:val="24"/>
          <w:szCs w:val="24"/>
        </w:rPr>
        <w:t xml:space="preserve"> </w:t>
      </w:r>
      <w:r>
        <w:rPr>
          <w:rFonts w:asciiTheme="majorBidi" w:hAnsiTheme="majorBidi" w:cstheme="majorBidi"/>
          <w:sz w:val="24"/>
          <w:szCs w:val="24"/>
        </w:rPr>
        <w:t xml:space="preserve">This </w:t>
      </w:r>
      <w:r w:rsidR="00027F45">
        <w:rPr>
          <w:rFonts w:asciiTheme="majorBidi" w:hAnsiTheme="majorBidi" w:cstheme="majorBidi"/>
          <w:sz w:val="24"/>
          <w:szCs w:val="24"/>
        </w:rPr>
        <w:t>is</w:t>
      </w:r>
      <w:r>
        <w:rPr>
          <w:rFonts w:asciiTheme="majorBidi" w:hAnsiTheme="majorBidi" w:cstheme="majorBidi"/>
          <w:sz w:val="24"/>
          <w:szCs w:val="24"/>
        </w:rPr>
        <w:t xml:space="preserve"> the main reason that brand attitude</w:t>
      </w:r>
      <w:r w:rsidR="007046F4">
        <w:rPr>
          <w:rFonts w:asciiTheme="majorBidi" w:hAnsiTheme="majorBidi" w:cstheme="majorBidi"/>
          <w:sz w:val="24"/>
          <w:szCs w:val="24"/>
        </w:rPr>
        <w:t>s</w:t>
      </w:r>
      <w:r>
        <w:rPr>
          <w:rFonts w:asciiTheme="majorBidi" w:hAnsiTheme="majorBidi" w:cstheme="majorBidi"/>
          <w:sz w:val="24"/>
          <w:szCs w:val="24"/>
        </w:rPr>
        <w:t xml:space="preserve"> </w:t>
      </w:r>
      <w:r w:rsidR="00027F45">
        <w:rPr>
          <w:rFonts w:asciiTheme="majorBidi" w:hAnsiTheme="majorBidi" w:cstheme="majorBidi"/>
          <w:sz w:val="24"/>
          <w:szCs w:val="24"/>
        </w:rPr>
        <w:t>are</w:t>
      </w:r>
      <w:r>
        <w:rPr>
          <w:rFonts w:asciiTheme="majorBidi" w:hAnsiTheme="majorBidi" w:cstheme="majorBidi"/>
          <w:sz w:val="24"/>
          <w:szCs w:val="24"/>
        </w:rPr>
        <w:t xml:space="preserve"> </w:t>
      </w:r>
      <w:r w:rsidR="007046F4">
        <w:rPr>
          <w:rFonts w:asciiTheme="majorBidi" w:hAnsiTheme="majorBidi" w:cstheme="majorBidi"/>
          <w:sz w:val="24"/>
          <w:szCs w:val="24"/>
        </w:rPr>
        <w:t>measured</w:t>
      </w:r>
      <w:r>
        <w:rPr>
          <w:rFonts w:asciiTheme="majorBidi" w:hAnsiTheme="majorBidi" w:cstheme="majorBidi"/>
          <w:sz w:val="24"/>
          <w:szCs w:val="24"/>
        </w:rPr>
        <w:t xml:space="preserve"> </w:t>
      </w:r>
      <w:r w:rsidR="007046F4">
        <w:rPr>
          <w:rFonts w:asciiTheme="majorBidi" w:hAnsiTheme="majorBidi" w:cstheme="majorBidi"/>
          <w:sz w:val="24"/>
          <w:szCs w:val="24"/>
        </w:rPr>
        <w:t xml:space="preserve">in this study </w:t>
      </w:r>
      <w:r>
        <w:rPr>
          <w:rFonts w:asciiTheme="majorBidi" w:hAnsiTheme="majorBidi" w:cstheme="majorBidi"/>
          <w:sz w:val="24"/>
          <w:szCs w:val="24"/>
        </w:rPr>
        <w:t xml:space="preserve">instead of behavioural attitudes as </w:t>
      </w:r>
      <w:r w:rsidR="007046F4">
        <w:rPr>
          <w:rFonts w:asciiTheme="majorBidi" w:hAnsiTheme="majorBidi" w:cstheme="majorBidi"/>
          <w:sz w:val="24"/>
          <w:szCs w:val="24"/>
        </w:rPr>
        <w:t>they are</w:t>
      </w:r>
      <w:r>
        <w:rPr>
          <w:rFonts w:asciiTheme="majorBidi" w:hAnsiTheme="majorBidi" w:cstheme="majorBidi"/>
          <w:sz w:val="24"/>
          <w:szCs w:val="24"/>
        </w:rPr>
        <w:t xml:space="preserve"> more appropriate for predicting the purchase of low involvement products. </w:t>
      </w:r>
      <w:r w:rsidR="00F40843">
        <w:rPr>
          <w:rFonts w:asciiTheme="majorBidi" w:hAnsiTheme="majorBidi" w:cstheme="majorBidi"/>
          <w:sz w:val="24"/>
          <w:szCs w:val="24"/>
        </w:rPr>
        <w:t xml:space="preserve">This study’s objectives examine </w:t>
      </w:r>
      <w:r w:rsidR="007046F4">
        <w:rPr>
          <w:rFonts w:asciiTheme="majorBidi" w:hAnsiTheme="majorBidi" w:cstheme="majorBidi"/>
          <w:sz w:val="24"/>
          <w:szCs w:val="24"/>
        </w:rPr>
        <w:t xml:space="preserve">the impact of </w:t>
      </w:r>
      <w:r w:rsidR="00F40843" w:rsidRPr="00AB7A5E">
        <w:rPr>
          <w:rFonts w:asciiTheme="majorBidi" w:hAnsiTheme="majorBidi" w:cstheme="majorBidi"/>
          <w:sz w:val="24"/>
          <w:szCs w:val="24"/>
        </w:rPr>
        <w:t>different communication strategies</w:t>
      </w:r>
      <w:r>
        <w:rPr>
          <w:rFonts w:asciiTheme="majorBidi" w:hAnsiTheme="majorBidi" w:cstheme="majorBidi"/>
          <w:sz w:val="24"/>
          <w:szCs w:val="24"/>
        </w:rPr>
        <w:t xml:space="preserve"> (CSR and non-CSR)</w:t>
      </w:r>
      <w:r w:rsidR="00F40843" w:rsidRPr="00AB7A5E">
        <w:rPr>
          <w:rFonts w:asciiTheme="majorBidi" w:hAnsiTheme="majorBidi" w:cstheme="majorBidi"/>
          <w:sz w:val="24"/>
          <w:szCs w:val="24"/>
        </w:rPr>
        <w:t xml:space="preserve"> </w:t>
      </w:r>
      <w:r w:rsidR="007046F4">
        <w:rPr>
          <w:rFonts w:asciiTheme="majorBidi" w:hAnsiTheme="majorBidi" w:cstheme="majorBidi"/>
          <w:sz w:val="24"/>
          <w:szCs w:val="24"/>
        </w:rPr>
        <w:t>on consumers of</w:t>
      </w:r>
      <w:r w:rsidR="00F40843" w:rsidRPr="00AB7A5E">
        <w:rPr>
          <w:rFonts w:asciiTheme="majorBidi" w:hAnsiTheme="majorBidi" w:cstheme="majorBidi"/>
          <w:sz w:val="24"/>
          <w:szCs w:val="24"/>
        </w:rPr>
        <w:t xml:space="preserve"> a low involvement product. The next section further discuss</w:t>
      </w:r>
      <w:r>
        <w:rPr>
          <w:rFonts w:asciiTheme="majorBidi" w:hAnsiTheme="majorBidi" w:cstheme="majorBidi"/>
          <w:sz w:val="24"/>
          <w:szCs w:val="24"/>
        </w:rPr>
        <w:t>es</w:t>
      </w:r>
      <w:r w:rsidR="00F40843" w:rsidRPr="00AB7A5E">
        <w:rPr>
          <w:rFonts w:asciiTheme="majorBidi" w:hAnsiTheme="majorBidi" w:cstheme="majorBidi"/>
          <w:sz w:val="24"/>
          <w:szCs w:val="24"/>
        </w:rPr>
        <w:t xml:space="preserve"> the way other researchers applied </w:t>
      </w:r>
      <w:r w:rsidR="00F40843">
        <w:rPr>
          <w:rFonts w:asciiTheme="majorBidi" w:hAnsiTheme="majorBidi" w:cstheme="majorBidi"/>
          <w:sz w:val="24"/>
          <w:szCs w:val="24"/>
        </w:rPr>
        <w:t xml:space="preserve">TRA </w:t>
      </w:r>
      <w:r w:rsidR="00F40843" w:rsidRPr="00AB7A5E">
        <w:rPr>
          <w:rFonts w:asciiTheme="majorBidi" w:hAnsiTheme="majorBidi" w:cstheme="majorBidi"/>
          <w:sz w:val="24"/>
          <w:szCs w:val="24"/>
        </w:rPr>
        <w:t xml:space="preserve">and the way it </w:t>
      </w:r>
      <w:r w:rsidR="00F40843">
        <w:rPr>
          <w:rFonts w:asciiTheme="majorBidi" w:hAnsiTheme="majorBidi" w:cstheme="majorBidi"/>
          <w:sz w:val="24"/>
          <w:szCs w:val="24"/>
        </w:rPr>
        <w:t>is</w:t>
      </w:r>
      <w:r w:rsidR="00F40843" w:rsidRPr="00AB7A5E">
        <w:rPr>
          <w:rFonts w:asciiTheme="majorBidi" w:hAnsiTheme="majorBidi" w:cstheme="majorBidi"/>
          <w:sz w:val="24"/>
          <w:szCs w:val="24"/>
        </w:rPr>
        <w:t xml:space="preserve"> applied in this study.</w:t>
      </w:r>
      <w:r w:rsidR="00F40843">
        <w:rPr>
          <w:rFonts w:asciiTheme="majorBidi" w:hAnsiTheme="majorBidi" w:cstheme="majorBidi"/>
          <w:b/>
          <w:bCs/>
          <w:sz w:val="24"/>
          <w:szCs w:val="24"/>
        </w:rPr>
        <w:t xml:space="preserve"> </w:t>
      </w:r>
    </w:p>
    <w:p w14:paraId="08FDABBC" w14:textId="4AFB2CAA" w:rsidR="00F40843" w:rsidRDefault="00F40843" w:rsidP="00F40843">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2</w:t>
      </w:r>
      <w:r>
        <w:rPr>
          <w:rFonts w:asciiTheme="majorBidi" w:hAnsiTheme="majorBidi" w:cstheme="majorBidi"/>
          <w:b/>
          <w:bCs/>
          <w:sz w:val="24"/>
          <w:szCs w:val="24"/>
        </w:rPr>
        <w:t xml:space="preserve">.2 Theory Application </w:t>
      </w:r>
    </w:p>
    <w:p w14:paraId="06B20A8A" w14:textId="124BFC1A" w:rsidR="00F40843" w:rsidRDefault="00F40843" w:rsidP="00F40843">
      <w:pPr>
        <w:adjustRightInd w:val="0"/>
        <w:spacing w:after="0" w:line="480" w:lineRule="auto"/>
        <w:ind w:firstLine="720"/>
        <w:rPr>
          <w:rFonts w:asciiTheme="majorBidi" w:hAnsiTheme="majorBidi" w:cstheme="majorBidi"/>
          <w:noProof/>
          <w:sz w:val="24"/>
          <w:szCs w:val="24"/>
        </w:rPr>
      </w:pPr>
      <w:r>
        <w:rPr>
          <w:rFonts w:asciiTheme="majorBidi" w:hAnsiTheme="majorBidi" w:cstheme="majorBidi"/>
          <w:noProof/>
          <w:sz w:val="24"/>
          <w:szCs w:val="24"/>
        </w:rPr>
        <w:t>Some researchers included aditional determinants</w:t>
      </w:r>
      <w:r w:rsidR="00A20EB5">
        <w:rPr>
          <w:rFonts w:asciiTheme="majorBidi" w:hAnsiTheme="majorBidi" w:cstheme="majorBidi"/>
          <w:noProof/>
          <w:sz w:val="24"/>
          <w:szCs w:val="24"/>
        </w:rPr>
        <w:t xml:space="preserve"> or made amendments</w:t>
      </w:r>
      <w:r>
        <w:rPr>
          <w:rFonts w:asciiTheme="majorBidi" w:hAnsiTheme="majorBidi" w:cstheme="majorBidi"/>
          <w:noProof/>
          <w:sz w:val="24"/>
          <w:szCs w:val="24"/>
        </w:rPr>
        <w:t xml:space="preserve"> to the theory to measure behavioural intention</w:t>
      </w:r>
      <w:r w:rsidR="00E41B9A" w:rsidRPr="00E41B9A">
        <w:rPr>
          <w:rFonts w:asciiTheme="majorBidi" w:hAnsiTheme="majorBidi" w:cstheme="majorBidi"/>
          <w:sz w:val="24"/>
          <w:szCs w:val="24"/>
        </w:rPr>
        <w:t xml:space="preserve"> </w:t>
      </w:r>
      <w:sdt>
        <w:sdtPr>
          <w:rPr>
            <w:rFonts w:asciiTheme="majorBidi" w:hAnsiTheme="majorBidi" w:cstheme="majorBidi"/>
            <w:sz w:val="24"/>
            <w:szCs w:val="24"/>
          </w:rPr>
          <w:id w:val="-1282187269"/>
          <w:citation/>
        </w:sdtPr>
        <w:sdtContent>
          <w:r w:rsidR="00E41B9A">
            <w:rPr>
              <w:rFonts w:asciiTheme="majorBidi" w:hAnsiTheme="majorBidi" w:cstheme="majorBidi"/>
              <w:sz w:val="24"/>
              <w:szCs w:val="24"/>
            </w:rPr>
            <w:fldChar w:fldCharType="begin"/>
          </w:r>
          <w:r w:rsidR="00E41B9A">
            <w:rPr>
              <w:rFonts w:asciiTheme="majorBidi" w:hAnsiTheme="majorBidi" w:cstheme="majorBidi"/>
              <w:sz w:val="24"/>
              <w:szCs w:val="24"/>
            </w:rPr>
            <w:instrText>CITATION Cop20 \t  \l 2057  \m Nom20</w:instrText>
          </w:r>
          <w:r w:rsidR="00E41B9A">
            <w:rPr>
              <w:rFonts w:asciiTheme="majorBidi" w:hAnsiTheme="majorBidi" w:cstheme="majorBidi"/>
              <w:sz w:val="24"/>
              <w:szCs w:val="24"/>
            </w:rPr>
            <w:fldChar w:fldCharType="separate"/>
          </w:r>
          <w:r w:rsidR="00E41B9A" w:rsidRPr="00E41B9A">
            <w:rPr>
              <w:rFonts w:asciiTheme="majorBidi" w:hAnsiTheme="majorBidi" w:cstheme="majorBidi"/>
              <w:noProof/>
              <w:sz w:val="24"/>
              <w:szCs w:val="24"/>
            </w:rPr>
            <w:t>(Copeland &amp; Zhao, 2020; Nomi &amp; Sabbir, 2020)</w:t>
          </w:r>
          <w:r w:rsidR="00E41B9A">
            <w:rPr>
              <w:rFonts w:asciiTheme="majorBidi" w:hAnsiTheme="majorBidi" w:cstheme="majorBidi"/>
              <w:sz w:val="24"/>
              <w:szCs w:val="24"/>
            </w:rPr>
            <w:fldChar w:fldCharType="end"/>
          </w:r>
        </w:sdtContent>
      </w:sdt>
      <w:r>
        <w:rPr>
          <w:rFonts w:asciiTheme="majorBidi" w:hAnsiTheme="majorBidi" w:cstheme="majorBidi"/>
          <w:noProof/>
          <w:sz w:val="24"/>
          <w:szCs w:val="24"/>
        </w:rPr>
        <w:t>. Based on a study on life insurance purchasing in Bangaladesh, the researchers asserted that religiosity, risk aversion motives, saving motives, and financial literacy influence purchase intentions for life insurance</w:t>
      </w:r>
      <w:sdt>
        <w:sdtPr>
          <w:rPr>
            <w:rFonts w:asciiTheme="majorBidi" w:hAnsiTheme="majorBidi" w:cstheme="majorBidi"/>
            <w:noProof/>
            <w:sz w:val="24"/>
            <w:szCs w:val="24"/>
          </w:rPr>
          <w:id w:val="-257909170"/>
          <w:citation/>
        </w:sdtPr>
        <w:sdtContent>
          <w:r>
            <w:rPr>
              <w:rFonts w:asciiTheme="majorBidi" w:hAnsiTheme="majorBidi" w:cstheme="majorBidi"/>
              <w:noProof/>
              <w:sz w:val="24"/>
              <w:szCs w:val="24"/>
            </w:rPr>
            <w:fldChar w:fldCharType="begin"/>
          </w:r>
          <w:r>
            <w:rPr>
              <w:rFonts w:asciiTheme="majorBidi" w:hAnsiTheme="majorBidi" w:cstheme="majorBidi"/>
              <w:noProof/>
              <w:sz w:val="24"/>
              <w:szCs w:val="24"/>
            </w:rPr>
            <w:instrText xml:space="preserve"> CITATION Nom20 \l 2057 </w:instrText>
          </w:r>
          <w:r>
            <w:rPr>
              <w:rFonts w:asciiTheme="majorBidi" w:hAnsiTheme="majorBidi" w:cstheme="majorBidi"/>
              <w:noProof/>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(Nomi &amp; Sabbir, 2020)</w:t>
          </w:r>
          <w:r>
            <w:rPr>
              <w:rFonts w:asciiTheme="majorBidi" w:hAnsiTheme="majorBidi" w:cstheme="majorBidi"/>
              <w:noProof/>
              <w:sz w:val="24"/>
              <w:szCs w:val="24"/>
            </w:rPr>
            <w:fldChar w:fldCharType="end"/>
          </w:r>
        </w:sdtContent>
      </w:sdt>
      <w:r>
        <w:rPr>
          <w:rFonts w:asciiTheme="majorBidi" w:hAnsiTheme="majorBidi" w:cstheme="majorBidi"/>
          <w:noProof/>
          <w:sz w:val="24"/>
          <w:szCs w:val="24"/>
        </w:rPr>
        <w:t xml:space="preserve">. </w:t>
      </w:r>
      <w:r>
        <w:rPr>
          <w:rFonts w:asciiTheme="majorBidi" w:hAnsiTheme="majorBidi" w:cstheme="majorBidi"/>
          <w:sz w:val="24"/>
          <w:szCs w:val="24"/>
        </w:rPr>
        <w:t>Additionally, some authors made some revisions and updates to the theory to make it more appropriate to</w:t>
      </w:r>
      <w:r w:rsidR="00A20EB5">
        <w:rPr>
          <w:rFonts w:asciiTheme="majorBidi" w:hAnsiTheme="majorBidi" w:cstheme="majorBidi"/>
          <w:sz w:val="24"/>
          <w:szCs w:val="24"/>
        </w:rPr>
        <w:t xml:space="preserve"> the</w:t>
      </w:r>
      <w:r>
        <w:rPr>
          <w:rFonts w:asciiTheme="majorBidi" w:hAnsiTheme="majorBidi" w:cstheme="majorBidi"/>
          <w:sz w:val="24"/>
          <w:szCs w:val="24"/>
        </w:rPr>
        <w:t xml:space="preserve"> current time, context, and type of products</w:t>
      </w:r>
      <w:r w:rsidR="00E41B9A" w:rsidRPr="00E41B9A">
        <w:rPr>
          <w:rFonts w:asciiTheme="majorBidi" w:hAnsiTheme="majorBidi" w:cstheme="majorBidi"/>
          <w:sz w:val="24"/>
          <w:szCs w:val="24"/>
        </w:rPr>
        <w:t xml:space="preserve"> </w:t>
      </w:r>
      <w:sdt>
        <w:sdtPr>
          <w:rPr>
            <w:rFonts w:asciiTheme="majorBidi" w:hAnsiTheme="majorBidi" w:cstheme="majorBidi"/>
            <w:sz w:val="24"/>
            <w:szCs w:val="24"/>
          </w:rPr>
          <w:id w:val="70254907"/>
          <w:citation/>
        </w:sdtPr>
        <w:sdtContent>
          <w:r w:rsidR="00E41B9A">
            <w:rPr>
              <w:rFonts w:asciiTheme="majorBidi" w:hAnsiTheme="majorBidi" w:cstheme="majorBidi"/>
              <w:sz w:val="24"/>
              <w:szCs w:val="24"/>
            </w:rPr>
            <w:fldChar w:fldCharType="begin"/>
          </w:r>
          <w:r w:rsidR="00E41B9A">
            <w:rPr>
              <w:rFonts w:asciiTheme="majorBidi" w:hAnsiTheme="majorBidi" w:cstheme="majorBidi"/>
              <w:sz w:val="24"/>
              <w:szCs w:val="24"/>
            </w:rPr>
            <w:instrText xml:space="preserve">CITATION Cop20 \t  \l 2057 </w:instrText>
          </w:r>
          <w:r w:rsidR="00E41B9A">
            <w:rPr>
              <w:rFonts w:asciiTheme="majorBidi" w:hAnsiTheme="majorBidi" w:cstheme="majorBidi"/>
              <w:sz w:val="24"/>
              <w:szCs w:val="24"/>
            </w:rPr>
            <w:fldChar w:fldCharType="separate"/>
          </w:r>
          <w:r w:rsidR="00E41B9A" w:rsidRPr="000F60CD">
            <w:rPr>
              <w:rFonts w:asciiTheme="majorBidi" w:hAnsiTheme="majorBidi" w:cstheme="majorBidi"/>
              <w:noProof/>
              <w:sz w:val="24"/>
              <w:szCs w:val="24"/>
            </w:rPr>
            <w:t>(Copeland &amp; Zhao, 2020)</w:t>
          </w:r>
          <w:r w:rsidR="00E41B9A">
            <w:rPr>
              <w:rFonts w:asciiTheme="majorBidi" w:hAnsiTheme="majorBidi" w:cstheme="majorBidi"/>
              <w:sz w:val="24"/>
              <w:szCs w:val="24"/>
            </w:rPr>
            <w:fldChar w:fldCharType="end"/>
          </w:r>
        </w:sdtContent>
      </w:sdt>
      <w:r>
        <w:rPr>
          <w:rFonts w:asciiTheme="majorBidi" w:hAnsiTheme="majorBidi" w:cstheme="majorBidi"/>
          <w:sz w:val="24"/>
          <w:szCs w:val="24"/>
        </w:rPr>
        <w:t>. For instance, a couple of authors wanted to bring TRA up to date with the new technological changes especially in the context of online shopping by including social media as one of the determinants of the theory</w:t>
      </w:r>
      <w:r w:rsidRPr="00C70FF6">
        <w:rPr>
          <w:rFonts w:asciiTheme="majorBidi" w:hAnsiTheme="majorBidi" w:cstheme="majorBidi"/>
          <w:sz w:val="24"/>
          <w:szCs w:val="24"/>
        </w:rPr>
        <w:t xml:space="preserve"> </w:t>
      </w:r>
      <w:sdt>
        <w:sdtPr>
          <w:rPr>
            <w:rFonts w:asciiTheme="majorBidi" w:hAnsiTheme="majorBidi" w:cstheme="majorBidi"/>
            <w:sz w:val="24"/>
            <w:szCs w:val="24"/>
          </w:rPr>
          <w:id w:val="199753943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Cop20 \t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(Copeland &amp; Zhao, 2020)</w:t>
          </w:r>
          <w:r>
            <w:rPr>
              <w:rFonts w:asciiTheme="majorBidi" w:hAnsiTheme="majorBidi" w:cstheme="majorBidi"/>
              <w:sz w:val="24"/>
              <w:szCs w:val="24"/>
            </w:rPr>
            <w:fldChar w:fldCharType="end"/>
          </w:r>
        </w:sdtContent>
      </w:sdt>
      <w:bookmarkStart w:id="112" w:name="_Hlk134215740"/>
      <w:r>
        <w:rPr>
          <w:rFonts w:asciiTheme="majorBidi" w:hAnsiTheme="majorBidi" w:cstheme="majorBidi"/>
          <w:sz w:val="24"/>
          <w:szCs w:val="24"/>
        </w:rPr>
        <w:t xml:space="preserve">. </w:t>
      </w:r>
      <w:r w:rsidR="00E41B9A">
        <w:rPr>
          <w:rFonts w:asciiTheme="majorBidi" w:hAnsiTheme="majorBidi" w:cstheme="majorBidi"/>
          <w:sz w:val="24"/>
          <w:szCs w:val="24"/>
        </w:rPr>
        <w:t>B</w:t>
      </w:r>
      <w:r>
        <w:rPr>
          <w:rFonts w:asciiTheme="majorBidi" w:hAnsiTheme="majorBidi" w:cstheme="majorBidi"/>
          <w:sz w:val="24"/>
          <w:szCs w:val="24"/>
        </w:rPr>
        <w:t>ased on a study on US consumers, social media, especially Instagram, was suggested to be a new addition to TRA as it would be viable for future research to explain how social media impacts purchase intention</w:t>
      </w:r>
      <w:r w:rsidRPr="00C64DA3">
        <w:rPr>
          <w:rFonts w:asciiTheme="majorBidi" w:hAnsiTheme="majorBidi" w:cstheme="majorBidi"/>
          <w:sz w:val="24"/>
          <w:szCs w:val="24"/>
        </w:rPr>
        <w:t xml:space="preserve"> </w:t>
      </w:r>
      <w:sdt>
        <w:sdtPr>
          <w:rPr>
            <w:rFonts w:asciiTheme="majorBidi" w:hAnsiTheme="majorBidi" w:cstheme="majorBidi"/>
            <w:sz w:val="24"/>
            <w:szCs w:val="24"/>
          </w:rPr>
          <w:id w:val="-78549502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Cop20 \t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(Copeland &amp; Zhao, 2020)</w:t>
          </w:r>
          <w:r>
            <w:rPr>
              <w:rFonts w:asciiTheme="majorBidi" w:hAnsiTheme="majorBidi" w:cstheme="majorBidi"/>
              <w:sz w:val="24"/>
              <w:szCs w:val="24"/>
            </w:rPr>
            <w:fldChar w:fldCharType="end"/>
          </w:r>
        </w:sdtContent>
      </w:sdt>
      <w:bookmarkEnd w:id="112"/>
      <w:r>
        <w:rPr>
          <w:rFonts w:asciiTheme="majorBidi" w:hAnsiTheme="majorBidi" w:cstheme="majorBidi"/>
          <w:noProof/>
          <w:sz w:val="24"/>
          <w:szCs w:val="24"/>
        </w:rPr>
        <w:t>.</w:t>
      </w:r>
      <w:r w:rsidR="00E41B9A">
        <w:rPr>
          <w:rFonts w:asciiTheme="majorBidi" w:hAnsiTheme="majorBidi" w:cstheme="majorBidi"/>
          <w:noProof/>
          <w:sz w:val="24"/>
          <w:szCs w:val="24"/>
        </w:rPr>
        <w:t xml:space="preserve"> Another</w:t>
      </w:r>
      <w:r>
        <w:rPr>
          <w:rFonts w:asciiTheme="majorBidi" w:hAnsiTheme="majorBidi" w:cstheme="majorBidi"/>
          <w:noProof/>
          <w:sz w:val="24"/>
          <w:szCs w:val="24"/>
        </w:rPr>
        <w:t xml:space="preserve"> study in South Africa on 436 e-mail marketing subscribres, attitude </w:t>
      </w:r>
      <w:r w:rsidR="00D03698">
        <w:rPr>
          <w:rFonts w:asciiTheme="majorBidi" w:hAnsiTheme="majorBidi" w:cstheme="majorBidi"/>
          <w:noProof/>
          <w:sz w:val="24"/>
          <w:szCs w:val="24"/>
        </w:rPr>
        <w:t xml:space="preserve">was </w:t>
      </w:r>
      <w:r>
        <w:rPr>
          <w:rFonts w:asciiTheme="majorBidi" w:hAnsiTheme="majorBidi" w:cstheme="majorBidi"/>
          <w:noProof/>
          <w:sz w:val="24"/>
          <w:szCs w:val="24"/>
        </w:rPr>
        <w:t>measure</w:t>
      </w:r>
      <w:r w:rsidR="00D03698">
        <w:rPr>
          <w:rFonts w:asciiTheme="majorBidi" w:hAnsiTheme="majorBidi" w:cstheme="majorBidi"/>
          <w:noProof/>
          <w:sz w:val="24"/>
          <w:szCs w:val="24"/>
        </w:rPr>
        <w:t>d</w:t>
      </w:r>
      <w:r>
        <w:rPr>
          <w:rFonts w:asciiTheme="majorBidi" w:hAnsiTheme="majorBidi" w:cstheme="majorBidi"/>
          <w:noProof/>
          <w:sz w:val="24"/>
          <w:szCs w:val="24"/>
        </w:rPr>
        <w:t xml:space="preserve"> as attitude towards the channel of communication rather than attitude towards the behaviour as the original theory suggested</w:t>
      </w:r>
      <w:sdt>
        <w:sdtPr>
          <w:rPr>
            <w:rFonts w:asciiTheme="majorBidi" w:hAnsiTheme="majorBidi" w:cstheme="majorBidi"/>
            <w:noProof/>
            <w:sz w:val="24"/>
            <w:szCs w:val="24"/>
          </w:rPr>
          <w:id w:val="1170527929"/>
          <w:citation/>
        </w:sdtPr>
        <w:sdtContent>
          <w:r>
            <w:rPr>
              <w:rFonts w:asciiTheme="majorBidi" w:hAnsiTheme="majorBidi" w:cstheme="majorBidi"/>
              <w:noProof/>
              <w:sz w:val="24"/>
              <w:szCs w:val="24"/>
            </w:rPr>
            <w:fldChar w:fldCharType="begin"/>
          </w:r>
          <w:r>
            <w:rPr>
              <w:rFonts w:asciiTheme="majorBidi" w:hAnsiTheme="majorBidi" w:cstheme="majorBidi"/>
              <w:noProof/>
              <w:sz w:val="24"/>
              <w:szCs w:val="24"/>
            </w:rPr>
            <w:instrText xml:space="preserve"> CITATION Lig23 \l 2057 </w:instrText>
          </w:r>
          <w:r>
            <w:rPr>
              <w:rFonts w:asciiTheme="majorBidi" w:hAnsiTheme="majorBidi" w:cstheme="majorBidi"/>
              <w:noProof/>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(Ligaraba, Chuchu, &amp; Nyagadza, 2023)</w:t>
          </w:r>
          <w:r>
            <w:rPr>
              <w:rFonts w:asciiTheme="majorBidi" w:hAnsiTheme="majorBidi" w:cstheme="majorBidi"/>
              <w:noProof/>
              <w:sz w:val="24"/>
              <w:szCs w:val="24"/>
            </w:rPr>
            <w:fldChar w:fldCharType="end"/>
          </w:r>
        </w:sdtContent>
      </w:sdt>
      <w:r>
        <w:rPr>
          <w:rFonts w:asciiTheme="majorBidi" w:hAnsiTheme="majorBidi" w:cstheme="majorBidi"/>
          <w:noProof/>
          <w:sz w:val="24"/>
          <w:szCs w:val="24"/>
        </w:rPr>
        <w:t xml:space="preserve">. </w:t>
      </w:r>
      <w:r w:rsidR="00E41B9A">
        <w:rPr>
          <w:rFonts w:asciiTheme="majorBidi" w:hAnsiTheme="majorBidi" w:cstheme="majorBidi"/>
          <w:noProof/>
          <w:sz w:val="24"/>
          <w:szCs w:val="24"/>
        </w:rPr>
        <w:t>Clearly, TRA has been amended over the years to fit specific contexts or diverse product types</w:t>
      </w:r>
    </w:p>
    <w:p w14:paraId="1596B52C" w14:textId="0CEE5EAD" w:rsidR="00F40843" w:rsidRPr="00405CA8" w:rsidRDefault="00F40843" w:rsidP="004368FD">
      <w:pPr>
        <w:spacing w:after="0" w:line="480" w:lineRule="auto"/>
        <w:rPr>
          <w:rFonts w:asciiTheme="majorBidi" w:hAnsiTheme="majorBidi" w:cstheme="majorBidi"/>
          <w:sz w:val="24"/>
          <w:szCs w:val="24"/>
        </w:rPr>
      </w:pPr>
      <w:r w:rsidRPr="002720E2">
        <w:rPr>
          <w:rFonts w:asciiTheme="majorBidi" w:hAnsiTheme="majorBidi" w:cstheme="majorBidi"/>
          <w:b/>
          <w:bCs/>
          <w:noProof/>
          <w:sz w:val="24"/>
          <w:szCs w:val="24"/>
        </w:rPr>
        <w:t xml:space="preserve"> </w:t>
      </w:r>
      <w:r w:rsidR="002720E2">
        <w:rPr>
          <w:rFonts w:asciiTheme="majorBidi" w:hAnsiTheme="majorBidi" w:cstheme="majorBidi"/>
          <w:b/>
          <w:bCs/>
          <w:noProof/>
          <w:sz w:val="24"/>
          <w:szCs w:val="24"/>
        </w:rPr>
        <w:tab/>
      </w:r>
      <w:r w:rsidRPr="004103BC">
        <w:rPr>
          <w:rFonts w:asciiTheme="majorBidi" w:hAnsiTheme="majorBidi" w:cstheme="majorBidi"/>
          <w:noProof/>
          <w:sz w:val="24"/>
          <w:szCs w:val="24"/>
        </w:rPr>
        <w:t xml:space="preserve">Furthermore, multiple authors modified the theory and </w:t>
      </w:r>
      <w:r w:rsidR="00F40AC7" w:rsidRPr="004103BC">
        <w:rPr>
          <w:rFonts w:asciiTheme="majorBidi" w:hAnsiTheme="majorBidi" w:cstheme="majorBidi"/>
          <w:noProof/>
          <w:sz w:val="24"/>
          <w:szCs w:val="24"/>
        </w:rPr>
        <w:t>amended</w:t>
      </w:r>
      <w:r w:rsidRPr="004103BC">
        <w:rPr>
          <w:rFonts w:asciiTheme="majorBidi" w:hAnsiTheme="majorBidi" w:cstheme="majorBidi"/>
          <w:noProof/>
          <w:sz w:val="24"/>
          <w:szCs w:val="24"/>
        </w:rPr>
        <w:t xml:space="preserve"> some of its main determinants to </w:t>
      </w:r>
      <w:r w:rsidR="001208EA" w:rsidRPr="004103BC">
        <w:rPr>
          <w:rFonts w:asciiTheme="majorBidi" w:hAnsiTheme="majorBidi" w:cstheme="majorBidi"/>
          <w:noProof/>
          <w:sz w:val="24"/>
          <w:szCs w:val="24"/>
        </w:rPr>
        <w:t xml:space="preserve">have a </w:t>
      </w:r>
      <w:r w:rsidRPr="004103BC">
        <w:rPr>
          <w:rFonts w:asciiTheme="majorBidi" w:hAnsiTheme="majorBidi" w:cstheme="majorBidi"/>
          <w:noProof/>
          <w:sz w:val="24"/>
          <w:szCs w:val="24"/>
        </w:rPr>
        <w:t>better fit</w:t>
      </w:r>
      <w:r w:rsidR="001208EA" w:rsidRPr="004103BC">
        <w:rPr>
          <w:rFonts w:asciiTheme="majorBidi" w:hAnsiTheme="majorBidi" w:cstheme="majorBidi"/>
          <w:noProof/>
          <w:sz w:val="24"/>
          <w:szCs w:val="24"/>
        </w:rPr>
        <w:t xml:space="preserve"> for</w:t>
      </w:r>
      <w:r w:rsidRPr="004103BC">
        <w:rPr>
          <w:rFonts w:asciiTheme="majorBidi" w:hAnsiTheme="majorBidi" w:cstheme="majorBidi"/>
          <w:noProof/>
          <w:sz w:val="24"/>
          <w:szCs w:val="24"/>
        </w:rPr>
        <w:t xml:space="preserve"> the context.</w:t>
      </w:r>
      <w:r w:rsidRPr="004103BC">
        <w:rPr>
          <w:rFonts w:asciiTheme="majorBidi" w:hAnsiTheme="majorBidi" w:cstheme="majorBidi"/>
          <w:sz w:val="24"/>
          <w:szCs w:val="24"/>
        </w:rPr>
        <w:t xml:space="preserve"> </w:t>
      </w:r>
      <w:r w:rsidRPr="004103BC">
        <w:rPr>
          <w:rFonts w:asciiTheme="majorBidi" w:hAnsiTheme="majorBidi" w:cstheme="majorBidi"/>
          <w:noProof/>
          <w:sz w:val="24"/>
          <w:szCs w:val="24"/>
        </w:rPr>
        <w:t xml:space="preserve">For instance, Lee </w:t>
      </w:r>
      <w:sdt>
        <w:sdtPr>
          <w:rPr>
            <w:rFonts w:asciiTheme="majorBidi" w:hAnsiTheme="majorBidi" w:cstheme="majorBidi"/>
            <w:noProof/>
            <w:sz w:val="24"/>
            <w:szCs w:val="24"/>
          </w:rPr>
          <w:id w:val="-635722806"/>
          <w:citation/>
        </w:sdtPr>
        <w:sdtContent>
          <w:r w:rsidRPr="004103BC">
            <w:rPr>
              <w:rFonts w:asciiTheme="majorBidi" w:hAnsiTheme="majorBidi" w:cstheme="majorBidi"/>
              <w:noProof/>
              <w:sz w:val="24"/>
              <w:szCs w:val="24"/>
            </w:rPr>
            <w:fldChar w:fldCharType="begin"/>
          </w:r>
          <w:r w:rsidRPr="004103BC">
            <w:rPr>
              <w:rFonts w:asciiTheme="majorBidi" w:hAnsiTheme="majorBidi" w:cstheme="majorBidi"/>
              <w:noProof/>
              <w:sz w:val="24"/>
              <w:szCs w:val="24"/>
            </w:rPr>
            <w:instrText xml:space="preserve">CITATION Lee911 \n  \t  \l 2057 </w:instrText>
          </w:r>
          <w:r w:rsidRPr="004103BC">
            <w:rPr>
              <w:rFonts w:asciiTheme="majorBidi" w:hAnsiTheme="majorBidi" w:cstheme="majorBidi"/>
              <w:noProof/>
              <w:sz w:val="24"/>
              <w:szCs w:val="24"/>
            </w:rPr>
            <w:fldChar w:fldCharType="separate"/>
          </w:r>
          <w:r w:rsidRPr="004103BC">
            <w:rPr>
              <w:rFonts w:asciiTheme="majorBidi" w:hAnsiTheme="majorBidi" w:cstheme="majorBidi"/>
              <w:noProof/>
              <w:sz w:val="24"/>
              <w:szCs w:val="24"/>
            </w:rPr>
            <w:t>(1991)</w:t>
          </w:r>
          <w:r w:rsidRPr="004103BC">
            <w:rPr>
              <w:rFonts w:asciiTheme="majorBidi" w:hAnsiTheme="majorBidi" w:cstheme="majorBidi"/>
              <w:noProof/>
              <w:sz w:val="24"/>
              <w:szCs w:val="24"/>
            </w:rPr>
            <w:fldChar w:fldCharType="end"/>
          </w:r>
        </w:sdtContent>
      </w:sdt>
      <w:r w:rsidRPr="004103BC">
        <w:rPr>
          <w:rFonts w:asciiTheme="majorBidi" w:hAnsiTheme="majorBidi" w:cstheme="majorBidi"/>
          <w:noProof/>
          <w:sz w:val="24"/>
          <w:szCs w:val="24"/>
        </w:rPr>
        <w:t xml:space="preserve"> replaced subjective norms with face saving and group conformity as these were more suitable for Confucian cultures. The same model was applied in another study in which researchers examined face saving and the effect of group conformity on attitudes toward foreign brand jeans </w:t>
      </w:r>
      <w:sdt>
        <w:sdtPr>
          <w:rPr>
            <w:rFonts w:asciiTheme="majorBidi" w:hAnsiTheme="majorBidi" w:cstheme="majorBidi"/>
            <w:noProof/>
            <w:sz w:val="24"/>
            <w:szCs w:val="24"/>
          </w:rPr>
          <w:id w:val="-227143558"/>
          <w:citation/>
        </w:sdtPr>
        <w:sdtContent>
          <w:r w:rsidRPr="004103BC">
            <w:rPr>
              <w:rFonts w:asciiTheme="majorBidi" w:hAnsiTheme="majorBidi" w:cstheme="majorBidi"/>
              <w:noProof/>
              <w:sz w:val="24"/>
              <w:szCs w:val="24"/>
            </w:rPr>
            <w:fldChar w:fldCharType="begin"/>
          </w:r>
          <w:r w:rsidRPr="004103BC">
            <w:rPr>
              <w:rFonts w:asciiTheme="majorBidi" w:hAnsiTheme="majorBidi" w:cstheme="majorBidi"/>
              <w:noProof/>
              <w:sz w:val="24"/>
              <w:szCs w:val="24"/>
            </w:rPr>
            <w:instrText xml:space="preserve"> CITATION Son13 \l 2057 </w:instrText>
          </w:r>
          <w:r w:rsidRPr="004103BC">
            <w:rPr>
              <w:rFonts w:asciiTheme="majorBidi" w:hAnsiTheme="majorBidi" w:cstheme="majorBidi"/>
              <w:noProof/>
              <w:sz w:val="24"/>
              <w:szCs w:val="24"/>
            </w:rPr>
            <w:fldChar w:fldCharType="separate"/>
          </w:r>
          <w:r w:rsidRPr="004103BC">
            <w:rPr>
              <w:rFonts w:asciiTheme="majorBidi" w:hAnsiTheme="majorBidi" w:cstheme="majorBidi"/>
              <w:noProof/>
              <w:sz w:val="24"/>
              <w:szCs w:val="24"/>
            </w:rPr>
            <w:t>(Son, Jin, &amp; George, 2013)</w:t>
          </w:r>
          <w:r w:rsidRPr="004103BC">
            <w:rPr>
              <w:rFonts w:asciiTheme="majorBidi" w:hAnsiTheme="majorBidi" w:cstheme="majorBidi"/>
              <w:noProof/>
              <w:sz w:val="24"/>
              <w:szCs w:val="24"/>
            </w:rPr>
            <w:fldChar w:fldCharType="end"/>
          </w:r>
        </w:sdtContent>
      </w:sdt>
      <w:r w:rsidRPr="004103BC">
        <w:rPr>
          <w:rFonts w:asciiTheme="majorBidi" w:hAnsiTheme="majorBidi" w:cstheme="majorBidi"/>
          <w:noProof/>
          <w:sz w:val="24"/>
          <w:szCs w:val="24"/>
        </w:rPr>
        <w:t>.</w:t>
      </w:r>
      <w:r w:rsidR="00BB233A" w:rsidRPr="004103BC">
        <w:rPr>
          <w:rFonts w:asciiTheme="majorBidi" w:hAnsiTheme="majorBidi" w:cstheme="majorBidi"/>
          <w:noProof/>
          <w:sz w:val="24"/>
          <w:szCs w:val="24"/>
        </w:rPr>
        <w:t xml:space="preserve"> Another extention to the “subjective attitudes” determinant of TRA was done by focusing on examining consumers personal values in the apparel industry</w:t>
      </w:r>
      <w:sdt>
        <w:sdtPr>
          <w:rPr>
            <w:rFonts w:asciiTheme="majorBidi" w:hAnsiTheme="majorBidi" w:cstheme="majorBidi"/>
            <w:noProof/>
            <w:sz w:val="24"/>
            <w:szCs w:val="24"/>
          </w:rPr>
          <w:id w:val="1887068178"/>
          <w:citation/>
        </w:sdtPr>
        <w:sdtContent>
          <w:r w:rsidR="00927478" w:rsidRPr="004103BC">
            <w:rPr>
              <w:rFonts w:asciiTheme="majorBidi" w:hAnsiTheme="majorBidi" w:cstheme="majorBidi"/>
              <w:noProof/>
              <w:sz w:val="24"/>
              <w:szCs w:val="24"/>
            </w:rPr>
            <w:fldChar w:fldCharType="begin"/>
          </w:r>
          <w:r w:rsidR="00927478" w:rsidRPr="004103BC">
            <w:rPr>
              <w:rFonts w:asciiTheme="majorBidi" w:hAnsiTheme="majorBidi" w:cstheme="majorBidi"/>
              <w:noProof/>
              <w:sz w:val="24"/>
              <w:szCs w:val="24"/>
            </w:rPr>
            <w:instrText xml:space="preserve"> CITATION Did17 \l 2057 </w:instrText>
          </w:r>
          <w:r w:rsidR="00927478" w:rsidRPr="004103BC">
            <w:rPr>
              <w:rFonts w:asciiTheme="majorBidi" w:hAnsiTheme="majorBidi" w:cstheme="majorBidi"/>
              <w:noProof/>
              <w:sz w:val="24"/>
              <w:szCs w:val="24"/>
            </w:rPr>
            <w:fldChar w:fldCharType="separate"/>
          </w:r>
          <w:r w:rsidR="00927478" w:rsidRPr="004103BC">
            <w:rPr>
              <w:rFonts w:asciiTheme="majorBidi" w:hAnsiTheme="majorBidi" w:cstheme="majorBidi"/>
              <w:noProof/>
              <w:sz w:val="24"/>
              <w:szCs w:val="24"/>
            </w:rPr>
            <w:t xml:space="preserve"> (Diddi &amp; Niehm, 2017)</w:t>
          </w:r>
          <w:r w:rsidR="00927478" w:rsidRPr="004103BC">
            <w:rPr>
              <w:rFonts w:asciiTheme="majorBidi" w:hAnsiTheme="majorBidi" w:cstheme="majorBidi"/>
              <w:noProof/>
              <w:sz w:val="24"/>
              <w:szCs w:val="24"/>
            </w:rPr>
            <w:fldChar w:fldCharType="end"/>
          </w:r>
        </w:sdtContent>
      </w:sdt>
      <w:r w:rsidR="00952085" w:rsidRPr="004103BC">
        <w:rPr>
          <w:rFonts w:asciiTheme="majorBidi" w:hAnsiTheme="majorBidi" w:cstheme="majorBidi"/>
          <w:noProof/>
          <w:sz w:val="24"/>
          <w:szCs w:val="24"/>
        </w:rPr>
        <w:t xml:space="preserve">. </w:t>
      </w:r>
      <w:r w:rsidRPr="004103BC">
        <w:rPr>
          <w:rFonts w:asciiTheme="majorBidi" w:hAnsiTheme="majorBidi" w:cstheme="majorBidi"/>
          <w:noProof/>
          <w:sz w:val="24"/>
          <w:szCs w:val="24"/>
        </w:rPr>
        <w:t>Aditionally, other researchers examined different types of  “attitudes”</w:t>
      </w:r>
      <w:r w:rsidR="004103BC" w:rsidRPr="004103BC">
        <w:rPr>
          <w:rFonts w:asciiTheme="majorBidi" w:hAnsiTheme="majorBidi" w:cstheme="majorBidi"/>
          <w:noProof/>
          <w:sz w:val="24"/>
          <w:szCs w:val="24"/>
        </w:rPr>
        <w:t xml:space="preserve"> </w:t>
      </w:r>
      <w:sdt>
        <w:sdtPr>
          <w:rPr>
            <w:rFonts w:asciiTheme="majorBidi" w:hAnsiTheme="majorBidi" w:cstheme="majorBidi"/>
            <w:noProof/>
            <w:sz w:val="24"/>
            <w:szCs w:val="24"/>
          </w:rPr>
          <w:id w:val="-1192141258"/>
          <w:citation/>
        </w:sdtPr>
        <w:sdtContent>
          <w:r w:rsidR="004103BC" w:rsidRPr="004103BC">
            <w:rPr>
              <w:rFonts w:asciiTheme="majorBidi" w:hAnsiTheme="majorBidi" w:cstheme="majorBidi"/>
              <w:noProof/>
              <w:sz w:val="24"/>
              <w:szCs w:val="24"/>
            </w:rPr>
            <w:fldChar w:fldCharType="begin"/>
          </w:r>
          <w:r w:rsidR="004103BC" w:rsidRPr="004103BC">
            <w:rPr>
              <w:rFonts w:asciiTheme="majorBidi" w:hAnsiTheme="majorBidi" w:cstheme="majorBidi"/>
              <w:noProof/>
              <w:sz w:val="24"/>
              <w:szCs w:val="24"/>
            </w:rPr>
            <w:instrText>CITATION Hyl23 \l 2057  \m Kan14 \m Yan10</w:instrText>
          </w:r>
          <w:r w:rsidR="004103BC" w:rsidRPr="004103BC">
            <w:rPr>
              <w:rFonts w:asciiTheme="majorBidi" w:hAnsiTheme="majorBidi" w:cstheme="majorBidi"/>
              <w:noProof/>
              <w:sz w:val="24"/>
              <w:szCs w:val="24"/>
            </w:rPr>
            <w:fldChar w:fldCharType="separate"/>
          </w:r>
          <w:r w:rsidR="004103BC" w:rsidRPr="004103BC">
            <w:rPr>
              <w:rFonts w:asciiTheme="majorBidi" w:hAnsiTheme="majorBidi" w:cstheme="majorBidi"/>
              <w:noProof/>
              <w:sz w:val="24"/>
              <w:szCs w:val="24"/>
            </w:rPr>
            <w:t>(Hyllegard , Yan, Ogle, &amp; Attmann, 2010; Kang &amp; Hustvedt, 2014; Yan, Ogle, &amp; Hyllegard, 2010)</w:t>
          </w:r>
          <w:r w:rsidR="004103BC" w:rsidRPr="004103BC">
            <w:rPr>
              <w:rFonts w:asciiTheme="majorBidi" w:hAnsiTheme="majorBidi" w:cstheme="majorBidi"/>
              <w:noProof/>
              <w:sz w:val="24"/>
              <w:szCs w:val="24"/>
            </w:rPr>
            <w:fldChar w:fldCharType="end"/>
          </w:r>
        </w:sdtContent>
      </w:sdt>
      <w:r w:rsidRPr="004103BC">
        <w:rPr>
          <w:rFonts w:asciiTheme="majorBidi" w:hAnsiTheme="majorBidi" w:cstheme="majorBidi"/>
          <w:sz w:val="24"/>
          <w:szCs w:val="24"/>
        </w:rPr>
        <w:t>. For instance, Kang and H</w:t>
      </w:r>
      <w:r w:rsidR="00DB2C47" w:rsidRPr="004103BC">
        <w:rPr>
          <w:rFonts w:asciiTheme="majorBidi" w:hAnsiTheme="majorBidi" w:cstheme="majorBidi"/>
          <w:sz w:val="24"/>
          <w:szCs w:val="24"/>
        </w:rPr>
        <w:t>u</w:t>
      </w:r>
      <w:r w:rsidRPr="004103BC">
        <w:rPr>
          <w:rFonts w:asciiTheme="majorBidi" w:hAnsiTheme="majorBidi" w:cstheme="majorBidi"/>
          <w:sz w:val="24"/>
          <w:szCs w:val="24"/>
        </w:rPr>
        <w:t xml:space="preserve">stvedt </w:t>
      </w:r>
      <w:sdt>
        <w:sdtPr>
          <w:rPr>
            <w:rFonts w:asciiTheme="majorBidi" w:hAnsiTheme="majorBidi" w:cstheme="majorBidi"/>
            <w:sz w:val="24"/>
            <w:szCs w:val="24"/>
          </w:rPr>
          <w:id w:val="-1114061329"/>
          <w:citation/>
        </w:sdtPr>
        <w:sdtContent>
          <w:r w:rsidRPr="004103BC">
            <w:rPr>
              <w:rFonts w:asciiTheme="majorBidi" w:hAnsiTheme="majorBidi" w:cstheme="majorBidi"/>
              <w:sz w:val="24"/>
              <w:szCs w:val="24"/>
            </w:rPr>
            <w:fldChar w:fldCharType="begin"/>
          </w:r>
          <w:r w:rsidRPr="004103BC">
            <w:rPr>
              <w:rFonts w:asciiTheme="majorBidi" w:hAnsiTheme="majorBidi" w:cstheme="majorBidi"/>
              <w:sz w:val="24"/>
              <w:szCs w:val="24"/>
            </w:rPr>
            <w:instrText xml:space="preserve">CITATION Kan14 \n  \t  \l 2057 </w:instrText>
          </w:r>
          <w:r w:rsidRPr="004103BC">
            <w:rPr>
              <w:rFonts w:asciiTheme="majorBidi" w:hAnsiTheme="majorBidi" w:cstheme="majorBidi"/>
              <w:sz w:val="24"/>
              <w:szCs w:val="24"/>
            </w:rPr>
            <w:fldChar w:fldCharType="separate"/>
          </w:r>
          <w:r w:rsidRPr="004103BC">
            <w:rPr>
              <w:rFonts w:asciiTheme="majorBidi" w:hAnsiTheme="majorBidi" w:cstheme="majorBidi"/>
              <w:noProof/>
              <w:sz w:val="24"/>
              <w:szCs w:val="24"/>
            </w:rPr>
            <w:t>(2014)</w:t>
          </w:r>
          <w:r w:rsidRPr="004103BC">
            <w:rPr>
              <w:rFonts w:asciiTheme="majorBidi" w:hAnsiTheme="majorBidi" w:cstheme="majorBidi"/>
              <w:sz w:val="24"/>
              <w:szCs w:val="24"/>
            </w:rPr>
            <w:fldChar w:fldCharType="end"/>
          </w:r>
        </w:sdtContent>
      </w:sdt>
      <w:r w:rsidRPr="004103BC">
        <w:rPr>
          <w:rFonts w:asciiTheme="majorBidi" w:hAnsiTheme="majorBidi" w:cstheme="majorBidi"/>
          <w:sz w:val="24"/>
          <w:szCs w:val="24"/>
        </w:rPr>
        <w:t xml:space="preserve"> measured brand trust and “general attitude” towards the brand </w:t>
      </w:r>
      <w:sdt>
        <w:sdtPr>
          <w:rPr>
            <w:rFonts w:asciiTheme="majorBidi" w:hAnsiTheme="majorBidi" w:cstheme="majorBidi"/>
            <w:sz w:val="24"/>
            <w:szCs w:val="24"/>
          </w:rPr>
          <w:id w:val="-1344472804"/>
          <w:citation/>
        </w:sdtPr>
        <w:sdtContent>
          <w:r w:rsidR="00DB2C47" w:rsidRPr="004103BC">
            <w:rPr>
              <w:rFonts w:asciiTheme="majorBidi" w:hAnsiTheme="majorBidi" w:cstheme="majorBidi"/>
              <w:sz w:val="24"/>
              <w:szCs w:val="24"/>
            </w:rPr>
            <w:fldChar w:fldCharType="begin"/>
          </w:r>
          <w:r w:rsidR="00DB2C47" w:rsidRPr="004103BC">
            <w:rPr>
              <w:rFonts w:asciiTheme="majorBidi" w:hAnsiTheme="majorBidi" w:cstheme="majorBidi"/>
              <w:sz w:val="24"/>
              <w:szCs w:val="24"/>
            </w:rPr>
            <w:instrText xml:space="preserve"> CITATION Hyl23 \l 2057 </w:instrText>
          </w:r>
          <w:r w:rsidR="00DB2C47" w:rsidRPr="004103BC">
            <w:rPr>
              <w:rFonts w:asciiTheme="majorBidi" w:hAnsiTheme="majorBidi" w:cstheme="majorBidi"/>
              <w:sz w:val="24"/>
              <w:szCs w:val="24"/>
            </w:rPr>
            <w:fldChar w:fldCharType="separate"/>
          </w:r>
          <w:r w:rsidR="00DB2C47" w:rsidRPr="004103BC">
            <w:rPr>
              <w:rFonts w:asciiTheme="majorBidi" w:hAnsiTheme="majorBidi" w:cstheme="majorBidi"/>
              <w:noProof/>
              <w:sz w:val="24"/>
              <w:szCs w:val="24"/>
            </w:rPr>
            <w:t>(Hyllegard , Yan, Ogle, &amp; Attmann, 2010)</w:t>
          </w:r>
          <w:r w:rsidR="00DB2C47" w:rsidRPr="004103BC">
            <w:rPr>
              <w:rFonts w:asciiTheme="majorBidi" w:hAnsiTheme="majorBidi" w:cstheme="majorBidi"/>
              <w:sz w:val="24"/>
              <w:szCs w:val="24"/>
            </w:rPr>
            <w:fldChar w:fldCharType="end"/>
          </w:r>
        </w:sdtContent>
      </w:sdt>
      <w:r w:rsidR="00C80476" w:rsidRPr="004103BC">
        <w:rPr>
          <w:rFonts w:asciiTheme="majorBidi" w:hAnsiTheme="majorBidi" w:cstheme="majorBidi"/>
          <w:sz w:val="24"/>
          <w:szCs w:val="24"/>
        </w:rPr>
        <w:t xml:space="preserve"> and Yan, Ogle and Hyllegard</w:t>
      </w:r>
      <w:sdt>
        <w:sdtPr>
          <w:rPr>
            <w:rFonts w:asciiTheme="majorBidi" w:hAnsiTheme="majorBidi" w:cstheme="majorBidi"/>
            <w:sz w:val="24"/>
            <w:szCs w:val="24"/>
          </w:rPr>
          <w:id w:val="900101783"/>
          <w:citation/>
        </w:sdtPr>
        <w:sdtContent>
          <w:r w:rsidR="00C80476" w:rsidRPr="004103BC">
            <w:rPr>
              <w:rFonts w:asciiTheme="majorBidi" w:hAnsiTheme="majorBidi" w:cstheme="majorBidi"/>
              <w:sz w:val="24"/>
              <w:szCs w:val="24"/>
            </w:rPr>
            <w:fldChar w:fldCharType="begin"/>
          </w:r>
          <w:r w:rsidR="00C80476" w:rsidRPr="004103BC">
            <w:rPr>
              <w:rFonts w:asciiTheme="majorBidi" w:hAnsiTheme="majorBidi" w:cstheme="majorBidi"/>
              <w:sz w:val="24"/>
              <w:szCs w:val="24"/>
            </w:rPr>
            <w:instrText xml:space="preserve">CITATION Yan10 \n  \t  \l 2057 </w:instrText>
          </w:r>
          <w:r w:rsidR="00C80476" w:rsidRPr="004103BC">
            <w:rPr>
              <w:rFonts w:asciiTheme="majorBidi" w:hAnsiTheme="majorBidi" w:cstheme="majorBidi"/>
              <w:sz w:val="24"/>
              <w:szCs w:val="24"/>
            </w:rPr>
            <w:fldChar w:fldCharType="separate"/>
          </w:r>
          <w:r w:rsidR="00C80476" w:rsidRPr="004103BC">
            <w:rPr>
              <w:rFonts w:asciiTheme="majorBidi" w:hAnsiTheme="majorBidi" w:cstheme="majorBidi"/>
              <w:noProof/>
              <w:sz w:val="24"/>
              <w:szCs w:val="24"/>
            </w:rPr>
            <w:t xml:space="preserve"> (2010)</w:t>
          </w:r>
          <w:r w:rsidR="00C80476" w:rsidRPr="004103BC">
            <w:rPr>
              <w:rFonts w:asciiTheme="majorBidi" w:hAnsiTheme="majorBidi" w:cstheme="majorBidi"/>
              <w:sz w:val="24"/>
              <w:szCs w:val="24"/>
            </w:rPr>
            <w:fldChar w:fldCharType="end"/>
          </w:r>
        </w:sdtContent>
      </w:sdt>
      <w:r w:rsidR="00C80476" w:rsidRPr="004103BC">
        <w:rPr>
          <w:rFonts w:asciiTheme="majorBidi" w:hAnsiTheme="majorBidi" w:cstheme="majorBidi"/>
          <w:sz w:val="24"/>
          <w:szCs w:val="24"/>
        </w:rPr>
        <w:t xml:space="preserve"> measured attitudes towards source credibility and towards the ad in terms of level of appeal and effectiveness</w:t>
      </w:r>
      <w:r w:rsidR="002720E2" w:rsidRPr="004103BC">
        <w:rPr>
          <w:rFonts w:asciiTheme="majorBidi" w:hAnsiTheme="majorBidi" w:cstheme="majorBidi"/>
          <w:sz w:val="24"/>
          <w:szCs w:val="24"/>
        </w:rPr>
        <w:t xml:space="preserve">. </w:t>
      </w:r>
      <w:r w:rsidR="00C80476" w:rsidRPr="004103BC">
        <w:rPr>
          <w:rFonts w:asciiTheme="majorBidi" w:hAnsiTheme="majorBidi" w:cstheme="majorBidi"/>
          <w:sz w:val="24"/>
          <w:szCs w:val="24"/>
        </w:rPr>
        <w:t>Moreover</w:t>
      </w:r>
      <w:r w:rsidR="002720E2" w:rsidRPr="004103BC">
        <w:rPr>
          <w:rFonts w:asciiTheme="majorBidi" w:hAnsiTheme="majorBidi" w:cstheme="majorBidi"/>
          <w:sz w:val="24"/>
          <w:szCs w:val="24"/>
        </w:rPr>
        <w:t xml:space="preserve">, other researchers applied the TRA by measuring brand </w:t>
      </w:r>
      <w:r w:rsidR="002720E2" w:rsidRPr="00F60616">
        <w:rPr>
          <w:rFonts w:asciiTheme="majorBidi" w:hAnsiTheme="majorBidi" w:cstheme="majorBidi"/>
          <w:sz w:val="24"/>
          <w:szCs w:val="24"/>
        </w:rPr>
        <w:t xml:space="preserve">attitude towards pharmaceutical products </w:t>
      </w:r>
      <w:r w:rsidR="00C80476" w:rsidRPr="00F60616">
        <w:rPr>
          <w:rFonts w:asciiTheme="majorBidi" w:hAnsiTheme="majorBidi" w:cstheme="majorBidi"/>
          <w:sz w:val="24"/>
          <w:szCs w:val="24"/>
        </w:rPr>
        <w:t>and found that brand attitude ha</w:t>
      </w:r>
      <w:r w:rsidR="001208EA" w:rsidRPr="00F60616">
        <w:rPr>
          <w:rFonts w:asciiTheme="majorBidi" w:hAnsiTheme="majorBidi" w:cstheme="majorBidi"/>
          <w:sz w:val="24"/>
          <w:szCs w:val="24"/>
        </w:rPr>
        <w:t>s</w:t>
      </w:r>
      <w:r w:rsidR="00C80476" w:rsidRPr="00F60616">
        <w:rPr>
          <w:rFonts w:asciiTheme="majorBidi" w:hAnsiTheme="majorBidi" w:cstheme="majorBidi"/>
          <w:sz w:val="24"/>
          <w:szCs w:val="24"/>
        </w:rPr>
        <w:t xml:space="preserve"> a positive influence on purchase intention</w:t>
      </w:r>
      <w:r w:rsidR="004103BC" w:rsidRPr="00F60616">
        <w:rPr>
          <w:rFonts w:asciiTheme="majorBidi" w:hAnsiTheme="majorBidi" w:cstheme="majorBidi"/>
        </w:rPr>
        <w:t xml:space="preserve"> </w:t>
      </w:r>
      <w:sdt>
        <w:sdtPr>
          <w:rPr>
            <w:rFonts w:asciiTheme="majorBidi" w:hAnsiTheme="majorBidi" w:cstheme="majorBidi"/>
          </w:rPr>
          <w:id w:val="834886438"/>
          <w:citation/>
        </w:sdtPr>
        <w:sdtEndPr>
          <w:rPr>
            <w:sz w:val="24"/>
            <w:szCs w:val="24"/>
          </w:rPr>
        </w:sdtEndPr>
        <w:sdtContent>
          <w:r w:rsidR="004103BC" w:rsidRPr="00F60616">
            <w:rPr>
              <w:rFonts w:asciiTheme="majorBidi" w:hAnsiTheme="majorBidi" w:cstheme="majorBidi"/>
              <w:sz w:val="24"/>
              <w:szCs w:val="24"/>
            </w:rPr>
            <w:fldChar w:fldCharType="begin"/>
          </w:r>
          <w:r w:rsidR="004103BC" w:rsidRPr="00F60616">
            <w:rPr>
              <w:rFonts w:asciiTheme="majorBidi" w:hAnsiTheme="majorBidi" w:cstheme="majorBidi"/>
              <w:sz w:val="24"/>
              <w:szCs w:val="24"/>
            </w:rPr>
            <w:instrText xml:space="preserve"> CITATION Tho22 \l 2057 </w:instrText>
          </w:r>
          <w:r w:rsidR="004103BC" w:rsidRPr="00F60616">
            <w:rPr>
              <w:rFonts w:asciiTheme="majorBidi" w:hAnsiTheme="majorBidi" w:cstheme="majorBidi"/>
              <w:sz w:val="24"/>
              <w:szCs w:val="24"/>
            </w:rPr>
            <w:fldChar w:fldCharType="separate"/>
          </w:r>
          <w:r w:rsidR="004103BC" w:rsidRPr="00F60616">
            <w:rPr>
              <w:rFonts w:asciiTheme="majorBidi" w:hAnsiTheme="majorBidi" w:cstheme="majorBidi"/>
              <w:noProof/>
              <w:sz w:val="24"/>
              <w:szCs w:val="24"/>
            </w:rPr>
            <w:t>(Thomas, Jadeja, Vaghela , &amp; Shreevastava , 2022)</w:t>
          </w:r>
          <w:r w:rsidR="004103BC" w:rsidRPr="00F60616">
            <w:rPr>
              <w:rFonts w:asciiTheme="majorBidi" w:hAnsiTheme="majorBidi" w:cstheme="majorBidi"/>
              <w:sz w:val="24"/>
              <w:szCs w:val="24"/>
            </w:rPr>
            <w:fldChar w:fldCharType="end"/>
          </w:r>
        </w:sdtContent>
      </w:sdt>
      <w:r w:rsidR="00C80476" w:rsidRPr="00F60616">
        <w:rPr>
          <w:rFonts w:asciiTheme="majorBidi" w:hAnsiTheme="majorBidi" w:cstheme="majorBidi"/>
          <w:sz w:val="24"/>
          <w:szCs w:val="24"/>
        </w:rPr>
        <w:t xml:space="preserve">. </w:t>
      </w:r>
      <w:r w:rsidR="00086065" w:rsidRPr="00F60616">
        <w:rPr>
          <w:rFonts w:asciiTheme="majorBidi" w:hAnsiTheme="majorBidi" w:cstheme="majorBidi"/>
          <w:noProof/>
          <w:sz w:val="24"/>
          <w:szCs w:val="24"/>
        </w:rPr>
        <w:t>Aditionally, another study found that attitudes towards organic foods</w:t>
      </w:r>
      <w:r w:rsidR="00086065" w:rsidRPr="004103BC">
        <w:rPr>
          <w:rFonts w:asciiTheme="majorBidi" w:hAnsiTheme="majorBidi" w:cstheme="majorBidi"/>
          <w:noProof/>
          <w:sz w:val="24"/>
          <w:szCs w:val="24"/>
        </w:rPr>
        <w:t xml:space="preserve"> influenced purchase intention in which the researchers examined this in a form of a single generic attitude towards organic foods</w:t>
      </w:r>
      <w:sdt>
        <w:sdtPr>
          <w:rPr>
            <w:rFonts w:asciiTheme="majorBidi" w:hAnsiTheme="majorBidi" w:cstheme="majorBidi"/>
            <w:noProof/>
            <w:sz w:val="24"/>
            <w:szCs w:val="24"/>
          </w:rPr>
          <w:id w:val="-107363035"/>
          <w:citation/>
        </w:sdtPr>
        <w:sdtContent>
          <w:r w:rsidR="00086065" w:rsidRPr="004103BC">
            <w:rPr>
              <w:rFonts w:asciiTheme="majorBidi" w:hAnsiTheme="majorBidi" w:cstheme="majorBidi"/>
              <w:noProof/>
              <w:sz w:val="24"/>
              <w:szCs w:val="24"/>
            </w:rPr>
            <w:fldChar w:fldCharType="begin"/>
          </w:r>
          <w:r w:rsidR="00086065" w:rsidRPr="004103BC">
            <w:rPr>
              <w:rFonts w:asciiTheme="majorBidi" w:hAnsiTheme="majorBidi" w:cstheme="majorBidi"/>
              <w:noProof/>
              <w:sz w:val="24"/>
              <w:szCs w:val="24"/>
            </w:rPr>
            <w:instrText xml:space="preserve"> CITATION Gun22 \l 2057 </w:instrText>
          </w:r>
          <w:r w:rsidR="00086065" w:rsidRPr="004103BC">
            <w:rPr>
              <w:rFonts w:asciiTheme="majorBidi" w:hAnsiTheme="majorBidi" w:cstheme="majorBidi"/>
              <w:noProof/>
              <w:sz w:val="24"/>
              <w:szCs w:val="24"/>
            </w:rPr>
            <w:fldChar w:fldCharType="separate"/>
          </w:r>
          <w:r w:rsidR="00086065" w:rsidRPr="004103BC">
            <w:rPr>
              <w:rFonts w:asciiTheme="majorBidi" w:hAnsiTheme="majorBidi" w:cstheme="majorBidi"/>
              <w:noProof/>
              <w:sz w:val="24"/>
              <w:szCs w:val="24"/>
            </w:rPr>
            <w:t xml:space="preserve"> (Gundala, Nawaz, M, Boobalan, &amp; Gajenderan, 2022)</w:t>
          </w:r>
          <w:r w:rsidR="00086065" w:rsidRPr="004103BC">
            <w:rPr>
              <w:rFonts w:asciiTheme="majorBidi" w:hAnsiTheme="majorBidi" w:cstheme="majorBidi"/>
              <w:noProof/>
              <w:sz w:val="24"/>
              <w:szCs w:val="24"/>
            </w:rPr>
            <w:fldChar w:fldCharType="end"/>
          </w:r>
        </w:sdtContent>
      </w:sdt>
      <w:r w:rsidR="00086065" w:rsidRPr="004103BC">
        <w:rPr>
          <w:rFonts w:asciiTheme="majorBidi" w:hAnsiTheme="majorBidi" w:cstheme="majorBidi"/>
          <w:noProof/>
          <w:sz w:val="24"/>
          <w:szCs w:val="24"/>
        </w:rPr>
        <w:t>. Clearly</w:t>
      </w:r>
      <w:r w:rsidRPr="004103BC">
        <w:rPr>
          <w:rFonts w:asciiTheme="majorBidi" w:hAnsiTheme="majorBidi" w:cstheme="majorBidi"/>
          <w:noProof/>
          <w:sz w:val="24"/>
          <w:szCs w:val="24"/>
        </w:rPr>
        <w:t xml:space="preserve">, </w:t>
      </w:r>
      <w:r w:rsidR="00DB2C47" w:rsidRPr="004103BC">
        <w:rPr>
          <w:rFonts w:asciiTheme="majorBidi" w:hAnsiTheme="majorBidi" w:cstheme="majorBidi"/>
          <w:noProof/>
          <w:sz w:val="24"/>
          <w:szCs w:val="24"/>
        </w:rPr>
        <w:t>these studies measured attitude towards the brand</w:t>
      </w:r>
      <w:r w:rsidRPr="004103BC">
        <w:rPr>
          <w:rFonts w:asciiTheme="majorBidi" w:hAnsiTheme="majorBidi" w:cstheme="majorBidi"/>
          <w:noProof/>
          <w:sz w:val="24"/>
          <w:szCs w:val="24"/>
        </w:rPr>
        <w:t xml:space="preserve"> </w:t>
      </w:r>
      <w:r w:rsidR="003F04F9" w:rsidRPr="004103BC">
        <w:rPr>
          <w:rFonts w:asciiTheme="majorBidi" w:hAnsiTheme="majorBidi" w:cstheme="majorBidi"/>
          <w:noProof/>
          <w:sz w:val="24"/>
          <w:szCs w:val="24"/>
        </w:rPr>
        <w:t>with</w:t>
      </w:r>
      <w:r w:rsidR="00510AB3" w:rsidRPr="004103BC">
        <w:rPr>
          <w:rFonts w:asciiTheme="majorBidi" w:hAnsiTheme="majorBidi" w:cstheme="majorBidi"/>
          <w:noProof/>
          <w:sz w:val="24"/>
          <w:szCs w:val="24"/>
        </w:rPr>
        <w:t xml:space="preserve"> a rudimentary </w:t>
      </w:r>
      <w:r w:rsidR="00086065" w:rsidRPr="004103BC">
        <w:rPr>
          <w:rFonts w:asciiTheme="majorBidi" w:hAnsiTheme="majorBidi" w:cstheme="majorBidi"/>
          <w:noProof/>
          <w:sz w:val="24"/>
          <w:szCs w:val="24"/>
        </w:rPr>
        <w:t>approach</w:t>
      </w:r>
      <w:r w:rsidR="00DB2C47" w:rsidRPr="004103BC">
        <w:rPr>
          <w:rFonts w:asciiTheme="majorBidi" w:hAnsiTheme="majorBidi" w:cstheme="majorBidi"/>
          <w:noProof/>
          <w:sz w:val="24"/>
          <w:szCs w:val="24"/>
        </w:rPr>
        <w:t xml:space="preserve"> without</w:t>
      </w:r>
      <w:r w:rsidRPr="004103BC">
        <w:rPr>
          <w:rFonts w:asciiTheme="majorBidi" w:hAnsiTheme="majorBidi" w:cstheme="majorBidi"/>
          <w:noProof/>
          <w:sz w:val="24"/>
          <w:szCs w:val="24"/>
        </w:rPr>
        <w:t xml:space="preserve"> more intericate examination </w:t>
      </w:r>
      <w:r w:rsidR="00FB1100" w:rsidRPr="004103BC">
        <w:rPr>
          <w:rFonts w:asciiTheme="majorBidi" w:hAnsiTheme="majorBidi" w:cstheme="majorBidi"/>
          <w:noProof/>
          <w:sz w:val="24"/>
          <w:szCs w:val="24"/>
        </w:rPr>
        <w:t>of more than</w:t>
      </w:r>
      <w:r w:rsidRPr="004103BC">
        <w:rPr>
          <w:rFonts w:asciiTheme="majorBidi" w:hAnsiTheme="majorBidi" w:cstheme="majorBidi"/>
          <w:noProof/>
          <w:sz w:val="24"/>
          <w:szCs w:val="24"/>
        </w:rPr>
        <w:t xml:space="preserve"> just one </w:t>
      </w:r>
      <w:r w:rsidR="00510AB3" w:rsidRPr="004103BC">
        <w:rPr>
          <w:rFonts w:asciiTheme="majorBidi" w:hAnsiTheme="majorBidi" w:cstheme="majorBidi"/>
          <w:noProof/>
          <w:sz w:val="24"/>
          <w:szCs w:val="24"/>
        </w:rPr>
        <w:t xml:space="preserve">construct </w:t>
      </w:r>
      <w:r w:rsidR="003F04F9" w:rsidRPr="004103BC">
        <w:rPr>
          <w:rFonts w:asciiTheme="majorBidi" w:hAnsiTheme="majorBidi" w:cstheme="majorBidi"/>
          <w:noProof/>
          <w:sz w:val="24"/>
          <w:szCs w:val="24"/>
        </w:rPr>
        <w:t>representing</w:t>
      </w:r>
      <w:r w:rsidR="00510AB3" w:rsidRPr="004103BC">
        <w:rPr>
          <w:rFonts w:asciiTheme="majorBidi" w:hAnsiTheme="majorBidi" w:cstheme="majorBidi"/>
          <w:noProof/>
          <w:sz w:val="24"/>
          <w:szCs w:val="24"/>
        </w:rPr>
        <w:t xml:space="preserve"> </w:t>
      </w:r>
      <w:r w:rsidRPr="004103BC">
        <w:rPr>
          <w:rFonts w:asciiTheme="majorBidi" w:hAnsiTheme="majorBidi" w:cstheme="majorBidi"/>
          <w:noProof/>
          <w:sz w:val="24"/>
          <w:szCs w:val="24"/>
        </w:rPr>
        <w:t>brand attitude.</w:t>
      </w:r>
      <w:r w:rsidR="00DB2C47" w:rsidRPr="004103BC">
        <w:rPr>
          <w:rFonts w:asciiTheme="majorBidi" w:hAnsiTheme="majorBidi" w:cstheme="majorBidi"/>
          <w:noProof/>
          <w:sz w:val="24"/>
          <w:szCs w:val="24"/>
        </w:rPr>
        <w:t xml:space="preserve"> In other words, these studies did not categorise brand attitude</w:t>
      </w:r>
      <w:r w:rsidR="00FB1100" w:rsidRPr="004103BC">
        <w:rPr>
          <w:rFonts w:asciiTheme="majorBidi" w:hAnsiTheme="majorBidi" w:cstheme="majorBidi"/>
          <w:noProof/>
          <w:sz w:val="24"/>
          <w:szCs w:val="24"/>
        </w:rPr>
        <w:t>s</w:t>
      </w:r>
      <w:r w:rsidR="00DB2C47" w:rsidRPr="004103BC">
        <w:rPr>
          <w:rFonts w:asciiTheme="majorBidi" w:hAnsiTheme="majorBidi" w:cstheme="majorBidi"/>
          <w:noProof/>
          <w:sz w:val="24"/>
          <w:szCs w:val="24"/>
        </w:rPr>
        <w:t xml:space="preserve"> by examining different attitudes such as brand trust, </w:t>
      </w:r>
      <w:r w:rsidR="003F04F9" w:rsidRPr="004103BC">
        <w:rPr>
          <w:rFonts w:asciiTheme="majorBidi" w:hAnsiTheme="majorBidi" w:cstheme="majorBidi"/>
          <w:noProof/>
          <w:sz w:val="24"/>
          <w:szCs w:val="24"/>
        </w:rPr>
        <w:t xml:space="preserve">emotional </w:t>
      </w:r>
      <w:r w:rsidR="00DB2C47" w:rsidRPr="004103BC">
        <w:rPr>
          <w:rFonts w:asciiTheme="majorBidi" w:hAnsiTheme="majorBidi" w:cstheme="majorBidi"/>
          <w:noProof/>
          <w:sz w:val="24"/>
          <w:szCs w:val="24"/>
        </w:rPr>
        <w:t>brand attachement, etc.</w:t>
      </w:r>
      <w:r w:rsidRPr="004103BC">
        <w:rPr>
          <w:rFonts w:asciiTheme="majorBidi" w:hAnsiTheme="majorBidi" w:cstheme="majorBidi"/>
          <w:noProof/>
          <w:sz w:val="24"/>
          <w:szCs w:val="24"/>
        </w:rPr>
        <w:t xml:space="preserve"> </w:t>
      </w:r>
      <w:r w:rsidR="002720E2" w:rsidRPr="004103BC">
        <w:rPr>
          <w:rFonts w:asciiTheme="majorBidi" w:hAnsiTheme="majorBidi" w:cstheme="majorBidi"/>
          <w:noProof/>
          <w:sz w:val="24"/>
          <w:szCs w:val="24"/>
        </w:rPr>
        <w:t>Hence, this leaves</w:t>
      </w:r>
      <w:r w:rsidR="003F04F9" w:rsidRPr="004103BC">
        <w:rPr>
          <w:rFonts w:asciiTheme="majorBidi" w:hAnsiTheme="majorBidi" w:cstheme="majorBidi"/>
          <w:noProof/>
          <w:sz w:val="24"/>
          <w:szCs w:val="24"/>
        </w:rPr>
        <w:t xml:space="preserve"> a substantial gap in literature to examine the different effects of different brand attitudes on purchase intention of FMCG products with the TRA framework. </w:t>
      </w:r>
      <w:r w:rsidRPr="004103BC">
        <w:rPr>
          <w:rFonts w:asciiTheme="majorBidi" w:hAnsiTheme="majorBidi" w:cstheme="majorBidi"/>
          <w:noProof/>
          <w:sz w:val="24"/>
          <w:szCs w:val="24"/>
        </w:rPr>
        <w:t xml:space="preserve">Similarly, other studies examined brand attitudes towards purchase intention instead of behavioural attitudes but, their study was aimed towards any product and did not examine a certain product type or category </w:t>
      </w:r>
      <w:sdt>
        <w:sdtPr>
          <w:rPr>
            <w:rFonts w:asciiTheme="majorBidi" w:hAnsiTheme="majorBidi" w:cstheme="majorBidi"/>
            <w:noProof/>
            <w:sz w:val="24"/>
            <w:szCs w:val="24"/>
          </w:rPr>
          <w:id w:val="-1215199368"/>
          <w:citation/>
        </w:sdtPr>
        <w:sdtContent>
          <w:r w:rsidRPr="004103BC">
            <w:rPr>
              <w:rFonts w:asciiTheme="majorBidi" w:hAnsiTheme="majorBidi" w:cstheme="majorBidi"/>
              <w:noProof/>
              <w:sz w:val="24"/>
              <w:szCs w:val="24"/>
            </w:rPr>
            <w:fldChar w:fldCharType="begin"/>
          </w:r>
          <w:r w:rsidRPr="004103BC">
            <w:rPr>
              <w:rFonts w:asciiTheme="majorBidi" w:hAnsiTheme="majorBidi" w:cstheme="majorBidi"/>
              <w:noProof/>
              <w:sz w:val="24"/>
              <w:szCs w:val="24"/>
            </w:rPr>
            <w:instrText xml:space="preserve"> CITATION HeQ18 \l 2057  \m Wan19</w:instrText>
          </w:r>
          <w:r w:rsidRPr="004103BC">
            <w:rPr>
              <w:rFonts w:asciiTheme="majorBidi" w:hAnsiTheme="majorBidi" w:cstheme="majorBidi"/>
              <w:noProof/>
              <w:sz w:val="24"/>
              <w:szCs w:val="24"/>
            </w:rPr>
            <w:fldChar w:fldCharType="separate"/>
          </w:r>
          <w:r w:rsidRPr="004103BC">
            <w:rPr>
              <w:rFonts w:asciiTheme="majorBidi" w:hAnsiTheme="majorBidi" w:cstheme="majorBidi"/>
              <w:noProof/>
              <w:sz w:val="24"/>
              <w:szCs w:val="24"/>
            </w:rPr>
            <w:t>(He &amp; Qu, 2018; Wang, Cao, &amp; Park, 2019)</w:t>
          </w:r>
          <w:r w:rsidRPr="004103BC">
            <w:rPr>
              <w:rFonts w:asciiTheme="majorBidi" w:hAnsiTheme="majorBidi" w:cstheme="majorBidi"/>
              <w:noProof/>
              <w:sz w:val="24"/>
              <w:szCs w:val="24"/>
            </w:rPr>
            <w:fldChar w:fldCharType="end"/>
          </w:r>
        </w:sdtContent>
      </w:sdt>
      <w:r w:rsidRPr="004103BC">
        <w:rPr>
          <w:rFonts w:asciiTheme="majorBidi" w:hAnsiTheme="majorBidi" w:cstheme="majorBidi"/>
          <w:noProof/>
          <w:sz w:val="24"/>
          <w:szCs w:val="24"/>
        </w:rPr>
        <w:t xml:space="preserve">. </w:t>
      </w:r>
      <w:r w:rsidR="004103BC">
        <w:rPr>
          <w:rFonts w:asciiTheme="majorBidi" w:hAnsiTheme="majorBidi" w:cstheme="majorBidi"/>
          <w:noProof/>
          <w:sz w:val="24"/>
          <w:szCs w:val="24"/>
        </w:rPr>
        <w:t>It is necessary to measure attitude in specfic product types because the strength of predictibility of behaviour depends greatly on the type of product</w:t>
      </w:r>
      <w:r w:rsidR="00724301" w:rsidRPr="00724301">
        <w:rPr>
          <w:rFonts w:asciiTheme="majorBidi" w:hAnsiTheme="majorBidi" w:cstheme="majorBidi"/>
          <w:sz w:val="24"/>
          <w:szCs w:val="24"/>
        </w:rPr>
        <w:t xml:space="preserve"> </w:t>
      </w:r>
      <w:sdt>
        <w:sdtPr>
          <w:rPr>
            <w:rFonts w:asciiTheme="majorBidi" w:hAnsiTheme="majorBidi" w:cstheme="majorBidi"/>
            <w:sz w:val="24"/>
            <w:szCs w:val="24"/>
          </w:rPr>
          <w:id w:val="-1050298443"/>
          <w:citation/>
        </w:sdtPr>
        <w:sdtContent>
          <w:r w:rsidR="00724301">
            <w:rPr>
              <w:rFonts w:asciiTheme="majorBidi" w:hAnsiTheme="majorBidi" w:cstheme="majorBidi"/>
              <w:sz w:val="24"/>
              <w:szCs w:val="24"/>
            </w:rPr>
            <w:fldChar w:fldCharType="begin"/>
          </w:r>
          <w:r w:rsidR="00724301">
            <w:rPr>
              <w:rFonts w:asciiTheme="majorBidi" w:hAnsiTheme="majorBidi" w:cstheme="majorBidi"/>
              <w:sz w:val="24"/>
              <w:szCs w:val="24"/>
            </w:rPr>
            <w:instrText xml:space="preserve"> CITATION Ell95 \l 2057  \m Sut98</w:instrText>
          </w:r>
          <w:r w:rsidR="00724301">
            <w:rPr>
              <w:rFonts w:asciiTheme="majorBidi" w:hAnsiTheme="majorBidi" w:cstheme="majorBidi"/>
              <w:sz w:val="24"/>
              <w:szCs w:val="24"/>
            </w:rPr>
            <w:fldChar w:fldCharType="separate"/>
          </w:r>
          <w:r w:rsidR="00724301" w:rsidRPr="007334E2">
            <w:rPr>
              <w:rFonts w:asciiTheme="majorBidi" w:hAnsiTheme="majorBidi" w:cstheme="majorBidi"/>
              <w:noProof/>
              <w:sz w:val="24"/>
              <w:szCs w:val="24"/>
            </w:rPr>
            <w:t>(Elliott, Jobber, &amp; Sharp, 1995; Sutton, 1998)</w:t>
          </w:r>
          <w:r w:rsidR="00724301">
            <w:rPr>
              <w:rFonts w:asciiTheme="majorBidi" w:hAnsiTheme="majorBidi" w:cstheme="majorBidi"/>
              <w:sz w:val="24"/>
              <w:szCs w:val="24"/>
            </w:rPr>
            <w:fldChar w:fldCharType="end"/>
          </w:r>
        </w:sdtContent>
      </w:sdt>
      <w:r w:rsidR="004103BC">
        <w:rPr>
          <w:rFonts w:asciiTheme="majorBidi" w:hAnsiTheme="majorBidi" w:cstheme="majorBidi"/>
          <w:noProof/>
          <w:sz w:val="24"/>
          <w:szCs w:val="24"/>
        </w:rPr>
        <w:t xml:space="preserve">. </w:t>
      </w:r>
      <w:r w:rsidRPr="004103BC">
        <w:rPr>
          <w:rFonts w:asciiTheme="majorBidi" w:hAnsiTheme="majorBidi" w:cstheme="majorBidi"/>
          <w:noProof/>
          <w:sz w:val="24"/>
          <w:szCs w:val="24"/>
        </w:rPr>
        <w:t xml:space="preserve">Hence, </w:t>
      </w:r>
      <w:r w:rsidR="00724301">
        <w:rPr>
          <w:rFonts w:asciiTheme="majorBidi" w:hAnsiTheme="majorBidi" w:cstheme="majorBidi"/>
          <w:noProof/>
          <w:sz w:val="24"/>
          <w:szCs w:val="24"/>
        </w:rPr>
        <w:t xml:space="preserve">these studies did not </w:t>
      </w:r>
      <w:r w:rsidRPr="004103BC">
        <w:rPr>
          <w:rFonts w:asciiTheme="majorBidi" w:hAnsiTheme="majorBidi" w:cstheme="majorBidi"/>
          <w:noProof/>
          <w:sz w:val="24"/>
          <w:szCs w:val="24"/>
        </w:rPr>
        <w:t xml:space="preserve">justify the </w:t>
      </w:r>
      <w:r w:rsidR="00724301">
        <w:rPr>
          <w:rFonts w:asciiTheme="majorBidi" w:hAnsiTheme="majorBidi" w:cstheme="majorBidi"/>
          <w:noProof/>
          <w:sz w:val="24"/>
          <w:szCs w:val="24"/>
        </w:rPr>
        <w:t>rationale</w:t>
      </w:r>
      <w:r w:rsidRPr="004103BC">
        <w:rPr>
          <w:rFonts w:asciiTheme="majorBidi" w:hAnsiTheme="majorBidi" w:cstheme="majorBidi"/>
          <w:noProof/>
          <w:sz w:val="24"/>
          <w:szCs w:val="24"/>
        </w:rPr>
        <w:t xml:space="preserve"> for examining brand attitudes instead of behavioural attitudes</w:t>
      </w:r>
      <w:r w:rsidR="00724301">
        <w:rPr>
          <w:rFonts w:asciiTheme="majorBidi" w:hAnsiTheme="majorBidi" w:cstheme="majorBidi"/>
          <w:noProof/>
          <w:sz w:val="24"/>
          <w:szCs w:val="24"/>
        </w:rPr>
        <w:t xml:space="preserve"> </w:t>
      </w:r>
      <w:sdt>
        <w:sdtPr>
          <w:rPr>
            <w:rFonts w:asciiTheme="majorBidi" w:hAnsiTheme="majorBidi" w:cstheme="majorBidi"/>
            <w:noProof/>
            <w:sz w:val="24"/>
            <w:szCs w:val="24"/>
          </w:rPr>
          <w:id w:val="-1874220658"/>
          <w:citation/>
        </w:sdtPr>
        <w:sdtContent>
          <w:r w:rsidR="00724301" w:rsidRPr="004103BC">
            <w:rPr>
              <w:rFonts w:asciiTheme="majorBidi" w:hAnsiTheme="majorBidi" w:cstheme="majorBidi"/>
              <w:noProof/>
              <w:sz w:val="24"/>
              <w:szCs w:val="24"/>
            </w:rPr>
            <w:fldChar w:fldCharType="begin"/>
          </w:r>
          <w:r w:rsidR="00724301" w:rsidRPr="004103BC">
            <w:rPr>
              <w:rFonts w:asciiTheme="majorBidi" w:hAnsiTheme="majorBidi" w:cstheme="majorBidi"/>
              <w:noProof/>
              <w:sz w:val="24"/>
              <w:szCs w:val="24"/>
            </w:rPr>
            <w:instrText xml:space="preserve"> CITATION HeQ18 \l 2057  \m Wan19</w:instrText>
          </w:r>
          <w:r w:rsidR="00724301" w:rsidRPr="004103BC">
            <w:rPr>
              <w:rFonts w:asciiTheme="majorBidi" w:hAnsiTheme="majorBidi" w:cstheme="majorBidi"/>
              <w:noProof/>
              <w:sz w:val="24"/>
              <w:szCs w:val="24"/>
            </w:rPr>
            <w:fldChar w:fldCharType="separate"/>
          </w:r>
          <w:r w:rsidR="00724301" w:rsidRPr="004103BC">
            <w:rPr>
              <w:rFonts w:asciiTheme="majorBidi" w:hAnsiTheme="majorBidi" w:cstheme="majorBidi"/>
              <w:noProof/>
              <w:sz w:val="24"/>
              <w:szCs w:val="24"/>
            </w:rPr>
            <w:t>(He &amp; Qu, 2018; Wang, Cao, &amp; Park, 2019)</w:t>
          </w:r>
          <w:r w:rsidR="00724301" w:rsidRPr="004103BC">
            <w:rPr>
              <w:rFonts w:asciiTheme="majorBidi" w:hAnsiTheme="majorBidi" w:cstheme="majorBidi"/>
              <w:noProof/>
              <w:sz w:val="24"/>
              <w:szCs w:val="24"/>
            </w:rPr>
            <w:fldChar w:fldCharType="end"/>
          </w:r>
        </w:sdtContent>
      </w:sdt>
      <w:r w:rsidRPr="004103BC">
        <w:rPr>
          <w:rFonts w:asciiTheme="majorBidi" w:hAnsiTheme="majorBidi" w:cstheme="majorBidi"/>
          <w:noProof/>
          <w:sz w:val="24"/>
          <w:szCs w:val="24"/>
        </w:rPr>
        <w:t xml:space="preserve">. </w:t>
      </w:r>
      <w:r w:rsidRPr="005B3680">
        <w:rPr>
          <w:rFonts w:asciiTheme="majorBidi" w:hAnsiTheme="majorBidi" w:cstheme="majorBidi"/>
          <w:noProof/>
          <w:sz w:val="24"/>
          <w:szCs w:val="24"/>
        </w:rPr>
        <w:t xml:space="preserve">Other researchers further examined the TRA and they found that </w:t>
      </w:r>
      <w:r w:rsidRPr="00F60616">
        <w:rPr>
          <w:rFonts w:asciiTheme="majorBidi" w:hAnsiTheme="majorBidi" w:cstheme="majorBidi"/>
          <w:noProof/>
          <w:sz w:val="24"/>
          <w:szCs w:val="24"/>
        </w:rPr>
        <w:t>attributes towards the advertised brand, purchase intentions and other multiple effects are crucial to measure the effectiveness of a message strategy</w:t>
      </w:r>
      <w:sdt>
        <w:sdtPr>
          <w:rPr>
            <w:rFonts w:asciiTheme="majorBidi" w:hAnsiTheme="majorBidi" w:cstheme="majorBidi"/>
            <w:noProof/>
            <w:sz w:val="24"/>
            <w:szCs w:val="24"/>
          </w:rPr>
          <w:id w:val="1844745520"/>
          <w:citation/>
        </w:sdtPr>
        <w:sdtContent>
          <w:r w:rsidRPr="00F60616">
            <w:rPr>
              <w:rFonts w:asciiTheme="majorBidi" w:hAnsiTheme="majorBidi" w:cstheme="majorBidi"/>
              <w:noProof/>
              <w:sz w:val="24"/>
              <w:szCs w:val="24"/>
            </w:rPr>
            <w:fldChar w:fldCharType="begin"/>
          </w:r>
          <w:r w:rsidRPr="00F60616">
            <w:rPr>
              <w:rFonts w:asciiTheme="majorBidi" w:hAnsiTheme="majorBidi" w:cstheme="majorBidi"/>
              <w:noProof/>
              <w:sz w:val="24"/>
              <w:szCs w:val="24"/>
            </w:rPr>
            <w:instrText xml:space="preserve">CITATION Ols78 \m Mit812 \t  \l 2057 </w:instrText>
          </w:r>
          <w:r w:rsidRPr="00F60616">
            <w:rPr>
              <w:rFonts w:asciiTheme="majorBidi" w:hAnsiTheme="majorBidi" w:cstheme="majorBidi"/>
              <w:noProof/>
              <w:sz w:val="24"/>
              <w:szCs w:val="24"/>
            </w:rPr>
            <w:fldChar w:fldCharType="separate"/>
          </w:r>
          <w:r w:rsidRPr="00F60616">
            <w:rPr>
              <w:rFonts w:asciiTheme="majorBidi" w:hAnsiTheme="majorBidi" w:cstheme="majorBidi"/>
              <w:noProof/>
              <w:sz w:val="24"/>
              <w:szCs w:val="24"/>
            </w:rPr>
            <w:t xml:space="preserve"> (Olson &amp; Dover, 1978; Mitchell &amp; Olson, 1981)</w:t>
          </w:r>
          <w:r w:rsidRPr="00F60616">
            <w:rPr>
              <w:rFonts w:asciiTheme="majorBidi" w:hAnsiTheme="majorBidi" w:cstheme="majorBidi"/>
              <w:noProof/>
              <w:sz w:val="24"/>
              <w:szCs w:val="24"/>
            </w:rPr>
            <w:fldChar w:fldCharType="end"/>
          </w:r>
        </w:sdtContent>
      </w:sdt>
      <w:r>
        <w:rPr>
          <w:rFonts w:asciiTheme="majorBidi" w:hAnsiTheme="majorBidi" w:cstheme="majorBidi"/>
          <w:noProof/>
          <w:sz w:val="24"/>
          <w:szCs w:val="24"/>
        </w:rPr>
        <w:t>.</w:t>
      </w:r>
      <w:r w:rsidR="000F680D" w:rsidRPr="000F680D">
        <w:rPr>
          <w:rFonts w:asciiTheme="majorBidi" w:hAnsiTheme="majorBidi" w:cstheme="majorBidi"/>
          <w:noProof/>
          <w:sz w:val="24"/>
          <w:szCs w:val="24"/>
        </w:rPr>
        <w:t xml:space="preserve"> </w:t>
      </w:r>
      <w:r w:rsidR="000F680D">
        <w:rPr>
          <w:rFonts w:asciiTheme="majorBidi" w:hAnsiTheme="majorBidi" w:cstheme="majorBidi"/>
          <w:noProof/>
          <w:sz w:val="24"/>
          <w:szCs w:val="24"/>
        </w:rPr>
        <w:t>Brand attitude refers to consumers’ overall evaluation of the brand which includes cognitive and affective elements</w:t>
      </w:r>
      <w:sdt>
        <w:sdtPr>
          <w:rPr>
            <w:rFonts w:asciiTheme="majorBidi" w:hAnsiTheme="majorBidi" w:cstheme="majorBidi"/>
            <w:noProof/>
            <w:sz w:val="24"/>
            <w:szCs w:val="24"/>
          </w:rPr>
          <w:id w:val="-452633297"/>
          <w:citation/>
        </w:sdtPr>
        <w:sdtContent>
          <w:r w:rsidR="000F680D">
            <w:rPr>
              <w:rFonts w:asciiTheme="majorBidi" w:hAnsiTheme="majorBidi" w:cstheme="majorBidi"/>
              <w:noProof/>
              <w:sz w:val="24"/>
              <w:szCs w:val="24"/>
            </w:rPr>
            <w:fldChar w:fldCharType="begin"/>
          </w:r>
          <w:r w:rsidR="000F680D">
            <w:rPr>
              <w:rFonts w:asciiTheme="majorBidi" w:hAnsiTheme="majorBidi" w:cstheme="majorBidi"/>
              <w:noProof/>
              <w:sz w:val="24"/>
              <w:szCs w:val="24"/>
            </w:rPr>
            <w:instrText xml:space="preserve"> CITATION Col18 \l 2057  \m Per92</w:instrText>
          </w:r>
          <w:r w:rsidR="000F680D">
            <w:rPr>
              <w:rFonts w:asciiTheme="majorBidi" w:hAnsiTheme="majorBidi" w:cstheme="majorBidi"/>
              <w:noProof/>
              <w:sz w:val="24"/>
              <w:szCs w:val="24"/>
            </w:rPr>
            <w:fldChar w:fldCharType="separate"/>
          </w:r>
          <w:r w:rsidR="000F680D">
            <w:rPr>
              <w:rFonts w:asciiTheme="majorBidi" w:hAnsiTheme="majorBidi" w:cstheme="majorBidi"/>
              <w:noProof/>
              <w:sz w:val="24"/>
              <w:szCs w:val="24"/>
            </w:rPr>
            <w:t xml:space="preserve"> </w:t>
          </w:r>
          <w:r w:rsidR="000F680D" w:rsidRPr="000F60CD">
            <w:rPr>
              <w:rFonts w:asciiTheme="majorBidi" w:hAnsiTheme="majorBidi" w:cstheme="majorBidi"/>
              <w:noProof/>
              <w:sz w:val="24"/>
              <w:szCs w:val="24"/>
            </w:rPr>
            <w:t>(Colliander &amp; Marder, 2018; Percy &amp; Rossiter, 1992)</w:t>
          </w:r>
          <w:r w:rsidR="000F680D">
            <w:rPr>
              <w:rFonts w:asciiTheme="majorBidi" w:hAnsiTheme="majorBidi" w:cstheme="majorBidi"/>
              <w:noProof/>
              <w:sz w:val="24"/>
              <w:szCs w:val="24"/>
            </w:rPr>
            <w:fldChar w:fldCharType="end"/>
          </w:r>
        </w:sdtContent>
      </w:sdt>
      <w:r w:rsidR="000F680D">
        <w:rPr>
          <w:rFonts w:asciiTheme="majorBidi" w:hAnsiTheme="majorBidi" w:cstheme="majorBidi"/>
          <w:noProof/>
          <w:sz w:val="24"/>
          <w:szCs w:val="24"/>
        </w:rPr>
        <w:t>. Accordingly, the researchers suggested that there is a difference in the reletaive importace of the factors affecting intention in which they discovered that attitude and percieved behavioural control were more impactful than subjective norms on purchase intention</w:t>
      </w:r>
      <w:r w:rsidR="000F680D" w:rsidRPr="00D232D7">
        <w:rPr>
          <w:rFonts w:asciiTheme="majorBidi" w:hAnsiTheme="majorBidi" w:cstheme="majorBidi"/>
          <w:noProof/>
          <w:sz w:val="24"/>
          <w:szCs w:val="24"/>
        </w:rPr>
        <w:t xml:space="preserve"> </w:t>
      </w:r>
      <w:sdt>
        <w:sdtPr>
          <w:rPr>
            <w:rFonts w:asciiTheme="majorBidi" w:hAnsiTheme="majorBidi" w:cstheme="majorBidi"/>
            <w:noProof/>
            <w:sz w:val="24"/>
            <w:szCs w:val="24"/>
          </w:rPr>
          <w:id w:val="2048340368"/>
          <w:citation/>
        </w:sdtPr>
        <w:sdtContent>
          <w:r w:rsidR="000F680D">
            <w:rPr>
              <w:rFonts w:asciiTheme="majorBidi" w:hAnsiTheme="majorBidi" w:cstheme="majorBidi"/>
              <w:noProof/>
              <w:sz w:val="24"/>
              <w:szCs w:val="24"/>
            </w:rPr>
            <w:fldChar w:fldCharType="begin"/>
          </w:r>
          <w:r w:rsidR="000F680D">
            <w:rPr>
              <w:rFonts w:asciiTheme="majorBidi" w:hAnsiTheme="majorBidi" w:cstheme="majorBidi"/>
              <w:noProof/>
              <w:sz w:val="24"/>
              <w:szCs w:val="24"/>
            </w:rPr>
            <w:instrText xml:space="preserve"> CITATION Son13 \l 2057 </w:instrText>
          </w:r>
          <w:r w:rsidR="000F680D">
            <w:rPr>
              <w:rFonts w:asciiTheme="majorBidi" w:hAnsiTheme="majorBidi" w:cstheme="majorBidi"/>
              <w:noProof/>
              <w:sz w:val="24"/>
              <w:szCs w:val="24"/>
            </w:rPr>
            <w:fldChar w:fldCharType="separate"/>
          </w:r>
          <w:r w:rsidR="000F680D" w:rsidRPr="000F60CD">
            <w:rPr>
              <w:rFonts w:asciiTheme="majorBidi" w:hAnsiTheme="majorBidi" w:cstheme="majorBidi"/>
              <w:noProof/>
              <w:sz w:val="24"/>
              <w:szCs w:val="24"/>
            </w:rPr>
            <w:t>(Son, Jin, &amp; George, 2013)</w:t>
          </w:r>
          <w:r w:rsidR="000F680D">
            <w:rPr>
              <w:rFonts w:asciiTheme="majorBidi" w:hAnsiTheme="majorBidi" w:cstheme="majorBidi"/>
              <w:noProof/>
              <w:sz w:val="24"/>
              <w:szCs w:val="24"/>
            </w:rPr>
            <w:fldChar w:fldCharType="end"/>
          </w:r>
        </w:sdtContent>
      </w:sdt>
      <w:r w:rsidR="000F680D">
        <w:rPr>
          <w:rFonts w:asciiTheme="majorBidi" w:hAnsiTheme="majorBidi" w:cstheme="majorBidi"/>
          <w:noProof/>
          <w:sz w:val="24"/>
          <w:szCs w:val="24"/>
        </w:rPr>
        <w:t>.</w:t>
      </w:r>
      <w:r w:rsidR="00724301">
        <w:rPr>
          <w:rFonts w:asciiTheme="majorBidi" w:hAnsiTheme="majorBidi" w:cstheme="majorBidi"/>
          <w:noProof/>
          <w:sz w:val="24"/>
          <w:szCs w:val="24"/>
        </w:rPr>
        <w:t xml:space="preserve"> It was aparent in literature that “attitude towards the brand” had a stronger influence on consumers’ purchase intentions</w:t>
      </w:r>
      <w:r w:rsidR="00724301" w:rsidRPr="002B5C5E">
        <w:rPr>
          <w:rFonts w:asciiTheme="majorBidi" w:hAnsiTheme="majorBidi" w:cstheme="majorBidi"/>
          <w:noProof/>
          <w:sz w:val="24"/>
          <w:szCs w:val="24"/>
        </w:rPr>
        <w:t xml:space="preserve"> </w:t>
      </w:r>
      <w:sdt>
        <w:sdtPr>
          <w:rPr>
            <w:rFonts w:asciiTheme="majorBidi" w:hAnsiTheme="majorBidi" w:cstheme="majorBidi"/>
            <w:noProof/>
            <w:sz w:val="24"/>
            <w:szCs w:val="24"/>
          </w:rPr>
          <w:id w:val="871029361"/>
          <w:citation/>
        </w:sdtPr>
        <w:sdtContent>
          <w:r w:rsidR="00724301">
            <w:rPr>
              <w:rFonts w:asciiTheme="majorBidi" w:hAnsiTheme="majorBidi" w:cstheme="majorBidi"/>
              <w:noProof/>
              <w:sz w:val="24"/>
              <w:szCs w:val="24"/>
            </w:rPr>
            <w:fldChar w:fldCharType="begin"/>
          </w:r>
          <w:r w:rsidR="00724301">
            <w:rPr>
              <w:rFonts w:asciiTheme="majorBidi" w:hAnsiTheme="majorBidi" w:cstheme="majorBidi"/>
              <w:noProof/>
              <w:sz w:val="24"/>
              <w:szCs w:val="24"/>
            </w:rPr>
            <w:instrText xml:space="preserve"> CITATION HeQ18 \l 2057  \m Son13</w:instrText>
          </w:r>
          <w:r w:rsidR="00724301">
            <w:rPr>
              <w:rFonts w:asciiTheme="majorBidi" w:hAnsiTheme="majorBidi" w:cstheme="majorBidi"/>
              <w:noProof/>
              <w:sz w:val="24"/>
              <w:szCs w:val="24"/>
            </w:rPr>
            <w:fldChar w:fldCharType="separate"/>
          </w:r>
          <w:r w:rsidR="00724301" w:rsidRPr="000F60CD">
            <w:rPr>
              <w:rFonts w:asciiTheme="majorBidi" w:hAnsiTheme="majorBidi" w:cstheme="majorBidi"/>
              <w:noProof/>
              <w:sz w:val="24"/>
              <w:szCs w:val="24"/>
            </w:rPr>
            <w:t>(He &amp; Qu, 2018; Son, Jin, &amp; George, 2013)</w:t>
          </w:r>
          <w:r w:rsidR="00724301">
            <w:rPr>
              <w:rFonts w:asciiTheme="majorBidi" w:hAnsiTheme="majorBidi" w:cstheme="majorBidi"/>
              <w:noProof/>
              <w:sz w:val="24"/>
              <w:szCs w:val="24"/>
            </w:rPr>
            <w:fldChar w:fldCharType="end"/>
          </w:r>
        </w:sdtContent>
      </w:sdt>
      <w:r w:rsidR="00724301">
        <w:rPr>
          <w:rFonts w:asciiTheme="majorBidi" w:hAnsiTheme="majorBidi" w:cstheme="majorBidi"/>
          <w:noProof/>
          <w:sz w:val="24"/>
          <w:szCs w:val="24"/>
        </w:rPr>
        <w:t xml:space="preserve">. </w:t>
      </w:r>
      <w:r w:rsidR="000F680D">
        <w:rPr>
          <w:rFonts w:asciiTheme="majorBidi" w:hAnsiTheme="majorBidi" w:cstheme="majorBidi"/>
          <w:noProof/>
          <w:sz w:val="24"/>
          <w:szCs w:val="24"/>
        </w:rPr>
        <w:t xml:space="preserve">In fact, attitudes </w:t>
      </w:r>
      <w:r w:rsidR="000F680D" w:rsidRPr="00F60616">
        <w:rPr>
          <w:rFonts w:asciiTheme="majorBidi" w:hAnsiTheme="majorBidi" w:cstheme="majorBidi"/>
          <w:noProof/>
          <w:sz w:val="24"/>
          <w:szCs w:val="24"/>
        </w:rPr>
        <w:t>towards the brand has an effect on low and high involvement products</w:t>
      </w:r>
      <w:r w:rsidR="000F680D" w:rsidRPr="000F680D">
        <w:rPr>
          <w:rFonts w:asciiTheme="majorBidi" w:hAnsiTheme="majorBidi" w:cstheme="majorBidi"/>
          <w:sz w:val="24"/>
          <w:szCs w:val="24"/>
        </w:rPr>
        <w:t xml:space="preserve"> </w:t>
      </w:r>
      <w:sdt>
        <w:sdtPr>
          <w:rPr>
            <w:rFonts w:asciiTheme="majorBidi" w:hAnsiTheme="majorBidi" w:cstheme="majorBidi"/>
            <w:sz w:val="24"/>
            <w:szCs w:val="24"/>
          </w:rPr>
          <w:id w:val="-1585053595"/>
          <w:citation/>
        </w:sdtPr>
        <w:sdtContent>
          <w:r w:rsidR="000F680D" w:rsidRPr="004C3D18">
            <w:rPr>
              <w:rFonts w:asciiTheme="majorBidi" w:hAnsiTheme="majorBidi" w:cstheme="majorBidi"/>
              <w:sz w:val="24"/>
              <w:szCs w:val="24"/>
            </w:rPr>
            <w:fldChar w:fldCharType="begin"/>
          </w:r>
          <w:r w:rsidR="000F680D" w:rsidRPr="004C3D18">
            <w:rPr>
              <w:rFonts w:asciiTheme="majorBidi" w:hAnsiTheme="majorBidi" w:cstheme="majorBidi"/>
              <w:b/>
              <w:bCs/>
              <w:sz w:val="24"/>
              <w:szCs w:val="24"/>
            </w:rPr>
            <w:instrText xml:space="preserve"> CITATION Gon201 \l 2057  \m Vas18</w:instrText>
          </w:r>
          <w:r w:rsidR="000F680D" w:rsidRPr="004C3D18">
            <w:rPr>
              <w:rFonts w:asciiTheme="majorBidi" w:hAnsiTheme="majorBidi" w:cstheme="majorBidi"/>
              <w:sz w:val="24"/>
              <w:szCs w:val="24"/>
            </w:rPr>
            <w:fldChar w:fldCharType="separate"/>
          </w:r>
          <w:r w:rsidR="000F680D" w:rsidRPr="004C3D18">
            <w:rPr>
              <w:rFonts w:asciiTheme="majorBidi" w:hAnsiTheme="majorBidi" w:cstheme="majorBidi"/>
              <w:noProof/>
              <w:sz w:val="24"/>
              <w:szCs w:val="24"/>
            </w:rPr>
            <w:t>(Gong, 2020; Vashist , 2018)</w:t>
          </w:r>
          <w:r w:rsidR="000F680D" w:rsidRPr="004C3D18">
            <w:rPr>
              <w:rFonts w:asciiTheme="majorBidi" w:hAnsiTheme="majorBidi" w:cstheme="majorBidi"/>
              <w:sz w:val="24"/>
              <w:szCs w:val="24"/>
            </w:rPr>
            <w:fldChar w:fldCharType="end"/>
          </w:r>
        </w:sdtContent>
      </w:sdt>
      <w:r w:rsidR="00CE3675">
        <w:rPr>
          <w:rFonts w:asciiTheme="majorBidi" w:hAnsiTheme="majorBidi" w:cstheme="majorBidi"/>
          <w:sz w:val="24"/>
          <w:szCs w:val="24"/>
        </w:rPr>
        <w:t xml:space="preserve"> which make them even more important to acknowledge and measure in the TRA</w:t>
      </w:r>
      <w:r w:rsidR="000F680D">
        <w:rPr>
          <w:rFonts w:asciiTheme="majorBidi" w:hAnsiTheme="majorBidi" w:cstheme="majorBidi"/>
          <w:noProof/>
          <w:sz w:val="24"/>
          <w:szCs w:val="24"/>
        </w:rPr>
        <w:t>.</w:t>
      </w:r>
      <w:r>
        <w:rPr>
          <w:rFonts w:asciiTheme="majorBidi" w:hAnsiTheme="majorBidi" w:cstheme="majorBidi"/>
          <w:noProof/>
          <w:sz w:val="24"/>
          <w:szCs w:val="24"/>
        </w:rPr>
        <w:t xml:space="preserve"> </w:t>
      </w:r>
      <w:r w:rsidR="004368FD">
        <w:rPr>
          <w:rFonts w:asciiTheme="majorBidi" w:hAnsiTheme="majorBidi" w:cstheme="majorBidi"/>
          <w:noProof/>
          <w:sz w:val="24"/>
          <w:szCs w:val="24"/>
        </w:rPr>
        <w:t xml:space="preserve">For that reason, this study examines the impact of brand attitudes on purchase intention in TRA instead of measuring </w:t>
      </w:r>
      <w:r w:rsidR="00CE3675">
        <w:rPr>
          <w:rFonts w:asciiTheme="majorBidi" w:hAnsiTheme="majorBidi" w:cstheme="majorBidi"/>
          <w:noProof/>
          <w:sz w:val="24"/>
          <w:szCs w:val="24"/>
        </w:rPr>
        <w:t xml:space="preserve">behavioural attitudes. Aditionally, the study does not examine a single brand attitude as a result of the communication strategies and media vehicles, but it examines different brand attitudes to identify the effects of different attitudes. </w:t>
      </w:r>
    </w:p>
    <w:p w14:paraId="51B11573" w14:textId="0533E921" w:rsidR="00F40843" w:rsidRPr="00724301" w:rsidRDefault="00EB1AA3" w:rsidP="00724301">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second determinant of TRA is subjective norms. </w:t>
      </w:r>
      <w:r w:rsidR="00970016">
        <w:rPr>
          <w:rFonts w:asciiTheme="majorBidi" w:hAnsiTheme="majorBidi" w:cstheme="majorBidi"/>
          <w:sz w:val="24"/>
          <w:szCs w:val="24"/>
        </w:rPr>
        <w:t xml:space="preserve">For consumer goods, subjective </w:t>
      </w:r>
      <w:r w:rsidR="00970016" w:rsidRPr="00F60616">
        <w:rPr>
          <w:rFonts w:asciiTheme="majorBidi" w:hAnsiTheme="majorBidi" w:cstheme="majorBidi"/>
          <w:sz w:val="24"/>
          <w:szCs w:val="24"/>
        </w:rPr>
        <w:t>norms may not have a direct influence on brand attitudes or purchase behaviour</w:t>
      </w:r>
      <w:sdt>
        <w:sdtPr>
          <w:rPr>
            <w:rFonts w:asciiTheme="majorBidi" w:hAnsiTheme="majorBidi" w:cstheme="majorBidi"/>
            <w:sz w:val="24"/>
            <w:szCs w:val="24"/>
          </w:rPr>
          <w:id w:val="1856384526"/>
          <w:citation/>
        </w:sdtPr>
        <w:sdtContent>
          <w:r w:rsidR="00970016" w:rsidRPr="00F60616">
            <w:rPr>
              <w:rFonts w:asciiTheme="majorBidi" w:hAnsiTheme="majorBidi" w:cstheme="majorBidi"/>
              <w:sz w:val="24"/>
              <w:szCs w:val="24"/>
            </w:rPr>
            <w:fldChar w:fldCharType="begin"/>
          </w:r>
          <w:r w:rsidR="00970016" w:rsidRPr="00F60616">
            <w:rPr>
              <w:rFonts w:asciiTheme="majorBidi" w:hAnsiTheme="majorBidi" w:cstheme="majorBidi"/>
              <w:sz w:val="24"/>
              <w:szCs w:val="24"/>
            </w:rPr>
            <w:instrText xml:space="preserve"> CITATION Mar15 \l 2057 </w:instrText>
          </w:r>
          <w:r w:rsidR="00970016" w:rsidRPr="00F60616">
            <w:rPr>
              <w:rFonts w:asciiTheme="majorBidi" w:hAnsiTheme="majorBidi" w:cstheme="majorBidi"/>
              <w:sz w:val="24"/>
              <w:szCs w:val="24"/>
            </w:rPr>
            <w:fldChar w:fldCharType="separate"/>
          </w:r>
          <w:r w:rsidR="00970016" w:rsidRPr="00F60616">
            <w:rPr>
              <w:rFonts w:asciiTheme="majorBidi" w:hAnsiTheme="majorBidi" w:cstheme="majorBidi"/>
              <w:noProof/>
              <w:sz w:val="24"/>
              <w:szCs w:val="24"/>
            </w:rPr>
            <w:t xml:space="preserve"> (Martinho , Pires, Portela, &amp; Fonseca, 2015)</w:t>
          </w:r>
          <w:r w:rsidR="00970016" w:rsidRPr="00F60616">
            <w:rPr>
              <w:rFonts w:asciiTheme="majorBidi" w:hAnsiTheme="majorBidi" w:cstheme="majorBidi"/>
              <w:sz w:val="24"/>
              <w:szCs w:val="24"/>
            </w:rPr>
            <w:fldChar w:fldCharType="end"/>
          </w:r>
        </w:sdtContent>
      </w:sdt>
      <w:r w:rsidR="00970016">
        <w:rPr>
          <w:rFonts w:asciiTheme="majorBidi" w:hAnsiTheme="majorBidi" w:cstheme="majorBidi"/>
          <w:sz w:val="24"/>
          <w:szCs w:val="24"/>
        </w:rPr>
        <w:t xml:space="preserve">. </w:t>
      </w:r>
      <w:r w:rsidR="005D5B74">
        <w:rPr>
          <w:rFonts w:asciiTheme="majorBidi" w:hAnsiTheme="majorBidi" w:cstheme="majorBidi"/>
          <w:sz w:val="24"/>
          <w:szCs w:val="24"/>
        </w:rPr>
        <w:t>In fact, the relationship between social norms and purchase intentions is only significant if individuals perceive that the behaviour will impact their image within a group</w:t>
      </w:r>
      <w:sdt>
        <w:sdtPr>
          <w:rPr>
            <w:rFonts w:asciiTheme="majorBidi" w:hAnsiTheme="majorBidi" w:cstheme="majorBidi"/>
            <w:sz w:val="24"/>
            <w:szCs w:val="24"/>
          </w:rPr>
          <w:id w:val="1208601618"/>
          <w:citation/>
        </w:sdtPr>
        <w:sdtContent>
          <w:r w:rsidR="005D5B74">
            <w:rPr>
              <w:rFonts w:asciiTheme="majorBidi" w:hAnsiTheme="majorBidi" w:cstheme="majorBidi"/>
              <w:sz w:val="24"/>
              <w:szCs w:val="24"/>
            </w:rPr>
            <w:fldChar w:fldCharType="begin"/>
          </w:r>
          <w:r w:rsidR="005D5B74">
            <w:rPr>
              <w:rFonts w:asciiTheme="majorBidi" w:hAnsiTheme="majorBidi" w:cstheme="majorBidi"/>
              <w:sz w:val="24"/>
              <w:szCs w:val="24"/>
            </w:rPr>
            <w:instrText xml:space="preserve"> CITATION Boz20 \l 2057 </w:instrText>
          </w:r>
          <w:r w:rsidR="005D5B74">
            <w:rPr>
              <w:rFonts w:asciiTheme="majorBidi" w:hAnsiTheme="majorBidi" w:cstheme="majorBidi"/>
              <w:sz w:val="24"/>
              <w:szCs w:val="24"/>
            </w:rPr>
            <w:fldChar w:fldCharType="separate"/>
          </w:r>
          <w:r w:rsidR="005D5B74">
            <w:rPr>
              <w:rFonts w:asciiTheme="majorBidi" w:hAnsiTheme="majorBidi" w:cstheme="majorBidi"/>
              <w:noProof/>
              <w:sz w:val="24"/>
              <w:szCs w:val="24"/>
            </w:rPr>
            <w:t xml:space="preserve"> </w:t>
          </w:r>
          <w:r w:rsidR="005D5B74" w:rsidRPr="005D5B74">
            <w:rPr>
              <w:rFonts w:asciiTheme="majorBidi" w:hAnsiTheme="majorBidi" w:cstheme="majorBidi"/>
              <w:noProof/>
              <w:sz w:val="24"/>
              <w:szCs w:val="24"/>
            </w:rPr>
            <w:t>(Boz, Korhonen, &amp; Sand, 2020)</w:t>
          </w:r>
          <w:r w:rsidR="005D5B74">
            <w:rPr>
              <w:rFonts w:asciiTheme="majorBidi" w:hAnsiTheme="majorBidi" w:cstheme="majorBidi"/>
              <w:sz w:val="24"/>
              <w:szCs w:val="24"/>
            </w:rPr>
            <w:fldChar w:fldCharType="end"/>
          </w:r>
        </w:sdtContent>
      </w:sdt>
      <w:r w:rsidR="005D5B74">
        <w:rPr>
          <w:rFonts w:asciiTheme="majorBidi" w:hAnsiTheme="majorBidi" w:cstheme="majorBidi"/>
          <w:sz w:val="24"/>
          <w:szCs w:val="24"/>
        </w:rPr>
        <w:t xml:space="preserve">. </w:t>
      </w:r>
      <w:r>
        <w:rPr>
          <w:rFonts w:asciiTheme="majorBidi" w:hAnsiTheme="majorBidi" w:cstheme="majorBidi"/>
          <w:sz w:val="24"/>
          <w:szCs w:val="24"/>
        </w:rPr>
        <w:t>Furthermore</w:t>
      </w:r>
      <w:r w:rsidR="005D5B74">
        <w:rPr>
          <w:rFonts w:asciiTheme="majorBidi" w:hAnsiTheme="majorBidi" w:cstheme="majorBidi"/>
          <w:sz w:val="24"/>
          <w:szCs w:val="24"/>
        </w:rPr>
        <w:t xml:space="preserve">, it has been evident in literature </w:t>
      </w:r>
      <w:r w:rsidR="005D5B74" w:rsidRPr="00F60616">
        <w:rPr>
          <w:rFonts w:asciiTheme="majorBidi" w:hAnsiTheme="majorBidi" w:cstheme="majorBidi"/>
          <w:sz w:val="24"/>
          <w:szCs w:val="24"/>
        </w:rPr>
        <w:t>that personal norms can be more dominant over social norms</w:t>
      </w:r>
      <w:r w:rsidR="00724301" w:rsidRPr="00F60616">
        <w:rPr>
          <w:rFonts w:asciiTheme="majorBidi" w:hAnsiTheme="majorBidi" w:cstheme="majorBidi"/>
          <w:sz w:val="24"/>
          <w:szCs w:val="24"/>
        </w:rPr>
        <w:t xml:space="preserve"> in certain product types</w:t>
      </w:r>
      <w:r w:rsidR="00DB3858" w:rsidRPr="00F60616">
        <w:rPr>
          <w:rFonts w:asciiTheme="majorBidi" w:hAnsiTheme="majorBidi" w:cstheme="majorBidi"/>
          <w:sz w:val="24"/>
          <w:szCs w:val="24"/>
        </w:rPr>
        <w:t xml:space="preserve"> </w:t>
      </w:r>
      <w:sdt>
        <w:sdtPr>
          <w:rPr>
            <w:rFonts w:asciiTheme="majorBidi" w:hAnsiTheme="majorBidi" w:cstheme="majorBidi"/>
            <w:sz w:val="24"/>
            <w:szCs w:val="24"/>
          </w:rPr>
          <w:id w:val="585124185"/>
          <w:citation/>
        </w:sdtPr>
        <w:sdtContent>
          <w:r w:rsidR="00DB3858" w:rsidRPr="00F60616">
            <w:rPr>
              <w:rFonts w:asciiTheme="majorBidi" w:hAnsiTheme="majorBidi" w:cstheme="majorBidi"/>
              <w:sz w:val="24"/>
              <w:szCs w:val="24"/>
            </w:rPr>
            <w:fldChar w:fldCharType="begin"/>
          </w:r>
          <w:r w:rsidR="00DB3858" w:rsidRPr="00F60616">
            <w:rPr>
              <w:rFonts w:asciiTheme="majorBidi" w:hAnsiTheme="majorBidi" w:cstheme="majorBidi"/>
              <w:sz w:val="24"/>
              <w:szCs w:val="24"/>
            </w:rPr>
            <w:instrText xml:space="preserve"> CITATION Elg16 \l 2057 </w:instrText>
          </w:r>
          <w:r w:rsidR="008823ED" w:rsidRPr="00F60616">
            <w:rPr>
              <w:rFonts w:asciiTheme="majorBidi" w:hAnsiTheme="majorBidi" w:cstheme="majorBidi"/>
              <w:sz w:val="24"/>
              <w:szCs w:val="24"/>
            </w:rPr>
            <w:instrText xml:space="preserve"> \m One16</w:instrText>
          </w:r>
          <w:r w:rsidR="00DB3858" w:rsidRPr="00F60616">
            <w:rPr>
              <w:rFonts w:asciiTheme="majorBidi" w:hAnsiTheme="majorBidi" w:cstheme="majorBidi"/>
              <w:sz w:val="24"/>
              <w:szCs w:val="24"/>
            </w:rPr>
            <w:fldChar w:fldCharType="separate"/>
          </w:r>
          <w:r w:rsidR="008823ED" w:rsidRPr="00F60616">
            <w:rPr>
              <w:rFonts w:asciiTheme="majorBidi" w:hAnsiTheme="majorBidi" w:cstheme="majorBidi"/>
              <w:noProof/>
              <w:sz w:val="24"/>
              <w:szCs w:val="24"/>
            </w:rPr>
            <w:t>(Elg &amp; Hultman, 2016; Onel, 2016)</w:t>
          </w:r>
          <w:r w:rsidR="00DB3858" w:rsidRPr="00F60616">
            <w:rPr>
              <w:rFonts w:asciiTheme="majorBidi" w:hAnsiTheme="majorBidi" w:cstheme="majorBidi"/>
              <w:sz w:val="24"/>
              <w:szCs w:val="24"/>
            </w:rPr>
            <w:fldChar w:fldCharType="end"/>
          </w:r>
        </w:sdtContent>
      </w:sdt>
      <w:r w:rsidR="005D5B74" w:rsidRPr="00F60616">
        <w:rPr>
          <w:rFonts w:asciiTheme="majorBidi" w:hAnsiTheme="majorBidi" w:cstheme="majorBidi"/>
          <w:sz w:val="24"/>
          <w:szCs w:val="24"/>
        </w:rPr>
        <w:t xml:space="preserve">. </w:t>
      </w:r>
      <w:r w:rsidR="00DB3858" w:rsidRPr="00F60616">
        <w:rPr>
          <w:rFonts w:asciiTheme="majorBidi" w:hAnsiTheme="majorBidi" w:cstheme="majorBidi"/>
          <w:sz w:val="24"/>
          <w:szCs w:val="24"/>
        </w:rPr>
        <w:t>In other words, social pressure is lightly considered when purchasing low involvement products</w:t>
      </w:r>
      <w:sdt>
        <w:sdtPr>
          <w:rPr>
            <w:rFonts w:asciiTheme="majorBidi" w:hAnsiTheme="majorBidi" w:cstheme="majorBidi"/>
            <w:sz w:val="24"/>
            <w:szCs w:val="24"/>
          </w:rPr>
          <w:id w:val="1153568307"/>
          <w:citation/>
        </w:sdtPr>
        <w:sdtContent>
          <w:r w:rsidR="00DB3858">
            <w:rPr>
              <w:rFonts w:asciiTheme="majorBidi" w:hAnsiTheme="majorBidi" w:cstheme="majorBidi"/>
              <w:sz w:val="24"/>
              <w:szCs w:val="24"/>
            </w:rPr>
            <w:fldChar w:fldCharType="begin"/>
          </w:r>
          <w:r w:rsidR="00DB3858">
            <w:rPr>
              <w:rFonts w:asciiTheme="majorBidi" w:hAnsiTheme="majorBidi" w:cstheme="majorBidi"/>
              <w:sz w:val="24"/>
              <w:szCs w:val="24"/>
            </w:rPr>
            <w:instrText xml:space="preserve"> CITATION Elg16 \l 2057 </w:instrText>
          </w:r>
          <w:r w:rsidR="00DB3858">
            <w:rPr>
              <w:rFonts w:asciiTheme="majorBidi" w:hAnsiTheme="majorBidi" w:cstheme="majorBidi"/>
              <w:sz w:val="24"/>
              <w:szCs w:val="24"/>
            </w:rPr>
            <w:fldChar w:fldCharType="separate"/>
          </w:r>
          <w:r w:rsidR="00DB3858">
            <w:rPr>
              <w:rFonts w:asciiTheme="majorBidi" w:hAnsiTheme="majorBidi" w:cstheme="majorBidi"/>
              <w:noProof/>
              <w:sz w:val="24"/>
              <w:szCs w:val="24"/>
            </w:rPr>
            <w:t xml:space="preserve"> </w:t>
          </w:r>
          <w:r w:rsidR="00DB3858" w:rsidRPr="00DB3858">
            <w:rPr>
              <w:rFonts w:asciiTheme="majorBidi" w:hAnsiTheme="majorBidi" w:cstheme="majorBidi"/>
              <w:noProof/>
              <w:sz w:val="24"/>
              <w:szCs w:val="24"/>
            </w:rPr>
            <w:t>(Elg &amp; Hultman, 2016)</w:t>
          </w:r>
          <w:r w:rsidR="00DB3858">
            <w:rPr>
              <w:rFonts w:asciiTheme="majorBidi" w:hAnsiTheme="majorBidi" w:cstheme="majorBidi"/>
              <w:sz w:val="24"/>
              <w:szCs w:val="24"/>
            </w:rPr>
            <w:fldChar w:fldCharType="end"/>
          </w:r>
        </w:sdtContent>
      </w:sdt>
      <w:r w:rsidR="00DB3858">
        <w:rPr>
          <w:rFonts w:asciiTheme="majorBidi" w:hAnsiTheme="majorBidi" w:cstheme="majorBidi"/>
          <w:sz w:val="24"/>
          <w:szCs w:val="24"/>
        </w:rPr>
        <w:t xml:space="preserve">. </w:t>
      </w:r>
      <w:r w:rsidR="009C0E1C">
        <w:rPr>
          <w:rFonts w:asciiTheme="majorBidi" w:hAnsiTheme="majorBidi" w:cstheme="majorBidi"/>
          <w:sz w:val="24"/>
          <w:szCs w:val="24"/>
        </w:rPr>
        <w:t xml:space="preserve">This makes Ajzen’s original definition of subjective norms that </w:t>
      </w:r>
      <w:r w:rsidR="00C52EF7">
        <w:rPr>
          <w:rFonts w:asciiTheme="majorBidi" w:hAnsiTheme="majorBidi" w:cstheme="majorBidi"/>
          <w:sz w:val="24"/>
          <w:szCs w:val="24"/>
        </w:rPr>
        <w:t>pertains</w:t>
      </w:r>
      <w:r w:rsidR="009C0E1C">
        <w:rPr>
          <w:rFonts w:asciiTheme="majorBidi" w:hAnsiTheme="majorBidi" w:cstheme="majorBidi"/>
          <w:sz w:val="24"/>
          <w:szCs w:val="24"/>
        </w:rPr>
        <w:t xml:space="preserve"> to individual’s personal beliefs </w:t>
      </w:r>
      <w:sdt>
        <w:sdtPr>
          <w:rPr>
            <w:rFonts w:asciiTheme="majorBidi" w:hAnsiTheme="majorBidi" w:cstheme="majorBidi"/>
            <w:sz w:val="24"/>
            <w:szCs w:val="24"/>
          </w:rPr>
          <w:id w:val="583257976"/>
          <w:citation/>
        </w:sdtPr>
        <w:sdtContent>
          <w:r w:rsidR="009C0E1C">
            <w:rPr>
              <w:rFonts w:asciiTheme="majorBidi" w:hAnsiTheme="majorBidi" w:cstheme="majorBidi"/>
              <w:sz w:val="24"/>
              <w:szCs w:val="24"/>
            </w:rPr>
            <w:fldChar w:fldCharType="begin"/>
          </w:r>
          <w:r w:rsidR="009C0E1C">
            <w:rPr>
              <w:rFonts w:asciiTheme="majorBidi" w:hAnsiTheme="majorBidi" w:cstheme="majorBidi"/>
              <w:sz w:val="24"/>
              <w:szCs w:val="24"/>
            </w:rPr>
            <w:instrText xml:space="preserve">CITATION Ajz88 \t  \l 2057 </w:instrText>
          </w:r>
          <w:r w:rsidR="009C0E1C">
            <w:rPr>
              <w:rFonts w:asciiTheme="majorBidi" w:hAnsiTheme="majorBidi" w:cstheme="majorBidi"/>
              <w:sz w:val="24"/>
              <w:szCs w:val="24"/>
            </w:rPr>
            <w:fldChar w:fldCharType="separate"/>
          </w:r>
          <w:r w:rsidR="009C0E1C" w:rsidRPr="004A3141">
            <w:rPr>
              <w:rFonts w:asciiTheme="majorBidi" w:hAnsiTheme="majorBidi" w:cstheme="majorBidi"/>
              <w:noProof/>
              <w:sz w:val="24"/>
              <w:szCs w:val="24"/>
            </w:rPr>
            <w:t>(Ajzen I. , 1988)</w:t>
          </w:r>
          <w:r w:rsidR="009C0E1C">
            <w:rPr>
              <w:rFonts w:asciiTheme="majorBidi" w:hAnsiTheme="majorBidi" w:cstheme="majorBidi"/>
              <w:sz w:val="24"/>
              <w:szCs w:val="24"/>
            </w:rPr>
            <w:fldChar w:fldCharType="end"/>
          </w:r>
        </w:sdtContent>
      </w:sdt>
      <w:r w:rsidR="00C52EF7">
        <w:rPr>
          <w:rFonts w:asciiTheme="majorBidi" w:hAnsiTheme="majorBidi" w:cstheme="majorBidi"/>
          <w:sz w:val="24"/>
          <w:szCs w:val="24"/>
        </w:rPr>
        <w:t>, a better fit for this study</w:t>
      </w:r>
      <w:r w:rsidR="009C0E1C">
        <w:rPr>
          <w:rFonts w:asciiTheme="majorBidi" w:hAnsiTheme="majorBidi" w:cstheme="majorBidi"/>
          <w:sz w:val="24"/>
          <w:szCs w:val="24"/>
        </w:rPr>
        <w:t>.</w:t>
      </w:r>
      <w:r w:rsidR="00724301">
        <w:rPr>
          <w:rFonts w:asciiTheme="majorBidi" w:hAnsiTheme="majorBidi" w:cstheme="majorBidi"/>
          <w:sz w:val="24"/>
          <w:szCs w:val="24"/>
        </w:rPr>
        <w:t xml:space="preserve"> Thus</w:t>
      </w:r>
      <w:r w:rsidR="00131699">
        <w:rPr>
          <w:rFonts w:asciiTheme="majorBidi" w:hAnsiTheme="majorBidi" w:cstheme="majorBidi"/>
          <w:sz w:val="24"/>
          <w:szCs w:val="24"/>
        </w:rPr>
        <w:t>, this study</w:t>
      </w:r>
      <w:r w:rsidR="00724301">
        <w:rPr>
          <w:rFonts w:asciiTheme="majorBidi" w:hAnsiTheme="majorBidi" w:cstheme="majorBidi"/>
          <w:sz w:val="24"/>
          <w:szCs w:val="24"/>
        </w:rPr>
        <w:t xml:space="preserve"> </w:t>
      </w:r>
      <w:r w:rsidR="00131699">
        <w:rPr>
          <w:rFonts w:asciiTheme="majorBidi" w:hAnsiTheme="majorBidi" w:cstheme="majorBidi"/>
          <w:sz w:val="24"/>
          <w:szCs w:val="24"/>
        </w:rPr>
        <w:t>utilise</w:t>
      </w:r>
      <w:r w:rsidR="00724301">
        <w:rPr>
          <w:rFonts w:asciiTheme="majorBidi" w:hAnsiTheme="majorBidi" w:cstheme="majorBidi"/>
          <w:sz w:val="24"/>
          <w:szCs w:val="24"/>
        </w:rPr>
        <w:t>s</w:t>
      </w:r>
      <w:r w:rsidR="00131699">
        <w:rPr>
          <w:rFonts w:asciiTheme="majorBidi" w:hAnsiTheme="majorBidi" w:cstheme="majorBidi"/>
          <w:sz w:val="24"/>
          <w:szCs w:val="24"/>
        </w:rPr>
        <w:t xml:space="preserve"> CSR perception as the norm that may impact brand attitudes and purchase intention. </w:t>
      </w:r>
      <w:r w:rsidR="00F40843" w:rsidRPr="00724301">
        <w:rPr>
          <w:rFonts w:asciiTheme="majorBidi" w:hAnsiTheme="majorBidi" w:cstheme="majorBidi"/>
          <w:sz w:val="24"/>
          <w:szCs w:val="24"/>
        </w:rPr>
        <w:t xml:space="preserve">Accordingly, to provide wholesome substantial discussions and theoretical contributions, this study measures the impact of </w:t>
      </w:r>
      <w:r w:rsidR="00AD5830" w:rsidRPr="00724301">
        <w:rPr>
          <w:rFonts w:asciiTheme="majorBidi" w:hAnsiTheme="majorBidi" w:cstheme="majorBidi"/>
          <w:sz w:val="24"/>
          <w:szCs w:val="24"/>
        </w:rPr>
        <w:t>CSR perception (norms) and</w:t>
      </w:r>
      <w:r w:rsidR="00AD5830">
        <w:rPr>
          <w:rFonts w:asciiTheme="majorBidi" w:hAnsiTheme="majorBidi" w:cstheme="majorBidi"/>
          <w:sz w:val="24"/>
          <w:szCs w:val="24"/>
        </w:rPr>
        <w:t xml:space="preserve"> </w:t>
      </w:r>
      <w:r w:rsidR="00577EC3">
        <w:rPr>
          <w:rFonts w:asciiTheme="majorBidi" w:hAnsiTheme="majorBidi" w:cstheme="majorBidi"/>
          <w:sz w:val="24"/>
          <w:szCs w:val="24"/>
        </w:rPr>
        <w:t xml:space="preserve">different brand attitudes such as </w:t>
      </w:r>
      <w:r w:rsidR="00F40843">
        <w:rPr>
          <w:rFonts w:ascii="Georgia" w:hAnsi="Georgia"/>
          <w:color w:val="2E2E2E"/>
        </w:rPr>
        <w:t>ad likeability, emotional brand attachment</w:t>
      </w:r>
      <w:r w:rsidR="00724301">
        <w:rPr>
          <w:rFonts w:ascii="Georgia" w:hAnsi="Georgia"/>
          <w:color w:val="2E2E2E"/>
        </w:rPr>
        <w:t xml:space="preserve">, </w:t>
      </w:r>
      <w:r w:rsidR="00F40843">
        <w:rPr>
          <w:rFonts w:ascii="Georgia" w:hAnsi="Georgia"/>
          <w:color w:val="2E2E2E"/>
        </w:rPr>
        <w:t>brand likeability, brand trust and perceived brand functionality on purchase intention.</w:t>
      </w:r>
      <w:r w:rsidR="00F64A25">
        <w:rPr>
          <w:rFonts w:ascii="Georgia" w:hAnsi="Georgia"/>
          <w:color w:val="2E2E2E"/>
        </w:rPr>
        <w:t xml:space="preserve"> </w:t>
      </w:r>
      <w:r w:rsidR="00F64A25" w:rsidRPr="00724301">
        <w:rPr>
          <w:rFonts w:asciiTheme="majorBidi" w:hAnsiTheme="majorBidi" w:cstheme="majorBidi"/>
          <w:color w:val="2E2E2E"/>
          <w:sz w:val="24"/>
          <w:szCs w:val="24"/>
        </w:rPr>
        <w:t xml:space="preserve">Figure </w:t>
      </w:r>
      <w:r w:rsidR="0040301C">
        <w:rPr>
          <w:rFonts w:asciiTheme="majorBidi" w:hAnsiTheme="majorBidi" w:cstheme="majorBidi"/>
          <w:color w:val="2E2E2E"/>
          <w:sz w:val="24"/>
          <w:szCs w:val="24"/>
        </w:rPr>
        <w:t>6</w:t>
      </w:r>
      <w:r w:rsidR="00F64A25" w:rsidRPr="00724301">
        <w:rPr>
          <w:rFonts w:asciiTheme="majorBidi" w:hAnsiTheme="majorBidi" w:cstheme="majorBidi"/>
          <w:color w:val="2E2E2E"/>
          <w:sz w:val="24"/>
          <w:szCs w:val="24"/>
        </w:rPr>
        <w:t xml:space="preserve"> demonstrates the application of TRA in this study.</w:t>
      </w:r>
      <w:r w:rsidR="00F40843" w:rsidRPr="00724301">
        <w:rPr>
          <w:rFonts w:asciiTheme="majorBidi" w:hAnsiTheme="majorBidi" w:cstheme="majorBidi"/>
          <w:color w:val="2E2E2E"/>
          <w:sz w:val="24"/>
          <w:szCs w:val="24"/>
        </w:rPr>
        <w:t xml:space="preserve"> Thus, based on TRA, this thesis raises the following hypothesis statement: </w:t>
      </w:r>
    </w:p>
    <w:p w14:paraId="7F2FE865" w14:textId="58E09A42" w:rsidR="00F40843" w:rsidRPr="00D03698" w:rsidRDefault="00F40843" w:rsidP="00F40843">
      <w:pPr>
        <w:adjustRightInd w:val="0"/>
        <w:spacing w:after="0" w:line="480" w:lineRule="auto"/>
        <w:ind w:firstLine="720"/>
        <w:rPr>
          <w:rFonts w:asciiTheme="majorBidi" w:hAnsiTheme="majorBidi" w:cstheme="majorBidi"/>
          <w:color w:val="2E2E2E"/>
          <w:sz w:val="24"/>
          <w:szCs w:val="24"/>
        </w:rPr>
      </w:pPr>
      <w:bookmarkStart w:id="113" w:name="_Hlk145537495"/>
      <w:r w:rsidRPr="00D03698">
        <w:rPr>
          <w:rFonts w:asciiTheme="majorBidi" w:hAnsiTheme="majorBidi" w:cstheme="majorBidi"/>
          <w:color w:val="2E2E2E"/>
          <w:sz w:val="24"/>
          <w:szCs w:val="24"/>
        </w:rPr>
        <w:t>H8: Ad likeability, emotional brand attachment, brand likeability, brand trust and perceived brand functionality ha</w:t>
      </w:r>
      <w:r w:rsidR="00577EC3" w:rsidRPr="00D03698">
        <w:rPr>
          <w:rFonts w:asciiTheme="majorBidi" w:hAnsiTheme="majorBidi" w:cstheme="majorBidi"/>
          <w:color w:val="2E2E2E"/>
          <w:sz w:val="24"/>
          <w:szCs w:val="24"/>
        </w:rPr>
        <w:t>ve</w:t>
      </w:r>
      <w:r w:rsidRPr="00D03698">
        <w:rPr>
          <w:rFonts w:asciiTheme="majorBidi" w:hAnsiTheme="majorBidi" w:cstheme="majorBidi"/>
          <w:color w:val="2E2E2E"/>
          <w:sz w:val="24"/>
          <w:szCs w:val="24"/>
        </w:rPr>
        <w:t xml:space="preserve"> a positive impact on purchase intention of Egyptian consumers.</w:t>
      </w:r>
    </w:p>
    <w:bookmarkEnd w:id="113"/>
    <w:p w14:paraId="3005FA82" w14:textId="77777777" w:rsidR="0095546F" w:rsidRDefault="00BE4AE5" w:rsidP="0095546F">
      <w:pPr>
        <w:keepNext/>
        <w:spacing w:after="0" w:line="240" w:lineRule="auto"/>
      </w:pPr>
      <w:r w:rsidRPr="00BE4AE5">
        <w:rPr>
          <w:rFonts w:ascii="Times New Roman" w:eastAsia="Times New Roman" w:hAnsi="Times New Roman" w:cs="Times New Roman"/>
          <w:noProof/>
          <w:kern w:val="0"/>
          <w:sz w:val="24"/>
          <w:szCs w:val="24"/>
          <w:lang w:eastAsia="en-GB"/>
          <w14:ligatures w14:val="none"/>
        </w:rPr>
        <w:drawing>
          <wp:inline distT="0" distB="0" distL="0" distR="0" wp14:anchorId="4A178EA5" wp14:editId="2084C9FD">
            <wp:extent cx="2178996" cy="2234279"/>
            <wp:effectExtent l="0" t="0" r="0" b="0"/>
            <wp:docPr id="27569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354" cy="2265407"/>
                    </a:xfrm>
                    <a:prstGeom prst="rect">
                      <a:avLst/>
                    </a:prstGeom>
                    <a:noFill/>
                    <a:ln>
                      <a:noFill/>
                    </a:ln>
                  </pic:spPr>
                </pic:pic>
              </a:graphicData>
            </a:graphic>
          </wp:inline>
        </w:drawing>
      </w:r>
    </w:p>
    <w:p w14:paraId="04C820CB" w14:textId="07FCAB1A" w:rsidR="00BE4AE5" w:rsidRPr="00BE4AE5" w:rsidRDefault="0095546F" w:rsidP="0095546F">
      <w:pPr>
        <w:pStyle w:val="Caption"/>
        <w:rPr>
          <w:rFonts w:ascii="Times New Roman" w:eastAsia="Times New Roman" w:hAnsi="Times New Roman" w:cs="Times New Roman"/>
          <w:kern w:val="0"/>
          <w:sz w:val="24"/>
          <w:szCs w:val="24"/>
          <w:lang w:eastAsia="en-GB"/>
          <w14:ligatures w14:val="none"/>
        </w:rPr>
      </w:pPr>
      <w:r>
        <w:t xml:space="preserve">Figure 6 Application of TRA </w:t>
      </w:r>
    </w:p>
    <w:p w14:paraId="29070F7A" w14:textId="77777777" w:rsidR="00F64A25" w:rsidRPr="00F64A25" w:rsidRDefault="00F64A25" w:rsidP="00F64A25">
      <w:pPr>
        <w:spacing w:after="0" w:line="240" w:lineRule="auto"/>
        <w:rPr>
          <w:rFonts w:ascii="Times New Roman" w:eastAsia="Times New Roman" w:hAnsi="Times New Roman" w:cs="Times New Roman"/>
          <w:kern w:val="0"/>
          <w:sz w:val="24"/>
          <w:szCs w:val="24"/>
          <w:lang w:eastAsia="en-GB"/>
          <w14:ligatures w14:val="none"/>
        </w:rPr>
      </w:pPr>
    </w:p>
    <w:p w14:paraId="61130F76" w14:textId="1091D73C" w:rsidR="00294CC2" w:rsidRDefault="00724301" w:rsidP="00F40843">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Some </w:t>
      </w:r>
      <w:r w:rsidR="00EB45E2">
        <w:rPr>
          <w:rFonts w:asciiTheme="majorBidi" w:hAnsiTheme="majorBidi" w:cstheme="majorBidi"/>
          <w:sz w:val="24"/>
          <w:szCs w:val="24"/>
        </w:rPr>
        <w:t>researchers examined the effects of attitudes and norms on behavioural intentions using the structural equation model (SEM) to measure relationships between variables</w:t>
      </w:r>
      <w:sdt>
        <w:sdtPr>
          <w:rPr>
            <w:rFonts w:asciiTheme="majorBidi" w:hAnsiTheme="majorBidi" w:cstheme="majorBidi"/>
            <w:sz w:val="24"/>
            <w:szCs w:val="24"/>
          </w:rPr>
          <w:id w:val="1906180506"/>
          <w:citation/>
        </w:sdtPr>
        <w:sdtContent>
          <w:r w:rsidR="00EB45E2">
            <w:rPr>
              <w:rFonts w:asciiTheme="majorBidi" w:hAnsiTheme="majorBidi" w:cstheme="majorBidi"/>
              <w:sz w:val="24"/>
              <w:szCs w:val="24"/>
            </w:rPr>
            <w:fldChar w:fldCharType="begin"/>
          </w:r>
          <w:r w:rsidR="00EB45E2">
            <w:rPr>
              <w:rFonts w:asciiTheme="majorBidi" w:hAnsiTheme="majorBidi" w:cstheme="majorBidi"/>
              <w:sz w:val="24"/>
              <w:szCs w:val="24"/>
            </w:rPr>
            <w:instrText xml:space="preserve">CITATION Gun221 \t  \l 2057 </w:instrText>
          </w:r>
          <w:r w:rsidR="00EB45E2">
            <w:rPr>
              <w:rFonts w:asciiTheme="majorBidi" w:hAnsiTheme="majorBidi" w:cstheme="majorBidi"/>
              <w:sz w:val="24"/>
              <w:szCs w:val="24"/>
            </w:rPr>
            <w:fldChar w:fldCharType="separate"/>
          </w:r>
          <w:r w:rsidR="00EB45E2">
            <w:rPr>
              <w:rFonts w:asciiTheme="majorBidi" w:hAnsiTheme="majorBidi" w:cstheme="majorBidi"/>
              <w:noProof/>
              <w:sz w:val="24"/>
              <w:szCs w:val="24"/>
            </w:rPr>
            <w:t xml:space="preserve"> </w:t>
          </w:r>
          <w:r w:rsidR="00EB45E2" w:rsidRPr="00EB45E2">
            <w:rPr>
              <w:rFonts w:asciiTheme="majorBidi" w:hAnsiTheme="majorBidi" w:cstheme="majorBidi"/>
              <w:noProof/>
              <w:sz w:val="24"/>
              <w:szCs w:val="24"/>
            </w:rPr>
            <w:t>(Gundala, Nawaz, M, Boobalan, &amp; Gajenderan , 2022)</w:t>
          </w:r>
          <w:r w:rsidR="00EB45E2">
            <w:rPr>
              <w:rFonts w:asciiTheme="majorBidi" w:hAnsiTheme="majorBidi" w:cstheme="majorBidi"/>
              <w:sz w:val="24"/>
              <w:szCs w:val="24"/>
            </w:rPr>
            <w:fldChar w:fldCharType="end"/>
          </w:r>
        </w:sdtContent>
      </w:sdt>
      <w:r w:rsidR="00EB45E2">
        <w:rPr>
          <w:rFonts w:asciiTheme="majorBidi" w:hAnsiTheme="majorBidi" w:cstheme="majorBidi"/>
          <w:sz w:val="24"/>
          <w:szCs w:val="24"/>
        </w:rPr>
        <w:t xml:space="preserve">. SEM appears to be most suitable for the application of TRA </w:t>
      </w:r>
      <w:r>
        <w:rPr>
          <w:rFonts w:asciiTheme="majorBidi" w:hAnsiTheme="majorBidi" w:cstheme="majorBidi"/>
          <w:sz w:val="24"/>
          <w:szCs w:val="24"/>
        </w:rPr>
        <w:t xml:space="preserve">in this study as it has </w:t>
      </w:r>
      <w:r w:rsidR="00EB45E2">
        <w:rPr>
          <w:rFonts w:asciiTheme="majorBidi" w:hAnsiTheme="majorBidi" w:cstheme="majorBidi"/>
          <w:sz w:val="24"/>
          <w:szCs w:val="24"/>
        </w:rPr>
        <w:t>several</w:t>
      </w:r>
      <w:r>
        <w:rPr>
          <w:rFonts w:asciiTheme="majorBidi" w:hAnsiTheme="majorBidi" w:cstheme="majorBidi"/>
          <w:sz w:val="24"/>
          <w:szCs w:val="24"/>
        </w:rPr>
        <w:t xml:space="preserve"> </w:t>
      </w:r>
      <w:r w:rsidR="00EB45E2">
        <w:rPr>
          <w:rFonts w:asciiTheme="majorBidi" w:hAnsiTheme="majorBidi" w:cstheme="majorBidi"/>
          <w:sz w:val="24"/>
          <w:szCs w:val="24"/>
        </w:rPr>
        <w:t>independent variables</w:t>
      </w:r>
      <w:sdt>
        <w:sdtPr>
          <w:rPr>
            <w:rFonts w:asciiTheme="majorBidi" w:hAnsiTheme="majorBidi" w:cstheme="majorBidi"/>
            <w:sz w:val="24"/>
            <w:szCs w:val="24"/>
          </w:rPr>
          <w:id w:val="-2123300982"/>
          <w:citation/>
        </w:sdtPr>
        <w:sdtContent>
          <w:r w:rsidR="00C701A9">
            <w:rPr>
              <w:rFonts w:asciiTheme="majorBidi" w:hAnsiTheme="majorBidi" w:cstheme="majorBidi"/>
              <w:sz w:val="24"/>
              <w:szCs w:val="24"/>
            </w:rPr>
            <w:fldChar w:fldCharType="begin"/>
          </w:r>
          <w:r w:rsidR="00C701A9">
            <w:rPr>
              <w:rFonts w:asciiTheme="majorBidi" w:hAnsiTheme="majorBidi" w:cstheme="majorBidi"/>
              <w:sz w:val="24"/>
              <w:szCs w:val="24"/>
            </w:rPr>
            <w:instrText xml:space="preserve"> CITATION Bol11 \l 2057  \m Hmo22</w:instrText>
          </w:r>
          <w:r w:rsidR="00C701A9">
            <w:rPr>
              <w:rFonts w:asciiTheme="majorBidi" w:hAnsiTheme="majorBidi" w:cstheme="majorBidi"/>
              <w:sz w:val="24"/>
              <w:szCs w:val="24"/>
            </w:rPr>
            <w:fldChar w:fldCharType="separate"/>
          </w:r>
          <w:r w:rsidR="00C701A9">
            <w:rPr>
              <w:rFonts w:asciiTheme="majorBidi" w:hAnsiTheme="majorBidi" w:cstheme="majorBidi"/>
              <w:noProof/>
              <w:sz w:val="24"/>
              <w:szCs w:val="24"/>
            </w:rPr>
            <w:t xml:space="preserve"> </w:t>
          </w:r>
          <w:r w:rsidR="00C701A9" w:rsidRPr="00C701A9">
            <w:rPr>
              <w:rFonts w:asciiTheme="majorBidi" w:hAnsiTheme="majorBidi" w:cstheme="majorBidi"/>
              <w:noProof/>
              <w:sz w:val="24"/>
              <w:szCs w:val="24"/>
            </w:rPr>
            <w:t>(Bollen &amp; Noble, 2011; Hmoud, Nofal, Yaseen, Al-Masaeed, &amp; Al Fawwaz, 2022)</w:t>
          </w:r>
          <w:r w:rsidR="00C701A9">
            <w:rPr>
              <w:rFonts w:asciiTheme="majorBidi" w:hAnsiTheme="majorBidi" w:cstheme="majorBidi"/>
              <w:sz w:val="24"/>
              <w:szCs w:val="24"/>
            </w:rPr>
            <w:fldChar w:fldCharType="end"/>
          </w:r>
        </w:sdtContent>
      </w:sdt>
      <w:r w:rsidR="00EB45E2">
        <w:rPr>
          <w:rFonts w:asciiTheme="majorBidi" w:hAnsiTheme="majorBidi" w:cstheme="majorBidi"/>
          <w:sz w:val="24"/>
          <w:szCs w:val="24"/>
        </w:rPr>
        <w:t xml:space="preserve">. </w:t>
      </w:r>
      <w:r w:rsidR="00C701A9">
        <w:rPr>
          <w:rFonts w:asciiTheme="majorBidi" w:hAnsiTheme="majorBidi" w:cstheme="majorBidi"/>
          <w:sz w:val="24"/>
          <w:szCs w:val="24"/>
        </w:rPr>
        <w:t>Similarly, this study</w:t>
      </w:r>
      <w:r w:rsidR="00F76B73">
        <w:rPr>
          <w:rFonts w:asciiTheme="majorBidi" w:hAnsiTheme="majorBidi" w:cstheme="majorBidi"/>
          <w:sz w:val="24"/>
          <w:szCs w:val="24"/>
        </w:rPr>
        <w:t xml:space="preserve"> applies SEM to test the relationship between different variables.</w:t>
      </w:r>
    </w:p>
    <w:p w14:paraId="27159C02" w14:textId="5FD81C9D" w:rsidR="00294CC2" w:rsidRDefault="00294CC2" w:rsidP="009A2554">
      <w:pPr>
        <w:adjustRightInd w:val="0"/>
        <w:spacing w:after="0" w:line="480" w:lineRule="auto"/>
        <w:ind w:firstLine="720"/>
        <w:rPr>
          <w:rFonts w:asciiTheme="majorBidi" w:hAnsiTheme="majorBidi" w:cstheme="majorBidi"/>
          <w:sz w:val="24"/>
          <w:szCs w:val="24"/>
        </w:rPr>
      </w:pPr>
      <w:r>
        <w:rPr>
          <w:rFonts w:ascii="Times New Roman" w:hAnsi="Times New Roman" w:cs="Times New Roman"/>
          <w:sz w:val="24"/>
          <w:szCs w:val="24"/>
        </w:rPr>
        <w:t xml:space="preserve">As discussed in section </w:t>
      </w:r>
      <w:r w:rsidR="009F574A">
        <w:rPr>
          <w:rFonts w:ascii="Times New Roman" w:hAnsi="Times New Roman" w:cs="Times New Roman"/>
          <w:sz w:val="24"/>
          <w:szCs w:val="24"/>
        </w:rPr>
        <w:t>2</w:t>
      </w:r>
      <w:r>
        <w:rPr>
          <w:rFonts w:ascii="Times New Roman" w:hAnsi="Times New Roman" w:cs="Times New Roman"/>
          <w:sz w:val="24"/>
          <w:szCs w:val="24"/>
        </w:rPr>
        <w:t>.7.5, ads that combine cognitive and affective attributes are more positively influential on brand attitudes</w:t>
      </w:r>
      <w:sdt>
        <w:sdtPr>
          <w:rPr>
            <w:rFonts w:ascii="Times New Roman" w:hAnsi="Times New Roman" w:cs="Times New Roman"/>
            <w:sz w:val="24"/>
            <w:szCs w:val="24"/>
          </w:rPr>
          <w:id w:val="1720316932"/>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Mat14 \l 2057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6A14F7">
            <w:rPr>
              <w:rFonts w:ascii="Times New Roman" w:hAnsi="Times New Roman" w:cs="Times New Roman"/>
              <w:noProof/>
              <w:sz w:val="24"/>
              <w:szCs w:val="24"/>
            </w:rPr>
            <w:t>(Matthes, Wonneberger, &amp; Schmuck, 2014)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Pr>
          <w:rFonts w:asciiTheme="majorBidi" w:hAnsiTheme="majorBidi" w:cstheme="majorBidi"/>
          <w:sz w:val="24"/>
          <w:szCs w:val="24"/>
        </w:rPr>
        <w:t xml:space="preserve">In fact, </w:t>
      </w:r>
      <w:r w:rsidRPr="009A2554">
        <w:rPr>
          <w:rFonts w:asciiTheme="majorBidi" w:hAnsiTheme="majorBidi" w:cstheme="majorBidi"/>
          <w:sz w:val="24"/>
          <w:szCs w:val="24"/>
        </w:rPr>
        <w:t>b</w:t>
      </w:r>
      <w:r w:rsidRPr="009A2554">
        <w:rPr>
          <w:rFonts w:asciiTheme="majorBidi" w:hAnsiTheme="majorBidi" w:cstheme="majorBidi"/>
          <w:noProof/>
          <w:sz w:val="24"/>
          <w:szCs w:val="24"/>
        </w:rPr>
        <w:t>rand attitude refers to consumers’ overall evaluation of the brand which includes cognitive and affective elements</w:t>
      </w:r>
      <w:sdt>
        <w:sdtPr>
          <w:rPr>
            <w:rFonts w:asciiTheme="majorBidi" w:hAnsiTheme="majorBidi" w:cstheme="majorBidi"/>
            <w:noProof/>
            <w:sz w:val="24"/>
            <w:szCs w:val="24"/>
          </w:rPr>
          <w:id w:val="873578373"/>
          <w:citation/>
        </w:sdtPr>
        <w:sdtContent>
          <w:r w:rsidRPr="009A2554">
            <w:rPr>
              <w:rFonts w:asciiTheme="majorBidi" w:hAnsiTheme="majorBidi" w:cstheme="majorBidi"/>
              <w:noProof/>
              <w:sz w:val="24"/>
              <w:szCs w:val="24"/>
            </w:rPr>
            <w:fldChar w:fldCharType="begin"/>
          </w:r>
          <w:r w:rsidRPr="009A2554">
            <w:rPr>
              <w:rFonts w:asciiTheme="majorBidi" w:hAnsiTheme="majorBidi" w:cstheme="majorBidi"/>
              <w:noProof/>
              <w:sz w:val="24"/>
              <w:szCs w:val="24"/>
            </w:rPr>
            <w:instrText xml:space="preserve"> CITATION Col18 \l 2057  \m Per92</w:instrText>
          </w:r>
          <w:r w:rsidRPr="009A2554">
            <w:rPr>
              <w:rFonts w:asciiTheme="majorBidi" w:hAnsiTheme="majorBidi" w:cstheme="majorBidi"/>
              <w:noProof/>
              <w:sz w:val="24"/>
              <w:szCs w:val="24"/>
            </w:rPr>
            <w:fldChar w:fldCharType="separate"/>
          </w:r>
          <w:r w:rsidRPr="009A2554">
            <w:rPr>
              <w:rFonts w:asciiTheme="majorBidi" w:hAnsiTheme="majorBidi" w:cstheme="majorBidi"/>
              <w:noProof/>
              <w:sz w:val="24"/>
              <w:szCs w:val="24"/>
            </w:rPr>
            <w:t xml:space="preserve"> (Colliander &amp; Marder, 2018; Percy &amp; Rossiter, 1992)</w:t>
          </w:r>
          <w:r w:rsidRPr="009A2554">
            <w:rPr>
              <w:rFonts w:asciiTheme="majorBidi" w:hAnsiTheme="majorBidi" w:cstheme="majorBidi"/>
              <w:noProof/>
              <w:sz w:val="24"/>
              <w:szCs w:val="24"/>
            </w:rPr>
            <w:fldChar w:fldCharType="end"/>
          </w:r>
        </w:sdtContent>
      </w:sdt>
      <w:r w:rsidR="00524DF0">
        <w:rPr>
          <w:rFonts w:asciiTheme="majorBidi" w:hAnsiTheme="majorBidi" w:cstheme="majorBidi"/>
          <w:noProof/>
          <w:sz w:val="24"/>
          <w:szCs w:val="24"/>
        </w:rPr>
        <w:t xml:space="preserve">. </w:t>
      </w:r>
      <w:r w:rsidR="00CE3675">
        <w:rPr>
          <w:rFonts w:asciiTheme="majorBidi" w:hAnsiTheme="majorBidi" w:cstheme="majorBidi"/>
          <w:sz w:val="24"/>
          <w:szCs w:val="24"/>
        </w:rPr>
        <w:t>Even though emotional perceived value can be an important factor in decision making, neither TRA nor TPB consider emotional and unconscious aspects as predictors of the final outcome</w:t>
      </w:r>
      <w:r w:rsidR="00CE3675" w:rsidRPr="000F60CD">
        <w:rPr>
          <w:rFonts w:asciiTheme="majorBidi" w:hAnsiTheme="majorBidi" w:cstheme="majorBidi"/>
          <w:sz w:val="24"/>
          <w:szCs w:val="24"/>
        </w:rPr>
        <w:t xml:space="preserve"> </w:t>
      </w:r>
      <w:sdt>
        <w:sdtPr>
          <w:rPr>
            <w:rFonts w:asciiTheme="majorBidi" w:hAnsiTheme="majorBidi" w:cstheme="majorBidi"/>
            <w:sz w:val="24"/>
            <w:szCs w:val="24"/>
          </w:rPr>
          <w:id w:val="-1468281580"/>
          <w:citation/>
        </w:sdtPr>
        <w:sdtContent>
          <w:r w:rsidR="00CE3675">
            <w:rPr>
              <w:rFonts w:asciiTheme="majorBidi" w:hAnsiTheme="majorBidi" w:cstheme="majorBidi"/>
              <w:sz w:val="24"/>
              <w:szCs w:val="24"/>
            </w:rPr>
            <w:fldChar w:fldCharType="begin"/>
          </w:r>
          <w:r w:rsidR="00CE3675">
            <w:rPr>
              <w:rFonts w:asciiTheme="majorBidi" w:hAnsiTheme="majorBidi" w:cstheme="majorBidi"/>
              <w:sz w:val="24"/>
              <w:szCs w:val="24"/>
            </w:rPr>
            <w:instrText xml:space="preserve"> CITATION Ash2022 \l 2057  \m Kan13</w:instrText>
          </w:r>
          <w:r w:rsidR="00CE3675">
            <w:rPr>
              <w:rFonts w:asciiTheme="majorBidi" w:hAnsiTheme="majorBidi" w:cstheme="majorBidi"/>
              <w:sz w:val="24"/>
              <w:szCs w:val="24"/>
            </w:rPr>
            <w:fldChar w:fldCharType="separate"/>
          </w:r>
          <w:r w:rsidR="00CE3675" w:rsidRPr="009E55E6">
            <w:rPr>
              <w:rFonts w:asciiTheme="majorBidi" w:hAnsiTheme="majorBidi" w:cstheme="majorBidi"/>
              <w:noProof/>
              <w:sz w:val="24"/>
              <w:szCs w:val="24"/>
            </w:rPr>
            <w:t>(Ashaduzzaman M. , et al., 2022; Kang &amp; Kim, 2013)</w:t>
          </w:r>
          <w:r w:rsidR="00CE3675">
            <w:rPr>
              <w:rFonts w:asciiTheme="majorBidi" w:hAnsiTheme="majorBidi" w:cstheme="majorBidi"/>
              <w:sz w:val="24"/>
              <w:szCs w:val="24"/>
            </w:rPr>
            <w:fldChar w:fldCharType="end"/>
          </w:r>
        </w:sdtContent>
      </w:sdt>
      <w:r w:rsidR="00CE3675">
        <w:rPr>
          <w:rFonts w:asciiTheme="majorBidi" w:hAnsiTheme="majorBidi" w:cstheme="majorBidi"/>
          <w:sz w:val="24"/>
          <w:szCs w:val="24"/>
        </w:rPr>
        <w:t>. As mentioned earlier, brand attitudes usually include cognitive and affective attitudes</w:t>
      </w:r>
      <w:sdt>
        <w:sdtPr>
          <w:rPr>
            <w:rFonts w:asciiTheme="majorBidi" w:hAnsiTheme="majorBidi" w:cstheme="majorBidi"/>
            <w:noProof/>
            <w:sz w:val="24"/>
            <w:szCs w:val="24"/>
          </w:rPr>
          <w:id w:val="-1063248739"/>
          <w:citation/>
        </w:sdtPr>
        <w:sdtContent>
          <w:r w:rsidR="00CE3675">
            <w:rPr>
              <w:rFonts w:asciiTheme="majorBidi" w:hAnsiTheme="majorBidi" w:cstheme="majorBidi"/>
              <w:noProof/>
              <w:sz w:val="24"/>
              <w:szCs w:val="24"/>
            </w:rPr>
            <w:fldChar w:fldCharType="begin"/>
          </w:r>
          <w:r w:rsidR="00CE3675">
            <w:rPr>
              <w:rFonts w:asciiTheme="majorBidi" w:hAnsiTheme="majorBidi" w:cstheme="majorBidi"/>
              <w:noProof/>
              <w:sz w:val="24"/>
              <w:szCs w:val="24"/>
            </w:rPr>
            <w:instrText xml:space="preserve"> CITATION Col18 \l 2057  \m Per92</w:instrText>
          </w:r>
          <w:r w:rsidR="00CE3675">
            <w:rPr>
              <w:rFonts w:asciiTheme="majorBidi" w:hAnsiTheme="majorBidi" w:cstheme="majorBidi"/>
              <w:noProof/>
              <w:sz w:val="24"/>
              <w:szCs w:val="24"/>
            </w:rPr>
            <w:fldChar w:fldCharType="separate"/>
          </w:r>
          <w:r w:rsidR="00CE3675">
            <w:rPr>
              <w:rFonts w:asciiTheme="majorBidi" w:hAnsiTheme="majorBidi" w:cstheme="majorBidi"/>
              <w:noProof/>
              <w:sz w:val="24"/>
              <w:szCs w:val="24"/>
            </w:rPr>
            <w:t xml:space="preserve"> </w:t>
          </w:r>
          <w:r w:rsidR="00CE3675" w:rsidRPr="000F60CD">
            <w:rPr>
              <w:rFonts w:asciiTheme="majorBidi" w:hAnsiTheme="majorBidi" w:cstheme="majorBidi"/>
              <w:noProof/>
              <w:sz w:val="24"/>
              <w:szCs w:val="24"/>
            </w:rPr>
            <w:t>(Colliander &amp; Marder, 2018; Percy &amp; Rossiter, 1992)</w:t>
          </w:r>
          <w:r w:rsidR="00CE3675">
            <w:rPr>
              <w:rFonts w:asciiTheme="majorBidi" w:hAnsiTheme="majorBidi" w:cstheme="majorBidi"/>
              <w:noProof/>
              <w:sz w:val="24"/>
              <w:szCs w:val="24"/>
            </w:rPr>
            <w:fldChar w:fldCharType="end"/>
          </w:r>
        </w:sdtContent>
      </w:sdt>
      <w:r w:rsidR="00CE3675">
        <w:rPr>
          <w:rFonts w:asciiTheme="majorBidi" w:hAnsiTheme="majorBidi" w:cstheme="majorBidi"/>
          <w:sz w:val="24"/>
          <w:szCs w:val="24"/>
        </w:rPr>
        <w:t>. Yet, other authors developed a modified version of TPB that includes emotions as a predictor of the final outcome which was consumer collaborative consumption for shared accommodations</w:t>
      </w:r>
      <w:sdt>
        <w:sdtPr>
          <w:rPr>
            <w:rFonts w:asciiTheme="majorBidi" w:hAnsiTheme="majorBidi" w:cstheme="majorBidi"/>
            <w:sz w:val="24"/>
            <w:szCs w:val="24"/>
          </w:rPr>
          <w:id w:val="-629946394"/>
          <w:citation/>
        </w:sdtPr>
        <w:sdtContent>
          <w:r w:rsidR="00CE3675">
            <w:rPr>
              <w:rFonts w:asciiTheme="majorBidi" w:hAnsiTheme="majorBidi" w:cstheme="majorBidi"/>
              <w:sz w:val="24"/>
              <w:szCs w:val="24"/>
            </w:rPr>
            <w:fldChar w:fldCharType="begin"/>
          </w:r>
          <w:r w:rsidR="00CE3675">
            <w:rPr>
              <w:rFonts w:asciiTheme="majorBidi" w:hAnsiTheme="majorBidi" w:cstheme="majorBidi"/>
              <w:sz w:val="24"/>
              <w:szCs w:val="24"/>
            </w:rPr>
            <w:instrText xml:space="preserve"> CITATION Ash2022 \l 2057 </w:instrText>
          </w:r>
          <w:r w:rsidR="00CE3675">
            <w:rPr>
              <w:rFonts w:asciiTheme="majorBidi" w:hAnsiTheme="majorBidi" w:cstheme="majorBidi"/>
              <w:sz w:val="24"/>
              <w:szCs w:val="24"/>
            </w:rPr>
            <w:fldChar w:fldCharType="separate"/>
          </w:r>
          <w:r w:rsidR="00CE3675">
            <w:rPr>
              <w:rFonts w:asciiTheme="majorBidi" w:hAnsiTheme="majorBidi" w:cstheme="majorBidi"/>
              <w:noProof/>
              <w:sz w:val="24"/>
              <w:szCs w:val="24"/>
            </w:rPr>
            <w:t xml:space="preserve"> </w:t>
          </w:r>
          <w:r w:rsidR="00CE3675" w:rsidRPr="009E55E6">
            <w:rPr>
              <w:rFonts w:asciiTheme="majorBidi" w:hAnsiTheme="majorBidi" w:cstheme="majorBidi"/>
              <w:noProof/>
              <w:sz w:val="24"/>
              <w:szCs w:val="24"/>
            </w:rPr>
            <w:t>(Ashaduzzaman M. , et al., 2022)</w:t>
          </w:r>
          <w:r w:rsidR="00CE3675">
            <w:rPr>
              <w:rFonts w:asciiTheme="majorBidi" w:hAnsiTheme="majorBidi" w:cstheme="majorBidi"/>
              <w:sz w:val="24"/>
              <w:szCs w:val="24"/>
            </w:rPr>
            <w:fldChar w:fldCharType="end"/>
          </w:r>
        </w:sdtContent>
      </w:sdt>
      <w:r w:rsidR="00CE3675">
        <w:rPr>
          <w:rFonts w:asciiTheme="majorBidi" w:hAnsiTheme="majorBidi" w:cstheme="majorBidi"/>
          <w:sz w:val="24"/>
          <w:szCs w:val="24"/>
        </w:rPr>
        <w:t xml:space="preserve">. </w:t>
      </w:r>
      <w:r w:rsidR="00524DF0">
        <w:rPr>
          <w:rFonts w:asciiTheme="majorBidi" w:hAnsiTheme="majorBidi" w:cstheme="majorBidi"/>
          <w:noProof/>
          <w:sz w:val="24"/>
          <w:szCs w:val="24"/>
        </w:rPr>
        <w:t xml:space="preserve">Most importantly, this research raises the question of measuring </w:t>
      </w:r>
      <w:r w:rsidR="00524DF0" w:rsidRPr="009F574A">
        <w:rPr>
          <w:rFonts w:asciiTheme="majorBidi" w:hAnsiTheme="majorBidi" w:cstheme="majorBidi"/>
          <w:noProof/>
          <w:sz w:val="24"/>
          <w:szCs w:val="24"/>
        </w:rPr>
        <w:t>the impact of CSR and non-CSR communication strategies and different media vehicles as intial triggers (stimuli)</w:t>
      </w:r>
      <w:r w:rsidR="00524DF0">
        <w:rPr>
          <w:rFonts w:asciiTheme="majorBidi" w:hAnsiTheme="majorBidi" w:cstheme="majorBidi"/>
          <w:noProof/>
          <w:sz w:val="24"/>
          <w:szCs w:val="24"/>
        </w:rPr>
        <w:t xml:space="preserve"> in which it is assumed that these stimuli lead to brand attitudes and purchase intention.</w:t>
      </w:r>
      <w:r w:rsidR="009A2554">
        <w:rPr>
          <w:rFonts w:asciiTheme="majorBidi" w:hAnsiTheme="majorBidi" w:cstheme="majorBidi"/>
          <w:noProof/>
          <w:sz w:val="24"/>
          <w:szCs w:val="24"/>
        </w:rPr>
        <w:t xml:space="preserve"> For that reason,</w:t>
      </w:r>
      <w:r w:rsidR="00524DF0">
        <w:rPr>
          <w:rFonts w:asciiTheme="majorBidi" w:hAnsiTheme="majorBidi" w:cstheme="majorBidi"/>
          <w:noProof/>
          <w:sz w:val="24"/>
          <w:szCs w:val="24"/>
        </w:rPr>
        <w:t xml:space="preserve"> to be be able to correctly answer the research question,</w:t>
      </w:r>
      <w:r w:rsidR="009A2554">
        <w:rPr>
          <w:rFonts w:asciiTheme="majorBidi" w:hAnsiTheme="majorBidi" w:cstheme="majorBidi"/>
          <w:noProof/>
          <w:sz w:val="24"/>
          <w:szCs w:val="24"/>
        </w:rPr>
        <w:t xml:space="preserve"> this </w:t>
      </w:r>
      <w:r w:rsidR="00524DF0">
        <w:rPr>
          <w:rFonts w:asciiTheme="majorBidi" w:hAnsiTheme="majorBidi" w:cstheme="majorBidi"/>
          <w:noProof/>
          <w:sz w:val="24"/>
          <w:szCs w:val="24"/>
        </w:rPr>
        <w:t>study</w:t>
      </w:r>
      <w:r w:rsidR="009A2554">
        <w:rPr>
          <w:rFonts w:asciiTheme="majorBidi" w:hAnsiTheme="majorBidi" w:cstheme="majorBidi"/>
          <w:noProof/>
          <w:sz w:val="24"/>
          <w:szCs w:val="24"/>
        </w:rPr>
        <w:t xml:space="preserve"> examine</w:t>
      </w:r>
      <w:r w:rsidR="00D03698">
        <w:rPr>
          <w:rFonts w:asciiTheme="majorBidi" w:hAnsiTheme="majorBidi" w:cstheme="majorBidi"/>
          <w:noProof/>
          <w:sz w:val="24"/>
          <w:szCs w:val="24"/>
        </w:rPr>
        <w:t>s</w:t>
      </w:r>
      <w:r w:rsidR="009A2554">
        <w:rPr>
          <w:rFonts w:asciiTheme="majorBidi" w:hAnsiTheme="majorBidi" w:cstheme="majorBidi"/>
          <w:noProof/>
          <w:sz w:val="24"/>
          <w:szCs w:val="24"/>
        </w:rPr>
        <w:t xml:space="preserve"> other theories in literature </w:t>
      </w:r>
      <w:r w:rsidR="00524DF0">
        <w:rPr>
          <w:rFonts w:asciiTheme="majorBidi" w:hAnsiTheme="majorBidi" w:cstheme="majorBidi"/>
          <w:noProof/>
          <w:sz w:val="24"/>
          <w:szCs w:val="24"/>
        </w:rPr>
        <w:t>that consider the effect of the stimuli as well as</w:t>
      </w:r>
      <w:r w:rsidR="009A2554">
        <w:rPr>
          <w:rFonts w:asciiTheme="majorBidi" w:hAnsiTheme="majorBidi" w:cstheme="majorBidi"/>
          <w:noProof/>
          <w:sz w:val="24"/>
          <w:szCs w:val="24"/>
        </w:rPr>
        <w:t xml:space="preserve"> cognitive and emotional attitudes. </w:t>
      </w:r>
      <w:r w:rsidR="00F76B73">
        <w:rPr>
          <w:rFonts w:asciiTheme="majorBidi" w:hAnsiTheme="majorBidi" w:cstheme="majorBidi"/>
          <w:sz w:val="24"/>
          <w:szCs w:val="24"/>
        </w:rPr>
        <w:t>The following section describe</w:t>
      </w:r>
      <w:r w:rsidR="00524DF0">
        <w:rPr>
          <w:rFonts w:asciiTheme="majorBidi" w:hAnsiTheme="majorBidi" w:cstheme="majorBidi"/>
          <w:sz w:val="24"/>
          <w:szCs w:val="24"/>
        </w:rPr>
        <w:t>s</w:t>
      </w:r>
      <w:r w:rsidR="00F76B73">
        <w:rPr>
          <w:rFonts w:asciiTheme="majorBidi" w:hAnsiTheme="majorBidi" w:cstheme="majorBidi"/>
          <w:sz w:val="24"/>
          <w:szCs w:val="24"/>
        </w:rPr>
        <w:t xml:space="preserve"> the </w:t>
      </w:r>
      <w:r w:rsidR="00E120F3">
        <w:rPr>
          <w:rFonts w:asciiTheme="majorBidi" w:hAnsiTheme="majorBidi" w:cstheme="majorBidi"/>
          <w:sz w:val="24"/>
          <w:szCs w:val="24"/>
        </w:rPr>
        <w:t>s</w:t>
      </w:r>
      <w:r w:rsidR="009A2554">
        <w:rPr>
          <w:rFonts w:asciiTheme="majorBidi" w:hAnsiTheme="majorBidi" w:cstheme="majorBidi"/>
          <w:sz w:val="24"/>
          <w:szCs w:val="24"/>
        </w:rPr>
        <w:t>timuli-organism-response</w:t>
      </w:r>
      <w:r w:rsidR="00E120F3">
        <w:rPr>
          <w:rFonts w:asciiTheme="majorBidi" w:hAnsiTheme="majorBidi" w:cstheme="majorBidi"/>
          <w:sz w:val="24"/>
          <w:szCs w:val="24"/>
        </w:rPr>
        <w:t xml:space="preserve"> model</w:t>
      </w:r>
      <w:r w:rsidR="009A2554">
        <w:rPr>
          <w:rFonts w:asciiTheme="majorBidi" w:hAnsiTheme="majorBidi" w:cstheme="majorBidi"/>
          <w:sz w:val="24"/>
          <w:szCs w:val="24"/>
        </w:rPr>
        <w:t xml:space="preserve"> as applied in literature and the way it is applied in this study. </w:t>
      </w:r>
    </w:p>
    <w:p w14:paraId="44584B88" w14:textId="7F83401A" w:rsidR="00153EE6" w:rsidRDefault="00153EE6" w:rsidP="00577EC3">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3</w:t>
      </w:r>
      <w:r>
        <w:rPr>
          <w:rFonts w:asciiTheme="majorBidi" w:hAnsiTheme="majorBidi" w:cstheme="majorBidi"/>
          <w:b/>
          <w:bCs/>
          <w:sz w:val="24"/>
          <w:szCs w:val="24"/>
        </w:rPr>
        <w:t xml:space="preserve"> Stimuli-Organism-Response </w:t>
      </w:r>
      <w:r w:rsidR="00E120F3">
        <w:rPr>
          <w:rFonts w:asciiTheme="majorBidi" w:hAnsiTheme="majorBidi" w:cstheme="majorBidi"/>
          <w:b/>
          <w:bCs/>
          <w:sz w:val="24"/>
          <w:szCs w:val="24"/>
        </w:rPr>
        <w:t>Model</w:t>
      </w:r>
      <w:r>
        <w:rPr>
          <w:rFonts w:asciiTheme="majorBidi" w:hAnsiTheme="majorBidi" w:cstheme="majorBidi"/>
          <w:b/>
          <w:bCs/>
          <w:sz w:val="24"/>
          <w:szCs w:val="24"/>
        </w:rPr>
        <w:t xml:space="preserve"> </w:t>
      </w:r>
    </w:p>
    <w:p w14:paraId="4D3D85E8" w14:textId="778FC9ED" w:rsidR="000A45A7" w:rsidRDefault="00B5176A" w:rsidP="005B38F6">
      <w:pPr>
        <w:spacing w:after="0" w:line="480" w:lineRule="auto"/>
        <w:rPr>
          <w:rFonts w:asciiTheme="majorBidi" w:hAnsiTheme="majorBidi" w:cstheme="majorBidi"/>
          <w:sz w:val="24"/>
          <w:szCs w:val="24"/>
        </w:rPr>
      </w:pPr>
      <w:r>
        <w:rPr>
          <w:rFonts w:asciiTheme="majorBidi" w:hAnsiTheme="majorBidi" w:cstheme="majorBidi"/>
          <w:sz w:val="24"/>
          <w:szCs w:val="24"/>
          <w:shd w:val="clear" w:color="auto" w:fill="FFFFFF"/>
        </w:rPr>
        <w:tab/>
      </w:r>
      <w:r w:rsidR="00610040" w:rsidRPr="00610040">
        <w:rPr>
          <w:rFonts w:asciiTheme="majorBidi" w:hAnsiTheme="majorBidi" w:cstheme="majorBidi"/>
          <w:sz w:val="24"/>
          <w:szCs w:val="24"/>
          <w:shd w:val="clear" w:color="auto" w:fill="FFFFFF"/>
        </w:rPr>
        <w:t xml:space="preserve">The </w:t>
      </w:r>
      <w:r w:rsidR="005B38F6">
        <w:rPr>
          <w:rFonts w:asciiTheme="majorBidi" w:hAnsiTheme="majorBidi" w:cstheme="majorBidi"/>
          <w:sz w:val="24"/>
          <w:szCs w:val="24"/>
          <w:shd w:val="clear" w:color="auto" w:fill="FFFFFF"/>
        </w:rPr>
        <w:t>stimuli-organism-response (SOR)</w:t>
      </w:r>
      <w:r w:rsidR="00610040" w:rsidRPr="00610040">
        <w:rPr>
          <w:rFonts w:asciiTheme="majorBidi" w:hAnsiTheme="majorBidi" w:cstheme="majorBidi"/>
          <w:sz w:val="24"/>
          <w:szCs w:val="24"/>
          <w:shd w:val="clear" w:color="auto" w:fill="FFFFFF"/>
        </w:rPr>
        <w:t xml:space="preserve"> model was initially created for the retail sector, where the service</w:t>
      </w:r>
      <w:r w:rsidR="00610040">
        <w:rPr>
          <w:rFonts w:asciiTheme="majorBidi" w:hAnsiTheme="majorBidi" w:cstheme="majorBidi"/>
          <w:sz w:val="24"/>
          <w:szCs w:val="24"/>
          <w:shd w:val="clear" w:color="auto" w:fill="FFFFFF"/>
        </w:rPr>
        <w:t xml:space="preserve"> space</w:t>
      </w:r>
      <w:r w:rsidR="00610040" w:rsidRPr="00610040">
        <w:rPr>
          <w:rFonts w:asciiTheme="majorBidi" w:hAnsiTheme="majorBidi" w:cstheme="majorBidi"/>
          <w:sz w:val="24"/>
          <w:szCs w:val="24"/>
          <w:shd w:val="clear" w:color="auto" w:fill="FFFFFF"/>
        </w:rPr>
        <w:t xml:space="preserve"> (i.e., cleanliness, design elements, and signs) serves as a stimulus that affects consumers' inner emotions and enforces </w:t>
      </w:r>
      <w:r w:rsidR="005B38F6">
        <w:rPr>
          <w:rFonts w:asciiTheme="majorBidi" w:hAnsiTheme="majorBidi" w:cstheme="majorBidi"/>
          <w:sz w:val="24"/>
          <w:szCs w:val="24"/>
          <w:shd w:val="clear" w:color="auto" w:fill="FFFFFF"/>
        </w:rPr>
        <w:t>consumers’ response</w:t>
      </w:r>
      <w:r w:rsidR="00E120F3">
        <w:rPr>
          <w:rFonts w:asciiTheme="majorBidi" w:hAnsiTheme="majorBidi" w:cstheme="majorBidi"/>
          <w:sz w:val="24"/>
          <w:szCs w:val="24"/>
          <w:shd w:val="clear" w:color="auto" w:fill="FFFFFF"/>
        </w:rPr>
        <w:t xml:space="preserve"> or behaviour</w:t>
      </w:r>
      <w:r w:rsidR="005B38F6" w:rsidRPr="005B38F6">
        <w:rPr>
          <w:rFonts w:asciiTheme="majorBidi" w:hAnsiTheme="majorBidi" w:cstheme="majorBidi"/>
          <w:sz w:val="24"/>
          <w:szCs w:val="24"/>
        </w:rPr>
        <w:t xml:space="preserve"> </w:t>
      </w:r>
      <w:sdt>
        <w:sdtPr>
          <w:rPr>
            <w:rFonts w:asciiTheme="majorBidi" w:hAnsiTheme="majorBidi" w:cstheme="majorBidi"/>
            <w:sz w:val="24"/>
            <w:szCs w:val="24"/>
          </w:rPr>
          <w:id w:val="367496169"/>
          <w:citation/>
        </w:sdtPr>
        <w:sdtContent>
          <w:r w:rsidR="005B38F6">
            <w:rPr>
              <w:rFonts w:asciiTheme="majorBidi" w:hAnsiTheme="majorBidi" w:cstheme="majorBidi"/>
              <w:sz w:val="24"/>
              <w:szCs w:val="24"/>
            </w:rPr>
            <w:fldChar w:fldCharType="begin"/>
          </w:r>
          <w:r w:rsidR="005B38F6">
            <w:rPr>
              <w:rFonts w:asciiTheme="majorBidi" w:hAnsiTheme="majorBidi" w:cstheme="majorBidi"/>
              <w:sz w:val="24"/>
              <w:szCs w:val="24"/>
            </w:rPr>
            <w:instrText xml:space="preserve"> CITATION Koa23 \l 2057 </w:instrText>
          </w:r>
          <w:r w:rsidR="005B38F6">
            <w:rPr>
              <w:rFonts w:asciiTheme="majorBidi" w:hAnsiTheme="majorBidi" w:cstheme="majorBidi"/>
              <w:sz w:val="24"/>
              <w:szCs w:val="24"/>
            </w:rPr>
            <w:fldChar w:fldCharType="separate"/>
          </w:r>
          <w:r w:rsidR="005B38F6" w:rsidRPr="007334E2">
            <w:rPr>
              <w:rFonts w:asciiTheme="majorBidi" w:hAnsiTheme="majorBidi" w:cstheme="majorBidi"/>
              <w:noProof/>
              <w:sz w:val="24"/>
              <w:szCs w:val="24"/>
            </w:rPr>
            <w:t>(Koay, Ong, Khoo, &amp; Yeoh, 2020)</w:t>
          </w:r>
          <w:r w:rsidR="005B38F6">
            <w:rPr>
              <w:rFonts w:asciiTheme="majorBidi" w:hAnsiTheme="majorBidi" w:cstheme="majorBidi"/>
              <w:sz w:val="24"/>
              <w:szCs w:val="24"/>
            </w:rPr>
            <w:fldChar w:fldCharType="end"/>
          </w:r>
        </w:sdtContent>
      </w:sdt>
      <w:r w:rsidR="00610040" w:rsidRPr="00610040">
        <w:rPr>
          <w:rFonts w:asciiTheme="majorBidi" w:hAnsiTheme="majorBidi" w:cstheme="majorBidi"/>
          <w:sz w:val="24"/>
          <w:szCs w:val="24"/>
          <w:shd w:val="clear" w:color="auto" w:fill="FFFFFF"/>
        </w:rPr>
        <w:t>.</w:t>
      </w:r>
      <w:r w:rsidR="00610040">
        <w:rPr>
          <w:rFonts w:asciiTheme="majorBidi" w:hAnsiTheme="majorBidi" w:cstheme="majorBidi"/>
          <w:sz w:val="24"/>
          <w:szCs w:val="24"/>
        </w:rPr>
        <w:t xml:space="preserve"> </w:t>
      </w:r>
      <w:r w:rsidR="00153EE6" w:rsidRPr="00B55EB8">
        <w:rPr>
          <w:rFonts w:asciiTheme="majorBidi" w:hAnsiTheme="majorBidi" w:cstheme="majorBidi"/>
          <w:sz w:val="24"/>
          <w:szCs w:val="24"/>
        </w:rPr>
        <w:t xml:space="preserve">The </w:t>
      </w:r>
      <w:bookmarkStart w:id="114" w:name="_Hlk134195898"/>
      <w:r w:rsidR="00153EE6" w:rsidRPr="00B55EB8">
        <w:rPr>
          <w:rFonts w:asciiTheme="majorBidi" w:hAnsiTheme="majorBidi" w:cstheme="majorBidi"/>
          <w:sz w:val="24"/>
          <w:szCs w:val="24"/>
        </w:rPr>
        <w:t>SOR</w:t>
      </w:r>
      <w:r w:rsidR="00E120F3">
        <w:rPr>
          <w:rFonts w:asciiTheme="majorBidi" w:hAnsiTheme="majorBidi" w:cstheme="majorBidi"/>
          <w:sz w:val="24"/>
          <w:szCs w:val="24"/>
        </w:rPr>
        <w:t xml:space="preserve"> model</w:t>
      </w:r>
      <w:r w:rsidR="00153EE6">
        <w:rPr>
          <w:rFonts w:asciiTheme="majorBidi" w:hAnsiTheme="majorBidi" w:cstheme="majorBidi"/>
          <w:sz w:val="24"/>
          <w:szCs w:val="24"/>
        </w:rPr>
        <w:t xml:space="preserve">, </w:t>
      </w:r>
      <w:bookmarkEnd w:id="114"/>
      <w:r w:rsidR="00153EE6" w:rsidRPr="00B55EB8">
        <w:rPr>
          <w:rFonts w:asciiTheme="majorBidi" w:hAnsiTheme="majorBidi" w:cstheme="majorBidi"/>
          <w:sz w:val="24"/>
          <w:szCs w:val="24"/>
        </w:rPr>
        <w:t xml:space="preserve">originally </w:t>
      </w:r>
      <w:r w:rsidR="005B38F6">
        <w:rPr>
          <w:rFonts w:asciiTheme="majorBidi" w:hAnsiTheme="majorBidi" w:cstheme="majorBidi"/>
          <w:sz w:val="24"/>
          <w:szCs w:val="24"/>
        </w:rPr>
        <w:t>developed</w:t>
      </w:r>
      <w:r w:rsidR="00153EE6" w:rsidRPr="00B55EB8">
        <w:rPr>
          <w:rFonts w:asciiTheme="majorBidi" w:hAnsiTheme="majorBidi" w:cstheme="majorBidi"/>
          <w:sz w:val="24"/>
          <w:szCs w:val="24"/>
        </w:rPr>
        <w:t xml:space="preserve"> </w:t>
      </w:r>
      <w:r w:rsidR="00153EE6" w:rsidRPr="009F574A">
        <w:rPr>
          <w:rFonts w:asciiTheme="majorBidi" w:hAnsiTheme="majorBidi" w:cstheme="majorBidi"/>
          <w:sz w:val="24"/>
          <w:szCs w:val="24"/>
        </w:rPr>
        <w:t xml:space="preserve">by Mehrabian and Russell </w:t>
      </w:r>
      <w:sdt>
        <w:sdtPr>
          <w:rPr>
            <w:rFonts w:asciiTheme="majorBidi" w:hAnsiTheme="majorBidi" w:cstheme="majorBidi"/>
            <w:sz w:val="24"/>
            <w:szCs w:val="24"/>
          </w:rPr>
          <w:id w:val="525998743"/>
          <w:citation/>
        </w:sdtPr>
        <w:sdtContent>
          <w:r w:rsidR="00153EE6" w:rsidRPr="009F574A">
            <w:rPr>
              <w:rFonts w:asciiTheme="majorBidi" w:hAnsiTheme="majorBidi" w:cstheme="majorBidi"/>
              <w:sz w:val="24"/>
              <w:szCs w:val="24"/>
            </w:rPr>
            <w:fldChar w:fldCharType="begin"/>
          </w:r>
          <w:r w:rsidR="00153EE6" w:rsidRPr="009F574A">
            <w:rPr>
              <w:rFonts w:asciiTheme="majorBidi" w:hAnsiTheme="majorBidi" w:cstheme="majorBidi"/>
              <w:sz w:val="24"/>
              <w:szCs w:val="24"/>
            </w:rPr>
            <w:instrText xml:space="preserve">CITATION Meh74 \n  \t  \l 2057 </w:instrText>
          </w:r>
          <w:r w:rsidR="00153EE6" w:rsidRPr="009F574A">
            <w:rPr>
              <w:rFonts w:asciiTheme="majorBidi" w:hAnsiTheme="majorBidi" w:cstheme="majorBidi"/>
              <w:sz w:val="24"/>
              <w:szCs w:val="24"/>
            </w:rPr>
            <w:fldChar w:fldCharType="separate"/>
          </w:r>
          <w:r w:rsidR="00153EE6" w:rsidRPr="009F574A">
            <w:rPr>
              <w:rFonts w:asciiTheme="majorBidi" w:hAnsiTheme="majorBidi" w:cstheme="majorBidi"/>
              <w:noProof/>
              <w:sz w:val="24"/>
              <w:szCs w:val="24"/>
            </w:rPr>
            <w:t>(1974)</w:t>
          </w:r>
          <w:r w:rsidR="00153EE6" w:rsidRPr="009F574A">
            <w:rPr>
              <w:rFonts w:asciiTheme="majorBidi" w:hAnsiTheme="majorBidi" w:cstheme="majorBidi"/>
              <w:sz w:val="24"/>
              <w:szCs w:val="24"/>
            </w:rPr>
            <w:fldChar w:fldCharType="end"/>
          </w:r>
        </w:sdtContent>
      </w:sdt>
      <w:r w:rsidR="00153EE6" w:rsidRPr="009F574A">
        <w:rPr>
          <w:rFonts w:asciiTheme="majorBidi" w:hAnsiTheme="majorBidi" w:cstheme="majorBidi"/>
          <w:sz w:val="24"/>
          <w:szCs w:val="24"/>
        </w:rPr>
        <w:t>,</w:t>
      </w:r>
      <w:r w:rsidR="00153EE6">
        <w:rPr>
          <w:rFonts w:asciiTheme="majorBidi" w:hAnsiTheme="majorBidi" w:cstheme="majorBidi"/>
          <w:sz w:val="24"/>
          <w:szCs w:val="24"/>
        </w:rPr>
        <w:t xml:space="preserve"> asserts that p</w:t>
      </w:r>
      <w:r w:rsidR="00153EE6" w:rsidRPr="001606F5">
        <w:rPr>
          <w:rFonts w:asciiTheme="majorBidi" w:hAnsiTheme="majorBidi" w:cstheme="majorBidi"/>
          <w:sz w:val="24"/>
          <w:szCs w:val="24"/>
        </w:rPr>
        <w:t>eople typically respond to</w:t>
      </w:r>
      <w:r w:rsidR="00F64A25">
        <w:rPr>
          <w:rFonts w:asciiTheme="majorBidi" w:hAnsiTheme="majorBidi" w:cstheme="majorBidi"/>
          <w:sz w:val="24"/>
          <w:szCs w:val="24"/>
        </w:rPr>
        <w:t xml:space="preserve"> the</w:t>
      </w:r>
      <w:r w:rsidR="00153EE6" w:rsidRPr="001606F5">
        <w:rPr>
          <w:rFonts w:asciiTheme="majorBidi" w:hAnsiTheme="majorBidi" w:cstheme="majorBidi"/>
          <w:sz w:val="24"/>
          <w:szCs w:val="24"/>
        </w:rPr>
        <w:t xml:space="preserve"> </w:t>
      </w:r>
      <w:r w:rsidR="00153EE6">
        <w:rPr>
          <w:rFonts w:asciiTheme="majorBidi" w:hAnsiTheme="majorBidi" w:cstheme="majorBidi"/>
          <w:sz w:val="24"/>
          <w:szCs w:val="24"/>
        </w:rPr>
        <w:t>environment</w:t>
      </w:r>
      <w:r w:rsidR="00153EE6" w:rsidRPr="001606F5">
        <w:rPr>
          <w:rFonts w:asciiTheme="majorBidi" w:hAnsiTheme="majorBidi" w:cstheme="majorBidi"/>
          <w:sz w:val="24"/>
          <w:szCs w:val="24"/>
        </w:rPr>
        <w:t xml:space="preserve"> in one of two ways: approach</w:t>
      </w:r>
      <w:r w:rsidR="00F64A25">
        <w:rPr>
          <w:rFonts w:asciiTheme="majorBidi" w:hAnsiTheme="majorBidi" w:cstheme="majorBidi"/>
          <w:sz w:val="24"/>
          <w:szCs w:val="24"/>
        </w:rPr>
        <w:t>ing</w:t>
      </w:r>
      <w:r w:rsidR="00153EE6" w:rsidRPr="001606F5">
        <w:rPr>
          <w:rFonts w:asciiTheme="majorBidi" w:hAnsiTheme="majorBidi" w:cstheme="majorBidi"/>
          <w:sz w:val="24"/>
          <w:szCs w:val="24"/>
        </w:rPr>
        <w:t xml:space="preserve"> behaviours</w:t>
      </w:r>
      <w:r w:rsidR="00F64A25">
        <w:rPr>
          <w:rFonts w:asciiTheme="majorBidi" w:hAnsiTheme="majorBidi" w:cstheme="majorBidi"/>
          <w:sz w:val="24"/>
          <w:szCs w:val="24"/>
        </w:rPr>
        <w:t xml:space="preserve"> by</w:t>
      </w:r>
      <w:r w:rsidR="00153EE6" w:rsidRPr="001606F5">
        <w:rPr>
          <w:rFonts w:asciiTheme="majorBidi" w:hAnsiTheme="majorBidi" w:cstheme="majorBidi"/>
          <w:sz w:val="24"/>
          <w:szCs w:val="24"/>
        </w:rPr>
        <w:t xml:space="preserve"> includ</w:t>
      </w:r>
      <w:r w:rsidR="00F64A25">
        <w:rPr>
          <w:rFonts w:asciiTheme="majorBidi" w:hAnsiTheme="majorBidi" w:cstheme="majorBidi"/>
          <w:sz w:val="24"/>
          <w:szCs w:val="24"/>
        </w:rPr>
        <w:t>ing</w:t>
      </w:r>
      <w:r w:rsidR="00153EE6" w:rsidRPr="001606F5">
        <w:rPr>
          <w:rFonts w:asciiTheme="majorBidi" w:hAnsiTheme="majorBidi" w:cstheme="majorBidi"/>
          <w:sz w:val="24"/>
          <w:szCs w:val="24"/>
        </w:rPr>
        <w:t xml:space="preserve"> all positive acts, such as the want to explore, remain, </w:t>
      </w:r>
      <w:r w:rsidR="00F64A25">
        <w:rPr>
          <w:rFonts w:asciiTheme="majorBidi" w:hAnsiTheme="majorBidi" w:cstheme="majorBidi"/>
          <w:sz w:val="24"/>
          <w:szCs w:val="24"/>
        </w:rPr>
        <w:t xml:space="preserve">or </w:t>
      </w:r>
      <w:r w:rsidR="00153EE6" w:rsidRPr="001606F5">
        <w:rPr>
          <w:rFonts w:asciiTheme="majorBidi" w:hAnsiTheme="majorBidi" w:cstheme="majorBidi"/>
          <w:sz w:val="24"/>
          <w:szCs w:val="24"/>
        </w:rPr>
        <w:t>associate</w:t>
      </w:r>
      <w:r w:rsidR="00D03698">
        <w:rPr>
          <w:rFonts w:asciiTheme="majorBidi" w:hAnsiTheme="majorBidi" w:cstheme="majorBidi"/>
          <w:sz w:val="24"/>
          <w:szCs w:val="24"/>
        </w:rPr>
        <w:t>,</w:t>
      </w:r>
      <w:r w:rsidR="00153EE6">
        <w:rPr>
          <w:rFonts w:asciiTheme="majorBidi" w:hAnsiTheme="majorBidi" w:cstheme="majorBidi"/>
          <w:sz w:val="24"/>
          <w:szCs w:val="24"/>
        </w:rPr>
        <w:t xml:space="preserve"> </w:t>
      </w:r>
      <w:r w:rsidR="00F64A25">
        <w:rPr>
          <w:rFonts w:asciiTheme="majorBidi" w:hAnsiTheme="majorBidi" w:cstheme="majorBidi"/>
          <w:sz w:val="24"/>
          <w:szCs w:val="24"/>
        </w:rPr>
        <w:t>or</w:t>
      </w:r>
      <w:r w:rsidR="00153EE6" w:rsidRPr="001606F5">
        <w:rPr>
          <w:rFonts w:asciiTheme="majorBidi" w:hAnsiTheme="majorBidi" w:cstheme="majorBidi"/>
          <w:sz w:val="24"/>
          <w:szCs w:val="24"/>
        </w:rPr>
        <w:t xml:space="preserve"> avoid behaviours encompass</w:t>
      </w:r>
      <w:r w:rsidR="00F64A25">
        <w:rPr>
          <w:rFonts w:asciiTheme="majorBidi" w:hAnsiTheme="majorBidi" w:cstheme="majorBidi"/>
          <w:sz w:val="24"/>
          <w:szCs w:val="24"/>
        </w:rPr>
        <w:t>ing</w:t>
      </w:r>
      <w:r w:rsidR="00153EE6" w:rsidRPr="001606F5">
        <w:rPr>
          <w:rFonts w:asciiTheme="majorBidi" w:hAnsiTheme="majorBidi" w:cstheme="majorBidi"/>
          <w:sz w:val="24"/>
          <w:szCs w:val="24"/>
        </w:rPr>
        <w:t xml:space="preserve"> the reverse, such as the desire not to positively act</w:t>
      </w:r>
      <w:r w:rsidR="00153EE6">
        <w:rPr>
          <w:rFonts w:asciiTheme="majorBidi" w:hAnsiTheme="majorBidi" w:cstheme="majorBidi"/>
          <w:sz w:val="24"/>
          <w:szCs w:val="24"/>
        </w:rPr>
        <w:t xml:space="preserve">. Based on the SOR </w:t>
      </w:r>
      <w:r w:rsidR="00E120F3">
        <w:rPr>
          <w:rFonts w:asciiTheme="majorBidi" w:hAnsiTheme="majorBidi" w:cstheme="majorBidi"/>
          <w:sz w:val="24"/>
          <w:szCs w:val="24"/>
        </w:rPr>
        <w:t>model</w:t>
      </w:r>
      <w:r w:rsidR="00153EE6">
        <w:rPr>
          <w:rFonts w:asciiTheme="majorBidi" w:hAnsiTheme="majorBidi" w:cstheme="majorBidi"/>
          <w:sz w:val="24"/>
          <w:szCs w:val="24"/>
        </w:rPr>
        <w:t xml:space="preserve">, </w:t>
      </w:r>
      <w:r w:rsidR="00153EE6" w:rsidRPr="00B55EB8">
        <w:rPr>
          <w:rFonts w:asciiTheme="majorBidi" w:hAnsiTheme="majorBidi" w:cstheme="majorBidi"/>
          <w:sz w:val="24"/>
          <w:szCs w:val="24"/>
        </w:rPr>
        <w:t xml:space="preserve">stimuli </w:t>
      </w:r>
      <w:r w:rsidR="00153EE6">
        <w:rPr>
          <w:rFonts w:asciiTheme="majorBidi" w:hAnsiTheme="majorBidi" w:cstheme="majorBidi"/>
          <w:sz w:val="24"/>
          <w:szCs w:val="24"/>
        </w:rPr>
        <w:t>are</w:t>
      </w:r>
      <w:r w:rsidR="00153EE6" w:rsidRPr="00B55EB8">
        <w:rPr>
          <w:rFonts w:asciiTheme="majorBidi" w:hAnsiTheme="majorBidi" w:cstheme="majorBidi"/>
          <w:sz w:val="24"/>
          <w:szCs w:val="24"/>
        </w:rPr>
        <w:t xml:space="preserve"> cues that can stimulate individuals’ </w:t>
      </w:r>
      <w:r w:rsidR="00153EE6" w:rsidRPr="00BE4AE5">
        <w:rPr>
          <w:rFonts w:asciiTheme="majorBidi" w:hAnsiTheme="majorBidi" w:cstheme="majorBidi"/>
          <w:sz w:val="24"/>
          <w:szCs w:val="24"/>
        </w:rPr>
        <w:t>organism</w:t>
      </w:r>
      <w:r w:rsidR="00E120F3">
        <w:rPr>
          <w:rFonts w:asciiTheme="majorBidi" w:hAnsiTheme="majorBidi" w:cstheme="majorBidi"/>
          <w:sz w:val="24"/>
          <w:szCs w:val="24"/>
        </w:rPr>
        <w:t xml:space="preserve"> </w:t>
      </w:r>
      <w:bookmarkStart w:id="115" w:name="_Hlk145534467"/>
      <w:sdt>
        <w:sdtPr>
          <w:rPr>
            <w:rFonts w:asciiTheme="majorBidi" w:hAnsiTheme="majorBidi" w:cstheme="majorBidi"/>
            <w:sz w:val="24"/>
            <w:szCs w:val="24"/>
          </w:rPr>
          <w:id w:val="790322325"/>
          <w:citation/>
        </w:sdtPr>
        <w:sdtContent>
          <w:r w:rsidR="00E120F3">
            <w:rPr>
              <w:rFonts w:asciiTheme="majorBidi" w:hAnsiTheme="majorBidi" w:cstheme="majorBidi"/>
              <w:sz w:val="24"/>
              <w:szCs w:val="24"/>
            </w:rPr>
            <w:fldChar w:fldCharType="begin"/>
          </w:r>
          <w:r w:rsidR="00E120F3">
            <w:rPr>
              <w:rFonts w:asciiTheme="majorBidi" w:hAnsiTheme="majorBidi" w:cstheme="majorBidi"/>
              <w:sz w:val="24"/>
              <w:szCs w:val="24"/>
            </w:rPr>
            <w:instrText xml:space="preserve"> CITATION Meh74 \l 2057 </w:instrText>
          </w:r>
          <w:r w:rsidR="00E120F3">
            <w:rPr>
              <w:rFonts w:asciiTheme="majorBidi" w:hAnsiTheme="majorBidi" w:cstheme="majorBidi"/>
              <w:sz w:val="24"/>
              <w:szCs w:val="24"/>
            </w:rPr>
            <w:fldChar w:fldCharType="separate"/>
          </w:r>
          <w:r w:rsidR="00E120F3">
            <w:rPr>
              <w:rFonts w:asciiTheme="majorBidi" w:hAnsiTheme="majorBidi" w:cstheme="majorBidi"/>
              <w:noProof/>
              <w:sz w:val="24"/>
              <w:szCs w:val="24"/>
            </w:rPr>
            <w:t xml:space="preserve"> </w:t>
          </w:r>
          <w:r w:rsidR="00E120F3" w:rsidRPr="000F60CD">
            <w:rPr>
              <w:rFonts w:asciiTheme="majorBidi" w:hAnsiTheme="majorBidi" w:cstheme="majorBidi"/>
              <w:noProof/>
              <w:sz w:val="24"/>
              <w:szCs w:val="24"/>
            </w:rPr>
            <w:t>(Mehrabian &amp; Russell, 1974)</w:t>
          </w:r>
          <w:r w:rsidR="00E120F3">
            <w:rPr>
              <w:rFonts w:asciiTheme="majorBidi" w:hAnsiTheme="majorBidi" w:cstheme="majorBidi"/>
              <w:sz w:val="24"/>
              <w:szCs w:val="24"/>
            </w:rPr>
            <w:fldChar w:fldCharType="end"/>
          </w:r>
        </w:sdtContent>
      </w:sdt>
      <w:r w:rsidR="00E120F3" w:rsidRPr="00B55EB8">
        <w:rPr>
          <w:rFonts w:asciiTheme="majorBidi" w:hAnsiTheme="majorBidi" w:cstheme="majorBidi"/>
          <w:sz w:val="24"/>
          <w:szCs w:val="24"/>
        </w:rPr>
        <w:t xml:space="preserve">. </w:t>
      </w:r>
      <w:bookmarkEnd w:id="115"/>
      <w:r w:rsidR="00E120F3">
        <w:rPr>
          <w:rFonts w:asciiTheme="majorBidi" w:hAnsiTheme="majorBidi" w:cstheme="majorBidi"/>
          <w:sz w:val="24"/>
          <w:szCs w:val="24"/>
        </w:rPr>
        <w:t>Organism</w:t>
      </w:r>
      <w:r w:rsidR="00153EE6" w:rsidRPr="00BE4AE5">
        <w:rPr>
          <w:rFonts w:asciiTheme="majorBidi" w:hAnsiTheme="majorBidi" w:cstheme="majorBidi"/>
          <w:sz w:val="24"/>
          <w:szCs w:val="24"/>
        </w:rPr>
        <w:t xml:space="preserve"> </w:t>
      </w:r>
      <w:r w:rsidR="00E120F3">
        <w:rPr>
          <w:rFonts w:asciiTheme="majorBidi" w:hAnsiTheme="majorBidi" w:cstheme="majorBidi"/>
          <w:sz w:val="24"/>
          <w:szCs w:val="24"/>
        </w:rPr>
        <w:t xml:space="preserve">refers to individuals’ </w:t>
      </w:r>
      <w:r w:rsidR="00153EE6" w:rsidRPr="009F574A">
        <w:rPr>
          <w:rFonts w:asciiTheme="majorBidi" w:hAnsiTheme="majorBidi" w:cstheme="majorBidi"/>
          <w:sz w:val="24"/>
          <w:szCs w:val="24"/>
        </w:rPr>
        <w:t>self-assessment and emotional reactions</w:t>
      </w:r>
      <w:r w:rsidR="00F93437" w:rsidRPr="00BE4AE5">
        <w:rPr>
          <w:rFonts w:asciiTheme="majorBidi" w:hAnsiTheme="majorBidi" w:cstheme="majorBidi"/>
          <w:sz w:val="24"/>
          <w:szCs w:val="24"/>
        </w:rPr>
        <w:t xml:space="preserve"> towards an object</w:t>
      </w:r>
      <w:r w:rsidR="00153EE6" w:rsidRPr="00B55EB8">
        <w:rPr>
          <w:rFonts w:asciiTheme="majorBidi" w:hAnsiTheme="majorBidi" w:cstheme="majorBidi"/>
          <w:sz w:val="24"/>
          <w:szCs w:val="24"/>
        </w:rPr>
        <w:t xml:space="preserve"> which leads to negative or positive behaviour or response</w:t>
      </w:r>
      <w:r w:rsidR="00153EE6">
        <w:rPr>
          <w:rFonts w:asciiTheme="majorBidi" w:hAnsiTheme="majorBidi" w:cstheme="majorBidi"/>
          <w:sz w:val="24"/>
          <w:szCs w:val="24"/>
        </w:rPr>
        <w:t xml:space="preserve"> such as searching for </w:t>
      </w:r>
      <w:r w:rsidR="00F64A25">
        <w:rPr>
          <w:rFonts w:asciiTheme="majorBidi" w:hAnsiTheme="majorBidi" w:cstheme="majorBidi"/>
          <w:sz w:val="24"/>
          <w:szCs w:val="24"/>
        </w:rPr>
        <w:t>a</w:t>
      </w:r>
      <w:r w:rsidR="00153EE6">
        <w:rPr>
          <w:rFonts w:asciiTheme="majorBidi" w:hAnsiTheme="majorBidi" w:cstheme="majorBidi"/>
          <w:sz w:val="24"/>
          <w:szCs w:val="24"/>
        </w:rPr>
        <w:t xml:space="preserve"> store or purchase intention</w:t>
      </w:r>
      <w:r w:rsidR="00F64A25">
        <w:rPr>
          <w:rFonts w:asciiTheme="majorBidi" w:hAnsiTheme="majorBidi" w:cstheme="majorBidi"/>
          <w:sz w:val="24"/>
          <w:szCs w:val="24"/>
        </w:rPr>
        <w:t xml:space="preserve"> of a product or service</w:t>
      </w:r>
      <w:sdt>
        <w:sdtPr>
          <w:rPr>
            <w:rFonts w:asciiTheme="majorBidi" w:hAnsiTheme="majorBidi" w:cstheme="majorBidi"/>
            <w:sz w:val="24"/>
            <w:szCs w:val="24"/>
          </w:rPr>
          <w:id w:val="1433239666"/>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Meh74 \l 2057 </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(Mehrabian &amp; Russell, 1974)</w:t>
          </w:r>
          <w:r w:rsidR="00153EE6">
            <w:rPr>
              <w:rFonts w:asciiTheme="majorBidi" w:hAnsiTheme="majorBidi" w:cstheme="majorBidi"/>
              <w:sz w:val="24"/>
              <w:szCs w:val="24"/>
            </w:rPr>
            <w:fldChar w:fldCharType="end"/>
          </w:r>
        </w:sdtContent>
      </w:sdt>
      <w:r w:rsidR="00153EE6" w:rsidRPr="00B55EB8">
        <w:rPr>
          <w:rFonts w:asciiTheme="majorBidi" w:hAnsiTheme="majorBidi" w:cstheme="majorBidi"/>
          <w:sz w:val="24"/>
          <w:szCs w:val="24"/>
        </w:rPr>
        <w:t xml:space="preserve">. </w:t>
      </w:r>
      <w:r w:rsidR="00C52CB7" w:rsidRPr="00C52CB7">
        <w:rPr>
          <w:rFonts w:asciiTheme="majorBidi" w:hAnsiTheme="majorBidi" w:cstheme="majorBidi"/>
          <w:sz w:val="24"/>
          <w:szCs w:val="24"/>
        </w:rPr>
        <w:t>The S-O-R Model proposes that environmental cues are stimuli that influence a person's affective and cognitive reactions, which in turn influence</w:t>
      </w:r>
      <w:r w:rsidR="00C52CB7">
        <w:rPr>
          <w:rFonts w:asciiTheme="majorBidi" w:hAnsiTheme="majorBidi" w:cstheme="majorBidi"/>
          <w:sz w:val="24"/>
          <w:szCs w:val="24"/>
        </w:rPr>
        <w:t xml:space="preserve"> response</w:t>
      </w:r>
      <w:r w:rsidR="00C52CB7" w:rsidRPr="00C52CB7">
        <w:rPr>
          <w:rFonts w:asciiTheme="majorBidi" w:hAnsiTheme="majorBidi" w:cstheme="majorBidi"/>
          <w:sz w:val="24"/>
          <w:szCs w:val="24"/>
        </w:rPr>
        <w:t xml:space="preserve"> </w:t>
      </w:r>
      <w:sdt>
        <w:sdtPr>
          <w:rPr>
            <w:rFonts w:asciiTheme="majorBidi" w:hAnsiTheme="majorBidi" w:cstheme="majorBidi"/>
            <w:sz w:val="24"/>
            <w:szCs w:val="24"/>
          </w:rPr>
          <w:id w:val="1842817813"/>
          <w:citation/>
        </w:sdtPr>
        <w:sdtContent>
          <w:r w:rsidR="00C52CB7">
            <w:rPr>
              <w:rFonts w:asciiTheme="majorBidi" w:hAnsiTheme="majorBidi" w:cstheme="majorBidi"/>
              <w:sz w:val="24"/>
              <w:szCs w:val="24"/>
            </w:rPr>
            <w:fldChar w:fldCharType="begin"/>
          </w:r>
          <w:r w:rsidR="00C52CB7">
            <w:rPr>
              <w:rFonts w:asciiTheme="majorBidi" w:hAnsiTheme="majorBidi" w:cstheme="majorBidi"/>
              <w:sz w:val="24"/>
              <w:szCs w:val="24"/>
            </w:rPr>
            <w:instrText xml:space="preserve"> CITATION Jia10 \l 2057 </w:instrText>
          </w:r>
          <w:r w:rsidR="00C52CB7">
            <w:rPr>
              <w:rFonts w:asciiTheme="majorBidi" w:hAnsiTheme="majorBidi" w:cstheme="majorBidi"/>
              <w:sz w:val="24"/>
              <w:szCs w:val="24"/>
            </w:rPr>
            <w:fldChar w:fldCharType="separate"/>
          </w:r>
          <w:r w:rsidR="00C52CB7" w:rsidRPr="007334E2">
            <w:rPr>
              <w:rFonts w:asciiTheme="majorBidi" w:hAnsiTheme="majorBidi" w:cstheme="majorBidi"/>
              <w:noProof/>
              <w:sz w:val="24"/>
              <w:szCs w:val="24"/>
            </w:rPr>
            <w:t>(Jiang, Chan, Tan, &amp; Chua, 2010)</w:t>
          </w:r>
          <w:r w:rsidR="00C52CB7">
            <w:rPr>
              <w:rFonts w:asciiTheme="majorBidi" w:hAnsiTheme="majorBidi" w:cstheme="majorBidi"/>
              <w:sz w:val="24"/>
              <w:szCs w:val="24"/>
            </w:rPr>
            <w:fldChar w:fldCharType="end"/>
          </w:r>
        </w:sdtContent>
      </w:sdt>
      <w:r w:rsidR="00C52CB7">
        <w:rPr>
          <w:rFonts w:asciiTheme="majorBidi" w:hAnsiTheme="majorBidi" w:cstheme="majorBidi"/>
          <w:sz w:val="24"/>
          <w:szCs w:val="24"/>
        </w:rPr>
        <w:t>.</w:t>
      </w:r>
    </w:p>
    <w:p w14:paraId="34AD7CC3" w14:textId="4F95CD81" w:rsidR="00153EE6" w:rsidRDefault="00153EE6" w:rsidP="005B38F6">
      <w:pPr>
        <w:adjustRightInd w:val="0"/>
        <w:spacing w:after="0" w:line="480" w:lineRule="auto"/>
        <w:ind w:firstLine="720"/>
        <w:rPr>
          <w:rFonts w:asciiTheme="majorBidi" w:hAnsiTheme="majorBidi" w:cstheme="majorBidi"/>
          <w:sz w:val="24"/>
          <w:szCs w:val="24"/>
        </w:rPr>
      </w:pPr>
      <w:r w:rsidRPr="00B55EB8">
        <w:rPr>
          <w:rFonts w:asciiTheme="majorBidi" w:hAnsiTheme="majorBidi" w:cstheme="majorBidi"/>
          <w:sz w:val="24"/>
          <w:szCs w:val="24"/>
        </w:rPr>
        <w:t xml:space="preserve">Other studies further </w:t>
      </w:r>
      <w:r>
        <w:rPr>
          <w:rFonts w:asciiTheme="majorBidi" w:hAnsiTheme="majorBidi" w:cstheme="majorBidi"/>
          <w:sz w:val="24"/>
          <w:szCs w:val="24"/>
        </w:rPr>
        <w:t xml:space="preserve">elaborated </w:t>
      </w:r>
      <w:r w:rsidRPr="00B55EB8">
        <w:rPr>
          <w:rFonts w:asciiTheme="majorBidi" w:hAnsiTheme="majorBidi" w:cstheme="majorBidi"/>
          <w:sz w:val="24"/>
          <w:szCs w:val="24"/>
        </w:rPr>
        <w:t xml:space="preserve">the determinants of SOR by explaining that </w:t>
      </w:r>
      <w:r>
        <w:rPr>
          <w:rFonts w:asciiTheme="majorBidi" w:hAnsiTheme="majorBidi" w:cstheme="majorBidi"/>
          <w:sz w:val="24"/>
          <w:szCs w:val="24"/>
        </w:rPr>
        <w:t xml:space="preserve">the </w:t>
      </w:r>
      <w:r w:rsidRPr="00B55EB8">
        <w:rPr>
          <w:rFonts w:asciiTheme="majorBidi" w:hAnsiTheme="majorBidi" w:cstheme="majorBidi"/>
          <w:sz w:val="24"/>
          <w:szCs w:val="24"/>
        </w:rPr>
        <w:t>stimul</w:t>
      </w:r>
      <w:r w:rsidR="00B54B9E">
        <w:rPr>
          <w:rFonts w:asciiTheme="majorBidi" w:hAnsiTheme="majorBidi" w:cstheme="majorBidi"/>
          <w:sz w:val="24"/>
          <w:szCs w:val="24"/>
        </w:rPr>
        <w:t>i</w:t>
      </w:r>
      <w:r w:rsidRPr="00B55EB8">
        <w:rPr>
          <w:rFonts w:asciiTheme="majorBidi" w:hAnsiTheme="majorBidi" w:cstheme="majorBidi"/>
          <w:sz w:val="24"/>
          <w:szCs w:val="24"/>
        </w:rPr>
        <w:t>(such as social media marketing activities</w:t>
      </w:r>
      <w:sdt>
        <w:sdtPr>
          <w:rPr>
            <w:rFonts w:asciiTheme="majorBidi" w:hAnsiTheme="majorBidi" w:cstheme="majorBidi"/>
            <w:sz w:val="24"/>
            <w:szCs w:val="24"/>
          </w:rPr>
          <w:id w:val="-10172868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Koa20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(Koay, Ong, Khoo, &amp; Yeoh, 2020)</w:t>
          </w:r>
          <w:r>
            <w:rPr>
              <w:rFonts w:asciiTheme="majorBidi" w:hAnsiTheme="majorBidi" w:cstheme="majorBidi"/>
              <w:sz w:val="24"/>
              <w:szCs w:val="24"/>
            </w:rPr>
            <w:fldChar w:fldCharType="end"/>
          </w:r>
        </w:sdtContent>
      </w:sdt>
      <w:r w:rsidRPr="00B55EB8">
        <w:rPr>
          <w:rFonts w:asciiTheme="majorBidi" w:hAnsiTheme="majorBidi" w:cstheme="majorBidi"/>
          <w:sz w:val="24"/>
          <w:szCs w:val="24"/>
        </w:rPr>
        <w:t xml:space="preserve">) </w:t>
      </w:r>
      <w:r w:rsidR="00B54B9E">
        <w:rPr>
          <w:rFonts w:asciiTheme="majorBidi" w:hAnsiTheme="majorBidi" w:cstheme="majorBidi"/>
          <w:sz w:val="24"/>
          <w:szCs w:val="24"/>
        </w:rPr>
        <w:t>can be</w:t>
      </w:r>
      <w:r w:rsidRPr="00B55EB8">
        <w:rPr>
          <w:rFonts w:asciiTheme="majorBidi" w:hAnsiTheme="majorBidi" w:cstheme="majorBidi"/>
          <w:sz w:val="24"/>
          <w:szCs w:val="24"/>
        </w:rPr>
        <w:t xml:space="preserve"> an</w:t>
      </w:r>
      <w:r w:rsidR="005B38F6">
        <w:rPr>
          <w:rFonts w:asciiTheme="majorBidi" w:hAnsiTheme="majorBidi" w:cstheme="majorBidi"/>
          <w:sz w:val="24"/>
          <w:szCs w:val="24"/>
        </w:rPr>
        <w:t>y</w:t>
      </w:r>
      <w:r w:rsidRPr="00B55EB8">
        <w:rPr>
          <w:rFonts w:asciiTheme="majorBidi" w:hAnsiTheme="majorBidi" w:cstheme="majorBidi"/>
          <w:sz w:val="24"/>
          <w:szCs w:val="24"/>
        </w:rPr>
        <w:t xml:space="preserve"> element</w:t>
      </w:r>
      <w:r w:rsidR="00B54B9E">
        <w:rPr>
          <w:rFonts w:asciiTheme="majorBidi" w:hAnsiTheme="majorBidi" w:cstheme="majorBidi"/>
          <w:sz w:val="24"/>
          <w:szCs w:val="24"/>
        </w:rPr>
        <w:t>s</w:t>
      </w:r>
      <w:r w:rsidRPr="00B55EB8">
        <w:rPr>
          <w:rFonts w:asciiTheme="majorBidi" w:hAnsiTheme="majorBidi" w:cstheme="majorBidi"/>
          <w:sz w:val="24"/>
          <w:szCs w:val="24"/>
        </w:rPr>
        <w:t xml:space="preserve"> of the external environment that has the potential to impact people’s cognitive and mental states</w:t>
      </w:r>
      <w:sdt>
        <w:sdtPr>
          <w:rPr>
            <w:rFonts w:asciiTheme="majorBidi" w:hAnsiTheme="majorBidi" w:cstheme="majorBidi"/>
            <w:sz w:val="24"/>
            <w:szCs w:val="24"/>
          </w:rPr>
          <w:id w:val="-141400321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Lin16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(Lin &amp; Lo, 2016)</w:t>
          </w:r>
          <w:r>
            <w:rPr>
              <w:rFonts w:asciiTheme="majorBidi" w:hAnsiTheme="majorBidi" w:cstheme="majorBidi"/>
              <w:sz w:val="24"/>
              <w:szCs w:val="24"/>
            </w:rPr>
            <w:fldChar w:fldCharType="end"/>
          </w:r>
        </w:sdtContent>
      </w:sdt>
      <w:r w:rsidRPr="00B55EB8">
        <w:rPr>
          <w:rFonts w:asciiTheme="majorBidi" w:hAnsiTheme="majorBidi" w:cstheme="majorBidi"/>
          <w:sz w:val="24"/>
          <w:szCs w:val="24"/>
        </w:rPr>
        <w:t xml:space="preserve">. Subsequently, </w:t>
      </w:r>
      <w:r w:rsidRPr="001A2A48">
        <w:rPr>
          <w:rFonts w:asciiTheme="majorBidi" w:hAnsiTheme="majorBidi" w:cstheme="majorBidi"/>
          <w:sz w:val="24"/>
          <w:szCs w:val="24"/>
        </w:rPr>
        <w:t>the organism, which refers to people’s attitudes and feelings towards the stimulus,</w:t>
      </w:r>
      <w:r w:rsidRPr="00B55EB8">
        <w:rPr>
          <w:rFonts w:asciiTheme="majorBidi" w:hAnsiTheme="majorBidi" w:cstheme="majorBidi"/>
          <w:sz w:val="24"/>
          <w:szCs w:val="24"/>
        </w:rPr>
        <w:t xml:space="preserve"> will lead to internal or external </w:t>
      </w:r>
      <w:r w:rsidR="001A2A48">
        <w:rPr>
          <w:rFonts w:asciiTheme="majorBidi" w:hAnsiTheme="majorBidi" w:cstheme="majorBidi"/>
          <w:sz w:val="24"/>
          <w:szCs w:val="24"/>
        </w:rPr>
        <w:t>responses</w:t>
      </w:r>
      <w:sdt>
        <w:sdtPr>
          <w:rPr>
            <w:rFonts w:asciiTheme="majorBidi" w:hAnsiTheme="majorBidi" w:cstheme="majorBidi"/>
            <w:sz w:val="24"/>
            <w:szCs w:val="24"/>
          </w:rPr>
          <w:id w:val="83211624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Att22 \l 2057  \m Liu191</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(Attiq, Hamid, Khokhar, Shah, &amp; Shahzad, 2022; Liu &amp; Zheng, 2019)</w:t>
          </w:r>
          <w:r>
            <w:rPr>
              <w:rFonts w:asciiTheme="majorBidi" w:hAnsiTheme="majorBidi" w:cstheme="majorBidi"/>
              <w:sz w:val="24"/>
              <w:szCs w:val="24"/>
            </w:rPr>
            <w:fldChar w:fldCharType="end"/>
          </w:r>
        </w:sdtContent>
      </w:sdt>
      <w:r w:rsidRPr="00B55EB8">
        <w:rPr>
          <w:rFonts w:asciiTheme="majorBidi" w:hAnsiTheme="majorBidi" w:cstheme="majorBidi"/>
          <w:sz w:val="24"/>
          <w:szCs w:val="24"/>
        </w:rPr>
        <w:t>.</w:t>
      </w:r>
      <w:r>
        <w:rPr>
          <w:rFonts w:asciiTheme="majorBidi" w:hAnsiTheme="majorBidi" w:cstheme="majorBidi"/>
          <w:sz w:val="24"/>
          <w:szCs w:val="24"/>
        </w:rPr>
        <w:t xml:space="preserve"> </w:t>
      </w:r>
      <w:r w:rsidR="00906B15">
        <w:rPr>
          <w:rFonts w:asciiTheme="majorBidi" w:hAnsiTheme="majorBidi" w:cstheme="majorBidi"/>
          <w:sz w:val="24"/>
          <w:szCs w:val="24"/>
        </w:rPr>
        <w:t xml:space="preserve">Internal responses refer to feelings of affection or cognitive </w:t>
      </w:r>
      <w:r w:rsidR="008573CD">
        <w:rPr>
          <w:rFonts w:asciiTheme="majorBidi" w:hAnsiTheme="majorBidi" w:cstheme="majorBidi"/>
          <w:sz w:val="24"/>
          <w:szCs w:val="24"/>
        </w:rPr>
        <w:t>thoughts towards the stimuli</w:t>
      </w:r>
      <w:r w:rsidR="00906B15">
        <w:rPr>
          <w:rFonts w:asciiTheme="majorBidi" w:hAnsiTheme="majorBidi" w:cstheme="majorBidi"/>
          <w:sz w:val="24"/>
          <w:szCs w:val="24"/>
        </w:rPr>
        <w:t xml:space="preserve"> and external responses</w:t>
      </w:r>
      <w:r w:rsidR="008573CD">
        <w:rPr>
          <w:rFonts w:asciiTheme="majorBidi" w:hAnsiTheme="majorBidi" w:cstheme="majorBidi"/>
          <w:sz w:val="24"/>
          <w:szCs w:val="24"/>
        </w:rPr>
        <w:t xml:space="preserve"> refer to actions or behaviours</w:t>
      </w:r>
      <w:bookmarkStart w:id="116" w:name="_Hlk146410216"/>
      <w:r w:rsidR="00180B02">
        <w:rPr>
          <w:rFonts w:asciiTheme="majorBidi" w:hAnsiTheme="majorBidi" w:cstheme="majorBidi"/>
          <w:sz w:val="24"/>
          <w:szCs w:val="24"/>
        </w:rPr>
        <w:t xml:space="preserve"> </w:t>
      </w:r>
      <w:sdt>
        <w:sdtPr>
          <w:rPr>
            <w:rFonts w:asciiTheme="majorBidi" w:hAnsiTheme="majorBidi" w:cstheme="majorBidi"/>
            <w:sz w:val="24"/>
            <w:szCs w:val="24"/>
          </w:rPr>
          <w:id w:val="-2112894601"/>
          <w:citation/>
        </w:sdtPr>
        <w:sdtContent>
          <w:r w:rsidR="00180B02">
            <w:rPr>
              <w:rFonts w:asciiTheme="majorBidi" w:hAnsiTheme="majorBidi" w:cstheme="majorBidi"/>
              <w:sz w:val="24"/>
              <w:szCs w:val="24"/>
            </w:rPr>
            <w:fldChar w:fldCharType="begin"/>
          </w:r>
          <w:r w:rsidR="00180B02">
            <w:rPr>
              <w:rFonts w:asciiTheme="majorBidi" w:hAnsiTheme="majorBidi" w:cstheme="majorBidi"/>
              <w:sz w:val="24"/>
              <w:szCs w:val="24"/>
            </w:rPr>
            <w:instrText xml:space="preserve">CITATION Att22 \m Jac021 \t  \l 2057 </w:instrText>
          </w:r>
          <w:r w:rsidR="00180B02">
            <w:rPr>
              <w:rFonts w:asciiTheme="majorBidi" w:hAnsiTheme="majorBidi" w:cstheme="majorBidi"/>
              <w:sz w:val="24"/>
              <w:szCs w:val="24"/>
            </w:rPr>
            <w:fldChar w:fldCharType="separate"/>
          </w:r>
          <w:r w:rsidR="00180B02" w:rsidRPr="00180B02">
            <w:rPr>
              <w:rFonts w:asciiTheme="majorBidi" w:hAnsiTheme="majorBidi" w:cstheme="majorBidi"/>
              <w:noProof/>
              <w:sz w:val="24"/>
              <w:szCs w:val="24"/>
            </w:rPr>
            <w:t>(Attiq, Hamid, Khokhar, Shah, &amp; Shahzad, 2022; Jacoby, 2002)</w:t>
          </w:r>
          <w:r w:rsidR="00180B02">
            <w:rPr>
              <w:rFonts w:asciiTheme="majorBidi" w:hAnsiTheme="majorBidi" w:cstheme="majorBidi"/>
              <w:sz w:val="24"/>
              <w:szCs w:val="24"/>
            </w:rPr>
            <w:fldChar w:fldCharType="end"/>
          </w:r>
        </w:sdtContent>
      </w:sdt>
      <w:bookmarkEnd w:id="116"/>
      <w:r w:rsidR="008573CD">
        <w:rPr>
          <w:rFonts w:asciiTheme="majorBidi" w:hAnsiTheme="majorBidi" w:cstheme="majorBidi"/>
          <w:sz w:val="24"/>
          <w:szCs w:val="24"/>
        </w:rPr>
        <w:t xml:space="preserve">. </w:t>
      </w:r>
      <w:r w:rsidR="00F72AF6">
        <w:rPr>
          <w:rFonts w:asciiTheme="majorBidi" w:hAnsiTheme="majorBidi" w:cstheme="majorBidi"/>
          <w:sz w:val="24"/>
          <w:szCs w:val="24"/>
        </w:rPr>
        <w:t>The</w:t>
      </w:r>
      <w:r>
        <w:rPr>
          <w:rFonts w:asciiTheme="majorBidi" w:hAnsiTheme="majorBidi" w:cstheme="majorBidi"/>
          <w:sz w:val="24"/>
          <w:szCs w:val="24"/>
        </w:rPr>
        <w:t xml:space="preserve"> stimulus or the source</w:t>
      </w:r>
      <w:r w:rsidRPr="00B55EB8">
        <w:rPr>
          <w:rFonts w:asciiTheme="majorBidi" w:hAnsiTheme="majorBidi" w:cstheme="majorBidi"/>
          <w:sz w:val="24"/>
          <w:szCs w:val="24"/>
        </w:rPr>
        <w:t xml:space="preserve"> like commitment, trust, and </w:t>
      </w:r>
      <w:r>
        <w:rPr>
          <w:rFonts w:asciiTheme="majorBidi" w:hAnsiTheme="majorBidi" w:cstheme="majorBidi"/>
          <w:sz w:val="24"/>
          <w:szCs w:val="24"/>
        </w:rPr>
        <w:t>satisfaction</w:t>
      </w:r>
      <w:r w:rsidRPr="00B55EB8">
        <w:rPr>
          <w:rFonts w:asciiTheme="majorBidi" w:hAnsiTheme="majorBidi" w:cstheme="majorBidi"/>
          <w:sz w:val="24"/>
          <w:szCs w:val="24"/>
        </w:rPr>
        <w:t xml:space="preserve"> may </w:t>
      </w:r>
      <w:r w:rsidR="00F72AF6">
        <w:rPr>
          <w:rFonts w:asciiTheme="majorBidi" w:hAnsiTheme="majorBidi" w:cstheme="majorBidi"/>
          <w:sz w:val="24"/>
          <w:szCs w:val="24"/>
        </w:rPr>
        <w:t>occasionally</w:t>
      </w:r>
      <w:r w:rsidRPr="00B55EB8">
        <w:rPr>
          <w:rFonts w:asciiTheme="majorBidi" w:hAnsiTheme="majorBidi" w:cstheme="majorBidi"/>
          <w:sz w:val="24"/>
          <w:szCs w:val="24"/>
        </w:rPr>
        <w:t xml:space="preserve"> act as an organism that influences consumer behaviour</w:t>
      </w:r>
      <w:sdt>
        <w:sdtPr>
          <w:rPr>
            <w:rFonts w:asciiTheme="majorBidi" w:hAnsiTheme="majorBidi" w:cstheme="majorBidi"/>
            <w:sz w:val="24"/>
            <w:szCs w:val="24"/>
          </w:rPr>
          <w:id w:val="-798069342"/>
          <w:citation/>
        </w:sdtPr>
        <w:sdtContent>
          <w:r>
            <w:rPr>
              <w:rFonts w:asciiTheme="majorBidi" w:hAnsiTheme="majorBidi" w:cstheme="majorBidi"/>
              <w:sz w:val="24"/>
              <w:szCs w:val="24"/>
            </w:rPr>
            <w:fldChar w:fldCharType="begin"/>
          </w:r>
          <w:r w:rsidR="001A2A48">
            <w:rPr>
              <w:rFonts w:asciiTheme="majorBidi" w:hAnsiTheme="majorBidi" w:cstheme="majorBidi"/>
              <w:sz w:val="24"/>
              <w:szCs w:val="24"/>
            </w:rPr>
            <w:instrText xml:space="preserve">CITATION Izo17 \m Pyo22 \l 2057 </w:instrText>
          </w:r>
          <w:r>
            <w:rPr>
              <w:rFonts w:asciiTheme="majorBidi" w:hAnsiTheme="majorBidi" w:cstheme="majorBidi"/>
              <w:sz w:val="24"/>
              <w:szCs w:val="24"/>
            </w:rPr>
            <w:fldChar w:fldCharType="separate"/>
          </w:r>
          <w:r w:rsidR="001A2A48">
            <w:rPr>
              <w:rFonts w:asciiTheme="majorBidi" w:hAnsiTheme="majorBidi" w:cstheme="majorBidi"/>
              <w:noProof/>
              <w:sz w:val="24"/>
              <w:szCs w:val="24"/>
            </w:rPr>
            <w:t xml:space="preserve"> </w:t>
          </w:r>
          <w:r w:rsidR="001A2A48" w:rsidRPr="001A2A48">
            <w:rPr>
              <w:rFonts w:asciiTheme="majorBidi" w:hAnsiTheme="majorBidi" w:cstheme="majorBidi"/>
              <w:noProof/>
              <w:sz w:val="24"/>
              <w:szCs w:val="24"/>
            </w:rPr>
            <w:t>(Izogo, Reza, Ogba, &amp; Oraedu, 2017; Pyo &amp; Luang, 2022)</w:t>
          </w:r>
          <w:r>
            <w:rPr>
              <w:rFonts w:asciiTheme="majorBidi" w:hAnsiTheme="majorBidi" w:cstheme="majorBidi"/>
              <w:sz w:val="24"/>
              <w:szCs w:val="24"/>
            </w:rPr>
            <w:fldChar w:fldCharType="end"/>
          </w:r>
        </w:sdtContent>
      </w:sdt>
      <w:r w:rsidRPr="00B55EB8">
        <w:rPr>
          <w:rFonts w:asciiTheme="majorBidi" w:hAnsiTheme="majorBidi" w:cstheme="majorBidi"/>
          <w:sz w:val="24"/>
          <w:szCs w:val="24"/>
        </w:rPr>
        <w:t xml:space="preserve">. </w:t>
      </w:r>
      <w:r>
        <w:rPr>
          <w:rFonts w:asciiTheme="majorBidi" w:hAnsiTheme="majorBidi" w:cstheme="majorBidi"/>
          <w:sz w:val="24"/>
          <w:szCs w:val="24"/>
        </w:rPr>
        <w:t xml:space="preserve">Figure </w:t>
      </w:r>
      <w:r w:rsidR="0040301C">
        <w:rPr>
          <w:rFonts w:asciiTheme="majorBidi" w:hAnsiTheme="majorBidi" w:cstheme="majorBidi"/>
          <w:sz w:val="24"/>
          <w:szCs w:val="24"/>
        </w:rPr>
        <w:t>7</w:t>
      </w:r>
      <w:r>
        <w:rPr>
          <w:rFonts w:asciiTheme="majorBidi" w:hAnsiTheme="majorBidi" w:cstheme="majorBidi"/>
          <w:sz w:val="24"/>
          <w:szCs w:val="24"/>
        </w:rPr>
        <w:t xml:space="preserve"> summarises the determinants of SOR as </w:t>
      </w:r>
      <w:r w:rsidR="00C52CB7">
        <w:rPr>
          <w:rFonts w:asciiTheme="majorBidi" w:hAnsiTheme="majorBidi" w:cstheme="majorBidi"/>
          <w:sz w:val="24"/>
          <w:szCs w:val="24"/>
        </w:rPr>
        <w:t>originally developed by Mehrabian and Russell</w:t>
      </w:r>
      <w:r>
        <w:rPr>
          <w:rFonts w:asciiTheme="majorBidi" w:hAnsiTheme="majorBidi" w:cstheme="majorBidi"/>
          <w:sz w:val="24"/>
          <w:szCs w:val="24"/>
        </w:rPr>
        <w:t xml:space="preserve"> </w:t>
      </w:r>
      <w:sdt>
        <w:sdtPr>
          <w:rPr>
            <w:rFonts w:asciiTheme="majorBidi" w:hAnsiTheme="majorBidi" w:cstheme="majorBidi"/>
            <w:sz w:val="24"/>
            <w:szCs w:val="24"/>
          </w:rPr>
          <w:id w:val="816076631"/>
          <w:citation/>
        </w:sdtPr>
        <w:sdtContent>
          <w:r>
            <w:rPr>
              <w:rFonts w:asciiTheme="majorBidi" w:hAnsiTheme="majorBidi" w:cstheme="majorBidi"/>
              <w:sz w:val="24"/>
              <w:szCs w:val="24"/>
            </w:rPr>
            <w:fldChar w:fldCharType="begin"/>
          </w:r>
          <w:r w:rsidR="00C52CB7">
            <w:rPr>
              <w:rFonts w:asciiTheme="majorBidi" w:hAnsiTheme="majorBidi" w:cstheme="majorBidi"/>
              <w:sz w:val="24"/>
              <w:szCs w:val="24"/>
            </w:rPr>
            <w:instrText xml:space="preserve">CITATION Meh74 \n  \t  \l 2057 </w:instrText>
          </w:r>
          <w:r>
            <w:rPr>
              <w:rFonts w:asciiTheme="majorBidi" w:hAnsiTheme="majorBidi" w:cstheme="majorBidi"/>
              <w:sz w:val="24"/>
              <w:szCs w:val="24"/>
            </w:rPr>
            <w:fldChar w:fldCharType="separate"/>
          </w:r>
          <w:r w:rsidR="00C52CB7" w:rsidRPr="00C52CB7">
            <w:rPr>
              <w:rFonts w:asciiTheme="majorBidi" w:hAnsiTheme="majorBidi" w:cstheme="majorBidi"/>
              <w:noProof/>
              <w:sz w:val="24"/>
              <w:szCs w:val="24"/>
            </w:rPr>
            <w:t>(1974)</w:t>
          </w:r>
          <w:r>
            <w:rPr>
              <w:rFonts w:asciiTheme="majorBidi" w:hAnsiTheme="majorBidi" w:cstheme="majorBidi"/>
              <w:sz w:val="24"/>
              <w:szCs w:val="24"/>
            </w:rPr>
            <w:fldChar w:fldCharType="end"/>
          </w:r>
        </w:sdtContent>
      </w:sdt>
      <w:r w:rsidR="00E43AAC">
        <w:rPr>
          <w:rFonts w:asciiTheme="majorBidi" w:hAnsiTheme="majorBidi" w:cstheme="majorBidi"/>
          <w:sz w:val="24"/>
          <w:szCs w:val="24"/>
        </w:rPr>
        <w:t xml:space="preserve"> and </w:t>
      </w:r>
      <w:r w:rsidR="00E120F3">
        <w:rPr>
          <w:rFonts w:asciiTheme="majorBidi" w:hAnsiTheme="majorBidi" w:cstheme="majorBidi"/>
          <w:sz w:val="24"/>
          <w:szCs w:val="24"/>
        </w:rPr>
        <w:t>amended</w:t>
      </w:r>
      <w:r w:rsidR="00E43AAC">
        <w:rPr>
          <w:rFonts w:asciiTheme="majorBidi" w:hAnsiTheme="majorBidi" w:cstheme="majorBidi"/>
          <w:sz w:val="24"/>
          <w:szCs w:val="24"/>
        </w:rPr>
        <w:t xml:space="preserve"> by </w:t>
      </w:r>
      <w:r w:rsidR="005213C2">
        <w:rPr>
          <w:rFonts w:asciiTheme="majorBidi" w:hAnsiTheme="majorBidi" w:cstheme="majorBidi"/>
          <w:sz w:val="24"/>
          <w:szCs w:val="24"/>
        </w:rPr>
        <w:t xml:space="preserve">other researchers </w:t>
      </w:r>
      <w:sdt>
        <w:sdtPr>
          <w:rPr>
            <w:rFonts w:asciiTheme="majorBidi" w:hAnsiTheme="majorBidi" w:cstheme="majorBidi"/>
            <w:sz w:val="24"/>
            <w:szCs w:val="24"/>
          </w:rPr>
          <w:id w:val="46350031"/>
          <w:citation/>
        </w:sdtPr>
        <w:sdtContent>
          <w:r w:rsidR="005213C2">
            <w:rPr>
              <w:rFonts w:asciiTheme="majorBidi" w:hAnsiTheme="majorBidi" w:cstheme="majorBidi"/>
              <w:sz w:val="24"/>
              <w:szCs w:val="24"/>
            </w:rPr>
            <w:fldChar w:fldCharType="begin"/>
          </w:r>
          <w:r w:rsidR="005213C2">
            <w:rPr>
              <w:rFonts w:asciiTheme="majorBidi" w:hAnsiTheme="majorBidi" w:cstheme="majorBidi"/>
              <w:sz w:val="24"/>
              <w:szCs w:val="24"/>
            </w:rPr>
            <w:instrText xml:space="preserve"> CITATION Ero01 \l 2057 </w:instrText>
          </w:r>
          <w:r w:rsidR="00835DE7">
            <w:rPr>
              <w:rFonts w:asciiTheme="majorBidi" w:hAnsiTheme="majorBidi" w:cstheme="majorBidi"/>
              <w:sz w:val="24"/>
              <w:szCs w:val="24"/>
            </w:rPr>
            <w:instrText xml:space="preserve"> \m Pat19</w:instrText>
          </w:r>
          <w:r w:rsidR="005213C2">
            <w:rPr>
              <w:rFonts w:asciiTheme="majorBidi" w:hAnsiTheme="majorBidi" w:cstheme="majorBidi"/>
              <w:sz w:val="24"/>
              <w:szCs w:val="24"/>
            </w:rPr>
            <w:fldChar w:fldCharType="separate"/>
          </w:r>
          <w:r w:rsidR="00835DE7" w:rsidRPr="00835DE7">
            <w:rPr>
              <w:rFonts w:asciiTheme="majorBidi" w:hAnsiTheme="majorBidi" w:cstheme="majorBidi"/>
              <w:noProof/>
              <w:sz w:val="24"/>
              <w:szCs w:val="24"/>
            </w:rPr>
            <w:t>(Eroglu, Machleit, &amp; Davis, 2001; Patanasiri &amp; Krairit, 2019)</w:t>
          </w:r>
          <w:r w:rsidR="005213C2">
            <w:rPr>
              <w:rFonts w:asciiTheme="majorBidi" w:hAnsiTheme="majorBidi" w:cstheme="majorBidi"/>
              <w:sz w:val="24"/>
              <w:szCs w:val="24"/>
            </w:rPr>
            <w:fldChar w:fldCharType="end"/>
          </w:r>
        </w:sdtContent>
      </w:sdt>
      <w:r w:rsidR="00835DE7">
        <w:rPr>
          <w:rFonts w:asciiTheme="majorBidi" w:hAnsiTheme="majorBidi" w:cstheme="majorBidi"/>
          <w:sz w:val="24"/>
          <w:szCs w:val="24"/>
        </w:rPr>
        <w:t>.</w:t>
      </w:r>
    </w:p>
    <w:p w14:paraId="78973C88" w14:textId="77777777" w:rsidR="0095546F" w:rsidRDefault="00E120F3" w:rsidP="0095546F">
      <w:pPr>
        <w:keepNext/>
        <w:spacing w:after="0" w:line="240" w:lineRule="auto"/>
      </w:pPr>
      <w:r w:rsidRPr="00305061">
        <w:rPr>
          <w:rFonts w:ascii="Times New Roman" w:eastAsia="Times New Roman" w:hAnsi="Times New Roman" w:cs="Times New Roman"/>
          <w:noProof/>
          <w:kern w:val="0"/>
          <w:sz w:val="28"/>
          <w:szCs w:val="28"/>
          <w:lang w:eastAsia="en-GB"/>
          <w14:ligatures w14:val="none"/>
        </w:rPr>
        <w:drawing>
          <wp:inline distT="0" distB="0" distL="0" distR="0" wp14:anchorId="05EC4303" wp14:editId="03BE7E66">
            <wp:extent cx="4195493" cy="1143000"/>
            <wp:effectExtent l="0" t="0" r="0" b="0"/>
            <wp:docPr id="449767545" name="Picture 4" descr="A whit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67545" name="Picture 4" descr="A white square with black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1224" cy="1160907"/>
                    </a:xfrm>
                    <a:prstGeom prst="rect">
                      <a:avLst/>
                    </a:prstGeom>
                    <a:noFill/>
                    <a:ln>
                      <a:noFill/>
                    </a:ln>
                  </pic:spPr>
                </pic:pic>
              </a:graphicData>
            </a:graphic>
          </wp:inline>
        </w:drawing>
      </w:r>
    </w:p>
    <w:p w14:paraId="3E79E972" w14:textId="2B3A60F8" w:rsidR="00C37160" w:rsidRPr="0095546F" w:rsidRDefault="0095546F" w:rsidP="0095546F">
      <w:pPr>
        <w:pStyle w:val="Caption"/>
        <w:rPr>
          <w:rFonts w:ascii="Times New Roman" w:eastAsia="Times New Roman" w:hAnsi="Times New Roman" w:cs="Times New Roman"/>
          <w:kern w:val="0"/>
          <w:sz w:val="24"/>
          <w:szCs w:val="24"/>
          <w:lang w:eastAsia="en-GB"/>
          <w14:ligatures w14:val="none"/>
        </w:rPr>
      </w:pPr>
      <w:r>
        <w:t>Figure 7 SOR Theory Framework modified from Mehrabian &amp; Russell (1974)</w:t>
      </w:r>
    </w:p>
    <w:p w14:paraId="5F7031DF" w14:textId="565196D7" w:rsidR="00A00247" w:rsidRPr="009153BC" w:rsidRDefault="00C37160" w:rsidP="0072561B">
      <w:pPr>
        <w:spacing w:after="0" w:line="480" w:lineRule="auto"/>
        <w:rPr>
          <w:rFonts w:asciiTheme="majorBidi" w:hAnsiTheme="majorBidi" w:cstheme="majorBidi"/>
          <w:b/>
          <w:bCs/>
          <w:sz w:val="24"/>
          <w:szCs w:val="24"/>
        </w:rPr>
      </w:pPr>
      <w:r>
        <w:rPr>
          <w:rFonts w:asciiTheme="majorBidi" w:hAnsiTheme="majorBidi" w:cstheme="majorBidi"/>
          <w:sz w:val="24"/>
          <w:szCs w:val="24"/>
        </w:rPr>
        <w:tab/>
      </w:r>
      <w:r w:rsidR="00153EE6">
        <w:rPr>
          <w:rFonts w:asciiTheme="majorBidi" w:hAnsiTheme="majorBidi" w:cstheme="majorBidi"/>
          <w:sz w:val="24"/>
          <w:szCs w:val="24"/>
        </w:rPr>
        <w:t xml:space="preserve">The SOR </w:t>
      </w:r>
      <w:r w:rsidR="00E120F3">
        <w:rPr>
          <w:rFonts w:asciiTheme="majorBidi" w:hAnsiTheme="majorBidi" w:cstheme="majorBidi"/>
          <w:sz w:val="24"/>
          <w:szCs w:val="24"/>
        </w:rPr>
        <w:t>model</w:t>
      </w:r>
      <w:r w:rsidR="00153EE6">
        <w:rPr>
          <w:rFonts w:asciiTheme="majorBidi" w:hAnsiTheme="majorBidi" w:cstheme="majorBidi"/>
          <w:sz w:val="24"/>
          <w:szCs w:val="24"/>
        </w:rPr>
        <w:t xml:space="preserve"> </w:t>
      </w:r>
      <w:r w:rsidR="00D03698">
        <w:rPr>
          <w:rFonts w:asciiTheme="majorBidi" w:hAnsiTheme="majorBidi" w:cstheme="majorBidi"/>
          <w:sz w:val="24"/>
          <w:szCs w:val="24"/>
        </w:rPr>
        <w:t>has</w:t>
      </w:r>
      <w:r w:rsidR="00153EE6">
        <w:rPr>
          <w:rFonts w:asciiTheme="majorBidi" w:hAnsiTheme="majorBidi" w:cstheme="majorBidi"/>
          <w:sz w:val="24"/>
          <w:szCs w:val="24"/>
        </w:rPr>
        <w:t xml:space="preserve"> been applied in multiple consumer behaviour research studies</w:t>
      </w:r>
      <w:r w:rsidR="009153BC" w:rsidRPr="009153BC">
        <w:rPr>
          <w:rFonts w:asciiTheme="majorBidi" w:hAnsiTheme="majorBidi" w:cstheme="majorBidi"/>
          <w:b/>
          <w:bCs/>
          <w:sz w:val="24"/>
          <w:szCs w:val="24"/>
        </w:rPr>
        <w:t xml:space="preserve"> </w:t>
      </w:r>
      <w:sdt>
        <w:sdtPr>
          <w:rPr>
            <w:rFonts w:asciiTheme="majorBidi" w:hAnsiTheme="majorBidi" w:cstheme="majorBidi"/>
            <w:b/>
            <w:bCs/>
            <w:sz w:val="24"/>
            <w:szCs w:val="24"/>
          </w:rPr>
          <w:id w:val="699048799"/>
          <w:citation/>
        </w:sdtPr>
        <w:sdtContent>
          <w:r w:rsidR="009153BC">
            <w:rPr>
              <w:rFonts w:asciiTheme="majorBidi" w:hAnsiTheme="majorBidi" w:cstheme="majorBidi"/>
              <w:b/>
              <w:bCs/>
              <w:sz w:val="24"/>
              <w:szCs w:val="24"/>
            </w:rPr>
            <w:fldChar w:fldCharType="begin"/>
          </w:r>
          <w:r w:rsidR="009153BC">
            <w:rPr>
              <w:rFonts w:asciiTheme="majorBidi" w:hAnsiTheme="majorBidi" w:cstheme="majorBidi"/>
              <w:b/>
              <w:bCs/>
              <w:sz w:val="24"/>
              <w:szCs w:val="24"/>
            </w:rPr>
            <w:instrText xml:space="preserve"> CITATION Pat19 \l 2057  \m Imp23 \m Vie13</w:instrText>
          </w:r>
          <w:r w:rsidR="009153BC">
            <w:rPr>
              <w:rFonts w:asciiTheme="majorBidi" w:hAnsiTheme="majorBidi" w:cstheme="majorBidi"/>
              <w:b/>
              <w:bCs/>
              <w:sz w:val="24"/>
              <w:szCs w:val="24"/>
            </w:rPr>
            <w:fldChar w:fldCharType="separate"/>
          </w:r>
          <w:r w:rsidR="009153BC" w:rsidRPr="007334E2">
            <w:rPr>
              <w:rFonts w:asciiTheme="majorBidi" w:hAnsiTheme="majorBidi" w:cstheme="majorBidi"/>
              <w:noProof/>
              <w:sz w:val="24"/>
              <w:szCs w:val="24"/>
            </w:rPr>
            <w:t>(Patanasiri &amp; Krairit, 2019; Pereira, Petroll, Soares, Augusto de Matos, &amp; Hernani-Merino , 2023; Vieira, 2013)</w:t>
          </w:r>
          <w:r w:rsidR="009153BC">
            <w:rPr>
              <w:rFonts w:asciiTheme="majorBidi" w:hAnsiTheme="majorBidi" w:cstheme="majorBidi"/>
              <w:b/>
              <w:bCs/>
              <w:sz w:val="24"/>
              <w:szCs w:val="24"/>
            </w:rPr>
            <w:fldChar w:fldCharType="end"/>
          </w:r>
        </w:sdtContent>
      </w:sdt>
      <w:r w:rsidR="009153BC">
        <w:rPr>
          <w:rFonts w:asciiTheme="majorBidi" w:hAnsiTheme="majorBidi" w:cstheme="majorBidi"/>
          <w:b/>
          <w:bCs/>
          <w:sz w:val="24"/>
          <w:szCs w:val="24"/>
        </w:rPr>
        <w:t xml:space="preserve">. </w:t>
      </w:r>
      <w:r w:rsidR="00153EE6">
        <w:rPr>
          <w:rFonts w:asciiTheme="majorBidi" w:hAnsiTheme="majorBidi" w:cstheme="majorBidi"/>
          <w:sz w:val="24"/>
          <w:szCs w:val="24"/>
        </w:rPr>
        <w:t xml:space="preserve">Based on previous </w:t>
      </w:r>
      <w:r w:rsidR="00153EE6" w:rsidRPr="005525F5">
        <w:rPr>
          <w:rFonts w:asciiTheme="majorBidi" w:hAnsiTheme="majorBidi" w:cstheme="majorBidi"/>
          <w:sz w:val="24"/>
          <w:szCs w:val="24"/>
        </w:rPr>
        <w:t>studies, consumers' reactions</w:t>
      </w:r>
      <w:r w:rsidR="00153EE6">
        <w:rPr>
          <w:rFonts w:asciiTheme="majorBidi" w:hAnsiTheme="majorBidi" w:cstheme="majorBidi"/>
          <w:sz w:val="24"/>
          <w:szCs w:val="24"/>
        </w:rPr>
        <w:t>, among other reactions,</w:t>
      </w:r>
      <w:r w:rsidR="00E00976">
        <w:rPr>
          <w:rFonts w:asciiTheme="majorBidi" w:hAnsiTheme="majorBidi" w:cstheme="majorBidi"/>
          <w:sz w:val="24"/>
          <w:szCs w:val="24"/>
        </w:rPr>
        <w:t xml:space="preserve"> to a communication or a brand</w:t>
      </w:r>
      <w:r w:rsidR="00153EE6" w:rsidRPr="005525F5">
        <w:rPr>
          <w:rFonts w:asciiTheme="majorBidi" w:hAnsiTheme="majorBidi" w:cstheme="majorBidi"/>
          <w:sz w:val="24"/>
          <w:szCs w:val="24"/>
        </w:rPr>
        <w:t xml:space="preserve"> </w:t>
      </w:r>
      <w:r w:rsidR="00153EE6">
        <w:rPr>
          <w:rFonts w:asciiTheme="majorBidi" w:hAnsiTheme="majorBidi" w:cstheme="majorBidi"/>
          <w:sz w:val="24"/>
          <w:szCs w:val="24"/>
        </w:rPr>
        <w:t>is often portrayed as</w:t>
      </w:r>
      <w:r w:rsidR="00153EE6" w:rsidRPr="005525F5">
        <w:rPr>
          <w:rFonts w:asciiTheme="majorBidi" w:hAnsiTheme="majorBidi" w:cstheme="majorBidi"/>
          <w:sz w:val="24"/>
          <w:szCs w:val="24"/>
        </w:rPr>
        <w:t xml:space="preserve"> </w:t>
      </w:r>
      <w:r w:rsidR="00153EE6">
        <w:rPr>
          <w:rFonts w:asciiTheme="majorBidi" w:hAnsiTheme="majorBidi" w:cstheme="majorBidi"/>
          <w:sz w:val="24"/>
          <w:szCs w:val="24"/>
        </w:rPr>
        <w:t>re</w:t>
      </w:r>
      <w:r w:rsidR="00153EE6" w:rsidRPr="005525F5">
        <w:rPr>
          <w:rFonts w:asciiTheme="majorBidi" w:hAnsiTheme="majorBidi" w:cstheme="majorBidi"/>
          <w:sz w:val="24"/>
          <w:szCs w:val="24"/>
        </w:rPr>
        <w:t>purchase</w:t>
      </w:r>
      <w:r w:rsidR="00153EE6">
        <w:rPr>
          <w:rFonts w:asciiTheme="majorBidi" w:hAnsiTheme="majorBidi" w:cstheme="majorBidi"/>
          <w:sz w:val="24"/>
          <w:szCs w:val="24"/>
        </w:rPr>
        <w:t xml:space="preserve"> intentions </w:t>
      </w:r>
      <w:sdt>
        <w:sdtPr>
          <w:rPr>
            <w:rFonts w:asciiTheme="majorBidi" w:hAnsiTheme="majorBidi" w:cstheme="majorBidi"/>
            <w:sz w:val="24"/>
            <w:szCs w:val="24"/>
          </w:rPr>
          <w:id w:val="1038944658"/>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Pen14 \l 2057  \m Soh22 \m Zhu20</w:instrText>
          </w:r>
          <w:r w:rsidR="00153EE6">
            <w:rPr>
              <w:rFonts w:asciiTheme="majorBidi" w:hAnsiTheme="majorBidi" w:cstheme="majorBidi"/>
              <w:sz w:val="24"/>
              <w:szCs w:val="24"/>
            </w:rPr>
            <w:fldChar w:fldCharType="separate"/>
          </w:r>
          <w:r w:rsidR="00153EE6" w:rsidRPr="000F60CD">
            <w:rPr>
              <w:rFonts w:asciiTheme="majorBidi" w:hAnsiTheme="majorBidi" w:cstheme="majorBidi"/>
              <w:noProof/>
              <w:sz w:val="24"/>
              <w:szCs w:val="24"/>
            </w:rPr>
            <w:t>(Peng &amp; Kim , 2014; Sohaib, Safeer, &amp; Majeed, 2022; Zhu, Kowatthanakul, &amp; Satanasavapak , 2020)</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or purchase intention </w:t>
      </w:r>
      <w:sdt>
        <w:sdtPr>
          <w:rPr>
            <w:rFonts w:asciiTheme="majorBidi" w:hAnsiTheme="majorBidi" w:cstheme="majorBidi"/>
            <w:sz w:val="24"/>
            <w:szCs w:val="24"/>
          </w:rPr>
          <w:id w:val="-789505937"/>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Bak12 \l 2057  \m Hus22 \m Nam20 \m Zha181</w:instrText>
          </w:r>
          <w:r w:rsidR="00153EE6">
            <w:rPr>
              <w:rFonts w:asciiTheme="majorBidi" w:hAnsiTheme="majorBidi" w:cstheme="majorBidi"/>
              <w:sz w:val="24"/>
              <w:szCs w:val="24"/>
            </w:rPr>
            <w:fldChar w:fldCharType="separate"/>
          </w:r>
          <w:r w:rsidR="00153EE6" w:rsidRPr="0031247E">
            <w:rPr>
              <w:rFonts w:asciiTheme="majorBidi" w:hAnsiTheme="majorBidi" w:cstheme="majorBidi"/>
              <w:noProof/>
              <w:sz w:val="24"/>
              <w:szCs w:val="24"/>
            </w:rPr>
            <w:t>(Baker &amp; Wakefield, 2012; Hussain, Ting, Abbasi, &amp; Rehman, 2022; Nam, Cho, &amp; Kim, 2020; Zhang, Ren, Wang, &amp; He, 2018)</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Multiple authors extended the SOR </w:t>
      </w:r>
      <w:r w:rsidR="00E120F3">
        <w:rPr>
          <w:rFonts w:asciiTheme="majorBidi" w:hAnsiTheme="majorBidi" w:cstheme="majorBidi"/>
          <w:sz w:val="24"/>
          <w:szCs w:val="24"/>
        </w:rPr>
        <w:t>model</w:t>
      </w:r>
      <w:r w:rsidR="00153EE6">
        <w:rPr>
          <w:rFonts w:asciiTheme="majorBidi" w:hAnsiTheme="majorBidi" w:cstheme="majorBidi"/>
          <w:sz w:val="24"/>
          <w:szCs w:val="24"/>
        </w:rPr>
        <w:t xml:space="preserve"> to</w:t>
      </w:r>
      <w:r w:rsidR="00153EE6" w:rsidRPr="00E55742">
        <w:t xml:space="preserve"> </w:t>
      </w:r>
      <w:r w:rsidR="00153EE6" w:rsidRPr="00E55742">
        <w:rPr>
          <w:rFonts w:asciiTheme="majorBidi" w:hAnsiTheme="majorBidi" w:cstheme="majorBidi"/>
          <w:sz w:val="24"/>
          <w:szCs w:val="24"/>
        </w:rPr>
        <w:t>consider both internal and external information sources as stimuli that influence purchasing decisions by influencing customers' (organisms) cognition</w:t>
      </w:r>
      <w:r w:rsidR="00153EE6">
        <w:rPr>
          <w:rFonts w:asciiTheme="majorBidi" w:hAnsiTheme="majorBidi" w:cstheme="majorBidi"/>
          <w:sz w:val="24"/>
          <w:szCs w:val="24"/>
        </w:rPr>
        <w:t>s</w:t>
      </w:r>
      <w:r w:rsidR="00153EE6" w:rsidRPr="00E55742">
        <w:rPr>
          <w:rFonts w:asciiTheme="majorBidi" w:hAnsiTheme="majorBidi" w:cstheme="majorBidi"/>
          <w:sz w:val="24"/>
          <w:szCs w:val="24"/>
        </w:rPr>
        <w:t xml:space="preserve"> and emotion</w:t>
      </w:r>
      <w:r w:rsidR="00153EE6">
        <w:rPr>
          <w:rFonts w:asciiTheme="majorBidi" w:hAnsiTheme="majorBidi" w:cstheme="majorBidi"/>
          <w:sz w:val="24"/>
          <w:szCs w:val="24"/>
        </w:rPr>
        <w:t xml:space="preserve">s </w:t>
      </w:r>
      <w:sdt>
        <w:sdtPr>
          <w:rPr>
            <w:rFonts w:asciiTheme="majorBidi" w:hAnsiTheme="majorBidi" w:cstheme="majorBidi"/>
            <w:sz w:val="24"/>
            <w:szCs w:val="24"/>
          </w:rPr>
          <w:id w:val="2030435613"/>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Bar191 \l 2057  \m Cha14 \m Kim20 \m Kim13</w:instrText>
          </w:r>
          <w:r w:rsidR="00153EE6">
            <w:rPr>
              <w:rFonts w:asciiTheme="majorBidi" w:hAnsiTheme="majorBidi" w:cstheme="majorBidi"/>
              <w:sz w:val="24"/>
              <w:szCs w:val="24"/>
            </w:rPr>
            <w:fldChar w:fldCharType="separate"/>
          </w:r>
          <w:r w:rsidR="00153EE6" w:rsidRPr="000F60CD">
            <w:rPr>
              <w:rFonts w:asciiTheme="majorBidi" w:hAnsiTheme="majorBidi" w:cstheme="majorBidi"/>
              <w:noProof/>
              <w:sz w:val="24"/>
              <w:szCs w:val="24"/>
            </w:rPr>
            <w:t>(Barros, Petroll, Damacena, &amp; Kanoppe, 2019; Chang, Shu, &amp; King, 2014; Kim, Lee, &amp; Jung, 2020; Kim &amp; Lennon, 2013)</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Emotions appeared to have a positive influence on different types of consumer behaviour like shopping behaviour</w:t>
      </w:r>
      <w:sdt>
        <w:sdtPr>
          <w:rPr>
            <w:rFonts w:asciiTheme="majorBidi" w:hAnsiTheme="majorBidi" w:cstheme="majorBidi"/>
            <w:sz w:val="24"/>
            <w:szCs w:val="24"/>
          </w:rPr>
          <w:id w:val="-1403821498"/>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Vie13 \l 2057  \m Mum05</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B03490">
            <w:rPr>
              <w:rFonts w:asciiTheme="majorBidi" w:hAnsiTheme="majorBidi" w:cstheme="majorBidi"/>
              <w:noProof/>
              <w:sz w:val="24"/>
              <w:szCs w:val="24"/>
            </w:rPr>
            <w:t>(Vieira, 2013; Mummalaneni, 2005)</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w:t>
      </w:r>
      <w:r w:rsidR="00960D53">
        <w:rPr>
          <w:rFonts w:asciiTheme="majorBidi" w:hAnsiTheme="majorBidi" w:cstheme="majorBidi"/>
          <w:sz w:val="24"/>
          <w:szCs w:val="24"/>
        </w:rPr>
        <w:t xml:space="preserve"> </w:t>
      </w:r>
    </w:p>
    <w:p w14:paraId="10837C1E" w14:textId="4647DE67" w:rsidR="00153EE6" w:rsidRDefault="00153EE6" w:rsidP="00E872E2">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3</w:t>
      </w:r>
      <w:r>
        <w:rPr>
          <w:rFonts w:asciiTheme="majorBidi" w:hAnsiTheme="majorBidi" w:cstheme="majorBidi"/>
          <w:b/>
          <w:bCs/>
          <w:sz w:val="24"/>
          <w:szCs w:val="24"/>
        </w:rPr>
        <w:t xml:space="preserve">.1 Criticism of SOR Theory </w:t>
      </w:r>
    </w:p>
    <w:p w14:paraId="1F3D44F8" w14:textId="0F39815C" w:rsidR="00153EE6" w:rsidRDefault="00153EE6" w:rsidP="00E872E2">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One of the earlier issues of SOR is that the SOR framework has a </w:t>
      </w:r>
      <w:r w:rsidRPr="002A7690">
        <w:rPr>
          <w:rFonts w:asciiTheme="majorBidi" w:hAnsiTheme="majorBidi" w:cstheme="majorBidi"/>
          <w:sz w:val="24"/>
          <w:szCs w:val="24"/>
        </w:rPr>
        <w:t xml:space="preserve">linear representation </w:t>
      </w:r>
      <w:r>
        <w:rPr>
          <w:rFonts w:asciiTheme="majorBidi" w:hAnsiTheme="majorBidi" w:cstheme="majorBidi"/>
          <w:sz w:val="24"/>
          <w:szCs w:val="24"/>
        </w:rPr>
        <w:t>which can prevent researchers from</w:t>
      </w:r>
      <w:r w:rsidRPr="002A7690">
        <w:rPr>
          <w:rFonts w:asciiTheme="majorBidi" w:hAnsiTheme="majorBidi" w:cstheme="majorBidi"/>
          <w:sz w:val="24"/>
          <w:szCs w:val="24"/>
        </w:rPr>
        <w:t xml:space="preserve"> noticing crucial relationships and phenomena, hindering than advancing knowledge</w:t>
      </w:r>
      <w:sdt>
        <w:sdtPr>
          <w:rPr>
            <w:rFonts w:asciiTheme="majorBidi" w:hAnsiTheme="majorBidi" w:cstheme="majorBidi"/>
            <w:sz w:val="24"/>
            <w:szCs w:val="24"/>
          </w:rPr>
          <w:id w:val="186100915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Jac02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(Jacoby, 2002)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as these relationships with the stimuli often vary considerably</w:t>
      </w:r>
      <w:sdt>
        <w:sdtPr>
          <w:rPr>
            <w:rFonts w:asciiTheme="majorBidi" w:hAnsiTheme="majorBidi" w:cstheme="majorBidi"/>
            <w:sz w:val="24"/>
            <w:szCs w:val="24"/>
          </w:rPr>
          <w:id w:val="-26177146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Mat01 \l 2057  \m Che03</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4365F8">
            <w:rPr>
              <w:rFonts w:asciiTheme="majorBidi" w:hAnsiTheme="majorBidi" w:cstheme="majorBidi"/>
              <w:noProof/>
              <w:sz w:val="24"/>
              <w:szCs w:val="24"/>
            </w:rPr>
            <w:t>(Mattila &amp; Wirtz, 2001; Chebat &amp; Michon, 2003)</w:t>
          </w:r>
          <w:r>
            <w:rPr>
              <w:rFonts w:asciiTheme="majorBidi" w:hAnsiTheme="majorBidi" w:cstheme="majorBidi"/>
              <w:sz w:val="24"/>
              <w:szCs w:val="24"/>
            </w:rPr>
            <w:fldChar w:fldCharType="end"/>
          </w:r>
        </w:sdtContent>
      </w:sdt>
      <w:r w:rsidRPr="002A7690">
        <w:rPr>
          <w:rFonts w:asciiTheme="majorBidi" w:hAnsiTheme="majorBidi" w:cstheme="majorBidi"/>
          <w:sz w:val="24"/>
          <w:szCs w:val="24"/>
        </w:rPr>
        <w:t>.</w:t>
      </w:r>
      <w:r>
        <w:rPr>
          <w:rFonts w:asciiTheme="majorBidi" w:hAnsiTheme="majorBidi" w:cstheme="majorBidi"/>
          <w:sz w:val="24"/>
          <w:szCs w:val="24"/>
        </w:rPr>
        <w:t xml:space="preserve"> Additionally, SOR was criticised for following the traditional </w:t>
      </w:r>
      <w:r w:rsidRPr="00E110A8">
        <w:rPr>
          <w:rFonts w:asciiTheme="majorBidi" w:hAnsiTheme="majorBidi" w:cstheme="majorBidi"/>
          <w:sz w:val="24"/>
          <w:szCs w:val="24"/>
        </w:rPr>
        <w:t>General Communication Model (source-message-media-</w:t>
      </w:r>
      <w:r w:rsidR="00E120F3">
        <w:rPr>
          <w:rFonts w:asciiTheme="majorBidi" w:hAnsiTheme="majorBidi" w:cstheme="majorBidi"/>
          <w:sz w:val="24"/>
          <w:szCs w:val="24"/>
        </w:rPr>
        <w:t>r</w:t>
      </w:r>
      <w:r w:rsidRPr="00E110A8">
        <w:rPr>
          <w:rFonts w:asciiTheme="majorBidi" w:hAnsiTheme="majorBidi" w:cstheme="majorBidi"/>
          <w:sz w:val="24"/>
          <w:szCs w:val="24"/>
        </w:rPr>
        <w:t>eceiver-effect)</w:t>
      </w:r>
      <w:r>
        <w:rPr>
          <w:rFonts w:asciiTheme="majorBidi" w:hAnsiTheme="majorBidi" w:cstheme="majorBidi"/>
          <w:sz w:val="24"/>
          <w:szCs w:val="24"/>
        </w:rPr>
        <w:t xml:space="preserve"> and does not include other essential occurrences such </w:t>
      </w:r>
      <w:r w:rsidRPr="009F574A">
        <w:rPr>
          <w:rFonts w:asciiTheme="majorBidi" w:hAnsiTheme="majorBidi" w:cstheme="majorBidi"/>
          <w:sz w:val="24"/>
          <w:szCs w:val="24"/>
        </w:rPr>
        <w:t>as attitudes, beliefs, satisfaction, etc</w:t>
      </w:r>
      <w:r w:rsidR="00D03698" w:rsidRPr="009F574A">
        <w:rPr>
          <w:rFonts w:asciiTheme="majorBidi" w:hAnsiTheme="majorBidi" w:cstheme="majorBidi"/>
          <w:sz w:val="24"/>
          <w:szCs w:val="24"/>
        </w:rPr>
        <w:t>.</w:t>
      </w:r>
      <w:sdt>
        <w:sdtPr>
          <w:rPr>
            <w:rFonts w:asciiTheme="majorBidi" w:hAnsiTheme="majorBidi" w:cstheme="majorBidi"/>
            <w:sz w:val="24"/>
            <w:szCs w:val="24"/>
          </w:rPr>
          <w:id w:val="-132551042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Jac02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(Jacoby, 2002)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E120F3">
        <w:rPr>
          <w:rFonts w:asciiTheme="majorBidi" w:hAnsiTheme="majorBidi" w:cstheme="majorBidi"/>
          <w:sz w:val="24"/>
          <w:szCs w:val="24"/>
        </w:rPr>
        <w:t xml:space="preserve"> As discussed in the previous section, this research applies the SOR model with the main determinants of TRA that measure</w:t>
      </w:r>
      <w:r w:rsidR="00CA3481">
        <w:rPr>
          <w:rFonts w:asciiTheme="majorBidi" w:hAnsiTheme="majorBidi" w:cstheme="majorBidi"/>
          <w:sz w:val="24"/>
          <w:szCs w:val="24"/>
        </w:rPr>
        <w:t xml:space="preserve"> the impact of </w:t>
      </w:r>
      <w:r w:rsidR="00E120F3">
        <w:rPr>
          <w:rFonts w:asciiTheme="majorBidi" w:hAnsiTheme="majorBidi" w:cstheme="majorBidi"/>
          <w:sz w:val="24"/>
          <w:szCs w:val="24"/>
        </w:rPr>
        <w:t xml:space="preserve">attitudes </w:t>
      </w:r>
      <w:r w:rsidR="00CA3481">
        <w:rPr>
          <w:rFonts w:asciiTheme="majorBidi" w:hAnsiTheme="majorBidi" w:cstheme="majorBidi"/>
          <w:sz w:val="24"/>
          <w:szCs w:val="24"/>
        </w:rPr>
        <w:t xml:space="preserve">and norms on purchase intention. </w:t>
      </w:r>
    </w:p>
    <w:p w14:paraId="0C8BAF2B" w14:textId="1D4615AB" w:rsidR="00153EE6" w:rsidRDefault="00153EE6" w:rsidP="00153EE6">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To encounter th</w:t>
      </w:r>
      <w:r w:rsidR="00CA3481">
        <w:rPr>
          <w:rFonts w:asciiTheme="majorBidi" w:hAnsiTheme="majorBidi" w:cstheme="majorBidi"/>
          <w:sz w:val="24"/>
          <w:szCs w:val="24"/>
        </w:rPr>
        <w:t>e above</w:t>
      </w:r>
      <w:r>
        <w:rPr>
          <w:rFonts w:asciiTheme="majorBidi" w:hAnsiTheme="majorBidi" w:cstheme="majorBidi"/>
          <w:sz w:val="24"/>
          <w:szCs w:val="24"/>
        </w:rPr>
        <w:t xml:space="preserve"> criticism, this study applies three different measures to increase the elaborative nature of the SOR </w:t>
      </w:r>
      <w:r w:rsidR="00CA3481">
        <w:rPr>
          <w:rFonts w:asciiTheme="majorBidi" w:hAnsiTheme="majorBidi" w:cstheme="majorBidi"/>
          <w:sz w:val="24"/>
          <w:szCs w:val="24"/>
        </w:rPr>
        <w:t>model</w:t>
      </w:r>
      <w:r>
        <w:rPr>
          <w:rFonts w:asciiTheme="majorBidi" w:hAnsiTheme="majorBidi" w:cstheme="majorBidi"/>
          <w:sz w:val="24"/>
          <w:szCs w:val="24"/>
        </w:rPr>
        <w:t xml:space="preserve">. Firstly, I distinguish </w:t>
      </w:r>
      <w:r w:rsidRPr="009F574A">
        <w:rPr>
          <w:rFonts w:asciiTheme="majorBidi" w:hAnsiTheme="majorBidi" w:cstheme="majorBidi"/>
          <w:sz w:val="24"/>
          <w:szCs w:val="24"/>
        </w:rPr>
        <w:t xml:space="preserve">different </w:t>
      </w:r>
      <w:r w:rsidR="00CA3481" w:rsidRPr="009F574A">
        <w:rPr>
          <w:rFonts w:asciiTheme="majorBidi" w:hAnsiTheme="majorBidi" w:cstheme="majorBidi"/>
          <w:sz w:val="24"/>
          <w:szCs w:val="24"/>
        </w:rPr>
        <w:t>attitudes</w:t>
      </w:r>
      <w:r>
        <w:rPr>
          <w:rFonts w:asciiTheme="majorBidi" w:hAnsiTheme="majorBidi" w:cstheme="majorBidi"/>
          <w:sz w:val="24"/>
          <w:szCs w:val="24"/>
        </w:rPr>
        <w:t xml:space="preserve"> that emerged from literature (identified in the previous chapter) and measure the impact of each individual factor separately on response. Secondly, this study measures each factor’s different </w:t>
      </w:r>
      <w:r w:rsidRPr="009F574A">
        <w:rPr>
          <w:rFonts w:asciiTheme="majorBidi" w:hAnsiTheme="majorBidi" w:cstheme="majorBidi"/>
          <w:sz w:val="24"/>
          <w:szCs w:val="24"/>
        </w:rPr>
        <w:t>effect size on response.</w:t>
      </w:r>
      <w:r>
        <w:rPr>
          <w:rFonts w:asciiTheme="majorBidi" w:hAnsiTheme="majorBidi" w:cstheme="majorBidi"/>
          <w:sz w:val="24"/>
          <w:szCs w:val="24"/>
        </w:rPr>
        <w:t xml:space="preserve"> Thirdly, this study applies the concept of halo effect, </w:t>
      </w:r>
      <w:r w:rsidR="00E43774">
        <w:rPr>
          <w:rFonts w:asciiTheme="majorBidi" w:hAnsiTheme="majorBidi" w:cstheme="majorBidi"/>
          <w:sz w:val="24"/>
          <w:szCs w:val="24"/>
        </w:rPr>
        <w:t>value congruence</w:t>
      </w:r>
      <w:r>
        <w:rPr>
          <w:rFonts w:asciiTheme="majorBidi" w:hAnsiTheme="majorBidi" w:cstheme="majorBidi"/>
          <w:sz w:val="24"/>
          <w:szCs w:val="24"/>
        </w:rPr>
        <w:t>, and TRA as theoretical frameworks to further solidify the contributions of the results. The following section provide</w:t>
      </w:r>
      <w:r w:rsidR="00CA3481">
        <w:rPr>
          <w:rFonts w:asciiTheme="majorBidi" w:hAnsiTheme="majorBidi" w:cstheme="majorBidi"/>
          <w:sz w:val="24"/>
          <w:szCs w:val="24"/>
        </w:rPr>
        <w:t>s</w:t>
      </w:r>
      <w:r>
        <w:rPr>
          <w:rFonts w:asciiTheme="majorBidi" w:hAnsiTheme="majorBidi" w:cstheme="majorBidi"/>
          <w:sz w:val="24"/>
          <w:szCs w:val="24"/>
        </w:rPr>
        <w:t xml:space="preserve"> examples from literature of the SOR </w:t>
      </w:r>
      <w:r w:rsidR="00CA3481">
        <w:rPr>
          <w:rFonts w:asciiTheme="majorBidi" w:hAnsiTheme="majorBidi" w:cstheme="majorBidi"/>
          <w:sz w:val="24"/>
          <w:szCs w:val="24"/>
        </w:rPr>
        <w:t>model</w:t>
      </w:r>
      <w:r>
        <w:rPr>
          <w:rFonts w:asciiTheme="majorBidi" w:hAnsiTheme="majorBidi" w:cstheme="majorBidi"/>
          <w:sz w:val="24"/>
          <w:szCs w:val="24"/>
        </w:rPr>
        <w:t xml:space="preserve"> application and illustrate</w:t>
      </w:r>
      <w:r w:rsidR="00CA3481">
        <w:rPr>
          <w:rFonts w:asciiTheme="majorBidi" w:hAnsiTheme="majorBidi" w:cstheme="majorBidi"/>
          <w:sz w:val="24"/>
          <w:szCs w:val="24"/>
        </w:rPr>
        <w:t>s</w:t>
      </w:r>
      <w:r>
        <w:rPr>
          <w:rFonts w:asciiTheme="majorBidi" w:hAnsiTheme="majorBidi" w:cstheme="majorBidi"/>
          <w:sz w:val="24"/>
          <w:szCs w:val="24"/>
        </w:rPr>
        <w:t xml:space="preserve"> the way that SOR was applied to critically analyse the findings</w:t>
      </w:r>
      <w:r w:rsidR="00CA3481">
        <w:rPr>
          <w:rFonts w:asciiTheme="majorBidi" w:hAnsiTheme="majorBidi" w:cstheme="majorBidi"/>
          <w:sz w:val="24"/>
          <w:szCs w:val="24"/>
        </w:rPr>
        <w:t xml:space="preserve"> of this study</w:t>
      </w:r>
      <w:r>
        <w:rPr>
          <w:rFonts w:asciiTheme="majorBidi" w:hAnsiTheme="majorBidi" w:cstheme="majorBidi"/>
          <w:sz w:val="24"/>
          <w:szCs w:val="24"/>
        </w:rPr>
        <w:t xml:space="preserve">.  </w:t>
      </w:r>
    </w:p>
    <w:p w14:paraId="24E4245F" w14:textId="77777777" w:rsidR="005F35ED" w:rsidRDefault="005F35ED">
      <w:pPr>
        <w:rPr>
          <w:rFonts w:asciiTheme="majorBidi" w:hAnsiTheme="majorBidi" w:cstheme="majorBidi"/>
          <w:b/>
          <w:bCs/>
          <w:sz w:val="24"/>
          <w:szCs w:val="24"/>
        </w:rPr>
      </w:pPr>
      <w:r>
        <w:rPr>
          <w:rFonts w:asciiTheme="majorBidi" w:hAnsiTheme="majorBidi" w:cstheme="majorBidi"/>
          <w:b/>
          <w:bCs/>
          <w:sz w:val="24"/>
          <w:szCs w:val="24"/>
        </w:rPr>
        <w:br w:type="page"/>
      </w:r>
    </w:p>
    <w:p w14:paraId="65CBCCA0" w14:textId="722C346D" w:rsidR="00153EE6" w:rsidRDefault="00153EE6" w:rsidP="00B7680E">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3</w:t>
      </w:r>
      <w:r>
        <w:rPr>
          <w:rFonts w:asciiTheme="majorBidi" w:hAnsiTheme="majorBidi" w:cstheme="majorBidi"/>
          <w:b/>
          <w:bCs/>
          <w:sz w:val="24"/>
          <w:szCs w:val="24"/>
        </w:rPr>
        <w:t>.2 Application of SOR Theory</w:t>
      </w:r>
    </w:p>
    <w:p w14:paraId="268F7C1F" w14:textId="387C23BB" w:rsidR="00CA3481" w:rsidRPr="00D03698" w:rsidRDefault="00153EE6" w:rsidP="00D03698">
      <w:pPr>
        <w:adjustRightInd w:val="0"/>
        <w:spacing w:after="0" w:line="480" w:lineRule="auto"/>
        <w:ind w:firstLine="720"/>
        <w:rPr>
          <w:rFonts w:asciiTheme="majorBidi" w:hAnsiTheme="majorBidi" w:cstheme="majorBidi"/>
          <w:sz w:val="24"/>
          <w:szCs w:val="24"/>
        </w:rPr>
      </w:pPr>
      <w:r w:rsidRPr="00116526">
        <w:rPr>
          <w:rFonts w:asciiTheme="majorBidi" w:hAnsiTheme="majorBidi" w:cstheme="majorBidi"/>
          <w:sz w:val="24"/>
          <w:szCs w:val="24"/>
        </w:rPr>
        <w:t xml:space="preserve">SOR </w:t>
      </w:r>
      <w:r w:rsidR="00CA3481">
        <w:rPr>
          <w:rFonts w:asciiTheme="majorBidi" w:hAnsiTheme="majorBidi" w:cstheme="majorBidi"/>
          <w:sz w:val="24"/>
          <w:szCs w:val="24"/>
        </w:rPr>
        <w:t>model</w:t>
      </w:r>
      <w:r w:rsidRPr="00116526">
        <w:rPr>
          <w:rFonts w:asciiTheme="majorBidi" w:hAnsiTheme="majorBidi" w:cstheme="majorBidi"/>
          <w:sz w:val="24"/>
          <w:szCs w:val="24"/>
        </w:rPr>
        <w:t xml:space="preserve"> has been applied in literature in different fields and amended accordingly. SOR has been applied in studies </w:t>
      </w:r>
      <w:r>
        <w:rPr>
          <w:rFonts w:asciiTheme="majorBidi" w:hAnsiTheme="majorBidi" w:cstheme="majorBidi"/>
          <w:sz w:val="24"/>
          <w:szCs w:val="24"/>
        </w:rPr>
        <w:t>i</w:t>
      </w:r>
      <w:r w:rsidRPr="00116526">
        <w:rPr>
          <w:rFonts w:asciiTheme="majorBidi" w:hAnsiTheme="majorBidi" w:cstheme="majorBidi"/>
          <w:sz w:val="24"/>
          <w:szCs w:val="24"/>
        </w:rPr>
        <w:t>n</w:t>
      </w:r>
      <w:r>
        <w:rPr>
          <w:rFonts w:asciiTheme="majorBidi" w:hAnsiTheme="majorBidi" w:cstheme="majorBidi"/>
          <w:sz w:val="24"/>
          <w:szCs w:val="24"/>
        </w:rPr>
        <w:t xml:space="preserve"> retail channels</w:t>
      </w:r>
      <w:sdt>
        <w:sdtPr>
          <w:rPr>
            <w:rFonts w:asciiTheme="majorBidi" w:hAnsiTheme="majorBidi" w:cstheme="majorBidi"/>
            <w:sz w:val="24"/>
            <w:szCs w:val="24"/>
          </w:rPr>
          <w:id w:val="88629504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Che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(Chen &amp; Chi, 2021)</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116526">
        <w:rPr>
          <w:rFonts w:asciiTheme="majorBidi" w:hAnsiTheme="majorBidi" w:cstheme="majorBidi"/>
          <w:sz w:val="24"/>
          <w:szCs w:val="24"/>
        </w:rPr>
        <w:t xml:space="preserve"> customer engagement </w:t>
      </w:r>
      <w:sdt>
        <w:sdtPr>
          <w:rPr>
            <w:rFonts w:asciiTheme="majorBidi" w:hAnsiTheme="majorBidi" w:cstheme="majorBidi"/>
            <w:sz w:val="24"/>
            <w:szCs w:val="24"/>
          </w:rPr>
          <w:id w:val="-897815225"/>
          <w:citation/>
        </w:sdtPr>
        <w:sdtContent>
          <w:r w:rsidRPr="00116526">
            <w:rPr>
              <w:rFonts w:asciiTheme="majorBidi" w:hAnsiTheme="majorBidi" w:cstheme="majorBidi"/>
              <w:sz w:val="24"/>
              <w:szCs w:val="24"/>
            </w:rPr>
            <w:fldChar w:fldCharType="begin"/>
          </w:r>
          <w:r w:rsidRPr="00116526">
            <w:rPr>
              <w:rFonts w:asciiTheme="majorBidi" w:hAnsiTheme="majorBidi" w:cstheme="majorBidi"/>
              <w:sz w:val="24"/>
              <w:szCs w:val="24"/>
            </w:rPr>
            <w:instrText xml:space="preserve">CITATION UlI17 \t  \l 2057 </w:instrText>
          </w:r>
          <w:r w:rsidRPr="00116526">
            <w:rPr>
              <w:rFonts w:asciiTheme="majorBidi" w:hAnsiTheme="majorBidi" w:cstheme="majorBidi"/>
              <w:sz w:val="24"/>
              <w:szCs w:val="24"/>
            </w:rPr>
            <w:fldChar w:fldCharType="separate"/>
          </w:r>
          <w:r w:rsidRPr="000F60CD">
            <w:rPr>
              <w:rFonts w:asciiTheme="majorBidi" w:hAnsiTheme="majorBidi" w:cstheme="majorBidi"/>
              <w:noProof/>
              <w:sz w:val="24"/>
              <w:szCs w:val="24"/>
            </w:rPr>
            <w:t>(Ul Islam &amp; Rahman, 2017)</w:t>
          </w:r>
          <w:r w:rsidRPr="00116526">
            <w:rPr>
              <w:rFonts w:asciiTheme="majorBidi" w:hAnsiTheme="majorBidi" w:cstheme="majorBidi"/>
              <w:sz w:val="24"/>
              <w:szCs w:val="24"/>
            </w:rPr>
            <w:fldChar w:fldCharType="end"/>
          </w:r>
        </w:sdtContent>
      </w:sdt>
      <w:r w:rsidRPr="00116526">
        <w:rPr>
          <w:rFonts w:asciiTheme="majorBidi" w:hAnsiTheme="majorBidi" w:cstheme="majorBidi"/>
          <w:sz w:val="24"/>
          <w:szCs w:val="24"/>
        </w:rPr>
        <w:t xml:space="preserve"> and consumer behaviour</w:t>
      </w:r>
      <w:sdt>
        <w:sdtPr>
          <w:rPr>
            <w:rFonts w:asciiTheme="majorBidi" w:hAnsiTheme="majorBidi" w:cstheme="majorBidi"/>
            <w:sz w:val="24"/>
            <w:szCs w:val="24"/>
          </w:rPr>
          <w:id w:val="-1483231336"/>
          <w:citation/>
        </w:sdtPr>
        <w:sdtContent>
          <w:r w:rsidRPr="00116526">
            <w:rPr>
              <w:rFonts w:asciiTheme="majorBidi" w:hAnsiTheme="majorBidi" w:cstheme="majorBidi"/>
              <w:sz w:val="24"/>
              <w:szCs w:val="24"/>
            </w:rPr>
            <w:fldChar w:fldCharType="begin"/>
          </w:r>
          <w:r w:rsidRPr="00116526">
            <w:rPr>
              <w:rFonts w:asciiTheme="majorBidi" w:hAnsiTheme="majorBidi" w:cstheme="majorBidi"/>
              <w:sz w:val="24"/>
              <w:szCs w:val="24"/>
            </w:rPr>
            <w:instrText xml:space="preserve"> CITATION Tan21 \l 2057 </w:instrText>
          </w:r>
          <w:r>
            <w:rPr>
              <w:rFonts w:asciiTheme="majorBidi" w:hAnsiTheme="majorBidi" w:cstheme="majorBidi"/>
              <w:sz w:val="24"/>
              <w:szCs w:val="24"/>
            </w:rPr>
            <w:instrText xml:space="preserve"> \m Kim20 \m Imp23</w:instrText>
          </w:r>
          <w:r w:rsidRPr="00116526">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(Tandon, Jabeen , Talwar, Sakashita, &amp; Dhir, 2021; Kim, Lee, &amp; Jung, 2020; Pereira, Petroll, Soares, Augusto de Matos, &amp; Hernani-Merino , 2023)</w:t>
          </w:r>
          <w:r w:rsidRPr="00116526">
            <w:rPr>
              <w:rFonts w:asciiTheme="majorBidi" w:hAnsiTheme="majorBidi" w:cstheme="majorBidi"/>
              <w:sz w:val="24"/>
              <w:szCs w:val="24"/>
            </w:rPr>
            <w:fldChar w:fldCharType="end"/>
          </w:r>
        </w:sdtContent>
      </w:sdt>
      <w:r w:rsidRPr="00116526">
        <w:rPr>
          <w:rFonts w:asciiTheme="majorBidi" w:hAnsiTheme="majorBidi" w:cstheme="majorBidi"/>
          <w:sz w:val="24"/>
          <w:szCs w:val="24"/>
        </w:rPr>
        <w:t xml:space="preserve">. For instance, a study on Indian natural products applied SOR by using the </w:t>
      </w:r>
      <w:r w:rsidR="00B7680E">
        <w:rPr>
          <w:rFonts w:asciiTheme="majorBidi" w:hAnsiTheme="majorBidi" w:cstheme="majorBidi"/>
          <w:sz w:val="24"/>
          <w:szCs w:val="24"/>
        </w:rPr>
        <w:t xml:space="preserve">consumers’ </w:t>
      </w:r>
      <w:r w:rsidRPr="00116526">
        <w:rPr>
          <w:rFonts w:asciiTheme="majorBidi" w:hAnsiTheme="majorBidi" w:cstheme="majorBidi"/>
          <w:sz w:val="24"/>
          <w:szCs w:val="24"/>
        </w:rPr>
        <w:t xml:space="preserve">perception of natural and local products as “organisms” and brand love was </w:t>
      </w:r>
      <w:r w:rsidR="00B7680E">
        <w:rPr>
          <w:rFonts w:asciiTheme="majorBidi" w:hAnsiTheme="majorBidi" w:cstheme="majorBidi"/>
          <w:sz w:val="24"/>
          <w:szCs w:val="24"/>
        </w:rPr>
        <w:t>presented</w:t>
      </w:r>
      <w:r w:rsidRPr="00116526">
        <w:rPr>
          <w:rFonts w:asciiTheme="majorBidi" w:hAnsiTheme="majorBidi" w:cstheme="majorBidi"/>
          <w:sz w:val="24"/>
          <w:szCs w:val="24"/>
        </w:rPr>
        <w:t xml:space="preserve"> as the </w:t>
      </w:r>
      <w:r w:rsidR="00CA3481">
        <w:rPr>
          <w:rFonts w:asciiTheme="majorBidi" w:hAnsiTheme="majorBidi" w:cstheme="majorBidi"/>
          <w:sz w:val="24"/>
          <w:szCs w:val="24"/>
        </w:rPr>
        <w:t>“</w:t>
      </w:r>
      <w:r w:rsidRPr="00116526">
        <w:rPr>
          <w:rFonts w:asciiTheme="majorBidi" w:hAnsiTheme="majorBidi" w:cstheme="majorBidi"/>
          <w:sz w:val="24"/>
          <w:szCs w:val="24"/>
        </w:rPr>
        <w:t>response</w:t>
      </w:r>
      <w:r w:rsidR="00CA3481">
        <w:rPr>
          <w:rFonts w:asciiTheme="majorBidi" w:hAnsiTheme="majorBidi" w:cstheme="majorBidi"/>
          <w:sz w:val="24"/>
          <w:szCs w:val="24"/>
        </w:rPr>
        <w:t>”</w:t>
      </w:r>
      <w:sdt>
        <w:sdtPr>
          <w:rPr>
            <w:rFonts w:asciiTheme="majorBidi" w:hAnsiTheme="majorBidi" w:cstheme="majorBidi"/>
            <w:sz w:val="24"/>
            <w:szCs w:val="24"/>
          </w:rPr>
          <w:id w:val="-1393874889"/>
          <w:citation/>
        </w:sdtPr>
        <w:sdtContent>
          <w:r w:rsidRPr="00116526">
            <w:rPr>
              <w:rFonts w:asciiTheme="majorBidi" w:hAnsiTheme="majorBidi" w:cstheme="majorBidi"/>
              <w:sz w:val="24"/>
              <w:szCs w:val="24"/>
            </w:rPr>
            <w:fldChar w:fldCharType="begin"/>
          </w:r>
          <w:r w:rsidRPr="00116526">
            <w:rPr>
              <w:rFonts w:asciiTheme="majorBidi" w:hAnsiTheme="majorBidi" w:cstheme="majorBidi"/>
              <w:sz w:val="24"/>
              <w:szCs w:val="24"/>
            </w:rPr>
            <w:instrText xml:space="preserve"> CITATION Kum21 \l 2057 </w:instrText>
          </w:r>
          <w:r w:rsidRPr="00116526">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(Kumar, Dhir, Talwar, Chakraborty, &amp; Kaur, 2021)</w:t>
          </w:r>
          <w:r w:rsidRPr="00116526">
            <w:rPr>
              <w:rFonts w:asciiTheme="majorBidi" w:hAnsiTheme="majorBidi" w:cstheme="majorBidi"/>
              <w:sz w:val="24"/>
              <w:szCs w:val="24"/>
            </w:rPr>
            <w:fldChar w:fldCharType="end"/>
          </w:r>
        </w:sdtContent>
      </w:sdt>
      <w:r w:rsidRPr="00116526">
        <w:rPr>
          <w:rFonts w:asciiTheme="majorBidi" w:hAnsiTheme="majorBidi" w:cstheme="majorBidi"/>
          <w:sz w:val="24"/>
          <w:szCs w:val="24"/>
        </w:rPr>
        <w:t xml:space="preserve">. </w:t>
      </w:r>
      <w:r w:rsidR="00CA3481">
        <w:rPr>
          <w:rFonts w:asciiTheme="majorBidi" w:hAnsiTheme="majorBidi" w:cstheme="majorBidi"/>
          <w:sz w:val="24"/>
          <w:szCs w:val="24"/>
        </w:rPr>
        <w:t>Furthermore, multiple researchers contributed to the SOR model in which they found a direct path between the stimulus and the response</w:t>
      </w:r>
      <w:r w:rsidR="00CA3481" w:rsidRPr="002050A2">
        <w:rPr>
          <w:rFonts w:asciiTheme="majorBidi" w:hAnsiTheme="majorBidi" w:cstheme="majorBidi"/>
          <w:sz w:val="24"/>
          <w:szCs w:val="24"/>
        </w:rPr>
        <w:t xml:space="preserve"> </w:t>
      </w:r>
      <w:bookmarkStart w:id="117" w:name="_Hlk157274745"/>
      <w:sdt>
        <w:sdtPr>
          <w:rPr>
            <w:rFonts w:asciiTheme="majorBidi" w:hAnsiTheme="majorBidi" w:cstheme="majorBidi"/>
            <w:sz w:val="24"/>
            <w:szCs w:val="24"/>
          </w:rPr>
          <w:id w:val="279848282"/>
          <w:citation/>
        </w:sdtPr>
        <w:sdtContent>
          <w:r w:rsidR="00CA3481">
            <w:rPr>
              <w:rFonts w:asciiTheme="majorBidi" w:hAnsiTheme="majorBidi" w:cstheme="majorBidi"/>
              <w:sz w:val="24"/>
              <w:szCs w:val="24"/>
            </w:rPr>
            <w:fldChar w:fldCharType="begin"/>
          </w:r>
          <w:r w:rsidR="00CA3481">
            <w:rPr>
              <w:rFonts w:asciiTheme="majorBidi" w:hAnsiTheme="majorBidi" w:cstheme="majorBidi"/>
              <w:sz w:val="24"/>
              <w:szCs w:val="24"/>
            </w:rPr>
            <w:instrText>CITATION Qiu22 \t  \l 2057  \m SuL20</w:instrText>
          </w:r>
          <w:r w:rsidR="00CA3481">
            <w:rPr>
              <w:rFonts w:asciiTheme="majorBidi" w:hAnsiTheme="majorBidi" w:cstheme="majorBidi"/>
              <w:sz w:val="24"/>
              <w:szCs w:val="24"/>
            </w:rPr>
            <w:fldChar w:fldCharType="separate"/>
          </w:r>
          <w:r w:rsidR="00CA3481">
            <w:rPr>
              <w:rFonts w:asciiTheme="majorBidi" w:hAnsiTheme="majorBidi" w:cstheme="majorBidi"/>
              <w:noProof/>
              <w:sz w:val="24"/>
              <w:szCs w:val="24"/>
            </w:rPr>
            <w:t xml:space="preserve"> </w:t>
          </w:r>
          <w:r w:rsidR="00CA3481" w:rsidRPr="00DA0A2B">
            <w:rPr>
              <w:rFonts w:asciiTheme="majorBidi" w:hAnsiTheme="majorBidi" w:cstheme="majorBidi"/>
              <w:noProof/>
              <w:sz w:val="24"/>
              <w:szCs w:val="24"/>
            </w:rPr>
            <w:t>(Qiu, et al., 2022; Su, Lian, &amp; Huan, 2020)</w:t>
          </w:r>
          <w:r w:rsidR="00CA3481">
            <w:rPr>
              <w:rFonts w:asciiTheme="majorBidi" w:hAnsiTheme="majorBidi" w:cstheme="majorBidi"/>
              <w:sz w:val="24"/>
              <w:szCs w:val="24"/>
            </w:rPr>
            <w:fldChar w:fldCharType="end"/>
          </w:r>
        </w:sdtContent>
      </w:sdt>
      <w:r w:rsidR="00CA3481">
        <w:rPr>
          <w:rFonts w:asciiTheme="majorBidi" w:hAnsiTheme="majorBidi" w:cstheme="majorBidi"/>
          <w:sz w:val="24"/>
          <w:szCs w:val="24"/>
        </w:rPr>
        <w:t xml:space="preserve">. </w:t>
      </w:r>
      <w:bookmarkEnd w:id="117"/>
      <w:r w:rsidR="00CA3481">
        <w:rPr>
          <w:rFonts w:asciiTheme="majorBidi" w:hAnsiTheme="majorBidi" w:cstheme="majorBidi"/>
          <w:sz w:val="24"/>
          <w:szCs w:val="24"/>
        </w:rPr>
        <w:t xml:space="preserve">Also, other researchers found a direct relationship between social media interactivity and purchase intention </w:t>
      </w:r>
      <w:sdt>
        <w:sdtPr>
          <w:rPr>
            <w:rFonts w:asciiTheme="majorBidi" w:hAnsiTheme="majorBidi" w:cstheme="majorBidi"/>
            <w:sz w:val="24"/>
            <w:szCs w:val="24"/>
          </w:rPr>
          <w:id w:val="-315957378"/>
          <w:citation/>
        </w:sdtPr>
        <w:sdtContent>
          <w:r w:rsidR="00CA3481">
            <w:rPr>
              <w:rFonts w:asciiTheme="majorBidi" w:hAnsiTheme="majorBidi" w:cstheme="majorBidi"/>
              <w:sz w:val="24"/>
              <w:szCs w:val="24"/>
            </w:rPr>
            <w:fldChar w:fldCharType="begin"/>
          </w:r>
          <w:r w:rsidR="00CA3481">
            <w:rPr>
              <w:rFonts w:asciiTheme="majorBidi" w:hAnsiTheme="majorBidi" w:cstheme="majorBidi"/>
              <w:sz w:val="24"/>
              <w:szCs w:val="24"/>
            </w:rPr>
            <w:instrText xml:space="preserve"> CITATION Hew12 \l 2057 </w:instrText>
          </w:r>
          <w:r w:rsidR="00CA3481">
            <w:rPr>
              <w:rFonts w:asciiTheme="majorBidi" w:hAnsiTheme="majorBidi" w:cstheme="majorBidi"/>
              <w:sz w:val="24"/>
              <w:szCs w:val="24"/>
            </w:rPr>
            <w:fldChar w:fldCharType="separate"/>
          </w:r>
          <w:r w:rsidR="00CA3481" w:rsidRPr="00435067">
            <w:rPr>
              <w:rFonts w:asciiTheme="majorBidi" w:hAnsiTheme="majorBidi" w:cstheme="majorBidi"/>
              <w:noProof/>
              <w:sz w:val="24"/>
              <w:szCs w:val="24"/>
            </w:rPr>
            <w:t>(Hewei &amp; Youngsook, 2021)</w:t>
          </w:r>
          <w:r w:rsidR="00CA3481">
            <w:rPr>
              <w:rFonts w:asciiTheme="majorBidi" w:hAnsiTheme="majorBidi" w:cstheme="majorBidi"/>
              <w:sz w:val="24"/>
              <w:szCs w:val="24"/>
            </w:rPr>
            <w:fldChar w:fldCharType="end"/>
          </w:r>
        </w:sdtContent>
      </w:sdt>
      <w:r w:rsidR="00CA3481">
        <w:rPr>
          <w:rFonts w:asciiTheme="majorBidi" w:hAnsiTheme="majorBidi" w:cstheme="majorBidi"/>
          <w:sz w:val="24"/>
          <w:szCs w:val="24"/>
        </w:rPr>
        <w:t xml:space="preserve">. Yet, that study does not confirm the direct effect of social media as a media vehicle but, it considers the interactivity on social media to affect purchase intention </w:t>
      </w:r>
      <w:sdt>
        <w:sdtPr>
          <w:rPr>
            <w:rFonts w:asciiTheme="majorBidi" w:hAnsiTheme="majorBidi" w:cstheme="majorBidi"/>
            <w:sz w:val="24"/>
            <w:szCs w:val="24"/>
          </w:rPr>
          <w:id w:val="-336465304"/>
          <w:citation/>
        </w:sdtPr>
        <w:sdtContent>
          <w:r w:rsidR="00CA3481">
            <w:rPr>
              <w:rFonts w:asciiTheme="majorBidi" w:hAnsiTheme="majorBidi" w:cstheme="majorBidi"/>
              <w:sz w:val="24"/>
              <w:szCs w:val="24"/>
            </w:rPr>
            <w:fldChar w:fldCharType="begin"/>
          </w:r>
          <w:r w:rsidR="00CA3481">
            <w:rPr>
              <w:rFonts w:asciiTheme="majorBidi" w:hAnsiTheme="majorBidi" w:cstheme="majorBidi"/>
              <w:sz w:val="24"/>
              <w:szCs w:val="24"/>
            </w:rPr>
            <w:instrText xml:space="preserve"> CITATION Hew12 \l 2057 </w:instrText>
          </w:r>
          <w:r w:rsidR="00CA3481">
            <w:rPr>
              <w:rFonts w:asciiTheme="majorBidi" w:hAnsiTheme="majorBidi" w:cstheme="majorBidi"/>
              <w:sz w:val="24"/>
              <w:szCs w:val="24"/>
            </w:rPr>
            <w:fldChar w:fldCharType="separate"/>
          </w:r>
          <w:r w:rsidR="00CA3481" w:rsidRPr="00435067">
            <w:rPr>
              <w:rFonts w:asciiTheme="majorBidi" w:hAnsiTheme="majorBidi" w:cstheme="majorBidi"/>
              <w:noProof/>
              <w:sz w:val="24"/>
              <w:szCs w:val="24"/>
            </w:rPr>
            <w:t>(Hewei &amp; Youngsook, 2021)</w:t>
          </w:r>
          <w:r w:rsidR="00CA3481">
            <w:rPr>
              <w:rFonts w:asciiTheme="majorBidi" w:hAnsiTheme="majorBidi" w:cstheme="majorBidi"/>
              <w:sz w:val="24"/>
              <w:szCs w:val="24"/>
            </w:rPr>
            <w:fldChar w:fldCharType="end"/>
          </w:r>
        </w:sdtContent>
      </w:sdt>
      <w:r w:rsidR="00CA3481">
        <w:rPr>
          <w:rFonts w:asciiTheme="majorBidi" w:hAnsiTheme="majorBidi" w:cstheme="majorBidi"/>
          <w:sz w:val="24"/>
          <w:szCs w:val="24"/>
        </w:rPr>
        <w:t xml:space="preserve">. Even so, most studies applying SOR to examine marketing communication and purchase intention measure the impact of the stimulus on organisms </w:t>
      </w:r>
      <w:sdt>
        <w:sdtPr>
          <w:rPr>
            <w:rFonts w:asciiTheme="majorBidi" w:hAnsiTheme="majorBidi" w:cstheme="majorBidi"/>
            <w:sz w:val="24"/>
            <w:szCs w:val="24"/>
          </w:rPr>
          <w:id w:val="1086884229"/>
          <w:citation/>
        </w:sdtPr>
        <w:sdtContent>
          <w:r w:rsidR="00CA3481">
            <w:rPr>
              <w:rFonts w:asciiTheme="majorBidi" w:hAnsiTheme="majorBidi" w:cstheme="majorBidi"/>
              <w:sz w:val="24"/>
              <w:szCs w:val="24"/>
            </w:rPr>
            <w:fldChar w:fldCharType="begin"/>
          </w:r>
          <w:r w:rsidR="00CA3481">
            <w:rPr>
              <w:rFonts w:asciiTheme="majorBidi" w:hAnsiTheme="majorBidi" w:cstheme="majorBidi"/>
              <w:sz w:val="24"/>
              <w:szCs w:val="24"/>
            </w:rPr>
            <w:instrText>CITATION Hus221 \t  \l 2057  \m Lin211 \m Sul21</w:instrText>
          </w:r>
          <w:r w:rsidR="00CA3481">
            <w:rPr>
              <w:rFonts w:asciiTheme="majorBidi" w:hAnsiTheme="majorBidi" w:cstheme="majorBidi"/>
              <w:sz w:val="24"/>
              <w:szCs w:val="24"/>
            </w:rPr>
            <w:fldChar w:fldCharType="separate"/>
          </w:r>
          <w:r w:rsidR="00CA3481" w:rsidRPr="00E872E2">
            <w:rPr>
              <w:rFonts w:asciiTheme="majorBidi" w:hAnsiTheme="majorBidi" w:cstheme="majorBidi"/>
              <w:noProof/>
              <w:sz w:val="24"/>
              <w:szCs w:val="24"/>
            </w:rPr>
            <w:t>(Hussain, Ting, &amp; Abbasi, 2022; Lin, Li, &amp; Guo, 2021; Sultan, Wong, &amp; Azam, 2021)</w:t>
          </w:r>
          <w:r w:rsidR="00CA3481">
            <w:rPr>
              <w:rFonts w:asciiTheme="majorBidi" w:hAnsiTheme="majorBidi" w:cstheme="majorBidi"/>
              <w:sz w:val="24"/>
              <w:szCs w:val="24"/>
            </w:rPr>
            <w:fldChar w:fldCharType="end"/>
          </w:r>
        </w:sdtContent>
      </w:sdt>
      <w:r w:rsidR="00CA3481">
        <w:rPr>
          <w:rFonts w:asciiTheme="majorBidi" w:hAnsiTheme="majorBidi" w:cstheme="majorBidi"/>
          <w:sz w:val="24"/>
          <w:szCs w:val="24"/>
        </w:rPr>
        <w:t xml:space="preserve">. In this study, the aim is to examine the direct and indirect effects of the stimuli on organisms and response. </w:t>
      </w:r>
    </w:p>
    <w:p w14:paraId="08B6E38C" w14:textId="0D072729" w:rsidR="00153EE6" w:rsidRPr="00435067" w:rsidRDefault="00CA3481" w:rsidP="00CA3481">
      <w:pPr>
        <w:adjustRightInd w:val="0"/>
        <w:spacing w:after="0" w:line="480" w:lineRule="auto"/>
        <w:ind w:firstLine="720"/>
        <w:rPr>
          <w:rFonts w:asciiTheme="majorBidi" w:hAnsiTheme="majorBidi" w:cstheme="majorBidi"/>
          <w:color w:val="2E2E2E"/>
          <w:sz w:val="24"/>
          <w:szCs w:val="24"/>
        </w:rPr>
      </w:pPr>
      <w:r>
        <w:rPr>
          <w:rFonts w:asciiTheme="majorBidi" w:hAnsiTheme="majorBidi" w:cstheme="majorBidi"/>
          <w:sz w:val="24"/>
          <w:szCs w:val="24"/>
        </w:rPr>
        <w:t xml:space="preserve">The </w:t>
      </w:r>
      <w:r w:rsidR="00153EE6" w:rsidRPr="00435067">
        <w:rPr>
          <w:rFonts w:asciiTheme="majorBidi" w:hAnsiTheme="majorBidi" w:cstheme="majorBidi"/>
          <w:sz w:val="24"/>
          <w:szCs w:val="24"/>
        </w:rPr>
        <w:t xml:space="preserve">SOR </w:t>
      </w:r>
      <w:r>
        <w:rPr>
          <w:rFonts w:asciiTheme="majorBidi" w:hAnsiTheme="majorBidi" w:cstheme="majorBidi"/>
          <w:sz w:val="24"/>
          <w:szCs w:val="24"/>
        </w:rPr>
        <w:t>model</w:t>
      </w:r>
      <w:r w:rsidR="00153EE6" w:rsidRPr="00435067">
        <w:rPr>
          <w:rFonts w:asciiTheme="majorBidi" w:hAnsiTheme="majorBidi" w:cstheme="majorBidi"/>
          <w:sz w:val="24"/>
          <w:szCs w:val="24"/>
        </w:rPr>
        <w:t xml:space="preserve"> serves as </w:t>
      </w:r>
      <w:r w:rsidR="00435067" w:rsidRPr="00435067">
        <w:rPr>
          <w:rFonts w:asciiTheme="majorBidi" w:hAnsiTheme="majorBidi" w:cstheme="majorBidi"/>
          <w:sz w:val="24"/>
          <w:szCs w:val="24"/>
        </w:rPr>
        <w:t xml:space="preserve">a crucial part of the </w:t>
      </w:r>
      <w:r w:rsidR="00153EE6" w:rsidRPr="00435067">
        <w:rPr>
          <w:rFonts w:asciiTheme="majorBidi" w:hAnsiTheme="majorBidi" w:cstheme="majorBidi"/>
          <w:sz w:val="24"/>
          <w:szCs w:val="24"/>
        </w:rPr>
        <w:t xml:space="preserve">theoretical </w:t>
      </w:r>
      <w:r w:rsidR="00435067" w:rsidRPr="00435067">
        <w:rPr>
          <w:rFonts w:asciiTheme="majorBidi" w:hAnsiTheme="majorBidi" w:cstheme="majorBidi"/>
          <w:sz w:val="24"/>
          <w:szCs w:val="24"/>
        </w:rPr>
        <w:t>system</w:t>
      </w:r>
      <w:r w:rsidR="00153EE6" w:rsidRPr="00435067">
        <w:rPr>
          <w:rFonts w:asciiTheme="majorBidi" w:hAnsiTheme="majorBidi" w:cstheme="majorBidi"/>
          <w:sz w:val="24"/>
          <w:szCs w:val="24"/>
        </w:rPr>
        <w:t xml:space="preserve"> for the current study for two key reasons. </w:t>
      </w:r>
      <w:r w:rsidR="00153EE6" w:rsidRPr="00435067">
        <w:rPr>
          <w:rFonts w:asciiTheme="majorBidi" w:hAnsiTheme="majorBidi" w:cstheme="majorBidi"/>
          <w:color w:val="2E2E2E"/>
          <w:sz w:val="24"/>
          <w:szCs w:val="24"/>
        </w:rPr>
        <w:t xml:space="preserve">First, </w:t>
      </w:r>
      <w:r w:rsidR="00A66232">
        <w:rPr>
          <w:rFonts w:asciiTheme="majorBidi" w:hAnsiTheme="majorBidi" w:cstheme="majorBidi"/>
          <w:color w:val="2E2E2E"/>
          <w:sz w:val="24"/>
          <w:szCs w:val="24"/>
        </w:rPr>
        <w:t>SOR’s</w:t>
      </w:r>
      <w:r w:rsidR="00153EE6" w:rsidRPr="00435067">
        <w:rPr>
          <w:rFonts w:asciiTheme="majorBidi" w:hAnsiTheme="majorBidi" w:cstheme="majorBidi"/>
          <w:color w:val="2E2E2E"/>
          <w:sz w:val="24"/>
          <w:szCs w:val="24"/>
        </w:rPr>
        <w:t xml:space="preserve"> determinants outline the directional cause and effect associated between stimuli</w:t>
      </w:r>
      <w:r>
        <w:rPr>
          <w:rFonts w:asciiTheme="majorBidi" w:hAnsiTheme="majorBidi" w:cstheme="majorBidi"/>
          <w:color w:val="2E2E2E"/>
          <w:sz w:val="24"/>
          <w:szCs w:val="24"/>
        </w:rPr>
        <w:t>, organisms,</w:t>
      </w:r>
      <w:r w:rsidR="00153EE6" w:rsidRPr="00435067">
        <w:rPr>
          <w:rFonts w:asciiTheme="majorBidi" w:hAnsiTheme="majorBidi" w:cstheme="majorBidi"/>
          <w:color w:val="2E2E2E"/>
          <w:sz w:val="24"/>
          <w:szCs w:val="24"/>
        </w:rPr>
        <w:t xml:space="preserve"> and the responses to them, thereby it was deemed fitting to explain the impact of different communication strategies and media </w:t>
      </w:r>
      <w:r w:rsidR="00D74555">
        <w:rPr>
          <w:rFonts w:asciiTheme="majorBidi" w:hAnsiTheme="majorBidi" w:cstheme="majorBidi"/>
          <w:color w:val="2E2E2E"/>
          <w:sz w:val="24"/>
          <w:szCs w:val="24"/>
        </w:rPr>
        <w:t>vehicles</w:t>
      </w:r>
      <w:r w:rsidR="00D74555" w:rsidRPr="00435067">
        <w:rPr>
          <w:rFonts w:asciiTheme="majorBidi" w:hAnsiTheme="majorBidi" w:cstheme="majorBidi"/>
          <w:color w:val="2E2E2E"/>
          <w:sz w:val="24"/>
          <w:szCs w:val="24"/>
        </w:rPr>
        <w:t xml:space="preserve"> </w:t>
      </w:r>
      <w:r w:rsidR="00153EE6" w:rsidRPr="00435067">
        <w:rPr>
          <w:rFonts w:asciiTheme="majorBidi" w:hAnsiTheme="majorBidi" w:cstheme="majorBidi"/>
          <w:color w:val="2E2E2E"/>
          <w:sz w:val="24"/>
          <w:szCs w:val="24"/>
        </w:rPr>
        <w:t xml:space="preserve">on consumers' attitudes and </w:t>
      </w:r>
      <w:r>
        <w:rPr>
          <w:rFonts w:asciiTheme="majorBidi" w:hAnsiTheme="majorBidi" w:cstheme="majorBidi"/>
          <w:color w:val="2E2E2E"/>
          <w:sz w:val="24"/>
          <w:szCs w:val="24"/>
        </w:rPr>
        <w:t>finally on purchase intention</w:t>
      </w:r>
      <w:r w:rsidR="00153EE6" w:rsidRPr="00435067">
        <w:rPr>
          <w:rFonts w:asciiTheme="majorBidi" w:hAnsiTheme="majorBidi" w:cstheme="majorBidi"/>
          <w:color w:val="2E2E2E"/>
          <w:sz w:val="24"/>
          <w:szCs w:val="24"/>
        </w:rPr>
        <w:t>.</w:t>
      </w:r>
      <w:r w:rsidR="00A66232">
        <w:rPr>
          <w:rFonts w:asciiTheme="majorBidi" w:hAnsiTheme="majorBidi" w:cstheme="majorBidi"/>
          <w:color w:val="2E2E2E"/>
          <w:sz w:val="24"/>
          <w:szCs w:val="24"/>
        </w:rPr>
        <w:t xml:space="preserve"> Thus, the implementation of the SOR framework in this study complements the framework of TRA as it shows the main independent source or stimuli which is the communication strategy and the media vehicle. </w:t>
      </w:r>
      <w:r w:rsidR="00153EE6" w:rsidRPr="00435067">
        <w:rPr>
          <w:rFonts w:asciiTheme="majorBidi" w:hAnsiTheme="majorBidi" w:cstheme="majorBidi"/>
          <w:color w:val="2E2E2E"/>
          <w:sz w:val="24"/>
          <w:szCs w:val="24"/>
        </w:rPr>
        <w:t>Second, the theory utili</w:t>
      </w:r>
      <w:r>
        <w:rPr>
          <w:rFonts w:asciiTheme="majorBidi" w:hAnsiTheme="majorBidi" w:cstheme="majorBidi"/>
          <w:color w:val="2E2E2E"/>
          <w:sz w:val="24"/>
          <w:szCs w:val="24"/>
        </w:rPr>
        <w:t>s</w:t>
      </w:r>
      <w:r w:rsidR="00153EE6" w:rsidRPr="00435067">
        <w:rPr>
          <w:rFonts w:asciiTheme="majorBidi" w:hAnsiTheme="majorBidi" w:cstheme="majorBidi"/>
          <w:color w:val="2E2E2E"/>
          <w:sz w:val="24"/>
          <w:szCs w:val="24"/>
        </w:rPr>
        <w:t xml:space="preserve">es external stimuli that influence the internal perception and guides the behaviour that is reflected in </w:t>
      </w:r>
      <w:r w:rsidR="00A66232">
        <w:rPr>
          <w:rFonts w:asciiTheme="majorBidi" w:hAnsiTheme="majorBidi" w:cstheme="majorBidi"/>
          <w:color w:val="2E2E2E"/>
          <w:sz w:val="24"/>
          <w:szCs w:val="24"/>
        </w:rPr>
        <w:t>attitudes</w:t>
      </w:r>
      <w:r w:rsidR="00153EE6" w:rsidRPr="00435067">
        <w:rPr>
          <w:rFonts w:asciiTheme="majorBidi" w:hAnsiTheme="majorBidi" w:cstheme="majorBidi"/>
          <w:color w:val="2E2E2E"/>
          <w:sz w:val="24"/>
          <w:szCs w:val="24"/>
        </w:rPr>
        <w:t xml:space="preserve"> and intentions of consumers. This study does not only consider the affective attitudes but also, the cognitive attitudes that consumers have towards the stimuli. </w:t>
      </w:r>
    </w:p>
    <w:p w14:paraId="327E2D37" w14:textId="41BB8102" w:rsidR="00153EE6" w:rsidRPr="00435067" w:rsidRDefault="00153EE6" w:rsidP="00026112">
      <w:pPr>
        <w:adjustRightInd w:val="0"/>
        <w:spacing w:after="0" w:line="480" w:lineRule="auto"/>
        <w:ind w:firstLine="720"/>
        <w:rPr>
          <w:rFonts w:asciiTheme="majorBidi" w:hAnsiTheme="majorBidi" w:cstheme="majorBidi"/>
          <w:color w:val="2E2E2E"/>
          <w:sz w:val="24"/>
          <w:szCs w:val="24"/>
        </w:rPr>
      </w:pPr>
      <w:r w:rsidRPr="00435067">
        <w:rPr>
          <w:rFonts w:asciiTheme="majorBidi" w:hAnsiTheme="majorBidi" w:cstheme="majorBidi"/>
          <w:color w:val="2E2E2E"/>
          <w:sz w:val="24"/>
          <w:szCs w:val="24"/>
        </w:rPr>
        <w:t xml:space="preserve">In this experimental study, SOR is applied such that different stimuli </w:t>
      </w:r>
      <w:r w:rsidR="00A03577">
        <w:rPr>
          <w:rFonts w:asciiTheme="majorBidi" w:hAnsiTheme="majorBidi" w:cstheme="majorBidi"/>
          <w:color w:val="2E2E2E"/>
          <w:sz w:val="24"/>
          <w:szCs w:val="24"/>
        </w:rPr>
        <w:t>are</w:t>
      </w:r>
      <w:r w:rsidRPr="00435067">
        <w:rPr>
          <w:rFonts w:asciiTheme="majorBidi" w:hAnsiTheme="majorBidi" w:cstheme="majorBidi"/>
          <w:color w:val="2E2E2E"/>
          <w:sz w:val="24"/>
          <w:szCs w:val="24"/>
        </w:rPr>
        <w:t xml:space="preserve"> CSR communication, non-CSR communication, social media, and </w:t>
      </w:r>
      <w:r w:rsidR="00935FBD">
        <w:rPr>
          <w:rFonts w:asciiTheme="majorBidi" w:hAnsiTheme="majorBidi" w:cstheme="majorBidi"/>
          <w:color w:val="2E2E2E"/>
          <w:sz w:val="24"/>
          <w:szCs w:val="24"/>
        </w:rPr>
        <w:t>t</w:t>
      </w:r>
      <w:r w:rsidRPr="00435067">
        <w:rPr>
          <w:rFonts w:asciiTheme="majorBidi" w:hAnsiTheme="majorBidi" w:cstheme="majorBidi"/>
          <w:color w:val="2E2E2E"/>
          <w:sz w:val="24"/>
          <w:szCs w:val="24"/>
        </w:rPr>
        <w:t xml:space="preserve">elevision. </w:t>
      </w:r>
      <w:r w:rsidR="00C55386">
        <w:rPr>
          <w:rFonts w:asciiTheme="majorBidi" w:hAnsiTheme="majorBidi" w:cstheme="majorBidi"/>
          <w:color w:val="2E2E2E"/>
          <w:sz w:val="24"/>
          <w:szCs w:val="24"/>
        </w:rPr>
        <w:t xml:space="preserve">Table nine explains the element of SOR as applied in this study. </w:t>
      </w:r>
      <w:r w:rsidRPr="00435067">
        <w:rPr>
          <w:rFonts w:asciiTheme="majorBidi" w:hAnsiTheme="majorBidi" w:cstheme="majorBidi"/>
          <w:color w:val="2E2E2E"/>
          <w:sz w:val="24"/>
          <w:szCs w:val="24"/>
        </w:rPr>
        <w:t xml:space="preserve">These stimuli were presented to four different groups of Egyptian consumers to compare the different effects of these stimuli. The organisms </w:t>
      </w:r>
      <w:r w:rsidR="00CA3481">
        <w:rPr>
          <w:rFonts w:asciiTheme="majorBidi" w:hAnsiTheme="majorBidi" w:cstheme="majorBidi"/>
          <w:color w:val="2E2E2E"/>
          <w:sz w:val="24"/>
          <w:szCs w:val="24"/>
        </w:rPr>
        <w:t>refer to</w:t>
      </w:r>
      <w:r w:rsidRPr="00435067">
        <w:rPr>
          <w:rFonts w:asciiTheme="majorBidi" w:hAnsiTheme="majorBidi" w:cstheme="majorBidi"/>
          <w:color w:val="2E2E2E"/>
          <w:sz w:val="24"/>
          <w:szCs w:val="24"/>
        </w:rPr>
        <w:t xml:space="preserve"> respondents</w:t>
      </w:r>
      <w:r w:rsidR="00A66232">
        <w:rPr>
          <w:rFonts w:asciiTheme="majorBidi" w:hAnsiTheme="majorBidi" w:cstheme="majorBidi"/>
          <w:color w:val="2E2E2E"/>
          <w:sz w:val="24"/>
          <w:szCs w:val="24"/>
        </w:rPr>
        <w:t>’ brand attitudes</w:t>
      </w:r>
      <w:r w:rsidR="00CA3481">
        <w:rPr>
          <w:rFonts w:asciiTheme="majorBidi" w:hAnsiTheme="majorBidi" w:cstheme="majorBidi"/>
          <w:color w:val="2E2E2E"/>
          <w:sz w:val="24"/>
          <w:szCs w:val="24"/>
        </w:rPr>
        <w:t xml:space="preserve"> resulting from the stimuli</w:t>
      </w:r>
      <w:r w:rsidRPr="00435067">
        <w:rPr>
          <w:rFonts w:asciiTheme="majorBidi" w:hAnsiTheme="majorBidi" w:cstheme="majorBidi"/>
          <w:color w:val="2E2E2E"/>
          <w:sz w:val="24"/>
          <w:szCs w:val="24"/>
        </w:rPr>
        <w:t xml:space="preserve">. As emerged from literature in the previous chapter, perception of CSR, ad likeability, brand likeability, emotional brand attachment, brand trust, and perceived brand functionality represents the organisms. Lastly, the measured response is purchase intention. Table </w:t>
      </w:r>
      <w:r w:rsidR="00727E91">
        <w:rPr>
          <w:rFonts w:asciiTheme="majorBidi" w:hAnsiTheme="majorBidi" w:cstheme="majorBidi"/>
          <w:color w:val="2E2E2E"/>
          <w:sz w:val="24"/>
          <w:szCs w:val="24"/>
        </w:rPr>
        <w:t>eight</w:t>
      </w:r>
      <w:r w:rsidRPr="00435067">
        <w:rPr>
          <w:rFonts w:asciiTheme="majorBidi" w:hAnsiTheme="majorBidi" w:cstheme="majorBidi"/>
          <w:color w:val="2E2E2E"/>
          <w:sz w:val="24"/>
          <w:szCs w:val="24"/>
        </w:rPr>
        <w:t xml:space="preserve"> summarises the measured variables in this research study within the SOR theoretical </w:t>
      </w:r>
      <w:r w:rsidR="00743F28">
        <w:rPr>
          <w:rFonts w:asciiTheme="majorBidi" w:hAnsiTheme="majorBidi" w:cstheme="majorBidi"/>
          <w:color w:val="2E2E2E"/>
          <w:sz w:val="24"/>
          <w:szCs w:val="24"/>
        </w:rPr>
        <w:t>model</w:t>
      </w:r>
      <w:r w:rsidRPr="00435067">
        <w:rPr>
          <w:rFonts w:asciiTheme="majorBidi" w:hAnsiTheme="majorBidi" w:cstheme="majorBidi"/>
          <w:color w:val="2E2E2E"/>
          <w:sz w:val="24"/>
          <w:szCs w:val="24"/>
        </w:rPr>
        <w:t xml:space="preserve">. </w:t>
      </w:r>
      <w:r w:rsidR="001E589A">
        <w:rPr>
          <w:rFonts w:asciiTheme="majorBidi" w:hAnsiTheme="majorBidi" w:cstheme="majorBidi"/>
          <w:color w:val="2E2E2E"/>
          <w:sz w:val="24"/>
          <w:szCs w:val="24"/>
        </w:rPr>
        <w:t xml:space="preserve">The next section explains the concept of halo effect and the way it is measured in this research. </w:t>
      </w:r>
    </w:p>
    <w:tbl>
      <w:tblPr>
        <w:tblStyle w:val="TableGrid"/>
        <w:tblW w:w="0" w:type="auto"/>
        <w:tblInd w:w="675" w:type="dxa"/>
        <w:tblLook w:val="04A0" w:firstRow="1" w:lastRow="0" w:firstColumn="1" w:lastColumn="0" w:noHBand="0" w:noVBand="1"/>
      </w:tblPr>
      <w:tblGrid>
        <w:gridCol w:w="2330"/>
        <w:gridCol w:w="2773"/>
        <w:gridCol w:w="2268"/>
      </w:tblGrid>
      <w:tr w:rsidR="00153EE6" w:rsidRPr="00151ABA" w14:paraId="74E9E907" w14:textId="77777777" w:rsidTr="00026112">
        <w:tc>
          <w:tcPr>
            <w:tcW w:w="2330" w:type="dxa"/>
          </w:tcPr>
          <w:p w14:paraId="2D995C97" w14:textId="77777777" w:rsidR="00153EE6" w:rsidRPr="00151ABA" w:rsidRDefault="00153EE6" w:rsidP="00524DF0">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xml:space="preserve">Stimuli </w:t>
            </w:r>
          </w:p>
        </w:tc>
        <w:tc>
          <w:tcPr>
            <w:tcW w:w="2773" w:type="dxa"/>
          </w:tcPr>
          <w:p w14:paraId="6F81DCE0" w14:textId="77777777" w:rsidR="00153EE6" w:rsidRPr="00151ABA" w:rsidRDefault="00153EE6" w:rsidP="00524DF0">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xml:space="preserve">Organisms </w:t>
            </w:r>
          </w:p>
        </w:tc>
        <w:tc>
          <w:tcPr>
            <w:tcW w:w="2268" w:type="dxa"/>
          </w:tcPr>
          <w:p w14:paraId="64037D47" w14:textId="77777777" w:rsidR="00153EE6" w:rsidRPr="00151ABA" w:rsidRDefault="00153EE6" w:rsidP="00524DF0">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xml:space="preserve">Response </w:t>
            </w:r>
          </w:p>
        </w:tc>
      </w:tr>
      <w:tr w:rsidR="00153EE6" w:rsidRPr="00151ABA" w14:paraId="504CE491" w14:textId="77777777" w:rsidTr="00026112">
        <w:tc>
          <w:tcPr>
            <w:tcW w:w="2330" w:type="dxa"/>
          </w:tcPr>
          <w:p w14:paraId="090FE9B9" w14:textId="428607B8" w:rsidR="001E589A" w:rsidRPr="00151ABA" w:rsidRDefault="00153EE6" w:rsidP="00044DE9">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xml:space="preserve">- </w:t>
            </w:r>
            <w:r w:rsidR="00743F28" w:rsidRPr="00151ABA">
              <w:rPr>
                <w:rFonts w:asciiTheme="majorBidi" w:hAnsiTheme="majorBidi" w:cstheme="majorBidi"/>
                <w:color w:val="2E2E2E"/>
                <w:sz w:val="20"/>
                <w:szCs w:val="20"/>
              </w:rPr>
              <w:t xml:space="preserve">Communication strategy: </w:t>
            </w:r>
            <w:r w:rsidRPr="00151ABA">
              <w:rPr>
                <w:rFonts w:asciiTheme="majorBidi" w:hAnsiTheme="majorBidi" w:cstheme="majorBidi"/>
                <w:color w:val="2E2E2E"/>
                <w:sz w:val="20"/>
                <w:szCs w:val="20"/>
              </w:rPr>
              <w:t xml:space="preserve">CSR /non-CSR </w:t>
            </w:r>
          </w:p>
          <w:p w14:paraId="5E229ED1" w14:textId="77777777" w:rsidR="001E589A" w:rsidRPr="00151ABA" w:rsidRDefault="001E589A" w:rsidP="00044DE9">
            <w:pPr>
              <w:adjustRightInd w:val="0"/>
              <w:rPr>
                <w:rFonts w:asciiTheme="majorBidi" w:hAnsiTheme="majorBidi" w:cstheme="majorBidi"/>
                <w:color w:val="2E2E2E"/>
                <w:sz w:val="20"/>
                <w:szCs w:val="20"/>
              </w:rPr>
            </w:pPr>
          </w:p>
          <w:p w14:paraId="740312FE" w14:textId="4E3B4F7A" w:rsidR="00153EE6" w:rsidRPr="00151ABA" w:rsidRDefault="00153EE6" w:rsidP="00044DE9">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xml:space="preserve">- </w:t>
            </w:r>
            <w:r w:rsidR="00743F28" w:rsidRPr="00151ABA">
              <w:rPr>
                <w:rFonts w:asciiTheme="majorBidi" w:hAnsiTheme="majorBidi" w:cstheme="majorBidi"/>
                <w:color w:val="2E2E2E"/>
                <w:sz w:val="20"/>
                <w:szCs w:val="20"/>
              </w:rPr>
              <w:t xml:space="preserve">Media Vehicle: </w:t>
            </w:r>
            <w:r w:rsidRPr="00151ABA">
              <w:rPr>
                <w:rFonts w:asciiTheme="majorBidi" w:hAnsiTheme="majorBidi" w:cstheme="majorBidi"/>
                <w:color w:val="2E2E2E"/>
                <w:sz w:val="20"/>
                <w:szCs w:val="20"/>
              </w:rPr>
              <w:t>Television/</w:t>
            </w:r>
            <w:r w:rsidR="00743F28" w:rsidRPr="00151ABA">
              <w:rPr>
                <w:rFonts w:asciiTheme="majorBidi" w:hAnsiTheme="majorBidi" w:cstheme="majorBidi"/>
                <w:color w:val="2E2E2E"/>
                <w:sz w:val="20"/>
                <w:szCs w:val="20"/>
              </w:rPr>
              <w:t>social media</w:t>
            </w:r>
            <w:r w:rsidRPr="00151ABA">
              <w:rPr>
                <w:rFonts w:asciiTheme="majorBidi" w:hAnsiTheme="majorBidi" w:cstheme="majorBidi"/>
                <w:color w:val="2E2E2E"/>
                <w:sz w:val="20"/>
                <w:szCs w:val="20"/>
              </w:rPr>
              <w:t xml:space="preserve"> </w:t>
            </w:r>
          </w:p>
        </w:tc>
        <w:tc>
          <w:tcPr>
            <w:tcW w:w="2773" w:type="dxa"/>
          </w:tcPr>
          <w:p w14:paraId="34FC868C" w14:textId="77777777" w:rsidR="00153EE6" w:rsidRPr="00151ABA" w:rsidRDefault="00153EE6" w:rsidP="00044DE9">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Perception of CSR</w:t>
            </w:r>
          </w:p>
          <w:p w14:paraId="56C26E77" w14:textId="77777777" w:rsidR="00153EE6" w:rsidRPr="00151ABA" w:rsidRDefault="00153EE6" w:rsidP="00044DE9">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xml:space="preserve">- Ad likeability </w:t>
            </w:r>
          </w:p>
          <w:p w14:paraId="7C14C19D" w14:textId="77777777" w:rsidR="00153EE6" w:rsidRPr="00151ABA" w:rsidRDefault="00153EE6" w:rsidP="00044DE9">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Brand likeability</w:t>
            </w:r>
          </w:p>
          <w:p w14:paraId="4354A3F0" w14:textId="77777777" w:rsidR="00153EE6" w:rsidRPr="00151ABA" w:rsidRDefault="00153EE6" w:rsidP="00044DE9">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Emotional brand attachment</w:t>
            </w:r>
          </w:p>
          <w:p w14:paraId="21220A6D" w14:textId="77777777" w:rsidR="00153EE6" w:rsidRPr="00151ABA" w:rsidRDefault="00153EE6" w:rsidP="00044DE9">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Brand trust</w:t>
            </w:r>
          </w:p>
          <w:p w14:paraId="31F6C214" w14:textId="77777777" w:rsidR="00153EE6" w:rsidRPr="00151ABA" w:rsidRDefault="00153EE6" w:rsidP="00044DE9">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Perceived brand functionality</w:t>
            </w:r>
          </w:p>
        </w:tc>
        <w:tc>
          <w:tcPr>
            <w:tcW w:w="2268" w:type="dxa"/>
          </w:tcPr>
          <w:p w14:paraId="628041DF" w14:textId="77777777" w:rsidR="00153EE6" w:rsidRPr="00151ABA" w:rsidRDefault="00153EE6" w:rsidP="00044DE9">
            <w:pPr>
              <w:adjustRightInd w:val="0"/>
              <w:rPr>
                <w:rFonts w:asciiTheme="majorBidi" w:hAnsiTheme="majorBidi" w:cstheme="majorBidi"/>
                <w:color w:val="2E2E2E"/>
                <w:sz w:val="20"/>
                <w:szCs w:val="20"/>
              </w:rPr>
            </w:pPr>
          </w:p>
          <w:p w14:paraId="6D6BE239" w14:textId="77777777" w:rsidR="00153EE6" w:rsidRPr="00151ABA" w:rsidRDefault="00153EE6" w:rsidP="00044DE9">
            <w:pPr>
              <w:adjustRightInd w:val="0"/>
              <w:rPr>
                <w:rFonts w:asciiTheme="majorBidi" w:hAnsiTheme="majorBidi" w:cstheme="majorBidi"/>
                <w:color w:val="2E2E2E"/>
                <w:sz w:val="20"/>
                <w:szCs w:val="20"/>
              </w:rPr>
            </w:pPr>
          </w:p>
          <w:p w14:paraId="5ED29938" w14:textId="309520D8" w:rsidR="00153EE6" w:rsidRPr="00151ABA" w:rsidRDefault="00153EE6" w:rsidP="00044DE9">
            <w:pPr>
              <w:keepNext/>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Purchase Intention</w:t>
            </w:r>
          </w:p>
        </w:tc>
      </w:tr>
    </w:tbl>
    <w:p w14:paraId="70331314" w14:textId="7100DD7C" w:rsidR="004F4A51" w:rsidRDefault="00727E91" w:rsidP="00727E91">
      <w:pPr>
        <w:pStyle w:val="Caption"/>
        <w:rPr>
          <w:rFonts w:asciiTheme="majorBidi" w:hAnsiTheme="majorBidi" w:cstheme="majorBidi"/>
          <w:b/>
          <w:bCs/>
          <w:sz w:val="24"/>
          <w:szCs w:val="24"/>
        </w:rPr>
      </w:pPr>
      <w:r>
        <w:t xml:space="preserve">Table </w:t>
      </w:r>
      <w:r w:rsidR="00044DE9">
        <w:t>9</w:t>
      </w:r>
      <w:r>
        <w:t xml:space="preserve"> The application of SOR in this research study</w:t>
      </w:r>
    </w:p>
    <w:p w14:paraId="45294670" w14:textId="581F5B1A" w:rsidR="00153EE6" w:rsidRPr="00807060" w:rsidRDefault="00153EE6" w:rsidP="00153EE6">
      <w:pPr>
        <w:adjustRightInd w:val="0"/>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4</w:t>
      </w:r>
      <w:r>
        <w:rPr>
          <w:rFonts w:asciiTheme="majorBidi" w:hAnsiTheme="majorBidi" w:cstheme="majorBidi"/>
          <w:b/>
          <w:bCs/>
          <w:sz w:val="24"/>
          <w:szCs w:val="24"/>
        </w:rPr>
        <w:t xml:space="preserve"> Halo Effect</w:t>
      </w:r>
      <w:r w:rsidR="00B92945">
        <w:rPr>
          <w:rFonts w:asciiTheme="majorBidi" w:hAnsiTheme="majorBidi" w:cstheme="majorBidi"/>
          <w:b/>
          <w:bCs/>
          <w:sz w:val="24"/>
          <w:szCs w:val="24"/>
        </w:rPr>
        <w:t xml:space="preserve"> </w:t>
      </w:r>
    </w:p>
    <w:p w14:paraId="5B800177" w14:textId="3DB4F828" w:rsidR="00153EE6" w:rsidRDefault="00153EE6" w:rsidP="00153EE6">
      <w:pPr>
        <w:adjustRightInd w:val="0"/>
        <w:spacing w:after="0" w:line="480" w:lineRule="auto"/>
        <w:ind w:firstLine="720"/>
        <w:rPr>
          <w:rFonts w:asciiTheme="majorBidi" w:hAnsiTheme="majorBidi" w:cstheme="majorBidi"/>
          <w:sz w:val="24"/>
          <w:szCs w:val="24"/>
        </w:rPr>
      </w:pPr>
      <w:r w:rsidRPr="0010282B">
        <w:rPr>
          <w:rFonts w:asciiTheme="majorBidi" w:hAnsiTheme="majorBidi" w:cstheme="majorBidi"/>
          <w:sz w:val="24"/>
          <w:szCs w:val="24"/>
        </w:rPr>
        <w:t>One of the earliest definitions of the halo effect by Newcomb</w:t>
      </w:r>
      <w:r>
        <w:rPr>
          <w:rFonts w:asciiTheme="majorBidi" w:hAnsiTheme="majorBidi" w:cstheme="majorBidi"/>
          <w:sz w:val="24"/>
          <w:szCs w:val="24"/>
        </w:rPr>
        <w:t xml:space="preserve"> </w:t>
      </w:r>
      <w:sdt>
        <w:sdtPr>
          <w:rPr>
            <w:rFonts w:asciiTheme="majorBidi" w:hAnsiTheme="majorBidi" w:cstheme="majorBidi"/>
            <w:sz w:val="24"/>
            <w:szCs w:val="24"/>
          </w:rPr>
          <w:id w:val="-115961945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New31 \n  \t  \l 2057 </w:instrText>
          </w:r>
          <w:r>
            <w:rPr>
              <w:rFonts w:asciiTheme="majorBidi" w:hAnsiTheme="majorBidi" w:cstheme="majorBidi"/>
              <w:sz w:val="24"/>
              <w:szCs w:val="24"/>
            </w:rPr>
            <w:fldChar w:fldCharType="separate"/>
          </w:r>
          <w:r w:rsidRPr="002E2A92">
            <w:rPr>
              <w:rFonts w:asciiTheme="majorBidi" w:hAnsiTheme="majorBidi" w:cstheme="majorBidi"/>
              <w:noProof/>
              <w:sz w:val="24"/>
              <w:szCs w:val="24"/>
            </w:rPr>
            <w:t>(1931)</w:t>
          </w:r>
          <w:r>
            <w:rPr>
              <w:rFonts w:asciiTheme="majorBidi" w:hAnsiTheme="majorBidi" w:cstheme="majorBidi"/>
              <w:sz w:val="24"/>
              <w:szCs w:val="24"/>
            </w:rPr>
            <w:fldChar w:fldCharType="end"/>
          </w:r>
        </w:sdtContent>
      </w:sdt>
      <w:r w:rsidRPr="0010282B">
        <w:rPr>
          <w:rFonts w:asciiTheme="majorBidi" w:hAnsiTheme="majorBidi" w:cstheme="majorBidi"/>
          <w:sz w:val="24"/>
          <w:szCs w:val="24"/>
        </w:rPr>
        <w:t xml:space="preserve"> </w:t>
      </w:r>
      <w:r w:rsidR="00A03577">
        <w:rPr>
          <w:rFonts w:asciiTheme="majorBidi" w:hAnsiTheme="majorBidi" w:cstheme="majorBidi"/>
          <w:sz w:val="24"/>
          <w:szCs w:val="24"/>
        </w:rPr>
        <w:t>is</w:t>
      </w:r>
      <w:r>
        <w:rPr>
          <w:rFonts w:asciiTheme="majorBidi" w:hAnsiTheme="majorBidi" w:cstheme="majorBidi"/>
          <w:sz w:val="24"/>
          <w:szCs w:val="24"/>
        </w:rPr>
        <w:t xml:space="preserve"> that it</w:t>
      </w:r>
      <w:r w:rsidR="00A03577">
        <w:rPr>
          <w:rFonts w:asciiTheme="majorBidi" w:hAnsiTheme="majorBidi" w:cstheme="majorBidi"/>
          <w:sz w:val="24"/>
          <w:szCs w:val="24"/>
        </w:rPr>
        <w:t xml:space="preserve"> is</w:t>
      </w:r>
      <w:r w:rsidRPr="0010282B">
        <w:rPr>
          <w:rFonts w:asciiTheme="majorBidi" w:hAnsiTheme="majorBidi" w:cstheme="majorBidi"/>
          <w:sz w:val="24"/>
          <w:szCs w:val="24"/>
        </w:rPr>
        <w:t xml:space="preserve"> a logical assumption of a behaviour that is based on an evaluation of previous occurrences of unrelated behaviours.</w:t>
      </w:r>
      <w:r>
        <w:rPr>
          <w:rFonts w:asciiTheme="majorBidi" w:hAnsiTheme="majorBidi" w:cstheme="majorBidi"/>
          <w:sz w:val="24"/>
          <w:szCs w:val="24"/>
        </w:rPr>
        <w:t xml:space="preserve"> In earlier studies, the halo effect has been defined as the subconscious cognitive bias that happens as consumers’ evaluation of some attributes of an entity is strongly biased by their perception </w:t>
      </w:r>
      <w:r w:rsidR="001E589A">
        <w:rPr>
          <w:rFonts w:asciiTheme="majorBidi" w:hAnsiTheme="majorBidi" w:cstheme="majorBidi"/>
          <w:sz w:val="24"/>
          <w:szCs w:val="24"/>
        </w:rPr>
        <w:t>of</w:t>
      </w:r>
      <w:r>
        <w:rPr>
          <w:rFonts w:asciiTheme="majorBidi" w:hAnsiTheme="majorBidi" w:cstheme="majorBidi"/>
          <w:sz w:val="24"/>
          <w:szCs w:val="24"/>
        </w:rPr>
        <w:t xml:space="preserve"> other attributes of </w:t>
      </w:r>
      <w:r w:rsidR="001E589A">
        <w:rPr>
          <w:rFonts w:asciiTheme="majorBidi" w:hAnsiTheme="majorBidi" w:cstheme="majorBidi"/>
          <w:sz w:val="24"/>
          <w:szCs w:val="24"/>
        </w:rPr>
        <w:t>this</w:t>
      </w:r>
      <w:r>
        <w:rPr>
          <w:rFonts w:asciiTheme="majorBidi" w:hAnsiTheme="majorBidi" w:cstheme="majorBidi"/>
          <w:sz w:val="24"/>
          <w:szCs w:val="24"/>
        </w:rPr>
        <w:t xml:space="preserve"> entity </w:t>
      </w:r>
      <w:sdt>
        <w:sdtPr>
          <w:rPr>
            <w:rFonts w:asciiTheme="majorBidi" w:hAnsiTheme="majorBidi" w:cstheme="majorBidi"/>
            <w:sz w:val="24"/>
            <w:szCs w:val="24"/>
          </w:rPr>
          <w:id w:val="-189171930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Lee13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(Lee, Shimizu, Kniffin, &amp; Wansink, 2013)</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A869B4">
        <w:t xml:space="preserve"> </w:t>
      </w:r>
      <w:r w:rsidRPr="00433827">
        <w:rPr>
          <w:rFonts w:asciiTheme="majorBidi" w:hAnsiTheme="majorBidi" w:cstheme="majorBidi"/>
          <w:sz w:val="24"/>
          <w:szCs w:val="24"/>
        </w:rPr>
        <w:t xml:space="preserve">Typically, this halo effect happens when an individual forms an </w:t>
      </w:r>
      <w:r>
        <w:rPr>
          <w:rFonts w:asciiTheme="majorBidi" w:hAnsiTheme="majorBidi" w:cstheme="majorBidi"/>
          <w:sz w:val="24"/>
          <w:szCs w:val="24"/>
        </w:rPr>
        <w:t xml:space="preserve">initial general </w:t>
      </w:r>
      <w:r w:rsidRPr="00433827">
        <w:rPr>
          <w:rFonts w:asciiTheme="majorBidi" w:hAnsiTheme="majorBidi" w:cstheme="majorBidi"/>
          <w:sz w:val="24"/>
          <w:szCs w:val="24"/>
        </w:rPr>
        <w:t xml:space="preserve">opinion of a person, location, or thing based on </w:t>
      </w:r>
      <w:r w:rsidR="001E589A">
        <w:rPr>
          <w:rFonts w:asciiTheme="majorBidi" w:hAnsiTheme="majorBidi" w:cstheme="majorBidi"/>
          <w:sz w:val="24"/>
          <w:szCs w:val="24"/>
        </w:rPr>
        <w:t>certain</w:t>
      </w:r>
      <w:r w:rsidRPr="00433827">
        <w:rPr>
          <w:rFonts w:asciiTheme="majorBidi" w:hAnsiTheme="majorBidi" w:cstheme="majorBidi"/>
          <w:sz w:val="24"/>
          <w:szCs w:val="24"/>
        </w:rPr>
        <w:t xml:space="preserve"> attributes</w:t>
      </w:r>
      <w:sdt>
        <w:sdtPr>
          <w:rPr>
            <w:rFonts w:asciiTheme="majorBidi" w:hAnsiTheme="majorBidi" w:cstheme="majorBidi"/>
            <w:sz w:val="24"/>
            <w:szCs w:val="24"/>
          </w:rPr>
          <w:id w:val="-159415393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Bac19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(Bacig &amp; Young, 2019)</w:t>
          </w:r>
          <w:r>
            <w:rPr>
              <w:rFonts w:asciiTheme="majorBidi" w:hAnsiTheme="majorBidi" w:cstheme="majorBidi"/>
              <w:sz w:val="24"/>
              <w:szCs w:val="24"/>
            </w:rPr>
            <w:fldChar w:fldCharType="end"/>
          </w:r>
        </w:sdtContent>
      </w:sdt>
      <w:r w:rsidRPr="00433827">
        <w:rPr>
          <w:rFonts w:asciiTheme="majorBidi" w:hAnsiTheme="majorBidi" w:cstheme="majorBidi"/>
          <w:sz w:val="24"/>
          <w:szCs w:val="24"/>
        </w:rPr>
        <w:t>.</w:t>
      </w:r>
      <w:r>
        <w:rPr>
          <w:rFonts w:asciiTheme="majorBidi" w:hAnsiTheme="majorBidi" w:cstheme="majorBidi"/>
          <w:sz w:val="24"/>
          <w:szCs w:val="24"/>
        </w:rPr>
        <w:t xml:space="preserve"> In other words, halo effects are over-generalizations that occur when perception of certain features of a product allow for transferability to other features of the same product in a form of a “spill-over” </w:t>
      </w:r>
      <w:sdt>
        <w:sdtPr>
          <w:rPr>
            <w:rFonts w:asciiTheme="majorBidi" w:hAnsiTheme="majorBidi" w:cstheme="majorBidi"/>
            <w:sz w:val="24"/>
            <w:szCs w:val="24"/>
          </w:rPr>
          <w:id w:val="-201190114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Ker16 \l 2057  \m Sto21 \m Sun21</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(Kerger, Bernal, Paustenbach , &amp; Huntley-Fenner , 2016; Stoltze, Busey, Taillie, &amp; Carpentier, 2021; Sundar, Cao, Wu, &amp; Kardes,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Some authors assumed that, </w:t>
      </w:r>
      <w:r w:rsidR="001E589A">
        <w:rPr>
          <w:rFonts w:asciiTheme="majorBidi" w:hAnsiTheme="majorBidi" w:cstheme="majorBidi"/>
          <w:sz w:val="24"/>
          <w:szCs w:val="24"/>
        </w:rPr>
        <w:t>under</w:t>
      </w:r>
      <w:r>
        <w:rPr>
          <w:rFonts w:asciiTheme="majorBidi" w:hAnsiTheme="majorBidi" w:cstheme="majorBidi"/>
          <w:sz w:val="24"/>
          <w:szCs w:val="24"/>
        </w:rPr>
        <w:t xml:space="preserve"> the halo effect concept, emotions serve as a mediator between perception of product function</w:t>
      </w:r>
      <w:r w:rsidR="001E589A">
        <w:rPr>
          <w:rFonts w:asciiTheme="majorBidi" w:hAnsiTheme="majorBidi" w:cstheme="majorBidi"/>
          <w:sz w:val="24"/>
          <w:szCs w:val="24"/>
        </w:rPr>
        <w:t>al</w:t>
      </w:r>
      <w:r>
        <w:rPr>
          <w:rFonts w:asciiTheme="majorBidi" w:hAnsiTheme="majorBidi" w:cstheme="majorBidi"/>
          <w:sz w:val="24"/>
          <w:szCs w:val="24"/>
        </w:rPr>
        <w:t xml:space="preserve"> quality and the final usage or interaction with the product </w:t>
      </w:r>
      <w:sdt>
        <w:sdtPr>
          <w:rPr>
            <w:rFonts w:asciiTheme="majorBidi" w:hAnsiTheme="majorBidi" w:cstheme="majorBidi"/>
            <w:sz w:val="24"/>
            <w:szCs w:val="24"/>
          </w:rPr>
          <w:id w:val="789473953"/>
          <w:citation/>
        </w:sdtPr>
        <w:sdtContent>
          <w:r>
            <w:rPr>
              <w:rFonts w:asciiTheme="majorBidi" w:hAnsiTheme="majorBidi" w:cstheme="majorBidi"/>
              <w:sz w:val="24"/>
              <w:szCs w:val="24"/>
            </w:rPr>
            <w:fldChar w:fldCharType="begin"/>
          </w:r>
          <w:r w:rsidR="002467D0">
            <w:rPr>
              <w:rFonts w:asciiTheme="majorBidi" w:hAnsiTheme="majorBidi" w:cstheme="majorBidi"/>
              <w:sz w:val="24"/>
              <w:szCs w:val="24"/>
            </w:rPr>
            <w:instrText xml:space="preserve">CITATION Min18 \t  \m Tuc12 \l 2057 </w:instrText>
          </w:r>
          <w:r>
            <w:rPr>
              <w:rFonts w:asciiTheme="majorBidi" w:hAnsiTheme="majorBidi" w:cstheme="majorBidi"/>
              <w:sz w:val="24"/>
              <w:szCs w:val="24"/>
            </w:rPr>
            <w:fldChar w:fldCharType="separate"/>
          </w:r>
          <w:r w:rsidR="002467D0" w:rsidRPr="002467D0">
            <w:rPr>
              <w:rFonts w:asciiTheme="majorBidi" w:hAnsiTheme="majorBidi" w:cstheme="majorBidi"/>
              <w:noProof/>
              <w:sz w:val="24"/>
              <w:szCs w:val="24"/>
            </w:rPr>
            <w:t>(Minge &amp; Thüring, 2018; Tuch, Roth, Hornbæk, Opwis, &amp; Bargas-Avila, 2012)</w:t>
          </w:r>
          <w:r>
            <w:rPr>
              <w:rFonts w:asciiTheme="majorBidi" w:hAnsiTheme="majorBidi" w:cstheme="majorBidi"/>
              <w:sz w:val="24"/>
              <w:szCs w:val="24"/>
            </w:rPr>
            <w:fldChar w:fldCharType="end"/>
          </w:r>
        </w:sdtContent>
      </w:sdt>
      <w:r>
        <w:rPr>
          <w:rFonts w:asciiTheme="majorBidi" w:hAnsiTheme="majorBidi" w:cstheme="majorBidi"/>
          <w:sz w:val="24"/>
          <w:szCs w:val="24"/>
        </w:rPr>
        <w:t>. Halo effect as a concept has been used in multiple studies related to brand image and purchase intention</w:t>
      </w:r>
      <w:sdt>
        <w:sdtPr>
          <w:rPr>
            <w:rFonts w:asciiTheme="majorBidi" w:hAnsiTheme="majorBidi" w:cstheme="majorBidi"/>
            <w:sz w:val="24"/>
            <w:szCs w:val="24"/>
          </w:rPr>
          <w:id w:val="-156263059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1 \l 2057  \m Apa17 \m Che232</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EA37F3">
            <w:rPr>
              <w:rFonts w:asciiTheme="majorBidi" w:hAnsiTheme="majorBidi" w:cstheme="majorBidi"/>
              <w:noProof/>
              <w:sz w:val="24"/>
              <w:szCs w:val="24"/>
            </w:rPr>
            <w:t>(Naeeni, Sahin, &amp; Robinson Jr., 2023; Apaolaza, Hartmann, Echebarria, &amp; Barrutia, 2017; Chen, Gabrielyan, Shimizu, &amp; Qing,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58C516B5" w14:textId="00CEA42E" w:rsidR="00153EE6" w:rsidRDefault="00153EE6" w:rsidP="00997FEC">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Generally, the halo effect </w:t>
      </w:r>
      <w:r w:rsidR="000A291B">
        <w:rPr>
          <w:rFonts w:asciiTheme="majorBidi" w:hAnsiTheme="majorBidi" w:cstheme="majorBidi"/>
          <w:sz w:val="24"/>
          <w:szCs w:val="24"/>
        </w:rPr>
        <w:t>wa</w:t>
      </w:r>
      <w:r>
        <w:rPr>
          <w:rFonts w:asciiTheme="majorBidi" w:hAnsiTheme="majorBidi" w:cstheme="majorBidi"/>
          <w:sz w:val="24"/>
          <w:szCs w:val="24"/>
        </w:rPr>
        <w:t>s categorized into two models: the general impressions model and the salient feature model</w:t>
      </w:r>
      <w:sdt>
        <w:sdtPr>
          <w:rPr>
            <w:rFonts w:asciiTheme="majorBidi" w:hAnsiTheme="majorBidi" w:cstheme="majorBidi"/>
            <w:sz w:val="24"/>
            <w:szCs w:val="24"/>
          </w:rPr>
          <w:id w:val="94851207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Coo81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(Cooper, 1981)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general impressions model refers to the overall </w:t>
      </w:r>
      <w:r w:rsidR="000A291B">
        <w:rPr>
          <w:rFonts w:asciiTheme="majorBidi" w:hAnsiTheme="majorBidi" w:cstheme="majorBidi"/>
          <w:sz w:val="24"/>
          <w:szCs w:val="24"/>
        </w:rPr>
        <w:t>general</w:t>
      </w:r>
      <w:r>
        <w:rPr>
          <w:rFonts w:asciiTheme="majorBidi" w:hAnsiTheme="majorBidi" w:cstheme="majorBidi"/>
          <w:sz w:val="24"/>
          <w:szCs w:val="24"/>
        </w:rPr>
        <w:t xml:space="preserve"> impression of a person or an object</w:t>
      </w:r>
      <w:r w:rsidR="001E589A">
        <w:rPr>
          <w:rFonts w:asciiTheme="majorBidi" w:hAnsiTheme="majorBidi" w:cstheme="majorBidi"/>
          <w:sz w:val="24"/>
          <w:szCs w:val="24"/>
        </w:rPr>
        <w:t xml:space="preserve"> that feeds</w:t>
      </w:r>
      <w:r>
        <w:rPr>
          <w:rFonts w:asciiTheme="majorBidi" w:hAnsiTheme="majorBidi" w:cstheme="majorBidi"/>
          <w:sz w:val="24"/>
          <w:szCs w:val="24"/>
        </w:rPr>
        <w:t xml:space="preserve"> into the evaluation of its specific features</w:t>
      </w:r>
      <w:sdt>
        <w:sdtPr>
          <w:rPr>
            <w:rFonts w:asciiTheme="majorBidi" w:hAnsiTheme="majorBidi" w:cstheme="majorBidi"/>
            <w:sz w:val="24"/>
            <w:szCs w:val="24"/>
          </w:rPr>
          <w:id w:val="154803206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Coo81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(Cooper, 1981)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Start w:id="118" w:name="_Hlk134216244"/>
      <w:r w:rsidRPr="009F574A">
        <w:rPr>
          <w:rFonts w:asciiTheme="majorBidi" w:hAnsiTheme="majorBidi" w:cstheme="majorBidi"/>
          <w:sz w:val="24"/>
          <w:szCs w:val="24"/>
        </w:rPr>
        <w:t xml:space="preserve">The salient feature model refers to the conclusion drawn by evaluating a person or an object based on one attribute and then </w:t>
      </w:r>
      <w:r w:rsidR="00945F22" w:rsidRPr="009F574A">
        <w:rPr>
          <w:rFonts w:asciiTheme="majorBidi" w:hAnsiTheme="majorBidi" w:cstheme="majorBidi"/>
          <w:sz w:val="24"/>
          <w:szCs w:val="24"/>
        </w:rPr>
        <w:t>mirroring</w:t>
      </w:r>
      <w:r w:rsidRPr="009F574A">
        <w:rPr>
          <w:rFonts w:asciiTheme="majorBidi" w:hAnsiTheme="majorBidi" w:cstheme="majorBidi"/>
          <w:sz w:val="24"/>
          <w:szCs w:val="24"/>
        </w:rPr>
        <w:t xml:space="preserve"> that evaluation </w:t>
      </w:r>
      <w:r w:rsidR="00945F22" w:rsidRPr="009F574A">
        <w:rPr>
          <w:rFonts w:asciiTheme="majorBidi" w:hAnsiTheme="majorBidi" w:cstheme="majorBidi"/>
          <w:sz w:val="24"/>
          <w:szCs w:val="24"/>
        </w:rPr>
        <w:t>of</w:t>
      </w:r>
      <w:r w:rsidRPr="009F574A">
        <w:rPr>
          <w:rFonts w:asciiTheme="majorBidi" w:hAnsiTheme="majorBidi" w:cstheme="majorBidi"/>
          <w:sz w:val="24"/>
          <w:szCs w:val="24"/>
        </w:rPr>
        <w:t xml:space="preserve"> that same person or object based on other traits</w:t>
      </w:r>
      <w:r>
        <w:rPr>
          <w:rFonts w:asciiTheme="majorBidi" w:hAnsiTheme="majorBidi" w:cstheme="majorBidi"/>
          <w:sz w:val="24"/>
          <w:szCs w:val="24"/>
        </w:rPr>
        <w:t xml:space="preserve"> </w:t>
      </w:r>
      <w:sdt>
        <w:sdtPr>
          <w:rPr>
            <w:rFonts w:asciiTheme="majorBidi" w:hAnsiTheme="majorBidi" w:cstheme="majorBidi"/>
            <w:sz w:val="24"/>
            <w:szCs w:val="24"/>
          </w:rPr>
          <w:id w:val="-176575810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CITATION Cho12Kim \t  \l 2057  \m Smi10</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(Cho &amp; Kim , 2012; Smith, Read, &amp; López-Rodríguez, 2010)</w:t>
          </w:r>
          <w:r>
            <w:rPr>
              <w:rFonts w:asciiTheme="majorBidi" w:hAnsiTheme="majorBidi" w:cstheme="majorBidi"/>
              <w:sz w:val="24"/>
              <w:szCs w:val="24"/>
            </w:rPr>
            <w:fldChar w:fldCharType="end"/>
          </w:r>
        </w:sdtContent>
      </w:sdt>
      <w:r w:rsidR="00997FEC">
        <w:rPr>
          <w:rFonts w:asciiTheme="majorBidi" w:hAnsiTheme="majorBidi" w:cstheme="majorBidi"/>
          <w:sz w:val="24"/>
          <w:szCs w:val="24"/>
        </w:rPr>
        <w:t xml:space="preserve">. </w:t>
      </w:r>
      <w:r w:rsidR="00264F3A">
        <w:rPr>
          <w:rFonts w:asciiTheme="majorBidi" w:hAnsiTheme="majorBidi" w:cstheme="majorBidi"/>
          <w:sz w:val="24"/>
          <w:szCs w:val="24"/>
        </w:rPr>
        <w:t>In this research, b</w:t>
      </w:r>
      <w:r w:rsidR="00997FEC">
        <w:rPr>
          <w:rFonts w:asciiTheme="majorBidi" w:hAnsiTheme="majorBidi" w:cstheme="majorBidi"/>
          <w:sz w:val="24"/>
          <w:szCs w:val="24"/>
        </w:rPr>
        <w:t xml:space="preserve">y examining </w:t>
      </w:r>
      <w:r w:rsidR="00264F3A">
        <w:rPr>
          <w:rFonts w:asciiTheme="majorBidi" w:hAnsiTheme="majorBidi" w:cstheme="majorBidi"/>
          <w:sz w:val="24"/>
          <w:szCs w:val="24"/>
        </w:rPr>
        <w:t xml:space="preserve">the halo effect of some generic </w:t>
      </w:r>
      <w:r w:rsidR="00997FEC">
        <w:rPr>
          <w:rFonts w:asciiTheme="majorBidi" w:hAnsiTheme="majorBidi" w:cstheme="majorBidi"/>
          <w:sz w:val="24"/>
          <w:szCs w:val="24"/>
        </w:rPr>
        <w:t xml:space="preserve">attitudes like ad likeability and brand likability and other more specific attitudes like </w:t>
      </w:r>
      <w:bookmarkEnd w:id="118"/>
      <w:r w:rsidR="00264F3A">
        <w:rPr>
          <w:rFonts w:asciiTheme="majorBidi" w:hAnsiTheme="majorBidi" w:cstheme="majorBidi"/>
          <w:sz w:val="24"/>
          <w:szCs w:val="24"/>
        </w:rPr>
        <w:t>emotional brand attachment, this stud</w:t>
      </w:r>
      <w:r w:rsidR="00A03577">
        <w:rPr>
          <w:rFonts w:asciiTheme="majorBidi" w:hAnsiTheme="majorBidi" w:cstheme="majorBidi"/>
          <w:sz w:val="24"/>
          <w:szCs w:val="24"/>
        </w:rPr>
        <w:t>y</w:t>
      </w:r>
      <w:r w:rsidR="00264F3A">
        <w:rPr>
          <w:rFonts w:asciiTheme="majorBidi" w:hAnsiTheme="majorBidi" w:cstheme="majorBidi"/>
          <w:sz w:val="24"/>
          <w:szCs w:val="24"/>
        </w:rPr>
        <w:t xml:space="preserve"> </w:t>
      </w:r>
      <w:r w:rsidR="00264F3A" w:rsidRPr="009F574A">
        <w:rPr>
          <w:rFonts w:asciiTheme="majorBidi" w:hAnsiTheme="majorBidi" w:cstheme="majorBidi"/>
          <w:sz w:val="24"/>
          <w:szCs w:val="24"/>
        </w:rPr>
        <w:t>employs general impressions and salient models.</w:t>
      </w:r>
      <w:r w:rsidR="00264F3A">
        <w:rPr>
          <w:rFonts w:asciiTheme="majorBidi" w:hAnsiTheme="majorBidi" w:cstheme="majorBidi"/>
          <w:sz w:val="24"/>
          <w:szCs w:val="24"/>
        </w:rPr>
        <w:t xml:space="preserve"> </w:t>
      </w:r>
    </w:p>
    <w:p w14:paraId="1C050DD9" w14:textId="6C20A1E4" w:rsidR="00153EE6" w:rsidRPr="00D67AE7" w:rsidRDefault="00153EE6" w:rsidP="00153EE6">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4</w:t>
      </w:r>
      <w:r>
        <w:rPr>
          <w:rFonts w:asciiTheme="majorBidi" w:hAnsiTheme="majorBidi" w:cstheme="majorBidi"/>
          <w:b/>
          <w:bCs/>
          <w:sz w:val="24"/>
          <w:szCs w:val="24"/>
        </w:rPr>
        <w:t xml:space="preserve">.1 </w:t>
      </w:r>
      <w:r w:rsidRPr="00D67AE7">
        <w:rPr>
          <w:rFonts w:asciiTheme="majorBidi" w:hAnsiTheme="majorBidi" w:cstheme="majorBidi"/>
          <w:b/>
          <w:bCs/>
          <w:sz w:val="24"/>
          <w:szCs w:val="24"/>
        </w:rPr>
        <w:t xml:space="preserve">Halo Effect in CSR literature </w:t>
      </w:r>
    </w:p>
    <w:p w14:paraId="229F04BF" w14:textId="1F587F0B" w:rsidR="00153EE6" w:rsidRDefault="00153EE6" w:rsidP="00D14E24">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Across the years, many studies concluded that CSR has a halo effect on consumers’ attitudes towards the company and their behaviour towards the company’s brands </w:t>
      </w:r>
      <w:sdt>
        <w:sdtPr>
          <w:rPr>
            <w:rFonts w:asciiTheme="majorBidi" w:hAnsiTheme="majorBidi" w:cstheme="majorBidi"/>
            <w:sz w:val="24"/>
            <w:szCs w:val="24"/>
          </w:rPr>
          <w:id w:val="-118566810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CITATION Alb17 \m Bro97 \m Kle04 \t  \m Wei18 \l 2057  \m Jin19</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(Albus &amp; Ro, 2017; Brown &amp; Dacin, 1997; Klein &amp; Dawar, 2004; Wei, Kim, Miao, Behnke, &amp; Almanza, 2018; Jin &amp; Lee,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Also, it appears that in cases of product or company crisis, CSR can regain the consumers’ positive evaluation of a company post an ethical crisis </w:t>
      </w:r>
      <w:sdt>
        <w:sdtPr>
          <w:rPr>
            <w:rFonts w:asciiTheme="majorBidi" w:hAnsiTheme="majorBidi" w:cstheme="majorBidi"/>
            <w:sz w:val="24"/>
            <w:szCs w:val="24"/>
          </w:rPr>
          <w:id w:val="-127039119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Kle041 \t  \l 2057 </w:instrText>
          </w:r>
          <w:r>
            <w:rPr>
              <w:rFonts w:asciiTheme="majorBidi" w:hAnsiTheme="majorBidi" w:cstheme="majorBidi"/>
              <w:sz w:val="24"/>
              <w:szCs w:val="24"/>
            </w:rPr>
            <w:fldChar w:fldCharType="separate"/>
          </w:r>
          <w:r w:rsidRPr="002B6A27">
            <w:rPr>
              <w:rFonts w:asciiTheme="majorBidi" w:hAnsiTheme="majorBidi" w:cstheme="majorBidi"/>
              <w:noProof/>
              <w:sz w:val="24"/>
              <w:szCs w:val="24"/>
            </w:rPr>
            <w:t>(Klein &amp; Dawar , 2004)</w:t>
          </w:r>
          <w:r>
            <w:rPr>
              <w:rFonts w:asciiTheme="majorBidi" w:hAnsiTheme="majorBidi" w:cstheme="majorBidi"/>
              <w:sz w:val="24"/>
              <w:szCs w:val="24"/>
            </w:rPr>
            <w:fldChar w:fldCharType="end"/>
          </w:r>
        </w:sdtContent>
      </w:sdt>
      <w:r>
        <w:rPr>
          <w:rFonts w:asciiTheme="majorBidi" w:hAnsiTheme="majorBidi" w:cstheme="majorBidi"/>
          <w:sz w:val="24"/>
          <w:szCs w:val="24"/>
        </w:rPr>
        <w:t>. Even when there is</w:t>
      </w:r>
      <w:r w:rsidR="00341C6B">
        <w:rPr>
          <w:rFonts w:asciiTheme="majorBidi" w:hAnsiTheme="majorBidi" w:cstheme="majorBidi"/>
          <w:sz w:val="24"/>
          <w:szCs w:val="24"/>
        </w:rPr>
        <w:t xml:space="preserve"> </w:t>
      </w:r>
      <w:r>
        <w:rPr>
          <w:rFonts w:asciiTheme="majorBidi" w:hAnsiTheme="majorBidi" w:cstheme="majorBidi"/>
          <w:sz w:val="24"/>
          <w:szCs w:val="24"/>
        </w:rPr>
        <w:t>n</w:t>
      </w:r>
      <w:r w:rsidR="00341C6B">
        <w:rPr>
          <w:rFonts w:asciiTheme="majorBidi" w:hAnsiTheme="majorBidi" w:cstheme="majorBidi"/>
          <w:sz w:val="24"/>
          <w:szCs w:val="24"/>
        </w:rPr>
        <w:t>o</w:t>
      </w:r>
      <w:r>
        <w:rPr>
          <w:rFonts w:asciiTheme="majorBidi" w:hAnsiTheme="majorBidi" w:cstheme="majorBidi"/>
          <w:sz w:val="24"/>
          <w:szCs w:val="24"/>
        </w:rPr>
        <w:t>t a reputational crisis that the company is dealing with, it appears in literature that socially active brands benefit from a positive halo effect on the products’ evaluations and the liking of the company</w:t>
      </w:r>
      <w:r w:rsidRPr="00D67AE7">
        <w:rPr>
          <w:rFonts w:asciiTheme="majorBidi" w:hAnsiTheme="majorBidi" w:cstheme="majorBidi"/>
          <w:sz w:val="24"/>
          <w:szCs w:val="24"/>
        </w:rPr>
        <w:t xml:space="preserve"> </w:t>
      </w:r>
      <w:sdt>
        <w:sdtPr>
          <w:rPr>
            <w:rFonts w:asciiTheme="majorBidi" w:hAnsiTheme="majorBidi" w:cstheme="majorBidi"/>
            <w:sz w:val="24"/>
            <w:szCs w:val="24"/>
          </w:rPr>
          <w:id w:val="-203117942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New14 \l 2057  \m Nis77</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(Newman, Gorlin, &amp; Dhar, 2014; Nisbett &amp; Wilson, 1977)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696C1D">
        <w:rPr>
          <w:rFonts w:asciiTheme="majorBidi" w:hAnsiTheme="majorBidi" w:cstheme="majorBidi"/>
          <w:sz w:val="24"/>
          <w:szCs w:val="24"/>
        </w:rPr>
        <w:t>T</w:t>
      </w:r>
      <w:r w:rsidR="00083501">
        <w:rPr>
          <w:rFonts w:asciiTheme="majorBidi" w:hAnsiTheme="majorBidi" w:cstheme="majorBidi"/>
          <w:sz w:val="24"/>
          <w:szCs w:val="24"/>
        </w:rPr>
        <w:t xml:space="preserve">his means that companies who claim to be socially responsible (by, for example, supporting specific social causes) and tell consumers about their socially responsible projects have better sales outcomes. However, based on a series of experiments, </w:t>
      </w:r>
      <w:r w:rsidR="00341C6B">
        <w:rPr>
          <w:rFonts w:asciiTheme="majorBidi" w:hAnsiTheme="majorBidi" w:cstheme="majorBidi"/>
          <w:sz w:val="24"/>
          <w:szCs w:val="24"/>
        </w:rPr>
        <w:t xml:space="preserve">the </w:t>
      </w:r>
      <w:r w:rsidR="00083501">
        <w:rPr>
          <w:rFonts w:asciiTheme="majorBidi" w:hAnsiTheme="majorBidi" w:cstheme="majorBidi"/>
          <w:sz w:val="24"/>
          <w:szCs w:val="24"/>
        </w:rPr>
        <w:t>halo effect resulting from communicating societal campaigns has a stronger positive impact on perceived product functionality when consumers do not have pre-existing negative opinions on the company’s moral values</w:t>
      </w:r>
      <w:sdt>
        <w:sdtPr>
          <w:rPr>
            <w:rFonts w:asciiTheme="majorBidi" w:hAnsiTheme="majorBidi" w:cstheme="majorBidi"/>
            <w:sz w:val="24"/>
            <w:szCs w:val="24"/>
          </w:rPr>
          <w:id w:val="1295708482"/>
          <w:citation/>
        </w:sdtPr>
        <w:sdtContent>
          <w:r w:rsidR="00494340">
            <w:rPr>
              <w:rFonts w:asciiTheme="majorBidi" w:hAnsiTheme="majorBidi" w:cstheme="majorBidi"/>
              <w:sz w:val="24"/>
              <w:szCs w:val="24"/>
            </w:rPr>
            <w:fldChar w:fldCharType="begin"/>
          </w:r>
          <w:r w:rsidR="00494340">
            <w:rPr>
              <w:rFonts w:asciiTheme="majorBidi" w:hAnsiTheme="majorBidi" w:cstheme="majorBidi"/>
              <w:sz w:val="24"/>
              <w:szCs w:val="24"/>
            </w:rPr>
            <w:instrText xml:space="preserve">CITATION Che211 \t  \l 2057 </w:instrText>
          </w:r>
          <w:r w:rsidR="00494340">
            <w:rPr>
              <w:rFonts w:asciiTheme="majorBidi" w:hAnsiTheme="majorBidi" w:cstheme="majorBidi"/>
              <w:sz w:val="24"/>
              <w:szCs w:val="24"/>
            </w:rPr>
            <w:fldChar w:fldCharType="separate"/>
          </w:r>
          <w:r w:rsidR="00494340">
            <w:rPr>
              <w:rFonts w:asciiTheme="majorBidi" w:hAnsiTheme="majorBidi" w:cstheme="majorBidi"/>
              <w:noProof/>
              <w:sz w:val="24"/>
              <w:szCs w:val="24"/>
            </w:rPr>
            <w:t xml:space="preserve"> </w:t>
          </w:r>
          <w:r w:rsidR="00494340" w:rsidRPr="00494340">
            <w:rPr>
              <w:rFonts w:asciiTheme="majorBidi" w:hAnsiTheme="majorBidi" w:cstheme="majorBidi"/>
              <w:noProof/>
              <w:sz w:val="24"/>
              <w:szCs w:val="24"/>
            </w:rPr>
            <w:t>(Chernev &amp; Blair, 2021)</w:t>
          </w:r>
          <w:r w:rsidR="00494340">
            <w:rPr>
              <w:rFonts w:asciiTheme="majorBidi" w:hAnsiTheme="majorBidi" w:cstheme="majorBidi"/>
              <w:sz w:val="24"/>
              <w:szCs w:val="24"/>
            </w:rPr>
            <w:fldChar w:fldCharType="end"/>
          </w:r>
        </w:sdtContent>
      </w:sdt>
      <w:r w:rsidR="00083501">
        <w:rPr>
          <w:rFonts w:asciiTheme="majorBidi" w:hAnsiTheme="majorBidi" w:cstheme="majorBidi"/>
          <w:sz w:val="24"/>
          <w:szCs w:val="24"/>
        </w:rPr>
        <w:t xml:space="preserve">. </w:t>
      </w:r>
      <w:r>
        <w:rPr>
          <w:rFonts w:asciiTheme="majorBidi" w:hAnsiTheme="majorBidi" w:cstheme="majorBidi"/>
          <w:sz w:val="24"/>
          <w:szCs w:val="24"/>
        </w:rPr>
        <w:t>The researchers found that social or “green” brands communication can have a positive halo effect leading to purchase intentions</w:t>
      </w:r>
      <w:r w:rsidR="00696C1D">
        <w:rPr>
          <w:rFonts w:asciiTheme="majorBidi" w:hAnsiTheme="majorBidi" w:cstheme="majorBidi"/>
          <w:sz w:val="24"/>
          <w:szCs w:val="24"/>
        </w:rPr>
        <w:t xml:space="preserve"> </w:t>
      </w:r>
      <w:sdt>
        <w:sdtPr>
          <w:rPr>
            <w:rFonts w:asciiTheme="majorBidi" w:hAnsiTheme="majorBidi" w:cstheme="majorBidi"/>
            <w:sz w:val="24"/>
            <w:szCs w:val="24"/>
          </w:rPr>
          <w:id w:val="2122024732"/>
          <w:citation/>
        </w:sdtPr>
        <w:sdtContent>
          <w:r w:rsidR="00696C1D">
            <w:rPr>
              <w:rFonts w:asciiTheme="majorBidi" w:hAnsiTheme="majorBidi" w:cstheme="majorBidi"/>
              <w:sz w:val="24"/>
              <w:szCs w:val="24"/>
            </w:rPr>
            <w:fldChar w:fldCharType="begin"/>
          </w:r>
          <w:r w:rsidR="00696C1D">
            <w:rPr>
              <w:rFonts w:asciiTheme="majorBidi" w:hAnsiTheme="majorBidi" w:cstheme="majorBidi"/>
              <w:sz w:val="24"/>
              <w:szCs w:val="24"/>
            </w:rPr>
            <w:instrText xml:space="preserve"> CITATION New2014 \l 2057 </w:instrText>
          </w:r>
          <w:r w:rsidR="00696C1D">
            <w:rPr>
              <w:rFonts w:asciiTheme="majorBidi" w:hAnsiTheme="majorBidi" w:cstheme="majorBidi"/>
              <w:sz w:val="24"/>
              <w:szCs w:val="24"/>
            </w:rPr>
            <w:fldChar w:fldCharType="separate"/>
          </w:r>
          <w:r w:rsidR="00696C1D" w:rsidRPr="000F60CD">
            <w:rPr>
              <w:rFonts w:asciiTheme="majorBidi" w:hAnsiTheme="majorBidi" w:cstheme="majorBidi"/>
              <w:noProof/>
              <w:sz w:val="24"/>
              <w:szCs w:val="24"/>
            </w:rPr>
            <w:t>(Newman, Gorlin, &amp; Dhar, 2014)</w:t>
          </w:r>
          <w:r w:rsidR="00696C1D">
            <w:rPr>
              <w:rFonts w:asciiTheme="majorBidi" w:hAnsiTheme="majorBidi" w:cstheme="majorBidi"/>
              <w:sz w:val="24"/>
              <w:szCs w:val="24"/>
            </w:rPr>
            <w:fldChar w:fldCharType="end"/>
          </w:r>
        </w:sdtContent>
      </w:sdt>
      <w:r w:rsidR="00696C1D">
        <w:rPr>
          <w:rFonts w:asciiTheme="majorBidi" w:hAnsiTheme="majorBidi" w:cstheme="majorBidi"/>
          <w:sz w:val="24"/>
          <w:szCs w:val="24"/>
        </w:rPr>
        <w:t xml:space="preserve">. Also, the study showed that social brand communications lead </w:t>
      </w:r>
      <w:r>
        <w:rPr>
          <w:rFonts w:asciiTheme="majorBidi" w:hAnsiTheme="majorBidi" w:cstheme="majorBidi"/>
          <w:sz w:val="24"/>
          <w:szCs w:val="24"/>
        </w:rPr>
        <w:t>consumers</w:t>
      </w:r>
      <w:r w:rsidR="00696C1D">
        <w:rPr>
          <w:rFonts w:asciiTheme="majorBidi" w:hAnsiTheme="majorBidi" w:cstheme="majorBidi"/>
          <w:sz w:val="24"/>
          <w:szCs w:val="24"/>
        </w:rPr>
        <w:t xml:space="preserve"> to </w:t>
      </w:r>
      <w:r>
        <w:rPr>
          <w:rFonts w:asciiTheme="majorBidi" w:hAnsiTheme="majorBidi" w:cstheme="majorBidi"/>
          <w:sz w:val="24"/>
          <w:szCs w:val="24"/>
        </w:rPr>
        <w:t xml:space="preserve">expect the company to allocate resources to further support the cause </w:t>
      </w:r>
      <w:sdt>
        <w:sdtPr>
          <w:rPr>
            <w:rFonts w:asciiTheme="majorBidi" w:hAnsiTheme="majorBidi" w:cstheme="majorBidi"/>
            <w:sz w:val="24"/>
            <w:szCs w:val="24"/>
          </w:rPr>
          <w:id w:val="-17350023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New2014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(Newman, Gorlin, &amp; Dhar, 2014)</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0730CD">
        <w:rPr>
          <w:rFonts w:asciiTheme="majorBidi" w:hAnsiTheme="majorBidi" w:cstheme="majorBidi"/>
          <w:sz w:val="24"/>
          <w:szCs w:val="24"/>
        </w:rPr>
        <w:t>I</w:t>
      </w:r>
      <w:r>
        <w:rPr>
          <w:rFonts w:asciiTheme="majorBidi" w:hAnsiTheme="majorBidi" w:cstheme="majorBidi"/>
          <w:sz w:val="24"/>
          <w:szCs w:val="24"/>
        </w:rPr>
        <w:t>n another</w:t>
      </w:r>
      <w:r w:rsidR="00696C1D">
        <w:rPr>
          <w:rFonts w:asciiTheme="majorBidi" w:hAnsiTheme="majorBidi" w:cstheme="majorBidi"/>
          <w:sz w:val="24"/>
          <w:szCs w:val="24"/>
        </w:rPr>
        <w:t xml:space="preserve"> qualitative</w:t>
      </w:r>
      <w:r>
        <w:rPr>
          <w:rFonts w:asciiTheme="majorBidi" w:hAnsiTheme="majorBidi" w:cstheme="majorBidi"/>
          <w:sz w:val="24"/>
          <w:szCs w:val="24"/>
        </w:rPr>
        <w:t xml:space="preserve"> study</w:t>
      </w:r>
      <w:r w:rsidR="00696C1D">
        <w:rPr>
          <w:rFonts w:asciiTheme="majorBidi" w:hAnsiTheme="majorBidi" w:cstheme="majorBidi"/>
          <w:sz w:val="24"/>
          <w:szCs w:val="24"/>
        </w:rPr>
        <w:t xml:space="preserve"> </w:t>
      </w:r>
      <w:r w:rsidRPr="000730CD">
        <w:rPr>
          <w:rFonts w:asciiTheme="majorBidi" w:hAnsiTheme="majorBidi" w:cstheme="majorBidi"/>
          <w:sz w:val="24"/>
          <w:szCs w:val="24"/>
        </w:rPr>
        <w:t xml:space="preserve">on 116 consumers of </w:t>
      </w:r>
      <w:r w:rsidR="00935FBD">
        <w:rPr>
          <w:rFonts w:asciiTheme="majorBidi" w:hAnsiTheme="majorBidi" w:cstheme="majorBidi"/>
          <w:sz w:val="24"/>
          <w:szCs w:val="24"/>
        </w:rPr>
        <w:t>t</w:t>
      </w:r>
      <w:r w:rsidRPr="000730CD">
        <w:rPr>
          <w:rFonts w:asciiTheme="majorBidi" w:hAnsiTheme="majorBidi" w:cstheme="majorBidi"/>
          <w:sz w:val="24"/>
          <w:szCs w:val="24"/>
        </w:rPr>
        <w:t>elevision monitors, CSR ha</w:t>
      </w:r>
      <w:r>
        <w:rPr>
          <w:rFonts w:asciiTheme="majorBidi" w:hAnsiTheme="majorBidi" w:cstheme="majorBidi"/>
          <w:sz w:val="24"/>
          <w:szCs w:val="24"/>
        </w:rPr>
        <w:t>d</w:t>
      </w:r>
      <w:r w:rsidRPr="000730CD">
        <w:rPr>
          <w:rFonts w:asciiTheme="majorBidi" w:hAnsiTheme="majorBidi" w:cstheme="majorBidi"/>
          <w:sz w:val="24"/>
          <w:szCs w:val="24"/>
        </w:rPr>
        <w:t xml:space="preserve"> a </w:t>
      </w:r>
      <w:r w:rsidRPr="009F574A">
        <w:rPr>
          <w:rFonts w:asciiTheme="majorBidi" w:hAnsiTheme="majorBidi" w:cstheme="majorBidi"/>
          <w:sz w:val="24"/>
          <w:szCs w:val="24"/>
        </w:rPr>
        <w:t xml:space="preserve">positive influence on the overall perception of the utility of a product and reduces price sensitivity towards it </w:t>
      </w:r>
      <w:sdt>
        <w:sdtPr>
          <w:rPr>
            <w:rFonts w:asciiTheme="majorBidi" w:hAnsiTheme="majorBidi" w:cstheme="majorBidi"/>
            <w:sz w:val="24"/>
            <w:szCs w:val="24"/>
          </w:rPr>
          <w:id w:val="849213357"/>
          <w:citation/>
        </w:sdtPr>
        <w:sdtContent>
          <w:r w:rsidRPr="009F574A">
            <w:rPr>
              <w:rFonts w:asciiTheme="majorBidi" w:hAnsiTheme="majorBidi" w:cstheme="majorBidi"/>
              <w:sz w:val="24"/>
              <w:szCs w:val="24"/>
            </w:rPr>
            <w:fldChar w:fldCharType="begin"/>
          </w:r>
          <w:r w:rsidRPr="009F574A">
            <w:rPr>
              <w:rFonts w:asciiTheme="majorBidi" w:hAnsiTheme="majorBidi" w:cstheme="majorBidi"/>
              <w:sz w:val="24"/>
              <w:szCs w:val="24"/>
            </w:rPr>
            <w:instrText xml:space="preserve">CITATION Bur18 \t  \l 2057 </w:instrText>
          </w:r>
          <w:r w:rsidRPr="009F574A">
            <w:rPr>
              <w:rFonts w:asciiTheme="majorBidi" w:hAnsiTheme="majorBidi" w:cstheme="majorBidi"/>
              <w:sz w:val="24"/>
              <w:szCs w:val="24"/>
            </w:rPr>
            <w:fldChar w:fldCharType="separate"/>
          </w:r>
          <w:r w:rsidRPr="009F574A">
            <w:rPr>
              <w:rFonts w:asciiTheme="majorBidi" w:hAnsiTheme="majorBidi" w:cstheme="majorBidi"/>
              <w:noProof/>
              <w:sz w:val="24"/>
              <w:szCs w:val="24"/>
            </w:rPr>
            <w:t>(Burke, Dowling, &amp; Wei, 2018)</w:t>
          </w:r>
          <w:r w:rsidRPr="009F574A">
            <w:rPr>
              <w:rFonts w:asciiTheme="majorBidi" w:hAnsiTheme="majorBidi" w:cstheme="majorBidi"/>
              <w:sz w:val="24"/>
              <w:szCs w:val="24"/>
            </w:rPr>
            <w:fldChar w:fldCharType="end"/>
          </w:r>
        </w:sdtContent>
      </w:sdt>
      <w:r w:rsidRPr="009F574A">
        <w:rPr>
          <w:rFonts w:asciiTheme="majorBidi" w:hAnsiTheme="majorBidi" w:cstheme="majorBidi"/>
          <w:sz w:val="24"/>
          <w:szCs w:val="24"/>
        </w:rPr>
        <w:t>.</w:t>
      </w:r>
      <w:r w:rsidRPr="000730CD">
        <w:rPr>
          <w:rFonts w:asciiTheme="majorBidi" w:hAnsiTheme="majorBidi" w:cstheme="majorBidi"/>
          <w:sz w:val="24"/>
          <w:szCs w:val="24"/>
        </w:rPr>
        <w:t xml:space="preserve"> This finding confirms previous findings in literature that </w:t>
      </w:r>
      <w:r w:rsidR="004B487B">
        <w:rPr>
          <w:rFonts w:asciiTheme="majorBidi" w:hAnsiTheme="majorBidi" w:cstheme="majorBidi"/>
          <w:sz w:val="24"/>
          <w:szCs w:val="24"/>
        </w:rPr>
        <w:t xml:space="preserve">shows that </w:t>
      </w:r>
      <w:r w:rsidRPr="000730CD">
        <w:rPr>
          <w:rFonts w:asciiTheme="majorBidi" w:hAnsiTheme="majorBidi" w:cstheme="majorBidi"/>
          <w:sz w:val="24"/>
          <w:szCs w:val="24"/>
        </w:rPr>
        <w:t>CSR has a halo effect on consumers in which it will not only positively influence their purchase intention</w:t>
      </w:r>
      <w:r w:rsidR="00341C6B">
        <w:rPr>
          <w:rFonts w:asciiTheme="majorBidi" w:hAnsiTheme="majorBidi" w:cstheme="majorBidi"/>
          <w:sz w:val="24"/>
          <w:szCs w:val="24"/>
        </w:rPr>
        <w:t xml:space="preserve">, </w:t>
      </w:r>
      <w:r w:rsidRPr="000730CD">
        <w:rPr>
          <w:rFonts w:asciiTheme="majorBidi" w:hAnsiTheme="majorBidi" w:cstheme="majorBidi"/>
          <w:sz w:val="24"/>
          <w:szCs w:val="24"/>
        </w:rPr>
        <w:t xml:space="preserve">but consumers would also be willing to pay more for brands </w:t>
      </w:r>
      <w:r w:rsidR="004B487B">
        <w:rPr>
          <w:rFonts w:asciiTheme="majorBidi" w:hAnsiTheme="majorBidi" w:cstheme="majorBidi"/>
          <w:sz w:val="24"/>
          <w:szCs w:val="24"/>
        </w:rPr>
        <w:t xml:space="preserve">that </w:t>
      </w:r>
      <w:r w:rsidR="00341C6B">
        <w:rPr>
          <w:rFonts w:asciiTheme="majorBidi" w:hAnsiTheme="majorBidi" w:cstheme="majorBidi"/>
          <w:sz w:val="24"/>
          <w:szCs w:val="24"/>
        </w:rPr>
        <w:t>have</w:t>
      </w:r>
      <w:r w:rsidRPr="000730CD">
        <w:rPr>
          <w:rFonts w:asciiTheme="majorBidi" w:hAnsiTheme="majorBidi" w:cstheme="majorBidi"/>
          <w:sz w:val="24"/>
          <w:szCs w:val="24"/>
        </w:rPr>
        <w:t xml:space="preserve"> CSR strategies </w:t>
      </w:r>
      <w:sdt>
        <w:sdtPr>
          <w:rPr>
            <w:rFonts w:asciiTheme="majorBidi" w:hAnsiTheme="majorBidi" w:cstheme="majorBidi"/>
            <w:sz w:val="24"/>
            <w:szCs w:val="24"/>
          </w:rPr>
          <w:id w:val="-77771543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Dut13 \m Lin22 \t  \l 2057 </w:instrText>
          </w:r>
          <w:r>
            <w:rPr>
              <w:rFonts w:asciiTheme="majorBidi" w:hAnsiTheme="majorBidi" w:cstheme="majorBidi"/>
              <w:sz w:val="24"/>
              <w:szCs w:val="24"/>
            </w:rPr>
            <w:fldChar w:fldCharType="separate"/>
          </w:r>
          <w:r w:rsidRPr="004A3141">
            <w:rPr>
              <w:rFonts w:asciiTheme="majorBidi" w:hAnsiTheme="majorBidi" w:cstheme="majorBidi"/>
              <w:noProof/>
              <w:sz w:val="24"/>
              <w:szCs w:val="24"/>
            </w:rPr>
            <w:t>(Dutta &amp; Singh, 2013; Lin, Lii , &amp; Ding, 2022)</w:t>
          </w:r>
          <w:r>
            <w:rPr>
              <w:rFonts w:asciiTheme="majorBidi" w:hAnsiTheme="majorBidi" w:cstheme="majorBidi"/>
              <w:sz w:val="24"/>
              <w:szCs w:val="24"/>
            </w:rPr>
            <w:fldChar w:fldCharType="end"/>
          </w:r>
        </w:sdtContent>
      </w:sdt>
      <w:r w:rsidRPr="000730CD">
        <w:rPr>
          <w:rFonts w:asciiTheme="majorBidi" w:hAnsiTheme="majorBidi" w:cstheme="majorBidi"/>
          <w:sz w:val="24"/>
          <w:szCs w:val="24"/>
        </w:rPr>
        <w:t>.</w:t>
      </w:r>
      <w:r w:rsidR="00D14E24">
        <w:rPr>
          <w:rFonts w:asciiTheme="majorBidi" w:hAnsiTheme="majorBidi" w:cstheme="majorBidi"/>
          <w:sz w:val="24"/>
          <w:szCs w:val="24"/>
        </w:rPr>
        <w:t xml:space="preserve"> Hence, this study posits the following hypothesis: </w:t>
      </w:r>
    </w:p>
    <w:p w14:paraId="44156C1A" w14:textId="65F4B66B" w:rsidR="00494340" w:rsidRDefault="00D14E24" w:rsidP="00494340">
      <w:pPr>
        <w:adjustRightInd w:val="0"/>
        <w:spacing w:after="0" w:line="480" w:lineRule="auto"/>
        <w:ind w:firstLine="720"/>
        <w:rPr>
          <w:rFonts w:asciiTheme="majorBidi" w:hAnsiTheme="majorBidi" w:cstheme="majorBidi"/>
          <w:sz w:val="24"/>
          <w:szCs w:val="24"/>
        </w:rPr>
      </w:pPr>
      <w:bookmarkStart w:id="119" w:name="_Hlk136610218"/>
      <w:r>
        <w:rPr>
          <w:rFonts w:asciiTheme="majorBidi" w:hAnsiTheme="majorBidi" w:cstheme="majorBidi"/>
          <w:sz w:val="24"/>
          <w:szCs w:val="24"/>
        </w:rPr>
        <w:t>H</w:t>
      </w:r>
      <w:r w:rsidR="00287490">
        <w:rPr>
          <w:rFonts w:asciiTheme="majorBidi" w:hAnsiTheme="majorBidi" w:cstheme="majorBidi"/>
          <w:sz w:val="24"/>
          <w:szCs w:val="24"/>
        </w:rPr>
        <w:t>9</w:t>
      </w:r>
      <w:r>
        <w:rPr>
          <w:rFonts w:asciiTheme="majorBidi" w:hAnsiTheme="majorBidi" w:cstheme="majorBidi"/>
          <w:sz w:val="24"/>
          <w:szCs w:val="24"/>
        </w:rPr>
        <w:t xml:space="preserve">: </w:t>
      </w:r>
      <w:bookmarkStart w:id="120" w:name="_Hlk136431956"/>
      <w:r>
        <w:rPr>
          <w:rFonts w:asciiTheme="majorBidi" w:hAnsiTheme="majorBidi" w:cstheme="majorBidi"/>
          <w:sz w:val="24"/>
          <w:szCs w:val="24"/>
        </w:rPr>
        <w:t xml:space="preserve">CSR communication in Egypt has a positive halo effect on the consumers’ purchase intention. </w:t>
      </w:r>
      <w:bookmarkEnd w:id="120"/>
    </w:p>
    <w:bookmarkEnd w:id="119"/>
    <w:p w14:paraId="393D7AA1" w14:textId="1710EC74" w:rsidR="00494340" w:rsidRDefault="0009171F" w:rsidP="00B11155">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4</w:t>
      </w:r>
      <w:r>
        <w:rPr>
          <w:rFonts w:asciiTheme="majorBidi" w:hAnsiTheme="majorBidi" w:cstheme="majorBidi"/>
          <w:b/>
          <w:bCs/>
          <w:sz w:val="24"/>
          <w:szCs w:val="24"/>
        </w:rPr>
        <w:t xml:space="preserve">.2 </w:t>
      </w:r>
      <w:r w:rsidR="00494340" w:rsidRPr="00494340">
        <w:rPr>
          <w:rFonts w:asciiTheme="majorBidi" w:hAnsiTheme="majorBidi" w:cstheme="majorBidi"/>
          <w:b/>
          <w:bCs/>
          <w:sz w:val="24"/>
          <w:szCs w:val="24"/>
        </w:rPr>
        <w:t xml:space="preserve">Halo Effect of Media Vehicle </w:t>
      </w:r>
    </w:p>
    <w:p w14:paraId="7630F025" w14:textId="2CD81CCC" w:rsidR="000440A7" w:rsidRDefault="0009171F" w:rsidP="000440A7">
      <w:pPr>
        <w:adjustRightInd w:val="0"/>
        <w:spacing w:after="0" w:line="480" w:lineRule="auto"/>
        <w:rPr>
          <w:rFonts w:asciiTheme="majorBidi" w:hAnsiTheme="majorBidi" w:cstheme="majorBidi"/>
          <w:sz w:val="24"/>
          <w:szCs w:val="24"/>
        </w:rPr>
      </w:pPr>
      <w:r>
        <w:rPr>
          <w:rFonts w:asciiTheme="majorBidi" w:hAnsiTheme="majorBidi" w:cstheme="majorBidi"/>
          <w:b/>
          <w:bCs/>
          <w:sz w:val="24"/>
          <w:szCs w:val="24"/>
        </w:rPr>
        <w:tab/>
      </w:r>
      <w:r w:rsidRPr="00B11155">
        <w:rPr>
          <w:rFonts w:asciiTheme="majorBidi" w:hAnsiTheme="majorBidi" w:cstheme="majorBidi"/>
          <w:sz w:val="24"/>
          <w:szCs w:val="24"/>
        </w:rPr>
        <w:t xml:space="preserve">One of this study’s main goals is </w:t>
      </w:r>
      <w:r w:rsidR="00341C6B">
        <w:rPr>
          <w:rFonts w:asciiTheme="majorBidi" w:hAnsiTheme="majorBidi" w:cstheme="majorBidi"/>
          <w:sz w:val="24"/>
          <w:szCs w:val="24"/>
        </w:rPr>
        <w:t xml:space="preserve">to </w:t>
      </w:r>
      <w:r w:rsidRPr="00B11155">
        <w:rPr>
          <w:rFonts w:asciiTheme="majorBidi" w:hAnsiTheme="majorBidi" w:cstheme="majorBidi"/>
          <w:sz w:val="24"/>
          <w:szCs w:val="24"/>
        </w:rPr>
        <w:t>examine the direct and indirect effect</w:t>
      </w:r>
      <w:r w:rsidR="001B3AC6">
        <w:rPr>
          <w:rFonts w:asciiTheme="majorBidi" w:hAnsiTheme="majorBidi" w:cstheme="majorBidi"/>
          <w:sz w:val="24"/>
          <w:szCs w:val="24"/>
        </w:rPr>
        <w:t>s</w:t>
      </w:r>
      <w:r w:rsidRPr="00B11155">
        <w:rPr>
          <w:rFonts w:asciiTheme="majorBidi" w:hAnsiTheme="majorBidi" w:cstheme="majorBidi"/>
          <w:sz w:val="24"/>
          <w:szCs w:val="24"/>
        </w:rPr>
        <w:t xml:space="preserve"> that different media </w:t>
      </w:r>
      <w:r w:rsidR="001B3AC6">
        <w:rPr>
          <w:rFonts w:asciiTheme="majorBidi" w:hAnsiTheme="majorBidi" w:cstheme="majorBidi"/>
          <w:sz w:val="24"/>
          <w:szCs w:val="24"/>
        </w:rPr>
        <w:t>vehicles</w:t>
      </w:r>
      <w:r w:rsidRPr="00B11155">
        <w:rPr>
          <w:rFonts w:asciiTheme="majorBidi" w:hAnsiTheme="majorBidi" w:cstheme="majorBidi"/>
          <w:sz w:val="24"/>
          <w:szCs w:val="24"/>
        </w:rPr>
        <w:t xml:space="preserve"> may have on consumers’ attitudes and </w:t>
      </w:r>
      <w:r w:rsidR="004B487B">
        <w:rPr>
          <w:rFonts w:asciiTheme="majorBidi" w:hAnsiTheme="majorBidi" w:cstheme="majorBidi"/>
          <w:sz w:val="24"/>
          <w:szCs w:val="24"/>
        </w:rPr>
        <w:t>purchase intention</w:t>
      </w:r>
      <w:r w:rsidRPr="00B11155">
        <w:rPr>
          <w:rFonts w:asciiTheme="majorBidi" w:hAnsiTheme="majorBidi" w:cstheme="majorBidi"/>
          <w:sz w:val="24"/>
          <w:szCs w:val="24"/>
        </w:rPr>
        <w:t xml:space="preserve">. Nonetheless, it seems in literature that halo effect as a concept is more immersed in the CSR literature. </w:t>
      </w:r>
      <w:r w:rsidR="00B11155" w:rsidRPr="00B11155">
        <w:rPr>
          <w:rFonts w:asciiTheme="majorBidi" w:hAnsiTheme="majorBidi" w:cstheme="majorBidi"/>
          <w:sz w:val="24"/>
          <w:szCs w:val="24"/>
        </w:rPr>
        <w:t>Yet,</w:t>
      </w:r>
      <w:r w:rsidR="001B3AC6">
        <w:rPr>
          <w:rFonts w:asciiTheme="majorBidi" w:hAnsiTheme="majorBidi" w:cstheme="majorBidi"/>
          <w:sz w:val="24"/>
          <w:szCs w:val="24"/>
        </w:rPr>
        <w:t xml:space="preserve"> the halo effect of media vehicles is necessary</w:t>
      </w:r>
      <w:r w:rsidR="00B11155" w:rsidRPr="00B11155">
        <w:rPr>
          <w:rFonts w:asciiTheme="majorBidi" w:hAnsiTheme="majorBidi" w:cstheme="majorBidi"/>
          <w:sz w:val="24"/>
          <w:szCs w:val="24"/>
        </w:rPr>
        <w:t xml:space="preserve"> </w:t>
      </w:r>
      <w:r w:rsidR="001B3AC6">
        <w:rPr>
          <w:rFonts w:asciiTheme="majorBidi" w:hAnsiTheme="majorBidi" w:cstheme="majorBidi"/>
          <w:sz w:val="24"/>
          <w:szCs w:val="24"/>
        </w:rPr>
        <w:t xml:space="preserve">to consider </w:t>
      </w:r>
      <w:r w:rsidR="00B11155" w:rsidRPr="00B11155">
        <w:rPr>
          <w:rFonts w:asciiTheme="majorBidi" w:hAnsiTheme="majorBidi" w:cstheme="majorBidi"/>
          <w:sz w:val="24"/>
          <w:szCs w:val="24"/>
        </w:rPr>
        <w:t>because of the widespread of certain media channels such as social media and the way people shift some of their offline activities</w:t>
      </w:r>
      <w:r w:rsidR="001B3AC6">
        <w:rPr>
          <w:rFonts w:asciiTheme="majorBidi" w:hAnsiTheme="majorBidi" w:cstheme="majorBidi"/>
          <w:sz w:val="24"/>
          <w:szCs w:val="24"/>
        </w:rPr>
        <w:t xml:space="preserve"> to</w:t>
      </w:r>
      <w:r w:rsidR="00B11155" w:rsidRPr="00B11155">
        <w:rPr>
          <w:rFonts w:asciiTheme="majorBidi" w:hAnsiTheme="majorBidi" w:cstheme="majorBidi"/>
          <w:sz w:val="24"/>
          <w:szCs w:val="24"/>
        </w:rPr>
        <w:t xml:space="preserve"> online </w:t>
      </w:r>
      <w:sdt>
        <w:sdtPr>
          <w:rPr>
            <w:rFonts w:asciiTheme="majorBidi" w:hAnsiTheme="majorBidi" w:cstheme="majorBidi"/>
            <w:sz w:val="24"/>
            <w:szCs w:val="24"/>
          </w:rPr>
          <w:id w:val="-1749262048"/>
          <w:citation/>
        </w:sdtPr>
        <w:sdtContent>
          <w:r w:rsidR="00B11155" w:rsidRPr="00B11155">
            <w:rPr>
              <w:rFonts w:asciiTheme="majorBidi" w:hAnsiTheme="majorBidi" w:cstheme="majorBidi"/>
              <w:sz w:val="24"/>
              <w:szCs w:val="24"/>
            </w:rPr>
            <w:fldChar w:fldCharType="begin"/>
          </w:r>
          <w:r w:rsidR="00B11155" w:rsidRPr="00B11155">
            <w:rPr>
              <w:rFonts w:asciiTheme="majorBidi" w:hAnsiTheme="majorBidi" w:cstheme="majorBidi"/>
              <w:sz w:val="24"/>
              <w:szCs w:val="24"/>
            </w:rPr>
            <w:instrText xml:space="preserve"> CITATION Pfe13 \l 2057 </w:instrText>
          </w:r>
          <w:r w:rsidR="00B11155" w:rsidRPr="00B11155">
            <w:rPr>
              <w:rFonts w:asciiTheme="majorBidi" w:hAnsiTheme="majorBidi" w:cstheme="majorBidi"/>
              <w:sz w:val="24"/>
              <w:szCs w:val="24"/>
            </w:rPr>
            <w:fldChar w:fldCharType="separate"/>
          </w:r>
          <w:r w:rsidR="00B11155" w:rsidRPr="00B11155">
            <w:rPr>
              <w:rFonts w:asciiTheme="majorBidi" w:hAnsiTheme="majorBidi" w:cstheme="majorBidi"/>
              <w:noProof/>
              <w:sz w:val="24"/>
              <w:szCs w:val="24"/>
            </w:rPr>
            <w:t>(Pfeffer, Zorbach, &amp; Carley, 2013)</w:t>
          </w:r>
          <w:r w:rsidR="00B11155" w:rsidRPr="00B11155">
            <w:rPr>
              <w:rFonts w:asciiTheme="majorBidi" w:hAnsiTheme="majorBidi" w:cstheme="majorBidi"/>
              <w:sz w:val="24"/>
              <w:szCs w:val="24"/>
            </w:rPr>
            <w:fldChar w:fldCharType="end"/>
          </w:r>
        </w:sdtContent>
      </w:sdt>
      <w:r w:rsidR="00B11155" w:rsidRPr="00B11155">
        <w:rPr>
          <w:rFonts w:asciiTheme="majorBidi" w:hAnsiTheme="majorBidi" w:cstheme="majorBidi"/>
          <w:sz w:val="24"/>
          <w:szCs w:val="24"/>
        </w:rPr>
        <w:t>.</w:t>
      </w:r>
      <w:r w:rsidR="003E40AB">
        <w:rPr>
          <w:rFonts w:asciiTheme="majorBidi" w:hAnsiTheme="majorBidi" w:cstheme="majorBidi"/>
          <w:sz w:val="24"/>
          <w:szCs w:val="24"/>
        </w:rPr>
        <w:t xml:space="preserve"> One study found that in a non-crisis context, consumers are prompted to recommend a company based on emotions rather than cognitive reputation </w:t>
      </w:r>
      <w:sdt>
        <w:sdtPr>
          <w:rPr>
            <w:rFonts w:asciiTheme="majorBidi" w:hAnsiTheme="majorBidi" w:cstheme="majorBidi"/>
            <w:sz w:val="24"/>
            <w:szCs w:val="24"/>
          </w:rPr>
          <w:id w:val="1458147146"/>
          <w:citation/>
        </w:sdtPr>
        <w:sdtContent>
          <w:r w:rsidR="004B487B">
            <w:rPr>
              <w:rFonts w:asciiTheme="majorBidi" w:hAnsiTheme="majorBidi" w:cstheme="majorBidi"/>
              <w:sz w:val="24"/>
              <w:szCs w:val="24"/>
            </w:rPr>
            <w:fldChar w:fldCharType="begin"/>
          </w:r>
          <w:r w:rsidR="004B487B">
            <w:rPr>
              <w:rFonts w:asciiTheme="majorBidi" w:hAnsiTheme="majorBidi" w:cstheme="majorBidi"/>
              <w:sz w:val="24"/>
              <w:szCs w:val="24"/>
            </w:rPr>
            <w:instrText xml:space="preserve"> CITATION Zhe18 \l 2057 </w:instrText>
          </w:r>
          <w:r w:rsidR="004B487B">
            <w:rPr>
              <w:rFonts w:asciiTheme="majorBidi" w:hAnsiTheme="majorBidi" w:cstheme="majorBidi"/>
              <w:sz w:val="24"/>
              <w:szCs w:val="24"/>
            </w:rPr>
            <w:fldChar w:fldCharType="separate"/>
          </w:r>
          <w:r w:rsidR="004B487B" w:rsidRPr="00835C9B">
            <w:rPr>
              <w:rFonts w:asciiTheme="majorBidi" w:hAnsiTheme="majorBidi" w:cstheme="majorBidi"/>
              <w:noProof/>
              <w:sz w:val="24"/>
              <w:szCs w:val="24"/>
            </w:rPr>
            <w:t>(Zheng, Liu, &amp; Davison, 2018)</w:t>
          </w:r>
          <w:r w:rsidR="004B487B">
            <w:rPr>
              <w:rFonts w:asciiTheme="majorBidi" w:hAnsiTheme="majorBidi" w:cstheme="majorBidi"/>
              <w:sz w:val="24"/>
              <w:szCs w:val="24"/>
            </w:rPr>
            <w:fldChar w:fldCharType="end"/>
          </w:r>
        </w:sdtContent>
      </w:sdt>
      <w:r w:rsidR="004B487B">
        <w:rPr>
          <w:rFonts w:asciiTheme="majorBidi" w:hAnsiTheme="majorBidi" w:cstheme="majorBidi"/>
          <w:sz w:val="24"/>
          <w:szCs w:val="24"/>
        </w:rPr>
        <w:t>. B</w:t>
      </w:r>
      <w:r w:rsidR="003E40AB">
        <w:rPr>
          <w:rFonts w:asciiTheme="majorBidi" w:hAnsiTheme="majorBidi" w:cstheme="majorBidi"/>
          <w:sz w:val="24"/>
          <w:szCs w:val="24"/>
        </w:rPr>
        <w:t xml:space="preserve">ut, in a product crisis situation, negative cognitive reputation that might have occurred from a halo effect from negative comments on social media may negatively influence consumers’ decisions </w:t>
      </w:r>
      <w:sdt>
        <w:sdtPr>
          <w:rPr>
            <w:rFonts w:asciiTheme="majorBidi" w:hAnsiTheme="majorBidi" w:cstheme="majorBidi"/>
            <w:sz w:val="24"/>
            <w:szCs w:val="24"/>
          </w:rPr>
          <w:id w:val="1879662283"/>
          <w:citation/>
        </w:sdtPr>
        <w:sdtContent>
          <w:r w:rsidR="00835C9B">
            <w:rPr>
              <w:rFonts w:asciiTheme="majorBidi" w:hAnsiTheme="majorBidi" w:cstheme="majorBidi"/>
              <w:sz w:val="24"/>
              <w:szCs w:val="24"/>
            </w:rPr>
            <w:fldChar w:fldCharType="begin"/>
          </w:r>
          <w:r w:rsidR="00835C9B">
            <w:rPr>
              <w:rFonts w:asciiTheme="majorBidi" w:hAnsiTheme="majorBidi" w:cstheme="majorBidi"/>
              <w:sz w:val="24"/>
              <w:szCs w:val="24"/>
            </w:rPr>
            <w:instrText xml:space="preserve"> CITATION Zhe18 \l 2057 </w:instrText>
          </w:r>
          <w:r w:rsidR="00835C9B">
            <w:rPr>
              <w:rFonts w:asciiTheme="majorBidi" w:hAnsiTheme="majorBidi" w:cstheme="majorBidi"/>
              <w:sz w:val="24"/>
              <w:szCs w:val="24"/>
            </w:rPr>
            <w:fldChar w:fldCharType="separate"/>
          </w:r>
          <w:r w:rsidR="00835C9B" w:rsidRPr="00835C9B">
            <w:rPr>
              <w:rFonts w:asciiTheme="majorBidi" w:hAnsiTheme="majorBidi" w:cstheme="majorBidi"/>
              <w:noProof/>
              <w:sz w:val="24"/>
              <w:szCs w:val="24"/>
            </w:rPr>
            <w:t>(Zheng, Liu, &amp; Davison, 2018)</w:t>
          </w:r>
          <w:r w:rsidR="00835C9B">
            <w:rPr>
              <w:rFonts w:asciiTheme="majorBidi" w:hAnsiTheme="majorBidi" w:cstheme="majorBidi"/>
              <w:sz w:val="24"/>
              <w:szCs w:val="24"/>
            </w:rPr>
            <w:fldChar w:fldCharType="end"/>
          </w:r>
        </w:sdtContent>
      </w:sdt>
      <w:r w:rsidR="00835C9B">
        <w:rPr>
          <w:rFonts w:asciiTheme="majorBidi" w:hAnsiTheme="majorBidi" w:cstheme="majorBidi"/>
          <w:sz w:val="24"/>
          <w:szCs w:val="24"/>
        </w:rPr>
        <w:t>.</w:t>
      </w:r>
      <w:r w:rsidR="006E545B">
        <w:rPr>
          <w:rFonts w:asciiTheme="majorBidi" w:hAnsiTheme="majorBidi" w:cstheme="majorBidi"/>
          <w:sz w:val="24"/>
          <w:szCs w:val="24"/>
        </w:rPr>
        <w:t xml:space="preserve"> Similarly, another study on the American </w:t>
      </w:r>
      <w:r w:rsidR="004B487B">
        <w:rPr>
          <w:rFonts w:asciiTheme="majorBidi" w:hAnsiTheme="majorBidi" w:cstheme="majorBidi"/>
          <w:sz w:val="24"/>
          <w:szCs w:val="24"/>
        </w:rPr>
        <w:t>a</w:t>
      </w:r>
      <w:r w:rsidR="006E545B">
        <w:rPr>
          <w:rFonts w:asciiTheme="majorBidi" w:hAnsiTheme="majorBidi" w:cstheme="majorBidi"/>
          <w:sz w:val="24"/>
          <w:szCs w:val="24"/>
        </w:rPr>
        <w:t>utomobile industry found that “perverse halo” occurs when there are unfavourable comments online about one brand name induces unfavourable comments about another brand name</w:t>
      </w:r>
      <w:sdt>
        <w:sdtPr>
          <w:rPr>
            <w:rFonts w:asciiTheme="majorBidi" w:hAnsiTheme="majorBidi" w:cstheme="majorBidi"/>
            <w:sz w:val="24"/>
            <w:szCs w:val="24"/>
          </w:rPr>
          <w:id w:val="55599827"/>
          <w:citation/>
        </w:sdtPr>
        <w:sdtContent>
          <w:r w:rsidR="006E545B">
            <w:rPr>
              <w:rFonts w:asciiTheme="majorBidi" w:hAnsiTheme="majorBidi" w:cstheme="majorBidi"/>
              <w:sz w:val="24"/>
              <w:szCs w:val="24"/>
            </w:rPr>
            <w:fldChar w:fldCharType="begin"/>
          </w:r>
          <w:r w:rsidR="006E545B">
            <w:rPr>
              <w:rFonts w:asciiTheme="majorBidi" w:hAnsiTheme="majorBidi" w:cstheme="majorBidi"/>
              <w:sz w:val="24"/>
              <w:szCs w:val="24"/>
            </w:rPr>
            <w:instrText xml:space="preserve"> CITATION Bor16 \l 2057 </w:instrText>
          </w:r>
          <w:r w:rsidR="006E545B">
            <w:rPr>
              <w:rFonts w:asciiTheme="majorBidi" w:hAnsiTheme="majorBidi" w:cstheme="majorBidi"/>
              <w:sz w:val="24"/>
              <w:szCs w:val="24"/>
            </w:rPr>
            <w:fldChar w:fldCharType="separate"/>
          </w:r>
          <w:r w:rsidR="006E545B">
            <w:rPr>
              <w:rFonts w:asciiTheme="majorBidi" w:hAnsiTheme="majorBidi" w:cstheme="majorBidi"/>
              <w:noProof/>
              <w:sz w:val="24"/>
              <w:szCs w:val="24"/>
            </w:rPr>
            <w:t xml:space="preserve"> </w:t>
          </w:r>
          <w:r w:rsidR="006E545B" w:rsidRPr="006E545B">
            <w:rPr>
              <w:rFonts w:asciiTheme="majorBidi" w:hAnsiTheme="majorBidi" w:cstheme="majorBidi"/>
              <w:noProof/>
              <w:sz w:val="24"/>
              <w:szCs w:val="24"/>
            </w:rPr>
            <w:t>(Borah &amp; Tellis, 2016)</w:t>
          </w:r>
          <w:r w:rsidR="006E545B">
            <w:rPr>
              <w:rFonts w:asciiTheme="majorBidi" w:hAnsiTheme="majorBidi" w:cstheme="majorBidi"/>
              <w:sz w:val="24"/>
              <w:szCs w:val="24"/>
            </w:rPr>
            <w:fldChar w:fldCharType="end"/>
          </w:r>
        </w:sdtContent>
      </w:sdt>
      <w:r w:rsidR="001B3AC6">
        <w:rPr>
          <w:rFonts w:asciiTheme="majorBidi" w:hAnsiTheme="majorBidi" w:cstheme="majorBidi"/>
          <w:sz w:val="24"/>
          <w:szCs w:val="24"/>
        </w:rPr>
        <w:t xml:space="preserve">. </w:t>
      </w:r>
      <w:r w:rsidR="00993321">
        <w:rPr>
          <w:rFonts w:asciiTheme="majorBidi" w:hAnsiTheme="majorBidi" w:cstheme="majorBidi"/>
          <w:sz w:val="24"/>
          <w:szCs w:val="24"/>
        </w:rPr>
        <w:t xml:space="preserve">Another study found that </w:t>
      </w:r>
      <w:r w:rsidR="00273254">
        <w:rPr>
          <w:rFonts w:asciiTheme="majorBidi" w:hAnsiTheme="majorBidi" w:cstheme="majorBidi"/>
          <w:sz w:val="24"/>
          <w:szCs w:val="24"/>
        </w:rPr>
        <w:t xml:space="preserve">online reviews about a brand that were posted by reviewers who were rated “attractive” in their photos had a positive halo effective on that brand’s evaluations </w:t>
      </w:r>
      <w:sdt>
        <w:sdtPr>
          <w:rPr>
            <w:rFonts w:asciiTheme="majorBidi" w:hAnsiTheme="majorBidi" w:cstheme="majorBidi"/>
            <w:sz w:val="24"/>
            <w:szCs w:val="24"/>
          </w:rPr>
          <w:id w:val="-1732759664"/>
          <w:citation/>
        </w:sdtPr>
        <w:sdtContent>
          <w:r w:rsidR="00273254">
            <w:rPr>
              <w:rFonts w:asciiTheme="majorBidi" w:hAnsiTheme="majorBidi" w:cstheme="majorBidi"/>
              <w:sz w:val="24"/>
              <w:szCs w:val="24"/>
            </w:rPr>
            <w:fldChar w:fldCharType="begin"/>
          </w:r>
          <w:r w:rsidR="00273254">
            <w:rPr>
              <w:rFonts w:asciiTheme="majorBidi" w:hAnsiTheme="majorBidi" w:cstheme="majorBidi"/>
              <w:sz w:val="24"/>
              <w:szCs w:val="24"/>
            </w:rPr>
            <w:instrText xml:space="preserve"> CITATION Oza19 \l 2057 </w:instrText>
          </w:r>
          <w:r w:rsidR="00273254">
            <w:rPr>
              <w:rFonts w:asciiTheme="majorBidi" w:hAnsiTheme="majorBidi" w:cstheme="majorBidi"/>
              <w:sz w:val="24"/>
              <w:szCs w:val="24"/>
            </w:rPr>
            <w:fldChar w:fldCharType="separate"/>
          </w:r>
          <w:r w:rsidR="00273254" w:rsidRPr="00273254">
            <w:rPr>
              <w:rFonts w:asciiTheme="majorBidi" w:hAnsiTheme="majorBidi" w:cstheme="majorBidi"/>
              <w:noProof/>
              <w:sz w:val="24"/>
              <w:szCs w:val="24"/>
            </w:rPr>
            <w:t>(Ozanne, Liu, &amp; Mattila , 2019)</w:t>
          </w:r>
          <w:r w:rsidR="00273254">
            <w:rPr>
              <w:rFonts w:asciiTheme="majorBidi" w:hAnsiTheme="majorBidi" w:cstheme="majorBidi"/>
              <w:sz w:val="24"/>
              <w:szCs w:val="24"/>
            </w:rPr>
            <w:fldChar w:fldCharType="end"/>
          </w:r>
        </w:sdtContent>
      </w:sdt>
      <w:r w:rsidR="00273254">
        <w:rPr>
          <w:rFonts w:asciiTheme="majorBidi" w:hAnsiTheme="majorBidi" w:cstheme="majorBidi"/>
          <w:sz w:val="24"/>
          <w:szCs w:val="24"/>
        </w:rPr>
        <w:t>.</w:t>
      </w:r>
      <w:r w:rsidR="004B487B">
        <w:rPr>
          <w:rFonts w:asciiTheme="majorBidi" w:hAnsiTheme="majorBidi" w:cstheme="majorBidi"/>
          <w:sz w:val="24"/>
          <w:szCs w:val="24"/>
        </w:rPr>
        <w:t xml:space="preserve"> These studies examine the halo effect of social media interactions but not the media vehicle itself. </w:t>
      </w:r>
    </w:p>
    <w:p w14:paraId="6EDB1547" w14:textId="4E9B865A" w:rsidR="003E40AB" w:rsidRDefault="000440A7" w:rsidP="000440A7">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r>
      <w:r w:rsidR="001574D0">
        <w:rPr>
          <w:rFonts w:asciiTheme="majorBidi" w:hAnsiTheme="majorBidi" w:cstheme="majorBidi"/>
          <w:sz w:val="24"/>
          <w:szCs w:val="24"/>
        </w:rPr>
        <w:t>In different contexts, like politics, researchers discovered a halo effect</w:t>
      </w:r>
      <w:r w:rsidR="004B487B">
        <w:rPr>
          <w:rFonts w:asciiTheme="majorBidi" w:hAnsiTheme="majorBidi" w:cstheme="majorBidi"/>
          <w:sz w:val="24"/>
          <w:szCs w:val="24"/>
        </w:rPr>
        <w:t xml:space="preserve"> that</w:t>
      </w:r>
      <w:r w:rsidR="001574D0">
        <w:rPr>
          <w:rFonts w:asciiTheme="majorBidi" w:hAnsiTheme="majorBidi" w:cstheme="majorBidi"/>
          <w:sz w:val="24"/>
          <w:szCs w:val="24"/>
        </w:rPr>
        <w:t xml:space="preserve"> </w:t>
      </w:r>
      <w:r>
        <w:rPr>
          <w:rFonts w:asciiTheme="majorBidi" w:hAnsiTheme="majorBidi" w:cstheme="majorBidi"/>
          <w:sz w:val="24"/>
          <w:szCs w:val="24"/>
        </w:rPr>
        <w:t>manipulates negative or positive images of some politicians</w:t>
      </w:r>
      <w:sdt>
        <w:sdtPr>
          <w:rPr>
            <w:rFonts w:asciiTheme="majorBidi" w:hAnsiTheme="majorBidi" w:cstheme="majorBidi"/>
            <w:sz w:val="24"/>
            <w:szCs w:val="24"/>
          </w:rPr>
          <w:id w:val="549502670"/>
          <w:citation/>
        </w:sdtPr>
        <w:sdtContent>
          <w:r w:rsidR="004B487B">
            <w:rPr>
              <w:rFonts w:asciiTheme="majorBidi" w:hAnsiTheme="majorBidi" w:cstheme="majorBidi"/>
              <w:sz w:val="24"/>
              <w:szCs w:val="24"/>
            </w:rPr>
            <w:fldChar w:fldCharType="begin"/>
          </w:r>
          <w:r w:rsidR="004B487B">
            <w:rPr>
              <w:rFonts w:asciiTheme="majorBidi" w:hAnsiTheme="majorBidi" w:cstheme="majorBidi"/>
              <w:sz w:val="24"/>
              <w:szCs w:val="24"/>
            </w:rPr>
            <w:instrText xml:space="preserve"> CITATION Ten20 \l 2057 </w:instrText>
          </w:r>
          <w:r w:rsidR="004B487B">
            <w:rPr>
              <w:rFonts w:asciiTheme="majorBidi" w:hAnsiTheme="majorBidi" w:cstheme="majorBidi"/>
              <w:sz w:val="24"/>
              <w:szCs w:val="24"/>
            </w:rPr>
            <w:fldChar w:fldCharType="separate"/>
          </w:r>
          <w:r w:rsidR="004B487B">
            <w:rPr>
              <w:rFonts w:asciiTheme="majorBidi" w:hAnsiTheme="majorBidi" w:cstheme="majorBidi"/>
              <w:noProof/>
              <w:sz w:val="24"/>
              <w:szCs w:val="24"/>
            </w:rPr>
            <w:t xml:space="preserve"> </w:t>
          </w:r>
          <w:r w:rsidR="004B487B" w:rsidRPr="00DF486A">
            <w:rPr>
              <w:rFonts w:asciiTheme="majorBidi" w:hAnsiTheme="majorBidi" w:cstheme="majorBidi"/>
              <w:noProof/>
              <w:sz w:val="24"/>
              <w:szCs w:val="24"/>
            </w:rPr>
            <w:t>(Teneva, 2020)</w:t>
          </w:r>
          <w:r w:rsidR="004B487B">
            <w:rPr>
              <w:rFonts w:asciiTheme="majorBidi" w:hAnsiTheme="majorBidi" w:cstheme="majorBidi"/>
              <w:sz w:val="24"/>
              <w:szCs w:val="24"/>
            </w:rPr>
            <w:fldChar w:fldCharType="end"/>
          </w:r>
        </w:sdtContent>
      </w:sdt>
      <w:r>
        <w:rPr>
          <w:rFonts w:asciiTheme="majorBidi" w:hAnsiTheme="majorBidi" w:cstheme="majorBidi"/>
          <w:sz w:val="24"/>
          <w:szCs w:val="24"/>
        </w:rPr>
        <w:t>. Also, halo effect can impact the perception of countries’ political situations</w:t>
      </w:r>
      <w:sdt>
        <w:sdtPr>
          <w:rPr>
            <w:rFonts w:asciiTheme="majorBidi" w:hAnsiTheme="majorBidi" w:cstheme="majorBidi"/>
            <w:sz w:val="24"/>
            <w:szCs w:val="24"/>
          </w:rPr>
          <w:id w:val="-779020914"/>
          <w:citation/>
        </w:sdtPr>
        <w:sdtContent>
          <w:r w:rsidR="00DF486A">
            <w:rPr>
              <w:rFonts w:asciiTheme="majorBidi" w:hAnsiTheme="majorBidi" w:cstheme="majorBidi"/>
              <w:sz w:val="24"/>
              <w:szCs w:val="24"/>
            </w:rPr>
            <w:fldChar w:fldCharType="begin"/>
          </w:r>
          <w:r w:rsidR="00DF486A">
            <w:rPr>
              <w:rFonts w:asciiTheme="majorBidi" w:hAnsiTheme="majorBidi" w:cstheme="majorBidi"/>
              <w:sz w:val="24"/>
              <w:szCs w:val="24"/>
            </w:rPr>
            <w:instrText xml:space="preserve"> CITATION Ten20 \l 2057 </w:instrText>
          </w:r>
          <w:r w:rsidR="00DF486A">
            <w:rPr>
              <w:rFonts w:asciiTheme="majorBidi" w:hAnsiTheme="majorBidi" w:cstheme="majorBidi"/>
              <w:sz w:val="24"/>
              <w:szCs w:val="24"/>
            </w:rPr>
            <w:fldChar w:fldCharType="separate"/>
          </w:r>
          <w:r w:rsidR="00DF486A">
            <w:rPr>
              <w:rFonts w:asciiTheme="majorBidi" w:hAnsiTheme="majorBidi" w:cstheme="majorBidi"/>
              <w:noProof/>
              <w:sz w:val="24"/>
              <w:szCs w:val="24"/>
            </w:rPr>
            <w:t xml:space="preserve"> </w:t>
          </w:r>
          <w:r w:rsidR="00DF486A" w:rsidRPr="00DF486A">
            <w:rPr>
              <w:rFonts w:asciiTheme="majorBidi" w:hAnsiTheme="majorBidi" w:cstheme="majorBidi"/>
              <w:noProof/>
              <w:sz w:val="24"/>
              <w:szCs w:val="24"/>
            </w:rPr>
            <w:t>(Teneva, 2020)</w:t>
          </w:r>
          <w:r w:rsidR="00DF486A">
            <w:rPr>
              <w:rFonts w:asciiTheme="majorBidi" w:hAnsiTheme="majorBidi" w:cstheme="majorBidi"/>
              <w:sz w:val="24"/>
              <w:szCs w:val="24"/>
            </w:rPr>
            <w:fldChar w:fldCharType="end"/>
          </w:r>
        </w:sdtContent>
      </w:sdt>
      <w:r>
        <w:rPr>
          <w:rFonts w:asciiTheme="majorBidi" w:hAnsiTheme="majorBidi" w:cstheme="majorBidi"/>
          <w:sz w:val="24"/>
          <w:szCs w:val="24"/>
        </w:rPr>
        <w:t xml:space="preserve">. For instance, </w:t>
      </w:r>
      <w:r w:rsidR="001574D0">
        <w:rPr>
          <w:rFonts w:asciiTheme="majorBidi" w:hAnsiTheme="majorBidi" w:cstheme="majorBidi"/>
          <w:sz w:val="24"/>
          <w:szCs w:val="24"/>
        </w:rPr>
        <w:t xml:space="preserve">different media campaigns </w:t>
      </w:r>
      <w:r w:rsidR="001B3AC6">
        <w:rPr>
          <w:rFonts w:asciiTheme="majorBidi" w:hAnsiTheme="majorBidi" w:cstheme="majorBidi"/>
          <w:sz w:val="24"/>
          <w:szCs w:val="24"/>
        </w:rPr>
        <w:t>about</w:t>
      </w:r>
      <w:r w:rsidR="001574D0">
        <w:rPr>
          <w:rFonts w:asciiTheme="majorBidi" w:hAnsiTheme="majorBidi" w:cstheme="majorBidi"/>
          <w:sz w:val="24"/>
          <w:szCs w:val="24"/>
        </w:rPr>
        <w:t xml:space="preserve"> the Middle East impact the reputation of the Middle East in Western countries like the U.S. </w:t>
      </w:r>
      <w:sdt>
        <w:sdtPr>
          <w:rPr>
            <w:rFonts w:asciiTheme="majorBidi" w:hAnsiTheme="majorBidi" w:cstheme="majorBidi"/>
            <w:sz w:val="24"/>
            <w:szCs w:val="24"/>
          </w:rPr>
          <w:id w:val="1370034265"/>
          <w:citation/>
        </w:sdtPr>
        <w:sdtContent>
          <w:r w:rsidR="001574D0">
            <w:rPr>
              <w:rFonts w:asciiTheme="majorBidi" w:hAnsiTheme="majorBidi" w:cstheme="majorBidi"/>
              <w:sz w:val="24"/>
              <w:szCs w:val="24"/>
            </w:rPr>
            <w:fldChar w:fldCharType="begin"/>
          </w:r>
          <w:r w:rsidR="001574D0">
            <w:rPr>
              <w:rFonts w:asciiTheme="majorBidi" w:hAnsiTheme="majorBidi" w:cstheme="majorBidi"/>
              <w:sz w:val="24"/>
              <w:szCs w:val="24"/>
            </w:rPr>
            <w:instrText xml:space="preserve"> CITATION Mar23 \l 2057 </w:instrText>
          </w:r>
          <w:r w:rsidR="001574D0">
            <w:rPr>
              <w:rFonts w:asciiTheme="majorBidi" w:hAnsiTheme="majorBidi" w:cstheme="majorBidi"/>
              <w:sz w:val="24"/>
              <w:szCs w:val="24"/>
            </w:rPr>
            <w:fldChar w:fldCharType="separate"/>
          </w:r>
          <w:r w:rsidR="001574D0" w:rsidRPr="001574D0">
            <w:rPr>
              <w:rFonts w:asciiTheme="majorBidi" w:hAnsiTheme="majorBidi" w:cstheme="majorBidi"/>
              <w:noProof/>
              <w:sz w:val="24"/>
              <w:szCs w:val="24"/>
            </w:rPr>
            <w:t>(Martin, Alkazemi, &amp; Sharma, 2023)</w:t>
          </w:r>
          <w:r w:rsidR="001574D0">
            <w:rPr>
              <w:rFonts w:asciiTheme="majorBidi" w:hAnsiTheme="majorBidi" w:cstheme="majorBidi"/>
              <w:sz w:val="24"/>
              <w:szCs w:val="24"/>
            </w:rPr>
            <w:fldChar w:fldCharType="end"/>
          </w:r>
        </w:sdtContent>
      </w:sdt>
      <w:r w:rsidR="001574D0">
        <w:rPr>
          <w:rFonts w:asciiTheme="majorBidi" w:hAnsiTheme="majorBidi" w:cstheme="majorBidi"/>
          <w:sz w:val="24"/>
          <w:szCs w:val="24"/>
        </w:rPr>
        <w:t xml:space="preserve">. </w:t>
      </w:r>
      <w:r w:rsidR="00DC30E0">
        <w:rPr>
          <w:rFonts w:asciiTheme="majorBidi" w:hAnsiTheme="majorBidi" w:cstheme="majorBidi"/>
          <w:sz w:val="24"/>
          <w:szCs w:val="24"/>
        </w:rPr>
        <w:t>Clearly</w:t>
      </w:r>
      <w:r w:rsidR="00273254">
        <w:rPr>
          <w:rFonts w:asciiTheme="majorBidi" w:hAnsiTheme="majorBidi" w:cstheme="majorBidi"/>
          <w:sz w:val="24"/>
          <w:szCs w:val="24"/>
        </w:rPr>
        <w:t>,</w:t>
      </w:r>
      <w:r w:rsidR="00DC30E0">
        <w:rPr>
          <w:rFonts w:asciiTheme="majorBidi" w:hAnsiTheme="majorBidi" w:cstheme="majorBidi"/>
          <w:sz w:val="24"/>
          <w:szCs w:val="24"/>
        </w:rPr>
        <w:t xml:space="preserve"> the halo effect of media channels in literature is focused on the indirect effect of various actions that take place online or on social media. Yet,</w:t>
      </w:r>
      <w:r w:rsidR="00273254">
        <w:rPr>
          <w:rFonts w:asciiTheme="majorBidi" w:hAnsiTheme="majorBidi" w:cstheme="majorBidi"/>
          <w:sz w:val="24"/>
          <w:szCs w:val="24"/>
        </w:rPr>
        <w:t xml:space="preserve"> there are</w:t>
      </w:r>
      <w:r w:rsidR="00341C6B">
        <w:rPr>
          <w:rFonts w:asciiTheme="majorBidi" w:hAnsiTheme="majorBidi" w:cstheme="majorBidi"/>
          <w:sz w:val="24"/>
          <w:szCs w:val="24"/>
        </w:rPr>
        <w:t xml:space="preserve"> no</w:t>
      </w:r>
      <w:r w:rsidR="00273254">
        <w:rPr>
          <w:rFonts w:asciiTheme="majorBidi" w:hAnsiTheme="majorBidi" w:cstheme="majorBidi"/>
          <w:sz w:val="24"/>
          <w:szCs w:val="24"/>
        </w:rPr>
        <w:t xml:space="preserve">t many studies in literature that examine </w:t>
      </w:r>
      <w:r w:rsidR="00DC30E0">
        <w:rPr>
          <w:rFonts w:asciiTheme="majorBidi" w:hAnsiTheme="majorBidi" w:cstheme="majorBidi"/>
          <w:sz w:val="24"/>
          <w:szCs w:val="24"/>
        </w:rPr>
        <w:t xml:space="preserve">the halo effect or indirect spill over effect of different media channels on consumers’ attitudes towards the brand and purchase intention. Therefore, along with the </w:t>
      </w:r>
      <w:r w:rsidR="0032194C">
        <w:rPr>
          <w:rFonts w:asciiTheme="majorBidi" w:hAnsiTheme="majorBidi" w:cstheme="majorBidi"/>
          <w:sz w:val="24"/>
          <w:szCs w:val="24"/>
        </w:rPr>
        <w:t>discussion on the growing popularity of social media in Egypt</w:t>
      </w:r>
      <w:r w:rsidR="00DC30E0">
        <w:rPr>
          <w:rFonts w:asciiTheme="majorBidi" w:hAnsiTheme="majorBidi" w:cstheme="majorBidi"/>
          <w:sz w:val="24"/>
          <w:szCs w:val="24"/>
        </w:rPr>
        <w:t xml:space="preserve"> </w:t>
      </w:r>
      <w:sdt>
        <w:sdtPr>
          <w:rPr>
            <w:rFonts w:asciiTheme="majorBidi" w:hAnsiTheme="majorBidi" w:cstheme="majorBidi"/>
            <w:sz w:val="24"/>
            <w:szCs w:val="24"/>
          </w:rPr>
          <w:id w:val="-194008279"/>
          <w:citation/>
        </w:sdtPr>
        <w:sdtContent>
          <w:r w:rsidR="0032194C">
            <w:rPr>
              <w:rFonts w:asciiTheme="majorBidi" w:hAnsiTheme="majorBidi" w:cstheme="majorBidi"/>
              <w:sz w:val="24"/>
              <w:szCs w:val="24"/>
            </w:rPr>
            <w:fldChar w:fldCharType="begin"/>
          </w:r>
          <w:r w:rsidR="0032194C">
            <w:rPr>
              <w:rFonts w:asciiTheme="majorBidi" w:hAnsiTheme="majorBidi" w:cstheme="majorBidi"/>
              <w:sz w:val="24"/>
              <w:szCs w:val="24"/>
            </w:rPr>
            <w:instrText xml:space="preserve"> CITATION Mos191 \l 2057 </w:instrText>
          </w:r>
          <w:r w:rsidR="0032194C">
            <w:rPr>
              <w:rFonts w:asciiTheme="majorBidi" w:hAnsiTheme="majorBidi" w:cstheme="majorBidi"/>
              <w:sz w:val="24"/>
              <w:szCs w:val="24"/>
            </w:rPr>
            <w:fldChar w:fldCharType="separate"/>
          </w:r>
          <w:r w:rsidR="0032194C">
            <w:rPr>
              <w:rFonts w:asciiTheme="majorBidi" w:hAnsiTheme="majorBidi" w:cstheme="majorBidi"/>
              <w:noProof/>
              <w:sz w:val="24"/>
              <w:szCs w:val="24"/>
            </w:rPr>
            <w:t xml:space="preserve"> </w:t>
          </w:r>
          <w:r w:rsidR="0032194C" w:rsidRPr="00ED3E8E">
            <w:rPr>
              <w:rFonts w:asciiTheme="majorBidi" w:hAnsiTheme="majorBidi" w:cstheme="majorBidi"/>
              <w:noProof/>
              <w:sz w:val="24"/>
              <w:szCs w:val="24"/>
            </w:rPr>
            <w:t>(Mosharafa, 2019)</w:t>
          </w:r>
          <w:r w:rsidR="0032194C">
            <w:rPr>
              <w:rFonts w:asciiTheme="majorBidi" w:hAnsiTheme="majorBidi" w:cstheme="majorBidi"/>
              <w:sz w:val="24"/>
              <w:szCs w:val="24"/>
            </w:rPr>
            <w:fldChar w:fldCharType="end"/>
          </w:r>
        </w:sdtContent>
      </w:sdt>
      <w:r w:rsidR="0032194C">
        <w:rPr>
          <w:rFonts w:asciiTheme="majorBidi" w:hAnsiTheme="majorBidi" w:cstheme="majorBidi"/>
          <w:sz w:val="24"/>
          <w:szCs w:val="24"/>
        </w:rPr>
        <w:t xml:space="preserve"> </w:t>
      </w:r>
      <w:r w:rsidR="00DC30E0">
        <w:rPr>
          <w:rFonts w:asciiTheme="majorBidi" w:hAnsiTheme="majorBidi" w:cstheme="majorBidi"/>
          <w:sz w:val="24"/>
          <w:szCs w:val="24"/>
        </w:rPr>
        <w:t xml:space="preserve">(section 3.9), this thesis poses the following hypothesis: </w:t>
      </w:r>
    </w:p>
    <w:p w14:paraId="04A3D7E4" w14:textId="493DD302" w:rsidR="00395741" w:rsidRPr="00044DE9" w:rsidRDefault="00DC30E0" w:rsidP="00044DE9">
      <w:pPr>
        <w:pStyle w:val="NormalWeb"/>
        <w:spacing w:before="67" w:beforeAutospacing="0" w:after="120" w:afterAutospacing="0" w:line="480" w:lineRule="auto"/>
        <w:rPr>
          <w:rFonts w:asciiTheme="majorBidi" w:eastAsia="Arial" w:hAnsiTheme="majorBidi" w:cstheme="majorBidi"/>
        </w:rPr>
      </w:pPr>
      <w:r>
        <w:rPr>
          <w:rFonts w:asciiTheme="majorBidi" w:eastAsia="Arial" w:hAnsiTheme="majorBidi" w:cstheme="majorBidi"/>
        </w:rPr>
        <w:tab/>
      </w:r>
      <w:bookmarkStart w:id="121" w:name="_Hlk145537572"/>
      <w:bookmarkStart w:id="122" w:name="_Hlk136610133"/>
      <w:r w:rsidRPr="0032194C">
        <w:rPr>
          <w:rFonts w:asciiTheme="majorBidi" w:eastAsia="Arial" w:hAnsiTheme="majorBidi" w:cstheme="majorBidi"/>
        </w:rPr>
        <w:t>H1</w:t>
      </w:r>
      <w:r w:rsidR="00287490" w:rsidRPr="0032194C">
        <w:rPr>
          <w:rFonts w:asciiTheme="majorBidi" w:eastAsia="Arial" w:hAnsiTheme="majorBidi" w:cstheme="majorBidi"/>
        </w:rPr>
        <w:t>0</w:t>
      </w:r>
      <w:r w:rsidRPr="0032194C">
        <w:rPr>
          <w:rFonts w:asciiTheme="majorBidi" w:eastAsia="Arial" w:hAnsiTheme="majorBidi" w:cstheme="majorBidi"/>
        </w:rPr>
        <w:t xml:space="preserve">: </w:t>
      </w:r>
      <w:r w:rsidRPr="0032194C">
        <w:rPr>
          <w:rFonts w:asciiTheme="majorBidi" w:hAnsiTheme="majorBidi" w:cstheme="majorBidi"/>
        </w:rPr>
        <w:t>Social media communication in Egypt has a positive halo effect on consumers’ purchase intention.</w:t>
      </w:r>
      <w:bookmarkEnd w:id="121"/>
      <w:bookmarkEnd w:id="122"/>
    </w:p>
    <w:p w14:paraId="4985DDCA" w14:textId="083F6F77" w:rsidR="00153EE6" w:rsidRPr="002A3F0B" w:rsidRDefault="00153EE6" w:rsidP="001574D0">
      <w:pPr>
        <w:adjustRightInd w:val="0"/>
        <w:spacing w:after="0" w:line="480" w:lineRule="auto"/>
        <w:rPr>
          <w:rFonts w:asciiTheme="majorBidi" w:hAnsiTheme="majorBidi" w:cstheme="majorBidi"/>
          <w:b/>
          <w:bCs/>
          <w:sz w:val="24"/>
          <w:szCs w:val="24"/>
        </w:rPr>
      </w:pPr>
      <w:r w:rsidRPr="002A3F0B">
        <w:rPr>
          <w:rFonts w:asciiTheme="majorBidi" w:hAnsiTheme="majorBidi" w:cstheme="majorBidi"/>
          <w:b/>
          <w:bCs/>
          <w:sz w:val="24"/>
          <w:szCs w:val="24"/>
        </w:rPr>
        <w:t>4.</w:t>
      </w:r>
      <w:r w:rsidR="00CF00C8">
        <w:rPr>
          <w:rFonts w:asciiTheme="majorBidi" w:hAnsiTheme="majorBidi" w:cstheme="majorBidi"/>
          <w:b/>
          <w:bCs/>
          <w:sz w:val="24"/>
          <w:szCs w:val="24"/>
        </w:rPr>
        <w:t>4</w:t>
      </w:r>
      <w:r w:rsidRPr="002A3F0B">
        <w:rPr>
          <w:rFonts w:asciiTheme="majorBidi" w:hAnsiTheme="majorBidi" w:cstheme="majorBidi"/>
          <w:b/>
          <w:bCs/>
          <w:sz w:val="24"/>
          <w:szCs w:val="24"/>
        </w:rPr>
        <w:t>.</w:t>
      </w:r>
      <w:r w:rsidR="0009171F">
        <w:rPr>
          <w:rFonts w:asciiTheme="majorBidi" w:hAnsiTheme="majorBidi" w:cstheme="majorBidi"/>
          <w:b/>
          <w:bCs/>
          <w:sz w:val="24"/>
          <w:szCs w:val="24"/>
        </w:rPr>
        <w:t>3</w:t>
      </w:r>
      <w:r w:rsidRPr="002A3F0B">
        <w:rPr>
          <w:rFonts w:asciiTheme="majorBidi" w:hAnsiTheme="majorBidi" w:cstheme="majorBidi"/>
          <w:b/>
          <w:bCs/>
          <w:sz w:val="24"/>
          <w:szCs w:val="24"/>
        </w:rPr>
        <w:t xml:space="preserve"> Criticism of </w:t>
      </w:r>
      <w:r>
        <w:rPr>
          <w:rFonts w:asciiTheme="majorBidi" w:hAnsiTheme="majorBidi" w:cstheme="majorBidi"/>
          <w:b/>
          <w:bCs/>
          <w:sz w:val="24"/>
          <w:szCs w:val="24"/>
        </w:rPr>
        <w:t>h</w:t>
      </w:r>
      <w:r w:rsidRPr="002A3F0B">
        <w:rPr>
          <w:rFonts w:asciiTheme="majorBidi" w:hAnsiTheme="majorBidi" w:cstheme="majorBidi"/>
          <w:b/>
          <w:bCs/>
          <w:sz w:val="24"/>
          <w:szCs w:val="24"/>
        </w:rPr>
        <w:t xml:space="preserve">alo effect </w:t>
      </w:r>
    </w:p>
    <w:p w14:paraId="2F9A7662" w14:textId="2FBB7D96" w:rsidR="00153EE6" w:rsidRDefault="00153EE6" w:rsidP="001574D0">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concept of halo effect </w:t>
      </w:r>
      <w:r w:rsidR="00CE24A3">
        <w:rPr>
          <w:rFonts w:asciiTheme="majorBidi" w:hAnsiTheme="majorBidi" w:cstheme="majorBidi"/>
          <w:sz w:val="24"/>
          <w:szCs w:val="24"/>
        </w:rPr>
        <w:t>is opposed with</w:t>
      </w:r>
      <w:r>
        <w:rPr>
          <w:rFonts w:asciiTheme="majorBidi" w:hAnsiTheme="majorBidi" w:cstheme="majorBidi"/>
          <w:sz w:val="24"/>
          <w:szCs w:val="24"/>
        </w:rPr>
        <w:t xml:space="preserve"> some challenges. A couple of issues with the halo effect is the difficulty of measuring </w:t>
      </w:r>
      <w:r w:rsidRPr="009F574A">
        <w:rPr>
          <w:rFonts w:asciiTheme="majorBidi" w:hAnsiTheme="majorBidi" w:cstheme="majorBidi"/>
          <w:sz w:val="24"/>
          <w:szCs w:val="24"/>
        </w:rPr>
        <w:t>its generali</w:t>
      </w:r>
      <w:r w:rsidR="00CE24A3" w:rsidRPr="009F574A">
        <w:rPr>
          <w:rFonts w:asciiTheme="majorBidi" w:hAnsiTheme="majorBidi" w:cstheme="majorBidi"/>
          <w:sz w:val="24"/>
          <w:szCs w:val="24"/>
        </w:rPr>
        <w:t>s</w:t>
      </w:r>
      <w:r w:rsidRPr="009F574A">
        <w:rPr>
          <w:rFonts w:asciiTheme="majorBidi" w:hAnsiTheme="majorBidi" w:cstheme="majorBidi"/>
          <w:sz w:val="24"/>
          <w:szCs w:val="24"/>
        </w:rPr>
        <w:t xml:space="preserve">ability and the stability of the effect over time </w:t>
      </w:r>
      <w:sdt>
        <w:sdtPr>
          <w:rPr>
            <w:rFonts w:asciiTheme="majorBidi" w:hAnsiTheme="majorBidi" w:cstheme="majorBidi"/>
            <w:sz w:val="24"/>
            <w:szCs w:val="24"/>
          </w:rPr>
          <w:id w:val="1667906335"/>
          <w:citation/>
        </w:sdtPr>
        <w:sdtContent>
          <w:r w:rsidRPr="009F574A">
            <w:rPr>
              <w:rFonts w:asciiTheme="majorBidi" w:hAnsiTheme="majorBidi" w:cstheme="majorBidi"/>
              <w:sz w:val="24"/>
              <w:szCs w:val="24"/>
            </w:rPr>
            <w:fldChar w:fldCharType="begin"/>
          </w:r>
          <w:r w:rsidRPr="009F574A">
            <w:rPr>
              <w:rFonts w:asciiTheme="majorBidi" w:hAnsiTheme="majorBidi" w:cstheme="majorBidi"/>
              <w:sz w:val="24"/>
              <w:szCs w:val="24"/>
            </w:rPr>
            <w:instrText xml:space="preserve"> CITATION Gab21 \l 2057 </w:instrText>
          </w:r>
          <w:r w:rsidRPr="009F574A">
            <w:rPr>
              <w:rFonts w:asciiTheme="majorBidi" w:hAnsiTheme="majorBidi" w:cstheme="majorBidi"/>
              <w:sz w:val="24"/>
              <w:szCs w:val="24"/>
            </w:rPr>
            <w:fldChar w:fldCharType="separate"/>
          </w:r>
          <w:r w:rsidRPr="009F574A">
            <w:rPr>
              <w:rFonts w:asciiTheme="majorBidi" w:hAnsiTheme="majorBidi" w:cstheme="majorBidi"/>
              <w:noProof/>
              <w:sz w:val="24"/>
              <w:szCs w:val="24"/>
            </w:rPr>
            <w:t>(Gabrieli, Lee, Setoh, &amp; Esposito, 2021)</w:t>
          </w:r>
          <w:r w:rsidRPr="009F574A">
            <w:rPr>
              <w:rFonts w:asciiTheme="majorBidi" w:hAnsiTheme="majorBidi" w:cstheme="majorBidi"/>
              <w:sz w:val="24"/>
              <w:szCs w:val="24"/>
            </w:rPr>
            <w:fldChar w:fldCharType="end"/>
          </w:r>
        </w:sdtContent>
      </w:sdt>
      <w:r w:rsidRPr="009F574A">
        <w:rPr>
          <w:rFonts w:asciiTheme="majorBidi" w:hAnsiTheme="majorBidi" w:cstheme="majorBidi"/>
          <w:sz w:val="24"/>
          <w:szCs w:val="24"/>
        </w:rPr>
        <w:t>. While an experimental study on 380 participants measured the strength of the halo effect, the researchers could not predict how long the effect last</w:t>
      </w:r>
      <w:r w:rsidR="00341C6B" w:rsidRPr="009F574A">
        <w:rPr>
          <w:rFonts w:asciiTheme="majorBidi" w:hAnsiTheme="majorBidi" w:cstheme="majorBidi"/>
          <w:sz w:val="24"/>
          <w:szCs w:val="24"/>
        </w:rPr>
        <w:t>s</w:t>
      </w:r>
      <w:r w:rsidRPr="009F574A">
        <w:rPr>
          <w:rFonts w:asciiTheme="majorBidi" w:hAnsiTheme="majorBidi" w:cstheme="majorBidi"/>
          <w:sz w:val="24"/>
          <w:szCs w:val="24"/>
        </w:rPr>
        <w:t xml:space="preserve"> or its stability over time due to the impact of multiple external and unpredictable factors </w:t>
      </w:r>
      <w:sdt>
        <w:sdtPr>
          <w:rPr>
            <w:rFonts w:asciiTheme="majorBidi" w:hAnsiTheme="majorBidi" w:cstheme="majorBidi"/>
            <w:sz w:val="24"/>
            <w:szCs w:val="24"/>
          </w:rPr>
          <w:id w:val="1109865355"/>
          <w:citation/>
        </w:sdtPr>
        <w:sdtContent>
          <w:r w:rsidRPr="009F574A">
            <w:rPr>
              <w:rFonts w:asciiTheme="majorBidi" w:hAnsiTheme="majorBidi" w:cstheme="majorBidi"/>
              <w:sz w:val="24"/>
              <w:szCs w:val="24"/>
            </w:rPr>
            <w:fldChar w:fldCharType="begin"/>
          </w:r>
          <w:r w:rsidRPr="009F574A">
            <w:rPr>
              <w:rFonts w:asciiTheme="majorBidi" w:hAnsiTheme="majorBidi" w:cstheme="majorBidi"/>
              <w:sz w:val="24"/>
              <w:szCs w:val="24"/>
            </w:rPr>
            <w:instrText xml:space="preserve"> CITATION Gab21 \l 2057 </w:instrText>
          </w:r>
          <w:r w:rsidRPr="009F574A">
            <w:rPr>
              <w:rFonts w:asciiTheme="majorBidi" w:hAnsiTheme="majorBidi" w:cstheme="majorBidi"/>
              <w:sz w:val="24"/>
              <w:szCs w:val="24"/>
            </w:rPr>
            <w:fldChar w:fldCharType="separate"/>
          </w:r>
          <w:r w:rsidRPr="009F574A">
            <w:rPr>
              <w:rFonts w:asciiTheme="majorBidi" w:hAnsiTheme="majorBidi" w:cstheme="majorBidi"/>
              <w:noProof/>
              <w:sz w:val="24"/>
              <w:szCs w:val="24"/>
            </w:rPr>
            <w:t>(Gabrieli, Lee, Setoh, &amp; Esposito, 2021)</w:t>
          </w:r>
          <w:r w:rsidRPr="009F574A">
            <w:rPr>
              <w:rFonts w:asciiTheme="majorBidi" w:hAnsiTheme="majorBidi" w:cstheme="majorBidi"/>
              <w:sz w:val="24"/>
              <w:szCs w:val="24"/>
            </w:rPr>
            <w:fldChar w:fldCharType="end"/>
          </w:r>
        </w:sdtContent>
      </w:sdt>
      <w:r w:rsidRPr="009F574A">
        <w:rPr>
          <w:rFonts w:asciiTheme="majorBidi" w:hAnsiTheme="majorBidi" w:cstheme="majorBidi"/>
          <w:sz w:val="24"/>
          <w:szCs w:val="24"/>
        </w:rPr>
        <w:t>. The authors suggested that future research should focus on a single ethnic group of respondents to allow for the generali</w:t>
      </w:r>
      <w:r w:rsidR="00CE24A3" w:rsidRPr="009F574A">
        <w:rPr>
          <w:rFonts w:asciiTheme="majorBidi" w:hAnsiTheme="majorBidi" w:cstheme="majorBidi"/>
          <w:sz w:val="24"/>
          <w:szCs w:val="24"/>
        </w:rPr>
        <w:t>s</w:t>
      </w:r>
      <w:r w:rsidRPr="009F574A">
        <w:rPr>
          <w:rFonts w:asciiTheme="majorBidi" w:hAnsiTheme="majorBidi" w:cstheme="majorBidi"/>
          <w:sz w:val="24"/>
          <w:szCs w:val="24"/>
        </w:rPr>
        <w:t>ability of the effect</w:t>
      </w:r>
      <w:sdt>
        <w:sdtPr>
          <w:rPr>
            <w:rFonts w:asciiTheme="majorBidi" w:hAnsiTheme="majorBidi" w:cstheme="majorBidi"/>
            <w:sz w:val="24"/>
            <w:szCs w:val="24"/>
          </w:rPr>
          <w:id w:val="-688986956"/>
          <w:citation/>
        </w:sdtPr>
        <w:sdtContent>
          <w:r w:rsidRPr="009F574A">
            <w:rPr>
              <w:rFonts w:asciiTheme="majorBidi" w:hAnsiTheme="majorBidi" w:cstheme="majorBidi"/>
              <w:sz w:val="24"/>
              <w:szCs w:val="24"/>
            </w:rPr>
            <w:fldChar w:fldCharType="begin"/>
          </w:r>
          <w:r w:rsidRPr="009F574A">
            <w:rPr>
              <w:rFonts w:asciiTheme="majorBidi" w:hAnsiTheme="majorBidi" w:cstheme="majorBidi"/>
              <w:sz w:val="24"/>
              <w:szCs w:val="24"/>
            </w:rPr>
            <w:instrText xml:space="preserve"> CITATION Gab21 \l 2057 </w:instrText>
          </w:r>
          <w:r w:rsidRPr="009F574A">
            <w:rPr>
              <w:rFonts w:asciiTheme="majorBidi" w:hAnsiTheme="majorBidi" w:cstheme="majorBidi"/>
              <w:sz w:val="24"/>
              <w:szCs w:val="24"/>
            </w:rPr>
            <w:fldChar w:fldCharType="separate"/>
          </w:r>
          <w:r w:rsidRPr="009F574A">
            <w:rPr>
              <w:rFonts w:asciiTheme="majorBidi" w:hAnsiTheme="majorBidi" w:cstheme="majorBidi"/>
              <w:noProof/>
              <w:sz w:val="24"/>
              <w:szCs w:val="24"/>
            </w:rPr>
            <w:t xml:space="preserve"> (Gabrieli, Lee, Setoh, &amp; Esposito, 2021)</w:t>
          </w:r>
          <w:r w:rsidRPr="009F574A">
            <w:rPr>
              <w:rFonts w:asciiTheme="majorBidi" w:hAnsiTheme="majorBidi" w:cstheme="majorBidi"/>
              <w:sz w:val="24"/>
              <w:szCs w:val="24"/>
            </w:rPr>
            <w:fldChar w:fldCharType="end"/>
          </w:r>
        </w:sdtContent>
      </w:sdt>
      <w:r w:rsidRPr="009F574A">
        <w:rPr>
          <w:rFonts w:asciiTheme="majorBidi" w:hAnsiTheme="majorBidi" w:cstheme="majorBidi"/>
          <w:sz w:val="24"/>
          <w:szCs w:val="24"/>
        </w:rPr>
        <w:t>.</w:t>
      </w:r>
      <w:r>
        <w:rPr>
          <w:rFonts w:asciiTheme="majorBidi" w:hAnsiTheme="majorBidi" w:cstheme="majorBidi"/>
          <w:sz w:val="24"/>
          <w:szCs w:val="24"/>
        </w:rPr>
        <w:t xml:space="preserve"> Also, the halo effect can be often critici</w:t>
      </w:r>
      <w:r w:rsidR="00CE24A3">
        <w:rPr>
          <w:rFonts w:asciiTheme="majorBidi" w:hAnsiTheme="majorBidi" w:cstheme="majorBidi"/>
          <w:sz w:val="24"/>
          <w:szCs w:val="24"/>
        </w:rPr>
        <w:t>s</w:t>
      </w:r>
      <w:r>
        <w:rPr>
          <w:rFonts w:asciiTheme="majorBidi" w:hAnsiTheme="majorBidi" w:cstheme="majorBidi"/>
          <w:sz w:val="24"/>
          <w:szCs w:val="24"/>
        </w:rPr>
        <w:t>ed for providing a generic effect</w:t>
      </w:r>
      <w:r w:rsidR="00341C6B">
        <w:rPr>
          <w:rFonts w:asciiTheme="majorBidi" w:hAnsiTheme="majorBidi" w:cstheme="majorBidi"/>
          <w:sz w:val="24"/>
          <w:szCs w:val="24"/>
        </w:rPr>
        <w:t>.</w:t>
      </w:r>
      <w:r>
        <w:rPr>
          <w:rFonts w:asciiTheme="majorBidi" w:hAnsiTheme="majorBidi" w:cstheme="majorBidi"/>
          <w:sz w:val="24"/>
          <w:szCs w:val="24"/>
        </w:rPr>
        <w:t xml:space="preserve"> </w:t>
      </w:r>
      <w:r w:rsidR="00341C6B">
        <w:rPr>
          <w:rFonts w:asciiTheme="majorBidi" w:hAnsiTheme="majorBidi" w:cstheme="majorBidi"/>
          <w:sz w:val="24"/>
          <w:szCs w:val="24"/>
        </w:rPr>
        <w:t>T</w:t>
      </w:r>
      <w:r>
        <w:rPr>
          <w:rFonts w:asciiTheme="majorBidi" w:hAnsiTheme="majorBidi" w:cstheme="majorBidi"/>
          <w:sz w:val="24"/>
          <w:szCs w:val="24"/>
        </w:rPr>
        <w:t>hus, the effect should be applied to measure the general and specific effects of certain attributes</w:t>
      </w:r>
      <w:sdt>
        <w:sdtPr>
          <w:rPr>
            <w:rFonts w:asciiTheme="majorBidi" w:hAnsiTheme="majorBidi" w:cstheme="majorBidi"/>
            <w:sz w:val="24"/>
            <w:szCs w:val="24"/>
          </w:rPr>
          <w:id w:val="166165513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Bur181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(Burke, Dowling, &amp; Wei,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32DAEB61" w14:textId="127D36D4" w:rsidR="00395741" w:rsidRPr="009F574A" w:rsidRDefault="00153EE6" w:rsidP="009F574A">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In addition, there are some other general disagreements concerning when or how the halo effect happens. Early researchers identified certain features of candidates who are more </w:t>
      </w:r>
      <w:bookmarkStart w:id="123" w:name="_Hlk134217451"/>
      <w:r>
        <w:rPr>
          <w:rFonts w:asciiTheme="majorBidi" w:hAnsiTheme="majorBidi" w:cstheme="majorBidi"/>
          <w:sz w:val="24"/>
          <w:szCs w:val="24"/>
        </w:rPr>
        <w:t>likely to be affected by the halo effect</w:t>
      </w:r>
      <w:sdt>
        <w:sdtPr>
          <w:rPr>
            <w:rFonts w:asciiTheme="majorBidi" w:hAnsiTheme="majorBidi" w:cstheme="majorBidi"/>
            <w:sz w:val="24"/>
            <w:szCs w:val="24"/>
          </w:rPr>
          <w:id w:val="482127996"/>
          <w:citation/>
        </w:sdtPr>
        <w:sdtContent>
          <w:r w:rsidR="00CE24A3">
            <w:rPr>
              <w:rFonts w:asciiTheme="majorBidi" w:hAnsiTheme="majorBidi" w:cstheme="majorBidi"/>
              <w:sz w:val="24"/>
              <w:szCs w:val="24"/>
            </w:rPr>
            <w:fldChar w:fldCharType="begin"/>
          </w:r>
          <w:r w:rsidR="00CE24A3">
            <w:rPr>
              <w:rFonts w:asciiTheme="majorBidi" w:hAnsiTheme="majorBidi" w:cstheme="majorBidi"/>
              <w:sz w:val="24"/>
              <w:szCs w:val="24"/>
            </w:rPr>
            <w:instrText xml:space="preserve"> CITATION Bec78 \l 2057  \m Jam77</w:instrText>
          </w:r>
          <w:r w:rsidR="00CE24A3">
            <w:rPr>
              <w:rFonts w:asciiTheme="majorBidi" w:hAnsiTheme="majorBidi" w:cstheme="majorBidi"/>
              <w:sz w:val="24"/>
              <w:szCs w:val="24"/>
            </w:rPr>
            <w:fldChar w:fldCharType="separate"/>
          </w:r>
          <w:r w:rsidR="00CE24A3">
            <w:rPr>
              <w:rFonts w:asciiTheme="majorBidi" w:hAnsiTheme="majorBidi" w:cstheme="majorBidi"/>
              <w:noProof/>
              <w:sz w:val="24"/>
              <w:szCs w:val="24"/>
            </w:rPr>
            <w:t xml:space="preserve"> </w:t>
          </w:r>
          <w:r w:rsidR="00CE24A3" w:rsidRPr="000F60CD">
            <w:rPr>
              <w:rFonts w:asciiTheme="majorBidi" w:hAnsiTheme="majorBidi" w:cstheme="majorBidi"/>
              <w:noProof/>
              <w:sz w:val="24"/>
              <w:szCs w:val="24"/>
            </w:rPr>
            <w:t>(Beckwith, Kassarjian, &amp; Lehmann, 1978; James &amp; Carter, 1977)</w:t>
          </w:r>
          <w:r w:rsidR="00CE24A3">
            <w:rPr>
              <w:rFonts w:asciiTheme="majorBidi" w:hAnsiTheme="majorBidi" w:cstheme="majorBidi"/>
              <w:sz w:val="24"/>
              <w:szCs w:val="24"/>
            </w:rPr>
            <w:fldChar w:fldCharType="end"/>
          </w:r>
        </w:sdtContent>
      </w:sdt>
      <w:r>
        <w:rPr>
          <w:rFonts w:asciiTheme="majorBidi" w:hAnsiTheme="majorBidi" w:cstheme="majorBidi"/>
          <w:sz w:val="24"/>
          <w:szCs w:val="24"/>
        </w:rPr>
        <w:t>. These features include the subjectivity of attributes towards the object and the degree of the popularity or familiarity with the object</w:t>
      </w:r>
      <w:sdt>
        <w:sdtPr>
          <w:rPr>
            <w:rFonts w:asciiTheme="majorBidi" w:hAnsiTheme="majorBidi" w:cstheme="majorBidi"/>
            <w:sz w:val="24"/>
            <w:szCs w:val="24"/>
          </w:rPr>
          <w:id w:val="22033461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Bec78 \l 2057  \m Jam77</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(Beckwith, Kassarjian, &amp; Lehmann, 1978; James &amp; Carter, 1977)</w:t>
          </w:r>
          <w:r>
            <w:rPr>
              <w:rFonts w:asciiTheme="majorBidi" w:hAnsiTheme="majorBidi" w:cstheme="majorBidi"/>
              <w:sz w:val="24"/>
              <w:szCs w:val="24"/>
            </w:rPr>
            <w:fldChar w:fldCharType="end"/>
          </w:r>
        </w:sdtContent>
      </w:sdt>
      <w:bookmarkEnd w:id="123"/>
      <w:r>
        <w:rPr>
          <w:rFonts w:asciiTheme="majorBidi" w:hAnsiTheme="majorBidi" w:cstheme="majorBidi"/>
          <w:sz w:val="24"/>
          <w:szCs w:val="24"/>
        </w:rPr>
        <w:t xml:space="preserve">. Additionally, the importance of the attribute, personal characteristics, and promotional strategies influence the degree of “haloing” </w:t>
      </w:r>
      <w:sdt>
        <w:sdtPr>
          <w:rPr>
            <w:rFonts w:asciiTheme="majorBidi" w:hAnsiTheme="majorBidi" w:cstheme="majorBidi"/>
            <w:sz w:val="24"/>
            <w:szCs w:val="24"/>
          </w:rPr>
          <w:id w:val="110893549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Bec78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(Beckwith, Kassarjian, &amp; Lehmann, 1978)</w:t>
          </w:r>
          <w:r>
            <w:rPr>
              <w:rFonts w:asciiTheme="majorBidi" w:hAnsiTheme="majorBidi" w:cstheme="majorBidi"/>
              <w:sz w:val="24"/>
              <w:szCs w:val="24"/>
            </w:rPr>
            <w:fldChar w:fldCharType="end"/>
          </w:r>
        </w:sdtContent>
      </w:sdt>
      <w:r>
        <w:rPr>
          <w:rFonts w:asciiTheme="majorBidi" w:hAnsiTheme="majorBidi" w:cstheme="majorBidi"/>
          <w:sz w:val="24"/>
          <w:szCs w:val="24"/>
        </w:rPr>
        <w:t>. To tackle the above discussed criticism, the context of this research focuse</w:t>
      </w:r>
      <w:r w:rsidR="00CE24A3">
        <w:rPr>
          <w:rFonts w:asciiTheme="majorBidi" w:hAnsiTheme="majorBidi" w:cstheme="majorBidi"/>
          <w:sz w:val="24"/>
          <w:szCs w:val="24"/>
        </w:rPr>
        <w:t>s</w:t>
      </w:r>
      <w:r>
        <w:rPr>
          <w:rFonts w:asciiTheme="majorBidi" w:hAnsiTheme="majorBidi" w:cstheme="majorBidi"/>
          <w:sz w:val="24"/>
          <w:szCs w:val="24"/>
        </w:rPr>
        <w:t xml:space="preserve"> on Egypt only. More importantly, the study</w:t>
      </w:r>
      <w:r w:rsidR="00CE24A3">
        <w:rPr>
          <w:rFonts w:asciiTheme="majorBidi" w:hAnsiTheme="majorBidi" w:cstheme="majorBidi"/>
          <w:sz w:val="24"/>
          <w:szCs w:val="24"/>
        </w:rPr>
        <w:t xml:space="preserve"> measures the indirect or halo effect of the CSR communication and media vehicle on brand attitudes and purchase intention</w:t>
      </w:r>
      <w:r>
        <w:rPr>
          <w:rFonts w:asciiTheme="majorBidi" w:hAnsiTheme="majorBidi" w:cstheme="majorBidi"/>
          <w:sz w:val="24"/>
          <w:szCs w:val="24"/>
        </w:rPr>
        <w:t>.</w:t>
      </w:r>
      <w:r w:rsidR="00CE24A3">
        <w:rPr>
          <w:rFonts w:asciiTheme="majorBidi" w:hAnsiTheme="majorBidi" w:cstheme="majorBidi"/>
          <w:sz w:val="24"/>
          <w:szCs w:val="24"/>
        </w:rPr>
        <w:t xml:space="preserve"> Additionally, </w:t>
      </w:r>
      <w:r w:rsidR="00DC0690">
        <w:rPr>
          <w:rFonts w:asciiTheme="majorBidi" w:hAnsiTheme="majorBidi" w:cstheme="majorBidi"/>
          <w:sz w:val="24"/>
          <w:szCs w:val="24"/>
        </w:rPr>
        <w:t xml:space="preserve">the study measures the halo effect of brand attitudes on purchase intention. </w:t>
      </w:r>
      <w:r>
        <w:rPr>
          <w:rFonts w:asciiTheme="majorBidi" w:hAnsiTheme="majorBidi" w:cstheme="majorBidi"/>
          <w:sz w:val="24"/>
          <w:szCs w:val="24"/>
        </w:rPr>
        <w:t xml:space="preserve"> </w:t>
      </w:r>
    </w:p>
    <w:p w14:paraId="7E85A3F6" w14:textId="0C83AEF0" w:rsidR="00153EE6" w:rsidRDefault="00153EE6" w:rsidP="00494340">
      <w:pPr>
        <w:adjustRightInd w:val="0"/>
        <w:spacing w:after="0" w:line="480" w:lineRule="auto"/>
        <w:rPr>
          <w:rFonts w:asciiTheme="majorBidi" w:hAnsiTheme="majorBidi" w:cstheme="majorBidi"/>
          <w:b/>
          <w:bCs/>
          <w:sz w:val="24"/>
          <w:szCs w:val="24"/>
        </w:rPr>
      </w:pPr>
      <w:r w:rsidRPr="002A3F0B">
        <w:rPr>
          <w:rFonts w:asciiTheme="majorBidi" w:hAnsiTheme="majorBidi" w:cstheme="majorBidi"/>
          <w:b/>
          <w:bCs/>
          <w:sz w:val="24"/>
          <w:szCs w:val="24"/>
        </w:rPr>
        <w:t>4.</w:t>
      </w:r>
      <w:r w:rsidR="00CF00C8">
        <w:rPr>
          <w:rFonts w:asciiTheme="majorBidi" w:hAnsiTheme="majorBidi" w:cstheme="majorBidi"/>
          <w:b/>
          <w:bCs/>
          <w:sz w:val="24"/>
          <w:szCs w:val="24"/>
        </w:rPr>
        <w:t>4</w:t>
      </w:r>
      <w:r w:rsidRPr="002A3F0B">
        <w:rPr>
          <w:rFonts w:asciiTheme="majorBidi" w:hAnsiTheme="majorBidi" w:cstheme="majorBidi"/>
          <w:b/>
          <w:bCs/>
          <w:sz w:val="24"/>
          <w:szCs w:val="24"/>
        </w:rPr>
        <w:t>.</w:t>
      </w:r>
      <w:r w:rsidR="0009171F">
        <w:rPr>
          <w:rFonts w:asciiTheme="majorBidi" w:hAnsiTheme="majorBidi" w:cstheme="majorBidi"/>
          <w:b/>
          <w:bCs/>
          <w:sz w:val="24"/>
          <w:szCs w:val="24"/>
        </w:rPr>
        <w:t>4</w:t>
      </w:r>
      <w:r>
        <w:rPr>
          <w:rFonts w:asciiTheme="majorBidi" w:hAnsiTheme="majorBidi" w:cstheme="majorBidi"/>
          <w:b/>
          <w:bCs/>
          <w:sz w:val="24"/>
          <w:szCs w:val="24"/>
        </w:rPr>
        <w:t xml:space="preserve"> Application</w:t>
      </w:r>
      <w:r w:rsidRPr="002A3F0B">
        <w:rPr>
          <w:rFonts w:asciiTheme="majorBidi" w:hAnsiTheme="majorBidi" w:cstheme="majorBidi"/>
          <w:b/>
          <w:bCs/>
          <w:sz w:val="24"/>
          <w:szCs w:val="24"/>
        </w:rPr>
        <w:t xml:space="preserve"> of </w:t>
      </w:r>
      <w:r>
        <w:rPr>
          <w:rFonts w:asciiTheme="majorBidi" w:hAnsiTheme="majorBidi" w:cstheme="majorBidi"/>
          <w:b/>
          <w:bCs/>
          <w:sz w:val="24"/>
          <w:szCs w:val="24"/>
        </w:rPr>
        <w:t>h</w:t>
      </w:r>
      <w:r w:rsidRPr="002A3F0B">
        <w:rPr>
          <w:rFonts w:asciiTheme="majorBidi" w:hAnsiTheme="majorBidi" w:cstheme="majorBidi"/>
          <w:b/>
          <w:bCs/>
          <w:sz w:val="24"/>
          <w:szCs w:val="24"/>
        </w:rPr>
        <w:t xml:space="preserve">alo effect </w:t>
      </w:r>
    </w:p>
    <w:p w14:paraId="3ABAE737" w14:textId="25F60B6B" w:rsidR="00FC2167" w:rsidRDefault="00153EE6" w:rsidP="00FC2167">
      <w:pPr>
        <w:adjustRightInd w:val="0"/>
        <w:spacing w:after="0" w:line="480" w:lineRule="auto"/>
        <w:ind w:firstLine="720"/>
        <w:rPr>
          <w:rFonts w:asciiTheme="majorBidi" w:hAnsiTheme="majorBidi" w:cstheme="majorBidi"/>
          <w:sz w:val="24"/>
          <w:szCs w:val="24"/>
        </w:rPr>
      </w:pPr>
      <w:r w:rsidRPr="006A4FD9">
        <w:rPr>
          <w:rFonts w:asciiTheme="majorBidi" w:hAnsiTheme="majorBidi" w:cstheme="majorBidi"/>
          <w:sz w:val="24"/>
          <w:szCs w:val="24"/>
        </w:rPr>
        <w:t>Some researchers assessed the halo effect by measuring the impact of different variables on the final outcome</w:t>
      </w:r>
      <w:sdt>
        <w:sdtPr>
          <w:rPr>
            <w:rFonts w:asciiTheme="majorBidi" w:hAnsiTheme="majorBidi" w:cstheme="majorBidi"/>
            <w:sz w:val="24"/>
            <w:szCs w:val="24"/>
          </w:rPr>
          <w:id w:val="-1389188743"/>
          <w:citation/>
        </w:sdtPr>
        <w:sdtContent>
          <w:r w:rsidRPr="006A4FD9">
            <w:rPr>
              <w:rFonts w:asciiTheme="majorBidi" w:hAnsiTheme="majorBidi" w:cstheme="majorBidi"/>
              <w:sz w:val="24"/>
              <w:szCs w:val="24"/>
            </w:rPr>
            <w:fldChar w:fldCharType="begin"/>
          </w:r>
          <w:r w:rsidRPr="006A4FD9">
            <w:rPr>
              <w:rFonts w:asciiTheme="majorBidi" w:hAnsiTheme="majorBidi" w:cstheme="majorBidi"/>
              <w:sz w:val="24"/>
              <w:szCs w:val="24"/>
            </w:rPr>
            <w:instrText xml:space="preserve"> CITATION Mar18 \l 2057 </w:instrText>
          </w:r>
          <w:r>
            <w:rPr>
              <w:rFonts w:asciiTheme="majorBidi" w:hAnsiTheme="majorBidi" w:cstheme="majorBidi"/>
              <w:sz w:val="24"/>
              <w:szCs w:val="24"/>
            </w:rPr>
            <w:instrText xml:space="preserve"> \m Ryd21</w:instrText>
          </w:r>
          <w:r w:rsidRPr="006A4FD9">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(Martig &amp; Bernauer, 2018; Rydgren &amp; Tyrberg, 2021)</w:t>
          </w:r>
          <w:r w:rsidRPr="006A4FD9">
            <w:rPr>
              <w:rFonts w:asciiTheme="majorBidi" w:hAnsiTheme="majorBidi" w:cstheme="majorBidi"/>
              <w:sz w:val="24"/>
              <w:szCs w:val="24"/>
            </w:rPr>
            <w:fldChar w:fldCharType="end"/>
          </w:r>
        </w:sdtContent>
      </w:sdt>
      <w:r w:rsidRPr="006A4FD9">
        <w:rPr>
          <w:rFonts w:asciiTheme="majorBidi" w:hAnsiTheme="majorBidi" w:cstheme="majorBidi"/>
          <w:sz w:val="24"/>
          <w:szCs w:val="24"/>
        </w:rPr>
        <w:t xml:space="preserve">. </w:t>
      </w:r>
      <w:bookmarkStart w:id="124" w:name="_Hlk134269359"/>
      <w:r w:rsidRPr="00FE39E7">
        <w:rPr>
          <w:rFonts w:asciiTheme="majorBidi" w:hAnsiTheme="majorBidi" w:cstheme="majorBidi"/>
          <w:sz w:val="24"/>
          <w:szCs w:val="24"/>
        </w:rPr>
        <w:t>For instance, by applying the</w:t>
      </w:r>
      <w:r w:rsidR="00DC0690">
        <w:rPr>
          <w:rFonts w:asciiTheme="majorBidi" w:hAnsiTheme="majorBidi" w:cstheme="majorBidi"/>
          <w:sz w:val="24"/>
          <w:szCs w:val="24"/>
        </w:rPr>
        <w:t xml:space="preserve"> SEM</w:t>
      </w:r>
      <w:r w:rsidRPr="00FE39E7">
        <w:rPr>
          <w:rFonts w:asciiTheme="majorBidi" w:hAnsiTheme="majorBidi" w:cstheme="majorBidi"/>
          <w:sz w:val="24"/>
          <w:szCs w:val="24"/>
        </w:rPr>
        <w:t xml:space="preserve">, Gatti et al. </w:t>
      </w:r>
      <w:sdt>
        <w:sdtPr>
          <w:rPr>
            <w:rFonts w:asciiTheme="majorBidi" w:hAnsiTheme="majorBidi" w:cstheme="majorBidi"/>
            <w:sz w:val="24"/>
            <w:szCs w:val="24"/>
          </w:rPr>
          <w:id w:val="-493575851"/>
          <w:citation/>
        </w:sdtPr>
        <w:sdtContent>
          <w:r w:rsidRPr="00FE39E7">
            <w:rPr>
              <w:rFonts w:asciiTheme="majorBidi" w:hAnsiTheme="majorBidi" w:cstheme="majorBidi"/>
              <w:sz w:val="24"/>
              <w:szCs w:val="24"/>
            </w:rPr>
            <w:fldChar w:fldCharType="begin"/>
          </w:r>
          <w:r w:rsidRPr="00FE39E7">
            <w:rPr>
              <w:rFonts w:asciiTheme="majorBidi" w:hAnsiTheme="majorBidi" w:cstheme="majorBidi"/>
              <w:sz w:val="24"/>
              <w:szCs w:val="24"/>
            </w:rPr>
            <w:instrText xml:space="preserve">CITATION Gat12 \n  \t  \l 2057 </w:instrText>
          </w:r>
          <w:r w:rsidRPr="00FE39E7">
            <w:rPr>
              <w:rFonts w:asciiTheme="majorBidi" w:hAnsiTheme="majorBidi" w:cstheme="majorBidi"/>
              <w:sz w:val="24"/>
              <w:szCs w:val="24"/>
            </w:rPr>
            <w:fldChar w:fldCharType="separate"/>
          </w:r>
          <w:r w:rsidRPr="000F60CD">
            <w:rPr>
              <w:rFonts w:asciiTheme="majorBidi" w:hAnsiTheme="majorBidi" w:cstheme="majorBidi"/>
              <w:noProof/>
              <w:sz w:val="24"/>
              <w:szCs w:val="24"/>
            </w:rPr>
            <w:t>(2012)</w:t>
          </w:r>
          <w:r w:rsidRPr="00FE39E7">
            <w:rPr>
              <w:rFonts w:asciiTheme="majorBidi" w:hAnsiTheme="majorBidi" w:cstheme="majorBidi"/>
              <w:sz w:val="24"/>
              <w:szCs w:val="24"/>
            </w:rPr>
            <w:fldChar w:fldCharType="end"/>
          </w:r>
        </w:sdtContent>
      </w:sdt>
      <w:r w:rsidRPr="00FE39E7">
        <w:rPr>
          <w:rFonts w:asciiTheme="majorBidi" w:hAnsiTheme="majorBidi" w:cstheme="majorBidi"/>
          <w:sz w:val="24"/>
          <w:szCs w:val="24"/>
        </w:rPr>
        <w:t xml:space="preserve"> show</w:t>
      </w:r>
      <w:r>
        <w:rPr>
          <w:rFonts w:asciiTheme="majorBidi" w:hAnsiTheme="majorBidi" w:cstheme="majorBidi"/>
          <w:sz w:val="24"/>
          <w:szCs w:val="24"/>
        </w:rPr>
        <w:t>ed</w:t>
      </w:r>
      <w:r w:rsidRPr="00FE39E7">
        <w:rPr>
          <w:rFonts w:asciiTheme="majorBidi" w:hAnsiTheme="majorBidi" w:cstheme="majorBidi"/>
          <w:sz w:val="24"/>
          <w:szCs w:val="24"/>
        </w:rPr>
        <w:t xml:space="preserve"> that corporate reputation and CSR </w:t>
      </w:r>
      <w:r w:rsidR="00341C6B">
        <w:rPr>
          <w:rFonts w:asciiTheme="majorBidi" w:hAnsiTheme="majorBidi" w:cstheme="majorBidi"/>
          <w:sz w:val="24"/>
          <w:szCs w:val="24"/>
        </w:rPr>
        <w:t>have</w:t>
      </w:r>
      <w:r w:rsidRPr="00FE39E7">
        <w:rPr>
          <w:rFonts w:asciiTheme="majorBidi" w:hAnsiTheme="majorBidi" w:cstheme="majorBidi"/>
          <w:sz w:val="24"/>
          <w:szCs w:val="24"/>
        </w:rPr>
        <w:t xml:space="preserve"> a positive effect on purchase intention. </w:t>
      </w:r>
      <w:bookmarkEnd w:id="124"/>
      <w:r>
        <w:rPr>
          <w:rFonts w:asciiTheme="majorBidi" w:hAnsiTheme="majorBidi" w:cstheme="majorBidi"/>
          <w:sz w:val="24"/>
          <w:szCs w:val="24"/>
        </w:rPr>
        <w:t>It was also seen in literature that some</w:t>
      </w:r>
      <w:r w:rsidRPr="006A4FD9">
        <w:rPr>
          <w:rFonts w:asciiTheme="majorBidi" w:hAnsiTheme="majorBidi" w:cstheme="majorBidi"/>
          <w:sz w:val="24"/>
          <w:szCs w:val="24"/>
        </w:rPr>
        <w:t xml:space="preserve"> researchers examined the different effects of variables by using an analysis of variance using Pearson’s correlation to measure the effect of the main influence</w:t>
      </w:r>
      <w:r w:rsidRPr="00423679">
        <w:rPr>
          <w:rFonts w:asciiTheme="majorBidi" w:hAnsiTheme="majorBidi" w:cstheme="majorBidi"/>
          <w:sz w:val="24"/>
          <w:szCs w:val="24"/>
        </w:rPr>
        <w:t xml:space="preserve"> </w:t>
      </w:r>
      <w:sdt>
        <w:sdtPr>
          <w:rPr>
            <w:rFonts w:asciiTheme="majorBidi" w:hAnsiTheme="majorBidi" w:cstheme="majorBidi"/>
            <w:sz w:val="24"/>
            <w:szCs w:val="24"/>
          </w:rPr>
          <w:id w:val="-14358965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Gab21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(Gabrieli, Lee, Setoh, &amp; Esposito, 2021)</w:t>
          </w:r>
          <w:r>
            <w:rPr>
              <w:rFonts w:asciiTheme="majorBidi" w:hAnsiTheme="majorBidi" w:cstheme="majorBidi"/>
              <w:sz w:val="24"/>
              <w:szCs w:val="24"/>
            </w:rPr>
            <w:fldChar w:fldCharType="end"/>
          </w:r>
        </w:sdtContent>
      </w:sdt>
      <w:r w:rsidRPr="006A4FD9">
        <w:rPr>
          <w:rFonts w:asciiTheme="majorBidi" w:hAnsiTheme="majorBidi" w:cstheme="majorBidi"/>
          <w:sz w:val="24"/>
          <w:szCs w:val="24"/>
        </w:rPr>
        <w:t xml:space="preserve">. The strength of this effect </w:t>
      </w:r>
      <w:r>
        <w:rPr>
          <w:rFonts w:asciiTheme="majorBidi" w:hAnsiTheme="majorBidi" w:cstheme="majorBidi"/>
          <w:sz w:val="24"/>
          <w:szCs w:val="24"/>
        </w:rPr>
        <w:t>was</w:t>
      </w:r>
      <w:r w:rsidRPr="006A4FD9">
        <w:rPr>
          <w:rFonts w:asciiTheme="majorBidi" w:hAnsiTheme="majorBidi" w:cstheme="majorBidi"/>
          <w:sz w:val="24"/>
          <w:szCs w:val="24"/>
        </w:rPr>
        <w:t xml:space="preserve"> measured using z-test</w:t>
      </w:r>
      <w:r w:rsidRPr="00423679">
        <w:rPr>
          <w:rFonts w:asciiTheme="majorBidi" w:hAnsiTheme="majorBidi" w:cstheme="majorBidi"/>
          <w:sz w:val="24"/>
          <w:szCs w:val="24"/>
        </w:rPr>
        <w:t xml:space="preserve"> </w:t>
      </w:r>
      <w:sdt>
        <w:sdtPr>
          <w:rPr>
            <w:rFonts w:asciiTheme="majorBidi" w:hAnsiTheme="majorBidi" w:cstheme="majorBidi"/>
            <w:sz w:val="24"/>
            <w:szCs w:val="24"/>
          </w:rPr>
          <w:id w:val="15033710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Gab21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(Gabrieli, Lee, Setoh, &amp; Esposito, 2021)</w:t>
          </w:r>
          <w:r>
            <w:rPr>
              <w:rFonts w:asciiTheme="majorBidi" w:hAnsiTheme="majorBidi" w:cstheme="majorBidi"/>
              <w:sz w:val="24"/>
              <w:szCs w:val="24"/>
            </w:rPr>
            <w:fldChar w:fldCharType="end"/>
          </w:r>
        </w:sdtContent>
      </w:sdt>
      <w:r w:rsidRPr="006A4FD9">
        <w:rPr>
          <w:rFonts w:asciiTheme="majorBidi" w:hAnsiTheme="majorBidi" w:cstheme="majorBidi"/>
          <w:sz w:val="24"/>
          <w:szCs w:val="24"/>
        </w:rPr>
        <w:t>.</w:t>
      </w:r>
      <w:r>
        <w:rPr>
          <w:rFonts w:asciiTheme="majorBidi" w:hAnsiTheme="majorBidi" w:cstheme="majorBidi"/>
          <w:sz w:val="24"/>
          <w:szCs w:val="24"/>
        </w:rPr>
        <w:t xml:space="preserve"> Other researchers measured the halo effect using regression methods and by creating a </w:t>
      </w:r>
      <w:r w:rsidRPr="009F574A">
        <w:rPr>
          <w:rFonts w:asciiTheme="majorBidi" w:hAnsiTheme="majorBidi" w:cstheme="majorBidi"/>
          <w:sz w:val="24"/>
          <w:szCs w:val="24"/>
        </w:rPr>
        <w:t>halo effect variable that is measured separately</w:t>
      </w:r>
      <w:sdt>
        <w:sdtPr>
          <w:rPr>
            <w:rFonts w:asciiTheme="majorBidi" w:hAnsiTheme="majorBidi" w:cstheme="majorBidi"/>
            <w:sz w:val="24"/>
            <w:szCs w:val="24"/>
          </w:rPr>
          <w:id w:val="1659964692"/>
          <w:citation/>
        </w:sdtPr>
        <w:sdtContent>
          <w:r w:rsidRPr="009F574A">
            <w:rPr>
              <w:rFonts w:asciiTheme="majorBidi" w:hAnsiTheme="majorBidi" w:cstheme="majorBidi"/>
              <w:sz w:val="24"/>
              <w:szCs w:val="24"/>
            </w:rPr>
            <w:fldChar w:fldCharType="begin"/>
          </w:r>
          <w:r w:rsidRPr="009F574A">
            <w:rPr>
              <w:rFonts w:asciiTheme="majorBidi" w:hAnsiTheme="majorBidi" w:cstheme="majorBidi"/>
              <w:sz w:val="24"/>
              <w:szCs w:val="24"/>
            </w:rPr>
            <w:instrText xml:space="preserve"> CITATION Mil21 \l 2057 </w:instrText>
          </w:r>
          <w:r w:rsidRPr="009F574A">
            <w:rPr>
              <w:rFonts w:asciiTheme="majorBidi" w:hAnsiTheme="majorBidi" w:cstheme="majorBidi"/>
              <w:sz w:val="24"/>
              <w:szCs w:val="24"/>
            </w:rPr>
            <w:fldChar w:fldCharType="separate"/>
          </w:r>
          <w:r w:rsidRPr="009F574A">
            <w:rPr>
              <w:rFonts w:asciiTheme="majorBidi" w:hAnsiTheme="majorBidi" w:cstheme="majorBidi"/>
              <w:noProof/>
              <w:sz w:val="24"/>
              <w:szCs w:val="24"/>
            </w:rPr>
            <w:t xml:space="preserve"> (Miller &amp; Grubesic, 2021)</w:t>
          </w:r>
          <w:r w:rsidRPr="009F574A">
            <w:rPr>
              <w:rFonts w:asciiTheme="majorBidi" w:hAnsiTheme="majorBidi" w:cstheme="majorBidi"/>
              <w:sz w:val="24"/>
              <w:szCs w:val="24"/>
            </w:rPr>
            <w:fldChar w:fldCharType="end"/>
          </w:r>
        </w:sdtContent>
      </w:sdt>
      <w:r>
        <w:rPr>
          <w:rFonts w:asciiTheme="majorBidi" w:hAnsiTheme="majorBidi" w:cstheme="majorBidi"/>
          <w:sz w:val="24"/>
          <w:szCs w:val="24"/>
        </w:rPr>
        <w:t xml:space="preserve">. In this study, the halo effect is measured by estimating the regression coefficient of direct and indirect effects of the measured attributes and the independent variables. This is elaborated </w:t>
      </w:r>
      <w:r w:rsidR="00DC0690">
        <w:rPr>
          <w:rFonts w:asciiTheme="majorBidi" w:hAnsiTheme="majorBidi" w:cstheme="majorBidi"/>
          <w:sz w:val="24"/>
          <w:szCs w:val="24"/>
        </w:rPr>
        <w:t>i</w:t>
      </w:r>
      <w:r>
        <w:rPr>
          <w:rFonts w:asciiTheme="majorBidi" w:hAnsiTheme="majorBidi" w:cstheme="majorBidi"/>
          <w:sz w:val="24"/>
          <w:szCs w:val="24"/>
        </w:rPr>
        <w:t xml:space="preserve">n </w:t>
      </w:r>
      <w:r w:rsidR="00DC0690">
        <w:rPr>
          <w:rFonts w:asciiTheme="majorBidi" w:hAnsiTheme="majorBidi" w:cstheme="majorBidi"/>
          <w:sz w:val="24"/>
          <w:szCs w:val="24"/>
        </w:rPr>
        <w:t>more details</w:t>
      </w:r>
      <w:r>
        <w:rPr>
          <w:rFonts w:asciiTheme="majorBidi" w:hAnsiTheme="majorBidi" w:cstheme="majorBidi"/>
          <w:sz w:val="24"/>
          <w:szCs w:val="24"/>
        </w:rPr>
        <w:t xml:space="preserve"> in </w:t>
      </w:r>
      <w:r w:rsidR="00DC0690">
        <w:rPr>
          <w:rFonts w:asciiTheme="majorBidi" w:hAnsiTheme="majorBidi" w:cstheme="majorBidi"/>
          <w:sz w:val="24"/>
          <w:szCs w:val="24"/>
        </w:rPr>
        <w:t>chapter</w:t>
      </w:r>
      <w:r w:rsidR="009F574A">
        <w:rPr>
          <w:rFonts w:asciiTheme="majorBidi" w:hAnsiTheme="majorBidi" w:cstheme="majorBidi"/>
          <w:sz w:val="24"/>
          <w:szCs w:val="24"/>
        </w:rPr>
        <w:t xml:space="preserve"> 6</w:t>
      </w:r>
      <w:r>
        <w:rPr>
          <w:rFonts w:asciiTheme="majorBidi" w:hAnsiTheme="majorBidi" w:cstheme="majorBidi"/>
          <w:sz w:val="24"/>
          <w:szCs w:val="24"/>
        </w:rPr>
        <w:t xml:space="preserve">. </w:t>
      </w:r>
      <w:r w:rsidR="00FC2167">
        <w:rPr>
          <w:rFonts w:asciiTheme="majorBidi" w:hAnsiTheme="majorBidi" w:cstheme="majorBidi"/>
          <w:sz w:val="24"/>
          <w:szCs w:val="24"/>
        </w:rPr>
        <w:t xml:space="preserve"> Figure </w:t>
      </w:r>
      <w:r w:rsidR="0040301C">
        <w:rPr>
          <w:rFonts w:asciiTheme="majorBidi" w:hAnsiTheme="majorBidi" w:cstheme="majorBidi"/>
          <w:sz w:val="24"/>
          <w:szCs w:val="24"/>
        </w:rPr>
        <w:t>8</w:t>
      </w:r>
      <w:r w:rsidR="00FC2167">
        <w:rPr>
          <w:rFonts w:asciiTheme="majorBidi" w:hAnsiTheme="majorBidi" w:cstheme="majorBidi"/>
          <w:sz w:val="24"/>
          <w:szCs w:val="24"/>
        </w:rPr>
        <w:t xml:space="preserve"> shows the potential presence of halo effects between different variables measured in the study. </w:t>
      </w:r>
    </w:p>
    <w:p w14:paraId="1024B585" w14:textId="77777777" w:rsidR="0095546F" w:rsidRDefault="00FC2167" w:rsidP="0095546F">
      <w:pPr>
        <w:keepNext/>
        <w:adjustRightInd w:val="0"/>
        <w:spacing w:after="0" w:line="480" w:lineRule="auto"/>
        <w:ind w:firstLine="720"/>
      </w:pPr>
      <w:r w:rsidRPr="00FC2167">
        <w:rPr>
          <w:rFonts w:asciiTheme="majorBidi" w:hAnsiTheme="majorBidi" w:cstheme="majorBidi"/>
          <w:noProof/>
          <w:sz w:val="24"/>
          <w:szCs w:val="24"/>
        </w:rPr>
        <w:drawing>
          <wp:inline distT="0" distB="0" distL="0" distR="0" wp14:anchorId="7BEAE9C0" wp14:editId="46665848">
            <wp:extent cx="4016326" cy="1324240"/>
            <wp:effectExtent l="0" t="0" r="0" b="9525"/>
            <wp:docPr id="119303272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32729" name="Picture 5" descr="A black background with a black squar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237" cy="1331464"/>
                    </a:xfrm>
                    <a:prstGeom prst="rect">
                      <a:avLst/>
                    </a:prstGeom>
                    <a:noFill/>
                    <a:ln>
                      <a:noFill/>
                    </a:ln>
                  </pic:spPr>
                </pic:pic>
              </a:graphicData>
            </a:graphic>
          </wp:inline>
        </w:drawing>
      </w:r>
    </w:p>
    <w:p w14:paraId="67F00309" w14:textId="46967212" w:rsidR="00153EE6" w:rsidRDefault="0095546F" w:rsidP="0095546F">
      <w:pPr>
        <w:pStyle w:val="Caption"/>
        <w:rPr>
          <w:rFonts w:asciiTheme="majorBidi" w:hAnsiTheme="majorBidi" w:cstheme="majorBidi"/>
          <w:sz w:val="24"/>
          <w:szCs w:val="24"/>
        </w:rPr>
      </w:pPr>
      <w:r>
        <w:t>Figure 8</w:t>
      </w:r>
      <w:r w:rsidR="001E7FE8">
        <w:t xml:space="preserve"> </w:t>
      </w:r>
      <w:r w:rsidR="00341C6B">
        <w:t>t</w:t>
      </w:r>
      <w:r w:rsidR="001E7FE8">
        <w:t>he</w:t>
      </w:r>
      <w:r>
        <w:t xml:space="preserve"> possibility of halo effects </w:t>
      </w:r>
      <w:r w:rsidR="001E7FE8">
        <w:t xml:space="preserve">presented </w:t>
      </w:r>
      <w:r>
        <w:t>with dotted lines</w:t>
      </w:r>
    </w:p>
    <w:p w14:paraId="6A971A97" w14:textId="75567887" w:rsidR="00FC2167" w:rsidRDefault="00341C6B" w:rsidP="00DD383A">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P</w:t>
      </w:r>
      <w:r w:rsidR="00DA5A05">
        <w:rPr>
          <w:rFonts w:asciiTheme="majorBidi" w:hAnsiTheme="majorBidi" w:cstheme="majorBidi"/>
          <w:sz w:val="24"/>
          <w:szCs w:val="24"/>
        </w:rPr>
        <w:t xml:space="preserve">lenty of studies </w:t>
      </w:r>
      <w:r>
        <w:rPr>
          <w:rFonts w:asciiTheme="majorBidi" w:hAnsiTheme="majorBidi" w:cstheme="majorBidi"/>
          <w:sz w:val="24"/>
          <w:szCs w:val="24"/>
        </w:rPr>
        <w:t xml:space="preserve">have </w:t>
      </w:r>
      <w:r w:rsidR="00DA5A05">
        <w:rPr>
          <w:rFonts w:asciiTheme="majorBidi" w:hAnsiTheme="majorBidi" w:cstheme="majorBidi"/>
          <w:sz w:val="24"/>
          <w:szCs w:val="24"/>
        </w:rPr>
        <w:t>discover</w:t>
      </w:r>
      <w:r>
        <w:rPr>
          <w:rFonts w:asciiTheme="majorBidi" w:hAnsiTheme="majorBidi" w:cstheme="majorBidi"/>
          <w:sz w:val="24"/>
          <w:szCs w:val="24"/>
        </w:rPr>
        <w:t>ed</w:t>
      </w:r>
      <w:r w:rsidR="00DA5A05">
        <w:rPr>
          <w:rFonts w:asciiTheme="majorBidi" w:hAnsiTheme="majorBidi" w:cstheme="majorBidi"/>
          <w:sz w:val="24"/>
          <w:szCs w:val="24"/>
        </w:rPr>
        <w:t xml:space="preserve"> a halo effect on brand perceptions or purchase intentions through mediating variables</w:t>
      </w:r>
      <w:bookmarkStart w:id="125" w:name="_Hlk137386218"/>
      <w:sdt>
        <w:sdtPr>
          <w:rPr>
            <w:rFonts w:asciiTheme="majorBidi" w:hAnsiTheme="majorBidi" w:cstheme="majorBidi"/>
            <w:sz w:val="24"/>
            <w:szCs w:val="24"/>
          </w:rPr>
          <w:id w:val="1503939747"/>
          <w:citation/>
        </w:sdtPr>
        <w:sdtContent>
          <w:r w:rsidR="00A96444">
            <w:rPr>
              <w:rFonts w:asciiTheme="majorBidi" w:hAnsiTheme="majorBidi" w:cstheme="majorBidi"/>
              <w:sz w:val="24"/>
              <w:szCs w:val="24"/>
            </w:rPr>
            <w:fldChar w:fldCharType="begin"/>
          </w:r>
          <w:r w:rsidR="00A96444">
            <w:rPr>
              <w:rFonts w:asciiTheme="majorBidi" w:hAnsiTheme="majorBidi" w:cstheme="majorBidi"/>
              <w:sz w:val="24"/>
              <w:szCs w:val="24"/>
            </w:rPr>
            <w:instrText xml:space="preserve">CITATION Che212 \t  \m Loa22 \t  \l 2057 </w:instrText>
          </w:r>
          <w:r w:rsidR="00A96444">
            <w:rPr>
              <w:rFonts w:asciiTheme="majorBidi" w:hAnsiTheme="majorBidi" w:cstheme="majorBidi"/>
              <w:sz w:val="24"/>
              <w:szCs w:val="24"/>
            </w:rPr>
            <w:fldChar w:fldCharType="separate"/>
          </w:r>
          <w:r w:rsidR="00A96444">
            <w:rPr>
              <w:rFonts w:asciiTheme="majorBidi" w:hAnsiTheme="majorBidi" w:cstheme="majorBidi"/>
              <w:noProof/>
              <w:sz w:val="24"/>
              <w:szCs w:val="24"/>
            </w:rPr>
            <w:t xml:space="preserve"> </w:t>
          </w:r>
          <w:r w:rsidR="00A96444" w:rsidRPr="00A96444">
            <w:rPr>
              <w:rFonts w:asciiTheme="majorBidi" w:hAnsiTheme="majorBidi" w:cstheme="majorBidi"/>
              <w:noProof/>
              <w:sz w:val="24"/>
              <w:szCs w:val="24"/>
            </w:rPr>
            <w:t>(Chen, Gabrielyan, Shimizu, &amp; Qing, 2021; Loaiza-Ramírez, Moreno-Mantilla, &amp; Reimer, 2022)</w:t>
          </w:r>
          <w:r w:rsidR="00A96444">
            <w:rPr>
              <w:rFonts w:asciiTheme="majorBidi" w:hAnsiTheme="majorBidi" w:cstheme="majorBidi"/>
              <w:sz w:val="24"/>
              <w:szCs w:val="24"/>
            </w:rPr>
            <w:fldChar w:fldCharType="end"/>
          </w:r>
        </w:sdtContent>
      </w:sdt>
      <w:bookmarkEnd w:id="125"/>
      <w:r w:rsidR="00DA5A05">
        <w:rPr>
          <w:rFonts w:asciiTheme="majorBidi" w:hAnsiTheme="majorBidi" w:cstheme="majorBidi"/>
          <w:sz w:val="24"/>
          <w:szCs w:val="24"/>
        </w:rPr>
        <w:t>.</w:t>
      </w:r>
      <w:r w:rsidR="00464BA0">
        <w:rPr>
          <w:rFonts w:asciiTheme="majorBidi" w:hAnsiTheme="majorBidi" w:cstheme="majorBidi"/>
          <w:sz w:val="24"/>
          <w:szCs w:val="24"/>
        </w:rPr>
        <w:t xml:space="preserve"> For example,</w:t>
      </w:r>
      <w:r w:rsidR="00DA5A05">
        <w:rPr>
          <w:rFonts w:asciiTheme="majorBidi" w:hAnsiTheme="majorBidi" w:cstheme="majorBidi"/>
          <w:sz w:val="24"/>
          <w:szCs w:val="24"/>
        </w:rPr>
        <w:t xml:space="preserve"> </w:t>
      </w:r>
      <w:r w:rsidR="00464BA0">
        <w:rPr>
          <w:rFonts w:asciiTheme="majorBidi" w:hAnsiTheme="majorBidi" w:cstheme="majorBidi"/>
          <w:sz w:val="24"/>
          <w:szCs w:val="24"/>
        </w:rPr>
        <w:t>a</w:t>
      </w:r>
      <w:r w:rsidR="00153EE6">
        <w:rPr>
          <w:rFonts w:asciiTheme="majorBidi" w:hAnsiTheme="majorBidi" w:cstheme="majorBidi"/>
          <w:sz w:val="24"/>
          <w:szCs w:val="24"/>
        </w:rPr>
        <w:t xml:space="preserve"> study on 292 participants from different cultural backgrounds showed that the strength of the halo effect </w:t>
      </w:r>
      <w:r w:rsidR="00DD383A">
        <w:rPr>
          <w:rFonts w:asciiTheme="majorBidi" w:hAnsiTheme="majorBidi" w:cstheme="majorBidi"/>
          <w:sz w:val="24"/>
          <w:szCs w:val="24"/>
        </w:rPr>
        <w:t xml:space="preserve">on relationships between aesthetics and trustworthiness </w:t>
      </w:r>
      <w:r w:rsidR="00153EE6">
        <w:rPr>
          <w:rFonts w:asciiTheme="majorBidi" w:hAnsiTheme="majorBidi" w:cstheme="majorBidi"/>
          <w:sz w:val="24"/>
          <w:szCs w:val="24"/>
        </w:rPr>
        <w:t xml:space="preserve">is highly influenced by the </w:t>
      </w:r>
      <w:r w:rsidR="00DD383A">
        <w:rPr>
          <w:rFonts w:asciiTheme="majorBidi" w:hAnsiTheme="majorBidi" w:cstheme="majorBidi"/>
          <w:sz w:val="24"/>
          <w:szCs w:val="24"/>
        </w:rPr>
        <w:t xml:space="preserve">emotional </w:t>
      </w:r>
      <w:r w:rsidR="00153EE6">
        <w:rPr>
          <w:rFonts w:asciiTheme="majorBidi" w:hAnsiTheme="majorBidi" w:cstheme="majorBidi"/>
          <w:sz w:val="24"/>
          <w:szCs w:val="24"/>
        </w:rPr>
        <w:t xml:space="preserve">attachment styles </w:t>
      </w:r>
      <w:r w:rsidR="00DD383A">
        <w:rPr>
          <w:rFonts w:asciiTheme="majorBidi" w:hAnsiTheme="majorBidi" w:cstheme="majorBidi"/>
          <w:sz w:val="24"/>
          <w:szCs w:val="24"/>
        </w:rPr>
        <w:t xml:space="preserve">and demographics </w:t>
      </w:r>
      <w:r w:rsidR="00153EE6">
        <w:rPr>
          <w:rFonts w:asciiTheme="majorBidi" w:hAnsiTheme="majorBidi" w:cstheme="majorBidi"/>
          <w:sz w:val="24"/>
          <w:szCs w:val="24"/>
        </w:rPr>
        <w:t xml:space="preserve">of </w:t>
      </w:r>
      <w:r w:rsidR="00DD383A">
        <w:rPr>
          <w:rFonts w:asciiTheme="majorBidi" w:hAnsiTheme="majorBidi" w:cstheme="majorBidi"/>
          <w:sz w:val="24"/>
          <w:szCs w:val="24"/>
        </w:rPr>
        <w:t>individuals</w:t>
      </w:r>
      <w:r w:rsidR="00153EE6" w:rsidRPr="00D67AE7">
        <w:rPr>
          <w:rFonts w:asciiTheme="majorBidi" w:hAnsiTheme="majorBidi" w:cstheme="majorBidi"/>
          <w:sz w:val="24"/>
          <w:szCs w:val="24"/>
        </w:rPr>
        <w:t xml:space="preserve"> </w:t>
      </w:r>
      <w:sdt>
        <w:sdtPr>
          <w:rPr>
            <w:rFonts w:asciiTheme="majorBidi" w:hAnsiTheme="majorBidi" w:cstheme="majorBidi"/>
            <w:sz w:val="24"/>
            <w:szCs w:val="24"/>
          </w:rPr>
          <w:id w:val="-1028408490"/>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Gab21 \l 2057 </w:instrText>
          </w:r>
          <w:r w:rsidR="00153EE6">
            <w:rPr>
              <w:rFonts w:asciiTheme="majorBidi" w:hAnsiTheme="majorBidi" w:cstheme="majorBidi"/>
              <w:sz w:val="24"/>
              <w:szCs w:val="24"/>
            </w:rPr>
            <w:fldChar w:fldCharType="separate"/>
          </w:r>
          <w:r w:rsidR="00153EE6" w:rsidRPr="000F60CD">
            <w:rPr>
              <w:rFonts w:asciiTheme="majorBidi" w:hAnsiTheme="majorBidi" w:cstheme="majorBidi"/>
              <w:noProof/>
              <w:sz w:val="24"/>
              <w:szCs w:val="24"/>
            </w:rPr>
            <w:t>(Gabrieli, Lee, Setoh, &amp; Esposito, 2021)</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w:t>
      </w:r>
      <w:r w:rsidR="00613DE4">
        <w:rPr>
          <w:rFonts w:asciiTheme="majorBidi" w:hAnsiTheme="majorBidi" w:cstheme="majorBidi"/>
          <w:sz w:val="24"/>
          <w:szCs w:val="24"/>
        </w:rPr>
        <w:t>It appears that</w:t>
      </w:r>
      <w:r w:rsidR="006317F3">
        <w:rPr>
          <w:rFonts w:asciiTheme="majorBidi" w:hAnsiTheme="majorBidi" w:cstheme="majorBidi"/>
          <w:sz w:val="24"/>
          <w:szCs w:val="24"/>
        </w:rPr>
        <w:t xml:space="preserve"> the</w:t>
      </w:r>
      <w:r w:rsidR="00613DE4">
        <w:rPr>
          <w:rFonts w:asciiTheme="majorBidi" w:hAnsiTheme="majorBidi" w:cstheme="majorBidi"/>
          <w:sz w:val="24"/>
          <w:szCs w:val="24"/>
        </w:rPr>
        <w:t xml:space="preserve"> participants’ internal thoughts or process (such as attachment styles </w:t>
      </w:r>
      <w:sdt>
        <w:sdtPr>
          <w:rPr>
            <w:rFonts w:asciiTheme="majorBidi" w:hAnsiTheme="majorBidi" w:cstheme="majorBidi"/>
            <w:sz w:val="24"/>
            <w:szCs w:val="24"/>
          </w:rPr>
          <w:id w:val="-1400355702"/>
          <w:citation/>
        </w:sdtPr>
        <w:sdtContent>
          <w:r w:rsidR="00613DE4">
            <w:rPr>
              <w:rFonts w:asciiTheme="majorBidi" w:hAnsiTheme="majorBidi" w:cstheme="majorBidi"/>
              <w:sz w:val="24"/>
              <w:szCs w:val="24"/>
            </w:rPr>
            <w:fldChar w:fldCharType="begin"/>
          </w:r>
          <w:r w:rsidR="00613DE4">
            <w:rPr>
              <w:rFonts w:asciiTheme="majorBidi" w:hAnsiTheme="majorBidi" w:cstheme="majorBidi"/>
              <w:sz w:val="24"/>
              <w:szCs w:val="24"/>
            </w:rPr>
            <w:instrText xml:space="preserve"> CITATION Gab21 \l 2057 </w:instrText>
          </w:r>
          <w:r w:rsidR="00613DE4">
            <w:rPr>
              <w:rFonts w:asciiTheme="majorBidi" w:hAnsiTheme="majorBidi" w:cstheme="majorBidi"/>
              <w:sz w:val="24"/>
              <w:szCs w:val="24"/>
            </w:rPr>
            <w:fldChar w:fldCharType="separate"/>
          </w:r>
          <w:r w:rsidR="00613DE4" w:rsidRPr="000F60CD">
            <w:rPr>
              <w:rFonts w:asciiTheme="majorBidi" w:hAnsiTheme="majorBidi" w:cstheme="majorBidi"/>
              <w:noProof/>
              <w:sz w:val="24"/>
              <w:szCs w:val="24"/>
            </w:rPr>
            <w:t>(Gabrieli, Lee, Setoh, &amp; Esposito, 2021)</w:t>
          </w:r>
          <w:r w:rsidR="00613DE4">
            <w:rPr>
              <w:rFonts w:asciiTheme="majorBidi" w:hAnsiTheme="majorBidi" w:cstheme="majorBidi"/>
              <w:sz w:val="24"/>
              <w:szCs w:val="24"/>
            </w:rPr>
            <w:fldChar w:fldCharType="end"/>
          </w:r>
        </w:sdtContent>
      </w:sdt>
      <w:r w:rsidR="00613DE4">
        <w:rPr>
          <w:rFonts w:asciiTheme="majorBidi" w:hAnsiTheme="majorBidi" w:cstheme="majorBidi"/>
          <w:sz w:val="24"/>
          <w:szCs w:val="24"/>
        </w:rPr>
        <w:t xml:space="preserve">) </w:t>
      </w:r>
      <w:r w:rsidR="00DD383A">
        <w:rPr>
          <w:rFonts w:asciiTheme="majorBidi" w:hAnsiTheme="majorBidi" w:cstheme="majorBidi"/>
          <w:sz w:val="24"/>
          <w:szCs w:val="24"/>
        </w:rPr>
        <w:t>has an effect on their perception of trustworthiness. Similarly, this study aims to explore if there is a</w:t>
      </w:r>
      <w:r w:rsidR="006317F3">
        <w:rPr>
          <w:rFonts w:asciiTheme="majorBidi" w:hAnsiTheme="majorBidi" w:cstheme="majorBidi"/>
          <w:sz w:val="24"/>
          <w:szCs w:val="24"/>
        </w:rPr>
        <w:t>n</w:t>
      </w:r>
      <w:r w:rsidR="00DD383A">
        <w:rPr>
          <w:rFonts w:asciiTheme="majorBidi" w:hAnsiTheme="majorBidi" w:cstheme="majorBidi"/>
          <w:sz w:val="24"/>
          <w:szCs w:val="24"/>
        </w:rPr>
        <w:t xml:space="preserve"> association between respondents who have high CSR perception and their attitudes towards the brand. </w:t>
      </w:r>
      <w:r w:rsidR="00153EE6">
        <w:rPr>
          <w:rFonts w:asciiTheme="majorBidi" w:hAnsiTheme="majorBidi" w:cstheme="majorBidi"/>
          <w:sz w:val="24"/>
          <w:szCs w:val="24"/>
        </w:rPr>
        <w:t xml:space="preserve">Therefore, the next section </w:t>
      </w:r>
      <w:r w:rsidR="006021BF">
        <w:rPr>
          <w:rFonts w:asciiTheme="majorBidi" w:hAnsiTheme="majorBidi" w:cstheme="majorBidi"/>
          <w:sz w:val="24"/>
          <w:szCs w:val="24"/>
        </w:rPr>
        <w:t>discusses</w:t>
      </w:r>
      <w:r w:rsidR="00153EE6">
        <w:rPr>
          <w:rFonts w:asciiTheme="majorBidi" w:hAnsiTheme="majorBidi" w:cstheme="majorBidi"/>
          <w:sz w:val="24"/>
          <w:szCs w:val="24"/>
        </w:rPr>
        <w:t xml:space="preserve"> the </w:t>
      </w:r>
      <w:r w:rsidR="00E43774">
        <w:rPr>
          <w:rFonts w:asciiTheme="majorBidi" w:hAnsiTheme="majorBidi" w:cstheme="majorBidi"/>
          <w:sz w:val="24"/>
          <w:szCs w:val="24"/>
        </w:rPr>
        <w:t xml:space="preserve">concept of value congruence </w:t>
      </w:r>
      <w:r w:rsidR="00DC0690">
        <w:rPr>
          <w:rFonts w:asciiTheme="majorBidi" w:hAnsiTheme="majorBidi" w:cstheme="majorBidi"/>
          <w:sz w:val="24"/>
          <w:szCs w:val="24"/>
        </w:rPr>
        <w:t xml:space="preserve">to examine </w:t>
      </w:r>
      <w:r w:rsidR="00DD383A">
        <w:rPr>
          <w:rFonts w:asciiTheme="majorBidi" w:hAnsiTheme="majorBidi" w:cstheme="majorBidi"/>
          <w:sz w:val="24"/>
          <w:szCs w:val="24"/>
        </w:rPr>
        <w:t xml:space="preserve">if there is </w:t>
      </w:r>
      <w:r w:rsidR="00DC0690">
        <w:rPr>
          <w:rFonts w:asciiTheme="majorBidi" w:hAnsiTheme="majorBidi" w:cstheme="majorBidi"/>
          <w:sz w:val="24"/>
          <w:szCs w:val="24"/>
        </w:rPr>
        <w:t>congruence between respondents’ CSR</w:t>
      </w:r>
      <w:r w:rsidR="00DD383A">
        <w:rPr>
          <w:rFonts w:asciiTheme="majorBidi" w:hAnsiTheme="majorBidi" w:cstheme="majorBidi"/>
          <w:sz w:val="24"/>
          <w:szCs w:val="24"/>
        </w:rPr>
        <w:t xml:space="preserve"> perception</w:t>
      </w:r>
      <w:r w:rsidR="00DC0690">
        <w:rPr>
          <w:rFonts w:asciiTheme="majorBidi" w:hAnsiTheme="majorBidi" w:cstheme="majorBidi"/>
          <w:sz w:val="24"/>
          <w:szCs w:val="24"/>
        </w:rPr>
        <w:t xml:space="preserve"> and</w:t>
      </w:r>
      <w:r w:rsidR="00E43774">
        <w:rPr>
          <w:rFonts w:asciiTheme="majorBidi" w:hAnsiTheme="majorBidi" w:cstheme="majorBidi"/>
          <w:sz w:val="24"/>
          <w:szCs w:val="24"/>
        </w:rPr>
        <w:t xml:space="preserve"> brand attitudes and</w:t>
      </w:r>
      <w:r w:rsidR="00DC0690">
        <w:rPr>
          <w:rFonts w:asciiTheme="majorBidi" w:hAnsiTheme="majorBidi" w:cstheme="majorBidi"/>
          <w:sz w:val="24"/>
          <w:szCs w:val="24"/>
        </w:rPr>
        <w:t xml:space="preserve"> purchase intention.</w:t>
      </w:r>
      <w:r w:rsidR="00FC2167">
        <w:rPr>
          <w:rFonts w:asciiTheme="majorBidi" w:hAnsiTheme="majorBidi" w:cstheme="majorBidi"/>
          <w:sz w:val="24"/>
          <w:szCs w:val="24"/>
        </w:rPr>
        <w:t xml:space="preserve"> </w:t>
      </w:r>
    </w:p>
    <w:p w14:paraId="171892F7" w14:textId="3ECF6B43" w:rsidR="00153EE6" w:rsidRDefault="00153EE6" w:rsidP="0003299D">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5</w:t>
      </w:r>
      <w:r>
        <w:rPr>
          <w:rFonts w:asciiTheme="majorBidi" w:hAnsiTheme="majorBidi" w:cstheme="majorBidi"/>
          <w:b/>
          <w:bCs/>
          <w:sz w:val="24"/>
          <w:szCs w:val="24"/>
        </w:rPr>
        <w:t xml:space="preserve"> </w:t>
      </w:r>
      <w:r w:rsidR="00863165">
        <w:rPr>
          <w:rFonts w:asciiTheme="majorBidi" w:hAnsiTheme="majorBidi" w:cstheme="majorBidi"/>
          <w:b/>
          <w:bCs/>
          <w:sz w:val="24"/>
          <w:szCs w:val="24"/>
        </w:rPr>
        <w:t xml:space="preserve">Value Congruence Concept </w:t>
      </w:r>
    </w:p>
    <w:p w14:paraId="13234BC1" w14:textId="39339FEA" w:rsidR="00153EE6" w:rsidRDefault="00803ED4" w:rsidP="007D4B50">
      <w:pPr>
        <w:spacing w:after="0" w:line="480" w:lineRule="auto"/>
        <w:rPr>
          <w:rFonts w:asciiTheme="majorBidi" w:hAnsiTheme="majorBidi" w:cstheme="majorBidi"/>
          <w:sz w:val="24"/>
          <w:szCs w:val="24"/>
        </w:rPr>
      </w:pPr>
      <w:r>
        <w:rPr>
          <w:rFonts w:asciiTheme="majorBidi" w:hAnsiTheme="majorBidi" w:cstheme="majorBidi"/>
          <w:sz w:val="24"/>
          <w:szCs w:val="24"/>
        </w:rPr>
        <w:tab/>
      </w:r>
      <w:r w:rsidR="00757612">
        <w:rPr>
          <w:rFonts w:asciiTheme="majorBidi" w:hAnsiTheme="majorBidi" w:cstheme="majorBidi"/>
          <w:sz w:val="24"/>
          <w:szCs w:val="24"/>
        </w:rPr>
        <w:t>Early researchers</w:t>
      </w:r>
      <w:r w:rsidR="00757612" w:rsidRPr="00B63EBF">
        <w:rPr>
          <w:rFonts w:asciiTheme="majorBidi" w:hAnsiTheme="majorBidi" w:cstheme="majorBidi"/>
          <w:sz w:val="24"/>
          <w:szCs w:val="24"/>
        </w:rPr>
        <w:t xml:space="preserve"> postulate</w:t>
      </w:r>
      <w:r w:rsidR="00757612">
        <w:rPr>
          <w:rFonts w:asciiTheme="majorBidi" w:hAnsiTheme="majorBidi" w:cstheme="majorBidi"/>
          <w:sz w:val="24"/>
          <w:szCs w:val="24"/>
        </w:rPr>
        <w:t>d</w:t>
      </w:r>
      <w:r w:rsidR="00757612" w:rsidRPr="00B63EBF">
        <w:rPr>
          <w:rFonts w:asciiTheme="majorBidi" w:hAnsiTheme="majorBidi" w:cstheme="majorBidi"/>
          <w:sz w:val="24"/>
          <w:szCs w:val="24"/>
        </w:rPr>
        <w:t xml:space="preserve"> that individuals seek congruency between their attitudes, beliefs, and </w:t>
      </w:r>
      <w:r w:rsidR="00757612">
        <w:rPr>
          <w:rFonts w:asciiTheme="majorBidi" w:hAnsiTheme="majorBidi" w:cstheme="majorBidi"/>
          <w:sz w:val="24"/>
          <w:szCs w:val="24"/>
        </w:rPr>
        <w:t>an object</w:t>
      </w:r>
      <w:r w:rsidR="00757612" w:rsidRPr="00B63EBF">
        <w:rPr>
          <w:rFonts w:asciiTheme="majorBidi" w:hAnsiTheme="majorBidi" w:cstheme="majorBidi"/>
          <w:sz w:val="24"/>
          <w:szCs w:val="24"/>
        </w:rPr>
        <w:t xml:space="preserve"> </w:t>
      </w:r>
      <w:sdt>
        <w:sdtPr>
          <w:rPr>
            <w:rFonts w:asciiTheme="majorBidi" w:hAnsiTheme="majorBidi" w:cstheme="majorBidi"/>
            <w:sz w:val="24"/>
            <w:szCs w:val="24"/>
          </w:rPr>
          <w:id w:val="281773648"/>
          <w:citation/>
        </w:sdtPr>
        <w:sdtContent>
          <w:r w:rsidR="00757612">
            <w:rPr>
              <w:rFonts w:asciiTheme="majorBidi" w:hAnsiTheme="majorBidi" w:cstheme="majorBidi"/>
              <w:sz w:val="24"/>
              <w:szCs w:val="24"/>
            </w:rPr>
            <w:fldChar w:fldCharType="begin"/>
          </w:r>
          <w:r w:rsidR="00757612">
            <w:rPr>
              <w:rFonts w:asciiTheme="majorBidi" w:hAnsiTheme="majorBidi" w:cstheme="majorBidi"/>
              <w:sz w:val="24"/>
              <w:szCs w:val="24"/>
            </w:rPr>
            <w:instrText xml:space="preserve"> CITATION Fes62 \l 2057  \m Osg23 \m Zaj60</w:instrText>
          </w:r>
          <w:r w:rsidR="00757612">
            <w:rPr>
              <w:rFonts w:asciiTheme="majorBidi" w:hAnsiTheme="majorBidi" w:cstheme="majorBidi"/>
              <w:sz w:val="24"/>
              <w:szCs w:val="24"/>
            </w:rPr>
            <w:fldChar w:fldCharType="separate"/>
          </w:r>
          <w:r w:rsidR="00757612" w:rsidRPr="00392E3A">
            <w:rPr>
              <w:rFonts w:asciiTheme="majorBidi" w:hAnsiTheme="majorBidi" w:cstheme="majorBidi"/>
              <w:noProof/>
              <w:sz w:val="24"/>
              <w:szCs w:val="24"/>
            </w:rPr>
            <w:t>(Festinger , 1962; Osgood &amp; Tannenbaum, 1955; Zajonc, 1960)</w:t>
          </w:r>
          <w:r w:rsidR="00757612">
            <w:rPr>
              <w:rFonts w:asciiTheme="majorBidi" w:hAnsiTheme="majorBidi" w:cstheme="majorBidi"/>
              <w:sz w:val="24"/>
              <w:szCs w:val="24"/>
            </w:rPr>
            <w:fldChar w:fldCharType="end"/>
          </w:r>
        </w:sdtContent>
      </w:sdt>
      <w:r w:rsidR="00757612">
        <w:rPr>
          <w:rFonts w:asciiTheme="majorBidi" w:hAnsiTheme="majorBidi" w:cstheme="majorBidi"/>
          <w:sz w:val="24"/>
          <w:szCs w:val="24"/>
        </w:rPr>
        <w:t xml:space="preserve"> and when they do, they will convey positive attitudes towards that object</w:t>
      </w:r>
      <w:sdt>
        <w:sdtPr>
          <w:rPr>
            <w:rFonts w:asciiTheme="majorBidi" w:hAnsiTheme="majorBidi" w:cstheme="majorBidi"/>
            <w:sz w:val="24"/>
            <w:szCs w:val="24"/>
          </w:rPr>
          <w:id w:val="-696538840"/>
          <w:citation/>
        </w:sdtPr>
        <w:sdtContent>
          <w:r w:rsidR="00757612">
            <w:rPr>
              <w:rFonts w:asciiTheme="majorBidi" w:hAnsiTheme="majorBidi" w:cstheme="majorBidi"/>
              <w:sz w:val="24"/>
              <w:szCs w:val="24"/>
            </w:rPr>
            <w:fldChar w:fldCharType="begin"/>
          </w:r>
          <w:r w:rsidR="00757612">
            <w:rPr>
              <w:rFonts w:asciiTheme="majorBidi" w:hAnsiTheme="majorBidi" w:cstheme="majorBidi"/>
              <w:sz w:val="24"/>
              <w:szCs w:val="24"/>
            </w:rPr>
            <w:instrText xml:space="preserve"> CITATION Lee14 \l 2057 </w:instrText>
          </w:r>
          <w:r w:rsidR="00757612">
            <w:rPr>
              <w:rFonts w:asciiTheme="majorBidi" w:hAnsiTheme="majorBidi" w:cstheme="majorBidi"/>
              <w:sz w:val="24"/>
              <w:szCs w:val="24"/>
            </w:rPr>
            <w:fldChar w:fldCharType="separate"/>
          </w:r>
          <w:r w:rsidR="00757612">
            <w:rPr>
              <w:rFonts w:asciiTheme="majorBidi" w:hAnsiTheme="majorBidi" w:cstheme="majorBidi"/>
              <w:noProof/>
              <w:sz w:val="24"/>
              <w:szCs w:val="24"/>
            </w:rPr>
            <w:t xml:space="preserve"> </w:t>
          </w:r>
          <w:r w:rsidR="00757612" w:rsidRPr="000F60CD">
            <w:rPr>
              <w:rFonts w:asciiTheme="majorBidi" w:hAnsiTheme="majorBidi" w:cstheme="majorBidi"/>
              <w:noProof/>
              <w:sz w:val="24"/>
              <w:szCs w:val="24"/>
            </w:rPr>
            <w:t>(Lee &amp; Jeong, 2014)</w:t>
          </w:r>
          <w:r w:rsidR="00757612">
            <w:rPr>
              <w:rFonts w:asciiTheme="majorBidi" w:hAnsiTheme="majorBidi" w:cstheme="majorBidi"/>
              <w:sz w:val="24"/>
              <w:szCs w:val="24"/>
            </w:rPr>
            <w:fldChar w:fldCharType="end"/>
          </w:r>
        </w:sdtContent>
      </w:sdt>
      <w:r w:rsidR="00757612">
        <w:rPr>
          <w:rFonts w:asciiTheme="majorBidi" w:hAnsiTheme="majorBidi" w:cstheme="majorBidi"/>
          <w:sz w:val="24"/>
          <w:szCs w:val="24"/>
        </w:rPr>
        <w:t xml:space="preserve">. </w:t>
      </w:r>
      <w:r w:rsidR="00A72424">
        <w:rPr>
          <w:rFonts w:asciiTheme="majorBidi" w:hAnsiTheme="majorBidi" w:cstheme="majorBidi"/>
          <w:sz w:val="24"/>
          <w:szCs w:val="24"/>
        </w:rPr>
        <w:t>Th</w:t>
      </w:r>
      <w:r w:rsidR="00757612">
        <w:rPr>
          <w:rFonts w:asciiTheme="majorBidi" w:hAnsiTheme="majorBidi" w:cstheme="majorBidi"/>
          <w:sz w:val="24"/>
          <w:szCs w:val="24"/>
        </w:rPr>
        <w:t>is</w:t>
      </w:r>
      <w:r w:rsidR="00A72424">
        <w:rPr>
          <w:rFonts w:asciiTheme="majorBidi" w:hAnsiTheme="majorBidi" w:cstheme="majorBidi"/>
          <w:sz w:val="24"/>
          <w:szCs w:val="24"/>
        </w:rPr>
        <w:t xml:space="preserve"> concept of congruence or fit has been thoroughly examined in multiple theories related to congruency, fit, or brand association. For instance, c</w:t>
      </w:r>
      <w:r w:rsidR="00153EE6" w:rsidRPr="00201546">
        <w:rPr>
          <w:rFonts w:asciiTheme="majorBidi" w:hAnsiTheme="majorBidi" w:cstheme="majorBidi"/>
          <w:sz w:val="24"/>
          <w:szCs w:val="24"/>
        </w:rPr>
        <w:t xml:space="preserve">ongruity theory </w:t>
      </w:r>
      <w:r w:rsidR="00153EE6">
        <w:rPr>
          <w:rFonts w:asciiTheme="majorBidi" w:hAnsiTheme="majorBidi" w:cstheme="majorBidi"/>
          <w:sz w:val="24"/>
          <w:szCs w:val="24"/>
        </w:rPr>
        <w:t>proposes</w:t>
      </w:r>
      <w:r w:rsidR="00153EE6" w:rsidRPr="00201546">
        <w:rPr>
          <w:rFonts w:asciiTheme="majorBidi" w:hAnsiTheme="majorBidi" w:cstheme="majorBidi"/>
          <w:sz w:val="24"/>
          <w:szCs w:val="24"/>
        </w:rPr>
        <w:t xml:space="preserve"> that</w:t>
      </w:r>
      <w:r w:rsidR="001A6A59">
        <w:rPr>
          <w:rFonts w:asciiTheme="majorBidi" w:hAnsiTheme="majorBidi" w:cstheme="majorBidi"/>
          <w:sz w:val="24"/>
          <w:szCs w:val="24"/>
        </w:rPr>
        <w:t>,</w:t>
      </w:r>
      <w:r w:rsidR="00153EE6" w:rsidRPr="00201546">
        <w:rPr>
          <w:rFonts w:asciiTheme="majorBidi" w:hAnsiTheme="majorBidi" w:cstheme="majorBidi"/>
          <w:sz w:val="24"/>
          <w:szCs w:val="24"/>
        </w:rPr>
        <w:t xml:space="preserve"> to minimi</w:t>
      </w:r>
      <w:r w:rsidR="00757612">
        <w:rPr>
          <w:rFonts w:asciiTheme="majorBidi" w:hAnsiTheme="majorBidi" w:cstheme="majorBidi"/>
          <w:sz w:val="24"/>
          <w:szCs w:val="24"/>
        </w:rPr>
        <w:t>s</w:t>
      </w:r>
      <w:r w:rsidR="00153EE6" w:rsidRPr="00201546">
        <w:rPr>
          <w:rFonts w:asciiTheme="majorBidi" w:hAnsiTheme="majorBidi" w:cstheme="majorBidi"/>
          <w:sz w:val="24"/>
          <w:szCs w:val="24"/>
        </w:rPr>
        <w:t xml:space="preserve">e the occurrence of cognitive dissonance, consumers tend to convey positive attitudes towards objects that they believe have values that are consistent with their individual beliefs </w:t>
      </w:r>
      <w:sdt>
        <w:sdtPr>
          <w:rPr>
            <w:rFonts w:asciiTheme="majorBidi" w:hAnsiTheme="majorBidi" w:cstheme="majorBidi"/>
            <w:sz w:val="24"/>
            <w:szCs w:val="24"/>
          </w:rPr>
          <w:id w:val="-1044065335"/>
          <w:citation/>
        </w:sdtPr>
        <w:sdtContent>
          <w:r w:rsidR="00153EE6" w:rsidRPr="00201546">
            <w:rPr>
              <w:rFonts w:asciiTheme="majorBidi" w:hAnsiTheme="majorBidi" w:cstheme="majorBidi"/>
              <w:sz w:val="24"/>
              <w:szCs w:val="24"/>
            </w:rPr>
            <w:fldChar w:fldCharType="begin"/>
          </w:r>
          <w:r w:rsidR="00153EE6" w:rsidRPr="00201546">
            <w:rPr>
              <w:rFonts w:asciiTheme="majorBidi" w:hAnsiTheme="majorBidi" w:cstheme="majorBidi"/>
              <w:sz w:val="24"/>
              <w:szCs w:val="24"/>
            </w:rPr>
            <w:instrText xml:space="preserve"> CITATION Osg23 \l 2057 </w:instrText>
          </w:r>
          <w:r w:rsidR="00153EE6" w:rsidRPr="00201546">
            <w:rPr>
              <w:rFonts w:asciiTheme="majorBidi" w:hAnsiTheme="majorBidi" w:cstheme="majorBidi"/>
              <w:sz w:val="24"/>
              <w:szCs w:val="24"/>
            </w:rPr>
            <w:fldChar w:fldCharType="separate"/>
          </w:r>
          <w:r w:rsidR="00153EE6" w:rsidRPr="000F60CD">
            <w:rPr>
              <w:rFonts w:asciiTheme="majorBidi" w:hAnsiTheme="majorBidi" w:cstheme="majorBidi"/>
              <w:noProof/>
              <w:sz w:val="24"/>
              <w:szCs w:val="24"/>
            </w:rPr>
            <w:t>(Osgood &amp; Tannenbaum, 1955)</w:t>
          </w:r>
          <w:r w:rsidR="00153EE6" w:rsidRPr="00201546">
            <w:rPr>
              <w:rFonts w:asciiTheme="majorBidi" w:hAnsiTheme="majorBidi" w:cstheme="majorBidi"/>
              <w:sz w:val="24"/>
              <w:szCs w:val="24"/>
            </w:rPr>
            <w:fldChar w:fldCharType="end"/>
          </w:r>
        </w:sdtContent>
      </w:sdt>
      <w:r w:rsidR="00153EE6" w:rsidRPr="00201546">
        <w:rPr>
          <w:rFonts w:asciiTheme="majorBidi" w:hAnsiTheme="majorBidi" w:cstheme="majorBidi"/>
          <w:sz w:val="24"/>
          <w:szCs w:val="24"/>
        </w:rPr>
        <w:t>.</w:t>
      </w:r>
      <w:r w:rsidR="00153EE6">
        <w:rPr>
          <w:rFonts w:asciiTheme="majorBidi" w:hAnsiTheme="majorBidi" w:cstheme="majorBidi"/>
          <w:sz w:val="24"/>
          <w:szCs w:val="24"/>
        </w:rPr>
        <w:t xml:space="preserve"> </w:t>
      </w:r>
      <w:r w:rsidR="00153EE6" w:rsidRPr="00F76B73">
        <w:rPr>
          <w:rFonts w:asciiTheme="majorBidi" w:hAnsiTheme="majorBidi" w:cstheme="majorBidi"/>
          <w:sz w:val="24"/>
          <w:szCs w:val="24"/>
        </w:rPr>
        <w:t xml:space="preserve">Cognitive dissonance state occurs when an individual’s behaviour conflicts with their self-perception </w:t>
      </w:r>
      <w:sdt>
        <w:sdtPr>
          <w:rPr>
            <w:rFonts w:asciiTheme="majorBidi" w:hAnsiTheme="majorBidi" w:cstheme="majorBidi"/>
            <w:sz w:val="24"/>
            <w:szCs w:val="24"/>
          </w:rPr>
          <w:id w:val="738142640"/>
          <w:citation/>
        </w:sdtPr>
        <w:sdtContent>
          <w:r w:rsidR="00153EE6" w:rsidRPr="00F76B73">
            <w:rPr>
              <w:rFonts w:asciiTheme="majorBidi" w:hAnsiTheme="majorBidi" w:cstheme="majorBidi"/>
              <w:sz w:val="24"/>
              <w:szCs w:val="24"/>
            </w:rPr>
            <w:fldChar w:fldCharType="begin"/>
          </w:r>
          <w:r w:rsidR="00153EE6" w:rsidRPr="00F76B73">
            <w:rPr>
              <w:rFonts w:asciiTheme="majorBidi" w:hAnsiTheme="majorBidi" w:cstheme="majorBidi"/>
              <w:sz w:val="24"/>
              <w:szCs w:val="24"/>
            </w:rPr>
            <w:instrText xml:space="preserve"> CITATION Aro68 \l 2057 </w:instrText>
          </w:r>
          <w:r w:rsidR="00153EE6" w:rsidRPr="00F76B73">
            <w:rPr>
              <w:rFonts w:asciiTheme="majorBidi" w:hAnsiTheme="majorBidi" w:cstheme="majorBidi"/>
              <w:sz w:val="24"/>
              <w:szCs w:val="24"/>
            </w:rPr>
            <w:fldChar w:fldCharType="separate"/>
          </w:r>
          <w:r w:rsidR="00153EE6" w:rsidRPr="00F76B73">
            <w:rPr>
              <w:rFonts w:asciiTheme="majorBidi" w:hAnsiTheme="majorBidi" w:cstheme="majorBidi"/>
              <w:noProof/>
              <w:sz w:val="24"/>
              <w:szCs w:val="24"/>
            </w:rPr>
            <w:t>(Aronson, 1968)</w:t>
          </w:r>
          <w:r w:rsidR="00153EE6" w:rsidRPr="00F76B73">
            <w:rPr>
              <w:rFonts w:asciiTheme="majorBidi" w:hAnsiTheme="majorBidi" w:cstheme="majorBidi"/>
              <w:sz w:val="24"/>
              <w:szCs w:val="24"/>
            </w:rPr>
            <w:fldChar w:fldCharType="end"/>
          </w:r>
        </w:sdtContent>
      </w:sdt>
      <w:r w:rsidR="00153EE6" w:rsidRPr="00F76B73">
        <w:rPr>
          <w:rFonts w:asciiTheme="majorBidi" w:hAnsiTheme="majorBidi" w:cstheme="majorBidi"/>
          <w:sz w:val="24"/>
          <w:szCs w:val="24"/>
        </w:rPr>
        <w:t>.</w:t>
      </w:r>
      <w:r w:rsidR="00613DE4">
        <w:rPr>
          <w:rFonts w:asciiTheme="majorBidi" w:hAnsiTheme="majorBidi" w:cstheme="majorBidi"/>
          <w:sz w:val="24"/>
          <w:szCs w:val="24"/>
        </w:rPr>
        <w:t xml:space="preserve"> </w:t>
      </w:r>
      <w:r w:rsidR="00153EE6">
        <w:rPr>
          <w:rFonts w:asciiTheme="majorBidi" w:hAnsiTheme="majorBidi" w:cstheme="majorBidi"/>
          <w:sz w:val="24"/>
          <w:szCs w:val="24"/>
        </w:rPr>
        <w:t>There ha</w:t>
      </w:r>
      <w:r w:rsidR="006317F3">
        <w:rPr>
          <w:rFonts w:asciiTheme="majorBidi" w:hAnsiTheme="majorBidi" w:cstheme="majorBidi"/>
          <w:sz w:val="24"/>
          <w:szCs w:val="24"/>
        </w:rPr>
        <w:t>ve</w:t>
      </w:r>
      <w:r w:rsidR="00153EE6">
        <w:rPr>
          <w:rFonts w:asciiTheme="majorBidi" w:hAnsiTheme="majorBidi" w:cstheme="majorBidi"/>
          <w:sz w:val="24"/>
          <w:szCs w:val="24"/>
        </w:rPr>
        <w:t xml:space="preserve"> been plenty of studies that investigated the effect of congruity </w:t>
      </w:r>
      <w:r w:rsidR="00F33EEE">
        <w:rPr>
          <w:rFonts w:asciiTheme="majorBidi" w:hAnsiTheme="majorBidi" w:cstheme="majorBidi"/>
          <w:sz w:val="24"/>
          <w:szCs w:val="24"/>
        </w:rPr>
        <w:t>between</w:t>
      </w:r>
      <w:r w:rsidR="00153EE6">
        <w:rPr>
          <w:rFonts w:asciiTheme="majorBidi" w:hAnsiTheme="majorBidi" w:cstheme="majorBidi"/>
          <w:sz w:val="24"/>
          <w:szCs w:val="24"/>
        </w:rPr>
        <w:t xml:space="preserve"> </w:t>
      </w:r>
      <w:r w:rsidR="00F33EEE">
        <w:rPr>
          <w:rFonts w:asciiTheme="majorBidi" w:hAnsiTheme="majorBidi" w:cstheme="majorBidi"/>
          <w:sz w:val="24"/>
          <w:szCs w:val="24"/>
        </w:rPr>
        <w:t xml:space="preserve">customer-brand relationships and </w:t>
      </w:r>
      <w:r w:rsidR="00153EE6">
        <w:rPr>
          <w:rFonts w:asciiTheme="majorBidi" w:hAnsiTheme="majorBidi" w:cstheme="majorBidi"/>
          <w:sz w:val="24"/>
          <w:szCs w:val="24"/>
        </w:rPr>
        <w:t>consumption behaviour</w:t>
      </w:r>
      <w:bookmarkStart w:id="126" w:name="_Hlk145435354"/>
      <w:r w:rsidR="006C765D" w:rsidRPr="006C765D">
        <w:rPr>
          <w:rFonts w:asciiTheme="majorBidi" w:hAnsiTheme="majorBidi" w:cstheme="majorBidi"/>
          <w:sz w:val="24"/>
          <w:szCs w:val="24"/>
        </w:rPr>
        <w:t xml:space="preserve"> </w:t>
      </w:r>
      <w:sdt>
        <w:sdtPr>
          <w:rPr>
            <w:rFonts w:asciiTheme="majorBidi" w:hAnsiTheme="majorBidi" w:cstheme="majorBidi"/>
            <w:sz w:val="24"/>
            <w:szCs w:val="24"/>
          </w:rPr>
          <w:id w:val="-1087301230"/>
          <w:citation/>
        </w:sdtPr>
        <w:sdtContent>
          <w:r w:rsidR="006C765D">
            <w:rPr>
              <w:rFonts w:asciiTheme="majorBidi" w:hAnsiTheme="majorBidi" w:cstheme="majorBidi"/>
              <w:sz w:val="24"/>
              <w:szCs w:val="24"/>
            </w:rPr>
            <w:fldChar w:fldCharType="begin"/>
          </w:r>
          <w:r w:rsidR="006C765D">
            <w:rPr>
              <w:rFonts w:asciiTheme="majorBidi" w:hAnsiTheme="majorBidi" w:cstheme="majorBidi"/>
              <w:sz w:val="24"/>
              <w:szCs w:val="24"/>
            </w:rPr>
            <w:instrText>CITATION Bur21 \m Cza19 \t  \l 2057  \m Fra16 \m UlI18</w:instrText>
          </w:r>
          <w:r w:rsidR="006C765D">
            <w:rPr>
              <w:rFonts w:asciiTheme="majorBidi" w:hAnsiTheme="majorBidi" w:cstheme="majorBidi"/>
              <w:sz w:val="24"/>
              <w:szCs w:val="24"/>
            </w:rPr>
            <w:fldChar w:fldCharType="separate"/>
          </w:r>
          <w:r w:rsidR="006C765D" w:rsidRPr="00455914">
            <w:rPr>
              <w:rFonts w:asciiTheme="majorBidi" w:hAnsiTheme="majorBidi" w:cstheme="majorBidi"/>
              <w:noProof/>
              <w:sz w:val="24"/>
              <w:szCs w:val="24"/>
            </w:rPr>
            <w:t>(Burnasheva &amp; Suh, 2021; Czarnecka &amp; Schivinski, 2019; France, Merrilees, &amp; Miller , 2016; Ul Islam, Rahman, &amp; Hollebeek , 2018)</w:t>
          </w:r>
          <w:r w:rsidR="006C765D">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w:t>
      </w:r>
      <w:bookmarkEnd w:id="126"/>
      <w:r w:rsidR="00153EE6">
        <w:rPr>
          <w:rFonts w:asciiTheme="majorBidi" w:hAnsiTheme="majorBidi" w:cstheme="majorBidi"/>
          <w:sz w:val="24"/>
          <w:szCs w:val="24"/>
        </w:rPr>
        <w:t>A study on 488 Indian consumers used brand</w:t>
      </w:r>
      <w:r w:rsidR="00F33EEE">
        <w:rPr>
          <w:rFonts w:asciiTheme="majorBidi" w:hAnsiTheme="majorBidi" w:cstheme="majorBidi"/>
          <w:sz w:val="24"/>
          <w:szCs w:val="24"/>
        </w:rPr>
        <w:t xml:space="preserve"> attitudes</w:t>
      </w:r>
      <w:r w:rsidR="00153EE6">
        <w:rPr>
          <w:rFonts w:asciiTheme="majorBidi" w:hAnsiTheme="majorBidi" w:cstheme="majorBidi"/>
          <w:sz w:val="24"/>
          <w:szCs w:val="24"/>
        </w:rPr>
        <w:t xml:space="preserve">, such as brand loyalty, brand respect, and brand love to evaluate the </w:t>
      </w:r>
      <w:r w:rsidR="009A555F">
        <w:rPr>
          <w:rFonts w:asciiTheme="majorBidi" w:hAnsiTheme="majorBidi" w:cstheme="majorBidi"/>
          <w:sz w:val="24"/>
          <w:szCs w:val="24"/>
        </w:rPr>
        <w:t>congruency</w:t>
      </w:r>
      <w:r w:rsidR="00153EE6">
        <w:rPr>
          <w:rFonts w:asciiTheme="majorBidi" w:hAnsiTheme="majorBidi" w:cstheme="majorBidi"/>
          <w:sz w:val="24"/>
          <w:szCs w:val="24"/>
        </w:rPr>
        <w:t xml:space="preserve"> o</w:t>
      </w:r>
      <w:r w:rsidR="009A555F">
        <w:rPr>
          <w:rFonts w:asciiTheme="majorBidi" w:hAnsiTheme="majorBidi" w:cstheme="majorBidi"/>
          <w:sz w:val="24"/>
          <w:szCs w:val="24"/>
        </w:rPr>
        <w:t xml:space="preserve">f </w:t>
      </w:r>
      <w:r w:rsidR="00153EE6">
        <w:rPr>
          <w:rFonts w:asciiTheme="majorBidi" w:hAnsiTheme="majorBidi" w:cstheme="majorBidi"/>
          <w:sz w:val="24"/>
          <w:szCs w:val="24"/>
        </w:rPr>
        <w:t>consumer-brand attribution</w:t>
      </w:r>
      <w:sdt>
        <w:sdtPr>
          <w:rPr>
            <w:rFonts w:asciiTheme="majorBidi" w:hAnsiTheme="majorBidi" w:cstheme="majorBidi"/>
            <w:sz w:val="24"/>
            <w:szCs w:val="24"/>
          </w:rPr>
          <w:id w:val="1555814121"/>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Jac20 \l 2057 </w:instrText>
          </w:r>
          <w:r w:rsidR="00153EE6">
            <w:rPr>
              <w:rFonts w:asciiTheme="majorBidi" w:hAnsiTheme="majorBidi" w:cstheme="majorBidi"/>
              <w:sz w:val="24"/>
              <w:szCs w:val="24"/>
            </w:rPr>
            <w:fldChar w:fldCharType="separate"/>
          </w:r>
          <w:r w:rsidR="00153EE6">
            <w:rPr>
              <w:rFonts w:asciiTheme="majorBidi" w:hAnsiTheme="majorBidi" w:cstheme="majorBidi"/>
              <w:noProof/>
              <w:sz w:val="24"/>
              <w:szCs w:val="24"/>
            </w:rPr>
            <w:t xml:space="preserve"> </w:t>
          </w:r>
          <w:r w:rsidR="00153EE6" w:rsidRPr="000F60CD">
            <w:rPr>
              <w:rFonts w:asciiTheme="majorBidi" w:hAnsiTheme="majorBidi" w:cstheme="majorBidi"/>
              <w:noProof/>
              <w:sz w:val="24"/>
              <w:szCs w:val="24"/>
            </w:rPr>
            <w:t>(Jacob, Khanna, &amp; Rai, 2020)</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The results of the study confirmed a strong positive relationship between consumer-brand attribute and brand perception </w:t>
      </w:r>
      <w:sdt>
        <w:sdtPr>
          <w:rPr>
            <w:rFonts w:asciiTheme="majorBidi" w:hAnsiTheme="majorBidi" w:cstheme="majorBidi"/>
            <w:sz w:val="24"/>
            <w:szCs w:val="24"/>
          </w:rPr>
          <w:id w:val="-1134089311"/>
          <w:citation/>
        </w:sdtPr>
        <w:sdtContent>
          <w:r w:rsidR="00153EE6">
            <w:rPr>
              <w:rFonts w:asciiTheme="majorBidi" w:hAnsiTheme="majorBidi" w:cstheme="majorBidi"/>
              <w:sz w:val="24"/>
              <w:szCs w:val="24"/>
            </w:rPr>
            <w:fldChar w:fldCharType="begin"/>
          </w:r>
          <w:r w:rsidR="00153EE6">
            <w:rPr>
              <w:rFonts w:asciiTheme="majorBidi" w:hAnsiTheme="majorBidi" w:cstheme="majorBidi"/>
              <w:sz w:val="24"/>
              <w:szCs w:val="24"/>
            </w:rPr>
            <w:instrText xml:space="preserve"> CITATION Jac20 \l 2057 </w:instrText>
          </w:r>
          <w:r w:rsidR="00153EE6">
            <w:rPr>
              <w:rFonts w:asciiTheme="majorBidi" w:hAnsiTheme="majorBidi" w:cstheme="majorBidi"/>
              <w:sz w:val="24"/>
              <w:szCs w:val="24"/>
            </w:rPr>
            <w:fldChar w:fldCharType="separate"/>
          </w:r>
          <w:r w:rsidR="00153EE6" w:rsidRPr="000F60CD">
            <w:rPr>
              <w:rFonts w:asciiTheme="majorBidi" w:hAnsiTheme="majorBidi" w:cstheme="majorBidi"/>
              <w:noProof/>
              <w:sz w:val="24"/>
              <w:szCs w:val="24"/>
            </w:rPr>
            <w:t>(Jacob, Khanna, &amp; Rai, 2020)</w:t>
          </w:r>
          <w:r w:rsidR="00153EE6">
            <w:rPr>
              <w:rFonts w:asciiTheme="majorBidi" w:hAnsiTheme="majorBidi" w:cstheme="majorBidi"/>
              <w:sz w:val="24"/>
              <w:szCs w:val="24"/>
            </w:rPr>
            <w:fldChar w:fldCharType="end"/>
          </w:r>
        </w:sdtContent>
      </w:sdt>
      <w:r w:rsidR="00153EE6">
        <w:rPr>
          <w:rFonts w:asciiTheme="majorBidi" w:hAnsiTheme="majorBidi" w:cstheme="majorBidi"/>
          <w:sz w:val="24"/>
          <w:szCs w:val="24"/>
        </w:rPr>
        <w:t xml:space="preserve">. </w:t>
      </w:r>
    </w:p>
    <w:p w14:paraId="4348FE6D" w14:textId="061A7E7C" w:rsidR="002E6D83" w:rsidRPr="00805DC9" w:rsidRDefault="007E7990" w:rsidP="00FC77E6">
      <w:pPr>
        <w:spacing w:after="0" w:line="480" w:lineRule="auto"/>
        <w:rPr>
          <w:rFonts w:asciiTheme="majorBidi" w:hAnsiTheme="majorBidi" w:cstheme="majorBidi"/>
          <w:sz w:val="24"/>
          <w:szCs w:val="24"/>
        </w:rPr>
      </w:pPr>
      <w:r>
        <w:rPr>
          <w:rFonts w:asciiTheme="majorBidi" w:hAnsiTheme="majorBidi" w:cstheme="majorBidi"/>
          <w:sz w:val="24"/>
          <w:szCs w:val="24"/>
        </w:rPr>
        <w:tab/>
      </w:r>
      <w:r w:rsidR="0026424D">
        <w:rPr>
          <w:rFonts w:asciiTheme="majorBidi" w:hAnsiTheme="majorBidi" w:cstheme="majorBidi"/>
          <w:sz w:val="24"/>
          <w:szCs w:val="24"/>
        </w:rPr>
        <w:t>Inspired by the congruity theory, this study examine</w:t>
      </w:r>
      <w:r w:rsidR="00246438">
        <w:rPr>
          <w:rFonts w:asciiTheme="majorBidi" w:hAnsiTheme="majorBidi" w:cstheme="majorBidi"/>
          <w:sz w:val="24"/>
          <w:szCs w:val="24"/>
        </w:rPr>
        <w:t>s</w:t>
      </w:r>
      <w:r w:rsidR="0026424D">
        <w:rPr>
          <w:rFonts w:asciiTheme="majorBidi" w:hAnsiTheme="majorBidi" w:cstheme="majorBidi"/>
          <w:sz w:val="24"/>
          <w:szCs w:val="24"/>
        </w:rPr>
        <w:t xml:space="preserve"> </w:t>
      </w:r>
      <w:r w:rsidR="0026424D" w:rsidRPr="009F574A">
        <w:rPr>
          <w:rFonts w:asciiTheme="majorBidi" w:hAnsiTheme="majorBidi" w:cstheme="majorBidi"/>
          <w:sz w:val="24"/>
          <w:szCs w:val="24"/>
        </w:rPr>
        <w:t xml:space="preserve">the </w:t>
      </w:r>
      <w:r w:rsidR="00246438" w:rsidRPr="009F574A">
        <w:rPr>
          <w:rFonts w:asciiTheme="majorBidi" w:hAnsiTheme="majorBidi" w:cstheme="majorBidi"/>
          <w:sz w:val="24"/>
          <w:szCs w:val="24"/>
        </w:rPr>
        <w:t>concept of</w:t>
      </w:r>
      <w:r w:rsidR="0026424D" w:rsidRPr="009F574A">
        <w:rPr>
          <w:rFonts w:asciiTheme="majorBidi" w:hAnsiTheme="majorBidi" w:cstheme="majorBidi"/>
          <w:sz w:val="24"/>
          <w:szCs w:val="24"/>
        </w:rPr>
        <w:t xml:space="preserve"> congruence between respondents’ </w:t>
      </w:r>
      <w:r w:rsidR="00246438" w:rsidRPr="009F574A">
        <w:rPr>
          <w:rFonts w:asciiTheme="majorBidi" w:hAnsiTheme="majorBidi" w:cstheme="majorBidi"/>
          <w:sz w:val="24"/>
          <w:szCs w:val="24"/>
        </w:rPr>
        <w:t xml:space="preserve">CSR </w:t>
      </w:r>
      <w:r w:rsidR="0026424D" w:rsidRPr="009F574A">
        <w:rPr>
          <w:rFonts w:asciiTheme="majorBidi" w:hAnsiTheme="majorBidi" w:cstheme="majorBidi"/>
          <w:sz w:val="24"/>
          <w:szCs w:val="24"/>
        </w:rPr>
        <w:t xml:space="preserve">perceptions </w:t>
      </w:r>
      <w:r w:rsidR="00246438" w:rsidRPr="009F574A">
        <w:rPr>
          <w:rFonts w:asciiTheme="majorBidi" w:hAnsiTheme="majorBidi" w:cstheme="majorBidi"/>
          <w:sz w:val="24"/>
          <w:szCs w:val="24"/>
        </w:rPr>
        <w:t xml:space="preserve">of their ideal brand </w:t>
      </w:r>
      <w:r w:rsidR="0026424D" w:rsidRPr="009F574A">
        <w:rPr>
          <w:rFonts w:asciiTheme="majorBidi" w:hAnsiTheme="majorBidi" w:cstheme="majorBidi"/>
          <w:sz w:val="24"/>
          <w:szCs w:val="24"/>
        </w:rPr>
        <w:t xml:space="preserve">and their attitudes toward the brand. </w:t>
      </w:r>
      <w:r w:rsidR="00246438" w:rsidRPr="009F574A">
        <w:rPr>
          <w:rFonts w:asciiTheme="majorBidi" w:hAnsiTheme="majorBidi" w:cstheme="majorBidi"/>
          <w:sz w:val="24"/>
          <w:szCs w:val="24"/>
        </w:rPr>
        <w:t>Value congruence gauges how closely an individual or organisation shares values</w:t>
      </w:r>
      <w:r w:rsidR="00426639" w:rsidRPr="009F574A">
        <w:rPr>
          <w:rFonts w:asciiTheme="majorBidi" w:hAnsiTheme="majorBidi" w:cstheme="majorBidi"/>
          <w:sz w:val="24"/>
          <w:szCs w:val="24"/>
        </w:rPr>
        <w:t xml:space="preserve"> </w:t>
      </w:r>
      <w:sdt>
        <w:sdtPr>
          <w:rPr>
            <w:rFonts w:asciiTheme="majorBidi" w:hAnsiTheme="majorBidi" w:cstheme="majorBidi"/>
            <w:sz w:val="24"/>
            <w:szCs w:val="24"/>
          </w:rPr>
          <w:id w:val="1850910565"/>
          <w:citation/>
        </w:sdtPr>
        <w:sdtContent>
          <w:r w:rsidR="00506947" w:rsidRPr="009F574A">
            <w:rPr>
              <w:rFonts w:asciiTheme="majorBidi" w:hAnsiTheme="majorBidi" w:cstheme="majorBidi"/>
              <w:sz w:val="24"/>
              <w:szCs w:val="24"/>
            </w:rPr>
            <w:fldChar w:fldCharType="begin"/>
          </w:r>
          <w:r w:rsidR="00506947" w:rsidRPr="009F574A">
            <w:rPr>
              <w:rFonts w:asciiTheme="majorBidi" w:hAnsiTheme="majorBidi" w:cstheme="majorBidi"/>
              <w:sz w:val="24"/>
              <w:szCs w:val="24"/>
            </w:rPr>
            <w:instrText xml:space="preserve"> CITATION Kal99 \l 2057 </w:instrText>
          </w:r>
          <w:r w:rsidR="00506947" w:rsidRPr="009F574A">
            <w:rPr>
              <w:rFonts w:asciiTheme="majorBidi" w:hAnsiTheme="majorBidi" w:cstheme="majorBidi"/>
              <w:sz w:val="24"/>
              <w:szCs w:val="24"/>
            </w:rPr>
            <w:fldChar w:fldCharType="separate"/>
          </w:r>
          <w:r w:rsidR="00506947" w:rsidRPr="009F574A">
            <w:rPr>
              <w:rFonts w:asciiTheme="majorBidi" w:hAnsiTheme="majorBidi" w:cstheme="majorBidi"/>
              <w:noProof/>
              <w:sz w:val="24"/>
              <w:szCs w:val="24"/>
            </w:rPr>
            <w:t>(Kalliath, Bluedorn, &amp; Strube, 1999)</w:t>
          </w:r>
          <w:r w:rsidR="00506947" w:rsidRPr="009F574A">
            <w:rPr>
              <w:rFonts w:asciiTheme="majorBidi" w:hAnsiTheme="majorBidi" w:cstheme="majorBidi"/>
              <w:sz w:val="24"/>
              <w:szCs w:val="24"/>
            </w:rPr>
            <w:fldChar w:fldCharType="end"/>
          </w:r>
        </w:sdtContent>
      </w:sdt>
      <w:r w:rsidR="00CE69D5">
        <w:rPr>
          <w:rFonts w:asciiTheme="majorBidi" w:hAnsiTheme="majorBidi" w:cstheme="majorBidi"/>
          <w:sz w:val="24"/>
          <w:szCs w:val="24"/>
        </w:rPr>
        <w:t xml:space="preserve"> or similarities between personal and brand values</w:t>
      </w:r>
      <w:sdt>
        <w:sdtPr>
          <w:rPr>
            <w:rFonts w:asciiTheme="majorBidi" w:hAnsiTheme="majorBidi" w:cstheme="majorBidi"/>
            <w:sz w:val="24"/>
            <w:szCs w:val="24"/>
          </w:rPr>
          <w:id w:val="1263881691"/>
          <w:citation/>
        </w:sdtPr>
        <w:sdtContent>
          <w:r w:rsidR="00CE69D5">
            <w:rPr>
              <w:rFonts w:asciiTheme="majorBidi" w:hAnsiTheme="majorBidi" w:cstheme="majorBidi"/>
              <w:sz w:val="24"/>
              <w:szCs w:val="24"/>
            </w:rPr>
            <w:fldChar w:fldCharType="begin"/>
          </w:r>
          <w:r w:rsidR="00CE69D5">
            <w:rPr>
              <w:rFonts w:asciiTheme="majorBidi" w:hAnsiTheme="majorBidi" w:cstheme="majorBidi"/>
              <w:sz w:val="24"/>
              <w:szCs w:val="24"/>
            </w:rPr>
            <w:instrText xml:space="preserve"> CITATION Elb16 \l 2057 </w:instrText>
          </w:r>
          <w:r w:rsidR="00CE69D5">
            <w:rPr>
              <w:rFonts w:asciiTheme="majorBidi" w:hAnsiTheme="majorBidi" w:cstheme="majorBidi"/>
              <w:sz w:val="24"/>
              <w:szCs w:val="24"/>
            </w:rPr>
            <w:fldChar w:fldCharType="separate"/>
          </w:r>
          <w:r w:rsidR="00CE69D5">
            <w:rPr>
              <w:rFonts w:asciiTheme="majorBidi" w:hAnsiTheme="majorBidi" w:cstheme="majorBidi"/>
              <w:noProof/>
              <w:sz w:val="24"/>
              <w:szCs w:val="24"/>
            </w:rPr>
            <w:t xml:space="preserve"> </w:t>
          </w:r>
          <w:r w:rsidR="00CE69D5" w:rsidRPr="00CE69D5">
            <w:rPr>
              <w:rFonts w:asciiTheme="majorBidi" w:hAnsiTheme="majorBidi" w:cstheme="majorBidi"/>
              <w:noProof/>
              <w:sz w:val="24"/>
              <w:szCs w:val="24"/>
            </w:rPr>
            <w:t>(Elbedweihy, Jayawardhena, Elsharnouby, &amp; Elsharnouby, 2016)</w:t>
          </w:r>
          <w:r w:rsidR="00CE69D5">
            <w:rPr>
              <w:rFonts w:asciiTheme="majorBidi" w:hAnsiTheme="majorBidi" w:cstheme="majorBidi"/>
              <w:sz w:val="24"/>
              <w:szCs w:val="24"/>
            </w:rPr>
            <w:fldChar w:fldCharType="end"/>
          </w:r>
        </w:sdtContent>
      </w:sdt>
      <w:r>
        <w:rPr>
          <w:rFonts w:asciiTheme="majorBidi" w:hAnsiTheme="majorBidi" w:cstheme="majorBidi"/>
          <w:sz w:val="24"/>
          <w:szCs w:val="24"/>
        </w:rPr>
        <w:t>.</w:t>
      </w:r>
      <w:r w:rsidR="00CE69D5">
        <w:rPr>
          <w:rFonts w:asciiTheme="majorBidi" w:hAnsiTheme="majorBidi" w:cstheme="majorBidi"/>
          <w:sz w:val="24"/>
          <w:szCs w:val="24"/>
        </w:rPr>
        <w:t xml:space="preserve"> </w:t>
      </w:r>
      <w:r w:rsidR="00506947" w:rsidRPr="00D9766D">
        <w:rPr>
          <w:rFonts w:asciiTheme="majorBidi" w:hAnsiTheme="majorBidi" w:cstheme="majorBidi"/>
          <w:sz w:val="24"/>
          <w:szCs w:val="24"/>
        </w:rPr>
        <w:t>A plenty of studies in the marketing literature reflect</w:t>
      </w:r>
      <w:r w:rsidR="00D9766D">
        <w:rPr>
          <w:rFonts w:asciiTheme="majorBidi" w:hAnsiTheme="majorBidi" w:cstheme="majorBidi"/>
          <w:sz w:val="24"/>
          <w:szCs w:val="24"/>
        </w:rPr>
        <w:t>s</w:t>
      </w:r>
      <w:r w:rsidR="00506947" w:rsidRPr="00D9766D">
        <w:rPr>
          <w:rFonts w:asciiTheme="majorBidi" w:hAnsiTheme="majorBidi" w:cstheme="majorBidi"/>
          <w:sz w:val="24"/>
          <w:szCs w:val="24"/>
        </w:rPr>
        <w:t xml:space="preserve"> on the concept of value congruence </w:t>
      </w:r>
      <w:r w:rsidR="00506947" w:rsidRPr="00D9766D">
        <w:rPr>
          <w:rFonts w:asciiTheme="majorBidi" w:hAnsiTheme="majorBidi" w:cstheme="majorBidi"/>
          <w:sz w:val="24"/>
          <w:szCs w:val="24"/>
          <w:shd w:val="clear" w:color="auto" w:fill="FFFFFF"/>
        </w:rPr>
        <w:t>to explore consumer-company/brand relationships</w:t>
      </w:r>
      <w:r w:rsidR="00D9766D" w:rsidRPr="00D9766D">
        <w:rPr>
          <w:rFonts w:ascii="Timw" w:hAnsi="Timw"/>
          <w:sz w:val="24"/>
          <w:szCs w:val="24"/>
        </w:rPr>
        <w:t xml:space="preserve"> </w:t>
      </w:r>
      <w:sdt>
        <w:sdtPr>
          <w:rPr>
            <w:rFonts w:ascii="Timw" w:hAnsi="Timw"/>
            <w:sz w:val="24"/>
            <w:szCs w:val="24"/>
          </w:rPr>
          <w:id w:val="1211239154"/>
          <w:citation/>
        </w:sdtPr>
        <w:sdtContent>
          <w:r w:rsidR="00D9766D">
            <w:rPr>
              <w:rFonts w:ascii="Timw" w:hAnsi="Timw"/>
              <w:sz w:val="24"/>
              <w:szCs w:val="24"/>
            </w:rPr>
            <w:fldChar w:fldCharType="begin"/>
          </w:r>
          <w:r w:rsidR="00D9766D">
            <w:rPr>
              <w:rFonts w:ascii="Timw" w:hAnsi="Timw"/>
              <w:sz w:val="24"/>
              <w:szCs w:val="24"/>
            </w:rPr>
            <w:instrText xml:space="preserve"> CITATION Cza21 \l 2057  \m Lee141 \m You21 \m Zha08</w:instrText>
          </w:r>
          <w:r w:rsidR="00D9766D">
            <w:rPr>
              <w:rFonts w:ascii="Timw" w:hAnsi="Timw"/>
              <w:sz w:val="24"/>
              <w:szCs w:val="24"/>
            </w:rPr>
            <w:fldChar w:fldCharType="separate"/>
          </w:r>
          <w:r w:rsidR="00D9766D" w:rsidRPr="005E5A32">
            <w:rPr>
              <w:rFonts w:ascii="Timw" w:hAnsi="Timw"/>
              <w:noProof/>
              <w:sz w:val="24"/>
              <w:szCs w:val="24"/>
            </w:rPr>
            <w:t>(Czarnecka &amp; Schivinski, 2021; Lee &amp; Jeong, 2014; You &amp; Hon, 2021; Zhang &amp; Bloemer, 2008)</w:t>
          </w:r>
          <w:r w:rsidR="00D9766D">
            <w:rPr>
              <w:rFonts w:ascii="Timw" w:hAnsi="Timw"/>
              <w:sz w:val="24"/>
              <w:szCs w:val="24"/>
            </w:rPr>
            <w:fldChar w:fldCharType="end"/>
          </w:r>
        </w:sdtContent>
      </w:sdt>
      <w:r w:rsidR="00506947" w:rsidRPr="00D9766D">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It was found that value congruence has a positive impact on positive word of mouth</w:t>
      </w:r>
      <w:r w:rsidR="001D3CCD">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brand trust</w:t>
      </w:r>
      <w:r w:rsidR="007D4B50" w:rsidRPr="007D4B50">
        <w:rPr>
          <w:rFonts w:ascii="Timw" w:hAnsi="Timw"/>
          <w:sz w:val="24"/>
          <w:szCs w:val="24"/>
        </w:rPr>
        <w:t xml:space="preserve"> </w:t>
      </w:r>
      <w:sdt>
        <w:sdtPr>
          <w:rPr>
            <w:rFonts w:ascii="Timw" w:hAnsi="Timw"/>
            <w:sz w:val="24"/>
            <w:szCs w:val="24"/>
          </w:rPr>
          <w:id w:val="-899439636"/>
          <w:citation/>
        </w:sdtPr>
        <w:sdtContent>
          <w:r w:rsidR="007D4B50">
            <w:rPr>
              <w:rFonts w:ascii="Timw" w:hAnsi="Timw"/>
              <w:sz w:val="24"/>
              <w:szCs w:val="24"/>
            </w:rPr>
            <w:fldChar w:fldCharType="begin"/>
          </w:r>
          <w:r w:rsidR="007D4B50">
            <w:rPr>
              <w:rFonts w:ascii="Timw" w:hAnsi="Timw"/>
              <w:sz w:val="24"/>
              <w:szCs w:val="24"/>
            </w:rPr>
            <w:instrText xml:space="preserve"> CITATION You21 \l 2057 </w:instrText>
          </w:r>
          <w:r w:rsidR="007D4B50">
            <w:rPr>
              <w:rFonts w:ascii="Timw" w:hAnsi="Timw"/>
              <w:sz w:val="24"/>
              <w:szCs w:val="24"/>
            </w:rPr>
            <w:fldChar w:fldCharType="separate"/>
          </w:r>
          <w:r w:rsidR="007D4B50" w:rsidRPr="00FE6698">
            <w:rPr>
              <w:rFonts w:ascii="Timw" w:hAnsi="Timw"/>
              <w:noProof/>
              <w:sz w:val="24"/>
              <w:szCs w:val="24"/>
            </w:rPr>
            <w:t>(You &amp; Hon, 2021)</w:t>
          </w:r>
          <w:r w:rsidR="007D4B50">
            <w:rPr>
              <w:rFonts w:ascii="Timw" w:hAnsi="Timw"/>
              <w:sz w:val="24"/>
              <w:szCs w:val="24"/>
            </w:rPr>
            <w:fldChar w:fldCharType="end"/>
          </w:r>
        </w:sdtContent>
      </w:sdt>
      <w:r w:rsidR="001D3CCD">
        <w:rPr>
          <w:rFonts w:ascii="Timw" w:hAnsi="Timw"/>
          <w:sz w:val="24"/>
          <w:szCs w:val="24"/>
        </w:rPr>
        <w:t xml:space="preserve">, and </w:t>
      </w:r>
      <w:r w:rsidR="00805DC9">
        <w:rPr>
          <w:rFonts w:ascii="Timw" w:hAnsi="Timw"/>
          <w:sz w:val="24"/>
          <w:szCs w:val="24"/>
        </w:rPr>
        <w:t>customer-perceived brand identification</w:t>
      </w:r>
      <w:r w:rsidR="000F23A4" w:rsidRPr="000F23A4">
        <w:rPr>
          <w:rFonts w:asciiTheme="majorBidi" w:hAnsiTheme="majorBidi" w:cstheme="majorBidi"/>
          <w:sz w:val="24"/>
          <w:szCs w:val="24"/>
        </w:rPr>
        <w:t xml:space="preserve"> </w:t>
      </w:r>
      <w:sdt>
        <w:sdtPr>
          <w:rPr>
            <w:rFonts w:asciiTheme="majorBidi" w:hAnsiTheme="majorBidi" w:cstheme="majorBidi"/>
            <w:sz w:val="24"/>
            <w:szCs w:val="24"/>
          </w:rPr>
          <w:id w:val="631286667"/>
          <w:citation/>
        </w:sdtPr>
        <w:sdtContent>
          <w:r w:rsidR="000F23A4">
            <w:rPr>
              <w:rFonts w:asciiTheme="majorBidi" w:hAnsiTheme="majorBidi" w:cstheme="majorBidi"/>
              <w:sz w:val="24"/>
              <w:szCs w:val="24"/>
            </w:rPr>
            <w:fldChar w:fldCharType="begin"/>
          </w:r>
          <w:r w:rsidR="000F23A4">
            <w:rPr>
              <w:rFonts w:asciiTheme="majorBidi" w:hAnsiTheme="majorBidi" w:cstheme="majorBidi"/>
              <w:sz w:val="24"/>
              <w:szCs w:val="24"/>
            </w:rPr>
            <w:instrText xml:space="preserve">CITATION Rat22 \m Rat191 \t  \l 2057 </w:instrText>
          </w:r>
          <w:r w:rsidR="000F23A4">
            <w:rPr>
              <w:rFonts w:asciiTheme="majorBidi" w:hAnsiTheme="majorBidi" w:cstheme="majorBidi"/>
              <w:sz w:val="24"/>
              <w:szCs w:val="24"/>
            </w:rPr>
            <w:fldChar w:fldCharType="separate"/>
          </w:r>
          <w:r w:rsidR="000F23A4" w:rsidRPr="00020167">
            <w:rPr>
              <w:rFonts w:asciiTheme="majorBidi" w:hAnsiTheme="majorBidi" w:cstheme="majorBidi"/>
              <w:noProof/>
              <w:sz w:val="24"/>
              <w:szCs w:val="24"/>
            </w:rPr>
            <w:t>(Rather, et al., 2022; Rather &amp; Camilleri, 2019)</w:t>
          </w:r>
          <w:r w:rsidR="000F23A4">
            <w:rPr>
              <w:rFonts w:asciiTheme="majorBidi" w:hAnsiTheme="majorBidi" w:cstheme="majorBidi"/>
              <w:sz w:val="24"/>
              <w:szCs w:val="24"/>
            </w:rPr>
            <w:fldChar w:fldCharType="end"/>
          </w:r>
        </w:sdtContent>
      </w:sdt>
      <w:r>
        <w:rPr>
          <w:rFonts w:asciiTheme="majorBidi" w:hAnsiTheme="majorBidi" w:cstheme="majorBidi"/>
          <w:sz w:val="24"/>
          <w:szCs w:val="24"/>
          <w:shd w:val="clear" w:color="auto" w:fill="FFFFFF"/>
        </w:rPr>
        <w:t xml:space="preserve">. </w:t>
      </w:r>
      <w:r w:rsidR="007D4B50">
        <w:rPr>
          <w:rFonts w:asciiTheme="majorBidi" w:hAnsiTheme="majorBidi" w:cstheme="majorBidi"/>
          <w:sz w:val="24"/>
          <w:szCs w:val="24"/>
          <w:shd w:val="clear" w:color="auto" w:fill="FFFFFF"/>
        </w:rPr>
        <w:t xml:space="preserve">As established earlier, </w:t>
      </w:r>
      <w:r w:rsidR="002E6D83">
        <w:rPr>
          <w:rFonts w:asciiTheme="majorBidi" w:hAnsiTheme="majorBidi" w:cstheme="majorBidi"/>
          <w:sz w:val="24"/>
          <w:szCs w:val="24"/>
          <w:shd w:val="clear" w:color="auto" w:fill="FFFFFF"/>
        </w:rPr>
        <w:t>people tend to be cynical towards CSR communication</w:t>
      </w:r>
      <w:r w:rsidR="002E6D83" w:rsidRPr="002E6D83">
        <w:rPr>
          <w:rFonts w:ascii="Times New Roman" w:hAnsi="Times New Roman" w:cs="Times New Roman"/>
          <w:sz w:val="24"/>
          <w:szCs w:val="24"/>
        </w:rPr>
        <w:t xml:space="preserve"> </w:t>
      </w:r>
      <w:sdt>
        <w:sdtPr>
          <w:rPr>
            <w:rFonts w:ascii="Times New Roman" w:hAnsi="Times New Roman" w:cs="Times New Roman"/>
            <w:sz w:val="24"/>
            <w:szCs w:val="24"/>
          </w:rPr>
          <w:id w:val="-1618668669"/>
          <w:citation/>
        </w:sdtPr>
        <w:sdtContent>
          <w:r w:rsidR="002E6D83" w:rsidRPr="00D04716">
            <w:rPr>
              <w:rFonts w:ascii="Times New Roman" w:hAnsi="Times New Roman" w:cs="Times New Roman"/>
              <w:sz w:val="24"/>
              <w:szCs w:val="24"/>
            </w:rPr>
            <w:fldChar w:fldCharType="begin"/>
          </w:r>
          <w:r w:rsidR="002E6D83" w:rsidRPr="00D04716">
            <w:rPr>
              <w:rFonts w:ascii="Times New Roman" w:hAnsi="Times New Roman" w:cs="Times New Roman"/>
              <w:sz w:val="24"/>
              <w:szCs w:val="24"/>
            </w:rPr>
            <w:instrText xml:space="preserve"> CITATION Loc16 \l 2057 </w:instrText>
          </w:r>
          <w:r w:rsidR="002E6D83" w:rsidRPr="00D04716">
            <w:rPr>
              <w:rFonts w:ascii="Times New Roman" w:hAnsi="Times New Roman" w:cs="Times New Roman"/>
              <w:sz w:val="24"/>
              <w:szCs w:val="24"/>
            </w:rPr>
            <w:fldChar w:fldCharType="separate"/>
          </w:r>
          <w:r w:rsidR="002E6D83" w:rsidRPr="00D04716">
            <w:rPr>
              <w:rFonts w:ascii="Times New Roman" w:hAnsi="Times New Roman" w:cs="Times New Roman"/>
              <w:sz w:val="24"/>
              <w:szCs w:val="24"/>
            </w:rPr>
            <w:t>(Lock &amp; Seele, 2016)</w:t>
          </w:r>
          <w:r w:rsidR="002E6D83" w:rsidRPr="00D04716">
            <w:rPr>
              <w:rFonts w:ascii="Times New Roman" w:hAnsi="Times New Roman" w:cs="Times New Roman"/>
              <w:sz w:val="24"/>
              <w:szCs w:val="24"/>
            </w:rPr>
            <w:fldChar w:fldCharType="end"/>
          </w:r>
        </w:sdtContent>
      </w:sdt>
      <w:r w:rsidR="002E6D83">
        <w:rPr>
          <w:rFonts w:asciiTheme="majorBidi" w:hAnsiTheme="majorBidi" w:cstheme="majorBidi"/>
          <w:sz w:val="24"/>
          <w:szCs w:val="24"/>
          <w:shd w:val="clear" w:color="auto" w:fill="FFFFFF"/>
        </w:rPr>
        <w:t xml:space="preserve">. This makes the concept of value congruence </w:t>
      </w:r>
      <w:r w:rsidR="007D4B50">
        <w:rPr>
          <w:rFonts w:asciiTheme="majorBidi" w:hAnsiTheme="majorBidi" w:cstheme="majorBidi"/>
          <w:sz w:val="24"/>
          <w:szCs w:val="24"/>
          <w:shd w:val="clear" w:color="auto" w:fill="FFFFFF"/>
        </w:rPr>
        <w:t xml:space="preserve">important </w:t>
      </w:r>
      <w:r w:rsidR="002E6D83">
        <w:rPr>
          <w:rFonts w:asciiTheme="majorBidi" w:hAnsiTheme="majorBidi" w:cstheme="majorBidi"/>
          <w:sz w:val="24"/>
          <w:szCs w:val="24"/>
          <w:shd w:val="clear" w:color="auto" w:fill="FFFFFF"/>
        </w:rPr>
        <w:t>to inspect in this study</w:t>
      </w:r>
      <w:r w:rsidR="007D4B50">
        <w:rPr>
          <w:rFonts w:asciiTheme="majorBidi" w:hAnsiTheme="majorBidi" w:cstheme="majorBidi"/>
          <w:sz w:val="24"/>
          <w:szCs w:val="24"/>
          <w:shd w:val="clear" w:color="auto" w:fill="FFFFFF"/>
        </w:rPr>
        <w:t xml:space="preserve"> as it was proven that </w:t>
      </w:r>
      <w:r w:rsidR="007D4B50" w:rsidRPr="009F574A">
        <w:rPr>
          <w:rFonts w:asciiTheme="majorBidi" w:hAnsiTheme="majorBidi" w:cstheme="majorBidi"/>
          <w:sz w:val="24"/>
          <w:szCs w:val="24"/>
          <w:shd w:val="clear" w:color="auto" w:fill="FFFFFF"/>
        </w:rPr>
        <w:t>communication strategies that foster value congruence attempt to reduce uncertainty towards company’s communication</w:t>
      </w:r>
      <w:bookmarkStart w:id="127" w:name="_Hlk145521602"/>
      <w:r w:rsidR="002E6D83" w:rsidRPr="009F574A">
        <w:rPr>
          <w:rFonts w:asciiTheme="majorBidi" w:hAnsiTheme="majorBidi" w:cstheme="majorBidi"/>
          <w:sz w:val="24"/>
          <w:szCs w:val="24"/>
        </w:rPr>
        <w:t xml:space="preserve"> </w:t>
      </w:r>
      <w:sdt>
        <w:sdtPr>
          <w:rPr>
            <w:rFonts w:asciiTheme="majorBidi" w:hAnsiTheme="majorBidi" w:cstheme="majorBidi"/>
            <w:sz w:val="24"/>
            <w:szCs w:val="24"/>
          </w:rPr>
          <w:id w:val="-899681045"/>
          <w:citation/>
        </w:sdtPr>
        <w:sdtContent>
          <w:r w:rsidR="002E6D83" w:rsidRPr="009F574A">
            <w:rPr>
              <w:rFonts w:asciiTheme="majorBidi" w:hAnsiTheme="majorBidi" w:cstheme="majorBidi"/>
              <w:sz w:val="24"/>
              <w:szCs w:val="24"/>
            </w:rPr>
            <w:fldChar w:fldCharType="begin"/>
          </w:r>
          <w:r w:rsidR="002E6D83" w:rsidRPr="009F574A">
            <w:rPr>
              <w:rFonts w:asciiTheme="majorBidi" w:hAnsiTheme="majorBidi" w:cstheme="majorBidi"/>
              <w:sz w:val="24"/>
              <w:szCs w:val="24"/>
            </w:rPr>
            <w:instrText xml:space="preserve"> CITATION Cab04 \l 2057  \m Fis17 \m You21</w:instrText>
          </w:r>
          <w:r w:rsidR="002E6D83" w:rsidRPr="009F574A">
            <w:rPr>
              <w:rFonts w:asciiTheme="majorBidi" w:hAnsiTheme="majorBidi" w:cstheme="majorBidi"/>
              <w:sz w:val="24"/>
              <w:szCs w:val="24"/>
            </w:rPr>
            <w:fldChar w:fldCharType="separate"/>
          </w:r>
          <w:r w:rsidR="002E6D83" w:rsidRPr="009F574A">
            <w:rPr>
              <w:rFonts w:asciiTheme="majorBidi" w:hAnsiTheme="majorBidi" w:cstheme="majorBidi"/>
              <w:noProof/>
              <w:sz w:val="24"/>
              <w:szCs w:val="24"/>
            </w:rPr>
            <w:t>(Cable &amp; Edwards, 2004; Fischer, 2017; You &amp; Hon, 2021)</w:t>
          </w:r>
          <w:r w:rsidR="002E6D83" w:rsidRPr="009F574A">
            <w:rPr>
              <w:rFonts w:asciiTheme="majorBidi" w:hAnsiTheme="majorBidi" w:cstheme="majorBidi"/>
              <w:sz w:val="24"/>
              <w:szCs w:val="24"/>
            </w:rPr>
            <w:fldChar w:fldCharType="end"/>
          </w:r>
        </w:sdtContent>
      </w:sdt>
      <w:r w:rsidR="002E6D83" w:rsidRPr="009F574A">
        <w:rPr>
          <w:rFonts w:ascii="Timw" w:hAnsi="Timw"/>
          <w:sz w:val="24"/>
          <w:szCs w:val="24"/>
        </w:rPr>
        <w:t>.</w:t>
      </w:r>
    </w:p>
    <w:p w14:paraId="4C1DE76E" w14:textId="458769E8" w:rsidR="00153EE6" w:rsidRDefault="00805DC9" w:rsidP="00BB445E">
      <w:pPr>
        <w:spacing w:after="0" w:line="480" w:lineRule="auto"/>
        <w:rPr>
          <w:rFonts w:asciiTheme="majorBidi" w:hAnsiTheme="majorBidi" w:cstheme="majorBidi"/>
          <w:sz w:val="24"/>
          <w:szCs w:val="24"/>
        </w:rPr>
      </w:pPr>
      <w:r>
        <w:rPr>
          <w:rFonts w:ascii="Timw" w:hAnsi="Timw"/>
          <w:sz w:val="24"/>
          <w:szCs w:val="24"/>
        </w:rPr>
        <w:tab/>
      </w:r>
      <w:r w:rsidR="00CE6271">
        <w:rPr>
          <w:rFonts w:ascii="Timw" w:hAnsi="Timw"/>
          <w:sz w:val="24"/>
          <w:szCs w:val="24"/>
        </w:rPr>
        <w:t xml:space="preserve">Consumers general perception of CSR </w:t>
      </w:r>
      <w:r w:rsidR="001D3CCD">
        <w:rPr>
          <w:rFonts w:ascii="Timw" w:hAnsi="Timw"/>
          <w:sz w:val="24"/>
          <w:szCs w:val="24"/>
        </w:rPr>
        <w:t xml:space="preserve">can </w:t>
      </w:r>
      <w:r w:rsidR="00CE6271">
        <w:rPr>
          <w:rFonts w:ascii="Timw" w:hAnsi="Timw"/>
          <w:sz w:val="24"/>
          <w:szCs w:val="24"/>
        </w:rPr>
        <w:t xml:space="preserve">positively </w:t>
      </w:r>
      <w:r w:rsidR="001D3CCD">
        <w:rPr>
          <w:rFonts w:ascii="Timw" w:hAnsi="Timw"/>
          <w:sz w:val="24"/>
          <w:szCs w:val="24"/>
        </w:rPr>
        <w:t>influence</w:t>
      </w:r>
      <w:r w:rsidR="00CE6271">
        <w:rPr>
          <w:rFonts w:ascii="Timw" w:hAnsi="Timw"/>
          <w:sz w:val="24"/>
          <w:szCs w:val="24"/>
        </w:rPr>
        <w:t xml:space="preserve"> the relationship that consumers have with the company</w:t>
      </w:r>
      <w:r w:rsidR="007A7D72" w:rsidRPr="007A7D72">
        <w:rPr>
          <w:rFonts w:asciiTheme="majorBidi" w:hAnsiTheme="majorBidi" w:cstheme="majorBidi"/>
          <w:sz w:val="24"/>
          <w:szCs w:val="24"/>
        </w:rPr>
        <w:t xml:space="preserve"> </w:t>
      </w:r>
      <w:sdt>
        <w:sdtPr>
          <w:rPr>
            <w:rFonts w:asciiTheme="majorBidi" w:hAnsiTheme="majorBidi" w:cstheme="majorBidi"/>
            <w:sz w:val="24"/>
            <w:szCs w:val="24"/>
          </w:rPr>
          <w:id w:val="-2117600789"/>
          <w:citation/>
        </w:sdtPr>
        <w:sdtContent>
          <w:r w:rsidR="007A7D72" w:rsidRPr="00960696">
            <w:rPr>
              <w:rFonts w:asciiTheme="majorBidi" w:hAnsiTheme="majorBidi" w:cstheme="majorBidi"/>
              <w:sz w:val="24"/>
              <w:szCs w:val="24"/>
            </w:rPr>
            <w:fldChar w:fldCharType="begin"/>
          </w:r>
          <w:r w:rsidR="007A7D72" w:rsidRPr="00960696">
            <w:rPr>
              <w:rFonts w:asciiTheme="majorBidi" w:hAnsiTheme="majorBidi" w:cstheme="majorBidi"/>
              <w:sz w:val="24"/>
              <w:szCs w:val="24"/>
            </w:rPr>
            <w:instrText xml:space="preserve"> CITATION Gar171 \l 2057 </w:instrText>
          </w:r>
          <w:r w:rsidR="007A7D72">
            <w:rPr>
              <w:rFonts w:asciiTheme="majorBidi" w:hAnsiTheme="majorBidi" w:cstheme="majorBidi"/>
              <w:sz w:val="24"/>
              <w:szCs w:val="24"/>
            </w:rPr>
            <w:instrText xml:space="preserve"> \m Sen01</w:instrText>
          </w:r>
          <w:r w:rsidR="007A7D72" w:rsidRPr="00960696">
            <w:rPr>
              <w:rFonts w:asciiTheme="majorBidi" w:hAnsiTheme="majorBidi" w:cstheme="majorBidi"/>
              <w:sz w:val="24"/>
              <w:szCs w:val="24"/>
            </w:rPr>
            <w:fldChar w:fldCharType="separate"/>
          </w:r>
          <w:r w:rsidR="007A7D72" w:rsidRPr="00960696">
            <w:rPr>
              <w:rFonts w:asciiTheme="majorBidi" w:hAnsiTheme="majorBidi" w:cstheme="majorBidi"/>
              <w:noProof/>
              <w:sz w:val="24"/>
              <w:szCs w:val="24"/>
            </w:rPr>
            <w:t>(García-Jiménez, Ruiz-de-Maya, &amp; López-López, 2017; Sen &amp; Bhattacharya, 2001)</w:t>
          </w:r>
          <w:r w:rsidR="007A7D72" w:rsidRPr="00960696">
            <w:rPr>
              <w:rFonts w:asciiTheme="majorBidi" w:hAnsiTheme="majorBidi" w:cstheme="majorBidi"/>
              <w:sz w:val="24"/>
              <w:szCs w:val="24"/>
            </w:rPr>
            <w:fldChar w:fldCharType="end"/>
          </w:r>
        </w:sdtContent>
      </w:sdt>
      <w:r w:rsidR="00CE6271">
        <w:rPr>
          <w:rFonts w:ascii="Timw" w:hAnsi="Timw"/>
          <w:sz w:val="24"/>
          <w:szCs w:val="24"/>
        </w:rPr>
        <w:t xml:space="preserve">. </w:t>
      </w:r>
      <w:r w:rsidR="007D4B50">
        <w:rPr>
          <w:rFonts w:asciiTheme="majorBidi" w:hAnsiTheme="majorBidi" w:cstheme="majorBidi"/>
          <w:sz w:val="24"/>
          <w:szCs w:val="24"/>
          <w:shd w:val="clear" w:color="auto" w:fill="FFFFFF"/>
        </w:rPr>
        <w:t xml:space="preserve"> </w:t>
      </w:r>
      <w:bookmarkEnd w:id="127"/>
      <w:r w:rsidR="00426639">
        <w:rPr>
          <w:rFonts w:asciiTheme="majorBidi" w:hAnsiTheme="majorBidi" w:cstheme="majorBidi"/>
          <w:sz w:val="24"/>
          <w:szCs w:val="24"/>
        </w:rPr>
        <w:t>A couple of researchers developed a scale to measure value congruence in which the scale asked about respondents’ perception of similarit</w:t>
      </w:r>
      <w:r w:rsidR="00FC77E6">
        <w:rPr>
          <w:rFonts w:asciiTheme="majorBidi" w:hAnsiTheme="majorBidi" w:cstheme="majorBidi"/>
          <w:sz w:val="24"/>
          <w:szCs w:val="24"/>
        </w:rPr>
        <w:t xml:space="preserve">y </w:t>
      </w:r>
      <w:r w:rsidR="00426639">
        <w:rPr>
          <w:rFonts w:asciiTheme="majorBidi" w:hAnsiTheme="majorBidi" w:cstheme="majorBidi"/>
          <w:sz w:val="24"/>
          <w:szCs w:val="24"/>
        </w:rPr>
        <w:t xml:space="preserve">between the brand’s philosophies and their </w:t>
      </w:r>
      <w:r w:rsidR="00426639" w:rsidRPr="00FC77E6">
        <w:rPr>
          <w:rFonts w:asciiTheme="majorBidi" w:hAnsiTheme="majorBidi" w:cstheme="majorBidi"/>
          <w:sz w:val="24"/>
          <w:szCs w:val="24"/>
        </w:rPr>
        <w:t xml:space="preserve">own </w:t>
      </w:r>
      <w:sdt>
        <w:sdtPr>
          <w:rPr>
            <w:rFonts w:asciiTheme="majorBidi" w:hAnsiTheme="majorBidi" w:cstheme="majorBidi"/>
            <w:sz w:val="24"/>
            <w:szCs w:val="24"/>
          </w:rPr>
          <w:id w:val="-614675548"/>
          <w:citation/>
        </w:sdtPr>
        <w:sdtContent>
          <w:r w:rsidR="00426639" w:rsidRPr="00FC77E6">
            <w:rPr>
              <w:rFonts w:asciiTheme="majorBidi" w:hAnsiTheme="majorBidi" w:cstheme="majorBidi"/>
              <w:sz w:val="24"/>
              <w:szCs w:val="24"/>
            </w:rPr>
            <w:fldChar w:fldCharType="begin"/>
          </w:r>
          <w:r w:rsidR="00426639" w:rsidRPr="00FC77E6">
            <w:rPr>
              <w:rFonts w:asciiTheme="majorBidi" w:hAnsiTheme="majorBidi" w:cstheme="majorBidi"/>
              <w:sz w:val="24"/>
              <w:szCs w:val="24"/>
            </w:rPr>
            <w:instrText xml:space="preserve"> CITATION You21 \l 2057 </w:instrText>
          </w:r>
          <w:r w:rsidR="00426639" w:rsidRPr="00FC77E6">
            <w:rPr>
              <w:rFonts w:asciiTheme="majorBidi" w:hAnsiTheme="majorBidi" w:cstheme="majorBidi"/>
              <w:sz w:val="24"/>
              <w:szCs w:val="24"/>
            </w:rPr>
            <w:fldChar w:fldCharType="separate"/>
          </w:r>
          <w:r w:rsidR="00426639" w:rsidRPr="00FC77E6">
            <w:rPr>
              <w:rFonts w:asciiTheme="majorBidi" w:hAnsiTheme="majorBidi" w:cstheme="majorBidi"/>
              <w:noProof/>
              <w:sz w:val="24"/>
              <w:szCs w:val="24"/>
            </w:rPr>
            <w:t>(You &amp; Hon, 2021)</w:t>
          </w:r>
          <w:r w:rsidR="00426639" w:rsidRPr="00FC77E6">
            <w:rPr>
              <w:rFonts w:asciiTheme="majorBidi" w:hAnsiTheme="majorBidi" w:cstheme="majorBidi"/>
              <w:sz w:val="24"/>
              <w:szCs w:val="24"/>
            </w:rPr>
            <w:fldChar w:fldCharType="end"/>
          </w:r>
        </w:sdtContent>
      </w:sdt>
      <w:r w:rsidR="00426639">
        <w:rPr>
          <w:rFonts w:asciiTheme="majorBidi" w:hAnsiTheme="majorBidi" w:cstheme="majorBidi"/>
          <w:sz w:val="24"/>
          <w:szCs w:val="24"/>
        </w:rPr>
        <w:t>. However, to achieve the specific objectives of this study, this study asked respondents about their general perception of CSR from their desired brand and measure th</w:t>
      </w:r>
      <w:r w:rsidR="00D9766D">
        <w:rPr>
          <w:rFonts w:asciiTheme="majorBidi" w:hAnsiTheme="majorBidi" w:cstheme="majorBidi"/>
          <w:sz w:val="24"/>
          <w:szCs w:val="24"/>
        </w:rPr>
        <w:t>e congruent effect between this</w:t>
      </w:r>
      <w:r w:rsidR="00426639">
        <w:rPr>
          <w:rFonts w:asciiTheme="majorBidi" w:hAnsiTheme="majorBidi" w:cstheme="majorBidi"/>
          <w:sz w:val="24"/>
          <w:szCs w:val="24"/>
        </w:rPr>
        <w:t xml:space="preserve"> </w:t>
      </w:r>
      <w:r w:rsidR="00D9766D">
        <w:rPr>
          <w:rFonts w:asciiTheme="majorBidi" w:hAnsiTheme="majorBidi" w:cstheme="majorBidi"/>
          <w:sz w:val="24"/>
          <w:szCs w:val="24"/>
        </w:rPr>
        <w:t xml:space="preserve">personal </w:t>
      </w:r>
      <w:r w:rsidR="001D3CCD">
        <w:rPr>
          <w:rFonts w:asciiTheme="majorBidi" w:hAnsiTheme="majorBidi" w:cstheme="majorBidi"/>
          <w:sz w:val="24"/>
          <w:szCs w:val="24"/>
        </w:rPr>
        <w:t xml:space="preserve">CSR </w:t>
      </w:r>
      <w:r w:rsidR="00426639">
        <w:rPr>
          <w:rFonts w:asciiTheme="majorBidi" w:hAnsiTheme="majorBidi" w:cstheme="majorBidi"/>
          <w:sz w:val="24"/>
          <w:szCs w:val="24"/>
        </w:rPr>
        <w:t xml:space="preserve">perception </w:t>
      </w:r>
      <w:r w:rsidR="007E7990">
        <w:rPr>
          <w:rFonts w:asciiTheme="majorBidi" w:hAnsiTheme="majorBidi" w:cstheme="majorBidi"/>
          <w:sz w:val="24"/>
          <w:szCs w:val="24"/>
        </w:rPr>
        <w:t xml:space="preserve">and </w:t>
      </w:r>
      <w:r w:rsidR="00BB445E">
        <w:rPr>
          <w:rFonts w:asciiTheme="majorBidi" w:hAnsiTheme="majorBidi" w:cstheme="majorBidi"/>
          <w:sz w:val="24"/>
          <w:szCs w:val="24"/>
        </w:rPr>
        <w:t>their</w:t>
      </w:r>
      <w:r w:rsidR="007E7990">
        <w:rPr>
          <w:rFonts w:asciiTheme="majorBidi" w:hAnsiTheme="majorBidi" w:cstheme="majorBidi"/>
          <w:sz w:val="24"/>
          <w:szCs w:val="24"/>
        </w:rPr>
        <w:t xml:space="preserve"> </w:t>
      </w:r>
      <w:r w:rsidR="00426639">
        <w:rPr>
          <w:rFonts w:asciiTheme="majorBidi" w:hAnsiTheme="majorBidi" w:cstheme="majorBidi"/>
          <w:sz w:val="24"/>
          <w:szCs w:val="24"/>
        </w:rPr>
        <w:t>brand attitudes</w:t>
      </w:r>
      <w:r w:rsidR="00BB445E">
        <w:rPr>
          <w:rFonts w:asciiTheme="majorBidi" w:hAnsiTheme="majorBidi" w:cstheme="majorBidi"/>
          <w:sz w:val="24"/>
          <w:szCs w:val="24"/>
        </w:rPr>
        <w:t xml:space="preserve"> and purchase</w:t>
      </w:r>
      <w:r w:rsidR="00FC77E6">
        <w:rPr>
          <w:rFonts w:asciiTheme="majorBidi" w:hAnsiTheme="majorBidi" w:cstheme="majorBidi"/>
          <w:sz w:val="24"/>
          <w:szCs w:val="24"/>
        </w:rPr>
        <w:t>.</w:t>
      </w:r>
      <w:r w:rsidR="00BB445E">
        <w:rPr>
          <w:rFonts w:asciiTheme="majorBidi" w:hAnsiTheme="majorBidi" w:cstheme="majorBidi"/>
          <w:sz w:val="24"/>
          <w:szCs w:val="24"/>
        </w:rPr>
        <w:t xml:space="preserve"> </w:t>
      </w:r>
      <w:r w:rsidR="00153EE6">
        <w:rPr>
          <w:rFonts w:asciiTheme="majorBidi" w:hAnsiTheme="majorBidi" w:cstheme="majorBidi"/>
          <w:sz w:val="24"/>
          <w:szCs w:val="24"/>
        </w:rPr>
        <w:t xml:space="preserve">Thus, based on the </w:t>
      </w:r>
      <w:r w:rsidR="00E43774">
        <w:rPr>
          <w:rFonts w:asciiTheme="majorBidi" w:hAnsiTheme="majorBidi" w:cstheme="majorBidi"/>
          <w:sz w:val="24"/>
          <w:szCs w:val="24"/>
        </w:rPr>
        <w:t xml:space="preserve">value </w:t>
      </w:r>
      <w:r w:rsidR="00153EE6">
        <w:rPr>
          <w:rFonts w:asciiTheme="majorBidi" w:hAnsiTheme="majorBidi" w:cstheme="majorBidi"/>
          <w:sz w:val="24"/>
          <w:szCs w:val="24"/>
        </w:rPr>
        <w:t>co</w:t>
      </w:r>
      <w:r w:rsidR="00E43774">
        <w:rPr>
          <w:rFonts w:asciiTheme="majorBidi" w:hAnsiTheme="majorBidi" w:cstheme="majorBidi"/>
          <w:sz w:val="24"/>
          <w:szCs w:val="24"/>
        </w:rPr>
        <w:t>ngruence concept</w:t>
      </w:r>
      <w:r w:rsidR="00153EE6">
        <w:rPr>
          <w:rFonts w:asciiTheme="majorBidi" w:hAnsiTheme="majorBidi" w:cstheme="majorBidi"/>
          <w:sz w:val="24"/>
          <w:szCs w:val="24"/>
        </w:rPr>
        <w:t xml:space="preserve">, this study posits the last hypothesis: </w:t>
      </w:r>
    </w:p>
    <w:p w14:paraId="514375B4" w14:textId="4D764AF2" w:rsidR="00395741" w:rsidRPr="009F574A" w:rsidRDefault="00153EE6" w:rsidP="009F574A">
      <w:pPr>
        <w:adjustRightInd w:val="0"/>
        <w:spacing w:after="0" w:line="480" w:lineRule="auto"/>
        <w:ind w:firstLine="720"/>
        <w:rPr>
          <w:rFonts w:asciiTheme="majorBidi" w:hAnsiTheme="majorBidi" w:cstheme="majorBidi"/>
          <w:sz w:val="24"/>
          <w:szCs w:val="24"/>
        </w:rPr>
      </w:pPr>
      <w:bookmarkStart w:id="128" w:name="_Hlk130459709"/>
      <w:r>
        <w:rPr>
          <w:rFonts w:asciiTheme="majorBidi" w:hAnsiTheme="majorBidi" w:cstheme="majorBidi"/>
          <w:sz w:val="24"/>
          <w:szCs w:val="24"/>
        </w:rPr>
        <w:t>H</w:t>
      </w:r>
      <w:r w:rsidR="00575AE6">
        <w:rPr>
          <w:rFonts w:asciiTheme="majorBidi" w:hAnsiTheme="majorBidi" w:cstheme="majorBidi"/>
          <w:sz w:val="24"/>
          <w:szCs w:val="24"/>
        </w:rPr>
        <w:t>1</w:t>
      </w:r>
      <w:r w:rsidR="00287490">
        <w:rPr>
          <w:rFonts w:asciiTheme="majorBidi" w:hAnsiTheme="majorBidi" w:cstheme="majorBidi"/>
          <w:sz w:val="24"/>
          <w:szCs w:val="24"/>
        </w:rPr>
        <w:t>1</w:t>
      </w:r>
      <w:r>
        <w:rPr>
          <w:rFonts w:asciiTheme="majorBidi" w:hAnsiTheme="majorBidi" w:cstheme="majorBidi"/>
          <w:sz w:val="24"/>
          <w:szCs w:val="24"/>
        </w:rPr>
        <w:t xml:space="preserve">:  Individuals with high CSR perception in Egypt will </w:t>
      </w:r>
      <w:r w:rsidR="00805DC9">
        <w:rPr>
          <w:rFonts w:asciiTheme="majorBidi" w:hAnsiTheme="majorBidi" w:cstheme="majorBidi"/>
          <w:sz w:val="24"/>
          <w:szCs w:val="24"/>
        </w:rPr>
        <w:t>have</w:t>
      </w:r>
      <w:r>
        <w:rPr>
          <w:rFonts w:asciiTheme="majorBidi" w:hAnsiTheme="majorBidi" w:cstheme="majorBidi"/>
          <w:sz w:val="24"/>
          <w:szCs w:val="24"/>
        </w:rPr>
        <w:t xml:space="preserve"> </w:t>
      </w:r>
      <w:r w:rsidR="00443049">
        <w:rPr>
          <w:rFonts w:asciiTheme="majorBidi" w:hAnsiTheme="majorBidi" w:cstheme="majorBidi"/>
          <w:sz w:val="24"/>
          <w:szCs w:val="24"/>
        </w:rPr>
        <w:t xml:space="preserve">more </w:t>
      </w:r>
      <w:r>
        <w:rPr>
          <w:rFonts w:asciiTheme="majorBidi" w:hAnsiTheme="majorBidi" w:cstheme="majorBidi"/>
          <w:sz w:val="24"/>
          <w:szCs w:val="24"/>
        </w:rPr>
        <w:t>positive brand attitudes towards the brand launching CSR communication</w:t>
      </w:r>
      <w:r w:rsidR="00443049">
        <w:rPr>
          <w:rFonts w:asciiTheme="majorBidi" w:hAnsiTheme="majorBidi" w:cstheme="majorBidi"/>
          <w:sz w:val="24"/>
          <w:szCs w:val="24"/>
        </w:rPr>
        <w:t xml:space="preserve"> than individuals </w:t>
      </w:r>
      <w:r w:rsidR="00E50812">
        <w:rPr>
          <w:rFonts w:asciiTheme="majorBidi" w:hAnsiTheme="majorBidi" w:cstheme="majorBidi"/>
          <w:sz w:val="24"/>
          <w:szCs w:val="24"/>
        </w:rPr>
        <w:t xml:space="preserve">with less positive CSR perception. </w:t>
      </w:r>
      <w:bookmarkEnd w:id="128"/>
    </w:p>
    <w:p w14:paraId="264FC579" w14:textId="77777777" w:rsidR="00E96FF6" w:rsidRDefault="00E96FF6">
      <w:pPr>
        <w:rPr>
          <w:rFonts w:asciiTheme="majorBidi" w:hAnsiTheme="majorBidi" w:cstheme="majorBidi"/>
          <w:b/>
          <w:bCs/>
          <w:sz w:val="24"/>
          <w:szCs w:val="24"/>
        </w:rPr>
      </w:pPr>
      <w:r>
        <w:rPr>
          <w:rFonts w:asciiTheme="majorBidi" w:hAnsiTheme="majorBidi" w:cstheme="majorBidi"/>
          <w:b/>
          <w:bCs/>
          <w:sz w:val="24"/>
          <w:szCs w:val="24"/>
        </w:rPr>
        <w:br w:type="page"/>
      </w:r>
    </w:p>
    <w:p w14:paraId="00BB9B89" w14:textId="7C641392" w:rsidR="00153EE6" w:rsidRDefault="00153EE6" w:rsidP="00002857">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5</w:t>
      </w:r>
      <w:r>
        <w:rPr>
          <w:rFonts w:asciiTheme="majorBidi" w:hAnsiTheme="majorBidi" w:cstheme="majorBidi"/>
          <w:b/>
          <w:bCs/>
          <w:sz w:val="24"/>
          <w:szCs w:val="24"/>
        </w:rPr>
        <w:t xml:space="preserve">.1. Criticism of </w:t>
      </w:r>
      <w:r w:rsidR="0007409B">
        <w:rPr>
          <w:rFonts w:asciiTheme="majorBidi" w:hAnsiTheme="majorBidi" w:cstheme="majorBidi"/>
          <w:b/>
          <w:bCs/>
          <w:sz w:val="24"/>
          <w:szCs w:val="24"/>
        </w:rPr>
        <w:t xml:space="preserve">value congruence </w:t>
      </w:r>
    </w:p>
    <w:p w14:paraId="64BD82BF" w14:textId="2419EFEC" w:rsidR="0007409B" w:rsidRDefault="00153EE6" w:rsidP="0007409B">
      <w:pPr>
        <w:adjustRightInd w:val="0"/>
        <w:spacing w:after="0" w:line="480" w:lineRule="auto"/>
        <w:ind w:firstLine="720"/>
        <w:rPr>
          <w:rFonts w:asciiTheme="majorBidi" w:hAnsiTheme="majorBidi" w:cstheme="majorBidi"/>
          <w:sz w:val="24"/>
          <w:szCs w:val="24"/>
        </w:rPr>
      </w:pPr>
      <w:r w:rsidRPr="00530F20">
        <w:rPr>
          <w:rFonts w:asciiTheme="majorBidi" w:hAnsiTheme="majorBidi" w:cstheme="majorBidi"/>
          <w:sz w:val="24"/>
          <w:szCs w:val="24"/>
        </w:rPr>
        <w:t xml:space="preserve">Since the </w:t>
      </w:r>
      <w:r w:rsidR="00761E91">
        <w:rPr>
          <w:rFonts w:asciiTheme="majorBidi" w:hAnsiTheme="majorBidi" w:cstheme="majorBidi"/>
          <w:sz w:val="24"/>
          <w:szCs w:val="24"/>
        </w:rPr>
        <w:t xml:space="preserve">concept of </w:t>
      </w:r>
      <w:r w:rsidRPr="00530F20">
        <w:rPr>
          <w:rFonts w:asciiTheme="majorBidi" w:hAnsiTheme="majorBidi" w:cstheme="majorBidi"/>
          <w:sz w:val="24"/>
          <w:szCs w:val="24"/>
        </w:rPr>
        <w:t xml:space="preserve">congruity </w:t>
      </w:r>
      <w:r w:rsidR="00BB445E">
        <w:rPr>
          <w:rFonts w:asciiTheme="majorBidi" w:hAnsiTheme="majorBidi" w:cstheme="majorBidi"/>
          <w:sz w:val="24"/>
          <w:szCs w:val="24"/>
        </w:rPr>
        <w:t>can be</w:t>
      </w:r>
      <w:r w:rsidRPr="00530F20">
        <w:rPr>
          <w:rFonts w:asciiTheme="majorBidi" w:hAnsiTheme="majorBidi" w:cstheme="majorBidi"/>
          <w:sz w:val="24"/>
          <w:szCs w:val="24"/>
        </w:rPr>
        <w:t xml:space="preserve"> </w:t>
      </w:r>
      <w:r w:rsidR="00BB445E">
        <w:rPr>
          <w:rFonts w:asciiTheme="majorBidi" w:hAnsiTheme="majorBidi" w:cstheme="majorBidi"/>
          <w:sz w:val="24"/>
          <w:szCs w:val="24"/>
        </w:rPr>
        <w:t>easily demonstrated</w:t>
      </w:r>
      <w:r w:rsidRPr="00530F20">
        <w:rPr>
          <w:rFonts w:asciiTheme="majorBidi" w:hAnsiTheme="majorBidi" w:cstheme="majorBidi"/>
          <w:sz w:val="24"/>
          <w:szCs w:val="24"/>
        </w:rPr>
        <w:t xml:space="preserve"> in different types of industries, it did not receive a lot of criticism in literature. However</w:t>
      </w:r>
      <w:r>
        <w:rPr>
          <w:rFonts w:asciiTheme="majorBidi" w:hAnsiTheme="majorBidi" w:cstheme="majorBidi"/>
          <w:sz w:val="24"/>
          <w:szCs w:val="24"/>
        </w:rPr>
        <w:t>, other researchers suggested that it is necessary to analyse other factors such as brand trust, emotional brand attachment, and brand exposure as moderating effects in the congruity relationship</w:t>
      </w:r>
      <w:sdt>
        <w:sdtPr>
          <w:rPr>
            <w:rFonts w:asciiTheme="majorBidi" w:hAnsiTheme="majorBidi" w:cstheme="majorBidi"/>
            <w:sz w:val="24"/>
            <w:szCs w:val="24"/>
          </w:rPr>
          <w:id w:val="143385828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Gro14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(Grohs &amp; Reisinger, 2014)</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761E91">
        <w:rPr>
          <w:rFonts w:asciiTheme="majorBidi" w:hAnsiTheme="majorBidi" w:cstheme="majorBidi"/>
          <w:sz w:val="24"/>
          <w:szCs w:val="24"/>
        </w:rPr>
        <w:t xml:space="preserve">Additionally, </w:t>
      </w:r>
      <w:r w:rsidR="0007409B">
        <w:rPr>
          <w:rFonts w:asciiTheme="majorBidi" w:hAnsiTheme="majorBidi" w:cstheme="majorBidi"/>
          <w:sz w:val="24"/>
          <w:szCs w:val="24"/>
        </w:rPr>
        <w:t>other researchers assert that value congruency is complicated and involved multiple layers and for that, they</w:t>
      </w:r>
      <w:r w:rsidR="0007409B" w:rsidRPr="0007409B">
        <w:rPr>
          <w:rFonts w:asciiTheme="majorBidi" w:hAnsiTheme="majorBidi" w:cstheme="majorBidi"/>
          <w:sz w:val="24"/>
          <w:szCs w:val="24"/>
        </w:rPr>
        <w:t xml:space="preserve"> emphasis</w:t>
      </w:r>
      <w:r w:rsidR="0007409B">
        <w:rPr>
          <w:rFonts w:asciiTheme="majorBidi" w:hAnsiTheme="majorBidi" w:cstheme="majorBidi"/>
          <w:sz w:val="24"/>
          <w:szCs w:val="24"/>
        </w:rPr>
        <w:t>ed</w:t>
      </w:r>
      <w:r w:rsidR="0007409B" w:rsidRPr="0007409B">
        <w:rPr>
          <w:rFonts w:asciiTheme="majorBidi" w:hAnsiTheme="majorBidi" w:cstheme="majorBidi"/>
          <w:sz w:val="24"/>
          <w:szCs w:val="24"/>
        </w:rPr>
        <w:t xml:space="preserve"> </w:t>
      </w:r>
      <w:r w:rsidR="0007409B" w:rsidRPr="009F574A">
        <w:rPr>
          <w:rFonts w:asciiTheme="majorBidi" w:hAnsiTheme="majorBidi" w:cstheme="majorBidi"/>
          <w:sz w:val="24"/>
          <w:szCs w:val="24"/>
        </w:rPr>
        <w:t xml:space="preserve">focusing on representing the concept rather than how it is stated or measured in general </w:t>
      </w:r>
      <w:sdt>
        <w:sdtPr>
          <w:rPr>
            <w:rFonts w:asciiTheme="majorBidi" w:hAnsiTheme="majorBidi" w:cstheme="majorBidi"/>
            <w:sz w:val="24"/>
            <w:szCs w:val="24"/>
          </w:rPr>
          <w:id w:val="459542764"/>
          <w:citation/>
        </w:sdtPr>
        <w:sdtContent>
          <w:r w:rsidR="0007409B" w:rsidRPr="009F574A">
            <w:rPr>
              <w:rFonts w:asciiTheme="majorBidi" w:hAnsiTheme="majorBidi" w:cstheme="majorBidi"/>
              <w:sz w:val="24"/>
              <w:szCs w:val="24"/>
            </w:rPr>
            <w:fldChar w:fldCharType="begin"/>
          </w:r>
          <w:r w:rsidR="0007409B" w:rsidRPr="009F574A">
            <w:rPr>
              <w:rFonts w:asciiTheme="majorBidi" w:hAnsiTheme="majorBidi" w:cstheme="majorBidi"/>
              <w:sz w:val="24"/>
              <w:szCs w:val="24"/>
            </w:rPr>
            <w:instrText xml:space="preserve"> CITATION Bao19 \l 2057 </w:instrText>
          </w:r>
          <w:r w:rsidR="0007409B" w:rsidRPr="009F574A">
            <w:rPr>
              <w:rFonts w:asciiTheme="majorBidi" w:hAnsiTheme="majorBidi" w:cstheme="majorBidi"/>
              <w:sz w:val="24"/>
              <w:szCs w:val="24"/>
            </w:rPr>
            <w:fldChar w:fldCharType="separate"/>
          </w:r>
          <w:r w:rsidR="0007409B" w:rsidRPr="009F574A">
            <w:rPr>
              <w:rFonts w:asciiTheme="majorBidi" w:hAnsiTheme="majorBidi" w:cstheme="majorBidi"/>
              <w:noProof/>
              <w:sz w:val="24"/>
              <w:szCs w:val="24"/>
            </w:rPr>
            <w:t>(Bao, Dolan, &amp; Tzafrir, 2019)</w:t>
          </w:r>
          <w:r w:rsidR="0007409B" w:rsidRPr="009F574A">
            <w:rPr>
              <w:rFonts w:asciiTheme="majorBidi" w:hAnsiTheme="majorBidi" w:cstheme="majorBidi"/>
              <w:sz w:val="24"/>
              <w:szCs w:val="24"/>
            </w:rPr>
            <w:fldChar w:fldCharType="end"/>
          </w:r>
        </w:sdtContent>
      </w:sdt>
      <w:r w:rsidR="0007409B" w:rsidRPr="009F574A">
        <w:rPr>
          <w:rFonts w:asciiTheme="majorBidi" w:hAnsiTheme="majorBidi" w:cstheme="majorBidi"/>
          <w:sz w:val="24"/>
          <w:szCs w:val="24"/>
        </w:rPr>
        <w:t>.</w:t>
      </w:r>
      <w:r w:rsidR="0007409B">
        <w:rPr>
          <w:rFonts w:asciiTheme="majorBidi" w:hAnsiTheme="majorBidi" w:cstheme="majorBidi"/>
          <w:sz w:val="24"/>
          <w:szCs w:val="24"/>
        </w:rPr>
        <w:t xml:space="preserve"> </w:t>
      </w:r>
      <w:r w:rsidR="00BB445E">
        <w:rPr>
          <w:rFonts w:asciiTheme="majorBidi" w:hAnsiTheme="majorBidi" w:cstheme="majorBidi"/>
          <w:sz w:val="24"/>
          <w:szCs w:val="24"/>
        </w:rPr>
        <w:t xml:space="preserve">For that reason, this study looks into the concept of value congruence between consumers’ CSR perceptions and multiple brand attitudes. </w:t>
      </w:r>
      <w:r w:rsidR="0007409B">
        <w:rPr>
          <w:rFonts w:asciiTheme="majorBidi" w:hAnsiTheme="majorBidi" w:cstheme="majorBidi"/>
          <w:sz w:val="24"/>
          <w:szCs w:val="24"/>
        </w:rPr>
        <w:t>The following section discu</w:t>
      </w:r>
      <w:r w:rsidR="006317F3">
        <w:rPr>
          <w:rFonts w:asciiTheme="majorBidi" w:hAnsiTheme="majorBidi" w:cstheme="majorBidi"/>
          <w:sz w:val="24"/>
          <w:szCs w:val="24"/>
        </w:rPr>
        <w:t>s</w:t>
      </w:r>
      <w:r w:rsidR="0007409B">
        <w:rPr>
          <w:rFonts w:asciiTheme="majorBidi" w:hAnsiTheme="majorBidi" w:cstheme="majorBidi"/>
          <w:sz w:val="24"/>
          <w:szCs w:val="24"/>
        </w:rPr>
        <w:t xml:space="preserve">ses the application of the concept. </w:t>
      </w:r>
    </w:p>
    <w:p w14:paraId="1DC90E85" w14:textId="6F1A2160" w:rsidR="00153EE6" w:rsidRDefault="00153EE6" w:rsidP="00AD5830">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5</w:t>
      </w:r>
      <w:r>
        <w:rPr>
          <w:rFonts w:asciiTheme="majorBidi" w:hAnsiTheme="majorBidi" w:cstheme="majorBidi"/>
          <w:b/>
          <w:bCs/>
          <w:sz w:val="24"/>
          <w:szCs w:val="24"/>
        </w:rPr>
        <w:t>.2.</w:t>
      </w:r>
      <w:r w:rsidRPr="00161FA1">
        <w:rPr>
          <w:rFonts w:asciiTheme="majorBidi" w:hAnsiTheme="majorBidi" w:cstheme="majorBidi"/>
          <w:b/>
          <w:bCs/>
          <w:sz w:val="24"/>
          <w:szCs w:val="24"/>
        </w:rPr>
        <w:t xml:space="preserve"> </w:t>
      </w:r>
      <w:r w:rsidR="0007409B">
        <w:rPr>
          <w:rFonts w:asciiTheme="majorBidi" w:hAnsiTheme="majorBidi" w:cstheme="majorBidi"/>
          <w:b/>
          <w:bCs/>
          <w:sz w:val="24"/>
          <w:szCs w:val="24"/>
        </w:rPr>
        <w:t>Value Congruence</w:t>
      </w:r>
      <w:r w:rsidRPr="00161FA1">
        <w:rPr>
          <w:rFonts w:asciiTheme="majorBidi" w:hAnsiTheme="majorBidi" w:cstheme="majorBidi"/>
          <w:b/>
          <w:bCs/>
          <w:sz w:val="24"/>
          <w:szCs w:val="24"/>
        </w:rPr>
        <w:t xml:space="preserve"> </w:t>
      </w:r>
      <w:r>
        <w:rPr>
          <w:rFonts w:asciiTheme="majorBidi" w:hAnsiTheme="majorBidi" w:cstheme="majorBidi"/>
          <w:b/>
          <w:bCs/>
          <w:sz w:val="24"/>
          <w:szCs w:val="24"/>
        </w:rPr>
        <w:t>Application</w:t>
      </w:r>
    </w:p>
    <w:p w14:paraId="5F90048E" w14:textId="316EF802" w:rsidR="00153EE6" w:rsidRDefault="00153EE6" w:rsidP="00727E91">
      <w:pPr>
        <w:adjustRightInd w:val="0"/>
        <w:spacing w:after="0" w:line="480" w:lineRule="auto"/>
        <w:ind w:firstLine="720"/>
        <w:rPr>
          <w:rFonts w:asciiTheme="majorBidi" w:hAnsiTheme="majorBidi" w:cstheme="majorBidi"/>
          <w:sz w:val="24"/>
          <w:szCs w:val="24"/>
        </w:rPr>
      </w:pPr>
      <w:r w:rsidRPr="00517E67">
        <w:rPr>
          <w:rFonts w:asciiTheme="majorBidi" w:hAnsiTheme="majorBidi" w:cstheme="majorBidi"/>
          <w:sz w:val="24"/>
          <w:szCs w:val="24"/>
        </w:rPr>
        <w:t>Levy</w:t>
      </w:r>
      <w:r>
        <w:rPr>
          <w:rFonts w:asciiTheme="majorBidi" w:hAnsiTheme="majorBidi" w:cstheme="majorBidi"/>
          <w:sz w:val="24"/>
          <w:szCs w:val="24"/>
        </w:rPr>
        <w:t xml:space="preserve"> </w:t>
      </w:r>
      <w:sdt>
        <w:sdtPr>
          <w:rPr>
            <w:rFonts w:asciiTheme="majorBidi" w:hAnsiTheme="majorBidi" w:cstheme="majorBidi"/>
            <w:sz w:val="24"/>
            <w:szCs w:val="24"/>
          </w:rPr>
          <w:id w:val="-172899413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Lev59 \n  \t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(1959)</w:t>
          </w:r>
          <w:r>
            <w:rPr>
              <w:rFonts w:asciiTheme="majorBidi" w:hAnsiTheme="majorBidi" w:cstheme="majorBidi"/>
              <w:sz w:val="24"/>
              <w:szCs w:val="24"/>
            </w:rPr>
            <w:fldChar w:fldCharType="end"/>
          </w:r>
        </w:sdtContent>
      </w:sdt>
      <w:r w:rsidRPr="00517E67">
        <w:rPr>
          <w:rFonts w:asciiTheme="majorBidi" w:hAnsiTheme="majorBidi" w:cstheme="majorBidi"/>
          <w:sz w:val="24"/>
          <w:szCs w:val="24"/>
        </w:rPr>
        <w:t xml:space="preserve"> asserts that consumers are more likely to purchase products for the meaning</w:t>
      </w:r>
      <w:r>
        <w:rPr>
          <w:rFonts w:asciiTheme="majorBidi" w:hAnsiTheme="majorBidi" w:cstheme="majorBidi"/>
          <w:sz w:val="24"/>
          <w:szCs w:val="24"/>
        </w:rPr>
        <w:t>s</w:t>
      </w:r>
      <w:r w:rsidRPr="00517E67">
        <w:rPr>
          <w:rFonts w:asciiTheme="majorBidi" w:hAnsiTheme="majorBidi" w:cstheme="majorBidi"/>
          <w:sz w:val="24"/>
          <w:szCs w:val="24"/>
        </w:rPr>
        <w:t xml:space="preserve"> symboli</w:t>
      </w:r>
      <w:r w:rsidR="009A555F">
        <w:rPr>
          <w:rFonts w:asciiTheme="majorBidi" w:hAnsiTheme="majorBidi" w:cstheme="majorBidi"/>
          <w:sz w:val="24"/>
          <w:szCs w:val="24"/>
        </w:rPr>
        <w:t>s</w:t>
      </w:r>
      <w:r w:rsidRPr="00517E67">
        <w:rPr>
          <w:rFonts w:asciiTheme="majorBidi" w:hAnsiTheme="majorBidi" w:cstheme="majorBidi"/>
          <w:sz w:val="24"/>
          <w:szCs w:val="24"/>
        </w:rPr>
        <w:t>ed by the brand.</w:t>
      </w:r>
      <w:r>
        <w:rPr>
          <w:rFonts w:asciiTheme="majorBidi" w:hAnsiTheme="majorBidi" w:cstheme="majorBidi"/>
          <w:sz w:val="24"/>
          <w:szCs w:val="24"/>
        </w:rPr>
        <w:t xml:space="preserve"> </w:t>
      </w:r>
      <w:r w:rsidR="00065FCC">
        <w:rPr>
          <w:rFonts w:asciiTheme="majorBidi" w:hAnsiTheme="majorBidi" w:cstheme="majorBidi"/>
          <w:sz w:val="24"/>
          <w:szCs w:val="24"/>
        </w:rPr>
        <w:t>This concept was confirmed by more recent researchers who showed that</w:t>
      </w:r>
      <w:r w:rsidR="008C3442">
        <w:rPr>
          <w:rFonts w:asciiTheme="majorBidi" w:hAnsiTheme="majorBidi" w:cstheme="majorBidi"/>
          <w:sz w:val="24"/>
          <w:szCs w:val="24"/>
        </w:rPr>
        <w:t xml:space="preserve"> a perceived fit between the consumers’ and brand’s values positively influences perception of the company</w:t>
      </w:r>
      <w:r w:rsidR="00080596">
        <w:rPr>
          <w:rFonts w:asciiTheme="majorBidi" w:hAnsiTheme="majorBidi" w:cstheme="majorBidi"/>
          <w:sz w:val="24"/>
          <w:szCs w:val="24"/>
        </w:rPr>
        <w:t xml:space="preserve"> </w:t>
      </w:r>
      <w:r w:rsidR="00BC7FEB" w:rsidRPr="002F7C97">
        <w:rPr>
          <w:rFonts w:asciiTheme="majorBidi" w:hAnsiTheme="majorBidi" w:cstheme="majorBidi"/>
          <w:noProof/>
          <w:sz w:val="24"/>
          <w:szCs w:val="24"/>
        </w:rPr>
        <w:t>(</w:t>
      </w:r>
      <w:r w:rsidR="00BC7FEB">
        <w:rPr>
          <w:rFonts w:asciiTheme="majorBidi" w:hAnsiTheme="majorBidi" w:cstheme="majorBidi"/>
          <w:noProof/>
          <w:sz w:val="24"/>
          <w:szCs w:val="24"/>
        </w:rPr>
        <w:t xml:space="preserve">Laroche, et al, 2014; </w:t>
      </w:r>
      <w:r w:rsidR="00BC7FEB" w:rsidRPr="002F7C97">
        <w:rPr>
          <w:rFonts w:asciiTheme="majorBidi" w:hAnsiTheme="majorBidi" w:cstheme="majorBidi"/>
          <w:noProof/>
          <w:sz w:val="24"/>
          <w:szCs w:val="24"/>
        </w:rPr>
        <w:t>Olson &amp; Thjømøe, 2013; Zhu, Teng, Foti, &amp; Yuan, 2019)</w:t>
      </w:r>
      <w:r w:rsidR="008C3442">
        <w:rPr>
          <w:rFonts w:asciiTheme="majorBidi" w:hAnsiTheme="majorBidi" w:cstheme="majorBidi"/>
          <w:sz w:val="24"/>
          <w:szCs w:val="24"/>
        </w:rPr>
        <w:t>.</w:t>
      </w:r>
      <w:r w:rsidR="00D67D18">
        <w:rPr>
          <w:rFonts w:asciiTheme="majorBidi" w:hAnsiTheme="majorBidi" w:cstheme="majorBidi"/>
          <w:sz w:val="24"/>
          <w:szCs w:val="24"/>
        </w:rPr>
        <w:t xml:space="preserve"> Similarly, this concept was examined in the CSR literature. One study examined the concept of congruity in CSR sponsorship and found that the sponsor’s CSR image enhances consumers’ perceived self-congruity with the sponsor </w:t>
      </w:r>
      <w:sdt>
        <w:sdtPr>
          <w:rPr>
            <w:rFonts w:asciiTheme="majorBidi" w:hAnsiTheme="majorBidi" w:cstheme="majorBidi"/>
            <w:sz w:val="24"/>
            <w:szCs w:val="24"/>
          </w:rPr>
          <w:id w:val="2063603742"/>
          <w:citation/>
        </w:sdtPr>
        <w:sdtContent>
          <w:r w:rsidR="00D67D18">
            <w:rPr>
              <w:rFonts w:asciiTheme="majorBidi" w:hAnsiTheme="majorBidi" w:cstheme="majorBidi"/>
              <w:sz w:val="24"/>
              <w:szCs w:val="24"/>
            </w:rPr>
            <w:fldChar w:fldCharType="begin"/>
          </w:r>
          <w:r w:rsidR="00D67D18">
            <w:rPr>
              <w:rFonts w:asciiTheme="majorBidi" w:hAnsiTheme="majorBidi" w:cstheme="majorBidi"/>
              <w:sz w:val="24"/>
              <w:szCs w:val="24"/>
            </w:rPr>
            <w:instrText xml:space="preserve"> CITATION Que13 \l 2057 </w:instrText>
          </w:r>
          <w:r w:rsidR="00D67D18">
            <w:rPr>
              <w:rFonts w:asciiTheme="majorBidi" w:hAnsiTheme="majorBidi" w:cstheme="majorBidi"/>
              <w:sz w:val="24"/>
              <w:szCs w:val="24"/>
            </w:rPr>
            <w:fldChar w:fldCharType="separate"/>
          </w:r>
          <w:r w:rsidR="00D67D18" w:rsidRPr="00A57BF4">
            <w:rPr>
              <w:rFonts w:asciiTheme="majorBidi" w:hAnsiTheme="majorBidi" w:cstheme="majorBidi"/>
              <w:noProof/>
              <w:sz w:val="24"/>
              <w:szCs w:val="24"/>
            </w:rPr>
            <w:t>(Quester, Plewa, Palmer, &amp; Mazodier, 2013)</w:t>
          </w:r>
          <w:r w:rsidR="00D67D18">
            <w:rPr>
              <w:rFonts w:asciiTheme="majorBidi" w:hAnsiTheme="majorBidi" w:cstheme="majorBidi"/>
              <w:sz w:val="24"/>
              <w:szCs w:val="24"/>
            </w:rPr>
            <w:fldChar w:fldCharType="end"/>
          </w:r>
        </w:sdtContent>
      </w:sdt>
      <w:r w:rsidR="00D67D18">
        <w:rPr>
          <w:rFonts w:asciiTheme="majorBidi" w:hAnsiTheme="majorBidi" w:cstheme="majorBidi"/>
          <w:sz w:val="24"/>
          <w:szCs w:val="24"/>
        </w:rPr>
        <w:t xml:space="preserve">. For instance, a study on Chinese consumers of fashion concluded that consumers’ beliefs about a fashion company’s economic, philanthropic, and </w:t>
      </w:r>
      <w:r w:rsidR="00D67D18" w:rsidRPr="009F574A">
        <w:rPr>
          <w:rFonts w:asciiTheme="majorBidi" w:hAnsiTheme="majorBidi" w:cstheme="majorBidi"/>
          <w:sz w:val="24"/>
          <w:szCs w:val="24"/>
        </w:rPr>
        <w:t xml:space="preserve">ethical initiatives positively impacts their purchase intention </w:t>
      </w:r>
      <w:sdt>
        <w:sdtPr>
          <w:rPr>
            <w:rFonts w:asciiTheme="majorBidi" w:hAnsiTheme="majorBidi" w:cstheme="majorBidi"/>
            <w:sz w:val="24"/>
            <w:szCs w:val="24"/>
          </w:rPr>
          <w:id w:val="-1328438067"/>
          <w:citation/>
        </w:sdtPr>
        <w:sdtContent>
          <w:r w:rsidR="00D67D18" w:rsidRPr="009F574A">
            <w:rPr>
              <w:rFonts w:asciiTheme="majorBidi" w:hAnsiTheme="majorBidi" w:cstheme="majorBidi"/>
              <w:sz w:val="24"/>
              <w:szCs w:val="24"/>
            </w:rPr>
            <w:fldChar w:fldCharType="begin"/>
          </w:r>
          <w:r w:rsidR="00D67D18" w:rsidRPr="009F574A">
            <w:rPr>
              <w:rFonts w:asciiTheme="majorBidi" w:hAnsiTheme="majorBidi" w:cstheme="majorBidi"/>
              <w:sz w:val="24"/>
              <w:szCs w:val="24"/>
            </w:rPr>
            <w:instrText xml:space="preserve"> CITATION Lee15 \l 2057 </w:instrText>
          </w:r>
          <w:r w:rsidR="00D67D18" w:rsidRPr="009F574A">
            <w:rPr>
              <w:rFonts w:asciiTheme="majorBidi" w:hAnsiTheme="majorBidi" w:cstheme="majorBidi"/>
              <w:sz w:val="24"/>
              <w:szCs w:val="24"/>
            </w:rPr>
            <w:fldChar w:fldCharType="separate"/>
          </w:r>
          <w:r w:rsidR="00D67D18" w:rsidRPr="009F574A">
            <w:rPr>
              <w:rFonts w:asciiTheme="majorBidi" w:hAnsiTheme="majorBidi" w:cstheme="majorBidi"/>
              <w:noProof/>
              <w:sz w:val="24"/>
              <w:szCs w:val="24"/>
            </w:rPr>
            <w:t>(Lee &amp; Lee, 2015)</w:t>
          </w:r>
          <w:r w:rsidR="00D67D18" w:rsidRPr="009F574A">
            <w:rPr>
              <w:rFonts w:asciiTheme="majorBidi" w:hAnsiTheme="majorBidi" w:cstheme="majorBidi"/>
              <w:sz w:val="24"/>
              <w:szCs w:val="24"/>
            </w:rPr>
            <w:fldChar w:fldCharType="end"/>
          </w:r>
        </w:sdtContent>
      </w:sdt>
      <w:r w:rsidR="00D67D18" w:rsidRPr="009F574A">
        <w:rPr>
          <w:rFonts w:asciiTheme="majorBidi" w:hAnsiTheme="majorBidi" w:cstheme="majorBidi"/>
          <w:sz w:val="24"/>
          <w:szCs w:val="24"/>
        </w:rPr>
        <w:t>.</w:t>
      </w:r>
      <w:r w:rsidR="00D67D18">
        <w:rPr>
          <w:rFonts w:asciiTheme="majorBidi" w:hAnsiTheme="majorBidi" w:cstheme="majorBidi"/>
          <w:sz w:val="24"/>
          <w:szCs w:val="24"/>
        </w:rPr>
        <w:t xml:space="preserve"> </w:t>
      </w:r>
      <w:r w:rsidR="00761E91">
        <w:rPr>
          <w:rFonts w:asciiTheme="majorBidi" w:hAnsiTheme="majorBidi" w:cstheme="majorBidi"/>
          <w:sz w:val="24"/>
          <w:szCs w:val="24"/>
        </w:rPr>
        <w:t xml:space="preserve">Value congruence was examined differently in literature using direct </w:t>
      </w:r>
      <w:r w:rsidR="00D67D18">
        <w:rPr>
          <w:rFonts w:asciiTheme="majorBidi" w:hAnsiTheme="majorBidi" w:cstheme="majorBidi"/>
          <w:sz w:val="24"/>
          <w:szCs w:val="24"/>
        </w:rPr>
        <w:t>or</w:t>
      </w:r>
      <w:r w:rsidR="00761E91">
        <w:rPr>
          <w:rFonts w:asciiTheme="majorBidi" w:hAnsiTheme="majorBidi" w:cstheme="majorBidi"/>
          <w:sz w:val="24"/>
          <w:szCs w:val="24"/>
        </w:rPr>
        <w:t xml:space="preserve"> indirect approaches </w:t>
      </w:r>
      <w:sdt>
        <w:sdtPr>
          <w:rPr>
            <w:rFonts w:asciiTheme="majorBidi" w:hAnsiTheme="majorBidi" w:cstheme="majorBidi"/>
            <w:sz w:val="24"/>
            <w:szCs w:val="24"/>
          </w:rPr>
          <w:id w:val="1095284337"/>
          <w:citation/>
        </w:sdtPr>
        <w:sdtContent>
          <w:r w:rsidR="00761E91">
            <w:rPr>
              <w:rFonts w:asciiTheme="majorBidi" w:hAnsiTheme="majorBidi" w:cstheme="majorBidi"/>
              <w:sz w:val="24"/>
              <w:szCs w:val="24"/>
            </w:rPr>
            <w:fldChar w:fldCharType="begin"/>
          </w:r>
          <w:r w:rsidR="00761E91">
            <w:rPr>
              <w:rFonts w:asciiTheme="majorBidi" w:hAnsiTheme="majorBidi" w:cstheme="majorBidi"/>
              <w:sz w:val="24"/>
              <w:szCs w:val="24"/>
            </w:rPr>
            <w:instrText xml:space="preserve"> CITATION Bao19 \l 2057 </w:instrText>
          </w:r>
          <w:r w:rsidR="00761E91">
            <w:rPr>
              <w:rFonts w:asciiTheme="majorBidi" w:hAnsiTheme="majorBidi" w:cstheme="majorBidi"/>
              <w:sz w:val="24"/>
              <w:szCs w:val="24"/>
            </w:rPr>
            <w:fldChar w:fldCharType="separate"/>
          </w:r>
          <w:r w:rsidR="00761E91" w:rsidRPr="00020167">
            <w:rPr>
              <w:rFonts w:asciiTheme="majorBidi" w:hAnsiTheme="majorBidi" w:cstheme="majorBidi"/>
              <w:noProof/>
              <w:sz w:val="24"/>
              <w:szCs w:val="24"/>
            </w:rPr>
            <w:t>(Bao, Dolan, &amp; Tzafrir, 2019)</w:t>
          </w:r>
          <w:r w:rsidR="00761E91">
            <w:rPr>
              <w:rFonts w:asciiTheme="majorBidi" w:hAnsiTheme="majorBidi" w:cstheme="majorBidi"/>
              <w:sz w:val="24"/>
              <w:szCs w:val="24"/>
            </w:rPr>
            <w:fldChar w:fldCharType="end"/>
          </w:r>
        </w:sdtContent>
      </w:sdt>
      <w:r w:rsidR="00761E91">
        <w:rPr>
          <w:rFonts w:asciiTheme="majorBidi" w:hAnsiTheme="majorBidi" w:cstheme="majorBidi"/>
          <w:sz w:val="24"/>
          <w:szCs w:val="24"/>
        </w:rPr>
        <w:t xml:space="preserve">. While some researchers </w:t>
      </w:r>
      <w:r w:rsidR="00D67D18">
        <w:rPr>
          <w:rFonts w:asciiTheme="majorBidi" w:hAnsiTheme="majorBidi" w:cstheme="majorBidi"/>
          <w:sz w:val="24"/>
          <w:szCs w:val="24"/>
        </w:rPr>
        <w:t>used direct approaches by using</w:t>
      </w:r>
      <w:r w:rsidR="00761E91">
        <w:rPr>
          <w:rFonts w:asciiTheme="majorBidi" w:hAnsiTheme="majorBidi" w:cstheme="majorBidi"/>
          <w:sz w:val="24"/>
          <w:szCs w:val="24"/>
        </w:rPr>
        <w:t xml:space="preserve"> specific scales that measured value congruence </w:t>
      </w:r>
      <w:r w:rsidR="00761E91" w:rsidRPr="00FC77E6">
        <w:rPr>
          <w:rFonts w:asciiTheme="majorBidi" w:hAnsiTheme="majorBidi" w:cstheme="majorBidi"/>
          <w:sz w:val="24"/>
          <w:szCs w:val="24"/>
        </w:rPr>
        <w:t xml:space="preserve"> </w:t>
      </w:r>
      <w:sdt>
        <w:sdtPr>
          <w:rPr>
            <w:rFonts w:asciiTheme="majorBidi" w:hAnsiTheme="majorBidi" w:cstheme="majorBidi"/>
            <w:sz w:val="24"/>
            <w:szCs w:val="24"/>
          </w:rPr>
          <w:id w:val="1434405914"/>
          <w:citation/>
        </w:sdtPr>
        <w:sdtContent>
          <w:r w:rsidR="00761E91" w:rsidRPr="00FC77E6">
            <w:rPr>
              <w:rFonts w:asciiTheme="majorBidi" w:hAnsiTheme="majorBidi" w:cstheme="majorBidi"/>
              <w:sz w:val="24"/>
              <w:szCs w:val="24"/>
            </w:rPr>
            <w:fldChar w:fldCharType="begin"/>
          </w:r>
          <w:r w:rsidR="00761E91" w:rsidRPr="00FC77E6">
            <w:rPr>
              <w:rFonts w:asciiTheme="majorBidi" w:hAnsiTheme="majorBidi" w:cstheme="majorBidi"/>
              <w:sz w:val="24"/>
              <w:szCs w:val="24"/>
            </w:rPr>
            <w:instrText>CITATION Rat22 \l 2057  \m You21</w:instrText>
          </w:r>
          <w:r w:rsidR="00761E91" w:rsidRPr="00FC77E6">
            <w:rPr>
              <w:rFonts w:asciiTheme="majorBidi" w:hAnsiTheme="majorBidi" w:cstheme="majorBidi"/>
              <w:sz w:val="24"/>
              <w:szCs w:val="24"/>
            </w:rPr>
            <w:fldChar w:fldCharType="separate"/>
          </w:r>
          <w:r w:rsidR="00761E91" w:rsidRPr="00FC77E6">
            <w:rPr>
              <w:rFonts w:asciiTheme="majorBidi" w:hAnsiTheme="majorBidi" w:cstheme="majorBidi"/>
              <w:noProof/>
              <w:sz w:val="24"/>
              <w:szCs w:val="24"/>
            </w:rPr>
            <w:t>(Rather, et al., 2022; You &amp; Hon, 2021)</w:t>
          </w:r>
          <w:r w:rsidR="00761E91" w:rsidRPr="00FC77E6">
            <w:rPr>
              <w:rFonts w:asciiTheme="majorBidi" w:hAnsiTheme="majorBidi" w:cstheme="majorBidi"/>
              <w:sz w:val="24"/>
              <w:szCs w:val="24"/>
            </w:rPr>
            <w:fldChar w:fldCharType="end"/>
          </w:r>
        </w:sdtContent>
      </w:sdt>
      <w:r w:rsidR="00761E91" w:rsidRPr="00FC77E6">
        <w:rPr>
          <w:rFonts w:asciiTheme="majorBidi" w:hAnsiTheme="majorBidi" w:cstheme="majorBidi"/>
          <w:sz w:val="24"/>
          <w:szCs w:val="24"/>
        </w:rPr>
        <w:t xml:space="preserve">, other scholars examined the concept with commensurate approaches in which the </w:t>
      </w:r>
      <w:r w:rsidR="00761E91" w:rsidRPr="009F574A">
        <w:rPr>
          <w:rFonts w:asciiTheme="majorBidi" w:hAnsiTheme="majorBidi" w:cstheme="majorBidi"/>
          <w:sz w:val="24"/>
          <w:szCs w:val="24"/>
        </w:rPr>
        <w:t xml:space="preserve">hypothesised congruent aspects were measured separately </w:t>
      </w:r>
      <w:sdt>
        <w:sdtPr>
          <w:rPr>
            <w:rFonts w:asciiTheme="majorBidi" w:hAnsiTheme="majorBidi" w:cstheme="majorBidi"/>
            <w:sz w:val="24"/>
            <w:szCs w:val="24"/>
          </w:rPr>
          <w:id w:val="-1334679515"/>
          <w:citation/>
        </w:sdtPr>
        <w:sdtContent>
          <w:r w:rsidR="00761E91" w:rsidRPr="009F574A">
            <w:rPr>
              <w:rFonts w:asciiTheme="majorBidi" w:hAnsiTheme="majorBidi" w:cstheme="majorBidi"/>
              <w:sz w:val="24"/>
              <w:szCs w:val="24"/>
            </w:rPr>
            <w:fldChar w:fldCharType="begin"/>
          </w:r>
          <w:r w:rsidR="00761E91" w:rsidRPr="009F574A">
            <w:rPr>
              <w:rFonts w:asciiTheme="majorBidi" w:hAnsiTheme="majorBidi" w:cstheme="majorBidi"/>
              <w:sz w:val="24"/>
              <w:szCs w:val="24"/>
            </w:rPr>
            <w:instrText xml:space="preserve"> CITATION Cza21 \l 2057 </w:instrText>
          </w:r>
          <w:r w:rsidR="00761E91" w:rsidRPr="009F574A">
            <w:rPr>
              <w:rFonts w:asciiTheme="majorBidi" w:hAnsiTheme="majorBidi" w:cstheme="majorBidi"/>
              <w:sz w:val="24"/>
              <w:szCs w:val="24"/>
            </w:rPr>
            <w:fldChar w:fldCharType="separate"/>
          </w:r>
          <w:r w:rsidR="00761E91" w:rsidRPr="009F574A">
            <w:rPr>
              <w:rFonts w:asciiTheme="majorBidi" w:hAnsiTheme="majorBidi" w:cstheme="majorBidi"/>
              <w:noProof/>
              <w:sz w:val="24"/>
              <w:szCs w:val="24"/>
            </w:rPr>
            <w:t>(Czarnecka &amp; Schivinski, 2021)</w:t>
          </w:r>
          <w:r w:rsidR="00761E91" w:rsidRPr="009F574A">
            <w:rPr>
              <w:rFonts w:asciiTheme="majorBidi" w:hAnsiTheme="majorBidi" w:cstheme="majorBidi"/>
              <w:sz w:val="24"/>
              <w:szCs w:val="24"/>
            </w:rPr>
            <w:fldChar w:fldCharType="end"/>
          </w:r>
        </w:sdtContent>
      </w:sdt>
      <w:r w:rsidR="00761E91" w:rsidRPr="009F574A">
        <w:rPr>
          <w:rFonts w:asciiTheme="majorBidi" w:hAnsiTheme="majorBidi" w:cstheme="majorBidi"/>
          <w:sz w:val="24"/>
          <w:szCs w:val="24"/>
        </w:rPr>
        <w:t>.</w:t>
      </w:r>
      <w:r w:rsidR="00761E91">
        <w:rPr>
          <w:rFonts w:asciiTheme="majorBidi" w:hAnsiTheme="majorBidi" w:cstheme="majorBidi"/>
          <w:sz w:val="24"/>
          <w:szCs w:val="24"/>
        </w:rPr>
        <w:t xml:space="preserve"> This study applies the latter approach to examine the congruence between people’s CSR perception and their attitudes towards the brand launching CSR communication</w:t>
      </w:r>
      <w:r w:rsidR="009B1841">
        <w:rPr>
          <w:rFonts w:asciiTheme="majorBidi" w:hAnsiTheme="majorBidi" w:cstheme="majorBidi"/>
          <w:sz w:val="24"/>
          <w:szCs w:val="24"/>
        </w:rPr>
        <w:t>.</w:t>
      </w:r>
      <w:r w:rsidR="00D67D18">
        <w:rPr>
          <w:rFonts w:asciiTheme="majorBidi" w:hAnsiTheme="majorBidi" w:cstheme="majorBidi"/>
          <w:sz w:val="24"/>
          <w:szCs w:val="24"/>
        </w:rPr>
        <w:t xml:space="preserve"> </w:t>
      </w:r>
      <w:r>
        <w:rPr>
          <w:rFonts w:asciiTheme="majorBidi" w:hAnsiTheme="majorBidi" w:cstheme="majorBidi"/>
          <w:sz w:val="24"/>
          <w:szCs w:val="24"/>
        </w:rPr>
        <w:t xml:space="preserve">More recently, a study used </w:t>
      </w:r>
      <w:r w:rsidRPr="00881416">
        <w:rPr>
          <w:rFonts w:asciiTheme="majorBidi" w:hAnsiTheme="majorBidi" w:cstheme="majorBidi"/>
          <w:sz w:val="24"/>
          <w:szCs w:val="24"/>
        </w:rPr>
        <w:t xml:space="preserve">coefficient values to measure the congruency between social factors and store environment characteristics with </w:t>
      </w:r>
      <w:r w:rsidR="00A76B3A">
        <w:rPr>
          <w:rFonts w:asciiTheme="majorBidi" w:hAnsiTheme="majorBidi" w:cstheme="majorBidi"/>
          <w:sz w:val="24"/>
          <w:szCs w:val="24"/>
        </w:rPr>
        <w:t xml:space="preserve">perception of </w:t>
      </w:r>
      <w:r w:rsidRPr="00881416">
        <w:rPr>
          <w:rFonts w:asciiTheme="majorBidi" w:hAnsiTheme="majorBidi" w:cstheme="majorBidi"/>
          <w:sz w:val="24"/>
          <w:szCs w:val="24"/>
        </w:rPr>
        <w:t>functional</w:t>
      </w:r>
      <w:r w:rsidR="00A76B3A">
        <w:rPr>
          <w:rFonts w:asciiTheme="majorBidi" w:hAnsiTheme="majorBidi" w:cstheme="majorBidi"/>
          <w:sz w:val="24"/>
          <w:szCs w:val="24"/>
        </w:rPr>
        <w:t xml:space="preserve"> attributes of the product</w:t>
      </w:r>
      <w:sdt>
        <w:sdtPr>
          <w:rPr>
            <w:rFonts w:asciiTheme="majorBidi" w:hAnsiTheme="majorBidi" w:cstheme="majorBidi"/>
            <w:sz w:val="24"/>
            <w:szCs w:val="24"/>
          </w:rPr>
          <w:id w:val="-767223325"/>
          <w:citation/>
        </w:sdtPr>
        <w:sdtContent>
          <w:r w:rsidRPr="00881416">
            <w:rPr>
              <w:rFonts w:asciiTheme="majorBidi" w:hAnsiTheme="majorBidi" w:cstheme="majorBidi"/>
              <w:sz w:val="24"/>
              <w:szCs w:val="24"/>
            </w:rPr>
            <w:fldChar w:fldCharType="begin"/>
          </w:r>
          <w:r w:rsidRPr="00881416">
            <w:rPr>
              <w:rFonts w:asciiTheme="majorBidi" w:hAnsiTheme="majorBidi" w:cstheme="majorBidi"/>
              <w:sz w:val="24"/>
              <w:szCs w:val="24"/>
            </w:rPr>
            <w:instrText xml:space="preserve"> CITATION Isl19 \l 2057 </w:instrText>
          </w:r>
          <w:r w:rsidRPr="00881416">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(Islam, Attiq, Hameed, Khokhar, &amp; Sheikh, 2019)</w:t>
          </w:r>
          <w:r w:rsidRPr="00881416">
            <w:rPr>
              <w:rFonts w:asciiTheme="majorBidi" w:hAnsiTheme="majorBidi" w:cstheme="majorBidi"/>
              <w:sz w:val="24"/>
              <w:szCs w:val="24"/>
            </w:rPr>
            <w:fldChar w:fldCharType="end"/>
          </w:r>
        </w:sdtContent>
      </w:sdt>
      <w:r w:rsidRPr="00881416">
        <w:rPr>
          <w:rFonts w:asciiTheme="majorBidi" w:hAnsiTheme="majorBidi" w:cstheme="majorBidi"/>
          <w:sz w:val="24"/>
          <w:szCs w:val="24"/>
        </w:rPr>
        <w:t>.</w:t>
      </w:r>
      <w:r>
        <w:rPr>
          <w:rFonts w:ascii="Open Sans" w:hAnsi="Open Sans" w:cs="Open Sans"/>
          <w:sz w:val="27"/>
          <w:szCs w:val="27"/>
          <w:shd w:val="clear" w:color="auto" w:fill="FFFFFF"/>
        </w:rPr>
        <w:t xml:space="preserve"> </w:t>
      </w:r>
      <w:r w:rsidRPr="00C94992">
        <w:rPr>
          <w:rFonts w:asciiTheme="majorBidi" w:hAnsiTheme="majorBidi" w:cstheme="majorBidi"/>
          <w:sz w:val="24"/>
          <w:szCs w:val="24"/>
        </w:rPr>
        <w:t xml:space="preserve">This study also uses </w:t>
      </w:r>
      <w:r w:rsidRPr="006317F3">
        <w:rPr>
          <w:rFonts w:asciiTheme="majorBidi" w:hAnsiTheme="majorBidi" w:cstheme="majorBidi"/>
          <w:sz w:val="24"/>
          <w:szCs w:val="24"/>
        </w:rPr>
        <w:t>coefficient values to compare</w:t>
      </w:r>
      <w:r w:rsidRPr="00C94992">
        <w:rPr>
          <w:rFonts w:asciiTheme="majorBidi" w:hAnsiTheme="majorBidi" w:cstheme="majorBidi"/>
          <w:sz w:val="24"/>
          <w:szCs w:val="24"/>
        </w:rPr>
        <w:t xml:space="preserve"> between respondents who have high or low CSR perceptions with their attitudes towards the brand presented in the CSR stimuli.</w:t>
      </w:r>
      <w:r w:rsidRPr="00881416">
        <w:rPr>
          <w:rFonts w:asciiTheme="majorBidi" w:hAnsiTheme="majorBidi" w:cstheme="majorBidi"/>
          <w:sz w:val="24"/>
          <w:szCs w:val="24"/>
        </w:rPr>
        <w:t xml:space="preserve"> </w:t>
      </w:r>
      <w:r w:rsidR="00D67D18">
        <w:rPr>
          <w:rFonts w:asciiTheme="majorBidi" w:hAnsiTheme="majorBidi" w:cstheme="majorBidi"/>
          <w:sz w:val="24"/>
          <w:szCs w:val="24"/>
        </w:rPr>
        <w:t>Additionally</w:t>
      </w:r>
      <w:r w:rsidR="00D67D18" w:rsidRPr="00D67D18">
        <w:rPr>
          <w:rFonts w:asciiTheme="majorBidi" w:hAnsiTheme="majorBidi" w:cstheme="majorBidi"/>
          <w:sz w:val="24"/>
          <w:szCs w:val="24"/>
        </w:rPr>
        <w:t xml:space="preserve">, study two, the qualitative study, further examines the congruency between respondents’ personal values and their perceptions of and attitudes towards the brand. </w:t>
      </w:r>
      <w:r w:rsidRPr="009B1841">
        <w:rPr>
          <w:rFonts w:asciiTheme="majorBidi" w:hAnsiTheme="majorBidi" w:cstheme="majorBidi"/>
          <w:sz w:val="24"/>
          <w:szCs w:val="24"/>
        </w:rPr>
        <w:t>The below table summarises the concepts</w:t>
      </w:r>
      <w:r w:rsidR="00D67D18" w:rsidRPr="009B1841">
        <w:rPr>
          <w:rFonts w:asciiTheme="majorBidi" w:hAnsiTheme="majorBidi" w:cstheme="majorBidi"/>
          <w:sz w:val="24"/>
          <w:szCs w:val="24"/>
        </w:rPr>
        <w:t xml:space="preserve">, </w:t>
      </w:r>
      <w:r w:rsidRPr="009B1841">
        <w:rPr>
          <w:rFonts w:asciiTheme="majorBidi" w:hAnsiTheme="majorBidi" w:cstheme="majorBidi"/>
          <w:sz w:val="24"/>
          <w:szCs w:val="24"/>
        </w:rPr>
        <w:t>theor</w:t>
      </w:r>
      <w:r w:rsidR="00D67D18" w:rsidRPr="009B1841">
        <w:rPr>
          <w:rFonts w:asciiTheme="majorBidi" w:hAnsiTheme="majorBidi" w:cstheme="majorBidi"/>
          <w:sz w:val="24"/>
          <w:szCs w:val="24"/>
        </w:rPr>
        <w:t>y, and framework</w:t>
      </w:r>
      <w:r w:rsidRPr="009B1841">
        <w:rPr>
          <w:rFonts w:asciiTheme="majorBidi" w:hAnsiTheme="majorBidi" w:cstheme="majorBidi"/>
          <w:sz w:val="24"/>
          <w:szCs w:val="24"/>
        </w:rPr>
        <w:t xml:space="preserve"> applied to this study’s theoretical framework.</w:t>
      </w:r>
      <w:r>
        <w:rPr>
          <w:rFonts w:asciiTheme="majorBidi" w:hAnsiTheme="majorBidi" w:cstheme="majorBidi"/>
          <w:sz w:val="24"/>
          <w:szCs w:val="24"/>
        </w:rPr>
        <w:t xml:space="preserve"> </w:t>
      </w:r>
      <w:r w:rsidR="0065014D">
        <w:rPr>
          <w:rFonts w:asciiTheme="majorBidi" w:hAnsiTheme="majorBidi" w:cstheme="majorBidi"/>
          <w:sz w:val="24"/>
          <w:szCs w:val="24"/>
        </w:rPr>
        <w:t xml:space="preserve"> </w:t>
      </w:r>
    </w:p>
    <w:p w14:paraId="39FDDAF9" w14:textId="77777777" w:rsidR="005F35ED" w:rsidRDefault="005F35ED">
      <w:r>
        <w:br w:type="page"/>
      </w:r>
    </w:p>
    <w:tbl>
      <w:tblPr>
        <w:tblStyle w:val="TableGrid"/>
        <w:tblW w:w="8222" w:type="dxa"/>
        <w:tblInd w:w="137" w:type="dxa"/>
        <w:tblLook w:val="04A0" w:firstRow="1" w:lastRow="0" w:firstColumn="1" w:lastColumn="0" w:noHBand="0" w:noVBand="1"/>
      </w:tblPr>
      <w:tblGrid>
        <w:gridCol w:w="1495"/>
        <w:gridCol w:w="1765"/>
        <w:gridCol w:w="1560"/>
        <w:gridCol w:w="1701"/>
        <w:gridCol w:w="1701"/>
      </w:tblGrid>
      <w:tr w:rsidR="00153EE6" w:rsidRPr="00151ABA" w14:paraId="3B660AC4" w14:textId="77777777" w:rsidTr="00C55386">
        <w:tc>
          <w:tcPr>
            <w:tcW w:w="1495" w:type="dxa"/>
          </w:tcPr>
          <w:p w14:paraId="330BA3F6" w14:textId="5F542434" w:rsidR="00153EE6" w:rsidRPr="00151ABA" w:rsidRDefault="00153EE6" w:rsidP="00953448">
            <w:pPr>
              <w:rPr>
                <w:rFonts w:asciiTheme="majorBidi" w:hAnsiTheme="majorBidi" w:cstheme="majorBidi"/>
                <w:sz w:val="20"/>
                <w:szCs w:val="20"/>
              </w:rPr>
            </w:pPr>
          </w:p>
        </w:tc>
        <w:tc>
          <w:tcPr>
            <w:tcW w:w="1765" w:type="dxa"/>
          </w:tcPr>
          <w:p w14:paraId="609DEF2E" w14:textId="77777777"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 xml:space="preserve">Theory of Reasoned Action </w:t>
            </w:r>
          </w:p>
        </w:tc>
        <w:tc>
          <w:tcPr>
            <w:tcW w:w="1560" w:type="dxa"/>
          </w:tcPr>
          <w:p w14:paraId="25ED973F" w14:textId="332EA6E5"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 xml:space="preserve">S-O-R </w:t>
            </w:r>
            <w:r w:rsidR="009B1841" w:rsidRPr="00151ABA">
              <w:rPr>
                <w:rFonts w:asciiTheme="majorBidi" w:hAnsiTheme="majorBidi" w:cstheme="majorBidi"/>
                <w:sz w:val="20"/>
                <w:szCs w:val="20"/>
              </w:rPr>
              <w:t>Model</w:t>
            </w:r>
          </w:p>
        </w:tc>
        <w:tc>
          <w:tcPr>
            <w:tcW w:w="1701" w:type="dxa"/>
          </w:tcPr>
          <w:p w14:paraId="26D01611" w14:textId="77777777"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 xml:space="preserve">Halo Effect </w:t>
            </w:r>
          </w:p>
        </w:tc>
        <w:tc>
          <w:tcPr>
            <w:tcW w:w="1701" w:type="dxa"/>
          </w:tcPr>
          <w:p w14:paraId="17EB5D46" w14:textId="730D7EEC" w:rsidR="00153EE6" w:rsidRPr="00151ABA" w:rsidRDefault="009B1841" w:rsidP="00953448">
            <w:pPr>
              <w:rPr>
                <w:rFonts w:asciiTheme="majorBidi" w:hAnsiTheme="majorBidi" w:cstheme="majorBidi"/>
                <w:sz w:val="20"/>
                <w:szCs w:val="20"/>
              </w:rPr>
            </w:pPr>
            <w:r w:rsidRPr="00151ABA">
              <w:rPr>
                <w:rFonts w:asciiTheme="majorBidi" w:hAnsiTheme="majorBidi" w:cstheme="majorBidi"/>
                <w:sz w:val="20"/>
                <w:szCs w:val="20"/>
              </w:rPr>
              <w:t xml:space="preserve">Value Congruency </w:t>
            </w:r>
            <w:r w:rsidR="00153EE6" w:rsidRPr="00151ABA">
              <w:rPr>
                <w:rFonts w:asciiTheme="majorBidi" w:hAnsiTheme="majorBidi" w:cstheme="majorBidi"/>
                <w:sz w:val="20"/>
                <w:szCs w:val="20"/>
              </w:rPr>
              <w:t xml:space="preserve"> </w:t>
            </w:r>
          </w:p>
        </w:tc>
      </w:tr>
      <w:tr w:rsidR="00153EE6" w:rsidRPr="00151ABA" w14:paraId="3699D2A8" w14:textId="77777777" w:rsidTr="00C55386">
        <w:tc>
          <w:tcPr>
            <w:tcW w:w="1495" w:type="dxa"/>
          </w:tcPr>
          <w:p w14:paraId="54B7CDDB" w14:textId="77777777"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 xml:space="preserve">Definition </w:t>
            </w:r>
          </w:p>
        </w:tc>
        <w:tc>
          <w:tcPr>
            <w:tcW w:w="1765" w:type="dxa"/>
          </w:tcPr>
          <w:p w14:paraId="2A611D6E" w14:textId="0DEBC96B" w:rsidR="00153EE6" w:rsidRPr="00151ABA" w:rsidRDefault="00153EE6" w:rsidP="00997FEC">
            <w:pPr>
              <w:rPr>
                <w:rFonts w:asciiTheme="majorBidi" w:hAnsiTheme="majorBidi" w:cstheme="majorBidi"/>
                <w:sz w:val="20"/>
                <w:szCs w:val="20"/>
              </w:rPr>
            </w:pPr>
            <w:r w:rsidRPr="00151ABA">
              <w:rPr>
                <w:rFonts w:asciiTheme="majorBidi" w:hAnsiTheme="majorBidi" w:cstheme="majorBidi"/>
                <w:sz w:val="20"/>
                <w:szCs w:val="20"/>
              </w:rPr>
              <w:t>Originated to predict individuals’ intentions to engage in certain behaviours</w:t>
            </w:r>
            <w:r w:rsidR="00997FEC" w:rsidRPr="00151ABA">
              <w:rPr>
                <w:rFonts w:asciiTheme="majorBidi" w:hAnsiTheme="majorBidi" w:cstheme="majorBidi"/>
                <w:sz w:val="20"/>
                <w:szCs w:val="20"/>
              </w:rPr>
              <w:t xml:space="preserve"> </w:t>
            </w:r>
            <w:sdt>
              <w:sdtPr>
                <w:rPr>
                  <w:rFonts w:asciiTheme="majorBidi" w:hAnsiTheme="majorBidi" w:cstheme="majorBidi"/>
                  <w:sz w:val="20"/>
                  <w:szCs w:val="20"/>
                </w:rPr>
                <w:id w:val="1133214808"/>
                <w:citation/>
              </w:sdtPr>
              <w:sdtContent>
                <w:r w:rsidR="00997FEC" w:rsidRPr="00151ABA">
                  <w:rPr>
                    <w:rFonts w:asciiTheme="majorBidi" w:hAnsiTheme="majorBidi" w:cstheme="majorBidi"/>
                    <w:sz w:val="20"/>
                    <w:szCs w:val="20"/>
                  </w:rPr>
                  <w:fldChar w:fldCharType="begin"/>
                </w:r>
                <w:r w:rsidR="00997FEC" w:rsidRPr="00151ABA">
                  <w:rPr>
                    <w:rFonts w:asciiTheme="majorBidi" w:hAnsiTheme="majorBidi" w:cstheme="majorBidi"/>
                    <w:sz w:val="20"/>
                    <w:szCs w:val="20"/>
                  </w:rPr>
                  <w:instrText xml:space="preserve"> CITATION Fis75 \l 2057 </w:instrText>
                </w:r>
                <w:r w:rsidR="00997FEC" w:rsidRPr="00151ABA">
                  <w:rPr>
                    <w:rFonts w:asciiTheme="majorBidi" w:hAnsiTheme="majorBidi" w:cstheme="majorBidi"/>
                    <w:sz w:val="20"/>
                    <w:szCs w:val="20"/>
                  </w:rPr>
                  <w:fldChar w:fldCharType="separate"/>
                </w:r>
                <w:r w:rsidR="00997FEC" w:rsidRPr="00151ABA">
                  <w:rPr>
                    <w:rFonts w:asciiTheme="majorBidi" w:hAnsiTheme="majorBidi" w:cstheme="majorBidi"/>
                    <w:noProof/>
                    <w:sz w:val="20"/>
                    <w:szCs w:val="20"/>
                  </w:rPr>
                  <w:t>(Fishbein &amp; Ajzen, 1975)</w:t>
                </w:r>
                <w:r w:rsidR="00997FEC"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 xml:space="preserve">. </w:t>
            </w:r>
          </w:p>
        </w:tc>
        <w:tc>
          <w:tcPr>
            <w:tcW w:w="1560" w:type="dxa"/>
          </w:tcPr>
          <w:p w14:paraId="6AB2DAC0" w14:textId="0FFBD53D" w:rsidR="00153EE6" w:rsidRPr="00151ABA" w:rsidRDefault="00153EE6" w:rsidP="00997FEC">
            <w:pPr>
              <w:rPr>
                <w:rFonts w:asciiTheme="majorBidi" w:hAnsiTheme="majorBidi" w:cstheme="majorBidi"/>
                <w:sz w:val="20"/>
                <w:szCs w:val="20"/>
              </w:rPr>
            </w:pPr>
            <w:r w:rsidRPr="00151ABA">
              <w:rPr>
                <w:rFonts w:asciiTheme="majorBidi" w:hAnsiTheme="majorBidi" w:cstheme="majorBidi"/>
                <w:sz w:val="20"/>
                <w:szCs w:val="20"/>
              </w:rPr>
              <w:t>Stimuli are cues that can stimulate individuals’ organisms which is their reaction to the stimuli which leads to final behaviour or response</w:t>
            </w:r>
            <w:r w:rsidR="00997FEC" w:rsidRPr="00151ABA">
              <w:rPr>
                <w:rFonts w:asciiTheme="majorBidi" w:hAnsiTheme="majorBidi" w:cstheme="majorBidi"/>
                <w:sz w:val="20"/>
                <w:szCs w:val="20"/>
              </w:rPr>
              <w:t xml:space="preserve"> </w:t>
            </w:r>
            <w:sdt>
              <w:sdtPr>
                <w:rPr>
                  <w:rFonts w:asciiTheme="majorBidi" w:hAnsiTheme="majorBidi" w:cstheme="majorBidi"/>
                  <w:sz w:val="20"/>
                  <w:szCs w:val="20"/>
                </w:rPr>
                <w:id w:val="291874919"/>
                <w:citation/>
              </w:sdtPr>
              <w:sdtContent>
                <w:r w:rsidR="00997FEC" w:rsidRPr="00151ABA">
                  <w:rPr>
                    <w:rFonts w:asciiTheme="majorBidi" w:hAnsiTheme="majorBidi" w:cstheme="majorBidi"/>
                    <w:sz w:val="20"/>
                    <w:szCs w:val="20"/>
                  </w:rPr>
                  <w:fldChar w:fldCharType="begin"/>
                </w:r>
                <w:r w:rsidR="00997FEC" w:rsidRPr="00151ABA">
                  <w:rPr>
                    <w:rFonts w:asciiTheme="majorBidi" w:hAnsiTheme="majorBidi" w:cstheme="majorBidi"/>
                    <w:sz w:val="20"/>
                    <w:szCs w:val="20"/>
                  </w:rPr>
                  <w:instrText xml:space="preserve"> CITATION Meh74 \l 2057 </w:instrText>
                </w:r>
                <w:r w:rsidR="00997FEC" w:rsidRPr="00151ABA">
                  <w:rPr>
                    <w:rFonts w:asciiTheme="majorBidi" w:hAnsiTheme="majorBidi" w:cstheme="majorBidi"/>
                    <w:sz w:val="20"/>
                    <w:szCs w:val="20"/>
                  </w:rPr>
                  <w:fldChar w:fldCharType="separate"/>
                </w:r>
                <w:r w:rsidR="00997FEC" w:rsidRPr="00151ABA">
                  <w:rPr>
                    <w:rFonts w:asciiTheme="majorBidi" w:hAnsiTheme="majorBidi" w:cstheme="majorBidi"/>
                    <w:noProof/>
                    <w:sz w:val="20"/>
                    <w:szCs w:val="20"/>
                  </w:rPr>
                  <w:t xml:space="preserve"> (Mehrabian &amp; Russell, 1974)</w:t>
                </w:r>
                <w:r w:rsidR="00997FEC"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w:t>
            </w:r>
          </w:p>
        </w:tc>
        <w:tc>
          <w:tcPr>
            <w:tcW w:w="1701" w:type="dxa"/>
          </w:tcPr>
          <w:p w14:paraId="6A7EF720" w14:textId="689A1234"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 xml:space="preserve">An involuntary bias that occurs when consumers’ evaluation of some attributes of an entity is strongly biased by their perception of other attributes </w:t>
            </w:r>
            <w:sdt>
              <w:sdtPr>
                <w:rPr>
                  <w:rFonts w:asciiTheme="majorBidi" w:hAnsiTheme="majorBidi" w:cstheme="majorBidi"/>
                  <w:sz w:val="20"/>
                  <w:szCs w:val="20"/>
                </w:rPr>
                <w:id w:val="-495181694"/>
                <w:citation/>
              </w:sdtPr>
              <w:sdtContent>
                <w:r w:rsidR="00264F3A" w:rsidRPr="00151ABA">
                  <w:rPr>
                    <w:rFonts w:asciiTheme="majorBidi" w:hAnsiTheme="majorBidi" w:cstheme="majorBidi"/>
                    <w:sz w:val="20"/>
                    <w:szCs w:val="20"/>
                  </w:rPr>
                  <w:fldChar w:fldCharType="begin"/>
                </w:r>
                <w:r w:rsidR="00960E6B" w:rsidRPr="00151ABA">
                  <w:rPr>
                    <w:rFonts w:asciiTheme="majorBidi" w:hAnsiTheme="majorBidi" w:cstheme="majorBidi"/>
                    <w:sz w:val="20"/>
                    <w:szCs w:val="20"/>
                  </w:rPr>
                  <w:instrText xml:space="preserve">CITATION Sun21 \l 2057 </w:instrText>
                </w:r>
                <w:r w:rsidR="00264F3A" w:rsidRPr="00151ABA">
                  <w:rPr>
                    <w:rFonts w:asciiTheme="majorBidi" w:hAnsiTheme="majorBidi" w:cstheme="majorBidi"/>
                    <w:sz w:val="20"/>
                    <w:szCs w:val="20"/>
                  </w:rPr>
                  <w:fldChar w:fldCharType="separate"/>
                </w:r>
                <w:r w:rsidR="00960E6B" w:rsidRPr="00151ABA">
                  <w:rPr>
                    <w:rFonts w:asciiTheme="majorBidi" w:hAnsiTheme="majorBidi" w:cstheme="majorBidi"/>
                    <w:noProof/>
                    <w:sz w:val="20"/>
                    <w:szCs w:val="20"/>
                  </w:rPr>
                  <w:t>(Sundar, Cao, Wu, &amp; Kardes, 2021)</w:t>
                </w:r>
                <w:r w:rsidR="00264F3A" w:rsidRPr="00151ABA">
                  <w:rPr>
                    <w:rFonts w:asciiTheme="majorBidi" w:hAnsiTheme="majorBidi" w:cstheme="majorBidi"/>
                    <w:sz w:val="20"/>
                    <w:szCs w:val="20"/>
                  </w:rPr>
                  <w:fldChar w:fldCharType="end"/>
                </w:r>
              </w:sdtContent>
            </w:sdt>
            <w:r w:rsidR="00264F3A" w:rsidRPr="00151ABA">
              <w:rPr>
                <w:rFonts w:asciiTheme="majorBidi" w:hAnsiTheme="majorBidi" w:cstheme="majorBidi"/>
                <w:sz w:val="20"/>
                <w:szCs w:val="20"/>
              </w:rPr>
              <w:t>.</w:t>
            </w:r>
          </w:p>
        </w:tc>
        <w:tc>
          <w:tcPr>
            <w:tcW w:w="1701" w:type="dxa"/>
          </w:tcPr>
          <w:p w14:paraId="23DB7EBD" w14:textId="1504999F" w:rsidR="00153EE6" w:rsidRPr="00151ABA" w:rsidRDefault="00960E6B" w:rsidP="00960E6B">
            <w:pPr>
              <w:rPr>
                <w:rFonts w:asciiTheme="majorBidi" w:hAnsiTheme="majorBidi" w:cstheme="majorBidi"/>
                <w:sz w:val="20"/>
                <w:szCs w:val="20"/>
              </w:rPr>
            </w:pPr>
            <w:r w:rsidRPr="00151ABA">
              <w:rPr>
                <w:rFonts w:asciiTheme="majorBidi" w:hAnsiTheme="majorBidi" w:cstheme="majorBidi"/>
                <w:sz w:val="20"/>
                <w:szCs w:val="20"/>
              </w:rPr>
              <w:t xml:space="preserve">Value congruence measures the degree to which a person or business has similar personal and brand values </w:t>
            </w:r>
            <w:sdt>
              <w:sdtPr>
                <w:rPr>
                  <w:rFonts w:asciiTheme="majorBidi" w:hAnsiTheme="majorBidi" w:cstheme="majorBidi"/>
                  <w:sz w:val="20"/>
                  <w:szCs w:val="20"/>
                </w:rPr>
                <w:id w:val="-1844084985"/>
                <w:citation/>
              </w:sdtPr>
              <w:sdtContent>
                <w:r w:rsidRPr="00151ABA">
                  <w:rPr>
                    <w:rFonts w:asciiTheme="majorBidi" w:hAnsiTheme="majorBidi" w:cstheme="majorBidi"/>
                    <w:sz w:val="20"/>
                    <w:szCs w:val="20"/>
                  </w:rPr>
                  <w:fldChar w:fldCharType="begin"/>
                </w:r>
                <w:r w:rsidRPr="00151ABA">
                  <w:rPr>
                    <w:rFonts w:asciiTheme="majorBidi" w:hAnsiTheme="majorBidi" w:cstheme="majorBidi"/>
                    <w:sz w:val="20"/>
                    <w:szCs w:val="20"/>
                  </w:rPr>
                  <w:instrText xml:space="preserve"> CITATION Elb16 \l 2057  \m Kal99</w:instrText>
                </w:r>
                <w:r w:rsidRPr="00151ABA">
                  <w:rPr>
                    <w:rFonts w:asciiTheme="majorBidi" w:hAnsiTheme="majorBidi" w:cstheme="majorBidi"/>
                    <w:sz w:val="20"/>
                    <w:szCs w:val="20"/>
                  </w:rPr>
                  <w:fldChar w:fldCharType="separate"/>
                </w:r>
                <w:r w:rsidRPr="00151ABA">
                  <w:rPr>
                    <w:rFonts w:asciiTheme="majorBidi" w:hAnsiTheme="majorBidi" w:cstheme="majorBidi"/>
                    <w:noProof/>
                    <w:sz w:val="20"/>
                    <w:szCs w:val="20"/>
                  </w:rPr>
                  <w:t>(Elbedweihy, Jayawardhena, Elsharnouby, &amp; Elsharnouby, 2016; Kalliath, Bluedorn, &amp; Strube, 1999)</w:t>
                </w:r>
                <w:r w:rsidRPr="00151ABA">
                  <w:rPr>
                    <w:rFonts w:asciiTheme="majorBidi" w:hAnsiTheme="majorBidi" w:cstheme="majorBidi"/>
                    <w:sz w:val="20"/>
                    <w:szCs w:val="20"/>
                  </w:rPr>
                  <w:fldChar w:fldCharType="end"/>
                </w:r>
              </w:sdtContent>
            </w:sdt>
            <w:r w:rsidRPr="00151ABA">
              <w:rPr>
                <w:rFonts w:asciiTheme="majorBidi" w:hAnsiTheme="majorBidi" w:cstheme="majorBidi"/>
                <w:sz w:val="20"/>
                <w:szCs w:val="20"/>
              </w:rPr>
              <w:t xml:space="preserve">. </w:t>
            </w:r>
          </w:p>
        </w:tc>
      </w:tr>
      <w:tr w:rsidR="00153EE6" w:rsidRPr="00151ABA" w14:paraId="3CF0B51A" w14:textId="77777777" w:rsidTr="00C55386">
        <w:tc>
          <w:tcPr>
            <w:tcW w:w="1495" w:type="dxa"/>
          </w:tcPr>
          <w:p w14:paraId="46334123" w14:textId="77777777"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 xml:space="preserve">Main theoretical determinants </w:t>
            </w:r>
          </w:p>
        </w:tc>
        <w:tc>
          <w:tcPr>
            <w:tcW w:w="1765" w:type="dxa"/>
          </w:tcPr>
          <w:p w14:paraId="3756A7D8" w14:textId="41AA13DE" w:rsidR="00153EE6" w:rsidRPr="00151ABA" w:rsidRDefault="00153EE6" w:rsidP="00997FEC">
            <w:pPr>
              <w:rPr>
                <w:rFonts w:asciiTheme="majorBidi" w:hAnsiTheme="majorBidi" w:cstheme="majorBidi"/>
                <w:sz w:val="20"/>
                <w:szCs w:val="20"/>
              </w:rPr>
            </w:pPr>
            <w:r w:rsidRPr="00151ABA">
              <w:rPr>
                <w:rFonts w:asciiTheme="majorBidi" w:hAnsiTheme="majorBidi" w:cstheme="majorBidi"/>
                <w:sz w:val="20"/>
                <w:szCs w:val="20"/>
              </w:rPr>
              <w:t xml:space="preserve">Behavioural attitudes and subjective norms </w:t>
            </w:r>
            <w:sdt>
              <w:sdtPr>
                <w:rPr>
                  <w:rFonts w:asciiTheme="majorBidi" w:hAnsiTheme="majorBidi" w:cstheme="majorBidi"/>
                  <w:sz w:val="20"/>
                  <w:szCs w:val="20"/>
                </w:rPr>
                <w:id w:val="-737093863"/>
                <w:citation/>
              </w:sdtPr>
              <w:sdtContent>
                <w:r w:rsidR="00997FEC" w:rsidRPr="00151ABA">
                  <w:rPr>
                    <w:rFonts w:asciiTheme="majorBidi" w:hAnsiTheme="majorBidi" w:cstheme="majorBidi"/>
                    <w:sz w:val="20"/>
                    <w:szCs w:val="20"/>
                  </w:rPr>
                  <w:fldChar w:fldCharType="begin"/>
                </w:r>
                <w:r w:rsidR="00997FEC" w:rsidRPr="00151ABA">
                  <w:rPr>
                    <w:rFonts w:asciiTheme="majorBidi" w:hAnsiTheme="majorBidi" w:cstheme="majorBidi"/>
                    <w:sz w:val="20"/>
                    <w:szCs w:val="20"/>
                  </w:rPr>
                  <w:instrText xml:space="preserve"> CITATION Fis75 \l 2057 </w:instrText>
                </w:r>
                <w:r w:rsidR="00997FEC" w:rsidRPr="00151ABA">
                  <w:rPr>
                    <w:rFonts w:asciiTheme="majorBidi" w:hAnsiTheme="majorBidi" w:cstheme="majorBidi"/>
                    <w:sz w:val="20"/>
                    <w:szCs w:val="20"/>
                  </w:rPr>
                  <w:fldChar w:fldCharType="separate"/>
                </w:r>
                <w:r w:rsidR="00997FEC" w:rsidRPr="00151ABA">
                  <w:rPr>
                    <w:rFonts w:asciiTheme="majorBidi" w:hAnsiTheme="majorBidi" w:cstheme="majorBidi"/>
                    <w:noProof/>
                    <w:sz w:val="20"/>
                    <w:szCs w:val="20"/>
                  </w:rPr>
                  <w:t>(Fishbein &amp; Ajzen, 1975)</w:t>
                </w:r>
                <w:r w:rsidR="00997FEC" w:rsidRPr="00151ABA">
                  <w:rPr>
                    <w:rFonts w:asciiTheme="majorBidi" w:hAnsiTheme="majorBidi" w:cstheme="majorBidi"/>
                    <w:sz w:val="20"/>
                    <w:szCs w:val="20"/>
                  </w:rPr>
                  <w:fldChar w:fldCharType="end"/>
                </w:r>
              </w:sdtContent>
            </w:sdt>
          </w:p>
        </w:tc>
        <w:tc>
          <w:tcPr>
            <w:tcW w:w="1560" w:type="dxa"/>
          </w:tcPr>
          <w:p w14:paraId="1271D1ED" w14:textId="2342E7FF" w:rsidR="00153EE6" w:rsidRPr="00151ABA" w:rsidRDefault="00153EE6" w:rsidP="00997FEC">
            <w:pPr>
              <w:rPr>
                <w:rFonts w:asciiTheme="majorBidi" w:hAnsiTheme="majorBidi" w:cstheme="majorBidi"/>
                <w:sz w:val="20"/>
                <w:szCs w:val="20"/>
              </w:rPr>
            </w:pPr>
            <w:r w:rsidRPr="00151ABA">
              <w:rPr>
                <w:rFonts w:asciiTheme="majorBidi" w:hAnsiTheme="majorBidi" w:cstheme="majorBidi"/>
                <w:sz w:val="20"/>
                <w:szCs w:val="20"/>
              </w:rPr>
              <w:t>Stimuli, organisms, and response</w:t>
            </w:r>
            <w:r w:rsidR="00997FEC" w:rsidRPr="00151ABA">
              <w:rPr>
                <w:rFonts w:asciiTheme="majorBidi" w:hAnsiTheme="majorBidi" w:cstheme="majorBidi"/>
                <w:sz w:val="20"/>
                <w:szCs w:val="20"/>
              </w:rPr>
              <w:t xml:space="preserve"> </w:t>
            </w:r>
            <w:sdt>
              <w:sdtPr>
                <w:rPr>
                  <w:rFonts w:asciiTheme="majorBidi" w:hAnsiTheme="majorBidi" w:cstheme="majorBidi"/>
                  <w:sz w:val="20"/>
                  <w:szCs w:val="20"/>
                </w:rPr>
                <w:id w:val="1161662265"/>
                <w:citation/>
              </w:sdtPr>
              <w:sdtContent>
                <w:r w:rsidR="00997FEC" w:rsidRPr="00151ABA">
                  <w:rPr>
                    <w:rFonts w:asciiTheme="majorBidi" w:hAnsiTheme="majorBidi" w:cstheme="majorBidi"/>
                    <w:sz w:val="20"/>
                    <w:szCs w:val="20"/>
                  </w:rPr>
                  <w:fldChar w:fldCharType="begin"/>
                </w:r>
                <w:r w:rsidR="00997FEC" w:rsidRPr="00151ABA">
                  <w:rPr>
                    <w:rFonts w:asciiTheme="majorBidi" w:hAnsiTheme="majorBidi" w:cstheme="majorBidi"/>
                    <w:sz w:val="20"/>
                    <w:szCs w:val="20"/>
                  </w:rPr>
                  <w:instrText xml:space="preserve"> CITATION Meh74 \l 2057 </w:instrText>
                </w:r>
                <w:r w:rsidR="00997FEC" w:rsidRPr="00151ABA">
                  <w:rPr>
                    <w:rFonts w:asciiTheme="majorBidi" w:hAnsiTheme="majorBidi" w:cstheme="majorBidi"/>
                    <w:sz w:val="20"/>
                    <w:szCs w:val="20"/>
                  </w:rPr>
                  <w:fldChar w:fldCharType="separate"/>
                </w:r>
                <w:r w:rsidR="00997FEC" w:rsidRPr="00151ABA">
                  <w:rPr>
                    <w:rFonts w:asciiTheme="majorBidi" w:hAnsiTheme="majorBidi" w:cstheme="majorBidi"/>
                    <w:noProof/>
                    <w:sz w:val="20"/>
                    <w:szCs w:val="20"/>
                  </w:rPr>
                  <w:t xml:space="preserve"> (Mehrabian &amp; Russell, 1974)</w:t>
                </w:r>
                <w:r w:rsidR="00997FEC" w:rsidRPr="00151ABA">
                  <w:rPr>
                    <w:rFonts w:asciiTheme="majorBidi" w:hAnsiTheme="majorBidi" w:cstheme="majorBidi"/>
                    <w:sz w:val="20"/>
                    <w:szCs w:val="20"/>
                  </w:rPr>
                  <w:fldChar w:fldCharType="end"/>
                </w:r>
              </w:sdtContent>
            </w:sdt>
          </w:p>
        </w:tc>
        <w:tc>
          <w:tcPr>
            <w:tcW w:w="1701" w:type="dxa"/>
          </w:tcPr>
          <w:p w14:paraId="338F3D60" w14:textId="77777777"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w:t>
            </w:r>
          </w:p>
        </w:tc>
        <w:tc>
          <w:tcPr>
            <w:tcW w:w="1701" w:type="dxa"/>
          </w:tcPr>
          <w:p w14:paraId="19326245" w14:textId="79B950F8" w:rsidR="00153EE6" w:rsidRPr="00151ABA" w:rsidRDefault="00153EE6" w:rsidP="00953448">
            <w:pPr>
              <w:rPr>
                <w:rFonts w:asciiTheme="majorBidi" w:hAnsiTheme="majorBidi" w:cstheme="majorBidi"/>
                <w:sz w:val="20"/>
                <w:szCs w:val="20"/>
              </w:rPr>
            </w:pPr>
          </w:p>
        </w:tc>
      </w:tr>
      <w:tr w:rsidR="00153EE6" w:rsidRPr="00151ABA" w14:paraId="2CFD4B48" w14:textId="77777777" w:rsidTr="00C55386">
        <w:trPr>
          <w:trHeight w:val="2515"/>
        </w:trPr>
        <w:tc>
          <w:tcPr>
            <w:tcW w:w="1495" w:type="dxa"/>
          </w:tcPr>
          <w:p w14:paraId="79607D95" w14:textId="77777777"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Application in this study</w:t>
            </w:r>
          </w:p>
        </w:tc>
        <w:tc>
          <w:tcPr>
            <w:tcW w:w="1765" w:type="dxa"/>
          </w:tcPr>
          <w:p w14:paraId="02DF4748" w14:textId="74BBB118" w:rsidR="00153EE6" w:rsidRPr="00151ABA" w:rsidRDefault="00153EE6" w:rsidP="00960E6B">
            <w:pPr>
              <w:adjustRightInd w:val="0"/>
              <w:rPr>
                <w:rFonts w:asciiTheme="majorBidi" w:hAnsiTheme="majorBidi" w:cstheme="majorBidi"/>
                <w:sz w:val="20"/>
                <w:szCs w:val="20"/>
              </w:rPr>
            </w:pPr>
            <w:r w:rsidRPr="00151ABA">
              <w:rPr>
                <w:rFonts w:asciiTheme="majorBidi" w:hAnsiTheme="majorBidi" w:cstheme="majorBidi"/>
                <w:sz w:val="20"/>
                <w:szCs w:val="20"/>
              </w:rPr>
              <w:t xml:space="preserve">In this study, attitudes are </w:t>
            </w:r>
            <w:r w:rsidRPr="00151ABA">
              <w:rPr>
                <w:rFonts w:asciiTheme="majorBidi" w:hAnsiTheme="majorBidi" w:cstheme="majorBidi"/>
                <w:color w:val="2E2E2E"/>
                <w:sz w:val="20"/>
                <w:szCs w:val="20"/>
              </w:rPr>
              <w:t>ad likeability, brand likeability, emotional brand attachment, brand trust, and perceived brand functionality. CSR perceptions represent subjective norms. Lastly, purchase intention is behavioural intention.</w:t>
            </w:r>
          </w:p>
        </w:tc>
        <w:tc>
          <w:tcPr>
            <w:tcW w:w="1560" w:type="dxa"/>
          </w:tcPr>
          <w:p w14:paraId="7F48F3CB" w14:textId="6A358EC2" w:rsidR="00153EE6" w:rsidRPr="00151ABA" w:rsidRDefault="00153EE6" w:rsidP="00997FEC">
            <w:pPr>
              <w:adjustRightInd w:val="0"/>
              <w:rPr>
                <w:rFonts w:asciiTheme="majorBidi" w:hAnsiTheme="majorBidi" w:cstheme="majorBidi"/>
                <w:color w:val="2E2E2E"/>
                <w:sz w:val="20"/>
                <w:szCs w:val="20"/>
              </w:rPr>
            </w:pPr>
            <w:r w:rsidRPr="00151ABA">
              <w:rPr>
                <w:rFonts w:asciiTheme="majorBidi" w:hAnsiTheme="majorBidi" w:cstheme="majorBidi"/>
                <w:color w:val="2E2E2E"/>
                <w:sz w:val="20"/>
                <w:szCs w:val="20"/>
              </w:rPr>
              <w:t xml:space="preserve">The stimuli are the communication </w:t>
            </w:r>
            <w:r w:rsidR="00FD123D" w:rsidRPr="00151ABA">
              <w:rPr>
                <w:rFonts w:asciiTheme="majorBidi" w:hAnsiTheme="majorBidi" w:cstheme="majorBidi"/>
                <w:color w:val="2E2E2E"/>
                <w:sz w:val="20"/>
                <w:szCs w:val="20"/>
              </w:rPr>
              <w:t xml:space="preserve">strategy </w:t>
            </w:r>
            <w:r w:rsidRPr="00151ABA">
              <w:rPr>
                <w:rFonts w:asciiTheme="majorBidi" w:hAnsiTheme="majorBidi" w:cstheme="majorBidi"/>
                <w:color w:val="2E2E2E"/>
                <w:sz w:val="20"/>
                <w:szCs w:val="20"/>
              </w:rPr>
              <w:t xml:space="preserve">(CSR and non-CSR) and media </w:t>
            </w:r>
            <w:r w:rsidR="00D74555" w:rsidRPr="00151ABA">
              <w:rPr>
                <w:rFonts w:asciiTheme="majorBidi" w:hAnsiTheme="majorBidi" w:cstheme="majorBidi"/>
                <w:color w:val="2E2E2E"/>
                <w:sz w:val="20"/>
                <w:szCs w:val="20"/>
              </w:rPr>
              <w:t xml:space="preserve">vehicle </w:t>
            </w:r>
            <w:r w:rsidRPr="00151ABA">
              <w:rPr>
                <w:rFonts w:asciiTheme="majorBidi" w:hAnsiTheme="majorBidi" w:cstheme="majorBidi"/>
                <w:color w:val="2E2E2E"/>
                <w:sz w:val="20"/>
                <w:szCs w:val="20"/>
              </w:rPr>
              <w:t>(social media and television). Organisms are the brand attitudes and the measured response is purchase intention.</w:t>
            </w:r>
          </w:p>
        </w:tc>
        <w:tc>
          <w:tcPr>
            <w:tcW w:w="1701" w:type="dxa"/>
          </w:tcPr>
          <w:p w14:paraId="2CBDA35D" w14:textId="77777777" w:rsidR="00153EE6" w:rsidRPr="00151ABA" w:rsidRDefault="00153EE6" w:rsidP="00953448">
            <w:pPr>
              <w:rPr>
                <w:rFonts w:asciiTheme="majorBidi" w:hAnsiTheme="majorBidi" w:cstheme="majorBidi"/>
                <w:sz w:val="20"/>
                <w:szCs w:val="20"/>
              </w:rPr>
            </w:pPr>
            <w:r w:rsidRPr="00151ABA">
              <w:rPr>
                <w:rFonts w:asciiTheme="majorBidi" w:hAnsiTheme="majorBidi" w:cstheme="majorBidi"/>
                <w:sz w:val="20"/>
                <w:szCs w:val="20"/>
              </w:rPr>
              <w:t>Through assigned mediators, CSR communication is examined and assumed to have a positive halo effect on purchase intention.</w:t>
            </w:r>
          </w:p>
        </w:tc>
        <w:tc>
          <w:tcPr>
            <w:tcW w:w="1701" w:type="dxa"/>
          </w:tcPr>
          <w:p w14:paraId="023100EE" w14:textId="1C54BE0D" w:rsidR="00153EE6" w:rsidRPr="00151ABA" w:rsidRDefault="00153EE6" w:rsidP="00727E91">
            <w:pPr>
              <w:keepNext/>
              <w:rPr>
                <w:rFonts w:asciiTheme="majorBidi" w:hAnsiTheme="majorBidi" w:cstheme="majorBidi"/>
                <w:sz w:val="20"/>
                <w:szCs w:val="20"/>
              </w:rPr>
            </w:pPr>
            <w:r w:rsidRPr="00151ABA">
              <w:rPr>
                <w:rFonts w:asciiTheme="majorBidi" w:hAnsiTheme="majorBidi" w:cstheme="majorBidi"/>
                <w:sz w:val="20"/>
                <w:szCs w:val="20"/>
              </w:rPr>
              <w:t>The study measures the congruency between respondent’s CSR perception and their attitude</w:t>
            </w:r>
            <w:r w:rsidR="00960E6B" w:rsidRPr="00151ABA">
              <w:rPr>
                <w:rFonts w:asciiTheme="majorBidi" w:hAnsiTheme="majorBidi" w:cstheme="majorBidi"/>
                <w:sz w:val="20"/>
                <w:szCs w:val="20"/>
              </w:rPr>
              <w:t>s</w:t>
            </w:r>
            <w:r w:rsidRPr="00151ABA">
              <w:rPr>
                <w:rFonts w:asciiTheme="majorBidi" w:hAnsiTheme="majorBidi" w:cstheme="majorBidi"/>
                <w:sz w:val="20"/>
                <w:szCs w:val="20"/>
              </w:rPr>
              <w:t xml:space="preserve"> towards the </w:t>
            </w:r>
            <w:r w:rsidR="009B1841" w:rsidRPr="00151ABA">
              <w:rPr>
                <w:rFonts w:asciiTheme="majorBidi" w:hAnsiTheme="majorBidi" w:cstheme="majorBidi"/>
                <w:sz w:val="20"/>
                <w:szCs w:val="20"/>
              </w:rPr>
              <w:t>brand</w:t>
            </w:r>
            <w:r w:rsidRPr="00151ABA">
              <w:rPr>
                <w:rFonts w:asciiTheme="majorBidi" w:hAnsiTheme="majorBidi" w:cstheme="majorBidi"/>
                <w:sz w:val="20"/>
                <w:szCs w:val="20"/>
              </w:rPr>
              <w:t>.</w:t>
            </w:r>
          </w:p>
        </w:tc>
      </w:tr>
    </w:tbl>
    <w:p w14:paraId="0C3DD211" w14:textId="2735D220" w:rsidR="00153EE6" w:rsidRPr="00881416" w:rsidRDefault="00727E91" w:rsidP="00727E91">
      <w:pPr>
        <w:pStyle w:val="Caption"/>
        <w:rPr>
          <w:rFonts w:asciiTheme="majorBidi" w:hAnsiTheme="majorBidi" w:cstheme="majorBidi"/>
          <w:b/>
          <w:bCs/>
          <w:sz w:val="24"/>
          <w:szCs w:val="24"/>
        </w:rPr>
      </w:pPr>
      <w:r>
        <w:t xml:space="preserve">Table </w:t>
      </w:r>
      <w:r w:rsidR="00044DE9">
        <w:t>10</w:t>
      </w:r>
      <w:r>
        <w:t xml:space="preserve"> A summary of conceptual and </w:t>
      </w:r>
      <w:r w:rsidRPr="00727E91">
        <w:t>theoretical frameworks applied in this research</w:t>
      </w:r>
    </w:p>
    <w:p w14:paraId="3AB0968A" w14:textId="27344C6E" w:rsidR="00153EE6" w:rsidRPr="00881416" w:rsidRDefault="00153EE6" w:rsidP="006C5E15">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4.</w:t>
      </w:r>
      <w:r w:rsidR="00CF00C8">
        <w:rPr>
          <w:rFonts w:asciiTheme="majorBidi" w:hAnsiTheme="majorBidi" w:cstheme="majorBidi"/>
          <w:b/>
          <w:bCs/>
          <w:sz w:val="24"/>
          <w:szCs w:val="24"/>
        </w:rPr>
        <w:t>6</w:t>
      </w:r>
      <w:r>
        <w:rPr>
          <w:rFonts w:asciiTheme="majorBidi" w:hAnsiTheme="majorBidi" w:cstheme="majorBidi"/>
          <w:b/>
          <w:bCs/>
          <w:sz w:val="24"/>
          <w:szCs w:val="24"/>
        </w:rPr>
        <w:t xml:space="preserve"> </w:t>
      </w:r>
      <w:r w:rsidRPr="00881416">
        <w:rPr>
          <w:rFonts w:asciiTheme="majorBidi" w:hAnsiTheme="majorBidi" w:cstheme="majorBidi"/>
          <w:b/>
          <w:bCs/>
          <w:sz w:val="24"/>
          <w:szCs w:val="24"/>
        </w:rPr>
        <w:t xml:space="preserve">Conceptual Framework </w:t>
      </w:r>
    </w:p>
    <w:p w14:paraId="238C0719" w14:textId="5AC65481" w:rsidR="00153EE6" w:rsidRDefault="00153EE6" w:rsidP="00EA3C8B">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T</w:t>
      </w:r>
      <w:r w:rsidRPr="008E18E3">
        <w:rPr>
          <w:rFonts w:asciiTheme="majorBidi" w:hAnsiTheme="majorBidi" w:cstheme="majorBidi"/>
          <w:sz w:val="24"/>
          <w:szCs w:val="24"/>
        </w:rPr>
        <w:t>his study i</w:t>
      </w:r>
      <w:r>
        <w:rPr>
          <w:rFonts w:asciiTheme="majorBidi" w:hAnsiTheme="majorBidi" w:cstheme="majorBidi"/>
          <w:sz w:val="24"/>
          <w:szCs w:val="24"/>
        </w:rPr>
        <w:t xml:space="preserve">ntegrates the </w:t>
      </w:r>
      <w:r w:rsidR="006370D4">
        <w:rPr>
          <w:rFonts w:asciiTheme="majorBidi" w:hAnsiTheme="majorBidi" w:cstheme="majorBidi"/>
          <w:sz w:val="24"/>
          <w:szCs w:val="24"/>
        </w:rPr>
        <w:t xml:space="preserve">TRA, </w:t>
      </w:r>
      <w:r>
        <w:rPr>
          <w:rFonts w:asciiTheme="majorBidi" w:hAnsiTheme="majorBidi" w:cstheme="majorBidi"/>
          <w:sz w:val="24"/>
          <w:szCs w:val="24"/>
        </w:rPr>
        <w:t xml:space="preserve">SOR theory, halo effect, and </w:t>
      </w:r>
      <w:r w:rsidR="00960E6B">
        <w:rPr>
          <w:rFonts w:asciiTheme="majorBidi" w:hAnsiTheme="majorBidi" w:cstheme="majorBidi"/>
          <w:sz w:val="24"/>
          <w:szCs w:val="24"/>
        </w:rPr>
        <w:t>value congruence</w:t>
      </w:r>
      <w:r w:rsidRPr="008E18E3">
        <w:rPr>
          <w:rFonts w:asciiTheme="majorBidi" w:hAnsiTheme="majorBidi" w:cstheme="majorBidi"/>
          <w:sz w:val="24"/>
          <w:szCs w:val="24"/>
        </w:rPr>
        <w:t xml:space="preserve"> to examine brand attitudes resulting from </w:t>
      </w:r>
      <w:r>
        <w:rPr>
          <w:rFonts w:asciiTheme="majorBidi" w:hAnsiTheme="majorBidi" w:cstheme="majorBidi"/>
          <w:sz w:val="24"/>
          <w:szCs w:val="24"/>
        </w:rPr>
        <w:t>CSR and non-CSR</w:t>
      </w:r>
      <w:r w:rsidRPr="008E18E3">
        <w:rPr>
          <w:rFonts w:asciiTheme="majorBidi" w:hAnsiTheme="majorBidi" w:cstheme="majorBidi"/>
          <w:sz w:val="24"/>
          <w:szCs w:val="24"/>
        </w:rPr>
        <w:t xml:space="preserve"> communication strategies and how they affect purchase intention</w:t>
      </w:r>
      <w:r>
        <w:rPr>
          <w:rFonts w:asciiTheme="majorBidi" w:hAnsiTheme="majorBidi" w:cstheme="majorBidi"/>
          <w:sz w:val="24"/>
          <w:szCs w:val="24"/>
        </w:rPr>
        <w:t xml:space="preserve"> for a low involvement product</w:t>
      </w:r>
      <w:r w:rsidR="006370D4">
        <w:rPr>
          <w:rFonts w:asciiTheme="majorBidi" w:hAnsiTheme="majorBidi" w:cstheme="majorBidi"/>
          <w:sz w:val="24"/>
          <w:szCs w:val="24"/>
        </w:rPr>
        <w:t xml:space="preserve"> </w:t>
      </w:r>
      <w:r w:rsidR="00960E6B">
        <w:rPr>
          <w:rFonts w:asciiTheme="majorBidi" w:hAnsiTheme="majorBidi" w:cstheme="majorBidi"/>
          <w:sz w:val="24"/>
          <w:szCs w:val="24"/>
        </w:rPr>
        <w:t>like</w:t>
      </w:r>
      <w:r>
        <w:rPr>
          <w:rFonts w:asciiTheme="majorBidi" w:hAnsiTheme="majorBidi" w:cstheme="majorBidi"/>
          <w:sz w:val="24"/>
          <w:szCs w:val="24"/>
        </w:rPr>
        <w:t xml:space="preserve"> Dettol</w:t>
      </w:r>
      <w:r w:rsidRPr="008E18E3">
        <w:rPr>
          <w:rFonts w:asciiTheme="majorBidi" w:hAnsiTheme="majorBidi" w:cstheme="majorBidi"/>
          <w:sz w:val="24"/>
          <w:szCs w:val="24"/>
        </w:rPr>
        <w:t xml:space="preserve">. This study </w:t>
      </w:r>
      <w:r w:rsidR="00B76357">
        <w:rPr>
          <w:rFonts w:asciiTheme="majorBidi" w:hAnsiTheme="majorBidi" w:cstheme="majorBidi"/>
          <w:sz w:val="24"/>
          <w:szCs w:val="24"/>
        </w:rPr>
        <w:t xml:space="preserve">employs the TRA and </w:t>
      </w:r>
      <w:r w:rsidRPr="008E18E3">
        <w:rPr>
          <w:rFonts w:asciiTheme="majorBidi" w:hAnsiTheme="majorBidi" w:cstheme="majorBidi"/>
          <w:sz w:val="24"/>
          <w:szCs w:val="24"/>
        </w:rPr>
        <w:t xml:space="preserve">focuses on examining attitudes towards the brand instead of attitudes towards the behaviour as mentioned in the original </w:t>
      </w:r>
      <w:r>
        <w:rPr>
          <w:rFonts w:asciiTheme="majorBidi" w:hAnsiTheme="majorBidi" w:cstheme="majorBidi"/>
          <w:sz w:val="24"/>
          <w:szCs w:val="24"/>
        </w:rPr>
        <w:t xml:space="preserve">TRA </w:t>
      </w:r>
      <w:r w:rsidRPr="008E18E3">
        <w:rPr>
          <w:rFonts w:asciiTheme="majorBidi" w:hAnsiTheme="majorBidi" w:cstheme="majorBidi"/>
          <w:sz w:val="24"/>
          <w:szCs w:val="24"/>
        </w:rPr>
        <w:t xml:space="preserve">for </w:t>
      </w:r>
      <w:r w:rsidR="003F58C2">
        <w:rPr>
          <w:rFonts w:asciiTheme="majorBidi" w:hAnsiTheme="majorBidi" w:cstheme="majorBidi"/>
          <w:sz w:val="24"/>
          <w:szCs w:val="24"/>
        </w:rPr>
        <w:t>three</w:t>
      </w:r>
      <w:r w:rsidRPr="008E18E3">
        <w:rPr>
          <w:rFonts w:asciiTheme="majorBidi" w:hAnsiTheme="majorBidi" w:cstheme="majorBidi"/>
          <w:sz w:val="24"/>
          <w:szCs w:val="24"/>
        </w:rPr>
        <w:t xml:space="preserve"> main reasons. Firstly, this study examines a brand in the FMCG category</w:t>
      </w:r>
      <w:r>
        <w:rPr>
          <w:rFonts w:asciiTheme="majorBidi" w:hAnsiTheme="majorBidi" w:cstheme="majorBidi"/>
          <w:sz w:val="24"/>
          <w:szCs w:val="24"/>
        </w:rPr>
        <w:t xml:space="preserve"> which is known as a</w:t>
      </w:r>
      <w:r w:rsidR="00960E6B">
        <w:rPr>
          <w:rFonts w:asciiTheme="majorBidi" w:hAnsiTheme="majorBidi" w:cstheme="majorBidi"/>
          <w:sz w:val="24"/>
          <w:szCs w:val="24"/>
        </w:rPr>
        <w:t xml:space="preserve"> low involvement </w:t>
      </w:r>
      <w:r>
        <w:rPr>
          <w:rFonts w:asciiTheme="majorBidi" w:hAnsiTheme="majorBidi" w:cstheme="majorBidi"/>
          <w:sz w:val="24"/>
          <w:szCs w:val="24"/>
        </w:rPr>
        <w:t>category</w:t>
      </w:r>
      <w:sdt>
        <w:sdtPr>
          <w:rPr>
            <w:rFonts w:asciiTheme="majorBidi" w:hAnsiTheme="majorBidi" w:cstheme="majorBidi"/>
            <w:sz w:val="24"/>
            <w:szCs w:val="24"/>
          </w:rPr>
          <w:id w:val="110678012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Pau21 \l 2057  \m 08</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(Paul, 2021; Pandya &amp; Pandya,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8E18E3">
        <w:rPr>
          <w:rFonts w:asciiTheme="majorBidi" w:hAnsiTheme="majorBidi" w:cstheme="majorBidi"/>
          <w:sz w:val="24"/>
          <w:szCs w:val="24"/>
        </w:rPr>
        <w:t>As discussed in the previous chapter, FMCG is classified as a low involvement category</w:t>
      </w:r>
      <w:sdt>
        <w:sdtPr>
          <w:rPr>
            <w:rFonts w:asciiTheme="majorBidi" w:hAnsiTheme="majorBidi" w:cstheme="majorBidi"/>
            <w:sz w:val="24"/>
            <w:szCs w:val="24"/>
          </w:rPr>
          <w:id w:val="543187286"/>
          <w:citation/>
        </w:sdtPr>
        <w:sdtContent>
          <w:r w:rsidRPr="008E18E3">
            <w:rPr>
              <w:rFonts w:asciiTheme="majorBidi" w:hAnsiTheme="majorBidi" w:cstheme="majorBidi"/>
              <w:sz w:val="24"/>
              <w:szCs w:val="24"/>
            </w:rPr>
            <w:fldChar w:fldCharType="begin"/>
          </w:r>
          <w:r w:rsidRPr="008E18E3">
            <w:rPr>
              <w:rFonts w:asciiTheme="majorBidi" w:hAnsiTheme="majorBidi" w:cstheme="majorBidi"/>
              <w:sz w:val="24"/>
              <w:szCs w:val="24"/>
            </w:rPr>
            <w:instrText xml:space="preserve"> CITATION Bas20 \l 2057  \m Pan22</w:instrText>
          </w:r>
          <w:r w:rsidRPr="008E18E3">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(Bashir, Jørgensen, Pedersen, &amp; Skard, 2020; Panda, Masani, &amp; Dasgupta , 2022)</w:t>
          </w:r>
          <w:r w:rsidRPr="008E18E3">
            <w:rPr>
              <w:rFonts w:asciiTheme="majorBidi" w:hAnsiTheme="majorBidi" w:cstheme="majorBidi"/>
              <w:sz w:val="24"/>
              <w:szCs w:val="24"/>
            </w:rPr>
            <w:fldChar w:fldCharType="end"/>
          </w:r>
        </w:sdtContent>
      </w:sdt>
      <w:r w:rsidRPr="008E18E3">
        <w:rPr>
          <w:rFonts w:asciiTheme="majorBidi" w:hAnsiTheme="majorBidi" w:cstheme="majorBidi"/>
          <w:sz w:val="24"/>
          <w:szCs w:val="24"/>
        </w:rPr>
        <w:t xml:space="preserve"> in which consumers of this category do not perceive the purchase as a high risk and the </w:t>
      </w:r>
      <w:r w:rsidR="00B76357">
        <w:rPr>
          <w:rFonts w:asciiTheme="majorBidi" w:hAnsiTheme="majorBidi" w:cstheme="majorBidi"/>
          <w:sz w:val="24"/>
          <w:szCs w:val="24"/>
        </w:rPr>
        <w:t xml:space="preserve">purchase </w:t>
      </w:r>
      <w:r w:rsidRPr="008E18E3">
        <w:rPr>
          <w:rFonts w:asciiTheme="majorBidi" w:hAnsiTheme="majorBidi" w:cstheme="majorBidi"/>
          <w:sz w:val="24"/>
          <w:szCs w:val="24"/>
        </w:rPr>
        <w:t>decision does</w:t>
      </w:r>
      <w:r w:rsidR="006317F3">
        <w:rPr>
          <w:rFonts w:asciiTheme="majorBidi" w:hAnsiTheme="majorBidi" w:cstheme="majorBidi"/>
          <w:sz w:val="24"/>
          <w:szCs w:val="24"/>
        </w:rPr>
        <w:t xml:space="preserve"> no</w:t>
      </w:r>
      <w:r w:rsidRPr="008E18E3">
        <w:rPr>
          <w:rFonts w:asciiTheme="majorBidi" w:hAnsiTheme="majorBidi" w:cstheme="majorBidi"/>
          <w:sz w:val="24"/>
          <w:szCs w:val="24"/>
        </w:rPr>
        <w:t>t take a lot of time</w:t>
      </w:r>
      <w:sdt>
        <w:sdtPr>
          <w:rPr>
            <w:rFonts w:asciiTheme="majorBidi" w:hAnsiTheme="majorBidi" w:cstheme="majorBidi"/>
            <w:sz w:val="24"/>
            <w:szCs w:val="24"/>
          </w:rPr>
          <w:id w:val="-1347562500"/>
          <w:citation/>
        </w:sdtPr>
        <w:sdtContent>
          <w:r w:rsidRPr="008E18E3">
            <w:rPr>
              <w:rFonts w:asciiTheme="majorBidi" w:hAnsiTheme="majorBidi" w:cstheme="majorBidi"/>
              <w:sz w:val="24"/>
              <w:szCs w:val="24"/>
            </w:rPr>
            <w:fldChar w:fldCharType="begin"/>
          </w:r>
          <w:r w:rsidRPr="008E18E3">
            <w:rPr>
              <w:rFonts w:asciiTheme="majorBidi" w:hAnsiTheme="majorBidi" w:cstheme="majorBidi"/>
              <w:sz w:val="24"/>
              <w:szCs w:val="24"/>
            </w:rPr>
            <w:instrText xml:space="preserve"> CITATION Adh19 \l 2057  \m Bha19</w:instrText>
          </w:r>
          <w:r w:rsidRPr="008E18E3">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(Adhikari, 2019; Bhasin, 2019)</w:t>
          </w:r>
          <w:r w:rsidRPr="008E18E3">
            <w:rPr>
              <w:rFonts w:asciiTheme="majorBidi" w:hAnsiTheme="majorBidi" w:cstheme="majorBidi"/>
              <w:sz w:val="24"/>
              <w:szCs w:val="24"/>
            </w:rPr>
            <w:fldChar w:fldCharType="end"/>
          </w:r>
        </w:sdtContent>
      </w:sdt>
      <w:r w:rsidRPr="008E18E3">
        <w:rPr>
          <w:rFonts w:asciiTheme="majorBidi" w:hAnsiTheme="majorBidi" w:cstheme="majorBidi"/>
          <w:sz w:val="24"/>
          <w:szCs w:val="24"/>
        </w:rPr>
        <w:t xml:space="preserve">. </w:t>
      </w:r>
      <w:r w:rsidR="001757CE">
        <w:rPr>
          <w:rFonts w:asciiTheme="majorBidi" w:hAnsiTheme="majorBidi" w:cstheme="majorBidi"/>
          <w:sz w:val="24"/>
          <w:szCs w:val="24"/>
        </w:rPr>
        <w:t xml:space="preserve">Hence, examining attitudes towards the brand was deemed more appropriate than attitudes towards the act of purchase. </w:t>
      </w:r>
      <w:r w:rsidRPr="008E18E3">
        <w:rPr>
          <w:rFonts w:asciiTheme="majorBidi" w:hAnsiTheme="majorBidi" w:cstheme="majorBidi"/>
          <w:sz w:val="24"/>
          <w:szCs w:val="24"/>
        </w:rPr>
        <w:t>Secondly</w:t>
      </w:r>
      <w:r>
        <w:rPr>
          <w:rFonts w:asciiTheme="majorBidi" w:hAnsiTheme="majorBidi" w:cstheme="majorBidi"/>
          <w:sz w:val="24"/>
          <w:szCs w:val="24"/>
        </w:rPr>
        <w:t xml:space="preserve">, </w:t>
      </w:r>
      <w:r w:rsidR="0055310C">
        <w:rPr>
          <w:rFonts w:asciiTheme="majorBidi" w:hAnsiTheme="majorBidi" w:cstheme="majorBidi"/>
          <w:sz w:val="24"/>
          <w:szCs w:val="24"/>
        </w:rPr>
        <w:t xml:space="preserve">the study </w:t>
      </w:r>
      <w:r w:rsidR="00960E6B">
        <w:rPr>
          <w:rFonts w:asciiTheme="majorBidi" w:hAnsiTheme="majorBidi" w:cstheme="majorBidi"/>
          <w:sz w:val="24"/>
          <w:szCs w:val="24"/>
        </w:rPr>
        <w:t>inspects</w:t>
      </w:r>
      <w:r w:rsidR="0055310C">
        <w:rPr>
          <w:rFonts w:asciiTheme="majorBidi" w:hAnsiTheme="majorBidi" w:cstheme="majorBidi"/>
          <w:sz w:val="24"/>
          <w:szCs w:val="24"/>
        </w:rPr>
        <w:t xml:space="preserve"> different brand attitudes resulting from the stimuli in which </w:t>
      </w:r>
      <w:r w:rsidRPr="008E18E3">
        <w:rPr>
          <w:rFonts w:asciiTheme="majorBidi" w:hAnsiTheme="majorBidi" w:cstheme="majorBidi"/>
          <w:sz w:val="24"/>
          <w:szCs w:val="24"/>
        </w:rPr>
        <w:t>some</w:t>
      </w:r>
      <w:r w:rsidR="0055310C">
        <w:rPr>
          <w:rFonts w:asciiTheme="majorBidi" w:hAnsiTheme="majorBidi" w:cstheme="majorBidi"/>
          <w:sz w:val="24"/>
          <w:szCs w:val="24"/>
        </w:rPr>
        <w:t xml:space="preserve"> attitudes are</w:t>
      </w:r>
      <w:r w:rsidRPr="008E18E3">
        <w:rPr>
          <w:rFonts w:asciiTheme="majorBidi" w:hAnsiTheme="majorBidi" w:cstheme="majorBidi"/>
          <w:sz w:val="24"/>
          <w:szCs w:val="24"/>
        </w:rPr>
        <w:t xml:space="preserve"> </w:t>
      </w:r>
      <w:r w:rsidR="00960E6B" w:rsidRPr="008E18E3">
        <w:rPr>
          <w:rFonts w:asciiTheme="majorBidi" w:hAnsiTheme="majorBidi" w:cstheme="majorBidi"/>
          <w:sz w:val="24"/>
          <w:szCs w:val="24"/>
        </w:rPr>
        <w:t>cognitive,</w:t>
      </w:r>
      <w:r w:rsidRPr="008E18E3">
        <w:rPr>
          <w:rFonts w:asciiTheme="majorBidi" w:hAnsiTheme="majorBidi" w:cstheme="majorBidi"/>
          <w:sz w:val="24"/>
          <w:szCs w:val="24"/>
        </w:rPr>
        <w:t xml:space="preserve"> and some </w:t>
      </w:r>
      <w:r w:rsidR="0055310C">
        <w:rPr>
          <w:rFonts w:asciiTheme="majorBidi" w:hAnsiTheme="majorBidi" w:cstheme="majorBidi"/>
          <w:sz w:val="24"/>
          <w:szCs w:val="24"/>
        </w:rPr>
        <w:t xml:space="preserve">are </w:t>
      </w:r>
      <w:r w:rsidRPr="008E18E3">
        <w:rPr>
          <w:rFonts w:asciiTheme="majorBidi" w:hAnsiTheme="majorBidi" w:cstheme="majorBidi"/>
          <w:sz w:val="24"/>
          <w:szCs w:val="24"/>
        </w:rPr>
        <w:t xml:space="preserve">affective </w:t>
      </w:r>
      <w:r w:rsidR="00960E6B">
        <w:rPr>
          <w:rFonts w:asciiTheme="majorBidi" w:hAnsiTheme="majorBidi" w:cstheme="majorBidi"/>
          <w:sz w:val="24"/>
          <w:szCs w:val="24"/>
        </w:rPr>
        <w:t xml:space="preserve">as implemented by the </w:t>
      </w:r>
      <w:r>
        <w:rPr>
          <w:rFonts w:asciiTheme="majorBidi" w:hAnsiTheme="majorBidi" w:cstheme="majorBidi"/>
          <w:sz w:val="24"/>
          <w:szCs w:val="24"/>
        </w:rPr>
        <w:t xml:space="preserve">SOR </w:t>
      </w:r>
      <w:r w:rsidR="00960E6B">
        <w:rPr>
          <w:rFonts w:asciiTheme="majorBidi" w:hAnsiTheme="majorBidi" w:cstheme="majorBidi"/>
          <w:sz w:val="24"/>
          <w:szCs w:val="24"/>
        </w:rPr>
        <w:t>model</w:t>
      </w:r>
      <w:r>
        <w:rPr>
          <w:rFonts w:asciiTheme="majorBidi" w:hAnsiTheme="majorBidi" w:cstheme="majorBidi"/>
          <w:sz w:val="24"/>
          <w:szCs w:val="24"/>
        </w:rPr>
        <w:t xml:space="preserve">. </w:t>
      </w:r>
      <w:r w:rsidR="003F58C2">
        <w:rPr>
          <w:rFonts w:asciiTheme="majorBidi" w:hAnsiTheme="majorBidi" w:cstheme="majorBidi"/>
          <w:sz w:val="24"/>
          <w:szCs w:val="24"/>
        </w:rPr>
        <w:t xml:space="preserve">Thirdly, the main focus of this study is to examine different approaches and factors surrounding consumers </w:t>
      </w:r>
      <w:r w:rsidR="00B76357">
        <w:rPr>
          <w:rFonts w:asciiTheme="majorBidi" w:hAnsiTheme="majorBidi" w:cstheme="majorBidi"/>
          <w:sz w:val="24"/>
          <w:szCs w:val="24"/>
        </w:rPr>
        <w:t>by</w:t>
      </w:r>
      <w:r w:rsidR="003F58C2">
        <w:rPr>
          <w:rFonts w:asciiTheme="majorBidi" w:hAnsiTheme="majorBidi" w:cstheme="majorBidi"/>
          <w:sz w:val="24"/>
          <w:szCs w:val="24"/>
        </w:rPr>
        <w:t xml:space="preserve"> which CSR or non-CSR communication strategy </w:t>
      </w:r>
      <w:r w:rsidR="00B76357">
        <w:rPr>
          <w:rFonts w:asciiTheme="majorBidi" w:hAnsiTheme="majorBidi" w:cstheme="majorBidi"/>
          <w:sz w:val="24"/>
          <w:szCs w:val="24"/>
        </w:rPr>
        <w:t xml:space="preserve">can </w:t>
      </w:r>
      <w:r w:rsidR="003F58C2">
        <w:rPr>
          <w:rFonts w:asciiTheme="majorBidi" w:hAnsiTheme="majorBidi" w:cstheme="majorBidi"/>
          <w:sz w:val="24"/>
          <w:szCs w:val="24"/>
        </w:rPr>
        <w:t xml:space="preserve">lead to consumers’ purchase intention. Thus, </w:t>
      </w:r>
      <w:r w:rsidR="006317F3">
        <w:rPr>
          <w:rFonts w:asciiTheme="majorBidi" w:hAnsiTheme="majorBidi" w:cstheme="majorBidi"/>
          <w:sz w:val="24"/>
          <w:szCs w:val="24"/>
        </w:rPr>
        <w:t>this study deems TRA</w:t>
      </w:r>
      <w:r w:rsidR="003F58C2">
        <w:rPr>
          <w:rFonts w:asciiTheme="majorBidi" w:hAnsiTheme="majorBidi" w:cstheme="majorBidi"/>
          <w:sz w:val="24"/>
          <w:szCs w:val="24"/>
        </w:rPr>
        <w:t xml:space="preserve"> to be the most suitable theory. </w:t>
      </w:r>
      <w:r w:rsidR="00D160DB">
        <w:rPr>
          <w:rFonts w:asciiTheme="majorBidi" w:hAnsiTheme="majorBidi" w:cstheme="majorBidi"/>
          <w:sz w:val="24"/>
          <w:szCs w:val="24"/>
        </w:rPr>
        <w:t>This study integrates the TRA with SOR</w:t>
      </w:r>
      <w:r w:rsidR="00452BB0">
        <w:rPr>
          <w:rFonts w:asciiTheme="majorBidi" w:hAnsiTheme="majorBidi" w:cstheme="majorBidi"/>
          <w:sz w:val="24"/>
          <w:szCs w:val="24"/>
        </w:rPr>
        <w:t xml:space="preserve"> framework</w:t>
      </w:r>
      <w:r w:rsidR="00D160DB">
        <w:rPr>
          <w:rFonts w:asciiTheme="majorBidi" w:hAnsiTheme="majorBidi" w:cstheme="majorBidi"/>
          <w:sz w:val="24"/>
          <w:szCs w:val="24"/>
        </w:rPr>
        <w:t xml:space="preserve"> to include the relationship with the stimuli or the main independent variables with brand attitudes and purchase intentions. Also, the halo effect of the stimuli on brand attitudes and purchase intention is examined. Furthermore, the subjective norms of TRA</w:t>
      </w:r>
      <w:r w:rsidR="006317F3">
        <w:rPr>
          <w:rFonts w:asciiTheme="majorBidi" w:hAnsiTheme="majorBidi" w:cstheme="majorBidi"/>
          <w:sz w:val="24"/>
          <w:szCs w:val="24"/>
        </w:rPr>
        <w:t>,</w:t>
      </w:r>
      <w:r w:rsidR="00D160DB">
        <w:rPr>
          <w:rFonts w:asciiTheme="majorBidi" w:hAnsiTheme="majorBidi" w:cstheme="majorBidi"/>
          <w:sz w:val="24"/>
          <w:szCs w:val="24"/>
        </w:rPr>
        <w:t xml:space="preserve"> which is depicted as CSR perception </w:t>
      </w:r>
      <w:r w:rsidR="00EA3C8B">
        <w:rPr>
          <w:rFonts w:asciiTheme="majorBidi" w:hAnsiTheme="majorBidi" w:cstheme="majorBidi"/>
          <w:sz w:val="24"/>
          <w:szCs w:val="24"/>
        </w:rPr>
        <w:t>in this study</w:t>
      </w:r>
      <w:r w:rsidR="006317F3">
        <w:rPr>
          <w:rFonts w:asciiTheme="majorBidi" w:hAnsiTheme="majorBidi" w:cstheme="majorBidi"/>
          <w:sz w:val="24"/>
          <w:szCs w:val="24"/>
        </w:rPr>
        <w:t>,</w:t>
      </w:r>
      <w:r w:rsidR="00EA3C8B">
        <w:rPr>
          <w:rFonts w:asciiTheme="majorBidi" w:hAnsiTheme="majorBidi" w:cstheme="majorBidi"/>
          <w:sz w:val="24"/>
          <w:szCs w:val="24"/>
        </w:rPr>
        <w:t xml:space="preserve"> </w:t>
      </w:r>
      <w:r w:rsidR="00D160DB">
        <w:rPr>
          <w:rFonts w:asciiTheme="majorBidi" w:hAnsiTheme="majorBidi" w:cstheme="majorBidi"/>
          <w:sz w:val="24"/>
          <w:szCs w:val="24"/>
        </w:rPr>
        <w:t xml:space="preserve">was utilised to examine the congruence between consumers’ CSR perception, brand attitudes, and purchase intentions. </w:t>
      </w:r>
      <w:r>
        <w:rPr>
          <w:rFonts w:asciiTheme="majorBidi" w:hAnsiTheme="majorBidi" w:cstheme="majorBidi"/>
          <w:sz w:val="24"/>
          <w:szCs w:val="24"/>
        </w:rPr>
        <w:t xml:space="preserve">Figure </w:t>
      </w:r>
      <w:r w:rsidR="0040301C">
        <w:rPr>
          <w:rFonts w:asciiTheme="majorBidi" w:hAnsiTheme="majorBidi" w:cstheme="majorBidi"/>
          <w:sz w:val="24"/>
          <w:szCs w:val="24"/>
        </w:rPr>
        <w:t>9</w:t>
      </w:r>
      <w:r>
        <w:rPr>
          <w:rFonts w:asciiTheme="majorBidi" w:hAnsiTheme="majorBidi" w:cstheme="majorBidi"/>
          <w:sz w:val="24"/>
          <w:szCs w:val="24"/>
        </w:rPr>
        <w:t xml:space="preserve"> presents the study’s conceptual </w:t>
      </w:r>
      <w:r w:rsidR="00452BB0">
        <w:rPr>
          <w:rFonts w:asciiTheme="majorBidi" w:hAnsiTheme="majorBidi" w:cstheme="majorBidi"/>
          <w:sz w:val="24"/>
          <w:szCs w:val="24"/>
        </w:rPr>
        <w:t>framework</w:t>
      </w:r>
      <w:r>
        <w:rPr>
          <w:rFonts w:asciiTheme="majorBidi" w:hAnsiTheme="majorBidi" w:cstheme="majorBidi"/>
          <w:sz w:val="24"/>
          <w:szCs w:val="24"/>
        </w:rPr>
        <w:t xml:space="preserve">. </w:t>
      </w:r>
    </w:p>
    <w:p w14:paraId="19D01BEB" w14:textId="77777777" w:rsidR="005F35ED" w:rsidRDefault="005F35ED" w:rsidP="00EA3C8B">
      <w:pPr>
        <w:adjustRightInd w:val="0"/>
        <w:spacing w:after="0" w:line="480" w:lineRule="auto"/>
        <w:ind w:firstLine="720"/>
        <w:rPr>
          <w:rFonts w:asciiTheme="majorBidi" w:hAnsiTheme="majorBidi" w:cstheme="majorBidi"/>
          <w:sz w:val="24"/>
          <w:szCs w:val="24"/>
        </w:rPr>
      </w:pPr>
    </w:p>
    <w:p w14:paraId="2990BE5F" w14:textId="77777777" w:rsidR="005F35ED" w:rsidRDefault="005F35ED" w:rsidP="00EA3C8B">
      <w:pPr>
        <w:adjustRightInd w:val="0"/>
        <w:spacing w:after="0" w:line="480" w:lineRule="auto"/>
        <w:ind w:firstLine="720"/>
        <w:rPr>
          <w:rFonts w:asciiTheme="majorBidi" w:hAnsiTheme="majorBidi" w:cstheme="majorBidi"/>
          <w:sz w:val="24"/>
          <w:szCs w:val="24"/>
        </w:rPr>
      </w:pPr>
    </w:p>
    <w:p w14:paraId="4DF91130" w14:textId="42984ED9" w:rsidR="00153EE6" w:rsidRDefault="00153EE6" w:rsidP="00153EE6">
      <w:pPr>
        <w:adjustRightInd w:val="0"/>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  </w:t>
      </w:r>
    </w:p>
    <w:p w14:paraId="17579E9F" w14:textId="1620B5DB" w:rsidR="00202557" w:rsidRDefault="00202557" w:rsidP="00153EE6">
      <w:pPr>
        <w:adjustRightInd w:val="0"/>
        <w:spacing w:line="480" w:lineRule="auto"/>
        <w:ind w:firstLine="720"/>
        <w:rPr>
          <w:rFonts w:asciiTheme="majorBidi" w:hAnsiTheme="majorBidi" w:cstheme="majorBidi"/>
          <w:sz w:val="24"/>
          <w:szCs w:val="24"/>
        </w:rPr>
      </w:pPr>
      <w:r>
        <w:rPr>
          <w:noProof/>
        </w:rPr>
        <w:drawing>
          <wp:anchor distT="0" distB="0" distL="114300" distR="114300" simplePos="0" relativeHeight="251651584" behindDoc="1" locked="0" layoutInCell="1" allowOverlap="1" wp14:anchorId="0995788C" wp14:editId="04AFEDDB">
            <wp:simplePos x="0" y="0"/>
            <wp:positionH relativeFrom="margin">
              <wp:posOffset>442259</wp:posOffset>
            </wp:positionH>
            <wp:positionV relativeFrom="paragraph">
              <wp:posOffset>-187549</wp:posOffset>
            </wp:positionV>
            <wp:extent cx="3860800" cy="3339258"/>
            <wp:effectExtent l="0" t="0" r="6350" b="0"/>
            <wp:wrapSquare wrapText="bothSides"/>
            <wp:docPr id="28371444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14444" name="Picture 1" descr="A diagram of a 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65461" cy="3343290"/>
                    </a:xfrm>
                    <a:prstGeom prst="rect">
                      <a:avLst/>
                    </a:prstGeom>
                  </pic:spPr>
                </pic:pic>
              </a:graphicData>
            </a:graphic>
            <wp14:sizeRelH relativeFrom="margin">
              <wp14:pctWidth>0</wp14:pctWidth>
            </wp14:sizeRelH>
            <wp14:sizeRelV relativeFrom="margin">
              <wp14:pctHeight>0</wp14:pctHeight>
            </wp14:sizeRelV>
          </wp:anchor>
        </w:drawing>
      </w:r>
    </w:p>
    <w:p w14:paraId="68AB9998" w14:textId="3A577AB3" w:rsidR="00202557" w:rsidRDefault="00202557" w:rsidP="00153EE6">
      <w:pPr>
        <w:adjustRightInd w:val="0"/>
        <w:spacing w:line="480" w:lineRule="auto"/>
        <w:ind w:firstLine="720"/>
        <w:rPr>
          <w:rFonts w:asciiTheme="majorBidi" w:hAnsiTheme="majorBidi" w:cstheme="majorBidi"/>
          <w:sz w:val="24"/>
          <w:szCs w:val="24"/>
        </w:rPr>
      </w:pPr>
    </w:p>
    <w:p w14:paraId="124DEE9B" w14:textId="3DBC86E2" w:rsidR="00257A6E" w:rsidRDefault="00257A6E" w:rsidP="00761C2C">
      <w:pPr>
        <w:adjustRightInd w:val="0"/>
        <w:spacing w:line="480" w:lineRule="auto"/>
        <w:ind w:firstLine="720"/>
        <w:rPr>
          <w:rFonts w:asciiTheme="majorBidi" w:hAnsiTheme="majorBidi"/>
          <w:sz w:val="24"/>
          <w:szCs w:val="24"/>
        </w:rPr>
      </w:pPr>
    </w:p>
    <w:p w14:paraId="4EE191A8" w14:textId="77777777" w:rsidR="00202557" w:rsidRDefault="00202557" w:rsidP="00761C2C">
      <w:pPr>
        <w:adjustRightInd w:val="0"/>
        <w:spacing w:line="480" w:lineRule="auto"/>
        <w:ind w:firstLine="720"/>
        <w:rPr>
          <w:rFonts w:asciiTheme="majorBidi" w:hAnsiTheme="majorBidi"/>
          <w:sz w:val="24"/>
          <w:szCs w:val="24"/>
        </w:rPr>
      </w:pPr>
    </w:p>
    <w:p w14:paraId="45EA2293" w14:textId="77777777" w:rsidR="00202557" w:rsidRDefault="00202557" w:rsidP="00761C2C">
      <w:pPr>
        <w:adjustRightInd w:val="0"/>
        <w:spacing w:line="480" w:lineRule="auto"/>
        <w:ind w:firstLine="720"/>
        <w:rPr>
          <w:rFonts w:asciiTheme="majorBidi" w:hAnsiTheme="majorBidi"/>
          <w:sz w:val="24"/>
          <w:szCs w:val="24"/>
        </w:rPr>
      </w:pPr>
    </w:p>
    <w:p w14:paraId="44E52ADD" w14:textId="77777777" w:rsidR="00202557" w:rsidRDefault="00202557" w:rsidP="00761C2C">
      <w:pPr>
        <w:adjustRightInd w:val="0"/>
        <w:spacing w:line="480" w:lineRule="auto"/>
        <w:ind w:firstLine="720"/>
        <w:rPr>
          <w:rFonts w:asciiTheme="majorBidi" w:hAnsiTheme="majorBidi"/>
          <w:sz w:val="24"/>
          <w:szCs w:val="24"/>
        </w:rPr>
      </w:pPr>
    </w:p>
    <w:p w14:paraId="08B96868" w14:textId="77777777" w:rsidR="00905454" w:rsidRDefault="00905454" w:rsidP="00761C2C">
      <w:pPr>
        <w:adjustRightInd w:val="0"/>
        <w:spacing w:line="480" w:lineRule="auto"/>
        <w:ind w:firstLine="720"/>
        <w:rPr>
          <w:rFonts w:asciiTheme="majorBidi" w:hAnsiTheme="majorBidi"/>
          <w:sz w:val="24"/>
          <w:szCs w:val="24"/>
        </w:rPr>
      </w:pPr>
    </w:p>
    <w:p w14:paraId="7C5CBBA8" w14:textId="2FEB9663" w:rsidR="00905454" w:rsidRDefault="003F61F9" w:rsidP="00761C2C">
      <w:pPr>
        <w:adjustRightInd w:val="0"/>
        <w:spacing w:line="480" w:lineRule="auto"/>
        <w:ind w:firstLine="720"/>
        <w:rPr>
          <w:rFonts w:asciiTheme="majorBidi" w:hAnsiTheme="majorBidi"/>
          <w:sz w:val="24"/>
          <w:szCs w:val="24"/>
        </w:rPr>
      </w:pPr>
      <w:r>
        <w:rPr>
          <w:noProof/>
        </w:rPr>
        <mc:AlternateContent>
          <mc:Choice Requires="wps">
            <w:drawing>
              <wp:anchor distT="0" distB="0" distL="114300" distR="114300" simplePos="0" relativeHeight="251660800" behindDoc="0" locked="0" layoutInCell="1" allowOverlap="1" wp14:anchorId="13FCA8E4" wp14:editId="55EE3EC9">
                <wp:simplePos x="0" y="0"/>
                <wp:positionH relativeFrom="column">
                  <wp:posOffset>316230</wp:posOffset>
                </wp:positionH>
                <wp:positionV relativeFrom="paragraph">
                  <wp:posOffset>176530</wp:posOffset>
                </wp:positionV>
                <wp:extent cx="3860800" cy="266700"/>
                <wp:effectExtent l="0" t="0" r="0" b="0"/>
                <wp:wrapSquare wrapText="bothSides"/>
                <wp:docPr id="2917575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800" cy="266700"/>
                        </a:xfrm>
                        <a:prstGeom prst="rect">
                          <a:avLst/>
                        </a:prstGeom>
                        <a:solidFill>
                          <a:prstClr val="white"/>
                        </a:solidFill>
                        <a:ln>
                          <a:noFill/>
                        </a:ln>
                      </wps:spPr>
                      <wps:txbx>
                        <w:txbxContent>
                          <w:p w14:paraId="5A8B4874" w14:textId="1772F031" w:rsidR="00905454" w:rsidRPr="009B10F7" w:rsidRDefault="00905454" w:rsidP="00905454">
                            <w:pPr>
                              <w:pStyle w:val="Caption"/>
                              <w:rPr>
                                <w:noProof/>
                              </w:rPr>
                            </w:pPr>
                            <w:r>
                              <w:t>Figure 9 The study’s conceptual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3FCA8E4" id="Text Box 9" o:spid="_x0000_s1027" type="#_x0000_t202" style="position:absolute;left:0;text-align:left;margin-left:24.9pt;margin-top:13.9pt;width:30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" stroked="f">
                <v:textbox style="mso-fit-shape-to-text:t" inset="0,0,0,0">
                  <w:txbxContent>
                    <w:p w14:paraId="5A8B4874" w14:textId="1772F031" w:rsidR="00905454" w:rsidRPr="009B10F7" w:rsidRDefault="00905454" w:rsidP="00905454">
                      <w:pPr>
                        <w:pStyle w:val="Caption"/>
                        <w:rPr>
                          <w:noProof/>
                        </w:rPr>
                      </w:pPr>
                      <w:r>
                        <w:t>Figure 9 The study’s conceptual framework</w:t>
                      </w:r>
                    </w:p>
                  </w:txbxContent>
                </v:textbox>
                <w10:wrap type="square"/>
              </v:shape>
            </w:pict>
          </mc:Fallback>
        </mc:AlternateContent>
      </w:r>
    </w:p>
    <w:p w14:paraId="271D3FF3" w14:textId="1B458CCE" w:rsidR="00AB1BFC" w:rsidRPr="006E435C" w:rsidRDefault="00AB1BFC" w:rsidP="006E435C">
      <w:pPr>
        <w:adjustRightInd w:val="0"/>
        <w:spacing w:line="480" w:lineRule="auto"/>
        <w:ind w:firstLine="720"/>
        <w:rPr>
          <w:rFonts w:asciiTheme="majorBidi" w:hAnsiTheme="majorBidi" w:cstheme="majorBidi"/>
          <w:b/>
          <w:bCs/>
          <w:sz w:val="24"/>
          <w:szCs w:val="24"/>
        </w:rPr>
      </w:pPr>
      <w:r w:rsidRPr="00EA3C8B">
        <w:rPr>
          <w:rFonts w:asciiTheme="majorBidi" w:hAnsiTheme="majorBidi"/>
          <w:sz w:val="24"/>
          <w:szCs w:val="24"/>
        </w:rPr>
        <w:t xml:space="preserve">The above framework </w:t>
      </w:r>
      <w:r w:rsidR="00EA3C8B" w:rsidRPr="00EA3C8B">
        <w:rPr>
          <w:rFonts w:asciiTheme="majorBidi" w:hAnsiTheme="majorBidi"/>
          <w:sz w:val="24"/>
          <w:szCs w:val="24"/>
        </w:rPr>
        <w:t>portrays</w:t>
      </w:r>
      <w:r w:rsidRPr="00EA3C8B">
        <w:rPr>
          <w:rFonts w:asciiTheme="majorBidi" w:hAnsiTheme="majorBidi"/>
          <w:sz w:val="24"/>
          <w:szCs w:val="24"/>
        </w:rPr>
        <w:t xml:space="preserve"> the essence of this study’s </w:t>
      </w:r>
      <w:r w:rsidR="003F5714">
        <w:rPr>
          <w:rFonts w:asciiTheme="majorBidi" w:hAnsiTheme="majorBidi"/>
          <w:sz w:val="24"/>
          <w:szCs w:val="24"/>
        </w:rPr>
        <w:t>hypotheses</w:t>
      </w:r>
      <w:r w:rsidRPr="00EA3C8B">
        <w:rPr>
          <w:rFonts w:asciiTheme="majorBidi" w:hAnsiTheme="majorBidi"/>
          <w:sz w:val="24"/>
          <w:szCs w:val="24"/>
        </w:rPr>
        <w:t xml:space="preserve"> </w:t>
      </w:r>
      <w:r w:rsidR="00E14D1D" w:rsidRPr="00EA3C8B">
        <w:rPr>
          <w:rFonts w:asciiTheme="majorBidi" w:hAnsiTheme="majorBidi"/>
          <w:sz w:val="24"/>
          <w:szCs w:val="24"/>
        </w:rPr>
        <w:t>while also presenting the main theoretical frameworks of this study</w:t>
      </w:r>
      <w:r w:rsidRPr="00EA3C8B">
        <w:rPr>
          <w:rFonts w:asciiTheme="majorBidi" w:hAnsiTheme="majorBidi"/>
          <w:sz w:val="24"/>
          <w:szCs w:val="24"/>
        </w:rPr>
        <w:t>.</w:t>
      </w:r>
      <w:r w:rsidR="00E14D1D">
        <w:rPr>
          <w:rFonts w:asciiTheme="majorBidi" w:hAnsiTheme="majorBidi"/>
          <w:sz w:val="24"/>
          <w:szCs w:val="24"/>
        </w:rPr>
        <w:t xml:space="preserve"> The </w:t>
      </w:r>
      <w:r w:rsidR="00131FA8">
        <w:rPr>
          <w:rFonts w:asciiTheme="majorBidi" w:hAnsiTheme="majorBidi"/>
          <w:sz w:val="24"/>
          <w:szCs w:val="24"/>
        </w:rPr>
        <w:t>bolded black</w:t>
      </w:r>
      <w:r w:rsidR="00E14D1D">
        <w:rPr>
          <w:rFonts w:asciiTheme="majorBidi" w:hAnsiTheme="majorBidi"/>
          <w:sz w:val="24"/>
          <w:szCs w:val="24"/>
        </w:rPr>
        <w:t xml:space="preserve"> frames </w:t>
      </w:r>
      <w:r w:rsidR="00131FA8">
        <w:rPr>
          <w:rFonts w:asciiTheme="majorBidi" w:hAnsiTheme="majorBidi"/>
          <w:sz w:val="24"/>
          <w:szCs w:val="24"/>
        </w:rPr>
        <w:t>re</w:t>
      </w:r>
      <w:r w:rsidR="00E14D1D">
        <w:rPr>
          <w:rFonts w:asciiTheme="majorBidi" w:hAnsiTheme="majorBidi"/>
          <w:sz w:val="24"/>
          <w:szCs w:val="24"/>
        </w:rPr>
        <w:t xml:space="preserve">present the study’s application of norms, attitudes, and </w:t>
      </w:r>
      <w:r w:rsidR="001A14FD">
        <w:rPr>
          <w:rFonts w:asciiTheme="majorBidi" w:hAnsiTheme="majorBidi"/>
          <w:sz w:val="24"/>
          <w:szCs w:val="24"/>
        </w:rPr>
        <w:t>behavioural</w:t>
      </w:r>
      <w:r w:rsidR="00E14D1D">
        <w:rPr>
          <w:rFonts w:asciiTheme="majorBidi" w:hAnsiTheme="majorBidi"/>
          <w:sz w:val="24"/>
          <w:szCs w:val="24"/>
        </w:rPr>
        <w:t xml:space="preserve"> intention as main determinants of TRA.</w:t>
      </w:r>
      <w:r w:rsidR="0073676F">
        <w:rPr>
          <w:rFonts w:asciiTheme="majorBidi" w:hAnsiTheme="majorBidi"/>
          <w:sz w:val="24"/>
          <w:szCs w:val="24"/>
        </w:rPr>
        <w:t xml:space="preserve"> </w:t>
      </w:r>
      <w:r w:rsidR="00131FA8">
        <w:rPr>
          <w:rFonts w:asciiTheme="majorBidi" w:hAnsiTheme="majorBidi"/>
          <w:sz w:val="24"/>
          <w:szCs w:val="24"/>
        </w:rPr>
        <w:t>T</w:t>
      </w:r>
      <w:r w:rsidR="0073676F">
        <w:rPr>
          <w:rFonts w:asciiTheme="majorBidi" w:hAnsiTheme="majorBidi"/>
          <w:sz w:val="24"/>
          <w:szCs w:val="24"/>
        </w:rPr>
        <w:t>he three</w:t>
      </w:r>
      <w:r w:rsidR="007769FF">
        <w:rPr>
          <w:rFonts w:asciiTheme="majorBidi" w:hAnsiTheme="majorBidi"/>
          <w:sz w:val="24"/>
          <w:szCs w:val="24"/>
        </w:rPr>
        <w:t xml:space="preserve"> arrowed</w:t>
      </w:r>
      <w:r w:rsidR="0073676F">
        <w:rPr>
          <w:rFonts w:asciiTheme="majorBidi" w:hAnsiTheme="majorBidi"/>
          <w:sz w:val="24"/>
          <w:szCs w:val="24"/>
        </w:rPr>
        <w:t xml:space="preserve"> boxes</w:t>
      </w:r>
      <w:r w:rsidR="007769FF">
        <w:rPr>
          <w:rFonts w:asciiTheme="majorBidi" w:hAnsiTheme="majorBidi"/>
          <w:sz w:val="24"/>
          <w:szCs w:val="24"/>
        </w:rPr>
        <w:t xml:space="preserve"> point to</w:t>
      </w:r>
      <w:r w:rsidR="0073676F">
        <w:rPr>
          <w:rFonts w:asciiTheme="majorBidi" w:hAnsiTheme="majorBidi"/>
          <w:sz w:val="24"/>
          <w:szCs w:val="24"/>
        </w:rPr>
        <w:t xml:space="preserve"> the stimuli, organisms, and responses of the SOR </w:t>
      </w:r>
      <w:r w:rsidR="00257A6E">
        <w:rPr>
          <w:rFonts w:asciiTheme="majorBidi" w:hAnsiTheme="majorBidi"/>
          <w:sz w:val="24"/>
          <w:szCs w:val="24"/>
        </w:rPr>
        <w:t>model</w:t>
      </w:r>
      <w:r w:rsidR="007769FF">
        <w:rPr>
          <w:rFonts w:asciiTheme="majorBidi" w:hAnsiTheme="majorBidi"/>
          <w:sz w:val="24"/>
          <w:szCs w:val="24"/>
        </w:rPr>
        <w:t xml:space="preserve"> that are below every arrowed box. </w:t>
      </w:r>
      <w:r w:rsidR="00E14D1D">
        <w:rPr>
          <w:rFonts w:asciiTheme="majorBidi" w:hAnsiTheme="majorBidi"/>
          <w:sz w:val="24"/>
          <w:szCs w:val="24"/>
        </w:rPr>
        <w:t xml:space="preserve">The </w:t>
      </w:r>
      <w:r w:rsidR="00D419FC">
        <w:rPr>
          <w:rFonts w:asciiTheme="majorBidi" w:hAnsiTheme="majorBidi"/>
          <w:sz w:val="24"/>
          <w:szCs w:val="24"/>
        </w:rPr>
        <w:t>grey upper and lower</w:t>
      </w:r>
      <w:r w:rsidR="00E14D1D">
        <w:rPr>
          <w:rFonts w:asciiTheme="majorBidi" w:hAnsiTheme="majorBidi"/>
          <w:sz w:val="24"/>
          <w:szCs w:val="24"/>
        </w:rPr>
        <w:t xml:space="preserve"> arch</w:t>
      </w:r>
      <w:r w:rsidR="00D419FC">
        <w:rPr>
          <w:rFonts w:asciiTheme="majorBidi" w:hAnsiTheme="majorBidi"/>
          <w:sz w:val="24"/>
          <w:szCs w:val="24"/>
        </w:rPr>
        <w:t>ed arrows</w:t>
      </w:r>
      <w:r w:rsidR="00E14D1D">
        <w:rPr>
          <w:rFonts w:asciiTheme="majorBidi" w:hAnsiTheme="majorBidi"/>
          <w:sz w:val="24"/>
          <w:szCs w:val="24"/>
        </w:rPr>
        <w:t xml:space="preserve"> </w:t>
      </w:r>
      <w:r w:rsidR="00D419FC">
        <w:rPr>
          <w:rFonts w:asciiTheme="majorBidi" w:hAnsiTheme="majorBidi"/>
          <w:sz w:val="24"/>
          <w:szCs w:val="24"/>
        </w:rPr>
        <w:t>re</w:t>
      </w:r>
      <w:r w:rsidR="00E14D1D">
        <w:rPr>
          <w:rFonts w:asciiTheme="majorBidi" w:hAnsiTheme="majorBidi"/>
          <w:sz w:val="24"/>
          <w:szCs w:val="24"/>
        </w:rPr>
        <w:t xml:space="preserve">present the </w:t>
      </w:r>
      <w:r w:rsidR="00D419FC">
        <w:rPr>
          <w:rFonts w:asciiTheme="majorBidi" w:hAnsiTheme="majorBidi"/>
          <w:sz w:val="24"/>
          <w:szCs w:val="24"/>
        </w:rPr>
        <w:t xml:space="preserve">direct and </w:t>
      </w:r>
      <w:r w:rsidR="00E14D1D">
        <w:rPr>
          <w:rFonts w:asciiTheme="majorBidi" w:hAnsiTheme="majorBidi"/>
          <w:sz w:val="24"/>
          <w:szCs w:val="24"/>
        </w:rPr>
        <w:t xml:space="preserve">halo effect of CSR communication and media </w:t>
      </w:r>
      <w:r w:rsidR="00D74555">
        <w:rPr>
          <w:rFonts w:asciiTheme="majorBidi" w:hAnsiTheme="majorBidi"/>
          <w:sz w:val="24"/>
          <w:szCs w:val="24"/>
        </w:rPr>
        <w:t xml:space="preserve">vehicle </w:t>
      </w:r>
      <w:r w:rsidR="00AA0D5E">
        <w:rPr>
          <w:rFonts w:asciiTheme="majorBidi" w:hAnsiTheme="majorBidi"/>
          <w:sz w:val="24"/>
          <w:szCs w:val="24"/>
        </w:rPr>
        <w:t>(which is part of the stimuli)</w:t>
      </w:r>
      <w:r w:rsidR="00E14D1D">
        <w:rPr>
          <w:rFonts w:asciiTheme="majorBidi" w:hAnsiTheme="majorBidi"/>
          <w:sz w:val="24"/>
          <w:szCs w:val="24"/>
        </w:rPr>
        <w:t xml:space="preserve"> on purchase intention.</w:t>
      </w:r>
      <w:r w:rsidR="0073676F">
        <w:rPr>
          <w:rFonts w:asciiTheme="majorBidi" w:hAnsiTheme="majorBidi"/>
          <w:sz w:val="24"/>
          <w:szCs w:val="24"/>
        </w:rPr>
        <w:t xml:space="preserve"> Lastly, the </w:t>
      </w:r>
      <w:r w:rsidR="00D419FC">
        <w:rPr>
          <w:rFonts w:asciiTheme="majorBidi" w:hAnsiTheme="majorBidi"/>
          <w:sz w:val="24"/>
          <w:szCs w:val="24"/>
        </w:rPr>
        <w:t xml:space="preserve">value </w:t>
      </w:r>
      <w:r w:rsidR="0073676F">
        <w:rPr>
          <w:rFonts w:asciiTheme="majorBidi" w:hAnsiTheme="majorBidi"/>
          <w:sz w:val="24"/>
          <w:szCs w:val="24"/>
        </w:rPr>
        <w:t xml:space="preserve">congruity </w:t>
      </w:r>
      <w:r w:rsidR="00D419FC">
        <w:rPr>
          <w:rFonts w:asciiTheme="majorBidi" w:hAnsiTheme="majorBidi"/>
          <w:sz w:val="24"/>
          <w:szCs w:val="24"/>
        </w:rPr>
        <w:t>concept</w:t>
      </w:r>
      <w:r w:rsidR="0073676F">
        <w:rPr>
          <w:rFonts w:asciiTheme="majorBidi" w:hAnsiTheme="majorBidi"/>
          <w:sz w:val="24"/>
          <w:szCs w:val="24"/>
        </w:rPr>
        <w:t xml:space="preserve"> is </w:t>
      </w:r>
      <w:r w:rsidR="00180873">
        <w:rPr>
          <w:rFonts w:asciiTheme="majorBidi" w:hAnsiTheme="majorBidi"/>
          <w:sz w:val="24"/>
          <w:szCs w:val="24"/>
        </w:rPr>
        <w:t>depicted</w:t>
      </w:r>
      <w:r w:rsidR="0073676F">
        <w:rPr>
          <w:rFonts w:asciiTheme="majorBidi" w:hAnsiTheme="majorBidi"/>
          <w:sz w:val="24"/>
          <w:szCs w:val="24"/>
        </w:rPr>
        <w:t xml:space="preserve"> in the relationship from CSR perception </w:t>
      </w:r>
      <w:r w:rsidR="00D419FC">
        <w:rPr>
          <w:rFonts w:asciiTheme="majorBidi" w:hAnsiTheme="majorBidi"/>
          <w:sz w:val="24"/>
          <w:szCs w:val="24"/>
        </w:rPr>
        <w:t>and</w:t>
      </w:r>
      <w:r w:rsidR="0073676F">
        <w:rPr>
          <w:rFonts w:asciiTheme="majorBidi" w:hAnsiTheme="majorBidi"/>
          <w:sz w:val="24"/>
          <w:szCs w:val="24"/>
        </w:rPr>
        <w:t xml:space="preserve"> </w:t>
      </w:r>
      <w:r w:rsidR="00180873">
        <w:rPr>
          <w:rFonts w:asciiTheme="majorBidi" w:hAnsiTheme="majorBidi"/>
          <w:sz w:val="24"/>
          <w:szCs w:val="24"/>
        </w:rPr>
        <w:t>brand</w:t>
      </w:r>
      <w:r w:rsidR="0073676F">
        <w:rPr>
          <w:rFonts w:asciiTheme="majorBidi" w:hAnsiTheme="majorBidi"/>
          <w:sz w:val="24"/>
          <w:szCs w:val="24"/>
        </w:rPr>
        <w:t xml:space="preserve"> attitudes.</w:t>
      </w:r>
      <w:r w:rsidR="00E14D1D">
        <w:rPr>
          <w:rFonts w:asciiTheme="majorBidi" w:hAnsiTheme="majorBidi"/>
          <w:sz w:val="24"/>
          <w:szCs w:val="24"/>
        </w:rPr>
        <w:t xml:space="preserve"> </w:t>
      </w:r>
      <w:r>
        <w:rPr>
          <w:rFonts w:asciiTheme="majorBidi" w:hAnsiTheme="majorBidi"/>
          <w:sz w:val="24"/>
          <w:szCs w:val="24"/>
        </w:rPr>
        <w:t xml:space="preserve">As presented in the previous chapter, </w:t>
      </w:r>
      <w:r w:rsidR="00180873">
        <w:rPr>
          <w:rFonts w:asciiTheme="majorBidi" w:hAnsiTheme="majorBidi"/>
          <w:sz w:val="24"/>
          <w:szCs w:val="24"/>
        </w:rPr>
        <w:t>e</w:t>
      </w:r>
      <w:r w:rsidR="00AA0D5E">
        <w:rPr>
          <w:rFonts w:asciiTheme="majorBidi" w:hAnsiTheme="majorBidi"/>
          <w:sz w:val="24"/>
          <w:szCs w:val="24"/>
        </w:rPr>
        <w:t>ight</w:t>
      </w:r>
      <w:r>
        <w:rPr>
          <w:rFonts w:asciiTheme="majorBidi" w:hAnsiTheme="majorBidi"/>
          <w:sz w:val="24"/>
          <w:szCs w:val="24"/>
        </w:rPr>
        <w:t xml:space="preserve"> of the hypotheses emerged from literature and </w:t>
      </w:r>
      <w:r w:rsidR="009F574A">
        <w:rPr>
          <w:rFonts w:asciiTheme="majorBidi" w:hAnsiTheme="majorBidi"/>
          <w:sz w:val="24"/>
          <w:szCs w:val="24"/>
        </w:rPr>
        <w:t>three</w:t>
      </w:r>
      <w:r>
        <w:rPr>
          <w:rFonts w:asciiTheme="majorBidi" w:hAnsiTheme="majorBidi"/>
          <w:sz w:val="24"/>
          <w:szCs w:val="24"/>
        </w:rPr>
        <w:t xml:space="preserve"> hypotheses emerged from the theoretical review as examined in this chapter. The below table summarises the main research questions and hypotheses that this thesis poses. The next chapter addresses the methodologies that were applied to achieve the objectives of this thesis.   </w:t>
      </w:r>
    </w:p>
    <w:p w14:paraId="5DE2B02C" w14:textId="77777777" w:rsidR="009F574A" w:rsidRDefault="009F574A">
      <w:r>
        <w:br w:type="page"/>
      </w:r>
    </w:p>
    <w:tbl>
      <w:tblPr>
        <w:tblStyle w:val="TableGrid"/>
        <w:tblW w:w="0" w:type="auto"/>
        <w:tblInd w:w="534" w:type="dxa"/>
        <w:tblLook w:val="04A0" w:firstRow="1" w:lastRow="0" w:firstColumn="1" w:lastColumn="0" w:noHBand="0" w:noVBand="1"/>
      </w:tblPr>
      <w:tblGrid>
        <w:gridCol w:w="3543"/>
        <w:gridCol w:w="4395"/>
      </w:tblGrid>
      <w:tr w:rsidR="00AB1BFC" w:rsidRPr="00151ABA" w14:paraId="21DA476E" w14:textId="77777777" w:rsidTr="00026112">
        <w:tc>
          <w:tcPr>
            <w:tcW w:w="3543" w:type="dxa"/>
          </w:tcPr>
          <w:p w14:paraId="10D51C6A" w14:textId="45155174" w:rsidR="00AB1BFC" w:rsidRPr="00151ABA" w:rsidRDefault="00AB1BFC" w:rsidP="007A225E">
            <w:pPr>
              <w:rPr>
                <w:rFonts w:asciiTheme="majorBidi" w:hAnsiTheme="majorBidi" w:cstheme="majorBidi"/>
                <w:sz w:val="20"/>
                <w:szCs w:val="20"/>
                <w:lang w:val="en-US"/>
              </w:rPr>
            </w:pPr>
            <w:r w:rsidRPr="00151ABA">
              <w:rPr>
                <w:rFonts w:asciiTheme="majorBidi" w:hAnsiTheme="majorBidi" w:cstheme="majorBidi"/>
                <w:sz w:val="20"/>
                <w:szCs w:val="20"/>
                <w:lang w:val="en-US"/>
              </w:rPr>
              <w:t xml:space="preserve">Research Questions </w:t>
            </w:r>
          </w:p>
        </w:tc>
        <w:tc>
          <w:tcPr>
            <w:tcW w:w="4395" w:type="dxa"/>
          </w:tcPr>
          <w:p w14:paraId="5AAFB5B2" w14:textId="7C365255" w:rsidR="00AB1BFC" w:rsidRPr="00151ABA" w:rsidRDefault="00AB1BFC" w:rsidP="007A225E">
            <w:pPr>
              <w:rPr>
                <w:rFonts w:asciiTheme="majorBidi" w:hAnsiTheme="majorBidi" w:cstheme="majorBidi"/>
                <w:sz w:val="20"/>
                <w:szCs w:val="20"/>
                <w:lang w:val="en-US"/>
              </w:rPr>
            </w:pPr>
            <w:r w:rsidRPr="00151ABA">
              <w:rPr>
                <w:rFonts w:asciiTheme="majorBidi" w:hAnsiTheme="majorBidi" w:cstheme="majorBidi"/>
                <w:sz w:val="20"/>
                <w:szCs w:val="20"/>
                <w:lang w:val="en-US"/>
              </w:rPr>
              <w:t xml:space="preserve">Hypotheses </w:t>
            </w:r>
          </w:p>
        </w:tc>
      </w:tr>
      <w:tr w:rsidR="00AB1BFC" w:rsidRPr="00151ABA" w14:paraId="4CE7BFC6" w14:textId="77777777" w:rsidTr="00026112">
        <w:trPr>
          <w:trHeight w:val="912"/>
        </w:trPr>
        <w:tc>
          <w:tcPr>
            <w:tcW w:w="3543" w:type="dxa"/>
          </w:tcPr>
          <w:p w14:paraId="584CBEA5" w14:textId="7CC6CB77" w:rsidR="00AB1BFC" w:rsidRPr="00151ABA" w:rsidRDefault="00E11D13" w:rsidP="00151ABA">
            <w:pPr>
              <w:pStyle w:val="NormalWeb"/>
              <w:spacing w:before="0" w:beforeAutospacing="0" w:after="0" w:afterAutospacing="0"/>
              <w:rPr>
                <w:rFonts w:asciiTheme="majorBidi" w:hAnsiTheme="majorBidi" w:cstheme="majorBidi"/>
                <w:sz w:val="20"/>
                <w:szCs w:val="20"/>
              </w:rPr>
            </w:pPr>
            <w:r w:rsidRPr="00151ABA">
              <w:rPr>
                <w:rFonts w:asciiTheme="majorBidi" w:hAnsiTheme="majorBidi" w:cstheme="majorBidi"/>
                <w:sz w:val="20"/>
                <w:szCs w:val="20"/>
              </w:rPr>
              <w:t xml:space="preserve">RQ1: What is the effect of CSR communication on Egyptian consumers of FMCG and how does this affect their attitudes </w:t>
            </w:r>
            <w:r w:rsidR="001F075B" w:rsidRPr="00151ABA">
              <w:rPr>
                <w:rFonts w:asciiTheme="majorBidi" w:hAnsiTheme="majorBidi" w:cstheme="majorBidi"/>
                <w:sz w:val="20"/>
                <w:szCs w:val="20"/>
              </w:rPr>
              <w:t xml:space="preserve">and purchase intentions </w:t>
            </w:r>
            <w:r w:rsidRPr="00151ABA">
              <w:rPr>
                <w:rFonts w:asciiTheme="majorBidi" w:hAnsiTheme="majorBidi" w:cstheme="majorBidi"/>
                <w:sz w:val="20"/>
                <w:szCs w:val="20"/>
              </w:rPr>
              <w:t>towards the brand?</w:t>
            </w:r>
          </w:p>
        </w:tc>
        <w:tc>
          <w:tcPr>
            <w:tcW w:w="4395" w:type="dxa"/>
          </w:tcPr>
          <w:p w14:paraId="133AAC11" w14:textId="3B992410" w:rsidR="00AB1BFC" w:rsidRPr="00151ABA" w:rsidRDefault="007A225E" w:rsidP="00151ABA">
            <w:pPr>
              <w:pStyle w:val="NormalWeb"/>
              <w:spacing w:before="0" w:beforeAutospacing="0" w:after="0" w:afterAutospacing="0"/>
              <w:rPr>
                <w:rFonts w:asciiTheme="majorBidi" w:eastAsia="Arial" w:hAnsiTheme="majorBidi" w:cstheme="majorBidi"/>
                <w:sz w:val="20"/>
                <w:szCs w:val="20"/>
              </w:rPr>
            </w:pPr>
            <w:r w:rsidRPr="00151ABA">
              <w:rPr>
                <w:rFonts w:asciiTheme="majorBidi" w:eastAsia="Arial" w:hAnsiTheme="majorBidi" w:cstheme="majorBidi"/>
                <w:sz w:val="20"/>
                <w:szCs w:val="20"/>
              </w:rPr>
              <w:t>H</w:t>
            </w:r>
            <w:r w:rsidR="00287490" w:rsidRPr="00151ABA">
              <w:rPr>
                <w:rFonts w:asciiTheme="majorBidi" w:eastAsia="Arial" w:hAnsiTheme="majorBidi" w:cstheme="majorBidi"/>
                <w:sz w:val="20"/>
                <w:szCs w:val="20"/>
              </w:rPr>
              <w:t>1</w:t>
            </w:r>
            <w:r w:rsidRPr="00151ABA">
              <w:rPr>
                <w:rFonts w:asciiTheme="majorBidi" w:eastAsia="Arial" w:hAnsiTheme="majorBidi" w:cstheme="majorBidi"/>
                <w:sz w:val="20"/>
                <w:szCs w:val="20"/>
              </w:rPr>
              <w:t>: CSR communication has a positive effect on (a) brand likeability and (b) ad likeability on consumers in Egypt more than non-CSR communication.</w:t>
            </w:r>
          </w:p>
        </w:tc>
      </w:tr>
      <w:tr w:rsidR="00AB1BFC" w:rsidRPr="00151ABA" w14:paraId="15589904" w14:textId="77777777" w:rsidTr="00026112">
        <w:trPr>
          <w:trHeight w:val="644"/>
        </w:trPr>
        <w:tc>
          <w:tcPr>
            <w:tcW w:w="3543" w:type="dxa"/>
          </w:tcPr>
          <w:p w14:paraId="71B4E039" w14:textId="59CA91E7" w:rsidR="00AB1BFC" w:rsidRPr="00151ABA" w:rsidRDefault="00AB1BFC" w:rsidP="00151ABA">
            <w:pPr>
              <w:pStyle w:val="NormalWeb"/>
              <w:spacing w:before="0" w:beforeAutospacing="0" w:after="120" w:afterAutospacing="0"/>
              <w:rPr>
                <w:rFonts w:asciiTheme="majorBidi" w:hAnsiTheme="majorBidi" w:cstheme="majorBidi"/>
                <w:sz w:val="20"/>
                <w:szCs w:val="20"/>
              </w:rPr>
            </w:pPr>
          </w:p>
        </w:tc>
        <w:tc>
          <w:tcPr>
            <w:tcW w:w="4395" w:type="dxa"/>
          </w:tcPr>
          <w:p w14:paraId="430AEDFB" w14:textId="0CF305B9" w:rsidR="00AB1BFC" w:rsidRPr="00151ABA" w:rsidRDefault="007A225E" w:rsidP="00151ABA">
            <w:pPr>
              <w:pStyle w:val="NormalWeb"/>
              <w:spacing w:before="0" w:beforeAutospacing="0" w:after="0" w:afterAutospacing="0"/>
              <w:rPr>
                <w:rFonts w:asciiTheme="majorBidi" w:eastAsia="Arial" w:hAnsiTheme="majorBidi" w:cstheme="majorBidi"/>
                <w:sz w:val="20"/>
                <w:szCs w:val="20"/>
              </w:rPr>
            </w:pPr>
            <w:r w:rsidRPr="00151ABA">
              <w:rPr>
                <w:rFonts w:asciiTheme="majorBidi" w:eastAsia="Arial" w:hAnsiTheme="majorBidi" w:cstheme="majorBidi"/>
                <w:sz w:val="20"/>
                <w:szCs w:val="20"/>
              </w:rPr>
              <w:t>H</w:t>
            </w:r>
            <w:r w:rsidR="00287490" w:rsidRPr="00151ABA">
              <w:rPr>
                <w:rFonts w:asciiTheme="majorBidi" w:eastAsia="Arial" w:hAnsiTheme="majorBidi" w:cstheme="majorBidi"/>
                <w:sz w:val="20"/>
                <w:szCs w:val="20"/>
              </w:rPr>
              <w:t>2</w:t>
            </w:r>
            <w:r w:rsidRPr="00151ABA">
              <w:rPr>
                <w:rFonts w:asciiTheme="majorBidi" w:eastAsia="Arial" w:hAnsiTheme="majorBidi" w:cstheme="majorBidi"/>
                <w:sz w:val="20"/>
                <w:szCs w:val="20"/>
              </w:rPr>
              <w:t xml:space="preserve">: </w:t>
            </w:r>
            <w:r w:rsidR="00B7024D" w:rsidRPr="00151ABA">
              <w:rPr>
                <w:rFonts w:asciiTheme="majorBidi" w:eastAsia="Arial" w:hAnsiTheme="majorBidi" w:cstheme="majorBidi"/>
                <w:sz w:val="20"/>
                <w:szCs w:val="20"/>
              </w:rPr>
              <w:t>CSR communication has a positive effect on the brand trust of consumers in Egypt more than non-CSR communication.</w:t>
            </w:r>
          </w:p>
        </w:tc>
      </w:tr>
      <w:tr w:rsidR="00AB1BFC" w:rsidRPr="00151ABA" w14:paraId="7A24540C" w14:textId="77777777" w:rsidTr="00026112">
        <w:trPr>
          <w:trHeight w:val="742"/>
        </w:trPr>
        <w:tc>
          <w:tcPr>
            <w:tcW w:w="3543" w:type="dxa"/>
          </w:tcPr>
          <w:p w14:paraId="02F2F856" w14:textId="4CFD3A26" w:rsidR="00AB1BFC" w:rsidRPr="00151ABA" w:rsidRDefault="00AB1BFC" w:rsidP="00151ABA">
            <w:pPr>
              <w:pStyle w:val="NormalWeb"/>
              <w:spacing w:before="0" w:beforeAutospacing="0" w:after="120" w:afterAutospacing="0"/>
              <w:rPr>
                <w:rFonts w:asciiTheme="majorBidi" w:eastAsia="Arial" w:hAnsiTheme="majorBidi" w:cstheme="majorBidi"/>
                <w:sz w:val="20"/>
                <w:szCs w:val="20"/>
              </w:rPr>
            </w:pPr>
          </w:p>
        </w:tc>
        <w:tc>
          <w:tcPr>
            <w:tcW w:w="4395" w:type="dxa"/>
          </w:tcPr>
          <w:p w14:paraId="3E2DB277" w14:textId="17706649" w:rsidR="00AB1BFC" w:rsidRPr="00151ABA" w:rsidRDefault="007A225E" w:rsidP="00151ABA">
            <w:pPr>
              <w:pStyle w:val="NormalWeb"/>
              <w:spacing w:before="0" w:beforeAutospacing="0" w:after="0" w:afterAutospacing="0"/>
              <w:rPr>
                <w:rFonts w:asciiTheme="majorBidi" w:eastAsia="Arial" w:hAnsiTheme="majorBidi" w:cstheme="majorBidi"/>
                <w:sz w:val="20"/>
                <w:szCs w:val="20"/>
              </w:rPr>
            </w:pPr>
            <w:r w:rsidRPr="00151ABA">
              <w:rPr>
                <w:rFonts w:asciiTheme="majorBidi" w:eastAsia="Arial" w:hAnsiTheme="majorBidi" w:cstheme="majorBidi"/>
                <w:sz w:val="20"/>
                <w:szCs w:val="20"/>
              </w:rPr>
              <w:t>H</w:t>
            </w:r>
            <w:r w:rsidR="00287490" w:rsidRPr="00151ABA">
              <w:rPr>
                <w:rFonts w:asciiTheme="majorBidi" w:eastAsia="Arial" w:hAnsiTheme="majorBidi" w:cstheme="majorBidi"/>
                <w:sz w:val="20"/>
                <w:szCs w:val="20"/>
              </w:rPr>
              <w:t>3</w:t>
            </w:r>
            <w:r w:rsidRPr="00151ABA">
              <w:rPr>
                <w:rFonts w:asciiTheme="majorBidi" w:eastAsia="Arial" w:hAnsiTheme="majorBidi" w:cstheme="majorBidi"/>
                <w:sz w:val="20"/>
                <w:szCs w:val="20"/>
              </w:rPr>
              <w:t xml:space="preserve">: CSR communication </w:t>
            </w:r>
            <w:r w:rsidR="00002386" w:rsidRPr="00151ABA">
              <w:rPr>
                <w:rFonts w:asciiTheme="majorBidi" w:eastAsia="Arial" w:hAnsiTheme="majorBidi" w:cstheme="majorBidi"/>
                <w:sz w:val="20"/>
                <w:szCs w:val="20"/>
              </w:rPr>
              <w:t>has</w:t>
            </w:r>
            <w:r w:rsidRPr="00151ABA">
              <w:rPr>
                <w:rFonts w:asciiTheme="majorBidi" w:eastAsia="Arial" w:hAnsiTheme="majorBidi" w:cstheme="majorBidi"/>
                <w:sz w:val="20"/>
                <w:szCs w:val="20"/>
              </w:rPr>
              <w:t xml:space="preserve"> a positive effect on</w:t>
            </w:r>
            <w:r w:rsidR="00D012B7" w:rsidRPr="00151ABA">
              <w:rPr>
                <w:rFonts w:asciiTheme="majorBidi" w:eastAsia="Arial" w:hAnsiTheme="majorBidi" w:cstheme="majorBidi"/>
                <w:sz w:val="20"/>
                <w:szCs w:val="20"/>
              </w:rPr>
              <w:t xml:space="preserve"> the</w:t>
            </w:r>
            <w:r w:rsidRPr="00151ABA">
              <w:rPr>
                <w:rFonts w:asciiTheme="majorBidi" w:eastAsia="Arial" w:hAnsiTheme="majorBidi" w:cstheme="majorBidi"/>
                <w:sz w:val="20"/>
                <w:szCs w:val="20"/>
              </w:rPr>
              <w:t xml:space="preserve"> perceived brand functionality of consumers in Egypt more than non-CSR communication.</w:t>
            </w:r>
          </w:p>
        </w:tc>
      </w:tr>
      <w:tr w:rsidR="00AB1BFC" w:rsidRPr="00151ABA" w14:paraId="41CCC78B" w14:textId="77777777" w:rsidTr="00026112">
        <w:trPr>
          <w:trHeight w:val="712"/>
        </w:trPr>
        <w:tc>
          <w:tcPr>
            <w:tcW w:w="3543" w:type="dxa"/>
          </w:tcPr>
          <w:p w14:paraId="5EB958E1" w14:textId="77777777" w:rsidR="00AB1BFC" w:rsidRPr="00151ABA" w:rsidRDefault="00AB1BFC" w:rsidP="00151ABA">
            <w:pPr>
              <w:rPr>
                <w:rFonts w:asciiTheme="majorBidi" w:hAnsiTheme="majorBidi" w:cstheme="majorBidi"/>
                <w:sz w:val="20"/>
                <w:szCs w:val="20"/>
                <w:lang w:val="en-US"/>
              </w:rPr>
            </w:pPr>
          </w:p>
        </w:tc>
        <w:tc>
          <w:tcPr>
            <w:tcW w:w="4395" w:type="dxa"/>
          </w:tcPr>
          <w:p w14:paraId="079387C8" w14:textId="13B42226" w:rsidR="00AB1BFC" w:rsidRPr="00151ABA" w:rsidRDefault="007A225E" w:rsidP="00151ABA">
            <w:pPr>
              <w:pStyle w:val="NormalWeb"/>
              <w:spacing w:before="0" w:beforeAutospacing="0" w:after="0" w:afterAutospacing="0"/>
              <w:rPr>
                <w:rFonts w:asciiTheme="majorBidi" w:eastAsia="Arial" w:hAnsiTheme="majorBidi" w:cstheme="majorBidi"/>
                <w:sz w:val="20"/>
                <w:szCs w:val="20"/>
              </w:rPr>
            </w:pPr>
            <w:r w:rsidRPr="00151ABA">
              <w:rPr>
                <w:rFonts w:asciiTheme="majorBidi" w:eastAsia="Arial" w:hAnsiTheme="majorBidi" w:cstheme="majorBidi"/>
                <w:sz w:val="20"/>
                <w:szCs w:val="20"/>
              </w:rPr>
              <w:t>H</w:t>
            </w:r>
            <w:r w:rsidR="00287490" w:rsidRPr="00151ABA">
              <w:rPr>
                <w:rFonts w:asciiTheme="majorBidi" w:eastAsia="Arial" w:hAnsiTheme="majorBidi" w:cstheme="majorBidi"/>
                <w:sz w:val="20"/>
                <w:szCs w:val="20"/>
              </w:rPr>
              <w:t>4</w:t>
            </w:r>
            <w:r w:rsidRPr="00151ABA">
              <w:rPr>
                <w:rFonts w:asciiTheme="majorBidi" w:eastAsia="Arial" w:hAnsiTheme="majorBidi" w:cstheme="majorBidi"/>
                <w:sz w:val="20"/>
                <w:szCs w:val="20"/>
              </w:rPr>
              <w:t xml:space="preserve">: </w:t>
            </w:r>
            <w:r w:rsidR="00B7024D" w:rsidRPr="00151ABA">
              <w:rPr>
                <w:rFonts w:asciiTheme="majorBidi" w:eastAsia="Arial" w:hAnsiTheme="majorBidi" w:cstheme="majorBidi"/>
                <w:sz w:val="20"/>
                <w:szCs w:val="20"/>
              </w:rPr>
              <w:t xml:space="preserve">CSR communication has a positive effect on the emotional brand attachment of consumers in Egypt more than non-CSR communication.  </w:t>
            </w:r>
          </w:p>
        </w:tc>
      </w:tr>
      <w:tr w:rsidR="00AB1BFC" w:rsidRPr="00151ABA" w14:paraId="698DFBAB" w14:textId="77777777" w:rsidTr="00026112">
        <w:tc>
          <w:tcPr>
            <w:tcW w:w="3543" w:type="dxa"/>
          </w:tcPr>
          <w:p w14:paraId="680FE8B3" w14:textId="77777777" w:rsidR="00AB1BFC" w:rsidRPr="00151ABA" w:rsidRDefault="00AB1BFC" w:rsidP="00151ABA">
            <w:pPr>
              <w:rPr>
                <w:rFonts w:asciiTheme="majorBidi" w:hAnsiTheme="majorBidi" w:cstheme="majorBidi"/>
                <w:sz w:val="20"/>
                <w:szCs w:val="20"/>
                <w:lang w:val="en-US"/>
              </w:rPr>
            </w:pPr>
          </w:p>
        </w:tc>
        <w:tc>
          <w:tcPr>
            <w:tcW w:w="4395" w:type="dxa"/>
          </w:tcPr>
          <w:p w14:paraId="455F06A0" w14:textId="123380A5" w:rsidR="00AB1BFC" w:rsidRPr="00151ABA" w:rsidRDefault="007A225E" w:rsidP="00151ABA">
            <w:pPr>
              <w:pStyle w:val="NormalWeb"/>
              <w:spacing w:before="0" w:beforeAutospacing="0" w:after="0" w:afterAutospacing="0"/>
              <w:rPr>
                <w:rFonts w:asciiTheme="majorBidi" w:eastAsia="Arial" w:hAnsiTheme="majorBidi" w:cstheme="majorBidi"/>
                <w:sz w:val="20"/>
                <w:szCs w:val="20"/>
              </w:rPr>
            </w:pPr>
            <w:r w:rsidRPr="00151ABA">
              <w:rPr>
                <w:rFonts w:asciiTheme="majorBidi" w:eastAsia="Arial" w:hAnsiTheme="majorBidi" w:cstheme="majorBidi"/>
                <w:sz w:val="20"/>
                <w:szCs w:val="20"/>
              </w:rPr>
              <w:t>H</w:t>
            </w:r>
            <w:r w:rsidR="00287490" w:rsidRPr="00151ABA">
              <w:rPr>
                <w:rFonts w:asciiTheme="majorBidi" w:eastAsia="Arial" w:hAnsiTheme="majorBidi" w:cstheme="majorBidi"/>
                <w:sz w:val="20"/>
                <w:szCs w:val="20"/>
              </w:rPr>
              <w:t>5</w:t>
            </w:r>
            <w:r w:rsidRPr="00151ABA">
              <w:rPr>
                <w:rFonts w:asciiTheme="majorBidi" w:eastAsia="Arial" w:hAnsiTheme="majorBidi" w:cstheme="majorBidi"/>
                <w:sz w:val="20"/>
                <w:szCs w:val="20"/>
              </w:rPr>
              <w:t xml:space="preserve">: Emotional brand attachment has a stronger influence on purchase intention than brand functionality. </w:t>
            </w:r>
          </w:p>
        </w:tc>
      </w:tr>
      <w:tr w:rsidR="00AB1BFC" w:rsidRPr="00151ABA" w14:paraId="7506EC64" w14:textId="77777777" w:rsidTr="00026112">
        <w:tc>
          <w:tcPr>
            <w:tcW w:w="3543" w:type="dxa"/>
          </w:tcPr>
          <w:p w14:paraId="06FCBD45" w14:textId="77777777" w:rsidR="00AB1BFC" w:rsidRPr="00151ABA" w:rsidRDefault="00AB1BFC" w:rsidP="00151ABA">
            <w:pPr>
              <w:rPr>
                <w:rFonts w:asciiTheme="majorBidi" w:hAnsiTheme="majorBidi" w:cstheme="majorBidi"/>
                <w:sz w:val="20"/>
                <w:szCs w:val="20"/>
                <w:lang w:val="en-US"/>
              </w:rPr>
            </w:pPr>
          </w:p>
        </w:tc>
        <w:tc>
          <w:tcPr>
            <w:tcW w:w="4395" w:type="dxa"/>
          </w:tcPr>
          <w:p w14:paraId="28F5B3FE" w14:textId="00B3A15E" w:rsidR="00AB1BFC" w:rsidRPr="00151ABA" w:rsidRDefault="007A225E" w:rsidP="00151ABA">
            <w:pPr>
              <w:pStyle w:val="NormalWeb"/>
              <w:spacing w:before="0" w:beforeAutospacing="0" w:after="0" w:afterAutospacing="0"/>
              <w:rPr>
                <w:rFonts w:asciiTheme="majorBidi" w:eastAsia="Arial" w:hAnsiTheme="majorBidi" w:cstheme="majorBidi"/>
                <w:sz w:val="20"/>
                <w:szCs w:val="20"/>
              </w:rPr>
            </w:pPr>
            <w:r w:rsidRPr="00151ABA">
              <w:rPr>
                <w:rFonts w:asciiTheme="majorBidi" w:eastAsia="Arial" w:hAnsiTheme="majorBidi" w:cstheme="majorBidi"/>
                <w:sz w:val="20"/>
                <w:szCs w:val="20"/>
              </w:rPr>
              <w:t>H</w:t>
            </w:r>
            <w:r w:rsidR="00287490" w:rsidRPr="00151ABA">
              <w:rPr>
                <w:rFonts w:asciiTheme="majorBidi" w:eastAsia="Arial" w:hAnsiTheme="majorBidi" w:cstheme="majorBidi"/>
                <w:sz w:val="20"/>
                <w:szCs w:val="20"/>
              </w:rPr>
              <w:t>6</w:t>
            </w:r>
            <w:r w:rsidRPr="00151ABA">
              <w:rPr>
                <w:rFonts w:asciiTheme="majorBidi" w:eastAsia="Arial" w:hAnsiTheme="majorBidi" w:cstheme="majorBidi"/>
                <w:sz w:val="20"/>
                <w:szCs w:val="20"/>
              </w:rPr>
              <w:t xml:space="preserve">: CSR communication </w:t>
            </w:r>
            <w:r w:rsidR="00002386" w:rsidRPr="00151ABA">
              <w:rPr>
                <w:rFonts w:asciiTheme="majorBidi" w:eastAsia="Arial" w:hAnsiTheme="majorBidi" w:cstheme="majorBidi"/>
                <w:sz w:val="20"/>
                <w:szCs w:val="20"/>
              </w:rPr>
              <w:t>has</w:t>
            </w:r>
            <w:r w:rsidRPr="00151ABA">
              <w:rPr>
                <w:rFonts w:asciiTheme="majorBidi" w:eastAsia="Arial" w:hAnsiTheme="majorBidi" w:cstheme="majorBidi"/>
                <w:sz w:val="20"/>
                <w:szCs w:val="20"/>
              </w:rPr>
              <w:t xml:space="preserve"> a positive effect on purchase intentions of consumers in Egypt more than non-CSR communication.</w:t>
            </w:r>
          </w:p>
        </w:tc>
      </w:tr>
      <w:tr w:rsidR="00AB1BFC" w:rsidRPr="00151ABA" w14:paraId="37032416" w14:textId="77777777" w:rsidTr="00026112">
        <w:tc>
          <w:tcPr>
            <w:tcW w:w="3543" w:type="dxa"/>
          </w:tcPr>
          <w:p w14:paraId="56D8DAC5" w14:textId="73E26701" w:rsidR="00AB1BFC" w:rsidRPr="00151ABA" w:rsidRDefault="00E11D13" w:rsidP="00151ABA">
            <w:pPr>
              <w:pStyle w:val="NormalWeb"/>
              <w:spacing w:before="0" w:beforeAutospacing="0" w:after="0" w:afterAutospacing="0"/>
              <w:rPr>
                <w:rFonts w:asciiTheme="majorBidi" w:hAnsiTheme="majorBidi" w:cstheme="majorBidi"/>
                <w:sz w:val="20"/>
                <w:szCs w:val="20"/>
              </w:rPr>
            </w:pPr>
            <w:bookmarkStart w:id="129" w:name="_Hlk137822600"/>
            <w:r w:rsidRPr="00151ABA">
              <w:rPr>
                <w:rFonts w:asciiTheme="majorBidi" w:hAnsiTheme="majorBidi" w:cstheme="majorBidi"/>
                <w:sz w:val="20"/>
                <w:szCs w:val="20"/>
              </w:rPr>
              <w:t xml:space="preserve">RQ2: </w:t>
            </w:r>
            <w:r w:rsidR="006317F3" w:rsidRPr="00151ABA">
              <w:rPr>
                <w:rFonts w:asciiTheme="majorBidi" w:hAnsiTheme="majorBidi" w:cstheme="majorBidi"/>
                <w:sz w:val="20"/>
                <w:szCs w:val="20"/>
              </w:rPr>
              <w:t>D</w:t>
            </w:r>
            <w:r w:rsidRPr="00151ABA">
              <w:rPr>
                <w:rFonts w:asciiTheme="majorBidi" w:hAnsiTheme="majorBidi" w:cstheme="majorBidi"/>
                <w:sz w:val="20"/>
                <w:szCs w:val="20"/>
              </w:rPr>
              <w:t>oes the impact of CSR on Egyptian consumers of FMCG differ between different media vehicles?</w:t>
            </w:r>
            <w:bookmarkEnd w:id="129"/>
          </w:p>
        </w:tc>
        <w:tc>
          <w:tcPr>
            <w:tcW w:w="4395" w:type="dxa"/>
          </w:tcPr>
          <w:p w14:paraId="584DAD6D" w14:textId="0DA08FB9" w:rsidR="00AB1BFC" w:rsidRPr="00151ABA" w:rsidRDefault="007A225E" w:rsidP="00151ABA">
            <w:pPr>
              <w:pStyle w:val="NormalWeb"/>
              <w:spacing w:before="0" w:beforeAutospacing="0" w:after="0" w:afterAutospacing="0"/>
              <w:rPr>
                <w:rFonts w:asciiTheme="majorBidi" w:eastAsia="Arial" w:hAnsiTheme="majorBidi" w:cstheme="majorBidi"/>
                <w:sz w:val="20"/>
                <w:szCs w:val="20"/>
              </w:rPr>
            </w:pPr>
            <w:r w:rsidRPr="00151ABA">
              <w:rPr>
                <w:rFonts w:asciiTheme="majorBidi" w:eastAsia="Arial" w:hAnsiTheme="majorBidi" w:cstheme="majorBidi"/>
                <w:sz w:val="20"/>
                <w:szCs w:val="20"/>
              </w:rPr>
              <w:t>H</w:t>
            </w:r>
            <w:r w:rsidR="00287490" w:rsidRPr="00151ABA">
              <w:rPr>
                <w:rFonts w:asciiTheme="majorBidi" w:eastAsia="Arial" w:hAnsiTheme="majorBidi" w:cstheme="majorBidi"/>
                <w:sz w:val="20"/>
                <w:szCs w:val="20"/>
              </w:rPr>
              <w:t>7</w:t>
            </w:r>
            <w:r w:rsidRPr="00151ABA">
              <w:rPr>
                <w:rFonts w:asciiTheme="majorBidi" w:eastAsia="Arial" w:hAnsiTheme="majorBidi" w:cstheme="majorBidi"/>
                <w:sz w:val="20"/>
                <w:szCs w:val="20"/>
              </w:rPr>
              <w:t>: Social media has a stronger impact on consumers’ attitudes towards CSR communication</w:t>
            </w:r>
            <w:r w:rsidR="004E2548" w:rsidRPr="00151ABA">
              <w:rPr>
                <w:rFonts w:asciiTheme="majorBidi" w:eastAsia="Arial" w:hAnsiTheme="majorBidi" w:cstheme="majorBidi"/>
                <w:sz w:val="20"/>
                <w:szCs w:val="20"/>
              </w:rPr>
              <w:t xml:space="preserve"> than television</w:t>
            </w:r>
            <w:r w:rsidRPr="00151ABA">
              <w:rPr>
                <w:rFonts w:asciiTheme="majorBidi" w:eastAsia="Arial" w:hAnsiTheme="majorBidi" w:cstheme="majorBidi"/>
                <w:sz w:val="20"/>
                <w:szCs w:val="20"/>
              </w:rPr>
              <w:t>.</w:t>
            </w:r>
          </w:p>
        </w:tc>
      </w:tr>
      <w:tr w:rsidR="00611EA9" w:rsidRPr="00151ABA" w14:paraId="766D5D9C" w14:textId="77777777" w:rsidTr="00026112">
        <w:tc>
          <w:tcPr>
            <w:tcW w:w="3543" w:type="dxa"/>
          </w:tcPr>
          <w:p w14:paraId="5C6876F0" w14:textId="77777777" w:rsidR="00611EA9" w:rsidRPr="00151ABA" w:rsidRDefault="00611EA9" w:rsidP="007A225E">
            <w:pPr>
              <w:rPr>
                <w:rFonts w:asciiTheme="majorBidi" w:hAnsiTheme="majorBidi" w:cstheme="majorBidi"/>
                <w:sz w:val="20"/>
                <w:szCs w:val="20"/>
              </w:rPr>
            </w:pPr>
          </w:p>
        </w:tc>
        <w:tc>
          <w:tcPr>
            <w:tcW w:w="4395" w:type="dxa"/>
          </w:tcPr>
          <w:p w14:paraId="2EA7CCED" w14:textId="70C23DB4" w:rsidR="00611EA9" w:rsidRPr="00151ABA" w:rsidRDefault="00611EA9" w:rsidP="00151ABA">
            <w:pPr>
              <w:pStyle w:val="NormalWeb"/>
              <w:spacing w:before="0" w:beforeAutospacing="0" w:after="0" w:afterAutospacing="0"/>
              <w:rPr>
                <w:rFonts w:asciiTheme="majorBidi" w:eastAsia="Arial" w:hAnsiTheme="majorBidi" w:cstheme="majorBidi"/>
                <w:sz w:val="20"/>
                <w:szCs w:val="20"/>
              </w:rPr>
            </w:pPr>
            <w:bookmarkStart w:id="130" w:name="_Hlk136706674"/>
            <w:r w:rsidRPr="00151ABA">
              <w:rPr>
                <w:rFonts w:asciiTheme="majorBidi" w:eastAsia="Arial" w:hAnsiTheme="majorBidi" w:cstheme="majorBidi"/>
                <w:sz w:val="20"/>
                <w:szCs w:val="20"/>
              </w:rPr>
              <w:t>H</w:t>
            </w:r>
            <w:r w:rsidR="00287490" w:rsidRPr="00151ABA">
              <w:rPr>
                <w:rFonts w:asciiTheme="majorBidi" w:eastAsia="Arial" w:hAnsiTheme="majorBidi" w:cstheme="majorBidi"/>
                <w:sz w:val="20"/>
                <w:szCs w:val="20"/>
              </w:rPr>
              <w:t>8</w:t>
            </w:r>
            <w:r w:rsidRPr="00151ABA">
              <w:rPr>
                <w:rFonts w:asciiTheme="majorBidi" w:eastAsia="Arial" w:hAnsiTheme="majorBidi" w:cstheme="majorBidi"/>
                <w:sz w:val="20"/>
                <w:szCs w:val="20"/>
              </w:rPr>
              <w:t>:</w:t>
            </w:r>
            <w:r w:rsidR="00761C2C" w:rsidRPr="00151ABA">
              <w:rPr>
                <w:rFonts w:asciiTheme="majorBidi" w:hAnsiTheme="majorBidi" w:cstheme="majorBidi"/>
                <w:color w:val="2E2E2E"/>
                <w:sz w:val="20"/>
                <w:szCs w:val="20"/>
              </w:rPr>
              <w:t xml:space="preserve"> Ad likeability, emotional brand attachment, brand likeability, brand trust and perceived brand functionality ha</w:t>
            </w:r>
            <w:r w:rsidR="006317F3" w:rsidRPr="00151ABA">
              <w:rPr>
                <w:rFonts w:asciiTheme="majorBidi" w:hAnsiTheme="majorBidi" w:cstheme="majorBidi"/>
                <w:color w:val="2E2E2E"/>
                <w:sz w:val="20"/>
                <w:szCs w:val="20"/>
              </w:rPr>
              <w:t>ve</w:t>
            </w:r>
            <w:r w:rsidR="00761C2C" w:rsidRPr="00151ABA">
              <w:rPr>
                <w:rFonts w:asciiTheme="majorBidi" w:hAnsiTheme="majorBidi" w:cstheme="majorBidi"/>
                <w:color w:val="2E2E2E"/>
                <w:sz w:val="20"/>
                <w:szCs w:val="20"/>
              </w:rPr>
              <w:t xml:space="preserve"> a positive impact on purchase intention of Egyptian consumers.</w:t>
            </w:r>
            <w:bookmarkEnd w:id="130"/>
          </w:p>
        </w:tc>
      </w:tr>
      <w:tr w:rsidR="00AB1BFC" w:rsidRPr="00151ABA" w14:paraId="3D23809C" w14:textId="77777777" w:rsidTr="00026112">
        <w:tc>
          <w:tcPr>
            <w:tcW w:w="3543" w:type="dxa"/>
          </w:tcPr>
          <w:p w14:paraId="0E8C32A4" w14:textId="77777777" w:rsidR="00AB1BFC" w:rsidRPr="00151ABA" w:rsidRDefault="00AB1BFC" w:rsidP="007A225E">
            <w:pPr>
              <w:rPr>
                <w:rFonts w:asciiTheme="majorBidi" w:hAnsiTheme="majorBidi" w:cstheme="majorBidi"/>
                <w:sz w:val="20"/>
                <w:szCs w:val="20"/>
                <w:lang w:val="en-US"/>
              </w:rPr>
            </w:pPr>
          </w:p>
        </w:tc>
        <w:tc>
          <w:tcPr>
            <w:tcW w:w="4395" w:type="dxa"/>
          </w:tcPr>
          <w:p w14:paraId="337F7E78" w14:textId="049E93B5" w:rsidR="00AB1BFC" w:rsidRPr="00151ABA" w:rsidRDefault="007A225E" w:rsidP="00151ABA">
            <w:pPr>
              <w:pStyle w:val="NormalWeb"/>
              <w:spacing w:before="67" w:beforeAutospacing="0" w:after="0" w:afterAutospacing="0"/>
              <w:rPr>
                <w:rFonts w:asciiTheme="majorBidi" w:hAnsiTheme="majorBidi" w:cstheme="majorBidi"/>
                <w:sz w:val="20"/>
                <w:szCs w:val="20"/>
              </w:rPr>
            </w:pPr>
            <w:r w:rsidRPr="00151ABA">
              <w:rPr>
                <w:rFonts w:asciiTheme="majorBidi" w:hAnsiTheme="majorBidi" w:cstheme="majorBidi"/>
                <w:sz w:val="20"/>
                <w:szCs w:val="20"/>
              </w:rPr>
              <w:t>H</w:t>
            </w:r>
            <w:r w:rsidR="00287490" w:rsidRPr="00151ABA">
              <w:rPr>
                <w:rFonts w:asciiTheme="majorBidi" w:hAnsiTheme="majorBidi" w:cstheme="majorBidi"/>
                <w:sz w:val="20"/>
                <w:szCs w:val="20"/>
              </w:rPr>
              <w:t>9</w:t>
            </w:r>
            <w:r w:rsidRPr="00151ABA">
              <w:rPr>
                <w:rFonts w:asciiTheme="majorBidi" w:hAnsiTheme="majorBidi" w:cstheme="majorBidi"/>
                <w:sz w:val="20"/>
                <w:szCs w:val="20"/>
              </w:rPr>
              <w:t xml:space="preserve">: CSR communication in Egypt has a positive halo effect on the consumers’ purchase intention. </w:t>
            </w:r>
          </w:p>
        </w:tc>
      </w:tr>
      <w:tr w:rsidR="00AB1BFC" w:rsidRPr="00151ABA" w14:paraId="0D12D42E" w14:textId="77777777" w:rsidTr="00026112">
        <w:tc>
          <w:tcPr>
            <w:tcW w:w="3543" w:type="dxa"/>
          </w:tcPr>
          <w:p w14:paraId="1609B14C" w14:textId="77777777" w:rsidR="00AB1BFC" w:rsidRPr="00151ABA" w:rsidRDefault="00AB1BFC" w:rsidP="007A225E">
            <w:pPr>
              <w:rPr>
                <w:rFonts w:asciiTheme="majorBidi" w:hAnsiTheme="majorBidi" w:cstheme="majorBidi"/>
                <w:sz w:val="20"/>
                <w:szCs w:val="20"/>
                <w:lang w:val="en-US"/>
              </w:rPr>
            </w:pPr>
          </w:p>
        </w:tc>
        <w:tc>
          <w:tcPr>
            <w:tcW w:w="4395" w:type="dxa"/>
          </w:tcPr>
          <w:p w14:paraId="0CE3752C" w14:textId="1381F472" w:rsidR="00AB1BFC" w:rsidRPr="00151ABA" w:rsidRDefault="007A225E" w:rsidP="00151ABA">
            <w:pPr>
              <w:pStyle w:val="NormalWeb"/>
              <w:spacing w:before="67" w:beforeAutospacing="0" w:after="0" w:afterAutospacing="0"/>
              <w:rPr>
                <w:rFonts w:asciiTheme="majorBidi" w:hAnsiTheme="majorBidi" w:cstheme="majorBidi"/>
                <w:sz w:val="20"/>
                <w:szCs w:val="20"/>
              </w:rPr>
            </w:pPr>
            <w:r w:rsidRPr="00151ABA">
              <w:rPr>
                <w:rFonts w:asciiTheme="majorBidi" w:eastAsia="Arial" w:hAnsiTheme="majorBidi" w:cstheme="majorBidi"/>
                <w:sz w:val="20"/>
                <w:szCs w:val="20"/>
              </w:rPr>
              <w:t>H1</w:t>
            </w:r>
            <w:r w:rsidR="00287490" w:rsidRPr="00151ABA">
              <w:rPr>
                <w:rFonts w:asciiTheme="majorBidi" w:eastAsia="Arial" w:hAnsiTheme="majorBidi" w:cstheme="majorBidi"/>
                <w:sz w:val="20"/>
                <w:szCs w:val="20"/>
              </w:rPr>
              <w:t>0</w:t>
            </w:r>
            <w:r w:rsidRPr="00151ABA">
              <w:rPr>
                <w:rFonts w:asciiTheme="majorBidi" w:eastAsia="Arial" w:hAnsiTheme="majorBidi" w:cstheme="majorBidi"/>
                <w:sz w:val="20"/>
                <w:szCs w:val="20"/>
              </w:rPr>
              <w:t xml:space="preserve">: </w:t>
            </w:r>
            <w:r w:rsidRPr="00151ABA">
              <w:rPr>
                <w:rFonts w:asciiTheme="majorBidi" w:hAnsiTheme="majorBidi" w:cstheme="majorBidi"/>
                <w:sz w:val="20"/>
                <w:szCs w:val="20"/>
              </w:rPr>
              <w:t>Social media communication in Egypt has a positive halo effect on consumers’ purchase intention.</w:t>
            </w:r>
          </w:p>
        </w:tc>
      </w:tr>
      <w:tr w:rsidR="007A225E" w:rsidRPr="00151ABA" w14:paraId="0CCA6203" w14:textId="77777777" w:rsidTr="00026112">
        <w:tc>
          <w:tcPr>
            <w:tcW w:w="3543" w:type="dxa"/>
          </w:tcPr>
          <w:p w14:paraId="544B26E7" w14:textId="6DFA7A72" w:rsidR="007A225E" w:rsidRPr="00151ABA" w:rsidRDefault="007A225E" w:rsidP="007A225E">
            <w:pPr>
              <w:rPr>
                <w:rFonts w:asciiTheme="majorBidi" w:hAnsiTheme="majorBidi" w:cstheme="majorBidi"/>
                <w:sz w:val="20"/>
                <w:szCs w:val="20"/>
                <w:lang w:val="en-US"/>
              </w:rPr>
            </w:pPr>
          </w:p>
        </w:tc>
        <w:tc>
          <w:tcPr>
            <w:tcW w:w="4395" w:type="dxa"/>
          </w:tcPr>
          <w:p w14:paraId="622050D8" w14:textId="11B97AD4" w:rsidR="007A225E" w:rsidRPr="00151ABA" w:rsidRDefault="007A225E" w:rsidP="00151ABA">
            <w:pPr>
              <w:pStyle w:val="NormalWeb"/>
              <w:keepNext/>
              <w:spacing w:before="67" w:beforeAutospacing="0" w:after="0" w:afterAutospacing="0"/>
              <w:rPr>
                <w:rFonts w:asciiTheme="majorBidi" w:eastAsia="Arial" w:hAnsiTheme="majorBidi" w:cstheme="majorBidi"/>
                <w:sz w:val="20"/>
                <w:szCs w:val="20"/>
              </w:rPr>
            </w:pPr>
            <w:r w:rsidRPr="00151ABA">
              <w:rPr>
                <w:rFonts w:asciiTheme="majorBidi" w:hAnsiTheme="majorBidi" w:cstheme="majorBidi"/>
                <w:sz w:val="20"/>
                <w:szCs w:val="20"/>
              </w:rPr>
              <w:t>H1</w:t>
            </w:r>
            <w:r w:rsidR="00287490" w:rsidRPr="00151ABA">
              <w:rPr>
                <w:rFonts w:asciiTheme="majorBidi" w:hAnsiTheme="majorBidi" w:cstheme="majorBidi"/>
                <w:sz w:val="20"/>
                <w:szCs w:val="20"/>
              </w:rPr>
              <w:t>1</w:t>
            </w:r>
            <w:r w:rsidRPr="00151ABA">
              <w:rPr>
                <w:rFonts w:asciiTheme="majorBidi" w:hAnsiTheme="majorBidi" w:cstheme="majorBidi"/>
                <w:sz w:val="20"/>
                <w:szCs w:val="20"/>
              </w:rPr>
              <w:t>: Individuals with high CSR perception in Egypt will possess positive brand attitudes towards the brand launching CSR communication.</w:t>
            </w:r>
          </w:p>
        </w:tc>
      </w:tr>
    </w:tbl>
    <w:p w14:paraId="1DD84ACA" w14:textId="40FB694B" w:rsidR="006605E7" w:rsidRPr="009F574A" w:rsidRDefault="00727E91" w:rsidP="009F574A">
      <w:pPr>
        <w:pStyle w:val="Caption"/>
        <w:rPr>
          <w:lang w:val="en-US"/>
        </w:rPr>
      </w:pPr>
      <w:r>
        <w:t>Table 1</w:t>
      </w:r>
      <w:r w:rsidR="00044DE9">
        <w:t>1</w:t>
      </w:r>
      <w:r>
        <w:t xml:space="preserve"> A summary of this study’s</w:t>
      </w:r>
      <w:r w:rsidRPr="00727E91">
        <w:t xml:space="preserve"> hypotheses and research questions</w:t>
      </w:r>
    </w:p>
    <w:p w14:paraId="38393E74" w14:textId="77777777" w:rsidR="009F574A" w:rsidRDefault="009F574A">
      <w:pPr>
        <w:rPr>
          <w:rFonts w:asciiTheme="majorBidi" w:hAnsiTheme="majorBidi" w:cstheme="majorBidi"/>
          <w:b/>
          <w:bCs/>
          <w:sz w:val="24"/>
          <w:szCs w:val="24"/>
        </w:rPr>
      </w:pPr>
      <w:r>
        <w:rPr>
          <w:rFonts w:asciiTheme="majorBidi" w:hAnsiTheme="majorBidi" w:cstheme="majorBidi"/>
          <w:b/>
          <w:bCs/>
          <w:sz w:val="24"/>
          <w:szCs w:val="24"/>
        </w:rPr>
        <w:br w:type="page"/>
      </w:r>
    </w:p>
    <w:p w14:paraId="63F591D5" w14:textId="5C8D6A70" w:rsidR="007A225E" w:rsidRDefault="007A225E" w:rsidP="007A225E">
      <w:pPr>
        <w:adjustRightInd w:val="0"/>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C</w:t>
      </w:r>
      <w:r w:rsidR="006605E7">
        <w:rPr>
          <w:rFonts w:asciiTheme="majorBidi" w:hAnsiTheme="majorBidi" w:cstheme="majorBidi"/>
          <w:b/>
          <w:bCs/>
          <w:sz w:val="24"/>
          <w:szCs w:val="24"/>
        </w:rPr>
        <w:t>hapter</w:t>
      </w:r>
      <w:r>
        <w:rPr>
          <w:rFonts w:asciiTheme="majorBidi" w:hAnsiTheme="majorBidi" w:cstheme="majorBidi"/>
          <w:b/>
          <w:bCs/>
          <w:sz w:val="24"/>
          <w:szCs w:val="24"/>
        </w:rPr>
        <w:t xml:space="preserve"> 5</w:t>
      </w:r>
    </w:p>
    <w:p w14:paraId="5EE8958C" w14:textId="68CCF2CB" w:rsidR="007A225E" w:rsidRDefault="00BE0107" w:rsidP="007A225E">
      <w:pPr>
        <w:adjustRightInd w:val="0"/>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 xml:space="preserve">Methodology </w:t>
      </w:r>
    </w:p>
    <w:p w14:paraId="1BBDF314" w14:textId="2CB8A440" w:rsidR="007A225E" w:rsidRDefault="007A225E" w:rsidP="00180873">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5.</w:t>
      </w:r>
      <w:r w:rsidR="00891F01">
        <w:rPr>
          <w:rFonts w:asciiTheme="majorBidi" w:hAnsiTheme="majorBidi" w:cstheme="majorBidi"/>
          <w:b/>
          <w:bCs/>
          <w:sz w:val="24"/>
          <w:szCs w:val="24"/>
        </w:rPr>
        <w:t>0</w:t>
      </w:r>
      <w:r>
        <w:rPr>
          <w:rFonts w:asciiTheme="majorBidi" w:hAnsiTheme="majorBidi" w:cstheme="majorBidi"/>
          <w:b/>
          <w:bCs/>
          <w:sz w:val="24"/>
          <w:szCs w:val="24"/>
        </w:rPr>
        <w:t xml:space="preserve"> Introduction</w:t>
      </w:r>
    </w:p>
    <w:p w14:paraId="61230A39" w14:textId="0881C45C" w:rsidR="007A225E" w:rsidRDefault="007A225E" w:rsidP="00180873">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r>
      <w:r w:rsidRPr="00020345">
        <w:rPr>
          <w:rFonts w:asciiTheme="majorBidi" w:hAnsiTheme="majorBidi" w:cstheme="majorBidi"/>
          <w:sz w:val="24"/>
          <w:szCs w:val="24"/>
        </w:rPr>
        <w:t>Th</w:t>
      </w:r>
      <w:r>
        <w:rPr>
          <w:rFonts w:asciiTheme="majorBidi" w:hAnsiTheme="majorBidi" w:cstheme="majorBidi"/>
          <w:sz w:val="24"/>
          <w:szCs w:val="24"/>
        </w:rPr>
        <w:t xml:space="preserve">e purpose of this </w:t>
      </w:r>
      <w:r w:rsidRPr="00020345">
        <w:rPr>
          <w:rFonts w:asciiTheme="majorBidi" w:hAnsiTheme="majorBidi" w:cstheme="majorBidi"/>
          <w:sz w:val="24"/>
          <w:szCs w:val="24"/>
        </w:rPr>
        <w:t xml:space="preserve">chapter </w:t>
      </w:r>
      <w:r>
        <w:rPr>
          <w:rFonts w:asciiTheme="majorBidi" w:hAnsiTheme="majorBidi" w:cstheme="majorBidi"/>
          <w:sz w:val="24"/>
          <w:szCs w:val="24"/>
        </w:rPr>
        <w:t>is to present and critically discuss</w:t>
      </w:r>
      <w:r w:rsidRPr="00020345">
        <w:rPr>
          <w:rFonts w:asciiTheme="majorBidi" w:hAnsiTheme="majorBidi" w:cstheme="majorBidi"/>
          <w:sz w:val="24"/>
          <w:szCs w:val="24"/>
        </w:rPr>
        <w:t xml:space="preserve"> the methodological basis of this study</w:t>
      </w:r>
      <w:r>
        <w:rPr>
          <w:rFonts w:asciiTheme="majorBidi" w:hAnsiTheme="majorBidi" w:cstheme="majorBidi"/>
          <w:sz w:val="24"/>
          <w:szCs w:val="24"/>
        </w:rPr>
        <w:t xml:space="preserve"> and discuss the mixed methods applied in this study. Below</w:t>
      </w:r>
      <w:r w:rsidRPr="00020345">
        <w:rPr>
          <w:rFonts w:asciiTheme="majorBidi" w:hAnsiTheme="majorBidi" w:cstheme="majorBidi"/>
          <w:sz w:val="24"/>
          <w:szCs w:val="24"/>
        </w:rPr>
        <w:t xml:space="preserve"> I</w:t>
      </w:r>
      <w:r>
        <w:rPr>
          <w:rFonts w:asciiTheme="majorBidi" w:hAnsiTheme="majorBidi" w:cstheme="majorBidi"/>
          <w:sz w:val="24"/>
          <w:szCs w:val="24"/>
        </w:rPr>
        <w:t xml:space="preserve"> first present a summary of the</w:t>
      </w:r>
      <w:r w:rsidRPr="00020345">
        <w:rPr>
          <w:rFonts w:asciiTheme="majorBidi" w:hAnsiTheme="majorBidi" w:cstheme="majorBidi"/>
          <w:sz w:val="24"/>
          <w:szCs w:val="24"/>
        </w:rPr>
        <w:t xml:space="preserve"> sequential mixed-methods research design,</w:t>
      </w:r>
      <w:r w:rsidR="006317F3">
        <w:rPr>
          <w:rFonts w:asciiTheme="majorBidi" w:hAnsiTheme="majorBidi" w:cstheme="majorBidi"/>
          <w:sz w:val="24"/>
          <w:szCs w:val="24"/>
        </w:rPr>
        <w:t xml:space="preserve"> and</w:t>
      </w:r>
      <w:r w:rsidRPr="00020345">
        <w:rPr>
          <w:rFonts w:asciiTheme="majorBidi" w:hAnsiTheme="majorBidi" w:cstheme="majorBidi"/>
          <w:sz w:val="24"/>
          <w:szCs w:val="24"/>
        </w:rPr>
        <w:t xml:space="preserve"> then</w:t>
      </w:r>
      <w:r w:rsidR="006317F3">
        <w:rPr>
          <w:rFonts w:asciiTheme="majorBidi" w:hAnsiTheme="majorBidi" w:cstheme="majorBidi"/>
          <w:sz w:val="24"/>
          <w:szCs w:val="24"/>
        </w:rPr>
        <w:t xml:space="preserve"> I</w:t>
      </w:r>
      <w:r w:rsidRPr="00020345">
        <w:rPr>
          <w:rFonts w:asciiTheme="majorBidi" w:hAnsiTheme="majorBidi" w:cstheme="majorBidi"/>
          <w:sz w:val="24"/>
          <w:szCs w:val="24"/>
        </w:rPr>
        <w:t xml:space="preserve"> discuss issues of research philosophy, design, validity, and reliability</w:t>
      </w:r>
      <w:r>
        <w:rPr>
          <w:rFonts w:asciiTheme="majorBidi" w:hAnsiTheme="majorBidi" w:cstheme="majorBidi"/>
          <w:sz w:val="24"/>
          <w:szCs w:val="24"/>
        </w:rPr>
        <w:t>, followed by a detailed explanation of the research design of study one and two.</w:t>
      </w:r>
    </w:p>
    <w:p w14:paraId="184C233F" w14:textId="0E01F7F3" w:rsidR="007A225E" w:rsidRDefault="007A225E" w:rsidP="00AA0D5E">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5.</w:t>
      </w:r>
      <w:r w:rsidR="00891F01">
        <w:rPr>
          <w:rFonts w:asciiTheme="majorBidi" w:hAnsiTheme="majorBidi" w:cstheme="majorBidi"/>
          <w:b/>
          <w:bCs/>
          <w:sz w:val="24"/>
          <w:szCs w:val="24"/>
        </w:rPr>
        <w:t>1</w:t>
      </w:r>
      <w:r>
        <w:rPr>
          <w:rFonts w:asciiTheme="majorBidi" w:hAnsiTheme="majorBidi" w:cstheme="majorBidi"/>
          <w:b/>
          <w:bCs/>
          <w:sz w:val="24"/>
          <w:szCs w:val="24"/>
        </w:rPr>
        <w:t xml:space="preserve"> Summary of Research Design </w:t>
      </w:r>
    </w:p>
    <w:p w14:paraId="3BF0E900" w14:textId="16338982" w:rsidR="007A225E" w:rsidRDefault="007A225E" w:rsidP="006317F3">
      <w:pPr>
        <w:spacing w:after="0" w:line="480" w:lineRule="auto"/>
        <w:ind w:firstLine="720"/>
        <w:rPr>
          <w:rFonts w:asciiTheme="majorBidi" w:hAnsiTheme="majorBidi" w:cstheme="majorBidi"/>
          <w:sz w:val="24"/>
          <w:szCs w:val="24"/>
        </w:rPr>
      </w:pPr>
      <w:r>
        <w:rPr>
          <w:rFonts w:asciiTheme="majorBidi" w:hAnsiTheme="majorBidi" w:cstheme="majorBidi"/>
          <w:sz w:val="24"/>
          <w:szCs w:val="24"/>
        </w:rPr>
        <w:t>This study utilise</w:t>
      </w:r>
      <w:r w:rsidR="006317F3">
        <w:rPr>
          <w:rFonts w:asciiTheme="majorBidi" w:hAnsiTheme="majorBidi" w:cstheme="majorBidi"/>
          <w:sz w:val="24"/>
          <w:szCs w:val="24"/>
        </w:rPr>
        <w:t>s</w:t>
      </w:r>
      <w:r>
        <w:rPr>
          <w:rFonts w:asciiTheme="majorBidi" w:hAnsiTheme="majorBidi" w:cstheme="majorBidi"/>
          <w:sz w:val="24"/>
          <w:szCs w:val="24"/>
        </w:rPr>
        <w:t xml:space="preserve"> sequential mixed-methods research design employing </w:t>
      </w:r>
      <w:r w:rsidRPr="004B44B9">
        <w:rPr>
          <w:rFonts w:asciiTheme="majorBidi" w:hAnsiTheme="majorBidi" w:cstheme="majorBidi"/>
          <w:sz w:val="24"/>
          <w:szCs w:val="24"/>
        </w:rPr>
        <w:t>first, quantitative methods, then qualitative methods</w:t>
      </w:r>
      <w:sdt>
        <w:sdtPr>
          <w:rPr>
            <w:rFonts w:asciiTheme="majorBidi" w:hAnsiTheme="majorBidi" w:cstheme="majorBidi"/>
            <w:sz w:val="24"/>
            <w:szCs w:val="24"/>
          </w:rPr>
          <w:id w:val="-578905971"/>
          <w:citation/>
        </w:sdtPr>
        <w:sdtContent>
          <w:r w:rsidR="00A50B21" w:rsidRPr="004B44B9">
            <w:rPr>
              <w:rFonts w:asciiTheme="majorBidi" w:hAnsiTheme="majorBidi" w:cstheme="majorBidi"/>
              <w:sz w:val="24"/>
              <w:szCs w:val="24"/>
            </w:rPr>
            <w:fldChar w:fldCharType="begin"/>
          </w:r>
          <w:r w:rsidR="00A50B21" w:rsidRPr="004B44B9">
            <w:rPr>
              <w:rFonts w:asciiTheme="majorBidi" w:hAnsiTheme="majorBidi" w:cstheme="majorBidi"/>
              <w:sz w:val="24"/>
              <w:szCs w:val="24"/>
            </w:rPr>
            <w:instrText xml:space="preserve">CITATION Cre17 \t  \l 2057 </w:instrText>
          </w:r>
          <w:r w:rsidR="00A50B21" w:rsidRPr="004B44B9">
            <w:rPr>
              <w:rFonts w:asciiTheme="majorBidi" w:hAnsiTheme="majorBidi" w:cstheme="majorBidi"/>
              <w:sz w:val="24"/>
              <w:szCs w:val="24"/>
            </w:rPr>
            <w:fldChar w:fldCharType="separate"/>
          </w:r>
          <w:r w:rsidR="00A50B21" w:rsidRPr="004B44B9">
            <w:rPr>
              <w:rFonts w:asciiTheme="majorBidi" w:hAnsiTheme="majorBidi" w:cstheme="majorBidi"/>
              <w:noProof/>
              <w:sz w:val="24"/>
              <w:szCs w:val="24"/>
            </w:rPr>
            <w:t xml:space="preserve"> (Creswell &amp; Clark, 2017)</w:t>
          </w:r>
          <w:r w:rsidR="00A50B21" w:rsidRPr="004B44B9">
            <w:rPr>
              <w:rFonts w:asciiTheme="majorBidi" w:hAnsiTheme="majorBidi" w:cstheme="majorBidi"/>
              <w:sz w:val="24"/>
              <w:szCs w:val="24"/>
            </w:rPr>
            <w:fldChar w:fldCharType="end"/>
          </w:r>
        </w:sdtContent>
      </w:sdt>
      <w:r w:rsidRPr="004B44B9">
        <w:rPr>
          <w:rFonts w:asciiTheme="majorBidi" w:hAnsiTheme="majorBidi" w:cstheme="majorBidi"/>
          <w:sz w:val="24"/>
          <w:szCs w:val="24"/>
        </w:rPr>
        <w:t xml:space="preserve">. </w:t>
      </w:r>
      <w:r w:rsidR="003A01D0" w:rsidRPr="004B44B9">
        <w:rPr>
          <w:rFonts w:asciiTheme="majorBidi" w:hAnsiTheme="majorBidi" w:cstheme="majorBidi"/>
          <w:sz w:val="24"/>
          <w:szCs w:val="24"/>
        </w:rPr>
        <w:t>This sequential design</w:t>
      </w:r>
      <w:r w:rsidR="0028740C" w:rsidRPr="004B44B9">
        <w:rPr>
          <w:rFonts w:asciiTheme="majorBidi" w:hAnsiTheme="majorBidi" w:cstheme="majorBidi"/>
          <w:sz w:val="24"/>
          <w:szCs w:val="24"/>
        </w:rPr>
        <w:t xml:space="preserve"> that collects quantitative followed by qualitative data</w:t>
      </w:r>
      <w:r w:rsidR="003A01D0" w:rsidRPr="004B44B9">
        <w:rPr>
          <w:rFonts w:asciiTheme="majorBidi" w:hAnsiTheme="majorBidi" w:cstheme="majorBidi"/>
          <w:sz w:val="24"/>
          <w:szCs w:val="24"/>
        </w:rPr>
        <w:t xml:space="preserve"> is similar to </w:t>
      </w:r>
      <w:r w:rsidR="0028740C" w:rsidRPr="004B44B9">
        <w:rPr>
          <w:rFonts w:asciiTheme="majorBidi" w:hAnsiTheme="majorBidi" w:cstheme="majorBidi"/>
          <w:sz w:val="24"/>
          <w:szCs w:val="24"/>
        </w:rPr>
        <w:t xml:space="preserve">the design of </w:t>
      </w:r>
      <w:r w:rsidR="003A01D0" w:rsidRPr="004B44B9">
        <w:rPr>
          <w:rFonts w:asciiTheme="majorBidi" w:hAnsiTheme="majorBidi" w:cstheme="majorBidi"/>
          <w:sz w:val="24"/>
          <w:szCs w:val="24"/>
        </w:rPr>
        <w:t xml:space="preserve">other </w:t>
      </w:r>
      <w:r w:rsidR="0028740C" w:rsidRPr="004B44B9">
        <w:rPr>
          <w:rFonts w:asciiTheme="majorBidi" w:hAnsiTheme="majorBidi" w:cstheme="majorBidi"/>
          <w:sz w:val="24"/>
          <w:szCs w:val="24"/>
        </w:rPr>
        <w:t>studies</w:t>
      </w:r>
      <w:r w:rsidR="003A01D0" w:rsidRPr="004B44B9">
        <w:rPr>
          <w:rFonts w:asciiTheme="majorBidi" w:hAnsiTheme="majorBidi" w:cstheme="majorBidi"/>
          <w:sz w:val="24"/>
          <w:szCs w:val="24"/>
        </w:rPr>
        <w:t xml:space="preserve"> </w:t>
      </w:r>
      <w:r w:rsidR="0028740C" w:rsidRPr="004B44B9">
        <w:rPr>
          <w:rFonts w:asciiTheme="majorBidi" w:hAnsiTheme="majorBidi" w:cstheme="majorBidi"/>
          <w:sz w:val="24"/>
          <w:szCs w:val="24"/>
        </w:rPr>
        <w:t xml:space="preserve">in marketing </w:t>
      </w:r>
      <w:sdt>
        <w:sdtPr>
          <w:rPr>
            <w:rFonts w:asciiTheme="majorBidi" w:hAnsiTheme="majorBidi" w:cstheme="majorBidi"/>
            <w:sz w:val="24"/>
            <w:szCs w:val="24"/>
          </w:rPr>
          <w:id w:val="-135641581"/>
          <w:citation/>
        </w:sdtPr>
        <w:sdtContent>
          <w:r w:rsidR="0084647D" w:rsidRPr="004B44B9">
            <w:rPr>
              <w:rFonts w:asciiTheme="majorBidi" w:hAnsiTheme="majorBidi" w:cstheme="majorBidi"/>
              <w:sz w:val="24"/>
              <w:szCs w:val="24"/>
            </w:rPr>
            <w:fldChar w:fldCharType="begin"/>
          </w:r>
          <w:r w:rsidR="0084647D" w:rsidRPr="004B44B9">
            <w:rPr>
              <w:rFonts w:asciiTheme="majorBidi" w:hAnsiTheme="majorBidi" w:cstheme="majorBidi"/>
              <w:sz w:val="24"/>
              <w:szCs w:val="24"/>
            </w:rPr>
            <w:instrText xml:space="preserve"> CITATION Aro11 \l 2057  \m Qua161 \m Öze10</w:instrText>
          </w:r>
          <w:r w:rsidR="0084647D" w:rsidRPr="004B44B9">
            <w:rPr>
              <w:rFonts w:asciiTheme="majorBidi" w:hAnsiTheme="majorBidi" w:cstheme="majorBidi"/>
              <w:sz w:val="24"/>
              <w:szCs w:val="24"/>
            </w:rPr>
            <w:fldChar w:fldCharType="separate"/>
          </w:r>
          <w:r w:rsidR="0084647D" w:rsidRPr="004B44B9">
            <w:rPr>
              <w:rFonts w:asciiTheme="majorBidi" w:hAnsiTheme="majorBidi" w:cstheme="majorBidi"/>
              <w:noProof/>
              <w:sz w:val="24"/>
              <w:szCs w:val="24"/>
            </w:rPr>
            <w:t>(Arora, 2011; Quach, Jebarajakirthy, &amp; Thaichon, 2016; Özer, Özer, Ekinci, &amp; Koçak, 2022)</w:t>
          </w:r>
          <w:r w:rsidR="0084647D" w:rsidRPr="004B44B9">
            <w:rPr>
              <w:rFonts w:asciiTheme="majorBidi" w:hAnsiTheme="majorBidi" w:cstheme="majorBidi"/>
              <w:sz w:val="24"/>
              <w:szCs w:val="24"/>
            </w:rPr>
            <w:fldChar w:fldCharType="end"/>
          </w:r>
        </w:sdtContent>
      </w:sdt>
      <w:r w:rsidR="0028740C" w:rsidRPr="004B44B9">
        <w:rPr>
          <w:rFonts w:asciiTheme="majorBidi" w:hAnsiTheme="majorBidi" w:cstheme="majorBidi"/>
          <w:sz w:val="24"/>
          <w:szCs w:val="24"/>
        </w:rPr>
        <w:t xml:space="preserve"> and other fields as well</w:t>
      </w:r>
      <w:sdt>
        <w:sdtPr>
          <w:rPr>
            <w:rFonts w:asciiTheme="majorBidi" w:hAnsiTheme="majorBidi" w:cstheme="majorBidi"/>
            <w:sz w:val="24"/>
            <w:szCs w:val="24"/>
          </w:rPr>
          <w:id w:val="1437946573"/>
          <w:citation/>
        </w:sdtPr>
        <w:sdtContent>
          <w:r w:rsidR="00A50B21" w:rsidRPr="004B44B9">
            <w:rPr>
              <w:rFonts w:asciiTheme="majorBidi" w:hAnsiTheme="majorBidi" w:cstheme="majorBidi"/>
              <w:sz w:val="24"/>
              <w:szCs w:val="24"/>
            </w:rPr>
            <w:fldChar w:fldCharType="begin"/>
          </w:r>
          <w:r w:rsidR="0028740C" w:rsidRPr="004B44B9">
            <w:rPr>
              <w:rFonts w:asciiTheme="majorBidi" w:hAnsiTheme="majorBidi" w:cstheme="majorBidi"/>
              <w:sz w:val="24"/>
              <w:szCs w:val="24"/>
            </w:rPr>
            <w:instrText xml:space="preserve">CITATION ElA16 \l 2057 </w:instrText>
          </w:r>
          <w:r w:rsidR="00A50B21" w:rsidRPr="004B44B9">
            <w:rPr>
              <w:rFonts w:asciiTheme="majorBidi" w:hAnsiTheme="majorBidi" w:cstheme="majorBidi"/>
              <w:sz w:val="24"/>
              <w:szCs w:val="24"/>
            </w:rPr>
            <w:fldChar w:fldCharType="separate"/>
          </w:r>
          <w:r w:rsidR="0028740C" w:rsidRPr="004B44B9">
            <w:rPr>
              <w:rFonts w:asciiTheme="majorBidi" w:hAnsiTheme="majorBidi" w:cstheme="majorBidi"/>
              <w:noProof/>
              <w:sz w:val="24"/>
              <w:szCs w:val="24"/>
            </w:rPr>
            <w:t xml:space="preserve"> (El Achhab, et al., 2016)</w:t>
          </w:r>
          <w:r w:rsidR="00A50B21" w:rsidRPr="004B44B9">
            <w:rPr>
              <w:rFonts w:asciiTheme="majorBidi" w:hAnsiTheme="majorBidi" w:cstheme="majorBidi"/>
              <w:sz w:val="24"/>
              <w:szCs w:val="24"/>
            </w:rPr>
            <w:fldChar w:fldCharType="end"/>
          </w:r>
        </w:sdtContent>
      </w:sdt>
      <w:r w:rsidR="003A01D0" w:rsidRPr="004B44B9">
        <w:rPr>
          <w:rFonts w:asciiTheme="majorBidi" w:hAnsiTheme="majorBidi" w:cstheme="majorBidi"/>
          <w:sz w:val="24"/>
          <w:szCs w:val="24"/>
        </w:rPr>
        <w:t>.</w:t>
      </w:r>
      <w:r w:rsidR="00915FFB" w:rsidRPr="004B44B9">
        <w:rPr>
          <w:rFonts w:asciiTheme="majorBidi" w:hAnsiTheme="majorBidi" w:cstheme="majorBidi"/>
          <w:sz w:val="24"/>
          <w:szCs w:val="24"/>
        </w:rPr>
        <w:t xml:space="preserve"> </w:t>
      </w:r>
      <w:r>
        <w:rPr>
          <w:rFonts w:asciiTheme="majorBidi" w:hAnsiTheme="majorBidi" w:cstheme="majorBidi"/>
          <w:sz w:val="24"/>
          <w:szCs w:val="24"/>
        </w:rPr>
        <w:t xml:space="preserve">Mixed Methods have been used by many scholars in different fields </w:t>
      </w:r>
      <w:sdt>
        <w:sdtPr>
          <w:rPr>
            <w:rFonts w:asciiTheme="majorBidi" w:hAnsiTheme="majorBidi" w:cstheme="majorBidi"/>
            <w:sz w:val="24"/>
            <w:szCs w:val="24"/>
          </w:rPr>
          <w:id w:val="-71034517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Mel19 \l 2057  \m Ric10</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(Mele &amp; Belardinelli, 2019; Riccucci, 2010)</w:t>
          </w:r>
          <w:r>
            <w:rPr>
              <w:rFonts w:asciiTheme="majorBidi" w:hAnsiTheme="majorBidi" w:cstheme="majorBidi"/>
              <w:sz w:val="24"/>
              <w:szCs w:val="24"/>
            </w:rPr>
            <w:fldChar w:fldCharType="end"/>
          </w:r>
        </w:sdtContent>
      </w:sdt>
      <w:r>
        <w:rPr>
          <w:rFonts w:asciiTheme="majorBidi" w:hAnsiTheme="majorBidi" w:cstheme="majorBidi"/>
          <w:sz w:val="24"/>
          <w:szCs w:val="24"/>
        </w:rPr>
        <w:t>. Mixed methods are known for integrating quantitative and qualitative strands of data within a specific research process</w:t>
      </w:r>
      <w:sdt>
        <w:sdtPr>
          <w:rPr>
            <w:rFonts w:asciiTheme="majorBidi" w:hAnsiTheme="majorBidi" w:cstheme="majorBidi"/>
            <w:sz w:val="24"/>
            <w:szCs w:val="24"/>
          </w:rPr>
          <w:id w:val="34390286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Eli17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(Creamer, 2017)</w:t>
          </w:r>
          <w:r>
            <w:rPr>
              <w:rFonts w:asciiTheme="majorBidi" w:hAnsiTheme="majorBidi" w:cstheme="majorBidi"/>
              <w:sz w:val="24"/>
              <w:szCs w:val="24"/>
            </w:rPr>
            <w:fldChar w:fldCharType="end"/>
          </w:r>
        </w:sdtContent>
      </w:sdt>
      <w:r>
        <w:rPr>
          <w:rFonts w:asciiTheme="majorBidi" w:hAnsiTheme="majorBidi" w:cstheme="majorBidi"/>
          <w:sz w:val="24"/>
          <w:szCs w:val="24"/>
        </w:rPr>
        <w:t>. Although some researchers reported lack of sufficient guidance on mixed-methods and that this approach can reveal some complexity in the design as every approach attends to specific objectives</w:t>
      </w:r>
      <w:sdt>
        <w:sdtPr>
          <w:rPr>
            <w:rFonts w:asciiTheme="majorBidi" w:hAnsiTheme="majorBidi" w:cstheme="majorBidi"/>
            <w:sz w:val="24"/>
            <w:szCs w:val="24"/>
          </w:rPr>
          <w:id w:val="-7204674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Zho20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(Zhou &amp; Wu,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mixed-methods provide a holistic basis for substantial and complex conclusions </w:t>
      </w:r>
      <w:sdt>
        <w:sdtPr>
          <w:rPr>
            <w:rFonts w:asciiTheme="majorBidi" w:hAnsiTheme="majorBidi" w:cstheme="majorBidi"/>
            <w:sz w:val="24"/>
            <w:szCs w:val="24"/>
          </w:rPr>
          <w:id w:val="-212599267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Cre21 \l 2057  \m Ste22</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(Creswell, 2021; Stern, et al.,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5330666C" w14:textId="3BA9D40C" w:rsidR="00395741" w:rsidRPr="009F574A" w:rsidRDefault="007A225E" w:rsidP="009F574A">
      <w:pPr>
        <w:adjustRightInd w:val="0"/>
        <w:spacing w:after="0" w:line="480" w:lineRule="auto"/>
        <w:ind w:firstLine="720"/>
        <w:rPr>
          <w:rFonts w:asciiTheme="majorBidi" w:hAnsiTheme="majorBidi" w:cstheme="majorBidi"/>
          <w:sz w:val="24"/>
          <w:szCs w:val="24"/>
        </w:rPr>
      </w:pPr>
      <w:bookmarkStart w:id="131" w:name="_Hlk157250440"/>
      <w:r>
        <w:rPr>
          <w:rFonts w:asciiTheme="majorBidi" w:hAnsiTheme="majorBidi" w:cstheme="majorBidi"/>
          <w:sz w:val="24"/>
          <w:szCs w:val="24"/>
        </w:rPr>
        <w:t xml:space="preserve">I employed survey experiments </w:t>
      </w:r>
      <w:r w:rsidR="00211E64">
        <w:rPr>
          <w:rFonts w:asciiTheme="majorBidi" w:hAnsiTheme="majorBidi" w:cstheme="majorBidi"/>
          <w:sz w:val="24"/>
          <w:szCs w:val="24"/>
        </w:rPr>
        <w:t>for study one first</w:t>
      </w:r>
      <w:r w:rsidR="00877932">
        <w:rPr>
          <w:rFonts w:asciiTheme="majorBidi" w:hAnsiTheme="majorBidi" w:cstheme="majorBidi"/>
          <w:sz w:val="24"/>
          <w:szCs w:val="24"/>
        </w:rPr>
        <w:t xml:space="preserve"> followed by</w:t>
      </w:r>
      <w:r>
        <w:rPr>
          <w:rFonts w:asciiTheme="majorBidi" w:hAnsiTheme="majorBidi" w:cstheme="majorBidi"/>
          <w:sz w:val="24"/>
          <w:szCs w:val="24"/>
        </w:rPr>
        <w:t xml:space="preserve"> semi-structured interviews</w:t>
      </w:r>
      <w:r w:rsidR="00211E64">
        <w:rPr>
          <w:rFonts w:asciiTheme="majorBidi" w:hAnsiTheme="majorBidi" w:cstheme="majorBidi"/>
          <w:sz w:val="24"/>
          <w:szCs w:val="24"/>
        </w:rPr>
        <w:t xml:space="preserve"> for study two</w:t>
      </w:r>
      <w:r>
        <w:rPr>
          <w:rFonts w:asciiTheme="majorBidi" w:hAnsiTheme="majorBidi" w:cstheme="majorBidi"/>
          <w:sz w:val="24"/>
          <w:szCs w:val="24"/>
        </w:rPr>
        <w:t xml:space="preserve">. </w:t>
      </w:r>
      <w:r w:rsidRPr="004B44B9">
        <w:rPr>
          <w:rFonts w:asciiTheme="majorBidi" w:hAnsiTheme="majorBidi" w:cstheme="majorBidi"/>
          <w:sz w:val="24"/>
          <w:szCs w:val="24"/>
        </w:rPr>
        <w:t xml:space="preserve">This was deemed necessary to </w:t>
      </w:r>
      <w:r w:rsidR="008344DB" w:rsidRPr="004B44B9">
        <w:rPr>
          <w:rFonts w:asciiTheme="majorBidi" w:hAnsiTheme="majorBidi" w:cstheme="majorBidi"/>
          <w:sz w:val="24"/>
          <w:szCs w:val="24"/>
        </w:rPr>
        <w:t>gain</w:t>
      </w:r>
      <w:r w:rsidRPr="004B44B9">
        <w:rPr>
          <w:rFonts w:asciiTheme="majorBidi" w:hAnsiTheme="majorBidi" w:cstheme="majorBidi"/>
          <w:sz w:val="24"/>
          <w:szCs w:val="24"/>
        </w:rPr>
        <w:t xml:space="preserve"> insights on the consumers’ differing opinions when these </w:t>
      </w:r>
      <w:r w:rsidR="008344DB" w:rsidRPr="004B44B9">
        <w:rPr>
          <w:rFonts w:asciiTheme="majorBidi" w:hAnsiTheme="majorBidi" w:cstheme="majorBidi"/>
          <w:sz w:val="24"/>
          <w:szCs w:val="24"/>
        </w:rPr>
        <w:t xml:space="preserve">communication </w:t>
      </w:r>
      <w:r w:rsidRPr="004B44B9">
        <w:rPr>
          <w:rFonts w:asciiTheme="majorBidi" w:hAnsiTheme="majorBidi" w:cstheme="majorBidi"/>
          <w:sz w:val="24"/>
          <w:szCs w:val="24"/>
        </w:rPr>
        <w:t xml:space="preserve">strategies are applied </w:t>
      </w:r>
      <w:r w:rsidR="008344DB" w:rsidRPr="004B44B9">
        <w:rPr>
          <w:rFonts w:asciiTheme="majorBidi" w:hAnsiTheme="majorBidi" w:cstheme="majorBidi"/>
          <w:sz w:val="24"/>
          <w:szCs w:val="24"/>
        </w:rPr>
        <w:t>through</w:t>
      </w:r>
      <w:r w:rsidRPr="004B44B9">
        <w:rPr>
          <w:rFonts w:asciiTheme="majorBidi" w:hAnsiTheme="majorBidi" w:cstheme="majorBidi"/>
          <w:sz w:val="24"/>
          <w:szCs w:val="24"/>
        </w:rPr>
        <w:t xml:space="preserve"> different media vehicles</w:t>
      </w:r>
      <w:r w:rsidR="00F21484" w:rsidRPr="004B44B9">
        <w:rPr>
          <w:rFonts w:asciiTheme="majorBidi" w:hAnsiTheme="majorBidi" w:cstheme="majorBidi"/>
          <w:sz w:val="24"/>
          <w:szCs w:val="24"/>
        </w:rPr>
        <w:t xml:space="preserve">. </w:t>
      </w:r>
      <w:bookmarkEnd w:id="131"/>
      <w:r w:rsidRPr="004B44B9">
        <w:rPr>
          <w:rFonts w:asciiTheme="majorBidi" w:hAnsiTheme="majorBidi" w:cstheme="majorBidi"/>
          <w:sz w:val="24"/>
          <w:szCs w:val="24"/>
        </w:rPr>
        <w:t>Since</w:t>
      </w:r>
      <w:r>
        <w:rPr>
          <w:rFonts w:asciiTheme="majorBidi" w:hAnsiTheme="majorBidi" w:cstheme="majorBidi"/>
          <w:sz w:val="24"/>
          <w:szCs w:val="24"/>
        </w:rPr>
        <w:t xml:space="preserve"> this study is investigating CSR as a communication strategy, I had to first identify an area of CSR campaign that is highly valued in the Egyptian society. Accordingly, the first step in this study was a short survey to identify which area of CSR is highly valued by Egyptian consumers. Subsequently, the CSR stimuli in the experiment was designed based on the consumers’ preferred area of CSR which was healthcare (refer to section </w:t>
      </w:r>
      <w:r w:rsidRPr="00E01799">
        <w:rPr>
          <w:rFonts w:asciiTheme="majorBidi" w:hAnsiTheme="majorBidi" w:cstheme="majorBidi"/>
          <w:sz w:val="24"/>
          <w:szCs w:val="24"/>
        </w:rPr>
        <w:t>5.</w:t>
      </w:r>
      <w:r w:rsidR="00E01799" w:rsidRPr="00E01799">
        <w:rPr>
          <w:rFonts w:asciiTheme="majorBidi" w:hAnsiTheme="majorBidi" w:cstheme="majorBidi"/>
          <w:sz w:val="24"/>
          <w:szCs w:val="24"/>
        </w:rPr>
        <w:t>4.</w:t>
      </w:r>
      <w:r w:rsidRPr="00E01799">
        <w:rPr>
          <w:rFonts w:asciiTheme="majorBidi" w:hAnsiTheme="majorBidi" w:cstheme="majorBidi"/>
          <w:sz w:val="24"/>
          <w:szCs w:val="24"/>
        </w:rPr>
        <w:t>3</w:t>
      </w:r>
      <w:r>
        <w:rPr>
          <w:rFonts w:asciiTheme="majorBidi" w:hAnsiTheme="majorBidi" w:cstheme="majorBidi"/>
          <w:sz w:val="24"/>
          <w:szCs w:val="24"/>
        </w:rPr>
        <w:t xml:space="preserve"> for further explanation on stimuli development). </w:t>
      </w:r>
      <w:bookmarkStart w:id="132" w:name="_Hlk157250608"/>
      <w:r>
        <w:rPr>
          <w:rFonts w:asciiTheme="majorBidi" w:hAnsiTheme="majorBidi" w:cstheme="majorBidi"/>
          <w:sz w:val="24"/>
          <w:szCs w:val="24"/>
        </w:rPr>
        <w:t>To scrutini</w:t>
      </w:r>
      <w:r w:rsidR="00E01799">
        <w:rPr>
          <w:rFonts w:asciiTheme="majorBidi" w:hAnsiTheme="majorBidi" w:cstheme="majorBidi"/>
          <w:sz w:val="24"/>
          <w:szCs w:val="24"/>
        </w:rPr>
        <w:t>s</w:t>
      </w:r>
      <w:r>
        <w:rPr>
          <w:rFonts w:asciiTheme="majorBidi" w:hAnsiTheme="majorBidi" w:cstheme="majorBidi"/>
          <w:sz w:val="24"/>
          <w:szCs w:val="24"/>
        </w:rPr>
        <w:t>e and further explain any causal relationships that appear from the findings</w:t>
      </w:r>
      <w:r w:rsidR="00211E64">
        <w:rPr>
          <w:rFonts w:asciiTheme="majorBidi" w:hAnsiTheme="majorBidi" w:cstheme="majorBidi"/>
          <w:sz w:val="24"/>
          <w:szCs w:val="24"/>
        </w:rPr>
        <w:t xml:space="preserve"> in study one</w:t>
      </w:r>
      <w:r>
        <w:rPr>
          <w:rFonts w:asciiTheme="majorBidi" w:hAnsiTheme="majorBidi" w:cstheme="majorBidi"/>
          <w:sz w:val="24"/>
          <w:szCs w:val="24"/>
        </w:rPr>
        <w:t xml:space="preserve">, </w:t>
      </w:r>
      <w:r w:rsidR="00211E64">
        <w:rPr>
          <w:rFonts w:asciiTheme="majorBidi" w:hAnsiTheme="majorBidi" w:cstheme="majorBidi"/>
          <w:sz w:val="24"/>
          <w:szCs w:val="24"/>
        </w:rPr>
        <w:t>study two</w:t>
      </w:r>
      <w:r>
        <w:rPr>
          <w:rFonts w:asciiTheme="majorBidi" w:hAnsiTheme="majorBidi" w:cstheme="majorBidi"/>
          <w:sz w:val="24"/>
          <w:szCs w:val="24"/>
        </w:rPr>
        <w:t xml:space="preserve"> conducted semi-structured interviews. The </w:t>
      </w:r>
      <w:r w:rsidR="00211E64">
        <w:rPr>
          <w:rFonts w:asciiTheme="majorBidi" w:hAnsiTheme="majorBidi" w:cstheme="majorBidi"/>
          <w:sz w:val="24"/>
          <w:szCs w:val="24"/>
        </w:rPr>
        <w:t>research</w:t>
      </w:r>
      <w:r>
        <w:rPr>
          <w:rFonts w:asciiTheme="majorBidi" w:hAnsiTheme="majorBidi" w:cstheme="majorBidi"/>
          <w:sz w:val="24"/>
          <w:szCs w:val="24"/>
        </w:rPr>
        <w:t xml:space="preserve"> followed a logical and chronological sequence in which the main findings emerged from the experiment</w:t>
      </w:r>
      <w:r w:rsidR="00211E64">
        <w:rPr>
          <w:rFonts w:asciiTheme="majorBidi" w:hAnsiTheme="majorBidi" w:cstheme="majorBidi"/>
          <w:sz w:val="24"/>
          <w:szCs w:val="24"/>
        </w:rPr>
        <w:t>s (study one)</w:t>
      </w:r>
      <w:r>
        <w:rPr>
          <w:rFonts w:asciiTheme="majorBidi" w:hAnsiTheme="majorBidi" w:cstheme="majorBidi"/>
          <w:sz w:val="24"/>
          <w:szCs w:val="24"/>
        </w:rPr>
        <w:t xml:space="preserve"> and based on that; semi-structured interviews</w:t>
      </w:r>
      <w:r w:rsidR="00211E64">
        <w:rPr>
          <w:rFonts w:asciiTheme="majorBidi" w:hAnsiTheme="majorBidi" w:cstheme="majorBidi"/>
          <w:sz w:val="24"/>
          <w:szCs w:val="24"/>
        </w:rPr>
        <w:t xml:space="preserve"> (study two)</w:t>
      </w:r>
      <w:r>
        <w:rPr>
          <w:rFonts w:asciiTheme="majorBidi" w:hAnsiTheme="majorBidi" w:cstheme="majorBidi"/>
          <w:sz w:val="24"/>
          <w:szCs w:val="24"/>
        </w:rPr>
        <w:t xml:space="preserve"> were conducted on a subset of the sample that is selected from the respondents in the group that received the CSR stimulus. </w:t>
      </w:r>
      <w:bookmarkEnd w:id="132"/>
      <w:r>
        <w:rPr>
          <w:rFonts w:asciiTheme="majorBidi" w:hAnsiTheme="majorBidi" w:cstheme="majorBidi"/>
          <w:sz w:val="24"/>
          <w:szCs w:val="24"/>
        </w:rPr>
        <w:t xml:space="preserve">Figure </w:t>
      </w:r>
      <w:r w:rsidR="00944CEF">
        <w:rPr>
          <w:rFonts w:asciiTheme="majorBidi" w:hAnsiTheme="majorBidi" w:cstheme="majorBidi"/>
          <w:sz w:val="24"/>
          <w:szCs w:val="24"/>
        </w:rPr>
        <w:t>10</w:t>
      </w:r>
      <w:r>
        <w:rPr>
          <w:rFonts w:asciiTheme="majorBidi" w:hAnsiTheme="majorBidi" w:cstheme="majorBidi"/>
          <w:sz w:val="24"/>
          <w:szCs w:val="24"/>
        </w:rPr>
        <w:t xml:space="preserve"> summari</w:t>
      </w:r>
      <w:r w:rsidR="00211E64">
        <w:rPr>
          <w:rFonts w:asciiTheme="majorBidi" w:hAnsiTheme="majorBidi" w:cstheme="majorBidi"/>
          <w:sz w:val="24"/>
          <w:szCs w:val="24"/>
        </w:rPr>
        <w:t>s</w:t>
      </w:r>
      <w:r>
        <w:rPr>
          <w:rFonts w:asciiTheme="majorBidi" w:hAnsiTheme="majorBidi" w:cstheme="majorBidi"/>
          <w:sz w:val="24"/>
          <w:szCs w:val="24"/>
        </w:rPr>
        <w:t xml:space="preserve">es the steps in the study conducted to collect data. The </w:t>
      </w:r>
      <w:r w:rsidR="00F21484">
        <w:rPr>
          <w:rFonts w:asciiTheme="majorBidi" w:hAnsiTheme="majorBidi" w:cstheme="majorBidi"/>
          <w:sz w:val="24"/>
          <w:szCs w:val="24"/>
        </w:rPr>
        <w:t>following</w:t>
      </w:r>
      <w:r>
        <w:rPr>
          <w:rFonts w:asciiTheme="majorBidi" w:hAnsiTheme="majorBidi" w:cstheme="majorBidi"/>
          <w:sz w:val="24"/>
          <w:szCs w:val="24"/>
        </w:rPr>
        <w:t xml:space="preserve"> section provide</w:t>
      </w:r>
      <w:r w:rsidR="00E01799">
        <w:rPr>
          <w:rFonts w:asciiTheme="majorBidi" w:hAnsiTheme="majorBidi" w:cstheme="majorBidi"/>
          <w:sz w:val="24"/>
          <w:szCs w:val="24"/>
        </w:rPr>
        <w:t>s</w:t>
      </w:r>
      <w:r>
        <w:rPr>
          <w:rFonts w:asciiTheme="majorBidi" w:hAnsiTheme="majorBidi" w:cstheme="majorBidi"/>
          <w:sz w:val="24"/>
          <w:szCs w:val="24"/>
        </w:rPr>
        <w:t xml:space="preserve"> a critical discussion on </w:t>
      </w:r>
      <w:r w:rsidR="005150F6">
        <w:rPr>
          <w:noProof/>
        </w:rPr>
        <mc:AlternateContent>
          <mc:Choice Requires="wps">
            <w:drawing>
              <wp:anchor distT="0" distB="0" distL="114300" distR="114300" simplePos="0" relativeHeight="251661824" behindDoc="1" locked="0" layoutInCell="1" allowOverlap="1" wp14:anchorId="6BE14050" wp14:editId="6D9BE39C">
                <wp:simplePos x="0" y="0"/>
                <wp:positionH relativeFrom="column">
                  <wp:posOffset>-199390</wp:posOffset>
                </wp:positionH>
                <wp:positionV relativeFrom="paragraph">
                  <wp:posOffset>7548245</wp:posOffset>
                </wp:positionV>
                <wp:extent cx="6209665" cy="266700"/>
                <wp:effectExtent l="0" t="0" r="0" b="0"/>
                <wp:wrapTight wrapText="bothSides">
                  <wp:wrapPolygon edited="0">
                    <wp:start x="0" y="0"/>
                    <wp:lineTo x="0" y="20057"/>
                    <wp:lineTo x="21536" y="20057"/>
                    <wp:lineTo x="21536" y="0"/>
                    <wp:lineTo x="0" y="0"/>
                  </wp:wrapPolygon>
                </wp:wrapTight>
                <wp:docPr id="15187501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9665" cy="266700"/>
                        </a:xfrm>
                        <a:prstGeom prst="rect">
                          <a:avLst/>
                        </a:prstGeom>
                        <a:solidFill>
                          <a:prstClr val="white"/>
                        </a:solidFill>
                        <a:ln>
                          <a:noFill/>
                        </a:ln>
                      </wps:spPr>
                      <wps:txbx>
                        <w:txbxContent>
                          <w:p w14:paraId="4235448D" w14:textId="513D6524" w:rsidR="00905454" w:rsidRPr="007661BC" w:rsidRDefault="00905454" w:rsidP="00905454">
                            <w:pPr>
                              <w:pStyle w:val="Caption"/>
                              <w:rPr>
                                <w:rFonts w:asciiTheme="majorBidi" w:hAnsiTheme="majorBidi" w:cstheme="majorBidi"/>
                                <w:noProof/>
                                <w:sz w:val="24"/>
                                <w:szCs w:val="24"/>
                              </w:rPr>
                            </w:pPr>
                            <w:r>
                              <w:t>Figure 10 The sequential steps conducted in the study to collect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BE14050" id="Text Box 8" o:spid="_x0000_s1028" type="#_x0000_t202" style="position:absolute;left:0;text-align:left;margin-left:-15.7pt;margin-top:594.35pt;width:488.95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" stroked="f">
                <v:textbox style="mso-fit-shape-to-text:t" inset="0,0,0,0">
                  <w:txbxContent>
                    <w:p w14:paraId="4235448D" w14:textId="513D6524" w:rsidR="00905454" w:rsidRPr="007661BC" w:rsidRDefault="00905454" w:rsidP="00905454">
                      <w:pPr>
                        <w:pStyle w:val="Caption"/>
                        <w:rPr>
                          <w:rFonts w:asciiTheme="majorBidi" w:hAnsiTheme="majorBidi" w:cstheme="majorBidi"/>
                          <w:noProof/>
                          <w:sz w:val="24"/>
                          <w:szCs w:val="24"/>
                        </w:rPr>
                      </w:pPr>
                      <w:r>
                        <w:t>Figure 10 The sequential steps conducted in the study to collect data</w:t>
                      </w:r>
                    </w:p>
                  </w:txbxContent>
                </v:textbox>
                <w10:wrap type="tight"/>
              </v:shape>
            </w:pict>
          </mc:Fallback>
        </mc:AlternateContent>
      </w:r>
      <w:r w:rsidR="005150F6" w:rsidRPr="00D66C40">
        <w:rPr>
          <w:rFonts w:asciiTheme="majorBidi" w:hAnsiTheme="majorBidi" w:cstheme="majorBidi"/>
          <w:noProof/>
          <w:sz w:val="24"/>
          <w:szCs w:val="24"/>
        </w:rPr>
        <w:drawing>
          <wp:anchor distT="0" distB="0" distL="114300" distR="114300" simplePos="0" relativeHeight="251654656" behindDoc="1" locked="0" layoutInCell="1" allowOverlap="1" wp14:anchorId="7674A85A" wp14:editId="7D7E75B7">
            <wp:simplePos x="0" y="0"/>
            <wp:positionH relativeFrom="column">
              <wp:posOffset>-179917</wp:posOffset>
            </wp:positionH>
            <wp:positionV relativeFrom="paragraph">
              <wp:posOffset>4498340</wp:posOffset>
            </wp:positionV>
            <wp:extent cx="6209665" cy="3025140"/>
            <wp:effectExtent l="0" t="19050" r="635" b="22860"/>
            <wp:wrapTight wrapText="bothSides">
              <wp:wrapPolygon edited="0">
                <wp:start x="0" y="-136"/>
                <wp:lineTo x="0" y="21627"/>
                <wp:lineTo x="21536" y="21627"/>
                <wp:lineTo x="21536" y="-136"/>
                <wp:lineTo x="0" y="-136"/>
              </wp:wrapPolygon>
            </wp:wrapTight>
            <wp:docPr id="14" name="Diagram 14">
              <a:extLst xmlns:a="http://schemas.openxmlformats.org/drawingml/2006/main">
                <a:ext uri="{FF2B5EF4-FFF2-40B4-BE49-F238E27FC236}">
                  <a16:creationId xmlns:a16="http://schemas.microsoft.com/office/drawing/2014/main" id="{70561AB1-A5FD-056E-015F-EA0F9876BF0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Pr>
          <w:rFonts w:asciiTheme="majorBidi" w:hAnsiTheme="majorBidi" w:cstheme="majorBidi"/>
          <w:sz w:val="24"/>
          <w:szCs w:val="24"/>
        </w:rPr>
        <w:t>the two main subfields of research philosophy: ontology and epistemology</w:t>
      </w:r>
      <w:sdt>
        <w:sdtPr>
          <w:rPr>
            <w:rFonts w:asciiTheme="majorBidi" w:hAnsiTheme="majorBidi" w:cstheme="majorBidi"/>
            <w:sz w:val="24"/>
            <w:szCs w:val="24"/>
          </w:rPr>
          <w:id w:val="89238442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Moo17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(Moon &amp; Blackman,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373DBB9B" w14:textId="77777777" w:rsidR="005F35ED" w:rsidRDefault="005F35ED">
      <w:pPr>
        <w:rPr>
          <w:rFonts w:asciiTheme="majorBidi" w:hAnsiTheme="majorBidi" w:cstheme="majorBidi"/>
          <w:b/>
          <w:bCs/>
          <w:sz w:val="24"/>
          <w:szCs w:val="24"/>
        </w:rPr>
      </w:pPr>
      <w:r>
        <w:rPr>
          <w:rFonts w:asciiTheme="majorBidi" w:hAnsiTheme="majorBidi" w:cstheme="majorBidi"/>
          <w:b/>
          <w:bCs/>
          <w:sz w:val="24"/>
          <w:szCs w:val="24"/>
        </w:rPr>
        <w:br w:type="page"/>
      </w:r>
    </w:p>
    <w:p w14:paraId="0908DAA8" w14:textId="30E40918" w:rsidR="007A225E" w:rsidRDefault="007A225E" w:rsidP="005150F6">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5.</w:t>
      </w:r>
      <w:r w:rsidR="00891F01">
        <w:rPr>
          <w:rFonts w:asciiTheme="majorBidi" w:hAnsiTheme="majorBidi" w:cstheme="majorBidi"/>
          <w:b/>
          <w:bCs/>
          <w:sz w:val="24"/>
          <w:szCs w:val="24"/>
        </w:rPr>
        <w:t>2</w:t>
      </w:r>
      <w:r>
        <w:rPr>
          <w:rFonts w:asciiTheme="majorBidi" w:hAnsiTheme="majorBidi" w:cstheme="majorBidi"/>
          <w:b/>
          <w:bCs/>
          <w:sz w:val="24"/>
          <w:szCs w:val="24"/>
        </w:rPr>
        <w:t xml:space="preserve"> Ontological and epistemological assumptions </w:t>
      </w:r>
    </w:p>
    <w:p w14:paraId="33B91D13" w14:textId="5C44BE4D" w:rsidR="007A225E" w:rsidRPr="00C04611" w:rsidRDefault="007A225E" w:rsidP="005150F6">
      <w:pPr>
        <w:adjustRightInd w:val="0"/>
        <w:spacing w:after="0" w:line="480" w:lineRule="auto"/>
        <w:ind w:firstLine="720"/>
        <w:rPr>
          <w:rFonts w:asciiTheme="majorBidi" w:hAnsiTheme="majorBidi" w:cstheme="majorBidi"/>
          <w:b/>
          <w:bCs/>
          <w:sz w:val="24"/>
          <w:szCs w:val="24"/>
        </w:rPr>
      </w:pPr>
      <w:r>
        <w:rPr>
          <w:rFonts w:asciiTheme="majorBidi" w:hAnsiTheme="majorBidi" w:cstheme="majorBidi"/>
          <w:b/>
          <w:bCs/>
          <w:sz w:val="24"/>
          <w:szCs w:val="24"/>
        </w:rPr>
        <w:t>5</w:t>
      </w:r>
      <w:r w:rsidRPr="00302DC1">
        <w:rPr>
          <w:rFonts w:asciiTheme="majorBidi" w:hAnsiTheme="majorBidi" w:cstheme="majorBidi"/>
          <w:b/>
          <w:bCs/>
          <w:sz w:val="24"/>
          <w:szCs w:val="24"/>
        </w:rPr>
        <w:t>.</w:t>
      </w:r>
      <w:r w:rsidR="00891F01">
        <w:rPr>
          <w:rFonts w:asciiTheme="majorBidi" w:hAnsiTheme="majorBidi" w:cstheme="majorBidi"/>
          <w:b/>
          <w:bCs/>
          <w:sz w:val="24"/>
          <w:szCs w:val="24"/>
        </w:rPr>
        <w:t>2</w:t>
      </w:r>
      <w:r w:rsidRPr="00302DC1">
        <w:rPr>
          <w:rFonts w:asciiTheme="majorBidi" w:hAnsiTheme="majorBidi" w:cstheme="majorBidi"/>
          <w:b/>
          <w:bCs/>
          <w:sz w:val="24"/>
          <w:szCs w:val="24"/>
        </w:rPr>
        <w:t>.</w:t>
      </w:r>
      <w:r>
        <w:rPr>
          <w:rFonts w:asciiTheme="majorBidi" w:hAnsiTheme="majorBidi" w:cstheme="majorBidi"/>
          <w:b/>
          <w:bCs/>
          <w:sz w:val="24"/>
          <w:szCs w:val="24"/>
        </w:rPr>
        <w:t xml:space="preserve">1 </w:t>
      </w:r>
      <w:r w:rsidRPr="00C04611">
        <w:rPr>
          <w:rFonts w:asciiTheme="majorBidi" w:hAnsiTheme="majorBidi" w:cstheme="majorBidi"/>
          <w:b/>
          <w:bCs/>
          <w:sz w:val="24"/>
          <w:szCs w:val="24"/>
        </w:rPr>
        <w:t xml:space="preserve">Ontology </w:t>
      </w:r>
    </w:p>
    <w:p w14:paraId="20E7C28C" w14:textId="0E06CFF6" w:rsidR="00211E64" w:rsidRDefault="007A225E" w:rsidP="00A321BD">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first subfield is ontology or “the study of being.” </w:t>
      </w:r>
      <w:r w:rsidRPr="00302DC1">
        <w:rPr>
          <w:rFonts w:asciiTheme="majorBidi" w:hAnsiTheme="majorBidi" w:cstheme="majorBidi"/>
          <w:sz w:val="24"/>
          <w:szCs w:val="24"/>
        </w:rPr>
        <w:t>Exploring the ontological assumptions of any type of marketing communication is open to various interpretations. Ontology</w:t>
      </w:r>
      <w:r>
        <w:rPr>
          <w:rFonts w:asciiTheme="majorBidi" w:hAnsiTheme="majorBidi" w:cstheme="majorBidi"/>
          <w:sz w:val="24"/>
          <w:szCs w:val="24"/>
        </w:rPr>
        <w:t xml:space="preserve"> </w:t>
      </w:r>
      <w:r w:rsidRPr="00302DC1">
        <w:rPr>
          <w:rFonts w:asciiTheme="majorBidi" w:hAnsiTheme="majorBidi" w:cstheme="majorBidi"/>
          <w:sz w:val="24"/>
          <w:szCs w:val="24"/>
        </w:rPr>
        <w:t xml:space="preserve">is mainly concerned with </w:t>
      </w:r>
      <w:r>
        <w:rPr>
          <w:rFonts w:asciiTheme="majorBidi" w:hAnsiTheme="majorBidi" w:cstheme="majorBidi"/>
          <w:sz w:val="24"/>
          <w:szCs w:val="24"/>
        </w:rPr>
        <w:t xml:space="preserve">the constitution of reality </w:t>
      </w:r>
      <w:r w:rsidRPr="00302DC1">
        <w:rPr>
          <w:rFonts w:asciiTheme="majorBidi" w:hAnsiTheme="majorBidi" w:cstheme="majorBidi"/>
          <w:sz w:val="24"/>
          <w:szCs w:val="24"/>
        </w:rPr>
        <w:t>what happens in the real world</w:t>
      </w:r>
      <w:r>
        <w:rPr>
          <w:rFonts w:asciiTheme="majorBidi" w:hAnsiTheme="majorBidi" w:cstheme="majorBidi"/>
          <w:sz w:val="24"/>
          <w:szCs w:val="24"/>
        </w:rPr>
        <w:t xml:space="preserve"> from which people can obtain real and applicable knowledge from</w:t>
      </w:r>
      <w:r w:rsidRPr="00302DC1">
        <w:rPr>
          <w:rFonts w:asciiTheme="majorBidi" w:hAnsiTheme="majorBidi" w:cstheme="majorBidi"/>
          <w:sz w:val="24"/>
          <w:szCs w:val="24"/>
        </w:rPr>
        <w:t xml:space="preserve"> </w:t>
      </w:r>
      <w:sdt>
        <w:sdtPr>
          <w:rPr>
            <w:rFonts w:asciiTheme="majorBidi" w:hAnsiTheme="majorBidi" w:cstheme="majorBidi"/>
            <w:sz w:val="24"/>
            <w:szCs w:val="24"/>
          </w:rPr>
          <w:id w:val="-1475443511"/>
          <w:citation/>
        </w:sdtPr>
        <w:sdtContent>
          <w:r w:rsidRPr="00302DC1">
            <w:rPr>
              <w:rFonts w:asciiTheme="majorBidi" w:hAnsiTheme="majorBidi" w:cstheme="majorBidi"/>
              <w:sz w:val="24"/>
              <w:szCs w:val="24"/>
            </w:rPr>
            <w:fldChar w:fldCharType="begin"/>
          </w:r>
          <w:r w:rsidRPr="00302DC1">
            <w:rPr>
              <w:rFonts w:asciiTheme="majorBidi" w:hAnsiTheme="majorBidi" w:cstheme="majorBidi"/>
              <w:sz w:val="24"/>
              <w:szCs w:val="24"/>
            </w:rPr>
            <w:instrText xml:space="preserve"> CITATION Moo17 \l 2057 </w:instrText>
          </w:r>
          <w:r w:rsidRPr="00302DC1">
            <w:rPr>
              <w:rFonts w:asciiTheme="majorBidi" w:hAnsiTheme="majorBidi" w:cstheme="majorBidi"/>
              <w:sz w:val="24"/>
              <w:szCs w:val="24"/>
            </w:rPr>
            <w:fldChar w:fldCharType="separate"/>
          </w:r>
          <w:r w:rsidRPr="0074573E">
            <w:rPr>
              <w:rFonts w:asciiTheme="majorBidi" w:hAnsiTheme="majorBidi" w:cstheme="majorBidi"/>
              <w:noProof/>
              <w:sz w:val="24"/>
              <w:szCs w:val="24"/>
            </w:rPr>
            <w:t>(Moon &amp; Blackman, 2017)</w:t>
          </w:r>
          <w:r w:rsidRPr="00302DC1">
            <w:rPr>
              <w:rFonts w:asciiTheme="majorBidi" w:hAnsiTheme="majorBidi" w:cstheme="majorBidi"/>
              <w:sz w:val="24"/>
              <w:szCs w:val="24"/>
            </w:rPr>
            <w:fldChar w:fldCharType="end"/>
          </w:r>
        </w:sdtContent>
      </w:sdt>
      <w:r w:rsidRPr="00302DC1">
        <w:rPr>
          <w:rFonts w:asciiTheme="majorBidi" w:hAnsiTheme="majorBidi" w:cstheme="majorBidi"/>
          <w:sz w:val="24"/>
          <w:szCs w:val="24"/>
        </w:rPr>
        <w:t xml:space="preserve">. </w:t>
      </w:r>
      <w:r>
        <w:rPr>
          <w:rFonts w:asciiTheme="majorBidi" w:hAnsiTheme="majorBidi" w:cstheme="majorBidi"/>
          <w:sz w:val="24"/>
          <w:szCs w:val="24"/>
        </w:rPr>
        <w:t xml:space="preserve">The study’s experiments and stimuli presented in the interviews allow ontological assumptions describing consumers’ perceptions towards the brand to be drawn. </w:t>
      </w:r>
      <w:r w:rsidRPr="00302DC1">
        <w:rPr>
          <w:rFonts w:asciiTheme="majorBidi" w:hAnsiTheme="majorBidi" w:cstheme="majorBidi"/>
          <w:sz w:val="24"/>
          <w:szCs w:val="24"/>
        </w:rPr>
        <w:t xml:space="preserve">In fact, the ontology of the commercial world is too complex </w:t>
      </w:r>
      <w:sdt>
        <w:sdtPr>
          <w:rPr>
            <w:rFonts w:asciiTheme="majorBidi" w:hAnsiTheme="majorBidi" w:cstheme="majorBidi"/>
            <w:sz w:val="24"/>
            <w:szCs w:val="24"/>
          </w:rPr>
          <w:id w:val="330654890"/>
          <w:citation/>
        </w:sdtPr>
        <w:sdtContent>
          <w:r w:rsidRPr="00302DC1">
            <w:rPr>
              <w:rFonts w:asciiTheme="majorBidi" w:hAnsiTheme="majorBidi" w:cstheme="majorBidi"/>
              <w:sz w:val="24"/>
              <w:szCs w:val="24"/>
            </w:rPr>
            <w:fldChar w:fldCharType="begin"/>
          </w:r>
          <w:r w:rsidRPr="00302DC1">
            <w:rPr>
              <w:rFonts w:asciiTheme="majorBidi" w:hAnsiTheme="majorBidi" w:cstheme="majorBidi"/>
              <w:sz w:val="24"/>
              <w:szCs w:val="24"/>
            </w:rPr>
            <w:instrText xml:space="preserve"> CITATION Gra99 \l 2057 </w:instrText>
          </w:r>
          <w:r w:rsidRPr="00302DC1">
            <w:rPr>
              <w:rFonts w:asciiTheme="majorBidi" w:hAnsiTheme="majorBidi" w:cstheme="majorBidi"/>
              <w:sz w:val="24"/>
              <w:szCs w:val="24"/>
            </w:rPr>
            <w:fldChar w:fldCharType="separate"/>
          </w:r>
          <w:r w:rsidRPr="0074573E">
            <w:rPr>
              <w:rFonts w:asciiTheme="majorBidi" w:hAnsiTheme="majorBidi" w:cstheme="majorBidi"/>
              <w:noProof/>
              <w:sz w:val="24"/>
              <w:szCs w:val="24"/>
            </w:rPr>
            <w:t>(Grassl, 1999)</w:t>
          </w:r>
          <w:r w:rsidRPr="00302DC1">
            <w:rPr>
              <w:rFonts w:asciiTheme="majorBidi" w:hAnsiTheme="majorBidi" w:cstheme="majorBidi"/>
              <w:sz w:val="24"/>
              <w:szCs w:val="24"/>
            </w:rPr>
            <w:fldChar w:fldCharType="end"/>
          </w:r>
        </w:sdtContent>
      </w:sdt>
      <w:r w:rsidRPr="00302DC1">
        <w:rPr>
          <w:rFonts w:asciiTheme="majorBidi" w:hAnsiTheme="majorBidi" w:cstheme="majorBidi"/>
          <w:sz w:val="24"/>
          <w:szCs w:val="24"/>
        </w:rPr>
        <w:t xml:space="preserve">. This is because, the ontology of marketing indicates that once a marketing </w:t>
      </w:r>
      <w:r>
        <w:rPr>
          <w:rFonts w:asciiTheme="majorBidi" w:hAnsiTheme="majorBidi" w:cstheme="majorBidi"/>
          <w:sz w:val="24"/>
          <w:szCs w:val="24"/>
        </w:rPr>
        <w:t>communication</w:t>
      </w:r>
      <w:r w:rsidRPr="00302DC1">
        <w:rPr>
          <w:rFonts w:asciiTheme="majorBidi" w:hAnsiTheme="majorBidi" w:cstheme="majorBidi"/>
          <w:sz w:val="24"/>
          <w:szCs w:val="24"/>
        </w:rPr>
        <w:t xml:space="preserve"> is launched, it is rapidly and widely transformed and reconfigured through a big web of interactions between different parties (i.e., the company, the brand, the target audience, etc.) </w:t>
      </w:r>
      <w:sdt>
        <w:sdtPr>
          <w:rPr>
            <w:rFonts w:asciiTheme="majorBidi" w:hAnsiTheme="majorBidi" w:cstheme="majorBidi"/>
            <w:sz w:val="24"/>
            <w:szCs w:val="24"/>
          </w:rPr>
          <w:id w:val="1346671071"/>
          <w:citation/>
        </w:sdtPr>
        <w:sdtContent>
          <w:r w:rsidRPr="00302DC1">
            <w:rPr>
              <w:rFonts w:asciiTheme="majorBidi" w:hAnsiTheme="majorBidi" w:cstheme="majorBidi"/>
              <w:sz w:val="24"/>
              <w:szCs w:val="24"/>
            </w:rPr>
            <w:fldChar w:fldCharType="begin"/>
          </w:r>
          <w:r w:rsidRPr="00302DC1">
            <w:rPr>
              <w:rFonts w:asciiTheme="majorBidi" w:hAnsiTheme="majorBidi" w:cstheme="majorBidi"/>
              <w:sz w:val="24"/>
              <w:szCs w:val="24"/>
            </w:rPr>
            <w:instrText xml:space="preserve"> CITATION Hol16 \l 2057 </w:instrText>
          </w:r>
          <w:r w:rsidRPr="00302DC1">
            <w:rPr>
              <w:rFonts w:asciiTheme="majorBidi" w:hAnsiTheme="majorBidi" w:cstheme="majorBidi"/>
              <w:sz w:val="24"/>
              <w:szCs w:val="24"/>
            </w:rPr>
            <w:fldChar w:fldCharType="separate"/>
          </w:r>
          <w:r w:rsidRPr="0074573E">
            <w:rPr>
              <w:rFonts w:asciiTheme="majorBidi" w:hAnsiTheme="majorBidi" w:cstheme="majorBidi"/>
              <w:noProof/>
              <w:sz w:val="24"/>
              <w:szCs w:val="24"/>
            </w:rPr>
            <w:t>(Holt, 2016)</w:t>
          </w:r>
          <w:r w:rsidRPr="00302DC1">
            <w:rPr>
              <w:rFonts w:asciiTheme="majorBidi" w:hAnsiTheme="majorBidi" w:cstheme="majorBidi"/>
              <w:sz w:val="24"/>
              <w:szCs w:val="24"/>
            </w:rPr>
            <w:fldChar w:fldCharType="end"/>
          </w:r>
        </w:sdtContent>
      </w:sdt>
      <w:r w:rsidRPr="00302DC1">
        <w:rPr>
          <w:rFonts w:asciiTheme="majorBidi" w:hAnsiTheme="majorBidi" w:cstheme="majorBidi"/>
          <w:sz w:val="24"/>
          <w:szCs w:val="24"/>
        </w:rPr>
        <w:t xml:space="preserve">.  In addition, the presence of different media </w:t>
      </w:r>
      <w:r w:rsidR="00D74555">
        <w:rPr>
          <w:rFonts w:asciiTheme="majorBidi" w:hAnsiTheme="majorBidi" w:cstheme="majorBidi"/>
          <w:sz w:val="24"/>
          <w:szCs w:val="24"/>
        </w:rPr>
        <w:t>vehicle</w:t>
      </w:r>
      <w:r w:rsidR="00D74555" w:rsidRPr="00302DC1">
        <w:rPr>
          <w:rFonts w:asciiTheme="majorBidi" w:hAnsiTheme="majorBidi" w:cstheme="majorBidi"/>
          <w:sz w:val="24"/>
          <w:szCs w:val="24"/>
        </w:rPr>
        <w:t xml:space="preserve"> </w:t>
      </w:r>
      <w:r w:rsidRPr="00302DC1">
        <w:rPr>
          <w:rFonts w:asciiTheme="majorBidi" w:hAnsiTheme="majorBidi" w:cstheme="majorBidi"/>
          <w:sz w:val="24"/>
          <w:szCs w:val="24"/>
        </w:rPr>
        <w:t xml:space="preserve">such as digital and social media contributes to </w:t>
      </w:r>
      <w:r w:rsidRPr="005150F6">
        <w:rPr>
          <w:rFonts w:asciiTheme="majorBidi" w:hAnsiTheme="majorBidi" w:cstheme="majorBidi"/>
          <w:sz w:val="24"/>
          <w:szCs w:val="24"/>
        </w:rPr>
        <w:t xml:space="preserve">amplifying the effects of advertising on consumers </w:t>
      </w:r>
      <w:sdt>
        <w:sdtPr>
          <w:rPr>
            <w:rFonts w:asciiTheme="majorBidi" w:hAnsiTheme="majorBidi" w:cstheme="majorBidi"/>
            <w:sz w:val="24"/>
            <w:szCs w:val="24"/>
          </w:rPr>
          <w:id w:val="-92096435"/>
          <w:citation/>
        </w:sdtPr>
        <w:sdtContent>
          <w:r w:rsidRPr="005150F6">
            <w:rPr>
              <w:rFonts w:asciiTheme="majorBidi" w:hAnsiTheme="majorBidi" w:cstheme="majorBidi"/>
              <w:sz w:val="24"/>
              <w:szCs w:val="24"/>
            </w:rPr>
            <w:fldChar w:fldCharType="begin"/>
          </w:r>
          <w:r w:rsidRPr="005150F6">
            <w:rPr>
              <w:rFonts w:asciiTheme="majorBidi" w:hAnsiTheme="majorBidi" w:cstheme="majorBidi"/>
              <w:sz w:val="24"/>
              <w:szCs w:val="24"/>
            </w:rPr>
            <w:instrText xml:space="preserve"> CITATION Dho18 \l 2057  \m Dym17</w:instrText>
          </w:r>
          <w:r w:rsidRPr="005150F6">
            <w:rPr>
              <w:rFonts w:asciiTheme="majorBidi" w:hAnsiTheme="majorBidi" w:cstheme="majorBidi"/>
              <w:sz w:val="24"/>
              <w:szCs w:val="24"/>
            </w:rPr>
            <w:fldChar w:fldCharType="separate"/>
          </w:r>
          <w:r w:rsidRPr="005150F6">
            <w:rPr>
              <w:rFonts w:asciiTheme="majorBidi" w:hAnsiTheme="majorBidi" w:cstheme="majorBidi"/>
              <w:noProof/>
              <w:sz w:val="24"/>
              <w:szCs w:val="24"/>
            </w:rPr>
            <w:t>(Dholakia &amp; Reyes, 2018; Dymek, 2017)</w:t>
          </w:r>
          <w:r w:rsidRPr="005150F6">
            <w:rPr>
              <w:rFonts w:asciiTheme="majorBidi" w:hAnsiTheme="majorBidi" w:cstheme="majorBidi"/>
              <w:sz w:val="24"/>
              <w:szCs w:val="24"/>
            </w:rPr>
            <w:fldChar w:fldCharType="end"/>
          </w:r>
        </w:sdtContent>
      </w:sdt>
      <w:r w:rsidRPr="005150F6">
        <w:rPr>
          <w:rFonts w:asciiTheme="majorBidi" w:hAnsiTheme="majorBidi" w:cstheme="majorBidi"/>
          <w:sz w:val="24"/>
          <w:szCs w:val="24"/>
        </w:rPr>
        <w:t xml:space="preserve">. Fortunately, many researchers developed theories that contribute to addressing these complex interactions and greatly aid in understanding consumption behaviour and consumers’ perception </w:t>
      </w:r>
      <w:sdt>
        <w:sdtPr>
          <w:rPr>
            <w:rFonts w:asciiTheme="majorBidi" w:hAnsiTheme="majorBidi" w:cstheme="majorBidi"/>
            <w:sz w:val="24"/>
            <w:szCs w:val="24"/>
          </w:rPr>
          <w:id w:val="1861081340"/>
          <w:citation/>
        </w:sdtPr>
        <w:sdtContent>
          <w:r w:rsidRPr="005150F6">
            <w:rPr>
              <w:rFonts w:asciiTheme="majorBidi" w:hAnsiTheme="majorBidi" w:cstheme="majorBidi"/>
              <w:sz w:val="24"/>
              <w:szCs w:val="24"/>
            </w:rPr>
            <w:fldChar w:fldCharType="begin"/>
          </w:r>
          <w:r w:rsidRPr="005150F6">
            <w:rPr>
              <w:rFonts w:asciiTheme="majorBidi" w:hAnsiTheme="majorBidi" w:cstheme="majorBidi"/>
              <w:sz w:val="24"/>
              <w:szCs w:val="24"/>
            </w:rPr>
            <w:instrText xml:space="preserve"> CITATION Can15 \l 2057 </w:instrText>
          </w:r>
          <w:r w:rsidRPr="005150F6">
            <w:rPr>
              <w:rFonts w:asciiTheme="majorBidi" w:hAnsiTheme="majorBidi" w:cstheme="majorBidi"/>
              <w:sz w:val="24"/>
              <w:szCs w:val="24"/>
            </w:rPr>
            <w:fldChar w:fldCharType="separate"/>
          </w:r>
          <w:r w:rsidRPr="005150F6">
            <w:rPr>
              <w:rFonts w:asciiTheme="majorBidi" w:hAnsiTheme="majorBidi" w:cstheme="majorBidi"/>
              <w:noProof/>
              <w:sz w:val="24"/>
              <w:szCs w:val="24"/>
            </w:rPr>
            <w:t>(Canniford &amp; Bajde, 2015)</w:t>
          </w:r>
          <w:r w:rsidRPr="005150F6">
            <w:rPr>
              <w:rFonts w:asciiTheme="majorBidi" w:hAnsiTheme="majorBidi" w:cstheme="majorBidi"/>
              <w:sz w:val="24"/>
              <w:szCs w:val="24"/>
            </w:rPr>
            <w:fldChar w:fldCharType="end"/>
          </w:r>
        </w:sdtContent>
      </w:sdt>
      <w:r w:rsidRPr="005150F6">
        <w:rPr>
          <w:rFonts w:asciiTheme="majorBidi" w:hAnsiTheme="majorBidi" w:cstheme="majorBidi"/>
          <w:sz w:val="24"/>
          <w:szCs w:val="24"/>
        </w:rPr>
        <w:t>.</w:t>
      </w:r>
      <w:r w:rsidRPr="00302DC1">
        <w:rPr>
          <w:rFonts w:asciiTheme="majorBidi" w:hAnsiTheme="majorBidi" w:cstheme="majorBidi"/>
          <w:sz w:val="24"/>
          <w:szCs w:val="24"/>
        </w:rPr>
        <w:t xml:space="preserve"> Yet, it is important to mention that these theories do not precisely define consumer-market interactions that are structured by explanatory and predictive principles but rather, these theories represent an ensemble of frameworks which can be deployed to topics corresponding to the theories’ specific methods, techniques, and definitions </w:t>
      </w:r>
      <w:sdt>
        <w:sdtPr>
          <w:rPr>
            <w:rFonts w:asciiTheme="majorBidi" w:hAnsiTheme="majorBidi" w:cstheme="majorBidi"/>
            <w:sz w:val="24"/>
            <w:szCs w:val="24"/>
          </w:rPr>
          <w:id w:val="1234049486"/>
          <w:citation/>
        </w:sdtPr>
        <w:sdtContent>
          <w:r w:rsidRPr="00302DC1">
            <w:rPr>
              <w:rFonts w:asciiTheme="majorBidi" w:hAnsiTheme="majorBidi" w:cstheme="majorBidi"/>
              <w:sz w:val="24"/>
              <w:szCs w:val="24"/>
            </w:rPr>
            <w:fldChar w:fldCharType="begin"/>
          </w:r>
          <w:r w:rsidRPr="00302DC1">
            <w:rPr>
              <w:rFonts w:asciiTheme="majorBidi" w:hAnsiTheme="majorBidi" w:cstheme="majorBidi"/>
              <w:sz w:val="24"/>
              <w:szCs w:val="24"/>
            </w:rPr>
            <w:instrText xml:space="preserve"> CITATION Tho19 \l 2057 </w:instrText>
          </w:r>
          <w:r w:rsidRPr="00302DC1">
            <w:rPr>
              <w:rFonts w:asciiTheme="majorBidi" w:hAnsiTheme="majorBidi" w:cstheme="majorBidi"/>
              <w:sz w:val="24"/>
              <w:szCs w:val="24"/>
            </w:rPr>
            <w:fldChar w:fldCharType="separate"/>
          </w:r>
          <w:r w:rsidRPr="0074573E">
            <w:rPr>
              <w:rFonts w:asciiTheme="majorBidi" w:hAnsiTheme="majorBidi" w:cstheme="majorBidi"/>
              <w:noProof/>
              <w:sz w:val="24"/>
              <w:szCs w:val="24"/>
            </w:rPr>
            <w:t>(Thompson, 2019)</w:t>
          </w:r>
          <w:r w:rsidRPr="00302DC1">
            <w:rPr>
              <w:rFonts w:asciiTheme="majorBidi" w:hAnsiTheme="majorBidi" w:cstheme="majorBidi"/>
              <w:sz w:val="24"/>
              <w:szCs w:val="24"/>
            </w:rPr>
            <w:fldChar w:fldCharType="end"/>
          </w:r>
        </w:sdtContent>
      </w:sdt>
      <w:r w:rsidRPr="00302DC1">
        <w:rPr>
          <w:rFonts w:asciiTheme="majorBidi" w:hAnsiTheme="majorBidi" w:cstheme="majorBidi"/>
          <w:sz w:val="24"/>
          <w:szCs w:val="24"/>
        </w:rPr>
        <w:t xml:space="preserve">. </w:t>
      </w:r>
      <w:r>
        <w:rPr>
          <w:rFonts w:asciiTheme="majorBidi" w:hAnsiTheme="majorBidi" w:cstheme="majorBidi"/>
          <w:sz w:val="24"/>
          <w:szCs w:val="24"/>
        </w:rPr>
        <w:t xml:space="preserve">By applying </w:t>
      </w:r>
      <w:r w:rsidR="00211E64" w:rsidRPr="005150F6">
        <w:rPr>
          <w:rFonts w:asciiTheme="majorBidi" w:hAnsiTheme="majorBidi" w:cstheme="majorBidi"/>
          <w:sz w:val="24"/>
          <w:szCs w:val="24"/>
        </w:rPr>
        <w:t>TRA and the SOR framework</w:t>
      </w:r>
      <w:r w:rsidRPr="005150F6">
        <w:rPr>
          <w:rFonts w:asciiTheme="majorBidi" w:hAnsiTheme="majorBidi" w:cstheme="majorBidi"/>
          <w:sz w:val="24"/>
          <w:szCs w:val="24"/>
        </w:rPr>
        <w:t xml:space="preserve"> this study provide</w:t>
      </w:r>
      <w:r w:rsidR="00211E64" w:rsidRPr="005150F6">
        <w:rPr>
          <w:rFonts w:asciiTheme="majorBidi" w:hAnsiTheme="majorBidi" w:cstheme="majorBidi"/>
          <w:sz w:val="24"/>
          <w:szCs w:val="24"/>
        </w:rPr>
        <w:t>s</w:t>
      </w:r>
      <w:r w:rsidRPr="005150F6">
        <w:rPr>
          <w:rFonts w:asciiTheme="majorBidi" w:hAnsiTheme="majorBidi" w:cstheme="majorBidi"/>
          <w:sz w:val="24"/>
          <w:szCs w:val="24"/>
        </w:rPr>
        <w:t xml:space="preserve"> empirical ontological assumptions on the affective and cognitive effects that consumers will have after being subjected to a CSR communication on different media </w:t>
      </w:r>
      <w:r w:rsidR="00211E64" w:rsidRPr="005150F6">
        <w:rPr>
          <w:rFonts w:asciiTheme="majorBidi" w:hAnsiTheme="majorBidi" w:cstheme="majorBidi"/>
          <w:sz w:val="24"/>
          <w:szCs w:val="24"/>
        </w:rPr>
        <w:t>vehicles</w:t>
      </w:r>
      <w:r w:rsidRPr="005150F6">
        <w:rPr>
          <w:rFonts w:asciiTheme="majorBidi" w:hAnsiTheme="majorBidi" w:cstheme="majorBidi"/>
          <w:sz w:val="24"/>
          <w:szCs w:val="24"/>
        </w:rPr>
        <w:t xml:space="preserve"> and the way these effects are compared to what consumers</w:t>
      </w:r>
      <w:r w:rsidR="00211E64" w:rsidRPr="005150F6">
        <w:rPr>
          <w:rFonts w:asciiTheme="majorBidi" w:hAnsiTheme="majorBidi" w:cstheme="majorBidi"/>
          <w:sz w:val="24"/>
          <w:szCs w:val="24"/>
        </w:rPr>
        <w:t xml:space="preserve">’ brand attitudes </w:t>
      </w:r>
      <w:r w:rsidRPr="005150F6">
        <w:rPr>
          <w:rFonts w:asciiTheme="majorBidi" w:hAnsiTheme="majorBidi" w:cstheme="majorBidi"/>
          <w:sz w:val="24"/>
          <w:szCs w:val="24"/>
        </w:rPr>
        <w:t>after being subjected to non-CSR communication.</w:t>
      </w:r>
      <w:r>
        <w:rPr>
          <w:rFonts w:asciiTheme="majorBidi" w:hAnsiTheme="majorBidi" w:cstheme="majorBidi"/>
          <w:sz w:val="24"/>
          <w:szCs w:val="24"/>
        </w:rPr>
        <w:t xml:space="preserve"> </w:t>
      </w:r>
    </w:p>
    <w:p w14:paraId="680F0917" w14:textId="78A8A7A4" w:rsidR="004B40BA" w:rsidRPr="005150F6" w:rsidRDefault="007A225E" w:rsidP="005150F6">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These cognitive and affective effects can be mirrored in the </w:t>
      </w:r>
      <w:r w:rsidR="00E01799" w:rsidRPr="005150F6">
        <w:rPr>
          <w:rFonts w:asciiTheme="majorBidi" w:hAnsiTheme="majorBidi" w:cstheme="majorBidi"/>
          <w:sz w:val="24"/>
          <w:szCs w:val="24"/>
        </w:rPr>
        <w:t>R</w:t>
      </w:r>
      <w:r w:rsidRPr="005150F6">
        <w:rPr>
          <w:rFonts w:asciiTheme="majorBidi" w:hAnsiTheme="majorBidi" w:cstheme="majorBidi"/>
          <w:sz w:val="24"/>
          <w:szCs w:val="24"/>
        </w:rPr>
        <w:t>ealist and</w:t>
      </w:r>
      <w:r w:rsidR="00E01799" w:rsidRPr="005150F6">
        <w:rPr>
          <w:rFonts w:asciiTheme="majorBidi" w:hAnsiTheme="majorBidi" w:cstheme="majorBidi"/>
          <w:sz w:val="24"/>
          <w:szCs w:val="24"/>
        </w:rPr>
        <w:t xml:space="preserve"> R</w:t>
      </w:r>
      <w:r w:rsidRPr="005150F6">
        <w:rPr>
          <w:rFonts w:asciiTheme="majorBidi" w:hAnsiTheme="majorBidi" w:cstheme="majorBidi"/>
          <w:sz w:val="24"/>
          <w:szCs w:val="24"/>
        </w:rPr>
        <w:t>elativist views of ontology</w:t>
      </w:r>
      <w:sdt>
        <w:sdtPr>
          <w:rPr>
            <w:rFonts w:asciiTheme="majorBidi" w:hAnsiTheme="majorBidi" w:cstheme="majorBidi"/>
            <w:sz w:val="24"/>
            <w:szCs w:val="24"/>
          </w:rPr>
          <w:id w:val="989523320"/>
          <w:citation/>
        </w:sdtPr>
        <w:sdtContent>
          <w:r w:rsidRPr="005150F6">
            <w:rPr>
              <w:rFonts w:asciiTheme="majorBidi" w:hAnsiTheme="majorBidi" w:cstheme="majorBidi"/>
              <w:sz w:val="24"/>
              <w:szCs w:val="24"/>
            </w:rPr>
            <w:fldChar w:fldCharType="begin"/>
          </w:r>
          <w:r w:rsidRPr="005150F6">
            <w:rPr>
              <w:rFonts w:asciiTheme="majorBidi" w:hAnsiTheme="majorBidi" w:cstheme="majorBidi"/>
              <w:sz w:val="24"/>
              <w:szCs w:val="24"/>
            </w:rPr>
            <w:instrText xml:space="preserve"> CITATION REE97 \l 2057 </w:instrText>
          </w:r>
          <w:r w:rsidRPr="005150F6">
            <w:rPr>
              <w:rFonts w:asciiTheme="majorBidi" w:hAnsiTheme="majorBidi" w:cstheme="majorBidi"/>
              <w:sz w:val="24"/>
              <w:szCs w:val="24"/>
            </w:rPr>
            <w:fldChar w:fldCharType="separate"/>
          </w:r>
          <w:r w:rsidRPr="005150F6">
            <w:rPr>
              <w:rFonts w:asciiTheme="majorBidi" w:hAnsiTheme="majorBidi" w:cstheme="majorBidi"/>
              <w:noProof/>
              <w:sz w:val="24"/>
              <w:szCs w:val="24"/>
            </w:rPr>
            <w:t xml:space="preserve"> (Reed, 1997)</w:t>
          </w:r>
          <w:r w:rsidRPr="005150F6">
            <w:rPr>
              <w:rFonts w:asciiTheme="majorBidi" w:hAnsiTheme="majorBidi" w:cstheme="majorBidi"/>
              <w:sz w:val="24"/>
              <w:szCs w:val="24"/>
            </w:rPr>
            <w:fldChar w:fldCharType="end"/>
          </w:r>
        </w:sdtContent>
      </w:sdt>
      <w:r w:rsidRPr="005150F6">
        <w:rPr>
          <w:rFonts w:asciiTheme="majorBidi" w:hAnsiTheme="majorBidi" w:cstheme="majorBidi"/>
          <w:sz w:val="24"/>
          <w:szCs w:val="24"/>
        </w:rPr>
        <w:t>. In the Realist view, any social influences are ignored until the facts are identified, whereas the Relativist view prioriti</w:t>
      </w:r>
      <w:r w:rsidR="005150F6">
        <w:rPr>
          <w:rFonts w:asciiTheme="majorBidi" w:hAnsiTheme="majorBidi" w:cstheme="majorBidi"/>
          <w:sz w:val="24"/>
          <w:szCs w:val="24"/>
        </w:rPr>
        <w:t>s</w:t>
      </w:r>
      <w:r w:rsidRPr="005150F6">
        <w:rPr>
          <w:rFonts w:asciiTheme="majorBidi" w:hAnsiTheme="majorBidi" w:cstheme="majorBidi"/>
          <w:sz w:val="24"/>
          <w:szCs w:val="24"/>
        </w:rPr>
        <w:t xml:space="preserve">es subjective structures and social realities </w:t>
      </w:r>
      <w:sdt>
        <w:sdtPr>
          <w:rPr>
            <w:rFonts w:asciiTheme="majorBidi" w:hAnsiTheme="majorBidi" w:cstheme="majorBidi"/>
            <w:sz w:val="24"/>
            <w:szCs w:val="24"/>
          </w:rPr>
          <w:id w:val="965932248"/>
          <w:citation/>
        </w:sdtPr>
        <w:sdtContent>
          <w:r w:rsidRPr="005150F6">
            <w:rPr>
              <w:rFonts w:asciiTheme="majorBidi" w:hAnsiTheme="majorBidi" w:cstheme="majorBidi"/>
              <w:sz w:val="24"/>
              <w:szCs w:val="24"/>
            </w:rPr>
            <w:fldChar w:fldCharType="begin"/>
          </w:r>
          <w:r w:rsidRPr="005150F6">
            <w:rPr>
              <w:rFonts w:asciiTheme="majorBidi" w:hAnsiTheme="majorBidi" w:cstheme="majorBidi"/>
              <w:sz w:val="24"/>
              <w:szCs w:val="24"/>
            </w:rPr>
            <w:instrText xml:space="preserve"> CITATION Aro21 \l 2057 </w:instrText>
          </w:r>
          <w:r w:rsidRPr="005150F6">
            <w:rPr>
              <w:rFonts w:asciiTheme="majorBidi" w:hAnsiTheme="majorBidi" w:cstheme="majorBidi"/>
              <w:sz w:val="24"/>
              <w:szCs w:val="24"/>
            </w:rPr>
            <w:fldChar w:fldCharType="separate"/>
          </w:r>
          <w:r w:rsidRPr="005150F6">
            <w:rPr>
              <w:rFonts w:asciiTheme="majorBidi" w:hAnsiTheme="majorBidi" w:cstheme="majorBidi"/>
              <w:noProof/>
              <w:sz w:val="24"/>
              <w:szCs w:val="24"/>
            </w:rPr>
            <w:t>(Arora &amp; Chakraborty , 2021)</w:t>
          </w:r>
          <w:r w:rsidRPr="005150F6">
            <w:rPr>
              <w:rFonts w:asciiTheme="majorBidi" w:hAnsiTheme="majorBidi" w:cstheme="majorBidi"/>
              <w:sz w:val="24"/>
              <w:szCs w:val="24"/>
            </w:rPr>
            <w:fldChar w:fldCharType="end"/>
          </w:r>
        </w:sdtContent>
      </w:sdt>
      <w:r w:rsidRPr="005150F6">
        <w:rPr>
          <w:rFonts w:asciiTheme="majorBidi" w:hAnsiTheme="majorBidi" w:cstheme="majorBidi"/>
          <w:sz w:val="24"/>
          <w:szCs w:val="24"/>
        </w:rPr>
        <w:t xml:space="preserve">. Some researchers concluded that quantitative methods adhere to the realist view of ontology and positivist epistemology; whereas qualitative methods are more relevant as ontological and epistemological stance shifts to realistic social constructionism </w:t>
      </w:r>
      <w:sdt>
        <w:sdtPr>
          <w:rPr>
            <w:rFonts w:asciiTheme="majorBidi" w:hAnsiTheme="majorBidi" w:cstheme="majorBidi"/>
            <w:sz w:val="24"/>
            <w:szCs w:val="24"/>
          </w:rPr>
          <w:id w:val="1572534546"/>
          <w:citation/>
        </w:sdtPr>
        <w:sdtContent>
          <w:r w:rsidRPr="005150F6">
            <w:rPr>
              <w:rFonts w:asciiTheme="majorBidi" w:hAnsiTheme="majorBidi" w:cstheme="majorBidi"/>
              <w:sz w:val="24"/>
              <w:szCs w:val="24"/>
            </w:rPr>
            <w:fldChar w:fldCharType="begin"/>
          </w:r>
          <w:r w:rsidRPr="005150F6">
            <w:rPr>
              <w:rFonts w:asciiTheme="majorBidi" w:hAnsiTheme="majorBidi" w:cstheme="majorBidi"/>
              <w:sz w:val="24"/>
              <w:szCs w:val="24"/>
            </w:rPr>
            <w:instrText xml:space="preserve"> CITATION Sta17 \l 2057 </w:instrText>
          </w:r>
          <w:r w:rsidRPr="005150F6">
            <w:rPr>
              <w:rFonts w:asciiTheme="majorBidi" w:hAnsiTheme="majorBidi" w:cstheme="majorBidi"/>
              <w:sz w:val="24"/>
              <w:szCs w:val="24"/>
            </w:rPr>
            <w:fldChar w:fldCharType="separate"/>
          </w:r>
          <w:r w:rsidRPr="005150F6">
            <w:rPr>
              <w:rFonts w:asciiTheme="majorBidi" w:hAnsiTheme="majorBidi" w:cstheme="majorBidi"/>
              <w:noProof/>
              <w:sz w:val="24"/>
              <w:szCs w:val="24"/>
            </w:rPr>
            <w:t>(Statler &amp; Salovaara , 2017)</w:t>
          </w:r>
          <w:r w:rsidRPr="005150F6">
            <w:rPr>
              <w:rFonts w:asciiTheme="majorBidi" w:hAnsiTheme="majorBidi" w:cstheme="majorBidi"/>
              <w:sz w:val="24"/>
              <w:szCs w:val="24"/>
            </w:rPr>
            <w:fldChar w:fldCharType="end"/>
          </w:r>
        </w:sdtContent>
      </w:sdt>
      <w:r w:rsidRPr="005150F6">
        <w:rPr>
          <w:rFonts w:asciiTheme="majorBidi" w:hAnsiTheme="majorBidi" w:cstheme="majorBidi"/>
          <w:sz w:val="24"/>
          <w:szCs w:val="24"/>
        </w:rPr>
        <w:t>.</w:t>
      </w:r>
      <w:r>
        <w:rPr>
          <w:rFonts w:asciiTheme="majorBidi" w:hAnsiTheme="majorBidi" w:cstheme="majorBidi"/>
          <w:sz w:val="24"/>
          <w:szCs w:val="24"/>
        </w:rPr>
        <w:t xml:space="preserve"> </w:t>
      </w:r>
      <w:r w:rsidR="00211E64">
        <w:rPr>
          <w:rFonts w:asciiTheme="majorBidi" w:hAnsiTheme="majorBidi" w:cstheme="majorBidi"/>
          <w:sz w:val="24"/>
          <w:szCs w:val="24"/>
        </w:rPr>
        <w:t>Section</w:t>
      </w:r>
      <w:r>
        <w:rPr>
          <w:rFonts w:asciiTheme="majorBidi" w:hAnsiTheme="majorBidi" w:cstheme="majorBidi"/>
          <w:sz w:val="24"/>
          <w:szCs w:val="24"/>
        </w:rPr>
        <w:t xml:space="preserve"> </w:t>
      </w:r>
      <w:r w:rsidR="00A95B0D">
        <w:rPr>
          <w:rFonts w:asciiTheme="majorBidi" w:hAnsiTheme="majorBidi" w:cstheme="majorBidi"/>
          <w:sz w:val="24"/>
          <w:szCs w:val="24"/>
        </w:rPr>
        <w:t>5.2</w:t>
      </w:r>
      <w:r>
        <w:rPr>
          <w:rFonts w:asciiTheme="majorBidi" w:hAnsiTheme="majorBidi" w:cstheme="majorBidi"/>
          <w:sz w:val="24"/>
          <w:szCs w:val="24"/>
        </w:rPr>
        <w:t xml:space="preserve"> give</w:t>
      </w:r>
      <w:r w:rsidR="00211E64">
        <w:rPr>
          <w:rFonts w:asciiTheme="majorBidi" w:hAnsiTheme="majorBidi" w:cstheme="majorBidi"/>
          <w:sz w:val="24"/>
          <w:szCs w:val="24"/>
        </w:rPr>
        <w:t>s</w:t>
      </w:r>
      <w:r>
        <w:rPr>
          <w:rFonts w:asciiTheme="majorBidi" w:hAnsiTheme="majorBidi" w:cstheme="majorBidi"/>
          <w:sz w:val="24"/>
          <w:szCs w:val="24"/>
        </w:rPr>
        <w:t xml:space="preserve"> more details on epistemological </w:t>
      </w:r>
      <w:r w:rsidR="00173596">
        <w:rPr>
          <w:rFonts w:asciiTheme="majorBidi" w:hAnsiTheme="majorBidi" w:cstheme="majorBidi"/>
          <w:sz w:val="24"/>
          <w:szCs w:val="24"/>
        </w:rPr>
        <w:t>standpoints</w:t>
      </w:r>
      <w:r>
        <w:rPr>
          <w:rFonts w:asciiTheme="majorBidi" w:hAnsiTheme="majorBidi" w:cstheme="majorBidi"/>
          <w:sz w:val="24"/>
          <w:szCs w:val="24"/>
        </w:rPr>
        <w:t xml:space="preserve"> and applications in this study. Furthermore, other ontological assumptions emerging from this study’s findings indicate the way two different types of advertising strategy (CSR and non-CSR) impact ad likeability, brand likeability, perceived brand functionality, emotional brand attachment, bran</w:t>
      </w:r>
      <w:r w:rsidR="00E01799">
        <w:rPr>
          <w:rFonts w:asciiTheme="majorBidi" w:hAnsiTheme="majorBidi" w:cstheme="majorBidi"/>
          <w:sz w:val="24"/>
          <w:szCs w:val="24"/>
        </w:rPr>
        <w:t>d</w:t>
      </w:r>
      <w:r>
        <w:rPr>
          <w:rFonts w:asciiTheme="majorBidi" w:hAnsiTheme="majorBidi" w:cstheme="majorBidi"/>
          <w:sz w:val="24"/>
          <w:szCs w:val="24"/>
        </w:rPr>
        <w:t xml:space="preserve"> trust, and finally purchase intention of consumers. Additionally, some researchers point to the importance of </w:t>
      </w:r>
      <w:r w:rsidRPr="005150F6">
        <w:rPr>
          <w:rFonts w:asciiTheme="majorBidi" w:hAnsiTheme="majorBidi" w:cstheme="majorBidi"/>
          <w:sz w:val="24"/>
          <w:szCs w:val="24"/>
        </w:rPr>
        <w:t>adapting and locali</w:t>
      </w:r>
      <w:r w:rsidR="00F24FB9" w:rsidRPr="005150F6">
        <w:rPr>
          <w:rFonts w:asciiTheme="majorBidi" w:hAnsiTheme="majorBidi" w:cstheme="majorBidi"/>
          <w:sz w:val="24"/>
          <w:szCs w:val="24"/>
        </w:rPr>
        <w:t>s</w:t>
      </w:r>
      <w:r w:rsidRPr="005150F6">
        <w:rPr>
          <w:rFonts w:asciiTheme="majorBidi" w:hAnsiTheme="majorBidi" w:cstheme="majorBidi"/>
          <w:sz w:val="24"/>
          <w:szCs w:val="24"/>
        </w:rPr>
        <w:t>ing data collection methodologies to bridge the gap between assumptions and reality</w:t>
      </w:r>
      <w:r>
        <w:rPr>
          <w:rFonts w:asciiTheme="majorBidi" w:hAnsiTheme="majorBidi" w:cstheme="majorBidi"/>
          <w:sz w:val="24"/>
          <w:szCs w:val="24"/>
        </w:rPr>
        <w:t xml:space="preserve"> </w:t>
      </w:r>
      <w:sdt>
        <w:sdtPr>
          <w:rPr>
            <w:rFonts w:asciiTheme="majorBidi" w:hAnsiTheme="majorBidi" w:cstheme="majorBidi"/>
            <w:sz w:val="24"/>
            <w:szCs w:val="24"/>
          </w:rPr>
          <w:id w:val="113552834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Pou20 \l 2057  \m Woe16</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(Poulis, 2020; Woermann , 2016)</w:t>
          </w:r>
          <w:r>
            <w:rPr>
              <w:rFonts w:asciiTheme="majorBidi" w:hAnsiTheme="majorBidi" w:cstheme="majorBidi"/>
              <w:sz w:val="24"/>
              <w:szCs w:val="24"/>
            </w:rPr>
            <w:fldChar w:fldCharType="end"/>
          </w:r>
        </w:sdtContent>
      </w:sdt>
      <w:r>
        <w:rPr>
          <w:rFonts w:asciiTheme="majorBidi" w:hAnsiTheme="majorBidi" w:cstheme="majorBidi"/>
          <w:sz w:val="24"/>
          <w:szCs w:val="24"/>
        </w:rPr>
        <w:t>. For that reason, this study assign</w:t>
      </w:r>
      <w:r w:rsidR="00E01799">
        <w:rPr>
          <w:rFonts w:asciiTheme="majorBidi" w:hAnsiTheme="majorBidi" w:cstheme="majorBidi"/>
          <w:sz w:val="24"/>
          <w:szCs w:val="24"/>
        </w:rPr>
        <w:t>s</w:t>
      </w:r>
      <w:r>
        <w:rPr>
          <w:rFonts w:asciiTheme="majorBidi" w:hAnsiTheme="majorBidi" w:cstheme="majorBidi"/>
          <w:sz w:val="24"/>
          <w:szCs w:val="24"/>
        </w:rPr>
        <w:t xml:space="preserve"> the geographical scope to be Egypt</w:t>
      </w:r>
      <w:r w:rsidR="00E01799">
        <w:rPr>
          <w:rFonts w:asciiTheme="majorBidi" w:hAnsiTheme="majorBidi" w:cstheme="majorBidi"/>
          <w:sz w:val="24"/>
          <w:szCs w:val="24"/>
        </w:rPr>
        <w:t>. A</w:t>
      </w:r>
      <w:r>
        <w:rPr>
          <w:rFonts w:asciiTheme="majorBidi" w:hAnsiTheme="majorBidi" w:cstheme="majorBidi"/>
          <w:sz w:val="24"/>
          <w:szCs w:val="24"/>
        </w:rPr>
        <w:t xml:space="preserve">ccordingly, all methodological implementations (i.e., stimulus, survey experiments, and interviews, etc) were designed to match the expectations of Egyptian consumers. The next section describes the epistemological aspects of research and the way it is mirrored in this study. </w:t>
      </w:r>
    </w:p>
    <w:p w14:paraId="2A946187" w14:textId="63D11B3E" w:rsidR="007A225E" w:rsidRPr="00A321BD" w:rsidRDefault="007A225E" w:rsidP="00A321BD">
      <w:pPr>
        <w:adjustRightInd w:val="0"/>
        <w:spacing w:after="0" w:line="480" w:lineRule="auto"/>
        <w:ind w:firstLine="720"/>
        <w:rPr>
          <w:rFonts w:asciiTheme="majorBidi" w:hAnsiTheme="majorBidi" w:cstheme="majorBidi"/>
          <w:sz w:val="24"/>
          <w:szCs w:val="24"/>
        </w:rPr>
      </w:pPr>
      <w:r>
        <w:rPr>
          <w:rFonts w:asciiTheme="majorBidi" w:hAnsiTheme="majorBidi" w:cstheme="majorBidi"/>
          <w:b/>
          <w:bCs/>
          <w:sz w:val="24"/>
          <w:szCs w:val="24"/>
        </w:rPr>
        <w:t>5</w:t>
      </w:r>
      <w:r w:rsidRPr="00F13E29">
        <w:rPr>
          <w:rFonts w:asciiTheme="majorBidi" w:hAnsiTheme="majorBidi" w:cstheme="majorBidi"/>
          <w:b/>
          <w:bCs/>
          <w:sz w:val="24"/>
          <w:szCs w:val="24"/>
        </w:rPr>
        <w:t>.</w:t>
      </w:r>
      <w:r w:rsidR="00891F01">
        <w:rPr>
          <w:rFonts w:asciiTheme="majorBidi" w:hAnsiTheme="majorBidi" w:cstheme="majorBidi"/>
          <w:b/>
          <w:bCs/>
          <w:sz w:val="24"/>
          <w:szCs w:val="24"/>
        </w:rPr>
        <w:t>2</w:t>
      </w:r>
      <w:r w:rsidRPr="00F13E29">
        <w:rPr>
          <w:rFonts w:asciiTheme="majorBidi" w:hAnsiTheme="majorBidi" w:cstheme="majorBidi"/>
          <w:b/>
          <w:bCs/>
          <w:sz w:val="24"/>
          <w:szCs w:val="24"/>
        </w:rPr>
        <w:t>.2 Epistemology</w:t>
      </w:r>
      <w:r w:rsidRPr="00302DC1">
        <w:rPr>
          <w:rFonts w:asciiTheme="majorBidi" w:hAnsiTheme="majorBidi" w:cstheme="majorBidi"/>
          <w:b/>
          <w:bCs/>
          <w:sz w:val="24"/>
          <w:szCs w:val="24"/>
        </w:rPr>
        <w:t xml:space="preserve"> </w:t>
      </w:r>
    </w:p>
    <w:p w14:paraId="6C33DD34" w14:textId="337419AD" w:rsidR="006F14B6" w:rsidRPr="006F14B6" w:rsidRDefault="007A225E" w:rsidP="006F14B6">
      <w:pPr>
        <w:adjustRightInd w:val="0"/>
        <w:spacing w:after="0" w:line="480" w:lineRule="auto"/>
        <w:ind w:firstLine="720"/>
        <w:rPr>
          <w:rFonts w:asciiTheme="majorBidi" w:hAnsiTheme="majorBidi" w:cstheme="majorBidi"/>
          <w:noProof/>
          <w:sz w:val="24"/>
          <w:szCs w:val="24"/>
        </w:rPr>
      </w:pPr>
      <w:r>
        <w:rPr>
          <w:rFonts w:asciiTheme="majorBidi" w:hAnsiTheme="majorBidi" w:cstheme="majorBidi"/>
          <w:sz w:val="24"/>
          <w:szCs w:val="24"/>
        </w:rPr>
        <w:t xml:space="preserve">The second subfield of research philosophy is epistemology or the </w:t>
      </w:r>
      <w:r w:rsidR="00E01799">
        <w:rPr>
          <w:rFonts w:asciiTheme="majorBidi" w:hAnsiTheme="majorBidi" w:cstheme="majorBidi"/>
          <w:sz w:val="24"/>
          <w:szCs w:val="24"/>
        </w:rPr>
        <w:t>‘</w:t>
      </w:r>
      <w:r>
        <w:rPr>
          <w:rFonts w:asciiTheme="majorBidi" w:hAnsiTheme="majorBidi" w:cstheme="majorBidi"/>
          <w:sz w:val="24"/>
          <w:szCs w:val="24"/>
        </w:rPr>
        <w:t>study of knowledge.</w:t>
      </w:r>
      <w:r w:rsidR="00E01799">
        <w:rPr>
          <w:rFonts w:asciiTheme="majorBidi" w:hAnsiTheme="majorBidi" w:cstheme="majorBidi"/>
          <w:sz w:val="24"/>
          <w:szCs w:val="24"/>
        </w:rPr>
        <w:t>’</w:t>
      </w:r>
      <w:r>
        <w:rPr>
          <w:rFonts w:asciiTheme="majorBidi" w:hAnsiTheme="majorBidi" w:cstheme="majorBidi"/>
          <w:sz w:val="24"/>
          <w:szCs w:val="24"/>
        </w:rPr>
        <w:t xml:space="preserve"> Epistemology is concerned with </w:t>
      </w:r>
      <w:r w:rsidRPr="005150F6">
        <w:rPr>
          <w:rFonts w:asciiTheme="majorBidi" w:hAnsiTheme="majorBidi" w:cstheme="majorBidi"/>
          <w:sz w:val="24"/>
          <w:szCs w:val="24"/>
        </w:rPr>
        <w:t>validity aspects, methods of obtaining information, and the way information can be transferred</w:t>
      </w:r>
      <w:r>
        <w:rPr>
          <w:rFonts w:asciiTheme="majorBidi" w:hAnsiTheme="majorBidi" w:cstheme="majorBidi"/>
          <w:sz w:val="24"/>
          <w:szCs w:val="24"/>
        </w:rPr>
        <w:t xml:space="preserve"> which influences the way researchers set the framework for their data collection methods</w:t>
      </w:r>
      <w:sdt>
        <w:sdtPr>
          <w:rPr>
            <w:rFonts w:asciiTheme="majorBidi" w:hAnsiTheme="majorBidi" w:cstheme="majorBidi"/>
            <w:sz w:val="24"/>
            <w:szCs w:val="24"/>
          </w:rPr>
          <w:id w:val="-198816710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Bra17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(Bradshaw, Atkinson, &amp; Doody,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Multiple philosophers classified epistemology into two main branches: virtues and vices </w:t>
      </w:r>
      <w:sdt>
        <w:sdtPr>
          <w:rPr>
            <w:rFonts w:asciiTheme="majorBidi" w:hAnsiTheme="majorBidi" w:cstheme="majorBidi"/>
            <w:sz w:val="24"/>
            <w:szCs w:val="24"/>
          </w:rPr>
          <w:id w:val="-95394854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Cho15 \m Raw13 \t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(Choo, 2015; Rawwas, Arjoon, &amp; Sidani, 2013)</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It appears in literature that the application of epistemic virtues in </w:t>
      </w:r>
      <w:r w:rsidR="00E54C30">
        <w:rPr>
          <w:rFonts w:asciiTheme="majorBidi" w:hAnsiTheme="majorBidi" w:cstheme="majorBidi"/>
          <w:sz w:val="24"/>
          <w:szCs w:val="24"/>
        </w:rPr>
        <w:t xml:space="preserve">business and </w:t>
      </w:r>
      <w:r>
        <w:rPr>
          <w:rFonts w:asciiTheme="majorBidi" w:hAnsiTheme="majorBidi" w:cstheme="majorBidi"/>
          <w:sz w:val="24"/>
          <w:szCs w:val="24"/>
        </w:rPr>
        <w:t xml:space="preserve">marketing strategies allows decision makers to better understand the overall moral impact of marketing campaigns from a wider social </w:t>
      </w:r>
      <w:r w:rsidR="00173596">
        <w:rPr>
          <w:rFonts w:asciiTheme="majorBidi" w:hAnsiTheme="majorBidi" w:cstheme="majorBidi"/>
          <w:sz w:val="24"/>
          <w:szCs w:val="24"/>
        </w:rPr>
        <w:t>outlook</w:t>
      </w:r>
      <w:r w:rsidR="00E54C30">
        <w:rPr>
          <w:rFonts w:asciiTheme="majorBidi" w:hAnsiTheme="majorBidi" w:cstheme="majorBidi"/>
          <w:sz w:val="24"/>
          <w:szCs w:val="24"/>
        </w:rPr>
        <w:t xml:space="preserve"> </w:t>
      </w:r>
      <w:sdt>
        <w:sdtPr>
          <w:rPr>
            <w:rFonts w:asciiTheme="majorBidi" w:hAnsiTheme="majorBidi" w:cstheme="majorBidi"/>
            <w:sz w:val="24"/>
            <w:szCs w:val="24"/>
          </w:rPr>
          <w:id w:val="516126533"/>
          <w:citation/>
        </w:sdtPr>
        <w:sdtContent>
          <w:r w:rsidR="00E54C30">
            <w:rPr>
              <w:rFonts w:asciiTheme="majorBidi" w:hAnsiTheme="majorBidi" w:cstheme="majorBidi"/>
              <w:sz w:val="24"/>
              <w:szCs w:val="24"/>
            </w:rPr>
            <w:fldChar w:fldCharType="begin"/>
          </w:r>
          <w:r w:rsidR="00E54C30">
            <w:rPr>
              <w:rFonts w:asciiTheme="majorBidi" w:hAnsiTheme="majorBidi" w:cstheme="majorBidi"/>
              <w:sz w:val="24"/>
              <w:szCs w:val="24"/>
            </w:rPr>
            <w:instrText xml:space="preserve">CITATION Lam23 \m Raw13 \t  \l 2057 </w:instrText>
          </w:r>
          <w:r w:rsidR="00E54C30">
            <w:rPr>
              <w:rFonts w:asciiTheme="majorBidi" w:hAnsiTheme="majorBidi" w:cstheme="majorBidi"/>
              <w:sz w:val="24"/>
              <w:szCs w:val="24"/>
            </w:rPr>
            <w:fldChar w:fldCharType="separate"/>
          </w:r>
          <w:r w:rsidR="00E54C30" w:rsidRPr="00E54C30">
            <w:rPr>
              <w:rFonts w:asciiTheme="majorBidi" w:hAnsiTheme="majorBidi" w:cstheme="majorBidi"/>
              <w:noProof/>
              <w:sz w:val="24"/>
              <w:szCs w:val="24"/>
            </w:rPr>
            <w:t>(Lamy, 2023; Rawwas, Arjoon, &amp; Sidani, 2013)</w:t>
          </w:r>
          <w:r w:rsidR="00E54C30">
            <w:rPr>
              <w:rFonts w:asciiTheme="majorBidi" w:hAnsiTheme="majorBidi" w:cstheme="majorBidi"/>
              <w:sz w:val="24"/>
              <w:szCs w:val="24"/>
            </w:rPr>
            <w:fldChar w:fldCharType="end"/>
          </w:r>
        </w:sdtContent>
      </w:sdt>
      <w:r>
        <w:rPr>
          <w:rFonts w:asciiTheme="majorBidi" w:hAnsiTheme="majorBidi" w:cstheme="majorBidi"/>
          <w:sz w:val="24"/>
          <w:szCs w:val="24"/>
        </w:rPr>
        <w:t xml:space="preserve">. A couple of the main epistemological paradigms that are commonly discussed in literature </w:t>
      </w:r>
      <w:r w:rsidR="00E01799">
        <w:rPr>
          <w:rFonts w:asciiTheme="majorBidi" w:hAnsiTheme="majorBidi" w:cstheme="majorBidi"/>
          <w:sz w:val="24"/>
          <w:szCs w:val="24"/>
        </w:rPr>
        <w:t>are</w:t>
      </w:r>
      <w:r>
        <w:rPr>
          <w:rFonts w:asciiTheme="majorBidi" w:hAnsiTheme="majorBidi" w:cstheme="majorBidi"/>
          <w:sz w:val="24"/>
          <w:szCs w:val="24"/>
        </w:rPr>
        <w:t xml:space="preserve"> positivism and interpretivism </w:t>
      </w:r>
      <w:sdt>
        <w:sdtPr>
          <w:rPr>
            <w:rFonts w:asciiTheme="majorBidi" w:hAnsiTheme="majorBidi" w:cstheme="majorBidi"/>
            <w:sz w:val="24"/>
            <w:szCs w:val="24"/>
          </w:rPr>
          <w:id w:val="-111389406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Alh20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(Alharahsheh &amp; Pius,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Additionally, there is the </w:t>
      </w:r>
      <w:r w:rsidRPr="00E96FF6">
        <w:rPr>
          <w:rFonts w:asciiTheme="majorBidi" w:hAnsiTheme="majorBidi" w:cstheme="majorBidi"/>
          <w:sz w:val="24"/>
          <w:szCs w:val="24"/>
        </w:rPr>
        <w:t>pragmatic paradigm</w:t>
      </w:r>
      <w:r w:rsidR="00F24FB9" w:rsidRPr="00E96FF6">
        <w:rPr>
          <w:rFonts w:asciiTheme="majorBidi" w:hAnsiTheme="majorBidi" w:cstheme="majorBidi"/>
          <w:sz w:val="24"/>
          <w:szCs w:val="24"/>
        </w:rPr>
        <w:t xml:space="preserve"> that</w:t>
      </w:r>
      <w:r w:rsidRPr="00E96FF6">
        <w:rPr>
          <w:rFonts w:asciiTheme="majorBidi" w:hAnsiTheme="majorBidi" w:cstheme="majorBidi"/>
          <w:sz w:val="24"/>
          <w:szCs w:val="24"/>
        </w:rPr>
        <w:t xml:space="preserve"> </w:t>
      </w:r>
      <w:r w:rsidR="00F100AB" w:rsidRPr="00E96FF6">
        <w:rPr>
          <w:rFonts w:asciiTheme="majorBidi" w:hAnsiTheme="majorBidi" w:cstheme="majorBidi"/>
          <w:sz w:val="24"/>
          <w:szCs w:val="24"/>
        </w:rPr>
        <w:t xml:space="preserve">utilises experience and </w:t>
      </w:r>
      <w:r w:rsidRPr="00E96FF6">
        <w:rPr>
          <w:rFonts w:asciiTheme="majorBidi" w:hAnsiTheme="majorBidi" w:cstheme="majorBidi"/>
          <w:sz w:val="24"/>
          <w:szCs w:val="24"/>
        </w:rPr>
        <w:t>focuse</w:t>
      </w:r>
      <w:r w:rsidR="00F100AB" w:rsidRPr="00E96FF6">
        <w:rPr>
          <w:rFonts w:asciiTheme="majorBidi" w:hAnsiTheme="majorBidi" w:cstheme="majorBidi"/>
          <w:sz w:val="24"/>
          <w:szCs w:val="24"/>
        </w:rPr>
        <w:t xml:space="preserve">s on </w:t>
      </w:r>
      <w:r w:rsidRPr="00E96FF6">
        <w:rPr>
          <w:rFonts w:asciiTheme="majorBidi" w:hAnsiTheme="majorBidi" w:cstheme="majorBidi"/>
          <w:sz w:val="24"/>
          <w:szCs w:val="24"/>
        </w:rPr>
        <w:t>the</w:t>
      </w:r>
      <w:r w:rsidRPr="00E96FF6">
        <w:rPr>
          <w:color w:val="222222"/>
          <w:sz w:val="20"/>
          <w:szCs w:val="20"/>
          <w:shd w:val="clear" w:color="auto" w:fill="FFFFFF"/>
        </w:rPr>
        <w:t> </w:t>
      </w:r>
      <w:r w:rsidRPr="00E96FF6">
        <w:rPr>
          <w:rFonts w:asciiTheme="majorBidi" w:hAnsiTheme="majorBidi" w:cstheme="majorBidi"/>
          <w:sz w:val="24"/>
          <w:szCs w:val="24"/>
        </w:rPr>
        <w:t>philosophy that</w:t>
      </w:r>
      <w:r w:rsidRPr="00330BB9">
        <w:rPr>
          <w:rFonts w:asciiTheme="majorBidi" w:hAnsiTheme="majorBidi" w:cstheme="majorBidi"/>
          <w:sz w:val="24"/>
          <w:szCs w:val="24"/>
        </w:rPr>
        <w:t xml:space="preserve"> people’s behaviours are driven by previous experiences and beliefs from the past such that, the consequence</w:t>
      </w:r>
      <w:r>
        <w:rPr>
          <w:rFonts w:asciiTheme="majorBidi" w:hAnsiTheme="majorBidi" w:cstheme="majorBidi"/>
          <w:sz w:val="24"/>
          <w:szCs w:val="24"/>
        </w:rPr>
        <w:t>s</w:t>
      </w:r>
      <w:r w:rsidRPr="00330BB9">
        <w:rPr>
          <w:rFonts w:asciiTheme="majorBidi" w:hAnsiTheme="majorBidi" w:cstheme="majorBidi"/>
          <w:sz w:val="24"/>
          <w:szCs w:val="24"/>
        </w:rPr>
        <w:t xml:space="preserve"> of previous action</w:t>
      </w:r>
      <w:r>
        <w:rPr>
          <w:rFonts w:asciiTheme="majorBidi" w:hAnsiTheme="majorBidi" w:cstheme="majorBidi"/>
          <w:sz w:val="24"/>
          <w:szCs w:val="24"/>
        </w:rPr>
        <w:t>s</w:t>
      </w:r>
      <w:r w:rsidRPr="00330BB9">
        <w:rPr>
          <w:rFonts w:asciiTheme="majorBidi" w:hAnsiTheme="majorBidi" w:cstheme="majorBidi"/>
          <w:sz w:val="24"/>
          <w:szCs w:val="24"/>
        </w:rPr>
        <w:t xml:space="preserve"> predict their behaviour in similar situations</w:t>
      </w:r>
      <w:sdt>
        <w:sdtPr>
          <w:rPr>
            <w:rFonts w:asciiTheme="majorBidi" w:hAnsiTheme="majorBidi" w:cstheme="majorBidi"/>
            <w:sz w:val="24"/>
            <w:szCs w:val="24"/>
          </w:rPr>
          <w:id w:val="-293521339"/>
          <w:citation/>
        </w:sdtPr>
        <w:sdtContent>
          <w:r w:rsidR="00F100AB">
            <w:rPr>
              <w:rFonts w:asciiTheme="majorBidi" w:hAnsiTheme="majorBidi" w:cstheme="majorBidi"/>
              <w:sz w:val="24"/>
              <w:szCs w:val="24"/>
            </w:rPr>
            <w:fldChar w:fldCharType="begin"/>
          </w:r>
          <w:r w:rsidR="00F100AB">
            <w:rPr>
              <w:rFonts w:asciiTheme="majorBidi" w:hAnsiTheme="majorBidi" w:cstheme="majorBidi"/>
              <w:sz w:val="24"/>
              <w:szCs w:val="24"/>
            </w:rPr>
            <w:instrText xml:space="preserve"> CITATION Dew38 \l 2057  \m Kau19</w:instrText>
          </w:r>
          <w:r w:rsidR="00F100AB">
            <w:rPr>
              <w:rFonts w:asciiTheme="majorBidi" w:hAnsiTheme="majorBidi" w:cstheme="majorBidi"/>
              <w:sz w:val="24"/>
              <w:szCs w:val="24"/>
            </w:rPr>
            <w:fldChar w:fldCharType="separate"/>
          </w:r>
          <w:r w:rsidR="00F100AB" w:rsidRPr="00F100AB">
            <w:rPr>
              <w:rFonts w:asciiTheme="majorBidi" w:hAnsiTheme="majorBidi" w:cstheme="majorBidi"/>
              <w:noProof/>
              <w:sz w:val="24"/>
              <w:szCs w:val="24"/>
            </w:rPr>
            <w:t>(Dewey, 1938; Kaushik &amp; Walsh, 2019)</w:t>
          </w:r>
          <w:r w:rsidR="00F100AB">
            <w:rPr>
              <w:rFonts w:asciiTheme="majorBidi" w:hAnsiTheme="majorBidi" w:cstheme="majorBidi"/>
              <w:sz w:val="24"/>
              <w:szCs w:val="24"/>
            </w:rPr>
            <w:fldChar w:fldCharType="end"/>
          </w:r>
        </w:sdtContent>
      </w:sdt>
      <w:r w:rsidRPr="00330BB9">
        <w:rPr>
          <w:rFonts w:asciiTheme="majorBidi" w:hAnsiTheme="majorBidi" w:cstheme="majorBidi"/>
          <w:sz w:val="24"/>
          <w:szCs w:val="24"/>
        </w:rPr>
        <w:t xml:space="preserve">. </w:t>
      </w:r>
      <w:r w:rsidR="00F35E42">
        <w:rPr>
          <w:rFonts w:asciiTheme="majorBidi" w:hAnsiTheme="majorBidi" w:cstheme="majorBidi"/>
          <w:sz w:val="24"/>
          <w:szCs w:val="24"/>
        </w:rPr>
        <w:t xml:space="preserve">Pragmatism thus offers a practical and experience-based system to address issues and the way current issues </w:t>
      </w:r>
      <w:r w:rsidR="00F24FB9">
        <w:rPr>
          <w:rFonts w:asciiTheme="majorBidi" w:hAnsiTheme="majorBidi" w:cstheme="majorBidi"/>
          <w:sz w:val="24"/>
          <w:szCs w:val="24"/>
        </w:rPr>
        <w:t xml:space="preserve">are comprehended </w:t>
      </w:r>
      <w:r w:rsidR="00F35E42">
        <w:rPr>
          <w:rFonts w:asciiTheme="majorBidi" w:hAnsiTheme="majorBidi" w:cstheme="majorBidi"/>
          <w:sz w:val="24"/>
          <w:szCs w:val="24"/>
        </w:rPr>
        <w:t>in a practical way</w:t>
      </w:r>
      <w:sdt>
        <w:sdtPr>
          <w:rPr>
            <w:rFonts w:asciiTheme="majorBidi" w:hAnsiTheme="majorBidi" w:cstheme="majorBidi"/>
            <w:sz w:val="24"/>
            <w:szCs w:val="24"/>
          </w:rPr>
          <w:id w:val="-1791198760"/>
          <w:citation/>
        </w:sdtPr>
        <w:sdtContent>
          <w:r w:rsidR="00AE53E6">
            <w:rPr>
              <w:rFonts w:asciiTheme="majorBidi" w:hAnsiTheme="majorBidi" w:cstheme="majorBidi"/>
              <w:sz w:val="24"/>
              <w:szCs w:val="24"/>
            </w:rPr>
            <w:fldChar w:fldCharType="begin"/>
          </w:r>
          <w:r w:rsidR="00AE53E6">
            <w:rPr>
              <w:rFonts w:asciiTheme="majorBidi" w:hAnsiTheme="majorBidi" w:cstheme="majorBidi"/>
              <w:sz w:val="24"/>
              <w:szCs w:val="24"/>
            </w:rPr>
            <w:instrText xml:space="preserve"> CITATION Hot19 \l 2057 </w:instrText>
          </w:r>
          <w:r w:rsidR="00AE53E6">
            <w:rPr>
              <w:rFonts w:asciiTheme="majorBidi" w:hAnsiTheme="majorBidi" w:cstheme="majorBidi"/>
              <w:sz w:val="24"/>
              <w:szCs w:val="24"/>
            </w:rPr>
            <w:fldChar w:fldCharType="separate"/>
          </w:r>
          <w:r w:rsidR="00AE53E6">
            <w:rPr>
              <w:rFonts w:asciiTheme="majorBidi" w:hAnsiTheme="majorBidi" w:cstheme="majorBidi"/>
              <w:noProof/>
              <w:sz w:val="24"/>
              <w:szCs w:val="24"/>
            </w:rPr>
            <w:t xml:space="preserve"> </w:t>
          </w:r>
          <w:r w:rsidR="00AE53E6" w:rsidRPr="00AE53E6">
            <w:rPr>
              <w:rFonts w:asciiTheme="majorBidi" w:hAnsiTheme="majorBidi" w:cstheme="majorBidi"/>
              <w:noProof/>
              <w:sz w:val="24"/>
              <w:szCs w:val="24"/>
            </w:rPr>
            <w:t>(Hothersall, 2019)</w:t>
          </w:r>
          <w:r w:rsidR="00AE53E6">
            <w:rPr>
              <w:rFonts w:asciiTheme="majorBidi" w:hAnsiTheme="majorBidi" w:cstheme="majorBidi"/>
              <w:sz w:val="24"/>
              <w:szCs w:val="24"/>
            </w:rPr>
            <w:fldChar w:fldCharType="end"/>
          </w:r>
        </w:sdtContent>
      </w:sdt>
      <w:r w:rsidR="00F35E42">
        <w:rPr>
          <w:rFonts w:asciiTheme="majorBidi" w:hAnsiTheme="majorBidi" w:cstheme="majorBidi"/>
          <w:sz w:val="24"/>
          <w:szCs w:val="24"/>
        </w:rPr>
        <w:t xml:space="preserve">. </w:t>
      </w:r>
      <w:r w:rsidR="003B4E7B" w:rsidRPr="003B4E7B">
        <w:rPr>
          <w:rFonts w:asciiTheme="majorBidi" w:hAnsiTheme="majorBidi" w:cstheme="majorBidi"/>
          <w:sz w:val="24"/>
          <w:szCs w:val="24"/>
        </w:rPr>
        <w:t>Mixed research methodologies frequently result in different philosophies</w:t>
      </w:r>
      <w:sdt>
        <w:sdtPr>
          <w:rPr>
            <w:rFonts w:asciiTheme="majorBidi" w:hAnsiTheme="majorBidi" w:cstheme="majorBidi"/>
            <w:sz w:val="24"/>
            <w:szCs w:val="24"/>
          </w:rPr>
          <w:id w:val="243151850"/>
          <w:citation/>
        </w:sdtPr>
        <w:sdtContent>
          <w:r w:rsidR="003B4E7B">
            <w:rPr>
              <w:rFonts w:asciiTheme="majorBidi" w:hAnsiTheme="majorBidi" w:cstheme="majorBidi"/>
              <w:sz w:val="24"/>
              <w:szCs w:val="24"/>
            </w:rPr>
            <w:fldChar w:fldCharType="begin"/>
          </w:r>
          <w:r w:rsidR="003B4E7B">
            <w:rPr>
              <w:rFonts w:asciiTheme="majorBidi" w:hAnsiTheme="majorBidi" w:cstheme="majorBidi"/>
              <w:sz w:val="24"/>
              <w:szCs w:val="24"/>
            </w:rPr>
            <w:instrText xml:space="preserve"> CITATION Bar192 \l 2057 </w:instrText>
          </w:r>
          <w:r w:rsidR="0064553E">
            <w:rPr>
              <w:rFonts w:asciiTheme="majorBidi" w:hAnsiTheme="majorBidi" w:cstheme="majorBidi"/>
              <w:sz w:val="24"/>
              <w:szCs w:val="24"/>
            </w:rPr>
            <w:instrText xml:space="preserve"> \m Ghi20</w:instrText>
          </w:r>
          <w:r w:rsidR="003B4E7B">
            <w:rPr>
              <w:rFonts w:asciiTheme="majorBidi" w:hAnsiTheme="majorBidi" w:cstheme="majorBidi"/>
              <w:sz w:val="24"/>
              <w:szCs w:val="24"/>
            </w:rPr>
            <w:fldChar w:fldCharType="separate"/>
          </w:r>
          <w:r w:rsidR="0064553E">
            <w:rPr>
              <w:rFonts w:asciiTheme="majorBidi" w:hAnsiTheme="majorBidi" w:cstheme="majorBidi"/>
              <w:noProof/>
              <w:sz w:val="24"/>
              <w:szCs w:val="24"/>
            </w:rPr>
            <w:t xml:space="preserve"> </w:t>
          </w:r>
          <w:r w:rsidR="0064553E" w:rsidRPr="002C50EB">
            <w:rPr>
              <w:rFonts w:asciiTheme="majorBidi" w:hAnsiTheme="majorBidi" w:cstheme="majorBidi"/>
              <w:noProof/>
              <w:sz w:val="24"/>
              <w:szCs w:val="24"/>
            </w:rPr>
            <w:t>(Barnes, 2019; Ghiara, 2020)</w:t>
          </w:r>
          <w:r w:rsidR="003B4E7B">
            <w:rPr>
              <w:rFonts w:asciiTheme="majorBidi" w:hAnsiTheme="majorBidi" w:cstheme="majorBidi"/>
              <w:sz w:val="24"/>
              <w:szCs w:val="24"/>
            </w:rPr>
            <w:fldChar w:fldCharType="end"/>
          </w:r>
        </w:sdtContent>
      </w:sdt>
      <w:r w:rsidR="003B4E7B" w:rsidRPr="003B4E7B">
        <w:rPr>
          <w:rFonts w:asciiTheme="majorBidi" w:hAnsiTheme="majorBidi" w:cstheme="majorBidi"/>
          <w:sz w:val="24"/>
          <w:szCs w:val="24"/>
        </w:rPr>
        <w:t>.</w:t>
      </w:r>
      <w:r w:rsidR="00157F06">
        <w:rPr>
          <w:rFonts w:asciiTheme="majorBidi" w:hAnsiTheme="majorBidi" w:cstheme="majorBidi"/>
          <w:sz w:val="24"/>
          <w:szCs w:val="24"/>
        </w:rPr>
        <w:t xml:space="preserve"> </w:t>
      </w:r>
      <w:r w:rsidRPr="00330BB9">
        <w:rPr>
          <w:rFonts w:asciiTheme="majorBidi" w:hAnsiTheme="majorBidi" w:cstheme="majorBidi"/>
          <w:sz w:val="24"/>
          <w:szCs w:val="24"/>
        </w:rPr>
        <w:t xml:space="preserve">This study focuses on </w:t>
      </w:r>
      <w:r w:rsidRPr="005150F6">
        <w:rPr>
          <w:rFonts w:asciiTheme="majorBidi" w:hAnsiTheme="majorBidi" w:cstheme="majorBidi"/>
          <w:sz w:val="24"/>
          <w:szCs w:val="24"/>
        </w:rPr>
        <w:t>the positivism and interpretive paradigms</w:t>
      </w:r>
      <w:r w:rsidR="00F15613" w:rsidRPr="005150F6">
        <w:rPr>
          <w:rFonts w:asciiTheme="majorBidi" w:hAnsiTheme="majorBidi" w:cstheme="majorBidi"/>
          <w:sz w:val="24"/>
          <w:szCs w:val="24"/>
        </w:rPr>
        <w:t xml:space="preserve"> which </w:t>
      </w:r>
      <w:r w:rsidR="002C50EB" w:rsidRPr="005150F6">
        <w:rPr>
          <w:rFonts w:asciiTheme="majorBidi" w:hAnsiTheme="majorBidi" w:cstheme="majorBidi"/>
          <w:sz w:val="24"/>
          <w:szCs w:val="24"/>
        </w:rPr>
        <w:t xml:space="preserve">pertain </w:t>
      </w:r>
      <w:r w:rsidR="00F15613" w:rsidRPr="005150F6">
        <w:rPr>
          <w:rFonts w:asciiTheme="majorBidi" w:hAnsiTheme="majorBidi" w:cstheme="majorBidi"/>
          <w:sz w:val="24"/>
          <w:szCs w:val="24"/>
        </w:rPr>
        <w:t>to the use</w:t>
      </w:r>
      <w:r w:rsidR="002C50EB" w:rsidRPr="005150F6">
        <w:rPr>
          <w:rFonts w:asciiTheme="majorBidi" w:hAnsiTheme="majorBidi" w:cstheme="majorBidi"/>
          <w:sz w:val="24"/>
          <w:szCs w:val="24"/>
        </w:rPr>
        <w:t xml:space="preserve"> of quantitative and qualitative methods in this study</w:t>
      </w:r>
      <w:r w:rsidRPr="005150F6">
        <w:rPr>
          <w:rFonts w:asciiTheme="majorBidi" w:hAnsiTheme="majorBidi" w:cstheme="majorBidi"/>
          <w:sz w:val="24"/>
          <w:szCs w:val="24"/>
        </w:rPr>
        <w:t>.</w:t>
      </w:r>
      <w:r>
        <w:rPr>
          <w:color w:val="222222"/>
          <w:sz w:val="20"/>
          <w:szCs w:val="20"/>
          <w:shd w:val="clear" w:color="auto" w:fill="FFFFFF"/>
        </w:rPr>
        <w:t xml:space="preserve"> </w:t>
      </w:r>
      <w:r w:rsidR="00E01799" w:rsidRPr="00E01799">
        <w:rPr>
          <w:rFonts w:asciiTheme="majorBidi" w:hAnsiTheme="majorBidi" w:cstheme="majorBidi"/>
          <w:color w:val="222222"/>
          <w:sz w:val="24"/>
          <w:szCs w:val="24"/>
          <w:shd w:val="clear" w:color="auto" w:fill="FFFFFF"/>
        </w:rPr>
        <w:t>On the one hand,</w:t>
      </w:r>
      <w:r w:rsidR="00E01799">
        <w:rPr>
          <w:color w:val="222222"/>
          <w:sz w:val="20"/>
          <w:szCs w:val="20"/>
          <w:shd w:val="clear" w:color="auto" w:fill="FFFFFF"/>
        </w:rPr>
        <w:t xml:space="preserve"> </w:t>
      </w:r>
      <w:r w:rsidR="00E01799">
        <w:rPr>
          <w:rFonts w:asciiTheme="majorBidi" w:hAnsiTheme="majorBidi" w:cstheme="majorBidi"/>
          <w:sz w:val="24"/>
          <w:szCs w:val="24"/>
        </w:rPr>
        <w:t>t</w:t>
      </w:r>
      <w:r>
        <w:rPr>
          <w:rFonts w:asciiTheme="majorBidi" w:hAnsiTheme="majorBidi" w:cstheme="majorBidi"/>
          <w:sz w:val="24"/>
          <w:szCs w:val="24"/>
        </w:rPr>
        <w:t xml:space="preserve">he positivist perspective of epistemology focuses </w:t>
      </w:r>
      <w:r w:rsidRPr="00D1159F">
        <w:rPr>
          <w:rFonts w:asciiTheme="majorBidi" w:hAnsiTheme="majorBidi" w:cstheme="majorBidi"/>
          <w:sz w:val="24"/>
          <w:szCs w:val="24"/>
        </w:rPr>
        <w:t>on considering facts and pure data without letting human interpretation</w:t>
      </w:r>
      <w:r>
        <w:rPr>
          <w:rFonts w:asciiTheme="majorBidi" w:hAnsiTheme="majorBidi" w:cstheme="majorBidi"/>
          <w:sz w:val="24"/>
          <w:szCs w:val="24"/>
        </w:rPr>
        <w:t>s</w:t>
      </w:r>
      <w:r w:rsidRPr="00D1159F">
        <w:rPr>
          <w:rFonts w:asciiTheme="majorBidi" w:hAnsiTheme="majorBidi" w:cstheme="majorBidi"/>
          <w:sz w:val="24"/>
          <w:szCs w:val="24"/>
        </w:rPr>
        <w:t xml:space="preserve"> or </w:t>
      </w:r>
      <w:r>
        <w:rPr>
          <w:rFonts w:asciiTheme="majorBidi" w:hAnsiTheme="majorBidi" w:cstheme="majorBidi"/>
          <w:sz w:val="24"/>
          <w:szCs w:val="24"/>
        </w:rPr>
        <w:t xml:space="preserve">personal </w:t>
      </w:r>
      <w:r w:rsidRPr="00D1159F">
        <w:rPr>
          <w:rFonts w:asciiTheme="majorBidi" w:hAnsiTheme="majorBidi" w:cstheme="majorBidi"/>
          <w:sz w:val="24"/>
          <w:szCs w:val="24"/>
        </w:rPr>
        <w:t xml:space="preserve">bias </w:t>
      </w:r>
      <w:r>
        <w:rPr>
          <w:rFonts w:asciiTheme="majorBidi" w:hAnsiTheme="majorBidi" w:cstheme="majorBidi"/>
          <w:sz w:val="24"/>
          <w:szCs w:val="24"/>
        </w:rPr>
        <w:t>influence conclusions</w:t>
      </w:r>
      <w:sdt>
        <w:sdtPr>
          <w:rPr>
            <w:rFonts w:asciiTheme="majorBidi" w:hAnsiTheme="majorBidi" w:cstheme="majorBidi"/>
            <w:sz w:val="24"/>
            <w:szCs w:val="24"/>
          </w:rPr>
          <w:id w:val="917597956"/>
          <w:citation/>
        </w:sdtPr>
        <w:sdtContent>
          <w:r w:rsidR="00250301">
            <w:rPr>
              <w:rFonts w:asciiTheme="majorBidi" w:hAnsiTheme="majorBidi" w:cstheme="majorBidi"/>
              <w:sz w:val="24"/>
              <w:szCs w:val="24"/>
            </w:rPr>
            <w:fldChar w:fldCharType="begin"/>
          </w:r>
          <w:r w:rsidR="00AE3BAF">
            <w:rPr>
              <w:rFonts w:asciiTheme="majorBidi" w:hAnsiTheme="majorBidi" w:cstheme="majorBidi"/>
              <w:sz w:val="24"/>
              <w:szCs w:val="24"/>
            </w:rPr>
            <w:instrText xml:space="preserve">CITATION Jun221 \t  \m Par201 \t  \m Sau15 \l 2057 </w:instrText>
          </w:r>
          <w:r w:rsidR="00250301">
            <w:rPr>
              <w:rFonts w:asciiTheme="majorBidi" w:hAnsiTheme="majorBidi" w:cstheme="majorBidi"/>
              <w:sz w:val="24"/>
              <w:szCs w:val="24"/>
            </w:rPr>
            <w:fldChar w:fldCharType="separate"/>
          </w:r>
          <w:r w:rsidR="00AE3BAF">
            <w:rPr>
              <w:rFonts w:asciiTheme="majorBidi" w:hAnsiTheme="majorBidi" w:cstheme="majorBidi"/>
              <w:noProof/>
              <w:sz w:val="24"/>
              <w:szCs w:val="24"/>
            </w:rPr>
            <w:t xml:space="preserve"> </w:t>
          </w:r>
          <w:r w:rsidR="00AE3BAF" w:rsidRPr="00AE3BAF">
            <w:rPr>
              <w:rFonts w:asciiTheme="majorBidi" w:hAnsiTheme="majorBidi" w:cstheme="majorBidi"/>
              <w:noProof/>
              <w:sz w:val="24"/>
              <w:szCs w:val="24"/>
            </w:rPr>
            <w:t>(Junjie &amp; Yingxin, 2022; Park , Konge, &amp; Artino, 2020; Saunders, Lewis, &amp; Thornhill , 2015)</w:t>
          </w:r>
          <w:r w:rsidR="00250301">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5A3D1E">
        <w:rPr>
          <w:rFonts w:asciiTheme="majorBidi" w:hAnsiTheme="majorBidi" w:cstheme="majorBidi"/>
          <w:sz w:val="24"/>
          <w:szCs w:val="24"/>
        </w:rPr>
        <w:t xml:space="preserve">Another epistemological philosophy is the critical approach that acts as an umbrella </w:t>
      </w:r>
      <w:r w:rsidR="00E01799">
        <w:rPr>
          <w:rFonts w:asciiTheme="majorBidi" w:hAnsiTheme="majorBidi" w:cstheme="majorBidi"/>
          <w:sz w:val="24"/>
          <w:szCs w:val="24"/>
        </w:rPr>
        <w:t>which</w:t>
      </w:r>
      <w:r w:rsidR="005A3D1E">
        <w:rPr>
          <w:rFonts w:asciiTheme="majorBidi" w:hAnsiTheme="majorBidi" w:cstheme="majorBidi"/>
          <w:sz w:val="24"/>
          <w:szCs w:val="24"/>
        </w:rPr>
        <w:t xml:space="preserve"> covers a range of theoretical stances and epistemological assumptions</w:t>
      </w:r>
      <w:r w:rsidR="002A57CF">
        <w:rPr>
          <w:rFonts w:asciiTheme="majorBidi" w:hAnsiTheme="majorBidi" w:cstheme="majorBidi"/>
          <w:sz w:val="24"/>
          <w:szCs w:val="24"/>
        </w:rPr>
        <w:t xml:space="preserve"> </w:t>
      </w:r>
      <w:sdt>
        <w:sdtPr>
          <w:rPr>
            <w:rFonts w:asciiTheme="majorBidi" w:hAnsiTheme="majorBidi" w:cstheme="majorBidi"/>
            <w:sz w:val="24"/>
            <w:szCs w:val="24"/>
          </w:rPr>
          <w:id w:val="-1175338715"/>
          <w:citation/>
        </w:sdtPr>
        <w:sdtContent>
          <w:r w:rsidR="002A57CF">
            <w:rPr>
              <w:rFonts w:asciiTheme="majorBidi" w:hAnsiTheme="majorBidi" w:cstheme="majorBidi"/>
              <w:sz w:val="24"/>
              <w:szCs w:val="24"/>
            </w:rPr>
            <w:fldChar w:fldCharType="begin"/>
          </w:r>
          <w:r w:rsidR="002A57CF">
            <w:rPr>
              <w:rFonts w:asciiTheme="majorBidi" w:hAnsiTheme="majorBidi" w:cstheme="majorBidi"/>
              <w:sz w:val="24"/>
              <w:szCs w:val="24"/>
            </w:rPr>
            <w:instrText xml:space="preserve">CITATION Gub11 \t  \l 2057 </w:instrText>
          </w:r>
          <w:r w:rsidR="002A57CF">
            <w:rPr>
              <w:rFonts w:asciiTheme="majorBidi" w:hAnsiTheme="majorBidi" w:cstheme="majorBidi"/>
              <w:sz w:val="24"/>
              <w:szCs w:val="24"/>
            </w:rPr>
            <w:fldChar w:fldCharType="separate"/>
          </w:r>
          <w:r w:rsidR="002A57CF" w:rsidRPr="00BF7A3F">
            <w:rPr>
              <w:rFonts w:asciiTheme="majorBidi" w:hAnsiTheme="majorBidi" w:cstheme="majorBidi"/>
              <w:noProof/>
              <w:sz w:val="24"/>
              <w:szCs w:val="24"/>
            </w:rPr>
            <w:t>(Guba &amp; Lincoln, 2011)</w:t>
          </w:r>
          <w:r w:rsidR="002A57CF">
            <w:rPr>
              <w:rFonts w:asciiTheme="majorBidi" w:hAnsiTheme="majorBidi" w:cstheme="majorBidi"/>
              <w:sz w:val="24"/>
              <w:szCs w:val="24"/>
            </w:rPr>
            <w:fldChar w:fldCharType="end"/>
          </w:r>
        </w:sdtContent>
      </w:sdt>
      <w:r w:rsidR="005A3D1E">
        <w:rPr>
          <w:rFonts w:asciiTheme="majorBidi" w:hAnsiTheme="majorBidi" w:cstheme="majorBidi"/>
          <w:sz w:val="24"/>
          <w:szCs w:val="24"/>
        </w:rPr>
        <w:t xml:space="preserve"> </w:t>
      </w:r>
      <w:r>
        <w:rPr>
          <w:rFonts w:asciiTheme="majorBidi" w:hAnsiTheme="majorBidi" w:cstheme="majorBidi"/>
          <w:sz w:val="24"/>
          <w:szCs w:val="24"/>
        </w:rPr>
        <w:t xml:space="preserve">The </w:t>
      </w:r>
      <w:r w:rsidRPr="004965A8">
        <w:rPr>
          <w:rFonts w:asciiTheme="majorBidi" w:hAnsiTheme="majorBidi" w:cstheme="majorBidi"/>
          <w:sz w:val="24"/>
          <w:szCs w:val="24"/>
        </w:rPr>
        <w:t>critical</w:t>
      </w:r>
      <w:r>
        <w:rPr>
          <w:rFonts w:asciiTheme="majorBidi" w:hAnsiTheme="majorBidi" w:cstheme="majorBidi"/>
          <w:sz w:val="24"/>
          <w:szCs w:val="24"/>
        </w:rPr>
        <w:t xml:space="preserve"> realism of epistemology interrogates and criticise</w:t>
      </w:r>
      <w:r w:rsidR="00F24FB9">
        <w:rPr>
          <w:rFonts w:asciiTheme="majorBidi" w:hAnsiTheme="majorBidi" w:cstheme="majorBidi"/>
          <w:sz w:val="24"/>
          <w:szCs w:val="24"/>
        </w:rPr>
        <w:t>s</w:t>
      </w:r>
      <w:r>
        <w:rPr>
          <w:rFonts w:asciiTheme="majorBidi" w:hAnsiTheme="majorBidi" w:cstheme="majorBidi"/>
          <w:sz w:val="24"/>
          <w:szCs w:val="24"/>
        </w:rPr>
        <w:t xml:space="preserve"> this statistical analysis supported by the positivist perspective and focuses on the research process</w:t>
      </w:r>
      <w:r w:rsidR="005A3D1E">
        <w:rPr>
          <w:rFonts w:asciiTheme="majorBidi" w:hAnsiTheme="majorBidi" w:cstheme="majorBidi"/>
          <w:sz w:val="24"/>
          <w:szCs w:val="24"/>
        </w:rPr>
        <w:t xml:space="preserve"> and the subjective knowledge that is </w:t>
      </w:r>
      <w:r w:rsidR="005A3D1E" w:rsidRPr="005A3D1E">
        <w:rPr>
          <w:rFonts w:asciiTheme="majorBidi" w:hAnsiTheme="majorBidi" w:cstheme="majorBidi"/>
          <w:sz w:val="24"/>
          <w:szCs w:val="24"/>
        </w:rPr>
        <w:t>based on individual sociohistorical processes</w:t>
      </w:r>
      <w:sdt>
        <w:sdtPr>
          <w:rPr>
            <w:rFonts w:asciiTheme="majorBidi" w:hAnsiTheme="majorBidi" w:cstheme="majorBidi"/>
            <w:sz w:val="24"/>
            <w:szCs w:val="24"/>
          </w:rPr>
          <w:id w:val="1224865423"/>
          <w:citation/>
        </w:sdtPr>
        <w:sdtContent>
          <w:r w:rsidR="002A57CF">
            <w:rPr>
              <w:rFonts w:asciiTheme="majorBidi" w:hAnsiTheme="majorBidi" w:cstheme="majorBidi"/>
              <w:sz w:val="24"/>
              <w:szCs w:val="24"/>
            </w:rPr>
            <w:fldChar w:fldCharType="begin"/>
          </w:r>
          <w:r w:rsidR="002A57CF">
            <w:rPr>
              <w:rFonts w:asciiTheme="majorBidi" w:hAnsiTheme="majorBidi" w:cstheme="majorBidi"/>
              <w:sz w:val="24"/>
              <w:szCs w:val="24"/>
            </w:rPr>
            <w:instrText xml:space="preserve"> CITATION Far16 \l 2057 </w:instrText>
          </w:r>
          <w:r w:rsidR="00BF7A3F">
            <w:rPr>
              <w:rFonts w:asciiTheme="majorBidi" w:hAnsiTheme="majorBidi" w:cstheme="majorBidi"/>
              <w:sz w:val="24"/>
              <w:szCs w:val="24"/>
            </w:rPr>
            <w:instrText xml:space="preserve"> \m Ols05</w:instrText>
          </w:r>
          <w:r w:rsidR="002A57CF">
            <w:rPr>
              <w:rFonts w:asciiTheme="majorBidi" w:hAnsiTheme="majorBidi" w:cstheme="majorBidi"/>
              <w:sz w:val="24"/>
              <w:szCs w:val="24"/>
            </w:rPr>
            <w:fldChar w:fldCharType="separate"/>
          </w:r>
          <w:r w:rsidR="00BF7A3F">
            <w:rPr>
              <w:rFonts w:asciiTheme="majorBidi" w:hAnsiTheme="majorBidi" w:cstheme="majorBidi"/>
              <w:noProof/>
              <w:sz w:val="24"/>
              <w:szCs w:val="24"/>
            </w:rPr>
            <w:t xml:space="preserve"> </w:t>
          </w:r>
          <w:r w:rsidR="00BF7A3F" w:rsidRPr="00BF7A3F">
            <w:rPr>
              <w:rFonts w:asciiTheme="majorBidi" w:hAnsiTheme="majorBidi" w:cstheme="majorBidi"/>
              <w:noProof/>
              <w:sz w:val="24"/>
              <w:szCs w:val="24"/>
            </w:rPr>
            <w:t>(Farias, Rudman, &amp; Magalhães, 2016; Olsen &amp; Morgan, 2005)</w:t>
          </w:r>
          <w:r w:rsidR="002A57CF">
            <w:rPr>
              <w:rFonts w:asciiTheme="majorBidi" w:hAnsiTheme="majorBidi" w:cstheme="majorBidi"/>
              <w:sz w:val="24"/>
              <w:szCs w:val="24"/>
            </w:rPr>
            <w:fldChar w:fldCharType="end"/>
          </w:r>
        </w:sdtContent>
      </w:sdt>
      <w:r w:rsidR="005A3D1E" w:rsidRPr="005A3D1E">
        <w:rPr>
          <w:rFonts w:asciiTheme="majorBidi" w:hAnsiTheme="majorBidi" w:cstheme="majorBidi"/>
          <w:sz w:val="24"/>
          <w:szCs w:val="24"/>
        </w:rPr>
        <w:t>.</w:t>
      </w:r>
      <w:r>
        <w:rPr>
          <w:rFonts w:asciiTheme="majorBidi" w:hAnsiTheme="majorBidi" w:cstheme="majorBidi"/>
          <w:sz w:val="24"/>
          <w:szCs w:val="24"/>
        </w:rPr>
        <w:t xml:space="preserve"> On the other hand, the interpretive </w:t>
      </w:r>
      <w:r w:rsidRPr="005150F6">
        <w:rPr>
          <w:rFonts w:asciiTheme="majorBidi" w:hAnsiTheme="majorBidi" w:cstheme="majorBidi"/>
          <w:sz w:val="24"/>
          <w:szCs w:val="24"/>
        </w:rPr>
        <w:t>epistemological perspective is more concerned with variables</w:t>
      </w:r>
      <w:r>
        <w:rPr>
          <w:rFonts w:asciiTheme="majorBidi" w:hAnsiTheme="majorBidi" w:cstheme="majorBidi"/>
          <w:sz w:val="24"/>
          <w:szCs w:val="24"/>
        </w:rPr>
        <w:t xml:space="preserve"> and personal differences such as cultural, situational, and social realities </w:t>
      </w:r>
      <w:sdt>
        <w:sdtPr>
          <w:rPr>
            <w:rFonts w:asciiTheme="majorBidi" w:hAnsiTheme="majorBidi" w:cstheme="majorBidi"/>
            <w:sz w:val="24"/>
            <w:szCs w:val="24"/>
          </w:rPr>
          <w:id w:val="455381855"/>
          <w:citation/>
        </w:sdtPr>
        <w:sdtContent>
          <w:r>
            <w:rPr>
              <w:rFonts w:asciiTheme="majorBidi" w:hAnsiTheme="majorBidi" w:cstheme="majorBidi"/>
              <w:sz w:val="24"/>
              <w:szCs w:val="24"/>
            </w:rPr>
            <w:fldChar w:fldCharType="begin"/>
          </w:r>
          <w:r w:rsidR="00856B34">
            <w:rPr>
              <w:rFonts w:asciiTheme="majorBidi" w:hAnsiTheme="majorBidi" w:cstheme="majorBidi"/>
              <w:sz w:val="24"/>
              <w:szCs w:val="24"/>
            </w:rPr>
            <w:instrText xml:space="preserve">CITATION Alh20 \m Cut20 \m Jun22 \t  \m Per22 \l 2057 </w:instrText>
          </w:r>
          <w:r>
            <w:rPr>
              <w:rFonts w:asciiTheme="majorBidi" w:hAnsiTheme="majorBidi" w:cstheme="majorBidi"/>
              <w:sz w:val="24"/>
              <w:szCs w:val="24"/>
            </w:rPr>
            <w:fldChar w:fldCharType="separate"/>
          </w:r>
          <w:r w:rsidR="00856B34" w:rsidRPr="00856B34">
            <w:rPr>
              <w:rFonts w:asciiTheme="majorBidi" w:hAnsiTheme="majorBidi" w:cstheme="majorBidi"/>
              <w:noProof/>
              <w:sz w:val="24"/>
              <w:szCs w:val="24"/>
            </w:rPr>
            <w:t>(Alharahsheh &amp; Pius, 2020; Cuthbertson, Robb, &amp; Blair, 2020; Junjie &amp; Yingxin, 2022; Pervin &amp; Mokhtar,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One paradigm that is similar to the interpretive perspective is the </w:t>
      </w:r>
      <w:r w:rsidRPr="00EB0DF4">
        <w:rPr>
          <w:rFonts w:asciiTheme="majorBidi" w:hAnsiTheme="majorBidi" w:cstheme="majorBidi"/>
          <w:sz w:val="24"/>
          <w:szCs w:val="24"/>
        </w:rPr>
        <w:t>constructivist</w:t>
      </w:r>
      <w:r>
        <w:rPr>
          <w:rFonts w:asciiTheme="majorBidi" w:hAnsiTheme="majorBidi" w:cstheme="majorBidi"/>
          <w:sz w:val="24"/>
          <w:szCs w:val="24"/>
        </w:rPr>
        <w:t xml:space="preserve"> epistemology. This is because the constructivist perspective is also a subjective approach that focuses on the involvement of sociocultural elements in the process of transformative learning in a particular situation</w:t>
      </w:r>
      <w:sdt>
        <w:sdtPr>
          <w:rPr>
            <w:rFonts w:asciiTheme="majorBidi" w:hAnsiTheme="majorBidi" w:cstheme="majorBidi"/>
            <w:sz w:val="24"/>
            <w:szCs w:val="24"/>
          </w:rPr>
          <w:id w:val="115002834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Hyd21 \l 2057  \m Pri20</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(Hyde, 2021; Primecz ,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Figure </w:t>
      </w:r>
      <w:r w:rsidR="00944CEF">
        <w:rPr>
          <w:rFonts w:asciiTheme="majorBidi" w:hAnsiTheme="majorBidi" w:cstheme="majorBidi"/>
          <w:sz w:val="24"/>
          <w:szCs w:val="24"/>
        </w:rPr>
        <w:t>11</w:t>
      </w:r>
      <w:r>
        <w:rPr>
          <w:rFonts w:asciiTheme="majorBidi" w:hAnsiTheme="majorBidi" w:cstheme="majorBidi"/>
          <w:sz w:val="24"/>
          <w:szCs w:val="24"/>
        </w:rPr>
        <w:t xml:space="preserve"> summari</w:t>
      </w:r>
      <w:r w:rsidR="00F24FB9">
        <w:rPr>
          <w:rFonts w:asciiTheme="majorBidi" w:hAnsiTheme="majorBidi" w:cstheme="majorBidi"/>
          <w:sz w:val="24"/>
          <w:szCs w:val="24"/>
        </w:rPr>
        <w:t>s</w:t>
      </w:r>
      <w:r>
        <w:rPr>
          <w:rFonts w:asciiTheme="majorBidi" w:hAnsiTheme="majorBidi" w:cstheme="majorBidi"/>
          <w:sz w:val="24"/>
          <w:szCs w:val="24"/>
        </w:rPr>
        <w:t xml:space="preserve">es some of the main epistemological perspectives. While the nature and the context of the research dictates the suitability of each paradigm, the interpretive perspective and qualitative methods provides the research with deep perceptions of social issues and the positivist perspective enables researchers to gain statistical confidence </w:t>
      </w:r>
      <w:sdt>
        <w:sdtPr>
          <w:rPr>
            <w:rFonts w:asciiTheme="majorBidi" w:hAnsiTheme="majorBidi" w:cstheme="majorBidi"/>
            <w:sz w:val="24"/>
            <w:szCs w:val="24"/>
          </w:rPr>
          <w:id w:val="34266808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Alh20 \l 2057  \m Jun22</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(Alharahsheh &amp; Pius, 2020; Junjie &amp; Yingxin,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Accordingly, as discussed further in this chapter, the methodology of this chapter applies quantitative and qualitative methods resulting in wholesome conclusions. </w:t>
      </w:r>
    </w:p>
    <w:p w14:paraId="7C9DDA1B" w14:textId="45A46028" w:rsidR="006F14B6" w:rsidRPr="0038061A" w:rsidRDefault="006F14B6" w:rsidP="006F14B6">
      <w:pPr>
        <w:tabs>
          <w:tab w:val="left" w:pos="1392"/>
        </w:tabs>
        <w:adjustRightInd w:val="0"/>
        <w:spacing w:line="480" w:lineRule="auto"/>
        <w:rPr>
          <w:rFonts w:asciiTheme="majorBidi" w:hAnsiTheme="majorBidi" w:cstheme="majorBidi"/>
          <w:b/>
          <w:bCs/>
          <w:sz w:val="24"/>
          <w:szCs w:val="24"/>
        </w:rPr>
      </w:pPr>
      <w:r>
        <w:rPr>
          <w:rFonts w:asciiTheme="majorBidi" w:hAnsiTheme="majorBidi" w:cstheme="majorBidi"/>
          <w:noProof/>
          <w:sz w:val="24"/>
          <w:szCs w:val="24"/>
        </w:rPr>
        <w:drawing>
          <wp:anchor distT="0" distB="0" distL="114300" distR="114300" simplePos="0" relativeHeight="251658752" behindDoc="1" locked="0" layoutInCell="1" allowOverlap="1" wp14:anchorId="7E8D117C" wp14:editId="44A9C3DB">
            <wp:simplePos x="0" y="0"/>
            <wp:positionH relativeFrom="margin">
              <wp:posOffset>-304800</wp:posOffset>
            </wp:positionH>
            <wp:positionV relativeFrom="paragraph">
              <wp:posOffset>295486</wp:posOffset>
            </wp:positionV>
            <wp:extent cx="6126480" cy="2122382"/>
            <wp:effectExtent l="0" t="0" r="0" b="11430"/>
            <wp:wrapThrough wrapText="bothSides">
              <wp:wrapPolygon edited="0">
                <wp:start x="9000" y="0"/>
                <wp:lineTo x="9000" y="8531"/>
                <wp:lineTo x="9470" y="9307"/>
                <wp:lineTo x="3425" y="9307"/>
                <wp:lineTo x="672" y="10083"/>
                <wp:lineTo x="672" y="21329"/>
                <wp:lineTo x="873" y="21522"/>
                <wp:lineTo x="5978" y="21522"/>
                <wp:lineTo x="20888" y="21522"/>
                <wp:lineTo x="20955" y="10083"/>
                <wp:lineTo x="18269" y="9307"/>
                <wp:lineTo x="12224" y="9307"/>
                <wp:lineTo x="12694" y="8338"/>
                <wp:lineTo x="12627" y="0"/>
                <wp:lineTo x="9000" y="0"/>
              </wp:wrapPolygon>
            </wp:wrapThrough>
            <wp:docPr id="1427248993" name="Diagram 14272489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14:paraId="1B1D6F26" w14:textId="0EF9B2D2" w:rsidR="00BF7A3F" w:rsidRDefault="00BF7A3F" w:rsidP="007A225E">
      <w:pPr>
        <w:adjustRightInd w:val="0"/>
        <w:spacing w:line="480" w:lineRule="auto"/>
        <w:ind w:firstLine="720"/>
        <w:rPr>
          <w:rFonts w:asciiTheme="majorBidi" w:hAnsiTheme="majorBidi" w:cstheme="majorBidi"/>
          <w:sz w:val="24"/>
          <w:szCs w:val="24"/>
        </w:rPr>
      </w:pPr>
    </w:p>
    <w:p w14:paraId="6A9312A5" w14:textId="7D7916E7" w:rsidR="00DD25DB" w:rsidRDefault="003F61F9" w:rsidP="0038061A">
      <w:pPr>
        <w:adjustRightInd w:val="0"/>
        <w:spacing w:line="480" w:lineRule="auto"/>
        <w:ind w:firstLine="720"/>
        <w:rPr>
          <w:rFonts w:asciiTheme="majorBidi" w:hAnsiTheme="majorBidi" w:cstheme="majorBidi"/>
          <w:sz w:val="24"/>
          <w:szCs w:val="24"/>
        </w:rPr>
      </w:pPr>
      <w:r>
        <w:rPr>
          <w:noProof/>
        </w:rPr>
        <mc:AlternateContent>
          <mc:Choice Requires="wps">
            <w:drawing>
              <wp:anchor distT="0" distB="0" distL="114300" distR="114300" simplePos="0" relativeHeight="251662848" behindDoc="1" locked="0" layoutInCell="1" allowOverlap="1" wp14:anchorId="1A15C8D1" wp14:editId="72CDA19E">
                <wp:simplePos x="0" y="0"/>
                <wp:positionH relativeFrom="column">
                  <wp:posOffset>-535516</wp:posOffset>
                </wp:positionH>
                <wp:positionV relativeFrom="paragraph">
                  <wp:posOffset>1596178</wp:posOffset>
                </wp:positionV>
                <wp:extent cx="6605905" cy="266700"/>
                <wp:effectExtent l="0" t="0" r="0" b="0"/>
                <wp:wrapTight wrapText="bothSides">
                  <wp:wrapPolygon edited="0">
                    <wp:start x="0" y="0"/>
                    <wp:lineTo x="0" y="20057"/>
                    <wp:lineTo x="21552" y="20057"/>
                    <wp:lineTo x="21552" y="0"/>
                    <wp:lineTo x="0" y="0"/>
                  </wp:wrapPolygon>
                </wp:wrapTight>
                <wp:docPr id="11687858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5905" cy="266700"/>
                        </a:xfrm>
                        <a:prstGeom prst="rect">
                          <a:avLst/>
                        </a:prstGeom>
                        <a:solidFill>
                          <a:prstClr val="white"/>
                        </a:solidFill>
                        <a:ln>
                          <a:noFill/>
                        </a:ln>
                      </wps:spPr>
                      <wps:txbx>
                        <w:txbxContent>
                          <w:p w14:paraId="254B443C" w14:textId="6E45270D" w:rsidR="00DD25DB" w:rsidRPr="009B58FC" w:rsidRDefault="00DD25DB" w:rsidP="00DD25DB">
                            <w:pPr>
                              <w:pStyle w:val="Caption"/>
                              <w:rPr>
                                <w:rFonts w:asciiTheme="majorBidi" w:hAnsiTheme="majorBidi" w:cstheme="majorBidi"/>
                                <w:noProof/>
                                <w:sz w:val="24"/>
                                <w:szCs w:val="24"/>
                              </w:rPr>
                            </w:pPr>
                            <w:r>
                              <w:t>Figure 11 Main epistemological approaches applied in social sciences.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15C8D1" id="Text Box 7" o:spid="_x0000_s1029" type="#_x0000_t202" style="position:absolute;left:0;text-align:left;margin-left:-42.15pt;margin-top:125.7pt;width:520.15pt;height: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" stroked="f">
                <v:textbox style="mso-fit-shape-to-text:t" inset="0,0,0,0">
                  <w:txbxContent>
                    <w:p w14:paraId="254B443C" w14:textId="6E45270D" w:rsidR="00DD25DB" w:rsidRPr="009B58FC" w:rsidRDefault="00DD25DB" w:rsidP="00DD25DB">
                      <w:pPr>
                        <w:pStyle w:val="Caption"/>
                        <w:rPr>
                          <w:rFonts w:asciiTheme="majorBidi" w:hAnsiTheme="majorBidi" w:cstheme="majorBidi"/>
                          <w:noProof/>
                          <w:sz w:val="24"/>
                          <w:szCs w:val="24"/>
                        </w:rPr>
                      </w:pPr>
                      <w:r>
                        <w:t>Figure 11 Main epistemological approaches applied in social sciences.</w:t>
                      </w:r>
                    </w:p>
                  </w:txbxContent>
                </v:textbox>
                <w10:wrap type="tight"/>
              </v:shape>
            </w:pict>
          </mc:Fallback>
        </mc:AlternateContent>
      </w:r>
    </w:p>
    <w:p w14:paraId="3B69E112" w14:textId="3F94A7B3" w:rsidR="007A225E" w:rsidRDefault="007A225E" w:rsidP="007A225E">
      <w:pPr>
        <w:adjustRightInd w:val="0"/>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Some of the earliest foundations of epistemology were set by Whitehead (1915-1917) </w:t>
      </w:r>
      <w:sdt>
        <w:sdtPr>
          <w:rPr>
            <w:rFonts w:asciiTheme="majorBidi" w:hAnsiTheme="majorBidi" w:cstheme="majorBidi"/>
            <w:sz w:val="24"/>
            <w:szCs w:val="24"/>
          </w:rPr>
          <w:id w:val="-126614578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Kul66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(Kultgen, 1966)</w:t>
          </w:r>
          <w:r>
            <w:rPr>
              <w:rFonts w:asciiTheme="majorBidi" w:hAnsiTheme="majorBidi" w:cstheme="majorBidi"/>
              <w:sz w:val="24"/>
              <w:szCs w:val="24"/>
            </w:rPr>
            <w:fldChar w:fldCharType="end"/>
          </w:r>
        </w:sdtContent>
      </w:sdt>
      <w:r>
        <w:rPr>
          <w:rFonts w:asciiTheme="majorBidi" w:hAnsiTheme="majorBidi" w:cstheme="majorBidi"/>
          <w:sz w:val="24"/>
          <w:szCs w:val="24"/>
        </w:rPr>
        <w:t>. His work reflected the centrali</w:t>
      </w:r>
      <w:r w:rsidR="00F24FB9">
        <w:rPr>
          <w:rFonts w:asciiTheme="majorBidi" w:hAnsiTheme="majorBidi" w:cstheme="majorBidi"/>
          <w:sz w:val="24"/>
          <w:szCs w:val="24"/>
        </w:rPr>
        <w:t>s</w:t>
      </w:r>
      <w:r>
        <w:rPr>
          <w:rFonts w:asciiTheme="majorBidi" w:hAnsiTheme="majorBidi" w:cstheme="majorBidi"/>
          <w:sz w:val="24"/>
          <w:szCs w:val="24"/>
        </w:rPr>
        <w:t>ation of concepts in theories that represent reality through the interaction between certain variables that offer the relevant idealism associated with the substance presentation</w:t>
      </w:r>
      <w:sdt>
        <w:sdtPr>
          <w:rPr>
            <w:rFonts w:asciiTheme="majorBidi" w:hAnsiTheme="majorBidi" w:cstheme="majorBidi"/>
            <w:sz w:val="24"/>
            <w:szCs w:val="24"/>
          </w:rPr>
          <w:id w:val="34259169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Whi64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(Whitehead, 1964)</w:t>
          </w:r>
          <w:r>
            <w:rPr>
              <w:rFonts w:asciiTheme="majorBidi" w:hAnsiTheme="majorBidi" w:cstheme="majorBidi"/>
              <w:sz w:val="24"/>
              <w:szCs w:val="24"/>
            </w:rPr>
            <w:fldChar w:fldCharType="end"/>
          </w:r>
        </w:sdtContent>
      </w:sdt>
      <w:r>
        <w:rPr>
          <w:rFonts w:asciiTheme="majorBidi" w:hAnsiTheme="majorBidi" w:cstheme="majorBidi"/>
          <w:sz w:val="24"/>
          <w:szCs w:val="24"/>
        </w:rPr>
        <w:t>. He emphasi</w:t>
      </w:r>
      <w:r w:rsidR="00242BE0">
        <w:rPr>
          <w:rFonts w:asciiTheme="majorBidi" w:hAnsiTheme="majorBidi" w:cstheme="majorBidi"/>
          <w:sz w:val="24"/>
          <w:szCs w:val="24"/>
        </w:rPr>
        <w:t>s</w:t>
      </w:r>
      <w:r>
        <w:rPr>
          <w:rFonts w:asciiTheme="majorBidi" w:hAnsiTheme="majorBidi" w:cstheme="majorBidi"/>
          <w:sz w:val="24"/>
          <w:szCs w:val="24"/>
        </w:rPr>
        <w:t xml:space="preserve">ed the idea that what is considered real and effective is found in the “direct perception of the external world” </w:t>
      </w:r>
      <w:sdt>
        <w:sdtPr>
          <w:rPr>
            <w:rFonts w:asciiTheme="majorBidi" w:hAnsiTheme="majorBidi" w:cstheme="majorBidi"/>
            <w:sz w:val="24"/>
            <w:szCs w:val="24"/>
          </w:rPr>
          <w:id w:val="-186520025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Whi26 \t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(Whitehead, 1927)</w:t>
          </w:r>
          <w:r>
            <w:rPr>
              <w:rFonts w:asciiTheme="majorBidi" w:hAnsiTheme="majorBidi" w:cstheme="majorBidi"/>
              <w:sz w:val="24"/>
              <w:szCs w:val="24"/>
            </w:rPr>
            <w:fldChar w:fldCharType="end"/>
          </w:r>
        </w:sdtContent>
      </w:sdt>
      <w:r>
        <w:rPr>
          <w:rFonts w:asciiTheme="majorBidi" w:hAnsiTheme="majorBidi" w:cstheme="majorBidi"/>
          <w:sz w:val="24"/>
          <w:szCs w:val="24"/>
        </w:rPr>
        <w:t>. Reflecting on this founding conceptuali</w:t>
      </w:r>
      <w:r w:rsidR="00F24FB9">
        <w:rPr>
          <w:rFonts w:asciiTheme="majorBidi" w:hAnsiTheme="majorBidi" w:cstheme="majorBidi"/>
          <w:sz w:val="24"/>
          <w:szCs w:val="24"/>
        </w:rPr>
        <w:t>s</w:t>
      </w:r>
      <w:r>
        <w:rPr>
          <w:rFonts w:asciiTheme="majorBidi" w:hAnsiTheme="majorBidi" w:cstheme="majorBidi"/>
          <w:sz w:val="24"/>
          <w:szCs w:val="24"/>
        </w:rPr>
        <w:t>ation of “</w:t>
      </w:r>
      <w:r w:rsidRPr="005150F6">
        <w:rPr>
          <w:rFonts w:asciiTheme="majorBidi" w:hAnsiTheme="majorBidi" w:cstheme="majorBidi"/>
          <w:sz w:val="24"/>
          <w:szCs w:val="24"/>
        </w:rPr>
        <w:t>reality,” this study focuse</w:t>
      </w:r>
      <w:r w:rsidR="00245841" w:rsidRPr="005150F6">
        <w:rPr>
          <w:rFonts w:asciiTheme="majorBidi" w:hAnsiTheme="majorBidi" w:cstheme="majorBidi"/>
          <w:sz w:val="24"/>
          <w:szCs w:val="24"/>
        </w:rPr>
        <w:t>s</w:t>
      </w:r>
      <w:r w:rsidRPr="005150F6">
        <w:rPr>
          <w:rFonts w:asciiTheme="majorBidi" w:hAnsiTheme="majorBidi" w:cstheme="majorBidi"/>
          <w:sz w:val="24"/>
          <w:szCs w:val="24"/>
        </w:rPr>
        <w:t xml:space="preserve"> on understanding the perception of consumers</w:t>
      </w:r>
      <w:r w:rsidR="00F24FB9" w:rsidRPr="005150F6">
        <w:rPr>
          <w:rFonts w:asciiTheme="majorBidi" w:hAnsiTheme="majorBidi" w:cstheme="majorBidi"/>
          <w:sz w:val="24"/>
          <w:szCs w:val="24"/>
        </w:rPr>
        <w:t xml:space="preserve"> and</w:t>
      </w:r>
      <w:r w:rsidRPr="005150F6">
        <w:rPr>
          <w:rFonts w:asciiTheme="majorBidi" w:hAnsiTheme="majorBidi" w:cstheme="majorBidi"/>
          <w:sz w:val="24"/>
          <w:szCs w:val="24"/>
        </w:rPr>
        <w:t xml:space="preserve"> the most common audience of multinational companies on different communication strategies.</w:t>
      </w:r>
      <w:r>
        <w:rPr>
          <w:rFonts w:asciiTheme="majorBidi" w:hAnsiTheme="majorBidi" w:cstheme="majorBidi"/>
          <w:sz w:val="24"/>
          <w:szCs w:val="24"/>
        </w:rPr>
        <w:t xml:space="preserve"> As further explained in this chapter, in order to get a close look on consumers’ real perceptions, this study follow</w:t>
      </w:r>
      <w:r w:rsidR="00245841">
        <w:rPr>
          <w:rFonts w:asciiTheme="majorBidi" w:hAnsiTheme="majorBidi" w:cstheme="majorBidi"/>
          <w:sz w:val="24"/>
          <w:szCs w:val="24"/>
        </w:rPr>
        <w:t>s</w:t>
      </w:r>
      <w:r>
        <w:rPr>
          <w:rFonts w:asciiTheme="majorBidi" w:hAnsiTheme="majorBidi" w:cstheme="majorBidi"/>
          <w:sz w:val="24"/>
          <w:szCs w:val="24"/>
        </w:rPr>
        <w:t xml:space="preserve"> specific steps to ensure that the sample of respondents are the typical or potential consumers of the understudied brand in the study. Also, Whitehead </w:t>
      </w:r>
      <w:sdt>
        <w:sdtPr>
          <w:rPr>
            <w:rFonts w:asciiTheme="majorBidi" w:hAnsiTheme="majorBidi" w:cstheme="majorBidi"/>
            <w:sz w:val="24"/>
            <w:szCs w:val="24"/>
          </w:rPr>
          <w:id w:val="78840713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Whi26 \n  \t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(1927)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concluded that only through “complex coherent judgements” of processes between variables, we can truly understand reality. Accordingly, this study examines purchase intention as a dependent variable and consumers’ perception of CSR, ad likeability, brand likeability, emotional brand attachment, brand trust, and perceived product functionality as mediators and moderators of the relationship between CSR communication and the dependent variable. Additionally, this study consider</w:t>
      </w:r>
      <w:r w:rsidR="00245841">
        <w:rPr>
          <w:rFonts w:asciiTheme="majorBidi" w:hAnsiTheme="majorBidi" w:cstheme="majorBidi"/>
          <w:sz w:val="24"/>
          <w:szCs w:val="24"/>
        </w:rPr>
        <w:t>s</w:t>
      </w:r>
      <w:r>
        <w:rPr>
          <w:rFonts w:asciiTheme="majorBidi" w:hAnsiTheme="majorBidi" w:cstheme="majorBidi"/>
          <w:sz w:val="24"/>
          <w:szCs w:val="24"/>
        </w:rPr>
        <w:t xml:space="preserve"> some underlying variables such as prior brand perception. The next section discusses the different implementations of reliability and validity in research methods. </w:t>
      </w:r>
    </w:p>
    <w:p w14:paraId="67EC4F85" w14:textId="0D2286A9" w:rsidR="007A225E" w:rsidRDefault="007A225E" w:rsidP="007A225E">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5</w:t>
      </w:r>
      <w:r w:rsidRPr="00820CBD">
        <w:rPr>
          <w:rFonts w:asciiTheme="majorBidi" w:hAnsiTheme="majorBidi" w:cstheme="majorBidi"/>
          <w:b/>
          <w:bCs/>
          <w:sz w:val="24"/>
          <w:szCs w:val="24"/>
        </w:rPr>
        <w:t>.</w:t>
      </w:r>
      <w:r w:rsidR="00891F01">
        <w:rPr>
          <w:rFonts w:asciiTheme="majorBidi" w:hAnsiTheme="majorBidi" w:cstheme="majorBidi"/>
          <w:b/>
          <w:bCs/>
          <w:sz w:val="24"/>
          <w:szCs w:val="24"/>
        </w:rPr>
        <w:t>3</w:t>
      </w:r>
      <w:r w:rsidRPr="00820CBD">
        <w:rPr>
          <w:rFonts w:asciiTheme="majorBidi" w:hAnsiTheme="majorBidi" w:cstheme="majorBidi"/>
          <w:b/>
          <w:bCs/>
          <w:sz w:val="24"/>
          <w:szCs w:val="24"/>
        </w:rPr>
        <w:t xml:space="preserve"> </w:t>
      </w:r>
      <w:r>
        <w:rPr>
          <w:rFonts w:asciiTheme="majorBidi" w:hAnsiTheme="majorBidi" w:cstheme="majorBidi"/>
          <w:b/>
          <w:bCs/>
          <w:sz w:val="24"/>
          <w:szCs w:val="24"/>
        </w:rPr>
        <w:t xml:space="preserve">Reliability and Validity of Research Methods </w:t>
      </w:r>
    </w:p>
    <w:p w14:paraId="592B7E48" w14:textId="707191B0" w:rsidR="007A225E" w:rsidRPr="00871484" w:rsidRDefault="007A225E" w:rsidP="00727E91">
      <w:pPr>
        <w:adjustRightInd w:val="0"/>
        <w:spacing w:after="0" w:line="480" w:lineRule="auto"/>
        <w:ind w:firstLine="720"/>
        <w:rPr>
          <w:rFonts w:asciiTheme="majorBidi" w:hAnsiTheme="majorBidi" w:cstheme="majorBidi"/>
          <w:sz w:val="24"/>
          <w:szCs w:val="24"/>
        </w:rPr>
      </w:pPr>
      <w:r w:rsidRPr="000E6C07">
        <w:rPr>
          <w:rFonts w:asciiTheme="majorBidi" w:hAnsiTheme="majorBidi" w:cstheme="majorBidi"/>
          <w:sz w:val="24"/>
          <w:szCs w:val="24"/>
        </w:rPr>
        <w:t>A commonly pursued process in academic research is assess</w:t>
      </w:r>
      <w:r>
        <w:rPr>
          <w:rFonts w:asciiTheme="majorBidi" w:hAnsiTheme="majorBidi" w:cstheme="majorBidi"/>
          <w:sz w:val="24"/>
          <w:szCs w:val="24"/>
        </w:rPr>
        <w:t>ing</w:t>
      </w:r>
      <w:r w:rsidRPr="000E6C07">
        <w:rPr>
          <w:rFonts w:asciiTheme="majorBidi" w:hAnsiTheme="majorBidi" w:cstheme="majorBidi"/>
          <w:sz w:val="24"/>
          <w:szCs w:val="24"/>
        </w:rPr>
        <w:t xml:space="preserve"> </w:t>
      </w:r>
      <w:r>
        <w:rPr>
          <w:rFonts w:asciiTheme="majorBidi" w:hAnsiTheme="majorBidi" w:cstheme="majorBidi"/>
          <w:sz w:val="24"/>
          <w:szCs w:val="24"/>
        </w:rPr>
        <w:t>the</w:t>
      </w:r>
      <w:r w:rsidRPr="000E6C07">
        <w:rPr>
          <w:rFonts w:asciiTheme="majorBidi" w:hAnsiTheme="majorBidi" w:cstheme="majorBidi"/>
          <w:sz w:val="24"/>
          <w:szCs w:val="24"/>
        </w:rPr>
        <w:t xml:space="preserve"> reliability and validity of the methods and the collected data. One of the most important aspects of </w:t>
      </w:r>
      <w:r>
        <w:rPr>
          <w:rFonts w:asciiTheme="majorBidi" w:hAnsiTheme="majorBidi" w:cstheme="majorBidi"/>
          <w:sz w:val="24"/>
          <w:szCs w:val="24"/>
        </w:rPr>
        <w:t xml:space="preserve">a </w:t>
      </w:r>
      <w:r w:rsidRPr="005150F6">
        <w:rPr>
          <w:rFonts w:asciiTheme="majorBidi" w:hAnsiTheme="majorBidi" w:cstheme="majorBidi"/>
          <w:sz w:val="24"/>
          <w:szCs w:val="24"/>
        </w:rPr>
        <w:t>test’s quality is reliability</w:t>
      </w:r>
      <w:sdt>
        <w:sdtPr>
          <w:rPr>
            <w:rFonts w:asciiTheme="majorBidi" w:hAnsiTheme="majorBidi" w:cstheme="majorBidi"/>
            <w:sz w:val="24"/>
            <w:szCs w:val="24"/>
          </w:rPr>
          <w:id w:val="536927859"/>
          <w:citation/>
        </w:sdtPr>
        <w:sdtContent>
          <w:r w:rsidR="00850420" w:rsidRPr="005150F6">
            <w:rPr>
              <w:rFonts w:asciiTheme="majorBidi" w:hAnsiTheme="majorBidi" w:cstheme="majorBidi"/>
              <w:sz w:val="24"/>
              <w:szCs w:val="24"/>
            </w:rPr>
            <w:fldChar w:fldCharType="begin"/>
          </w:r>
          <w:r w:rsidR="00850420" w:rsidRPr="005150F6">
            <w:rPr>
              <w:rFonts w:asciiTheme="majorBidi" w:hAnsiTheme="majorBidi" w:cstheme="majorBidi"/>
              <w:sz w:val="24"/>
              <w:szCs w:val="24"/>
            </w:rPr>
            <w:instrText xml:space="preserve"> CITATION Kau14 \l 2057 </w:instrText>
          </w:r>
          <w:r w:rsidR="00850420" w:rsidRPr="005150F6">
            <w:rPr>
              <w:rFonts w:asciiTheme="majorBidi" w:hAnsiTheme="majorBidi" w:cstheme="majorBidi"/>
              <w:sz w:val="24"/>
              <w:szCs w:val="24"/>
            </w:rPr>
            <w:fldChar w:fldCharType="separate"/>
          </w:r>
          <w:r w:rsidR="00850420" w:rsidRPr="005150F6">
            <w:rPr>
              <w:rFonts w:asciiTheme="majorBidi" w:hAnsiTheme="majorBidi" w:cstheme="majorBidi"/>
              <w:noProof/>
              <w:sz w:val="24"/>
              <w:szCs w:val="24"/>
            </w:rPr>
            <w:t xml:space="preserve"> (Kaur &amp; Bahl, 2014)</w:t>
          </w:r>
          <w:r w:rsidR="00850420" w:rsidRPr="005150F6">
            <w:rPr>
              <w:rFonts w:asciiTheme="majorBidi" w:hAnsiTheme="majorBidi" w:cstheme="majorBidi"/>
              <w:sz w:val="24"/>
              <w:szCs w:val="24"/>
            </w:rPr>
            <w:fldChar w:fldCharType="end"/>
          </w:r>
        </w:sdtContent>
      </w:sdt>
      <w:r w:rsidRPr="000E6C07">
        <w:rPr>
          <w:rFonts w:asciiTheme="majorBidi" w:hAnsiTheme="majorBidi" w:cstheme="majorBidi"/>
          <w:sz w:val="24"/>
          <w:szCs w:val="24"/>
        </w:rPr>
        <w:t xml:space="preserve">. </w:t>
      </w:r>
      <w:bookmarkStart w:id="133" w:name="_Hlk150882217"/>
      <w:r w:rsidRPr="000E6C07">
        <w:rPr>
          <w:rFonts w:asciiTheme="majorBidi" w:hAnsiTheme="majorBidi" w:cstheme="majorBidi"/>
          <w:sz w:val="24"/>
          <w:szCs w:val="24"/>
        </w:rPr>
        <w:t xml:space="preserve">Reliability is the total consistency of certain measures involved with the reproducibility and the overall </w:t>
      </w:r>
      <w:r>
        <w:rPr>
          <w:rFonts w:asciiTheme="majorBidi" w:hAnsiTheme="majorBidi" w:cstheme="majorBidi"/>
          <w:sz w:val="24"/>
          <w:szCs w:val="24"/>
        </w:rPr>
        <w:t xml:space="preserve">quality of </w:t>
      </w:r>
      <w:r w:rsidRPr="000E6C07">
        <w:rPr>
          <w:rFonts w:asciiTheme="majorBidi" w:hAnsiTheme="majorBidi" w:cstheme="majorBidi"/>
          <w:sz w:val="24"/>
          <w:szCs w:val="24"/>
        </w:rPr>
        <w:t>respondents</w:t>
      </w:r>
      <w:r>
        <w:rPr>
          <w:rFonts w:asciiTheme="majorBidi" w:hAnsiTheme="majorBidi" w:cstheme="majorBidi"/>
          <w:sz w:val="24"/>
          <w:szCs w:val="24"/>
        </w:rPr>
        <w:t>’</w:t>
      </w:r>
      <w:r w:rsidRPr="000E6C07">
        <w:rPr>
          <w:rFonts w:asciiTheme="majorBidi" w:hAnsiTheme="majorBidi" w:cstheme="majorBidi"/>
          <w:sz w:val="24"/>
          <w:szCs w:val="24"/>
        </w:rPr>
        <w:t xml:space="preserve"> performance</w:t>
      </w:r>
      <w:sdt>
        <w:sdtPr>
          <w:rPr>
            <w:rFonts w:asciiTheme="majorBidi" w:hAnsiTheme="majorBidi" w:cstheme="majorBidi"/>
            <w:sz w:val="24"/>
            <w:szCs w:val="24"/>
          </w:rPr>
          <w:id w:val="-47153682"/>
          <w:citation/>
        </w:sdtPr>
        <w:sdtContent>
          <w:r w:rsidRPr="000E6C07">
            <w:rPr>
              <w:rFonts w:asciiTheme="majorBidi" w:hAnsiTheme="majorBidi" w:cstheme="majorBidi"/>
              <w:sz w:val="24"/>
              <w:szCs w:val="24"/>
            </w:rPr>
            <w:fldChar w:fldCharType="begin"/>
          </w:r>
          <w:r w:rsidRPr="000E6C07">
            <w:rPr>
              <w:rFonts w:asciiTheme="majorBidi" w:hAnsiTheme="majorBidi" w:cstheme="majorBidi"/>
              <w:sz w:val="24"/>
              <w:szCs w:val="24"/>
            </w:rPr>
            <w:instrText xml:space="preserve"> CITATION ELH18 \l 2057 </w:instrText>
          </w:r>
          <w:r w:rsidRPr="000E6C07">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(EL Hajjar, 2018)</w:t>
          </w:r>
          <w:r w:rsidRPr="000E6C07">
            <w:rPr>
              <w:rFonts w:asciiTheme="majorBidi" w:hAnsiTheme="majorBidi" w:cstheme="majorBidi"/>
              <w:sz w:val="24"/>
              <w:szCs w:val="24"/>
            </w:rPr>
            <w:fldChar w:fldCharType="end"/>
          </w:r>
        </w:sdtContent>
      </w:sdt>
      <w:r w:rsidRPr="000E6C07">
        <w:rPr>
          <w:rFonts w:asciiTheme="majorBidi" w:hAnsiTheme="majorBidi" w:cstheme="majorBidi"/>
          <w:sz w:val="24"/>
          <w:szCs w:val="24"/>
        </w:rPr>
        <w:t xml:space="preserve">. </w:t>
      </w:r>
      <w:bookmarkEnd w:id="133"/>
      <w:r w:rsidRPr="000E6C07">
        <w:rPr>
          <w:rFonts w:asciiTheme="majorBidi" w:hAnsiTheme="majorBidi" w:cstheme="majorBidi"/>
          <w:sz w:val="24"/>
          <w:szCs w:val="24"/>
        </w:rPr>
        <w:t>Usually, this consistency is categori</w:t>
      </w:r>
      <w:r w:rsidR="00245841">
        <w:rPr>
          <w:rFonts w:asciiTheme="majorBidi" w:hAnsiTheme="majorBidi" w:cstheme="majorBidi"/>
          <w:sz w:val="24"/>
          <w:szCs w:val="24"/>
        </w:rPr>
        <w:t>s</w:t>
      </w:r>
      <w:r w:rsidRPr="000E6C07">
        <w:rPr>
          <w:rFonts w:asciiTheme="majorBidi" w:hAnsiTheme="majorBidi" w:cstheme="majorBidi"/>
          <w:sz w:val="24"/>
          <w:szCs w:val="24"/>
        </w:rPr>
        <w:t>ed in different forms like over-time, across items, and across different researchers’ consistency</w:t>
      </w:r>
      <w:sdt>
        <w:sdtPr>
          <w:rPr>
            <w:rFonts w:asciiTheme="majorBidi" w:hAnsiTheme="majorBidi" w:cstheme="majorBidi"/>
            <w:sz w:val="24"/>
            <w:szCs w:val="24"/>
          </w:rPr>
          <w:id w:val="-1601021788"/>
          <w:citation/>
        </w:sdtPr>
        <w:sdtContent>
          <w:r w:rsidRPr="000E6C07">
            <w:rPr>
              <w:rFonts w:asciiTheme="majorBidi" w:hAnsiTheme="majorBidi" w:cstheme="majorBidi"/>
              <w:sz w:val="24"/>
              <w:szCs w:val="24"/>
            </w:rPr>
            <w:fldChar w:fldCharType="begin"/>
          </w:r>
          <w:r w:rsidRPr="000E6C07">
            <w:rPr>
              <w:rFonts w:asciiTheme="majorBidi" w:hAnsiTheme="majorBidi" w:cstheme="majorBidi"/>
              <w:sz w:val="24"/>
              <w:szCs w:val="24"/>
            </w:rPr>
            <w:instrText xml:space="preserve"> CITATION Pri18 \l 2057 </w:instrText>
          </w:r>
          <w:r w:rsidRPr="000E6C07">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(Price, Jhangiani, Chiang, Leighton, &amp; Cuttler, 2018)</w:t>
          </w:r>
          <w:r w:rsidRPr="000E6C07">
            <w:rPr>
              <w:rFonts w:asciiTheme="majorBidi" w:hAnsiTheme="majorBidi" w:cstheme="majorBidi"/>
              <w:sz w:val="24"/>
              <w:szCs w:val="24"/>
            </w:rPr>
            <w:fldChar w:fldCharType="end"/>
          </w:r>
        </w:sdtContent>
      </w:sdt>
      <w:r w:rsidRPr="000E6C07">
        <w:rPr>
          <w:rFonts w:asciiTheme="majorBidi" w:hAnsiTheme="majorBidi" w:cstheme="majorBidi"/>
          <w:sz w:val="24"/>
          <w:szCs w:val="24"/>
        </w:rPr>
        <w:t xml:space="preserve">. </w:t>
      </w:r>
      <w:r>
        <w:rPr>
          <w:rFonts w:asciiTheme="majorBidi" w:hAnsiTheme="majorBidi" w:cstheme="majorBidi"/>
          <w:sz w:val="24"/>
          <w:szCs w:val="24"/>
        </w:rPr>
        <w:t xml:space="preserve">Generally, there are four main types of reliability </w:t>
      </w:r>
      <w:sdt>
        <w:sdtPr>
          <w:rPr>
            <w:rFonts w:asciiTheme="majorBidi" w:hAnsiTheme="majorBidi" w:cstheme="majorBidi"/>
            <w:sz w:val="24"/>
            <w:szCs w:val="24"/>
          </w:rPr>
          <w:id w:val="17177460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Kha211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(Khalil &amp; Farzan,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as summari</w:t>
      </w:r>
      <w:r w:rsidR="00727E91">
        <w:rPr>
          <w:rFonts w:asciiTheme="majorBidi" w:hAnsiTheme="majorBidi" w:cstheme="majorBidi"/>
          <w:sz w:val="24"/>
          <w:szCs w:val="24"/>
        </w:rPr>
        <w:t>se</w:t>
      </w:r>
      <w:r>
        <w:rPr>
          <w:rFonts w:asciiTheme="majorBidi" w:hAnsiTheme="majorBidi" w:cstheme="majorBidi"/>
          <w:sz w:val="24"/>
          <w:szCs w:val="24"/>
        </w:rPr>
        <w:t>d in table</w:t>
      </w:r>
      <w:r w:rsidR="00871484">
        <w:rPr>
          <w:rFonts w:asciiTheme="majorBidi" w:hAnsiTheme="majorBidi" w:cstheme="majorBidi"/>
          <w:sz w:val="24"/>
          <w:szCs w:val="24"/>
        </w:rPr>
        <w:t xml:space="preserve"> </w:t>
      </w:r>
      <w:r w:rsidR="00727E91">
        <w:rPr>
          <w:rFonts w:asciiTheme="majorBidi" w:hAnsiTheme="majorBidi" w:cstheme="majorBidi"/>
          <w:sz w:val="24"/>
          <w:szCs w:val="24"/>
        </w:rPr>
        <w:t>1</w:t>
      </w:r>
      <w:r w:rsidR="00C55386">
        <w:rPr>
          <w:rFonts w:asciiTheme="majorBidi" w:hAnsiTheme="majorBidi" w:cstheme="majorBidi"/>
          <w:sz w:val="24"/>
          <w:szCs w:val="24"/>
        </w:rPr>
        <w:t>2</w:t>
      </w:r>
      <w:r>
        <w:rPr>
          <w:rFonts w:asciiTheme="majorBidi" w:hAnsiTheme="majorBidi" w:cstheme="majorBidi"/>
          <w:sz w:val="24"/>
          <w:szCs w:val="24"/>
        </w:rPr>
        <w:t xml:space="preserve">. </w:t>
      </w:r>
      <w:r w:rsidRPr="005150F6">
        <w:rPr>
          <w:rFonts w:asciiTheme="majorBidi" w:hAnsiTheme="majorBidi" w:cstheme="majorBidi"/>
          <w:sz w:val="24"/>
          <w:szCs w:val="24"/>
        </w:rPr>
        <w:t xml:space="preserve">In this study, </w:t>
      </w:r>
      <w:r w:rsidR="00871484" w:rsidRPr="005150F6">
        <w:rPr>
          <w:rFonts w:asciiTheme="majorBidi" w:hAnsiTheme="majorBidi" w:cstheme="majorBidi"/>
          <w:sz w:val="24"/>
          <w:szCs w:val="24"/>
        </w:rPr>
        <w:t xml:space="preserve">the four main types of </w:t>
      </w:r>
      <w:r w:rsidRPr="005150F6">
        <w:rPr>
          <w:rFonts w:asciiTheme="majorBidi" w:hAnsiTheme="majorBidi" w:cstheme="majorBidi"/>
          <w:sz w:val="24"/>
          <w:szCs w:val="24"/>
        </w:rPr>
        <w:t xml:space="preserve">reliability </w:t>
      </w:r>
      <w:r w:rsidR="00871484" w:rsidRPr="005150F6">
        <w:rPr>
          <w:rFonts w:asciiTheme="majorBidi" w:hAnsiTheme="majorBidi" w:cstheme="majorBidi"/>
          <w:sz w:val="24"/>
          <w:szCs w:val="24"/>
        </w:rPr>
        <w:t>were</w:t>
      </w:r>
      <w:r w:rsidRPr="005150F6">
        <w:rPr>
          <w:rFonts w:asciiTheme="majorBidi" w:hAnsiTheme="majorBidi" w:cstheme="majorBidi"/>
          <w:sz w:val="24"/>
          <w:szCs w:val="24"/>
        </w:rPr>
        <w:t xml:space="preserve"> evaluated in terms of internal consistency based on Cronbach’s alpha </w:t>
      </w:r>
      <w:sdt>
        <w:sdtPr>
          <w:rPr>
            <w:rFonts w:asciiTheme="majorBidi" w:hAnsiTheme="majorBidi" w:cstheme="majorBidi"/>
            <w:sz w:val="24"/>
            <w:szCs w:val="24"/>
          </w:rPr>
          <w:id w:val="-206563285"/>
          <w:citation/>
        </w:sdtPr>
        <w:sdtContent>
          <w:r w:rsidRPr="005150F6">
            <w:rPr>
              <w:rFonts w:asciiTheme="majorBidi" w:hAnsiTheme="majorBidi" w:cstheme="majorBidi"/>
              <w:sz w:val="24"/>
              <w:szCs w:val="24"/>
            </w:rPr>
            <w:fldChar w:fldCharType="begin"/>
          </w:r>
          <w:r w:rsidRPr="005150F6">
            <w:rPr>
              <w:rFonts w:asciiTheme="majorBidi" w:hAnsiTheme="majorBidi" w:cstheme="majorBidi"/>
              <w:sz w:val="24"/>
              <w:szCs w:val="24"/>
            </w:rPr>
            <w:instrText xml:space="preserve"> CITATION Sch202 \l 2057 </w:instrText>
          </w:r>
          <w:r w:rsidRPr="005150F6">
            <w:rPr>
              <w:rFonts w:asciiTheme="majorBidi" w:hAnsiTheme="majorBidi" w:cstheme="majorBidi"/>
              <w:sz w:val="24"/>
              <w:szCs w:val="24"/>
            </w:rPr>
            <w:fldChar w:fldCharType="separate"/>
          </w:r>
          <w:r w:rsidRPr="005150F6">
            <w:rPr>
              <w:rFonts w:asciiTheme="majorBidi" w:hAnsiTheme="majorBidi" w:cstheme="majorBidi"/>
              <w:noProof/>
              <w:sz w:val="24"/>
              <w:szCs w:val="24"/>
            </w:rPr>
            <w:t>(Schaufeli , Desart , &amp; De Witte , 2020)</w:t>
          </w:r>
          <w:r w:rsidRPr="005150F6">
            <w:rPr>
              <w:rFonts w:asciiTheme="majorBidi" w:hAnsiTheme="majorBidi" w:cstheme="majorBidi"/>
              <w:sz w:val="24"/>
              <w:szCs w:val="24"/>
            </w:rPr>
            <w:fldChar w:fldCharType="end"/>
          </w:r>
        </w:sdtContent>
      </w:sdt>
      <w:r w:rsidRPr="005150F6">
        <w:rPr>
          <w:rFonts w:asciiTheme="majorBidi" w:hAnsiTheme="majorBidi" w:cstheme="majorBidi"/>
          <w:sz w:val="24"/>
          <w:szCs w:val="24"/>
        </w:rPr>
        <w:t>. I</w:t>
      </w:r>
      <w:r>
        <w:rPr>
          <w:rFonts w:asciiTheme="majorBidi" w:hAnsiTheme="majorBidi" w:cstheme="majorBidi"/>
          <w:sz w:val="24"/>
          <w:szCs w:val="24"/>
        </w:rPr>
        <w:t>nternal consistency test is usually applied to evaluate the overall quality of the data as it reflects the overall coherence of a scale’s components</w:t>
      </w:r>
      <w:sdt>
        <w:sdtPr>
          <w:rPr>
            <w:rFonts w:asciiTheme="majorBidi" w:hAnsiTheme="majorBidi" w:cstheme="majorBidi"/>
            <w:sz w:val="24"/>
            <w:szCs w:val="24"/>
          </w:rPr>
          <w:id w:val="-164110949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McC11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(McCrae, Kurtz, Yamagata, &amp; Terracciano, 2011)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348D91A9" w14:textId="77777777" w:rsidR="005150F6" w:rsidRDefault="005150F6">
      <w:r>
        <w:br w:type="page"/>
      </w:r>
    </w:p>
    <w:tbl>
      <w:tblPr>
        <w:tblStyle w:val="TableGrid"/>
        <w:tblW w:w="8079" w:type="dxa"/>
        <w:tblInd w:w="534" w:type="dxa"/>
        <w:tblLook w:val="04A0" w:firstRow="1" w:lastRow="0" w:firstColumn="1" w:lastColumn="0" w:noHBand="0" w:noVBand="1"/>
      </w:tblPr>
      <w:tblGrid>
        <w:gridCol w:w="1729"/>
        <w:gridCol w:w="6350"/>
      </w:tblGrid>
      <w:tr w:rsidR="007A225E" w:rsidRPr="00151ABA" w14:paraId="40CF45BD" w14:textId="77777777" w:rsidTr="00026112">
        <w:trPr>
          <w:trHeight w:val="325"/>
        </w:trPr>
        <w:tc>
          <w:tcPr>
            <w:tcW w:w="1729" w:type="dxa"/>
          </w:tcPr>
          <w:p w14:paraId="74986C64" w14:textId="144EF805" w:rsidR="007A225E" w:rsidRPr="00151ABA" w:rsidRDefault="007A225E" w:rsidP="00727E91">
            <w:pPr>
              <w:adjustRightInd w:val="0"/>
              <w:rPr>
                <w:rFonts w:asciiTheme="majorBidi" w:hAnsiTheme="majorBidi" w:cstheme="majorBidi"/>
                <w:sz w:val="20"/>
                <w:szCs w:val="20"/>
              </w:rPr>
            </w:pPr>
            <w:r w:rsidRPr="00151ABA">
              <w:rPr>
                <w:rFonts w:asciiTheme="majorBidi" w:hAnsiTheme="majorBidi" w:cstheme="majorBidi"/>
                <w:sz w:val="20"/>
                <w:szCs w:val="20"/>
              </w:rPr>
              <w:t xml:space="preserve">Type </w:t>
            </w:r>
          </w:p>
        </w:tc>
        <w:tc>
          <w:tcPr>
            <w:tcW w:w="6350" w:type="dxa"/>
          </w:tcPr>
          <w:p w14:paraId="1683292C" w14:textId="77777777" w:rsidR="007A225E" w:rsidRPr="00151ABA" w:rsidRDefault="007A225E" w:rsidP="00727E91">
            <w:pPr>
              <w:adjustRightInd w:val="0"/>
              <w:rPr>
                <w:rFonts w:asciiTheme="majorBidi" w:hAnsiTheme="majorBidi" w:cstheme="majorBidi"/>
                <w:sz w:val="20"/>
                <w:szCs w:val="20"/>
              </w:rPr>
            </w:pPr>
            <w:r w:rsidRPr="00151ABA">
              <w:rPr>
                <w:rFonts w:asciiTheme="majorBidi" w:hAnsiTheme="majorBidi" w:cstheme="majorBidi"/>
                <w:sz w:val="20"/>
                <w:szCs w:val="20"/>
              </w:rPr>
              <w:t xml:space="preserve">Description </w:t>
            </w:r>
          </w:p>
        </w:tc>
      </w:tr>
      <w:tr w:rsidR="007A225E" w:rsidRPr="00151ABA" w14:paraId="1A00577E" w14:textId="77777777" w:rsidTr="00026112">
        <w:trPr>
          <w:trHeight w:val="457"/>
        </w:trPr>
        <w:tc>
          <w:tcPr>
            <w:tcW w:w="1729" w:type="dxa"/>
          </w:tcPr>
          <w:p w14:paraId="6AB34BCF" w14:textId="77777777" w:rsidR="007A225E" w:rsidRPr="00151ABA" w:rsidRDefault="007A225E" w:rsidP="00953448">
            <w:pPr>
              <w:adjustRightInd w:val="0"/>
              <w:spacing w:line="480" w:lineRule="auto"/>
              <w:rPr>
                <w:rFonts w:asciiTheme="majorBidi" w:hAnsiTheme="majorBidi" w:cstheme="majorBidi"/>
                <w:sz w:val="20"/>
                <w:szCs w:val="20"/>
              </w:rPr>
            </w:pPr>
            <w:r w:rsidRPr="00151ABA">
              <w:rPr>
                <w:rFonts w:asciiTheme="majorBidi" w:hAnsiTheme="majorBidi" w:cstheme="majorBidi"/>
                <w:sz w:val="20"/>
                <w:szCs w:val="20"/>
              </w:rPr>
              <w:t>Inter-Rater</w:t>
            </w:r>
          </w:p>
        </w:tc>
        <w:tc>
          <w:tcPr>
            <w:tcW w:w="6350" w:type="dxa"/>
          </w:tcPr>
          <w:p w14:paraId="7B703078" w14:textId="402ADF5A" w:rsidR="007A225E" w:rsidRPr="00151ABA" w:rsidRDefault="007A225E" w:rsidP="00BF7A3F">
            <w:pPr>
              <w:adjustRightInd w:val="0"/>
              <w:rPr>
                <w:rFonts w:asciiTheme="majorBidi" w:hAnsiTheme="majorBidi" w:cstheme="majorBidi"/>
                <w:sz w:val="20"/>
                <w:szCs w:val="20"/>
              </w:rPr>
            </w:pPr>
            <w:r w:rsidRPr="00151ABA">
              <w:rPr>
                <w:rFonts w:asciiTheme="majorBidi" w:hAnsiTheme="majorBidi" w:cstheme="majorBidi"/>
                <w:sz w:val="20"/>
                <w:szCs w:val="20"/>
              </w:rPr>
              <w:t>Evaluates the consistency that different rates estimate the same results</w:t>
            </w:r>
            <w:sdt>
              <w:sdtPr>
                <w:rPr>
                  <w:rFonts w:asciiTheme="majorBidi" w:hAnsiTheme="majorBidi" w:cstheme="majorBidi"/>
                  <w:sz w:val="20"/>
                  <w:szCs w:val="20"/>
                </w:rPr>
                <w:id w:val="1797876333"/>
                <w:citation/>
              </w:sdtPr>
              <w:sdtContent>
                <w:r w:rsidRPr="00151ABA">
                  <w:rPr>
                    <w:rFonts w:asciiTheme="majorBidi" w:hAnsiTheme="majorBidi" w:cstheme="majorBidi"/>
                    <w:sz w:val="20"/>
                    <w:szCs w:val="20"/>
                  </w:rPr>
                  <w:fldChar w:fldCharType="begin"/>
                </w:r>
                <w:r w:rsidRPr="00151ABA">
                  <w:rPr>
                    <w:rFonts w:asciiTheme="majorBidi" w:hAnsiTheme="majorBidi" w:cstheme="majorBidi"/>
                    <w:sz w:val="20"/>
                    <w:szCs w:val="20"/>
                  </w:rPr>
                  <w:instrText xml:space="preserve"> CITATION Sho22 \l 2057 </w:instrText>
                </w:r>
                <w:r w:rsidRPr="00151ABA">
                  <w:rPr>
                    <w:rFonts w:asciiTheme="majorBidi" w:hAnsiTheme="majorBidi" w:cstheme="majorBidi"/>
                    <w:sz w:val="20"/>
                    <w:szCs w:val="20"/>
                  </w:rPr>
                  <w:fldChar w:fldCharType="separate"/>
                </w:r>
                <w:r w:rsidRPr="00151ABA">
                  <w:rPr>
                    <w:rFonts w:asciiTheme="majorBidi" w:hAnsiTheme="majorBidi" w:cstheme="majorBidi"/>
                    <w:noProof/>
                    <w:sz w:val="20"/>
                    <w:szCs w:val="20"/>
                  </w:rPr>
                  <w:t xml:space="preserve"> (Shou, Sellbom, &amp; Chen, 2022)</w:t>
                </w:r>
                <w:r w:rsidRPr="00151ABA">
                  <w:rPr>
                    <w:rFonts w:asciiTheme="majorBidi" w:hAnsiTheme="majorBidi" w:cstheme="majorBidi"/>
                    <w:sz w:val="20"/>
                    <w:szCs w:val="20"/>
                  </w:rPr>
                  <w:fldChar w:fldCharType="end"/>
                </w:r>
              </w:sdtContent>
            </w:sdt>
          </w:p>
        </w:tc>
      </w:tr>
      <w:tr w:rsidR="007A225E" w:rsidRPr="00151ABA" w14:paraId="17C1CFA3" w14:textId="77777777" w:rsidTr="00026112">
        <w:trPr>
          <w:trHeight w:val="498"/>
        </w:trPr>
        <w:tc>
          <w:tcPr>
            <w:tcW w:w="1729" w:type="dxa"/>
          </w:tcPr>
          <w:p w14:paraId="1A2945D5" w14:textId="77777777" w:rsidR="007A225E" w:rsidRPr="00151ABA" w:rsidRDefault="007A225E" w:rsidP="00953448">
            <w:pPr>
              <w:adjustRightInd w:val="0"/>
              <w:spacing w:line="480" w:lineRule="auto"/>
              <w:rPr>
                <w:rFonts w:asciiTheme="majorBidi" w:hAnsiTheme="majorBidi" w:cstheme="majorBidi"/>
                <w:sz w:val="20"/>
                <w:szCs w:val="20"/>
              </w:rPr>
            </w:pPr>
            <w:r w:rsidRPr="00151ABA">
              <w:rPr>
                <w:rFonts w:asciiTheme="majorBidi" w:hAnsiTheme="majorBidi" w:cstheme="majorBidi"/>
                <w:sz w:val="20"/>
                <w:szCs w:val="20"/>
              </w:rPr>
              <w:t xml:space="preserve">Test-Retest </w:t>
            </w:r>
          </w:p>
        </w:tc>
        <w:tc>
          <w:tcPr>
            <w:tcW w:w="6350" w:type="dxa"/>
          </w:tcPr>
          <w:p w14:paraId="3C68B3AD" w14:textId="0BE17270" w:rsidR="007A225E" w:rsidRPr="00151ABA" w:rsidRDefault="007A225E" w:rsidP="00BF7A3F">
            <w:pPr>
              <w:adjustRightInd w:val="0"/>
              <w:rPr>
                <w:rFonts w:asciiTheme="majorBidi" w:hAnsiTheme="majorBidi" w:cstheme="majorBidi"/>
                <w:sz w:val="20"/>
                <w:szCs w:val="20"/>
              </w:rPr>
            </w:pPr>
            <w:r w:rsidRPr="00151ABA">
              <w:rPr>
                <w:rFonts w:asciiTheme="majorBidi" w:hAnsiTheme="majorBidi" w:cstheme="majorBidi"/>
                <w:sz w:val="20"/>
                <w:szCs w:val="20"/>
              </w:rPr>
              <w:t xml:space="preserve"> Assesses the consistency of a measure from one time or researcher to another </w:t>
            </w:r>
            <w:sdt>
              <w:sdtPr>
                <w:rPr>
                  <w:rFonts w:asciiTheme="majorBidi" w:hAnsiTheme="majorBidi" w:cstheme="majorBidi"/>
                  <w:sz w:val="20"/>
                  <w:szCs w:val="20"/>
                </w:rPr>
                <w:id w:val="-747106801"/>
                <w:citation/>
              </w:sdtPr>
              <w:sdtContent>
                <w:r w:rsidRPr="00151ABA">
                  <w:rPr>
                    <w:rFonts w:asciiTheme="majorBidi" w:hAnsiTheme="majorBidi" w:cstheme="majorBidi"/>
                    <w:sz w:val="20"/>
                    <w:szCs w:val="20"/>
                  </w:rPr>
                  <w:fldChar w:fldCharType="begin"/>
                </w:r>
                <w:r w:rsidRPr="00151ABA">
                  <w:rPr>
                    <w:rFonts w:asciiTheme="majorBidi" w:hAnsiTheme="majorBidi" w:cstheme="majorBidi"/>
                    <w:sz w:val="20"/>
                    <w:szCs w:val="20"/>
                  </w:rPr>
                  <w:instrText xml:space="preserve"> CITATION Sho22 \l 2057 </w:instrText>
                </w:r>
                <w:r w:rsidRPr="00151ABA">
                  <w:rPr>
                    <w:rFonts w:asciiTheme="majorBidi" w:hAnsiTheme="majorBidi" w:cstheme="majorBidi"/>
                    <w:sz w:val="20"/>
                    <w:szCs w:val="20"/>
                  </w:rPr>
                  <w:fldChar w:fldCharType="separate"/>
                </w:r>
                <w:r w:rsidRPr="00151ABA">
                  <w:rPr>
                    <w:rFonts w:asciiTheme="majorBidi" w:hAnsiTheme="majorBidi" w:cstheme="majorBidi"/>
                    <w:noProof/>
                    <w:sz w:val="20"/>
                    <w:szCs w:val="20"/>
                  </w:rPr>
                  <w:t>(Shou, Sellbom, &amp; Chen, 2022)</w:t>
                </w:r>
                <w:r w:rsidRPr="00151ABA">
                  <w:rPr>
                    <w:rFonts w:asciiTheme="majorBidi" w:hAnsiTheme="majorBidi" w:cstheme="majorBidi"/>
                    <w:sz w:val="20"/>
                    <w:szCs w:val="20"/>
                  </w:rPr>
                  <w:fldChar w:fldCharType="end"/>
                </w:r>
              </w:sdtContent>
            </w:sdt>
          </w:p>
        </w:tc>
      </w:tr>
      <w:tr w:rsidR="007A225E" w:rsidRPr="00151ABA" w14:paraId="5377E54F" w14:textId="77777777" w:rsidTr="00026112">
        <w:trPr>
          <w:trHeight w:val="548"/>
        </w:trPr>
        <w:tc>
          <w:tcPr>
            <w:tcW w:w="1729" w:type="dxa"/>
          </w:tcPr>
          <w:p w14:paraId="01476740" w14:textId="77777777" w:rsidR="007A225E" w:rsidRPr="00151ABA" w:rsidRDefault="007A225E" w:rsidP="00953448">
            <w:pPr>
              <w:adjustRightInd w:val="0"/>
              <w:spacing w:line="480" w:lineRule="auto"/>
              <w:rPr>
                <w:rFonts w:asciiTheme="majorBidi" w:hAnsiTheme="majorBidi" w:cstheme="majorBidi"/>
                <w:sz w:val="20"/>
                <w:szCs w:val="20"/>
              </w:rPr>
            </w:pPr>
            <w:r w:rsidRPr="00151ABA">
              <w:rPr>
                <w:rFonts w:asciiTheme="majorBidi" w:hAnsiTheme="majorBidi" w:cstheme="majorBidi"/>
                <w:sz w:val="20"/>
                <w:szCs w:val="20"/>
              </w:rPr>
              <w:t xml:space="preserve">Parallel-Forms </w:t>
            </w:r>
          </w:p>
        </w:tc>
        <w:tc>
          <w:tcPr>
            <w:tcW w:w="6350" w:type="dxa"/>
          </w:tcPr>
          <w:p w14:paraId="2B50BD38" w14:textId="73BD0261" w:rsidR="007A225E" w:rsidRPr="00151ABA" w:rsidRDefault="007A225E" w:rsidP="00BF7A3F">
            <w:pPr>
              <w:adjustRightInd w:val="0"/>
              <w:rPr>
                <w:rFonts w:asciiTheme="majorBidi" w:hAnsiTheme="majorBidi" w:cstheme="majorBidi"/>
                <w:sz w:val="20"/>
                <w:szCs w:val="20"/>
              </w:rPr>
            </w:pPr>
            <w:r w:rsidRPr="00151ABA">
              <w:rPr>
                <w:color w:val="212529"/>
                <w:sz w:val="20"/>
                <w:szCs w:val="20"/>
                <w:shd w:val="clear" w:color="auto" w:fill="FFFFFF"/>
              </w:rPr>
              <w:t> </w:t>
            </w:r>
            <w:r w:rsidRPr="00151ABA">
              <w:rPr>
                <w:rFonts w:asciiTheme="majorBidi" w:hAnsiTheme="majorBidi" w:cstheme="majorBidi"/>
                <w:sz w:val="20"/>
                <w:szCs w:val="20"/>
              </w:rPr>
              <w:t>Measures various subsets of the same item universe that accurately capture the same property</w:t>
            </w:r>
            <w:sdt>
              <w:sdtPr>
                <w:rPr>
                  <w:rFonts w:asciiTheme="majorBidi" w:hAnsiTheme="majorBidi" w:cstheme="majorBidi"/>
                  <w:sz w:val="20"/>
                  <w:szCs w:val="20"/>
                </w:rPr>
                <w:id w:val="-1027011326"/>
                <w:citation/>
              </w:sdtPr>
              <w:sdtContent>
                <w:r w:rsidRPr="00151ABA">
                  <w:rPr>
                    <w:rFonts w:asciiTheme="majorBidi" w:hAnsiTheme="majorBidi" w:cstheme="majorBidi"/>
                    <w:sz w:val="20"/>
                    <w:szCs w:val="20"/>
                  </w:rPr>
                  <w:fldChar w:fldCharType="begin"/>
                </w:r>
                <w:r w:rsidRPr="00151ABA">
                  <w:rPr>
                    <w:rFonts w:asciiTheme="majorBidi" w:hAnsiTheme="majorBidi" w:cstheme="majorBidi"/>
                    <w:sz w:val="20"/>
                    <w:szCs w:val="20"/>
                  </w:rPr>
                  <w:instrText xml:space="preserve"> CITATION Hil17 \l 2057 </w:instrText>
                </w:r>
                <w:r w:rsidRPr="00151ABA">
                  <w:rPr>
                    <w:rFonts w:asciiTheme="majorBidi" w:hAnsiTheme="majorBidi" w:cstheme="majorBidi"/>
                    <w:sz w:val="20"/>
                    <w:szCs w:val="20"/>
                  </w:rPr>
                  <w:fldChar w:fldCharType="separate"/>
                </w:r>
                <w:r w:rsidRPr="00151ABA">
                  <w:rPr>
                    <w:rFonts w:asciiTheme="majorBidi" w:hAnsiTheme="majorBidi" w:cstheme="majorBidi"/>
                    <w:noProof/>
                    <w:sz w:val="20"/>
                    <w:szCs w:val="20"/>
                  </w:rPr>
                  <w:t xml:space="preserve"> (Hilger &amp; Beauducel , 2017)</w:t>
                </w:r>
                <w:r w:rsidRPr="00151ABA">
                  <w:rPr>
                    <w:rFonts w:asciiTheme="majorBidi" w:hAnsiTheme="majorBidi" w:cstheme="majorBidi"/>
                    <w:sz w:val="20"/>
                    <w:szCs w:val="20"/>
                  </w:rPr>
                  <w:fldChar w:fldCharType="end"/>
                </w:r>
              </w:sdtContent>
            </w:sdt>
          </w:p>
        </w:tc>
      </w:tr>
      <w:tr w:rsidR="007A225E" w:rsidRPr="00151ABA" w14:paraId="30A4909A" w14:textId="77777777" w:rsidTr="00026112">
        <w:trPr>
          <w:trHeight w:val="412"/>
        </w:trPr>
        <w:tc>
          <w:tcPr>
            <w:tcW w:w="1729" w:type="dxa"/>
          </w:tcPr>
          <w:p w14:paraId="39A4F67B" w14:textId="77777777" w:rsidR="007A225E" w:rsidRPr="00151ABA" w:rsidRDefault="007A225E" w:rsidP="00044DE9">
            <w:pPr>
              <w:adjustRightInd w:val="0"/>
              <w:rPr>
                <w:rFonts w:asciiTheme="majorBidi" w:hAnsiTheme="majorBidi" w:cstheme="majorBidi"/>
                <w:sz w:val="20"/>
                <w:szCs w:val="20"/>
              </w:rPr>
            </w:pPr>
            <w:r w:rsidRPr="00151ABA">
              <w:rPr>
                <w:rFonts w:asciiTheme="majorBidi" w:hAnsiTheme="majorBidi" w:cstheme="majorBidi"/>
                <w:sz w:val="20"/>
                <w:szCs w:val="20"/>
              </w:rPr>
              <w:t xml:space="preserve">Internal Consistency </w:t>
            </w:r>
          </w:p>
        </w:tc>
        <w:tc>
          <w:tcPr>
            <w:tcW w:w="6350" w:type="dxa"/>
          </w:tcPr>
          <w:p w14:paraId="0890A8B3" w14:textId="6516C891" w:rsidR="007A225E" w:rsidRPr="00151ABA" w:rsidRDefault="007A225E" w:rsidP="00044DE9">
            <w:pPr>
              <w:keepNext/>
              <w:adjustRightInd w:val="0"/>
              <w:rPr>
                <w:rFonts w:asciiTheme="majorBidi" w:hAnsiTheme="majorBidi" w:cstheme="majorBidi"/>
                <w:sz w:val="20"/>
                <w:szCs w:val="20"/>
              </w:rPr>
            </w:pPr>
            <w:r w:rsidRPr="00151ABA">
              <w:rPr>
                <w:rFonts w:asciiTheme="majorBidi" w:hAnsiTheme="majorBidi" w:cstheme="majorBidi"/>
                <w:sz w:val="20"/>
                <w:szCs w:val="20"/>
              </w:rPr>
              <w:t xml:space="preserve">Measures the consistency of outcomes across test items that measure the same construct </w:t>
            </w:r>
            <w:sdt>
              <w:sdtPr>
                <w:rPr>
                  <w:rFonts w:asciiTheme="majorBidi" w:hAnsiTheme="majorBidi" w:cstheme="majorBidi"/>
                  <w:sz w:val="20"/>
                  <w:szCs w:val="20"/>
                </w:rPr>
                <w:id w:val="143706204"/>
                <w:citation/>
              </w:sdtPr>
              <w:sdtContent>
                <w:r w:rsidRPr="00151ABA">
                  <w:rPr>
                    <w:rFonts w:asciiTheme="majorBidi" w:hAnsiTheme="majorBidi" w:cstheme="majorBidi"/>
                    <w:sz w:val="20"/>
                    <w:szCs w:val="20"/>
                  </w:rPr>
                  <w:fldChar w:fldCharType="begin"/>
                </w:r>
                <w:r w:rsidRPr="00151ABA">
                  <w:rPr>
                    <w:rFonts w:asciiTheme="majorBidi" w:hAnsiTheme="majorBidi" w:cstheme="majorBidi"/>
                    <w:sz w:val="20"/>
                    <w:szCs w:val="20"/>
                  </w:rPr>
                  <w:instrText xml:space="preserve"> CITATION Rev14 \l 2057 </w:instrText>
                </w:r>
                <w:r w:rsidRPr="00151ABA">
                  <w:rPr>
                    <w:rFonts w:asciiTheme="majorBidi" w:hAnsiTheme="majorBidi" w:cstheme="majorBidi"/>
                    <w:sz w:val="20"/>
                    <w:szCs w:val="20"/>
                  </w:rPr>
                  <w:fldChar w:fldCharType="separate"/>
                </w:r>
                <w:r w:rsidRPr="00151ABA">
                  <w:rPr>
                    <w:rFonts w:asciiTheme="majorBidi" w:hAnsiTheme="majorBidi" w:cstheme="majorBidi"/>
                    <w:noProof/>
                    <w:sz w:val="20"/>
                    <w:szCs w:val="20"/>
                  </w:rPr>
                  <w:t>(Revicki, 2014)</w:t>
                </w:r>
                <w:r w:rsidRPr="00151ABA">
                  <w:rPr>
                    <w:rFonts w:asciiTheme="majorBidi" w:hAnsiTheme="majorBidi" w:cstheme="majorBidi"/>
                    <w:sz w:val="20"/>
                    <w:szCs w:val="20"/>
                  </w:rPr>
                  <w:fldChar w:fldCharType="end"/>
                </w:r>
              </w:sdtContent>
            </w:sdt>
          </w:p>
        </w:tc>
      </w:tr>
    </w:tbl>
    <w:p w14:paraId="182343B5" w14:textId="7DD498CB" w:rsidR="00871484" w:rsidRDefault="00727E91" w:rsidP="00727E91">
      <w:pPr>
        <w:pStyle w:val="Caption"/>
        <w:rPr>
          <w:rFonts w:asciiTheme="majorBidi" w:hAnsiTheme="majorBidi" w:cstheme="majorBidi"/>
          <w:sz w:val="24"/>
          <w:szCs w:val="24"/>
        </w:rPr>
      </w:pPr>
      <w:r>
        <w:t>Table 1</w:t>
      </w:r>
      <w:r w:rsidR="00044DE9">
        <w:t>2</w:t>
      </w:r>
      <w:r>
        <w:t xml:space="preserve"> Summary of the main types of reliability </w:t>
      </w:r>
    </w:p>
    <w:p w14:paraId="3041FA19" w14:textId="269D152D" w:rsidR="007A225E" w:rsidRPr="00A321BD" w:rsidRDefault="007A225E" w:rsidP="006E435C">
      <w:pPr>
        <w:adjustRightInd w:val="0"/>
        <w:spacing w:after="0" w:line="480" w:lineRule="auto"/>
        <w:ind w:firstLine="720"/>
        <w:rPr>
          <w:rFonts w:asciiTheme="majorBidi" w:hAnsiTheme="majorBidi" w:cstheme="majorBidi"/>
          <w:sz w:val="24"/>
          <w:szCs w:val="24"/>
        </w:rPr>
      </w:pPr>
      <w:r w:rsidRPr="000E6C07">
        <w:rPr>
          <w:rFonts w:asciiTheme="majorBidi" w:hAnsiTheme="majorBidi" w:cstheme="majorBidi"/>
          <w:sz w:val="24"/>
          <w:szCs w:val="24"/>
        </w:rPr>
        <w:t>Yet, in some cases, certain measures can be extremely reliable but lack validity</w:t>
      </w:r>
      <w:sdt>
        <w:sdtPr>
          <w:rPr>
            <w:rFonts w:asciiTheme="majorBidi" w:hAnsiTheme="majorBidi" w:cstheme="majorBidi"/>
            <w:sz w:val="24"/>
            <w:szCs w:val="24"/>
          </w:rPr>
          <w:id w:val="-1279562387"/>
          <w:citation/>
        </w:sdtPr>
        <w:sdtContent>
          <w:r w:rsidR="009F4405">
            <w:rPr>
              <w:rFonts w:asciiTheme="majorBidi" w:hAnsiTheme="majorBidi" w:cstheme="majorBidi"/>
              <w:sz w:val="24"/>
              <w:szCs w:val="24"/>
            </w:rPr>
            <w:fldChar w:fldCharType="begin"/>
          </w:r>
          <w:r w:rsidR="009F4405">
            <w:rPr>
              <w:rFonts w:asciiTheme="majorBidi" w:hAnsiTheme="majorBidi" w:cstheme="majorBidi"/>
              <w:sz w:val="24"/>
              <w:szCs w:val="24"/>
            </w:rPr>
            <w:instrText xml:space="preserve"> CITATION Dro111 \l 2057 </w:instrText>
          </w:r>
          <w:r w:rsidR="009F4405">
            <w:rPr>
              <w:rFonts w:asciiTheme="majorBidi" w:hAnsiTheme="majorBidi" w:cstheme="majorBidi"/>
              <w:sz w:val="24"/>
              <w:szCs w:val="24"/>
            </w:rPr>
            <w:fldChar w:fldCharType="separate"/>
          </w:r>
          <w:r w:rsidR="009F4405">
            <w:rPr>
              <w:rFonts w:asciiTheme="majorBidi" w:hAnsiTheme="majorBidi" w:cstheme="majorBidi"/>
              <w:noProof/>
              <w:sz w:val="24"/>
              <w:szCs w:val="24"/>
            </w:rPr>
            <w:t xml:space="preserve"> </w:t>
          </w:r>
          <w:r w:rsidR="009F4405" w:rsidRPr="009F4405">
            <w:rPr>
              <w:rFonts w:asciiTheme="majorBidi" w:hAnsiTheme="majorBidi" w:cstheme="majorBidi"/>
              <w:noProof/>
              <w:sz w:val="24"/>
              <w:szCs w:val="24"/>
            </w:rPr>
            <w:t>(Drost E. A., 2011)</w:t>
          </w:r>
          <w:r w:rsidR="009F4405">
            <w:rPr>
              <w:rFonts w:asciiTheme="majorBidi" w:hAnsiTheme="majorBidi" w:cstheme="majorBidi"/>
              <w:sz w:val="24"/>
              <w:szCs w:val="24"/>
            </w:rPr>
            <w:fldChar w:fldCharType="end"/>
          </w:r>
        </w:sdtContent>
      </w:sdt>
      <w:r w:rsidR="009F4405">
        <w:rPr>
          <w:rFonts w:asciiTheme="majorBidi" w:hAnsiTheme="majorBidi" w:cstheme="majorBidi"/>
          <w:sz w:val="24"/>
          <w:szCs w:val="24"/>
        </w:rPr>
        <w:t>.</w:t>
      </w:r>
      <w:r w:rsidRPr="000E6C07">
        <w:rPr>
          <w:rFonts w:asciiTheme="majorBidi" w:hAnsiTheme="majorBidi" w:cstheme="majorBidi"/>
          <w:sz w:val="24"/>
          <w:szCs w:val="24"/>
        </w:rPr>
        <w:t xml:space="preserve"> </w:t>
      </w:r>
      <w:bookmarkStart w:id="134" w:name="_Hlk150875494"/>
      <w:r w:rsidRPr="000E6C07">
        <w:rPr>
          <w:rFonts w:asciiTheme="majorBidi" w:hAnsiTheme="majorBidi" w:cstheme="majorBidi"/>
          <w:sz w:val="24"/>
          <w:szCs w:val="24"/>
        </w:rPr>
        <w:t xml:space="preserve">Validity analysis demands </w:t>
      </w:r>
      <w:r w:rsidRPr="005150F6">
        <w:rPr>
          <w:rFonts w:asciiTheme="majorBidi" w:hAnsiTheme="majorBidi" w:cstheme="majorBidi"/>
          <w:sz w:val="24"/>
          <w:szCs w:val="24"/>
        </w:rPr>
        <w:t>more emphasis on the purpose of the results</w:t>
      </w:r>
      <w:r w:rsidRPr="000E6C07">
        <w:rPr>
          <w:rFonts w:asciiTheme="majorBidi" w:hAnsiTheme="majorBidi" w:cstheme="majorBidi"/>
          <w:sz w:val="24"/>
          <w:szCs w:val="24"/>
        </w:rPr>
        <w:t xml:space="preserve"> and the</w:t>
      </w:r>
      <w:r>
        <w:rPr>
          <w:rFonts w:asciiTheme="majorBidi" w:hAnsiTheme="majorBidi" w:cstheme="majorBidi"/>
          <w:sz w:val="24"/>
          <w:szCs w:val="24"/>
        </w:rPr>
        <w:t xml:space="preserve"> accuracy</w:t>
      </w:r>
      <w:r w:rsidRPr="000E6C07">
        <w:rPr>
          <w:rFonts w:asciiTheme="majorBidi" w:hAnsiTheme="majorBidi" w:cstheme="majorBidi"/>
          <w:sz w:val="24"/>
          <w:szCs w:val="24"/>
        </w:rPr>
        <w:t xml:space="preserve"> </w:t>
      </w:r>
      <w:r>
        <w:rPr>
          <w:rFonts w:asciiTheme="majorBidi" w:hAnsiTheme="majorBidi" w:cstheme="majorBidi"/>
          <w:sz w:val="24"/>
          <w:szCs w:val="24"/>
        </w:rPr>
        <w:t>in which</w:t>
      </w:r>
      <w:r w:rsidRPr="000E6C07">
        <w:rPr>
          <w:rFonts w:asciiTheme="majorBidi" w:hAnsiTheme="majorBidi" w:cstheme="majorBidi"/>
          <w:sz w:val="24"/>
          <w:szCs w:val="24"/>
        </w:rPr>
        <w:t xml:space="preserve"> the results achieve</w:t>
      </w:r>
      <w:r>
        <w:rPr>
          <w:rFonts w:asciiTheme="majorBidi" w:hAnsiTheme="majorBidi" w:cstheme="majorBidi"/>
          <w:sz w:val="24"/>
          <w:szCs w:val="24"/>
        </w:rPr>
        <w:t xml:space="preserve"> the purpose</w:t>
      </w:r>
      <w:sdt>
        <w:sdtPr>
          <w:rPr>
            <w:rFonts w:asciiTheme="majorBidi" w:hAnsiTheme="majorBidi" w:cstheme="majorBidi"/>
            <w:sz w:val="24"/>
            <w:szCs w:val="24"/>
          </w:rPr>
          <w:id w:val="2063595042"/>
          <w:citation/>
        </w:sdtPr>
        <w:sdtContent>
          <w:r w:rsidRPr="000E6C07">
            <w:rPr>
              <w:rFonts w:asciiTheme="majorBidi" w:hAnsiTheme="majorBidi" w:cstheme="majorBidi"/>
              <w:sz w:val="24"/>
              <w:szCs w:val="24"/>
            </w:rPr>
            <w:fldChar w:fldCharType="begin"/>
          </w:r>
          <w:r>
            <w:rPr>
              <w:rFonts w:asciiTheme="majorBidi" w:hAnsiTheme="majorBidi" w:cstheme="majorBidi"/>
              <w:sz w:val="24"/>
              <w:szCs w:val="24"/>
            </w:rPr>
            <w:instrText xml:space="preserve">CITATION ELH18 \m Mid221 \t  \l 2057 </w:instrText>
          </w:r>
          <w:r w:rsidRPr="000E6C07">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(EL Hajjar, 2018; Middleton, 2022)</w:t>
          </w:r>
          <w:r w:rsidRPr="000E6C07">
            <w:rPr>
              <w:rFonts w:asciiTheme="majorBidi" w:hAnsiTheme="majorBidi" w:cstheme="majorBidi"/>
              <w:sz w:val="24"/>
              <w:szCs w:val="24"/>
            </w:rPr>
            <w:fldChar w:fldCharType="end"/>
          </w:r>
        </w:sdtContent>
      </w:sdt>
      <w:r w:rsidRPr="000E6C07">
        <w:rPr>
          <w:rFonts w:asciiTheme="majorBidi" w:hAnsiTheme="majorBidi" w:cstheme="majorBidi"/>
          <w:sz w:val="24"/>
          <w:szCs w:val="24"/>
        </w:rPr>
        <w:t>.</w:t>
      </w:r>
      <w:bookmarkEnd w:id="134"/>
      <w:r w:rsidRPr="000E6C07">
        <w:rPr>
          <w:rFonts w:asciiTheme="majorBidi" w:hAnsiTheme="majorBidi" w:cstheme="majorBidi"/>
          <w:sz w:val="24"/>
          <w:szCs w:val="24"/>
        </w:rPr>
        <w:t xml:space="preserve">  </w:t>
      </w:r>
      <w:r>
        <w:rPr>
          <w:rFonts w:asciiTheme="majorBidi" w:hAnsiTheme="majorBidi" w:cstheme="majorBidi"/>
          <w:sz w:val="24"/>
          <w:szCs w:val="24"/>
        </w:rPr>
        <w:t xml:space="preserve">There are several types of validity that are summarised in the below table. </w:t>
      </w:r>
    </w:p>
    <w:tbl>
      <w:tblPr>
        <w:tblStyle w:val="TableGrid"/>
        <w:tblpPr w:leftFromText="180" w:rightFromText="180" w:vertAnchor="text" w:horzAnchor="page" w:tblpX="2023" w:tblpY="30"/>
        <w:tblW w:w="8046" w:type="dxa"/>
        <w:tblLook w:val="04A0" w:firstRow="1" w:lastRow="0" w:firstColumn="1" w:lastColumn="0" w:noHBand="0" w:noVBand="1"/>
      </w:tblPr>
      <w:tblGrid>
        <w:gridCol w:w="1261"/>
        <w:gridCol w:w="6785"/>
      </w:tblGrid>
      <w:tr w:rsidR="009F4405" w:rsidRPr="004758DC" w14:paraId="4B65F85C" w14:textId="77777777" w:rsidTr="00026112">
        <w:tc>
          <w:tcPr>
            <w:tcW w:w="1261" w:type="dxa"/>
          </w:tcPr>
          <w:p w14:paraId="64A279D1"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Type</w:t>
            </w:r>
          </w:p>
        </w:tc>
        <w:tc>
          <w:tcPr>
            <w:tcW w:w="6785" w:type="dxa"/>
          </w:tcPr>
          <w:p w14:paraId="48284182"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 xml:space="preserve">Description </w:t>
            </w:r>
          </w:p>
        </w:tc>
      </w:tr>
      <w:tr w:rsidR="009F4405" w:rsidRPr="004758DC" w14:paraId="59558EF7" w14:textId="77777777" w:rsidTr="00026112">
        <w:tc>
          <w:tcPr>
            <w:tcW w:w="1261" w:type="dxa"/>
          </w:tcPr>
          <w:p w14:paraId="21F5BCFD"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Construct Validity</w:t>
            </w:r>
          </w:p>
        </w:tc>
        <w:tc>
          <w:tcPr>
            <w:tcW w:w="6785" w:type="dxa"/>
          </w:tcPr>
          <w:p w14:paraId="6B5FE809"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 xml:space="preserve">It alludes to proof that the questionnaire is suitable for the specific purpose of the study was designed. The targeted population must be appropriate for both the conceptual domains and the items </w:t>
            </w:r>
            <w:sdt>
              <w:sdtPr>
                <w:rPr>
                  <w:rFonts w:asciiTheme="majorBidi" w:hAnsiTheme="majorBidi" w:cstheme="majorBidi"/>
                  <w:sz w:val="20"/>
                  <w:szCs w:val="20"/>
                </w:rPr>
                <w:id w:val="1770430953"/>
                <w:citation/>
              </w:sdtPr>
              <w:sdtContent>
                <w:r w:rsidRPr="004758DC">
                  <w:rPr>
                    <w:rFonts w:asciiTheme="majorBidi" w:hAnsiTheme="majorBidi" w:cstheme="majorBidi"/>
                    <w:sz w:val="20"/>
                    <w:szCs w:val="20"/>
                  </w:rPr>
                  <w:fldChar w:fldCharType="begin"/>
                </w:r>
                <w:r w:rsidRPr="004758DC">
                  <w:rPr>
                    <w:rFonts w:asciiTheme="majorBidi" w:hAnsiTheme="majorBidi" w:cstheme="majorBidi"/>
                    <w:sz w:val="20"/>
                    <w:szCs w:val="20"/>
                  </w:rPr>
                  <w:instrText xml:space="preserve"> CITATION Lec19 \l 2057 </w:instrText>
                </w:r>
                <w:r w:rsidRPr="004758DC">
                  <w:rPr>
                    <w:rFonts w:asciiTheme="majorBidi" w:hAnsiTheme="majorBidi" w:cstheme="majorBidi"/>
                    <w:sz w:val="20"/>
                    <w:szCs w:val="20"/>
                  </w:rPr>
                  <w:fldChar w:fldCharType="separate"/>
                </w:r>
                <w:r w:rsidRPr="004758DC">
                  <w:rPr>
                    <w:rFonts w:asciiTheme="majorBidi" w:hAnsiTheme="majorBidi" w:cstheme="majorBidi"/>
                    <w:noProof/>
                    <w:sz w:val="20"/>
                    <w:szCs w:val="20"/>
                  </w:rPr>
                  <w:t>(Lechien, et al., 2019)</w:t>
                </w:r>
                <w:r w:rsidRPr="004758DC">
                  <w:rPr>
                    <w:rFonts w:asciiTheme="majorBidi" w:hAnsiTheme="majorBidi" w:cstheme="majorBidi"/>
                    <w:sz w:val="20"/>
                    <w:szCs w:val="20"/>
                  </w:rPr>
                  <w:fldChar w:fldCharType="end"/>
                </w:r>
              </w:sdtContent>
            </w:sdt>
            <w:r w:rsidRPr="004758DC">
              <w:rPr>
                <w:rFonts w:asciiTheme="majorBidi" w:hAnsiTheme="majorBidi" w:cstheme="majorBidi"/>
                <w:sz w:val="20"/>
                <w:szCs w:val="20"/>
              </w:rPr>
              <w:t>.</w:t>
            </w:r>
          </w:p>
        </w:tc>
      </w:tr>
      <w:tr w:rsidR="009F4405" w:rsidRPr="004758DC" w14:paraId="0F1988E2" w14:textId="77777777" w:rsidTr="00026112">
        <w:tc>
          <w:tcPr>
            <w:tcW w:w="1261" w:type="dxa"/>
          </w:tcPr>
          <w:p w14:paraId="425A7093"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 xml:space="preserve">Factorial Validity </w:t>
            </w:r>
          </w:p>
        </w:tc>
        <w:tc>
          <w:tcPr>
            <w:tcW w:w="6785" w:type="dxa"/>
          </w:tcPr>
          <w:p w14:paraId="229D7EE3"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 xml:space="preserve">Measures the degree to which the covariance of evaluated qualities reflects the real covariation of the observed behaviours </w:t>
            </w:r>
            <w:sdt>
              <w:sdtPr>
                <w:rPr>
                  <w:rFonts w:asciiTheme="majorBidi" w:hAnsiTheme="majorBidi" w:cstheme="majorBidi"/>
                  <w:sz w:val="20"/>
                  <w:szCs w:val="20"/>
                </w:rPr>
                <w:id w:val="681248174"/>
                <w:citation/>
              </w:sdtPr>
              <w:sdtContent>
                <w:r w:rsidRPr="004758DC">
                  <w:rPr>
                    <w:rFonts w:asciiTheme="majorBidi" w:hAnsiTheme="majorBidi" w:cstheme="majorBidi"/>
                    <w:sz w:val="20"/>
                    <w:szCs w:val="20"/>
                  </w:rPr>
                  <w:fldChar w:fldCharType="begin"/>
                </w:r>
                <w:r w:rsidRPr="004758DC">
                  <w:rPr>
                    <w:rFonts w:asciiTheme="majorBidi" w:hAnsiTheme="majorBidi" w:cstheme="majorBidi"/>
                    <w:sz w:val="20"/>
                    <w:szCs w:val="20"/>
                  </w:rPr>
                  <w:instrText xml:space="preserve"> CITATION Luo21 \l 2057 </w:instrText>
                </w:r>
                <w:r w:rsidRPr="004758DC">
                  <w:rPr>
                    <w:rFonts w:asciiTheme="majorBidi" w:hAnsiTheme="majorBidi" w:cstheme="majorBidi"/>
                    <w:sz w:val="20"/>
                    <w:szCs w:val="20"/>
                  </w:rPr>
                  <w:fldChar w:fldCharType="separate"/>
                </w:r>
                <w:r w:rsidRPr="004758DC">
                  <w:rPr>
                    <w:rFonts w:asciiTheme="majorBidi" w:hAnsiTheme="majorBidi" w:cstheme="majorBidi"/>
                    <w:noProof/>
                    <w:sz w:val="20"/>
                    <w:szCs w:val="20"/>
                  </w:rPr>
                  <w:t>(Luo, et al., 2021)</w:t>
                </w:r>
                <w:r w:rsidRPr="004758DC">
                  <w:rPr>
                    <w:rFonts w:asciiTheme="majorBidi" w:hAnsiTheme="majorBidi" w:cstheme="majorBidi"/>
                    <w:sz w:val="20"/>
                    <w:szCs w:val="20"/>
                  </w:rPr>
                  <w:fldChar w:fldCharType="end"/>
                </w:r>
              </w:sdtContent>
            </w:sdt>
            <w:r w:rsidRPr="004758DC">
              <w:rPr>
                <w:rFonts w:asciiTheme="majorBidi" w:hAnsiTheme="majorBidi" w:cstheme="majorBidi"/>
                <w:sz w:val="20"/>
                <w:szCs w:val="20"/>
              </w:rPr>
              <w:t>.</w:t>
            </w:r>
          </w:p>
        </w:tc>
      </w:tr>
      <w:tr w:rsidR="009F4405" w:rsidRPr="004758DC" w14:paraId="0739B6EA" w14:textId="77777777" w:rsidTr="00026112">
        <w:tc>
          <w:tcPr>
            <w:tcW w:w="1261" w:type="dxa"/>
          </w:tcPr>
          <w:p w14:paraId="61A50557"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Convergent Validity</w:t>
            </w:r>
          </w:p>
        </w:tc>
        <w:tc>
          <w:tcPr>
            <w:tcW w:w="6785" w:type="dxa"/>
          </w:tcPr>
          <w:p w14:paraId="12CAC023"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 xml:space="preserve">Refers to the degree of correlation between the variables measuring the same construct </w:t>
            </w:r>
            <w:sdt>
              <w:sdtPr>
                <w:rPr>
                  <w:rFonts w:asciiTheme="majorBidi" w:hAnsiTheme="majorBidi" w:cstheme="majorBidi"/>
                  <w:color w:val="222222"/>
                  <w:sz w:val="20"/>
                  <w:szCs w:val="20"/>
                  <w:shd w:val="clear" w:color="auto" w:fill="FFFFFF"/>
                </w:rPr>
                <w:id w:val="-815329246"/>
                <w:citation/>
              </w:sdtPr>
              <w:sdtContent>
                <w:r w:rsidRPr="004758DC">
                  <w:rPr>
                    <w:rFonts w:asciiTheme="majorBidi" w:hAnsiTheme="majorBidi" w:cstheme="majorBidi"/>
                    <w:color w:val="222222"/>
                    <w:sz w:val="20"/>
                    <w:szCs w:val="20"/>
                    <w:shd w:val="clear" w:color="auto" w:fill="FFFFFF"/>
                  </w:rPr>
                  <w:fldChar w:fldCharType="begin"/>
                </w:r>
                <w:r w:rsidRPr="004758DC">
                  <w:rPr>
                    <w:rFonts w:asciiTheme="majorBidi" w:hAnsiTheme="majorBidi" w:cstheme="majorBidi"/>
                    <w:color w:val="222222"/>
                    <w:sz w:val="20"/>
                    <w:szCs w:val="20"/>
                    <w:shd w:val="clear" w:color="auto" w:fill="FFFFFF"/>
                  </w:rPr>
                  <w:instrText xml:space="preserve"> CITATION Lec19 \l 2057 </w:instrText>
                </w:r>
                <w:r w:rsidRPr="004758DC">
                  <w:rPr>
                    <w:rFonts w:asciiTheme="majorBidi" w:hAnsiTheme="majorBidi" w:cstheme="majorBidi"/>
                    <w:color w:val="222222"/>
                    <w:sz w:val="20"/>
                    <w:szCs w:val="20"/>
                    <w:shd w:val="clear" w:color="auto" w:fill="FFFFFF"/>
                  </w:rPr>
                  <w:fldChar w:fldCharType="separate"/>
                </w:r>
                <w:r w:rsidRPr="004758DC">
                  <w:rPr>
                    <w:rFonts w:asciiTheme="majorBidi" w:hAnsiTheme="majorBidi" w:cstheme="majorBidi"/>
                    <w:noProof/>
                    <w:color w:val="222222"/>
                    <w:sz w:val="20"/>
                    <w:szCs w:val="20"/>
                    <w:shd w:val="clear" w:color="auto" w:fill="FFFFFF"/>
                  </w:rPr>
                  <w:t>(Lechien, et al., 2019)</w:t>
                </w:r>
                <w:r w:rsidRPr="004758DC">
                  <w:rPr>
                    <w:rFonts w:asciiTheme="majorBidi" w:hAnsiTheme="majorBidi" w:cstheme="majorBidi"/>
                    <w:color w:val="222222"/>
                    <w:sz w:val="20"/>
                    <w:szCs w:val="20"/>
                    <w:shd w:val="clear" w:color="auto" w:fill="FFFFFF"/>
                  </w:rPr>
                  <w:fldChar w:fldCharType="end"/>
                </w:r>
              </w:sdtContent>
            </w:sdt>
            <w:r w:rsidRPr="004758DC">
              <w:rPr>
                <w:rFonts w:asciiTheme="majorBidi" w:hAnsiTheme="majorBidi" w:cstheme="majorBidi"/>
                <w:color w:val="222222"/>
                <w:sz w:val="20"/>
                <w:szCs w:val="20"/>
                <w:shd w:val="clear" w:color="auto" w:fill="FFFFFF"/>
              </w:rPr>
              <w:t>.</w:t>
            </w:r>
          </w:p>
        </w:tc>
      </w:tr>
      <w:tr w:rsidR="009F4405" w:rsidRPr="004758DC" w14:paraId="07AEBB56" w14:textId="77777777" w:rsidTr="00026112">
        <w:tc>
          <w:tcPr>
            <w:tcW w:w="1261" w:type="dxa"/>
          </w:tcPr>
          <w:p w14:paraId="4C2AEB53"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Discriminant Validity</w:t>
            </w:r>
          </w:p>
        </w:tc>
        <w:tc>
          <w:tcPr>
            <w:tcW w:w="6785" w:type="dxa"/>
          </w:tcPr>
          <w:p w14:paraId="2592B176"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 xml:space="preserve">Measures the degree in which two constructs are empirically distinguished from each other </w:t>
            </w:r>
            <w:sdt>
              <w:sdtPr>
                <w:rPr>
                  <w:rFonts w:asciiTheme="majorBidi" w:hAnsiTheme="majorBidi" w:cstheme="majorBidi"/>
                  <w:sz w:val="20"/>
                  <w:szCs w:val="20"/>
                </w:rPr>
                <w:id w:val="1686785799"/>
                <w:citation/>
              </w:sdtPr>
              <w:sdtContent>
                <w:r w:rsidRPr="004758DC">
                  <w:rPr>
                    <w:rFonts w:asciiTheme="majorBidi" w:hAnsiTheme="majorBidi" w:cstheme="majorBidi"/>
                    <w:sz w:val="20"/>
                    <w:szCs w:val="20"/>
                  </w:rPr>
                  <w:fldChar w:fldCharType="begin"/>
                </w:r>
                <w:r w:rsidRPr="004758DC">
                  <w:rPr>
                    <w:rFonts w:asciiTheme="majorBidi" w:hAnsiTheme="majorBidi" w:cstheme="majorBidi"/>
                    <w:sz w:val="20"/>
                    <w:szCs w:val="20"/>
                  </w:rPr>
                  <w:instrText xml:space="preserve"> CITATION HuJ15 \l 2057 </w:instrText>
                </w:r>
                <w:r w:rsidRPr="004758DC">
                  <w:rPr>
                    <w:rFonts w:asciiTheme="majorBidi" w:hAnsiTheme="majorBidi" w:cstheme="majorBidi"/>
                    <w:sz w:val="20"/>
                    <w:szCs w:val="20"/>
                  </w:rPr>
                  <w:fldChar w:fldCharType="separate"/>
                </w:r>
                <w:r w:rsidRPr="004758DC">
                  <w:rPr>
                    <w:rFonts w:asciiTheme="majorBidi" w:hAnsiTheme="majorBidi" w:cstheme="majorBidi"/>
                    <w:noProof/>
                    <w:sz w:val="20"/>
                    <w:szCs w:val="20"/>
                  </w:rPr>
                  <w:t>(Hu &amp; Liden, 2015)</w:t>
                </w:r>
                <w:r w:rsidRPr="004758DC">
                  <w:rPr>
                    <w:rFonts w:asciiTheme="majorBidi" w:hAnsiTheme="majorBidi" w:cstheme="majorBidi"/>
                    <w:sz w:val="20"/>
                    <w:szCs w:val="20"/>
                  </w:rPr>
                  <w:fldChar w:fldCharType="end"/>
                </w:r>
              </w:sdtContent>
            </w:sdt>
            <w:r w:rsidRPr="004758DC">
              <w:rPr>
                <w:rFonts w:asciiTheme="majorBidi" w:hAnsiTheme="majorBidi" w:cstheme="majorBidi"/>
                <w:sz w:val="20"/>
                <w:szCs w:val="20"/>
              </w:rPr>
              <w:t>.</w:t>
            </w:r>
          </w:p>
        </w:tc>
      </w:tr>
      <w:tr w:rsidR="009F4405" w:rsidRPr="004758DC" w14:paraId="2ACD88C3" w14:textId="77777777" w:rsidTr="00026112">
        <w:tc>
          <w:tcPr>
            <w:tcW w:w="1261" w:type="dxa"/>
          </w:tcPr>
          <w:p w14:paraId="55557FF3"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Content Validity</w:t>
            </w:r>
          </w:p>
        </w:tc>
        <w:tc>
          <w:tcPr>
            <w:tcW w:w="6785" w:type="dxa"/>
          </w:tcPr>
          <w:p w14:paraId="4C1A5F79"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 xml:space="preserve">Refers to whether the questionnaire assesses the theoretical constructs or traits that are intended to be measured, which has a direct impact on the suitability of the measurement-based inferences </w:t>
            </w:r>
            <w:sdt>
              <w:sdtPr>
                <w:rPr>
                  <w:rFonts w:asciiTheme="majorBidi" w:hAnsiTheme="majorBidi" w:cstheme="majorBidi"/>
                  <w:color w:val="222222"/>
                  <w:sz w:val="20"/>
                  <w:szCs w:val="20"/>
                  <w:shd w:val="clear" w:color="auto" w:fill="FFFFFF"/>
                </w:rPr>
                <w:id w:val="-1916923143"/>
                <w:citation/>
              </w:sdtPr>
              <w:sdtContent>
                <w:r w:rsidRPr="004758DC">
                  <w:rPr>
                    <w:rFonts w:asciiTheme="majorBidi" w:hAnsiTheme="majorBidi" w:cstheme="majorBidi"/>
                    <w:color w:val="222222"/>
                    <w:sz w:val="20"/>
                    <w:szCs w:val="20"/>
                    <w:shd w:val="clear" w:color="auto" w:fill="FFFFFF"/>
                  </w:rPr>
                  <w:fldChar w:fldCharType="begin"/>
                </w:r>
                <w:r w:rsidRPr="004758DC">
                  <w:rPr>
                    <w:rFonts w:asciiTheme="majorBidi" w:hAnsiTheme="majorBidi" w:cstheme="majorBidi"/>
                    <w:color w:val="222222"/>
                    <w:sz w:val="20"/>
                    <w:szCs w:val="20"/>
                    <w:shd w:val="clear" w:color="auto" w:fill="FFFFFF"/>
                  </w:rPr>
                  <w:instrText xml:space="preserve"> CITATION Lec19 \l 2057 </w:instrText>
                </w:r>
                <w:r w:rsidRPr="004758DC">
                  <w:rPr>
                    <w:rFonts w:asciiTheme="majorBidi" w:hAnsiTheme="majorBidi" w:cstheme="majorBidi"/>
                    <w:color w:val="222222"/>
                    <w:sz w:val="20"/>
                    <w:szCs w:val="20"/>
                    <w:shd w:val="clear" w:color="auto" w:fill="FFFFFF"/>
                  </w:rPr>
                  <w:fldChar w:fldCharType="separate"/>
                </w:r>
                <w:r w:rsidRPr="004758DC">
                  <w:rPr>
                    <w:rFonts w:asciiTheme="majorBidi" w:hAnsiTheme="majorBidi" w:cstheme="majorBidi"/>
                    <w:noProof/>
                    <w:color w:val="222222"/>
                    <w:sz w:val="20"/>
                    <w:szCs w:val="20"/>
                    <w:shd w:val="clear" w:color="auto" w:fill="FFFFFF"/>
                  </w:rPr>
                  <w:t>(Lechien, et al., 2019)</w:t>
                </w:r>
                <w:r w:rsidRPr="004758DC">
                  <w:rPr>
                    <w:rFonts w:asciiTheme="majorBidi" w:hAnsiTheme="majorBidi" w:cstheme="majorBidi"/>
                    <w:color w:val="222222"/>
                    <w:sz w:val="20"/>
                    <w:szCs w:val="20"/>
                    <w:shd w:val="clear" w:color="auto" w:fill="FFFFFF"/>
                  </w:rPr>
                  <w:fldChar w:fldCharType="end"/>
                </w:r>
              </w:sdtContent>
            </w:sdt>
            <w:r w:rsidRPr="004758DC">
              <w:rPr>
                <w:rFonts w:asciiTheme="majorBidi" w:hAnsiTheme="majorBidi" w:cstheme="majorBidi"/>
                <w:color w:val="222222"/>
                <w:sz w:val="20"/>
                <w:szCs w:val="20"/>
                <w:shd w:val="clear" w:color="auto" w:fill="FFFFFF"/>
              </w:rPr>
              <w:t>.</w:t>
            </w:r>
          </w:p>
        </w:tc>
      </w:tr>
      <w:tr w:rsidR="009F4405" w:rsidRPr="004758DC" w14:paraId="0009C08F" w14:textId="77777777" w:rsidTr="00026112">
        <w:tc>
          <w:tcPr>
            <w:tcW w:w="1261" w:type="dxa"/>
          </w:tcPr>
          <w:p w14:paraId="2A047895" w14:textId="77777777" w:rsidR="009F4405" w:rsidRPr="004758DC" w:rsidRDefault="009F4405" w:rsidP="00026112">
            <w:pPr>
              <w:adjustRightInd w:val="0"/>
              <w:rPr>
                <w:rFonts w:asciiTheme="majorBidi" w:hAnsiTheme="majorBidi" w:cstheme="majorBidi"/>
                <w:sz w:val="20"/>
                <w:szCs w:val="20"/>
              </w:rPr>
            </w:pPr>
            <w:r w:rsidRPr="004758DC">
              <w:rPr>
                <w:rFonts w:asciiTheme="majorBidi" w:hAnsiTheme="majorBidi" w:cstheme="majorBidi"/>
                <w:sz w:val="20"/>
                <w:szCs w:val="20"/>
              </w:rPr>
              <w:t>Processual validity</w:t>
            </w:r>
          </w:p>
        </w:tc>
        <w:tc>
          <w:tcPr>
            <w:tcW w:w="6785" w:type="dxa"/>
          </w:tcPr>
          <w:p w14:paraId="0892BA82" w14:textId="77777777" w:rsidR="009F4405" w:rsidRPr="004758DC" w:rsidRDefault="009F4405" w:rsidP="00026112">
            <w:pPr>
              <w:keepNext/>
              <w:adjustRightInd w:val="0"/>
              <w:rPr>
                <w:rFonts w:asciiTheme="majorBidi" w:hAnsiTheme="majorBidi" w:cstheme="majorBidi"/>
                <w:sz w:val="20"/>
                <w:szCs w:val="20"/>
              </w:rPr>
            </w:pPr>
            <w:r w:rsidRPr="004758DC">
              <w:rPr>
                <w:rFonts w:asciiTheme="majorBidi" w:hAnsiTheme="majorBidi" w:cstheme="majorBidi"/>
                <w:color w:val="212121"/>
                <w:sz w:val="20"/>
                <w:szCs w:val="20"/>
                <w:shd w:val="clear" w:color="auto" w:fill="FFFFFF"/>
              </w:rPr>
              <w:t>Refers to the methodological construction that includes all procedures that take place before and after data collection and analysis</w:t>
            </w:r>
            <w:sdt>
              <w:sdtPr>
                <w:rPr>
                  <w:rFonts w:asciiTheme="majorBidi" w:hAnsiTheme="majorBidi" w:cstheme="majorBidi"/>
                  <w:color w:val="212121"/>
                  <w:sz w:val="20"/>
                  <w:szCs w:val="20"/>
                  <w:shd w:val="clear" w:color="auto" w:fill="FFFFFF"/>
                </w:rPr>
                <w:id w:val="369044092"/>
                <w:citation/>
              </w:sdtPr>
              <w:sdtContent>
                <w:r w:rsidRPr="004758DC">
                  <w:rPr>
                    <w:rFonts w:asciiTheme="majorBidi" w:hAnsiTheme="majorBidi" w:cstheme="majorBidi"/>
                    <w:color w:val="212121"/>
                    <w:sz w:val="20"/>
                    <w:szCs w:val="20"/>
                    <w:shd w:val="clear" w:color="auto" w:fill="FFFFFF"/>
                  </w:rPr>
                  <w:fldChar w:fldCharType="begin"/>
                </w:r>
                <w:r w:rsidRPr="004758DC">
                  <w:rPr>
                    <w:rFonts w:asciiTheme="majorBidi" w:hAnsiTheme="majorBidi" w:cstheme="majorBidi"/>
                    <w:color w:val="212121"/>
                    <w:sz w:val="20"/>
                    <w:szCs w:val="20"/>
                    <w:shd w:val="clear" w:color="auto" w:fill="FFFFFF"/>
                  </w:rPr>
                  <w:instrText xml:space="preserve"> CITATION Hay21 \l 2057 </w:instrText>
                </w:r>
                <w:r w:rsidRPr="004758DC">
                  <w:rPr>
                    <w:rFonts w:asciiTheme="majorBidi" w:hAnsiTheme="majorBidi" w:cstheme="majorBidi"/>
                    <w:color w:val="212121"/>
                    <w:sz w:val="20"/>
                    <w:szCs w:val="20"/>
                    <w:shd w:val="clear" w:color="auto" w:fill="FFFFFF"/>
                  </w:rPr>
                  <w:fldChar w:fldCharType="separate"/>
                </w:r>
                <w:r w:rsidRPr="004758DC">
                  <w:rPr>
                    <w:rFonts w:asciiTheme="majorBidi" w:hAnsiTheme="majorBidi" w:cstheme="majorBidi"/>
                    <w:noProof/>
                    <w:color w:val="212121"/>
                    <w:sz w:val="20"/>
                    <w:szCs w:val="20"/>
                    <w:shd w:val="clear" w:color="auto" w:fill="FFFFFF"/>
                  </w:rPr>
                  <w:t xml:space="preserve"> ( Hayashi, Jr, Abib, Hoppen, &amp; Wolff, 2021)</w:t>
                </w:r>
                <w:r w:rsidRPr="004758DC">
                  <w:rPr>
                    <w:rFonts w:asciiTheme="majorBidi" w:hAnsiTheme="majorBidi" w:cstheme="majorBidi"/>
                    <w:color w:val="212121"/>
                    <w:sz w:val="20"/>
                    <w:szCs w:val="20"/>
                    <w:shd w:val="clear" w:color="auto" w:fill="FFFFFF"/>
                  </w:rPr>
                  <w:fldChar w:fldCharType="end"/>
                </w:r>
              </w:sdtContent>
            </w:sdt>
            <w:r w:rsidRPr="004758DC">
              <w:rPr>
                <w:rFonts w:asciiTheme="majorBidi" w:hAnsiTheme="majorBidi" w:cstheme="majorBidi"/>
                <w:color w:val="212121"/>
                <w:sz w:val="20"/>
                <w:szCs w:val="20"/>
                <w:shd w:val="clear" w:color="auto" w:fill="FFFFFF"/>
              </w:rPr>
              <w:t>.</w:t>
            </w:r>
          </w:p>
        </w:tc>
      </w:tr>
    </w:tbl>
    <w:p w14:paraId="1A237278" w14:textId="116FF04F" w:rsidR="005150F6" w:rsidRDefault="005150F6" w:rsidP="005150F6">
      <w:pPr>
        <w:pStyle w:val="Caption"/>
        <w:framePr w:hSpace="180" w:wrap="around" w:vAnchor="text" w:hAnchor="page" w:x="1335" w:y="3822"/>
      </w:pPr>
      <w:r>
        <w:t>Table 1</w:t>
      </w:r>
      <w:r w:rsidR="00044DE9">
        <w:t>3</w:t>
      </w:r>
      <w:r>
        <w:t xml:space="preserve"> Summary of main types of validity</w:t>
      </w:r>
    </w:p>
    <w:p w14:paraId="2E2331F2" w14:textId="77777777" w:rsidR="007B4F8F" w:rsidRDefault="007B4F8F" w:rsidP="00A321BD">
      <w:pPr>
        <w:adjustRightInd w:val="0"/>
        <w:spacing w:after="0" w:line="480" w:lineRule="auto"/>
        <w:ind w:firstLine="720"/>
        <w:rPr>
          <w:rFonts w:asciiTheme="majorBidi" w:hAnsiTheme="majorBidi" w:cstheme="majorBidi"/>
          <w:sz w:val="24"/>
          <w:szCs w:val="24"/>
        </w:rPr>
      </w:pPr>
    </w:p>
    <w:p w14:paraId="01358FD1" w14:textId="0464E68C" w:rsidR="00A52939" w:rsidRDefault="007A225E" w:rsidP="00A321BD">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For study one</w:t>
      </w:r>
      <w:bookmarkStart w:id="135" w:name="_Hlk150875720"/>
      <w:r>
        <w:rPr>
          <w:rFonts w:asciiTheme="majorBidi" w:hAnsiTheme="majorBidi" w:cstheme="majorBidi"/>
          <w:sz w:val="24"/>
          <w:szCs w:val="24"/>
        </w:rPr>
        <w:t>, t</w:t>
      </w:r>
      <w:r w:rsidRPr="00CE7421">
        <w:rPr>
          <w:rFonts w:asciiTheme="majorBidi" w:hAnsiTheme="majorBidi" w:cstheme="majorBidi"/>
          <w:sz w:val="24"/>
          <w:szCs w:val="24"/>
        </w:rPr>
        <w:t xml:space="preserve">o ensure that the questionnaire is valid and achieves the study’s </w:t>
      </w:r>
      <w:r>
        <w:rPr>
          <w:rFonts w:asciiTheme="majorBidi" w:hAnsiTheme="majorBidi" w:cstheme="majorBidi"/>
          <w:sz w:val="24"/>
          <w:szCs w:val="24"/>
        </w:rPr>
        <w:t xml:space="preserve">specific </w:t>
      </w:r>
      <w:r w:rsidRPr="00CE7421">
        <w:rPr>
          <w:rFonts w:asciiTheme="majorBidi" w:hAnsiTheme="majorBidi" w:cstheme="majorBidi"/>
          <w:sz w:val="24"/>
          <w:szCs w:val="24"/>
        </w:rPr>
        <w:t xml:space="preserve">objectives, construct validity </w:t>
      </w:r>
      <w:r w:rsidR="007B4F8F">
        <w:rPr>
          <w:rFonts w:asciiTheme="majorBidi" w:hAnsiTheme="majorBidi" w:cstheme="majorBidi"/>
          <w:sz w:val="24"/>
          <w:szCs w:val="24"/>
        </w:rPr>
        <w:t>was</w:t>
      </w:r>
      <w:r w:rsidRPr="00CE7421">
        <w:rPr>
          <w:rFonts w:asciiTheme="majorBidi" w:hAnsiTheme="majorBidi" w:cstheme="majorBidi"/>
          <w:sz w:val="24"/>
          <w:szCs w:val="24"/>
        </w:rPr>
        <w:t xml:space="preserve"> examined</w:t>
      </w:r>
      <w:r>
        <w:rPr>
          <w:rFonts w:asciiTheme="majorBidi" w:hAnsiTheme="majorBidi" w:cstheme="majorBidi"/>
          <w:sz w:val="24"/>
          <w:szCs w:val="24"/>
        </w:rPr>
        <w:t xml:space="preserve"> allowing legitimate conclusions to be made based on the constructs used in the questionnaire</w:t>
      </w:r>
      <w:sdt>
        <w:sdtPr>
          <w:rPr>
            <w:rFonts w:asciiTheme="majorBidi" w:hAnsiTheme="majorBidi" w:cstheme="majorBidi"/>
            <w:sz w:val="24"/>
            <w:szCs w:val="24"/>
          </w:rPr>
          <w:id w:val="-1461268432"/>
          <w:citation/>
        </w:sdtPr>
        <w:sdtContent>
          <w:r w:rsidR="007B4F8F">
            <w:rPr>
              <w:rFonts w:asciiTheme="majorBidi" w:hAnsiTheme="majorBidi" w:cstheme="majorBidi"/>
              <w:sz w:val="24"/>
              <w:szCs w:val="24"/>
            </w:rPr>
            <w:fldChar w:fldCharType="begin"/>
          </w:r>
          <w:r w:rsidR="007B4F8F">
            <w:rPr>
              <w:rFonts w:asciiTheme="majorBidi" w:hAnsiTheme="majorBidi" w:cstheme="majorBidi"/>
              <w:sz w:val="24"/>
              <w:szCs w:val="24"/>
            </w:rPr>
            <w:instrText xml:space="preserve"> CITATION Eli23 \l 2057 </w:instrText>
          </w:r>
          <w:r w:rsidR="007B4F8F">
            <w:rPr>
              <w:rFonts w:asciiTheme="majorBidi" w:hAnsiTheme="majorBidi" w:cstheme="majorBidi"/>
              <w:sz w:val="24"/>
              <w:szCs w:val="24"/>
            </w:rPr>
            <w:fldChar w:fldCharType="separate"/>
          </w:r>
          <w:r w:rsidR="007B4F8F">
            <w:rPr>
              <w:rFonts w:asciiTheme="majorBidi" w:hAnsiTheme="majorBidi" w:cstheme="majorBidi"/>
              <w:noProof/>
              <w:sz w:val="24"/>
              <w:szCs w:val="24"/>
            </w:rPr>
            <w:t xml:space="preserve"> </w:t>
          </w:r>
          <w:r w:rsidR="007B4F8F" w:rsidRPr="007B4F8F">
            <w:rPr>
              <w:rFonts w:asciiTheme="majorBidi" w:hAnsiTheme="majorBidi" w:cstheme="majorBidi"/>
              <w:noProof/>
              <w:sz w:val="24"/>
              <w:szCs w:val="24"/>
            </w:rPr>
            <w:t>(Elias, 2023)</w:t>
          </w:r>
          <w:r w:rsidR="007B4F8F">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End w:id="135"/>
      <w:r w:rsidRPr="000E6C07">
        <w:rPr>
          <w:rFonts w:asciiTheme="majorBidi" w:hAnsiTheme="majorBidi" w:cstheme="majorBidi"/>
          <w:sz w:val="24"/>
          <w:szCs w:val="24"/>
        </w:rPr>
        <w:t>Typically, in social sciences, there is no specific method of data collection that is ideal as each method has its inherent strengths and drawbacks</w:t>
      </w:r>
      <w:sdt>
        <w:sdtPr>
          <w:rPr>
            <w:rFonts w:asciiTheme="majorBidi" w:hAnsiTheme="majorBidi" w:cstheme="majorBidi"/>
            <w:sz w:val="24"/>
            <w:szCs w:val="24"/>
          </w:rPr>
          <w:id w:val="-2085136342"/>
          <w:citation/>
        </w:sdtPr>
        <w:sdtContent>
          <w:r w:rsidRPr="000E6C07">
            <w:rPr>
              <w:rFonts w:asciiTheme="majorBidi" w:hAnsiTheme="majorBidi" w:cstheme="majorBidi"/>
              <w:sz w:val="24"/>
              <w:szCs w:val="24"/>
            </w:rPr>
            <w:fldChar w:fldCharType="begin"/>
          </w:r>
          <w:r w:rsidRPr="000E6C07">
            <w:rPr>
              <w:rFonts w:asciiTheme="majorBidi" w:hAnsiTheme="majorBidi" w:cstheme="majorBidi"/>
              <w:sz w:val="24"/>
              <w:szCs w:val="24"/>
            </w:rPr>
            <w:instrText xml:space="preserve"> CITATION Abo10 \l 2057 </w:instrText>
          </w:r>
          <w:r>
            <w:rPr>
              <w:rFonts w:asciiTheme="majorBidi" w:hAnsiTheme="majorBidi" w:cstheme="majorBidi"/>
              <w:sz w:val="24"/>
              <w:szCs w:val="24"/>
            </w:rPr>
            <w:instrText xml:space="preserve"> \m Sum18</w:instrText>
          </w:r>
          <w:r w:rsidRPr="000E6C07">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(Abowitz &amp; Toole, 2010; Sumeracki, 2018)</w:t>
          </w:r>
          <w:r w:rsidRPr="000E6C07">
            <w:rPr>
              <w:rFonts w:asciiTheme="majorBidi" w:hAnsiTheme="majorBidi" w:cstheme="majorBidi"/>
              <w:sz w:val="24"/>
              <w:szCs w:val="24"/>
            </w:rPr>
            <w:fldChar w:fldCharType="end"/>
          </w:r>
        </w:sdtContent>
      </w:sdt>
      <w:r w:rsidRPr="000E6C07">
        <w:rPr>
          <w:rFonts w:asciiTheme="majorBidi" w:hAnsiTheme="majorBidi" w:cstheme="majorBidi"/>
          <w:sz w:val="24"/>
          <w:szCs w:val="24"/>
        </w:rPr>
        <w:t xml:space="preserve">. However, </w:t>
      </w:r>
      <w:bookmarkStart w:id="136" w:name="_Hlk150875765"/>
      <w:r w:rsidRPr="000E6C07">
        <w:rPr>
          <w:rFonts w:asciiTheme="majorBidi" w:hAnsiTheme="majorBidi" w:cstheme="majorBidi"/>
          <w:sz w:val="24"/>
          <w:szCs w:val="24"/>
        </w:rPr>
        <w:t xml:space="preserve">combining quantitative and qualitative data collection techniques strengthens causal inferences by giving possibilities </w:t>
      </w:r>
      <w:r w:rsidRPr="005150F6">
        <w:rPr>
          <w:rFonts w:asciiTheme="majorBidi" w:hAnsiTheme="majorBidi" w:cstheme="majorBidi"/>
          <w:sz w:val="24"/>
          <w:szCs w:val="24"/>
        </w:rPr>
        <w:t>to explain any convergence or divergence in data, which enhances the validity and reliability of the results</w:t>
      </w:r>
      <w:sdt>
        <w:sdtPr>
          <w:rPr>
            <w:rFonts w:asciiTheme="majorBidi" w:hAnsiTheme="majorBidi" w:cstheme="majorBidi"/>
            <w:sz w:val="24"/>
            <w:szCs w:val="24"/>
          </w:rPr>
          <w:id w:val="1891757520"/>
          <w:citation/>
        </w:sdtPr>
        <w:sdtContent>
          <w:r w:rsidRPr="005150F6">
            <w:rPr>
              <w:rFonts w:asciiTheme="majorBidi" w:hAnsiTheme="majorBidi" w:cstheme="majorBidi"/>
              <w:sz w:val="24"/>
              <w:szCs w:val="24"/>
            </w:rPr>
            <w:fldChar w:fldCharType="begin"/>
          </w:r>
          <w:r w:rsidRPr="005150F6">
            <w:rPr>
              <w:rFonts w:asciiTheme="majorBidi" w:hAnsiTheme="majorBidi" w:cstheme="majorBidi"/>
              <w:sz w:val="24"/>
              <w:szCs w:val="24"/>
            </w:rPr>
            <w:instrText xml:space="preserve"> CITATION Abo10 \l 2057  \m Bre89</w:instrText>
          </w:r>
          <w:r w:rsidRPr="005150F6">
            <w:rPr>
              <w:rFonts w:asciiTheme="majorBidi" w:hAnsiTheme="majorBidi" w:cstheme="majorBidi"/>
              <w:sz w:val="24"/>
              <w:szCs w:val="24"/>
            </w:rPr>
            <w:fldChar w:fldCharType="separate"/>
          </w:r>
          <w:r w:rsidRPr="005150F6">
            <w:rPr>
              <w:rFonts w:asciiTheme="majorBidi" w:hAnsiTheme="majorBidi" w:cstheme="majorBidi"/>
              <w:noProof/>
              <w:sz w:val="24"/>
              <w:szCs w:val="24"/>
            </w:rPr>
            <w:t xml:space="preserve"> (Abowitz &amp; Toole, 2010; Brewer &amp; Hunter, 1989)</w:t>
          </w:r>
          <w:r w:rsidRPr="005150F6">
            <w:rPr>
              <w:rFonts w:asciiTheme="majorBidi" w:hAnsiTheme="majorBidi" w:cstheme="majorBidi"/>
              <w:sz w:val="24"/>
              <w:szCs w:val="24"/>
            </w:rPr>
            <w:fldChar w:fldCharType="end"/>
          </w:r>
        </w:sdtContent>
      </w:sdt>
      <w:r w:rsidRPr="000E6C07">
        <w:rPr>
          <w:rFonts w:asciiTheme="majorBidi" w:hAnsiTheme="majorBidi" w:cstheme="majorBidi"/>
          <w:sz w:val="24"/>
          <w:szCs w:val="24"/>
        </w:rPr>
        <w:t xml:space="preserve">. </w:t>
      </w:r>
      <w:bookmarkEnd w:id="136"/>
      <w:r>
        <w:rPr>
          <w:rFonts w:asciiTheme="majorBidi" w:hAnsiTheme="majorBidi" w:cstheme="majorBidi"/>
          <w:sz w:val="24"/>
          <w:szCs w:val="24"/>
        </w:rPr>
        <w:t xml:space="preserve">The subsequent section will introduce the first study conducted for this thesis which relied on survey experiments as a quantitative method of data collection. </w:t>
      </w:r>
    </w:p>
    <w:p w14:paraId="6B58B8B7" w14:textId="4D571AFC" w:rsidR="007A225E" w:rsidRDefault="007A225E" w:rsidP="00A52939">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5</w:t>
      </w:r>
      <w:r w:rsidRPr="00793FF8">
        <w:rPr>
          <w:rFonts w:asciiTheme="majorBidi" w:hAnsiTheme="majorBidi" w:cstheme="majorBidi"/>
          <w:b/>
          <w:bCs/>
          <w:sz w:val="24"/>
          <w:szCs w:val="24"/>
        </w:rPr>
        <w:t>.</w:t>
      </w:r>
      <w:r w:rsidR="00891F01">
        <w:rPr>
          <w:rFonts w:asciiTheme="majorBidi" w:hAnsiTheme="majorBidi" w:cstheme="majorBidi"/>
          <w:b/>
          <w:bCs/>
          <w:sz w:val="24"/>
          <w:szCs w:val="24"/>
        </w:rPr>
        <w:t>4</w:t>
      </w:r>
      <w:r w:rsidRPr="00793FF8">
        <w:rPr>
          <w:rFonts w:asciiTheme="majorBidi" w:hAnsiTheme="majorBidi" w:cstheme="majorBidi"/>
          <w:b/>
          <w:bCs/>
          <w:sz w:val="24"/>
          <w:szCs w:val="24"/>
        </w:rPr>
        <w:t xml:space="preserve"> </w:t>
      </w:r>
      <w:r>
        <w:rPr>
          <w:rFonts w:asciiTheme="majorBidi" w:hAnsiTheme="majorBidi" w:cstheme="majorBidi"/>
          <w:b/>
          <w:bCs/>
          <w:sz w:val="24"/>
          <w:szCs w:val="24"/>
        </w:rPr>
        <w:t xml:space="preserve">Study 1: </w:t>
      </w:r>
      <w:r w:rsidRPr="00793FF8">
        <w:rPr>
          <w:rFonts w:asciiTheme="majorBidi" w:hAnsiTheme="majorBidi" w:cstheme="majorBidi"/>
          <w:b/>
          <w:bCs/>
          <w:sz w:val="24"/>
          <w:szCs w:val="24"/>
        </w:rPr>
        <w:t xml:space="preserve">Survey experiment </w:t>
      </w:r>
    </w:p>
    <w:p w14:paraId="45B325D0" w14:textId="61628A0F" w:rsidR="007A225E" w:rsidRDefault="007A225E" w:rsidP="00A52939">
      <w:pPr>
        <w:adjustRightInd w:val="0"/>
        <w:spacing w:after="0" w:line="480" w:lineRule="auto"/>
        <w:ind w:firstLine="720"/>
        <w:rPr>
          <w:rFonts w:asciiTheme="majorBidi" w:hAnsiTheme="majorBidi" w:cstheme="majorBidi"/>
          <w:b/>
          <w:bCs/>
          <w:sz w:val="24"/>
          <w:szCs w:val="24"/>
        </w:rPr>
      </w:pPr>
      <w:r>
        <w:rPr>
          <w:rFonts w:asciiTheme="majorBidi" w:hAnsiTheme="majorBidi" w:cstheme="majorBidi"/>
          <w:b/>
          <w:bCs/>
          <w:sz w:val="24"/>
          <w:szCs w:val="24"/>
        </w:rPr>
        <w:t>5.</w:t>
      </w:r>
      <w:r w:rsidR="00891F01">
        <w:rPr>
          <w:rFonts w:asciiTheme="majorBidi" w:hAnsiTheme="majorBidi" w:cstheme="majorBidi"/>
          <w:b/>
          <w:bCs/>
          <w:sz w:val="24"/>
          <w:szCs w:val="24"/>
        </w:rPr>
        <w:t>4</w:t>
      </w:r>
      <w:r>
        <w:rPr>
          <w:rFonts w:asciiTheme="majorBidi" w:hAnsiTheme="majorBidi" w:cstheme="majorBidi"/>
          <w:b/>
          <w:bCs/>
          <w:sz w:val="24"/>
          <w:szCs w:val="24"/>
        </w:rPr>
        <w:t xml:space="preserve">.1 Reliability and Validity in Survey Experiments </w:t>
      </w:r>
    </w:p>
    <w:p w14:paraId="04BE749B" w14:textId="4535B64B" w:rsidR="007A225E" w:rsidRDefault="007A225E" w:rsidP="007A225E">
      <w:pPr>
        <w:adjustRightInd w:val="0"/>
        <w:spacing w:after="0" w:line="480" w:lineRule="auto"/>
        <w:ind w:firstLine="720"/>
        <w:rPr>
          <w:rFonts w:asciiTheme="majorBidi" w:hAnsiTheme="majorBidi" w:cstheme="majorBidi"/>
          <w:sz w:val="24"/>
          <w:szCs w:val="24"/>
        </w:rPr>
      </w:pPr>
      <w:r w:rsidRPr="00C95625">
        <w:rPr>
          <w:rFonts w:asciiTheme="majorBidi" w:hAnsiTheme="majorBidi" w:cstheme="majorBidi"/>
          <w:sz w:val="24"/>
          <w:szCs w:val="24"/>
        </w:rPr>
        <w:t xml:space="preserve">In experiments, it is crucial to understand aspects of internal and external validity as well as statistical significance </w:t>
      </w:r>
      <w:r>
        <w:rPr>
          <w:rFonts w:asciiTheme="majorBidi" w:hAnsiTheme="majorBidi" w:cstheme="majorBidi"/>
          <w:sz w:val="24"/>
          <w:szCs w:val="24"/>
        </w:rPr>
        <w:t>considering the</w:t>
      </w:r>
      <w:r w:rsidRPr="00C95625">
        <w:rPr>
          <w:rFonts w:asciiTheme="majorBidi" w:hAnsiTheme="majorBidi" w:cstheme="majorBidi"/>
          <w:sz w:val="24"/>
          <w:szCs w:val="24"/>
        </w:rPr>
        <w:t xml:space="preserve"> broader problems of causal inference, generalizability, and reliability</w:t>
      </w:r>
      <w:sdt>
        <w:sdtPr>
          <w:rPr>
            <w:rFonts w:asciiTheme="majorBidi" w:hAnsiTheme="majorBidi" w:cstheme="majorBidi"/>
            <w:sz w:val="24"/>
            <w:szCs w:val="24"/>
          </w:rPr>
          <w:id w:val="-1895040072"/>
          <w:citation/>
        </w:sdtPr>
        <w:sdtContent>
          <w:r w:rsidRPr="00C95625">
            <w:rPr>
              <w:rFonts w:asciiTheme="majorBidi" w:hAnsiTheme="majorBidi" w:cstheme="majorBidi"/>
              <w:sz w:val="24"/>
              <w:szCs w:val="24"/>
            </w:rPr>
            <w:fldChar w:fldCharType="begin"/>
          </w:r>
          <w:r w:rsidRPr="00C95625">
            <w:rPr>
              <w:rFonts w:asciiTheme="majorBidi" w:hAnsiTheme="majorBidi" w:cstheme="majorBidi"/>
              <w:sz w:val="24"/>
              <w:szCs w:val="24"/>
            </w:rPr>
            <w:instrText xml:space="preserve"> CITATION Abo10 \l 2057 </w:instrText>
          </w:r>
          <w:r w:rsidRPr="00C95625">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(Abowitz &amp; Toole, 2010)</w:t>
          </w:r>
          <w:r w:rsidRPr="00C95625">
            <w:rPr>
              <w:rFonts w:asciiTheme="majorBidi" w:hAnsiTheme="majorBidi" w:cstheme="majorBidi"/>
              <w:sz w:val="24"/>
              <w:szCs w:val="24"/>
            </w:rPr>
            <w:fldChar w:fldCharType="end"/>
          </w:r>
        </w:sdtContent>
      </w:sdt>
      <w:r w:rsidRPr="00C95625">
        <w:rPr>
          <w:rFonts w:asciiTheme="majorBidi" w:hAnsiTheme="majorBidi" w:cstheme="majorBidi"/>
          <w:sz w:val="24"/>
          <w:szCs w:val="24"/>
        </w:rPr>
        <w:t xml:space="preserve">. </w:t>
      </w:r>
      <w:bookmarkStart w:id="137" w:name="_Hlk150876919"/>
      <w:r>
        <w:rPr>
          <w:rFonts w:asciiTheme="majorBidi" w:hAnsiTheme="majorBidi" w:cstheme="majorBidi"/>
          <w:sz w:val="24"/>
          <w:szCs w:val="24"/>
        </w:rPr>
        <w:t xml:space="preserve">One technique to reduce </w:t>
      </w:r>
      <w:r w:rsidRPr="005150F6">
        <w:rPr>
          <w:rFonts w:asciiTheme="majorBidi" w:hAnsiTheme="majorBidi" w:cstheme="majorBidi"/>
          <w:sz w:val="24"/>
          <w:szCs w:val="24"/>
        </w:rPr>
        <w:t>generali</w:t>
      </w:r>
      <w:r w:rsidR="005150F6">
        <w:rPr>
          <w:rFonts w:asciiTheme="majorBidi" w:hAnsiTheme="majorBidi" w:cstheme="majorBidi"/>
          <w:sz w:val="24"/>
          <w:szCs w:val="24"/>
        </w:rPr>
        <w:t>s</w:t>
      </w:r>
      <w:r w:rsidRPr="005150F6">
        <w:rPr>
          <w:rFonts w:asciiTheme="majorBidi" w:hAnsiTheme="majorBidi" w:cstheme="majorBidi"/>
          <w:sz w:val="24"/>
          <w:szCs w:val="24"/>
        </w:rPr>
        <w:t>ation error that has proven success in previous studies is to increase geographic similarity among respondents in the study</w:t>
      </w:r>
      <w:sdt>
        <w:sdtPr>
          <w:rPr>
            <w:rFonts w:asciiTheme="majorBidi" w:hAnsiTheme="majorBidi" w:cstheme="majorBidi"/>
            <w:sz w:val="24"/>
            <w:szCs w:val="24"/>
          </w:rPr>
          <w:id w:val="-1644034224"/>
          <w:citation/>
        </w:sdtPr>
        <w:sdtContent>
          <w:r w:rsidRPr="005150F6">
            <w:rPr>
              <w:rFonts w:asciiTheme="majorBidi" w:hAnsiTheme="majorBidi" w:cstheme="majorBidi"/>
              <w:sz w:val="24"/>
              <w:szCs w:val="24"/>
            </w:rPr>
            <w:fldChar w:fldCharType="begin"/>
          </w:r>
          <w:r w:rsidRPr="005150F6">
            <w:rPr>
              <w:rFonts w:asciiTheme="majorBidi" w:hAnsiTheme="majorBidi" w:cstheme="majorBidi"/>
              <w:sz w:val="24"/>
              <w:szCs w:val="24"/>
            </w:rPr>
            <w:instrText xml:space="preserve">CITATION Bat11 \m Cza10 \m Tre18 \t  \l 2057 </w:instrText>
          </w:r>
          <w:r w:rsidRPr="005150F6">
            <w:rPr>
              <w:rFonts w:asciiTheme="majorBidi" w:hAnsiTheme="majorBidi" w:cstheme="majorBidi"/>
              <w:sz w:val="24"/>
              <w:szCs w:val="24"/>
            </w:rPr>
            <w:fldChar w:fldCharType="separate"/>
          </w:r>
          <w:r w:rsidRPr="005150F6">
            <w:rPr>
              <w:rFonts w:asciiTheme="majorBidi" w:hAnsiTheme="majorBidi" w:cstheme="majorBidi"/>
              <w:noProof/>
              <w:sz w:val="24"/>
              <w:szCs w:val="24"/>
            </w:rPr>
            <w:t xml:space="preserve"> (Bateman, et al., 2011; Czajkowski &amp; Ščasný, 2010; Trenholm, Lantz, Haider, &amp; Knowler, 2018)</w:t>
          </w:r>
          <w:r w:rsidRPr="005150F6">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End w:id="137"/>
      <w:r>
        <w:rPr>
          <w:rFonts w:asciiTheme="majorBidi" w:hAnsiTheme="majorBidi" w:cstheme="majorBidi"/>
          <w:sz w:val="24"/>
          <w:szCs w:val="24"/>
        </w:rPr>
        <w:t>This study target</w:t>
      </w:r>
      <w:r w:rsidR="00245841">
        <w:rPr>
          <w:rFonts w:asciiTheme="majorBidi" w:hAnsiTheme="majorBidi" w:cstheme="majorBidi"/>
          <w:sz w:val="24"/>
          <w:szCs w:val="24"/>
        </w:rPr>
        <w:t>s</w:t>
      </w:r>
      <w:r>
        <w:rPr>
          <w:rFonts w:asciiTheme="majorBidi" w:hAnsiTheme="majorBidi" w:cstheme="majorBidi"/>
          <w:sz w:val="24"/>
          <w:szCs w:val="24"/>
        </w:rPr>
        <w:t xml:space="preserve"> respondents who not only reside in Cairo, but also, come from a similar social and economic background and represent the consumer segment targeted by the brand, as explained in </w:t>
      </w:r>
      <w:r w:rsidRPr="00266105">
        <w:rPr>
          <w:rFonts w:asciiTheme="majorBidi" w:hAnsiTheme="majorBidi" w:cstheme="majorBidi"/>
          <w:sz w:val="24"/>
          <w:szCs w:val="24"/>
        </w:rPr>
        <w:t>section</w:t>
      </w:r>
      <w:r w:rsidR="00AF0796">
        <w:rPr>
          <w:rFonts w:asciiTheme="majorBidi" w:hAnsiTheme="majorBidi" w:cstheme="majorBidi"/>
          <w:sz w:val="24"/>
          <w:szCs w:val="24"/>
        </w:rPr>
        <w:t xml:space="preserve"> </w:t>
      </w:r>
      <w:r w:rsidR="00364B98">
        <w:rPr>
          <w:rFonts w:asciiTheme="majorBidi" w:hAnsiTheme="majorBidi" w:cstheme="majorBidi"/>
          <w:sz w:val="24"/>
          <w:szCs w:val="24"/>
        </w:rPr>
        <w:t>5</w:t>
      </w:r>
      <w:r>
        <w:rPr>
          <w:rFonts w:asciiTheme="majorBidi" w:hAnsiTheme="majorBidi" w:cstheme="majorBidi"/>
          <w:sz w:val="24"/>
          <w:szCs w:val="24"/>
        </w:rPr>
        <w:t>.</w:t>
      </w:r>
      <w:r w:rsidR="00364B98">
        <w:rPr>
          <w:rFonts w:asciiTheme="majorBidi" w:hAnsiTheme="majorBidi" w:cstheme="majorBidi"/>
          <w:sz w:val="24"/>
          <w:szCs w:val="24"/>
        </w:rPr>
        <w:t>4</w:t>
      </w:r>
      <w:r>
        <w:rPr>
          <w:rFonts w:asciiTheme="majorBidi" w:hAnsiTheme="majorBidi" w:cstheme="majorBidi"/>
          <w:sz w:val="24"/>
          <w:szCs w:val="24"/>
        </w:rPr>
        <w:t>.7</w:t>
      </w:r>
      <w:r w:rsidRPr="00266105">
        <w:rPr>
          <w:rFonts w:asciiTheme="majorBidi" w:hAnsiTheme="majorBidi" w:cstheme="majorBidi"/>
          <w:sz w:val="24"/>
          <w:szCs w:val="24"/>
        </w:rPr>
        <w:t>.</w:t>
      </w:r>
    </w:p>
    <w:p w14:paraId="198C2232" w14:textId="37E6568B" w:rsidR="007A225E" w:rsidRPr="0058305B" w:rsidRDefault="007A225E" w:rsidP="007A225E">
      <w:pPr>
        <w:adjustRightInd w:val="0"/>
        <w:spacing w:line="480" w:lineRule="auto"/>
        <w:ind w:firstLine="720"/>
        <w:rPr>
          <w:rFonts w:asciiTheme="majorBidi" w:hAnsiTheme="majorBidi" w:cstheme="majorBidi"/>
          <w:sz w:val="24"/>
          <w:szCs w:val="24"/>
        </w:rPr>
      </w:pPr>
      <w:r w:rsidRPr="00C95625">
        <w:rPr>
          <w:rFonts w:asciiTheme="majorBidi" w:hAnsiTheme="majorBidi" w:cstheme="majorBidi"/>
          <w:sz w:val="24"/>
          <w:szCs w:val="24"/>
        </w:rPr>
        <w:t>Measuring validity is demonstrated via indicators that accurately measure the outcomes that they are supposed to measure</w:t>
      </w:r>
      <w:sdt>
        <w:sdtPr>
          <w:rPr>
            <w:rFonts w:asciiTheme="majorBidi" w:hAnsiTheme="majorBidi" w:cstheme="majorBidi"/>
            <w:sz w:val="24"/>
            <w:szCs w:val="24"/>
          </w:rPr>
          <w:id w:val="-1010140927"/>
          <w:citation/>
        </w:sdtPr>
        <w:sdtContent>
          <w:r w:rsidRPr="00C95625">
            <w:rPr>
              <w:rFonts w:asciiTheme="majorBidi" w:hAnsiTheme="majorBidi" w:cstheme="majorBidi"/>
              <w:sz w:val="24"/>
              <w:szCs w:val="24"/>
            </w:rPr>
            <w:fldChar w:fldCharType="begin"/>
          </w:r>
          <w:r>
            <w:rPr>
              <w:rFonts w:asciiTheme="majorBidi" w:hAnsiTheme="majorBidi" w:cstheme="majorBidi"/>
              <w:sz w:val="24"/>
              <w:szCs w:val="24"/>
            </w:rPr>
            <w:instrText xml:space="preserve">CITATION Abo10 \m Mid22 \t  \l 2057 </w:instrText>
          </w:r>
          <w:r w:rsidRPr="00C95625">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1441D6">
            <w:rPr>
              <w:rFonts w:asciiTheme="majorBidi" w:hAnsiTheme="majorBidi" w:cstheme="majorBidi"/>
              <w:noProof/>
              <w:sz w:val="24"/>
              <w:szCs w:val="24"/>
            </w:rPr>
            <w:t>(Abowitz &amp; Toole, 2010; Middleton, 2022)</w:t>
          </w:r>
          <w:r w:rsidRPr="00C95625">
            <w:rPr>
              <w:rFonts w:asciiTheme="majorBidi" w:hAnsiTheme="majorBidi" w:cstheme="majorBidi"/>
              <w:sz w:val="24"/>
              <w:szCs w:val="24"/>
            </w:rPr>
            <w:fldChar w:fldCharType="end"/>
          </w:r>
        </w:sdtContent>
      </w:sdt>
      <w:r w:rsidRPr="00C95625">
        <w:rPr>
          <w:rFonts w:asciiTheme="majorBidi" w:hAnsiTheme="majorBidi" w:cstheme="majorBidi"/>
          <w:sz w:val="24"/>
          <w:szCs w:val="24"/>
        </w:rPr>
        <w:t>. Since, social scientists generally consider archival constructs</w:t>
      </w:r>
      <w:r>
        <w:rPr>
          <w:rFonts w:asciiTheme="majorBidi" w:hAnsiTheme="majorBidi" w:cstheme="majorBidi"/>
          <w:sz w:val="24"/>
          <w:szCs w:val="24"/>
        </w:rPr>
        <w:t xml:space="preserve"> developed</w:t>
      </w:r>
      <w:r w:rsidRPr="00C95625">
        <w:rPr>
          <w:rFonts w:asciiTheme="majorBidi" w:hAnsiTheme="majorBidi" w:cstheme="majorBidi"/>
          <w:sz w:val="24"/>
          <w:szCs w:val="24"/>
        </w:rPr>
        <w:t xml:space="preserve"> from previous sources </w:t>
      </w:r>
      <w:r>
        <w:rPr>
          <w:rFonts w:asciiTheme="majorBidi" w:hAnsiTheme="majorBidi" w:cstheme="majorBidi"/>
          <w:sz w:val="24"/>
          <w:szCs w:val="24"/>
        </w:rPr>
        <w:t>to be</w:t>
      </w:r>
      <w:r w:rsidRPr="00C95625">
        <w:rPr>
          <w:rFonts w:asciiTheme="majorBidi" w:hAnsiTheme="majorBidi" w:cstheme="majorBidi"/>
          <w:sz w:val="24"/>
          <w:szCs w:val="24"/>
        </w:rPr>
        <w:t xml:space="preserve"> more statistically credible</w:t>
      </w:r>
      <w:r>
        <w:rPr>
          <w:rFonts w:asciiTheme="majorBidi" w:hAnsiTheme="majorBidi" w:cstheme="majorBidi"/>
          <w:sz w:val="24"/>
          <w:szCs w:val="24"/>
        </w:rPr>
        <w:t xml:space="preserve"> </w:t>
      </w:r>
      <w:sdt>
        <w:sdtPr>
          <w:rPr>
            <w:rFonts w:asciiTheme="majorBidi" w:hAnsiTheme="majorBidi" w:cstheme="majorBidi"/>
            <w:sz w:val="24"/>
            <w:szCs w:val="24"/>
          </w:rPr>
          <w:id w:val="95197320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Abo10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(Abowitz &amp; Toole, 2010)</w:t>
          </w:r>
          <w:r>
            <w:rPr>
              <w:rFonts w:asciiTheme="majorBidi" w:hAnsiTheme="majorBidi" w:cstheme="majorBidi"/>
              <w:sz w:val="24"/>
              <w:szCs w:val="24"/>
            </w:rPr>
            <w:fldChar w:fldCharType="end"/>
          </w:r>
        </w:sdtContent>
      </w:sdt>
      <w:r w:rsidRPr="00C95625">
        <w:rPr>
          <w:rFonts w:asciiTheme="majorBidi" w:hAnsiTheme="majorBidi" w:cstheme="majorBidi"/>
          <w:sz w:val="24"/>
          <w:szCs w:val="24"/>
        </w:rPr>
        <w:t>, this study relie</w:t>
      </w:r>
      <w:r w:rsidR="00245841">
        <w:rPr>
          <w:rFonts w:asciiTheme="majorBidi" w:hAnsiTheme="majorBidi" w:cstheme="majorBidi"/>
          <w:sz w:val="24"/>
          <w:szCs w:val="24"/>
        </w:rPr>
        <w:t>s</w:t>
      </w:r>
      <w:r w:rsidRPr="00C95625">
        <w:rPr>
          <w:rFonts w:asciiTheme="majorBidi" w:hAnsiTheme="majorBidi" w:cstheme="majorBidi"/>
          <w:sz w:val="24"/>
          <w:szCs w:val="24"/>
        </w:rPr>
        <w:t xml:space="preserve"> on </w:t>
      </w:r>
      <w:r w:rsidRPr="000E6C07">
        <w:rPr>
          <w:rFonts w:asciiTheme="majorBidi" w:hAnsiTheme="majorBidi" w:cstheme="majorBidi"/>
          <w:sz w:val="24"/>
          <w:szCs w:val="24"/>
        </w:rPr>
        <w:t>previously created and tested constructs</w:t>
      </w:r>
      <w:r w:rsidRPr="00C95625">
        <w:rPr>
          <w:rFonts w:asciiTheme="majorBidi" w:hAnsiTheme="majorBidi" w:cstheme="majorBidi"/>
          <w:sz w:val="24"/>
          <w:szCs w:val="24"/>
        </w:rPr>
        <w:t>.</w:t>
      </w:r>
      <w:r>
        <w:rPr>
          <w:rFonts w:asciiTheme="majorBidi" w:hAnsiTheme="majorBidi" w:cstheme="majorBidi"/>
          <w:sz w:val="24"/>
          <w:szCs w:val="24"/>
        </w:rPr>
        <w:t xml:space="preserve"> </w:t>
      </w:r>
      <w:r w:rsidRPr="00C95625">
        <w:rPr>
          <w:rFonts w:asciiTheme="majorBidi" w:hAnsiTheme="majorBidi" w:cstheme="majorBidi"/>
          <w:sz w:val="24"/>
          <w:szCs w:val="24"/>
        </w:rPr>
        <w:t xml:space="preserve">Therefore, the survey experiments of study </w:t>
      </w:r>
      <w:r w:rsidR="00AF0796">
        <w:rPr>
          <w:rFonts w:asciiTheme="majorBidi" w:hAnsiTheme="majorBidi" w:cstheme="majorBidi"/>
          <w:sz w:val="24"/>
          <w:szCs w:val="24"/>
        </w:rPr>
        <w:t>one</w:t>
      </w:r>
      <w:r w:rsidRPr="00C95625">
        <w:rPr>
          <w:rFonts w:asciiTheme="majorBidi" w:hAnsiTheme="majorBidi" w:cstheme="majorBidi"/>
          <w:sz w:val="24"/>
          <w:szCs w:val="24"/>
        </w:rPr>
        <w:t xml:space="preserve"> employed previously created and tested constructs (refer to section</w:t>
      </w:r>
      <w:r w:rsidR="00AF0796">
        <w:rPr>
          <w:rFonts w:asciiTheme="majorBidi" w:hAnsiTheme="majorBidi" w:cstheme="majorBidi"/>
          <w:sz w:val="24"/>
          <w:szCs w:val="24"/>
        </w:rPr>
        <w:t xml:space="preserve"> </w:t>
      </w:r>
      <w:r w:rsidR="000B49C1">
        <w:rPr>
          <w:rFonts w:asciiTheme="majorBidi" w:hAnsiTheme="majorBidi" w:cstheme="majorBidi"/>
          <w:sz w:val="24"/>
          <w:szCs w:val="24"/>
        </w:rPr>
        <w:t>5</w:t>
      </w:r>
      <w:r w:rsidRPr="00C95625">
        <w:rPr>
          <w:rFonts w:asciiTheme="majorBidi" w:hAnsiTheme="majorBidi" w:cstheme="majorBidi"/>
          <w:sz w:val="24"/>
          <w:szCs w:val="24"/>
        </w:rPr>
        <w:t>.</w:t>
      </w:r>
      <w:r w:rsidR="00364B98">
        <w:rPr>
          <w:rFonts w:asciiTheme="majorBidi" w:hAnsiTheme="majorBidi" w:cstheme="majorBidi"/>
          <w:sz w:val="24"/>
          <w:szCs w:val="24"/>
        </w:rPr>
        <w:t xml:space="preserve">4. </w:t>
      </w:r>
      <w:r>
        <w:rPr>
          <w:rFonts w:asciiTheme="majorBidi" w:hAnsiTheme="majorBidi" w:cstheme="majorBidi"/>
          <w:sz w:val="24"/>
          <w:szCs w:val="24"/>
        </w:rPr>
        <w:t>6 for a detailed description of the applied constructs</w:t>
      </w:r>
      <w:r w:rsidRPr="00C95625">
        <w:rPr>
          <w:rFonts w:asciiTheme="majorBidi" w:hAnsiTheme="majorBidi" w:cstheme="majorBidi"/>
          <w:sz w:val="24"/>
          <w:szCs w:val="24"/>
        </w:rPr>
        <w:t xml:space="preserve">). In attempt to increase the reliability of the data collected from </w:t>
      </w:r>
      <w:r w:rsidR="00AF0796">
        <w:rPr>
          <w:rFonts w:asciiTheme="majorBidi" w:hAnsiTheme="majorBidi" w:cstheme="majorBidi"/>
          <w:sz w:val="24"/>
          <w:szCs w:val="24"/>
        </w:rPr>
        <w:t>s</w:t>
      </w:r>
      <w:r w:rsidRPr="00C95625">
        <w:rPr>
          <w:rFonts w:asciiTheme="majorBidi" w:hAnsiTheme="majorBidi" w:cstheme="majorBidi"/>
          <w:sz w:val="24"/>
          <w:szCs w:val="24"/>
        </w:rPr>
        <w:t xml:space="preserve">tudy </w:t>
      </w:r>
      <w:r w:rsidR="00AF0796">
        <w:rPr>
          <w:rFonts w:asciiTheme="majorBidi" w:hAnsiTheme="majorBidi" w:cstheme="majorBidi"/>
          <w:sz w:val="24"/>
          <w:szCs w:val="24"/>
        </w:rPr>
        <w:t>one</w:t>
      </w:r>
      <w:r w:rsidRPr="00C95625">
        <w:rPr>
          <w:rFonts w:asciiTheme="majorBidi" w:hAnsiTheme="majorBidi" w:cstheme="majorBidi"/>
          <w:sz w:val="24"/>
          <w:szCs w:val="24"/>
        </w:rPr>
        <w:t xml:space="preserve">, measures of internal consistency were implemented. </w:t>
      </w:r>
      <w:bookmarkStart w:id="138" w:name="_Hlk150876962"/>
      <w:r w:rsidRPr="00C95625">
        <w:rPr>
          <w:rFonts w:asciiTheme="majorBidi" w:hAnsiTheme="majorBidi" w:cstheme="majorBidi"/>
          <w:sz w:val="24"/>
          <w:szCs w:val="24"/>
        </w:rPr>
        <w:t>Internal consistency examines the consistency and accuracy of a given set of items</w:t>
      </w:r>
      <w:r>
        <w:rPr>
          <w:rFonts w:asciiTheme="majorBidi" w:hAnsiTheme="majorBidi" w:cstheme="majorBidi"/>
          <w:sz w:val="24"/>
          <w:szCs w:val="24"/>
        </w:rPr>
        <w:t xml:space="preserve"> that</w:t>
      </w:r>
      <w:r w:rsidRPr="00C95625">
        <w:rPr>
          <w:rFonts w:asciiTheme="majorBidi" w:hAnsiTheme="majorBidi" w:cstheme="majorBidi"/>
          <w:sz w:val="24"/>
          <w:szCs w:val="24"/>
        </w:rPr>
        <w:t xml:space="preserve"> capture the required behaviour</w:t>
      </w:r>
      <w:r>
        <w:rPr>
          <w:rFonts w:asciiTheme="majorBidi" w:hAnsiTheme="majorBidi" w:cstheme="majorBidi"/>
          <w:sz w:val="24"/>
          <w:szCs w:val="24"/>
        </w:rPr>
        <w:t>s</w:t>
      </w:r>
      <w:r w:rsidRPr="00C95625">
        <w:rPr>
          <w:rFonts w:asciiTheme="majorBidi" w:hAnsiTheme="majorBidi" w:cstheme="majorBidi"/>
          <w:sz w:val="24"/>
          <w:szCs w:val="24"/>
        </w:rPr>
        <w:t xml:space="preserve"> or trait</w:t>
      </w:r>
      <w:r>
        <w:rPr>
          <w:rFonts w:asciiTheme="majorBidi" w:hAnsiTheme="majorBidi" w:cstheme="majorBidi"/>
          <w:sz w:val="24"/>
          <w:szCs w:val="24"/>
        </w:rPr>
        <w:t>s</w:t>
      </w:r>
      <w:r w:rsidRPr="00C95625">
        <w:rPr>
          <w:rFonts w:asciiTheme="majorBidi" w:hAnsiTheme="majorBidi" w:cstheme="majorBidi"/>
          <w:sz w:val="24"/>
          <w:szCs w:val="24"/>
        </w:rPr>
        <w:t xml:space="preserve"> throughout testing</w:t>
      </w:r>
      <w:sdt>
        <w:sdtPr>
          <w:rPr>
            <w:rFonts w:asciiTheme="majorBidi" w:hAnsiTheme="majorBidi" w:cstheme="majorBidi"/>
            <w:sz w:val="24"/>
            <w:szCs w:val="24"/>
          </w:rPr>
          <w:id w:val="-195926234"/>
          <w:citation/>
        </w:sdtPr>
        <w:sdtContent>
          <w:r w:rsidRPr="00C95625">
            <w:rPr>
              <w:rFonts w:asciiTheme="majorBidi" w:hAnsiTheme="majorBidi" w:cstheme="majorBidi"/>
              <w:sz w:val="24"/>
              <w:szCs w:val="24"/>
            </w:rPr>
            <w:fldChar w:fldCharType="begin"/>
          </w:r>
          <w:r w:rsidRPr="00C95625">
            <w:rPr>
              <w:rFonts w:asciiTheme="majorBidi" w:hAnsiTheme="majorBidi" w:cstheme="majorBidi"/>
              <w:sz w:val="24"/>
              <w:szCs w:val="24"/>
            </w:rPr>
            <w:instrText xml:space="preserve"> CITATION Dro11 \l 2057 </w:instrText>
          </w:r>
          <w:r w:rsidRPr="00C95625">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(Drost, 2011)</w:t>
          </w:r>
          <w:r w:rsidRPr="00C95625">
            <w:rPr>
              <w:rFonts w:asciiTheme="majorBidi" w:hAnsiTheme="majorBidi" w:cstheme="majorBidi"/>
              <w:sz w:val="24"/>
              <w:szCs w:val="24"/>
            </w:rPr>
            <w:fldChar w:fldCharType="end"/>
          </w:r>
        </w:sdtContent>
      </w:sdt>
      <w:r w:rsidRPr="00C95625">
        <w:rPr>
          <w:rFonts w:asciiTheme="majorBidi" w:hAnsiTheme="majorBidi" w:cstheme="majorBidi"/>
          <w:sz w:val="24"/>
          <w:szCs w:val="24"/>
        </w:rPr>
        <w:t xml:space="preserve">. </w:t>
      </w:r>
      <w:bookmarkStart w:id="139" w:name="_Hlk150877579"/>
      <w:r w:rsidRPr="00C95625">
        <w:rPr>
          <w:rFonts w:asciiTheme="majorBidi" w:hAnsiTheme="majorBidi" w:cstheme="majorBidi"/>
          <w:sz w:val="24"/>
          <w:szCs w:val="24"/>
        </w:rPr>
        <w:t xml:space="preserve">It </w:t>
      </w:r>
      <w:bookmarkEnd w:id="138"/>
      <w:r w:rsidRPr="00C95625">
        <w:rPr>
          <w:rFonts w:asciiTheme="majorBidi" w:hAnsiTheme="majorBidi" w:cstheme="majorBidi"/>
          <w:sz w:val="24"/>
          <w:szCs w:val="24"/>
        </w:rPr>
        <w:t xml:space="preserve">has been sought </w:t>
      </w:r>
      <w:r>
        <w:rPr>
          <w:rFonts w:asciiTheme="majorBidi" w:hAnsiTheme="majorBidi" w:cstheme="majorBidi"/>
          <w:sz w:val="24"/>
          <w:szCs w:val="24"/>
        </w:rPr>
        <w:t>that</w:t>
      </w:r>
      <w:r w:rsidRPr="00C95625">
        <w:rPr>
          <w:rFonts w:asciiTheme="majorBidi" w:hAnsiTheme="majorBidi" w:cstheme="majorBidi"/>
          <w:sz w:val="24"/>
          <w:szCs w:val="24"/>
        </w:rPr>
        <w:t xml:space="preserve"> the probability of skipping a question or </w:t>
      </w:r>
      <w:r>
        <w:rPr>
          <w:rFonts w:asciiTheme="majorBidi" w:hAnsiTheme="majorBidi" w:cstheme="majorBidi"/>
          <w:sz w:val="24"/>
          <w:szCs w:val="24"/>
        </w:rPr>
        <w:t xml:space="preserve">falsely </w:t>
      </w:r>
      <w:r w:rsidRPr="00C95625">
        <w:rPr>
          <w:rFonts w:asciiTheme="majorBidi" w:hAnsiTheme="majorBidi" w:cstheme="majorBidi"/>
          <w:sz w:val="24"/>
          <w:szCs w:val="24"/>
        </w:rPr>
        <w:t>interpreting survey instruction can negatively impact the test reliability</w:t>
      </w:r>
      <w:sdt>
        <w:sdtPr>
          <w:rPr>
            <w:rFonts w:asciiTheme="majorBidi" w:hAnsiTheme="majorBidi" w:cstheme="majorBidi"/>
            <w:sz w:val="24"/>
            <w:szCs w:val="24"/>
          </w:rPr>
          <w:id w:val="-426969315"/>
          <w:citation/>
        </w:sdtPr>
        <w:sdtContent>
          <w:r w:rsidRPr="00C95625">
            <w:rPr>
              <w:rFonts w:asciiTheme="majorBidi" w:hAnsiTheme="majorBidi" w:cstheme="majorBidi"/>
              <w:sz w:val="24"/>
              <w:szCs w:val="24"/>
            </w:rPr>
            <w:fldChar w:fldCharType="begin"/>
          </w:r>
          <w:r w:rsidRPr="00C95625">
            <w:rPr>
              <w:rFonts w:asciiTheme="majorBidi" w:hAnsiTheme="majorBidi" w:cstheme="majorBidi"/>
              <w:sz w:val="24"/>
              <w:szCs w:val="24"/>
            </w:rPr>
            <w:instrText xml:space="preserve"> CITATION Dro11 \l 2057 </w:instrText>
          </w:r>
          <w:r w:rsidRPr="00C95625">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(Drost, 2011)</w:t>
          </w:r>
          <w:r w:rsidRPr="00C95625">
            <w:rPr>
              <w:rFonts w:asciiTheme="majorBidi" w:hAnsiTheme="majorBidi" w:cstheme="majorBidi"/>
              <w:sz w:val="24"/>
              <w:szCs w:val="24"/>
            </w:rPr>
            <w:fldChar w:fldCharType="end"/>
          </w:r>
        </w:sdtContent>
      </w:sdt>
      <w:r w:rsidRPr="00C95625">
        <w:rPr>
          <w:rFonts w:asciiTheme="majorBidi" w:hAnsiTheme="majorBidi" w:cstheme="majorBidi"/>
          <w:sz w:val="24"/>
          <w:szCs w:val="24"/>
        </w:rPr>
        <w:t xml:space="preserve">. In this study, the survey experiment was designed in a way that does not allow respondents to skip a question </w:t>
      </w:r>
      <w:r w:rsidR="00AF0796">
        <w:rPr>
          <w:rFonts w:asciiTheme="majorBidi" w:hAnsiTheme="majorBidi" w:cstheme="majorBidi"/>
          <w:sz w:val="24"/>
          <w:szCs w:val="24"/>
        </w:rPr>
        <w:t>without answering</w:t>
      </w:r>
      <w:r w:rsidRPr="00C95625">
        <w:rPr>
          <w:rFonts w:asciiTheme="majorBidi" w:hAnsiTheme="majorBidi" w:cstheme="majorBidi"/>
          <w:sz w:val="24"/>
          <w:szCs w:val="24"/>
        </w:rPr>
        <w:t xml:space="preserve">. </w:t>
      </w:r>
      <w:bookmarkEnd w:id="139"/>
      <w:r w:rsidRPr="00C95625">
        <w:rPr>
          <w:rFonts w:asciiTheme="majorBidi" w:hAnsiTheme="majorBidi" w:cstheme="majorBidi"/>
          <w:sz w:val="24"/>
          <w:szCs w:val="24"/>
        </w:rPr>
        <w:t>Also, based on the results of the pilot and the focus group (</w:t>
      </w:r>
      <w:r w:rsidRPr="00B4384E">
        <w:rPr>
          <w:rFonts w:asciiTheme="majorBidi" w:hAnsiTheme="majorBidi" w:cstheme="majorBidi"/>
          <w:sz w:val="24"/>
          <w:szCs w:val="24"/>
        </w:rPr>
        <w:t>section</w:t>
      </w:r>
      <w:r w:rsidR="00AF0796">
        <w:rPr>
          <w:rFonts w:asciiTheme="majorBidi" w:hAnsiTheme="majorBidi" w:cstheme="majorBidi"/>
          <w:sz w:val="24"/>
          <w:szCs w:val="24"/>
        </w:rPr>
        <w:t xml:space="preserve"> </w:t>
      </w:r>
      <w:r w:rsidR="00364B98">
        <w:rPr>
          <w:rFonts w:asciiTheme="majorBidi" w:hAnsiTheme="majorBidi" w:cstheme="majorBidi"/>
          <w:sz w:val="24"/>
          <w:szCs w:val="24"/>
        </w:rPr>
        <w:t>5</w:t>
      </w:r>
      <w:r w:rsidRPr="00B4384E">
        <w:rPr>
          <w:rFonts w:asciiTheme="majorBidi" w:hAnsiTheme="majorBidi" w:cstheme="majorBidi"/>
          <w:sz w:val="24"/>
          <w:szCs w:val="24"/>
        </w:rPr>
        <w:t>.</w:t>
      </w:r>
      <w:r w:rsidR="00364B98">
        <w:rPr>
          <w:rFonts w:asciiTheme="majorBidi" w:hAnsiTheme="majorBidi" w:cstheme="majorBidi"/>
          <w:sz w:val="24"/>
          <w:szCs w:val="24"/>
        </w:rPr>
        <w:t>4</w:t>
      </w:r>
      <w:r w:rsidRPr="00B4384E">
        <w:rPr>
          <w:rFonts w:asciiTheme="majorBidi" w:hAnsiTheme="majorBidi" w:cstheme="majorBidi"/>
          <w:sz w:val="24"/>
          <w:szCs w:val="24"/>
        </w:rPr>
        <w:t>.</w:t>
      </w:r>
      <w:r>
        <w:rPr>
          <w:rFonts w:asciiTheme="majorBidi" w:hAnsiTheme="majorBidi" w:cstheme="majorBidi"/>
          <w:sz w:val="24"/>
          <w:szCs w:val="24"/>
        </w:rPr>
        <w:t>4</w:t>
      </w:r>
      <w:r w:rsidRPr="00C95625">
        <w:rPr>
          <w:rFonts w:asciiTheme="majorBidi" w:hAnsiTheme="majorBidi" w:cstheme="majorBidi"/>
          <w:sz w:val="24"/>
          <w:szCs w:val="24"/>
        </w:rPr>
        <w:t xml:space="preserve">.), the wording of the questions and the instructions in the survey experiments were revised multiple times to ensure that instructions were clear to respondents. </w:t>
      </w:r>
      <w:bookmarkStart w:id="140" w:name="_Hlk150877621"/>
      <w:r w:rsidRPr="00C95625">
        <w:rPr>
          <w:rFonts w:asciiTheme="majorBidi" w:hAnsiTheme="majorBidi" w:cstheme="majorBidi"/>
          <w:sz w:val="24"/>
          <w:szCs w:val="24"/>
        </w:rPr>
        <w:t>Furthermore,</w:t>
      </w:r>
      <w:r>
        <w:rPr>
          <w:rFonts w:asciiTheme="majorBidi" w:hAnsiTheme="majorBidi" w:cstheme="majorBidi"/>
          <w:b/>
          <w:bCs/>
          <w:sz w:val="24"/>
          <w:szCs w:val="24"/>
        </w:rPr>
        <w:t xml:space="preserve"> </w:t>
      </w:r>
      <w:r>
        <w:rPr>
          <w:rFonts w:asciiTheme="majorBidi" w:hAnsiTheme="majorBidi" w:cstheme="majorBidi"/>
          <w:sz w:val="24"/>
          <w:szCs w:val="24"/>
        </w:rPr>
        <w:t>a</w:t>
      </w:r>
      <w:r w:rsidRPr="00C95625">
        <w:rPr>
          <w:rFonts w:asciiTheme="majorBidi" w:hAnsiTheme="majorBidi" w:cstheme="majorBidi"/>
          <w:sz w:val="24"/>
          <w:szCs w:val="24"/>
        </w:rPr>
        <w:t>n essential measure of validity and reliability of result or benefit transfer is determining the similarities among respondents</w:t>
      </w:r>
      <w:sdt>
        <w:sdtPr>
          <w:rPr>
            <w:rFonts w:asciiTheme="majorBidi" w:hAnsiTheme="majorBidi" w:cstheme="majorBidi"/>
            <w:sz w:val="24"/>
            <w:szCs w:val="24"/>
          </w:rPr>
          <w:id w:val="-1122684563"/>
          <w:citation/>
        </w:sdtPr>
        <w:sdtContent>
          <w:r w:rsidRPr="00C95625">
            <w:rPr>
              <w:rFonts w:asciiTheme="majorBidi" w:hAnsiTheme="majorBidi" w:cstheme="majorBidi"/>
              <w:sz w:val="24"/>
              <w:szCs w:val="24"/>
            </w:rPr>
            <w:fldChar w:fldCharType="begin"/>
          </w:r>
          <w:r w:rsidRPr="00C95625">
            <w:rPr>
              <w:rFonts w:asciiTheme="majorBidi" w:hAnsiTheme="majorBidi" w:cstheme="majorBidi"/>
              <w:sz w:val="24"/>
              <w:szCs w:val="24"/>
            </w:rPr>
            <w:instrText xml:space="preserve"> CITATION Joh10 \l 2057 </w:instrText>
          </w:r>
          <w:r w:rsidRPr="00C95625">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(Johnston &amp; Rosenberger, 2010)</w:t>
          </w:r>
          <w:r w:rsidRPr="00C95625">
            <w:rPr>
              <w:rFonts w:asciiTheme="majorBidi" w:hAnsiTheme="majorBidi" w:cstheme="majorBidi"/>
              <w:sz w:val="24"/>
              <w:szCs w:val="24"/>
            </w:rPr>
            <w:fldChar w:fldCharType="end"/>
          </w:r>
        </w:sdtContent>
      </w:sdt>
      <w:r w:rsidRPr="00C95625">
        <w:rPr>
          <w:rFonts w:asciiTheme="majorBidi" w:hAnsiTheme="majorBidi" w:cstheme="majorBidi"/>
          <w:sz w:val="24"/>
          <w:szCs w:val="24"/>
        </w:rPr>
        <w:t>.</w:t>
      </w:r>
      <w:r>
        <w:rPr>
          <w:rFonts w:asciiTheme="majorBidi" w:hAnsiTheme="majorBidi" w:cstheme="majorBidi"/>
          <w:sz w:val="24"/>
          <w:szCs w:val="24"/>
        </w:rPr>
        <w:t xml:space="preserve"> </w:t>
      </w:r>
      <w:r w:rsidRPr="00C95625">
        <w:rPr>
          <w:rFonts w:asciiTheme="majorBidi" w:hAnsiTheme="majorBidi" w:cstheme="majorBidi"/>
          <w:sz w:val="24"/>
          <w:szCs w:val="24"/>
        </w:rPr>
        <w:t xml:space="preserve">To </w:t>
      </w:r>
      <w:r w:rsidR="00AF0796">
        <w:rPr>
          <w:rFonts w:asciiTheme="majorBidi" w:hAnsiTheme="majorBidi" w:cstheme="majorBidi"/>
          <w:sz w:val="24"/>
          <w:szCs w:val="24"/>
        </w:rPr>
        <w:t>ensure socio</w:t>
      </w:r>
      <w:r w:rsidR="00245841">
        <w:rPr>
          <w:rFonts w:asciiTheme="majorBidi" w:hAnsiTheme="majorBidi" w:cstheme="majorBidi"/>
          <w:sz w:val="24"/>
          <w:szCs w:val="24"/>
        </w:rPr>
        <w:t>-</w:t>
      </w:r>
      <w:r w:rsidR="00AF0796">
        <w:rPr>
          <w:rFonts w:asciiTheme="majorBidi" w:hAnsiTheme="majorBidi" w:cstheme="majorBidi"/>
          <w:sz w:val="24"/>
          <w:szCs w:val="24"/>
        </w:rPr>
        <w:t xml:space="preserve">economic </w:t>
      </w:r>
      <w:r w:rsidRPr="00C95625">
        <w:rPr>
          <w:rFonts w:asciiTheme="majorBidi" w:hAnsiTheme="majorBidi" w:cstheme="majorBidi"/>
          <w:sz w:val="24"/>
          <w:szCs w:val="24"/>
        </w:rPr>
        <w:t xml:space="preserve">similarities among the results, </w:t>
      </w:r>
      <w:r>
        <w:rPr>
          <w:rFonts w:asciiTheme="majorBidi" w:hAnsiTheme="majorBidi" w:cstheme="majorBidi"/>
          <w:sz w:val="24"/>
          <w:szCs w:val="24"/>
        </w:rPr>
        <w:t xml:space="preserve">I applied </w:t>
      </w:r>
      <w:r w:rsidRPr="00C95625">
        <w:rPr>
          <w:rFonts w:asciiTheme="majorBidi" w:hAnsiTheme="majorBidi" w:cstheme="majorBidi"/>
          <w:sz w:val="24"/>
          <w:szCs w:val="24"/>
        </w:rPr>
        <w:t xml:space="preserve">an approach </w:t>
      </w:r>
      <w:r>
        <w:rPr>
          <w:rFonts w:asciiTheme="majorBidi" w:hAnsiTheme="majorBidi" w:cstheme="majorBidi"/>
          <w:sz w:val="24"/>
          <w:szCs w:val="24"/>
        </w:rPr>
        <w:t>presented</w:t>
      </w:r>
      <w:r w:rsidRPr="00C95625">
        <w:rPr>
          <w:rFonts w:asciiTheme="majorBidi" w:hAnsiTheme="majorBidi" w:cstheme="majorBidi"/>
          <w:sz w:val="24"/>
          <w:szCs w:val="24"/>
        </w:rPr>
        <w:t xml:space="preserve"> by other researchers</w:t>
      </w:r>
      <w:sdt>
        <w:sdtPr>
          <w:rPr>
            <w:rFonts w:asciiTheme="majorBidi" w:hAnsiTheme="majorBidi" w:cstheme="majorBidi"/>
            <w:sz w:val="24"/>
            <w:szCs w:val="24"/>
          </w:rPr>
          <w:id w:val="-344706117"/>
          <w:citation/>
        </w:sdtPr>
        <w:sdtContent>
          <w:r w:rsidRPr="00C95625">
            <w:rPr>
              <w:rFonts w:asciiTheme="majorBidi" w:hAnsiTheme="majorBidi" w:cstheme="majorBidi"/>
              <w:sz w:val="24"/>
              <w:szCs w:val="24"/>
            </w:rPr>
            <w:fldChar w:fldCharType="begin"/>
          </w:r>
          <w:r>
            <w:rPr>
              <w:rFonts w:asciiTheme="majorBidi" w:hAnsiTheme="majorBidi" w:cstheme="majorBidi"/>
              <w:sz w:val="24"/>
              <w:szCs w:val="24"/>
            </w:rPr>
            <w:instrText xml:space="preserve">CITATION Tre18 \t  \l 2057 </w:instrText>
          </w:r>
          <w:r w:rsidRPr="00C95625">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(Trenholm, Lantz, Haider, &amp; Knowler, 2018)</w:t>
          </w:r>
          <w:r w:rsidRPr="00C95625">
            <w:rPr>
              <w:rFonts w:asciiTheme="majorBidi" w:hAnsiTheme="majorBidi" w:cstheme="majorBidi"/>
              <w:sz w:val="24"/>
              <w:szCs w:val="24"/>
            </w:rPr>
            <w:fldChar w:fldCharType="end"/>
          </w:r>
        </w:sdtContent>
      </w:sdt>
      <w:r w:rsidRPr="00C95625">
        <w:rPr>
          <w:rFonts w:asciiTheme="majorBidi" w:hAnsiTheme="majorBidi" w:cstheme="majorBidi"/>
          <w:sz w:val="24"/>
          <w:szCs w:val="24"/>
        </w:rPr>
        <w:t xml:space="preserve">, </w:t>
      </w:r>
      <w:r>
        <w:rPr>
          <w:rFonts w:asciiTheme="majorBidi" w:hAnsiTheme="majorBidi" w:cstheme="majorBidi"/>
          <w:sz w:val="24"/>
          <w:szCs w:val="24"/>
        </w:rPr>
        <w:t xml:space="preserve">in which I </w:t>
      </w:r>
      <w:r w:rsidRPr="00C95625">
        <w:rPr>
          <w:rFonts w:asciiTheme="majorBidi" w:hAnsiTheme="majorBidi" w:cstheme="majorBidi"/>
          <w:sz w:val="24"/>
          <w:szCs w:val="24"/>
        </w:rPr>
        <w:t xml:space="preserve">included questions about demographical characteristics in the survey experiments. </w:t>
      </w:r>
      <w:bookmarkEnd w:id="140"/>
    </w:p>
    <w:p w14:paraId="3008A15F" w14:textId="0EC0D83D" w:rsidR="007A225E" w:rsidRDefault="007A225E" w:rsidP="007A225E">
      <w:pPr>
        <w:adjustRightInd w:val="0"/>
        <w:spacing w:after="0" w:line="480" w:lineRule="auto"/>
        <w:ind w:firstLine="720"/>
        <w:rPr>
          <w:rFonts w:asciiTheme="majorBidi" w:hAnsiTheme="majorBidi" w:cstheme="majorBidi"/>
          <w:b/>
          <w:bCs/>
          <w:sz w:val="24"/>
          <w:szCs w:val="24"/>
        </w:rPr>
      </w:pPr>
      <w:r w:rsidRPr="00004E03">
        <w:rPr>
          <w:rFonts w:asciiTheme="majorBidi" w:hAnsiTheme="majorBidi" w:cstheme="majorBidi"/>
          <w:b/>
          <w:bCs/>
          <w:sz w:val="24"/>
          <w:szCs w:val="24"/>
        </w:rPr>
        <w:t>5.</w:t>
      </w:r>
      <w:r w:rsidR="00891F01" w:rsidRPr="00004E03">
        <w:rPr>
          <w:rFonts w:asciiTheme="majorBidi" w:hAnsiTheme="majorBidi" w:cstheme="majorBidi"/>
          <w:b/>
          <w:bCs/>
          <w:sz w:val="24"/>
          <w:szCs w:val="24"/>
        </w:rPr>
        <w:t>4.</w:t>
      </w:r>
      <w:r w:rsidRPr="00004E03">
        <w:rPr>
          <w:rFonts w:asciiTheme="majorBidi" w:hAnsiTheme="majorBidi" w:cstheme="majorBidi"/>
          <w:b/>
          <w:bCs/>
          <w:sz w:val="24"/>
          <w:szCs w:val="24"/>
        </w:rPr>
        <w:t>2 Design Process</w:t>
      </w:r>
      <w:r>
        <w:rPr>
          <w:rFonts w:asciiTheme="majorBidi" w:hAnsiTheme="majorBidi" w:cstheme="majorBidi"/>
          <w:b/>
          <w:bCs/>
          <w:sz w:val="24"/>
          <w:szCs w:val="24"/>
        </w:rPr>
        <w:t xml:space="preserve"> </w:t>
      </w:r>
    </w:p>
    <w:p w14:paraId="6C72DA1E" w14:textId="737AA00B" w:rsidR="00570DCC" w:rsidRDefault="007A225E" w:rsidP="00497D7F">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This section describes the steps carried out to develop the survey experiments. As discussed earlier in this chapter, I conducted an initial short online survey to identi</w:t>
      </w:r>
      <w:r w:rsidR="00FD746E">
        <w:rPr>
          <w:rFonts w:asciiTheme="majorBidi" w:hAnsiTheme="majorBidi" w:cstheme="majorBidi"/>
          <w:sz w:val="24"/>
          <w:szCs w:val="24"/>
        </w:rPr>
        <w:t>f</w:t>
      </w:r>
      <w:r>
        <w:rPr>
          <w:rFonts w:asciiTheme="majorBidi" w:hAnsiTheme="majorBidi" w:cstheme="majorBidi"/>
          <w:sz w:val="24"/>
          <w:szCs w:val="24"/>
        </w:rPr>
        <w:t>y the type of CSR project that would be highly valued by Egyptian consumers.</w:t>
      </w:r>
      <w:r w:rsidR="00FF02B3">
        <w:rPr>
          <w:rFonts w:asciiTheme="majorBidi" w:hAnsiTheme="majorBidi" w:cstheme="majorBidi"/>
          <w:sz w:val="24"/>
          <w:szCs w:val="24"/>
        </w:rPr>
        <w:t xml:space="preserve"> </w:t>
      </w:r>
      <w:r w:rsidR="00FF02B3" w:rsidRPr="00004E03">
        <w:rPr>
          <w:rFonts w:asciiTheme="majorBidi" w:hAnsiTheme="majorBidi" w:cstheme="majorBidi"/>
          <w:sz w:val="24"/>
          <w:szCs w:val="24"/>
        </w:rPr>
        <w:t xml:space="preserve">This is a necessary step as it was evident in literature that CSR campaigns are most successful </w:t>
      </w:r>
      <w:r w:rsidR="00AF0796" w:rsidRPr="00004E03">
        <w:rPr>
          <w:rFonts w:asciiTheme="majorBidi" w:hAnsiTheme="majorBidi" w:cstheme="majorBidi"/>
          <w:sz w:val="24"/>
          <w:szCs w:val="24"/>
        </w:rPr>
        <w:t>when they are</w:t>
      </w:r>
      <w:r w:rsidR="00FF02B3" w:rsidRPr="00004E03">
        <w:rPr>
          <w:rFonts w:asciiTheme="majorBidi" w:hAnsiTheme="majorBidi" w:cstheme="majorBidi"/>
          <w:sz w:val="24"/>
          <w:szCs w:val="24"/>
        </w:rPr>
        <w:t xml:space="preserve"> highly relevant to consumers</w:t>
      </w:r>
      <w:r w:rsidR="00AF0796" w:rsidRPr="00004E03">
        <w:rPr>
          <w:rFonts w:asciiTheme="majorBidi" w:hAnsiTheme="majorBidi" w:cstheme="majorBidi"/>
          <w:sz w:val="24"/>
          <w:szCs w:val="24"/>
        </w:rPr>
        <w:t>’ needs</w:t>
      </w:r>
      <w:r w:rsidR="00FF02B3">
        <w:rPr>
          <w:rFonts w:asciiTheme="majorBidi" w:hAnsiTheme="majorBidi" w:cstheme="majorBidi"/>
          <w:sz w:val="24"/>
          <w:szCs w:val="24"/>
        </w:rPr>
        <w:t xml:space="preserve"> </w:t>
      </w:r>
      <w:sdt>
        <w:sdtPr>
          <w:rPr>
            <w:rFonts w:asciiTheme="majorBidi" w:hAnsiTheme="majorBidi" w:cstheme="majorBidi"/>
            <w:sz w:val="24"/>
            <w:szCs w:val="24"/>
          </w:rPr>
          <w:id w:val="-265163037"/>
          <w:citation/>
        </w:sdtPr>
        <w:sdtContent>
          <w:r w:rsidR="00FF02B3">
            <w:rPr>
              <w:rFonts w:asciiTheme="majorBidi" w:hAnsiTheme="majorBidi" w:cstheme="majorBidi"/>
              <w:sz w:val="24"/>
              <w:szCs w:val="24"/>
            </w:rPr>
            <w:fldChar w:fldCharType="begin"/>
          </w:r>
          <w:r w:rsidR="00FF02B3">
            <w:rPr>
              <w:rFonts w:asciiTheme="majorBidi" w:hAnsiTheme="majorBidi" w:cstheme="majorBidi"/>
              <w:sz w:val="24"/>
              <w:szCs w:val="24"/>
            </w:rPr>
            <w:instrText xml:space="preserve"> CITATION Mam21 \l 2057  \m EEr16</w:instrText>
          </w:r>
          <w:r w:rsidR="00FF02B3">
            <w:rPr>
              <w:rFonts w:asciiTheme="majorBidi" w:hAnsiTheme="majorBidi" w:cstheme="majorBidi"/>
              <w:sz w:val="24"/>
              <w:szCs w:val="24"/>
            </w:rPr>
            <w:fldChar w:fldCharType="separate"/>
          </w:r>
          <w:r w:rsidR="00FF02B3" w:rsidRPr="0074573E">
            <w:rPr>
              <w:rFonts w:asciiTheme="majorBidi" w:hAnsiTheme="majorBidi" w:cstheme="majorBidi"/>
              <w:noProof/>
              <w:sz w:val="24"/>
              <w:szCs w:val="24"/>
            </w:rPr>
            <w:t>(Mamo, Agyemang, &amp; Andrew, 2021; Schauster, Ferrucci, &amp; Neill, 2016)</w:t>
          </w:r>
          <w:r w:rsidR="00FF02B3">
            <w:rPr>
              <w:rFonts w:asciiTheme="majorBidi" w:hAnsiTheme="majorBidi" w:cstheme="majorBidi"/>
              <w:sz w:val="24"/>
              <w:szCs w:val="24"/>
            </w:rPr>
            <w:fldChar w:fldCharType="end"/>
          </w:r>
        </w:sdtContent>
      </w:sdt>
      <w:r w:rsidR="00B90233">
        <w:rPr>
          <w:rFonts w:asciiTheme="majorBidi" w:hAnsiTheme="majorBidi" w:cstheme="majorBidi"/>
          <w:sz w:val="24"/>
          <w:szCs w:val="24"/>
        </w:rPr>
        <w:t xml:space="preserve">. </w:t>
      </w:r>
      <w:r>
        <w:rPr>
          <w:rFonts w:asciiTheme="majorBidi" w:hAnsiTheme="majorBidi" w:cstheme="majorBidi"/>
          <w:sz w:val="24"/>
          <w:szCs w:val="24"/>
        </w:rPr>
        <w:t xml:space="preserve">This </w:t>
      </w:r>
      <w:r w:rsidR="00497D7F">
        <w:rPr>
          <w:rFonts w:asciiTheme="majorBidi" w:hAnsiTheme="majorBidi" w:cstheme="majorBidi"/>
          <w:sz w:val="24"/>
          <w:szCs w:val="24"/>
        </w:rPr>
        <w:t xml:space="preserve">initial </w:t>
      </w:r>
      <w:r>
        <w:rPr>
          <w:rFonts w:asciiTheme="majorBidi" w:hAnsiTheme="majorBidi" w:cstheme="majorBidi"/>
          <w:sz w:val="24"/>
          <w:szCs w:val="24"/>
        </w:rPr>
        <w:t>questionnaire consisted of 1</w:t>
      </w:r>
      <w:r w:rsidR="004004BC">
        <w:rPr>
          <w:rFonts w:asciiTheme="majorBidi" w:hAnsiTheme="majorBidi" w:cstheme="majorBidi"/>
          <w:sz w:val="24"/>
          <w:szCs w:val="24"/>
        </w:rPr>
        <w:t>5</w:t>
      </w:r>
      <w:r>
        <w:rPr>
          <w:rFonts w:asciiTheme="majorBidi" w:hAnsiTheme="majorBidi" w:cstheme="majorBidi"/>
          <w:sz w:val="24"/>
          <w:szCs w:val="24"/>
        </w:rPr>
        <w:t xml:space="preserve"> questions, and it was shared online on Facebook groups that are popular in Egypt</w:t>
      </w:r>
      <w:r w:rsidR="004004BC">
        <w:rPr>
          <w:rFonts w:asciiTheme="majorBidi" w:hAnsiTheme="majorBidi" w:cstheme="majorBidi"/>
          <w:sz w:val="24"/>
          <w:szCs w:val="24"/>
        </w:rPr>
        <w:t xml:space="preserve"> which will be further explained in section</w:t>
      </w:r>
      <w:r w:rsidR="004C729F">
        <w:rPr>
          <w:rFonts w:asciiTheme="majorBidi" w:hAnsiTheme="majorBidi" w:cstheme="majorBidi"/>
          <w:sz w:val="24"/>
          <w:szCs w:val="24"/>
        </w:rPr>
        <w:t xml:space="preserve"> </w:t>
      </w:r>
      <w:r w:rsidR="004004BC">
        <w:rPr>
          <w:rFonts w:asciiTheme="majorBidi" w:hAnsiTheme="majorBidi" w:cstheme="majorBidi"/>
          <w:sz w:val="24"/>
          <w:szCs w:val="24"/>
        </w:rPr>
        <w:t>5.</w:t>
      </w:r>
      <w:r w:rsidR="004C729F">
        <w:rPr>
          <w:rFonts w:asciiTheme="majorBidi" w:hAnsiTheme="majorBidi" w:cstheme="majorBidi"/>
          <w:sz w:val="24"/>
          <w:szCs w:val="24"/>
        </w:rPr>
        <w:t xml:space="preserve"> 4. </w:t>
      </w:r>
      <w:r w:rsidR="004004BC">
        <w:rPr>
          <w:rFonts w:asciiTheme="majorBidi" w:hAnsiTheme="majorBidi" w:cstheme="majorBidi"/>
          <w:sz w:val="24"/>
          <w:szCs w:val="24"/>
        </w:rPr>
        <w:t>8</w:t>
      </w:r>
      <w:r>
        <w:rPr>
          <w:rFonts w:asciiTheme="majorBidi" w:hAnsiTheme="majorBidi" w:cstheme="majorBidi"/>
          <w:sz w:val="24"/>
          <w:szCs w:val="24"/>
        </w:rPr>
        <w:t>.</w:t>
      </w:r>
      <w:r w:rsidR="00022A7B">
        <w:rPr>
          <w:rFonts w:asciiTheme="majorBidi" w:hAnsiTheme="majorBidi" w:cstheme="majorBidi"/>
          <w:sz w:val="24"/>
          <w:szCs w:val="24"/>
        </w:rPr>
        <w:t xml:space="preserve"> This questionnaire is provided in Appendix </w:t>
      </w:r>
      <w:r w:rsidR="00891F01">
        <w:rPr>
          <w:rFonts w:asciiTheme="majorBidi" w:hAnsiTheme="majorBidi" w:cstheme="majorBidi"/>
          <w:sz w:val="24"/>
          <w:szCs w:val="24"/>
        </w:rPr>
        <w:t>B</w:t>
      </w:r>
      <w:r w:rsidR="00022A7B">
        <w:rPr>
          <w:rFonts w:asciiTheme="majorBidi" w:hAnsiTheme="majorBidi" w:cstheme="majorBidi"/>
          <w:sz w:val="24"/>
          <w:szCs w:val="24"/>
        </w:rPr>
        <w:t>.</w:t>
      </w:r>
      <w:r w:rsidR="00497D7F">
        <w:rPr>
          <w:rFonts w:asciiTheme="majorBidi" w:hAnsiTheme="majorBidi" w:cstheme="majorBidi"/>
          <w:sz w:val="24"/>
          <w:szCs w:val="24"/>
        </w:rPr>
        <w:t xml:space="preserve"> Before launching this questionnaire, an online application was submitted to LSBU’s</w:t>
      </w:r>
      <w:r w:rsidR="00497D7F" w:rsidRPr="00497D7F">
        <w:rPr>
          <w:rFonts w:asciiTheme="majorBidi" w:hAnsiTheme="majorBidi" w:cstheme="majorBidi"/>
          <w:sz w:val="24"/>
          <w:szCs w:val="24"/>
        </w:rPr>
        <w:t xml:space="preserve"> business school's ethical </w:t>
      </w:r>
      <w:r w:rsidR="00497D7F">
        <w:rPr>
          <w:rFonts w:asciiTheme="majorBidi" w:hAnsiTheme="majorBidi" w:cstheme="majorBidi"/>
          <w:sz w:val="24"/>
          <w:szCs w:val="24"/>
        </w:rPr>
        <w:t>and obtained its approval on the questionnaire.</w:t>
      </w:r>
      <w:r>
        <w:rPr>
          <w:rFonts w:asciiTheme="majorBidi" w:hAnsiTheme="majorBidi" w:cstheme="majorBidi"/>
          <w:sz w:val="24"/>
          <w:szCs w:val="24"/>
        </w:rPr>
        <w:t xml:space="preserve"> </w:t>
      </w:r>
      <w:r w:rsidR="00497D7F">
        <w:rPr>
          <w:rFonts w:asciiTheme="majorBidi" w:hAnsiTheme="majorBidi" w:cstheme="majorBidi"/>
          <w:sz w:val="24"/>
          <w:szCs w:val="24"/>
        </w:rPr>
        <w:t>Based on the guidelines of the university’s ethical panel, t</w:t>
      </w:r>
      <w:r>
        <w:rPr>
          <w:rFonts w:asciiTheme="majorBidi" w:hAnsiTheme="majorBidi" w:cstheme="majorBidi"/>
          <w:sz w:val="24"/>
          <w:szCs w:val="24"/>
        </w:rPr>
        <w:t>he questionnaire started with consensual questions</w:t>
      </w:r>
      <w:r w:rsidR="00497D7F">
        <w:rPr>
          <w:rFonts w:asciiTheme="majorBidi" w:hAnsiTheme="majorBidi" w:cstheme="majorBidi"/>
          <w:sz w:val="24"/>
          <w:szCs w:val="24"/>
        </w:rPr>
        <w:t xml:space="preserve"> that informed participants of the privacy of the data that they are providing and confirm their free will of participating in the survey.</w:t>
      </w:r>
      <w:r>
        <w:rPr>
          <w:rFonts w:asciiTheme="majorBidi" w:hAnsiTheme="majorBidi" w:cstheme="majorBidi"/>
          <w:sz w:val="24"/>
          <w:szCs w:val="24"/>
        </w:rPr>
        <w:t xml:space="preserve"> </w:t>
      </w:r>
      <w:r w:rsidR="00497D7F">
        <w:rPr>
          <w:rFonts w:asciiTheme="majorBidi" w:hAnsiTheme="majorBidi" w:cstheme="majorBidi"/>
          <w:sz w:val="24"/>
          <w:szCs w:val="24"/>
        </w:rPr>
        <w:t>T</w:t>
      </w:r>
      <w:r>
        <w:rPr>
          <w:rFonts w:asciiTheme="majorBidi" w:hAnsiTheme="majorBidi" w:cstheme="majorBidi"/>
          <w:sz w:val="24"/>
          <w:szCs w:val="24"/>
        </w:rPr>
        <w:t>hen</w:t>
      </w:r>
      <w:r w:rsidR="00497D7F">
        <w:rPr>
          <w:rFonts w:asciiTheme="majorBidi" w:hAnsiTheme="majorBidi" w:cstheme="majorBidi"/>
          <w:sz w:val="24"/>
          <w:szCs w:val="24"/>
        </w:rPr>
        <w:t>, the questionnaire had some</w:t>
      </w:r>
      <w:r>
        <w:rPr>
          <w:rFonts w:asciiTheme="majorBidi" w:hAnsiTheme="majorBidi" w:cstheme="majorBidi"/>
          <w:sz w:val="24"/>
          <w:szCs w:val="24"/>
        </w:rPr>
        <w:t xml:space="preserve"> filtering questions to ensure that respondents live in Egypt, and they are the ones who buy their own groceries. The questionnaire was provided</w:t>
      </w:r>
      <w:r w:rsidR="00497D7F">
        <w:rPr>
          <w:rFonts w:asciiTheme="majorBidi" w:hAnsiTheme="majorBidi" w:cstheme="majorBidi"/>
          <w:sz w:val="24"/>
          <w:szCs w:val="24"/>
        </w:rPr>
        <w:t xml:space="preserve"> online</w:t>
      </w:r>
      <w:r w:rsidR="00AF7892">
        <w:rPr>
          <w:rFonts w:asciiTheme="majorBidi" w:hAnsiTheme="majorBidi" w:cstheme="majorBidi"/>
          <w:sz w:val="24"/>
          <w:szCs w:val="24"/>
        </w:rPr>
        <w:t xml:space="preserve"> in English and in Arabic</w:t>
      </w:r>
      <w:r w:rsidR="00497D7F">
        <w:rPr>
          <w:rFonts w:asciiTheme="majorBidi" w:hAnsiTheme="majorBidi" w:cstheme="majorBidi"/>
          <w:sz w:val="24"/>
          <w:szCs w:val="24"/>
        </w:rPr>
        <w:t xml:space="preserve"> through</w:t>
      </w:r>
      <w:r w:rsidR="00AF7892">
        <w:rPr>
          <w:rFonts w:asciiTheme="majorBidi" w:hAnsiTheme="majorBidi" w:cstheme="majorBidi"/>
          <w:sz w:val="24"/>
          <w:szCs w:val="24"/>
        </w:rPr>
        <w:t xml:space="preserve"> </w:t>
      </w:r>
      <w:r w:rsidR="00497D7F">
        <w:rPr>
          <w:rFonts w:asciiTheme="majorBidi" w:hAnsiTheme="majorBidi" w:cstheme="majorBidi"/>
          <w:sz w:val="24"/>
          <w:szCs w:val="24"/>
        </w:rPr>
        <w:t>hyperlink</w:t>
      </w:r>
      <w:r w:rsidR="00AF7892">
        <w:rPr>
          <w:rFonts w:asciiTheme="majorBidi" w:hAnsiTheme="majorBidi" w:cstheme="majorBidi"/>
          <w:sz w:val="24"/>
          <w:szCs w:val="24"/>
        </w:rPr>
        <w:t>s</w:t>
      </w:r>
      <w:r w:rsidR="00497D7F">
        <w:rPr>
          <w:rFonts w:asciiTheme="majorBidi" w:hAnsiTheme="majorBidi" w:cstheme="majorBidi"/>
          <w:sz w:val="24"/>
          <w:szCs w:val="24"/>
        </w:rPr>
        <w:t xml:space="preserve"> </w:t>
      </w:r>
      <w:r>
        <w:rPr>
          <w:rFonts w:asciiTheme="majorBidi" w:hAnsiTheme="majorBidi" w:cstheme="majorBidi"/>
          <w:sz w:val="24"/>
          <w:szCs w:val="24"/>
        </w:rPr>
        <w:t>allowing respondents to choose</w:t>
      </w:r>
      <w:r w:rsidR="00AF7892">
        <w:rPr>
          <w:rFonts w:asciiTheme="majorBidi" w:hAnsiTheme="majorBidi" w:cstheme="majorBidi"/>
          <w:sz w:val="24"/>
          <w:szCs w:val="24"/>
        </w:rPr>
        <w:t xml:space="preserve"> the language</w:t>
      </w:r>
      <w:r>
        <w:rPr>
          <w:rFonts w:asciiTheme="majorBidi" w:hAnsiTheme="majorBidi" w:cstheme="majorBidi"/>
          <w:sz w:val="24"/>
          <w:szCs w:val="24"/>
        </w:rPr>
        <w:t xml:space="preserve"> based on their preferences. Mostly, the questionnaire asked for the consumers’ personal </w:t>
      </w:r>
      <w:r w:rsidR="00173596">
        <w:rPr>
          <w:rFonts w:asciiTheme="majorBidi" w:hAnsiTheme="majorBidi" w:cstheme="majorBidi"/>
          <w:sz w:val="24"/>
          <w:szCs w:val="24"/>
        </w:rPr>
        <w:t>point of view</w:t>
      </w:r>
      <w:r>
        <w:rPr>
          <w:rFonts w:asciiTheme="majorBidi" w:hAnsiTheme="majorBidi" w:cstheme="majorBidi"/>
          <w:sz w:val="24"/>
          <w:szCs w:val="24"/>
        </w:rPr>
        <w:t xml:space="preserve"> on various CSR sectors that they think would be most needed by society and people in Egypt. The main objective of this initial survey was to design the stimuli to be used in the</w:t>
      </w:r>
      <w:r w:rsidR="00C20C7A">
        <w:rPr>
          <w:rFonts w:asciiTheme="majorBidi" w:hAnsiTheme="majorBidi" w:cstheme="majorBidi"/>
          <w:sz w:val="24"/>
          <w:szCs w:val="24"/>
        </w:rPr>
        <w:t xml:space="preserve"> actual</w:t>
      </w:r>
      <w:r>
        <w:rPr>
          <w:rFonts w:asciiTheme="majorBidi" w:hAnsiTheme="majorBidi" w:cstheme="majorBidi"/>
          <w:sz w:val="24"/>
          <w:szCs w:val="24"/>
        </w:rPr>
        <w:t xml:space="preserve"> experiment</w:t>
      </w:r>
      <w:r w:rsidR="00C20C7A">
        <w:rPr>
          <w:rFonts w:asciiTheme="majorBidi" w:hAnsiTheme="majorBidi" w:cstheme="majorBidi"/>
          <w:sz w:val="24"/>
          <w:szCs w:val="24"/>
        </w:rPr>
        <w:t>al study</w:t>
      </w:r>
      <w:r w:rsidR="00497D7F">
        <w:rPr>
          <w:rFonts w:asciiTheme="majorBidi" w:hAnsiTheme="majorBidi" w:cstheme="majorBidi"/>
          <w:sz w:val="24"/>
          <w:szCs w:val="24"/>
        </w:rPr>
        <w:t xml:space="preserve"> for study one</w:t>
      </w:r>
      <w:r>
        <w:rPr>
          <w:rFonts w:asciiTheme="majorBidi" w:hAnsiTheme="majorBidi" w:cstheme="majorBidi"/>
          <w:sz w:val="24"/>
          <w:szCs w:val="24"/>
        </w:rPr>
        <w:t>. Hence, at this stage, only descriptive data</w:t>
      </w:r>
      <w:r w:rsidR="00022A7B">
        <w:rPr>
          <w:rFonts w:asciiTheme="majorBidi" w:hAnsiTheme="majorBidi" w:cstheme="majorBidi"/>
          <w:sz w:val="24"/>
          <w:szCs w:val="24"/>
        </w:rPr>
        <w:t xml:space="preserve"> analysis</w:t>
      </w:r>
      <w:r>
        <w:rPr>
          <w:rFonts w:asciiTheme="majorBidi" w:hAnsiTheme="majorBidi" w:cstheme="majorBidi"/>
          <w:sz w:val="24"/>
          <w:szCs w:val="24"/>
        </w:rPr>
        <w:t xml:space="preserve"> was required. The survey results were analysed on SPSS version 23. The total number of valid respondents </w:t>
      </w:r>
      <w:r w:rsidR="00245841">
        <w:rPr>
          <w:rFonts w:asciiTheme="majorBidi" w:hAnsiTheme="majorBidi" w:cstheme="majorBidi"/>
          <w:sz w:val="24"/>
          <w:szCs w:val="24"/>
        </w:rPr>
        <w:t>was</w:t>
      </w:r>
      <w:r>
        <w:rPr>
          <w:rFonts w:asciiTheme="majorBidi" w:hAnsiTheme="majorBidi" w:cstheme="majorBidi"/>
          <w:sz w:val="24"/>
          <w:szCs w:val="24"/>
        </w:rPr>
        <w:t xml:space="preserve"> 322 respondents of Egyptian adults in which 94% of them were females and 6% of them were males. This gender imbalance should not be a major issue as gender is not a key variable in this study. </w:t>
      </w:r>
      <w:r w:rsidRPr="00044DE9">
        <w:rPr>
          <w:rFonts w:asciiTheme="majorBidi" w:hAnsiTheme="majorBidi" w:cstheme="majorBidi"/>
          <w:sz w:val="24"/>
          <w:szCs w:val="24"/>
        </w:rPr>
        <w:t>This is because, even though there is a perceived gender wage disparity in Egypt favouring men</w:t>
      </w:r>
      <w:sdt>
        <w:sdtPr>
          <w:rPr>
            <w:rFonts w:asciiTheme="majorBidi" w:hAnsiTheme="majorBidi" w:cstheme="majorBidi"/>
            <w:sz w:val="24"/>
            <w:szCs w:val="24"/>
          </w:rPr>
          <w:id w:val="915749137"/>
          <w:citation/>
        </w:sdtPr>
        <w:sdtContent>
          <w:r w:rsidRPr="00044DE9">
            <w:rPr>
              <w:rFonts w:asciiTheme="majorBidi" w:hAnsiTheme="majorBidi" w:cstheme="majorBidi"/>
              <w:sz w:val="24"/>
              <w:szCs w:val="24"/>
            </w:rPr>
            <w:fldChar w:fldCharType="begin"/>
          </w:r>
          <w:r w:rsidRPr="00044DE9">
            <w:rPr>
              <w:rFonts w:asciiTheme="majorBidi" w:hAnsiTheme="majorBidi" w:cstheme="majorBidi"/>
              <w:sz w:val="24"/>
              <w:szCs w:val="24"/>
            </w:rPr>
            <w:instrText xml:space="preserve"> CITATION Bil19 \l 2057 </w:instrText>
          </w:r>
          <w:r w:rsidRPr="00044DE9">
            <w:rPr>
              <w:rFonts w:asciiTheme="majorBidi" w:hAnsiTheme="majorBidi" w:cstheme="majorBidi"/>
              <w:sz w:val="24"/>
              <w:szCs w:val="24"/>
            </w:rPr>
            <w:fldChar w:fldCharType="separate"/>
          </w:r>
          <w:r w:rsidRPr="00044DE9">
            <w:rPr>
              <w:rFonts w:asciiTheme="majorBidi" w:hAnsiTheme="majorBidi" w:cstheme="majorBidi"/>
              <w:noProof/>
              <w:sz w:val="24"/>
              <w:szCs w:val="24"/>
            </w:rPr>
            <w:t xml:space="preserve"> (Biltagy, 2019)</w:t>
          </w:r>
          <w:r w:rsidRPr="00044DE9">
            <w:rPr>
              <w:rFonts w:asciiTheme="majorBidi" w:hAnsiTheme="majorBidi" w:cstheme="majorBidi"/>
              <w:sz w:val="24"/>
              <w:szCs w:val="24"/>
            </w:rPr>
            <w:fldChar w:fldCharType="end"/>
          </w:r>
        </w:sdtContent>
      </w:sdt>
      <w:r w:rsidRPr="00044DE9">
        <w:rPr>
          <w:rFonts w:asciiTheme="majorBidi" w:hAnsiTheme="majorBidi" w:cstheme="majorBidi"/>
          <w:sz w:val="24"/>
          <w:szCs w:val="24"/>
        </w:rPr>
        <w:t xml:space="preserve">, research points out to the </w:t>
      </w:r>
      <w:r w:rsidRPr="00044DE9">
        <w:rPr>
          <w:rFonts w:ascii="Georgia" w:hAnsi="Georgia"/>
          <w:color w:val="2E2E2E"/>
        </w:rPr>
        <w:t xml:space="preserve">considerable role of women in final decisions on matters related to household expenses, health, </w:t>
      </w:r>
      <w:r w:rsidRPr="00044DE9">
        <w:rPr>
          <w:rFonts w:asciiTheme="majorBidi" w:hAnsiTheme="majorBidi" w:cstheme="majorBidi"/>
          <w:sz w:val="24"/>
          <w:szCs w:val="24"/>
        </w:rPr>
        <w:t>and socialization</w:t>
      </w:r>
      <w:sdt>
        <w:sdtPr>
          <w:rPr>
            <w:rFonts w:asciiTheme="majorBidi" w:hAnsiTheme="majorBidi" w:cstheme="majorBidi"/>
            <w:sz w:val="24"/>
            <w:szCs w:val="24"/>
          </w:rPr>
          <w:id w:val="-516384910"/>
          <w:citation/>
        </w:sdtPr>
        <w:sdtContent>
          <w:r w:rsidRPr="00044DE9">
            <w:rPr>
              <w:rFonts w:asciiTheme="majorBidi" w:hAnsiTheme="majorBidi" w:cstheme="majorBidi"/>
              <w:sz w:val="24"/>
              <w:szCs w:val="24"/>
            </w:rPr>
            <w:fldChar w:fldCharType="begin"/>
          </w:r>
          <w:r w:rsidRPr="00044DE9">
            <w:rPr>
              <w:rFonts w:asciiTheme="majorBidi" w:hAnsiTheme="majorBidi" w:cstheme="majorBidi"/>
              <w:sz w:val="24"/>
              <w:szCs w:val="24"/>
            </w:rPr>
            <w:instrText xml:space="preserve"> CITATION Bar19 \l 2057  \m Sad17</w:instrText>
          </w:r>
          <w:r w:rsidRPr="00044DE9">
            <w:rPr>
              <w:rFonts w:asciiTheme="majorBidi" w:hAnsiTheme="majorBidi" w:cstheme="majorBidi"/>
              <w:sz w:val="24"/>
              <w:szCs w:val="24"/>
            </w:rPr>
            <w:fldChar w:fldCharType="separate"/>
          </w:r>
          <w:r w:rsidRPr="00044DE9">
            <w:rPr>
              <w:rFonts w:asciiTheme="majorBidi" w:hAnsiTheme="majorBidi" w:cstheme="majorBidi"/>
              <w:sz w:val="24"/>
              <w:szCs w:val="24"/>
            </w:rPr>
            <w:t xml:space="preserve"> (Bargain, Boutin, &amp; Champeaux , 2019; Sadania, 2017)</w:t>
          </w:r>
          <w:r w:rsidRPr="00044DE9">
            <w:rPr>
              <w:rFonts w:asciiTheme="majorBidi" w:hAnsiTheme="majorBidi" w:cstheme="majorBidi"/>
              <w:sz w:val="24"/>
              <w:szCs w:val="24"/>
            </w:rPr>
            <w:fldChar w:fldCharType="end"/>
          </w:r>
        </w:sdtContent>
      </w:sdt>
      <w:r w:rsidRPr="00044DE9">
        <w:rPr>
          <w:rFonts w:asciiTheme="majorBidi" w:hAnsiTheme="majorBidi" w:cstheme="majorBidi"/>
          <w:sz w:val="24"/>
          <w:szCs w:val="24"/>
        </w:rPr>
        <w:t>.</w:t>
      </w:r>
      <w:r w:rsidRPr="00044DE9">
        <w:rPr>
          <w:rFonts w:ascii="Georgia" w:hAnsi="Georgia"/>
          <w:color w:val="2E2E2E"/>
        </w:rPr>
        <w:t xml:space="preserve"> </w:t>
      </w:r>
      <w:r w:rsidR="000E546E" w:rsidRPr="00044DE9">
        <w:rPr>
          <w:rFonts w:asciiTheme="majorBidi" w:hAnsiTheme="majorBidi" w:cstheme="majorBidi"/>
          <w:sz w:val="24"/>
          <w:szCs w:val="24"/>
        </w:rPr>
        <w:t>Additionally</w:t>
      </w:r>
      <w:r w:rsidR="000E546E">
        <w:rPr>
          <w:rFonts w:asciiTheme="majorBidi" w:hAnsiTheme="majorBidi" w:cstheme="majorBidi"/>
          <w:sz w:val="24"/>
          <w:szCs w:val="24"/>
        </w:rPr>
        <w:t xml:space="preserve">, </w:t>
      </w:r>
      <w:r>
        <w:rPr>
          <w:rFonts w:asciiTheme="majorBidi" w:hAnsiTheme="majorBidi" w:cstheme="majorBidi"/>
          <w:sz w:val="24"/>
          <w:szCs w:val="24"/>
        </w:rPr>
        <w:t>respondents came from similar educational background as 67% of the respondents had bachelor’s degrees and 31% had post-graduate degrees. The two areas that respondents thought are highly valued in the Egyptian society were health and wellness (</w:t>
      </w:r>
      <w:r w:rsidR="00570DCC">
        <w:rPr>
          <w:rFonts w:asciiTheme="majorBidi" w:hAnsiTheme="majorBidi" w:cstheme="majorBidi"/>
          <w:sz w:val="24"/>
          <w:szCs w:val="24"/>
        </w:rPr>
        <w:t>41</w:t>
      </w:r>
      <w:r>
        <w:rPr>
          <w:rFonts w:asciiTheme="majorBidi" w:hAnsiTheme="majorBidi" w:cstheme="majorBidi"/>
          <w:sz w:val="24"/>
          <w:szCs w:val="24"/>
        </w:rPr>
        <w:t>%) and children’s education (</w:t>
      </w:r>
      <w:r w:rsidR="00570DCC">
        <w:rPr>
          <w:rFonts w:asciiTheme="majorBidi" w:hAnsiTheme="majorBidi" w:cstheme="majorBidi"/>
          <w:sz w:val="24"/>
          <w:szCs w:val="24"/>
        </w:rPr>
        <w:t>28</w:t>
      </w:r>
      <w:r>
        <w:rPr>
          <w:rFonts w:asciiTheme="majorBidi" w:hAnsiTheme="majorBidi" w:cstheme="majorBidi"/>
          <w:sz w:val="24"/>
          <w:szCs w:val="24"/>
        </w:rPr>
        <w:t>%)</w:t>
      </w:r>
      <w:r w:rsidR="00570DCC">
        <w:rPr>
          <w:rFonts w:asciiTheme="majorBidi" w:hAnsiTheme="majorBidi" w:cstheme="majorBidi"/>
          <w:sz w:val="24"/>
          <w:szCs w:val="24"/>
        </w:rPr>
        <w:t xml:space="preserve"> as shown in figure </w:t>
      </w:r>
      <w:r w:rsidR="00944CEF">
        <w:rPr>
          <w:rFonts w:asciiTheme="majorBidi" w:hAnsiTheme="majorBidi" w:cstheme="majorBidi"/>
          <w:sz w:val="24"/>
          <w:szCs w:val="24"/>
        </w:rPr>
        <w:t>12</w:t>
      </w:r>
      <w:r>
        <w:rPr>
          <w:rFonts w:asciiTheme="majorBidi" w:hAnsiTheme="majorBidi" w:cstheme="majorBidi"/>
          <w:sz w:val="24"/>
          <w:szCs w:val="24"/>
        </w:rPr>
        <w:t>. Within the health and wellness field, respondents were asked to choose what they thought is most important out of women health issues, spreading awareness on safety measures during the pandemic, b</w:t>
      </w:r>
      <w:r w:rsidRPr="00AE20D9">
        <w:rPr>
          <w:rFonts w:asciiTheme="majorBidi" w:hAnsiTheme="majorBidi" w:cstheme="majorBidi"/>
          <w:sz w:val="24"/>
          <w:szCs w:val="24"/>
        </w:rPr>
        <w:t xml:space="preserve">uild </w:t>
      </w:r>
      <w:r>
        <w:rPr>
          <w:rFonts w:asciiTheme="majorBidi" w:hAnsiTheme="majorBidi" w:cstheme="majorBidi"/>
          <w:sz w:val="24"/>
          <w:szCs w:val="24"/>
        </w:rPr>
        <w:t>g</w:t>
      </w:r>
      <w:r w:rsidRPr="00AE20D9">
        <w:rPr>
          <w:rFonts w:asciiTheme="majorBidi" w:hAnsiTheme="majorBidi" w:cstheme="majorBidi"/>
          <w:sz w:val="24"/>
          <w:szCs w:val="24"/>
        </w:rPr>
        <w:t xml:space="preserve">eneral hospitals in </w:t>
      </w:r>
      <w:r>
        <w:rPr>
          <w:rFonts w:asciiTheme="majorBidi" w:hAnsiTheme="majorBidi" w:cstheme="majorBidi"/>
          <w:sz w:val="24"/>
          <w:szCs w:val="24"/>
        </w:rPr>
        <w:t>underprivileged</w:t>
      </w:r>
      <w:r w:rsidRPr="00AE20D9">
        <w:rPr>
          <w:rFonts w:asciiTheme="majorBidi" w:hAnsiTheme="majorBidi" w:cstheme="majorBidi"/>
          <w:sz w:val="24"/>
          <w:szCs w:val="24"/>
        </w:rPr>
        <w:t xml:space="preserve"> areas</w:t>
      </w:r>
      <w:r>
        <w:rPr>
          <w:rFonts w:asciiTheme="majorBidi" w:hAnsiTheme="majorBidi" w:cstheme="majorBidi"/>
          <w:sz w:val="24"/>
          <w:szCs w:val="24"/>
        </w:rPr>
        <w:t>, b</w:t>
      </w:r>
      <w:r w:rsidRPr="00AE20D9">
        <w:rPr>
          <w:rFonts w:asciiTheme="majorBidi" w:hAnsiTheme="majorBidi" w:cstheme="majorBidi"/>
          <w:sz w:val="24"/>
          <w:szCs w:val="24"/>
        </w:rPr>
        <w:t>uild quarantine hospitals</w:t>
      </w:r>
      <w:r>
        <w:rPr>
          <w:rFonts w:asciiTheme="majorBidi" w:hAnsiTheme="majorBidi" w:cstheme="majorBidi"/>
          <w:sz w:val="24"/>
          <w:szCs w:val="24"/>
        </w:rPr>
        <w:t>, or donate healthcare products. 72.4% of consumers responded that the</w:t>
      </w:r>
      <w:r w:rsidR="00DA7712">
        <w:rPr>
          <w:rFonts w:asciiTheme="majorBidi" w:hAnsiTheme="majorBidi" w:cstheme="majorBidi"/>
          <w:sz w:val="24"/>
          <w:szCs w:val="24"/>
        </w:rPr>
        <w:t>y thought that the</w:t>
      </w:r>
      <w:r>
        <w:rPr>
          <w:rFonts w:asciiTheme="majorBidi" w:hAnsiTheme="majorBidi" w:cstheme="majorBidi"/>
          <w:sz w:val="24"/>
          <w:szCs w:val="24"/>
        </w:rPr>
        <w:t xml:space="preserve"> most needed project would be building general hospitals in underdeveloped areas</w:t>
      </w:r>
      <w:r w:rsidRPr="005378A5">
        <w:rPr>
          <w:rFonts w:asciiTheme="majorBidi" w:hAnsiTheme="majorBidi" w:cstheme="majorBidi"/>
          <w:sz w:val="24"/>
          <w:szCs w:val="24"/>
        </w:rPr>
        <w:t>.</w:t>
      </w:r>
      <w:r>
        <w:rPr>
          <w:rFonts w:asciiTheme="majorBidi" w:hAnsiTheme="majorBidi" w:cstheme="majorBidi"/>
          <w:sz w:val="24"/>
          <w:szCs w:val="24"/>
        </w:rPr>
        <w:t xml:space="preserve"> </w:t>
      </w:r>
    </w:p>
    <w:p w14:paraId="0B58AF39" w14:textId="77777777" w:rsidR="00DD25DB" w:rsidRDefault="00FF02B3" w:rsidP="00DD25DB">
      <w:pPr>
        <w:keepNext/>
        <w:adjustRightInd w:val="0"/>
        <w:spacing w:after="0" w:line="480" w:lineRule="auto"/>
        <w:ind w:firstLine="720"/>
      </w:pPr>
      <w:r w:rsidRPr="00AA2036">
        <w:rPr>
          <w:noProof/>
          <w:sz w:val="20"/>
          <w:szCs w:val="20"/>
        </w:rPr>
        <w:drawing>
          <wp:inline distT="0" distB="0" distL="0" distR="0" wp14:anchorId="42570E06" wp14:editId="2A125E07">
            <wp:extent cx="3451539" cy="2957848"/>
            <wp:effectExtent l="0" t="0" r="15875" b="13970"/>
            <wp:docPr id="628777983" name="Chart 1">
              <a:extLst xmlns:a="http://schemas.openxmlformats.org/drawingml/2006/main">
                <a:ext uri="{FF2B5EF4-FFF2-40B4-BE49-F238E27FC236}">
                  <a16:creationId xmlns:a16="http://schemas.microsoft.com/office/drawing/2014/main" id="{D12E485B-FCDA-324E-3A13-593482A0E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6B82EB" w14:textId="300E17BA" w:rsidR="00570DCC" w:rsidRDefault="00DD25DB" w:rsidP="00DD25DB">
      <w:pPr>
        <w:pStyle w:val="Caption"/>
        <w:rPr>
          <w:rFonts w:asciiTheme="majorBidi" w:hAnsiTheme="majorBidi" w:cstheme="majorBidi"/>
          <w:sz w:val="24"/>
          <w:szCs w:val="24"/>
        </w:rPr>
      </w:pPr>
      <w:r>
        <w:t>Figure 12 Respondents’ choice of the type of CSR campaign they believed Egypt needed the most</w:t>
      </w:r>
    </w:p>
    <w:p w14:paraId="626309F9" w14:textId="0911EAFA" w:rsidR="00750E7C" w:rsidRDefault="007A225E" w:rsidP="00FD16F3">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Secondly, based on the results from the initial survey, the stimuli for the survey experiments were decided to be in the healthcare sector. Accordingly, the stimuli were designed to communicate that the brand opened a free general outpatient clinic in Asyut which is the poorest governorate in Egypt </w:t>
      </w:r>
      <w:sdt>
        <w:sdtPr>
          <w:rPr>
            <w:rFonts w:asciiTheme="majorBidi" w:hAnsiTheme="majorBidi" w:cstheme="majorBidi"/>
            <w:sz w:val="24"/>
            <w:szCs w:val="24"/>
          </w:rPr>
          <w:id w:val="32378703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ElT19 \l 2057  \m You22</w:instrText>
          </w:r>
          <w:r>
            <w:rPr>
              <w:rFonts w:asciiTheme="majorBidi" w:hAnsiTheme="majorBidi" w:cstheme="majorBidi"/>
              <w:sz w:val="24"/>
              <w:szCs w:val="24"/>
            </w:rPr>
            <w:fldChar w:fldCharType="separate"/>
          </w:r>
          <w:r w:rsidRPr="00C077FE">
            <w:rPr>
              <w:rFonts w:asciiTheme="majorBidi" w:hAnsiTheme="majorBidi" w:cstheme="majorBidi"/>
              <w:noProof/>
              <w:sz w:val="24"/>
              <w:szCs w:val="24"/>
            </w:rPr>
            <w:t>(El Tawil, 2019; Youssef,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14:paraId="2AC238EF" w14:textId="113338B4" w:rsidR="007A225E" w:rsidRDefault="00AF7892" w:rsidP="00245841">
      <w:pPr>
        <w:spacing w:after="0" w:line="480" w:lineRule="auto"/>
        <w:rPr>
          <w:rFonts w:asciiTheme="majorBidi" w:hAnsiTheme="majorBidi" w:cstheme="majorBidi"/>
          <w:sz w:val="24"/>
          <w:szCs w:val="24"/>
        </w:rPr>
      </w:pPr>
      <w:r>
        <w:rPr>
          <w:rFonts w:asciiTheme="majorBidi" w:hAnsiTheme="majorBidi" w:cstheme="majorBidi"/>
          <w:sz w:val="24"/>
          <w:szCs w:val="24"/>
        </w:rPr>
        <w:tab/>
      </w:r>
      <w:r w:rsidR="007A225E">
        <w:rPr>
          <w:rFonts w:asciiTheme="majorBidi" w:hAnsiTheme="majorBidi" w:cstheme="majorBidi"/>
          <w:sz w:val="24"/>
          <w:szCs w:val="24"/>
        </w:rPr>
        <w:t>Based on the literature</w:t>
      </w:r>
      <w:r w:rsidR="007B5968">
        <w:rPr>
          <w:rFonts w:asciiTheme="majorBidi" w:hAnsiTheme="majorBidi" w:cstheme="majorBidi"/>
          <w:sz w:val="24"/>
          <w:szCs w:val="24"/>
        </w:rPr>
        <w:t xml:space="preserve"> review</w:t>
      </w:r>
      <w:r w:rsidR="007A225E">
        <w:rPr>
          <w:rFonts w:asciiTheme="majorBidi" w:hAnsiTheme="majorBidi" w:cstheme="majorBidi"/>
          <w:sz w:val="24"/>
          <w:szCs w:val="24"/>
        </w:rPr>
        <w:t xml:space="preserve"> discussing the FMCG sector in chapter </w:t>
      </w:r>
      <w:r w:rsidR="006C23B4">
        <w:rPr>
          <w:rFonts w:asciiTheme="majorBidi" w:hAnsiTheme="majorBidi" w:cstheme="majorBidi"/>
          <w:sz w:val="24"/>
          <w:szCs w:val="24"/>
        </w:rPr>
        <w:t>2</w:t>
      </w:r>
      <w:r w:rsidR="007A225E">
        <w:rPr>
          <w:rFonts w:asciiTheme="majorBidi" w:hAnsiTheme="majorBidi" w:cstheme="majorBidi"/>
          <w:sz w:val="24"/>
          <w:szCs w:val="24"/>
        </w:rPr>
        <w:t xml:space="preserve">, this hypothetical campaign is launched by the antiseptic and disinfectant household cleaning Dettol as an example. </w:t>
      </w:r>
      <w:r w:rsidR="00FD16F3" w:rsidRPr="00004E03">
        <w:rPr>
          <w:rFonts w:asciiTheme="majorBidi" w:hAnsiTheme="majorBidi" w:cstheme="majorBidi"/>
          <w:sz w:val="24"/>
          <w:szCs w:val="24"/>
        </w:rPr>
        <w:t>Generally, multinational brands are usually more mature and have the financial and managerial capability to conduct competent CSR campaigns that are valuable to society</w:t>
      </w:r>
      <w:bookmarkStart w:id="141" w:name="_Hlk146722486"/>
      <w:sdt>
        <w:sdtPr>
          <w:rPr>
            <w:rFonts w:asciiTheme="majorBidi" w:hAnsiTheme="majorBidi" w:cstheme="majorBidi"/>
            <w:sz w:val="24"/>
            <w:szCs w:val="24"/>
          </w:rPr>
          <w:id w:val="1974025349"/>
          <w:citation/>
        </w:sdtPr>
        <w:sdtContent>
          <w:r w:rsidR="00FD16F3" w:rsidRPr="00004E03">
            <w:rPr>
              <w:rFonts w:asciiTheme="majorBidi" w:hAnsiTheme="majorBidi" w:cstheme="majorBidi"/>
              <w:sz w:val="24"/>
              <w:szCs w:val="24"/>
            </w:rPr>
            <w:fldChar w:fldCharType="begin"/>
          </w:r>
          <w:r w:rsidR="00FD16F3" w:rsidRPr="00004E03">
            <w:rPr>
              <w:rFonts w:asciiTheme="majorBidi" w:hAnsiTheme="majorBidi" w:cstheme="majorBidi"/>
              <w:sz w:val="24"/>
              <w:szCs w:val="24"/>
            </w:rPr>
            <w:instrText xml:space="preserve"> CITATION Baw16 \l 2057  \m Tez21</w:instrText>
          </w:r>
          <w:r w:rsidR="00FD16F3" w:rsidRPr="00004E03">
            <w:rPr>
              <w:rFonts w:asciiTheme="majorBidi" w:hAnsiTheme="majorBidi" w:cstheme="majorBidi"/>
              <w:sz w:val="24"/>
              <w:szCs w:val="24"/>
            </w:rPr>
            <w:fldChar w:fldCharType="separate"/>
          </w:r>
          <w:r w:rsidR="00FD16F3" w:rsidRPr="00004E03">
            <w:rPr>
              <w:rFonts w:asciiTheme="majorBidi" w:hAnsiTheme="majorBidi" w:cstheme="majorBidi"/>
              <w:noProof/>
              <w:sz w:val="24"/>
              <w:szCs w:val="24"/>
            </w:rPr>
            <w:t xml:space="preserve"> (Bawa &amp; Saha, 2016; Tezer &amp; Tofighi, 2021)</w:t>
          </w:r>
          <w:r w:rsidR="00FD16F3" w:rsidRPr="00004E03">
            <w:rPr>
              <w:rFonts w:asciiTheme="majorBidi" w:hAnsiTheme="majorBidi" w:cstheme="majorBidi"/>
              <w:sz w:val="24"/>
              <w:szCs w:val="24"/>
            </w:rPr>
            <w:fldChar w:fldCharType="end"/>
          </w:r>
        </w:sdtContent>
      </w:sdt>
      <w:r w:rsidR="00FD16F3" w:rsidRPr="00004E03">
        <w:rPr>
          <w:rFonts w:asciiTheme="majorBidi" w:hAnsiTheme="majorBidi" w:cstheme="majorBidi"/>
          <w:sz w:val="24"/>
          <w:szCs w:val="24"/>
        </w:rPr>
        <w:t>.</w:t>
      </w:r>
      <w:r w:rsidRPr="00004E03">
        <w:rPr>
          <w:rFonts w:asciiTheme="majorBidi" w:hAnsiTheme="majorBidi" w:cstheme="majorBidi"/>
          <w:sz w:val="24"/>
          <w:szCs w:val="24"/>
        </w:rPr>
        <w:t xml:space="preserve"> </w:t>
      </w:r>
      <w:bookmarkEnd w:id="141"/>
      <w:r w:rsidRPr="00004E03">
        <w:rPr>
          <w:rFonts w:asciiTheme="majorBidi" w:hAnsiTheme="majorBidi" w:cstheme="majorBidi"/>
          <w:sz w:val="24"/>
          <w:szCs w:val="24"/>
        </w:rPr>
        <w:t>It appears that</w:t>
      </w:r>
      <w:r w:rsidR="00FD16F3" w:rsidRPr="00004E03">
        <w:rPr>
          <w:rFonts w:ascii="Times New Roman" w:hAnsi="Times New Roman" w:cs="Times New Roman"/>
          <w:sz w:val="24"/>
          <w:szCs w:val="24"/>
        </w:rPr>
        <w:t xml:space="preserve"> brands with “heritage” positively influence the consumers’ trust towards the ad</w:t>
      </w:r>
      <w:sdt>
        <w:sdtPr>
          <w:rPr>
            <w:rFonts w:ascii="Times New Roman" w:hAnsi="Times New Roman" w:cs="Times New Roman"/>
            <w:sz w:val="24"/>
            <w:szCs w:val="24"/>
          </w:rPr>
          <w:id w:val="2018493029"/>
          <w:citation/>
        </w:sdtPr>
        <w:sdtContent>
          <w:r w:rsidR="00FD16F3" w:rsidRPr="00004E03">
            <w:rPr>
              <w:rFonts w:ascii="Times New Roman" w:hAnsi="Times New Roman" w:cs="Times New Roman"/>
              <w:sz w:val="24"/>
              <w:szCs w:val="24"/>
            </w:rPr>
            <w:fldChar w:fldCharType="begin"/>
          </w:r>
          <w:r w:rsidR="00FD16F3" w:rsidRPr="00004E03">
            <w:rPr>
              <w:rFonts w:ascii="Times New Roman" w:hAnsi="Times New Roman" w:cs="Times New Roman"/>
              <w:sz w:val="24"/>
              <w:szCs w:val="24"/>
            </w:rPr>
            <w:instrText xml:space="preserve"> CITATION Han18 \l 2057 </w:instrText>
          </w:r>
          <w:r w:rsidR="00FD16F3" w:rsidRPr="00004E03">
            <w:rPr>
              <w:rFonts w:ascii="Times New Roman" w:hAnsi="Times New Roman" w:cs="Times New Roman"/>
              <w:sz w:val="24"/>
              <w:szCs w:val="24"/>
            </w:rPr>
            <w:fldChar w:fldCharType="separate"/>
          </w:r>
          <w:r w:rsidR="00FD16F3" w:rsidRPr="00004E03">
            <w:rPr>
              <w:rFonts w:ascii="Times New Roman" w:hAnsi="Times New Roman" w:cs="Times New Roman"/>
              <w:noProof/>
              <w:sz w:val="24"/>
              <w:szCs w:val="24"/>
            </w:rPr>
            <w:t xml:space="preserve"> (Hanssens D. M., 2018)</w:t>
          </w:r>
          <w:r w:rsidR="00FD16F3" w:rsidRPr="00004E03">
            <w:rPr>
              <w:rFonts w:ascii="Times New Roman" w:hAnsi="Times New Roman" w:cs="Times New Roman"/>
              <w:sz w:val="24"/>
              <w:szCs w:val="24"/>
            </w:rPr>
            <w:fldChar w:fldCharType="end"/>
          </w:r>
        </w:sdtContent>
      </w:sdt>
      <w:r w:rsidR="00FD16F3" w:rsidRPr="00004E03">
        <w:rPr>
          <w:rFonts w:ascii="Times New Roman" w:hAnsi="Times New Roman" w:cs="Times New Roman"/>
          <w:sz w:val="24"/>
          <w:szCs w:val="24"/>
        </w:rPr>
        <w:t>. Brands with heritage refers to brands that have longevity in the market and a positive history of brand credibility</w:t>
      </w:r>
      <w:sdt>
        <w:sdtPr>
          <w:rPr>
            <w:rFonts w:ascii="Times New Roman" w:hAnsi="Times New Roman" w:cs="Times New Roman"/>
            <w:sz w:val="24"/>
            <w:szCs w:val="24"/>
          </w:rPr>
          <w:id w:val="-1532257369"/>
          <w:citation/>
        </w:sdtPr>
        <w:sdtContent>
          <w:r w:rsidR="00FD16F3" w:rsidRPr="00004E03">
            <w:rPr>
              <w:rFonts w:ascii="Times New Roman" w:hAnsi="Times New Roman" w:cs="Times New Roman"/>
              <w:sz w:val="24"/>
              <w:szCs w:val="24"/>
            </w:rPr>
            <w:fldChar w:fldCharType="begin"/>
          </w:r>
          <w:r w:rsidR="00FD16F3" w:rsidRPr="00004E03">
            <w:rPr>
              <w:rFonts w:ascii="Times New Roman" w:hAnsi="Times New Roman" w:cs="Times New Roman"/>
              <w:sz w:val="24"/>
              <w:szCs w:val="24"/>
            </w:rPr>
            <w:instrText xml:space="preserve"> CITATION Dio21 \l 2057 </w:instrText>
          </w:r>
          <w:r w:rsidR="00FD16F3" w:rsidRPr="00004E03">
            <w:rPr>
              <w:rFonts w:ascii="Times New Roman" w:hAnsi="Times New Roman" w:cs="Times New Roman"/>
              <w:sz w:val="24"/>
              <w:szCs w:val="24"/>
            </w:rPr>
            <w:fldChar w:fldCharType="separate"/>
          </w:r>
          <w:r w:rsidR="00FD16F3" w:rsidRPr="00004E03">
            <w:rPr>
              <w:rFonts w:ascii="Times New Roman" w:hAnsi="Times New Roman" w:cs="Times New Roman"/>
              <w:noProof/>
              <w:sz w:val="24"/>
              <w:szCs w:val="24"/>
            </w:rPr>
            <w:t xml:space="preserve"> (Dion , 2021)</w:t>
          </w:r>
          <w:r w:rsidR="00FD16F3" w:rsidRPr="00004E03">
            <w:rPr>
              <w:rFonts w:ascii="Times New Roman" w:hAnsi="Times New Roman" w:cs="Times New Roman"/>
              <w:sz w:val="24"/>
              <w:szCs w:val="24"/>
            </w:rPr>
            <w:fldChar w:fldCharType="end"/>
          </w:r>
        </w:sdtContent>
      </w:sdt>
      <w:r w:rsidR="00FD16F3" w:rsidRPr="00004E03">
        <w:rPr>
          <w:rFonts w:ascii="Times New Roman" w:hAnsi="Times New Roman" w:cs="Times New Roman"/>
          <w:sz w:val="24"/>
          <w:szCs w:val="24"/>
        </w:rPr>
        <w:t>.</w:t>
      </w:r>
      <w:r w:rsidR="00FD16F3" w:rsidRPr="00280A21">
        <w:rPr>
          <w:rFonts w:ascii="Times New Roman" w:hAnsi="Times New Roman" w:cs="Times New Roman"/>
          <w:sz w:val="24"/>
          <w:szCs w:val="24"/>
        </w:rPr>
        <w:t xml:space="preserve"> For that reason, this study portrays a trustworthy and well-known brand in Egypt like Dettol.</w:t>
      </w:r>
      <w:r w:rsidR="00280A21" w:rsidRPr="00280A21">
        <w:rPr>
          <w:rFonts w:asciiTheme="majorBidi" w:hAnsiTheme="majorBidi" w:cstheme="majorBidi"/>
          <w:sz w:val="24"/>
          <w:szCs w:val="24"/>
        </w:rPr>
        <w:t xml:space="preserve"> </w:t>
      </w:r>
      <w:r w:rsidR="00280A21">
        <w:rPr>
          <w:rFonts w:asciiTheme="majorBidi" w:hAnsiTheme="majorBidi" w:cstheme="majorBidi"/>
          <w:sz w:val="24"/>
          <w:szCs w:val="24"/>
        </w:rPr>
        <w:t>Founded in 1999, Reckitt Benckiser owns some of the most common household cleaning brands world-wide such as Air Wick, Vanish, Dettol</w:t>
      </w:r>
      <w:r>
        <w:rPr>
          <w:rFonts w:asciiTheme="majorBidi" w:hAnsiTheme="majorBidi" w:cstheme="majorBidi"/>
          <w:sz w:val="24"/>
          <w:szCs w:val="24"/>
        </w:rPr>
        <w:t>,</w:t>
      </w:r>
      <w:r w:rsidR="00280A21">
        <w:rPr>
          <w:rFonts w:asciiTheme="majorBidi" w:hAnsiTheme="majorBidi" w:cstheme="majorBidi"/>
          <w:sz w:val="24"/>
          <w:szCs w:val="24"/>
        </w:rPr>
        <w:t xml:space="preserve"> and some other over the counter medicines such as Strepsils</w:t>
      </w:r>
      <w:sdt>
        <w:sdtPr>
          <w:rPr>
            <w:rFonts w:asciiTheme="majorBidi" w:hAnsiTheme="majorBidi" w:cstheme="majorBidi"/>
            <w:sz w:val="24"/>
            <w:szCs w:val="24"/>
          </w:rPr>
          <w:id w:val="-1859105717"/>
          <w:citation/>
        </w:sdtPr>
        <w:sdtContent>
          <w:r w:rsidR="00280A21">
            <w:rPr>
              <w:rFonts w:asciiTheme="majorBidi" w:hAnsiTheme="majorBidi" w:cstheme="majorBidi"/>
              <w:sz w:val="24"/>
              <w:szCs w:val="24"/>
            </w:rPr>
            <w:fldChar w:fldCharType="begin"/>
          </w:r>
          <w:r w:rsidR="00280A21">
            <w:rPr>
              <w:rFonts w:asciiTheme="majorBidi" w:hAnsiTheme="majorBidi" w:cstheme="majorBidi"/>
              <w:sz w:val="24"/>
              <w:szCs w:val="24"/>
            </w:rPr>
            <w:instrText xml:space="preserve"> CITATION Tha14 \l 2057 </w:instrText>
          </w:r>
          <w:r w:rsidR="00280A21">
            <w:rPr>
              <w:rFonts w:asciiTheme="majorBidi" w:hAnsiTheme="majorBidi" w:cstheme="majorBidi"/>
              <w:sz w:val="24"/>
              <w:szCs w:val="24"/>
            </w:rPr>
            <w:fldChar w:fldCharType="separate"/>
          </w:r>
          <w:r w:rsidR="00280A21">
            <w:rPr>
              <w:rFonts w:asciiTheme="majorBidi" w:hAnsiTheme="majorBidi" w:cstheme="majorBidi"/>
              <w:noProof/>
              <w:sz w:val="24"/>
              <w:szCs w:val="24"/>
            </w:rPr>
            <w:t xml:space="preserve"> </w:t>
          </w:r>
          <w:r w:rsidR="00280A21" w:rsidRPr="00B4313D">
            <w:rPr>
              <w:rFonts w:asciiTheme="majorBidi" w:hAnsiTheme="majorBidi" w:cstheme="majorBidi"/>
              <w:noProof/>
              <w:sz w:val="24"/>
              <w:szCs w:val="24"/>
            </w:rPr>
            <w:t>(Thain, Greg, Bradley, &amp; John, 2014)</w:t>
          </w:r>
          <w:r w:rsidR="00280A21">
            <w:rPr>
              <w:rFonts w:asciiTheme="majorBidi" w:hAnsiTheme="majorBidi" w:cstheme="majorBidi"/>
              <w:sz w:val="24"/>
              <w:szCs w:val="24"/>
            </w:rPr>
            <w:fldChar w:fldCharType="end"/>
          </w:r>
        </w:sdtContent>
      </w:sdt>
      <w:r w:rsidR="00280A21">
        <w:rPr>
          <w:rFonts w:asciiTheme="majorBidi" w:hAnsiTheme="majorBidi" w:cstheme="majorBidi"/>
          <w:sz w:val="24"/>
          <w:szCs w:val="24"/>
        </w:rPr>
        <w:t xml:space="preserve">. </w:t>
      </w:r>
      <w:r w:rsidR="00280A21" w:rsidRPr="00004E03">
        <w:rPr>
          <w:rFonts w:asciiTheme="majorBidi" w:hAnsiTheme="majorBidi" w:cstheme="majorBidi"/>
          <w:sz w:val="24"/>
          <w:szCs w:val="24"/>
        </w:rPr>
        <w:t xml:space="preserve">In 2021, Dettol was ranked as the highest brand in Egypt that enjoys overall brand health that was calculated based on an average scores of customer satisfactions, brand reputation, net impressions, and perceived value </w:t>
      </w:r>
      <w:sdt>
        <w:sdtPr>
          <w:rPr>
            <w:rFonts w:asciiTheme="majorBidi" w:hAnsiTheme="majorBidi" w:cstheme="majorBidi"/>
            <w:sz w:val="24"/>
            <w:szCs w:val="24"/>
          </w:rPr>
          <w:id w:val="589440392"/>
          <w:citation/>
        </w:sdtPr>
        <w:sdtContent>
          <w:r w:rsidR="00280A21" w:rsidRPr="00004E03">
            <w:rPr>
              <w:rFonts w:asciiTheme="majorBidi" w:hAnsiTheme="majorBidi" w:cstheme="majorBidi"/>
              <w:sz w:val="24"/>
              <w:szCs w:val="24"/>
            </w:rPr>
            <w:fldChar w:fldCharType="begin"/>
          </w:r>
          <w:r w:rsidR="00280A21" w:rsidRPr="00004E03">
            <w:rPr>
              <w:rFonts w:ascii="Times New Roman" w:hAnsi="Times New Roman" w:cs="Times New Roman"/>
              <w:sz w:val="24"/>
              <w:szCs w:val="24"/>
            </w:rPr>
            <w:instrText xml:space="preserve"> CITATION Placeholder1 \l 2057  \m Det21</w:instrText>
          </w:r>
          <w:r w:rsidR="00280A21" w:rsidRPr="00004E03">
            <w:rPr>
              <w:rFonts w:asciiTheme="majorBidi" w:hAnsiTheme="majorBidi" w:cstheme="majorBidi"/>
              <w:sz w:val="24"/>
              <w:szCs w:val="24"/>
            </w:rPr>
            <w:fldChar w:fldCharType="separate"/>
          </w:r>
          <w:r w:rsidR="00280A21" w:rsidRPr="00004E03">
            <w:rPr>
              <w:rFonts w:ascii="Times New Roman" w:hAnsi="Times New Roman" w:cs="Times New Roman"/>
              <w:noProof/>
              <w:sz w:val="24"/>
              <w:szCs w:val="24"/>
            </w:rPr>
            <w:t>(Serrano, 2021; TradeArabia, 2021)</w:t>
          </w:r>
          <w:r w:rsidR="00280A21" w:rsidRPr="00004E03">
            <w:rPr>
              <w:rFonts w:asciiTheme="majorBidi" w:hAnsiTheme="majorBidi" w:cstheme="majorBidi"/>
              <w:sz w:val="24"/>
              <w:szCs w:val="24"/>
            </w:rPr>
            <w:fldChar w:fldCharType="end"/>
          </w:r>
        </w:sdtContent>
      </w:sdt>
      <w:r w:rsidR="00280A21" w:rsidRPr="00004E03">
        <w:rPr>
          <w:rFonts w:asciiTheme="majorBidi" w:hAnsiTheme="majorBidi" w:cstheme="majorBidi"/>
          <w:sz w:val="24"/>
          <w:szCs w:val="24"/>
        </w:rPr>
        <w:t xml:space="preserve">. </w:t>
      </w:r>
      <w:r w:rsidR="00FD16F3" w:rsidRPr="00004E03">
        <w:rPr>
          <w:rFonts w:ascii="Times New Roman" w:hAnsi="Times New Roman" w:cs="Times New Roman"/>
          <w:sz w:val="24"/>
          <w:szCs w:val="24"/>
        </w:rPr>
        <w:t>This</w:t>
      </w:r>
      <w:r w:rsidR="00FD16F3" w:rsidRPr="00280A21">
        <w:rPr>
          <w:rFonts w:ascii="Times New Roman" w:hAnsi="Times New Roman" w:cs="Times New Roman"/>
          <w:sz w:val="24"/>
          <w:szCs w:val="24"/>
        </w:rPr>
        <w:t xml:space="preserve"> is exceptionally important as it is evident in literature that a strong brand has a positive effect on advertising likeability which has a “carryover” positive impact on sales</w:t>
      </w:r>
      <w:sdt>
        <w:sdtPr>
          <w:rPr>
            <w:rFonts w:ascii="Times New Roman" w:hAnsi="Times New Roman" w:cs="Times New Roman"/>
            <w:sz w:val="24"/>
            <w:szCs w:val="24"/>
          </w:rPr>
          <w:id w:val="-1127695103"/>
          <w:citation/>
        </w:sdtPr>
        <w:sdtContent>
          <w:r w:rsidR="00FD16F3" w:rsidRPr="00280A21">
            <w:rPr>
              <w:rFonts w:ascii="Times New Roman" w:hAnsi="Times New Roman" w:cs="Times New Roman"/>
              <w:sz w:val="24"/>
              <w:szCs w:val="24"/>
            </w:rPr>
            <w:fldChar w:fldCharType="begin"/>
          </w:r>
          <w:r w:rsidR="00FD16F3" w:rsidRPr="00280A21">
            <w:rPr>
              <w:rFonts w:ascii="Times New Roman" w:hAnsi="Times New Roman" w:cs="Times New Roman"/>
              <w:sz w:val="24"/>
              <w:szCs w:val="24"/>
            </w:rPr>
            <w:instrText xml:space="preserve"> CITATION Kaw21 \l 2057 </w:instrText>
          </w:r>
          <w:r w:rsidR="00FD16F3" w:rsidRPr="00280A21">
            <w:rPr>
              <w:rFonts w:ascii="Times New Roman" w:hAnsi="Times New Roman" w:cs="Times New Roman"/>
              <w:sz w:val="24"/>
              <w:szCs w:val="24"/>
            </w:rPr>
            <w:fldChar w:fldCharType="separate"/>
          </w:r>
          <w:r w:rsidR="00FD16F3" w:rsidRPr="00280A21">
            <w:rPr>
              <w:rFonts w:ascii="Times New Roman" w:hAnsi="Times New Roman" w:cs="Times New Roman"/>
              <w:noProof/>
              <w:sz w:val="24"/>
              <w:szCs w:val="24"/>
            </w:rPr>
            <w:t xml:space="preserve"> (Kawahara, 2021)</w:t>
          </w:r>
          <w:r w:rsidR="00FD16F3" w:rsidRPr="00280A21">
            <w:rPr>
              <w:rFonts w:ascii="Times New Roman" w:hAnsi="Times New Roman" w:cs="Times New Roman"/>
              <w:sz w:val="24"/>
              <w:szCs w:val="24"/>
            </w:rPr>
            <w:fldChar w:fldCharType="end"/>
          </w:r>
        </w:sdtContent>
      </w:sdt>
      <w:r w:rsidR="00FD16F3" w:rsidRPr="00280A21">
        <w:rPr>
          <w:rFonts w:ascii="Times New Roman" w:hAnsi="Times New Roman" w:cs="Times New Roman"/>
          <w:sz w:val="24"/>
          <w:szCs w:val="24"/>
        </w:rPr>
        <w:t>.</w:t>
      </w:r>
      <w:r w:rsidR="00245841">
        <w:rPr>
          <w:rFonts w:asciiTheme="majorBidi" w:hAnsiTheme="majorBidi" w:cstheme="majorBidi"/>
          <w:sz w:val="24"/>
          <w:szCs w:val="24"/>
        </w:rPr>
        <w:t xml:space="preserve"> </w:t>
      </w:r>
      <w:r w:rsidR="007A225E">
        <w:rPr>
          <w:rFonts w:asciiTheme="majorBidi" w:hAnsiTheme="majorBidi" w:cstheme="majorBidi"/>
          <w:sz w:val="24"/>
          <w:szCs w:val="24"/>
        </w:rPr>
        <w:t xml:space="preserve">Although using </w:t>
      </w:r>
      <w:r w:rsidR="007A225E" w:rsidRPr="00004E03">
        <w:rPr>
          <w:rFonts w:asciiTheme="majorBidi" w:hAnsiTheme="majorBidi" w:cstheme="majorBidi"/>
          <w:sz w:val="24"/>
          <w:szCs w:val="24"/>
        </w:rPr>
        <w:t xml:space="preserve">real brands </w:t>
      </w:r>
      <w:r w:rsidR="007A225E">
        <w:rPr>
          <w:rFonts w:asciiTheme="majorBidi" w:hAnsiTheme="majorBidi" w:cstheme="majorBidi"/>
          <w:sz w:val="24"/>
          <w:szCs w:val="24"/>
        </w:rPr>
        <w:t>can be challenging as there might be an existing consumer-brand relationship, using real brands that are known to consumers make</w:t>
      </w:r>
      <w:r w:rsidR="00245841">
        <w:rPr>
          <w:rFonts w:asciiTheme="majorBidi" w:hAnsiTheme="majorBidi" w:cstheme="majorBidi"/>
          <w:sz w:val="24"/>
          <w:szCs w:val="24"/>
        </w:rPr>
        <w:t>s</w:t>
      </w:r>
      <w:r w:rsidR="007A225E">
        <w:rPr>
          <w:rFonts w:asciiTheme="majorBidi" w:hAnsiTheme="majorBidi" w:cstheme="majorBidi"/>
          <w:sz w:val="24"/>
          <w:szCs w:val="24"/>
        </w:rPr>
        <w:t xml:space="preserve"> the experiment more realistic </w:t>
      </w:r>
      <w:sdt>
        <w:sdtPr>
          <w:rPr>
            <w:rFonts w:asciiTheme="majorBidi" w:hAnsiTheme="majorBidi" w:cstheme="majorBidi"/>
            <w:sz w:val="24"/>
            <w:szCs w:val="24"/>
          </w:rPr>
          <w:id w:val="-2142722327"/>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Car22 \l 2057 </w:instrText>
          </w:r>
          <w:r w:rsidR="007A225E">
            <w:rPr>
              <w:rFonts w:asciiTheme="majorBidi" w:hAnsiTheme="majorBidi" w:cstheme="majorBidi"/>
              <w:sz w:val="24"/>
              <w:szCs w:val="24"/>
            </w:rPr>
            <w:fldChar w:fldCharType="separate"/>
          </w:r>
          <w:r w:rsidR="007A225E" w:rsidRPr="0074573E">
            <w:rPr>
              <w:rFonts w:asciiTheme="majorBidi" w:hAnsiTheme="majorBidi" w:cstheme="majorBidi"/>
              <w:noProof/>
              <w:sz w:val="24"/>
              <w:szCs w:val="24"/>
            </w:rPr>
            <w:t>(Carnevale &amp; Kachersky, 2022)</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w:t>
      </w:r>
    </w:p>
    <w:p w14:paraId="2173E63C" w14:textId="72B80AC0" w:rsidR="007A225E" w:rsidRDefault="007A225E" w:rsidP="00A52939">
      <w:pPr>
        <w:spacing w:after="0" w:line="480" w:lineRule="auto"/>
        <w:ind w:firstLine="720"/>
        <w:rPr>
          <w:rFonts w:asciiTheme="majorBidi" w:hAnsiTheme="majorBidi" w:cstheme="majorBidi"/>
          <w:sz w:val="24"/>
          <w:szCs w:val="24"/>
        </w:rPr>
      </w:pPr>
      <w:r>
        <w:rPr>
          <w:rFonts w:asciiTheme="majorBidi" w:hAnsiTheme="majorBidi" w:cstheme="majorBidi"/>
          <w:sz w:val="24"/>
          <w:szCs w:val="24"/>
        </w:rPr>
        <w:t>Furthermore</w:t>
      </w:r>
      <w:r w:rsidRPr="0010282B">
        <w:rPr>
          <w:rFonts w:asciiTheme="majorBidi" w:hAnsiTheme="majorBidi" w:cstheme="majorBidi"/>
          <w:sz w:val="24"/>
          <w:szCs w:val="24"/>
        </w:rPr>
        <w:t xml:space="preserve">, </w:t>
      </w:r>
      <w:r>
        <w:rPr>
          <w:rFonts w:asciiTheme="majorBidi" w:hAnsiTheme="majorBidi" w:cstheme="majorBidi"/>
          <w:sz w:val="24"/>
          <w:szCs w:val="24"/>
        </w:rPr>
        <w:t>the experiment</w:t>
      </w:r>
      <w:r w:rsidRPr="0010282B">
        <w:rPr>
          <w:rFonts w:asciiTheme="majorBidi" w:hAnsiTheme="majorBidi" w:cstheme="majorBidi"/>
          <w:sz w:val="24"/>
          <w:szCs w:val="24"/>
        </w:rPr>
        <w:t xml:space="preserve"> examine</w:t>
      </w:r>
      <w:r>
        <w:rPr>
          <w:rFonts w:asciiTheme="majorBidi" w:hAnsiTheme="majorBidi" w:cstheme="majorBidi"/>
          <w:sz w:val="24"/>
          <w:szCs w:val="24"/>
        </w:rPr>
        <w:t>d</w:t>
      </w:r>
      <w:r w:rsidRPr="0010282B">
        <w:rPr>
          <w:rFonts w:asciiTheme="majorBidi" w:hAnsiTheme="majorBidi" w:cstheme="majorBidi"/>
          <w:sz w:val="24"/>
          <w:szCs w:val="24"/>
        </w:rPr>
        <w:t xml:space="preserve"> if the media </w:t>
      </w:r>
      <w:r>
        <w:rPr>
          <w:rFonts w:asciiTheme="majorBidi" w:hAnsiTheme="majorBidi" w:cstheme="majorBidi"/>
          <w:sz w:val="24"/>
          <w:szCs w:val="24"/>
        </w:rPr>
        <w:t>vehicle</w:t>
      </w:r>
      <w:r w:rsidRPr="0010282B">
        <w:rPr>
          <w:rFonts w:asciiTheme="majorBidi" w:hAnsiTheme="majorBidi" w:cstheme="majorBidi"/>
          <w:sz w:val="24"/>
          <w:szCs w:val="24"/>
        </w:rPr>
        <w:t xml:space="preserve"> (social media or television) induces a difference in responses and attitudes</w:t>
      </w:r>
      <w:r>
        <w:rPr>
          <w:rFonts w:asciiTheme="majorBidi" w:hAnsiTheme="majorBidi" w:cstheme="majorBidi"/>
          <w:sz w:val="24"/>
          <w:szCs w:val="24"/>
        </w:rPr>
        <w:t xml:space="preserve"> towards the communication strategy and towards the brand</w:t>
      </w:r>
      <w:r w:rsidRPr="0010282B">
        <w:rPr>
          <w:rFonts w:asciiTheme="majorBidi" w:hAnsiTheme="majorBidi" w:cstheme="majorBidi"/>
          <w:sz w:val="24"/>
          <w:szCs w:val="24"/>
        </w:rPr>
        <w:t xml:space="preserve">. The </w:t>
      </w:r>
      <w:r>
        <w:rPr>
          <w:rFonts w:asciiTheme="majorBidi" w:hAnsiTheme="majorBidi" w:cstheme="majorBidi"/>
          <w:sz w:val="24"/>
          <w:szCs w:val="24"/>
        </w:rPr>
        <w:t>surveys for the first</w:t>
      </w:r>
      <w:r w:rsidRPr="0010282B">
        <w:rPr>
          <w:rFonts w:asciiTheme="majorBidi" w:hAnsiTheme="majorBidi" w:cstheme="majorBidi"/>
          <w:sz w:val="24"/>
          <w:szCs w:val="24"/>
        </w:rPr>
        <w:t xml:space="preserve"> </w:t>
      </w:r>
      <w:r>
        <w:rPr>
          <w:rFonts w:asciiTheme="majorBidi" w:hAnsiTheme="majorBidi" w:cstheme="majorBidi"/>
          <w:sz w:val="24"/>
          <w:szCs w:val="24"/>
        </w:rPr>
        <w:t xml:space="preserve">two groups of the </w:t>
      </w:r>
      <w:r w:rsidRPr="0010282B">
        <w:rPr>
          <w:rFonts w:asciiTheme="majorBidi" w:hAnsiTheme="majorBidi" w:cstheme="majorBidi"/>
          <w:sz w:val="24"/>
          <w:szCs w:val="24"/>
        </w:rPr>
        <w:t>experiment measure</w:t>
      </w:r>
      <w:r>
        <w:rPr>
          <w:rFonts w:asciiTheme="majorBidi" w:hAnsiTheme="majorBidi" w:cstheme="majorBidi"/>
          <w:sz w:val="24"/>
          <w:szCs w:val="24"/>
        </w:rPr>
        <w:t>d</w:t>
      </w:r>
      <w:r w:rsidRPr="0010282B">
        <w:rPr>
          <w:rFonts w:asciiTheme="majorBidi" w:hAnsiTheme="majorBidi" w:cstheme="majorBidi"/>
          <w:sz w:val="24"/>
          <w:szCs w:val="24"/>
        </w:rPr>
        <w:t xml:space="preserve"> responses </w:t>
      </w:r>
      <w:r>
        <w:rPr>
          <w:rFonts w:asciiTheme="majorBidi" w:hAnsiTheme="majorBidi" w:cstheme="majorBidi"/>
          <w:sz w:val="24"/>
          <w:szCs w:val="24"/>
        </w:rPr>
        <w:t>to CSR and non-CSR</w:t>
      </w:r>
      <w:r w:rsidRPr="0010282B">
        <w:rPr>
          <w:rFonts w:asciiTheme="majorBidi" w:hAnsiTheme="majorBidi" w:cstheme="majorBidi"/>
          <w:sz w:val="24"/>
          <w:szCs w:val="24"/>
        </w:rPr>
        <w:t xml:space="preserve"> treatments presented </w:t>
      </w:r>
      <w:r>
        <w:rPr>
          <w:rFonts w:asciiTheme="majorBidi" w:hAnsiTheme="majorBidi" w:cstheme="majorBidi"/>
          <w:sz w:val="24"/>
          <w:szCs w:val="24"/>
        </w:rPr>
        <w:t xml:space="preserve">as television ads whereas, the surveys for </w:t>
      </w:r>
      <w:r w:rsidRPr="0010282B">
        <w:rPr>
          <w:rFonts w:asciiTheme="majorBidi" w:hAnsiTheme="majorBidi" w:cstheme="majorBidi"/>
          <w:sz w:val="24"/>
          <w:szCs w:val="24"/>
        </w:rPr>
        <w:t>the second</w:t>
      </w:r>
      <w:r>
        <w:rPr>
          <w:rFonts w:asciiTheme="majorBidi" w:hAnsiTheme="majorBidi" w:cstheme="majorBidi"/>
          <w:sz w:val="24"/>
          <w:szCs w:val="24"/>
        </w:rPr>
        <w:t xml:space="preserve"> two groups</w:t>
      </w:r>
      <w:r w:rsidRPr="0010282B">
        <w:rPr>
          <w:rFonts w:asciiTheme="majorBidi" w:hAnsiTheme="majorBidi" w:cstheme="majorBidi"/>
          <w:sz w:val="24"/>
          <w:szCs w:val="24"/>
        </w:rPr>
        <w:t xml:space="preserve"> </w:t>
      </w:r>
      <w:r>
        <w:rPr>
          <w:rFonts w:asciiTheme="majorBidi" w:hAnsiTheme="majorBidi" w:cstheme="majorBidi"/>
          <w:sz w:val="24"/>
          <w:szCs w:val="24"/>
        </w:rPr>
        <w:t>measured the responses to CSR versus non-CSR treatments presented as Facebook ads.</w:t>
      </w:r>
      <w:r w:rsidRPr="0010282B">
        <w:rPr>
          <w:rFonts w:asciiTheme="majorBidi" w:hAnsiTheme="majorBidi" w:cstheme="majorBidi"/>
          <w:sz w:val="24"/>
          <w:szCs w:val="24"/>
        </w:rPr>
        <w:t xml:space="preserve"> The first two groups watch</w:t>
      </w:r>
      <w:r>
        <w:rPr>
          <w:rFonts w:asciiTheme="majorBidi" w:hAnsiTheme="majorBidi" w:cstheme="majorBidi"/>
          <w:sz w:val="24"/>
          <w:szCs w:val="24"/>
        </w:rPr>
        <w:t>ed</w:t>
      </w:r>
      <w:r w:rsidRPr="0010282B">
        <w:rPr>
          <w:rFonts w:asciiTheme="majorBidi" w:hAnsiTheme="majorBidi" w:cstheme="majorBidi"/>
          <w:sz w:val="24"/>
          <w:szCs w:val="24"/>
        </w:rPr>
        <w:t xml:space="preserve"> a short part of a famous TV show for </w:t>
      </w:r>
      <w:r>
        <w:rPr>
          <w:rFonts w:asciiTheme="majorBidi" w:hAnsiTheme="majorBidi" w:cstheme="majorBidi"/>
          <w:sz w:val="24"/>
          <w:szCs w:val="24"/>
        </w:rPr>
        <w:t>few</w:t>
      </w:r>
      <w:r w:rsidRPr="0010282B">
        <w:rPr>
          <w:rFonts w:asciiTheme="majorBidi" w:hAnsiTheme="majorBidi" w:cstheme="majorBidi"/>
          <w:sz w:val="24"/>
          <w:szCs w:val="24"/>
        </w:rPr>
        <w:t xml:space="preserve"> minutes that </w:t>
      </w:r>
      <w:r>
        <w:rPr>
          <w:rFonts w:asciiTheme="majorBidi" w:hAnsiTheme="majorBidi" w:cstheme="majorBidi"/>
          <w:sz w:val="24"/>
          <w:szCs w:val="24"/>
        </w:rPr>
        <w:t>was</w:t>
      </w:r>
      <w:r w:rsidRPr="0010282B">
        <w:rPr>
          <w:rFonts w:asciiTheme="majorBidi" w:hAnsiTheme="majorBidi" w:cstheme="majorBidi"/>
          <w:sz w:val="24"/>
          <w:szCs w:val="24"/>
        </w:rPr>
        <w:t xml:space="preserve"> interrupted by two consecutive short advertisements.</w:t>
      </w:r>
      <w:r>
        <w:rPr>
          <w:rFonts w:asciiTheme="majorBidi" w:hAnsiTheme="majorBidi" w:cstheme="majorBidi"/>
          <w:sz w:val="24"/>
          <w:szCs w:val="24"/>
        </w:rPr>
        <w:t xml:space="preserve"> </w:t>
      </w:r>
      <w:r w:rsidRPr="0010282B">
        <w:rPr>
          <w:rFonts w:asciiTheme="majorBidi" w:hAnsiTheme="majorBidi" w:cstheme="majorBidi"/>
          <w:sz w:val="24"/>
          <w:szCs w:val="24"/>
        </w:rPr>
        <w:t xml:space="preserve">One </w:t>
      </w:r>
      <w:r>
        <w:rPr>
          <w:rFonts w:asciiTheme="majorBidi" w:hAnsiTheme="majorBidi" w:cstheme="majorBidi"/>
          <w:sz w:val="24"/>
          <w:szCs w:val="24"/>
        </w:rPr>
        <w:t>group</w:t>
      </w:r>
      <w:r w:rsidRPr="0010282B">
        <w:rPr>
          <w:rFonts w:asciiTheme="majorBidi" w:hAnsiTheme="majorBidi" w:cstheme="majorBidi"/>
          <w:sz w:val="24"/>
          <w:szCs w:val="24"/>
        </w:rPr>
        <w:t xml:space="preserve"> </w:t>
      </w:r>
      <w:r>
        <w:rPr>
          <w:rFonts w:asciiTheme="majorBidi" w:hAnsiTheme="majorBidi" w:cstheme="majorBidi"/>
          <w:sz w:val="24"/>
          <w:szCs w:val="24"/>
        </w:rPr>
        <w:t xml:space="preserve">got a CSR ad for Dettol as one of the ads and the other group got </w:t>
      </w:r>
      <w:r w:rsidRPr="0010282B">
        <w:rPr>
          <w:rFonts w:asciiTheme="majorBidi" w:hAnsiTheme="majorBidi" w:cstheme="majorBidi"/>
          <w:sz w:val="24"/>
          <w:szCs w:val="24"/>
        </w:rPr>
        <w:t xml:space="preserve">a typical </w:t>
      </w:r>
      <w:r>
        <w:rPr>
          <w:rFonts w:asciiTheme="majorBidi" w:hAnsiTheme="majorBidi" w:cstheme="majorBidi"/>
          <w:sz w:val="24"/>
          <w:szCs w:val="24"/>
        </w:rPr>
        <w:t>non-CSR ad for</w:t>
      </w:r>
      <w:r w:rsidRPr="0010282B">
        <w:rPr>
          <w:rFonts w:asciiTheme="majorBidi" w:hAnsiTheme="majorBidi" w:cstheme="majorBidi"/>
          <w:sz w:val="24"/>
          <w:szCs w:val="24"/>
        </w:rPr>
        <w:t xml:space="preserve"> Dettol.</w:t>
      </w:r>
      <w:r w:rsidDel="00C04611">
        <w:rPr>
          <w:rFonts w:asciiTheme="majorBidi" w:hAnsiTheme="majorBidi" w:cstheme="majorBidi"/>
          <w:sz w:val="24"/>
          <w:szCs w:val="24"/>
        </w:rPr>
        <w:t xml:space="preserve"> </w:t>
      </w:r>
      <w:r>
        <w:rPr>
          <w:rFonts w:asciiTheme="majorBidi" w:hAnsiTheme="majorBidi" w:cstheme="majorBidi"/>
          <w:sz w:val="24"/>
          <w:szCs w:val="24"/>
        </w:rPr>
        <w:t>This CSR ad was a communication about opening a free out-patient clinic to treat less fortunate patients.</w:t>
      </w:r>
      <w:r w:rsidRPr="0010282B">
        <w:rPr>
          <w:rFonts w:asciiTheme="majorBidi" w:hAnsiTheme="majorBidi" w:cstheme="majorBidi"/>
          <w:sz w:val="24"/>
          <w:szCs w:val="24"/>
        </w:rPr>
        <w:t xml:space="preserve"> The </w:t>
      </w:r>
      <w:r>
        <w:rPr>
          <w:rFonts w:asciiTheme="majorBidi" w:hAnsiTheme="majorBidi" w:cstheme="majorBidi"/>
          <w:sz w:val="24"/>
          <w:szCs w:val="24"/>
        </w:rPr>
        <w:t>second part of the experiment includes another</w:t>
      </w:r>
      <w:r w:rsidRPr="0010282B">
        <w:rPr>
          <w:rFonts w:asciiTheme="majorBidi" w:hAnsiTheme="majorBidi" w:cstheme="majorBidi"/>
          <w:sz w:val="24"/>
          <w:szCs w:val="24"/>
        </w:rPr>
        <w:t xml:space="preserve"> two groups </w:t>
      </w:r>
      <w:r>
        <w:rPr>
          <w:rFonts w:asciiTheme="majorBidi" w:hAnsiTheme="majorBidi" w:cstheme="majorBidi"/>
          <w:sz w:val="24"/>
          <w:szCs w:val="24"/>
        </w:rPr>
        <w:t>who viewed</w:t>
      </w:r>
      <w:r w:rsidRPr="0010282B">
        <w:rPr>
          <w:rFonts w:asciiTheme="majorBidi" w:hAnsiTheme="majorBidi" w:cstheme="majorBidi"/>
          <w:sz w:val="24"/>
          <w:szCs w:val="24"/>
        </w:rPr>
        <w:t xml:space="preserve"> </w:t>
      </w:r>
      <w:r>
        <w:rPr>
          <w:rFonts w:asciiTheme="majorBidi" w:hAnsiTheme="majorBidi" w:cstheme="majorBidi"/>
          <w:sz w:val="24"/>
          <w:szCs w:val="24"/>
        </w:rPr>
        <w:t>Facebook ads</w:t>
      </w:r>
      <w:r w:rsidRPr="0010282B">
        <w:rPr>
          <w:rFonts w:asciiTheme="majorBidi" w:hAnsiTheme="majorBidi" w:cstheme="majorBidi"/>
          <w:sz w:val="24"/>
          <w:szCs w:val="24"/>
        </w:rPr>
        <w:t xml:space="preserve">. One group </w:t>
      </w:r>
      <w:r>
        <w:rPr>
          <w:rFonts w:asciiTheme="majorBidi" w:hAnsiTheme="majorBidi" w:cstheme="majorBidi"/>
          <w:sz w:val="24"/>
          <w:szCs w:val="24"/>
        </w:rPr>
        <w:t>viewed</w:t>
      </w:r>
      <w:r w:rsidRPr="0010282B">
        <w:rPr>
          <w:rFonts w:asciiTheme="majorBidi" w:hAnsiTheme="majorBidi" w:cstheme="majorBidi"/>
          <w:sz w:val="24"/>
          <w:szCs w:val="24"/>
        </w:rPr>
        <w:t xml:space="preserve"> a</w:t>
      </w:r>
      <w:r>
        <w:rPr>
          <w:rFonts w:asciiTheme="majorBidi" w:hAnsiTheme="majorBidi" w:cstheme="majorBidi"/>
          <w:sz w:val="24"/>
          <w:szCs w:val="24"/>
        </w:rPr>
        <w:t xml:space="preserve"> static</w:t>
      </w:r>
      <w:r w:rsidRPr="0010282B">
        <w:rPr>
          <w:rFonts w:asciiTheme="majorBidi" w:hAnsiTheme="majorBidi" w:cstheme="majorBidi"/>
          <w:sz w:val="24"/>
          <w:szCs w:val="24"/>
        </w:rPr>
        <w:t xml:space="preserve"> </w:t>
      </w:r>
      <w:r>
        <w:rPr>
          <w:rFonts w:asciiTheme="majorBidi" w:hAnsiTheme="majorBidi" w:cstheme="majorBidi"/>
          <w:sz w:val="24"/>
          <w:szCs w:val="24"/>
        </w:rPr>
        <w:t xml:space="preserve">non-CSR </w:t>
      </w:r>
      <w:r w:rsidRPr="0010282B">
        <w:rPr>
          <w:rFonts w:asciiTheme="majorBidi" w:hAnsiTheme="majorBidi" w:cstheme="majorBidi"/>
          <w:sz w:val="24"/>
          <w:szCs w:val="24"/>
        </w:rPr>
        <w:t xml:space="preserve">Dettol advertisement on Facebook and the other group </w:t>
      </w:r>
      <w:r>
        <w:rPr>
          <w:rFonts w:asciiTheme="majorBidi" w:hAnsiTheme="majorBidi" w:cstheme="majorBidi"/>
          <w:sz w:val="24"/>
          <w:szCs w:val="24"/>
        </w:rPr>
        <w:t>viewed</w:t>
      </w:r>
      <w:r w:rsidRPr="0010282B">
        <w:rPr>
          <w:rFonts w:asciiTheme="majorBidi" w:hAnsiTheme="majorBidi" w:cstheme="majorBidi"/>
          <w:sz w:val="24"/>
          <w:szCs w:val="24"/>
        </w:rPr>
        <w:t xml:space="preserve"> a</w:t>
      </w:r>
      <w:r>
        <w:rPr>
          <w:rFonts w:asciiTheme="majorBidi" w:hAnsiTheme="majorBidi" w:cstheme="majorBidi"/>
          <w:sz w:val="24"/>
          <w:szCs w:val="24"/>
        </w:rPr>
        <w:t xml:space="preserve"> static</w:t>
      </w:r>
      <w:r w:rsidRPr="0010282B">
        <w:rPr>
          <w:rFonts w:asciiTheme="majorBidi" w:hAnsiTheme="majorBidi" w:cstheme="majorBidi"/>
          <w:sz w:val="24"/>
          <w:szCs w:val="24"/>
        </w:rPr>
        <w:t xml:space="preserve"> Dettol </w:t>
      </w:r>
      <w:r w:rsidR="00985E08">
        <w:rPr>
          <w:rFonts w:asciiTheme="majorBidi" w:hAnsiTheme="majorBidi" w:cstheme="majorBidi"/>
          <w:sz w:val="24"/>
          <w:szCs w:val="24"/>
        </w:rPr>
        <w:t>ad</w:t>
      </w:r>
      <w:r w:rsidRPr="0010282B">
        <w:rPr>
          <w:rFonts w:asciiTheme="majorBidi" w:hAnsiTheme="majorBidi" w:cstheme="majorBidi"/>
          <w:sz w:val="24"/>
          <w:szCs w:val="24"/>
        </w:rPr>
        <w:t xml:space="preserve"> that announces </w:t>
      </w:r>
      <w:r>
        <w:rPr>
          <w:rFonts w:asciiTheme="majorBidi" w:hAnsiTheme="majorBidi" w:cstheme="majorBidi"/>
          <w:sz w:val="24"/>
          <w:szCs w:val="24"/>
        </w:rPr>
        <w:t xml:space="preserve">the </w:t>
      </w:r>
      <w:r w:rsidRPr="0010282B">
        <w:rPr>
          <w:rFonts w:asciiTheme="majorBidi" w:hAnsiTheme="majorBidi" w:cstheme="majorBidi"/>
          <w:sz w:val="24"/>
          <w:szCs w:val="24"/>
        </w:rPr>
        <w:t>CSR project.</w:t>
      </w:r>
      <w:r>
        <w:rPr>
          <w:rFonts w:asciiTheme="majorBidi" w:hAnsiTheme="majorBidi" w:cstheme="majorBidi"/>
          <w:sz w:val="24"/>
          <w:szCs w:val="24"/>
        </w:rPr>
        <w:t xml:space="preserve"> </w:t>
      </w:r>
    </w:p>
    <w:p w14:paraId="15EA5AD5" w14:textId="1EAEE606" w:rsidR="00D70D52" w:rsidRPr="000E6C07" w:rsidRDefault="007A225E" w:rsidP="00280A21">
      <w:pPr>
        <w:spacing w:after="0" w:line="480" w:lineRule="auto"/>
        <w:ind w:firstLine="720"/>
        <w:rPr>
          <w:rFonts w:asciiTheme="majorBidi" w:hAnsiTheme="majorBidi" w:cstheme="majorBidi"/>
          <w:b/>
          <w:bCs/>
          <w:sz w:val="24"/>
          <w:szCs w:val="24"/>
        </w:rPr>
      </w:pPr>
      <w:r>
        <w:rPr>
          <w:rFonts w:asciiTheme="majorBidi" w:hAnsiTheme="majorBidi" w:cstheme="majorBidi"/>
          <w:b/>
          <w:bCs/>
          <w:sz w:val="24"/>
          <w:szCs w:val="24"/>
        </w:rPr>
        <w:t>5</w:t>
      </w:r>
      <w:r w:rsidRPr="000E6C07">
        <w:rPr>
          <w:rFonts w:asciiTheme="majorBidi" w:hAnsiTheme="majorBidi" w:cstheme="majorBidi"/>
          <w:b/>
          <w:bCs/>
          <w:sz w:val="24"/>
          <w:szCs w:val="24"/>
        </w:rPr>
        <w:t>.</w:t>
      </w:r>
      <w:r w:rsidR="00891F01">
        <w:rPr>
          <w:rFonts w:asciiTheme="majorBidi" w:hAnsiTheme="majorBidi" w:cstheme="majorBidi"/>
          <w:b/>
          <w:bCs/>
          <w:sz w:val="24"/>
          <w:szCs w:val="24"/>
        </w:rPr>
        <w:t>4</w:t>
      </w:r>
      <w:r w:rsidRPr="000E6C07">
        <w:rPr>
          <w:rFonts w:asciiTheme="majorBidi" w:hAnsiTheme="majorBidi" w:cstheme="majorBidi"/>
          <w:b/>
          <w:bCs/>
          <w:sz w:val="24"/>
          <w:szCs w:val="24"/>
        </w:rPr>
        <w:t>.3 Stimuli Development</w:t>
      </w:r>
    </w:p>
    <w:p w14:paraId="77D677FF" w14:textId="55682C0F" w:rsidR="007A225E" w:rsidRPr="00497D7F" w:rsidRDefault="007A225E" w:rsidP="006E435C">
      <w:pPr>
        <w:spacing w:after="0" w:line="480" w:lineRule="auto"/>
        <w:ind w:firstLine="720"/>
        <w:rPr>
          <w:rFonts w:asciiTheme="majorBidi" w:hAnsiTheme="majorBidi" w:cstheme="majorBidi"/>
          <w:sz w:val="24"/>
          <w:szCs w:val="24"/>
        </w:rPr>
      </w:pPr>
      <w:r w:rsidRPr="001F49C0">
        <w:rPr>
          <w:rFonts w:asciiTheme="majorBidi" w:hAnsiTheme="majorBidi" w:cstheme="majorBidi"/>
          <w:sz w:val="24"/>
          <w:szCs w:val="24"/>
        </w:rPr>
        <w:t xml:space="preserve">It </w:t>
      </w:r>
      <w:r>
        <w:rPr>
          <w:rFonts w:asciiTheme="majorBidi" w:hAnsiTheme="majorBidi" w:cstheme="majorBidi"/>
          <w:sz w:val="24"/>
          <w:szCs w:val="24"/>
        </w:rPr>
        <w:t>seems</w:t>
      </w:r>
      <w:r w:rsidRPr="001F49C0">
        <w:rPr>
          <w:rFonts w:asciiTheme="majorBidi" w:hAnsiTheme="majorBidi" w:cstheme="majorBidi"/>
          <w:sz w:val="24"/>
          <w:szCs w:val="24"/>
        </w:rPr>
        <w:t xml:space="preserve"> </w:t>
      </w:r>
      <w:r>
        <w:rPr>
          <w:rFonts w:asciiTheme="majorBidi" w:hAnsiTheme="majorBidi" w:cstheme="majorBidi"/>
          <w:sz w:val="24"/>
          <w:szCs w:val="24"/>
        </w:rPr>
        <w:t>prevalent</w:t>
      </w:r>
      <w:r w:rsidRPr="001F49C0">
        <w:rPr>
          <w:rFonts w:asciiTheme="majorBidi" w:hAnsiTheme="majorBidi" w:cstheme="majorBidi"/>
          <w:sz w:val="24"/>
          <w:szCs w:val="24"/>
        </w:rPr>
        <w:t xml:space="preserve"> in the advertising literature that studies employ experiments to compare the effects of different </w:t>
      </w:r>
      <w:r>
        <w:rPr>
          <w:rFonts w:asciiTheme="majorBidi" w:hAnsiTheme="majorBidi" w:cstheme="majorBidi"/>
          <w:sz w:val="24"/>
          <w:szCs w:val="24"/>
        </w:rPr>
        <w:t xml:space="preserve">strategies of </w:t>
      </w:r>
      <w:r w:rsidRPr="001F49C0">
        <w:rPr>
          <w:rFonts w:asciiTheme="majorBidi" w:hAnsiTheme="majorBidi" w:cstheme="majorBidi"/>
          <w:sz w:val="24"/>
          <w:szCs w:val="24"/>
        </w:rPr>
        <w:t>advertisements</w:t>
      </w:r>
      <w:sdt>
        <w:sdtPr>
          <w:rPr>
            <w:rFonts w:asciiTheme="majorBidi" w:hAnsiTheme="majorBidi" w:cstheme="majorBidi"/>
            <w:sz w:val="24"/>
            <w:szCs w:val="24"/>
          </w:rPr>
          <w:id w:val="791484460"/>
          <w:citation/>
        </w:sdtPr>
        <w:sdtContent>
          <w:r w:rsidRPr="001F49C0">
            <w:rPr>
              <w:rFonts w:asciiTheme="majorBidi" w:hAnsiTheme="majorBidi" w:cstheme="majorBidi"/>
              <w:sz w:val="24"/>
              <w:szCs w:val="24"/>
            </w:rPr>
            <w:fldChar w:fldCharType="begin"/>
          </w:r>
          <w:r w:rsidRPr="001F49C0">
            <w:rPr>
              <w:rFonts w:asciiTheme="majorBidi" w:hAnsiTheme="majorBidi" w:cstheme="majorBidi"/>
              <w:sz w:val="24"/>
              <w:szCs w:val="24"/>
            </w:rPr>
            <w:instrText xml:space="preserve"> CITATION Kar21 \l 2057 </w:instrText>
          </w:r>
          <w:r w:rsidRPr="001F49C0">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(Karl, 2021)</w:t>
          </w:r>
          <w:r w:rsidRPr="001F49C0">
            <w:rPr>
              <w:rFonts w:asciiTheme="majorBidi" w:hAnsiTheme="majorBidi" w:cstheme="majorBidi"/>
              <w:sz w:val="24"/>
              <w:szCs w:val="24"/>
            </w:rPr>
            <w:fldChar w:fldCharType="end"/>
          </w:r>
        </w:sdtContent>
      </w:sdt>
      <w:r>
        <w:rPr>
          <w:rFonts w:asciiTheme="majorBidi" w:hAnsiTheme="majorBidi" w:cstheme="majorBidi"/>
          <w:sz w:val="24"/>
          <w:szCs w:val="24"/>
        </w:rPr>
        <w:t xml:space="preserve"> on consumers</w:t>
      </w:r>
      <w:r w:rsidRPr="001F49C0">
        <w:rPr>
          <w:rFonts w:asciiTheme="majorBidi" w:hAnsiTheme="majorBidi" w:cstheme="majorBidi"/>
          <w:sz w:val="24"/>
          <w:szCs w:val="24"/>
        </w:rPr>
        <w:t xml:space="preserve">. Not only do studies compare different advertisements, but also some studies compare different advertisement types such as website banner ad versus website video ad </w:t>
      </w:r>
      <w:sdt>
        <w:sdtPr>
          <w:rPr>
            <w:rFonts w:asciiTheme="majorBidi" w:hAnsiTheme="majorBidi" w:cstheme="majorBidi"/>
            <w:sz w:val="24"/>
            <w:szCs w:val="24"/>
          </w:rPr>
          <w:id w:val="-1805156258"/>
          <w:citation/>
        </w:sdtPr>
        <w:sdtContent>
          <w:r w:rsidRPr="001F49C0">
            <w:rPr>
              <w:rFonts w:asciiTheme="majorBidi" w:hAnsiTheme="majorBidi" w:cstheme="majorBidi"/>
              <w:sz w:val="24"/>
              <w:szCs w:val="24"/>
            </w:rPr>
            <w:fldChar w:fldCharType="begin"/>
          </w:r>
          <w:r w:rsidRPr="001F49C0">
            <w:rPr>
              <w:rFonts w:asciiTheme="majorBidi" w:hAnsiTheme="majorBidi" w:cstheme="majorBidi"/>
              <w:sz w:val="24"/>
              <w:szCs w:val="24"/>
            </w:rPr>
            <w:instrText xml:space="preserve"> CITATION Dar16 \l 2057 </w:instrText>
          </w:r>
          <w:r w:rsidRPr="001F49C0">
            <w:rPr>
              <w:rFonts w:asciiTheme="majorBidi" w:hAnsiTheme="majorBidi" w:cstheme="majorBidi"/>
              <w:sz w:val="24"/>
              <w:szCs w:val="24"/>
            </w:rPr>
            <w:fldChar w:fldCharType="separate"/>
          </w:r>
          <w:r w:rsidRPr="0074573E">
            <w:rPr>
              <w:rFonts w:asciiTheme="majorBidi" w:hAnsiTheme="majorBidi" w:cstheme="majorBidi"/>
              <w:noProof/>
              <w:sz w:val="24"/>
              <w:szCs w:val="24"/>
            </w:rPr>
            <w:t>(Dardis, et al., 2016)</w:t>
          </w:r>
          <w:r w:rsidRPr="001F49C0">
            <w:rPr>
              <w:rFonts w:asciiTheme="majorBidi" w:hAnsiTheme="majorBidi" w:cstheme="majorBidi"/>
              <w:sz w:val="24"/>
              <w:szCs w:val="24"/>
            </w:rPr>
            <w:fldChar w:fldCharType="end"/>
          </w:r>
        </w:sdtContent>
      </w:sdt>
      <w:r w:rsidRPr="001F49C0">
        <w:rPr>
          <w:rFonts w:asciiTheme="majorBidi" w:hAnsiTheme="majorBidi" w:cstheme="majorBidi"/>
          <w:sz w:val="24"/>
          <w:szCs w:val="24"/>
        </w:rPr>
        <w:t xml:space="preserve"> or compare social media video ads to photo and carousel ads </w:t>
      </w:r>
      <w:sdt>
        <w:sdtPr>
          <w:rPr>
            <w:rFonts w:asciiTheme="majorBidi" w:hAnsiTheme="majorBidi" w:cstheme="majorBidi"/>
            <w:sz w:val="24"/>
            <w:szCs w:val="24"/>
          </w:rPr>
          <w:id w:val="-433901210"/>
          <w:citation/>
        </w:sdtPr>
        <w:sdtContent>
          <w:r w:rsidRPr="001F49C0">
            <w:rPr>
              <w:rFonts w:asciiTheme="majorBidi" w:hAnsiTheme="majorBidi" w:cstheme="majorBidi"/>
              <w:sz w:val="24"/>
              <w:szCs w:val="24"/>
            </w:rPr>
            <w:fldChar w:fldCharType="begin"/>
          </w:r>
          <w:r w:rsidRPr="001F49C0">
            <w:rPr>
              <w:rFonts w:asciiTheme="majorBidi" w:hAnsiTheme="majorBidi" w:cstheme="majorBidi"/>
              <w:sz w:val="24"/>
              <w:szCs w:val="24"/>
            </w:rPr>
            <w:instrText xml:space="preserve"> CITATION Che20 \l 2057 </w:instrText>
          </w:r>
          <w:r w:rsidRPr="001F49C0">
            <w:rPr>
              <w:rFonts w:asciiTheme="majorBidi" w:hAnsiTheme="majorBidi" w:cstheme="majorBidi"/>
              <w:sz w:val="24"/>
              <w:szCs w:val="24"/>
            </w:rPr>
            <w:fldChar w:fldCharType="separate"/>
          </w:r>
          <w:r w:rsidRPr="0074573E">
            <w:rPr>
              <w:rFonts w:asciiTheme="majorBidi" w:hAnsiTheme="majorBidi" w:cstheme="majorBidi"/>
              <w:noProof/>
              <w:sz w:val="24"/>
              <w:szCs w:val="24"/>
            </w:rPr>
            <w:t>(Chen, Yeh, &amp; Chang, 2020)</w:t>
          </w:r>
          <w:r w:rsidRPr="001F49C0">
            <w:rPr>
              <w:rFonts w:asciiTheme="majorBidi" w:hAnsiTheme="majorBidi" w:cstheme="majorBidi"/>
              <w:sz w:val="24"/>
              <w:szCs w:val="24"/>
            </w:rPr>
            <w:fldChar w:fldCharType="end"/>
          </w:r>
        </w:sdtContent>
      </w:sdt>
      <w:r w:rsidRPr="001F49C0">
        <w:rPr>
          <w:rFonts w:asciiTheme="majorBidi" w:hAnsiTheme="majorBidi" w:cstheme="majorBidi"/>
          <w:sz w:val="24"/>
          <w:szCs w:val="24"/>
        </w:rPr>
        <w:t>. This study appl</w:t>
      </w:r>
      <w:r>
        <w:rPr>
          <w:rFonts w:asciiTheme="majorBidi" w:hAnsiTheme="majorBidi" w:cstheme="majorBidi"/>
          <w:sz w:val="24"/>
          <w:szCs w:val="24"/>
        </w:rPr>
        <w:t>ied</w:t>
      </w:r>
      <w:r w:rsidRPr="001F49C0">
        <w:rPr>
          <w:rFonts w:asciiTheme="majorBidi" w:hAnsiTheme="majorBidi" w:cstheme="majorBidi"/>
          <w:sz w:val="24"/>
          <w:szCs w:val="24"/>
        </w:rPr>
        <w:t xml:space="preserve"> a similar approach as </w:t>
      </w:r>
      <w:r w:rsidR="00245841">
        <w:rPr>
          <w:rFonts w:asciiTheme="majorBidi" w:hAnsiTheme="majorBidi" w:cstheme="majorBidi"/>
          <w:sz w:val="24"/>
          <w:szCs w:val="24"/>
        </w:rPr>
        <w:t>it</w:t>
      </w:r>
      <w:r w:rsidRPr="001F49C0">
        <w:rPr>
          <w:rFonts w:asciiTheme="majorBidi" w:hAnsiTheme="majorBidi" w:cstheme="majorBidi"/>
          <w:sz w:val="24"/>
          <w:szCs w:val="24"/>
        </w:rPr>
        <w:t xml:space="preserve"> study shed</w:t>
      </w:r>
      <w:r>
        <w:rPr>
          <w:rFonts w:asciiTheme="majorBidi" w:hAnsiTheme="majorBidi" w:cstheme="majorBidi"/>
          <w:sz w:val="24"/>
          <w:szCs w:val="24"/>
        </w:rPr>
        <w:t>s</w:t>
      </w:r>
      <w:r w:rsidRPr="001F49C0">
        <w:rPr>
          <w:rFonts w:asciiTheme="majorBidi" w:hAnsiTheme="majorBidi" w:cstheme="majorBidi"/>
          <w:sz w:val="24"/>
          <w:szCs w:val="24"/>
        </w:rPr>
        <w:t xml:space="preserve"> light on CSR </w:t>
      </w:r>
      <w:r w:rsidRPr="008A60B4">
        <w:rPr>
          <w:rFonts w:asciiTheme="majorBidi" w:hAnsiTheme="majorBidi" w:cstheme="majorBidi"/>
          <w:sz w:val="24"/>
          <w:szCs w:val="24"/>
        </w:rPr>
        <w:t>as a communication strategy and compare</w:t>
      </w:r>
      <w:r>
        <w:rPr>
          <w:rFonts w:asciiTheme="majorBidi" w:hAnsiTheme="majorBidi" w:cstheme="majorBidi"/>
          <w:sz w:val="24"/>
          <w:szCs w:val="24"/>
        </w:rPr>
        <w:t>s</w:t>
      </w:r>
      <w:r w:rsidRPr="008A60B4">
        <w:rPr>
          <w:rFonts w:asciiTheme="majorBidi" w:hAnsiTheme="majorBidi" w:cstheme="majorBidi"/>
          <w:sz w:val="24"/>
          <w:szCs w:val="24"/>
        </w:rPr>
        <w:t xml:space="preserve"> its benefits to non-CSR communication strategy.</w:t>
      </w:r>
      <w:r>
        <w:rPr>
          <w:rFonts w:asciiTheme="majorBidi" w:hAnsiTheme="majorBidi" w:cstheme="majorBidi"/>
          <w:sz w:val="24"/>
          <w:szCs w:val="24"/>
        </w:rPr>
        <w:t xml:space="preserve"> Further, it also, examines the effect of media vehicle on </w:t>
      </w:r>
      <w:r w:rsidR="00985E08">
        <w:rPr>
          <w:rFonts w:asciiTheme="majorBidi" w:hAnsiTheme="majorBidi" w:cstheme="majorBidi"/>
          <w:sz w:val="24"/>
          <w:szCs w:val="24"/>
        </w:rPr>
        <w:t xml:space="preserve">CSR perception, </w:t>
      </w:r>
      <w:r>
        <w:rPr>
          <w:rFonts w:asciiTheme="majorBidi" w:hAnsiTheme="majorBidi" w:cstheme="majorBidi"/>
          <w:sz w:val="24"/>
          <w:szCs w:val="24"/>
        </w:rPr>
        <w:t>ad likability, brand likability, brand trust,</w:t>
      </w:r>
      <w:r w:rsidR="00985E08">
        <w:rPr>
          <w:rFonts w:asciiTheme="majorBidi" w:hAnsiTheme="majorBidi" w:cstheme="majorBidi"/>
          <w:sz w:val="24"/>
          <w:szCs w:val="24"/>
        </w:rPr>
        <w:t xml:space="preserve"> emotional brand attachment, perceived brand functionality, and</w:t>
      </w:r>
      <w:r>
        <w:rPr>
          <w:rFonts w:asciiTheme="majorBidi" w:hAnsiTheme="majorBidi" w:cstheme="majorBidi"/>
          <w:sz w:val="24"/>
          <w:szCs w:val="24"/>
        </w:rPr>
        <w:t xml:space="preserve"> purchase intention.</w:t>
      </w:r>
      <w:r w:rsidR="00985E08">
        <w:rPr>
          <w:rFonts w:asciiTheme="majorBidi" w:hAnsiTheme="majorBidi" w:cstheme="majorBidi"/>
          <w:sz w:val="24"/>
          <w:szCs w:val="24"/>
        </w:rPr>
        <w:t xml:space="preserve"> </w:t>
      </w:r>
      <w:r w:rsidRPr="00004E03">
        <w:rPr>
          <w:rFonts w:asciiTheme="majorBidi" w:hAnsiTheme="majorBidi" w:cstheme="majorBidi"/>
          <w:sz w:val="24"/>
          <w:szCs w:val="24"/>
        </w:rPr>
        <w:t xml:space="preserve">Even though, the two ads were presented as two different stimuli with different elements in each ad (similar to the examples above), comparing the </w:t>
      </w:r>
      <w:r w:rsidR="00985E08" w:rsidRPr="00004E03">
        <w:rPr>
          <w:rFonts w:asciiTheme="majorBidi" w:hAnsiTheme="majorBidi" w:cstheme="majorBidi"/>
          <w:sz w:val="24"/>
          <w:szCs w:val="24"/>
        </w:rPr>
        <w:t>attitudes</w:t>
      </w:r>
      <w:r w:rsidRPr="00004E03">
        <w:rPr>
          <w:rFonts w:asciiTheme="majorBidi" w:hAnsiTheme="majorBidi" w:cstheme="majorBidi"/>
          <w:sz w:val="24"/>
          <w:szCs w:val="24"/>
        </w:rPr>
        <w:t xml:space="preserve"> of both groups towards the two different ads is in line with this study’s objectives. This is because this study is not focusing on comparing the advertisements’ copy effectiveness, the style of delivering the message, or the elements in the copy, but it is focusing on comparing the overall </w:t>
      </w:r>
      <w:r w:rsidR="00985E08" w:rsidRPr="00004E03">
        <w:rPr>
          <w:rFonts w:asciiTheme="majorBidi" w:hAnsiTheme="majorBidi" w:cstheme="majorBidi"/>
          <w:sz w:val="24"/>
          <w:szCs w:val="24"/>
        </w:rPr>
        <w:t xml:space="preserve">impact of the </w:t>
      </w:r>
      <w:r w:rsidRPr="00004E03">
        <w:rPr>
          <w:rFonts w:asciiTheme="majorBidi" w:hAnsiTheme="majorBidi" w:cstheme="majorBidi"/>
          <w:sz w:val="24"/>
          <w:szCs w:val="24"/>
        </w:rPr>
        <w:t>communication strategy (non-CSR versus CSR).</w:t>
      </w:r>
      <w:r w:rsidRPr="008A60B4">
        <w:rPr>
          <w:rFonts w:asciiTheme="majorBidi" w:hAnsiTheme="majorBidi" w:cstheme="majorBidi"/>
          <w:sz w:val="24"/>
          <w:szCs w:val="24"/>
        </w:rPr>
        <w:t xml:space="preserve"> The results of the study</w:t>
      </w:r>
      <w:r>
        <w:rPr>
          <w:rFonts w:asciiTheme="majorBidi" w:hAnsiTheme="majorBidi" w:cstheme="majorBidi"/>
          <w:sz w:val="24"/>
          <w:szCs w:val="24"/>
        </w:rPr>
        <w:t xml:space="preserve"> </w:t>
      </w:r>
      <w:r w:rsidRPr="008A60B4">
        <w:rPr>
          <w:rFonts w:asciiTheme="majorBidi" w:hAnsiTheme="majorBidi" w:cstheme="majorBidi"/>
          <w:sz w:val="24"/>
          <w:szCs w:val="24"/>
        </w:rPr>
        <w:t xml:space="preserve">compare between the effects of </w:t>
      </w:r>
      <w:r w:rsidR="00985E08">
        <w:rPr>
          <w:rFonts w:asciiTheme="majorBidi" w:hAnsiTheme="majorBidi" w:cstheme="majorBidi"/>
          <w:sz w:val="24"/>
          <w:szCs w:val="24"/>
        </w:rPr>
        <w:t>a</w:t>
      </w:r>
      <w:r w:rsidRPr="008A60B4">
        <w:rPr>
          <w:rFonts w:asciiTheme="majorBidi" w:hAnsiTheme="majorBidi" w:cstheme="majorBidi"/>
          <w:sz w:val="24"/>
          <w:szCs w:val="24"/>
        </w:rPr>
        <w:t xml:space="preserve"> non-CSR advertisements to the effects of a hypothetical CSR advertisement by Dettol</w:t>
      </w:r>
      <w:r>
        <w:rPr>
          <w:rFonts w:asciiTheme="majorBidi" w:hAnsiTheme="majorBidi" w:cstheme="majorBidi"/>
          <w:sz w:val="24"/>
          <w:szCs w:val="24"/>
        </w:rPr>
        <w:t xml:space="preserve"> as an example</w:t>
      </w:r>
      <w:r w:rsidRPr="008A60B4">
        <w:rPr>
          <w:rFonts w:asciiTheme="majorBidi" w:hAnsiTheme="majorBidi" w:cstheme="majorBidi"/>
          <w:sz w:val="24"/>
          <w:szCs w:val="24"/>
        </w:rPr>
        <w:t xml:space="preserve">. For that reason, it is essential to compare between ads (non-CSR and CSR) with all the differing </w:t>
      </w:r>
      <w:r w:rsidRPr="001F49C0">
        <w:rPr>
          <w:rFonts w:asciiTheme="majorBidi" w:hAnsiTheme="majorBidi" w:cstheme="majorBidi"/>
          <w:sz w:val="24"/>
          <w:szCs w:val="24"/>
        </w:rPr>
        <w:t>elements to understand the different impact of the non-CSR communication and the “new” communication</w:t>
      </w:r>
      <w:r>
        <w:rPr>
          <w:rFonts w:asciiTheme="majorBidi" w:hAnsiTheme="majorBidi" w:cstheme="majorBidi"/>
          <w:sz w:val="24"/>
          <w:szCs w:val="24"/>
        </w:rPr>
        <w:t xml:space="preserve"> strategy which is CSR communication</w:t>
      </w:r>
      <w:r w:rsidRPr="001F49C0">
        <w:rPr>
          <w:rFonts w:asciiTheme="majorBidi" w:hAnsiTheme="majorBidi" w:cstheme="majorBidi"/>
          <w:sz w:val="24"/>
          <w:szCs w:val="24"/>
        </w:rPr>
        <w:t xml:space="preserve">. This approach is similar to an experimental study that compared the effects of three different videos in which the models, text, music, and other elements were completely different in the three ads </w:t>
      </w:r>
      <w:sdt>
        <w:sdtPr>
          <w:rPr>
            <w:rFonts w:asciiTheme="majorBidi" w:hAnsiTheme="majorBidi" w:cstheme="majorBidi"/>
            <w:sz w:val="24"/>
            <w:szCs w:val="24"/>
          </w:rPr>
          <w:id w:val="1733964110"/>
          <w:citation/>
        </w:sdtPr>
        <w:sdtContent>
          <w:r w:rsidRPr="001F49C0">
            <w:rPr>
              <w:rFonts w:asciiTheme="majorBidi" w:hAnsiTheme="majorBidi" w:cstheme="majorBidi"/>
              <w:sz w:val="24"/>
              <w:szCs w:val="24"/>
            </w:rPr>
            <w:fldChar w:fldCharType="begin"/>
          </w:r>
          <w:r w:rsidRPr="001F49C0">
            <w:rPr>
              <w:rFonts w:asciiTheme="majorBidi" w:hAnsiTheme="majorBidi" w:cstheme="majorBidi"/>
              <w:sz w:val="24"/>
              <w:szCs w:val="24"/>
            </w:rPr>
            <w:instrText xml:space="preserve"> CITATION Gab21 \l 2057 </w:instrText>
          </w:r>
          <w:r w:rsidRPr="001F49C0">
            <w:rPr>
              <w:rFonts w:asciiTheme="majorBidi" w:hAnsiTheme="majorBidi" w:cstheme="majorBidi"/>
              <w:sz w:val="24"/>
              <w:szCs w:val="24"/>
            </w:rPr>
            <w:fldChar w:fldCharType="separate"/>
          </w:r>
          <w:r w:rsidRPr="0074573E">
            <w:rPr>
              <w:rFonts w:asciiTheme="majorBidi" w:hAnsiTheme="majorBidi" w:cstheme="majorBidi"/>
              <w:noProof/>
              <w:sz w:val="24"/>
              <w:szCs w:val="24"/>
            </w:rPr>
            <w:t>(Gabrieli, Lim, &amp; Esposito, 2021)</w:t>
          </w:r>
          <w:r w:rsidRPr="001F49C0">
            <w:rPr>
              <w:rFonts w:asciiTheme="majorBidi" w:hAnsiTheme="majorBidi" w:cstheme="majorBidi"/>
              <w:sz w:val="24"/>
              <w:szCs w:val="24"/>
            </w:rPr>
            <w:fldChar w:fldCharType="end"/>
          </w:r>
        </w:sdtContent>
      </w:sdt>
      <w:r w:rsidRPr="001F49C0">
        <w:rPr>
          <w:rFonts w:asciiTheme="majorBidi" w:hAnsiTheme="majorBidi" w:cstheme="majorBidi"/>
          <w:sz w:val="24"/>
          <w:szCs w:val="24"/>
        </w:rPr>
        <w:t xml:space="preserve">. Similarly, that study </w:t>
      </w:r>
      <w:r>
        <w:rPr>
          <w:rFonts w:asciiTheme="majorBidi" w:hAnsiTheme="majorBidi" w:cstheme="majorBidi"/>
          <w:sz w:val="24"/>
          <w:szCs w:val="24"/>
        </w:rPr>
        <w:t>explored</w:t>
      </w:r>
      <w:r w:rsidRPr="001F49C0">
        <w:rPr>
          <w:rFonts w:asciiTheme="majorBidi" w:hAnsiTheme="majorBidi" w:cstheme="majorBidi"/>
          <w:sz w:val="24"/>
          <w:szCs w:val="24"/>
        </w:rPr>
        <w:t xml:space="preserve"> the different impact</w:t>
      </w:r>
      <w:r>
        <w:rPr>
          <w:rFonts w:asciiTheme="majorBidi" w:hAnsiTheme="majorBidi" w:cstheme="majorBidi"/>
          <w:sz w:val="24"/>
          <w:szCs w:val="24"/>
        </w:rPr>
        <w:t>s</w:t>
      </w:r>
      <w:r w:rsidRPr="001F49C0">
        <w:rPr>
          <w:rFonts w:asciiTheme="majorBidi" w:hAnsiTheme="majorBidi" w:cstheme="majorBidi"/>
          <w:sz w:val="24"/>
          <w:szCs w:val="24"/>
        </w:rPr>
        <w:t xml:space="preserve"> of the ideologies </w:t>
      </w:r>
      <w:r w:rsidR="00985E08">
        <w:rPr>
          <w:rFonts w:asciiTheme="majorBidi" w:hAnsiTheme="majorBidi" w:cstheme="majorBidi"/>
          <w:sz w:val="24"/>
          <w:szCs w:val="24"/>
        </w:rPr>
        <w:t>presented in</w:t>
      </w:r>
      <w:r w:rsidRPr="001F49C0">
        <w:rPr>
          <w:rFonts w:asciiTheme="majorBidi" w:hAnsiTheme="majorBidi" w:cstheme="majorBidi"/>
          <w:sz w:val="24"/>
          <w:szCs w:val="24"/>
        </w:rPr>
        <w:t xml:space="preserve"> the ad</w:t>
      </w:r>
      <w:r w:rsidR="00985E08">
        <w:rPr>
          <w:rFonts w:asciiTheme="majorBidi" w:hAnsiTheme="majorBidi" w:cstheme="majorBidi"/>
          <w:sz w:val="24"/>
          <w:szCs w:val="24"/>
        </w:rPr>
        <w:t xml:space="preserve">s </w:t>
      </w:r>
      <w:r w:rsidRPr="001F49C0">
        <w:rPr>
          <w:rFonts w:asciiTheme="majorBidi" w:hAnsiTheme="majorBidi" w:cstheme="majorBidi"/>
          <w:sz w:val="24"/>
          <w:szCs w:val="24"/>
        </w:rPr>
        <w:t xml:space="preserve">such as ads that show relationship between emotional attachment between individuals and social distancing norms during the pandemic, and </w:t>
      </w:r>
      <w:r>
        <w:rPr>
          <w:rFonts w:asciiTheme="majorBidi" w:hAnsiTheme="majorBidi" w:cstheme="majorBidi"/>
          <w:sz w:val="24"/>
          <w:szCs w:val="24"/>
        </w:rPr>
        <w:t xml:space="preserve">the impact of </w:t>
      </w:r>
      <w:r w:rsidRPr="001F49C0">
        <w:rPr>
          <w:rFonts w:asciiTheme="majorBidi" w:hAnsiTheme="majorBidi" w:cstheme="majorBidi"/>
          <w:sz w:val="24"/>
          <w:szCs w:val="24"/>
        </w:rPr>
        <w:t xml:space="preserve">other commercial ads </w:t>
      </w:r>
      <w:sdt>
        <w:sdtPr>
          <w:rPr>
            <w:rFonts w:asciiTheme="majorBidi" w:hAnsiTheme="majorBidi" w:cstheme="majorBidi"/>
            <w:sz w:val="24"/>
            <w:szCs w:val="24"/>
          </w:rPr>
          <w:id w:val="-661160869"/>
          <w:citation/>
        </w:sdtPr>
        <w:sdtContent>
          <w:r w:rsidRPr="001F49C0">
            <w:rPr>
              <w:rFonts w:asciiTheme="majorBidi" w:hAnsiTheme="majorBidi" w:cstheme="majorBidi"/>
              <w:sz w:val="24"/>
              <w:szCs w:val="24"/>
            </w:rPr>
            <w:fldChar w:fldCharType="begin"/>
          </w:r>
          <w:r w:rsidRPr="001F49C0">
            <w:rPr>
              <w:rFonts w:asciiTheme="majorBidi" w:hAnsiTheme="majorBidi" w:cstheme="majorBidi"/>
              <w:sz w:val="24"/>
              <w:szCs w:val="24"/>
            </w:rPr>
            <w:instrText xml:space="preserve"> CITATION Gab21 \l 2057 </w:instrText>
          </w:r>
          <w:r w:rsidRPr="001F49C0">
            <w:rPr>
              <w:rFonts w:asciiTheme="majorBidi" w:hAnsiTheme="majorBidi" w:cstheme="majorBidi"/>
              <w:sz w:val="24"/>
              <w:szCs w:val="24"/>
            </w:rPr>
            <w:fldChar w:fldCharType="separate"/>
          </w:r>
          <w:r w:rsidRPr="0074573E">
            <w:rPr>
              <w:rFonts w:asciiTheme="majorBidi" w:hAnsiTheme="majorBidi" w:cstheme="majorBidi"/>
              <w:noProof/>
              <w:sz w:val="24"/>
              <w:szCs w:val="24"/>
            </w:rPr>
            <w:t>(Gabrieli, Lim, &amp; Esposito, 2021)</w:t>
          </w:r>
          <w:r w:rsidRPr="001F49C0">
            <w:rPr>
              <w:rFonts w:asciiTheme="majorBidi" w:hAnsiTheme="majorBidi" w:cstheme="majorBidi"/>
              <w:sz w:val="24"/>
              <w:szCs w:val="24"/>
            </w:rPr>
            <w:fldChar w:fldCharType="end"/>
          </w:r>
        </w:sdtContent>
      </w:sdt>
      <w:r w:rsidRPr="001F49C0">
        <w:rPr>
          <w:rFonts w:asciiTheme="majorBidi" w:hAnsiTheme="majorBidi" w:cstheme="majorBidi"/>
          <w:sz w:val="24"/>
          <w:szCs w:val="24"/>
        </w:rPr>
        <w:t xml:space="preserve">. Furthermore, other researchers </w:t>
      </w:r>
      <w:r>
        <w:rPr>
          <w:rFonts w:asciiTheme="majorBidi" w:hAnsiTheme="majorBidi" w:cstheme="majorBidi"/>
          <w:sz w:val="24"/>
          <w:szCs w:val="24"/>
        </w:rPr>
        <w:t>evaluated</w:t>
      </w:r>
      <w:r w:rsidRPr="001F49C0">
        <w:rPr>
          <w:rFonts w:asciiTheme="majorBidi" w:hAnsiTheme="majorBidi" w:cstheme="majorBidi"/>
          <w:sz w:val="24"/>
          <w:szCs w:val="24"/>
        </w:rPr>
        <w:t xml:space="preserve"> the effectiveness of political campaigns </w:t>
      </w:r>
      <w:r>
        <w:rPr>
          <w:rFonts w:asciiTheme="majorBidi" w:hAnsiTheme="majorBidi" w:cstheme="majorBidi"/>
          <w:sz w:val="24"/>
          <w:szCs w:val="24"/>
        </w:rPr>
        <w:t>with</w:t>
      </w:r>
      <w:r w:rsidRPr="001F49C0">
        <w:rPr>
          <w:rFonts w:asciiTheme="majorBidi" w:hAnsiTheme="majorBidi" w:cstheme="majorBidi"/>
          <w:sz w:val="24"/>
          <w:szCs w:val="24"/>
        </w:rPr>
        <w:t xml:space="preserve"> experiments to compare between the effects of comedy political shows and the effects of political ads on candidates’ evaluations and voting intentions</w:t>
      </w:r>
      <w:sdt>
        <w:sdtPr>
          <w:rPr>
            <w:rFonts w:asciiTheme="majorBidi" w:hAnsiTheme="majorBidi" w:cstheme="majorBidi"/>
            <w:sz w:val="24"/>
            <w:szCs w:val="24"/>
          </w:rPr>
          <w:id w:val="27074807"/>
          <w:citation/>
        </w:sdtPr>
        <w:sdtContent>
          <w:r w:rsidRPr="001F49C0">
            <w:rPr>
              <w:rFonts w:asciiTheme="majorBidi" w:hAnsiTheme="majorBidi" w:cstheme="majorBidi"/>
              <w:sz w:val="24"/>
              <w:szCs w:val="24"/>
            </w:rPr>
            <w:fldChar w:fldCharType="begin"/>
          </w:r>
          <w:r w:rsidRPr="001F49C0">
            <w:rPr>
              <w:rFonts w:asciiTheme="majorBidi" w:hAnsiTheme="majorBidi" w:cstheme="majorBidi"/>
              <w:sz w:val="24"/>
              <w:szCs w:val="24"/>
            </w:rPr>
            <w:instrText xml:space="preserve"> CITATION War18 \l 2057 </w:instrText>
          </w:r>
          <w:r w:rsidRPr="001F49C0">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(Warner, et al., 2018)</w:t>
          </w:r>
          <w:r w:rsidRPr="001F49C0">
            <w:rPr>
              <w:rFonts w:asciiTheme="majorBidi" w:hAnsiTheme="majorBidi" w:cstheme="majorBidi"/>
              <w:sz w:val="24"/>
              <w:szCs w:val="24"/>
            </w:rPr>
            <w:fldChar w:fldCharType="end"/>
          </w:r>
        </w:sdtContent>
      </w:sdt>
      <w:r w:rsidRPr="001F49C0">
        <w:rPr>
          <w:rFonts w:asciiTheme="majorBidi" w:hAnsiTheme="majorBidi" w:cstheme="majorBidi"/>
          <w:sz w:val="24"/>
          <w:szCs w:val="24"/>
        </w:rPr>
        <w:t>.</w:t>
      </w:r>
      <w:r>
        <w:rPr>
          <w:rFonts w:asciiTheme="majorBidi" w:hAnsiTheme="majorBidi" w:cstheme="majorBidi"/>
          <w:sz w:val="24"/>
          <w:szCs w:val="24"/>
        </w:rPr>
        <w:t xml:space="preserve"> </w:t>
      </w:r>
      <w:r w:rsidRPr="001F49C0">
        <w:rPr>
          <w:rFonts w:asciiTheme="majorBidi" w:hAnsiTheme="majorBidi" w:cstheme="majorBidi"/>
          <w:sz w:val="24"/>
          <w:szCs w:val="24"/>
        </w:rPr>
        <w:t xml:space="preserve">Still, it is evident in previous studies that human attention is considerably more sensitive to motion (video ads) than colour, text, and orientation (static ads) </w:t>
      </w:r>
      <w:sdt>
        <w:sdtPr>
          <w:rPr>
            <w:rFonts w:asciiTheme="majorBidi" w:hAnsiTheme="majorBidi" w:cstheme="majorBidi"/>
            <w:sz w:val="24"/>
            <w:szCs w:val="24"/>
          </w:rPr>
          <w:id w:val="-145745735"/>
          <w:citation/>
        </w:sdtPr>
        <w:sdtContent>
          <w:r w:rsidRPr="001F49C0">
            <w:rPr>
              <w:rFonts w:asciiTheme="majorBidi" w:hAnsiTheme="majorBidi" w:cstheme="majorBidi"/>
              <w:sz w:val="24"/>
              <w:szCs w:val="24"/>
            </w:rPr>
            <w:fldChar w:fldCharType="begin"/>
          </w:r>
          <w:r w:rsidRPr="001F49C0">
            <w:rPr>
              <w:rFonts w:asciiTheme="majorBidi" w:hAnsiTheme="majorBidi" w:cstheme="majorBidi"/>
              <w:sz w:val="24"/>
              <w:szCs w:val="24"/>
            </w:rPr>
            <w:instrText xml:space="preserve"> CITATION Cai10 \l 2057  \m XuP15</w:instrText>
          </w:r>
          <w:r w:rsidRPr="001F49C0">
            <w:rPr>
              <w:rFonts w:asciiTheme="majorBidi" w:hAnsiTheme="majorBidi" w:cstheme="majorBidi"/>
              <w:sz w:val="24"/>
              <w:szCs w:val="24"/>
            </w:rPr>
            <w:fldChar w:fldCharType="separate"/>
          </w:r>
          <w:r w:rsidRPr="0074573E">
            <w:rPr>
              <w:rFonts w:asciiTheme="majorBidi" w:hAnsiTheme="majorBidi" w:cstheme="majorBidi"/>
              <w:noProof/>
              <w:sz w:val="24"/>
              <w:szCs w:val="24"/>
            </w:rPr>
            <w:t>(Cain, 2010; Xu, Chen, &amp; Santhanam, 2015)</w:t>
          </w:r>
          <w:r w:rsidRPr="001F49C0">
            <w:rPr>
              <w:rFonts w:asciiTheme="majorBidi" w:hAnsiTheme="majorBidi" w:cstheme="majorBidi"/>
              <w:sz w:val="24"/>
              <w:szCs w:val="24"/>
            </w:rPr>
            <w:fldChar w:fldCharType="end"/>
          </w:r>
        </w:sdtContent>
      </w:sdt>
      <w:r w:rsidRPr="001F49C0">
        <w:rPr>
          <w:rFonts w:asciiTheme="majorBidi" w:hAnsiTheme="majorBidi" w:cstheme="majorBidi"/>
          <w:sz w:val="24"/>
          <w:szCs w:val="24"/>
        </w:rPr>
        <w:t xml:space="preserve">. Hence, </w:t>
      </w:r>
      <w:r>
        <w:rPr>
          <w:rFonts w:asciiTheme="majorBidi" w:hAnsiTheme="majorBidi" w:cstheme="majorBidi"/>
          <w:sz w:val="24"/>
          <w:szCs w:val="24"/>
        </w:rPr>
        <w:t>I</w:t>
      </w:r>
      <w:r w:rsidRPr="001F49C0">
        <w:rPr>
          <w:rFonts w:asciiTheme="majorBidi" w:hAnsiTheme="majorBidi" w:cstheme="majorBidi"/>
          <w:sz w:val="24"/>
          <w:szCs w:val="24"/>
        </w:rPr>
        <w:t xml:space="preserve"> </w:t>
      </w:r>
      <w:r>
        <w:rPr>
          <w:rFonts w:asciiTheme="majorBidi" w:hAnsiTheme="majorBidi" w:cstheme="majorBidi"/>
          <w:sz w:val="24"/>
          <w:szCs w:val="24"/>
        </w:rPr>
        <w:t>unified</w:t>
      </w:r>
      <w:r w:rsidRPr="001F49C0">
        <w:rPr>
          <w:rFonts w:asciiTheme="majorBidi" w:hAnsiTheme="majorBidi" w:cstheme="majorBidi"/>
          <w:sz w:val="24"/>
          <w:szCs w:val="24"/>
        </w:rPr>
        <w:t xml:space="preserve"> the format of the ad </w:t>
      </w:r>
      <w:r>
        <w:rPr>
          <w:rFonts w:asciiTheme="majorBidi" w:hAnsiTheme="majorBidi" w:cstheme="majorBidi"/>
          <w:sz w:val="24"/>
          <w:szCs w:val="24"/>
        </w:rPr>
        <w:t xml:space="preserve">between each two </w:t>
      </w:r>
      <w:r w:rsidRPr="001F49C0">
        <w:rPr>
          <w:rFonts w:asciiTheme="majorBidi" w:hAnsiTheme="majorBidi" w:cstheme="majorBidi"/>
          <w:sz w:val="24"/>
          <w:szCs w:val="24"/>
        </w:rPr>
        <w:t xml:space="preserve">groups </w:t>
      </w:r>
      <w:r>
        <w:rPr>
          <w:rFonts w:asciiTheme="majorBidi" w:hAnsiTheme="majorBidi" w:cstheme="majorBidi"/>
          <w:sz w:val="24"/>
          <w:szCs w:val="24"/>
        </w:rPr>
        <w:t>that were compared to each other</w:t>
      </w:r>
      <w:r w:rsidRPr="001F49C0">
        <w:rPr>
          <w:rFonts w:asciiTheme="majorBidi" w:hAnsiTheme="majorBidi" w:cstheme="majorBidi"/>
          <w:sz w:val="24"/>
          <w:szCs w:val="24"/>
        </w:rPr>
        <w:t xml:space="preserve">. </w:t>
      </w:r>
      <w:r>
        <w:rPr>
          <w:rFonts w:asciiTheme="majorBidi" w:hAnsiTheme="majorBidi" w:cstheme="majorBidi"/>
          <w:sz w:val="24"/>
          <w:szCs w:val="24"/>
        </w:rPr>
        <w:t>Most importantly, to avoid researcher subjectivity, both CSR advertisement stimulus and non-CSR advertisement stimulus had similar music style, tone, and overall look and feel. This was established from the results of the pilot study (refer to section 5.4</w:t>
      </w:r>
      <w:r w:rsidR="00E01799">
        <w:rPr>
          <w:rFonts w:asciiTheme="majorBidi" w:hAnsiTheme="majorBidi" w:cstheme="majorBidi"/>
          <w:sz w:val="24"/>
          <w:szCs w:val="24"/>
        </w:rPr>
        <w:t>.4</w:t>
      </w:r>
      <w:r>
        <w:rPr>
          <w:rFonts w:asciiTheme="majorBidi" w:hAnsiTheme="majorBidi" w:cstheme="majorBidi"/>
          <w:sz w:val="24"/>
          <w:szCs w:val="24"/>
        </w:rPr>
        <w:t xml:space="preserve">). </w:t>
      </w:r>
      <w:r w:rsidRPr="001F49C0">
        <w:rPr>
          <w:rFonts w:asciiTheme="majorBidi" w:hAnsiTheme="majorBidi" w:cstheme="majorBidi"/>
          <w:sz w:val="24"/>
          <w:szCs w:val="24"/>
        </w:rPr>
        <w:t xml:space="preserve">This study </w:t>
      </w:r>
      <w:r>
        <w:rPr>
          <w:rFonts w:asciiTheme="majorBidi" w:hAnsiTheme="majorBidi" w:cstheme="majorBidi"/>
          <w:sz w:val="24"/>
          <w:szCs w:val="24"/>
        </w:rPr>
        <w:t>applied</w:t>
      </w:r>
      <w:r w:rsidRPr="001F49C0">
        <w:rPr>
          <w:rFonts w:asciiTheme="majorBidi" w:hAnsiTheme="majorBidi" w:cstheme="majorBidi"/>
          <w:sz w:val="24"/>
          <w:szCs w:val="24"/>
        </w:rPr>
        <w:t xml:space="preserve"> 2x2 factorial experimental design</w:t>
      </w:r>
      <w:r>
        <w:rPr>
          <w:rFonts w:asciiTheme="majorBidi" w:hAnsiTheme="majorBidi" w:cstheme="majorBidi"/>
          <w:sz w:val="24"/>
          <w:szCs w:val="24"/>
        </w:rPr>
        <w:t xml:space="preserve">, as demonstrated in the below table. </w:t>
      </w:r>
    </w:p>
    <w:tbl>
      <w:tblPr>
        <w:tblStyle w:val="TableGrid"/>
        <w:tblW w:w="0" w:type="auto"/>
        <w:tblInd w:w="675" w:type="dxa"/>
        <w:tblLook w:val="04A0" w:firstRow="1" w:lastRow="0" w:firstColumn="1" w:lastColumn="0" w:noHBand="0" w:noVBand="1"/>
      </w:tblPr>
      <w:tblGrid>
        <w:gridCol w:w="2330"/>
        <w:gridCol w:w="3006"/>
      </w:tblGrid>
      <w:tr w:rsidR="007A225E" w:rsidRPr="004758DC" w14:paraId="1D2AAD46" w14:textId="77777777" w:rsidTr="00026112">
        <w:tc>
          <w:tcPr>
            <w:tcW w:w="2330" w:type="dxa"/>
          </w:tcPr>
          <w:p w14:paraId="79C66B51" w14:textId="1617C466" w:rsidR="007A225E" w:rsidRPr="004758DC" w:rsidRDefault="007A225E" w:rsidP="00053611">
            <w:pPr>
              <w:spacing w:line="276" w:lineRule="auto"/>
              <w:rPr>
                <w:rFonts w:asciiTheme="majorBidi" w:hAnsiTheme="majorBidi" w:cstheme="majorBidi"/>
                <w:sz w:val="20"/>
                <w:szCs w:val="20"/>
              </w:rPr>
            </w:pPr>
            <w:r w:rsidRPr="004758DC">
              <w:rPr>
                <w:rFonts w:asciiTheme="majorBidi" w:hAnsiTheme="majorBidi" w:cstheme="majorBidi"/>
                <w:sz w:val="20"/>
                <w:szCs w:val="20"/>
              </w:rPr>
              <w:t xml:space="preserve">CSR on </w:t>
            </w:r>
            <w:r w:rsidR="00935FBD" w:rsidRPr="004758DC">
              <w:rPr>
                <w:rFonts w:asciiTheme="majorBidi" w:hAnsiTheme="majorBidi" w:cstheme="majorBidi"/>
                <w:sz w:val="20"/>
                <w:szCs w:val="20"/>
              </w:rPr>
              <w:t>t</w:t>
            </w:r>
            <w:r w:rsidRPr="004758DC">
              <w:rPr>
                <w:rFonts w:asciiTheme="majorBidi" w:hAnsiTheme="majorBidi" w:cstheme="majorBidi"/>
                <w:sz w:val="20"/>
                <w:szCs w:val="20"/>
              </w:rPr>
              <w:t xml:space="preserve">elevision </w:t>
            </w:r>
          </w:p>
        </w:tc>
        <w:tc>
          <w:tcPr>
            <w:tcW w:w="3006" w:type="dxa"/>
          </w:tcPr>
          <w:p w14:paraId="4C100207" w14:textId="12DB04B7" w:rsidR="007A225E" w:rsidRPr="004758DC" w:rsidRDefault="007A225E" w:rsidP="00053611">
            <w:pPr>
              <w:spacing w:line="276" w:lineRule="auto"/>
              <w:rPr>
                <w:rFonts w:asciiTheme="majorBidi" w:hAnsiTheme="majorBidi" w:cstheme="majorBidi"/>
                <w:sz w:val="20"/>
                <w:szCs w:val="20"/>
              </w:rPr>
            </w:pPr>
            <w:r w:rsidRPr="004758DC">
              <w:rPr>
                <w:rFonts w:asciiTheme="majorBidi" w:hAnsiTheme="majorBidi" w:cstheme="majorBidi"/>
                <w:sz w:val="20"/>
                <w:szCs w:val="20"/>
              </w:rPr>
              <w:t xml:space="preserve">Non-CSR on </w:t>
            </w:r>
            <w:r w:rsidR="00935FBD" w:rsidRPr="004758DC">
              <w:rPr>
                <w:rFonts w:asciiTheme="majorBidi" w:hAnsiTheme="majorBidi" w:cstheme="majorBidi"/>
                <w:sz w:val="20"/>
                <w:szCs w:val="20"/>
              </w:rPr>
              <w:t>t</w:t>
            </w:r>
            <w:r w:rsidRPr="004758DC">
              <w:rPr>
                <w:rFonts w:asciiTheme="majorBidi" w:hAnsiTheme="majorBidi" w:cstheme="majorBidi"/>
                <w:sz w:val="20"/>
                <w:szCs w:val="20"/>
              </w:rPr>
              <w:t xml:space="preserve">elevision </w:t>
            </w:r>
          </w:p>
        </w:tc>
      </w:tr>
      <w:tr w:rsidR="007A225E" w:rsidRPr="004758DC" w14:paraId="355AD064" w14:textId="77777777" w:rsidTr="00026112">
        <w:tc>
          <w:tcPr>
            <w:tcW w:w="2330" w:type="dxa"/>
          </w:tcPr>
          <w:p w14:paraId="09460B08" w14:textId="77777777" w:rsidR="007A225E" w:rsidRPr="004758DC" w:rsidRDefault="007A225E" w:rsidP="00053611">
            <w:pPr>
              <w:spacing w:line="276" w:lineRule="auto"/>
              <w:rPr>
                <w:rFonts w:asciiTheme="majorBidi" w:hAnsiTheme="majorBidi" w:cstheme="majorBidi"/>
                <w:sz w:val="20"/>
                <w:szCs w:val="20"/>
              </w:rPr>
            </w:pPr>
            <w:r w:rsidRPr="004758DC">
              <w:rPr>
                <w:rFonts w:asciiTheme="majorBidi" w:hAnsiTheme="majorBidi" w:cstheme="majorBidi"/>
                <w:sz w:val="20"/>
                <w:szCs w:val="20"/>
              </w:rPr>
              <w:t xml:space="preserve">CSR on social media </w:t>
            </w:r>
          </w:p>
        </w:tc>
        <w:tc>
          <w:tcPr>
            <w:tcW w:w="3006" w:type="dxa"/>
          </w:tcPr>
          <w:p w14:paraId="5F21F903" w14:textId="77777777" w:rsidR="007A225E" w:rsidRPr="004758DC" w:rsidRDefault="007A225E" w:rsidP="00053611">
            <w:pPr>
              <w:keepNext/>
              <w:spacing w:line="276" w:lineRule="auto"/>
              <w:rPr>
                <w:rFonts w:asciiTheme="majorBidi" w:hAnsiTheme="majorBidi" w:cstheme="majorBidi"/>
                <w:sz w:val="20"/>
                <w:szCs w:val="20"/>
              </w:rPr>
            </w:pPr>
            <w:r w:rsidRPr="004758DC">
              <w:rPr>
                <w:rFonts w:asciiTheme="majorBidi" w:hAnsiTheme="majorBidi" w:cstheme="majorBidi"/>
                <w:sz w:val="20"/>
                <w:szCs w:val="20"/>
              </w:rPr>
              <w:t xml:space="preserve">Non-CSR on social media </w:t>
            </w:r>
          </w:p>
        </w:tc>
      </w:tr>
    </w:tbl>
    <w:p w14:paraId="77F9602B" w14:textId="2DB8E7BB" w:rsidR="007A225E" w:rsidRDefault="006E435C" w:rsidP="006E435C">
      <w:pPr>
        <w:pStyle w:val="Caption"/>
        <w:rPr>
          <w:rFonts w:asciiTheme="majorBidi" w:hAnsiTheme="majorBidi" w:cstheme="majorBidi"/>
          <w:sz w:val="24"/>
          <w:szCs w:val="24"/>
        </w:rPr>
      </w:pPr>
      <w:r>
        <w:t>Table 1</w:t>
      </w:r>
      <w:r w:rsidR="00044DE9">
        <w:t>4</w:t>
      </w:r>
      <w:r>
        <w:t xml:space="preserve"> 2x2 survey experiment</w:t>
      </w:r>
    </w:p>
    <w:p w14:paraId="34EB5BA4" w14:textId="07DA9680" w:rsidR="007A225E" w:rsidRDefault="007A225E" w:rsidP="005C710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With the help of a content creation agency</w:t>
      </w:r>
      <w:r w:rsidR="00C92C67">
        <w:rPr>
          <w:rFonts w:asciiTheme="majorBidi" w:hAnsiTheme="majorBidi" w:cstheme="majorBidi"/>
          <w:sz w:val="24"/>
          <w:szCs w:val="24"/>
        </w:rPr>
        <w:t xml:space="preserve"> in Egypt</w:t>
      </w:r>
      <w:r>
        <w:rPr>
          <w:rFonts w:asciiTheme="majorBidi" w:hAnsiTheme="majorBidi" w:cstheme="majorBidi"/>
          <w:sz w:val="24"/>
          <w:szCs w:val="24"/>
        </w:rPr>
        <w:t>, the television stimulus was designed to mimic a short live television watching experience as much as possible while keeping in mind the total time to complete the survey. While there hasn’t been enough research providing specific guidance on the exact length of the stimuli, it is argued that stimulus size has different effects in perceptual judgments</w:t>
      </w:r>
      <w:sdt>
        <w:sdtPr>
          <w:rPr>
            <w:rFonts w:asciiTheme="majorBidi" w:hAnsiTheme="majorBidi" w:cstheme="majorBidi"/>
            <w:sz w:val="24"/>
            <w:szCs w:val="24"/>
          </w:rPr>
          <w:id w:val="174552666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Kan17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(Kanai, Dalmaijer, Sherman, Kawakita, &amp; Paffen,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Generally, it is advised to keep the stimuli in experiments as short as possible </w:t>
      </w:r>
      <w:sdt>
        <w:sdtPr>
          <w:rPr>
            <w:rFonts w:asciiTheme="majorBidi" w:hAnsiTheme="majorBidi" w:cstheme="majorBidi"/>
            <w:sz w:val="24"/>
            <w:szCs w:val="24"/>
          </w:rPr>
          <w:id w:val="-156131734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Kan17 \l 2057  \m Per18</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(Kanai, Dalmaijer, Sherman, Kawakita, &amp; Paffen, 2017; Percival, 2018)</w:t>
          </w:r>
          <w:r>
            <w:rPr>
              <w:rFonts w:asciiTheme="majorBidi" w:hAnsiTheme="majorBidi" w:cstheme="majorBidi"/>
              <w:sz w:val="24"/>
              <w:szCs w:val="24"/>
            </w:rPr>
            <w:fldChar w:fldCharType="end"/>
          </w:r>
        </w:sdtContent>
      </w:sdt>
      <w:r>
        <w:rPr>
          <w:rFonts w:asciiTheme="majorBidi" w:hAnsiTheme="majorBidi" w:cstheme="majorBidi"/>
          <w:sz w:val="24"/>
          <w:szCs w:val="24"/>
        </w:rPr>
        <w:t>. However, when respondents have some familiarity with the content of the stimulus and the same length of the stimulus is applied across all groups, then the stimulus length should not trigger issues in the data analysis</w:t>
      </w:r>
      <w:sdt>
        <w:sdtPr>
          <w:rPr>
            <w:rFonts w:asciiTheme="majorBidi" w:hAnsiTheme="majorBidi" w:cstheme="majorBidi"/>
            <w:sz w:val="24"/>
            <w:szCs w:val="24"/>
          </w:rPr>
          <w:id w:val="143825529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Car09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(Carey , Kassam, Hsee, &amp; Caruso, 2009)</w:t>
          </w:r>
          <w:r>
            <w:rPr>
              <w:rFonts w:asciiTheme="majorBidi" w:hAnsiTheme="majorBidi" w:cstheme="majorBidi"/>
              <w:sz w:val="24"/>
              <w:szCs w:val="24"/>
            </w:rPr>
            <w:fldChar w:fldCharType="end"/>
          </w:r>
        </w:sdtContent>
      </w:sdt>
      <w:r>
        <w:rPr>
          <w:rFonts w:asciiTheme="majorBidi" w:hAnsiTheme="majorBidi" w:cstheme="majorBidi"/>
          <w:sz w:val="24"/>
          <w:szCs w:val="24"/>
        </w:rPr>
        <w:t>. The total duration of the stimulus presented in the survey experiment was one minute</w:t>
      </w:r>
      <w:r w:rsidR="00C92C67">
        <w:rPr>
          <w:rFonts w:asciiTheme="majorBidi" w:hAnsiTheme="majorBidi" w:cstheme="majorBidi"/>
          <w:sz w:val="24"/>
          <w:szCs w:val="24"/>
        </w:rPr>
        <w:t xml:space="preserve"> </w:t>
      </w:r>
      <w:r>
        <w:rPr>
          <w:rFonts w:asciiTheme="majorBidi" w:hAnsiTheme="majorBidi" w:cstheme="majorBidi"/>
          <w:sz w:val="24"/>
          <w:szCs w:val="24"/>
        </w:rPr>
        <w:t xml:space="preserve">and a half. </w:t>
      </w:r>
    </w:p>
    <w:p w14:paraId="44276C88" w14:textId="5FC26945" w:rsidR="007A225E" w:rsidRDefault="007A225E" w:rsidP="00A3384C">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video stimulus began with a famous show in Egypt. Respondents had the option to choose between watching a part of </w:t>
      </w:r>
      <w:r w:rsidRPr="00D94B9B">
        <w:rPr>
          <w:rFonts w:asciiTheme="majorBidi" w:hAnsiTheme="majorBidi" w:cstheme="majorBidi"/>
          <w:i/>
          <w:iCs/>
          <w:sz w:val="24"/>
          <w:szCs w:val="24"/>
        </w:rPr>
        <w:t>Hajj Metwali</w:t>
      </w:r>
      <w:r>
        <w:rPr>
          <w:rFonts w:asciiTheme="majorBidi" w:hAnsiTheme="majorBidi" w:cstheme="majorBidi"/>
          <w:sz w:val="24"/>
          <w:szCs w:val="24"/>
        </w:rPr>
        <w:t xml:space="preserve"> TV show </w:t>
      </w:r>
      <w:r w:rsidR="00C92C67">
        <w:rPr>
          <w:rFonts w:asciiTheme="majorBidi" w:hAnsiTheme="majorBidi" w:cstheme="majorBidi"/>
          <w:sz w:val="24"/>
          <w:szCs w:val="24"/>
        </w:rPr>
        <w:t xml:space="preserve">or a part </w:t>
      </w:r>
      <w:r>
        <w:rPr>
          <w:rFonts w:asciiTheme="majorBidi" w:hAnsiTheme="majorBidi" w:cstheme="majorBidi"/>
          <w:sz w:val="24"/>
          <w:szCs w:val="24"/>
        </w:rPr>
        <w:t>of Friends</w:t>
      </w:r>
      <w:r w:rsidR="00C92C67">
        <w:rPr>
          <w:rFonts w:asciiTheme="majorBidi" w:hAnsiTheme="majorBidi" w:cstheme="majorBidi"/>
          <w:sz w:val="24"/>
          <w:szCs w:val="24"/>
        </w:rPr>
        <w:t xml:space="preserve"> sitcom</w:t>
      </w:r>
      <w:r>
        <w:rPr>
          <w:rFonts w:asciiTheme="majorBidi" w:hAnsiTheme="majorBidi" w:cstheme="majorBidi"/>
          <w:sz w:val="24"/>
          <w:szCs w:val="24"/>
        </w:rPr>
        <w:t>. Both shows are popular and commonly watched among Egyptian consumers</w:t>
      </w:r>
      <w:sdt>
        <w:sdtPr>
          <w:rPr>
            <w:rFonts w:asciiTheme="majorBidi" w:hAnsiTheme="majorBidi" w:cstheme="majorBidi"/>
            <w:sz w:val="24"/>
            <w:szCs w:val="24"/>
          </w:rPr>
          <w:id w:val="-81355562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Abd222 \l 2057  \m Dil09</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(Abdel-Magied, 2022; Dillion, 2009)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After watching a small part of the show that the respondent selected, the show </w:t>
      </w:r>
      <w:r w:rsidR="00752DEB">
        <w:rPr>
          <w:rFonts w:asciiTheme="majorBidi" w:hAnsiTheme="majorBidi" w:cstheme="majorBidi"/>
          <w:sz w:val="24"/>
          <w:szCs w:val="24"/>
        </w:rPr>
        <w:t>would be</w:t>
      </w:r>
      <w:r>
        <w:rPr>
          <w:rFonts w:asciiTheme="majorBidi" w:hAnsiTheme="majorBidi" w:cstheme="majorBidi"/>
          <w:sz w:val="24"/>
          <w:szCs w:val="24"/>
        </w:rPr>
        <w:t xml:space="preserve"> interrupted by </w:t>
      </w:r>
      <w:r w:rsidR="00134ECA">
        <w:rPr>
          <w:rFonts w:asciiTheme="majorBidi" w:hAnsiTheme="majorBidi" w:cstheme="majorBidi"/>
          <w:sz w:val="24"/>
          <w:szCs w:val="24"/>
        </w:rPr>
        <w:t xml:space="preserve">a </w:t>
      </w:r>
      <w:r>
        <w:rPr>
          <w:rFonts w:asciiTheme="majorBidi" w:hAnsiTheme="majorBidi" w:cstheme="majorBidi"/>
          <w:sz w:val="24"/>
          <w:szCs w:val="24"/>
        </w:rPr>
        <w:t xml:space="preserve">channel’s commercial break, then the ad for Dettol, another ad for another </w:t>
      </w:r>
      <w:r w:rsidR="00134ECA">
        <w:rPr>
          <w:rFonts w:asciiTheme="majorBidi" w:hAnsiTheme="majorBidi" w:cstheme="majorBidi"/>
          <w:sz w:val="24"/>
          <w:szCs w:val="24"/>
        </w:rPr>
        <w:t>FMCG product</w:t>
      </w:r>
      <w:r>
        <w:rPr>
          <w:rFonts w:asciiTheme="majorBidi" w:hAnsiTheme="majorBidi" w:cstheme="majorBidi"/>
          <w:sz w:val="24"/>
          <w:szCs w:val="24"/>
        </w:rPr>
        <w:t>, and finally the video</w:t>
      </w:r>
      <w:r w:rsidR="00134ECA">
        <w:rPr>
          <w:rFonts w:asciiTheme="majorBidi" w:hAnsiTheme="majorBidi" w:cstheme="majorBidi"/>
          <w:sz w:val="24"/>
          <w:szCs w:val="24"/>
        </w:rPr>
        <w:t xml:space="preserve"> (stimulus)</w:t>
      </w:r>
      <w:r>
        <w:rPr>
          <w:rFonts w:asciiTheme="majorBidi" w:hAnsiTheme="majorBidi" w:cstheme="majorBidi"/>
          <w:sz w:val="24"/>
          <w:szCs w:val="24"/>
        </w:rPr>
        <w:t xml:space="preserve"> ended with a small part of the show again.</w:t>
      </w:r>
      <w:r w:rsidR="00134ECA">
        <w:rPr>
          <w:rFonts w:asciiTheme="majorBidi" w:hAnsiTheme="majorBidi" w:cstheme="majorBidi"/>
          <w:sz w:val="24"/>
          <w:szCs w:val="24"/>
        </w:rPr>
        <w:t xml:space="preserve"> </w:t>
      </w:r>
      <w:r>
        <w:rPr>
          <w:rFonts w:asciiTheme="majorBidi" w:hAnsiTheme="majorBidi" w:cstheme="majorBidi"/>
          <w:sz w:val="24"/>
          <w:szCs w:val="24"/>
        </w:rPr>
        <w:t xml:space="preserve">The CSR Dettol ad was designed to start in a disruptive manner claiming that Dettol will not </w:t>
      </w:r>
      <w:r w:rsidRPr="00004E03">
        <w:rPr>
          <w:rFonts w:asciiTheme="majorBidi" w:hAnsiTheme="majorBidi" w:cstheme="majorBidi"/>
          <w:sz w:val="24"/>
          <w:szCs w:val="24"/>
        </w:rPr>
        <w:t>make any more ads</w:t>
      </w:r>
      <w:r>
        <w:rPr>
          <w:rFonts w:asciiTheme="majorBidi" w:hAnsiTheme="majorBidi" w:cstheme="majorBidi"/>
          <w:sz w:val="24"/>
          <w:szCs w:val="24"/>
        </w:rPr>
        <w:t xml:space="preserve"> this year; instead, Dettol will open a free out-patient clinic in Asyut, Egypt. Then, the ad displayed some footage of the clinic and some Egyptian patients receiving basic check-ups and treatments. Lastly, the ad ends with Dettol’s logo and tagline. The ad was designed to have a happy tone and an emotional voice-over similar to the non-CSR ad that was presented to the other group. The other group got </w:t>
      </w:r>
      <w:r w:rsidR="005744A1">
        <w:rPr>
          <w:rFonts w:asciiTheme="majorBidi" w:hAnsiTheme="majorBidi" w:cstheme="majorBidi"/>
          <w:sz w:val="24"/>
          <w:szCs w:val="24"/>
        </w:rPr>
        <w:t xml:space="preserve">the same video but, the ads will show </w:t>
      </w:r>
      <w:r>
        <w:rPr>
          <w:rFonts w:asciiTheme="majorBidi" w:hAnsiTheme="majorBidi" w:cstheme="majorBidi"/>
          <w:sz w:val="24"/>
          <w:szCs w:val="24"/>
        </w:rPr>
        <w:t xml:space="preserve">a non-CSR Dettol ad as stimulus embedded in the same part of the same TV show. The non-CSR Dettol ad mainly focused on the functions of Dettol and the long years of expertise in household cleaning and disinfection. </w:t>
      </w:r>
      <w:r w:rsidRPr="001F49C0">
        <w:rPr>
          <w:rFonts w:asciiTheme="majorBidi" w:hAnsiTheme="majorBidi" w:cstheme="majorBidi"/>
          <w:sz w:val="24"/>
          <w:szCs w:val="24"/>
        </w:rPr>
        <w:t xml:space="preserve">The other two groups </w:t>
      </w:r>
      <w:r>
        <w:rPr>
          <w:rFonts w:asciiTheme="majorBidi" w:hAnsiTheme="majorBidi" w:cstheme="majorBidi"/>
          <w:sz w:val="24"/>
          <w:szCs w:val="24"/>
        </w:rPr>
        <w:t>received a</w:t>
      </w:r>
      <w:r w:rsidRPr="001F49C0">
        <w:rPr>
          <w:rFonts w:asciiTheme="majorBidi" w:hAnsiTheme="majorBidi" w:cstheme="majorBidi"/>
          <w:sz w:val="24"/>
          <w:szCs w:val="24"/>
        </w:rPr>
        <w:t xml:space="preserve"> CSR </w:t>
      </w:r>
      <w:r w:rsidR="005744A1">
        <w:rPr>
          <w:rFonts w:asciiTheme="majorBidi" w:hAnsiTheme="majorBidi" w:cstheme="majorBidi"/>
          <w:sz w:val="24"/>
          <w:szCs w:val="24"/>
        </w:rPr>
        <w:t xml:space="preserve">static </w:t>
      </w:r>
      <w:r>
        <w:rPr>
          <w:rFonts w:asciiTheme="majorBidi" w:hAnsiTheme="majorBidi" w:cstheme="majorBidi"/>
          <w:sz w:val="24"/>
          <w:szCs w:val="24"/>
        </w:rPr>
        <w:t xml:space="preserve">Facebook </w:t>
      </w:r>
      <w:r w:rsidRPr="001F49C0">
        <w:rPr>
          <w:rFonts w:asciiTheme="majorBidi" w:hAnsiTheme="majorBidi" w:cstheme="majorBidi"/>
          <w:sz w:val="24"/>
          <w:szCs w:val="24"/>
        </w:rPr>
        <w:t xml:space="preserve">ad and a non-CSR </w:t>
      </w:r>
      <w:r w:rsidR="005744A1">
        <w:rPr>
          <w:rFonts w:asciiTheme="majorBidi" w:hAnsiTheme="majorBidi" w:cstheme="majorBidi"/>
          <w:sz w:val="24"/>
          <w:szCs w:val="24"/>
        </w:rPr>
        <w:t>one</w:t>
      </w:r>
      <w:r>
        <w:rPr>
          <w:rFonts w:asciiTheme="majorBidi" w:hAnsiTheme="majorBidi" w:cstheme="majorBidi"/>
          <w:sz w:val="24"/>
          <w:szCs w:val="24"/>
        </w:rPr>
        <w:t xml:space="preserve"> by Dettol</w:t>
      </w:r>
      <w:r w:rsidRPr="001F49C0">
        <w:rPr>
          <w:rFonts w:asciiTheme="majorBidi" w:hAnsiTheme="majorBidi" w:cstheme="majorBidi"/>
          <w:sz w:val="24"/>
          <w:szCs w:val="24"/>
        </w:rPr>
        <w:t xml:space="preserve">. </w:t>
      </w:r>
      <w:r>
        <w:rPr>
          <w:rFonts w:asciiTheme="majorBidi" w:hAnsiTheme="majorBidi" w:cstheme="majorBidi"/>
          <w:sz w:val="24"/>
          <w:szCs w:val="24"/>
        </w:rPr>
        <w:t xml:space="preserve">All ads were in Arabic language just like all advertisements in Egypt </w:t>
      </w:r>
      <w:r w:rsidR="000473F4">
        <w:rPr>
          <w:rFonts w:asciiTheme="majorBidi" w:hAnsiTheme="majorBidi" w:cstheme="majorBidi"/>
          <w:sz w:val="24"/>
          <w:szCs w:val="24"/>
        </w:rPr>
        <w:t>as majority of the population is inclines towards Arabic ads</w:t>
      </w:r>
      <w:sdt>
        <w:sdtPr>
          <w:rPr>
            <w:rFonts w:asciiTheme="majorBidi" w:hAnsiTheme="majorBidi" w:cstheme="majorBidi"/>
            <w:sz w:val="24"/>
            <w:szCs w:val="24"/>
          </w:rPr>
          <w:id w:val="-332452918"/>
          <w:citation/>
        </w:sdtPr>
        <w:sdtContent>
          <w:r w:rsidR="000473F4">
            <w:rPr>
              <w:rFonts w:asciiTheme="majorBidi" w:hAnsiTheme="majorBidi" w:cstheme="majorBidi"/>
              <w:sz w:val="24"/>
              <w:szCs w:val="24"/>
            </w:rPr>
            <w:fldChar w:fldCharType="begin"/>
          </w:r>
          <w:r w:rsidR="000473F4">
            <w:rPr>
              <w:rFonts w:asciiTheme="majorBidi" w:hAnsiTheme="majorBidi" w:cstheme="majorBidi"/>
              <w:sz w:val="24"/>
              <w:szCs w:val="24"/>
            </w:rPr>
            <w:instrText xml:space="preserve"> CITATION Bos22 \l 2057 </w:instrText>
          </w:r>
          <w:r w:rsidR="000473F4">
            <w:rPr>
              <w:rFonts w:asciiTheme="majorBidi" w:hAnsiTheme="majorBidi" w:cstheme="majorBidi"/>
              <w:sz w:val="24"/>
              <w:szCs w:val="24"/>
            </w:rPr>
            <w:fldChar w:fldCharType="separate"/>
          </w:r>
          <w:r w:rsidR="000473F4">
            <w:rPr>
              <w:rFonts w:asciiTheme="majorBidi" w:hAnsiTheme="majorBidi" w:cstheme="majorBidi"/>
              <w:noProof/>
              <w:sz w:val="24"/>
              <w:szCs w:val="24"/>
            </w:rPr>
            <w:t xml:space="preserve"> </w:t>
          </w:r>
          <w:r w:rsidR="000473F4" w:rsidRPr="000473F4">
            <w:rPr>
              <w:rFonts w:asciiTheme="majorBidi" w:hAnsiTheme="majorBidi" w:cstheme="majorBidi"/>
              <w:noProof/>
              <w:sz w:val="24"/>
              <w:szCs w:val="24"/>
            </w:rPr>
            <w:t>(Boshers, 2022)</w:t>
          </w:r>
          <w:r w:rsidR="000473F4">
            <w:rPr>
              <w:rFonts w:asciiTheme="majorBidi" w:hAnsiTheme="majorBidi" w:cstheme="majorBidi"/>
              <w:sz w:val="24"/>
              <w:szCs w:val="24"/>
            </w:rPr>
            <w:fldChar w:fldCharType="end"/>
          </w:r>
        </w:sdtContent>
      </w:sdt>
      <w:r w:rsidR="000473F4">
        <w:rPr>
          <w:rFonts w:asciiTheme="majorBidi" w:hAnsiTheme="majorBidi" w:cstheme="majorBidi"/>
          <w:sz w:val="24"/>
          <w:szCs w:val="24"/>
        </w:rPr>
        <w:t>.</w:t>
      </w:r>
    </w:p>
    <w:p w14:paraId="1D5B555F" w14:textId="73D03A9D" w:rsidR="007A225E" w:rsidRPr="001F49C0" w:rsidRDefault="007A225E" w:rsidP="00A3384C">
      <w:pPr>
        <w:spacing w:after="0" w:line="480" w:lineRule="auto"/>
        <w:ind w:firstLine="720"/>
        <w:rPr>
          <w:rFonts w:asciiTheme="majorBidi" w:hAnsiTheme="majorBidi" w:cstheme="majorBidi"/>
          <w:sz w:val="24"/>
          <w:szCs w:val="24"/>
        </w:rPr>
      </w:pPr>
      <w:r w:rsidRPr="001F49C0">
        <w:rPr>
          <w:rFonts w:asciiTheme="majorBidi" w:hAnsiTheme="majorBidi" w:cstheme="majorBidi"/>
          <w:sz w:val="24"/>
          <w:szCs w:val="24"/>
        </w:rPr>
        <w:t>Since the geographical scope of this study is Egypt</w:t>
      </w:r>
      <w:r>
        <w:rPr>
          <w:rFonts w:asciiTheme="majorBidi" w:hAnsiTheme="majorBidi" w:cstheme="majorBidi"/>
          <w:sz w:val="24"/>
          <w:szCs w:val="24"/>
        </w:rPr>
        <w:t xml:space="preserve"> and the study examine</w:t>
      </w:r>
      <w:r w:rsidR="000473F4">
        <w:rPr>
          <w:rFonts w:asciiTheme="majorBidi" w:hAnsiTheme="majorBidi" w:cstheme="majorBidi"/>
          <w:sz w:val="24"/>
          <w:szCs w:val="24"/>
        </w:rPr>
        <w:t>s</w:t>
      </w:r>
      <w:r>
        <w:rPr>
          <w:rFonts w:asciiTheme="majorBidi" w:hAnsiTheme="majorBidi" w:cstheme="majorBidi"/>
          <w:sz w:val="24"/>
          <w:szCs w:val="24"/>
        </w:rPr>
        <w:t xml:space="preserve"> the perceptions of consumers towards CSR communication in Egypt</w:t>
      </w:r>
      <w:r w:rsidRPr="001F49C0">
        <w:rPr>
          <w:rFonts w:asciiTheme="majorBidi" w:hAnsiTheme="majorBidi" w:cstheme="majorBidi"/>
          <w:sz w:val="24"/>
          <w:szCs w:val="24"/>
        </w:rPr>
        <w:t xml:space="preserve">, it is necessary to understand the popularity of social media platforms among consumers in Egypt. Even though, Instagram may be growing faster than Facebook </w:t>
      </w:r>
      <w:r>
        <w:rPr>
          <w:rFonts w:asciiTheme="majorBidi" w:hAnsiTheme="majorBidi" w:cstheme="majorBidi"/>
          <w:sz w:val="24"/>
          <w:szCs w:val="24"/>
        </w:rPr>
        <w:t>in Egypt</w:t>
      </w:r>
      <w:r w:rsidR="00245841">
        <w:rPr>
          <w:rFonts w:asciiTheme="majorBidi" w:hAnsiTheme="majorBidi" w:cstheme="majorBidi"/>
          <w:sz w:val="24"/>
          <w:szCs w:val="24"/>
        </w:rPr>
        <w:t xml:space="preserve">, as </w:t>
      </w:r>
      <w:r w:rsidRPr="00871F61">
        <w:rPr>
          <w:rFonts w:asciiTheme="majorBidi" w:hAnsiTheme="majorBidi" w:cstheme="majorBidi"/>
          <w:sz w:val="24"/>
          <w:szCs w:val="24"/>
        </w:rPr>
        <w:t xml:space="preserve">Facebook increased by 8% and Instagram increased by 17% in 2018 versus 2017, Facebook still appears to be the most popular social media platform among Egyptians </w:t>
      </w:r>
      <w:sdt>
        <w:sdtPr>
          <w:rPr>
            <w:rFonts w:asciiTheme="majorBidi" w:hAnsiTheme="majorBidi" w:cstheme="majorBidi"/>
            <w:sz w:val="24"/>
            <w:szCs w:val="24"/>
          </w:rPr>
          <w:id w:val="-964041593"/>
          <w:citation/>
        </w:sdtPr>
        <w:sdtContent>
          <w:r w:rsidRPr="00871F61">
            <w:rPr>
              <w:rFonts w:asciiTheme="majorBidi" w:hAnsiTheme="majorBidi" w:cstheme="majorBidi"/>
              <w:sz w:val="24"/>
              <w:szCs w:val="24"/>
            </w:rPr>
            <w:fldChar w:fldCharType="begin"/>
          </w:r>
          <w:r w:rsidRPr="00871F61">
            <w:rPr>
              <w:rFonts w:asciiTheme="majorBidi" w:hAnsiTheme="majorBidi" w:cstheme="majorBidi"/>
              <w:sz w:val="24"/>
              <w:szCs w:val="24"/>
            </w:rPr>
            <w:instrText xml:space="preserve"> CITATION All22 \l 2057  \m Gal22</w:instrText>
          </w:r>
          <w:r w:rsidRPr="00871F61">
            <w:rPr>
              <w:rFonts w:asciiTheme="majorBidi" w:hAnsiTheme="majorBidi" w:cstheme="majorBidi"/>
              <w:sz w:val="24"/>
              <w:szCs w:val="24"/>
            </w:rPr>
            <w:fldChar w:fldCharType="separate"/>
          </w:r>
          <w:r w:rsidRPr="00871F61">
            <w:rPr>
              <w:rFonts w:asciiTheme="majorBidi" w:hAnsiTheme="majorBidi" w:cstheme="majorBidi"/>
              <w:noProof/>
              <w:sz w:val="24"/>
              <w:szCs w:val="24"/>
            </w:rPr>
            <w:t>(Allam, 2018; Galal, 2022)</w:t>
          </w:r>
          <w:r w:rsidRPr="00871F61">
            <w:rPr>
              <w:rFonts w:asciiTheme="majorBidi" w:hAnsiTheme="majorBidi" w:cstheme="majorBidi"/>
              <w:sz w:val="24"/>
              <w:szCs w:val="24"/>
            </w:rPr>
            <w:fldChar w:fldCharType="end"/>
          </w:r>
        </w:sdtContent>
      </w:sdt>
      <w:r w:rsidRPr="00871F61">
        <w:rPr>
          <w:rFonts w:asciiTheme="majorBidi" w:hAnsiTheme="majorBidi" w:cstheme="majorBidi"/>
          <w:sz w:val="24"/>
          <w:szCs w:val="24"/>
        </w:rPr>
        <w:t xml:space="preserve">. In fact, Egypt </w:t>
      </w:r>
      <w:r w:rsidR="00003094" w:rsidRPr="00871F61">
        <w:rPr>
          <w:rFonts w:asciiTheme="majorBidi" w:hAnsiTheme="majorBidi" w:cstheme="majorBidi"/>
          <w:sz w:val="24"/>
          <w:szCs w:val="24"/>
        </w:rPr>
        <w:t>is</w:t>
      </w:r>
      <w:r w:rsidRPr="00871F61">
        <w:rPr>
          <w:rFonts w:asciiTheme="majorBidi" w:hAnsiTheme="majorBidi" w:cstheme="majorBidi"/>
          <w:sz w:val="24"/>
          <w:szCs w:val="24"/>
        </w:rPr>
        <w:t xml:space="preserve"> the most active nation in the Middle East on Facebook</w:t>
      </w:r>
      <w:sdt>
        <w:sdtPr>
          <w:rPr>
            <w:rFonts w:asciiTheme="majorBidi" w:hAnsiTheme="majorBidi" w:cstheme="majorBidi"/>
            <w:sz w:val="24"/>
            <w:szCs w:val="24"/>
          </w:rPr>
          <w:id w:val="-52237438"/>
          <w:citation/>
        </w:sdtPr>
        <w:sdtContent>
          <w:r w:rsidR="00003094" w:rsidRPr="00871F61">
            <w:rPr>
              <w:rFonts w:asciiTheme="majorBidi" w:hAnsiTheme="majorBidi" w:cstheme="majorBidi"/>
              <w:sz w:val="24"/>
              <w:szCs w:val="24"/>
            </w:rPr>
            <w:fldChar w:fldCharType="begin"/>
          </w:r>
          <w:r w:rsidR="00003094" w:rsidRPr="00871F61">
            <w:rPr>
              <w:rFonts w:asciiTheme="majorBidi" w:hAnsiTheme="majorBidi" w:cstheme="majorBidi"/>
              <w:sz w:val="24"/>
              <w:szCs w:val="24"/>
            </w:rPr>
            <w:instrText xml:space="preserve">CITATION Dix23 \m Gal23 \t  \l 2057 </w:instrText>
          </w:r>
          <w:r w:rsidR="00003094" w:rsidRPr="00871F61">
            <w:rPr>
              <w:rFonts w:asciiTheme="majorBidi" w:hAnsiTheme="majorBidi" w:cstheme="majorBidi"/>
              <w:sz w:val="24"/>
              <w:szCs w:val="24"/>
            </w:rPr>
            <w:fldChar w:fldCharType="separate"/>
          </w:r>
          <w:r w:rsidR="00003094" w:rsidRPr="00871F61">
            <w:rPr>
              <w:rFonts w:asciiTheme="majorBidi" w:hAnsiTheme="majorBidi" w:cstheme="majorBidi"/>
              <w:noProof/>
              <w:sz w:val="24"/>
              <w:szCs w:val="24"/>
            </w:rPr>
            <w:t xml:space="preserve"> (Dixon, 2023; Galal, 2023)</w:t>
          </w:r>
          <w:r w:rsidR="00003094" w:rsidRPr="00871F61">
            <w:rPr>
              <w:rFonts w:asciiTheme="majorBidi" w:hAnsiTheme="majorBidi" w:cstheme="majorBidi"/>
              <w:sz w:val="24"/>
              <w:szCs w:val="24"/>
            </w:rPr>
            <w:fldChar w:fldCharType="end"/>
          </w:r>
        </w:sdtContent>
      </w:sdt>
      <w:r w:rsidRPr="00871F61">
        <w:rPr>
          <w:rFonts w:asciiTheme="majorBidi" w:hAnsiTheme="majorBidi" w:cstheme="majorBidi"/>
          <w:sz w:val="24"/>
          <w:szCs w:val="24"/>
        </w:rPr>
        <w:t xml:space="preserve">. More recently, it appears that, as of 2022, there are 44.7 million users of Facebook, 16 million users of Instagram, 20.28 million users of TikTok, and 5.15 million users of Twitter in Egypt </w:t>
      </w:r>
      <w:sdt>
        <w:sdtPr>
          <w:rPr>
            <w:rFonts w:asciiTheme="majorBidi" w:hAnsiTheme="majorBidi" w:cstheme="majorBidi"/>
            <w:sz w:val="24"/>
            <w:szCs w:val="24"/>
          </w:rPr>
          <w:id w:val="1250082105"/>
          <w:citation/>
        </w:sdtPr>
        <w:sdtContent>
          <w:r w:rsidRPr="00871F61">
            <w:rPr>
              <w:rFonts w:asciiTheme="majorBidi" w:hAnsiTheme="majorBidi" w:cstheme="majorBidi"/>
              <w:sz w:val="24"/>
              <w:szCs w:val="24"/>
            </w:rPr>
            <w:fldChar w:fldCharType="begin"/>
          </w:r>
          <w:r w:rsidRPr="00871F61">
            <w:rPr>
              <w:rFonts w:asciiTheme="majorBidi" w:hAnsiTheme="majorBidi" w:cstheme="majorBidi"/>
              <w:sz w:val="24"/>
              <w:szCs w:val="24"/>
            </w:rPr>
            <w:instrText xml:space="preserve"> CITATION Kem22 \l 2057 </w:instrText>
          </w:r>
          <w:r w:rsidRPr="00871F61">
            <w:rPr>
              <w:rFonts w:asciiTheme="majorBidi" w:hAnsiTheme="majorBidi" w:cstheme="majorBidi"/>
              <w:sz w:val="24"/>
              <w:szCs w:val="24"/>
            </w:rPr>
            <w:fldChar w:fldCharType="separate"/>
          </w:r>
          <w:r w:rsidRPr="00871F61">
            <w:rPr>
              <w:rFonts w:asciiTheme="majorBidi" w:hAnsiTheme="majorBidi" w:cstheme="majorBidi"/>
              <w:noProof/>
              <w:sz w:val="24"/>
              <w:szCs w:val="24"/>
            </w:rPr>
            <w:t>(Kemp, 2022)</w:t>
          </w:r>
          <w:r w:rsidRPr="00871F61">
            <w:rPr>
              <w:rFonts w:asciiTheme="majorBidi" w:hAnsiTheme="majorBidi" w:cstheme="majorBidi"/>
              <w:sz w:val="24"/>
              <w:szCs w:val="24"/>
            </w:rPr>
            <w:fldChar w:fldCharType="end"/>
          </w:r>
        </w:sdtContent>
      </w:sdt>
      <w:r w:rsidRPr="00871F61">
        <w:rPr>
          <w:rFonts w:asciiTheme="majorBidi" w:hAnsiTheme="majorBidi" w:cstheme="majorBidi"/>
          <w:sz w:val="24"/>
          <w:szCs w:val="24"/>
        </w:rPr>
        <w:t xml:space="preserve">. </w:t>
      </w:r>
      <w:r>
        <w:rPr>
          <w:rFonts w:asciiTheme="majorBidi" w:hAnsiTheme="majorBidi" w:cstheme="majorBidi"/>
          <w:sz w:val="24"/>
          <w:szCs w:val="24"/>
        </w:rPr>
        <w:t xml:space="preserve">This </w:t>
      </w:r>
      <w:r w:rsidR="00003094">
        <w:rPr>
          <w:rFonts w:asciiTheme="majorBidi" w:hAnsiTheme="majorBidi" w:cstheme="majorBidi"/>
          <w:sz w:val="24"/>
          <w:szCs w:val="24"/>
        </w:rPr>
        <w:t>establishes</w:t>
      </w:r>
      <w:r>
        <w:rPr>
          <w:rFonts w:asciiTheme="majorBidi" w:hAnsiTheme="majorBidi" w:cstheme="majorBidi"/>
          <w:sz w:val="24"/>
          <w:szCs w:val="24"/>
        </w:rPr>
        <w:t xml:space="preserve"> </w:t>
      </w:r>
      <w:r w:rsidR="00003094">
        <w:rPr>
          <w:rFonts w:asciiTheme="majorBidi" w:hAnsiTheme="majorBidi" w:cstheme="majorBidi"/>
          <w:sz w:val="24"/>
          <w:szCs w:val="24"/>
        </w:rPr>
        <w:t>the</w:t>
      </w:r>
      <w:r>
        <w:rPr>
          <w:rFonts w:asciiTheme="majorBidi" w:hAnsiTheme="majorBidi" w:cstheme="majorBidi"/>
          <w:sz w:val="24"/>
          <w:szCs w:val="24"/>
        </w:rPr>
        <w:t xml:space="preserve"> popularity of Facebook over Instagram. </w:t>
      </w:r>
      <w:r w:rsidRPr="001F49C0">
        <w:rPr>
          <w:rFonts w:asciiTheme="majorBidi" w:hAnsiTheme="majorBidi" w:cstheme="majorBidi"/>
          <w:sz w:val="24"/>
          <w:szCs w:val="24"/>
        </w:rPr>
        <w:t>Thus</w:t>
      </w:r>
      <w:r>
        <w:rPr>
          <w:rFonts w:asciiTheme="majorBidi" w:hAnsiTheme="majorBidi" w:cstheme="majorBidi"/>
          <w:sz w:val="24"/>
          <w:szCs w:val="24"/>
        </w:rPr>
        <w:t>,</w:t>
      </w:r>
      <w:r w:rsidRPr="001F49C0">
        <w:rPr>
          <w:rFonts w:asciiTheme="majorBidi" w:hAnsiTheme="majorBidi" w:cstheme="majorBidi"/>
          <w:sz w:val="24"/>
          <w:szCs w:val="24"/>
        </w:rPr>
        <w:t xml:space="preserve"> the social media stimul</w:t>
      </w:r>
      <w:r>
        <w:rPr>
          <w:rFonts w:asciiTheme="majorBidi" w:hAnsiTheme="majorBidi" w:cstheme="majorBidi"/>
          <w:sz w:val="24"/>
          <w:szCs w:val="24"/>
        </w:rPr>
        <w:t xml:space="preserve">i were developed </w:t>
      </w:r>
      <w:r w:rsidRPr="001F49C0">
        <w:rPr>
          <w:rFonts w:asciiTheme="majorBidi" w:hAnsiTheme="majorBidi" w:cstheme="majorBidi"/>
          <w:sz w:val="24"/>
          <w:szCs w:val="24"/>
        </w:rPr>
        <w:t xml:space="preserve">to be </w:t>
      </w:r>
      <w:r>
        <w:rPr>
          <w:rFonts w:asciiTheme="majorBidi" w:hAnsiTheme="majorBidi" w:cstheme="majorBidi"/>
          <w:sz w:val="24"/>
          <w:szCs w:val="24"/>
        </w:rPr>
        <w:t>two</w:t>
      </w:r>
      <w:r w:rsidRPr="001F49C0">
        <w:rPr>
          <w:rFonts w:asciiTheme="majorBidi" w:hAnsiTheme="majorBidi" w:cstheme="majorBidi"/>
          <w:sz w:val="24"/>
          <w:szCs w:val="24"/>
        </w:rPr>
        <w:t xml:space="preserve"> Facebook </w:t>
      </w:r>
      <w:r>
        <w:rPr>
          <w:rFonts w:asciiTheme="majorBidi" w:hAnsiTheme="majorBidi" w:cstheme="majorBidi"/>
          <w:sz w:val="24"/>
          <w:szCs w:val="24"/>
        </w:rPr>
        <w:t>ads</w:t>
      </w:r>
      <w:r w:rsidRPr="001F49C0">
        <w:rPr>
          <w:rFonts w:asciiTheme="majorBidi" w:hAnsiTheme="majorBidi" w:cstheme="majorBidi"/>
          <w:sz w:val="24"/>
          <w:szCs w:val="24"/>
        </w:rPr>
        <w:t xml:space="preserve"> </w:t>
      </w:r>
      <w:r>
        <w:rPr>
          <w:rFonts w:asciiTheme="majorBidi" w:hAnsiTheme="majorBidi" w:cstheme="majorBidi"/>
          <w:sz w:val="24"/>
          <w:szCs w:val="24"/>
        </w:rPr>
        <w:t xml:space="preserve">in which for one group it was a </w:t>
      </w:r>
      <w:r w:rsidRPr="001F49C0">
        <w:rPr>
          <w:rFonts w:asciiTheme="majorBidi" w:hAnsiTheme="majorBidi" w:cstheme="majorBidi"/>
          <w:sz w:val="24"/>
          <w:szCs w:val="24"/>
        </w:rPr>
        <w:t xml:space="preserve">CSR </w:t>
      </w:r>
      <w:r>
        <w:rPr>
          <w:rFonts w:asciiTheme="majorBidi" w:hAnsiTheme="majorBidi" w:cstheme="majorBidi"/>
          <w:sz w:val="24"/>
          <w:szCs w:val="24"/>
        </w:rPr>
        <w:t xml:space="preserve">ad </w:t>
      </w:r>
      <w:r w:rsidRPr="001F49C0">
        <w:rPr>
          <w:rFonts w:asciiTheme="majorBidi" w:hAnsiTheme="majorBidi" w:cstheme="majorBidi"/>
          <w:sz w:val="24"/>
          <w:szCs w:val="24"/>
        </w:rPr>
        <w:t xml:space="preserve">and </w:t>
      </w:r>
      <w:r>
        <w:rPr>
          <w:rFonts w:asciiTheme="majorBidi" w:hAnsiTheme="majorBidi" w:cstheme="majorBidi"/>
          <w:sz w:val="24"/>
          <w:szCs w:val="24"/>
        </w:rPr>
        <w:t xml:space="preserve">for the other group it was a </w:t>
      </w:r>
      <w:r w:rsidRPr="001F49C0">
        <w:rPr>
          <w:rFonts w:asciiTheme="majorBidi" w:hAnsiTheme="majorBidi" w:cstheme="majorBidi"/>
          <w:sz w:val="24"/>
          <w:szCs w:val="24"/>
        </w:rPr>
        <w:t xml:space="preserve">non-CSR ad. </w:t>
      </w:r>
      <w:r>
        <w:rPr>
          <w:rFonts w:asciiTheme="majorBidi" w:hAnsiTheme="majorBidi" w:cstheme="majorBidi"/>
          <w:sz w:val="24"/>
          <w:szCs w:val="24"/>
        </w:rPr>
        <w:t>The elements of both Facebook ads were taken from the television ads that were presented to the first two groups as video stimuli.</w:t>
      </w:r>
      <w:r w:rsidR="00A3384C">
        <w:rPr>
          <w:rFonts w:asciiTheme="majorBidi" w:hAnsiTheme="majorBidi" w:cstheme="majorBidi"/>
          <w:sz w:val="24"/>
          <w:szCs w:val="24"/>
        </w:rPr>
        <w:t xml:space="preserve"> The stimuli presented in the survey experiments are provided in appendix </w:t>
      </w:r>
      <w:r w:rsidR="009B788D">
        <w:rPr>
          <w:rFonts w:asciiTheme="majorBidi" w:hAnsiTheme="majorBidi" w:cstheme="majorBidi"/>
          <w:sz w:val="24"/>
          <w:szCs w:val="24"/>
        </w:rPr>
        <w:t>F</w:t>
      </w:r>
      <w:r w:rsidR="00A3384C">
        <w:rPr>
          <w:rFonts w:asciiTheme="majorBidi" w:hAnsiTheme="majorBidi" w:cstheme="majorBidi"/>
          <w:sz w:val="24"/>
          <w:szCs w:val="24"/>
        </w:rPr>
        <w:t>.</w:t>
      </w:r>
      <w:r>
        <w:rPr>
          <w:noProof/>
        </w:rPr>
        <w:t xml:space="preserve"> </w:t>
      </w:r>
    </w:p>
    <w:p w14:paraId="53E6F16E" w14:textId="52D38F52" w:rsidR="007A225E" w:rsidRPr="00450D26" w:rsidRDefault="007A225E" w:rsidP="00A3384C">
      <w:pPr>
        <w:spacing w:after="0" w:line="480" w:lineRule="auto"/>
        <w:ind w:firstLine="720"/>
        <w:rPr>
          <w:rFonts w:asciiTheme="majorBidi" w:hAnsiTheme="majorBidi" w:cstheme="majorBidi"/>
          <w:b/>
          <w:bCs/>
          <w:sz w:val="24"/>
          <w:szCs w:val="24"/>
        </w:rPr>
      </w:pPr>
      <w:r>
        <w:rPr>
          <w:rFonts w:asciiTheme="majorBidi" w:hAnsiTheme="majorBidi" w:cstheme="majorBidi"/>
          <w:b/>
          <w:bCs/>
          <w:sz w:val="24"/>
          <w:szCs w:val="24"/>
        </w:rPr>
        <w:t>5</w:t>
      </w:r>
      <w:r w:rsidRPr="00450D26">
        <w:rPr>
          <w:rFonts w:asciiTheme="majorBidi" w:hAnsiTheme="majorBidi" w:cstheme="majorBidi"/>
          <w:b/>
          <w:bCs/>
          <w:sz w:val="24"/>
          <w:szCs w:val="24"/>
        </w:rPr>
        <w:t>.</w:t>
      </w:r>
      <w:r w:rsidR="00891F01">
        <w:rPr>
          <w:rFonts w:asciiTheme="majorBidi" w:hAnsiTheme="majorBidi" w:cstheme="majorBidi"/>
          <w:b/>
          <w:bCs/>
          <w:sz w:val="24"/>
          <w:szCs w:val="24"/>
        </w:rPr>
        <w:t>4</w:t>
      </w:r>
      <w:r w:rsidRPr="00450D26">
        <w:rPr>
          <w:rFonts w:asciiTheme="majorBidi" w:hAnsiTheme="majorBidi" w:cstheme="majorBidi"/>
          <w:b/>
          <w:bCs/>
          <w:sz w:val="24"/>
          <w:szCs w:val="24"/>
        </w:rPr>
        <w:t>.</w:t>
      </w:r>
      <w:r>
        <w:rPr>
          <w:rFonts w:asciiTheme="majorBidi" w:hAnsiTheme="majorBidi" w:cstheme="majorBidi"/>
          <w:b/>
          <w:bCs/>
          <w:sz w:val="24"/>
          <w:szCs w:val="24"/>
        </w:rPr>
        <w:t>4</w:t>
      </w:r>
      <w:r w:rsidRPr="00450D26">
        <w:rPr>
          <w:rFonts w:asciiTheme="majorBidi" w:hAnsiTheme="majorBidi" w:cstheme="majorBidi"/>
          <w:b/>
          <w:bCs/>
          <w:sz w:val="24"/>
          <w:szCs w:val="24"/>
        </w:rPr>
        <w:t xml:space="preserve"> Pilot Study</w:t>
      </w:r>
    </w:p>
    <w:p w14:paraId="5DC8F395" w14:textId="59491C85" w:rsidR="007A225E" w:rsidRDefault="007A225E" w:rsidP="00A3384C">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This section explains the initial emerged results from the pilot study </w:t>
      </w:r>
      <w:r w:rsidR="00003094">
        <w:rPr>
          <w:rFonts w:asciiTheme="majorBidi" w:hAnsiTheme="majorBidi" w:cstheme="majorBidi"/>
          <w:sz w:val="24"/>
          <w:szCs w:val="24"/>
        </w:rPr>
        <w:t>that aimed</w:t>
      </w:r>
      <w:r>
        <w:rPr>
          <w:rFonts w:asciiTheme="majorBidi" w:hAnsiTheme="majorBidi" w:cstheme="majorBidi"/>
          <w:sz w:val="24"/>
          <w:szCs w:val="24"/>
        </w:rPr>
        <w:t xml:space="preserve"> to ensure that there were no issues in technicalities of answering the surveys, questions were clear to respondents, and that the stimuli were well received.</w:t>
      </w:r>
      <w:r w:rsidR="00A71C5B">
        <w:rPr>
          <w:rFonts w:asciiTheme="majorBidi" w:hAnsiTheme="majorBidi" w:cstheme="majorBidi"/>
          <w:sz w:val="24"/>
          <w:szCs w:val="24"/>
        </w:rPr>
        <w:t xml:space="preserve"> Before launching the survey to the public, an ethical application was submitted to the business school’s ethical panel and was approved as shown in Appendix </w:t>
      </w:r>
      <w:r w:rsidR="009B788D">
        <w:rPr>
          <w:rFonts w:asciiTheme="majorBidi" w:hAnsiTheme="majorBidi" w:cstheme="majorBidi"/>
          <w:sz w:val="24"/>
          <w:szCs w:val="24"/>
        </w:rPr>
        <w:t>G</w:t>
      </w:r>
      <w:r w:rsidR="00A71C5B">
        <w:rPr>
          <w:rFonts w:asciiTheme="majorBidi" w:hAnsiTheme="majorBidi" w:cstheme="majorBidi"/>
          <w:sz w:val="24"/>
          <w:szCs w:val="24"/>
        </w:rPr>
        <w:t>.</w:t>
      </w:r>
      <w:r>
        <w:rPr>
          <w:rFonts w:asciiTheme="majorBidi" w:hAnsiTheme="majorBidi" w:cstheme="majorBidi"/>
          <w:sz w:val="24"/>
          <w:szCs w:val="24"/>
        </w:rPr>
        <w:t xml:space="preserve"> The pilot survey experiment was answered by 64 respondents in which 27 of them were excluded leaving a total of 37 valid answered surveys for the pilot. 16% of the respondents were males and 84% were females. The pilot survey experiment was posted on Facebook and some WhatsApp groups in Egypt. Respondents were given the option to answer the surveys in English or Arabic language. 70% of the respondents chose to answer the survey in English and 30% answered it in Arabic. This is probably because the targeted respondents are similar to the target consumers of the brand Dettol that is used in the experiment.</w:t>
      </w:r>
      <w:r w:rsidR="002001F4">
        <w:rPr>
          <w:rFonts w:asciiTheme="majorBidi" w:hAnsiTheme="majorBidi" w:cstheme="majorBidi"/>
          <w:sz w:val="24"/>
          <w:szCs w:val="24"/>
        </w:rPr>
        <w:t xml:space="preserve"> Section </w:t>
      </w:r>
      <w:r w:rsidR="004C729F">
        <w:rPr>
          <w:rFonts w:asciiTheme="majorBidi" w:hAnsiTheme="majorBidi" w:cstheme="majorBidi"/>
          <w:sz w:val="24"/>
          <w:szCs w:val="24"/>
        </w:rPr>
        <w:t>5.4.7</w:t>
      </w:r>
      <w:r w:rsidR="002001F4">
        <w:rPr>
          <w:rFonts w:asciiTheme="majorBidi" w:hAnsiTheme="majorBidi" w:cstheme="majorBidi"/>
          <w:sz w:val="24"/>
          <w:szCs w:val="24"/>
        </w:rPr>
        <w:t xml:space="preserve"> provides more details on the sample and the targeted respondents for this study. </w:t>
      </w:r>
      <w:r>
        <w:rPr>
          <w:rFonts w:asciiTheme="majorBidi" w:hAnsiTheme="majorBidi" w:cstheme="majorBidi"/>
          <w:sz w:val="24"/>
          <w:szCs w:val="24"/>
        </w:rPr>
        <w:t>Some respondents agreed to provide some feedback on the questionnaires through follow-up emails that I sent</w:t>
      </w:r>
      <w:r w:rsidR="002001F4">
        <w:rPr>
          <w:rFonts w:asciiTheme="majorBidi" w:hAnsiTheme="majorBidi" w:cstheme="majorBidi"/>
          <w:sz w:val="24"/>
          <w:szCs w:val="24"/>
        </w:rPr>
        <w:t xml:space="preserve"> to them after the pilot</w:t>
      </w:r>
      <w:r>
        <w:rPr>
          <w:rFonts w:asciiTheme="majorBidi" w:hAnsiTheme="majorBidi" w:cstheme="majorBidi"/>
          <w:sz w:val="24"/>
          <w:szCs w:val="24"/>
        </w:rPr>
        <w:t xml:space="preserve">. First, the </w:t>
      </w:r>
      <w:r w:rsidR="002001F4">
        <w:rPr>
          <w:rFonts w:asciiTheme="majorBidi" w:hAnsiTheme="majorBidi" w:cstheme="majorBidi"/>
          <w:sz w:val="24"/>
          <w:szCs w:val="24"/>
        </w:rPr>
        <w:t>most provided</w:t>
      </w:r>
      <w:r>
        <w:rPr>
          <w:rFonts w:asciiTheme="majorBidi" w:hAnsiTheme="majorBidi" w:cstheme="majorBidi"/>
          <w:sz w:val="24"/>
          <w:szCs w:val="24"/>
        </w:rPr>
        <w:t xml:space="preserve"> feedback was that </w:t>
      </w:r>
      <w:r w:rsidR="002001F4">
        <w:rPr>
          <w:rFonts w:asciiTheme="majorBidi" w:hAnsiTheme="majorBidi" w:cstheme="majorBidi"/>
          <w:sz w:val="24"/>
          <w:szCs w:val="24"/>
        </w:rPr>
        <w:t xml:space="preserve">the questionnaire was </w:t>
      </w:r>
      <w:r>
        <w:rPr>
          <w:rFonts w:asciiTheme="majorBidi" w:hAnsiTheme="majorBidi" w:cstheme="majorBidi"/>
          <w:sz w:val="24"/>
          <w:szCs w:val="24"/>
        </w:rPr>
        <w:t>lengthy. This feedback was considered for the final survey experiments by using shorter constructs</w:t>
      </w:r>
      <w:r w:rsidR="002001F4">
        <w:rPr>
          <w:rFonts w:asciiTheme="majorBidi" w:hAnsiTheme="majorBidi" w:cstheme="majorBidi"/>
          <w:sz w:val="24"/>
          <w:szCs w:val="24"/>
        </w:rPr>
        <w:t xml:space="preserve"> while also considering the objectives of the study</w:t>
      </w:r>
      <w:r>
        <w:rPr>
          <w:rFonts w:asciiTheme="majorBidi" w:hAnsiTheme="majorBidi" w:cstheme="majorBidi"/>
          <w:sz w:val="24"/>
          <w:szCs w:val="24"/>
        </w:rPr>
        <w:t xml:space="preserve">. Also, when respondents were asked about the elements of both advertisements that they saw, a couple of respondents mentioned that both advertisements have similar “emotional vibe.” </w:t>
      </w:r>
      <w:r w:rsidRPr="00871F61">
        <w:rPr>
          <w:rFonts w:asciiTheme="majorBidi" w:hAnsiTheme="majorBidi" w:cstheme="majorBidi"/>
          <w:sz w:val="24"/>
          <w:szCs w:val="24"/>
        </w:rPr>
        <w:t>Additionally, a focus group was conducted at London South Bank University with Egyptian students who attended London South Bank University Summer School (June, 2022).</w:t>
      </w:r>
      <w:r w:rsidR="00871F61">
        <w:rPr>
          <w:rFonts w:asciiTheme="majorBidi" w:hAnsiTheme="majorBidi" w:cstheme="majorBidi"/>
          <w:sz w:val="24"/>
          <w:szCs w:val="24"/>
        </w:rPr>
        <w:t xml:space="preserve"> </w:t>
      </w:r>
      <w:r>
        <w:rPr>
          <w:rFonts w:asciiTheme="majorBidi" w:hAnsiTheme="majorBidi" w:cstheme="majorBidi"/>
          <w:sz w:val="24"/>
          <w:szCs w:val="24"/>
        </w:rPr>
        <w:t>The purpose of the focus group was to examine the survey experiment and further test the questionnaire and the wording used in it. Some amendments to the wordings of some questions were made for the final surveys based on the responses from the focus group. For example, few participants in the focus group mentioned that they were confused by the term “household decision-maker” and they suggested chang</w:t>
      </w:r>
      <w:r w:rsidR="00245841">
        <w:rPr>
          <w:rFonts w:asciiTheme="majorBidi" w:hAnsiTheme="majorBidi" w:cstheme="majorBidi"/>
          <w:sz w:val="24"/>
          <w:szCs w:val="24"/>
        </w:rPr>
        <w:t>ing</w:t>
      </w:r>
      <w:r>
        <w:rPr>
          <w:rFonts w:asciiTheme="majorBidi" w:hAnsiTheme="majorBidi" w:cstheme="majorBidi"/>
          <w:sz w:val="24"/>
          <w:szCs w:val="24"/>
        </w:rPr>
        <w:t xml:space="preserve"> it to the </w:t>
      </w:r>
      <w:r w:rsidRPr="00CB3509">
        <w:rPr>
          <w:rFonts w:asciiTheme="majorBidi" w:hAnsiTheme="majorBidi" w:cstheme="majorBidi"/>
          <w:sz w:val="24"/>
          <w:szCs w:val="24"/>
        </w:rPr>
        <w:t>“person who usually chooses and buys household cleaning produc</w:t>
      </w:r>
      <w:r w:rsidR="002001F4">
        <w:rPr>
          <w:rFonts w:asciiTheme="majorBidi" w:hAnsiTheme="majorBidi" w:cstheme="majorBidi"/>
          <w:sz w:val="24"/>
          <w:szCs w:val="24"/>
        </w:rPr>
        <w:t>ts</w:t>
      </w:r>
      <w:r w:rsidRPr="00CB3509">
        <w:rPr>
          <w:rFonts w:asciiTheme="majorBidi" w:hAnsiTheme="majorBidi" w:cstheme="majorBidi"/>
          <w:sz w:val="24"/>
          <w:szCs w:val="24"/>
        </w:rPr>
        <w:t>.”</w:t>
      </w:r>
      <w:r>
        <w:rPr>
          <w:rFonts w:asciiTheme="majorBidi" w:hAnsiTheme="majorBidi" w:cstheme="majorBidi"/>
          <w:sz w:val="24"/>
          <w:szCs w:val="24"/>
        </w:rPr>
        <w:t xml:space="preserve"> The next section</w:t>
      </w:r>
      <w:r w:rsidR="002001F4">
        <w:rPr>
          <w:rFonts w:asciiTheme="majorBidi" w:hAnsiTheme="majorBidi" w:cstheme="majorBidi"/>
          <w:sz w:val="24"/>
          <w:szCs w:val="24"/>
        </w:rPr>
        <w:t xml:space="preserve"> </w:t>
      </w:r>
      <w:r>
        <w:rPr>
          <w:rFonts w:asciiTheme="majorBidi" w:hAnsiTheme="majorBidi" w:cstheme="majorBidi"/>
          <w:sz w:val="24"/>
          <w:szCs w:val="24"/>
        </w:rPr>
        <w:t>provide</w:t>
      </w:r>
      <w:r w:rsidR="002001F4">
        <w:rPr>
          <w:rFonts w:asciiTheme="majorBidi" w:hAnsiTheme="majorBidi" w:cstheme="majorBidi"/>
          <w:sz w:val="24"/>
          <w:szCs w:val="24"/>
        </w:rPr>
        <w:t>s</w:t>
      </w:r>
      <w:r>
        <w:rPr>
          <w:rFonts w:asciiTheme="majorBidi" w:hAnsiTheme="majorBidi" w:cstheme="majorBidi"/>
          <w:sz w:val="24"/>
          <w:szCs w:val="24"/>
        </w:rPr>
        <w:t xml:space="preserve"> critical details on the survey experiment design. </w:t>
      </w:r>
    </w:p>
    <w:p w14:paraId="0135872E" w14:textId="74E4D36D" w:rsidR="007A225E" w:rsidRPr="00793FF8" w:rsidRDefault="007A225E" w:rsidP="007A225E">
      <w:pPr>
        <w:adjustRightInd w:val="0"/>
        <w:spacing w:after="0" w:line="480" w:lineRule="auto"/>
        <w:ind w:firstLine="720"/>
        <w:rPr>
          <w:rFonts w:asciiTheme="majorBidi" w:hAnsiTheme="majorBidi" w:cstheme="majorBidi"/>
          <w:b/>
          <w:bCs/>
          <w:sz w:val="24"/>
          <w:szCs w:val="24"/>
        </w:rPr>
      </w:pPr>
      <w:r>
        <w:rPr>
          <w:rFonts w:asciiTheme="majorBidi" w:hAnsiTheme="majorBidi" w:cstheme="majorBidi"/>
          <w:b/>
          <w:bCs/>
          <w:sz w:val="24"/>
          <w:szCs w:val="24"/>
        </w:rPr>
        <w:t>5.</w:t>
      </w:r>
      <w:r w:rsidR="00891F01">
        <w:rPr>
          <w:rFonts w:asciiTheme="majorBidi" w:hAnsiTheme="majorBidi" w:cstheme="majorBidi"/>
          <w:b/>
          <w:bCs/>
          <w:sz w:val="24"/>
          <w:szCs w:val="24"/>
        </w:rPr>
        <w:t>4</w:t>
      </w:r>
      <w:r>
        <w:rPr>
          <w:rFonts w:asciiTheme="majorBidi" w:hAnsiTheme="majorBidi" w:cstheme="majorBidi"/>
          <w:b/>
          <w:bCs/>
          <w:sz w:val="24"/>
          <w:szCs w:val="24"/>
        </w:rPr>
        <w:t xml:space="preserve">.5 </w:t>
      </w:r>
      <w:r w:rsidRPr="00793FF8">
        <w:rPr>
          <w:rFonts w:asciiTheme="majorBidi" w:hAnsiTheme="majorBidi" w:cstheme="majorBidi"/>
          <w:b/>
          <w:bCs/>
          <w:sz w:val="24"/>
          <w:szCs w:val="24"/>
        </w:rPr>
        <w:t>Survey</w:t>
      </w:r>
      <w:r w:rsidR="005D2F61">
        <w:rPr>
          <w:rFonts w:asciiTheme="majorBidi" w:hAnsiTheme="majorBidi" w:cstheme="majorBidi"/>
          <w:b/>
          <w:bCs/>
          <w:sz w:val="24"/>
          <w:szCs w:val="24"/>
        </w:rPr>
        <w:t xml:space="preserve"> Experiment</w:t>
      </w:r>
      <w:r w:rsidRPr="00793FF8">
        <w:rPr>
          <w:rFonts w:asciiTheme="majorBidi" w:hAnsiTheme="majorBidi" w:cstheme="majorBidi"/>
          <w:b/>
          <w:bCs/>
          <w:sz w:val="24"/>
          <w:szCs w:val="24"/>
        </w:rPr>
        <w:t xml:space="preserve"> </w:t>
      </w:r>
      <w:r>
        <w:rPr>
          <w:rFonts w:asciiTheme="majorBidi" w:hAnsiTheme="majorBidi" w:cstheme="majorBidi"/>
          <w:b/>
          <w:bCs/>
          <w:sz w:val="24"/>
          <w:szCs w:val="24"/>
        </w:rPr>
        <w:t xml:space="preserve">Design </w:t>
      </w:r>
    </w:p>
    <w:p w14:paraId="7D8FA056" w14:textId="6D6F486A" w:rsidR="007A225E" w:rsidRDefault="0038061A" w:rsidP="00F15754">
      <w:pPr>
        <w:spacing w:after="0" w:line="480" w:lineRule="auto"/>
        <w:rPr>
          <w:rFonts w:asciiTheme="majorBidi" w:hAnsiTheme="majorBidi" w:cstheme="majorBidi"/>
          <w:sz w:val="24"/>
          <w:szCs w:val="24"/>
        </w:rPr>
      </w:pPr>
      <w:r>
        <w:rPr>
          <w:rFonts w:asciiTheme="majorBidi" w:hAnsiTheme="majorBidi" w:cstheme="majorBidi"/>
          <w:sz w:val="24"/>
          <w:szCs w:val="24"/>
        </w:rPr>
        <w:tab/>
      </w:r>
      <w:r w:rsidR="007A225E">
        <w:rPr>
          <w:rFonts w:asciiTheme="majorBidi" w:hAnsiTheme="majorBidi" w:cstheme="majorBidi"/>
          <w:sz w:val="24"/>
          <w:szCs w:val="24"/>
        </w:rPr>
        <w:t xml:space="preserve">Lastly, the final </w:t>
      </w:r>
      <w:bookmarkStart w:id="142" w:name="_Hlk127027154"/>
      <w:r w:rsidR="005D2F61">
        <w:rPr>
          <w:rFonts w:asciiTheme="majorBidi" w:hAnsiTheme="majorBidi" w:cstheme="majorBidi"/>
          <w:sz w:val="24"/>
          <w:szCs w:val="24"/>
        </w:rPr>
        <w:t>surveys</w:t>
      </w:r>
      <w:r w:rsidR="007A225E">
        <w:rPr>
          <w:rFonts w:asciiTheme="majorBidi" w:hAnsiTheme="majorBidi" w:cstheme="majorBidi"/>
          <w:sz w:val="24"/>
          <w:szCs w:val="24"/>
        </w:rPr>
        <w:t xml:space="preserve"> </w:t>
      </w:r>
      <w:bookmarkEnd w:id="142"/>
      <w:r w:rsidR="007A225E">
        <w:rPr>
          <w:rFonts w:asciiTheme="majorBidi" w:hAnsiTheme="majorBidi" w:cstheme="majorBidi"/>
          <w:sz w:val="24"/>
          <w:szCs w:val="24"/>
        </w:rPr>
        <w:t>were launched. This study employed a 2x2 survey experiment to compare the effects of CSR communication to non-CSR communication on two media vehicles: television and social media. Just like any experimental design, survey experiments have the stimuli embedded within a survey format</w:t>
      </w:r>
      <w:r w:rsidR="002001F4" w:rsidRPr="002001F4">
        <w:rPr>
          <w:rFonts w:asciiTheme="majorBidi" w:hAnsiTheme="majorBidi" w:cstheme="majorBidi"/>
          <w:sz w:val="24"/>
          <w:szCs w:val="24"/>
        </w:rPr>
        <w:t xml:space="preserve"> </w:t>
      </w:r>
      <w:sdt>
        <w:sdtPr>
          <w:rPr>
            <w:rFonts w:asciiTheme="majorBidi" w:hAnsiTheme="majorBidi" w:cstheme="majorBidi"/>
            <w:sz w:val="24"/>
            <w:szCs w:val="24"/>
          </w:rPr>
          <w:id w:val="1067303164"/>
          <w:citation/>
        </w:sdtPr>
        <w:sdtContent>
          <w:r w:rsidR="002001F4">
            <w:rPr>
              <w:rFonts w:asciiTheme="majorBidi" w:hAnsiTheme="majorBidi" w:cstheme="majorBidi"/>
              <w:sz w:val="24"/>
              <w:szCs w:val="24"/>
            </w:rPr>
            <w:fldChar w:fldCharType="begin"/>
          </w:r>
          <w:r w:rsidR="002001F4">
            <w:rPr>
              <w:rFonts w:asciiTheme="majorBidi" w:hAnsiTheme="majorBidi" w:cstheme="majorBidi"/>
              <w:sz w:val="24"/>
              <w:szCs w:val="24"/>
            </w:rPr>
            <w:instrText xml:space="preserve"> CITATION Sch211 \l 2057 </w:instrText>
          </w:r>
          <w:r w:rsidR="002001F4">
            <w:rPr>
              <w:rFonts w:asciiTheme="majorBidi" w:hAnsiTheme="majorBidi" w:cstheme="majorBidi"/>
              <w:sz w:val="24"/>
              <w:szCs w:val="24"/>
            </w:rPr>
            <w:fldChar w:fldCharType="separate"/>
          </w:r>
          <w:r w:rsidR="002001F4" w:rsidRPr="006553CC">
            <w:rPr>
              <w:rFonts w:asciiTheme="majorBidi" w:hAnsiTheme="majorBidi" w:cstheme="majorBidi"/>
              <w:noProof/>
              <w:sz w:val="24"/>
              <w:szCs w:val="24"/>
            </w:rPr>
            <w:t>(Schnabel, 2021)</w:t>
          </w:r>
          <w:r w:rsidR="002001F4">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Multi-factorial survey experiments became a </w:t>
      </w:r>
      <w:r w:rsidR="002001F4">
        <w:rPr>
          <w:rFonts w:asciiTheme="majorBidi" w:hAnsiTheme="majorBidi" w:cstheme="majorBidi"/>
          <w:sz w:val="24"/>
          <w:szCs w:val="24"/>
        </w:rPr>
        <w:t>commonly applied</w:t>
      </w:r>
      <w:r w:rsidR="007A225E">
        <w:rPr>
          <w:rFonts w:asciiTheme="majorBidi" w:hAnsiTheme="majorBidi" w:cstheme="majorBidi"/>
          <w:sz w:val="24"/>
          <w:szCs w:val="24"/>
        </w:rPr>
        <w:t xml:space="preserve"> method in social sciences as they combine experiments with the benefit of a mixed groups of respondents </w:t>
      </w:r>
      <w:sdt>
        <w:sdtPr>
          <w:rPr>
            <w:rFonts w:asciiTheme="majorBidi" w:hAnsiTheme="majorBidi" w:cstheme="majorBidi"/>
            <w:sz w:val="24"/>
            <w:szCs w:val="24"/>
          </w:rPr>
          <w:id w:val="-85470225"/>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Sau20 \l 2057 </w:instrText>
          </w:r>
          <w:r w:rsidR="007A225E">
            <w:rPr>
              <w:rFonts w:asciiTheme="majorBidi" w:hAnsiTheme="majorBidi" w:cstheme="majorBidi"/>
              <w:sz w:val="24"/>
              <w:szCs w:val="24"/>
            </w:rPr>
            <w:fldChar w:fldCharType="separate"/>
          </w:r>
          <w:r w:rsidR="007A225E" w:rsidRPr="0074573E">
            <w:rPr>
              <w:rFonts w:asciiTheme="majorBidi" w:hAnsiTheme="majorBidi" w:cstheme="majorBidi"/>
              <w:noProof/>
              <w:sz w:val="24"/>
              <w:szCs w:val="24"/>
            </w:rPr>
            <w:t>(Sauer, Auspurg, &amp; Hinz, 2020)</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In fact, factorial survey experiments have been increasingly used in fields such as sociology </w:t>
      </w:r>
      <w:sdt>
        <w:sdtPr>
          <w:rPr>
            <w:rFonts w:asciiTheme="majorBidi" w:hAnsiTheme="majorBidi" w:cstheme="majorBidi"/>
            <w:sz w:val="24"/>
            <w:szCs w:val="24"/>
          </w:rPr>
          <w:id w:val="218332863"/>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Fin16 \l 2057  \m McD19 \m Mös19 \m Mør14</w:instrText>
          </w:r>
          <w:r w:rsidR="007A225E">
            <w:rPr>
              <w:rFonts w:asciiTheme="majorBidi" w:hAnsiTheme="majorBidi" w:cstheme="majorBidi"/>
              <w:sz w:val="24"/>
              <w:szCs w:val="24"/>
            </w:rPr>
            <w:fldChar w:fldCharType="separate"/>
          </w:r>
          <w:r w:rsidR="007A225E" w:rsidRPr="0074573E">
            <w:rPr>
              <w:rFonts w:asciiTheme="majorBidi" w:hAnsiTheme="majorBidi" w:cstheme="majorBidi"/>
              <w:noProof/>
              <w:sz w:val="24"/>
              <w:szCs w:val="24"/>
            </w:rPr>
            <w:t>(Finger, 2016; McDonald, 2019; Möser, Glauser, &amp; Becker, 2019; Mørkbak &amp; Olsen, 2014)</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economics </w:t>
      </w:r>
      <w:sdt>
        <w:sdtPr>
          <w:rPr>
            <w:rFonts w:asciiTheme="majorBidi" w:hAnsiTheme="majorBidi" w:cstheme="majorBidi"/>
            <w:sz w:val="24"/>
            <w:szCs w:val="24"/>
          </w:rPr>
          <w:id w:val="-1971575018"/>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Ayt20 \l 2057  \m Rod21</w:instrText>
          </w:r>
          <w:r w:rsidR="007A225E">
            <w:rPr>
              <w:rFonts w:asciiTheme="majorBidi" w:hAnsiTheme="majorBidi" w:cstheme="majorBidi"/>
              <w:sz w:val="24"/>
              <w:szCs w:val="24"/>
            </w:rPr>
            <w:fldChar w:fldCharType="separate"/>
          </w:r>
          <w:r w:rsidR="007A225E" w:rsidRPr="0074573E">
            <w:rPr>
              <w:rFonts w:asciiTheme="majorBidi" w:hAnsiTheme="majorBidi" w:cstheme="majorBidi"/>
              <w:noProof/>
              <w:sz w:val="24"/>
              <w:szCs w:val="24"/>
            </w:rPr>
            <w:t>(Aytaç, 2020; Rodríguez Chatruc, Stein, &amp; Vlaicu, 2021)</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political communication </w:t>
      </w:r>
      <w:sdt>
        <w:sdtPr>
          <w:rPr>
            <w:rFonts w:asciiTheme="majorBidi" w:hAnsiTheme="majorBidi" w:cstheme="majorBidi"/>
            <w:sz w:val="24"/>
            <w:szCs w:val="24"/>
          </w:rPr>
          <w:id w:val="1434477958"/>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Knu19 \l 2057  \m Ohm20</w:instrText>
          </w:r>
          <w:r w:rsidR="007A225E">
            <w:rPr>
              <w:rFonts w:asciiTheme="majorBidi" w:hAnsiTheme="majorBidi" w:cstheme="majorBidi"/>
              <w:sz w:val="24"/>
              <w:szCs w:val="24"/>
            </w:rPr>
            <w:fldChar w:fldCharType="separate"/>
          </w:r>
          <w:r w:rsidR="007A225E" w:rsidRPr="0074573E">
            <w:rPr>
              <w:rFonts w:asciiTheme="majorBidi" w:hAnsiTheme="majorBidi" w:cstheme="majorBidi"/>
              <w:noProof/>
              <w:sz w:val="24"/>
              <w:szCs w:val="24"/>
            </w:rPr>
            <w:t>(Knudsen &amp; Johannesson, 2019; Ohme &amp; Mothes, 2020)</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and behavioural studies </w:t>
      </w:r>
      <w:sdt>
        <w:sdtPr>
          <w:rPr>
            <w:rFonts w:asciiTheme="majorBidi" w:hAnsiTheme="majorBidi" w:cstheme="majorBidi"/>
            <w:sz w:val="24"/>
            <w:szCs w:val="24"/>
          </w:rPr>
          <w:id w:val="1453594782"/>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Kos20 \l 2057  \m Mos21 \m Wat20</w:instrText>
          </w:r>
          <w:r w:rsidR="007A225E">
            <w:rPr>
              <w:rFonts w:asciiTheme="majorBidi" w:hAnsiTheme="majorBidi" w:cstheme="majorBidi"/>
              <w:sz w:val="24"/>
              <w:szCs w:val="24"/>
            </w:rPr>
            <w:fldChar w:fldCharType="separate"/>
          </w:r>
          <w:r w:rsidR="007A225E" w:rsidRPr="0074573E">
            <w:rPr>
              <w:rFonts w:asciiTheme="majorBidi" w:hAnsiTheme="majorBidi" w:cstheme="majorBidi"/>
              <w:noProof/>
              <w:sz w:val="24"/>
              <w:szCs w:val="24"/>
            </w:rPr>
            <w:t>(Kosmidis &amp; Theocharis, 2020; Mosleh , Pennycook, &amp; Rand,, 2021; Watson, Huebner, Fell, &amp; Shipworth, 2020)</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w:t>
      </w:r>
    </w:p>
    <w:p w14:paraId="0A06FF07" w14:textId="7D6A18BE" w:rsidR="007A225E" w:rsidRDefault="007A225E" w:rsidP="00F15754">
      <w:pPr>
        <w:spacing w:after="0" w:line="480" w:lineRule="auto"/>
        <w:ind w:firstLine="720"/>
        <w:rPr>
          <w:rFonts w:asciiTheme="majorBidi" w:hAnsiTheme="majorBidi" w:cstheme="majorBidi"/>
          <w:b/>
          <w:bCs/>
          <w:i/>
          <w:iCs/>
          <w:sz w:val="24"/>
          <w:szCs w:val="24"/>
        </w:rPr>
      </w:pPr>
      <w:r>
        <w:rPr>
          <w:rFonts w:asciiTheme="majorBidi" w:hAnsiTheme="majorBidi" w:cstheme="majorBidi"/>
          <w:sz w:val="24"/>
          <w:szCs w:val="24"/>
        </w:rPr>
        <w:t>In factorial survey experiment designs, respondents are randomly presented with a unique hypothetical presentation for their assessments and opinions</w:t>
      </w:r>
      <w:sdt>
        <w:sdtPr>
          <w:rPr>
            <w:rFonts w:asciiTheme="majorBidi" w:hAnsiTheme="majorBidi" w:cstheme="majorBidi"/>
            <w:sz w:val="24"/>
            <w:szCs w:val="24"/>
          </w:rPr>
          <w:id w:val="-77047253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Pet22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(Petzold, 2022)</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004E03">
        <w:rPr>
          <w:rFonts w:asciiTheme="majorBidi" w:hAnsiTheme="majorBidi" w:cstheme="majorBidi"/>
          <w:sz w:val="24"/>
          <w:szCs w:val="24"/>
        </w:rPr>
        <w:t xml:space="preserve"> Survey factorial experiments were deemed most appropriate for this study’s objectives because they usually inspect the effects of a hypothetical situation with the goal of identifying the potential effects of a similar real-life situation </w:t>
      </w:r>
      <w:sdt>
        <w:sdtPr>
          <w:rPr>
            <w:rFonts w:asciiTheme="majorBidi" w:hAnsiTheme="majorBidi" w:cstheme="majorBidi"/>
            <w:sz w:val="24"/>
            <w:szCs w:val="24"/>
          </w:rPr>
          <w:id w:val="1493374697"/>
          <w:citation/>
        </w:sdtPr>
        <w:sdtContent>
          <w:r w:rsidRPr="00004E03">
            <w:rPr>
              <w:rFonts w:asciiTheme="majorBidi" w:hAnsiTheme="majorBidi" w:cstheme="majorBidi"/>
              <w:sz w:val="24"/>
              <w:szCs w:val="24"/>
            </w:rPr>
            <w:fldChar w:fldCharType="begin"/>
          </w:r>
          <w:r w:rsidRPr="00004E03">
            <w:rPr>
              <w:rFonts w:asciiTheme="majorBidi" w:hAnsiTheme="majorBidi" w:cstheme="majorBidi"/>
              <w:sz w:val="24"/>
              <w:szCs w:val="24"/>
            </w:rPr>
            <w:instrText xml:space="preserve"> CITATION Daf18 \l 2057 </w:instrText>
          </w:r>
          <w:r w:rsidRPr="00004E03">
            <w:rPr>
              <w:rFonts w:asciiTheme="majorBidi" w:hAnsiTheme="majorBidi" w:cstheme="majorBidi"/>
              <w:sz w:val="24"/>
              <w:szCs w:val="24"/>
            </w:rPr>
            <w:fldChar w:fldCharType="separate"/>
          </w:r>
          <w:r w:rsidRPr="00004E03">
            <w:rPr>
              <w:rFonts w:asciiTheme="majorBidi" w:hAnsiTheme="majorBidi" w:cstheme="majorBidi"/>
              <w:noProof/>
              <w:sz w:val="24"/>
              <w:szCs w:val="24"/>
            </w:rPr>
            <w:t>(Dafoe, Zhang, &amp; Caughey, 2018)</w:t>
          </w:r>
          <w:r w:rsidRPr="00004E03">
            <w:rPr>
              <w:rFonts w:asciiTheme="majorBidi" w:hAnsiTheme="majorBidi" w:cstheme="majorBidi"/>
              <w:sz w:val="24"/>
              <w:szCs w:val="24"/>
            </w:rPr>
            <w:fldChar w:fldCharType="end"/>
          </w:r>
        </w:sdtContent>
      </w:sdt>
      <w:r w:rsidRPr="00004E03">
        <w:rPr>
          <w:rFonts w:asciiTheme="majorBidi" w:hAnsiTheme="majorBidi" w:cstheme="majorBidi"/>
          <w:sz w:val="24"/>
          <w:szCs w:val="24"/>
        </w:rPr>
        <w:t>. Usually, experimental research methods have been used to measure the effects of a treatment on people’s motivation, predictable behaviour, or intentions towards a certain action</w:t>
      </w:r>
      <w:sdt>
        <w:sdtPr>
          <w:rPr>
            <w:rFonts w:asciiTheme="majorBidi" w:hAnsiTheme="majorBidi" w:cstheme="majorBidi"/>
            <w:sz w:val="24"/>
            <w:szCs w:val="24"/>
          </w:rPr>
          <w:id w:val="-23786130"/>
          <w:citation/>
        </w:sdtPr>
        <w:sdtContent>
          <w:r w:rsidRPr="00004E03">
            <w:rPr>
              <w:rFonts w:asciiTheme="majorBidi" w:hAnsiTheme="majorBidi" w:cstheme="majorBidi"/>
              <w:sz w:val="24"/>
              <w:szCs w:val="24"/>
            </w:rPr>
            <w:fldChar w:fldCharType="begin"/>
          </w:r>
          <w:r w:rsidRPr="00004E03">
            <w:rPr>
              <w:rFonts w:asciiTheme="majorBidi" w:hAnsiTheme="majorBidi" w:cstheme="majorBidi"/>
              <w:sz w:val="24"/>
              <w:szCs w:val="24"/>
            </w:rPr>
            <w:instrText xml:space="preserve"> CITATION Gop23 \l 2057 </w:instrText>
          </w:r>
          <w:r w:rsidRPr="00004E03">
            <w:rPr>
              <w:rFonts w:asciiTheme="majorBidi" w:hAnsiTheme="majorBidi" w:cstheme="majorBidi"/>
              <w:sz w:val="24"/>
              <w:szCs w:val="24"/>
            </w:rPr>
            <w:fldChar w:fldCharType="separate"/>
          </w:r>
          <w:r w:rsidRPr="00004E03">
            <w:rPr>
              <w:rFonts w:asciiTheme="majorBidi" w:hAnsiTheme="majorBidi" w:cstheme="majorBidi"/>
              <w:noProof/>
              <w:sz w:val="24"/>
              <w:szCs w:val="24"/>
            </w:rPr>
            <w:t xml:space="preserve"> (Gopalan, Rosinger, &amp; Ahn)</w:t>
          </w:r>
          <w:r w:rsidRPr="00004E03">
            <w:rPr>
              <w:rFonts w:asciiTheme="majorBidi" w:hAnsiTheme="majorBidi" w:cstheme="majorBidi"/>
              <w:sz w:val="24"/>
              <w:szCs w:val="24"/>
            </w:rPr>
            <w:fldChar w:fldCharType="end"/>
          </w:r>
        </w:sdtContent>
      </w:sdt>
      <w:r w:rsidRPr="00004E03">
        <w:rPr>
          <w:rFonts w:asciiTheme="majorBidi" w:hAnsiTheme="majorBidi" w:cstheme="majorBidi"/>
          <w:sz w:val="24"/>
          <w:szCs w:val="24"/>
        </w:rPr>
        <w:t xml:space="preserve">. Experiments that </w:t>
      </w:r>
      <w:r w:rsidR="00F15754" w:rsidRPr="00004E03">
        <w:rPr>
          <w:rFonts w:asciiTheme="majorBidi" w:hAnsiTheme="majorBidi" w:cstheme="majorBidi"/>
          <w:sz w:val="24"/>
          <w:szCs w:val="24"/>
        </w:rPr>
        <w:t>predict</w:t>
      </w:r>
      <w:r w:rsidRPr="00004E03">
        <w:rPr>
          <w:rFonts w:asciiTheme="majorBidi" w:hAnsiTheme="majorBidi" w:cstheme="majorBidi"/>
          <w:sz w:val="24"/>
          <w:szCs w:val="24"/>
        </w:rPr>
        <w:t xml:space="preserve"> human behaviour can be difficult to design but, would eventually propose the closest possible estimate to actual human behaviour </w:t>
      </w:r>
      <w:sdt>
        <w:sdtPr>
          <w:rPr>
            <w:rFonts w:asciiTheme="majorBidi" w:hAnsiTheme="majorBidi" w:cstheme="majorBidi"/>
            <w:sz w:val="24"/>
            <w:szCs w:val="24"/>
          </w:rPr>
          <w:id w:val="-662079116"/>
          <w:citation/>
        </w:sdtPr>
        <w:sdtContent>
          <w:r w:rsidRPr="00004E03">
            <w:rPr>
              <w:rFonts w:asciiTheme="majorBidi" w:hAnsiTheme="majorBidi" w:cstheme="majorBidi"/>
              <w:sz w:val="24"/>
              <w:szCs w:val="24"/>
            </w:rPr>
            <w:fldChar w:fldCharType="begin"/>
          </w:r>
          <w:r w:rsidRPr="00004E03">
            <w:rPr>
              <w:rFonts w:asciiTheme="majorBidi" w:hAnsiTheme="majorBidi" w:cstheme="majorBidi"/>
              <w:sz w:val="24"/>
              <w:szCs w:val="24"/>
            </w:rPr>
            <w:instrText xml:space="preserve"> CITATION Sus18 \l 2057 </w:instrText>
          </w:r>
          <w:r w:rsidRPr="00004E03">
            <w:rPr>
              <w:rFonts w:asciiTheme="majorBidi" w:hAnsiTheme="majorBidi" w:cstheme="majorBidi"/>
              <w:sz w:val="24"/>
              <w:szCs w:val="24"/>
            </w:rPr>
            <w:fldChar w:fldCharType="separate"/>
          </w:r>
          <w:r w:rsidRPr="00004E03">
            <w:rPr>
              <w:rFonts w:asciiTheme="majorBidi" w:hAnsiTheme="majorBidi" w:cstheme="majorBidi"/>
              <w:noProof/>
              <w:sz w:val="24"/>
              <w:szCs w:val="24"/>
            </w:rPr>
            <w:t>(Sussman &amp; Gifford, 2018)</w:t>
          </w:r>
          <w:r w:rsidRPr="00004E03">
            <w:rPr>
              <w:rFonts w:asciiTheme="majorBidi" w:hAnsiTheme="majorBidi" w:cstheme="majorBidi"/>
              <w:sz w:val="24"/>
              <w:szCs w:val="24"/>
            </w:rPr>
            <w:fldChar w:fldCharType="end"/>
          </w:r>
        </w:sdtContent>
      </w:sdt>
      <w:r w:rsidRPr="00004E03">
        <w:rPr>
          <w:rFonts w:asciiTheme="majorBidi" w:hAnsiTheme="majorBidi" w:cstheme="majorBidi"/>
          <w:sz w:val="24"/>
          <w:szCs w:val="24"/>
        </w:rPr>
        <w:t>. This</w:t>
      </w:r>
      <w:r>
        <w:rPr>
          <w:rFonts w:asciiTheme="majorBidi" w:hAnsiTheme="majorBidi" w:cstheme="majorBidi"/>
          <w:sz w:val="24"/>
          <w:szCs w:val="24"/>
        </w:rPr>
        <w:t xml:space="preserve"> type of experimental design is more appropriate for this study than other types of experimental designs such as scenario-based experiments. This is because, scenario-based experiments are more commonly applied in the field of service marketing </w:t>
      </w:r>
      <w:sdt>
        <w:sdtPr>
          <w:rPr>
            <w:rFonts w:asciiTheme="majorBidi" w:hAnsiTheme="majorBidi" w:cstheme="majorBidi"/>
            <w:sz w:val="24"/>
            <w:szCs w:val="24"/>
          </w:rPr>
          <w:id w:val="37821665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Kim143 \t  \m Sil09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(Kim &amp; Jang, 2014; Silber, Israeli , Bustin, &amp; Ben Zvi, 2009)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in which the respondents provide their opinions on a situation than involves their interaction with a real-life situation or experience </w:t>
      </w:r>
      <w:sdt>
        <w:sdtPr>
          <w:rPr>
            <w:rFonts w:asciiTheme="majorBidi" w:hAnsiTheme="majorBidi" w:cstheme="majorBidi"/>
            <w:sz w:val="24"/>
            <w:szCs w:val="24"/>
          </w:rPr>
          <w:id w:val="22472010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Gei15 \m Par22 \t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(Geiger, Dost, Schönhoff, &amp; Kleinaltenkamp, 2015; Parsons, McCormac, Pattinson, Butavicius, &amp; Jerram, 2013)</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5534ED">
        <w:rPr>
          <w:rFonts w:asciiTheme="majorBidi" w:hAnsiTheme="majorBidi" w:cstheme="majorBidi"/>
          <w:b/>
          <w:bCs/>
          <w:i/>
          <w:iCs/>
          <w:sz w:val="24"/>
          <w:szCs w:val="24"/>
        </w:rPr>
        <w:t xml:space="preserve"> </w:t>
      </w:r>
    </w:p>
    <w:p w14:paraId="41EE2712" w14:textId="77777777" w:rsidR="00DD25DB" w:rsidRDefault="00F15754" w:rsidP="00DD25DB">
      <w:pPr>
        <w:keepNext/>
      </w:pPr>
      <w:r>
        <w:rPr>
          <w:noProof/>
        </w:rPr>
        <w:drawing>
          <wp:inline distT="0" distB="0" distL="0" distR="0" wp14:anchorId="6B1BF886" wp14:editId="71360B49">
            <wp:extent cx="3193752" cy="2072081"/>
            <wp:effectExtent l="0" t="0" r="6985" b="4445"/>
            <wp:docPr id="111525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5931" name=""/>
                    <pic:cNvPicPr/>
                  </pic:nvPicPr>
                  <pic:blipFill>
                    <a:blip r:embed="rId37"/>
                    <a:stretch>
                      <a:fillRect/>
                    </a:stretch>
                  </pic:blipFill>
                  <pic:spPr>
                    <a:xfrm>
                      <a:off x="0" y="0"/>
                      <a:ext cx="3217355" cy="2087395"/>
                    </a:xfrm>
                    <a:prstGeom prst="rect">
                      <a:avLst/>
                    </a:prstGeom>
                  </pic:spPr>
                </pic:pic>
              </a:graphicData>
            </a:graphic>
          </wp:inline>
        </w:drawing>
      </w:r>
    </w:p>
    <w:p w14:paraId="0110DD78" w14:textId="1E08A8CA" w:rsidR="001D6316" w:rsidRPr="00B27912" w:rsidRDefault="00DD25DB" w:rsidP="00DD25DB">
      <w:pPr>
        <w:pStyle w:val="Caption"/>
        <w:rPr>
          <w:rFonts w:asciiTheme="majorBidi" w:hAnsiTheme="majorBidi" w:cstheme="majorBidi"/>
          <w:b/>
          <w:bCs/>
          <w:sz w:val="24"/>
          <w:szCs w:val="24"/>
        </w:rPr>
      </w:pPr>
      <w:r>
        <w:t>Figure 13 The experimental model of study one showing the expected causal relationship between the independent variables and the dependent variables</w:t>
      </w:r>
    </w:p>
    <w:p w14:paraId="466FAFEB" w14:textId="5FB7F8C8" w:rsidR="007A225E" w:rsidRPr="00793FF8" w:rsidRDefault="007A225E" w:rsidP="006C749E">
      <w:pPr>
        <w:spacing w:after="0" w:line="480" w:lineRule="auto"/>
        <w:ind w:firstLine="720"/>
        <w:rPr>
          <w:rFonts w:asciiTheme="majorBidi" w:hAnsiTheme="majorBidi" w:cstheme="majorBidi"/>
          <w:b/>
          <w:bCs/>
          <w:sz w:val="24"/>
          <w:szCs w:val="24"/>
        </w:rPr>
      </w:pPr>
      <w:r>
        <w:rPr>
          <w:rFonts w:asciiTheme="majorBidi" w:hAnsiTheme="majorBidi" w:cstheme="majorBidi"/>
          <w:b/>
          <w:bCs/>
          <w:sz w:val="24"/>
          <w:szCs w:val="24"/>
        </w:rPr>
        <w:t>5</w:t>
      </w:r>
      <w:r w:rsidRPr="00793FF8">
        <w:rPr>
          <w:rFonts w:asciiTheme="majorBidi" w:hAnsiTheme="majorBidi" w:cstheme="majorBidi"/>
          <w:b/>
          <w:bCs/>
          <w:sz w:val="24"/>
          <w:szCs w:val="24"/>
        </w:rPr>
        <w:t>.</w:t>
      </w:r>
      <w:r w:rsidR="00891F01">
        <w:rPr>
          <w:rFonts w:asciiTheme="majorBidi" w:hAnsiTheme="majorBidi" w:cstheme="majorBidi"/>
          <w:b/>
          <w:bCs/>
          <w:sz w:val="24"/>
          <w:szCs w:val="24"/>
        </w:rPr>
        <w:t>4</w:t>
      </w:r>
      <w:r w:rsidRPr="00793FF8">
        <w:rPr>
          <w:rFonts w:asciiTheme="majorBidi" w:hAnsiTheme="majorBidi" w:cstheme="majorBidi"/>
          <w:b/>
          <w:bCs/>
          <w:sz w:val="24"/>
          <w:szCs w:val="24"/>
        </w:rPr>
        <w:t>.</w:t>
      </w:r>
      <w:r>
        <w:rPr>
          <w:rFonts w:asciiTheme="majorBidi" w:hAnsiTheme="majorBidi" w:cstheme="majorBidi"/>
          <w:b/>
          <w:bCs/>
          <w:sz w:val="24"/>
          <w:szCs w:val="24"/>
        </w:rPr>
        <w:t>6</w:t>
      </w:r>
      <w:r w:rsidRPr="00793FF8">
        <w:rPr>
          <w:rFonts w:asciiTheme="majorBidi" w:hAnsiTheme="majorBidi" w:cstheme="majorBidi"/>
          <w:b/>
          <w:bCs/>
          <w:sz w:val="24"/>
          <w:szCs w:val="24"/>
        </w:rPr>
        <w:t xml:space="preserve"> </w:t>
      </w:r>
      <w:r>
        <w:rPr>
          <w:rFonts w:asciiTheme="majorBidi" w:hAnsiTheme="majorBidi" w:cstheme="majorBidi"/>
          <w:b/>
          <w:bCs/>
          <w:sz w:val="24"/>
          <w:szCs w:val="24"/>
        </w:rPr>
        <w:t>Q</w:t>
      </w:r>
      <w:r w:rsidRPr="002B2214">
        <w:rPr>
          <w:rFonts w:asciiTheme="majorBidi" w:hAnsiTheme="majorBidi" w:cstheme="majorBidi"/>
          <w:b/>
          <w:bCs/>
          <w:sz w:val="24"/>
          <w:szCs w:val="24"/>
        </w:rPr>
        <w:t xml:space="preserve">uestionnaire </w:t>
      </w:r>
      <w:r w:rsidRPr="00793FF8">
        <w:rPr>
          <w:rFonts w:asciiTheme="majorBidi" w:hAnsiTheme="majorBidi" w:cstheme="majorBidi"/>
          <w:b/>
          <w:bCs/>
          <w:sz w:val="24"/>
          <w:szCs w:val="24"/>
        </w:rPr>
        <w:t>Design</w:t>
      </w:r>
      <w:r w:rsidR="00CA1FCE">
        <w:rPr>
          <w:rFonts w:asciiTheme="majorBidi" w:hAnsiTheme="majorBidi" w:cstheme="majorBidi"/>
          <w:b/>
          <w:bCs/>
          <w:sz w:val="24"/>
          <w:szCs w:val="24"/>
        </w:rPr>
        <w:t xml:space="preserve"> </w:t>
      </w:r>
    </w:p>
    <w:p w14:paraId="611E2699" w14:textId="1F51016A" w:rsidR="007F2044" w:rsidRDefault="00112B90" w:rsidP="00C47A71">
      <w:pPr>
        <w:spacing w:after="0" w:line="480" w:lineRule="auto"/>
        <w:rPr>
          <w:rFonts w:asciiTheme="majorBidi" w:hAnsiTheme="majorBidi" w:cstheme="majorBidi"/>
          <w:sz w:val="24"/>
          <w:szCs w:val="24"/>
        </w:rPr>
      </w:pPr>
      <w:r>
        <w:rPr>
          <w:rFonts w:asciiTheme="majorBidi" w:hAnsiTheme="majorBidi" w:cstheme="majorBidi"/>
          <w:sz w:val="24"/>
          <w:szCs w:val="24"/>
        </w:rPr>
        <w:tab/>
      </w:r>
      <w:r w:rsidR="007A225E" w:rsidRPr="001C5BB3">
        <w:rPr>
          <w:rFonts w:asciiTheme="majorBidi" w:hAnsiTheme="majorBidi" w:cstheme="majorBidi"/>
          <w:sz w:val="24"/>
          <w:szCs w:val="24"/>
        </w:rPr>
        <w:t xml:space="preserve">The </w:t>
      </w:r>
      <w:r w:rsidR="007A225E">
        <w:rPr>
          <w:rFonts w:asciiTheme="majorBidi" w:hAnsiTheme="majorBidi" w:cstheme="majorBidi"/>
          <w:sz w:val="24"/>
          <w:szCs w:val="24"/>
        </w:rPr>
        <w:t xml:space="preserve">questionnaire was launched through Qualtrics version 2022. It </w:t>
      </w:r>
      <w:r w:rsidR="007A225E" w:rsidRPr="001C5BB3">
        <w:rPr>
          <w:rFonts w:asciiTheme="majorBidi" w:hAnsiTheme="majorBidi" w:cstheme="majorBidi"/>
          <w:sz w:val="24"/>
          <w:szCs w:val="24"/>
        </w:rPr>
        <w:t>began with a</w:t>
      </w:r>
      <w:r w:rsidR="007A225E">
        <w:rPr>
          <w:rFonts w:asciiTheme="majorBidi" w:hAnsiTheme="majorBidi" w:cstheme="majorBidi"/>
          <w:sz w:val="24"/>
          <w:szCs w:val="24"/>
        </w:rPr>
        <w:t xml:space="preserve">n </w:t>
      </w:r>
      <w:r w:rsidR="007A225E" w:rsidRPr="001C5BB3">
        <w:rPr>
          <w:rFonts w:asciiTheme="majorBidi" w:hAnsiTheme="majorBidi" w:cstheme="majorBidi"/>
          <w:sz w:val="24"/>
          <w:szCs w:val="24"/>
        </w:rPr>
        <w:t>introduction</w:t>
      </w:r>
      <w:r w:rsidR="007A225E">
        <w:rPr>
          <w:rFonts w:asciiTheme="majorBidi" w:hAnsiTheme="majorBidi" w:cstheme="majorBidi"/>
          <w:sz w:val="24"/>
          <w:szCs w:val="24"/>
        </w:rPr>
        <w:t>, a brief description of the topic,</w:t>
      </w:r>
      <w:r w:rsidR="007A225E" w:rsidRPr="001C5BB3">
        <w:rPr>
          <w:rFonts w:asciiTheme="majorBidi" w:hAnsiTheme="majorBidi" w:cstheme="majorBidi"/>
          <w:sz w:val="24"/>
          <w:szCs w:val="24"/>
        </w:rPr>
        <w:t xml:space="preserve"> and a series of </w:t>
      </w:r>
      <w:r w:rsidR="007A225E">
        <w:rPr>
          <w:rFonts w:asciiTheme="majorBidi" w:hAnsiTheme="majorBidi" w:cstheme="majorBidi"/>
          <w:sz w:val="24"/>
          <w:szCs w:val="24"/>
        </w:rPr>
        <w:t>four</w:t>
      </w:r>
      <w:r w:rsidR="007A225E" w:rsidRPr="001C5BB3">
        <w:rPr>
          <w:rFonts w:asciiTheme="majorBidi" w:hAnsiTheme="majorBidi" w:cstheme="majorBidi"/>
          <w:sz w:val="24"/>
          <w:szCs w:val="24"/>
        </w:rPr>
        <w:t xml:space="preserve"> consensual questions.</w:t>
      </w:r>
      <w:r w:rsidR="007A225E">
        <w:rPr>
          <w:rFonts w:asciiTheme="majorBidi" w:hAnsiTheme="majorBidi" w:cstheme="majorBidi"/>
          <w:sz w:val="24"/>
          <w:szCs w:val="24"/>
        </w:rPr>
        <w:t xml:space="preserve"> Afterwards, the questionnaire had two filtering questions to ensure that the respondents live in Egypt and that they are the ones who buy the grocery products for the household. </w:t>
      </w:r>
      <w:r w:rsidR="007A225E" w:rsidRPr="00004E03">
        <w:rPr>
          <w:rFonts w:asciiTheme="majorBidi" w:hAnsiTheme="majorBidi" w:cstheme="majorBidi"/>
          <w:sz w:val="24"/>
          <w:szCs w:val="24"/>
        </w:rPr>
        <w:t xml:space="preserve">Before viewing the stimuli, the questionnaire had </w:t>
      </w:r>
      <w:r w:rsidR="00F15754" w:rsidRPr="00004E03">
        <w:rPr>
          <w:rFonts w:asciiTheme="majorBidi" w:hAnsiTheme="majorBidi" w:cstheme="majorBidi"/>
          <w:sz w:val="24"/>
          <w:szCs w:val="24"/>
        </w:rPr>
        <w:t>some</w:t>
      </w:r>
      <w:r w:rsidR="007A225E" w:rsidRPr="00004E03">
        <w:rPr>
          <w:rFonts w:asciiTheme="majorBidi" w:hAnsiTheme="majorBidi" w:cstheme="majorBidi"/>
          <w:sz w:val="24"/>
          <w:szCs w:val="24"/>
        </w:rPr>
        <w:t xml:space="preserve"> questions related to the respondents’ prior perception of the brand</w:t>
      </w:r>
      <w:r w:rsidR="007D4C56" w:rsidRPr="00004E03">
        <w:rPr>
          <w:rFonts w:asciiTheme="majorBidi" w:hAnsiTheme="majorBidi" w:cstheme="majorBidi"/>
          <w:sz w:val="24"/>
          <w:szCs w:val="24"/>
        </w:rPr>
        <w:t>, the frequency of using social media or watching television</w:t>
      </w:r>
      <w:r w:rsidR="007A225E" w:rsidRPr="00004E03">
        <w:rPr>
          <w:rFonts w:asciiTheme="majorBidi" w:hAnsiTheme="majorBidi" w:cstheme="majorBidi"/>
          <w:sz w:val="24"/>
          <w:szCs w:val="24"/>
        </w:rPr>
        <w:t xml:space="preserve">. </w:t>
      </w:r>
      <w:r w:rsidR="007A225E">
        <w:rPr>
          <w:rFonts w:asciiTheme="majorBidi" w:hAnsiTheme="majorBidi" w:cstheme="majorBidi"/>
          <w:sz w:val="24"/>
          <w:szCs w:val="24"/>
        </w:rPr>
        <w:t xml:space="preserve">After being subjected to the stimulus, mainly, the questionnaire consisted of a series of questions that resonates with the research questions and the hypotheses. These questions examined the respondents’ perception of CSR, </w:t>
      </w:r>
      <w:r w:rsidR="007D4C56">
        <w:rPr>
          <w:rFonts w:asciiTheme="majorBidi" w:hAnsiTheme="majorBidi" w:cstheme="majorBidi"/>
          <w:sz w:val="24"/>
          <w:szCs w:val="24"/>
        </w:rPr>
        <w:t xml:space="preserve">ad likeability, </w:t>
      </w:r>
      <w:r w:rsidR="007A225E">
        <w:rPr>
          <w:rFonts w:asciiTheme="majorBidi" w:hAnsiTheme="majorBidi" w:cstheme="majorBidi"/>
          <w:sz w:val="24"/>
          <w:szCs w:val="24"/>
        </w:rPr>
        <w:t xml:space="preserve">brand likeability, emotional brand attachment, brand trust, perceived brand functionality, and purchase intention, after the respondents were subjected to the stimuli. The questions ensured that respondents understood that they </w:t>
      </w:r>
      <w:r w:rsidR="00AB5BF4">
        <w:rPr>
          <w:rFonts w:asciiTheme="majorBidi" w:hAnsiTheme="majorBidi" w:cstheme="majorBidi"/>
          <w:sz w:val="24"/>
          <w:szCs w:val="24"/>
        </w:rPr>
        <w:t>must</w:t>
      </w:r>
      <w:r w:rsidR="007A225E">
        <w:rPr>
          <w:rFonts w:asciiTheme="majorBidi" w:hAnsiTheme="majorBidi" w:cstheme="majorBidi"/>
          <w:sz w:val="24"/>
          <w:szCs w:val="24"/>
        </w:rPr>
        <w:t xml:space="preserve"> provide their answers based on the ad that they saw. </w:t>
      </w:r>
      <w:r w:rsidR="00010DEA">
        <w:rPr>
          <w:rFonts w:asciiTheme="majorBidi" w:hAnsiTheme="majorBidi" w:cstheme="majorBidi"/>
          <w:sz w:val="24"/>
          <w:szCs w:val="24"/>
        </w:rPr>
        <w:t>While using preexisting</w:t>
      </w:r>
      <w:r w:rsidR="007A225E">
        <w:rPr>
          <w:rFonts w:asciiTheme="majorBidi" w:hAnsiTheme="majorBidi" w:cstheme="majorBidi"/>
          <w:sz w:val="24"/>
          <w:szCs w:val="24"/>
        </w:rPr>
        <w:t xml:space="preserve"> constructs from previously created and tested scales</w:t>
      </w:r>
      <w:r w:rsidR="00010DEA">
        <w:rPr>
          <w:rFonts w:asciiTheme="majorBidi" w:hAnsiTheme="majorBidi" w:cstheme="majorBidi"/>
          <w:sz w:val="24"/>
          <w:szCs w:val="24"/>
        </w:rPr>
        <w:t xml:space="preserve"> is commonly applied in different studies</w:t>
      </w:r>
      <w:r w:rsidR="00FF4D03" w:rsidRPr="00FF4D03">
        <w:t xml:space="preserve"> </w:t>
      </w:r>
      <w:r w:rsidR="00FF4D03" w:rsidRPr="00FF4D03">
        <w:rPr>
          <w:rFonts w:asciiTheme="majorBidi" w:hAnsiTheme="majorBidi" w:cstheme="majorBidi"/>
          <w:sz w:val="24"/>
          <w:szCs w:val="24"/>
        </w:rPr>
        <w:t>(Diehl, Terlutter, &amp; Mueller, 2016; You &amp; Hon, 2021)</w:t>
      </w:r>
      <w:r w:rsidR="00010DEA">
        <w:rPr>
          <w:rFonts w:asciiTheme="majorBidi" w:hAnsiTheme="majorBidi" w:cstheme="majorBidi"/>
          <w:sz w:val="24"/>
          <w:szCs w:val="24"/>
        </w:rPr>
        <w:t>, it is advised that the efficiency of these preexisting constructs to be examined</w:t>
      </w:r>
      <w:sdt>
        <w:sdtPr>
          <w:rPr>
            <w:rFonts w:asciiTheme="majorBidi" w:hAnsiTheme="majorBidi" w:cstheme="majorBidi"/>
            <w:sz w:val="24"/>
            <w:szCs w:val="24"/>
          </w:rPr>
          <w:id w:val="-1493476998"/>
          <w:citation/>
        </w:sdtPr>
        <w:sdtContent>
          <w:r w:rsidR="00010DEA">
            <w:rPr>
              <w:rFonts w:asciiTheme="majorBidi" w:hAnsiTheme="majorBidi" w:cstheme="majorBidi"/>
              <w:sz w:val="24"/>
              <w:szCs w:val="24"/>
            </w:rPr>
            <w:fldChar w:fldCharType="begin"/>
          </w:r>
          <w:r w:rsidR="00010DEA">
            <w:rPr>
              <w:rFonts w:asciiTheme="majorBidi" w:hAnsiTheme="majorBidi" w:cstheme="majorBidi"/>
              <w:sz w:val="24"/>
              <w:szCs w:val="24"/>
            </w:rPr>
            <w:instrText xml:space="preserve"> CITATION Com22 \l 2057 </w:instrText>
          </w:r>
          <w:r w:rsidR="00010DEA">
            <w:rPr>
              <w:rFonts w:asciiTheme="majorBidi" w:hAnsiTheme="majorBidi" w:cstheme="majorBidi"/>
              <w:sz w:val="24"/>
              <w:szCs w:val="24"/>
            </w:rPr>
            <w:fldChar w:fldCharType="separate"/>
          </w:r>
          <w:r w:rsidR="00010DEA">
            <w:rPr>
              <w:rFonts w:asciiTheme="majorBidi" w:hAnsiTheme="majorBidi" w:cstheme="majorBidi"/>
              <w:noProof/>
              <w:sz w:val="24"/>
              <w:szCs w:val="24"/>
            </w:rPr>
            <w:t xml:space="preserve"> </w:t>
          </w:r>
          <w:r w:rsidR="00010DEA" w:rsidRPr="00010DEA">
            <w:rPr>
              <w:rFonts w:asciiTheme="majorBidi" w:hAnsiTheme="majorBidi" w:cstheme="majorBidi"/>
              <w:noProof/>
              <w:sz w:val="24"/>
              <w:szCs w:val="24"/>
            </w:rPr>
            <w:t>(Compeau, Correia, &amp; Bennett , 2022)</w:t>
          </w:r>
          <w:r w:rsidR="00010DEA">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w:t>
      </w:r>
      <w:r w:rsidR="00FF4D03">
        <w:rPr>
          <w:rFonts w:asciiTheme="majorBidi" w:hAnsiTheme="majorBidi" w:cstheme="majorBidi"/>
          <w:sz w:val="24"/>
          <w:szCs w:val="24"/>
        </w:rPr>
        <w:t xml:space="preserve">Thus, in this research, preexisting constructs were taken and adapted to fit the context of this study while examining the reliability of the scale items (refer to table 17). </w:t>
      </w:r>
      <w:r w:rsidR="007A225E">
        <w:rPr>
          <w:rFonts w:asciiTheme="majorBidi" w:hAnsiTheme="majorBidi" w:cstheme="majorBidi"/>
          <w:sz w:val="24"/>
          <w:szCs w:val="24"/>
        </w:rPr>
        <w:t xml:space="preserve">The ad </w:t>
      </w:r>
      <w:r w:rsidR="007A225E" w:rsidRPr="00C47A71">
        <w:rPr>
          <w:rFonts w:asciiTheme="majorBidi" w:hAnsiTheme="majorBidi" w:cstheme="majorBidi"/>
          <w:sz w:val="24"/>
          <w:szCs w:val="24"/>
        </w:rPr>
        <w:t xml:space="preserve">likeability construct had 5 </w:t>
      </w:r>
      <w:r w:rsidR="007A225E" w:rsidRPr="00AB5BF4">
        <w:rPr>
          <w:rFonts w:asciiTheme="majorBidi" w:hAnsiTheme="majorBidi" w:cstheme="majorBidi"/>
          <w:sz w:val="24"/>
          <w:szCs w:val="24"/>
        </w:rPr>
        <w:t>items</w:t>
      </w:r>
      <w:r w:rsidR="00AB5BF4" w:rsidRPr="00AB5BF4">
        <w:rPr>
          <w:rFonts w:asciiTheme="majorBidi" w:hAnsiTheme="majorBidi" w:cstheme="majorBidi"/>
          <w:sz w:val="24"/>
          <w:szCs w:val="24"/>
        </w:rPr>
        <w:t xml:space="preserve"> </w:t>
      </w:r>
      <w:sdt>
        <w:sdtPr>
          <w:rPr>
            <w:rFonts w:asciiTheme="majorBidi" w:hAnsiTheme="majorBidi" w:cstheme="majorBidi"/>
            <w:sz w:val="24"/>
            <w:szCs w:val="24"/>
          </w:rPr>
          <w:id w:val="340053552"/>
          <w:citation/>
        </w:sdtPr>
        <w:sdtContent>
          <w:r w:rsidR="00AB5BF4" w:rsidRPr="00AB5BF4">
            <w:rPr>
              <w:rFonts w:asciiTheme="majorBidi" w:hAnsiTheme="majorBidi" w:cstheme="majorBidi"/>
              <w:sz w:val="24"/>
              <w:szCs w:val="24"/>
            </w:rPr>
            <w:fldChar w:fldCharType="begin"/>
          </w:r>
          <w:r w:rsidR="00AB5BF4" w:rsidRPr="00AB5BF4">
            <w:rPr>
              <w:rFonts w:asciiTheme="majorBidi" w:hAnsiTheme="majorBidi" w:cstheme="majorBidi"/>
              <w:sz w:val="24"/>
              <w:szCs w:val="24"/>
            </w:rPr>
            <w:instrText xml:space="preserve"> CITATION Lee131 \l 2057 </w:instrText>
          </w:r>
          <w:r w:rsidR="00AB5BF4" w:rsidRPr="00AB5BF4">
            <w:rPr>
              <w:rFonts w:asciiTheme="majorBidi" w:hAnsiTheme="majorBidi" w:cstheme="majorBidi"/>
              <w:sz w:val="24"/>
              <w:szCs w:val="24"/>
            </w:rPr>
            <w:fldChar w:fldCharType="separate"/>
          </w:r>
          <w:r w:rsidR="00AB5BF4" w:rsidRPr="00AB5BF4">
            <w:rPr>
              <w:rFonts w:asciiTheme="majorBidi" w:hAnsiTheme="majorBidi" w:cstheme="majorBidi"/>
              <w:noProof/>
              <w:sz w:val="24"/>
              <w:szCs w:val="24"/>
            </w:rPr>
            <w:t>(Lee Y. H., 2013)</w:t>
          </w:r>
          <w:r w:rsidR="00AB5BF4" w:rsidRPr="00AB5BF4">
            <w:rPr>
              <w:rFonts w:asciiTheme="majorBidi" w:hAnsiTheme="majorBidi" w:cstheme="majorBidi"/>
              <w:sz w:val="24"/>
              <w:szCs w:val="24"/>
            </w:rPr>
            <w:fldChar w:fldCharType="end"/>
          </w:r>
        </w:sdtContent>
      </w:sdt>
      <w:r w:rsidR="00C47A71" w:rsidRPr="00C47A71">
        <w:rPr>
          <w:rFonts w:asciiTheme="majorBidi" w:hAnsiTheme="majorBidi" w:cstheme="majorBidi"/>
          <w:sz w:val="24"/>
          <w:szCs w:val="24"/>
        </w:rPr>
        <w:t>.</w:t>
      </w:r>
      <w:r w:rsidR="007A225E" w:rsidRPr="00C47A71">
        <w:rPr>
          <w:rFonts w:asciiTheme="majorBidi" w:hAnsiTheme="majorBidi" w:cstheme="majorBidi"/>
          <w:sz w:val="24"/>
          <w:szCs w:val="24"/>
        </w:rPr>
        <w:t xml:space="preserve"> </w:t>
      </w:r>
      <w:r w:rsidR="00C47A71" w:rsidRPr="00C47A71">
        <w:rPr>
          <w:rFonts w:asciiTheme="majorBidi" w:hAnsiTheme="majorBidi" w:cstheme="majorBidi"/>
          <w:sz w:val="24"/>
          <w:szCs w:val="24"/>
        </w:rPr>
        <w:t xml:space="preserve">CSR perception construct had 6 items were meticulously chosen </w:t>
      </w:r>
      <w:sdt>
        <w:sdtPr>
          <w:rPr>
            <w:rFonts w:asciiTheme="majorBidi" w:hAnsiTheme="majorBidi" w:cstheme="majorBidi"/>
            <w:sz w:val="24"/>
            <w:szCs w:val="24"/>
          </w:rPr>
          <w:id w:val="1762488545"/>
          <w:citation/>
        </w:sdtPr>
        <w:sdtContent>
          <w:r w:rsidR="00C47A71" w:rsidRPr="00C47A71">
            <w:rPr>
              <w:rFonts w:asciiTheme="majorBidi" w:hAnsiTheme="majorBidi" w:cstheme="majorBidi"/>
              <w:sz w:val="24"/>
              <w:szCs w:val="24"/>
            </w:rPr>
            <w:fldChar w:fldCharType="begin"/>
          </w:r>
          <w:r w:rsidR="00C47A71" w:rsidRPr="00C47A71">
            <w:rPr>
              <w:rFonts w:asciiTheme="majorBidi" w:hAnsiTheme="majorBidi" w:cstheme="majorBidi"/>
              <w:sz w:val="24"/>
              <w:szCs w:val="24"/>
            </w:rPr>
            <w:instrText xml:space="preserve"> CITATION LeeP13 \l 2057 </w:instrText>
          </w:r>
          <w:r w:rsidR="00C47A71" w:rsidRPr="00C47A71">
            <w:rPr>
              <w:rFonts w:asciiTheme="majorBidi" w:hAnsiTheme="majorBidi" w:cstheme="majorBidi"/>
              <w:sz w:val="24"/>
              <w:szCs w:val="24"/>
            </w:rPr>
            <w:fldChar w:fldCharType="separate"/>
          </w:r>
          <w:r w:rsidR="00C47A71" w:rsidRPr="00C47A71">
            <w:rPr>
              <w:rFonts w:asciiTheme="majorBidi" w:hAnsiTheme="majorBidi" w:cstheme="majorBidi"/>
              <w:noProof/>
              <w:sz w:val="24"/>
              <w:szCs w:val="24"/>
            </w:rPr>
            <w:t>(Lee, Park, &amp; Lee, 2013)</w:t>
          </w:r>
          <w:r w:rsidR="00C47A71" w:rsidRPr="00C47A71">
            <w:rPr>
              <w:rFonts w:asciiTheme="majorBidi" w:hAnsiTheme="majorBidi" w:cstheme="majorBidi"/>
              <w:sz w:val="24"/>
              <w:szCs w:val="24"/>
            </w:rPr>
            <w:fldChar w:fldCharType="end"/>
          </w:r>
        </w:sdtContent>
      </w:sdt>
      <w:r w:rsidR="00C47A71">
        <w:rPr>
          <w:rFonts w:asciiTheme="majorBidi" w:hAnsiTheme="majorBidi" w:cstheme="majorBidi"/>
          <w:sz w:val="24"/>
          <w:szCs w:val="24"/>
        </w:rPr>
        <w:t xml:space="preserve"> to present norms in TRA.</w:t>
      </w:r>
      <w:r w:rsidR="007A225E">
        <w:rPr>
          <w:rFonts w:asciiTheme="majorBidi" w:hAnsiTheme="majorBidi" w:cstheme="majorBidi"/>
          <w:sz w:val="24"/>
          <w:szCs w:val="24"/>
        </w:rPr>
        <w:t xml:space="preserve"> </w:t>
      </w:r>
      <w:r w:rsidR="007F2044">
        <w:rPr>
          <w:rFonts w:asciiTheme="majorBidi" w:hAnsiTheme="majorBidi" w:cstheme="majorBidi"/>
          <w:sz w:val="24"/>
          <w:szCs w:val="24"/>
        </w:rPr>
        <w:t xml:space="preserve">These items were chosen as they measure respondents’ personal values and perception of the responsibilities of their ideal brands. </w:t>
      </w:r>
      <w:r w:rsidR="00C47A71">
        <w:rPr>
          <w:rFonts w:asciiTheme="majorBidi" w:hAnsiTheme="majorBidi" w:cstheme="majorBidi"/>
          <w:sz w:val="24"/>
          <w:szCs w:val="24"/>
        </w:rPr>
        <w:t>P</w:t>
      </w:r>
      <w:r w:rsidR="007A225E">
        <w:rPr>
          <w:rFonts w:asciiTheme="majorBidi" w:hAnsiTheme="majorBidi" w:cstheme="majorBidi"/>
          <w:sz w:val="24"/>
          <w:szCs w:val="24"/>
        </w:rPr>
        <w:t xml:space="preserve">erceived brand </w:t>
      </w:r>
      <w:r w:rsidR="007A225E" w:rsidRPr="00C47A71">
        <w:rPr>
          <w:rFonts w:asciiTheme="majorBidi" w:hAnsiTheme="majorBidi" w:cstheme="majorBidi"/>
          <w:sz w:val="24"/>
          <w:szCs w:val="24"/>
        </w:rPr>
        <w:t>functionality construct had 5 items</w:t>
      </w:r>
      <w:r w:rsidR="00C47A71" w:rsidRPr="00C47A71">
        <w:rPr>
          <w:rFonts w:asciiTheme="majorBidi" w:hAnsiTheme="majorBidi" w:cstheme="majorBidi"/>
          <w:sz w:val="24"/>
          <w:szCs w:val="24"/>
        </w:rPr>
        <w:t xml:space="preserve"> that were related to product reliability and performance </w:t>
      </w:r>
      <w:sdt>
        <w:sdtPr>
          <w:rPr>
            <w:rFonts w:asciiTheme="majorBidi" w:hAnsiTheme="majorBidi" w:cstheme="majorBidi"/>
            <w:sz w:val="24"/>
            <w:szCs w:val="24"/>
          </w:rPr>
          <w:id w:val="1591353245"/>
          <w:citation/>
        </w:sdtPr>
        <w:sdtContent>
          <w:r w:rsidR="00C47A71" w:rsidRPr="00C47A71">
            <w:rPr>
              <w:rFonts w:asciiTheme="majorBidi" w:hAnsiTheme="majorBidi" w:cstheme="majorBidi"/>
              <w:sz w:val="24"/>
              <w:szCs w:val="24"/>
            </w:rPr>
            <w:fldChar w:fldCharType="begin"/>
          </w:r>
          <w:r w:rsidR="00C47A71" w:rsidRPr="00C47A71">
            <w:rPr>
              <w:rFonts w:asciiTheme="majorBidi" w:hAnsiTheme="majorBidi" w:cstheme="majorBidi"/>
              <w:sz w:val="24"/>
              <w:szCs w:val="24"/>
            </w:rPr>
            <w:instrText xml:space="preserve"> CITATION Har041 \l 2057 </w:instrText>
          </w:r>
          <w:r w:rsidR="00C47A71" w:rsidRPr="00C47A71">
            <w:rPr>
              <w:rFonts w:asciiTheme="majorBidi" w:hAnsiTheme="majorBidi" w:cstheme="majorBidi"/>
              <w:sz w:val="24"/>
              <w:szCs w:val="24"/>
            </w:rPr>
            <w:fldChar w:fldCharType="separate"/>
          </w:r>
          <w:r w:rsidR="00C47A71" w:rsidRPr="00C47A71">
            <w:rPr>
              <w:rFonts w:asciiTheme="majorBidi" w:hAnsiTheme="majorBidi" w:cstheme="majorBidi"/>
              <w:noProof/>
              <w:sz w:val="24"/>
              <w:szCs w:val="24"/>
            </w:rPr>
            <w:t>(Harris &amp; Goode, 2004)</w:t>
          </w:r>
          <w:r w:rsidR="00C47A71" w:rsidRPr="00C47A71">
            <w:rPr>
              <w:rFonts w:asciiTheme="majorBidi" w:hAnsiTheme="majorBidi" w:cstheme="majorBidi"/>
              <w:sz w:val="24"/>
              <w:szCs w:val="24"/>
            </w:rPr>
            <w:fldChar w:fldCharType="end"/>
          </w:r>
        </w:sdtContent>
      </w:sdt>
      <w:r w:rsidR="00C47A71" w:rsidRPr="00C47A71">
        <w:rPr>
          <w:rFonts w:asciiTheme="majorBidi" w:hAnsiTheme="majorBidi" w:cstheme="majorBidi"/>
          <w:sz w:val="24"/>
          <w:szCs w:val="24"/>
        </w:rPr>
        <w:t>.</w:t>
      </w:r>
      <w:r w:rsidR="007A225E">
        <w:rPr>
          <w:rFonts w:asciiTheme="majorBidi" w:hAnsiTheme="majorBidi" w:cstheme="majorBidi"/>
          <w:sz w:val="24"/>
          <w:szCs w:val="24"/>
        </w:rPr>
        <w:t xml:space="preserve"> </w:t>
      </w:r>
      <w:r w:rsidR="00C47A71">
        <w:rPr>
          <w:rFonts w:asciiTheme="majorBidi" w:hAnsiTheme="majorBidi" w:cstheme="majorBidi"/>
          <w:sz w:val="24"/>
          <w:szCs w:val="24"/>
        </w:rPr>
        <w:t>B</w:t>
      </w:r>
      <w:r w:rsidR="007A225E">
        <w:rPr>
          <w:rFonts w:asciiTheme="majorBidi" w:hAnsiTheme="majorBidi" w:cstheme="majorBidi"/>
          <w:sz w:val="24"/>
          <w:szCs w:val="24"/>
        </w:rPr>
        <w:t>rand likeability construct had 17 items</w:t>
      </w:r>
      <w:r w:rsidR="00C47A71">
        <w:rPr>
          <w:rFonts w:asciiTheme="majorBidi" w:hAnsiTheme="majorBidi" w:cstheme="majorBidi"/>
          <w:sz w:val="24"/>
          <w:szCs w:val="24"/>
        </w:rPr>
        <w:t xml:space="preserve"> of statements that reflected respondents’ liking of the </w:t>
      </w:r>
      <w:r w:rsidR="00C47A71" w:rsidRPr="00C47A71">
        <w:rPr>
          <w:rFonts w:asciiTheme="majorBidi" w:hAnsiTheme="majorBidi" w:cstheme="majorBidi"/>
          <w:sz w:val="24"/>
          <w:szCs w:val="24"/>
        </w:rPr>
        <w:t xml:space="preserve">brand </w:t>
      </w:r>
      <w:sdt>
        <w:sdtPr>
          <w:rPr>
            <w:rFonts w:asciiTheme="majorBidi" w:hAnsiTheme="majorBidi" w:cstheme="majorBidi"/>
            <w:sz w:val="24"/>
            <w:szCs w:val="24"/>
          </w:rPr>
          <w:id w:val="1910343349"/>
          <w:citation/>
        </w:sdtPr>
        <w:sdtContent>
          <w:r w:rsidR="00C47A71" w:rsidRPr="00C47A71">
            <w:rPr>
              <w:rFonts w:asciiTheme="majorBidi" w:hAnsiTheme="majorBidi" w:cstheme="majorBidi"/>
              <w:sz w:val="24"/>
              <w:szCs w:val="24"/>
            </w:rPr>
            <w:fldChar w:fldCharType="begin"/>
          </w:r>
          <w:r w:rsidR="00C47A71" w:rsidRPr="00C47A71">
            <w:rPr>
              <w:rFonts w:asciiTheme="majorBidi" w:hAnsiTheme="majorBidi" w:cstheme="majorBidi"/>
              <w:sz w:val="24"/>
              <w:szCs w:val="24"/>
            </w:rPr>
            <w:instrText xml:space="preserve"> CITATION Ngu15 \l 2057 </w:instrText>
          </w:r>
          <w:r w:rsidR="00C47A71" w:rsidRPr="00C47A71">
            <w:rPr>
              <w:rFonts w:asciiTheme="majorBidi" w:hAnsiTheme="majorBidi" w:cstheme="majorBidi"/>
              <w:sz w:val="24"/>
              <w:szCs w:val="24"/>
            </w:rPr>
            <w:fldChar w:fldCharType="separate"/>
          </w:r>
          <w:r w:rsidR="00C47A71" w:rsidRPr="00C47A71">
            <w:rPr>
              <w:rFonts w:asciiTheme="majorBidi" w:hAnsiTheme="majorBidi" w:cstheme="majorBidi"/>
              <w:noProof/>
              <w:sz w:val="24"/>
              <w:szCs w:val="24"/>
            </w:rPr>
            <w:t>(Nguyen, Ekinci, Simkin, &amp; Melewar, 2015)</w:t>
          </w:r>
          <w:r w:rsidR="00C47A71" w:rsidRPr="00C47A71">
            <w:rPr>
              <w:rFonts w:asciiTheme="majorBidi" w:hAnsiTheme="majorBidi" w:cstheme="majorBidi"/>
              <w:sz w:val="24"/>
              <w:szCs w:val="24"/>
            </w:rPr>
            <w:fldChar w:fldCharType="end"/>
          </w:r>
        </w:sdtContent>
      </w:sdt>
      <w:r w:rsidR="00C47A71" w:rsidRPr="00C47A71">
        <w:rPr>
          <w:rFonts w:asciiTheme="majorBidi" w:hAnsiTheme="majorBidi" w:cstheme="majorBidi"/>
          <w:sz w:val="24"/>
          <w:szCs w:val="24"/>
        </w:rPr>
        <w:t>.</w:t>
      </w:r>
      <w:r w:rsidR="00C47A71">
        <w:rPr>
          <w:rFonts w:asciiTheme="majorBidi" w:hAnsiTheme="majorBidi" w:cstheme="majorBidi"/>
          <w:sz w:val="18"/>
          <w:szCs w:val="18"/>
        </w:rPr>
        <w:t xml:space="preserve"> </w:t>
      </w:r>
      <w:r w:rsidR="00C47A71">
        <w:rPr>
          <w:rFonts w:asciiTheme="majorBidi" w:hAnsiTheme="majorBidi" w:cstheme="majorBidi"/>
          <w:sz w:val="24"/>
          <w:szCs w:val="24"/>
        </w:rPr>
        <w:t>E</w:t>
      </w:r>
      <w:r w:rsidR="007A225E">
        <w:rPr>
          <w:rFonts w:asciiTheme="majorBidi" w:hAnsiTheme="majorBidi" w:cstheme="majorBidi"/>
          <w:sz w:val="24"/>
          <w:szCs w:val="24"/>
        </w:rPr>
        <w:t>motional brand attachment construct had 4 items</w:t>
      </w:r>
      <w:r w:rsidR="00C47A71">
        <w:rPr>
          <w:rFonts w:asciiTheme="majorBidi" w:hAnsiTheme="majorBidi" w:cstheme="majorBidi"/>
          <w:sz w:val="24"/>
          <w:szCs w:val="24"/>
        </w:rPr>
        <w:t xml:space="preserve"> in which some of them mentioned that there is fitness and emotional connection between the respondent </w:t>
      </w:r>
      <w:r w:rsidR="00C47A71" w:rsidRPr="00C47A71">
        <w:rPr>
          <w:rFonts w:asciiTheme="majorBidi" w:hAnsiTheme="majorBidi" w:cstheme="majorBidi"/>
          <w:sz w:val="24"/>
          <w:szCs w:val="24"/>
        </w:rPr>
        <w:t xml:space="preserve">and the brand </w:t>
      </w:r>
      <w:sdt>
        <w:sdtPr>
          <w:rPr>
            <w:rFonts w:asciiTheme="majorBidi" w:hAnsiTheme="majorBidi" w:cstheme="majorBidi"/>
            <w:sz w:val="24"/>
            <w:szCs w:val="24"/>
          </w:rPr>
          <w:id w:val="-1558785309"/>
          <w:citation/>
        </w:sdtPr>
        <w:sdtContent>
          <w:r w:rsidR="00C47A71" w:rsidRPr="00C47A71">
            <w:rPr>
              <w:rFonts w:asciiTheme="majorBidi" w:hAnsiTheme="majorBidi" w:cstheme="majorBidi"/>
              <w:sz w:val="24"/>
              <w:szCs w:val="24"/>
            </w:rPr>
            <w:fldChar w:fldCharType="begin"/>
          </w:r>
          <w:r w:rsidR="00C47A71" w:rsidRPr="00C47A71">
            <w:rPr>
              <w:rFonts w:asciiTheme="majorBidi" w:hAnsiTheme="majorBidi" w:cstheme="majorBidi"/>
              <w:sz w:val="24"/>
              <w:szCs w:val="24"/>
            </w:rPr>
            <w:instrText xml:space="preserve"> CITATION Bag17 \l 2057 </w:instrText>
          </w:r>
          <w:r w:rsidR="00C47A71" w:rsidRPr="00C47A71">
            <w:rPr>
              <w:rFonts w:asciiTheme="majorBidi" w:hAnsiTheme="majorBidi" w:cstheme="majorBidi"/>
              <w:sz w:val="24"/>
              <w:szCs w:val="24"/>
            </w:rPr>
            <w:fldChar w:fldCharType="separate"/>
          </w:r>
          <w:r w:rsidR="00C47A71" w:rsidRPr="00C47A71">
            <w:rPr>
              <w:rFonts w:asciiTheme="majorBidi" w:hAnsiTheme="majorBidi" w:cstheme="majorBidi"/>
              <w:noProof/>
              <w:sz w:val="24"/>
              <w:szCs w:val="24"/>
            </w:rPr>
            <w:t>(Bagozzi, Batra, &amp; Ahuvia , 2017)</w:t>
          </w:r>
          <w:r w:rsidR="00C47A71" w:rsidRPr="00C47A71">
            <w:rPr>
              <w:rFonts w:asciiTheme="majorBidi" w:hAnsiTheme="majorBidi" w:cstheme="majorBidi"/>
              <w:sz w:val="24"/>
              <w:szCs w:val="24"/>
            </w:rPr>
            <w:fldChar w:fldCharType="end"/>
          </w:r>
        </w:sdtContent>
      </w:sdt>
      <w:r w:rsidR="00C47A71" w:rsidRPr="00C47A71">
        <w:rPr>
          <w:rFonts w:asciiTheme="majorBidi" w:hAnsiTheme="majorBidi" w:cstheme="majorBidi"/>
          <w:sz w:val="24"/>
          <w:szCs w:val="24"/>
        </w:rPr>
        <w:t>.</w:t>
      </w:r>
      <w:r w:rsidR="00C47A71">
        <w:rPr>
          <w:rFonts w:asciiTheme="majorBidi" w:hAnsiTheme="majorBidi" w:cstheme="majorBidi"/>
          <w:sz w:val="18"/>
          <w:szCs w:val="18"/>
        </w:rPr>
        <w:t xml:space="preserve"> </w:t>
      </w:r>
      <w:r w:rsidR="00AB5BF4">
        <w:rPr>
          <w:rFonts w:asciiTheme="majorBidi" w:hAnsiTheme="majorBidi" w:cstheme="majorBidi"/>
          <w:sz w:val="24"/>
          <w:szCs w:val="24"/>
        </w:rPr>
        <w:t>B</w:t>
      </w:r>
      <w:r w:rsidR="007A225E">
        <w:rPr>
          <w:rFonts w:asciiTheme="majorBidi" w:hAnsiTheme="majorBidi" w:cstheme="majorBidi"/>
          <w:sz w:val="24"/>
          <w:szCs w:val="24"/>
        </w:rPr>
        <w:t>rand trust construct had 4 items</w:t>
      </w:r>
      <w:r w:rsidR="00C47A71">
        <w:rPr>
          <w:rFonts w:asciiTheme="majorBidi" w:hAnsiTheme="majorBidi" w:cstheme="majorBidi"/>
          <w:sz w:val="24"/>
          <w:szCs w:val="24"/>
        </w:rPr>
        <w:t xml:space="preserve"> related to the satisfaction and the confidence that respondents had from the </w:t>
      </w:r>
      <w:r w:rsidR="00C47A71" w:rsidRPr="00AB5BF4">
        <w:rPr>
          <w:rFonts w:asciiTheme="majorBidi" w:hAnsiTheme="majorBidi" w:cstheme="majorBidi"/>
          <w:sz w:val="24"/>
          <w:szCs w:val="24"/>
        </w:rPr>
        <w:t xml:space="preserve">product </w:t>
      </w:r>
      <w:sdt>
        <w:sdtPr>
          <w:rPr>
            <w:rFonts w:asciiTheme="majorBidi" w:hAnsiTheme="majorBidi" w:cstheme="majorBidi"/>
            <w:sz w:val="24"/>
            <w:szCs w:val="24"/>
          </w:rPr>
          <w:id w:val="-1414919523"/>
          <w:citation/>
        </w:sdtPr>
        <w:sdtContent>
          <w:r w:rsidR="00C47A71" w:rsidRPr="00AB5BF4">
            <w:rPr>
              <w:rFonts w:asciiTheme="majorBidi" w:hAnsiTheme="majorBidi" w:cstheme="majorBidi"/>
              <w:sz w:val="24"/>
              <w:szCs w:val="24"/>
            </w:rPr>
            <w:fldChar w:fldCharType="begin"/>
          </w:r>
          <w:r w:rsidR="00C47A71" w:rsidRPr="00AB5BF4">
            <w:rPr>
              <w:rFonts w:asciiTheme="majorBidi" w:hAnsiTheme="majorBidi" w:cstheme="majorBidi"/>
              <w:sz w:val="24"/>
              <w:szCs w:val="24"/>
            </w:rPr>
            <w:instrText xml:space="preserve"> CITATION Sah11 \l 2057 </w:instrText>
          </w:r>
          <w:r w:rsidR="00C47A71" w:rsidRPr="00AB5BF4">
            <w:rPr>
              <w:rFonts w:asciiTheme="majorBidi" w:hAnsiTheme="majorBidi" w:cstheme="majorBidi"/>
              <w:sz w:val="24"/>
              <w:szCs w:val="24"/>
            </w:rPr>
            <w:fldChar w:fldCharType="separate"/>
          </w:r>
          <w:r w:rsidR="00C47A71" w:rsidRPr="00AB5BF4">
            <w:rPr>
              <w:rFonts w:asciiTheme="majorBidi" w:hAnsiTheme="majorBidi" w:cstheme="majorBidi"/>
              <w:noProof/>
              <w:sz w:val="24"/>
              <w:szCs w:val="24"/>
            </w:rPr>
            <w:t>(Sahin, Zehir, &amp; Kitapçı, 2011)</w:t>
          </w:r>
          <w:r w:rsidR="00C47A71" w:rsidRPr="00AB5BF4">
            <w:rPr>
              <w:rFonts w:asciiTheme="majorBidi" w:hAnsiTheme="majorBidi" w:cstheme="majorBidi"/>
              <w:sz w:val="24"/>
              <w:szCs w:val="24"/>
            </w:rPr>
            <w:fldChar w:fldCharType="end"/>
          </w:r>
        </w:sdtContent>
      </w:sdt>
      <w:r w:rsidR="00C47A71">
        <w:rPr>
          <w:rFonts w:asciiTheme="majorBidi" w:hAnsiTheme="majorBidi" w:cstheme="majorBidi"/>
          <w:sz w:val="24"/>
          <w:szCs w:val="24"/>
        </w:rPr>
        <w:t>. Lastly,</w:t>
      </w:r>
      <w:r w:rsidR="007A225E">
        <w:rPr>
          <w:rFonts w:asciiTheme="majorBidi" w:hAnsiTheme="majorBidi" w:cstheme="majorBidi"/>
          <w:sz w:val="24"/>
          <w:szCs w:val="24"/>
        </w:rPr>
        <w:t xml:space="preserve"> purchase intentions had 4 items</w:t>
      </w:r>
      <w:r w:rsidR="00C47A71">
        <w:rPr>
          <w:rFonts w:asciiTheme="majorBidi" w:hAnsiTheme="majorBidi" w:cstheme="majorBidi"/>
          <w:sz w:val="24"/>
          <w:szCs w:val="24"/>
        </w:rPr>
        <w:t xml:space="preserve"> that mentioned respondents’ plan and interest in purchasing the brand </w:t>
      </w:r>
      <w:sdt>
        <w:sdtPr>
          <w:rPr>
            <w:rFonts w:asciiTheme="majorBidi" w:hAnsiTheme="majorBidi" w:cstheme="majorBidi"/>
            <w:sz w:val="24"/>
            <w:szCs w:val="24"/>
          </w:rPr>
          <w:id w:val="-1561405223"/>
          <w:citation/>
        </w:sdtPr>
        <w:sdtContent>
          <w:r w:rsidR="00C47A71" w:rsidRPr="00C47A71">
            <w:rPr>
              <w:rFonts w:asciiTheme="majorBidi" w:hAnsiTheme="majorBidi" w:cstheme="majorBidi"/>
              <w:sz w:val="24"/>
              <w:szCs w:val="24"/>
            </w:rPr>
            <w:fldChar w:fldCharType="begin"/>
          </w:r>
          <w:r w:rsidR="00C47A71" w:rsidRPr="00C47A71">
            <w:rPr>
              <w:rFonts w:asciiTheme="majorBidi" w:hAnsiTheme="majorBidi" w:cstheme="majorBidi"/>
              <w:sz w:val="24"/>
              <w:szCs w:val="24"/>
            </w:rPr>
            <w:instrText xml:space="preserve"> CITATION Bar12 \l 2057 </w:instrText>
          </w:r>
          <w:r w:rsidR="00C47A71" w:rsidRPr="00C47A71">
            <w:rPr>
              <w:rFonts w:asciiTheme="majorBidi" w:hAnsiTheme="majorBidi" w:cstheme="majorBidi"/>
              <w:sz w:val="24"/>
              <w:szCs w:val="24"/>
            </w:rPr>
            <w:fldChar w:fldCharType="separate"/>
          </w:r>
          <w:r w:rsidR="00C47A71" w:rsidRPr="00C47A71">
            <w:rPr>
              <w:rFonts w:asciiTheme="majorBidi" w:hAnsiTheme="majorBidi" w:cstheme="majorBidi"/>
              <w:noProof/>
              <w:sz w:val="24"/>
              <w:szCs w:val="24"/>
            </w:rPr>
            <w:t>(Barber, Kuo, Bishop, &amp; Goodman Jr, 2012)</w:t>
          </w:r>
          <w:r w:rsidR="00C47A71" w:rsidRPr="00C47A71">
            <w:rPr>
              <w:rFonts w:asciiTheme="majorBidi" w:hAnsiTheme="majorBidi" w:cstheme="majorBidi"/>
              <w:sz w:val="24"/>
              <w:szCs w:val="24"/>
            </w:rPr>
            <w:fldChar w:fldCharType="end"/>
          </w:r>
        </w:sdtContent>
      </w:sdt>
      <w:r w:rsidR="007A225E" w:rsidRPr="00C47A71">
        <w:rPr>
          <w:rFonts w:asciiTheme="majorBidi" w:hAnsiTheme="majorBidi" w:cstheme="majorBidi"/>
          <w:sz w:val="24"/>
          <w:szCs w:val="24"/>
        </w:rPr>
        <w:t>.</w:t>
      </w:r>
      <w:r w:rsidR="007A225E">
        <w:rPr>
          <w:rFonts w:asciiTheme="majorBidi" w:hAnsiTheme="majorBidi" w:cstheme="majorBidi"/>
          <w:sz w:val="24"/>
          <w:szCs w:val="24"/>
        </w:rPr>
        <w:t xml:space="preserve"> Below in table </w:t>
      </w:r>
      <w:r w:rsidR="006E435C">
        <w:rPr>
          <w:rFonts w:asciiTheme="majorBidi" w:hAnsiTheme="majorBidi" w:cstheme="majorBidi"/>
          <w:sz w:val="24"/>
          <w:szCs w:val="24"/>
        </w:rPr>
        <w:t>1</w:t>
      </w:r>
      <w:r w:rsidR="00C55386">
        <w:rPr>
          <w:rFonts w:asciiTheme="majorBidi" w:hAnsiTheme="majorBidi" w:cstheme="majorBidi"/>
          <w:sz w:val="24"/>
          <w:szCs w:val="24"/>
        </w:rPr>
        <w:t>5</w:t>
      </w:r>
      <w:r w:rsidR="007A225E">
        <w:rPr>
          <w:rFonts w:asciiTheme="majorBidi" w:hAnsiTheme="majorBidi" w:cstheme="majorBidi"/>
          <w:sz w:val="24"/>
          <w:szCs w:val="24"/>
        </w:rPr>
        <w:t xml:space="preserve">, the items of each construct used in the questionnaire are listed. </w:t>
      </w:r>
    </w:p>
    <w:p w14:paraId="2F770502" w14:textId="55A6E693" w:rsidR="00C47A71" w:rsidRPr="00C645E6" w:rsidRDefault="007F2044" w:rsidP="006E435C">
      <w:pPr>
        <w:spacing w:after="0" w:line="480" w:lineRule="auto"/>
        <w:rPr>
          <w:rFonts w:asciiTheme="majorBidi" w:hAnsiTheme="majorBidi" w:cstheme="majorBidi"/>
          <w:sz w:val="24"/>
          <w:szCs w:val="24"/>
        </w:rPr>
      </w:pPr>
      <w:r>
        <w:rPr>
          <w:rFonts w:asciiTheme="majorBidi" w:hAnsiTheme="majorBidi" w:cstheme="majorBidi"/>
          <w:sz w:val="24"/>
          <w:szCs w:val="24"/>
        </w:rPr>
        <w:tab/>
      </w:r>
      <w:r w:rsidR="007A225E" w:rsidRPr="001C5BB3">
        <w:rPr>
          <w:rFonts w:asciiTheme="majorBidi" w:hAnsiTheme="majorBidi" w:cstheme="majorBidi"/>
          <w:sz w:val="24"/>
          <w:szCs w:val="24"/>
        </w:rPr>
        <w:t>Likert scale items were labelled based on the original scale developed by</w:t>
      </w:r>
      <w:r w:rsidR="007A225E">
        <w:rPr>
          <w:rFonts w:asciiTheme="majorBidi" w:hAnsiTheme="majorBidi" w:cstheme="majorBidi"/>
          <w:sz w:val="24"/>
          <w:szCs w:val="24"/>
        </w:rPr>
        <w:t xml:space="preserve"> Likert</w:t>
      </w:r>
      <w:r w:rsidR="007A225E" w:rsidRPr="001C5BB3">
        <w:rPr>
          <w:rFonts w:asciiTheme="majorBidi" w:hAnsiTheme="majorBidi" w:cstheme="majorBidi"/>
          <w:sz w:val="24"/>
          <w:szCs w:val="24"/>
        </w:rPr>
        <w:t xml:space="preserve"> </w:t>
      </w:r>
      <w:sdt>
        <w:sdtPr>
          <w:rPr>
            <w:rFonts w:asciiTheme="majorBidi" w:hAnsiTheme="majorBidi" w:cstheme="majorBidi"/>
            <w:sz w:val="24"/>
            <w:szCs w:val="24"/>
          </w:rPr>
          <w:id w:val="619120439"/>
          <w:citation/>
        </w:sdtPr>
        <w:sdtContent>
          <w:r w:rsidR="007A225E" w:rsidRPr="001C5BB3">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CITATION Lik32 \n  \t  \l 2057 </w:instrText>
          </w:r>
          <w:r w:rsidR="007A225E" w:rsidRPr="001C5BB3">
            <w:rPr>
              <w:rFonts w:asciiTheme="majorBidi" w:hAnsiTheme="majorBidi" w:cstheme="majorBidi"/>
              <w:sz w:val="24"/>
              <w:szCs w:val="24"/>
            </w:rPr>
            <w:fldChar w:fldCharType="separate"/>
          </w:r>
          <w:r w:rsidR="007A225E" w:rsidRPr="0074573E">
            <w:rPr>
              <w:rFonts w:asciiTheme="majorBidi" w:hAnsiTheme="majorBidi" w:cstheme="majorBidi"/>
              <w:sz w:val="24"/>
              <w:szCs w:val="24"/>
            </w:rPr>
            <w:t>(1932)</w:t>
          </w:r>
          <w:r w:rsidR="007A225E" w:rsidRPr="001C5BB3">
            <w:rPr>
              <w:rFonts w:asciiTheme="majorBidi" w:hAnsiTheme="majorBidi" w:cstheme="majorBidi"/>
              <w:sz w:val="24"/>
              <w:szCs w:val="24"/>
            </w:rPr>
            <w:fldChar w:fldCharType="end"/>
          </w:r>
        </w:sdtContent>
      </w:sdt>
      <w:r w:rsidR="007A225E" w:rsidRPr="001C5BB3">
        <w:rPr>
          <w:rFonts w:asciiTheme="majorBidi" w:hAnsiTheme="majorBidi" w:cstheme="majorBidi"/>
          <w:sz w:val="24"/>
          <w:szCs w:val="24"/>
        </w:rPr>
        <w:t xml:space="preserve"> and adapted by </w:t>
      </w:r>
      <w:sdt>
        <w:sdtPr>
          <w:rPr>
            <w:rFonts w:asciiTheme="majorBidi" w:hAnsiTheme="majorBidi" w:cstheme="majorBidi"/>
            <w:sz w:val="24"/>
            <w:szCs w:val="24"/>
          </w:rPr>
          <w:id w:val="286938778"/>
          <w:citation/>
        </w:sdtPr>
        <w:sdtContent>
          <w:r w:rsidR="007A225E" w:rsidRPr="001C5BB3">
            <w:rPr>
              <w:rFonts w:asciiTheme="majorBidi" w:hAnsiTheme="majorBidi" w:cstheme="majorBidi"/>
              <w:sz w:val="24"/>
              <w:szCs w:val="24"/>
            </w:rPr>
            <w:fldChar w:fldCharType="begin"/>
          </w:r>
          <w:r w:rsidR="007A225E" w:rsidRPr="001C5BB3">
            <w:rPr>
              <w:rFonts w:asciiTheme="majorBidi" w:hAnsiTheme="majorBidi" w:cstheme="majorBidi"/>
              <w:sz w:val="24"/>
              <w:szCs w:val="24"/>
            </w:rPr>
            <w:instrText xml:space="preserve"> CITATION Sim191 \l 2057 </w:instrText>
          </w:r>
          <w:r w:rsidR="007A225E" w:rsidRPr="001C5BB3">
            <w:rPr>
              <w:rFonts w:asciiTheme="majorBidi" w:hAnsiTheme="majorBidi" w:cstheme="majorBidi"/>
              <w:sz w:val="24"/>
              <w:szCs w:val="24"/>
            </w:rPr>
            <w:fldChar w:fldCharType="separate"/>
          </w:r>
          <w:r w:rsidR="007A225E" w:rsidRPr="0074573E">
            <w:rPr>
              <w:rFonts w:asciiTheme="majorBidi" w:hAnsiTheme="majorBidi" w:cstheme="majorBidi"/>
              <w:sz w:val="24"/>
              <w:szCs w:val="24"/>
            </w:rPr>
            <w:t>(Simms, Zelazny, Williams, &amp; Bernstein, 2019)</w:t>
          </w:r>
          <w:r w:rsidR="007A225E" w:rsidRPr="001C5BB3">
            <w:rPr>
              <w:rFonts w:asciiTheme="majorBidi" w:hAnsiTheme="majorBidi" w:cstheme="majorBidi"/>
              <w:sz w:val="24"/>
              <w:szCs w:val="24"/>
            </w:rPr>
            <w:fldChar w:fldCharType="end"/>
          </w:r>
        </w:sdtContent>
      </w:sdt>
      <w:r w:rsidR="007A225E" w:rsidRPr="001C5BB3">
        <w:rPr>
          <w:rFonts w:asciiTheme="majorBidi" w:hAnsiTheme="majorBidi" w:cstheme="majorBidi"/>
          <w:sz w:val="24"/>
          <w:szCs w:val="24"/>
        </w:rPr>
        <w:t xml:space="preserve"> to a 7-points scale. </w:t>
      </w:r>
      <w:r w:rsidR="007A225E" w:rsidRPr="00004E03">
        <w:rPr>
          <w:rFonts w:asciiTheme="majorBidi" w:hAnsiTheme="majorBidi" w:cstheme="majorBidi"/>
          <w:sz w:val="24"/>
          <w:szCs w:val="24"/>
        </w:rPr>
        <w:t>The 7-point scale was arranged from positive (</w:t>
      </w:r>
      <w:r w:rsidR="00D74D1D" w:rsidRPr="00004E03">
        <w:rPr>
          <w:rFonts w:asciiTheme="majorBidi" w:hAnsiTheme="majorBidi" w:cstheme="majorBidi"/>
          <w:sz w:val="24"/>
          <w:szCs w:val="24"/>
        </w:rPr>
        <w:t>s</w:t>
      </w:r>
      <w:r w:rsidR="007A225E" w:rsidRPr="00004E03">
        <w:rPr>
          <w:rFonts w:asciiTheme="majorBidi" w:hAnsiTheme="majorBidi" w:cstheme="majorBidi"/>
          <w:sz w:val="24"/>
          <w:szCs w:val="24"/>
        </w:rPr>
        <w:t xml:space="preserve">trongly </w:t>
      </w:r>
      <w:r w:rsidR="00D74D1D" w:rsidRPr="00004E03">
        <w:rPr>
          <w:rFonts w:asciiTheme="majorBidi" w:hAnsiTheme="majorBidi" w:cstheme="majorBidi"/>
          <w:sz w:val="24"/>
          <w:szCs w:val="24"/>
        </w:rPr>
        <w:t>a</w:t>
      </w:r>
      <w:r w:rsidR="007A225E" w:rsidRPr="00004E03">
        <w:rPr>
          <w:rFonts w:asciiTheme="majorBidi" w:hAnsiTheme="majorBidi" w:cstheme="majorBidi"/>
          <w:sz w:val="24"/>
          <w:szCs w:val="24"/>
        </w:rPr>
        <w:t>gree) to negative (</w:t>
      </w:r>
      <w:r w:rsidR="00D74D1D" w:rsidRPr="00004E03">
        <w:rPr>
          <w:rFonts w:asciiTheme="majorBidi" w:hAnsiTheme="majorBidi" w:cstheme="majorBidi"/>
          <w:sz w:val="24"/>
          <w:szCs w:val="24"/>
        </w:rPr>
        <w:t>s</w:t>
      </w:r>
      <w:r w:rsidR="007A225E" w:rsidRPr="00004E03">
        <w:rPr>
          <w:rFonts w:asciiTheme="majorBidi" w:hAnsiTheme="majorBidi" w:cstheme="majorBidi"/>
          <w:sz w:val="24"/>
          <w:szCs w:val="24"/>
        </w:rPr>
        <w:t>trongly disagree). Even though, arranging the scale from positive to negative can create a left-side bias</w:t>
      </w:r>
      <w:sdt>
        <w:sdtPr>
          <w:rPr>
            <w:rFonts w:asciiTheme="majorBidi" w:hAnsiTheme="majorBidi" w:cstheme="majorBidi"/>
            <w:sz w:val="24"/>
            <w:szCs w:val="24"/>
          </w:rPr>
          <w:id w:val="-1641181647"/>
          <w:citation/>
        </w:sdtPr>
        <w:sdtContent>
          <w:r w:rsidR="007A225E" w:rsidRPr="00004E03">
            <w:rPr>
              <w:rFonts w:asciiTheme="majorBidi" w:hAnsiTheme="majorBidi" w:cstheme="majorBidi"/>
              <w:sz w:val="24"/>
              <w:szCs w:val="24"/>
            </w:rPr>
            <w:fldChar w:fldCharType="begin"/>
          </w:r>
          <w:r w:rsidR="007A225E" w:rsidRPr="00004E03">
            <w:rPr>
              <w:rFonts w:asciiTheme="majorBidi" w:hAnsiTheme="majorBidi" w:cstheme="majorBidi"/>
              <w:sz w:val="24"/>
              <w:szCs w:val="24"/>
            </w:rPr>
            <w:instrText xml:space="preserve"> CITATION Lew19 \l 2057 </w:instrText>
          </w:r>
          <w:r w:rsidR="007A225E" w:rsidRPr="00004E03">
            <w:rPr>
              <w:rFonts w:asciiTheme="majorBidi" w:hAnsiTheme="majorBidi" w:cstheme="majorBidi"/>
              <w:sz w:val="24"/>
              <w:szCs w:val="24"/>
            </w:rPr>
            <w:fldChar w:fldCharType="separate"/>
          </w:r>
          <w:r w:rsidR="007A225E" w:rsidRPr="00004E03">
            <w:rPr>
              <w:rFonts w:asciiTheme="majorBidi" w:hAnsiTheme="majorBidi" w:cstheme="majorBidi"/>
              <w:sz w:val="24"/>
              <w:szCs w:val="24"/>
            </w:rPr>
            <w:t xml:space="preserve"> (Lewis J. R., 2019)</w:t>
          </w:r>
          <w:r w:rsidR="007A225E" w:rsidRPr="00004E03">
            <w:rPr>
              <w:rFonts w:asciiTheme="majorBidi" w:hAnsiTheme="majorBidi" w:cstheme="majorBidi"/>
              <w:sz w:val="24"/>
              <w:szCs w:val="24"/>
            </w:rPr>
            <w:fldChar w:fldCharType="end"/>
          </w:r>
        </w:sdtContent>
      </w:sdt>
      <w:r w:rsidR="007A225E" w:rsidRPr="00004E03">
        <w:rPr>
          <w:rFonts w:asciiTheme="majorBidi" w:hAnsiTheme="majorBidi" w:cstheme="majorBidi"/>
          <w:sz w:val="24"/>
          <w:szCs w:val="24"/>
        </w:rPr>
        <w:t>,</w:t>
      </w:r>
      <w:r w:rsidR="007A225E">
        <w:rPr>
          <w:rFonts w:asciiTheme="majorBidi" w:hAnsiTheme="majorBidi" w:cstheme="majorBidi"/>
          <w:sz w:val="24"/>
          <w:szCs w:val="24"/>
        </w:rPr>
        <w:t xml:space="preserve"> some researchers conducted studies reviewing papers made on the left-side bias found that the left-side bias can be insignificant </w:t>
      </w:r>
      <w:sdt>
        <w:sdtPr>
          <w:rPr>
            <w:rFonts w:asciiTheme="majorBidi" w:hAnsiTheme="majorBidi" w:cstheme="majorBidi"/>
            <w:sz w:val="24"/>
            <w:szCs w:val="24"/>
          </w:rPr>
          <w:id w:val="1010568502"/>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Lew21 \l 2057 </w:instrText>
          </w:r>
          <w:r w:rsidR="007A225E">
            <w:rPr>
              <w:rFonts w:asciiTheme="majorBidi" w:hAnsiTheme="majorBidi" w:cstheme="majorBidi"/>
              <w:sz w:val="24"/>
              <w:szCs w:val="24"/>
            </w:rPr>
            <w:fldChar w:fldCharType="separate"/>
          </w:r>
          <w:r w:rsidR="007A225E" w:rsidRPr="0074573E">
            <w:rPr>
              <w:rFonts w:asciiTheme="majorBidi" w:hAnsiTheme="majorBidi" w:cstheme="majorBidi"/>
              <w:sz w:val="24"/>
              <w:szCs w:val="24"/>
            </w:rPr>
            <w:t>(Lewis &amp; Sauro, 2021)</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and other researchers found consistent </w:t>
      </w:r>
      <w:r w:rsidR="007A225E" w:rsidRPr="000C4448">
        <w:rPr>
          <w:rFonts w:asciiTheme="majorBidi" w:hAnsiTheme="majorBidi" w:cstheme="majorBidi"/>
          <w:sz w:val="24"/>
          <w:szCs w:val="24"/>
        </w:rPr>
        <w:t xml:space="preserve">right-side bias </w:t>
      </w:r>
      <w:sdt>
        <w:sdtPr>
          <w:rPr>
            <w:rFonts w:asciiTheme="majorBidi" w:hAnsiTheme="majorBidi" w:cstheme="majorBidi"/>
            <w:sz w:val="24"/>
            <w:szCs w:val="24"/>
          </w:rPr>
          <w:id w:val="371427698"/>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Wen00 \l 2057 </w:instrText>
          </w:r>
          <w:r w:rsidR="007A225E">
            <w:rPr>
              <w:rFonts w:asciiTheme="majorBidi" w:hAnsiTheme="majorBidi" w:cstheme="majorBidi"/>
              <w:sz w:val="24"/>
              <w:szCs w:val="24"/>
            </w:rPr>
            <w:fldChar w:fldCharType="separate"/>
          </w:r>
          <w:r w:rsidR="007A225E" w:rsidRPr="0074573E">
            <w:rPr>
              <w:rFonts w:asciiTheme="majorBidi" w:hAnsiTheme="majorBidi" w:cstheme="majorBidi"/>
              <w:sz w:val="24"/>
              <w:szCs w:val="24"/>
            </w:rPr>
            <w:t>(Weng &amp; Cheng, 2000)</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Additionally, this study is comparative in nature in which responses from the groups who received the CSR stimuli were compared to the responses from the groups who received the non-CSR stimuli. Thus, whichever bias that exists in the administered surveys to one of the groups will also occur in all the other surveys presented to the rest of the groups </w:t>
      </w:r>
      <w:sdt>
        <w:sdtPr>
          <w:rPr>
            <w:rFonts w:asciiTheme="majorBidi" w:hAnsiTheme="majorBidi" w:cstheme="majorBidi"/>
            <w:sz w:val="24"/>
            <w:szCs w:val="24"/>
          </w:rPr>
          <w:id w:val="1051966828"/>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Sau10 \l 2057 </w:instrText>
          </w:r>
          <w:r w:rsidR="007A225E">
            <w:rPr>
              <w:rFonts w:asciiTheme="majorBidi" w:hAnsiTheme="majorBidi" w:cstheme="majorBidi"/>
              <w:sz w:val="24"/>
              <w:szCs w:val="24"/>
            </w:rPr>
            <w:fldChar w:fldCharType="separate"/>
          </w:r>
          <w:r w:rsidR="007A225E" w:rsidRPr="0074573E">
            <w:rPr>
              <w:rFonts w:asciiTheme="majorBidi" w:hAnsiTheme="majorBidi" w:cstheme="majorBidi"/>
              <w:sz w:val="24"/>
              <w:szCs w:val="24"/>
            </w:rPr>
            <w:t>(Sauro, 2010)</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w:t>
      </w:r>
    </w:p>
    <w:p w14:paraId="7DF35FD7" w14:textId="77777777" w:rsidR="00004E03" w:rsidRDefault="00004E03">
      <w:r>
        <w:br w:type="page"/>
      </w:r>
    </w:p>
    <w:tbl>
      <w:tblPr>
        <w:tblStyle w:val="TableGrid"/>
        <w:tblW w:w="8647" w:type="dxa"/>
        <w:tblInd w:w="137" w:type="dxa"/>
        <w:tblLook w:val="04A0" w:firstRow="1" w:lastRow="0" w:firstColumn="1" w:lastColumn="0" w:noHBand="0" w:noVBand="1"/>
      </w:tblPr>
      <w:tblGrid>
        <w:gridCol w:w="1418"/>
        <w:gridCol w:w="5937"/>
        <w:gridCol w:w="1292"/>
      </w:tblGrid>
      <w:tr w:rsidR="00C47A71" w:rsidRPr="004758DC" w14:paraId="44D03DE5" w14:textId="77777777" w:rsidTr="00004E03">
        <w:trPr>
          <w:trHeight w:val="239"/>
        </w:trPr>
        <w:tc>
          <w:tcPr>
            <w:tcW w:w="1418" w:type="dxa"/>
          </w:tcPr>
          <w:p w14:paraId="0407F938" w14:textId="479A1A65"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Construct </w:t>
            </w:r>
          </w:p>
        </w:tc>
        <w:tc>
          <w:tcPr>
            <w:tcW w:w="5937" w:type="dxa"/>
          </w:tcPr>
          <w:p w14:paraId="40F08481"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Items </w:t>
            </w:r>
          </w:p>
        </w:tc>
        <w:tc>
          <w:tcPr>
            <w:tcW w:w="1292" w:type="dxa"/>
          </w:tcPr>
          <w:p w14:paraId="66181450"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Source </w:t>
            </w:r>
          </w:p>
        </w:tc>
      </w:tr>
      <w:tr w:rsidR="00C47A71" w:rsidRPr="004758DC" w14:paraId="1064CB4A" w14:textId="77777777" w:rsidTr="00004E03">
        <w:trPr>
          <w:trHeight w:val="816"/>
        </w:trPr>
        <w:tc>
          <w:tcPr>
            <w:tcW w:w="1418" w:type="dxa"/>
          </w:tcPr>
          <w:p w14:paraId="03E34533"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Ad Likeability  </w:t>
            </w:r>
            <w:r w:rsidRPr="004758DC">
              <w:rPr>
                <w:rFonts w:asciiTheme="majorBidi" w:hAnsiTheme="majorBidi" w:cstheme="majorBidi"/>
                <w:sz w:val="20"/>
                <w:szCs w:val="20"/>
              </w:rPr>
              <w:br/>
              <w:t>(5 items)</w:t>
            </w:r>
          </w:p>
        </w:tc>
        <w:tc>
          <w:tcPr>
            <w:tcW w:w="5937" w:type="dxa"/>
          </w:tcPr>
          <w:p w14:paraId="40E2622F"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I dislike the ad</w:t>
            </w:r>
          </w:p>
          <w:p w14:paraId="47DD88CE"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The ad is appealing to me</w:t>
            </w:r>
          </w:p>
          <w:p w14:paraId="18D6179D"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The ad is attractive to me </w:t>
            </w:r>
          </w:p>
          <w:p w14:paraId="68548E2A"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The ad is interesting to me</w:t>
            </w:r>
          </w:p>
          <w:p w14:paraId="0EDEE0F0"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I think the ad is bad</w:t>
            </w:r>
          </w:p>
        </w:tc>
        <w:tc>
          <w:tcPr>
            <w:tcW w:w="1292" w:type="dxa"/>
          </w:tcPr>
          <w:p w14:paraId="17681E72" w14:textId="77777777" w:rsidR="00C47A71" w:rsidRPr="004758DC" w:rsidRDefault="00000000" w:rsidP="00D75BCF">
            <w:pPr>
              <w:rPr>
                <w:rFonts w:asciiTheme="majorBidi" w:hAnsiTheme="majorBidi" w:cstheme="majorBidi"/>
                <w:sz w:val="20"/>
                <w:szCs w:val="20"/>
              </w:rPr>
            </w:pPr>
            <w:sdt>
              <w:sdtPr>
                <w:rPr>
                  <w:rFonts w:asciiTheme="majorBidi" w:hAnsiTheme="majorBidi" w:cstheme="majorBidi"/>
                  <w:sz w:val="20"/>
                  <w:szCs w:val="20"/>
                </w:rPr>
                <w:id w:val="-1756201760"/>
                <w:citation/>
              </w:sdtPr>
              <w:sdtContent>
                <w:r w:rsidR="00C47A71" w:rsidRPr="004758DC">
                  <w:rPr>
                    <w:rFonts w:asciiTheme="majorBidi" w:hAnsiTheme="majorBidi" w:cstheme="majorBidi"/>
                    <w:sz w:val="20"/>
                    <w:szCs w:val="20"/>
                  </w:rPr>
                  <w:fldChar w:fldCharType="begin"/>
                </w:r>
                <w:r w:rsidR="00C47A71" w:rsidRPr="004758DC">
                  <w:rPr>
                    <w:rFonts w:asciiTheme="majorBidi" w:hAnsiTheme="majorBidi" w:cstheme="majorBidi"/>
                    <w:sz w:val="20"/>
                    <w:szCs w:val="20"/>
                  </w:rPr>
                  <w:instrText xml:space="preserve"> CITATION Lee131 \l 2057 </w:instrText>
                </w:r>
                <w:r w:rsidR="00C47A71" w:rsidRPr="004758DC">
                  <w:rPr>
                    <w:rFonts w:asciiTheme="majorBidi" w:hAnsiTheme="majorBidi" w:cstheme="majorBidi"/>
                    <w:sz w:val="20"/>
                    <w:szCs w:val="20"/>
                  </w:rPr>
                  <w:fldChar w:fldCharType="separate"/>
                </w:r>
                <w:r w:rsidR="00C47A71" w:rsidRPr="004758DC">
                  <w:rPr>
                    <w:rFonts w:asciiTheme="majorBidi" w:hAnsiTheme="majorBidi" w:cstheme="majorBidi"/>
                    <w:noProof/>
                    <w:sz w:val="20"/>
                    <w:szCs w:val="20"/>
                  </w:rPr>
                  <w:t>(Lee Y. H., 2013)</w:t>
                </w:r>
                <w:r w:rsidR="00C47A71" w:rsidRPr="004758DC">
                  <w:rPr>
                    <w:rFonts w:asciiTheme="majorBidi" w:hAnsiTheme="majorBidi" w:cstheme="majorBidi"/>
                    <w:sz w:val="20"/>
                    <w:szCs w:val="20"/>
                  </w:rPr>
                  <w:fldChar w:fldCharType="end"/>
                </w:r>
              </w:sdtContent>
            </w:sdt>
          </w:p>
        </w:tc>
      </w:tr>
      <w:tr w:rsidR="00C47A71" w:rsidRPr="004758DC" w14:paraId="045637AF" w14:textId="77777777" w:rsidTr="00004E03">
        <w:trPr>
          <w:trHeight w:val="198"/>
        </w:trPr>
        <w:tc>
          <w:tcPr>
            <w:tcW w:w="1418" w:type="dxa"/>
          </w:tcPr>
          <w:p w14:paraId="05D7A17D"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CSR Perception </w:t>
            </w:r>
          </w:p>
          <w:p w14:paraId="3C5AF674"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(6 items) </w:t>
            </w:r>
            <w:r w:rsidRPr="004758DC">
              <w:rPr>
                <w:rFonts w:asciiTheme="majorBidi" w:hAnsiTheme="majorBidi" w:cstheme="majorBidi"/>
                <w:sz w:val="20"/>
                <w:szCs w:val="20"/>
              </w:rPr>
              <w:br/>
            </w:r>
          </w:p>
        </w:tc>
        <w:tc>
          <w:tcPr>
            <w:tcW w:w="5937" w:type="dxa"/>
          </w:tcPr>
          <w:p w14:paraId="08AD82E8" w14:textId="457B3E34" w:rsidR="00C47A71" w:rsidRPr="004758DC" w:rsidRDefault="007D4C56" w:rsidP="00D75BCF">
            <w:pPr>
              <w:rPr>
                <w:rFonts w:asciiTheme="majorBidi" w:hAnsiTheme="majorBidi" w:cstheme="majorBidi"/>
                <w:sz w:val="20"/>
                <w:szCs w:val="20"/>
              </w:rPr>
            </w:pPr>
            <w:r w:rsidRPr="004758DC">
              <w:rPr>
                <w:rFonts w:asciiTheme="majorBidi" w:hAnsiTheme="majorBidi" w:cstheme="majorBidi"/>
                <w:sz w:val="20"/>
                <w:szCs w:val="20"/>
              </w:rPr>
              <w:t>My</w:t>
            </w:r>
            <w:r w:rsidR="00C47A71" w:rsidRPr="004758DC">
              <w:rPr>
                <w:rFonts w:asciiTheme="majorBidi" w:hAnsiTheme="majorBidi" w:cstheme="majorBidi"/>
                <w:sz w:val="20"/>
                <w:szCs w:val="20"/>
              </w:rPr>
              <w:t xml:space="preserve"> </w:t>
            </w:r>
            <w:r w:rsidRPr="004758DC">
              <w:rPr>
                <w:rFonts w:asciiTheme="majorBidi" w:hAnsiTheme="majorBidi" w:cstheme="majorBidi"/>
                <w:sz w:val="20"/>
                <w:szCs w:val="20"/>
              </w:rPr>
              <w:t>ideal</w:t>
            </w:r>
            <w:r w:rsidR="00C47A71" w:rsidRPr="004758DC">
              <w:rPr>
                <w:rFonts w:asciiTheme="majorBidi" w:hAnsiTheme="majorBidi" w:cstheme="majorBidi"/>
                <w:sz w:val="20"/>
                <w:szCs w:val="20"/>
              </w:rPr>
              <w:t xml:space="preserve"> </w:t>
            </w:r>
            <w:r w:rsidRPr="004758DC">
              <w:rPr>
                <w:rFonts w:asciiTheme="majorBidi" w:hAnsiTheme="majorBidi" w:cstheme="majorBidi"/>
                <w:sz w:val="20"/>
                <w:szCs w:val="20"/>
              </w:rPr>
              <w:t>brand</w:t>
            </w:r>
            <w:r w:rsidR="00C47A71" w:rsidRPr="004758DC">
              <w:rPr>
                <w:rFonts w:asciiTheme="majorBidi" w:hAnsiTheme="majorBidi" w:cstheme="majorBidi"/>
                <w:sz w:val="20"/>
                <w:szCs w:val="20"/>
              </w:rPr>
              <w:t xml:space="preserve"> helps solve social problems</w:t>
            </w:r>
          </w:p>
          <w:p w14:paraId="0383ABB1" w14:textId="29CB9C5D" w:rsidR="00C47A71" w:rsidRPr="004758DC" w:rsidRDefault="007D4C56" w:rsidP="00D75BCF">
            <w:pPr>
              <w:rPr>
                <w:rFonts w:asciiTheme="majorBidi" w:hAnsiTheme="majorBidi" w:cstheme="majorBidi"/>
                <w:sz w:val="20"/>
                <w:szCs w:val="20"/>
              </w:rPr>
            </w:pPr>
            <w:r w:rsidRPr="004758DC">
              <w:rPr>
                <w:rFonts w:asciiTheme="majorBidi" w:hAnsiTheme="majorBidi" w:cstheme="majorBidi"/>
                <w:sz w:val="20"/>
                <w:szCs w:val="20"/>
              </w:rPr>
              <w:t>My</w:t>
            </w:r>
            <w:r w:rsidR="00C47A71" w:rsidRPr="004758DC">
              <w:rPr>
                <w:rFonts w:asciiTheme="majorBidi" w:hAnsiTheme="majorBidi" w:cstheme="majorBidi"/>
                <w:sz w:val="20"/>
                <w:szCs w:val="20"/>
              </w:rPr>
              <w:t xml:space="preserve"> </w:t>
            </w:r>
            <w:r w:rsidRPr="004758DC">
              <w:rPr>
                <w:rFonts w:asciiTheme="majorBidi" w:hAnsiTheme="majorBidi" w:cstheme="majorBidi"/>
                <w:sz w:val="20"/>
                <w:szCs w:val="20"/>
              </w:rPr>
              <w:t>ideal</w:t>
            </w:r>
            <w:r w:rsidR="00C47A71" w:rsidRPr="004758DC">
              <w:rPr>
                <w:rFonts w:asciiTheme="majorBidi" w:hAnsiTheme="majorBidi" w:cstheme="majorBidi"/>
                <w:sz w:val="20"/>
                <w:szCs w:val="20"/>
              </w:rPr>
              <w:t xml:space="preserve"> </w:t>
            </w:r>
            <w:r w:rsidRPr="004758DC">
              <w:rPr>
                <w:rFonts w:asciiTheme="majorBidi" w:hAnsiTheme="majorBidi" w:cstheme="majorBidi"/>
                <w:sz w:val="20"/>
                <w:szCs w:val="20"/>
              </w:rPr>
              <w:t>brand</w:t>
            </w:r>
            <w:r w:rsidR="00C47A71" w:rsidRPr="004758DC">
              <w:rPr>
                <w:rFonts w:asciiTheme="majorBidi" w:hAnsiTheme="majorBidi" w:cstheme="majorBidi"/>
                <w:sz w:val="20"/>
                <w:szCs w:val="20"/>
              </w:rPr>
              <w:t xml:space="preserve"> has a strong sense of corporate social responsibility </w:t>
            </w:r>
          </w:p>
          <w:p w14:paraId="6D5E5B9F" w14:textId="52BBB886" w:rsidR="00C47A71" w:rsidRPr="004758DC" w:rsidRDefault="007D4C56" w:rsidP="00D75BCF">
            <w:pPr>
              <w:rPr>
                <w:rFonts w:asciiTheme="majorBidi" w:hAnsiTheme="majorBidi" w:cstheme="majorBidi"/>
                <w:sz w:val="20"/>
                <w:szCs w:val="20"/>
              </w:rPr>
            </w:pPr>
            <w:r w:rsidRPr="004758DC">
              <w:rPr>
                <w:rFonts w:asciiTheme="majorBidi" w:hAnsiTheme="majorBidi" w:cstheme="majorBidi"/>
                <w:sz w:val="20"/>
                <w:szCs w:val="20"/>
              </w:rPr>
              <w:t>My ideal brand</w:t>
            </w:r>
            <w:r w:rsidR="00C47A71" w:rsidRPr="004758DC">
              <w:rPr>
                <w:rFonts w:asciiTheme="majorBidi" w:hAnsiTheme="majorBidi" w:cstheme="majorBidi"/>
                <w:sz w:val="20"/>
                <w:szCs w:val="20"/>
              </w:rPr>
              <w:t xml:space="preserve"> gives adequate contributions to local communities </w:t>
            </w:r>
          </w:p>
          <w:p w14:paraId="57EDD70D" w14:textId="6C85508B" w:rsidR="00C47A71" w:rsidRPr="004758DC" w:rsidRDefault="007D4C56" w:rsidP="00D75BCF">
            <w:pPr>
              <w:rPr>
                <w:rFonts w:asciiTheme="majorBidi" w:hAnsiTheme="majorBidi" w:cstheme="majorBidi"/>
                <w:sz w:val="20"/>
                <w:szCs w:val="20"/>
              </w:rPr>
            </w:pPr>
            <w:r w:rsidRPr="004758DC">
              <w:rPr>
                <w:rFonts w:asciiTheme="majorBidi" w:hAnsiTheme="majorBidi" w:cstheme="majorBidi"/>
                <w:sz w:val="20"/>
                <w:szCs w:val="20"/>
              </w:rPr>
              <w:t>My ideal brand</w:t>
            </w:r>
            <w:r w:rsidR="00C47A71" w:rsidRPr="004758DC">
              <w:rPr>
                <w:rFonts w:asciiTheme="majorBidi" w:hAnsiTheme="majorBidi" w:cstheme="majorBidi"/>
                <w:sz w:val="20"/>
                <w:szCs w:val="20"/>
              </w:rPr>
              <w:t xml:space="preserve"> allocates some of its resources to philanthropic activities </w:t>
            </w:r>
          </w:p>
          <w:p w14:paraId="5A5FE3F7" w14:textId="32D0A4A7" w:rsidR="00C47A71" w:rsidRPr="004758DC" w:rsidRDefault="007D4C56" w:rsidP="00D75BCF">
            <w:pPr>
              <w:rPr>
                <w:rFonts w:asciiTheme="majorBidi" w:hAnsiTheme="majorBidi" w:cstheme="majorBidi"/>
                <w:sz w:val="20"/>
                <w:szCs w:val="20"/>
              </w:rPr>
            </w:pPr>
            <w:r w:rsidRPr="004758DC">
              <w:rPr>
                <w:rFonts w:asciiTheme="majorBidi" w:hAnsiTheme="majorBidi" w:cstheme="majorBidi"/>
                <w:sz w:val="20"/>
                <w:szCs w:val="20"/>
              </w:rPr>
              <w:t>My ideal brand</w:t>
            </w:r>
            <w:r w:rsidR="00C47A71" w:rsidRPr="004758DC">
              <w:rPr>
                <w:rFonts w:asciiTheme="majorBidi" w:hAnsiTheme="majorBidi" w:cstheme="majorBidi"/>
                <w:sz w:val="20"/>
                <w:szCs w:val="20"/>
              </w:rPr>
              <w:t xml:space="preserve"> plays a role in society that goes beyond the mere generation of profits </w:t>
            </w:r>
          </w:p>
          <w:p w14:paraId="2BB95732" w14:textId="2D8C20ED" w:rsidR="00C47A71" w:rsidRPr="004758DC" w:rsidRDefault="007D4C56" w:rsidP="00D75BCF">
            <w:pPr>
              <w:adjustRightInd w:val="0"/>
              <w:rPr>
                <w:rFonts w:asciiTheme="majorBidi" w:hAnsiTheme="majorBidi" w:cstheme="majorBidi"/>
                <w:sz w:val="20"/>
                <w:szCs w:val="20"/>
              </w:rPr>
            </w:pPr>
            <w:r w:rsidRPr="004758DC">
              <w:rPr>
                <w:rFonts w:asciiTheme="majorBidi" w:hAnsiTheme="majorBidi" w:cstheme="majorBidi"/>
                <w:sz w:val="20"/>
                <w:szCs w:val="20"/>
              </w:rPr>
              <w:t>My ideal brand</w:t>
            </w:r>
            <w:r w:rsidR="00C47A71" w:rsidRPr="004758DC">
              <w:rPr>
                <w:rFonts w:asciiTheme="majorBidi" w:hAnsiTheme="majorBidi" w:cstheme="majorBidi"/>
                <w:sz w:val="20"/>
                <w:szCs w:val="20"/>
              </w:rPr>
              <w:t xml:space="preserve"> encourages its employees to participate in voluntarily activities</w:t>
            </w:r>
          </w:p>
        </w:tc>
        <w:bookmarkStart w:id="143" w:name="_Hlk145180074"/>
        <w:tc>
          <w:tcPr>
            <w:tcW w:w="1292" w:type="dxa"/>
          </w:tcPr>
          <w:p w14:paraId="0052D230" w14:textId="77777777" w:rsidR="00C47A71" w:rsidRPr="004758DC" w:rsidRDefault="00000000" w:rsidP="00D75BCF">
            <w:pPr>
              <w:rPr>
                <w:rFonts w:asciiTheme="majorBidi" w:hAnsiTheme="majorBidi" w:cstheme="majorBidi"/>
                <w:sz w:val="20"/>
                <w:szCs w:val="20"/>
              </w:rPr>
            </w:pPr>
            <w:sdt>
              <w:sdtPr>
                <w:rPr>
                  <w:rFonts w:asciiTheme="majorBidi" w:hAnsiTheme="majorBidi" w:cstheme="majorBidi"/>
                  <w:sz w:val="20"/>
                  <w:szCs w:val="20"/>
                </w:rPr>
                <w:id w:val="-2112416513"/>
                <w:citation/>
              </w:sdtPr>
              <w:sdtContent>
                <w:r w:rsidR="00C47A71" w:rsidRPr="004758DC">
                  <w:rPr>
                    <w:rFonts w:asciiTheme="majorBidi" w:hAnsiTheme="majorBidi" w:cstheme="majorBidi"/>
                    <w:sz w:val="20"/>
                    <w:szCs w:val="20"/>
                  </w:rPr>
                  <w:fldChar w:fldCharType="begin"/>
                </w:r>
                <w:r w:rsidR="00C47A71" w:rsidRPr="004758DC">
                  <w:rPr>
                    <w:rFonts w:asciiTheme="majorBidi" w:hAnsiTheme="majorBidi" w:cstheme="majorBidi"/>
                    <w:sz w:val="20"/>
                    <w:szCs w:val="20"/>
                  </w:rPr>
                  <w:instrText xml:space="preserve"> CITATION LeeP13 \l 2057 </w:instrText>
                </w:r>
                <w:r w:rsidR="00C47A71" w:rsidRPr="004758DC">
                  <w:rPr>
                    <w:rFonts w:asciiTheme="majorBidi" w:hAnsiTheme="majorBidi" w:cstheme="majorBidi"/>
                    <w:sz w:val="20"/>
                    <w:szCs w:val="20"/>
                  </w:rPr>
                  <w:fldChar w:fldCharType="separate"/>
                </w:r>
                <w:r w:rsidR="00C47A71" w:rsidRPr="004758DC">
                  <w:rPr>
                    <w:rFonts w:asciiTheme="majorBidi" w:hAnsiTheme="majorBidi" w:cstheme="majorBidi"/>
                    <w:noProof/>
                    <w:sz w:val="20"/>
                    <w:szCs w:val="20"/>
                  </w:rPr>
                  <w:t>(Lee, Park, &amp; Lee, 2013)</w:t>
                </w:r>
                <w:r w:rsidR="00C47A71" w:rsidRPr="004758DC">
                  <w:rPr>
                    <w:rFonts w:asciiTheme="majorBidi" w:hAnsiTheme="majorBidi" w:cstheme="majorBidi"/>
                    <w:sz w:val="20"/>
                    <w:szCs w:val="20"/>
                  </w:rPr>
                  <w:fldChar w:fldCharType="end"/>
                </w:r>
              </w:sdtContent>
            </w:sdt>
            <w:bookmarkEnd w:id="143"/>
          </w:p>
        </w:tc>
      </w:tr>
      <w:tr w:rsidR="00C47A71" w:rsidRPr="004758DC" w14:paraId="6E84DFCD" w14:textId="77777777" w:rsidTr="00004E03">
        <w:trPr>
          <w:trHeight w:val="198"/>
        </w:trPr>
        <w:tc>
          <w:tcPr>
            <w:tcW w:w="1418" w:type="dxa"/>
          </w:tcPr>
          <w:p w14:paraId="7AA2E98C"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Perceived Brand Functionality </w:t>
            </w:r>
            <w:r w:rsidRPr="004758DC">
              <w:rPr>
                <w:rFonts w:asciiTheme="majorBidi" w:hAnsiTheme="majorBidi" w:cstheme="majorBidi"/>
                <w:sz w:val="20"/>
                <w:szCs w:val="20"/>
              </w:rPr>
              <w:br/>
              <w:t>(5 items)</w:t>
            </w:r>
          </w:p>
        </w:tc>
        <w:tc>
          <w:tcPr>
            <w:tcW w:w="5937" w:type="dxa"/>
          </w:tcPr>
          <w:p w14:paraId="56E6982E"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Dettol is very Reliable </w:t>
            </w:r>
            <w:r w:rsidRPr="004758DC">
              <w:rPr>
                <w:rFonts w:asciiTheme="majorBidi" w:hAnsiTheme="majorBidi" w:cstheme="majorBidi"/>
                <w:sz w:val="20"/>
                <w:szCs w:val="20"/>
              </w:rPr>
              <w:br/>
              <w:t xml:space="preserve">Dettol performs better than others </w:t>
            </w:r>
            <w:r w:rsidRPr="004758DC">
              <w:rPr>
                <w:rFonts w:asciiTheme="majorBidi" w:hAnsiTheme="majorBidi" w:cstheme="majorBidi"/>
                <w:sz w:val="20"/>
                <w:szCs w:val="20"/>
              </w:rPr>
              <w:br/>
              <w:t>Dettol makes better products than its competitors</w:t>
            </w:r>
          </w:p>
          <w:p w14:paraId="6768FB32"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Dettol’s products are more functional than others</w:t>
            </w:r>
            <w:r w:rsidRPr="004758DC">
              <w:rPr>
                <w:rFonts w:asciiTheme="majorBidi" w:hAnsiTheme="majorBidi" w:cstheme="majorBidi"/>
                <w:sz w:val="20"/>
                <w:szCs w:val="20"/>
              </w:rPr>
              <w:br/>
              <w:t>Dettol’s products are well made</w:t>
            </w:r>
          </w:p>
        </w:tc>
        <w:tc>
          <w:tcPr>
            <w:tcW w:w="1292" w:type="dxa"/>
          </w:tcPr>
          <w:p w14:paraId="417988E0" w14:textId="77777777" w:rsidR="00C47A71" w:rsidRPr="004758DC" w:rsidRDefault="00000000" w:rsidP="00D75BCF">
            <w:pPr>
              <w:rPr>
                <w:rFonts w:asciiTheme="majorBidi" w:hAnsiTheme="majorBidi" w:cstheme="majorBidi"/>
                <w:sz w:val="20"/>
                <w:szCs w:val="20"/>
              </w:rPr>
            </w:pPr>
            <w:sdt>
              <w:sdtPr>
                <w:rPr>
                  <w:rFonts w:asciiTheme="majorBidi" w:hAnsiTheme="majorBidi" w:cstheme="majorBidi"/>
                  <w:sz w:val="20"/>
                  <w:szCs w:val="20"/>
                </w:rPr>
                <w:id w:val="110480827"/>
                <w:citation/>
              </w:sdtPr>
              <w:sdtContent>
                <w:r w:rsidR="00C47A71" w:rsidRPr="004758DC">
                  <w:rPr>
                    <w:rFonts w:asciiTheme="majorBidi" w:hAnsiTheme="majorBidi" w:cstheme="majorBidi"/>
                    <w:sz w:val="20"/>
                    <w:szCs w:val="20"/>
                  </w:rPr>
                  <w:fldChar w:fldCharType="begin"/>
                </w:r>
                <w:r w:rsidR="00C47A71" w:rsidRPr="004758DC">
                  <w:rPr>
                    <w:rFonts w:asciiTheme="majorBidi" w:hAnsiTheme="majorBidi" w:cstheme="majorBidi"/>
                    <w:sz w:val="20"/>
                    <w:szCs w:val="20"/>
                  </w:rPr>
                  <w:instrText xml:space="preserve"> CITATION Har041 \l 2057 </w:instrText>
                </w:r>
                <w:r w:rsidR="00C47A71" w:rsidRPr="004758DC">
                  <w:rPr>
                    <w:rFonts w:asciiTheme="majorBidi" w:hAnsiTheme="majorBidi" w:cstheme="majorBidi"/>
                    <w:sz w:val="20"/>
                    <w:szCs w:val="20"/>
                  </w:rPr>
                  <w:fldChar w:fldCharType="separate"/>
                </w:r>
                <w:r w:rsidR="00C47A71" w:rsidRPr="004758DC">
                  <w:rPr>
                    <w:rFonts w:asciiTheme="majorBidi" w:hAnsiTheme="majorBidi" w:cstheme="majorBidi"/>
                    <w:noProof/>
                    <w:sz w:val="20"/>
                    <w:szCs w:val="20"/>
                  </w:rPr>
                  <w:t>(Harris &amp; Goode, 2004)</w:t>
                </w:r>
                <w:r w:rsidR="00C47A71" w:rsidRPr="004758DC">
                  <w:rPr>
                    <w:rFonts w:asciiTheme="majorBidi" w:hAnsiTheme="majorBidi" w:cstheme="majorBidi"/>
                    <w:sz w:val="20"/>
                    <w:szCs w:val="20"/>
                  </w:rPr>
                  <w:fldChar w:fldCharType="end"/>
                </w:r>
              </w:sdtContent>
            </w:sdt>
          </w:p>
        </w:tc>
      </w:tr>
      <w:tr w:rsidR="00C47A71" w:rsidRPr="004758DC" w14:paraId="2C3CE93F" w14:textId="77777777" w:rsidTr="00004E03">
        <w:trPr>
          <w:trHeight w:val="198"/>
        </w:trPr>
        <w:tc>
          <w:tcPr>
            <w:tcW w:w="1418" w:type="dxa"/>
          </w:tcPr>
          <w:p w14:paraId="7A8AA0EC"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Brand Likeability </w:t>
            </w:r>
            <w:r w:rsidRPr="004758DC">
              <w:rPr>
                <w:rFonts w:asciiTheme="majorBidi" w:hAnsiTheme="majorBidi" w:cstheme="majorBidi"/>
                <w:sz w:val="20"/>
                <w:szCs w:val="20"/>
              </w:rPr>
              <w:br/>
              <w:t>(17 items)</w:t>
            </w:r>
          </w:p>
        </w:tc>
        <w:tc>
          <w:tcPr>
            <w:tcW w:w="5937" w:type="dxa"/>
          </w:tcPr>
          <w:p w14:paraId="334C7BD7"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I strongly believe that Dettol can keep its promise to me.</w:t>
            </w:r>
            <w:r w:rsidRPr="004758DC">
              <w:rPr>
                <w:rFonts w:asciiTheme="majorBidi" w:hAnsiTheme="majorBidi" w:cstheme="majorBidi"/>
                <w:sz w:val="20"/>
                <w:szCs w:val="20"/>
              </w:rPr>
              <w:br/>
              <w:t>Dettol is associated with a positive motive.</w:t>
            </w:r>
            <w:r w:rsidRPr="004758DC">
              <w:rPr>
                <w:rFonts w:asciiTheme="majorBidi" w:hAnsiTheme="majorBidi" w:cstheme="majorBidi"/>
                <w:sz w:val="20"/>
                <w:szCs w:val="20"/>
              </w:rPr>
              <w:br/>
              <w:t>I feel that I am favoured and given priority by Dettol.</w:t>
            </w:r>
            <w:r w:rsidRPr="004758DC">
              <w:rPr>
                <w:rFonts w:asciiTheme="majorBidi" w:hAnsiTheme="majorBidi" w:cstheme="majorBidi"/>
                <w:sz w:val="20"/>
                <w:szCs w:val="20"/>
              </w:rPr>
              <w:br/>
              <w:t>I believe that Dettol continues to get better and better.</w:t>
            </w:r>
            <w:r w:rsidRPr="004758DC">
              <w:rPr>
                <w:rFonts w:asciiTheme="majorBidi" w:hAnsiTheme="majorBidi" w:cstheme="majorBidi"/>
                <w:sz w:val="20"/>
                <w:szCs w:val="20"/>
              </w:rPr>
              <w:br/>
              <w:t>I stay with Dettol because I am dependent on it.</w:t>
            </w:r>
            <w:r w:rsidRPr="004758DC">
              <w:rPr>
                <w:rFonts w:asciiTheme="majorBidi" w:hAnsiTheme="majorBidi" w:cstheme="majorBidi"/>
                <w:sz w:val="20"/>
                <w:szCs w:val="20"/>
              </w:rPr>
              <w:br/>
              <w:t>I feel attached to Dettol</w:t>
            </w:r>
            <w:r w:rsidRPr="004758DC">
              <w:rPr>
                <w:rFonts w:asciiTheme="majorBidi" w:hAnsiTheme="majorBidi" w:cstheme="majorBidi"/>
                <w:sz w:val="20"/>
                <w:szCs w:val="20"/>
              </w:rPr>
              <w:br/>
              <w:t>Dettol openly shares information with me.</w:t>
            </w:r>
            <w:r w:rsidRPr="004758DC">
              <w:rPr>
                <w:rFonts w:asciiTheme="majorBidi" w:hAnsiTheme="majorBidi" w:cstheme="majorBidi"/>
                <w:sz w:val="20"/>
                <w:szCs w:val="20"/>
              </w:rPr>
              <w:br/>
              <w:t>I have continuous interaction with Dettol.</w:t>
            </w:r>
            <w:r w:rsidRPr="004758DC">
              <w:rPr>
                <w:rFonts w:asciiTheme="majorBidi" w:hAnsiTheme="majorBidi" w:cstheme="majorBidi"/>
                <w:sz w:val="20"/>
                <w:szCs w:val="20"/>
              </w:rPr>
              <w:br/>
              <w:t>I would describe Dettol as friendly.</w:t>
            </w:r>
            <w:r w:rsidRPr="004758DC">
              <w:rPr>
                <w:rFonts w:asciiTheme="majorBidi" w:hAnsiTheme="majorBidi" w:cstheme="majorBidi"/>
                <w:sz w:val="20"/>
                <w:szCs w:val="20"/>
              </w:rPr>
              <w:br/>
              <w:t>I would say that Dettol is approachable.</w:t>
            </w:r>
            <w:r w:rsidRPr="004758DC">
              <w:rPr>
                <w:rFonts w:asciiTheme="majorBidi" w:hAnsiTheme="majorBidi" w:cstheme="majorBidi"/>
                <w:sz w:val="20"/>
                <w:szCs w:val="20"/>
              </w:rPr>
              <w:br/>
              <w:t>Dettol is a very attractive brand.</w:t>
            </w:r>
            <w:r w:rsidRPr="004758DC">
              <w:rPr>
                <w:rFonts w:asciiTheme="majorBidi" w:hAnsiTheme="majorBidi" w:cstheme="majorBidi"/>
                <w:sz w:val="20"/>
                <w:szCs w:val="20"/>
              </w:rPr>
              <w:br/>
              <w:t>I would ask for advice because Dettol is knowledgeable.</w:t>
            </w:r>
            <w:r w:rsidRPr="004758DC">
              <w:rPr>
                <w:rFonts w:asciiTheme="majorBidi" w:hAnsiTheme="majorBidi" w:cstheme="majorBidi"/>
                <w:sz w:val="20"/>
                <w:szCs w:val="20"/>
              </w:rPr>
              <w:br/>
              <w:t>It is important that Dettol has a high level of integrity.</w:t>
            </w:r>
            <w:r w:rsidRPr="004758DC">
              <w:rPr>
                <w:rFonts w:asciiTheme="majorBidi" w:hAnsiTheme="majorBidi" w:cstheme="majorBidi"/>
                <w:sz w:val="20"/>
                <w:szCs w:val="20"/>
              </w:rPr>
              <w:br/>
              <w:t>Overall, I approve of Dettol.</w:t>
            </w:r>
            <w:r w:rsidRPr="004758DC">
              <w:rPr>
                <w:rFonts w:asciiTheme="majorBidi" w:hAnsiTheme="majorBidi" w:cstheme="majorBidi"/>
                <w:sz w:val="20"/>
                <w:szCs w:val="20"/>
              </w:rPr>
              <w:br/>
              <w:t>I feel cheerful when shopping for Dettol.</w:t>
            </w:r>
            <w:r w:rsidRPr="004758DC">
              <w:rPr>
                <w:rFonts w:asciiTheme="majorBidi" w:hAnsiTheme="majorBidi" w:cstheme="majorBidi"/>
                <w:sz w:val="20"/>
                <w:szCs w:val="20"/>
              </w:rPr>
              <w:br/>
              <w:t>Dettol takes care of everything for me.</w:t>
            </w:r>
            <w:r w:rsidRPr="004758DC">
              <w:rPr>
                <w:rFonts w:asciiTheme="majorBidi" w:hAnsiTheme="majorBidi" w:cstheme="majorBidi"/>
                <w:sz w:val="20"/>
                <w:szCs w:val="20"/>
              </w:rPr>
              <w:br/>
              <w:t>I am grateful for Dettol’s services.</w:t>
            </w:r>
          </w:p>
        </w:tc>
        <w:tc>
          <w:tcPr>
            <w:tcW w:w="1292" w:type="dxa"/>
          </w:tcPr>
          <w:p w14:paraId="1837B58F" w14:textId="77777777" w:rsidR="00C47A71" w:rsidRPr="004758DC" w:rsidRDefault="00000000" w:rsidP="00D75BCF">
            <w:pPr>
              <w:rPr>
                <w:rFonts w:asciiTheme="majorBidi" w:hAnsiTheme="majorBidi" w:cstheme="majorBidi"/>
                <w:sz w:val="20"/>
                <w:szCs w:val="20"/>
              </w:rPr>
            </w:pPr>
            <w:sdt>
              <w:sdtPr>
                <w:rPr>
                  <w:rFonts w:asciiTheme="majorBidi" w:hAnsiTheme="majorBidi" w:cstheme="majorBidi"/>
                  <w:sz w:val="20"/>
                  <w:szCs w:val="20"/>
                </w:rPr>
                <w:id w:val="1161664847"/>
                <w:citation/>
              </w:sdtPr>
              <w:sdtContent>
                <w:r w:rsidR="00C47A71" w:rsidRPr="004758DC">
                  <w:rPr>
                    <w:rFonts w:asciiTheme="majorBidi" w:hAnsiTheme="majorBidi" w:cstheme="majorBidi"/>
                    <w:sz w:val="20"/>
                    <w:szCs w:val="20"/>
                  </w:rPr>
                  <w:fldChar w:fldCharType="begin"/>
                </w:r>
                <w:r w:rsidR="00C47A71" w:rsidRPr="004758DC">
                  <w:rPr>
                    <w:rFonts w:asciiTheme="majorBidi" w:hAnsiTheme="majorBidi" w:cstheme="majorBidi"/>
                    <w:sz w:val="20"/>
                    <w:szCs w:val="20"/>
                  </w:rPr>
                  <w:instrText xml:space="preserve"> CITATION Ngu15 \l 2057 </w:instrText>
                </w:r>
                <w:r w:rsidR="00C47A71" w:rsidRPr="004758DC">
                  <w:rPr>
                    <w:rFonts w:asciiTheme="majorBidi" w:hAnsiTheme="majorBidi" w:cstheme="majorBidi"/>
                    <w:sz w:val="20"/>
                    <w:szCs w:val="20"/>
                  </w:rPr>
                  <w:fldChar w:fldCharType="separate"/>
                </w:r>
                <w:r w:rsidR="00C47A71" w:rsidRPr="004758DC">
                  <w:rPr>
                    <w:rFonts w:asciiTheme="majorBidi" w:hAnsiTheme="majorBidi" w:cstheme="majorBidi"/>
                    <w:noProof/>
                    <w:sz w:val="20"/>
                    <w:szCs w:val="20"/>
                  </w:rPr>
                  <w:t>(Nguyen, Ekinci, Simkin, &amp; Melewar, 2015)</w:t>
                </w:r>
                <w:r w:rsidR="00C47A71" w:rsidRPr="004758DC">
                  <w:rPr>
                    <w:rFonts w:asciiTheme="majorBidi" w:hAnsiTheme="majorBidi" w:cstheme="majorBidi"/>
                    <w:sz w:val="20"/>
                    <w:szCs w:val="20"/>
                  </w:rPr>
                  <w:fldChar w:fldCharType="end"/>
                </w:r>
              </w:sdtContent>
            </w:sdt>
          </w:p>
        </w:tc>
      </w:tr>
      <w:tr w:rsidR="00C47A71" w:rsidRPr="004758DC" w14:paraId="57716866" w14:textId="77777777" w:rsidTr="00004E03">
        <w:trPr>
          <w:trHeight w:val="198"/>
        </w:trPr>
        <w:tc>
          <w:tcPr>
            <w:tcW w:w="1418" w:type="dxa"/>
          </w:tcPr>
          <w:p w14:paraId="37CCD580"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Emotional Brand Attachment </w:t>
            </w:r>
            <w:r w:rsidRPr="004758DC">
              <w:rPr>
                <w:rFonts w:asciiTheme="majorBidi" w:hAnsiTheme="majorBidi" w:cstheme="majorBidi"/>
                <w:sz w:val="20"/>
                <w:szCs w:val="20"/>
              </w:rPr>
              <w:br/>
              <w:t>(4 items)</w:t>
            </w:r>
          </w:p>
        </w:tc>
        <w:tc>
          <w:tcPr>
            <w:tcW w:w="5937" w:type="dxa"/>
          </w:tcPr>
          <w:p w14:paraId="48277182" w14:textId="3E96A333" w:rsidR="00C47A71" w:rsidRPr="004758DC" w:rsidRDefault="004E119E" w:rsidP="00D75BCF">
            <w:pPr>
              <w:adjustRightInd w:val="0"/>
              <w:rPr>
                <w:rFonts w:asciiTheme="majorBidi" w:hAnsiTheme="majorBidi" w:cstheme="majorBidi"/>
                <w:sz w:val="20"/>
                <w:szCs w:val="20"/>
              </w:rPr>
            </w:pPr>
            <w:r w:rsidRPr="004758DC">
              <w:rPr>
                <w:rFonts w:asciiTheme="majorBidi" w:hAnsiTheme="majorBidi" w:cstheme="majorBidi"/>
                <w:sz w:val="20"/>
                <w:szCs w:val="20"/>
              </w:rPr>
              <w:t>I</w:t>
            </w:r>
            <w:r w:rsidR="00C47A71" w:rsidRPr="004758DC">
              <w:rPr>
                <w:rFonts w:asciiTheme="majorBidi" w:hAnsiTheme="majorBidi" w:cstheme="majorBidi"/>
                <w:sz w:val="20"/>
                <w:szCs w:val="20"/>
              </w:rPr>
              <w:t xml:space="preserve"> feel there is a natural “fit” between you and Dettol</w:t>
            </w:r>
          </w:p>
          <w:p w14:paraId="2C3A522F" w14:textId="5F9AC509" w:rsidR="00C47A71" w:rsidRPr="004758DC" w:rsidRDefault="00C47A71" w:rsidP="00D75BCF">
            <w:pPr>
              <w:adjustRightInd w:val="0"/>
              <w:rPr>
                <w:rFonts w:asciiTheme="majorBidi" w:hAnsiTheme="majorBidi" w:cstheme="majorBidi"/>
                <w:sz w:val="20"/>
                <w:szCs w:val="20"/>
              </w:rPr>
            </w:pPr>
            <w:r w:rsidRPr="004758DC">
              <w:rPr>
                <w:rFonts w:asciiTheme="majorBidi" w:hAnsiTheme="majorBidi" w:cstheme="majorBidi"/>
                <w:sz w:val="20"/>
                <w:szCs w:val="20"/>
              </w:rPr>
              <w:t>Dettol seems to fit your own tastes perfectly.</w:t>
            </w:r>
            <w:r w:rsidRPr="004758DC">
              <w:rPr>
                <w:rFonts w:asciiTheme="majorBidi" w:hAnsiTheme="majorBidi" w:cstheme="majorBidi"/>
                <w:sz w:val="20"/>
                <w:szCs w:val="20"/>
              </w:rPr>
              <w:br/>
            </w:r>
            <w:r w:rsidR="004E119E" w:rsidRPr="004758DC">
              <w:rPr>
                <w:rFonts w:asciiTheme="majorBidi" w:hAnsiTheme="majorBidi" w:cstheme="majorBidi"/>
                <w:sz w:val="20"/>
                <w:szCs w:val="20"/>
              </w:rPr>
              <w:t>I</w:t>
            </w:r>
            <w:r w:rsidRPr="004758DC">
              <w:rPr>
                <w:rFonts w:asciiTheme="majorBidi" w:hAnsiTheme="majorBidi" w:cstheme="majorBidi"/>
                <w:sz w:val="20"/>
                <w:szCs w:val="20"/>
              </w:rPr>
              <w:t xml:space="preserve"> feel emotionally connected to Dettol</w:t>
            </w:r>
            <w:r w:rsidRPr="004758DC">
              <w:rPr>
                <w:rFonts w:asciiTheme="majorBidi" w:hAnsiTheme="majorBidi" w:cstheme="majorBidi"/>
                <w:sz w:val="20"/>
                <w:szCs w:val="20"/>
              </w:rPr>
              <w:br/>
            </w:r>
            <w:r w:rsidR="004E119E" w:rsidRPr="004758DC">
              <w:rPr>
                <w:rFonts w:asciiTheme="majorBidi" w:hAnsiTheme="majorBidi" w:cstheme="majorBidi"/>
                <w:sz w:val="20"/>
                <w:szCs w:val="20"/>
              </w:rPr>
              <w:t>I</w:t>
            </w:r>
            <w:r w:rsidRPr="004758DC">
              <w:rPr>
                <w:rFonts w:asciiTheme="majorBidi" w:hAnsiTheme="majorBidi" w:cstheme="majorBidi"/>
                <w:sz w:val="20"/>
                <w:szCs w:val="20"/>
              </w:rPr>
              <w:t xml:space="preserve"> feel you have a “bond” with Dettol</w:t>
            </w:r>
          </w:p>
        </w:tc>
        <w:tc>
          <w:tcPr>
            <w:tcW w:w="1292" w:type="dxa"/>
          </w:tcPr>
          <w:p w14:paraId="546F9344" w14:textId="77777777" w:rsidR="00C47A71" w:rsidRPr="004758DC" w:rsidRDefault="00000000" w:rsidP="00D75BCF">
            <w:pPr>
              <w:rPr>
                <w:rFonts w:asciiTheme="majorBidi" w:hAnsiTheme="majorBidi" w:cstheme="majorBidi"/>
                <w:sz w:val="20"/>
                <w:szCs w:val="20"/>
              </w:rPr>
            </w:pPr>
            <w:sdt>
              <w:sdtPr>
                <w:rPr>
                  <w:rFonts w:asciiTheme="majorBidi" w:hAnsiTheme="majorBidi" w:cstheme="majorBidi"/>
                  <w:sz w:val="20"/>
                  <w:szCs w:val="20"/>
                </w:rPr>
                <w:id w:val="-825738446"/>
                <w:citation/>
              </w:sdtPr>
              <w:sdtContent>
                <w:r w:rsidR="00C47A71" w:rsidRPr="004758DC">
                  <w:rPr>
                    <w:rFonts w:asciiTheme="majorBidi" w:hAnsiTheme="majorBidi" w:cstheme="majorBidi"/>
                    <w:sz w:val="20"/>
                    <w:szCs w:val="20"/>
                  </w:rPr>
                  <w:fldChar w:fldCharType="begin"/>
                </w:r>
                <w:r w:rsidR="00C47A71" w:rsidRPr="004758DC">
                  <w:rPr>
                    <w:rFonts w:asciiTheme="majorBidi" w:hAnsiTheme="majorBidi" w:cstheme="majorBidi"/>
                    <w:sz w:val="20"/>
                    <w:szCs w:val="20"/>
                  </w:rPr>
                  <w:instrText xml:space="preserve"> CITATION Bag17 \l 2057 </w:instrText>
                </w:r>
                <w:r w:rsidR="00C47A71" w:rsidRPr="004758DC">
                  <w:rPr>
                    <w:rFonts w:asciiTheme="majorBidi" w:hAnsiTheme="majorBidi" w:cstheme="majorBidi"/>
                    <w:sz w:val="20"/>
                    <w:szCs w:val="20"/>
                  </w:rPr>
                  <w:fldChar w:fldCharType="separate"/>
                </w:r>
                <w:r w:rsidR="00C47A71" w:rsidRPr="004758DC">
                  <w:rPr>
                    <w:rFonts w:asciiTheme="majorBidi" w:hAnsiTheme="majorBidi" w:cstheme="majorBidi"/>
                    <w:noProof/>
                    <w:sz w:val="20"/>
                    <w:szCs w:val="20"/>
                  </w:rPr>
                  <w:t>(Bagozzi, Batra, &amp; Ahuvia , 2017)</w:t>
                </w:r>
                <w:r w:rsidR="00C47A71" w:rsidRPr="004758DC">
                  <w:rPr>
                    <w:rFonts w:asciiTheme="majorBidi" w:hAnsiTheme="majorBidi" w:cstheme="majorBidi"/>
                    <w:sz w:val="20"/>
                    <w:szCs w:val="20"/>
                  </w:rPr>
                  <w:fldChar w:fldCharType="end"/>
                </w:r>
              </w:sdtContent>
            </w:sdt>
          </w:p>
        </w:tc>
      </w:tr>
      <w:tr w:rsidR="00C47A71" w:rsidRPr="004758DC" w14:paraId="4B4FFA30" w14:textId="77777777" w:rsidTr="00004E03">
        <w:trPr>
          <w:trHeight w:val="198"/>
        </w:trPr>
        <w:tc>
          <w:tcPr>
            <w:tcW w:w="1418" w:type="dxa"/>
          </w:tcPr>
          <w:p w14:paraId="34BF02F2"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Brand Trust</w:t>
            </w:r>
            <w:r w:rsidRPr="004758DC">
              <w:rPr>
                <w:rFonts w:asciiTheme="majorBidi" w:hAnsiTheme="majorBidi" w:cstheme="majorBidi"/>
                <w:sz w:val="20"/>
                <w:szCs w:val="20"/>
              </w:rPr>
              <w:br/>
              <w:t>(4 items)</w:t>
            </w:r>
          </w:p>
        </w:tc>
        <w:tc>
          <w:tcPr>
            <w:tcW w:w="5937" w:type="dxa"/>
          </w:tcPr>
          <w:p w14:paraId="1EE0DB5A"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Dettol never disappoints me</w:t>
            </w:r>
          </w:p>
          <w:p w14:paraId="334BD294"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Dettol guarantees my satisfaction </w:t>
            </w:r>
          </w:p>
          <w:p w14:paraId="7EDA4B28"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I feel confident about Dettol</w:t>
            </w:r>
          </w:p>
          <w:p w14:paraId="1782441B"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Dettol meets my expectations</w:t>
            </w:r>
          </w:p>
        </w:tc>
        <w:tc>
          <w:tcPr>
            <w:tcW w:w="1292" w:type="dxa"/>
          </w:tcPr>
          <w:p w14:paraId="7B7B7BF9" w14:textId="77777777" w:rsidR="00C47A71" w:rsidRPr="004758DC" w:rsidRDefault="00000000" w:rsidP="00D75BCF">
            <w:pPr>
              <w:rPr>
                <w:rFonts w:asciiTheme="majorBidi" w:hAnsiTheme="majorBidi" w:cstheme="majorBidi"/>
                <w:sz w:val="20"/>
                <w:szCs w:val="20"/>
              </w:rPr>
            </w:pPr>
            <w:sdt>
              <w:sdtPr>
                <w:rPr>
                  <w:rFonts w:asciiTheme="majorBidi" w:hAnsiTheme="majorBidi" w:cstheme="majorBidi"/>
                  <w:sz w:val="20"/>
                  <w:szCs w:val="20"/>
                </w:rPr>
                <w:id w:val="875125649"/>
                <w:citation/>
              </w:sdtPr>
              <w:sdtContent>
                <w:r w:rsidR="00C47A71" w:rsidRPr="004758DC">
                  <w:rPr>
                    <w:rFonts w:asciiTheme="majorBidi" w:hAnsiTheme="majorBidi" w:cstheme="majorBidi"/>
                    <w:sz w:val="20"/>
                    <w:szCs w:val="20"/>
                  </w:rPr>
                  <w:fldChar w:fldCharType="begin"/>
                </w:r>
                <w:r w:rsidR="00C47A71" w:rsidRPr="004758DC">
                  <w:rPr>
                    <w:rFonts w:asciiTheme="majorBidi" w:hAnsiTheme="majorBidi" w:cstheme="majorBidi"/>
                    <w:sz w:val="20"/>
                    <w:szCs w:val="20"/>
                  </w:rPr>
                  <w:instrText xml:space="preserve"> CITATION Sah11 \l 2057 </w:instrText>
                </w:r>
                <w:r w:rsidR="00C47A71" w:rsidRPr="004758DC">
                  <w:rPr>
                    <w:rFonts w:asciiTheme="majorBidi" w:hAnsiTheme="majorBidi" w:cstheme="majorBidi"/>
                    <w:sz w:val="20"/>
                    <w:szCs w:val="20"/>
                  </w:rPr>
                  <w:fldChar w:fldCharType="separate"/>
                </w:r>
                <w:r w:rsidR="00C47A71" w:rsidRPr="004758DC">
                  <w:rPr>
                    <w:rFonts w:asciiTheme="majorBidi" w:hAnsiTheme="majorBidi" w:cstheme="majorBidi"/>
                    <w:noProof/>
                    <w:sz w:val="20"/>
                    <w:szCs w:val="20"/>
                  </w:rPr>
                  <w:t>(Sahin, Zehir, &amp; Kitapçı, 2011)</w:t>
                </w:r>
                <w:r w:rsidR="00C47A71" w:rsidRPr="004758DC">
                  <w:rPr>
                    <w:rFonts w:asciiTheme="majorBidi" w:hAnsiTheme="majorBidi" w:cstheme="majorBidi"/>
                    <w:sz w:val="20"/>
                    <w:szCs w:val="20"/>
                  </w:rPr>
                  <w:fldChar w:fldCharType="end"/>
                </w:r>
              </w:sdtContent>
            </w:sdt>
          </w:p>
        </w:tc>
      </w:tr>
      <w:tr w:rsidR="00C47A71" w:rsidRPr="004758DC" w14:paraId="2B967E58" w14:textId="77777777" w:rsidTr="00004E03">
        <w:trPr>
          <w:trHeight w:val="198"/>
        </w:trPr>
        <w:tc>
          <w:tcPr>
            <w:tcW w:w="1418" w:type="dxa"/>
          </w:tcPr>
          <w:p w14:paraId="563DF1A8"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Purchase Intention </w:t>
            </w:r>
            <w:r w:rsidRPr="004758DC">
              <w:rPr>
                <w:rFonts w:asciiTheme="majorBidi" w:hAnsiTheme="majorBidi" w:cstheme="majorBidi"/>
                <w:sz w:val="20"/>
                <w:szCs w:val="20"/>
              </w:rPr>
              <w:br/>
              <w:t>(4 items)</w:t>
            </w:r>
          </w:p>
        </w:tc>
        <w:tc>
          <w:tcPr>
            <w:tcW w:w="5937" w:type="dxa"/>
          </w:tcPr>
          <w:p w14:paraId="216C9B4A"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 xml:space="preserve">I would consider purchasing Dettol </w:t>
            </w:r>
          </w:p>
          <w:p w14:paraId="5E8E36E1"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I intend to try Dettol</w:t>
            </w:r>
          </w:p>
          <w:p w14:paraId="10DC3D24"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I plan on buying Dettol</w:t>
            </w:r>
          </w:p>
          <w:p w14:paraId="6C225B07" w14:textId="77777777" w:rsidR="00C47A71" w:rsidRPr="004758DC" w:rsidRDefault="00C47A71" w:rsidP="00D75BCF">
            <w:pPr>
              <w:rPr>
                <w:rFonts w:asciiTheme="majorBidi" w:hAnsiTheme="majorBidi" w:cstheme="majorBidi"/>
                <w:sz w:val="20"/>
                <w:szCs w:val="20"/>
              </w:rPr>
            </w:pPr>
            <w:r w:rsidRPr="004758DC">
              <w:rPr>
                <w:rFonts w:asciiTheme="majorBidi" w:hAnsiTheme="majorBidi" w:cstheme="majorBidi"/>
                <w:sz w:val="20"/>
                <w:szCs w:val="20"/>
              </w:rPr>
              <w:t>I am interested in testing Dettol</w:t>
            </w:r>
          </w:p>
        </w:tc>
        <w:tc>
          <w:tcPr>
            <w:tcW w:w="1292" w:type="dxa"/>
          </w:tcPr>
          <w:p w14:paraId="7D0B0A49" w14:textId="77777777" w:rsidR="00C47A71" w:rsidRPr="004758DC" w:rsidRDefault="00000000" w:rsidP="006E435C">
            <w:pPr>
              <w:keepNext/>
              <w:rPr>
                <w:rFonts w:asciiTheme="majorBidi" w:hAnsiTheme="majorBidi" w:cstheme="majorBidi"/>
                <w:sz w:val="20"/>
                <w:szCs w:val="20"/>
              </w:rPr>
            </w:pPr>
            <w:sdt>
              <w:sdtPr>
                <w:rPr>
                  <w:rFonts w:asciiTheme="majorBidi" w:hAnsiTheme="majorBidi" w:cstheme="majorBidi"/>
                  <w:sz w:val="20"/>
                  <w:szCs w:val="20"/>
                </w:rPr>
                <w:id w:val="646631679"/>
                <w:citation/>
              </w:sdtPr>
              <w:sdtContent>
                <w:r w:rsidR="00C47A71" w:rsidRPr="004758DC">
                  <w:rPr>
                    <w:rFonts w:asciiTheme="majorBidi" w:hAnsiTheme="majorBidi" w:cstheme="majorBidi"/>
                    <w:sz w:val="20"/>
                    <w:szCs w:val="20"/>
                  </w:rPr>
                  <w:fldChar w:fldCharType="begin"/>
                </w:r>
                <w:r w:rsidR="00C47A71" w:rsidRPr="004758DC">
                  <w:rPr>
                    <w:rFonts w:asciiTheme="majorBidi" w:hAnsiTheme="majorBidi" w:cstheme="majorBidi"/>
                    <w:sz w:val="20"/>
                    <w:szCs w:val="20"/>
                  </w:rPr>
                  <w:instrText xml:space="preserve"> CITATION Bar12 \l 2057 </w:instrText>
                </w:r>
                <w:r w:rsidR="00C47A71" w:rsidRPr="004758DC">
                  <w:rPr>
                    <w:rFonts w:asciiTheme="majorBidi" w:hAnsiTheme="majorBidi" w:cstheme="majorBidi"/>
                    <w:sz w:val="20"/>
                    <w:szCs w:val="20"/>
                  </w:rPr>
                  <w:fldChar w:fldCharType="separate"/>
                </w:r>
                <w:r w:rsidR="00C47A71" w:rsidRPr="004758DC">
                  <w:rPr>
                    <w:rFonts w:asciiTheme="majorBidi" w:hAnsiTheme="majorBidi" w:cstheme="majorBidi"/>
                    <w:noProof/>
                    <w:sz w:val="20"/>
                    <w:szCs w:val="20"/>
                  </w:rPr>
                  <w:t>(Barber, Kuo, Bishop, &amp; Goodman Jr, 2012)</w:t>
                </w:r>
                <w:r w:rsidR="00C47A71" w:rsidRPr="004758DC">
                  <w:rPr>
                    <w:rFonts w:asciiTheme="majorBidi" w:hAnsiTheme="majorBidi" w:cstheme="majorBidi"/>
                    <w:sz w:val="20"/>
                    <w:szCs w:val="20"/>
                  </w:rPr>
                  <w:fldChar w:fldCharType="end"/>
                </w:r>
              </w:sdtContent>
            </w:sdt>
          </w:p>
        </w:tc>
      </w:tr>
    </w:tbl>
    <w:p w14:paraId="66378802" w14:textId="4C209C3D" w:rsidR="00A3384C" w:rsidRPr="00D74D1D" w:rsidRDefault="006E435C" w:rsidP="00D74D1D">
      <w:pPr>
        <w:pStyle w:val="Caption"/>
      </w:pPr>
      <w:r>
        <w:t>Table 1</w:t>
      </w:r>
      <w:r w:rsidR="00044DE9">
        <w:t>5</w:t>
      </w:r>
      <w:r>
        <w:t xml:space="preserve"> Constructs used in the survey experiments</w:t>
      </w:r>
      <w:r w:rsidR="00D74D1D">
        <w:br/>
      </w:r>
      <w:r w:rsidR="00C47A71">
        <w:rPr>
          <w:rFonts w:asciiTheme="majorBidi" w:hAnsiTheme="majorBidi" w:cstheme="majorBidi"/>
          <w:b/>
          <w:bCs/>
          <w:sz w:val="24"/>
          <w:szCs w:val="24"/>
        </w:rPr>
        <w:br/>
      </w:r>
      <w:r w:rsidR="00A3384C" w:rsidRPr="00395741">
        <w:rPr>
          <w:rFonts w:asciiTheme="majorBidi" w:hAnsiTheme="majorBidi" w:cstheme="majorBidi"/>
          <w:b/>
          <w:bCs/>
          <w:i w:val="0"/>
          <w:iCs w:val="0"/>
          <w:sz w:val="24"/>
          <w:szCs w:val="24"/>
        </w:rPr>
        <w:t>5.</w:t>
      </w:r>
      <w:r w:rsidR="00891F01" w:rsidRPr="00395741">
        <w:rPr>
          <w:rFonts w:asciiTheme="majorBidi" w:hAnsiTheme="majorBidi" w:cstheme="majorBidi"/>
          <w:b/>
          <w:bCs/>
          <w:i w:val="0"/>
          <w:iCs w:val="0"/>
          <w:sz w:val="24"/>
          <w:szCs w:val="24"/>
        </w:rPr>
        <w:t>4</w:t>
      </w:r>
      <w:r w:rsidR="00A3384C" w:rsidRPr="00395741">
        <w:rPr>
          <w:rFonts w:asciiTheme="majorBidi" w:hAnsiTheme="majorBidi" w:cstheme="majorBidi"/>
          <w:b/>
          <w:bCs/>
          <w:i w:val="0"/>
          <w:iCs w:val="0"/>
          <w:sz w:val="24"/>
          <w:szCs w:val="24"/>
        </w:rPr>
        <w:t>.6.1 Socio-economic status questions</w:t>
      </w:r>
    </w:p>
    <w:p w14:paraId="3A5F9206" w14:textId="77777777" w:rsidR="008F0863" w:rsidRDefault="00A52939" w:rsidP="00665CAF">
      <w:pPr>
        <w:spacing w:after="0" w:line="480" w:lineRule="auto"/>
        <w:rPr>
          <w:rFonts w:asciiTheme="majorBidi" w:hAnsiTheme="majorBidi" w:cstheme="majorBidi"/>
          <w:sz w:val="24"/>
          <w:szCs w:val="24"/>
        </w:rPr>
      </w:pPr>
      <w:r>
        <w:rPr>
          <w:rFonts w:asciiTheme="majorBidi" w:hAnsiTheme="majorBidi" w:cstheme="majorBidi"/>
          <w:sz w:val="24"/>
          <w:szCs w:val="24"/>
        </w:rPr>
        <w:tab/>
      </w:r>
      <w:r w:rsidR="004E119E">
        <w:rPr>
          <w:rFonts w:asciiTheme="majorBidi" w:hAnsiTheme="majorBidi" w:cstheme="majorBidi"/>
          <w:sz w:val="24"/>
          <w:szCs w:val="24"/>
        </w:rPr>
        <w:t xml:space="preserve">As suggested by some resources, </w:t>
      </w:r>
      <w:r w:rsidR="00D74D1D">
        <w:rPr>
          <w:rFonts w:asciiTheme="majorBidi" w:hAnsiTheme="majorBidi" w:cstheme="majorBidi"/>
          <w:sz w:val="24"/>
          <w:szCs w:val="24"/>
        </w:rPr>
        <w:t>i</w:t>
      </w:r>
      <w:r w:rsidR="007A225E">
        <w:rPr>
          <w:rFonts w:asciiTheme="majorBidi" w:hAnsiTheme="majorBidi" w:cstheme="majorBidi"/>
          <w:sz w:val="24"/>
          <w:szCs w:val="24"/>
        </w:rPr>
        <w:t>n order not to overwhelm the respondents with many questions at the beginning of the survey,</w:t>
      </w:r>
      <w:r w:rsidR="004E119E">
        <w:rPr>
          <w:rFonts w:asciiTheme="majorBidi" w:hAnsiTheme="majorBidi" w:cstheme="majorBidi"/>
          <w:sz w:val="24"/>
          <w:szCs w:val="24"/>
        </w:rPr>
        <w:t xml:space="preserve"> socio-economic question were kept at the end</w:t>
      </w:r>
      <w:r w:rsidR="004E119E" w:rsidRPr="004E119E">
        <w:rPr>
          <w:rFonts w:asciiTheme="majorBidi" w:hAnsiTheme="majorBidi" w:cstheme="majorBidi"/>
          <w:sz w:val="24"/>
          <w:szCs w:val="24"/>
        </w:rPr>
        <w:t xml:space="preserve"> </w:t>
      </w:r>
      <w:sdt>
        <w:sdtPr>
          <w:rPr>
            <w:rFonts w:asciiTheme="majorBidi" w:hAnsiTheme="majorBidi" w:cstheme="majorBidi"/>
            <w:sz w:val="24"/>
            <w:szCs w:val="24"/>
          </w:rPr>
          <w:id w:val="-1063021758"/>
          <w:citation/>
        </w:sdtPr>
        <w:sdtContent>
          <w:r w:rsidR="004E119E">
            <w:rPr>
              <w:rFonts w:asciiTheme="majorBidi" w:hAnsiTheme="majorBidi" w:cstheme="majorBidi"/>
              <w:sz w:val="24"/>
              <w:szCs w:val="24"/>
            </w:rPr>
            <w:fldChar w:fldCharType="begin"/>
          </w:r>
          <w:r w:rsidR="004E119E">
            <w:rPr>
              <w:rFonts w:asciiTheme="majorBidi" w:hAnsiTheme="majorBidi" w:cstheme="majorBidi"/>
              <w:sz w:val="24"/>
              <w:szCs w:val="24"/>
            </w:rPr>
            <w:instrText xml:space="preserve"> CITATION Hop12 \l 2057  \m Tay23</w:instrText>
          </w:r>
          <w:r w:rsidR="004E119E">
            <w:rPr>
              <w:rFonts w:asciiTheme="majorBidi" w:hAnsiTheme="majorBidi" w:cstheme="majorBidi"/>
              <w:sz w:val="24"/>
              <w:szCs w:val="24"/>
            </w:rPr>
            <w:fldChar w:fldCharType="separate"/>
          </w:r>
          <w:r w:rsidR="004E119E" w:rsidRPr="008668BF">
            <w:rPr>
              <w:rFonts w:asciiTheme="majorBidi" w:hAnsiTheme="majorBidi" w:cstheme="majorBidi"/>
              <w:noProof/>
              <w:sz w:val="24"/>
              <w:szCs w:val="24"/>
            </w:rPr>
            <w:t>(Hopper, 2012; Taylor E. , 2023)</w:t>
          </w:r>
          <w:r w:rsidR="004E119E">
            <w:rPr>
              <w:rFonts w:asciiTheme="majorBidi" w:hAnsiTheme="majorBidi" w:cstheme="majorBidi"/>
              <w:sz w:val="24"/>
              <w:szCs w:val="24"/>
            </w:rPr>
            <w:fldChar w:fldCharType="end"/>
          </w:r>
        </w:sdtContent>
      </w:sdt>
      <w:r w:rsidR="004E119E">
        <w:rPr>
          <w:rFonts w:asciiTheme="majorBidi" w:hAnsiTheme="majorBidi" w:cstheme="majorBidi"/>
          <w:sz w:val="24"/>
          <w:szCs w:val="24"/>
        </w:rPr>
        <w:t>.</w:t>
      </w:r>
      <w:r w:rsidR="007A225E">
        <w:rPr>
          <w:rFonts w:asciiTheme="majorBidi" w:hAnsiTheme="majorBidi" w:cstheme="majorBidi"/>
          <w:sz w:val="24"/>
          <w:szCs w:val="24"/>
        </w:rPr>
        <w:t xml:space="preserve"> </w:t>
      </w:r>
      <w:r w:rsidR="004E119E">
        <w:rPr>
          <w:rFonts w:asciiTheme="majorBidi" w:hAnsiTheme="majorBidi" w:cstheme="majorBidi"/>
          <w:sz w:val="24"/>
          <w:szCs w:val="24"/>
        </w:rPr>
        <w:t>Q</w:t>
      </w:r>
      <w:r w:rsidR="007A225E">
        <w:rPr>
          <w:rFonts w:asciiTheme="majorBidi" w:hAnsiTheme="majorBidi" w:cstheme="majorBidi"/>
          <w:sz w:val="24"/>
          <w:szCs w:val="24"/>
        </w:rPr>
        <w:t xml:space="preserve">uestions about the respondents’ </w:t>
      </w:r>
      <w:r w:rsidR="004E119E">
        <w:rPr>
          <w:rFonts w:asciiTheme="majorBidi" w:hAnsiTheme="majorBidi" w:cstheme="majorBidi"/>
          <w:sz w:val="24"/>
          <w:szCs w:val="24"/>
        </w:rPr>
        <w:t>socio-economic status</w:t>
      </w:r>
      <w:r w:rsidR="007A225E">
        <w:rPr>
          <w:rFonts w:asciiTheme="majorBidi" w:hAnsiTheme="majorBidi" w:cstheme="majorBidi"/>
          <w:sz w:val="24"/>
          <w:szCs w:val="24"/>
        </w:rPr>
        <w:t xml:space="preserve"> and educational </w:t>
      </w:r>
      <w:r w:rsidR="004E119E">
        <w:rPr>
          <w:rFonts w:asciiTheme="majorBidi" w:hAnsiTheme="majorBidi" w:cstheme="majorBidi"/>
          <w:sz w:val="24"/>
          <w:szCs w:val="24"/>
        </w:rPr>
        <w:t>backgrounds</w:t>
      </w:r>
      <w:r w:rsidR="007A225E">
        <w:rPr>
          <w:rFonts w:asciiTheme="majorBidi" w:hAnsiTheme="majorBidi" w:cstheme="majorBidi"/>
          <w:sz w:val="24"/>
          <w:szCs w:val="24"/>
        </w:rPr>
        <w:t xml:space="preserve"> were </w:t>
      </w:r>
      <w:r w:rsidR="004E119E">
        <w:rPr>
          <w:rFonts w:asciiTheme="majorBidi" w:hAnsiTheme="majorBidi" w:cstheme="majorBidi"/>
          <w:sz w:val="24"/>
          <w:szCs w:val="24"/>
        </w:rPr>
        <w:t>added</w:t>
      </w:r>
      <w:r w:rsidR="007A225E">
        <w:rPr>
          <w:rFonts w:asciiTheme="majorBidi" w:hAnsiTheme="majorBidi" w:cstheme="majorBidi"/>
          <w:sz w:val="24"/>
          <w:szCs w:val="24"/>
        </w:rPr>
        <w:t xml:space="preserve"> at the end of the survey. </w:t>
      </w:r>
      <w:r w:rsidR="005E02F8">
        <w:rPr>
          <w:rFonts w:asciiTheme="majorBidi" w:hAnsiTheme="majorBidi" w:cstheme="majorBidi"/>
          <w:sz w:val="24"/>
          <w:szCs w:val="24"/>
        </w:rPr>
        <w:t xml:space="preserve">Based on previous studies, the socio-economic status of respondents </w:t>
      </w:r>
      <w:r w:rsidR="004E119E">
        <w:rPr>
          <w:rFonts w:asciiTheme="majorBidi" w:hAnsiTheme="majorBidi" w:cstheme="majorBidi"/>
          <w:sz w:val="24"/>
          <w:szCs w:val="24"/>
        </w:rPr>
        <w:t>is</w:t>
      </w:r>
      <w:r w:rsidR="005E02F8" w:rsidRPr="005E02F8">
        <w:rPr>
          <w:rFonts w:asciiTheme="majorBidi" w:hAnsiTheme="majorBidi" w:cstheme="majorBidi"/>
          <w:sz w:val="24"/>
          <w:szCs w:val="24"/>
        </w:rPr>
        <w:t xml:space="preserve"> measured with a combination of their income, education, and profession </w:t>
      </w:r>
      <w:sdt>
        <w:sdtPr>
          <w:rPr>
            <w:rFonts w:asciiTheme="majorBidi" w:hAnsiTheme="majorBidi" w:cstheme="majorBidi"/>
            <w:sz w:val="24"/>
            <w:szCs w:val="24"/>
          </w:rPr>
          <w:id w:val="-1305701009"/>
          <w:citation/>
        </w:sdtPr>
        <w:sdtContent>
          <w:r w:rsidR="005E02F8" w:rsidRPr="005E02F8">
            <w:rPr>
              <w:rFonts w:asciiTheme="majorBidi" w:hAnsiTheme="majorBidi" w:cstheme="majorBidi"/>
              <w:sz w:val="24"/>
              <w:szCs w:val="24"/>
            </w:rPr>
            <w:fldChar w:fldCharType="begin"/>
          </w:r>
          <w:r w:rsidR="005E02F8" w:rsidRPr="005E02F8">
            <w:rPr>
              <w:rFonts w:asciiTheme="majorBidi" w:hAnsiTheme="majorBidi" w:cstheme="majorBidi"/>
              <w:sz w:val="24"/>
              <w:szCs w:val="24"/>
            </w:rPr>
            <w:instrText xml:space="preserve"> CITATION Wil191 \l 2057  \m Win92</w:instrText>
          </w:r>
          <w:r w:rsidR="005E02F8" w:rsidRPr="005E02F8">
            <w:rPr>
              <w:rFonts w:asciiTheme="majorBidi" w:hAnsiTheme="majorBidi" w:cstheme="majorBidi"/>
              <w:sz w:val="24"/>
              <w:szCs w:val="24"/>
            </w:rPr>
            <w:fldChar w:fldCharType="separate"/>
          </w:r>
          <w:r w:rsidR="005E02F8" w:rsidRPr="005E02F8">
            <w:rPr>
              <w:rFonts w:asciiTheme="majorBidi" w:hAnsiTheme="majorBidi" w:cstheme="majorBidi"/>
              <w:noProof/>
              <w:sz w:val="24"/>
              <w:szCs w:val="24"/>
            </w:rPr>
            <w:t>(Willms &amp; Tramonte, 2019; Winkleby, Jatulis, Frank, &amp; Fortmann, 1992)</w:t>
          </w:r>
          <w:r w:rsidR="005E02F8" w:rsidRPr="005E02F8">
            <w:rPr>
              <w:rFonts w:asciiTheme="majorBidi" w:hAnsiTheme="majorBidi" w:cstheme="majorBidi"/>
              <w:sz w:val="24"/>
              <w:szCs w:val="24"/>
            </w:rPr>
            <w:fldChar w:fldCharType="end"/>
          </w:r>
        </w:sdtContent>
      </w:sdt>
      <w:r w:rsidR="005E02F8" w:rsidRPr="005E02F8">
        <w:rPr>
          <w:rFonts w:asciiTheme="majorBidi" w:hAnsiTheme="majorBidi" w:cstheme="majorBidi"/>
          <w:sz w:val="24"/>
          <w:szCs w:val="24"/>
        </w:rPr>
        <w:t xml:space="preserve">. </w:t>
      </w:r>
      <w:r w:rsidR="005E02F8">
        <w:rPr>
          <w:rFonts w:asciiTheme="majorBidi" w:hAnsiTheme="majorBidi" w:cstheme="majorBidi"/>
          <w:sz w:val="24"/>
          <w:szCs w:val="24"/>
        </w:rPr>
        <w:t>However, it’s</w:t>
      </w:r>
      <w:r>
        <w:rPr>
          <w:rFonts w:asciiTheme="majorBidi" w:hAnsiTheme="majorBidi" w:cstheme="majorBidi"/>
          <w:sz w:val="24"/>
          <w:szCs w:val="24"/>
        </w:rPr>
        <w:t xml:space="preserve"> important to note that t</w:t>
      </w:r>
      <w:r w:rsidRPr="00124310">
        <w:rPr>
          <w:rFonts w:asciiTheme="majorBidi" w:hAnsiTheme="majorBidi" w:cstheme="majorBidi"/>
          <w:sz w:val="24"/>
          <w:szCs w:val="24"/>
        </w:rPr>
        <w:t xml:space="preserve">he Egyptian research environment lacks scientific acumen and proficiency </w:t>
      </w:r>
      <w:r>
        <w:rPr>
          <w:rFonts w:asciiTheme="majorBidi" w:hAnsiTheme="majorBidi" w:cstheme="majorBidi"/>
          <w:sz w:val="24"/>
          <w:szCs w:val="24"/>
        </w:rPr>
        <w:t>which means that researchers find difficulties in collecting statistical data</w:t>
      </w:r>
      <w:r w:rsidR="00127273">
        <w:rPr>
          <w:rFonts w:asciiTheme="majorBidi" w:hAnsiTheme="majorBidi" w:cstheme="majorBidi"/>
          <w:sz w:val="24"/>
          <w:szCs w:val="24"/>
        </w:rPr>
        <w:t xml:space="preserve"> </w:t>
      </w:r>
      <w:sdt>
        <w:sdtPr>
          <w:rPr>
            <w:rFonts w:asciiTheme="majorBidi" w:hAnsiTheme="majorBidi" w:cstheme="majorBidi"/>
            <w:sz w:val="24"/>
            <w:szCs w:val="24"/>
          </w:rPr>
          <w:id w:val="-744036980"/>
          <w:citation/>
        </w:sdtPr>
        <w:sdtContent>
          <w:r w:rsidR="00127273">
            <w:rPr>
              <w:rFonts w:asciiTheme="majorBidi" w:hAnsiTheme="majorBidi" w:cstheme="majorBidi"/>
              <w:sz w:val="24"/>
              <w:szCs w:val="24"/>
            </w:rPr>
            <w:fldChar w:fldCharType="begin"/>
          </w:r>
          <w:r w:rsidR="00127273">
            <w:rPr>
              <w:rFonts w:asciiTheme="majorBidi" w:hAnsiTheme="majorBidi" w:cstheme="majorBidi"/>
              <w:sz w:val="24"/>
              <w:szCs w:val="24"/>
            </w:rPr>
            <w:instrText xml:space="preserve"> CITATION Ham22 \l 2057  \m Ibr221 \m Ray20</w:instrText>
          </w:r>
          <w:r w:rsidR="00127273">
            <w:rPr>
              <w:rFonts w:asciiTheme="majorBidi" w:hAnsiTheme="majorBidi" w:cstheme="majorBidi"/>
              <w:sz w:val="24"/>
              <w:szCs w:val="24"/>
            </w:rPr>
            <w:fldChar w:fldCharType="separate"/>
          </w:r>
          <w:r w:rsidR="00127273" w:rsidRPr="00127273">
            <w:rPr>
              <w:rFonts w:asciiTheme="majorBidi" w:hAnsiTheme="majorBidi" w:cstheme="majorBidi"/>
              <w:noProof/>
              <w:sz w:val="24"/>
              <w:szCs w:val="24"/>
            </w:rPr>
            <w:t>(Hamzawi, 2022; Ibrahim &amp; EL Sherbiny, 2022; Raymond, Wu, &amp; Serenko, 2020)</w:t>
          </w:r>
          <w:r w:rsidR="00127273">
            <w:rPr>
              <w:rFonts w:asciiTheme="majorBidi" w:hAnsiTheme="majorBidi" w:cstheme="majorBidi"/>
              <w:sz w:val="24"/>
              <w:szCs w:val="24"/>
            </w:rPr>
            <w:fldChar w:fldCharType="end"/>
          </w:r>
        </w:sdtContent>
      </w:sdt>
      <w:r w:rsidR="00B36550">
        <w:rPr>
          <w:rFonts w:asciiTheme="majorBidi" w:hAnsiTheme="majorBidi" w:cstheme="majorBidi"/>
          <w:sz w:val="24"/>
          <w:szCs w:val="24"/>
        </w:rPr>
        <w:t xml:space="preserve">. </w:t>
      </w:r>
      <w:r w:rsidR="00B36550" w:rsidRPr="00124310">
        <w:rPr>
          <w:rFonts w:asciiTheme="majorBidi" w:hAnsiTheme="majorBidi" w:cstheme="majorBidi"/>
          <w:sz w:val="24"/>
          <w:szCs w:val="24"/>
        </w:rPr>
        <w:t xml:space="preserve">In general, Egypt lacks sufficient statistics about the economic and social status of the population </w:t>
      </w:r>
      <w:sdt>
        <w:sdtPr>
          <w:rPr>
            <w:rFonts w:asciiTheme="majorBidi" w:hAnsiTheme="majorBidi" w:cstheme="majorBidi"/>
            <w:sz w:val="24"/>
            <w:szCs w:val="24"/>
          </w:rPr>
          <w:id w:val="1530073112"/>
          <w:citation/>
        </w:sdtPr>
        <w:sdtContent>
          <w:r w:rsidR="00B36550" w:rsidRPr="00124310">
            <w:rPr>
              <w:rFonts w:asciiTheme="majorBidi" w:hAnsiTheme="majorBidi" w:cstheme="majorBidi"/>
              <w:sz w:val="24"/>
              <w:szCs w:val="24"/>
            </w:rPr>
            <w:fldChar w:fldCharType="begin"/>
          </w:r>
          <w:r w:rsidR="00B36550" w:rsidRPr="00124310">
            <w:rPr>
              <w:rFonts w:asciiTheme="majorBidi" w:hAnsiTheme="majorBidi" w:cstheme="majorBidi"/>
              <w:color w:val="121212"/>
              <w:sz w:val="24"/>
              <w:szCs w:val="24"/>
              <w:shd w:val="clear" w:color="auto" w:fill="FEF9F5"/>
            </w:rPr>
            <w:instrText xml:space="preserve"> CITATION Whi10 \l 2057 </w:instrText>
          </w:r>
          <w:r w:rsidR="00B36550" w:rsidRPr="00124310">
            <w:rPr>
              <w:rFonts w:asciiTheme="majorBidi" w:hAnsiTheme="majorBidi" w:cstheme="majorBidi"/>
              <w:sz w:val="24"/>
              <w:szCs w:val="24"/>
            </w:rPr>
            <w:fldChar w:fldCharType="separate"/>
          </w:r>
          <w:r w:rsidR="00B36550" w:rsidRPr="00124310">
            <w:rPr>
              <w:rFonts w:asciiTheme="majorBidi" w:hAnsiTheme="majorBidi" w:cstheme="majorBidi"/>
              <w:noProof/>
              <w:color w:val="121212"/>
              <w:sz w:val="24"/>
              <w:szCs w:val="24"/>
              <w:shd w:val="clear" w:color="auto" w:fill="FEF9F5"/>
            </w:rPr>
            <w:t>(Whitaker , 2010)</w:t>
          </w:r>
          <w:r w:rsidR="00B36550" w:rsidRPr="00124310">
            <w:rPr>
              <w:rFonts w:asciiTheme="majorBidi" w:hAnsiTheme="majorBidi" w:cstheme="majorBidi"/>
              <w:sz w:val="24"/>
              <w:szCs w:val="24"/>
            </w:rPr>
            <w:fldChar w:fldCharType="end"/>
          </w:r>
        </w:sdtContent>
      </w:sdt>
      <w:r w:rsidR="00B36550" w:rsidRPr="00124310">
        <w:rPr>
          <w:rFonts w:asciiTheme="majorBidi" w:hAnsiTheme="majorBidi" w:cstheme="majorBidi"/>
          <w:sz w:val="24"/>
          <w:szCs w:val="24"/>
        </w:rPr>
        <w:t xml:space="preserve"> because official Egyptian social and economic entities do not offer reliable data that accurately depict</w:t>
      </w:r>
      <w:r w:rsidR="00B36550">
        <w:rPr>
          <w:rFonts w:asciiTheme="majorBidi" w:hAnsiTheme="majorBidi" w:cstheme="majorBidi"/>
          <w:sz w:val="24"/>
          <w:szCs w:val="24"/>
        </w:rPr>
        <w:t>s</w:t>
      </w:r>
      <w:r w:rsidR="00B36550" w:rsidRPr="00124310">
        <w:rPr>
          <w:rFonts w:asciiTheme="majorBidi" w:hAnsiTheme="majorBidi" w:cstheme="majorBidi"/>
          <w:sz w:val="24"/>
          <w:szCs w:val="24"/>
        </w:rPr>
        <w:t xml:space="preserve"> </w:t>
      </w:r>
      <w:r w:rsidR="00D74D1D">
        <w:rPr>
          <w:rFonts w:asciiTheme="majorBidi" w:hAnsiTheme="majorBidi" w:cstheme="majorBidi"/>
          <w:sz w:val="24"/>
          <w:szCs w:val="24"/>
        </w:rPr>
        <w:t xml:space="preserve">reality </w:t>
      </w:r>
      <w:sdt>
        <w:sdtPr>
          <w:rPr>
            <w:rFonts w:asciiTheme="majorBidi" w:hAnsiTheme="majorBidi" w:cstheme="majorBidi"/>
            <w:sz w:val="24"/>
            <w:szCs w:val="24"/>
          </w:rPr>
          <w:id w:val="-622621067"/>
          <w:citation/>
        </w:sdtPr>
        <w:sdtContent>
          <w:r w:rsidR="00B36550" w:rsidRPr="00124310">
            <w:rPr>
              <w:rFonts w:asciiTheme="majorBidi" w:hAnsiTheme="majorBidi" w:cstheme="majorBidi"/>
              <w:sz w:val="24"/>
              <w:szCs w:val="24"/>
            </w:rPr>
            <w:fldChar w:fldCharType="begin"/>
          </w:r>
          <w:r w:rsidR="00B36550" w:rsidRPr="00124310">
            <w:rPr>
              <w:rFonts w:asciiTheme="majorBidi" w:hAnsiTheme="majorBidi" w:cstheme="majorBidi"/>
              <w:sz w:val="24"/>
              <w:szCs w:val="24"/>
            </w:rPr>
            <w:instrText xml:space="preserve"> CITATION Bat221 \l 2057 </w:instrText>
          </w:r>
          <w:r w:rsidR="00B36550" w:rsidRPr="00124310">
            <w:rPr>
              <w:rFonts w:asciiTheme="majorBidi" w:hAnsiTheme="majorBidi" w:cstheme="majorBidi"/>
              <w:sz w:val="24"/>
              <w:szCs w:val="24"/>
            </w:rPr>
            <w:fldChar w:fldCharType="separate"/>
          </w:r>
          <w:r w:rsidR="00B36550" w:rsidRPr="00124310">
            <w:rPr>
              <w:rFonts w:asciiTheme="majorBidi" w:hAnsiTheme="majorBidi" w:cstheme="majorBidi"/>
              <w:noProof/>
              <w:sz w:val="24"/>
              <w:szCs w:val="24"/>
            </w:rPr>
            <w:t>(Batsi, 2022)</w:t>
          </w:r>
          <w:r w:rsidR="00B36550" w:rsidRPr="00124310">
            <w:rPr>
              <w:rFonts w:asciiTheme="majorBidi" w:hAnsiTheme="majorBidi" w:cstheme="majorBidi"/>
              <w:sz w:val="24"/>
              <w:szCs w:val="24"/>
            </w:rPr>
            <w:fldChar w:fldCharType="end"/>
          </w:r>
        </w:sdtContent>
      </w:sdt>
      <w:r w:rsidR="00B36550" w:rsidRPr="00124310">
        <w:rPr>
          <w:rFonts w:asciiTheme="majorBidi" w:hAnsiTheme="majorBidi" w:cstheme="majorBidi"/>
          <w:sz w:val="24"/>
          <w:szCs w:val="24"/>
        </w:rPr>
        <w:t>.</w:t>
      </w:r>
      <w:r w:rsidR="00B36550">
        <w:rPr>
          <w:rFonts w:asciiTheme="majorBidi" w:hAnsiTheme="majorBidi" w:cstheme="majorBidi"/>
          <w:sz w:val="24"/>
          <w:szCs w:val="24"/>
        </w:rPr>
        <w:t xml:space="preserve"> </w:t>
      </w:r>
      <w:r w:rsidR="00BD0BC6">
        <w:rPr>
          <w:rFonts w:asciiTheme="majorBidi" w:hAnsiTheme="majorBidi" w:cstheme="majorBidi"/>
          <w:sz w:val="24"/>
          <w:szCs w:val="24"/>
        </w:rPr>
        <w:t>In fact</w:t>
      </w:r>
      <w:r w:rsidR="00BD0BC6" w:rsidRPr="00FF5839">
        <w:rPr>
          <w:rFonts w:asciiTheme="majorBidi" w:hAnsiTheme="majorBidi" w:cstheme="majorBidi"/>
          <w:sz w:val="24"/>
          <w:szCs w:val="24"/>
        </w:rPr>
        <w:t>, most studies in Egypt do not classify the profession, educational backgrounds, or household income (</w:t>
      </w:r>
      <w:r w:rsidR="00FF5839" w:rsidRPr="00FF5839">
        <w:rPr>
          <w:rFonts w:asciiTheme="majorBidi" w:hAnsiTheme="majorBidi" w:cstheme="majorBidi"/>
          <w:sz w:val="24"/>
          <w:szCs w:val="24"/>
        </w:rPr>
        <w:t>i.e.,</w:t>
      </w:r>
      <w:r w:rsidR="00BD0BC6" w:rsidRPr="00FF5839">
        <w:rPr>
          <w:rFonts w:asciiTheme="majorBidi" w:hAnsiTheme="majorBidi" w:cstheme="majorBidi"/>
          <w:sz w:val="24"/>
          <w:szCs w:val="24"/>
        </w:rPr>
        <w:t xml:space="preserve"> </w:t>
      </w:r>
      <w:sdt>
        <w:sdtPr>
          <w:rPr>
            <w:rFonts w:asciiTheme="majorBidi" w:hAnsiTheme="majorBidi" w:cstheme="majorBidi"/>
            <w:sz w:val="24"/>
            <w:szCs w:val="24"/>
          </w:rPr>
          <w:id w:val="1574155435"/>
          <w:citation/>
        </w:sdtPr>
        <w:sdtContent>
          <w:r w:rsidR="00BD0BC6" w:rsidRPr="00FF5839">
            <w:rPr>
              <w:rFonts w:asciiTheme="majorBidi" w:hAnsiTheme="majorBidi" w:cstheme="majorBidi"/>
              <w:sz w:val="24"/>
              <w:szCs w:val="24"/>
            </w:rPr>
            <w:fldChar w:fldCharType="begin"/>
          </w:r>
          <w:r w:rsidR="00BD0BC6" w:rsidRPr="00FF5839">
            <w:rPr>
              <w:rFonts w:asciiTheme="majorBidi" w:hAnsiTheme="majorBidi" w:cstheme="majorBidi"/>
              <w:sz w:val="24"/>
              <w:szCs w:val="24"/>
            </w:rPr>
            <w:instrText xml:space="preserve"> CITATION Ahm21 \l 2057  \m Hef21</w:instrText>
          </w:r>
          <w:r w:rsidR="00BD0BC6" w:rsidRPr="00FF5839">
            <w:rPr>
              <w:rFonts w:asciiTheme="majorBidi" w:hAnsiTheme="majorBidi" w:cstheme="majorBidi"/>
              <w:sz w:val="24"/>
              <w:szCs w:val="24"/>
            </w:rPr>
            <w:fldChar w:fldCharType="separate"/>
          </w:r>
          <w:r w:rsidR="00BD0BC6" w:rsidRPr="00FF5839">
            <w:rPr>
              <w:rFonts w:asciiTheme="majorBidi" w:hAnsiTheme="majorBidi" w:cstheme="majorBidi"/>
              <w:noProof/>
              <w:sz w:val="24"/>
              <w:szCs w:val="24"/>
            </w:rPr>
            <w:t>(Ahmed, Ramadan, Refay, &amp; Khashbah, 2021; Hefny, 2021)</w:t>
          </w:r>
          <w:r w:rsidR="00BD0BC6" w:rsidRPr="00FF5839">
            <w:rPr>
              <w:rFonts w:asciiTheme="majorBidi" w:hAnsiTheme="majorBidi" w:cstheme="majorBidi"/>
              <w:sz w:val="24"/>
              <w:szCs w:val="24"/>
            </w:rPr>
            <w:fldChar w:fldCharType="end"/>
          </w:r>
        </w:sdtContent>
      </w:sdt>
      <w:r w:rsidR="00BD0BC6" w:rsidRPr="00FF5839">
        <w:rPr>
          <w:rFonts w:asciiTheme="majorBidi" w:hAnsiTheme="majorBidi" w:cstheme="majorBidi"/>
          <w:sz w:val="24"/>
          <w:szCs w:val="24"/>
        </w:rPr>
        <w:t xml:space="preserve"> in reference to social classes.</w:t>
      </w:r>
      <w:r w:rsidR="00BD0BC6">
        <w:rPr>
          <w:rFonts w:asciiTheme="majorBidi" w:hAnsiTheme="majorBidi" w:cstheme="majorBidi"/>
          <w:sz w:val="24"/>
          <w:szCs w:val="24"/>
        </w:rPr>
        <w:t xml:space="preserve"> </w:t>
      </w:r>
      <w:r w:rsidR="000626C8">
        <w:rPr>
          <w:rFonts w:asciiTheme="majorBidi" w:hAnsiTheme="majorBidi" w:cstheme="majorBidi"/>
          <w:sz w:val="24"/>
          <w:szCs w:val="24"/>
        </w:rPr>
        <w:t xml:space="preserve">Exact estimates of household income and social classes in Egypt are lacking </w:t>
      </w:r>
      <w:sdt>
        <w:sdtPr>
          <w:rPr>
            <w:rFonts w:asciiTheme="majorBidi" w:hAnsiTheme="majorBidi" w:cstheme="majorBidi"/>
            <w:sz w:val="24"/>
            <w:szCs w:val="24"/>
          </w:rPr>
          <w:id w:val="1327086023"/>
          <w:citation/>
        </w:sdtPr>
        <w:sdtContent>
          <w:r w:rsidR="000626C8">
            <w:rPr>
              <w:rFonts w:asciiTheme="majorBidi" w:hAnsiTheme="majorBidi" w:cstheme="majorBidi"/>
              <w:sz w:val="24"/>
              <w:szCs w:val="24"/>
            </w:rPr>
            <w:fldChar w:fldCharType="begin"/>
          </w:r>
          <w:r w:rsidR="000626C8">
            <w:rPr>
              <w:rFonts w:asciiTheme="majorBidi" w:hAnsiTheme="majorBidi" w:cstheme="majorBidi"/>
              <w:sz w:val="24"/>
              <w:szCs w:val="24"/>
            </w:rPr>
            <w:instrText xml:space="preserve"> CITATION Kha22 \l 2057  \m Shu161</w:instrText>
          </w:r>
          <w:r w:rsidR="000626C8">
            <w:rPr>
              <w:rFonts w:asciiTheme="majorBidi" w:hAnsiTheme="majorBidi" w:cstheme="majorBidi"/>
              <w:sz w:val="24"/>
              <w:szCs w:val="24"/>
            </w:rPr>
            <w:fldChar w:fldCharType="separate"/>
          </w:r>
          <w:r w:rsidR="000626C8" w:rsidRPr="000626C8">
            <w:rPr>
              <w:rFonts w:asciiTheme="majorBidi" w:hAnsiTheme="majorBidi" w:cstheme="majorBidi"/>
              <w:noProof/>
              <w:sz w:val="24"/>
              <w:szCs w:val="24"/>
            </w:rPr>
            <w:t>(Khaldoun, 2022; Shukrallah, 2016)</w:t>
          </w:r>
          <w:r w:rsidR="000626C8">
            <w:rPr>
              <w:rFonts w:asciiTheme="majorBidi" w:hAnsiTheme="majorBidi" w:cstheme="majorBidi"/>
              <w:sz w:val="24"/>
              <w:szCs w:val="24"/>
            </w:rPr>
            <w:fldChar w:fldCharType="end"/>
          </w:r>
        </w:sdtContent>
      </w:sdt>
      <w:r w:rsidR="000626C8">
        <w:rPr>
          <w:rFonts w:asciiTheme="majorBidi" w:hAnsiTheme="majorBidi" w:cstheme="majorBidi"/>
          <w:sz w:val="24"/>
          <w:szCs w:val="24"/>
        </w:rPr>
        <w:t xml:space="preserve">. </w:t>
      </w:r>
      <w:r w:rsidR="00FF5839">
        <w:rPr>
          <w:rFonts w:asciiTheme="majorBidi" w:hAnsiTheme="majorBidi" w:cstheme="majorBidi"/>
          <w:sz w:val="24"/>
          <w:szCs w:val="24"/>
        </w:rPr>
        <w:t>Yet</w:t>
      </w:r>
      <w:r w:rsidR="00A3384C">
        <w:rPr>
          <w:rFonts w:asciiTheme="majorBidi" w:hAnsiTheme="majorBidi" w:cstheme="majorBidi"/>
          <w:sz w:val="24"/>
          <w:szCs w:val="24"/>
        </w:rPr>
        <w:t xml:space="preserve">, </w:t>
      </w:r>
      <w:r w:rsidR="00A3384C" w:rsidRPr="00FF5839">
        <w:rPr>
          <w:rFonts w:asciiTheme="majorBidi" w:hAnsiTheme="majorBidi" w:cstheme="majorBidi"/>
          <w:sz w:val="24"/>
          <w:szCs w:val="24"/>
        </w:rPr>
        <w:t>the</w:t>
      </w:r>
      <w:r w:rsidR="00E77197" w:rsidRPr="00FF5839">
        <w:rPr>
          <w:rFonts w:asciiTheme="majorBidi" w:hAnsiTheme="majorBidi" w:cstheme="majorBidi"/>
          <w:sz w:val="24"/>
          <w:szCs w:val="24"/>
        </w:rPr>
        <w:t xml:space="preserve">re are some reports that provide information about the average </w:t>
      </w:r>
      <w:r w:rsidR="00665CAF">
        <w:rPr>
          <w:rFonts w:asciiTheme="majorBidi" w:hAnsiTheme="majorBidi" w:cstheme="majorBidi"/>
          <w:sz w:val="24"/>
          <w:szCs w:val="24"/>
        </w:rPr>
        <w:t xml:space="preserve">monthly </w:t>
      </w:r>
      <w:r w:rsidR="00A3384C" w:rsidRPr="00FF5839">
        <w:rPr>
          <w:rFonts w:asciiTheme="majorBidi" w:hAnsiTheme="majorBidi" w:cstheme="majorBidi"/>
          <w:sz w:val="24"/>
          <w:szCs w:val="24"/>
        </w:rPr>
        <w:t>household income</w:t>
      </w:r>
      <w:r w:rsidR="00E77197" w:rsidRPr="00FF5839">
        <w:rPr>
          <w:rFonts w:asciiTheme="majorBidi" w:hAnsiTheme="majorBidi" w:cstheme="majorBidi"/>
          <w:sz w:val="24"/>
          <w:szCs w:val="24"/>
        </w:rPr>
        <w:t xml:space="preserve"> in Egypt which is</w:t>
      </w:r>
      <w:r w:rsidR="00A3384C" w:rsidRPr="00FF5839">
        <w:rPr>
          <w:rFonts w:asciiTheme="majorBidi" w:hAnsiTheme="majorBidi" w:cstheme="majorBidi"/>
          <w:sz w:val="24"/>
          <w:szCs w:val="24"/>
        </w:rPr>
        <w:t xml:space="preserve"> 6,333 Egyptian pounds </w:t>
      </w:r>
      <w:sdt>
        <w:sdtPr>
          <w:rPr>
            <w:rFonts w:asciiTheme="majorBidi" w:hAnsiTheme="majorBidi" w:cstheme="majorBidi"/>
            <w:sz w:val="24"/>
            <w:szCs w:val="24"/>
          </w:rPr>
          <w:id w:val="1074389062"/>
          <w:citation/>
        </w:sdtPr>
        <w:sdtContent>
          <w:r w:rsidR="00A3384C" w:rsidRPr="00FF5839">
            <w:rPr>
              <w:rFonts w:asciiTheme="majorBidi" w:hAnsiTheme="majorBidi" w:cstheme="majorBidi"/>
              <w:sz w:val="24"/>
              <w:szCs w:val="24"/>
            </w:rPr>
            <w:fldChar w:fldCharType="begin"/>
          </w:r>
          <w:r w:rsidR="00A3384C" w:rsidRPr="00FF5839">
            <w:rPr>
              <w:rFonts w:asciiTheme="majorBidi" w:hAnsiTheme="majorBidi" w:cstheme="majorBidi"/>
              <w:sz w:val="24"/>
              <w:szCs w:val="24"/>
            </w:rPr>
            <w:instrText xml:space="preserve"> CITATION Oxf22 \l 2057 </w:instrText>
          </w:r>
          <w:r w:rsidR="00A3384C" w:rsidRPr="00FF5839">
            <w:rPr>
              <w:rFonts w:asciiTheme="majorBidi" w:hAnsiTheme="majorBidi" w:cstheme="majorBidi"/>
              <w:sz w:val="24"/>
              <w:szCs w:val="24"/>
            </w:rPr>
            <w:fldChar w:fldCharType="separate"/>
          </w:r>
          <w:r w:rsidR="00A3384C" w:rsidRPr="00FF5839">
            <w:rPr>
              <w:rFonts w:asciiTheme="majorBidi" w:hAnsiTheme="majorBidi" w:cstheme="majorBidi"/>
              <w:noProof/>
              <w:sz w:val="24"/>
              <w:szCs w:val="24"/>
            </w:rPr>
            <w:t>(Oxford Business Group, 2022)</w:t>
          </w:r>
          <w:r w:rsidR="00A3384C" w:rsidRPr="00FF5839">
            <w:rPr>
              <w:rFonts w:asciiTheme="majorBidi" w:hAnsiTheme="majorBidi" w:cstheme="majorBidi"/>
              <w:sz w:val="24"/>
              <w:szCs w:val="24"/>
            </w:rPr>
            <w:fldChar w:fldCharType="end"/>
          </w:r>
        </w:sdtContent>
      </w:sdt>
      <w:r w:rsidR="00E77197" w:rsidRPr="00FF5839">
        <w:rPr>
          <w:rFonts w:asciiTheme="majorBidi" w:hAnsiTheme="majorBidi" w:cstheme="majorBidi"/>
          <w:sz w:val="24"/>
          <w:szCs w:val="24"/>
        </w:rPr>
        <w:t>.</w:t>
      </w:r>
      <w:r w:rsidR="00E77197">
        <w:rPr>
          <w:rFonts w:asciiTheme="majorBidi" w:hAnsiTheme="majorBidi" w:cstheme="majorBidi"/>
          <w:sz w:val="24"/>
          <w:szCs w:val="24"/>
        </w:rPr>
        <w:t xml:space="preserve"> </w:t>
      </w:r>
      <w:r w:rsidR="00665CAF">
        <w:rPr>
          <w:rFonts w:asciiTheme="majorBidi" w:hAnsiTheme="majorBidi" w:cstheme="majorBidi"/>
          <w:sz w:val="24"/>
          <w:szCs w:val="24"/>
        </w:rPr>
        <w:t>Accordingly</w:t>
      </w:r>
      <w:r w:rsidR="00A3384C">
        <w:rPr>
          <w:rFonts w:asciiTheme="majorBidi" w:hAnsiTheme="majorBidi" w:cstheme="majorBidi"/>
          <w:sz w:val="24"/>
          <w:szCs w:val="24"/>
        </w:rPr>
        <w:t xml:space="preserve">, income was measured based on a </w:t>
      </w:r>
      <w:r w:rsidR="00A3384C" w:rsidRPr="00004E03">
        <w:rPr>
          <w:rFonts w:asciiTheme="majorBidi" w:hAnsiTheme="majorBidi" w:cstheme="majorBidi"/>
          <w:sz w:val="24"/>
          <w:szCs w:val="24"/>
        </w:rPr>
        <w:t xml:space="preserve">scale </w:t>
      </w:r>
      <w:r w:rsidR="00E77197" w:rsidRPr="00004E03">
        <w:rPr>
          <w:rFonts w:asciiTheme="majorBidi" w:hAnsiTheme="majorBidi" w:cstheme="majorBidi"/>
          <w:sz w:val="24"/>
          <w:szCs w:val="24"/>
        </w:rPr>
        <w:t>developed for</w:t>
      </w:r>
      <w:r w:rsidR="00A3384C" w:rsidRPr="00004E03">
        <w:rPr>
          <w:rFonts w:asciiTheme="majorBidi" w:hAnsiTheme="majorBidi" w:cstheme="majorBidi"/>
          <w:sz w:val="24"/>
          <w:szCs w:val="24"/>
        </w:rPr>
        <w:t xml:space="preserve"> a different study </w:t>
      </w:r>
      <w:sdt>
        <w:sdtPr>
          <w:rPr>
            <w:rFonts w:asciiTheme="majorBidi" w:hAnsiTheme="majorBidi" w:cstheme="majorBidi"/>
            <w:sz w:val="24"/>
            <w:szCs w:val="24"/>
          </w:rPr>
          <w:id w:val="898939946"/>
          <w:citation/>
        </w:sdtPr>
        <w:sdtContent>
          <w:r w:rsidR="00A3384C" w:rsidRPr="00004E03">
            <w:rPr>
              <w:rFonts w:asciiTheme="majorBidi" w:hAnsiTheme="majorBidi" w:cstheme="majorBidi"/>
              <w:sz w:val="24"/>
              <w:szCs w:val="24"/>
            </w:rPr>
            <w:fldChar w:fldCharType="begin"/>
          </w:r>
          <w:r w:rsidR="00A3384C" w:rsidRPr="00004E03">
            <w:rPr>
              <w:rFonts w:asciiTheme="majorBidi" w:hAnsiTheme="majorBidi" w:cstheme="majorBidi"/>
              <w:sz w:val="24"/>
              <w:szCs w:val="24"/>
            </w:rPr>
            <w:instrText xml:space="preserve">CITATION Sal19 \t  \l 2057 </w:instrText>
          </w:r>
          <w:r w:rsidR="00A3384C" w:rsidRPr="00004E03">
            <w:rPr>
              <w:rFonts w:asciiTheme="majorBidi" w:hAnsiTheme="majorBidi" w:cstheme="majorBidi"/>
              <w:sz w:val="24"/>
              <w:szCs w:val="24"/>
            </w:rPr>
            <w:fldChar w:fldCharType="separate"/>
          </w:r>
          <w:r w:rsidR="00A3384C" w:rsidRPr="00004E03">
            <w:rPr>
              <w:rFonts w:asciiTheme="majorBidi" w:hAnsiTheme="majorBidi" w:cstheme="majorBidi"/>
              <w:sz w:val="24"/>
              <w:szCs w:val="24"/>
            </w:rPr>
            <w:t>(Saleem S. M., 2019)</w:t>
          </w:r>
          <w:r w:rsidR="00A3384C" w:rsidRPr="00004E03">
            <w:rPr>
              <w:rFonts w:asciiTheme="majorBidi" w:hAnsiTheme="majorBidi" w:cstheme="majorBidi"/>
              <w:sz w:val="24"/>
              <w:szCs w:val="24"/>
            </w:rPr>
            <w:fldChar w:fldCharType="end"/>
          </w:r>
        </w:sdtContent>
      </w:sdt>
      <w:r w:rsidR="00A3384C" w:rsidRPr="00004E03">
        <w:rPr>
          <w:rFonts w:asciiTheme="majorBidi" w:hAnsiTheme="majorBidi" w:cstheme="majorBidi"/>
          <w:sz w:val="24"/>
          <w:szCs w:val="24"/>
        </w:rPr>
        <w:t xml:space="preserve"> and adapted </w:t>
      </w:r>
      <w:r w:rsidR="00665CAF" w:rsidRPr="00004E03">
        <w:rPr>
          <w:rFonts w:asciiTheme="majorBidi" w:hAnsiTheme="majorBidi" w:cstheme="majorBidi"/>
          <w:sz w:val="24"/>
          <w:szCs w:val="24"/>
        </w:rPr>
        <w:t>using</w:t>
      </w:r>
      <w:r w:rsidR="00A3384C" w:rsidRPr="00004E03">
        <w:rPr>
          <w:rFonts w:asciiTheme="majorBidi" w:hAnsiTheme="majorBidi" w:cstheme="majorBidi"/>
          <w:sz w:val="24"/>
          <w:szCs w:val="24"/>
        </w:rPr>
        <w:t xml:space="preserve"> the Egyptian average household income</w:t>
      </w:r>
      <w:r w:rsidR="00A3384C">
        <w:rPr>
          <w:rFonts w:asciiTheme="majorBidi" w:hAnsiTheme="majorBidi" w:cstheme="majorBidi"/>
          <w:sz w:val="24"/>
          <w:szCs w:val="24"/>
        </w:rPr>
        <w:t xml:space="preserve"> </w:t>
      </w:r>
      <w:sdt>
        <w:sdtPr>
          <w:rPr>
            <w:rFonts w:asciiTheme="majorBidi" w:hAnsiTheme="majorBidi" w:cstheme="majorBidi"/>
            <w:sz w:val="24"/>
            <w:szCs w:val="24"/>
          </w:rPr>
          <w:id w:val="-166249415"/>
          <w:citation/>
        </w:sdtPr>
        <w:sdtContent>
          <w:r w:rsidR="00A3384C" w:rsidRPr="00112B90">
            <w:rPr>
              <w:rFonts w:asciiTheme="majorBidi" w:hAnsiTheme="majorBidi" w:cstheme="majorBidi"/>
              <w:sz w:val="24"/>
              <w:szCs w:val="24"/>
            </w:rPr>
            <w:fldChar w:fldCharType="begin"/>
          </w:r>
          <w:r w:rsidR="00A3384C" w:rsidRPr="00112B90">
            <w:rPr>
              <w:rFonts w:asciiTheme="majorBidi" w:hAnsiTheme="majorBidi" w:cstheme="majorBidi"/>
              <w:sz w:val="24"/>
              <w:szCs w:val="24"/>
            </w:rPr>
            <w:instrText xml:space="preserve"> CITATION Oxf22 \l 2057 </w:instrText>
          </w:r>
          <w:r w:rsidR="00A3384C" w:rsidRPr="00112B90">
            <w:rPr>
              <w:rFonts w:asciiTheme="majorBidi" w:hAnsiTheme="majorBidi" w:cstheme="majorBidi"/>
              <w:sz w:val="24"/>
              <w:szCs w:val="24"/>
            </w:rPr>
            <w:fldChar w:fldCharType="separate"/>
          </w:r>
          <w:r w:rsidR="00A3384C" w:rsidRPr="00112B90">
            <w:rPr>
              <w:rFonts w:asciiTheme="majorBidi" w:hAnsiTheme="majorBidi" w:cstheme="majorBidi"/>
              <w:sz w:val="24"/>
              <w:szCs w:val="24"/>
            </w:rPr>
            <w:t>(Oxford Business Group, 2022)</w:t>
          </w:r>
          <w:r w:rsidR="00A3384C" w:rsidRPr="00112B90">
            <w:rPr>
              <w:rFonts w:asciiTheme="majorBidi" w:hAnsiTheme="majorBidi" w:cstheme="majorBidi"/>
              <w:sz w:val="24"/>
              <w:szCs w:val="24"/>
            </w:rPr>
            <w:fldChar w:fldCharType="end"/>
          </w:r>
        </w:sdtContent>
      </w:sdt>
      <w:r w:rsidR="00A3384C">
        <w:rPr>
          <w:rFonts w:asciiTheme="majorBidi" w:hAnsiTheme="majorBidi" w:cstheme="majorBidi"/>
          <w:sz w:val="24"/>
          <w:szCs w:val="24"/>
        </w:rPr>
        <w:t>.</w:t>
      </w:r>
      <w:r w:rsidR="00FF5839">
        <w:rPr>
          <w:rFonts w:asciiTheme="majorBidi" w:hAnsiTheme="majorBidi" w:cstheme="majorBidi"/>
          <w:sz w:val="24"/>
          <w:szCs w:val="24"/>
        </w:rPr>
        <w:t xml:space="preserve"> </w:t>
      </w:r>
      <w:r w:rsidR="00FF5839" w:rsidRPr="00FF5839">
        <w:rPr>
          <w:rFonts w:asciiTheme="majorBidi" w:hAnsiTheme="majorBidi" w:cstheme="majorBidi"/>
          <w:sz w:val="24"/>
          <w:szCs w:val="24"/>
        </w:rPr>
        <w:t>This</w:t>
      </w:r>
      <w:r w:rsidR="00FF5839">
        <w:rPr>
          <w:rFonts w:asciiTheme="majorBidi" w:hAnsiTheme="majorBidi" w:cstheme="majorBidi"/>
          <w:sz w:val="24"/>
          <w:szCs w:val="24"/>
        </w:rPr>
        <w:t xml:space="preserve"> scale is presented in the questionnaire in appendix </w:t>
      </w:r>
      <w:r w:rsidR="009B788D">
        <w:rPr>
          <w:rFonts w:asciiTheme="majorBidi" w:hAnsiTheme="majorBidi" w:cstheme="majorBidi"/>
          <w:sz w:val="24"/>
          <w:szCs w:val="24"/>
        </w:rPr>
        <w:t>C</w:t>
      </w:r>
      <w:r w:rsidR="00FF5839">
        <w:rPr>
          <w:rFonts w:asciiTheme="majorBidi" w:hAnsiTheme="majorBidi" w:cstheme="majorBidi"/>
          <w:sz w:val="24"/>
          <w:szCs w:val="24"/>
        </w:rPr>
        <w:t xml:space="preserve">. </w:t>
      </w:r>
      <w:r w:rsidR="00E77197">
        <w:rPr>
          <w:rFonts w:asciiTheme="majorBidi" w:hAnsiTheme="majorBidi" w:cstheme="majorBidi"/>
          <w:sz w:val="24"/>
          <w:szCs w:val="24"/>
        </w:rPr>
        <w:t>The household income was deemed to be more appropriate to use in this study as one of the components of the social economic status of respondents.</w:t>
      </w:r>
      <w:r w:rsidR="00FF5839">
        <w:rPr>
          <w:rFonts w:asciiTheme="majorBidi" w:hAnsiTheme="majorBidi" w:cstheme="majorBidi"/>
          <w:sz w:val="24"/>
          <w:szCs w:val="24"/>
        </w:rPr>
        <w:t xml:space="preserve"> This is because, even though the gap between men and women in the labour force in Egypt is decreasing, </w:t>
      </w:r>
      <w:r w:rsidR="00665CAF">
        <w:rPr>
          <w:rFonts w:asciiTheme="majorBidi" w:hAnsiTheme="majorBidi" w:cstheme="majorBidi"/>
          <w:sz w:val="24"/>
          <w:szCs w:val="24"/>
        </w:rPr>
        <w:t xml:space="preserve">still, </w:t>
      </w:r>
      <w:r w:rsidR="00FF5839">
        <w:rPr>
          <w:rFonts w:asciiTheme="majorBidi" w:hAnsiTheme="majorBidi" w:cstheme="majorBidi"/>
          <w:sz w:val="24"/>
          <w:szCs w:val="24"/>
        </w:rPr>
        <w:t>c</w:t>
      </w:r>
      <w:r w:rsidR="00FF5839" w:rsidRPr="00FF5839">
        <w:rPr>
          <w:rFonts w:asciiTheme="majorBidi" w:hAnsiTheme="majorBidi" w:cstheme="majorBidi"/>
          <w:sz w:val="24"/>
          <w:szCs w:val="24"/>
        </w:rPr>
        <w:t xml:space="preserve">ompared to </w:t>
      </w:r>
    </w:p>
    <w:p w14:paraId="4B7132B6" w14:textId="77777777" w:rsidR="008F0863" w:rsidRDefault="008F0863">
      <w:pPr>
        <w:rPr>
          <w:rFonts w:asciiTheme="majorBidi" w:hAnsiTheme="majorBidi" w:cstheme="majorBidi"/>
          <w:sz w:val="24"/>
          <w:szCs w:val="24"/>
        </w:rPr>
      </w:pPr>
      <w:r>
        <w:rPr>
          <w:rFonts w:asciiTheme="majorBidi" w:hAnsiTheme="majorBidi" w:cstheme="majorBidi"/>
          <w:sz w:val="24"/>
          <w:szCs w:val="24"/>
        </w:rPr>
        <w:br w:type="page"/>
      </w:r>
    </w:p>
    <w:p w14:paraId="2154195C" w14:textId="7F71CA77" w:rsidR="00BD0BC6" w:rsidRDefault="00FF5839" w:rsidP="00665CAF">
      <w:pPr>
        <w:spacing w:after="0" w:line="480" w:lineRule="auto"/>
        <w:rPr>
          <w:rFonts w:asciiTheme="majorBidi" w:hAnsiTheme="majorBidi" w:cstheme="majorBidi"/>
          <w:sz w:val="24"/>
          <w:szCs w:val="24"/>
        </w:rPr>
      </w:pPr>
      <w:r w:rsidRPr="00FF5839">
        <w:rPr>
          <w:rFonts w:asciiTheme="majorBidi" w:hAnsiTheme="majorBidi" w:cstheme="majorBidi"/>
          <w:sz w:val="24"/>
          <w:szCs w:val="24"/>
        </w:rPr>
        <w:t xml:space="preserve">65% of men, women only make up 18% of the workforce </w:t>
      </w:r>
      <w:sdt>
        <w:sdtPr>
          <w:rPr>
            <w:rFonts w:asciiTheme="majorBidi" w:hAnsiTheme="majorBidi" w:cstheme="majorBidi"/>
            <w:sz w:val="24"/>
            <w:szCs w:val="24"/>
          </w:rPr>
          <w:id w:val="-1548445538"/>
          <w:citation/>
        </w:sdtPr>
        <w:sdtContent>
          <w:r w:rsidRPr="00FF5839">
            <w:rPr>
              <w:rFonts w:asciiTheme="majorBidi" w:hAnsiTheme="majorBidi" w:cstheme="majorBidi"/>
              <w:sz w:val="24"/>
              <w:szCs w:val="24"/>
            </w:rPr>
            <w:fldChar w:fldCharType="begin"/>
          </w:r>
          <w:r w:rsidRPr="00FF5839">
            <w:rPr>
              <w:rFonts w:asciiTheme="majorBidi" w:hAnsiTheme="majorBidi" w:cstheme="majorBidi"/>
              <w:sz w:val="24"/>
              <w:szCs w:val="24"/>
            </w:rPr>
            <w:instrText xml:space="preserve"> CITATION Zhu22 \l 2057 </w:instrText>
          </w:r>
          <w:r w:rsidRPr="00FF5839">
            <w:rPr>
              <w:rFonts w:asciiTheme="majorBidi" w:hAnsiTheme="majorBidi" w:cstheme="majorBidi"/>
              <w:sz w:val="24"/>
              <w:szCs w:val="24"/>
            </w:rPr>
            <w:fldChar w:fldCharType="separate"/>
          </w:r>
          <w:r w:rsidRPr="00FF5839">
            <w:rPr>
              <w:rFonts w:asciiTheme="majorBidi" w:hAnsiTheme="majorBidi" w:cstheme="majorBidi"/>
              <w:noProof/>
              <w:sz w:val="24"/>
              <w:szCs w:val="24"/>
            </w:rPr>
            <w:t>(Zhu, 2022)</w:t>
          </w:r>
          <w:r w:rsidRPr="00FF5839">
            <w:rPr>
              <w:rFonts w:asciiTheme="majorBidi" w:hAnsiTheme="majorBidi" w:cstheme="majorBidi"/>
              <w:sz w:val="24"/>
              <w:szCs w:val="24"/>
            </w:rPr>
            <w:fldChar w:fldCharType="end"/>
          </w:r>
        </w:sdtContent>
      </w:sdt>
      <w:r w:rsidRPr="00FF5839">
        <w:rPr>
          <w:rFonts w:asciiTheme="majorBidi" w:hAnsiTheme="majorBidi" w:cstheme="majorBidi"/>
          <w:sz w:val="24"/>
          <w:szCs w:val="24"/>
        </w:rPr>
        <w:t xml:space="preserve">. </w:t>
      </w:r>
      <w:r w:rsidR="00901611">
        <w:rPr>
          <w:rFonts w:asciiTheme="majorBidi" w:hAnsiTheme="majorBidi" w:cstheme="majorBidi"/>
          <w:sz w:val="24"/>
          <w:szCs w:val="24"/>
        </w:rPr>
        <w:t xml:space="preserve">In fact, it is a common belief in Egypt that men are the main providers of their </w:t>
      </w:r>
      <w:r w:rsidR="009B5106">
        <w:rPr>
          <w:rFonts w:asciiTheme="majorBidi" w:hAnsiTheme="majorBidi" w:cstheme="majorBidi"/>
          <w:sz w:val="24"/>
          <w:szCs w:val="24"/>
        </w:rPr>
        <w:t>households</w:t>
      </w:r>
      <w:sdt>
        <w:sdtPr>
          <w:rPr>
            <w:rFonts w:asciiTheme="majorBidi" w:hAnsiTheme="majorBidi" w:cstheme="majorBidi"/>
            <w:sz w:val="24"/>
            <w:szCs w:val="24"/>
          </w:rPr>
          <w:id w:val="1208305095"/>
          <w:citation/>
        </w:sdtPr>
        <w:sdtContent>
          <w:r w:rsidR="00B2597A">
            <w:rPr>
              <w:rFonts w:asciiTheme="majorBidi" w:hAnsiTheme="majorBidi" w:cstheme="majorBidi"/>
              <w:sz w:val="24"/>
              <w:szCs w:val="24"/>
            </w:rPr>
            <w:fldChar w:fldCharType="begin"/>
          </w:r>
          <w:r w:rsidR="00B2597A">
            <w:rPr>
              <w:rFonts w:asciiTheme="majorBidi" w:hAnsiTheme="majorBidi" w:cstheme="majorBidi"/>
              <w:sz w:val="24"/>
              <w:szCs w:val="24"/>
            </w:rPr>
            <w:instrText xml:space="preserve"> CITATION Cas17 \l 2057 </w:instrText>
          </w:r>
          <w:r w:rsidR="00B2597A">
            <w:rPr>
              <w:rFonts w:asciiTheme="majorBidi" w:hAnsiTheme="majorBidi" w:cstheme="majorBidi"/>
              <w:sz w:val="24"/>
              <w:szCs w:val="24"/>
            </w:rPr>
            <w:fldChar w:fldCharType="separate"/>
          </w:r>
          <w:r w:rsidR="00B2597A">
            <w:rPr>
              <w:rFonts w:asciiTheme="majorBidi" w:hAnsiTheme="majorBidi" w:cstheme="majorBidi"/>
              <w:noProof/>
              <w:sz w:val="24"/>
              <w:szCs w:val="24"/>
            </w:rPr>
            <w:t xml:space="preserve"> </w:t>
          </w:r>
          <w:r w:rsidR="00B2597A" w:rsidRPr="00B2597A">
            <w:rPr>
              <w:rFonts w:asciiTheme="majorBidi" w:hAnsiTheme="majorBidi" w:cstheme="majorBidi"/>
              <w:noProof/>
              <w:sz w:val="24"/>
              <w:szCs w:val="24"/>
            </w:rPr>
            <w:t>(Cass, 2017)</w:t>
          </w:r>
          <w:r w:rsidR="00B2597A">
            <w:rPr>
              <w:rFonts w:asciiTheme="majorBidi" w:hAnsiTheme="majorBidi" w:cstheme="majorBidi"/>
              <w:sz w:val="24"/>
              <w:szCs w:val="24"/>
            </w:rPr>
            <w:fldChar w:fldCharType="end"/>
          </w:r>
        </w:sdtContent>
      </w:sdt>
      <w:r w:rsidR="009B5106">
        <w:rPr>
          <w:rFonts w:asciiTheme="majorBidi" w:hAnsiTheme="majorBidi" w:cstheme="majorBidi"/>
          <w:sz w:val="24"/>
          <w:szCs w:val="24"/>
        </w:rPr>
        <w:t xml:space="preserve">. </w:t>
      </w:r>
      <w:r w:rsidR="00665CAF">
        <w:rPr>
          <w:rFonts w:asciiTheme="majorBidi" w:hAnsiTheme="majorBidi" w:cstheme="majorBidi"/>
          <w:sz w:val="24"/>
          <w:szCs w:val="24"/>
        </w:rPr>
        <w:t>E</w:t>
      </w:r>
      <w:r w:rsidR="009B5106" w:rsidRPr="00FF5839">
        <w:rPr>
          <w:rFonts w:asciiTheme="majorBidi" w:hAnsiTheme="majorBidi" w:cstheme="majorBidi"/>
          <w:sz w:val="24"/>
          <w:szCs w:val="24"/>
        </w:rPr>
        <w:t xml:space="preserve">ven </w:t>
      </w:r>
      <w:r w:rsidR="009B5106">
        <w:rPr>
          <w:rFonts w:asciiTheme="majorBidi" w:hAnsiTheme="majorBidi" w:cstheme="majorBidi"/>
          <w:sz w:val="24"/>
          <w:szCs w:val="24"/>
        </w:rPr>
        <w:t xml:space="preserve">though </w:t>
      </w:r>
      <w:r w:rsidR="009B5106" w:rsidRPr="00FF5839">
        <w:rPr>
          <w:rFonts w:asciiTheme="majorBidi" w:hAnsiTheme="majorBidi" w:cstheme="majorBidi"/>
          <w:sz w:val="24"/>
          <w:szCs w:val="24"/>
        </w:rPr>
        <w:t xml:space="preserve">men or the husbands paid for the household </w:t>
      </w:r>
      <w:r w:rsidR="009B5106" w:rsidRPr="00C645E6">
        <w:rPr>
          <w:rFonts w:asciiTheme="majorBidi" w:hAnsiTheme="majorBidi" w:cstheme="majorBidi"/>
          <w:sz w:val="24"/>
          <w:szCs w:val="24"/>
        </w:rPr>
        <w:t xml:space="preserve">allowance </w:t>
      </w:r>
      <w:sdt>
        <w:sdtPr>
          <w:rPr>
            <w:rFonts w:asciiTheme="majorBidi" w:hAnsiTheme="majorBidi" w:cstheme="majorBidi"/>
            <w:sz w:val="24"/>
            <w:szCs w:val="24"/>
          </w:rPr>
          <w:id w:val="2069297945"/>
          <w:citation/>
        </w:sdtPr>
        <w:sdtContent>
          <w:r w:rsidR="009B5106" w:rsidRPr="00C645E6">
            <w:rPr>
              <w:rFonts w:asciiTheme="majorBidi" w:hAnsiTheme="majorBidi" w:cstheme="majorBidi"/>
              <w:sz w:val="24"/>
              <w:szCs w:val="24"/>
            </w:rPr>
            <w:fldChar w:fldCharType="begin"/>
          </w:r>
          <w:r w:rsidR="009B5106" w:rsidRPr="00C645E6">
            <w:rPr>
              <w:rFonts w:asciiTheme="majorBidi" w:hAnsiTheme="majorBidi" w:cstheme="majorBidi"/>
              <w:sz w:val="24"/>
              <w:szCs w:val="24"/>
            </w:rPr>
            <w:instrText xml:space="preserve"> CITATION abd17 \l 2057  \m Kab20</w:instrText>
          </w:r>
          <w:r w:rsidR="009B5106">
            <w:rPr>
              <w:rFonts w:asciiTheme="majorBidi" w:hAnsiTheme="majorBidi" w:cstheme="majorBidi"/>
              <w:sz w:val="24"/>
              <w:szCs w:val="24"/>
            </w:rPr>
            <w:instrText xml:space="preserve"> \m Sam19</w:instrText>
          </w:r>
          <w:r w:rsidR="009B5106" w:rsidRPr="00C645E6">
            <w:rPr>
              <w:rFonts w:asciiTheme="majorBidi" w:hAnsiTheme="majorBidi" w:cstheme="majorBidi"/>
              <w:sz w:val="24"/>
              <w:szCs w:val="24"/>
            </w:rPr>
            <w:fldChar w:fldCharType="separate"/>
          </w:r>
          <w:r w:rsidR="009B5106" w:rsidRPr="00C645E6">
            <w:rPr>
              <w:rFonts w:asciiTheme="majorBidi" w:hAnsiTheme="majorBidi" w:cstheme="majorBidi"/>
              <w:noProof/>
              <w:sz w:val="24"/>
              <w:szCs w:val="24"/>
            </w:rPr>
            <w:t>(Abd El Gawad , 2017; Kabil, 2020; Samari &amp; Pebley, 2019)</w:t>
          </w:r>
          <w:r w:rsidR="009B5106" w:rsidRPr="00C645E6">
            <w:rPr>
              <w:rFonts w:asciiTheme="majorBidi" w:hAnsiTheme="majorBidi" w:cstheme="majorBidi"/>
              <w:sz w:val="24"/>
              <w:szCs w:val="24"/>
            </w:rPr>
            <w:fldChar w:fldCharType="end"/>
          </w:r>
        </w:sdtContent>
      </w:sdt>
      <w:r w:rsidR="00665CAF">
        <w:rPr>
          <w:rFonts w:asciiTheme="majorBidi" w:hAnsiTheme="majorBidi" w:cstheme="majorBidi"/>
          <w:sz w:val="24"/>
          <w:szCs w:val="24"/>
        </w:rPr>
        <w:t>,</w:t>
      </w:r>
      <w:r w:rsidR="009B5106">
        <w:rPr>
          <w:rFonts w:asciiTheme="majorBidi" w:hAnsiTheme="majorBidi" w:cstheme="majorBidi"/>
          <w:sz w:val="24"/>
          <w:szCs w:val="24"/>
        </w:rPr>
        <w:t xml:space="preserve"> </w:t>
      </w:r>
      <w:r w:rsidR="00665CAF">
        <w:rPr>
          <w:rFonts w:asciiTheme="majorBidi" w:hAnsiTheme="majorBidi" w:cstheme="majorBidi"/>
          <w:sz w:val="24"/>
          <w:szCs w:val="24"/>
        </w:rPr>
        <w:t>i</w:t>
      </w:r>
      <w:r w:rsidRPr="00FF5839">
        <w:rPr>
          <w:rFonts w:asciiTheme="majorBidi" w:hAnsiTheme="majorBidi" w:cstheme="majorBidi"/>
          <w:sz w:val="24"/>
          <w:szCs w:val="24"/>
        </w:rPr>
        <w:t xml:space="preserve">t appears in literature that women, especially the married ones, are the decision-makers of household chores such as grocery shopping </w:t>
      </w:r>
      <w:sdt>
        <w:sdtPr>
          <w:rPr>
            <w:rFonts w:asciiTheme="majorBidi" w:hAnsiTheme="majorBidi" w:cstheme="majorBidi"/>
            <w:sz w:val="24"/>
            <w:szCs w:val="24"/>
          </w:rPr>
          <w:id w:val="1760019509"/>
          <w:citation/>
        </w:sdtPr>
        <w:sdtContent>
          <w:r w:rsidRPr="00FF5839">
            <w:rPr>
              <w:rFonts w:asciiTheme="majorBidi" w:hAnsiTheme="majorBidi" w:cstheme="majorBidi"/>
              <w:sz w:val="24"/>
              <w:szCs w:val="24"/>
            </w:rPr>
            <w:fldChar w:fldCharType="begin"/>
          </w:r>
          <w:r w:rsidRPr="00FF5839">
            <w:rPr>
              <w:rFonts w:asciiTheme="majorBidi" w:hAnsiTheme="majorBidi" w:cstheme="majorBidi"/>
              <w:sz w:val="24"/>
              <w:szCs w:val="24"/>
            </w:rPr>
            <w:instrText xml:space="preserve">CITATION IPS16 \l 2057 </w:instrText>
          </w:r>
          <w:r w:rsidRPr="00FF5839">
            <w:rPr>
              <w:rFonts w:asciiTheme="majorBidi" w:hAnsiTheme="majorBidi" w:cstheme="majorBidi"/>
              <w:sz w:val="24"/>
              <w:szCs w:val="24"/>
            </w:rPr>
            <w:fldChar w:fldCharType="separate"/>
          </w:r>
          <w:r w:rsidRPr="00FF5839">
            <w:rPr>
              <w:rFonts w:asciiTheme="majorBidi" w:hAnsiTheme="majorBidi" w:cstheme="majorBidi"/>
              <w:noProof/>
              <w:sz w:val="24"/>
              <w:szCs w:val="24"/>
            </w:rPr>
            <w:t>(IPSOS, 2016)</w:t>
          </w:r>
          <w:r w:rsidRPr="00FF5839">
            <w:rPr>
              <w:rFonts w:asciiTheme="majorBidi" w:hAnsiTheme="majorBidi" w:cstheme="majorBidi"/>
              <w:sz w:val="24"/>
              <w:szCs w:val="24"/>
            </w:rPr>
            <w:fldChar w:fldCharType="end"/>
          </w:r>
        </w:sdtContent>
      </w:sdt>
      <w:r w:rsidRPr="00C645E6">
        <w:rPr>
          <w:rFonts w:asciiTheme="majorBidi" w:hAnsiTheme="majorBidi" w:cstheme="majorBidi"/>
          <w:sz w:val="24"/>
          <w:szCs w:val="24"/>
        </w:rPr>
        <w:t>.</w:t>
      </w:r>
      <w:r w:rsidR="00C645E6">
        <w:rPr>
          <w:rFonts w:asciiTheme="majorBidi" w:hAnsiTheme="majorBidi" w:cstheme="majorBidi"/>
          <w:sz w:val="24"/>
          <w:szCs w:val="24"/>
        </w:rPr>
        <w:t xml:space="preserve"> </w:t>
      </w:r>
      <w:r w:rsidR="00E77197">
        <w:rPr>
          <w:rFonts w:asciiTheme="majorBidi" w:hAnsiTheme="majorBidi" w:cstheme="majorBidi"/>
          <w:sz w:val="24"/>
          <w:szCs w:val="24"/>
        </w:rPr>
        <w:t xml:space="preserve">Furthermore, </w:t>
      </w:r>
      <w:r w:rsidR="00BD0BC6">
        <w:rPr>
          <w:rFonts w:asciiTheme="majorBidi" w:hAnsiTheme="majorBidi" w:cstheme="majorBidi"/>
          <w:sz w:val="24"/>
          <w:szCs w:val="24"/>
        </w:rPr>
        <w:t xml:space="preserve">in this study, </w:t>
      </w:r>
      <w:r w:rsidR="00B36550">
        <w:rPr>
          <w:rFonts w:asciiTheme="majorBidi" w:hAnsiTheme="majorBidi" w:cstheme="majorBidi"/>
          <w:sz w:val="24"/>
          <w:szCs w:val="24"/>
        </w:rPr>
        <w:t>c</w:t>
      </w:r>
      <w:r w:rsidR="007A225E">
        <w:rPr>
          <w:rFonts w:asciiTheme="majorBidi" w:hAnsiTheme="majorBidi" w:cstheme="majorBidi"/>
          <w:sz w:val="24"/>
          <w:szCs w:val="24"/>
        </w:rPr>
        <w:t>onstructs measuring educational background were adapted from a previous study conducted in Egypt</w:t>
      </w:r>
      <w:sdt>
        <w:sdtPr>
          <w:rPr>
            <w:rFonts w:asciiTheme="majorBidi" w:hAnsiTheme="majorBidi" w:cstheme="majorBidi"/>
            <w:sz w:val="24"/>
            <w:szCs w:val="24"/>
          </w:rPr>
          <w:id w:val="1334726210"/>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Hef21 \l 2057 </w:instrText>
          </w:r>
          <w:r w:rsidR="007A225E">
            <w:rPr>
              <w:rFonts w:asciiTheme="majorBidi" w:hAnsiTheme="majorBidi" w:cstheme="majorBidi"/>
              <w:sz w:val="24"/>
              <w:szCs w:val="24"/>
            </w:rPr>
            <w:fldChar w:fldCharType="separate"/>
          </w:r>
          <w:r w:rsidR="007A225E">
            <w:rPr>
              <w:rFonts w:asciiTheme="majorBidi" w:hAnsiTheme="majorBidi" w:cstheme="majorBidi"/>
              <w:sz w:val="24"/>
              <w:szCs w:val="24"/>
            </w:rPr>
            <w:t xml:space="preserve"> </w:t>
          </w:r>
          <w:r w:rsidR="007A225E" w:rsidRPr="0074573E">
            <w:rPr>
              <w:rFonts w:asciiTheme="majorBidi" w:hAnsiTheme="majorBidi" w:cstheme="majorBidi"/>
              <w:sz w:val="24"/>
              <w:szCs w:val="24"/>
            </w:rPr>
            <w:t>(Hefny, 2021)</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Additionally, a question about the occupational status was asked using 9 major occupational classifications </w:t>
      </w:r>
      <w:sdt>
        <w:sdtPr>
          <w:rPr>
            <w:rFonts w:asciiTheme="majorBidi" w:hAnsiTheme="majorBidi" w:cstheme="majorBidi"/>
            <w:sz w:val="24"/>
            <w:szCs w:val="24"/>
          </w:rPr>
          <w:id w:val="-1656834538"/>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Gan03 \l 2057 </w:instrText>
          </w:r>
          <w:r w:rsidR="007A225E">
            <w:rPr>
              <w:rFonts w:asciiTheme="majorBidi" w:hAnsiTheme="majorBidi" w:cstheme="majorBidi"/>
              <w:sz w:val="24"/>
              <w:szCs w:val="24"/>
            </w:rPr>
            <w:fldChar w:fldCharType="separate"/>
          </w:r>
          <w:r w:rsidR="007A225E" w:rsidRPr="0074573E">
            <w:rPr>
              <w:rFonts w:asciiTheme="majorBidi" w:hAnsiTheme="majorBidi" w:cstheme="majorBidi"/>
              <w:sz w:val="24"/>
              <w:szCs w:val="24"/>
            </w:rPr>
            <w:t>(Ganzeboom &amp; Treiman, 2003)</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that was later used in a more recent study </w:t>
      </w:r>
      <w:sdt>
        <w:sdtPr>
          <w:rPr>
            <w:rFonts w:asciiTheme="majorBidi" w:hAnsiTheme="majorBidi" w:cstheme="majorBidi"/>
            <w:sz w:val="24"/>
            <w:szCs w:val="24"/>
          </w:rPr>
          <w:id w:val="-793365773"/>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CITATION Sal19 \t  \l 2057 </w:instrText>
          </w:r>
          <w:r w:rsidR="007A225E">
            <w:rPr>
              <w:rFonts w:asciiTheme="majorBidi" w:hAnsiTheme="majorBidi" w:cstheme="majorBidi"/>
              <w:sz w:val="24"/>
              <w:szCs w:val="24"/>
            </w:rPr>
            <w:fldChar w:fldCharType="separate"/>
          </w:r>
          <w:r w:rsidR="007A225E" w:rsidRPr="00EA732A">
            <w:rPr>
              <w:rFonts w:asciiTheme="majorBidi" w:hAnsiTheme="majorBidi" w:cstheme="majorBidi"/>
              <w:sz w:val="24"/>
              <w:szCs w:val="24"/>
            </w:rPr>
            <w:t>(Saleem, 2019)</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w:t>
      </w:r>
      <w:r w:rsidR="000B49C1">
        <w:rPr>
          <w:rFonts w:asciiTheme="majorBidi" w:hAnsiTheme="majorBidi" w:cstheme="majorBidi"/>
          <w:sz w:val="24"/>
          <w:szCs w:val="24"/>
        </w:rPr>
        <w:t xml:space="preserve"> </w:t>
      </w:r>
    </w:p>
    <w:p w14:paraId="2EF602DD" w14:textId="5DEE8D90" w:rsidR="007A225E" w:rsidRPr="006870FF" w:rsidRDefault="006870FF" w:rsidP="006870FF">
      <w:pPr>
        <w:spacing w:after="0" w:line="480" w:lineRule="auto"/>
        <w:rPr>
          <w:rFonts w:asciiTheme="majorBidi" w:hAnsiTheme="majorBidi" w:cstheme="majorBidi"/>
          <w:sz w:val="24"/>
          <w:szCs w:val="24"/>
        </w:rPr>
      </w:pPr>
      <w:r>
        <w:rPr>
          <w:rFonts w:asciiTheme="majorBidi" w:hAnsiTheme="majorBidi" w:cstheme="majorBidi"/>
          <w:sz w:val="24"/>
          <w:szCs w:val="24"/>
        </w:rPr>
        <w:tab/>
      </w:r>
      <w:r w:rsidR="007A225E">
        <w:rPr>
          <w:rFonts w:asciiTheme="majorBidi" w:hAnsiTheme="majorBidi" w:cstheme="majorBidi"/>
          <w:sz w:val="24"/>
          <w:szCs w:val="24"/>
        </w:rPr>
        <w:t xml:space="preserve">Lastly, the questionnaire ended by explaining the next stage of the study and asking respondents to provide their email addresses to contact them on if they would like to participate in interviews. </w:t>
      </w:r>
      <w:r w:rsidR="00112B90">
        <w:rPr>
          <w:rFonts w:asciiTheme="majorBidi" w:hAnsiTheme="majorBidi" w:cstheme="majorBidi"/>
          <w:sz w:val="24"/>
          <w:szCs w:val="24"/>
        </w:rPr>
        <w:t xml:space="preserve">The average estimated duration to complete the survey was around 10 minutes including the duration of the stimuli. </w:t>
      </w:r>
      <w:r w:rsidR="007A225E">
        <w:rPr>
          <w:rFonts w:asciiTheme="majorBidi" w:hAnsiTheme="majorBidi" w:cstheme="majorBidi"/>
          <w:sz w:val="24"/>
          <w:szCs w:val="24"/>
        </w:rPr>
        <w:t xml:space="preserve">The final questionnaire used to collect data for this study is provided in appendix </w:t>
      </w:r>
      <w:r w:rsidR="009B788D">
        <w:rPr>
          <w:rFonts w:asciiTheme="majorBidi" w:hAnsiTheme="majorBidi" w:cstheme="majorBidi"/>
          <w:sz w:val="24"/>
          <w:szCs w:val="24"/>
        </w:rPr>
        <w:t>C</w:t>
      </w:r>
      <w:r w:rsidR="007A225E">
        <w:rPr>
          <w:rFonts w:asciiTheme="majorBidi" w:hAnsiTheme="majorBidi" w:cstheme="majorBidi"/>
          <w:sz w:val="24"/>
          <w:szCs w:val="24"/>
        </w:rPr>
        <w:t xml:space="preserve">. </w:t>
      </w:r>
      <w:r>
        <w:rPr>
          <w:rFonts w:asciiTheme="majorBidi" w:hAnsiTheme="majorBidi" w:cstheme="majorBidi"/>
          <w:sz w:val="24"/>
          <w:szCs w:val="24"/>
        </w:rPr>
        <w:t>E</w:t>
      </w:r>
      <w:r w:rsidRPr="00791F5B">
        <w:rPr>
          <w:rFonts w:asciiTheme="majorBidi" w:hAnsiTheme="majorBidi" w:cstheme="majorBidi"/>
          <w:sz w:val="24"/>
          <w:szCs w:val="24"/>
        </w:rPr>
        <w:t>ven though Arabic is the official language of Egypt, English is widely used</w:t>
      </w:r>
      <w:r>
        <w:rPr>
          <w:rFonts w:asciiTheme="majorBidi" w:hAnsiTheme="majorBidi" w:cstheme="majorBidi"/>
          <w:sz w:val="24"/>
          <w:szCs w:val="24"/>
        </w:rPr>
        <w:t xml:space="preserve"> </w:t>
      </w:r>
      <w:sdt>
        <w:sdtPr>
          <w:rPr>
            <w:rFonts w:asciiTheme="majorBidi" w:hAnsiTheme="majorBidi" w:cstheme="majorBidi"/>
            <w:sz w:val="24"/>
            <w:szCs w:val="24"/>
          </w:rPr>
          <w:id w:val="-74163941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Aya17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(Ayad, 2017)</w:t>
          </w:r>
          <w:r>
            <w:rPr>
              <w:rFonts w:asciiTheme="majorBidi" w:hAnsiTheme="majorBidi" w:cstheme="majorBidi"/>
              <w:sz w:val="24"/>
              <w:szCs w:val="24"/>
            </w:rPr>
            <w:fldChar w:fldCharType="end"/>
          </w:r>
        </w:sdtContent>
      </w:sdt>
      <w:r>
        <w:rPr>
          <w:rFonts w:asciiTheme="majorBidi" w:hAnsiTheme="majorBidi" w:cstheme="majorBidi"/>
          <w:sz w:val="24"/>
          <w:szCs w:val="24"/>
        </w:rPr>
        <w:t>. The questionnaire was administered in English and Arabic to the respondents to choose from based on their preference. Although 70% of the respondents in the pilot study answered the survey in English, it was necessary to provide the survey in Arabic as well so that no potential respondent gets excluded due to language barrier</w:t>
      </w:r>
      <w:r w:rsidRPr="006870FF">
        <w:rPr>
          <w:rFonts w:asciiTheme="majorBidi" w:hAnsiTheme="majorBidi" w:cstheme="majorBidi"/>
          <w:sz w:val="24"/>
          <w:szCs w:val="24"/>
        </w:rPr>
        <w:t xml:space="preserve"> </w:t>
      </w:r>
      <w:sdt>
        <w:sdtPr>
          <w:rPr>
            <w:rFonts w:asciiTheme="majorBidi" w:hAnsiTheme="majorBidi" w:cstheme="majorBidi"/>
            <w:sz w:val="24"/>
            <w:szCs w:val="24"/>
          </w:rPr>
          <w:id w:val="-23446868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Sha201 \l 2057 </w:instrText>
          </w:r>
          <w:r>
            <w:rPr>
              <w:rFonts w:asciiTheme="majorBidi" w:hAnsiTheme="majorBidi" w:cstheme="majorBidi"/>
              <w:sz w:val="24"/>
              <w:szCs w:val="24"/>
            </w:rPr>
            <w:fldChar w:fldCharType="separate"/>
          </w:r>
          <w:r w:rsidRPr="004E2C74">
            <w:rPr>
              <w:rFonts w:asciiTheme="majorBidi" w:hAnsiTheme="majorBidi" w:cstheme="majorBidi"/>
              <w:noProof/>
              <w:sz w:val="24"/>
              <w:szCs w:val="24"/>
            </w:rPr>
            <w:t>(Sha &amp; Gabel, 2020)</w:t>
          </w:r>
          <w:r>
            <w:rPr>
              <w:rFonts w:asciiTheme="majorBidi" w:hAnsiTheme="majorBidi" w:cstheme="majorBidi"/>
              <w:sz w:val="24"/>
              <w:szCs w:val="24"/>
            </w:rPr>
            <w:fldChar w:fldCharType="end"/>
          </w:r>
        </w:sdtContent>
      </w:sdt>
      <w:r>
        <w:rPr>
          <w:rFonts w:asciiTheme="majorBidi" w:hAnsiTheme="majorBidi" w:cstheme="majorBidi"/>
          <w:sz w:val="24"/>
          <w:szCs w:val="24"/>
        </w:rPr>
        <w:t>. The following section explains the sampling method applied in this research.</w:t>
      </w:r>
    </w:p>
    <w:p w14:paraId="2ED89427" w14:textId="5D694686" w:rsidR="007A225E" w:rsidRPr="006F4423" w:rsidRDefault="007A225E" w:rsidP="007A225E">
      <w:pPr>
        <w:rPr>
          <w:rFonts w:asciiTheme="majorBidi" w:hAnsiTheme="majorBidi" w:cstheme="majorBidi"/>
          <w:b/>
          <w:bCs/>
          <w:sz w:val="24"/>
          <w:szCs w:val="24"/>
        </w:rPr>
      </w:pPr>
      <w:bookmarkStart w:id="144" w:name="_Hlk143714794"/>
      <w:r>
        <w:rPr>
          <w:rFonts w:asciiTheme="majorBidi" w:hAnsiTheme="majorBidi" w:cstheme="majorBidi"/>
          <w:b/>
          <w:bCs/>
          <w:sz w:val="24"/>
          <w:szCs w:val="24"/>
        </w:rPr>
        <w:t>5</w:t>
      </w:r>
      <w:r w:rsidRPr="006F4423">
        <w:rPr>
          <w:rFonts w:asciiTheme="majorBidi" w:hAnsiTheme="majorBidi" w:cstheme="majorBidi"/>
          <w:b/>
          <w:bCs/>
          <w:sz w:val="24"/>
          <w:szCs w:val="24"/>
        </w:rPr>
        <w:t>.</w:t>
      </w:r>
      <w:r w:rsidR="00891F01">
        <w:rPr>
          <w:rFonts w:asciiTheme="majorBidi" w:hAnsiTheme="majorBidi" w:cstheme="majorBidi"/>
          <w:b/>
          <w:bCs/>
          <w:sz w:val="24"/>
          <w:szCs w:val="24"/>
        </w:rPr>
        <w:t>4</w:t>
      </w:r>
      <w:r w:rsidRPr="006F4423">
        <w:rPr>
          <w:rFonts w:asciiTheme="majorBidi" w:hAnsiTheme="majorBidi" w:cstheme="majorBidi"/>
          <w:b/>
          <w:bCs/>
          <w:sz w:val="24"/>
          <w:szCs w:val="24"/>
        </w:rPr>
        <w:t>.</w:t>
      </w:r>
      <w:r>
        <w:rPr>
          <w:rFonts w:asciiTheme="majorBidi" w:hAnsiTheme="majorBidi" w:cstheme="majorBidi"/>
          <w:b/>
          <w:bCs/>
          <w:sz w:val="24"/>
          <w:szCs w:val="24"/>
        </w:rPr>
        <w:t>7</w:t>
      </w:r>
      <w:r w:rsidRPr="006F4423">
        <w:rPr>
          <w:rFonts w:asciiTheme="majorBidi" w:hAnsiTheme="majorBidi" w:cstheme="majorBidi"/>
          <w:b/>
          <w:bCs/>
          <w:sz w:val="24"/>
          <w:szCs w:val="24"/>
        </w:rPr>
        <w:t xml:space="preserve"> Sampling</w:t>
      </w:r>
      <w:bookmarkEnd w:id="144"/>
    </w:p>
    <w:p w14:paraId="45B87B07" w14:textId="7AA8477A" w:rsidR="007A225E" w:rsidRPr="004C2D19" w:rsidRDefault="004C2D19" w:rsidP="004C2D19">
      <w:pPr>
        <w:spacing w:after="0" w:line="480" w:lineRule="auto"/>
      </w:pPr>
      <w:r>
        <w:rPr>
          <w:rFonts w:asciiTheme="majorBidi" w:hAnsiTheme="majorBidi" w:cstheme="majorBidi"/>
          <w:sz w:val="24"/>
          <w:szCs w:val="24"/>
        </w:rPr>
        <w:tab/>
      </w:r>
      <w:r w:rsidR="007A225E">
        <w:rPr>
          <w:rFonts w:asciiTheme="majorBidi" w:hAnsiTheme="majorBidi" w:cstheme="majorBidi"/>
          <w:sz w:val="24"/>
          <w:szCs w:val="24"/>
        </w:rPr>
        <w:t xml:space="preserve">This study </w:t>
      </w:r>
      <w:r w:rsidR="007A225E" w:rsidRPr="00004E03">
        <w:rPr>
          <w:rFonts w:asciiTheme="majorBidi" w:hAnsiTheme="majorBidi" w:cstheme="majorBidi"/>
          <w:sz w:val="24"/>
          <w:szCs w:val="24"/>
        </w:rPr>
        <w:t>employed purposive criterion sampling.</w:t>
      </w:r>
      <w:r w:rsidR="007A225E">
        <w:rPr>
          <w:rFonts w:asciiTheme="majorBidi" w:hAnsiTheme="majorBidi" w:cstheme="majorBidi"/>
          <w:sz w:val="24"/>
          <w:szCs w:val="24"/>
        </w:rPr>
        <w:t xml:space="preserve"> Purposive</w:t>
      </w:r>
      <w:r w:rsidR="00D74D1D">
        <w:rPr>
          <w:rFonts w:asciiTheme="majorBidi" w:hAnsiTheme="majorBidi" w:cstheme="majorBidi"/>
          <w:sz w:val="24"/>
          <w:szCs w:val="24"/>
        </w:rPr>
        <w:t xml:space="preserve"> criterion</w:t>
      </w:r>
      <w:r w:rsidR="007A225E">
        <w:rPr>
          <w:rFonts w:asciiTheme="majorBidi" w:hAnsiTheme="majorBidi" w:cstheme="majorBidi"/>
          <w:sz w:val="24"/>
          <w:szCs w:val="24"/>
        </w:rPr>
        <w:t xml:space="preserve"> sampling selects respondents based on their capacity to explicate certain themes or concept relevant to the study’s objectives </w:t>
      </w:r>
      <w:sdt>
        <w:sdtPr>
          <w:rPr>
            <w:rFonts w:asciiTheme="majorBidi" w:hAnsiTheme="majorBidi" w:cstheme="majorBidi"/>
            <w:sz w:val="24"/>
            <w:szCs w:val="24"/>
          </w:rPr>
          <w:id w:val="-509601834"/>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Cam20 \l 2057  \m Mic14</w:instrText>
          </w:r>
          <w:r w:rsidR="007A225E">
            <w:rPr>
              <w:rFonts w:asciiTheme="majorBidi" w:hAnsiTheme="majorBidi" w:cstheme="majorBidi"/>
              <w:sz w:val="24"/>
              <w:szCs w:val="24"/>
            </w:rPr>
            <w:fldChar w:fldCharType="separate"/>
          </w:r>
          <w:r w:rsidR="007A225E" w:rsidRPr="00EE4DBE">
            <w:rPr>
              <w:rFonts w:asciiTheme="majorBidi" w:hAnsiTheme="majorBidi" w:cstheme="majorBidi"/>
              <w:noProof/>
              <w:sz w:val="24"/>
              <w:szCs w:val="24"/>
            </w:rPr>
            <w:t>(Campbell, et al., 2020; Robinson, 2014)</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w:t>
      </w:r>
      <w:bookmarkStart w:id="145" w:name="_Hlk150886677"/>
      <w:bookmarkStart w:id="146" w:name="_Hlk150883877"/>
      <w:r w:rsidR="007A225E">
        <w:rPr>
          <w:rFonts w:asciiTheme="majorBidi" w:hAnsiTheme="majorBidi" w:cstheme="majorBidi"/>
          <w:sz w:val="24"/>
          <w:szCs w:val="24"/>
        </w:rPr>
        <w:t xml:space="preserve">Purposive sampling has been previously criticised for its limited external validity as results can only </w:t>
      </w:r>
      <w:r w:rsidR="007A225E" w:rsidRPr="00004E03">
        <w:rPr>
          <w:rFonts w:asciiTheme="majorBidi" w:hAnsiTheme="majorBidi" w:cstheme="majorBidi"/>
          <w:sz w:val="24"/>
          <w:szCs w:val="24"/>
        </w:rPr>
        <w:t>be generali</w:t>
      </w:r>
      <w:r w:rsidR="00004E03" w:rsidRPr="00004E03">
        <w:rPr>
          <w:rFonts w:asciiTheme="majorBidi" w:hAnsiTheme="majorBidi" w:cstheme="majorBidi"/>
          <w:sz w:val="24"/>
          <w:szCs w:val="24"/>
        </w:rPr>
        <w:t>s</w:t>
      </w:r>
      <w:r w:rsidR="007A225E" w:rsidRPr="00004E03">
        <w:rPr>
          <w:rFonts w:asciiTheme="majorBidi" w:hAnsiTheme="majorBidi" w:cstheme="majorBidi"/>
          <w:sz w:val="24"/>
          <w:szCs w:val="24"/>
        </w:rPr>
        <w:t xml:space="preserve">ed </w:t>
      </w:r>
      <w:r w:rsidR="007A225E">
        <w:rPr>
          <w:rFonts w:asciiTheme="majorBidi" w:hAnsiTheme="majorBidi" w:cstheme="majorBidi"/>
          <w:sz w:val="24"/>
          <w:szCs w:val="24"/>
        </w:rPr>
        <w:t xml:space="preserve">to that type of population from which respondents were </w:t>
      </w:r>
      <w:r w:rsidR="007A225E" w:rsidRPr="00004E03">
        <w:rPr>
          <w:rFonts w:asciiTheme="majorBidi" w:hAnsiTheme="majorBidi" w:cstheme="majorBidi"/>
          <w:sz w:val="24"/>
          <w:szCs w:val="24"/>
        </w:rPr>
        <w:t>drawn</w:t>
      </w:r>
      <w:sdt>
        <w:sdtPr>
          <w:rPr>
            <w:rFonts w:asciiTheme="majorBidi" w:hAnsiTheme="majorBidi" w:cstheme="majorBidi"/>
            <w:sz w:val="24"/>
            <w:szCs w:val="24"/>
          </w:rPr>
          <w:id w:val="1247074831"/>
          <w:citation/>
        </w:sdtPr>
        <w:sdtContent>
          <w:r w:rsidR="007A225E" w:rsidRPr="00004E03">
            <w:rPr>
              <w:rFonts w:asciiTheme="majorBidi" w:hAnsiTheme="majorBidi" w:cstheme="majorBidi"/>
              <w:sz w:val="24"/>
              <w:szCs w:val="24"/>
            </w:rPr>
            <w:fldChar w:fldCharType="begin"/>
          </w:r>
          <w:r w:rsidR="007A225E" w:rsidRPr="00004E03">
            <w:rPr>
              <w:rFonts w:asciiTheme="majorBidi" w:hAnsiTheme="majorBidi" w:cstheme="majorBidi"/>
              <w:sz w:val="24"/>
              <w:szCs w:val="24"/>
            </w:rPr>
            <w:instrText xml:space="preserve"> CITATION And20 \l 2057 </w:instrText>
          </w:r>
          <w:r w:rsidR="007A225E" w:rsidRPr="00004E03">
            <w:rPr>
              <w:rFonts w:asciiTheme="majorBidi" w:hAnsiTheme="majorBidi" w:cstheme="majorBidi"/>
              <w:sz w:val="24"/>
              <w:szCs w:val="24"/>
            </w:rPr>
            <w:fldChar w:fldCharType="separate"/>
          </w:r>
          <w:r w:rsidR="007A225E" w:rsidRPr="00004E03">
            <w:rPr>
              <w:rFonts w:asciiTheme="majorBidi" w:hAnsiTheme="majorBidi" w:cstheme="majorBidi"/>
              <w:noProof/>
              <w:sz w:val="24"/>
              <w:szCs w:val="24"/>
            </w:rPr>
            <w:t xml:space="preserve"> (Andrade , 2020)</w:t>
          </w:r>
          <w:r w:rsidR="007A225E" w:rsidRPr="00004E03">
            <w:rPr>
              <w:rFonts w:asciiTheme="majorBidi" w:hAnsiTheme="majorBidi" w:cstheme="majorBidi"/>
              <w:sz w:val="24"/>
              <w:szCs w:val="24"/>
            </w:rPr>
            <w:fldChar w:fldCharType="end"/>
          </w:r>
        </w:sdtContent>
      </w:sdt>
      <w:r w:rsidR="007A225E" w:rsidRPr="00004E03">
        <w:rPr>
          <w:rFonts w:asciiTheme="majorBidi" w:hAnsiTheme="majorBidi" w:cstheme="majorBidi"/>
          <w:sz w:val="24"/>
          <w:szCs w:val="24"/>
        </w:rPr>
        <w:t>.</w:t>
      </w:r>
      <w:r w:rsidR="007A225E">
        <w:rPr>
          <w:rFonts w:asciiTheme="majorBidi" w:hAnsiTheme="majorBidi" w:cstheme="majorBidi"/>
          <w:sz w:val="24"/>
          <w:szCs w:val="24"/>
        </w:rPr>
        <w:t xml:space="preserve"> </w:t>
      </w:r>
      <w:bookmarkEnd w:id="145"/>
      <w:r w:rsidR="007A225E">
        <w:rPr>
          <w:rFonts w:asciiTheme="majorBidi" w:hAnsiTheme="majorBidi" w:cstheme="majorBidi"/>
          <w:sz w:val="24"/>
          <w:szCs w:val="24"/>
        </w:rPr>
        <w:t xml:space="preserve">However, </w:t>
      </w:r>
      <w:r w:rsidR="007A225E" w:rsidRPr="00004E03">
        <w:rPr>
          <w:rFonts w:asciiTheme="majorBidi" w:hAnsiTheme="majorBidi" w:cstheme="majorBidi"/>
          <w:sz w:val="24"/>
          <w:szCs w:val="24"/>
        </w:rPr>
        <w:t>generali</w:t>
      </w:r>
      <w:r w:rsidR="00004E03" w:rsidRPr="00004E03">
        <w:rPr>
          <w:rFonts w:asciiTheme="majorBidi" w:hAnsiTheme="majorBidi" w:cstheme="majorBidi"/>
          <w:sz w:val="24"/>
          <w:szCs w:val="24"/>
        </w:rPr>
        <w:t>s</w:t>
      </w:r>
      <w:r w:rsidR="007A225E" w:rsidRPr="00004E03">
        <w:rPr>
          <w:rFonts w:asciiTheme="majorBidi" w:hAnsiTheme="majorBidi" w:cstheme="majorBidi"/>
          <w:sz w:val="24"/>
          <w:szCs w:val="24"/>
        </w:rPr>
        <w:t>ation</w:t>
      </w:r>
      <w:r w:rsidR="007A225E">
        <w:rPr>
          <w:rFonts w:asciiTheme="majorBidi" w:hAnsiTheme="majorBidi" w:cstheme="majorBidi"/>
          <w:sz w:val="24"/>
          <w:szCs w:val="24"/>
        </w:rPr>
        <w:t xml:space="preserve"> from this sampling method to its relevant population is possible if the sample were randomly drawn from that population </w:t>
      </w:r>
      <w:sdt>
        <w:sdtPr>
          <w:rPr>
            <w:rFonts w:asciiTheme="majorBidi" w:hAnsiTheme="majorBidi" w:cstheme="majorBidi"/>
            <w:sz w:val="24"/>
            <w:szCs w:val="24"/>
          </w:rPr>
          <w:id w:val="2068830041"/>
          <w:citation/>
        </w:sdtPr>
        <w:sdtContent>
          <w:r w:rsidR="007A225E">
            <w:rPr>
              <w:rFonts w:asciiTheme="majorBidi" w:hAnsiTheme="majorBidi" w:cstheme="majorBidi"/>
              <w:sz w:val="24"/>
              <w:szCs w:val="24"/>
            </w:rPr>
            <w:fldChar w:fldCharType="begin"/>
          </w:r>
          <w:r w:rsidR="007A225E">
            <w:rPr>
              <w:rFonts w:asciiTheme="majorBidi" w:hAnsiTheme="majorBidi" w:cstheme="majorBidi"/>
              <w:sz w:val="24"/>
              <w:szCs w:val="24"/>
            </w:rPr>
            <w:instrText xml:space="preserve"> CITATION And20 \l 2057 </w:instrText>
          </w:r>
          <w:r w:rsidR="007A225E">
            <w:rPr>
              <w:rFonts w:asciiTheme="majorBidi" w:hAnsiTheme="majorBidi" w:cstheme="majorBidi"/>
              <w:sz w:val="24"/>
              <w:szCs w:val="24"/>
            </w:rPr>
            <w:fldChar w:fldCharType="separate"/>
          </w:r>
          <w:r w:rsidR="007A225E" w:rsidRPr="0074573E">
            <w:rPr>
              <w:rFonts w:asciiTheme="majorBidi" w:hAnsiTheme="majorBidi" w:cstheme="majorBidi"/>
              <w:noProof/>
              <w:sz w:val="24"/>
              <w:szCs w:val="24"/>
            </w:rPr>
            <w:t>(Andrade , 2020)</w:t>
          </w:r>
          <w:r w:rsidR="007A225E">
            <w:rPr>
              <w:rFonts w:asciiTheme="majorBidi" w:hAnsiTheme="majorBidi" w:cstheme="majorBidi"/>
              <w:sz w:val="24"/>
              <w:szCs w:val="24"/>
            </w:rPr>
            <w:fldChar w:fldCharType="end"/>
          </w:r>
        </w:sdtContent>
      </w:sdt>
      <w:r w:rsidR="007A225E">
        <w:rPr>
          <w:rFonts w:asciiTheme="majorBidi" w:hAnsiTheme="majorBidi" w:cstheme="majorBidi"/>
          <w:sz w:val="24"/>
          <w:szCs w:val="24"/>
        </w:rPr>
        <w:t xml:space="preserve"> which was conducted in this study. </w:t>
      </w:r>
      <w:bookmarkEnd w:id="146"/>
      <w:r>
        <w:rPr>
          <w:rFonts w:asciiTheme="majorBidi" w:hAnsiTheme="majorBidi" w:cstheme="majorBidi"/>
          <w:sz w:val="24"/>
          <w:szCs w:val="24"/>
        </w:rPr>
        <w:t xml:space="preserve">Additionally, this sampling strategy caters to the specific social and economic dynamics of Egypt. This is because </w:t>
      </w:r>
      <w:r w:rsidRPr="00004E03">
        <w:rPr>
          <w:rFonts w:asciiTheme="majorBidi" w:hAnsiTheme="majorBidi" w:cstheme="majorBidi"/>
          <w:sz w:val="24"/>
          <w:szCs w:val="24"/>
        </w:rPr>
        <w:t>there are major discrepancies among social classes in Egypt and some classes in Egypt have been referred to as living in a bubble</w:t>
      </w:r>
      <w:r w:rsidRPr="00004E03">
        <w:t xml:space="preserve"> </w:t>
      </w:r>
      <w:sdt>
        <w:sdtPr>
          <w:id w:val="-820493765"/>
          <w:citation/>
        </w:sdtPr>
        <w:sdtContent>
          <w:r w:rsidRPr="00004E03">
            <w:fldChar w:fldCharType="begin"/>
          </w:r>
          <w:r w:rsidRPr="00004E03">
            <w:rPr>
              <w:rFonts w:asciiTheme="majorBidi" w:hAnsiTheme="majorBidi" w:cstheme="majorBidi"/>
              <w:b/>
              <w:bCs/>
              <w:sz w:val="24"/>
              <w:szCs w:val="24"/>
            </w:rPr>
            <w:instrText xml:space="preserve"> CITATION Kha22 \l 2057  \m Tam22</w:instrText>
          </w:r>
          <w:r w:rsidRPr="00004E03">
            <w:fldChar w:fldCharType="separate"/>
          </w:r>
          <w:r w:rsidRPr="00004E03">
            <w:rPr>
              <w:rFonts w:asciiTheme="majorBidi" w:hAnsiTheme="majorBidi" w:cstheme="majorBidi"/>
              <w:noProof/>
              <w:sz w:val="24"/>
              <w:szCs w:val="24"/>
            </w:rPr>
            <w:t>(Khaldoun, 2022; Taman, 2022)</w:t>
          </w:r>
          <w:r w:rsidRPr="00004E03">
            <w:fldChar w:fldCharType="end"/>
          </w:r>
        </w:sdtContent>
      </w:sdt>
      <w:r w:rsidRPr="00004E03">
        <w:rPr>
          <w:rFonts w:asciiTheme="majorBidi" w:hAnsiTheme="majorBidi" w:cstheme="majorBidi"/>
          <w:sz w:val="24"/>
          <w:szCs w:val="24"/>
        </w:rPr>
        <w:t xml:space="preserve">. </w:t>
      </w:r>
      <w:r w:rsidR="007A225E" w:rsidRPr="00004E03">
        <w:rPr>
          <w:rFonts w:asciiTheme="majorBidi" w:hAnsiTheme="majorBidi" w:cstheme="majorBidi"/>
          <w:sz w:val="24"/>
          <w:szCs w:val="24"/>
        </w:rPr>
        <w:t>However, a major advantage of purposive sampling is that is that it increases homogeneity within the sample which reduces between-subjects variance leading to statistical significance</w:t>
      </w:r>
      <w:r w:rsidR="00D74D1D" w:rsidRPr="00004E03">
        <w:rPr>
          <w:rFonts w:asciiTheme="majorBidi" w:hAnsiTheme="majorBidi" w:cstheme="majorBidi"/>
          <w:sz w:val="24"/>
          <w:szCs w:val="24"/>
        </w:rPr>
        <w:t>, unlike probability sampling</w:t>
      </w:r>
      <w:sdt>
        <w:sdtPr>
          <w:rPr>
            <w:rFonts w:asciiTheme="majorBidi" w:hAnsiTheme="majorBidi" w:cstheme="majorBidi"/>
            <w:sz w:val="24"/>
            <w:szCs w:val="24"/>
          </w:rPr>
          <w:id w:val="-394596125"/>
          <w:citation/>
        </w:sdtPr>
        <w:sdtContent>
          <w:r w:rsidR="007A225E" w:rsidRPr="00004E03">
            <w:rPr>
              <w:rFonts w:asciiTheme="majorBidi" w:hAnsiTheme="majorBidi" w:cstheme="majorBidi"/>
              <w:sz w:val="24"/>
              <w:szCs w:val="24"/>
            </w:rPr>
            <w:fldChar w:fldCharType="begin"/>
          </w:r>
          <w:r w:rsidR="007A225E" w:rsidRPr="00004E03">
            <w:rPr>
              <w:rFonts w:asciiTheme="majorBidi" w:hAnsiTheme="majorBidi" w:cstheme="majorBidi"/>
              <w:sz w:val="24"/>
              <w:szCs w:val="24"/>
            </w:rPr>
            <w:instrText xml:space="preserve"> CITATION Ame19 \l 2057  \m And20 \m Cam20</w:instrText>
          </w:r>
          <w:r w:rsidR="007A225E" w:rsidRPr="00004E03">
            <w:rPr>
              <w:rFonts w:asciiTheme="majorBidi" w:hAnsiTheme="majorBidi" w:cstheme="majorBidi"/>
              <w:sz w:val="24"/>
              <w:szCs w:val="24"/>
            </w:rPr>
            <w:fldChar w:fldCharType="separate"/>
          </w:r>
          <w:r w:rsidR="007A225E" w:rsidRPr="00004E03">
            <w:rPr>
              <w:rFonts w:asciiTheme="majorBidi" w:hAnsiTheme="majorBidi" w:cstheme="majorBidi"/>
              <w:noProof/>
              <w:sz w:val="24"/>
              <w:szCs w:val="24"/>
            </w:rPr>
            <w:t xml:space="preserve"> (Ames, Glenton, &amp; Lewin , 2019; Andrade , 2020; Campbell, et al., 2020)</w:t>
          </w:r>
          <w:r w:rsidR="007A225E" w:rsidRPr="00004E03">
            <w:rPr>
              <w:rFonts w:asciiTheme="majorBidi" w:hAnsiTheme="majorBidi" w:cstheme="majorBidi"/>
              <w:sz w:val="24"/>
              <w:szCs w:val="24"/>
            </w:rPr>
            <w:fldChar w:fldCharType="end"/>
          </w:r>
        </w:sdtContent>
      </w:sdt>
      <w:r w:rsidR="007A225E" w:rsidRPr="00004E03">
        <w:rPr>
          <w:rFonts w:asciiTheme="majorBidi" w:hAnsiTheme="majorBidi" w:cstheme="majorBidi"/>
          <w:sz w:val="24"/>
          <w:szCs w:val="24"/>
        </w:rPr>
        <w:t>.</w:t>
      </w:r>
      <w:r w:rsidR="007A225E">
        <w:rPr>
          <w:rFonts w:asciiTheme="majorBidi" w:hAnsiTheme="majorBidi" w:cstheme="majorBidi"/>
          <w:sz w:val="24"/>
          <w:szCs w:val="24"/>
        </w:rPr>
        <w:t xml:space="preserve"> </w:t>
      </w:r>
    </w:p>
    <w:p w14:paraId="515493BC" w14:textId="68A68312" w:rsidR="007A225E" w:rsidRDefault="007A225E" w:rsidP="004C2D19">
      <w:pPr>
        <w:spacing w:after="0" w:line="480" w:lineRule="auto"/>
        <w:ind w:firstLine="720"/>
        <w:rPr>
          <w:rFonts w:asciiTheme="majorBidi" w:hAnsiTheme="majorBidi" w:cstheme="majorBidi"/>
          <w:sz w:val="24"/>
          <w:szCs w:val="24"/>
        </w:rPr>
      </w:pPr>
      <w:r>
        <w:rPr>
          <w:rFonts w:asciiTheme="majorBidi" w:hAnsiTheme="majorBidi" w:cstheme="majorBidi"/>
          <w:sz w:val="24"/>
          <w:szCs w:val="24"/>
        </w:rPr>
        <w:t>For this study, a</w:t>
      </w:r>
      <w:r w:rsidRPr="0010282B">
        <w:rPr>
          <w:rFonts w:asciiTheme="majorBidi" w:hAnsiTheme="majorBidi" w:cstheme="majorBidi"/>
          <w:sz w:val="24"/>
          <w:szCs w:val="24"/>
        </w:rPr>
        <w:t xml:space="preserve"> selected </w:t>
      </w:r>
      <w:r w:rsidR="00D74D1D">
        <w:rPr>
          <w:rFonts w:asciiTheme="majorBidi" w:hAnsiTheme="majorBidi" w:cstheme="majorBidi"/>
          <w:sz w:val="24"/>
          <w:szCs w:val="24"/>
        </w:rPr>
        <w:t>criterion</w:t>
      </w:r>
      <w:r w:rsidRPr="0010282B">
        <w:rPr>
          <w:rFonts w:asciiTheme="majorBidi" w:hAnsiTheme="majorBidi" w:cstheme="majorBidi"/>
          <w:sz w:val="24"/>
          <w:szCs w:val="24"/>
        </w:rPr>
        <w:t xml:space="preserve"> </w:t>
      </w:r>
      <w:r>
        <w:rPr>
          <w:rFonts w:asciiTheme="majorBidi" w:hAnsiTheme="majorBidi" w:cstheme="majorBidi"/>
          <w:sz w:val="24"/>
          <w:szCs w:val="24"/>
        </w:rPr>
        <w:t>was set to</w:t>
      </w:r>
      <w:r w:rsidRPr="0010282B">
        <w:rPr>
          <w:rFonts w:asciiTheme="majorBidi" w:hAnsiTheme="majorBidi" w:cstheme="majorBidi"/>
          <w:sz w:val="24"/>
          <w:szCs w:val="24"/>
        </w:rPr>
        <w:t xml:space="preserve"> ensur</w:t>
      </w:r>
      <w:r>
        <w:rPr>
          <w:rFonts w:asciiTheme="majorBidi" w:hAnsiTheme="majorBidi" w:cstheme="majorBidi"/>
          <w:sz w:val="24"/>
          <w:szCs w:val="24"/>
        </w:rPr>
        <w:t>e</w:t>
      </w:r>
      <w:r w:rsidRPr="0010282B">
        <w:rPr>
          <w:rFonts w:asciiTheme="majorBidi" w:hAnsiTheme="majorBidi" w:cstheme="majorBidi"/>
          <w:sz w:val="24"/>
          <w:szCs w:val="24"/>
        </w:rPr>
        <w:t xml:space="preserve"> that the respondents</w:t>
      </w:r>
      <w:r>
        <w:rPr>
          <w:rFonts w:asciiTheme="majorBidi" w:hAnsiTheme="majorBidi" w:cstheme="majorBidi"/>
          <w:sz w:val="24"/>
          <w:szCs w:val="24"/>
        </w:rPr>
        <w:t xml:space="preserve"> live in Egypt and </w:t>
      </w:r>
      <w:r w:rsidRPr="0010282B">
        <w:rPr>
          <w:rFonts w:asciiTheme="majorBidi" w:hAnsiTheme="majorBidi" w:cstheme="majorBidi"/>
          <w:sz w:val="24"/>
          <w:szCs w:val="24"/>
        </w:rPr>
        <w:t xml:space="preserve">are the </w:t>
      </w:r>
      <w:r>
        <w:rPr>
          <w:rFonts w:asciiTheme="majorBidi" w:hAnsiTheme="majorBidi" w:cstheme="majorBidi"/>
          <w:sz w:val="24"/>
          <w:szCs w:val="24"/>
        </w:rPr>
        <w:t>ones who buy grocery products for their homes</w:t>
      </w:r>
      <w:r w:rsidRPr="0010282B">
        <w:rPr>
          <w:rFonts w:asciiTheme="majorBidi" w:hAnsiTheme="majorBidi" w:cstheme="majorBidi"/>
          <w:sz w:val="24"/>
          <w:szCs w:val="24"/>
        </w:rPr>
        <w:t>.</w:t>
      </w:r>
      <w:r>
        <w:rPr>
          <w:rFonts w:asciiTheme="majorBidi" w:hAnsiTheme="majorBidi" w:cstheme="majorBidi"/>
          <w:sz w:val="24"/>
          <w:szCs w:val="24"/>
        </w:rPr>
        <w:t xml:space="preserve"> The social classes of the respondents were identified based on measures of socioeconomic status (SES). Originally, SES refers to the relative position of an individual on the social hierarchy based on their access or control over a certain amount of wealth and power </w:t>
      </w:r>
      <w:sdt>
        <w:sdtPr>
          <w:rPr>
            <w:rFonts w:asciiTheme="majorBidi" w:hAnsiTheme="majorBidi" w:cstheme="majorBidi"/>
            <w:sz w:val="24"/>
            <w:szCs w:val="24"/>
          </w:rPr>
          <w:id w:val="-153410229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The07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(Mueller &amp; Parcel, 1981)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72298A">
        <w:rPr>
          <w:rFonts w:asciiTheme="majorBidi" w:hAnsiTheme="majorBidi" w:cstheme="majorBidi"/>
          <w:sz w:val="24"/>
          <w:szCs w:val="24"/>
        </w:rPr>
        <w:t>T</w:t>
      </w:r>
      <w:r>
        <w:rPr>
          <w:rFonts w:asciiTheme="majorBidi" w:hAnsiTheme="majorBidi" w:cstheme="majorBidi"/>
          <w:sz w:val="24"/>
          <w:szCs w:val="24"/>
        </w:rPr>
        <w:t xml:space="preserve">here is a substantial agreement among many researchers that the three main determinants of the level of SES is education, income, and occupation </w:t>
      </w:r>
      <w:sdt>
        <w:sdtPr>
          <w:rPr>
            <w:rFonts w:asciiTheme="majorBidi" w:hAnsiTheme="majorBidi" w:cstheme="majorBidi"/>
            <w:sz w:val="24"/>
            <w:szCs w:val="24"/>
          </w:rPr>
          <w:id w:val="-199787675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CITATION Ens14 \m Sal21 \t  \l 2057  \m Wil19</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(Ensminger &amp; Kate, 2014; Saleem &amp; Jan, 2021; Willms &amp; Tramonte ,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3F54D0">
        <w:rPr>
          <w:rFonts w:asciiTheme="majorBidi" w:hAnsiTheme="majorBidi" w:cstheme="majorBidi"/>
          <w:sz w:val="24"/>
          <w:szCs w:val="24"/>
        </w:rPr>
        <w:t>Based on a survey carried out in some of Egypt’s biggest cities (Cairo, Alexandria, Port-Said), 39% of the respondents (28% with a high</w:t>
      </w:r>
      <w:r>
        <w:rPr>
          <w:rFonts w:asciiTheme="majorBidi" w:hAnsiTheme="majorBidi" w:cstheme="majorBidi"/>
          <w:sz w:val="24"/>
          <w:szCs w:val="24"/>
        </w:rPr>
        <w:t>-</w:t>
      </w:r>
      <w:r w:rsidRPr="003F54D0">
        <w:rPr>
          <w:rFonts w:asciiTheme="majorBidi" w:hAnsiTheme="majorBidi" w:cstheme="majorBidi"/>
          <w:sz w:val="24"/>
          <w:szCs w:val="24"/>
        </w:rPr>
        <w:t xml:space="preserve">income level) reported that they are </w:t>
      </w:r>
      <w:r w:rsidRPr="00004E03">
        <w:rPr>
          <w:rFonts w:asciiTheme="majorBidi" w:hAnsiTheme="majorBidi" w:cstheme="majorBidi"/>
          <w:sz w:val="24"/>
          <w:szCs w:val="24"/>
        </w:rPr>
        <w:t xml:space="preserve">willing to pay for premium sustainable products </w:t>
      </w:r>
      <w:sdt>
        <w:sdtPr>
          <w:rPr>
            <w:rFonts w:asciiTheme="majorBidi" w:hAnsiTheme="majorBidi" w:cstheme="majorBidi"/>
            <w:sz w:val="24"/>
            <w:szCs w:val="24"/>
          </w:rPr>
          <w:id w:val="-1230454658"/>
          <w:citation/>
        </w:sdtPr>
        <w:sdtContent>
          <w:r w:rsidRPr="00004E03">
            <w:rPr>
              <w:rFonts w:asciiTheme="majorBidi" w:hAnsiTheme="majorBidi" w:cstheme="majorBidi"/>
              <w:sz w:val="24"/>
              <w:szCs w:val="24"/>
            </w:rPr>
            <w:fldChar w:fldCharType="begin"/>
          </w:r>
          <w:r w:rsidRPr="00004E03">
            <w:rPr>
              <w:rFonts w:asciiTheme="majorBidi" w:hAnsiTheme="majorBidi" w:cstheme="majorBidi"/>
              <w:sz w:val="24"/>
              <w:szCs w:val="24"/>
            </w:rPr>
            <w:instrText xml:space="preserve">CITATION Mos16 \t  \l 2057 </w:instrText>
          </w:r>
          <w:r w:rsidRPr="00004E03">
            <w:rPr>
              <w:rFonts w:asciiTheme="majorBidi" w:hAnsiTheme="majorBidi" w:cstheme="majorBidi"/>
              <w:sz w:val="24"/>
              <w:szCs w:val="24"/>
            </w:rPr>
            <w:fldChar w:fldCharType="separate"/>
          </w:r>
          <w:r w:rsidRPr="00004E03">
            <w:rPr>
              <w:rFonts w:asciiTheme="majorBidi" w:hAnsiTheme="majorBidi" w:cstheme="majorBidi"/>
              <w:noProof/>
              <w:sz w:val="24"/>
              <w:szCs w:val="24"/>
            </w:rPr>
            <w:t>(Mostafa, 2016)</w:t>
          </w:r>
          <w:r w:rsidRPr="00004E03">
            <w:rPr>
              <w:rFonts w:asciiTheme="majorBidi" w:hAnsiTheme="majorBidi" w:cstheme="majorBidi"/>
              <w:sz w:val="24"/>
              <w:szCs w:val="24"/>
            </w:rPr>
            <w:fldChar w:fldCharType="end"/>
          </w:r>
        </w:sdtContent>
      </w:sdt>
      <w:r w:rsidRPr="00004E03">
        <w:rPr>
          <w:rFonts w:asciiTheme="majorBidi" w:hAnsiTheme="majorBidi" w:cstheme="majorBidi"/>
          <w:sz w:val="24"/>
          <w:szCs w:val="24"/>
        </w:rPr>
        <w:t>.</w:t>
      </w:r>
      <w:r w:rsidR="004C2D19" w:rsidRPr="00004E03">
        <w:rPr>
          <w:rFonts w:asciiTheme="majorBidi" w:hAnsiTheme="majorBidi" w:cstheme="majorBidi"/>
          <w:sz w:val="24"/>
          <w:szCs w:val="24"/>
        </w:rPr>
        <w:t xml:space="preserve"> </w:t>
      </w:r>
      <w:r w:rsidRPr="00004E03">
        <w:rPr>
          <w:rFonts w:asciiTheme="majorBidi" w:hAnsiTheme="majorBidi" w:cstheme="majorBidi"/>
          <w:sz w:val="24"/>
          <w:szCs w:val="24"/>
        </w:rPr>
        <w:t xml:space="preserve">Similarly, other authors indicated that higher social classes in Egypt showed positive affective attitude </w:t>
      </w:r>
      <w:r w:rsidR="0072298A" w:rsidRPr="00004E03">
        <w:rPr>
          <w:rFonts w:asciiTheme="majorBidi" w:hAnsiTheme="majorBidi" w:cstheme="majorBidi"/>
          <w:sz w:val="24"/>
          <w:szCs w:val="24"/>
        </w:rPr>
        <w:t xml:space="preserve">towards </w:t>
      </w:r>
      <w:r w:rsidRPr="00004E03">
        <w:rPr>
          <w:rFonts w:asciiTheme="majorBidi" w:hAnsiTheme="majorBidi" w:cstheme="majorBidi"/>
          <w:sz w:val="24"/>
          <w:szCs w:val="24"/>
        </w:rPr>
        <w:t>green and solar energy innovation</w:t>
      </w:r>
      <w:r w:rsidR="0072298A" w:rsidRPr="00004E03">
        <w:rPr>
          <w:rFonts w:asciiTheme="majorBidi" w:hAnsiTheme="majorBidi" w:cstheme="majorBidi"/>
          <w:sz w:val="24"/>
          <w:szCs w:val="24"/>
        </w:rPr>
        <w:t>s</w:t>
      </w:r>
      <w:r>
        <w:rPr>
          <w:rFonts w:asciiTheme="majorBidi" w:hAnsiTheme="majorBidi" w:cstheme="majorBidi"/>
          <w:sz w:val="24"/>
          <w:szCs w:val="24"/>
        </w:rPr>
        <w:t xml:space="preserve"> </w:t>
      </w:r>
      <w:sdt>
        <w:sdtPr>
          <w:rPr>
            <w:rFonts w:asciiTheme="majorBidi" w:hAnsiTheme="majorBidi" w:cstheme="majorBidi"/>
            <w:sz w:val="24"/>
            <w:szCs w:val="24"/>
          </w:rPr>
          <w:id w:val="11981650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Adi18 \t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(Adib, El-Bassiouny, &amp; Roosen, 2018)</w:t>
          </w:r>
          <w:r>
            <w:rPr>
              <w:rFonts w:asciiTheme="majorBidi" w:hAnsiTheme="majorBidi" w:cstheme="majorBidi"/>
              <w:sz w:val="24"/>
              <w:szCs w:val="24"/>
            </w:rPr>
            <w:fldChar w:fldCharType="end"/>
          </w:r>
        </w:sdtContent>
      </w:sdt>
      <w:r>
        <w:rPr>
          <w:rFonts w:asciiTheme="majorBidi" w:hAnsiTheme="majorBidi" w:cstheme="majorBidi"/>
          <w:sz w:val="24"/>
          <w:szCs w:val="24"/>
        </w:rPr>
        <w:t>. Evidently, consumers from higher social classes and higher household income tend to be more interested in CSR and environmental initiatives.</w:t>
      </w:r>
      <w:r w:rsidR="00E955CB">
        <w:rPr>
          <w:rFonts w:asciiTheme="majorBidi" w:hAnsiTheme="majorBidi" w:cstheme="majorBidi"/>
          <w:sz w:val="24"/>
          <w:szCs w:val="24"/>
        </w:rPr>
        <w:t xml:space="preserve"> </w:t>
      </w:r>
      <w:r w:rsidR="004C2D19">
        <w:rPr>
          <w:rFonts w:asciiTheme="majorBidi" w:hAnsiTheme="majorBidi" w:cstheme="majorBidi"/>
          <w:sz w:val="24"/>
          <w:szCs w:val="24"/>
        </w:rPr>
        <w:t xml:space="preserve">Furthermore, the final sample took in consideration the SES criteria to match the brand’s target audience which will be further explained in section 5.5.8. </w:t>
      </w:r>
      <w:r w:rsidRPr="00A6730E">
        <w:rPr>
          <w:rFonts w:asciiTheme="majorBidi" w:hAnsiTheme="majorBidi" w:cstheme="majorBidi"/>
          <w:sz w:val="24"/>
          <w:szCs w:val="24"/>
        </w:rPr>
        <w:t>For that reason, questions on the respondents’ SES were included in the surveys</w:t>
      </w:r>
      <w:r w:rsidR="00A6730E" w:rsidRPr="00A6730E">
        <w:rPr>
          <w:rFonts w:asciiTheme="majorBidi" w:hAnsiTheme="majorBidi" w:cstheme="majorBidi"/>
          <w:sz w:val="24"/>
          <w:szCs w:val="24"/>
        </w:rPr>
        <w:t xml:space="preserve"> as explained in section 5.5.6</w:t>
      </w:r>
      <w:r w:rsidRPr="00A6730E">
        <w:rPr>
          <w:rFonts w:asciiTheme="majorBidi" w:hAnsiTheme="majorBidi" w:cstheme="majorBidi"/>
          <w:sz w:val="24"/>
          <w:szCs w:val="24"/>
        </w:rPr>
        <w:t>.</w:t>
      </w:r>
      <w:r w:rsidR="0072298A">
        <w:rPr>
          <w:rFonts w:asciiTheme="majorBidi" w:hAnsiTheme="majorBidi" w:cstheme="majorBidi"/>
          <w:sz w:val="24"/>
          <w:szCs w:val="24"/>
        </w:rPr>
        <w:t xml:space="preserve">1. Additionally, this sampling strategy was deemed appropriate as the study aims to extract findings from the respondents who are similar to the brand’s target audience which will be further explained in the next section. </w:t>
      </w:r>
      <w:r>
        <w:rPr>
          <w:rFonts w:asciiTheme="majorBidi" w:hAnsiTheme="majorBidi" w:cstheme="majorBidi"/>
          <w:sz w:val="24"/>
          <w:szCs w:val="24"/>
        </w:rPr>
        <w:t xml:space="preserve"> </w:t>
      </w:r>
    </w:p>
    <w:p w14:paraId="34B4651F" w14:textId="3D4E9FEB" w:rsidR="007A225E" w:rsidRDefault="007A225E" w:rsidP="007A225E">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The scope of the study was decided to be Egypt. </w:t>
      </w:r>
      <w:r w:rsidRPr="0010282B">
        <w:rPr>
          <w:rFonts w:asciiTheme="majorBidi" w:hAnsiTheme="majorBidi" w:cstheme="majorBidi"/>
          <w:sz w:val="24"/>
          <w:szCs w:val="24"/>
        </w:rPr>
        <w:t>Egypt is a large country in which the population has passed 100 million in 2019</w:t>
      </w:r>
      <w:sdt>
        <w:sdtPr>
          <w:rPr>
            <w:rFonts w:asciiTheme="majorBidi" w:hAnsiTheme="majorBidi" w:cstheme="majorBidi"/>
            <w:sz w:val="24"/>
            <w:szCs w:val="24"/>
          </w:rPr>
          <w:id w:val="-1456168904"/>
          <w:citation/>
        </w:sdtPr>
        <w:sdtContent>
          <w:r w:rsidRPr="0010282B">
            <w:rPr>
              <w:rFonts w:asciiTheme="majorBidi" w:hAnsiTheme="majorBidi" w:cstheme="majorBidi"/>
              <w:sz w:val="24"/>
              <w:szCs w:val="24"/>
            </w:rPr>
            <w:fldChar w:fldCharType="begin"/>
          </w:r>
          <w:r w:rsidRPr="0010282B">
            <w:rPr>
              <w:rFonts w:asciiTheme="majorBidi" w:hAnsiTheme="majorBidi" w:cstheme="majorBidi"/>
              <w:sz w:val="24"/>
              <w:szCs w:val="24"/>
            </w:rPr>
            <w:instrText xml:space="preserve"> CITATION Mac21 \l 2057 </w:instrText>
          </w:r>
          <w:r w:rsidRPr="0010282B">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(MacroTrends, 2021)</w:t>
          </w:r>
          <w:r w:rsidRPr="0010282B">
            <w:rPr>
              <w:rFonts w:asciiTheme="majorBidi" w:hAnsiTheme="majorBidi" w:cstheme="majorBidi"/>
              <w:sz w:val="24"/>
              <w:szCs w:val="24"/>
            </w:rPr>
            <w:fldChar w:fldCharType="end"/>
          </w:r>
        </w:sdtContent>
      </w:sdt>
      <w:r w:rsidRPr="0010282B">
        <w:rPr>
          <w:rFonts w:asciiTheme="majorBidi" w:hAnsiTheme="majorBidi" w:cstheme="majorBidi"/>
          <w:sz w:val="24"/>
          <w:szCs w:val="24"/>
        </w:rPr>
        <w:t xml:space="preserve">. </w:t>
      </w:r>
      <w:r>
        <w:rPr>
          <w:rFonts w:asciiTheme="majorBidi" w:hAnsiTheme="majorBidi" w:cstheme="majorBidi"/>
          <w:sz w:val="24"/>
          <w:szCs w:val="24"/>
        </w:rPr>
        <w:t>Firstly,</w:t>
      </w:r>
      <w:r w:rsidRPr="0010282B">
        <w:rPr>
          <w:rFonts w:asciiTheme="majorBidi" w:hAnsiTheme="majorBidi" w:cstheme="majorBidi"/>
          <w:sz w:val="24"/>
          <w:szCs w:val="24"/>
        </w:rPr>
        <w:t xml:space="preserve"> I chose Egypt to be the country of study </w:t>
      </w:r>
      <w:r>
        <w:rPr>
          <w:rFonts w:asciiTheme="majorBidi" w:hAnsiTheme="majorBidi" w:cstheme="majorBidi"/>
          <w:sz w:val="24"/>
          <w:szCs w:val="24"/>
        </w:rPr>
        <w:t>as</w:t>
      </w:r>
      <w:r w:rsidRPr="0010282B">
        <w:rPr>
          <w:rFonts w:asciiTheme="majorBidi" w:hAnsiTheme="majorBidi" w:cstheme="majorBidi"/>
          <w:sz w:val="24"/>
          <w:szCs w:val="24"/>
        </w:rPr>
        <w:t xml:space="preserve"> </w:t>
      </w:r>
      <w:bookmarkStart w:id="147" w:name="_Hlk157197846"/>
      <w:r w:rsidRPr="0010282B">
        <w:rPr>
          <w:rFonts w:asciiTheme="majorBidi" w:hAnsiTheme="majorBidi" w:cstheme="majorBidi"/>
          <w:sz w:val="24"/>
          <w:szCs w:val="24"/>
        </w:rPr>
        <w:t xml:space="preserve">Egypt is the </w:t>
      </w:r>
      <w:r w:rsidRPr="00E27678">
        <w:rPr>
          <w:rFonts w:asciiTheme="majorBidi" w:hAnsiTheme="majorBidi" w:cstheme="majorBidi"/>
          <w:sz w:val="24"/>
          <w:szCs w:val="24"/>
        </w:rPr>
        <w:t xml:space="preserve">largest and one of the most densely populated Arab countries </w:t>
      </w:r>
      <w:sdt>
        <w:sdtPr>
          <w:rPr>
            <w:rFonts w:asciiTheme="majorBidi" w:hAnsiTheme="majorBidi" w:cstheme="majorBidi"/>
            <w:sz w:val="24"/>
            <w:szCs w:val="24"/>
          </w:rPr>
          <w:id w:val="-413775813"/>
          <w:citation/>
        </w:sdtPr>
        <w:sdtContent>
          <w:r w:rsidRPr="00E27678">
            <w:rPr>
              <w:rFonts w:asciiTheme="majorBidi" w:hAnsiTheme="majorBidi" w:cstheme="majorBidi"/>
              <w:sz w:val="24"/>
              <w:szCs w:val="24"/>
            </w:rPr>
            <w:fldChar w:fldCharType="begin"/>
          </w:r>
          <w:r w:rsidRPr="00E27678">
            <w:rPr>
              <w:rFonts w:asciiTheme="majorBidi" w:hAnsiTheme="majorBidi" w:cstheme="majorBidi"/>
              <w:sz w:val="24"/>
              <w:szCs w:val="24"/>
            </w:rPr>
            <w:instrText xml:space="preserve"> CITATION Uni17 \l 2057 </w:instrText>
          </w:r>
          <w:r w:rsidRPr="00E27678">
            <w:rPr>
              <w:rFonts w:asciiTheme="majorBidi" w:hAnsiTheme="majorBidi" w:cstheme="majorBidi"/>
              <w:sz w:val="24"/>
              <w:szCs w:val="24"/>
            </w:rPr>
            <w:fldChar w:fldCharType="separate"/>
          </w:r>
          <w:r w:rsidRPr="00E27678">
            <w:rPr>
              <w:rFonts w:asciiTheme="majorBidi" w:hAnsiTheme="majorBidi" w:cstheme="majorBidi"/>
              <w:noProof/>
              <w:sz w:val="24"/>
              <w:szCs w:val="24"/>
            </w:rPr>
            <w:t>(Unicef, 2017)</w:t>
          </w:r>
          <w:r w:rsidRPr="00E27678">
            <w:rPr>
              <w:rFonts w:asciiTheme="majorBidi" w:hAnsiTheme="majorBidi" w:cstheme="majorBidi"/>
              <w:sz w:val="24"/>
              <w:szCs w:val="24"/>
            </w:rPr>
            <w:fldChar w:fldCharType="end"/>
          </w:r>
        </w:sdtContent>
      </w:sdt>
      <w:r w:rsidRPr="0010282B">
        <w:rPr>
          <w:rFonts w:asciiTheme="majorBidi" w:hAnsiTheme="majorBidi" w:cstheme="majorBidi"/>
          <w:sz w:val="24"/>
          <w:szCs w:val="24"/>
        </w:rPr>
        <w:t xml:space="preserve">. Secondly, Egypt forms a </w:t>
      </w:r>
      <w:r>
        <w:rPr>
          <w:rFonts w:asciiTheme="majorBidi" w:hAnsiTheme="majorBidi" w:cstheme="majorBidi"/>
          <w:sz w:val="24"/>
          <w:szCs w:val="24"/>
        </w:rPr>
        <w:t>relatively</w:t>
      </w:r>
      <w:r w:rsidRPr="0010282B">
        <w:rPr>
          <w:rFonts w:asciiTheme="majorBidi" w:hAnsiTheme="majorBidi" w:cstheme="majorBidi"/>
          <w:sz w:val="24"/>
          <w:szCs w:val="24"/>
        </w:rPr>
        <w:t xml:space="preserve"> homogenous</w:t>
      </w:r>
      <w:r>
        <w:rPr>
          <w:rFonts w:asciiTheme="majorBidi" w:hAnsiTheme="majorBidi" w:cstheme="majorBidi"/>
          <w:sz w:val="24"/>
          <w:szCs w:val="24"/>
        </w:rPr>
        <w:t xml:space="preserve"> ethnic</w:t>
      </w:r>
      <w:r w:rsidRPr="0010282B">
        <w:rPr>
          <w:rFonts w:asciiTheme="majorBidi" w:hAnsiTheme="majorBidi" w:cstheme="majorBidi"/>
          <w:sz w:val="24"/>
          <w:szCs w:val="24"/>
        </w:rPr>
        <w:t xml:space="preserve"> group.</w:t>
      </w:r>
      <w:r>
        <w:rPr>
          <w:rFonts w:asciiTheme="majorBidi" w:hAnsiTheme="majorBidi" w:cstheme="majorBidi"/>
          <w:sz w:val="24"/>
          <w:szCs w:val="24"/>
        </w:rPr>
        <w:t xml:space="preserve"> Thirdly, according to multiple sources</w:t>
      </w:r>
      <w:r w:rsidRPr="00E27678">
        <w:rPr>
          <w:rFonts w:asciiTheme="majorBidi" w:hAnsiTheme="majorBidi" w:cstheme="majorBidi"/>
          <w:sz w:val="24"/>
          <w:szCs w:val="24"/>
        </w:rPr>
        <w:t xml:space="preserve">, Egypt is one of the best countries </w:t>
      </w:r>
      <w:r w:rsidR="00D74D1D" w:rsidRPr="00E27678">
        <w:rPr>
          <w:rFonts w:asciiTheme="majorBidi" w:hAnsiTheme="majorBidi" w:cstheme="majorBidi"/>
          <w:sz w:val="24"/>
          <w:szCs w:val="24"/>
        </w:rPr>
        <w:t>in which to</w:t>
      </w:r>
      <w:r w:rsidRPr="00E27678">
        <w:rPr>
          <w:rFonts w:asciiTheme="majorBidi" w:hAnsiTheme="majorBidi" w:cstheme="majorBidi"/>
          <w:sz w:val="24"/>
          <w:szCs w:val="24"/>
        </w:rPr>
        <w:t xml:space="preserve"> invest</w:t>
      </w:r>
      <w:r w:rsidR="00D128BF" w:rsidRPr="00E27678">
        <w:rPr>
          <w:rFonts w:asciiTheme="majorBidi" w:hAnsiTheme="majorBidi" w:cstheme="majorBidi"/>
          <w:sz w:val="24"/>
          <w:szCs w:val="24"/>
        </w:rPr>
        <w:t xml:space="preserve"> in</w:t>
      </w:r>
      <w:r w:rsidRPr="00E27678">
        <w:rPr>
          <w:rFonts w:asciiTheme="majorBidi" w:hAnsiTheme="majorBidi" w:cstheme="majorBidi"/>
          <w:sz w:val="24"/>
          <w:szCs w:val="24"/>
        </w:rPr>
        <w:t xml:space="preserve"> Africa and in the Middle East </w:t>
      </w:r>
      <w:sdt>
        <w:sdtPr>
          <w:rPr>
            <w:rFonts w:asciiTheme="majorBidi" w:hAnsiTheme="majorBidi" w:cstheme="majorBidi"/>
            <w:sz w:val="24"/>
            <w:szCs w:val="24"/>
          </w:rPr>
          <w:id w:val="1241369270"/>
          <w:citation/>
        </w:sdtPr>
        <w:sdtContent>
          <w:r w:rsidRPr="00E27678">
            <w:rPr>
              <w:rFonts w:asciiTheme="majorBidi" w:hAnsiTheme="majorBidi" w:cstheme="majorBidi"/>
              <w:sz w:val="24"/>
              <w:szCs w:val="24"/>
            </w:rPr>
            <w:fldChar w:fldCharType="begin"/>
          </w:r>
          <w:r w:rsidRPr="00E27678">
            <w:rPr>
              <w:rFonts w:asciiTheme="majorBidi" w:hAnsiTheme="majorBidi" w:cstheme="majorBidi"/>
              <w:sz w:val="24"/>
              <w:szCs w:val="24"/>
            </w:rPr>
            <w:instrText xml:space="preserve"> CITATION ElS22 \l 2057  \m Ony21</w:instrText>
          </w:r>
          <w:r w:rsidRPr="00E27678">
            <w:rPr>
              <w:rFonts w:asciiTheme="majorBidi" w:hAnsiTheme="majorBidi" w:cstheme="majorBidi"/>
              <w:sz w:val="24"/>
              <w:szCs w:val="24"/>
            </w:rPr>
            <w:fldChar w:fldCharType="separate"/>
          </w:r>
          <w:r w:rsidRPr="00E27678">
            <w:rPr>
              <w:rFonts w:asciiTheme="majorBidi" w:hAnsiTheme="majorBidi" w:cstheme="majorBidi"/>
              <w:noProof/>
              <w:sz w:val="24"/>
              <w:szCs w:val="24"/>
            </w:rPr>
            <w:t>(El-Shabrawy, 2022; Onyango, 2021)</w:t>
          </w:r>
          <w:r w:rsidRPr="00E27678">
            <w:rPr>
              <w:rFonts w:asciiTheme="majorBidi" w:hAnsiTheme="majorBidi" w:cstheme="majorBidi"/>
              <w:sz w:val="24"/>
              <w:szCs w:val="24"/>
            </w:rPr>
            <w:fldChar w:fldCharType="end"/>
          </w:r>
        </w:sdtContent>
      </w:sdt>
      <w:r w:rsidRPr="00E27678">
        <w:rPr>
          <w:rFonts w:asciiTheme="majorBidi" w:hAnsiTheme="majorBidi" w:cstheme="majorBidi"/>
          <w:sz w:val="24"/>
          <w:szCs w:val="24"/>
        </w:rPr>
        <w:t>. This indicates that Egypt is an attractive market for multinationals to be present in with their products</w:t>
      </w:r>
      <w:bookmarkEnd w:id="147"/>
      <w:r w:rsidRPr="00E27678">
        <w:rPr>
          <w:rFonts w:asciiTheme="majorBidi" w:hAnsiTheme="majorBidi" w:cstheme="majorBidi"/>
          <w:sz w:val="24"/>
          <w:szCs w:val="24"/>
        </w:rPr>
        <w:t xml:space="preserve">. The biggest 3 cities in Egypt are Cairo, Alexandria, and Giza. The rest of the population are spread out along the Nile all the way to Upper Egypt in non-urban areas </w:t>
      </w:r>
      <w:sdt>
        <w:sdtPr>
          <w:rPr>
            <w:rFonts w:asciiTheme="majorBidi" w:hAnsiTheme="majorBidi" w:cstheme="majorBidi"/>
            <w:sz w:val="24"/>
            <w:szCs w:val="24"/>
          </w:rPr>
          <w:id w:val="217173519"/>
          <w:citation/>
        </w:sdtPr>
        <w:sdtContent>
          <w:r w:rsidRPr="00E27678">
            <w:rPr>
              <w:rFonts w:asciiTheme="majorBidi" w:hAnsiTheme="majorBidi" w:cstheme="majorBidi"/>
              <w:sz w:val="24"/>
              <w:szCs w:val="24"/>
            </w:rPr>
            <w:fldChar w:fldCharType="begin"/>
          </w:r>
          <w:r w:rsidRPr="00E27678">
            <w:rPr>
              <w:rFonts w:asciiTheme="majorBidi" w:hAnsiTheme="majorBidi" w:cstheme="majorBidi"/>
              <w:sz w:val="24"/>
              <w:szCs w:val="24"/>
            </w:rPr>
            <w:instrText xml:space="preserve"> CITATION Bri \l 2057  \m Wor21</w:instrText>
          </w:r>
          <w:r w:rsidRPr="00E27678">
            <w:rPr>
              <w:rFonts w:asciiTheme="majorBidi" w:hAnsiTheme="majorBidi" w:cstheme="majorBidi"/>
              <w:sz w:val="24"/>
              <w:szCs w:val="24"/>
            </w:rPr>
            <w:fldChar w:fldCharType="separate"/>
          </w:r>
          <w:r w:rsidRPr="00E27678">
            <w:rPr>
              <w:rFonts w:asciiTheme="majorBidi" w:hAnsiTheme="majorBidi" w:cstheme="majorBidi"/>
              <w:noProof/>
              <w:sz w:val="24"/>
              <w:szCs w:val="24"/>
            </w:rPr>
            <w:t>(Britannica, n.d.; World Population Review , 2021)</w:t>
          </w:r>
          <w:r w:rsidRPr="00E27678">
            <w:rPr>
              <w:rFonts w:asciiTheme="majorBidi" w:hAnsiTheme="majorBidi" w:cstheme="majorBidi"/>
              <w:sz w:val="24"/>
              <w:szCs w:val="24"/>
            </w:rPr>
            <w:fldChar w:fldCharType="end"/>
          </w:r>
        </w:sdtContent>
      </w:sdt>
      <w:r w:rsidRPr="00E27678">
        <w:rPr>
          <w:rFonts w:asciiTheme="majorBidi" w:hAnsiTheme="majorBidi" w:cstheme="majorBidi"/>
          <w:sz w:val="24"/>
          <w:szCs w:val="24"/>
        </w:rPr>
        <w:t xml:space="preserve">. For that reason, I intend to reach respondents in Cairo, Giza, and Alexandria, as this is where most people with high </w:t>
      </w:r>
      <w:r w:rsidR="00D128BF" w:rsidRPr="00E27678">
        <w:rPr>
          <w:rFonts w:asciiTheme="majorBidi" w:hAnsiTheme="majorBidi" w:cstheme="majorBidi"/>
          <w:sz w:val="24"/>
          <w:szCs w:val="24"/>
        </w:rPr>
        <w:t>SES</w:t>
      </w:r>
      <w:r w:rsidRPr="00E27678">
        <w:rPr>
          <w:rFonts w:asciiTheme="majorBidi" w:hAnsiTheme="majorBidi" w:cstheme="majorBidi"/>
          <w:sz w:val="24"/>
          <w:szCs w:val="24"/>
        </w:rPr>
        <w:t xml:space="preserve"> reside. Additionally, even though, year on year, Egypt is projecting healthy economic growth, still almost one third of Egypt’s population live below the poverty line making Egypt on the top of the list of globally poor countries </w:t>
      </w:r>
      <w:sdt>
        <w:sdtPr>
          <w:rPr>
            <w:rFonts w:asciiTheme="majorBidi" w:hAnsiTheme="majorBidi" w:cstheme="majorBidi"/>
            <w:sz w:val="24"/>
            <w:szCs w:val="24"/>
          </w:rPr>
          <w:id w:val="-1915615266"/>
          <w:citation/>
        </w:sdtPr>
        <w:sdtContent>
          <w:r w:rsidRPr="00E27678">
            <w:rPr>
              <w:rFonts w:asciiTheme="majorBidi" w:hAnsiTheme="majorBidi" w:cstheme="majorBidi"/>
              <w:sz w:val="24"/>
              <w:szCs w:val="24"/>
            </w:rPr>
            <w:fldChar w:fldCharType="begin"/>
          </w:r>
          <w:r w:rsidRPr="00E27678">
            <w:rPr>
              <w:rFonts w:asciiTheme="majorBidi" w:hAnsiTheme="majorBidi" w:cstheme="majorBidi"/>
              <w:sz w:val="24"/>
              <w:szCs w:val="24"/>
            </w:rPr>
            <w:instrText xml:space="preserve"> CITATION AFP20 \l 2057  \m Mac22</w:instrText>
          </w:r>
          <w:r w:rsidRPr="00E27678">
            <w:rPr>
              <w:rFonts w:asciiTheme="majorBidi" w:hAnsiTheme="majorBidi" w:cstheme="majorBidi"/>
              <w:sz w:val="24"/>
              <w:szCs w:val="24"/>
            </w:rPr>
            <w:fldChar w:fldCharType="separate"/>
          </w:r>
          <w:r w:rsidRPr="00E27678">
            <w:rPr>
              <w:rFonts w:asciiTheme="majorBidi" w:hAnsiTheme="majorBidi" w:cstheme="majorBidi"/>
              <w:noProof/>
              <w:sz w:val="24"/>
              <w:szCs w:val="24"/>
            </w:rPr>
            <w:t>(AFP, 2020; Macrotrends, 2022)</w:t>
          </w:r>
          <w:r w:rsidRPr="00E27678">
            <w:rPr>
              <w:rFonts w:asciiTheme="majorBidi" w:hAnsiTheme="majorBidi" w:cstheme="majorBidi"/>
              <w:sz w:val="24"/>
              <w:szCs w:val="24"/>
            </w:rPr>
            <w:fldChar w:fldCharType="end"/>
          </w:r>
        </w:sdtContent>
      </w:sdt>
      <w:r w:rsidRPr="00E27678">
        <w:rPr>
          <w:rFonts w:asciiTheme="majorBidi" w:hAnsiTheme="majorBidi" w:cstheme="majorBidi"/>
          <w:sz w:val="24"/>
          <w:szCs w:val="24"/>
        </w:rPr>
        <w:t>.</w:t>
      </w:r>
      <w:r w:rsidRPr="004E5FD3">
        <w:rPr>
          <w:rFonts w:asciiTheme="majorBidi" w:hAnsiTheme="majorBidi" w:cstheme="majorBidi"/>
          <w:sz w:val="24"/>
          <w:szCs w:val="24"/>
          <w:u w:val="single"/>
        </w:rPr>
        <w:t xml:space="preserve"> </w:t>
      </w:r>
      <w:r>
        <w:rPr>
          <w:rFonts w:asciiTheme="majorBidi" w:hAnsiTheme="majorBidi" w:cstheme="majorBidi"/>
          <w:sz w:val="24"/>
          <w:szCs w:val="24"/>
        </w:rPr>
        <w:t xml:space="preserve">Naturally, this clearly creates a real need for valuable CSR projects in a country like Egypt.   </w:t>
      </w:r>
    </w:p>
    <w:p w14:paraId="0798173A" w14:textId="24BE209C" w:rsidR="007A225E" w:rsidRPr="006F4423" w:rsidRDefault="007A225E" w:rsidP="007A225E">
      <w:pPr>
        <w:spacing w:after="0"/>
        <w:ind w:firstLine="720"/>
        <w:rPr>
          <w:rFonts w:asciiTheme="majorBidi" w:hAnsiTheme="majorBidi" w:cstheme="majorBidi"/>
          <w:b/>
          <w:bCs/>
          <w:sz w:val="24"/>
          <w:szCs w:val="24"/>
        </w:rPr>
      </w:pPr>
      <w:r>
        <w:rPr>
          <w:rFonts w:asciiTheme="majorBidi" w:hAnsiTheme="majorBidi" w:cstheme="majorBidi"/>
          <w:b/>
          <w:bCs/>
          <w:sz w:val="24"/>
          <w:szCs w:val="24"/>
        </w:rPr>
        <w:t>5</w:t>
      </w:r>
      <w:r w:rsidRPr="006F4423">
        <w:rPr>
          <w:rFonts w:asciiTheme="majorBidi" w:hAnsiTheme="majorBidi" w:cstheme="majorBidi"/>
          <w:b/>
          <w:bCs/>
          <w:sz w:val="24"/>
          <w:szCs w:val="24"/>
        </w:rPr>
        <w:t>.</w:t>
      </w:r>
      <w:r w:rsidR="00891F01">
        <w:rPr>
          <w:rFonts w:asciiTheme="majorBidi" w:hAnsiTheme="majorBidi" w:cstheme="majorBidi"/>
          <w:b/>
          <w:bCs/>
          <w:sz w:val="24"/>
          <w:szCs w:val="24"/>
        </w:rPr>
        <w:t>4</w:t>
      </w:r>
      <w:r w:rsidRPr="006F4423">
        <w:rPr>
          <w:rFonts w:asciiTheme="majorBidi" w:hAnsiTheme="majorBidi" w:cstheme="majorBidi"/>
          <w:b/>
          <w:bCs/>
          <w:sz w:val="24"/>
          <w:szCs w:val="24"/>
        </w:rPr>
        <w:t>.</w:t>
      </w:r>
      <w:r>
        <w:rPr>
          <w:rFonts w:asciiTheme="majorBidi" w:hAnsiTheme="majorBidi" w:cstheme="majorBidi"/>
          <w:b/>
          <w:bCs/>
          <w:sz w:val="24"/>
          <w:szCs w:val="24"/>
        </w:rPr>
        <w:t>8.</w:t>
      </w:r>
      <w:r w:rsidRPr="006F4423">
        <w:rPr>
          <w:rFonts w:asciiTheme="majorBidi" w:hAnsiTheme="majorBidi" w:cstheme="majorBidi"/>
          <w:b/>
          <w:bCs/>
          <w:sz w:val="24"/>
          <w:szCs w:val="24"/>
        </w:rPr>
        <w:t xml:space="preserve"> Recruitment methods</w:t>
      </w:r>
      <w:r w:rsidRPr="006F4423">
        <w:rPr>
          <w:rFonts w:asciiTheme="majorBidi" w:hAnsiTheme="majorBidi" w:cstheme="majorBidi"/>
          <w:b/>
          <w:bCs/>
          <w:sz w:val="24"/>
          <w:szCs w:val="24"/>
        </w:rPr>
        <w:br/>
      </w:r>
    </w:p>
    <w:p w14:paraId="70BFD20D" w14:textId="5684B7C1" w:rsidR="007A225E" w:rsidRDefault="007A225E" w:rsidP="007A225E">
      <w:pPr>
        <w:spacing w:after="0" w:line="480" w:lineRule="auto"/>
        <w:ind w:firstLine="720"/>
        <w:rPr>
          <w:rFonts w:asciiTheme="majorBidi" w:hAnsiTheme="majorBidi" w:cstheme="majorBidi"/>
          <w:sz w:val="24"/>
          <w:szCs w:val="24"/>
        </w:rPr>
      </w:pPr>
      <w:r>
        <w:rPr>
          <w:rFonts w:asciiTheme="majorBidi" w:hAnsiTheme="majorBidi" w:cstheme="majorBidi"/>
          <w:sz w:val="24"/>
          <w:szCs w:val="24"/>
        </w:rPr>
        <w:t>Since this study uses Dettol as the studied brand as an example</w:t>
      </w:r>
      <w:r w:rsidR="00742165">
        <w:rPr>
          <w:rFonts w:asciiTheme="majorBidi" w:hAnsiTheme="majorBidi" w:cstheme="majorBidi"/>
          <w:sz w:val="24"/>
          <w:szCs w:val="24"/>
        </w:rPr>
        <w:t xml:space="preserve"> of FMCG products</w:t>
      </w:r>
      <w:r>
        <w:rPr>
          <w:rFonts w:asciiTheme="majorBidi" w:hAnsiTheme="majorBidi" w:cstheme="majorBidi"/>
          <w:sz w:val="24"/>
          <w:szCs w:val="24"/>
        </w:rPr>
        <w:t xml:space="preserve">, </w:t>
      </w:r>
      <w:r w:rsidRPr="00A95B0D">
        <w:rPr>
          <w:rFonts w:asciiTheme="majorBidi" w:hAnsiTheme="majorBidi" w:cstheme="majorBidi"/>
          <w:sz w:val="24"/>
          <w:szCs w:val="24"/>
        </w:rPr>
        <w:t>I got in touch with Dettol’s brand management team at Reckitt Benckiser in Egypt.</w:t>
      </w:r>
      <w:r>
        <w:rPr>
          <w:rFonts w:asciiTheme="majorBidi" w:hAnsiTheme="majorBidi" w:cstheme="majorBidi"/>
          <w:sz w:val="24"/>
          <w:szCs w:val="24"/>
        </w:rPr>
        <w:t xml:space="preserve"> They provided me with one Power Point file and one word document. To support and fine tune the analysis of my study, I conducted </w:t>
      </w:r>
      <w:r w:rsidRPr="00B51EAD">
        <w:rPr>
          <w:rFonts w:asciiTheme="majorBidi" w:hAnsiTheme="majorBidi" w:cstheme="majorBidi"/>
          <w:sz w:val="24"/>
          <w:szCs w:val="24"/>
        </w:rPr>
        <w:t>document</w:t>
      </w:r>
      <w:r>
        <w:rPr>
          <w:rFonts w:asciiTheme="majorBidi" w:hAnsiTheme="majorBidi" w:cstheme="majorBidi"/>
          <w:sz w:val="24"/>
          <w:szCs w:val="24"/>
        </w:rPr>
        <w:t xml:space="preserve"> analysis on these two documents only to match the profiles of respondents of the survey experiments to the profiles of Dettol’s target audience. These documents provided me with an idea about the demographics of Dettol’s target audience in Egypt. </w:t>
      </w:r>
      <w:r w:rsidRPr="00B51EAD">
        <w:rPr>
          <w:rFonts w:asciiTheme="majorBidi" w:hAnsiTheme="majorBidi" w:cstheme="majorBidi"/>
          <w:sz w:val="24"/>
          <w:szCs w:val="24"/>
        </w:rPr>
        <w:t xml:space="preserve">These documents were analysed and interpreted to uncover the fact that Dettol’s target audience is majorly compromised of </w:t>
      </w:r>
      <w:r w:rsidRPr="00812CFD">
        <w:rPr>
          <w:rFonts w:asciiTheme="majorBidi" w:hAnsiTheme="majorBidi" w:cstheme="majorBidi"/>
          <w:sz w:val="24"/>
          <w:szCs w:val="24"/>
        </w:rPr>
        <w:t>consumers with medium to high brackets of household income and that the major targeted gender is female. Also, in an online meeting conducted on Zoom, two of the brand managers of Dettol in Egypt verbally confirmed this information.</w:t>
      </w:r>
      <w:r>
        <w:rPr>
          <w:rFonts w:asciiTheme="majorBidi" w:hAnsiTheme="majorBidi" w:cstheme="majorBidi"/>
          <w:sz w:val="24"/>
          <w:szCs w:val="24"/>
        </w:rPr>
        <w:t xml:space="preserve"> This is because, Dettol is priced higher than the shelf-price of other local brands in the category of multipurpose and antiseptic cleaning</w:t>
      </w:r>
      <w:sdt>
        <w:sdtPr>
          <w:rPr>
            <w:rFonts w:asciiTheme="majorBidi" w:hAnsiTheme="majorBidi" w:cstheme="majorBidi"/>
            <w:sz w:val="24"/>
            <w:szCs w:val="24"/>
          </w:rPr>
          <w:id w:val="162203141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ElG20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(El-Gundy, 2020)</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Accordingly, these classifications were considered when recruiting the sample of respondents. </w:t>
      </w:r>
    </w:p>
    <w:p w14:paraId="09EA2F97" w14:textId="0456B584" w:rsidR="007A225E" w:rsidRDefault="007A225E" w:rsidP="008F7680">
      <w:pPr>
        <w:spacing w:after="0" w:line="480" w:lineRule="auto"/>
        <w:ind w:firstLine="720"/>
        <w:rPr>
          <w:rFonts w:asciiTheme="majorBidi" w:hAnsiTheme="majorBidi" w:cstheme="majorBidi"/>
          <w:sz w:val="24"/>
          <w:szCs w:val="24"/>
        </w:rPr>
      </w:pPr>
      <w:r w:rsidRPr="00504F01">
        <w:rPr>
          <w:rFonts w:asciiTheme="majorBidi" w:hAnsiTheme="majorBidi" w:cstheme="majorBidi"/>
          <w:sz w:val="24"/>
          <w:szCs w:val="24"/>
        </w:rPr>
        <w:t xml:space="preserve">I </w:t>
      </w:r>
      <w:r w:rsidRPr="00044DE9">
        <w:rPr>
          <w:rFonts w:asciiTheme="majorBidi" w:hAnsiTheme="majorBidi" w:cstheme="majorBidi"/>
          <w:sz w:val="24"/>
          <w:szCs w:val="24"/>
        </w:rPr>
        <w:t>used Facebook groups to recruit</w:t>
      </w:r>
      <w:r w:rsidRPr="00504F01">
        <w:rPr>
          <w:rFonts w:asciiTheme="majorBidi" w:hAnsiTheme="majorBidi" w:cstheme="majorBidi"/>
          <w:sz w:val="24"/>
          <w:szCs w:val="24"/>
        </w:rPr>
        <w:t xml:space="preserve"> respondents for the experiment. </w:t>
      </w:r>
      <w:r w:rsidR="00D74D1D">
        <w:rPr>
          <w:rFonts w:asciiTheme="majorBidi" w:hAnsiTheme="majorBidi" w:cstheme="majorBidi"/>
          <w:sz w:val="24"/>
          <w:szCs w:val="24"/>
        </w:rPr>
        <w:t>P</w:t>
      </w:r>
      <w:r>
        <w:rPr>
          <w:rFonts w:asciiTheme="majorBidi" w:hAnsiTheme="majorBidi" w:cstheme="majorBidi"/>
          <w:sz w:val="24"/>
          <w:szCs w:val="24"/>
        </w:rPr>
        <w:t xml:space="preserve">lenty of previous studies established the feasibility of using Facebook for recruitment </w:t>
      </w:r>
      <w:sdt>
        <w:sdtPr>
          <w:rPr>
            <w:rFonts w:asciiTheme="majorBidi" w:hAnsiTheme="majorBidi" w:cstheme="majorBidi"/>
            <w:sz w:val="24"/>
            <w:szCs w:val="24"/>
          </w:rPr>
          <w:id w:val="26002778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Jon15 \l 2057  \m Kam19</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(Jones, Lacroix, &amp; Nolte, 2015; Kamp, Herbell, Magginis, Berry, &amp; Given,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One of the advantages of recruiting through Facebook groups is that this method offers the researcher extant accessibility to a variety of respondents </w:t>
      </w:r>
      <w:sdt>
        <w:sdtPr>
          <w:rPr>
            <w:rFonts w:asciiTheme="majorBidi" w:hAnsiTheme="majorBidi" w:cstheme="majorBidi"/>
            <w:sz w:val="24"/>
            <w:szCs w:val="24"/>
          </w:rPr>
          <w:id w:val="-76738494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Car16 \l 2057  \m Wei17</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 Carter-Harris, 2016; Weiner, Orin, Siracusa, &amp; Crowley,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Even key governmental decision makers in Egypt seem to find, specifically, Facebook groups to be a legitimate public participation platform </w:t>
      </w:r>
      <w:sdt>
        <w:sdtPr>
          <w:rPr>
            <w:rFonts w:asciiTheme="majorBidi" w:hAnsiTheme="majorBidi" w:cstheme="majorBidi"/>
            <w:sz w:val="24"/>
            <w:szCs w:val="24"/>
          </w:rPr>
          <w:id w:val="13176471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Kiw21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(Kiwan, Sheta, &amp; Samaa, 2021)</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504F01">
        <w:rPr>
          <w:rFonts w:asciiTheme="majorBidi" w:hAnsiTheme="majorBidi" w:cstheme="majorBidi"/>
          <w:sz w:val="24"/>
          <w:szCs w:val="24"/>
        </w:rPr>
        <w:t xml:space="preserve"> One drawback of recruiting from these groups is that they are mainly </w:t>
      </w:r>
      <w:r w:rsidRPr="00044DE9">
        <w:rPr>
          <w:rFonts w:asciiTheme="majorBidi" w:hAnsiTheme="majorBidi" w:cstheme="majorBidi"/>
          <w:sz w:val="24"/>
          <w:szCs w:val="24"/>
        </w:rPr>
        <w:t>dominated by female</w:t>
      </w:r>
      <w:r w:rsidRPr="00504F01">
        <w:rPr>
          <w:rFonts w:asciiTheme="majorBidi" w:hAnsiTheme="majorBidi" w:cstheme="majorBidi"/>
          <w:sz w:val="24"/>
          <w:szCs w:val="24"/>
        </w:rPr>
        <w:t xml:space="preserve"> users</w:t>
      </w:r>
      <w:r>
        <w:rPr>
          <w:rFonts w:asciiTheme="majorBidi" w:hAnsiTheme="majorBidi" w:cstheme="majorBidi"/>
          <w:sz w:val="24"/>
          <w:szCs w:val="24"/>
        </w:rPr>
        <w:t>; h</w:t>
      </w:r>
      <w:r w:rsidRPr="00504F01">
        <w:rPr>
          <w:rFonts w:asciiTheme="majorBidi" w:hAnsiTheme="majorBidi" w:cstheme="majorBidi"/>
          <w:sz w:val="24"/>
          <w:szCs w:val="24"/>
        </w:rPr>
        <w:t>owever, a female-dominated sample may not be an issue as the target audience</w:t>
      </w:r>
      <w:r>
        <w:rPr>
          <w:rFonts w:asciiTheme="majorBidi" w:hAnsiTheme="majorBidi" w:cstheme="majorBidi"/>
          <w:sz w:val="24"/>
          <w:szCs w:val="24"/>
        </w:rPr>
        <w:t xml:space="preserve"> of the brand mainly consists of females. Another drawback of recruiting respondents through Facebook is that respondents need Internet access to participate in the study </w:t>
      </w:r>
      <w:sdt>
        <w:sdtPr>
          <w:rPr>
            <w:rFonts w:asciiTheme="majorBidi" w:hAnsiTheme="majorBidi" w:cstheme="majorBidi"/>
            <w:sz w:val="24"/>
            <w:szCs w:val="24"/>
          </w:rPr>
          <w:id w:val="114964224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Whi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(Whitaker, Stevelink, &amp; Fear,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504F01">
        <w:rPr>
          <w:rFonts w:asciiTheme="majorBidi" w:hAnsiTheme="majorBidi" w:cstheme="majorBidi"/>
          <w:sz w:val="24"/>
          <w:szCs w:val="24"/>
        </w:rPr>
        <w:t>I recruit</w:t>
      </w:r>
      <w:r>
        <w:rPr>
          <w:rFonts w:asciiTheme="majorBidi" w:hAnsiTheme="majorBidi" w:cstheme="majorBidi"/>
          <w:sz w:val="24"/>
          <w:szCs w:val="24"/>
        </w:rPr>
        <w:t>ed</w:t>
      </w:r>
      <w:r w:rsidRPr="00504F01">
        <w:rPr>
          <w:rFonts w:asciiTheme="majorBidi" w:hAnsiTheme="majorBidi" w:cstheme="majorBidi"/>
          <w:sz w:val="24"/>
          <w:szCs w:val="24"/>
        </w:rPr>
        <w:t xml:space="preserve"> respondents from social Facebook groups as they are popular in Egypt. Some examples of these groups are “Miss Basket,” “Lets Care and Share,” “The Sisters,” etc.</w:t>
      </w:r>
      <w:r>
        <w:rPr>
          <w:rFonts w:asciiTheme="majorBidi" w:hAnsiTheme="majorBidi" w:cstheme="majorBidi"/>
          <w:sz w:val="24"/>
          <w:szCs w:val="24"/>
        </w:rPr>
        <w:t xml:space="preserve"> The study targeted groups in Egypt that mention in the description that the scope of the group </w:t>
      </w:r>
      <w:r w:rsidR="00D74D1D">
        <w:rPr>
          <w:rFonts w:asciiTheme="majorBidi" w:hAnsiTheme="majorBidi" w:cstheme="majorBidi"/>
          <w:sz w:val="24"/>
          <w:szCs w:val="24"/>
        </w:rPr>
        <w:t>is</w:t>
      </w:r>
      <w:r>
        <w:rPr>
          <w:rFonts w:asciiTheme="majorBidi" w:hAnsiTheme="majorBidi" w:cstheme="majorBidi"/>
          <w:sz w:val="24"/>
          <w:szCs w:val="24"/>
        </w:rPr>
        <w:t xml:space="preserve"> large cities such as Cairo and Alexandria. The process included a simple post thanking the administrators of the group for accepting the post, few sentences describing what is required from the members of the groups, the estimated time to complete the survey, and a picture with a thank you message to get the attention of the members of the group. </w:t>
      </w:r>
    </w:p>
    <w:p w14:paraId="783078DC" w14:textId="77777777" w:rsidR="007A225E" w:rsidRDefault="007A225E" w:rsidP="008F7680">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At the end of the survey, respondents were asked for permission to be contacted at a later stage to conduct an interview and they were asked to leave their email addresses. The provided email addresses were used to recruit respondents to arrange for an interview to collect qualitative data required for this study. Similar to the above discussed details on Study 1, the next section of this chapter will dive into the details of the qualitative study applied conducted for this thesis. </w:t>
      </w:r>
    </w:p>
    <w:p w14:paraId="76999B49" w14:textId="1BA9E843" w:rsidR="007A225E" w:rsidRDefault="008F7680" w:rsidP="008F7680">
      <w:pPr>
        <w:adjustRightInd w:val="0"/>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5</w:t>
      </w:r>
      <w:r w:rsidR="007A225E" w:rsidRPr="00450D26">
        <w:rPr>
          <w:rFonts w:asciiTheme="majorBidi" w:hAnsiTheme="majorBidi" w:cstheme="majorBidi"/>
          <w:b/>
          <w:bCs/>
          <w:sz w:val="24"/>
          <w:szCs w:val="24"/>
        </w:rPr>
        <w:t>.</w:t>
      </w:r>
      <w:r w:rsidR="00891F01">
        <w:rPr>
          <w:rFonts w:asciiTheme="majorBidi" w:hAnsiTheme="majorBidi" w:cstheme="majorBidi"/>
          <w:b/>
          <w:bCs/>
          <w:sz w:val="24"/>
          <w:szCs w:val="24"/>
        </w:rPr>
        <w:t>5</w:t>
      </w:r>
      <w:r w:rsidR="007A225E">
        <w:rPr>
          <w:rFonts w:asciiTheme="majorBidi" w:hAnsiTheme="majorBidi" w:cstheme="majorBidi"/>
          <w:b/>
          <w:bCs/>
          <w:sz w:val="24"/>
          <w:szCs w:val="24"/>
        </w:rPr>
        <w:t xml:space="preserve"> </w:t>
      </w:r>
      <w:r w:rsidR="007A225E" w:rsidRPr="00450D26">
        <w:rPr>
          <w:rFonts w:asciiTheme="majorBidi" w:hAnsiTheme="majorBidi" w:cstheme="majorBidi"/>
          <w:b/>
          <w:bCs/>
          <w:sz w:val="24"/>
          <w:szCs w:val="24"/>
        </w:rPr>
        <w:t xml:space="preserve">Study </w:t>
      </w:r>
      <w:r w:rsidR="004E52B4">
        <w:rPr>
          <w:rFonts w:asciiTheme="majorBidi" w:hAnsiTheme="majorBidi" w:cstheme="majorBidi"/>
          <w:b/>
          <w:bCs/>
          <w:sz w:val="24"/>
          <w:szCs w:val="24"/>
        </w:rPr>
        <w:t>Two</w:t>
      </w:r>
    </w:p>
    <w:p w14:paraId="7DE73A06" w14:textId="134B932E" w:rsidR="007A225E" w:rsidRDefault="008F7680" w:rsidP="008F7680">
      <w:pPr>
        <w:adjustRightInd w:val="0"/>
        <w:spacing w:after="0" w:line="480" w:lineRule="auto"/>
        <w:ind w:firstLine="720"/>
        <w:jc w:val="both"/>
        <w:rPr>
          <w:rFonts w:asciiTheme="majorBidi" w:hAnsiTheme="majorBidi" w:cstheme="majorBidi"/>
          <w:b/>
          <w:bCs/>
          <w:sz w:val="24"/>
          <w:szCs w:val="24"/>
        </w:rPr>
      </w:pPr>
      <w:r>
        <w:rPr>
          <w:rFonts w:asciiTheme="majorBidi" w:hAnsiTheme="majorBidi" w:cstheme="majorBidi"/>
          <w:b/>
          <w:bCs/>
          <w:sz w:val="24"/>
          <w:szCs w:val="24"/>
        </w:rPr>
        <w:t>5.</w:t>
      </w:r>
      <w:r w:rsidR="00891F01">
        <w:rPr>
          <w:rFonts w:asciiTheme="majorBidi" w:hAnsiTheme="majorBidi" w:cstheme="majorBidi"/>
          <w:b/>
          <w:bCs/>
          <w:sz w:val="24"/>
          <w:szCs w:val="24"/>
        </w:rPr>
        <w:t>5</w:t>
      </w:r>
      <w:r w:rsidR="007A225E">
        <w:rPr>
          <w:rFonts w:asciiTheme="majorBidi" w:hAnsiTheme="majorBidi" w:cstheme="majorBidi"/>
          <w:b/>
          <w:bCs/>
          <w:sz w:val="24"/>
          <w:szCs w:val="24"/>
        </w:rPr>
        <w:t xml:space="preserve">.1 Reliability and Validity in Semi-structured interviews </w:t>
      </w:r>
    </w:p>
    <w:p w14:paraId="55939A62" w14:textId="5A846B9E" w:rsidR="007A225E" w:rsidRDefault="007A225E" w:rsidP="006E435C">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Based on previous research, the concepts of reliability and validity in qualitative data are centred </w:t>
      </w:r>
      <w:r w:rsidR="00D74D1D">
        <w:rPr>
          <w:rFonts w:asciiTheme="majorBidi" w:hAnsiTheme="majorBidi" w:cstheme="majorBidi"/>
          <w:sz w:val="24"/>
          <w:szCs w:val="24"/>
        </w:rPr>
        <w:t>on</w:t>
      </w:r>
      <w:r>
        <w:rPr>
          <w:rFonts w:asciiTheme="majorBidi" w:hAnsiTheme="majorBidi" w:cstheme="majorBidi"/>
          <w:sz w:val="24"/>
          <w:szCs w:val="24"/>
        </w:rPr>
        <w:t xml:space="preserve"> the style of questions and the structure of administering these questions </w:t>
      </w:r>
      <w:sdt>
        <w:sdtPr>
          <w:rPr>
            <w:rFonts w:asciiTheme="majorBidi" w:hAnsiTheme="majorBidi" w:cstheme="majorBidi"/>
            <w:sz w:val="24"/>
            <w:szCs w:val="24"/>
          </w:rPr>
          <w:id w:val="26104597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Coh18 \l 2057  \m Col22 \m Gar22</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(Cohen, Manion, &amp; Morrison, 2018; Coleman, 2022; Gary,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Lincoln and Guba </w:t>
      </w:r>
      <w:sdt>
        <w:sdtPr>
          <w:rPr>
            <w:rFonts w:asciiTheme="majorBidi" w:hAnsiTheme="majorBidi" w:cstheme="majorBidi"/>
            <w:sz w:val="24"/>
            <w:szCs w:val="24"/>
          </w:rPr>
          <w:id w:val="81453051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Gub82 \n  \t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(1982)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were a couple of the earliest researchers who created a rigorous a criteria known as “the Four Dimensions Criteria” which consists of </w:t>
      </w:r>
      <w:r w:rsidRPr="00812CFD">
        <w:rPr>
          <w:rFonts w:asciiTheme="majorBidi" w:hAnsiTheme="majorBidi" w:cstheme="majorBidi"/>
          <w:sz w:val="24"/>
          <w:szCs w:val="24"/>
        </w:rPr>
        <w:t>credibility, dependability, confirmability and transferability.</w:t>
      </w:r>
      <w:r>
        <w:rPr>
          <w:rFonts w:asciiTheme="majorBidi" w:hAnsiTheme="majorBidi" w:cstheme="majorBidi"/>
          <w:sz w:val="24"/>
          <w:szCs w:val="24"/>
        </w:rPr>
        <w:t xml:space="preserve"> These criteria were later on used by many researchers in different disciplines</w:t>
      </w:r>
      <w:sdt>
        <w:sdtPr>
          <w:rPr>
            <w:rFonts w:asciiTheme="majorBidi" w:hAnsiTheme="majorBidi" w:cstheme="majorBidi"/>
            <w:sz w:val="24"/>
            <w:szCs w:val="24"/>
          </w:rPr>
          <w:id w:val="-1067032908"/>
          <w:citation/>
        </w:sdtPr>
        <w:sdtContent>
          <w:r w:rsidRPr="00B1101C">
            <w:rPr>
              <w:rFonts w:asciiTheme="majorBidi" w:hAnsiTheme="majorBidi" w:cstheme="majorBidi"/>
              <w:sz w:val="24"/>
              <w:szCs w:val="24"/>
            </w:rPr>
            <w:fldChar w:fldCharType="begin"/>
          </w:r>
          <w:r w:rsidRPr="00B1101C">
            <w:rPr>
              <w:rFonts w:asciiTheme="majorBidi" w:hAnsiTheme="majorBidi" w:cstheme="majorBidi"/>
              <w:sz w:val="24"/>
              <w:szCs w:val="24"/>
            </w:rPr>
            <w:instrText xml:space="preserve"> CITATION Jun22 \l 2057 </w:instrText>
          </w:r>
          <w:r>
            <w:rPr>
              <w:rFonts w:asciiTheme="majorBidi" w:hAnsiTheme="majorBidi" w:cstheme="majorBidi"/>
              <w:sz w:val="24"/>
              <w:szCs w:val="24"/>
            </w:rPr>
            <w:instrText xml:space="preserve"> \m Nyi20</w:instrText>
          </w:r>
          <w:r w:rsidRPr="00B1101C">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(Junjie &amp; Yingxin, 2022; Nyirenda, et al., 2020)</w:t>
          </w:r>
          <w:r w:rsidRPr="00B1101C">
            <w:rPr>
              <w:rFonts w:asciiTheme="majorBidi" w:hAnsiTheme="majorBidi" w:cstheme="majorBidi"/>
              <w:sz w:val="24"/>
              <w:szCs w:val="24"/>
            </w:rPr>
            <w:fldChar w:fldCharType="end"/>
          </w:r>
        </w:sdtContent>
      </w:sdt>
      <w:r w:rsidRPr="00B1101C">
        <w:rPr>
          <w:rFonts w:asciiTheme="majorBidi" w:hAnsiTheme="majorBidi" w:cstheme="majorBidi"/>
          <w:sz w:val="24"/>
          <w:szCs w:val="24"/>
        </w:rPr>
        <w:t>.</w:t>
      </w:r>
      <w:r>
        <w:rPr>
          <w:rFonts w:asciiTheme="majorBidi" w:hAnsiTheme="majorBidi" w:cstheme="majorBidi"/>
          <w:sz w:val="24"/>
          <w:szCs w:val="24"/>
        </w:rPr>
        <w:t xml:space="preserve"> Table </w:t>
      </w:r>
      <w:r w:rsidR="006E435C">
        <w:rPr>
          <w:rFonts w:asciiTheme="majorBidi" w:hAnsiTheme="majorBidi" w:cstheme="majorBidi"/>
          <w:sz w:val="24"/>
          <w:szCs w:val="24"/>
        </w:rPr>
        <w:t>1</w:t>
      </w:r>
      <w:r w:rsidR="00C55386">
        <w:rPr>
          <w:rFonts w:asciiTheme="majorBidi" w:hAnsiTheme="majorBidi" w:cstheme="majorBidi"/>
          <w:sz w:val="24"/>
          <w:szCs w:val="24"/>
        </w:rPr>
        <w:t>6</w:t>
      </w:r>
      <w:r>
        <w:rPr>
          <w:rFonts w:asciiTheme="majorBidi" w:hAnsiTheme="majorBidi" w:cstheme="majorBidi"/>
          <w:sz w:val="24"/>
          <w:szCs w:val="24"/>
        </w:rPr>
        <w:t xml:space="preserve"> summari</w:t>
      </w:r>
      <w:r w:rsidR="006E435C">
        <w:rPr>
          <w:rFonts w:asciiTheme="majorBidi" w:hAnsiTheme="majorBidi" w:cstheme="majorBidi"/>
          <w:sz w:val="24"/>
          <w:szCs w:val="24"/>
        </w:rPr>
        <w:t>s</w:t>
      </w:r>
      <w:r>
        <w:rPr>
          <w:rFonts w:asciiTheme="majorBidi" w:hAnsiTheme="majorBidi" w:cstheme="majorBidi"/>
          <w:sz w:val="24"/>
          <w:szCs w:val="24"/>
        </w:rPr>
        <w:t xml:space="preserve">es these four dimensions and provides a description of the steps applied in this study to ensure the reliability of data. </w:t>
      </w:r>
      <w:bookmarkStart w:id="148" w:name="_Hlk150877943"/>
      <w:r>
        <w:rPr>
          <w:rFonts w:asciiTheme="majorBidi" w:hAnsiTheme="majorBidi" w:cstheme="majorBidi"/>
          <w:sz w:val="24"/>
          <w:szCs w:val="24"/>
        </w:rPr>
        <w:t xml:space="preserve">However, a balance needs to be maintained between enhancing reliability of interviews by </w:t>
      </w:r>
      <w:r w:rsidRPr="00812CFD">
        <w:rPr>
          <w:rFonts w:asciiTheme="majorBidi" w:hAnsiTheme="majorBidi" w:cstheme="majorBidi"/>
          <w:sz w:val="24"/>
          <w:szCs w:val="24"/>
        </w:rPr>
        <w:t xml:space="preserve">imposing control and asking uniformly structured questions </w:t>
      </w:r>
      <w:sdt>
        <w:sdtPr>
          <w:rPr>
            <w:rFonts w:asciiTheme="majorBidi" w:hAnsiTheme="majorBidi" w:cstheme="majorBidi"/>
            <w:sz w:val="24"/>
            <w:szCs w:val="24"/>
          </w:rPr>
          <w:id w:val="-1611726118"/>
          <w:citation/>
        </w:sdtPr>
        <w:sdtContent>
          <w:r w:rsidRPr="00812CFD">
            <w:rPr>
              <w:rFonts w:asciiTheme="majorBidi" w:hAnsiTheme="majorBidi" w:cstheme="majorBidi"/>
              <w:sz w:val="24"/>
              <w:szCs w:val="24"/>
            </w:rPr>
            <w:fldChar w:fldCharType="begin"/>
          </w:r>
          <w:r w:rsidRPr="00812CFD">
            <w:rPr>
              <w:rFonts w:asciiTheme="majorBidi" w:hAnsiTheme="majorBidi" w:cstheme="majorBidi"/>
              <w:sz w:val="24"/>
              <w:szCs w:val="24"/>
            </w:rPr>
            <w:instrText xml:space="preserve"> CITATION Coh18 \l 2057 </w:instrText>
          </w:r>
          <w:r w:rsidRPr="00812CFD">
            <w:rPr>
              <w:rFonts w:asciiTheme="majorBidi" w:hAnsiTheme="majorBidi" w:cstheme="majorBidi"/>
              <w:sz w:val="24"/>
              <w:szCs w:val="24"/>
            </w:rPr>
            <w:fldChar w:fldCharType="separate"/>
          </w:r>
          <w:r w:rsidRPr="00812CFD">
            <w:rPr>
              <w:rFonts w:asciiTheme="majorBidi" w:hAnsiTheme="majorBidi" w:cstheme="majorBidi"/>
              <w:noProof/>
              <w:sz w:val="24"/>
              <w:szCs w:val="24"/>
            </w:rPr>
            <w:t>(Cohen, Manion, &amp; Morrison, 2018)</w:t>
          </w:r>
          <w:r w:rsidRPr="00812CFD">
            <w:rPr>
              <w:rFonts w:asciiTheme="majorBidi" w:hAnsiTheme="majorBidi" w:cstheme="majorBidi"/>
              <w:sz w:val="24"/>
              <w:szCs w:val="24"/>
            </w:rPr>
            <w:fldChar w:fldCharType="end"/>
          </w:r>
        </w:sdtContent>
      </w:sdt>
      <w:r w:rsidRPr="00812CFD">
        <w:rPr>
          <w:rFonts w:asciiTheme="majorBidi" w:hAnsiTheme="majorBidi" w:cstheme="majorBidi"/>
          <w:sz w:val="24"/>
          <w:szCs w:val="24"/>
        </w:rPr>
        <w:t xml:space="preserve"> and, at the same time, allowing respondents to be free to be honest in their answers</w:t>
      </w:r>
      <w:sdt>
        <w:sdtPr>
          <w:rPr>
            <w:rFonts w:asciiTheme="majorBidi" w:hAnsiTheme="majorBidi" w:cstheme="majorBidi"/>
            <w:sz w:val="24"/>
            <w:szCs w:val="24"/>
          </w:rPr>
          <w:id w:val="70359145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Alv03 \l 2057  \m Col22</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(Alvesson , 2003; Coleman, 2022)</w:t>
          </w:r>
          <w:r>
            <w:rPr>
              <w:rFonts w:asciiTheme="majorBidi" w:hAnsiTheme="majorBidi" w:cstheme="majorBidi"/>
              <w:sz w:val="24"/>
              <w:szCs w:val="24"/>
            </w:rPr>
            <w:fldChar w:fldCharType="end"/>
          </w:r>
        </w:sdtContent>
      </w:sdt>
      <w:bookmarkEnd w:id="148"/>
      <w:r>
        <w:rPr>
          <w:rFonts w:asciiTheme="majorBidi" w:hAnsiTheme="majorBidi" w:cstheme="majorBidi"/>
          <w:sz w:val="24"/>
          <w:szCs w:val="24"/>
        </w:rPr>
        <w:t xml:space="preserve">. In order to achieve this balance, semi-structured were employed in this study to collect qualitative data and achieve the study’s objectives. </w:t>
      </w:r>
    </w:p>
    <w:p w14:paraId="4CAEA6DF" w14:textId="77777777" w:rsidR="00F237AB" w:rsidRDefault="00F237AB" w:rsidP="006E435C">
      <w:pPr>
        <w:adjustRightInd w:val="0"/>
        <w:spacing w:after="0" w:line="480" w:lineRule="auto"/>
        <w:ind w:firstLine="720"/>
        <w:rPr>
          <w:rFonts w:asciiTheme="majorBidi" w:hAnsiTheme="majorBidi" w:cstheme="majorBidi"/>
          <w:sz w:val="24"/>
          <w:szCs w:val="24"/>
        </w:rPr>
      </w:pPr>
    </w:p>
    <w:p w14:paraId="5A61CE48" w14:textId="77777777" w:rsidR="00F237AB" w:rsidRPr="00742165" w:rsidRDefault="00F237AB" w:rsidP="006E435C">
      <w:pPr>
        <w:adjustRightInd w:val="0"/>
        <w:spacing w:after="0" w:line="480" w:lineRule="auto"/>
        <w:ind w:firstLine="720"/>
        <w:rPr>
          <w:rFonts w:asciiTheme="majorBidi" w:hAnsiTheme="majorBidi" w:cstheme="majorBidi"/>
          <w:sz w:val="24"/>
          <w:szCs w:val="24"/>
        </w:rPr>
      </w:pPr>
    </w:p>
    <w:tbl>
      <w:tblPr>
        <w:tblStyle w:val="TableGrid"/>
        <w:tblW w:w="7655" w:type="dxa"/>
        <w:tblInd w:w="675" w:type="dxa"/>
        <w:tblLook w:val="04A0" w:firstRow="1" w:lastRow="0" w:firstColumn="1" w:lastColumn="0" w:noHBand="0" w:noVBand="1"/>
      </w:tblPr>
      <w:tblGrid>
        <w:gridCol w:w="1405"/>
        <w:gridCol w:w="3200"/>
        <w:gridCol w:w="3050"/>
      </w:tblGrid>
      <w:tr w:rsidR="007A225E" w:rsidRPr="004758DC" w14:paraId="27299FDA" w14:textId="77777777" w:rsidTr="00FF7F60">
        <w:trPr>
          <w:trHeight w:val="274"/>
        </w:trPr>
        <w:tc>
          <w:tcPr>
            <w:tcW w:w="1405" w:type="dxa"/>
          </w:tcPr>
          <w:p w14:paraId="1A967C91" w14:textId="77777777" w:rsidR="007A225E" w:rsidRPr="004758DC" w:rsidRDefault="007A225E" w:rsidP="006E435C">
            <w:pPr>
              <w:adjustRightInd w:val="0"/>
              <w:rPr>
                <w:rFonts w:asciiTheme="majorBidi" w:hAnsiTheme="majorBidi" w:cstheme="majorBidi"/>
                <w:sz w:val="20"/>
                <w:szCs w:val="20"/>
              </w:rPr>
            </w:pPr>
            <w:r w:rsidRPr="004758DC">
              <w:rPr>
                <w:rFonts w:asciiTheme="majorBidi" w:hAnsiTheme="majorBidi" w:cstheme="majorBidi"/>
                <w:sz w:val="20"/>
                <w:szCs w:val="20"/>
              </w:rPr>
              <w:t>Type</w:t>
            </w:r>
          </w:p>
        </w:tc>
        <w:tc>
          <w:tcPr>
            <w:tcW w:w="3200" w:type="dxa"/>
          </w:tcPr>
          <w:p w14:paraId="1A358DC9" w14:textId="77777777" w:rsidR="007A225E" w:rsidRPr="004758DC" w:rsidRDefault="007A225E" w:rsidP="006E435C">
            <w:pPr>
              <w:adjustRightInd w:val="0"/>
              <w:rPr>
                <w:rFonts w:asciiTheme="majorBidi" w:hAnsiTheme="majorBidi" w:cstheme="majorBidi"/>
                <w:sz w:val="20"/>
                <w:szCs w:val="20"/>
              </w:rPr>
            </w:pPr>
            <w:r w:rsidRPr="004758DC">
              <w:rPr>
                <w:rFonts w:asciiTheme="majorBidi" w:hAnsiTheme="majorBidi" w:cstheme="majorBidi"/>
                <w:sz w:val="20"/>
                <w:szCs w:val="20"/>
              </w:rPr>
              <w:t xml:space="preserve">Description </w:t>
            </w:r>
          </w:p>
        </w:tc>
        <w:tc>
          <w:tcPr>
            <w:tcW w:w="3050" w:type="dxa"/>
          </w:tcPr>
          <w:p w14:paraId="138D19F6" w14:textId="77777777" w:rsidR="007A225E" w:rsidRPr="004758DC" w:rsidRDefault="007A225E" w:rsidP="006E435C">
            <w:pPr>
              <w:adjustRightInd w:val="0"/>
              <w:rPr>
                <w:rFonts w:asciiTheme="majorBidi" w:hAnsiTheme="majorBidi" w:cstheme="majorBidi"/>
                <w:sz w:val="20"/>
                <w:szCs w:val="20"/>
              </w:rPr>
            </w:pPr>
            <w:r w:rsidRPr="004758DC">
              <w:rPr>
                <w:rFonts w:asciiTheme="majorBidi" w:hAnsiTheme="majorBidi" w:cstheme="majorBidi"/>
                <w:sz w:val="20"/>
                <w:szCs w:val="20"/>
              </w:rPr>
              <w:t>Steps applied in the study</w:t>
            </w:r>
          </w:p>
        </w:tc>
      </w:tr>
      <w:tr w:rsidR="007A225E" w:rsidRPr="004758DC" w14:paraId="66D66A28" w14:textId="77777777" w:rsidTr="00FF7F60">
        <w:trPr>
          <w:trHeight w:val="1270"/>
        </w:trPr>
        <w:tc>
          <w:tcPr>
            <w:tcW w:w="1405" w:type="dxa"/>
          </w:tcPr>
          <w:p w14:paraId="02E62B7E" w14:textId="77777777" w:rsidR="007A225E" w:rsidRPr="004758DC" w:rsidRDefault="007A225E" w:rsidP="00953448">
            <w:pPr>
              <w:adjustRightInd w:val="0"/>
              <w:spacing w:line="480" w:lineRule="auto"/>
              <w:rPr>
                <w:rFonts w:asciiTheme="majorBidi" w:hAnsiTheme="majorBidi" w:cstheme="majorBidi"/>
                <w:sz w:val="20"/>
                <w:szCs w:val="20"/>
              </w:rPr>
            </w:pPr>
            <w:r w:rsidRPr="004758DC">
              <w:rPr>
                <w:rFonts w:asciiTheme="majorBidi" w:hAnsiTheme="majorBidi" w:cstheme="majorBidi"/>
                <w:sz w:val="20"/>
                <w:szCs w:val="20"/>
              </w:rPr>
              <w:t xml:space="preserve">Credibility </w:t>
            </w:r>
          </w:p>
        </w:tc>
        <w:tc>
          <w:tcPr>
            <w:tcW w:w="3200" w:type="dxa"/>
          </w:tcPr>
          <w:p w14:paraId="531F2437" w14:textId="77777777" w:rsidR="007A225E" w:rsidRPr="004758DC" w:rsidRDefault="007A225E" w:rsidP="00953448">
            <w:pPr>
              <w:adjustRightInd w:val="0"/>
              <w:rPr>
                <w:rFonts w:asciiTheme="majorBidi" w:eastAsia="Arial" w:hAnsiTheme="majorBidi" w:cstheme="majorBidi"/>
                <w:noProof/>
                <w:sz w:val="20"/>
                <w:szCs w:val="20"/>
              </w:rPr>
            </w:pPr>
            <w:r w:rsidRPr="004758DC">
              <w:rPr>
                <w:rFonts w:asciiTheme="majorBidi" w:eastAsia="Arial" w:hAnsiTheme="majorBidi" w:cstheme="majorBidi"/>
                <w:noProof/>
                <w:sz w:val="20"/>
                <w:szCs w:val="20"/>
              </w:rPr>
              <w:t>To ensure that the results provided by the participants are accurate, reliable and plausible.</w:t>
            </w:r>
          </w:p>
        </w:tc>
        <w:tc>
          <w:tcPr>
            <w:tcW w:w="3050" w:type="dxa"/>
          </w:tcPr>
          <w:p w14:paraId="6CBD2899" w14:textId="77777777" w:rsidR="007A225E" w:rsidRPr="004758DC" w:rsidRDefault="007A225E" w:rsidP="00953448">
            <w:pPr>
              <w:adjustRightInd w:val="0"/>
              <w:rPr>
                <w:rFonts w:asciiTheme="majorBidi" w:hAnsiTheme="majorBidi" w:cstheme="majorBidi"/>
                <w:sz w:val="20"/>
                <w:szCs w:val="20"/>
              </w:rPr>
            </w:pPr>
            <w:r w:rsidRPr="004758DC">
              <w:rPr>
                <w:rFonts w:asciiTheme="majorBidi" w:hAnsiTheme="majorBidi" w:cstheme="majorBidi"/>
                <w:sz w:val="20"/>
                <w:szCs w:val="20"/>
              </w:rPr>
              <w:t>All interviews were conducted face-to-face to closely observe the respondents’ answers.</w:t>
            </w:r>
          </w:p>
          <w:p w14:paraId="2FCB6587" w14:textId="77777777" w:rsidR="007A225E" w:rsidRPr="004758DC" w:rsidRDefault="007A225E" w:rsidP="00953448">
            <w:pPr>
              <w:adjustRightInd w:val="0"/>
              <w:rPr>
                <w:rFonts w:asciiTheme="majorBidi" w:hAnsiTheme="majorBidi" w:cstheme="majorBidi"/>
                <w:sz w:val="20"/>
                <w:szCs w:val="20"/>
              </w:rPr>
            </w:pPr>
          </w:p>
          <w:p w14:paraId="2902ADE8" w14:textId="77777777" w:rsidR="007A225E" w:rsidRPr="004758DC" w:rsidRDefault="007A225E" w:rsidP="00953448">
            <w:pPr>
              <w:adjustRightInd w:val="0"/>
              <w:rPr>
                <w:rFonts w:asciiTheme="majorBidi" w:hAnsiTheme="majorBidi" w:cstheme="majorBidi"/>
                <w:sz w:val="20"/>
                <w:szCs w:val="20"/>
              </w:rPr>
            </w:pPr>
            <w:r w:rsidRPr="004758DC">
              <w:rPr>
                <w:rFonts w:asciiTheme="majorBidi" w:hAnsiTheme="majorBidi" w:cstheme="majorBidi"/>
                <w:sz w:val="20"/>
                <w:szCs w:val="20"/>
              </w:rPr>
              <w:t>Questions were asked in different ways to ensure respondents are interpret the intended question correctly.</w:t>
            </w:r>
          </w:p>
        </w:tc>
      </w:tr>
      <w:tr w:rsidR="007A225E" w:rsidRPr="004758DC" w14:paraId="40077D2C" w14:textId="77777777" w:rsidTr="00FF7F60">
        <w:trPr>
          <w:trHeight w:val="553"/>
        </w:trPr>
        <w:tc>
          <w:tcPr>
            <w:tcW w:w="1405" w:type="dxa"/>
          </w:tcPr>
          <w:p w14:paraId="4AB3684E" w14:textId="77777777" w:rsidR="007A225E" w:rsidRPr="004758DC" w:rsidRDefault="007A225E" w:rsidP="00953448">
            <w:pPr>
              <w:adjustRightInd w:val="0"/>
              <w:spacing w:line="480" w:lineRule="auto"/>
              <w:rPr>
                <w:rFonts w:asciiTheme="majorBidi" w:hAnsiTheme="majorBidi" w:cstheme="majorBidi"/>
                <w:sz w:val="20"/>
                <w:szCs w:val="20"/>
              </w:rPr>
            </w:pPr>
            <w:r w:rsidRPr="004758DC">
              <w:rPr>
                <w:rFonts w:asciiTheme="majorBidi" w:hAnsiTheme="majorBidi" w:cstheme="majorBidi"/>
                <w:sz w:val="20"/>
                <w:szCs w:val="20"/>
              </w:rPr>
              <w:t xml:space="preserve">Dependability </w:t>
            </w:r>
          </w:p>
        </w:tc>
        <w:tc>
          <w:tcPr>
            <w:tcW w:w="3200" w:type="dxa"/>
          </w:tcPr>
          <w:p w14:paraId="5FB56821" w14:textId="77777777" w:rsidR="007A225E" w:rsidRPr="004758DC" w:rsidRDefault="007A225E" w:rsidP="00953448">
            <w:pPr>
              <w:adjustRightInd w:val="0"/>
              <w:rPr>
                <w:rFonts w:asciiTheme="majorBidi" w:hAnsiTheme="majorBidi" w:cstheme="majorBidi"/>
                <w:sz w:val="20"/>
                <w:szCs w:val="20"/>
              </w:rPr>
            </w:pPr>
            <w:r w:rsidRPr="004758DC">
              <w:rPr>
                <w:rFonts w:asciiTheme="majorBidi" w:hAnsiTheme="majorBidi" w:cstheme="majorBidi"/>
                <w:sz w:val="20"/>
                <w:szCs w:val="20"/>
              </w:rPr>
              <w:t>To establish confidence that the results of this qualitative investigation can be replicated using the same participants and environment.</w:t>
            </w:r>
          </w:p>
        </w:tc>
        <w:tc>
          <w:tcPr>
            <w:tcW w:w="3050" w:type="dxa"/>
          </w:tcPr>
          <w:p w14:paraId="4D689420" w14:textId="77777777" w:rsidR="007A225E" w:rsidRPr="004758DC" w:rsidRDefault="007A225E" w:rsidP="00953448">
            <w:pPr>
              <w:adjustRightInd w:val="0"/>
              <w:rPr>
                <w:rFonts w:asciiTheme="majorBidi" w:hAnsiTheme="majorBidi" w:cstheme="majorBidi"/>
                <w:sz w:val="20"/>
                <w:szCs w:val="20"/>
              </w:rPr>
            </w:pPr>
            <w:r w:rsidRPr="004758DC">
              <w:rPr>
                <w:rFonts w:asciiTheme="majorBidi" w:hAnsiTheme="majorBidi" w:cstheme="majorBidi"/>
                <w:sz w:val="20"/>
                <w:szCs w:val="20"/>
              </w:rPr>
              <w:t xml:space="preserve">The steps conducted for this study and the interviews were all documented. </w:t>
            </w:r>
          </w:p>
        </w:tc>
      </w:tr>
      <w:tr w:rsidR="007A225E" w:rsidRPr="004758DC" w14:paraId="436D8BE5" w14:textId="77777777" w:rsidTr="00FF7F60">
        <w:trPr>
          <w:trHeight w:val="540"/>
        </w:trPr>
        <w:tc>
          <w:tcPr>
            <w:tcW w:w="1405" w:type="dxa"/>
          </w:tcPr>
          <w:p w14:paraId="7A59C9E3" w14:textId="77777777" w:rsidR="007A225E" w:rsidRPr="004758DC" w:rsidRDefault="007A225E" w:rsidP="00953448">
            <w:pPr>
              <w:adjustRightInd w:val="0"/>
              <w:spacing w:line="480" w:lineRule="auto"/>
              <w:rPr>
                <w:rFonts w:asciiTheme="majorBidi" w:hAnsiTheme="majorBidi" w:cstheme="majorBidi"/>
                <w:sz w:val="20"/>
                <w:szCs w:val="20"/>
              </w:rPr>
            </w:pPr>
            <w:r w:rsidRPr="004758DC">
              <w:rPr>
                <w:rFonts w:asciiTheme="majorBidi" w:hAnsiTheme="majorBidi" w:cstheme="majorBidi"/>
                <w:sz w:val="20"/>
                <w:szCs w:val="20"/>
              </w:rPr>
              <w:t xml:space="preserve">Confirmability </w:t>
            </w:r>
          </w:p>
        </w:tc>
        <w:tc>
          <w:tcPr>
            <w:tcW w:w="3200" w:type="dxa"/>
          </w:tcPr>
          <w:p w14:paraId="61A2FF8D" w14:textId="77777777" w:rsidR="007A225E" w:rsidRPr="004758DC" w:rsidRDefault="007A225E" w:rsidP="00953448">
            <w:pPr>
              <w:adjustRightInd w:val="0"/>
              <w:rPr>
                <w:rFonts w:asciiTheme="majorBidi" w:hAnsiTheme="majorBidi" w:cstheme="majorBidi"/>
                <w:sz w:val="20"/>
                <w:szCs w:val="20"/>
              </w:rPr>
            </w:pPr>
            <w:r w:rsidRPr="004758DC">
              <w:rPr>
                <w:rFonts w:asciiTheme="majorBidi" w:hAnsiTheme="majorBidi" w:cstheme="majorBidi"/>
                <w:sz w:val="20"/>
                <w:szCs w:val="20"/>
              </w:rPr>
              <w:t>To increase the likelihood that the findings will be supported by or confirmed by other studies.</w:t>
            </w:r>
          </w:p>
        </w:tc>
        <w:tc>
          <w:tcPr>
            <w:tcW w:w="3050" w:type="dxa"/>
          </w:tcPr>
          <w:p w14:paraId="4532A840" w14:textId="77777777" w:rsidR="007A225E" w:rsidRPr="004758DC" w:rsidRDefault="007A225E" w:rsidP="00953448">
            <w:pPr>
              <w:adjustRightInd w:val="0"/>
              <w:rPr>
                <w:rFonts w:asciiTheme="majorBidi" w:hAnsiTheme="majorBidi" w:cstheme="majorBidi"/>
                <w:sz w:val="20"/>
                <w:szCs w:val="20"/>
              </w:rPr>
            </w:pPr>
            <w:r w:rsidRPr="004758DC">
              <w:rPr>
                <w:rFonts w:asciiTheme="majorBidi" w:hAnsiTheme="majorBidi" w:cstheme="majorBidi"/>
                <w:sz w:val="20"/>
                <w:szCs w:val="20"/>
              </w:rPr>
              <w:t xml:space="preserve">Mixed methods (quantitative study) were applied to find connections and ensure the data is dependable </w:t>
            </w:r>
          </w:p>
        </w:tc>
      </w:tr>
      <w:tr w:rsidR="007A225E" w:rsidRPr="004758DC" w14:paraId="0E7F9519" w14:textId="77777777" w:rsidTr="00FF7F60">
        <w:trPr>
          <w:trHeight w:val="540"/>
        </w:trPr>
        <w:tc>
          <w:tcPr>
            <w:tcW w:w="1405" w:type="dxa"/>
          </w:tcPr>
          <w:p w14:paraId="5C9CB891" w14:textId="77777777" w:rsidR="007A225E" w:rsidRPr="004758DC" w:rsidRDefault="007A225E" w:rsidP="00953448">
            <w:pPr>
              <w:adjustRightInd w:val="0"/>
              <w:spacing w:line="480" w:lineRule="auto"/>
              <w:rPr>
                <w:rFonts w:asciiTheme="majorBidi" w:hAnsiTheme="majorBidi" w:cstheme="majorBidi"/>
                <w:sz w:val="20"/>
                <w:szCs w:val="20"/>
              </w:rPr>
            </w:pPr>
            <w:r w:rsidRPr="004758DC">
              <w:rPr>
                <w:rFonts w:asciiTheme="majorBidi" w:hAnsiTheme="majorBidi" w:cstheme="majorBidi"/>
                <w:sz w:val="20"/>
                <w:szCs w:val="20"/>
              </w:rPr>
              <w:t>Transferability</w:t>
            </w:r>
          </w:p>
        </w:tc>
        <w:tc>
          <w:tcPr>
            <w:tcW w:w="3200" w:type="dxa"/>
          </w:tcPr>
          <w:p w14:paraId="03616D7E" w14:textId="6A970423" w:rsidR="007A225E" w:rsidRPr="004758DC" w:rsidRDefault="007A225E" w:rsidP="00953448">
            <w:pPr>
              <w:adjustRightInd w:val="0"/>
              <w:rPr>
                <w:rFonts w:asciiTheme="majorBidi" w:hAnsiTheme="majorBidi" w:cstheme="majorBidi"/>
                <w:sz w:val="20"/>
                <w:szCs w:val="20"/>
              </w:rPr>
            </w:pPr>
            <w:r w:rsidRPr="004758DC">
              <w:rPr>
                <w:rFonts w:asciiTheme="majorBidi" w:hAnsiTheme="majorBidi" w:cstheme="majorBidi"/>
                <w:sz w:val="20"/>
                <w:szCs w:val="20"/>
              </w:rPr>
              <w:t xml:space="preserve">To increase the degree to which the findings are transferable or </w:t>
            </w:r>
            <w:r w:rsidRPr="00044DE9">
              <w:rPr>
                <w:rFonts w:asciiTheme="majorBidi" w:hAnsiTheme="majorBidi" w:cstheme="majorBidi"/>
                <w:sz w:val="20"/>
                <w:szCs w:val="20"/>
              </w:rPr>
              <w:t>generali</w:t>
            </w:r>
            <w:r w:rsidR="00044DE9" w:rsidRPr="00044DE9">
              <w:rPr>
                <w:rFonts w:asciiTheme="majorBidi" w:hAnsiTheme="majorBidi" w:cstheme="majorBidi"/>
                <w:sz w:val="20"/>
                <w:szCs w:val="20"/>
              </w:rPr>
              <w:t>s</w:t>
            </w:r>
            <w:r w:rsidRPr="00044DE9">
              <w:rPr>
                <w:rFonts w:asciiTheme="majorBidi" w:hAnsiTheme="majorBidi" w:cstheme="majorBidi"/>
                <w:sz w:val="20"/>
                <w:szCs w:val="20"/>
              </w:rPr>
              <w:t>able</w:t>
            </w:r>
            <w:r w:rsidRPr="004758DC">
              <w:rPr>
                <w:rFonts w:asciiTheme="majorBidi" w:hAnsiTheme="majorBidi" w:cstheme="majorBidi"/>
                <w:sz w:val="20"/>
                <w:szCs w:val="20"/>
              </w:rPr>
              <w:t xml:space="preserve"> to other situations or contexts.</w:t>
            </w:r>
          </w:p>
        </w:tc>
        <w:tc>
          <w:tcPr>
            <w:tcW w:w="3050" w:type="dxa"/>
          </w:tcPr>
          <w:p w14:paraId="4BB233F1" w14:textId="77777777" w:rsidR="007A225E" w:rsidRPr="004758DC" w:rsidRDefault="007A225E" w:rsidP="006E435C">
            <w:pPr>
              <w:keepNext/>
              <w:adjustRightInd w:val="0"/>
              <w:rPr>
                <w:rFonts w:asciiTheme="majorBidi" w:hAnsiTheme="majorBidi" w:cstheme="majorBidi"/>
                <w:sz w:val="20"/>
                <w:szCs w:val="20"/>
              </w:rPr>
            </w:pPr>
            <w:r w:rsidRPr="004758DC">
              <w:rPr>
                <w:rFonts w:asciiTheme="majorBidi" w:hAnsiTheme="majorBidi" w:cstheme="majorBidi"/>
                <w:sz w:val="20"/>
                <w:szCs w:val="20"/>
              </w:rPr>
              <w:t xml:space="preserve">Data was later on discussed in reference to theoretical frameworks that are used in multiple studies and disciplines </w:t>
            </w:r>
          </w:p>
        </w:tc>
      </w:tr>
    </w:tbl>
    <w:p w14:paraId="218C51D1" w14:textId="4FF539C4" w:rsidR="006E435C" w:rsidRDefault="006E435C">
      <w:pPr>
        <w:pStyle w:val="Caption"/>
      </w:pPr>
      <w:r>
        <w:t>Table 1</w:t>
      </w:r>
      <w:r w:rsidR="00044DE9">
        <w:t>6</w:t>
      </w:r>
      <w:r>
        <w:t xml:space="preserve"> Four dimensions of reliability applied in study </w:t>
      </w:r>
      <w:r w:rsidR="00053611">
        <w:t>two</w:t>
      </w:r>
    </w:p>
    <w:p w14:paraId="1E31F243" w14:textId="035EE459" w:rsidR="007A225E" w:rsidRDefault="007A225E" w:rsidP="00D74D1D">
      <w:pPr>
        <w:adjustRightInd w:val="0"/>
        <w:spacing w:after="0" w:line="480" w:lineRule="auto"/>
        <w:ind w:firstLine="720"/>
        <w:rPr>
          <w:rFonts w:asciiTheme="majorBidi" w:hAnsiTheme="majorBidi" w:cstheme="majorBidi"/>
          <w:sz w:val="24"/>
          <w:szCs w:val="24"/>
        </w:rPr>
      </w:pPr>
      <w:bookmarkStart w:id="149" w:name="_Hlk150885880"/>
      <w:r w:rsidRPr="00ED4C93">
        <w:rPr>
          <w:rFonts w:asciiTheme="majorBidi" w:hAnsiTheme="majorBidi" w:cstheme="majorBidi"/>
          <w:sz w:val="24"/>
          <w:szCs w:val="24"/>
        </w:rPr>
        <w:t>Since the commonly practiced reliability and validity techniques can be problematic in qualitative data, it is advised that researchers cater to the overall trustworthiness of qualitative data by addressing aspects directly associated with reliability and validity</w:t>
      </w:r>
      <w:r>
        <w:rPr>
          <w:rFonts w:asciiTheme="majorBidi" w:hAnsiTheme="majorBidi" w:cstheme="majorBidi"/>
          <w:sz w:val="24"/>
          <w:szCs w:val="24"/>
        </w:rPr>
        <w:t xml:space="preserve"> </w:t>
      </w:r>
      <w:sdt>
        <w:sdtPr>
          <w:rPr>
            <w:rFonts w:asciiTheme="majorBidi" w:hAnsiTheme="majorBidi" w:cstheme="majorBidi"/>
            <w:sz w:val="24"/>
            <w:szCs w:val="24"/>
          </w:rPr>
          <w:id w:val="-33422564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Hay19 \m Ros201 \t  \l 2057 </w:instrText>
          </w:r>
          <w:r>
            <w:rPr>
              <w:rFonts w:asciiTheme="majorBidi" w:hAnsiTheme="majorBidi" w:cstheme="majorBidi"/>
              <w:sz w:val="24"/>
              <w:szCs w:val="24"/>
            </w:rPr>
            <w:fldChar w:fldCharType="separate"/>
          </w:r>
          <w:r w:rsidRPr="0074573E">
            <w:rPr>
              <w:rFonts w:asciiTheme="majorBidi" w:hAnsiTheme="majorBidi" w:cstheme="majorBidi"/>
              <w:noProof/>
              <w:sz w:val="24"/>
              <w:szCs w:val="24"/>
            </w:rPr>
            <w:t>(Hayashi, Abib, &amp; Hoppen, 2019; Rose &amp; Johnson, 2020)</w:t>
          </w:r>
          <w:r>
            <w:rPr>
              <w:rFonts w:asciiTheme="majorBidi" w:hAnsiTheme="majorBidi" w:cstheme="majorBidi"/>
              <w:sz w:val="24"/>
              <w:szCs w:val="24"/>
            </w:rPr>
            <w:fldChar w:fldCharType="end"/>
          </w:r>
        </w:sdtContent>
      </w:sdt>
      <w:r w:rsidRPr="00ED4C93">
        <w:rPr>
          <w:rFonts w:asciiTheme="majorBidi" w:hAnsiTheme="majorBidi" w:cstheme="majorBidi"/>
          <w:sz w:val="24"/>
          <w:szCs w:val="24"/>
        </w:rPr>
        <w:t>. The overall trustworthiness of qualitative data is tightly linked to the application of practical techniques in data collection to increase the reliability and validity of the data and its analysis</w:t>
      </w:r>
      <w:sdt>
        <w:sdtPr>
          <w:rPr>
            <w:rFonts w:asciiTheme="majorBidi" w:hAnsiTheme="majorBidi" w:cstheme="majorBidi"/>
            <w:sz w:val="24"/>
            <w:szCs w:val="24"/>
          </w:rPr>
          <w:id w:val="1292170832"/>
          <w:citation/>
        </w:sdtPr>
        <w:sdtContent>
          <w:r w:rsidRPr="00ED4C93">
            <w:rPr>
              <w:rFonts w:asciiTheme="majorBidi" w:hAnsiTheme="majorBidi" w:cstheme="majorBidi"/>
              <w:sz w:val="24"/>
              <w:szCs w:val="24"/>
            </w:rPr>
            <w:fldChar w:fldCharType="begin"/>
          </w:r>
          <w:r>
            <w:rPr>
              <w:rFonts w:asciiTheme="majorBidi" w:hAnsiTheme="majorBidi" w:cstheme="majorBidi"/>
              <w:sz w:val="24"/>
              <w:szCs w:val="24"/>
            </w:rPr>
            <w:instrText xml:space="preserve">CITATION Ros20 \t  \l 2057 </w:instrText>
          </w:r>
          <w:r w:rsidRPr="00ED4C93">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(Rose &amp; Johnson, 2020)</w:t>
          </w:r>
          <w:r w:rsidRPr="00ED4C93">
            <w:rPr>
              <w:rFonts w:asciiTheme="majorBidi" w:hAnsiTheme="majorBidi" w:cstheme="majorBidi"/>
              <w:sz w:val="24"/>
              <w:szCs w:val="24"/>
            </w:rPr>
            <w:fldChar w:fldCharType="end"/>
          </w:r>
        </w:sdtContent>
      </w:sdt>
      <w:r w:rsidRPr="00ED4C93">
        <w:rPr>
          <w:rFonts w:asciiTheme="majorBidi" w:hAnsiTheme="majorBidi" w:cstheme="majorBidi"/>
          <w:sz w:val="24"/>
          <w:szCs w:val="24"/>
        </w:rPr>
        <w:t>.</w:t>
      </w:r>
      <w:r>
        <w:rPr>
          <w:rFonts w:asciiTheme="majorBidi" w:hAnsiTheme="majorBidi" w:cstheme="majorBidi"/>
          <w:sz w:val="24"/>
          <w:szCs w:val="24"/>
        </w:rPr>
        <w:t xml:space="preserve"> </w:t>
      </w:r>
      <w:bookmarkEnd w:id="149"/>
      <w:r>
        <w:rPr>
          <w:rFonts w:asciiTheme="majorBidi" w:hAnsiTheme="majorBidi" w:cstheme="majorBidi"/>
          <w:sz w:val="24"/>
          <w:szCs w:val="24"/>
        </w:rPr>
        <w:t xml:space="preserve">Generally, it has been advised in literature to follow three categories to ensure the </w:t>
      </w:r>
      <w:r w:rsidRPr="00044DE9">
        <w:rPr>
          <w:rFonts w:asciiTheme="majorBidi" w:hAnsiTheme="majorBidi" w:cstheme="majorBidi"/>
          <w:sz w:val="24"/>
          <w:szCs w:val="24"/>
        </w:rPr>
        <w:t>trustworthiness of qualitative date</w:t>
      </w:r>
      <w:r w:rsidRPr="00044DE9">
        <w:rPr>
          <w:rFonts w:ascii="Georgia" w:hAnsi="Georgia"/>
          <w:color w:val="2E2E2E"/>
          <w:sz w:val="21"/>
          <w:szCs w:val="21"/>
        </w:rPr>
        <w:t>.</w:t>
      </w:r>
      <w:r w:rsidRPr="00044DE9">
        <w:rPr>
          <w:rFonts w:asciiTheme="majorBidi" w:hAnsiTheme="majorBidi" w:cstheme="majorBidi"/>
          <w:sz w:val="24"/>
          <w:szCs w:val="24"/>
        </w:rPr>
        <w:t xml:space="preserve"> For instance, </w:t>
      </w:r>
      <w:bookmarkStart w:id="150" w:name="_Hlk150885958"/>
      <w:r w:rsidRPr="00044DE9">
        <w:rPr>
          <w:rFonts w:asciiTheme="majorBidi" w:hAnsiTheme="majorBidi" w:cstheme="majorBidi"/>
          <w:sz w:val="24"/>
          <w:szCs w:val="24"/>
        </w:rPr>
        <w:t>rephrasing and repeating the questions to respondents and asking for clarification on ambiguous answers gives respondents an opportunity to repeat their answers, change them, or confirm their ideas</w:t>
      </w:r>
      <w:r>
        <w:rPr>
          <w:rFonts w:asciiTheme="majorBidi" w:hAnsiTheme="majorBidi" w:cstheme="majorBidi"/>
          <w:sz w:val="24"/>
          <w:szCs w:val="24"/>
        </w:rPr>
        <w:t xml:space="preserve"> to the researcher</w:t>
      </w:r>
      <w:sdt>
        <w:sdtPr>
          <w:rPr>
            <w:rFonts w:asciiTheme="majorBidi" w:hAnsiTheme="majorBidi" w:cstheme="majorBidi"/>
            <w:sz w:val="24"/>
            <w:szCs w:val="24"/>
          </w:rPr>
          <w:id w:val="-91192136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Gar22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(Gary,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End w:id="150"/>
      <w:r>
        <w:rPr>
          <w:rFonts w:asciiTheme="majorBidi" w:hAnsiTheme="majorBidi" w:cstheme="majorBidi"/>
          <w:sz w:val="24"/>
          <w:szCs w:val="24"/>
        </w:rPr>
        <w:t xml:space="preserve">In this study, I successfully implemented these strategies during the interviews to increase the validity of the obtained qualitative data. </w:t>
      </w:r>
    </w:p>
    <w:p w14:paraId="7D27C0FD" w14:textId="77777777" w:rsidR="007A225E" w:rsidRDefault="007A225E" w:rsidP="008F7680">
      <w:pPr>
        <w:adjustRightInd w:val="0"/>
        <w:spacing w:after="0" w:line="480" w:lineRule="auto"/>
        <w:ind w:firstLine="720"/>
        <w:jc w:val="both"/>
        <w:rPr>
          <w:rFonts w:asciiTheme="majorBidi" w:hAnsiTheme="majorBidi" w:cstheme="majorBidi"/>
          <w:color w:val="212121"/>
          <w:sz w:val="24"/>
          <w:szCs w:val="24"/>
          <w:shd w:val="clear" w:color="auto" w:fill="FFFFFF"/>
        </w:rPr>
      </w:pPr>
      <w:r w:rsidRPr="00792B07">
        <w:rPr>
          <w:rFonts w:asciiTheme="majorBidi" w:hAnsiTheme="majorBidi" w:cstheme="majorBidi"/>
          <w:sz w:val="24"/>
          <w:szCs w:val="24"/>
        </w:rPr>
        <w:t xml:space="preserve">Even though validity is not a straightforward concept in qualitative research </w:t>
      </w:r>
      <w:sdt>
        <w:sdtPr>
          <w:rPr>
            <w:rFonts w:asciiTheme="majorBidi" w:hAnsiTheme="majorBidi" w:cstheme="majorBidi"/>
            <w:sz w:val="24"/>
            <w:szCs w:val="24"/>
          </w:rPr>
          <w:id w:val="-77363867"/>
          <w:citation/>
        </w:sdtPr>
        <w:sdtContent>
          <w:r w:rsidRPr="00792B07">
            <w:rPr>
              <w:rFonts w:asciiTheme="majorBidi" w:hAnsiTheme="majorBidi" w:cstheme="majorBidi"/>
              <w:sz w:val="24"/>
              <w:szCs w:val="24"/>
            </w:rPr>
            <w:fldChar w:fldCharType="begin"/>
          </w:r>
          <w:r w:rsidRPr="00792B07">
            <w:rPr>
              <w:rFonts w:asciiTheme="majorBidi" w:hAnsiTheme="majorBidi" w:cstheme="majorBidi"/>
              <w:sz w:val="24"/>
              <w:szCs w:val="24"/>
            </w:rPr>
            <w:instrText xml:space="preserve"> CITATION Ham20 \l 2057 </w:instrText>
          </w:r>
          <w:r w:rsidRPr="00792B07">
            <w:rPr>
              <w:rFonts w:asciiTheme="majorBidi" w:hAnsiTheme="majorBidi" w:cstheme="majorBidi"/>
              <w:sz w:val="24"/>
              <w:szCs w:val="24"/>
            </w:rPr>
            <w:fldChar w:fldCharType="separate"/>
          </w:r>
          <w:r w:rsidRPr="0074573E">
            <w:rPr>
              <w:rFonts w:asciiTheme="majorBidi" w:hAnsiTheme="majorBidi" w:cstheme="majorBidi"/>
              <w:noProof/>
              <w:sz w:val="24"/>
              <w:szCs w:val="24"/>
            </w:rPr>
            <w:t>(Hamilton, 2020)</w:t>
          </w:r>
          <w:r w:rsidRPr="00792B07">
            <w:rPr>
              <w:rFonts w:asciiTheme="majorBidi" w:hAnsiTheme="majorBidi" w:cstheme="majorBidi"/>
              <w:sz w:val="24"/>
              <w:szCs w:val="24"/>
            </w:rPr>
            <w:fldChar w:fldCharType="end"/>
          </w:r>
        </w:sdtContent>
      </w:sdt>
      <w:r w:rsidRPr="00792B07">
        <w:rPr>
          <w:rFonts w:asciiTheme="majorBidi" w:hAnsiTheme="majorBidi" w:cstheme="majorBidi"/>
          <w:sz w:val="24"/>
          <w:szCs w:val="24"/>
        </w:rPr>
        <w:t xml:space="preserve">, there is a variety of methods to achieve validity in qualitative research methods. Since qualitative research is based on different ontological paradigms, some researchers argue that processual validity can positively influence the outcome of qualitative research </w:t>
      </w:r>
      <w:sdt>
        <w:sdtPr>
          <w:rPr>
            <w:rFonts w:asciiTheme="majorBidi" w:hAnsiTheme="majorBidi" w:cstheme="majorBidi"/>
            <w:sz w:val="24"/>
            <w:szCs w:val="24"/>
          </w:rPr>
          <w:id w:val="-1633929943"/>
          <w:citation/>
        </w:sdtPr>
        <w:sdtContent>
          <w:r w:rsidRPr="00792B07">
            <w:rPr>
              <w:rFonts w:asciiTheme="majorBidi" w:hAnsiTheme="majorBidi" w:cstheme="majorBidi"/>
              <w:sz w:val="24"/>
              <w:szCs w:val="24"/>
            </w:rPr>
            <w:fldChar w:fldCharType="begin"/>
          </w:r>
          <w:r w:rsidRPr="00792B07">
            <w:rPr>
              <w:rFonts w:asciiTheme="majorBidi" w:hAnsiTheme="majorBidi" w:cstheme="majorBidi"/>
              <w:sz w:val="24"/>
              <w:szCs w:val="24"/>
            </w:rPr>
            <w:instrText xml:space="preserve"> CITATION Hay19 \l 2057  \m Hay21</w:instrText>
          </w:r>
          <w:r w:rsidRPr="00792B07">
            <w:rPr>
              <w:rFonts w:asciiTheme="majorBidi" w:hAnsiTheme="majorBidi" w:cstheme="majorBidi"/>
              <w:sz w:val="24"/>
              <w:szCs w:val="24"/>
            </w:rPr>
            <w:fldChar w:fldCharType="separate"/>
          </w:r>
          <w:r w:rsidRPr="0074573E">
            <w:rPr>
              <w:rFonts w:asciiTheme="majorBidi" w:hAnsiTheme="majorBidi" w:cstheme="majorBidi"/>
              <w:noProof/>
              <w:sz w:val="24"/>
              <w:szCs w:val="24"/>
            </w:rPr>
            <w:t>(Hayashi, Abib, &amp; Hoppen, 2019; Hayashi, Jr, Abib, Hoppen, &amp; Wolff, 2021)</w:t>
          </w:r>
          <w:r w:rsidRPr="00792B07">
            <w:rPr>
              <w:rFonts w:asciiTheme="majorBidi" w:hAnsiTheme="majorBidi" w:cstheme="majorBidi"/>
              <w:sz w:val="24"/>
              <w:szCs w:val="24"/>
            </w:rPr>
            <w:fldChar w:fldCharType="end"/>
          </w:r>
        </w:sdtContent>
      </w:sdt>
      <w:r w:rsidRPr="00792B07">
        <w:rPr>
          <w:rFonts w:asciiTheme="majorBidi" w:hAnsiTheme="majorBidi" w:cstheme="majorBidi"/>
          <w:sz w:val="24"/>
          <w:szCs w:val="24"/>
        </w:rPr>
        <w:t>.</w:t>
      </w:r>
      <w:r>
        <w:rPr>
          <w:rFonts w:asciiTheme="majorBidi" w:hAnsiTheme="majorBidi" w:cstheme="majorBidi"/>
          <w:sz w:val="24"/>
          <w:szCs w:val="24"/>
        </w:rPr>
        <w:t xml:space="preserve"> </w:t>
      </w:r>
      <w:r w:rsidRPr="00792B07">
        <w:rPr>
          <w:rFonts w:asciiTheme="majorBidi" w:hAnsiTheme="majorBidi" w:cstheme="majorBidi"/>
          <w:sz w:val="24"/>
          <w:szCs w:val="24"/>
        </w:rPr>
        <w:t xml:space="preserve">Processual validity is </w:t>
      </w:r>
      <w:r w:rsidRPr="00792B07">
        <w:rPr>
          <w:rFonts w:asciiTheme="majorBidi" w:hAnsiTheme="majorBidi" w:cstheme="majorBidi"/>
          <w:color w:val="212121"/>
          <w:sz w:val="24"/>
          <w:szCs w:val="24"/>
          <w:shd w:val="clear" w:color="auto" w:fill="FFFFFF"/>
        </w:rPr>
        <w:t xml:space="preserve">a methodological construction that </w:t>
      </w:r>
      <w:r>
        <w:rPr>
          <w:rFonts w:asciiTheme="majorBidi" w:hAnsiTheme="majorBidi" w:cstheme="majorBidi"/>
          <w:color w:val="212121"/>
          <w:sz w:val="24"/>
          <w:szCs w:val="24"/>
          <w:shd w:val="clear" w:color="auto" w:fill="FFFFFF"/>
        </w:rPr>
        <w:t xml:space="preserve">can be applicable to qualitative data methods. </w:t>
      </w:r>
      <w:r w:rsidRPr="00044DE9">
        <w:rPr>
          <w:rFonts w:asciiTheme="majorBidi" w:hAnsiTheme="majorBidi" w:cstheme="majorBidi"/>
          <w:color w:val="212121"/>
          <w:sz w:val="24"/>
          <w:szCs w:val="24"/>
          <w:shd w:val="clear" w:color="auto" w:fill="FFFFFF"/>
        </w:rPr>
        <w:t>Processual validity procedures take place before and after data collection and analysis</w:t>
      </w:r>
      <w:sdt>
        <w:sdtPr>
          <w:rPr>
            <w:rFonts w:asciiTheme="majorBidi" w:hAnsiTheme="majorBidi" w:cstheme="majorBidi"/>
            <w:color w:val="212121"/>
            <w:sz w:val="24"/>
            <w:szCs w:val="24"/>
            <w:shd w:val="clear" w:color="auto" w:fill="FFFFFF"/>
          </w:rPr>
          <w:id w:val="-529413901"/>
          <w:citation/>
        </w:sdtPr>
        <w:sdtContent>
          <w:r w:rsidRPr="00044DE9">
            <w:rPr>
              <w:rFonts w:asciiTheme="majorBidi" w:hAnsiTheme="majorBidi" w:cstheme="majorBidi"/>
              <w:color w:val="212121"/>
              <w:sz w:val="24"/>
              <w:szCs w:val="24"/>
              <w:shd w:val="clear" w:color="auto" w:fill="FFFFFF"/>
            </w:rPr>
            <w:fldChar w:fldCharType="begin"/>
          </w:r>
          <w:r w:rsidRPr="00044DE9">
            <w:rPr>
              <w:rFonts w:asciiTheme="majorBidi" w:hAnsiTheme="majorBidi" w:cstheme="majorBidi"/>
              <w:color w:val="212121"/>
              <w:sz w:val="24"/>
              <w:szCs w:val="24"/>
              <w:shd w:val="clear" w:color="auto" w:fill="FFFFFF"/>
            </w:rPr>
            <w:instrText xml:space="preserve"> CITATION Hay21 \l 2057 </w:instrText>
          </w:r>
          <w:r w:rsidRPr="00044DE9">
            <w:rPr>
              <w:rFonts w:asciiTheme="majorBidi" w:hAnsiTheme="majorBidi" w:cstheme="majorBidi"/>
              <w:color w:val="212121"/>
              <w:sz w:val="24"/>
              <w:szCs w:val="24"/>
              <w:shd w:val="clear" w:color="auto" w:fill="FFFFFF"/>
            </w:rPr>
            <w:fldChar w:fldCharType="separate"/>
          </w:r>
          <w:r w:rsidRPr="00044DE9">
            <w:rPr>
              <w:rFonts w:asciiTheme="majorBidi" w:hAnsiTheme="majorBidi" w:cstheme="majorBidi"/>
              <w:noProof/>
              <w:color w:val="212121"/>
              <w:sz w:val="24"/>
              <w:szCs w:val="24"/>
              <w:shd w:val="clear" w:color="auto" w:fill="FFFFFF"/>
            </w:rPr>
            <w:t xml:space="preserve"> ( Hayashi, Jr, Abib, Hoppen, &amp; Wolff, 2021)</w:t>
          </w:r>
          <w:r w:rsidRPr="00044DE9">
            <w:rPr>
              <w:rFonts w:asciiTheme="majorBidi" w:hAnsiTheme="majorBidi" w:cstheme="majorBidi"/>
              <w:color w:val="212121"/>
              <w:sz w:val="24"/>
              <w:szCs w:val="24"/>
              <w:shd w:val="clear" w:color="auto" w:fill="FFFFFF"/>
            </w:rPr>
            <w:fldChar w:fldCharType="end"/>
          </w:r>
        </w:sdtContent>
      </w:sdt>
      <w:r w:rsidRPr="00044DE9">
        <w:rPr>
          <w:rFonts w:asciiTheme="majorBidi" w:hAnsiTheme="majorBidi" w:cstheme="majorBidi"/>
          <w:color w:val="212121"/>
          <w:sz w:val="24"/>
          <w:szCs w:val="24"/>
          <w:shd w:val="clear" w:color="auto" w:fill="FFFFFF"/>
        </w:rPr>
        <w:t xml:space="preserve"> directing the researcher towards holistic findings </w:t>
      </w:r>
      <w:sdt>
        <w:sdtPr>
          <w:rPr>
            <w:rFonts w:asciiTheme="majorBidi" w:hAnsiTheme="majorBidi" w:cstheme="majorBidi"/>
            <w:color w:val="212121"/>
            <w:sz w:val="24"/>
            <w:szCs w:val="24"/>
            <w:shd w:val="clear" w:color="auto" w:fill="FFFFFF"/>
          </w:rPr>
          <w:id w:val="-1191991286"/>
          <w:citation/>
        </w:sdtPr>
        <w:sdtContent>
          <w:r w:rsidRPr="00044DE9">
            <w:rPr>
              <w:rFonts w:asciiTheme="majorBidi" w:hAnsiTheme="majorBidi" w:cstheme="majorBidi"/>
              <w:color w:val="212121"/>
              <w:sz w:val="24"/>
              <w:szCs w:val="24"/>
              <w:shd w:val="clear" w:color="auto" w:fill="FFFFFF"/>
            </w:rPr>
            <w:fldChar w:fldCharType="begin"/>
          </w:r>
          <w:r w:rsidRPr="00044DE9">
            <w:rPr>
              <w:rFonts w:asciiTheme="majorBidi" w:hAnsiTheme="majorBidi" w:cstheme="majorBidi"/>
              <w:color w:val="212121"/>
              <w:sz w:val="24"/>
              <w:szCs w:val="24"/>
              <w:shd w:val="clear" w:color="auto" w:fill="FFFFFF"/>
            </w:rPr>
            <w:instrText xml:space="preserve"> CITATION Mor20 \l 2057 </w:instrText>
          </w:r>
          <w:r w:rsidRPr="00044DE9">
            <w:rPr>
              <w:rFonts w:asciiTheme="majorBidi" w:hAnsiTheme="majorBidi" w:cstheme="majorBidi"/>
              <w:color w:val="212121"/>
              <w:sz w:val="24"/>
              <w:szCs w:val="24"/>
              <w:shd w:val="clear" w:color="auto" w:fill="FFFFFF"/>
            </w:rPr>
            <w:fldChar w:fldCharType="separate"/>
          </w:r>
          <w:r w:rsidRPr="00044DE9">
            <w:rPr>
              <w:rFonts w:asciiTheme="majorBidi" w:hAnsiTheme="majorBidi" w:cstheme="majorBidi"/>
              <w:noProof/>
              <w:color w:val="212121"/>
              <w:sz w:val="24"/>
              <w:szCs w:val="24"/>
              <w:shd w:val="clear" w:color="auto" w:fill="FFFFFF"/>
            </w:rPr>
            <w:t>(Morse, 2020)</w:t>
          </w:r>
          <w:r w:rsidRPr="00044DE9">
            <w:rPr>
              <w:rFonts w:asciiTheme="majorBidi" w:hAnsiTheme="majorBidi" w:cstheme="majorBidi"/>
              <w:color w:val="212121"/>
              <w:sz w:val="24"/>
              <w:szCs w:val="24"/>
              <w:shd w:val="clear" w:color="auto" w:fill="FFFFFF"/>
            </w:rPr>
            <w:fldChar w:fldCharType="end"/>
          </w:r>
        </w:sdtContent>
      </w:sdt>
      <w:r w:rsidRPr="00044DE9">
        <w:rPr>
          <w:rFonts w:asciiTheme="majorBidi" w:hAnsiTheme="majorBidi" w:cstheme="majorBidi"/>
          <w:color w:val="212121"/>
          <w:sz w:val="24"/>
          <w:szCs w:val="24"/>
          <w:shd w:val="clear" w:color="auto" w:fill="FFFFFF"/>
        </w:rPr>
        <w:t xml:space="preserve">. </w:t>
      </w:r>
      <w:bookmarkStart w:id="151" w:name="_Hlk150886001"/>
      <w:bookmarkStart w:id="152" w:name="_Hlk150878052"/>
      <w:r w:rsidRPr="00044DE9">
        <w:rPr>
          <w:rFonts w:asciiTheme="majorBidi" w:hAnsiTheme="majorBidi" w:cstheme="majorBidi"/>
          <w:color w:val="212121"/>
          <w:sz w:val="24"/>
          <w:szCs w:val="24"/>
          <w:shd w:val="clear" w:color="auto" w:fill="FFFFFF"/>
        </w:rPr>
        <w:t>In other words, processual validity is secured through pre-interview steps such as setting the research objectives, designing the interview guide, conducting a pilot test, transcribing the data,</w:t>
      </w:r>
      <w:r>
        <w:rPr>
          <w:rFonts w:asciiTheme="majorBidi" w:hAnsiTheme="majorBidi" w:cstheme="majorBidi"/>
          <w:color w:val="212121"/>
          <w:sz w:val="24"/>
          <w:szCs w:val="24"/>
          <w:shd w:val="clear" w:color="auto" w:fill="FFFFFF"/>
        </w:rPr>
        <w:t xml:space="preserve"> a</w:t>
      </w:r>
      <w:r w:rsidRPr="00792B07">
        <w:rPr>
          <w:rFonts w:asciiTheme="majorBidi" w:hAnsiTheme="majorBidi" w:cstheme="majorBidi"/>
          <w:color w:val="212121"/>
          <w:sz w:val="24"/>
          <w:szCs w:val="24"/>
          <w:shd w:val="clear" w:color="auto" w:fill="FFFFFF"/>
        </w:rPr>
        <w:t xml:space="preserve">nd finally, </w:t>
      </w:r>
      <w:r>
        <w:rPr>
          <w:rFonts w:asciiTheme="majorBidi" w:hAnsiTheme="majorBidi" w:cstheme="majorBidi"/>
          <w:color w:val="212121"/>
          <w:sz w:val="24"/>
          <w:szCs w:val="24"/>
          <w:shd w:val="clear" w:color="auto" w:fill="FFFFFF"/>
        </w:rPr>
        <w:t xml:space="preserve">conducting the </w:t>
      </w:r>
      <w:r w:rsidRPr="00792B07">
        <w:rPr>
          <w:rFonts w:asciiTheme="majorBidi" w:hAnsiTheme="majorBidi" w:cstheme="majorBidi"/>
          <w:color w:val="212121"/>
          <w:sz w:val="24"/>
          <w:szCs w:val="24"/>
          <w:shd w:val="clear" w:color="auto" w:fill="FFFFFF"/>
        </w:rPr>
        <w:t>post field data analysis</w:t>
      </w:r>
      <w:sdt>
        <w:sdtPr>
          <w:rPr>
            <w:rFonts w:asciiTheme="majorBidi" w:hAnsiTheme="majorBidi" w:cstheme="majorBidi"/>
            <w:color w:val="212121"/>
            <w:sz w:val="24"/>
            <w:szCs w:val="24"/>
            <w:shd w:val="clear" w:color="auto" w:fill="FFFFFF"/>
          </w:rPr>
          <w:id w:val="-771545042"/>
          <w:citation/>
        </w:sdtPr>
        <w:sdtContent>
          <w:r w:rsidRPr="00792B07">
            <w:rPr>
              <w:rFonts w:asciiTheme="majorBidi" w:hAnsiTheme="majorBidi" w:cstheme="majorBidi"/>
              <w:color w:val="212121"/>
              <w:sz w:val="24"/>
              <w:szCs w:val="24"/>
              <w:shd w:val="clear" w:color="auto" w:fill="FFFFFF"/>
            </w:rPr>
            <w:fldChar w:fldCharType="begin"/>
          </w:r>
          <w:r w:rsidRPr="00792B07">
            <w:rPr>
              <w:rFonts w:asciiTheme="majorBidi" w:hAnsiTheme="majorBidi" w:cstheme="majorBidi"/>
              <w:color w:val="212121"/>
              <w:sz w:val="24"/>
              <w:szCs w:val="24"/>
              <w:shd w:val="clear" w:color="auto" w:fill="FFFFFF"/>
            </w:rPr>
            <w:instrText xml:space="preserve"> CITATION Hay21 \l 2057 </w:instrText>
          </w:r>
          <w:r w:rsidRPr="00792B07">
            <w:rPr>
              <w:rFonts w:asciiTheme="majorBidi" w:hAnsiTheme="majorBidi" w:cstheme="majorBidi"/>
              <w:color w:val="212121"/>
              <w:sz w:val="24"/>
              <w:szCs w:val="24"/>
              <w:shd w:val="clear" w:color="auto" w:fill="FFFFFF"/>
            </w:rPr>
            <w:fldChar w:fldCharType="separate"/>
          </w:r>
          <w:r>
            <w:rPr>
              <w:rFonts w:asciiTheme="majorBidi" w:hAnsiTheme="majorBidi" w:cstheme="majorBidi"/>
              <w:noProof/>
              <w:color w:val="212121"/>
              <w:sz w:val="24"/>
              <w:szCs w:val="24"/>
              <w:shd w:val="clear" w:color="auto" w:fill="FFFFFF"/>
            </w:rPr>
            <w:t xml:space="preserve"> </w:t>
          </w:r>
          <w:r w:rsidRPr="0074573E">
            <w:rPr>
              <w:rFonts w:asciiTheme="majorBidi" w:hAnsiTheme="majorBidi" w:cstheme="majorBidi"/>
              <w:noProof/>
              <w:color w:val="212121"/>
              <w:sz w:val="24"/>
              <w:szCs w:val="24"/>
              <w:shd w:val="clear" w:color="auto" w:fill="FFFFFF"/>
            </w:rPr>
            <w:t>( Hayashi, Jr, Abib, Hoppen, &amp; Wolff, 2021)</w:t>
          </w:r>
          <w:r w:rsidRPr="00792B07">
            <w:rPr>
              <w:rFonts w:asciiTheme="majorBidi" w:hAnsiTheme="majorBidi" w:cstheme="majorBidi"/>
              <w:color w:val="212121"/>
              <w:sz w:val="24"/>
              <w:szCs w:val="24"/>
              <w:shd w:val="clear" w:color="auto" w:fill="FFFFFF"/>
            </w:rPr>
            <w:fldChar w:fldCharType="end"/>
          </w:r>
        </w:sdtContent>
      </w:sdt>
      <w:r w:rsidRPr="00792B07">
        <w:rPr>
          <w:rFonts w:asciiTheme="majorBidi" w:hAnsiTheme="majorBidi" w:cstheme="majorBidi"/>
          <w:color w:val="212121"/>
          <w:sz w:val="24"/>
          <w:szCs w:val="24"/>
          <w:shd w:val="clear" w:color="auto" w:fill="FFFFFF"/>
        </w:rPr>
        <w:t xml:space="preserve">. </w:t>
      </w:r>
    </w:p>
    <w:bookmarkEnd w:id="151"/>
    <w:p w14:paraId="7923A324" w14:textId="66F0BE3B" w:rsidR="007A225E" w:rsidRDefault="008F7680" w:rsidP="008F7680">
      <w:pPr>
        <w:adjustRightInd w:val="0"/>
        <w:spacing w:after="0" w:line="480" w:lineRule="auto"/>
        <w:ind w:firstLine="720"/>
        <w:jc w:val="both"/>
        <w:rPr>
          <w:rFonts w:asciiTheme="majorBidi" w:hAnsiTheme="majorBidi" w:cstheme="majorBidi"/>
          <w:b/>
          <w:bCs/>
          <w:sz w:val="24"/>
          <w:szCs w:val="24"/>
        </w:rPr>
      </w:pPr>
      <w:r>
        <w:rPr>
          <w:rFonts w:asciiTheme="majorBidi" w:hAnsiTheme="majorBidi" w:cstheme="majorBidi"/>
          <w:b/>
          <w:bCs/>
          <w:sz w:val="24"/>
          <w:szCs w:val="24"/>
        </w:rPr>
        <w:t>5</w:t>
      </w:r>
      <w:r w:rsidR="007A225E" w:rsidRPr="00B37A97">
        <w:rPr>
          <w:rFonts w:asciiTheme="majorBidi" w:hAnsiTheme="majorBidi" w:cstheme="majorBidi"/>
          <w:b/>
          <w:bCs/>
          <w:sz w:val="24"/>
          <w:szCs w:val="24"/>
        </w:rPr>
        <w:t>.</w:t>
      </w:r>
      <w:r w:rsidR="00891F01">
        <w:rPr>
          <w:rFonts w:asciiTheme="majorBidi" w:hAnsiTheme="majorBidi" w:cstheme="majorBidi"/>
          <w:b/>
          <w:bCs/>
          <w:sz w:val="24"/>
          <w:szCs w:val="24"/>
        </w:rPr>
        <w:t>5</w:t>
      </w:r>
      <w:r w:rsidR="007A225E" w:rsidRPr="00B37A97">
        <w:rPr>
          <w:rFonts w:asciiTheme="majorBidi" w:hAnsiTheme="majorBidi" w:cstheme="majorBidi"/>
          <w:b/>
          <w:bCs/>
          <w:sz w:val="24"/>
          <w:szCs w:val="24"/>
        </w:rPr>
        <w:t>.2 Research Design</w:t>
      </w:r>
      <w:r w:rsidR="007A225E">
        <w:rPr>
          <w:rFonts w:asciiTheme="majorBidi" w:hAnsiTheme="majorBidi" w:cstheme="majorBidi"/>
          <w:b/>
          <w:bCs/>
          <w:sz w:val="24"/>
          <w:szCs w:val="24"/>
        </w:rPr>
        <w:t xml:space="preserve"> </w:t>
      </w:r>
    </w:p>
    <w:bookmarkEnd w:id="152"/>
    <w:p w14:paraId="67369862" w14:textId="44BFD675" w:rsidR="007A225E" w:rsidRPr="00450D26" w:rsidRDefault="007A225E" w:rsidP="008F7680">
      <w:pPr>
        <w:adjustRightInd w:val="0"/>
        <w:spacing w:after="0" w:line="480" w:lineRule="auto"/>
        <w:ind w:firstLine="720"/>
        <w:jc w:val="both"/>
        <w:rPr>
          <w:rFonts w:asciiTheme="majorBidi" w:hAnsiTheme="majorBidi" w:cstheme="majorBidi"/>
          <w:sz w:val="24"/>
          <w:szCs w:val="24"/>
        </w:rPr>
      </w:pPr>
      <w:r w:rsidRPr="00450D26">
        <w:rPr>
          <w:rFonts w:asciiTheme="majorBidi" w:hAnsiTheme="majorBidi" w:cstheme="majorBidi"/>
          <w:sz w:val="24"/>
          <w:szCs w:val="24"/>
        </w:rPr>
        <w:t>In this study</w:t>
      </w:r>
      <w:r w:rsidRPr="00EF52BB">
        <w:rPr>
          <w:rFonts w:asciiTheme="majorBidi" w:hAnsiTheme="majorBidi" w:cstheme="majorBidi"/>
          <w:sz w:val="24"/>
          <w:szCs w:val="24"/>
        </w:rPr>
        <w:t>, semi-structured interviews were conducted on a smaller sample of respondents who conducted the survey experiments and were in the group that was subjected to the CSR communication as a stimulus. Semi-structured interviews are a blend of pre-set interviews and other unstructured questions that emerge based on the answers given by the respondents during the interview</w:t>
      </w:r>
      <w:sdt>
        <w:sdtPr>
          <w:rPr>
            <w:rFonts w:asciiTheme="majorBidi" w:hAnsiTheme="majorBidi" w:cstheme="majorBidi"/>
            <w:sz w:val="24"/>
            <w:szCs w:val="24"/>
          </w:rPr>
          <w:id w:val="-82301413"/>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 xml:space="preserve">CITATION Geo22 \t  \l 2057 </w:instrText>
          </w:r>
          <w:r w:rsidRPr="00EF52BB">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(George, 2022)</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w:t>
      </w:r>
      <w:r>
        <w:rPr>
          <w:rFonts w:asciiTheme="majorBidi" w:hAnsiTheme="majorBidi" w:cstheme="majorBidi"/>
          <w:sz w:val="24"/>
          <w:szCs w:val="24"/>
        </w:rPr>
        <w:t xml:space="preserve"> </w:t>
      </w:r>
      <w:r w:rsidRPr="00EF52BB">
        <w:rPr>
          <w:rFonts w:asciiTheme="majorBidi" w:hAnsiTheme="majorBidi" w:cstheme="majorBidi"/>
          <w:sz w:val="24"/>
          <w:szCs w:val="24"/>
        </w:rPr>
        <w:t>While quantitative methods are generally important in the field of marketing, qualitative research methods are particularly important to thoroughly investigate consumer behaviour and perception towards a marketing strategy</w:t>
      </w:r>
      <w:sdt>
        <w:sdtPr>
          <w:rPr>
            <w:rFonts w:asciiTheme="majorBidi" w:hAnsiTheme="majorBidi" w:cstheme="majorBidi"/>
            <w:sz w:val="24"/>
            <w:szCs w:val="24"/>
          </w:rPr>
          <w:id w:val="1938399147"/>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 xml:space="preserve"> CITATION Pet17 \l 2057 </w:instrText>
          </w:r>
          <w:r w:rsidRPr="00EF52BB">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(Petrescu &amp; Lauer, 2017)</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 xml:space="preserve">. </w:t>
      </w:r>
      <w:r w:rsidRPr="003E371C">
        <w:rPr>
          <w:rFonts w:asciiTheme="majorBidi" w:hAnsiTheme="majorBidi" w:cstheme="majorBidi"/>
          <w:sz w:val="24"/>
          <w:szCs w:val="24"/>
        </w:rPr>
        <w:t xml:space="preserve">One of the most </w:t>
      </w:r>
      <w:r>
        <w:rPr>
          <w:rFonts w:asciiTheme="majorBidi" w:hAnsiTheme="majorBidi" w:cstheme="majorBidi"/>
          <w:sz w:val="24"/>
          <w:szCs w:val="24"/>
        </w:rPr>
        <w:t>common</w:t>
      </w:r>
      <w:r w:rsidRPr="003E371C">
        <w:rPr>
          <w:rFonts w:asciiTheme="majorBidi" w:hAnsiTheme="majorBidi" w:cstheme="majorBidi"/>
          <w:sz w:val="24"/>
          <w:szCs w:val="24"/>
        </w:rPr>
        <w:t xml:space="preserve"> ways to acquire data for qualitative research is through interviews</w:t>
      </w:r>
      <w:sdt>
        <w:sdtPr>
          <w:rPr>
            <w:rFonts w:asciiTheme="majorBidi" w:hAnsiTheme="majorBidi" w:cstheme="majorBidi"/>
            <w:sz w:val="24"/>
            <w:szCs w:val="24"/>
          </w:rPr>
          <w:id w:val="4781272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Bry16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(Bryman, 2016)</w:t>
          </w:r>
          <w:r>
            <w:rPr>
              <w:rFonts w:asciiTheme="majorBidi" w:hAnsiTheme="majorBidi" w:cstheme="majorBidi"/>
              <w:sz w:val="24"/>
              <w:szCs w:val="24"/>
            </w:rPr>
            <w:fldChar w:fldCharType="end"/>
          </w:r>
        </w:sdtContent>
      </w:sdt>
      <w:r w:rsidRPr="003E371C">
        <w:rPr>
          <w:rFonts w:asciiTheme="majorBidi" w:hAnsiTheme="majorBidi" w:cstheme="majorBidi"/>
          <w:sz w:val="24"/>
          <w:szCs w:val="24"/>
        </w:rPr>
        <w:t>.</w:t>
      </w:r>
      <w:r w:rsidRPr="00EF52BB">
        <w:rPr>
          <w:rFonts w:asciiTheme="majorBidi" w:hAnsiTheme="majorBidi" w:cstheme="majorBidi"/>
          <w:sz w:val="24"/>
          <w:szCs w:val="24"/>
        </w:rPr>
        <w:t xml:space="preserve"> Semi-structured interviews are best used to gain </w:t>
      </w:r>
      <w:r w:rsidRPr="00044DE9">
        <w:rPr>
          <w:rFonts w:asciiTheme="majorBidi" w:hAnsiTheme="majorBidi" w:cstheme="majorBidi"/>
          <w:sz w:val="24"/>
          <w:szCs w:val="24"/>
        </w:rPr>
        <w:t>deeper insights and acquire further details and richness</w:t>
      </w:r>
      <w:r w:rsidRPr="00EF52BB">
        <w:rPr>
          <w:rFonts w:asciiTheme="majorBidi" w:hAnsiTheme="majorBidi" w:cstheme="majorBidi"/>
          <w:sz w:val="24"/>
          <w:szCs w:val="24"/>
        </w:rPr>
        <w:t xml:space="preserve"> from respondents on a certain topic </w:t>
      </w:r>
      <w:sdt>
        <w:sdtPr>
          <w:rPr>
            <w:rFonts w:asciiTheme="majorBidi" w:hAnsiTheme="majorBidi" w:cstheme="majorBidi"/>
            <w:sz w:val="24"/>
            <w:szCs w:val="24"/>
          </w:rPr>
          <w:id w:val="-1630473762"/>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 xml:space="preserve">CITATION Geo22 \t  \m Mas22 \l 2057 </w:instrText>
          </w:r>
          <w:r w:rsidRPr="00EF52BB">
            <w:rPr>
              <w:rFonts w:asciiTheme="majorBidi" w:hAnsiTheme="majorBidi" w:cstheme="majorBidi"/>
              <w:sz w:val="24"/>
              <w:szCs w:val="24"/>
            </w:rPr>
            <w:fldChar w:fldCharType="separate"/>
          </w:r>
          <w:r w:rsidRPr="0074573E">
            <w:rPr>
              <w:rFonts w:asciiTheme="majorBidi" w:hAnsiTheme="majorBidi" w:cstheme="majorBidi"/>
              <w:noProof/>
              <w:sz w:val="24"/>
              <w:szCs w:val="24"/>
            </w:rPr>
            <w:t>(George, 2022; Mashuri, Sarib, Alhabsyi, Syam, &amp; Ruslin, 2022)</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w:t>
      </w:r>
      <w:r>
        <w:rPr>
          <w:rFonts w:asciiTheme="majorBidi" w:hAnsiTheme="majorBidi" w:cstheme="majorBidi"/>
          <w:sz w:val="24"/>
          <w:szCs w:val="24"/>
        </w:rPr>
        <w:t xml:space="preserve"> </w:t>
      </w:r>
      <w:r w:rsidRPr="00EF52BB">
        <w:rPr>
          <w:rFonts w:asciiTheme="majorBidi" w:hAnsiTheme="majorBidi" w:cstheme="majorBidi"/>
          <w:sz w:val="24"/>
          <w:szCs w:val="24"/>
        </w:rPr>
        <w:t>This serves the purpose of this study to explore different communication strategies by gaining profound insights on consumers’ perceptions of CSR as a communication strategy. Interviews were conducted face-to-face and online through Zoom.</w:t>
      </w:r>
      <w:r>
        <w:rPr>
          <w:rFonts w:asciiTheme="majorBidi" w:hAnsiTheme="majorBidi" w:cstheme="majorBidi"/>
          <w:sz w:val="24"/>
          <w:szCs w:val="24"/>
        </w:rPr>
        <w:t xml:space="preserve"> In the survey experiments, respondents were asked if they can leave their email addresses to be contacted for an interview. I sent an email to the respondents who mentioned their email addresses in which I asked for their willingness to participate in an interview, I briefly described the interview’s objectives</w:t>
      </w:r>
      <w:r w:rsidR="00787788">
        <w:rPr>
          <w:rFonts w:asciiTheme="majorBidi" w:hAnsiTheme="majorBidi" w:cstheme="majorBidi"/>
          <w:sz w:val="24"/>
          <w:szCs w:val="24"/>
        </w:rPr>
        <w:t xml:space="preserve"> and </w:t>
      </w:r>
      <w:r>
        <w:rPr>
          <w:rFonts w:asciiTheme="majorBidi" w:hAnsiTheme="majorBidi" w:cstheme="majorBidi"/>
          <w:sz w:val="24"/>
          <w:szCs w:val="24"/>
        </w:rPr>
        <w:t xml:space="preserve">expected duration, and suggested cafés in Cairo to conduct the interview. Based on those who responded with acceptance to conduct the interview, I provided my contact number to speak and agree on a date and place. </w:t>
      </w:r>
    </w:p>
    <w:p w14:paraId="3480CEA1" w14:textId="4C0C1728" w:rsidR="007A225E" w:rsidRPr="00450D26" w:rsidRDefault="008F7680" w:rsidP="008F7680">
      <w:pPr>
        <w:adjustRightInd w:val="0"/>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5</w:t>
      </w:r>
      <w:r w:rsidR="007A225E" w:rsidRPr="00450D26">
        <w:rPr>
          <w:rFonts w:asciiTheme="majorBidi" w:hAnsiTheme="majorBidi" w:cstheme="majorBidi"/>
          <w:b/>
          <w:bCs/>
          <w:sz w:val="24"/>
          <w:szCs w:val="24"/>
        </w:rPr>
        <w:t>.</w:t>
      </w:r>
      <w:r w:rsidR="00891F01">
        <w:rPr>
          <w:rFonts w:asciiTheme="majorBidi" w:hAnsiTheme="majorBidi" w:cstheme="majorBidi"/>
          <w:b/>
          <w:bCs/>
          <w:sz w:val="24"/>
          <w:szCs w:val="24"/>
        </w:rPr>
        <w:t>5</w:t>
      </w:r>
      <w:r w:rsidR="007A225E" w:rsidRPr="00450D26">
        <w:rPr>
          <w:rFonts w:asciiTheme="majorBidi" w:hAnsiTheme="majorBidi" w:cstheme="majorBidi"/>
          <w:b/>
          <w:bCs/>
          <w:sz w:val="24"/>
          <w:szCs w:val="24"/>
        </w:rPr>
        <w:t>.</w:t>
      </w:r>
      <w:r w:rsidR="007A225E">
        <w:rPr>
          <w:rFonts w:asciiTheme="majorBidi" w:hAnsiTheme="majorBidi" w:cstheme="majorBidi"/>
          <w:b/>
          <w:bCs/>
          <w:sz w:val="24"/>
          <w:szCs w:val="24"/>
        </w:rPr>
        <w:t>3</w:t>
      </w:r>
      <w:r w:rsidR="007A225E" w:rsidRPr="00450D26">
        <w:rPr>
          <w:rFonts w:asciiTheme="majorBidi" w:hAnsiTheme="majorBidi" w:cstheme="majorBidi"/>
          <w:b/>
          <w:bCs/>
          <w:sz w:val="24"/>
          <w:szCs w:val="24"/>
        </w:rPr>
        <w:t xml:space="preserve"> Interview Guide</w:t>
      </w:r>
    </w:p>
    <w:p w14:paraId="061DC458" w14:textId="263054CD" w:rsidR="00B84D5C" w:rsidRDefault="007A225E" w:rsidP="007E57A4">
      <w:pPr>
        <w:adjustRightInd w:val="0"/>
        <w:spacing w:after="0" w:line="480" w:lineRule="auto"/>
        <w:ind w:firstLine="720"/>
        <w:jc w:val="both"/>
        <w:rPr>
          <w:rFonts w:asciiTheme="majorBidi" w:hAnsiTheme="majorBidi" w:cstheme="majorBidi"/>
          <w:sz w:val="24"/>
          <w:szCs w:val="24"/>
        </w:rPr>
      </w:pPr>
      <w:r w:rsidRPr="00EF52BB">
        <w:rPr>
          <w:rFonts w:asciiTheme="majorBidi" w:hAnsiTheme="majorBidi" w:cstheme="majorBidi"/>
          <w:sz w:val="24"/>
          <w:szCs w:val="24"/>
        </w:rPr>
        <w:t>Generally, the structure and style of an interview is described in different formats across literature</w:t>
      </w:r>
      <w:sdt>
        <w:sdtPr>
          <w:rPr>
            <w:rFonts w:asciiTheme="majorBidi" w:hAnsiTheme="majorBidi" w:cstheme="majorBidi"/>
            <w:sz w:val="24"/>
            <w:szCs w:val="24"/>
          </w:rPr>
          <w:id w:val="-1383165595"/>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 xml:space="preserve"> CITATION Hus20 \l 2057 </w:instrText>
          </w:r>
          <w:r w:rsidRPr="00EF52BB">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(Husband, 2020)</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 xml:space="preserve">. This study applies the general interview guide style (which is the semi-structured interview) in which the guide acts as </w:t>
      </w:r>
      <w:r w:rsidRPr="00044DE9">
        <w:rPr>
          <w:rFonts w:asciiTheme="majorBidi" w:hAnsiTheme="majorBidi" w:cstheme="majorBidi"/>
          <w:sz w:val="24"/>
          <w:szCs w:val="24"/>
        </w:rPr>
        <w:t>a “cheat sheet</w:t>
      </w:r>
      <w:r w:rsidR="00787788" w:rsidRPr="00044DE9">
        <w:rPr>
          <w:rFonts w:asciiTheme="majorBidi" w:hAnsiTheme="majorBidi" w:cstheme="majorBidi"/>
          <w:sz w:val="24"/>
          <w:szCs w:val="24"/>
        </w:rPr>
        <w:t>.</w:t>
      </w:r>
      <w:r w:rsidRPr="00044DE9">
        <w:rPr>
          <w:rFonts w:asciiTheme="majorBidi" w:hAnsiTheme="majorBidi" w:cstheme="majorBidi"/>
          <w:sz w:val="24"/>
          <w:szCs w:val="24"/>
        </w:rPr>
        <w:t>”</w:t>
      </w:r>
      <w:r w:rsidRPr="00EF52BB">
        <w:rPr>
          <w:rFonts w:asciiTheme="majorBidi" w:hAnsiTheme="majorBidi" w:cstheme="majorBidi"/>
          <w:sz w:val="24"/>
          <w:szCs w:val="24"/>
        </w:rPr>
        <w:t xml:space="preserve"> et, the entire interview has a flexible and conversational style</w:t>
      </w:r>
      <w:sdt>
        <w:sdtPr>
          <w:rPr>
            <w:rFonts w:asciiTheme="majorBidi" w:hAnsiTheme="majorBidi" w:cstheme="majorBidi"/>
            <w:sz w:val="24"/>
            <w:szCs w:val="24"/>
          </w:rPr>
          <w:id w:val="1329784279"/>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 xml:space="preserve"> CITATION Tur16 \l 2057 </w:instrText>
          </w:r>
          <w:r w:rsidRPr="00EF52BB">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(Turner, 2016)</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 It is suggested in literature to start the interview with an introduction explaining the objectives of the interview,</w:t>
      </w:r>
      <w:r w:rsidR="00044DE9" w:rsidRPr="00044DE9">
        <w:rPr>
          <w:rFonts w:asciiTheme="majorBidi" w:hAnsiTheme="majorBidi" w:cstheme="majorBidi"/>
          <w:sz w:val="24"/>
          <w:szCs w:val="24"/>
        </w:rPr>
        <w:t xml:space="preserve"> </w:t>
      </w:r>
      <w:r w:rsidR="00044DE9">
        <w:rPr>
          <w:rFonts w:asciiTheme="majorBidi" w:hAnsiTheme="majorBidi" w:cstheme="majorBidi"/>
          <w:sz w:val="24"/>
          <w:szCs w:val="24"/>
        </w:rPr>
        <w:t>Y</w:t>
      </w:r>
      <w:r w:rsidRPr="00EF52BB">
        <w:rPr>
          <w:rFonts w:asciiTheme="majorBidi" w:hAnsiTheme="majorBidi" w:cstheme="majorBidi"/>
          <w:sz w:val="24"/>
          <w:szCs w:val="24"/>
        </w:rPr>
        <w:t xml:space="preserve"> the confidentiality of the interview and taking consent, the expected duration of the interview, and ways in which respondents can reach the researcher for further questions about the study </w:t>
      </w:r>
      <w:sdt>
        <w:sdtPr>
          <w:rPr>
            <w:rFonts w:asciiTheme="majorBidi" w:hAnsiTheme="majorBidi" w:cstheme="majorBidi"/>
            <w:sz w:val="24"/>
            <w:szCs w:val="24"/>
          </w:rPr>
          <w:id w:val="931314840"/>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CITATION Geo22 \t  \l 2057  \m McN22</w:instrText>
          </w:r>
          <w:r w:rsidRPr="00EF52BB">
            <w:rPr>
              <w:rFonts w:asciiTheme="majorBidi" w:hAnsiTheme="majorBidi" w:cstheme="majorBidi"/>
              <w:sz w:val="24"/>
              <w:szCs w:val="24"/>
            </w:rPr>
            <w:fldChar w:fldCharType="separate"/>
          </w:r>
          <w:r w:rsidRPr="0074573E">
            <w:rPr>
              <w:rFonts w:asciiTheme="majorBidi" w:hAnsiTheme="majorBidi" w:cstheme="majorBidi"/>
              <w:noProof/>
              <w:sz w:val="24"/>
              <w:szCs w:val="24"/>
            </w:rPr>
            <w:t>(George, 2022; McNamara, 2022)</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 xml:space="preserve">. For this study, a guide consisted of a set of pre-determined questions designed </w:t>
      </w:r>
      <w:r w:rsidR="00787788">
        <w:rPr>
          <w:rFonts w:asciiTheme="majorBidi" w:hAnsiTheme="majorBidi" w:cstheme="majorBidi"/>
          <w:sz w:val="24"/>
          <w:szCs w:val="24"/>
        </w:rPr>
        <w:t xml:space="preserve">to </w:t>
      </w:r>
      <w:r w:rsidRPr="00EF52BB">
        <w:rPr>
          <w:rFonts w:asciiTheme="majorBidi" w:hAnsiTheme="majorBidi" w:cstheme="majorBidi"/>
          <w:sz w:val="24"/>
          <w:szCs w:val="24"/>
        </w:rPr>
        <w:t>allow for other questions on the same topic to arise during the interview. The guide started with an introduction about the topic and taking the consent of the respondents</w:t>
      </w:r>
      <w:r>
        <w:rPr>
          <w:rFonts w:asciiTheme="majorBidi" w:hAnsiTheme="majorBidi" w:cstheme="majorBidi"/>
          <w:sz w:val="24"/>
          <w:szCs w:val="24"/>
        </w:rPr>
        <w:t xml:space="preserve"> to record the interview</w:t>
      </w:r>
      <w:r w:rsidRPr="00EF52BB">
        <w:rPr>
          <w:rFonts w:asciiTheme="majorBidi" w:hAnsiTheme="majorBidi" w:cstheme="majorBidi"/>
          <w:sz w:val="24"/>
          <w:szCs w:val="24"/>
        </w:rPr>
        <w:t xml:space="preserve">. Afterwards, the interview had a couple of ice-breaking questions to allow respondents to relax and be ready to openly provide honest answers for the upcoming questions. Following </w:t>
      </w:r>
      <w:r w:rsidRPr="00044DE9">
        <w:rPr>
          <w:rFonts w:asciiTheme="majorBidi" w:hAnsiTheme="majorBidi" w:cstheme="majorBidi"/>
          <w:sz w:val="24"/>
          <w:szCs w:val="24"/>
        </w:rPr>
        <w:t>the ice-breaking questions,</w:t>
      </w:r>
      <w:r w:rsidRPr="00EF52BB">
        <w:rPr>
          <w:rFonts w:asciiTheme="majorBidi" w:hAnsiTheme="majorBidi" w:cstheme="majorBidi"/>
          <w:sz w:val="24"/>
          <w:szCs w:val="24"/>
        </w:rPr>
        <w:t xml:space="preserve"> the respondents were presented with the </w:t>
      </w:r>
      <w:r>
        <w:rPr>
          <w:rFonts w:asciiTheme="majorBidi" w:hAnsiTheme="majorBidi" w:cstheme="majorBidi"/>
          <w:sz w:val="24"/>
          <w:szCs w:val="24"/>
        </w:rPr>
        <w:t xml:space="preserve">CSR </w:t>
      </w:r>
      <w:r w:rsidRPr="00EF52BB">
        <w:rPr>
          <w:rFonts w:asciiTheme="majorBidi" w:hAnsiTheme="majorBidi" w:cstheme="majorBidi"/>
          <w:sz w:val="24"/>
          <w:szCs w:val="24"/>
        </w:rPr>
        <w:t>stimul</w:t>
      </w:r>
      <w:r>
        <w:rPr>
          <w:rFonts w:asciiTheme="majorBidi" w:hAnsiTheme="majorBidi" w:cstheme="majorBidi"/>
          <w:sz w:val="24"/>
          <w:szCs w:val="24"/>
        </w:rPr>
        <w:t>us</w:t>
      </w:r>
      <w:r w:rsidRPr="00EF52BB">
        <w:rPr>
          <w:rFonts w:asciiTheme="majorBidi" w:hAnsiTheme="majorBidi" w:cstheme="majorBidi"/>
          <w:sz w:val="24"/>
          <w:szCs w:val="24"/>
        </w:rPr>
        <w:t xml:space="preserve"> that they saw in the survey experiment</w:t>
      </w:r>
      <w:r>
        <w:rPr>
          <w:rFonts w:asciiTheme="majorBidi" w:hAnsiTheme="majorBidi" w:cstheme="majorBidi"/>
          <w:sz w:val="24"/>
          <w:szCs w:val="24"/>
        </w:rPr>
        <w:t xml:space="preserve"> as well as the non-CSR stimulus to compare</w:t>
      </w:r>
      <w:r w:rsidRPr="00EF52BB">
        <w:rPr>
          <w:rFonts w:asciiTheme="majorBidi" w:hAnsiTheme="majorBidi" w:cstheme="majorBidi"/>
          <w:sz w:val="24"/>
          <w:szCs w:val="24"/>
        </w:rPr>
        <w:t>. The purpose of showing the stimuli to respondents during the interview is to remind them of what they saw in the survey</w:t>
      </w:r>
      <w:r>
        <w:rPr>
          <w:rFonts w:asciiTheme="majorBidi" w:hAnsiTheme="majorBidi" w:cstheme="majorBidi"/>
          <w:sz w:val="24"/>
          <w:szCs w:val="24"/>
        </w:rPr>
        <w:t xml:space="preserve"> experiment</w:t>
      </w:r>
      <w:r w:rsidRPr="00EF52BB">
        <w:rPr>
          <w:rFonts w:asciiTheme="majorBidi" w:hAnsiTheme="majorBidi" w:cstheme="majorBidi"/>
          <w:sz w:val="24"/>
          <w:szCs w:val="24"/>
        </w:rPr>
        <w:t xml:space="preserve"> and to ask them questions comparing between CSR and non-CSR communication</w:t>
      </w:r>
      <w:r>
        <w:rPr>
          <w:rFonts w:asciiTheme="majorBidi" w:hAnsiTheme="majorBidi" w:cstheme="majorBidi"/>
          <w:sz w:val="24"/>
          <w:szCs w:val="24"/>
        </w:rPr>
        <w:t>s</w:t>
      </w:r>
      <w:r w:rsidRPr="00EF52BB">
        <w:rPr>
          <w:rFonts w:asciiTheme="majorBidi" w:hAnsiTheme="majorBidi" w:cstheme="majorBidi"/>
          <w:sz w:val="24"/>
          <w:szCs w:val="24"/>
        </w:rPr>
        <w:t>. The questions that followed the stimuli compared between both strategies of communication, asked about purchase intention, and some were related to expectations from multinational companies and brands. Lastly, the interview ended with a generic question for final comments followed by a thank you message. Since it is recommended in literature to test the interview</w:t>
      </w:r>
      <w:sdt>
        <w:sdtPr>
          <w:rPr>
            <w:rFonts w:asciiTheme="majorBidi" w:hAnsiTheme="majorBidi" w:cstheme="majorBidi"/>
            <w:sz w:val="24"/>
            <w:szCs w:val="24"/>
          </w:rPr>
          <w:id w:val="-1251729466"/>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 xml:space="preserve"> CITATION McG18 \l 2057 </w:instrText>
          </w:r>
          <w:r w:rsidRPr="00EF52BB">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(McGrath, Palmgren, &amp; Liljedahl, 2018)</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 a single interview was conducted as a pilot to enhance the quality of the questions and to gain closer estimate of the time required to complete the interview</w:t>
      </w:r>
      <w:sdt>
        <w:sdtPr>
          <w:rPr>
            <w:rFonts w:asciiTheme="majorBidi" w:hAnsiTheme="majorBidi" w:cstheme="majorBidi"/>
            <w:sz w:val="24"/>
            <w:szCs w:val="24"/>
          </w:rPr>
          <w:id w:val="-1770453054"/>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 xml:space="preserve"> CITATION Abd17 \l 2057 </w:instrText>
          </w:r>
          <w:r w:rsidRPr="00EF52BB">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4573E">
            <w:rPr>
              <w:rFonts w:asciiTheme="majorBidi" w:hAnsiTheme="majorBidi" w:cstheme="majorBidi"/>
              <w:noProof/>
              <w:sz w:val="24"/>
              <w:szCs w:val="24"/>
            </w:rPr>
            <w:t>(Abdul Majid, Othman, Mohamad, Lim, &amp; Yusof, 2017)</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 Based on the pilot interview, the estimated required time to complete the survey was around 25 minutes. Also, more insightful questions emerged during the pilot interview that were included in the final guide.</w:t>
      </w:r>
      <w:r>
        <w:rPr>
          <w:rFonts w:asciiTheme="majorBidi" w:hAnsiTheme="majorBidi" w:cstheme="majorBidi"/>
          <w:sz w:val="24"/>
          <w:szCs w:val="24"/>
        </w:rPr>
        <w:t xml:space="preserve"> </w:t>
      </w:r>
      <w:r w:rsidRPr="00EF52BB">
        <w:rPr>
          <w:rFonts w:asciiTheme="majorBidi" w:hAnsiTheme="majorBidi" w:cstheme="majorBidi"/>
          <w:sz w:val="24"/>
          <w:szCs w:val="24"/>
        </w:rPr>
        <w:t xml:space="preserve">The semi-structured interview guide is attached in appendix </w:t>
      </w:r>
      <w:r w:rsidR="009B788D">
        <w:rPr>
          <w:rFonts w:asciiTheme="majorBidi" w:hAnsiTheme="majorBidi" w:cstheme="majorBidi"/>
          <w:sz w:val="24"/>
          <w:szCs w:val="24"/>
        </w:rPr>
        <w:t>E</w:t>
      </w:r>
      <w:r w:rsidRPr="00EF52BB">
        <w:rPr>
          <w:rFonts w:asciiTheme="majorBidi" w:hAnsiTheme="majorBidi" w:cstheme="majorBidi"/>
          <w:sz w:val="24"/>
          <w:szCs w:val="24"/>
        </w:rPr>
        <w:t>. Since it</w:t>
      </w:r>
      <w:r>
        <w:rPr>
          <w:rFonts w:asciiTheme="majorBidi" w:hAnsiTheme="majorBidi" w:cstheme="majorBidi"/>
          <w:sz w:val="24"/>
          <w:szCs w:val="24"/>
        </w:rPr>
        <w:t xml:space="preserve"> is</w:t>
      </w:r>
      <w:r w:rsidRPr="00EF52BB">
        <w:rPr>
          <w:rFonts w:asciiTheme="majorBidi" w:hAnsiTheme="majorBidi" w:cstheme="majorBidi"/>
          <w:sz w:val="24"/>
          <w:szCs w:val="24"/>
        </w:rPr>
        <w:t xml:space="preserve"> important that the language used during the interview is appropriate to the commonly spoken language of the respondents </w:t>
      </w:r>
      <w:sdt>
        <w:sdtPr>
          <w:rPr>
            <w:rFonts w:asciiTheme="majorBidi" w:hAnsiTheme="majorBidi" w:cstheme="majorBidi"/>
            <w:sz w:val="24"/>
            <w:szCs w:val="24"/>
          </w:rPr>
          <w:id w:val="1079720784"/>
          <w:citation/>
        </w:sdtPr>
        <w:sdtContent>
          <w:r w:rsidRPr="00EF52BB">
            <w:rPr>
              <w:rFonts w:asciiTheme="majorBidi" w:hAnsiTheme="majorBidi" w:cstheme="majorBidi"/>
              <w:sz w:val="24"/>
              <w:szCs w:val="24"/>
            </w:rPr>
            <w:fldChar w:fldCharType="begin"/>
          </w:r>
          <w:r w:rsidRPr="00EF52BB">
            <w:rPr>
              <w:rFonts w:asciiTheme="majorBidi" w:hAnsiTheme="majorBidi" w:cstheme="majorBidi"/>
              <w:sz w:val="24"/>
              <w:szCs w:val="24"/>
            </w:rPr>
            <w:instrText xml:space="preserve"> CITATION McL14 \l 2057 </w:instrText>
          </w:r>
          <w:r w:rsidRPr="00EF52BB">
            <w:rPr>
              <w:rFonts w:asciiTheme="majorBidi" w:hAnsiTheme="majorBidi" w:cstheme="majorBidi"/>
              <w:sz w:val="24"/>
              <w:szCs w:val="24"/>
            </w:rPr>
            <w:fldChar w:fldCharType="separate"/>
          </w:r>
          <w:r w:rsidRPr="0074573E">
            <w:rPr>
              <w:rFonts w:asciiTheme="majorBidi" w:hAnsiTheme="majorBidi" w:cstheme="majorBidi"/>
              <w:noProof/>
              <w:sz w:val="24"/>
              <w:szCs w:val="24"/>
            </w:rPr>
            <w:t>(McLeod, 2014)</w:t>
          </w:r>
          <w:r w:rsidRPr="00EF52BB">
            <w:rPr>
              <w:rFonts w:asciiTheme="majorBidi" w:hAnsiTheme="majorBidi" w:cstheme="majorBidi"/>
              <w:sz w:val="24"/>
              <w:szCs w:val="24"/>
            </w:rPr>
            <w:fldChar w:fldCharType="end"/>
          </w:r>
        </w:sdtContent>
      </w:sdt>
      <w:r w:rsidRPr="00EF52BB">
        <w:rPr>
          <w:rFonts w:asciiTheme="majorBidi" w:hAnsiTheme="majorBidi" w:cstheme="majorBidi"/>
          <w:sz w:val="24"/>
          <w:szCs w:val="24"/>
        </w:rPr>
        <w:t>, the interview guide was translated to Arabic and the local language was used during the verbal conversation with respondents.</w:t>
      </w:r>
      <w:r>
        <w:rPr>
          <w:rFonts w:asciiTheme="majorBidi" w:hAnsiTheme="majorBidi" w:cstheme="majorBidi"/>
          <w:sz w:val="24"/>
          <w:szCs w:val="24"/>
        </w:rPr>
        <w:t xml:space="preserve"> The preceding chapter</w:t>
      </w:r>
      <w:r w:rsidR="000D7237">
        <w:rPr>
          <w:rFonts w:asciiTheme="majorBidi" w:hAnsiTheme="majorBidi" w:cstheme="majorBidi"/>
          <w:sz w:val="24"/>
          <w:szCs w:val="24"/>
        </w:rPr>
        <w:t xml:space="preserve"> </w:t>
      </w:r>
      <w:r>
        <w:rPr>
          <w:rFonts w:asciiTheme="majorBidi" w:hAnsiTheme="majorBidi" w:cstheme="majorBidi"/>
          <w:sz w:val="24"/>
          <w:szCs w:val="24"/>
        </w:rPr>
        <w:t>outline</w:t>
      </w:r>
      <w:r w:rsidR="000D7237">
        <w:rPr>
          <w:rFonts w:asciiTheme="majorBidi" w:hAnsiTheme="majorBidi" w:cstheme="majorBidi"/>
          <w:sz w:val="24"/>
          <w:szCs w:val="24"/>
        </w:rPr>
        <w:t>d</w:t>
      </w:r>
      <w:r>
        <w:rPr>
          <w:rFonts w:asciiTheme="majorBidi" w:hAnsiTheme="majorBidi" w:cstheme="majorBidi"/>
          <w:sz w:val="24"/>
          <w:szCs w:val="24"/>
        </w:rPr>
        <w:t xml:space="preserve"> the detailed results of the quantitative study (study </w:t>
      </w:r>
      <w:r w:rsidR="000D7237">
        <w:rPr>
          <w:rFonts w:asciiTheme="majorBidi" w:hAnsiTheme="majorBidi" w:cstheme="majorBidi"/>
          <w:sz w:val="24"/>
          <w:szCs w:val="24"/>
        </w:rPr>
        <w:t>one</w:t>
      </w:r>
      <w:r>
        <w:rPr>
          <w:rFonts w:asciiTheme="majorBidi" w:hAnsiTheme="majorBidi" w:cstheme="majorBidi"/>
          <w:sz w:val="24"/>
          <w:szCs w:val="24"/>
        </w:rPr>
        <w:t>).</w:t>
      </w:r>
    </w:p>
    <w:p w14:paraId="158F8A42" w14:textId="77777777" w:rsidR="007E57A4" w:rsidRDefault="007E57A4" w:rsidP="007E57A4">
      <w:pPr>
        <w:adjustRightInd w:val="0"/>
        <w:spacing w:after="0" w:line="480" w:lineRule="auto"/>
        <w:ind w:firstLine="720"/>
        <w:jc w:val="both"/>
        <w:rPr>
          <w:rFonts w:asciiTheme="majorBidi" w:hAnsiTheme="majorBidi" w:cstheme="majorBidi"/>
          <w:sz w:val="24"/>
          <w:szCs w:val="24"/>
        </w:rPr>
      </w:pPr>
    </w:p>
    <w:p w14:paraId="64058D15"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27EBFAD9"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19F51F23"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526CDD22"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48BB7467"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345E8742"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0626DAA4"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1997D429"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72A588F5"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68515E23"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1C318E6C" w14:textId="77777777" w:rsidR="003320A4" w:rsidRDefault="003320A4" w:rsidP="007E57A4">
      <w:pPr>
        <w:adjustRightInd w:val="0"/>
        <w:spacing w:after="0" w:line="480" w:lineRule="auto"/>
        <w:ind w:firstLine="720"/>
        <w:jc w:val="both"/>
        <w:rPr>
          <w:rFonts w:asciiTheme="majorBidi" w:hAnsiTheme="majorBidi" w:cstheme="majorBidi"/>
          <w:sz w:val="24"/>
          <w:szCs w:val="24"/>
        </w:rPr>
      </w:pPr>
    </w:p>
    <w:p w14:paraId="32C144E7" w14:textId="77777777" w:rsidR="006605E7" w:rsidRDefault="006605E7" w:rsidP="006605E7">
      <w:pPr>
        <w:adjustRightInd w:val="0"/>
        <w:spacing w:after="0" w:line="480" w:lineRule="auto"/>
        <w:jc w:val="both"/>
        <w:rPr>
          <w:rFonts w:asciiTheme="majorBidi" w:hAnsiTheme="majorBidi" w:cstheme="majorBidi"/>
          <w:sz w:val="24"/>
          <w:szCs w:val="24"/>
        </w:rPr>
      </w:pPr>
    </w:p>
    <w:p w14:paraId="52BF7457" w14:textId="77777777" w:rsidR="005F35ED" w:rsidRDefault="005F35ED">
      <w:pPr>
        <w:rPr>
          <w:rFonts w:asciiTheme="majorBidi" w:hAnsiTheme="majorBidi" w:cstheme="majorBidi"/>
          <w:b/>
          <w:bCs/>
          <w:sz w:val="24"/>
          <w:szCs w:val="24"/>
        </w:rPr>
      </w:pPr>
      <w:bookmarkStart w:id="153" w:name="_Hlk126500640"/>
      <w:r>
        <w:rPr>
          <w:rFonts w:asciiTheme="majorBidi" w:hAnsiTheme="majorBidi" w:cstheme="majorBidi"/>
          <w:b/>
          <w:bCs/>
          <w:sz w:val="24"/>
          <w:szCs w:val="24"/>
        </w:rPr>
        <w:br w:type="page"/>
      </w:r>
    </w:p>
    <w:p w14:paraId="126D2B17" w14:textId="4759953F" w:rsidR="00891F01" w:rsidRDefault="00D65FF6" w:rsidP="00D65FF6">
      <w:pPr>
        <w:tabs>
          <w:tab w:val="left" w:pos="1530"/>
        </w:tabs>
        <w:spacing w:line="360" w:lineRule="auto"/>
        <w:contextualSpacing/>
        <w:jc w:val="center"/>
        <w:rPr>
          <w:rFonts w:asciiTheme="majorBidi" w:hAnsiTheme="majorBidi" w:cstheme="majorBidi"/>
          <w:b/>
          <w:bCs/>
          <w:sz w:val="24"/>
          <w:szCs w:val="24"/>
        </w:rPr>
      </w:pPr>
      <w:r w:rsidRPr="008D75D3">
        <w:rPr>
          <w:rFonts w:asciiTheme="majorBidi" w:hAnsiTheme="majorBidi" w:cstheme="majorBidi"/>
          <w:b/>
          <w:bCs/>
          <w:sz w:val="24"/>
          <w:szCs w:val="24"/>
        </w:rPr>
        <w:t xml:space="preserve">Chapter 6 </w:t>
      </w:r>
    </w:p>
    <w:p w14:paraId="7B468527" w14:textId="3AB0244B" w:rsidR="00D65FF6" w:rsidRPr="008D75D3" w:rsidRDefault="00D65FF6" w:rsidP="00D65FF6">
      <w:pPr>
        <w:tabs>
          <w:tab w:val="left" w:pos="1530"/>
        </w:tabs>
        <w:spacing w:line="360" w:lineRule="auto"/>
        <w:contextualSpacing/>
        <w:jc w:val="center"/>
        <w:rPr>
          <w:rFonts w:asciiTheme="majorBidi" w:hAnsiTheme="majorBidi" w:cstheme="majorBidi"/>
          <w:b/>
          <w:bCs/>
          <w:sz w:val="24"/>
          <w:szCs w:val="24"/>
        </w:rPr>
      </w:pPr>
      <w:r w:rsidRPr="008D75D3">
        <w:rPr>
          <w:rFonts w:asciiTheme="majorBidi" w:hAnsiTheme="majorBidi" w:cstheme="majorBidi"/>
          <w:b/>
          <w:bCs/>
          <w:sz w:val="24"/>
          <w:szCs w:val="24"/>
        </w:rPr>
        <w:t xml:space="preserve">Results – Study </w:t>
      </w:r>
      <w:r w:rsidR="007E57A4">
        <w:rPr>
          <w:rFonts w:asciiTheme="majorBidi" w:hAnsiTheme="majorBidi" w:cstheme="majorBidi"/>
          <w:b/>
          <w:bCs/>
          <w:sz w:val="24"/>
          <w:szCs w:val="24"/>
        </w:rPr>
        <w:t>One</w:t>
      </w:r>
    </w:p>
    <w:p w14:paraId="5B6F2D44" w14:textId="158A6133" w:rsidR="00D65FF6" w:rsidRPr="008D75D3" w:rsidRDefault="00D65FF6" w:rsidP="00D65FF6">
      <w:pPr>
        <w:spacing w:line="360" w:lineRule="auto"/>
        <w:rPr>
          <w:rFonts w:asciiTheme="majorBidi" w:hAnsiTheme="majorBidi" w:cstheme="majorBidi"/>
          <w:b/>
          <w:bCs/>
          <w:sz w:val="24"/>
          <w:szCs w:val="24"/>
        </w:rPr>
      </w:pPr>
      <w:r w:rsidRPr="008D75D3">
        <w:rPr>
          <w:rFonts w:asciiTheme="majorBidi" w:hAnsiTheme="majorBidi" w:cstheme="majorBidi"/>
          <w:b/>
          <w:bCs/>
          <w:sz w:val="24"/>
          <w:szCs w:val="24"/>
        </w:rPr>
        <w:t>6</w:t>
      </w:r>
      <w:r w:rsidR="00891F01">
        <w:rPr>
          <w:rFonts w:asciiTheme="majorBidi" w:hAnsiTheme="majorBidi" w:cstheme="majorBidi"/>
          <w:b/>
          <w:bCs/>
          <w:sz w:val="24"/>
          <w:szCs w:val="24"/>
        </w:rPr>
        <w:t>.0</w:t>
      </w:r>
      <w:r w:rsidRPr="008D75D3">
        <w:rPr>
          <w:rFonts w:asciiTheme="majorBidi" w:hAnsiTheme="majorBidi" w:cstheme="majorBidi"/>
          <w:b/>
          <w:bCs/>
          <w:sz w:val="24"/>
          <w:szCs w:val="24"/>
        </w:rPr>
        <w:t xml:space="preserve"> Introduction</w:t>
      </w:r>
    </w:p>
    <w:p w14:paraId="536AED42" w14:textId="77777777" w:rsidR="000D7237" w:rsidRDefault="00D65FF6" w:rsidP="000D7237">
      <w:pPr>
        <w:spacing w:line="480" w:lineRule="auto"/>
        <w:ind w:firstLine="720"/>
        <w:contextualSpacing/>
        <w:jc w:val="both"/>
        <w:rPr>
          <w:rFonts w:asciiTheme="majorBidi" w:hAnsiTheme="majorBidi" w:cstheme="majorBidi"/>
          <w:sz w:val="24"/>
          <w:szCs w:val="24"/>
        </w:rPr>
      </w:pPr>
      <w:r w:rsidRPr="008D75D3">
        <w:rPr>
          <w:rFonts w:asciiTheme="majorBidi" w:hAnsiTheme="majorBidi" w:cstheme="majorBidi"/>
          <w:sz w:val="24"/>
          <w:szCs w:val="24"/>
        </w:rPr>
        <w:t xml:space="preserve">This chapter </w:t>
      </w:r>
      <w:r>
        <w:rPr>
          <w:rFonts w:asciiTheme="majorBidi" w:hAnsiTheme="majorBidi" w:cstheme="majorBidi"/>
          <w:sz w:val="24"/>
          <w:szCs w:val="24"/>
        </w:rPr>
        <w:t xml:space="preserve">presents an analysis of the data from </w:t>
      </w:r>
      <w:r w:rsidR="005F0D2D">
        <w:rPr>
          <w:rFonts w:asciiTheme="majorBidi" w:hAnsiTheme="majorBidi" w:cstheme="majorBidi"/>
          <w:sz w:val="24"/>
          <w:szCs w:val="24"/>
        </w:rPr>
        <w:t>s</w:t>
      </w:r>
      <w:r>
        <w:rPr>
          <w:rFonts w:asciiTheme="majorBidi" w:hAnsiTheme="majorBidi" w:cstheme="majorBidi"/>
          <w:sz w:val="24"/>
          <w:szCs w:val="24"/>
        </w:rPr>
        <w:t xml:space="preserve">tudy one which focused on </w:t>
      </w:r>
      <w:r w:rsidRPr="008D75D3">
        <w:rPr>
          <w:rFonts w:asciiTheme="majorBidi" w:hAnsiTheme="majorBidi" w:cstheme="majorBidi"/>
          <w:sz w:val="24"/>
          <w:szCs w:val="24"/>
        </w:rPr>
        <w:t xml:space="preserve">examining the </w:t>
      </w:r>
      <w:r>
        <w:rPr>
          <w:rFonts w:asciiTheme="majorBidi" w:hAnsiTheme="majorBidi" w:cstheme="majorBidi"/>
          <w:sz w:val="24"/>
          <w:szCs w:val="24"/>
        </w:rPr>
        <w:t xml:space="preserve">effectiveness of </w:t>
      </w:r>
      <w:r w:rsidRPr="008D75D3">
        <w:rPr>
          <w:rFonts w:asciiTheme="majorBidi" w:hAnsiTheme="majorBidi" w:cstheme="majorBidi"/>
          <w:sz w:val="24"/>
          <w:szCs w:val="24"/>
        </w:rPr>
        <w:t>CSR and non-CSR communication on television and social media</w:t>
      </w:r>
      <w:r>
        <w:rPr>
          <w:rFonts w:asciiTheme="majorBidi" w:hAnsiTheme="majorBidi" w:cstheme="majorBidi"/>
          <w:sz w:val="24"/>
          <w:szCs w:val="24"/>
        </w:rPr>
        <w:t xml:space="preserve"> using 2x2 survey experiments. </w:t>
      </w:r>
      <w:r w:rsidRPr="008D75D3">
        <w:rPr>
          <w:rFonts w:asciiTheme="majorBidi" w:hAnsiTheme="majorBidi" w:cstheme="majorBidi"/>
          <w:noProof/>
          <w:sz w:val="24"/>
          <w:szCs w:val="24"/>
        </w:rPr>
        <w:t xml:space="preserve">The research findings will be discussed by providing a descriptive analysis with a full illustration of all variables used in the study </w:t>
      </w:r>
      <w:r>
        <w:rPr>
          <w:rFonts w:asciiTheme="majorBidi" w:hAnsiTheme="majorBidi" w:cstheme="majorBidi"/>
          <w:noProof/>
          <w:sz w:val="24"/>
          <w:szCs w:val="24"/>
        </w:rPr>
        <w:t>followed by</w:t>
      </w:r>
      <w:r w:rsidRPr="008D75D3">
        <w:rPr>
          <w:rFonts w:asciiTheme="majorBidi" w:hAnsiTheme="majorBidi" w:cstheme="majorBidi"/>
          <w:noProof/>
          <w:sz w:val="24"/>
          <w:szCs w:val="24"/>
        </w:rPr>
        <w:t xml:space="preserve"> inferential analysis using different statistical approaches to test the hypotheses.</w:t>
      </w:r>
      <w:r w:rsidRPr="008D75D3">
        <w:rPr>
          <w:rFonts w:asciiTheme="majorBidi" w:hAnsiTheme="majorBidi" w:cstheme="majorBidi"/>
          <w:sz w:val="24"/>
          <w:szCs w:val="24"/>
        </w:rPr>
        <w:t xml:space="preserve"> </w:t>
      </w:r>
    </w:p>
    <w:p w14:paraId="50D88DA6" w14:textId="133E2DAC" w:rsidR="00D65FF6" w:rsidRPr="000D7237" w:rsidRDefault="00891F01" w:rsidP="000D7237">
      <w:pPr>
        <w:spacing w:line="360" w:lineRule="auto"/>
        <w:rPr>
          <w:rFonts w:asciiTheme="majorBidi" w:hAnsiTheme="majorBidi" w:cstheme="majorBidi"/>
          <w:b/>
          <w:bCs/>
          <w:sz w:val="24"/>
          <w:szCs w:val="24"/>
        </w:rPr>
      </w:pPr>
      <w:r w:rsidRPr="00C0315E">
        <w:rPr>
          <w:rFonts w:asciiTheme="majorBidi" w:hAnsiTheme="majorBidi" w:cstheme="majorBidi"/>
          <w:b/>
          <w:bCs/>
          <w:sz w:val="24"/>
          <w:szCs w:val="24"/>
        </w:rPr>
        <w:t xml:space="preserve">6.1 </w:t>
      </w:r>
      <w:r w:rsidR="00D65FF6" w:rsidRPr="00C0315E">
        <w:rPr>
          <w:rFonts w:asciiTheme="majorBidi" w:hAnsiTheme="majorBidi" w:cstheme="majorBidi"/>
          <w:b/>
          <w:bCs/>
          <w:sz w:val="24"/>
          <w:szCs w:val="24"/>
        </w:rPr>
        <w:t>Research</w:t>
      </w:r>
      <w:r w:rsidR="00D65FF6" w:rsidRPr="009F6991">
        <w:rPr>
          <w:rFonts w:asciiTheme="majorBidi" w:hAnsiTheme="majorBidi" w:cstheme="majorBidi"/>
          <w:b/>
          <w:bCs/>
          <w:sz w:val="24"/>
          <w:szCs w:val="24"/>
        </w:rPr>
        <w:t xml:space="preserve"> questions and hypotheses </w:t>
      </w:r>
    </w:p>
    <w:p w14:paraId="1EBEF6E4" w14:textId="77777777" w:rsidR="00D65FF6" w:rsidRPr="00002386" w:rsidRDefault="00D65FF6" w:rsidP="00D65FF6">
      <w:pPr>
        <w:pStyle w:val="ListParagraph"/>
        <w:spacing w:line="360" w:lineRule="auto"/>
        <w:ind w:left="360"/>
        <w:rPr>
          <w:rFonts w:asciiTheme="majorBidi" w:hAnsiTheme="majorBidi" w:cstheme="majorBidi"/>
          <w:sz w:val="24"/>
          <w:szCs w:val="24"/>
        </w:rPr>
      </w:pPr>
      <w:r w:rsidRPr="00002386">
        <w:rPr>
          <w:rFonts w:asciiTheme="majorBidi" w:hAnsiTheme="majorBidi" w:cstheme="majorBidi"/>
          <w:sz w:val="24"/>
          <w:szCs w:val="24"/>
        </w:rPr>
        <w:t xml:space="preserve">For convenience, the research questions and hypotheses are re-stated below. </w:t>
      </w:r>
    </w:p>
    <w:p w14:paraId="78558C27" w14:textId="77777777" w:rsidR="001F075B" w:rsidRDefault="001F075B" w:rsidP="00D65FF6">
      <w:pPr>
        <w:pStyle w:val="NormalWeb"/>
        <w:spacing w:before="67" w:beforeAutospacing="0" w:after="120" w:afterAutospacing="0" w:line="480" w:lineRule="auto"/>
        <w:rPr>
          <w:rFonts w:asciiTheme="majorBidi" w:hAnsiTheme="majorBidi" w:cstheme="majorBidi"/>
        </w:rPr>
      </w:pPr>
      <w:bookmarkStart w:id="154" w:name="_Hlk142233872"/>
      <w:r w:rsidRPr="00002386">
        <w:rPr>
          <w:rFonts w:asciiTheme="majorBidi" w:hAnsiTheme="majorBidi" w:cstheme="majorBidi"/>
        </w:rPr>
        <w:t xml:space="preserve">RQ1: What is the effect of CSR communication on Egyptian consumers of FMCG and how does this affect their attitudes </w:t>
      </w:r>
      <w:r>
        <w:rPr>
          <w:rFonts w:asciiTheme="majorBidi" w:hAnsiTheme="majorBidi" w:cstheme="majorBidi"/>
        </w:rPr>
        <w:t xml:space="preserve">and purchase intentions </w:t>
      </w:r>
      <w:r w:rsidRPr="00002386">
        <w:rPr>
          <w:rFonts w:asciiTheme="majorBidi" w:hAnsiTheme="majorBidi" w:cstheme="majorBidi"/>
        </w:rPr>
        <w:t>towards the brand?</w:t>
      </w:r>
    </w:p>
    <w:p w14:paraId="4896C35B" w14:textId="6CEDC2C2" w:rsidR="00D65FF6" w:rsidRPr="00002386" w:rsidRDefault="00D65FF6" w:rsidP="00D65FF6">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H1: CSR communication has a positive effect on (a) brand likeability and (b) ad likeability on consumers in Egypt more than non-CSR communication.</w:t>
      </w:r>
    </w:p>
    <w:p w14:paraId="5AD14B94" w14:textId="252FACBE" w:rsidR="00D65FF6" w:rsidRPr="00002386" w:rsidRDefault="00D65FF6" w:rsidP="00D65FF6">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 xml:space="preserve">H2: </w:t>
      </w:r>
      <w:r w:rsidR="00B7024D" w:rsidRPr="006C4D9D">
        <w:rPr>
          <w:rFonts w:asciiTheme="majorBidi" w:eastAsia="Arial" w:hAnsiTheme="majorBidi" w:cstheme="majorBidi"/>
        </w:rPr>
        <w:t>CSR communication has</w:t>
      </w:r>
      <w:r w:rsidR="00B7024D">
        <w:rPr>
          <w:rFonts w:asciiTheme="majorBidi" w:eastAsia="Arial" w:hAnsiTheme="majorBidi" w:cstheme="majorBidi"/>
        </w:rPr>
        <w:t xml:space="preserve"> a </w:t>
      </w:r>
      <w:r w:rsidR="00B7024D" w:rsidRPr="006C4D9D">
        <w:rPr>
          <w:rFonts w:asciiTheme="majorBidi" w:eastAsia="Arial" w:hAnsiTheme="majorBidi" w:cstheme="majorBidi"/>
        </w:rPr>
        <w:t>positive effect on</w:t>
      </w:r>
      <w:r w:rsidR="00B7024D">
        <w:rPr>
          <w:rFonts w:asciiTheme="majorBidi" w:eastAsia="Arial" w:hAnsiTheme="majorBidi" w:cstheme="majorBidi"/>
        </w:rPr>
        <w:t xml:space="preserve"> the</w:t>
      </w:r>
      <w:r w:rsidR="00B7024D" w:rsidRPr="006C4D9D">
        <w:rPr>
          <w:rFonts w:asciiTheme="majorBidi" w:eastAsia="Arial" w:hAnsiTheme="majorBidi" w:cstheme="majorBidi"/>
        </w:rPr>
        <w:t xml:space="preserve"> brand trust of consumers in Egypt more than non-CSR communication.</w:t>
      </w:r>
    </w:p>
    <w:p w14:paraId="2A4D5E95" w14:textId="3AD18FB9" w:rsidR="00D65FF6" w:rsidRPr="00002386" w:rsidRDefault="00D65FF6" w:rsidP="00D65FF6">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 xml:space="preserve">H3: CSR communication </w:t>
      </w:r>
      <w:r w:rsidR="00002386" w:rsidRPr="00002386">
        <w:rPr>
          <w:rFonts w:asciiTheme="majorBidi" w:eastAsia="Arial" w:hAnsiTheme="majorBidi" w:cstheme="majorBidi"/>
        </w:rPr>
        <w:t>has</w:t>
      </w:r>
      <w:r w:rsidRPr="00002386">
        <w:rPr>
          <w:rFonts w:asciiTheme="majorBidi" w:eastAsia="Arial" w:hAnsiTheme="majorBidi" w:cstheme="majorBidi"/>
        </w:rPr>
        <w:t xml:space="preserve"> a positive effect on</w:t>
      </w:r>
      <w:r w:rsidR="00D012B7">
        <w:rPr>
          <w:rFonts w:asciiTheme="majorBidi" w:eastAsia="Arial" w:hAnsiTheme="majorBidi" w:cstheme="majorBidi"/>
        </w:rPr>
        <w:t xml:space="preserve"> the</w:t>
      </w:r>
      <w:r w:rsidRPr="00002386">
        <w:rPr>
          <w:rFonts w:asciiTheme="majorBidi" w:eastAsia="Arial" w:hAnsiTheme="majorBidi" w:cstheme="majorBidi"/>
        </w:rPr>
        <w:t xml:space="preserve"> perceived brand functionality of consumers in Egypt more than non-CSR communication.</w:t>
      </w:r>
    </w:p>
    <w:p w14:paraId="75325098" w14:textId="7F7B0C8A" w:rsidR="00D65FF6" w:rsidRPr="00002386" w:rsidRDefault="00D65FF6" w:rsidP="00D65FF6">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 xml:space="preserve">H4: </w:t>
      </w:r>
      <w:r w:rsidR="00B7024D" w:rsidRPr="006C4D9D">
        <w:rPr>
          <w:rFonts w:asciiTheme="majorBidi" w:eastAsia="Arial" w:hAnsiTheme="majorBidi" w:cstheme="majorBidi"/>
        </w:rPr>
        <w:t xml:space="preserve">CSR communication has </w:t>
      </w:r>
      <w:r w:rsidR="00B7024D">
        <w:rPr>
          <w:rFonts w:asciiTheme="majorBidi" w:eastAsia="Arial" w:hAnsiTheme="majorBidi" w:cstheme="majorBidi"/>
        </w:rPr>
        <w:t xml:space="preserve">a </w:t>
      </w:r>
      <w:r w:rsidR="00B7024D" w:rsidRPr="006C4D9D">
        <w:rPr>
          <w:rFonts w:asciiTheme="majorBidi" w:eastAsia="Arial" w:hAnsiTheme="majorBidi" w:cstheme="majorBidi"/>
        </w:rPr>
        <w:t xml:space="preserve">positive effect on the emotional brand attachment of consumers in Egypt more than non-CSR communication.  </w:t>
      </w:r>
    </w:p>
    <w:p w14:paraId="264AC896" w14:textId="77777777" w:rsidR="00D65FF6" w:rsidRPr="00002386" w:rsidRDefault="00D65FF6" w:rsidP="00D65FF6">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 xml:space="preserve">H5: Emotional brand attachment has a stronger influence on purchase intention than brand functionality. </w:t>
      </w:r>
    </w:p>
    <w:p w14:paraId="1DFDF597" w14:textId="0A702807" w:rsidR="00D65FF6" w:rsidRPr="00002386" w:rsidRDefault="00D65FF6" w:rsidP="00D65FF6">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 xml:space="preserve">H6: CSR communication </w:t>
      </w:r>
      <w:r w:rsidR="00002386" w:rsidRPr="00002386">
        <w:rPr>
          <w:rFonts w:asciiTheme="majorBidi" w:eastAsia="Arial" w:hAnsiTheme="majorBidi" w:cstheme="majorBidi"/>
        </w:rPr>
        <w:t>has</w:t>
      </w:r>
      <w:r w:rsidRPr="00002386">
        <w:rPr>
          <w:rFonts w:asciiTheme="majorBidi" w:eastAsia="Arial" w:hAnsiTheme="majorBidi" w:cstheme="majorBidi"/>
        </w:rPr>
        <w:t xml:space="preserve"> a positive effect on purchase intentions of consumers in Egypt more than non-CSR communication.</w:t>
      </w:r>
    </w:p>
    <w:p w14:paraId="105A5097" w14:textId="45B8D51F" w:rsidR="008852DD" w:rsidRPr="00002386" w:rsidRDefault="008852DD" w:rsidP="008852DD">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 xml:space="preserve">RQ2: Does the impact of CSR on Egyptian consumers of FMCG differ between different media </w:t>
      </w:r>
      <w:r w:rsidR="001F075B">
        <w:rPr>
          <w:rFonts w:asciiTheme="majorBidi" w:eastAsia="Arial" w:hAnsiTheme="majorBidi" w:cstheme="majorBidi"/>
        </w:rPr>
        <w:t>vehicles</w:t>
      </w:r>
      <w:r w:rsidRPr="00002386">
        <w:rPr>
          <w:rFonts w:asciiTheme="majorBidi" w:eastAsia="Arial" w:hAnsiTheme="majorBidi" w:cstheme="majorBidi"/>
        </w:rPr>
        <w:t>?</w:t>
      </w:r>
    </w:p>
    <w:p w14:paraId="26805F03" w14:textId="5DC0EFBA" w:rsidR="00D65FF6" w:rsidRPr="00002386" w:rsidRDefault="00D65FF6" w:rsidP="008852DD">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H7: Social media has a stronger impact on consumers’ attitudes towards CSR communication</w:t>
      </w:r>
      <w:r w:rsidR="004E2548">
        <w:rPr>
          <w:rFonts w:asciiTheme="majorBidi" w:eastAsia="Arial" w:hAnsiTheme="majorBidi" w:cstheme="majorBidi"/>
        </w:rPr>
        <w:t xml:space="preserve"> than television</w:t>
      </w:r>
      <w:r w:rsidRPr="00002386">
        <w:rPr>
          <w:rFonts w:asciiTheme="majorBidi" w:eastAsia="Arial" w:hAnsiTheme="majorBidi" w:cstheme="majorBidi"/>
        </w:rPr>
        <w:t>.</w:t>
      </w:r>
    </w:p>
    <w:p w14:paraId="25C9CBE2" w14:textId="2A8A517D" w:rsidR="00D65FF6" w:rsidRPr="00002386" w:rsidRDefault="00D65FF6" w:rsidP="008852DD">
      <w:pPr>
        <w:pStyle w:val="NormalWeb"/>
        <w:spacing w:before="67" w:beforeAutospacing="0" w:after="120" w:afterAutospacing="0" w:line="480" w:lineRule="auto"/>
        <w:rPr>
          <w:rFonts w:asciiTheme="majorBidi" w:eastAsia="Arial" w:hAnsiTheme="majorBidi" w:cstheme="majorBidi"/>
        </w:rPr>
      </w:pPr>
      <w:r w:rsidRPr="00002386">
        <w:rPr>
          <w:rFonts w:asciiTheme="majorBidi" w:eastAsia="Arial" w:hAnsiTheme="majorBidi" w:cstheme="majorBidi"/>
        </w:rPr>
        <w:t>H8: Ad likeability, emotional brand attachment, brand likeability, brand trust</w:t>
      </w:r>
      <w:r w:rsidRPr="00002386">
        <w:rPr>
          <w:rFonts w:asciiTheme="majorBidi" w:hAnsiTheme="majorBidi" w:cstheme="majorBidi"/>
          <w:color w:val="2E2E2E"/>
        </w:rPr>
        <w:t xml:space="preserve"> and perceived brand functionality ha</w:t>
      </w:r>
      <w:r w:rsidR="004E2548">
        <w:rPr>
          <w:rFonts w:asciiTheme="majorBidi" w:hAnsiTheme="majorBidi" w:cstheme="majorBidi"/>
          <w:color w:val="2E2E2E"/>
        </w:rPr>
        <w:t>ve</w:t>
      </w:r>
      <w:r w:rsidRPr="00002386">
        <w:rPr>
          <w:rFonts w:asciiTheme="majorBidi" w:hAnsiTheme="majorBidi" w:cstheme="majorBidi"/>
          <w:color w:val="2E2E2E"/>
        </w:rPr>
        <w:t xml:space="preserve"> a positive impact on purchase intention of Egyptian consumers.</w:t>
      </w:r>
    </w:p>
    <w:p w14:paraId="499F761E" w14:textId="77777777" w:rsidR="00D65FF6" w:rsidRPr="00002386" w:rsidRDefault="00D65FF6" w:rsidP="00D65FF6">
      <w:pPr>
        <w:pStyle w:val="NormalWeb"/>
        <w:spacing w:before="67" w:beforeAutospacing="0" w:after="0" w:afterAutospacing="0" w:line="480" w:lineRule="auto"/>
        <w:rPr>
          <w:rFonts w:asciiTheme="majorBidi" w:hAnsiTheme="majorBidi" w:cstheme="majorBidi"/>
        </w:rPr>
      </w:pPr>
      <w:bookmarkStart w:id="155" w:name="_Hlk142239248"/>
      <w:bookmarkEnd w:id="154"/>
      <w:r w:rsidRPr="00002386">
        <w:rPr>
          <w:rFonts w:asciiTheme="majorBidi" w:hAnsiTheme="majorBidi" w:cstheme="majorBidi"/>
        </w:rPr>
        <w:t xml:space="preserve">H9: CSR communication in Egypt has a positive halo effect on the consumers’ purchase intention. </w:t>
      </w:r>
    </w:p>
    <w:p w14:paraId="05832EA6" w14:textId="7B8B65FE" w:rsidR="00D65FF6" w:rsidRPr="00002386" w:rsidRDefault="00D65FF6" w:rsidP="00D65FF6">
      <w:pPr>
        <w:pStyle w:val="NormalWeb"/>
        <w:spacing w:before="67" w:beforeAutospacing="0" w:after="120" w:afterAutospacing="0" w:line="480" w:lineRule="auto"/>
        <w:rPr>
          <w:rFonts w:asciiTheme="majorBidi" w:hAnsiTheme="majorBidi" w:cstheme="majorBidi"/>
        </w:rPr>
      </w:pPr>
      <w:r w:rsidRPr="00002386">
        <w:rPr>
          <w:rFonts w:asciiTheme="majorBidi" w:eastAsia="Arial" w:hAnsiTheme="majorBidi" w:cstheme="majorBidi"/>
        </w:rPr>
        <w:t xml:space="preserve">H10: </w:t>
      </w:r>
      <w:r w:rsidRPr="00002386">
        <w:rPr>
          <w:rFonts w:asciiTheme="majorBidi" w:hAnsiTheme="majorBidi" w:cstheme="majorBidi"/>
        </w:rPr>
        <w:t>Social media communication in Egypt has a positive halo effect on consumers’ purchase intention.</w:t>
      </w:r>
    </w:p>
    <w:p w14:paraId="14A1504D" w14:textId="77777777" w:rsidR="00D65FF6" w:rsidRDefault="00D65FF6" w:rsidP="00742165">
      <w:pPr>
        <w:pStyle w:val="NormalWeb"/>
        <w:spacing w:before="0" w:beforeAutospacing="0" w:after="0" w:afterAutospacing="0" w:line="480" w:lineRule="auto"/>
        <w:rPr>
          <w:rFonts w:asciiTheme="majorBidi" w:hAnsiTheme="majorBidi" w:cstheme="majorBidi"/>
        </w:rPr>
      </w:pPr>
      <w:r>
        <w:rPr>
          <w:rFonts w:asciiTheme="majorBidi" w:hAnsiTheme="majorBidi" w:cstheme="majorBidi"/>
        </w:rPr>
        <w:t xml:space="preserve">H11:  Individuals with high CSR perception in Egypt will possess positive brand attitudes towards the brand launching CSR communication. </w:t>
      </w:r>
    </w:p>
    <w:bookmarkEnd w:id="155"/>
    <w:p w14:paraId="5FDF0EAF" w14:textId="4C09DF7E" w:rsidR="001110ED" w:rsidRPr="00DD25DB" w:rsidRDefault="00D65FF6" w:rsidP="00DD25DB">
      <w:pPr>
        <w:pStyle w:val="NormalWeb"/>
        <w:spacing w:before="0" w:beforeAutospacing="0" w:after="0" w:afterAutospacing="0" w:line="480" w:lineRule="auto"/>
        <w:rPr>
          <w:rFonts w:asciiTheme="majorBidi" w:hAnsiTheme="majorBidi" w:cstheme="majorBidi"/>
        </w:rPr>
      </w:pPr>
      <w:r>
        <w:rPr>
          <w:rFonts w:asciiTheme="majorBidi" w:hAnsiTheme="majorBidi" w:cstheme="majorBidi"/>
        </w:rPr>
        <w:tab/>
        <w:t xml:space="preserve">The below figure outlines the </w:t>
      </w:r>
      <w:r w:rsidR="00D419FC">
        <w:rPr>
          <w:rFonts w:asciiTheme="majorBidi" w:hAnsiTheme="majorBidi" w:cstheme="majorBidi"/>
        </w:rPr>
        <w:t>conceptual</w:t>
      </w:r>
      <w:r>
        <w:rPr>
          <w:rFonts w:asciiTheme="majorBidi" w:hAnsiTheme="majorBidi" w:cstheme="majorBidi"/>
        </w:rPr>
        <w:t xml:space="preserve"> </w:t>
      </w:r>
      <w:r w:rsidR="00D419FC">
        <w:rPr>
          <w:rFonts w:asciiTheme="majorBidi" w:hAnsiTheme="majorBidi" w:cstheme="majorBidi"/>
        </w:rPr>
        <w:t>framework</w:t>
      </w:r>
      <w:r>
        <w:rPr>
          <w:rFonts w:asciiTheme="majorBidi" w:hAnsiTheme="majorBidi" w:cstheme="majorBidi"/>
        </w:rPr>
        <w:t xml:space="preserve"> applied for study one which shows </w:t>
      </w:r>
      <w:r w:rsidR="008852DD">
        <w:rPr>
          <w:rFonts w:asciiTheme="majorBidi" w:hAnsiTheme="majorBidi" w:cstheme="majorBidi"/>
        </w:rPr>
        <w:t>all groups</w:t>
      </w:r>
      <w:r>
        <w:rPr>
          <w:rFonts w:asciiTheme="majorBidi" w:hAnsiTheme="majorBidi" w:cstheme="majorBidi"/>
        </w:rPr>
        <w:t xml:space="preserve"> for the two different communication strategies examined in this study (CSR and non-CSR) and the two media channels (</w:t>
      </w:r>
      <w:r w:rsidR="00935FBD">
        <w:rPr>
          <w:rFonts w:asciiTheme="majorBidi" w:hAnsiTheme="majorBidi" w:cstheme="majorBidi"/>
        </w:rPr>
        <w:t>t</w:t>
      </w:r>
      <w:r>
        <w:rPr>
          <w:rFonts w:asciiTheme="majorBidi" w:hAnsiTheme="majorBidi" w:cstheme="majorBidi"/>
        </w:rPr>
        <w:t xml:space="preserve">elevision and social media). Also, the figure presents the independent variables, the mediators and </w:t>
      </w:r>
      <w:r w:rsidRPr="004C47AE">
        <w:rPr>
          <w:rFonts w:asciiTheme="majorBidi" w:hAnsiTheme="majorBidi" w:cstheme="majorBidi"/>
        </w:rPr>
        <w:t>moderators</w:t>
      </w:r>
      <w:r>
        <w:rPr>
          <w:rFonts w:asciiTheme="majorBidi" w:hAnsiTheme="majorBidi" w:cstheme="majorBidi"/>
        </w:rPr>
        <w:t xml:space="preserve">, as well as the outcome. </w:t>
      </w:r>
    </w:p>
    <w:p w14:paraId="6025F383" w14:textId="77777777" w:rsidR="00DD25DB" w:rsidRDefault="001110ED" w:rsidP="00DD25DB">
      <w:pPr>
        <w:pStyle w:val="NormalWeb"/>
        <w:keepNext/>
        <w:spacing w:before="67" w:beforeAutospacing="0" w:after="120" w:afterAutospacing="0"/>
      </w:pPr>
      <w:r>
        <w:rPr>
          <w:noProof/>
        </w:rPr>
        <w:drawing>
          <wp:inline distT="0" distB="0" distL="0" distR="0" wp14:anchorId="4F7BE1A3" wp14:editId="23B28456">
            <wp:extent cx="3756134" cy="3145231"/>
            <wp:effectExtent l="0" t="0" r="0" b="0"/>
            <wp:docPr id="794464359"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64359" name="Picture 1" descr="A diagram of a diagram&#10;&#10;Description automatically generated"/>
                    <pic:cNvPicPr/>
                  </pic:nvPicPr>
                  <pic:blipFill>
                    <a:blip r:embed="rId38"/>
                    <a:stretch>
                      <a:fillRect/>
                    </a:stretch>
                  </pic:blipFill>
                  <pic:spPr>
                    <a:xfrm>
                      <a:off x="0" y="0"/>
                      <a:ext cx="3787258" cy="3171293"/>
                    </a:xfrm>
                    <a:prstGeom prst="rect">
                      <a:avLst/>
                    </a:prstGeom>
                  </pic:spPr>
                </pic:pic>
              </a:graphicData>
            </a:graphic>
          </wp:inline>
        </w:drawing>
      </w:r>
    </w:p>
    <w:p w14:paraId="5D02AC25" w14:textId="0E6E3258" w:rsidR="00406388" w:rsidRPr="008D75D3" w:rsidRDefault="00DD25DB" w:rsidP="000D7237">
      <w:pPr>
        <w:pStyle w:val="Caption"/>
        <w:rPr>
          <w:rFonts w:asciiTheme="majorBidi" w:eastAsia="Arial" w:hAnsiTheme="majorBidi" w:cstheme="majorBidi"/>
        </w:rPr>
      </w:pPr>
      <w:r>
        <w:t xml:space="preserve">Figure 14 Conceptual Framework </w:t>
      </w:r>
    </w:p>
    <w:p w14:paraId="7A5A3414" w14:textId="77777777" w:rsidR="00D65FF6" w:rsidRPr="00FA6F43" w:rsidRDefault="00D65FF6">
      <w:pPr>
        <w:pStyle w:val="ListParagraph"/>
        <w:numPr>
          <w:ilvl w:val="1"/>
          <w:numId w:val="14"/>
        </w:numPr>
        <w:spacing w:line="360" w:lineRule="auto"/>
        <w:rPr>
          <w:rFonts w:asciiTheme="majorBidi" w:hAnsiTheme="majorBidi" w:cstheme="majorBidi"/>
          <w:b/>
          <w:bCs/>
          <w:sz w:val="24"/>
          <w:szCs w:val="24"/>
        </w:rPr>
      </w:pPr>
      <w:r w:rsidRPr="00FA6F43">
        <w:rPr>
          <w:rFonts w:asciiTheme="majorBidi" w:hAnsiTheme="majorBidi" w:cstheme="majorBidi"/>
          <w:b/>
          <w:bCs/>
          <w:sz w:val="24"/>
          <w:szCs w:val="24"/>
        </w:rPr>
        <w:t>Sample calculation</w:t>
      </w:r>
    </w:p>
    <w:p w14:paraId="718CE005" w14:textId="77777777" w:rsidR="00D65FF6" w:rsidRPr="008D75D3" w:rsidRDefault="00D65FF6" w:rsidP="00D65FF6">
      <w:pPr>
        <w:spacing w:after="0" w:line="480" w:lineRule="auto"/>
        <w:ind w:firstLine="720"/>
        <w:jc w:val="both"/>
        <w:rPr>
          <w:rFonts w:asciiTheme="majorBidi" w:eastAsia="Times New Roman" w:hAnsiTheme="majorBidi" w:cstheme="majorBidi"/>
          <w:sz w:val="24"/>
          <w:szCs w:val="24"/>
        </w:rPr>
      </w:pPr>
      <w:r w:rsidRPr="008D75D3">
        <w:rPr>
          <w:rFonts w:asciiTheme="majorBidi" w:eastAsia="Times New Roman" w:hAnsiTheme="majorBidi" w:cstheme="majorBidi"/>
          <w:sz w:val="24"/>
          <w:szCs w:val="24"/>
        </w:rPr>
        <w:t>As suggested by multiple researchers</w:t>
      </w:r>
      <w:sdt>
        <w:sdtPr>
          <w:rPr>
            <w:rFonts w:asciiTheme="majorBidi" w:eastAsia="Times New Roman" w:hAnsiTheme="majorBidi" w:cstheme="majorBidi"/>
            <w:sz w:val="24"/>
            <w:szCs w:val="24"/>
          </w:rPr>
          <w:id w:val="-662230440"/>
          <w:citation/>
        </w:sdtPr>
        <w:sdtContent>
          <w:r w:rsidRPr="008D75D3">
            <w:rPr>
              <w:rFonts w:asciiTheme="majorBidi" w:eastAsia="Times New Roman" w:hAnsiTheme="majorBidi" w:cstheme="majorBidi"/>
              <w:sz w:val="24"/>
              <w:szCs w:val="24"/>
            </w:rPr>
            <w:fldChar w:fldCharType="begin"/>
          </w:r>
          <w:r w:rsidRPr="008D75D3">
            <w:rPr>
              <w:rFonts w:asciiTheme="majorBidi" w:eastAsia="Times New Roman" w:hAnsiTheme="majorBidi" w:cstheme="majorBidi"/>
              <w:sz w:val="24"/>
              <w:szCs w:val="24"/>
            </w:rPr>
            <w:instrText xml:space="preserve"> CITATION Nan21 \l 2057  \m Sri23</w:instrText>
          </w:r>
          <w:r w:rsidRPr="008D75D3">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 xml:space="preserve"> </w:t>
          </w:r>
          <w:r w:rsidRPr="009F6991">
            <w:rPr>
              <w:rFonts w:asciiTheme="majorBidi" w:eastAsia="Times New Roman" w:hAnsiTheme="majorBidi" w:cstheme="majorBidi"/>
              <w:noProof/>
              <w:sz w:val="24"/>
              <w:szCs w:val="24"/>
            </w:rPr>
            <w:t>(Nanjundeswaraswamy &amp; Divakar , 2021; Srivastav &amp; Vaidya, 2023)</w:t>
          </w:r>
          <w:r w:rsidRPr="008D75D3">
            <w:rPr>
              <w:rFonts w:asciiTheme="majorBidi" w:eastAsia="Times New Roman" w:hAnsiTheme="majorBidi" w:cstheme="majorBidi"/>
              <w:sz w:val="24"/>
              <w:szCs w:val="24"/>
            </w:rPr>
            <w:fldChar w:fldCharType="end"/>
          </w:r>
        </w:sdtContent>
      </w:sdt>
      <w:r w:rsidRPr="008D75D3">
        <w:rPr>
          <w:rFonts w:asciiTheme="majorBidi" w:eastAsia="Times New Roman" w:hAnsiTheme="majorBidi" w:cstheme="majorBidi"/>
          <w:sz w:val="24"/>
          <w:szCs w:val="24"/>
        </w:rPr>
        <w:t xml:space="preserve">, the appropriate sample size was calculated using the </w:t>
      </w:r>
      <w:r w:rsidRPr="00D665FE">
        <w:rPr>
          <w:rFonts w:asciiTheme="majorBidi" w:eastAsia="Times New Roman" w:hAnsiTheme="majorBidi" w:cstheme="majorBidi"/>
          <w:sz w:val="24"/>
          <w:szCs w:val="24"/>
        </w:rPr>
        <w:t>below formula.</w:t>
      </w:r>
      <w:r w:rsidRPr="008D75D3">
        <w:rPr>
          <w:rFonts w:asciiTheme="majorBidi" w:eastAsia="Times New Roman" w:hAnsiTheme="majorBidi" w:cstheme="majorBidi"/>
          <w:sz w:val="24"/>
          <w:szCs w:val="24"/>
        </w:rPr>
        <w:t xml:space="preserve"> </w:t>
      </w:r>
    </w:p>
    <w:p w14:paraId="0324128D" w14:textId="77777777" w:rsidR="00514A44" w:rsidRDefault="00000000" w:rsidP="00514A44">
      <w:pPr>
        <w:jc w:val="center"/>
        <w:rPr>
          <w:rFonts w:asciiTheme="majorBidi" w:hAnsiTheme="majorBidi" w:cstheme="majorBidi"/>
          <w:sz w:val="24"/>
          <w:szCs w:val="24"/>
        </w:rPr>
      </w:pPr>
      <m:oMathPara>
        <m:oMath>
          <m:sSub>
            <m:sSubPr>
              <m:ctrlPr>
                <w:rPr>
                  <w:rFonts w:ascii="Cambria Math" w:hAnsi="Cambria Math" w:cstheme="majorBidi"/>
                  <w:sz w:val="24"/>
                  <w:szCs w:val="24"/>
                </w:rPr>
              </m:ctrlPr>
            </m:sSubPr>
            <m:e>
              <m:r>
                <w:rPr>
                  <w:rFonts w:ascii="Cambria Math" w:hAnsi="Cambria Math" w:cstheme="majorBidi"/>
                  <w:sz w:val="24"/>
                  <w:szCs w:val="24"/>
                </w:rPr>
                <m:t>n</m:t>
              </m:r>
            </m:e>
            <m:sub>
              <m:r>
                <m:rPr>
                  <m:sty m:val="p"/>
                </m:rPr>
                <w:rPr>
                  <w:rFonts w:ascii="Cambria Math" w:hAnsi="Cambria Math" w:cstheme="majorBidi"/>
                  <w:sz w:val="24"/>
                  <w:szCs w:val="24"/>
                </w:rPr>
                <m:t>0</m:t>
              </m:r>
            </m:sub>
          </m:sSub>
          <m:r>
            <m:rPr>
              <m:sty m:val="p"/>
            </m:rPr>
            <w:rPr>
              <w:rFonts w:ascii="Cambria Math" w:hAnsi="Cambria Math" w:cstheme="majorBidi"/>
              <w:sz w:val="24"/>
              <w:szCs w:val="24"/>
            </w:rPr>
            <m:t>=</m:t>
          </m:r>
          <m:f>
            <m:fPr>
              <m:ctrlPr>
                <w:rPr>
                  <w:rFonts w:ascii="Cambria Math" w:hAnsi="Cambria Math" w:cstheme="majorBidi"/>
                  <w:sz w:val="24"/>
                  <w:szCs w:val="24"/>
                </w:rPr>
              </m:ctrlPr>
            </m:fPr>
            <m:num>
              <m:sSubSup>
                <m:sSubSupPr>
                  <m:ctrlPr>
                    <w:rPr>
                      <w:rFonts w:ascii="Cambria Math" w:hAnsi="Cambria Math" w:cstheme="majorBidi"/>
                      <w:sz w:val="24"/>
                      <w:szCs w:val="24"/>
                    </w:rPr>
                  </m:ctrlPr>
                </m:sSubSupPr>
                <m:e>
                  <m:r>
                    <w:rPr>
                      <w:rFonts w:ascii="Cambria Math" w:hAnsi="Cambria Math" w:cstheme="majorBidi"/>
                      <w:sz w:val="24"/>
                      <w:szCs w:val="24"/>
                    </w:rPr>
                    <m:t>z</m:t>
                  </m:r>
                </m:e>
                <m:sub>
                  <m:r>
                    <w:rPr>
                      <w:rFonts w:ascii="Cambria Math" w:hAnsi="Cambria Math" w:cstheme="majorBidi"/>
                      <w:sz w:val="24"/>
                      <w:szCs w:val="24"/>
                    </w:rPr>
                    <m:t>α</m:t>
                  </m:r>
                </m:sub>
                <m:sup>
                  <m:r>
                    <m:rPr>
                      <m:sty m:val="p"/>
                    </m:rPr>
                    <w:rPr>
                      <w:rFonts w:ascii="Cambria Math" w:hAnsi="Cambria Math" w:cstheme="majorBidi"/>
                      <w:sz w:val="24"/>
                      <w:szCs w:val="24"/>
                    </w:rPr>
                    <m:t>2</m:t>
                  </m:r>
                </m:sup>
              </m:sSubSup>
              <m:r>
                <m:rPr>
                  <m:sty m:val="p"/>
                </m:rPr>
                <w:rPr>
                  <w:rFonts w:ascii="Cambria Math" w:hAnsi="Cambria Math" w:cstheme="majorBidi"/>
                  <w:sz w:val="24"/>
                  <w:szCs w:val="24"/>
                </w:rPr>
                <m:t>*</m:t>
              </m:r>
              <m:r>
                <w:rPr>
                  <w:rFonts w:ascii="Cambria Math" w:hAnsi="Cambria Math" w:cstheme="majorBidi"/>
                  <w:sz w:val="24"/>
                  <w:szCs w:val="24"/>
                </w:rPr>
                <m:t>p</m:t>
              </m:r>
              <m:r>
                <m:rPr>
                  <m:sty m:val="p"/>
                </m:rPr>
                <w:rPr>
                  <w:rFonts w:ascii="Cambria Math" w:hAnsi="Cambria Math" w:cstheme="majorBidi"/>
                  <w:sz w:val="24"/>
                  <w:szCs w:val="24"/>
                </w:rPr>
                <m:t>*</m:t>
              </m:r>
              <m:d>
                <m:dPr>
                  <m:ctrlPr>
                    <w:rPr>
                      <w:rFonts w:ascii="Cambria Math" w:hAnsi="Cambria Math" w:cstheme="majorBidi"/>
                      <w:sz w:val="24"/>
                      <w:szCs w:val="24"/>
                    </w:rPr>
                  </m:ctrlPr>
                </m:dPr>
                <m:e>
                  <m:r>
                    <m:rPr>
                      <m:sty m:val="p"/>
                    </m:rPr>
                    <w:rPr>
                      <w:rFonts w:ascii="Cambria Math" w:hAnsi="Cambria Math" w:cstheme="majorBidi"/>
                      <w:sz w:val="24"/>
                      <w:szCs w:val="24"/>
                    </w:rPr>
                    <m:t>1-</m:t>
                  </m:r>
                  <m:r>
                    <w:rPr>
                      <w:rFonts w:ascii="Cambria Math" w:hAnsi="Cambria Math" w:cstheme="majorBidi"/>
                      <w:sz w:val="24"/>
                      <w:szCs w:val="24"/>
                    </w:rPr>
                    <m:t>p</m:t>
                  </m:r>
                </m:e>
              </m:d>
            </m:num>
            <m:den>
              <m:sSup>
                <m:sSupPr>
                  <m:ctrlPr>
                    <w:rPr>
                      <w:rFonts w:ascii="Cambria Math" w:hAnsi="Cambria Math" w:cstheme="majorBidi"/>
                      <w:sz w:val="24"/>
                      <w:szCs w:val="24"/>
                    </w:rPr>
                  </m:ctrlPr>
                </m:sSupPr>
                <m:e>
                  <m:r>
                    <w:rPr>
                      <w:rFonts w:ascii="Cambria Math" w:hAnsi="Cambria Math" w:cstheme="majorBidi"/>
                      <w:sz w:val="24"/>
                      <w:szCs w:val="24"/>
                    </w:rPr>
                    <m:t>e</m:t>
                  </m:r>
                </m:e>
                <m:sup>
                  <m:r>
                    <m:rPr>
                      <m:sty m:val="p"/>
                    </m:rPr>
                    <w:rPr>
                      <w:rFonts w:ascii="Cambria Math" w:hAnsi="Cambria Math" w:cstheme="majorBidi"/>
                      <w:sz w:val="24"/>
                      <w:szCs w:val="24"/>
                    </w:rPr>
                    <m:t>2</m:t>
                  </m:r>
                </m:sup>
              </m:sSup>
            </m:den>
          </m:f>
        </m:oMath>
      </m:oMathPara>
    </w:p>
    <w:p w14:paraId="3F469711" w14:textId="6AD541DF" w:rsidR="00D65FF6" w:rsidRDefault="00D65FF6" w:rsidP="00514A44">
      <w:pPr>
        <w:spacing w:line="480" w:lineRule="auto"/>
        <w:rPr>
          <w:rFonts w:asciiTheme="majorBidi" w:hAnsiTheme="majorBidi" w:cstheme="majorBidi"/>
          <w:sz w:val="24"/>
          <w:szCs w:val="24"/>
        </w:rPr>
      </w:pPr>
      <w:r w:rsidRPr="008D75D3">
        <w:rPr>
          <w:rFonts w:asciiTheme="majorBidi" w:hAnsiTheme="majorBidi" w:cstheme="majorBidi"/>
          <w:sz w:val="24"/>
          <w:szCs w:val="24"/>
        </w:rPr>
        <w:t>In the above formula, Z</w:t>
      </w:r>
      <w:r w:rsidRPr="008D75D3">
        <w:rPr>
          <w:rFonts w:asciiTheme="majorBidi" w:hAnsiTheme="majorBidi" w:cstheme="majorBidi"/>
          <w:sz w:val="24"/>
          <w:szCs w:val="24"/>
          <w:vertAlign w:val="subscript"/>
        </w:rPr>
        <w:t>α </w:t>
      </w:r>
      <w:r w:rsidRPr="008D75D3">
        <w:rPr>
          <w:rFonts w:asciiTheme="majorBidi" w:hAnsiTheme="majorBidi" w:cstheme="majorBidi"/>
          <w:sz w:val="24"/>
          <w:szCs w:val="24"/>
        </w:rPr>
        <w:t xml:space="preserve">represents the critical value of the normal distribution at α (e.g. for a confidence level of 95%, α is 0.05 and the critical value is 1.96), </w:t>
      </w:r>
      <w:r w:rsidR="00514A44">
        <w:rPr>
          <w:rFonts w:asciiTheme="majorBidi" w:hAnsiTheme="majorBidi" w:cstheme="majorBidi"/>
          <w:sz w:val="24"/>
          <w:szCs w:val="24"/>
        </w:rPr>
        <w:t>“</w:t>
      </w:r>
      <w:r w:rsidRPr="008D75D3">
        <w:rPr>
          <w:rFonts w:asciiTheme="majorBidi" w:hAnsiTheme="majorBidi" w:cstheme="majorBidi"/>
          <w:sz w:val="24"/>
          <w:szCs w:val="24"/>
        </w:rPr>
        <w:t>p</w:t>
      </w:r>
      <w:r w:rsidR="00514A44">
        <w:rPr>
          <w:rFonts w:asciiTheme="majorBidi" w:hAnsiTheme="majorBidi" w:cstheme="majorBidi"/>
          <w:sz w:val="24"/>
          <w:szCs w:val="24"/>
        </w:rPr>
        <w:t>”</w:t>
      </w:r>
      <w:r w:rsidRPr="008D75D3">
        <w:rPr>
          <w:rFonts w:asciiTheme="majorBidi" w:hAnsiTheme="majorBidi" w:cstheme="majorBidi"/>
          <w:sz w:val="24"/>
          <w:szCs w:val="24"/>
        </w:rPr>
        <w:t xml:space="preserve"> is the percentage of specific phenomena and </w:t>
      </w:r>
      <w:r w:rsidR="00514A44">
        <w:rPr>
          <w:rFonts w:asciiTheme="majorBidi" w:hAnsiTheme="majorBidi" w:cstheme="majorBidi"/>
          <w:sz w:val="24"/>
          <w:szCs w:val="24"/>
        </w:rPr>
        <w:t>is recommended to be s</w:t>
      </w:r>
      <w:r w:rsidRPr="008D75D3">
        <w:rPr>
          <w:rFonts w:asciiTheme="majorBidi" w:hAnsiTheme="majorBidi" w:cstheme="majorBidi"/>
          <w:sz w:val="24"/>
          <w:szCs w:val="24"/>
        </w:rPr>
        <w:t xml:space="preserve">et </w:t>
      </w:r>
      <w:r w:rsidR="00514A44">
        <w:rPr>
          <w:rFonts w:asciiTheme="majorBidi" w:hAnsiTheme="majorBidi" w:cstheme="majorBidi"/>
          <w:sz w:val="24"/>
          <w:szCs w:val="24"/>
        </w:rPr>
        <w:t>at</w:t>
      </w:r>
      <w:r w:rsidRPr="008D75D3">
        <w:rPr>
          <w:rFonts w:asciiTheme="majorBidi" w:hAnsiTheme="majorBidi" w:cstheme="majorBidi"/>
          <w:sz w:val="24"/>
          <w:szCs w:val="24"/>
        </w:rPr>
        <w:t xml:space="preserve"> 0.5 as it gives the highest value for sample size, </w:t>
      </w:r>
      <w:r w:rsidR="00514A44">
        <w:rPr>
          <w:rFonts w:asciiTheme="majorBidi" w:hAnsiTheme="majorBidi" w:cstheme="majorBidi"/>
          <w:sz w:val="24"/>
          <w:szCs w:val="24"/>
        </w:rPr>
        <w:t>“</w:t>
      </w:r>
      <w:r w:rsidRPr="008D75D3">
        <w:rPr>
          <w:rFonts w:asciiTheme="majorBidi" w:hAnsiTheme="majorBidi" w:cstheme="majorBidi"/>
          <w:sz w:val="24"/>
          <w:szCs w:val="24"/>
        </w:rPr>
        <w:t>e</w:t>
      </w:r>
      <w:r w:rsidR="00514A44">
        <w:rPr>
          <w:rFonts w:asciiTheme="majorBidi" w:hAnsiTheme="majorBidi" w:cstheme="majorBidi"/>
          <w:sz w:val="24"/>
          <w:szCs w:val="24"/>
        </w:rPr>
        <w:t>”</w:t>
      </w:r>
      <w:r w:rsidRPr="008D75D3">
        <w:rPr>
          <w:rFonts w:asciiTheme="majorBidi" w:hAnsiTheme="majorBidi" w:cstheme="majorBidi"/>
          <w:sz w:val="24"/>
          <w:szCs w:val="24"/>
        </w:rPr>
        <w:t xml:space="preserve"> is the margin error and set to be 0.05 ( this an acceptable margin of error for the researcher</w:t>
      </w:r>
      <w:sdt>
        <w:sdtPr>
          <w:rPr>
            <w:rFonts w:asciiTheme="majorBidi" w:hAnsiTheme="majorBidi" w:cstheme="majorBidi"/>
            <w:sz w:val="24"/>
            <w:szCs w:val="24"/>
          </w:rPr>
          <w:id w:val="1213382229"/>
          <w:citation/>
        </w:sdtPr>
        <w:sdtContent>
          <w:r w:rsidRPr="008D75D3">
            <w:rPr>
              <w:rFonts w:asciiTheme="majorBidi" w:hAnsiTheme="majorBidi" w:cstheme="majorBidi"/>
              <w:sz w:val="24"/>
              <w:szCs w:val="24"/>
            </w:rPr>
            <w:fldChar w:fldCharType="begin"/>
          </w:r>
          <w:r w:rsidRPr="008D75D3">
            <w:rPr>
              <w:rFonts w:asciiTheme="majorBidi" w:hAnsiTheme="majorBidi" w:cstheme="majorBidi"/>
              <w:sz w:val="24"/>
              <w:szCs w:val="24"/>
            </w:rPr>
            <w:instrText xml:space="preserve"> CITATION Kos18 \l 2057 </w:instrText>
          </w:r>
          <w:r w:rsidRPr="008D75D3">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(Kosar, Bohra, &amp; Mernik, 2018)</w:t>
          </w:r>
          <w:r w:rsidRPr="008D75D3">
            <w:rPr>
              <w:rFonts w:asciiTheme="majorBidi" w:hAnsiTheme="majorBidi" w:cstheme="majorBidi"/>
              <w:sz w:val="24"/>
              <w:szCs w:val="24"/>
            </w:rPr>
            <w:fldChar w:fldCharType="end"/>
          </w:r>
        </w:sdtContent>
      </w:sdt>
      <w:r w:rsidRPr="008D75D3">
        <w:rPr>
          <w:rFonts w:asciiTheme="majorBidi" w:hAnsiTheme="majorBidi" w:cstheme="majorBidi"/>
          <w:sz w:val="24"/>
          <w:szCs w:val="24"/>
        </w:rPr>
        <w:t>). Also,</w:t>
      </w:r>
      <w:r>
        <w:rPr>
          <w:rFonts w:asciiTheme="majorBidi" w:hAnsiTheme="majorBidi" w:cstheme="majorBidi"/>
          <w:sz w:val="24"/>
          <w:szCs w:val="24"/>
        </w:rPr>
        <w:t xml:space="preserve"> the</w:t>
      </w:r>
      <w:r w:rsidR="00514A44">
        <w:rPr>
          <w:rFonts w:asciiTheme="majorBidi" w:hAnsiTheme="majorBidi" w:cstheme="majorBidi"/>
          <w:sz w:val="24"/>
          <w:szCs w:val="24"/>
        </w:rPr>
        <w:t xml:space="preserve"> </w:t>
      </w:r>
      <w:r w:rsidR="00514A44" w:rsidRPr="00406388">
        <w:rPr>
          <w:rFonts w:asciiTheme="majorBidi" w:hAnsiTheme="majorBidi" w:cstheme="majorBidi"/>
          <w:sz w:val="24"/>
          <w:szCs w:val="24"/>
        </w:rPr>
        <w:t>results from the</w:t>
      </w:r>
      <w:r w:rsidRPr="00406388">
        <w:rPr>
          <w:rFonts w:asciiTheme="majorBidi" w:hAnsiTheme="majorBidi" w:cstheme="majorBidi"/>
          <w:sz w:val="24"/>
          <w:szCs w:val="24"/>
        </w:rPr>
        <w:t xml:space="preserve"> G*power</w:t>
      </w:r>
      <w:r>
        <w:rPr>
          <w:rFonts w:asciiTheme="majorBidi" w:hAnsiTheme="majorBidi" w:cstheme="majorBidi"/>
          <w:sz w:val="24"/>
          <w:szCs w:val="24"/>
        </w:rPr>
        <w:t xml:space="preserve">, which is a </w:t>
      </w:r>
      <w:r w:rsidRPr="00912657">
        <w:rPr>
          <w:rFonts w:asciiTheme="majorBidi" w:hAnsiTheme="majorBidi" w:cstheme="majorBidi"/>
          <w:sz w:val="24"/>
          <w:szCs w:val="24"/>
        </w:rPr>
        <w:t>software that computes the appropriate sample size for various statistical methods</w:t>
      </w:r>
      <w:sdt>
        <w:sdtPr>
          <w:rPr>
            <w:rFonts w:asciiTheme="majorBidi" w:hAnsiTheme="majorBidi" w:cstheme="majorBidi"/>
            <w:sz w:val="24"/>
            <w:szCs w:val="24"/>
          </w:rPr>
          <w:id w:val="-149556724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Kan21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(Kang, 2021)</w:t>
          </w:r>
          <w:r>
            <w:rPr>
              <w:rFonts w:asciiTheme="majorBidi" w:hAnsiTheme="majorBidi" w:cstheme="majorBidi"/>
              <w:sz w:val="24"/>
              <w:szCs w:val="24"/>
            </w:rPr>
            <w:fldChar w:fldCharType="end"/>
          </w:r>
        </w:sdtContent>
      </w:sdt>
      <w:r w:rsidR="00514A44">
        <w:rPr>
          <w:rFonts w:asciiTheme="majorBidi" w:hAnsiTheme="majorBidi" w:cstheme="majorBidi"/>
          <w:sz w:val="24"/>
          <w:szCs w:val="24"/>
        </w:rPr>
        <w:t xml:space="preserve">, </w:t>
      </w:r>
      <w:r>
        <w:rPr>
          <w:rFonts w:asciiTheme="majorBidi" w:hAnsiTheme="majorBidi" w:cstheme="majorBidi"/>
          <w:sz w:val="24"/>
          <w:szCs w:val="24"/>
        </w:rPr>
        <w:t>concluded that</w:t>
      </w:r>
      <w:r w:rsidRPr="008D75D3">
        <w:rPr>
          <w:rFonts w:asciiTheme="majorBidi" w:hAnsiTheme="majorBidi" w:cstheme="majorBidi"/>
          <w:sz w:val="24"/>
          <w:szCs w:val="24"/>
        </w:rPr>
        <w:t xml:space="preserve"> a minimum of </w:t>
      </w:r>
      <w:r w:rsidRPr="00C5137F">
        <w:rPr>
          <w:rFonts w:asciiTheme="majorBidi" w:hAnsiTheme="majorBidi" w:cstheme="majorBidi"/>
          <w:sz w:val="24"/>
          <w:szCs w:val="24"/>
        </w:rPr>
        <w:t xml:space="preserve">354 </w:t>
      </w:r>
      <w:r w:rsidR="00514A44">
        <w:rPr>
          <w:rFonts w:asciiTheme="majorBidi" w:hAnsiTheme="majorBidi" w:cstheme="majorBidi"/>
          <w:sz w:val="24"/>
          <w:szCs w:val="24"/>
        </w:rPr>
        <w:t xml:space="preserve">valid </w:t>
      </w:r>
      <w:r w:rsidRPr="00C5137F">
        <w:rPr>
          <w:rFonts w:asciiTheme="majorBidi" w:hAnsiTheme="majorBidi" w:cstheme="majorBidi"/>
          <w:sz w:val="24"/>
          <w:szCs w:val="24"/>
        </w:rPr>
        <w:t>observations</w:t>
      </w:r>
      <w:r w:rsidR="00514A44">
        <w:rPr>
          <w:rFonts w:asciiTheme="majorBidi" w:hAnsiTheme="majorBidi" w:cstheme="majorBidi"/>
          <w:sz w:val="24"/>
          <w:szCs w:val="24"/>
        </w:rPr>
        <w:t xml:space="preserve"> need to be collected to minimise marginal errors</w:t>
      </w:r>
      <w:r w:rsidRPr="00C5137F">
        <w:rPr>
          <w:rFonts w:asciiTheme="majorBidi" w:hAnsiTheme="majorBidi" w:cstheme="majorBidi"/>
          <w:sz w:val="24"/>
          <w:szCs w:val="24"/>
        </w:rPr>
        <w:t xml:space="preserve">. Accordingly, the minimum sample size for this study was calculated to be </w:t>
      </w:r>
      <w:r w:rsidRPr="004B44B9">
        <w:rPr>
          <w:rFonts w:asciiTheme="majorBidi" w:hAnsiTheme="majorBidi" w:cstheme="majorBidi"/>
          <w:sz w:val="24"/>
          <w:szCs w:val="24"/>
        </w:rPr>
        <w:t>3</w:t>
      </w:r>
      <w:r w:rsidR="00514A44" w:rsidRPr="004B44B9">
        <w:rPr>
          <w:rFonts w:asciiTheme="majorBidi" w:hAnsiTheme="majorBidi" w:cstheme="majorBidi"/>
          <w:sz w:val="24"/>
          <w:szCs w:val="24"/>
        </w:rPr>
        <w:t>5</w:t>
      </w:r>
      <w:r w:rsidRPr="004B44B9">
        <w:rPr>
          <w:rFonts w:asciiTheme="majorBidi" w:hAnsiTheme="majorBidi" w:cstheme="majorBidi"/>
          <w:sz w:val="24"/>
          <w:szCs w:val="24"/>
        </w:rPr>
        <w:t>4 subjects. For this study, I targeted 400</w:t>
      </w:r>
      <w:r w:rsidRPr="008D75D3">
        <w:rPr>
          <w:rFonts w:asciiTheme="majorBidi" w:hAnsiTheme="majorBidi" w:cstheme="majorBidi"/>
          <w:sz w:val="24"/>
          <w:szCs w:val="24"/>
        </w:rPr>
        <w:t xml:space="preserve"> subjects</w:t>
      </w:r>
      <w:r>
        <w:rPr>
          <w:rFonts w:asciiTheme="majorBidi" w:hAnsiTheme="majorBidi" w:cstheme="majorBidi"/>
          <w:sz w:val="24"/>
          <w:szCs w:val="24"/>
        </w:rPr>
        <w:t xml:space="preserve"> to </w:t>
      </w:r>
      <w:r w:rsidRPr="004B44B9">
        <w:rPr>
          <w:rFonts w:asciiTheme="majorBidi" w:hAnsiTheme="majorBidi" w:cstheme="majorBidi"/>
          <w:sz w:val="24"/>
          <w:szCs w:val="24"/>
        </w:rPr>
        <w:t>minimi</w:t>
      </w:r>
      <w:r w:rsidR="004B44B9" w:rsidRPr="004B44B9">
        <w:rPr>
          <w:rFonts w:asciiTheme="majorBidi" w:hAnsiTheme="majorBidi" w:cstheme="majorBidi"/>
          <w:sz w:val="24"/>
          <w:szCs w:val="24"/>
        </w:rPr>
        <w:t>s</w:t>
      </w:r>
      <w:r w:rsidRPr="004B44B9">
        <w:rPr>
          <w:rFonts w:asciiTheme="majorBidi" w:hAnsiTheme="majorBidi" w:cstheme="majorBidi"/>
          <w:sz w:val="24"/>
          <w:szCs w:val="24"/>
        </w:rPr>
        <w:t xml:space="preserve">e </w:t>
      </w:r>
      <w:r>
        <w:rPr>
          <w:rFonts w:asciiTheme="majorBidi" w:hAnsiTheme="majorBidi" w:cstheme="majorBidi"/>
          <w:sz w:val="24"/>
          <w:szCs w:val="24"/>
        </w:rPr>
        <w:t xml:space="preserve">the risk of non-responses. In fact, the survey had a high response rate and </w:t>
      </w:r>
      <w:r w:rsidRPr="008D75D3">
        <w:rPr>
          <w:rFonts w:asciiTheme="majorBidi" w:hAnsiTheme="majorBidi" w:cstheme="majorBidi"/>
          <w:sz w:val="24"/>
          <w:szCs w:val="24"/>
        </w:rPr>
        <w:t xml:space="preserve">the total collected surveys </w:t>
      </w:r>
      <w:r w:rsidR="00EE460F">
        <w:rPr>
          <w:rFonts w:asciiTheme="majorBidi" w:hAnsiTheme="majorBidi" w:cstheme="majorBidi"/>
          <w:sz w:val="24"/>
          <w:szCs w:val="24"/>
        </w:rPr>
        <w:t>were</w:t>
      </w:r>
      <w:r w:rsidRPr="008D75D3">
        <w:rPr>
          <w:rFonts w:asciiTheme="majorBidi" w:hAnsiTheme="majorBidi" w:cstheme="majorBidi"/>
          <w:sz w:val="24"/>
          <w:szCs w:val="24"/>
        </w:rPr>
        <w:t xml:space="preserve"> </w:t>
      </w:r>
      <w:r w:rsidR="00514A44">
        <w:rPr>
          <w:rFonts w:asciiTheme="majorBidi" w:hAnsiTheme="majorBidi" w:cstheme="majorBidi"/>
          <w:sz w:val="24"/>
          <w:szCs w:val="24"/>
        </w:rPr>
        <w:t>820; however, not all of them were included</w:t>
      </w:r>
      <w:r w:rsidRPr="008D75D3">
        <w:rPr>
          <w:rFonts w:asciiTheme="majorBidi" w:hAnsiTheme="majorBidi" w:cstheme="majorBidi"/>
          <w:sz w:val="24"/>
          <w:szCs w:val="24"/>
        </w:rPr>
        <w:t xml:space="preserve">. </w:t>
      </w:r>
      <w:r>
        <w:rPr>
          <w:rFonts w:asciiTheme="majorBidi" w:hAnsiTheme="majorBidi" w:cstheme="majorBidi"/>
          <w:sz w:val="24"/>
          <w:szCs w:val="24"/>
        </w:rPr>
        <w:t>The following sections (sections 6.4, 6.5, and 6.6)</w:t>
      </w:r>
      <w:r w:rsidR="00514A44">
        <w:rPr>
          <w:rFonts w:asciiTheme="majorBidi" w:hAnsiTheme="majorBidi" w:cstheme="majorBidi"/>
          <w:sz w:val="24"/>
          <w:szCs w:val="24"/>
        </w:rPr>
        <w:t xml:space="preserve"> </w:t>
      </w:r>
      <w:r>
        <w:rPr>
          <w:rFonts w:asciiTheme="majorBidi" w:hAnsiTheme="majorBidi" w:cstheme="majorBidi"/>
          <w:sz w:val="24"/>
          <w:szCs w:val="24"/>
        </w:rPr>
        <w:t xml:space="preserve">give more details on the reach of the survey and a description of the final sample. </w:t>
      </w:r>
    </w:p>
    <w:p w14:paraId="03CEC2F6" w14:textId="77777777" w:rsidR="00DD25DB" w:rsidRDefault="00D65FF6" w:rsidP="00DD25DB">
      <w:pPr>
        <w:keepNext/>
        <w:spacing w:line="360" w:lineRule="auto"/>
        <w:jc w:val="both"/>
      </w:pPr>
      <w:r w:rsidRPr="008D75D3">
        <w:rPr>
          <w:rFonts w:asciiTheme="majorBidi" w:hAnsiTheme="majorBidi" w:cstheme="majorBidi"/>
          <w:noProof/>
          <w:sz w:val="24"/>
          <w:szCs w:val="24"/>
        </w:rPr>
        <w:drawing>
          <wp:inline distT="0" distB="0" distL="0" distR="0" wp14:anchorId="73B43F5D" wp14:editId="1613ED29">
            <wp:extent cx="2854856" cy="2522306"/>
            <wp:effectExtent l="0" t="0" r="3175"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9"/>
                    <a:stretch>
                      <a:fillRect/>
                    </a:stretch>
                  </pic:blipFill>
                  <pic:spPr>
                    <a:xfrm>
                      <a:off x="0" y="0"/>
                      <a:ext cx="2937981" cy="2595749"/>
                    </a:xfrm>
                    <a:prstGeom prst="rect">
                      <a:avLst/>
                    </a:prstGeom>
                  </pic:spPr>
                </pic:pic>
              </a:graphicData>
            </a:graphic>
          </wp:inline>
        </w:drawing>
      </w:r>
    </w:p>
    <w:p w14:paraId="2F8B52CA" w14:textId="4856B479" w:rsidR="00D65FF6" w:rsidRPr="008D75D3" w:rsidRDefault="00DD25DB" w:rsidP="00DD25DB">
      <w:pPr>
        <w:pStyle w:val="Caption"/>
        <w:jc w:val="both"/>
        <w:rPr>
          <w:rFonts w:asciiTheme="majorBidi" w:hAnsiTheme="majorBidi" w:cstheme="majorBidi"/>
          <w:sz w:val="24"/>
          <w:szCs w:val="24"/>
        </w:rPr>
      </w:pPr>
      <w:r>
        <w:t>Figure 15 Sample size computation through G*power</w:t>
      </w:r>
    </w:p>
    <w:p w14:paraId="0EF3CCFA" w14:textId="634FA1E8" w:rsidR="00D65FF6" w:rsidRPr="008D75D3" w:rsidRDefault="00D65FF6" w:rsidP="00D65FF6">
      <w:pPr>
        <w:spacing w:line="360" w:lineRule="auto"/>
        <w:contextualSpacing/>
        <w:rPr>
          <w:rFonts w:asciiTheme="majorBidi" w:hAnsiTheme="majorBidi" w:cstheme="majorBidi"/>
          <w:b/>
          <w:bCs/>
          <w:sz w:val="24"/>
          <w:szCs w:val="24"/>
        </w:rPr>
      </w:pPr>
      <w:r w:rsidRPr="008D75D3">
        <w:rPr>
          <w:rFonts w:asciiTheme="majorBidi" w:hAnsiTheme="majorBidi" w:cstheme="majorBidi"/>
          <w:b/>
          <w:bCs/>
          <w:sz w:val="24"/>
          <w:szCs w:val="24"/>
        </w:rPr>
        <w:t>6.</w:t>
      </w:r>
      <w:r w:rsidR="00C0315E">
        <w:rPr>
          <w:rFonts w:asciiTheme="majorBidi" w:hAnsiTheme="majorBidi" w:cstheme="majorBidi"/>
          <w:b/>
          <w:bCs/>
          <w:sz w:val="24"/>
          <w:szCs w:val="24"/>
        </w:rPr>
        <w:t>3</w:t>
      </w:r>
      <w:r w:rsidRPr="008D75D3">
        <w:rPr>
          <w:rFonts w:asciiTheme="majorBidi" w:hAnsiTheme="majorBidi" w:cstheme="majorBidi"/>
          <w:b/>
          <w:bCs/>
          <w:sz w:val="24"/>
          <w:szCs w:val="24"/>
        </w:rPr>
        <w:t xml:space="preserve"> Descriptive Analysis </w:t>
      </w:r>
    </w:p>
    <w:p w14:paraId="3A0B5223" w14:textId="1650225B" w:rsidR="00D65FF6" w:rsidRPr="009B411C" w:rsidRDefault="00397BAE" w:rsidP="009B411C">
      <w:pPr>
        <w:spacing w:line="480" w:lineRule="auto"/>
        <w:rPr>
          <w:rFonts w:asciiTheme="majorBidi" w:hAnsiTheme="majorBidi" w:cstheme="majorBidi"/>
          <w:sz w:val="24"/>
          <w:szCs w:val="24"/>
        </w:rPr>
      </w:pPr>
      <w:r>
        <w:rPr>
          <w:rFonts w:asciiTheme="majorBidi" w:hAnsiTheme="majorBidi" w:cstheme="majorBidi"/>
          <w:sz w:val="24"/>
          <w:szCs w:val="24"/>
        </w:rPr>
        <w:tab/>
      </w:r>
      <w:r w:rsidR="00D65FF6" w:rsidRPr="008D75D3">
        <w:rPr>
          <w:rFonts w:asciiTheme="majorBidi" w:hAnsiTheme="majorBidi" w:cstheme="majorBidi"/>
          <w:sz w:val="24"/>
          <w:szCs w:val="24"/>
        </w:rPr>
        <w:t>This section provides a description of the survey respondents’ demographics as well as a discussion on the validity and reliability tests of the model’s independent and dependent constructs</w:t>
      </w:r>
      <w:r w:rsidR="00D65FF6">
        <w:rPr>
          <w:rFonts w:asciiTheme="majorBidi" w:hAnsiTheme="majorBidi" w:cstheme="majorBidi"/>
          <w:sz w:val="24"/>
          <w:szCs w:val="24"/>
        </w:rPr>
        <w:t>.</w:t>
      </w:r>
      <w:r w:rsidR="00D65FF6" w:rsidRPr="008D75D3">
        <w:rPr>
          <w:rFonts w:asciiTheme="majorBidi" w:hAnsiTheme="majorBidi" w:cstheme="majorBidi"/>
          <w:sz w:val="24"/>
          <w:szCs w:val="24"/>
        </w:rPr>
        <w:t xml:space="preserve"> Also, an analysis of each question addressing a variable in the model will be examined in terms of the mean, minimum and maximum values, and standard deviation. The primary data for this study was collected via survey experiments that were administrated online.</w:t>
      </w:r>
      <w:r w:rsidR="00514A44">
        <w:rPr>
          <w:rFonts w:asciiTheme="majorBidi" w:hAnsiTheme="majorBidi" w:cstheme="majorBidi"/>
          <w:sz w:val="24"/>
          <w:szCs w:val="24"/>
        </w:rPr>
        <w:t xml:space="preserve"> </w:t>
      </w:r>
      <w:r w:rsidR="00D65FF6" w:rsidRPr="008D75D3">
        <w:rPr>
          <w:rFonts w:asciiTheme="majorBidi" w:hAnsiTheme="majorBidi" w:cstheme="majorBidi"/>
          <w:sz w:val="24"/>
          <w:szCs w:val="24"/>
        </w:rPr>
        <w:t xml:space="preserve">The total number of participants who have accessed the survey </w:t>
      </w:r>
      <w:r w:rsidR="00514A44">
        <w:rPr>
          <w:rFonts w:asciiTheme="majorBidi" w:hAnsiTheme="majorBidi" w:cstheme="majorBidi"/>
          <w:sz w:val="24"/>
          <w:szCs w:val="24"/>
        </w:rPr>
        <w:t>were</w:t>
      </w:r>
      <w:r w:rsidR="00D65FF6" w:rsidRPr="008D75D3">
        <w:rPr>
          <w:rFonts w:asciiTheme="majorBidi" w:hAnsiTheme="majorBidi" w:cstheme="majorBidi"/>
          <w:sz w:val="24"/>
          <w:szCs w:val="24"/>
        </w:rPr>
        <w:t xml:space="preserve"> 820, where 474 responses only were the </w:t>
      </w:r>
      <w:r w:rsidR="00D65FF6">
        <w:rPr>
          <w:rFonts w:asciiTheme="majorBidi" w:hAnsiTheme="majorBidi" w:cstheme="majorBidi"/>
          <w:sz w:val="24"/>
          <w:szCs w:val="24"/>
        </w:rPr>
        <w:t>valid responses</w:t>
      </w:r>
      <w:r w:rsidR="00D65FF6" w:rsidRPr="008D75D3">
        <w:rPr>
          <w:rFonts w:asciiTheme="majorBidi" w:hAnsiTheme="majorBidi" w:cstheme="majorBidi"/>
          <w:sz w:val="24"/>
          <w:szCs w:val="24"/>
        </w:rPr>
        <w:t>. The others are excluded because they are irrelevant to the current study</w:t>
      </w:r>
      <w:r w:rsidR="00D65FF6">
        <w:rPr>
          <w:rFonts w:asciiTheme="majorBidi" w:hAnsiTheme="majorBidi" w:cstheme="majorBidi"/>
          <w:sz w:val="24"/>
          <w:szCs w:val="24"/>
        </w:rPr>
        <w:t xml:space="preserve"> based on the criteria questions as discussed in the previous chapter </w:t>
      </w:r>
      <w:r w:rsidR="00D65FF6" w:rsidRPr="00A17A2D">
        <w:rPr>
          <w:rFonts w:asciiTheme="majorBidi" w:hAnsiTheme="majorBidi" w:cstheme="majorBidi"/>
          <w:sz w:val="24"/>
          <w:szCs w:val="24"/>
        </w:rPr>
        <w:t xml:space="preserve">(do not live in Egypt, low </w:t>
      </w:r>
      <w:r w:rsidR="00514A44">
        <w:rPr>
          <w:rFonts w:asciiTheme="majorBidi" w:hAnsiTheme="majorBidi" w:cstheme="majorBidi"/>
          <w:sz w:val="24"/>
          <w:szCs w:val="24"/>
        </w:rPr>
        <w:t xml:space="preserve">household </w:t>
      </w:r>
      <w:r w:rsidR="00D65FF6" w:rsidRPr="00A17A2D">
        <w:rPr>
          <w:rFonts w:asciiTheme="majorBidi" w:hAnsiTheme="majorBidi" w:cstheme="majorBidi"/>
          <w:sz w:val="24"/>
          <w:szCs w:val="24"/>
        </w:rPr>
        <w:t xml:space="preserve">income, etc.). </w:t>
      </w:r>
      <w:r w:rsidR="00AA3A16" w:rsidRPr="00A17A2D">
        <w:rPr>
          <w:rFonts w:asciiTheme="majorBidi" w:hAnsiTheme="majorBidi" w:cstheme="majorBidi"/>
          <w:sz w:val="24"/>
          <w:szCs w:val="24"/>
        </w:rPr>
        <w:t xml:space="preserve">As per the </w:t>
      </w:r>
      <w:r w:rsidR="00514A44">
        <w:rPr>
          <w:rFonts w:asciiTheme="majorBidi" w:hAnsiTheme="majorBidi" w:cstheme="majorBidi"/>
          <w:sz w:val="24"/>
          <w:szCs w:val="24"/>
        </w:rPr>
        <w:t>explanation given</w:t>
      </w:r>
      <w:r w:rsidR="00AA3A16" w:rsidRPr="00A17A2D">
        <w:rPr>
          <w:rFonts w:asciiTheme="majorBidi" w:hAnsiTheme="majorBidi" w:cstheme="majorBidi"/>
          <w:sz w:val="24"/>
          <w:szCs w:val="24"/>
        </w:rPr>
        <w:t xml:space="preserve"> in section 5.5.6</w:t>
      </w:r>
      <w:r w:rsidR="00A17A2D" w:rsidRPr="00A17A2D">
        <w:rPr>
          <w:rFonts w:asciiTheme="majorBidi" w:hAnsiTheme="majorBidi" w:cstheme="majorBidi"/>
          <w:sz w:val="24"/>
          <w:szCs w:val="24"/>
        </w:rPr>
        <w:t>.1</w:t>
      </w:r>
      <w:r w:rsidR="00AA3A16" w:rsidRPr="00A17A2D">
        <w:rPr>
          <w:rFonts w:asciiTheme="majorBidi" w:hAnsiTheme="majorBidi" w:cstheme="majorBidi"/>
          <w:sz w:val="24"/>
          <w:szCs w:val="24"/>
        </w:rPr>
        <w:t xml:space="preserve">, the study focused on consumer profiles that match the target audience of the </w:t>
      </w:r>
      <w:r w:rsidR="00EE460F">
        <w:rPr>
          <w:rFonts w:asciiTheme="majorBidi" w:hAnsiTheme="majorBidi" w:cstheme="majorBidi"/>
          <w:sz w:val="24"/>
          <w:szCs w:val="24"/>
        </w:rPr>
        <w:t>studied</w:t>
      </w:r>
      <w:r w:rsidR="00AA3A16" w:rsidRPr="00A17A2D">
        <w:rPr>
          <w:rFonts w:asciiTheme="majorBidi" w:hAnsiTheme="majorBidi" w:cstheme="majorBidi"/>
          <w:sz w:val="24"/>
          <w:szCs w:val="24"/>
        </w:rPr>
        <w:t xml:space="preserve"> brand, Dettol. Since</w:t>
      </w:r>
      <w:r w:rsidR="003A33C7">
        <w:rPr>
          <w:rFonts w:asciiTheme="majorBidi" w:hAnsiTheme="majorBidi" w:cstheme="majorBidi"/>
          <w:sz w:val="24"/>
          <w:szCs w:val="24"/>
        </w:rPr>
        <w:t xml:space="preserve"> </w:t>
      </w:r>
      <w:r w:rsidR="00AA3A16" w:rsidRPr="00A17A2D">
        <w:rPr>
          <w:rFonts w:asciiTheme="majorBidi" w:hAnsiTheme="majorBidi" w:cstheme="majorBidi"/>
          <w:sz w:val="24"/>
          <w:szCs w:val="24"/>
        </w:rPr>
        <w:t>there are</w:t>
      </w:r>
      <w:r w:rsidR="00EE460F">
        <w:rPr>
          <w:rFonts w:asciiTheme="majorBidi" w:hAnsiTheme="majorBidi" w:cstheme="majorBidi"/>
          <w:sz w:val="24"/>
          <w:szCs w:val="24"/>
        </w:rPr>
        <w:t xml:space="preserve"> no</w:t>
      </w:r>
      <w:r w:rsidR="00AA3A16" w:rsidRPr="00A17A2D">
        <w:rPr>
          <w:rFonts w:asciiTheme="majorBidi" w:hAnsiTheme="majorBidi" w:cstheme="majorBidi"/>
          <w:sz w:val="24"/>
          <w:szCs w:val="24"/>
        </w:rPr>
        <w:t>t any studies that classify the profession and educational backgrounds in Egypt</w:t>
      </w:r>
      <w:r w:rsidR="0024583A" w:rsidRPr="00A17A2D">
        <w:rPr>
          <w:rFonts w:asciiTheme="majorBidi" w:hAnsiTheme="majorBidi" w:cstheme="majorBidi"/>
          <w:sz w:val="24"/>
          <w:szCs w:val="24"/>
        </w:rPr>
        <w:t xml:space="preserve"> (i.e. </w:t>
      </w:r>
      <w:sdt>
        <w:sdtPr>
          <w:rPr>
            <w:rFonts w:asciiTheme="majorBidi" w:hAnsiTheme="majorBidi" w:cstheme="majorBidi"/>
            <w:sz w:val="24"/>
            <w:szCs w:val="24"/>
          </w:rPr>
          <w:id w:val="-1231384003"/>
          <w:citation/>
        </w:sdtPr>
        <w:sdtContent>
          <w:r w:rsidR="00216CD1" w:rsidRPr="00A17A2D">
            <w:rPr>
              <w:rFonts w:asciiTheme="majorBidi" w:hAnsiTheme="majorBidi" w:cstheme="majorBidi"/>
              <w:sz w:val="24"/>
              <w:szCs w:val="24"/>
            </w:rPr>
            <w:fldChar w:fldCharType="begin"/>
          </w:r>
          <w:r w:rsidR="00216CD1" w:rsidRPr="00A17A2D">
            <w:rPr>
              <w:rFonts w:asciiTheme="majorBidi" w:hAnsiTheme="majorBidi" w:cstheme="majorBidi"/>
              <w:sz w:val="24"/>
              <w:szCs w:val="24"/>
            </w:rPr>
            <w:instrText xml:space="preserve"> CITATION Ahm21 \l 2057 </w:instrText>
          </w:r>
          <w:r w:rsidR="00F53414" w:rsidRPr="00A17A2D">
            <w:rPr>
              <w:rFonts w:asciiTheme="majorBidi" w:hAnsiTheme="majorBidi" w:cstheme="majorBidi"/>
              <w:sz w:val="24"/>
              <w:szCs w:val="24"/>
            </w:rPr>
            <w:instrText xml:space="preserve"> \m Hef21</w:instrText>
          </w:r>
          <w:r w:rsidR="00216CD1" w:rsidRPr="00A17A2D">
            <w:rPr>
              <w:rFonts w:asciiTheme="majorBidi" w:hAnsiTheme="majorBidi" w:cstheme="majorBidi"/>
              <w:sz w:val="24"/>
              <w:szCs w:val="24"/>
            </w:rPr>
            <w:fldChar w:fldCharType="separate"/>
          </w:r>
          <w:r w:rsidR="00F53414" w:rsidRPr="00A17A2D">
            <w:rPr>
              <w:rFonts w:asciiTheme="majorBidi" w:hAnsiTheme="majorBidi" w:cstheme="majorBidi"/>
              <w:noProof/>
              <w:sz w:val="24"/>
              <w:szCs w:val="24"/>
            </w:rPr>
            <w:t>(Ahmed, Ramadan, Refay, &amp; Khashbah, 2021; Hefny, 2021)</w:t>
          </w:r>
          <w:r w:rsidR="00216CD1" w:rsidRPr="00A17A2D">
            <w:rPr>
              <w:rFonts w:asciiTheme="majorBidi" w:hAnsiTheme="majorBidi" w:cstheme="majorBidi"/>
              <w:sz w:val="24"/>
              <w:szCs w:val="24"/>
            </w:rPr>
            <w:fldChar w:fldCharType="end"/>
          </w:r>
        </w:sdtContent>
      </w:sdt>
      <w:r w:rsidR="00AA3A16" w:rsidRPr="00A17A2D">
        <w:rPr>
          <w:rFonts w:asciiTheme="majorBidi" w:hAnsiTheme="majorBidi" w:cstheme="majorBidi"/>
          <w:sz w:val="24"/>
          <w:szCs w:val="24"/>
        </w:rPr>
        <w:t xml:space="preserve"> in reference to the status of social classes, all </w:t>
      </w:r>
      <w:r w:rsidR="003A33C7">
        <w:rPr>
          <w:rFonts w:asciiTheme="majorBidi" w:hAnsiTheme="majorBidi" w:cstheme="majorBidi"/>
          <w:sz w:val="24"/>
          <w:szCs w:val="24"/>
        </w:rPr>
        <w:t xml:space="preserve">answers in profession and education </w:t>
      </w:r>
      <w:r w:rsidR="00AA3A16" w:rsidRPr="00A17A2D">
        <w:rPr>
          <w:rFonts w:asciiTheme="majorBidi" w:hAnsiTheme="majorBidi" w:cstheme="majorBidi"/>
          <w:sz w:val="24"/>
          <w:szCs w:val="24"/>
        </w:rPr>
        <w:t>were included in the study especially that the number of respondents with low</w:t>
      </w:r>
      <w:r w:rsidR="00A17A2D" w:rsidRPr="00A17A2D">
        <w:rPr>
          <w:rFonts w:asciiTheme="majorBidi" w:hAnsiTheme="majorBidi" w:cstheme="majorBidi"/>
          <w:sz w:val="24"/>
          <w:szCs w:val="24"/>
        </w:rPr>
        <w:t>er</w:t>
      </w:r>
      <w:r w:rsidR="00AA3A16" w:rsidRPr="00A17A2D">
        <w:rPr>
          <w:rFonts w:asciiTheme="majorBidi" w:hAnsiTheme="majorBidi" w:cstheme="majorBidi"/>
          <w:sz w:val="24"/>
          <w:szCs w:val="24"/>
        </w:rPr>
        <w:t xml:space="preserve"> educational backgrounds was </w:t>
      </w:r>
      <w:r w:rsidR="00A17A2D" w:rsidRPr="00A17A2D">
        <w:rPr>
          <w:rFonts w:asciiTheme="majorBidi" w:hAnsiTheme="majorBidi" w:cstheme="majorBidi"/>
          <w:sz w:val="24"/>
          <w:szCs w:val="24"/>
        </w:rPr>
        <w:t>insignificant</w:t>
      </w:r>
      <w:r w:rsidR="00AA3A16" w:rsidRPr="00A17A2D">
        <w:rPr>
          <w:rFonts w:asciiTheme="majorBidi" w:hAnsiTheme="majorBidi" w:cstheme="majorBidi"/>
          <w:sz w:val="24"/>
          <w:szCs w:val="24"/>
        </w:rPr>
        <w:t>.</w:t>
      </w:r>
      <w:r w:rsidR="00207C43" w:rsidRPr="00A17A2D">
        <w:rPr>
          <w:rFonts w:asciiTheme="majorBidi" w:hAnsiTheme="majorBidi" w:cstheme="majorBidi"/>
          <w:sz w:val="24"/>
          <w:szCs w:val="24"/>
        </w:rPr>
        <w:t xml:space="preserve"> </w:t>
      </w:r>
      <w:r w:rsidR="00207C43" w:rsidRPr="000B1644">
        <w:rPr>
          <w:rFonts w:asciiTheme="majorBidi" w:hAnsiTheme="majorBidi" w:cstheme="majorBidi"/>
          <w:sz w:val="24"/>
          <w:szCs w:val="24"/>
        </w:rPr>
        <w:t xml:space="preserve">Also, there were 44.5% of the valid respondents mentioned that they were unemployed. In this specific study, this does not indicate that these respondents come from a low socioeconomic class. This is because </w:t>
      </w:r>
      <w:r w:rsidR="000B1644" w:rsidRPr="000B1644">
        <w:rPr>
          <w:rFonts w:asciiTheme="majorBidi" w:hAnsiTheme="majorBidi" w:cstheme="majorBidi"/>
          <w:sz w:val="24"/>
          <w:szCs w:val="24"/>
        </w:rPr>
        <w:t>71% of the</w:t>
      </w:r>
      <w:r w:rsidR="00207C43" w:rsidRPr="000B1644">
        <w:rPr>
          <w:rFonts w:asciiTheme="majorBidi" w:hAnsiTheme="majorBidi" w:cstheme="majorBidi"/>
          <w:sz w:val="24"/>
          <w:szCs w:val="24"/>
        </w:rPr>
        <w:t xml:space="preserve"> respondents who claimed to be unemployed </w:t>
      </w:r>
      <w:r w:rsidR="000B1644" w:rsidRPr="000B1644">
        <w:rPr>
          <w:rFonts w:asciiTheme="majorBidi" w:hAnsiTheme="majorBidi" w:cstheme="majorBidi"/>
          <w:sz w:val="24"/>
          <w:szCs w:val="24"/>
        </w:rPr>
        <w:t>were</w:t>
      </w:r>
      <w:r w:rsidR="00207C43" w:rsidRPr="000B1644">
        <w:rPr>
          <w:rFonts w:asciiTheme="majorBidi" w:hAnsiTheme="majorBidi" w:cstheme="majorBidi"/>
          <w:sz w:val="24"/>
          <w:szCs w:val="24"/>
        </w:rPr>
        <w:t xml:space="preserve"> females.</w:t>
      </w:r>
      <w:r w:rsidR="00B000FB" w:rsidRPr="000B1644">
        <w:rPr>
          <w:rFonts w:asciiTheme="majorBidi" w:hAnsiTheme="majorBidi" w:cstheme="majorBidi"/>
          <w:sz w:val="24"/>
          <w:szCs w:val="24"/>
        </w:rPr>
        <w:t xml:space="preserve"> </w:t>
      </w:r>
      <w:r>
        <w:rPr>
          <w:rFonts w:asciiTheme="majorBidi" w:hAnsiTheme="majorBidi" w:cstheme="majorBidi"/>
          <w:sz w:val="24"/>
          <w:szCs w:val="24"/>
        </w:rPr>
        <w:t>According to research,</w:t>
      </w:r>
      <w:r w:rsidR="00B000FB" w:rsidRPr="00A17A2D">
        <w:rPr>
          <w:rFonts w:asciiTheme="majorBidi" w:hAnsiTheme="majorBidi" w:cstheme="majorBidi"/>
          <w:sz w:val="24"/>
          <w:szCs w:val="24"/>
        </w:rPr>
        <w:t xml:space="preserve"> women, especially the married ones, are the decision-makers of household</w:t>
      </w:r>
      <w:r w:rsidR="00851A69" w:rsidRPr="00A17A2D">
        <w:rPr>
          <w:rFonts w:asciiTheme="majorBidi" w:hAnsiTheme="majorBidi" w:cstheme="majorBidi"/>
          <w:sz w:val="24"/>
          <w:szCs w:val="24"/>
        </w:rPr>
        <w:t xml:space="preserve"> chores such as grocery shopping </w:t>
      </w:r>
      <w:sdt>
        <w:sdtPr>
          <w:rPr>
            <w:rFonts w:asciiTheme="majorBidi" w:hAnsiTheme="majorBidi" w:cstheme="majorBidi"/>
            <w:sz w:val="24"/>
            <w:szCs w:val="24"/>
          </w:rPr>
          <w:id w:val="620416032"/>
          <w:citation/>
        </w:sdtPr>
        <w:sdtContent>
          <w:r w:rsidR="00851A69" w:rsidRPr="00A17A2D">
            <w:rPr>
              <w:rFonts w:asciiTheme="majorBidi" w:hAnsiTheme="majorBidi" w:cstheme="majorBidi"/>
              <w:sz w:val="24"/>
              <w:szCs w:val="24"/>
            </w:rPr>
            <w:fldChar w:fldCharType="begin"/>
          </w:r>
          <w:r w:rsidR="00851A69" w:rsidRPr="00A17A2D">
            <w:rPr>
              <w:rFonts w:asciiTheme="majorBidi" w:hAnsiTheme="majorBidi" w:cstheme="majorBidi"/>
              <w:sz w:val="24"/>
              <w:szCs w:val="24"/>
            </w:rPr>
            <w:instrText xml:space="preserve">CITATION IPS16 \l 2057 </w:instrText>
          </w:r>
          <w:r w:rsidR="00851A69" w:rsidRPr="00A17A2D">
            <w:rPr>
              <w:rFonts w:asciiTheme="majorBidi" w:hAnsiTheme="majorBidi" w:cstheme="majorBidi"/>
              <w:sz w:val="24"/>
              <w:szCs w:val="24"/>
            </w:rPr>
            <w:fldChar w:fldCharType="separate"/>
          </w:r>
          <w:r w:rsidR="00851A69" w:rsidRPr="00A17A2D">
            <w:rPr>
              <w:rFonts w:asciiTheme="majorBidi" w:hAnsiTheme="majorBidi" w:cstheme="majorBidi"/>
              <w:noProof/>
              <w:sz w:val="24"/>
              <w:szCs w:val="24"/>
            </w:rPr>
            <w:t>(IPSOS, 2016)</w:t>
          </w:r>
          <w:r w:rsidR="00851A69" w:rsidRPr="00A17A2D">
            <w:rPr>
              <w:rFonts w:asciiTheme="majorBidi" w:hAnsiTheme="majorBidi" w:cstheme="majorBidi"/>
              <w:sz w:val="24"/>
              <w:szCs w:val="24"/>
            </w:rPr>
            <w:fldChar w:fldCharType="end"/>
          </w:r>
        </w:sdtContent>
      </w:sdt>
      <w:r w:rsidR="00B000FB" w:rsidRPr="00A17A2D">
        <w:rPr>
          <w:rFonts w:asciiTheme="majorBidi" w:hAnsiTheme="majorBidi" w:cstheme="majorBidi"/>
          <w:sz w:val="24"/>
          <w:szCs w:val="24"/>
        </w:rPr>
        <w:t xml:space="preserve"> even if men or the husbands </w:t>
      </w:r>
      <w:r w:rsidR="00851A69" w:rsidRPr="00A17A2D">
        <w:rPr>
          <w:rFonts w:asciiTheme="majorBidi" w:hAnsiTheme="majorBidi" w:cstheme="majorBidi"/>
          <w:sz w:val="24"/>
          <w:szCs w:val="24"/>
        </w:rPr>
        <w:t>paid for the household allowance</w:t>
      </w:r>
      <w:r>
        <w:rPr>
          <w:rFonts w:asciiTheme="majorBidi" w:hAnsiTheme="majorBidi" w:cstheme="majorBidi"/>
          <w:sz w:val="24"/>
          <w:szCs w:val="24"/>
        </w:rPr>
        <w:t xml:space="preserve"> </w:t>
      </w:r>
      <w:sdt>
        <w:sdtPr>
          <w:rPr>
            <w:rFonts w:asciiTheme="majorBidi" w:hAnsiTheme="majorBidi" w:cstheme="majorBidi"/>
            <w:sz w:val="24"/>
            <w:szCs w:val="24"/>
          </w:rPr>
          <w:id w:val="1124357277"/>
          <w:citation/>
        </w:sdtPr>
        <w:sdtEndPr>
          <w:rPr>
            <w:rFonts w:asciiTheme="minorHAnsi" w:hAnsiTheme="minorHAnsi" w:cstheme="minorBidi"/>
            <w:sz w:val="22"/>
            <w:szCs w:val="22"/>
          </w:rPr>
        </w:sdtEndPr>
        <w:sdtContent>
          <w:r w:rsidRPr="00397BAE">
            <w:rPr>
              <w:rFonts w:asciiTheme="majorBidi" w:hAnsiTheme="majorBidi" w:cstheme="majorBidi"/>
              <w:sz w:val="24"/>
              <w:szCs w:val="24"/>
            </w:rPr>
            <w:fldChar w:fldCharType="begin"/>
          </w:r>
          <w:r w:rsidRPr="00397BAE">
            <w:rPr>
              <w:rFonts w:asciiTheme="majorBidi" w:hAnsiTheme="majorBidi" w:cstheme="majorBidi"/>
              <w:sz w:val="24"/>
              <w:szCs w:val="24"/>
            </w:rPr>
            <w:instrText xml:space="preserve"> CITATION abd17 \l 2057  \m Kab20</w:instrText>
          </w:r>
          <w:r w:rsidRPr="00397BAE">
            <w:rPr>
              <w:rFonts w:asciiTheme="majorBidi" w:hAnsiTheme="majorBidi" w:cstheme="majorBidi"/>
              <w:sz w:val="24"/>
              <w:szCs w:val="24"/>
            </w:rPr>
            <w:fldChar w:fldCharType="separate"/>
          </w:r>
          <w:r w:rsidRPr="00397BAE">
            <w:rPr>
              <w:rFonts w:asciiTheme="majorBidi" w:hAnsiTheme="majorBidi" w:cstheme="majorBidi"/>
              <w:noProof/>
              <w:sz w:val="24"/>
              <w:szCs w:val="24"/>
            </w:rPr>
            <w:t>(Abd El Gawad , 2017; Kabil, 2020)</w:t>
          </w:r>
          <w:r w:rsidRPr="00397BAE">
            <w:rPr>
              <w:rFonts w:asciiTheme="majorBidi" w:hAnsiTheme="majorBidi" w:cstheme="majorBidi"/>
              <w:sz w:val="24"/>
              <w:szCs w:val="24"/>
            </w:rPr>
            <w:fldChar w:fldCharType="end"/>
          </w:r>
        </w:sdtContent>
      </w:sdt>
      <w:r w:rsidR="00B000FB" w:rsidRPr="00A17A2D">
        <w:rPr>
          <w:rFonts w:asciiTheme="majorBidi" w:hAnsiTheme="majorBidi" w:cstheme="majorBidi"/>
          <w:sz w:val="24"/>
          <w:szCs w:val="24"/>
        </w:rPr>
        <w:t>.</w:t>
      </w:r>
      <w:r w:rsidR="00207C43" w:rsidRPr="00A17A2D">
        <w:rPr>
          <w:rFonts w:asciiTheme="majorBidi" w:hAnsiTheme="majorBidi" w:cstheme="majorBidi"/>
          <w:sz w:val="24"/>
          <w:szCs w:val="24"/>
        </w:rPr>
        <w:t xml:space="preserve"> </w:t>
      </w:r>
      <w:r w:rsidR="00AA3A16" w:rsidRPr="00A17A2D">
        <w:rPr>
          <w:rFonts w:asciiTheme="majorBidi" w:hAnsiTheme="majorBidi" w:cstheme="majorBidi"/>
          <w:sz w:val="24"/>
          <w:szCs w:val="24"/>
        </w:rPr>
        <w:t xml:space="preserve">Regarding the household income, the </w:t>
      </w:r>
      <w:r>
        <w:rPr>
          <w:rFonts w:asciiTheme="majorBidi" w:hAnsiTheme="majorBidi" w:cstheme="majorBidi"/>
          <w:sz w:val="24"/>
          <w:szCs w:val="24"/>
        </w:rPr>
        <w:t>average household income in Egypt is around 6,000 Egyptian pounds</w:t>
      </w:r>
      <w:r w:rsidR="009B411C" w:rsidRPr="009B411C">
        <w:t xml:space="preserve"> </w:t>
      </w:r>
      <w:sdt>
        <w:sdtPr>
          <w:id w:val="72175999"/>
          <w:citation/>
        </w:sdtPr>
        <w:sdtEndPr>
          <w:rPr>
            <w:rFonts w:asciiTheme="majorBidi" w:hAnsiTheme="majorBidi" w:cstheme="majorBidi"/>
            <w:sz w:val="24"/>
            <w:szCs w:val="24"/>
          </w:rPr>
        </w:sdtEndPr>
        <w:sdtContent>
          <w:r w:rsidR="009B411C" w:rsidRPr="005709BA">
            <w:rPr>
              <w:rFonts w:asciiTheme="majorBidi" w:hAnsiTheme="majorBidi" w:cstheme="majorBidi"/>
              <w:sz w:val="24"/>
              <w:szCs w:val="24"/>
            </w:rPr>
            <w:fldChar w:fldCharType="begin"/>
          </w:r>
          <w:r w:rsidR="009B411C" w:rsidRPr="005709BA">
            <w:rPr>
              <w:rFonts w:asciiTheme="majorBidi" w:hAnsiTheme="majorBidi" w:cstheme="majorBidi"/>
              <w:sz w:val="24"/>
              <w:szCs w:val="24"/>
            </w:rPr>
            <w:instrText xml:space="preserve"> CITATION Sto211 \l 2057 </w:instrText>
          </w:r>
          <w:r w:rsidR="009B411C" w:rsidRPr="005709BA">
            <w:rPr>
              <w:rFonts w:asciiTheme="majorBidi" w:hAnsiTheme="majorBidi" w:cstheme="majorBidi"/>
              <w:sz w:val="24"/>
              <w:szCs w:val="24"/>
            </w:rPr>
            <w:fldChar w:fldCharType="separate"/>
          </w:r>
          <w:r w:rsidR="009B411C" w:rsidRPr="005709BA">
            <w:rPr>
              <w:rFonts w:asciiTheme="majorBidi" w:hAnsiTheme="majorBidi" w:cstheme="majorBidi"/>
              <w:noProof/>
              <w:sz w:val="24"/>
              <w:szCs w:val="24"/>
            </w:rPr>
            <w:t>(Stohy, 2021)</w:t>
          </w:r>
          <w:r w:rsidR="009B411C" w:rsidRPr="005709BA">
            <w:rPr>
              <w:rFonts w:asciiTheme="majorBidi" w:hAnsiTheme="majorBidi" w:cstheme="majorBidi"/>
              <w:sz w:val="24"/>
              <w:szCs w:val="24"/>
            </w:rPr>
            <w:fldChar w:fldCharType="end"/>
          </w:r>
        </w:sdtContent>
      </w:sdt>
      <w:r>
        <w:rPr>
          <w:rFonts w:asciiTheme="majorBidi" w:hAnsiTheme="majorBidi" w:cstheme="majorBidi"/>
          <w:sz w:val="24"/>
          <w:szCs w:val="24"/>
        </w:rPr>
        <w:t>, or more accurately,</w:t>
      </w:r>
      <w:r w:rsidR="00AA3A16" w:rsidRPr="00A17A2D">
        <w:rPr>
          <w:rFonts w:asciiTheme="majorBidi" w:hAnsiTheme="majorBidi" w:cstheme="majorBidi"/>
          <w:sz w:val="24"/>
          <w:szCs w:val="24"/>
        </w:rPr>
        <w:t xml:space="preserve"> 6,333 Egyptian pounds </w:t>
      </w:r>
      <w:sdt>
        <w:sdtPr>
          <w:rPr>
            <w:rFonts w:asciiTheme="majorBidi" w:hAnsiTheme="majorBidi" w:cstheme="majorBidi"/>
            <w:sz w:val="24"/>
            <w:szCs w:val="24"/>
          </w:rPr>
          <w:id w:val="-1808475275"/>
          <w:citation/>
        </w:sdtPr>
        <w:sdtContent>
          <w:r w:rsidR="00AA3A16" w:rsidRPr="00A17A2D">
            <w:rPr>
              <w:rFonts w:asciiTheme="majorBidi" w:hAnsiTheme="majorBidi" w:cstheme="majorBidi"/>
              <w:sz w:val="24"/>
              <w:szCs w:val="24"/>
            </w:rPr>
            <w:fldChar w:fldCharType="begin"/>
          </w:r>
          <w:r w:rsidR="00AA3A16" w:rsidRPr="00A17A2D">
            <w:rPr>
              <w:rFonts w:asciiTheme="majorBidi" w:hAnsiTheme="majorBidi" w:cstheme="majorBidi"/>
              <w:sz w:val="24"/>
              <w:szCs w:val="24"/>
            </w:rPr>
            <w:instrText xml:space="preserve"> CITATION Oxf22 \l 2057 </w:instrText>
          </w:r>
          <w:r w:rsidR="00AA3A16" w:rsidRPr="00A17A2D">
            <w:rPr>
              <w:rFonts w:asciiTheme="majorBidi" w:hAnsiTheme="majorBidi" w:cstheme="majorBidi"/>
              <w:sz w:val="24"/>
              <w:szCs w:val="24"/>
            </w:rPr>
            <w:fldChar w:fldCharType="separate"/>
          </w:r>
          <w:r w:rsidR="00AA3A16" w:rsidRPr="00A17A2D">
            <w:rPr>
              <w:rFonts w:asciiTheme="majorBidi" w:hAnsiTheme="majorBidi" w:cstheme="majorBidi"/>
              <w:noProof/>
              <w:sz w:val="24"/>
              <w:szCs w:val="24"/>
            </w:rPr>
            <w:t>(Oxford Business Group, 2022)</w:t>
          </w:r>
          <w:r w:rsidR="00AA3A16" w:rsidRPr="00A17A2D">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0B1644">
        <w:rPr>
          <w:rFonts w:asciiTheme="majorBidi" w:hAnsiTheme="majorBidi" w:cstheme="majorBidi"/>
          <w:sz w:val="24"/>
          <w:szCs w:val="24"/>
        </w:rPr>
        <w:t>t</w:t>
      </w:r>
      <w:r>
        <w:rPr>
          <w:rFonts w:asciiTheme="majorBidi" w:hAnsiTheme="majorBidi" w:cstheme="majorBidi"/>
          <w:sz w:val="24"/>
          <w:szCs w:val="24"/>
        </w:rPr>
        <w:t>hus, I regarded 6,333</w:t>
      </w:r>
      <w:r w:rsidR="00AA3A16" w:rsidRPr="00A17A2D">
        <w:rPr>
          <w:rFonts w:asciiTheme="majorBidi" w:hAnsiTheme="majorBidi" w:cstheme="majorBidi"/>
          <w:sz w:val="24"/>
          <w:szCs w:val="24"/>
        </w:rPr>
        <w:t xml:space="preserve"> </w:t>
      </w:r>
      <w:r w:rsidR="00207C43" w:rsidRPr="00A17A2D">
        <w:rPr>
          <w:rFonts w:asciiTheme="majorBidi" w:hAnsiTheme="majorBidi" w:cstheme="majorBidi"/>
          <w:sz w:val="24"/>
          <w:szCs w:val="24"/>
        </w:rPr>
        <w:t>to be</w:t>
      </w:r>
      <w:r w:rsidR="00AA3A16" w:rsidRPr="00A17A2D">
        <w:rPr>
          <w:rFonts w:asciiTheme="majorBidi" w:hAnsiTheme="majorBidi" w:cstheme="majorBidi"/>
          <w:sz w:val="24"/>
          <w:szCs w:val="24"/>
        </w:rPr>
        <w:t xml:space="preserve"> the cut-off point</w:t>
      </w:r>
      <w:r w:rsidR="00EE460F">
        <w:rPr>
          <w:rFonts w:asciiTheme="majorBidi" w:hAnsiTheme="majorBidi" w:cstheme="majorBidi"/>
          <w:sz w:val="24"/>
          <w:szCs w:val="24"/>
        </w:rPr>
        <w:t xml:space="preserve"> s</w:t>
      </w:r>
      <w:r w:rsidR="00AA3A16" w:rsidRPr="00A17A2D">
        <w:rPr>
          <w:rFonts w:asciiTheme="majorBidi" w:hAnsiTheme="majorBidi" w:cstheme="majorBidi"/>
          <w:sz w:val="24"/>
          <w:szCs w:val="24"/>
        </w:rPr>
        <w:t xml:space="preserve">uch that, respondents who reported household income lower than the average were disregarded from the </w:t>
      </w:r>
      <w:r w:rsidR="009B411C">
        <w:rPr>
          <w:rFonts w:asciiTheme="majorBidi" w:hAnsiTheme="majorBidi" w:cstheme="majorBidi"/>
          <w:sz w:val="24"/>
          <w:szCs w:val="24"/>
        </w:rPr>
        <w:t>final sample used in the data analysis</w:t>
      </w:r>
      <w:r w:rsidR="00AA3A16" w:rsidRPr="00A17A2D">
        <w:rPr>
          <w:rFonts w:asciiTheme="majorBidi" w:hAnsiTheme="majorBidi" w:cstheme="majorBidi"/>
          <w:sz w:val="24"/>
          <w:szCs w:val="24"/>
        </w:rPr>
        <w:t xml:space="preserve">. </w:t>
      </w:r>
      <w:r w:rsidR="001344D3">
        <w:rPr>
          <w:rFonts w:asciiTheme="majorBidi" w:hAnsiTheme="majorBidi" w:cstheme="majorBidi"/>
          <w:sz w:val="24"/>
          <w:szCs w:val="24"/>
        </w:rPr>
        <w:t>Moreover</w:t>
      </w:r>
      <w:r w:rsidR="00D65FF6">
        <w:rPr>
          <w:rFonts w:asciiTheme="majorBidi" w:hAnsiTheme="majorBidi" w:cstheme="majorBidi"/>
          <w:sz w:val="24"/>
          <w:szCs w:val="24"/>
        </w:rPr>
        <w:t xml:space="preserve">, there were </w:t>
      </w:r>
      <w:r w:rsidR="00D65FF6" w:rsidRPr="004F3AE6">
        <w:rPr>
          <w:rFonts w:asciiTheme="majorBidi" w:hAnsiTheme="majorBidi" w:cstheme="majorBidi"/>
          <w:sz w:val="24"/>
          <w:szCs w:val="24"/>
        </w:rPr>
        <w:t xml:space="preserve">some </w:t>
      </w:r>
      <w:r w:rsidR="00D65FF6">
        <w:rPr>
          <w:rFonts w:asciiTheme="majorBidi" w:hAnsiTheme="majorBidi" w:cstheme="majorBidi"/>
          <w:sz w:val="24"/>
          <w:szCs w:val="24"/>
        </w:rPr>
        <w:t>respondents who did not answer few questions at the end of the survey. Although skipping questions was not allowed in the administered surveys, I assume that some respondents closed the browser and did not complete few of the questions at the end</w:t>
      </w:r>
      <w:r w:rsidR="00D65FF6" w:rsidRPr="008D75D3">
        <w:rPr>
          <w:rFonts w:asciiTheme="majorBidi" w:hAnsiTheme="majorBidi" w:cstheme="majorBidi"/>
          <w:sz w:val="24"/>
          <w:szCs w:val="24"/>
        </w:rPr>
        <w:t xml:space="preserve">. </w:t>
      </w:r>
      <w:r w:rsidR="009B411C">
        <w:rPr>
          <w:rFonts w:asciiTheme="majorBidi" w:hAnsiTheme="majorBidi" w:cstheme="majorBidi"/>
          <w:sz w:val="24"/>
          <w:szCs w:val="24"/>
        </w:rPr>
        <w:t xml:space="preserve">Hence, the final valid included sample was 474 respondents. </w:t>
      </w:r>
    </w:p>
    <w:p w14:paraId="5F5ACED9" w14:textId="68EE4444" w:rsidR="00D65FF6" w:rsidRPr="008D75D3" w:rsidRDefault="00D65FF6" w:rsidP="00D65FF6">
      <w:pPr>
        <w:spacing w:line="360" w:lineRule="auto"/>
        <w:contextualSpacing/>
        <w:jc w:val="both"/>
        <w:rPr>
          <w:rFonts w:asciiTheme="majorBidi" w:hAnsiTheme="majorBidi" w:cstheme="majorBidi"/>
          <w:b/>
          <w:bCs/>
          <w:sz w:val="24"/>
          <w:szCs w:val="24"/>
        </w:rPr>
      </w:pPr>
      <w:r w:rsidRPr="008D75D3">
        <w:rPr>
          <w:rFonts w:asciiTheme="majorBidi" w:hAnsiTheme="majorBidi" w:cstheme="majorBidi"/>
          <w:b/>
          <w:bCs/>
          <w:sz w:val="24"/>
          <w:szCs w:val="24"/>
        </w:rPr>
        <w:t>6.</w:t>
      </w:r>
      <w:r w:rsidR="00C0315E">
        <w:rPr>
          <w:rFonts w:asciiTheme="majorBidi" w:hAnsiTheme="majorBidi" w:cstheme="majorBidi"/>
          <w:b/>
          <w:bCs/>
          <w:sz w:val="24"/>
          <w:szCs w:val="24"/>
        </w:rPr>
        <w:t xml:space="preserve">4 </w:t>
      </w:r>
      <w:r w:rsidRPr="008D75D3">
        <w:rPr>
          <w:rFonts w:asciiTheme="majorBidi" w:hAnsiTheme="majorBidi" w:cstheme="majorBidi"/>
          <w:b/>
          <w:bCs/>
          <w:sz w:val="24"/>
          <w:szCs w:val="24"/>
        </w:rPr>
        <w:t xml:space="preserve">Missing </w:t>
      </w:r>
      <w:r w:rsidR="00EE460F">
        <w:rPr>
          <w:rFonts w:asciiTheme="majorBidi" w:hAnsiTheme="majorBidi" w:cstheme="majorBidi"/>
          <w:b/>
          <w:bCs/>
          <w:sz w:val="24"/>
          <w:szCs w:val="24"/>
        </w:rPr>
        <w:t>D</w:t>
      </w:r>
      <w:r w:rsidRPr="008D75D3">
        <w:rPr>
          <w:rFonts w:asciiTheme="majorBidi" w:hAnsiTheme="majorBidi" w:cstheme="majorBidi"/>
          <w:b/>
          <w:bCs/>
          <w:sz w:val="24"/>
          <w:szCs w:val="24"/>
        </w:rPr>
        <w:t>ata Analysis</w:t>
      </w:r>
    </w:p>
    <w:p w14:paraId="39BE3545" w14:textId="33EC093F" w:rsidR="00D65FF6" w:rsidRPr="008D75D3" w:rsidRDefault="00D65FF6" w:rsidP="00D65FF6">
      <w:pPr>
        <w:spacing w:after="0" w:line="480" w:lineRule="auto"/>
        <w:ind w:firstLine="720"/>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To avoid losing valuable information, I conducted missing data computation. </w:t>
      </w:r>
      <w:r w:rsidRPr="008D75D3">
        <w:rPr>
          <w:rFonts w:asciiTheme="majorBidi" w:eastAsia="Times New Roman" w:hAnsiTheme="majorBidi" w:cstheme="majorBidi"/>
          <w:sz w:val="24"/>
          <w:szCs w:val="24"/>
        </w:rPr>
        <w:t xml:space="preserve">The missingness in this research is missing at random </w:t>
      </w:r>
      <w:r>
        <w:rPr>
          <w:rFonts w:asciiTheme="majorBidi" w:eastAsia="Times New Roman" w:hAnsiTheme="majorBidi" w:cstheme="majorBidi"/>
          <w:sz w:val="24"/>
          <w:szCs w:val="24"/>
        </w:rPr>
        <w:t xml:space="preserve">as </w:t>
      </w:r>
      <w:r w:rsidR="009B411C">
        <w:rPr>
          <w:rFonts w:asciiTheme="majorBidi" w:eastAsia="Times New Roman" w:hAnsiTheme="majorBidi" w:cstheme="majorBidi"/>
          <w:sz w:val="24"/>
          <w:szCs w:val="24"/>
        </w:rPr>
        <w:t>few</w:t>
      </w:r>
      <w:r w:rsidRPr="004F3AE6">
        <w:rPr>
          <w:rFonts w:asciiTheme="majorBidi" w:eastAsia="Times New Roman" w:hAnsiTheme="majorBidi" w:cstheme="majorBidi"/>
          <w:sz w:val="24"/>
          <w:szCs w:val="24"/>
        </w:rPr>
        <w:t xml:space="preserve"> unanswered questions were not directly related to the dependent variables.</w:t>
      </w:r>
      <w:r>
        <w:rPr>
          <w:rFonts w:asciiTheme="majorBidi" w:eastAsia="Times New Roman" w:hAnsiTheme="majorBidi" w:cstheme="majorBidi"/>
          <w:sz w:val="24"/>
          <w:szCs w:val="24"/>
        </w:rPr>
        <w:t xml:space="preserve"> T</w:t>
      </w:r>
      <w:r w:rsidRPr="008D75D3">
        <w:rPr>
          <w:rFonts w:asciiTheme="majorBidi" w:eastAsia="Times New Roman" w:hAnsiTheme="majorBidi" w:cstheme="majorBidi"/>
          <w:sz w:val="24"/>
          <w:szCs w:val="24"/>
        </w:rPr>
        <w:t xml:space="preserve">he missingness rate for some of the variables </w:t>
      </w:r>
      <w:r>
        <w:rPr>
          <w:rFonts w:asciiTheme="majorBidi" w:eastAsia="Times New Roman" w:hAnsiTheme="majorBidi" w:cstheme="majorBidi"/>
          <w:sz w:val="24"/>
          <w:szCs w:val="24"/>
        </w:rPr>
        <w:t>was</w:t>
      </w:r>
      <w:r w:rsidRPr="008D75D3">
        <w:rPr>
          <w:rFonts w:asciiTheme="majorBidi" w:eastAsia="Times New Roman" w:hAnsiTheme="majorBidi" w:cstheme="majorBidi"/>
          <w:sz w:val="24"/>
          <w:szCs w:val="24"/>
        </w:rPr>
        <w:t xml:space="preserve"> between </w:t>
      </w:r>
      <w:r w:rsidRPr="004B44B9">
        <w:rPr>
          <w:rFonts w:asciiTheme="majorBidi" w:eastAsia="Times New Roman" w:hAnsiTheme="majorBidi" w:cstheme="majorBidi"/>
          <w:sz w:val="24"/>
          <w:szCs w:val="24"/>
        </w:rPr>
        <w:t xml:space="preserve">10% and 25%. </w:t>
      </w:r>
      <w:r>
        <w:rPr>
          <w:rFonts w:asciiTheme="majorBidi" w:eastAsia="Times New Roman" w:hAnsiTheme="majorBidi" w:cstheme="majorBidi"/>
          <w:sz w:val="24"/>
          <w:szCs w:val="24"/>
        </w:rPr>
        <w:t>There are different methods of calculating missing data. For instance, listwise deletion is one of the common and straight forward methods</w:t>
      </w:r>
      <w:sdt>
        <w:sdtPr>
          <w:rPr>
            <w:rFonts w:asciiTheme="majorBidi" w:eastAsia="Times New Roman" w:hAnsiTheme="majorBidi" w:cstheme="majorBidi"/>
            <w:sz w:val="24"/>
            <w:szCs w:val="24"/>
          </w:rPr>
          <w:id w:val="-2084594070"/>
          <w:citation/>
        </w:sdtPr>
        <w:sdtContent>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CITATION Gra14 \l 2057 </w:instrText>
          </w:r>
          <w:r>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 xml:space="preserve"> </w:t>
          </w:r>
          <w:r w:rsidRPr="0000137C">
            <w:rPr>
              <w:rFonts w:asciiTheme="majorBidi" w:eastAsia="Times New Roman" w:hAnsiTheme="majorBidi" w:cstheme="majorBidi"/>
              <w:noProof/>
              <w:sz w:val="24"/>
              <w:szCs w:val="24"/>
            </w:rPr>
            <w:t>(Grace-Martin, 2014)</w:t>
          </w:r>
          <w:r>
            <w:rPr>
              <w:rFonts w:asciiTheme="majorBidi" w:eastAsia="Times New Roman" w:hAnsiTheme="majorBidi" w:cstheme="majorBidi"/>
              <w:sz w:val="24"/>
              <w:szCs w:val="24"/>
            </w:rPr>
            <w:fldChar w:fldCharType="end"/>
          </w:r>
        </w:sdtContent>
      </w:sdt>
      <w:r>
        <w:rPr>
          <w:rFonts w:asciiTheme="majorBidi" w:eastAsia="Times New Roman" w:hAnsiTheme="majorBidi" w:cstheme="majorBidi"/>
          <w:sz w:val="24"/>
          <w:szCs w:val="24"/>
        </w:rPr>
        <w:t>. While listwise deletion aids in minimizing researcher’s bias, listwise deletion can create some inconsistencies in the data</w:t>
      </w:r>
      <w:sdt>
        <w:sdtPr>
          <w:rPr>
            <w:rFonts w:asciiTheme="majorBidi" w:eastAsia="Times New Roman" w:hAnsiTheme="majorBidi" w:cstheme="majorBidi"/>
            <w:sz w:val="24"/>
            <w:szCs w:val="24"/>
          </w:rPr>
          <w:id w:val="-1709865026"/>
          <w:citation/>
        </w:sdtPr>
        <w:sdtContent>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CITATION van18 \l 2057 </w:instrText>
          </w:r>
          <w:r>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 xml:space="preserve"> </w:t>
          </w:r>
          <w:r w:rsidRPr="005F23C9">
            <w:rPr>
              <w:rFonts w:asciiTheme="majorBidi" w:eastAsia="Times New Roman" w:hAnsiTheme="majorBidi" w:cstheme="majorBidi"/>
              <w:noProof/>
              <w:sz w:val="24"/>
              <w:szCs w:val="24"/>
            </w:rPr>
            <w:t>(van Buuren, 2018)</w:t>
          </w:r>
          <w:r>
            <w:rPr>
              <w:rFonts w:asciiTheme="majorBidi" w:eastAsia="Times New Roman" w:hAnsiTheme="majorBidi" w:cstheme="majorBidi"/>
              <w:sz w:val="24"/>
              <w:szCs w:val="24"/>
            </w:rPr>
            <w:fldChar w:fldCharType="end"/>
          </w:r>
        </w:sdtContent>
      </w:sdt>
      <w:r>
        <w:rPr>
          <w:rFonts w:asciiTheme="majorBidi" w:eastAsia="Times New Roman" w:hAnsiTheme="majorBidi" w:cstheme="majorBidi"/>
          <w:sz w:val="24"/>
          <w:szCs w:val="24"/>
        </w:rPr>
        <w:t xml:space="preserve">. This is because listwise deletion automatically deletes all information from any case that had only a few missing answers </w:t>
      </w:r>
      <w:sdt>
        <w:sdtPr>
          <w:rPr>
            <w:rFonts w:asciiTheme="majorBidi" w:eastAsia="Times New Roman" w:hAnsiTheme="majorBidi" w:cstheme="majorBidi"/>
            <w:sz w:val="24"/>
            <w:szCs w:val="24"/>
          </w:rPr>
          <w:id w:val="949748735"/>
          <w:citation/>
        </w:sdtPr>
        <w:sdtContent>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CITATION Pep18 \l 2057 </w:instrText>
          </w:r>
          <w:r>
            <w:rPr>
              <w:rFonts w:asciiTheme="majorBidi" w:eastAsia="Times New Roman" w:hAnsiTheme="majorBidi" w:cstheme="majorBidi"/>
              <w:sz w:val="24"/>
              <w:szCs w:val="24"/>
            </w:rPr>
            <w:fldChar w:fldCharType="separate"/>
          </w:r>
          <w:r w:rsidRPr="00855FCF">
            <w:rPr>
              <w:rFonts w:asciiTheme="majorBidi" w:eastAsia="Times New Roman" w:hAnsiTheme="majorBidi" w:cstheme="majorBidi"/>
              <w:noProof/>
              <w:sz w:val="24"/>
              <w:szCs w:val="24"/>
            </w:rPr>
            <w:t>(Pepinsky, 2018)</w:t>
          </w:r>
          <w:r>
            <w:rPr>
              <w:rFonts w:asciiTheme="majorBidi" w:eastAsia="Times New Roman" w:hAnsiTheme="majorBidi" w:cstheme="majorBidi"/>
              <w:sz w:val="24"/>
              <w:szCs w:val="24"/>
            </w:rPr>
            <w:fldChar w:fldCharType="end"/>
          </w:r>
        </w:sdtContent>
      </w:sdt>
      <w:r>
        <w:rPr>
          <w:rFonts w:asciiTheme="majorBidi" w:eastAsia="Times New Roman" w:hAnsiTheme="majorBidi" w:cstheme="majorBidi"/>
          <w:sz w:val="24"/>
          <w:szCs w:val="24"/>
        </w:rPr>
        <w:t>. However, with regression analysis, the imputation handles the specific missing values and replaces them based on predictions from the complete data sets</w:t>
      </w:r>
      <w:sdt>
        <w:sdtPr>
          <w:rPr>
            <w:rFonts w:asciiTheme="majorBidi" w:eastAsia="Times New Roman" w:hAnsiTheme="majorBidi" w:cstheme="majorBidi"/>
            <w:sz w:val="24"/>
            <w:szCs w:val="24"/>
          </w:rPr>
          <w:id w:val="-1216272823"/>
          <w:citation/>
        </w:sdtPr>
        <w:sdtContent>
          <w:r w:rsidRPr="008D75D3">
            <w:rPr>
              <w:rFonts w:asciiTheme="majorBidi" w:eastAsia="Times New Roman" w:hAnsiTheme="majorBidi" w:cstheme="majorBidi"/>
              <w:sz w:val="24"/>
              <w:szCs w:val="24"/>
            </w:rPr>
            <w:fldChar w:fldCharType="begin"/>
          </w:r>
          <w:r w:rsidRPr="008D75D3">
            <w:rPr>
              <w:rFonts w:asciiTheme="majorBidi" w:eastAsia="Times New Roman" w:hAnsiTheme="majorBidi" w:cstheme="majorBidi"/>
              <w:sz w:val="24"/>
              <w:szCs w:val="24"/>
            </w:rPr>
            <w:instrText xml:space="preserve"> CITATION Mos19 \l 2057 </w:instrText>
          </w:r>
          <w:r w:rsidRPr="008D75D3">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 xml:space="preserve"> </w:t>
          </w:r>
          <w:r w:rsidRPr="009F6991">
            <w:rPr>
              <w:rFonts w:asciiTheme="majorBidi" w:eastAsia="Times New Roman" w:hAnsiTheme="majorBidi" w:cstheme="majorBidi"/>
              <w:noProof/>
              <w:sz w:val="24"/>
              <w:szCs w:val="24"/>
            </w:rPr>
            <w:t>(Mostafa, 2019)</w:t>
          </w:r>
          <w:r w:rsidRPr="008D75D3">
            <w:rPr>
              <w:rFonts w:asciiTheme="majorBidi" w:eastAsia="Times New Roman" w:hAnsiTheme="majorBidi" w:cstheme="majorBidi"/>
              <w:sz w:val="24"/>
              <w:szCs w:val="24"/>
            </w:rPr>
            <w:fldChar w:fldCharType="end"/>
          </w:r>
        </w:sdtContent>
      </w:sdt>
      <w:r>
        <w:rPr>
          <w:rFonts w:asciiTheme="majorBidi" w:eastAsia="Times New Roman" w:hAnsiTheme="majorBidi" w:cstheme="majorBidi"/>
          <w:sz w:val="24"/>
          <w:szCs w:val="24"/>
        </w:rPr>
        <w:t>. Hence, regression analysis retains the originally provided information</w:t>
      </w:r>
      <w:sdt>
        <w:sdtPr>
          <w:rPr>
            <w:rFonts w:asciiTheme="majorBidi" w:eastAsia="Times New Roman" w:hAnsiTheme="majorBidi" w:cstheme="majorBidi"/>
            <w:sz w:val="24"/>
            <w:szCs w:val="24"/>
          </w:rPr>
          <w:id w:val="-620679015"/>
          <w:citation/>
        </w:sdtPr>
        <w:sdtContent>
          <w:r>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CITATION Don12 \l 2057 </w:instrText>
          </w:r>
          <w:r>
            <w:rPr>
              <w:rFonts w:asciiTheme="majorBidi" w:eastAsia="Times New Roman" w:hAnsiTheme="majorBidi" w:cstheme="majorBidi"/>
              <w:sz w:val="24"/>
              <w:szCs w:val="24"/>
            </w:rPr>
            <w:fldChar w:fldCharType="separate"/>
          </w:r>
          <w:r>
            <w:rPr>
              <w:rFonts w:asciiTheme="majorBidi" w:eastAsia="Times New Roman" w:hAnsiTheme="majorBidi" w:cstheme="majorBidi"/>
              <w:noProof/>
              <w:sz w:val="24"/>
              <w:szCs w:val="24"/>
            </w:rPr>
            <w:t xml:space="preserve"> </w:t>
          </w:r>
          <w:r w:rsidRPr="00E97CE4">
            <w:rPr>
              <w:rFonts w:asciiTheme="majorBidi" w:eastAsia="Times New Roman" w:hAnsiTheme="majorBidi" w:cstheme="majorBidi"/>
              <w:noProof/>
              <w:sz w:val="24"/>
              <w:szCs w:val="24"/>
            </w:rPr>
            <w:t>(Donner, 2012)</w:t>
          </w:r>
          <w:r>
            <w:rPr>
              <w:rFonts w:asciiTheme="majorBidi" w:eastAsia="Times New Roman" w:hAnsiTheme="majorBidi" w:cstheme="majorBidi"/>
              <w:sz w:val="24"/>
              <w:szCs w:val="24"/>
            </w:rPr>
            <w:fldChar w:fldCharType="end"/>
          </w:r>
        </w:sdtContent>
      </w:sdt>
      <w:r>
        <w:rPr>
          <w:rFonts w:asciiTheme="majorBidi" w:eastAsia="Times New Roman" w:hAnsiTheme="majorBidi" w:cstheme="majorBidi"/>
          <w:sz w:val="24"/>
          <w:szCs w:val="24"/>
        </w:rPr>
        <w:t>. In this study, t</w:t>
      </w:r>
      <w:r w:rsidRPr="008D75D3">
        <w:rPr>
          <w:rFonts w:asciiTheme="majorBidi" w:eastAsia="Times New Roman" w:hAnsiTheme="majorBidi" w:cstheme="majorBidi"/>
          <w:sz w:val="24"/>
          <w:szCs w:val="24"/>
        </w:rPr>
        <w:t>he</w:t>
      </w:r>
      <w:r>
        <w:rPr>
          <w:rFonts w:asciiTheme="majorBidi" w:eastAsia="Times New Roman" w:hAnsiTheme="majorBidi" w:cstheme="majorBidi"/>
          <w:sz w:val="24"/>
          <w:szCs w:val="24"/>
        </w:rPr>
        <w:t xml:space="preserve"> missing</w:t>
      </w:r>
      <w:r w:rsidRPr="008D75D3">
        <w:rPr>
          <w:rFonts w:asciiTheme="majorBidi" w:eastAsia="Times New Roman" w:hAnsiTheme="majorBidi" w:cstheme="majorBidi"/>
          <w:sz w:val="24"/>
          <w:szCs w:val="24"/>
        </w:rPr>
        <w:t xml:space="preserve"> values were </w:t>
      </w:r>
      <w:r>
        <w:rPr>
          <w:rFonts w:asciiTheme="majorBidi" w:eastAsia="Times New Roman" w:hAnsiTheme="majorBidi" w:cstheme="majorBidi"/>
          <w:sz w:val="24"/>
          <w:szCs w:val="24"/>
        </w:rPr>
        <w:t>co</w:t>
      </w:r>
      <w:r w:rsidRPr="008D75D3">
        <w:rPr>
          <w:rFonts w:asciiTheme="majorBidi" w:eastAsia="Times New Roman" w:hAnsiTheme="majorBidi" w:cstheme="majorBidi"/>
          <w:sz w:val="24"/>
          <w:szCs w:val="24"/>
        </w:rPr>
        <w:t>mputed using regression method in SPSS version 23. The regression model is estimated in the observed data and subsequently, using the regression weights, the missing values were predicted and replaced.</w:t>
      </w:r>
    </w:p>
    <w:p w14:paraId="510E7B1F" w14:textId="006D3C47" w:rsidR="00D65FF6" w:rsidRPr="008D75D3" w:rsidRDefault="00D65FF6" w:rsidP="00E30836">
      <w:pPr>
        <w:spacing w:line="360" w:lineRule="auto"/>
        <w:contextualSpacing/>
        <w:jc w:val="both"/>
        <w:rPr>
          <w:rFonts w:asciiTheme="majorBidi" w:eastAsia="Times New Roman" w:hAnsiTheme="majorBidi" w:cstheme="majorBidi"/>
          <w:b/>
          <w:bCs/>
          <w:sz w:val="24"/>
          <w:szCs w:val="24"/>
        </w:rPr>
      </w:pPr>
      <w:r w:rsidRPr="008D75D3">
        <w:rPr>
          <w:rFonts w:asciiTheme="majorBidi" w:eastAsia="Times New Roman" w:hAnsiTheme="majorBidi" w:cstheme="majorBidi"/>
          <w:b/>
          <w:bCs/>
          <w:sz w:val="24"/>
          <w:szCs w:val="24"/>
        </w:rPr>
        <w:t>6.</w:t>
      </w:r>
      <w:r w:rsidR="00C0315E">
        <w:rPr>
          <w:rFonts w:asciiTheme="majorBidi" w:eastAsia="Times New Roman" w:hAnsiTheme="majorBidi" w:cstheme="majorBidi"/>
          <w:b/>
          <w:bCs/>
          <w:sz w:val="24"/>
          <w:szCs w:val="24"/>
        </w:rPr>
        <w:t>5</w:t>
      </w:r>
      <w:r w:rsidRPr="008D75D3">
        <w:rPr>
          <w:rFonts w:asciiTheme="majorBidi" w:eastAsia="Times New Roman" w:hAnsiTheme="majorBidi" w:cstheme="majorBidi"/>
          <w:b/>
          <w:bCs/>
          <w:sz w:val="24"/>
          <w:szCs w:val="24"/>
        </w:rPr>
        <w:t xml:space="preserve"> Demographics Analysis</w:t>
      </w:r>
      <w:r>
        <w:rPr>
          <w:rFonts w:asciiTheme="majorBidi" w:eastAsia="Times New Roman" w:hAnsiTheme="majorBidi" w:cstheme="majorBidi"/>
          <w:b/>
          <w:bCs/>
          <w:sz w:val="24"/>
          <w:szCs w:val="24"/>
        </w:rPr>
        <w:t xml:space="preserve"> </w:t>
      </w:r>
    </w:p>
    <w:p w14:paraId="24312495" w14:textId="054B7B46" w:rsidR="00D65FF6" w:rsidRPr="008D75D3" w:rsidRDefault="00D65FF6" w:rsidP="006E435C">
      <w:pPr>
        <w:spacing w:line="480" w:lineRule="auto"/>
        <w:contextualSpacing/>
        <w:jc w:val="both"/>
        <w:rPr>
          <w:rFonts w:asciiTheme="majorBidi" w:eastAsia="Times New Roman" w:hAnsiTheme="majorBidi" w:cstheme="majorBidi"/>
          <w:sz w:val="24"/>
          <w:szCs w:val="24"/>
        </w:rPr>
      </w:pPr>
      <w:r>
        <w:rPr>
          <w:rFonts w:asciiTheme="majorBidi" w:eastAsia="Times New Roman" w:hAnsiTheme="majorBidi" w:cstheme="majorBidi"/>
          <w:sz w:val="24"/>
          <w:szCs w:val="24"/>
        </w:rPr>
        <w:tab/>
      </w:r>
      <w:r w:rsidRPr="008D75D3">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section</w:t>
      </w:r>
      <w:r w:rsidRPr="008D75D3">
        <w:rPr>
          <w:rFonts w:asciiTheme="majorBidi" w:eastAsia="Times New Roman" w:hAnsiTheme="majorBidi" w:cstheme="majorBidi"/>
          <w:sz w:val="24"/>
          <w:szCs w:val="24"/>
        </w:rPr>
        <w:t xml:space="preserve"> tackle</w:t>
      </w:r>
      <w:r>
        <w:rPr>
          <w:rFonts w:asciiTheme="majorBidi" w:eastAsia="Times New Roman" w:hAnsiTheme="majorBidi" w:cstheme="majorBidi"/>
          <w:sz w:val="24"/>
          <w:szCs w:val="24"/>
        </w:rPr>
        <w:t>s</w:t>
      </w:r>
      <w:r w:rsidRPr="008D75D3">
        <w:rPr>
          <w:rFonts w:asciiTheme="majorBidi" w:eastAsia="Times New Roman" w:hAnsiTheme="majorBidi" w:cstheme="majorBidi"/>
          <w:sz w:val="24"/>
          <w:szCs w:val="24"/>
        </w:rPr>
        <w:t xml:space="preserve"> the research sample’s socio-demographic character</w:t>
      </w:r>
      <w:r w:rsidR="00033786">
        <w:rPr>
          <w:rFonts w:asciiTheme="majorBidi" w:eastAsia="Times New Roman" w:hAnsiTheme="majorBidi" w:cstheme="majorBidi"/>
          <w:sz w:val="24"/>
          <w:szCs w:val="24"/>
        </w:rPr>
        <w:t>i</w:t>
      </w:r>
      <w:r w:rsidRPr="008D75D3">
        <w:rPr>
          <w:rFonts w:asciiTheme="majorBidi" w:eastAsia="Times New Roman" w:hAnsiTheme="majorBidi" w:cstheme="majorBidi"/>
          <w:sz w:val="24"/>
          <w:szCs w:val="24"/>
        </w:rPr>
        <w:t>s</w:t>
      </w:r>
      <w:r w:rsidR="00033786">
        <w:rPr>
          <w:rFonts w:asciiTheme="majorBidi" w:eastAsia="Times New Roman" w:hAnsiTheme="majorBidi" w:cstheme="majorBidi"/>
          <w:sz w:val="24"/>
          <w:szCs w:val="24"/>
        </w:rPr>
        <w:t>tics</w:t>
      </w:r>
      <w:r w:rsidRPr="008D75D3">
        <w:rPr>
          <w:rFonts w:asciiTheme="majorBidi" w:eastAsia="Times New Roman" w:hAnsiTheme="majorBidi" w:cstheme="majorBidi"/>
          <w:sz w:val="24"/>
          <w:szCs w:val="24"/>
        </w:rPr>
        <w:t xml:space="preserve"> of the final sample. The following </w:t>
      </w:r>
      <w:r>
        <w:rPr>
          <w:rFonts w:asciiTheme="majorBidi" w:eastAsia="Times New Roman" w:hAnsiTheme="majorBidi" w:cstheme="majorBidi"/>
          <w:sz w:val="24"/>
          <w:szCs w:val="24"/>
        </w:rPr>
        <w:t>t</w:t>
      </w:r>
      <w:r w:rsidRPr="008D75D3">
        <w:rPr>
          <w:rFonts w:asciiTheme="majorBidi" w:eastAsia="Times New Roman" w:hAnsiTheme="majorBidi" w:cstheme="majorBidi"/>
          <w:sz w:val="24"/>
          <w:szCs w:val="24"/>
        </w:rPr>
        <w:t xml:space="preserve">able is an overview of the sample demographics in terms of frequency and percentage. </w:t>
      </w:r>
    </w:p>
    <w:p w14:paraId="2CE0862D" w14:textId="77777777" w:rsidR="00812CFD" w:rsidRDefault="00812CFD">
      <w:r>
        <w:br w:type="page"/>
      </w:r>
    </w:p>
    <w:tbl>
      <w:tblPr>
        <w:tblW w:w="0" w:type="auto"/>
        <w:tblInd w:w="534" w:type="dxa"/>
        <w:tblLook w:val="04A0" w:firstRow="1" w:lastRow="0" w:firstColumn="1" w:lastColumn="0" w:noHBand="0" w:noVBand="1"/>
      </w:tblPr>
      <w:tblGrid>
        <w:gridCol w:w="4819"/>
        <w:gridCol w:w="1843"/>
        <w:gridCol w:w="1417"/>
      </w:tblGrid>
      <w:tr w:rsidR="00D65FF6" w:rsidRPr="008D75D3" w14:paraId="0348FAE7" w14:textId="77777777" w:rsidTr="004B44B9">
        <w:trPr>
          <w:trHeight w:val="46"/>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C553E13" w14:textId="6CE51EEE" w:rsidR="00D65FF6" w:rsidRPr="00D53E24" w:rsidRDefault="00D65FF6" w:rsidP="00361713">
            <w:pPr>
              <w:spacing w:after="0" w:line="240" w:lineRule="auto"/>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 xml:space="preserve">Variables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3B1F7E" w14:textId="77777777" w:rsidR="00D65FF6" w:rsidRPr="00D53E24" w:rsidRDefault="00D65FF6" w:rsidP="00361713">
            <w:pPr>
              <w:spacing w:after="0" w:line="240" w:lineRule="auto"/>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Frequency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33EE48" w14:textId="77777777" w:rsidR="00D65FF6" w:rsidRPr="00D53E24" w:rsidRDefault="00D65FF6" w:rsidP="00361713">
            <w:pPr>
              <w:spacing w:after="0" w:line="240" w:lineRule="auto"/>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Percentage</w:t>
            </w:r>
          </w:p>
        </w:tc>
      </w:tr>
      <w:tr w:rsidR="00D65FF6" w:rsidRPr="008D75D3" w14:paraId="248D770C" w14:textId="77777777" w:rsidTr="004B44B9">
        <w:trPr>
          <w:trHeight w:val="46"/>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21CE32FB" w14:textId="77777777" w:rsidR="00D65FF6" w:rsidRPr="00D53E24" w:rsidRDefault="00D65FF6" w:rsidP="008D0DBB">
            <w:pPr>
              <w:spacing w:after="0" w:line="240" w:lineRule="auto"/>
              <w:rPr>
                <w:rFonts w:asciiTheme="majorBidi" w:eastAsia="Calibri" w:hAnsiTheme="majorBidi" w:cstheme="majorBidi"/>
                <w:sz w:val="20"/>
                <w:szCs w:val="20"/>
                <w:lang w:bidi="ar-EG"/>
              </w:rPr>
            </w:pPr>
            <w:r w:rsidRPr="00D53E24">
              <w:rPr>
                <w:rFonts w:asciiTheme="majorBidi" w:eastAsia="Calibri" w:hAnsiTheme="majorBidi" w:cstheme="majorBidi"/>
                <w:sz w:val="20"/>
                <w:szCs w:val="20"/>
              </w:rPr>
              <w:t xml:space="preserve">Gender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E869076" w14:textId="77777777" w:rsidR="00D65FF6" w:rsidRPr="00D53E24" w:rsidRDefault="00D65FF6" w:rsidP="008D0DBB">
            <w:pPr>
              <w:spacing w:after="0" w:line="240" w:lineRule="auto"/>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610870" w14:textId="77777777" w:rsidR="00D65FF6" w:rsidRPr="00D53E24" w:rsidRDefault="00D65FF6" w:rsidP="008D0DBB">
            <w:pPr>
              <w:spacing w:after="0" w:line="240" w:lineRule="auto"/>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100%</w:t>
            </w:r>
          </w:p>
        </w:tc>
      </w:tr>
      <w:tr w:rsidR="00D65FF6" w:rsidRPr="008D75D3" w14:paraId="6BA3FBF9" w14:textId="77777777" w:rsidTr="004B44B9">
        <w:trPr>
          <w:trHeight w:val="46"/>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21CD056" w14:textId="77777777" w:rsidR="00D65FF6" w:rsidRPr="00D53E24" w:rsidRDefault="00D65FF6" w:rsidP="00D53E24">
            <w:pPr>
              <w:tabs>
                <w:tab w:val="left" w:pos="0"/>
                <w:tab w:val="right" w:pos="70"/>
                <w:tab w:val="left" w:pos="203"/>
              </w:tabs>
              <w:spacing w:after="0" w:line="240" w:lineRule="auto"/>
              <w:ind w:left="345"/>
              <w:contextualSpacing/>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Female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71704D" w14:textId="77777777" w:rsidR="00D65FF6" w:rsidRPr="00D53E24" w:rsidRDefault="00D65FF6" w:rsidP="00D53E24">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358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EDF384" w14:textId="77777777" w:rsidR="00D65FF6" w:rsidRPr="00D53E24" w:rsidRDefault="00D65FF6" w:rsidP="00D53E24">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76%</w:t>
            </w:r>
          </w:p>
        </w:tc>
      </w:tr>
      <w:tr w:rsidR="00D65FF6" w:rsidRPr="008D75D3" w14:paraId="78133BAB" w14:textId="77777777" w:rsidTr="004B44B9">
        <w:trPr>
          <w:trHeight w:val="223"/>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D066450" w14:textId="77777777" w:rsidR="00D65FF6" w:rsidRPr="00D53E24" w:rsidRDefault="00D65FF6" w:rsidP="00D53E24">
            <w:pPr>
              <w:tabs>
                <w:tab w:val="left" w:pos="0"/>
                <w:tab w:val="right" w:pos="70"/>
                <w:tab w:val="left" w:pos="203"/>
              </w:tabs>
              <w:spacing w:after="0" w:line="240" w:lineRule="auto"/>
              <w:ind w:left="345"/>
              <w:contextualSpacing/>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Male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943176C" w14:textId="77777777" w:rsidR="00D65FF6" w:rsidRPr="00D53E24" w:rsidRDefault="00D65FF6" w:rsidP="00D53E24">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116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E65337" w14:textId="77777777" w:rsidR="00D65FF6" w:rsidRPr="00D53E24" w:rsidRDefault="00D65FF6" w:rsidP="00D53E24">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24%</w:t>
            </w:r>
          </w:p>
        </w:tc>
      </w:tr>
      <w:tr w:rsidR="00D65FF6" w:rsidRPr="008D75D3" w14:paraId="432DC0A5" w14:textId="77777777" w:rsidTr="004B44B9">
        <w:trPr>
          <w:trHeight w:val="46"/>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4E51565" w14:textId="063C650A" w:rsidR="00D65FF6" w:rsidRPr="00D53E24" w:rsidRDefault="00C645E6" w:rsidP="008D0DBB">
            <w:pPr>
              <w:spacing w:after="0" w:line="240" w:lineRule="auto"/>
              <w:ind w:left="34"/>
              <w:rPr>
                <w:rFonts w:asciiTheme="majorBidi" w:eastAsia="Calibri" w:hAnsiTheme="majorBidi" w:cstheme="majorBidi"/>
                <w:sz w:val="20"/>
                <w:szCs w:val="20"/>
              </w:rPr>
            </w:pPr>
            <w:r w:rsidRPr="00D53E24">
              <w:rPr>
                <w:rFonts w:asciiTheme="majorBidi" w:eastAsia="Calibri" w:hAnsiTheme="majorBidi" w:cstheme="majorBidi"/>
                <w:sz w:val="20"/>
                <w:szCs w:val="20"/>
              </w:rPr>
              <w:t>Household</w:t>
            </w:r>
            <w:r w:rsidR="00C7799B" w:rsidRPr="00D53E24">
              <w:rPr>
                <w:rFonts w:asciiTheme="majorBidi" w:eastAsia="Calibri" w:hAnsiTheme="majorBidi" w:cstheme="majorBidi"/>
                <w:sz w:val="20"/>
                <w:szCs w:val="20"/>
              </w:rPr>
              <w:t xml:space="preserve"> monthly</w:t>
            </w:r>
            <w:r w:rsidRPr="00D53E24">
              <w:rPr>
                <w:rFonts w:asciiTheme="majorBidi" w:eastAsia="Calibri" w:hAnsiTheme="majorBidi" w:cstheme="majorBidi"/>
                <w:sz w:val="20"/>
                <w:szCs w:val="20"/>
              </w:rPr>
              <w:t xml:space="preserve"> </w:t>
            </w:r>
            <w:r w:rsidR="00D65FF6" w:rsidRPr="00D53E24">
              <w:rPr>
                <w:rFonts w:asciiTheme="majorBidi" w:eastAsia="Calibri" w:hAnsiTheme="majorBidi" w:cstheme="majorBidi"/>
                <w:sz w:val="20"/>
                <w:szCs w:val="20"/>
              </w:rPr>
              <w:t xml:space="preserve">Income </w:t>
            </w:r>
            <w:r w:rsidRPr="00D53E24">
              <w:rPr>
                <w:rFonts w:asciiTheme="majorBidi" w:eastAsia="Calibri" w:hAnsiTheme="majorBidi" w:cstheme="majorBidi"/>
                <w:sz w:val="20"/>
                <w:szCs w:val="20"/>
              </w:rPr>
              <w:t>(E</w:t>
            </w:r>
            <w:r w:rsidR="00901611" w:rsidRPr="00D53E24">
              <w:rPr>
                <w:rFonts w:asciiTheme="majorBidi" w:eastAsia="Calibri" w:hAnsiTheme="majorBidi" w:cstheme="majorBidi"/>
                <w:sz w:val="20"/>
                <w:szCs w:val="20"/>
              </w:rPr>
              <w:t>GP</w:t>
            </w:r>
            <w:r w:rsidRPr="00D53E24">
              <w:rPr>
                <w:rFonts w:asciiTheme="majorBidi" w:eastAsia="Calibri" w:hAnsiTheme="majorBidi" w:cstheme="majorBidi"/>
                <w:sz w:val="20"/>
                <w:szCs w:val="20"/>
              </w:rPr>
              <w:t>)</w:t>
            </w:r>
            <w:r w:rsidR="00D65FF6" w:rsidRPr="00D53E24">
              <w:rPr>
                <w:rFonts w:asciiTheme="majorBidi" w:eastAsia="Calibri" w:hAnsiTheme="majorBidi" w:cstheme="majorBidi"/>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3728A5A" w14:textId="77777777" w:rsidR="00D65FF6" w:rsidRPr="00D53E24" w:rsidRDefault="00D65FF6"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lang w:bidi="ar-EG"/>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325D2F" w14:textId="77777777" w:rsidR="00D65FF6" w:rsidRPr="00D53E24" w:rsidRDefault="00D65FF6"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lang w:bidi="ar-EG"/>
              </w:rPr>
              <w:t>100%</w:t>
            </w:r>
          </w:p>
        </w:tc>
      </w:tr>
      <w:tr w:rsidR="00C645E6" w:rsidRPr="008D75D3" w14:paraId="717B1266" w14:textId="77777777" w:rsidTr="004B44B9">
        <w:trPr>
          <w:trHeight w:val="242"/>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6173853" w14:textId="17A8FCC4" w:rsidR="00C645E6" w:rsidRPr="00D53E24" w:rsidRDefault="00C645E6" w:rsidP="008D0DBB">
            <w:pPr>
              <w:tabs>
                <w:tab w:val="left" w:pos="0"/>
                <w:tab w:val="right" w:pos="70"/>
                <w:tab w:val="left" w:pos="203"/>
              </w:tabs>
              <w:spacing w:before="100" w:beforeAutospacing="1" w:after="100" w:afterAutospacing="1" w:line="240" w:lineRule="auto"/>
              <w:ind w:left="345"/>
              <w:contextualSpacing/>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Less than 2,284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D8AAD6" w14:textId="338732DE" w:rsidR="00C645E6" w:rsidRPr="00D53E24" w:rsidRDefault="00901611" w:rsidP="008D0DBB">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1E8FB0" w14:textId="39A368E1" w:rsidR="00C645E6" w:rsidRPr="00D53E24" w:rsidRDefault="00901611"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0%</w:t>
            </w:r>
          </w:p>
        </w:tc>
      </w:tr>
      <w:tr w:rsidR="00C645E6" w:rsidRPr="008D75D3" w14:paraId="0350A7BA" w14:textId="77777777" w:rsidTr="004B44B9">
        <w:trPr>
          <w:trHeight w:val="242"/>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60174FE" w14:textId="12BF7A6E" w:rsidR="00C645E6" w:rsidRPr="00D53E24" w:rsidRDefault="00C645E6" w:rsidP="008D0DBB">
            <w:pPr>
              <w:tabs>
                <w:tab w:val="left" w:pos="0"/>
                <w:tab w:val="right" w:pos="70"/>
                <w:tab w:val="left" w:pos="203"/>
              </w:tabs>
              <w:spacing w:before="100" w:beforeAutospacing="1" w:after="100" w:afterAutospacing="1" w:line="240" w:lineRule="auto"/>
              <w:ind w:left="345"/>
              <w:contextualSpacing/>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2,285 – 6,333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F2117C" w14:textId="64B73FF2" w:rsidR="00C645E6" w:rsidRPr="00D53E24" w:rsidRDefault="00901611" w:rsidP="008D0DBB">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959A64" w14:textId="5FDF4900" w:rsidR="00C645E6" w:rsidRPr="00D53E24" w:rsidRDefault="00901611"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0%</w:t>
            </w:r>
          </w:p>
        </w:tc>
      </w:tr>
      <w:tr w:rsidR="00D65FF6" w:rsidRPr="008D75D3" w14:paraId="74EAC2FC" w14:textId="77777777" w:rsidTr="004B44B9">
        <w:trPr>
          <w:trHeight w:val="242"/>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D445B59" w14:textId="75CD15F0" w:rsidR="00D65FF6" w:rsidRPr="00D53E24" w:rsidRDefault="00C645E6" w:rsidP="008D0DBB">
            <w:pPr>
              <w:tabs>
                <w:tab w:val="left" w:pos="0"/>
                <w:tab w:val="right" w:pos="70"/>
                <w:tab w:val="left" w:pos="203"/>
              </w:tabs>
              <w:spacing w:before="100" w:beforeAutospacing="1" w:after="100" w:afterAutospacing="1" w:line="240" w:lineRule="auto"/>
              <w:ind w:left="345"/>
              <w:contextualSpacing/>
              <w:rPr>
                <w:rFonts w:asciiTheme="majorBidi" w:eastAsia="Calibri" w:hAnsiTheme="majorBidi" w:cstheme="majorBidi"/>
                <w:sz w:val="20"/>
                <w:szCs w:val="20"/>
                <w:lang w:bidi="ar-EG"/>
              </w:rPr>
            </w:pPr>
            <w:bookmarkStart w:id="156" w:name="_Hlk142999047"/>
            <w:r w:rsidRPr="00D53E24">
              <w:rPr>
                <w:rFonts w:asciiTheme="majorBidi" w:eastAsia="Calibri" w:hAnsiTheme="majorBidi" w:cstheme="majorBidi"/>
                <w:sz w:val="20"/>
                <w:szCs w:val="20"/>
                <w:lang w:bidi="ar-EG"/>
              </w:rPr>
              <w:t xml:space="preserve">6,334 – </w:t>
            </w:r>
            <w:r w:rsidR="00D65FF6" w:rsidRPr="00D53E24">
              <w:rPr>
                <w:rFonts w:asciiTheme="majorBidi" w:eastAsia="Calibri" w:hAnsiTheme="majorBidi" w:cstheme="majorBidi"/>
                <w:sz w:val="20"/>
                <w:szCs w:val="20"/>
                <w:lang w:bidi="ar-EG"/>
              </w:rPr>
              <w:t>10,</w:t>
            </w:r>
            <w:r w:rsidRPr="00D53E24">
              <w:rPr>
                <w:rFonts w:asciiTheme="majorBidi" w:eastAsia="Calibri" w:hAnsiTheme="majorBidi" w:cstheme="majorBidi"/>
                <w:sz w:val="20"/>
                <w:szCs w:val="20"/>
                <w:lang w:bidi="ar-EG"/>
              </w:rPr>
              <w:t>897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714444" w14:textId="77777777" w:rsidR="00D65FF6" w:rsidRPr="00D53E24" w:rsidRDefault="00D65FF6" w:rsidP="008D0DBB">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130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54C3DC" w14:textId="77777777" w:rsidR="00D65FF6" w:rsidRPr="00D53E24" w:rsidRDefault="00D65FF6"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27.4%</w:t>
            </w:r>
          </w:p>
        </w:tc>
      </w:tr>
      <w:tr w:rsidR="00D65FF6" w:rsidRPr="008D75D3" w14:paraId="4F97DDEA" w14:textId="77777777" w:rsidTr="004B44B9">
        <w:trPr>
          <w:trHeight w:val="170"/>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D47253F" w14:textId="50011405" w:rsidR="00D65FF6" w:rsidRPr="00D53E24" w:rsidRDefault="00D65FF6" w:rsidP="008D0DBB">
            <w:pPr>
              <w:tabs>
                <w:tab w:val="right" w:pos="70"/>
                <w:tab w:val="left" w:pos="203"/>
                <w:tab w:val="left" w:pos="333"/>
              </w:tabs>
              <w:spacing w:before="100" w:beforeAutospacing="1" w:after="100" w:afterAutospacing="1" w:line="240" w:lineRule="auto"/>
              <w:ind w:firstLine="333"/>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10,</w:t>
            </w:r>
            <w:r w:rsidR="00C645E6" w:rsidRPr="00D53E24">
              <w:rPr>
                <w:rFonts w:asciiTheme="majorBidi" w:eastAsia="Calibri" w:hAnsiTheme="majorBidi" w:cstheme="majorBidi"/>
                <w:sz w:val="20"/>
                <w:szCs w:val="20"/>
                <w:lang w:bidi="ar-EG"/>
              </w:rPr>
              <w:t>898 –</w:t>
            </w:r>
            <w:r w:rsidRPr="00D53E24">
              <w:rPr>
                <w:rFonts w:asciiTheme="majorBidi" w:eastAsia="Calibri" w:hAnsiTheme="majorBidi" w:cstheme="majorBidi"/>
                <w:sz w:val="20"/>
                <w:szCs w:val="20"/>
                <w:lang w:bidi="ar-EG"/>
              </w:rPr>
              <w:t>1</w:t>
            </w:r>
            <w:r w:rsidR="00C645E6" w:rsidRPr="00D53E24">
              <w:rPr>
                <w:rFonts w:asciiTheme="majorBidi" w:eastAsia="Calibri" w:hAnsiTheme="majorBidi" w:cstheme="majorBidi"/>
                <w:sz w:val="20"/>
                <w:szCs w:val="20"/>
                <w:lang w:bidi="ar-EG"/>
              </w:rPr>
              <w:t>6,558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D6CCAB6" w14:textId="77777777" w:rsidR="00D65FF6" w:rsidRPr="00D53E24" w:rsidRDefault="00D65FF6" w:rsidP="008D0DBB">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A98674" w14:textId="77777777" w:rsidR="00D65FF6" w:rsidRPr="00D53E24" w:rsidRDefault="00D65FF6"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11.2%</w:t>
            </w:r>
          </w:p>
        </w:tc>
      </w:tr>
      <w:tr w:rsidR="00D65FF6" w:rsidRPr="008D75D3" w14:paraId="5436DF35" w14:textId="77777777" w:rsidTr="004B44B9">
        <w:trPr>
          <w:trHeight w:val="134"/>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02948AE" w14:textId="73617E13" w:rsidR="00D65FF6" w:rsidRPr="00D53E24" w:rsidRDefault="00D65FF6" w:rsidP="008D0DBB">
            <w:pPr>
              <w:tabs>
                <w:tab w:val="right" w:pos="70"/>
                <w:tab w:val="left" w:pos="203"/>
                <w:tab w:val="left" w:pos="333"/>
              </w:tabs>
              <w:spacing w:before="100" w:beforeAutospacing="1" w:after="100" w:afterAutospacing="1" w:line="240" w:lineRule="auto"/>
              <w:ind w:firstLine="333"/>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1</w:t>
            </w:r>
            <w:r w:rsidR="00C645E6" w:rsidRPr="00D53E24">
              <w:rPr>
                <w:rFonts w:asciiTheme="majorBidi" w:eastAsia="Calibri" w:hAnsiTheme="majorBidi" w:cstheme="majorBidi"/>
                <w:sz w:val="20"/>
                <w:szCs w:val="20"/>
                <w:lang w:bidi="ar-EG"/>
              </w:rPr>
              <w:t>6</w:t>
            </w:r>
            <w:r w:rsidRPr="00D53E24">
              <w:rPr>
                <w:rFonts w:asciiTheme="majorBidi" w:eastAsia="Calibri" w:hAnsiTheme="majorBidi" w:cstheme="majorBidi"/>
                <w:sz w:val="20"/>
                <w:szCs w:val="20"/>
                <w:lang w:bidi="ar-EG"/>
              </w:rPr>
              <w:t>,</w:t>
            </w:r>
            <w:r w:rsidR="00C645E6" w:rsidRPr="00D53E24">
              <w:rPr>
                <w:rFonts w:asciiTheme="majorBidi" w:eastAsia="Calibri" w:hAnsiTheme="majorBidi" w:cstheme="majorBidi"/>
                <w:sz w:val="20"/>
                <w:szCs w:val="20"/>
                <w:lang w:bidi="ar-EG"/>
              </w:rPr>
              <w:t>559 –</w:t>
            </w:r>
            <w:r w:rsidR="00901611" w:rsidRPr="00D53E24">
              <w:rPr>
                <w:rFonts w:asciiTheme="majorBidi" w:eastAsia="Calibri" w:hAnsiTheme="majorBidi" w:cstheme="majorBidi"/>
                <w:sz w:val="20"/>
                <w:szCs w:val="20"/>
                <w:lang w:bidi="ar-EG"/>
              </w:rPr>
              <w:t xml:space="preserve"> </w:t>
            </w:r>
            <w:r w:rsidR="00C645E6" w:rsidRPr="00D53E24">
              <w:rPr>
                <w:rFonts w:asciiTheme="majorBidi" w:eastAsia="Calibri" w:hAnsiTheme="majorBidi" w:cstheme="majorBidi"/>
                <w:sz w:val="20"/>
                <w:szCs w:val="20"/>
                <w:lang w:bidi="ar-EG"/>
              </w:rPr>
              <w:t>22,306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D5F98E" w14:textId="77777777" w:rsidR="00D65FF6" w:rsidRPr="00D53E24" w:rsidRDefault="00D65FF6" w:rsidP="008D0DBB">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D374DC" w14:textId="77777777" w:rsidR="00D65FF6" w:rsidRPr="00D53E24" w:rsidRDefault="00D65FF6"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11.2%</w:t>
            </w:r>
          </w:p>
        </w:tc>
      </w:tr>
      <w:tr w:rsidR="00D65FF6" w:rsidRPr="008D75D3" w14:paraId="14D72DD5" w14:textId="77777777" w:rsidTr="004B44B9">
        <w:trPr>
          <w:trHeight w:val="12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81DD270" w14:textId="3E4F80F9" w:rsidR="00D65FF6" w:rsidRPr="00D53E24" w:rsidRDefault="00D65FF6" w:rsidP="008D0DBB">
            <w:pPr>
              <w:tabs>
                <w:tab w:val="right" w:pos="70"/>
                <w:tab w:val="left" w:pos="203"/>
                <w:tab w:val="left" w:pos="333"/>
              </w:tabs>
              <w:spacing w:before="100" w:beforeAutospacing="1" w:after="100" w:afterAutospacing="1" w:line="240" w:lineRule="auto"/>
              <w:ind w:firstLine="333"/>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 xml:space="preserve"> 2</w:t>
            </w:r>
            <w:r w:rsidR="00901611" w:rsidRPr="00D53E24">
              <w:rPr>
                <w:rFonts w:asciiTheme="majorBidi" w:eastAsia="Calibri" w:hAnsiTheme="majorBidi" w:cstheme="majorBidi"/>
                <w:sz w:val="20"/>
                <w:szCs w:val="20"/>
                <w:lang w:bidi="ar-EG"/>
              </w:rPr>
              <w:t>2,307 – 4</w:t>
            </w:r>
            <w:r w:rsidRPr="00D53E24">
              <w:rPr>
                <w:rFonts w:asciiTheme="majorBidi" w:eastAsia="Calibri" w:hAnsiTheme="majorBidi" w:cstheme="majorBidi"/>
                <w:sz w:val="20"/>
                <w:szCs w:val="20"/>
                <w:lang w:bidi="ar-EG"/>
              </w:rPr>
              <w:t>5,</w:t>
            </w:r>
            <w:r w:rsidR="00901611" w:rsidRPr="00D53E24">
              <w:rPr>
                <w:rFonts w:asciiTheme="majorBidi" w:eastAsia="Calibri" w:hAnsiTheme="majorBidi" w:cstheme="majorBidi"/>
                <w:sz w:val="20"/>
                <w:szCs w:val="20"/>
                <w:lang w:bidi="ar-EG"/>
              </w:rPr>
              <w:t>12</w:t>
            </w:r>
            <w:r w:rsidRPr="00D53E24">
              <w:rPr>
                <w:rFonts w:asciiTheme="majorBidi" w:eastAsia="Calibri" w:hAnsiTheme="majorBidi" w:cstheme="majorBidi"/>
                <w:sz w:val="20"/>
                <w:szCs w:val="20"/>
                <w:lang w:bidi="ar-EG"/>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1EF8E5" w14:textId="2AA0DFAF" w:rsidR="00D65FF6" w:rsidRPr="00D53E24" w:rsidRDefault="00901611" w:rsidP="008D0DBB">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3F1360" w14:textId="7127AF23" w:rsidR="00D65FF6" w:rsidRPr="00D53E24" w:rsidRDefault="00901611"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42.2</w:t>
            </w:r>
            <w:r w:rsidR="00D65FF6" w:rsidRPr="00D53E24">
              <w:rPr>
                <w:rFonts w:asciiTheme="majorBidi" w:eastAsia="Calibri" w:hAnsiTheme="majorBidi" w:cstheme="majorBidi"/>
                <w:sz w:val="20"/>
                <w:szCs w:val="20"/>
              </w:rPr>
              <w:t>%</w:t>
            </w:r>
          </w:p>
        </w:tc>
      </w:tr>
      <w:tr w:rsidR="00D65FF6" w:rsidRPr="008D75D3" w14:paraId="2C88AAEB" w14:textId="77777777" w:rsidTr="004B44B9">
        <w:trPr>
          <w:trHeight w:val="77"/>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E0603B2" w14:textId="60478A08" w:rsidR="00D65FF6" w:rsidRPr="00D53E24" w:rsidRDefault="00D65FF6" w:rsidP="008D0DBB">
            <w:pPr>
              <w:tabs>
                <w:tab w:val="right" w:pos="70"/>
                <w:tab w:val="left" w:pos="203"/>
                <w:tab w:val="left" w:pos="333"/>
              </w:tabs>
              <w:spacing w:before="100" w:beforeAutospacing="1" w:after="100" w:afterAutospacing="1" w:line="240" w:lineRule="auto"/>
              <w:ind w:firstLine="333"/>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 xml:space="preserve">Above </w:t>
            </w:r>
            <w:r w:rsidR="00901611" w:rsidRPr="00D53E24">
              <w:rPr>
                <w:rFonts w:asciiTheme="majorBidi" w:eastAsia="Calibri" w:hAnsiTheme="majorBidi" w:cstheme="majorBidi"/>
                <w:sz w:val="20"/>
                <w:szCs w:val="20"/>
                <w:lang w:bidi="ar-EG"/>
              </w:rPr>
              <w:t>45</w:t>
            </w:r>
            <w:r w:rsidRPr="00D53E24">
              <w:rPr>
                <w:rFonts w:asciiTheme="majorBidi" w:eastAsia="Calibri" w:hAnsiTheme="majorBidi" w:cstheme="majorBidi"/>
                <w:sz w:val="20"/>
                <w:szCs w:val="20"/>
                <w:lang w:bidi="ar-EG"/>
              </w:rPr>
              <w:t>,</w:t>
            </w:r>
            <w:r w:rsidR="00901611" w:rsidRPr="00D53E24">
              <w:rPr>
                <w:rFonts w:asciiTheme="majorBidi" w:eastAsia="Calibri" w:hAnsiTheme="majorBidi" w:cstheme="majorBidi"/>
                <w:sz w:val="20"/>
                <w:szCs w:val="20"/>
                <w:lang w:bidi="ar-EG"/>
              </w:rPr>
              <w:t>12</w:t>
            </w:r>
            <w:r w:rsidRPr="00D53E24">
              <w:rPr>
                <w:rFonts w:asciiTheme="majorBidi" w:eastAsia="Calibri" w:hAnsiTheme="majorBidi" w:cstheme="majorBidi"/>
                <w:sz w:val="20"/>
                <w:szCs w:val="20"/>
                <w:lang w:bidi="ar-EG"/>
              </w:rPr>
              <w:t>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7C889CB" w14:textId="752B4D67" w:rsidR="00D65FF6" w:rsidRPr="00D53E24" w:rsidRDefault="00901611" w:rsidP="008D0DBB">
            <w:pPr>
              <w:spacing w:after="0" w:line="240" w:lineRule="auto"/>
              <w:ind w:left="34"/>
              <w:jc w:val="center"/>
              <w:rPr>
                <w:rFonts w:asciiTheme="majorBidi" w:eastAsia="Calibri" w:hAnsiTheme="majorBidi" w:cstheme="majorBidi"/>
                <w:sz w:val="20"/>
                <w:szCs w:val="20"/>
                <w:lang w:bidi="ar-EG"/>
              </w:rPr>
            </w:pPr>
            <w:r w:rsidRPr="00D53E24">
              <w:rPr>
                <w:rFonts w:asciiTheme="majorBidi" w:eastAsia="Calibri" w:hAnsiTheme="majorBidi" w:cstheme="majorBidi"/>
                <w:sz w:val="20"/>
                <w:szCs w:val="20"/>
                <w:lang w:bidi="ar-EG"/>
              </w:rPr>
              <w:t>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5B318D" w14:textId="1704A675" w:rsidR="00D65FF6" w:rsidRPr="00D53E24" w:rsidRDefault="00D65FF6" w:rsidP="008D0DBB">
            <w:pPr>
              <w:spacing w:after="0" w:line="240" w:lineRule="auto"/>
              <w:jc w:val="center"/>
              <w:rPr>
                <w:rFonts w:asciiTheme="majorBidi" w:eastAsia="Calibri" w:hAnsiTheme="majorBidi" w:cstheme="majorBidi"/>
                <w:sz w:val="20"/>
                <w:szCs w:val="20"/>
              </w:rPr>
            </w:pPr>
            <w:r w:rsidRPr="00D53E24">
              <w:rPr>
                <w:rFonts w:asciiTheme="majorBidi" w:eastAsia="Calibri" w:hAnsiTheme="majorBidi" w:cstheme="majorBidi"/>
                <w:sz w:val="20"/>
                <w:szCs w:val="20"/>
              </w:rPr>
              <w:t>8.</w:t>
            </w:r>
            <w:r w:rsidR="00901611" w:rsidRPr="00D53E24">
              <w:rPr>
                <w:rFonts w:asciiTheme="majorBidi" w:eastAsia="Calibri" w:hAnsiTheme="majorBidi" w:cstheme="majorBidi"/>
                <w:sz w:val="20"/>
                <w:szCs w:val="20"/>
              </w:rPr>
              <w:t>02</w:t>
            </w:r>
            <w:r w:rsidRPr="00D53E24">
              <w:rPr>
                <w:rFonts w:asciiTheme="majorBidi" w:eastAsia="Calibri" w:hAnsiTheme="majorBidi" w:cstheme="majorBidi"/>
                <w:sz w:val="20"/>
                <w:szCs w:val="20"/>
              </w:rPr>
              <w:t>%</w:t>
            </w:r>
          </w:p>
        </w:tc>
      </w:tr>
      <w:bookmarkEnd w:id="156"/>
      <w:tr w:rsidR="00D65FF6" w:rsidRPr="008D75D3" w14:paraId="7C16D138" w14:textId="77777777" w:rsidTr="004B44B9">
        <w:trPr>
          <w:trHeight w:val="46"/>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211B1CC" w14:textId="77777777" w:rsidR="00D65FF6" w:rsidRPr="00D53E24" w:rsidRDefault="00D65FF6" w:rsidP="00D53E24">
            <w:pPr>
              <w:spacing w:after="0"/>
              <w:ind w:left="34"/>
              <w:rPr>
                <w:rFonts w:asciiTheme="majorBidi" w:hAnsiTheme="majorBidi" w:cstheme="majorBidi"/>
                <w:sz w:val="20"/>
                <w:szCs w:val="20"/>
              </w:rPr>
            </w:pPr>
            <w:r w:rsidRPr="00D53E24">
              <w:rPr>
                <w:rFonts w:asciiTheme="majorBidi" w:hAnsiTheme="majorBidi" w:cstheme="majorBidi"/>
                <w:sz w:val="20"/>
                <w:szCs w:val="20"/>
              </w:rPr>
              <w:t xml:space="preserve">Current country of residence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BDE89F8"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eastAsia="Calibri" w:hAnsiTheme="majorBidi" w:cstheme="majorBidi"/>
                <w:sz w:val="20"/>
                <w:szCs w:val="20"/>
                <w:lang w:bidi="ar-EG"/>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5FC50A"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eastAsia="Calibri" w:hAnsiTheme="majorBidi" w:cstheme="majorBidi"/>
                <w:sz w:val="20"/>
                <w:szCs w:val="20"/>
                <w:lang w:bidi="ar-EG"/>
              </w:rPr>
              <w:t>100%</w:t>
            </w:r>
          </w:p>
        </w:tc>
      </w:tr>
      <w:tr w:rsidR="00D65FF6" w:rsidRPr="008D75D3" w14:paraId="3F8B5106" w14:textId="77777777" w:rsidTr="004B44B9">
        <w:trPr>
          <w:trHeight w:val="188"/>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12654137" w14:textId="77777777" w:rsidR="00D65FF6" w:rsidRPr="00D53E24" w:rsidRDefault="00D65FF6" w:rsidP="00D53E24">
            <w:pPr>
              <w:pStyle w:val="ListParagraph"/>
              <w:tabs>
                <w:tab w:val="left" w:pos="0"/>
                <w:tab w:val="right" w:pos="70"/>
                <w:tab w:val="left" w:pos="203"/>
              </w:tabs>
              <w:spacing w:before="100" w:beforeAutospacing="1" w:after="0"/>
              <w:ind w:left="345"/>
              <w:rPr>
                <w:rFonts w:asciiTheme="majorBidi" w:hAnsiTheme="majorBidi" w:cstheme="majorBidi"/>
                <w:sz w:val="20"/>
                <w:szCs w:val="20"/>
                <w:lang w:bidi="ar-EG"/>
              </w:rPr>
            </w:pPr>
            <w:r w:rsidRPr="00D53E24">
              <w:rPr>
                <w:rFonts w:asciiTheme="majorBidi" w:hAnsiTheme="majorBidi" w:cstheme="majorBidi"/>
                <w:sz w:val="20"/>
                <w:szCs w:val="20"/>
                <w:lang w:bidi="ar-EG"/>
              </w:rPr>
              <w:t xml:space="preserve">Egypt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8395CC" w14:textId="3A0A0882" w:rsidR="00D65FF6" w:rsidRPr="00D53E24" w:rsidRDefault="00901611"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16A381" w14:textId="7C88C526" w:rsidR="00D65FF6" w:rsidRPr="00D53E24" w:rsidRDefault="00901611" w:rsidP="00D53E24">
            <w:pPr>
              <w:spacing w:after="0"/>
              <w:jc w:val="center"/>
              <w:rPr>
                <w:rFonts w:asciiTheme="majorBidi" w:hAnsiTheme="majorBidi" w:cstheme="majorBidi"/>
                <w:sz w:val="20"/>
                <w:szCs w:val="20"/>
              </w:rPr>
            </w:pPr>
            <w:r w:rsidRPr="00D53E24">
              <w:rPr>
                <w:rFonts w:asciiTheme="majorBidi" w:hAnsiTheme="majorBidi" w:cstheme="majorBidi"/>
                <w:sz w:val="20"/>
                <w:szCs w:val="20"/>
              </w:rPr>
              <w:t>100</w:t>
            </w:r>
            <w:r w:rsidR="00D65FF6" w:rsidRPr="00D53E24">
              <w:rPr>
                <w:rFonts w:asciiTheme="majorBidi" w:hAnsiTheme="majorBidi" w:cstheme="majorBidi"/>
                <w:sz w:val="20"/>
                <w:szCs w:val="20"/>
              </w:rPr>
              <w:t>%</w:t>
            </w:r>
          </w:p>
        </w:tc>
      </w:tr>
      <w:tr w:rsidR="00D65FF6" w:rsidRPr="008D75D3" w14:paraId="622590CE" w14:textId="77777777" w:rsidTr="004B44B9">
        <w:trPr>
          <w:trHeight w:val="116"/>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EB01FC1" w14:textId="77777777" w:rsidR="00D65FF6" w:rsidRPr="00D53E24" w:rsidRDefault="00D65FF6" w:rsidP="00D53E24">
            <w:pPr>
              <w:tabs>
                <w:tab w:val="right" w:pos="70"/>
                <w:tab w:val="left" w:pos="203"/>
                <w:tab w:val="left" w:pos="333"/>
              </w:tabs>
              <w:spacing w:before="100" w:beforeAutospacing="1"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 xml:space="preserve">Outside Egypt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BF2161"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706027" w14:textId="74C0E255" w:rsidR="00D65FF6" w:rsidRPr="00D53E24" w:rsidRDefault="00901611" w:rsidP="00D53E24">
            <w:pPr>
              <w:spacing w:after="0"/>
              <w:jc w:val="center"/>
              <w:rPr>
                <w:rFonts w:asciiTheme="majorBidi" w:hAnsiTheme="majorBidi" w:cstheme="majorBidi"/>
                <w:sz w:val="20"/>
                <w:szCs w:val="20"/>
              </w:rPr>
            </w:pPr>
            <w:r w:rsidRPr="00D53E24">
              <w:rPr>
                <w:rFonts w:asciiTheme="majorBidi" w:hAnsiTheme="majorBidi" w:cstheme="majorBidi"/>
                <w:sz w:val="20"/>
                <w:szCs w:val="20"/>
              </w:rPr>
              <w:t>0</w:t>
            </w:r>
            <w:r w:rsidR="00D65FF6" w:rsidRPr="00D53E24">
              <w:rPr>
                <w:rFonts w:asciiTheme="majorBidi" w:hAnsiTheme="majorBidi" w:cstheme="majorBidi"/>
                <w:sz w:val="20"/>
                <w:szCs w:val="20"/>
              </w:rPr>
              <w:t>%</w:t>
            </w:r>
          </w:p>
        </w:tc>
      </w:tr>
      <w:tr w:rsidR="00D65FF6" w:rsidRPr="008D75D3" w14:paraId="65F1DA6D" w14:textId="77777777" w:rsidTr="004B44B9">
        <w:trPr>
          <w:trHeight w:val="115"/>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6312A77" w14:textId="77777777" w:rsidR="00D65FF6" w:rsidRPr="00D53E24" w:rsidRDefault="00D65FF6" w:rsidP="00D53E24">
            <w:pPr>
              <w:spacing w:after="0"/>
              <w:ind w:left="34"/>
              <w:rPr>
                <w:rFonts w:asciiTheme="majorBidi" w:hAnsiTheme="majorBidi" w:cstheme="majorBidi"/>
                <w:sz w:val="20"/>
                <w:szCs w:val="20"/>
              </w:rPr>
            </w:pPr>
            <w:r w:rsidRPr="00D53E24">
              <w:rPr>
                <w:rFonts w:asciiTheme="majorBidi" w:hAnsiTheme="majorBidi" w:cstheme="majorBidi"/>
                <w:sz w:val="20"/>
                <w:szCs w:val="20"/>
              </w:rPr>
              <w:t>Educational level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7370C32" w14:textId="77777777" w:rsidR="00D65FF6" w:rsidRPr="00D53E24" w:rsidRDefault="00D65FF6" w:rsidP="00D53E24">
            <w:pPr>
              <w:spacing w:after="0"/>
              <w:ind w:left="34"/>
              <w:jc w:val="center"/>
              <w:rPr>
                <w:rFonts w:asciiTheme="majorBidi" w:hAnsiTheme="majorBidi" w:cstheme="majorBidi"/>
                <w:sz w:val="20"/>
                <w:szCs w:val="20"/>
              </w:rPr>
            </w:pPr>
            <w:r w:rsidRPr="00D53E24">
              <w:rPr>
                <w:rFonts w:asciiTheme="majorBidi" w:eastAsia="Calibri" w:hAnsiTheme="majorBidi" w:cstheme="majorBidi"/>
                <w:sz w:val="20"/>
                <w:szCs w:val="20"/>
                <w:lang w:bidi="ar-EG"/>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DBA265" w14:textId="77777777" w:rsidR="00D65FF6" w:rsidRPr="00D53E24" w:rsidRDefault="00D65FF6" w:rsidP="00D53E24">
            <w:pPr>
              <w:spacing w:after="0"/>
              <w:ind w:left="34"/>
              <w:jc w:val="center"/>
              <w:rPr>
                <w:rFonts w:asciiTheme="majorBidi" w:hAnsiTheme="majorBidi" w:cstheme="majorBidi"/>
                <w:sz w:val="20"/>
                <w:szCs w:val="20"/>
              </w:rPr>
            </w:pPr>
            <w:r w:rsidRPr="00D53E24">
              <w:rPr>
                <w:rFonts w:asciiTheme="majorBidi" w:eastAsia="Calibri" w:hAnsiTheme="majorBidi" w:cstheme="majorBidi"/>
                <w:sz w:val="20"/>
                <w:szCs w:val="20"/>
                <w:lang w:bidi="ar-EG"/>
              </w:rPr>
              <w:t>100%</w:t>
            </w:r>
          </w:p>
        </w:tc>
      </w:tr>
      <w:tr w:rsidR="00D65FF6" w:rsidRPr="008D75D3" w14:paraId="55C0EAEA" w14:textId="77777777" w:rsidTr="004B44B9">
        <w:trPr>
          <w:trHeight w:val="134"/>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A556A5B"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High school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DDE7F9"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18F6CD"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sz w:val="20"/>
                <w:szCs w:val="20"/>
              </w:rPr>
              <w:t>2%</w:t>
            </w:r>
          </w:p>
        </w:tc>
      </w:tr>
      <w:tr w:rsidR="00D65FF6" w:rsidRPr="008D75D3" w14:paraId="184C1D72" w14:textId="77777777" w:rsidTr="004B44B9">
        <w:trPr>
          <w:trHeight w:val="458"/>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501080B"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Bachelor’s Degree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9E838E"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305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29DE91"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sz w:val="20"/>
                <w:szCs w:val="20"/>
              </w:rPr>
              <w:t>64%</w:t>
            </w:r>
          </w:p>
        </w:tc>
      </w:tr>
      <w:tr w:rsidR="00D65FF6" w:rsidRPr="008D75D3" w14:paraId="08D4C54C" w14:textId="77777777" w:rsidTr="004B44B9">
        <w:trPr>
          <w:trHeight w:val="170"/>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B125DCE" w14:textId="77777777" w:rsidR="00D65FF6" w:rsidRPr="00D53E24" w:rsidRDefault="00D65FF6" w:rsidP="00D53E24">
            <w:pPr>
              <w:tabs>
                <w:tab w:val="right" w:pos="70"/>
                <w:tab w:val="left" w:pos="203"/>
                <w:tab w:val="left" w:pos="333"/>
              </w:tabs>
              <w:spacing w:before="100" w:beforeAutospacing="1"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Post Graduate degree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A574F0"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162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83F181"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sz w:val="20"/>
                <w:szCs w:val="20"/>
              </w:rPr>
              <w:t>34%</w:t>
            </w:r>
          </w:p>
        </w:tc>
      </w:tr>
      <w:tr w:rsidR="00D65FF6" w:rsidRPr="008D75D3" w14:paraId="6E72A7E1" w14:textId="77777777" w:rsidTr="004B44B9">
        <w:trPr>
          <w:trHeight w:val="368"/>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5A1A982" w14:textId="77777777" w:rsidR="00D65FF6" w:rsidRPr="00D53E24" w:rsidRDefault="00D65FF6" w:rsidP="00D53E24">
            <w:pPr>
              <w:spacing w:after="0"/>
              <w:ind w:left="34"/>
              <w:rPr>
                <w:rFonts w:asciiTheme="majorBidi" w:hAnsiTheme="majorBidi" w:cstheme="majorBidi"/>
                <w:sz w:val="20"/>
                <w:szCs w:val="20"/>
              </w:rPr>
            </w:pPr>
            <w:r w:rsidRPr="00D53E24">
              <w:rPr>
                <w:rFonts w:asciiTheme="majorBidi" w:hAnsiTheme="majorBidi" w:cstheme="majorBidi"/>
                <w:sz w:val="20"/>
                <w:szCs w:val="20"/>
              </w:rPr>
              <w:t>Current Profession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5F0C336" w14:textId="77777777" w:rsidR="00D65FF6" w:rsidRPr="00D53E24" w:rsidRDefault="00D65FF6" w:rsidP="00D53E24">
            <w:pPr>
              <w:spacing w:after="0"/>
              <w:ind w:left="34"/>
              <w:jc w:val="center"/>
              <w:rPr>
                <w:rFonts w:asciiTheme="majorBidi" w:hAnsiTheme="majorBidi" w:cstheme="majorBidi"/>
                <w:sz w:val="20"/>
                <w:szCs w:val="20"/>
              </w:rPr>
            </w:pPr>
            <w:r w:rsidRPr="00D53E24">
              <w:rPr>
                <w:rFonts w:asciiTheme="majorBidi" w:eastAsia="Calibri" w:hAnsiTheme="majorBidi" w:cstheme="majorBidi"/>
                <w:sz w:val="20"/>
                <w:szCs w:val="20"/>
                <w:lang w:bidi="ar-EG"/>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7DA013" w14:textId="77777777" w:rsidR="00D65FF6" w:rsidRPr="00D53E24" w:rsidRDefault="00D65FF6" w:rsidP="00D53E24">
            <w:pPr>
              <w:spacing w:after="0"/>
              <w:ind w:left="34"/>
              <w:jc w:val="center"/>
              <w:rPr>
                <w:rFonts w:asciiTheme="majorBidi" w:hAnsiTheme="majorBidi" w:cstheme="majorBidi"/>
                <w:sz w:val="20"/>
                <w:szCs w:val="20"/>
              </w:rPr>
            </w:pPr>
            <w:r w:rsidRPr="00D53E24">
              <w:rPr>
                <w:rFonts w:asciiTheme="majorBidi" w:eastAsia="Calibri" w:hAnsiTheme="majorBidi" w:cstheme="majorBidi"/>
                <w:sz w:val="20"/>
                <w:szCs w:val="20"/>
                <w:lang w:bidi="ar-EG"/>
              </w:rPr>
              <w:t>100%</w:t>
            </w:r>
          </w:p>
        </w:tc>
      </w:tr>
      <w:tr w:rsidR="00D65FF6" w:rsidRPr="008D75D3" w14:paraId="0C9749EA" w14:textId="77777777" w:rsidTr="004B44B9">
        <w:trPr>
          <w:trHeight w:val="7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3F9F5EAC"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Legislator, senior official, or Manager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FFBC22" w14:textId="77777777" w:rsidR="00D65FF6" w:rsidRPr="00D53E24" w:rsidRDefault="00D65FF6" w:rsidP="00D53E24">
            <w:pPr>
              <w:spacing w:after="0"/>
              <w:ind w:left="34"/>
              <w:jc w:val="center"/>
              <w:rPr>
                <w:rFonts w:asciiTheme="majorBidi" w:eastAsia="Calibri" w:hAnsiTheme="majorBidi" w:cstheme="majorBidi"/>
                <w:sz w:val="20"/>
                <w:szCs w:val="20"/>
                <w:lang w:bidi="ar-EG"/>
              </w:rPr>
            </w:pPr>
            <w:r w:rsidRPr="00D53E24">
              <w:rPr>
                <w:rFonts w:asciiTheme="majorBidi" w:hAnsiTheme="majorBidi" w:cstheme="majorBidi"/>
                <w:color w:val="000000"/>
                <w:sz w:val="20"/>
                <w:szCs w:val="20"/>
              </w:rPr>
              <w:t>137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E14169" w14:textId="77777777" w:rsidR="00D65FF6" w:rsidRPr="00D53E24" w:rsidRDefault="00D65FF6" w:rsidP="00D53E24">
            <w:pPr>
              <w:spacing w:after="0"/>
              <w:jc w:val="center"/>
              <w:rPr>
                <w:rFonts w:asciiTheme="majorBidi" w:eastAsia="Calibri" w:hAnsiTheme="majorBidi" w:cstheme="majorBidi"/>
                <w:sz w:val="20"/>
                <w:szCs w:val="20"/>
                <w:lang w:bidi="ar-EG"/>
              </w:rPr>
            </w:pPr>
            <w:r w:rsidRPr="00D53E24">
              <w:rPr>
                <w:rFonts w:asciiTheme="majorBidi" w:hAnsiTheme="majorBidi" w:cstheme="majorBidi"/>
                <w:color w:val="000000"/>
                <w:sz w:val="20"/>
                <w:szCs w:val="20"/>
              </w:rPr>
              <w:t>28.9</w:t>
            </w:r>
          </w:p>
        </w:tc>
      </w:tr>
      <w:tr w:rsidR="00D65FF6" w:rsidRPr="008D75D3" w14:paraId="2A56118D" w14:textId="77777777" w:rsidTr="004B44B9">
        <w:trPr>
          <w:trHeight w:val="37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22FB57B9"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Professional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F611326"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color w:val="000000"/>
                <w:sz w:val="20"/>
                <w:szCs w:val="20"/>
              </w:rPr>
              <w:t>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286275"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color w:val="000000"/>
                <w:sz w:val="20"/>
                <w:szCs w:val="20"/>
              </w:rPr>
              <w:t>20.0</w:t>
            </w:r>
          </w:p>
        </w:tc>
      </w:tr>
      <w:tr w:rsidR="00D65FF6" w:rsidRPr="008D75D3" w14:paraId="13DCD00C" w14:textId="77777777" w:rsidTr="004B44B9">
        <w:trPr>
          <w:trHeight w:val="37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42EC090B"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Technician or associate professional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23B506"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color w:val="000000"/>
                <w:sz w:val="20"/>
                <w:szCs w:val="20"/>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8E492B4"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color w:val="000000"/>
                <w:sz w:val="20"/>
                <w:szCs w:val="20"/>
              </w:rPr>
              <w:t>1.5</w:t>
            </w:r>
          </w:p>
        </w:tc>
      </w:tr>
      <w:tr w:rsidR="00D65FF6" w:rsidRPr="008D75D3" w14:paraId="72F397EB" w14:textId="77777777" w:rsidTr="004B44B9">
        <w:trPr>
          <w:trHeight w:val="37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192608DF"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Clerk</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32F0271"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color w:val="000000"/>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7D8211"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color w:val="000000"/>
                <w:sz w:val="20"/>
                <w:szCs w:val="20"/>
              </w:rPr>
              <w:t>3.6</w:t>
            </w:r>
          </w:p>
        </w:tc>
      </w:tr>
      <w:tr w:rsidR="00D65FF6" w:rsidRPr="008D75D3" w14:paraId="71CD85E4" w14:textId="77777777" w:rsidTr="004B44B9">
        <w:trPr>
          <w:trHeight w:val="161"/>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06181919"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Skilled Worker, shop, or market sales worker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8777F9"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126586"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color w:val="000000"/>
                <w:sz w:val="20"/>
                <w:szCs w:val="20"/>
              </w:rPr>
              <w:t>.4</w:t>
            </w:r>
          </w:p>
        </w:tc>
      </w:tr>
      <w:tr w:rsidR="00D65FF6" w:rsidRPr="008D75D3" w14:paraId="14A534F5" w14:textId="77777777" w:rsidTr="004B44B9">
        <w:trPr>
          <w:trHeight w:val="7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74966F37"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Skilled Agriculture or fishery worker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A3586B1"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7D1BEE"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color w:val="000000"/>
                <w:sz w:val="20"/>
                <w:szCs w:val="20"/>
              </w:rPr>
              <w:t>.2</w:t>
            </w:r>
          </w:p>
        </w:tc>
      </w:tr>
      <w:tr w:rsidR="00D65FF6" w:rsidRPr="008D75D3" w14:paraId="09ED8F8E"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20ED5707"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Craft Related Trade worker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305E9D"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color w:val="000000"/>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AA9A47"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color w:val="000000"/>
                <w:sz w:val="20"/>
                <w:szCs w:val="20"/>
              </w:rPr>
              <w:t>.2</w:t>
            </w:r>
          </w:p>
        </w:tc>
      </w:tr>
      <w:tr w:rsidR="00D65FF6" w:rsidRPr="008D75D3" w14:paraId="4349535A"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79A8F481"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Elementary Occupation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1B8E25C"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color w:val="000000"/>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D0DA09"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color w:val="000000"/>
                <w:sz w:val="20"/>
                <w:szCs w:val="20"/>
              </w:rPr>
              <w:t>.6</w:t>
            </w:r>
          </w:p>
        </w:tc>
      </w:tr>
      <w:tr w:rsidR="00D65FF6" w:rsidRPr="008D75D3" w14:paraId="4586BC1B"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6F0F737E"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Unemployed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CE93C5"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color w:val="000000"/>
                <w:sz w:val="20"/>
                <w:szCs w:val="20"/>
              </w:rPr>
              <w:t>211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07D518" w14:textId="77777777" w:rsidR="00D65FF6" w:rsidRPr="00D53E24" w:rsidRDefault="00D65FF6" w:rsidP="00D53E24">
            <w:pPr>
              <w:spacing w:after="0"/>
              <w:jc w:val="center"/>
              <w:rPr>
                <w:rFonts w:asciiTheme="majorBidi" w:hAnsiTheme="majorBidi" w:cstheme="majorBidi"/>
                <w:sz w:val="20"/>
                <w:szCs w:val="20"/>
              </w:rPr>
            </w:pPr>
            <w:r w:rsidRPr="00D53E24">
              <w:rPr>
                <w:rFonts w:asciiTheme="majorBidi" w:hAnsiTheme="majorBidi" w:cstheme="majorBidi"/>
                <w:color w:val="000000"/>
                <w:sz w:val="20"/>
                <w:szCs w:val="20"/>
              </w:rPr>
              <w:t>44.5</w:t>
            </w:r>
          </w:p>
        </w:tc>
      </w:tr>
      <w:tr w:rsidR="00D65FF6" w:rsidRPr="008D75D3" w14:paraId="293E3CF3" w14:textId="77777777" w:rsidTr="004B44B9">
        <w:trPr>
          <w:trHeight w:val="368"/>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5CEB2F19" w14:textId="77777777" w:rsidR="00D65FF6" w:rsidRPr="00D53E24" w:rsidRDefault="00D65FF6" w:rsidP="00D53E24">
            <w:pPr>
              <w:spacing w:after="0"/>
              <w:ind w:left="34"/>
              <w:rPr>
                <w:rFonts w:asciiTheme="majorBidi" w:hAnsiTheme="majorBidi" w:cstheme="majorBidi"/>
                <w:sz w:val="20"/>
                <w:szCs w:val="20"/>
              </w:rPr>
            </w:pPr>
            <w:r w:rsidRPr="004B44B9">
              <w:rPr>
                <w:rFonts w:asciiTheme="majorBidi" w:hAnsiTheme="majorBidi" w:cstheme="majorBidi"/>
                <w:color w:val="000000"/>
                <w:sz w:val="20"/>
                <w:szCs w:val="20"/>
              </w:rPr>
              <w:t>Which one is your first-choice brand to clean surfaces and floors at your home?</w:t>
            </w:r>
            <w:r w:rsidRPr="00D53E24">
              <w:rPr>
                <w:rFonts w:asciiTheme="majorBidi" w:hAnsiTheme="majorBidi" w:cstheme="majorBidi"/>
                <w:color w:val="000000"/>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7AC360" w14:textId="77777777" w:rsidR="00D65FF6" w:rsidRPr="00D53E24" w:rsidRDefault="00D65FF6" w:rsidP="00D53E24">
            <w:pPr>
              <w:spacing w:after="0"/>
              <w:ind w:left="34"/>
              <w:jc w:val="center"/>
              <w:rPr>
                <w:rFonts w:asciiTheme="majorBidi" w:hAnsiTheme="majorBidi" w:cstheme="majorBidi"/>
                <w:sz w:val="20"/>
                <w:szCs w:val="20"/>
              </w:rPr>
            </w:pPr>
            <w:r w:rsidRPr="00D53E24">
              <w:rPr>
                <w:rFonts w:asciiTheme="majorBidi" w:eastAsia="Calibri" w:hAnsiTheme="majorBidi" w:cstheme="majorBidi"/>
                <w:sz w:val="20"/>
                <w:szCs w:val="20"/>
                <w:lang w:bidi="ar-EG"/>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A605EE" w14:textId="77777777" w:rsidR="00D65FF6" w:rsidRPr="00D53E24" w:rsidRDefault="00D65FF6" w:rsidP="00D53E24">
            <w:pPr>
              <w:spacing w:after="0"/>
              <w:ind w:left="34"/>
              <w:jc w:val="center"/>
              <w:rPr>
                <w:rFonts w:asciiTheme="majorBidi" w:hAnsiTheme="majorBidi" w:cstheme="majorBidi"/>
                <w:sz w:val="20"/>
                <w:szCs w:val="20"/>
              </w:rPr>
            </w:pPr>
            <w:r w:rsidRPr="00D53E24">
              <w:rPr>
                <w:rFonts w:asciiTheme="majorBidi" w:eastAsia="Calibri" w:hAnsiTheme="majorBidi" w:cstheme="majorBidi"/>
                <w:sz w:val="20"/>
                <w:szCs w:val="20"/>
                <w:lang w:bidi="ar-EG"/>
              </w:rPr>
              <w:t>100%</w:t>
            </w:r>
          </w:p>
        </w:tc>
      </w:tr>
      <w:tr w:rsidR="00D65FF6" w:rsidRPr="008D75D3" w14:paraId="7E7882A2"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53B506AD"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General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CDF0DD"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9E3C35"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22.6</w:t>
            </w:r>
          </w:p>
        </w:tc>
      </w:tr>
      <w:tr w:rsidR="00D65FF6" w:rsidRPr="008D75D3" w14:paraId="7155EF50"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703888B2"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Dettol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E0FAA4"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169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FC47A9"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35.7</w:t>
            </w:r>
          </w:p>
        </w:tc>
      </w:tr>
      <w:tr w:rsidR="00D65FF6" w:rsidRPr="008D75D3" w14:paraId="5D6668A9"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08CAD6DD"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Clorox</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A18711"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79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C78C84"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16.7</w:t>
            </w:r>
          </w:p>
        </w:tc>
      </w:tr>
      <w:tr w:rsidR="00D65FF6" w:rsidRPr="008D75D3" w14:paraId="7750705E"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3CCA0AE3"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Clorox Disinfectant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E108B18"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B4EF62"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5.1</w:t>
            </w:r>
          </w:p>
        </w:tc>
      </w:tr>
      <w:tr w:rsidR="00D65FF6" w:rsidRPr="008D75D3" w14:paraId="1FE1061B"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63F3CA52"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Verox</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AA59584"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65A7BE"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1.9</w:t>
            </w:r>
          </w:p>
        </w:tc>
      </w:tr>
      <w:tr w:rsidR="00D65FF6" w:rsidRPr="008D75D3" w14:paraId="686405B6"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16B40ABC"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Al Imlaq</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40C885F"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D84F39"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2.3</w:t>
            </w:r>
          </w:p>
        </w:tc>
      </w:tr>
      <w:tr w:rsidR="00D65FF6" w:rsidRPr="008D75D3" w14:paraId="4D7CA253"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603C064F"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Frida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CAF3D1"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F88113"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3.0</w:t>
            </w:r>
          </w:p>
        </w:tc>
      </w:tr>
      <w:tr w:rsidR="00D65FF6" w:rsidRPr="008D75D3" w14:paraId="16B80E9B"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416C1DB3"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Mr. Muscle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BC23CE"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B6967D"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9.9</w:t>
            </w:r>
          </w:p>
        </w:tc>
      </w:tr>
      <w:tr w:rsidR="00D65FF6" w:rsidRPr="008D75D3" w14:paraId="29669D39"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2E1517F1" w14:textId="77777777" w:rsidR="00D65FF6" w:rsidRPr="00D53E24" w:rsidRDefault="00D65FF6" w:rsidP="00D53E24">
            <w:pPr>
              <w:tabs>
                <w:tab w:val="left" w:pos="333"/>
              </w:tabs>
              <w:spacing w:after="0"/>
              <w:ind w:firstLine="333"/>
              <w:rPr>
                <w:rFonts w:asciiTheme="majorBidi" w:hAnsiTheme="majorBidi" w:cstheme="majorBidi"/>
                <w:sz w:val="20"/>
                <w:szCs w:val="20"/>
                <w:lang w:bidi="ar-EG"/>
              </w:rPr>
            </w:pPr>
            <w:r w:rsidRPr="00D53E24">
              <w:rPr>
                <w:rFonts w:asciiTheme="majorBidi" w:hAnsiTheme="majorBidi" w:cstheme="majorBidi"/>
                <w:sz w:val="20"/>
                <w:szCs w:val="20"/>
                <w:lang w:bidi="ar-EG"/>
              </w:rPr>
              <w:t>Other: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4444E6"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142F48"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3.0</w:t>
            </w:r>
          </w:p>
        </w:tc>
      </w:tr>
      <w:tr w:rsidR="00D65FF6" w:rsidRPr="008D75D3" w14:paraId="200EE6F3"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60AA52CC" w14:textId="77777777" w:rsidR="00D65FF6" w:rsidRPr="004B44B9" w:rsidRDefault="00D65FF6" w:rsidP="00D53E24">
            <w:pPr>
              <w:spacing w:after="0"/>
              <w:ind w:left="34"/>
              <w:rPr>
                <w:rFonts w:asciiTheme="majorBidi" w:hAnsiTheme="majorBidi" w:cstheme="majorBidi"/>
                <w:color w:val="000000"/>
                <w:sz w:val="20"/>
                <w:szCs w:val="20"/>
              </w:rPr>
            </w:pPr>
            <w:r w:rsidRPr="004B44B9">
              <w:rPr>
                <w:rFonts w:asciiTheme="majorBidi" w:hAnsiTheme="majorBidi" w:cstheme="majorBidi"/>
                <w:color w:val="000000"/>
                <w:sz w:val="20"/>
                <w:szCs w:val="20"/>
              </w:rPr>
              <w:t>What is the most important thing for you to think about when you buy a home disinfectant product?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3733B4"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C740D4"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100%</w:t>
            </w:r>
          </w:p>
        </w:tc>
      </w:tr>
      <w:tr w:rsidR="00D65FF6" w:rsidRPr="008D75D3" w14:paraId="5D7EE71B"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76BEC6B9"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sz w:val="20"/>
                <w:szCs w:val="20"/>
                <w:lang w:bidi="ar-EG"/>
              </w:rPr>
              <w:t>Price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FDAAE3B"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5ACD32"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17.1</w:t>
            </w:r>
          </w:p>
        </w:tc>
      </w:tr>
      <w:tr w:rsidR="00D65FF6" w:rsidRPr="008D75D3" w14:paraId="56EC855E"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6874DEE2"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sz w:val="20"/>
                <w:szCs w:val="20"/>
                <w:lang w:bidi="ar-EG"/>
              </w:rPr>
              <w:t>Fragrance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976967"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B3846F"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11.2</w:t>
            </w:r>
          </w:p>
        </w:tc>
      </w:tr>
      <w:tr w:rsidR="00D65FF6" w:rsidRPr="008D75D3" w14:paraId="168ADC6A"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4AC54855"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sz w:val="20"/>
                <w:szCs w:val="20"/>
                <w:lang w:bidi="ar-EG"/>
              </w:rPr>
              <w:t>Effectiveness of cleaning and disinfecting</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74AEE9"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314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66E5CD"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66.2</w:t>
            </w:r>
          </w:p>
        </w:tc>
      </w:tr>
      <w:tr w:rsidR="00D65FF6" w:rsidRPr="008D75D3" w14:paraId="1AACC7A0"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68369A68"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sz w:val="20"/>
                <w:szCs w:val="20"/>
                <w:lang w:bidi="ar-EG"/>
              </w:rPr>
              <w:t>Brand Name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CE8810"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468017"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5.1</w:t>
            </w:r>
          </w:p>
        </w:tc>
      </w:tr>
      <w:tr w:rsidR="00D65FF6" w:rsidRPr="008D75D3" w14:paraId="287BD003"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717313B9"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sz w:val="20"/>
                <w:szCs w:val="20"/>
                <w:lang w:bidi="ar-EG"/>
              </w:rPr>
              <w:t>The social and environmental work that the company does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C88ECD"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1B2C35"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.4</w:t>
            </w:r>
          </w:p>
        </w:tc>
      </w:tr>
      <w:tr w:rsidR="00D65FF6" w:rsidRPr="008D75D3" w14:paraId="3E409E34"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0E7C601"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color w:val="000000"/>
                <w:sz w:val="20"/>
                <w:szCs w:val="20"/>
              </w:rPr>
              <w:t>Do you watch live television? (Not the paid-for streaming programs like Watchit, Netflix, Shahid, etc.)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A3CFB5" w14:textId="77777777" w:rsidR="00D65FF6" w:rsidRPr="00D53E24" w:rsidRDefault="00D65FF6" w:rsidP="00D53E24">
            <w:pPr>
              <w:spacing w:after="0"/>
              <w:ind w:left="34"/>
              <w:jc w:val="center"/>
              <w:rPr>
                <w:rFonts w:asciiTheme="majorBidi" w:hAnsiTheme="majorBidi" w:cstheme="majorBidi"/>
                <w:color w:val="000000"/>
                <w:sz w:val="20"/>
                <w:szCs w:val="20"/>
              </w:rPr>
            </w:pPr>
            <w:r w:rsidRPr="00D53E24">
              <w:rPr>
                <w:rFonts w:asciiTheme="majorBidi" w:eastAsia="Calibri" w:hAnsiTheme="majorBidi" w:cstheme="majorBidi"/>
                <w:sz w:val="20"/>
                <w:szCs w:val="20"/>
                <w:lang w:bidi="ar-EG"/>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642733" w14:textId="77777777" w:rsidR="00D65FF6" w:rsidRPr="00D53E24" w:rsidRDefault="00D65FF6" w:rsidP="00D53E24">
            <w:pPr>
              <w:spacing w:after="0"/>
              <w:jc w:val="center"/>
              <w:rPr>
                <w:rFonts w:asciiTheme="majorBidi" w:hAnsiTheme="majorBidi" w:cstheme="majorBidi"/>
                <w:color w:val="000000"/>
                <w:sz w:val="20"/>
                <w:szCs w:val="20"/>
              </w:rPr>
            </w:pPr>
            <w:r w:rsidRPr="00D53E24">
              <w:rPr>
                <w:rFonts w:asciiTheme="majorBidi" w:eastAsia="Calibri" w:hAnsiTheme="majorBidi" w:cstheme="majorBidi"/>
                <w:sz w:val="20"/>
                <w:szCs w:val="20"/>
                <w:lang w:bidi="ar-EG"/>
              </w:rPr>
              <w:t>100%</w:t>
            </w:r>
          </w:p>
        </w:tc>
      </w:tr>
      <w:tr w:rsidR="00D65FF6" w:rsidRPr="008D75D3" w14:paraId="46660C89" w14:textId="77777777" w:rsidTr="004B44B9">
        <w:trPr>
          <w:trHeight w:val="24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50020017"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sz w:val="20"/>
                <w:szCs w:val="20"/>
                <w:lang w:bidi="ar-EG"/>
              </w:rPr>
              <w:t>Yes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CA4BF7"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381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D14C3A" w14:textId="77777777" w:rsidR="00D65FF6" w:rsidRPr="00D53E24" w:rsidRDefault="00D65FF6" w:rsidP="00D53E24">
            <w:pPr>
              <w:spacing w:after="0"/>
              <w:jc w:val="center"/>
              <w:rPr>
                <w:rFonts w:asciiTheme="majorBidi" w:hAnsiTheme="majorBidi" w:cstheme="majorBidi"/>
                <w:sz w:val="20"/>
                <w:szCs w:val="20"/>
                <w:lang w:bidi="ar-EG"/>
              </w:rPr>
            </w:pPr>
            <w:r w:rsidRPr="00D53E24">
              <w:rPr>
                <w:rFonts w:asciiTheme="majorBidi" w:hAnsiTheme="majorBidi" w:cstheme="majorBidi"/>
                <w:sz w:val="20"/>
                <w:szCs w:val="20"/>
                <w:lang w:bidi="ar-EG"/>
              </w:rPr>
              <w:t>80.4</w:t>
            </w:r>
          </w:p>
        </w:tc>
      </w:tr>
      <w:tr w:rsidR="00D65FF6" w:rsidRPr="008D75D3" w14:paraId="3FD9B009" w14:textId="77777777" w:rsidTr="004B44B9">
        <w:trPr>
          <w:trHeight w:val="46"/>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53FBB7D7"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sz w:val="20"/>
                <w:szCs w:val="20"/>
                <w:lang w:bidi="ar-EG"/>
              </w:rPr>
              <w:t>No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C8854C"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93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AEBEC6" w14:textId="77777777" w:rsidR="00D65FF6" w:rsidRPr="00D53E24" w:rsidRDefault="00D65FF6" w:rsidP="00D53E24">
            <w:pPr>
              <w:spacing w:after="0"/>
              <w:jc w:val="center"/>
              <w:rPr>
                <w:rFonts w:asciiTheme="majorBidi" w:hAnsiTheme="majorBidi" w:cstheme="majorBidi"/>
                <w:sz w:val="20"/>
                <w:szCs w:val="20"/>
                <w:lang w:bidi="ar-EG"/>
              </w:rPr>
            </w:pPr>
            <w:r w:rsidRPr="00D53E24">
              <w:rPr>
                <w:rFonts w:asciiTheme="majorBidi" w:hAnsiTheme="majorBidi" w:cstheme="majorBidi"/>
                <w:sz w:val="20"/>
                <w:szCs w:val="20"/>
                <w:lang w:bidi="ar-EG"/>
              </w:rPr>
              <w:t>19.6</w:t>
            </w:r>
          </w:p>
        </w:tc>
      </w:tr>
      <w:tr w:rsidR="00D65FF6" w:rsidRPr="008D75D3" w14:paraId="26AF2C54"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1D4317B9" w14:textId="77777777" w:rsidR="00D65FF6" w:rsidRPr="004B44B9" w:rsidRDefault="00D65FF6" w:rsidP="00D53E24">
            <w:pPr>
              <w:tabs>
                <w:tab w:val="left" w:pos="333"/>
              </w:tabs>
              <w:spacing w:after="0"/>
              <w:jc w:val="both"/>
              <w:rPr>
                <w:rFonts w:asciiTheme="majorBidi" w:hAnsiTheme="majorBidi" w:cstheme="majorBidi"/>
                <w:sz w:val="20"/>
                <w:szCs w:val="20"/>
                <w:lang w:bidi="ar-EG"/>
              </w:rPr>
            </w:pPr>
            <w:r w:rsidRPr="004B44B9">
              <w:rPr>
                <w:rFonts w:asciiTheme="majorBidi" w:hAnsiTheme="majorBidi" w:cstheme="majorBidi"/>
                <w:sz w:val="20"/>
                <w:szCs w:val="20"/>
                <w:lang w:bidi="ar-EG"/>
              </w:rPr>
              <w:t>How frequently do you watch live television (not the paid-for online streaming services like Shahid, Watchit, Netflix, etc)?</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F1CE81"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eastAsia="Calibri" w:hAnsiTheme="majorBidi" w:cstheme="majorBidi"/>
                <w:sz w:val="20"/>
                <w:szCs w:val="20"/>
                <w:lang w:bidi="ar-EG"/>
              </w:rPr>
              <w:t>Sample (n=474)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8BEA7B" w14:textId="77777777" w:rsidR="00D65FF6" w:rsidRPr="00D53E24" w:rsidRDefault="00D65FF6" w:rsidP="00D53E24">
            <w:pPr>
              <w:spacing w:after="0"/>
              <w:jc w:val="center"/>
              <w:rPr>
                <w:rFonts w:asciiTheme="majorBidi" w:hAnsiTheme="majorBidi" w:cstheme="majorBidi"/>
                <w:sz w:val="20"/>
                <w:szCs w:val="20"/>
                <w:lang w:bidi="ar-EG"/>
              </w:rPr>
            </w:pPr>
            <w:r w:rsidRPr="00D53E24">
              <w:rPr>
                <w:rFonts w:asciiTheme="majorBidi" w:eastAsia="Calibri" w:hAnsiTheme="majorBidi" w:cstheme="majorBidi"/>
                <w:sz w:val="20"/>
                <w:szCs w:val="20"/>
                <w:lang w:bidi="ar-EG"/>
              </w:rPr>
              <w:t>100%</w:t>
            </w:r>
          </w:p>
        </w:tc>
      </w:tr>
      <w:tr w:rsidR="00D65FF6" w:rsidRPr="008D75D3" w14:paraId="70F90663"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29445C79" w14:textId="77777777" w:rsidR="00D65FF6" w:rsidRPr="00D53E24" w:rsidRDefault="00D65FF6" w:rsidP="00D53E24">
            <w:pPr>
              <w:tabs>
                <w:tab w:val="left" w:pos="333"/>
              </w:tabs>
              <w:spacing w:after="0"/>
              <w:jc w:val="both"/>
              <w:rPr>
                <w:rFonts w:asciiTheme="majorBidi" w:hAnsiTheme="majorBidi" w:cstheme="majorBidi"/>
                <w:sz w:val="20"/>
                <w:szCs w:val="20"/>
                <w:lang w:bidi="ar-EG"/>
              </w:rPr>
            </w:pPr>
            <w:r w:rsidRPr="00D53E24">
              <w:rPr>
                <w:rFonts w:asciiTheme="majorBidi" w:hAnsiTheme="majorBidi" w:cstheme="majorBidi"/>
                <w:sz w:val="20"/>
                <w:szCs w:val="20"/>
                <w:lang w:bidi="ar-EG"/>
              </w:rPr>
              <w:t>Every day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9C4C26"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325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221E82" w14:textId="77777777" w:rsidR="00D65FF6" w:rsidRPr="00D53E24" w:rsidRDefault="00D65FF6" w:rsidP="00D53E24">
            <w:pPr>
              <w:spacing w:after="0"/>
              <w:jc w:val="center"/>
              <w:rPr>
                <w:rFonts w:asciiTheme="majorBidi" w:hAnsiTheme="majorBidi" w:cstheme="majorBidi"/>
                <w:sz w:val="20"/>
                <w:szCs w:val="20"/>
                <w:lang w:bidi="ar-EG"/>
              </w:rPr>
            </w:pPr>
            <w:r w:rsidRPr="00D53E24">
              <w:rPr>
                <w:rFonts w:asciiTheme="majorBidi" w:hAnsiTheme="majorBidi" w:cstheme="majorBidi"/>
                <w:sz w:val="20"/>
                <w:szCs w:val="20"/>
                <w:lang w:bidi="ar-EG"/>
              </w:rPr>
              <w:t>68.6%</w:t>
            </w:r>
          </w:p>
        </w:tc>
      </w:tr>
      <w:tr w:rsidR="00D65FF6" w:rsidRPr="008D75D3" w14:paraId="5FC85C10"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1C7707C4" w14:textId="77777777" w:rsidR="00D65FF6" w:rsidRPr="00D53E24" w:rsidRDefault="00D65FF6" w:rsidP="00D53E24">
            <w:pPr>
              <w:tabs>
                <w:tab w:val="left" w:pos="333"/>
              </w:tabs>
              <w:spacing w:after="0"/>
              <w:jc w:val="both"/>
              <w:rPr>
                <w:rFonts w:asciiTheme="majorBidi" w:hAnsiTheme="majorBidi" w:cstheme="majorBidi"/>
                <w:sz w:val="20"/>
                <w:szCs w:val="20"/>
                <w:lang w:bidi="ar-EG"/>
              </w:rPr>
            </w:pPr>
            <w:r w:rsidRPr="00D53E24">
              <w:rPr>
                <w:rFonts w:asciiTheme="majorBidi" w:hAnsiTheme="majorBidi" w:cstheme="majorBidi"/>
                <w:sz w:val="20"/>
                <w:szCs w:val="20"/>
                <w:lang w:bidi="ar-EG"/>
              </w:rPr>
              <w:t>Once or twice every week</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71B12A"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A64C42" w14:textId="77777777" w:rsidR="00D65FF6" w:rsidRPr="00D53E24" w:rsidRDefault="00D65FF6" w:rsidP="00D53E24">
            <w:pPr>
              <w:spacing w:after="0"/>
              <w:jc w:val="center"/>
              <w:rPr>
                <w:rFonts w:asciiTheme="majorBidi" w:hAnsiTheme="majorBidi" w:cstheme="majorBidi"/>
                <w:sz w:val="20"/>
                <w:szCs w:val="20"/>
                <w:lang w:bidi="ar-EG"/>
              </w:rPr>
            </w:pPr>
            <w:r w:rsidRPr="00D53E24">
              <w:rPr>
                <w:rFonts w:asciiTheme="majorBidi" w:hAnsiTheme="majorBidi" w:cstheme="majorBidi"/>
                <w:sz w:val="20"/>
                <w:szCs w:val="20"/>
                <w:lang w:bidi="ar-EG"/>
              </w:rPr>
              <w:t>9.7%</w:t>
            </w:r>
          </w:p>
        </w:tc>
      </w:tr>
      <w:tr w:rsidR="00D65FF6" w:rsidRPr="008D75D3" w14:paraId="7081F68B"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2480B4B8" w14:textId="77777777" w:rsidR="00D65FF6" w:rsidRPr="00D53E24" w:rsidRDefault="00D65FF6" w:rsidP="00D53E24">
            <w:pPr>
              <w:tabs>
                <w:tab w:val="left" w:pos="333"/>
              </w:tabs>
              <w:spacing w:after="0"/>
              <w:jc w:val="both"/>
              <w:rPr>
                <w:rFonts w:asciiTheme="majorBidi" w:hAnsiTheme="majorBidi" w:cstheme="majorBidi"/>
                <w:sz w:val="20"/>
                <w:szCs w:val="20"/>
                <w:lang w:bidi="ar-EG"/>
              </w:rPr>
            </w:pPr>
            <w:r w:rsidRPr="00D53E24">
              <w:rPr>
                <w:rFonts w:asciiTheme="majorBidi" w:hAnsiTheme="majorBidi" w:cstheme="majorBidi"/>
                <w:sz w:val="20"/>
                <w:szCs w:val="20"/>
                <w:lang w:bidi="ar-EG"/>
              </w:rPr>
              <w:t>Once or twice every month</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A1C7B0"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53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76AAC3" w14:textId="77777777" w:rsidR="00D65FF6" w:rsidRPr="00D53E24" w:rsidRDefault="00D65FF6" w:rsidP="00D53E24">
            <w:pPr>
              <w:spacing w:after="0"/>
              <w:jc w:val="center"/>
              <w:rPr>
                <w:rFonts w:asciiTheme="majorBidi" w:hAnsiTheme="majorBidi" w:cstheme="majorBidi"/>
                <w:sz w:val="20"/>
                <w:szCs w:val="20"/>
                <w:lang w:bidi="ar-EG"/>
              </w:rPr>
            </w:pPr>
            <w:r w:rsidRPr="00D53E24">
              <w:rPr>
                <w:rFonts w:asciiTheme="majorBidi" w:hAnsiTheme="majorBidi" w:cstheme="majorBidi"/>
                <w:sz w:val="20"/>
                <w:szCs w:val="20"/>
                <w:lang w:bidi="ar-EG"/>
              </w:rPr>
              <w:t>11.2%</w:t>
            </w:r>
          </w:p>
        </w:tc>
      </w:tr>
      <w:tr w:rsidR="00D65FF6" w:rsidRPr="008D75D3" w14:paraId="1933EFA2"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44DC2E81" w14:textId="77777777" w:rsidR="00D65FF6" w:rsidRPr="00D53E24" w:rsidRDefault="00D65FF6" w:rsidP="00D53E24">
            <w:pPr>
              <w:tabs>
                <w:tab w:val="left" w:pos="333"/>
              </w:tabs>
              <w:spacing w:after="0"/>
              <w:rPr>
                <w:rFonts w:asciiTheme="majorBidi" w:hAnsiTheme="majorBidi" w:cstheme="majorBidi"/>
                <w:sz w:val="20"/>
                <w:szCs w:val="20"/>
                <w:lang w:bidi="ar-EG"/>
              </w:rPr>
            </w:pPr>
            <w:r w:rsidRPr="00D53E24">
              <w:rPr>
                <w:rFonts w:asciiTheme="majorBidi" w:hAnsiTheme="majorBidi" w:cstheme="majorBidi"/>
                <w:sz w:val="20"/>
                <w:szCs w:val="20"/>
                <w:lang w:bidi="ar-EG"/>
              </w:rPr>
              <w:t>Never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F0D604" w14:textId="77777777"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4F3869" w14:textId="77777777" w:rsidR="00D65FF6" w:rsidRPr="00D53E24" w:rsidRDefault="00D65FF6" w:rsidP="00D53E24">
            <w:pPr>
              <w:spacing w:after="0"/>
              <w:jc w:val="center"/>
              <w:rPr>
                <w:rFonts w:asciiTheme="majorBidi" w:hAnsiTheme="majorBidi" w:cstheme="majorBidi"/>
                <w:sz w:val="20"/>
                <w:szCs w:val="20"/>
                <w:lang w:bidi="ar-EG"/>
              </w:rPr>
            </w:pPr>
            <w:r w:rsidRPr="00D53E24">
              <w:rPr>
                <w:rFonts w:asciiTheme="majorBidi" w:hAnsiTheme="majorBidi" w:cstheme="majorBidi"/>
                <w:sz w:val="20"/>
                <w:szCs w:val="20"/>
                <w:lang w:bidi="ar-EG"/>
              </w:rPr>
              <w:t>10.5%</w:t>
            </w:r>
          </w:p>
        </w:tc>
      </w:tr>
      <w:tr w:rsidR="00D65FF6" w:rsidRPr="008D75D3" w14:paraId="07CF5F80"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787CEB5F" w14:textId="77777777" w:rsidR="00D65FF6" w:rsidRPr="00D53E24" w:rsidRDefault="00D65FF6" w:rsidP="00D53E24">
            <w:pPr>
              <w:tabs>
                <w:tab w:val="left" w:pos="333"/>
              </w:tabs>
              <w:spacing w:after="0"/>
              <w:jc w:val="both"/>
              <w:rPr>
                <w:rFonts w:asciiTheme="majorBidi" w:hAnsiTheme="majorBidi" w:cstheme="majorBidi"/>
                <w:sz w:val="20"/>
                <w:szCs w:val="20"/>
                <w:lang w:bidi="ar-EG"/>
              </w:rPr>
            </w:pPr>
            <w:r w:rsidRPr="00D53E24">
              <w:rPr>
                <w:rFonts w:asciiTheme="majorBidi" w:hAnsiTheme="majorBidi" w:cstheme="majorBidi"/>
                <w:sz w:val="20"/>
                <w:szCs w:val="20"/>
                <w:lang w:bidi="ar-EG"/>
              </w:rPr>
              <w:t xml:space="preserve">Age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5E8D53" w14:textId="7763BA6F"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Mean</w:t>
            </w:r>
            <m:oMath>
              <m:r>
                <w:rPr>
                  <w:rFonts w:ascii="Cambria Math" w:hAnsi="Cambria Math" w:cstheme="majorBidi"/>
                  <w:sz w:val="20"/>
                  <w:szCs w:val="20"/>
                  <w:lang w:bidi="ar-EG"/>
                </w:rPr>
                <m:t>(</m:t>
              </m:r>
            </m:oMath>
            <w:r w:rsidRPr="00D53E24">
              <w:rPr>
                <w:rFonts w:asciiTheme="majorBidi" w:eastAsiaTheme="minorEastAsia" w:hAnsiTheme="majorBidi" w:cstheme="majorBidi"/>
                <w:sz w:val="20"/>
                <w:szCs w:val="20"/>
                <w:lang w:bidi="ar-EG"/>
              </w:rPr>
              <w:t>S.D)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60A60F" w14:textId="4E04373E" w:rsidR="00D65FF6" w:rsidRPr="00D53E24" w:rsidRDefault="00D65FF6" w:rsidP="00D53E24">
            <w:pPr>
              <w:spacing w:after="0"/>
              <w:jc w:val="center"/>
              <w:rPr>
                <w:rFonts w:asciiTheme="majorBidi" w:hAnsiTheme="majorBidi" w:cstheme="majorBidi"/>
                <w:sz w:val="20"/>
                <w:szCs w:val="20"/>
                <w:lang w:bidi="ar-EG"/>
              </w:rPr>
            </w:pPr>
            <w:r w:rsidRPr="00D53E24">
              <w:rPr>
                <w:rFonts w:asciiTheme="majorBidi" w:hAnsiTheme="majorBidi" w:cstheme="majorBidi"/>
                <w:sz w:val="20"/>
                <w:szCs w:val="20"/>
                <w:lang w:bidi="ar-EG"/>
              </w:rPr>
              <w:t>(</w:t>
            </w:r>
            <w:r w:rsidR="009819C1" w:rsidRPr="00D53E24">
              <w:rPr>
                <w:rFonts w:asciiTheme="majorBidi" w:hAnsiTheme="majorBidi" w:cstheme="majorBidi"/>
                <w:sz w:val="20"/>
                <w:szCs w:val="20"/>
                <w:lang w:bidi="ar-EG"/>
              </w:rPr>
              <w:t>Min</w:t>
            </w:r>
            <w:r w:rsidRPr="00D53E24">
              <w:rPr>
                <w:rFonts w:asciiTheme="majorBidi" w:hAnsiTheme="majorBidi" w:cstheme="majorBidi"/>
                <w:sz w:val="20"/>
                <w:szCs w:val="20"/>
                <w:lang w:bidi="ar-EG"/>
              </w:rPr>
              <w:t xml:space="preserve">, </w:t>
            </w:r>
            <w:r w:rsidR="009819C1" w:rsidRPr="00D53E24">
              <w:rPr>
                <w:rFonts w:asciiTheme="majorBidi" w:hAnsiTheme="majorBidi" w:cstheme="majorBidi"/>
                <w:sz w:val="20"/>
                <w:szCs w:val="20"/>
                <w:lang w:bidi="ar-EG"/>
              </w:rPr>
              <w:t>M</w:t>
            </w:r>
            <w:r w:rsidRPr="00D53E24">
              <w:rPr>
                <w:rFonts w:asciiTheme="majorBidi" w:hAnsiTheme="majorBidi" w:cstheme="majorBidi"/>
                <w:sz w:val="20"/>
                <w:szCs w:val="20"/>
                <w:lang w:bidi="ar-EG"/>
              </w:rPr>
              <w:t>ax)</w:t>
            </w:r>
          </w:p>
        </w:tc>
      </w:tr>
      <w:tr w:rsidR="00D65FF6" w:rsidRPr="008D75D3" w14:paraId="401EE9BD" w14:textId="77777777" w:rsidTr="004B44B9">
        <w:trPr>
          <w:trHeight w:val="197"/>
        </w:trPr>
        <w:tc>
          <w:tcPr>
            <w:tcW w:w="4819" w:type="dxa"/>
            <w:tcBorders>
              <w:top w:val="single" w:sz="4" w:space="0" w:color="auto"/>
              <w:left w:val="single" w:sz="4" w:space="0" w:color="auto"/>
              <w:bottom w:val="single" w:sz="4" w:space="0" w:color="auto"/>
              <w:right w:val="single" w:sz="4" w:space="0" w:color="auto"/>
            </w:tcBorders>
            <w:shd w:val="clear" w:color="auto" w:fill="auto"/>
          </w:tcPr>
          <w:p w14:paraId="398F6101" w14:textId="77777777" w:rsidR="00D65FF6" w:rsidRPr="00D53E24" w:rsidRDefault="00D65FF6" w:rsidP="00D53E24">
            <w:pPr>
              <w:tabs>
                <w:tab w:val="left" w:pos="333"/>
              </w:tabs>
              <w:spacing w:after="0"/>
              <w:jc w:val="both"/>
              <w:rPr>
                <w:rFonts w:asciiTheme="majorBidi" w:hAnsiTheme="majorBidi" w:cstheme="majorBidi"/>
                <w:sz w:val="20"/>
                <w:szCs w:val="20"/>
                <w:lang w:bidi="ar-EG"/>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C894359" w14:textId="7F958518" w:rsidR="00D65FF6" w:rsidRPr="00D53E24" w:rsidRDefault="00D65FF6" w:rsidP="00D53E24">
            <w:pPr>
              <w:spacing w:after="0"/>
              <w:ind w:left="34"/>
              <w:jc w:val="center"/>
              <w:rPr>
                <w:rFonts w:asciiTheme="majorBidi" w:hAnsiTheme="majorBidi" w:cstheme="majorBidi"/>
                <w:sz w:val="20"/>
                <w:szCs w:val="20"/>
                <w:lang w:bidi="ar-EG"/>
              </w:rPr>
            </w:pPr>
            <w:r w:rsidRPr="00D53E24">
              <w:rPr>
                <w:rFonts w:asciiTheme="majorBidi" w:hAnsiTheme="majorBidi" w:cstheme="majorBidi"/>
                <w:sz w:val="20"/>
                <w:szCs w:val="20"/>
                <w:lang w:bidi="ar-EG"/>
              </w:rPr>
              <w:t>36.94</w:t>
            </w:r>
            <m:oMath>
              <m:r>
                <w:rPr>
                  <w:rFonts w:ascii="Cambria Math" w:hAnsi="Cambria Math" w:cstheme="majorBidi"/>
                  <w:sz w:val="20"/>
                  <w:szCs w:val="20"/>
                  <w:lang w:bidi="ar-EG"/>
                </w:rPr>
                <m:t>(</m:t>
              </m:r>
            </m:oMath>
            <w:r w:rsidRPr="00D53E24">
              <w:rPr>
                <w:rFonts w:asciiTheme="majorBidi" w:eastAsiaTheme="minorEastAsia" w:hAnsiTheme="majorBidi" w:cstheme="majorBidi"/>
                <w:sz w:val="20"/>
                <w:szCs w:val="20"/>
                <w:lang w:bidi="ar-EG"/>
              </w:rPr>
              <w:t>9.545)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E97AF5" w14:textId="77777777" w:rsidR="00D65FF6" w:rsidRPr="00D53E24" w:rsidRDefault="00D65FF6" w:rsidP="00D53E24">
            <w:pPr>
              <w:keepNext/>
              <w:spacing w:after="0"/>
              <w:jc w:val="center"/>
              <w:rPr>
                <w:rFonts w:asciiTheme="majorBidi" w:hAnsiTheme="majorBidi" w:cstheme="majorBidi"/>
                <w:sz w:val="20"/>
                <w:szCs w:val="20"/>
                <w:lang w:bidi="ar-EG"/>
              </w:rPr>
            </w:pPr>
            <w:r w:rsidRPr="00D53E24">
              <w:rPr>
                <w:rFonts w:asciiTheme="majorBidi" w:hAnsiTheme="majorBidi" w:cstheme="majorBidi"/>
                <w:sz w:val="20"/>
                <w:szCs w:val="20"/>
                <w:lang w:bidi="ar-EG"/>
              </w:rPr>
              <w:t>(22, 69)</w:t>
            </w:r>
          </w:p>
        </w:tc>
      </w:tr>
    </w:tbl>
    <w:p w14:paraId="4E321B83" w14:textId="09683610" w:rsidR="006E435C" w:rsidRPr="006E435C" w:rsidRDefault="006E435C" w:rsidP="006E435C">
      <w:pPr>
        <w:pStyle w:val="Caption"/>
      </w:pPr>
      <w:r>
        <w:t>Table 1</w:t>
      </w:r>
      <w:r w:rsidR="00044DE9">
        <w:t>7</w:t>
      </w:r>
      <w:r>
        <w:t xml:space="preserve"> Description of demographic </w:t>
      </w:r>
      <w:r w:rsidRPr="006E435C">
        <w:t>characteristics of the final included sample (n=474)</w:t>
      </w:r>
    </w:p>
    <w:p w14:paraId="7CF9BE3D" w14:textId="2A4C4B91"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5</w:t>
      </w:r>
      <w:r>
        <w:rPr>
          <w:rFonts w:asciiTheme="majorBidi" w:hAnsiTheme="majorBidi" w:cstheme="majorBidi"/>
          <w:b/>
          <w:bCs/>
          <w:sz w:val="24"/>
          <w:szCs w:val="24"/>
        </w:rPr>
        <w:t xml:space="preserve">.1 </w:t>
      </w:r>
      <w:r w:rsidRPr="008D75D3">
        <w:rPr>
          <w:rFonts w:asciiTheme="majorBidi" w:hAnsiTheme="majorBidi" w:cstheme="majorBidi"/>
          <w:b/>
          <w:bCs/>
          <w:sz w:val="24"/>
          <w:szCs w:val="24"/>
        </w:rPr>
        <w:t>Gender</w:t>
      </w:r>
    </w:p>
    <w:p w14:paraId="14042E69" w14:textId="77777777" w:rsidR="00D65FF6" w:rsidRDefault="00D65FF6" w:rsidP="00D65FF6">
      <w:pPr>
        <w:spacing w:line="480" w:lineRule="auto"/>
        <w:ind w:firstLine="720"/>
        <w:rPr>
          <w:rFonts w:asciiTheme="majorBidi" w:hAnsiTheme="majorBidi" w:cstheme="majorBidi"/>
          <w:sz w:val="24"/>
          <w:szCs w:val="24"/>
          <w:lang w:bidi="ar-EG"/>
        </w:rPr>
      </w:pPr>
      <w:r w:rsidRPr="008D75D3">
        <w:rPr>
          <w:rFonts w:asciiTheme="majorBidi" w:hAnsiTheme="majorBidi" w:cstheme="majorBidi"/>
          <w:sz w:val="24"/>
          <w:szCs w:val="24"/>
          <w:lang w:bidi="ar-EG"/>
        </w:rPr>
        <w:t>As predicted from the pilot study, the number of female respondents were higher than male respondents. The following figure illustrates that the gender distribution among female participants represent 77% which is much higher than their male counterparts who reveal only 23% of participants.</w:t>
      </w:r>
    </w:p>
    <w:p w14:paraId="68F9E89F" w14:textId="77777777" w:rsidR="00DD25DB" w:rsidRDefault="00D65FF6" w:rsidP="00DD25DB">
      <w:pPr>
        <w:keepNext/>
        <w:spacing w:line="360" w:lineRule="auto"/>
      </w:pPr>
      <w:r w:rsidRPr="00EE460F">
        <w:rPr>
          <w:noProof/>
          <w:sz w:val="20"/>
          <w:szCs w:val="20"/>
        </w:rPr>
        <w:drawing>
          <wp:inline distT="0" distB="0" distL="0" distR="0" wp14:anchorId="5FCE8209" wp14:editId="0E0409D9">
            <wp:extent cx="2923504" cy="1468192"/>
            <wp:effectExtent l="0" t="0" r="10795" b="17780"/>
            <wp:docPr id="274919860" name="Chart 1">
              <a:extLst xmlns:a="http://schemas.openxmlformats.org/drawingml/2006/main">
                <a:ext uri="{FF2B5EF4-FFF2-40B4-BE49-F238E27FC236}">
                  <a16:creationId xmlns:a16="http://schemas.microsoft.com/office/drawing/2014/main" id="{91F1BF8F-69DE-4395-92DE-541F76B32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A0AEDC" w14:textId="5B980175" w:rsidR="00D65FF6" w:rsidRPr="006A20D3" w:rsidRDefault="00DD25DB" w:rsidP="00DD25DB">
      <w:pPr>
        <w:pStyle w:val="Caption"/>
        <w:rPr>
          <w:rFonts w:asciiTheme="majorBidi" w:hAnsiTheme="majorBidi" w:cstheme="majorBidi"/>
          <w:sz w:val="24"/>
          <w:szCs w:val="24"/>
          <w:lang w:bidi="ar-EG"/>
        </w:rPr>
      </w:pPr>
      <w:r>
        <w:t>Figure 16 Breakdown of the respondent’s gender</w:t>
      </w:r>
      <w:r w:rsidR="00D76D4F">
        <w:t>s</w:t>
      </w:r>
    </w:p>
    <w:p w14:paraId="62610C41" w14:textId="143C5FAB"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5</w:t>
      </w:r>
      <w:r>
        <w:rPr>
          <w:rFonts w:asciiTheme="majorBidi" w:hAnsiTheme="majorBidi" w:cstheme="majorBidi"/>
          <w:b/>
          <w:bCs/>
          <w:sz w:val="24"/>
          <w:szCs w:val="24"/>
        </w:rPr>
        <w:t xml:space="preserve">.2 </w:t>
      </w:r>
      <w:r w:rsidRPr="008D75D3">
        <w:rPr>
          <w:rFonts w:asciiTheme="majorBidi" w:hAnsiTheme="majorBidi" w:cstheme="majorBidi"/>
          <w:b/>
          <w:bCs/>
          <w:sz w:val="24"/>
          <w:szCs w:val="24"/>
        </w:rPr>
        <w:t>Education</w:t>
      </w:r>
    </w:p>
    <w:p w14:paraId="2B3D940A" w14:textId="6677CC83" w:rsidR="00D65FF6" w:rsidRPr="00DA380D" w:rsidRDefault="00D65FF6" w:rsidP="00DA380D">
      <w:pPr>
        <w:spacing w:line="480" w:lineRule="auto"/>
        <w:ind w:firstLine="720"/>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The educational level of the respondents was measured based on four levels: high school, </w:t>
      </w:r>
      <w:r w:rsidR="00242BE0" w:rsidRPr="008D75D3">
        <w:rPr>
          <w:rFonts w:asciiTheme="majorBidi" w:hAnsiTheme="majorBidi" w:cstheme="majorBidi"/>
          <w:sz w:val="24"/>
          <w:szCs w:val="24"/>
          <w:lang w:bidi="ar-EG"/>
        </w:rPr>
        <w:t>bachelor’s</w:t>
      </w:r>
      <w:r w:rsidRPr="008D75D3">
        <w:rPr>
          <w:rFonts w:asciiTheme="majorBidi" w:hAnsiTheme="majorBidi" w:cstheme="majorBidi"/>
          <w:sz w:val="24"/>
          <w:szCs w:val="24"/>
          <w:lang w:bidi="ar-EG"/>
        </w:rPr>
        <w:t xml:space="preserve"> degree, and post graduate degree. The following figure illustrates that 64% of respondents have a post graduate degree and 34% have a university degree and only 2% attended high school only. These percentages reveal that most of the survey respondents are well-educated (98%</w:t>
      </w:r>
      <w:r w:rsidR="009B411C" w:rsidRPr="008D75D3">
        <w:rPr>
          <w:rFonts w:asciiTheme="majorBidi" w:hAnsiTheme="majorBidi" w:cstheme="majorBidi"/>
          <w:sz w:val="24"/>
          <w:szCs w:val="24"/>
          <w:lang w:bidi="ar-EG"/>
        </w:rPr>
        <w:t>),</w:t>
      </w:r>
      <w:r w:rsidR="009B411C">
        <w:rPr>
          <w:rFonts w:asciiTheme="majorBidi" w:hAnsiTheme="majorBidi" w:cstheme="majorBidi"/>
          <w:sz w:val="24"/>
          <w:szCs w:val="24"/>
          <w:lang w:bidi="ar-EG"/>
        </w:rPr>
        <w:t xml:space="preserve"> </w:t>
      </w:r>
      <w:r>
        <w:rPr>
          <w:rFonts w:asciiTheme="majorBidi" w:hAnsiTheme="majorBidi" w:cstheme="majorBidi"/>
          <w:sz w:val="24"/>
          <w:szCs w:val="24"/>
          <w:lang w:bidi="ar-EG"/>
        </w:rPr>
        <w:t>but this profile matches the profile of the target market for the brand used in the study.</w:t>
      </w:r>
      <w:r w:rsidR="001344D3">
        <w:rPr>
          <w:noProof/>
        </w:rPr>
        <w:br/>
      </w:r>
      <w:r w:rsidR="001344D3">
        <w:rPr>
          <w:noProof/>
        </w:rPr>
        <w:drawing>
          <wp:inline distT="0" distB="0" distL="0" distR="0" wp14:anchorId="7C8185AB" wp14:editId="375353CC">
            <wp:extent cx="4130211" cy="2136140"/>
            <wp:effectExtent l="0" t="0" r="3810" b="16510"/>
            <wp:docPr id="1364140464" name="Chart 1">
              <a:extLst xmlns:a="http://schemas.openxmlformats.org/drawingml/2006/main">
                <a:ext uri="{FF2B5EF4-FFF2-40B4-BE49-F238E27FC236}">
                  <a16:creationId xmlns:a16="http://schemas.microsoft.com/office/drawing/2014/main" id="{FCF608C0-004A-3786-0A36-21AA50F9E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DA380D">
        <w:rPr>
          <w:rFonts w:asciiTheme="majorBidi" w:hAnsiTheme="majorBidi" w:cstheme="majorBidi"/>
          <w:sz w:val="24"/>
          <w:szCs w:val="24"/>
          <w:lang w:bidi="ar-EG"/>
        </w:rPr>
        <w:br/>
      </w:r>
      <w:r w:rsidR="00F35512" w:rsidRPr="00DA380D">
        <w:rPr>
          <w:rFonts w:asciiTheme="majorBidi" w:hAnsiTheme="majorBidi" w:cstheme="majorBidi"/>
          <w:i/>
          <w:iCs/>
          <w:sz w:val="18"/>
          <w:szCs w:val="18"/>
        </w:rPr>
        <w:t>Figure 17 Breakdown of the respondent</w:t>
      </w:r>
      <w:r w:rsidR="00D76D4F">
        <w:rPr>
          <w:rFonts w:asciiTheme="majorBidi" w:hAnsiTheme="majorBidi" w:cstheme="majorBidi"/>
          <w:i/>
          <w:iCs/>
          <w:sz w:val="18"/>
          <w:szCs w:val="18"/>
        </w:rPr>
        <w:t>s</w:t>
      </w:r>
      <w:r w:rsidR="00F35512" w:rsidRPr="00DA380D">
        <w:rPr>
          <w:rFonts w:asciiTheme="majorBidi" w:hAnsiTheme="majorBidi" w:cstheme="majorBidi"/>
          <w:i/>
          <w:iCs/>
          <w:sz w:val="18"/>
          <w:szCs w:val="18"/>
        </w:rPr>
        <w:t>’ educational level</w:t>
      </w:r>
      <w:r w:rsidR="00D76D4F">
        <w:rPr>
          <w:rFonts w:asciiTheme="majorBidi" w:hAnsiTheme="majorBidi" w:cstheme="majorBidi"/>
          <w:i/>
          <w:iCs/>
          <w:sz w:val="18"/>
          <w:szCs w:val="18"/>
        </w:rPr>
        <w:t>s</w:t>
      </w:r>
    </w:p>
    <w:p w14:paraId="746506EA" w14:textId="509E9467"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5</w:t>
      </w:r>
      <w:r>
        <w:rPr>
          <w:rFonts w:asciiTheme="majorBidi" w:hAnsiTheme="majorBidi" w:cstheme="majorBidi"/>
          <w:b/>
          <w:bCs/>
          <w:sz w:val="24"/>
          <w:szCs w:val="24"/>
        </w:rPr>
        <w:t>.3 Profession and Income</w:t>
      </w:r>
    </w:p>
    <w:p w14:paraId="62C7438E" w14:textId="31F41185" w:rsidR="00D65FF6" w:rsidRDefault="00D65FF6" w:rsidP="005033F9">
      <w:pPr>
        <w:spacing w:line="480" w:lineRule="auto"/>
        <w:ind w:firstLine="720"/>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The </w:t>
      </w:r>
      <w:r>
        <w:rPr>
          <w:rFonts w:asciiTheme="majorBidi" w:hAnsiTheme="majorBidi" w:cstheme="majorBidi"/>
          <w:sz w:val="24"/>
          <w:szCs w:val="24"/>
          <w:lang w:bidi="ar-EG"/>
        </w:rPr>
        <w:t>income</w:t>
      </w:r>
      <w:r w:rsidRPr="008D75D3">
        <w:rPr>
          <w:rFonts w:asciiTheme="majorBidi" w:hAnsiTheme="majorBidi" w:cstheme="majorBidi"/>
          <w:sz w:val="24"/>
          <w:szCs w:val="24"/>
          <w:lang w:bidi="ar-EG"/>
        </w:rPr>
        <w:t xml:space="preserve"> level of the respondents was measured based on </w:t>
      </w:r>
      <w:r w:rsidR="009B411C">
        <w:rPr>
          <w:rFonts w:asciiTheme="majorBidi" w:hAnsiTheme="majorBidi" w:cstheme="majorBidi"/>
          <w:sz w:val="24"/>
          <w:szCs w:val="24"/>
          <w:lang w:bidi="ar-EG"/>
        </w:rPr>
        <w:t>seven</w:t>
      </w:r>
      <w:r>
        <w:rPr>
          <w:rFonts w:asciiTheme="majorBidi" w:hAnsiTheme="majorBidi" w:cstheme="majorBidi"/>
          <w:sz w:val="24"/>
          <w:szCs w:val="24"/>
          <w:lang w:bidi="ar-EG"/>
        </w:rPr>
        <w:t xml:space="preserve"> brackets</w:t>
      </w:r>
      <w:r w:rsidRPr="008D75D3">
        <w:rPr>
          <w:rFonts w:asciiTheme="majorBidi" w:hAnsiTheme="majorBidi" w:cstheme="majorBidi"/>
          <w:sz w:val="24"/>
          <w:szCs w:val="24"/>
          <w:lang w:bidi="ar-EG"/>
        </w:rPr>
        <w:t xml:space="preserve"> </w:t>
      </w:r>
      <w:r>
        <w:rPr>
          <w:rFonts w:asciiTheme="majorBidi" w:hAnsiTheme="majorBidi" w:cstheme="majorBidi"/>
          <w:sz w:val="24"/>
          <w:szCs w:val="24"/>
          <w:lang w:bidi="ar-EG"/>
        </w:rPr>
        <w:t>of monthly household income in Egyptian pounds</w:t>
      </w:r>
      <w:sdt>
        <w:sdtPr>
          <w:rPr>
            <w:rFonts w:asciiTheme="majorBidi" w:hAnsiTheme="majorBidi" w:cstheme="majorBidi"/>
            <w:sz w:val="24"/>
            <w:szCs w:val="24"/>
            <w:lang w:bidi="ar-EG"/>
          </w:rPr>
          <w:id w:val="1519659744"/>
          <w:citation/>
        </w:sdtPr>
        <w:sdtContent>
          <w:r w:rsidR="009B411C">
            <w:rPr>
              <w:rFonts w:asciiTheme="majorBidi" w:hAnsiTheme="majorBidi" w:cstheme="majorBidi"/>
              <w:sz w:val="24"/>
              <w:szCs w:val="24"/>
              <w:lang w:bidi="ar-EG"/>
            </w:rPr>
            <w:fldChar w:fldCharType="begin"/>
          </w:r>
          <w:r w:rsidR="009B411C">
            <w:rPr>
              <w:rFonts w:asciiTheme="majorBidi" w:hAnsiTheme="majorBidi" w:cstheme="majorBidi"/>
              <w:sz w:val="24"/>
              <w:szCs w:val="24"/>
            </w:rPr>
            <w:instrText xml:space="preserve">CITATION Sal21 \t  \l 2057 </w:instrText>
          </w:r>
          <w:r w:rsidR="009B411C">
            <w:rPr>
              <w:rFonts w:asciiTheme="majorBidi" w:hAnsiTheme="majorBidi" w:cstheme="majorBidi"/>
              <w:sz w:val="24"/>
              <w:szCs w:val="24"/>
              <w:lang w:bidi="ar-EG"/>
            </w:rPr>
            <w:fldChar w:fldCharType="separate"/>
          </w:r>
          <w:r w:rsidR="009B411C">
            <w:rPr>
              <w:rFonts w:asciiTheme="majorBidi" w:hAnsiTheme="majorBidi" w:cstheme="majorBidi"/>
              <w:noProof/>
              <w:sz w:val="24"/>
              <w:szCs w:val="24"/>
              <w:lang w:bidi="ar-EG"/>
            </w:rPr>
            <w:t xml:space="preserve"> </w:t>
          </w:r>
          <w:r w:rsidR="009B411C" w:rsidRPr="009B411C">
            <w:rPr>
              <w:rFonts w:asciiTheme="majorBidi" w:hAnsiTheme="majorBidi" w:cstheme="majorBidi"/>
              <w:noProof/>
              <w:sz w:val="24"/>
              <w:szCs w:val="24"/>
              <w:lang w:bidi="ar-EG"/>
            </w:rPr>
            <w:t>(Saleem &amp; Jan, 2021)</w:t>
          </w:r>
          <w:r w:rsidR="009B411C">
            <w:rPr>
              <w:rFonts w:asciiTheme="majorBidi" w:hAnsiTheme="majorBidi" w:cstheme="majorBidi"/>
              <w:sz w:val="24"/>
              <w:szCs w:val="24"/>
              <w:lang w:bidi="ar-EG"/>
            </w:rPr>
            <w:fldChar w:fldCharType="end"/>
          </w:r>
        </w:sdtContent>
      </w:sdt>
      <w:r>
        <w:rPr>
          <w:rFonts w:asciiTheme="majorBidi" w:hAnsiTheme="majorBidi" w:cstheme="majorBidi"/>
          <w:sz w:val="24"/>
          <w:szCs w:val="24"/>
          <w:lang w:bidi="ar-EG"/>
        </w:rPr>
        <w:t xml:space="preserve">. </w:t>
      </w:r>
      <w:r w:rsidRPr="008D75D3">
        <w:rPr>
          <w:rFonts w:asciiTheme="majorBidi" w:hAnsiTheme="majorBidi" w:cstheme="majorBidi"/>
          <w:sz w:val="24"/>
          <w:szCs w:val="24"/>
          <w:lang w:bidi="ar-EG"/>
        </w:rPr>
        <w:t>The following figure illustrates that</w:t>
      </w:r>
      <w:r w:rsidR="005033F9">
        <w:rPr>
          <w:rFonts w:asciiTheme="majorBidi" w:hAnsiTheme="majorBidi" w:cstheme="majorBidi"/>
          <w:sz w:val="24"/>
          <w:szCs w:val="24"/>
          <w:lang w:bidi="ar-EG"/>
        </w:rPr>
        <w:t xml:space="preserve"> the largest group of respondents were</w:t>
      </w:r>
      <w:r w:rsidRPr="008D75D3">
        <w:rPr>
          <w:rFonts w:asciiTheme="majorBidi" w:hAnsiTheme="majorBidi" w:cstheme="majorBidi"/>
          <w:sz w:val="24"/>
          <w:szCs w:val="24"/>
          <w:lang w:bidi="ar-EG"/>
        </w:rPr>
        <w:t xml:space="preserve"> </w:t>
      </w:r>
      <w:r w:rsidR="005033F9">
        <w:rPr>
          <w:rFonts w:asciiTheme="majorBidi" w:hAnsiTheme="majorBidi" w:cstheme="majorBidi"/>
          <w:sz w:val="24"/>
          <w:szCs w:val="24"/>
          <w:lang w:bidi="ar-EG"/>
        </w:rPr>
        <w:t xml:space="preserve">42.19% who reported monthly household income between </w:t>
      </w:r>
      <w:r w:rsidR="005033F9" w:rsidRPr="005033F9">
        <w:rPr>
          <w:rFonts w:asciiTheme="majorBidi" w:hAnsiTheme="majorBidi" w:cstheme="majorBidi"/>
          <w:sz w:val="24"/>
          <w:szCs w:val="24"/>
          <w:lang w:bidi="ar-EG"/>
        </w:rPr>
        <w:t xml:space="preserve">22,307 </w:t>
      </w:r>
      <w:r w:rsidR="005033F9">
        <w:rPr>
          <w:rFonts w:asciiTheme="majorBidi" w:hAnsiTheme="majorBidi" w:cstheme="majorBidi"/>
          <w:sz w:val="24"/>
          <w:szCs w:val="24"/>
          <w:lang w:bidi="ar-EG"/>
        </w:rPr>
        <w:t xml:space="preserve">and </w:t>
      </w:r>
      <w:r w:rsidR="005033F9" w:rsidRPr="005033F9">
        <w:rPr>
          <w:rFonts w:asciiTheme="majorBidi" w:hAnsiTheme="majorBidi" w:cstheme="majorBidi"/>
          <w:sz w:val="24"/>
          <w:szCs w:val="24"/>
          <w:lang w:bidi="ar-EG"/>
        </w:rPr>
        <w:t>45,120</w:t>
      </w:r>
      <w:r w:rsidR="005033F9">
        <w:rPr>
          <w:rFonts w:asciiTheme="majorBidi" w:hAnsiTheme="majorBidi" w:cstheme="majorBidi"/>
          <w:sz w:val="24"/>
          <w:szCs w:val="24"/>
          <w:lang w:bidi="ar-EG"/>
        </w:rPr>
        <w:t xml:space="preserve"> Egyptian pounds. </w:t>
      </w:r>
      <w:r>
        <w:rPr>
          <w:rFonts w:asciiTheme="majorBidi" w:hAnsiTheme="majorBidi" w:cstheme="majorBidi"/>
          <w:sz w:val="24"/>
          <w:szCs w:val="24"/>
          <w:lang w:bidi="ar-EG"/>
        </w:rPr>
        <w:t xml:space="preserve">Additionally, based on the above table, most of the respondents were legislators, senior officials, or managers (28.9%) and the other majority were unemployed (44.5%). </w:t>
      </w:r>
    </w:p>
    <w:p w14:paraId="5CD003EE" w14:textId="77777777" w:rsidR="00F35512" w:rsidRDefault="00E30836" w:rsidP="00F35512">
      <w:pPr>
        <w:keepNext/>
        <w:spacing w:line="360" w:lineRule="auto"/>
      </w:pPr>
      <w:r w:rsidRPr="005033F9">
        <w:rPr>
          <w:noProof/>
          <w:sz w:val="20"/>
          <w:szCs w:val="20"/>
        </w:rPr>
        <w:drawing>
          <wp:inline distT="0" distB="0" distL="0" distR="0" wp14:anchorId="1B20085D" wp14:editId="4C8B15D3">
            <wp:extent cx="4415497" cy="2624455"/>
            <wp:effectExtent l="0" t="0" r="4445" b="4445"/>
            <wp:docPr id="1250947808" name="Chart 1">
              <a:extLst xmlns:a="http://schemas.openxmlformats.org/drawingml/2006/main">
                <a:ext uri="{FF2B5EF4-FFF2-40B4-BE49-F238E27FC236}">
                  <a16:creationId xmlns:a16="http://schemas.microsoft.com/office/drawing/2014/main" id="{0973481D-EF4B-86A3-C559-363952D1D8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30E9CD" w14:textId="1CEDA358" w:rsidR="00D65FF6" w:rsidRPr="009026EE" w:rsidRDefault="00F35512" w:rsidP="00F35512">
      <w:pPr>
        <w:pStyle w:val="Caption"/>
        <w:rPr>
          <w:rFonts w:asciiTheme="majorBidi" w:hAnsiTheme="majorBidi" w:cstheme="majorBidi"/>
          <w:sz w:val="24"/>
          <w:szCs w:val="24"/>
          <w:lang w:bidi="ar-EG"/>
        </w:rPr>
      </w:pPr>
      <w:r>
        <w:t>Figure 18 Breakdown of the respondents’ level</w:t>
      </w:r>
      <w:r w:rsidR="00D76D4F">
        <w:t>s</w:t>
      </w:r>
      <w:r>
        <w:t xml:space="preserve"> of income </w:t>
      </w:r>
    </w:p>
    <w:p w14:paraId="1FFDBD49" w14:textId="77777777" w:rsidR="005F3782" w:rsidRDefault="005F3782" w:rsidP="00D65FF6">
      <w:pPr>
        <w:spacing w:line="360" w:lineRule="auto"/>
        <w:jc w:val="both"/>
        <w:rPr>
          <w:rFonts w:asciiTheme="majorBidi" w:hAnsiTheme="majorBidi" w:cstheme="majorBidi"/>
          <w:b/>
          <w:bCs/>
          <w:sz w:val="24"/>
          <w:szCs w:val="24"/>
        </w:rPr>
      </w:pPr>
    </w:p>
    <w:p w14:paraId="6F01F32A" w14:textId="77777777" w:rsidR="005F3782" w:rsidRDefault="005F3782" w:rsidP="00D65FF6">
      <w:pPr>
        <w:spacing w:line="360" w:lineRule="auto"/>
        <w:jc w:val="both"/>
        <w:rPr>
          <w:rFonts w:asciiTheme="majorBidi" w:hAnsiTheme="majorBidi" w:cstheme="majorBidi"/>
          <w:b/>
          <w:bCs/>
          <w:sz w:val="24"/>
          <w:szCs w:val="24"/>
        </w:rPr>
      </w:pPr>
    </w:p>
    <w:p w14:paraId="3C863D4E" w14:textId="64536977" w:rsidR="00D65FF6" w:rsidRPr="008D75D3" w:rsidRDefault="00D65FF6" w:rsidP="00D65FF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5</w:t>
      </w:r>
      <w:r>
        <w:rPr>
          <w:rFonts w:asciiTheme="majorBidi" w:hAnsiTheme="majorBidi" w:cstheme="majorBidi"/>
          <w:b/>
          <w:bCs/>
          <w:sz w:val="24"/>
          <w:szCs w:val="24"/>
        </w:rPr>
        <w:t xml:space="preserve">.4 </w:t>
      </w:r>
      <w:r w:rsidRPr="008D75D3">
        <w:rPr>
          <w:rFonts w:asciiTheme="majorBidi" w:hAnsiTheme="majorBidi" w:cstheme="majorBidi"/>
          <w:b/>
          <w:bCs/>
          <w:sz w:val="24"/>
          <w:szCs w:val="24"/>
        </w:rPr>
        <w:t>First-choice brand to clean surfaces and floors at your home</w:t>
      </w:r>
    </w:p>
    <w:p w14:paraId="58A80309" w14:textId="77777777" w:rsidR="00511634" w:rsidRDefault="00DF79EF" w:rsidP="00F35512">
      <w:pPr>
        <w:spacing w:line="480" w:lineRule="auto"/>
        <w:jc w:val="both"/>
        <w:rPr>
          <w:rFonts w:asciiTheme="majorBidi" w:hAnsiTheme="majorBidi" w:cstheme="majorBidi"/>
          <w:sz w:val="24"/>
          <w:szCs w:val="24"/>
          <w:lang w:bidi="ar-EG"/>
        </w:rPr>
      </w:pPr>
      <w:r>
        <w:rPr>
          <w:noProof/>
        </w:rPr>
        <mc:AlternateContent>
          <mc:Choice Requires="cx2">
            <w:drawing>
              <wp:anchor distT="0" distB="51689" distL="114300" distR="202438" simplePos="0" relativeHeight="251653632" behindDoc="0" locked="0" layoutInCell="1" allowOverlap="1" wp14:anchorId="2A87753A" wp14:editId="60BDCFCF">
                <wp:simplePos x="0" y="0"/>
                <wp:positionH relativeFrom="column">
                  <wp:posOffset>-58420</wp:posOffset>
                </wp:positionH>
                <wp:positionV relativeFrom="paragraph">
                  <wp:posOffset>40640</wp:posOffset>
                </wp:positionV>
                <wp:extent cx="3876675" cy="2016760"/>
                <wp:effectExtent l="0" t="0" r="0" b="0"/>
                <wp:wrapThrough wrapText="bothSides">
                  <wp:wrapPolygon edited="0">
                    <wp:start x="0" y="0"/>
                    <wp:lineTo x="0" y="21423"/>
                    <wp:lineTo x="21547" y="21423"/>
                    <wp:lineTo x="21547" y="0"/>
                    <wp:lineTo x="0" y="0"/>
                  </wp:wrapPolygon>
                </wp:wrapThrough>
                <wp:docPr id="1361358441" name="Chart 3"/>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14:sizeRelH relativeFrom="margin">
                  <wp14:pctWidth>0</wp14:pctWidth>
                </wp14:sizeRelH>
                <wp14:sizeRelV relativeFrom="margin">
                  <wp14:pctHeight>0</wp14:pctHeight>
                </wp14:sizeRelV>
              </wp:anchor>
            </w:drawing>
          </mc:Choice>
          <mc:Fallback>
            <w:drawing>
              <wp:anchor distT="0" distB="51689" distL="114300" distR="202438" simplePos="0" relativeHeight="251653632" behindDoc="0" locked="0" layoutInCell="1" allowOverlap="1" wp14:anchorId="2A87753A" wp14:editId="60BDCFCF">
                <wp:simplePos x="0" y="0"/>
                <wp:positionH relativeFrom="column">
                  <wp:posOffset>-58420</wp:posOffset>
                </wp:positionH>
                <wp:positionV relativeFrom="paragraph">
                  <wp:posOffset>40640</wp:posOffset>
                </wp:positionV>
                <wp:extent cx="3876675" cy="2016760"/>
                <wp:effectExtent l="0" t="0" r="0" b="0"/>
                <wp:wrapThrough wrapText="bothSides">
                  <wp:wrapPolygon edited="0">
                    <wp:start x="0" y="0"/>
                    <wp:lineTo x="0" y="21423"/>
                    <wp:lineTo x="21547" y="21423"/>
                    <wp:lineTo x="21547" y="0"/>
                    <wp:lineTo x="0" y="0"/>
                  </wp:wrapPolygon>
                </wp:wrapThrough>
                <wp:docPr id="1361358441"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61358441" name="Chart 3"/>
                        <pic:cNvPicPr>
                          <a:picLocks noGrp="1" noRot="1" noChangeAspect="1" noMove="1" noResize="1" noEditPoints="1" noAdjustHandles="1" noChangeArrowheads="1" noChangeShapeType="1"/>
                        </pic:cNvPicPr>
                      </pic:nvPicPr>
                      <pic:blipFill>
                        <a:blip r:embed="rId48"/>
                        <a:stretch>
                          <a:fillRect/>
                        </a:stretch>
                      </pic:blipFill>
                      <pic:spPr>
                        <a:xfrm>
                          <a:off x="0" y="0"/>
                          <a:ext cx="3876675" cy="201676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D65FF6">
        <w:rPr>
          <w:rFonts w:asciiTheme="majorBidi" w:hAnsiTheme="majorBidi" w:cstheme="majorBidi"/>
          <w:sz w:val="24"/>
          <w:szCs w:val="24"/>
          <w:lang w:bidi="ar-EG"/>
        </w:rPr>
        <w:tab/>
      </w:r>
    </w:p>
    <w:p w14:paraId="6FAD51AB" w14:textId="77777777" w:rsidR="00511634" w:rsidRDefault="00511634" w:rsidP="00F35512">
      <w:pPr>
        <w:spacing w:line="480" w:lineRule="auto"/>
        <w:jc w:val="both"/>
        <w:rPr>
          <w:rFonts w:asciiTheme="majorBidi" w:hAnsiTheme="majorBidi" w:cstheme="majorBidi"/>
          <w:sz w:val="24"/>
          <w:szCs w:val="24"/>
          <w:lang w:bidi="ar-EG"/>
        </w:rPr>
      </w:pPr>
    </w:p>
    <w:p w14:paraId="42566DDB" w14:textId="77777777" w:rsidR="00511634" w:rsidRDefault="00511634" w:rsidP="00F35512">
      <w:pPr>
        <w:spacing w:line="480" w:lineRule="auto"/>
        <w:jc w:val="both"/>
        <w:rPr>
          <w:rFonts w:asciiTheme="majorBidi" w:hAnsiTheme="majorBidi" w:cstheme="majorBidi"/>
          <w:sz w:val="24"/>
          <w:szCs w:val="24"/>
          <w:lang w:bidi="ar-EG"/>
        </w:rPr>
      </w:pPr>
    </w:p>
    <w:p w14:paraId="76815038" w14:textId="77777777" w:rsidR="00511634" w:rsidRDefault="00511634" w:rsidP="00F35512">
      <w:pPr>
        <w:spacing w:line="480" w:lineRule="auto"/>
        <w:jc w:val="both"/>
        <w:rPr>
          <w:rFonts w:asciiTheme="majorBidi" w:hAnsiTheme="majorBidi" w:cstheme="majorBidi"/>
          <w:sz w:val="24"/>
          <w:szCs w:val="24"/>
          <w:lang w:bidi="ar-EG"/>
        </w:rPr>
      </w:pPr>
    </w:p>
    <w:p w14:paraId="51401D3A" w14:textId="64976E74" w:rsidR="00511634" w:rsidRDefault="00511634" w:rsidP="00F35512">
      <w:pPr>
        <w:spacing w:line="480" w:lineRule="auto"/>
        <w:jc w:val="both"/>
        <w:rPr>
          <w:rFonts w:asciiTheme="majorBidi" w:hAnsiTheme="majorBidi" w:cstheme="majorBidi"/>
          <w:sz w:val="24"/>
          <w:szCs w:val="24"/>
          <w:lang w:bidi="ar-EG"/>
        </w:rPr>
      </w:pPr>
      <w:r>
        <w:rPr>
          <w:noProof/>
        </w:rPr>
        <mc:AlternateContent>
          <mc:Choice Requires="wps">
            <w:drawing>
              <wp:anchor distT="0" distB="0" distL="114300" distR="114300" simplePos="0" relativeHeight="251663872" behindDoc="0" locked="0" layoutInCell="1" allowOverlap="1" wp14:anchorId="7A37B217" wp14:editId="20753701">
                <wp:simplePos x="0" y="0"/>
                <wp:positionH relativeFrom="margin">
                  <wp:align>left</wp:align>
                </wp:positionH>
                <wp:positionV relativeFrom="paragraph">
                  <wp:posOffset>275590</wp:posOffset>
                </wp:positionV>
                <wp:extent cx="3883025" cy="266700"/>
                <wp:effectExtent l="0" t="0" r="3175" b="0"/>
                <wp:wrapThrough wrapText="bothSides">
                  <wp:wrapPolygon edited="0">
                    <wp:start x="0" y="0"/>
                    <wp:lineTo x="0" y="20057"/>
                    <wp:lineTo x="21512" y="20057"/>
                    <wp:lineTo x="21512" y="0"/>
                    <wp:lineTo x="0" y="0"/>
                  </wp:wrapPolygon>
                </wp:wrapThrough>
                <wp:docPr id="4738577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3025" cy="266700"/>
                        </a:xfrm>
                        <a:prstGeom prst="rect">
                          <a:avLst/>
                        </a:prstGeom>
                        <a:solidFill>
                          <a:prstClr val="white"/>
                        </a:solidFill>
                        <a:ln>
                          <a:noFill/>
                        </a:ln>
                      </wps:spPr>
                      <wps:txbx>
                        <w:txbxContent>
                          <w:p w14:paraId="4270656B" w14:textId="4E34EC84" w:rsidR="00F35512" w:rsidRPr="00A61392" w:rsidRDefault="00F35512" w:rsidP="00F35512">
                            <w:pPr>
                              <w:pStyle w:val="Caption"/>
                              <w:rPr>
                                <w:rFonts w:asciiTheme="majorBidi" w:hAnsiTheme="majorBidi" w:cstheme="majorBidi"/>
                                <w:noProof/>
                                <w:sz w:val="24"/>
                                <w:szCs w:val="24"/>
                              </w:rPr>
                            </w:pPr>
                            <w:r>
                              <w:t>Figure 19 Frequency of the respondents’ first choice for surface and floor cleaning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37B217" id="Text Box 6" o:spid="_x0000_s1030" type="#_x0000_t202" style="position:absolute;left:0;text-align:left;margin-left:0;margin-top:21.7pt;width:305.75pt;height:21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" stroked="f">
                <v:textbox style="mso-fit-shape-to-text:t" inset="0,0,0,0">
                  <w:txbxContent>
                    <w:p w14:paraId="4270656B" w14:textId="4E34EC84" w:rsidR="00F35512" w:rsidRPr="00A61392" w:rsidRDefault="00F35512" w:rsidP="00F35512">
                      <w:pPr>
                        <w:pStyle w:val="Caption"/>
                        <w:rPr>
                          <w:rFonts w:asciiTheme="majorBidi" w:hAnsiTheme="majorBidi" w:cstheme="majorBidi"/>
                          <w:noProof/>
                          <w:sz w:val="24"/>
                          <w:szCs w:val="24"/>
                        </w:rPr>
                      </w:pPr>
                      <w:r>
                        <w:t>Figure 19 Frequency of the respondents’ first choice for surface and floor cleaning</w:t>
                      </w:r>
                    </w:p>
                  </w:txbxContent>
                </v:textbox>
                <w10:wrap type="through" anchorx="margin"/>
              </v:shape>
            </w:pict>
          </mc:Fallback>
        </mc:AlternateContent>
      </w:r>
    </w:p>
    <w:p w14:paraId="5B4BFF6D" w14:textId="77777777" w:rsidR="00511634" w:rsidRDefault="00511634" w:rsidP="00F35512">
      <w:pPr>
        <w:spacing w:line="480" w:lineRule="auto"/>
        <w:jc w:val="both"/>
        <w:rPr>
          <w:rFonts w:asciiTheme="majorBidi" w:hAnsiTheme="majorBidi" w:cstheme="majorBidi"/>
          <w:sz w:val="24"/>
          <w:szCs w:val="24"/>
          <w:lang w:bidi="ar-EG"/>
        </w:rPr>
      </w:pPr>
    </w:p>
    <w:p w14:paraId="4F2CDAF0" w14:textId="04944817" w:rsidR="00D637FF" w:rsidRPr="00511634" w:rsidRDefault="00D65FF6" w:rsidP="00511634">
      <w:pPr>
        <w:spacing w:line="480" w:lineRule="auto"/>
        <w:jc w:val="both"/>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According to the </w:t>
      </w:r>
      <w:r w:rsidR="00511634">
        <w:rPr>
          <w:rFonts w:asciiTheme="majorBidi" w:hAnsiTheme="majorBidi" w:cstheme="majorBidi"/>
          <w:sz w:val="24"/>
          <w:szCs w:val="24"/>
          <w:lang w:bidi="ar-EG"/>
        </w:rPr>
        <w:t>above</w:t>
      </w:r>
      <w:r w:rsidRPr="008D75D3">
        <w:rPr>
          <w:rFonts w:asciiTheme="majorBidi" w:hAnsiTheme="majorBidi" w:cstheme="majorBidi"/>
          <w:sz w:val="24"/>
          <w:szCs w:val="24"/>
          <w:lang w:bidi="ar-EG"/>
        </w:rPr>
        <w:t xml:space="preserve"> figure, the first choice is Dettol (35.7%), followed by General (22.6%) and Clorox (16.7%).</w:t>
      </w:r>
      <w:r>
        <w:rPr>
          <w:rFonts w:asciiTheme="majorBidi" w:hAnsiTheme="majorBidi" w:cstheme="majorBidi"/>
          <w:sz w:val="24"/>
          <w:szCs w:val="24"/>
          <w:lang w:bidi="ar-EG"/>
        </w:rPr>
        <w:t xml:space="preserve"> </w:t>
      </w:r>
    </w:p>
    <w:p w14:paraId="330502AA" w14:textId="6390B2E6" w:rsidR="00D65FF6" w:rsidRPr="008D75D3" w:rsidRDefault="00D65FF6" w:rsidP="00D65FF6">
      <w:pPr>
        <w:spacing w:line="360" w:lineRule="auto"/>
        <w:contextualSpacing/>
        <w:jc w:val="both"/>
        <w:rPr>
          <w:rFonts w:asciiTheme="majorBidi" w:hAnsiTheme="majorBidi" w:cstheme="majorBidi"/>
          <w:b/>
          <w:bCs/>
          <w:sz w:val="24"/>
          <w:szCs w:val="24"/>
        </w:rPr>
      </w:pPr>
      <w:r w:rsidRPr="008D75D3">
        <w:rPr>
          <w:rFonts w:asciiTheme="majorBidi" w:hAnsiTheme="majorBidi" w:cstheme="majorBidi"/>
          <w:b/>
          <w:bCs/>
          <w:sz w:val="24"/>
          <w:szCs w:val="24"/>
        </w:rPr>
        <w:t>6.</w:t>
      </w:r>
      <w:r w:rsidR="00C0315E">
        <w:rPr>
          <w:rFonts w:asciiTheme="majorBidi" w:hAnsiTheme="majorBidi" w:cstheme="majorBidi"/>
          <w:b/>
          <w:bCs/>
          <w:sz w:val="24"/>
          <w:szCs w:val="24"/>
        </w:rPr>
        <w:t>6</w:t>
      </w:r>
      <w:r w:rsidRPr="008D75D3">
        <w:rPr>
          <w:rFonts w:asciiTheme="majorBidi" w:hAnsiTheme="majorBidi" w:cstheme="majorBidi"/>
          <w:b/>
          <w:bCs/>
          <w:sz w:val="24"/>
          <w:szCs w:val="24"/>
        </w:rPr>
        <w:t xml:space="preserve"> Analysis of construct</w:t>
      </w:r>
      <w:r>
        <w:rPr>
          <w:rFonts w:asciiTheme="majorBidi" w:hAnsiTheme="majorBidi" w:cstheme="majorBidi"/>
          <w:b/>
          <w:bCs/>
          <w:sz w:val="24"/>
          <w:szCs w:val="24"/>
        </w:rPr>
        <w:t>s’</w:t>
      </w:r>
      <w:r w:rsidRPr="008D75D3">
        <w:rPr>
          <w:rFonts w:asciiTheme="majorBidi" w:hAnsiTheme="majorBidi" w:cstheme="majorBidi"/>
          <w:b/>
          <w:bCs/>
          <w:sz w:val="24"/>
          <w:szCs w:val="24"/>
        </w:rPr>
        <w:t xml:space="preserve"> validity and reliability</w:t>
      </w:r>
    </w:p>
    <w:p w14:paraId="3BC3BE87" w14:textId="557A5861" w:rsidR="00C1594E" w:rsidRPr="00C55386" w:rsidRDefault="00C0315E" w:rsidP="00C55386">
      <w:pPr>
        <w:spacing w:line="480" w:lineRule="auto"/>
        <w:rPr>
          <w:rFonts w:asciiTheme="majorBidi" w:hAnsiTheme="majorBidi" w:cstheme="majorBidi"/>
          <w:sz w:val="24"/>
          <w:szCs w:val="24"/>
          <w:lang w:bidi="ar-EG"/>
        </w:rPr>
      </w:pPr>
      <w:r>
        <w:rPr>
          <w:rFonts w:asciiTheme="majorBidi" w:hAnsiTheme="majorBidi" w:cstheme="majorBidi"/>
          <w:sz w:val="24"/>
          <w:szCs w:val="24"/>
        </w:rPr>
        <w:tab/>
      </w:r>
      <w:r w:rsidR="00D65FF6" w:rsidRPr="008D75D3">
        <w:rPr>
          <w:rFonts w:asciiTheme="majorBidi" w:hAnsiTheme="majorBidi" w:cstheme="majorBidi"/>
          <w:sz w:val="24"/>
          <w:szCs w:val="24"/>
        </w:rPr>
        <w:t xml:space="preserve">Running factor analysis is of great importance for deductive research as it will sort out the most meaningful and valuable constructs within the </w:t>
      </w:r>
      <w:r w:rsidR="00635226" w:rsidRPr="00635226">
        <w:rPr>
          <w:rFonts w:asciiTheme="majorBidi" w:hAnsiTheme="majorBidi" w:cstheme="majorBidi"/>
          <w:sz w:val="24"/>
          <w:szCs w:val="24"/>
        </w:rPr>
        <w:t xml:space="preserve">utilised </w:t>
      </w:r>
      <w:r w:rsidR="00D65FF6" w:rsidRPr="00635226">
        <w:rPr>
          <w:rFonts w:asciiTheme="majorBidi" w:hAnsiTheme="majorBidi" w:cstheme="majorBidi"/>
          <w:sz w:val="24"/>
          <w:szCs w:val="24"/>
        </w:rPr>
        <w:t xml:space="preserve"> </w:t>
      </w:r>
      <w:r w:rsidR="00D65FF6" w:rsidRPr="008D75D3">
        <w:rPr>
          <w:rFonts w:asciiTheme="majorBidi" w:hAnsiTheme="majorBidi" w:cstheme="majorBidi"/>
          <w:sz w:val="24"/>
          <w:szCs w:val="24"/>
        </w:rPr>
        <w:t>model in the study</w:t>
      </w:r>
      <w:r w:rsidR="006D3FE1" w:rsidRPr="006D3FE1">
        <w:rPr>
          <w:rFonts w:asciiTheme="majorBidi" w:hAnsiTheme="majorBidi" w:cstheme="majorBidi"/>
          <w:sz w:val="24"/>
          <w:szCs w:val="24"/>
        </w:rPr>
        <w:t xml:space="preserve"> </w:t>
      </w:r>
      <w:sdt>
        <w:sdtPr>
          <w:rPr>
            <w:rFonts w:asciiTheme="majorBidi" w:hAnsiTheme="majorBidi" w:cstheme="majorBidi"/>
            <w:sz w:val="24"/>
            <w:szCs w:val="24"/>
          </w:rPr>
          <w:id w:val="-431292613"/>
          <w:citation/>
        </w:sdtPr>
        <w:sdtContent>
          <w:r w:rsidR="006D3FE1">
            <w:rPr>
              <w:rFonts w:asciiTheme="majorBidi" w:hAnsiTheme="majorBidi" w:cstheme="majorBidi"/>
              <w:sz w:val="24"/>
              <w:szCs w:val="24"/>
            </w:rPr>
            <w:fldChar w:fldCharType="begin"/>
          </w:r>
          <w:r w:rsidR="006D3FE1">
            <w:rPr>
              <w:rFonts w:asciiTheme="majorBidi" w:hAnsiTheme="majorBidi" w:cstheme="majorBidi"/>
              <w:sz w:val="24"/>
              <w:szCs w:val="24"/>
            </w:rPr>
            <w:instrText xml:space="preserve"> CITATION Pro22 \l 2057  \m Tav20</w:instrText>
          </w:r>
          <w:r w:rsidR="006D3FE1">
            <w:rPr>
              <w:rFonts w:asciiTheme="majorBidi" w:hAnsiTheme="majorBidi" w:cstheme="majorBidi"/>
              <w:sz w:val="24"/>
              <w:szCs w:val="24"/>
            </w:rPr>
            <w:fldChar w:fldCharType="separate"/>
          </w:r>
          <w:r w:rsidR="006D3FE1" w:rsidRPr="000D1B92">
            <w:rPr>
              <w:rFonts w:asciiTheme="majorBidi" w:hAnsiTheme="majorBidi" w:cstheme="majorBidi"/>
              <w:noProof/>
              <w:sz w:val="24"/>
              <w:szCs w:val="24"/>
            </w:rPr>
            <w:t>(Proudfoot, 2022; Tavakol &amp; Wetzel, 2020)</w:t>
          </w:r>
          <w:r w:rsidR="006D3FE1">
            <w:rPr>
              <w:rFonts w:asciiTheme="majorBidi" w:hAnsiTheme="majorBidi" w:cstheme="majorBidi"/>
              <w:sz w:val="24"/>
              <w:szCs w:val="24"/>
            </w:rPr>
            <w:fldChar w:fldCharType="end"/>
          </w:r>
        </w:sdtContent>
      </w:sdt>
      <w:r w:rsidR="00D65FF6" w:rsidRPr="008D75D3">
        <w:rPr>
          <w:rFonts w:asciiTheme="majorBidi" w:hAnsiTheme="majorBidi" w:cstheme="majorBidi"/>
          <w:sz w:val="24"/>
          <w:szCs w:val="24"/>
        </w:rPr>
        <w:t>.</w:t>
      </w:r>
      <w:r w:rsidR="00D65FF6">
        <w:rPr>
          <w:rFonts w:asciiTheme="majorBidi" w:hAnsiTheme="majorBidi" w:cstheme="majorBidi"/>
          <w:sz w:val="24"/>
          <w:szCs w:val="24"/>
        </w:rPr>
        <w:t xml:space="preserve"> </w:t>
      </w:r>
      <w:bookmarkStart w:id="157" w:name="_Hlk150878118"/>
      <w:r w:rsidR="00D65FF6">
        <w:rPr>
          <w:rFonts w:asciiTheme="majorBidi" w:hAnsiTheme="majorBidi" w:cstheme="majorBidi"/>
          <w:sz w:val="24"/>
          <w:szCs w:val="24"/>
        </w:rPr>
        <w:t>This study applied confirmatory factor analysis to confirm the validity of the questionnaire</w:t>
      </w:r>
      <w:sdt>
        <w:sdtPr>
          <w:rPr>
            <w:rFonts w:asciiTheme="majorBidi" w:hAnsiTheme="majorBidi" w:cstheme="majorBidi"/>
            <w:sz w:val="24"/>
            <w:szCs w:val="24"/>
          </w:rPr>
          <w:id w:val="909424532"/>
          <w:citation/>
        </w:sdtPr>
        <w:sdtContent>
          <w:r w:rsidR="00D65FF6">
            <w:rPr>
              <w:rFonts w:asciiTheme="majorBidi" w:hAnsiTheme="majorBidi" w:cstheme="majorBidi"/>
              <w:sz w:val="24"/>
              <w:szCs w:val="24"/>
            </w:rPr>
            <w:fldChar w:fldCharType="begin"/>
          </w:r>
          <w:r w:rsidR="00D65FF6">
            <w:rPr>
              <w:rFonts w:asciiTheme="majorBidi" w:hAnsiTheme="majorBidi" w:cstheme="majorBidi"/>
              <w:sz w:val="24"/>
              <w:szCs w:val="24"/>
            </w:rPr>
            <w:instrText xml:space="preserve"> CITATION Mya21 \l 2057 </w:instrText>
          </w:r>
          <w:r w:rsidR="00D65FF6">
            <w:rPr>
              <w:rFonts w:asciiTheme="majorBidi" w:hAnsiTheme="majorBidi" w:cstheme="majorBidi"/>
              <w:sz w:val="24"/>
              <w:szCs w:val="24"/>
            </w:rPr>
            <w:fldChar w:fldCharType="separate"/>
          </w:r>
          <w:r w:rsidR="00D65FF6">
            <w:rPr>
              <w:rFonts w:asciiTheme="majorBidi" w:hAnsiTheme="majorBidi" w:cstheme="majorBidi"/>
              <w:noProof/>
              <w:sz w:val="24"/>
              <w:szCs w:val="24"/>
            </w:rPr>
            <w:t xml:space="preserve"> </w:t>
          </w:r>
          <w:r w:rsidR="00D65FF6" w:rsidRPr="00834E03">
            <w:rPr>
              <w:rFonts w:asciiTheme="majorBidi" w:hAnsiTheme="majorBidi" w:cstheme="majorBidi"/>
              <w:noProof/>
              <w:sz w:val="24"/>
              <w:szCs w:val="24"/>
            </w:rPr>
            <w:t>(Mya, Zaw, &amp; Mya, 2021)</w:t>
          </w:r>
          <w:r w:rsidR="00D65FF6">
            <w:rPr>
              <w:rFonts w:asciiTheme="majorBidi" w:hAnsiTheme="majorBidi" w:cstheme="majorBidi"/>
              <w:sz w:val="24"/>
              <w:szCs w:val="24"/>
            </w:rPr>
            <w:fldChar w:fldCharType="end"/>
          </w:r>
        </w:sdtContent>
      </w:sdt>
      <w:r w:rsidR="00D65FF6">
        <w:rPr>
          <w:rFonts w:asciiTheme="majorBidi" w:hAnsiTheme="majorBidi" w:cstheme="majorBidi"/>
          <w:sz w:val="24"/>
          <w:szCs w:val="24"/>
        </w:rPr>
        <w:t xml:space="preserve">. </w:t>
      </w:r>
      <w:r w:rsidR="00D65FF6" w:rsidRPr="008D75D3">
        <w:rPr>
          <w:rFonts w:asciiTheme="majorBidi" w:hAnsiTheme="majorBidi" w:cstheme="majorBidi"/>
          <w:sz w:val="24"/>
          <w:szCs w:val="24"/>
          <w:lang w:bidi="ar-EG"/>
        </w:rPr>
        <w:t xml:space="preserve">Additionally, the </w:t>
      </w:r>
      <w:r w:rsidR="00D65FF6">
        <w:rPr>
          <w:rFonts w:asciiTheme="majorBidi" w:hAnsiTheme="majorBidi" w:cstheme="majorBidi"/>
          <w:sz w:val="24"/>
          <w:szCs w:val="24"/>
          <w:lang w:bidi="ar-EG"/>
        </w:rPr>
        <w:t xml:space="preserve">study applied </w:t>
      </w:r>
      <w:r w:rsidR="00D65FF6" w:rsidRPr="008D75D3">
        <w:rPr>
          <w:rFonts w:asciiTheme="majorBidi" w:hAnsiTheme="majorBidi" w:cstheme="majorBidi"/>
          <w:sz w:val="24"/>
          <w:szCs w:val="24"/>
          <w:lang w:bidi="ar-EG"/>
        </w:rPr>
        <w:t xml:space="preserve">internal consistency coefficient (Cronbach’s Alpha) </w:t>
      </w:r>
      <w:r w:rsidR="00D65FF6">
        <w:rPr>
          <w:rFonts w:asciiTheme="majorBidi" w:hAnsiTheme="majorBidi" w:cstheme="majorBidi"/>
          <w:sz w:val="24"/>
          <w:szCs w:val="24"/>
          <w:lang w:bidi="ar-EG"/>
        </w:rPr>
        <w:t xml:space="preserve">as it </w:t>
      </w:r>
      <w:r w:rsidR="00D65FF6" w:rsidRPr="008D75D3">
        <w:rPr>
          <w:rFonts w:asciiTheme="majorBidi" w:hAnsiTheme="majorBidi" w:cstheme="majorBidi"/>
          <w:sz w:val="24"/>
          <w:szCs w:val="24"/>
          <w:lang w:bidi="ar-EG"/>
        </w:rPr>
        <w:t>reflects the reliability of the used questions</w:t>
      </w:r>
      <w:r w:rsidR="006D3FE1" w:rsidRPr="006D3FE1">
        <w:rPr>
          <w:rFonts w:asciiTheme="majorBidi" w:hAnsiTheme="majorBidi" w:cstheme="majorBidi"/>
          <w:sz w:val="24"/>
          <w:szCs w:val="24"/>
        </w:rPr>
        <w:t xml:space="preserve"> </w:t>
      </w:r>
      <w:sdt>
        <w:sdtPr>
          <w:rPr>
            <w:rFonts w:asciiTheme="majorBidi" w:hAnsiTheme="majorBidi" w:cstheme="majorBidi"/>
            <w:sz w:val="24"/>
            <w:szCs w:val="24"/>
          </w:rPr>
          <w:id w:val="1907184737"/>
          <w:citation/>
        </w:sdtPr>
        <w:sdtContent>
          <w:r w:rsidR="006D3FE1">
            <w:rPr>
              <w:rFonts w:asciiTheme="majorBidi" w:hAnsiTheme="majorBidi" w:cstheme="majorBidi"/>
              <w:sz w:val="24"/>
              <w:szCs w:val="24"/>
            </w:rPr>
            <w:fldChar w:fldCharType="begin"/>
          </w:r>
          <w:r w:rsidR="006D3FE1">
            <w:rPr>
              <w:rFonts w:asciiTheme="majorBidi" w:hAnsiTheme="majorBidi" w:cstheme="majorBidi"/>
              <w:sz w:val="24"/>
              <w:szCs w:val="24"/>
            </w:rPr>
            <w:instrText xml:space="preserve"> CITATION Tab18 \l 2057 </w:instrText>
          </w:r>
          <w:r w:rsidR="006D3FE1">
            <w:rPr>
              <w:rFonts w:asciiTheme="majorBidi" w:hAnsiTheme="majorBidi" w:cstheme="majorBidi"/>
              <w:sz w:val="24"/>
              <w:szCs w:val="24"/>
            </w:rPr>
            <w:fldChar w:fldCharType="separate"/>
          </w:r>
          <w:r w:rsidR="006D3FE1" w:rsidRPr="000D1B92">
            <w:rPr>
              <w:rFonts w:asciiTheme="majorBidi" w:hAnsiTheme="majorBidi" w:cstheme="majorBidi"/>
              <w:noProof/>
              <w:sz w:val="24"/>
              <w:szCs w:val="24"/>
            </w:rPr>
            <w:t>(Taber, 2018)</w:t>
          </w:r>
          <w:r w:rsidR="006D3FE1">
            <w:rPr>
              <w:rFonts w:asciiTheme="majorBidi" w:hAnsiTheme="majorBidi" w:cstheme="majorBidi"/>
              <w:sz w:val="24"/>
              <w:szCs w:val="24"/>
            </w:rPr>
            <w:fldChar w:fldCharType="end"/>
          </w:r>
        </w:sdtContent>
      </w:sdt>
      <w:r w:rsidR="00D65FF6" w:rsidRPr="008D75D3">
        <w:rPr>
          <w:rFonts w:asciiTheme="majorBidi" w:hAnsiTheme="majorBidi" w:cstheme="majorBidi"/>
          <w:sz w:val="24"/>
          <w:szCs w:val="24"/>
          <w:lang w:bidi="ar-EG"/>
        </w:rPr>
        <w:t xml:space="preserve">. It captures the proportion of </w:t>
      </w:r>
      <w:r w:rsidR="00242BE0">
        <w:rPr>
          <w:rFonts w:asciiTheme="majorBidi" w:hAnsiTheme="majorBidi" w:cstheme="majorBidi"/>
          <w:sz w:val="24"/>
          <w:szCs w:val="24"/>
          <w:lang w:bidi="ar-EG"/>
        </w:rPr>
        <w:t xml:space="preserve">the </w:t>
      </w:r>
      <w:r w:rsidR="00D65FF6" w:rsidRPr="004B44B9">
        <w:rPr>
          <w:rFonts w:asciiTheme="majorBidi" w:hAnsiTheme="majorBidi" w:cstheme="majorBidi"/>
          <w:sz w:val="24"/>
          <w:szCs w:val="24"/>
          <w:lang w:bidi="ar-EG"/>
        </w:rPr>
        <w:t>total variance that is common among all items forming the scale, which presumably</w:t>
      </w:r>
      <w:r w:rsidR="00242BE0" w:rsidRPr="004B44B9">
        <w:rPr>
          <w:rFonts w:asciiTheme="majorBidi" w:hAnsiTheme="majorBidi" w:cstheme="majorBidi"/>
          <w:sz w:val="24"/>
          <w:szCs w:val="24"/>
          <w:lang w:bidi="ar-EG"/>
        </w:rPr>
        <w:t>,</w:t>
      </w:r>
      <w:r w:rsidR="00D65FF6" w:rsidRPr="004B44B9">
        <w:rPr>
          <w:rFonts w:asciiTheme="majorBidi" w:hAnsiTheme="majorBidi" w:cstheme="majorBidi"/>
          <w:sz w:val="24"/>
          <w:szCs w:val="24"/>
          <w:lang w:bidi="ar-EG"/>
        </w:rPr>
        <w:t xml:space="preserve"> corresponds to the underlying construct being measured</w:t>
      </w:r>
      <w:sdt>
        <w:sdtPr>
          <w:rPr>
            <w:rFonts w:asciiTheme="majorBidi" w:hAnsiTheme="majorBidi" w:cstheme="majorBidi"/>
            <w:sz w:val="24"/>
            <w:szCs w:val="24"/>
            <w:lang w:bidi="ar-EG"/>
          </w:rPr>
          <w:id w:val="1425532267"/>
          <w:citation/>
        </w:sdtPr>
        <w:sdtContent>
          <w:r w:rsidR="00D65FF6" w:rsidRPr="008D75D3">
            <w:rPr>
              <w:rFonts w:asciiTheme="majorBidi" w:hAnsiTheme="majorBidi" w:cstheme="majorBidi"/>
              <w:sz w:val="24"/>
              <w:szCs w:val="24"/>
              <w:lang w:bidi="ar-EG"/>
            </w:rPr>
            <w:fldChar w:fldCharType="begin"/>
          </w:r>
          <w:r w:rsidR="00D65FF6" w:rsidRPr="008D75D3">
            <w:rPr>
              <w:rFonts w:asciiTheme="majorBidi" w:hAnsiTheme="majorBidi" w:cstheme="majorBidi"/>
              <w:sz w:val="24"/>
              <w:szCs w:val="24"/>
              <w:lang w:bidi="ar-EG"/>
            </w:rPr>
            <w:instrText xml:space="preserve"> CITATION Sch20 \l 2057  \m Sur20</w:instrText>
          </w:r>
          <w:r w:rsidR="00D65FF6" w:rsidRPr="008D75D3">
            <w:rPr>
              <w:rFonts w:asciiTheme="majorBidi" w:hAnsiTheme="majorBidi" w:cstheme="majorBidi"/>
              <w:sz w:val="24"/>
              <w:szCs w:val="24"/>
              <w:lang w:bidi="ar-EG"/>
            </w:rPr>
            <w:fldChar w:fldCharType="separate"/>
          </w:r>
          <w:r w:rsidR="00D65FF6">
            <w:rPr>
              <w:rFonts w:asciiTheme="majorBidi" w:hAnsiTheme="majorBidi" w:cstheme="majorBidi"/>
              <w:noProof/>
              <w:sz w:val="24"/>
              <w:szCs w:val="24"/>
              <w:lang w:bidi="ar-EG"/>
            </w:rPr>
            <w:t xml:space="preserve"> </w:t>
          </w:r>
          <w:r w:rsidR="00D65FF6" w:rsidRPr="009F6991">
            <w:rPr>
              <w:rFonts w:asciiTheme="majorBidi" w:hAnsiTheme="majorBidi" w:cstheme="majorBidi"/>
              <w:noProof/>
              <w:sz w:val="24"/>
              <w:szCs w:val="24"/>
              <w:lang w:bidi="ar-EG"/>
            </w:rPr>
            <w:t>(Schrepp, 2020; Surucu &amp; Maslakci , 2020)</w:t>
          </w:r>
          <w:r w:rsidR="00D65FF6" w:rsidRPr="008D75D3">
            <w:rPr>
              <w:rFonts w:asciiTheme="majorBidi" w:hAnsiTheme="majorBidi" w:cstheme="majorBidi"/>
              <w:sz w:val="24"/>
              <w:szCs w:val="24"/>
              <w:lang w:bidi="ar-EG"/>
            </w:rPr>
            <w:fldChar w:fldCharType="end"/>
          </w:r>
        </w:sdtContent>
      </w:sdt>
      <w:r w:rsidR="00D65FF6" w:rsidRPr="008D75D3">
        <w:rPr>
          <w:rFonts w:asciiTheme="majorBidi" w:hAnsiTheme="majorBidi" w:cstheme="majorBidi"/>
          <w:sz w:val="24"/>
          <w:szCs w:val="24"/>
          <w:lang w:bidi="ar-EG"/>
        </w:rPr>
        <w:t>. Cronbach’s Alpha reflects that good reliability of questions range</w:t>
      </w:r>
      <w:r w:rsidR="002F2ACA">
        <w:rPr>
          <w:rFonts w:asciiTheme="majorBidi" w:hAnsiTheme="majorBidi" w:cstheme="majorBidi"/>
          <w:sz w:val="24"/>
          <w:szCs w:val="24"/>
          <w:lang w:bidi="ar-EG"/>
        </w:rPr>
        <w:t>s</w:t>
      </w:r>
      <w:r w:rsidR="00D65FF6" w:rsidRPr="008D75D3">
        <w:rPr>
          <w:rFonts w:asciiTheme="majorBidi" w:hAnsiTheme="majorBidi" w:cstheme="majorBidi"/>
          <w:sz w:val="24"/>
          <w:szCs w:val="24"/>
          <w:lang w:bidi="ar-EG"/>
        </w:rPr>
        <w:t xml:space="preserve"> from 0.847 to 0.958</w:t>
      </w:r>
      <w:sdt>
        <w:sdtPr>
          <w:rPr>
            <w:rFonts w:asciiTheme="majorBidi" w:hAnsiTheme="majorBidi" w:cstheme="majorBidi"/>
            <w:sz w:val="24"/>
            <w:szCs w:val="24"/>
            <w:lang w:bidi="ar-EG"/>
          </w:rPr>
          <w:id w:val="816852584"/>
          <w:citation/>
        </w:sdtPr>
        <w:sdtContent>
          <w:r w:rsidR="00D65FF6">
            <w:rPr>
              <w:rFonts w:asciiTheme="majorBidi" w:hAnsiTheme="majorBidi" w:cstheme="majorBidi"/>
              <w:sz w:val="24"/>
              <w:szCs w:val="24"/>
              <w:lang w:bidi="ar-EG"/>
            </w:rPr>
            <w:fldChar w:fldCharType="begin"/>
          </w:r>
          <w:r w:rsidR="00D65FF6">
            <w:rPr>
              <w:rFonts w:asciiTheme="majorBidi" w:hAnsiTheme="majorBidi" w:cstheme="majorBidi"/>
              <w:sz w:val="24"/>
              <w:szCs w:val="24"/>
              <w:lang w:bidi="ar-EG"/>
            </w:rPr>
            <w:instrText xml:space="preserve"> CITATION Dau18 \l 2057 </w:instrText>
          </w:r>
          <w:r w:rsidR="00D65FF6">
            <w:rPr>
              <w:rFonts w:asciiTheme="majorBidi" w:hAnsiTheme="majorBidi" w:cstheme="majorBidi"/>
              <w:sz w:val="24"/>
              <w:szCs w:val="24"/>
              <w:lang w:bidi="ar-EG"/>
            </w:rPr>
            <w:fldChar w:fldCharType="separate"/>
          </w:r>
          <w:r w:rsidR="00D65FF6">
            <w:rPr>
              <w:rFonts w:asciiTheme="majorBidi" w:hAnsiTheme="majorBidi" w:cstheme="majorBidi"/>
              <w:noProof/>
              <w:sz w:val="24"/>
              <w:szCs w:val="24"/>
              <w:lang w:bidi="ar-EG"/>
            </w:rPr>
            <w:t xml:space="preserve"> </w:t>
          </w:r>
          <w:r w:rsidR="00D65FF6" w:rsidRPr="009F6991">
            <w:rPr>
              <w:rFonts w:asciiTheme="majorBidi" w:hAnsiTheme="majorBidi" w:cstheme="majorBidi"/>
              <w:noProof/>
              <w:sz w:val="24"/>
              <w:szCs w:val="24"/>
              <w:lang w:bidi="ar-EG"/>
            </w:rPr>
            <w:t>(Daud, Khidzir, Ismail, &amp; Abdullah, 2018)</w:t>
          </w:r>
          <w:r w:rsidR="00D65FF6">
            <w:rPr>
              <w:rFonts w:asciiTheme="majorBidi" w:hAnsiTheme="majorBidi" w:cstheme="majorBidi"/>
              <w:sz w:val="24"/>
              <w:szCs w:val="24"/>
              <w:lang w:bidi="ar-EG"/>
            </w:rPr>
            <w:fldChar w:fldCharType="end"/>
          </w:r>
        </w:sdtContent>
      </w:sdt>
      <w:bookmarkEnd w:id="157"/>
      <w:r w:rsidR="007A78B5">
        <w:rPr>
          <w:rFonts w:asciiTheme="majorBidi" w:hAnsiTheme="majorBidi" w:cstheme="majorBidi"/>
          <w:sz w:val="24"/>
          <w:szCs w:val="24"/>
          <w:lang w:bidi="ar-EG"/>
        </w:rPr>
        <w:t>; however, other researchers claim that Cronbach’s value of 0.7 or higher denotes good reliability</w:t>
      </w:r>
      <w:sdt>
        <w:sdtPr>
          <w:rPr>
            <w:rFonts w:asciiTheme="majorBidi" w:hAnsiTheme="majorBidi" w:cstheme="majorBidi"/>
            <w:sz w:val="24"/>
            <w:szCs w:val="24"/>
            <w:lang w:bidi="ar-EG"/>
          </w:rPr>
          <w:id w:val="-985167627"/>
          <w:citation/>
        </w:sdtPr>
        <w:sdtContent>
          <w:r w:rsidR="007A78B5">
            <w:rPr>
              <w:rFonts w:asciiTheme="majorBidi" w:hAnsiTheme="majorBidi" w:cstheme="majorBidi"/>
              <w:sz w:val="24"/>
              <w:szCs w:val="24"/>
              <w:lang w:bidi="ar-EG"/>
            </w:rPr>
            <w:fldChar w:fldCharType="begin"/>
          </w:r>
          <w:r w:rsidR="007A78B5">
            <w:rPr>
              <w:rFonts w:asciiTheme="majorBidi" w:hAnsiTheme="majorBidi" w:cstheme="majorBidi"/>
              <w:sz w:val="24"/>
              <w:szCs w:val="24"/>
              <w:lang w:bidi="ar-EG"/>
            </w:rPr>
            <w:instrText xml:space="preserve"> CITATION Hai09 \l 2057 </w:instrText>
          </w:r>
          <w:r w:rsidR="007A78B5">
            <w:rPr>
              <w:rFonts w:asciiTheme="majorBidi" w:hAnsiTheme="majorBidi" w:cstheme="majorBidi"/>
              <w:sz w:val="24"/>
              <w:szCs w:val="24"/>
              <w:lang w:bidi="ar-EG"/>
            </w:rPr>
            <w:fldChar w:fldCharType="separate"/>
          </w:r>
          <w:r w:rsidR="007A78B5">
            <w:rPr>
              <w:rFonts w:asciiTheme="majorBidi" w:hAnsiTheme="majorBidi" w:cstheme="majorBidi"/>
              <w:noProof/>
              <w:sz w:val="24"/>
              <w:szCs w:val="24"/>
              <w:lang w:bidi="ar-EG"/>
            </w:rPr>
            <w:t xml:space="preserve"> </w:t>
          </w:r>
          <w:r w:rsidR="007A78B5" w:rsidRPr="007A78B5">
            <w:rPr>
              <w:rFonts w:asciiTheme="majorBidi" w:hAnsiTheme="majorBidi" w:cstheme="majorBidi"/>
              <w:noProof/>
              <w:sz w:val="24"/>
              <w:szCs w:val="24"/>
              <w:lang w:bidi="ar-EG"/>
            </w:rPr>
            <w:t>(Hair Jr , Black, Babin, &amp; Anderson, 2009)</w:t>
          </w:r>
          <w:r w:rsidR="007A78B5">
            <w:rPr>
              <w:rFonts w:asciiTheme="majorBidi" w:hAnsiTheme="majorBidi" w:cstheme="majorBidi"/>
              <w:sz w:val="24"/>
              <w:szCs w:val="24"/>
              <w:lang w:bidi="ar-EG"/>
            </w:rPr>
            <w:fldChar w:fldCharType="end"/>
          </w:r>
        </w:sdtContent>
      </w:sdt>
      <w:r w:rsidR="007A78B5">
        <w:rPr>
          <w:rFonts w:asciiTheme="majorBidi" w:hAnsiTheme="majorBidi" w:cstheme="majorBidi"/>
          <w:sz w:val="24"/>
          <w:szCs w:val="24"/>
          <w:lang w:bidi="ar-EG"/>
        </w:rPr>
        <w:t xml:space="preserve">. </w:t>
      </w:r>
      <w:r w:rsidR="00D65FF6" w:rsidRPr="008D75D3">
        <w:rPr>
          <w:rFonts w:asciiTheme="majorBidi" w:hAnsiTheme="majorBidi" w:cstheme="majorBidi"/>
          <w:sz w:val="24"/>
          <w:szCs w:val="24"/>
          <w:lang w:bidi="ar-EG"/>
        </w:rPr>
        <w:t>The results of the factor analysis indicated that all items are loaded in their constructs as suggested in the proposed model</w:t>
      </w:r>
      <w:r w:rsidR="002F2ACA">
        <w:rPr>
          <w:rFonts w:asciiTheme="majorBidi" w:hAnsiTheme="majorBidi" w:cstheme="majorBidi"/>
          <w:sz w:val="24"/>
          <w:szCs w:val="24"/>
          <w:lang w:bidi="ar-EG"/>
        </w:rPr>
        <w:t xml:space="preserve"> (</w:t>
      </w:r>
      <w:r w:rsidR="00D65FF6" w:rsidRPr="008D75D3">
        <w:rPr>
          <w:rFonts w:asciiTheme="majorBidi" w:hAnsiTheme="majorBidi" w:cstheme="majorBidi"/>
          <w:sz w:val="24"/>
          <w:szCs w:val="24"/>
          <w:lang w:bidi="ar-EG"/>
        </w:rPr>
        <w:t>the loading of all items are greater than 0.5</w:t>
      </w:r>
      <w:r w:rsidR="002F2ACA">
        <w:rPr>
          <w:rFonts w:asciiTheme="majorBidi" w:hAnsiTheme="majorBidi" w:cstheme="majorBidi"/>
          <w:sz w:val="24"/>
          <w:szCs w:val="24"/>
          <w:lang w:bidi="ar-EG"/>
        </w:rPr>
        <w:t xml:space="preserve">) </w:t>
      </w:r>
      <w:r w:rsidR="00D65FF6" w:rsidRPr="008D75D3">
        <w:rPr>
          <w:rFonts w:asciiTheme="majorBidi" w:hAnsiTheme="majorBidi" w:cstheme="majorBidi"/>
          <w:sz w:val="24"/>
          <w:szCs w:val="24"/>
          <w:lang w:bidi="ar-EG"/>
        </w:rPr>
        <w:t xml:space="preserve">as suggested by </w:t>
      </w:r>
      <w:r w:rsidR="002F2ACA">
        <w:rPr>
          <w:rFonts w:asciiTheme="majorBidi" w:hAnsiTheme="majorBidi" w:cstheme="majorBidi"/>
          <w:sz w:val="24"/>
          <w:szCs w:val="24"/>
          <w:lang w:bidi="ar-EG"/>
        </w:rPr>
        <w:t xml:space="preserve">Clef </w:t>
      </w:r>
      <w:sdt>
        <w:sdtPr>
          <w:rPr>
            <w:rFonts w:asciiTheme="majorBidi" w:hAnsiTheme="majorBidi" w:cstheme="majorBidi"/>
            <w:sz w:val="24"/>
            <w:szCs w:val="24"/>
            <w:lang w:bidi="ar-EG"/>
          </w:rPr>
          <w:id w:val="-127780069"/>
          <w:citation/>
        </w:sdtPr>
        <w:sdtContent>
          <w:r w:rsidR="002F2ACA">
            <w:rPr>
              <w:rFonts w:asciiTheme="majorBidi" w:hAnsiTheme="majorBidi" w:cstheme="majorBidi"/>
              <w:sz w:val="24"/>
              <w:szCs w:val="24"/>
              <w:lang w:bidi="ar-EG"/>
            </w:rPr>
            <w:fldChar w:fldCharType="begin"/>
          </w:r>
          <w:r w:rsidR="002F2ACA">
            <w:rPr>
              <w:rFonts w:asciiTheme="majorBidi" w:hAnsiTheme="majorBidi" w:cstheme="majorBidi"/>
              <w:sz w:val="24"/>
              <w:szCs w:val="24"/>
              <w:lang w:bidi="ar-EG"/>
            </w:rPr>
            <w:instrText xml:space="preserve">CITATION Cle19 \n  \t  \l 2057 </w:instrText>
          </w:r>
          <w:r w:rsidR="002F2ACA">
            <w:rPr>
              <w:rFonts w:asciiTheme="majorBidi" w:hAnsiTheme="majorBidi" w:cstheme="majorBidi"/>
              <w:sz w:val="24"/>
              <w:szCs w:val="24"/>
              <w:lang w:bidi="ar-EG"/>
            </w:rPr>
            <w:fldChar w:fldCharType="separate"/>
          </w:r>
          <w:r w:rsidR="002F2ACA" w:rsidRPr="002F2ACA">
            <w:rPr>
              <w:rFonts w:asciiTheme="majorBidi" w:hAnsiTheme="majorBidi" w:cstheme="majorBidi"/>
              <w:noProof/>
              <w:sz w:val="24"/>
              <w:szCs w:val="24"/>
              <w:lang w:bidi="ar-EG"/>
            </w:rPr>
            <w:t>(2019)</w:t>
          </w:r>
          <w:r w:rsidR="002F2ACA">
            <w:rPr>
              <w:rFonts w:asciiTheme="majorBidi" w:hAnsiTheme="majorBidi" w:cstheme="majorBidi"/>
              <w:sz w:val="24"/>
              <w:szCs w:val="24"/>
              <w:lang w:bidi="ar-EG"/>
            </w:rPr>
            <w:fldChar w:fldCharType="end"/>
          </w:r>
        </w:sdtContent>
      </w:sdt>
      <w:r w:rsidR="00D65FF6" w:rsidRPr="008D75D3">
        <w:rPr>
          <w:rFonts w:asciiTheme="majorBidi" w:hAnsiTheme="majorBidi" w:cstheme="majorBidi"/>
          <w:sz w:val="24"/>
          <w:szCs w:val="24"/>
          <w:lang w:bidi="ar-EG"/>
        </w:rPr>
        <w:t xml:space="preserve"> who argued that the manifest variables with loading value of less than 0.5 should</w:t>
      </w:r>
      <w:r w:rsidR="00A102C9">
        <w:rPr>
          <w:rFonts w:asciiTheme="majorBidi" w:hAnsiTheme="majorBidi" w:cstheme="majorBidi"/>
          <w:sz w:val="24"/>
          <w:szCs w:val="24"/>
          <w:lang w:bidi="ar-EG"/>
        </w:rPr>
        <w:t xml:space="preserve"> not</w:t>
      </w:r>
      <w:r w:rsidR="00D65FF6" w:rsidRPr="008D75D3">
        <w:rPr>
          <w:rFonts w:asciiTheme="majorBidi" w:hAnsiTheme="majorBidi" w:cstheme="majorBidi"/>
          <w:sz w:val="24"/>
          <w:szCs w:val="24"/>
          <w:lang w:bidi="ar-EG"/>
        </w:rPr>
        <w:t xml:space="preserve"> be </w:t>
      </w:r>
      <w:r w:rsidR="00A102C9">
        <w:rPr>
          <w:rFonts w:asciiTheme="majorBidi" w:hAnsiTheme="majorBidi" w:cstheme="majorBidi"/>
          <w:sz w:val="24"/>
          <w:szCs w:val="24"/>
          <w:lang w:bidi="ar-EG"/>
        </w:rPr>
        <w:t>included</w:t>
      </w:r>
      <w:r w:rsidR="00D65FF6" w:rsidRPr="008D75D3">
        <w:rPr>
          <w:rFonts w:asciiTheme="majorBidi" w:hAnsiTheme="majorBidi" w:cstheme="majorBidi"/>
          <w:sz w:val="24"/>
          <w:szCs w:val="24"/>
          <w:lang w:bidi="ar-EG"/>
        </w:rPr>
        <w:t xml:space="preserve">. The average variance extracted (AVE) was computed for the constructs to confirm the convergent validity. The minimum accepted value of AVE, as referenced by multiple researchers </w:t>
      </w:r>
      <w:sdt>
        <w:sdtPr>
          <w:rPr>
            <w:rFonts w:asciiTheme="majorBidi" w:hAnsiTheme="majorBidi" w:cstheme="majorBidi"/>
            <w:sz w:val="24"/>
            <w:szCs w:val="24"/>
            <w:lang w:bidi="ar-EG"/>
          </w:rPr>
          <w:id w:val="-1402363907"/>
          <w:citation/>
        </w:sdtPr>
        <w:sdtContent>
          <w:r w:rsidR="00D65FF6" w:rsidRPr="008D75D3">
            <w:rPr>
              <w:rFonts w:asciiTheme="majorBidi" w:hAnsiTheme="majorBidi" w:cstheme="majorBidi"/>
              <w:sz w:val="24"/>
              <w:szCs w:val="24"/>
              <w:lang w:bidi="ar-EG"/>
            </w:rPr>
            <w:fldChar w:fldCharType="begin"/>
          </w:r>
          <w:r w:rsidR="00D65FF6" w:rsidRPr="008D75D3">
            <w:rPr>
              <w:rFonts w:asciiTheme="majorBidi" w:hAnsiTheme="majorBidi" w:cstheme="majorBidi"/>
              <w:sz w:val="24"/>
              <w:szCs w:val="24"/>
              <w:lang w:bidi="ar-EG"/>
            </w:rPr>
            <w:instrText xml:space="preserve"> CITATION Hai19 \l 2057  \m HuL09</w:instrText>
          </w:r>
          <w:r w:rsidR="00D65FF6" w:rsidRPr="008D75D3">
            <w:rPr>
              <w:rFonts w:asciiTheme="majorBidi" w:hAnsiTheme="majorBidi" w:cstheme="majorBidi"/>
              <w:sz w:val="24"/>
              <w:szCs w:val="24"/>
              <w:lang w:bidi="ar-EG"/>
            </w:rPr>
            <w:fldChar w:fldCharType="separate"/>
          </w:r>
          <w:r w:rsidR="00D65FF6" w:rsidRPr="009F6991">
            <w:rPr>
              <w:rFonts w:asciiTheme="majorBidi" w:hAnsiTheme="majorBidi" w:cstheme="majorBidi"/>
              <w:noProof/>
              <w:sz w:val="24"/>
              <w:szCs w:val="24"/>
              <w:lang w:bidi="ar-EG"/>
            </w:rPr>
            <w:t>(Hair, Risher, Sarstedt, &amp; Ringle, 2019; Hu &amp; Bentler, 2009)</w:t>
          </w:r>
          <w:r w:rsidR="00D65FF6" w:rsidRPr="008D75D3">
            <w:rPr>
              <w:rFonts w:asciiTheme="majorBidi" w:hAnsiTheme="majorBidi" w:cstheme="majorBidi"/>
              <w:sz w:val="24"/>
              <w:szCs w:val="24"/>
              <w:lang w:bidi="ar-EG"/>
            </w:rPr>
            <w:fldChar w:fldCharType="end"/>
          </w:r>
        </w:sdtContent>
      </w:sdt>
      <w:r w:rsidR="00D65FF6" w:rsidRPr="008D75D3">
        <w:rPr>
          <w:rFonts w:asciiTheme="majorBidi" w:hAnsiTheme="majorBidi" w:cstheme="majorBidi"/>
          <w:sz w:val="24"/>
          <w:szCs w:val="24"/>
          <w:lang w:bidi="ar-EG"/>
        </w:rPr>
        <w:t xml:space="preserve">  is 0.50. An AVE of 0.50 or higher indicates the co</w:t>
      </w:r>
      <w:r w:rsidR="00D65FF6" w:rsidRPr="008D109C">
        <w:rPr>
          <w:rFonts w:asciiTheme="majorBidi" w:hAnsiTheme="majorBidi" w:cstheme="majorBidi"/>
          <w:sz w:val="24"/>
          <w:szCs w:val="24"/>
          <w:lang w:bidi="ar-EG"/>
        </w:rPr>
        <w:t xml:space="preserve">nstruct explains 50 percent or more of the indicators’ variance that make up the construct </w:t>
      </w:r>
      <w:sdt>
        <w:sdtPr>
          <w:rPr>
            <w:rFonts w:asciiTheme="majorBidi" w:hAnsiTheme="majorBidi" w:cstheme="majorBidi"/>
            <w:sz w:val="24"/>
            <w:szCs w:val="24"/>
            <w:lang w:bidi="ar-EG"/>
          </w:rPr>
          <w:id w:val="2011552712"/>
          <w:citation/>
        </w:sdtPr>
        <w:sdtContent>
          <w:r w:rsidR="00D65FF6" w:rsidRPr="008D109C">
            <w:rPr>
              <w:rFonts w:asciiTheme="majorBidi" w:hAnsiTheme="majorBidi" w:cstheme="majorBidi"/>
              <w:sz w:val="24"/>
              <w:szCs w:val="24"/>
              <w:lang w:bidi="ar-EG"/>
            </w:rPr>
            <w:fldChar w:fldCharType="begin"/>
          </w:r>
          <w:r w:rsidR="00D65FF6" w:rsidRPr="008D109C">
            <w:rPr>
              <w:rFonts w:asciiTheme="majorBidi" w:hAnsiTheme="majorBidi" w:cstheme="majorBidi"/>
              <w:sz w:val="24"/>
              <w:szCs w:val="24"/>
              <w:lang w:bidi="ar-EG"/>
            </w:rPr>
            <w:instrText xml:space="preserve"> CITATION Hai21 \l 2057 </w:instrText>
          </w:r>
          <w:r w:rsidR="00D65FF6" w:rsidRPr="008D109C">
            <w:rPr>
              <w:rFonts w:asciiTheme="majorBidi" w:hAnsiTheme="majorBidi" w:cstheme="majorBidi"/>
              <w:sz w:val="24"/>
              <w:szCs w:val="24"/>
              <w:lang w:bidi="ar-EG"/>
            </w:rPr>
            <w:fldChar w:fldCharType="separate"/>
          </w:r>
          <w:r w:rsidR="00D65FF6" w:rsidRPr="008D109C">
            <w:rPr>
              <w:rFonts w:asciiTheme="majorBidi" w:hAnsiTheme="majorBidi" w:cstheme="majorBidi"/>
              <w:noProof/>
              <w:sz w:val="24"/>
              <w:szCs w:val="24"/>
              <w:lang w:bidi="ar-EG"/>
            </w:rPr>
            <w:t>(Hair Jr., et al., 2021)</w:t>
          </w:r>
          <w:r w:rsidR="00D65FF6" w:rsidRPr="008D109C">
            <w:rPr>
              <w:rFonts w:asciiTheme="majorBidi" w:hAnsiTheme="majorBidi" w:cstheme="majorBidi"/>
              <w:sz w:val="24"/>
              <w:szCs w:val="24"/>
              <w:lang w:bidi="ar-EG"/>
            </w:rPr>
            <w:fldChar w:fldCharType="end"/>
          </w:r>
        </w:sdtContent>
      </w:sdt>
      <w:r w:rsidR="00D65FF6" w:rsidRPr="008D75D3">
        <w:rPr>
          <w:rFonts w:asciiTheme="majorBidi" w:hAnsiTheme="majorBidi" w:cstheme="majorBidi"/>
          <w:sz w:val="24"/>
          <w:szCs w:val="24"/>
          <w:lang w:bidi="ar-EG"/>
        </w:rPr>
        <w:t>. Also, AVE values indicate that the created constructs could explain more than 50% of the questions which indicate</w:t>
      </w:r>
      <w:r w:rsidR="00210C2E">
        <w:rPr>
          <w:rFonts w:asciiTheme="majorBidi" w:hAnsiTheme="majorBidi" w:cstheme="majorBidi"/>
          <w:sz w:val="24"/>
          <w:szCs w:val="24"/>
          <w:lang w:bidi="ar-EG"/>
        </w:rPr>
        <w:t>s</w:t>
      </w:r>
      <w:r w:rsidR="00D65FF6" w:rsidRPr="008D75D3">
        <w:rPr>
          <w:rFonts w:asciiTheme="majorBidi" w:hAnsiTheme="majorBidi" w:cstheme="majorBidi"/>
          <w:sz w:val="24"/>
          <w:szCs w:val="24"/>
          <w:lang w:bidi="ar-EG"/>
        </w:rPr>
        <w:t xml:space="preserve"> high internal validity</w:t>
      </w:r>
      <w:sdt>
        <w:sdtPr>
          <w:rPr>
            <w:rFonts w:asciiTheme="majorBidi" w:hAnsiTheme="majorBidi" w:cstheme="majorBidi"/>
            <w:sz w:val="24"/>
            <w:szCs w:val="24"/>
            <w:lang w:bidi="ar-EG"/>
          </w:rPr>
          <w:id w:val="-1026784415"/>
          <w:citation/>
        </w:sdtPr>
        <w:sdtContent>
          <w:r w:rsidR="00D65FF6" w:rsidRPr="008D75D3">
            <w:rPr>
              <w:rFonts w:asciiTheme="majorBidi" w:hAnsiTheme="majorBidi" w:cstheme="majorBidi"/>
              <w:sz w:val="24"/>
              <w:szCs w:val="24"/>
              <w:lang w:bidi="ar-EG"/>
            </w:rPr>
            <w:fldChar w:fldCharType="begin"/>
          </w:r>
          <w:r w:rsidR="00D65FF6" w:rsidRPr="008D75D3">
            <w:rPr>
              <w:rFonts w:asciiTheme="majorBidi" w:hAnsiTheme="majorBidi" w:cstheme="majorBidi"/>
              <w:sz w:val="24"/>
              <w:szCs w:val="24"/>
              <w:lang w:bidi="ar-EG"/>
            </w:rPr>
            <w:instrText xml:space="preserve"> CITATION Pur21 \l 2057 </w:instrText>
          </w:r>
          <w:r w:rsidR="00D65FF6" w:rsidRPr="008D75D3">
            <w:rPr>
              <w:rFonts w:asciiTheme="majorBidi" w:hAnsiTheme="majorBidi" w:cstheme="majorBidi"/>
              <w:sz w:val="24"/>
              <w:szCs w:val="24"/>
              <w:lang w:bidi="ar-EG"/>
            </w:rPr>
            <w:fldChar w:fldCharType="separate"/>
          </w:r>
          <w:r w:rsidR="00D65FF6">
            <w:rPr>
              <w:rFonts w:asciiTheme="majorBidi" w:hAnsiTheme="majorBidi" w:cstheme="majorBidi"/>
              <w:noProof/>
              <w:sz w:val="24"/>
              <w:szCs w:val="24"/>
              <w:lang w:bidi="ar-EG"/>
            </w:rPr>
            <w:t xml:space="preserve"> </w:t>
          </w:r>
          <w:r w:rsidR="00D65FF6" w:rsidRPr="009F6991">
            <w:rPr>
              <w:rFonts w:asciiTheme="majorBidi" w:hAnsiTheme="majorBidi" w:cstheme="majorBidi"/>
              <w:noProof/>
              <w:sz w:val="24"/>
              <w:szCs w:val="24"/>
              <w:lang w:bidi="ar-EG"/>
            </w:rPr>
            <w:t>(Purwanto &amp; Sudargini, 2021)</w:t>
          </w:r>
          <w:r w:rsidR="00D65FF6" w:rsidRPr="008D75D3">
            <w:rPr>
              <w:rFonts w:asciiTheme="majorBidi" w:hAnsiTheme="majorBidi" w:cstheme="majorBidi"/>
              <w:sz w:val="24"/>
              <w:szCs w:val="24"/>
              <w:lang w:bidi="ar-EG"/>
            </w:rPr>
            <w:fldChar w:fldCharType="end"/>
          </w:r>
        </w:sdtContent>
      </w:sdt>
      <w:r w:rsidR="00D65FF6" w:rsidRPr="008D75D3">
        <w:rPr>
          <w:rFonts w:asciiTheme="majorBidi" w:hAnsiTheme="majorBidi" w:cstheme="majorBidi"/>
          <w:sz w:val="24"/>
          <w:szCs w:val="24"/>
          <w:lang w:bidi="ar-EG"/>
        </w:rPr>
        <w:t>.</w:t>
      </w:r>
      <w:r w:rsidR="00C55386">
        <w:rPr>
          <w:rFonts w:asciiTheme="majorBidi" w:hAnsiTheme="majorBidi" w:cstheme="majorBidi"/>
          <w:sz w:val="24"/>
          <w:szCs w:val="24"/>
          <w:lang w:bidi="ar-EG"/>
        </w:rPr>
        <w:t xml:space="preserve"> The following table provides the reliability of the scale items as a result of the Cronbach’s Alpha coefficient.</w:t>
      </w:r>
    </w:p>
    <w:p w14:paraId="1EAD2991" w14:textId="77777777" w:rsidR="00C55386" w:rsidRDefault="00C55386">
      <w:r>
        <w:br w:type="page"/>
      </w:r>
    </w:p>
    <w:tbl>
      <w:tblPr>
        <w:tblW w:w="8510" w:type="dxa"/>
        <w:tblInd w:w="137" w:type="dxa"/>
        <w:tblLook w:val="04A0" w:firstRow="1" w:lastRow="0" w:firstColumn="1" w:lastColumn="0" w:noHBand="0" w:noVBand="1"/>
      </w:tblPr>
      <w:tblGrid>
        <w:gridCol w:w="1477"/>
        <w:gridCol w:w="856"/>
        <w:gridCol w:w="1418"/>
        <w:gridCol w:w="2119"/>
        <w:gridCol w:w="710"/>
        <w:gridCol w:w="1058"/>
        <w:gridCol w:w="872"/>
      </w:tblGrid>
      <w:tr w:rsidR="00C55386" w:rsidRPr="00C55386" w14:paraId="3685E23C" w14:textId="77777777" w:rsidTr="00C55386">
        <w:trPr>
          <w:trHeight w:val="157"/>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536F05" w14:textId="519D680A"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Construct</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17D6CC70" w14:textId="3F9D291B" w:rsidR="00D65FF6" w:rsidRPr="00C55386" w:rsidRDefault="00C1594E"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Q</w:t>
            </w:r>
            <w:r w:rsidR="00D65FF6" w:rsidRPr="00C55386">
              <w:rPr>
                <w:rFonts w:asciiTheme="majorBidi" w:eastAsia="Times New Roman" w:hAnsiTheme="majorBidi" w:cstheme="majorBidi"/>
                <w:color w:val="000000"/>
                <w:sz w:val="16"/>
                <w:szCs w:val="16"/>
              </w:rPr>
              <w:t xml:space="preserve">uestions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66DB25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 xml:space="preserve">Cronbach's Alpha </w:t>
            </w:r>
          </w:p>
        </w:tc>
        <w:tc>
          <w:tcPr>
            <w:tcW w:w="2119" w:type="dxa"/>
            <w:tcBorders>
              <w:top w:val="single" w:sz="4" w:space="0" w:color="auto"/>
              <w:left w:val="nil"/>
              <w:bottom w:val="single" w:sz="4" w:space="0" w:color="auto"/>
              <w:right w:val="single" w:sz="4" w:space="0" w:color="auto"/>
            </w:tcBorders>
            <w:shd w:val="clear" w:color="auto" w:fill="auto"/>
            <w:vAlign w:val="center"/>
            <w:hideMark/>
          </w:tcPr>
          <w:p w14:paraId="595E87C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 xml:space="preserve">Average item correlation </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1A8C63B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AVE</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16D95B3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 xml:space="preserve">Item </w:t>
            </w:r>
          </w:p>
        </w:tc>
        <w:tc>
          <w:tcPr>
            <w:tcW w:w="872" w:type="dxa"/>
            <w:tcBorders>
              <w:top w:val="single" w:sz="4" w:space="0" w:color="auto"/>
              <w:left w:val="nil"/>
              <w:bottom w:val="single" w:sz="4" w:space="0" w:color="auto"/>
              <w:right w:val="single" w:sz="4" w:space="0" w:color="auto"/>
            </w:tcBorders>
            <w:shd w:val="clear" w:color="auto" w:fill="auto"/>
            <w:vAlign w:val="center"/>
            <w:hideMark/>
          </w:tcPr>
          <w:p w14:paraId="2B8C0AC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 xml:space="preserve">Loading </w:t>
            </w:r>
          </w:p>
        </w:tc>
      </w:tr>
      <w:tr w:rsidR="00C55386" w:rsidRPr="00C55386" w14:paraId="47B6DAE1" w14:textId="77777777" w:rsidTr="00C55386">
        <w:trPr>
          <w:trHeight w:val="284"/>
        </w:trPr>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14:paraId="4944FA41" w14:textId="77777777" w:rsidR="00D65FF6" w:rsidRPr="00C55386" w:rsidRDefault="00D65FF6" w:rsidP="00210C2E">
            <w:pPr>
              <w:spacing w:after="0" w:line="240" w:lineRule="auto"/>
              <w:rPr>
                <w:rFonts w:asciiTheme="majorBidi" w:eastAsia="Times New Roman" w:hAnsiTheme="majorBidi" w:cstheme="majorBidi"/>
                <w:color w:val="000000"/>
                <w:sz w:val="16"/>
                <w:szCs w:val="16"/>
                <w:rtl/>
                <w:lang w:bidi="ar-EG"/>
              </w:rPr>
            </w:pPr>
            <w:r w:rsidRPr="00C55386">
              <w:rPr>
                <w:rFonts w:asciiTheme="majorBidi" w:eastAsia="Times New Roman" w:hAnsiTheme="majorBidi" w:cstheme="majorBidi"/>
                <w:color w:val="000000"/>
                <w:sz w:val="16"/>
                <w:szCs w:val="16"/>
              </w:rPr>
              <w:t>Ad Likability</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76415D03"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5</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49A2E48"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0.847</w:t>
            </w:r>
          </w:p>
        </w:tc>
        <w:tc>
          <w:tcPr>
            <w:tcW w:w="2119" w:type="dxa"/>
            <w:vMerge w:val="restart"/>
            <w:tcBorders>
              <w:top w:val="nil"/>
              <w:left w:val="single" w:sz="4" w:space="0" w:color="auto"/>
              <w:bottom w:val="single" w:sz="4" w:space="0" w:color="auto"/>
              <w:right w:val="single" w:sz="4" w:space="0" w:color="auto"/>
            </w:tcBorders>
            <w:shd w:val="clear" w:color="auto" w:fill="auto"/>
            <w:vAlign w:val="center"/>
            <w:hideMark/>
          </w:tcPr>
          <w:p w14:paraId="69EE531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0.625</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14:paraId="76F6E934"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63.67%</w:t>
            </w:r>
          </w:p>
        </w:tc>
        <w:tc>
          <w:tcPr>
            <w:tcW w:w="1058" w:type="dxa"/>
            <w:tcBorders>
              <w:top w:val="nil"/>
              <w:left w:val="nil"/>
              <w:bottom w:val="single" w:sz="4" w:space="0" w:color="auto"/>
              <w:right w:val="single" w:sz="4" w:space="0" w:color="auto"/>
            </w:tcBorders>
            <w:shd w:val="clear" w:color="auto" w:fill="auto"/>
            <w:vAlign w:val="center"/>
            <w:hideMark/>
          </w:tcPr>
          <w:p w14:paraId="795D6B2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AdLik1</w:t>
            </w:r>
          </w:p>
        </w:tc>
        <w:tc>
          <w:tcPr>
            <w:tcW w:w="872" w:type="dxa"/>
            <w:tcBorders>
              <w:top w:val="nil"/>
              <w:left w:val="nil"/>
              <w:bottom w:val="single" w:sz="4" w:space="0" w:color="auto"/>
              <w:right w:val="single" w:sz="4" w:space="0" w:color="auto"/>
            </w:tcBorders>
            <w:shd w:val="clear" w:color="auto" w:fill="auto"/>
            <w:vAlign w:val="center"/>
            <w:hideMark/>
          </w:tcPr>
          <w:p w14:paraId="0FE4630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0.728</w:t>
            </w:r>
          </w:p>
        </w:tc>
      </w:tr>
      <w:tr w:rsidR="00C55386" w:rsidRPr="00C55386" w14:paraId="2FE51CD4"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4CF7C872" w14:textId="77777777" w:rsidR="00D65FF6" w:rsidRPr="00C55386" w:rsidRDefault="00D65FF6" w:rsidP="00210C2E">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8D1AE0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7F0E42F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612C0AA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1A2359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76EE91C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AdLik2</w:t>
            </w:r>
          </w:p>
        </w:tc>
        <w:tc>
          <w:tcPr>
            <w:tcW w:w="872" w:type="dxa"/>
            <w:tcBorders>
              <w:top w:val="nil"/>
              <w:left w:val="nil"/>
              <w:bottom w:val="single" w:sz="4" w:space="0" w:color="auto"/>
              <w:right w:val="single" w:sz="4" w:space="0" w:color="auto"/>
            </w:tcBorders>
            <w:shd w:val="clear" w:color="auto" w:fill="auto"/>
            <w:vAlign w:val="center"/>
            <w:hideMark/>
          </w:tcPr>
          <w:p w14:paraId="395C95A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0.731</w:t>
            </w:r>
          </w:p>
        </w:tc>
      </w:tr>
      <w:tr w:rsidR="00C55386" w:rsidRPr="00C55386" w14:paraId="72F21869"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038FB49B" w14:textId="77777777" w:rsidR="00D65FF6" w:rsidRPr="00C55386" w:rsidRDefault="00D65FF6" w:rsidP="00210C2E">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3B104BA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7B32A84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616F3DA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39D2BF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3FACD669"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AdLik3</w:t>
            </w:r>
          </w:p>
        </w:tc>
        <w:tc>
          <w:tcPr>
            <w:tcW w:w="872" w:type="dxa"/>
            <w:tcBorders>
              <w:top w:val="nil"/>
              <w:left w:val="nil"/>
              <w:bottom w:val="single" w:sz="4" w:space="0" w:color="auto"/>
              <w:right w:val="single" w:sz="4" w:space="0" w:color="auto"/>
            </w:tcBorders>
            <w:shd w:val="clear" w:color="auto" w:fill="auto"/>
            <w:vAlign w:val="center"/>
            <w:hideMark/>
          </w:tcPr>
          <w:p w14:paraId="64AA43A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0.759</w:t>
            </w:r>
          </w:p>
        </w:tc>
      </w:tr>
      <w:tr w:rsidR="00C55386" w:rsidRPr="00C55386" w14:paraId="1DE3973D"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4C9F5D91" w14:textId="77777777" w:rsidR="00D65FF6" w:rsidRPr="00C55386" w:rsidRDefault="00D65FF6" w:rsidP="00210C2E">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18D5736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4FB8BCD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7D32359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A3EAA6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211B6B3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AdLik4</w:t>
            </w:r>
          </w:p>
        </w:tc>
        <w:tc>
          <w:tcPr>
            <w:tcW w:w="872" w:type="dxa"/>
            <w:tcBorders>
              <w:top w:val="nil"/>
              <w:left w:val="nil"/>
              <w:bottom w:val="single" w:sz="4" w:space="0" w:color="auto"/>
              <w:right w:val="single" w:sz="4" w:space="0" w:color="auto"/>
            </w:tcBorders>
            <w:shd w:val="clear" w:color="auto" w:fill="auto"/>
            <w:vAlign w:val="center"/>
            <w:hideMark/>
          </w:tcPr>
          <w:p w14:paraId="33ECC8E4"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0.755</w:t>
            </w:r>
          </w:p>
        </w:tc>
      </w:tr>
      <w:tr w:rsidR="00C55386" w:rsidRPr="00C55386" w14:paraId="5BE139FD"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3F2DD2C8" w14:textId="77777777" w:rsidR="00D65FF6" w:rsidRPr="00C55386" w:rsidRDefault="00D65FF6" w:rsidP="00210C2E">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BFC116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703498F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2CDC77C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20EBA42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0B0508A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AdLik5</w:t>
            </w:r>
          </w:p>
        </w:tc>
        <w:tc>
          <w:tcPr>
            <w:tcW w:w="872" w:type="dxa"/>
            <w:tcBorders>
              <w:top w:val="nil"/>
              <w:left w:val="nil"/>
              <w:bottom w:val="single" w:sz="4" w:space="0" w:color="auto"/>
              <w:right w:val="single" w:sz="4" w:space="0" w:color="auto"/>
            </w:tcBorders>
            <w:shd w:val="clear" w:color="auto" w:fill="auto"/>
            <w:vAlign w:val="center"/>
            <w:hideMark/>
          </w:tcPr>
          <w:p w14:paraId="5B29565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0.611</w:t>
            </w:r>
          </w:p>
        </w:tc>
      </w:tr>
      <w:tr w:rsidR="00C55386" w:rsidRPr="00C55386" w14:paraId="7FCBFEFE" w14:textId="77777777" w:rsidTr="00C55386">
        <w:trPr>
          <w:trHeight w:val="266"/>
        </w:trPr>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14:paraId="6A7A9392" w14:textId="77777777" w:rsidR="00D65FF6" w:rsidRPr="00C55386" w:rsidRDefault="00D65FF6" w:rsidP="00210C2E">
            <w:pPr>
              <w:spacing w:after="0" w:line="240" w:lineRule="auto"/>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 xml:space="preserve">CSR perception </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7B7C411F"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6</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8DB307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0.898</w:t>
            </w:r>
          </w:p>
        </w:tc>
        <w:tc>
          <w:tcPr>
            <w:tcW w:w="2119" w:type="dxa"/>
            <w:vMerge w:val="restart"/>
            <w:tcBorders>
              <w:top w:val="nil"/>
              <w:left w:val="single" w:sz="4" w:space="0" w:color="auto"/>
              <w:bottom w:val="single" w:sz="4" w:space="0" w:color="auto"/>
              <w:right w:val="single" w:sz="4" w:space="0" w:color="auto"/>
            </w:tcBorders>
            <w:shd w:val="clear" w:color="auto" w:fill="auto"/>
            <w:vAlign w:val="center"/>
            <w:hideMark/>
          </w:tcPr>
          <w:p w14:paraId="3BDFC004"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0.695</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14:paraId="11D6316C"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66.84%</w:t>
            </w:r>
          </w:p>
        </w:tc>
        <w:tc>
          <w:tcPr>
            <w:tcW w:w="1058" w:type="dxa"/>
            <w:tcBorders>
              <w:top w:val="nil"/>
              <w:left w:val="nil"/>
              <w:bottom w:val="single" w:sz="4" w:space="0" w:color="auto"/>
              <w:right w:val="single" w:sz="4" w:space="0" w:color="auto"/>
            </w:tcBorders>
            <w:shd w:val="clear" w:color="auto" w:fill="auto"/>
            <w:vAlign w:val="center"/>
            <w:hideMark/>
          </w:tcPr>
          <w:p w14:paraId="6132B92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CSRPER1</w:t>
            </w:r>
          </w:p>
        </w:tc>
        <w:tc>
          <w:tcPr>
            <w:tcW w:w="872" w:type="dxa"/>
            <w:tcBorders>
              <w:top w:val="nil"/>
              <w:left w:val="nil"/>
              <w:bottom w:val="single" w:sz="4" w:space="0" w:color="auto"/>
              <w:right w:val="single" w:sz="4" w:space="0" w:color="auto"/>
            </w:tcBorders>
            <w:shd w:val="clear" w:color="auto" w:fill="auto"/>
            <w:vAlign w:val="center"/>
            <w:hideMark/>
          </w:tcPr>
          <w:p w14:paraId="71F5DA7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0.551</w:t>
            </w:r>
          </w:p>
        </w:tc>
      </w:tr>
      <w:tr w:rsidR="00C55386" w:rsidRPr="00C55386" w14:paraId="56B43A35" w14:textId="77777777" w:rsidTr="00C55386">
        <w:trPr>
          <w:trHeight w:val="266"/>
        </w:trPr>
        <w:tc>
          <w:tcPr>
            <w:tcW w:w="1477" w:type="dxa"/>
            <w:vMerge/>
            <w:tcBorders>
              <w:top w:val="nil"/>
              <w:left w:val="single" w:sz="4" w:space="0" w:color="auto"/>
              <w:bottom w:val="single" w:sz="4" w:space="0" w:color="auto"/>
              <w:right w:val="single" w:sz="4" w:space="0" w:color="auto"/>
            </w:tcBorders>
            <w:vAlign w:val="center"/>
            <w:hideMark/>
          </w:tcPr>
          <w:p w14:paraId="500253C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0454DCB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46A4807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2FE15E9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3F6053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40330AB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CSRPER2</w:t>
            </w:r>
          </w:p>
        </w:tc>
        <w:tc>
          <w:tcPr>
            <w:tcW w:w="872" w:type="dxa"/>
            <w:tcBorders>
              <w:top w:val="nil"/>
              <w:left w:val="nil"/>
              <w:bottom w:val="single" w:sz="4" w:space="0" w:color="auto"/>
              <w:right w:val="single" w:sz="4" w:space="0" w:color="auto"/>
            </w:tcBorders>
            <w:shd w:val="clear" w:color="auto" w:fill="auto"/>
            <w:vAlign w:val="center"/>
            <w:hideMark/>
          </w:tcPr>
          <w:p w14:paraId="012DD79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0.653</w:t>
            </w:r>
          </w:p>
        </w:tc>
      </w:tr>
      <w:tr w:rsidR="00C55386" w:rsidRPr="00C55386" w14:paraId="491FE9DA" w14:textId="77777777" w:rsidTr="00C55386">
        <w:trPr>
          <w:trHeight w:val="266"/>
        </w:trPr>
        <w:tc>
          <w:tcPr>
            <w:tcW w:w="1477" w:type="dxa"/>
            <w:vMerge/>
            <w:tcBorders>
              <w:top w:val="nil"/>
              <w:left w:val="single" w:sz="4" w:space="0" w:color="auto"/>
              <w:bottom w:val="single" w:sz="4" w:space="0" w:color="auto"/>
              <w:right w:val="single" w:sz="4" w:space="0" w:color="auto"/>
            </w:tcBorders>
            <w:vAlign w:val="center"/>
            <w:hideMark/>
          </w:tcPr>
          <w:p w14:paraId="5B29DD3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70197E9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1D1A7CB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1C2F36C0"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5A54150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66B8817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CSRPER3</w:t>
            </w:r>
          </w:p>
        </w:tc>
        <w:tc>
          <w:tcPr>
            <w:tcW w:w="872" w:type="dxa"/>
            <w:tcBorders>
              <w:top w:val="nil"/>
              <w:left w:val="nil"/>
              <w:bottom w:val="single" w:sz="4" w:space="0" w:color="auto"/>
              <w:right w:val="single" w:sz="4" w:space="0" w:color="auto"/>
            </w:tcBorders>
            <w:shd w:val="clear" w:color="auto" w:fill="auto"/>
            <w:vAlign w:val="center"/>
            <w:hideMark/>
          </w:tcPr>
          <w:p w14:paraId="4F4C9C9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0.741</w:t>
            </w:r>
          </w:p>
        </w:tc>
      </w:tr>
      <w:tr w:rsidR="00C55386" w:rsidRPr="00C55386" w14:paraId="47226688" w14:textId="77777777" w:rsidTr="00C55386">
        <w:trPr>
          <w:trHeight w:val="266"/>
        </w:trPr>
        <w:tc>
          <w:tcPr>
            <w:tcW w:w="1477" w:type="dxa"/>
            <w:vMerge/>
            <w:tcBorders>
              <w:top w:val="nil"/>
              <w:left w:val="single" w:sz="4" w:space="0" w:color="auto"/>
              <w:bottom w:val="single" w:sz="4" w:space="0" w:color="auto"/>
              <w:right w:val="single" w:sz="4" w:space="0" w:color="auto"/>
            </w:tcBorders>
            <w:vAlign w:val="center"/>
            <w:hideMark/>
          </w:tcPr>
          <w:p w14:paraId="685B355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0E1A796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28B0A86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1C3A646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72A47C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7C0FF23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CSRPER4</w:t>
            </w:r>
          </w:p>
        </w:tc>
        <w:tc>
          <w:tcPr>
            <w:tcW w:w="872" w:type="dxa"/>
            <w:tcBorders>
              <w:top w:val="nil"/>
              <w:left w:val="nil"/>
              <w:bottom w:val="single" w:sz="4" w:space="0" w:color="auto"/>
              <w:right w:val="single" w:sz="4" w:space="0" w:color="auto"/>
            </w:tcBorders>
            <w:shd w:val="clear" w:color="auto" w:fill="auto"/>
            <w:vAlign w:val="center"/>
            <w:hideMark/>
          </w:tcPr>
          <w:p w14:paraId="0ACBCA73"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0.691</w:t>
            </w:r>
          </w:p>
        </w:tc>
      </w:tr>
      <w:tr w:rsidR="00C55386" w:rsidRPr="00C55386" w14:paraId="44D984C2" w14:textId="77777777" w:rsidTr="00C55386">
        <w:trPr>
          <w:trHeight w:val="274"/>
        </w:trPr>
        <w:tc>
          <w:tcPr>
            <w:tcW w:w="1477" w:type="dxa"/>
            <w:vMerge/>
            <w:tcBorders>
              <w:top w:val="nil"/>
              <w:left w:val="single" w:sz="4" w:space="0" w:color="auto"/>
              <w:bottom w:val="single" w:sz="4" w:space="0" w:color="auto"/>
              <w:right w:val="single" w:sz="4" w:space="0" w:color="auto"/>
            </w:tcBorders>
            <w:vAlign w:val="center"/>
            <w:hideMark/>
          </w:tcPr>
          <w:p w14:paraId="0DC4578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405FCED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368F937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3D18B88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86D239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0DFBF37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CSRPER5</w:t>
            </w:r>
          </w:p>
        </w:tc>
        <w:tc>
          <w:tcPr>
            <w:tcW w:w="872" w:type="dxa"/>
            <w:tcBorders>
              <w:top w:val="nil"/>
              <w:left w:val="nil"/>
              <w:bottom w:val="single" w:sz="4" w:space="0" w:color="auto"/>
              <w:right w:val="single" w:sz="4" w:space="0" w:color="auto"/>
            </w:tcBorders>
            <w:shd w:val="clear" w:color="auto" w:fill="auto"/>
            <w:vAlign w:val="center"/>
            <w:hideMark/>
          </w:tcPr>
          <w:p w14:paraId="15B7BCF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0.718</w:t>
            </w:r>
          </w:p>
        </w:tc>
      </w:tr>
      <w:tr w:rsidR="00C55386" w:rsidRPr="00C55386" w14:paraId="69138933" w14:textId="77777777" w:rsidTr="00C55386">
        <w:trPr>
          <w:trHeight w:val="266"/>
        </w:trPr>
        <w:tc>
          <w:tcPr>
            <w:tcW w:w="1477" w:type="dxa"/>
            <w:vMerge/>
            <w:tcBorders>
              <w:top w:val="nil"/>
              <w:left w:val="single" w:sz="4" w:space="0" w:color="auto"/>
              <w:bottom w:val="single" w:sz="4" w:space="0" w:color="auto"/>
              <w:right w:val="single" w:sz="4" w:space="0" w:color="auto"/>
            </w:tcBorders>
            <w:vAlign w:val="center"/>
            <w:hideMark/>
          </w:tcPr>
          <w:p w14:paraId="67C6DA5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2B25F71"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2004623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6338D4F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164EBA4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654E337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CSRPER6</w:t>
            </w:r>
          </w:p>
        </w:tc>
        <w:tc>
          <w:tcPr>
            <w:tcW w:w="872" w:type="dxa"/>
            <w:tcBorders>
              <w:top w:val="nil"/>
              <w:left w:val="nil"/>
              <w:bottom w:val="single" w:sz="4" w:space="0" w:color="auto"/>
              <w:right w:val="single" w:sz="4" w:space="0" w:color="auto"/>
            </w:tcBorders>
            <w:shd w:val="clear" w:color="auto" w:fill="auto"/>
            <w:vAlign w:val="center"/>
            <w:hideMark/>
          </w:tcPr>
          <w:p w14:paraId="0419B3C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0.657</w:t>
            </w:r>
          </w:p>
        </w:tc>
      </w:tr>
      <w:tr w:rsidR="00C55386" w:rsidRPr="00C55386" w14:paraId="1384B135" w14:textId="77777777" w:rsidTr="00C55386">
        <w:trPr>
          <w:trHeight w:val="284"/>
        </w:trPr>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14:paraId="2D835F8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 xml:space="preserve">Brand functionality </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23F50E3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5</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0B2E5E9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0.925</w:t>
            </w:r>
          </w:p>
        </w:tc>
        <w:tc>
          <w:tcPr>
            <w:tcW w:w="2119" w:type="dxa"/>
            <w:vMerge w:val="restart"/>
            <w:tcBorders>
              <w:top w:val="nil"/>
              <w:left w:val="single" w:sz="4" w:space="0" w:color="auto"/>
              <w:bottom w:val="single" w:sz="4" w:space="0" w:color="auto"/>
              <w:right w:val="single" w:sz="4" w:space="0" w:color="auto"/>
            </w:tcBorders>
            <w:shd w:val="clear" w:color="auto" w:fill="auto"/>
            <w:vAlign w:val="center"/>
            <w:hideMark/>
          </w:tcPr>
          <w:p w14:paraId="0CEEC8A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0.711</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14:paraId="3F95732F"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76.96%</w:t>
            </w:r>
          </w:p>
        </w:tc>
        <w:tc>
          <w:tcPr>
            <w:tcW w:w="1058" w:type="dxa"/>
            <w:tcBorders>
              <w:top w:val="nil"/>
              <w:left w:val="nil"/>
              <w:bottom w:val="single" w:sz="4" w:space="0" w:color="auto"/>
              <w:right w:val="single" w:sz="4" w:space="0" w:color="auto"/>
            </w:tcBorders>
            <w:shd w:val="clear" w:color="auto" w:fill="auto"/>
            <w:vAlign w:val="center"/>
            <w:hideMark/>
          </w:tcPr>
          <w:p w14:paraId="63709FD9"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PBF1</w:t>
            </w:r>
          </w:p>
        </w:tc>
        <w:tc>
          <w:tcPr>
            <w:tcW w:w="872" w:type="dxa"/>
            <w:tcBorders>
              <w:top w:val="nil"/>
              <w:left w:val="nil"/>
              <w:bottom w:val="single" w:sz="4" w:space="0" w:color="auto"/>
              <w:right w:val="single" w:sz="4" w:space="0" w:color="auto"/>
            </w:tcBorders>
            <w:shd w:val="clear" w:color="auto" w:fill="auto"/>
            <w:vAlign w:val="center"/>
            <w:hideMark/>
          </w:tcPr>
          <w:p w14:paraId="72B1368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0.678</w:t>
            </w:r>
          </w:p>
        </w:tc>
      </w:tr>
      <w:tr w:rsidR="00C55386" w:rsidRPr="00C55386" w14:paraId="4AADFD4A"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648EF68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B945C5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65A6E0B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4E07193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15FBCF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50E1CD23"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PBF2</w:t>
            </w:r>
          </w:p>
        </w:tc>
        <w:tc>
          <w:tcPr>
            <w:tcW w:w="872" w:type="dxa"/>
            <w:tcBorders>
              <w:top w:val="nil"/>
              <w:left w:val="nil"/>
              <w:bottom w:val="single" w:sz="4" w:space="0" w:color="auto"/>
              <w:right w:val="single" w:sz="4" w:space="0" w:color="auto"/>
            </w:tcBorders>
            <w:shd w:val="clear" w:color="auto" w:fill="auto"/>
            <w:vAlign w:val="center"/>
            <w:hideMark/>
          </w:tcPr>
          <w:p w14:paraId="01879D6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0.834</w:t>
            </w:r>
          </w:p>
        </w:tc>
      </w:tr>
      <w:tr w:rsidR="00C55386" w:rsidRPr="00C55386" w14:paraId="35EB18D4"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0FDAD24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8C2D82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45EAED2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6099496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3A2233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2E2E38FF"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PBF3</w:t>
            </w:r>
          </w:p>
        </w:tc>
        <w:tc>
          <w:tcPr>
            <w:tcW w:w="872" w:type="dxa"/>
            <w:tcBorders>
              <w:top w:val="nil"/>
              <w:left w:val="nil"/>
              <w:bottom w:val="single" w:sz="4" w:space="0" w:color="auto"/>
              <w:right w:val="single" w:sz="4" w:space="0" w:color="auto"/>
            </w:tcBorders>
            <w:shd w:val="clear" w:color="auto" w:fill="auto"/>
            <w:vAlign w:val="center"/>
            <w:hideMark/>
          </w:tcPr>
          <w:p w14:paraId="3E4D48B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0.859</w:t>
            </w:r>
          </w:p>
        </w:tc>
      </w:tr>
      <w:tr w:rsidR="00C55386" w:rsidRPr="00C55386" w14:paraId="1CEC8891"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1724450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6578C00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646AFBD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774C759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4B491AA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4E90FE18"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PBF4</w:t>
            </w:r>
          </w:p>
        </w:tc>
        <w:tc>
          <w:tcPr>
            <w:tcW w:w="872" w:type="dxa"/>
            <w:tcBorders>
              <w:top w:val="nil"/>
              <w:left w:val="nil"/>
              <w:bottom w:val="single" w:sz="4" w:space="0" w:color="auto"/>
              <w:right w:val="single" w:sz="4" w:space="0" w:color="auto"/>
            </w:tcBorders>
            <w:shd w:val="clear" w:color="auto" w:fill="auto"/>
            <w:vAlign w:val="center"/>
            <w:hideMark/>
          </w:tcPr>
          <w:p w14:paraId="2B70AEB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0.847</w:t>
            </w:r>
          </w:p>
        </w:tc>
      </w:tr>
      <w:tr w:rsidR="00C55386" w:rsidRPr="00C55386" w14:paraId="28A8B839"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393FD87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616083D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4EAE4F1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101D98A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5A75E9F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789DF53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PBF5</w:t>
            </w:r>
          </w:p>
        </w:tc>
        <w:tc>
          <w:tcPr>
            <w:tcW w:w="872" w:type="dxa"/>
            <w:tcBorders>
              <w:top w:val="nil"/>
              <w:left w:val="nil"/>
              <w:bottom w:val="single" w:sz="4" w:space="0" w:color="auto"/>
              <w:right w:val="single" w:sz="4" w:space="0" w:color="auto"/>
            </w:tcBorders>
            <w:shd w:val="clear" w:color="auto" w:fill="auto"/>
            <w:vAlign w:val="center"/>
            <w:hideMark/>
          </w:tcPr>
          <w:p w14:paraId="5ED4E6D7"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0.63</w:t>
            </w:r>
          </w:p>
        </w:tc>
      </w:tr>
      <w:tr w:rsidR="00C55386" w:rsidRPr="00C55386" w14:paraId="4E26A506" w14:textId="77777777" w:rsidTr="00C55386">
        <w:trPr>
          <w:trHeight w:val="294"/>
        </w:trPr>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14:paraId="6BB02EAF" w14:textId="77777777" w:rsidR="00D65FF6" w:rsidRPr="00C55386" w:rsidRDefault="00D65FF6" w:rsidP="00210C2E">
            <w:pPr>
              <w:spacing w:after="0" w:line="240" w:lineRule="auto"/>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Brand Likeability</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60FBD074"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17</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778ED19"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0.958</w:t>
            </w:r>
          </w:p>
        </w:tc>
        <w:tc>
          <w:tcPr>
            <w:tcW w:w="2119" w:type="dxa"/>
            <w:vMerge w:val="restart"/>
            <w:tcBorders>
              <w:top w:val="nil"/>
              <w:left w:val="single" w:sz="4" w:space="0" w:color="auto"/>
              <w:bottom w:val="single" w:sz="4" w:space="0" w:color="auto"/>
              <w:right w:val="single" w:sz="4" w:space="0" w:color="auto"/>
            </w:tcBorders>
            <w:shd w:val="clear" w:color="auto" w:fill="auto"/>
            <w:vAlign w:val="center"/>
            <w:hideMark/>
          </w:tcPr>
          <w:p w14:paraId="352CB4B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0.673</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14:paraId="0F1CD7A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60.10%</w:t>
            </w:r>
          </w:p>
        </w:tc>
        <w:tc>
          <w:tcPr>
            <w:tcW w:w="1058" w:type="dxa"/>
            <w:tcBorders>
              <w:top w:val="nil"/>
              <w:left w:val="nil"/>
              <w:bottom w:val="single" w:sz="4" w:space="0" w:color="auto"/>
              <w:right w:val="single" w:sz="4" w:space="0" w:color="auto"/>
            </w:tcBorders>
            <w:shd w:val="clear" w:color="auto" w:fill="auto"/>
            <w:vAlign w:val="center"/>
            <w:hideMark/>
          </w:tcPr>
          <w:p w14:paraId="6088C92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w:t>
            </w:r>
          </w:p>
        </w:tc>
        <w:tc>
          <w:tcPr>
            <w:tcW w:w="872" w:type="dxa"/>
            <w:tcBorders>
              <w:top w:val="nil"/>
              <w:left w:val="nil"/>
              <w:bottom w:val="single" w:sz="4" w:space="0" w:color="auto"/>
              <w:right w:val="single" w:sz="4" w:space="0" w:color="auto"/>
            </w:tcBorders>
            <w:shd w:val="clear" w:color="auto" w:fill="auto"/>
            <w:vAlign w:val="center"/>
            <w:hideMark/>
          </w:tcPr>
          <w:p w14:paraId="7A98ACB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0.589589</w:t>
            </w:r>
          </w:p>
        </w:tc>
      </w:tr>
      <w:tr w:rsidR="00C55386" w:rsidRPr="00C55386" w14:paraId="15A2E649"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3B95A80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775BEE01"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1CC697E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09BF007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F80C25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09AD8FC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BL2</w:t>
            </w:r>
          </w:p>
        </w:tc>
        <w:tc>
          <w:tcPr>
            <w:tcW w:w="872" w:type="dxa"/>
            <w:tcBorders>
              <w:top w:val="nil"/>
              <w:left w:val="nil"/>
              <w:bottom w:val="single" w:sz="4" w:space="0" w:color="auto"/>
              <w:right w:val="single" w:sz="4" w:space="0" w:color="auto"/>
            </w:tcBorders>
            <w:shd w:val="clear" w:color="auto" w:fill="auto"/>
            <w:vAlign w:val="center"/>
            <w:hideMark/>
          </w:tcPr>
          <w:p w14:paraId="62709F7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0.507105</w:t>
            </w:r>
          </w:p>
        </w:tc>
      </w:tr>
      <w:tr w:rsidR="00C55386" w:rsidRPr="00C55386" w14:paraId="0A89F22E"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256945A1"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2A0F36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03A7707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499182B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6E50238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1370FB9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BL3</w:t>
            </w:r>
          </w:p>
        </w:tc>
        <w:tc>
          <w:tcPr>
            <w:tcW w:w="872" w:type="dxa"/>
            <w:tcBorders>
              <w:top w:val="nil"/>
              <w:left w:val="nil"/>
              <w:bottom w:val="single" w:sz="4" w:space="0" w:color="auto"/>
              <w:right w:val="single" w:sz="4" w:space="0" w:color="auto"/>
            </w:tcBorders>
            <w:shd w:val="clear" w:color="auto" w:fill="auto"/>
            <w:vAlign w:val="center"/>
            <w:hideMark/>
          </w:tcPr>
          <w:p w14:paraId="706FC29D"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0.618217</w:t>
            </w:r>
          </w:p>
        </w:tc>
      </w:tr>
      <w:tr w:rsidR="00C55386" w:rsidRPr="00C55386" w14:paraId="04B5F835"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691C8CF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07592A7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02BFC4D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11EE63B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1750D0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028174F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BL4</w:t>
            </w:r>
          </w:p>
        </w:tc>
        <w:tc>
          <w:tcPr>
            <w:tcW w:w="872" w:type="dxa"/>
            <w:tcBorders>
              <w:top w:val="nil"/>
              <w:left w:val="nil"/>
              <w:bottom w:val="single" w:sz="4" w:space="0" w:color="auto"/>
              <w:right w:val="single" w:sz="4" w:space="0" w:color="auto"/>
            </w:tcBorders>
            <w:shd w:val="clear" w:color="auto" w:fill="auto"/>
            <w:vAlign w:val="center"/>
            <w:hideMark/>
          </w:tcPr>
          <w:p w14:paraId="3B714D79"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0.594808</w:t>
            </w:r>
          </w:p>
        </w:tc>
      </w:tr>
      <w:tr w:rsidR="00C55386" w:rsidRPr="00C55386" w14:paraId="7035E754"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53FFBAE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14B326B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37E0DD5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48977E6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6D86F8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683ABC5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BL5</w:t>
            </w:r>
          </w:p>
        </w:tc>
        <w:tc>
          <w:tcPr>
            <w:tcW w:w="872" w:type="dxa"/>
            <w:tcBorders>
              <w:top w:val="nil"/>
              <w:left w:val="nil"/>
              <w:bottom w:val="single" w:sz="4" w:space="0" w:color="auto"/>
              <w:right w:val="single" w:sz="4" w:space="0" w:color="auto"/>
            </w:tcBorders>
            <w:shd w:val="clear" w:color="auto" w:fill="auto"/>
            <w:vAlign w:val="center"/>
            <w:hideMark/>
          </w:tcPr>
          <w:p w14:paraId="305962F4"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0.602933</w:t>
            </w:r>
          </w:p>
        </w:tc>
      </w:tr>
      <w:tr w:rsidR="00C55386" w:rsidRPr="00C55386" w14:paraId="7D79EE93"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5EF886A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7F52F90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2D296B00"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28FA9B7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312B147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5CBD438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BL6</w:t>
            </w:r>
          </w:p>
        </w:tc>
        <w:tc>
          <w:tcPr>
            <w:tcW w:w="872" w:type="dxa"/>
            <w:tcBorders>
              <w:top w:val="nil"/>
              <w:left w:val="nil"/>
              <w:bottom w:val="single" w:sz="4" w:space="0" w:color="auto"/>
              <w:right w:val="single" w:sz="4" w:space="0" w:color="auto"/>
            </w:tcBorders>
            <w:shd w:val="clear" w:color="auto" w:fill="auto"/>
            <w:vAlign w:val="center"/>
            <w:hideMark/>
          </w:tcPr>
          <w:p w14:paraId="63D5005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0.682975</w:t>
            </w:r>
          </w:p>
        </w:tc>
      </w:tr>
      <w:tr w:rsidR="00C55386" w:rsidRPr="00C55386" w14:paraId="5EC226BB"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49C284B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466A88D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0010A5E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19BA5EA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1DCEC3B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2036A20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BL7</w:t>
            </w:r>
          </w:p>
        </w:tc>
        <w:tc>
          <w:tcPr>
            <w:tcW w:w="872" w:type="dxa"/>
            <w:tcBorders>
              <w:top w:val="nil"/>
              <w:left w:val="nil"/>
              <w:bottom w:val="single" w:sz="4" w:space="0" w:color="auto"/>
              <w:right w:val="single" w:sz="4" w:space="0" w:color="auto"/>
            </w:tcBorders>
            <w:shd w:val="clear" w:color="auto" w:fill="auto"/>
            <w:vAlign w:val="center"/>
            <w:hideMark/>
          </w:tcPr>
          <w:p w14:paraId="6AF1F147"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0.547542</w:t>
            </w:r>
          </w:p>
        </w:tc>
      </w:tr>
      <w:tr w:rsidR="00C55386" w:rsidRPr="00C55386" w14:paraId="55921C57"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5954AA2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20115CD0"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5522509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207A46B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DF875A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0FC5B1C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BL8</w:t>
            </w:r>
          </w:p>
        </w:tc>
        <w:tc>
          <w:tcPr>
            <w:tcW w:w="872" w:type="dxa"/>
            <w:tcBorders>
              <w:top w:val="nil"/>
              <w:left w:val="nil"/>
              <w:bottom w:val="single" w:sz="4" w:space="0" w:color="auto"/>
              <w:right w:val="single" w:sz="4" w:space="0" w:color="auto"/>
            </w:tcBorders>
            <w:shd w:val="clear" w:color="auto" w:fill="auto"/>
            <w:vAlign w:val="center"/>
            <w:hideMark/>
          </w:tcPr>
          <w:p w14:paraId="2E42D92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0.637513</w:t>
            </w:r>
          </w:p>
        </w:tc>
      </w:tr>
      <w:tr w:rsidR="00C55386" w:rsidRPr="00C55386" w14:paraId="61655FC1"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615607A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3C70678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3F40D2C1"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34E203B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5DB64A6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3550CB4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BL9</w:t>
            </w:r>
          </w:p>
        </w:tc>
        <w:tc>
          <w:tcPr>
            <w:tcW w:w="872" w:type="dxa"/>
            <w:tcBorders>
              <w:top w:val="nil"/>
              <w:left w:val="nil"/>
              <w:bottom w:val="single" w:sz="4" w:space="0" w:color="auto"/>
              <w:right w:val="single" w:sz="4" w:space="0" w:color="auto"/>
            </w:tcBorders>
            <w:shd w:val="clear" w:color="auto" w:fill="auto"/>
            <w:vAlign w:val="center"/>
            <w:hideMark/>
          </w:tcPr>
          <w:p w14:paraId="77931A5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0.575402</w:t>
            </w:r>
          </w:p>
        </w:tc>
      </w:tr>
      <w:tr w:rsidR="00C55386" w:rsidRPr="00C55386" w14:paraId="7FAFC655"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0917502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E6A7DE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366CADF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025A5BD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5F81CD5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11AEC5E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BL10</w:t>
            </w:r>
          </w:p>
        </w:tc>
        <w:tc>
          <w:tcPr>
            <w:tcW w:w="872" w:type="dxa"/>
            <w:tcBorders>
              <w:top w:val="nil"/>
              <w:left w:val="nil"/>
              <w:bottom w:val="single" w:sz="4" w:space="0" w:color="auto"/>
              <w:right w:val="single" w:sz="4" w:space="0" w:color="auto"/>
            </w:tcBorders>
            <w:shd w:val="clear" w:color="auto" w:fill="auto"/>
            <w:vAlign w:val="center"/>
            <w:hideMark/>
          </w:tcPr>
          <w:p w14:paraId="78EB8DE7"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0.551096</w:t>
            </w:r>
          </w:p>
        </w:tc>
      </w:tr>
      <w:tr w:rsidR="00C55386" w:rsidRPr="00C55386" w14:paraId="573C4D75"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1558AEF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063D8FA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02BCC38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1EA6AF7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BA57D3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16C248F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BL11</w:t>
            </w:r>
          </w:p>
        </w:tc>
        <w:tc>
          <w:tcPr>
            <w:tcW w:w="872" w:type="dxa"/>
            <w:tcBorders>
              <w:top w:val="nil"/>
              <w:left w:val="nil"/>
              <w:bottom w:val="single" w:sz="4" w:space="0" w:color="auto"/>
              <w:right w:val="single" w:sz="4" w:space="0" w:color="auto"/>
            </w:tcBorders>
            <w:shd w:val="clear" w:color="auto" w:fill="auto"/>
            <w:vAlign w:val="center"/>
            <w:hideMark/>
          </w:tcPr>
          <w:p w14:paraId="367590AF"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0.564045</w:t>
            </w:r>
          </w:p>
        </w:tc>
      </w:tr>
      <w:tr w:rsidR="00C55386" w:rsidRPr="00C55386" w14:paraId="490E8EB1"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3F74711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7122AB2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5A0C314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20CA9F3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184A226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6F175A3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BL12</w:t>
            </w:r>
          </w:p>
        </w:tc>
        <w:tc>
          <w:tcPr>
            <w:tcW w:w="872" w:type="dxa"/>
            <w:tcBorders>
              <w:top w:val="nil"/>
              <w:left w:val="nil"/>
              <w:bottom w:val="single" w:sz="4" w:space="0" w:color="auto"/>
              <w:right w:val="single" w:sz="4" w:space="0" w:color="auto"/>
            </w:tcBorders>
            <w:shd w:val="clear" w:color="auto" w:fill="auto"/>
            <w:vAlign w:val="center"/>
            <w:hideMark/>
          </w:tcPr>
          <w:p w14:paraId="6DED70D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0.552734</w:t>
            </w:r>
          </w:p>
        </w:tc>
      </w:tr>
      <w:tr w:rsidR="00C55386" w:rsidRPr="00C55386" w14:paraId="41F29CD4"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4E850B1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6108708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1BD2348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6A35E31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30554D6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53877223"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BL13</w:t>
            </w:r>
          </w:p>
        </w:tc>
        <w:tc>
          <w:tcPr>
            <w:tcW w:w="872" w:type="dxa"/>
            <w:tcBorders>
              <w:top w:val="nil"/>
              <w:left w:val="nil"/>
              <w:bottom w:val="single" w:sz="4" w:space="0" w:color="auto"/>
              <w:right w:val="single" w:sz="4" w:space="0" w:color="auto"/>
            </w:tcBorders>
            <w:shd w:val="clear" w:color="auto" w:fill="auto"/>
            <w:vAlign w:val="center"/>
            <w:hideMark/>
          </w:tcPr>
          <w:p w14:paraId="0E327D03"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0.518783</w:t>
            </w:r>
          </w:p>
        </w:tc>
      </w:tr>
      <w:tr w:rsidR="00C55386" w:rsidRPr="00C55386" w14:paraId="4FA3BE43"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1377487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6223895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0859C55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76F3C36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09B9CB0"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6CD6B8D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BL14</w:t>
            </w:r>
          </w:p>
        </w:tc>
        <w:tc>
          <w:tcPr>
            <w:tcW w:w="872" w:type="dxa"/>
            <w:tcBorders>
              <w:top w:val="nil"/>
              <w:left w:val="nil"/>
              <w:bottom w:val="single" w:sz="4" w:space="0" w:color="auto"/>
              <w:right w:val="single" w:sz="4" w:space="0" w:color="auto"/>
            </w:tcBorders>
            <w:shd w:val="clear" w:color="auto" w:fill="auto"/>
            <w:vAlign w:val="center"/>
            <w:hideMark/>
          </w:tcPr>
          <w:p w14:paraId="047D229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0.607279</w:t>
            </w:r>
          </w:p>
        </w:tc>
      </w:tr>
      <w:tr w:rsidR="00C55386" w:rsidRPr="00C55386" w14:paraId="76E71F94"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57C6E2E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03FBE4E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718A419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60035AD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BC0658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1F040F8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BL15</w:t>
            </w:r>
          </w:p>
        </w:tc>
        <w:tc>
          <w:tcPr>
            <w:tcW w:w="872" w:type="dxa"/>
            <w:tcBorders>
              <w:top w:val="nil"/>
              <w:left w:val="nil"/>
              <w:bottom w:val="single" w:sz="4" w:space="0" w:color="auto"/>
              <w:right w:val="single" w:sz="4" w:space="0" w:color="auto"/>
            </w:tcBorders>
            <w:shd w:val="clear" w:color="auto" w:fill="auto"/>
            <w:vAlign w:val="center"/>
            <w:hideMark/>
          </w:tcPr>
          <w:p w14:paraId="79D4E1C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0.678757</w:t>
            </w:r>
          </w:p>
        </w:tc>
      </w:tr>
      <w:tr w:rsidR="00C55386" w:rsidRPr="00C55386" w14:paraId="154E5266"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1BB3744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4E80262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25446AA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4CBC6341"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238A59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023601D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BL16</w:t>
            </w:r>
          </w:p>
        </w:tc>
        <w:tc>
          <w:tcPr>
            <w:tcW w:w="872" w:type="dxa"/>
            <w:tcBorders>
              <w:top w:val="nil"/>
              <w:left w:val="nil"/>
              <w:bottom w:val="single" w:sz="4" w:space="0" w:color="auto"/>
              <w:right w:val="single" w:sz="4" w:space="0" w:color="auto"/>
            </w:tcBorders>
            <w:shd w:val="clear" w:color="auto" w:fill="auto"/>
            <w:vAlign w:val="center"/>
            <w:hideMark/>
          </w:tcPr>
          <w:p w14:paraId="6CF1DA3D"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0.677752</w:t>
            </w:r>
          </w:p>
        </w:tc>
      </w:tr>
      <w:tr w:rsidR="00C55386" w:rsidRPr="00C55386" w14:paraId="00C16619"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78BBBD6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55D70D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7CBF5EF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54AC238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6ADB78D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00B87E1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BL17</w:t>
            </w:r>
          </w:p>
        </w:tc>
        <w:tc>
          <w:tcPr>
            <w:tcW w:w="872" w:type="dxa"/>
            <w:tcBorders>
              <w:top w:val="nil"/>
              <w:left w:val="nil"/>
              <w:bottom w:val="single" w:sz="4" w:space="0" w:color="auto"/>
              <w:right w:val="single" w:sz="4" w:space="0" w:color="auto"/>
            </w:tcBorders>
            <w:shd w:val="clear" w:color="auto" w:fill="auto"/>
            <w:vAlign w:val="center"/>
            <w:hideMark/>
          </w:tcPr>
          <w:p w14:paraId="40C92C9D"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0.710812</w:t>
            </w:r>
          </w:p>
        </w:tc>
      </w:tr>
      <w:tr w:rsidR="00C55386" w:rsidRPr="00C55386" w14:paraId="75830244" w14:textId="77777777" w:rsidTr="00C55386">
        <w:trPr>
          <w:trHeight w:val="284"/>
        </w:trPr>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14:paraId="16766A9B" w14:textId="1BEA9786" w:rsidR="00D65FF6" w:rsidRPr="00C55386" w:rsidRDefault="00D65FF6" w:rsidP="008D0DBB">
            <w:pPr>
              <w:spacing w:after="0" w:line="240" w:lineRule="auto"/>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Emotional brand</w:t>
            </w:r>
            <w:r w:rsidR="00210C2E" w:rsidRPr="00C55386">
              <w:rPr>
                <w:rFonts w:asciiTheme="majorBidi" w:eastAsia="Times New Roman" w:hAnsiTheme="majorBidi" w:cstheme="majorBidi"/>
                <w:color w:val="000000"/>
                <w:sz w:val="16"/>
                <w:szCs w:val="16"/>
              </w:rPr>
              <w:t xml:space="preserve"> Attachment</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57E48583"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4E2E9AF"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0.885</w:t>
            </w:r>
          </w:p>
        </w:tc>
        <w:tc>
          <w:tcPr>
            <w:tcW w:w="2119" w:type="dxa"/>
            <w:vMerge w:val="restart"/>
            <w:tcBorders>
              <w:top w:val="nil"/>
              <w:left w:val="single" w:sz="4" w:space="0" w:color="auto"/>
              <w:bottom w:val="single" w:sz="4" w:space="0" w:color="auto"/>
              <w:right w:val="single" w:sz="4" w:space="0" w:color="auto"/>
            </w:tcBorders>
            <w:shd w:val="clear" w:color="auto" w:fill="auto"/>
            <w:vAlign w:val="center"/>
            <w:hideMark/>
          </w:tcPr>
          <w:p w14:paraId="402BE718"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0.606</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14:paraId="6F4D5BC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70.52%</w:t>
            </w:r>
          </w:p>
        </w:tc>
        <w:tc>
          <w:tcPr>
            <w:tcW w:w="1058" w:type="dxa"/>
            <w:tcBorders>
              <w:top w:val="nil"/>
              <w:left w:val="nil"/>
              <w:bottom w:val="single" w:sz="4" w:space="0" w:color="auto"/>
              <w:right w:val="single" w:sz="4" w:space="0" w:color="auto"/>
            </w:tcBorders>
            <w:shd w:val="clear" w:color="auto" w:fill="auto"/>
            <w:vAlign w:val="center"/>
            <w:hideMark/>
          </w:tcPr>
          <w:p w14:paraId="05C60BBB"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EB1</w:t>
            </w:r>
          </w:p>
        </w:tc>
        <w:tc>
          <w:tcPr>
            <w:tcW w:w="872" w:type="dxa"/>
            <w:tcBorders>
              <w:top w:val="nil"/>
              <w:left w:val="nil"/>
              <w:bottom w:val="single" w:sz="4" w:space="0" w:color="auto"/>
              <w:right w:val="single" w:sz="4" w:space="0" w:color="auto"/>
            </w:tcBorders>
            <w:shd w:val="clear" w:color="auto" w:fill="auto"/>
            <w:vAlign w:val="center"/>
            <w:hideMark/>
          </w:tcPr>
          <w:p w14:paraId="19BCA7E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0.907</w:t>
            </w:r>
          </w:p>
        </w:tc>
      </w:tr>
      <w:tr w:rsidR="00C55386" w:rsidRPr="00C55386" w14:paraId="04C9799B"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3DFADC5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BE4F11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7902E61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7F42B4A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3D1A88C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3DFED14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EB2</w:t>
            </w:r>
          </w:p>
        </w:tc>
        <w:tc>
          <w:tcPr>
            <w:tcW w:w="872" w:type="dxa"/>
            <w:tcBorders>
              <w:top w:val="nil"/>
              <w:left w:val="nil"/>
              <w:bottom w:val="single" w:sz="4" w:space="0" w:color="auto"/>
              <w:right w:val="single" w:sz="4" w:space="0" w:color="auto"/>
            </w:tcBorders>
            <w:shd w:val="clear" w:color="auto" w:fill="auto"/>
            <w:vAlign w:val="center"/>
            <w:hideMark/>
          </w:tcPr>
          <w:p w14:paraId="73AE679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0.861</w:t>
            </w:r>
          </w:p>
        </w:tc>
      </w:tr>
      <w:tr w:rsidR="00C55386" w:rsidRPr="00C55386" w14:paraId="02770B36"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404AF01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15EAB3A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67FBA23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3B8B759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702C137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65F40A6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EB3</w:t>
            </w:r>
          </w:p>
        </w:tc>
        <w:tc>
          <w:tcPr>
            <w:tcW w:w="872" w:type="dxa"/>
            <w:tcBorders>
              <w:top w:val="nil"/>
              <w:left w:val="nil"/>
              <w:bottom w:val="single" w:sz="4" w:space="0" w:color="auto"/>
              <w:right w:val="single" w:sz="4" w:space="0" w:color="auto"/>
            </w:tcBorders>
            <w:shd w:val="clear" w:color="auto" w:fill="auto"/>
            <w:vAlign w:val="center"/>
            <w:hideMark/>
          </w:tcPr>
          <w:p w14:paraId="5E41195E"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0.917</w:t>
            </w:r>
          </w:p>
        </w:tc>
      </w:tr>
      <w:tr w:rsidR="00C55386" w:rsidRPr="00C55386" w14:paraId="7ED01D08"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2BF5C4D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0E8D957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68AB145F"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0639782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65C40CE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2D2F900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EB4</w:t>
            </w:r>
          </w:p>
        </w:tc>
        <w:tc>
          <w:tcPr>
            <w:tcW w:w="872" w:type="dxa"/>
            <w:tcBorders>
              <w:top w:val="nil"/>
              <w:left w:val="nil"/>
              <w:bottom w:val="single" w:sz="4" w:space="0" w:color="auto"/>
              <w:right w:val="single" w:sz="4" w:space="0" w:color="auto"/>
            </w:tcBorders>
            <w:shd w:val="clear" w:color="auto" w:fill="auto"/>
            <w:vAlign w:val="center"/>
            <w:hideMark/>
          </w:tcPr>
          <w:p w14:paraId="14B5001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0.936</w:t>
            </w:r>
          </w:p>
        </w:tc>
      </w:tr>
      <w:tr w:rsidR="00C55386" w:rsidRPr="00C55386" w14:paraId="471FFDDB" w14:textId="77777777" w:rsidTr="00C55386">
        <w:trPr>
          <w:trHeight w:val="284"/>
        </w:trPr>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14:paraId="10F6B71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Brand trust</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63DAB88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8E5342F"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0.932</w:t>
            </w:r>
          </w:p>
        </w:tc>
        <w:tc>
          <w:tcPr>
            <w:tcW w:w="2119" w:type="dxa"/>
            <w:vMerge w:val="restart"/>
            <w:tcBorders>
              <w:top w:val="nil"/>
              <w:left w:val="single" w:sz="4" w:space="0" w:color="auto"/>
              <w:bottom w:val="single" w:sz="4" w:space="0" w:color="auto"/>
              <w:right w:val="single" w:sz="4" w:space="0" w:color="auto"/>
            </w:tcBorders>
            <w:shd w:val="clear" w:color="auto" w:fill="auto"/>
            <w:vAlign w:val="center"/>
            <w:hideMark/>
          </w:tcPr>
          <w:p w14:paraId="6C0FCA8F"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0.775</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14:paraId="34DAC7D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83.21%</w:t>
            </w:r>
          </w:p>
        </w:tc>
        <w:tc>
          <w:tcPr>
            <w:tcW w:w="1058" w:type="dxa"/>
            <w:tcBorders>
              <w:top w:val="nil"/>
              <w:left w:val="nil"/>
              <w:bottom w:val="single" w:sz="4" w:space="0" w:color="auto"/>
              <w:right w:val="single" w:sz="4" w:space="0" w:color="auto"/>
            </w:tcBorders>
            <w:shd w:val="clear" w:color="auto" w:fill="auto"/>
            <w:vAlign w:val="center"/>
            <w:hideMark/>
          </w:tcPr>
          <w:p w14:paraId="4831283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BT1</w:t>
            </w:r>
          </w:p>
        </w:tc>
        <w:tc>
          <w:tcPr>
            <w:tcW w:w="872" w:type="dxa"/>
            <w:tcBorders>
              <w:top w:val="nil"/>
              <w:left w:val="nil"/>
              <w:bottom w:val="single" w:sz="4" w:space="0" w:color="auto"/>
              <w:right w:val="single" w:sz="4" w:space="0" w:color="auto"/>
            </w:tcBorders>
            <w:shd w:val="clear" w:color="auto" w:fill="auto"/>
            <w:vAlign w:val="center"/>
            <w:hideMark/>
          </w:tcPr>
          <w:p w14:paraId="20DFDCA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0.89</w:t>
            </w:r>
          </w:p>
        </w:tc>
      </w:tr>
      <w:tr w:rsidR="00C55386" w:rsidRPr="00C55386" w14:paraId="336BC4C1"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315A8D9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79F64A7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7894BAE8"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7CD34F4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5195B13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76BC2AAC"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BT2</w:t>
            </w:r>
          </w:p>
        </w:tc>
        <w:tc>
          <w:tcPr>
            <w:tcW w:w="872" w:type="dxa"/>
            <w:tcBorders>
              <w:top w:val="nil"/>
              <w:left w:val="nil"/>
              <w:bottom w:val="single" w:sz="4" w:space="0" w:color="auto"/>
              <w:right w:val="single" w:sz="4" w:space="0" w:color="auto"/>
            </w:tcBorders>
            <w:shd w:val="clear" w:color="auto" w:fill="auto"/>
            <w:vAlign w:val="center"/>
            <w:hideMark/>
          </w:tcPr>
          <w:p w14:paraId="2BBE025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0.942</w:t>
            </w:r>
          </w:p>
        </w:tc>
      </w:tr>
      <w:tr w:rsidR="00C55386" w:rsidRPr="00C55386" w14:paraId="3B5FF9CD"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4867E61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54F31995"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0D29546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0598B7A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4EC99A1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272A49B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BT3</w:t>
            </w:r>
          </w:p>
        </w:tc>
        <w:tc>
          <w:tcPr>
            <w:tcW w:w="872" w:type="dxa"/>
            <w:tcBorders>
              <w:top w:val="nil"/>
              <w:left w:val="nil"/>
              <w:bottom w:val="single" w:sz="4" w:space="0" w:color="auto"/>
              <w:right w:val="single" w:sz="4" w:space="0" w:color="auto"/>
            </w:tcBorders>
            <w:shd w:val="clear" w:color="auto" w:fill="auto"/>
            <w:vAlign w:val="center"/>
            <w:hideMark/>
          </w:tcPr>
          <w:p w14:paraId="1C59C82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0.921</w:t>
            </w:r>
          </w:p>
        </w:tc>
      </w:tr>
      <w:tr w:rsidR="00C55386" w:rsidRPr="00C55386" w14:paraId="6F2DBA9C"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6BFEF67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2F4196D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0244495E"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10BF426A"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146396E2"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4BA01353"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BT4</w:t>
            </w:r>
          </w:p>
        </w:tc>
        <w:tc>
          <w:tcPr>
            <w:tcW w:w="872" w:type="dxa"/>
            <w:tcBorders>
              <w:top w:val="nil"/>
              <w:left w:val="nil"/>
              <w:bottom w:val="single" w:sz="4" w:space="0" w:color="auto"/>
              <w:right w:val="single" w:sz="4" w:space="0" w:color="auto"/>
            </w:tcBorders>
            <w:shd w:val="clear" w:color="auto" w:fill="auto"/>
            <w:vAlign w:val="center"/>
            <w:hideMark/>
          </w:tcPr>
          <w:p w14:paraId="57122BF8"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0.925</w:t>
            </w:r>
          </w:p>
        </w:tc>
      </w:tr>
      <w:tr w:rsidR="00C55386" w:rsidRPr="00C55386" w14:paraId="7A240D27" w14:textId="77777777" w:rsidTr="00C55386">
        <w:trPr>
          <w:trHeight w:val="284"/>
        </w:trPr>
        <w:tc>
          <w:tcPr>
            <w:tcW w:w="1477" w:type="dxa"/>
            <w:vMerge w:val="restart"/>
            <w:tcBorders>
              <w:top w:val="nil"/>
              <w:left w:val="single" w:sz="4" w:space="0" w:color="auto"/>
              <w:bottom w:val="single" w:sz="4" w:space="0" w:color="auto"/>
              <w:right w:val="single" w:sz="4" w:space="0" w:color="auto"/>
            </w:tcBorders>
            <w:shd w:val="clear" w:color="auto" w:fill="auto"/>
            <w:vAlign w:val="center"/>
            <w:hideMark/>
          </w:tcPr>
          <w:p w14:paraId="485CD3A1"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Purchase intention</w:t>
            </w:r>
          </w:p>
        </w:tc>
        <w:tc>
          <w:tcPr>
            <w:tcW w:w="856" w:type="dxa"/>
            <w:vMerge w:val="restart"/>
            <w:tcBorders>
              <w:top w:val="nil"/>
              <w:left w:val="single" w:sz="4" w:space="0" w:color="auto"/>
              <w:bottom w:val="single" w:sz="4" w:space="0" w:color="auto"/>
              <w:right w:val="single" w:sz="4" w:space="0" w:color="auto"/>
            </w:tcBorders>
            <w:shd w:val="clear" w:color="auto" w:fill="auto"/>
            <w:vAlign w:val="center"/>
            <w:hideMark/>
          </w:tcPr>
          <w:p w14:paraId="2C2FA321"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4</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3A91E216"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0.951</w:t>
            </w:r>
          </w:p>
        </w:tc>
        <w:tc>
          <w:tcPr>
            <w:tcW w:w="2119" w:type="dxa"/>
            <w:vMerge w:val="restart"/>
            <w:tcBorders>
              <w:top w:val="nil"/>
              <w:left w:val="single" w:sz="4" w:space="0" w:color="auto"/>
              <w:bottom w:val="single" w:sz="4" w:space="0" w:color="auto"/>
              <w:right w:val="single" w:sz="4" w:space="0" w:color="auto"/>
            </w:tcBorders>
            <w:shd w:val="clear" w:color="auto" w:fill="auto"/>
            <w:vAlign w:val="center"/>
            <w:hideMark/>
          </w:tcPr>
          <w:p w14:paraId="099B2935"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0.828</w:t>
            </w:r>
          </w:p>
        </w:tc>
        <w:tc>
          <w:tcPr>
            <w:tcW w:w="710" w:type="dxa"/>
            <w:vMerge w:val="restart"/>
            <w:tcBorders>
              <w:top w:val="nil"/>
              <w:left w:val="single" w:sz="4" w:space="0" w:color="auto"/>
              <w:bottom w:val="single" w:sz="4" w:space="0" w:color="auto"/>
              <w:right w:val="single" w:sz="4" w:space="0" w:color="auto"/>
            </w:tcBorders>
            <w:shd w:val="clear" w:color="auto" w:fill="auto"/>
            <w:vAlign w:val="center"/>
            <w:hideMark/>
          </w:tcPr>
          <w:p w14:paraId="2088871C"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87.14%</w:t>
            </w:r>
          </w:p>
        </w:tc>
        <w:tc>
          <w:tcPr>
            <w:tcW w:w="1058" w:type="dxa"/>
            <w:tcBorders>
              <w:top w:val="nil"/>
              <w:left w:val="nil"/>
              <w:bottom w:val="single" w:sz="4" w:space="0" w:color="auto"/>
              <w:right w:val="single" w:sz="4" w:space="0" w:color="auto"/>
            </w:tcBorders>
            <w:shd w:val="clear" w:color="auto" w:fill="auto"/>
            <w:vAlign w:val="center"/>
            <w:hideMark/>
          </w:tcPr>
          <w:p w14:paraId="30B40122"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PI1</w:t>
            </w:r>
          </w:p>
        </w:tc>
        <w:tc>
          <w:tcPr>
            <w:tcW w:w="872" w:type="dxa"/>
            <w:tcBorders>
              <w:top w:val="nil"/>
              <w:left w:val="nil"/>
              <w:bottom w:val="single" w:sz="4" w:space="0" w:color="auto"/>
              <w:right w:val="single" w:sz="4" w:space="0" w:color="auto"/>
            </w:tcBorders>
            <w:shd w:val="clear" w:color="auto" w:fill="auto"/>
            <w:vAlign w:val="center"/>
            <w:hideMark/>
          </w:tcPr>
          <w:p w14:paraId="049C4587"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0.926</w:t>
            </w:r>
          </w:p>
        </w:tc>
      </w:tr>
      <w:tr w:rsidR="00C55386" w:rsidRPr="00C55386" w14:paraId="6DD0BD02"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54198B7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7307A56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0761261B"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34FF8A9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4A747FD9"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72597C20"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PI2</w:t>
            </w:r>
          </w:p>
        </w:tc>
        <w:tc>
          <w:tcPr>
            <w:tcW w:w="872" w:type="dxa"/>
            <w:tcBorders>
              <w:top w:val="nil"/>
              <w:left w:val="nil"/>
              <w:bottom w:val="single" w:sz="4" w:space="0" w:color="auto"/>
              <w:right w:val="single" w:sz="4" w:space="0" w:color="auto"/>
            </w:tcBorders>
            <w:shd w:val="clear" w:color="auto" w:fill="auto"/>
            <w:vAlign w:val="center"/>
            <w:hideMark/>
          </w:tcPr>
          <w:p w14:paraId="6DFBBEB9"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0.933</w:t>
            </w:r>
          </w:p>
        </w:tc>
      </w:tr>
      <w:tr w:rsidR="00C55386" w:rsidRPr="00C55386" w14:paraId="6542CAEA" w14:textId="77777777" w:rsidTr="00C55386">
        <w:trPr>
          <w:trHeight w:val="284"/>
        </w:trPr>
        <w:tc>
          <w:tcPr>
            <w:tcW w:w="1477" w:type="dxa"/>
            <w:vMerge/>
            <w:tcBorders>
              <w:top w:val="nil"/>
              <w:left w:val="single" w:sz="4" w:space="0" w:color="auto"/>
              <w:bottom w:val="single" w:sz="4" w:space="0" w:color="auto"/>
              <w:right w:val="single" w:sz="4" w:space="0" w:color="auto"/>
            </w:tcBorders>
            <w:vAlign w:val="center"/>
            <w:hideMark/>
          </w:tcPr>
          <w:p w14:paraId="7BEFF50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3F97FEC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45154400"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5BDE8093"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1F779AC"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0E036F0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PI3</w:t>
            </w:r>
          </w:p>
        </w:tc>
        <w:tc>
          <w:tcPr>
            <w:tcW w:w="872" w:type="dxa"/>
            <w:tcBorders>
              <w:top w:val="nil"/>
              <w:left w:val="nil"/>
              <w:bottom w:val="single" w:sz="4" w:space="0" w:color="auto"/>
              <w:right w:val="single" w:sz="4" w:space="0" w:color="auto"/>
            </w:tcBorders>
            <w:shd w:val="clear" w:color="auto" w:fill="auto"/>
            <w:vAlign w:val="center"/>
            <w:hideMark/>
          </w:tcPr>
          <w:p w14:paraId="34C784EA"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0.944</w:t>
            </w:r>
          </w:p>
        </w:tc>
      </w:tr>
      <w:tr w:rsidR="00C55386" w:rsidRPr="00C55386" w14:paraId="6A9CF6C4" w14:textId="77777777" w:rsidTr="00C55386">
        <w:trPr>
          <w:trHeight w:val="46"/>
        </w:trPr>
        <w:tc>
          <w:tcPr>
            <w:tcW w:w="1477" w:type="dxa"/>
            <w:vMerge/>
            <w:tcBorders>
              <w:top w:val="nil"/>
              <w:left w:val="single" w:sz="4" w:space="0" w:color="auto"/>
              <w:bottom w:val="single" w:sz="4" w:space="0" w:color="auto"/>
              <w:right w:val="single" w:sz="4" w:space="0" w:color="auto"/>
            </w:tcBorders>
            <w:vAlign w:val="center"/>
            <w:hideMark/>
          </w:tcPr>
          <w:p w14:paraId="4E6F5EE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856" w:type="dxa"/>
            <w:vMerge/>
            <w:tcBorders>
              <w:top w:val="nil"/>
              <w:left w:val="single" w:sz="4" w:space="0" w:color="auto"/>
              <w:bottom w:val="single" w:sz="4" w:space="0" w:color="auto"/>
              <w:right w:val="single" w:sz="4" w:space="0" w:color="auto"/>
            </w:tcBorders>
            <w:vAlign w:val="center"/>
            <w:hideMark/>
          </w:tcPr>
          <w:p w14:paraId="2198B357"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418" w:type="dxa"/>
            <w:vMerge/>
            <w:tcBorders>
              <w:top w:val="nil"/>
              <w:left w:val="single" w:sz="4" w:space="0" w:color="auto"/>
              <w:bottom w:val="single" w:sz="4" w:space="0" w:color="auto"/>
              <w:right w:val="single" w:sz="4" w:space="0" w:color="auto"/>
            </w:tcBorders>
            <w:vAlign w:val="center"/>
            <w:hideMark/>
          </w:tcPr>
          <w:p w14:paraId="7A24C7E6"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2119" w:type="dxa"/>
            <w:vMerge/>
            <w:tcBorders>
              <w:top w:val="nil"/>
              <w:left w:val="single" w:sz="4" w:space="0" w:color="auto"/>
              <w:bottom w:val="single" w:sz="4" w:space="0" w:color="auto"/>
              <w:right w:val="single" w:sz="4" w:space="0" w:color="auto"/>
            </w:tcBorders>
            <w:vAlign w:val="center"/>
            <w:hideMark/>
          </w:tcPr>
          <w:p w14:paraId="7015C4B4"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14:paraId="0E281ADD" w14:textId="77777777" w:rsidR="00D65FF6" w:rsidRPr="00C55386" w:rsidRDefault="00D65FF6" w:rsidP="008D0DBB">
            <w:pPr>
              <w:spacing w:after="0" w:line="240" w:lineRule="auto"/>
              <w:rPr>
                <w:rFonts w:asciiTheme="majorBidi" w:eastAsia="Times New Roman" w:hAnsiTheme="majorBidi" w:cstheme="majorBidi"/>
                <w:color w:val="000000"/>
                <w:sz w:val="16"/>
                <w:szCs w:val="16"/>
              </w:rPr>
            </w:pPr>
          </w:p>
        </w:tc>
        <w:tc>
          <w:tcPr>
            <w:tcW w:w="1058" w:type="dxa"/>
            <w:tcBorders>
              <w:top w:val="nil"/>
              <w:left w:val="nil"/>
              <w:bottom w:val="single" w:sz="4" w:space="0" w:color="auto"/>
              <w:right w:val="single" w:sz="4" w:space="0" w:color="auto"/>
            </w:tcBorders>
            <w:shd w:val="clear" w:color="auto" w:fill="auto"/>
            <w:vAlign w:val="center"/>
            <w:hideMark/>
          </w:tcPr>
          <w:p w14:paraId="339B524C" w14:textId="77777777" w:rsidR="00D65FF6" w:rsidRPr="00C55386" w:rsidRDefault="00D65FF6" w:rsidP="008D0DBB">
            <w:pPr>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PI4</w:t>
            </w:r>
          </w:p>
        </w:tc>
        <w:tc>
          <w:tcPr>
            <w:tcW w:w="872" w:type="dxa"/>
            <w:tcBorders>
              <w:top w:val="nil"/>
              <w:left w:val="nil"/>
              <w:bottom w:val="single" w:sz="4" w:space="0" w:color="auto"/>
              <w:right w:val="single" w:sz="4" w:space="0" w:color="auto"/>
            </w:tcBorders>
            <w:shd w:val="clear" w:color="auto" w:fill="auto"/>
            <w:vAlign w:val="center"/>
            <w:hideMark/>
          </w:tcPr>
          <w:p w14:paraId="68B1086C" w14:textId="77777777" w:rsidR="00D65FF6" w:rsidRPr="00C55386" w:rsidRDefault="00D65FF6" w:rsidP="006E435C">
            <w:pPr>
              <w:keepNext/>
              <w:spacing w:after="0" w:line="240" w:lineRule="auto"/>
              <w:jc w:val="center"/>
              <w:rPr>
                <w:rFonts w:asciiTheme="majorBidi" w:eastAsia="Times New Roman" w:hAnsiTheme="majorBidi" w:cstheme="majorBidi"/>
                <w:color w:val="000000"/>
                <w:sz w:val="16"/>
                <w:szCs w:val="16"/>
              </w:rPr>
            </w:pPr>
            <w:r w:rsidRPr="00C55386">
              <w:rPr>
                <w:rFonts w:asciiTheme="majorBidi" w:eastAsia="Times New Roman" w:hAnsiTheme="majorBidi" w:cstheme="majorBidi"/>
                <w:color w:val="000000"/>
                <w:sz w:val="16"/>
                <w:szCs w:val="16"/>
              </w:rPr>
              <w:t>0.931</w:t>
            </w:r>
          </w:p>
        </w:tc>
      </w:tr>
    </w:tbl>
    <w:p w14:paraId="22B3ADBF" w14:textId="492E4CBD" w:rsidR="00D65FF6" w:rsidRDefault="006E435C" w:rsidP="006E435C">
      <w:pPr>
        <w:pStyle w:val="Caption"/>
        <w:rPr>
          <w:rFonts w:asciiTheme="majorBidi" w:hAnsiTheme="majorBidi" w:cstheme="majorBidi"/>
          <w:sz w:val="24"/>
          <w:szCs w:val="24"/>
        </w:rPr>
      </w:pPr>
      <w:r>
        <w:t>Table 1</w:t>
      </w:r>
      <w:r w:rsidR="00044DE9">
        <w:t>8</w:t>
      </w:r>
      <w:r>
        <w:t xml:space="preserve"> Reliability of scale items </w:t>
      </w:r>
      <w:r w:rsidRPr="006E435C">
        <w:t>measured with Cronbach's Alpha coefficient</w:t>
      </w:r>
    </w:p>
    <w:p w14:paraId="208405E3" w14:textId="77777777" w:rsidR="00511634" w:rsidRDefault="00511634">
      <w:pPr>
        <w:rPr>
          <w:rFonts w:asciiTheme="majorBidi" w:eastAsia="Times New Roman" w:hAnsiTheme="majorBidi" w:cstheme="majorBidi"/>
          <w:b/>
          <w:bCs/>
          <w:kern w:val="0"/>
          <w:sz w:val="24"/>
          <w:szCs w:val="24"/>
        </w:rPr>
      </w:pPr>
      <w:r>
        <w:rPr>
          <w:rFonts w:asciiTheme="majorBidi" w:hAnsiTheme="majorBidi" w:cstheme="majorBidi"/>
          <w:b/>
          <w:bCs/>
        </w:rPr>
        <w:br w:type="page"/>
      </w:r>
    </w:p>
    <w:p w14:paraId="5FD272C7" w14:textId="479E5732" w:rsidR="004B5B0F" w:rsidRPr="00AD1911" w:rsidRDefault="00AD1911" w:rsidP="004B5B0F">
      <w:pPr>
        <w:pStyle w:val="Heading5"/>
        <w:rPr>
          <w:rFonts w:asciiTheme="majorBidi" w:hAnsiTheme="majorBidi" w:cstheme="majorBidi"/>
          <w:b/>
          <w:bCs/>
          <w:rtl/>
        </w:rPr>
      </w:pPr>
      <w:r w:rsidRPr="00AD1911">
        <w:rPr>
          <w:rFonts w:asciiTheme="majorBidi" w:hAnsiTheme="majorBidi" w:cstheme="majorBidi"/>
          <w:b/>
          <w:bCs/>
        </w:rPr>
        <w:t>6.</w:t>
      </w:r>
      <w:r w:rsidR="00C0315E">
        <w:rPr>
          <w:rFonts w:asciiTheme="majorBidi" w:hAnsiTheme="majorBidi" w:cstheme="majorBidi"/>
          <w:b/>
          <w:bCs/>
        </w:rPr>
        <w:t>7</w:t>
      </w:r>
      <w:r w:rsidRPr="00AD1911">
        <w:rPr>
          <w:rFonts w:asciiTheme="majorBidi" w:hAnsiTheme="majorBidi" w:cstheme="majorBidi"/>
          <w:b/>
          <w:bCs/>
        </w:rPr>
        <w:t xml:space="preserve"> </w:t>
      </w:r>
      <w:r w:rsidR="004B5B0F" w:rsidRPr="00AD1911">
        <w:rPr>
          <w:rFonts w:asciiTheme="majorBidi" w:hAnsiTheme="majorBidi" w:cstheme="majorBidi"/>
          <w:b/>
          <w:bCs/>
        </w:rPr>
        <w:t xml:space="preserve">Common method bias </w:t>
      </w:r>
      <w:r w:rsidR="00210C2E">
        <w:rPr>
          <w:rFonts w:asciiTheme="majorBidi" w:hAnsiTheme="majorBidi" w:cstheme="majorBidi"/>
          <w:b/>
          <w:bCs/>
        </w:rPr>
        <w:br/>
      </w:r>
    </w:p>
    <w:p w14:paraId="278A2B90" w14:textId="7C02A817" w:rsidR="004B5B0F" w:rsidRPr="00AD1911" w:rsidRDefault="004B5B0F" w:rsidP="00AD1911">
      <w:pPr>
        <w:spacing w:line="480" w:lineRule="auto"/>
        <w:rPr>
          <w:rFonts w:asciiTheme="majorBidi" w:hAnsiTheme="majorBidi" w:cstheme="majorBidi"/>
          <w:sz w:val="24"/>
          <w:szCs w:val="24"/>
        </w:rPr>
      </w:pPr>
      <w:r w:rsidRPr="00AD1911">
        <w:rPr>
          <w:rFonts w:asciiTheme="majorBidi" w:hAnsiTheme="majorBidi" w:cstheme="majorBidi"/>
          <w:sz w:val="24"/>
          <w:szCs w:val="24"/>
        </w:rPr>
        <w:tab/>
        <w:t xml:space="preserve">In a data set when the independent and dependent variables are gathered from the same group of respondents, common method bias (CMB) normally prevails as the analysis occurs within the same measurement context using the same items and attributes </w:t>
      </w:r>
      <w:sdt>
        <w:sdtPr>
          <w:rPr>
            <w:rFonts w:asciiTheme="majorBidi" w:hAnsiTheme="majorBidi" w:cstheme="majorBidi"/>
            <w:sz w:val="24"/>
            <w:szCs w:val="24"/>
          </w:rPr>
          <w:id w:val="-1922793315"/>
          <w:citation/>
        </w:sdtPr>
        <w:sdtContent>
          <w:r w:rsidRPr="00AD1911">
            <w:rPr>
              <w:rFonts w:asciiTheme="majorBidi" w:hAnsiTheme="majorBidi" w:cstheme="majorBidi"/>
              <w:sz w:val="24"/>
              <w:szCs w:val="24"/>
            </w:rPr>
            <w:fldChar w:fldCharType="begin"/>
          </w:r>
          <w:r w:rsidRPr="00AD1911">
            <w:rPr>
              <w:rFonts w:asciiTheme="majorBidi" w:hAnsiTheme="majorBidi" w:cstheme="majorBidi"/>
              <w:sz w:val="24"/>
              <w:szCs w:val="24"/>
            </w:rPr>
            <w:instrText xml:space="preserve"> CITATION Pod03 \l 2057  \m Teh17</w:instrText>
          </w:r>
          <w:r w:rsidRPr="00AD1911">
            <w:rPr>
              <w:rFonts w:asciiTheme="majorBidi" w:hAnsiTheme="majorBidi" w:cstheme="majorBidi"/>
              <w:sz w:val="24"/>
              <w:szCs w:val="24"/>
            </w:rPr>
            <w:fldChar w:fldCharType="separate"/>
          </w:r>
          <w:r w:rsidRPr="00AD1911">
            <w:rPr>
              <w:rFonts w:asciiTheme="majorBidi" w:hAnsiTheme="majorBidi" w:cstheme="majorBidi"/>
              <w:noProof/>
              <w:sz w:val="24"/>
              <w:szCs w:val="24"/>
            </w:rPr>
            <w:t>(Podsakoff, MacKenzie, Lee, &amp; Podsakoff, 2003; Tehseen, Ramayah, &amp; Sajilan, 2017)</w:t>
          </w:r>
          <w:r w:rsidRPr="00AD1911">
            <w:rPr>
              <w:rFonts w:asciiTheme="majorBidi" w:hAnsiTheme="majorBidi" w:cstheme="majorBidi"/>
              <w:sz w:val="24"/>
              <w:szCs w:val="24"/>
            </w:rPr>
            <w:fldChar w:fldCharType="end"/>
          </w:r>
        </w:sdtContent>
      </w:sdt>
      <w:r w:rsidRPr="00AD1911">
        <w:rPr>
          <w:rFonts w:asciiTheme="majorBidi" w:hAnsiTheme="majorBidi" w:cstheme="majorBidi"/>
          <w:sz w:val="24"/>
          <w:szCs w:val="24"/>
        </w:rPr>
        <w:t xml:space="preserve">.  One of the simplest ways to </w:t>
      </w:r>
      <w:r w:rsidR="004B44B9" w:rsidRPr="004B44B9">
        <w:rPr>
          <w:rFonts w:asciiTheme="majorBidi" w:hAnsiTheme="majorBidi" w:cstheme="majorBidi"/>
          <w:sz w:val="24"/>
          <w:szCs w:val="24"/>
        </w:rPr>
        <w:t>identify</w:t>
      </w:r>
      <w:r w:rsidRPr="00AD1911">
        <w:rPr>
          <w:rFonts w:asciiTheme="majorBidi" w:hAnsiTheme="majorBidi" w:cstheme="majorBidi"/>
          <w:sz w:val="24"/>
          <w:szCs w:val="24"/>
        </w:rPr>
        <w:t xml:space="preserve"> CMB is by obtaining Harman’s single factor score where all items load into one common factor</w:t>
      </w:r>
      <w:sdt>
        <w:sdtPr>
          <w:rPr>
            <w:rFonts w:asciiTheme="majorBidi" w:hAnsiTheme="majorBidi" w:cstheme="majorBidi"/>
            <w:sz w:val="24"/>
            <w:szCs w:val="24"/>
          </w:rPr>
          <w:id w:val="25753391"/>
          <w:citation/>
        </w:sdtPr>
        <w:sdtContent>
          <w:r w:rsidRPr="00AD1911">
            <w:rPr>
              <w:rFonts w:asciiTheme="majorBidi" w:hAnsiTheme="majorBidi" w:cstheme="majorBidi"/>
              <w:sz w:val="24"/>
              <w:szCs w:val="24"/>
            </w:rPr>
            <w:fldChar w:fldCharType="begin"/>
          </w:r>
          <w:r w:rsidRPr="00AD1911">
            <w:rPr>
              <w:rFonts w:asciiTheme="majorBidi" w:hAnsiTheme="majorBidi" w:cstheme="majorBidi"/>
              <w:sz w:val="24"/>
              <w:szCs w:val="24"/>
              <w:lang w:val="en-US"/>
            </w:rPr>
            <w:instrText xml:space="preserve"> CITATION Rod20 \l 2057  \m Teh17</w:instrText>
          </w:r>
          <w:r w:rsidRPr="00AD1911">
            <w:rPr>
              <w:rFonts w:asciiTheme="majorBidi" w:hAnsiTheme="majorBidi" w:cstheme="majorBidi"/>
              <w:sz w:val="24"/>
              <w:szCs w:val="24"/>
            </w:rPr>
            <w:fldChar w:fldCharType="separate"/>
          </w:r>
          <w:r w:rsidRPr="00AD1911">
            <w:rPr>
              <w:rFonts w:asciiTheme="majorBidi" w:hAnsiTheme="majorBidi" w:cstheme="majorBidi"/>
              <w:sz w:val="24"/>
              <w:szCs w:val="24"/>
              <w:lang w:val="en-US"/>
            </w:rPr>
            <w:t xml:space="preserve"> (Rodríguez-Ardura &amp; Meseguer-Artola, 2020; Tehseen, Ramayah, &amp; Sajilan, 2017)</w:t>
          </w:r>
          <w:r w:rsidRPr="00AD1911">
            <w:rPr>
              <w:rFonts w:asciiTheme="majorBidi" w:hAnsiTheme="majorBidi" w:cstheme="majorBidi"/>
              <w:sz w:val="24"/>
              <w:szCs w:val="24"/>
            </w:rPr>
            <w:fldChar w:fldCharType="end"/>
          </w:r>
        </w:sdtContent>
      </w:sdt>
      <w:r w:rsidRPr="00AD1911">
        <w:rPr>
          <w:rFonts w:asciiTheme="majorBidi" w:hAnsiTheme="majorBidi" w:cstheme="majorBidi"/>
          <w:sz w:val="24"/>
          <w:szCs w:val="24"/>
        </w:rPr>
        <w:t>. This method tests the CMB to give an indication of the variance level but does not control</w:t>
      </w:r>
      <w:r w:rsidR="00242BE0" w:rsidRPr="00242BE0">
        <w:rPr>
          <w:rFonts w:asciiTheme="majorBidi" w:hAnsiTheme="majorBidi" w:cstheme="majorBidi"/>
          <w:sz w:val="24"/>
          <w:szCs w:val="24"/>
        </w:rPr>
        <w:t xml:space="preserve"> </w:t>
      </w:r>
      <w:sdt>
        <w:sdtPr>
          <w:rPr>
            <w:rFonts w:asciiTheme="majorBidi" w:hAnsiTheme="majorBidi" w:cstheme="majorBidi"/>
            <w:sz w:val="24"/>
            <w:szCs w:val="24"/>
          </w:rPr>
          <w:id w:val="-1224676243"/>
          <w:citation/>
        </w:sdtPr>
        <w:sdtContent>
          <w:r w:rsidR="00242BE0" w:rsidRPr="00AD1911">
            <w:rPr>
              <w:rFonts w:asciiTheme="majorBidi" w:hAnsiTheme="majorBidi" w:cstheme="majorBidi"/>
              <w:sz w:val="24"/>
              <w:szCs w:val="24"/>
            </w:rPr>
            <w:fldChar w:fldCharType="begin"/>
          </w:r>
          <w:r w:rsidR="00242BE0" w:rsidRPr="00AD1911">
            <w:rPr>
              <w:rFonts w:asciiTheme="majorBidi" w:hAnsiTheme="majorBidi" w:cstheme="majorBidi"/>
              <w:sz w:val="24"/>
              <w:szCs w:val="24"/>
              <w:lang w:val="en-US"/>
            </w:rPr>
            <w:instrText xml:space="preserve"> CITATION Agu19 \l 2057 </w:instrText>
          </w:r>
          <w:r w:rsidR="00242BE0" w:rsidRPr="00AD1911">
            <w:rPr>
              <w:rFonts w:asciiTheme="majorBidi" w:hAnsiTheme="majorBidi" w:cstheme="majorBidi"/>
              <w:sz w:val="24"/>
              <w:szCs w:val="24"/>
            </w:rPr>
            <w:fldChar w:fldCharType="separate"/>
          </w:r>
          <w:r w:rsidR="00242BE0" w:rsidRPr="00AD1911">
            <w:rPr>
              <w:rFonts w:asciiTheme="majorBidi" w:hAnsiTheme="majorBidi" w:cstheme="majorBidi"/>
              <w:sz w:val="24"/>
              <w:szCs w:val="24"/>
              <w:lang w:val="en-US"/>
            </w:rPr>
            <w:t xml:space="preserve"> (Aguirre-Urreta &amp; Hu, 2019)</w:t>
          </w:r>
          <w:r w:rsidR="00242BE0" w:rsidRPr="00AD1911">
            <w:rPr>
              <w:rFonts w:asciiTheme="majorBidi" w:hAnsiTheme="majorBidi" w:cstheme="majorBidi"/>
              <w:sz w:val="24"/>
              <w:szCs w:val="24"/>
            </w:rPr>
            <w:fldChar w:fldCharType="end"/>
          </w:r>
        </w:sdtContent>
      </w:sdt>
      <w:r w:rsidRPr="00AD1911">
        <w:rPr>
          <w:rFonts w:asciiTheme="majorBidi" w:hAnsiTheme="majorBidi" w:cstheme="majorBidi"/>
          <w:sz w:val="24"/>
          <w:szCs w:val="24"/>
        </w:rPr>
        <w:t>. Harman’s single factor imply that CMB does not affect your data if the sum of the variances for all factors is less than 50%</w:t>
      </w:r>
      <w:sdt>
        <w:sdtPr>
          <w:rPr>
            <w:rFonts w:asciiTheme="majorBidi" w:hAnsiTheme="majorBidi" w:cstheme="majorBidi"/>
            <w:sz w:val="24"/>
            <w:szCs w:val="24"/>
          </w:rPr>
          <w:id w:val="516817437"/>
          <w:citation/>
        </w:sdtPr>
        <w:sdtContent>
          <w:r w:rsidRPr="00AD1911">
            <w:rPr>
              <w:rFonts w:asciiTheme="majorBidi" w:hAnsiTheme="majorBidi" w:cstheme="majorBidi"/>
              <w:sz w:val="24"/>
              <w:szCs w:val="24"/>
            </w:rPr>
            <w:fldChar w:fldCharType="begin"/>
          </w:r>
          <w:r w:rsidRPr="00AD1911">
            <w:rPr>
              <w:rFonts w:asciiTheme="majorBidi" w:hAnsiTheme="majorBidi" w:cstheme="majorBidi"/>
              <w:sz w:val="24"/>
              <w:szCs w:val="24"/>
              <w:lang w:val="en-US"/>
            </w:rPr>
            <w:instrText xml:space="preserve"> CITATION Agu19 \l 2057 </w:instrText>
          </w:r>
          <w:r w:rsidRPr="00AD1911">
            <w:rPr>
              <w:rFonts w:asciiTheme="majorBidi" w:hAnsiTheme="majorBidi" w:cstheme="majorBidi"/>
              <w:sz w:val="24"/>
              <w:szCs w:val="24"/>
            </w:rPr>
            <w:fldChar w:fldCharType="separate"/>
          </w:r>
          <w:r w:rsidRPr="00AD1911">
            <w:rPr>
              <w:rFonts w:asciiTheme="majorBidi" w:hAnsiTheme="majorBidi" w:cstheme="majorBidi"/>
              <w:sz w:val="24"/>
              <w:szCs w:val="24"/>
              <w:lang w:val="en-US"/>
            </w:rPr>
            <w:t xml:space="preserve"> (Aguirre-Urreta &amp; Hu, 2019)</w:t>
          </w:r>
          <w:r w:rsidRPr="00AD1911">
            <w:rPr>
              <w:rFonts w:asciiTheme="majorBidi" w:hAnsiTheme="majorBidi" w:cstheme="majorBidi"/>
              <w:sz w:val="24"/>
              <w:szCs w:val="24"/>
            </w:rPr>
            <w:fldChar w:fldCharType="end"/>
          </w:r>
        </w:sdtContent>
      </w:sdt>
      <w:r w:rsidRPr="00AD1911">
        <w:rPr>
          <w:rFonts w:asciiTheme="majorBidi" w:hAnsiTheme="majorBidi" w:cstheme="majorBidi"/>
          <w:sz w:val="24"/>
          <w:szCs w:val="24"/>
        </w:rPr>
        <w:t>. The below table presents the results of Harman’s single factor test. The results of Harman’s single factor test revealed below that the variance extracted for a single factor is 45.29% which is less than 50%</w:t>
      </w:r>
      <w:r w:rsidR="00242BE0">
        <w:rPr>
          <w:rFonts w:asciiTheme="majorBidi" w:hAnsiTheme="majorBidi" w:cstheme="majorBidi"/>
          <w:sz w:val="24"/>
          <w:szCs w:val="24"/>
        </w:rPr>
        <w:t>;</w:t>
      </w:r>
      <w:r w:rsidRPr="00AD1911">
        <w:rPr>
          <w:rFonts w:asciiTheme="majorBidi" w:hAnsiTheme="majorBidi" w:cstheme="majorBidi"/>
          <w:sz w:val="24"/>
          <w:szCs w:val="24"/>
        </w:rPr>
        <w:t xml:space="preserve"> hence</w:t>
      </w:r>
      <w:r w:rsidR="00242BE0">
        <w:rPr>
          <w:rFonts w:asciiTheme="majorBidi" w:hAnsiTheme="majorBidi" w:cstheme="majorBidi"/>
          <w:sz w:val="24"/>
          <w:szCs w:val="24"/>
        </w:rPr>
        <w:t>,</w:t>
      </w:r>
      <w:r w:rsidRPr="00AD1911">
        <w:rPr>
          <w:rFonts w:asciiTheme="majorBidi" w:hAnsiTheme="majorBidi" w:cstheme="majorBidi"/>
          <w:sz w:val="24"/>
          <w:szCs w:val="24"/>
        </w:rPr>
        <w:t xml:space="preserve"> CMB is not a problem in this study’s</w:t>
      </w:r>
      <w:r w:rsidR="00242BE0">
        <w:rPr>
          <w:rFonts w:asciiTheme="majorBidi" w:hAnsiTheme="majorBidi" w:cstheme="majorBidi"/>
          <w:sz w:val="24"/>
          <w:szCs w:val="24"/>
        </w:rPr>
        <w:t xml:space="preserve"> final</w:t>
      </w:r>
      <w:r w:rsidRPr="00AD1911">
        <w:rPr>
          <w:rFonts w:asciiTheme="majorBidi" w:hAnsiTheme="majorBidi" w:cstheme="majorBidi"/>
          <w:sz w:val="24"/>
          <w:szCs w:val="24"/>
        </w:rPr>
        <w:t xml:space="preserve"> data.</w:t>
      </w:r>
    </w:p>
    <w:p w14:paraId="27E5521C" w14:textId="77777777" w:rsidR="00511634" w:rsidRDefault="00511634">
      <w:r>
        <w:br w:type="page"/>
      </w:r>
    </w:p>
    <w:tbl>
      <w:tblPr>
        <w:tblW w:w="8363"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708"/>
        <w:gridCol w:w="1276"/>
        <w:gridCol w:w="1418"/>
        <w:gridCol w:w="833"/>
        <w:gridCol w:w="868"/>
        <w:gridCol w:w="1559"/>
      </w:tblGrid>
      <w:tr w:rsidR="004B5B0F" w:rsidRPr="00D53E24" w14:paraId="339F544D" w14:textId="77777777" w:rsidTr="004B44B9">
        <w:trPr>
          <w:cantSplit/>
        </w:trPr>
        <w:tc>
          <w:tcPr>
            <w:tcW w:w="8363" w:type="dxa"/>
            <w:gridSpan w:val="7"/>
            <w:tcBorders>
              <w:top w:val="nil"/>
              <w:left w:val="nil"/>
              <w:bottom w:val="single" w:sz="4" w:space="0" w:color="auto"/>
              <w:right w:val="nil"/>
            </w:tcBorders>
            <w:shd w:val="clear" w:color="auto" w:fill="FFFFFF"/>
            <w:vAlign w:val="center"/>
          </w:tcPr>
          <w:p w14:paraId="7AB60308" w14:textId="03E29E73" w:rsidR="004B5B0F" w:rsidRPr="00D53E24" w:rsidRDefault="004B5B0F" w:rsidP="00EE460F">
            <w:pPr>
              <w:autoSpaceDE w:val="0"/>
              <w:autoSpaceDN w:val="0"/>
              <w:adjustRightInd w:val="0"/>
              <w:spacing w:after="0" w:line="320" w:lineRule="atLeast"/>
              <w:ind w:right="60"/>
              <w:rPr>
                <w:rFonts w:asciiTheme="majorBidi" w:hAnsiTheme="majorBidi" w:cstheme="majorBidi"/>
                <w:color w:val="000000"/>
                <w:kern w:val="0"/>
                <w:sz w:val="20"/>
                <w:szCs w:val="20"/>
              </w:rPr>
            </w:pPr>
          </w:p>
        </w:tc>
      </w:tr>
      <w:tr w:rsidR="004B5B0F" w:rsidRPr="00D53E24" w14:paraId="566FE4F2" w14:textId="77777777" w:rsidTr="004B44B9">
        <w:trPr>
          <w:cantSplit/>
        </w:trPr>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271D456"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Component</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63EB89DB" w14:textId="77777777" w:rsidR="004B5B0F" w:rsidRPr="00D53E24" w:rsidRDefault="004B5B0F" w:rsidP="008D0DBB">
            <w:pPr>
              <w:autoSpaceDE w:val="0"/>
              <w:autoSpaceDN w:val="0"/>
              <w:adjustRightInd w:val="0"/>
              <w:spacing w:after="0" w:line="320" w:lineRule="atLeast"/>
              <w:ind w:left="60" w:right="60"/>
              <w:jc w:val="center"/>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Initial Eigenvalues</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E14939D" w14:textId="77777777" w:rsidR="004B5B0F" w:rsidRPr="00D53E24" w:rsidRDefault="004B5B0F" w:rsidP="008D0DBB">
            <w:pPr>
              <w:autoSpaceDE w:val="0"/>
              <w:autoSpaceDN w:val="0"/>
              <w:adjustRightInd w:val="0"/>
              <w:spacing w:after="0" w:line="320" w:lineRule="atLeast"/>
              <w:ind w:left="60" w:right="60"/>
              <w:jc w:val="center"/>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Extraction Sums of Squared Loadings</w:t>
            </w:r>
          </w:p>
        </w:tc>
      </w:tr>
      <w:tr w:rsidR="004B5B0F" w:rsidRPr="00D53E24" w14:paraId="24ABA1BB" w14:textId="77777777" w:rsidTr="004B44B9">
        <w:trPr>
          <w:cantSplit/>
        </w:trPr>
        <w:tc>
          <w:tcPr>
            <w:tcW w:w="1701" w:type="dxa"/>
            <w:vMerge/>
            <w:tcBorders>
              <w:top w:val="single" w:sz="4" w:space="0" w:color="auto"/>
              <w:left w:val="single" w:sz="4" w:space="0" w:color="auto"/>
              <w:bottom w:val="single" w:sz="4" w:space="0" w:color="auto"/>
              <w:right w:val="single" w:sz="4" w:space="0" w:color="auto"/>
            </w:tcBorders>
            <w:shd w:val="clear" w:color="auto" w:fill="FFFFFF"/>
            <w:vAlign w:val="bottom"/>
          </w:tcPr>
          <w:p w14:paraId="1DAEFBDF" w14:textId="77777777" w:rsidR="004B5B0F" w:rsidRPr="00D53E24" w:rsidRDefault="004B5B0F" w:rsidP="008D0DBB">
            <w:pPr>
              <w:autoSpaceDE w:val="0"/>
              <w:autoSpaceDN w:val="0"/>
              <w:adjustRightInd w:val="0"/>
              <w:spacing w:after="0" w:line="240" w:lineRule="auto"/>
              <w:rPr>
                <w:rFonts w:asciiTheme="majorBidi" w:hAnsiTheme="majorBidi" w:cstheme="majorBidi"/>
                <w:color w:val="000000"/>
                <w:kern w:val="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14:paraId="5D015953" w14:textId="77777777" w:rsidR="004B5B0F" w:rsidRPr="00D53E24" w:rsidRDefault="004B5B0F" w:rsidP="008D0DBB">
            <w:pPr>
              <w:autoSpaceDE w:val="0"/>
              <w:autoSpaceDN w:val="0"/>
              <w:adjustRightInd w:val="0"/>
              <w:spacing w:after="0" w:line="320" w:lineRule="atLeast"/>
              <w:ind w:left="60" w:right="60"/>
              <w:jc w:val="center"/>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14:paraId="17CCB1A7" w14:textId="77777777" w:rsidR="004B5B0F" w:rsidRPr="00D53E24" w:rsidRDefault="004B5B0F" w:rsidP="008D0DBB">
            <w:pPr>
              <w:autoSpaceDE w:val="0"/>
              <w:autoSpaceDN w:val="0"/>
              <w:adjustRightInd w:val="0"/>
              <w:spacing w:after="0" w:line="320" w:lineRule="atLeast"/>
              <w:ind w:left="60" w:right="60"/>
              <w:jc w:val="center"/>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 of Variance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2C807BF" w14:textId="77777777" w:rsidR="004B5B0F" w:rsidRPr="00D53E24" w:rsidRDefault="004B5B0F" w:rsidP="008D0DBB">
            <w:pPr>
              <w:autoSpaceDE w:val="0"/>
              <w:autoSpaceDN w:val="0"/>
              <w:adjustRightInd w:val="0"/>
              <w:spacing w:after="0" w:line="320" w:lineRule="atLeast"/>
              <w:ind w:left="60" w:right="60"/>
              <w:jc w:val="center"/>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Cumulative %</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bottom"/>
          </w:tcPr>
          <w:p w14:paraId="6EDDE713" w14:textId="77777777" w:rsidR="004B5B0F" w:rsidRPr="00D53E24" w:rsidRDefault="004B5B0F" w:rsidP="008D0DBB">
            <w:pPr>
              <w:autoSpaceDE w:val="0"/>
              <w:autoSpaceDN w:val="0"/>
              <w:adjustRightInd w:val="0"/>
              <w:spacing w:after="0" w:line="320" w:lineRule="atLeast"/>
              <w:ind w:left="60" w:right="60"/>
              <w:jc w:val="center"/>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Total</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bottom"/>
          </w:tcPr>
          <w:p w14:paraId="51F6C90D" w14:textId="77777777" w:rsidR="004B5B0F" w:rsidRPr="00D53E24" w:rsidRDefault="004B5B0F" w:rsidP="008D0DBB">
            <w:pPr>
              <w:autoSpaceDE w:val="0"/>
              <w:autoSpaceDN w:val="0"/>
              <w:adjustRightInd w:val="0"/>
              <w:spacing w:after="0" w:line="320" w:lineRule="atLeast"/>
              <w:ind w:left="60" w:right="60"/>
              <w:jc w:val="center"/>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 of Variance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14:paraId="038BC906" w14:textId="77777777" w:rsidR="004B5B0F" w:rsidRPr="00D53E24" w:rsidRDefault="004B5B0F" w:rsidP="008D0DBB">
            <w:pPr>
              <w:autoSpaceDE w:val="0"/>
              <w:autoSpaceDN w:val="0"/>
              <w:adjustRightInd w:val="0"/>
              <w:spacing w:after="0" w:line="320" w:lineRule="atLeast"/>
              <w:ind w:left="60" w:right="60"/>
              <w:jc w:val="center"/>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Cumulative %</w:t>
            </w:r>
          </w:p>
        </w:tc>
      </w:tr>
      <w:tr w:rsidR="004B5B0F" w:rsidRPr="00D53E24" w14:paraId="3325D989"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67683F66"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5551C4D"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20.381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2B6D3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45.291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08EBFC"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45.291</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6F51EDB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20.381</w:t>
            </w: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3518CCFC"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45.291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37CBB3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45.291</w:t>
            </w:r>
          </w:p>
        </w:tc>
      </w:tr>
      <w:tr w:rsidR="004B5B0F" w:rsidRPr="00D53E24" w14:paraId="1E12D7B9"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4E171FFB"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832B76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4.091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B2AE6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9.092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D88F69"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54.383</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280296C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065EE58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197227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5B85670E"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3EAA488"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B6CFF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2.566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54C45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5.701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FE266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60.084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1E136E72"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6A80D40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529E0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0DA97AC1"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7CF6F4F"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BEE00C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1.549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A03B97"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3.442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1AE84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63.526</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7D4D85CA"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21297B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52E86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31FD4067"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39D6E35A"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3DCD81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1.534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5B2035"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3.409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EF6507"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66.935</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0F0373D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1280D99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27B2A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27CA23FA"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B9C8EF3"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024F0D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1.188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377B6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2.639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85494D"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69.574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759DBA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D4B5BF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151B6E"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158001A7"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10D2FF92"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A33E0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1.015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FA95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2.255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61940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71.829</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1A77B2D2"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7D13EE9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0B40713"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075A9B21"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6ACC1B6A"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3449C3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.964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2AD9F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2.142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8F840E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73.971</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36DEC0E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1A9B0F6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A984DB"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5C4DE918"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39FE0519"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1166E3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.835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8E2D09"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1.856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6286F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75.827</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7DF88C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358EB06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123A2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1D3FB004"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33F43262"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3DAC5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.782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08B40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1.739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EE91FC"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77.566</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266341B2"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48DC18A3"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EAA104A"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4C23E3DB"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F5047B8"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5DC358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FDA9F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1.638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6F797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79.204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2892F42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8ACC7D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77C71BC"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1810EB02"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17E928FE"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6D6695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94435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1.525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E8297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80.729</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498A7671"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5FEEB533"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AA51CC"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109F929A"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C1474C8"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D0FA5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.654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1FD13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1.454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AA9F20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82.183</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4B63E6C"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6E858D33"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86C0C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44DB3746"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4C7E9C6"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46023E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.595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4D252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1.322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96849B"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83.505</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2A6A26CC"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455F1695"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F22DF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565F4A87"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8E455B8"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AB92CC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.542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F81D0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1.205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57E2847"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84.710</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73DBEF0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576CD09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8AA81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29E185D8"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0BB0485"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1A9363C"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.515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92866C"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1.145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3BA2E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85.855</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45E5E85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0100D4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2DA404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39533B1B"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4BD867F7"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81946EC"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.466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C29D8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1.035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2337E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86.890</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F24D1F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298C9C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819C3A"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540829A3"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490F5313"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BF2D8B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6FE18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1.016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2AFE97"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87.906</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D758979"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0127BDA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A3693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63241B54"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83242AE"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B34FFB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.427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4264D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.948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23A51D"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88.854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7B81F99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444FF3B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456442"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4D815130"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7B39602C"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32B5F15"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EBA67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.842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85CC93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89.696</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3A9F209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05B2E94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ABEBC9"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0C4D7930"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7514901A"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0E92457"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.369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23F0D9"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.819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DBAD7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90.515</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029A992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7FF24EB9"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C2FC15"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413967E0"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132EEBD3"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A19B8C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.353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D24379"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.785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8732DA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91.300</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75AA6DE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648016E"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6B94D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21FDDC9D"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252D491"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EB1907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.325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013F77"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.722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3EC7E3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92.023</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22B2D07C"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40F4E9FB"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C12039"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71E34E3A"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3052577"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77B031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.299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31B64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.665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29F15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92.688</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471BAD7B"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0BDB279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8AB8E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645C603D"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383CF3CB"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617BC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.284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D7452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.631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884052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93.319</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7BC5FD1B"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758BFC8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62B8E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7438ECBC"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46E4FAB2"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972662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.262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C5470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.582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418F4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93.901</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4121C30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47439452"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69DF12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07B72568"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46DECF66"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CC7537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.238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DB080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.530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CED25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94.431</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4F678A53"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523279A1"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70E96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4A34A40F"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1822CC8B"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A0DA819"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.234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F6720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.520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80E05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94.951</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382C329E"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129EA14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A9DFE6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5B75D58C"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60869E9A"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77F5AE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CF2B67"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.475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C1064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95.426</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491BA9CA"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454D80DA"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54F633"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3AC20770"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28E3F97"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62A54A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.201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FD76FD"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.447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6CA7ADC"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95.873</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00D8378C"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01D79F6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09CB1E"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093A2304"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40A4347F"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67EB9A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.190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A66EB3"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.422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F1BA3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96.295</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7982C80B"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94140F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765033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446C3F82"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165DFA7E"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E5F636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.185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763A85"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AFC5B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96.707</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38404583"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14B77235"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A516E5"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01549DCF"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07CD42C9"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887C35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5E459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.377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AA068E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97.084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66E6395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932B85E"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D7A7F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6F8CB248"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636BC35"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CDF04F7"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.167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E303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.371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1B895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97.455</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A701C3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19F7511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EFDA0B"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1B268ECD"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03A06FA4"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CE7A73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.152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07C60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.338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43A4A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97.793</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D0F518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FB8C712"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B9DB7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5DE2052F"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31410506"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6A73A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.144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E3712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.321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79F5A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98.114</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0DD2293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5283EE22"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536F4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35240DA3"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42EDD3F6"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8E94FD2"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.134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A801C1"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.298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583A7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98.412</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6CC853B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5C40041E"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EEAEA1D"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760B0936"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432BFB69"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958B2C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.128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CF48A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.284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D22BF4D"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98.696</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6911D33F"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6BE215D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6CBFE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1480CF93"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06D45F8"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39</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B21FD8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090ED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.254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8B61A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98.950</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6E2D9D01"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66ED2AB1"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8BC7E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744AE828"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CA7E809"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07D6C7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B82C1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.237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7F392F"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99.186</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65C16B9B"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484A079B"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129E2C"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3741261C"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78B92F21"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41</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351F4B4"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.096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259700"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.214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1EAD5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99.400</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6ECFAB5"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5C5AE7C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67A274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0ACCCE7E"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95FC1CF"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99B0089"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.081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70558B"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8EA42B"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99.580</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53CC3F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17369301"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B250A7"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12B470E1"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6E1A779C"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86B9296"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.073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E34229"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.161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6DE52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99.741</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60FDD7B9"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0549AF06"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CC3259"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76EBF0AE" w14:textId="77777777" w:rsidTr="004B44B9">
        <w:trPr>
          <w:cantSplit/>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2F5B149F"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432EA08"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.066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491FAE"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.147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5129D5"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99.888</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54BE9F21"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2FEB8B2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A465305"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r w:rsidR="004B5B0F" w:rsidRPr="00D53E24" w14:paraId="70F7B283" w14:textId="77777777" w:rsidTr="00511634">
        <w:trPr>
          <w:cantSplit/>
          <w:trHeight w:val="75"/>
        </w:trPr>
        <w:tc>
          <w:tcPr>
            <w:tcW w:w="1701" w:type="dxa"/>
            <w:tcBorders>
              <w:top w:val="single" w:sz="4" w:space="0" w:color="auto"/>
              <w:left w:val="single" w:sz="4" w:space="0" w:color="auto"/>
              <w:bottom w:val="single" w:sz="4" w:space="0" w:color="auto"/>
              <w:right w:val="single" w:sz="4" w:space="0" w:color="auto"/>
            </w:tcBorders>
            <w:shd w:val="clear" w:color="auto" w:fill="FFFFFF"/>
          </w:tcPr>
          <w:p w14:paraId="547D4BCE" w14:textId="77777777" w:rsidR="004B5B0F" w:rsidRPr="00D53E24" w:rsidRDefault="004B5B0F" w:rsidP="008D0DBB">
            <w:pPr>
              <w:autoSpaceDE w:val="0"/>
              <w:autoSpaceDN w:val="0"/>
              <w:adjustRightInd w:val="0"/>
              <w:spacing w:after="0" w:line="320" w:lineRule="atLeast"/>
              <w:ind w:left="60" w:right="60"/>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45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5D1FCC5"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.050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DAF0BA"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.112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51DD45" w14:textId="77777777" w:rsidR="004B5B0F" w:rsidRPr="00D53E24" w:rsidRDefault="004B5B0F" w:rsidP="008D0DBB">
            <w:pPr>
              <w:autoSpaceDE w:val="0"/>
              <w:autoSpaceDN w:val="0"/>
              <w:adjustRightInd w:val="0"/>
              <w:spacing w:after="0" w:line="320" w:lineRule="atLeast"/>
              <w:ind w:left="60" w:right="60"/>
              <w:jc w:val="right"/>
              <w:rPr>
                <w:rFonts w:asciiTheme="majorBidi" w:hAnsiTheme="majorBidi" w:cstheme="majorBidi"/>
                <w:color w:val="000000"/>
                <w:kern w:val="0"/>
                <w:sz w:val="20"/>
                <w:szCs w:val="20"/>
              </w:rPr>
            </w:pPr>
            <w:r w:rsidRPr="00D53E24">
              <w:rPr>
                <w:rFonts w:asciiTheme="majorBidi" w:hAnsiTheme="majorBidi" w:cstheme="majorBidi"/>
                <w:color w:val="000000"/>
                <w:kern w:val="0"/>
                <w:sz w:val="20"/>
                <w:szCs w:val="20"/>
              </w:rPr>
              <w:t>100.000</w:t>
            </w:r>
          </w:p>
        </w:tc>
        <w:tc>
          <w:tcPr>
            <w:tcW w:w="833" w:type="dxa"/>
            <w:tcBorders>
              <w:top w:val="single" w:sz="4" w:space="0" w:color="auto"/>
              <w:left w:val="single" w:sz="4" w:space="0" w:color="auto"/>
              <w:bottom w:val="single" w:sz="4" w:space="0" w:color="auto"/>
              <w:right w:val="single" w:sz="4" w:space="0" w:color="auto"/>
            </w:tcBorders>
            <w:shd w:val="clear" w:color="auto" w:fill="FFFFFF"/>
            <w:vAlign w:val="center"/>
          </w:tcPr>
          <w:p w14:paraId="7CA287C4"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868" w:type="dxa"/>
            <w:tcBorders>
              <w:top w:val="single" w:sz="4" w:space="0" w:color="auto"/>
              <w:left w:val="single" w:sz="4" w:space="0" w:color="auto"/>
              <w:bottom w:val="single" w:sz="4" w:space="0" w:color="auto"/>
              <w:right w:val="single" w:sz="4" w:space="0" w:color="auto"/>
            </w:tcBorders>
            <w:shd w:val="clear" w:color="auto" w:fill="FFFFFF"/>
            <w:vAlign w:val="center"/>
          </w:tcPr>
          <w:p w14:paraId="023F5308"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26111E0" w14:textId="77777777" w:rsidR="004B5B0F" w:rsidRPr="00D53E24" w:rsidRDefault="004B5B0F" w:rsidP="008D0DBB">
            <w:pPr>
              <w:autoSpaceDE w:val="0"/>
              <w:autoSpaceDN w:val="0"/>
              <w:adjustRightInd w:val="0"/>
              <w:spacing w:after="0" w:line="240" w:lineRule="auto"/>
              <w:rPr>
                <w:rFonts w:asciiTheme="majorBidi" w:hAnsiTheme="majorBidi" w:cstheme="majorBidi"/>
                <w:kern w:val="0"/>
                <w:sz w:val="20"/>
                <w:szCs w:val="20"/>
              </w:rPr>
            </w:pPr>
          </w:p>
        </w:tc>
      </w:tr>
    </w:tbl>
    <w:p w14:paraId="30897440" w14:textId="6ADF4184" w:rsidR="006E435C" w:rsidRPr="006E435C" w:rsidRDefault="006E435C" w:rsidP="009661B6">
      <w:pPr>
        <w:pStyle w:val="Caption"/>
      </w:pPr>
      <w:r>
        <w:t>Table 1</w:t>
      </w:r>
      <w:r w:rsidR="00044DE9">
        <w:t>9</w:t>
      </w:r>
      <w:r>
        <w:t>* Total Variance</w:t>
      </w:r>
      <w:r>
        <w:br/>
      </w:r>
      <w:r w:rsidRPr="006E435C">
        <w:rPr>
          <w:i w:val="0"/>
          <w:iCs w:val="0"/>
        </w:rPr>
        <w:t>*Extraction Method: Principal Component Analysis</w:t>
      </w:r>
    </w:p>
    <w:p w14:paraId="621D4B7B" w14:textId="4750EC6D"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8</w:t>
      </w:r>
      <w:r>
        <w:rPr>
          <w:rFonts w:asciiTheme="majorBidi" w:hAnsiTheme="majorBidi" w:cstheme="majorBidi"/>
          <w:b/>
          <w:bCs/>
          <w:sz w:val="24"/>
          <w:szCs w:val="24"/>
        </w:rPr>
        <w:t xml:space="preserve"> </w:t>
      </w:r>
      <w:r w:rsidRPr="008D75D3">
        <w:rPr>
          <w:rFonts w:asciiTheme="majorBidi" w:hAnsiTheme="majorBidi" w:cstheme="majorBidi"/>
          <w:b/>
          <w:bCs/>
          <w:sz w:val="24"/>
          <w:szCs w:val="24"/>
        </w:rPr>
        <w:t>Creating indicators</w:t>
      </w:r>
    </w:p>
    <w:p w14:paraId="18E59862" w14:textId="1BCF363B" w:rsidR="00D65FF6" w:rsidRPr="008D75D3" w:rsidRDefault="00D65FF6" w:rsidP="00D65FF6">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Creating indicators is a s</w:t>
      </w:r>
      <w:r w:rsidRPr="008D75D3">
        <w:rPr>
          <w:rFonts w:asciiTheme="majorBidi" w:hAnsiTheme="majorBidi" w:cstheme="majorBidi"/>
          <w:sz w:val="24"/>
          <w:szCs w:val="24"/>
        </w:rPr>
        <w:t>tatistical technique to combine group</w:t>
      </w:r>
      <w:r w:rsidR="00242BE0">
        <w:rPr>
          <w:rFonts w:asciiTheme="majorBidi" w:hAnsiTheme="majorBidi" w:cstheme="majorBidi"/>
          <w:sz w:val="24"/>
          <w:szCs w:val="24"/>
        </w:rPr>
        <w:t>s</w:t>
      </w:r>
      <w:r w:rsidRPr="008D75D3">
        <w:rPr>
          <w:rFonts w:asciiTheme="majorBidi" w:hAnsiTheme="majorBidi" w:cstheme="majorBidi"/>
          <w:sz w:val="24"/>
          <w:szCs w:val="24"/>
        </w:rPr>
        <w:t xml:space="preserve"> of related questions (or factors) in one indicator</w:t>
      </w:r>
      <w:sdt>
        <w:sdtPr>
          <w:rPr>
            <w:rFonts w:asciiTheme="majorBidi" w:hAnsiTheme="majorBidi" w:cstheme="majorBidi"/>
            <w:sz w:val="24"/>
            <w:szCs w:val="24"/>
          </w:rPr>
          <w:id w:val="-13179665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Abb22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(Abberger, Graff, Müller, &amp; Sturm, 2022)</w:t>
          </w:r>
          <w:r>
            <w:rPr>
              <w:rFonts w:asciiTheme="majorBidi" w:hAnsiTheme="majorBidi" w:cstheme="majorBidi"/>
              <w:sz w:val="24"/>
              <w:szCs w:val="24"/>
            </w:rPr>
            <w:fldChar w:fldCharType="end"/>
          </w:r>
        </w:sdtContent>
      </w:sdt>
      <w:r w:rsidRPr="008D75D3">
        <w:rPr>
          <w:rFonts w:asciiTheme="majorBidi" w:hAnsiTheme="majorBidi" w:cstheme="majorBidi"/>
          <w:sz w:val="24"/>
          <w:szCs w:val="24"/>
        </w:rPr>
        <w:t>. The indicators are composed by using equal weights method</w:t>
      </w:r>
      <w:sdt>
        <w:sdtPr>
          <w:rPr>
            <w:rFonts w:asciiTheme="majorBidi" w:hAnsiTheme="majorBidi" w:cstheme="majorBidi"/>
            <w:sz w:val="24"/>
            <w:szCs w:val="24"/>
          </w:rPr>
          <w:id w:val="74091514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Bec17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(Becker, Saisana, Paruolo, &amp; Vandecasteele, 2017)</w:t>
          </w:r>
          <w:r>
            <w:rPr>
              <w:rFonts w:asciiTheme="majorBidi" w:hAnsiTheme="majorBidi" w:cstheme="majorBidi"/>
              <w:sz w:val="24"/>
              <w:szCs w:val="24"/>
            </w:rPr>
            <w:fldChar w:fldCharType="end"/>
          </w:r>
        </w:sdtContent>
      </w:sdt>
      <w:r w:rsidRPr="008D75D3">
        <w:rPr>
          <w:rFonts w:asciiTheme="majorBidi" w:hAnsiTheme="majorBidi" w:cstheme="majorBidi"/>
          <w:sz w:val="24"/>
          <w:szCs w:val="24"/>
        </w:rPr>
        <w:t xml:space="preserve">. </w:t>
      </w:r>
      <w:r>
        <w:rPr>
          <w:rFonts w:asciiTheme="majorBidi" w:hAnsiTheme="majorBidi" w:cstheme="majorBidi"/>
          <w:sz w:val="24"/>
          <w:szCs w:val="24"/>
        </w:rPr>
        <w:t>E</w:t>
      </w:r>
      <w:r w:rsidRPr="008D75D3">
        <w:rPr>
          <w:rFonts w:asciiTheme="majorBidi" w:hAnsiTheme="majorBidi" w:cstheme="majorBidi"/>
          <w:sz w:val="24"/>
          <w:szCs w:val="24"/>
        </w:rPr>
        <w:t>ach indicator is calculated by adding the scores of questions which are related to this indicator, and then this sum is divided by the number of related questions.</w:t>
      </w:r>
      <w:r>
        <w:rPr>
          <w:rFonts w:asciiTheme="majorBidi" w:hAnsiTheme="majorBidi" w:cstheme="majorBidi"/>
          <w:sz w:val="24"/>
          <w:szCs w:val="24"/>
        </w:rPr>
        <w:t xml:space="preserve"> </w:t>
      </w:r>
      <w:r w:rsidRPr="008D75D3">
        <w:rPr>
          <w:rFonts w:asciiTheme="majorBidi" w:hAnsiTheme="majorBidi" w:cstheme="majorBidi"/>
          <w:sz w:val="24"/>
          <w:szCs w:val="24"/>
        </w:rPr>
        <w:t>These created indicators are used in answering the hypotheses. In this research</w:t>
      </w:r>
      <w:r w:rsidR="005918C9">
        <w:rPr>
          <w:rFonts w:asciiTheme="majorBidi" w:hAnsiTheme="majorBidi" w:cstheme="majorBidi"/>
          <w:sz w:val="24"/>
          <w:szCs w:val="24"/>
        </w:rPr>
        <w:t xml:space="preserve">, </w:t>
      </w:r>
      <w:r w:rsidRPr="008D75D3">
        <w:rPr>
          <w:rFonts w:asciiTheme="majorBidi" w:hAnsiTheme="majorBidi" w:cstheme="majorBidi"/>
          <w:sz w:val="24"/>
          <w:szCs w:val="24"/>
        </w:rPr>
        <w:t>7 indicators are calculated</w:t>
      </w:r>
      <w:r>
        <w:rPr>
          <w:rFonts w:asciiTheme="majorBidi" w:hAnsiTheme="majorBidi" w:cstheme="majorBidi"/>
          <w:sz w:val="24"/>
          <w:szCs w:val="24"/>
        </w:rPr>
        <w:t xml:space="preserve"> (refer to the first column of table </w:t>
      </w:r>
      <w:r w:rsidR="008F5D43">
        <w:rPr>
          <w:rFonts w:asciiTheme="majorBidi" w:hAnsiTheme="majorBidi" w:cstheme="majorBidi"/>
          <w:sz w:val="24"/>
          <w:szCs w:val="24"/>
        </w:rPr>
        <w:t>17</w:t>
      </w:r>
      <w:r>
        <w:rPr>
          <w:rFonts w:asciiTheme="majorBidi" w:hAnsiTheme="majorBidi" w:cstheme="majorBidi"/>
          <w:sz w:val="24"/>
          <w:szCs w:val="24"/>
        </w:rPr>
        <w:t>)</w:t>
      </w:r>
      <w:r w:rsidRPr="008D75D3">
        <w:rPr>
          <w:rFonts w:asciiTheme="majorBidi" w:hAnsiTheme="majorBidi" w:cstheme="majorBidi"/>
          <w:sz w:val="24"/>
          <w:szCs w:val="24"/>
        </w:rPr>
        <w:t xml:space="preserve">. </w:t>
      </w:r>
      <w:r>
        <w:rPr>
          <w:rFonts w:asciiTheme="majorBidi" w:hAnsiTheme="majorBidi" w:cstheme="majorBidi"/>
          <w:sz w:val="24"/>
          <w:szCs w:val="24"/>
        </w:rPr>
        <w:t xml:space="preserve"> </w:t>
      </w:r>
    </w:p>
    <w:p w14:paraId="3B13B441" w14:textId="3DD5EB98"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sidRPr="008D75D3">
        <w:rPr>
          <w:rFonts w:asciiTheme="majorBidi" w:hAnsiTheme="majorBidi" w:cstheme="majorBidi"/>
          <w:b/>
          <w:bCs/>
          <w:sz w:val="24"/>
          <w:szCs w:val="24"/>
        </w:rPr>
        <w:t xml:space="preserve"> Descriptive Statistics of Question</w:t>
      </w:r>
      <w:r w:rsidR="005918C9">
        <w:rPr>
          <w:rFonts w:asciiTheme="majorBidi" w:hAnsiTheme="majorBidi" w:cstheme="majorBidi"/>
          <w:b/>
          <w:bCs/>
          <w:sz w:val="24"/>
          <w:szCs w:val="24"/>
        </w:rPr>
        <w:t>s’</w:t>
      </w:r>
      <w:r w:rsidRPr="008D75D3">
        <w:rPr>
          <w:rFonts w:asciiTheme="majorBidi" w:hAnsiTheme="majorBidi" w:cstheme="majorBidi"/>
          <w:b/>
          <w:bCs/>
          <w:sz w:val="24"/>
          <w:szCs w:val="24"/>
        </w:rPr>
        <w:t xml:space="preserve"> Items and Constructs</w:t>
      </w:r>
    </w:p>
    <w:p w14:paraId="7DF6F47B" w14:textId="56D9015B" w:rsidR="00D65FF6" w:rsidRPr="00763FC6" w:rsidRDefault="00D65FF6" w:rsidP="00D65FF6">
      <w:pPr>
        <w:spacing w:line="480" w:lineRule="auto"/>
        <w:ind w:firstLine="720"/>
        <w:contextualSpacing/>
        <w:jc w:val="both"/>
        <w:rPr>
          <w:rFonts w:asciiTheme="majorBidi" w:hAnsiTheme="majorBidi" w:cstheme="majorBidi"/>
          <w:sz w:val="24"/>
          <w:szCs w:val="24"/>
        </w:rPr>
      </w:pPr>
      <w:r>
        <w:rPr>
          <w:rFonts w:asciiTheme="majorBidi" w:hAnsiTheme="majorBidi" w:cstheme="majorBidi"/>
          <w:sz w:val="24"/>
          <w:szCs w:val="24"/>
        </w:rPr>
        <w:t>This section provide</w:t>
      </w:r>
      <w:r w:rsidR="005918C9">
        <w:rPr>
          <w:rFonts w:asciiTheme="majorBidi" w:hAnsiTheme="majorBidi" w:cstheme="majorBidi"/>
          <w:sz w:val="24"/>
          <w:szCs w:val="24"/>
        </w:rPr>
        <w:t>s</w:t>
      </w:r>
      <w:r w:rsidRPr="008D75D3">
        <w:rPr>
          <w:rFonts w:asciiTheme="majorBidi" w:hAnsiTheme="majorBidi" w:cstheme="majorBidi"/>
          <w:sz w:val="24"/>
          <w:szCs w:val="24"/>
        </w:rPr>
        <w:t xml:space="preserve"> detailed descriptive statistics and analyses for each item of the model’s </w:t>
      </w:r>
      <w:r>
        <w:rPr>
          <w:rFonts w:asciiTheme="majorBidi" w:hAnsiTheme="majorBidi" w:cstheme="majorBidi"/>
          <w:sz w:val="24"/>
          <w:szCs w:val="24"/>
        </w:rPr>
        <w:t>i</w:t>
      </w:r>
      <w:r w:rsidRPr="008D75D3">
        <w:rPr>
          <w:rFonts w:asciiTheme="majorBidi" w:hAnsiTheme="majorBidi" w:cstheme="majorBidi"/>
          <w:sz w:val="24"/>
          <w:szCs w:val="24"/>
        </w:rPr>
        <w:t>ndependent, mediator and dependent construct</w:t>
      </w:r>
      <w:r w:rsidR="00242BE0">
        <w:rPr>
          <w:rFonts w:asciiTheme="majorBidi" w:hAnsiTheme="majorBidi" w:cstheme="majorBidi"/>
          <w:sz w:val="24"/>
          <w:szCs w:val="24"/>
        </w:rPr>
        <w:t>s</w:t>
      </w:r>
      <w:r>
        <w:rPr>
          <w:rFonts w:asciiTheme="majorBidi" w:hAnsiTheme="majorBidi" w:cstheme="majorBidi"/>
          <w:sz w:val="24"/>
          <w:szCs w:val="24"/>
        </w:rPr>
        <w:t>.</w:t>
      </w:r>
      <w:r w:rsidR="00EE460F">
        <w:rPr>
          <w:rFonts w:asciiTheme="majorBidi" w:hAnsiTheme="majorBidi" w:cstheme="majorBidi"/>
          <w:sz w:val="24"/>
          <w:szCs w:val="24"/>
        </w:rPr>
        <w:t xml:space="preserve"> </w:t>
      </w:r>
      <w:r w:rsidRPr="008D75D3">
        <w:rPr>
          <w:rFonts w:asciiTheme="majorBidi" w:hAnsiTheme="majorBidi" w:cstheme="majorBidi"/>
          <w:sz w:val="24"/>
          <w:szCs w:val="24"/>
        </w:rPr>
        <w:t>Th</w:t>
      </w:r>
      <w:r>
        <w:rPr>
          <w:rFonts w:asciiTheme="majorBidi" w:hAnsiTheme="majorBidi" w:cstheme="majorBidi"/>
          <w:sz w:val="24"/>
          <w:szCs w:val="24"/>
        </w:rPr>
        <w:t>is</w:t>
      </w:r>
      <w:r w:rsidRPr="008D75D3">
        <w:rPr>
          <w:rFonts w:asciiTheme="majorBidi" w:hAnsiTheme="majorBidi" w:cstheme="majorBidi"/>
          <w:sz w:val="24"/>
          <w:szCs w:val="24"/>
        </w:rPr>
        <w:t xml:space="preserve"> descriptive analysis is compr</w:t>
      </w:r>
      <w:r>
        <w:rPr>
          <w:rFonts w:asciiTheme="majorBidi" w:hAnsiTheme="majorBidi" w:cstheme="majorBidi"/>
          <w:sz w:val="24"/>
          <w:szCs w:val="24"/>
        </w:rPr>
        <w:t>om</w:t>
      </w:r>
      <w:r w:rsidRPr="008D75D3">
        <w:rPr>
          <w:rFonts w:asciiTheme="majorBidi" w:hAnsiTheme="majorBidi" w:cstheme="majorBidi"/>
          <w:sz w:val="24"/>
          <w:szCs w:val="24"/>
        </w:rPr>
        <w:t xml:space="preserve">ised of the following: frequencies, </w:t>
      </w:r>
      <w:r>
        <w:rPr>
          <w:rFonts w:asciiTheme="majorBidi" w:hAnsiTheme="majorBidi" w:cstheme="majorBidi"/>
          <w:sz w:val="24"/>
          <w:szCs w:val="24"/>
        </w:rPr>
        <w:t>m</w:t>
      </w:r>
      <w:r w:rsidRPr="008D75D3">
        <w:rPr>
          <w:rFonts w:asciiTheme="majorBidi" w:hAnsiTheme="majorBidi" w:cstheme="majorBidi"/>
          <w:sz w:val="24"/>
          <w:szCs w:val="24"/>
        </w:rPr>
        <w:t xml:space="preserve">ean, </w:t>
      </w:r>
      <w:r>
        <w:rPr>
          <w:rFonts w:asciiTheme="majorBidi" w:hAnsiTheme="majorBidi" w:cstheme="majorBidi"/>
          <w:sz w:val="24"/>
          <w:szCs w:val="24"/>
        </w:rPr>
        <w:t>s</w:t>
      </w:r>
      <w:r w:rsidRPr="008D75D3">
        <w:rPr>
          <w:rFonts w:asciiTheme="majorBidi" w:hAnsiTheme="majorBidi" w:cstheme="majorBidi"/>
          <w:sz w:val="24"/>
          <w:szCs w:val="24"/>
        </w:rPr>
        <w:t xml:space="preserve">tandard </w:t>
      </w:r>
      <w:r>
        <w:rPr>
          <w:rFonts w:asciiTheme="majorBidi" w:hAnsiTheme="majorBidi" w:cstheme="majorBidi"/>
          <w:sz w:val="24"/>
          <w:szCs w:val="24"/>
        </w:rPr>
        <w:t>d</w:t>
      </w:r>
      <w:r w:rsidRPr="008D75D3">
        <w:rPr>
          <w:rFonts w:asciiTheme="majorBidi" w:hAnsiTheme="majorBidi" w:cstheme="majorBidi"/>
          <w:sz w:val="24"/>
          <w:szCs w:val="24"/>
        </w:rPr>
        <w:t xml:space="preserve">eviation, minimum, and maximum for each question. </w:t>
      </w:r>
      <w:r w:rsidRPr="007A78E6">
        <w:rPr>
          <w:rFonts w:asciiTheme="majorBidi" w:hAnsiTheme="majorBidi" w:cstheme="majorBidi"/>
          <w:color w:val="2E2E2E"/>
          <w:sz w:val="24"/>
          <w:szCs w:val="24"/>
          <w:shd w:val="clear" w:color="auto" w:fill="FFFFFF"/>
        </w:rPr>
        <w:t xml:space="preserve">Examining descriptive statistics is important as it describes the </w:t>
      </w:r>
      <w:r w:rsidRPr="00242BE0">
        <w:rPr>
          <w:rFonts w:asciiTheme="majorBidi" w:hAnsiTheme="majorBidi" w:cstheme="majorBidi"/>
          <w:color w:val="2E2E2E"/>
          <w:sz w:val="24"/>
          <w:szCs w:val="24"/>
          <w:shd w:val="clear" w:color="auto" w:fill="FFFFFF"/>
        </w:rPr>
        <w:t>fundamental properties of the collected quantified data</w:t>
      </w:r>
      <w:sdt>
        <w:sdtPr>
          <w:rPr>
            <w:rFonts w:asciiTheme="majorBidi" w:hAnsiTheme="majorBidi" w:cstheme="majorBidi"/>
            <w:color w:val="2E2E2E"/>
            <w:sz w:val="24"/>
            <w:szCs w:val="24"/>
            <w:shd w:val="clear" w:color="auto" w:fill="FFFFFF"/>
          </w:rPr>
          <w:id w:val="-818334693"/>
          <w:citation/>
        </w:sdtPr>
        <w:sdtContent>
          <w:r w:rsidRPr="00242BE0">
            <w:rPr>
              <w:rFonts w:asciiTheme="majorBidi" w:hAnsiTheme="majorBidi" w:cstheme="majorBidi"/>
              <w:color w:val="2E2E2E"/>
              <w:sz w:val="24"/>
              <w:szCs w:val="24"/>
              <w:shd w:val="clear" w:color="auto" w:fill="FFFFFF"/>
            </w:rPr>
            <w:fldChar w:fldCharType="begin"/>
          </w:r>
          <w:r w:rsidRPr="00242BE0">
            <w:rPr>
              <w:rFonts w:asciiTheme="majorBidi" w:hAnsiTheme="majorBidi" w:cstheme="majorBidi"/>
              <w:color w:val="2E2E2E"/>
              <w:sz w:val="24"/>
              <w:szCs w:val="24"/>
              <w:shd w:val="clear" w:color="auto" w:fill="FFFFFF"/>
            </w:rPr>
            <w:instrText xml:space="preserve"> CITATION May17 \l 2057 </w:instrText>
          </w:r>
          <w:r w:rsidRPr="00242BE0">
            <w:rPr>
              <w:rFonts w:asciiTheme="majorBidi" w:hAnsiTheme="majorBidi" w:cstheme="majorBidi"/>
              <w:color w:val="2E2E2E"/>
              <w:sz w:val="24"/>
              <w:szCs w:val="24"/>
              <w:shd w:val="clear" w:color="auto" w:fill="FFFFFF"/>
            </w:rPr>
            <w:fldChar w:fldCharType="separate"/>
          </w:r>
          <w:r w:rsidRPr="00242BE0">
            <w:rPr>
              <w:rFonts w:asciiTheme="majorBidi" w:hAnsiTheme="majorBidi" w:cstheme="majorBidi"/>
              <w:noProof/>
              <w:color w:val="2E2E2E"/>
              <w:sz w:val="24"/>
              <w:szCs w:val="24"/>
              <w:shd w:val="clear" w:color="auto" w:fill="FFFFFF"/>
            </w:rPr>
            <w:t xml:space="preserve"> (May, 2017)</w:t>
          </w:r>
          <w:r w:rsidRPr="00242BE0">
            <w:rPr>
              <w:rFonts w:asciiTheme="majorBidi" w:hAnsiTheme="majorBidi" w:cstheme="majorBidi"/>
              <w:color w:val="2E2E2E"/>
              <w:sz w:val="24"/>
              <w:szCs w:val="24"/>
              <w:shd w:val="clear" w:color="auto" w:fill="FFFFFF"/>
            </w:rPr>
            <w:fldChar w:fldCharType="end"/>
          </w:r>
        </w:sdtContent>
      </w:sdt>
      <w:r w:rsidRPr="00242BE0">
        <w:rPr>
          <w:rFonts w:asciiTheme="majorBidi" w:hAnsiTheme="majorBidi" w:cstheme="majorBidi"/>
          <w:color w:val="2E2E2E"/>
          <w:sz w:val="24"/>
          <w:szCs w:val="24"/>
          <w:shd w:val="clear" w:color="auto" w:fill="FFFFFF"/>
        </w:rPr>
        <w:t>. This initial step facilitates the data to me as a researcher and to the readers by organi</w:t>
      </w:r>
      <w:r w:rsidR="00242BE0" w:rsidRPr="00242BE0">
        <w:rPr>
          <w:rFonts w:asciiTheme="majorBidi" w:hAnsiTheme="majorBidi" w:cstheme="majorBidi"/>
          <w:color w:val="2E2E2E"/>
          <w:sz w:val="24"/>
          <w:szCs w:val="24"/>
          <w:shd w:val="clear" w:color="auto" w:fill="FFFFFF"/>
        </w:rPr>
        <w:t>s</w:t>
      </w:r>
      <w:r w:rsidRPr="00242BE0">
        <w:rPr>
          <w:rFonts w:asciiTheme="majorBidi" w:hAnsiTheme="majorBidi" w:cstheme="majorBidi"/>
          <w:color w:val="2E2E2E"/>
          <w:sz w:val="24"/>
          <w:szCs w:val="24"/>
          <w:shd w:val="clear" w:color="auto" w:fill="FFFFFF"/>
        </w:rPr>
        <w:t>ing and summarising the data</w:t>
      </w:r>
      <w:sdt>
        <w:sdtPr>
          <w:rPr>
            <w:rFonts w:asciiTheme="majorBidi" w:hAnsiTheme="majorBidi" w:cstheme="majorBidi"/>
            <w:color w:val="2E2E2E"/>
            <w:sz w:val="24"/>
            <w:szCs w:val="24"/>
            <w:shd w:val="clear" w:color="auto" w:fill="FFFFFF"/>
          </w:rPr>
          <w:id w:val="76109246"/>
          <w:citation/>
        </w:sdtPr>
        <w:sdtContent>
          <w:r w:rsidRPr="00242BE0">
            <w:rPr>
              <w:rFonts w:asciiTheme="majorBidi" w:hAnsiTheme="majorBidi" w:cstheme="majorBidi"/>
              <w:color w:val="2E2E2E"/>
              <w:sz w:val="24"/>
              <w:szCs w:val="24"/>
              <w:shd w:val="clear" w:color="auto" w:fill="FFFFFF"/>
            </w:rPr>
            <w:fldChar w:fldCharType="begin"/>
          </w:r>
          <w:r w:rsidRPr="00242BE0">
            <w:rPr>
              <w:rFonts w:asciiTheme="majorBidi" w:hAnsiTheme="majorBidi" w:cstheme="majorBidi"/>
              <w:color w:val="2E2E2E"/>
              <w:sz w:val="24"/>
              <w:szCs w:val="24"/>
              <w:shd w:val="clear" w:color="auto" w:fill="FFFFFF"/>
            </w:rPr>
            <w:instrText xml:space="preserve"> CITATION Coo20 \l 2057 </w:instrText>
          </w:r>
          <w:r w:rsidRPr="00242BE0">
            <w:rPr>
              <w:rFonts w:asciiTheme="majorBidi" w:hAnsiTheme="majorBidi" w:cstheme="majorBidi"/>
              <w:color w:val="2E2E2E"/>
              <w:sz w:val="24"/>
              <w:szCs w:val="24"/>
              <w:shd w:val="clear" w:color="auto" w:fill="FFFFFF"/>
            </w:rPr>
            <w:fldChar w:fldCharType="separate"/>
          </w:r>
          <w:r w:rsidRPr="00242BE0">
            <w:rPr>
              <w:rFonts w:asciiTheme="majorBidi" w:hAnsiTheme="majorBidi" w:cstheme="majorBidi"/>
              <w:noProof/>
              <w:color w:val="2E2E2E"/>
              <w:sz w:val="24"/>
              <w:szCs w:val="24"/>
              <w:shd w:val="clear" w:color="auto" w:fill="FFFFFF"/>
            </w:rPr>
            <w:t xml:space="preserve"> (Cooksey, 2020)</w:t>
          </w:r>
          <w:r w:rsidRPr="00242BE0">
            <w:rPr>
              <w:rFonts w:asciiTheme="majorBidi" w:hAnsiTheme="majorBidi" w:cstheme="majorBidi"/>
              <w:color w:val="2E2E2E"/>
              <w:sz w:val="24"/>
              <w:szCs w:val="24"/>
              <w:shd w:val="clear" w:color="auto" w:fill="FFFFFF"/>
            </w:rPr>
            <w:fldChar w:fldCharType="end"/>
          </w:r>
        </w:sdtContent>
      </w:sdt>
      <w:r w:rsidR="00BD25CF">
        <w:rPr>
          <w:rFonts w:asciiTheme="majorBidi" w:hAnsiTheme="majorBidi" w:cstheme="majorBidi"/>
          <w:color w:val="2E2E2E"/>
          <w:sz w:val="24"/>
          <w:szCs w:val="24"/>
          <w:shd w:val="clear" w:color="auto" w:fill="FFFFFF"/>
        </w:rPr>
        <w:t>.</w:t>
      </w:r>
    </w:p>
    <w:p w14:paraId="060E0ED8" w14:textId="77CAB180"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.1 CSR and non-</w:t>
      </w:r>
      <w:r w:rsidRPr="008D75D3">
        <w:rPr>
          <w:rFonts w:asciiTheme="majorBidi" w:hAnsiTheme="majorBidi" w:cstheme="majorBidi"/>
          <w:b/>
          <w:bCs/>
          <w:sz w:val="24"/>
          <w:szCs w:val="24"/>
        </w:rPr>
        <w:t xml:space="preserve">CSR </w:t>
      </w:r>
      <w:r>
        <w:rPr>
          <w:rFonts w:asciiTheme="majorBidi" w:hAnsiTheme="majorBidi" w:cstheme="majorBidi"/>
          <w:b/>
          <w:bCs/>
          <w:sz w:val="24"/>
          <w:szCs w:val="24"/>
        </w:rPr>
        <w:t>Groups</w:t>
      </w:r>
    </w:p>
    <w:p w14:paraId="3E5881E1" w14:textId="60068BFB" w:rsidR="00D65FF6" w:rsidRPr="00834E03" w:rsidRDefault="00D65FF6" w:rsidP="008F5D43">
      <w:pPr>
        <w:spacing w:line="480" w:lineRule="auto"/>
        <w:ind w:firstLine="720"/>
        <w:contextualSpacing/>
        <w:jc w:val="both"/>
        <w:rPr>
          <w:rFonts w:asciiTheme="majorBidi" w:hAnsiTheme="majorBidi" w:cstheme="majorBidi"/>
          <w:sz w:val="24"/>
          <w:szCs w:val="24"/>
        </w:rPr>
      </w:pPr>
      <w:r>
        <w:rPr>
          <w:rFonts w:asciiTheme="majorBidi" w:hAnsiTheme="majorBidi" w:cstheme="majorBidi"/>
          <w:sz w:val="24"/>
          <w:szCs w:val="24"/>
        </w:rPr>
        <w:t>Based on</w:t>
      </w:r>
      <w:r w:rsidRPr="008D75D3">
        <w:rPr>
          <w:rFonts w:asciiTheme="majorBidi" w:hAnsiTheme="majorBidi" w:cstheme="majorBidi"/>
          <w:sz w:val="24"/>
          <w:szCs w:val="24"/>
        </w:rPr>
        <w:t xml:space="preserve"> the </w:t>
      </w:r>
      <w:r>
        <w:rPr>
          <w:rFonts w:asciiTheme="majorBidi" w:hAnsiTheme="majorBidi" w:cstheme="majorBidi"/>
          <w:sz w:val="24"/>
          <w:szCs w:val="24"/>
        </w:rPr>
        <w:t>below</w:t>
      </w:r>
      <w:r w:rsidRPr="008D75D3">
        <w:rPr>
          <w:rFonts w:asciiTheme="majorBidi" w:hAnsiTheme="majorBidi" w:cstheme="majorBidi"/>
          <w:sz w:val="24"/>
          <w:szCs w:val="24"/>
        </w:rPr>
        <w:t xml:space="preserve"> table, around 60% of the sample </w:t>
      </w:r>
      <w:r>
        <w:rPr>
          <w:rFonts w:asciiTheme="majorBidi" w:hAnsiTheme="majorBidi" w:cstheme="majorBidi"/>
          <w:sz w:val="24"/>
          <w:szCs w:val="24"/>
        </w:rPr>
        <w:t>were</w:t>
      </w:r>
      <w:r w:rsidRPr="008D75D3">
        <w:rPr>
          <w:rFonts w:asciiTheme="majorBidi" w:hAnsiTheme="majorBidi" w:cstheme="majorBidi"/>
          <w:sz w:val="24"/>
          <w:szCs w:val="24"/>
        </w:rPr>
        <w:t xml:space="preserve"> subjected to </w:t>
      </w:r>
      <w:r>
        <w:rPr>
          <w:rFonts w:asciiTheme="majorBidi" w:hAnsiTheme="majorBidi" w:cstheme="majorBidi"/>
          <w:sz w:val="24"/>
          <w:szCs w:val="24"/>
        </w:rPr>
        <w:t>the non-</w:t>
      </w:r>
      <w:r w:rsidRPr="008D75D3">
        <w:rPr>
          <w:rFonts w:asciiTheme="majorBidi" w:hAnsiTheme="majorBidi" w:cstheme="majorBidi"/>
          <w:sz w:val="24"/>
          <w:szCs w:val="24"/>
        </w:rPr>
        <w:t xml:space="preserve">CSR campaign, while 40% </w:t>
      </w:r>
      <w:r>
        <w:rPr>
          <w:rFonts w:asciiTheme="majorBidi" w:hAnsiTheme="majorBidi" w:cstheme="majorBidi"/>
          <w:sz w:val="24"/>
          <w:szCs w:val="24"/>
        </w:rPr>
        <w:t>were</w:t>
      </w:r>
      <w:r w:rsidRPr="008D75D3">
        <w:rPr>
          <w:rFonts w:asciiTheme="majorBidi" w:hAnsiTheme="majorBidi" w:cstheme="majorBidi"/>
          <w:sz w:val="24"/>
          <w:szCs w:val="24"/>
        </w:rPr>
        <w:t xml:space="preserve"> subjected to</w:t>
      </w:r>
      <w:r>
        <w:rPr>
          <w:rFonts w:asciiTheme="majorBidi" w:hAnsiTheme="majorBidi" w:cstheme="majorBidi"/>
          <w:sz w:val="24"/>
          <w:szCs w:val="24"/>
        </w:rPr>
        <w:t xml:space="preserve"> the</w:t>
      </w:r>
      <w:r w:rsidRPr="008D75D3">
        <w:rPr>
          <w:rFonts w:asciiTheme="majorBidi" w:hAnsiTheme="majorBidi" w:cstheme="majorBidi"/>
          <w:sz w:val="24"/>
          <w:szCs w:val="24"/>
        </w:rPr>
        <w:t xml:space="preserve"> CSR campaign.</w:t>
      </w:r>
    </w:p>
    <w:p w14:paraId="54AFC2EC" w14:textId="77777777" w:rsidR="00511634" w:rsidRDefault="00511634">
      <w:r>
        <w:br w:type="page"/>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344"/>
        <w:gridCol w:w="2108"/>
      </w:tblGrid>
      <w:tr w:rsidR="00D65FF6" w:rsidRPr="008D75D3" w14:paraId="38800B0E" w14:textId="77777777" w:rsidTr="008D0DBB">
        <w:trPr>
          <w:trHeight w:val="290"/>
        </w:trPr>
        <w:tc>
          <w:tcPr>
            <w:tcW w:w="2108" w:type="dxa"/>
            <w:shd w:val="clear" w:color="auto" w:fill="auto"/>
            <w:vAlign w:val="bottom"/>
            <w:hideMark/>
          </w:tcPr>
          <w:p w14:paraId="647B70F9" w14:textId="39BE4D7F"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 </w:t>
            </w:r>
          </w:p>
        </w:tc>
        <w:tc>
          <w:tcPr>
            <w:tcW w:w="2344" w:type="dxa"/>
            <w:shd w:val="clear" w:color="auto" w:fill="auto"/>
            <w:vAlign w:val="bottom"/>
            <w:hideMark/>
          </w:tcPr>
          <w:p w14:paraId="6EA9F14C"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Frequency</w:t>
            </w:r>
          </w:p>
        </w:tc>
        <w:tc>
          <w:tcPr>
            <w:tcW w:w="2108" w:type="dxa"/>
            <w:shd w:val="clear" w:color="auto" w:fill="auto"/>
            <w:vAlign w:val="bottom"/>
            <w:hideMark/>
          </w:tcPr>
          <w:p w14:paraId="089ADF95"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Percent</w:t>
            </w:r>
          </w:p>
        </w:tc>
      </w:tr>
      <w:tr w:rsidR="00D65FF6" w:rsidRPr="008D75D3" w14:paraId="15C66075" w14:textId="77777777" w:rsidTr="008D0DBB">
        <w:trPr>
          <w:trHeight w:val="172"/>
        </w:trPr>
        <w:tc>
          <w:tcPr>
            <w:tcW w:w="2108" w:type="dxa"/>
            <w:shd w:val="clear" w:color="auto" w:fill="auto"/>
            <w:noWrap/>
            <w:hideMark/>
          </w:tcPr>
          <w:p w14:paraId="2334ED35"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Non-CSR</w:t>
            </w:r>
          </w:p>
        </w:tc>
        <w:tc>
          <w:tcPr>
            <w:tcW w:w="2344" w:type="dxa"/>
            <w:shd w:val="clear" w:color="auto" w:fill="auto"/>
            <w:noWrap/>
            <w:vAlign w:val="center"/>
            <w:hideMark/>
          </w:tcPr>
          <w:p w14:paraId="407CCAEB"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285</w:t>
            </w:r>
          </w:p>
        </w:tc>
        <w:tc>
          <w:tcPr>
            <w:tcW w:w="2108" w:type="dxa"/>
            <w:shd w:val="clear" w:color="auto" w:fill="auto"/>
            <w:noWrap/>
            <w:vAlign w:val="center"/>
            <w:hideMark/>
          </w:tcPr>
          <w:p w14:paraId="0E8169D9"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60.1</w:t>
            </w:r>
          </w:p>
        </w:tc>
      </w:tr>
      <w:tr w:rsidR="00D65FF6" w:rsidRPr="008D75D3" w14:paraId="06977A91" w14:textId="77777777" w:rsidTr="008D0DBB">
        <w:trPr>
          <w:trHeight w:val="167"/>
        </w:trPr>
        <w:tc>
          <w:tcPr>
            <w:tcW w:w="2108" w:type="dxa"/>
            <w:shd w:val="clear" w:color="auto" w:fill="auto"/>
            <w:noWrap/>
            <w:hideMark/>
          </w:tcPr>
          <w:p w14:paraId="766F2BF0"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CSR</w:t>
            </w:r>
          </w:p>
        </w:tc>
        <w:tc>
          <w:tcPr>
            <w:tcW w:w="2344" w:type="dxa"/>
            <w:shd w:val="clear" w:color="auto" w:fill="auto"/>
            <w:noWrap/>
            <w:vAlign w:val="center"/>
            <w:hideMark/>
          </w:tcPr>
          <w:p w14:paraId="21F58250"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189</w:t>
            </w:r>
          </w:p>
        </w:tc>
        <w:tc>
          <w:tcPr>
            <w:tcW w:w="2108" w:type="dxa"/>
            <w:shd w:val="clear" w:color="auto" w:fill="auto"/>
            <w:noWrap/>
            <w:vAlign w:val="center"/>
            <w:hideMark/>
          </w:tcPr>
          <w:p w14:paraId="6294EEBC"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39.9</w:t>
            </w:r>
          </w:p>
        </w:tc>
      </w:tr>
      <w:tr w:rsidR="00D65FF6" w:rsidRPr="008D75D3" w14:paraId="47A11186" w14:textId="77777777" w:rsidTr="008D0DBB">
        <w:trPr>
          <w:trHeight w:val="172"/>
        </w:trPr>
        <w:tc>
          <w:tcPr>
            <w:tcW w:w="2108" w:type="dxa"/>
            <w:shd w:val="clear" w:color="auto" w:fill="auto"/>
            <w:hideMark/>
          </w:tcPr>
          <w:p w14:paraId="7C45BF19"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Total</w:t>
            </w:r>
          </w:p>
        </w:tc>
        <w:tc>
          <w:tcPr>
            <w:tcW w:w="2344" w:type="dxa"/>
            <w:shd w:val="clear" w:color="auto" w:fill="auto"/>
            <w:noWrap/>
            <w:vAlign w:val="center"/>
            <w:hideMark/>
          </w:tcPr>
          <w:p w14:paraId="1AC12BA7" w14:textId="77777777" w:rsidR="00D65FF6" w:rsidRPr="008D75D3" w:rsidRDefault="00D65FF6" w:rsidP="000174D8">
            <w:pPr>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474</w:t>
            </w:r>
          </w:p>
        </w:tc>
        <w:tc>
          <w:tcPr>
            <w:tcW w:w="2108" w:type="dxa"/>
            <w:shd w:val="clear" w:color="auto" w:fill="auto"/>
            <w:noWrap/>
            <w:vAlign w:val="center"/>
            <w:hideMark/>
          </w:tcPr>
          <w:p w14:paraId="7FB46C06" w14:textId="77777777" w:rsidR="00D65FF6" w:rsidRPr="008D75D3" w:rsidRDefault="00D65FF6" w:rsidP="000174D8">
            <w:pPr>
              <w:keepNext/>
              <w:spacing w:after="0" w:line="240" w:lineRule="auto"/>
              <w:rPr>
                <w:rFonts w:asciiTheme="majorBidi" w:eastAsia="Times New Roman" w:hAnsiTheme="majorBidi" w:cstheme="majorBidi"/>
                <w:color w:val="000000"/>
                <w:sz w:val="24"/>
                <w:szCs w:val="24"/>
              </w:rPr>
            </w:pPr>
            <w:r w:rsidRPr="008D75D3">
              <w:rPr>
                <w:rFonts w:asciiTheme="majorBidi" w:eastAsia="Times New Roman" w:hAnsiTheme="majorBidi" w:cstheme="majorBidi"/>
                <w:color w:val="000000"/>
                <w:sz w:val="24"/>
                <w:szCs w:val="24"/>
              </w:rPr>
              <w:t>100.0</w:t>
            </w:r>
          </w:p>
        </w:tc>
      </w:tr>
    </w:tbl>
    <w:p w14:paraId="092A1886" w14:textId="158E0414" w:rsidR="00D65FF6" w:rsidRDefault="008F5D43" w:rsidP="008F5D43">
      <w:pPr>
        <w:pStyle w:val="Caption"/>
        <w:rPr>
          <w:rFonts w:asciiTheme="majorBidi" w:hAnsiTheme="majorBidi" w:cstheme="majorBidi"/>
          <w:b/>
          <w:bCs/>
          <w:sz w:val="24"/>
          <w:szCs w:val="24"/>
        </w:rPr>
      </w:pPr>
      <w:r>
        <w:t xml:space="preserve">Table </w:t>
      </w:r>
      <w:r w:rsidR="00044DE9">
        <w:t xml:space="preserve">20 </w:t>
      </w:r>
      <w:r>
        <w:t xml:space="preserve">Breakdown of respondents in the CSR and non-CSR groups </w:t>
      </w:r>
    </w:p>
    <w:p w14:paraId="2EFB942A" w14:textId="5CBC0154"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 xml:space="preserve">.2 Television and </w:t>
      </w:r>
      <w:r w:rsidR="005918C9">
        <w:rPr>
          <w:rFonts w:asciiTheme="majorBidi" w:hAnsiTheme="majorBidi" w:cstheme="majorBidi"/>
          <w:b/>
          <w:bCs/>
          <w:sz w:val="24"/>
          <w:szCs w:val="24"/>
        </w:rPr>
        <w:t>S</w:t>
      </w:r>
      <w:r>
        <w:rPr>
          <w:rFonts w:asciiTheme="majorBidi" w:hAnsiTheme="majorBidi" w:cstheme="majorBidi"/>
          <w:b/>
          <w:bCs/>
          <w:sz w:val="24"/>
          <w:szCs w:val="24"/>
        </w:rPr>
        <w:t xml:space="preserve">ocial </w:t>
      </w:r>
      <w:r w:rsidR="005918C9">
        <w:rPr>
          <w:rFonts w:asciiTheme="majorBidi" w:hAnsiTheme="majorBidi" w:cstheme="majorBidi"/>
          <w:b/>
          <w:bCs/>
          <w:sz w:val="24"/>
          <w:szCs w:val="24"/>
        </w:rPr>
        <w:t>M</w:t>
      </w:r>
      <w:r>
        <w:rPr>
          <w:rFonts w:asciiTheme="majorBidi" w:hAnsiTheme="majorBidi" w:cstheme="majorBidi"/>
          <w:b/>
          <w:bCs/>
          <w:sz w:val="24"/>
          <w:szCs w:val="24"/>
        </w:rPr>
        <w:t xml:space="preserve">edia </w:t>
      </w:r>
      <w:r w:rsidR="005918C9">
        <w:rPr>
          <w:rFonts w:asciiTheme="majorBidi" w:hAnsiTheme="majorBidi" w:cstheme="majorBidi"/>
          <w:b/>
          <w:bCs/>
          <w:sz w:val="24"/>
          <w:szCs w:val="24"/>
        </w:rPr>
        <w:t>Gr</w:t>
      </w:r>
      <w:r>
        <w:rPr>
          <w:rFonts w:asciiTheme="majorBidi" w:hAnsiTheme="majorBidi" w:cstheme="majorBidi"/>
          <w:b/>
          <w:bCs/>
          <w:sz w:val="24"/>
          <w:szCs w:val="24"/>
        </w:rPr>
        <w:t>oups</w:t>
      </w:r>
    </w:p>
    <w:p w14:paraId="046FCDAD" w14:textId="1B5DD3EE" w:rsidR="00D65FF6" w:rsidRPr="00834E03" w:rsidRDefault="00D65FF6" w:rsidP="00D65FF6">
      <w:pPr>
        <w:spacing w:line="480" w:lineRule="auto"/>
        <w:ind w:firstLine="720"/>
        <w:contextualSpacing/>
        <w:rPr>
          <w:rFonts w:asciiTheme="majorBidi" w:hAnsiTheme="majorBidi" w:cstheme="majorBidi"/>
          <w:sz w:val="24"/>
          <w:szCs w:val="24"/>
        </w:rPr>
      </w:pPr>
      <w:r>
        <w:rPr>
          <w:rFonts w:asciiTheme="majorBidi" w:hAnsiTheme="majorBidi" w:cstheme="majorBidi"/>
          <w:sz w:val="24"/>
          <w:szCs w:val="24"/>
        </w:rPr>
        <w:t>T</w:t>
      </w:r>
      <w:r w:rsidRPr="008D75D3">
        <w:rPr>
          <w:rFonts w:asciiTheme="majorBidi" w:hAnsiTheme="majorBidi" w:cstheme="majorBidi"/>
          <w:sz w:val="24"/>
          <w:szCs w:val="24"/>
        </w:rPr>
        <w:t>he following tabl</w:t>
      </w:r>
      <w:r>
        <w:rPr>
          <w:rFonts w:asciiTheme="majorBidi" w:hAnsiTheme="majorBidi" w:cstheme="majorBidi"/>
          <w:sz w:val="24"/>
          <w:szCs w:val="24"/>
        </w:rPr>
        <w:t xml:space="preserve">es show </w:t>
      </w:r>
      <w:r w:rsidRPr="008D75D3">
        <w:rPr>
          <w:rFonts w:asciiTheme="majorBidi" w:hAnsiTheme="majorBidi" w:cstheme="majorBidi"/>
          <w:sz w:val="24"/>
          <w:szCs w:val="24"/>
        </w:rPr>
        <w:t xml:space="preserve">that around </w:t>
      </w:r>
      <w:r>
        <w:rPr>
          <w:rFonts w:asciiTheme="majorBidi" w:hAnsiTheme="majorBidi" w:cstheme="majorBidi"/>
          <w:sz w:val="24"/>
          <w:szCs w:val="24"/>
        </w:rPr>
        <w:t>42.2</w:t>
      </w:r>
      <w:r w:rsidRPr="008D75D3">
        <w:rPr>
          <w:rFonts w:asciiTheme="majorBidi" w:hAnsiTheme="majorBidi" w:cstheme="majorBidi"/>
          <w:sz w:val="24"/>
          <w:szCs w:val="24"/>
        </w:rPr>
        <w:t>% of the</w:t>
      </w:r>
      <w:r>
        <w:rPr>
          <w:rFonts w:asciiTheme="majorBidi" w:hAnsiTheme="majorBidi" w:cstheme="majorBidi"/>
          <w:sz w:val="24"/>
          <w:szCs w:val="24"/>
        </w:rPr>
        <w:t xml:space="preserve"> respondents from</w:t>
      </w:r>
      <w:r w:rsidRPr="008D75D3">
        <w:rPr>
          <w:rFonts w:asciiTheme="majorBidi" w:hAnsiTheme="majorBidi" w:cstheme="majorBidi"/>
          <w:sz w:val="24"/>
          <w:szCs w:val="24"/>
        </w:rPr>
        <w:t xml:space="preserve"> sample </w:t>
      </w:r>
      <w:r>
        <w:rPr>
          <w:rFonts w:asciiTheme="majorBidi" w:hAnsiTheme="majorBidi" w:cstheme="majorBidi"/>
          <w:sz w:val="24"/>
          <w:szCs w:val="24"/>
        </w:rPr>
        <w:t>were</w:t>
      </w:r>
      <w:r w:rsidRPr="008D75D3">
        <w:rPr>
          <w:rFonts w:asciiTheme="majorBidi" w:hAnsiTheme="majorBidi" w:cstheme="majorBidi"/>
          <w:sz w:val="24"/>
          <w:szCs w:val="24"/>
        </w:rPr>
        <w:t xml:space="preserve"> subjected to </w:t>
      </w:r>
      <w:r>
        <w:rPr>
          <w:rFonts w:asciiTheme="majorBidi" w:hAnsiTheme="majorBidi" w:cstheme="majorBidi"/>
          <w:sz w:val="24"/>
          <w:szCs w:val="24"/>
        </w:rPr>
        <w:t xml:space="preserve">the TV </w:t>
      </w:r>
      <w:r w:rsidR="005918C9">
        <w:rPr>
          <w:rFonts w:asciiTheme="majorBidi" w:hAnsiTheme="majorBidi" w:cstheme="majorBidi"/>
          <w:sz w:val="24"/>
          <w:szCs w:val="24"/>
        </w:rPr>
        <w:t xml:space="preserve">stimuli </w:t>
      </w:r>
      <w:r>
        <w:rPr>
          <w:rFonts w:asciiTheme="majorBidi" w:hAnsiTheme="majorBidi" w:cstheme="majorBidi"/>
          <w:sz w:val="24"/>
          <w:szCs w:val="24"/>
        </w:rPr>
        <w:t>and 57.8%</w:t>
      </w:r>
      <w:r w:rsidRPr="008D75D3">
        <w:rPr>
          <w:rFonts w:asciiTheme="majorBidi" w:hAnsiTheme="majorBidi" w:cstheme="majorBidi"/>
          <w:sz w:val="24"/>
          <w:szCs w:val="24"/>
        </w:rPr>
        <w:t xml:space="preserve"> </w:t>
      </w:r>
      <w:r>
        <w:rPr>
          <w:rFonts w:asciiTheme="majorBidi" w:hAnsiTheme="majorBidi" w:cstheme="majorBidi"/>
          <w:sz w:val="24"/>
          <w:szCs w:val="24"/>
        </w:rPr>
        <w:t>were</w:t>
      </w:r>
      <w:r w:rsidRPr="008D75D3">
        <w:rPr>
          <w:rFonts w:asciiTheme="majorBidi" w:hAnsiTheme="majorBidi" w:cstheme="majorBidi"/>
          <w:sz w:val="24"/>
          <w:szCs w:val="24"/>
        </w:rPr>
        <w:t xml:space="preserve"> subjected to </w:t>
      </w:r>
      <w:r>
        <w:rPr>
          <w:rFonts w:asciiTheme="majorBidi" w:hAnsiTheme="majorBidi" w:cstheme="majorBidi"/>
          <w:sz w:val="24"/>
          <w:szCs w:val="24"/>
        </w:rPr>
        <w:t>the social media</w:t>
      </w:r>
      <w:r w:rsidR="005918C9">
        <w:rPr>
          <w:rFonts w:asciiTheme="majorBidi" w:hAnsiTheme="majorBidi" w:cstheme="majorBidi"/>
          <w:sz w:val="24"/>
          <w:szCs w:val="24"/>
        </w:rPr>
        <w:t xml:space="preserve"> stimuli</w:t>
      </w:r>
      <w:r>
        <w:rPr>
          <w:rFonts w:asciiTheme="majorBidi" w:hAnsiTheme="majorBidi" w:cstheme="majorBidi"/>
          <w:sz w:val="24"/>
          <w:szCs w:val="24"/>
        </w:rPr>
        <w:t xml:space="preserve">. Furthermore, table </w:t>
      </w:r>
      <w:r w:rsidR="008F5D43">
        <w:rPr>
          <w:rFonts w:asciiTheme="majorBidi" w:hAnsiTheme="majorBidi" w:cstheme="majorBidi"/>
          <w:sz w:val="24"/>
          <w:szCs w:val="24"/>
        </w:rPr>
        <w:t>19</w:t>
      </w:r>
      <w:r>
        <w:rPr>
          <w:rFonts w:asciiTheme="majorBidi" w:hAnsiTheme="majorBidi" w:cstheme="majorBidi"/>
          <w:sz w:val="24"/>
          <w:szCs w:val="24"/>
        </w:rPr>
        <w:t xml:space="preserve"> shows the breakdown of groups with the media </w:t>
      </w:r>
      <w:r w:rsidR="00D74555">
        <w:rPr>
          <w:rFonts w:asciiTheme="majorBidi" w:hAnsiTheme="majorBidi" w:cstheme="majorBidi"/>
          <w:sz w:val="24"/>
          <w:szCs w:val="24"/>
        </w:rPr>
        <w:t xml:space="preserve">vehicle </w:t>
      </w:r>
      <w:r>
        <w:rPr>
          <w:rFonts w:asciiTheme="majorBidi" w:hAnsiTheme="majorBidi" w:cstheme="majorBidi"/>
          <w:sz w:val="24"/>
          <w:szCs w:val="24"/>
        </w:rPr>
        <w:t xml:space="preserve">and communication </w:t>
      </w:r>
      <w:r w:rsidR="00FD123D">
        <w:rPr>
          <w:rFonts w:asciiTheme="majorBidi" w:hAnsiTheme="majorBidi" w:cstheme="majorBidi"/>
          <w:sz w:val="24"/>
          <w:szCs w:val="24"/>
        </w:rPr>
        <w:t xml:space="preserve">strategy </w:t>
      </w:r>
      <w:r>
        <w:rPr>
          <w:rFonts w:asciiTheme="majorBidi" w:hAnsiTheme="majorBidi" w:cstheme="majorBidi"/>
          <w:sz w:val="24"/>
          <w:szCs w:val="24"/>
        </w:rPr>
        <w:t>categori</w:t>
      </w:r>
      <w:r w:rsidR="00C55386">
        <w:rPr>
          <w:rFonts w:asciiTheme="majorBidi" w:hAnsiTheme="majorBidi" w:cstheme="majorBidi"/>
          <w:sz w:val="24"/>
          <w:szCs w:val="24"/>
        </w:rPr>
        <w:t>s</w:t>
      </w:r>
      <w:r>
        <w:rPr>
          <w:rFonts w:asciiTheme="majorBidi" w:hAnsiTheme="majorBidi" w:cstheme="majorBidi"/>
          <w:sz w:val="24"/>
          <w:szCs w:val="24"/>
        </w:rPr>
        <w:t xml:space="preserve">ation. </w:t>
      </w:r>
    </w:p>
    <w:tbl>
      <w:tblPr>
        <w:tblW w:w="6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336"/>
        <w:gridCol w:w="1926"/>
      </w:tblGrid>
      <w:tr w:rsidR="00D65FF6" w:rsidRPr="00D53E24" w14:paraId="5426C20E" w14:textId="77777777" w:rsidTr="008D0DBB">
        <w:trPr>
          <w:trHeight w:val="259"/>
        </w:trPr>
        <w:tc>
          <w:tcPr>
            <w:tcW w:w="2323" w:type="dxa"/>
            <w:shd w:val="clear" w:color="auto" w:fill="auto"/>
            <w:vAlign w:val="bottom"/>
            <w:hideMark/>
          </w:tcPr>
          <w:p w14:paraId="50322516"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2336" w:type="dxa"/>
            <w:shd w:val="clear" w:color="auto" w:fill="auto"/>
            <w:vAlign w:val="bottom"/>
            <w:hideMark/>
          </w:tcPr>
          <w:p w14:paraId="2EC5A285"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Frequency</w:t>
            </w:r>
          </w:p>
        </w:tc>
        <w:tc>
          <w:tcPr>
            <w:tcW w:w="1926" w:type="dxa"/>
            <w:shd w:val="clear" w:color="auto" w:fill="auto"/>
            <w:vAlign w:val="bottom"/>
            <w:hideMark/>
          </w:tcPr>
          <w:p w14:paraId="6EF8A6E0"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Percent</w:t>
            </w:r>
          </w:p>
        </w:tc>
      </w:tr>
      <w:tr w:rsidR="00D65FF6" w:rsidRPr="00D53E24" w14:paraId="64463B58" w14:textId="77777777" w:rsidTr="008D0DBB">
        <w:trPr>
          <w:trHeight w:val="251"/>
        </w:trPr>
        <w:tc>
          <w:tcPr>
            <w:tcW w:w="2323" w:type="dxa"/>
            <w:shd w:val="clear" w:color="auto" w:fill="auto"/>
            <w:noWrap/>
            <w:hideMark/>
          </w:tcPr>
          <w:p w14:paraId="6DEF7577"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2336" w:type="dxa"/>
            <w:shd w:val="clear" w:color="auto" w:fill="auto"/>
            <w:noWrap/>
            <w:vAlign w:val="center"/>
            <w:hideMark/>
          </w:tcPr>
          <w:p w14:paraId="167A4307"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200</w:t>
            </w:r>
          </w:p>
        </w:tc>
        <w:tc>
          <w:tcPr>
            <w:tcW w:w="1926" w:type="dxa"/>
            <w:shd w:val="clear" w:color="auto" w:fill="auto"/>
            <w:noWrap/>
            <w:vAlign w:val="center"/>
            <w:hideMark/>
          </w:tcPr>
          <w:p w14:paraId="6B6A337D"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42.2</w:t>
            </w:r>
          </w:p>
        </w:tc>
      </w:tr>
      <w:tr w:rsidR="00D65FF6" w:rsidRPr="00D53E24" w14:paraId="204AA14E" w14:textId="77777777" w:rsidTr="008D0DBB">
        <w:trPr>
          <w:trHeight w:val="243"/>
        </w:trPr>
        <w:tc>
          <w:tcPr>
            <w:tcW w:w="2323" w:type="dxa"/>
            <w:shd w:val="clear" w:color="auto" w:fill="auto"/>
            <w:noWrap/>
            <w:hideMark/>
          </w:tcPr>
          <w:p w14:paraId="755F7F66"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Social Media</w:t>
            </w:r>
          </w:p>
        </w:tc>
        <w:tc>
          <w:tcPr>
            <w:tcW w:w="2336" w:type="dxa"/>
            <w:shd w:val="clear" w:color="auto" w:fill="auto"/>
            <w:noWrap/>
            <w:vAlign w:val="center"/>
            <w:hideMark/>
          </w:tcPr>
          <w:p w14:paraId="6BA7637D"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274</w:t>
            </w:r>
          </w:p>
        </w:tc>
        <w:tc>
          <w:tcPr>
            <w:tcW w:w="1926" w:type="dxa"/>
            <w:shd w:val="clear" w:color="auto" w:fill="auto"/>
            <w:noWrap/>
            <w:vAlign w:val="center"/>
            <w:hideMark/>
          </w:tcPr>
          <w:p w14:paraId="0FA0A0EF"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57.8</w:t>
            </w:r>
          </w:p>
        </w:tc>
      </w:tr>
      <w:tr w:rsidR="00D65FF6" w:rsidRPr="00D53E24" w14:paraId="645DC5CD" w14:textId="77777777" w:rsidTr="008D0DBB">
        <w:trPr>
          <w:trHeight w:val="251"/>
        </w:trPr>
        <w:tc>
          <w:tcPr>
            <w:tcW w:w="2323" w:type="dxa"/>
            <w:shd w:val="clear" w:color="auto" w:fill="auto"/>
            <w:hideMark/>
          </w:tcPr>
          <w:p w14:paraId="6A1AF4D1"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Total</w:t>
            </w:r>
          </w:p>
        </w:tc>
        <w:tc>
          <w:tcPr>
            <w:tcW w:w="2336" w:type="dxa"/>
            <w:shd w:val="clear" w:color="auto" w:fill="auto"/>
            <w:noWrap/>
            <w:vAlign w:val="center"/>
            <w:hideMark/>
          </w:tcPr>
          <w:p w14:paraId="272EDAB5" w14:textId="77777777" w:rsidR="00D65FF6" w:rsidRPr="00D53E24" w:rsidRDefault="00D65FF6" w:rsidP="000174D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1926" w:type="dxa"/>
            <w:shd w:val="clear" w:color="auto" w:fill="auto"/>
            <w:noWrap/>
            <w:vAlign w:val="center"/>
            <w:hideMark/>
          </w:tcPr>
          <w:p w14:paraId="4B8910FE" w14:textId="77777777" w:rsidR="00D65FF6" w:rsidRPr="00D53E24" w:rsidRDefault="00D65FF6" w:rsidP="000174D8">
            <w:pPr>
              <w:keepNext/>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100.0</w:t>
            </w:r>
          </w:p>
        </w:tc>
      </w:tr>
    </w:tbl>
    <w:p w14:paraId="755E9D95" w14:textId="7C1737BE" w:rsidR="00D65FF6" w:rsidRPr="008F5D43" w:rsidRDefault="008F5D43" w:rsidP="008F5D43">
      <w:pPr>
        <w:pStyle w:val="Caption"/>
        <w:rPr>
          <w:rFonts w:asciiTheme="majorBidi" w:hAnsiTheme="majorBidi" w:cstheme="majorBidi"/>
          <w:b/>
          <w:bCs/>
          <w:sz w:val="24"/>
          <w:szCs w:val="24"/>
        </w:rPr>
      </w:pPr>
      <w:r>
        <w:t xml:space="preserve">Table </w:t>
      </w:r>
      <w:r w:rsidR="00044DE9">
        <w:t>21</w:t>
      </w:r>
      <w:r>
        <w:t xml:space="preserve"> Breakdown of respondents in television and social media</w:t>
      </w:r>
    </w:p>
    <w:tbl>
      <w:tblPr>
        <w:tblStyle w:val="TableGrid"/>
        <w:tblW w:w="5240" w:type="dxa"/>
        <w:tblLook w:val="04A0" w:firstRow="1" w:lastRow="0" w:firstColumn="1" w:lastColumn="0" w:noHBand="0" w:noVBand="1"/>
      </w:tblPr>
      <w:tblGrid>
        <w:gridCol w:w="2619"/>
        <w:gridCol w:w="1370"/>
        <w:gridCol w:w="1251"/>
      </w:tblGrid>
      <w:tr w:rsidR="00D65FF6" w:rsidRPr="00D53E24" w14:paraId="5F7A9744" w14:textId="77777777" w:rsidTr="00C55386">
        <w:trPr>
          <w:trHeight w:val="316"/>
        </w:trPr>
        <w:tc>
          <w:tcPr>
            <w:tcW w:w="2619" w:type="dxa"/>
          </w:tcPr>
          <w:p w14:paraId="49D065DF"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 xml:space="preserve">Groups </w:t>
            </w:r>
          </w:p>
        </w:tc>
        <w:tc>
          <w:tcPr>
            <w:tcW w:w="1370" w:type="dxa"/>
          </w:tcPr>
          <w:p w14:paraId="5AE108E2"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 xml:space="preserve">Frequency </w:t>
            </w:r>
          </w:p>
        </w:tc>
        <w:tc>
          <w:tcPr>
            <w:tcW w:w="1251" w:type="dxa"/>
          </w:tcPr>
          <w:p w14:paraId="061E9D06"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 xml:space="preserve">Percent </w:t>
            </w:r>
          </w:p>
        </w:tc>
      </w:tr>
      <w:tr w:rsidR="00D65FF6" w:rsidRPr="00D53E24" w14:paraId="6467B1A3" w14:textId="77777777" w:rsidTr="00C55386">
        <w:trPr>
          <w:trHeight w:val="101"/>
        </w:trPr>
        <w:tc>
          <w:tcPr>
            <w:tcW w:w="2619" w:type="dxa"/>
          </w:tcPr>
          <w:p w14:paraId="7D09EC5B"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CSR – TV</w:t>
            </w:r>
          </w:p>
        </w:tc>
        <w:tc>
          <w:tcPr>
            <w:tcW w:w="1370" w:type="dxa"/>
          </w:tcPr>
          <w:p w14:paraId="00BD6B67"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101</w:t>
            </w:r>
          </w:p>
        </w:tc>
        <w:tc>
          <w:tcPr>
            <w:tcW w:w="1251" w:type="dxa"/>
          </w:tcPr>
          <w:p w14:paraId="7DCE0A22"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21.3%</w:t>
            </w:r>
          </w:p>
        </w:tc>
      </w:tr>
      <w:tr w:rsidR="00D65FF6" w:rsidRPr="00D53E24" w14:paraId="24F6E105" w14:textId="77777777" w:rsidTr="00C55386">
        <w:trPr>
          <w:trHeight w:val="247"/>
        </w:trPr>
        <w:tc>
          <w:tcPr>
            <w:tcW w:w="2619" w:type="dxa"/>
          </w:tcPr>
          <w:p w14:paraId="7916A62F"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 xml:space="preserve">CSR – social media </w:t>
            </w:r>
          </w:p>
        </w:tc>
        <w:tc>
          <w:tcPr>
            <w:tcW w:w="1370" w:type="dxa"/>
          </w:tcPr>
          <w:p w14:paraId="74F24F75"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88</w:t>
            </w:r>
          </w:p>
        </w:tc>
        <w:tc>
          <w:tcPr>
            <w:tcW w:w="1251" w:type="dxa"/>
          </w:tcPr>
          <w:p w14:paraId="0EDF3B69"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18.6%</w:t>
            </w:r>
          </w:p>
        </w:tc>
      </w:tr>
      <w:tr w:rsidR="00D65FF6" w:rsidRPr="00D53E24" w14:paraId="00ECF352" w14:textId="77777777" w:rsidTr="00C55386">
        <w:trPr>
          <w:trHeight w:val="251"/>
        </w:trPr>
        <w:tc>
          <w:tcPr>
            <w:tcW w:w="2619" w:type="dxa"/>
          </w:tcPr>
          <w:p w14:paraId="2E23474C"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Non-CSR – TV</w:t>
            </w:r>
          </w:p>
        </w:tc>
        <w:tc>
          <w:tcPr>
            <w:tcW w:w="1370" w:type="dxa"/>
          </w:tcPr>
          <w:p w14:paraId="1A72F738"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99</w:t>
            </w:r>
          </w:p>
        </w:tc>
        <w:tc>
          <w:tcPr>
            <w:tcW w:w="1251" w:type="dxa"/>
          </w:tcPr>
          <w:p w14:paraId="4782D332"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20.9%</w:t>
            </w:r>
          </w:p>
        </w:tc>
      </w:tr>
      <w:tr w:rsidR="00D65FF6" w:rsidRPr="00D53E24" w14:paraId="2CBFE41A" w14:textId="77777777" w:rsidTr="00C55386">
        <w:trPr>
          <w:trHeight w:val="113"/>
        </w:trPr>
        <w:tc>
          <w:tcPr>
            <w:tcW w:w="2619" w:type="dxa"/>
          </w:tcPr>
          <w:p w14:paraId="1D3F2F36"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 xml:space="preserve">Non-CSR – social media </w:t>
            </w:r>
          </w:p>
        </w:tc>
        <w:tc>
          <w:tcPr>
            <w:tcW w:w="1370" w:type="dxa"/>
          </w:tcPr>
          <w:p w14:paraId="1C02FAB8" w14:textId="77777777" w:rsidR="00D65FF6" w:rsidRPr="00D53E24" w:rsidRDefault="00D65FF6" w:rsidP="000174D8">
            <w:pPr>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186</w:t>
            </w:r>
          </w:p>
        </w:tc>
        <w:tc>
          <w:tcPr>
            <w:tcW w:w="1251" w:type="dxa"/>
          </w:tcPr>
          <w:p w14:paraId="39592A7E" w14:textId="77777777" w:rsidR="00D65FF6" w:rsidRPr="00D53E24" w:rsidRDefault="00D65FF6" w:rsidP="000174D8">
            <w:pPr>
              <w:keepNext/>
              <w:spacing w:line="276" w:lineRule="auto"/>
              <w:contextualSpacing/>
              <w:jc w:val="both"/>
              <w:rPr>
                <w:rFonts w:asciiTheme="majorBidi" w:hAnsiTheme="majorBidi" w:cstheme="majorBidi"/>
                <w:sz w:val="20"/>
                <w:szCs w:val="20"/>
              </w:rPr>
            </w:pPr>
            <w:r w:rsidRPr="00D53E24">
              <w:rPr>
                <w:rFonts w:asciiTheme="majorBidi" w:hAnsiTheme="majorBidi" w:cstheme="majorBidi"/>
                <w:sz w:val="20"/>
                <w:szCs w:val="20"/>
              </w:rPr>
              <w:t>39.2%</w:t>
            </w:r>
          </w:p>
        </w:tc>
      </w:tr>
    </w:tbl>
    <w:p w14:paraId="589E7DC7" w14:textId="5CDF4279" w:rsidR="00D65FF6" w:rsidRDefault="008F5D43" w:rsidP="008F5D43">
      <w:pPr>
        <w:pStyle w:val="Caption"/>
        <w:rPr>
          <w:rFonts w:asciiTheme="majorBidi" w:hAnsiTheme="majorBidi" w:cstheme="majorBidi"/>
          <w:b/>
          <w:bCs/>
          <w:sz w:val="24"/>
          <w:szCs w:val="24"/>
        </w:rPr>
      </w:pPr>
      <w:r>
        <w:t>Table 2</w:t>
      </w:r>
      <w:r w:rsidR="00044DE9">
        <w:t>2</w:t>
      </w:r>
      <w:r>
        <w:t xml:space="preserve"> Breakdown of CSR and non-CSR on TV and social media</w:t>
      </w:r>
    </w:p>
    <w:p w14:paraId="534C2E4F" w14:textId="28B50BB7" w:rsidR="00D65FF6"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 xml:space="preserve">.3 </w:t>
      </w:r>
      <w:r w:rsidRPr="008D75D3">
        <w:rPr>
          <w:rFonts w:asciiTheme="majorBidi" w:hAnsiTheme="majorBidi" w:cstheme="majorBidi"/>
          <w:b/>
          <w:bCs/>
          <w:sz w:val="24"/>
          <w:szCs w:val="24"/>
        </w:rPr>
        <w:t>A</w:t>
      </w:r>
      <w:r>
        <w:rPr>
          <w:rFonts w:asciiTheme="majorBidi" w:hAnsiTheme="majorBidi" w:cstheme="majorBidi"/>
          <w:b/>
          <w:bCs/>
          <w:sz w:val="24"/>
          <w:szCs w:val="24"/>
        </w:rPr>
        <w:t>d</w:t>
      </w:r>
      <w:r w:rsidRPr="008D75D3">
        <w:rPr>
          <w:rFonts w:asciiTheme="majorBidi" w:hAnsiTheme="majorBidi" w:cstheme="majorBidi"/>
          <w:b/>
          <w:bCs/>
          <w:sz w:val="24"/>
          <w:szCs w:val="24"/>
        </w:rPr>
        <w:t xml:space="preserve"> Likeability</w:t>
      </w:r>
    </w:p>
    <w:p w14:paraId="12F439D6" w14:textId="4B1516F6" w:rsidR="00D65FF6" w:rsidRPr="008E3F49" w:rsidRDefault="00D65FF6" w:rsidP="008F5D43">
      <w:pPr>
        <w:spacing w:line="480" w:lineRule="auto"/>
        <w:ind w:firstLine="720"/>
        <w:contextualSpacing/>
        <w:jc w:val="both"/>
        <w:rPr>
          <w:rFonts w:asciiTheme="majorBidi" w:hAnsiTheme="majorBidi" w:cstheme="majorBidi"/>
          <w:sz w:val="24"/>
          <w:szCs w:val="24"/>
        </w:rPr>
      </w:pPr>
      <w:r w:rsidRPr="008D75D3">
        <w:rPr>
          <w:rFonts w:asciiTheme="majorBidi" w:hAnsiTheme="majorBidi" w:cstheme="majorBidi"/>
          <w:sz w:val="24"/>
          <w:szCs w:val="24"/>
        </w:rPr>
        <w:t xml:space="preserve">The survey </w:t>
      </w:r>
      <w:r>
        <w:rPr>
          <w:rFonts w:asciiTheme="majorBidi" w:hAnsiTheme="majorBidi" w:cstheme="majorBidi"/>
          <w:sz w:val="24"/>
          <w:szCs w:val="24"/>
        </w:rPr>
        <w:t>consisted</w:t>
      </w:r>
      <w:r w:rsidRPr="008D75D3">
        <w:rPr>
          <w:rFonts w:asciiTheme="majorBidi" w:hAnsiTheme="majorBidi" w:cstheme="majorBidi"/>
          <w:sz w:val="24"/>
          <w:szCs w:val="24"/>
        </w:rPr>
        <w:t xml:space="preserve"> of </w:t>
      </w:r>
      <w:r>
        <w:rPr>
          <w:rFonts w:asciiTheme="majorBidi" w:hAnsiTheme="majorBidi" w:cstheme="majorBidi"/>
          <w:sz w:val="24"/>
          <w:szCs w:val="24"/>
        </w:rPr>
        <w:t>five</w:t>
      </w:r>
      <w:r w:rsidRPr="008D75D3">
        <w:rPr>
          <w:rFonts w:asciiTheme="majorBidi" w:hAnsiTheme="majorBidi" w:cstheme="majorBidi"/>
          <w:sz w:val="24"/>
          <w:szCs w:val="24"/>
        </w:rPr>
        <w:t xml:space="preserve"> questions to measure the </w:t>
      </w:r>
      <w:r w:rsidRPr="00775F47">
        <w:rPr>
          <w:rFonts w:asciiTheme="majorBidi" w:hAnsiTheme="majorBidi" w:cstheme="majorBidi"/>
          <w:sz w:val="24"/>
          <w:szCs w:val="24"/>
        </w:rPr>
        <w:t>ad likeability</w:t>
      </w:r>
      <w:r w:rsidRPr="008D75D3">
        <w:rPr>
          <w:rFonts w:asciiTheme="majorBidi" w:hAnsiTheme="majorBidi" w:cstheme="majorBidi"/>
          <w:sz w:val="24"/>
          <w:szCs w:val="24"/>
        </w:rPr>
        <w:t xml:space="preserve"> variable.</w:t>
      </w:r>
      <w:r>
        <w:rPr>
          <w:rFonts w:asciiTheme="majorBidi" w:hAnsiTheme="majorBidi" w:cstheme="majorBidi"/>
          <w:sz w:val="24"/>
          <w:szCs w:val="24"/>
        </w:rPr>
        <w:t xml:space="preserve"> Based on</w:t>
      </w:r>
      <w:r w:rsidRPr="008D75D3">
        <w:rPr>
          <w:rFonts w:asciiTheme="majorBidi" w:hAnsiTheme="majorBidi" w:cstheme="majorBidi"/>
          <w:sz w:val="24"/>
          <w:szCs w:val="24"/>
        </w:rPr>
        <w:t xml:space="preserve"> the following table</w:t>
      </w:r>
      <w:r>
        <w:rPr>
          <w:rFonts w:asciiTheme="majorBidi" w:hAnsiTheme="majorBidi" w:cstheme="majorBidi"/>
          <w:sz w:val="24"/>
          <w:szCs w:val="24"/>
        </w:rPr>
        <w:t>,</w:t>
      </w:r>
      <w:r w:rsidRPr="008D75D3">
        <w:rPr>
          <w:rFonts w:asciiTheme="majorBidi" w:hAnsiTheme="majorBidi" w:cstheme="majorBidi"/>
          <w:sz w:val="24"/>
          <w:szCs w:val="24"/>
        </w:rPr>
        <w:t xml:space="preserve"> it is </w:t>
      </w:r>
      <w:r>
        <w:rPr>
          <w:rFonts w:asciiTheme="majorBidi" w:hAnsiTheme="majorBidi" w:cstheme="majorBidi"/>
          <w:sz w:val="24"/>
          <w:szCs w:val="24"/>
        </w:rPr>
        <w:t>evident</w:t>
      </w:r>
      <w:r w:rsidRPr="008D75D3">
        <w:rPr>
          <w:rFonts w:asciiTheme="majorBidi" w:hAnsiTheme="majorBidi" w:cstheme="majorBidi"/>
          <w:sz w:val="24"/>
          <w:szCs w:val="24"/>
        </w:rPr>
        <w:t xml:space="preserve"> that the average of all statements is between 4 and 5 which indicates that respondent tends to </w:t>
      </w:r>
      <w:r>
        <w:rPr>
          <w:rFonts w:asciiTheme="majorBidi" w:hAnsiTheme="majorBidi" w:cstheme="majorBidi"/>
          <w:sz w:val="24"/>
          <w:szCs w:val="24"/>
        </w:rPr>
        <w:t xml:space="preserve">be </w:t>
      </w:r>
      <w:r w:rsidRPr="004B44B9">
        <w:rPr>
          <w:rFonts w:asciiTheme="majorBidi" w:hAnsiTheme="majorBidi" w:cstheme="majorBidi"/>
          <w:sz w:val="24"/>
          <w:szCs w:val="24"/>
        </w:rPr>
        <w:t>neutral or slightly agree</w:t>
      </w:r>
      <w:r w:rsidRPr="008D75D3">
        <w:rPr>
          <w:rFonts w:asciiTheme="majorBidi" w:hAnsiTheme="majorBidi" w:cstheme="majorBidi"/>
          <w:sz w:val="24"/>
          <w:szCs w:val="24"/>
        </w:rPr>
        <w:t xml:space="preserve"> </w:t>
      </w:r>
      <w:r w:rsidR="005918C9">
        <w:rPr>
          <w:rFonts w:asciiTheme="majorBidi" w:hAnsiTheme="majorBidi" w:cstheme="majorBidi"/>
          <w:sz w:val="24"/>
          <w:szCs w:val="24"/>
        </w:rPr>
        <w:t>with</w:t>
      </w:r>
      <w:r w:rsidRPr="008D75D3">
        <w:rPr>
          <w:rFonts w:asciiTheme="majorBidi" w:hAnsiTheme="majorBidi" w:cstheme="majorBidi"/>
          <w:sz w:val="24"/>
          <w:szCs w:val="24"/>
        </w:rPr>
        <w:t xml:space="preserve"> the statements that measure </w:t>
      </w:r>
      <w:r w:rsidR="00172781">
        <w:rPr>
          <w:rFonts w:asciiTheme="majorBidi" w:hAnsiTheme="majorBidi" w:cstheme="majorBidi"/>
          <w:sz w:val="24"/>
          <w:szCs w:val="24"/>
        </w:rPr>
        <w:t>ad likeability</w:t>
      </w:r>
      <w:r w:rsidRPr="008D75D3">
        <w:rPr>
          <w:rFonts w:asciiTheme="majorBidi" w:hAnsiTheme="majorBidi" w:cstheme="majorBidi"/>
          <w:sz w:val="24"/>
          <w:szCs w:val="24"/>
        </w:rPr>
        <w:t>. The statement with highest agreement is “The ad is appealing to me</w:t>
      </w:r>
      <w:r>
        <w:rPr>
          <w:rFonts w:asciiTheme="majorBidi" w:hAnsiTheme="majorBidi" w:cstheme="majorBidi"/>
          <w:sz w:val="24"/>
          <w:szCs w:val="24"/>
        </w:rPr>
        <w:t>,</w:t>
      </w:r>
      <w:r w:rsidRPr="008D75D3">
        <w:rPr>
          <w:rFonts w:asciiTheme="majorBidi" w:hAnsiTheme="majorBidi" w:cstheme="majorBidi"/>
          <w:sz w:val="24"/>
          <w:szCs w:val="24"/>
        </w:rPr>
        <w:t xml:space="preserve">” </w:t>
      </w:r>
      <w:r>
        <w:rPr>
          <w:rFonts w:asciiTheme="majorBidi" w:hAnsiTheme="majorBidi" w:cstheme="majorBidi"/>
          <w:sz w:val="24"/>
          <w:szCs w:val="24"/>
        </w:rPr>
        <w:t>w</w:t>
      </w:r>
      <w:r w:rsidRPr="008D75D3">
        <w:rPr>
          <w:rFonts w:asciiTheme="majorBidi" w:hAnsiTheme="majorBidi" w:cstheme="majorBidi"/>
          <w:sz w:val="24"/>
          <w:szCs w:val="24"/>
        </w:rPr>
        <w:t>h</w:t>
      </w:r>
      <w:r>
        <w:rPr>
          <w:rFonts w:asciiTheme="majorBidi" w:hAnsiTheme="majorBidi" w:cstheme="majorBidi"/>
          <w:sz w:val="24"/>
          <w:szCs w:val="24"/>
        </w:rPr>
        <w:t>ereas</w:t>
      </w:r>
      <w:r w:rsidRPr="008D75D3">
        <w:rPr>
          <w:rFonts w:asciiTheme="majorBidi" w:hAnsiTheme="majorBidi" w:cstheme="majorBidi"/>
          <w:sz w:val="24"/>
          <w:szCs w:val="24"/>
        </w:rPr>
        <w:t xml:space="preserve"> the statement with</w:t>
      </w:r>
      <w:r>
        <w:rPr>
          <w:rFonts w:asciiTheme="majorBidi" w:hAnsiTheme="majorBidi" w:cstheme="majorBidi"/>
          <w:sz w:val="24"/>
          <w:szCs w:val="24"/>
        </w:rPr>
        <w:t xml:space="preserve"> the</w:t>
      </w:r>
      <w:r w:rsidRPr="008D75D3">
        <w:rPr>
          <w:rFonts w:asciiTheme="majorBidi" w:hAnsiTheme="majorBidi" w:cstheme="majorBidi"/>
          <w:sz w:val="24"/>
          <w:szCs w:val="24"/>
        </w:rPr>
        <w:t xml:space="preserve"> </w:t>
      </w:r>
      <w:r>
        <w:rPr>
          <w:rFonts w:asciiTheme="majorBidi" w:hAnsiTheme="majorBidi" w:cstheme="majorBidi"/>
          <w:sz w:val="24"/>
          <w:szCs w:val="24"/>
        </w:rPr>
        <w:t>lowest</w:t>
      </w:r>
      <w:r w:rsidRPr="008D75D3">
        <w:rPr>
          <w:rFonts w:asciiTheme="majorBidi" w:hAnsiTheme="majorBidi" w:cstheme="majorBidi"/>
          <w:sz w:val="24"/>
          <w:szCs w:val="24"/>
        </w:rPr>
        <w:t xml:space="preserve"> agreement is “I dislike the ad</w:t>
      </w:r>
      <w:r>
        <w:rPr>
          <w:rFonts w:asciiTheme="majorBidi" w:hAnsiTheme="majorBidi" w:cstheme="majorBidi"/>
          <w:sz w:val="24"/>
          <w:szCs w:val="24"/>
        </w:rPr>
        <w:t>.</w:t>
      </w:r>
      <w:r w:rsidRPr="008D75D3">
        <w:rPr>
          <w:rFonts w:asciiTheme="majorBidi" w:hAnsiTheme="majorBidi" w:cstheme="majorBidi"/>
          <w:sz w:val="24"/>
          <w:szCs w:val="24"/>
        </w:rPr>
        <w:t>”</w:t>
      </w:r>
    </w:p>
    <w:tbl>
      <w:tblPr>
        <w:tblW w:w="779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709"/>
        <w:gridCol w:w="851"/>
        <w:gridCol w:w="922"/>
        <w:gridCol w:w="920"/>
        <w:gridCol w:w="1843"/>
      </w:tblGrid>
      <w:tr w:rsidR="00D65FF6" w:rsidRPr="00D53E24" w14:paraId="6B433603" w14:textId="77777777" w:rsidTr="00044DE9">
        <w:trPr>
          <w:trHeight w:val="190"/>
        </w:trPr>
        <w:tc>
          <w:tcPr>
            <w:tcW w:w="2551" w:type="dxa"/>
            <w:shd w:val="clear" w:color="auto" w:fill="auto"/>
            <w:noWrap/>
            <w:vAlign w:val="bottom"/>
            <w:hideMark/>
          </w:tcPr>
          <w:p w14:paraId="3E5B796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p>
        </w:tc>
        <w:tc>
          <w:tcPr>
            <w:tcW w:w="709" w:type="dxa"/>
            <w:shd w:val="clear" w:color="auto" w:fill="auto"/>
            <w:vAlign w:val="bottom"/>
            <w:hideMark/>
          </w:tcPr>
          <w:p w14:paraId="564CE970"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851" w:type="dxa"/>
            <w:shd w:val="clear" w:color="auto" w:fill="auto"/>
            <w:vAlign w:val="bottom"/>
            <w:hideMark/>
          </w:tcPr>
          <w:p w14:paraId="5FA44E0B" w14:textId="09D0F1E9"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Min</w:t>
            </w:r>
            <w:r w:rsidR="00044DE9">
              <w:rPr>
                <w:rFonts w:asciiTheme="majorBidi" w:eastAsia="Times New Roman" w:hAnsiTheme="majorBidi" w:cstheme="majorBidi"/>
                <w:color w:val="000000"/>
                <w:sz w:val="20"/>
                <w:szCs w:val="20"/>
              </w:rPr>
              <w:t>.</w:t>
            </w:r>
          </w:p>
        </w:tc>
        <w:tc>
          <w:tcPr>
            <w:tcW w:w="922" w:type="dxa"/>
            <w:shd w:val="clear" w:color="auto" w:fill="auto"/>
            <w:vAlign w:val="bottom"/>
            <w:hideMark/>
          </w:tcPr>
          <w:p w14:paraId="3D52EC77" w14:textId="1A44DE62"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Max</w:t>
            </w:r>
          </w:p>
        </w:tc>
        <w:tc>
          <w:tcPr>
            <w:tcW w:w="920" w:type="dxa"/>
            <w:shd w:val="clear" w:color="auto" w:fill="auto"/>
            <w:vAlign w:val="bottom"/>
            <w:hideMark/>
          </w:tcPr>
          <w:p w14:paraId="31465D5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843" w:type="dxa"/>
            <w:shd w:val="clear" w:color="auto" w:fill="auto"/>
            <w:vAlign w:val="bottom"/>
            <w:hideMark/>
          </w:tcPr>
          <w:p w14:paraId="73785AE0"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r>
      <w:tr w:rsidR="00D65FF6" w:rsidRPr="00D53E24" w14:paraId="12C9E4C2" w14:textId="77777777" w:rsidTr="00044DE9">
        <w:trPr>
          <w:trHeight w:val="130"/>
        </w:trPr>
        <w:tc>
          <w:tcPr>
            <w:tcW w:w="2551" w:type="dxa"/>
            <w:shd w:val="clear" w:color="auto" w:fill="auto"/>
            <w:noWrap/>
            <w:hideMark/>
          </w:tcPr>
          <w:p w14:paraId="0C7C0E0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I dislike the ad (converted)</w:t>
            </w:r>
          </w:p>
        </w:tc>
        <w:tc>
          <w:tcPr>
            <w:tcW w:w="709" w:type="dxa"/>
            <w:shd w:val="clear" w:color="auto" w:fill="auto"/>
            <w:noWrap/>
            <w:vAlign w:val="center"/>
            <w:hideMark/>
          </w:tcPr>
          <w:p w14:paraId="0E31C1B0"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25E02C72"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922" w:type="dxa"/>
            <w:shd w:val="clear" w:color="auto" w:fill="auto"/>
            <w:noWrap/>
            <w:vAlign w:val="center"/>
            <w:hideMark/>
          </w:tcPr>
          <w:p w14:paraId="2415CB09"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20" w:type="dxa"/>
            <w:shd w:val="clear" w:color="auto" w:fill="auto"/>
            <w:noWrap/>
            <w:vAlign w:val="center"/>
            <w:hideMark/>
          </w:tcPr>
          <w:p w14:paraId="731AE5E4"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4.20</w:t>
            </w:r>
          </w:p>
        </w:tc>
        <w:tc>
          <w:tcPr>
            <w:tcW w:w="1843" w:type="dxa"/>
            <w:shd w:val="clear" w:color="auto" w:fill="auto"/>
            <w:noWrap/>
            <w:vAlign w:val="center"/>
            <w:hideMark/>
          </w:tcPr>
          <w:p w14:paraId="69F262E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1.753</w:t>
            </w:r>
          </w:p>
        </w:tc>
      </w:tr>
      <w:tr w:rsidR="00D65FF6" w:rsidRPr="00D53E24" w14:paraId="1057A7C8" w14:textId="77777777" w:rsidTr="00044DE9">
        <w:trPr>
          <w:trHeight w:val="109"/>
        </w:trPr>
        <w:tc>
          <w:tcPr>
            <w:tcW w:w="2551" w:type="dxa"/>
            <w:shd w:val="clear" w:color="auto" w:fill="auto"/>
            <w:noWrap/>
            <w:hideMark/>
          </w:tcPr>
          <w:p w14:paraId="6659A4F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The ad is appealing to me</w:t>
            </w:r>
          </w:p>
        </w:tc>
        <w:tc>
          <w:tcPr>
            <w:tcW w:w="709" w:type="dxa"/>
            <w:shd w:val="clear" w:color="auto" w:fill="auto"/>
            <w:noWrap/>
            <w:vAlign w:val="center"/>
            <w:hideMark/>
          </w:tcPr>
          <w:p w14:paraId="181A844E"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4C525F61"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922" w:type="dxa"/>
            <w:shd w:val="clear" w:color="auto" w:fill="auto"/>
            <w:noWrap/>
            <w:vAlign w:val="center"/>
            <w:hideMark/>
          </w:tcPr>
          <w:p w14:paraId="0F21EB2D"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20" w:type="dxa"/>
            <w:shd w:val="clear" w:color="auto" w:fill="auto"/>
            <w:noWrap/>
            <w:vAlign w:val="center"/>
            <w:hideMark/>
          </w:tcPr>
          <w:p w14:paraId="2347D62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5.01</w:t>
            </w:r>
          </w:p>
        </w:tc>
        <w:tc>
          <w:tcPr>
            <w:tcW w:w="1843" w:type="dxa"/>
            <w:shd w:val="clear" w:color="auto" w:fill="auto"/>
            <w:noWrap/>
            <w:vAlign w:val="center"/>
            <w:hideMark/>
          </w:tcPr>
          <w:p w14:paraId="15EF172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1.486</w:t>
            </w:r>
          </w:p>
        </w:tc>
      </w:tr>
      <w:tr w:rsidR="00D65FF6" w:rsidRPr="00D53E24" w14:paraId="13BF99BD" w14:textId="77777777" w:rsidTr="00044DE9">
        <w:trPr>
          <w:trHeight w:val="109"/>
        </w:trPr>
        <w:tc>
          <w:tcPr>
            <w:tcW w:w="2551" w:type="dxa"/>
            <w:shd w:val="clear" w:color="auto" w:fill="auto"/>
            <w:noWrap/>
            <w:hideMark/>
          </w:tcPr>
          <w:p w14:paraId="0DCC661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The ad is attractive to me</w:t>
            </w:r>
          </w:p>
        </w:tc>
        <w:tc>
          <w:tcPr>
            <w:tcW w:w="709" w:type="dxa"/>
            <w:shd w:val="clear" w:color="auto" w:fill="auto"/>
            <w:noWrap/>
            <w:vAlign w:val="center"/>
            <w:hideMark/>
          </w:tcPr>
          <w:p w14:paraId="75766B28"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5AF9CAB3"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922" w:type="dxa"/>
            <w:shd w:val="clear" w:color="auto" w:fill="auto"/>
            <w:noWrap/>
            <w:vAlign w:val="center"/>
            <w:hideMark/>
          </w:tcPr>
          <w:p w14:paraId="3BE227E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20" w:type="dxa"/>
            <w:shd w:val="clear" w:color="auto" w:fill="auto"/>
            <w:noWrap/>
            <w:vAlign w:val="center"/>
            <w:hideMark/>
          </w:tcPr>
          <w:p w14:paraId="6E21411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4.60</w:t>
            </w:r>
          </w:p>
        </w:tc>
        <w:tc>
          <w:tcPr>
            <w:tcW w:w="1843" w:type="dxa"/>
            <w:shd w:val="clear" w:color="auto" w:fill="auto"/>
            <w:noWrap/>
            <w:vAlign w:val="center"/>
            <w:hideMark/>
          </w:tcPr>
          <w:p w14:paraId="0CCC46AA"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1.584</w:t>
            </w:r>
          </w:p>
        </w:tc>
      </w:tr>
      <w:tr w:rsidR="00D65FF6" w:rsidRPr="00D53E24" w14:paraId="765BAAAE" w14:textId="77777777" w:rsidTr="00044DE9">
        <w:trPr>
          <w:trHeight w:val="109"/>
        </w:trPr>
        <w:tc>
          <w:tcPr>
            <w:tcW w:w="2551" w:type="dxa"/>
            <w:shd w:val="clear" w:color="auto" w:fill="auto"/>
            <w:noWrap/>
            <w:hideMark/>
          </w:tcPr>
          <w:p w14:paraId="3879A10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The ad is interesting to me</w:t>
            </w:r>
          </w:p>
        </w:tc>
        <w:tc>
          <w:tcPr>
            <w:tcW w:w="709" w:type="dxa"/>
            <w:shd w:val="clear" w:color="auto" w:fill="auto"/>
            <w:noWrap/>
            <w:vAlign w:val="center"/>
            <w:hideMark/>
          </w:tcPr>
          <w:p w14:paraId="2D24752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6AAFDFB7"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922" w:type="dxa"/>
            <w:shd w:val="clear" w:color="auto" w:fill="auto"/>
            <w:noWrap/>
            <w:vAlign w:val="center"/>
            <w:hideMark/>
          </w:tcPr>
          <w:p w14:paraId="78265B4D"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20" w:type="dxa"/>
            <w:shd w:val="clear" w:color="auto" w:fill="auto"/>
            <w:noWrap/>
            <w:vAlign w:val="center"/>
            <w:hideMark/>
          </w:tcPr>
          <w:p w14:paraId="7289816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4.51</w:t>
            </w:r>
          </w:p>
        </w:tc>
        <w:tc>
          <w:tcPr>
            <w:tcW w:w="1843" w:type="dxa"/>
            <w:shd w:val="clear" w:color="auto" w:fill="auto"/>
            <w:noWrap/>
            <w:vAlign w:val="center"/>
            <w:hideMark/>
          </w:tcPr>
          <w:p w14:paraId="2036EE2B"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1.705</w:t>
            </w:r>
          </w:p>
        </w:tc>
      </w:tr>
      <w:tr w:rsidR="00D65FF6" w:rsidRPr="00D53E24" w14:paraId="6F59A346" w14:textId="77777777" w:rsidTr="00044DE9">
        <w:trPr>
          <w:trHeight w:val="109"/>
        </w:trPr>
        <w:tc>
          <w:tcPr>
            <w:tcW w:w="2551" w:type="dxa"/>
            <w:shd w:val="clear" w:color="auto" w:fill="auto"/>
            <w:noWrap/>
            <w:hideMark/>
          </w:tcPr>
          <w:p w14:paraId="35AFC4D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I think the ad is bad (converted)</w:t>
            </w:r>
          </w:p>
        </w:tc>
        <w:tc>
          <w:tcPr>
            <w:tcW w:w="709" w:type="dxa"/>
            <w:shd w:val="clear" w:color="auto" w:fill="auto"/>
            <w:noWrap/>
            <w:vAlign w:val="center"/>
            <w:hideMark/>
          </w:tcPr>
          <w:p w14:paraId="331FD1E9"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66C4B501"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922" w:type="dxa"/>
            <w:shd w:val="clear" w:color="auto" w:fill="auto"/>
            <w:noWrap/>
            <w:vAlign w:val="center"/>
            <w:hideMark/>
          </w:tcPr>
          <w:p w14:paraId="2360CDA4"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20" w:type="dxa"/>
            <w:shd w:val="clear" w:color="auto" w:fill="auto"/>
            <w:noWrap/>
            <w:vAlign w:val="center"/>
            <w:hideMark/>
          </w:tcPr>
          <w:p w14:paraId="53BDE418"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4.97</w:t>
            </w:r>
          </w:p>
        </w:tc>
        <w:tc>
          <w:tcPr>
            <w:tcW w:w="1843" w:type="dxa"/>
            <w:shd w:val="clear" w:color="auto" w:fill="auto"/>
            <w:noWrap/>
            <w:vAlign w:val="center"/>
            <w:hideMark/>
          </w:tcPr>
          <w:p w14:paraId="36E44C8E"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1.554</w:t>
            </w:r>
          </w:p>
        </w:tc>
      </w:tr>
      <w:tr w:rsidR="00D65FF6" w:rsidRPr="00D53E24" w14:paraId="4D48DF17" w14:textId="77777777" w:rsidTr="00044DE9">
        <w:trPr>
          <w:trHeight w:val="109"/>
        </w:trPr>
        <w:tc>
          <w:tcPr>
            <w:tcW w:w="2551" w:type="dxa"/>
            <w:shd w:val="clear" w:color="auto" w:fill="auto"/>
            <w:noWrap/>
            <w:hideMark/>
          </w:tcPr>
          <w:p w14:paraId="5CD99D6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709" w:type="dxa"/>
            <w:shd w:val="clear" w:color="auto" w:fill="auto"/>
            <w:noWrap/>
            <w:vAlign w:val="center"/>
            <w:hideMark/>
          </w:tcPr>
          <w:p w14:paraId="237864B1"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5CBB9FD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1.00</w:t>
            </w:r>
          </w:p>
        </w:tc>
        <w:tc>
          <w:tcPr>
            <w:tcW w:w="922" w:type="dxa"/>
            <w:shd w:val="clear" w:color="auto" w:fill="auto"/>
            <w:noWrap/>
            <w:vAlign w:val="center"/>
            <w:hideMark/>
          </w:tcPr>
          <w:p w14:paraId="24EF9DCD"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7.00</w:t>
            </w:r>
          </w:p>
        </w:tc>
        <w:tc>
          <w:tcPr>
            <w:tcW w:w="920" w:type="dxa"/>
            <w:shd w:val="clear" w:color="auto" w:fill="auto"/>
            <w:noWrap/>
            <w:vAlign w:val="center"/>
            <w:hideMark/>
          </w:tcPr>
          <w:p w14:paraId="178578C6"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4.65</w:t>
            </w:r>
          </w:p>
        </w:tc>
        <w:tc>
          <w:tcPr>
            <w:tcW w:w="1843" w:type="dxa"/>
            <w:shd w:val="clear" w:color="auto" w:fill="auto"/>
            <w:noWrap/>
            <w:vAlign w:val="center"/>
            <w:hideMark/>
          </w:tcPr>
          <w:p w14:paraId="7676F95A" w14:textId="77777777" w:rsidR="00D65FF6" w:rsidRPr="00D53E24" w:rsidRDefault="00D65FF6" w:rsidP="008F5D43">
            <w:pPr>
              <w:keepNext/>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1.27498</w:t>
            </w:r>
          </w:p>
        </w:tc>
      </w:tr>
    </w:tbl>
    <w:p w14:paraId="7FA356AF" w14:textId="10900CC9" w:rsidR="00D65FF6" w:rsidRDefault="008F5D43" w:rsidP="008F5D43">
      <w:pPr>
        <w:pStyle w:val="Caption"/>
        <w:rPr>
          <w:rFonts w:asciiTheme="majorBidi" w:hAnsiTheme="majorBidi" w:cstheme="majorBidi"/>
          <w:b/>
          <w:bCs/>
          <w:sz w:val="24"/>
          <w:szCs w:val="24"/>
        </w:rPr>
      </w:pPr>
      <w:r>
        <w:t>Table 2</w:t>
      </w:r>
      <w:r w:rsidR="00044DE9">
        <w:t>3</w:t>
      </w:r>
      <w:r>
        <w:t xml:space="preserve"> Breakdown of respondents in television and social media </w:t>
      </w:r>
    </w:p>
    <w:p w14:paraId="24CD4643" w14:textId="77777777" w:rsidR="00511634" w:rsidRDefault="00511634">
      <w:pPr>
        <w:rPr>
          <w:rFonts w:asciiTheme="majorBidi" w:hAnsiTheme="majorBidi" w:cstheme="majorBidi"/>
          <w:b/>
          <w:bCs/>
          <w:sz w:val="24"/>
          <w:szCs w:val="24"/>
        </w:rPr>
      </w:pPr>
      <w:r>
        <w:rPr>
          <w:rFonts w:asciiTheme="majorBidi" w:hAnsiTheme="majorBidi" w:cstheme="majorBidi"/>
          <w:b/>
          <w:bCs/>
          <w:sz w:val="24"/>
          <w:szCs w:val="24"/>
        </w:rPr>
        <w:br w:type="page"/>
      </w:r>
    </w:p>
    <w:p w14:paraId="384175E7" w14:textId="75D5C401"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 xml:space="preserve">.4 </w:t>
      </w:r>
      <w:r w:rsidRPr="008D75D3">
        <w:rPr>
          <w:rFonts w:asciiTheme="majorBidi" w:hAnsiTheme="majorBidi" w:cstheme="majorBidi"/>
          <w:b/>
          <w:bCs/>
          <w:sz w:val="24"/>
          <w:szCs w:val="24"/>
        </w:rPr>
        <w:t>CSR perception</w:t>
      </w:r>
    </w:p>
    <w:p w14:paraId="5247EB98" w14:textId="6063C3E0" w:rsidR="00D65FF6" w:rsidRPr="008E3F49" w:rsidRDefault="00D65FF6" w:rsidP="008F5D43">
      <w:pPr>
        <w:spacing w:line="480" w:lineRule="auto"/>
        <w:ind w:firstLine="720"/>
        <w:jc w:val="both"/>
        <w:rPr>
          <w:rFonts w:asciiTheme="majorBidi" w:hAnsiTheme="majorBidi" w:cstheme="majorBidi"/>
          <w:sz w:val="24"/>
          <w:szCs w:val="24"/>
        </w:rPr>
      </w:pPr>
      <w:r w:rsidRPr="008D75D3">
        <w:rPr>
          <w:rFonts w:asciiTheme="majorBidi" w:hAnsiTheme="majorBidi" w:cstheme="majorBidi"/>
          <w:sz w:val="24"/>
          <w:szCs w:val="24"/>
        </w:rPr>
        <w:t>The survey was compr</w:t>
      </w:r>
      <w:r>
        <w:rPr>
          <w:rFonts w:asciiTheme="majorBidi" w:hAnsiTheme="majorBidi" w:cstheme="majorBidi"/>
          <w:sz w:val="24"/>
          <w:szCs w:val="24"/>
        </w:rPr>
        <w:t>om</w:t>
      </w:r>
      <w:r w:rsidRPr="008D75D3">
        <w:rPr>
          <w:rFonts w:asciiTheme="majorBidi" w:hAnsiTheme="majorBidi" w:cstheme="majorBidi"/>
          <w:sz w:val="24"/>
          <w:szCs w:val="24"/>
        </w:rPr>
        <w:t xml:space="preserve">ised of </w:t>
      </w:r>
      <w:r w:rsidR="00BD25CF">
        <w:rPr>
          <w:rFonts w:asciiTheme="majorBidi" w:hAnsiTheme="majorBidi" w:cstheme="majorBidi"/>
          <w:sz w:val="24"/>
          <w:szCs w:val="24"/>
        </w:rPr>
        <w:t>six</w:t>
      </w:r>
      <w:r w:rsidRPr="008D75D3">
        <w:rPr>
          <w:rFonts w:asciiTheme="majorBidi" w:hAnsiTheme="majorBidi" w:cstheme="majorBidi"/>
          <w:sz w:val="24"/>
          <w:szCs w:val="24"/>
        </w:rPr>
        <w:t xml:space="preserve"> questions to measure the CSR perception variable</w:t>
      </w:r>
      <w:r w:rsidR="005918C9">
        <w:rPr>
          <w:rFonts w:asciiTheme="majorBidi" w:hAnsiTheme="majorBidi" w:cstheme="majorBidi"/>
          <w:sz w:val="24"/>
          <w:szCs w:val="24"/>
        </w:rPr>
        <w:t xml:space="preserve"> which is used once as a moderator in this study and will be used again as an independent variable to</w:t>
      </w:r>
      <w:r w:rsidR="008B7520">
        <w:rPr>
          <w:rFonts w:asciiTheme="majorBidi" w:hAnsiTheme="majorBidi" w:cstheme="majorBidi"/>
          <w:sz w:val="24"/>
          <w:szCs w:val="24"/>
        </w:rPr>
        <w:t xml:space="preserve"> measure congruency</w:t>
      </w:r>
      <w:r w:rsidRPr="008D75D3">
        <w:rPr>
          <w:rFonts w:asciiTheme="majorBidi" w:hAnsiTheme="majorBidi" w:cstheme="majorBidi"/>
          <w:sz w:val="24"/>
          <w:szCs w:val="24"/>
        </w:rPr>
        <w:t>.</w:t>
      </w:r>
      <w:r>
        <w:rPr>
          <w:rFonts w:asciiTheme="majorBidi" w:hAnsiTheme="majorBidi" w:cstheme="majorBidi"/>
          <w:sz w:val="24"/>
          <w:szCs w:val="24"/>
        </w:rPr>
        <w:t xml:space="preserve"> T</w:t>
      </w:r>
      <w:r w:rsidRPr="008D75D3">
        <w:rPr>
          <w:rFonts w:asciiTheme="majorBidi" w:hAnsiTheme="majorBidi" w:cstheme="majorBidi"/>
          <w:sz w:val="24"/>
          <w:szCs w:val="24"/>
        </w:rPr>
        <w:t xml:space="preserve">he </w:t>
      </w:r>
      <w:r>
        <w:rPr>
          <w:rFonts w:asciiTheme="majorBidi" w:hAnsiTheme="majorBidi" w:cstheme="majorBidi"/>
          <w:sz w:val="24"/>
          <w:szCs w:val="24"/>
        </w:rPr>
        <w:t xml:space="preserve">below </w:t>
      </w:r>
      <w:r w:rsidRPr="008D75D3">
        <w:rPr>
          <w:rFonts w:asciiTheme="majorBidi" w:hAnsiTheme="majorBidi" w:cstheme="majorBidi"/>
          <w:sz w:val="24"/>
          <w:szCs w:val="24"/>
        </w:rPr>
        <w:t xml:space="preserve">table </w:t>
      </w:r>
      <w:r>
        <w:rPr>
          <w:rFonts w:asciiTheme="majorBidi" w:hAnsiTheme="majorBidi" w:cstheme="majorBidi"/>
          <w:sz w:val="24"/>
          <w:szCs w:val="24"/>
        </w:rPr>
        <w:t>shows</w:t>
      </w:r>
      <w:r w:rsidRPr="008D75D3">
        <w:rPr>
          <w:rFonts w:asciiTheme="majorBidi" w:hAnsiTheme="majorBidi" w:cstheme="majorBidi"/>
          <w:sz w:val="24"/>
          <w:szCs w:val="24"/>
        </w:rPr>
        <w:t xml:space="preserve"> that the average of all statements is between 4 and 5 which indicates that respondent tends to neutrally or slightly agree to the statements that measure</w:t>
      </w:r>
      <w:r w:rsidR="00BD25CF">
        <w:rPr>
          <w:rFonts w:asciiTheme="majorBidi" w:hAnsiTheme="majorBidi" w:cstheme="majorBidi"/>
          <w:sz w:val="24"/>
          <w:szCs w:val="24"/>
        </w:rPr>
        <w:t>d</w:t>
      </w:r>
      <w:r w:rsidRPr="008D75D3">
        <w:rPr>
          <w:rFonts w:asciiTheme="majorBidi" w:hAnsiTheme="majorBidi" w:cstheme="majorBidi"/>
          <w:sz w:val="24"/>
          <w:szCs w:val="24"/>
        </w:rPr>
        <w:t xml:space="preserve"> </w:t>
      </w:r>
      <w:r w:rsidR="00BD25CF">
        <w:rPr>
          <w:rFonts w:asciiTheme="majorBidi" w:hAnsiTheme="majorBidi" w:cstheme="majorBidi"/>
          <w:sz w:val="24"/>
          <w:szCs w:val="24"/>
        </w:rPr>
        <w:t>CSR perception</w:t>
      </w:r>
      <w:r w:rsidRPr="008D75D3">
        <w:rPr>
          <w:rFonts w:asciiTheme="majorBidi" w:hAnsiTheme="majorBidi" w:cstheme="majorBidi"/>
          <w:sz w:val="24"/>
          <w:szCs w:val="24"/>
        </w:rPr>
        <w:t>. The statement with highest agreement is “My ideal brand plays a role in society that goes beyond the mere generation of profits</w:t>
      </w:r>
      <w:r w:rsidR="00BD25CF">
        <w:rPr>
          <w:rFonts w:asciiTheme="majorBidi" w:hAnsiTheme="majorBidi" w:cstheme="majorBidi"/>
          <w:sz w:val="24"/>
          <w:szCs w:val="24"/>
        </w:rPr>
        <w:t>.</w:t>
      </w:r>
      <w:r w:rsidRPr="008D75D3">
        <w:rPr>
          <w:rFonts w:asciiTheme="majorBidi" w:hAnsiTheme="majorBidi" w:cstheme="majorBidi"/>
          <w:sz w:val="24"/>
          <w:szCs w:val="24"/>
        </w:rPr>
        <w:t xml:space="preserve">” While the statement with </w:t>
      </w:r>
      <w:r w:rsidR="004A561D">
        <w:rPr>
          <w:rFonts w:asciiTheme="majorBidi" w:hAnsiTheme="majorBidi" w:cstheme="majorBidi"/>
          <w:sz w:val="24"/>
          <w:szCs w:val="24"/>
        </w:rPr>
        <w:t>lowest</w:t>
      </w:r>
      <w:r w:rsidRPr="008D75D3">
        <w:rPr>
          <w:rFonts w:asciiTheme="majorBidi" w:hAnsiTheme="majorBidi" w:cstheme="majorBidi"/>
          <w:sz w:val="24"/>
          <w:szCs w:val="24"/>
        </w:rPr>
        <w:t xml:space="preserve"> agreement is “</w:t>
      </w:r>
      <w:r w:rsidR="00BD25CF">
        <w:rPr>
          <w:rFonts w:asciiTheme="majorBidi" w:hAnsiTheme="majorBidi" w:cstheme="majorBidi"/>
          <w:sz w:val="24"/>
          <w:szCs w:val="24"/>
        </w:rPr>
        <w:t>m</w:t>
      </w:r>
      <w:r w:rsidRPr="008D75D3">
        <w:rPr>
          <w:rFonts w:asciiTheme="majorBidi" w:hAnsiTheme="majorBidi" w:cstheme="majorBidi"/>
          <w:sz w:val="24"/>
          <w:szCs w:val="24"/>
        </w:rPr>
        <w:t>y ideal brand helps solve social problems</w:t>
      </w:r>
      <w:r>
        <w:rPr>
          <w:rFonts w:asciiTheme="majorBidi" w:hAnsiTheme="majorBidi" w:cstheme="majorBidi"/>
          <w:sz w:val="24"/>
          <w:szCs w:val="24"/>
        </w:rPr>
        <w:t>.</w:t>
      </w:r>
      <w:r w:rsidRPr="008D75D3">
        <w:rPr>
          <w:rFonts w:asciiTheme="majorBidi" w:hAnsiTheme="majorBidi" w:cstheme="majorBidi"/>
          <w:sz w:val="24"/>
          <w:szCs w:val="24"/>
        </w:rPr>
        <w:t>”</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709"/>
        <w:gridCol w:w="851"/>
        <w:gridCol w:w="633"/>
        <w:gridCol w:w="1068"/>
        <w:gridCol w:w="1559"/>
      </w:tblGrid>
      <w:tr w:rsidR="00D65FF6" w:rsidRPr="00D53E24" w14:paraId="4A3BC158" w14:textId="77777777" w:rsidTr="00044DE9">
        <w:trPr>
          <w:trHeight w:val="277"/>
        </w:trPr>
        <w:tc>
          <w:tcPr>
            <w:tcW w:w="8079" w:type="dxa"/>
            <w:gridSpan w:val="6"/>
            <w:shd w:val="clear" w:color="auto" w:fill="auto"/>
            <w:vAlign w:val="center"/>
            <w:hideMark/>
          </w:tcPr>
          <w:p w14:paraId="2C260933" w14:textId="77777777" w:rsidR="00D65FF6" w:rsidRPr="00D53E24" w:rsidRDefault="00D65FF6" w:rsidP="008D0DBB">
            <w:pPr>
              <w:spacing w:after="0" w:line="240" w:lineRule="auto"/>
              <w:jc w:val="center"/>
              <w:rPr>
                <w:rFonts w:asciiTheme="majorBidi" w:eastAsia="Times New Roman" w:hAnsiTheme="majorBidi" w:cstheme="majorBidi"/>
                <w:b/>
                <w:bCs/>
                <w:color w:val="000000"/>
                <w:sz w:val="20"/>
                <w:szCs w:val="20"/>
              </w:rPr>
            </w:pPr>
            <w:r w:rsidRPr="00D53E24">
              <w:rPr>
                <w:rFonts w:asciiTheme="majorBidi" w:eastAsia="Times New Roman" w:hAnsiTheme="majorBidi" w:cstheme="majorBidi"/>
                <w:b/>
                <w:bCs/>
                <w:color w:val="000000"/>
                <w:sz w:val="20"/>
                <w:szCs w:val="20"/>
              </w:rPr>
              <w:t>Descriptive Statistics</w:t>
            </w:r>
          </w:p>
        </w:tc>
      </w:tr>
      <w:tr w:rsidR="00D65FF6" w:rsidRPr="00D53E24" w14:paraId="41BE87CD" w14:textId="77777777" w:rsidTr="00044DE9">
        <w:trPr>
          <w:trHeight w:val="462"/>
        </w:trPr>
        <w:tc>
          <w:tcPr>
            <w:tcW w:w="3543" w:type="dxa"/>
            <w:shd w:val="clear" w:color="auto" w:fill="auto"/>
            <w:noWrap/>
            <w:vAlign w:val="bottom"/>
            <w:hideMark/>
          </w:tcPr>
          <w:p w14:paraId="7175224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p>
        </w:tc>
        <w:tc>
          <w:tcPr>
            <w:tcW w:w="709" w:type="dxa"/>
            <w:shd w:val="clear" w:color="auto" w:fill="auto"/>
            <w:vAlign w:val="bottom"/>
            <w:hideMark/>
          </w:tcPr>
          <w:p w14:paraId="35B22CA2"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851" w:type="dxa"/>
            <w:shd w:val="clear" w:color="auto" w:fill="auto"/>
            <w:vAlign w:val="bottom"/>
            <w:hideMark/>
          </w:tcPr>
          <w:p w14:paraId="0F67071D" w14:textId="3DB29690"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Min</w:t>
            </w:r>
          </w:p>
        </w:tc>
        <w:tc>
          <w:tcPr>
            <w:tcW w:w="349" w:type="dxa"/>
            <w:shd w:val="clear" w:color="auto" w:fill="auto"/>
            <w:vAlign w:val="bottom"/>
            <w:hideMark/>
          </w:tcPr>
          <w:p w14:paraId="7E88A937" w14:textId="2FBBED85"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Max</w:t>
            </w:r>
            <w:r w:rsidR="00044DE9">
              <w:rPr>
                <w:rFonts w:asciiTheme="majorBidi" w:eastAsia="Times New Roman" w:hAnsiTheme="majorBidi" w:cstheme="majorBidi"/>
                <w:color w:val="000000"/>
                <w:sz w:val="20"/>
                <w:szCs w:val="20"/>
              </w:rPr>
              <w:t>.</w:t>
            </w:r>
          </w:p>
        </w:tc>
        <w:tc>
          <w:tcPr>
            <w:tcW w:w="1068" w:type="dxa"/>
            <w:shd w:val="clear" w:color="auto" w:fill="auto"/>
            <w:vAlign w:val="bottom"/>
            <w:hideMark/>
          </w:tcPr>
          <w:p w14:paraId="5BD0A056"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559" w:type="dxa"/>
            <w:shd w:val="clear" w:color="auto" w:fill="auto"/>
            <w:vAlign w:val="bottom"/>
            <w:hideMark/>
          </w:tcPr>
          <w:p w14:paraId="6DA3D8B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r>
      <w:tr w:rsidR="00D65FF6" w:rsidRPr="00D53E24" w14:paraId="0A2FC690" w14:textId="77777777" w:rsidTr="00044DE9">
        <w:trPr>
          <w:trHeight w:val="277"/>
        </w:trPr>
        <w:tc>
          <w:tcPr>
            <w:tcW w:w="3543" w:type="dxa"/>
            <w:shd w:val="clear" w:color="auto" w:fill="auto"/>
            <w:noWrap/>
            <w:hideMark/>
          </w:tcPr>
          <w:p w14:paraId="456CA5B4" w14:textId="77777777" w:rsidR="00D65FF6" w:rsidRPr="00D53E24" w:rsidRDefault="00D65FF6" w:rsidP="00044DE9">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My ideal brand helps solve social problems</w:t>
            </w:r>
          </w:p>
        </w:tc>
        <w:tc>
          <w:tcPr>
            <w:tcW w:w="709" w:type="dxa"/>
            <w:shd w:val="clear" w:color="auto" w:fill="auto"/>
            <w:noWrap/>
            <w:vAlign w:val="center"/>
            <w:hideMark/>
          </w:tcPr>
          <w:p w14:paraId="741DC93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35BE7471"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349" w:type="dxa"/>
            <w:shd w:val="clear" w:color="auto" w:fill="auto"/>
            <w:noWrap/>
            <w:vAlign w:val="center"/>
            <w:hideMark/>
          </w:tcPr>
          <w:p w14:paraId="6685E4F2"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1068" w:type="dxa"/>
            <w:shd w:val="clear" w:color="auto" w:fill="auto"/>
            <w:noWrap/>
            <w:vAlign w:val="center"/>
            <w:hideMark/>
          </w:tcPr>
          <w:p w14:paraId="39AD0636"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4.43</w:t>
            </w:r>
          </w:p>
        </w:tc>
        <w:tc>
          <w:tcPr>
            <w:tcW w:w="1559" w:type="dxa"/>
            <w:shd w:val="clear" w:color="auto" w:fill="auto"/>
            <w:noWrap/>
            <w:vAlign w:val="center"/>
            <w:hideMark/>
          </w:tcPr>
          <w:p w14:paraId="3DD4077B"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1.775</w:t>
            </w:r>
          </w:p>
        </w:tc>
      </w:tr>
      <w:tr w:rsidR="00D65FF6" w:rsidRPr="00D53E24" w14:paraId="718DE592" w14:textId="77777777" w:rsidTr="00044DE9">
        <w:trPr>
          <w:trHeight w:val="268"/>
        </w:trPr>
        <w:tc>
          <w:tcPr>
            <w:tcW w:w="3543" w:type="dxa"/>
            <w:shd w:val="clear" w:color="auto" w:fill="auto"/>
            <w:noWrap/>
            <w:hideMark/>
          </w:tcPr>
          <w:p w14:paraId="65E143B9" w14:textId="77777777" w:rsidR="00D65FF6" w:rsidRPr="00D53E24" w:rsidRDefault="00D65FF6" w:rsidP="00044DE9">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My ideal brand has a strong sense of corporate social responsibility</w:t>
            </w:r>
          </w:p>
        </w:tc>
        <w:tc>
          <w:tcPr>
            <w:tcW w:w="709" w:type="dxa"/>
            <w:shd w:val="clear" w:color="auto" w:fill="auto"/>
            <w:noWrap/>
            <w:vAlign w:val="center"/>
            <w:hideMark/>
          </w:tcPr>
          <w:p w14:paraId="0DF00001"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4B3CDA23"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349" w:type="dxa"/>
            <w:shd w:val="clear" w:color="auto" w:fill="auto"/>
            <w:noWrap/>
            <w:vAlign w:val="center"/>
            <w:hideMark/>
          </w:tcPr>
          <w:p w14:paraId="78895E42"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1068" w:type="dxa"/>
            <w:shd w:val="clear" w:color="auto" w:fill="auto"/>
            <w:noWrap/>
            <w:vAlign w:val="center"/>
            <w:hideMark/>
          </w:tcPr>
          <w:p w14:paraId="48F1F93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4.77</w:t>
            </w:r>
          </w:p>
        </w:tc>
        <w:tc>
          <w:tcPr>
            <w:tcW w:w="1559" w:type="dxa"/>
            <w:shd w:val="clear" w:color="auto" w:fill="auto"/>
            <w:noWrap/>
            <w:vAlign w:val="center"/>
            <w:hideMark/>
          </w:tcPr>
          <w:p w14:paraId="05F3B5B0"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1.615</w:t>
            </w:r>
          </w:p>
        </w:tc>
      </w:tr>
      <w:tr w:rsidR="00D65FF6" w:rsidRPr="00D53E24" w14:paraId="122EF9A4" w14:textId="77777777" w:rsidTr="00044DE9">
        <w:trPr>
          <w:trHeight w:val="268"/>
        </w:trPr>
        <w:tc>
          <w:tcPr>
            <w:tcW w:w="3543" w:type="dxa"/>
            <w:shd w:val="clear" w:color="auto" w:fill="auto"/>
            <w:noWrap/>
            <w:hideMark/>
          </w:tcPr>
          <w:p w14:paraId="6BACFA90" w14:textId="77777777" w:rsidR="00D65FF6" w:rsidRPr="00D53E24" w:rsidRDefault="00D65FF6" w:rsidP="00044DE9">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My ideal brand gives adequate contributions to local communities</w:t>
            </w:r>
          </w:p>
        </w:tc>
        <w:tc>
          <w:tcPr>
            <w:tcW w:w="709" w:type="dxa"/>
            <w:shd w:val="clear" w:color="auto" w:fill="auto"/>
            <w:noWrap/>
            <w:vAlign w:val="center"/>
            <w:hideMark/>
          </w:tcPr>
          <w:p w14:paraId="66154F23"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5A89D00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349" w:type="dxa"/>
            <w:shd w:val="clear" w:color="auto" w:fill="auto"/>
            <w:noWrap/>
            <w:vAlign w:val="center"/>
            <w:hideMark/>
          </w:tcPr>
          <w:p w14:paraId="73FF507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1068" w:type="dxa"/>
            <w:shd w:val="clear" w:color="auto" w:fill="auto"/>
            <w:noWrap/>
            <w:vAlign w:val="center"/>
            <w:hideMark/>
          </w:tcPr>
          <w:p w14:paraId="24C006C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4.96</w:t>
            </w:r>
          </w:p>
        </w:tc>
        <w:tc>
          <w:tcPr>
            <w:tcW w:w="1559" w:type="dxa"/>
            <w:shd w:val="clear" w:color="auto" w:fill="auto"/>
            <w:noWrap/>
            <w:vAlign w:val="center"/>
            <w:hideMark/>
          </w:tcPr>
          <w:p w14:paraId="75D1F19D"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1.551</w:t>
            </w:r>
          </w:p>
        </w:tc>
      </w:tr>
      <w:tr w:rsidR="00D65FF6" w:rsidRPr="00D53E24" w14:paraId="2BCEDDB6" w14:textId="77777777" w:rsidTr="00044DE9">
        <w:trPr>
          <w:trHeight w:val="268"/>
        </w:trPr>
        <w:tc>
          <w:tcPr>
            <w:tcW w:w="3543" w:type="dxa"/>
            <w:shd w:val="clear" w:color="auto" w:fill="auto"/>
            <w:noWrap/>
            <w:hideMark/>
          </w:tcPr>
          <w:p w14:paraId="2F2BC7BE" w14:textId="77777777" w:rsidR="00D65FF6" w:rsidRPr="00D53E24" w:rsidRDefault="00D65FF6" w:rsidP="00044DE9">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My ideal brand allocates some of its resources to philanthropic activities</w:t>
            </w:r>
          </w:p>
        </w:tc>
        <w:tc>
          <w:tcPr>
            <w:tcW w:w="709" w:type="dxa"/>
            <w:shd w:val="clear" w:color="auto" w:fill="auto"/>
            <w:noWrap/>
            <w:vAlign w:val="center"/>
            <w:hideMark/>
          </w:tcPr>
          <w:p w14:paraId="3D9AA29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705C10C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349" w:type="dxa"/>
            <w:shd w:val="clear" w:color="auto" w:fill="auto"/>
            <w:noWrap/>
            <w:vAlign w:val="center"/>
            <w:hideMark/>
          </w:tcPr>
          <w:p w14:paraId="16FDB782"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1068" w:type="dxa"/>
            <w:shd w:val="clear" w:color="auto" w:fill="auto"/>
            <w:noWrap/>
            <w:vAlign w:val="center"/>
            <w:hideMark/>
          </w:tcPr>
          <w:p w14:paraId="1E75B5B1"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5.00</w:t>
            </w:r>
          </w:p>
        </w:tc>
        <w:tc>
          <w:tcPr>
            <w:tcW w:w="1559" w:type="dxa"/>
            <w:shd w:val="clear" w:color="auto" w:fill="auto"/>
            <w:noWrap/>
            <w:vAlign w:val="center"/>
            <w:hideMark/>
          </w:tcPr>
          <w:p w14:paraId="24C81B5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1.487</w:t>
            </w:r>
          </w:p>
        </w:tc>
      </w:tr>
      <w:tr w:rsidR="00D65FF6" w:rsidRPr="00D53E24" w14:paraId="7970DDA1" w14:textId="77777777" w:rsidTr="00044DE9">
        <w:trPr>
          <w:trHeight w:val="268"/>
        </w:trPr>
        <w:tc>
          <w:tcPr>
            <w:tcW w:w="3543" w:type="dxa"/>
            <w:shd w:val="clear" w:color="auto" w:fill="auto"/>
            <w:noWrap/>
            <w:hideMark/>
          </w:tcPr>
          <w:p w14:paraId="3A1C4C8F" w14:textId="77777777" w:rsidR="00D65FF6" w:rsidRPr="00D53E24" w:rsidRDefault="00D65FF6" w:rsidP="00044DE9">
            <w:pPr>
              <w:spacing w:after="0" w:line="240" w:lineRule="auto"/>
              <w:rPr>
                <w:rFonts w:asciiTheme="majorBidi" w:eastAsia="Times New Roman" w:hAnsiTheme="majorBidi" w:cstheme="majorBidi"/>
                <w:color w:val="000000"/>
                <w:sz w:val="20"/>
                <w:szCs w:val="20"/>
              </w:rPr>
            </w:pPr>
            <w:bookmarkStart w:id="158" w:name="_Hlk119490186"/>
            <w:r w:rsidRPr="00D53E24">
              <w:rPr>
                <w:rFonts w:asciiTheme="majorBidi" w:eastAsia="Times New Roman" w:hAnsiTheme="majorBidi" w:cstheme="majorBidi"/>
                <w:color w:val="000000"/>
                <w:sz w:val="20"/>
                <w:szCs w:val="20"/>
              </w:rPr>
              <w:t>My ideal brand plays a role in society that goes beyond the mere generation of profits</w:t>
            </w:r>
            <w:bookmarkEnd w:id="158"/>
          </w:p>
        </w:tc>
        <w:tc>
          <w:tcPr>
            <w:tcW w:w="709" w:type="dxa"/>
            <w:shd w:val="clear" w:color="auto" w:fill="auto"/>
            <w:noWrap/>
            <w:vAlign w:val="center"/>
            <w:hideMark/>
          </w:tcPr>
          <w:p w14:paraId="6AB1E1B0"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452C11AD"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349" w:type="dxa"/>
            <w:shd w:val="clear" w:color="auto" w:fill="auto"/>
            <w:noWrap/>
            <w:vAlign w:val="center"/>
            <w:hideMark/>
          </w:tcPr>
          <w:p w14:paraId="46AEF389"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1068" w:type="dxa"/>
            <w:shd w:val="clear" w:color="auto" w:fill="auto"/>
            <w:noWrap/>
            <w:vAlign w:val="center"/>
            <w:hideMark/>
          </w:tcPr>
          <w:p w14:paraId="40C1B8DE"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5.13</w:t>
            </w:r>
          </w:p>
        </w:tc>
        <w:tc>
          <w:tcPr>
            <w:tcW w:w="1559" w:type="dxa"/>
            <w:shd w:val="clear" w:color="auto" w:fill="auto"/>
            <w:noWrap/>
            <w:vAlign w:val="center"/>
            <w:hideMark/>
          </w:tcPr>
          <w:p w14:paraId="62DDFE47"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1.525</w:t>
            </w:r>
          </w:p>
        </w:tc>
      </w:tr>
      <w:tr w:rsidR="00D65FF6" w:rsidRPr="00D53E24" w14:paraId="6CD5B649" w14:textId="77777777" w:rsidTr="00044DE9">
        <w:trPr>
          <w:trHeight w:val="268"/>
        </w:trPr>
        <w:tc>
          <w:tcPr>
            <w:tcW w:w="3543" w:type="dxa"/>
            <w:shd w:val="clear" w:color="auto" w:fill="auto"/>
            <w:noWrap/>
            <w:hideMark/>
          </w:tcPr>
          <w:p w14:paraId="79F362A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My ideal brand encourages its employees to participate in voluntarily activities</w:t>
            </w:r>
          </w:p>
        </w:tc>
        <w:tc>
          <w:tcPr>
            <w:tcW w:w="709" w:type="dxa"/>
            <w:shd w:val="clear" w:color="auto" w:fill="auto"/>
            <w:noWrap/>
            <w:vAlign w:val="center"/>
            <w:hideMark/>
          </w:tcPr>
          <w:p w14:paraId="091C493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1D313412"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349" w:type="dxa"/>
            <w:shd w:val="clear" w:color="auto" w:fill="auto"/>
            <w:noWrap/>
            <w:vAlign w:val="center"/>
            <w:hideMark/>
          </w:tcPr>
          <w:p w14:paraId="03A76AC3"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1068" w:type="dxa"/>
            <w:shd w:val="clear" w:color="auto" w:fill="auto"/>
            <w:noWrap/>
            <w:vAlign w:val="center"/>
            <w:hideMark/>
          </w:tcPr>
          <w:p w14:paraId="48B7749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4.95</w:t>
            </w:r>
          </w:p>
        </w:tc>
        <w:tc>
          <w:tcPr>
            <w:tcW w:w="1559" w:type="dxa"/>
            <w:shd w:val="clear" w:color="auto" w:fill="auto"/>
            <w:noWrap/>
            <w:vAlign w:val="center"/>
            <w:hideMark/>
          </w:tcPr>
          <w:p w14:paraId="4101603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1.484</w:t>
            </w:r>
          </w:p>
        </w:tc>
      </w:tr>
      <w:tr w:rsidR="00D65FF6" w:rsidRPr="00D53E24" w14:paraId="1EFA5E99" w14:textId="77777777" w:rsidTr="00044DE9">
        <w:trPr>
          <w:trHeight w:val="268"/>
        </w:trPr>
        <w:tc>
          <w:tcPr>
            <w:tcW w:w="3543" w:type="dxa"/>
            <w:shd w:val="clear" w:color="auto" w:fill="auto"/>
            <w:noWrap/>
            <w:hideMark/>
          </w:tcPr>
          <w:p w14:paraId="5DBEFC37"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 perception</w:t>
            </w:r>
          </w:p>
        </w:tc>
        <w:tc>
          <w:tcPr>
            <w:tcW w:w="709" w:type="dxa"/>
            <w:shd w:val="clear" w:color="auto" w:fill="auto"/>
            <w:noWrap/>
            <w:vAlign w:val="center"/>
            <w:hideMark/>
          </w:tcPr>
          <w:p w14:paraId="02DEA0D4"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31CC8623"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1.00</w:t>
            </w:r>
          </w:p>
        </w:tc>
        <w:tc>
          <w:tcPr>
            <w:tcW w:w="349" w:type="dxa"/>
            <w:shd w:val="clear" w:color="auto" w:fill="auto"/>
            <w:noWrap/>
            <w:vAlign w:val="center"/>
            <w:hideMark/>
          </w:tcPr>
          <w:p w14:paraId="0E42AB23"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7.00</w:t>
            </w:r>
          </w:p>
        </w:tc>
        <w:tc>
          <w:tcPr>
            <w:tcW w:w="1068" w:type="dxa"/>
            <w:shd w:val="clear" w:color="auto" w:fill="auto"/>
            <w:noWrap/>
            <w:vAlign w:val="center"/>
            <w:hideMark/>
          </w:tcPr>
          <w:p w14:paraId="2EAC0D98"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4.8745</w:t>
            </w:r>
          </w:p>
        </w:tc>
        <w:tc>
          <w:tcPr>
            <w:tcW w:w="1559" w:type="dxa"/>
            <w:shd w:val="clear" w:color="auto" w:fill="auto"/>
            <w:noWrap/>
            <w:vAlign w:val="center"/>
            <w:hideMark/>
          </w:tcPr>
          <w:p w14:paraId="19925CAF" w14:textId="77777777" w:rsidR="00D65FF6" w:rsidRPr="00D53E24" w:rsidRDefault="00D65FF6" w:rsidP="008F5D43">
            <w:pPr>
              <w:keepNext/>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1.28251</w:t>
            </w:r>
          </w:p>
        </w:tc>
      </w:tr>
    </w:tbl>
    <w:p w14:paraId="060BCFD4" w14:textId="258CF041" w:rsidR="00D65FF6" w:rsidRDefault="008F5D43" w:rsidP="008F5D43">
      <w:pPr>
        <w:pStyle w:val="Caption"/>
        <w:rPr>
          <w:rFonts w:asciiTheme="majorBidi" w:hAnsiTheme="majorBidi" w:cstheme="majorBidi"/>
          <w:b/>
          <w:bCs/>
          <w:sz w:val="24"/>
          <w:szCs w:val="24"/>
        </w:rPr>
      </w:pPr>
      <w:r>
        <w:t>Table 2</w:t>
      </w:r>
      <w:r w:rsidR="00044DE9">
        <w:t>4</w:t>
      </w:r>
      <w:r>
        <w:t xml:space="preserve"> Descriptive statistics of the CSR Perception variable </w:t>
      </w:r>
    </w:p>
    <w:p w14:paraId="0E30ACFE" w14:textId="52E6984B"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 xml:space="preserve">.5 </w:t>
      </w:r>
      <w:r w:rsidRPr="008D75D3">
        <w:rPr>
          <w:rFonts w:asciiTheme="majorBidi" w:hAnsiTheme="majorBidi" w:cstheme="majorBidi"/>
          <w:b/>
          <w:bCs/>
          <w:sz w:val="24"/>
          <w:szCs w:val="24"/>
        </w:rPr>
        <w:t>Brand functionality</w:t>
      </w:r>
    </w:p>
    <w:p w14:paraId="6F297E9D" w14:textId="496BEC7D" w:rsidR="00D65FF6" w:rsidRPr="008E3F49" w:rsidRDefault="00D65FF6" w:rsidP="008F5D43">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8D75D3">
        <w:rPr>
          <w:rFonts w:asciiTheme="majorBidi" w:hAnsiTheme="majorBidi" w:cstheme="majorBidi"/>
          <w:sz w:val="24"/>
          <w:szCs w:val="24"/>
        </w:rPr>
        <w:t xml:space="preserve">The survey </w:t>
      </w:r>
      <w:r>
        <w:rPr>
          <w:rFonts w:asciiTheme="majorBidi" w:hAnsiTheme="majorBidi" w:cstheme="majorBidi"/>
          <w:sz w:val="24"/>
          <w:szCs w:val="24"/>
        </w:rPr>
        <w:t>included</w:t>
      </w:r>
      <w:r w:rsidRPr="008D75D3">
        <w:rPr>
          <w:rFonts w:asciiTheme="majorBidi" w:hAnsiTheme="majorBidi" w:cstheme="majorBidi"/>
          <w:sz w:val="24"/>
          <w:szCs w:val="24"/>
        </w:rPr>
        <w:t xml:space="preserve"> </w:t>
      </w:r>
      <w:r w:rsidR="00BD25CF">
        <w:rPr>
          <w:rFonts w:asciiTheme="majorBidi" w:hAnsiTheme="majorBidi" w:cstheme="majorBidi"/>
          <w:sz w:val="24"/>
          <w:szCs w:val="24"/>
        </w:rPr>
        <w:t>five</w:t>
      </w:r>
      <w:r w:rsidRPr="008D75D3">
        <w:rPr>
          <w:rFonts w:asciiTheme="majorBidi" w:hAnsiTheme="majorBidi" w:cstheme="majorBidi"/>
          <w:sz w:val="24"/>
          <w:szCs w:val="24"/>
        </w:rPr>
        <w:t xml:space="preserve"> </w:t>
      </w:r>
      <w:r w:rsidR="00BD25CF">
        <w:rPr>
          <w:rFonts w:asciiTheme="majorBidi" w:hAnsiTheme="majorBidi" w:cstheme="majorBidi"/>
          <w:sz w:val="24"/>
          <w:szCs w:val="24"/>
        </w:rPr>
        <w:t>statements</w:t>
      </w:r>
      <w:r w:rsidRPr="008D75D3">
        <w:rPr>
          <w:rFonts w:asciiTheme="majorBidi" w:hAnsiTheme="majorBidi" w:cstheme="majorBidi"/>
          <w:sz w:val="24"/>
          <w:szCs w:val="24"/>
        </w:rPr>
        <w:t xml:space="preserve"> to measure the brand functionality variable. </w:t>
      </w:r>
      <w:r>
        <w:rPr>
          <w:rFonts w:asciiTheme="majorBidi" w:hAnsiTheme="majorBidi" w:cstheme="majorBidi"/>
          <w:sz w:val="24"/>
          <w:szCs w:val="24"/>
        </w:rPr>
        <w:t>T</w:t>
      </w:r>
      <w:r w:rsidRPr="008D75D3">
        <w:rPr>
          <w:rFonts w:asciiTheme="majorBidi" w:hAnsiTheme="majorBidi" w:cstheme="majorBidi"/>
          <w:sz w:val="24"/>
          <w:szCs w:val="24"/>
        </w:rPr>
        <w:t>able</w:t>
      </w:r>
      <w:r w:rsidR="004C729F">
        <w:rPr>
          <w:rFonts w:asciiTheme="majorBidi" w:hAnsiTheme="majorBidi" w:cstheme="majorBidi"/>
          <w:sz w:val="24"/>
          <w:szCs w:val="24"/>
        </w:rPr>
        <w:t xml:space="preserve"> 2</w:t>
      </w:r>
      <w:r w:rsidR="00F5085B">
        <w:rPr>
          <w:rFonts w:asciiTheme="majorBidi" w:hAnsiTheme="majorBidi" w:cstheme="majorBidi"/>
          <w:sz w:val="24"/>
          <w:szCs w:val="24"/>
        </w:rPr>
        <w:t>5</w:t>
      </w:r>
      <w:r>
        <w:rPr>
          <w:rFonts w:asciiTheme="majorBidi" w:hAnsiTheme="majorBidi" w:cstheme="majorBidi"/>
          <w:sz w:val="24"/>
          <w:szCs w:val="24"/>
        </w:rPr>
        <w:t xml:space="preserve"> shows</w:t>
      </w:r>
      <w:r w:rsidRPr="008D75D3">
        <w:rPr>
          <w:rFonts w:asciiTheme="majorBidi" w:hAnsiTheme="majorBidi" w:cstheme="majorBidi"/>
          <w:sz w:val="24"/>
          <w:szCs w:val="24"/>
        </w:rPr>
        <w:t xml:space="preserve"> the average of all statements is between </w:t>
      </w:r>
      <w:r>
        <w:rPr>
          <w:rFonts w:asciiTheme="majorBidi" w:hAnsiTheme="majorBidi" w:cstheme="majorBidi"/>
          <w:sz w:val="24"/>
          <w:szCs w:val="24"/>
        </w:rPr>
        <w:t>four</w:t>
      </w:r>
      <w:r w:rsidRPr="008D75D3">
        <w:rPr>
          <w:rFonts w:asciiTheme="majorBidi" w:hAnsiTheme="majorBidi" w:cstheme="majorBidi"/>
          <w:sz w:val="24"/>
          <w:szCs w:val="24"/>
        </w:rPr>
        <w:t xml:space="preserve"> and </w:t>
      </w:r>
      <w:r>
        <w:rPr>
          <w:rFonts w:asciiTheme="majorBidi" w:hAnsiTheme="majorBidi" w:cstheme="majorBidi"/>
          <w:sz w:val="24"/>
          <w:szCs w:val="24"/>
        </w:rPr>
        <w:t>five</w:t>
      </w:r>
      <w:r w:rsidRPr="008D75D3">
        <w:rPr>
          <w:rFonts w:asciiTheme="majorBidi" w:hAnsiTheme="majorBidi" w:cstheme="majorBidi"/>
          <w:sz w:val="24"/>
          <w:szCs w:val="24"/>
        </w:rPr>
        <w:t xml:space="preserve"> which indicates that respondent tends to </w:t>
      </w:r>
      <w:r>
        <w:rPr>
          <w:rFonts w:asciiTheme="majorBidi" w:hAnsiTheme="majorBidi" w:cstheme="majorBidi"/>
          <w:sz w:val="24"/>
          <w:szCs w:val="24"/>
        </w:rPr>
        <w:t>respond neutrally</w:t>
      </w:r>
      <w:r w:rsidRPr="008D75D3">
        <w:rPr>
          <w:rFonts w:asciiTheme="majorBidi" w:hAnsiTheme="majorBidi" w:cstheme="majorBidi"/>
          <w:sz w:val="24"/>
          <w:szCs w:val="24"/>
        </w:rPr>
        <w:t xml:space="preserve"> or slightly agree to the statements that measure </w:t>
      </w:r>
      <w:r>
        <w:rPr>
          <w:rFonts w:asciiTheme="majorBidi" w:hAnsiTheme="majorBidi" w:cstheme="majorBidi"/>
          <w:sz w:val="24"/>
          <w:szCs w:val="24"/>
        </w:rPr>
        <w:t>brand functionality</w:t>
      </w:r>
      <w:r w:rsidRPr="008D75D3">
        <w:rPr>
          <w:rFonts w:asciiTheme="majorBidi" w:hAnsiTheme="majorBidi" w:cstheme="majorBidi"/>
          <w:sz w:val="24"/>
          <w:szCs w:val="24"/>
        </w:rPr>
        <w:t xml:space="preserve">. The statement with </w:t>
      </w:r>
      <w:r>
        <w:rPr>
          <w:rFonts w:asciiTheme="majorBidi" w:hAnsiTheme="majorBidi" w:cstheme="majorBidi"/>
          <w:sz w:val="24"/>
          <w:szCs w:val="24"/>
        </w:rPr>
        <w:t xml:space="preserve">the </w:t>
      </w:r>
      <w:r w:rsidRPr="008D75D3">
        <w:rPr>
          <w:rFonts w:asciiTheme="majorBidi" w:hAnsiTheme="majorBidi" w:cstheme="majorBidi"/>
          <w:sz w:val="24"/>
          <w:szCs w:val="24"/>
        </w:rPr>
        <w:t>highest agreement is “Dettol’s products are well made</w:t>
      </w:r>
      <w:r>
        <w:rPr>
          <w:rFonts w:asciiTheme="majorBidi" w:hAnsiTheme="majorBidi" w:cstheme="majorBidi"/>
          <w:sz w:val="24"/>
          <w:szCs w:val="24"/>
        </w:rPr>
        <w:t>,</w:t>
      </w:r>
      <w:r w:rsidRPr="008D75D3">
        <w:rPr>
          <w:rFonts w:asciiTheme="majorBidi" w:hAnsiTheme="majorBidi" w:cstheme="majorBidi"/>
          <w:sz w:val="24"/>
          <w:szCs w:val="24"/>
        </w:rPr>
        <w:t xml:space="preserve">” </w:t>
      </w:r>
      <w:r>
        <w:rPr>
          <w:rFonts w:asciiTheme="majorBidi" w:hAnsiTheme="majorBidi" w:cstheme="majorBidi"/>
          <w:sz w:val="24"/>
          <w:szCs w:val="24"/>
        </w:rPr>
        <w:t>w</w:t>
      </w:r>
      <w:r w:rsidRPr="008D75D3">
        <w:rPr>
          <w:rFonts w:asciiTheme="majorBidi" w:hAnsiTheme="majorBidi" w:cstheme="majorBidi"/>
          <w:sz w:val="24"/>
          <w:szCs w:val="24"/>
        </w:rPr>
        <w:t xml:space="preserve">hile the statement with </w:t>
      </w:r>
      <w:r>
        <w:rPr>
          <w:rFonts w:asciiTheme="majorBidi" w:hAnsiTheme="majorBidi" w:cstheme="majorBidi"/>
          <w:sz w:val="24"/>
          <w:szCs w:val="24"/>
        </w:rPr>
        <w:t>the lowest</w:t>
      </w:r>
      <w:r w:rsidRPr="008D75D3">
        <w:rPr>
          <w:rFonts w:asciiTheme="majorBidi" w:hAnsiTheme="majorBidi" w:cstheme="majorBidi"/>
          <w:sz w:val="24"/>
          <w:szCs w:val="24"/>
        </w:rPr>
        <w:t xml:space="preserve"> agreement is “Dettol’s products are more functional than others</w:t>
      </w:r>
      <w:r>
        <w:rPr>
          <w:rFonts w:asciiTheme="majorBidi" w:hAnsiTheme="majorBidi" w:cstheme="majorBidi"/>
          <w:sz w:val="24"/>
          <w:szCs w:val="24"/>
        </w:rPr>
        <w:t>.</w:t>
      </w:r>
      <w:r w:rsidRPr="008D75D3">
        <w:rPr>
          <w:rFonts w:asciiTheme="majorBidi" w:hAnsiTheme="majorBidi" w:cstheme="majorBidi"/>
          <w:sz w:val="24"/>
          <w:szCs w:val="24"/>
        </w:rPr>
        <w:t>”</w:t>
      </w:r>
    </w:p>
    <w:p w14:paraId="174D0757" w14:textId="77777777" w:rsidR="00511634" w:rsidRDefault="00511634">
      <w:r>
        <w:br w:type="page"/>
      </w:r>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67"/>
        <w:gridCol w:w="851"/>
        <w:gridCol w:w="708"/>
        <w:gridCol w:w="851"/>
        <w:gridCol w:w="1559"/>
      </w:tblGrid>
      <w:tr w:rsidR="00D65FF6" w:rsidRPr="00D53E24" w14:paraId="34DE1AA2" w14:textId="77777777" w:rsidTr="00044DE9">
        <w:trPr>
          <w:trHeight w:val="429"/>
        </w:trPr>
        <w:tc>
          <w:tcPr>
            <w:tcW w:w="3827" w:type="dxa"/>
            <w:shd w:val="clear" w:color="auto" w:fill="auto"/>
            <w:noWrap/>
            <w:vAlign w:val="bottom"/>
            <w:hideMark/>
          </w:tcPr>
          <w:p w14:paraId="6245C48B" w14:textId="25E32D49"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567" w:type="dxa"/>
            <w:shd w:val="clear" w:color="auto" w:fill="auto"/>
            <w:vAlign w:val="bottom"/>
            <w:hideMark/>
          </w:tcPr>
          <w:p w14:paraId="2991E4BC"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851" w:type="dxa"/>
            <w:shd w:val="clear" w:color="auto" w:fill="auto"/>
            <w:vAlign w:val="bottom"/>
            <w:hideMark/>
          </w:tcPr>
          <w:p w14:paraId="5D00CAC6" w14:textId="13B7D179"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Min</w:t>
            </w:r>
            <w:r w:rsidR="00044DE9">
              <w:rPr>
                <w:rFonts w:asciiTheme="majorBidi" w:eastAsia="Times New Roman" w:hAnsiTheme="majorBidi" w:cstheme="majorBidi"/>
                <w:color w:val="000000"/>
                <w:sz w:val="20"/>
                <w:szCs w:val="20"/>
              </w:rPr>
              <w:t>.</w:t>
            </w:r>
          </w:p>
        </w:tc>
        <w:tc>
          <w:tcPr>
            <w:tcW w:w="708" w:type="dxa"/>
            <w:shd w:val="clear" w:color="auto" w:fill="auto"/>
            <w:vAlign w:val="bottom"/>
            <w:hideMark/>
          </w:tcPr>
          <w:p w14:paraId="026FFCE7" w14:textId="30818D35"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Max</w:t>
            </w:r>
            <w:r w:rsidR="00044DE9">
              <w:rPr>
                <w:rFonts w:asciiTheme="majorBidi" w:eastAsia="Times New Roman" w:hAnsiTheme="majorBidi" w:cstheme="majorBidi"/>
                <w:color w:val="000000"/>
                <w:sz w:val="20"/>
                <w:szCs w:val="20"/>
              </w:rPr>
              <w:t>.</w:t>
            </w:r>
          </w:p>
        </w:tc>
        <w:tc>
          <w:tcPr>
            <w:tcW w:w="851" w:type="dxa"/>
            <w:shd w:val="clear" w:color="auto" w:fill="auto"/>
            <w:vAlign w:val="bottom"/>
            <w:hideMark/>
          </w:tcPr>
          <w:p w14:paraId="1D45DDC5"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559" w:type="dxa"/>
            <w:shd w:val="clear" w:color="auto" w:fill="auto"/>
            <w:vAlign w:val="bottom"/>
            <w:hideMark/>
          </w:tcPr>
          <w:p w14:paraId="1C599CB9"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r>
      <w:tr w:rsidR="00D65FF6" w:rsidRPr="00D53E24" w14:paraId="37DDC4D6" w14:textId="77777777" w:rsidTr="00044DE9">
        <w:trPr>
          <w:trHeight w:val="257"/>
        </w:trPr>
        <w:tc>
          <w:tcPr>
            <w:tcW w:w="3827" w:type="dxa"/>
            <w:shd w:val="clear" w:color="auto" w:fill="auto"/>
            <w:noWrap/>
            <w:hideMark/>
          </w:tcPr>
          <w:p w14:paraId="47B07FE2"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think Dettol - Dettol is very reliable</w:t>
            </w:r>
          </w:p>
        </w:tc>
        <w:tc>
          <w:tcPr>
            <w:tcW w:w="567" w:type="dxa"/>
            <w:shd w:val="clear" w:color="auto" w:fill="auto"/>
            <w:noWrap/>
            <w:vAlign w:val="center"/>
            <w:hideMark/>
          </w:tcPr>
          <w:p w14:paraId="5926E26F"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43C9944A"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8" w:type="dxa"/>
            <w:shd w:val="clear" w:color="auto" w:fill="auto"/>
            <w:noWrap/>
            <w:vAlign w:val="center"/>
            <w:hideMark/>
          </w:tcPr>
          <w:p w14:paraId="274ABE2A"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1" w:type="dxa"/>
            <w:shd w:val="clear" w:color="auto" w:fill="auto"/>
            <w:noWrap/>
            <w:vAlign w:val="center"/>
            <w:hideMark/>
          </w:tcPr>
          <w:p w14:paraId="796E1E95"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5.42</w:t>
            </w:r>
          </w:p>
        </w:tc>
        <w:tc>
          <w:tcPr>
            <w:tcW w:w="1559" w:type="dxa"/>
            <w:shd w:val="clear" w:color="auto" w:fill="auto"/>
            <w:noWrap/>
            <w:vAlign w:val="center"/>
            <w:hideMark/>
          </w:tcPr>
          <w:p w14:paraId="1098255B"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1.297</w:t>
            </w:r>
          </w:p>
        </w:tc>
      </w:tr>
      <w:tr w:rsidR="00D65FF6" w:rsidRPr="00D53E24" w14:paraId="0700816B" w14:textId="77777777" w:rsidTr="00044DE9">
        <w:trPr>
          <w:trHeight w:val="249"/>
        </w:trPr>
        <w:tc>
          <w:tcPr>
            <w:tcW w:w="3827" w:type="dxa"/>
            <w:shd w:val="clear" w:color="auto" w:fill="auto"/>
            <w:noWrap/>
            <w:hideMark/>
          </w:tcPr>
          <w:p w14:paraId="51D52919"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think Dettol - Dettol performs better than others</w:t>
            </w:r>
          </w:p>
        </w:tc>
        <w:tc>
          <w:tcPr>
            <w:tcW w:w="567" w:type="dxa"/>
            <w:shd w:val="clear" w:color="auto" w:fill="auto"/>
            <w:noWrap/>
            <w:vAlign w:val="center"/>
            <w:hideMark/>
          </w:tcPr>
          <w:p w14:paraId="79967860"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1C94E1FB"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8" w:type="dxa"/>
            <w:shd w:val="clear" w:color="auto" w:fill="auto"/>
            <w:noWrap/>
            <w:vAlign w:val="center"/>
            <w:hideMark/>
          </w:tcPr>
          <w:p w14:paraId="16AE0B44"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1" w:type="dxa"/>
            <w:shd w:val="clear" w:color="auto" w:fill="auto"/>
            <w:noWrap/>
            <w:vAlign w:val="center"/>
            <w:hideMark/>
          </w:tcPr>
          <w:p w14:paraId="2DF2E235"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4.96</w:t>
            </w:r>
          </w:p>
        </w:tc>
        <w:tc>
          <w:tcPr>
            <w:tcW w:w="1559" w:type="dxa"/>
            <w:shd w:val="clear" w:color="auto" w:fill="auto"/>
            <w:noWrap/>
            <w:vAlign w:val="center"/>
            <w:hideMark/>
          </w:tcPr>
          <w:p w14:paraId="59DCCF10"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1.529</w:t>
            </w:r>
          </w:p>
        </w:tc>
      </w:tr>
      <w:tr w:rsidR="00D65FF6" w:rsidRPr="00D53E24" w14:paraId="65EE0FD3" w14:textId="77777777" w:rsidTr="00044DE9">
        <w:trPr>
          <w:trHeight w:val="249"/>
        </w:trPr>
        <w:tc>
          <w:tcPr>
            <w:tcW w:w="3827" w:type="dxa"/>
            <w:shd w:val="clear" w:color="auto" w:fill="auto"/>
            <w:noWrap/>
            <w:hideMark/>
          </w:tcPr>
          <w:p w14:paraId="397188DD"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think Dettol - Dettol makes better products than its competitors</w:t>
            </w:r>
          </w:p>
        </w:tc>
        <w:tc>
          <w:tcPr>
            <w:tcW w:w="567" w:type="dxa"/>
            <w:shd w:val="clear" w:color="auto" w:fill="auto"/>
            <w:noWrap/>
            <w:vAlign w:val="center"/>
            <w:hideMark/>
          </w:tcPr>
          <w:p w14:paraId="539C5974"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3020A8CF"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8" w:type="dxa"/>
            <w:shd w:val="clear" w:color="auto" w:fill="auto"/>
            <w:noWrap/>
            <w:vAlign w:val="center"/>
            <w:hideMark/>
          </w:tcPr>
          <w:p w14:paraId="6FF8D5BA"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1" w:type="dxa"/>
            <w:shd w:val="clear" w:color="auto" w:fill="auto"/>
            <w:noWrap/>
            <w:vAlign w:val="center"/>
            <w:hideMark/>
          </w:tcPr>
          <w:p w14:paraId="382C3A2E"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4.81</w:t>
            </w:r>
          </w:p>
        </w:tc>
        <w:tc>
          <w:tcPr>
            <w:tcW w:w="1559" w:type="dxa"/>
            <w:shd w:val="clear" w:color="auto" w:fill="auto"/>
            <w:noWrap/>
            <w:vAlign w:val="center"/>
            <w:hideMark/>
          </w:tcPr>
          <w:p w14:paraId="13C0C90F"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1.527</w:t>
            </w:r>
          </w:p>
        </w:tc>
      </w:tr>
      <w:tr w:rsidR="00D65FF6" w:rsidRPr="00D53E24" w14:paraId="1A002152" w14:textId="77777777" w:rsidTr="00044DE9">
        <w:trPr>
          <w:trHeight w:val="249"/>
        </w:trPr>
        <w:tc>
          <w:tcPr>
            <w:tcW w:w="3827" w:type="dxa"/>
            <w:shd w:val="clear" w:color="auto" w:fill="auto"/>
            <w:noWrap/>
            <w:hideMark/>
          </w:tcPr>
          <w:p w14:paraId="78E20783"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xml:space="preserve">I think Dettol - </w:t>
            </w:r>
            <w:bookmarkStart w:id="159" w:name="_Hlk119491481"/>
            <w:r w:rsidRPr="00D53E24">
              <w:rPr>
                <w:rFonts w:asciiTheme="majorBidi" w:eastAsia="Times New Roman" w:hAnsiTheme="majorBidi" w:cstheme="majorBidi"/>
                <w:color w:val="000000"/>
                <w:sz w:val="20"/>
                <w:szCs w:val="20"/>
              </w:rPr>
              <w:t>Dettol’s products are more functional than others</w:t>
            </w:r>
            <w:bookmarkEnd w:id="159"/>
          </w:p>
        </w:tc>
        <w:tc>
          <w:tcPr>
            <w:tcW w:w="567" w:type="dxa"/>
            <w:shd w:val="clear" w:color="auto" w:fill="auto"/>
            <w:noWrap/>
            <w:vAlign w:val="center"/>
            <w:hideMark/>
          </w:tcPr>
          <w:p w14:paraId="12472215"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4DF32BE9"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8" w:type="dxa"/>
            <w:shd w:val="clear" w:color="auto" w:fill="auto"/>
            <w:noWrap/>
            <w:vAlign w:val="center"/>
            <w:hideMark/>
          </w:tcPr>
          <w:p w14:paraId="04E870E6"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1" w:type="dxa"/>
            <w:shd w:val="clear" w:color="auto" w:fill="auto"/>
            <w:noWrap/>
            <w:vAlign w:val="center"/>
            <w:hideMark/>
          </w:tcPr>
          <w:p w14:paraId="643FE691"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4.80</w:t>
            </w:r>
          </w:p>
        </w:tc>
        <w:tc>
          <w:tcPr>
            <w:tcW w:w="1559" w:type="dxa"/>
            <w:shd w:val="clear" w:color="auto" w:fill="auto"/>
            <w:noWrap/>
            <w:vAlign w:val="center"/>
            <w:hideMark/>
          </w:tcPr>
          <w:p w14:paraId="027D3FAA"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1.512</w:t>
            </w:r>
          </w:p>
        </w:tc>
      </w:tr>
      <w:tr w:rsidR="00D65FF6" w:rsidRPr="00D53E24" w14:paraId="678C4512" w14:textId="77777777" w:rsidTr="00044DE9">
        <w:trPr>
          <w:trHeight w:val="249"/>
        </w:trPr>
        <w:tc>
          <w:tcPr>
            <w:tcW w:w="3827" w:type="dxa"/>
            <w:shd w:val="clear" w:color="auto" w:fill="auto"/>
            <w:noWrap/>
            <w:hideMark/>
          </w:tcPr>
          <w:p w14:paraId="120B01FD"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think Dettol - Dettol’s products are well made</w:t>
            </w:r>
          </w:p>
        </w:tc>
        <w:tc>
          <w:tcPr>
            <w:tcW w:w="567" w:type="dxa"/>
            <w:shd w:val="clear" w:color="auto" w:fill="auto"/>
            <w:noWrap/>
            <w:vAlign w:val="center"/>
            <w:hideMark/>
          </w:tcPr>
          <w:p w14:paraId="4B57FE0F"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09BA534E"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8" w:type="dxa"/>
            <w:shd w:val="clear" w:color="auto" w:fill="auto"/>
            <w:noWrap/>
            <w:vAlign w:val="center"/>
            <w:hideMark/>
          </w:tcPr>
          <w:p w14:paraId="4C1A803F"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1" w:type="dxa"/>
            <w:shd w:val="clear" w:color="auto" w:fill="auto"/>
            <w:noWrap/>
            <w:vAlign w:val="center"/>
            <w:hideMark/>
          </w:tcPr>
          <w:p w14:paraId="2FB6D178"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5.45</w:t>
            </w:r>
          </w:p>
        </w:tc>
        <w:tc>
          <w:tcPr>
            <w:tcW w:w="1559" w:type="dxa"/>
            <w:shd w:val="clear" w:color="auto" w:fill="auto"/>
            <w:noWrap/>
            <w:vAlign w:val="center"/>
            <w:hideMark/>
          </w:tcPr>
          <w:p w14:paraId="138EC79B"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1.184</w:t>
            </w:r>
          </w:p>
        </w:tc>
      </w:tr>
      <w:tr w:rsidR="00D65FF6" w:rsidRPr="00D53E24" w14:paraId="4981A448" w14:textId="77777777" w:rsidTr="00044DE9">
        <w:trPr>
          <w:trHeight w:val="249"/>
        </w:trPr>
        <w:tc>
          <w:tcPr>
            <w:tcW w:w="3827" w:type="dxa"/>
            <w:shd w:val="clear" w:color="auto" w:fill="auto"/>
            <w:noWrap/>
            <w:hideMark/>
          </w:tcPr>
          <w:p w14:paraId="0B42B37C"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567" w:type="dxa"/>
            <w:shd w:val="clear" w:color="auto" w:fill="auto"/>
            <w:noWrap/>
            <w:vAlign w:val="center"/>
            <w:hideMark/>
          </w:tcPr>
          <w:p w14:paraId="18EC5DC3"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1" w:type="dxa"/>
            <w:shd w:val="clear" w:color="auto" w:fill="auto"/>
            <w:noWrap/>
            <w:vAlign w:val="center"/>
            <w:hideMark/>
          </w:tcPr>
          <w:p w14:paraId="3ED5C0C8" w14:textId="3941F853"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8" w:type="dxa"/>
            <w:shd w:val="clear" w:color="auto" w:fill="auto"/>
            <w:noWrap/>
            <w:vAlign w:val="center"/>
            <w:hideMark/>
          </w:tcPr>
          <w:p w14:paraId="29518250" w14:textId="4C46E785"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1" w:type="dxa"/>
            <w:shd w:val="clear" w:color="auto" w:fill="auto"/>
            <w:noWrap/>
            <w:vAlign w:val="center"/>
            <w:hideMark/>
          </w:tcPr>
          <w:p w14:paraId="3700FFBE" w14:textId="77777777" w:rsidR="00D65FF6" w:rsidRPr="00D53E24" w:rsidRDefault="00D65FF6" w:rsidP="00F7767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5.09</w:t>
            </w:r>
          </w:p>
        </w:tc>
        <w:tc>
          <w:tcPr>
            <w:tcW w:w="1559" w:type="dxa"/>
            <w:shd w:val="clear" w:color="auto" w:fill="auto"/>
            <w:noWrap/>
            <w:vAlign w:val="center"/>
            <w:hideMark/>
          </w:tcPr>
          <w:p w14:paraId="3C5FFD35" w14:textId="77777777" w:rsidR="00D65FF6" w:rsidRPr="00D53E24" w:rsidRDefault="00D65FF6" w:rsidP="008F5D43">
            <w:pPr>
              <w:keepNext/>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1.242</w:t>
            </w:r>
          </w:p>
        </w:tc>
      </w:tr>
    </w:tbl>
    <w:p w14:paraId="0D8849AF" w14:textId="0D2387FD" w:rsidR="00D65FF6" w:rsidRDefault="008F5D43" w:rsidP="008F5D43">
      <w:pPr>
        <w:pStyle w:val="Caption"/>
        <w:rPr>
          <w:rFonts w:asciiTheme="majorBidi" w:hAnsiTheme="majorBidi" w:cstheme="majorBidi"/>
          <w:b/>
          <w:bCs/>
          <w:sz w:val="24"/>
          <w:szCs w:val="24"/>
        </w:rPr>
      </w:pPr>
      <w:r>
        <w:t>Table 2</w:t>
      </w:r>
      <w:r w:rsidR="00044DE9">
        <w:t>5</w:t>
      </w:r>
      <w:r>
        <w:t xml:space="preserve"> Descriptive statistics of the brand functionality construct </w:t>
      </w:r>
    </w:p>
    <w:p w14:paraId="407F64CA" w14:textId="4E25311F"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 xml:space="preserve">.6 </w:t>
      </w:r>
      <w:r w:rsidRPr="008D75D3">
        <w:rPr>
          <w:rFonts w:asciiTheme="majorBidi" w:hAnsiTheme="majorBidi" w:cstheme="majorBidi"/>
          <w:b/>
          <w:bCs/>
          <w:sz w:val="24"/>
          <w:szCs w:val="24"/>
        </w:rPr>
        <w:t>Brand Likeability</w:t>
      </w:r>
    </w:p>
    <w:p w14:paraId="2B1C7B6F" w14:textId="597743AE" w:rsidR="00D65FF6" w:rsidRPr="00C0315E" w:rsidRDefault="00D65FF6" w:rsidP="008F5D43">
      <w:pPr>
        <w:spacing w:line="480" w:lineRule="auto"/>
        <w:ind w:firstLine="720"/>
        <w:jc w:val="both"/>
        <w:rPr>
          <w:rFonts w:asciiTheme="majorBidi" w:hAnsiTheme="majorBidi" w:cstheme="majorBidi"/>
          <w:sz w:val="24"/>
          <w:szCs w:val="24"/>
        </w:rPr>
      </w:pPr>
      <w:r w:rsidRPr="008D75D3">
        <w:rPr>
          <w:rFonts w:asciiTheme="majorBidi" w:hAnsiTheme="majorBidi" w:cstheme="majorBidi"/>
          <w:sz w:val="24"/>
          <w:szCs w:val="24"/>
        </w:rPr>
        <w:t xml:space="preserve">The survey </w:t>
      </w:r>
      <w:r>
        <w:rPr>
          <w:rFonts w:asciiTheme="majorBidi" w:hAnsiTheme="majorBidi" w:cstheme="majorBidi"/>
          <w:sz w:val="24"/>
          <w:szCs w:val="24"/>
        </w:rPr>
        <w:t>consisted</w:t>
      </w:r>
      <w:r w:rsidRPr="008D75D3">
        <w:rPr>
          <w:rFonts w:asciiTheme="majorBidi" w:hAnsiTheme="majorBidi" w:cstheme="majorBidi"/>
          <w:sz w:val="24"/>
          <w:szCs w:val="24"/>
        </w:rPr>
        <w:t xml:space="preserve"> of 17 questions to measure the brand likeability variable.  From the following table</w:t>
      </w:r>
      <w:r>
        <w:rPr>
          <w:rFonts w:asciiTheme="majorBidi" w:hAnsiTheme="majorBidi" w:cstheme="majorBidi"/>
          <w:sz w:val="24"/>
          <w:szCs w:val="24"/>
        </w:rPr>
        <w:t>,</w:t>
      </w:r>
      <w:r w:rsidRPr="008D75D3">
        <w:rPr>
          <w:rFonts w:asciiTheme="majorBidi" w:hAnsiTheme="majorBidi" w:cstheme="majorBidi"/>
          <w:sz w:val="24"/>
          <w:szCs w:val="24"/>
        </w:rPr>
        <w:t xml:space="preserve"> the average of all statements is between </w:t>
      </w:r>
      <w:r>
        <w:rPr>
          <w:rFonts w:asciiTheme="majorBidi" w:hAnsiTheme="majorBidi" w:cstheme="majorBidi"/>
          <w:sz w:val="24"/>
          <w:szCs w:val="24"/>
        </w:rPr>
        <w:t>four</w:t>
      </w:r>
      <w:r w:rsidRPr="008D75D3">
        <w:rPr>
          <w:rFonts w:asciiTheme="majorBidi" w:hAnsiTheme="majorBidi" w:cstheme="majorBidi"/>
          <w:sz w:val="24"/>
          <w:szCs w:val="24"/>
        </w:rPr>
        <w:t xml:space="preserve"> and </w:t>
      </w:r>
      <w:r>
        <w:rPr>
          <w:rFonts w:asciiTheme="majorBidi" w:hAnsiTheme="majorBidi" w:cstheme="majorBidi"/>
          <w:sz w:val="24"/>
          <w:szCs w:val="24"/>
        </w:rPr>
        <w:t>five</w:t>
      </w:r>
      <w:r w:rsidRPr="008D75D3">
        <w:rPr>
          <w:rFonts w:asciiTheme="majorBidi" w:hAnsiTheme="majorBidi" w:cstheme="majorBidi"/>
          <w:sz w:val="24"/>
          <w:szCs w:val="24"/>
        </w:rPr>
        <w:t xml:space="preserve"> which indicates that respondent tends to </w:t>
      </w:r>
      <w:r>
        <w:rPr>
          <w:rFonts w:asciiTheme="majorBidi" w:hAnsiTheme="majorBidi" w:cstheme="majorBidi"/>
          <w:sz w:val="24"/>
          <w:szCs w:val="24"/>
        </w:rPr>
        <w:t>be neutral</w:t>
      </w:r>
      <w:r w:rsidRPr="008D75D3">
        <w:rPr>
          <w:rFonts w:asciiTheme="majorBidi" w:hAnsiTheme="majorBidi" w:cstheme="majorBidi"/>
          <w:sz w:val="24"/>
          <w:szCs w:val="24"/>
        </w:rPr>
        <w:t xml:space="preserve"> or slightly agree to the statements that measure th</w:t>
      </w:r>
      <w:r>
        <w:rPr>
          <w:rFonts w:asciiTheme="majorBidi" w:hAnsiTheme="majorBidi" w:cstheme="majorBidi"/>
          <w:sz w:val="24"/>
          <w:szCs w:val="24"/>
        </w:rPr>
        <w:t>is variable</w:t>
      </w:r>
      <w:r w:rsidRPr="008D75D3">
        <w:rPr>
          <w:rFonts w:asciiTheme="majorBidi" w:hAnsiTheme="majorBidi" w:cstheme="majorBidi"/>
          <w:sz w:val="24"/>
          <w:szCs w:val="24"/>
        </w:rPr>
        <w:t>. The statement with highest agreement is “</w:t>
      </w:r>
      <w:r w:rsidR="00BD25CF">
        <w:rPr>
          <w:rFonts w:asciiTheme="majorBidi" w:hAnsiTheme="majorBidi" w:cstheme="majorBidi"/>
          <w:sz w:val="24"/>
          <w:szCs w:val="24"/>
        </w:rPr>
        <w:t>o</w:t>
      </w:r>
      <w:r w:rsidRPr="008D75D3">
        <w:rPr>
          <w:rFonts w:asciiTheme="majorBidi" w:hAnsiTheme="majorBidi" w:cstheme="majorBidi"/>
          <w:sz w:val="24"/>
          <w:szCs w:val="24"/>
        </w:rPr>
        <w:t>verall, I approve of Dettol</w:t>
      </w:r>
      <w:r w:rsidR="00EE460F">
        <w:rPr>
          <w:rFonts w:asciiTheme="majorBidi" w:hAnsiTheme="majorBidi" w:cstheme="majorBidi"/>
          <w:sz w:val="24"/>
          <w:szCs w:val="24"/>
        </w:rPr>
        <w:t>;</w:t>
      </w:r>
      <w:r w:rsidRPr="008D75D3">
        <w:rPr>
          <w:rFonts w:asciiTheme="majorBidi" w:hAnsiTheme="majorBidi" w:cstheme="majorBidi"/>
          <w:sz w:val="24"/>
          <w:szCs w:val="24"/>
        </w:rPr>
        <w:t>”</w:t>
      </w:r>
      <w:r>
        <w:rPr>
          <w:rFonts w:asciiTheme="majorBidi" w:hAnsiTheme="majorBidi" w:cstheme="majorBidi"/>
          <w:sz w:val="24"/>
          <w:szCs w:val="24"/>
        </w:rPr>
        <w:t xml:space="preserve"> w</w:t>
      </w:r>
      <w:r w:rsidRPr="008D75D3">
        <w:rPr>
          <w:rFonts w:asciiTheme="majorBidi" w:hAnsiTheme="majorBidi" w:cstheme="majorBidi"/>
          <w:sz w:val="24"/>
          <w:szCs w:val="24"/>
        </w:rPr>
        <w:t xml:space="preserve">hile the statement with </w:t>
      </w:r>
      <w:r>
        <w:rPr>
          <w:rFonts w:asciiTheme="majorBidi" w:hAnsiTheme="majorBidi" w:cstheme="majorBidi"/>
          <w:sz w:val="24"/>
          <w:szCs w:val="24"/>
        </w:rPr>
        <w:t xml:space="preserve">the </w:t>
      </w:r>
      <w:r w:rsidRPr="008D75D3">
        <w:rPr>
          <w:rFonts w:asciiTheme="majorBidi" w:hAnsiTheme="majorBidi" w:cstheme="majorBidi"/>
          <w:sz w:val="24"/>
          <w:szCs w:val="24"/>
        </w:rPr>
        <w:t>lowe</w:t>
      </w:r>
      <w:r>
        <w:rPr>
          <w:rFonts w:asciiTheme="majorBidi" w:hAnsiTheme="majorBidi" w:cstheme="majorBidi"/>
          <w:sz w:val="24"/>
          <w:szCs w:val="24"/>
        </w:rPr>
        <w:t>st</w:t>
      </w:r>
      <w:r w:rsidRPr="008D75D3">
        <w:rPr>
          <w:rFonts w:asciiTheme="majorBidi" w:hAnsiTheme="majorBidi" w:cstheme="majorBidi"/>
          <w:sz w:val="24"/>
          <w:szCs w:val="24"/>
        </w:rPr>
        <w:t xml:space="preserve"> agreement is “I have </w:t>
      </w:r>
      <w:r>
        <w:rPr>
          <w:rFonts w:asciiTheme="majorBidi" w:hAnsiTheme="majorBidi" w:cstheme="majorBidi"/>
          <w:sz w:val="24"/>
          <w:szCs w:val="24"/>
        </w:rPr>
        <w:t xml:space="preserve">a </w:t>
      </w:r>
      <w:r w:rsidRPr="008D75D3">
        <w:rPr>
          <w:rFonts w:asciiTheme="majorBidi" w:hAnsiTheme="majorBidi" w:cstheme="majorBidi"/>
          <w:sz w:val="24"/>
          <w:szCs w:val="24"/>
        </w:rPr>
        <w:t>continuous interaction with Dettol.”</w:t>
      </w:r>
    </w:p>
    <w:p w14:paraId="2F6D7559" w14:textId="77777777" w:rsidR="00024510" w:rsidRDefault="00024510">
      <w:r>
        <w:br w:type="page"/>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741"/>
        <w:gridCol w:w="677"/>
        <w:gridCol w:w="709"/>
        <w:gridCol w:w="850"/>
        <w:gridCol w:w="1134"/>
      </w:tblGrid>
      <w:tr w:rsidR="00D65FF6" w:rsidRPr="00D53E24" w14:paraId="5B4597A8" w14:textId="77777777" w:rsidTr="00024510">
        <w:trPr>
          <w:trHeight w:val="504"/>
        </w:trPr>
        <w:tc>
          <w:tcPr>
            <w:tcW w:w="4110" w:type="dxa"/>
            <w:shd w:val="clear" w:color="auto" w:fill="auto"/>
            <w:noWrap/>
            <w:vAlign w:val="bottom"/>
            <w:hideMark/>
          </w:tcPr>
          <w:p w14:paraId="6E3BD4BF" w14:textId="5E925901"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741" w:type="dxa"/>
            <w:shd w:val="clear" w:color="auto" w:fill="auto"/>
            <w:vAlign w:val="bottom"/>
            <w:hideMark/>
          </w:tcPr>
          <w:p w14:paraId="085D9FF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677" w:type="dxa"/>
            <w:shd w:val="clear" w:color="auto" w:fill="auto"/>
            <w:vAlign w:val="bottom"/>
            <w:hideMark/>
          </w:tcPr>
          <w:p w14:paraId="0ACFAFD0" w14:textId="26BA2804"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Min</w:t>
            </w:r>
            <w:r w:rsidR="00024510">
              <w:rPr>
                <w:rFonts w:asciiTheme="majorBidi" w:eastAsia="Times New Roman" w:hAnsiTheme="majorBidi" w:cstheme="majorBidi"/>
                <w:color w:val="000000"/>
                <w:sz w:val="20"/>
                <w:szCs w:val="20"/>
              </w:rPr>
              <w:t>.</w:t>
            </w:r>
          </w:p>
        </w:tc>
        <w:tc>
          <w:tcPr>
            <w:tcW w:w="709" w:type="dxa"/>
            <w:shd w:val="clear" w:color="auto" w:fill="auto"/>
            <w:vAlign w:val="bottom"/>
            <w:hideMark/>
          </w:tcPr>
          <w:p w14:paraId="5C987E8D" w14:textId="7E087D41"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Max</w:t>
            </w:r>
          </w:p>
        </w:tc>
        <w:tc>
          <w:tcPr>
            <w:tcW w:w="850" w:type="dxa"/>
            <w:shd w:val="clear" w:color="auto" w:fill="auto"/>
            <w:vAlign w:val="bottom"/>
            <w:hideMark/>
          </w:tcPr>
          <w:p w14:paraId="613BC5B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134" w:type="dxa"/>
            <w:shd w:val="clear" w:color="auto" w:fill="auto"/>
            <w:vAlign w:val="bottom"/>
            <w:hideMark/>
          </w:tcPr>
          <w:p w14:paraId="4D1C8C77"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r>
      <w:tr w:rsidR="00D65FF6" w:rsidRPr="00D53E24" w14:paraId="79D89EF6" w14:textId="77777777" w:rsidTr="00024510">
        <w:trPr>
          <w:trHeight w:val="302"/>
        </w:trPr>
        <w:tc>
          <w:tcPr>
            <w:tcW w:w="4110" w:type="dxa"/>
            <w:shd w:val="clear" w:color="auto" w:fill="auto"/>
            <w:noWrap/>
            <w:hideMark/>
          </w:tcPr>
          <w:p w14:paraId="17D7ED7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strongly believe that Dettol can keep its promise to me.</w:t>
            </w:r>
          </w:p>
        </w:tc>
        <w:tc>
          <w:tcPr>
            <w:tcW w:w="741" w:type="dxa"/>
            <w:shd w:val="clear" w:color="auto" w:fill="auto"/>
            <w:noWrap/>
            <w:vAlign w:val="center"/>
            <w:hideMark/>
          </w:tcPr>
          <w:p w14:paraId="51BE85A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1519A50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13DC6C6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0A36D4F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4.89</w:t>
            </w:r>
          </w:p>
        </w:tc>
        <w:tc>
          <w:tcPr>
            <w:tcW w:w="1134" w:type="dxa"/>
            <w:shd w:val="clear" w:color="auto" w:fill="auto"/>
            <w:noWrap/>
            <w:vAlign w:val="center"/>
            <w:hideMark/>
          </w:tcPr>
          <w:p w14:paraId="749456F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1.335</w:t>
            </w:r>
          </w:p>
        </w:tc>
      </w:tr>
      <w:tr w:rsidR="00D65FF6" w:rsidRPr="00D53E24" w14:paraId="1F19D810" w14:textId="77777777" w:rsidTr="00024510">
        <w:trPr>
          <w:trHeight w:val="292"/>
        </w:trPr>
        <w:tc>
          <w:tcPr>
            <w:tcW w:w="4110" w:type="dxa"/>
            <w:shd w:val="clear" w:color="auto" w:fill="auto"/>
            <w:noWrap/>
            <w:hideMark/>
          </w:tcPr>
          <w:p w14:paraId="065738C9"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Dettol is associated with a positive motive.</w:t>
            </w:r>
          </w:p>
        </w:tc>
        <w:tc>
          <w:tcPr>
            <w:tcW w:w="741" w:type="dxa"/>
            <w:shd w:val="clear" w:color="auto" w:fill="auto"/>
            <w:noWrap/>
            <w:vAlign w:val="center"/>
            <w:hideMark/>
          </w:tcPr>
          <w:p w14:paraId="5B2A1C6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7990B41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3F5AEA2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1DD5620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5.14</w:t>
            </w:r>
          </w:p>
        </w:tc>
        <w:tc>
          <w:tcPr>
            <w:tcW w:w="1134" w:type="dxa"/>
            <w:shd w:val="clear" w:color="auto" w:fill="auto"/>
            <w:noWrap/>
            <w:vAlign w:val="center"/>
            <w:hideMark/>
          </w:tcPr>
          <w:p w14:paraId="1E1ECFE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1.321</w:t>
            </w:r>
          </w:p>
        </w:tc>
      </w:tr>
      <w:tr w:rsidR="00D65FF6" w:rsidRPr="00D53E24" w14:paraId="14A2998E" w14:textId="77777777" w:rsidTr="00024510">
        <w:trPr>
          <w:trHeight w:val="292"/>
        </w:trPr>
        <w:tc>
          <w:tcPr>
            <w:tcW w:w="4110" w:type="dxa"/>
            <w:shd w:val="clear" w:color="auto" w:fill="auto"/>
            <w:noWrap/>
            <w:hideMark/>
          </w:tcPr>
          <w:p w14:paraId="3D8291D0" w14:textId="20D63299"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xml:space="preserve">I feel that I am </w:t>
            </w:r>
            <w:r w:rsidR="00AD1911" w:rsidRPr="00D53E24">
              <w:rPr>
                <w:rFonts w:asciiTheme="majorBidi" w:eastAsia="Times New Roman" w:hAnsiTheme="majorBidi" w:cstheme="majorBidi"/>
                <w:color w:val="000000"/>
                <w:sz w:val="20"/>
                <w:szCs w:val="20"/>
              </w:rPr>
              <w:t>favoured</w:t>
            </w:r>
            <w:r w:rsidRPr="00D53E24">
              <w:rPr>
                <w:rFonts w:asciiTheme="majorBidi" w:eastAsia="Times New Roman" w:hAnsiTheme="majorBidi" w:cstheme="majorBidi"/>
                <w:color w:val="000000"/>
                <w:sz w:val="20"/>
                <w:szCs w:val="20"/>
              </w:rPr>
              <w:t xml:space="preserve"> and given priority by Dettol.</w:t>
            </w:r>
          </w:p>
        </w:tc>
        <w:tc>
          <w:tcPr>
            <w:tcW w:w="741" w:type="dxa"/>
            <w:shd w:val="clear" w:color="auto" w:fill="auto"/>
            <w:noWrap/>
            <w:vAlign w:val="center"/>
            <w:hideMark/>
          </w:tcPr>
          <w:p w14:paraId="5520B4A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62BF273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5A50137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4D0795B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4.35</w:t>
            </w:r>
          </w:p>
        </w:tc>
        <w:tc>
          <w:tcPr>
            <w:tcW w:w="1134" w:type="dxa"/>
            <w:shd w:val="clear" w:color="auto" w:fill="auto"/>
            <w:noWrap/>
            <w:vAlign w:val="center"/>
            <w:hideMark/>
          </w:tcPr>
          <w:p w14:paraId="3706A2D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1.566</w:t>
            </w:r>
          </w:p>
        </w:tc>
      </w:tr>
      <w:tr w:rsidR="00D65FF6" w:rsidRPr="00D53E24" w14:paraId="1E349D5E" w14:textId="77777777" w:rsidTr="00024510">
        <w:trPr>
          <w:trHeight w:val="292"/>
        </w:trPr>
        <w:tc>
          <w:tcPr>
            <w:tcW w:w="4110" w:type="dxa"/>
            <w:shd w:val="clear" w:color="auto" w:fill="auto"/>
            <w:noWrap/>
            <w:hideMark/>
          </w:tcPr>
          <w:p w14:paraId="3CE9A8F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believe that Dettol continues to get better and better.</w:t>
            </w:r>
          </w:p>
        </w:tc>
        <w:tc>
          <w:tcPr>
            <w:tcW w:w="741" w:type="dxa"/>
            <w:shd w:val="clear" w:color="auto" w:fill="auto"/>
            <w:noWrap/>
            <w:vAlign w:val="center"/>
            <w:hideMark/>
          </w:tcPr>
          <w:p w14:paraId="6B02DC8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67D3CD2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43718F4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76938A2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4.79</w:t>
            </w:r>
          </w:p>
        </w:tc>
        <w:tc>
          <w:tcPr>
            <w:tcW w:w="1134" w:type="dxa"/>
            <w:shd w:val="clear" w:color="auto" w:fill="auto"/>
            <w:noWrap/>
            <w:vAlign w:val="center"/>
            <w:hideMark/>
          </w:tcPr>
          <w:p w14:paraId="152742A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1.385</w:t>
            </w:r>
          </w:p>
        </w:tc>
      </w:tr>
      <w:tr w:rsidR="00D65FF6" w:rsidRPr="00D53E24" w14:paraId="74BD06D1" w14:textId="77777777" w:rsidTr="00024510">
        <w:trPr>
          <w:trHeight w:val="292"/>
        </w:trPr>
        <w:tc>
          <w:tcPr>
            <w:tcW w:w="4110" w:type="dxa"/>
            <w:shd w:val="clear" w:color="auto" w:fill="auto"/>
            <w:noWrap/>
            <w:hideMark/>
          </w:tcPr>
          <w:p w14:paraId="6385E86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stay with Dettol because I am dependent on it.</w:t>
            </w:r>
          </w:p>
        </w:tc>
        <w:tc>
          <w:tcPr>
            <w:tcW w:w="741" w:type="dxa"/>
            <w:shd w:val="clear" w:color="auto" w:fill="auto"/>
            <w:noWrap/>
            <w:vAlign w:val="center"/>
            <w:hideMark/>
          </w:tcPr>
          <w:p w14:paraId="2332902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65D16AA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2DF683B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652873B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4.40</w:t>
            </w:r>
          </w:p>
        </w:tc>
        <w:tc>
          <w:tcPr>
            <w:tcW w:w="1134" w:type="dxa"/>
            <w:shd w:val="clear" w:color="auto" w:fill="auto"/>
            <w:noWrap/>
            <w:vAlign w:val="center"/>
            <w:hideMark/>
          </w:tcPr>
          <w:p w14:paraId="5BEB80E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1.639</w:t>
            </w:r>
          </w:p>
        </w:tc>
      </w:tr>
      <w:tr w:rsidR="00D65FF6" w:rsidRPr="00D53E24" w14:paraId="689A66C5" w14:textId="77777777" w:rsidTr="00024510">
        <w:trPr>
          <w:trHeight w:val="292"/>
        </w:trPr>
        <w:tc>
          <w:tcPr>
            <w:tcW w:w="4110" w:type="dxa"/>
            <w:shd w:val="clear" w:color="auto" w:fill="auto"/>
            <w:noWrap/>
            <w:hideMark/>
          </w:tcPr>
          <w:p w14:paraId="12BB6528" w14:textId="457B30CB"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feel attached to Dettol</w:t>
            </w:r>
            <w:r w:rsidR="00BD25CF" w:rsidRPr="00D53E24">
              <w:rPr>
                <w:rFonts w:asciiTheme="majorBidi" w:eastAsia="Times New Roman" w:hAnsiTheme="majorBidi" w:cstheme="majorBidi"/>
                <w:color w:val="000000"/>
                <w:sz w:val="20"/>
                <w:szCs w:val="20"/>
              </w:rPr>
              <w:t>.</w:t>
            </w:r>
          </w:p>
        </w:tc>
        <w:tc>
          <w:tcPr>
            <w:tcW w:w="741" w:type="dxa"/>
            <w:shd w:val="clear" w:color="auto" w:fill="auto"/>
            <w:noWrap/>
            <w:vAlign w:val="center"/>
            <w:hideMark/>
          </w:tcPr>
          <w:p w14:paraId="3A24724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23417B0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2219252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39B2A40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3.84</w:t>
            </w:r>
          </w:p>
        </w:tc>
        <w:tc>
          <w:tcPr>
            <w:tcW w:w="1134" w:type="dxa"/>
            <w:shd w:val="clear" w:color="auto" w:fill="auto"/>
            <w:noWrap/>
            <w:vAlign w:val="center"/>
            <w:hideMark/>
          </w:tcPr>
          <w:p w14:paraId="154A909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1.795</w:t>
            </w:r>
          </w:p>
        </w:tc>
      </w:tr>
      <w:tr w:rsidR="00D65FF6" w:rsidRPr="00D53E24" w14:paraId="02F3130A" w14:textId="77777777" w:rsidTr="00024510">
        <w:trPr>
          <w:trHeight w:val="292"/>
        </w:trPr>
        <w:tc>
          <w:tcPr>
            <w:tcW w:w="4110" w:type="dxa"/>
            <w:shd w:val="clear" w:color="auto" w:fill="auto"/>
            <w:noWrap/>
            <w:hideMark/>
          </w:tcPr>
          <w:p w14:paraId="066572F4"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Dettol openly shares information with me.</w:t>
            </w:r>
          </w:p>
        </w:tc>
        <w:tc>
          <w:tcPr>
            <w:tcW w:w="741" w:type="dxa"/>
            <w:shd w:val="clear" w:color="auto" w:fill="auto"/>
            <w:noWrap/>
            <w:vAlign w:val="center"/>
            <w:hideMark/>
          </w:tcPr>
          <w:p w14:paraId="7CF7B6E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462FD77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3468CDB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33A899C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3.96</w:t>
            </w:r>
          </w:p>
        </w:tc>
        <w:tc>
          <w:tcPr>
            <w:tcW w:w="1134" w:type="dxa"/>
            <w:shd w:val="clear" w:color="auto" w:fill="auto"/>
            <w:noWrap/>
            <w:vAlign w:val="center"/>
            <w:hideMark/>
          </w:tcPr>
          <w:p w14:paraId="66205F4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1.543</w:t>
            </w:r>
          </w:p>
        </w:tc>
      </w:tr>
      <w:tr w:rsidR="00D65FF6" w:rsidRPr="00D53E24" w14:paraId="56DD8BD1" w14:textId="77777777" w:rsidTr="00024510">
        <w:trPr>
          <w:trHeight w:val="292"/>
        </w:trPr>
        <w:tc>
          <w:tcPr>
            <w:tcW w:w="4110" w:type="dxa"/>
            <w:shd w:val="clear" w:color="auto" w:fill="auto"/>
            <w:noWrap/>
            <w:hideMark/>
          </w:tcPr>
          <w:p w14:paraId="422E129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have continuous interaction with Dettol.</w:t>
            </w:r>
          </w:p>
        </w:tc>
        <w:tc>
          <w:tcPr>
            <w:tcW w:w="741" w:type="dxa"/>
            <w:shd w:val="clear" w:color="auto" w:fill="auto"/>
            <w:noWrap/>
            <w:vAlign w:val="center"/>
            <w:hideMark/>
          </w:tcPr>
          <w:p w14:paraId="7C8D02C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48B072C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3430C22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4D95BF1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3.71</w:t>
            </w:r>
          </w:p>
        </w:tc>
        <w:tc>
          <w:tcPr>
            <w:tcW w:w="1134" w:type="dxa"/>
            <w:shd w:val="clear" w:color="auto" w:fill="auto"/>
            <w:noWrap/>
            <w:vAlign w:val="center"/>
            <w:hideMark/>
          </w:tcPr>
          <w:p w14:paraId="04D0BC8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1.680</w:t>
            </w:r>
          </w:p>
        </w:tc>
      </w:tr>
      <w:tr w:rsidR="00D65FF6" w:rsidRPr="00D53E24" w14:paraId="24E455E4" w14:textId="77777777" w:rsidTr="00024510">
        <w:trPr>
          <w:trHeight w:val="292"/>
        </w:trPr>
        <w:tc>
          <w:tcPr>
            <w:tcW w:w="4110" w:type="dxa"/>
            <w:shd w:val="clear" w:color="auto" w:fill="auto"/>
            <w:noWrap/>
            <w:hideMark/>
          </w:tcPr>
          <w:p w14:paraId="0C49A5AC" w14:textId="5C97F53C"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would describe Dettol as a friendly brand</w:t>
            </w:r>
            <w:r w:rsidR="00BD25CF" w:rsidRPr="00D53E24">
              <w:rPr>
                <w:rFonts w:asciiTheme="majorBidi" w:eastAsia="Times New Roman" w:hAnsiTheme="majorBidi" w:cstheme="majorBidi"/>
                <w:color w:val="000000"/>
                <w:sz w:val="20"/>
                <w:szCs w:val="20"/>
              </w:rPr>
              <w:t>.</w:t>
            </w:r>
          </w:p>
        </w:tc>
        <w:tc>
          <w:tcPr>
            <w:tcW w:w="741" w:type="dxa"/>
            <w:shd w:val="clear" w:color="auto" w:fill="auto"/>
            <w:noWrap/>
            <w:vAlign w:val="center"/>
            <w:hideMark/>
          </w:tcPr>
          <w:p w14:paraId="00657BA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5046343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304D63A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23F46E0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4.87</w:t>
            </w:r>
          </w:p>
        </w:tc>
        <w:tc>
          <w:tcPr>
            <w:tcW w:w="1134" w:type="dxa"/>
            <w:shd w:val="clear" w:color="auto" w:fill="auto"/>
            <w:noWrap/>
            <w:vAlign w:val="center"/>
            <w:hideMark/>
          </w:tcPr>
          <w:p w14:paraId="732D1DF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1.454</w:t>
            </w:r>
          </w:p>
        </w:tc>
      </w:tr>
      <w:tr w:rsidR="00D65FF6" w:rsidRPr="00D53E24" w14:paraId="34E6E1EE" w14:textId="77777777" w:rsidTr="00024510">
        <w:trPr>
          <w:trHeight w:val="292"/>
        </w:trPr>
        <w:tc>
          <w:tcPr>
            <w:tcW w:w="4110" w:type="dxa"/>
            <w:shd w:val="clear" w:color="auto" w:fill="auto"/>
            <w:noWrap/>
            <w:hideMark/>
          </w:tcPr>
          <w:p w14:paraId="66BFE3B8" w14:textId="5D685FCF"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would say that Dettol is approachable.</w:t>
            </w:r>
          </w:p>
        </w:tc>
        <w:tc>
          <w:tcPr>
            <w:tcW w:w="741" w:type="dxa"/>
            <w:shd w:val="clear" w:color="auto" w:fill="auto"/>
            <w:noWrap/>
            <w:vAlign w:val="center"/>
            <w:hideMark/>
          </w:tcPr>
          <w:p w14:paraId="6A8FE62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2D7D5DF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3D8B2AA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1EF0BCB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4.62</w:t>
            </w:r>
          </w:p>
        </w:tc>
        <w:tc>
          <w:tcPr>
            <w:tcW w:w="1134" w:type="dxa"/>
            <w:shd w:val="clear" w:color="auto" w:fill="auto"/>
            <w:noWrap/>
            <w:vAlign w:val="center"/>
            <w:hideMark/>
          </w:tcPr>
          <w:p w14:paraId="14845CC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1.482</w:t>
            </w:r>
          </w:p>
        </w:tc>
      </w:tr>
      <w:tr w:rsidR="00D65FF6" w:rsidRPr="00D53E24" w14:paraId="71EC289F" w14:textId="77777777" w:rsidTr="00024510">
        <w:trPr>
          <w:trHeight w:val="292"/>
        </w:trPr>
        <w:tc>
          <w:tcPr>
            <w:tcW w:w="4110" w:type="dxa"/>
            <w:shd w:val="clear" w:color="auto" w:fill="auto"/>
            <w:noWrap/>
            <w:hideMark/>
          </w:tcPr>
          <w:p w14:paraId="1876396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Dettol is a very attractive brand.</w:t>
            </w:r>
          </w:p>
        </w:tc>
        <w:tc>
          <w:tcPr>
            <w:tcW w:w="741" w:type="dxa"/>
            <w:shd w:val="clear" w:color="auto" w:fill="auto"/>
            <w:noWrap/>
            <w:vAlign w:val="center"/>
            <w:hideMark/>
          </w:tcPr>
          <w:p w14:paraId="0A86263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57753CC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47AAC4D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7D4D43D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4.80</w:t>
            </w:r>
          </w:p>
        </w:tc>
        <w:tc>
          <w:tcPr>
            <w:tcW w:w="1134" w:type="dxa"/>
            <w:shd w:val="clear" w:color="auto" w:fill="auto"/>
            <w:noWrap/>
            <w:vAlign w:val="center"/>
            <w:hideMark/>
          </w:tcPr>
          <w:p w14:paraId="182F841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1.524</w:t>
            </w:r>
          </w:p>
        </w:tc>
      </w:tr>
      <w:tr w:rsidR="00D65FF6" w:rsidRPr="00D53E24" w14:paraId="6DFD36F9" w14:textId="77777777" w:rsidTr="00024510">
        <w:trPr>
          <w:trHeight w:val="292"/>
        </w:trPr>
        <w:tc>
          <w:tcPr>
            <w:tcW w:w="4110" w:type="dxa"/>
            <w:shd w:val="clear" w:color="auto" w:fill="auto"/>
            <w:noWrap/>
            <w:hideMark/>
          </w:tcPr>
          <w:p w14:paraId="0BDF3EA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would ask for advice because Dettol is knowledgeable.</w:t>
            </w:r>
          </w:p>
        </w:tc>
        <w:tc>
          <w:tcPr>
            <w:tcW w:w="741" w:type="dxa"/>
            <w:shd w:val="clear" w:color="auto" w:fill="auto"/>
            <w:noWrap/>
            <w:vAlign w:val="center"/>
            <w:hideMark/>
          </w:tcPr>
          <w:p w14:paraId="0E73F6F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11D6619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6869802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3265D31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4.08</w:t>
            </w:r>
          </w:p>
        </w:tc>
        <w:tc>
          <w:tcPr>
            <w:tcW w:w="1134" w:type="dxa"/>
            <w:shd w:val="clear" w:color="auto" w:fill="auto"/>
            <w:noWrap/>
            <w:vAlign w:val="center"/>
            <w:hideMark/>
          </w:tcPr>
          <w:p w14:paraId="075F4C4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1.642</w:t>
            </w:r>
          </w:p>
        </w:tc>
      </w:tr>
      <w:tr w:rsidR="00D65FF6" w:rsidRPr="00D53E24" w14:paraId="60E2F3F4" w14:textId="77777777" w:rsidTr="00024510">
        <w:trPr>
          <w:trHeight w:val="292"/>
        </w:trPr>
        <w:tc>
          <w:tcPr>
            <w:tcW w:w="4110" w:type="dxa"/>
            <w:shd w:val="clear" w:color="auto" w:fill="auto"/>
            <w:noWrap/>
            <w:hideMark/>
          </w:tcPr>
          <w:p w14:paraId="2632D4B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It is important that Dettol has a high level of integrity.</w:t>
            </w:r>
          </w:p>
        </w:tc>
        <w:tc>
          <w:tcPr>
            <w:tcW w:w="741" w:type="dxa"/>
            <w:shd w:val="clear" w:color="auto" w:fill="auto"/>
            <w:noWrap/>
            <w:vAlign w:val="center"/>
            <w:hideMark/>
          </w:tcPr>
          <w:p w14:paraId="071807E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3FF3764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7A0CF0A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8</w:t>
            </w:r>
          </w:p>
        </w:tc>
        <w:tc>
          <w:tcPr>
            <w:tcW w:w="850" w:type="dxa"/>
            <w:shd w:val="clear" w:color="auto" w:fill="auto"/>
            <w:noWrap/>
            <w:vAlign w:val="center"/>
            <w:hideMark/>
          </w:tcPr>
          <w:p w14:paraId="5D78603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4.85</w:t>
            </w:r>
          </w:p>
        </w:tc>
        <w:tc>
          <w:tcPr>
            <w:tcW w:w="1134" w:type="dxa"/>
            <w:shd w:val="clear" w:color="auto" w:fill="auto"/>
            <w:noWrap/>
            <w:vAlign w:val="center"/>
            <w:hideMark/>
          </w:tcPr>
          <w:p w14:paraId="6E0F6D5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1.498</w:t>
            </w:r>
          </w:p>
        </w:tc>
      </w:tr>
      <w:tr w:rsidR="00D65FF6" w:rsidRPr="00D53E24" w14:paraId="368DF7F0" w14:textId="77777777" w:rsidTr="00024510">
        <w:trPr>
          <w:trHeight w:val="292"/>
        </w:trPr>
        <w:tc>
          <w:tcPr>
            <w:tcW w:w="4110" w:type="dxa"/>
            <w:shd w:val="clear" w:color="auto" w:fill="auto"/>
            <w:noWrap/>
            <w:hideMark/>
          </w:tcPr>
          <w:p w14:paraId="7DB5C4F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Overall, I approve of Dettol.</w:t>
            </w:r>
          </w:p>
        </w:tc>
        <w:tc>
          <w:tcPr>
            <w:tcW w:w="741" w:type="dxa"/>
            <w:shd w:val="clear" w:color="auto" w:fill="auto"/>
            <w:noWrap/>
            <w:vAlign w:val="center"/>
            <w:hideMark/>
          </w:tcPr>
          <w:p w14:paraId="4151EBB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7ECD412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2349FF7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68DA40F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5.21</w:t>
            </w:r>
          </w:p>
        </w:tc>
        <w:tc>
          <w:tcPr>
            <w:tcW w:w="1134" w:type="dxa"/>
            <w:shd w:val="clear" w:color="auto" w:fill="auto"/>
            <w:noWrap/>
            <w:vAlign w:val="center"/>
            <w:hideMark/>
          </w:tcPr>
          <w:p w14:paraId="17FBEBB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1.401</w:t>
            </w:r>
          </w:p>
        </w:tc>
      </w:tr>
      <w:tr w:rsidR="00D65FF6" w:rsidRPr="00D53E24" w14:paraId="2E97D271" w14:textId="77777777" w:rsidTr="00024510">
        <w:trPr>
          <w:trHeight w:val="292"/>
        </w:trPr>
        <w:tc>
          <w:tcPr>
            <w:tcW w:w="4110" w:type="dxa"/>
            <w:shd w:val="clear" w:color="auto" w:fill="auto"/>
            <w:noWrap/>
            <w:hideMark/>
          </w:tcPr>
          <w:p w14:paraId="7F6D77B8"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feel cheerful when shopping for Dettol.</w:t>
            </w:r>
          </w:p>
        </w:tc>
        <w:tc>
          <w:tcPr>
            <w:tcW w:w="741" w:type="dxa"/>
            <w:shd w:val="clear" w:color="auto" w:fill="auto"/>
            <w:noWrap/>
            <w:vAlign w:val="center"/>
            <w:hideMark/>
          </w:tcPr>
          <w:p w14:paraId="2596BD4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22E7911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28B568A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527CDE4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4.13</w:t>
            </w:r>
          </w:p>
        </w:tc>
        <w:tc>
          <w:tcPr>
            <w:tcW w:w="1134" w:type="dxa"/>
            <w:shd w:val="clear" w:color="auto" w:fill="auto"/>
            <w:noWrap/>
            <w:vAlign w:val="center"/>
            <w:hideMark/>
          </w:tcPr>
          <w:p w14:paraId="1B69380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1.646</w:t>
            </w:r>
          </w:p>
        </w:tc>
      </w:tr>
      <w:tr w:rsidR="00D65FF6" w:rsidRPr="00D53E24" w14:paraId="1C974980" w14:textId="77777777" w:rsidTr="00024510">
        <w:trPr>
          <w:trHeight w:val="292"/>
        </w:trPr>
        <w:tc>
          <w:tcPr>
            <w:tcW w:w="4110" w:type="dxa"/>
            <w:shd w:val="clear" w:color="auto" w:fill="auto"/>
            <w:noWrap/>
            <w:hideMark/>
          </w:tcPr>
          <w:p w14:paraId="117107B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Dettol takes care of everything for me.</w:t>
            </w:r>
          </w:p>
        </w:tc>
        <w:tc>
          <w:tcPr>
            <w:tcW w:w="741" w:type="dxa"/>
            <w:shd w:val="clear" w:color="auto" w:fill="auto"/>
            <w:noWrap/>
            <w:vAlign w:val="center"/>
            <w:hideMark/>
          </w:tcPr>
          <w:p w14:paraId="384239C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5FAF142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5AA60BD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2F211CD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4.01</w:t>
            </w:r>
          </w:p>
        </w:tc>
        <w:tc>
          <w:tcPr>
            <w:tcW w:w="1134" w:type="dxa"/>
            <w:shd w:val="clear" w:color="auto" w:fill="auto"/>
            <w:noWrap/>
            <w:vAlign w:val="center"/>
            <w:hideMark/>
          </w:tcPr>
          <w:p w14:paraId="245CF10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1.660</w:t>
            </w:r>
          </w:p>
        </w:tc>
      </w:tr>
      <w:tr w:rsidR="00D65FF6" w:rsidRPr="00D53E24" w14:paraId="77FEF92A" w14:textId="77777777" w:rsidTr="00024510">
        <w:trPr>
          <w:trHeight w:val="292"/>
        </w:trPr>
        <w:tc>
          <w:tcPr>
            <w:tcW w:w="4110" w:type="dxa"/>
            <w:shd w:val="clear" w:color="auto" w:fill="auto"/>
            <w:noWrap/>
            <w:hideMark/>
          </w:tcPr>
          <w:p w14:paraId="72EB7090" w14:textId="0830716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am grateful for Dettol’s services</w:t>
            </w:r>
            <w:r w:rsidR="00BD25CF" w:rsidRPr="00D53E24">
              <w:rPr>
                <w:rFonts w:asciiTheme="majorBidi" w:eastAsia="Times New Roman" w:hAnsiTheme="majorBidi" w:cstheme="majorBidi"/>
                <w:color w:val="000000"/>
                <w:sz w:val="20"/>
                <w:szCs w:val="20"/>
              </w:rPr>
              <w:t>.</w:t>
            </w:r>
          </w:p>
        </w:tc>
        <w:tc>
          <w:tcPr>
            <w:tcW w:w="741" w:type="dxa"/>
            <w:shd w:val="clear" w:color="auto" w:fill="auto"/>
            <w:noWrap/>
            <w:vAlign w:val="center"/>
            <w:hideMark/>
          </w:tcPr>
          <w:p w14:paraId="4D4A45F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677" w:type="dxa"/>
            <w:shd w:val="clear" w:color="auto" w:fill="auto"/>
            <w:noWrap/>
            <w:vAlign w:val="center"/>
            <w:hideMark/>
          </w:tcPr>
          <w:p w14:paraId="3569EB5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09" w:type="dxa"/>
            <w:shd w:val="clear" w:color="auto" w:fill="auto"/>
            <w:noWrap/>
            <w:vAlign w:val="center"/>
            <w:hideMark/>
          </w:tcPr>
          <w:p w14:paraId="3B75682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222A79D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4.48</w:t>
            </w:r>
          </w:p>
        </w:tc>
        <w:tc>
          <w:tcPr>
            <w:tcW w:w="1134" w:type="dxa"/>
            <w:shd w:val="clear" w:color="auto" w:fill="auto"/>
            <w:noWrap/>
            <w:vAlign w:val="center"/>
            <w:hideMark/>
          </w:tcPr>
          <w:p w14:paraId="528FF6E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1.552</w:t>
            </w:r>
          </w:p>
        </w:tc>
      </w:tr>
      <w:tr w:rsidR="00D65FF6" w:rsidRPr="00D53E24" w14:paraId="746B7C84" w14:textId="77777777" w:rsidTr="00024510">
        <w:trPr>
          <w:trHeight w:val="292"/>
        </w:trPr>
        <w:tc>
          <w:tcPr>
            <w:tcW w:w="4110" w:type="dxa"/>
            <w:shd w:val="clear" w:color="auto" w:fill="auto"/>
            <w:noWrap/>
          </w:tcPr>
          <w:p w14:paraId="0BA9C1E3"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Brand Likeability</w:t>
            </w:r>
          </w:p>
        </w:tc>
        <w:tc>
          <w:tcPr>
            <w:tcW w:w="741" w:type="dxa"/>
            <w:shd w:val="clear" w:color="auto" w:fill="auto"/>
            <w:noWrap/>
            <w:vAlign w:val="center"/>
          </w:tcPr>
          <w:p w14:paraId="0A7FDE3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474</w:t>
            </w:r>
          </w:p>
        </w:tc>
        <w:tc>
          <w:tcPr>
            <w:tcW w:w="677" w:type="dxa"/>
            <w:shd w:val="clear" w:color="auto" w:fill="auto"/>
            <w:noWrap/>
            <w:vAlign w:val="center"/>
          </w:tcPr>
          <w:p w14:paraId="667D632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1.00</w:t>
            </w:r>
          </w:p>
        </w:tc>
        <w:tc>
          <w:tcPr>
            <w:tcW w:w="709" w:type="dxa"/>
            <w:shd w:val="clear" w:color="auto" w:fill="auto"/>
            <w:noWrap/>
            <w:vAlign w:val="center"/>
          </w:tcPr>
          <w:p w14:paraId="7352F58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7.00</w:t>
            </w:r>
          </w:p>
        </w:tc>
        <w:tc>
          <w:tcPr>
            <w:tcW w:w="850" w:type="dxa"/>
            <w:shd w:val="clear" w:color="auto" w:fill="auto"/>
            <w:noWrap/>
            <w:vAlign w:val="center"/>
          </w:tcPr>
          <w:p w14:paraId="50A2857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4.47</w:t>
            </w:r>
          </w:p>
        </w:tc>
        <w:tc>
          <w:tcPr>
            <w:tcW w:w="1134" w:type="dxa"/>
            <w:shd w:val="clear" w:color="auto" w:fill="auto"/>
            <w:noWrap/>
            <w:vAlign w:val="center"/>
          </w:tcPr>
          <w:p w14:paraId="05E67036" w14:textId="77777777" w:rsidR="00D65FF6" w:rsidRPr="00D53E24" w:rsidRDefault="00D65FF6" w:rsidP="008F5D43">
            <w:pPr>
              <w:keepNext/>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1.19277</w:t>
            </w:r>
          </w:p>
        </w:tc>
      </w:tr>
    </w:tbl>
    <w:p w14:paraId="5A94B6EF" w14:textId="10851A5A" w:rsidR="00D65FF6" w:rsidRDefault="008F5D43" w:rsidP="008F5D43">
      <w:pPr>
        <w:pStyle w:val="Caption"/>
        <w:rPr>
          <w:rFonts w:asciiTheme="majorBidi" w:hAnsiTheme="majorBidi" w:cstheme="majorBidi"/>
          <w:b/>
          <w:bCs/>
          <w:sz w:val="24"/>
          <w:szCs w:val="24"/>
        </w:rPr>
      </w:pPr>
      <w:r>
        <w:t>Table 2</w:t>
      </w:r>
      <w:r w:rsidR="00044DE9">
        <w:t>6</w:t>
      </w:r>
      <w:r>
        <w:t xml:space="preserve"> Descriptive statistics of the brand likeability construct </w:t>
      </w:r>
    </w:p>
    <w:p w14:paraId="163AC6B8" w14:textId="088BCF89"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 xml:space="preserve">.7 </w:t>
      </w:r>
      <w:r w:rsidRPr="008D75D3">
        <w:rPr>
          <w:rFonts w:asciiTheme="majorBidi" w:hAnsiTheme="majorBidi" w:cstheme="majorBidi"/>
          <w:b/>
          <w:bCs/>
          <w:sz w:val="24"/>
          <w:szCs w:val="24"/>
        </w:rPr>
        <w:t>Emotional brand</w:t>
      </w:r>
      <w:r>
        <w:rPr>
          <w:rFonts w:asciiTheme="majorBidi" w:hAnsiTheme="majorBidi" w:cstheme="majorBidi"/>
          <w:b/>
          <w:bCs/>
          <w:sz w:val="24"/>
          <w:szCs w:val="24"/>
        </w:rPr>
        <w:t xml:space="preserve"> attachment</w:t>
      </w:r>
    </w:p>
    <w:p w14:paraId="05D0DB32" w14:textId="748B307E" w:rsidR="00D65FF6" w:rsidRPr="00C0315E" w:rsidRDefault="00D65FF6" w:rsidP="00087F49">
      <w:pPr>
        <w:spacing w:line="480" w:lineRule="auto"/>
        <w:ind w:firstLine="720"/>
        <w:jc w:val="both"/>
        <w:rPr>
          <w:rFonts w:asciiTheme="majorBidi" w:hAnsiTheme="majorBidi" w:cstheme="majorBidi"/>
          <w:sz w:val="24"/>
          <w:szCs w:val="24"/>
        </w:rPr>
      </w:pPr>
      <w:r w:rsidRPr="008D75D3">
        <w:rPr>
          <w:rFonts w:asciiTheme="majorBidi" w:hAnsiTheme="majorBidi" w:cstheme="majorBidi"/>
          <w:sz w:val="24"/>
          <w:szCs w:val="24"/>
        </w:rPr>
        <w:t xml:space="preserve">The survey </w:t>
      </w:r>
      <w:r>
        <w:rPr>
          <w:rFonts w:asciiTheme="majorBidi" w:hAnsiTheme="majorBidi" w:cstheme="majorBidi"/>
          <w:sz w:val="24"/>
          <w:szCs w:val="24"/>
        </w:rPr>
        <w:t>had</w:t>
      </w:r>
      <w:r w:rsidRPr="008D75D3">
        <w:rPr>
          <w:rFonts w:asciiTheme="majorBidi" w:hAnsiTheme="majorBidi" w:cstheme="majorBidi"/>
          <w:sz w:val="24"/>
          <w:szCs w:val="24"/>
        </w:rPr>
        <w:t xml:space="preserve"> </w:t>
      </w:r>
      <w:r w:rsidR="00BD25CF">
        <w:rPr>
          <w:rFonts w:asciiTheme="majorBidi" w:hAnsiTheme="majorBidi" w:cstheme="majorBidi"/>
          <w:sz w:val="24"/>
          <w:szCs w:val="24"/>
        </w:rPr>
        <w:t>four</w:t>
      </w:r>
      <w:r w:rsidRPr="008D75D3">
        <w:rPr>
          <w:rFonts w:asciiTheme="majorBidi" w:hAnsiTheme="majorBidi" w:cstheme="majorBidi"/>
          <w:sz w:val="24"/>
          <w:szCs w:val="24"/>
        </w:rPr>
        <w:t xml:space="preserve"> questions to measure the </w:t>
      </w:r>
      <w:r>
        <w:rPr>
          <w:rFonts w:asciiTheme="majorBidi" w:hAnsiTheme="majorBidi" w:cstheme="majorBidi"/>
          <w:sz w:val="24"/>
          <w:szCs w:val="24"/>
        </w:rPr>
        <w:t>e</w:t>
      </w:r>
      <w:r w:rsidRPr="008D75D3">
        <w:rPr>
          <w:rFonts w:asciiTheme="majorBidi" w:hAnsiTheme="majorBidi" w:cstheme="majorBidi"/>
          <w:sz w:val="24"/>
          <w:szCs w:val="24"/>
        </w:rPr>
        <w:t xml:space="preserve">motional </w:t>
      </w:r>
      <w:r>
        <w:rPr>
          <w:rFonts w:asciiTheme="majorBidi" w:hAnsiTheme="majorBidi" w:cstheme="majorBidi"/>
          <w:sz w:val="24"/>
          <w:szCs w:val="24"/>
        </w:rPr>
        <w:t>b</w:t>
      </w:r>
      <w:r w:rsidRPr="008D75D3">
        <w:rPr>
          <w:rFonts w:asciiTheme="majorBidi" w:hAnsiTheme="majorBidi" w:cstheme="majorBidi"/>
          <w:sz w:val="24"/>
          <w:szCs w:val="24"/>
        </w:rPr>
        <w:t>rand</w:t>
      </w:r>
      <w:r>
        <w:rPr>
          <w:rFonts w:asciiTheme="majorBidi" w:hAnsiTheme="majorBidi" w:cstheme="majorBidi"/>
          <w:sz w:val="24"/>
          <w:szCs w:val="24"/>
        </w:rPr>
        <w:t xml:space="preserve"> attachment</w:t>
      </w:r>
      <w:r w:rsidRPr="008D75D3">
        <w:rPr>
          <w:rFonts w:asciiTheme="majorBidi" w:hAnsiTheme="majorBidi" w:cstheme="majorBidi"/>
          <w:sz w:val="24"/>
          <w:szCs w:val="24"/>
        </w:rPr>
        <w:t xml:space="preserve"> variable.</w:t>
      </w:r>
      <w:r>
        <w:rPr>
          <w:rFonts w:asciiTheme="majorBidi" w:hAnsiTheme="majorBidi" w:cstheme="majorBidi"/>
          <w:sz w:val="24"/>
          <w:szCs w:val="24"/>
        </w:rPr>
        <w:t xml:space="preserve"> </w:t>
      </w:r>
      <w:r w:rsidRPr="008D75D3">
        <w:rPr>
          <w:rFonts w:asciiTheme="majorBidi" w:hAnsiTheme="majorBidi" w:cstheme="majorBidi"/>
          <w:sz w:val="24"/>
          <w:szCs w:val="24"/>
        </w:rPr>
        <w:t xml:space="preserve">From the </w:t>
      </w:r>
      <w:r>
        <w:rPr>
          <w:rFonts w:asciiTheme="majorBidi" w:hAnsiTheme="majorBidi" w:cstheme="majorBidi"/>
          <w:sz w:val="24"/>
          <w:szCs w:val="24"/>
        </w:rPr>
        <w:t>below</w:t>
      </w:r>
      <w:r w:rsidRPr="008D75D3">
        <w:rPr>
          <w:rFonts w:asciiTheme="majorBidi" w:hAnsiTheme="majorBidi" w:cstheme="majorBidi"/>
          <w:sz w:val="24"/>
          <w:szCs w:val="24"/>
        </w:rPr>
        <w:t xml:space="preserve"> table</w:t>
      </w:r>
      <w:r>
        <w:rPr>
          <w:rFonts w:asciiTheme="majorBidi" w:hAnsiTheme="majorBidi" w:cstheme="majorBidi"/>
          <w:sz w:val="24"/>
          <w:szCs w:val="24"/>
        </w:rPr>
        <w:t>,</w:t>
      </w:r>
      <w:r w:rsidRPr="008D75D3">
        <w:rPr>
          <w:rFonts w:asciiTheme="majorBidi" w:hAnsiTheme="majorBidi" w:cstheme="majorBidi"/>
          <w:sz w:val="24"/>
          <w:szCs w:val="24"/>
        </w:rPr>
        <w:t xml:space="preserve"> the average of all statements </w:t>
      </w:r>
      <w:r>
        <w:rPr>
          <w:rFonts w:asciiTheme="majorBidi" w:hAnsiTheme="majorBidi" w:cstheme="majorBidi"/>
          <w:sz w:val="24"/>
          <w:szCs w:val="24"/>
        </w:rPr>
        <w:t>wa</w:t>
      </w:r>
      <w:r w:rsidRPr="008D75D3">
        <w:rPr>
          <w:rFonts w:asciiTheme="majorBidi" w:hAnsiTheme="majorBidi" w:cstheme="majorBidi"/>
          <w:sz w:val="24"/>
          <w:szCs w:val="24"/>
        </w:rPr>
        <w:t xml:space="preserve">s between </w:t>
      </w:r>
      <w:r>
        <w:rPr>
          <w:rFonts w:asciiTheme="majorBidi" w:hAnsiTheme="majorBidi" w:cstheme="majorBidi"/>
          <w:sz w:val="24"/>
          <w:szCs w:val="24"/>
        </w:rPr>
        <w:t>three</w:t>
      </w:r>
      <w:r w:rsidRPr="008D75D3">
        <w:rPr>
          <w:rFonts w:asciiTheme="majorBidi" w:hAnsiTheme="majorBidi" w:cstheme="majorBidi"/>
          <w:sz w:val="24"/>
          <w:szCs w:val="24"/>
        </w:rPr>
        <w:t xml:space="preserve"> and </w:t>
      </w:r>
      <w:r>
        <w:rPr>
          <w:rFonts w:asciiTheme="majorBidi" w:hAnsiTheme="majorBidi" w:cstheme="majorBidi"/>
          <w:sz w:val="24"/>
          <w:szCs w:val="24"/>
        </w:rPr>
        <w:t>four</w:t>
      </w:r>
      <w:r w:rsidRPr="008D75D3">
        <w:rPr>
          <w:rFonts w:asciiTheme="majorBidi" w:hAnsiTheme="majorBidi" w:cstheme="majorBidi"/>
          <w:sz w:val="24"/>
          <w:szCs w:val="24"/>
        </w:rPr>
        <w:t xml:space="preserve"> which indicates that respondent</w:t>
      </w:r>
      <w:r>
        <w:rPr>
          <w:rFonts w:asciiTheme="majorBidi" w:hAnsiTheme="majorBidi" w:cstheme="majorBidi"/>
          <w:sz w:val="24"/>
          <w:szCs w:val="24"/>
        </w:rPr>
        <w:t>s</w:t>
      </w:r>
      <w:r w:rsidRPr="008D75D3">
        <w:rPr>
          <w:rFonts w:asciiTheme="majorBidi" w:hAnsiTheme="majorBidi" w:cstheme="majorBidi"/>
          <w:sz w:val="24"/>
          <w:szCs w:val="24"/>
        </w:rPr>
        <w:t xml:space="preserve"> tend to disagree or neutrally agree to the statements that measure th</w:t>
      </w:r>
      <w:r>
        <w:rPr>
          <w:rFonts w:asciiTheme="majorBidi" w:hAnsiTheme="majorBidi" w:cstheme="majorBidi"/>
          <w:sz w:val="24"/>
          <w:szCs w:val="24"/>
        </w:rPr>
        <w:t>is variable</w:t>
      </w:r>
      <w:r w:rsidRPr="008D75D3">
        <w:rPr>
          <w:rFonts w:asciiTheme="majorBidi" w:hAnsiTheme="majorBidi" w:cstheme="majorBidi"/>
          <w:sz w:val="24"/>
          <w:szCs w:val="24"/>
        </w:rPr>
        <w:t xml:space="preserve">. The statement with </w:t>
      </w:r>
      <w:r>
        <w:rPr>
          <w:rFonts w:asciiTheme="majorBidi" w:hAnsiTheme="majorBidi" w:cstheme="majorBidi"/>
          <w:sz w:val="24"/>
          <w:szCs w:val="24"/>
        </w:rPr>
        <w:t xml:space="preserve">the </w:t>
      </w:r>
      <w:r w:rsidRPr="008D75D3">
        <w:rPr>
          <w:rFonts w:asciiTheme="majorBidi" w:hAnsiTheme="majorBidi" w:cstheme="majorBidi"/>
          <w:sz w:val="24"/>
          <w:szCs w:val="24"/>
        </w:rPr>
        <w:t>highest agreement is “Dettol seems to fit my own tastes perfectl</w:t>
      </w:r>
      <w:r>
        <w:rPr>
          <w:rFonts w:asciiTheme="majorBidi" w:hAnsiTheme="majorBidi" w:cstheme="majorBidi"/>
          <w:sz w:val="24"/>
          <w:szCs w:val="24"/>
        </w:rPr>
        <w:t>y</w:t>
      </w:r>
      <w:r w:rsidR="00087F49">
        <w:rPr>
          <w:rFonts w:asciiTheme="majorBidi" w:hAnsiTheme="majorBidi" w:cstheme="majorBidi"/>
          <w:sz w:val="24"/>
          <w:szCs w:val="24"/>
        </w:rPr>
        <w:t>;</w:t>
      </w:r>
      <w:r w:rsidRPr="008D75D3">
        <w:rPr>
          <w:rFonts w:asciiTheme="majorBidi" w:hAnsiTheme="majorBidi" w:cstheme="majorBidi"/>
          <w:sz w:val="24"/>
          <w:szCs w:val="24"/>
        </w:rPr>
        <w:t xml:space="preserve">” </w:t>
      </w:r>
      <w:r w:rsidR="00087F49">
        <w:rPr>
          <w:rFonts w:asciiTheme="majorBidi" w:hAnsiTheme="majorBidi" w:cstheme="majorBidi"/>
          <w:sz w:val="24"/>
          <w:szCs w:val="24"/>
        </w:rPr>
        <w:t>w</w:t>
      </w:r>
      <w:r w:rsidRPr="008D75D3">
        <w:rPr>
          <w:rFonts w:asciiTheme="majorBidi" w:hAnsiTheme="majorBidi" w:cstheme="majorBidi"/>
          <w:sz w:val="24"/>
          <w:szCs w:val="24"/>
        </w:rPr>
        <w:t xml:space="preserve">hile the statement with </w:t>
      </w:r>
      <w:r>
        <w:rPr>
          <w:rFonts w:asciiTheme="majorBidi" w:hAnsiTheme="majorBidi" w:cstheme="majorBidi"/>
          <w:sz w:val="24"/>
          <w:szCs w:val="24"/>
        </w:rPr>
        <w:t xml:space="preserve">the </w:t>
      </w:r>
      <w:r w:rsidRPr="008D75D3">
        <w:rPr>
          <w:rFonts w:asciiTheme="majorBidi" w:hAnsiTheme="majorBidi" w:cstheme="majorBidi"/>
          <w:sz w:val="24"/>
          <w:szCs w:val="24"/>
        </w:rPr>
        <w:t>lowe</w:t>
      </w:r>
      <w:r>
        <w:rPr>
          <w:rFonts w:asciiTheme="majorBidi" w:hAnsiTheme="majorBidi" w:cstheme="majorBidi"/>
          <w:sz w:val="24"/>
          <w:szCs w:val="24"/>
        </w:rPr>
        <w:t>st</w:t>
      </w:r>
      <w:r w:rsidRPr="008D75D3">
        <w:rPr>
          <w:rFonts w:asciiTheme="majorBidi" w:hAnsiTheme="majorBidi" w:cstheme="majorBidi"/>
          <w:sz w:val="24"/>
          <w:szCs w:val="24"/>
        </w:rPr>
        <w:t xml:space="preserve"> agreement is “I feel I have a “bond” with Dettol</w:t>
      </w:r>
      <w:r w:rsidR="00087F49">
        <w:rPr>
          <w:rFonts w:asciiTheme="majorBidi" w:hAnsiTheme="majorBidi" w:cstheme="majorBidi"/>
          <w:sz w:val="24"/>
          <w:szCs w:val="24"/>
        </w:rPr>
        <w:t>,</w:t>
      </w:r>
      <w:r w:rsidRPr="008D75D3">
        <w:rPr>
          <w:rFonts w:asciiTheme="majorBidi" w:hAnsiTheme="majorBidi" w:cstheme="majorBidi"/>
          <w:sz w:val="24"/>
          <w:szCs w:val="24"/>
        </w:rPr>
        <w:t>” and “I feel emotionally connected to Dettol</w:t>
      </w:r>
      <w:r>
        <w:rPr>
          <w:rFonts w:asciiTheme="majorBidi" w:hAnsiTheme="majorBidi" w:cstheme="majorBidi"/>
          <w:sz w:val="24"/>
          <w:szCs w:val="24"/>
        </w:rPr>
        <w:t>.</w:t>
      </w:r>
      <w:r w:rsidRPr="008D75D3">
        <w:rPr>
          <w:rFonts w:asciiTheme="majorBidi" w:hAnsiTheme="majorBidi" w:cstheme="majorBidi"/>
          <w:sz w:val="24"/>
          <w:szCs w:val="24"/>
        </w:rPr>
        <w:t>”</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696"/>
        <w:gridCol w:w="854"/>
        <w:gridCol w:w="850"/>
        <w:gridCol w:w="993"/>
        <w:gridCol w:w="1559"/>
      </w:tblGrid>
      <w:tr w:rsidR="00D65FF6" w:rsidRPr="00D53E24" w14:paraId="3A070FAC" w14:textId="77777777" w:rsidTr="00024510">
        <w:trPr>
          <w:trHeight w:val="400"/>
        </w:trPr>
        <w:tc>
          <w:tcPr>
            <w:tcW w:w="3411" w:type="dxa"/>
            <w:shd w:val="clear" w:color="auto" w:fill="auto"/>
            <w:noWrap/>
            <w:vAlign w:val="bottom"/>
            <w:hideMark/>
          </w:tcPr>
          <w:p w14:paraId="504DC6D2"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696" w:type="dxa"/>
            <w:shd w:val="clear" w:color="auto" w:fill="auto"/>
            <w:vAlign w:val="bottom"/>
            <w:hideMark/>
          </w:tcPr>
          <w:p w14:paraId="52D13CD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854" w:type="dxa"/>
            <w:shd w:val="clear" w:color="auto" w:fill="auto"/>
            <w:vAlign w:val="bottom"/>
            <w:hideMark/>
          </w:tcPr>
          <w:p w14:paraId="4017895A" w14:textId="163CECF5"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Min</w:t>
            </w:r>
          </w:p>
        </w:tc>
        <w:tc>
          <w:tcPr>
            <w:tcW w:w="850" w:type="dxa"/>
            <w:shd w:val="clear" w:color="auto" w:fill="auto"/>
            <w:vAlign w:val="bottom"/>
            <w:hideMark/>
          </w:tcPr>
          <w:p w14:paraId="61FD1098" w14:textId="77E18092"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Max</w:t>
            </w:r>
          </w:p>
        </w:tc>
        <w:tc>
          <w:tcPr>
            <w:tcW w:w="993" w:type="dxa"/>
            <w:shd w:val="clear" w:color="auto" w:fill="auto"/>
            <w:vAlign w:val="bottom"/>
            <w:hideMark/>
          </w:tcPr>
          <w:p w14:paraId="44727B53"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559" w:type="dxa"/>
            <w:shd w:val="clear" w:color="auto" w:fill="auto"/>
            <w:vAlign w:val="bottom"/>
            <w:hideMark/>
          </w:tcPr>
          <w:p w14:paraId="76F1EC66"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r>
      <w:tr w:rsidR="00D65FF6" w:rsidRPr="00D53E24" w14:paraId="31D23E63" w14:textId="77777777" w:rsidTr="00024510">
        <w:trPr>
          <w:trHeight w:val="240"/>
        </w:trPr>
        <w:tc>
          <w:tcPr>
            <w:tcW w:w="3411" w:type="dxa"/>
            <w:shd w:val="clear" w:color="auto" w:fill="auto"/>
            <w:noWrap/>
            <w:hideMark/>
          </w:tcPr>
          <w:p w14:paraId="3BF114D3" w14:textId="3111A956"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feel there is a natural “fit” between you and Dettol</w:t>
            </w:r>
            <w:r w:rsidR="00BD25CF" w:rsidRPr="00D53E24">
              <w:rPr>
                <w:rFonts w:asciiTheme="majorBidi" w:eastAsia="Times New Roman" w:hAnsiTheme="majorBidi" w:cstheme="majorBidi"/>
                <w:color w:val="000000"/>
                <w:sz w:val="20"/>
                <w:szCs w:val="20"/>
              </w:rPr>
              <w:t>.</w:t>
            </w:r>
          </w:p>
        </w:tc>
        <w:tc>
          <w:tcPr>
            <w:tcW w:w="696" w:type="dxa"/>
            <w:shd w:val="clear" w:color="auto" w:fill="auto"/>
            <w:noWrap/>
            <w:vAlign w:val="center"/>
            <w:hideMark/>
          </w:tcPr>
          <w:p w14:paraId="2AB8A63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4" w:type="dxa"/>
            <w:shd w:val="clear" w:color="auto" w:fill="auto"/>
            <w:noWrap/>
            <w:vAlign w:val="center"/>
            <w:hideMark/>
          </w:tcPr>
          <w:p w14:paraId="08CE45D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0" w:type="dxa"/>
            <w:shd w:val="clear" w:color="auto" w:fill="auto"/>
            <w:noWrap/>
            <w:vAlign w:val="center"/>
            <w:hideMark/>
          </w:tcPr>
          <w:p w14:paraId="6C5AB84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93" w:type="dxa"/>
            <w:shd w:val="clear" w:color="auto" w:fill="auto"/>
            <w:noWrap/>
            <w:vAlign w:val="center"/>
            <w:hideMark/>
          </w:tcPr>
          <w:p w14:paraId="6F5C4DD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4.09</w:t>
            </w:r>
          </w:p>
        </w:tc>
        <w:tc>
          <w:tcPr>
            <w:tcW w:w="1559" w:type="dxa"/>
            <w:shd w:val="clear" w:color="auto" w:fill="auto"/>
            <w:noWrap/>
            <w:vAlign w:val="center"/>
            <w:hideMark/>
          </w:tcPr>
          <w:p w14:paraId="4323070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1.627</w:t>
            </w:r>
          </w:p>
        </w:tc>
      </w:tr>
      <w:tr w:rsidR="00D65FF6" w:rsidRPr="00D53E24" w14:paraId="2CA995CD" w14:textId="77777777" w:rsidTr="00024510">
        <w:trPr>
          <w:trHeight w:val="231"/>
        </w:trPr>
        <w:tc>
          <w:tcPr>
            <w:tcW w:w="3411" w:type="dxa"/>
            <w:shd w:val="clear" w:color="auto" w:fill="auto"/>
            <w:noWrap/>
            <w:hideMark/>
          </w:tcPr>
          <w:p w14:paraId="69B02C70" w14:textId="0D9A1AAB" w:rsidR="00D65FF6" w:rsidRPr="00D53E24" w:rsidRDefault="00D65FF6" w:rsidP="008D0DBB">
            <w:pPr>
              <w:spacing w:after="0" w:line="240" w:lineRule="auto"/>
              <w:rPr>
                <w:rFonts w:asciiTheme="majorBidi" w:eastAsia="Times New Roman" w:hAnsiTheme="majorBidi" w:cstheme="majorBidi"/>
                <w:color w:val="000000"/>
                <w:sz w:val="20"/>
                <w:szCs w:val="20"/>
              </w:rPr>
            </w:pPr>
            <w:bookmarkStart w:id="160" w:name="_Hlk119493860"/>
            <w:r w:rsidRPr="00D53E24">
              <w:rPr>
                <w:rFonts w:asciiTheme="majorBidi" w:eastAsia="Times New Roman" w:hAnsiTheme="majorBidi" w:cstheme="majorBidi"/>
                <w:color w:val="000000"/>
                <w:sz w:val="20"/>
                <w:szCs w:val="20"/>
              </w:rPr>
              <w:t>Dettol seems to fit my own tastes perfectly</w:t>
            </w:r>
            <w:bookmarkEnd w:id="160"/>
            <w:r w:rsidRPr="00D53E24">
              <w:rPr>
                <w:rFonts w:asciiTheme="majorBidi" w:eastAsia="Times New Roman" w:hAnsiTheme="majorBidi" w:cstheme="majorBidi"/>
                <w:color w:val="000000"/>
                <w:sz w:val="20"/>
                <w:szCs w:val="20"/>
              </w:rPr>
              <w:t>.</w:t>
            </w:r>
          </w:p>
        </w:tc>
        <w:tc>
          <w:tcPr>
            <w:tcW w:w="696" w:type="dxa"/>
            <w:shd w:val="clear" w:color="auto" w:fill="auto"/>
            <w:noWrap/>
            <w:vAlign w:val="center"/>
            <w:hideMark/>
          </w:tcPr>
          <w:p w14:paraId="26A5A1A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4" w:type="dxa"/>
            <w:shd w:val="clear" w:color="auto" w:fill="auto"/>
            <w:noWrap/>
            <w:vAlign w:val="center"/>
            <w:hideMark/>
          </w:tcPr>
          <w:p w14:paraId="3B382D4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0" w:type="dxa"/>
            <w:shd w:val="clear" w:color="auto" w:fill="auto"/>
            <w:noWrap/>
            <w:vAlign w:val="center"/>
            <w:hideMark/>
          </w:tcPr>
          <w:p w14:paraId="752E0F4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93" w:type="dxa"/>
            <w:shd w:val="clear" w:color="auto" w:fill="auto"/>
            <w:noWrap/>
            <w:vAlign w:val="center"/>
            <w:hideMark/>
          </w:tcPr>
          <w:p w14:paraId="030CF4C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4.46</w:t>
            </w:r>
          </w:p>
        </w:tc>
        <w:tc>
          <w:tcPr>
            <w:tcW w:w="1559" w:type="dxa"/>
            <w:shd w:val="clear" w:color="auto" w:fill="auto"/>
            <w:noWrap/>
            <w:vAlign w:val="center"/>
            <w:hideMark/>
          </w:tcPr>
          <w:p w14:paraId="2316619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1.608</w:t>
            </w:r>
          </w:p>
        </w:tc>
      </w:tr>
      <w:tr w:rsidR="00D65FF6" w:rsidRPr="00D53E24" w14:paraId="34371BF7" w14:textId="77777777" w:rsidTr="00024510">
        <w:trPr>
          <w:trHeight w:val="231"/>
        </w:trPr>
        <w:tc>
          <w:tcPr>
            <w:tcW w:w="3411" w:type="dxa"/>
            <w:shd w:val="clear" w:color="auto" w:fill="auto"/>
            <w:noWrap/>
            <w:hideMark/>
          </w:tcPr>
          <w:p w14:paraId="00E4A4B4" w14:textId="519C4A16"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feel emotionally connected to Dettol</w:t>
            </w:r>
            <w:r w:rsidR="00BD25CF" w:rsidRPr="00D53E24">
              <w:rPr>
                <w:rFonts w:asciiTheme="majorBidi" w:eastAsia="Times New Roman" w:hAnsiTheme="majorBidi" w:cstheme="majorBidi"/>
                <w:color w:val="000000"/>
                <w:sz w:val="20"/>
                <w:szCs w:val="20"/>
              </w:rPr>
              <w:t>.</w:t>
            </w:r>
          </w:p>
        </w:tc>
        <w:tc>
          <w:tcPr>
            <w:tcW w:w="696" w:type="dxa"/>
            <w:shd w:val="clear" w:color="auto" w:fill="auto"/>
            <w:noWrap/>
            <w:vAlign w:val="center"/>
            <w:hideMark/>
          </w:tcPr>
          <w:p w14:paraId="5E8F4EF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4" w:type="dxa"/>
            <w:shd w:val="clear" w:color="auto" w:fill="auto"/>
            <w:noWrap/>
            <w:vAlign w:val="center"/>
            <w:hideMark/>
          </w:tcPr>
          <w:p w14:paraId="3AD4BE0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0" w:type="dxa"/>
            <w:shd w:val="clear" w:color="auto" w:fill="auto"/>
            <w:noWrap/>
            <w:vAlign w:val="center"/>
            <w:hideMark/>
          </w:tcPr>
          <w:p w14:paraId="0E8A301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93" w:type="dxa"/>
            <w:shd w:val="clear" w:color="auto" w:fill="auto"/>
            <w:noWrap/>
            <w:vAlign w:val="center"/>
            <w:hideMark/>
          </w:tcPr>
          <w:p w14:paraId="6663A24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3.70</w:t>
            </w:r>
          </w:p>
        </w:tc>
        <w:tc>
          <w:tcPr>
            <w:tcW w:w="1559" w:type="dxa"/>
            <w:shd w:val="clear" w:color="auto" w:fill="auto"/>
            <w:noWrap/>
            <w:vAlign w:val="center"/>
            <w:hideMark/>
          </w:tcPr>
          <w:p w14:paraId="1755089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1.805</w:t>
            </w:r>
          </w:p>
        </w:tc>
      </w:tr>
      <w:tr w:rsidR="00D65FF6" w:rsidRPr="00D53E24" w14:paraId="4B284C57" w14:textId="77777777" w:rsidTr="00024510">
        <w:trPr>
          <w:trHeight w:val="231"/>
        </w:trPr>
        <w:tc>
          <w:tcPr>
            <w:tcW w:w="3411" w:type="dxa"/>
            <w:shd w:val="clear" w:color="auto" w:fill="auto"/>
            <w:noWrap/>
            <w:hideMark/>
          </w:tcPr>
          <w:p w14:paraId="4138926B" w14:textId="01DC521D"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feel I have a “bond” with Dettol</w:t>
            </w:r>
            <w:r w:rsidR="00BD25CF" w:rsidRPr="00D53E24">
              <w:rPr>
                <w:rFonts w:asciiTheme="majorBidi" w:eastAsia="Times New Roman" w:hAnsiTheme="majorBidi" w:cstheme="majorBidi"/>
                <w:color w:val="000000"/>
                <w:sz w:val="20"/>
                <w:szCs w:val="20"/>
              </w:rPr>
              <w:t>,</w:t>
            </w:r>
          </w:p>
        </w:tc>
        <w:tc>
          <w:tcPr>
            <w:tcW w:w="696" w:type="dxa"/>
            <w:shd w:val="clear" w:color="auto" w:fill="auto"/>
            <w:noWrap/>
            <w:vAlign w:val="center"/>
            <w:hideMark/>
          </w:tcPr>
          <w:p w14:paraId="3255FBD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4" w:type="dxa"/>
            <w:shd w:val="clear" w:color="auto" w:fill="auto"/>
            <w:noWrap/>
            <w:vAlign w:val="center"/>
            <w:hideMark/>
          </w:tcPr>
          <w:p w14:paraId="27AB79A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0" w:type="dxa"/>
            <w:shd w:val="clear" w:color="auto" w:fill="auto"/>
            <w:noWrap/>
            <w:vAlign w:val="center"/>
            <w:hideMark/>
          </w:tcPr>
          <w:p w14:paraId="786753A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93" w:type="dxa"/>
            <w:shd w:val="clear" w:color="auto" w:fill="auto"/>
            <w:noWrap/>
            <w:vAlign w:val="center"/>
            <w:hideMark/>
          </w:tcPr>
          <w:p w14:paraId="2F02541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3.70</w:t>
            </w:r>
          </w:p>
        </w:tc>
        <w:tc>
          <w:tcPr>
            <w:tcW w:w="1559" w:type="dxa"/>
            <w:shd w:val="clear" w:color="auto" w:fill="auto"/>
            <w:noWrap/>
            <w:vAlign w:val="center"/>
            <w:hideMark/>
          </w:tcPr>
          <w:p w14:paraId="0761B9F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1.807</w:t>
            </w:r>
          </w:p>
        </w:tc>
      </w:tr>
      <w:tr w:rsidR="00D65FF6" w:rsidRPr="00D53E24" w14:paraId="1D2A8D19" w14:textId="77777777" w:rsidTr="00024510">
        <w:trPr>
          <w:trHeight w:val="231"/>
        </w:trPr>
        <w:tc>
          <w:tcPr>
            <w:tcW w:w="3411" w:type="dxa"/>
            <w:shd w:val="clear" w:color="auto" w:fill="auto"/>
            <w:noWrap/>
            <w:hideMark/>
          </w:tcPr>
          <w:p w14:paraId="6405790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w:t>
            </w:r>
          </w:p>
        </w:tc>
        <w:tc>
          <w:tcPr>
            <w:tcW w:w="696" w:type="dxa"/>
            <w:shd w:val="clear" w:color="auto" w:fill="auto"/>
            <w:noWrap/>
            <w:vAlign w:val="center"/>
            <w:hideMark/>
          </w:tcPr>
          <w:p w14:paraId="40FFD53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854" w:type="dxa"/>
            <w:shd w:val="clear" w:color="auto" w:fill="auto"/>
            <w:noWrap/>
            <w:vAlign w:val="center"/>
            <w:hideMark/>
          </w:tcPr>
          <w:p w14:paraId="31A334C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1.00</w:t>
            </w:r>
          </w:p>
        </w:tc>
        <w:tc>
          <w:tcPr>
            <w:tcW w:w="850" w:type="dxa"/>
            <w:shd w:val="clear" w:color="auto" w:fill="auto"/>
            <w:noWrap/>
            <w:vAlign w:val="center"/>
            <w:hideMark/>
          </w:tcPr>
          <w:p w14:paraId="5D2CD76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7.00</w:t>
            </w:r>
          </w:p>
        </w:tc>
        <w:tc>
          <w:tcPr>
            <w:tcW w:w="993" w:type="dxa"/>
            <w:shd w:val="clear" w:color="auto" w:fill="auto"/>
            <w:noWrap/>
            <w:vAlign w:val="center"/>
            <w:hideMark/>
          </w:tcPr>
          <w:p w14:paraId="1C4FDF0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3.9203</w:t>
            </w:r>
          </w:p>
        </w:tc>
        <w:tc>
          <w:tcPr>
            <w:tcW w:w="1559" w:type="dxa"/>
            <w:shd w:val="clear" w:color="auto" w:fill="auto"/>
            <w:noWrap/>
            <w:vAlign w:val="center"/>
            <w:hideMark/>
          </w:tcPr>
          <w:p w14:paraId="3F2C2F97" w14:textId="77777777" w:rsidR="00D65FF6" w:rsidRPr="00D53E24" w:rsidRDefault="00D65FF6" w:rsidP="008F5D43">
            <w:pPr>
              <w:keepNext/>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1.41564</w:t>
            </w:r>
          </w:p>
        </w:tc>
      </w:tr>
    </w:tbl>
    <w:p w14:paraId="0473B860" w14:textId="799B2174" w:rsidR="00D65FF6" w:rsidRDefault="008F5D43" w:rsidP="008F5D43">
      <w:pPr>
        <w:pStyle w:val="Caption"/>
        <w:rPr>
          <w:rFonts w:asciiTheme="majorBidi" w:hAnsiTheme="majorBidi" w:cstheme="majorBidi"/>
          <w:b/>
          <w:bCs/>
          <w:sz w:val="24"/>
          <w:szCs w:val="24"/>
        </w:rPr>
      </w:pPr>
      <w:r>
        <w:t>Table 2</w:t>
      </w:r>
      <w:r w:rsidR="00044DE9">
        <w:t>7</w:t>
      </w:r>
      <w:r>
        <w:t xml:space="preserve"> Descriptive statistics of </w:t>
      </w:r>
      <w:r w:rsidRPr="008F5D43">
        <w:t>the brand attachment construct</w:t>
      </w:r>
    </w:p>
    <w:p w14:paraId="27458901" w14:textId="77777777" w:rsidR="00511634" w:rsidRDefault="00511634">
      <w:pPr>
        <w:rPr>
          <w:rFonts w:asciiTheme="majorBidi" w:hAnsiTheme="majorBidi" w:cstheme="majorBidi"/>
          <w:b/>
          <w:bCs/>
          <w:sz w:val="24"/>
          <w:szCs w:val="24"/>
        </w:rPr>
      </w:pPr>
      <w:r>
        <w:rPr>
          <w:rFonts w:asciiTheme="majorBidi" w:hAnsiTheme="majorBidi" w:cstheme="majorBidi"/>
          <w:b/>
          <w:bCs/>
          <w:sz w:val="24"/>
          <w:szCs w:val="24"/>
        </w:rPr>
        <w:br w:type="page"/>
      </w:r>
    </w:p>
    <w:p w14:paraId="6674E881" w14:textId="011F4277" w:rsidR="00D65FF6" w:rsidRPr="008D75D3" w:rsidRDefault="00D65FF6" w:rsidP="00D65FF6">
      <w:pPr>
        <w:spacing w:line="360" w:lineRule="auto"/>
        <w:contextualSpacing/>
        <w:jc w:val="both"/>
        <w:rPr>
          <w:rFonts w:asciiTheme="majorBidi" w:hAnsiTheme="majorBidi" w:cstheme="majorBidi"/>
          <w:b/>
          <w:bCs/>
          <w:sz w:val="24"/>
          <w:szCs w:val="24"/>
        </w:rPr>
      </w:pPr>
      <w:r w:rsidRPr="008D75D3">
        <w:rPr>
          <w:rFonts w:asciiTheme="majorBidi" w:hAnsiTheme="majorBidi" w:cstheme="majorBidi"/>
          <w:b/>
          <w:bCs/>
          <w:sz w:val="24"/>
          <w:szCs w:val="24"/>
        </w:rPr>
        <w:t xml:space="preserve"> </w:t>
      </w: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 xml:space="preserve">.8 </w:t>
      </w:r>
      <w:r w:rsidRPr="008D75D3">
        <w:rPr>
          <w:rFonts w:asciiTheme="majorBidi" w:hAnsiTheme="majorBidi" w:cstheme="majorBidi"/>
          <w:b/>
          <w:bCs/>
          <w:sz w:val="24"/>
          <w:szCs w:val="24"/>
        </w:rPr>
        <w:t>Brand trust</w:t>
      </w:r>
    </w:p>
    <w:p w14:paraId="194DE012" w14:textId="400569D8" w:rsidR="00D65FF6" w:rsidRPr="00C0315E" w:rsidRDefault="00D65FF6" w:rsidP="008F5D43">
      <w:pPr>
        <w:spacing w:line="480" w:lineRule="auto"/>
        <w:ind w:firstLine="720"/>
        <w:jc w:val="both"/>
        <w:rPr>
          <w:rFonts w:asciiTheme="majorBidi" w:hAnsiTheme="majorBidi" w:cstheme="majorBidi"/>
          <w:sz w:val="24"/>
          <w:szCs w:val="24"/>
        </w:rPr>
      </w:pPr>
      <w:r w:rsidRPr="008D75D3">
        <w:rPr>
          <w:rFonts w:asciiTheme="majorBidi" w:hAnsiTheme="majorBidi" w:cstheme="majorBidi"/>
          <w:sz w:val="24"/>
          <w:szCs w:val="24"/>
        </w:rPr>
        <w:t xml:space="preserve">The survey </w:t>
      </w:r>
      <w:r>
        <w:rPr>
          <w:rFonts w:asciiTheme="majorBidi" w:hAnsiTheme="majorBidi" w:cstheme="majorBidi"/>
          <w:sz w:val="24"/>
          <w:szCs w:val="24"/>
        </w:rPr>
        <w:t>had</w:t>
      </w:r>
      <w:r w:rsidRPr="008D75D3">
        <w:rPr>
          <w:rFonts w:asciiTheme="majorBidi" w:hAnsiTheme="majorBidi" w:cstheme="majorBidi"/>
          <w:sz w:val="24"/>
          <w:szCs w:val="24"/>
        </w:rPr>
        <w:t xml:space="preserve"> </w:t>
      </w:r>
      <w:r>
        <w:rPr>
          <w:rFonts w:asciiTheme="majorBidi" w:hAnsiTheme="majorBidi" w:cstheme="majorBidi"/>
          <w:sz w:val="24"/>
          <w:szCs w:val="24"/>
        </w:rPr>
        <w:t>four</w:t>
      </w:r>
      <w:r w:rsidRPr="008D75D3">
        <w:rPr>
          <w:rFonts w:asciiTheme="majorBidi" w:hAnsiTheme="majorBidi" w:cstheme="majorBidi"/>
          <w:sz w:val="24"/>
          <w:szCs w:val="24"/>
        </w:rPr>
        <w:t xml:space="preserve"> questions to measure the brand trust variable. From the following table</w:t>
      </w:r>
      <w:r>
        <w:rPr>
          <w:rFonts w:asciiTheme="majorBidi" w:hAnsiTheme="majorBidi" w:cstheme="majorBidi"/>
          <w:sz w:val="24"/>
          <w:szCs w:val="24"/>
        </w:rPr>
        <w:t>,</w:t>
      </w:r>
      <w:r w:rsidRPr="008D75D3">
        <w:rPr>
          <w:rFonts w:asciiTheme="majorBidi" w:hAnsiTheme="majorBidi" w:cstheme="majorBidi"/>
          <w:sz w:val="24"/>
          <w:szCs w:val="24"/>
        </w:rPr>
        <w:t xml:space="preserve"> it is clear that the average of all statements is between </w:t>
      </w:r>
      <w:r>
        <w:rPr>
          <w:rFonts w:asciiTheme="majorBidi" w:hAnsiTheme="majorBidi" w:cstheme="majorBidi"/>
          <w:sz w:val="24"/>
          <w:szCs w:val="24"/>
        </w:rPr>
        <w:t>four</w:t>
      </w:r>
      <w:r w:rsidRPr="008D75D3">
        <w:rPr>
          <w:rFonts w:asciiTheme="majorBidi" w:hAnsiTheme="majorBidi" w:cstheme="majorBidi"/>
          <w:sz w:val="24"/>
          <w:szCs w:val="24"/>
        </w:rPr>
        <w:t xml:space="preserve"> and </w:t>
      </w:r>
      <w:r>
        <w:rPr>
          <w:rFonts w:asciiTheme="majorBidi" w:hAnsiTheme="majorBidi" w:cstheme="majorBidi"/>
          <w:sz w:val="24"/>
          <w:szCs w:val="24"/>
        </w:rPr>
        <w:t>five</w:t>
      </w:r>
      <w:r w:rsidRPr="008D75D3">
        <w:rPr>
          <w:rFonts w:asciiTheme="majorBidi" w:hAnsiTheme="majorBidi" w:cstheme="majorBidi"/>
          <w:sz w:val="24"/>
          <w:szCs w:val="24"/>
        </w:rPr>
        <w:t xml:space="preserve"> which indicates that respondent</w:t>
      </w:r>
      <w:r>
        <w:rPr>
          <w:rFonts w:asciiTheme="majorBidi" w:hAnsiTheme="majorBidi" w:cstheme="majorBidi"/>
          <w:sz w:val="24"/>
          <w:szCs w:val="24"/>
        </w:rPr>
        <w:t>s</w:t>
      </w:r>
      <w:r w:rsidRPr="008D75D3">
        <w:rPr>
          <w:rFonts w:asciiTheme="majorBidi" w:hAnsiTheme="majorBidi" w:cstheme="majorBidi"/>
          <w:sz w:val="24"/>
          <w:szCs w:val="24"/>
        </w:rPr>
        <w:t xml:space="preserve"> tend to </w:t>
      </w:r>
      <w:r>
        <w:rPr>
          <w:rFonts w:asciiTheme="majorBidi" w:hAnsiTheme="majorBidi" w:cstheme="majorBidi"/>
          <w:sz w:val="24"/>
          <w:szCs w:val="24"/>
        </w:rPr>
        <w:t xml:space="preserve">be </w:t>
      </w:r>
      <w:r w:rsidRPr="008D75D3">
        <w:rPr>
          <w:rFonts w:asciiTheme="majorBidi" w:hAnsiTheme="majorBidi" w:cstheme="majorBidi"/>
          <w:sz w:val="24"/>
          <w:szCs w:val="24"/>
        </w:rPr>
        <w:t>neutra</w:t>
      </w:r>
      <w:r>
        <w:rPr>
          <w:rFonts w:asciiTheme="majorBidi" w:hAnsiTheme="majorBidi" w:cstheme="majorBidi"/>
          <w:sz w:val="24"/>
          <w:szCs w:val="24"/>
        </w:rPr>
        <w:t>l</w:t>
      </w:r>
      <w:r w:rsidRPr="008D75D3">
        <w:rPr>
          <w:rFonts w:asciiTheme="majorBidi" w:hAnsiTheme="majorBidi" w:cstheme="majorBidi"/>
          <w:sz w:val="24"/>
          <w:szCs w:val="24"/>
        </w:rPr>
        <w:t xml:space="preserve"> or slightly agree to the statements that measure </w:t>
      </w:r>
      <w:r>
        <w:rPr>
          <w:rFonts w:asciiTheme="majorBidi" w:hAnsiTheme="majorBidi" w:cstheme="majorBidi"/>
          <w:sz w:val="24"/>
          <w:szCs w:val="24"/>
        </w:rPr>
        <w:t>brand trust</w:t>
      </w:r>
      <w:r w:rsidRPr="008D75D3">
        <w:rPr>
          <w:rFonts w:asciiTheme="majorBidi" w:hAnsiTheme="majorBidi" w:cstheme="majorBidi"/>
          <w:sz w:val="24"/>
          <w:szCs w:val="24"/>
        </w:rPr>
        <w:t xml:space="preserve">. The statement with </w:t>
      </w:r>
      <w:r>
        <w:rPr>
          <w:rFonts w:asciiTheme="majorBidi" w:hAnsiTheme="majorBidi" w:cstheme="majorBidi"/>
          <w:sz w:val="24"/>
          <w:szCs w:val="24"/>
        </w:rPr>
        <w:t xml:space="preserve">the </w:t>
      </w:r>
      <w:r w:rsidRPr="008D75D3">
        <w:rPr>
          <w:rFonts w:asciiTheme="majorBidi" w:hAnsiTheme="majorBidi" w:cstheme="majorBidi"/>
          <w:sz w:val="24"/>
          <w:szCs w:val="24"/>
        </w:rPr>
        <w:t xml:space="preserve">highest agreement </w:t>
      </w:r>
      <w:r>
        <w:rPr>
          <w:rFonts w:asciiTheme="majorBidi" w:hAnsiTheme="majorBidi" w:cstheme="majorBidi"/>
          <w:sz w:val="24"/>
          <w:szCs w:val="24"/>
        </w:rPr>
        <w:t>was</w:t>
      </w:r>
      <w:r w:rsidRPr="008D75D3">
        <w:rPr>
          <w:rFonts w:asciiTheme="majorBidi" w:hAnsiTheme="majorBidi" w:cstheme="majorBidi"/>
          <w:sz w:val="24"/>
          <w:szCs w:val="24"/>
        </w:rPr>
        <w:t xml:space="preserve"> “</w:t>
      </w:r>
      <w:r w:rsidR="00BD25CF">
        <w:rPr>
          <w:rFonts w:asciiTheme="majorBidi" w:hAnsiTheme="majorBidi" w:cstheme="majorBidi"/>
          <w:sz w:val="24"/>
          <w:szCs w:val="24"/>
        </w:rPr>
        <w:t>t</w:t>
      </w:r>
      <w:r w:rsidRPr="008D75D3">
        <w:rPr>
          <w:rFonts w:asciiTheme="majorBidi" w:hAnsiTheme="majorBidi" w:cstheme="majorBidi"/>
          <w:sz w:val="24"/>
          <w:szCs w:val="24"/>
        </w:rPr>
        <w:t xml:space="preserve">he quality of Dettol has been very consistent.” While the statement with </w:t>
      </w:r>
      <w:r>
        <w:rPr>
          <w:rFonts w:asciiTheme="majorBidi" w:hAnsiTheme="majorBidi" w:cstheme="majorBidi"/>
          <w:sz w:val="24"/>
          <w:szCs w:val="24"/>
        </w:rPr>
        <w:t xml:space="preserve">the </w:t>
      </w:r>
      <w:r w:rsidRPr="008D75D3">
        <w:rPr>
          <w:rFonts w:asciiTheme="majorBidi" w:hAnsiTheme="majorBidi" w:cstheme="majorBidi"/>
          <w:sz w:val="24"/>
          <w:szCs w:val="24"/>
        </w:rPr>
        <w:t>lowe</w:t>
      </w:r>
      <w:r>
        <w:rPr>
          <w:rFonts w:asciiTheme="majorBidi" w:hAnsiTheme="majorBidi" w:cstheme="majorBidi"/>
          <w:sz w:val="24"/>
          <w:szCs w:val="24"/>
        </w:rPr>
        <w:t>st</w:t>
      </w:r>
      <w:r w:rsidRPr="008D75D3">
        <w:rPr>
          <w:rFonts w:asciiTheme="majorBidi" w:hAnsiTheme="majorBidi" w:cstheme="majorBidi"/>
          <w:sz w:val="24"/>
          <w:szCs w:val="24"/>
        </w:rPr>
        <w:t xml:space="preserve"> agreement </w:t>
      </w:r>
      <w:r>
        <w:rPr>
          <w:rFonts w:asciiTheme="majorBidi" w:hAnsiTheme="majorBidi" w:cstheme="majorBidi"/>
          <w:sz w:val="24"/>
          <w:szCs w:val="24"/>
        </w:rPr>
        <w:t>was</w:t>
      </w:r>
      <w:r w:rsidRPr="008D75D3">
        <w:rPr>
          <w:rFonts w:asciiTheme="majorBidi" w:hAnsiTheme="majorBidi" w:cstheme="majorBidi"/>
          <w:sz w:val="24"/>
          <w:szCs w:val="24"/>
        </w:rPr>
        <w:t xml:space="preserve"> “Dettol never disappoints me.”</w:t>
      </w:r>
    </w:p>
    <w:tbl>
      <w:tblPr>
        <w:tblW w:w="84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67"/>
        <w:gridCol w:w="700"/>
        <w:gridCol w:w="717"/>
        <w:gridCol w:w="992"/>
        <w:gridCol w:w="1546"/>
      </w:tblGrid>
      <w:tr w:rsidR="00D65FF6" w:rsidRPr="00D53E24" w14:paraId="783E0D9C" w14:textId="77777777" w:rsidTr="00024510">
        <w:trPr>
          <w:trHeight w:val="384"/>
        </w:trPr>
        <w:tc>
          <w:tcPr>
            <w:tcW w:w="3969" w:type="dxa"/>
            <w:shd w:val="clear" w:color="auto" w:fill="auto"/>
            <w:noWrap/>
            <w:vAlign w:val="bottom"/>
            <w:hideMark/>
          </w:tcPr>
          <w:p w14:paraId="62AA539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567" w:type="dxa"/>
            <w:shd w:val="clear" w:color="auto" w:fill="auto"/>
            <w:vAlign w:val="bottom"/>
            <w:hideMark/>
          </w:tcPr>
          <w:p w14:paraId="3B56E2FD"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700" w:type="dxa"/>
            <w:shd w:val="clear" w:color="auto" w:fill="auto"/>
            <w:vAlign w:val="bottom"/>
            <w:hideMark/>
          </w:tcPr>
          <w:p w14:paraId="0F4ED0CA" w14:textId="7CC46DE2"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Mi</w:t>
            </w:r>
            <w:r w:rsidR="00044DE9">
              <w:rPr>
                <w:rFonts w:asciiTheme="majorBidi" w:eastAsia="Times New Roman" w:hAnsiTheme="majorBidi" w:cstheme="majorBidi"/>
                <w:color w:val="000000"/>
                <w:sz w:val="20"/>
                <w:szCs w:val="20"/>
              </w:rPr>
              <w:t>n.</w:t>
            </w:r>
          </w:p>
        </w:tc>
        <w:tc>
          <w:tcPr>
            <w:tcW w:w="717" w:type="dxa"/>
            <w:shd w:val="clear" w:color="auto" w:fill="auto"/>
            <w:vAlign w:val="bottom"/>
            <w:hideMark/>
          </w:tcPr>
          <w:p w14:paraId="5DAC96CB" w14:textId="51C158EE"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Max</w:t>
            </w:r>
            <w:r w:rsidR="00044DE9">
              <w:rPr>
                <w:rFonts w:asciiTheme="majorBidi" w:eastAsia="Times New Roman" w:hAnsiTheme="majorBidi" w:cstheme="majorBidi"/>
                <w:color w:val="000000"/>
                <w:sz w:val="20"/>
                <w:szCs w:val="20"/>
              </w:rPr>
              <w:t>.</w:t>
            </w:r>
          </w:p>
        </w:tc>
        <w:tc>
          <w:tcPr>
            <w:tcW w:w="992" w:type="dxa"/>
            <w:shd w:val="clear" w:color="auto" w:fill="auto"/>
            <w:vAlign w:val="bottom"/>
            <w:hideMark/>
          </w:tcPr>
          <w:p w14:paraId="4121D98A"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546" w:type="dxa"/>
            <w:shd w:val="clear" w:color="auto" w:fill="auto"/>
            <w:vAlign w:val="bottom"/>
            <w:hideMark/>
          </w:tcPr>
          <w:p w14:paraId="4AA35D45"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r>
      <w:tr w:rsidR="00D65FF6" w:rsidRPr="00D53E24" w14:paraId="5F46067D" w14:textId="77777777" w:rsidTr="00024510">
        <w:trPr>
          <w:trHeight w:val="230"/>
        </w:trPr>
        <w:tc>
          <w:tcPr>
            <w:tcW w:w="3969" w:type="dxa"/>
            <w:shd w:val="clear" w:color="auto" w:fill="auto"/>
            <w:noWrap/>
            <w:hideMark/>
          </w:tcPr>
          <w:p w14:paraId="7F9D08F0" w14:textId="1DD89784"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Dettol never disappoints me</w:t>
            </w:r>
            <w:r w:rsidR="00BD25CF" w:rsidRPr="00D53E24">
              <w:rPr>
                <w:rFonts w:asciiTheme="majorBidi" w:eastAsia="Times New Roman" w:hAnsiTheme="majorBidi" w:cstheme="majorBidi"/>
                <w:color w:val="000000"/>
                <w:sz w:val="20"/>
                <w:szCs w:val="20"/>
              </w:rPr>
              <w:t>.</w:t>
            </w:r>
          </w:p>
        </w:tc>
        <w:tc>
          <w:tcPr>
            <w:tcW w:w="567" w:type="dxa"/>
            <w:shd w:val="clear" w:color="auto" w:fill="auto"/>
            <w:noWrap/>
            <w:vAlign w:val="center"/>
            <w:hideMark/>
          </w:tcPr>
          <w:p w14:paraId="466CD55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0" w:type="dxa"/>
            <w:shd w:val="clear" w:color="auto" w:fill="auto"/>
            <w:noWrap/>
            <w:vAlign w:val="center"/>
            <w:hideMark/>
          </w:tcPr>
          <w:p w14:paraId="5841A26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17" w:type="dxa"/>
            <w:shd w:val="clear" w:color="auto" w:fill="auto"/>
            <w:noWrap/>
            <w:vAlign w:val="center"/>
            <w:hideMark/>
          </w:tcPr>
          <w:p w14:paraId="690038E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92" w:type="dxa"/>
            <w:shd w:val="clear" w:color="auto" w:fill="auto"/>
            <w:noWrap/>
            <w:vAlign w:val="center"/>
            <w:hideMark/>
          </w:tcPr>
          <w:p w14:paraId="4894274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4.54</w:t>
            </w:r>
          </w:p>
        </w:tc>
        <w:tc>
          <w:tcPr>
            <w:tcW w:w="1546" w:type="dxa"/>
            <w:shd w:val="clear" w:color="auto" w:fill="auto"/>
            <w:noWrap/>
            <w:vAlign w:val="center"/>
            <w:hideMark/>
          </w:tcPr>
          <w:p w14:paraId="76B3801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1.540</w:t>
            </w:r>
          </w:p>
        </w:tc>
      </w:tr>
      <w:tr w:rsidR="00D65FF6" w:rsidRPr="00D53E24" w14:paraId="686881B4" w14:textId="77777777" w:rsidTr="00024510">
        <w:trPr>
          <w:trHeight w:val="223"/>
        </w:trPr>
        <w:tc>
          <w:tcPr>
            <w:tcW w:w="3969" w:type="dxa"/>
            <w:shd w:val="clear" w:color="auto" w:fill="auto"/>
            <w:noWrap/>
            <w:hideMark/>
          </w:tcPr>
          <w:p w14:paraId="1C73C74C" w14:textId="19396B56"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Dettol guarantees my satisfaction</w:t>
            </w:r>
            <w:r w:rsidR="00BD25CF" w:rsidRPr="00D53E24">
              <w:rPr>
                <w:rFonts w:asciiTheme="majorBidi" w:eastAsia="Times New Roman" w:hAnsiTheme="majorBidi" w:cstheme="majorBidi"/>
                <w:color w:val="000000"/>
                <w:sz w:val="20"/>
                <w:szCs w:val="20"/>
              </w:rPr>
              <w:t>.</w:t>
            </w:r>
          </w:p>
        </w:tc>
        <w:tc>
          <w:tcPr>
            <w:tcW w:w="567" w:type="dxa"/>
            <w:shd w:val="clear" w:color="auto" w:fill="auto"/>
            <w:noWrap/>
            <w:vAlign w:val="center"/>
            <w:hideMark/>
          </w:tcPr>
          <w:p w14:paraId="20B178F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0" w:type="dxa"/>
            <w:shd w:val="clear" w:color="auto" w:fill="auto"/>
            <w:noWrap/>
            <w:vAlign w:val="center"/>
            <w:hideMark/>
          </w:tcPr>
          <w:p w14:paraId="5379703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17" w:type="dxa"/>
            <w:shd w:val="clear" w:color="auto" w:fill="auto"/>
            <w:noWrap/>
            <w:vAlign w:val="center"/>
            <w:hideMark/>
          </w:tcPr>
          <w:p w14:paraId="74D2F6C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92" w:type="dxa"/>
            <w:shd w:val="clear" w:color="auto" w:fill="auto"/>
            <w:noWrap/>
            <w:vAlign w:val="center"/>
            <w:hideMark/>
          </w:tcPr>
          <w:p w14:paraId="5C52E3D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4.71</w:t>
            </w:r>
          </w:p>
        </w:tc>
        <w:tc>
          <w:tcPr>
            <w:tcW w:w="1546" w:type="dxa"/>
            <w:shd w:val="clear" w:color="auto" w:fill="auto"/>
            <w:noWrap/>
            <w:vAlign w:val="center"/>
            <w:hideMark/>
          </w:tcPr>
          <w:p w14:paraId="72FCD44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1.485</w:t>
            </w:r>
          </w:p>
        </w:tc>
      </w:tr>
      <w:tr w:rsidR="00D65FF6" w:rsidRPr="00D53E24" w14:paraId="38937A9E" w14:textId="77777777" w:rsidTr="00024510">
        <w:trPr>
          <w:trHeight w:val="223"/>
        </w:trPr>
        <w:tc>
          <w:tcPr>
            <w:tcW w:w="3969" w:type="dxa"/>
            <w:shd w:val="clear" w:color="auto" w:fill="auto"/>
            <w:noWrap/>
            <w:hideMark/>
          </w:tcPr>
          <w:p w14:paraId="0C44D566" w14:textId="4AD7878D"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feel confident about Dettol</w:t>
            </w:r>
            <w:r w:rsidR="00BD25CF" w:rsidRPr="00D53E24">
              <w:rPr>
                <w:rFonts w:asciiTheme="majorBidi" w:eastAsia="Times New Roman" w:hAnsiTheme="majorBidi" w:cstheme="majorBidi"/>
                <w:color w:val="000000"/>
                <w:sz w:val="20"/>
                <w:szCs w:val="20"/>
              </w:rPr>
              <w:t>.</w:t>
            </w:r>
          </w:p>
        </w:tc>
        <w:tc>
          <w:tcPr>
            <w:tcW w:w="567" w:type="dxa"/>
            <w:shd w:val="clear" w:color="auto" w:fill="auto"/>
            <w:noWrap/>
            <w:vAlign w:val="center"/>
            <w:hideMark/>
          </w:tcPr>
          <w:p w14:paraId="47BB58F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0" w:type="dxa"/>
            <w:shd w:val="clear" w:color="auto" w:fill="auto"/>
            <w:noWrap/>
            <w:vAlign w:val="center"/>
            <w:hideMark/>
          </w:tcPr>
          <w:p w14:paraId="7950A3F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17" w:type="dxa"/>
            <w:shd w:val="clear" w:color="auto" w:fill="auto"/>
            <w:noWrap/>
            <w:vAlign w:val="center"/>
            <w:hideMark/>
          </w:tcPr>
          <w:p w14:paraId="25AF295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92" w:type="dxa"/>
            <w:shd w:val="clear" w:color="auto" w:fill="auto"/>
            <w:noWrap/>
            <w:vAlign w:val="center"/>
            <w:hideMark/>
          </w:tcPr>
          <w:p w14:paraId="4BD132E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4.94</w:t>
            </w:r>
          </w:p>
        </w:tc>
        <w:tc>
          <w:tcPr>
            <w:tcW w:w="1546" w:type="dxa"/>
            <w:shd w:val="clear" w:color="auto" w:fill="auto"/>
            <w:noWrap/>
            <w:vAlign w:val="center"/>
            <w:hideMark/>
          </w:tcPr>
          <w:p w14:paraId="339A113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1.469</w:t>
            </w:r>
          </w:p>
        </w:tc>
      </w:tr>
      <w:tr w:rsidR="00D65FF6" w:rsidRPr="00D53E24" w14:paraId="01389F6D" w14:textId="77777777" w:rsidTr="00024510">
        <w:trPr>
          <w:trHeight w:val="223"/>
        </w:trPr>
        <w:tc>
          <w:tcPr>
            <w:tcW w:w="3969" w:type="dxa"/>
            <w:shd w:val="clear" w:color="auto" w:fill="auto"/>
            <w:noWrap/>
            <w:hideMark/>
          </w:tcPr>
          <w:p w14:paraId="0CD3E11C" w14:textId="497806BC"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The quality of Dettol has been very consistent</w:t>
            </w:r>
            <w:r w:rsidR="00BD25CF" w:rsidRPr="00D53E24">
              <w:rPr>
                <w:rFonts w:asciiTheme="majorBidi" w:eastAsia="Times New Roman" w:hAnsiTheme="majorBidi" w:cstheme="majorBidi"/>
                <w:color w:val="000000"/>
                <w:sz w:val="20"/>
                <w:szCs w:val="20"/>
              </w:rPr>
              <w:t>.</w:t>
            </w:r>
          </w:p>
        </w:tc>
        <w:tc>
          <w:tcPr>
            <w:tcW w:w="567" w:type="dxa"/>
            <w:shd w:val="clear" w:color="auto" w:fill="auto"/>
            <w:noWrap/>
            <w:vAlign w:val="center"/>
            <w:hideMark/>
          </w:tcPr>
          <w:p w14:paraId="376F9D4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0" w:type="dxa"/>
            <w:shd w:val="clear" w:color="auto" w:fill="auto"/>
            <w:noWrap/>
            <w:vAlign w:val="center"/>
            <w:hideMark/>
          </w:tcPr>
          <w:p w14:paraId="4FF0954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717" w:type="dxa"/>
            <w:shd w:val="clear" w:color="auto" w:fill="auto"/>
            <w:noWrap/>
            <w:vAlign w:val="center"/>
            <w:hideMark/>
          </w:tcPr>
          <w:p w14:paraId="5B9C071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992" w:type="dxa"/>
            <w:shd w:val="clear" w:color="auto" w:fill="auto"/>
            <w:noWrap/>
            <w:vAlign w:val="center"/>
            <w:hideMark/>
          </w:tcPr>
          <w:p w14:paraId="0BC88A3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5.09</w:t>
            </w:r>
          </w:p>
        </w:tc>
        <w:tc>
          <w:tcPr>
            <w:tcW w:w="1546" w:type="dxa"/>
            <w:shd w:val="clear" w:color="auto" w:fill="auto"/>
            <w:noWrap/>
            <w:vAlign w:val="center"/>
            <w:hideMark/>
          </w:tcPr>
          <w:p w14:paraId="276C4FA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1.435</w:t>
            </w:r>
          </w:p>
        </w:tc>
      </w:tr>
      <w:tr w:rsidR="00D65FF6" w:rsidRPr="00D53E24" w14:paraId="17975AAC" w14:textId="77777777" w:rsidTr="00024510">
        <w:trPr>
          <w:trHeight w:val="223"/>
        </w:trPr>
        <w:tc>
          <w:tcPr>
            <w:tcW w:w="3969" w:type="dxa"/>
            <w:shd w:val="clear" w:color="auto" w:fill="auto"/>
            <w:noWrap/>
            <w:hideMark/>
          </w:tcPr>
          <w:p w14:paraId="7448BF5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567" w:type="dxa"/>
            <w:shd w:val="clear" w:color="auto" w:fill="auto"/>
            <w:noWrap/>
            <w:vAlign w:val="center"/>
            <w:hideMark/>
          </w:tcPr>
          <w:p w14:paraId="25E11C9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0" w:type="dxa"/>
            <w:shd w:val="clear" w:color="auto" w:fill="auto"/>
            <w:noWrap/>
            <w:vAlign w:val="center"/>
            <w:hideMark/>
          </w:tcPr>
          <w:p w14:paraId="481188E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1.00</w:t>
            </w:r>
          </w:p>
        </w:tc>
        <w:tc>
          <w:tcPr>
            <w:tcW w:w="717" w:type="dxa"/>
            <w:shd w:val="clear" w:color="auto" w:fill="auto"/>
            <w:noWrap/>
            <w:vAlign w:val="center"/>
            <w:hideMark/>
          </w:tcPr>
          <w:p w14:paraId="63BE799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7.00</w:t>
            </w:r>
          </w:p>
        </w:tc>
        <w:tc>
          <w:tcPr>
            <w:tcW w:w="992" w:type="dxa"/>
            <w:shd w:val="clear" w:color="auto" w:fill="auto"/>
            <w:noWrap/>
            <w:vAlign w:val="center"/>
            <w:hideMark/>
          </w:tcPr>
          <w:p w14:paraId="1D4B3DA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4.8186</w:t>
            </w:r>
          </w:p>
        </w:tc>
        <w:tc>
          <w:tcPr>
            <w:tcW w:w="1546" w:type="dxa"/>
            <w:shd w:val="clear" w:color="auto" w:fill="auto"/>
            <w:noWrap/>
            <w:vAlign w:val="center"/>
            <w:hideMark/>
          </w:tcPr>
          <w:p w14:paraId="6A88A7B9" w14:textId="77777777" w:rsidR="00D65FF6" w:rsidRPr="00D53E24" w:rsidRDefault="00D65FF6" w:rsidP="008F5D43">
            <w:pPr>
              <w:keepNext/>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1.35174</w:t>
            </w:r>
          </w:p>
        </w:tc>
      </w:tr>
    </w:tbl>
    <w:p w14:paraId="247E32A1" w14:textId="19C81A0F" w:rsidR="00D65FF6" w:rsidRDefault="008F5D43" w:rsidP="008F5D43">
      <w:pPr>
        <w:pStyle w:val="Caption"/>
        <w:rPr>
          <w:rFonts w:asciiTheme="majorBidi" w:hAnsiTheme="majorBidi" w:cstheme="majorBidi"/>
          <w:b/>
          <w:bCs/>
          <w:sz w:val="24"/>
          <w:szCs w:val="24"/>
        </w:rPr>
      </w:pPr>
      <w:r>
        <w:t>Table 2</w:t>
      </w:r>
      <w:r w:rsidR="00044DE9">
        <w:t>8</w:t>
      </w:r>
      <w:r>
        <w:t xml:space="preserve"> Descriptive statistics of </w:t>
      </w:r>
      <w:r w:rsidRPr="008F5D43">
        <w:t>the brand trust construct</w:t>
      </w:r>
    </w:p>
    <w:p w14:paraId="18692288" w14:textId="1C63D2F4" w:rsidR="00D65FF6" w:rsidRPr="008D75D3" w:rsidRDefault="00D65FF6" w:rsidP="00D65FF6">
      <w:pPr>
        <w:spacing w:line="360" w:lineRule="auto"/>
        <w:contextualSpacing/>
        <w:jc w:val="both"/>
        <w:rPr>
          <w:rFonts w:asciiTheme="majorBidi" w:hAnsiTheme="majorBidi" w:cstheme="majorBidi"/>
          <w:b/>
          <w:bCs/>
          <w:sz w:val="24"/>
          <w:szCs w:val="24"/>
        </w:rPr>
      </w:pPr>
      <w:r>
        <w:rPr>
          <w:rFonts w:asciiTheme="majorBidi" w:hAnsiTheme="majorBidi" w:cstheme="majorBidi"/>
          <w:b/>
          <w:bCs/>
          <w:sz w:val="24"/>
          <w:szCs w:val="24"/>
        </w:rPr>
        <w:t>6.</w:t>
      </w:r>
      <w:r w:rsidR="00C0315E">
        <w:rPr>
          <w:rFonts w:asciiTheme="majorBidi" w:hAnsiTheme="majorBidi" w:cstheme="majorBidi"/>
          <w:b/>
          <w:bCs/>
          <w:sz w:val="24"/>
          <w:szCs w:val="24"/>
        </w:rPr>
        <w:t>9</w:t>
      </w:r>
      <w:r>
        <w:rPr>
          <w:rFonts w:asciiTheme="majorBidi" w:hAnsiTheme="majorBidi" w:cstheme="majorBidi"/>
          <w:b/>
          <w:bCs/>
          <w:sz w:val="24"/>
          <w:szCs w:val="24"/>
        </w:rPr>
        <w:t>.9 Purchase Intention</w:t>
      </w:r>
    </w:p>
    <w:p w14:paraId="08462974" w14:textId="0898DCE4" w:rsidR="00D65FF6" w:rsidRPr="00C0315E" w:rsidRDefault="00D65FF6" w:rsidP="008F5D43">
      <w:pPr>
        <w:spacing w:line="480" w:lineRule="auto"/>
        <w:ind w:firstLine="720"/>
        <w:jc w:val="both"/>
        <w:rPr>
          <w:rFonts w:asciiTheme="majorBidi" w:hAnsiTheme="majorBidi" w:cstheme="majorBidi"/>
          <w:sz w:val="24"/>
          <w:szCs w:val="24"/>
        </w:rPr>
      </w:pPr>
      <w:r w:rsidRPr="008D75D3">
        <w:rPr>
          <w:rFonts w:asciiTheme="majorBidi" w:hAnsiTheme="majorBidi" w:cstheme="majorBidi"/>
          <w:sz w:val="24"/>
          <w:szCs w:val="24"/>
        </w:rPr>
        <w:t xml:space="preserve">The survey </w:t>
      </w:r>
      <w:r>
        <w:rPr>
          <w:rFonts w:asciiTheme="majorBidi" w:hAnsiTheme="majorBidi" w:cstheme="majorBidi"/>
          <w:sz w:val="24"/>
          <w:szCs w:val="24"/>
        </w:rPr>
        <w:t>consisted</w:t>
      </w:r>
      <w:r w:rsidRPr="008D75D3">
        <w:rPr>
          <w:rFonts w:asciiTheme="majorBidi" w:hAnsiTheme="majorBidi" w:cstheme="majorBidi"/>
          <w:sz w:val="24"/>
          <w:szCs w:val="24"/>
        </w:rPr>
        <w:t xml:space="preserve"> of </w:t>
      </w:r>
      <w:r w:rsidR="00BD25CF">
        <w:rPr>
          <w:rFonts w:asciiTheme="majorBidi" w:hAnsiTheme="majorBidi" w:cstheme="majorBidi"/>
          <w:sz w:val="24"/>
          <w:szCs w:val="24"/>
        </w:rPr>
        <w:t>four</w:t>
      </w:r>
      <w:r w:rsidRPr="008D75D3">
        <w:rPr>
          <w:rFonts w:asciiTheme="majorBidi" w:hAnsiTheme="majorBidi" w:cstheme="majorBidi"/>
          <w:sz w:val="24"/>
          <w:szCs w:val="24"/>
        </w:rPr>
        <w:t xml:space="preserve"> questions to measure the intention to purchase</w:t>
      </w:r>
      <w:r>
        <w:rPr>
          <w:rFonts w:asciiTheme="majorBidi" w:hAnsiTheme="majorBidi" w:cstheme="majorBidi"/>
          <w:sz w:val="24"/>
          <w:szCs w:val="24"/>
        </w:rPr>
        <w:t xml:space="preserve"> </w:t>
      </w:r>
      <w:r w:rsidRPr="008D75D3">
        <w:rPr>
          <w:rFonts w:asciiTheme="majorBidi" w:hAnsiTheme="majorBidi" w:cstheme="majorBidi"/>
          <w:sz w:val="24"/>
          <w:szCs w:val="24"/>
        </w:rPr>
        <w:t>variable</w:t>
      </w:r>
      <w:r w:rsidR="008B7520">
        <w:rPr>
          <w:rFonts w:asciiTheme="majorBidi" w:hAnsiTheme="majorBidi" w:cstheme="majorBidi"/>
          <w:sz w:val="24"/>
          <w:szCs w:val="24"/>
        </w:rPr>
        <w:t xml:space="preserve"> which is a dependent variable</w:t>
      </w:r>
      <w:r w:rsidRPr="008D75D3">
        <w:rPr>
          <w:rFonts w:asciiTheme="majorBidi" w:hAnsiTheme="majorBidi" w:cstheme="majorBidi"/>
          <w:sz w:val="24"/>
          <w:szCs w:val="24"/>
        </w:rPr>
        <w:t xml:space="preserve">.  </w:t>
      </w:r>
      <w:r>
        <w:rPr>
          <w:rFonts w:asciiTheme="majorBidi" w:hAnsiTheme="majorBidi" w:cstheme="majorBidi"/>
          <w:sz w:val="24"/>
          <w:szCs w:val="24"/>
        </w:rPr>
        <w:t>Based on the below t</w:t>
      </w:r>
      <w:r w:rsidRPr="008D75D3">
        <w:rPr>
          <w:rFonts w:asciiTheme="majorBidi" w:hAnsiTheme="majorBidi" w:cstheme="majorBidi"/>
          <w:sz w:val="24"/>
          <w:szCs w:val="24"/>
        </w:rPr>
        <w:t>able</w:t>
      </w:r>
      <w:r>
        <w:rPr>
          <w:rFonts w:asciiTheme="majorBidi" w:hAnsiTheme="majorBidi" w:cstheme="majorBidi"/>
          <w:sz w:val="24"/>
          <w:szCs w:val="24"/>
        </w:rPr>
        <w:t>,</w:t>
      </w:r>
      <w:r w:rsidRPr="008D75D3">
        <w:rPr>
          <w:rFonts w:asciiTheme="majorBidi" w:hAnsiTheme="majorBidi" w:cstheme="majorBidi"/>
          <w:sz w:val="24"/>
          <w:szCs w:val="24"/>
        </w:rPr>
        <w:t xml:space="preserve"> it is clear that the average of all statements is around </w:t>
      </w:r>
      <w:r>
        <w:rPr>
          <w:rFonts w:asciiTheme="majorBidi" w:hAnsiTheme="majorBidi" w:cstheme="majorBidi"/>
          <w:sz w:val="24"/>
          <w:szCs w:val="24"/>
        </w:rPr>
        <w:t>five</w:t>
      </w:r>
      <w:r w:rsidRPr="008D75D3">
        <w:rPr>
          <w:rFonts w:asciiTheme="majorBidi" w:hAnsiTheme="majorBidi" w:cstheme="majorBidi"/>
          <w:sz w:val="24"/>
          <w:szCs w:val="24"/>
        </w:rPr>
        <w:t xml:space="preserve"> which indicates that respondent tends to slightly agree to the statements that measure </w:t>
      </w:r>
      <w:r>
        <w:rPr>
          <w:rFonts w:asciiTheme="majorBidi" w:hAnsiTheme="majorBidi" w:cstheme="majorBidi"/>
          <w:sz w:val="24"/>
          <w:szCs w:val="24"/>
        </w:rPr>
        <w:t>this variable</w:t>
      </w:r>
      <w:r w:rsidRPr="008D75D3">
        <w:rPr>
          <w:rFonts w:asciiTheme="majorBidi" w:hAnsiTheme="majorBidi" w:cstheme="majorBidi"/>
          <w:sz w:val="24"/>
          <w:szCs w:val="24"/>
        </w:rPr>
        <w:t xml:space="preserve">. The statement with </w:t>
      </w:r>
      <w:r>
        <w:rPr>
          <w:rFonts w:asciiTheme="majorBidi" w:hAnsiTheme="majorBidi" w:cstheme="majorBidi"/>
          <w:sz w:val="24"/>
          <w:szCs w:val="24"/>
        </w:rPr>
        <w:t xml:space="preserve">the </w:t>
      </w:r>
      <w:r w:rsidRPr="008D75D3">
        <w:rPr>
          <w:rFonts w:asciiTheme="majorBidi" w:hAnsiTheme="majorBidi" w:cstheme="majorBidi"/>
          <w:sz w:val="24"/>
          <w:szCs w:val="24"/>
        </w:rPr>
        <w:t xml:space="preserve">highest agreement </w:t>
      </w:r>
      <w:r>
        <w:rPr>
          <w:rFonts w:asciiTheme="majorBidi" w:hAnsiTheme="majorBidi" w:cstheme="majorBidi"/>
          <w:sz w:val="24"/>
          <w:szCs w:val="24"/>
        </w:rPr>
        <w:t>wa</w:t>
      </w:r>
      <w:r w:rsidRPr="008D75D3">
        <w:rPr>
          <w:rFonts w:asciiTheme="majorBidi" w:hAnsiTheme="majorBidi" w:cstheme="majorBidi"/>
          <w:sz w:val="24"/>
          <w:szCs w:val="24"/>
        </w:rPr>
        <w:t>s “I intend to try Dettol</w:t>
      </w:r>
      <w:r w:rsidR="00087F49">
        <w:rPr>
          <w:rFonts w:asciiTheme="majorBidi" w:hAnsiTheme="majorBidi" w:cstheme="majorBidi"/>
          <w:sz w:val="24"/>
          <w:szCs w:val="24"/>
        </w:rPr>
        <w:t>;</w:t>
      </w:r>
      <w:r w:rsidRPr="008D75D3">
        <w:rPr>
          <w:rFonts w:asciiTheme="majorBidi" w:hAnsiTheme="majorBidi" w:cstheme="majorBidi"/>
          <w:sz w:val="24"/>
          <w:szCs w:val="24"/>
        </w:rPr>
        <w:t xml:space="preserve">” </w:t>
      </w:r>
      <w:r w:rsidR="00087F49">
        <w:rPr>
          <w:rFonts w:asciiTheme="majorBidi" w:hAnsiTheme="majorBidi" w:cstheme="majorBidi"/>
          <w:sz w:val="24"/>
          <w:szCs w:val="24"/>
        </w:rPr>
        <w:t>w</w:t>
      </w:r>
      <w:r w:rsidRPr="008D75D3">
        <w:rPr>
          <w:rFonts w:asciiTheme="majorBidi" w:hAnsiTheme="majorBidi" w:cstheme="majorBidi"/>
          <w:sz w:val="24"/>
          <w:szCs w:val="24"/>
        </w:rPr>
        <w:t xml:space="preserve">hile the statement with lower agreement </w:t>
      </w:r>
      <w:r>
        <w:rPr>
          <w:rFonts w:asciiTheme="majorBidi" w:hAnsiTheme="majorBidi" w:cstheme="majorBidi"/>
          <w:sz w:val="24"/>
          <w:szCs w:val="24"/>
        </w:rPr>
        <w:t>wa</w:t>
      </w:r>
      <w:r w:rsidRPr="008D75D3">
        <w:rPr>
          <w:rFonts w:asciiTheme="majorBidi" w:hAnsiTheme="majorBidi" w:cstheme="majorBidi"/>
          <w:sz w:val="24"/>
          <w:szCs w:val="24"/>
        </w:rPr>
        <w:t>s “I plan on buying Dettol.”</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709"/>
        <w:gridCol w:w="708"/>
        <w:gridCol w:w="851"/>
        <w:gridCol w:w="850"/>
        <w:gridCol w:w="2268"/>
      </w:tblGrid>
      <w:tr w:rsidR="00D65FF6" w:rsidRPr="00D53E24" w14:paraId="47BC86E1" w14:textId="77777777" w:rsidTr="00044DE9">
        <w:trPr>
          <w:trHeight w:val="255"/>
        </w:trPr>
        <w:tc>
          <w:tcPr>
            <w:tcW w:w="2835" w:type="dxa"/>
            <w:shd w:val="clear" w:color="auto" w:fill="auto"/>
            <w:noWrap/>
            <w:vAlign w:val="bottom"/>
            <w:hideMark/>
          </w:tcPr>
          <w:p w14:paraId="68E20103"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709" w:type="dxa"/>
            <w:shd w:val="clear" w:color="auto" w:fill="auto"/>
            <w:vAlign w:val="bottom"/>
            <w:hideMark/>
          </w:tcPr>
          <w:p w14:paraId="414DD0BE"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708" w:type="dxa"/>
            <w:shd w:val="clear" w:color="auto" w:fill="auto"/>
            <w:vAlign w:val="bottom"/>
            <w:hideMark/>
          </w:tcPr>
          <w:p w14:paraId="614DDE24" w14:textId="3354B1B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Min</w:t>
            </w:r>
          </w:p>
        </w:tc>
        <w:tc>
          <w:tcPr>
            <w:tcW w:w="851" w:type="dxa"/>
            <w:shd w:val="clear" w:color="auto" w:fill="auto"/>
            <w:vAlign w:val="bottom"/>
            <w:hideMark/>
          </w:tcPr>
          <w:p w14:paraId="034FF21C" w14:textId="2897E3AA"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Max</w:t>
            </w:r>
          </w:p>
        </w:tc>
        <w:tc>
          <w:tcPr>
            <w:tcW w:w="850" w:type="dxa"/>
            <w:shd w:val="clear" w:color="auto" w:fill="auto"/>
            <w:vAlign w:val="bottom"/>
            <w:hideMark/>
          </w:tcPr>
          <w:p w14:paraId="2D07C648"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2268" w:type="dxa"/>
            <w:shd w:val="clear" w:color="auto" w:fill="auto"/>
            <w:vAlign w:val="bottom"/>
            <w:hideMark/>
          </w:tcPr>
          <w:p w14:paraId="1E4E9526"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r>
      <w:tr w:rsidR="00D65FF6" w:rsidRPr="00D53E24" w14:paraId="6E5A9070" w14:textId="77777777" w:rsidTr="00044DE9">
        <w:trPr>
          <w:trHeight w:val="259"/>
        </w:trPr>
        <w:tc>
          <w:tcPr>
            <w:tcW w:w="2835" w:type="dxa"/>
            <w:shd w:val="clear" w:color="auto" w:fill="auto"/>
            <w:noWrap/>
            <w:hideMark/>
          </w:tcPr>
          <w:p w14:paraId="268F48CC" w14:textId="4007557B"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would consider purchasing Dettol</w:t>
            </w:r>
          </w:p>
        </w:tc>
        <w:tc>
          <w:tcPr>
            <w:tcW w:w="709" w:type="dxa"/>
            <w:shd w:val="clear" w:color="auto" w:fill="auto"/>
            <w:noWrap/>
            <w:vAlign w:val="center"/>
            <w:hideMark/>
          </w:tcPr>
          <w:p w14:paraId="61E8728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8" w:type="dxa"/>
            <w:shd w:val="clear" w:color="auto" w:fill="auto"/>
            <w:noWrap/>
            <w:vAlign w:val="center"/>
            <w:hideMark/>
          </w:tcPr>
          <w:p w14:paraId="2D7E9CA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1" w:type="dxa"/>
            <w:shd w:val="clear" w:color="auto" w:fill="auto"/>
            <w:noWrap/>
            <w:vAlign w:val="center"/>
            <w:hideMark/>
          </w:tcPr>
          <w:p w14:paraId="6D4BA26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09A33CE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5.04</w:t>
            </w:r>
          </w:p>
        </w:tc>
        <w:tc>
          <w:tcPr>
            <w:tcW w:w="2268" w:type="dxa"/>
            <w:shd w:val="clear" w:color="auto" w:fill="auto"/>
            <w:noWrap/>
            <w:vAlign w:val="center"/>
            <w:hideMark/>
          </w:tcPr>
          <w:p w14:paraId="5664A6A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1.584</w:t>
            </w:r>
          </w:p>
        </w:tc>
      </w:tr>
      <w:tr w:rsidR="00D65FF6" w:rsidRPr="00D53E24" w14:paraId="501E3979" w14:textId="77777777" w:rsidTr="00044DE9">
        <w:trPr>
          <w:trHeight w:val="279"/>
        </w:trPr>
        <w:tc>
          <w:tcPr>
            <w:tcW w:w="2835" w:type="dxa"/>
            <w:shd w:val="clear" w:color="auto" w:fill="auto"/>
            <w:noWrap/>
            <w:hideMark/>
          </w:tcPr>
          <w:p w14:paraId="2363F9DF" w14:textId="65B5AF6B" w:rsidR="00D65FF6" w:rsidRPr="00D53E24" w:rsidRDefault="00D65FF6" w:rsidP="008D0DBB">
            <w:pPr>
              <w:spacing w:after="0" w:line="240" w:lineRule="auto"/>
              <w:rPr>
                <w:rFonts w:asciiTheme="majorBidi" w:eastAsia="Times New Roman" w:hAnsiTheme="majorBidi" w:cstheme="majorBidi"/>
                <w:color w:val="000000"/>
                <w:sz w:val="20"/>
                <w:szCs w:val="20"/>
              </w:rPr>
            </w:pPr>
            <w:bookmarkStart w:id="161" w:name="_Hlk119495619"/>
            <w:r w:rsidRPr="00D53E24">
              <w:rPr>
                <w:rFonts w:asciiTheme="majorBidi" w:eastAsia="Times New Roman" w:hAnsiTheme="majorBidi" w:cstheme="majorBidi"/>
                <w:color w:val="000000"/>
                <w:sz w:val="20"/>
                <w:szCs w:val="20"/>
              </w:rPr>
              <w:t>I intend to try Dettol</w:t>
            </w:r>
            <w:bookmarkEnd w:id="161"/>
          </w:p>
        </w:tc>
        <w:tc>
          <w:tcPr>
            <w:tcW w:w="709" w:type="dxa"/>
            <w:shd w:val="clear" w:color="auto" w:fill="auto"/>
            <w:noWrap/>
            <w:vAlign w:val="center"/>
            <w:hideMark/>
          </w:tcPr>
          <w:p w14:paraId="4D75AA1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8" w:type="dxa"/>
            <w:shd w:val="clear" w:color="auto" w:fill="auto"/>
            <w:noWrap/>
            <w:vAlign w:val="center"/>
            <w:hideMark/>
          </w:tcPr>
          <w:p w14:paraId="360C0D0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1" w:type="dxa"/>
            <w:shd w:val="clear" w:color="auto" w:fill="auto"/>
            <w:noWrap/>
            <w:vAlign w:val="center"/>
            <w:hideMark/>
          </w:tcPr>
          <w:p w14:paraId="075C8E0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04C0624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5.14</w:t>
            </w:r>
          </w:p>
        </w:tc>
        <w:tc>
          <w:tcPr>
            <w:tcW w:w="2268" w:type="dxa"/>
            <w:shd w:val="clear" w:color="auto" w:fill="auto"/>
            <w:noWrap/>
            <w:vAlign w:val="center"/>
            <w:hideMark/>
          </w:tcPr>
          <w:p w14:paraId="6387142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1.531</w:t>
            </w:r>
          </w:p>
        </w:tc>
      </w:tr>
      <w:tr w:rsidR="00D65FF6" w:rsidRPr="00D53E24" w14:paraId="7849D2D1" w14:textId="77777777" w:rsidTr="00044DE9">
        <w:trPr>
          <w:trHeight w:val="243"/>
        </w:trPr>
        <w:tc>
          <w:tcPr>
            <w:tcW w:w="2835" w:type="dxa"/>
            <w:shd w:val="clear" w:color="auto" w:fill="auto"/>
            <w:noWrap/>
            <w:hideMark/>
          </w:tcPr>
          <w:p w14:paraId="328FAE1A" w14:textId="791CECCF"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plan on buying Dettol</w:t>
            </w:r>
          </w:p>
        </w:tc>
        <w:tc>
          <w:tcPr>
            <w:tcW w:w="709" w:type="dxa"/>
            <w:shd w:val="clear" w:color="auto" w:fill="auto"/>
            <w:noWrap/>
            <w:vAlign w:val="center"/>
            <w:hideMark/>
          </w:tcPr>
          <w:p w14:paraId="4D16D87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8" w:type="dxa"/>
            <w:shd w:val="clear" w:color="auto" w:fill="auto"/>
            <w:noWrap/>
            <w:vAlign w:val="center"/>
            <w:hideMark/>
          </w:tcPr>
          <w:p w14:paraId="007A14F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1" w:type="dxa"/>
            <w:shd w:val="clear" w:color="auto" w:fill="auto"/>
            <w:noWrap/>
            <w:vAlign w:val="center"/>
            <w:hideMark/>
          </w:tcPr>
          <w:p w14:paraId="6683C84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68A76FF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4.89</w:t>
            </w:r>
          </w:p>
        </w:tc>
        <w:tc>
          <w:tcPr>
            <w:tcW w:w="2268" w:type="dxa"/>
            <w:shd w:val="clear" w:color="auto" w:fill="auto"/>
            <w:noWrap/>
            <w:vAlign w:val="center"/>
            <w:hideMark/>
          </w:tcPr>
          <w:p w14:paraId="7A7F14B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1.663</w:t>
            </w:r>
          </w:p>
        </w:tc>
      </w:tr>
      <w:tr w:rsidR="00D65FF6" w:rsidRPr="00D53E24" w14:paraId="31576DAC" w14:textId="77777777" w:rsidTr="00044DE9">
        <w:trPr>
          <w:trHeight w:val="233"/>
        </w:trPr>
        <w:tc>
          <w:tcPr>
            <w:tcW w:w="2835" w:type="dxa"/>
            <w:shd w:val="clear" w:color="auto" w:fill="auto"/>
            <w:noWrap/>
            <w:hideMark/>
          </w:tcPr>
          <w:p w14:paraId="43299A54" w14:textId="06177D35"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 am interested in testing Dettol</w:t>
            </w:r>
          </w:p>
        </w:tc>
        <w:tc>
          <w:tcPr>
            <w:tcW w:w="709" w:type="dxa"/>
            <w:shd w:val="clear" w:color="auto" w:fill="auto"/>
            <w:noWrap/>
            <w:vAlign w:val="center"/>
            <w:hideMark/>
          </w:tcPr>
          <w:p w14:paraId="2E1272D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8" w:type="dxa"/>
            <w:shd w:val="clear" w:color="auto" w:fill="auto"/>
            <w:noWrap/>
            <w:vAlign w:val="center"/>
            <w:hideMark/>
          </w:tcPr>
          <w:p w14:paraId="14CC724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1" w:type="dxa"/>
            <w:shd w:val="clear" w:color="auto" w:fill="auto"/>
            <w:noWrap/>
            <w:vAlign w:val="center"/>
            <w:hideMark/>
          </w:tcPr>
          <w:p w14:paraId="0248F54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43F62BF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5.03</w:t>
            </w:r>
          </w:p>
        </w:tc>
        <w:tc>
          <w:tcPr>
            <w:tcW w:w="2268" w:type="dxa"/>
            <w:shd w:val="clear" w:color="auto" w:fill="auto"/>
            <w:noWrap/>
            <w:vAlign w:val="center"/>
            <w:hideMark/>
          </w:tcPr>
          <w:p w14:paraId="56024D2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1.571</w:t>
            </w:r>
          </w:p>
        </w:tc>
      </w:tr>
      <w:tr w:rsidR="00D65FF6" w:rsidRPr="00D53E24" w14:paraId="2D6AE70B" w14:textId="77777777" w:rsidTr="00044DE9">
        <w:trPr>
          <w:trHeight w:val="199"/>
        </w:trPr>
        <w:tc>
          <w:tcPr>
            <w:tcW w:w="2835" w:type="dxa"/>
            <w:shd w:val="clear" w:color="auto" w:fill="auto"/>
            <w:noWrap/>
            <w:hideMark/>
          </w:tcPr>
          <w:p w14:paraId="02172D6A" w14:textId="72CB3F74" w:rsidR="00D65FF6" w:rsidRPr="00D53E24" w:rsidRDefault="00BD25CF"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xml:space="preserve">Purchase </w:t>
            </w:r>
            <w:r w:rsidR="00D65FF6" w:rsidRPr="00D53E24">
              <w:rPr>
                <w:rFonts w:asciiTheme="majorBidi" w:eastAsia="Times New Roman" w:hAnsiTheme="majorBidi" w:cstheme="majorBidi"/>
                <w:color w:val="000000"/>
                <w:sz w:val="20"/>
                <w:szCs w:val="20"/>
              </w:rPr>
              <w:t>Intention</w:t>
            </w:r>
          </w:p>
        </w:tc>
        <w:tc>
          <w:tcPr>
            <w:tcW w:w="709" w:type="dxa"/>
            <w:shd w:val="clear" w:color="auto" w:fill="auto"/>
            <w:noWrap/>
            <w:vAlign w:val="center"/>
            <w:hideMark/>
          </w:tcPr>
          <w:p w14:paraId="4E35EB6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708" w:type="dxa"/>
            <w:shd w:val="clear" w:color="auto" w:fill="auto"/>
            <w:noWrap/>
            <w:vAlign w:val="center"/>
            <w:hideMark/>
          </w:tcPr>
          <w:p w14:paraId="0594116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1" w:type="dxa"/>
            <w:shd w:val="clear" w:color="auto" w:fill="auto"/>
            <w:noWrap/>
            <w:vAlign w:val="center"/>
            <w:hideMark/>
          </w:tcPr>
          <w:p w14:paraId="1C6D78F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w:t>
            </w:r>
          </w:p>
        </w:tc>
        <w:tc>
          <w:tcPr>
            <w:tcW w:w="850" w:type="dxa"/>
            <w:shd w:val="clear" w:color="auto" w:fill="auto"/>
            <w:noWrap/>
            <w:vAlign w:val="center"/>
            <w:hideMark/>
          </w:tcPr>
          <w:p w14:paraId="2EC7351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5.02</w:t>
            </w:r>
          </w:p>
        </w:tc>
        <w:tc>
          <w:tcPr>
            <w:tcW w:w="2268" w:type="dxa"/>
            <w:shd w:val="clear" w:color="auto" w:fill="auto"/>
            <w:noWrap/>
            <w:vAlign w:val="center"/>
            <w:hideMark/>
          </w:tcPr>
          <w:p w14:paraId="2B4C6928" w14:textId="77777777" w:rsidR="00D65FF6" w:rsidRPr="00D53E24" w:rsidRDefault="00D65FF6" w:rsidP="008F5D43">
            <w:pPr>
              <w:keepNext/>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1.481</w:t>
            </w:r>
          </w:p>
        </w:tc>
      </w:tr>
    </w:tbl>
    <w:p w14:paraId="792E5DB8" w14:textId="5C5EB8D7" w:rsidR="00D65FF6" w:rsidRDefault="008F5D43" w:rsidP="008F5D43">
      <w:pPr>
        <w:pStyle w:val="Caption"/>
        <w:rPr>
          <w:rFonts w:asciiTheme="majorBidi" w:hAnsiTheme="majorBidi" w:cstheme="majorBidi"/>
          <w:b/>
          <w:bCs/>
          <w:sz w:val="24"/>
          <w:szCs w:val="24"/>
        </w:rPr>
      </w:pPr>
      <w:r>
        <w:t>Table 2</w:t>
      </w:r>
      <w:r w:rsidR="00044DE9">
        <w:t>9</w:t>
      </w:r>
      <w:r>
        <w:t xml:space="preserve"> Descriptive statistics of the </w:t>
      </w:r>
      <w:r w:rsidRPr="008F5D43">
        <w:t>purchase intention construct</w:t>
      </w:r>
    </w:p>
    <w:p w14:paraId="02CE5C0D" w14:textId="23BC306C" w:rsidR="00D65FF6" w:rsidRDefault="00D65FF6" w:rsidP="00D65FF6">
      <w:pPr>
        <w:spacing w:line="360" w:lineRule="auto"/>
        <w:contextualSpacing/>
        <w:rPr>
          <w:rFonts w:asciiTheme="majorBidi" w:hAnsiTheme="majorBidi" w:cstheme="majorBidi"/>
          <w:b/>
          <w:bCs/>
          <w:sz w:val="24"/>
          <w:szCs w:val="24"/>
        </w:rPr>
      </w:pPr>
      <w:bookmarkStart w:id="162" w:name="_Hlk149845206"/>
      <w:r>
        <w:rPr>
          <w:rFonts w:asciiTheme="majorBidi" w:hAnsiTheme="majorBidi" w:cstheme="majorBidi"/>
          <w:b/>
          <w:bCs/>
          <w:sz w:val="24"/>
          <w:szCs w:val="24"/>
        </w:rPr>
        <w:t>6</w:t>
      </w:r>
      <w:r w:rsidRPr="008D75D3">
        <w:rPr>
          <w:rFonts w:asciiTheme="majorBidi" w:hAnsiTheme="majorBidi" w:cstheme="majorBidi"/>
          <w:b/>
          <w:bCs/>
          <w:sz w:val="24"/>
          <w:szCs w:val="24"/>
        </w:rPr>
        <w:t>.</w:t>
      </w:r>
      <w:r>
        <w:rPr>
          <w:rFonts w:asciiTheme="majorBidi" w:hAnsiTheme="majorBidi" w:cstheme="majorBidi"/>
          <w:b/>
          <w:bCs/>
          <w:sz w:val="24"/>
          <w:szCs w:val="24"/>
        </w:rPr>
        <w:t>1</w:t>
      </w:r>
      <w:r w:rsidR="00C0315E">
        <w:rPr>
          <w:rFonts w:asciiTheme="majorBidi" w:hAnsiTheme="majorBidi" w:cstheme="majorBidi"/>
          <w:b/>
          <w:bCs/>
          <w:sz w:val="24"/>
          <w:szCs w:val="24"/>
        </w:rPr>
        <w:t>0</w:t>
      </w:r>
      <w:r w:rsidRPr="008D75D3">
        <w:rPr>
          <w:rFonts w:asciiTheme="majorBidi" w:hAnsiTheme="majorBidi" w:cstheme="majorBidi"/>
          <w:b/>
          <w:bCs/>
          <w:sz w:val="24"/>
          <w:szCs w:val="24"/>
        </w:rPr>
        <w:t xml:space="preserve"> </w:t>
      </w:r>
      <w:r>
        <w:rPr>
          <w:rFonts w:asciiTheme="majorBidi" w:hAnsiTheme="majorBidi" w:cstheme="majorBidi"/>
          <w:b/>
          <w:bCs/>
          <w:sz w:val="24"/>
          <w:szCs w:val="24"/>
        </w:rPr>
        <w:t>Inferential Data Analysis</w:t>
      </w:r>
    </w:p>
    <w:p w14:paraId="166279EE" w14:textId="4BE234A7" w:rsidR="0010044F" w:rsidRDefault="00D65FF6" w:rsidP="0010044F">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FD2B70">
        <w:rPr>
          <w:rFonts w:asciiTheme="majorBidi" w:hAnsiTheme="majorBidi" w:cstheme="majorBidi"/>
          <w:sz w:val="24"/>
          <w:szCs w:val="24"/>
        </w:rPr>
        <w:t xml:space="preserve">Based on the assumptions of </w:t>
      </w:r>
      <w:r w:rsidRPr="004B44B9">
        <w:rPr>
          <w:rFonts w:asciiTheme="majorBidi" w:hAnsiTheme="majorBidi" w:cstheme="majorBidi"/>
          <w:sz w:val="24"/>
          <w:szCs w:val="24"/>
        </w:rPr>
        <w:t xml:space="preserve">SEM and </w:t>
      </w:r>
      <w:r w:rsidR="0010044F" w:rsidRPr="004B44B9">
        <w:rPr>
          <w:rFonts w:asciiTheme="majorBidi" w:hAnsiTheme="majorBidi" w:cstheme="majorBidi"/>
          <w:sz w:val="24"/>
          <w:szCs w:val="24"/>
        </w:rPr>
        <w:t xml:space="preserve">the </w:t>
      </w:r>
      <w:r w:rsidRPr="004B44B9">
        <w:rPr>
          <w:rFonts w:asciiTheme="majorBidi" w:hAnsiTheme="majorBidi" w:cstheme="majorBidi"/>
          <w:sz w:val="24"/>
          <w:szCs w:val="24"/>
        </w:rPr>
        <w:t>independent sample T-test model,</w:t>
      </w:r>
      <w:r w:rsidRPr="00FD2B70">
        <w:rPr>
          <w:rFonts w:asciiTheme="majorBidi" w:hAnsiTheme="majorBidi" w:cstheme="majorBidi"/>
          <w:sz w:val="24"/>
          <w:szCs w:val="24"/>
        </w:rPr>
        <w:t xml:space="preserve"> the dependent variable appeared in a quantitative scale, and it is satisfied in this research. </w:t>
      </w:r>
      <w:r w:rsidR="008B7520">
        <w:rPr>
          <w:rFonts w:asciiTheme="majorBidi" w:hAnsiTheme="majorBidi" w:cstheme="majorBidi"/>
          <w:sz w:val="24"/>
          <w:szCs w:val="24"/>
        </w:rPr>
        <w:t>In fact</w:t>
      </w:r>
      <w:r w:rsidRPr="00FD2B70">
        <w:rPr>
          <w:rFonts w:asciiTheme="majorBidi" w:hAnsiTheme="majorBidi" w:cstheme="majorBidi"/>
          <w:sz w:val="24"/>
          <w:szCs w:val="24"/>
        </w:rPr>
        <w:t xml:space="preserve">, </w:t>
      </w:r>
      <w:r w:rsidR="008B7520">
        <w:rPr>
          <w:rFonts w:asciiTheme="majorBidi" w:hAnsiTheme="majorBidi" w:cstheme="majorBidi"/>
          <w:sz w:val="24"/>
          <w:szCs w:val="24"/>
        </w:rPr>
        <w:t xml:space="preserve">the </w:t>
      </w:r>
      <w:r w:rsidRPr="00FD2B70">
        <w:rPr>
          <w:rFonts w:asciiTheme="majorBidi" w:hAnsiTheme="majorBidi" w:cstheme="majorBidi"/>
          <w:sz w:val="24"/>
          <w:szCs w:val="24"/>
        </w:rPr>
        <w:t>normality of the dependent variable is one of the assumptions of the SEM model</w:t>
      </w:r>
      <w:sdt>
        <w:sdtPr>
          <w:rPr>
            <w:rFonts w:asciiTheme="majorBidi" w:hAnsiTheme="majorBidi" w:cstheme="majorBidi"/>
            <w:sz w:val="24"/>
            <w:szCs w:val="24"/>
          </w:rPr>
          <w:id w:val="-779870567"/>
          <w:citation/>
        </w:sdtPr>
        <w:sdtContent>
          <w:r w:rsidRPr="00FD2B70">
            <w:rPr>
              <w:rFonts w:asciiTheme="majorBidi" w:hAnsiTheme="majorBidi" w:cstheme="majorBidi"/>
              <w:sz w:val="24"/>
              <w:szCs w:val="24"/>
            </w:rPr>
            <w:fldChar w:fldCharType="begin"/>
          </w:r>
          <w:r w:rsidRPr="00FD2B70">
            <w:rPr>
              <w:rFonts w:asciiTheme="majorBidi" w:hAnsiTheme="majorBidi" w:cstheme="majorBidi"/>
              <w:sz w:val="24"/>
              <w:szCs w:val="24"/>
            </w:rPr>
            <w:instrText xml:space="preserve"> CITATION Wah23 \l 2057 </w:instrText>
          </w:r>
          <w:r w:rsidRPr="00FD2B70">
            <w:rPr>
              <w:rFonts w:asciiTheme="majorBidi" w:hAnsiTheme="majorBidi" w:cstheme="majorBidi"/>
              <w:sz w:val="24"/>
              <w:szCs w:val="24"/>
            </w:rPr>
            <w:fldChar w:fldCharType="separate"/>
          </w:r>
          <w:r w:rsidRPr="00FD2B70">
            <w:rPr>
              <w:rFonts w:asciiTheme="majorBidi" w:hAnsiTheme="majorBidi" w:cstheme="majorBidi"/>
              <w:sz w:val="24"/>
              <w:szCs w:val="24"/>
            </w:rPr>
            <w:t xml:space="preserve"> (Wah, Fitriana, &amp; Arumugam, 2023)</w:t>
          </w:r>
          <w:r w:rsidRPr="00FD2B70">
            <w:rPr>
              <w:rFonts w:asciiTheme="majorBidi" w:hAnsiTheme="majorBidi" w:cstheme="majorBidi"/>
              <w:sz w:val="24"/>
              <w:szCs w:val="24"/>
            </w:rPr>
            <w:fldChar w:fldCharType="end"/>
          </w:r>
        </w:sdtContent>
      </w:sdt>
      <w:r w:rsidRPr="00FD2B70">
        <w:rPr>
          <w:rFonts w:asciiTheme="majorBidi" w:hAnsiTheme="majorBidi" w:cstheme="majorBidi"/>
          <w:sz w:val="24"/>
          <w:szCs w:val="24"/>
        </w:rPr>
        <w:t>. Also</w:t>
      </w:r>
      <w:r w:rsidR="00087F49">
        <w:rPr>
          <w:rFonts w:asciiTheme="majorBidi" w:hAnsiTheme="majorBidi" w:cstheme="majorBidi"/>
          <w:sz w:val="24"/>
          <w:szCs w:val="24"/>
        </w:rPr>
        <w:t>,</w:t>
      </w:r>
      <w:r w:rsidRPr="00FD2B70">
        <w:rPr>
          <w:rFonts w:asciiTheme="majorBidi" w:hAnsiTheme="majorBidi" w:cstheme="majorBidi"/>
          <w:sz w:val="24"/>
          <w:szCs w:val="24"/>
        </w:rPr>
        <w:t xml:space="preserve"> fit indices of SEM model </w:t>
      </w:r>
      <w:r>
        <w:rPr>
          <w:rFonts w:asciiTheme="majorBidi" w:hAnsiTheme="majorBidi" w:cstheme="majorBidi"/>
          <w:sz w:val="24"/>
          <w:szCs w:val="24"/>
        </w:rPr>
        <w:t>(as outlined in section 6.</w:t>
      </w:r>
      <w:r w:rsidR="008B7520">
        <w:rPr>
          <w:rFonts w:asciiTheme="majorBidi" w:hAnsiTheme="majorBidi" w:cstheme="majorBidi"/>
          <w:sz w:val="24"/>
          <w:szCs w:val="24"/>
        </w:rPr>
        <w:t>12</w:t>
      </w:r>
      <w:r>
        <w:rPr>
          <w:rFonts w:asciiTheme="majorBidi" w:hAnsiTheme="majorBidi" w:cstheme="majorBidi"/>
          <w:sz w:val="24"/>
          <w:szCs w:val="24"/>
        </w:rPr>
        <w:t xml:space="preserve">) </w:t>
      </w:r>
      <w:r w:rsidRPr="00FD2B70">
        <w:rPr>
          <w:rFonts w:asciiTheme="majorBidi" w:hAnsiTheme="majorBidi" w:cstheme="majorBidi"/>
          <w:sz w:val="24"/>
          <w:szCs w:val="24"/>
        </w:rPr>
        <w:t xml:space="preserve">indicates </w:t>
      </w:r>
      <w:r w:rsidR="0010044F">
        <w:rPr>
          <w:rFonts w:asciiTheme="majorBidi" w:hAnsiTheme="majorBidi" w:cstheme="majorBidi"/>
          <w:sz w:val="24"/>
          <w:szCs w:val="24"/>
        </w:rPr>
        <w:t>the way</w:t>
      </w:r>
      <w:r w:rsidRPr="00FD2B70">
        <w:rPr>
          <w:rFonts w:asciiTheme="majorBidi" w:hAnsiTheme="majorBidi" w:cstheme="majorBidi"/>
          <w:sz w:val="24"/>
          <w:szCs w:val="24"/>
        </w:rPr>
        <w:t xml:space="preserve"> the model</w:t>
      </w:r>
      <w:r w:rsidR="0010044F">
        <w:rPr>
          <w:rFonts w:asciiTheme="majorBidi" w:hAnsiTheme="majorBidi" w:cstheme="majorBidi"/>
          <w:sz w:val="24"/>
          <w:szCs w:val="24"/>
        </w:rPr>
        <w:t>s</w:t>
      </w:r>
      <w:r w:rsidRPr="00FD2B70">
        <w:rPr>
          <w:rFonts w:asciiTheme="majorBidi" w:hAnsiTheme="majorBidi" w:cstheme="majorBidi"/>
          <w:sz w:val="24"/>
          <w:szCs w:val="24"/>
        </w:rPr>
        <w:t xml:space="preserve"> are fit to the data</w:t>
      </w:r>
      <w:sdt>
        <w:sdtPr>
          <w:rPr>
            <w:rFonts w:asciiTheme="majorBidi" w:hAnsiTheme="majorBidi" w:cstheme="majorBidi"/>
            <w:sz w:val="24"/>
            <w:szCs w:val="24"/>
          </w:rPr>
          <w:id w:val="-1575348123"/>
          <w:citation/>
        </w:sdtPr>
        <w:sdtContent>
          <w:r w:rsidRPr="00FD2B70">
            <w:rPr>
              <w:rFonts w:asciiTheme="majorBidi" w:hAnsiTheme="majorBidi" w:cstheme="majorBidi"/>
              <w:sz w:val="24"/>
              <w:szCs w:val="24"/>
            </w:rPr>
            <w:fldChar w:fldCharType="begin"/>
          </w:r>
          <w:r w:rsidRPr="00FD2B70">
            <w:rPr>
              <w:rFonts w:asciiTheme="majorBidi" w:hAnsiTheme="majorBidi" w:cstheme="majorBidi"/>
              <w:sz w:val="24"/>
              <w:szCs w:val="24"/>
            </w:rPr>
            <w:instrText xml:space="preserve"> CITATION Hoo08 \l 2057 </w:instrText>
          </w:r>
          <w:r w:rsidRPr="00FD2B70">
            <w:rPr>
              <w:rFonts w:asciiTheme="majorBidi" w:hAnsiTheme="majorBidi" w:cstheme="majorBidi"/>
              <w:sz w:val="24"/>
              <w:szCs w:val="24"/>
            </w:rPr>
            <w:fldChar w:fldCharType="separate"/>
          </w:r>
          <w:r w:rsidRPr="00FD2B70">
            <w:rPr>
              <w:rFonts w:asciiTheme="majorBidi" w:hAnsiTheme="majorBidi" w:cstheme="majorBidi"/>
              <w:sz w:val="24"/>
              <w:szCs w:val="24"/>
            </w:rPr>
            <w:t xml:space="preserve"> (Hooper, Coughlan, &amp; Mullen, 2008)</w:t>
          </w:r>
          <w:r w:rsidRPr="00FD2B70">
            <w:rPr>
              <w:rFonts w:asciiTheme="majorBidi" w:hAnsiTheme="majorBidi" w:cstheme="majorBidi"/>
              <w:sz w:val="24"/>
              <w:szCs w:val="24"/>
            </w:rPr>
            <w:fldChar w:fldCharType="end"/>
          </w:r>
        </w:sdtContent>
      </w:sdt>
      <w:r w:rsidRPr="00FD2B70">
        <w:rPr>
          <w:rFonts w:asciiTheme="majorBidi" w:hAnsiTheme="majorBidi" w:cstheme="majorBidi"/>
          <w:sz w:val="24"/>
          <w:szCs w:val="24"/>
        </w:rPr>
        <w:t xml:space="preserve">. However, according to Sekaran </w:t>
      </w:r>
      <w:sdt>
        <w:sdtPr>
          <w:rPr>
            <w:rFonts w:asciiTheme="majorBidi" w:hAnsiTheme="majorBidi" w:cstheme="majorBidi"/>
            <w:sz w:val="24"/>
            <w:szCs w:val="24"/>
          </w:rPr>
          <w:id w:val="988755498"/>
          <w:citation/>
        </w:sdtPr>
        <w:sdtContent>
          <w:r w:rsidRPr="00FD2B70">
            <w:rPr>
              <w:rFonts w:asciiTheme="majorBidi" w:hAnsiTheme="majorBidi" w:cstheme="majorBidi"/>
              <w:sz w:val="24"/>
              <w:szCs w:val="24"/>
            </w:rPr>
            <w:fldChar w:fldCharType="begin"/>
          </w:r>
          <w:r w:rsidRPr="00FD2B70">
            <w:rPr>
              <w:rFonts w:asciiTheme="majorBidi" w:hAnsiTheme="majorBidi" w:cstheme="majorBidi"/>
              <w:sz w:val="24"/>
              <w:szCs w:val="24"/>
            </w:rPr>
            <w:instrText xml:space="preserve">CITATION Sek03 \n  \t  \l 2057 </w:instrText>
          </w:r>
          <w:r w:rsidRPr="00FD2B70">
            <w:rPr>
              <w:rFonts w:asciiTheme="majorBidi" w:hAnsiTheme="majorBidi" w:cstheme="majorBidi"/>
              <w:sz w:val="24"/>
              <w:szCs w:val="24"/>
            </w:rPr>
            <w:fldChar w:fldCharType="separate"/>
          </w:r>
          <w:r w:rsidRPr="00FD2B70">
            <w:rPr>
              <w:rFonts w:asciiTheme="majorBidi" w:hAnsiTheme="majorBidi" w:cstheme="majorBidi"/>
              <w:sz w:val="24"/>
              <w:szCs w:val="24"/>
            </w:rPr>
            <w:t>(2003)</w:t>
          </w:r>
          <w:r w:rsidRPr="00FD2B70">
            <w:rPr>
              <w:rFonts w:asciiTheme="majorBidi" w:hAnsiTheme="majorBidi" w:cstheme="majorBidi"/>
              <w:sz w:val="24"/>
              <w:szCs w:val="24"/>
            </w:rPr>
            <w:fldChar w:fldCharType="end"/>
          </w:r>
        </w:sdtContent>
      </w:sdt>
      <w:r w:rsidRPr="00FD2B70">
        <w:rPr>
          <w:rFonts w:asciiTheme="majorBidi" w:hAnsiTheme="majorBidi" w:cstheme="majorBidi"/>
          <w:sz w:val="24"/>
          <w:szCs w:val="24"/>
        </w:rPr>
        <w:t xml:space="preserve">, a research study sample size </w:t>
      </w:r>
      <w:r w:rsidR="0010044F">
        <w:rPr>
          <w:rFonts w:asciiTheme="majorBidi" w:hAnsiTheme="majorBidi" w:cstheme="majorBidi"/>
          <w:sz w:val="24"/>
          <w:szCs w:val="24"/>
        </w:rPr>
        <w:t>that is</w:t>
      </w:r>
      <w:r w:rsidRPr="00FD2B70">
        <w:rPr>
          <w:rFonts w:asciiTheme="majorBidi" w:hAnsiTheme="majorBidi" w:cstheme="majorBidi"/>
          <w:sz w:val="24"/>
          <w:szCs w:val="24"/>
        </w:rPr>
        <w:t xml:space="preserve"> </w:t>
      </w:r>
      <w:r w:rsidR="008B7520">
        <w:rPr>
          <w:rFonts w:asciiTheme="majorBidi" w:hAnsiTheme="majorBidi" w:cstheme="majorBidi"/>
          <w:sz w:val="24"/>
          <w:szCs w:val="24"/>
        </w:rPr>
        <w:t>larger than</w:t>
      </w:r>
      <w:r w:rsidRPr="00FD2B70">
        <w:rPr>
          <w:rFonts w:asciiTheme="majorBidi" w:hAnsiTheme="majorBidi" w:cstheme="majorBidi"/>
          <w:sz w:val="24"/>
          <w:szCs w:val="24"/>
        </w:rPr>
        <w:t xml:space="preserve"> 30 to 50 </w:t>
      </w:r>
      <w:r w:rsidR="008B7520">
        <w:rPr>
          <w:rFonts w:asciiTheme="majorBidi" w:hAnsiTheme="majorBidi" w:cstheme="majorBidi"/>
          <w:sz w:val="24"/>
          <w:szCs w:val="24"/>
        </w:rPr>
        <w:t>respondents</w:t>
      </w:r>
      <w:r w:rsidRPr="00FD2B70">
        <w:rPr>
          <w:rFonts w:asciiTheme="majorBidi" w:hAnsiTheme="majorBidi" w:cstheme="majorBidi"/>
          <w:sz w:val="24"/>
          <w:szCs w:val="24"/>
        </w:rPr>
        <w:t xml:space="preserve"> can run parametric tests especially in multivariate research. </w:t>
      </w:r>
      <w:r>
        <w:rPr>
          <w:rFonts w:asciiTheme="majorBidi" w:hAnsiTheme="majorBidi" w:cstheme="majorBidi"/>
          <w:sz w:val="24"/>
          <w:szCs w:val="24"/>
        </w:rPr>
        <w:t>Hence,</w:t>
      </w:r>
      <w:r w:rsidRPr="00FD2B70">
        <w:rPr>
          <w:rFonts w:asciiTheme="majorBidi" w:hAnsiTheme="majorBidi" w:cstheme="majorBidi"/>
          <w:sz w:val="24"/>
          <w:szCs w:val="24"/>
        </w:rPr>
        <w:t xml:space="preserve"> the normality assumption can be violated if the study’s sample size is large or moderate and results can still </w:t>
      </w:r>
      <w:r w:rsidR="00DE391A" w:rsidRPr="00FD2B70">
        <w:rPr>
          <w:rFonts w:asciiTheme="majorBidi" w:hAnsiTheme="majorBidi" w:cstheme="majorBidi"/>
          <w:sz w:val="24"/>
          <w:szCs w:val="24"/>
        </w:rPr>
        <w:t>exhibit</w:t>
      </w:r>
      <w:r w:rsidRPr="00FD2B70">
        <w:rPr>
          <w:rFonts w:asciiTheme="majorBidi" w:hAnsiTheme="majorBidi" w:cstheme="majorBidi"/>
          <w:sz w:val="24"/>
          <w:szCs w:val="24"/>
        </w:rPr>
        <w:t xml:space="preserve"> precision and accuracy</w:t>
      </w:r>
      <w:sdt>
        <w:sdtPr>
          <w:rPr>
            <w:rFonts w:asciiTheme="majorBidi" w:hAnsiTheme="majorBidi" w:cstheme="majorBidi"/>
            <w:sz w:val="24"/>
            <w:szCs w:val="24"/>
          </w:rPr>
          <w:id w:val="1920663220"/>
          <w:citation/>
        </w:sdtPr>
        <w:sdtContent>
          <w:r w:rsidRPr="00FD2B70">
            <w:rPr>
              <w:rFonts w:asciiTheme="majorBidi" w:hAnsiTheme="majorBidi" w:cstheme="majorBidi"/>
              <w:sz w:val="24"/>
              <w:szCs w:val="24"/>
            </w:rPr>
            <w:fldChar w:fldCharType="begin"/>
          </w:r>
          <w:r w:rsidRPr="00FD2B70">
            <w:rPr>
              <w:rFonts w:asciiTheme="majorBidi" w:hAnsiTheme="majorBidi" w:cstheme="majorBidi"/>
              <w:sz w:val="24"/>
              <w:szCs w:val="24"/>
            </w:rPr>
            <w:instrText xml:space="preserve"> CITATION Sek03 \l 2057 </w:instrText>
          </w:r>
          <w:r w:rsidRPr="00FD2B70">
            <w:rPr>
              <w:rFonts w:asciiTheme="majorBidi" w:hAnsiTheme="majorBidi" w:cstheme="majorBidi"/>
              <w:sz w:val="24"/>
              <w:szCs w:val="24"/>
            </w:rPr>
            <w:fldChar w:fldCharType="separate"/>
          </w:r>
          <w:r w:rsidRPr="00FD2B70">
            <w:rPr>
              <w:rFonts w:asciiTheme="majorBidi" w:hAnsiTheme="majorBidi" w:cstheme="majorBidi"/>
              <w:sz w:val="24"/>
              <w:szCs w:val="24"/>
            </w:rPr>
            <w:t xml:space="preserve"> (Sekaran, 2003)</w:t>
          </w:r>
          <w:r w:rsidRPr="00FD2B70">
            <w:rPr>
              <w:rFonts w:asciiTheme="majorBidi" w:hAnsiTheme="majorBidi" w:cstheme="majorBidi"/>
              <w:sz w:val="24"/>
              <w:szCs w:val="24"/>
            </w:rPr>
            <w:fldChar w:fldCharType="end"/>
          </w:r>
        </w:sdtContent>
      </w:sdt>
      <w:r w:rsidRPr="00FD2B70">
        <w:rPr>
          <w:rFonts w:asciiTheme="majorBidi" w:hAnsiTheme="majorBidi" w:cstheme="majorBidi"/>
          <w:sz w:val="24"/>
          <w:szCs w:val="24"/>
        </w:rPr>
        <w:t xml:space="preserve">. In this study the sample </w:t>
      </w:r>
      <w:r w:rsidR="00DE391A">
        <w:rPr>
          <w:rFonts w:asciiTheme="majorBidi" w:hAnsiTheme="majorBidi" w:cstheme="majorBidi"/>
          <w:sz w:val="24"/>
          <w:szCs w:val="24"/>
        </w:rPr>
        <w:t>was</w:t>
      </w:r>
      <w:r w:rsidRPr="00FD2B70">
        <w:rPr>
          <w:rFonts w:asciiTheme="majorBidi" w:hAnsiTheme="majorBidi" w:cstheme="majorBidi"/>
          <w:sz w:val="24"/>
          <w:szCs w:val="24"/>
        </w:rPr>
        <w:t xml:space="preserve"> 474 observations which mean</w:t>
      </w:r>
      <w:r w:rsidR="00DE391A">
        <w:rPr>
          <w:rFonts w:asciiTheme="majorBidi" w:hAnsiTheme="majorBidi" w:cstheme="majorBidi"/>
          <w:sz w:val="24"/>
          <w:szCs w:val="24"/>
        </w:rPr>
        <w:t>s</w:t>
      </w:r>
      <w:r w:rsidRPr="00FD2B70">
        <w:rPr>
          <w:rFonts w:asciiTheme="majorBidi" w:hAnsiTheme="majorBidi" w:cstheme="majorBidi"/>
          <w:sz w:val="24"/>
          <w:szCs w:val="24"/>
        </w:rPr>
        <w:t xml:space="preserve"> it can violate the normality assumption. </w:t>
      </w:r>
      <w:r w:rsidR="0010044F" w:rsidRPr="0010044F">
        <w:rPr>
          <w:rFonts w:asciiTheme="majorBidi" w:hAnsiTheme="majorBidi" w:cstheme="majorBidi"/>
          <w:sz w:val="24"/>
          <w:szCs w:val="24"/>
        </w:rPr>
        <w:t xml:space="preserve">As a result, I examine the study's hypotheses using the SEM model. </w:t>
      </w:r>
    </w:p>
    <w:bookmarkEnd w:id="162"/>
    <w:p w14:paraId="4CC68E2B" w14:textId="1109EC40" w:rsidR="00D65FF6" w:rsidRPr="008D75D3" w:rsidRDefault="00D65FF6" w:rsidP="0010044F">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6</w:t>
      </w:r>
      <w:r w:rsidRPr="008D75D3">
        <w:rPr>
          <w:rFonts w:asciiTheme="majorBidi" w:hAnsiTheme="majorBidi" w:cstheme="majorBidi"/>
          <w:b/>
          <w:bCs/>
          <w:sz w:val="24"/>
          <w:szCs w:val="24"/>
        </w:rPr>
        <w:t>.1</w:t>
      </w:r>
      <w:r w:rsidR="00C0315E">
        <w:rPr>
          <w:rFonts w:asciiTheme="majorBidi" w:hAnsiTheme="majorBidi" w:cstheme="majorBidi"/>
          <w:b/>
          <w:bCs/>
          <w:sz w:val="24"/>
          <w:szCs w:val="24"/>
        </w:rPr>
        <w:t>0</w:t>
      </w:r>
      <w:r w:rsidRPr="008D75D3">
        <w:rPr>
          <w:rFonts w:asciiTheme="majorBidi" w:hAnsiTheme="majorBidi" w:cstheme="majorBidi"/>
          <w:b/>
          <w:bCs/>
          <w:sz w:val="24"/>
          <w:szCs w:val="24"/>
        </w:rPr>
        <w:t>.</w:t>
      </w:r>
      <w:r>
        <w:rPr>
          <w:rFonts w:asciiTheme="majorBidi" w:hAnsiTheme="majorBidi" w:cstheme="majorBidi"/>
          <w:b/>
          <w:bCs/>
          <w:sz w:val="24"/>
          <w:szCs w:val="24"/>
        </w:rPr>
        <w:t>1</w:t>
      </w:r>
      <w:r w:rsidRPr="008D75D3">
        <w:rPr>
          <w:rFonts w:asciiTheme="majorBidi" w:hAnsiTheme="majorBidi" w:cstheme="majorBidi"/>
          <w:b/>
          <w:bCs/>
          <w:sz w:val="24"/>
          <w:szCs w:val="24"/>
        </w:rPr>
        <w:t xml:space="preserve"> Normality of Distribution Test</w:t>
      </w:r>
    </w:p>
    <w:p w14:paraId="201510FF" w14:textId="023474E1" w:rsidR="00D65FF6" w:rsidRPr="00AA4F38" w:rsidRDefault="00D65FF6" w:rsidP="00250620">
      <w:pPr>
        <w:spacing w:after="0" w:line="480" w:lineRule="auto"/>
        <w:ind w:firstLine="720"/>
        <w:contextualSpacing/>
        <w:jc w:val="both"/>
        <w:rPr>
          <w:rFonts w:asciiTheme="majorBidi" w:hAnsiTheme="majorBidi" w:cstheme="majorBidi"/>
          <w:sz w:val="24"/>
          <w:szCs w:val="24"/>
        </w:rPr>
      </w:pPr>
      <w:r>
        <w:rPr>
          <w:rFonts w:asciiTheme="majorBidi" w:hAnsiTheme="majorBidi" w:cstheme="majorBidi"/>
          <w:sz w:val="24"/>
          <w:szCs w:val="24"/>
        </w:rPr>
        <w:t xml:space="preserve">Generally, </w:t>
      </w:r>
      <w:r w:rsidRPr="008D75D3">
        <w:rPr>
          <w:rFonts w:asciiTheme="majorBidi" w:hAnsiTheme="majorBidi" w:cstheme="majorBidi"/>
          <w:sz w:val="24"/>
          <w:szCs w:val="24"/>
        </w:rPr>
        <w:t>a normality test is used to examine the variable distribution scale</w:t>
      </w:r>
      <w:sdt>
        <w:sdtPr>
          <w:rPr>
            <w:rFonts w:asciiTheme="majorBidi" w:hAnsiTheme="majorBidi" w:cstheme="majorBidi"/>
            <w:sz w:val="24"/>
            <w:szCs w:val="24"/>
          </w:rPr>
          <w:id w:val="-167680545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Mis19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(Mishra, et al., 2019)</w:t>
          </w:r>
          <w:r>
            <w:rPr>
              <w:rFonts w:asciiTheme="majorBidi" w:hAnsiTheme="majorBidi" w:cstheme="majorBidi"/>
              <w:sz w:val="24"/>
              <w:szCs w:val="24"/>
            </w:rPr>
            <w:fldChar w:fldCharType="end"/>
          </w:r>
        </w:sdtContent>
      </w:sdt>
      <w:r w:rsidRPr="008D75D3">
        <w:rPr>
          <w:rFonts w:asciiTheme="majorBidi" w:hAnsiTheme="majorBidi" w:cstheme="majorBidi"/>
          <w:sz w:val="24"/>
          <w:szCs w:val="24"/>
        </w:rPr>
        <w:t xml:space="preserve">. If the variables are normally distributed, parametric test </w:t>
      </w:r>
      <w:r>
        <w:rPr>
          <w:rFonts w:asciiTheme="majorBidi" w:hAnsiTheme="majorBidi" w:cstheme="majorBidi"/>
          <w:sz w:val="24"/>
          <w:szCs w:val="24"/>
        </w:rPr>
        <w:t>should</w:t>
      </w:r>
      <w:r w:rsidRPr="008D75D3">
        <w:rPr>
          <w:rFonts w:asciiTheme="majorBidi" w:hAnsiTheme="majorBidi" w:cstheme="majorBidi"/>
          <w:sz w:val="24"/>
          <w:szCs w:val="24"/>
        </w:rPr>
        <w:t xml:space="preserve"> be applied, but if the</w:t>
      </w:r>
      <w:r>
        <w:rPr>
          <w:rFonts w:asciiTheme="majorBidi" w:hAnsiTheme="majorBidi" w:cstheme="majorBidi"/>
          <w:sz w:val="24"/>
          <w:szCs w:val="24"/>
        </w:rPr>
        <w:t xml:space="preserve"> variables</w:t>
      </w:r>
      <w:r w:rsidRPr="008D75D3">
        <w:rPr>
          <w:rFonts w:asciiTheme="majorBidi" w:hAnsiTheme="majorBidi" w:cstheme="majorBidi"/>
          <w:sz w:val="24"/>
          <w:szCs w:val="24"/>
        </w:rPr>
        <w:t xml:space="preserve"> are not normally distributed then</w:t>
      </w:r>
      <w:r>
        <w:rPr>
          <w:rFonts w:asciiTheme="majorBidi" w:hAnsiTheme="majorBidi" w:cstheme="majorBidi"/>
          <w:sz w:val="24"/>
          <w:szCs w:val="24"/>
        </w:rPr>
        <w:t>,</w:t>
      </w:r>
      <w:r w:rsidRPr="008D75D3">
        <w:rPr>
          <w:rFonts w:asciiTheme="majorBidi" w:hAnsiTheme="majorBidi" w:cstheme="majorBidi"/>
          <w:sz w:val="24"/>
          <w:szCs w:val="24"/>
        </w:rPr>
        <w:t xml:space="preserve"> non-parametric test </w:t>
      </w:r>
      <w:r>
        <w:rPr>
          <w:rFonts w:asciiTheme="majorBidi" w:hAnsiTheme="majorBidi" w:cstheme="majorBidi"/>
          <w:sz w:val="24"/>
          <w:szCs w:val="24"/>
        </w:rPr>
        <w:t>should</w:t>
      </w:r>
      <w:r w:rsidRPr="008D75D3">
        <w:rPr>
          <w:rFonts w:asciiTheme="majorBidi" w:hAnsiTheme="majorBidi" w:cstheme="majorBidi"/>
          <w:sz w:val="24"/>
          <w:szCs w:val="24"/>
        </w:rPr>
        <w:t xml:space="preserve"> be used for the inferential statistics</w:t>
      </w:r>
      <w:r>
        <w:rPr>
          <w:rFonts w:asciiTheme="majorBidi" w:hAnsiTheme="majorBidi" w:cstheme="majorBidi"/>
          <w:sz w:val="24"/>
          <w:szCs w:val="24"/>
        </w:rPr>
        <w:t xml:space="preserve"> </w:t>
      </w:r>
      <w:sdt>
        <w:sdtPr>
          <w:rPr>
            <w:rFonts w:asciiTheme="majorBidi" w:hAnsiTheme="majorBidi" w:cstheme="majorBidi"/>
            <w:sz w:val="24"/>
            <w:szCs w:val="24"/>
          </w:rPr>
          <w:id w:val="150955085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DeP16 \l 2057  \m Sma17</w:instrText>
          </w:r>
          <w:r>
            <w:rPr>
              <w:rFonts w:asciiTheme="majorBidi" w:hAnsiTheme="majorBidi" w:cstheme="majorBidi"/>
              <w:sz w:val="24"/>
              <w:szCs w:val="24"/>
            </w:rPr>
            <w:fldChar w:fldCharType="separate"/>
          </w:r>
          <w:r w:rsidRPr="009F6991">
            <w:rPr>
              <w:rFonts w:asciiTheme="majorBidi" w:hAnsiTheme="majorBidi" w:cstheme="majorBidi"/>
              <w:noProof/>
              <w:sz w:val="24"/>
              <w:szCs w:val="24"/>
            </w:rPr>
            <w:t>(DePoy &amp; Gitlin, 2016; Smalheiser, 2017)</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8D75D3">
        <w:rPr>
          <w:rFonts w:asciiTheme="majorBidi" w:hAnsiTheme="majorBidi" w:cstheme="majorBidi"/>
          <w:sz w:val="24"/>
          <w:szCs w:val="24"/>
        </w:rPr>
        <w:t xml:space="preserve">The null hypotheses of the tests </w:t>
      </w:r>
      <w:r>
        <w:rPr>
          <w:rFonts w:asciiTheme="majorBidi" w:hAnsiTheme="majorBidi" w:cstheme="majorBidi"/>
          <w:sz w:val="24"/>
          <w:szCs w:val="24"/>
        </w:rPr>
        <w:t>in which</w:t>
      </w:r>
      <w:r w:rsidRPr="008D75D3">
        <w:rPr>
          <w:rFonts w:asciiTheme="majorBidi" w:hAnsiTheme="majorBidi" w:cstheme="majorBidi"/>
          <w:sz w:val="24"/>
          <w:szCs w:val="24"/>
        </w:rPr>
        <w:t xml:space="preserve"> data follows normal distribution, then if significance</w:t>
      </w:r>
      <w:r>
        <w:rPr>
          <w:rFonts w:asciiTheme="majorBidi" w:hAnsiTheme="majorBidi" w:cstheme="majorBidi"/>
          <w:sz w:val="24"/>
          <w:szCs w:val="24"/>
        </w:rPr>
        <w:t xml:space="preserve"> is</w:t>
      </w:r>
      <w:r w:rsidRPr="008D75D3">
        <w:rPr>
          <w:rFonts w:asciiTheme="majorBidi" w:hAnsiTheme="majorBidi" w:cstheme="majorBidi"/>
          <w:sz w:val="24"/>
          <w:szCs w:val="24"/>
        </w:rPr>
        <w:t xml:space="preserve"> less than 0.05</w:t>
      </w:r>
      <w:r w:rsidR="00087F49">
        <w:rPr>
          <w:rFonts w:asciiTheme="majorBidi" w:hAnsiTheme="majorBidi" w:cstheme="majorBidi"/>
          <w:sz w:val="24"/>
          <w:szCs w:val="24"/>
        </w:rPr>
        <w:t>,</w:t>
      </w:r>
      <w:r w:rsidRPr="008D75D3">
        <w:rPr>
          <w:rFonts w:asciiTheme="majorBidi" w:hAnsiTheme="majorBidi" w:cstheme="majorBidi"/>
          <w:sz w:val="24"/>
          <w:szCs w:val="24"/>
        </w:rPr>
        <w:t xml:space="preserve"> the normality of the data will be rejected and vice versa</w:t>
      </w:r>
      <w:sdt>
        <w:sdtPr>
          <w:rPr>
            <w:rFonts w:asciiTheme="majorBidi" w:hAnsiTheme="majorBidi" w:cstheme="majorBidi"/>
            <w:sz w:val="24"/>
            <w:szCs w:val="24"/>
          </w:rPr>
          <w:id w:val="-62724508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Bem16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(Bemis, Avlasevich, &amp; Dertinger, 2016)</w:t>
          </w:r>
          <w:r>
            <w:rPr>
              <w:rFonts w:asciiTheme="majorBidi" w:hAnsiTheme="majorBidi" w:cstheme="majorBidi"/>
              <w:sz w:val="24"/>
              <w:szCs w:val="24"/>
            </w:rPr>
            <w:fldChar w:fldCharType="end"/>
          </w:r>
        </w:sdtContent>
      </w:sdt>
      <w:r w:rsidRPr="008D75D3">
        <w:rPr>
          <w:rFonts w:asciiTheme="majorBidi" w:hAnsiTheme="majorBidi" w:cstheme="majorBidi"/>
          <w:sz w:val="24"/>
          <w:szCs w:val="24"/>
        </w:rPr>
        <w:t xml:space="preserve">. </w:t>
      </w:r>
      <w:r w:rsidRPr="00BB3A26">
        <w:rPr>
          <w:rFonts w:asciiTheme="majorBidi" w:hAnsiTheme="majorBidi" w:cstheme="majorBidi"/>
          <w:sz w:val="24"/>
          <w:szCs w:val="24"/>
        </w:rPr>
        <w:t xml:space="preserve">The tests results, shown in the following table, revealed that </w:t>
      </w:r>
      <w:r w:rsidRPr="007D11F6">
        <w:rPr>
          <w:rFonts w:asciiTheme="majorBidi" w:hAnsiTheme="majorBidi" w:cstheme="majorBidi"/>
          <w:sz w:val="24"/>
          <w:szCs w:val="24"/>
        </w:rPr>
        <w:t>all variables were not normally</w:t>
      </w:r>
      <w:r w:rsidRPr="00BB3A26">
        <w:rPr>
          <w:rFonts w:asciiTheme="majorBidi" w:hAnsiTheme="majorBidi" w:cstheme="majorBidi"/>
          <w:sz w:val="24"/>
          <w:szCs w:val="24"/>
        </w:rPr>
        <w:t xml:space="preserve"> distributed because</w:t>
      </w:r>
      <w:r w:rsidR="0010044F">
        <w:rPr>
          <w:rFonts w:asciiTheme="majorBidi" w:hAnsiTheme="majorBidi" w:cstheme="majorBidi"/>
          <w:sz w:val="24"/>
          <w:szCs w:val="24"/>
        </w:rPr>
        <w:t xml:space="preserve"> </w:t>
      </w:r>
      <w:r w:rsidRPr="00BB3A26">
        <w:rPr>
          <w:rFonts w:asciiTheme="majorBidi" w:hAnsiTheme="majorBidi" w:cstheme="majorBidi"/>
          <w:sz w:val="24"/>
          <w:szCs w:val="24"/>
        </w:rPr>
        <w:t>the significance</w:t>
      </w:r>
      <w:r w:rsidR="0010044F">
        <w:rPr>
          <w:rFonts w:asciiTheme="majorBidi" w:hAnsiTheme="majorBidi" w:cstheme="majorBidi"/>
          <w:sz w:val="24"/>
          <w:szCs w:val="24"/>
        </w:rPr>
        <w:t xml:space="preserve"> of the</w:t>
      </w:r>
      <w:r w:rsidRPr="00BB3A26">
        <w:rPr>
          <w:rFonts w:asciiTheme="majorBidi" w:hAnsiTheme="majorBidi" w:cstheme="majorBidi"/>
          <w:sz w:val="24"/>
          <w:szCs w:val="24"/>
        </w:rPr>
        <w:t xml:space="preserve"> value</w:t>
      </w:r>
      <w:r w:rsidR="0010044F">
        <w:rPr>
          <w:rFonts w:asciiTheme="majorBidi" w:hAnsiTheme="majorBidi" w:cstheme="majorBidi"/>
          <w:sz w:val="24"/>
          <w:szCs w:val="24"/>
        </w:rPr>
        <w:t>s</w:t>
      </w:r>
      <w:r w:rsidRPr="00BB3A26">
        <w:rPr>
          <w:rFonts w:asciiTheme="majorBidi" w:hAnsiTheme="majorBidi" w:cstheme="majorBidi"/>
          <w:sz w:val="24"/>
          <w:szCs w:val="24"/>
        </w:rPr>
        <w:t xml:space="preserve"> of those variables </w:t>
      </w:r>
      <w:r w:rsidR="00087F49">
        <w:rPr>
          <w:rFonts w:asciiTheme="majorBidi" w:hAnsiTheme="majorBidi" w:cstheme="majorBidi"/>
          <w:sz w:val="24"/>
          <w:szCs w:val="24"/>
        </w:rPr>
        <w:t>was</w:t>
      </w:r>
      <w:r w:rsidRPr="00BB3A26">
        <w:rPr>
          <w:rFonts w:asciiTheme="majorBidi" w:hAnsiTheme="majorBidi" w:cstheme="majorBidi"/>
          <w:sz w:val="24"/>
          <w:szCs w:val="24"/>
        </w:rPr>
        <w:t xml:space="preserve"> below 0.05</w:t>
      </w:r>
      <w:r w:rsidR="0010044F">
        <w:rPr>
          <w:rFonts w:asciiTheme="majorBidi" w:hAnsiTheme="majorBidi" w:cstheme="majorBidi"/>
          <w:sz w:val="24"/>
          <w:szCs w:val="24"/>
        </w:rPr>
        <w:t>.</w:t>
      </w:r>
      <w:r w:rsidRPr="00BB3A26">
        <w:rPr>
          <w:rFonts w:asciiTheme="majorBidi" w:hAnsiTheme="majorBidi" w:cstheme="majorBidi"/>
          <w:sz w:val="24"/>
          <w:szCs w:val="24"/>
        </w:rPr>
        <w:t xml:space="preserve"> </w:t>
      </w:r>
      <w:r w:rsidR="0010044F">
        <w:rPr>
          <w:rFonts w:asciiTheme="majorBidi" w:hAnsiTheme="majorBidi" w:cstheme="majorBidi"/>
          <w:sz w:val="24"/>
          <w:szCs w:val="24"/>
        </w:rPr>
        <w:t>H</w:t>
      </w:r>
      <w:r w:rsidRPr="00BB3A26">
        <w:rPr>
          <w:rFonts w:asciiTheme="majorBidi" w:hAnsiTheme="majorBidi" w:cstheme="majorBidi"/>
          <w:sz w:val="24"/>
          <w:szCs w:val="24"/>
        </w:rPr>
        <w:t xml:space="preserve">owever, since the </w:t>
      </w:r>
      <w:r>
        <w:rPr>
          <w:rFonts w:asciiTheme="majorBidi" w:hAnsiTheme="majorBidi" w:cstheme="majorBidi"/>
          <w:sz w:val="24"/>
          <w:szCs w:val="24"/>
        </w:rPr>
        <w:t>sample consist</w:t>
      </w:r>
      <w:r w:rsidR="0010044F">
        <w:rPr>
          <w:rFonts w:asciiTheme="majorBidi" w:hAnsiTheme="majorBidi" w:cstheme="majorBidi"/>
          <w:sz w:val="24"/>
          <w:szCs w:val="24"/>
        </w:rPr>
        <w:t>ed</w:t>
      </w:r>
      <w:r>
        <w:rPr>
          <w:rFonts w:asciiTheme="majorBidi" w:hAnsiTheme="majorBidi" w:cstheme="majorBidi"/>
          <w:sz w:val="24"/>
          <w:szCs w:val="24"/>
        </w:rPr>
        <w:t xml:space="preserve"> of </w:t>
      </w:r>
      <w:r w:rsidRPr="00BB3A26">
        <w:rPr>
          <w:rFonts w:asciiTheme="majorBidi" w:hAnsiTheme="majorBidi" w:cstheme="majorBidi"/>
          <w:sz w:val="24"/>
          <w:szCs w:val="24"/>
        </w:rPr>
        <w:t>474</w:t>
      </w:r>
      <w:r>
        <w:rPr>
          <w:rFonts w:asciiTheme="majorBidi" w:hAnsiTheme="majorBidi" w:cstheme="majorBidi"/>
          <w:sz w:val="24"/>
          <w:szCs w:val="24"/>
        </w:rPr>
        <w:t xml:space="preserve"> responses</w:t>
      </w:r>
      <w:r w:rsidRPr="00BB3A26">
        <w:rPr>
          <w:rFonts w:asciiTheme="majorBidi" w:hAnsiTheme="majorBidi" w:cstheme="majorBidi"/>
          <w:sz w:val="24"/>
          <w:szCs w:val="24"/>
        </w:rPr>
        <w:t xml:space="preserve">, </w:t>
      </w:r>
      <w:r>
        <w:rPr>
          <w:rFonts w:asciiTheme="majorBidi" w:hAnsiTheme="majorBidi" w:cstheme="majorBidi"/>
          <w:sz w:val="24"/>
          <w:szCs w:val="24"/>
        </w:rPr>
        <w:t xml:space="preserve">it is still possible to apply </w:t>
      </w:r>
      <w:r w:rsidRPr="00BB3A26">
        <w:rPr>
          <w:rFonts w:asciiTheme="majorBidi" w:hAnsiTheme="majorBidi" w:cstheme="majorBidi"/>
          <w:sz w:val="24"/>
          <w:szCs w:val="24"/>
        </w:rPr>
        <w:t>parametric tests. This is because the assumption of normality can be disregarded when the sample size is higher than 30</w:t>
      </w:r>
      <w:r>
        <w:rPr>
          <w:rFonts w:asciiTheme="majorBidi" w:hAnsiTheme="majorBidi" w:cstheme="majorBidi"/>
          <w:sz w:val="24"/>
          <w:szCs w:val="24"/>
        </w:rPr>
        <w:t xml:space="preserve"> </w:t>
      </w:r>
      <w:sdt>
        <w:sdtPr>
          <w:rPr>
            <w:rFonts w:asciiTheme="majorBidi" w:hAnsiTheme="majorBidi" w:cstheme="majorBidi"/>
            <w:sz w:val="24"/>
            <w:szCs w:val="24"/>
          </w:rPr>
          <w:id w:val="147888885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Gha12 \l 2057  \m Utt19</w:instrText>
          </w:r>
          <w:r>
            <w:rPr>
              <w:rFonts w:asciiTheme="majorBidi" w:hAnsiTheme="majorBidi" w:cstheme="majorBidi"/>
              <w:sz w:val="24"/>
              <w:szCs w:val="24"/>
            </w:rPr>
            <w:fldChar w:fldCharType="separate"/>
          </w:r>
          <w:r w:rsidRPr="009F6991">
            <w:rPr>
              <w:rFonts w:asciiTheme="majorBidi" w:hAnsiTheme="majorBidi" w:cstheme="majorBidi"/>
              <w:noProof/>
              <w:sz w:val="24"/>
              <w:szCs w:val="24"/>
            </w:rPr>
            <w:t>(Ghasemi &amp; Zahediasl, 2012; Uttley, 2019)</w:t>
          </w:r>
          <w:r>
            <w:rPr>
              <w:rFonts w:asciiTheme="majorBidi" w:hAnsiTheme="majorBidi" w:cstheme="majorBidi"/>
              <w:sz w:val="24"/>
              <w:szCs w:val="24"/>
            </w:rPr>
            <w:fldChar w:fldCharType="end"/>
          </w:r>
        </w:sdtContent>
      </w:sdt>
      <w:r w:rsidRPr="00BB3A26">
        <w:rPr>
          <w:rFonts w:asciiTheme="majorBidi" w:hAnsiTheme="majorBidi" w:cstheme="majorBidi"/>
          <w:sz w:val="24"/>
          <w:szCs w:val="24"/>
        </w:rPr>
        <w:t xml:space="preserve">. This is based on the central limit theorem, as firstly introduced by Laplace in 1810, which asserts that, as the sample size increases, the sampling distribution (the means of a random set of samples) approach normality </w:t>
      </w:r>
      <w:sdt>
        <w:sdtPr>
          <w:rPr>
            <w:rFonts w:asciiTheme="majorBidi" w:hAnsiTheme="majorBidi" w:cstheme="majorBidi"/>
            <w:sz w:val="24"/>
            <w:szCs w:val="24"/>
          </w:rPr>
          <w:id w:val="187024212"/>
          <w:citation/>
        </w:sdtPr>
        <w:sdtContent>
          <w:r w:rsidRPr="00BB3A26">
            <w:rPr>
              <w:rFonts w:asciiTheme="majorBidi" w:hAnsiTheme="majorBidi" w:cstheme="majorBidi"/>
              <w:sz w:val="24"/>
              <w:szCs w:val="24"/>
            </w:rPr>
            <w:fldChar w:fldCharType="begin"/>
          </w:r>
          <w:r w:rsidRPr="00BB3A26">
            <w:rPr>
              <w:rFonts w:asciiTheme="majorBidi" w:hAnsiTheme="majorBidi" w:cstheme="majorBidi"/>
              <w:sz w:val="24"/>
              <w:szCs w:val="24"/>
            </w:rPr>
            <w:instrText xml:space="preserve"> CITATION Utt19 \l 2057 </w:instrText>
          </w:r>
          <w:r w:rsidRPr="00BB3A26">
            <w:rPr>
              <w:rFonts w:asciiTheme="majorBidi" w:hAnsiTheme="majorBidi" w:cstheme="majorBidi"/>
              <w:sz w:val="24"/>
              <w:szCs w:val="24"/>
            </w:rPr>
            <w:fldChar w:fldCharType="separate"/>
          </w:r>
          <w:r w:rsidRPr="009F6991">
            <w:rPr>
              <w:rFonts w:asciiTheme="majorBidi" w:hAnsiTheme="majorBidi" w:cstheme="majorBidi"/>
              <w:noProof/>
              <w:sz w:val="24"/>
              <w:szCs w:val="24"/>
            </w:rPr>
            <w:t>(Uttley, 2019)</w:t>
          </w:r>
          <w:r w:rsidRPr="00BB3A26">
            <w:rPr>
              <w:rFonts w:asciiTheme="majorBidi" w:hAnsiTheme="majorBidi" w:cstheme="majorBidi"/>
              <w:sz w:val="24"/>
              <w:szCs w:val="24"/>
            </w:rPr>
            <w:fldChar w:fldCharType="end"/>
          </w:r>
        </w:sdtContent>
      </w:sdt>
      <w:r w:rsidRPr="00BB3A26">
        <w:rPr>
          <w:rFonts w:asciiTheme="majorBidi" w:hAnsiTheme="majorBidi" w:cstheme="majorBidi"/>
          <w:sz w:val="24"/>
          <w:szCs w:val="24"/>
        </w:rPr>
        <w:t xml:space="preserve">. Moreover, running a parametric test when the data variables are normally distributed can be violated if the study’s sample size is large or moderate and results can still reflect precision and accuracy </w:t>
      </w:r>
      <w:sdt>
        <w:sdtPr>
          <w:rPr>
            <w:rFonts w:asciiTheme="majorBidi" w:hAnsiTheme="majorBidi" w:cstheme="majorBidi"/>
            <w:sz w:val="24"/>
            <w:szCs w:val="24"/>
          </w:rPr>
          <w:id w:val="1482735434"/>
          <w:citation/>
        </w:sdtPr>
        <w:sdtContent>
          <w:r w:rsidRPr="00BB3A26">
            <w:rPr>
              <w:rFonts w:asciiTheme="majorBidi" w:hAnsiTheme="majorBidi" w:cstheme="majorBidi"/>
              <w:sz w:val="24"/>
              <w:szCs w:val="24"/>
            </w:rPr>
            <w:fldChar w:fldCharType="begin"/>
          </w:r>
          <w:r w:rsidRPr="00BB3A26">
            <w:rPr>
              <w:rFonts w:asciiTheme="majorBidi" w:hAnsiTheme="majorBidi" w:cstheme="majorBidi"/>
              <w:sz w:val="24"/>
              <w:szCs w:val="24"/>
            </w:rPr>
            <w:instrText xml:space="preserve"> CITATION Orc20 \l 2057 </w:instrText>
          </w:r>
          <w:r w:rsidRPr="00BB3A26">
            <w:rPr>
              <w:rFonts w:asciiTheme="majorBidi" w:hAnsiTheme="majorBidi" w:cstheme="majorBidi"/>
              <w:sz w:val="24"/>
              <w:szCs w:val="24"/>
            </w:rPr>
            <w:fldChar w:fldCharType="separate"/>
          </w:r>
          <w:r w:rsidRPr="009F6991">
            <w:rPr>
              <w:rFonts w:asciiTheme="majorBidi" w:hAnsiTheme="majorBidi" w:cstheme="majorBidi"/>
              <w:noProof/>
              <w:sz w:val="24"/>
              <w:szCs w:val="24"/>
            </w:rPr>
            <w:t>(Orcan, 2020)</w:t>
          </w:r>
          <w:r w:rsidRPr="00BB3A26">
            <w:rPr>
              <w:rFonts w:asciiTheme="majorBidi" w:hAnsiTheme="majorBidi" w:cstheme="majorBidi"/>
              <w:sz w:val="24"/>
              <w:szCs w:val="24"/>
            </w:rPr>
            <w:fldChar w:fldCharType="end"/>
          </w:r>
        </w:sdtContent>
      </w:sdt>
      <w:r w:rsidRPr="00BB3A26">
        <w:rPr>
          <w:rFonts w:asciiTheme="majorBidi" w:hAnsiTheme="majorBidi" w:cstheme="majorBidi"/>
          <w:sz w:val="24"/>
          <w:szCs w:val="24"/>
        </w:rPr>
        <w:t>.</w:t>
      </w:r>
    </w:p>
    <w:p w14:paraId="4547D5CE" w14:textId="77777777" w:rsidR="00024510" w:rsidRDefault="00024510">
      <w:r>
        <w:br w:type="page"/>
      </w:r>
    </w:p>
    <w:tbl>
      <w:tblPr>
        <w:tblW w:w="836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0"/>
        <w:gridCol w:w="1037"/>
        <w:gridCol w:w="992"/>
        <w:gridCol w:w="1134"/>
        <w:gridCol w:w="1276"/>
        <w:gridCol w:w="1134"/>
        <w:gridCol w:w="850"/>
      </w:tblGrid>
      <w:tr w:rsidR="00D65FF6" w:rsidRPr="00D53E24" w14:paraId="3BED1672" w14:textId="77777777" w:rsidTr="004B44B9">
        <w:trPr>
          <w:cantSplit/>
          <w:trHeight w:val="88"/>
        </w:trPr>
        <w:tc>
          <w:tcPr>
            <w:tcW w:w="8363" w:type="dxa"/>
            <w:gridSpan w:val="7"/>
            <w:shd w:val="clear" w:color="auto" w:fill="FFFFFF"/>
            <w:vAlign w:val="center"/>
          </w:tcPr>
          <w:p w14:paraId="6339CFFD" w14:textId="798A2F5C"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Tests of Normality</w:t>
            </w:r>
          </w:p>
        </w:tc>
      </w:tr>
      <w:tr w:rsidR="00D65FF6" w:rsidRPr="00D53E24" w14:paraId="0FD4DE89" w14:textId="77777777" w:rsidTr="004B44B9">
        <w:trPr>
          <w:cantSplit/>
          <w:trHeight w:val="326"/>
        </w:trPr>
        <w:tc>
          <w:tcPr>
            <w:tcW w:w="1940" w:type="dxa"/>
            <w:vMerge w:val="restart"/>
            <w:shd w:val="clear" w:color="auto" w:fill="FFFFFF"/>
            <w:vAlign w:val="bottom"/>
          </w:tcPr>
          <w:p w14:paraId="1182DEB8" w14:textId="77777777" w:rsidR="00D65FF6" w:rsidRPr="00D53E24" w:rsidRDefault="00D65FF6" w:rsidP="008D0DBB">
            <w:pPr>
              <w:autoSpaceDE w:val="0"/>
              <w:autoSpaceDN w:val="0"/>
              <w:adjustRightInd w:val="0"/>
              <w:spacing w:after="0" w:line="240" w:lineRule="auto"/>
              <w:rPr>
                <w:rFonts w:asciiTheme="majorBidi" w:hAnsiTheme="majorBidi" w:cstheme="majorBidi"/>
                <w:sz w:val="20"/>
                <w:szCs w:val="20"/>
              </w:rPr>
            </w:pPr>
          </w:p>
        </w:tc>
        <w:tc>
          <w:tcPr>
            <w:tcW w:w="3163" w:type="dxa"/>
            <w:gridSpan w:val="3"/>
            <w:shd w:val="clear" w:color="auto" w:fill="FFFFFF"/>
            <w:vAlign w:val="bottom"/>
          </w:tcPr>
          <w:p w14:paraId="64A7015F" w14:textId="77777777"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Kolmogorov-Smirnov</w:t>
            </w:r>
            <w:r w:rsidRPr="00D53E24">
              <w:rPr>
                <w:rFonts w:asciiTheme="majorBidi" w:hAnsiTheme="majorBidi" w:cstheme="majorBidi"/>
                <w:color w:val="000000"/>
                <w:sz w:val="20"/>
                <w:szCs w:val="20"/>
                <w:vertAlign w:val="superscript"/>
              </w:rPr>
              <w:t>a</w:t>
            </w:r>
          </w:p>
        </w:tc>
        <w:tc>
          <w:tcPr>
            <w:tcW w:w="3260" w:type="dxa"/>
            <w:gridSpan w:val="3"/>
            <w:shd w:val="clear" w:color="auto" w:fill="FFFFFF"/>
            <w:vAlign w:val="bottom"/>
          </w:tcPr>
          <w:p w14:paraId="75EC931E" w14:textId="77777777"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Shapiro-Wilk</w:t>
            </w:r>
          </w:p>
        </w:tc>
      </w:tr>
      <w:tr w:rsidR="00D65FF6" w:rsidRPr="00D53E24" w14:paraId="3464A0EE" w14:textId="77777777" w:rsidTr="004B44B9">
        <w:trPr>
          <w:cantSplit/>
          <w:trHeight w:val="366"/>
        </w:trPr>
        <w:tc>
          <w:tcPr>
            <w:tcW w:w="1940" w:type="dxa"/>
            <w:vMerge/>
            <w:shd w:val="clear" w:color="auto" w:fill="FFFFFF"/>
            <w:vAlign w:val="bottom"/>
          </w:tcPr>
          <w:p w14:paraId="7469F253" w14:textId="77777777" w:rsidR="00D65FF6" w:rsidRPr="00D53E24" w:rsidRDefault="00D65FF6" w:rsidP="008D0DBB">
            <w:pPr>
              <w:autoSpaceDE w:val="0"/>
              <w:autoSpaceDN w:val="0"/>
              <w:adjustRightInd w:val="0"/>
              <w:spacing w:after="0" w:line="240" w:lineRule="auto"/>
              <w:rPr>
                <w:rFonts w:asciiTheme="majorBidi" w:hAnsiTheme="majorBidi" w:cstheme="majorBidi"/>
                <w:color w:val="000000"/>
                <w:sz w:val="20"/>
                <w:szCs w:val="20"/>
              </w:rPr>
            </w:pPr>
          </w:p>
        </w:tc>
        <w:tc>
          <w:tcPr>
            <w:tcW w:w="1037" w:type="dxa"/>
            <w:shd w:val="clear" w:color="auto" w:fill="FFFFFF"/>
            <w:vAlign w:val="bottom"/>
          </w:tcPr>
          <w:p w14:paraId="1F826213" w14:textId="77777777"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Statistic</w:t>
            </w:r>
          </w:p>
        </w:tc>
        <w:tc>
          <w:tcPr>
            <w:tcW w:w="992" w:type="dxa"/>
            <w:shd w:val="clear" w:color="auto" w:fill="FFFFFF"/>
            <w:vAlign w:val="bottom"/>
          </w:tcPr>
          <w:p w14:paraId="67F9398F" w14:textId="77777777"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df</w:t>
            </w:r>
          </w:p>
        </w:tc>
        <w:tc>
          <w:tcPr>
            <w:tcW w:w="1134" w:type="dxa"/>
            <w:shd w:val="clear" w:color="auto" w:fill="FFFFFF"/>
            <w:vAlign w:val="bottom"/>
          </w:tcPr>
          <w:p w14:paraId="5F2207CD" w14:textId="77777777"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Sig.</w:t>
            </w:r>
          </w:p>
        </w:tc>
        <w:tc>
          <w:tcPr>
            <w:tcW w:w="1276" w:type="dxa"/>
            <w:shd w:val="clear" w:color="auto" w:fill="FFFFFF"/>
            <w:vAlign w:val="bottom"/>
          </w:tcPr>
          <w:p w14:paraId="3792300B" w14:textId="77777777"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Statistic</w:t>
            </w:r>
          </w:p>
        </w:tc>
        <w:tc>
          <w:tcPr>
            <w:tcW w:w="1134" w:type="dxa"/>
            <w:shd w:val="clear" w:color="auto" w:fill="FFFFFF"/>
            <w:vAlign w:val="bottom"/>
          </w:tcPr>
          <w:p w14:paraId="7E49F766" w14:textId="77777777"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df</w:t>
            </w:r>
          </w:p>
        </w:tc>
        <w:tc>
          <w:tcPr>
            <w:tcW w:w="850" w:type="dxa"/>
            <w:shd w:val="clear" w:color="auto" w:fill="FFFFFF"/>
            <w:vAlign w:val="bottom"/>
          </w:tcPr>
          <w:p w14:paraId="76A50959" w14:textId="77777777" w:rsidR="00D65FF6" w:rsidRPr="00D53E24" w:rsidRDefault="00D65FF6" w:rsidP="008D0DBB">
            <w:pPr>
              <w:autoSpaceDE w:val="0"/>
              <w:autoSpaceDN w:val="0"/>
              <w:adjustRightInd w:val="0"/>
              <w:spacing w:after="0" w:line="320" w:lineRule="atLeast"/>
              <w:ind w:left="60" w:right="60"/>
              <w:jc w:val="center"/>
              <w:rPr>
                <w:rFonts w:asciiTheme="majorBidi" w:hAnsiTheme="majorBidi" w:cstheme="majorBidi"/>
                <w:color w:val="000000"/>
                <w:sz w:val="20"/>
                <w:szCs w:val="20"/>
              </w:rPr>
            </w:pPr>
            <w:r w:rsidRPr="00D53E24">
              <w:rPr>
                <w:rFonts w:asciiTheme="majorBidi" w:hAnsiTheme="majorBidi" w:cstheme="majorBidi"/>
                <w:color w:val="000000"/>
                <w:sz w:val="20"/>
                <w:szCs w:val="20"/>
              </w:rPr>
              <w:t>Sig.</w:t>
            </w:r>
          </w:p>
        </w:tc>
      </w:tr>
      <w:tr w:rsidR="00D65FF6" w:rsidRPr="00D53E24" w14:paraId="1D4AA387" w14:textId="77777777" w:rsidTr="004B44B9">
        <w:trPr>
          <w:cantSplit/>
          <w:trHeight w:val="326"/>
        </w:trPr>
        <w:tc>
          <w:tcPr>
            <w:tcW w:w="1940" w:type="dxa"/>
            <w:shd w:val="clear" w:color="auto" w:fill="FFFFFF"/>
          </w:tcPr>
          <w:p w14:paraId="137E9F35" w14:textId="77777777" w:rsidR="00D65FF6" w:rsidRPr="00D53E24" w:rsidRDefault="00D65FF6" w:rsidP="008D0DBB">
            <w:pPr>
              <w:autoSpaceDE w:val="0"/>
              <w:autoSpaceDN w:val="0"/>
              <w:adjustRightInd w:val="0"/>
              <w:spacing w:after="0" w:line="320" w:lineRule="atLeast"/>
              <w:ind w:left="60" w:right="60"/>
              <w:rPr>
                <w:rFonts w:asciiTheme="majorBidi" w:hAnsiTheme="majorBidi" w:cstheme="majorBidi"/>
                <w:color w:val="000000"/>
                <w:sz w:val="20"/>
                <w:szCs w:val="20"/>
              </w:rPr>
            </w:pPr>
            <w:r w:rsidRPr="00D53E24">
              <w:rPr>
                <w:rFonts w:asciiTheme="majorBidi" w:hAnsiTheme="majorBidi" w:cstheme="majorBidi"/>
                <w:color w:val="000000"/>
                <w:sz w:val="20"/>
                <w:szCs w:val="20"/>
              </w:rPr>
              <w:t>Ad likeability</w:t>
            </w:r>
          </w:p>
        </w:tc>
        <w:tc>
          <w:tcPr>
            <w:tcW w:w="1037" w:type="dxa"/>
            <w:shd w:val="clear" w:color="auto" w:fill="FFFFFF"/>
            <w:vAlign w:val="center"/>
          </w:tcPr>
          <w:p w14:paraId="7BAE786F"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.072</w:t>
            </w:r>
          </w:p>
        </w:tc>
        <w:tc>
          <w:tcPr>
            <w:tcW w:w="992" w:type="dxa"/>
            <w:shd w:val="clear" w:color="auto" w:fill="FFFFFF"/>
            <w:vAlign w:val="center"/>
          </w:tcPr>
          <w:p w14:paraId="6F4F45C3"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1134" w:type="dxa"/>
            <w:shd w:val="clear" w:color="auto" w:fill="FFFFFF"/>
            <w:vAlign w:val="center"/>
          </w:tcPr>
          <w:p w14:paraId="4F344B64"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c>
          <w:tcPr>
            <w:tcW w:w="1276" w:type="dxa"/>
            <w:shd w:val="clear" w:color="auto" w:fill="FFFFFF"/>
            <w:vAlign w:val="center"/>
          </w:tcPr>
          <w:p w14:paraId="243D176B"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.978</w:t>
            </w:r>
          </w:p>
        </w:tc>
        <w:tc>
          <w:tcPr>
            <w:tcW w:w="1134" w:type="dxa"/>
            <w:shd w:val="clear" w:color="auto" w:fill="FFFFFF"/>
            <w:vAlign w:val="center"/>
          </w:tcPr>
          <w:p w14:paraId="56B82069"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850" w:type="dxa"/>
            <w:shd w:val="clear" w:color="auto" w:fill="FFFFFF"/>
            <w:vAlign w:val="center"/>
          </w:tcPr>
          <w:p w14:paraId="70C0535A"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33D12ED2" w14:textId="77777777" w:rsidTr="004B44B9">
        <w:trPr>
          <w:cantSplit/>
          <w:trHeight w:val="326"/>
        </w:trPr>
        <w:tc>
          <w:tcPr>
            <w:tcW w:w="1940" w:type="dxa"/>
            <w:shd w:val="clear" w:color="auto" w:fill="FFFFFF"/>
          </w:tcPr>
          <w:p w14:paraId="53702106" w14:textId="77777777" w:rsidR="00D65FF6" w:rsidRPr="00D53E24" w:rsidRDefault="00D65FF6" w:rsidP="008D0DBB">
            <w:pPr>
              <w:autoSpaceDE w:val="0"/>
              <w:autoSpaceDN w:val="0"/>
              <w:adjustRightInd w:val="0"/>
              <w:spacing w:after="0" w:line="320" w:lineRule="atLeast"/>
              <w:ind w:left="60" w:right="60"/>
              <w:rPr>
                <w:rFonts w:asciiTheme="majorBidi" w:hAnsiTheme="majorBidi" w:cstheme="majorBidi"/>
                <w:color w:val="000000"/>
                <w:sz w:val="20"/>
                <w:szCs w:val="20"/>
              </w:rPr>
            </w:pPr>
            <w:r w:rsidRPr="00D53E24">
              <w:rPr>
                <w:rFonts w:asciiTheme="majorBidi" w:hAnsiTheme="majorBidi" w:cstheme="majorBidi"/>
                <w:color w:val="000000"/>
                <w:sz w:val="20"/>
                <w:szCs w:val="20"/>
              </w:rPr>
              <w:t>CSR perception</w:t>
            </w:r>
          </w:p>
        </w:tc>
        <w:tc>
          <w:tcPr>
            <w:tcW w:w="1037" w:type="dxa"/>
            <w:shd w:val="clear" w:color="auto" w:fill="FFFFFF"/>
            <w:vAlign w:val="center"/>
          </w:tcPr>
          <w:p w14:paraId="0FAFB8C0"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.079</w:t>
            </w:r>
          </w:p>
        </w:tc>
        <w:tc>
          <w:tcPr>
            <w:tcW w:w="992" w:type="dxa"/>
            <w:shd w:val="clear" w:color="auto" w:fill="FFFFFF"/>
            <w:vAlign w:val="center"/>
          </w:tcPr>
          <w:p w14:paraId="634F61DC"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1134" w:type="dxa"/>
            <w:shd w:val="clear" w:color="auto" w:fill="FFFFFF"/>
            <w:vAlign w:val="center"/>
          </w:tcPr>
          <w:p w14:paraId="776A1307"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c>
          <w:tcPr>
            <w:tcW w:w="1276" w:type="dxa"/>
            <w:shd w:val="clear" w:color="auto" w:fill="FFFFFF"/>
            <w:vAlign w:val="center"/>
          </w:tcPr>
          <w:p w14:paraId="3B68F924"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.970</w:t>
            </w:r>
          </w:p>
        </w:tc>
        <w:tc>
          <w:tcPr>
            <w:tcW w:w="1134" w:type="dxa"/>
            <w:shd w:val="clear" w:color="auto" w:fill="FFFFFF"/>
            <w:vAlign w:val="center"/>
          </w:tcPr>
          <w:p w14:paraId="452AAED2"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850" w:type="dxa"/>
            <w:shd w:val="clear" w:color="auto" w:fill="FFFFFF"/>
            <w:vAlign w:val="center"/>
          </w:tcPr>
          <w:p w14:paraId="118198D7"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7D26ED5B" w14:textId="77777777" w:rsidTr="004B44B9">
        <w:trPr>
          <w:cantSplit/>
          <w:trHeight w:val="326"/>
        </w:trPr>
        <w:tc>
          <w:tcPr>
            <w:tcW w:w="1940" w:type="dxa"/>
            <w:shd w:val="clear" w:color="auto" w:fill="FFFFFF"/>
          </w:tcPr>
          <w:p w14:paraId="7AFE0966" w14:textId="77777777" w:rsidR="00D65FF6" w:rsidRPr="00D53E24" w:rsidRDefault="00D65FF6" w:rsidP="008D0DBB">
            <w:pPr>
              <w:autoSpaceDE w:val="0"/>
              <w:autoSpaceDN w:val="0"/>
              <w:adjustRightInd w:val="0"/>
              <w:spacing w:after="0" w:line="320" w:lineRule="atLeast"/>
              <w:ind w:left="60" w:right="60"/>
              <w:rPr>
                <w:rFonts w:asciiTheme="majorBidi" w:hAnsiTheme="majorBidi" w:cstheme="majorBidi"/>
                <w:color w:val="000000"/>
                <w:sz w:val="20"/>
                <w:szCs w:val="20"/>
              </w:rPr>
            </w:pPr>
            <w:r w:rsidRPr="00D53E24">
              <w:rPr>
                <w:rFonts w:asciiTheme="majorBidi" w:hAnsiTheme="majorBidi" w:cstheme="majorBidi"/>
                <w:color w:val="000000"/>
                <w:sz w:val="20"/>
                <w:szCs w:val="20"/>
              </w:rPr>
              <w:t>Brand functionality</w:t>
            </w:r>
          </w:p>
        </w:tc>
        <w:tc>
          <w:tcPr>
            <w:tcW w:w="1037" w:type="dxa"/>
            <w:shd w:val="clear" w:color="auto" w:fill="FFFFFF"/>
            <w:vAlign w:val="center"/>
          </w:tcPr>
          <w:p w14:paraId="7EBB8975"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.108</w:t>
            </w:r>
          </w:p>
        </w:tc>
        <w:tc>
          <w:tcPr>
            <w:tcW w:w="992" w:type="dxa"/>
            <w:shd w:val="clear" w:color="auto" w:fill="FFFFFF"/>
            <w:vAlign w:val="center"/>
          </w:tcPr>
          <w:p w14:paraId="7B9553FF"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1134" w:type="dxa"/>
            <w:shd w:val="clear" w:color="auto" w:fill="FFFFFF"/>
            <w:vAlign w:val="center"/>
          </w:tcPr>
          <w:p w14:paraId="2AC45FA4"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c>
          <w:tcPr>
            <w:tcW w:w="1276" w:type="dxa"/>
            <w:shd w:val="clear" w:color="auto" w:fill="FFFFFF"/>
            <w:vAlign w:val="center"/>
          </w:tcPr>
          <w:p w14:paraId="4A95CFC0"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.948</w:t>
            </w:r>
          </w:p>
        </w:tc>
        <w:tc>
          <w:tcPr>
            <w:tcW w:w="1134" w:type="dxa"/>
            <w:shd w:val="clear" w:color="auto" w:fill="FFFFFF"/>
            <w:vAlign w:val="center"/>
          </w:tcPr>
          <w:p w14:paraId="704FC2ED"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850" w:type="dxa"/>
            <w:shd w:val="clear" w:color="auto" w:fill="FFFFFF"/>
            <w:vAlign w:val="center"/>
          </w:tcPr>
          <w:p w14:paraId="3EF5F78F"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445F3B49" w14:textId="77777777" w:rsidTr="004B44B9">
        <w:trPr>
          <w:cantSplit/>
          <w:trHeight w:val="326"/>
        </w:trPr>
        <w:tc>
          <w:tcPr>
            <w:tcW w:w="1940" w:type="dxa"/>
            <w:shd w:val="clear" w:color="auto" w:fill="FFFFFF"/>
          </w:tcPr>
          <w:p w14:paraId="596CB60A" w14:textId="77777777" w:rsidR="00D65FF6" w:rsidRPr="00D53E24" w:rsidRDefault="00D65FF6" w:rsidP="008D0DBB">
            <w:pPr>
              <w:autoSpaceDE w:val="0"/>
              <w:autoSpaceDN w:val="0"/>
              <w:adjustRightInd w:val="0"/>
              <w:spacing w:after="0" w:line="320" w:lineRule="atLeast"/>
              <w:ind w:left="60" w:right="60"/>
              <w:rPr>
                <w:rFonts w:asciiTheme="majorBidi" w:hAnsiTheme="majorBidi" w:cstheme="majorBidi"/>
                <w:color w:val="000000"/>
                <w:sz w:val="20"/>
                <w:szCs w:val="20"/>
              </w:rPr>
            </w:pPr>
            <w:r w:rsidRPr="00D53E24">
              <w:rPr>
                <w:rFonts w:asciiTheme="majorBidi" w:hAnsiTheme="majorBidi" w:cstheme="majorBidi"/>
                <w:color w:val="000000"/>
                <w:sz w:val="20"/>
                <w:szCs w:val="20"/>
              </w:rPr>
              <w:t>Brand likeability</w:t>
            </w:r>
          </w:p>
        </w:tc>
        <w:tc>
          <w:tcPr>
            <w:tcW w:w="1037" w:type="dxa"/>
            <w:shd w:val="clear" w:color="auto" w:fill="FFFFFF"/>
            <w:vAlign w:val="center"/>
          </w:tcPr>
          <w:p w14:paraId="3A9092BF"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.042</w:t>
            </w:r>
          </w:p>
        </w:tc>
        <w:tc>
          <w:tcPr>
            <w:tcW w:w="992" w:type="dxa"/>
            <w:shd w:val="clear" w:color="auto" w:fill="FFFFFF"/>
            <w:vAlign w:val="center"/>
          </w:tcPr>
          <w:p w14:paraId="575A7F8E"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1134" w:type="dxa"/>
            <w:shd w:val="clear" w:color="auto" w:fill="FFFFFF"/>
            <w:vAlign w:val="center"/>
          </w:tcPr>
          <w:p w14:paraId="45DC4014"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.044</w:t>
            </w:r>
          </w:p>
        </w:tc>
        <w:tc>
          <w:tcPr>
            <w:tcW w:w="1276" w:type="dxa"/>
            <w:shd w:val="clear" w:color="auto" w:fill="FFFFFF"/>
            <w:vAlign w:val="center"/>
          </w:tcPr>
          <w:p w14:paraId="2D9322C6"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.991</w:t>
            </w:r>
          </w:p>
        </w:tc>
        <w:tc>
          <w:tcPr>
            <w:tcW w:w="1134" w:type="dxa"/>
            <w:shd w:val="clear" w:color="auto" w:fill="FFFFFF"/>
            <w:vAlign w:val="center"/>
          </w:tcPr>
          <w:p w14:paraId="00A9C1CD"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850" w:type="dxa"/>
            <w:shd w:val="clear" w:color="auto" w:fill="FFFFFF"/>
            <w:vAlign w:val="center"/>
          </w:tcPr>
          <w:p w14:paraId="0B7C8DF9"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.004</w:t>
            </w:r>
          </w:p>
        </w:tc>
      </w:tr>
      <w:tr w:rsidR="00D65FF6" w:rsidRPr="00D53E24" w14:paraId="5C71A62B" w14:textId="77777777" w:rsidTr="004B44B9">
        <w:trPr>
          <w:cantSplit/>
          <w:trHeight w:val="326"/>
        </w:trPr>
        <w:tc>
          <w:tcPr>
            <w:tcW w:w="1940" w:type="dxa"/>
            <w:shd w:val="clear" w:color="auto" w:fill="FFFFFF"/>
          </w:tcPr>
          <w:p w14:paraId="14723CD8" w14:textId="77777777" w:rsidR="00D65FF6" w:rsidRPr="00D53E24" w:rsidRDefault="00D65FF6" w:rsidP="008D0DBB">
            <w:pPr>
              <w:autoSpaceDE w:val="0"/>
              <w:autoSpaceDN w:val="0"/>
              <w:adjustRightInd w:val="0"/>
              <w:spacing w:after="0" w:line="320" w:lineRule="atLeast"/>
              <w:ind w:left="60" w:right="60"/>
              <w:rPr>
                <w:rFonts w:asciiTheme="majorBidi" w:hAnsiTheme="majorBidi" w:cstheme="majorBidi"/>
                <w:color w:val="000000"/>
                <w:sz w:val="20"/>
                <w:szCs w:val="20"/>
              </w:rPr>
            </w:pPr>
            <w:r w:rsidRPr="00D53E24">
              <w:rPr>
                <w:rFonts w:asciiTheme="majorBidi" w:hAnsiTheme="majorBidi" w:cstheme="majorBidi"/>
                <w:color w:val="000000"/>
                <w:sz w:val="20"/>
                <w:szCs w:val="20"/>
              </w:rPr>
              <w:t>Emotional brand</w:t>
            </w:r>
          </w:p>
        </w:tc>
        <w:tc>
          <w:tcPr>
            <w:tcW w:w="1037" w:type="dxa"/>
            <w:shd w:val="clear" w:color="auto" w:fill="FFFFFF"/>
            <w:vAlign w:val="center"/>
          </w:tcPr>
          <w:p w14:paraId="7D94FA0A"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.084</w:t>
            </w:r>
          </w:p>
        </w:tc>
        <w:tc>
          <w:tcPr>
            <w:tcW w:w="992" w:type="dxa"/>
            <w:shd w:val="clear" w:color="auto" w:fill="FFFFFF"/>
            <w:vAlign w:val="center"/>
          </w:tcPr>
          <w:p w14:paraId="57494E16"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1134" w:type="dxa"/>
            <w:shd w:val="clear" w:color="auto" w:fill="FFFFFF"/>
            <w:vAlign w:val="center"/>
          </w:tcPr>
          <w:p w14:paraId="324596F5"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c>
          <w:tcPr>
            <w:tcW w:w="1276" w:type="dxa"/>
            <w:shd w:val="clear" w:color="auto" w:fill="FFFFFF"/>
            <w:vAlign w:val="center"/>
          </w:tcPr>
          <w:p w14:paraId="32BCFD3C"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.980</w:t>
            </w:r>
          </w:p>
        </w:tc>
        <w:tc>
          <w:tcPr>
            <w:tcW w:w="1134" w:type="dxa"/>
            <w:shd w:val="clear" w:color="auto" w:fill="FFFFFF"/>
            <w:vAlign w:val="center"/>
          </w:tcPr>
          <w:p w14:paraId="174BC489"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850" w:type="dxa"/>
            <w:shd w:val="clear" w:color="auto" w:fill="FFFFFF"/>
            <w:vAlign w:val="center"/>
          </w:tcPr>
          <w:p w14:paraId="50BF7829"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2EC61B03" w14:textId="77777777" w:rsidTr="004B44B9">
        <w:trPr>
          <w:cantSplit/>
          <w:trHeight w:val="326"/>
        </w:trPr>
        <w:tc>
          <w:tcPr>
            <w:tcW w:w="1940" w:type="dxa"/>
            <w:shd w:val="clear" w:color="auto" w:fill="FFFFFF"/>
          </w:tcPr>
          <w:p w14:paraId="0F00A155" w14:textId="77777777" w:rsidR="00D65FF6" w:rsidRPr="00D53E24" w:rsidRDefault="00D65FF6" w:rsidP="008D0DBB">
            <w:pPr>
              <w:autoSpaceDE w:val="0"/>
              <w:autoSpaceDN w:val="0"/>
              <w:adjustRightInd w:val="0"/>
              <w:spacing w:after="0" w:line="320" w:lineRule="atLeast"/>
              <w:ind w:left="60" w:right="60"/>
              <w:rPr>
                <w:rFonts w:asciiTheme="majorBidi" w:hAnsiTheme="majorBidi" w:cstheme="majorBidi"/>
                <w:color w:val="000000"/>
                <w:sz w:val="20"/>
                <w:szCs w:val="20"/>
              </w:rPr>
            </w:pPr>
            <w:r w:rsidRPr="00D53E24">
              <w:rPr>
                <w:rFonts w:asciiTheme="majorBidi" w:hAnsiTheme="majorBidi" w:cstheme="majorBidi"/>
                <w:color w:val="000000"/>
                <w:sz w:val="20"/>
                <w:szCs w:val="20"/>
              </w:rPr>
              <w:t>Brand trust</w:t>
            </w:r>
          </w:p>
        </w:tc>
        <w:tc>
          <w:tcPr>
            <w:tcW w:w="1037" w:type="dxa"/>
            <w:shd w:val="clear" w:color="auto" w:fill="FFFFFF"/>
            <w:vAlign w:val="center"/>
          </w:tcPr>
          <w:p w14:paraId="2639E7F6"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.127</w:t>
            </w:r>
          </w:p>
        </w:tc>
        <w:tc>
          <w:tcPr>
            <w:tcW w:w="992" w:type="dxa"/>
            <w:shd w:val="clear" w:color="auto" w:fill="FFFFFF"/>
            <w:vAlign w:val="center"/>
          </w:tcPr>
          <w:p w14:paraId="1684970B"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1134" w:type="dxa"/>
            <w:shd w:val="clear" w:color="auto" w:fill="FFFFFF"/>
            <w:vAlign w:val="center"/>
          </w:tcPr>
          <w:p w14:paraId="77A35031"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c>
          <w:tcPr>
            <w:tcW w:w="1276" w:type="dxa"/>
            <w:shd w:val="clear" w:color="auto" w:fill="FFFFFF"/>
            <w:vAlign w:val="center"/>
          </w:tcPr>
          <w:p w14:paraId="4F4867C7"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.930</w:t>
            </w:r>
          </w:p>
        </w:tc>
        <w:tc>
          <w:tcPr>
            <w:tcW w:w="1134" w:type="dxa"/>
            <w:shd w:val="clear" w:color="auto" w:fill="FFFFFF"/>
            <w:vAlign w:val="center"/>
          </w:tcPr>
          <w:p w14:paraId="27C2206D"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850" w:type="dxa"/>
            <w:shd w:val="clear" w:color="auto" w:fill="FFFFFF"/>
            <w:vAlign w:val="center"/>
          </w:tcPr>
          <w:p w14:paraId="5D62B4FC"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1ED782A2" w14:textId="77777777" w:rsidTr="004B44B9">
        <w:trPr>
          <w:cantSplit/>
          <w:trHeight w:val="326"/>
        </w:trPr>
        <w:tc>
          <w:tcPr>
            <w:tcW w:w="1940" w:type="dxa"/>
            <w:shd w:val="clear" w:color="auto" w:fill="FFFFFF"/>
          </w:tcPr>
          <w:p w14:paraId="01071869" w14:textId="77777777" w:rsidR="00D65FF6" w:rsidRPr="00D53E24" w:rsidRDefault="00D65FF6" w:rsidP="008D0DBB">
            <w:pPr>
              <w:autoSpaceDE w:val="0"/>
              <w:autoSpaceDN w:val="0"/>
              <w:adjustRightInd w:val="0"/>
              <w:spacing w:after="0" w:line="320" w:lineRule="atLeast"/>
              <w:ind w:left="60" w:right="60"/>
              <w:rPr>
                <w:rFonts w:asciiTheme="majorBidi" w:hAnsiTheme="majorBidi" w:cstheme="majorBidi"/>
                <w:color w:val="000000"/>
                <w:sz w:val="20"/>
                <w:szCs w:val="20"/>
              </w:rPr>
            </w:pPr>
            <w:r w:rsidRPr="00D53E24">
              <w:rPr>
                <w:rFonts w:asciiTheme="majorBidi" w:hAnsiTheme="majorBidi" w:cstheme="majorBidi"/>
                <w:color w:val="000000"/>
                <w:sz w:val="20"/>
                <w:szCs w:val="20"/>
              </w:rPr>
              <w:t xml:space="preserve">Intention </w:t>
            </w:r>
          </w:p>
        </w:tc>
        <w:tc>
          <w:tcPr>
            <w:tcW w:w="1037" w:type="dxa"/>
            <w:shd w:val="clear" w:color="auto" w:fill="FFFFFF"/>
            <w:vAlign w:val="center"/>
          </w:tcPr>
          <w:p w14:paraId="08403137"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.169</w:t>
            </w:r>
          </w:p>
        </w:tc>
        <w:tc>
          <w:tcPr>
            <w:tcW w:w="992" w:type="dxa"/>
            <w:shd w:val="clear" w:color="auto" w:fill="FFFFFF"/>
            <w:vAlign w:val="center"/>
          </w:tcPr>
          <w:p w14:paraId="21ACBFE2"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1134" w:type="dxa"/>
            <w:shd w:val="clear" w:color="auto" w:fill="FFFFFF"/>
            <w:vAlign w:val="center"/>
          </w:tcPr>
          <w:p w14:paraId="7B4A0937"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c>
          <w:tcPr>
            <w:tcW w:w="1276" w:type="dxa"/>
            <w:shd w:val="clear" w:color="auto" w:fill="FFFFFF"/>
            <w:vAlign w:val="center"/>
          </w:tcPr>
          <w:p w14:paraId="62508FCE"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.911</w:t>
            </w:r>
          </w:p>
        </w:tc>
        <w:tc>
          <w:tcPr>
            <w:tcW w:w="1134" w:type="dxa"/>
            <w:shd w:val="clear" w:color="auto" w:fill="FFFFFF"/>
            <w:vAlign w:val="center"/>
          </w:tcPr>
          <w:p w14:paraId="47A9CDFE"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474</w:t>
            </w:r>
          </w:p>
        </w:tc>
        <w:tc>
          <w:tcPr>
            <w:tcW w:w="850" w:type="dxa"/>
            <w:shd w:val="clear" w:color="auto" w:fill="FFFFFF"/>
            <w:vAlign w:val="center"/>
          </w:tcPr>
          <w:p w14:paraId="58506249" w14:textId="77777777" w:rsidR="00D65FF6" w:rsidRPr="00D53E24" w:rsidRDefault="00D65FF6" w:rsidP="008D0DBB">
            <w:pPr>
              <w:autoSpaceDE w:val="0"/>
              <w:autoSpaceDN w:val="0"/>
              <w:adjustRightInd w:val="0"/>
              <w:spacing w:after="0" w:line="320" w:lineRule="atLeast"/>
              <w:ind w:left="60" w:right="60"/>
              <w:jc w:val="right"/>
              <w:rPr>
                <w:rFonts w:asciiTheme="majorBidi"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45CD60F0" w14:textId="77777777" w:rsidTr="004B44B9">
        <w:trPr>
          <w:cantSplit/>
          <w:trHeight w:val="326"/>
        </w:trPr>
        <w:tc>
          <w:tcPr>
            <w:tcW w:w="8363" w:type="dxa"/>
            <w:gridSpan w:val="7"/>
            <w:shd w:val="clear" w:color="auto" w:fill="FFFFFF"/>
          </w:tcPr>
          <w:p w14:paraId="4CBB3AD8" w14:textId="77777777" w:rsidR="00D65FF6" w:rsidRPr="00D53E24" w:rsidRDefault="00D65FF6" w:rsidP="00250620">
            <w:pPr>
              <w:keepNext/>
              <w:autoSpaceDE w:val="0"/>
              <w:autoSpaceDN w:val="0"/>
              <w:adjustRightInd w:val="0"/>
              <w:spacing w:after="0" w:line="320" w:lineRule="atLeast"/>
              <w:ind w:left="60" w:right="60"/>
              <w:rPr>
                <w:rFonts w:asciiTheme="majorBidi" w:hAnsiTheme="majorBidi" w:cstheme="majorBidi"/>
                <w:color w:val="000000"/>
                <w:sz w:val="20"/>
                <w:szCs w:val="20"/>
              </w:rPr>
            </w:pPr>
            <w:r w:rsidRPr="00D53E24">
              <w:rPr>
                <w:rFonts w:asciiTheme="majorBidi" w:hAnsiTheme="majorBidi" w:cstheme="majorBidi"/>
                <w:color w:val="000000"/>
                <w:sz w:val="20"/>
                <w:szCs w:val="20"/>
              </w:rPr>
              <w:t>a. Lilliefors Significance Correction</w:t>
            </w:r>
          </w:p>
        </w:tc>
      </w:tr>
    </w:tbl>
    <w:p w14:paraId="730CA350" w14:textId="6E1E17AD" w:rsidR="00D65FF6" w:rsidRPr="008D75D3" w:rsidRDefault="00250620" w:rsidP="00250620">
      <w:pPr>
        <w:pStyle w:val="Caption"/>
        <w:rPr>
          <w:rFonts w:asciiTheme="majorBidi" w:hAnsiTheme="majorBidi" w:cstheme="majorBidi"/>
          <w:b/>
          <w:bCs/>
          <w:sz w:val="24"/>
          <w:szCs w:val="24"/>
        </w:rPr>
      </w:pPr>
      <w:r>
        <w:t xml:space="preserve">Table </w:t>
      </w:r>
      <w:r w:rsidR="00044DE9">
        <w:t>30</w:t>
      </w:r>
      <w:r>
        <w:t xml:space="preserve"> test of normality and value of significance of the variables </w:t>
      </w:r>
    </w:p>
    <w:p w14:paraId="46E222E2" w14:textId="0C3ABD1B" w:rsidR="00D65FF6" w:rsidRPr="00E95919" w:rsidRDefault="00D65FF6" w:rsidP="00D65FF6">
      <w:pPr>
        <w:spacing w:line="360" w:lineRule="auto"/>
        <w:contextualSpacing/>
        <w:rPr>
          <w:rFonts w:asciiTheme="majorBidi" w:hAnsiTheme="majorBidi" w:cstheme="majorBidi"/>
          <w:b/>
          <w:bCs/>
          <w:sz w:val="24"/>
          <w:szCs w:val="24"/>
        </w:rPr>
      </w:pPr>
      <w:r>
        <w:rPr>
          <w:rFonts w:asciiTheme="majorBidi" w:hAnsiTheme="majorBidi" w:cstheme="majorBidi"/>
          <w:b/>
          <w:bCs/>
          <w:sz w:val="24"/>
          <w:szCs w:val="24"/>
        </w:rPr>
        <w:t>6.1</w:t>
      </w:r>
      <w:r w:rsidR="00C0315E">
        <w:rPr>
          <w:rFonts w:asciiTheme="majorBidi" w:hAnsiTheme="majorBidi" w:cstheme="majorBidi"/>
          <w:b/>
          <w:bCs/>
          <w:sz w:val="24"/>
          <w:szCs w:val="24"/>
        </w:rPr>
        <w:t>0</w:t>
      </w:r>
      <w:r>
        <w:rPr>
          <w:rFonts w:asciiTheme="majorBidi" w:hAnsiTheme="majorBidi" w:cstheme="majorBidi"/>
          <w:b/>
          <w:bCs/>
          <w:sz w:val="24"/>
          <w:szCs w:val="24"/>
        </w:rPr>
        <w:t>.2</w:t>
      </w:r>
      <w:r w:rsidRPr="008D75D3">
        <w:rPr>
          <w:rFonts w:asciiTheme="majorBidi" w:hAnsiTheme="majorBidi" w:cstheme="majorBidi"/>
          <w:b/>
          <w:bCs/>
          <w:sz w:val="24"/>
          <w:szCs w:val="24"/>
        </w:rPr>
        <w:t xml:space="preserve"> Correlation Test</w:t>
      </w:r>
      <w:r>
        <w:rPr>
          <w:rFonts w:asciiTheme="majorBidi" w:hAnsiTheme="majorBidi" w:cstheme="majorBidi"/>
          <w:b/>
          <w:bCs/>
          <w:sz w:val="24"/>
          <w:szCs w:val="24"/>
        </w:rPr>
        <w:t xml:space="preserve"> </w:t>
      </w:r>
    </w:p>
    <w:p w14:paraId="6C610473" w14:textId="484554B7" w:rsidR="00D65FF6" w:rsidRDefault="00D65FF6" w:rsidP="00D65FF6">
      <w:pPr>
        <w:spacing w:after="0" w:line="480" w:lineRule="auto"/>
        <w:ind w:firstLine="360"/>
        <w:jc w:val="both"/>
        <w:rPr>
          <w:rFonts w:asciiTheme="majorBidi" w:hAnsiTheme="majorBidi" w:cstheme="majorBidi"/>
          <w:sz w:val="24"/>
          <w:szCs w:val="24"/>
          <w:lang w:bidi="ar-EG"/>
        </w:rPr>
      </w:pPr>
      <w:r>
        <w:rPr>
          <w:rFonts w:asciiTheme="majorBidi" w:hAnsiTheme="majorBidi" w:cstheme="majorBidi"/>
          <w:sz w:val="24"/>
          <w:szCs w:val="24"/>
          <w:lang w:bidi="ar-EG"/>
        </w:rPr>
        <w:t xml:space="preserve">The correlation is an important statistical analysis that </w:t>
      </w:r>
      <w:r w:rsidRPr="004B44B9">
        <w:rPr>
          <w:rFonts w:asciiTheme="majorBidi" w:hAnsiTheme="majorBidi" w:cstheme="majorBidi"/>
          <w:sz w:val="24"/>
          <w:szCs w:val="24"/>
          <w:lang w:bidi="ar-EG"/>
        </w:rPr>
        <w:t>summari</w:t>
      </w:r>
      <w:r w:rsidR="004B44B9" w:rsidRPr="004B44B9">
        <w:rPr>
          <w:rFonts w:asciiTheme="majorBidi" w:hAnsiTheme="majorBidi" w:cstheme="majorBidi"/>
          <w:sz w:val="24"/>
          <w:szCs w:val="24"/>
          <w:lang w:bidi="ar-EG"/>
        </w:rPr>
        <w:t>s</w:t>
      </w:r>
      <w:r w:rsidRPr="004B44B9">
        <w:rPr>
          <w:rFonts w:asciiTheme="majorBidi" w:hAnsiTheme="majorBidi" w:cstheme="majorBidi"/>
          <w:sz w:val="24"/>
          <w:szCs w:val="24"/>
          <w:lang w:bidi="ar-EG"/>
        </w:rPr>
        <w:t xml:space="preserve">es </w:t>
      </w:r>
      <w:r>
        <w:rPr>
          <w:rFonts w:asciiTheme="majorBidi" w:hAnsiTheme="majorBidi" w:cstheme="majorBidi"/>
          <w:sz w:val="24"/>
          <w:szCs w:val="24"/>
          <w:lang w:bidi="ar-EG"/>
        </w:rPr>
        <w:t>the relationship between variables</w:t>
      </w:r>
      <w:sdt>
        <w:sdtPr>
          <w:rPr>
            <w:rFonts w:asciiTheme="majorBidi" w:hAnsiTheme="majorBidi" w:cstheme="majorBidi"/>
            <w:sz w:val="24"/>
            <w:szCs w:val="24"/>
            <w:lang w:bidi="ar-EG"/>
          </w:rPr>
          <w:id w:val="-1956702779"/>
          <w:citation/>
        </w:sdtPr>
        <w:sdtContent>
          <w:r>
            <w:rPr>
              <w:rFonts w:asciiTheme="majorBidi" w:hAnsiTheme="majorBidi" w:cstheme="majorBidi"/>
              <w:sz w:val="24"/>
              <w:szCs w:val="24"/>
              <w:lang w:bidi="ar-EG"/>
            </w:rPr>
            <w:fldChar w:fldCharType="begin"/>
          </w:r>
          <w:r>
            <w:rPr>
              <w:rFonts w:asciiTheme="majorBidi" w:hAnsiTheme="majorBidi" w:cstheme="majorBidi"/>
              <w:sz w:val="24"/>
              <w:szCs w:val="24"/>
              <w:lang w:bidi="ar-EG"/>
            </w:rPr>
            <w:instrText xml:space="preserve"> CITATION Bha22 \l 2057 </w:instrText>
          </w:r>
          <w:r>
            <w:rPr>
              <w:rFonts w:asciiTheme="majorBidi" w:hAnsiTheme="majorBidi" w:cstheme="majorBidi"/>
              <w:sz w:val="24"/>
              <w:szCs w:val="24"/>
              <w:lang w:bidi="ar-EG"/>
            </w:rPr>
            <w:fldChar w:fldCharType="separate"/>
          </w:r>
          <w:r>
            <w:rPr>
              <w:rFonts w:asciiTheme="majorBidi" w:hAnsiTheme="majorBidi" w:cstheme="majorBidi"/>
              <w:noProof/>
              <w:sz w:val="24"/>
              <w:szCs w:val="24"/>
              <w:lang w:bidi="ar-EG"/>
            </w:rPr>
            <w:t xml:space="preserve"> </w:t>
          </w:r>
          <w:r w:rsidRPr="009F6991">
            <w:rPr>
              <w:rFonts w:asciiTheme="majorBidi" w:hAnsiTheme="majorBidi" w:cstheme="majorBidi"/>
              <w:noProof/>
              <w:sz w:val="24"/>
              <w:szCs w:val="24"/>
              <w:lang w:bidi="ar-EG"/>
            </w:rPr>
            <w:t>(Bhandari, 2022)</w:t>
          </w:r>
          <w:r>
            <w:rPr>
              <w:rFonts w:asciiTheme="majorBidi" w:hAnsiTheme="majorBidi" w:cstheme="majorBidi"/>
              <w:sz w:val="24"/>
              <w:szCs w:val="24"/>
              <w:lang w:bidi="ar-EG"/>
            </w:rPr>
            <w:fldChar w:fldCharType="end"/>
          </w:r>
        </w:sdtContent>
      </w:sdt>
      <w:r>
        <w:rPr>
          <w:rFonts w:asciiTheme="majorBidi" w:hAnsiTheme="majorBidi" w:cstheme="majorBidi"/>
          <w:sz w:val="24"/>
          <w:szCs w:val="24"/>
          <w:lang w:bidi="ar-EG"/>
        </w:rPr>
        <w:t>. There are few tests that are used in literature to test the correlation. For instance</w:t>
      </w:r>
      <w:r w:rsidRPr="008177D8">
        <w:rPr>
          <w:rFonts w:asciiTheme="majorBidi" w:hAnsiTheme="majorBidi" w:cstheme="majorBidi"/>
          <w:sz w:val="24"/>
          <w:szCs w:val="24"/>
          <w:lang w:bidi="ar-EG"/>
        </w:rPr>
        <w:t>, Kendall and Spearman’s</w:t>
      </w:r>
      <w:r>
        <w:rPr>
          <w:rFonts w:asciiTheme="majorBidi" w:hAnsiTheme="majorBidi" w:cstheme="majorBidi"/>
          <w:sz w:val="24"/>
          <w:szCs w:val="24"/>
          <w:lang w:bidi="ar-EG"/>
        </w:rPr>
        <w:t xml:space="preserve"> rank correlation are mainly used to assess associations when the data is ordered and ranked based on numerical quantities</w:t>
      </w:r>
      <w:sdt>
        <w:sdtPr>
          <w:rPr>
            <w:rFonts w:asciiTheme="majorBidi" w:hAnsiTheme="majorBidi" w:cstheme="majorBidi"/>
            <w:sz w:val="24"/>
            <w:szCs w:val="24"/>
            <w:lang w:bidi="ar-EG"/>
          </w:rPr>
          <w:id w:val="1225716211"/>
          <w:citation/>
        </w:sdtPr>
        <w:sdtContent>
          <w:r>
            <w:rPr>
              <w:rFonts w:asciiTheme="majorBidi" w:hAnsiTheme="majorBidi" w:cstheme="majorBidi"/>
              <w:sz w:val="24"/>
              <w:szCs w:val="24"/>
              <w:lang w:bidi="ar-EG"/>
            </w:rPr>
            <w:fldChar w:fldCharType="begin"/>
          </w:r>
          <w:r>
            <w:rPr>
              <w:rFonts w:asciiTheme="majorBidi" w:hAnsiTheme="majorBidi" w:cstheme="majorBidi"/>
              <w:sz w:val="24"/>
              <w:szCs w:val="24"/>
              <w:lang w:bidi="ar-EG"/>
            </w:rPr>
            <w:instrText xml:space="preserve"> CITATION Mag19 \l 2057 </w:instrText>
          </w:r>
          <w:r>
            <w:rPr>
              <w:rFonts w:asciiTheme="majorBidi" w:hAnsiTheme="majorBidi" w:cstheme="majorBidi"/>
              <w:sz w:val="24"/>
              <w:szCs w:val="24"/>
              <w:lang w:bidi="ar-EG"/>
            </w:rPr>
            <w:fldChar w:fldCharType="separate"/>
          </w:r>
          <w:r>
            <w:rPr>
              <w:rFonts w:asciiTheme="majorBidi" w:hAnsiTheme="majorBidi" w:cstheme="majorBidi"/>
              <w:noProof/>
              <w:sz w:val="24"/>
              <w:szCs w:val="24"/>
              <w:lang w:bidi="ar-EG"/>
            </w:rPr>
            <w:t xml:space="preserve"> </w:t>
          </w:r>
          <w:r w:rsidRPr="009F6991">
            <w:rPr>
              <w:rFonts w:asciiTheme="majorBidi" w:hAnsiTheme="majorBidi" w:cstheme="majorBidi"/>
              <w:noProof/>
              <w:sz w:val="24"/>
              <w:szCs w:val="24"/>
              <w:lang w:bidi="ar-EG"/>
            </w:rPr>
            <w:t>(Magiya, 2019)</w:t>
          </w:r>
          <w:r>
            <w:rPr>
              <w:rFonts w:asciiTheme="majorBidi" w:hAnsiTheme="majorBidi" w:cstheme="majorBidi"/>
              <w:sz w:val="24"/>
              <w:szCs w:val="24"/>
              <w:lang w:bidi="ar-EG"/>
            </w:rPr>
            <w:fldChar w:fldCharType="end"/>
          </w:r>
        </w:sdtContent>
      </w:sdt>
      <w:r>
        <w:rPr>
          <w:rFonts w:asciiTheme="majorBidi" w:hAnsiTheme="majorBidi" w:cstheme="majorBidi"/>
          <w:sz w:val="24"/>
          <w:szCs w:val="24"/>
          <w:lang w:bidi="ar-EG"/>
        </w:rPr>
        <w:t xml:space="preserve">. Yet, the most widely used correlation statistic </w:t>
      </w:r>
      <w:r w:rsidRPr="0099273E">
        <w:rPr>
          <w:rFonts w:asciiTheme="majorBidi" w:hAnsiTheme="majorBidi" w:cstheme="majorBidi"/>
          <w:sz w:val="24"/>
          <w:szCs w:val="24"/>
          <w:lang w:bidi="ar-EG"/>
        </w:rPr>
        <w:t>to assess how closely two linearly linked variables are related</w:t>
      </w:r>
      <w:r w:rsidR="00AA4F38">
        <w:rPr>
          <w:rFonts w:asciiTheme="majorBidi" w:hAnsiTheme="majorBidi" w:cstheme="majorBidi"/>
          <w:sz w:val="24"/>
          <w:szCs w:val="24"/>
          <w:lang w:bidi="ar-EG"/>
        </w:rPr>
        <w:t xml:space="preserve"> is the Pearson correlation coefficient</w:t>
      </w:r>
      <w:sdt>
        <w:sdtPr>
          <w:rPr>
            <w:rFonts w:asciiTheme="majorBidi" w:hAnsiTheme="majorBidi" w:cstheme="majorBidi"/>
            <w:sz w:val="24"/>
            <w:szCs w:val="24"/>
            <w:lang w:bidi="ar-EG"/>
          </w:rPr>
          <w:id w:val="1773282262"/>
          <w:citation/>
        </w:sdtPr>
        <w:sdtContent>
          <w:r>
            <w:rPr>
              <w:rFonts w:asciiTheme="majorBidi" w:hAnsiTheme="majorBidi" w:cstheme="majorBidi"/>
              <w:sz w:val="24"/>
              <w:szCs w:val="24"/>
              <w:lang w:bidi="ar-EG"/>
            </w:rPr>
            <w:fldChar w:fldCharType="begin"/>
          </w:r>
          <w:r>
            <w:rPr>
              <w:rFonts w:asciiTheme="majorBidi" w:hAnsiTheme="majorBidi" w:cstheme="majorBidi"/>
              <w:sz w:val="24"/>
              <w:szCs w:val="24"/>
              <w:lang w:bidi="ar-EG"/>
            </w:rPr>
            <w:instrText xml:space="preserve"> CITATION Mag19 \l 2057  \m Tur22</w:instrText>
          </w:r>
          <w:r>
            <w:rPr>
              <w:rFonts w:asciiTheme="majorBidi" w:hAnsiTheme="majorBidi" w:cstheme="majorBidi"/>
              <w:sz w:val="24"/>
              <w:szCs w:val="24"/>
              <w:lang w:bidi="ar-EG"/>
            </w:rPr>
            <w:fldChar w:fldCharType="separate"/>
          </w:r>
          <w:r>
            <w:rPr>
              <w:rFonts w:asciiTheme="majorBidi" w:hAnsiTheme="majorBidi" w:cstheme="majorBidi"/>
              <w:noProof/>
              <w:sz w:val="24"/>
              <w:szCs w:val="24"/>
              <w:lang w:bidi="ar-EG"/>
            </w:rPr>
            <w:t xml:space="preserve"> </w:t>
          </w:r>
          <w:r w:rsidRPr="009F6991">
            <w:rPr>
              <w:rFonts w:asciiTheme="majorBidi" w:hAnsiTheme="majorBidi" w:cstheme="majorBidi"/>
              <w:noProof/>
              <w:sz w:val="24"/>
              <w:szCs w:val="24"/>
              <w:lang w:bidi="ar-EG"/>
            </w:rPr>
            <w:t>(Magiya, 2019; Turney, 2022)</w:t>
          </w:r>
          <w:r>
            <w:rPr>
              <w:rFonts w:asciiTheme="majorBidi" w:hAnsiTheme="majorBidi" w:cstheme="majorBidi"/>
              <w:sz w:val="24"/>
              <w:szCs w:val="24"/>
              <w:lang w:bidi="ar-EG"/>
            </w:rPr>
            <w:fldChar w:fldCharType="end"/>
          </w:r>
        </w:sdtContent>
      </w:sdt>
      <w:r w:rsidRPr="0099273E">
        <w:rPr>
          <w:rFonts w:asciiTheme="majorBidi" w:hAnsiTheme="majorBidi" w:cstheme="majorBidi"/>
          <w:sz w:val="24"/>
          <w:szCs w:val="24"/>
          <w:lang w:bidi="ar-EG"/>
        </w:rPr>
        <w:t>.</w:t>
      </w:r>
      <w:r>
        <w:rPr>
          <w:rFonts w:asciiTheme="majorBidi" w:hAnsiTheme="majorBidi" w:cstheme="majorBidi"/>
          <w:sz w:val="24"/>
          <w:szCs w:val="24"/>
          <w:lang w:bidi="ar-EG"/>
        </w:rPr>
        <w:t xml:space="preserve"> Thus, to</w:t>
      </w:r>
      <w:r w:rsidRPr="00E95919">
        <w:rPr>
          <w:rFonts w:asciiTheme="majorBidi" w:hAnsiTheme="majorBidi" w:cstheme="majorBidi"/>
          <w:sz w:val="24"/>
          <w:szCs w:val="24"/>
          <w:lang w:bidi="ar-EG"/>
        </w:rPr>
        <w:t xml:space="preserve"> measure the strength of the linear relationship between the variables of the study, the </w:t>
      </w:r>
      <w:r w:rsidRPr="008177D8">
        <w:rPr>
          <w:rFonts w:asciiTheme="majorBidi" w:hAnsiTheme="majorBidi" w:cstheme="majorBidi"/>
          <w:sz w:val="24"/>
          <w:szCs w:val="24"/>
          <w:lang w:bidi="ar-EG"/>
        </w:rPr>
        <w:t>Pearson correlation</w:t>
      </w:r>
      <w:r w:rsidRPr="00E95919">
        <w:rPr>
          <w:rFonts w:asciiTheme="majorBidi" w:hAnsiTheme="majorBidi" w:cstheme="majorBidi"/>
          <w:sz w:val="24"/>
          <w:szCs w:val="24"/>
          <w:lang w:bidi="ar-EG"/>
        </w:rPr>
        <w:t xml:space="preserve"> coefficient was calculated</w:t>
      </w:r>
      <w:sdt>
        <w:sdtPr>
          <w:rPr>
            <w:rFonts w:asciiTheme="majorBidi" w:hAnsiTheme="majorBidi" w:cstheme="majorBidi"/>
            <w:sz w:val="24"/>
            <w:szCs w:val="24"/>
            <w:lang w:bidi="ar-EG"/>
          </w:rPr>
          <w:id w:val="-919872851"/>
          <w:citation/>
        </w:sdtPr>
        <w:sdtContent>
          <w:r w:rsidRPr="00E95919">
            <w:rPr>
              <w:rFonts w:asciiTheme="majorBidi" w:hAnsiTheme="majorBidi" w:cstheme="majorBidi"/>
              <w:sz w:val="24"/>
              <w:szCs w:val="24"/>
              <w:lang w:bidi="ar-EG"/>
            </w:rPr>
            <w:fldChar w:fldCharType="begin"/>
          </w:r>
          <w:r w:rsidR="003B7218">
            <w:rPr>
              <w:rFonts w:asciiTheme="majorBidi" w:hAnsiTheme="majorBidi" w:cstheme="majorBidi"/>
              <w:sz w:val="24"/>
              <w:szCs w:val="24"/>
              <w:lang w:bidi="ar-EG"/>
            </w:rPr>
            <w:instrText xml:space="preserve">CITATION Kot19 \l 2057 </w:instrText>
          </w:r>
          <w:r w:rsidRPr="00E95919">
            <w:rPr>
              <w:rFonts w:asciiTheme="majorBidi" w:hAnsiTheme="majorBidi" w:cstheme="majorBidi"/>
              <w:sz w:val="24"/>
              <w:szCs w:val="24"/>
              <w:lang w:bidi="ar-EG"/>
            </w:rPr>
            <w:fldChar w:fldCharType="separate"/>
          </w:r>
          <w:r w:rsidR="003B7218">
            <w:rPr>
              <w:rFonts w:asciiTheme="majorBidi" w:hAnsiTheme="majorBidi" w:cstheme="majorBidi"/>
              <w:noProof/>
              <w:sz w:val="24"/>
              <w:szCs w:val="24"/>
              <w:lang w:bidi="ar-EG"/>
            </w:rPr>
            <w:t xml:space="preserve"> </w:t>
          </w:r>
          <w:r w:rsidR="003B7218" w:rsidRPr="003B7218">
            <w:rPr>
              <w:rFonts w:asciiTheme="majorBidi" w:hAnsiTheme="majorBidi" w:cstheme="majorBidi"/>
              <w:noProof/>
              <w:sz w:val="24"/>
              <w:szCs w:val="24"/>
              <w:lang w:bidi="ar-EG"/>
            </w:rPr>
            <w:t>(Kotu &amp; Deshpande, 2019)</w:t>
          </w:r>
          <w:r w:rsidRPr="00E95919">
            <w:rPr>
              <w:rFonts w:asciiTheme="majorBidi" w:hAnsiTheme="majorBidi" w:cstheme="majorBidi"/>
              <w:sz w:val="24"/>
              <w:szCs w:val="24"/>
              <w:lang w:bidi="ar-EG"/>
            </w:rPr>
            <w:fldChar w:fldCharType="end"/>
          </w:r>
        </w:sdtContent>
      </w:sdt>
      <w:r>
        <w:rPr>
          <w:rFonts w:asciiTheme="majorBidi" w:hAnsiTheme="majorBidi" w:cstheme="majorBidi"/>
          <w:sz w:val="24"/>
          <w:szCs w:val="24"/>
          <w:lang w:bidi="ar-EG"/>
        </w:rPr>
        <w:t xml:space="preserve"> in which the correlation </w:t>
      </w:r>
      <w:r w:rsidR="00AA4F38">
        <w:rPr>
          <w:rFonts w:asciiTheme="majorBidi" w:hAnsiTheme="majorBidi" w:cstheme="majorBidi"/>
          <w:sz w:val="24"/>
          <w:szCs w:val="24"/>
          <w:lang w:bidi="ar-EG"/>
        </w:rPr>
        <w:t>is</w:t>
      </w:r>
      <w:r>
        <w:rPr>
          <w:rFonts w:asciiTheme="majorBidi" w:hAnsiTheme="majorBidi" w:cstheme="majorBidi"/>
          <w:sz w:val="24"/>
          <w:szCs w:val="24"/>
          <w:lang w:bidi="ar-EG"/>
        </w:rPr>
        <w:t xml:space="preserve"> considered significant at </w:t>
      </w:r>
      <w:r w:rsidRPr="00044DE9">
        <w:rPr>
          <w:rFonts w:asciiTheme="majorBidi" w:hAnsiTheme="majorBidi" w:cstheme="majorBidi"/>
          <w:sz w:val="24"/>
          <w:szCs w:val="24"/>
          <w:lang w:bidi="ar-EG"/>
        </w:rPr>
        <w:t>0.01</w:t>
      </w:r>
      <w:sdt>
        <w:sdtPr>
          <w:rPr>
            <w:rFonts w:asciiTheme="majorBidi" w:hAnsiTheme="majorBidi" w:cstheme="majorBidi"/>
            <w:sz w:val="24"/>
            <w:szCs w:val="24"/>
            <w:lang w:bidi="ar-EG"/>
          </w:rPr>
          <w:id w:val="2085563876"/>
          <w:citation/>
        </w:sdtPr>
        <w:sdtContent>
          <w:r>
            <w:rPr>
              <w:rFonts w:asciiTheme="majorBidi" w:hAnsiTheme="majorBidi" w:cstheme="majorBidi"/>
              <w:sz w:val="24"/>
              <w:szCs w:val="24"/>
              <w:lang w:bidi="ar-EG"/>
            </w:rPr>
            <w:fldChar w:fldCharType="begin"/>
          </w:r>
          <w:r>
            <w:rPr>
              <w:rFonts w:asciiTheme="majorBidi" w:hAnsiTheme="majorBidi" w:cstheme="majorBidi"/>
              <w:sz w:val="24"/>
              <w:szCs w:val="24"/>
              <w:lang w:bidi="ar-EG"/>
            </w:rPr>
            <w:instrText xml:space="preserve"> CITATION Upa211 \l 2057 </w:instrText>
          </w:r>
          <w:r>
            <w:rPr>
              <w:rFonts w:asciiTheme="majorBidi" w:hAnsiTheme="majorBidi" w:cstheme="majorBidi"/>
              <w:sz w:val="24"/>
              <w:szCs w:val="24"/>
              <w:lang w:bidi="ar-EG"/>
            </w:rPr>
            <w:fldChar w:fldCharType="separate"/>
          </w:r>
          <w:r>
            <w:rPr>
              <w:rFonts w:asciiTheme="majorBidi" w:hAnsiTheme="majorBidi" w:cstheme="majorBidi"/>
              <w:noProof/>
              <w:sz w:val="24"/>
              <w:szCs w:val="24"/>
              <w:lang w:bidi="ar-EG"/>
            </w:rPr>
            <w:t xml:space="preserve"> </w:t>
          </w:r>
          <w:r w:rsidRPr="009F6991">
            <w:rPr>
              <w:rFonts w:asciiTheme="majorBidi" w:hAnsiTheme="majorBidi" w:cstheme="majorBidi"/>
              <w:noProof/>
              <w:sz w:val="24"/>
              <w:szCs w:val="24"/>
              <w:lang w:bidi="ar-EG"/>
            </w:rPr>
            <w:t>(Upadhyay &amp; Shukla, 2021)</w:t>
          </w:r>
          <w:r>
            <w:rPr>
              <w:rFonts w:asciiTheme="majorBidi" w:hAnsiTheme="majorBidi" w:cstheme="majorBidi"/>
              <w:sz w:val="24"/>
              <w:szCs w:val="24"/>
              <w:lang w:bidi="ar-EG"/>
            </w:rPr>
            <w:fldChar w:fldCharType="end"/>
          </w:r>
        </w:sdtContent>
      </w:sdt>
      <w:r w:rsidRPr="00E95919">
        <w:rPr>
          <w:rFonts w:asciiTheme="majorBidi" w:hAnsiTheme="majorBidi" w:cstheme="majorBidi"/>
          <w:sz w:val="24"/>
          <w:szCs w:val="24"/>
          <w:lang w:bidi="ar-EG"/>
        </w:rPr>
        <w:t>.</w:t>
      </w:r>
      <w:r>
        <w:rPr>
          <w:rFonts w:asciiTheme="majorBidi" w:hAnsiTheme="majorBidi" w:cstheme="majorBidi"/>
          <w:sz w:val="24"/>
          <w:szCs w:val="24"/>
          <w:lang w:bidi="ar-EG"/>
        </w:rPr>
        <w:t xml:space="preserve"> </w:t>
      </w:r>
      <w:r w:rsidRPr="008D75D3">
        <w:rPr>
          <w:rFonts w:asciiTheme="majorBidi" w:hAnsiTheme="majorBidi" w:cstheme="majorBidi"/>
          <w:sz w:val="24"/>
          <w:szCs w:val="24"/>
          <w:lang w:bidi="ar-EG"/>
        </w:rPr>
        <w:t>The following table illustrates th</w:t>
      </w:r>
      <w:r>
        <w:rPr>
          <w:rFonts w:asciiTheme="majorBidi" w:hAnsiTheme="majorBidi" w:cstheme="majorBidi"/>
          <w:sz w:val="24"/>
          <w:szCs w:val="24"/>
          <w:lang w:bidi="ar-EG"/>
        </w:rPr>
        <w:t>e</w:t>
      </w:r>
      <w:r w:rsidRPr="008D75D3">
        <w:rPr>
          <w:rFonts w:asciiTheme="majorBidi" w:hAnsiTheme="majorBidi" w:cstheme="majorBidi"/>
          <w:sz w:val="24"/>
          <w:szCs w:val="24"/>
          <w:lang w:bidi="ar-EG"/>
        </w:rPr>
        <w:t xml:space="preserve"> Pearson’s correlation coefficient (indicators are</w:t>
      </w:r>
      <w:r>
        <w:rPr>
          <w:rFonts w:asciiTheme="majorBidi" w:hAnsiTheme="majorBidi" w:cstheme="majorBidi"/>
          <w:sz w:val="24"/>
          <w:szCs w:val="24"/>
          <w:lang w:bidi="ar-EG"/>
        </w:rPr>
        <w:t xml:space="preserve"> presented in</w:t>
      </w:r>
      <w:r w:rsidRPr="008D75D3">
        <w:rPr>
          <w:rFonts w:asciiTheme="majorBidi" w:hAnsiTheme="majorBidi" w:cstheme="majorBidi"/>
          <w:sz w:val="24"/>
          <w:szCs w:val="24"/>
          <w:lang w:bidi="ar-EG"/>
        </w:rPr>
        <w:t xml:space="preserve"> numerical variables) test results</w:t>
      </w:r>
      <w:r>
        <w:rPr>
          <w:rFonts w:asciiTheme="majorBidi" w:hAnsiTheme="majorBidi" w:cstheme="majorBidi"/>
          <w:sz w:val="24"/>
          <w:szCs w:val="24"/>
          <w:lang w:bidi="ar-EG"/>
        </w:rPr>
        <w:t xml:space="preserve">. Accordingly, I concluded the below:  </w:t>
      </w:r>
    </w:p>
    <w:p w14:paraId="60F4B380" w14:textId="77777777" w:rsidR="00D65FF6" w:rsidRPr="00E95919" w:rsidRDefault="00D65FF6">
      <w:pPr>
        <w:pStyle w:val="ListParagraph"/>
        <w:numPr>
          <w:ilvl w:val="0"/>
          <w:numId w:val="8"/>
        </w:numPr>
        <w:spacing w:after="0" w:line="480" w:lineRule="auto"/>
        <w:jc w:val="both"/>
        <w:rPr>
          <w:rFonts w:asciiTheme="majorBidi" w:hAnsiTheme="majorBidi" w:cstheme="majorBidi"/>
          <w:sz w:val="24"/>
          <w:szCs w:val="24"/>
          <w:lang w:bidi="ar-EG"/>
        </w:rPr>
      </w:pPr>
      <w:r w:rsidRPr="00E95919">
        <w:rPr>
          <w:rFonts w:asciiTheme="majorBidi" w:hAnsiTheme="majorBidi" w:cstheme="majorBidi"/>
          <w:sz w:val="24"/>
          <w:szCs w:val="24"/>
          <w:lang w:bidi="ar-EG"/>
        </w:rPr>
        <w:t xml:space="preserve">There is </w:t>
      </w:r>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E95919">
        <w:rPr>
          <w:rFonts w:asciiTheme="majorBidi" w:hAnsiTheme="majorBidi" w:cstheme="majorBidi"/>
          <w:sz w:val="24"/>
          <w:szCs w:val="24"/>
          <w:lang w:bidi="ar-EG"/>
        </w:rPr>
        <w:t>positive correlation with p-value &lt;0.05 between</w:t>
      </w:r>
      <w:r>
        <w:rPr>
          <w:rFonts w:asciiTheme="majorBidi" w:hAnsiTheme="majorBidi" w:cstheme="majorBidi"/>
          <w:sz w:val="24"/>
          <w:szCs w:val="24"/>
          <w:lang w:bidi="ar-EG"/>
        </w:rPr>
        <w:t xml:space="preserve"> purchase</w:t>
      </w:r>
      <w:r w:rsidRPr="00E95919">
        <w:rPr>
          <w:rFonts w:asciiTheme="majorBidi" w:hAnsiTheme="majorBidi" w:cstheme="majorBidi"/>
          <w:sz w:val="24"/>
          <w:szCs w:val="24"/>
          <w:lang w:bidi="ar-EG"/>
        </w:rPr>
        <w:t xml:space="preserve"> intention and each of </w:t>
      </w:r>
      <w:r>
        <w:rPr>
          <w:rFonts w:asciiTheme="majorBidi" w:hAnsiTheme="majorBidi" w:cstheme="majorBidi"/>
          <w:sz w:val="24"/>
          <w:szCs w:val="24"/>
          <w:lang w:bidi="ar-EG"/>
        </w:rPr>
        <w:t>a</w:t>
      </w:r>
      <w:r w:rsidRPr="00E95919">
        <w:rPr>
          <w:rFonts w:asciiTheme="majorBidi" w:hAnsiTheme="majorBidi" w:cstheme="majorBidi"/>
          <w:sz w:val="24"/>
          <w:szCs w:val="24"/>
          <w:lang w:bidi="ar-EG"/>
        </w:rPr>
        <w:t>d likeability, CSR perception, brand functionality, brand likeability, emotional brand</w:t>
      </w:r>
      <w:r>
        <w:rPr>
          <w:rFonts w:asciiTheme="majorBidi" w:hAnsiTheme="majorBidi" w:cstheme="majorBidi"/>
          <w:sz w:val="24"/>
          <w:szCs w:val="24"/>
          <w:lang w:bidi="ar-EG"/>
        </w:rPr>
        <w:t xml:space="preserve"> attachment</w:t>
      </w:r>
      <w:r w:rsidRPr="00E95919">
        <w:rPr>
          <w:rFonts w:asciiTheme="majorBidi" w:hAnsiTheme="majorBidi" w:cstheme="majorBidi"/>
          <w:sz w:val="24"/>
          <w:szCs w:val="24"/>
          <w:lang w:bidi="ar-EG"/>
        </w:rPr>
        <w:t>, and brand trust. The highest correlation is with brand trust, and the least correlation is with CSR perception.</w:t>
      </w:r>
    </w:p>
    <w:p w14:paraId="26971BEE" w14:textId="695AA4FE" w:rsidR="00D65FF6" w:rsidRPr="008D75D3" w:rsidRDefault="00D65FF6">
      <w:pPr>
        <w:pStyle w:val="ListParagraph"/>
        <w:numPr>
          <w:ilvl w:val="0"/>
          <w:numId w:val="8"/>
        </w:numPr>
        <w:spacing w:after="200" w:line="480" w:lineRule="auto"/>
        <w:jc w:val="both"/>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 There is </w:t>
      </w:r>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 xml:space="preserve">positive correlation with p-value &lt;0.05 between </w:t>
      </w:r>
      <w:r>
        <w:rPr>
          <w:rFonts w:asciiTheme="majorBidi" w:hAnsiTheme="majorBidi" w:cstheme="majorBidi"/>
          <w:sz w:val="24"/>
          <w:szCs w:val="24"/>
          <w:lang w:bidi="ar-EG"/>
        </w:rPr>
        <w:t>ad</w:t>
      </w:r>
      <w:r w:rsidRPr="008D75D3">
        <w:rPr>
          <w:rFonts w:asciiTheme="majorBidi" w:hAnsiTheme="majorBidi" w:cstheme="majorBidi"/>
          <w:sz w:val="24"/>
          <w:szCs w:val="24"/>
          <w:lang w:bidi="ar-EG"/>
        </w:rPr>
        <w:t xml:space="preserve"> </w:t>
      </w:r>
      <w:r w:rsidR="00AA4F38">
        <w:rPr>
          <w:rFonts w:asciiTheme="majorBidi" w:hAnsiTheme="majorBidi" w:cstheme="majorBidi"/>
          <w:sz w:val="24"/>
          <w:szCs w:val="24"/>
          <w:lang w:bidi="ar-EG"/>
        </w:rPr>
        <w:t>l</w:t>
      </w:r>
      <w:r w:rsidRPr="008D75D3">
        <w:rPr>
          <w:rFonts w:asciiTheme="majorBidi" w:hAnsiTheme="majorBidi" w:cstheme="majorBidi"/>
          <w:sz w:val="24"/>
          <w:szCs w:val="24"/>
          <w:lang w:bidi="ar-EG"/>
        </w:rPr>
        <w:t>ikeability and each of CSR perception, brand functionality, brand likeability, emotional brand</w:t>
      </w:r>
      <w:r>
        <w:rPr>
          <w:rFonts w:asciiTheme="majorBidi" w:hAnsiTheme="majorBidi" w:cstheme="majorBidi"/>
          <w:sz w:val="24"/>
          <w:szCs w:val="24"/>
          <w:lang w:bidi="ar-EG"/>
        </w:rPr>
        <w:t xml:space="preserve"> attachment</w:t>
      </w:r>
      <w:r w:rsidRPr="008D75D3">
        <w:rPr>
          <w:rFonts w:asciiTheme="majorBidi" w:hAnsiTheme="majorBidi" w:cstheme="majorBidi"/>
          <w:sz w:val="24"/>
          <w:szCs w:val="24"/>
          <w:lang w:bidi="ar-EG"/>
        </w:rPr>
        <w:t xml:space="preserve">, and brand trust. </w:t>
      </w:r>
    </w:p>
    <w:p w14:paraId="0E17388E" w14:textId="77777777" w:rsidR="00D65FF6" w:rsidRPr="008D75D3" w:rsidRDefault="00D65FF6">
      <w:pPr>
        <w:pStyle w:val="ListParagraph"/>
        <w:numPr>
          <w:ilvl w:val="0"/>
          <w:numId w:val="8"/>
        </w:numPr>
        <w:spacing w:after="200" w:line="480" w:lineRule="auto"/>
        <w:jc w:val="both"/>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 There is </w:t>
      </w:r>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positive correlation with p-value &lt;0.05 between CSR perception, and each of brand functionality, brand likeability, emotional brand</w:t>
      </w:r>
      <w:r>
        <w:rPr>
          <w:rFonts w:asciiTheme="majorBidi" w:hAnsiTheme="majorBidi" w:cstheme="majorBidi"/>
          <w:sz w:val="24"/>
          <w:szCs w:val="24"/>
          <w:lang w:bidi="ar-EG"/>
        </w:rPr>
        <w:t xml:space="preserve"> attachment</w:t>
      </w:r>
      <w:r w:rsidRPr="008D75D3">
        <w:rPr>
          <w:rFonts w:asciiTheme="majorBidi" w:hAnsiTheme="majorBidi" w:cstheme="majorBidi"/>
          <w:sz w:val="24"/>
          <w:szCs w:val="24"/>
          <w:lang w:bidi="ar-EG"/>
        </w:rPr>
        <w:t>, and brand trust.</w:t>
      </w:r>
    </w:p>
    <w:p w14:paraId="2BE150D1" w14:textId="77777777" w:rsidR="00D65FF6" w:rsidRPr="008D75D3" w:rsidRDefault="00D65FF6">
      <w:pPr>
        <w:pStyle w:val="ListParagraph"/>
        <w:numPr>
          <w:ilvl w:val="0"/>
          <w:numId w:val="8"/>
        </w:numPr>
        <w:spacing w:after="200" w:line="480" w:lineRule="auto"/>
        <w:jc w:val="both"/>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 There</w:t>
      </w:r>
      <w:r>
        <w:rPr>
          <w:rFonts w:asciiTheme="majorBidi" w:hAnsiTheme="majorBidi" w:cstheme="majorBidi"/>
          <w:sz w:val="24"/>
          <w:szCs w:val="24"/>
          <w:lang w:bidi="ar-EG"/>
        </w:rPr>
        <w:t xml:space="preserve"> </w:t>
      </w:r>
      <w:r w:rsidRPr="008D75D3">
        <w:rPr>
          <w:rFonts w:asciiTheme="majorBidi" w:hAnsiTheme="majorBidi" w:cstheme="majorBidi"/>
          <w:sz w:val="24"/>
          <w:szCs w:val="24"/>
          <w:lang w:bidi="ar-EG"/>
        </w:rPr>
        <w:t xml:space="preserve">is </w:t>
      </w:r>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positive correlation with p-value &lt;0.05 between brand functionality, and each of brand likeability, emotional brand</w:t>
      </w:r>
      <w:r>
        <w:rPr>
          <w:rFonts w:asciiTheme="majorBidi" w:hAnsiTheme="majorBidi" w:cstheme="majorBidi"/>
          <w:sz w:val="24"/>
          <w:szCs w:val="24"/>
          <w:lang w:bidi="ar-EG"/>
        </w:rPr>
        <w:t xml:space="preserve"> attachment</w:t>
      </w:r>
      <w:r w:rsidRPr="008D75D3">
        <w:rPr>
          <w:rFonts w:asciiTheme="majorBidi" w:hAnsiTheme="majorBidi" w:cstheme="majorBidi"/>
          <w:sz w:val="24"/>
          <w:szCs w:val="24"/>
          <w:lang w:bidi="ar-EG"/>
        </w:rPr>
        <w:t>, and brand trust</w:t>
      </w:r>
      <w:r>
        <w:rPr>
          <w:rFonts w:asciiTheme="majorBidi" w:hAnsiTheme="majorBidi" w:cstheme="majorBidi"/>
          <w:sz w:val="24"/>
          <w:szCs w:val="24"/>
          <w:lang w:bidi="ar-EG"/>
        </w:rPr>
        <w:t>.</w:t>
      </w:r>
      <w:r w:rsidRPr="008D75D3">
        <w:rPr>
          <w:rFonts w:asciiTheme="majorBidi" w:hAnsiTheme="majorBidi" w:cstheme="majorBidi"/>
          <w:sz w:val="24"/>
          <w:szCs w:val="24"/>
          <w:lang w:bidi="ar-EG"/>
        </w:rPr>
        <w:t xml:space="preserve"> </w:t>
      </w:r>
    </w:p>
    <w:p w14:paraId="7DE6225C" w14:textId="77777777" w:rsidR="00D65FF6" w:rsidRPr="008D75D3" w:rsidRDefault="00D65FF6">
      <w:pPr>
        <w:pStyle w:val="ListParagraph"/>
        <w:numPr>
          <w:ilvl w:val="0"/>
          <w:numId w:val="8"/>
        </w:numPr>
        <w:spacing w:after="200" w:line="480" w:lineRule="auto"/>
        <w:jc w:val="both"/>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There </w:t>
      </w:r>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positive correlation with p-value &lt;0.05 between</w:t>
      </w:r>
      <w:r>
        <w:rPr>
          <w:rFonts w:asciiTheme="majorBidi" w:hAnsiTheme="majorBidi" w:cstheme="majorBidi"/>
          <w:sz w:val="24"/>
          <w:szCs w:val="24"/>
          <w:lang w:bidi="ar-EG"/>
        </w:rPr>
        <w:t xml:space="preserve"> </w:t>
      </w:r>
      <w:r w:rsidRPr="008D75D3">
        <w:rPr>
          <w:rFonts w:asciiTheme="majorBidi" w:hAnsiTheme="majorBidi" w:cstheme="majorBidi"/>
          <w:sz w:val="24"/>
          <w:szCs w:val="24"/>
          <w:lang w:bidi="ar-EG"/>
        </w:rPr>
        <w:t>brand likeability, and emotional brand</w:t>
      </w:r>
      <w:r>
        <w:rPr>
          <w:rFonts w:asciiTheme="majorBidi" w:hAnsiTheme="majorBidi" w:cstheme="majorBidi"/>
          <w:sz w:val="24"/>
          <w:szCs w:val="24"/>
          <w:lang w:bidi="ar-EG"/>
        </w:rPr>
        <w:t xml:space="preserve"> attachment</w:t>
      </w:r>
      <w:r w:rsidRPr="008D75D3">
        <w:rPr>
          <w:rFonts w:asciiTheme="majorBidi" w:hAnsiTheme="majorBidi" w:cstheme="majorBidi"/>
          <w:sz w:val="24"/>
          <w:szCs w:val="24"/>
          <w:lang w:bidi="ar-EG"/>
        </w:rPr>
        <w:t>, and brand trust</w:t>
      </w:r>
      <w:r>
        <w:rPr>
          <w:rFonts w:asciiTheme="majorBidi" w:hAnsiTheme="majorBidi" w:cstheme="majorBidi"/>
          <w:sz w:val="24"/>
          <w:szCs w:val="24"/>
          <w:lang w:bidi="ar-EG"/>
        </w:rPr>
        <w:t>.</w:t>
      </w:r>
      <w:r w:rsidRPr="008D75D3">
        <w:rPr>
          <w:rFonts w:asciiTheme="majorBidi" w:hAnsiTheme="majorBidi" w:cstheme="majorBidi"/>
          <w:sz w:val="24"/>
          <w:szCs w:val="24"/>
          <w:lang w:bidi="ar-EG"/>
        </w:rPr>
        <w:t xml:space="preserve"> </w:t>
      </w:r>
    </w:p>
    <w:p w14:paraId="00C12BB8" w14:textId="77777777" w:rsidR="00D65FF6" w:rsidRPr="008D75D3" w:rsidRDefault="00D65FF6">
      <w:pPr>
        <w:pStyle w:val="ListParagraph"/>
        <w:numPr>
          <w:ilvl w:val="0"/>
          <w:numId w:val="8"/>
        </w:numPr>
        <w:spacing w:after="200" w:line="480" w:lineRule="auto"/>
        <w:jc w:val="both"/>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 There is </w:t>
      </w:r>
      <w:bookmarkStart w:id="163" w:name="_Hlk137475762"/>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positive correlation with p-value &lt;0.05 between brand functionality, and each of brand likeability, emotional brand</w:t>
      </w:r>
      <w:r>
        <w:rPr>
          <w:rFonts w:asciiTheme="majorBidi" w:hAnsiTheme="majorBidi" w:cstheme="majorBidi"/>
          <w:sz w:val="24"/>
          <w:szCs w:val="24"/>
          <w:lang w:bidi="ar-EG"/>
        </w:rPr>
        <w:t xml:space="preserve"> attachment</w:t>
      </w:r>
      <w:r w:rsidRPr="008D75D3">
        <w:rPr>
          <w:rFonts w:asciiTheme="majorBidi" w:hAnsiTheme="majorBidi" w:cstheme="majorBidi"/>
          <w:sz w:val="24"/>
          <w:szCs w:val="24"/>
          <w:lang w:bidi="ar-EG"/>
        </w:rPr>
        <w:t>, and brand trust</w:t>
      </w:r>
      <w:r>
        <w:rPr>
          <w:rFonts w:asciiTheme="majorBidi" w:hAnsiTheme="majorBidi" w:cstheme="majorBidi"/>
          <w:sz w:val="24"/>
          <w:szCs w:val="24"/>
          <w:lang w:bidi="ar-EG"/>
        </w:rPr>
        <w:t>.</w:t>
      </w:r>
    </w:p>
    <w:bookmarkEnd w:id="163"/>
    <w:p w14:paraId="0DB6F4E8" w14:textId="77777777" w:rsidR="00D65FF6" w:rsidRDefault="00D65FF6">
      <w:pPr>
        <w:pStyle w:val="ListParagraph"/>
        <w:numPr>
          <w:ilvl w:val="0"/>
          <w:numId w:val="8"/>
        </w:numPr>
        <w:spacing w:after="200" w:line="480" w:lineRule="auto"/>
        <w:jc w:val="both"/>
        <w:rPr>
          <w:rFonts w:asciiTheme="majorBidi" w:hAnsiTheme="majorBidi" w:cstheme="majorBidi"/>
          <w:sz w:val="24"/>
          <w:szCs w:val="24"/>
          <w:lang w:bidi="ar-EG"/>
        </w:rPr>
      </w:pPr>
      <w:r w:rsidRPr="008D75D3">
        <w:rPr>
          <w:rFonts w:asciiTheme="majorBidi" w:hAnsiTheme="majorBidi" w:cstheme="majorBidi"/>
          <w:sz w:val="24"/>
          <w:szCs w:val="24"/>
          <w:lang w:bidi="ar-EG"/>
        </w:rPr>
        <w:t xml:space="preserve">There is </w:t>
      </w:r>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positive correlation with p-value &lt;0.05 between emotional brand</w:t>
      </w:r>
      <w:r>
        <w:rPr>
          <w:rFonts w:asciiTheme="majorBidi" w:hAnsiTheme="majorBidi" w:cstheme="majorBidi"/>
          <w:sz w:val="24"/>
          <w:szCs w:val="24"/>
          <w:lang w:bidi="ar-EG"/>
        </w:rPr>
        <w:t xml:space="preserve"> attachment</w:t>
      </w:r>
      <w:r w:rsidRPr="008D75D3">
        <w:rPr>
          <w:rFonts w:asciiTheme="majorBidi" w:hAnsiTheme="majorBidi" w:cstheme="majorBidi"/>
          <w:sz w:val="24"/>
          <w:szCs w:val="24"/>
          <w:lang w:bidi="ar-EG"/>
        </w:rPr>
        <w:t xml:space="preserve"> and brand trust</w:t>
      </w:r>
      <w:r>
        <w:rPr>
          <w:rFonts w:asciiTheme="majorBidi" w:hAnsiTheme="majorBidi" w:cstheme="majorBidi"/>
          <w:sz w:val="24"/>
          <w:szCs w:val="24"/>
          <w:lang w:bidi="ar-EG"/>
        </w:rPr>
        <w:t>.</w:t>
      </w:r>
    </w:p>
    <w:p w14:paraId="6D203903" w14:textId="6A3695E2" w:rsidR="00D65FF6" w:rsidRPr="00AA4F38" w:rsidRDefault="00D65FF6" w:rsidP="00250620">
      <w:pPr>
        <w:pStyle w:val="ListParagraph"/>
        <w:spacing w:line="480" w:lineRule="auto"/>
        <w:ind w:left="360"/>
        <w:jc w:val="both"/>
        <w:rPr>
          <w:rFonts w:asciiTheme="majorBidi" w:hAnsiTheme="majorBidi" w:cstheme="majorBidi"/>
          <w:sz w:val="24"/>
          <w:szCs w:val="24"/>
          <w:lang w:bidi="ar-EG"/>
        </w:rPr>
      </w:pPr>
      <w:r>
        <w:rPr>
          <w:rFonts w:asciiTheme="majorBidi" w:hAnsiTheme="majorBidi" w:cstheme="majorBidi"/>
          <w:sz w:val="24"/>
          <w:szCs w:val="24"/>
          <w:lang w:bidi="ar-EG"/>
        </w:rPr>
        <w:tab/>
      </w:r>
      <w:r w:rsidRPr="00062D4A">
        <w:rPr>
          <w:rFonts w:asciiTheme="majorBidi" w:hAnsiTheme="majorBidi" w:cstheme="majorBidi"/>
          <w:sz w:val="24"/>
          <w:szCs w:val="24"/>
          <w:lang w:bidi="ar-EG"/>
        </w:rPr>
        <w:t xml:space="preserve">The next chapter examines the tests used to </w:t>
      </w:r>
      <w:r>
        <w:rPr>
          <w:rFonts w:asciiTheme="majorBidi" w:hAnsiTheme="majorBidi" w:cstheme="majorBidi"/>
          <w:sz w:val="24"/>
          <w:szCs w:val="24"/>
          <w:lang w:bidi="ar-EG"/>
        </w:rPr>
        <w:t>provide an initial understanding of the data and comparisons of</w:t>
      </w:r>
      <w:r w:rsidRPr="00062D4A">
        <w:rPr>
          <w:rFonts w:asciiTheme="majorBidi" w:hAnsiTheme="majorBidi" w:cstheme="majorBidi"/>
          <w:sz w:val="24"/>
          <w:szCs w:val="24"/>
          <w:lang w:bidi="ar-EG"/>
        </w:rPr>
        <w:t xml:space="preserve"> the</w:t>
      </w:r>
      <w:r>
        <w:rPr>
          <w:rFonts w:asciiTheme="majorBidi" w:hAnsiTheme="majorBidi" w:cstheme="majorBidi"/>
          <w:sz w:val="24"/>
          <w:szCs w:val="24"/>
          <w:lang w:bidi="ar-EG"/>
        </w:rPr>
        <w:t xml:space="preserve"> averages of the</w:t>
      </w:r>
      <w:r w:rsidRPr="00062D4A">
        <w:rPr>
          <w:rFonts w:asciiTheme="majorBidi" w:hAnsiTheme="majorBidi" w:cstheme="majorBidi"/>
          <w:sz w:val="24"/>
          <w:szCs w:val="24"/>
          <w:lang w:bidi="ar-EG"/>
        </w:rPr>
        <w:t xml:space="preserve"> groups against each other. </w:t>
      </w:r>
    </w:p>
    <w:tbl>
      <w:tblPr>
        <w:tblStyle w:val="TableGrid1"/>
        <w:tblW w:w="8363" w:type="dxa"/>
        <w:tblInd w:w="279" w:type="dxa"/>
        <w:tblLook w:val="04A0" w:firstRow="1" w:lastRow="0" w:firstColumn="1" w:lastColumn="0" w:noHBand="0" w:noVBand="1"/>
      </w:tblPr>
      <w:tblGrid>
        <w:gridCol w:w="1238"/>
        <w:gridCol w:w="1094"/>
        <w:gridCol w:w="1070"/>
        <w:gridCol w:w="1276"/>
        <w:gridCol w:w="1094"/>
        <w:gridCol w:w="1174"/>
        <w:gridCol w:w="850"/>
        <w:gridCol w:w="938"/>
      </w:tblGrid>
      <w:tr w:rsidR="00D65FF6" w:rsidRPr="00D53E24" w14:paraId="0FEA13E2" w14:textId="77777777" w:rsidTr="00864BD9">
        <w:trPr>
          <w:trHeight w:val="389"/>
        </w:trPr>
        <w:tc>
          <w:tcPr>
            <w:tcW w:w="1238" w:type="dxa"/>
            <w:hideMark/>
          </w:tcPr>
          <w:p w14:paraId="08382C91"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1094" w:type="dxa"/>
            <w:hideMark/>
          </w:tcPr>
          <w:p w14:paraId="6E126F8B"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1070" w:type="dxa"/>
            <w:hideMark/>
          </w:tcPr>
          <w:p w14:paraId="544E2287"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 perception</w:t>
            </w:r>
          </w:p>
        </w:tc>
        <w:tc>
          <w:tcPr>
            <w:tcW w:w="1276" w:type="dxa"/>
            <w:hideMark/>
          </w:tcPr>
          <w:p w14:paraId="548F78C6"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1094" w:type="dxa"/>
            <w:hideMark/>
          </w:tcPr>
          <w:p w14:paraId="1F1914B4"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1174" w:type="dxa"/>
            <w:hideMark/>
          </w:tcPr>
          <w:p w14:paraId="203C0FE4"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w:t>
            </w:r>
          </w:p>
        </w:tc>
        <w:tc>
          <w:tcPr>
            <w:tcW w:w="850" w:type="dxa"/>
            <w:hideMark/>
          </w:tcPr>
          <w:p w14:paraId="3B3A50C8"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567" w:type="dxa"/>
            <w:hideMark/>
          </w:tcPr>
          <w:p w14:paraId="4739CFEA"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Purchase intention</w:t>
            </w:r>
          </w:p>
        </w:tc>
      </w:tr>
      <w:tr w:rsidR="00D65FF6" w:rsidRPr="00D53E24" w14:paraId="500C6446" w14:textId="77777777" w:rsidTr="00864BD9">
        <w:trPr>
          <w:trHeight w:val="166"/>
        </w:trPr>
        <w:tc>
          <w:tcPr>
            <w:tcW w:w="1238" w:type="dxa"/>
            <w:hideMark/>
          </w:tcPr>
          <w:p w14:paraId="220990B5"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1094" w:type="dxa"/>
            <w:noWrap/>
            <w:hideMark/>
          </w:tcPr>
          <w:p w14:paraId="64012DCB"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1070" w:type="dxa"/>
            <w:noWrap/>
            <w:hideMark/>
          </w:tcPr>
          <w:p w14:paraId="1C46ADDF"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1276" w:type="dxa"/>
            <w:noWrap/>
            <w:hideMark/>
          </w:tcPr>
          <w:p w14:paraId="5E8917C8"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1094" w:type="dxa"/>
            <w:noWrap/>
            <w:hideMark/>
          </w:tcPr>
          <w:p w14:paraId="4C623058"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1174" w:type="dxa"/>
            <w:noWrap/>
            <w:hideMark/>
          </w:tcPr>
          <w:p w14:paraId="6DE56DE4"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850" w:type="dxa"/>
            <w:noWrap/>
            <w:hideMark/>
          </w:tcPr>
          <w:p w14:paraId="15B5C070"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567" w:type="dxa"/>
            <w:noWrap/>
            <w:hideMark/>
          </w:tcPr>
          <w:p w14:paraId="78A43EDC"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r>
      <w:tr w:rsidR="00D65FF6" w:rsidRPr="00D53E24" w14:paraId="2190DFFA" w14:textId="77777777" w:rsidTr="00864BD9">
        <w:trPr>
          <w:trHeight w:val="197"/>
        </w:trPr>
        <w:tc>
          <w:tcPr>
            <w:tcW w:w="1238" w:type="dxa"/>
            <w:hideMark/>
          </w:tcPr>
          <w:p w14:paraId="066FB011"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 perception</w:t>
            </w:r>
          </w:p>
        </w:tc>
        <w:tc>
          <w:tcPr>
            <w:tcW w:w="1094" w:type="dxa"/>
            <w:noWrap/>
            <w:hideMark/>
          </w:tcPr>
          <w:p w14:paraId="05C23F77"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.228</w:t>
            </w:r>
            <w:r w:rsidRPr="00D53E24">
              <w:rPr>
                <w:rFonts w:asciiTheme="majorBidi" w:eastAsia="Times New Roman" w:hAnsiTheme="majorBidi" w:cstheme="majorBidi"/>
                <w:color w:val="000000"/>
                <w:sz w:val="20"/>
                <w:szCs w:val="20"/>
                <w:vertAlign w:val="superscript"/>
              </w:rPr>
              <w:t>**</w:t>
            </w:r>
          </w:p>
        </w:tc>
        <w:tc>
          <w:tcPr>
            <w:tcW w:w="1070" w:type="dxa"/>
            <w:noWrap/>
            <w:hideMark/>
          </w:tcPr>
          <w:p w14:paraId="0809700E"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1276" w:type="dxa"/>
            <w:noWrap/>
            <w:hideMark/>
          </w:tcPr>
          <w:p w14:paraId="6D1C88EC"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1094" w:type="dxa"/>
            <w:noWrap/>
            <w:hideMark/>
          </w:tcPr>
          <w:p w14:paraId="7ABDBCA4"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1174" w:type="dxa"/>
            <w:noWrap/>
            <w:hideMark/>
          </w:tcPr>
          <w:p w14:paraId="5BFAE9F8"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850" w:type="dxa"/>
            <w:noWrap/>
            <w:hideMark/>
          </w:tcPr>
          <w:p w14:paraId="43EEBBD1"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567" w:type="dxa"/>
            <w:noWrap/>
            <w:hideMark/>
          </w:tcPr>
          <w:p w14:paraId="38A809E8"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r>
      <w:tr w:rsidR="00D65FF6" w:rsidRPr="00D53E24" w14:paraId="373D16D9" w14:textId="77777777" w:rsidTr="00864BD9">
        <w:trPr>
          <w:trHeight w:val="245"/>
        </w:trPr>
        <w:tc>
          <w:tcPr>
            <w:tcW w:w="1238" w:type="dxa"/>
            <w:hideMark/>
          </w:tcPr>
          <w:p w14:paraId="4DED335D"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1094" w:type="dxa"/>
            <w:noWrap/>
            <w:hideMark/>
          </w:tcPr>
          <w:p w14:paraId="1FD863CF"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.413</w:t>
            </w:r>
            <w:r w:rsidRPr="00D53E24">
              <w:rPr>
                <w:rFonts w:asciiTheme="majorBidi" w:eastAsia="Times New Roman" w:hAnsiTheme="majorBidi" w:cstheme="majorBidi"/>
                <w:color w:val="000000"/>
                <w:sz w:val="20"/>
                <w:szCs w:val="20"/>
                <w:vertAlign w:val="superscript"/>
              </w:rPr>
              <w:t>**</w:t>
            </w:r>
          </w:p>
        </w:tc>
        <w:tc>
          <w:tcPr>
            <w:tcW w:w="1070" w:type="dxa"/>
            <w:noWrap/>
            <w:hideMark/>
          </w:tcPr>
          <w:p w14:paraId="4B79BAB0"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.131</w:t>
            </w:r>
            <w:r w:rsidRPr="00D53E24">
              <w:rPr>
                <w:rFonts w:asciiTheme="majorBidi" w:eastAsia="Times New Roman" w:hAnsiTheme="majorBidi" w:cstheme="majorBidi"/>
                <w:color w:val="000000"/>
                <w:sz w:val="20"/>
                <w:szCs w:val="20"/>
                <w:vertAlign w:val="superscript"/>
              </w:rPr>
              <w:t>**</w:t>
            </w:r>
          </w:p>
        </w:tc>
        <w:tc>
          <w:tcPr>
            <w:tcW w:w="1276" w:type="dxa"/>
            <w:noWrap/>
            <w:hideMark/>
          </w:tcPr>
          <w:p w14:paraId="17FBDE83"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1094" w:type="dxa"/>
            <w:noWrap/>
            <w:hideMark/>
          </w:tcPr>
          <w:p w14:paraId="349402A2"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1174" w:type="dxa"/>
            <w:noWrap/>
            <w:hideMark/>
          </w:tcPr>
          <w:p w14:paraId="2D35DFCA"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850" w:type="dxa"/>
            <w:noWrap/>
            <w:hideMark/>
          </w:tcPr>
          <w:p w14:paraId="06D7012F"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567" w:type="dxa"/>
            <w:noWrap/>
            <w:hideMark/>
          </w:tcPr>
          <w:p w14:paraId="01550F6A"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r>
      <w:tr w:rsidR="00D65FF6" w:rsidRPr="00D53E24" w14:paraId="664A74E8" w14:textId="77777777" w:rsidTr="00864BD9">
        <w:trPr>
          <w:trHeight w:val="245"/>
        </w:trPr>
        <w:tc>
          <w:tcPr>
            <w:tcW w:w="1238" w:type="dxa"/>
            <w:hideMark/>
          </w:tcPr>
          <w:p w14:paraId="3DA2454C"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1094" w:type="dxa"/>
            <w:noWrap/>
            <w:hideMark/>
          </w:tcPr>
          <w:p w14:paraId="154937F9"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.485</w:t>
            </w:r>
            <w:r w:rsidRPr="00D53E24">
              <w:rPr>
                <w:rFonts w:asciiTheme="majorBidi" w:eastAsia="Times New Roman" w:hAnsiTheme="majorBidi" w:cstheme="majorBidi"/>
                <w:color w:val="000000"/>
                <w:sz w:val="20"/>
                <w:szCs w:val="20"/>
                <w:vertAlign w:val="superscript"/>
              </w:rPr>
              <w:t>**</w:t>
            </w:r>
          </w:p>
        </w:tc>
        <w:tc>
          <w:tcPr>
            <w:tcW w:w="1070" w:type="dxa"/>
            <w:noWrap/>
            <w:hideMark/>
          </w:tcPr>
          <w:p w14:paraId="34F50A3F"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.301</w:t>
            </w:r>
            <w:r w:rsidRPr="00D53E24">
              <w:rPr>
                <w:rFonts w:asciiTheme="majorBidi" w:eastAsia="Times New Roman" w:hAnsiTheme="majorBidi" w:cstheme="majorBidi"/>
                <w:color w:val="000000"/>
                <w:sz w:val="20"/>
                <w:szCs w:val="20"/>
                <w:vertAlign w:val="superscript"/>
              </w:rPr>
              <w:t>**</w:t>
            </w:r>
          </w:p>
        </w:tc>
        <w:tc>
          <w:tcPr>
            <w:tcW w:w="1276" w:type="dxa"/>
            <w:noWrap/>
            <w:hideMark/>
          </w:tcPr>
          <w:p w14:paraId="3796F4F8"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.753</w:t>
            </w:r>
            <w:r w:rsidRPr="00D53E24">
              <w:rPr>
                <w:rFonts w:asciiTheme="majorBidi" w:eastAsia="Times New Roman" w:hAnsiTheme="majorBidi" w:cstheme="majorBidi"/>
                <w:color w:val="000000"/>
                <w:sz w:val="20"/>
                <w:szCs w:val="20"/>
                <w:vertAlign w:val="superscript"/>
              </w:rPr>
              <w:t>**</w:t>
            </w:r>
          </w:p>
        </w:tc>
        <w:tc>
          <w:tcPr>
            <w:tcW w:w="1094" w:type="dxa"/>
            <w:noWrap/>
            <w:hideMark/>
          </w:tcPr>
          <w:p w14:paraId="35409F04"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1174" w:type="dxa"/>
            <w:noWrap/>
            <w:hideMark/>
          </w:tcPr>
          <w:p w14:paraId="0B213CE4"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850" w:type="dxa"/>
            <w:noWrap/>
            <w:hideMark/>
          </w:tcPr>
          <w:p w14:paraId="1529A18A"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567" w:type="dxa"/>
            <w:noWrap/>
            <w:hideMark/>
          </w:tcPr>
          <w:p w14:paraId="7926F323"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r>
      <w:tr w:rsidR="00D65FF6" w:rsidRPr="00D53E24" w14:paraId="1BC440B6" w14:textId="77777777" w:rsidTr="00864BD9">
        <w:trPr>
          <w:trHeight w:val="189"/>
        </w:trPr>
        <w:tc>
          <w:tcPr>
            <w:tcW w:w="1238" w:type="dxa"/>
            <w:hideMark/>
          </w:tcPr>
          <w:p w14:paraId="5173D766"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w:t>
            </w:r>
          </w:p>
        </w:tc>
        <w:tc>
          <w:tcPr>
            <w:tcW w:w="1094" w:type="dxa"/>
            <w:noWrap/>
            <w:hideMark/>
          </w:tcPr>
          <w:p w14:paraId="641B4C34"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.431</w:t>
            </w:r>
            <w:r w:rsidRPr="00D53E24">
              <w:rPr>
                <w:rFonts w:asciiTheme="majorBidi" w:eastAsia="Times New Roman" w:hAnsiTheme="majorBidi" w:cstheme="majorBidi"/>
                <w:color w:val="000000"/>
                <w:sz w:val="20"/>
                <w:szCs w:val="20"/>
                <w:vertAlign w:val="superscript"/>
              </w:rPr>
              <w:t>**</w:t>
            </w:r>
          </w:p>
        </w:tc>
        <w:tc>
          <w:tcPr>
            <w:tcW w:w="1070" w:type="dxa"/>
            <w:noWrap/>
            <w:hideMark/>
          </w:tcPr>
          <w:p w14:paraId="0647532A"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.256</w:t>
            </w:r>
            <w:r w:rsidRPr="00D53E24">
              <w:rPr>
                <w:rFonts w:asciiTheme="majorBidi" w:eastAsia="Times New Roman" w:hAnsiTheme="majorBidi" w:cstheme="majorBidi"/>
                <w:color w:val="000000"/>
                <w:sz w:val="20"/>
                <w:szCs w:val="20"/>
                <w:vertAlign w:val="superscript"/>
              </w:rPr>
              <w:t>**</w:t>
            </w:r>
          </w:p>
        </w:tc>
        <w:tc>
          <w:tcPr>
            <w:tcW w:w="1276" w:type="dxa"/>
            <w:noWrap/>
            <w:hideMark/>
          </w:tcPr>
          <w:p w14:paraId="794E37CA"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.610</w:t>
            </w:r>
            <w:r w:rsidRPr="00D53E24">
              <w:rPr>
                <w:rFonts w:asciiTheme="majorBidi" w:eastAsia="Times New Roman" w:hAnsiTheme="majorBidi" w:cstheme="majorBidi"/>
                <w:color w:val="000000"/>
                <w:sz w:val="20"/>
                <w:szCs w:val="20"/>
                <w:vertAlign w:val="superscript"/>
              </w:rPr>
              <w:t>**</w:t>
            </w:r>
          </w:p>
        </w:tc>
        <w:tc>
          <w:tcPr>
            <w:tcW w:w="1094" w:type="dxa"/>
            <w:noWrap/>
            <w:hideMark/>
          </w:tcPr>
          <w:p w14:paraId="48BF2FCD"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.828</w:t>
            </w:r>
            <w:r w:rsidRPr="00D53E24">
              <w:rPr>
                <w:rFonts w:asciiTheme="majorBidi" w:eastAsia="Times New Roman" w:hAnsiTheme="majorBidi" w:cstheme="majorBidi"/>
                <w:color w:val="000000"/>
                <w:sz w:val="20"/>
                <w:szCs w:val="20"/>
                <w:vertAlign w:val="superscript"/>
              </w:rPr>
              <w:t>**</w:t>
            </w:r>
          </w:p>
        </w:tc>
        <w:tc>
          <w:tcPr>
            <w:tcW w:w="1174" w:type="dxa"/>
            <w:noWrap/>
            <w:hideMark/>
          </w:tcPr>
          <w:p w14:paraId="6999A935"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850" w:type="dxa"/>
            <w:noWrap/>
            <w:hideMark/>
          </w:tcPr>
          <w:p w14:paraId="46FD3902"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567" w:type="dxa"/>
            <w:noWrap/>
            <w:hideMark/>
          </w:tcPr>
          <w:p w14:paraId="7B80EAFF"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r>
      <w:tr w:rsidR="00D65FF6" w:rsidRPr="00D53E24" w14:paraId="65519B93" w14:textId="77777777" w:rsidTr="00864BD9">
        <w:trPr>
          <w:trHeight w:val="276"/>
        </w:trPr>
        <w:tc>
          <w:tcPr>
            <w:tcW w:w="1238" w:type="dxa"/>
            <w:hideMark/>
          </w:tcPr>
          <w:p w14:paraId="52F33432"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1094" w:type="dxa"/>
            <w:noWrap/>
            <w:hideMark/>
          </w:tcPr>
          <w:p w14:paraId="57265733"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.365</w:t>
            </w:r>
            <w:r w:rsidRPr="00D53E24">
              <w:rPr>
                <w:rFonts w:asciiTheme="majorBidi" w:eastAsia="Times New Roman" w:hAnsiTheme="majorBidi" w:cstheme="majorBidi"/>
                <w:color w:val="000000"/>
                <w:sz w:val="20"/>
                <w:szCs w:val="20"/>
                <w:vertAlign w:val="superscript"/>
              </w:rPr>
              <w:t>**</w:t>
            </w:r>
          </w:p>
        </w:tc>
        <w:tc>
          <w:tcPr>
            <w:tcW w:w="1070" w:type="dxa"/>
            <w:noWrap/>
            <w:hideMark/>
          </w:tcPr>
          <w:p w14:paraId="74EC3516"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.239</w:t>
            </w:r>
            <w:r w:rsidRPr="00D53E24">
              <w:rPr>
                <w:rFonts w:asciiTheme="majorBidi" w:eastAsia="Times New Roman" w:hAnsiTheme="majorBidi" w:cstheme="majorBidi"/>
                <w:color w:val="000000"/>
                <w:sz w:val="20"/>
                <w:szCs w:val="20"/>
                <w:vertAlign w:val="superscript"/>
              </w:rPr>
              <w:t>**</w:t>
            </w:r>
          </w:p>
        </w:tc>
        <w:tc>
          <w:tcPr>
            <w:tcW w:w="1276" w:type="dxa"/>
            <w:noWrap/>
            <w:hideMark/>
          </w:tcPr>
          <w:p w14:paraId="24BD8CF9"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.749</w:t>
            </w:r>
            <w:r w:rsidRPr="00D53E24">
              <w:rPr>
                <w:rFonts w:asciiTheme="majorBidi" w:eastAsia="Times New Roman" w:hAnsiTheme="majorBidi" w:cstheme="majorBidi"/>
                <w:color w:val="000000"/>
                <w:sz w:val="20"/>
                <w:szCs w:val="20"/>
                <w:vertAlign w:val="superscript"/>
              </w:rPr>
              <w:t>**</w:t>
            </w:r>
          </w:p>
        </w:tc>
        <w:tc>
          <w:tcPr>
            <w:tcW w:w="1094" w:type="dxa"/>
            <w:noWrap/>
            <w:hideMark/>
          </w:tcPr>
          <w:p w14:paraId="16D5E93A"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.797</w:t>
            </w:r>
            <w:r w:rsidRPr="00D53E24">
              <w:rPr>
                <w:rFonts w:asciiTheme="majorBidi" w:eastAsia="Times New Roman" w:hAnsiTheme="majorBidi" w:cstheme="majorBidi"/>
                <w:color w:val="000000"/>
                <w:sz w:val="20"/>
                <w:szCs w:val="20"/>
                <w:vertAlign w:val="superscript"/>
              </w:rPr>
              <w:t>**</w:t>
            </w:r>
          </w:p>
        </w:tc>
        <w:tc>
          <w:tcPr>
            <w:tcW w:w="1174" w:type="dxa"/>
            <w:noWrap/>
            <w:hideMark/>
          </w:tcPr>
          <w:p w14:paraId="27611576"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.687</w:t>
            </w:r>
            <w:r w:rsidRPr="00D53E24">
              <w:rPr>
                <w:rFonts w:asciiTheme="majorBidi" w:eastAsia="Times New Roman" w:hAnsiTheme="majorBidi" w:cstheme="majorBidi"/>
                <w:color w:val="000000"/>
                <w:sz w:val="20"/>
                <w:szCs w:val="20"/>
                <w:vertAlign w:val="superscript"/>
              </w:rPr>
              <w:t>**</w:t>
            </w:r>
          </w:p>
        </w:tc>
        <w:tc>
          <w:tcPr>
            <w:tcW w:w="850" w:type="dxa"/>
            <w:noWrap/>
            <w:hideMark/>
          </w:tcPr>
          <w:p w14:paraId="52811CF8"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c>
          <w:tcPr>
            <w:tcW w:w="567" w:type="dxa"/>
            <w:noWrap/>
            <w:hideMark/>
          </w:tcPr>
          <w:p w14:paraId="3E412C69"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r>
      <w:tr w:rsidR="00D65FF6" w:rsidRPr="00D53E24" w14:paraId="50A0E377" w14:textId="77777777" w:rsidTr="00864BD9">
        <w:trPr>
          <w:trHeight w:val="229"/>
        </w:trPr>
        <w:tc>
          <w:tcPr>
            <w:tcW w:w="1238" w:type="dxa"/>
            <w:hideMark/>
          </w:tcPr>
          <w:p w14:paraId="06CA31AB" w14:textId="77777777" w:rsidR="00D65FF6" w:rsidRPr="00D53E24" w:rsidRDefault="00D65FF6" w:rsidP="008D0DBB">
            <w:pP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Intention</w:t>
            </w:r>
          </w:p>
        </w:tc>
        <w:tc>
          <w:tcPr>
            <w:tcW w:w="1094" w:type="dxa"/>
            <w:noWrap/>
            <w:hideMark/>
          </w:tcPr>
          <w:p w14:paraId="15E029BE"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.472</w:t>
            </w:r>
            <w:r w:rsidRPr="00D53E24">
              <w:rPr>
                <w:rFonts w:asciiTheme="majorBidi" w:eastAsia="Times New Roman" w:hAnsiTheme="majorBidi" w:cstheme="majorBidi"/>
                <w:color w:val="000000"/>
                <w:sz w:val="20"/>
                <w:szCs w:val="20"/>
                <w:vertAlign w:val="superscript"/>
              </w:rPr>
              <w:t>**</w:t>
            </w:r>
          </w:p>
        </w:tc>
        <w:tc>
          <w:tcPr>
            <w:tcW w:w="1070" w:type="dxa"/>
            <w:noWrap/>
            <w:hideMark/>
          </w:tcPr>
          <w:p w14:paraId="53AE0F7A"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.247</w:t>
            </w:r>
            <w:r w:rsidRPr="00D53E24">
              <w:rPr>
                <w:rFonts w:asciiTheme="majorBidi" w:eastAsia="Times New Roman" w:hAnsiTheme="majorBidi" w:cstheme="majorBidi"/>
                <w:color w:val="000000"/>
                <w:sz w:val="20"/>
                <w:szCs w:val="20"/>
                <w:vertAlign w:val="superscript"/>
              </w:rPr>
              <w:t>**</w:t>
            </w:r>
          </w:p>
        </w:tc>
        <w:tc>
          <w:tcPr>
            <w:tcW w:w="1276" w:type="dxa"/>
            <w:noWrap/>
            <w:hideMark/>
          </w:tcPr>
          <w:p w14:paraId="579490AA"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.700</w:t>
            </w:r>
            <w:r w:rsidRPr="00D53E24">
              <w:rPr>
                <w:rFonts w:asciiTheme="majorBidi" w:eastAsia="Times New Roman" w:hAnsiTheme="majorBidi" w:cstheme="majorBidi"/>
                <w:color w:val="000000"/>
                <w:sz w:val="20"/>
                <w:szCs w:val="20"/>
                <w:vertAlign w:val="superscript"/>
              </w:rPr>
              <w:t>**</w:t>
            </w:r>
          </w:p>
        </w:tc>
        <w:tc>
          <w:tcPr>
            <w:tcW w:w="1094" w:type="dxa"/>
            <w:noWrap/>
            <w:hideMark/>
          </w:tcPr>
          <w:p w14:paraId="797E9F53"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.793</w:t>
            </w:r>
            <w:r w:rsidRPr="00D53E24">
              <w:rPr>
                <w:rFonts w:asciiTheme="majorBidi" w:eastAsia="Times New Roman" w:hAnsiTheme="majorBidi" w:cstheme="majorBidi"/>
                <w:color w:val="000000"/>
                <w:sz w:val="20"/>
                <w:szCs w:val="20"/>
                <w:vertAlign w:val="superscript"/>
              </w:rPr>
              <w:t>**</w:t>
            </w:r>
          </w:p>
        </w:tc>
        <w:tc>
          <w:tcPr>
            <w:tcW w:w="1174" w:type="dxa"/>
            <w:noWrap/>
            <w:hideMark/>
          </w:tcPr>
          <w:p w14:paraId="09B31DA1"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.695</w:t>
            </w:r>
            <w:r w:rsidRPr="00D53E24">
              <w:rPr>
                <w:rFonts w:asciiTheme="majorBidi" w:eastAsia="Times New Roman" w:hAnsiTheme="majorBidi" w:cstheme="majorBidi"/>
                <w:color w:val="000000"/>
                <w:sz w:val="20"/>
                <w:szCs w:val="20"/>
                <w:vertAlign w:val="superscript"/>
              </w:rPr>
              <w:t>**</w:t>
            </w:r>
          </w:p>
        </w:tc>
        <w:tc>
          <w:tcPr>
            <w:tcW w:w="850" w:type="dxa"/>
            <w:noWrap/>
            <w:hideMark/>
          </w:tcPr>
          <w:p w14:paraId="37846150"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.771</w:t>
            </w:r>
            <w:r w:rsidRPr="00D53E24">
              <w:rPr>
                <w:rFonts w:asciiTheme="majorBidi" w:eastAsia="Times New Roman" w:hAnsiTheme="majorBidi" w:cstheme="majorBidi"/>
                <w:color w:val="000000"/>
                <w:sz w:val="20"/>
                <w:szCs w:val="20"/>
                <w:vertAlign w:val="superscript"/>
              </w:rPr>
              <w:t>**</w:t>
            </w:r>
          </w:p>
        </w:tc>
        <w:tc>
          <w:tcPr>
            <w:tcW w:w="567" w:type="dxa"/>
            <w:noWrap/>
            <w:hideMark/>
          </w:tcPr>
          <w:p w14:paraId="6C95F9E6" w14:textId="77777777" w:rsidR="00D65FF6" w:rsidRPr="00D53E24" w:rsidRDefault="00D65FF6" w:rsidP="008D0DBB">
            <w:pPr>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w:t>
            </w:r>
          </w:p>
        </w:tc>
      </w:tr>
      <w:tr w:rsidR="00D65FF6" w:rsidRPr="00D53E24" w14:paraId="779F409F" w14:textId="77777777" w:rsidTr="00864BD9">
        <w:trPr>
          <w:trHeight w:val="229"/>
        </w:trPr>
        <w:tc>
          <w:tcPr>
            <w:tcW w:w="8363" w:type="dxa"/>
            <w:gridSpan w:val="8"/>
            <w:hideMark/>
          </w:tcPr>
          <w:p w14:paraId="47433042" w14:textId="77777777" w:rsidR="00D65FF6" w:rsidRPr="00D53E24" w:rsidRDefault="00D65FF6" w:rsidP="00250620">
            <w:pPr>
              <w:keepNex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Correlation is significant at the 0.01 level (2-tailed).</w:t>
            </w:r>
          </w:p>
        </w:tc>
      </w:tr>
    </w:tbl>
    <w:p w14:paraId="337EFC23" w14:textId="4009719F" w:rsidR="00D65FF6" w:rsidRPr="008D75D3" w:rsidRDefault="00250620" w:rsidP="00250620">
      <w:pPr>
        <w:pStyle w:val="Caption"/>
        <w:rPr>
          <w:rFonts w:asciiTheme="majorBidi" w:hAnsiTheme="majorBidi" w:cstheme="majorBidi"/>
          <w:b/>
          <w:bCs/>
          <w:sz w:val="24"/>
          <w:szCs w:val="24"/>
        </w:rPr>
      </w:pPr>
      <w:r>
        <w:t xml:space="preserve">Table </w:t>
      </w:r>
      <w:r w:rsidR="00864BD9">
        <w:t>31</w:t>
      </w:r>
      <w:r>
        <w:t xml:space="preserve"> Pearson’s coefficient correlation between the variables of the study </w:t>
      </w:r>
    </w:p>
    <w:p w14:paraId="299BA59B" w14:textId="7B998E51" w:rsidR="00D65FF6" w:rsidRDefault="00D65FF6" w:rsidP="00D65FF6">
      <w:pPr>
        <w:spacing w:line="360" w:lineRule="auto"/>
        <w:contextualSpacing/>
        <w:rPr>
          <w:rFonts w:asciiTheme="majorBidi" w:hAnsiTheme="majorBidi" w:cstheme="majorBidi"/>
          <w:b/>
          <w:bCs/>
          <w:sz w:val="24"/>
          <w:szCs w:val="24"/>
        </w:rPr>
      </w:pPr>
      <w:r>
        <w:rPr>
          <w:rFonts w:asciiTheme="majorBidi" w:hAnsiTheme="majorBidi" w:cstheme="majorBidi"/>
          <w:b/>
          <w:bCs/>
          <w:sz w:val="24"/>
          <w:szCs w:val="24"/>
        </w:rPr>
        <w:t>6.1</w:t>
      </w:r>
      <w:r w:rsidR="00C0315E">
        <w:rPr>
          <w:rFonts w:asciiTheme="majorBidi" w:hAnsiTheme="majorBidi" w:cstheme="majorBidi"/>
          <w:b/>
          <w:bCs/>
          <w:sz w:val="24"/>
          <w:szCs w:val="24"/>
        </w:rPr>
        <w:t>0</w:t>
      </w:r>
      <w:r w:rsidRPr="008D75D3">
        <w:rPr>
          <w:rFonts w:asciiTheme="majorBidi" w:hAnsiTheme="majorBidi" w:cstheme="majorBidi"/>
          <w:b/>
          <w:bCs/>
          <w:sz w:val="24"/>
          <w:szCs w:val="24"/>
        </w:rPr>
        <w:t xml:space="preserve">.3 Comparing groups </w:t>
      </w:r>
      <w:r>
        <w:rPr>
          <w:rFonts w:asciiTheme="majorBidi" w:hAnsiTheme="majorBidi" w:cstheme="majorBidi"/>
          <w:b/>
          <w:bCs/>
          <w:sz w:val="24"/>
          <w:szCs w:val="24"/>
        </w:rPr>
        <w:t>against</w:t>
      </w:r>
      <w:r w:rsidRPr="008D75D3">
        <w:rPr>
          <w:rFonts w:asciiTheme="majorBidi" w:hAnsiTheme="majorBidi" w:cstheme="majorBidi"/>
          <w:b/>
          <w:bCs/>
          <w:sz w:val="24"/>
          <w:szCs w:val="24"/>
        </w:rPr>
        <w:t xml:space="preserve"> </w:t>
      </w:r>
      <w:r w:rsidR="00053A5D" w:rsidRPr="008D75D3">
        <w:rPr>
          <w:rFonts w:asciiTheme="majorBidi" w:hAnsiTheme="majorBidi" w:cstheme="majorBidi"/>
          <w:b/>
          <w:bCs/>
          <w:sz w:val="24"/>
          <w:szCs w:val="24"/>
        </w:rPr>
        <w:t>each other</w:t>
      </w:r>
    </w:p>
    <w:p w14:paraId="75243F08" w14:textId="5A6B9E43" w:rsidR="005F3782" w:rsidRPr="00864BD9" w:rsidRDefault="00D65FF6" w:rsidP="00864BD9">
      <w:pPr>
        <w:spacing w:line="480" w:lineRule="auto"/>
        <w:contextualSpacing/>
        <w:rPr>
          <w:rFonts w:asciiTheme="majorBidi" w:hAnsiTheme="majorBidi" w:cstheme="majorBidi"/>
          <w:sz w:val="24"/>
          <w:szCs w:val="24"/>
        </w:rPr>
      </w:pPr>
      <w:r>
        <w:rPr>
          <w:rFonts w:asciiTheme="majorBidi" w:hAnsiTheme="majorBidi" w:cstheme="majorBidi"/>
          <w:sz w:val="24"/>
          <w:szCs w:val="24"/>
        </w:rPr>
        <w:tab/>
        <w:t xml:space="preserve">There are different tests to compare groups with the same measure. Some of these tests are </w:t>
      </w:r>
      <w:r w:rsidRPr="008177D8">
        <w:rPr>
          <w:rFonts w:asciiTheme="majorBidi" w:hAnsiTheme="majorBidi" w:cstheme="majorBidi"/>
          <w:sz w:val="24"/>
          <w:szCs w:val="24"/>
        </w:rPr>
        <w:t>one-way analysis of variance (ANOVA), Kruskal-Wallis H test</w:t>
      </w:r>
      <w:r w:rsidRPr="00942BA1">
        <w:rPr>
          <w:rFonts w:asciiTheme="majorBidi" w:hAnsiTheme="majorBidi" w:cstheme="majorBidi"/>
          <w:sz w:val="24"/>
          <w:szCs w:val="24"/>
        </w:rPr>
        <w:t xml:space="preserve"> </w:t>
      </w:r>
      <w:r>
        <w:rPr>
          <w:rFonts w:asciiTheme="majorBidi" w:hAnsiTheme="majorBidi" w:cstheme="majorBidi"/>
          <w:sz w:val="24"/>
          <w:szCs w:val="24"/>
        </w:rPr>
        <w:t xml:space="preserve">and the independent sample t-test. </w:t>
      </w:r>
      <w:bookmarkStart w:id="164" w:name="_Hlk150865749"/>
      <w:r>
        <w:rPr>
          <w:rFonts w:asciiTheme="majorBidi" w:hAnsiTheme="majorBidi" w:cstheme="majorBidi"/>
          <w:sz w:val="24"/>
          <w:szCs w:val="24"/>
        </w:rPr>
        <w:t>ANOVA is more commonly applied on normally distributed data</w:t>
      </w:r>
      <w:sdt>
        <w:sdtPr>
          <w:rPr>
            <w:rFonts w:asciiTheme="majorBidi" w:hAnsiTheme="majorBidi" w:cstheme="majorBidi"/>
            <w:sz w:val="24"/>
            <w:szCs w:val="24"/>
          </w:rPr>
          <w:id w:val="98621136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Sim22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(Simkus,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End w:id="164"/>
      <w:r w:rsidRPr="00942BA1">
        <w:rPr>
          <w:rFonts w:asciiTheme="majorBidi" w:hAnsiTheme="majorBidi" w:cstheme="majorBidi"/>
          <w:sz w:val="24"/>
          <w:szCs w:val="24"/>
        </w:rPr>
        <w:t>Kruskal-Wallis H test</w:t>
      </w:r>
      <w:r>
        <w:rPr>
          <w:rFonts w:asciiTheme="majorBidi" w:hAnsiTheme="majorBidi" w:cstheme="majorBidi"/>
          <w:sz w:val="24"/>
          <w:szCs w:val="24"/>
        </w:rPr>
        <w:t xml:space="preserve"> is a nonparametric test that can be applied to identify the statistical significance between two or more groups but, it does not compare the means of the results of the variables</w:t>
      </w:r>
      <w:sdt>
        <w:sdtPr>
          <w:rPr>
            <w:rFonts w:asciiTheme="majorBidi" w:hAnsiTheme="majorBidi" w:cstheme="majorBidi"/>
            <w:sz w:val="24"/>
            <w:szCs w:val="24"/>
          </w:rPr>
          <w:id w:val="35446301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Kim22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(Kim,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Additionally, one of the most common ways of group comparison is ANOVA test. However, </w:t>
      </w:r>
      <w:bookmarkStart w:id="165" w:name="_Hlk150865764"/>
      <w:r>
        <w:rPr>
          <w:rFonts w:asciiTheme="majorBidi" w:hAnsiTheme="majorBidi" w:cstheme="majorBidi"/>
          <w:sz w:val="24"/>
          <w:szCs w:val="24"/>
        </w:rPr>
        <w:t>ANOVA is more commonly applied when more than two groups are compared against each other</w:t>
      </w:r>
      <w:sdt>
        <w:sdtPr>
          <w:rPr>
            <w:rFonts w:asciiTheme="majorBidi" w:hAnsiTheme="majorBidi" w:cstheme="majorBidi"/>
            <w:sz w:val="24"/>
            <w:szCs w:val="24"/>
          </w:rPr>
          <w:id w:val="-56170852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Placeholder4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D65FF6">
            <w:rPr>
              <w:rFonts w:asciiTheme="majorBidi" w:hAnsiTheme="majorBidi" w:cstheme="majorBidi"/>
              <w:noProof/>
              <w:sz w:val="24"/>
              <w:szCs w:val="24"/>
            </w:rPr>
            <w:t>(Kim H.-Y. , 2014)</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End w:id="165"/>
      <w:r>
        <w:rPr>
          <w:rFonts w:asciiTheme="majorBidi" w:hAnsiTheme="majorBidi" w:cstheme="majorBidi"/>
          <w:sz w:val="24"/>
          <w:szCs w:val="24"/>
        </w:rPr>
        <w:t xml:space="preserve">This study conducts a 2x2 experiment in which all tests compare one group against another. Hence, the independent sample t-test was deemed most appropriate. </w:t>
      </w:r>
      <w:bookmarkStart w:id="166" w:name="_Hlk149845265"/>
      <w:r w:rsidRPr="00617BF9">
        <w:rPr>
          <w:rFonts w:asciiTheme="majorBidi" w:hAnsiTheme="majorBidi" w:cstheme="majorBidi"/>
          <w:sz w:val="24"/>
          <w:szCs w:val="24"/>
        </w:rPr>
        <w:t>To be able to identify whether the means of two independent samples of different groups are statistically different and have normal distributions</w:t>
      </w:r>
      <w:sdt>
        <w:sdtPr>
          <w:rPr>
            <w:rFonts w:asciiTheme="majorBidi" w:hAnsiTheme="majorBidi" w:cstheme="majorBidi"/>
            <w:sz w:val="24"/>
            <w:szCs w:val="24"/>
          </w:rPr>
          <w:id w:val="2094203274"/>
          <w:citation/>
        </w:sdtPr>
        <w:sdtContent>
          <w:r w:rsidRPr="00617BF9">
            <w:rPr>
              <w:rFonts w:asciiTheme="majorBidi" w:hAnsiTheme="majorBidi" w:cstheme="majorBidi"/>
              <w:sz w:val="24"/>
              <w:szCs w:val="24"/>
            </w:rPr>
            <w:fldChar w:fldCharType="begin"/>
          </w:r>
          <w:r w:rsidRPr="00617BF9">
            <w:rPr>
              <w:rFonts w:asciiTheme="majorBidi" w:hAnsiTheme="majorBidi" w:cstheme="majorBidi"/>
              <w:sz w:val="24"/>
              <w:szCs w:val="24"/>
            </w:rPr>
            <w:instrText xml:space="preserve"> CITATION Kum22 \l 2057  \m Ros17</w:instrText>
          </w:r>
          <w:r w:rsidRPr="00617BF9">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(Kumar , 2022; Ross &amp; Willson , 2017)</w:t>
          </w:r>
          <w:r w:rsidRPr="00617BF9">
            <w:rPr>
              <w:rFonts w:asciiTheme="majorBidi" w:hAnsiTheme="majorBidi" w:cstheme="majorBidi"/>
              <w:sz w:val="24"/>
              <w:szCs w:val="24"/>
            </w:rPr>
            <w:fldChar w:fldCharType="end"/>
          </w:r>
        </w:sdtContent>
      </w:sdt>
      <w:r w:rsidRPr="00617BF9">
        <w:rPr>
          <w:rFonts w:asciiTheme="majorBidi" w:hAnsiTheme="majorBidi" w:cstheme="majorBidi"/>
          <w:sz w:val="24"/>
          <w:szCs w:val="24"/>
        </w:rPr>
        <w:t xml:space="preserve">, </w:t>
      </w:r>
      <w:bookmarkStart w:id="167" w:name="_Hlk150865724"/>
      <w:r w:rsidRPr="00617BF9">
        <w:rPr>
          <w:rFonts w:asciiTheme="majorBidi" w:hAnsiTheme="majorBidi" w:cstheme="majorBidi"/>
          <w:sz w:val="24"/>
          <w:szCs w:val="24"/>
        </w:rPr>
        <w:t xml:space="preserve">independent sample t-test was </w:t>
      </w:r>
      <w:r>
        <w:rPr>
          <w:rFonts w:asciiTheme="majorBidi" w:hAnsiTheme="majorBidi" w:cstheme="majorBidi"/>
          <w:sz w:val="24"/>
          <w:szCs w:val="24"/>
        </w:rPr>
        <w:t xml:space="preserve">used to compare between the CSR and non-CSR communication groups and between social media and television groups. </w:t>
      </w:r>
      <w:r w:rsidRPr="00617BF9">
        <w:rPr>
          <w:rFonts w:asciiTheme="majorBidi" w:hAnsiTheme="majorBidi" w:cstheme="majorBidi"/>
          <w:sz w:val="24"/>
          <w:szCs w:val="24"/>
        </w:rPr>
        <w:t xml:space="preserve"> </w:t>
      </w:r>
      <w:bookmarkEnd w:id="166"/>
      <w:bookmarkEnd w:id="167"/>
    </w:p>
    <w:p w14:paraId="7D5160D5" w14:textId="61E04E2F" w:rsidR="00D65FF6" w:rsidRPr="00CB07F2" w:rsidRDefault="00D65FF6" w:rsidP="00D65FF6">
      <w:pPr>
        <w:spacing w:line="360" w:lineRule="auto"/>
        <w:jc w:val="both"/>
        <w:rPr>
          <w:rFonts w:asciiTheme="majorBidi" w:hAnsiTheme="majorBidi" w:cstheme="majorBidi"/>
          <w:b/>
          <w:bCs/>
          <w:sz w:val="24"/>
          <w:szCs w:val="24"/>
        </w:rPr>
      </w:pPr>
      <w:bookmarkStart w:id="168" w:name="_Hlk149845315"/>
      <w:r w:rsidRPr="00CB07F2">
        <w:rPr>
          <w:rFonts w:asciiTheme="majorBidi" w:hAnsiTheme="majorBidi" w:cstheme="majorBidi"/>
          <w:b/>
          <w:bCs/>
          <w:sz w:val="24"/>
          <w:szCs w:val="24"/>
        </w:rPr>
        <w:t>6.1</w:t>
      </w:r>
      <w:r w:rsidR="00C0315E">
        <w:rPr>
          <w:rFonts w:asciiTheme="majorBidi" w:hAnsiTheme="majorBidi" w:cstheme="majorBidi"/>
          <w:b/>
          <w:bCs/>
          <w:sz w:val="24"/>
          <w:szCs w:val="24"/>
        </w:rPr>
        <w:t>0</w:t>
      </w:r>
      <w:r w:rsidRPr="00CB07F2">
        <w:rPr>
          <w:rFonts w:asciiTheme="majorBidi" w:hAnsiTheme="majorBidi" w:cstheme="majorBidi"/>
          <w:b/>
          <w:bCs/>
          <w:sz w:val="24"/>
          <w:szCs w:val="24"/>
        </w:rPr>
        <w:t>.3.1 CSR vs. non-CSR Communication</w:t>
      </w:r>
    </w:p>
    <w:p w14:paraId="35FCC537" w14:textId="24736509" w:rsidR="00D65FF6" w:rsidRPr="00482F34" w:rsidRDefault="00183B00" w:rsidP="00F5085B">
      <w:pPr>
        <w:spacing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This section compares the impact of CSR and non-CSR communication on brand attitudes and purchase intention. </w:t>
      </w:r>
      <w:r w:rsidR="00D65FF6" w:rsidRPr="00482F34">
        <w:rPr>
          <w:rFonts w:asciiTheme="majorBidi" w:hAnsiTheme="majorBidi" w:cstheme="majorBidi"/>
          <w:sz w:val="24"/>
          <w:szCs w:val="24"/>
        </w:rPr>
        <w:t xml:space="preserve">From the following table </w:t>
      </w:r>
      <w:r w:rsidR="00D65FF6">
        <w:rPr>
          <w:rFonts w:asciiTheme="majorBidi" w:hAnsiTheme="majorBidi" w:cstheme="majorBidi"/>
          <w:sz w:val="24"/>
          <w:szCs w:val="24"/>
        </w:rPr>
        <w:t>it can be</w:t>
      </w:r>
      <w:r w:rsidR="00D65FF6" w:rsidRPr="00482F34">
        <w:rPr>
          <w:rFonts w:asciiTheme="majorBidi" w:hAnsiTheme="majorBidi" w:cstheme="majorBidi"/>
          <w:sz w:val="24"/>
          <w:szCs w:val="24"/>
        </w:rPr>
        <w:t xml:space="preserve"> </w:t>
      </w:r>
      <w:r w:rsidR="00D65FF6">
        <w:rPr>
          <w:rFonts w:asciiTheme="majorBidi" w:hAnsiTheme="majorBidi" w:cstheme="majorBidi"/>
          <w:sz w:val="24"/>
          <w:szCs w:val="24"/>
        </w:rPr>
        <w:t>deduced</w:t>
      </w:r>
      <w:r w:rsidR="00D65FF6" w:rsidRPr="00482F34">
        <w:rPr>
          <w:rFonts w:asciiTheme="majorBidi" w:hAnsiTheme="majorBidi" w:cstheme="majorBidi"/>
          <w:sz w:val="24"/>
          <w:szCs w:val="24"/>
        </w:rPr>
        <w:t xml:space="preserve"> that</w:t>
      </w:r>
      <w:r>
        <w:rPr>
          <w:rFonts w:asciiTheme="majorBidi" w:hAnsiTheme="majorBidi" w:cstheme="majorBidi"/>
          <w:sz w:val="24"/>
          <w:szCs w:val="24"/>
        </w:rPr>
        <w:t>,</w:t>
      </w:r>
      <w:r w:rsidR="00D65FF6" w:rsidRPr="00482F34">
        <w:rPr>
          <w:rFonts w:asciiTheme="majorBidi" w:hAnsiTheme="majorBidi" w:cstheme="majorBidi"/>
          <w:sz w:val="24"/>
          <w:szCs w:val="24"/>
        </w:rPr>
        <w:t xml:space="preserve"> with 95%</w:t>
      </w:r>
      <w:r w:rsidR="00D65FF6">
        <w:rPr>
          <w:rFonts w:asciiTheme="majorBidi" w:hAnsiTheme="majorBidi" w:cstheme="majorBidi"/>
          <w:sz w:val="24"/>
          <w:szCs w:val="24"/>
        </w:rPr>
        <w:t xml:space="preserve"> confidence</w:t>
      </w:r>
      <w:r w:rsidR="00D65FF6" w:rsidRPr="00482F34">
        <w:rPr>
          <w:rFonts w:asciiTheme="majorBidi" w:hAnsiTheme="majorBidi" w:cstheme="majorBidi"/>
          <w:sz w:val="24"/>
          <w:szCs w:val="24"/>
        </w:rPr>
        <w:t>:</w:t>
      </w:r>
    </w:p>
    <w:p w14:paraId="3D268FF2" w14:textId="77777777" w:rsidR="00D65FF6" w:rsidRPr="008D75D3" w:rsidRDefault="00D65FF6">
      <w:pPr>
        <w:pStyle w:val="ListParagraph"/>
        <w:numPr>
          <w:ilvl w:val="0"/>
          <w:numId w:val="9"/>
        </w:numPr>
        <w:spacing w:after="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 The </w:t>
      </w:r>
      <w:r w:rsidRPr="00CB07F2">
        <w:rPr>
          <w:rFonts w:asciiTheme="majorBidi" w:hAnsiTheme="majorBidi" w:cstheme="majorBidi"/>
          <w:sz w:val="24"/>
          <w:szCs w:val="24"/>
        </w:rPr>
        <w:t>average</w:t>
      </w:r>
      <w:r w:rsidRPr="008D75D3">
        <w:rPr>
          <w:rFonts w:asciiTheme="majorBidi" w:hAnsiTheme="majorBidi" w:cstheme="majorBidi"/>
          <w:sz w:val="24"/>
          <w:szCs w:val="24"/>
        </w:rPr>
        <w:t xml:space="preserve"> of </w:t>
      </w:r>
      <w:r>
        <w:rPr>
          <w:rFonts w:asciiTheme="majorBidi" w:hAnsiTheme="majorBidi" w:cstheme="majorBidi"/>
          <w:sz w:val="24"/>
          <w:szCs w:val="24"/>
        </w:rPr>
        <w:t>ad</w:t>
      </w:r>
      <w:r w:rsidRPr="008D75D3">
        <w:rPr>
          <w:rFonts w:asciiTheme="majorBidi" w:hAnsiTheme="majorBidi" w:cstheme="majorBidi"/>
          <w:sz w:val="24"/>
          <w:szCs w:val="24"/>
        </w:rPr>
        <w:t xml:space="preserve"> likeability for</w:t>
      </w:r>
      <w:r>
        <w:rPr>
          <w:rFonts w:asciiTheme="majorBidi" w:hAnsiTheme="majorBidi" w:cstheme="majorBidi"/>
          <w:sz w:val="24"/>
          <w:szCs w:val="24"/>
        </w:rPr>
        <w:t xml:space="preserve"> the</w:t>
      </w:r>
      <w:r w:rsidRPr="008D75D3">
        <w:rPr>
          <w:rFonts w:asciiTheme="majorBidi" w:hAnsiTheme="majorBidi" w:cstheme="majorBidi"/>
          <w:sz w:val="24"/>
          <w:szCs w:val="24"/>
        </w:rPr>
        <w:t xml:space="preserve"> </w:t>
      </w:r>
      <w:r>
        <w:rPr>
          <w:rFonts w:asciiTheme="majorBidi" w:hAnsiTheme="majorBidi" w:cstheme="majorBidi"/>
          <w:sz w:val="24"/>
          <w:szCs w:val="24"/>
        </w:rPr>
        <w:t>n</w:t>
      </w:r>
      <w:r w:rsidRPr="008D75D3">
        <w:rPr>
          <w:rFonts w:asciiTheme="majorBidi" w:hAnsiTheme="majorBidi" w:cstheme="majorBidi"/>
          <w:sz w:val="24"/>
          <w:szCs w:val="24"/>
        </w:rPr>
        <w:t>on</w:t>
      </w:r>
      <w:r>
        <w:rPr>
          <w:rFonts w:asciiTheme="majorBidi" w:hAnsiTheme="majorBidi" w:cstheme="majorBidi"/>
          <w:sz w:val="24"/>
          <w:szCs w:val="24"/>
        </w:rPr>
        <w:t>-</w:t>
      </w:r>
      <w:r w:rsidRPr="008D75D3">
        <w:rPr>
          <w:rFonts w:asciiTheme="majorBidi" w:hAnsiTheme="majorBidi" w:cstheme="majorBidi"/>
          <w:sz w:val="24"/>
          <w:szCs w:val="24"/>
        </w:rPr>
        <w:t>CSR</w:t>
      </w:r>
      <w:r w:rsidRPr="00482F34">
        <w:rPr>
          <w:rFonts w:asciiTheme="majorBidi" w:hAnsiTheme="majorBidi" w:cstheme="majorBidi"/>
          <w:sz w:val="24"/>
          <w:szCs w:val="24"/>
        </w:rPr>
        <w:t xml:space="preserve"> </w:t>
      </w:r>
      <w:r>
        <w:rPr>
          <w:rFonts w:asciiTheme="majorBidi" w:hAnsiTheme="majorBidi" w:cstheme="majorBidi"/>
          <w:sz w:val="24"/>
          <w:szCs w:val="24"/>
        </w:rPr>
        <w:t>communication group</w:t>
      </w:r>
      <w:r w:rsidRPr="008D75D3">
        <w:rPr>
          <w:rFonts w:asciiTheme="majorBidi" w:hAnsiTheme="majorBidi" w:cstheme="majorBidi"/>
          <w:sz w:val="24"/>
          <w:szCs w:val="24"/>
        </w:rPr>
        <w:t xml:space="preserve"> is significantly lower than the same average of CSR</w:t>
      </w:r>
      <w:r>
        <w:rPr>
          <w:rFonts w:asciiTheme="majorBidi" w:hAnsiTheme="majorBidi" w:cstheme="majorBidi"/>
          <w:sz w:val="24"/>
          <w:szCs w:val="24"/>
        </w:rPr>
        <w:t xml:space="preserve"> communication group. </w:t>
      </w:r>
    </w:p>
    <w:p w14:paraId="0B6CFCE7" w14:textId="77777777" w:rsidR="00D65FF6" w:rsidRPr="008D75D3" w:rsidRDefault="00D65FF6">
      <w:pPr>
        <w:pStyle w:val="ListParagraph"/>
        <w:numPr>
          <w:ilvl w:val="0"/>
          <w:numId w:val="9"/>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CSR perception for </w:t>
      </w:r>
      <w:r>
        <w:rPr>
          <w:rFonts w:asciiTheme="majorBidi" w:hAnsiTheme="majorBidi" w:cstheme="majorBidi"/>
          <w:sz w:val="24"/>
          <w:szCs w:val="24"/>
        </w:rPr>
        <w:t>n</w:t>
      </w:r>
      <w:r w:rsidRPr="008D75D3">
        <w:rPr>
          <w:rFonts w:asciiTheme="majorBidi" w:hAnsiTheme="majorBidi" w:cstheme="majorBidi"/>
          <w:sz w:val="24"/>
          <w:szCs w:val="24"/>
        </w:rPr>
        <w:t>on</w:t>
      </w:r>
      <w:r>
        <w:rPr>
          <w:rFonts w:asciiTheme="majorBidi" w:hAnsiTheme="majorBidi" w:cstheme="majorBidi"/>
          <w:sz w:val="24"/>
          <w:szCs w:val="24"/>
        </w:rPr>
        <w:t>-</w:t>
      </w:r>
      <w:r w:rsidRPr="008D75D3">
        <w:rPr>
          <w:rFonts w:asciiTheme="majorBidi" w:hAnsiTheme="majorBidi" w:cstheme="majorBidi"/>
          <w:sz w:val="24"/>
          <w:szCs w:val="24"/>
        </w:rPr>
        <w:t xml:space="preserve">CSR </w:t>
      </w:r>
      <w:r>
        <w:rPr>
          <w:rFonts w:asciiTheme="majorBidi" w:hAnsiTheme="majorBidi" w:cstheme="majorBidi"/>
          <w:sz w:val="24"/>
          <w:szCs w:val="24"/>
        </w:rPr>
        <w:t xml:space="preserve">group </w:t>
      </w:r>
      <w:r w:rsidRPr="008D75D3">
        <w:rPr>
          <w:rFonts w:asciiTheme="majorBidi" w:hAnsiTheme="majorBidi" w:cstheme="majorBidi"/>
          <w:sz w:val="24"/>
          <w:szCs w:val="24"/>
        </w:rPr>
        <w:t>is significantly lower than the same average of CSR</w:t>
      </w:r>
      <w:r>
        <w:rPr>
          <w:rFonts w:asciiTheme="majorBidi" w:hAnsiTheme="majorBidi" w:cstheme="majorBidi"/>
          <w:sz w:val="24"/>
          <w:szCs w:val="24"/>
        </w:rPr>
        <w:t xml:space="preserve"> communication group.</w:t>
      </w:r>
    </w:p>
    <w:p w14:paraId="6F2ED00E" w14:textId="77777777" w:rsidR="00D65FF6" w:rsidRPr="008D75D3" w:rsidRDefault="00D65FF6">
      <w:pPr>
        <w:pStyle w:val="ListParagraph"/>
        <w:numPr>
          <w:ilvl w:val="0"/>
          <w:numId w:val="9"/>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functionality for </w:t>
      </w:r>
      <w:r>
        <w:rPr>
          <w:rFonts w:asciiTheme="majorBidi" w:hAnsiTheme="majorBidi" w:cstheme="majorBidi"/>
          <w:sz w:val="24"/>
          <w:szCs w:val="24"/>
        </w:rPr>
        <w:t>n</w:t>
      </w:r>
      <w:r w:rsidRPr="008D75D3">
        <w:rPr>
          <w:rFonts w:asciiTheme="majorBidi" w:hAnsiTheme="majorBidi" w:cstheme="majorBidi"/>
          <w:sz w:val="24"/>
          <w:szCs w:val="24"/>
        </w:rPr>
        <w:t>on</w:t>
      </w:r>
      <w:r>
        <w:rPr>
          <w:rFonts w:asciiTheme="majorBidi" w:hAnsiTheme="majorBidi" w:cstheme="majorBidi"/>
          <w:sz w:val="24"/>
          <w:szCs w:val="24"/>
        </w:rPr>
        <w:t>-</w:t>
      </w:r>
      <w:r w:rsidRPr="008D75D3">
        <w:rPr>
          <w:rFonts w:asciiTheme="majorBidi" w:hAnsiTheme="majorBidi" w:cstheme="majorBidi"/>
          <w:sz w:val="24"/>
          <w:szCs w:val="24"/>
        </w:rPr>
        <w:t>CSR</w:t>
      </w:r>
      <w:r w:rsidRPr="00482F34">
        <w:rPr>
          <w:rFonts w:asciiTheme="majorBidi" w:hAnsiTheme="majorBidi" w:cstheme="majorBidi"/>
          <w:sz w:val="24"/>
          <w:szCs w:val="24"/>
        </w:rPr>
        <w:t xml:space="preserve"> </w:t>
      </w:r>
      <w:r>
        <w:rPr>
          <w:rFonts w:asciiTheme="majorBidi" w:hAnsiTheme="majorBidi" w:cstheme="majorBidi"/>
          <w:sz w:val="24"/>
          <w:szCs w:val="24"/>
        </w:rPr>
        <w:t>communication group</w:t>
      </w:r>
      <w:r w:rsidRPr="008D75D3">
        <w:rPr>
          <w:rFonts w:asciiTheme="majorBidi" w:hAnsiTheme="majorBidi" w:cstheme="majorBidi"/>
          <w:sz w:val="24"/>
          <w:szCs w:val="24"/>
        </w:rPr>
        <w:t xml:space="preserve"> is significantly lower than the same average of CSR</w:t>
      </w:r>
      <w:r>
        <w:rPr>
          <w:rFonts w:asciiTheme="majorBidi" w:hAnsiTheme="majorBidi" w:cstheme="majorBidi"/>
          <w:sz w:val="24"/>
          <w:szCs w:val="24"/>
        </w:rPr>
        <w:t xml:space="preserve"> communication group.</w:t>
      </w:r>
    </w:p>
    <w:p w14:paraId="71F09461" w14:textId="77777777" w:rsidR="00D65FF6" w:rsidRDefault="00D65FF6">
      <w:pPr>
        <w:pStyle w:val="ListParagraph"/>
        <w:numPr>
          <w:ilvl w:val="0"/>
          <w:numId w:val="9"/>
        </w:numPr>
        <w:spacing w:after="200" w:line="480" w:lineRule="auto"/>
        <w:jc w:val="both"/>
        <w:rPr>
          <w:rFonts w:asciiTheme="majorBidi" w:hAnsiTheme="majorBidi" w:cstheme="majorBidi"/>
          <w:sz w:val="24"/>
          <w:szCs w:val="24"/>
        </w:rPr>
      </w:pPr>
      <w:r w:rsidRPr="00DF5A78">
        <w:rPr>
          <w:rFonts w:asciiTheme="majorBidi" w:hAnsiTheme="majorBidi" w:cstheme="majorBidi"/>
          <w:sz w:val="24"/>
          <w:szCs w:val="24"/>
        </w:rPr>
        <w:t xml:space="preserve">The average of brand likeability for </w:t>
      </w:r>
      <w:r>
        <w:rPr>
          <w:rFonts w:asciiTheme="majorBidi" w:hAnsiTheme="majorBidi" w:cstheme="majorBidi"/>
          <w:sz w:val="24"/>
          <w:szCs w:val="24"/>
        </w:rPr>
        <w:t>n</w:t>
      </w:r>
      <w:r w:rsidRPr="008D75D3">
        <w:rPr>
          <w:rFonts w:asciiTheme="majorBidi" w:hAnsiTheme="majorBidi" w:cstheme="majorBidi"/>
          <w:sz w:val="24"/>
          <w:szCs w:val="24"/>
        </w:rPr>
        <w:t>on</w:t>
      </w:r>
      <w:r>
        <w:rPr>
          <w:rFonts w:asciiTheme="majorBidi" w:hAnsiTheme="majorBidi" w:cstheme="majorBidi"/>
          <w:sz w:val="24"/>
          <w:szCs w:val="24"/>
        </w:rPr>
        <w:t>-</w:t>
      </w:r>
      <w:r w:rsidRPr="008D75D3">
        <w:rPr>
          <w:rFonts w:asciiTheme="majorBidi" w:hAnsiTheme="majorBidi" w:cstheme="majorBidi"/>
          <w:sz w:val="24"/>
          <w:szCs w:val="24"/>
        </w:rPr>
        <w:t>CSR</w:t>
      </w:r>
      <w:r w:rsidRPr="00482F34">
        <w:rPr>
          <w:rFonts w:asciiTheme="majorBidi" w:hAnsiTheme="majorBidi" w:cstheme="majorBidi"/>
          <w:sz w:val="24"/>
          <w:szCs w:val="24"/>
        </w:rPr>
        <w:t xml:space="preserve"> </w:t>
      </w:r>
      <w:r>
        <w:rPr>
          <w:rFonts w:asciiTheme="majorBidi" w:hAnsiTheme="majorBidi" w:cstheme="majorBidi"/>
          <w:sz w:val="24"/>
          <w:szCs w:val="24"/>
        </w:rPr>
        <w:t>communication group</w:t>
      </w:r>
      <w:r w:rsidRPr="008D75D3">
        <w:rPr>
          <w:rFonts w:asciiTheme="majorBidi" w:hAnsiTheme="majorBidi" w:cstheme="majorBidi"/>
          <w:sz w:val="24"/>
          <w:szCs w:val="24"/>
        </w:rPr>
        <w:t xml:space="preserve"> </w:t>
      </w:r>
      <w:r w:rsidRPr="00DF5A78">
        <w:rPr>
          <w:rFonts w:asciiTheme="majorBidi" w:hAnsiTheme="majorBidi" w:cstheme="majorBidi"/>
          <w:sz w:val="24"/>
          <w:szCs w:val="24"/>
        </w:rPr>
        <w:t xml:space="preserve">is significantly lower than the same average of </w:t>
      </w:r>
      <w:r w:rsidRPr="008D75D3">
        <w:rPr>
          <w:rFonts w:asciiTheme="majorBidi" w:hAnsiTheme="majorBidi" w:cstheme="majorBidi"/>
          <w:sz w:val="24"/>
          <w:szCs w:val="24"/>
        </w:rPr>
        <w:t>CSR</w:t>
      </w:r>
      <w:r>
        <w:rPr>
          <w:rFonts w:asciiTheme="majorBidi" w:hAnsiTheme="majorBidi" w:cstheme="majorBidi"/>
          <w:sz w:val="24"/>
          <w:szCs w:val="24"/>
        </w:rPr>
        <w:t xml:space="preserve"> communication group.</w:t>
      </w:r>
    </w:p>
    <w:p w14:paraId="357951A3" w14:textId="77777777" w:rsidR="00D65FF6" w:rsidRPr="00DF5A78" w:rsidRDefault="00D65FF6">
      <w:pPr>
        <w:pStyle w:val="ListParagraph"/>
        <w:numPr>
          <w:ilvl w:val="0"/>
          <w:numId w:val="9"/>
        </w:numPr>
        <w:spacing w:after="200" w:line="480" w:lineRule="auto"/>
        <w:jc w:val="both"/>
        <w:rPr>
          <w:rFonts w:asciiTheme="majorBidi" w:hAnsiTheme="majorBidi" w:cstheme="majorBidi"/>
          <w:sz w:val="24"/>
          <w:szCs w:val="24"/>
        </w:rPr>
      </w:pPr>
      <w:r w:rsidRPr="00DF5A78">
        <w:rPr>
          <w:rFonts w:asciiTheme="majorBidi" w:hAnsiTheme="majorBidi" w:cstheme="majorBidi"/>
          <w:sz w:val="24"/>
          <w:szCs w:val="24"/>
        </w:rPr>
        <w:t xml:space="preserve">The average of </w:t>
      </w:r>
      <w:r>
        <w:rPr>
          <w:rFonts w:asciiTheme="majorBidi" w:hAnsiTheme="majorBidi" w:cstheme="majorBidi"/>
          <w:sz w:val="24"/>
          <w:szCs w:val="24"/>
        </w:rPr>
        <w:t>e</w:t>
      </w:r>
      <w:r w:rsidRPr="00DF5A78">
        <w:rPr>
          <w:rFonts w:asciiTheme="majorBidi" w:hAnsiTheme="majorBidi" w:cstheme="majorBidi"/>
          <w:sz w:val="24"/>
          <w:szCs w:val="24"/>
        </w:rPr>
        <w:t xml:space="preserve">motional brand for </w:t>
      </w:r>
      <w:r>
        <w:rPr>
          <w:rFonts w:asciiTheme="majorBidi" w:hAnsiTheme="majorBidi" w:cstheme="majorBidi"/>
          <w:sz w:val="24"/>
          <w:szCs w:val="24"/>
        </w:rPr>
        <w:t>n</w:t>
      </w:r>
      <w:r w:rsidRPr="008D75D3">
        <w:rPr>
          <w:rFonts w:asciiTheme="majorBidi" w:hAnsiTheme="majorBidi" w:cstheme="majorBidi"/>
          <w:sz w:val="24"/>
          <w:szCs w:val="24"/>
        </w:rPr>
        <w:t>on</w:t>
      </w:r>
      <w:r>
        <w:rPr>
          <w:rFonts w:asciiTheme="majorBidi" w:hAnsiTheme="majorBidi" w:cstheme="majorBidi"/>
          <w:sz w:val="24"/>
          <w:szCs w:val="24"/>
        </w:rPr>
        <w:t>-</w:t>
      </w:r>
      <w:r w:rsidRPr="008D75D3">
        <w:rPr>
          <w:rFonts w:asciiTheme="majorBidi" w:hAnsiTheme="majorBidi" w:cstheme="majorBidi"/>
          <w:sz w:val="24"/>
          <w:szCs w:val="24"/>
        </w:rPr>
        <w:t>CSR</w:t>
      </w:r>
      <w:r w:rsidRPr="00482F34">
        <w:rPr>
          <w:rFonts w:asciiTheme="majorBidi" w:hAnsiTheme="majorBidi" w:cstheme="majorBidi"/>
          <w:sz w:val="24"/>
          <w:szCs w:val="24"/>
        </w:rPr>
        <w:t xml:space="preserve"> </w:t>
      </w:r>
      <w:r>
        <w:rPr>
          <w:rFonts w:asciiTheme="majorBidi" w:hAnsiTheme="majorBidi" w:cstheme="majorBidi"/>
          <w:sz w:val="24"/>
          <w:szCs w:val="24"/>
        </w:rPr>
        <w:t>communication group</w:t>
      </w:r>
      <w:r w:rsidRPr="008D75D3">
        <w:rPr>
          <w:rFonts w:asciiTheme="majorBidi" w:hAnsiTheme="majorBidi" w:cstheme="majorBidi"/>
          <w:sz w:val="24"/>
          <w:szCs w:val="24"/>
        </w:rPr>
        <w:t xml:space="preserve"> </w:t>
      </w:r>
      <w:r w:rsidRPr="00DF5A78">
        <w:rPr>
          <w:rFonts w:asciiTheme="majorBidi" w:hAnsiTheme="majorBidi" w:cstheme="majorBidi"/>
          <w:sz w:val="24"/>
          <w:szCs w:val="24"/>
        </w:rPr>
        <w:t xml:space="preserve">is significantly lower than the same average of </w:t>
      </w:r>
      <w:r w:rsidRPr="008D75D3">
        <w:rPr>
          <w:rFonts w:asciiTheme="majorBidi" w:hAnsiTheme="majorBidi" w:cstheme="majorBidi"/>
          <w:sz w:val="24"/>
          <w:szCs w:val="24"/>
        </w:rPr>
        <w:t>CSR</w:t>
      </w:r>
      <w:r>
        <w:rPr>
          <w:rFonts w:asciiTheme="majorBidi" w:hAnsiTheme="majorBidi" w:cstheme="majorBidi"/>
          <w:sz w:val="24"/>
          <w:szCs w:val="24"/>
        </w:rPr>
        <w:t xml:space="preserve"> communication group.</w:t>
      </w:r>
    </w:p>
    <w:p w14:paraId="0A3DB28F" w14:textId="77777777" w:rsidR="00D65FF6" w:rsidRPr="008D75D3" w:rsidRDefault="00D65FF6">
      <w:pPr>
        <w:pStyle w:val="ListParagraph"/>
        <w:numPr>
          <w:ilvl w:val="0"/>
          <w:numId w:val="9"/>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trust </w:t>
      </w:r>
      <w:r>
        <w:rPr>
          <w:rFonts w:asciiTheme="majorBidi" w:hAnsiTheme="majorBidi" w:cstheme="majorBidi"/>
          <w:sz w:val="24"/>
          <w:szCs w:val="24"/>
        </w:rPr>
        <w:t>for n</w:t>
      </w:r>
      <w:r w:rsidRPr="008D75D3">
        <w:rPr>
          <w:rFonts w:asciiTheme="majorBidi" w:hAnsiTheme="majorBidi" w:cstheme="majorBidi"/>
          <w:sz w:val="24"/>
          <w:szCs w:val="24"/>
        </w:rPr>
        <w:t>on</w:t>
      </w:r>
      <w:r>
        <w:rPr>
          <w:rFonts w:asciiTheme="majorBidi" w:hAnsiTheme="majorBidi" w:cstheme="majorBidi"/>
          <w:sz w:val="24"/>
          <w:szCs w:val="24"/>
        </w:rPr>
        <w:t>-</w:t>
      </w:r>
      <w:r w:rsidRPr="008D75D3">
        <w:rPr>
          <w:rFonts w:asciiTheme="majorBidi" w:hAnsiTheme="majorBidi" w:cstheme="majorBidi"/>
          <w:sz w:val="24"/>
          <w:szCs w:val="24"/>
        </w:rPr>
        <w:t>CSR</w:t>
      </w:r>
      <w:r w:rsidRPr="00482F34">
        <w:rPr>
          <w:rFonts w:asciiTheme="majorBidi" w:hAnsiTheme="majorBidi" w:cstheme="majorBidi"/>
          <w:sz w:val="24"/>
          <w:szCs w:val="24"/>
        </w:rPr>
        <w:t xml:space="preserve"> </w:t>
      </w:r>
      <w:r>
        <w:rPr>
          <w:rFonts w:asciiTheme="majorBidi" w:hAnsiTheme="majorBidi" w:cstheme="majorBidi"/>
          <w:sz w:val="24"/>
          <w:szCs w:val="24"/>
        </w:rPr>
        <w:t>communication group</w:t>
      </w:r>
      <w:r w:rsidRPr="008D75D3">
        <w:rPr>
          <w:rFonts w:asciiTheme="majorBidi" w:hAnsiTheme="majorBidi" w:cstheme="majorBidi"/>
          <w:sz w:val="24"/>
          <w:szCs w:val="24"/>
        </w:rPr>
        <w:t xml:space="preserve"> is significantly lower than the same average of CSR</w:t>
      </w:r>
      <w:r>
        <w:rPr>
          <w:rFonts w:asciiTheme="majorBidi" w:hAnsiTheme="majorBidi" w:cstheme="majorBidi"/>
          <w:sz w:val="24"/>
          <w:szCs w:val="24"/>
        </w:rPr>
        <w:t xml:space="preserve"> communication group.</w:t>
      </w:r>
    </w:p>
    <w:p w14:paraId="6D26FC0D" w14:textId="4E6A98C4" w:rsidR="00D65FF6" w:rsidRPr="00250620" w:rsidRDefault="00D65FF6">
      <w:pPr>
        <w:pStyle w:val="ListParagraph"/>
        <w:numPr>
          <w:ilvl w:val="0"/>
          <w:numId w:val="9"/>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w:t>
      </w:r>
      <w:r>
        <w:rPr>
          <w:rFonts w:asciiTheme="majorBidi" w:hAnsiTheme="majorBidi" w:cstheme="majorBidi"/>
          <w:sz w:val="24"/>
          <w:szCs w:val="24"/>
        </w:rPr>
        <w:t xml:space="preserve">purchase </w:t>
      </w:r>
      <w:r w:rsidRPr="008D75D3">
        <w:rPr>
          <w:rFonts w:asciiTheme="majorBidi" w:hAnsiTheme="majorBidi" w:cstheme="majorBidi"/>
          <w:sz w:val="24"/>
          <w:szCs w:val="24"/>
        </w:rPr>
        <w:t xml:space="preserve">intention for </w:t>
      </w:r>
      <w:r>
        <w:rPr>
          <w:rFonts w:asciiTheme="majorBidi" w:hAnsiTheme="majorBidi" w:cstheme="majorBidi"/>
          <w:sz w:val="24"/>
          <w:szCs w:val="24"/>
        </w:rPr>
        <w:t>n</w:t>
      </w:r>
      <w:r w:rsidRPr="008D75D3">
        <w:rPr>
          <w:rFonts w:asciiTheme="majorBidi" w:hAnsiTheme="majorBidi" w:cstheme="majorBidi"/>
          <w:sz w:val="24"/>
          <w:szCs w:val="24"/>
        </w:rPr>
        <w:t>on</w:t>
      </w:r>
      <w:r>
        <w:rPr>
          <w:rFonts w:asciiTheme="majorBidi" w:hAnsiTheme="majorBidi" w:cstheme="majorBidi"/>
          <w:sz w:val="24"/>
          <w:szCs w:val="24"/>
        </w:rPr>
        <w:t>-</w:t>
      </w:r>
      <w:r w:rsidRPr="008D75D3">
        <w:rPr>
          <w:rFonts w:asciiTheme="majorBidi" w:hAnsiTheme="majorBidi" w:cstheme="majorBidi"/>
          <w:sz w:val="24"/>
          <w:szCs w:val="24"/>
        </w:rPr>
        <w:t>CSR</w:t>
      </w:r>
      <w:r w:rsidRPr="00482F34">
        <w:rPr>
          <w:rFonts w:asciiTheme="majorBidi" w:hAnsiTheme="majorBidi" w:cstheme="majorBidi"/>
          <w:sz w:val="24"/>
          <w:szCs w:val="24"/>
        </w:rPr>
        <w:t xml:space="preserve"> </w:t>
      </w:r>
      <w:r>
        <w:rPr>
          <w:rFonts w:asciiTheme="majorBidi" w:hAnsiTheme="majorBidi" w:cstheme="majorBidi"/>
          <w:sz w:val="24"/>
          <w:szCs w:val="24"/>
        </w:rPr>
        <w:t>communication group</w:t>
      </w:r>
      <w:r w:rsidRPr="008D75D3">
        <w:rPr>
          <w:rFonts w:asciiTheme="majorBidi" w:hAnsiTheme="majorBidi" w:cstheme="majorBidi"/>
          <w:sz w:val="24"/>
          <w:szCs w:val="24"/>
        </w:rPr>
        <w:t xml:space="preserve"> is significantly lower than the same average of CSR</w:t>
      </w:r>
      <w:r>
        <w:rPr>
          <w:rFonts w:asciiTheme="majorBidi" w:hAnsiTheme="majorBidi" w:cstheme="majorBidi"/>
          <w:sz w:val="24"/>
          <w:szCs w:val="24"/>
        </w:rPr>
        <w:t xml:space="preserve"> communication group.</w:t>
      </w:r>
    </w:p>
    <w:bookmarkEnd w:id="168"/>
    <w:p w14:paraId="6CD23DA2" w14:textId="77777777" w:rsidR="00864BD9" w:rsidRDefault="00864BD9">
      <w:r>
        <w:br w:type="page"/>
      </w:r>
    </w:p>
    <w:tbl>
      <w:tblPr>
        <w:tblW w:w="808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313"/>
        <w:gridCol w:w="759"/>
        <w:gridCol w:w="851"/>
        <w:gridCol w:w="1134"/>
        <w:gridCol w:w="1276"/>
        <w:gridCol w:w="850"/>
      </w:tblGrid>
      <w:tr w:rsidR="00D65FF6" w:rsidRPr="00D53E24" w14:paraId="2C909911" w14:textId="77777777" w:rsidTr="00864BD9">
        <w:trPr>
          <w:trHeight w:val="421"/>
        </w:trPr>
        <w:tc>
          <w:tcPr>
            <w:tcW w:w="3210" w:type="dxa"/>
            <w:gridSpan w:val="2"/>
            <w:shd w:val="clear" w:color="auto" w:fill="auto"/>
            <w:vAlign w:val="bottom"/>
            <w:hideMark/>
          </w:tcPr>
          <w:p w14:paraId="0BA06BE6" w14:textId="07B2AE38"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759" w:type="dxa"/>
            <w:shd w:val="clear" w:color="auto" w:fill="auto"/>
            <w:vAlign w:val="bottom"/>
            <w:hideMark/>
          </w:tcPr>
          <w:p w14:paraId="2457FCB2"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851" w:type="dxa"/>
            <w:shd w:val="clear" w:color="auto" w:fill="auto"/>
            <w:vAlign w:val="bottom"/>
            <w:hideMark/>
          </w:tcPr>
          <w:p w14:paraId="5E85FD99"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134" w:type="dxa"/>
            <w:shd w:val="clear" w:color="auto" w:fill="auto"/>
            <w:vAlign w:val="bottom"/>
            <w:hideMark/>
          </w:tcPr>
          <w:p w14:paraId="555EB49E"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c>
          <w:tcPr>
            <w:tcW w:w="1276" w:type="dxa"/>
            <w:shd w:val="clear" w:color="auto" w:fill="auto"/>
            <w:vAlign w:val="bottom"/>
            <w:hideMark/>
          </w:tcPr>
          <w:p w14:paraId="2D43E9AA"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Error Mean</w:t>
            </w:r>
          </w:p>
        </w:tc>
        <w:tc>
          <w:tcPr>
            <w:tcW w:w="850" w:type="dxa"/>
          </w:tcPr>
          <w:p w14:paraId="2167F78D"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P-value of T-test</w:t>
            </w:r>
          </w:p>
        </w:tc>
      </w:tr>
      <w:tr w:rsidR="00D65FF6" w:rsidRPr="00D53E24" w14:paraId="77832CF0" w14:textId="77777777" w:rsidTr="00864BD9">
        <w:trPr>
          <w:trHeight w:val="252"/>
        </w:trPr>
        <w:tc>
          <w:tcPr>
            <w:tcW w:w="1897" w:type="dxa"/>
            <w:vMerge w:val="restart"/>
            <w:shd w:val="clear" w:color="auto" w:fill="auto"/>
            <w:hideMark/>
          </w:tcPr>
          <w:p w14:paraId="424CE789"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1313" w:type="dxa"/>
            <w:shd w:val="clear" w:color="auto" w:fill="auto"/>
            <w:noWrap/>
            <w:hideMark/>
          </w:tcPr>
          <w:p w14:paraId="1B5B3BC1"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759" w:type="dxa"/>
            <w:shd w:val="clear" w:color="auto" w:fill="auto"/>
            <w:noWrap/>
            <w:vAlign w:val="center"/>
            <w:hideMark/>
          </w:tcPr>
          <w:p w14:paraId="16100B7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285</w:t>
            </w:r>
          </w:p>
        </w:tc>
        <w:tc>
          <w:tcPr>
            <w:tcW w:w="851" w:type="dxa"/>
            <w:shd w:val="clear" w:color="auto" w:fill="auto"/>
            <w:noWrap/>
            <w:vAlign w:val="center"/>
            <w:hideMark/>
          </w:tcPr>
          <w:p w14:paraId="0093CDF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4.2702</w:t>
            </w:r>
          </w:p>
        </w:tc>
        <w:tc>
          <w:tcPr>
            <w:tcW w:w="1134" w:type="dxa"/>
            <w:shd w:val="clear" w:color="auto" w:fill="auto"/>
            <w:noWrap/>
            <w:vAlign w:val="center"/>
            <w:hideMark/>
          </w:tcPr>
          <w:p w14:paraId="41511D0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1.20123</w:t>
            </w:r>
          </w:p>
        </w:tc>
        <w:tc>
          <w:tcPr>
            <w:tcW w:w="1276" w:type="dxa"/>
            <w:shd w:val="clear" w:color="auto" w:fill="auto"/>
            <w:noWrap/>
            <w:vAlign w:val="center"/>
            <w:hideMark/>
          </w:tcPr>
          <w:p w14:paraId="5FD3540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.07115</w:t>
            </w:r>
          </w:p>
        </w:tc>
        <w:tc>
          <w:tcPr>
            <w:tcW w:w="850" w:type="dxa"/>
            <w:vMerge w:val="restart"/>
            <w:vAlign w:val="bottom"/>
          </w:tcPr>
          <w:p w14:paraId="494BAEF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0.0000</w:t>
            </w:r>
          </w:p>
        </w:tc>
      </w:tr>
      <w:tr w:rsidR="00D65FF6" w:rsidRPr="00D53E24" w14:paraId="5FD3906F" w14:textId="77777777" w:rsidTr="00864BD9">
        <w:trPr>
          <w:trHeight w:val="252"/>
        </w:trPr>
        <w:tc>
          <w:tcPr>
            <w:tcW w:w="1897" w:type="dxa"/>
            <w:vMerge/>
            <w:vAlign w:val="center"/>
            <w:hideMark/>
          </w:tcPr>
          <w:p w14:paraId="7E5FE7C6"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313" w:type="dxa"/>
            <w:shd w:val="clear" w:color="auto" w:fill="auto"/>
            <w:noWrap/>
            <w:hideMark/>
          </w:tcPr>
          <w:p w14:paraId="404B890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759" w:type="dxa"/>
            <w:shd w:val="clear" w:color="auto" w:fill="auto"/>
            <w:noWrap/>
            <w:vAlign w:val="center"/>
            <w:hideMark/>
          </w:tcPr>
          <w:p w14:paraId="2CD55D6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189</w:t>
            </w:r>
          </w:p>
        </w:tc>
        <w:tc>
          <w:tcPr>
            <w:tcW w:w="851" w:type="dxa"/>
            <w:shd w:val="clear" w:color="auto" w:fill="auto"/>
            <w:noWrap/>
            <w:vAlign w:val="center"/>
            <w:hideMark/>
          </w:tcPr>
          <w:p w14:paraId="106D6D0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5.2402</w:t>
            </w:r>
          </w:p>
        </w:tc>
        <w:tc>
          <w:tcPr>
            <w:tcW w:w="1134" w:type="dxa"/>
            <w:shd w:val="clear" w:color="auto" w:fill="auto"/>
            <w:noWrap/>
            <w:vAlign w:val="center"/>
            <w:hideMark/>
          </w:tcPr>
          <w:p w14:paraId="50FB430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1.15817</w:t>
            </w:r>
          </w:p>
        </w:tc>
        <w:tc>
          <w:tcPr>
            <w:tcW w:w="1276" w:type="dxa"/>
            <w:shd w:val="clear" w:color="auto" w:fill="auto"/>
            <w:noWrap/>
            <w:vAlign w:val="center"/>
            <w:hideMark/>
          </w:tcPr>
          <w:p w14:paraId="5247864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.08424</w:t>
            </w:r>
          </w:p>
        </w:tc>
        <w:tc>
          <w:tcPr>
            <w:tcW w:w="850" w:type="dxa"/>
            <w:vMerge/>
            <w:vAlign w:val="bottom"/>
          </w:tcPr>
          <w:p w14:paraId="1CF78C7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3978C902" w14:textId="77777777" w:rsidTr="00864BD9">
        <w:trPr>
          <w:trHeight w:val="252"/>
        </w:trPr>
        <w:tc>
          <w:tcPr>
            <w:tcW w:w="1897" w:type="dxa"/>
            <w:vMerge w:val="restart"/>
            <w:shd w:val="clear" w:color="auto" w:fill="auto"/>
            <w:hideMark/>
          </w:tcPr>
          <w:p w14:paraId="5258D3C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 perception</w:t>
            </w:r>
          </w:p>
        </w:tc>
        <w:tc>
          <w:tcPr>
            <w:tcW w:w="1313" w:type="dxa"/>
            <w:shd w:val="clear" w:color="auto" w:fill="auto"/>
            <w:noWrap/>
            <w:hideMark/>
          </w:tcPr>
          <w:p w14:paraId="34C26BB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759" w:type="dxa"/>
            <w:shd w:val="clear" w:color="auto" w:fill="auto"/>
            <w:noWrap/>
            <w:vAlign w:val="center"/>
            <w:hideMark/>
          </w:tcPr>
          <w:p w14:paraId="21AC0CB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285</w:t>
            </w:r>
          </w:p>
        </w:tc>
        <w:tc>
          <w:tcPr>
            <w:tcW w:w="851" w:type="dxa"/>
            <w:shd w:val="clear" w:color="auto" w:fill="auto"/>
            <w:noWrap/>
            <w:vAlign w:val="center"/>
            <w:hideMark/>
          </w:tcPr>
          <w:p w14:paraId="606FFD1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4.6047</w:t>
            </w:r>
          </w:p>
        </w:tc>
        <w:tc>
          <w:tcPr>
            <w:tcW w:w="1134" w:type="dxa"/>
            <w:shd w:val="clear" w:color="auto" w:fill="auto"/>
            <w:noWrap/>
            <w:vAlign w:val="center"/>
            <w:hideMark/>
          </w:tcPr>
          <w:p w14:paraId="434DB2A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1.28859</w:t>
            </w:r>
          </w:p>
        </w:tc>
        <w:tc>
          <w:tcPr>
            <w:tcW w:w="1276" w:type="dxa"/>
            <w:shd w:val="clear" w:color="auto" w:fill="auto"/>
            <w:noWrap/>
            <w:vAlign w:val="center"/>
            <w:hideMark/>
          </w:tcPr>
          <w:p w14:paraId="16CA785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.07633</w:t>
            </w:r>
          </w:p>
        </w:tc>
        <w:tc>
          <w:tcPr>
            <w:tcW w:w="850" w:type="dxa"/>
            <w:vMerge w:val="restart"/>
            <w:vAlign w:val="bottom"/>
          </w:tcPr>
          <w:p w14:paraId="7077A81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0.0000</w:t>
            </w:r>
          </w:p>
        </w:tc>
      </w:tr>
      <w:tr w:rsidR="00D65FF6" w:rsidRPr="00D53E24" w14:paraId="60FEB087" w14:textId="77777777" w:rsidTr="00864BD9">
        <w:trPr>
          <w:trHeight w:val="252"/>
        </w:trPr>
        <w:tc>
          <w:tcPr>
            <w:tcW w:w="1897" w:type="dxa"/>
            <w:vMerge/>
            <w:vAlign w:val="center"/>
            <w:hideMark/>
          </w:tcPr>
          <w:p w14:paraId="69C42A5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313" w:type="dxa"/>
            <w:shd w:val="clear" w:color="auto" w:fill="auto"/>
            <w:noWrap/>
            <w:hideMark/>
          </w:tcPr>
          <w:p w14:paraId="259A2D6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759" w:type="dxa"/>
            <w:shd w:val="clear" w:color="auto" w:fill="auto"/>
            <w:noWrap/>
            <w:vAlign w:val="center"/>
            <w:hideMark/>
          </w:tcPr>
          <w:p w14:paraId="26CD307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189</w:t>
            </w:r>
          </w:p>
        </w:tc>
        <w:tc>
          <w:tcPr>
            <w:tcW w:w="851" w:type="dxa"/>
            <w:shd w:val="clear" w:color="auto" w:fill="auto"/>
            <w:noWrap/>
            <w:vAlign w:val="center"/>
            <w:hideMark/>
          </w:tcPr>
          <w:p w14:paraId="28C95A3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5.2813</w:t>
            </w:r>
          </w:p>
        </w:tc>
        <w:tc>
          <w:tcPr>
            <w:tcW w:w="1134" w:type="dxa"/>
            <w:shd w:val="clear" w:color="auto" w:fill="auto"/>
            <w:noWrap/>
            <w:vAlign w:val="center"/>
            <w:hideMark/>
          </w:tcPr>
          <w:p w14:paraId="4F95C12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1.16328</w:t>
            </w:r>
          </w:p>
        </w:tc>
        <w:tc>
          <w:tcPr>
            <w:tcW w:w="1276" w:type="dxa"/>
            <w:shd w:val="clear" w:color="auto" w:fill="auto"/>
            <w:noWrap/>
            <w:vAlign w:val="center"/>
            <w:hideMark/>
          </w:tcPr>
          <w:p w14:paraId="3F2097B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.08462</w:t>
            </w:r>
          </w:p>
        </w:tc>
        <w:tc>
          <w:tcPr>
            <w:tcW w:w="850" w:type="dxa"/>
            <w:vMerge/>
            <w:vAlign w:val="bottom"/>
          </w:tcPr>
          <w:p w14:paraId="606A16E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03B6881D" w14:textId="77777777" w:rsidTr="00864BD9">
        <w:trPr>
          <w:trHeight w:val="252"/>
        </w:trPr>
        <w:tc>
          <w:tcPr>
            <w:tcW w:w="1897" w:type="dxa"/>
            <w:vMerge w:val="restart"/>
            <w:shd w:val="clear" w:color="auto" w:fill="auto"/>
            <w:hideMark/>
          </w:tcPr>
          <w:p w14:paraId="25C725DA"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1313" w:type="dxa"/>
            <w:shd w:val="clear" w:color="auto" w:fill="auto"/>
            <w:noWrap/>
            <w:hideMark/>
          </w:tcPr>
          <w:p w14:paraId="6403EAD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759" w:type="dxa"/>
            <w:shd w:val="clear" w:color="auto" w:fill="auto"/>
            <w:noWrap/>
            <w:vAlign w:val="center"/>
            <w:hideMark/>
          </w:tcPr>
          <w:p w14:paraId="05563C3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285</w:t>
            </w:r>
          </w:p>
        </w:tc>
        <w:tc>
          <w:tcPr>
            <w:tcW w:w="851" w:type="dxa"/>
            <w:shd w:val="clear" w:color="auto" w:fill="auto"/>
            <w:noWrap/>
            <w:vAlign w:val="center"/>
            <w:hideMark/>
          </w:tcPr>
          <w:p w14:paraId="5850BD3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4.9867</w:t>
            </w:r>
          </w:p>
        </w:tc>
        <w:tc>
          <w:tcPr>
            <w:tcW w:w="1134" w:type="dxa"/>
            <w:shd w:val="clear" w:color="auto" w:fill="auto"/>
            <w:noWrap/>
            <w:vAlign w:val="center"/>
            <w:hideMark/>
          </w:tcPr>
          <w:p w14:paraId="2C78639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1.26779</w:t>
            </w:r>
          </w:p>
        </w:tc>
        <w:tc>
          <w:tcPr>
            <w:tcW w:w="1276" w:type="dxa"/>
            <w:shd w:val="clear" w:color="auto" w:fill="auto"/>
            <w:noWrap/>
            <w:vAlign w:val="center"/>
            <w:hideMark/>
          </w:tcPr>
          <w:p w14:paraId="2190711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.07510</w:t>
            </w:r>
          </w:p>
        </w:tc>
        <w:tc>
          <w:tcPr>
            <w:tcW w:w="850" w:type="dxa"/>
            <w:vMerge w:val="restart"/>
            <w:vAlign w:val="bottom"/>
          </w:tcPr>
          <w:p w14:paraId="3D4E664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0.0260</w:t>
            </w:r>
          </w:p>
        </w:tc>
      </w:tr>
      <w:tr w:rsidR="00D65FF6" w:rsidRPr="00D53E24" w14:paraId="79ED14CE" w14:textId="77777777" w:rsidTr="00864BD9">
        <w:trPr>
          <w:trHeight w:val="252"/>
        </w:trPr>
        <w:tc>
          <w:tcPr>
            <w:tcW w:w="1897" w:type="dxa"/>
            <w:vMerge/>
            <w:vAlign w:val="center"/>
            <w:hideMark/>
          </w:tcPr>
          <w:p w14:paraId="0C907D9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313" w:type="dxa"/>
            <w:shd w:val="clear" w:color="auto" w:fill="auto"/>
            <w:noWrap/>
            <w:hideMark/>
          </w:tcPr>
          <w:p w14:paraId="1E2F5836"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759" w:type="dxa"/>
            <w:shd w:val="clear" w:color="auto" w:fill="auto"/>
            <w:noWrap/>
            <w:vAlign w:val="center"/>
            <w:hideMark/>
          </w:tcPr>
          <w:p w14:paraId="1957CC3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189</w:t>
            </w:r>
          </w:p>
        </w:tc>
        <w:tc>
          <w:tcPr>
            <w:tcW w:w="851" w:type="dxa"/>
            <w:shd w:val="clear" w:color="auto" w:fill="auto"/>
            <w:noWrap/>
            <w:vAlign w:val="center"/>
            <w:hideMark/>
          </w:tcPr>
          <w:p w14:paraId="5842F19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5.2455</w:t>
            </w:r>
          </w:p>
        </w:tc>
        <w:tc>
          <w:tcPr>
            <w:tcW w:w="1134" w:type="dxa"/>
            <w:shd w:val="clear" w:color="auto" w:fill="auto"/>
            <w:noWrap/>
            <w:vAlign w:val="center"/>
            <w:hideMark/>
          </w:tcPr>
          <w:p w14:paraId="1B3BE96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1.18942</w:t>
            </w:r>
          </w:p>
        </w:tc>
        <w:tc>
          <w:tcPr>
            <w:tcW w:w="1276" w:type="dxa"/>
            <w:shd w:val="clear" w:color="auto" w:fill="auto"/>
            <w:noWrap/>
            <w:vAlign w:val="center"/>
            <w:hideMark/>
          </w:tcPr>
          <w:p w14:paraId="647503C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.08652</w:t>
            </w:r>
          </w:p>
        </w:tc>
        <w:tc>
          <w:tcPr>
            <w:tcW w:w="850" w:type="dxa"/>
            <w:vMerge/>
            <w:vAlign w:val="bottom"/>
          </w:tcPr>
          <w:p w14:paraId="781FE04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7FD485D7" w14:textId="77777777" w:rsidTr="00864BD9">
        <w:trPr>
          <w:trHeight w:val="252"/>
        </w:trPr>
        <w:tc>
          <w:tcPr>
            <w:tcW w:w="1897" w:type="dxa"/>
            <w:vMerge w:val="restart"/>
            <w:shd w:val="clear" w:color="auto" w:fill="auto"/>
            <w:hideMark/>
          </w:tcPr>
          <w:p w14:paraId="1744287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1313" w:type="dxa"/>
            <w:shd w:val="clear" w:color="auto" w:fill="auto"/>
            <w:noWrap/>
            <w:hideMark/>
          </w:tcPr>
          <w:p w14:paraId="2CCFFF12"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759" w:type="dxa"/>
            <w:shd w:val="clear" w:color="auto" w:fill="auto"/>
            <w:noWrap/>
            <w:vAlign w:val="center"/>
            <w:hideMark/>
          </w:tcPr>
          <w:p w14:paraId="427919B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285</w:t>
            </w:r>
          </w:p>
        </w:tc>
        <w:tc>
          <w:tcPr>
            <w:tcW w:w="851" w:type="dxa"/>
            <w:shd w:val="clear" w:color="auto" w:fill="auto"/>
            <w:noWrap/>
            <w:vAlign w:val="center"/>
            <w:hideMark/>
          </w:tcPr>
          <w:p w14:paraId="3ADCB34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4.2236</w:t>
            </w:r>
          </w:p>
        </w:tc>
        <w:tc>
          <w:tcPr>
            <w:tcW w:w="1134" w:type="dxa"/>
            <w:shd w:val="clear" w:color="auto" w:fill="auto"/>
            <w:noWrap/>
            <w:vAlign w:val="center"/>
            <w:hideMark/>
          </w:tcPr>
          <w:p w14:paraId="3FD6D2A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1.19261</w:t>
            </w:r>
          </w:p>
        </w:tc>
        <w:tc>
          <w:tcPr>
            <w:tcW w:w="1276" w:type="dxa"/>
            <w:shd w:val="clear" w:color="auto" w:fill="auto"/>
            <w:noWrap/>
            <w:vAlign w:val="center"/>
            <w:hideMark/>
          </w:tcPr>
          <w:p w14:paraId="2F5B65E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.07064</w:t>
            </w:r>
          </w:p>
        </w:tc>
        <w:tc>
          <w:tcPr>
            <w:tcW w:w="850" w:type="dxa"/>
            <w:vMerge w:val="restart"/>
            <w:vAlign w:val="bottom"/>
          </w:tcPr>
          <w:p w14:paraId="6060E23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0.0000</w:t>
            </w:r>
          </w:p>
        </w:tc>
      </w:tr>
      <w:tr w:rsidR="00D65FF6" w:rsidRPr="00D53E24" w14:paraId="22A9D00B" w14:textId="77777777" w:rsidTr="00864BD9">
        <w:trPr>
          <w:trHeight w:val="252"/>
        </w:trPr>
        <w:tc>
          <w:tcPr>
            <w:tcW w:w="1897" w:type="dxa"/>
            <w:vMerge/>
            <w:vAlign w:val="center"/>
            <w:hideMark/>
          </w:tcPr>
          <w:p w14:paraId="171F8C1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313" w:type="dxa"/>
            <w:shd w:val="clear" w:color="auto" w:fill="auto"/>
            <w:noWrap/>
            <w:hideMark/>
          </w:tcPr>
          <w:p w14:paraId="304DC896"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759" w:type="dxa"/>
            <w:shd w:val="clear" w:color="auto" w:fill="auto"/>
            <w:noWrap/>
            <w:vAlign w:val="center"/>
            <w:hideMark/>
          </w:tcPr>
          <w:p w14:paraId="3314FCD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189</w:t>
            </w:r>
          </w:p>
        </w:tc>
        <w:tc>
          <w:tcPr>
            <w:tcW w:w="851" w:type="dxa"/>
            <w:shd w:val="clear" w:color="auto" w:fill="auto"/>
            <w:noWrap/>
            <w:vAlign w:val="center"/>
            <w:hideMark/>
          </w:tcPr>
          <w:p w14:paraId="473539A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4.8608</w:t>
            </w:r>
          </w:p>
        </w:tc>
        <w:tc>
          <w:tcPr>
            <w:tcW w:w="1134" w:type="dxa"/>
            <w:shd w:val="clear" w:color="auto" w:fill="auto"/>
            <w:noWrap/>
            <w:vAlign w:val="center"/>
            <w:hideMark/>
          </w:tcPr>
          <w:p w14:paraId="5FF151D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1.08876</w:t>
            </w:r>
          </w:p>
        </w:tc>
        <w:tc>
          <w:tcPr>
            <w:tcW w:w="1276" w:type="dxa"/>
            <w:shd w:val="clear" w:color="auto" w:fill="auto"/>
            <w:noWrap/>
            <w:vAlign w:val="center"/>
            <w:hideMark/>
          </w:tcPr>
          <w:p w14:paraId="47DDC2A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.07920</w:t>
            </w:r>
          </w:p>
        </w:tc>
        <w:tc>
          <w:tcPr>
            <w:tcW w:w="850" w:type="dxa"/>
            <w:vMerge/>
            <w:vAlign w:val="bottom"/>
          </w:tcPr>
          <w:p w14:paraId="218266A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644AAFEC" w14:textId="77777777" w:rsidTr="00864BD9">
        <w:trPr>
          <w:trHeight w:val="252"/>
        </w:trPr>
        <w:tc>
          <w:tcPr>
            <w:tcW w:w="1897" w:type="dxa"/>
            <w:vMerge w:val="restart"/>
            <w:shd w:val="clear" w:color="auto" w:fill="auto"/>
            <w:hideMark/>
          </w:tcPr>
          <w:p w14:paraId="679EFDA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w:t>
            </w:r>
          </w:p>
        </w:tc>
        <w:tc>
          <w:tcPr>
            <w:tcW w:w="1313" w:type="dxa"/>
            <w:shd w:val="clear" w:color="auto" w:fill="auto"/>
            <w:noWrap/>
            <w:hideMark/>
          </w:tcPr>
          <w:p w14:paraId="5974D5D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759" w:type="dxa"/>
            <w:shd w:val="clear" w:color="auto" w:fill="auto"/>
            <w:noWrap/>
            <w:vAlign w:val="center"/>
            <w:hideMark/>
          </w:tcPr>
          <w:p w14:paraId="723C767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285</w:t>
            </w:r>
          </w:p>
        </w:tc>
        <w:tc>
          <w:tcPr>
            <w:tcW w:w="851" w:type="dxa"/>
            <w:shd w:val="clear" w:color="auto" w:fill="auto"/>
            <w:noWrap/>
            <w:vAlign w:val="center"/>
            <w:hideMark/>
          </w:tcPr>
          <w:p w14:paraId="1499998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3.6400</w:t>
            </w:r>
          </w:p>
        </w:tc>
        <w:tc>
          <w:tcPr>
            <w:tcW w:w="1134" w:type="dxa"/>
            <w:shd w:val="clear" w:color="auto" w:fill="auto"/>
            <w:noWrap/>
            <w:vAlign w:val="center"/>
            <w:hideMark/>
          </w:tcPr>
          <w:p w14:paraId="63A2E7D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1.41777</w:t>
            </w:r>
          </w:p>
        </w:tc>
        <w:tc>
          <w:tcPr>
            <w:tcW w:w="1276" w:type="dxa"/>
            <w:shd w:val="clear" w:color="auto" w:fill="auto"/>
            <w:noWrap/>
            <w:vAlign w:val="center"/>
            <w:hideMark/>
          </w:tcPr>
          <w:p w14:paraId="7BA423B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.08398</w:t>
            </w:r>
          </w:p>
        </w:tc>
        <w:tc>
          <w:tcPr>
            <w:tcW w:w="850" w:type="dxa"/>
            <w:vMerge w:val="restart"/>
            <w:vAlign w:val="bottom"/>
          </w:tcPr>
          <w:p w14:paraId="62FB788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0.0000</w:t>
            </w:r>
          </w:p>
        </w:tc>
      </w:tr>
      <w:tr w:rsidR="00D65FF6" w:rsidRPr="00D53E24" w14:paraId="496DB585" w14:textId="77777777" w:rsidTr="00864BD9">
        <w:trPr>
          <w:trHeight w:val="252"/>
        </w:trPr>
        <w:tc>
          <w:tcPr>
            <w:tcW w:w="1897" w:type="dxa"/>
            <w:vMerge/>
            <w:vAlign w:val="center"/>
            <w:hideMark/>
          </w:tcPr>
          <w:p w14:paraId="204BE061"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313" w:type="dxa"/>
            <w:shd w:val="clear" w:color="auto" w:fill="auto"/>
            <w:noWrap/>
            <w:hideMark/>
          </w:tcPr>
          <w:p w14:paraId="19EBB571"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759" w:type="dxa"/>
            <w:shd w:val="clear" w:color="auto" w:fill="auto"/>
            <w:noWrap/>
            <w:vAlign w:val="center"/>
            <w:hideMark/>
          </w:tcPr>
          <w:p w14:paraId="029C7F7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189</w:t>
            </w:r>
          </w:p>
        </w:tc>
        <w:tc>
          <w:tcPr>
            <w:tcW w:w="851" w:type="dxa"/>
            <w:shd w:val="clear" w:color="auto" w:fill="auto"/>
            <w:noWrap/>
            <w:vAlign w:val="center"/>
            <w:hideMark/>
          </w:tcPr>
          <w:p w14:paraId="48D3337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4.3429</w:t>
            </w:r>
          </w:p>
        </w:tc>
        <w:tc>
          <w:tcPr>
            <w:tcW w:w="1134" w:type="dxa"/>
            <w:shd w:val="clear" w:color="auto" w:fill="auto"/>
            <w:noWrap/>
            <w:vAlign w:val="center"/>
            <w:hideMark/>
          </w:tcPr>
          <w:p w14:paraId="696AA61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1.30650</w:t>
            </w:r>
          </w:p>
        </w:tc>
        <w:tc>
          <w:tcPr>
            <w:tcW w:w="1276" w:type="dxa"/>
            <w:shd w:val="clear" w:color="auto" w:fill="auto"/>
            <w:noWrap/>
            <w:vAlign w:val="center"/>
            <w:hideMark/>
          </w:tcPr>
          <w:p w14:paraId="3B7297D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.09503</w:t>
            </w:r>
          </w:p>
        </w:tc>
        <w:tc>
          <w:tcPr>
            <w:tcW w:w="850" w:type="dxa"/>
            <w:vMerge/>
            <w:vAlign w:val="bottom"/>
          </w:tcPr>
          <w:p w14:paraId="363925D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137A3828" w14:textId="77777777" w:rsidTr="00864BD9">
        <w:trPr>
          <w:trHeight w:val="252"/>
        </w:trPr>
        <w:tc>
          <w:tcPr>
            <w:tcW w:w="1897" w:type="dxa"/>
            <w:vMerge w:val="restart"/>
            <w:shd w:val="clear" w:color="auto" w:fill="auto"/>
            <w:hideMark/>
          </w:tcPr>
          <w:p w14:paraId="10D9984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1313" w:type="dxa"/>
            <w:shd w:val="clear" w:color="auto" w:fill="auto"/>
            <w:noWrap/>
            <w:hideMark/>
          </w:tcPr>
          <w:p w14:paraId="06B43B1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759" w:type="dxa"/>
            <w:shd w:val="clear" w:color="auto" w:fill="auto"/>
            <w:noWrap/>
            <w:vAlign w:val="center"/>
            <w:hideMark/>
          </w:tcPr>
          <w:p w14:paraId="4B4B533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285</w:t>
            </w:r>
          </w:p>
        </w:tc>
        <w:tc>
          <w:tcPr>
            <w:tcW w:w="851" w:type="dxa"/>
            <w:shd w:val="clear" w:color="auto" w:fill="auto"/>
            <w:noWrap/>
            <w:vAlign w:val="center"/>
            <w:hideMark/>
          </w:tcPr>
          <w:p w14:paraId="23C3725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4.6579</w:t>
            </w:r>
          </w:p>
        </w:tc>
        <w:tc>
          <w:tcPr>
            <w:tcW w:w="1134" w:type="dxa"/>
            <w:shd w:val="clear" w:color="auto" w:fill="auto"/>
            <w:noWrap/>
            <w:vAlign w:val="center"/>
            <w:hideMark/>
          </w:tcPr>
          <w:p w14:paraId="1C0650E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1.39717</w:t>
            </w:r>
          </w:p>
        </w:tc>
        <w:tc>
          <w:tcPr>
            <w:tcW w:w="1276" w:type="dxa"/>
            <w:shd w:val="clear" w:color="auto" w:fill="auto"/>
            <w:noWrap/>
            <w:vAlign w:val="center"/>
            <w:hideMark/>
          </w:tcPr>
          <w:p w14:paraId="395A1A2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.08276</w:t>
            </w:r>
          </w:p>
        </w:tc>
        <w:tc>
          <w:tcPr>
            <w:tcW w:w="850" w:type="dxa"/>
            <w:vMerge w:val="restart"/>
            <w:vAlign w:val="bottom"/>
          </w:tcPr>
          <w:p w14:paraId="50A98C5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0.0010</w:t>
            </w:r>
          </w:p>
        </w:tc>
      </w:tr>
      <w:tr w:rsidR="00D65FF6" w:rsidRPr="00D53E24" w14:paraId="1460776D" w14:textId="77777777" w:rsidTr="00864BD9">
        <w:trPr>
          <w:trHeight w:val="252"/>
        </w:trPr>
        <w:tc>
          <w:tcPr>
            <w:tcW w:w="1897" w:type="dxa"/>
            <w:vMerge/>
            <w:vAlign w:val="center"/>
            <w:hideMark/>
          </w:tcPr>
          <w:p w14:paraId="52C919B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313" w:type="dxa"/>
            <w:shd w:val="clear" w:color="auto" w:fill="auto"/>
            <w:noWrap/>
            <w:hideMark/>
          </w:tcPr>
          <w:p w14:paraId="07ED653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759" w:type="dxa"/>
            <w:shd w:val="clear" w:color="auto" w:fill="auto"/>
            <w:noWrap/>
            <w:vAlign w:val="center"/>
            <w:hideMark/>
          </w:tcPr>
          <w:p w14:paraId="3951BF7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189</w:t>
            </w:r>
          </w:p>
        </w:tc>
        <w:tc>
          <w:tcPr>
            <w:tcW w:w="851" w:type="dxa"/>
            <w:shd w:val="clear" w:color="auto" w:fill="auto"/>
            <w:noWrap/>
            <w:vAlign w:val="center"/>
            <w:hideMark/>
          </w:tcPr>
          <w:p w14:paraId="102BC83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5.0608</w:t>
            </w:r>
          </w:p>
        </w:tc>
        <w:tc>
          <w:tcPr>
            <w:tcW w:w="1134" w:type="dxa"/>
            <w:shd w:val="clear" w:color="auto" w:fill="auto"/>
            <w:noWrap/>
            <w:vAlign w:val="center"/>
            <w:hideMark/>
          </w:tcPr>
          <w:p w14:paraId="7AACF3D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1.24504</w:t>
            </w:r>
          </w:p>
        </w:tc>
        <w:tc>
          <w:tcPr>
            <w:tcW w:w="1276" w:type="dxa"/>
            <w:shd w:val="clear" w:color="auto" w:fill="auto"/>
            <w:noWrap/>
            <w:vAlign w:val="center"/>
            <w:hideMark/>
          </w:tcPr>
          <w:p w14:paraId="5812933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.09056</w:t>
            </w:r>
          </w:p>
        </w:tc>
        <w:tc>
          <w:tcPr>
            <w:tcW w:w="850" w:type="dxa"/>
            <w:vMerge/>
            <w:vAlign w:val="bottom"/>
          </w:tcPr>
          <w:p w14:paraId="5BA642E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0D5E0347" w14:textId="77777777" w:rsidTr="00864BD9">
        <w:trPr>
          <w:trHeight w:val="252"/>
        </w:trPr>
        <w:tc>
          <w:tcPr>
            <w:tcW w:w="1897" w:type="dxa"/>
            <w:vMerge w:val="restart"/>
            <w:shd w:val="clear" w:color="auto" w:fill="auto"/>
            <w:hideMark/>
          </w:tcPr>
          <w:p w14:paraId="53D2413A"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xml:space="preserve">Intention </w:t>
            </w:r>
          </w:p>
        </w:tc>
        <w:tc>
          <w:tcPr>
            <w:tcW w:w="1313" w:type="dxa"/>
            <w:shd w:val="clear" w:color="auto" w:fill="auto"/>
            <w:noWrap/>
            <w:hideMark/>
          </w:tcPr>
          <w:p w14:paraId="441D237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759" w:type="dxa"/>
            <w:shd w:val="clear" w:color="auto" w:fill="auto"/>
            <w:noWrap/>
            <w:vAlign w:val="center"/>
            <w:hideMark/>
          </w:tcPr>
          <w:p w14:paraId="2CE74EF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285</w:t>
            </w:r>
          </w:p>
        </w:tc>
        <w:tc>
          <w:tcPr>
            <w:tcW w:w="851" w:type="dxa"/>
            <w:shd w:val="clear" w:color="auto" w:fill="auto"/>
            <w:noWrap/>
            <w:vAlign w:val="center"/>
            <w:hideMark/>
          </w:tcPr>
          <w:p w14:paraId="40CC804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4.7141</w:t>
            </w:r>
          </w:p>
        </w:tc>
        <w:tc>
          <w:tcPr>
            <w:tcW w:w="1134" w:type="dxa"/>
            <w:shd w:val="clear" w:color="auto" w:fill="auto"/>
            <w:noWrap/>
            <w:vAlign w:val="center"/>
            <w:hideMark/>
          </w:tcPr>
          <w:p w14:paraId="00618F3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1.56704</w:t>
            </w:r>
          </w:p>
        </w:tc>
        <w:tc>
          <w:tcPr>
            <w:tcW w:w="1276" w:type="dxa"/>
            <w:shd w:val="clear" w:color="auto" w:fill="auto"/>
            <w:noWrap/>
            <w:vAlign w:val="center"/>
            <w:hideMark/>
          </w:tcPr>
          <w:p w14:paraId="39BF002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.09282</w:t>
            </w:r>
          </w:p>
        </w:tc>
        <w:tc>
          <w:tcPr>
            <w:tcW w:w="850" w:type="dxa"/>
            <w:vMerge w:val="restart"/>
            <w:vAlign w:val="bottom"/>
          </w:tcPr>
          <w:p w14:paraId="6F75983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0.0000</w:t>
            </w:r>
          </w:p>
        </w:tc>
      </w:tr>
      <w:tr w:rsidR="00D65FF6" w:rsidRPr="00D53E24" w14:paraId="424E5F24" w14:textId="77777777" w:rsidTr="00864BD9">
        <w:trPr>
          <w:trHeight w:val="252"/>
        </w:trPr>
        <w:tc>
          <w:tcPr>
            <w:tcW w:w="1897" w:type="dxa"/>
            <w:vMerge/>
            <w:vAlign w:val="center"/>
            <w:hideMark/>
          </w:tcPr>
          <w:p w14:paraId="6AB0675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313" w:type="dxa"/>
            <w:shd w:val="clear" w:color="auto" w:fill="auto"/>
            <w:noWrap/>
            <w:hideMark/>
          </w:tcPr>
          <w:p w14:paraId="0C7AAAA4"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759" w:type="dxa"/>
            <w:shd w:val="clear" w:color="auto" w:fill="auto"/>
            <w:noWrap/>
            <w:vAlign w:val="center"/>
            <w:hideMark/>
          </w:tcPr>
          <w:p w14:paraId="58F1041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189</w:t>
            </w:r>
          </w:p>
        </w:tc>
        <w:tc>
          <w:tcPr>
            <w:tcW w:w="851" w:type="dxa"/>
            <w:shd w:val="clear" w:color="auto" w:fill="auto"/>
            <w:noWrap/>
            <w:vAlign w:val="center"/>
            <w:hideMark/>
          </w:tcPr>
          <w:p w14:paraId="3137784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5.4934</w:t>
            </w:r>
          </w:p>
        </w:tc>
        <w:tc>
          <w:tcPr>
            <w:tcW w:w="1134" w:type="dxa"/>
            <w:shd w:val="clear" w:color="auto" w:fill="auto"/>
            <w:noWrap/>
            <w:vAlign w:val="center"/>
            <w:hideMark/>
          </w:tcPr>
          <w:p w14:paraId="380EB21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1.20351</w:t>
            </w:r>
          </w:p>
        </w:tc>
        <w:tc>
          <w:tcPr>
            <w:tcW w:w="1276" w:type="dxa"/>
            <w:shd w:val="clear" w:color="auto" w:fill="auto"/>
            <w:noWrap/>
            <w:vAlign w:val="center"/>
            <w:hideMark/>
          </w:tcPr>
          <w:p w14:paraId="26D2AB7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.08754</w:t>
            </w:r>
          </w:p>
        </w:tc>
        <w:tc>
          <w:tcPr>
            <w:tcW w:w="850" w:type="dxa"/>
            <w:vMerge/>
            <w:vAlign w:val="bottom"/>
          </w:tcPr>
          <w:p w14:paraId="7B09CEC5" w14:textId="77777777" w:rsidR="00D65FF6" w:rsidRPr="00D53E24" w:rsidRDefault="00D65FF6" w:rsidP="00250620">
            <w:pPr>
              <w:keepNext/>
              <w:spacing w:after="0" w:line="240" w:lineRule="auto"/>
              <w:jc w:val="right"/>
              <w:rPr>
                <w:rFonts w:asciiTheme="majorBidi" w:eastAsia="Times New Roman" w:hAnsiTheme="majorBidi" w:cstheme="majorBidi"/>
                <w:color w:val="000000"/>
                <w:sz w:val="20"/>
                <w:szCs w:val="20"/>
              </w:rPr>
            </w:pPr>
          </w:p>
        </w:tc>
      </w:tr>
    </w:tbl>
    <w:p w14:paraId="53A4C06B" w14:textId="28AC5886" w:rsidR="00D65FF6" w:rsidRDefault="00250620" w:rsidP="00250620">
      <w:pPr>
        <w:pStyle w:val="Caption"/>
        <w:rPr>
          <w:rFonts w:asciiTheme="majorBidi" w:hAnsiTheme="majorBidi" w:cstheme="majorBidi"/>
          <w:b/>
          <w:bCs/>
          <w:sz w:val="24"/>
          <w:szCs w:val="24"/>
        </w:rPr>
      </w:pPr>
      <w:r>
        <w:t>Table 3</w:t>
      </w:r>
      <w:r w:rsidR="00864BD9">
        <w:t>2</w:t>
      </w:r>
      <w:r>
        <w:t xml:space="preserve"> T-test of the variables in the CSR and non-CSR groups </w:t>
      </w:r>
    </w:p>
    <w:p w14:paraId="739F6BF5" w14:textId="77777777" w:rsidR="00F35512" w:rsidRDefault="00D65FF6" w:rsidP="00F35512">
      <w:pPr>
        <w:keepNext/>
        <w:autoSpaceDE w:val="0"/>
        <w:autoSpaceDN w:val="0"/>
        <w:adjustRightInd w:val="0"/>
        <w:spacing w:after="0" w:line="240" w:lineRule="auto"/>
      </w:pPr>
      <w:r>
        <w:rPr>
          <w:noProof/>
        </w:rPr>
        <w:drawing>
          <wp:inline distT="0" distB="0" distL="0" distR="0" wp14:anchorId="0484D553" wp14:editId="2EDF399E">
            <wp:extent cx="4648200" cy="2402840"/>
            <wp:effectExtent l="0" t="0" r="0" b="16510"/>
            <wp:docPr id="894993100" name="Chart 894993100">
              <a:extLst xmlns:a="http://schemas.openxmlformats.org/drawingml/2006/main">
                <a:ext uri="{FF2B5EF4-FFF2-40B4-BE49-F238E27FC236}">
                  <a16:creationId xmlns:a16="http://schemas.microsoft.com/office/drawing/2014/main" id="{AC4E033E-3DFC-75FD-5477-2F6A96B862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D300792" w14:textId="351C1AC8" w:rsidR="00D65FF6" w:rsidRDefault="00F35512" w:rsidP="00F35512">
      <w:pPr>
        <w:pStyle w:val="Caption"/>
        <w:rPr>
          <w:rFonts w:asciiTheme="majorBidi" w:hAnsiTheme="majorBidi" w:cstheme="majorBidi"/>
          <w:noProof/>
          <w:sz w:val="24"/>
          <w:szCs w:val="24"/>
        </w:rPr>
      </w:pPr>
      <w:r>
        <w:t>Figure 20 Average of variables of CSR and non-CSR communication</w:t>
      </w:r>
    </w:p>
    <w:p w14:paraId="469F5936" w14:textId="77777777" w:rsidR="00D65FF6" w:rsidRPr="008D75D3" w:rsidRDefault="00D65FF6" w:rsidP="00D65FF6">
      <w:pPr>
        <w:autoSpaceDE w:val="0"/>
        <w:autoSpaceDN w:val="0"/>
        <w:adjustRightInd w:val="0"/>
        <w:spacing w:after="0" w:line="240" w:lineRule="auto"/>
        <w:rPr>
          <w:rFonts w:asciiTheme="majorBidi" w:hAnsiTheme="majorBidi" w:cstheme="majorBidi"/>
          <w:noProof/>
          <w:sz w:val="24"/>
          <w:szCs w:val="24"/>
        </w:rPr>
      </w:pPr>
    </w:p>
    <w:p w14:paraId="6A2E390B" w14:textId="45568CEF" w:rsidR="00D65FF6" w:rsidRPr="003F65F9" w:rsidRDefault="00D65FF6" w:rsidP="00D65FF6">
      <w:pPr>
        <w:spacing w:line="360" w:lineRule="auto"/>
        <w:jc w:val="both"/>
        <w:rPr>
          <w:rFonts w:asciiTheme="majorBidi" w:hAnsiTheme="majorBidi" w:cstheme="majorBidi"/>
          <w:b/>
          <w:bCs/>
          <w:sz w:val="24"/>
          <w:szCs w:val="24"/>
        </w:rPr>
      </w:pPr>
      <w:bookmarkStart w:id="169" w:name="_Hlk149845332"/>
      <w:r>
        <w:rPr>
          <w:rFonts w:asciiTheme="majorBidi" w:hAnsiTheme="majorBidi" w:cstheme="majorBidi"/>
          <w:b/>
          <w:bCs/>
          <w:sz w:val="24"/>
          <w:szCs w:val="24"/>
        </w:rPr>
        <w:t>6.1</w:t>
      </w:r>
      <w:r w:rsidR="00C0315E">
        <w:rPr>
          <w:rFonts w:asciiTheme="majorBidi" w:hAnsiTheme="majorBidi" w:cstheme="majorBidi"/>
          <w:b/>
          <w:bCs/>
          <w:sz w:val="24"/>
          <w:szCs w:val="24"/>
        </w:rPr>
        <w:t>0</w:t>
      </w:r>
      <w:r>
        <w:rPr>
          <w:rFonts w:asciiTheme="majorBidi" w:hAnsiTheme="majorBidi" w:cstheme="majorBidi"/>
          <w:b/>
          <w:bCs/>
          <w:sz w:val="24"/>
          <w:szCs w:val="24"/>
        </w:rPr>
        <w:t xml:space="preserve">.3.2 </w:t>
      </w:r>
      <w:r w:rsidRPr="003F65F9">
        <w:rPr>
          <w:rFonts w:asciiTheme="majorBidi" w:hAnsiTheme="majorBidi" w:cstheme="majorBidi"/>
          <w:b/>
          <w:bCs/>
          <w:sz w:val="24"/>
          <w:szCs w:val="24"/>
        </w:rPr>
        <w:t>Television vs</w:t>
      </w:r>
      <w:r w:rsidR="00087F49">
        <w:rPr>
          <w:rFonts w:asciiTheme="majorBidi" w:hAnsiTheme="majorBidi" w:cstheme="majorBidi"/>
          <w:b/>
          <w:bCs/>
          <w:sz w:val="24"/>
          <w:szCs w:val="24"/>
        </w:rPr>
        <w:t>.</w:t>
      </w:r>
      <w:r w:rsidRPr="003F65F9">
        <w:rPr>
          <w:rFonts w:asciiTheme="majorBidi" w:hAnsiTheme="majorBidi" w:cstheme="majorBidi"/>
          <w:b/>
          <w:bCs/>
          <w:sz w:val="24"/>
          <w:szCs w:val="24"/>
        </w:rPr>
        <w:t xml:space="preserve"> social media advertising </w:t>
      </w:r>
    </w:p>
    <w:p w14:paraId="0A4F3F54" w14:textId="4EEC39F3" w:rsidR="00D65FF6" w:rsidRPr="003F65F9" w:rsidRDefault="00183B00" w:rsidP="00AA4F38">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This section compares between the impact of Television and social media on brand attitudes and purchase intention. </w:t>
      </w:r>
      <w:r w:rsidR="00D65FF6" w:rsidRPr="003F65F9">
        <w:rPr>
          <w:rFonts w:asciiTheme="majorBidi" w:hAnsiTheme="majorBidi" w:cstheme="majorBidi"/>
          <w:sz w:val="24"/>
          <w:szCs w:val="24"/>
        </w:rPr>
        <w:t xml:space="preserve">From the following table </w:t>
      </w:r>
      <w:r w:rsidR="00D65FF6">
        <w:rPr>
          <w:rFonts w:asciiTheme="majorBidi" w:hAnsiTheme="majorBidi" w:cstheme="majorBidi"/>
          <w:sz w:val="24"/>
          <w:szCs w:val="24"/>
        </w:rPr>
        <w:t>it</w:t>
      </w:r>
      <w:r w:rsidR="00D65FF6" w:rsidRPr="003F65F9">
        <w:rPr>
          <w:rFonts w:asciiTheme="majorBidi" w:hAnsiTheme="majorBidi" w:cstheme="majorBidi"/>
          <w:sz w:val="24"/>
          <w:szCs w:val="24"/>
        </w:rPr>
        <w:t xml:space="preserve"> can</w:t>
      </w:r>
      <w:r w:rsidR="00D65FF6">
        <w:rPr>
          <w:rFonts w:asciiTheme="majorBidi" w:hAnsiTheme="majorBidi" w:cstheme="majorBidi"/>
          <w:sz w:val="24"/>
          <w:szCs w:val="24"/>
        </w:rPr>
        <w:t xml:space="preserve"> be</w:t>
      </w:r>
      <w:r w:rsidR="00D65FF6" w:rsidRPr="003F65F9">
        <w:rPr>
          <w:rFonts w:asciiTheme="majorBidi" w:hAnsiTheme="majorBidi" w:cstheme="majorBidi"/>
          <w:sz w:val="24"/>
          <w:szCs w:val="24"/>
        </w:rPr>
        <w:t xml:space="preserve"> conclude</w:t>
      </w:r>
      <w:r w:rsidR="00D65FF6">
        <w:rPr>
          <w:rFonts w:asciiTheme="majorBidi" w:hAnsiTheme="majorBidi" w:cstheme="majorBidi"/>
          <w:sz w:val="24"/>
          <w:szCs w:val="24"/>
        </w:rPr>
        <w:t>d</w:t>
      </w:r>
      <w:r w:rsidR="00D65FF6" w:rsidRPr="003F65F9">
        <w:rPr>
          <w:rFonts w:asciiTheme="majorBidi" w:hAnsiTheme="majorBidi" w:cstheme="majorBidi"/>
          <w:sz w:val="24"/>
          <w:szCs w:val="24"/>
        </w:rPr>
        <w:t xml:space="preserve"> that with confident 95%:</w:t>
      </w:r>
    </w:p>
    <w:p w14:paraId="1D3D3550" w14:textId="77777777" w:rsidR="00D65FF6" w:rsidRPr="008D75D3" w:rsidRDefault="00D65FF6">
      <w:pPr>
        <w:pStyle w:val="ListParagraph"/>
        <w:numPr>
          <w:ilvl w:val="0"/>
          <w:numId w:val="10"/>
        </w:numPr>
        <w:spacing w:after="0" w:line="480" w:lineRule="auto"/>
        <w:jc w:val="both"/>
        <w:rPr>
          <w:rFonts w:asciiTheme="majorBidi" w:hAnsiTheme="majorBidi" w:cstheme="majorBidi"/>
          <w:sz w:val="24"/>
          <w:szCs w:val="24"/>
        </w:rPr>
      </w:pPr>
      <w:bookmarkStart w:id="170" w:name="_Hlk136950515"/>
      <w:r w:rsidRPr="008D75D3">
        <w:rPr>
          <w:rFonts w:asciiTheme="majorBidi" w:hAnsiTheme="majorBidi" w:cstheme="majorBidi"/>
          <w:sz w:val="24"/>
          <w:szCs w:val="24"/>
        </w:rPr>
        <w:t xml:space="preserve">The average of </w:t>
      </w:r>
      <w:r>
        <w:rPr>
          <w:rFonts w:asciiTheme="majorBidi" w:hAnsiTheme="majorBidi" w:cstheme="majorBidi"/>
          <w:sz w:val="24"/>
          <w:szCs w:val="24"/>
        </w:rPr>
        <w:t>ad</w:t>
      </w:r>
      <w:r w:rsidRPr="008D75D3">
        <w:rPr>
          <w:rFonts w:asciiTheme="majorBidi" w:hAnsiTheme="majorBidi" w:cstheme="majorBidi"/>
          <w:sz w:val="24"/>
          <w:szCs w:val="24"/>
        </w:rPr>
        <w:t xml:space="preserve"> likeability for social media advertisement is significantly lower than the same average of TV advertisement.</w:t>
      </w:r>
    </w:p>
    <w:p w14:paraId="5032EF97" w14:textId="77777777" w:rsidR="00D65FF6" w:rsidRPr="008D75D3" w:rsidRDefault="00D65FF6">
      <w:pPr>
        <w:pStyle w:val="ListParagraph"/>
        <w:numPr>
          <w:ilvl w:val="0"/>
          <w:numId w:val="10"/>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CSR perception for social media advertisement is significantly lower than the same average of TV advertisement. </w:t>
      </w:r>
    </w:p>
    <w:p w14:paraId="4D1E502B" w14:textId="77777777" w:rsidR="00D65FF6" w:rsidRPr="008D75D3" w:rsidRDefault="00D65FF6">
      <w:pPr>
        <w:pStyle w:val="ListParagraph"/>
        <w:numPr>
          <w:ilvl w:val="0"/>
          <w:numId w:val="10"/>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functionality for social media advertisement is significantly lower than the same average of TV advertisement. </w:t>
      </w:r>
    </w:p>
    <w:p w14:paraId="1EF65312" w14:textId="77777777" w:rsidR="00D65FF6" w:rsidRPr="008D75D3" w:rsidRDefault="00D65FF6">
      <w:pPr>
        <w:pStyle w:val="ListParagraph"/>
        <w:numPr>
          <w:ilvl w:val="0"/>
          <w:numId w:val="10"/>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likeability for social media advertisement is significantly lower than the same average of TV advertisement. </w:t>
      </w:r>
    </w:p>
    <w:p w14:paraId="6ADD9E05" w14:textId="77777777" w:rsidR="00D65FF6" w:rsidRPr="008D75D3" w:rsidRDefault="00D65FF6">
      <w:pPr>
        <w:pStyle w:val="ListParagraph"/>
        <w:numPr>
          <w:ilvl w:val="0"/>
          <w:numId w:val="10"/>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w:t>
      </w:r>
      <w:r>
        <w:rPr>
          <w:rFonts w:asciiTheme="majorBidi" w:hAnsiTheme="majorBidi" w:cstheme="majorBidi"/>
          <w:sz w:val="24"/>
          <w:szCs w:val="24"/>
        </w:rPr>
        <w:t>e</w:t>
      </w:r>
      <w:r w:rsidRPr="008D75D3">
        <w:rPr>
          <w:rFonts w:asciiTheme="majorBidi" w:hAnsiTheme="majorBidi" w:cstheme="majorBidi"/>
          <w:sz w:val="24"/>
          <w:szCs w:val="24"/>
        </w:rPr>
        <w:t>motional brand</w:t>
      </w:r>
      <w:r>
        <w:rPr>
          <w:rFonts w:asciiTheme="majorBidi" w:hAnsiTheme="majorBidi" w:cstheme="majorBidi"/>
          <w:sz w:val="24"/>
          <w:szCs w:val="24"/>
        </w:rPr>
        <w:t xml:space="preserve"> attachment</w:t>
      </w:r>
      <w:r w:rsidRPr="008D75D3">
        <w:rPr>
          <w:rFonts w:asciiTheme="majorBidi" w:hAnsiTheme="majorBidi" w:cstheme="majorBidi"/>
          <w:sz w:val="24"/>
          <w:szCs w:val="24"/>
        </w:rPr>
        <w:t xml:space="preserve"> for social media</w:t>
      </w:r>
      <w:r>
        <w:rPr>
          <w:rFonts w:asciiTheme="majorBidi" w:hAnsiTheme="majorBidi" w:cstheme="majorBidi"/>
          <w:sz w:val="24"/>
          <w:szCs w:val="24"/>
        </w:rPr>
        <w:t xml:space="preserve"> </w:t>
      </w:r>
      <w:r w:rsidRPr="008D75D3">
        <w:rPr>
          <w:rFonts w:asciiTheme="majorBidi" w:hAnsiTheme="majorBidi" w:cstheme="majorBidi"/>
          <w:sz w:val="24"/>
          <w:szCs w:val="24"/>
        </w:rPr>
        <w:t xml:space="preserve">advertisement is significantly lower than the same average of TV advertisement. </w:t>
      </w:r>
    </w:p>
    <w:p w14:paraId="530426C4" w14:textId="77777777" w:rsidR="00D65FF6" w:rsidRPr="008D75D3" w:rsidRDefault="00D65FF6">
      <w:pPr>
        <w:pStyle w:val="ListParagraph"/>
        <w:numPr>
          <w:ilvl w:val="0"/>
          <w:numId w:val="10"/>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trust for social media advertisement is significantly lower than the same average of TV advertisement. </w:t>
      </w:r>
    </w:p>
    <w:p w14:paraId="59A61A93" w14:textId="754084E8" w:rsidR="00D65FF6" w:rsidRPr="00250620" w:rsidRDefault="00D65FF6">
      <w:pPr>
        <w:pStyle w:val="ListParagraph"/>
        <w:numPr>
          <w:ilvl w:val="0"/>
          <w:numId w:val="10"/>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w:t>
      </w:r>
      <w:r>
        <w:rPr>
          <w:rFonts w:asciiTheme="majorBidi" w:hAnsiTheme="majorBidi" w:cstheme="majorBidi"/>
          <w:sz w:val="24"/>
          <w:szCs w:val="24"/>
        </w:rPr>
        <w:t xml:space="preserve">purchase </w:t>
      </w:r>
      <w:r w:rsidRPr="008D75D3">
        <w:rPr>
          <w:rFonts w:asciiTheme="majorBidi" w:hAnsiTheme="majorBidi" w:cstheme="majorBidi"/>
          <w:sz w:val="24"/>
          <w:szCs w:val="24"/>
        </w:rPr>
        <w:t>intention for social media advertisement is significantly lower than the same average of TV advertisement.</w:t>
      </w:r>
      <w:bookmarkEnd w:id="170"/>
    </w:p>
    <w:bookmarkEnd w:id="169"/>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277"/>
        <w:gridCol w:w="516"/>
        <w:gridCol w:w="766"/>
        <w:gridCol w:w="1372"/>
        <w:gridCol w:w="1511"/>
        <w:gridCol w:w="1423"/>
      </w:tblGrid>
      <w:tr w:rsidR="00D65FF6" w:rsidRPr="00D53E24" w14:paraId="6FA49F8A" w14:textId="77777777" w:rsidTr="00864BD9">
        <w:trPr>
          <w:trHeight w:val="411"/>
        </w:trPr>
        <w:tc>
          <w:tcPr>
            <w:tcW w:w="2633" w:type="dxa"/>
            <w:gridSpan w:val="2"/>
            <w:shd w:val="clear" w:color="auto" w:fill="auto"/>
            <w:vAlign w:val="bottom"/>
            <w:hideMark/>
          </w:tcPr>
          <w:p w14:paraId="54566D9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0" w:type="auto"/>
            <w:shd w:val="clear" w:color="auto" w:fill="auto"/>
            <w:vAlign w:val="bottom"/>
            <w:hideMark/>
          </w:tcPr>
          <w:p w14:paraId="12B815AD"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0" w:type="auto"/>
            <w:shd w:val="clear" w:color="auto" w:fill="auto"/>
            <w:vAlign w:val="bottom"/>
            <w:hideMark/>
          </w:tcPr>
          <w:p w14:paraId="3B244811"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0" w:type="auto"/>
            <w:shd w:val="clear" w:color="auto" w:fill="auto"/>
            <w:vAlign w:val="bottom"/>
            <w:hideMark/>
          </w:tcPr>
          <w:p w14:paraId="79ED932F"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c>
          <w:tcPr>
            <w:tcW w:w="0" w:type="auto"/>
            <w:shd w:val="clear" w:color="auto" w:fill="auto"/>
            <w:vAlign w:val="bottom"/>
            <w:hideMark/>
          </w:tcPr>
          <w:p w14:paraId="2A345834"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Error Mean</w:t>
            </w:r>
          </w:p>
        </w:tc>
        <w:tc>
          <w:tcPr>
            <w:tcW w:w="1423" w:type="dxa"/>
          </w:tcPr>
          <w:p w14:paraId="35288C8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xml:space="preserve">p-value </w:t>
            </w:r>
          </w:p>
        </w:tc>
      </w:tr>
      <w:tr w:rsidR="00D65FF6" w:rsidRPr="00D53E24" w14:paraId="64EDFD52" w14:textId="77777777" w:rsidTr="00864BD9">
        <w:trPr>
          <w:trHeight w:val="246"/>
        </w:trPr>
        <w:tc>
          <w:tcPr>
            <w:tcW w:w="1356" w:type="dxa"/>
            <w:vMerge w:val="restart"/>
            <w:shd w:val="clear" w:color="auto" w:fill="auto"/>
            <w:hideMark/>
          </w:tcPr>
          <w:p w14:paraId="19895251"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0" w:type="auto"/>
            <w:shd w:val="clear" w:color="auto" w:fill="auto"/>
            <w:noWrap/>
            <w:hideMark/>
          </w:tcPr>
          <w:p w14:paraId="4427B788"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0" w:type="auto"/>
            <w:shd w:val="clear" w:color="auto" w:fill="auto"/>
            <w:noWrap/>
            <w:vAlign w:val="center"/>
            <w:hideMark/>
          </w:tcPr>
          <w:p w14:paraId="42B8A88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200</w:t>
            </w:r>
          </w:p>
        </w:tc>
        <w:tc>
          <w:tcPr>
            <w:tcW w:w="0" w:type="auto"/>
            <w:shd w:val="clear" w:color="auto" w:fill="auto"/>
            <w:noWrap/>
            <w:vAlign w:val="center"/>
            <w:hideMark/>
          </w:tcPr>
          <w:p w14:paraId="4126583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4.8260</w:t>
            </w:r>
          </w:p>
        </w:tc>
        <w:tc>
          <w:tcPr>
            <w:tcW w:w="0" w:type="auto"/>
            <w:shd w:val="clear" w:color="auto" w:fill="auto"/>
            <w:noWrap/>
            <w:vAlign w:val="center"/>
            <w:hideMark/>
          </w:tcPr>
          <w:p w14:paraId="7713755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1.33289</w:t>
            </w:r>
          </w:p>
        </w:tc>
        <w:tc>
          <w:tcPr>
            <w:tcW w:w="0" w:type="auto"/>
            <w:shd w:val="clear" w:color="auto" w:fill="auto"/>
            <w:noWrap/>
            <w:vAlign w:val="center"/>
            <w:hideMark/>
          </w:tcPr>
          <w:p w14:paraId="4089ADB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.09425</w:t>
            </w:r>
          </w:p>
        </w:tc>
        <w:tc>
          <w:tcPr>
            <w:tcW w:w="1423" w:type="dxa"/>
            <w:vAlign w:val="center"/>
          </w:tcPr>
          <w:p w14:paraId="7CDA7CA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.014</w:t>
            </w:r>
          </w:p>
        </w:tc>
      </w:tr>
      <w:tr w:rsidR="00D65FF6" w:rsidRPr="00D53E24" w14:paraId="470B8814" w14:textId="77777777" w:rsidTr="00864BD9">
        <w:trPr>
          <w:trHeight w:val="246"/>
        </w:trPr>
        <w:tc>
          <w:tcPr>
            <w:tcW w:w="1356" w:type="dxa"/>
            <w:vMerge/>
            <w:vAlign w:val="center"/>
            <w:hideMark/>
          </w:tcPr>
          <w:p w14:paraId="191C120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0" w:type="auto"/>
            <w:shd w:val="clear" w:color="auto" w:fill="auto"/>
            <w:noWrap/>
            <w:hideMark/>
          </w:tcPr>
          <w:p w14:paraId="64EC44D9"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Social Media</w:t>
            </w:r>
          </w:p>
        </w:tc>
        <w:tc>
          <w:tcPr>
            <w:tcW w:w="0" w:type="auto"/>
            <w:shd w:val="clear" w:color="auto" w:fill="auto"/>
            <w:noWrap/>
            <w:vAlign w:val="center"/>
            <w:hideMark/>
          </w:tcPr>
          <w:p w14:paraId="571A1C6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274</w:t>
            </w:r>
          </w:p>
        </w:tc>
        <w:tc>
          <w:tcPr>
            <w:tcW w:w="0" w:type="auto"/>
            <w:shd w:val="clear" w:color="auto" w:fill="auto"/>
            <w:noWrap/>
            <w:vAlign w:val="center"/>
            <w:hideMark/>
          </w:tcPr>
          <w:p w14:paraId="1FC0D15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4.5336</w:t>
            </w:r>
          </w:p>
        </w:tc>
        <w:tc>
          <w:tcPr>
            <w:tcW w:w="0" w:type="auto"/>
            <w:shd w:val="clear" w:color="auto" w:fill="auto"/>
            <w:noWrap/>
            <w:vAlign w:val="center"/>
            <w:hideMark/>
          </w:tcPr>
          <w:p w14:paraId="432BF7B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1.21871</w:t>
            </w:r>
          </w:p>
        </w:tc>
        <w:tc>
          <w:tcPr>
            <w:tcW w:w="0" w:type="auto"/>
            <w:shd w:val="clear" w:color="auto" w:fill="auto"/>
            <w:noWrap/>
            <w:vAlign w:val="center"/>
            <w:hideMark/>
          </w:tcPr>
          <w:p w14:paraId="08CAB35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.07362</w:t>
            </w:r>
          </w:p>
        </w:tc>
        <w:tc>
          <w:tcPr>
            <w:tcW w:w="1423" w:type="dxa"/>
            <w:vAlign w:val="center"/>
          </w:tcPr>
          <w:p w14:paraId="634E1F1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2AC2884A" w14:textId="77777777" w:rsidTr="00864BD9">
        <w:trPr>
          <w:trHeight w:val="246"/>
        </w:trPr>
        <w:tc>
          <w:tcPr>
            <w:tcW w:w="1356" w:type="dxa"/>
            <w:vMerge w:val="restart"/>
            <w:shd w:val="clear" w:color="auto" w:fill="auto"/>
            <w:hideMark/>
          </w:tcPr>
          <w:p w14:paraId="20702F2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 perception</w:t>
            </w:r>
          </w:p>
        </w:tc>
        <w:tc>
          <w:tcPr>
            <w:tcW w:w="0" w:type="auto"/>
            <w:shd w:val="clear" w:color="auto" w:fill="auto"/>
            <w:noWrap/>
            <w:hideMark/>
          </w:tcPr>
          <w:p w14:paraId="0ACC9986"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0" w:type="auto"/>
            <w:shd w:val="clear" w:color="auto" w:fill="auto"/>
            <w:noWrap/>
            <w:vAlign w:val="center"/>
            <w:hideMark/>
          </w:tcPr>
          <w:p w14:paraId="662A545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200</w:t>
            </w:r>
          </w:p>
        </w:tc>
        <w:tc>
          <w:tcPr>
            <w:tcW w:w="0" w:type="auto"/>
            <w:shd w:val="clear" w:color="auto" w:fill="auto"/>
            <w:noWrap/>
            <w:vAlign w:val="center"/>
            <w:hideMark/>
          </w:tcPr>
          <w:p w14:paraId="00F1687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5.0258</w:t>
            </w:r>
          </w:p>
        </w:tc>
        <w:tc>
          <w:tcPr>
            <w:tcW w:w="0" w:type="auto"/>
            <w:shd w:val="clear" w:color="auto" w:fill="auto"/>
            <w:noWrap/>
            <w:vAlign w:val="center"/>
            <w:hideMark/>
          </w:tcPr>
          <w:p w14:paraId="48416A2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1.20789</w:t>
            </w:r>
          </w:p>
        </w:tc>
        <w:tc>
          <w:tcPr>
            <w:tcW w:w="0" w:type="auto"/>
            <w:shd w:val="clear" w:color="auto" w:fill="auto"/>
            <w:noWrap/>
            <w:vAlign w:val="center"/>
            <w:hideMark/>
          </w:tcPr>
          <w:p w14:paraId="1093557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.08541</w:t>
            </w:r>
          </w:p>
        </w:tc>
        <w:tc>
          <w:tcPr>
            <w:tcW w:w="1423" w:type="dxa"/>
            <w:vAlign w:val="center"/>
          </w:tcPr>
          <w:p w14:paraId="7F423A4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.028</w:t>
            </w:r>
          </w:p>
        </w:tc>
      </w:tr>
      <w:tr w:rsidR="00D65FF6" w:rsidRPr="00D53E24" w14:paraId="00697E0C" w14:textId="77777777" w:rsidTr="00864BD9">
        <w:trPr>
          <w:trHeight w:val="246"/>
        </w:trPr>
        <w:tc>
          <w:tcPr>
            <w:tcW w:w="1356" w:type="dxa"/>
            <w:vMerge/>
            <w:vAlign w:val="center"/>
            <w:hideMark/>
          </w:tcPr>
          <w:p w14:paraId="03F3584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0" w:type="auto"/>
            <w:shd w:val="clear" w:color="auto" w:fill="auto"/>
            <w:noWrap/>
            <w:hideMark/>
          </w:tcPr>
          <w:p w14:paraId="298E43A8"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Social Media</w:t>
            </w:r>
          </w:p>
        </w:tc>
        <w:tc>
          <w:tcPr>
            <w:tcW w:w="0" w:type="auto"/>
            <w:shd w:val="clear" w:color="auto" w:fill="auto"/>
            <w:noWrap/>
            <w:vAlign w:val="center"/>
            <w:hideMark/>
          </w:tcPr>
          <w:p w14:paraId="51C64FC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274</w:t>
            </w:r>
          </w:p>
        </w:tc>
        <w:tc>
          <w:tcPr>
            <w:tcW w:w="0" w:type="auto"/>
            <w:shd w:val="clear" w:color="auto" w:fill="auto"/>
            <w:noWrap/>
            <w:vAlign w:val="center"/>
            <w:hideMark/>
          </w:tcPr>
          <w:p w14:paraId="3FEF9DF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4.7640</w:t>
            </w:r>
          </w:p>
        </w:tc>
        <w:tc>
          <w:tcPr>
            <w:tcW w:w="0" w:type="auto"/>
            <w:shd w:val="clear" w:color="auto" w:fill="auto"/>
            <w:noWrap/>
            <w:vAlign w:val="center"/>
            <w:hideMark/>
          </w:tcPr>
          <w:p w14:paraId="668D208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1.32563</w:t>
            </w:r>
          </w:p>
        </w:tc>
        <w:tc>
          <w:tcPr>
            <w:tcW w:w="0" w:type="auto"/>
            <w:shd w:val="clear" w:color="auto" w:fill="auto"/>
            <w:noWrap/>
            <w:vAlign w:val="center"/>
            <w:hideMark/>
          </w:tcPr>
          <w:p w14:paraId="4F2562D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.08008</w:t>
            </w:r>
          </w:p>
        </w:tc>
        <w:tc>
          <w:tcPr>
            <w:tcW w:w="1423" w:type="dxa"/>
            <w:vAlign w:val="center"/>
          </w:tcPr>
          <w:p w14:paraId="684D816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38A61A40" w14:textId="77777777" w:rsidTr="00864BD9">
        <w:trPr>
          <w:trHeight w:val="246"/>
        </w:trPr>
        <w:tc>
          <w:tcPr>
            <w:tcW w:w="1356" w:type="dxa"/>
            <w:vMerge w:val="restart"/>
            <w:shd w:val="clear" w:color="auto" w:fill="auto"/>
            <w:hideMark/>
          </w:tcPr>
          <w:p w14:paraId="6A1545F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0" w:type="auto"/>
            <w:shd w:val="clear" w:color="auto" w:fill="auto"/>
            <w:noWrap/>
            <w:hideMark/>
          </w:tcPr>
          <w:p w14:paraId="4D2AB428"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0" w:type="auto"/>
            <w:shd w:val="clear" w:color="auto" w:fill="auto"/>
            <w:noWrap/>
            <w:vAlign w:val="center"/>
            <w:hideMark/>
          </w:tcPr>
          <w:p w14:paraId="7A4E421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200</w:t>
            </w:r>
          </w:p>
        </w:tc>
        <w:tc>
          <w:tcPr>
            <w:tcW w:w="0" w:type="auto"/>
            <w:shd w:val="clear" w:color="auto" w:fill="auto"/>
            <w:noWrap/>
            <w:vAlign w:val="center"/>
            <w:hideMark/>
          </w:tcPr>
          <w:p w14:paraId="2749505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5.4480</w:t>
            </w:r>
          </w:p>
        </w:tc>
        <w:tc>
          <w:tcPr>
            <w:tcW w:w="0" w:type="auto"/>
            <w:shd w:val="clear" w:color="auto" w:fill="auto"/>
            <w:noWrap/>
            <w:vAlign w:val="center"/>
            <w:hideMark/>
          </w:tcPr>
          <w:p w14:paraId="429C864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1.13301</w:t>
            </w:r>
          </w:p>
        </w:tc>
        <w:tc>
          <w:tcPr>
            <w:tcW w:w="0" w:type="auto"/>
            <w:shd w:val="clear" w:color="auto" w:fill="auto"/>
            <w:noWrap/>
            <w:vAlign w:val="center"/>
            <w:hideMark/>
          </w:tcPr>
          <w:p w14:paraId="09D9309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.08012</w:t>
            </w:r>
          </w:p>
        </w:tc>
        <w:tc>
          <w:tcPr>
            <w:tcW w:w="1423" w:type="dxa"/>
            <w:vAlign w:val="center"/>
          </w:tcPr>
          <w:p w14:paraId="6C2A951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2583EEAD" w14:textId="77777777" w:rsidTr="00864BD9">
        <w:trPr>
          <w:trHeight w:val="246"/>
        </w:trPr>
        <w:tc>
          <w:tcPr>
            <w:tcW w:w="1356" w:type="dxa"/>
            <w:vMerge/>
            <w:vAlign w:val="center"/>
            <w:hideMark/>
          </w:tcPr>
          <w:p w14:paraId="5749D80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0" w:type="auto"/>
            <w:shd w:val="clear" w:color="auto" w:fill="auto"/>
            <w:noWrap/>
            <w:hideMark/>
          </w:tcPr>
          <w:p w14:paraId="46F04E2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Social Media</w:t>
            </w:r>
          </w:p>
        </w:tc>
        <w:tc>
          <w:tcPr>
            <w:tcW w:w="0" w:type="auto"/>
            <w:shd w:val="clear" w:color="auto" w:fill="auto"/>
            <w:noWrap/>
            <w:vAlign w:val="center"/>
            <w:hideMark/>
          </w:tcPr>
          <w:p w14:paraId="0BF39D1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274</w:t>
            </w:r>
          </w:p>
        </w:tc>
        <w:tc>
          <w:tcPr>
            <w:tcW w:w="0" w:type="auto"/>
            <w:shd w:val="clear" w:color="auto" w:fill="auto"/>
            <w:noWrap/>
            <w:vAlign w:val="center"/>
            <w:hideMark/>
          </w:tcPr>
          <w:p w14:paraId="1BDF450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4.8285</w:t>
            </w:r>
          </w:p>
        </w:tc>
        <w:tc>
          <w:tcPr>
            <w:tcW w:w="0" w:type="auto"/>
            <w:shd w:val="clear" w:color="auto" w:fill="auto"/>
            <w:noWrap/>
            <w:vAlign w:val="center"/>
            <w:hideMark/>
          </w:tcPr>
          <w:p w14:paraId="5F6872D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1.25534</w:t>
            </w:r>
          </w:p>
        </w:tc>
        <w:tc>
          <w:tcPr>
            <w:tcW w:w="0" w:type="auto"/>
            <w:shd w:val="clear" w:color="auto" w:fill="auto"/>
            <w:noWrap/>
            <w:vAlign w:val="center"/>
            <w:hideMark/>
          </w:tcPr>
          <w:p w14:paraId="450B672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.07584</w:t>
            </w:r>
          </w:p>
        </w:tc>
        <w:tc>
          <w:tcPr>
            <w:tcW w:w="1423" w:type="dxa"/>
            <w:vAlign w:val="center"/>
          </w:tcPr>
          <w:p w14:paraId="6180CEA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61E3355F" w14:textId="77777777" w:rsidTr="00864BD9">
        <w:trPr>
          <w:trHeight w:val="246"/>
        </w:trPr>
        <w:tc>
          <w:tcPr>
            <w:tcW w:w="1356" w:type="dxa"/>
            <w:vMerge w:val="restart"/>
            <w:shd w:val="clear" w:color="auto" w:fill="auto"/>
            <w:hideMark/>
          </w:tcPr>
          <w:p w14:paraId="516823C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0" w:type="auto"/>
            <w:shd w:val="clear" w:color="auto" w:fill="auto"/>
            <w:noWrap/>
            <w:hideMark/>
          </w:tcPr>
          <w:p w14:paraId="2332A88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0" w:type="auto"/>
            <w:shd w:val="clear" w:color="auto" w:fill="auto"/>
            <w:noWrap/>
            <w:vAlign w:val="center"/>
            <w:hideMark/>
          </w:tcPr>
          <w:p w14:paraId="6978CF5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200</w:t>
            </w:r>
          </w:p>
        </w:tc>
        <w:tc>
          <w:tcPr>
            <w:tcW w:w="0" w:type="auto"/>
            <w:shd w:val="clear" w:color="auto" w:fill="auto"/>
            <w:noWrap/>
            <w:vAlign w:val="center"/>
            <w:hideMark/>
          </w:tcPr>
          <w:p w14:paraId="5AB7E7B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4.7989</w:t>
            </w:r>
          </w:p>
        </w:tc>
        <w:tc>
          <w:tcPr>
            <w:tcW w:w="0" w:type="auto"/>
            <w:shd w:val="clear" w:color="auto" w:fill="auto"/>
            <w:noWrap/>
            <w:vAlign w:val="center"/>
            <w:hideMark/>
          </w:tcPr>
          <w:p w14:paraId="5C415BE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1.11888</w:t>
            </w:r>
          </w:p>
        </w:tc>
        <w:tc>
          <w:tcPr>
            <w:tcW w:w="0" w:type="auto"/>
            <w:shd w:val="clear" w:color="auto" w:fill="auto"/>
            <w:noWrap/>
            <w:vAlign w:val="center"/>
            <w:hideMark/>
          </w:tcPr>
          <w:p w14:paraId="526E9F0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.07912</w:t>
            </w:r>
          </w:p>
        </w:tc>
        <w:tc>
          <w:tcPr>
            <w:tcW w:w="1423" w:type="dxa"/>
            <w:vAlign w:val="center"/>
          </w:tcPr>
          <w:p w14:paraId="78D6C22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1B19566A" w14:textId="77777777" w:rsidTr="00864BD9">
        <w:trPr>
          <w:trHeight w:val="246"/>
        </w:trPr>
        <w:tc>
          <w:tcPr>
            <w:tcW w:w="1356" w:type="dxa"/>
            <w:vMerge/>
            <w:vAlign w:val="center"/>
            <w:hideMark/>
          </w:tcPr>
          <w:p w14:paraId="64836A3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0" w:type="auto"/>
            <w:shd w:val="clear" w:color="auto" w:fill="auto"/>
            <w:noWrap/>
            <w:hideMark/>
          </w:tcPr>
          <w:p w14:paraId="208F48C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Social Media</w:t>
            </w:r>
          </w:p>
        </w:tc>
        <w:tc>
          <w:tcPr>
            <w:tcW w:w="0" w:type="auto"/>
            <w:shd w:val="clear" w:color="auto" w:fill="auto"/>
            <w:noWrap/>
            <w:vAlign w:val="center"/>
            <w:hideMark/>
          </w:tcPr>
          <w:p w14:paraId="33E7D0F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274</w:t>
            </w:r>
          </w:p>
        </w:tc>
        <w:tc>
          <w:tcPr>
            <w:tcW w:w="0" w:type="auto"/>
            <w:shd w:val="clear" w:color="auto" w:fill="auto"/>
            <w:noWrap/>
            <w:vAlign w:val="center"/>
            <w:hideMark/>
          </w:tcPr>
          <w:p w14:paraId="5F49337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4.2432</w:t>
            </w:r>
          </w:p>
        </w:tc>
        <w:tc>
          <w:tcPr>
            <w:tcW w:w="0" w:type="auto"/>
            <w:shd w:val="clear" w:color="auto" w:fill="auto"/>
            <w:noWrap/>
            <w:vAlign w:val="center"/>
            <w:hideMark/>
          </w:tcPr>
          <w:p w14:paraId="1647D62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1.19233</w:t>
            </w:r>
          </w:p>
        </w:tc>
        <w:tc>
          <w:tcPr>
            <w:tcW w:w="0" w:type="auto"/>
            <w:shd w:val="clear" w:color="auto" w:fill="auto"/>
            <w:noWrap/>
            <w:vAlign w:val="center"/>
            <w:hideMark/>
          </w:tcPr>
          <w:p w14:paraId="5CEFC7B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.07203</w:t>
            </w:r>
          </w:p>
        </w:tc>
        <w:tc>
          <w:tcPr>
            <w:tcW w:w="1423" w:type="dxa"/>
            <w:vAlign w:val="center"/>
          </w:tcPr>
          <w:p w14:paraId="75CED6F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013A43DA" w14:textId="77777777" w:rsidTr="00864BD9">
        <w:trPr>
          <w:trHeight w:val="246"/>
        </w:trPr>
        <w:tc>
          <w:tcPr>
            <w:tcW w:w="1356" w:type="dxa"/>
            <w:vMerge w:val="restart"/>
            <w:shd w:val="clear" w:color="auto" w:fill="auto"/>
            <w:hideMark/>
          </w:tcPr>
          <w:p w14:paraId="3614D914"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w:t>
            </w:r>
          </w:p>
        </w:tc>
        <w:tc>
          <w:tcPr>
            <w:tcW w:w="0" w:type="auto"/>
            <w:shd w:val="clear" w:color="auto" w:fill="auto"/>
            <w:noWrap/>
            <w:hideMark/>
          </w:tcPr>
          <w:p w14:paraId="58D8B36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0" w:type="auto"/>
            <w:shd w:val="clear" w:color="auto" w:fill="auto"/>
            <w:noWrap/>
            <w:vAlign w:val="center"/>
            <w:hideMark/>
          </w:tcPr>
          <w:p w14:paraId="0C682A4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200</w:t>
            </w:r>
          </w:p>
        </w:tc>
        <w:tc>
          <w:tcPr>
            <w:tcW w:w="0" w:type="auto"/>
            <w:shd w:val="clear" w:color="auto" w:fill="auto"/>
            <w:noWrap/>
            <w:vAlign w:val="center"/>
            <w:hideMark/>
          </w:tcPr>
          <w:p w14:paraId="132B8D5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4.2480</w:t>
            </w:r>
          </w:p>
        </w:tc>
        <w:tc>
          <w:tcPr>
            <w:tcW w:w="0" w:type="auto"/>
            <w:shd w:val="clear" w:color="auto" w:fill="auto"/>
            <w:noWrap/>
            <w:vAlign w:val="center"/>
            <w:hideMark/>
          </w:tcPr>
          <w:p w14:paraId="08D8F88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1.28716</w:t>
            </w:r>
          </w:p>
        </w:tc>
        <w:tc>
          <w:tcPr>
            <w:tcW w:w="0" w:type="auto"/>
            <w:shd w:val="clear" w:color="auto" w:fill="auto"/>
            <w:noWrap/>
            <w:vAlign w:val="center"/>
            <w:hideMark/>
          </w:tcPr>
          <w:p w14:paraId="06C30AF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.09102</w:t>
            </w:r>
          </w:p>
        </w:tc>
        <w:tc>
          <w:tcPr>
            <w:tcW w:w="1423" w:type="dxa"/>
            <w:vAlign w:val="center"/>
          </w:tcPr>
          <w:p w14:paraId="0387865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6449AFEF" w14:textId="77777777" w:rsidTr="00864BD9">
        <w:trPr>
          <w:trHeight w:val="246"/>
        </w:trPr>
        <w:tc>
          <w:tcPr>
            <w:tcW w:w="1356" w:type="dxa"/>
            <w:vMerge/>
            <w:vAlign w:val="center"/>
            <w:hideMark/>
          </w:tcPr>
          <w:p w14:paraId="3349C02A"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0" w:type="auto"/>
            <w:shd w:val="clear" w:color="auto" w:fill="auto"/>
            <w:noWrap/>
            <w:hideMark/>
          </w:tcPr>
          <w:p w14:paraId="2F5DC70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Social Media</w:t>
            </w:r>
          </w:p>
        </w:tc>
        <w:tc>
          <w:tcPr>
            <w:tcW w:w="0" w:type="auto"/>
            <w:shd w:val="clear" w:color="auto" w:fill="auto"/>
            <w:noWrap/>
            <w:vAlign w:val="center"/>
            <w:hideMark/>
          </w:tcPr>
          <w:p w14:paraId="3BAA211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274</w:t>
            </w:r>
          </w:p>
        </w:tc>
        <w:tc>
          <w:tcPr>
            <w:tcW w:w="0" w:type="auto"/>
            <w:shd w:val="clear" w:color="auto" w:fill="auto"/>
            <w:noWrap/>
            <w:vAlign w:val="center"/>
            <w:hideMark/>
          </w:tcPr>
          <w:p w14:paraId="08C5408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3.6810</w:t>
            </w:r>
          </w:p>
        </w:tc>
        <w:tc>
          <w:tcPr>
            <w:tcW w:w="0" w:type="auto"/>
            <w:shd w:val="clear" w:color="auto" w:fill="auto"/>
            <w:noWrap/>
            <w:vAlign w:val="center"/>
            <w:hideMark/>
          </w:tcPr>
          <w:p w14:paraId="124819F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1.45889</w:t>
            </w:r>
          </w:p>
        </w:tc>
        <w:tc>
          <w:tcPr>
            <w:tcW w:w="0" w:type="auto"/>
            <w:shd w:val="clear" w:color="auto" w:fill="auto"/>
            <w:noWrap/>
            <w:vAlign w:val="center"/>
            <w:hideMark/>
          </w:tcPr>
          <w:p w14:paraId="7318B35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.08813</w:t>
            </w:r>
          </w:p>
        </w:tc>
        <w:tc>
          <w:tcPr>
            <w:tcW w:w="1423" w:type="dxa"/>
            <w:vAlign w:val="center"/>
          </w:tcPr>
          <w:p w14:paraId="15A489D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6746D38E" w14:textId="77777777" w:rsidTr="00864BD9">
        <w:trPr>
          <w:trHeight w:val="246"/>
        </w:trPr>
        <w:tc>
          <w:tcPr>
            <w:tcW w:w="1356" w:type="dxa"/>
            <w:vMerge w:val="restart"/>
            <w:shd w:val="clear" w:color="auto" w:fill="auto"/>
            <w:hideMark/>
          </w:tcPr>
          <w:p w14:paraId="79EF5D0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0" w:type="auto"/>
            <w:shd w:val="clear" w:color="auto" w:fill="auto"/>
            <w:noWrap/>
            <w:hideMark/>
          </w:tcPr>
          <w:p w14:paraId="6ED1DE3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0" w:type="auto"/>
            <w:shd w:val="clear" w:color="auto" w:fill="auto"/>
            <w:noWrap/>
            <w:vAlign w:val="center"/>
            <w:hideMark/>
          </w:tcPr>
          <w:p w14:paraId="0447C99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200</w:t>
            </w:r>
          </w:p>
        </w:tc>
        <w:tc>
          <w:tcPr>
            <w:tcW w:w="0" w:type="auto"/>
            <w:shd w:val="clear" w:color="auto" w:fill="auto"/>
            <w:noWrap/>
            <w:vAlign w:val="center"/>
            <w:hideMark/>
          </w:tcPr>
          <w:p w14:paraId="510E64D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5.1913</w:t>
            </w:r>
          </w:p>
        </w:tc>
        <w:tc>
          <w:tcPr>
            <w:tcW w:w="0" w:type="auto"/>
            <w:shd w:val="clear" w:color="auto" w:fill="auto"/>
            <w:noWrap/>
            <w:vAlign w:val="center"/>
            <w:hideMark/>
          </w:tcPr>
          <w:p w14:paraId="303ED5D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1.17607</w:t>
            </w:r>
          </w:p>
        </w:tc>
        <w:tc>
          <w:tcPr>
            <w:tcW w:w="0" w:type="auto"/>
            <w:shd w:val="clear" w:color="auto" w:fill="auto"/>
            <w:noWrap/>
            <w:vAlign w:val="center"/>
            <w:hideMark/>
          </w:tcPr>
          <w:p w14:paraId="759F1F4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.08316</w:t>
            </w:r>
          </w:p>
        </w:tc>
        <w:tc>
          <w:tcPr>
            <w:tcW w:w="1423" w:type="dxa"/>
            <w:vAlign w:val="center"/>
          </w:tcPr>
          <w:p w14:paraId="747FD62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6C8948D0" w14:textId="77777777" w:rsidTr="00864BD9">
        <w:trPr>
          <w:trHeight w:val="246"/>
        </w:trPr>
        <w:tc>
          <w:tcPr>
            <w:tcW w:w="1356" w:type="dxa"/>
            <w:vMerge/>
            <w:vAlign w:val="center"/>
            <w:hideMark/>
          </w:tcPr>
          <w:p w14:paraId="232EDC82"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0" w:type="auto"/>
            <w:shd w:val="clear" w:color="auto" w:fill="auto"/>
            <w:noWrap/>
            <w:hideMark/>
          </w:tcPr>
          <w:p w14:paraId="57CE2C9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Social Media</w:t>
            </w:r>
          </w:p>
        </w:tc>
        <w:tc>
          <w:tcPr>
            <w:tcW w:w="0" w:type="auto"/>
            <w:shd w:val="clear" w:color="auto" w:fill="auto"/>
            <w:noWrap/>
            <w:vAlign w:val="center"/>
            <w:hideMark/>
          </w:tcPr>
          <w:p w14:paraId="1B923E2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274</w:t>
            </w:r>
          </w:p>
        </w:tc>
        <w:tc>
          <w:tcPr>
            <w:tcW w:w="0" w:type="auto"/>
            <w:shd w:val="clear" w:color="auto" w:fill="auto"/>
            <w:noWrap/>
            <w:vAlign w:val="center"/>
            <w:hideMark/>
          </w:tcPr>
          <w:p w14:paraId="5467441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4.5465</w:t>
            </w:r>
          </w:p>
        </w:tc>
        <w:tc>
          <w:tcPr>
            <w:tcW w:w="0" w:type="auto"/>
            <w:shd w:val="clear" w:color="auto" w:fill="auto"/>
            <w:noWrap/>
            <w:vAlign w:val="center"/>
            <w:hideMark/>
          </w:tcPr>
          <w:p w14:paraId="18AB419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1.40768</w:t>
            </w:r>
          </w:p>
        </w:tc>
        <w:tc>
          <w:tcPr>
            <w:tcW w:w="0" w:type="auto"/>
            <w:shd w:val="clear" w:color="auto" w:fill="auto"/>
            <w:noWrap/>
            <w:vAlign w:val="center"/>
            <w:hideMark/>
          </w:tcPr>
          <w:p w14:paraId="7CFF98D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.08504</w:t>
            </w:r>
          </w:p>
        </w:tc>
        <w:tc>
          <w:tcPr>
            <w:tcW w:w="1423" w:type="dxa"/>
            <w:vAlign w:val="center"/>
          </w:tcPr>
          <w:p w14:paraId="7497544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27C8AC53" w14:textId="77777777" w:rsidTr="00864BD9">
        <w:trPr>
          <w:trHeight w:val="246"/>
        </w:trPr>
        <w:tc>
          <w:tcPr>
            <w:tcW w:w="1356" w:type="dxa"/>
            <w:vMerge w:val="restart"/>
            <w:shd w:val="clear" w:color="auto" w:fill="auto"/>
            <w:hideMark/>
          </w:tcPr>
          <w:p w14:paraId="69BB3AB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xml:space="preserve">Intention </w:t>
            </w:r>
          </w:p>
        </w:tc>
        <w:tc>
          <w:tcPr>
            <w:tcW w:w="0" w:type="auto"/>
            <w:shd w:val="clear" w:color="auto" w:fill="auto"/>
            <w:noWrap/>
            <w:hideMark/>
          </w:tcPr>
          <w:p w14:paraId="4EC9432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0" w:type="auto"/>
            <w:shd w:val="clear" w:color="auto" w:fill="auto"/>
            <w:noWrap/>
            <w:vAlign w:val="center"/>
            <w:hideMark/>
          </w:tcPr>
          <w:p w14:paraId="1A21BE2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200</w:t>
            </w:r>
          </w:p>
        </w:tc>
        <w:tc>
          <w:tcPr>
            <w:tcW w:w="0" w:type="auto"/>
            <w:shd w:val="clear" w:color="auto" w:fill="auto"/>
            <w:noWrap/>
            <w:vAlign w:val="center"/>
            <w:hideMark/>
          </w:tcPr>
          <w:p w14:paraId="1B88C49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5.4576</w:t>
            </w:r>
          </w:p>
        </w:tc>
        <w:tc>
          <w:tcPr>
            <w:tcW w:w="0" w:type="auto"/>
            <w:shd w:val="clear" w:color="auto" w:fill="auto"/>
            <w:noWrap/>
            <w:vAlign w:val="center"/>
            <w:hideMark/>
          </w:tcPr>
          <w:p w14:paraId="68EAE0A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1.28126</w:t>
            </w:r>
          </w:p>
        </w:tc>
        <w:tc>
          <w:tcPr>
            <w:tcW w:w="0" w:type="auto"/>
            <w:shd w:val="clear" w:color="auto" w:fill="auto"/>
            <w:noWrap/>
            <w:vAlign w:val="center"/>
            <w:hideMark/>
          </w:tcPr>
          <w:p w14:paraId="15B9FE1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.09060</w:t>
            </w:r>
          </w:p>
        </w:tc>
        <w:tc>
          <w:tcPr>
            <w:tcW w:w="1423" w:type="dxa"/>
            <w:vAlign w:val="center"/>
          </w:tcPr>
          <w:p w14:paraId="1B5505B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w:t>
            </w:r>
          </w:p>
        </w:tc>
      </w:tr>
      <w:tr w:rsidR="00D65FF6" w:rsidRPr="00D53E24" w14:paraId="427FC7B2" w14:textId="77777777" w:rsidTr="00864BD9">
        <w:trPr>
          <w:trHeight w:val="246"/>
        </w:trPr>
        <w:tc>
          <w:tcPr>
            <w:tcW w:w="1356" w:type="dxa"/>
            <w:vMerge/>
            <w:vAlign w:val="center"/>
            <w:hideMark/>
          </w:tcPr>
          <w:p w14:paraId="5887AF23"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0" w:type="auto"/>
            <w:shd w:val="clear" w:color="auto" w:fill="auto"/>
            <w:noWrap/>
            <w:hideMark/>
          </w:tcPr>
          <w:p w14:paraId="6856BA63"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Social Media</w:t>
            </w:r>
          </w:p>
        </w:tc>
        <w:tc>
          <w:tcPr>
            <w:tcW w:w="0" w:type="auto"/>
            <w:shd w:val="clear" w:color="auto" w:fill="auto"/>
            <w:noWrap/>
            <w:vAlign w:val="center"/>
            <w:hideMark/>
          </w:tcPr>
          <w:p w14:paraId="62395EA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274</w:t>
            </w:r>
          </w:p>
        </w:tc>
        <w:tc>
          <w:tcPr>
            <w:tcW w:w="0" w:type="auto"/>
            <w:shd w:val="clear" w:color="auto" w:fill="auto"/>
            <w:noWrap/>
            <w:vAlign w:val="center"/>
            <w:hideMark/>
          </w:tcPr>
          <w:p w14:paraId="4DF0FBB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4.7089</w:t>
            </w:r>
          </w:p>
        </w:tc>
        <w:tc>
          <w:tcPr>
            <w:tcW w:w="0" w:type="auto"/>
            <w:shd w:val="clear" w:color="auto" w:fill="auto"/>
            <w:noWrap/>
            <w:vAlign w:val="center"/>
            <w:hideMark/>
          </w:tcPr>
          <w:p w14:paraId="30F58D8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1.53974</w:t>
            </w:r>
          </w:p>
        </w:tc>
        <w:tc>
          <w:tcPr>
            <w:tcW w:w="0" w:type="auto"/>
            <w:shd w:val="clear" w:color="auto" w:fill="auto"/>
            <w:noWrap/>
            <w:vAlign w:val="center"/>
            <w:hideMark/>
          </w:tcPr>
          <w:p w14:paraId="574312B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.09302</w:t>
            </w:r>
          </w:p>
        </w:tc>
        <w:tc>
          <w:tcPr>
            <w:tcW w:w="1423" w:type="dxa"/>
            <w:vAlign w:val="center"/>
          </w:tcPr>
          <w:p w14:paraId="4330CEF1" w14:textId="77777777" w:rsidR="00D65FF6" w:rsidRPr="00D53E24" w:rsidRDefault="00D65FF6" w:rsidP="00250620">
            <w:pPr>
              <w:keepNext/>
              <w:spacing w:after="0" w:line="240" w:lineRule="auto"/>
              <w:jc w:val="right"/>
              <w:rPr>
                <w:rFonts w:asciiTheme="majorBidi" w:eastAsia="Times New Roman" w:hAnsiTheme="majorBidi" w:cstheme="majorBidi"/>
                <w:color w:val="000000"/>
                <w:sz w:val="20"/>
                <w:szCs w:val="20"/>
              </w:rPr>
            </w:pPr>
          </w:p>
        </w:tc>
      </w:tr>
    </w:tbl>
    <w:p w14:paraId="3B1CD0D4" w14:textId="2D6C7139" w:rsidR="00D65FF6" w:rsidRDefault="00250620" w:rsidP="00250620">
      <w:pPr>
        <w:pStyle w:val="Caption"/>
        <w:rPr>
          <w:rFonts w:asciiTheme="majorBidi" w:hAnsiTheme="majorBidi" w:cstheme="majorBidi"/>
          <w:b/>
          <w:bCs/>
          <w:sz w:val="24"/>
          <w:szCs w:val="24"/>
        </w:rPr>
      </w:pPr>
      <w:r>
        <w:t>Table 3</w:t>
      </w:r>
      <w:r w:rsidR="00864BD9">
        <w:t>3</w:t>
      </w:r>
      <w:r>
        <w:t xml:space="preserve"> T-test of the variables in the </w:t>
      </w:r>
      <w:r w:rsidRPr="00250620">
        <w:t>TV and social media groups</w:t>
      </w:r>
    </w:p>
    <w:p w14:paraId="1D0E494C" w14:textId="77777777" w:rsidR="00D65FF6" w:rsidRPr="008D75D3" w:rsidRDefault="00D65FF6" w:rsidP="00D65FF6">
      <w:pPr>
        <w:autoSpaceDE w:val="0"/>
        <w:autoSpaceDN w:val="0"/>
        <w:adjustRightInd w:val="0"/>
        <w:spacing w:after="0" w:line="240" w:lineRule="auto"/>
        <w:rPr>
          <w:rFonts w:asciiTheme="majorBidi" w:hAnsiTheme="majorBidi" w:cstheme="majorBidi"/>
          <w:b/>
          <w:bCs/>
          <w:sz w:val="24"/>
          <w:szCs w:val="24"/>
        </w:rPr>
      </w:pPr>
    </w:p>
    <w:p w14:paraId="13A1DEA9" w14:textId="77777777" w:rsidR="00F35512" w:rsidRDefault="00D65FF6" w:rsidP="00F35512">
      <w:pPr>
        <w:keepNext/>
      </w:pPr>
      <w:r>
        <w:rPr>
          <w:noProof/>
        </w:rPr>
        <w:drawing>
          <wp:inline distT="0" distB="0" distL="0" distR="0" wp14:anchorId="36F686CF" wp14:editId="02A9F9C3">
            <wp:extent cx="4672977" cy="2546856"/>
            <wp:effectExtent l="0" t="0" r="13335" b="6350"/>
            <wp:docPr id="10" name="Chart 10">
              <a:extLst xmlns:a="http://schemas.openxmlformats.org/drawingml/2006/main">
                <a:ext uri="{FF2B5EF4-FFF2-40B4-BE49-F238E27FC236}">
                  <a16:creationId xmlns:a16="http://schemas.microsoft.com/office/drawing/2014/main" id="{BFBB18CA-A2F2-0B24-BC8E-FE3639A67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81EADC5" w14:textId="7033890B" w:rsidR="00D65FF6" w:rsidRPr="008D75D3" w:rsidRDefault="00F35512" w:rsidP="00F35512">
      <w:pPr>
        <w:pStyle w:val="Caption"/>
        <w:rPr>
          <w:rFonts w:asciiTheme="majorBidi" w:hAnsiTheme="majorBidi" w:cstheme="majorBidi"/>
          <w:sz w:val="24"/>
          <w:szCs w:val="24"/>
        </w:rPr>
      </w:pPr>
      <w:r>
        <w:t>Figure 21 Average of variables of TV and social media</w:t>
      </w:r>
    </w:p>
    <w:p w14:paraId="5BFD2B24" w14:textId="529DEB01" w:rsidR="00D65FF6" w:rsidRPr="00BC46AB" w:rsidRDefault="00D65FF6" w:rsidP="00D65FF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6.1</w:t>
      </w:r>
      <w:r w:rsidR="00C0315E">
        <w:rPr>
          <w:rFonts w:asciiTheme="majorBidi" w:hAnsiTheme="majorBidi" w:cstheme="majorBidi"/>
          <w:b/>
          <w:bCs/>
          <w:sz w:val="24"/>
          <w:szCs w:val="24"/>
        </w:rPr>
        <w:t>0</w:t>
      </w:r>
      <w:r>
        <w:rPr>
          <w:rFonts w:asciiTheme="majorBidi" w:hAnsiTheme="majorBidi" w:cstheme="majorBidi"/>
          <w:b/>
          <w:bCs/>
          <w:sz w:val="24"/>
          <w:szCs w:val="24"/>
        </w:rPr>
        <w:t xml:space="preserve">.3.3 </w:t>
      </w:r>
      <w:r w:rsidRPr="00BC46AB">
        <w:rPr>
          <w:rFonts w:asciiTheme="majorBidi" w:hAnsiTheme="majorBidi" w:cstheme="majorBidi"/>
          <w:b/>
          <w:bCs/>
          <w:sz w:val="24"/>
          <w:szCs w:val="24"/>
        </w:rPr>
        <w:t xml:space="preserve">CSR </w:t>
      </w:r>
      <w:r>
        <w:rPr>
          <w:rFonts w:asciiTheme="majorBidi" w:hAnsiTheme="majorBidi" w:cstheme="majorBidi"/>
          <w:b/>
          <w:bCs/>
          <w:sz w:val="24"/>
          <w:szCs w:val="24"/>
        </w:rPr>
        <w:t>and</w:t>
      </w:r>
      <w:r w:rsidRPr="00BC46AB">
        <w:rPr>
          <w:rFonts w:asciiTheme="majorBidi" w:hAnsiTheme="majorBidi" w:cstheme="majorBidi"/>
          <w:b/>
          <w:bCs/>
          <w:sz w:val="24"/>
          <w:szCs w:val="24"/>
        </w:rPr>
        <w:t xml:space="preserve"> </w:t>
      </w:r>
      <w:r>
        <w:rPr>
          <w:rFonts w:asciiTheme="majorBidi" w:hAnsiTheme="majorBidi" w:cstheme="majorBidi"/>
          <w:b/>
          <w:bCs/>
          <w:sz w:val="24"/>
          <w:szCs w:val="24"/>
        </w:rPr>
        <w:t>TV</w:t>
      </w:r>
      <w:r w:rsidRPr="00BC46AB">
        <w:rPr>
          <w:rFonts w:asciiTheme="majorBidi" w:hAnsiTheme="majorBidi" w:cstheme="majorBidi"/>
          <w:b/>
          <w:bCs/>
          <w:sz w:val="24"/>
          <w:szCs w:val="24"/>
        </w:rPr>
        <w:t xml:space="preserve"> </w:t>
      </w:r>
      <w:r>
        <w:rPr>
          <w:rFonts w:asciiTheme="majorBidi" w:hAnsiTheme="majorBidi" w:cstheme="majorBidi"/>
          <w:b/>
          <w:bCs/>
          <w:sz w:val="24"/>
          <w:szCs w:val="24"/>
        </w:rPr>
        <w:t>advertising group</w:t>
      </w:r>
    </w:p>
    <w:p w14:paraId="1A6CF659" w14:textId="28ACE033" w:rsidR="00D65FF6" w:rsidRPr="00BC46AB" w:rsidRDefault="00183B00" w:rsidP="003F0073">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After looking at the two main groups for comparison, this section compares between the impact of CSR and non-CSR communication among the respondents who received the TV stimulus. </w:t>
      </w:r>
      <w:r w:rsidR="00D65FF6" w:rsidRPr="00BC46AB">
        <w:rPr>
          <w:rFonts w:asciiTheme="majorBidi" w:hAnsiTheme="majorBidi" w:cstheme="majorBidi"/>
          <w:sz w:val="24"/>
          <w:szCs w:val="24"/>
        </w:rPr>
        <w:t>From the following table</w:t>
      </w:r>
      <w:r w:rsidR="00D65FF6">
        <w:rPr>
          <w:rFonts w:asciiTheme="majorBidi" w:hAnsiTheme="majorBidi" w:cstheme="majorBidi"/>
          <w:sz w:val="24"/>
          <w:szCs w:val="24"/>
        </w:rPr>
        <w:t xml:space="preserve"> it is</w:t>
      </w:r>
      <w:r w:rsidR="00D65FF6" w:rsidRPr="00BC46AB">
        <w:rPr>
          <w:rFonts w:asciiTheme="majorBidi" w:hAnsiTheme="majorBidi" w:cstheme="majorBidi"/>
          <w:sz w:val="24"/>
          <w:szCs w:val="24"/>
        </w:rPr>
        <w:t xml:space="preserve"> conclude</w:t>
      </w:r>
      <w:r w:rsidR="00D65FF6">
        <w:rPr>
          <w:rFonts w:asciiTheme="majorBidi" w:hAnsiTheme="majorBidi" w:cstheme="majorBidi"/>
          <w:sz w:val="24"/>
          <w:szCs w:val="24"/>
        </w:rPr>
        <w:t>d</w:t>
      </w:r>
      <w:r w:rsidR="00D65FF6" w:rsidRPr="00BC46AB">
        <w:rPr>
          <w:rFonts w:asciiTheme="majorBidi" w:hAnsiTheme="majorBidi" w:cstheme="majorBidi"/>
          <w:sz w:val="24"/>
          <w:szCs w:val="24"/>
        </w:rPr>
        <w:t xml:space="preserve"> that:</w:t>
      </w:r>
    </w:p>
    <w:p w14:paraId="613367E2" w14:textId="77777777" w:rsidR="00D65FF6" w:rsidRPr="008D75D3" w:rsidRDefault="00D65FF6">
      <w:pPr>
        <w:pStyle w:val="ListParagraph"/>
        <w:numPr>
          <w:ilvl w:val="0"/>
          <w:numId w:val="11"/>
        </w:numPr>
        <w:spacing w:after="0" w:line="480" w:lineRule="auto"/>
        <w:ind w:left="360"/>
        <w:jc w:val="both"/>
        <w:rPr>
          <w:rFonts w:asciiTheme="majorBidi" w:hAnsiTheme="majorBidi" w:cstheme="majorBidi"/>
          <w:sz w:val="24"/>
          <w:szCs w:val="24"/>
        </w:rPr>
      </w:pPr>
      <w:r w:rsidRPr="008D75D3">
        <w:rPr>
          <w:rFonts w:asciiTheme="majorBidi" w:hAnsiTheme="majorBidi" w:cstheme="majorBidi"/>
          <w:sz w:val="24"/>
          <w:szCs w:val="24"/>
        </w:rPr>
        <w:t xml:space="preserve">The average of </w:t>
      </w:r>
      <w:r>
        <w:rPr>
          <w:rFonts w:asciiTheme="majorBidi" w:hAnsiTheme="majorBidi" w:cstheme="majorBidi"/>
          <w:sz w:val="24"/>
          <w:szCs w:val="24"/>
        </w:rPr>
        <w:t>ad</w:t>
      </w:r>
      <w:r w:rsidRPr="008D75D3">
        <w:rPr>
          <w:rFonts w:asciiTheme="majorBidi" w:hAnsiTheme="majorBidi" w:cstheme="majorBidi"/>
          <w:sz w:val="24"/>
          <w:szCs w:val="24"/>
        </w:rPr>
        <w:t xml:space="preserve"> likeability 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 </w:t>
      </w:r>
    </w:p>
    <w:p w14:paraId="0C2521BF" w14:textId="77777777" w:rsidR="00D65FF6" w:rsidRPr="008D75D3" w:rsidRDefault="00D65FF6">
      <w:pPr>
        <w:pStyle w:val="ListParagraph"/>
        <w:numPr>
          <w:ilvl w:val="0"/>
          <w:numId w:val="11"/>
        </w:numPr>
        <w:spacing w:after="200" w:line="480" w:lineRule="auto"/>
        <w:ind w:left="360"/>
        <w:jc w:val="both"/>
        <w:rPr>
          <w:rFonts w:asciiTheme="majorBidi" w:hAnsiTheme="majorBidi" w:cstheme="majorBidi"/>
          <w:sz w:val="24"/>
          <w:szCs w:val="24"/>
        </w:rPr>
      </w:pPr>
      <w:r w:rsidRPr="008D75D3">
        <w:rPr>
          <w:rFonts w:asciiTheme="majorBidi" w:hAnsiTheme="majorBidi" w:cstheme="majorBidi"/>
          <w:sz w:val="24"/>
          <w:szCs w:val="24"/>
        </w:rPr>
        <w:t xml:space="preserve">The average of CSR perception for </w:t>
      </w:r>
      <w:r>
        <w:rPr>
          <w:rFonts w:asciiTheme="majorBidi" w:hAnsiTheme="majorBidi" w:cstheme="majorBidi"/>
          <w:sz w:val="24"/>
          <w:szCs w:val="24"/>
        </w:rPr>
        <w:t>non-</w:t>
      </w:r>
      <w:r w:rsidRPr="008D75D3">
        <w:rPr>
          <w:rFonts w:asciiTheme="majorBidi" w:hAnsiTheme="majorBidi" w:cstheme="majorBidi"/>
          <w:sz w:val="24"/>
          <w:szCs w:val="24"/>
        </w:rPr>
        <w:t>CSR is not significantly different than the same average of CSR</w:t>
      </w:r>
      <w:r>
        <w:rPr>
          <w:rFonts w:asciiTheme="majorBidi" w:hAnsiTheme="majorBidi" w:cstheme="majorBidi"/>
          <w:sz w:val="24"/>
          <w:szCs w:val="24"/>
        </w:rPr>
        <w:t xml:space="preserve"> communication.</w:t>
      </w:r>
    </w:p>
    <w:p w14:paraId="078C4B4C" w14:textId="77777777" w:rsidR="00D65FF6" w:rsidRPr="008D75D3" w:rsidRDefault="00D65FF6">
      <w:pPr>
        <w:pStyle w:val="ListParagraph"/>
        <w:numPr>
          <w:ilvl w:val="0"/>
          <w:numId w:val="11"/>
        </w:numPr>
        <w:spacing w:after="200" w:line="480" w:lineRule="auto"/>
        <w:ind w:left="360"/>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functionality for </w:t>
      </w:r>
      <w:r>
        <w:rPr>
          <w:rFonts w:asciiTheme="majorBidi" w:hAnsiTheme="majorBidi" w:cstheme="majorBidi"/>
          <w:sz w:val="24"/>
          <w:szCs w:val="24"/>
        </w:rPr>
        <w:t>non-</w:t>
      </w:r>
      <w:r w:rsidRPr="008D75D3">
        <w:rPr>
          <w:rFonts w:asciiTheme="majorBidi" w:hAnsiTheme="majorBidi" w:cstheme="majorBidi"/>
          <w:sz w:val="24"/>
          <w:szCs w:val="24"/>
        </w:rPr>
        <w:t>CSR is not significantly different than the same average of CSR</w:t>
      </w:r>
      <w:r>
        <w:rPr>
          <w:rFonts w:asciiTheme="majorBidi" w:hAnsiTheme="majorBidi" w:cstheme="majorBidi"/>
          <w:sz w:val="24"/>
          <w:szCs w:val="24"/>
        </w:rPr>
        <w:t xml:space="preserve"> communication.</w:t>
      </w:r>
    </w:p>
    <w:p w14:paraId="2C314AD9" w14:textId="77777777" w:rsidR="00D65FF6" w:rsidRPr="008D75D3" w:rsidRDefault="00D65FF6">
      <w:pPr>
        <w:pStyle w:val="ListParagraph"/>
        <w:numPr>
          <w:ilvl w:val="0"/>
          <w:numId w:val="11"/>
        </w:numPr>
        <w:spacing w:after="200" w:line="480" w:lineRule="auto"/>
        <w:ind w:left="360"/>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likeability 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w:t>
      </w:r>
    </w:p>
    <w:p w14:paraId="7A112F0F" w14:textId="77777777" w:rsidR="00D65FF6" w:rsidRPr="008D75D3" w:rsidRDefault="00D65FF6">
      <w:pPr>
        <w:pStyle w:val="ListParagraph"/>
        <w:numPr>
          <w:ilvl w:val="0"/>
          <w:numId w:val="11"/>
        </w:numPr>
        <w:spacing w:after="200" w:line="480" w:lineRule="auto"/>
        <w:ind w:left="360"/>
        <w:jc w:val="both"/>
        <w:rPr>
          <w:rFonts w:asciiTheme="majorBidi" w:hAnsiTheme="majorBidi" w:cstheme="majorBidi"/>
          <w:sz w:val="24"/>
          <w:szCs w:val="24"/>
        </w:rPr>
      </w:pPr>
      <w:r w:rsidRPr="008D75D3">
        <w:rPr>
          <w:rFonts w:asciiTheme="majorBidi" w:hAnsiTheme="majorBidi" w:cstheme="majorBidi"/>
          <w:sz w:val="24"/>
          <w:szCs w:val="24"/>
        </w:rPr>
        <w:t xml:space="preserve">The average of </w:t>
      </w:r>
      <w:r>
        <w:rPr>
          <w:rFonts w:asciiTheme="majorBidi" w:hAnsiTheme="majorBidi" w:cstheme="majorBidi"/>
          <w:sz w:val="24"/>
          <w:szCs w:val="24"/>
        </w:rPr>
        <w:t>e</w:t>
      </w:r>
      <w:r w:rsidRPr="008D75D3">
        <w:rPr>
          <w:rFonts w:asciiTheme="majorBidi" w:hAnsiTheme="majorBidi" w:cstheme="majorBidi"/>
          <w:sz w:val="24"/>
          <w:szCs w:val="24"/>
        </w:rPr>
        <w:t xml:space="preserve">motional brand </w:t>
      </w:r>
      <w:r>
        <w:rPr>
          <w:rFonts w:asciiTheme="majorBidi" w:hAnsiTheme="majorBidi" w:cstheme="majorBidi"/>
          <w:sz w:val="24"/>
          <w:szCs w:val="24"/>
        </w:rPr>
        <w:t xml:space="preserve">attachment </w:t>
      </w:r>
      <w:r w:rsidRPr="008D75D3">
        <w:rPr>
          <w:rFonts w:asciiTheme="majorBidi" w:hAnsiTheme="majorBidi" w:cstheme="majorBidi"/>
          <w:sz w:val="24"/>
          <w:szCs w:val="24"/>
        </w:rPr>
        <w:t xml:space="preserve">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w:t>
      </w:r>
    </w:p>
    <w:p w14:paraId="0047568D" w14:textId="77777777" w:rsidR="00D65FF6" w:rsidRPr="008D75D3" w:rsidRDefault="00D65FF6">
      <w:pPr>
        <w:pStyle w:val="ListParagraph"/>
        <w:numPr>
          <w:ilvl w:val="0"/>
          <w:numId w:val="11"/>
        </w:numPr>
        <w:spacing w:after="200" w:line="480" w:lineRule="auto"/>
        <w:ind w:left="360"/>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trust for </w:t>
      </w:r>
      <w:r>
        <w:rPr>
          <w:rFonts w:asciiTheme="majorBidi" w:hAnsiTheme="majorBidi" w:cstheme="majorBidi"/>
          <w:sz w:val="24"/>
          <w:szCs w:val="24"/>
        </w:rPr>
        <w:t>non-</w:t>
      </w:r>
      <w:r w:rsidRPr="008D75D3">
        <w:rPr>
          <w:rFonts w:asciiTheme="majorBidi" w:hAnsiTheme="majorBidi" w:cstheme="majorBidi"/>
          <w:sz w:val="24"/>
          <w:szCs w:val="24"/>
        </w:rPr>
        <w:t>CSR is not significantly different than the same average of CSR</w:t>
      </w:r>
      <w:r>
        <w:rPr>
          <w:rFonts w:asciiTheme="majorBidi" w:hAnsiTheme="majorBidi" w:cstheme="majorBidi"/>
          <w:sz w:val="24"/>
          <w:szCs w:val="24"/>
        </w:rPr>
        <w:t xml:space="preserve"> communication.</w:t>
      </w:r>
    </w:p>
    <w:p w14:paraId="09C31F2F" w14:textId="005A3450" w:rsidR="00D65FF6" w:rsidRPr="00250620" w:rsidRDefault="00D65FF6">
      <w:pPr>
        <w:pStyle w:val="ListParagraph"/>
        <w:numPr>
          <w:ilvl w:val="0"/>
          <w:numId w:val="11"/>
        </w:numPr>
        <w:spacing w:after="200" w:line="480" w:lineRule="auto"/>
        <w:ind w:left="360"/>
        <w:jc w:val="both"/>
        <w:rPr>
          <w:rFonts w:asciiTheme="majorBidi" w:hAnsiTheme="majorBidi" w:cstheme="majorBidi"/>
          <w:sz w:val="24"/>
          <w:szCs w:val="24"/>
        </w:rPr>
      </w:pPr>
      <w:r w:rsidRPr="008D75D3">
        <w:rPr>
          <w:rFonts w:asciiTheme="majorBidi" w:hAnsiTheme="majorBidi" w:cstheme="majorBidi"/>
          <w:sz w:val="24"/>
          <w:szCs w:val="24"/>
        </w:rPr>
        <w:t xml:space="preserve">The average of </w:t>
      </w:r>
      <w:r>
        <w:rPr>
          <w:rFonts w:asciiTheme="majorBidi" w:hAnsiTheme="majorBidi" w:cstheme="majorBidi"/>
          <w:sz w:val="24"/>
          <w:szCs w:val="24"/>
        </w:rPr>
        <w:t xml:space="preserve">purchase </w:t>
      </w:r>
      <w:r w:rsidRPr="008D75D3">
        <w:rPr>
          <w:rFonts w:asciiTheme="majorBidi" w:hAnsiTheme="majorBidi" w:cstheme="majorBidi"/>
          <w:sz w:val="24"/>
          <w:szCs w:val="24"/>
        </w:rPr>
        <w:t xml:space="preserve">intention 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w:t>
      </w: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34"/>
        <w:gridCol w:w="851"/>
        <w:gridCol w:w="1134"/>
        <w:gridCol w:w="1417"/>
        <w:gridCol w:w="1559"/>
        <w:gridCol w:w="851"/>
      </w:tblGrid>
      <w:tr w:rsidR="00D65FF6" w:rsidRPr="00D53E24" w14:paraId="14074444" w14:textId="77777777" w:rsidTr="00864BD9">
        <w:trPr>
          <w:trHeight w:val="421"/>
        </w:trPr>
        <w:tc>
          <w:tcPr>
            <w:tcW w:w="2693" w:type="dxa"/>
            <w:gridSpan w:val="2"/>
            <w:shd w:val="clear" w:color="auto" w:fill="auto"/>
            <w:vAlign w:val="bottom"/>
            <w:hideMark/>
          </w:tcPr>
          <w:p w14:paraId="1D9013A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851" w:type="dxa"/>
            <w:shd w:val="clear" w:color="auto" w:fill="auto"/>
            <w:vAlign w:val="bottom"/>
            <w:hideMark/>
          </w:tcPr>
          <w:p w14:paraId="3B4FF099"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1134" w:type="dxa"/>
            <w:shd w:val="clear" w:color="auto" w:fill="auto"/>
            <w:vAlign w:val="bottom"/>
            <w:hideMark/>
          </w:tcPr>
          <w:p w14:paraId="04CDF720"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417" w:type="dxa"/>
            <w:shd w:val="clear" w:color="auto" w:fill="auto"/>
            <w:vAlign w:val="bottom"/>
            <w:hideMark/>
          </w:tcPr>
          <w:p w14:paraId="6C8E3C6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c>
          <w:tcPr>
            <w:tcW w:w="1559" w:type="dxa"/>
            <w:shd w:val="clear" w:color="auto" w:fill="auto"/>
            <w:vAlign w:val="bottom"/>
            <w:hideMark/>
          </w:tcPr>
          <w:p w14:paraId="27B0E51C"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Error Mean</w:t>
            </w:r>
          </w:p>
        </w:tc>
        <w:tc>
          <w:tcPr>
            <w:tcW w:w="851" w:type="dxa"/>
          </w:tcPr>
          <w:p w14:paraId="48522FF9"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P-value of T-test</w:t>
            </w:r>
          </w:p>
        </w:tc>
      </w:tr>
      <w:tr w:rsidR="00D65FF6" w:rsidRPr="00D53E24" w14:paraId="1048723C" w14:textId="77777777" w:rsidTr="00864BD9">
        <w:trPr>
          <w:trHeight w:val="252"/>
        </w:trPr>
        <w:tc>
          <w:tcPr>
            <w:tcW w:w="1559" w:type="dxa"/>
            <w:vMerge w:val="restart"/>
            <w:shd w:val="clear" w:color="auto" w:fill="auto"/>
            <w:hideMark/>
          </w:tcPr>
          <w:p w14:paraId="75D2B24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1134" w:type="dxa"/>
            <w:shd w:val="clear" w:color="auto" w:fill="auto"/>
            <w:noWrap/>
            <w:hideMark/>
          </w:tcPr>
          <w:p w14:paraId="2F0D4161"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851" w:type="dxa"/>
            <w:shd w:val="clear" w:color="auto" w:fill="auto"/>
            <w:noWrap/>
            <w:vAlign w:val="center"/>
            <w:hideMark/>
          </w:tcPr>
          <w:p w14:paraId="2A91F11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99</w:t>
            </w:r>
          </w:p>
        </w:tc>
        <w:tc>
          <w:tcPr>
            <w:tcW w:w="1134" w:type="dxa"/>
            <w:shd w:val="clear" w:color="auto" w:fill="auto"/>
            <w:noWrap/>
            <w:vAlign w:val="center"/>
            <w:hideMark/>
          </w:tcPr>
          <w:p w14:paraId="3BDAEAC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4.4061</w:t>
            </w:r>
          </w:p>
        </w:tc>
        <w:tc>
          <w:tcPr>
            <w:tcW w:w="1417" w:type="dxa"/>
            <w:shd w:val="clear" w:color="auto" w:fill="auto"/>
            <w:noWrap/>
            <w:vAlign w:val="center"/>
            <w:hideMark/>
          </w:tcPr>
          <w:p w14:paraId="586EA67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1.36709</w:t>
            </w:r>
          </w:p>
        </w:tc>
        <w:tc>
          <w:tcPr>
            <w:tcW w:w="1559" w:type="dxa"/>
            <w:shd w:val="clear" w:color="auto" w:fill="auto"/>
            <w:noWrap/>
            <w:vAlign w:val="center"/>
            <w:hideMark/>
          </w:tcPr>
          <w:p w14:paraId="27F4337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.13740</w:t>
            </w:r>
          </w:p>
        </w:tc>
        <w:tc>
          <w:tcPr>
            <w:tcW w:w="851" w:type="dxa"/>
            <w:vMerge w:val="restart"/>
            <w:vAlign w:val="bottom"/>
          </w:tcPr>
          <w:p w14:paraId="5E66293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w:t>
            </w:r>
          </w:p>
        </w:tc>
      </w:tr>
      <w:tr w:rsidR="00D65FF6" w:rsidRPr="00D53E24" w14:paraId="62E7690F" w14:textId="77777777" w:rsidTr="00864BD9">
        <w:trPr>
          <w:trHeight w:val="252"/>
        </w:trPr>
        <w:tc>
          <w:tcPr>
            <w:tcW w:w="1559" w:type="dxa"/>
            <w:vMerge/>
            <w:vAlign w:val="center"/>
            <w:hideMark/>
          </w:tcPr>
          <w:p w14:paraId="46532B4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134" w:type="dxa"/>
            <w:shd w:val="clear" w:color="auto" w:fill="auto"/>
            <w:noWrap/>
            <w:hideMark/>
          </w:tcPr>
          <w:p w14:paraId="7FB1426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851" w:type="dxa"/>
            <w:shd w:val="clear" w:color="auto" w:fill="auto"/>
            <w:noWrap/>
            <w:vAlign w:val="center"/>
            <w:hideMark/>
          </w:tcPr>
          <w:p w14:paraId="4E4E297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w:t>
            </w:r>
          </w:p>
        </w:tc>
        <w:tc>
          <w:tcPr>
            <w:tcW w:w="1134" w:type="dxa"/>
            <w:shd w:val="clear" w:color="auto" w:fill="auto"/>
            <w:noWrap/>
            <w:vAlign w:val="center"/>
            <w:hideMark/>
          </w:tcPr>
          <w:p w14:paraId="27987F7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5.2376</w:t>
            </w:r>
          </w:p>
        </w:tc>
        <w:tc>
          <w:tcPr>
            <w:tcW w:w="1417" w:type="dxa"/>
            <w:shd w:val="clear" w:color="auto" w:fill="auto"/>
            <w:noWrap/>
            <w:vAlign w:val="center"/>
            <w:hideMark/>
          </w:tcPr>
          <w:p w14:paraId="205DA5A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1.16541</w:t>
            </w:r>
          </w:p>
        </w:tc>
        <w:tc>
          <w:tcPr>
            <w:tcW w:w="1559" w:type="dxa"/>
            <w:shd w:val="clear" w:color="auto" w:fill="auto"/>
            <w:noWrap/>
            <w:vAlign w:val="center"/>
            <w:hideMark/>
          </w:tcPr>
          <w:p w14:paraId="43A9F4A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.11596</w:t>
            </w:r>
          </w:p>
        </w:tc>
        <w:tc>
          <w:tcPr>
            <w:tcW w:w="851" w:type="dxa"/>
            <w:vMerge/>
            <w:vAlign w:val="bottom"/>
          </w:tcPr>
          <w:p w14:paraId="6A1C835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3C6394E5" w14:textId="77777777" w:rsidTr="00864BD9">
        <w:trPr>
          <w:trHeight w:val="252"/>
        </w:trPr>
        <w:tc>
          <w:tcPr>
            <w:tcW w:w="1559" w:type="dxa"/>
            <w:vMerge w:val="restart"/>
            <w:shd w:val="clear" w:color="auto" w:fill="auto"/>
            <w:hideMark/>
          </w:tcPr>
          <w:p w14:paraId="62B65716"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 perception</w:t>
            </w:r>
          </w:p>
        </w:tc>
        <w:tc>
          <w:tcPr>
            <w:tcW w:w="1134" w:type="dxa"/>
            <w:shd w:val="clear" w:color="auto" w:fill="auto"/>
            <w:noWrap/>
            <w:hideMark/>
          </w:tcPr>
          <w:p w14:paraId="0837E3C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851" w:type="dxa"/>
            <w:shd w:val="clear" w:color="auto" w:fill="auto"/>
            <w:noWrap/>
            <w:vAlign w:val="center"/>
            <w:hideMark/>
          </w:tcPr>
          <w:p w14:paraId="632900C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99</w:t>
            </w:r>
          </w:p>
        </w:tc>
        <w:tc>
          <w:tcPr>
            <w:tcW w:w="1134" w:type="dxa"/>
            <w:shd w:val="clear" w:color="auto" w:fill="auto"/>
            <w:noWrap/>
            <w:vAlign w:val="center"/>
            <w:hideMark/>
          </w:tcPr>
          <w:p w14:paraId="370FF62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4.8670</w:t>
            </w:r>
          </w:p>
        </w:tc>
        <w:tc>
          <w:tcPr>
            <w:tcW w:w="1417" w:type="dxa"/>
            <w:shd w:val="clear" w:color="auto" w:fill="auto"/>
            <w:noWrap/>
            <w:vAlign w:val="center"/>
            <w:hideMark/>
          </w:tcPr>
          <w:p w14:paraId="7A63663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1.20796</w:t>
            </w:r>
          </w:p>
        </w:tc>
        <w:tc>
          <w:tcPr>
            <w:tcW w:w="1559" w:type="dxa"/>
            <w:shd w:val="clear" w:color="auto" w:fill="auto"/>
            <w:noWrap/>
            <w:vAlign w:val="center"/>
            <w:hideMark/>
          </w:tcPr>
          <w:p w14:paraId="5256798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.12140</w:t>
            </w:r>
          </w:p>
        </w:tc>
        <w:tc>
          <w:tcPr>
            <w:tcW w:w="851" w:type="dxa"/>
            <w:vMerge w:val="restart"/>
            <w:vAlign w:val="bottom"/>
          </w:tcPr>
          <w:p w14:paraId="5A81B0A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0.065</w:t>
            </w:r>
          </w:p>
        </w:tc>
      </w:tr>
      <w:tr w:rsidR="00D65FF6" w:rsidRPr="00D53E24" w14:paraId="726C524A" w14:textId="77777777" w:rsidTr="00864BD9">
        <w:trPr>
          <w:trHeight w:val="252"/>
        </w:trPr>
        <w:tc>
          <w:tcPr>
            <w:tcW w:w="1559" w:type="dxa"/>
            <w:vMerge/>
            <w:vAlign w:val="center"/>
            <w:hideMark/>
          </w:tcPr>
          <w:p w14:paraId="5353E9E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134" w:type="dxa"/>
            <w:shd w:val="clear" w:color="auto" w:fill="auto"/>
            <w:noWrap/>
            <w:hideMark/>
          </w:tcPr>
          <w:p w14:paraId="5542605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851" w:type="dxa"/>
            <w:shd w:val="clear" w:color="auto" w:fill="auto"/>
            <w:noWrap/>
            <w:vAlign w:val="center"/>
            <w:hideMark/>
          </w:tcPr>
          <w:p w14:paraId="6E78019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w:t>
            </w:r>
          </w:p>
        </w:tc>
        <w:tc>
          <w:tcPr>
            <w:tcW w:w="1134" w:type="dxa"/>
            <w:shd w:val="clear" w:color="auto" w:fill="auto"/>
            <w:noWrap/>
            <w:vAlign w:val="center"/>
            <w:hideMark/>
          </w:tcPr>
          <w:p w14:paraId="0CE1D8F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5.1815</w:t>
            </w:r>
          </w:p>
        </w:tc>
        <w:tc>
          <w:tcPr>
            <w:tcW w:w="1417" w:type="dxa"/>
            <w:shd w:val="clear" w:color="auto" w:fill="auto"/>
            <w:noWrap/>
            <w:vAlign w:val="center"/>
            <w:hideMark/>
          </w:tcPr>
          <w:p w14:paraId="4F4D772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1.19329</w:t>
            </w:r>
          </w:p>
        </w:tc>
        <w:tc>
          <w:tcPr>
            <w:tcW w:w="1559" w:type="dxa"/>
            <w:shd w:val="clear" w:color="auto" w:fill="auto"/>
            <w:noWrap/>
            <w:vAlign w:val="center"/>
            <w:hideMark/>
          </w:tcPr>
          <w:p w14:paraId="69E059C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.11874</w:t>
            </w:r>
          </w:p>
        </w:tc>
        <w:tc>
          <w:tcPr>
            <w:tcW w:w="851" w:type="dxa"/>
            <w:vMerge/>
            <w:vAlign w:val="bottom"/>
          </w:tcPr>
          <w:p w14:paraId="5EE0D58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07348540" w14:textId="77777777" w:rsidTr="00864BD9">
        <w:trPr>
          <w:trHeight w:val="252"/>
        </w:trPr>
        <w:tc>
          <w:tcPr>
            <w:tcW w:w="1559" w:type="dxa"/>
            <w:vMerge w:val="restart"/>
            <w:shd w:val="clear" w:color="auto" w:fill="auto"/>
            <w:hideMark/>
          </w:tcPr>
          <w:p w14:paraId="409DCE34"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1134" w:type="dxa"/>
            <w:shd w:val="clear" w:color="auto" w:fill="auto"/>
            <w:noWrap/>
            <w:hideMark/>
          </w:tcPr>
          <w:p w14:paraId="00FC7B5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851" w:type="dxa"/>
            <w:shd w:val="clear" w:color="auto" w:fill="auto"/>
            <w:noWrap/>
            <w:vAlign w:val="center"/>
            <w:hideMark/>
          </w:tcPr>
          <w:p w14:paraId="7114289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99</w:t>
            </w:r>
          </w:p>
        </w:tc>
        <w:tc>
          <w:tcPr>
            <w:tcW w:w="1134" w:type="dxa"/>
            <w:shd w:val="clear" w:color="auto" w:fill="auto"/>
            <w:noWrap/>
            <w:vAlign w:val="center"/>
            <w:hideMark/>
          </w:tcPr>
          <w:p w14:paraId="2D6547D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5.3455</w:t>
            </w:r>
          </w:p>
        </w:tc>
        <w:tc>
          <w:tcPr>
            <w:tcW w:w="1417" w:type="dxa"/>
            <w:shd w:val="clear" w:color="auto" w:fill="auto"/>
            <w:noWrap/>
            <w:vAlign w:val="center"/>
            <w:hideMark/>
          </w:tcPr>
          <w:p w14:paraId="2181467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1.12769</w:t>
            </w:r>
          </w:p>
        </w:tc>
        <w:tc>
          <w:tcPr>
            <w:tcW w:w="1559" w:type="dxa"/>
            <w:shd w:val="clear" w:color="auto" w:fill="auto"/>
            <w:noWrap/>
            <w:vAlign w:val="center"/>
            <w:hideMark/>
          </w:tcPr>
          <w:p w14:paraId="777A054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.11334</w:t>
            </w:r>
          </w:p>
        </w:tc>
        <w:tc>
          <w:tcPr>
            <w:tcW w:w="851" w:type="dxa"/>
            <w:vMerge w:val="restart"/>
            <w:vAlign w:val="bottom"/>
          </w:tcPr>
          <w:p w14:paraId="1F291C6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0.206</w:t>
            </w:r>
          </w:p>
        </w:tc>
      </w:tr>
      <w:tr w:rsidR="00D65FF6" w:rsidRPr="00D53E24" w14:paraId="24CD57CA" w14:textId="77777777" w:rsidTr="00864BD9">
        <w:trPr>
          <w:trHeight w:val="252"/>
        </w:trPr>
        <w:tc>
          <w:tcPr>
            <w:tcW w:w="1559" w:type="dxa"/>
            <w:vMerge/>
            <w:vAlign w:val="center"/>
            <w:hideMark/>
          </w:tcPr>
          <w:p w14:paraId="04E8A133"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134" w:type="dxa"/>
            <w:shd w:val="clear" w:color="auto" w:fill="auto"/>
            <w:noWrap/>
            <w:hideMark/>
          </w:tcPr>
          <w:p w14:paraId="6B7CD6C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851" w:type="dxa"/>
            <w:shd w:val="clear" w:color="auto" w:fill="auto"/>
            <w:noWrap/>
            <w:vAlign w:val="center"/>
            <w:hideMark/>
          </w:tcPr>
          <w:p w14:paraId="2F4955E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w:t>
            </w:r>
          </w:p>
        </w:tc>
        <w:tc>
          <w:tcPr>
            <w:tcW w:w="1134" w:type="dxa"/>
            <w:shd w:val="clear" w:color="auto" w:fill="auto"/>
            <w:noWrap/>
            <w:vAlign w:val="center"/>
            <w:hideMark/>
          </w:tcPr>
          <w:p w14:paraId="2B72753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5.5485</w:t>
            </w:r>
          </w:p>
        </w:tc>
        <w:tc>
          <w:tcPr>
            <w:tcW w:w="1417" w:type="dxa"/>
            <w:shd w:val="clear" w:color="auto" w:fill="auto"/>
            <w:noWrap/>
            <w:vAlign w:val="center"/>
            <w:hideMark/>
          </w:tcPr>
          <w:p w14:paraId="6106713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1.13478</w:t>
            </w:r>
          </w:p>
        </w:tc>
        <w:tc>
          <w:tcPr>
            <w:tcW w:w="1559" w:type="dxa"/>
            <w:shd w:val="clear" w:color="auto" w:fill="auto"/>
            <w:noWrap/>
            <w:vAlign w:val="center"/>
            <w:hideMark/>
          </w:tcPr>
          <w:p w14:paraId="4F32A02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.11291</w:t>
            </w:r>
          </w:p>
        </w:tc>
        <w:tc>
          <w:tcPr>
            <w:tcW w:w="851" w:type="dxa"/>
            <w:vMerge/>
            <w:vAlign w:val="bottom"/>
          </w:tcPr>
          <w:p w14:paraId="6436C91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2EAAB007" w14:textId="77777777" w:rsidTr="00864BD9">
        <w:trPr>
          <w:trHeight w:val="252"/>
        </w:trPr>
        <w:tc>
          <w:tcPr>
            <w:tcW w:w="1559" w:type="dxa"/>
            <w:vMerge w:val="restart"/>
            <w:shd w:val="clear" w:color="auto" w:fill="auto"/>
            <w:hideMark/>
          </w:tcPr>
          <w:p w14:paraId="74ADB174"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1134" w:type="dxa"/>
            <w:shd w:val="clear" w:color="auto" w:fill="auto"/>
            <w:noWrap/>
            <w:hideMark/>
          </w:tcPr>
          <w:p w14:paraId="467D9D83"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851" w:type="dxa"/>
            <w:shd w:val="clear" w:color="auto" w:fill="auto"/>
            <w:noWrap/>
            <w:vAlign w:val="center"/>
            <w:hideMark/>
          </w:tcPr>
          <w:p w14:paraId="5C10737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99</w:t>
            </w:r>
          </w:p>
        </w:tc>
        <w:tc>
          <w:tcPr>
            <w:tcW w:w="1134" w:type="dxa"/>
            <w:shd w:val="clear" w:color="auto" w:fill="auto"/>
            <w:noWrap/>
            <w:vAlign w:val="center"/>
            <w:hideMark/>
          </w:tcPr>
          <w:p w14:paraId="7E2B9ED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4.5281</w:t>
            </w:r>
          </w:p>
        </w:tc>
        <w:tc>
          <w:tcPr>
            <w:tcW w:w="1417" w:type="dxa"/>
            <w:shd w:val="clear" w:color="auto" w:fill="auto"/>
            <w:noWrap/>
            <w:vAlign w:val="center"/>
            <w:hideMark/>
          </w:tcPr>
          <w:p w14:paraId="6A7A41F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1.15508</w:t>
            </w:r>
          </w:p>
        </w:tc>
        <w:tc>
          <w:tcPr>
            <w:tcW w:w="1559" w:type="dxa"/>
            <w:shd w:val="clear" w:color="auto" w:fill="auto"/>
            <w:noWrap/>
            <w:vAlign w:val="center"/>
            <w:hideMark/>
          </w:tcPr>
          <w:p w14:paraId="6F40F3F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.11609</w:t>
            </w:r>
          </w:p>
        </w:tc>
        <w:tc>
          <w:tcPr>
            <w:tcW w:w="851" w:type="dxa"/>
            <w:vMerge w:val="restart"/>
            <w:vAlign w:val="bottom"/>
          </w:tcPr>
          <w:p w14:paraId="29DD6CF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0.001</w:t>
            </w:r>
          </w:p>
        </w:tc>
      </w:tr>
      <w:tr w:rsidR="00D65FF6" w:rsidRPr="00D53E24" w14:paraId="7A50D38F" w14:textId="77777777" w:rsidTr="00864BD9">
        <w:trPr>
          <w:trHeight w:val="252"/>
        </w:trPr>
        <w:tc>
          <w:tcPr>
            <w:tcW w:w="1559" w:type="dxa"/>
            <w:vMerge/>
            <w:vAlign w:val="center"/>
            <w:hideMark/>
          </w:tcPr>
          <w:p w14:paraId="652FC406"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134" w:type="dxa"/>
            <w:shd w:val="clear" w:color="auto" w:fill="auto"/>
            <w:noWrap/>
            <w:hideMark/>
          </w:tcPr>
          <w:p w14:paraId="747FFEF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851" w:type="dxa"/>
            <w:shd w:val="clear" w:color="auto" w:fill="auto"/>
            <w:noWrap/>
            <w:vAlign w:val="center"/>
            <w:hideMark/>
          </w:tcPr>
          <w:p w14:paraId="6D64E29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w:t>
            </w:r>
          </w:p>
        </w:tc>
        <w:tc>
          <w:tcPr>
            <w:tcW w:w="1134" w:type="dxa"/>
            <w:shd w:val="clear" w:color="auto" w:fill="auto"/>
            <w:noWrap/>
            <w:vAlign w:val="center"/>
            <w:hideMark/>
          </w:tcPr>
          <w:p w14:paraId="525639D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5.0643</w:t>
            </w:r>
          </w:p>
        </w:tc>
        <w:tc>
          <w:tcPr>
            <w:tcW w:w="1417" w:type="dxa"/>
            <w:shd w:val="clear" w:color="auto" w:fill="auto"/>
            <w:noWrap/>
            <w:vAlign w:val="center"/>
            <w:hideMark/>
          </w:tcPr>
          <w:p w14:paraId="50F5A56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1.01980</w:t>
            </w:r>
          </w:p>
        </w:tc>
        <w:tc>
          <w:tcPr>
            <w:tcW w:w="1559" w:type="dxa"/>
            <w:shd w:val="clear" w:color="auto" w:fill="auto"/>
            <w:noWrap/>
            <w:vAlign w:val="center"/>
            <w:hideMark/>
          </w:tcPr>
          <w:p w14:paraId="7AD63D8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.10147</w:t>
            </w:r>
          </w:p>
        </w:tc>
        <w:tc>
          <w:tcPr>
            <w:tcW w:w="851" w:type="dxa"/>
            <w:vMerge/>
            <w:vAlign w:val="bottom"/>
          </w:tcPr>
          <w:p w14:paraId="08031BD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693801FD" w14:textId="77777777" w:rsidTr="00864BD9">
        <w:trPr>
          <w:trHeight w:val="252"/>
        </w:trPr>
        <w:tc>
          <w:tcPr>
            <w:tcW w:w="1559" w:type="dxa"/>
            <w:vMerge w:val="restart"/>
            <w:shd w:val="clear" w:color="auto" w:fill="auto"/>
            <w:hideMark/>
          </w:tcPr>
          <w:p w14:paraId="09D112D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 attachment</w:t>
            </w:r>
          </w:p>
        </w:tc>
        <w:tc>
          <w:tcPr>
            <w:tcW w:w="1134" w:type="dxa"/>
            <w:shd w:val="clear" w:color="auto" w:fill="auto"/>
            <w:noWrap/>
            <w:hideMark/>
          </w:tcPr>
          <w:p w14:paraId="34CC2EDA"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851" w:type="dxa"/>
            <w:shd w:val="clear" w:color="auto" w:fill="auto"/>
            <w:noWrap/>
            <w:vAlign w:val="center"/>
            <w:hideMark/>
          </w:tcPr>
          <w:p w14:paraId="182E20E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99</w:t>
            </w:r>
          </w:p>
        </w:tc>
        <w:tc>
          <w:tcPr>
            <w:tcW w:w="1134" w:type="dxa"/>
            <w:shd w:val="clear" w:color="auto" w:fill="auto"/>
            <w:noWrap/>
            <w:vAlign w:val="center"/>
            <w:hideMark/>
          </w:tcPr>
          <w:p w14:paraId="3CB0671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3.8970</w:t>
            </w:r>
          </w:p>
        </w:tc>
        <w:tc>
          <w:tcPr>
            <w:tcW w:w="1417" w:type="dxa"/>
            <w:shd w:val="clear" w:color="auto" w:fill="auto"/>
            <w:noWrap/>
            <w:vAlign w:val="center"/>
            <w:hideMark/>
          </w:tcPr>
          <w:p w14:paraId="566F301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1.33626</w:t>
            </w:r>
          </w:p>
        </w:tc>
        <w:tc>
          <w:tcPr>
            <w:tcW w:w="1559" w:type="dxa"/>
            <w:shd w:val="clear" w:color="auto" w:fill="auto"/>
            <w:noWrap/>
            <w:vAlign w:val="center"/>
            <w:hideMark/>
          </w:tcPr>
          <w:p w14:paraId="0295140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.13430</w:t>
            </w:r>
          </w:p>
        </w:tc>
        <w:tc>
          <w:tcPr>
            <w:tcW w:w="851" w:type="dxa"/>
            <w:vMerge w:val="restart"/>
            <w:vAlign w:val="bottom"/>
          </w:tcPr>
          <w:p w14:paraId="2C2D844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w:t>
            </w:r>
          </w:p>
        </w:tc>
      </w:tr>
      <w:tr w:rsidR="00D65FF6" w:rsidRPr="00D53E24" w14:paraId="10D7CBF0" w14:textId="77777777" w:rsidTr="00864BD9">
        <w:trPr>
          <w:trHeight w:val="252"/>
        </w:trPr>
        <w:tc>
          <w:tcPr>
            <w:tcW w:w="1559" w:type="dxa"/>
            <w:vMerge/>
            <w:vAlign w:val="center"/>
            <w:hideMark/>
          </w:tcPr>
          <w:p w14:paraId="24B13D39"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134" w:type="dxa"/>
            <w:shd w:val="clear" w:color="auto" w:fill="auto"/>
            <w:noWrap/>
            <w:hideMark/>
          </w:tcPr>
          <w:p w14:paraId="3E86864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851" w:type="dxa"/>
            <w:shd w:val="clear" w:color="auto" w:fill="auto"/>
            <w:noWrap/>
            <w:vAlign w:val="center"/>
            <w:hideMark/>
          </w:tcPr>
          <w:p w14:paraId="49DA321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w:t>
            </w:r>
          </w:p>
        </w:tc>
        <w:tc>
          <w:tcPr>
            <w:tcW w:w="1134" w:type="dxa"/>
            <w:shd w:val="clear" w:color="auto" w:fill="auto"/>
            <w:noWrap/>
            <w:vAlign w:val="center"/>
            <w:hideMark/>
          </w:tcPr>
          <w:p w14:paraId="52BFEC6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4.5921</w:t>
            </w:r>
          </w:p>
        </w:tc>
        <w:tc>
          <w:tcPr>
            <w:tcW w:w="1417" w:type="dxa"/>
            <w:shd w:val="clear" w:color="auto" w:fill="auto"/>
            <w:noWrap/>
            <w:vAlign w:val="center"/>
            <w:hideMark/>
          </w:tcPr>
          <w:p w14:paraId="27DCFBA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1.14260</w:t>
            </w:r>
          </w:p>
        </w:tc>
        <w:tc>
          <w:tcPr>
            <w:tcW w:w="1559" w:type="dxa"/>
            <w:shd w:val="clear" w:color="auto" w:fill="auto"/>
            <w:noWrap/>
            <w:vAlign w:val="center"/>
            <w:hideMark/>
          </w:tcPr>
          <w:p w14:paraId="63AF973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.11369</w:t>
            </w:r>
          </w:p>
        </w:tc>
        <w:tc>
          <w:tcPr>
            <w:tcW w:w="851" w:type="dxa"/>
            <w:vMerge/>
            <w:vAlign w:val="bottom"/>
          </w:tcPr>
          <w:p w14:paraId="624875B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4CDE1D2B" w14:textId="77777777" w:rsidTr="00864BD9">
        <w:trPr>
          <w:trHeight w:val="252"/>
        </w:trPr>
        <w:tc>
          <w:tcPr>
            <w:tcW w:w="1559" w:type="dxa"/>
            <w:vMerge w:val="restart"/>
            <w:shd w:val="clear" w:color="auto" w:fill="auto"/>
            <w:hideMark/>
          </w:tcPr>
          <w:p w14:paraId="41B77859"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1134" w:type="dxa"/>
            <w:shd w:val="clear" w:color="auto" w:fill="auto"/>
            <w:noWrap/>
            <w:hideMark/>
          </w:tcPr>
          <w:p w14:paraId="3690D71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851" w:type="dxa"/>
            <w:shd w:val="clear" w:color="auto" w:fill="auto"/>
            <w:noWrap/>
            <w:vAlign w:val="center"/>
            <w:hideMark/>
          </w:tcPr>
          <w:p w14:paraId="6D9817E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99</w:t>
            </w:r>
          </w:p>
        </w:tc>
        <w:tc>
          <w:tcPr>
            <w:tcW w:w="1134" w:type="dxa"/>
            <w:shd w:val="clear" w:color="auto" w:fill="auto"/>
            <w:noWrap/>
            <w:vAlign w:val="center"/>
            <w:hideMark/>
          </w:tcPr>
          <w:p w14:paraId="7EDA83A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5.1035</w:t>
            </w:r>
          </w:p>
        </w:tc>
        <w:tc>
          <w:tcPr>
            <w:tcW w:w="1417" w:type="dxa"/>
            <w:shd w:val="clear" w:color="auto" w:fill="auto"/>
            <w:noWrap/>
            <w:vAlign w:val="center"/>
            <w:hideMark/>
          </w:tcPr>
          <w:p w14:paraId="1FF9DCD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1.18505</w:t>
            </w:r>
          </w:p>
        </w:tc>
        <w:tc>
          <w:tcPr>
            <w:tcW w:w="1559" w:type="dxa"/>
            <w:shd w:val="clear" w:color="auto" w:fill="auto"/>
            <w:noWrap/>
            <w:vAlign w:val="center"/>
            <w:hideMark/>
          </w:tcPr>
          <w:p w14:paraId="4F98D92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.11910</w:t>
            </w:r>
          </w:p>
        </w:tc>
        <w:tc>
          <w:tcPr>
            <w:tcW w:w="851" w:type="dxa"/>
            <w:vMerge w:val="restart"/>
            <w:vAlign w:val="bottom"/>
          </w:tcPr>
          <w:p w14:paraId="35CE77F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0.298</w:t>
            </w:r>
          </w:p>
        </w:tc>
      </w:tr>
      <w:tr w:rsidR="00D65FF6" w:rsidRPr="00D53E24" w14:paraId="309A447F" w14:textId="77777777" w:rsidTr="00864BD9">
        <w:trPr>
          <w:trHeight w:val="252"/>
        </w:trPr>
        <w:tc>
          <w:tcPr>
            <w:tcW w:w="1559" w:type="dxa"/>
            <w:vMerge/>
            <w:vAlign w:val="center"/>
            <w:hideMark/>
          </w:tcPr>
          <w:p w14:paraId="0011E8E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134" w:type="dxa"/>
            <w:shd w:val="clear" w:color="auto" w:fill="auto"/>
            <w:noWrap/>
            <w:hideMark/>
          </w:tcPr>
          <w:p w14:paraId="4A21413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851" w:type="dxa"/>
            <w:shd w:val="clear" w:color="auto" w:fill="auto"/>
            <w:noWrap/>
            <w:vAlign w:val="center"/>
            <w:hideMark/>
          </w:tcPr>
          <w:p w14:paraId="78D067A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w:t>
            </w:r>
          </w:p>
        </w:tc>
        <w:tc>
          <w:tcPr>
            <w:tcW w:w="1134" w:type="dxa"/>
            <w:shd w:val="clear" w:color="auto" w:fill="auto"/>
            <w:noWrap/>
            <w:vAlign w:val="center"/>
            <w:hideMark/>
          </w:tcPr>
          <w:p w14:paraId="6E2626E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5.2772</w:t>
            </w:r>
          </w:p>
        </w:tc>
        <w:tc>
          <w:tcPr>
            <w:tcW w:w="1417" w:type="dxa"/>
            <w:shd w:val="clear" w:color="auto" w:fill="auto"/>
            <w:noWrap/>
            <w:vAlign w:val="center"/>
            <w:hideMark/>
          </w:tcPr>
          <w:p w14:paraId="48AF114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1.16667</w:t>
            </w:r>
          </w:p>
        </w:tc>
        <w:tc>
          <w:tcPr>
            <w:tcW w:w="1559" w:type="dxa"/>
            <w:shd w:val="clear" w:color="auto" w:fill="auto"/>
            <w:noWrap/>
            <w:vAlign w:val="center"/>
            <w:hideMark/>
          </w:tcPr>
          <w:p w14:paraId="7F37CFB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.11609</w:t>
            </w:r>
          </w:p>
        </w:tc>
        <w:tc>
          <w:tcPr>
            <w:tcW w:w="851" w:type="dxa"/>
            <w:vMerge/>
            <w:vAlign w:val="bottom"/>
          </w:tcPr>
          <w:p w14:paraId="1B29E09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4598F8E7" w14:textId="77777777" w:rsidTr="00864BD9">
        <w:trPr>
          <w:trHeight w:val="252"/>
        </w:trPr>
        <w:tc>
          <w:tcPr>
            <w:tcW w:w="1559" w:type="dxa"/>
            <w:vMerge w:val="restart"/>
            <w:shd w:val="clear" w:color="auto" w:fill="auto"/>
            <w:hideMark/>
          </w:tcPr>
          <w:p w14:paraId="294279B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xml:space="preserve">Purchase intention </w:t>
            </w:r>
          </w:p>
        </w:tc>
        <w:tc>
          <w:tcPr>
            <w:tcW w:w="1134" w:type="dxa"/>
            <w:shd w:val="clear" w:color="auto" w:fill="auto"/>
            <w:noWrap/>
            <w:hideMark/>
          </w:tcPr>
          <w:p w14:paraId="7644BA3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851" w:type="dxa"/>
            <w:shd w:val="clear" w:color="auto" w:fill="auto"/>
            <w:noWrap/>
            <w:vAlign w:val="center"/>
            <w:hideMark/>
          </w:tcPr>
          <w:p w14:paraId="45A9EF6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99</w:t>
            </w:r>
          </w:p>
        </w:tc>
        <w:tc>
          <w:tcPr>
            <w:tcW w:w="1134" w:type="dxa"/>
            <w:shd w:val="clear" w:color="auto" w:fill="auto"/>
            <w:noWrap/>
            <w:vAlign w:val="center"/>
            <w:hideMark/>
          </w:tcPr>
          <w:p w14:paraId="23515D0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5.1189</w:t>
            </w:r>
          </w:p>
        </w:tc>
        <w:tc>
          <w:tcPr>
            <w:tcW w:w="1417" w:type="dxa"/>
            <w:shd w:val="clear" w:color="auto" w:fill="auto"/>
            <w:noWrap/>
            <w:vAlign w:val="center"/>
            <w:hideMark/>
          </w:tcPr>
          <w:p w14:paraId="036B2BB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1.44800</w:t>
            </w:r>
          </w:p>
        </w:tc>
        <w:tc>
          <w:tcPr>
            <w:tcW w:w="1559" w:type="dxa"/>
            <w:shd w:val="clear" w:color="auto" w:fill="auto"/>
            <w:noWrap/>
            <w:vAlign w:val="center"/>
            <w:hideMark/>
          </w:tcPr>
          <w:p w14:paraId="4177DDB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.14553</w:t>
            </w:r>
          </w:p>
        </w:tc>
        <w:tc>
          <w:tcPr>
            <w:tcW w:w="851" w:type="dxa"/>
            <w:vMerge w:val="restart"/>
            <w:vAlign w:val="bottom"/>
          </w:tcPr>
          <w:p w14:paraId="2E81D36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w:t>
            </w:r>
          </w:p>
        </w:tc>
      </w:tr>
      <w:tr w:rsidR="00D65FF6" w:rsidRPr="00D53E24" w14:paraId="0BF50BDE" w14:textId="77777777" w:rsidTr="00864BD9">
        <w:trPr>
          <w:trHeight w:val="252"/>
        </w:trPr>
        <w:tc>
          <w:tcPr>
            <w:tcW w:w="1559" w:type="dxa"/>
            <w:vMerge/>
            <w:vAlign w:val="center"/>
            <w:hideMark/>
          </w:tcPr>
          <w:p w14:paraId="18919CDF"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134" w:type="dxa"/>
            <w:shd w:val="clear" w:color="auto" w:fill="auto"/>
            <w:noWrap/>
            <w:hideMark/>
          </w:tcPr>
          <w:p w14:paraId="253BE08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851" w:type="dxa"/>
            <w:shd w:val="clear" w:color="auto" w:fill="auto"/>
            <w:noWrap/>
            <w:vAlign w:val="center"/>
            <w:hideMark/>
          </w:tcPr>
          <w:p w14:paraId="0521091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101</w:t>
            </w:r>
          </w:p>
        </w:tc>
        <w:tc>
          <w:tcPr>
            <w:tcW w:w="1134" w:type="dxa"/>
            <w:shd w:val="clear" w:color="auto" w:fill="auto"/>
            <w:noWrap/>
            <w:vAlign w:val="center"/>
            <w:hideMark/>
          </w:tcPr>
          <w:p w14:paraId="5F656DD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5.7896</w:t>
            </w:r>
          </w:p>
        </w:tc>
        <w:tc>
          <w:tcPr>
            <w:tcW w:w="1417" w:type="dxa"/>
            <w:shd w:val="clear" w:color="auto" w:fill="auto"/>
            <w:noWrap/>
            <w:vAlign w:val="center"/>
            <w:hideMark/>
          </w:tcPr>
          <w:p w14:paraId="5134F3A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.99356</w:t>
            </w:r>
          </w:p>
        </w:tc>
        <w:tc>
          <w:tcPr>
            <w:tcW w:w="1559" w:type="dxa"/>
            <w:shd w:val="clear" w:color="auto" w:fill="auto"/>
            <w:noWrap/>
            <w:vAlign w:val="center"/>
            <w:hideMark/>
          </w:tcPr>
          <w:p w14:paraId="7774403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.09886</w:t>
            </w:r>
          </w:p>
        </w:tc>
        <w:tc>
          <w:tcPr>
            <w:tcW w:w="851" w:type="dxa"/>
            <w:vMerge/>
            <w:vAlign w:val="bottom"/>
          </w:tcPr>
          <w:p w14:paraId="41D10D39" w14:textId="77777777" w:rsidR="00D65FF6" w:rsidRPr="00D53E24" w:rsidRDefault="00D65FF6" w:rsidP="00250620">
            <w:pPr>
              <w:keepNext/>
              <w:spacing w:after="0" w:line="240" w:lineRule="auto"/>
              <w:jc w:val="right"/>
              <w:rPr>
                <w:rFonts w:asciiTheme="majorBidi" w:eastAsia="Times New Roman" w:hAnsiTheme="majorBidi" w:cstheme="majorBidi"/>
                <w:color w:val="000000"/>
                <w:sz w:val="20"/>
                <w:szCs w:val="20"/>
              </w:rPr>
            </w:pPr>
          </w:p>
        </w:tc>
      </w:tr>
    </w:tbl>
    <w:p w14:paraId="52D4F40D" w14:textId="70FF9A40" w:rsidR="00D65FF6" w:rsidRDefault="00250620" w:rsidP="00250620">
      <w:pPr>
        <w:pStyle w:val="Caption"/>
        <w:rPr>
          <w:rFonts w:asciiTheme="majorBidi" w:hAnsiTheme="majorBidi" w:cstheme="majorBidi"/>
          <w:b/>
          <w:bCs/>
          <w:sz w:val="24"/>
          <w:szCs w:val="24"/>
        </w:rPr>
      </w:pPr>
      <w:r>
        <w:t>Table 3</w:t>
      </w:r>
      <w:r w:rsidR="00864BD9">
        <w:t>4</w:t>
      </w:r>
      <w:r>
        <w:t xml:space="preserve"> T-test of the variables of the </w:t>
      </w:r>
      <w:r w:rsidRPr="00250620">
        <w:t>CSR and non-CSR groups within the television group</w:t>
      </w:r>
    </w:p>
    <w:p w14:paraId="7D8E36E9" w14:textId="77777777" w:rsidR="00D65FF6" w:rsidRDefault="00D65FF6" w:rsidP="00D65FF6">
      <w:pPr>
        <w:autoSpaceDE w:val="0"/>
        <w:autoSpaceDN w:val="0"/>
        <w:adjustRightInd w:val="0"/>
        <w:spacing w:after="0" w:line="240" w:lineRule="auto"/>
        <w:rPr>
          <w:rFonts w:asciiTheme="majorBidi" w:hAnsiTheme="majorBidi" w:cstheme="majorBidi"/>
          <w:b/>
          <w:bCs/>
          <w:sz w:val="24"/>
          <w:szCs w:val="24"/>
        </w:rPr>
      </w:pPr>
    </w:p>
    <w:p w14:paraId="1C8CA2F6" w14:textId="77777777" w:rsidR="00F35512" w:rsidRDefault="00D65FF6" w:rsidP="00F35512">
      <w:pPr>
        <w:keepNext/>
        <w:autoSpaceDE w:val="0"/>
        <w:autoSpaceDN w:val="0"/>
        <w:adjustRightInd w:val="0"/>
        <w:spacing w:after="0" w:line="240" w:lineRule="auto"/>
      </w:pPr>
      <w:r>
        <w:rPr>
          <w:noProof/>
        </w:rPr>
        <w:drawing>
          <wp:inline distT="0" distB="0" distL="0" distR="0" wp14:anchorId="1CDDE99B" wp14:editId="53E5B8A1">
            <wp:extent cx="4572000" cy="2743200"/>
            <wp:effectExtent l="0" t="0" r="0" b="0"/>
            <wp:docPr id="11" name="Chart 11">
              <a:extLst xmlns:a="http://schemas.openxmlformats.org/drawingml/2006/main">
                <a:ext uri="{FF2B5EF4-FFF2-40B4-BE49-F238E27FC236}">
                  <a16:creationId xmlns:a16="http://schemas.microsoft.com/office/drawing/2014/main" id="{9479375F-100B-5FE1-286E-7CEB2108CC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1626669" w14:textId="70629E6B" w:rsidR="00D65FF6" w:rsidRPr="009661B6" w:rsidRDefault="00F35512" w:rsidP="009661B6">
      <w:pPr>
        <w:pStyle w:val="Caption"/>
        <w:rPr>
          <w:rFonts w:asciiTheme="majorBidi" w:hAnsiTheme="majorBidi" w:cstheme="majorBidi"/>
          <w:b/>
          <w:bCs/>
          <w:sz w:val="24"/>
          <w:szCs w:val="24"/>
        </w:rPr>
      </w:pPr>
      <w:r>
        <w:t>Figure 22</w:t>
      </w:r>
      <w:r w:rsidR="00250620">
        <w:t xml:space="preserve"> </w:t>
      </w:r>
      <w:r>
        <w:t>Average of variables of CSR and non-CSR within the TV group</w:t>
      </w:r>
    </w:p>
    <w:p w14:paraId="66FFADCC" w14:textId="271ED5FF" w:rsidR="00D65FF6" w:rsidRPr="0024635D" w:rsidRDefault="00D65FF6" w:rsidP="00D65FF6">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6.1</w:t>
      </w:r>
      <w:r w:rsidR="00C0315E">
        <w:rPr>
          <w:rFonts w:asciiTheme="majorBidi" w:hAnsiTheme="majorBidi" w:cstheme="majorBidi"/>
          <w:b/>
          <w:bCs/>
          <w:sz w:val="24"/>
          <w:szCs w:val="24"/>
        </w:rPr>
        <w:t>0</w:t>
      </w:r>
      <w:r>
        <w:rPr>
          <w:rFonts w:asciiTheme="majorBidi" w:hAnsiTheme="majorBidi" w:cstheme="majorBidi"/>
          <w:b/>
          <w:bCs/>
          <w:sz w:val="24"/>
          <w:szCs w:val="24"/>
        </w:rPr>
        <w:t xml:space="preserve">.3.4 </w:t>
      </w:r>
      <w:r w:rsidRPr="0024635D">
        <w:rPr>
          <w:rFonts w:asciiTheme="majorBidi" w:hAnsiTheme="majorBidi" w:cstheme="majorBidi"/>
          <w:b/>
          <w:bCs/>
          <w:sz w:val="24"/>
          <w:szCs w:val="24"/>
        </w:rPr>
        <w:t>CSR for social media</w:t>
      </w:r>
    </w:p>
    <w:p w14:paraId="79BB5B6C" w14:textId="396D8423" w:rsidR="00D65FF6" w:rsidRPr="000E5DB4" w:rsidRDefault="00183B00" w:rsidP="00F7767A">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Lastly, this section compares the impact of CSR and non-CSR communication presented to the social media group only. </w:t>
      </w:r>
      <w:r w:rsidR="00D65FF6" w:rsidRPr="000E5DB4">
        <w:rPr>
          <w:rFonts w:asciiTheme="majorBidi" w:hAnsiTheme="majorBidi" w:cstheme="majorBidi"/>
          <w:sz w:val="24"/>
          <w:szCs w:val="24"/>
        </w:rPr>
        <w:t>Based on the following table it was concluded that:</w:t>
      </w:r>
    </w:p>
    <w:p w14:paraId="23AF4927" w14:textId="77777777" w:rsidR="00D65FF6" w:rsidRPr="008D75D3" w:rsidRDefault="00D65FF6">
      <w:pPr>
        <w:pStyle w:val="ListParagraph"/>
        <w:numPr>
          <w:ilvl w:val="0"/>
          <w:numId w:val="12"/>
        </w:numPr>
        <w:spacing w:after="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w:t>
      </w:r>
      <w:r>
        <w:rPr>
          <w:rFonts w:asciiTheme="majorBidi" w:hAnsiTheme="majorBidi" w:cstheme="majorBidi"/>
          <w:sz w:val="24"/>
          <w:szCs w:val="24"/>
        </w:rPr>
        <w:t>ad</w:t>
      </w:r>
      <w:r w:rsidRPr="008D75D3">
        <w:rPr>
          <w:rFonts w:asciiTheme="majorBidi" w:hAnsiTheme="majorBidi" w:cstheme="majorBidi"/>
          <w:sz w:val="24"/>
          <w:szCs w:val="24"/>
        </w:rPr>
        <w:t xml:space="preserve"> likeability 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communications.</w:t>
      </w:r>
    </w:p>
    <w:p w14:paraId="16962E05" w14:textId="77777777" w:rsidR="00D65FF6" w:rsidRPr="008D75D3" w:rsidRDefault="00D65FF6">
      <w:pPr>
        <w:pStyle w:val="ListParagraph"/>
        <w:numPr>
          <w:ilvl w:val="0"/>
          <w:numId w:val="12"/>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CSR perception 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communications.</w:t>
      </w:r>
    </w:p>
    <w:p w14:paraId="1A7028EC" w14:textId="77777777" w:rsidR="00D65FF6" w:rsidRPr="008D75D3" w:rsidRDefault="00D65FF6">
      <w:pPr>
        <w:pStyle w:val="ListParagraph"/>
        <w:numPr>
          <w:ilvl w:val="0"/>
          <w:numId w:val="12"/>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functionality for </w:t>
      </w:r>
      <w:r>
        <w:rPr>
          <w:rFonts w:asciiTheme="majorBidi" w:hAnsiTheme="majorBidi" w:cstheme="majorBidi"/>
          <w:sz w:val="24"/>
          <w:szCs w:val="24"/>
        </w:rPr>
        <w:t>non-</w:t>
      </w:r>
      <w:r w:rsidRPr="008D75D3">
        <w:rPr>
          <w:rFonts w:asciiTheme="majorBidi" w:hAnsiTheme="majorBidi" w:cstheme="majorBidi"/>
          <w:sz w:val="24"/>
          <w:szCs w:val="24"/>
        </w:rPr>
        <w:t>CSR is not significantly</w:t>
      </w:r>
      <w:r>
        <w:rPr>
          <w:rFonts w:asciiTheme="majorBidi" w:hAnsiTheme="majorBidi" w:cstheme="majorBidi"/>
          <w:sz w:val="24"/>
          <w:szCs w:val="24"/>
        </w:rPr>
        <w:t xml:space="preserve"> lower</w:t>
      </w:r>
      <w:r w:rsidRPr="008D75D3">
        <w:rPr>
          <w:rFonts w:asciiTheme="majorBidi" w:hAnsiTheme="majorBidi" w:cstheme="majorBidi"/>
          <w:sz w:val="24"/>
          <w:szCs w:val="24"/>
        </w:rPr>
        <w:t xml:space="preserve"> than the same average of CSR</w:t>
      </w:r>
      <w:r>
        <w:rPr>
          <w:rFonts w:asciiTheme="majorBidi" w:hAnsiTheme="majorBidi" w:cstheme="majorBidi"/>
          <w:sz w:val="24"/>
          <w:szCs w:val="24"/>
        </w:rPr>
        <w:t xml:space="preserve"> communications.</w:t>
      </w:r>
    </w:p>
    <w:p w14:paraId="5BDE9490" w14:textId="77777777" w:rsidR="00D65FF6" w:rsidRPr="008D75D3" w:rsidRDefault="00D65FF6">
      <w:pPr>
        <w:pStyle w:val="ListParagraph"/>
        <w:numPr>
          <w:ilvl w:val="0"/>
          <w:numId w:val="12"/>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likeability 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communications.</w:t>
      </w:r>
    </w:p>
    <w:p w14:paraId="04F64650" w14:textId="77777777" w:rsidR="00D65FF6" w:rsidRPr="008D75D3" w:rsidRDefault="00D65FF6">
      <w:pPr>
        <w:pStyle w:val="ListParagraph"/>
        <w:numPr>
          <w:ilvl w:val="0"/>
          <w:numId w:val="12"/>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w:t>
      </w:r>
      <w:r>
        <w:rPr>
          <w:rFonts w:asciiTheme="majorBidi" w:hAnsiTheme="majorBidi" w:cstheme="majorBidi"/>
          <w:sz w:val="24"/>
          <w:szCs w:val="24"/>
        </w:rPr>
        <w:t>e</w:t>
      </w:r>
      <w:r w:rsidRPr="008D75D3">
        <w:rPr>
          <w:rFonts w:asciiTheme="majorBidi" w:hAnsiTheme="majorBidi" w:cstheme="majorBidi"/>
          <w:sz w:val="24"/>
          <w:szCs w:val="24"/>
        </w:rPr>
        <w:t>motional brand</w:t>
      </w:r>
      <w:r>
        <w:rPr>
          <w:rFonts w:asciiTheme="majorBidi" w:hAnsiTheme="majorBidi" w:cstheme="majorBidi"/>
          <w:sz w:val="24"/>
          <w:szCs w:val="24"/>
        </w:rPr>
        <w:t xml:space="preserve"> attachment</w:t>
      </w:r>
      <w:r w:rsidRPr="008D75D3">
        <w:rPr>
          <w:rFonts w:asciiTheme="majorBidi" w:hAnsiTheme="majorBidi" w:cstheme="majorBidi"/>
          <w:sz w:val="24"/>
          <w:szCs w:val="24"/>
        </w:rPr>
        <w:t xml:space="preserve"> 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communications.</w:t>
      </w:r>
    </w:p>
    <w:p w14:paraId="76F4110C" w14:textId="77777777" w:rsidR="00D65FF6" w:rsidRPr="008D75D3" w:rsidRDefault="00D65FF6">
      <w:pPr>
        <w:pStyle w:val="ListParagraph"/>
        <w:numPr>
          <w:ilvl w:val="0"/>
          <w:numId w:val="12"/>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brand trust for </w:t>
      </w:r>
      <w:r>
        <w:rPr>
          <w:rFonts w:asciiTheme="majorBidi" w:hAnsiTheme="majorBidi" w:cstheme="majorBidi"/>
          <w:sz w:val="24"/>
          <w:szCs w:val="24"/>
        </w:rPr>
        <w:t xml:space="preserve">non-CSR </w:t>
      </w:r>
      <w:r w:rsidRPr="008D75D3">
        <w:rPr>
          <w:rFonts w:asciiTheme="majorBidi" w:hAnsiTheme="majorBidi" w:cstheme="majorBidi"/>
          <w:sz w:val="24"/>
          <w:szCs w:val="24"/>
        </w:rPr>
        <w:t>is significantly lower than the same average of CSR</w:t>
      </w:r>
      <w:r w:rsidRPr="000E5DB4">
        <w:rPr>
          <w:rFonts w:asciiTheme="majorBidi" w:hAnsiTheme="majorBidi" w:cstheme="majorBidi"/>
          <w:sz w:val="24"/>
          <w:szCs w:val="24"/>
        </w:rPr>
        <w:t xml:space="preserve"> </w:t>
      </w:r>
      <w:r>
        <w:rPr>
          <w:rFonts w:asciiTheme="majorBidi" w:hAnsiTheme="majorBidi" w:cstheme="majorBidi"/>
          <w:sz w:val="24"/>
          <w:szCs w:val="24"/>
        </w:rPr>
        <w:t>communications</w:t>
      </w:r>
      <w:r w:rsidRPr="008D75D3">
        <w:rPr>
          <w:rFonts w:asciiTheme="majorBidi" w:hAnsiTheme="majorBidi" w:cstheme="majorBidi"/>
          <w:sz w:val="24"/>
          <w:szCs w:val="24"/>
        </w:rPr>
        <w:t>.</w:t>
      </w:r>
    </w:p>
    <w:p w14:paraId="677FF50E" w14:textId="1034C34E" w:rsidR="00D65FF6" w:rsidRPr="00250620" w:rsidRDefault="00D65FF6">
      <w:pPr>
        <w:pStyle w:val="ListParagraph"/>
        <w:numPr>
          <w:ilvl w:val="0"/>
          <w:numId w:val="12"/>
        </w:numPr>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average of intention for </w:t>
      </w:r>
      <w:r>
        <w:rPr>
          <w:rFonts w:asciiTheme="majorBidi" w:hAnsiTheme="majorBidi" w:cstheme="majorBidi"/>
          <w:sz w:val="24"/>
          <w:szCs w:val="24"/>
        </w:rPr>
        <w:t>non-</w:t>
      </w:r>
      <w:r w:rsidRPr="008D75D3">
        <w:rPr>
          <w:rFonts w:asciiTheme="majorBidi" w:hAnsiTheme="majorBidi" w:cstheme="majorBidi"/>
          <w:sz w:val="24"/>
          <w:szCs w:val="24"/>
        </w:rPr>
        <w:t>CSR is significantly lower than the same average of CSR</w:t>
      </w:r>
      <w:r>
        <w:rPr>
          <w:rFonts w:asciiTheme="majorBidi" w:hAnsiTheme="majorBidi" w:cstheme="majorBidi"/>
          <w:sz w:val="24"/>
          <w:szCs w:val="24"/>
        </w:rPr>
        <w:t xml:space="preserve"> communications</w:t>
      </w:r>
      <w:r w:rsidRPr="008D75D3">
        <w:rPr>
          <w:rFonts w:asciiTheme="majorBidi" w:hAnsiTheme="majorBidi" w:cstheme="majorBidi"/>
          <w:sz w:val="24"/>
          <w:szCs w:val="24"/>
        </w:rPr>
        <w:t>.</w:t>
      </w:r>
      <w:r w:rsidRPr="00CA1ED2">
        <w:rPr>
          <w:rFonts w:asciiTheme="majorBidi" w:hAnsiTheme="majorBidi" w:cstheme="majorBidi"/>
          <w:sz w:val="24"/>
          <w:szCs w:val="24"/>
        </w:rPr>
        <w:t xml:space="preserve"> </w:t>
      </w:r>
    </w:p>
    <w:tbl>
      <w:tblPr>
        <w:tblW w:w="850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gridCol w:w="992"/>
        <w:gridCol w:w="1134"/>
        <w:gridCol w:w="1276"/>
        <w:gridCol w:w="992"/>
        <w:gridCol w:w="1134"/>
      </w:tblGrid>
      <w:tr w:rsidR="00D65FF6" w:rsidRPr="00D53E24" w14:paraId="067A8213" w14:textId="77777777" w:rsidTr="00024510">
        <w:trPr>
          <w:trHeight w:val="383"/>
        </w:trPr>
        <w:tc>
          <w:tcPr>
            <w:tcW w:w="2977" w:type="dxa"/>
            <w:gridSpan w:val="2"/>
            <w:shd w:val="clear" w:color="auto" w:fill="auto"/>
            <w:vAlign w:val="bottom"/>
            <w:hideMark/>
          </w:tcPr>
          <w:p w14:paraId="32E8FF8A"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992" w:type="dxa"/>
            <w:shd w:val="clear" w:color="auto" w:fill="auto"/>
            <w:vAlign w:val="bottom"/>
            <w:hideMark/>
          </w:tcPr>
          <w:p w14:paraId="2FA028BA"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w:t>
            </w:r>
          </w:p>
        </w:tc>
        <w:tc>
          <w:tcPr>
            <w:tcW w:w="1134" w:type="dxa"/>
            <w:shd w:val="clear" w:color="auto" w:fill="auto"/>
            <w:vAlign w:val="bottom"/>
            <w:hideMark/>
          </w:tcPr>
          <w:p w14:paraId="2E472803"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Mean</w:t>
            </w:r>
          </w:p>
        </w:tc>
        <w:tc>
          <w:tcPr>
            <w:tcW w:w="1276" w:type="dxa"/>
            <w:shd w:val="clear" w:color="auto" w:fill="auto"/>
            <w:vAlign w:val="bottom"/>
            <w:hideMark/>
          </w:tcPr>
          <w:p w14:paraId="7AD6B6A8"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Deviation</w:t>
            </w:r>
          </w:p>
        </w:tc>
        <w:tc>
          <w:tcPr>
            <w:tcW w:w="992" w:type="dxa"/>
            <w:shd w:val="clear" w:color="auto" w:fill="auto"/>
            <w:vAlign w:val="bottom"/>
            <w:hideMark/>
          </w:tcPr>
          <w:p w14:paraId="1A2A3462"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Std. Error Mean</w:t>
            </w:r>
          </w:p>
        </w:tc>
        <w:tc>
          <w:tcPr>
            <w:tcW w:w="1134" w:type="dxa"/>
          </w:tcPr>
          <w:p w14:paraId="60285610"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P-value of T-test</w:t>
            </w:r>
          </w:p>
        </w:tc>
      </w:tr>
      <w:tr w:rsidR="00D65FF6" w:rsidRPr="00D53E24" w14:paraId="6090A886" w14:textId="77777777" w:rsidTr="00024510">
        <w:trPr>
          <w:trHeight w:val="229"/>
        </w:trPr>
        <w:tc>
          <w:tcPr>
            <w:tcW w:w="1701" w:type="dxa"/>
            <w:vMerge w:val="restart"/>
            <w:shd w:val="clear" w:color="auto" w:fill="auto"/>
            <w:hideMark/>
          </w:tcPr>
          <w:p w14:paraId="24DCD9B6"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1276" w:type="dxa"/>
            <w:shd w:val="clear" w:color="auto" w:fill="auto"/>
            <w:noWrap/>
            <w:hideMark/>
          </w:tcPr>
          <w:p w14:paraId="4798E78B"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992" w:type="dxa"/>
            <w:shd w:val="clear" w:color="auto" w:fill="auto"/>
            <w:noWrap/>
            <w:vAlign w:val="center"/>
            <w:hideMark/>
          </w:tcPr>
          <w:p w14:paraId="4FF7A3D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186</w:t>
            </w:r>
          </w:p>
        </w:tc>
        <w:tc>
          <w:tcPr>
            <w:tcW w:w="1134" w:type="dxa"/>
            <w:shd w:val="clear" w:color="auto" w:fill="auto"/>
            <w:noWrap/>
            <w:vAlign w:val="center"/>
            <w:hideMark/>
          </w:tcPr>
          <w:p w14:paraId="6A54B7C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4.1978</w:t>
            </w:r>
          </w:p>
        </w:tc>
        <w:tc>
          <w:tcPr>
            <w:tcW w:w="1276" w:type="dxa"/>
            <w:shd w:val="clear" w:color="auto" w:fill="auto"/>
            <w:noWrap/>
            <w:vAlign w:val="center"/>
            <w:hideMark/>
          </w:tcPr>
          <w:p w14:paraId="4F1C581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1.09997</w:t>
            </w:r>
          </w:p>
        </w:tc>
        <w:tc>
          <w:tcPr>
            <w:tcW w:w="992" w:type="dxa"/>
            <w:shd w:val="clear" w:color="auto" w:fill="auto"/>
            <w:noWrap/>
            <w:vAlign w:val="center"/>
            <w:hideMark/>
          </w:tcPr>
          <w:p w14:paraId="0D6C46A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.08065</w:t>
            </w:r>
          </w:p>
        </w:tc>
        <w:tc>
          <w:tcPr>
            <w:tcW w:w="1134" w:type="dxa"/>
            <w:vMerge w:val="restart"/>
            <w:vAlign w:val="bottom"/>
          </w:tcPr>
          <w:p w14:paraId="0DDFDF9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w:t>
            </w:r>
          </w:p>
        </w:tc>
      </w:tr>
      <w:tr w:rsidR="00D65FF6" w:rsidRPr="00D53E24" w14:paraId="6C15328B" w14:textId="77777777" w:rsidTr="00024510">
        <w:trPr>
          <w:trHeight w:val="229"/>
        </w:trPr>
        <w:tc>
          <w:tcPr>
            <w:tcW w:w="1701" w:type="dxa"/>
            <w:vMerge/>
            <w:vAlign w:val="center"/>
            <w:hideMark/>
          </w:tcPr>
          <w:p w14:paraId="289DF74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276" w:type="dxa"/>
            <w:shd w:val="clear" w:color="auto" w:fill="auto"/>
            <w:noWrap/>
            <w:hideMark/>
          </w:tcPr>
          <w:p w14:paraId="4F23DCB2"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992" w:type="dxa"/>
            <w:shd w:val="clear" w:color="auto" w:fill="auto"/>
            <w:noWrap/>
            <w:vAlign w:val="center"/>
            <w:hideMark/>
          </w:tcPr>
          <w:p w14:paraId="2DD66F3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88</w:t>
            </w:r>
          </w:p>
        </w:tc>
        <w:tc>
          <w:tcPr>
            <w:tcW w:w="1134" w:type="dxa"/>
            <w:shd w:val="clear" w:color="auto" w:fill="auto"/>
            <w:noWrap/>
            <w:vAlign w:val="center"/>
            <w:hideMark/>
          </w:tcPr>
          <w:p w14:paraId="1675163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5.2432</w:t>
            </w:r>
          </w:p>
        </w:tc>
        <w:tc>
          <w:tcPr>
            <w:tcW w:w="1276" w:type="dxa"/>
            <w:shd w:val="clear" w:color="auto" w:fill="auto"/>
            <w:noWrap/>
            <w:vAlign w:val="center"/>
            <w:hideMark/>
          </w:tcPr>
          <w:p w14:paraId="24E27DF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1.15647</w:t>
            </w:r>
          </w:p>
        </w:tc>
        <w:tc>
          <w:tcPr>
            <w:tcW w:w="992" w:type="dxa"/>
            <w:shd w:val="clear" w:color="auto" w:fill="auto"/>
            <w:noWrap/>
            <w:vAlign w:val="center"/>
            <w:hideMark/>
          </w:tcPr>
          <w:p w14:paraId="2007773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.12328</w:t>
            </w:r>
          </w:p>
        </w:tc>
        <w:tc>
          <w:tcPr>
            <w:tcW w:w="1134" w:type="dxa"/>
            <w:vMerge/>
            <w:vAlign w:val="bottom"/>
          </w:tcPr>
          <w:p w14:paraId="5974ACC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0BD98811" w14:textId="77777777" w:rsidTr="00024510">
        <w:trPr>
          <w:trHeight w:val="229"/>
        </w:trPr>
        <w:tc>
          <w:tcPr>
            <w:tcW w:w="1701" w:type="dxa"/>
            <w:vMerge w:val="restart"/>
            <w:shd w:val="clear" w:color="auto" w:fill="auto"/>
            <w:hideMark/>
          </w:tcPr>
          <w:p w14:paraId="0441000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 perception</w:t>
            </w:r>
          </w:p>
        </w:tc>
        <w:tc>
          <w:tcPr>
            <w:tcW w:w="1276" w:type="dxa"/>
            <w:shd w:val="clear" w:color="auto" w:fill="auto"/>
            <w:noWrap/>
            <w:hideMark/>
          </w:tcPr>
          <w:p w14:paraId="4CABA872"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992" w:type="dxa"/>
            <w:shd w:val="clear" w:color="auto" w:fill="auto"/>
            <w:noWrap/>
            <w:vAlign w:val="center"/>
            <w:hideMark/>
          </w:tcPr>
          <w:p w14:paraId="706A005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186</w:t>
            </w:r>
          </w:p>
        </w:tc>
        <w:tc>
          <w:tcPr>
            <w:tcW w:w="1134" w:type="dxa"/>
            <w:shd w:val="clear" w:color="auto" w:fill="auto"/>
            <w:noWrap/>
            <w:vAlign w:val="center"/>
            <w:hideMark/>
          </w:tcPr>
          <w:p w14:paraId="2D9B1AA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4.4651</w:t>
            </w:r>
          </w:p>
        </w:tc>
        <w:tc>
          <w:tcPr>
            <w:tcW w:w="1276" w:type="dxa"/>
            <w:shd w:val="clear" w:color="auto" w:fill="auto"/>
            <w:noWrap/>
            <w:vAlign w:val="center"/>
            <w:hideMark/>
          </w:tcPr>
          <w:p w14:paraId="3259B8C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1.31135</w:t>
            </w:r>
          </w:p>
        </w:tc>
        <w:tc>
          <w:tcPr>
            <w:tcW w:w="992" w:type="dxa"/>
            <w:shd w:val="clear" w:color="auto" w:fill="auto"/>
            <w:noWrap/>
            <w:vAlign w:val="center"/>
            <w:hideMark/>
          </w:tcPr>
          <w:p w14:paraId="3711A04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.09615</w:t>
            </w:r>
          </w:p>
        </w:tc>
        <w:tc>
          <w:tcPr>
            <w:tcW w:w="1134" w:type="dxa"/>
            <w:vMerge w:val="restart"/>
            <w:vAlign w:val="bottom"/>
          </w:tcPr>
          <w:p w14:paraId="3A3E874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w:t>
            </w:r>
          </w:p>
        </w:tc>
      </w:tr>
      <w:tr w:rsidR="00D65FF6" w:rsidRPr="00D53E24" w14:paraId="1FE936D9" w14:textId="77777777" w:rsidTr="00024510">
        <w:trPr>
          <w:trHeight w:val="229"/>
        </w:trPr>
        <w:tc>
          <w:tcPr>
            <w:tcW w:w="1701" w:type="dxa"/>
            <w:vMerge/>
            <w:vAlign w:val="center"/>
            <w:hideMark/>
          </w:tcPr>
          <w:p w14:paraId="3345A7A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276" w:type="dxa"/>
            <w:shd w:val="clear" w:color="auto" w:fill="auto"/>
            <w:noWrap/>
            <w:hideMark/>
          </w:tcPr>
          <w:p w14:paraId="123D8358"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992" w:type="dxa"/>
            <w:shd w:val="clear" w:color="auto" w:fill="auto"/>
            <w:noWrap/>
            <w:vAlign w:val="center"/>
            <w:hideMark/>
          </w:tcPr>
          <w:p w14:paraId="5CE479FE"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88</w:t>
            </w:r>
          </w:p>
        </w:tc>
        <w:tc>
          <w:tcPr>
            <w:tcW w:w="1134" w:type="dxa"/>
            <w:shd w:val="clear" w:color="auto" w:fill="auto"/>
            <w:noWrap/>
            <w:vAlign w:val="center"/>
            <w:hideMark/>
          </w:tcPr>
          <w:p w14:paraId="4428F9D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5.3958</w:t>
            </w:r>
          </w:p>
        </w:tc>
        <w:tc>
          <w:tcPr>
            <w:tcW w:w="1276" w:type="dxa"/>
            <w:shd w:val="clear" w:color="auto" w:fill="auto"/>
            <w:noWrap/>
            <w:vAlign w:val="center"/>
            <w:hideMark/>
          </w:tcPr>
          <w:p w14:paraId="73065F0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1.12368</w:t>
            </w:r>
          </w:p>
        </w:tc>
        <w:tc>
          <w:tcPr>
            <w:tcW w:w="992" w:type="dxa"/>
            <w:shd w:val="clear" w:color="auto" w:fill="auto"/>
            <w:noWrap/>
            <w:vAlign w:val="center"/>
            <w:hideMark/>
          </w:tcPr>
          <w:p w14:paraId="5678CE9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.11978</w:t>
            </w:r>
          </w:p>
        </w:tc>
        <w:tc>
          <w:tcPr>
            <w:tcW w:w="1134" w:type="dxa"/>
            <w:vMerge/>
            <w:vAlign w:val="bottom"/>
          </w:tcPr>
          <w:p w14:paraId="739B17B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6C569E04" w14:textId="77777777" w:rsidTr="00024510">
        <w:trPr>
          <w:trHeight w:val="229"/>
        </w:trPr>
        <w:tc>
          <w:tcPr>
            <w:tcW w:w="1701" w:type="dxa"/>
            <w:vMerge w:val="restart"/>
            <w:shd w:val="clear" w:color="auto" w:fill="auto"/>
            <w:hideMark/>
          </w:tcPr>
          <w:p w14:paraId="50E9F062"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1276" w:type="dxa"/>
            <w:shd w:val="clear" w:color="auto" w:fill="auto"/>
            <w:noWrap/>
            <w:hideMark/>
          </w:tcPr>
          <w:p w14:paraId="39B7B95E"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992" w:type="dxa"/>
            <w:shd w:val="clear" w:color="auto" w:fill="auto"/>
            <w:noWrap/>
            <w:vAlign w:val="center"/>
            <w:hideMark/>
          </w:tcPr>
          <w:p w14:paraId="584F15D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186</w:t>
            </w:r>
          </w:p>
        </w:tc>
        <w:tc>
          <w:tcPr>
            <w:tcW w:w="1134" w:type="dxa"/>
            <w:shd w:val="clear" w:color="auto" w:fill="auto"/>
            <w:noWrap/>
            <w:vAlign w:val="center"/>
            <w:hideMark/>
          </w:tcPr>
          <w:p w14:paraId="6D0629B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4.7957</w:t>
            </w:r>
          </w:p>
        </w:tc>
        <w:tc>
          <w:tcPr>
            <w:tcW w:w="1276" w:type="dxa"/>
            <w:shd w:val="clear" w:color="auto" w:fill="auto"/>
            <w:noWrap/>
            <w:vAlign w:val="center"/>
            <w:hideMark/>
          </w:tcPr>
          <w:p w14:paraId="207AD29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1.29931</w:t>
            </w:r>
          </w:p>
        </w:tc>
        <w:tc>
          <w:tcPr>
            <w:tcW w:w="992" w:type="dxa"/>
            <w:shd w:val="clear" w:color="auto" w:fill="auto"/>
            <w:noWrap/>
            <w:vAlign w:val="center"/>
            <w:hideMark/>
          </w:tcPr>
          <w:p w14:paraId="22EE53A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.09527</w:t>
            </w:r>
          </w:p>
        </w:tc>
        <w:tc>
          <w:tcPr>
            <w:tcW w:w="1134" w:type="dxa"/>
            <w:vMerge w:val="restart"/>
            <w:vAlign w:val="bottom"/>
          </w:tcPr>
          <w:p w14:paraId="2C0C3B9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0.531</w:t>
            </w:r>
          </w:p>
        </w:tc>
      </w:tr>
      <w:tr w:rsidR="00D65FF6" w:rsidRPr="00D53E24" w14:paraId="14414D91" w14:textId="77777777" w:rsidTr="00024510">
        <w:trPr>
          <w:trHeight w:val="229"/>
        </w:trPr>
        <w:tc>
          <w:tcPr>
            <w:tcW w:w="1701" w:type="dxa"/>
            <w:vMerge/>
            <w:vAlign w:val="center"/>
            <w:hideMark/>
          </w:tcPr>
          <w:p w14:paraId="51F8E5F4"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276" w:type="dxa"/>
            <w:shd w:val="clear" w:color="auto" w:fill="auto"/>
            <w:noWrap/>
            <w:hideMark/>
          </w:tcPr>
          <w:p w14:paraId="549AAE1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992" w:type="dxa"/>
            <w:shd w:val="clear" w:color="auto" w:fill="auto"/>
            <w:noWrap/>
            <w:vAlign w:val="center"/>
            <w:hideMark/>
          </w:tcPr>
          <w:p w14:paraId="4D146F4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88</w:t>
            </w:r>
          </w:p>
        </w:tc>
        <w:tc>
          <w:tcPr>
            <w:tcW w:w="1134" w:type="dxa"/>
            <w:shd w:val="clear" w:color="auto" w:fill="auto"/>
            <w:noWrap/>
            <w:vAlign w:val="center"/>
            <w:hideMark/>
          </w:tcPr>
          <w:p w14:paraId="23FE045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4.8977</w:t>
            </w:r>
          </w:p>
        </w:tc>
        <w:tc>
          <w:tcPr>
            <w:tcW w:w="1276" w:type="dxa"/>
            <w:shd w:val="clear" w:color="auto" w:fill="auto"/>
            <w:noWrap/>
            <w:vAlign w:val="center"/>
            <w:hideMark/>
          </w:tcPr>
          <w:p w14:paraId="62F90F4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1.16105</w:t>
            </w:r>
          </w:p>
        </w:tc>
        <w:tc>
          <w:tcPr>
            <w:tcW w:w="992" w:type="dxa"/>
            <w:shd w:val="clear" w:color="auto" w:fill="auto"/>
            <w:noWrap/>
            <w:vAlign w:val="center"/>
            <w:hideMark/>
          </w:tcPr>
          <w:p w14:paraId="07CC5EA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.12377</w:t>
            </w:r>
          </w:p>
        </w:tc>
        <w:tc>
          <w:tcPr>
            <w:tcW w:w="1134" w:type="dxa"/>
            <w:vMerge/>
            <w:vAlign w:val="bottom"/>
          </w:tcPr>
          <w:p w14:paraId="46570AA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1D55284D" w14:textId="77777777" w:rsidTr="00024510">
        <w:trPr>
          <w:trHeight w:val="229"/>
        </w:trPr>
        <w:tc>
          <w:tcPr>
            <w:tcW w:w="1701" w:type="dxa"/>
            <w:vMerge w:val="restart"/>
            <w:shd w:val="clear" w:color="auto" w:fill="auto"/>
            <w:hideMark/>
          </w:tcPr>
          <w:p w14:paraId="2849686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1276" w:type="dxa"/>
            <w:shd w:val="clear" w:color="auto" w:fill="auto"/>
            <w:noWrap/>
            <w:hideMark/>
          </w:tcPr>
          <w:p w14:paraId="2337F2A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992" w:type="dxa"/>
            <w:shd w:val="clear" w:color="auto" w:fill="auto"/>
            <w:noWrap/>
            <w:vAlign w:val="center"/>
            <w:hideMark/>
          </w:tcPr>
          <w:p w14:paraId="34645DA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186</w:t>
            </w:r>
          </w:p>
        </w:tc>
        <w:tc>
          <w:tcPr>
            <w:tcW w:w="1134" w:type="dxa"/>
            <w:shd w:val="clear" w:color="auto" w:fill="auto"/>
            <w:noWrap/>
            <w:vAlign w:val="center"/>
            <w:hideMark/>
          </w:tcPr>
          <w:p w14:paraId="09690AD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4.0615</w:t>
            </w:r>
          </w:p>
        </w:tc>
        <w:tc>
          <w:tcPr>
            <w:tcW w:w="1276" w:type="dxa"/>
            <w:shd w:val="clear" w:color="auto" w:fill="auto"/>
            <w:noWrap/>
            <w:vAlign w:val="center"/>
            <w:hideMark/>
          </w:tcPr>
          <w:p w14:paraId="1DD083D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1.18350</w:t>
            </w:r>
          </w:p>
        </w:tc>
        <w:tc>
          <w:tcPr>
            <w:tcW w:w="992" w:type="dxa"/>
            <w:shd w:val="clear" w:color="auto" w:fill="auto"/>
            <w:noWrap/>
            <w:vAlign w:val="center"/>
            <w:hideMark/>
          </w:tcPr>
          <w:p w14:paraId="635D898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.08678</w:t>
            </w:r>
          </w:p>
        </w:tc>
        <w:tc>
          <w:tcPr>
            <w:tcW w:w="1134" w:type="dxa"/>
            <w:vMerge w:val="restart"/>
            <w:vAlign w:val="bottom"/>
          </w:tcPr>
          <w:p w14:paraId="16718DA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0.000</w:t>
            </w:r>
          </w:p>
        </w:tc>
      </w:tr>
      <w:tr w:rsidR="00D65FF6" w:rsidRPr="00D53E24" w14:paraId="611A9889" w14:textId="77777777" w:rsidTr="00024510">
        <w:trPr>
          <w:trHeight w:val="229"/>
        </w:trPr>
        <w:tc>
          <w:tcPr>
            <w:tcW w:w="1701" w:type="dxa"/>
            <w:vMerge/>
            <w:vAlign w:val="center"/>
            <w:hideMark/>
          </w:tcPr>
          <w:p w14:paraId="66F7CE83"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276" w:type="dxa"/>
            <w:shd w:val="clear" w:color="auto" w:fill="auto"/>
            <w:noWrap/>
            <w:hideMark/>
          </w:tcPr>
          <w:p w14:paraId="4BBA6EC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992" w:type="dxa"/>
            <w:shd w:val="clear" w:color="auto" w:fill="auto"/>
            <w:noWrap/>
            <w:vAlign w:val="center"/>
            <w:hideMark/>
          </w:tcPr>
          <w:p w14:paraId="4A3987F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88</w:t>
            </w:r>
          </w:p>
        </w:tc>
        <w:tc>
          <w:tcPr>
            <w:tcW w:w="1134" w:type="dxa"/>
            <w:shd w:val="clear" w:color="auto" w:fill="auto"/>
            <w:noWrap/>
            <w:vAlign w:val="center"/>
            <w:hideMark/>
          </w:tcPr>
          <w:p w14:paraId="1C20D76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4.6272</w:t>
            </w:r>
          </w:p>
        </w:tc>
        <w:tc>
          <w:tcPr>
            <w:tcW w:w="1276" w:type="dxa"/>
            <w:shd w:val="clear" w:color="auto" w:fill="auto"/>
            <w:noWrap/>
            <w:vAlign w:val="center"/>
            <w:hideMark/>
          </w:tcPr>
          <w:p w14:paraId="32F3923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1.12379</w:t>
            </w:r>
          </w:p>
        </w:tc>
        <w:tc>
          <w:tcPr>
            <w:tcW w:w="992" w:type="dxa"/>
            <w:shd w:val="clear" w:color="auto" w:fill="auto"/>
            <w:noWrap/>
            <w:vAlign w:val="center"/>
            <w:hideMark/>
          </w:tcPr>
          <w:p w14:paraId="453DD42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.11980</w:t>
            </w:r>
          </w:p>
        </w:tc>
        <w:tc>
          <w:tcPr>
            <w:tcW w:w="1134" w:type="dxa"/>
            <w:vMerge/>
            <w:vAlign w:val="bottom"/>
          </w:tcPr>
          <w:p w14:paraId="7000932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38EFA783" w14:textId="77777777" w:rsidTr="00024510">
        <w:trPr>
          <w:trHeight w:val="229"/>
        </w:trPr>
        <w:tc>
          <w:tcPr>
            <w:tcW w:w="1701" w:type="dxa"/>
            <w:vMerge w:val="restart"/>
            <w:shd w:val="clear" w:color="auto" w:fill="auto"/>
            <w:hideMark/>
          </w:tcPr>
          <w:p w14:paraId="545A975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 attachment</w:t>
            </w:r>
          </w:p>
        </w:tc>
        <w:tc>
          <w:tcPr>
            <w:tcW w:w="1276" w:type="dxa"/>
            <w:shd w:val="clear" w:color="auto" w:fill="auto"/>
            <w:noWrap/>
            <w:hideMark/>
          </w:tcPr>
          <w:p w14:paraId="326D8B3A"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992" w:type="dxa"/>
            <w:shd w:val="clear" w:color="auto" w:fill="auto"/>
            <w:noWrap/>
            <w:vAlign w:val="center"/>
            <w:hideMark/>
          </w:tcPr>
          <w:p w14:paraId="2F82EBA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186</w:t>
            </w:r>
          </w:p>
        </w:tc>
        <w:tc>
          <w:tcPr>
            <w:tcW w:w="1134" w:type="dxa"/>
            <w:shd w:val="clear" w:color="auto" w:fill="auto"/>
            <w:noWrap/>
            <w:vAlign w:val="center"/>
            <w:hideMark/>
          </w:tcPr>
          <w:p w14:paraId="4C96B59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3.5032</w:t>
            </w:r>
          </w:p>
        </w:tc>
        <w:tc>
          <w:tcPr>
            <w:tcW w:w="1276" w:type="dxa"/>
            <w:shd w:val="clear" w:color="auto" w:fill="auto"/>
            <w:noWrap/>
            <w:vAlign w:val="center"/>
            <w:hideMark/>
          </w:tcPr>
          <w:p w14:paraId="4CC03DF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1.44420</w:t>
            </w:r>
          </w:p>
        </w:tc>
        <w:tc>
          <w:tcPr>
            <w:tcW w:w="992" w:type="dxa"/>
            <w:shd w:val="clear" w:color="auto" w:fill="auto"/>
            <w:noWrap/>
            <w:vAlign w:val="center"/>
            <w:hideMark/>
          </w:tcPr>
          <w:p w14:paraId="0616E33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.10589</w:t>
            </w:r>
          </w:p>
        </w:tc>
        <w:tc>
          <w:tcPr>
            <w:tcW w:w="1134" w:type="dxa"/>
            <w:vMerge w:val="restart"/>
            <w:vAlign w:val="bottom"/>
          </w:tcPr>
          <w:p w14:paraId="371843D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0.003</w:t>
            </w:r>
          </w:p>
        </w:tc>
      </w:tr>
      <w:tr w:rsidR="00D65FF6" w:rsidRPr="00D53E24" w14:paraId="6FB0C9E0" w14:textId="77777777" w:rsidTr="00024510">
        <w:trPr>
          <w:trHeight w:val="229"/>
        </w:trPr>
        <w:tc>
          <w:tcPr>
            <w:tcW w:w="1701" w:type="dxa"/>
            <w:vMerge/>
            <w:vAlign w:val="center"/>
            <w:hideMark/>
          </w:tcPr>
          <w:p w14:paraId="5CFA1199"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276" w:type="dxa"/>
            <w:shd w:val="clear" w:color="auto" w:fill="auto"/>
            <w:noWrap/>
            <w:hideMark/>
          </w:tcPr>
          <w:p w14:paraId="0081FF9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992" w:type="dxa"/>
            <w:shd w:val="clear" w:color="auto" w:fill="auto"/>
            <w:noWrap/>
            <w:vAlign w:val="center"/>
            <w:hideMark/>
          </w:tcPr>
          <w:p w14:paraId="1636F1A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88</w:t>
            </w:r>
          </w:p>
        </w:tc>
        <w:tc>
          <w:tcPr>
            <w:tcW w:w="1134" w:type="dxa"/>
            <w:shd w:val="clear" w:color="auto" w:fill="auto"/>
            <w:noWrap/>
            <w:vAlign w:val="center"/>
            <w:hideMark/>
          </w:tcPr>
          <w:p w14:paraId="54E0D36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4.0568</w:t>
            </w:r>
          </w:p>
        </w:tc>
        <w:tc>
          <w:tcPr>
            <w:tcW w:w="1276" w:type="dxa"/>
            <w:shd w:val="clear" w:color="auto" w:fill="auto"/>
            <w:noWrap/>
            <w:vAlign w:val="center"/>
            <w:hideMark/>
          </w:tcPr>
          <w:p w14:paraId="501A1B6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1.42585</w:t>
            </w:r>
          </w:p>
        </w:tc>
        <w:tc>
          <w:tcPr>
            <w:tcW w:w="992" w:type="dxa"/>
            <w:shd w:val="clear" w:color="auto" w:fill="auto"/>
            <w:noWrap/>
            <w:vAlign w:val="center"/>
            <w:hideMark/>
          </w:tcPr>
          <w:p w14:paraId="149AE50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.15200</w:t>
            </w:r>
          </w:p>
        </w:tc>
        <w:tc>
          <w:tcPr>
            <w:tcW w:w="1134" w:type="dxa"/>
            <w:vMerge/>
            <w:vAlign w:val="bottom"/>
          </w:tcPr>
          <w:p w14:paraId="15516C3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5AFC86CB" w14:textId="77777777" w:rsidTr="00024510">
        <w:trPr>
          <w:trHeight w:val="229"/>
        </w:trPr>
        <w:tc>
          <w:tcPr>
            <w:tcW w:w="1701" w:type="dxa"/>
            <w:vMerge w:val="restart"/>
            <w:shd w:val="clear" w:color="auto" w:fill="auto"/>
            <w:hideMark/>
          </w:tcPr>
          <w:p w14:paraId="6C3D7F0C"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1276" w:type="dxa"/>
            <w:shd w:val="clear" w:color="auto" w:fill="auto"/>
            <w:noWrap/>
            <w:hideMark/>
          </w:tcPr>
          <w:p w14:paraId="0E3FE620"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992" w:type="dxa"/>
            <w:shd w:val="clear" w:color="auto" w:fill="auto"/>
            <w:noWrap/>
            <w:vAlign w:val="center"/>
            <w:hideMark/>
          </w:tcPr>
          <w:p w14:paraId="446C095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186</w:t>
            </w:r>
          </w:p>
        </w:tc>
        <w:tc>
          <w:tcPr>
            <w:tcW w:w="1134" w:type="dxa"/>
            <w:shd w:val="clear" w:color="auto" w:fill="auto"/>
            <w:noWrap/>
            <w:vAlign w:val="center"/>
            <w:hideMark/>
          </w:tcPr>
          <w:p w14:paraId="7FAFB69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4.4207</w:t>
            </w:r>
          </w:p>
        </w:tc>
        <w:tc>
          <w:tcPr>
            <w:tcW w:w="1276" w:type="dxa"/>
            <w:shd w:val="clear" w:color="auto" w:fill="auto"/>
            <w:noWrap/>
            <w:vAlign w:val="center"/>
            <w:hideMark/>
          </w:tcPr>
          <w:p w14:paraId="12FC59C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1.44567</w:t>
            </w:r>
          </w:p>
        </w:tc>
        <w:tc>
          <w:tcPr>
            <w:tcW w:w="992" w:type="dxa"/>
            <w:shd w:val="clear" w:color="auto" w:fill="auto"/>
            <w:noWrap/>
            <w:vAlign w:val="center"/>
            <w:hideMark/>
          </w:tcPr>
          <w:p w14:paraId="760C230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.10600</w:t>
            </w:r>
          </w:p>
        </w:tc>
        <w:tc>
          <w:tcPr>
            <w:tcW w:w="1134" w:type="dxa"/>
            <w:vMerge w:val="restart"/>
            <w:vAlign w:val="bottom"/>
          </w:tcPr>
          <w:p w14:paraId="4AA94658"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0.031</w:t>
            </w:r>
          </w:p>
        </w:tc>
      </w:tr>
      <w:tr w:rsidR="00D65FF6" w:rsidRPr="00D53E24" w14:paraId="490020F4" w14:textId="77777777" w:rsidTr="00024510">
        <w:trPr>
          <w:trHeight w:val="229"/>
        </w:trPr>
        <w:tc>
          <w:tcPr>
            <w:tcW w:w="1701" w:type="dxa"/>
            <w:vMerge/>
            <w:vAlign w:val="center"/>
            <w:hideMark/>
          </w:tcPr>
          <w:p w14:paraId="24CBF802"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276" w:type="dxa"/>
            <w:shd w:val="clear" w:color="auto" w:fill="auto"/>
            <w:noWrap/>
            <w:hideMark/>
          </w:tcPr>
          <w:p w14:paraId="3FF62B89"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992" w:type="dxa"/>
            <w:shd w:val="clear" w:color="auto" w:fill="auto"/>
            <w:noWrap/>
            <w:vAlign w:val="center"/>
            <w:hideMark/>
          </w:tcPr>
          <w:p w14:paraId="61F0F332"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88</w:t>
            </w:r>
          </w:p>
        </w:tc>
        <w:tc>
          <w:tcPr>
            <w:tcW w:w="1134" w:type="dxa"/>
            <w:shd w:val="clear" w:color="auto" w:fill="auto"/>
            <w:noWrap/>
            <w:vAlign w:val="center"/>
            <w:hideMark/>
          </w:tcPr>
          <w:p w14:paraId="73AEA97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4.8125</w:t>
            </w:r>
          </w:p>
        </w:tc>
        <w:tc>
          <w:tcPr>
            <w:tcW w:w="1276" w:type="dxa"/>
            <w:shd w:val="clear" w:color="auto" w:fill="auto"/>
            <w:noWrap/>
            <w:vAlign w:val="center"/>
            <w:hideMark/>
          </w:tcPr>
          <w:p w14:paraId="0EA928E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1.29169</w:t>
            </w:r>
          </w:p>
        </w:tc>
        <w:tc>
          <w:tcPr>
            <w:tcW w:w="992" w:type="dxa"/>
            <w:shd w:val="clear" w:color="auto" w:fill="auto"/>
            <w:noWrap/>
            <w:vAlign w:val="center"/>
            <w:hideMark/>
          </w:tcPr>
          <w:p w14:paraId="0A940A81"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.13769</w:t>
            </w:r>
          </w:p>
        </w:tc>
        <w:tc>
          <w:tcPr>
            <w:tcW w:w="1134" w:type="dxa"/>
            <w:vMerge/>
            <w:vAlign w:val="bottom"/>
          </w:tcPr>
          <w:p w14:paraId="6C63BABF"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p>
        </w:tc>
      </w:tr>
      <w:tr w:rsidR="00D65FF6" w:rsidRPr="00D53E24" w14:paraId="3899629A" w14:textId="77777777" w:rsidTr="00024510">
        <w:trPr>
          <w:trHeight w:val="229"/>
        </w:trPr>
        <w:tc>
          <w:tcPr>
            <w:tcW w:w="1701" w:type="dxa"/>
            <w:vMerge w:val="restart"/>
            <w:shd w:val="clear" w:color="auto" w:fill="auto"/>
            <w:hideMark/>
          </w:tcPr>
          <w:p w14:paraId="24FD1C51"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xml:space="preserve">Purchase intention </w:t>
            </w:r>
          </w:p>
        </w:tc>
        <w:tc>
          <w:tcPr>
            <w:tcW w:w="1276" w:type="dxa"/>
            <w:shd w:val="clear" w:color="auto" w:fill="auto"/>
            <w:noWrap/>
            <w:hideMark/>
          </w:tcPr>
          <w:p w14:paraId="1D340394"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Non -CSR</w:t>
            </w:r>
          </w:p>
        </w:tc>
        <w:tc>
          <w:tcPr>
            <w:tcW w:w="992" w:type="dxa"/>
            <w:shd w:val="clear" w:color="auto" w:fill="auto"/>
            <w:noWrap/>
            <w:vAlign w:val="center"/>
            <w:hideMark/>
          </w:tcPr>
          <w:p w14:paraId="6F7A086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186</w:t>
            </w:r>
          </w:p>
        </w:tc>
        <w:tc>
          <w:tcPr>
            <w:tcW w:w="1134" w:type="dxa"/>
            <w:shd w:val="clear" w:color="auto" w:fill="auto"/>
            <w:noWrap/>
            <w:vAlign w:val="center"/>
            <w:hideMark/>
          </w:tcPr>
          <w:p w14:paraId="37A21843"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4.4987</w:t>
            </w:r>
          </w:p>
        </w:tc>
        <w:tc>
          <w:tcPr>
            <w:tcW w:w="1276" w:type="dxa"/>
            <w:shd w:val="clear" w:color="auto" w:fill="auto"/>
            <w:noWrap/>
            <w:vAlign w:val="center"/>
            <w:hideMark/>
          </w:tcPr>
          <w:p w14:paraId="60899416"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1.58892</w:t>
            </w:r>
          </w:p>
        </w:tc>
        <w:tc>
          <w:tcPr>
            <w:tcW w:w="992" w:type="dxa"/>
            <w:shd w:val="clear" w:color="auto" w:fill="auto"/>
            <w:noWrap/>
            <w:vAlign w:val="center"/>
            <w:hideMark/>
          </w:tcPr>
          <w:p w14:paraId="1902F05A"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.11651</w:t>
            </w:r>
          </w:p>
        </w:tc>
        <w:tc>
          <w:tcPr>
            <w:tcW w:w="1134" w:type="dxa"/>
            <w:vMerge w:val="restart"/>
            <w:vAlign w:val="bottom"/>
          </w:tcPr>
          <w:p w14:paraId="20CB76CD"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0.001</w:t>
            </w:r>
          </w:p>
        </w:tc>
      </w:tr>
      <w:tr w:rsidR="00D65FF6" w:rsidRPr="00D53E24" w14:paraId="5F82278C" w14:textId="77777777" w:rsidTr="00024510">
        <w:trPr>
          <w:trHeight w:val="229"/>
        </w:trPr>
        <w:tc>
          <w:tcPr>
            <w:tcW w:w="1701" w:type="dxa"/>
            <w:vMerge/>
            <w:vAlign w:val="center"/>
            <w:hideMark/>
          </w:tcPr>
          <w:p w14:paraId="6F687666"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p>
        </w:tc>
        <w:tc>
          <w:tcPr>
            <w:tcW w:w="1276" w:type="dxa"/>
            <w:shd w:val="clear" w:color="auto" w:fill="auto"/>
            <w:noWrap/>
            <w:hideMark/>
          </w:tcPr>
          <w:p w14:paraId="159319B3"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992" w:type="dxa"/>
            <w:shd w:val="clear" w:color="auto" w:fill="auto"/>
            <w:noWrap/>
            <w:vAlign w:val="center"/>
            <w:hideMark/>
          </w:tcPr>
          <w:p w14:paraId="474D983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88</w:t>
            </w:r>
          </w:p>
        </w:tc>
        <w:tc>
          <w:tcPr>
            <w:tcW w:w="1134" w:type="dxa"/>
            <w:shd w:val="clear" w:color="auto" w:fill="auto"/>
            <w:noWrap/>
            <w:vAlign w:val="center"/>
            <w:hideMark/>
          </w:tcPr>
          <w:p w14:paraId="06D4FB3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5.1534</w:t>
            </w:r>
          </w:p>
        </w:tc>
        <w:tc>
          <w:tcPr>
            <w:tcW w:w="1276" w:type="dxa"/>
            <w:shd w:val="clear" w:color="auto" w:fill="auto"/>
            <w:noWrap/>
            <w:vAlign w:val="center"/>
            <w:hideMark/>
          </w:tcPr>
          <w:p w14:paraId="33B6AEF9"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1.33285</w:t>
            </w:r>
          </w:p>
        </w:tc>
        <w:tc>
          <w:tcPr>
            <w:tcW w:w="992" w:type="dxa"/>
            <w:shd w:val="clear" w:color="auto" w:fill="auto"/>
            <w:noWrap/>
            <w:vAlign w:val="center"/>
            <w:hideMark/>
          </w:tcPr>
          <w:p w14:paraId="02634434"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hAnsiTheme="majorBidi" w:cstheme="majorBidi"/>
                <w:color w:val="000000"/>
                <w:sz w:val="20"/>
                <w:szCs w:val="20"/>
              </w:rPr>
              <w:t>.14208</w:t>
            </w:r>
          </w:p>
        </w:tc>
        <w:tc>
          <w:tcPr>
            <w:tcW w:w="1134" w:type="dxa"/>
            <w:vMerge/>
            <w:vAlign w:val="bottom"/>
          </w:tcPr>
          <w:p w14:paraId="353C25C8" w14:textId="77777777" w:rsidR="00D65FF6" w:rsidRPr="00D53E24" w:rsidRDefault="00D65FF6" w:rsidP="00250620">
            <w:pPr>
              <w:keepNext/>
              <w:spacing w:after="0" w:line="240" w:lineRule="auto"/>
              <w:jc w:val="right"/>
              <w:rPr>
                <w:rFonts w:asciiTheme="majorBidi" w:eastAsia="Times New Roman" w:hAnsiTheme="majorBidi" w:cstheme="majorBidi"/>
                <w:color w:val="000000"/>
                <w:sz w:val="20"/>
                <w:szCs w:val="20"/>
              </w:rPr>
            </w:pPr>
          </w:p>
        </w:tc>
      </w:tr>
    </w:tbl>
    <w:p w14:paraId="1F34180D" w14:textId="2D4315B3" w:rsidR="00D65FF6" w:rsidRDefault="00250620" w:rsidP="00250620">
      <w:pPr>
        <w:pStyle w:val="Caption"/>
        <w:rPr>
          <w:rFonts w:asciiTheme="majorBidi" w:hAnsiTheme="majorBidi" w:cstheme="majorBidi"/>
          <w:sz w:val="24"/>
          <w:szCs w:val="24"/>
        </w:rPr>
      </w:pPr>
      <w:r w:rsidRPr="00D53E24">
        <w:rPr>
          <w:sz w:val="20"/>
          <w:szCs w:val="20"/>
        </w:rPr>
        <w:t>Table 3</w:t>
      </w:r>
      <w:r w:rsidR="00864BD9">
        <w:rPr>
          <w:sz w:val="20"/>
          <w:szCs w:val="20"/>
        </w:rPr>
        <w:t>5</w:t>
      </w:r>
      <w:r>
        <w:t xml:space="preserve"> T-test of the variables in the social media groups </w:t>
      </w:r>
    </w:p>
    <w:p w14:paraId="6A786E41" w14:textId="77777777" w:rsidR="00F35512" w:rsidRDefault="00D65FF6" w:rsidP="00F35512">
      <w:pPr>
        <w:keepNext/>
      </w:pPr>
      <w:r>
        <w:rPr>
          <w:noProof/>
        </w:rPr>
        <w:drawing>
          <wp:inline distT="0" distB="0" distL="0" distR="0" wp14:anchorId="228FFBBA" wp14:editId="3972FA0C">
            <wp:extent cx="4523232" cy="2359152"/>
            <wp:effectExtent l="0" t="0" r="10795" b="3175"/>
            <wp:docPr id="12" name="Chart 12">
              <a:extLst xmlns:a="http://schemas.openxmlformats.org/drawingml/2006/main">
                <a:ext uri="{FF2B5EF4-FFF2-40B4-BE49-F238E27FC236}">
                  <a16:creationId xmlns:a16="http://schemas.microsoft.com/office/drawing/2014/main" id="{16991A2F-4DF3-C53E-182B-1419E00E0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E60E5E1" w14:textId="1A19D3AD" w:rsidR="00D65FF6" w:rsidRPr="00436C0F" w:rsidRDefault="00F35512" w:rsidP="00F35512">
      <w:pPr>
        <w:pStyle w:val="Caption"/>
        <w:rPr>
          <w:rFonts w:asciiTheme="majorBidi" w:hAnsiTheme="majorBidi" w:cstheme="majorBidi"/>
          <w:b/>
          <w:bCs/>
        </w:rPr>
      </w:pPr>
      <w:r>
        <w:t>Figure 23 Average of variables among the social media groups</w:t>
      </w:r>
    </w:p>
    <w:p w14:paraId="665FE3FE" w14:textId="75ABF308" w:rsidR="00D65FF6" w:rsidRPr="00C0315E" w:rsidRDefault="00D65FF6">
      <w:pPr>
        <w:pStyle w:val="ListParagraph"/>
        <w:numPr>
          <w:ilvl w:val="1"/>
          <w:numId w:val="24"/>
        </w:numPr>
        <w:spacing w:after="200" w:line="276" w:lineRule="auto"/>
        <w:rPr>
          <w:rFonts w:asciiTheme="majorBidi" w:hAnsiTheme="majorBidi" w:cstheme="majorBidi"/>
          <w:b/>
          <w:bCs/>
          <w:sz w:val="24"/>
          <w:szCs w:val="24"/>
        </w:rPr>
      </w:pPr>
      <w:bookmarkStart w:id="171" w:name="_Hlk149845620"/>
      <w:r w:rsidRPr="00C0315E">
        <w:rPr>
          <w:rFonts w:asciiTheme="majorBidi" w:hAnsiTheme="majorBidi" w:cstheme="majorBidi"/>
          <w:b/>
          <w:bCs/>
          <w:sz w:val="24"/>
          <w:szCs w:val="24"/>
        </w:rPr>
        <w:t xml:space="preserve">Testing Hypotheses and model fitness </w:t>
      </w:r>
    </w:p>
    <w:p w14:paraId="18C6F230" w14:textId="057D3701" w:rsidR="00D65FF6" w:rsidRPr="005951BD" w:rsidRDefault="00D65FF6" w:rsidP="00F5085B">
      <w:pPr>
        <w:spacing w:after="0" w:line="480" w:lineRule="auto"/>
        <w:ind w:firstLine="420"/>
        <w:jc w:val="both"/>
        <w:rPr>
          <w:rFonts w:asciiTheme="majorBidi" w:hAnsiTheme="majorBidi" w:cstheme="majorBidi"/>
          <w:sz w:val="24"/>
          <w:szCs w:val="24"/>
        </w:rPr>
      </w:pPr>
      <w:r w:rsidRPr="008D75D3">
        <w:rPr>
          <w:rFonts w:asciiTheme="majorBidi" w:hAnsiTheme="majorBidi" w:cstheme="majorBidi"/>
          <w:sz w:val="24"/>
          <w:szCs w:val="24"/>
        </w:rPr>
        <w:t xml:space="preserve">To </w:t>
      </w:r>
      <w:r>
        <w:rPr>
          <w:rFonts w:asciiTheme="majorBidi" w:hAnsiTheme="majorBidi" w:cstheme="majorBidi"/>
          <w:sz w:val="24"/>
          <w:szCs w:val="24"/>
        </w:rPr>
        <w:t>test and answer</w:t>
      </w:r>
      <w:r w:rsidRPr="008D75D3">
        <w:rPr>
          <w:rFonts w:asciiTheme="majorBidi" w:hAnsiTheme="majorBidi" w:cstheme="majorBidi"/>
          <w:sz w:val="24"/>
          <w:szCs w:val="24"/>
        </w:rPr>
        <w:t xml:space="preserve"> the hypotheses</w:t>
      </w:r>
      <w:r>
        <w:rPr>
          <w:rFonts w:asciiTheme="majorBidi" w:hAnsiTheme="majorBidi" w:cstheme="majorBidi"/>
          <w:sz w:val="24"/>
          <w:szCs w:val="24"/>
        </w:rPr>
        <w:t>,</w:t>
      </w:r>
      <w:r w:rsidRPr="008D75D3">
        <w:rPr>
          <w:rFonts w:asciiTheme="majorBidi" w:hAnsiTheme="majorBidi" w:cstheme="majorBidi"/>
          <w:sz w:val="24"/>
          <w:szCs w:val="24"/>
        </w:rPr>
        <w:t xml:space="preserve"> structural equation </w:t>
      </w:r>
      <w:r w:rsidR="003F0073" w:rsidRPr="008D75D3">
        <w:rPr>
          <w:rFonts w:asciiTheme="majorBidi" w:hAnsiTheme="majorBidi" w:cstheme="majorBidi"/>
          <w:sz w:val="24"/>
          <w:szCs w:val="24"/>
        </w:rPr>
        <w:t>modelling</w:t>
      </w:r>
      <w:r w:rsidRPr="008D75D3">
        <w:rPr>
          <w:rFonts w:asciiTheme="majorBidi" w:hAnsiTheme="majorBidi" w:cstheme="majorBidi"/>
          <w:sz w:val="24"/>
          <w:szCs w:val="24"/>
        </w:rPr>
        <w:t xml:space="preserve"> </w:t>
      </w:r>
      <w:r>
        <w:rPr>
          <w:rFonts w:asciiTheme="majorBidi" w:hAnsiTheme="majorBidi" w:cstheme="majorBidi"/>
          <w:sz w:val="24"/>
          <w:szCs w:val="24"/>
        </w:rPr>
        <w:t>was</w:t>
      </w:r>
      <w:r w:rsidRPr="008D75D3">
        <w:rPr>
          <w:rFonts w:asciiTheme="majorBidi" w:hAnsiTheme="majorBidi" w:cstheme="majorBidi"/>
          <w:sz w:val="24"/>
          <w:szCs w:val="24"/>
        </w:rPr>
        <w:t xml:space="preserve"> used. Structural equation modelling (SEM) is a statistical technique used to assess </w:t>
      </w:r>
      <w:r w:rsidR="009F4827" w:rsidRPr="008D75D3">
        <w:rPr>
          <w:rFonts w:asciiTheme="majorBidi" w:hAnsiTheme="majorBidi" w:cstheme="majorBidi"/>
          <w:sz w:val="24"/>
          <w:szCs w:val="24"/>
        </w:rPr>
        <w:t>hierarch</w:t>
      </w:r>
      <w:r w:rsidR="009F4827">
        <w:rPr>
          <w:rFonts w:asciiTheme="majorBidi" w:hAnsiTheme="majorBidi" w:cstheme="majorBidi"/>
          <w:sz w:val="24"/>
          <w:szCs w:val="24"/>
        </w:rPr>
        <w:t>ical</w:t>
      </w:r>
      <w:r w:rsidRPr="008D75D3">
        <w:rPr>
          <w:rFonts w:asciiTheme="majorBidi" w:hAnsiTheme="majorBidi" w:cstheme="majorBidi"/>
          <w:sz w:val="24"/>
          <w:szCs w:val="24"/>
        </w:rPr>
        <w:t xml:space="preserve"> relationship between some variables</w:t>
      </w:r>
      <w:r>
        <w:rPr>
          <w:rFonts w:asciiTheme="majorBidi" w:hAnsiTheme="majorBidi" w:cstheme="majorBidi"/>
          <w:sz w:val="24"/>
          <w:szCs w:val="24"/>
        </w:rPr>
        <w:t xml:space="preserve"> and test the direct and indirect effects of the</w:t>
      </w:r>
      <w:r w:rsidRPr="008D75D3">
        <w:rPr>
          <w:rFonts w:asciiTheme="majorBidi" w:hAnsiTheme="majorBidi" w:cstheme="majorBidi"/>
          <w:sz w:val="24"/>
          <w:szCs w:val="24"/>
        </w:rPr>
        <w:t xml:space="preserve"> mediating </w:t>
      </w:r>
      <w:r>
        <w:rPr>
          <w:rFonts w:asciiTheme="majorBidi" w:hAnsiTheme="majorBidi" w:cstheme="majorBidi"/>
          <w:sz w:val="24"/>
          <w:szCs w:val="24"/>
        </w:rPr>
        <w:t>variables</w:t>
      </w:r>
      <w:sdt>
        <w:sdtPr>
          <w:rPr>
            <w:rFonts w:asciiTheme="majorBidi" w:hAnsiTheme="majorBidi" w:cstheme="majorBidi"/>
            <w:sz w:val="24"/>
            <w:szCs w:val="24"/>
          </w:rPr>
          <w:id w:val="148158074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Fan16 \l 2057  \m Kor21 \m Rih21</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(Fan, et al., 2016; Korstanje, 2021; Riha, Güntensperger, Oschwald, Kleinjung, &amp; Meyer, 2021)</w:t>
          </w:r>
          <w:r>
            <w:rPr>
              <w:rFonts w:asciiTheme="majorBidi" w:hAnsiTheme="majorBidi" w:cstheme="majorBidi"/>
              <w:sz w:val="24"/>
              <w:szCs w:val="24"/>
            </w:rPr>
            <w:fldChar w:fldCharType="end"/>
          </w:r>
        </w:sdtContent>
      </w:sdt>
      <w:r>
        <w:rPr>
          <w:rFonts w:asciiTheme="majorBidi" w:hAnsiTheme="majorBidi" w:cstheme="majorBidi"/>
          <w:sz w:val="24"/>
          <w:szCs w:val="24"/>
        </w:rPr>
        <w:t>. In this study, this</w:t>
      </w:r>
      <w:r w:rsidRPr="008D75D3">
        <w:rPr>
          <w:rFonts w:asciiTheme="majorBidi" w:hAnsiTheme="majorBidi" w:cstheme="majorBidi"/>
          <w:sz w:val="24"/>
          <w:szCs w:val="24"/>
        </w:rPr>
        <w:t xml:space="preserve"> is done using “</w:t>
      </w:r>
      <w:r w:rsidRPr="00864BD9">
        <w:rPr>
          <w:rFonts w:asciiTheme="majorBidi" w:hAnsiTheme="majorBidi" w:cstheme="majorBidi"/>
          <w:sz w:val="24"/>
          <w:szCs w:val="24"/>
        </w:rPr>
        <w:t>path analysis” which is a component of SEM</w:t>
      </w:r>
      <w:sdt>
        <w:sdtPr>
          <w:rPr>
            <w:rFonts w:asciiTheme="majorBidi" w:hAnsiTheme="majorBidi" w:cstheme="majorBidi"/>
            <w:sz w:val="24"/>
            <w:szCs w:val="24"/>
          </w:rPr>
          <w:id w:val="-377174245"/>
          <w:citation/>
        </w:sdtPr>
        <w:sdtContent>
          <w:r w:rsidRPr="00864BD9">
            <w:rPr>
              <w:rFonts w:asciiTheme="majorBidi" w:hAnsiTheme="majorBidi" w:cstheme="majorBidi"/>
              <w:sz w:val="24"/>
              <w:szCs w:val="24"/>
            </w:rPr>
            <w:fldChar w:fldCharType="begin"/>
          </w:r>
          <w:r w:rsidRPr="00864BD9">
            <w:rPr>
              <w:rFonts w:asciiTheme="majorBidi" w:hAnsiTheme="majorBidi" w:cstheme="majorBidi"/>
              <w:sz w:val="24"/>
              <w:szCs w:val="24"/>
            </w:rPr>
            <w:instrText xml:space="preserve"> CITATION Fan16 \l 2057 </w:instrText>
          </w:r>
          <w:r w:rsidRPr="00864BD9">
            <w:rPr>
              <w:rFonts w:asciiTheme="majorBidi" w:hAnsiTheme="majorBidi" w:cstheme="majorBidi"/>
              <w:sz w:val="24"/>
              <w:szCs w:val="24"/>
            </w:rPr>
            <w:fldChar w:fldCharType="separate"/>
          </w:r>
          <w:r w:rsidRPr="00864BD9">
            <w:rPr>
              <w:rFonts w:asciiTheme="majorBidi" w:hAnsiTheme="majorBidi" w:cstheme="majorBidi"/>
              <w:noProof/>
              <w:sz w:val="24"/>
              <w:szCs w:val="24"/>
            </w:rPr>
            <w:t xml:space="preserve"> (Fan, et al., 2016)</w:t>
          </w:r>
          <w:r w:rsidRPr="00864BD9">
            <w:rPr>
              <w:rFonts w:asciiTheme="majorBidi" w:hAnsiTheme="majorBidi" w:cstheme="majorBidi"/>
              <w:sz w:val="24"/>
              <w:szCs w:val="24"/>
            </w:rPr>
            <w:fldChar w:fldCharType="end"/>
          </w:r>
        </w:sdtContent>
      </w:sdt>
      <w:r w:rsidRPr="00864BD9">
        <w:rPr>
          <w:rFonts w:asciiTheme="majorBidi" w:hAnsiTheme="majorBidi" w:cstheme="majorBidi"/>
          <w:sz w:val="24"/>
          <w:szCs w:val="24"/>
        </w:rPr>
        <w:t>. As any model, it must be checked for efficiency.</w:t>
      </w:r>
      <w:r>
        <w:rPr>
          <w:rFonts w:asciiTheme="majorBidi" w:hAnsiTheme="majorBidi" w:cstheme="majorBidi"/>
          <w:sz w:val="24"/>
          <w:szCs w:val="24"/>
        </w:rPr>
        <w:t xml:space="preserve"> </w:t>
      </w:r>
      <w:bookmarkEnd w:id="171"/>
      <w:r>
        <w:rPr>
          <w:rFonts w:asciiTheme="majorBidi" w:hAnsiTheme="majorBidi" w:cstheme="majorBidi"/>
          <w:sz w:val="24"/>
          <w:szCs w:val="24"/>
        </w:rPr>
        <w:t>Most of the commonly used model fit indices were applied to check the fitness of this study’s model. These indices include incremental</w:t>
      </w:r>
      <w:r w:rsidRPr="003D1026">
        <w:rPr>
          <w:rFonts w:asciiTheme="majorBidi" w:hAnsiTheme="majorBidi" w:cstheme="majorBidi"/>
          <w:sz w:val="24"/>
          <w:szCs w:val="24"/>
        </w:rPr>
        <w:t xml:space="preserve"> fit index (IFI)</w:t>
      </w:r>
      <w:r>
        <w:rPr>
          <w:rFonts w:asciiTheme="majorBidi" w:hAnsiTheme="majorBidi" w:cstheme="majorBidi"/>
          <w:sz w:val="24"/>
          <w:szCs w:val="24"/>
        </w:rPr>
        <w:t>, r</w:t>
      </w:r>
      <w:r w:rsidRPr="003D1026">
        <w:rPr>
          <w:rFonts w:asciiTheme="majorBidi" w:hAnsiTheme="majorBidi" w:cstheme="majorBidi"/>
          <w:sz w:val="24"/>
          <w:szCs w:val="24"/>
        </w:rPr>
        <w:t>elative fit index</w:t>
      </w:r>
      <w:r>
        <w:rPr>
          <w:rFonts w:asciiTheme="majorBidi" w:hAnsiTheme="majorBidi" w:cstheme="majorBidi"/>
          <w:sz w:val="24"/>
          <w:szCs w:val="24"/>
        </w:rPr>
        <w:t>, c</w:t>
      </w:r>
      <w:r w:rsidRPr="003D1026">
        <w:rPr>
          <w:rFonts w:asciiTheme="majorBidi" w:hAnsiTheme="majorBidi" w:cstheme="majorBidi"/>
          <w:sz w:val="24"/>
          <w:szCs w:val="24"/>
        </w:rPr>
        <w:t>omparative fit index (CFI)</w:t>
      </w:r>
      <w:r>
        <w:rPr>
          <w:rFonts w:asciiTheme="majorBidi" w:hAnsiTheme="majorBidi" w:cstheme="majorBidi"/>
          <w:sz w:val="24"/>
          <w:szCs w:val="24"/>
        </w:rPr>
        <w:t>, n</w:t>
      </w:r>
      <w:r w:rsidRPr="003D1026">
        <w:rPr>
          <w:rFonts w:asciiTheme="majorBidi" w:hAnsiTheme="majorBidi" w:cstheme="majorBidi"/>
          <w:sz w:val="24"/>
          <w:szCs w:val="24"/>
        </w:rPr>
        <w:t>ormed fit index (NFI)</w:t>
      </w:r>
      <w:r>
        <w:rPr>
          <w:rFonts w:asciiTheme="majorBidi" w:hAnsiTheme="majorBidi" w:cstheme="majorBidi"/>
          <w:sz w:val="24"/>
          <w:szCs w:val="24"/>
        </w:rPr>
        <w:t xml:space="preserve">, and </w:t>
      </w:r>
      <w:r w:rsidRPr="003D1026">
        <w:rPr>
          <w:rFonts w:asciiTheme="majorBidi" w:hAnsiTheme="majorBidi" w:cstheme="majorBidi"/>
          <w:sz w:val="24"/>
          <w:szCs w:val="24"/>
        </w:rPr>
        <w:t>Turker-Lewis Index (TLI)</w:t>
      </w:r>
      <w:r>
        <w:rPr>
          <w:rFonts w:asciiTheme="majorBidi" w:hAnsiTheme="majorBidi" w:cstheme="majorBidi"/>
          <w:sz w:val="24"/>
          <w:szCs w:val="24"/>
        </w:rPr>
        <w:t xml:space="preserve"> </w:t>
      </w:r>
      <w:sdt>
        <w:sdtPr>
          <w:rPr>
            <w:rFonts w:asciiTheme="majorBidi" w:hAnsiTheme="majorBidi" w:cstheme="majorBidi"/>
            <w:sz w:val="24"/>
            <w:szCs w:val="24"/>
          </w:rPr>
          <w:id w:val="-735087965"/>
          <w:citation/>
        </w:sdtPr>
        <w:sdtContent>
          <w:r>
            <w:rPr>
              <w:rFonts w:asciiTheme="majorBidi" w:hAnsiTheme="majorBidi" w:cstheme="majorBidi"/>
              <w:sz w:val="24"/>
              <w:szCs w:val="24"/>
            </w:rPr>
            <w:fldChar w:fldCharType="begin"/>
          </w:r>
          <w:r w:rsidR="003F0073">
            <w:rPr>
              <w:rFonts w:asciiTheme="majorBidi" w:hAnsiTheme="majorBidi" w:cstheme="majorBidi"/>
              <w:sz w:val="24"/>
              <w:szCs w:val="24"/>
            </w:rPr>
            <w:instrText xml:space="preserve">CITATION Mos16 \m Shi18 \t  \l 2057 </w:instrText>
          </w:r>
          <w:r>
            <w:rPr>
              <w:rFonts w:asciiTheme="majorBidi" w:hAnsiTheme="majorBidi" w:cstheme="majorBidi"/>
              <w:sz w:val="24"/>
              <w:szCs w:val="24"/>
            </w:rPr>
            <w:fldChar w:fldCharType="separate"/>
          </w:r>
          <w:r w:rsidR="003F0073" w:rsidRPr="003F0073">
            <w:rPr>
              <w:rFonts w:asciiTheme="majorBidi" w:hAnsiTheme="majorBidi" w:cstheme="majorBidi"/>
              <w:noProof/>
              <w:sz w:val="24"/>
              <w:szCs w:val="24"/>
            </w:rPr>
            <w:t>(Moss, 2016; Shi, Lee, &amp; Maydeu-Olivare,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F0125E">
        <w:rPr>
          <w:rFonts w:asciiTheme="majorBidi" w:hAnsiTheme="majorBidi" w:cstheme="majorBidi"/>
          <w:noProof/>
          <w:sz w:val="24"/>
          <w:szCs w:val="24"/>
        </w:rPr>
        <w:t>Incremental fit index (IFI) are frequently used to assess the fit of structural equation models. IFIs rely on comparing how well a target model fits with a null model</w:t>
      </w:r>
      <w:sdt>
        <w:sdtPr>
          <w:rPr>
            <w:rFonts w:asciiTheme="majorBidi" w:hAnsiTheme="majorBidi" w:cstheme="majorBidi"/>
            <w:noProof/>
            <w:sz w:val="24"/>
            <w:szCs w:val="24"/>
          </w:rPr>
          <w:id w:val="1089274922"/>
          <w:citation/>
        </w:sdtPr>
        <w:sdtContent>
          <w:r>
            <w:rPr>
              <w:rFonts w:asciiTheme="majorBidi" w:hAnsiTheme="majorBidi" w:cstheme="majorBidi"/>
              <w:noProof/>
              <w:sz w:val="24"/>
              <w:szCs w:val="24"/>
            </w:rPr>
            <w:fldChar w:fldCharType="begin"/>
          </w:r>
          <w:r>
            <w:rPr>
              <w:rFonts w:asciiTheme="majorBidi" w:hAnsiTheme="majorBidi" w:cstheme="majorBidi"/>
              <w:noProof/>
              <w:sz w:val="24"/>
              <w:szCs w:val="24"/>
            </w:rPr>
            <w:instrText xml:space="preserve"> CITATION Bol16 \l 2057 </w:instrText>
          </w:r>
          <w:r>
            <w:rPr>
              <w:rFonts w:asciiTheme="majorBidi" w:hAnsiTheme="majorBidi" w:cstheme="majorBidi"/>
              <w:noProof/>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(Bollen, 2016)</w:t>
          </w:r>
          <w:r>
            <w:rPr>
              <w:rFonts w:asciiTheme="majorBidi" w:hAnsiTheme="majorBidi" w:cstheme="majorBidi"/>
              <w:noProof/>
              <w:sz w:val="24"/>
              <w:szCs w:val="24"/>
            </w:rPr>
            <w:fldChar w:fldCharType="end"/>
          </w:r>
        </w:sdtContent>
      </w:sdt>
      <w:r w:rsidRPr="00F0125E">
        <w:rPr>
          <w:rFonts w:asciiTheme="majorBidi" w:hAnsiTheme="majorBidi" w:cstheme="majorBidi"/>
          <w:noProof/>
          <w:sz w:val="24"/>
          <w:szCs w:val="24"/>
        </w:rPr>
        <w:t>.</w:t>
      </w:r>
      <w:r>
        <w:rPr>
          <w:rFonts w:asciiTheme="majorBidi" w:hAnsiTheme="majorBidi" w:cstheme="majorBidi"/>
          <w:noProof/>
          <w:sz w:val="24"/>
          <w:szCs w:val="24"/>
        </w:rPr>
        <w:t xml:space="preserve"> </w:t>
      </w:r>
      <w:r w:rsidRPr="00F0125E">
        <w:rPr>
          <w:rFonts w:asciiTheme="majorBidi" w:hAnsiTheme="majorBidi" w:cstheme="majorBidi"/>
          <w:sz w:val="24"/>
          <w:szCs w:val="24"/>
        </w:rPr>
        <w:t>IFI varies from 0-1 with 1 being a perfect fit</w:t>
      </w:r>
      <w:sdt>
        <w:sdtPr>
          <w:rPr>
            <w:rFonts w:asciiTheme="majorBidi" w:hAnsiTheme="majorBidi" w:cstheme="majorBidi"/>
            <w:sz w:val="24"/>
            <w:szCs w:val="24"/>
          </w:rPr>
          <w:id w:val="-155723702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Mos16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(Moss, 2016)</w:t>
          </w:r>
          <w:r>
            <w:rPr>
              <w:rFonts w:asciiTheme="majorBidi" w:hAnsiTheme="majorBidi" w:cstheme="majorBidi"/>
              <w:sz w:val="24"/>
              <w:szCs w:val="24"/>
            </w:rPr>
            <w:fldChar w:fldCharType="end"/>
          </w:r>
        </w:sdtContent>
      </w:sdt>
      <w:r w:rsidRPr="00F0125E">
        <w:rPr>
          <w:rFonts w:asciiTheme="majorBidi" w:hAnsiTheme="majorBidi" w:cstheme="majorBidi"/>
          <w:sz w:val="24"/>
          <w:szCs w:val="24"/>
        </w:rPr>
        <w:t>.</w:t>
      </w:r>
      <w:r>
        <w:rPr>
          <w:rFonts w:asciiTheme="majorBidi" w:hAnsiTheme="majorBidi" w:cstheme="majorBidi"/>
          <w:sz w:val="24"/>
          <w:szCs w:val="24"/>
        </w:rPr>
        <w:t xml:space="preserve"> The relative fit index </w:t>
      </w:r>
      <w:r w:rsidR="009368D8">
        <w:rPr>
          <w:rFonts w:asciiTheme="majorBidi" w:hAnsiTheme="majorBidi" w:cstheme="majorBidi"/>
          <w:sz w:val="24"/>
          <w:szCs w:val="24"/>
        </w:rPr>
        <w:t>includes</w:t>
      </w:r>
      <w:r>
        <w:rPr>
          <w:rFonts w:asciiTheme="majorBidi" w:hAnsiTheme="majorBidi" w:cstheme="majorBidi"/>
          <w:sz w:val="24"/>
          <w:szCs w:val="24"/>
        </w:rPr>
        <w:t xml:space="preserve"> a factor that represents any deviations from the null model and </w:t>
      </w:r>
      <w:r w:rsidRPr="00F0125E">
        <w:rPr>
          <w:rFonts w:asciiTheme="majorBidi" w:hAnsiTheme="majorBidi" w:cstheme="majorBidi"/>
          <w:sz w:val="24"/>
          <w:szCs w:val="24"/>
        </w:rPr>
        <w:t>varies from 0-1 with 1 being a perfect fit</w:t>
      </w:r>
      <w:sdt>
        <w:sdtPr>
          <w:rPr>
            <w:rFonts w:asciiTheme="majorBidi" w:hAnsiTheme="majorBidi" w:cstheme="majorBidi"/>
            <w:sz w:val="24"/>
            <w:szCs w:val="24"/>
          </w:rPr>
          <w:id w:val="-37099727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Chi14 \l 2057  \m Sme19</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(Ching, Lien, &amp; Chao, 2014; Smeulders, Crama, &amp; Spieksma,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Similarly, comparative fit index (CFI) </w:t>
      </w:r>
      <w:r w:rsidRPr="003E2FB8">
        <w:rPr>
          <w:rFonts w:asciiTheme="majorBidi" w:hAnsiTheme="majorBidi" w:cstheme="majorBidi"/>
          <w:sz w:val="24"/>
          <w:szCs w:val="24"/>
        </w:rPr>
        <w:t xml:space="preserve">is a normed fit index </w:t>
      </w:r>
      <w:r>
        <w:rPr>
          <w:rFonts w:asciiTheme="majorBidi" w:hAnsiTheme="majorBidi" w:cstheme="majorBidi"/>
          <w:sz w:val="24"/>
          <w:szCs w:val="24"/>
        </w:rPr>
        <w:t>that also</w:t>
      </w:r>
      <w:r w:rsidRPr="003E2FB8">
        <w:rPr>
          <w:rFonts w:asciiTheme="majorBidi" w:hAnsiTheme="majorBidi" w:cstheme="majorBidi"/>
          <w:sz w:val="24"/>
          <w:szCs w:val="24"/>
        </w:rPr>
        <w:t xml:space="preserve"> it ranges between 0 and 1</w:t>
      </w:r>
      <w:r>
        <w:rPr>
          <w:rFonts w:asciiTheme="majorBidi" w:hAnsiTheme="majorBidi" w:cstheme="majorBidi"/>
          <w:sz w:val="24"/>
          <w:szCs w:val="24"/>
        </w:rPr>
        <w:t xml:space="preserve"> </w:t>
      </w:r>
      <w:r w:rsidRPr="003E2FB8">
        <w:rPr>
          <w:rFonts w:asciiTheme="majorBidi" w:hAnsiTheme="majorBidi" w:cstheme="majorBidi"/>
          <w:sz w:val="24"/>
          <w:szCs w:val="24"/>
        </w:rPr>
        <w:t>with higher values indicating a better fit</w:t>
      </w:r>
      <w:r>
        <w:rPr>
          <w:rFonts w:asciiTheme="majorBidi" w:hAnsiTheme="majorBidi" w:cstheme="majorBidi"/>
          <w:sz w:val="24"/>
          <w:szCs w:val="24"/>
        </w:rPr>
        <w:t xml:space="preserve"> </w:t>
      </w:r>
      <w:sdt>
        <w:sdtPr>
          <w:rPr>
            <w:rFonts w:asciiTheme="majorBidi" w:hAnsiTheme="majorBidi" w:cstheme="majorBidi"/>
            <w:sz w:val="24"/>
            <w:szCs w:val="24"/>
          </w:rPr>
          <w:id w:val="-2035725131"/>
          <w:citation/>
        </w:sdtPr>
        <w:sdtContent>
          <w:r>
            <w:rPr>
              <w:rFonts w:asciiTheme="majorBidi" w:hAnsiTheme="majorBidi" w:cstheme="majorBidi"/>
              <w:sz w:val="24"/>
              <w:szCs w:val="24"/>
            </w:rPr>
            <w:fldChar w:fldCharType="begin"/>
          </w:r>
          <w:r w:rsidR="00882F28">
            <w:rPr>
              <w:rFonts w:asciiTheme="majorBidi" w:hAnsiTheme="majorBidi" w:cstheme="majorBidi"/>
              <w:sz w:val="24"/>
              <w:szCs w:val="24"/>
            </w:rPr>
            <w:instrText xml:space="preserve">CITATION Shi19 \t  \l 2057 </w:instrText>
          </w:r>
          <w:r>
            <w:rPr>
              <w:rFonts w:asciiTheme="majorBidi" w:hAnsiTheme="majorBidi" w:cstheme="majorBidi"/>
              <w:sz w:val="24"/>
              <w:szCs w:val="24"/>
            </w:rPr>
            <w:fldChar w:fldCharType="separate"/>
          </w:r>
          <w:r w:rsidR="00882F28" w:rsidRPr="00882F28">
            <w:rPr>
              <w:rFonts w:asciiTheme="majorBidi" w:hAnsiTheme="majorBidi" w:cstheme="majorBidi"/>
              <w:noProof/>
              <w:sz w:val="24"/>
              <w:szCs w:val="24"/>
            </w:rPr>
            <w:t>( Shi, Lee, &amp; Maydeu-Olivares, 2019)</w:t>
          </w:r>
          <w:r>
            <w:rPr>
              <w:rFonts w:asciiTheme="majorBidi" w:hAnsiTheme="majorBidi" w:cstheme="majorBidi"/>
              <w:sz w:val="24"/>
              <w:szCs w:val="24"/>
            </w:rPr>
            <w:fldChar w:fldCharType="end"/>
          </w:r>
        </w:sdtContent>
      </w:sdt>
      <w:r>
        <w:rPr>
          <w:rFonts w:asciiTheme="majorBidi" w:hAnsiTheme="majorBidi" w:cstheme="majorBidi"/>
          <w:sz w:val="24"/>
          <w:szCs w:val="24"/>
        </w:rPr>
        <w:t>. Another index used to test the model was the normed fit index (NFI) which is another normed fit index that ranges from 0 to 1 with 1 indicates a perfect fit</w:t>
      </w:r>
      <w:sdt>
        <w:sdtPr>
          <w:rPr>
            <w:rFonts w:asciiTheme="majorBidi" w:hAnsiTheme="majorBidi" w:cstheme="majorBidi"/>
            <w:sz w:val="24"/>
            <w:szCs w:val="24"/>
          </w:rPr>
          <w:id w:val="189939782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Tho18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(Thomas &amp; S,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One non-normed fit index that was applied to test the model is the </w:t>
      </w:r>
      <w:r w:rsidRPr="003D1026">
        <w:rPr>
          <w:rFonts w:asciiTheme="majorBidi" w:hAnsiTheme="majorBidi" w:cstheme="majorBidi"/>
          <w:sz w:val="24"/>
          <w:szCs w:val="24"/>
        </w:rPr>
        <w:t>Turker-Lewis Index (TLI)</w:t>
      </w:r>
      <w:r>
        <w:rPr>
          <w:rFonts w:asciiTheme="majorBidi" w:hAnsiTheme="majorBidi" w:cstheme="majorBidi"/>
          <w:sz w:val="24"/>
          <w:szCs w:val="24"/>
        </w:rPr>
        <w:t xml:space="preserve"> as it is </w:t>
      </w:r>
      <w:r w:rsidRPr="008E5488">
        <w:rPr>
          <w:rFonts w:asciiTheme="majorBidi" w:hAnsiTheme="majorBidi" w:cstheme="majorBidi"/>
          <w:sz w:val="24"/>
          <w:szCs w:val="24"/>
        </w:rPr>
        <w:t xml:space="preserve">widely used in linear mean and covariance structure </w:t>
      </w:r>
      <w:r w:rsidR="009368D8" w:rsidRPr="008E5488">
        <w:rPr>
          <w:rFonts w:asciiTheme="majorBidi" w:hAnsiTheme="majorBidi" w:cstheme="majorBidi"/>
          <w:sz w:val="24"/>
          <w:szCs w:val="24"/>
        </w:rPr>
        <w:t>modelling</w:t>
      </w:r>
      <w:sdt>
        <w:sdtPr>
          <w:rPr>
            <w:rFonts w:asciiTheme="majorBidi" w:hAnsiTheme="majorBidi" w:cstheme="majorBidi"/>
            <w:sz w:val="24"/>
            <w:szCs w:val="24"/>
          </w:rPr>
          <w:id w:val="206652316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Cai21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(Cai &amp; Chung,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Finally, the last applied index was the </w:t>
      </w:r>
      <w:r w:rsidR="00087F49">
        <w:rPr>
          <w:rFonts w:asciiTheme="majorBidi" w:hAnsiTheme="majorBidi" w:cstheme="majorBidi"/>
          <w:sz w:val="24"/>
          <w:szCs w:val="24"/>
        </w:rPr>
        <w:t>r</w:t>
      </w:r>
      <w:r w:rsidRPr="003D1026">
        <w:rPr>
          <w:rFonts w:asciiTheme="majorBidi" w:hAnsiTheme="majorBidi" w:cstheme="majorBidi"/>
          <w:sz w:val="24"/>
          <w:szCs w:val="24"/>
        </w:rPr>
        <w:t>oot mean square error</w:t>
      </w:r>
      <w:r>
        <w:rPr>
          <w:rFonts w:asciiTheme="majorBidi" w:hAnsiTheme="majorBidi" w:cstheme="majorBidi"/>
          <w:sz w:val="24"/>
          <w:szCs w:val="24"/>
        </w:rPr>
        <w:t xml:space="preserve"> </w:t>
      </w:r>
      <w:r w:rsidRPr="003D1026">
        <w:rPr>
          <w:rFonts w:asciiTheme="majorBidi" w:hAnsiTheme="majorBidi" w:cstheme="majorBidi"/>
          <w:sz w:val="24"/>
          <w:szCs w:val="24"/>
        </w:rPr>
        <w:t>(RMESA)</w:t>
      </w:r>
      <w:r>
        <w:rPr>
          <w:rFonts w:asciiTheme="majorBidi" w:hAnsiTheme="majorBidi" w:cstheme="majorBidi"/>
          <w:sz w:val="24"/>
          <w:szCs w:val="24"/>
        </w:rPr>
        <w:t>.</w:t>
      </w:r>
      <w:r w:rsidRPr="003E2FB8">
        <w:rPr>
          <w:rFonts w:asciiTheme="majorBidi" w:hAnsiTheme="majorBidi" w:cstheme="majorBidi"/>
          <w:sz w:val="24"/>
          <w:szCs w:val="24"/>
        </w:rPr>
        <w:t xml:space="preserve"> RMSEA </w:t>
      </w:r>
      <w:r>
        <w:rPr>
          <w:rFonts w:asciiTheme="majorBidi" w:hAnsiTheme="majorBidi" w:cstheme="majorBidi"/>
          <w:sz w:val="24"/>
          <w:szCs w:val="24"/>
        </w:rPr>
        <w:t xml:space="preserve">is an absolute fit index </w:t>
      </w:r>
      <w:r w:rsidRPr="003E2FB8">
        <w:rPr>
          <w:rFonts w:asciiTheme="majorBidi" w:hAnsiTheme="majorBidi" w:cstheme="majorBidi"/>
          <w:sz w:val="24"/>
          <w:szCs w:val="24"/>
        </w:rPr>
        <w:t>measures how far a proposed model deviates from the ideal model</w:t>
      </w:r>
      <w:sdt>
        <w:sdtPr>
          <w:rPr>
            <w:rFonts w:asciiTheme="majorBidi" w:hAnsiTheme="majorBidi" w:cstheme="majorBidi"/>
            <w:sz w:val="24"/>
            <w:szCs w:val="24"/>
          </w:rPr>
          <w:id w:val="-18320658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Xia19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(Xia &amp; Yang, 2019)</w:t>
          </w:r>
          <w:r>
            <w:rPr>
              <w:rFonts w:asciiTheme="majorBidi" w:hAnsiTheme="majorBidi" w:cstheme="majorBidi"/>
              <w:sz w:val="24"/>
              <w:szCs w:val="24"/>
            </w:rPr>
            <w:fldChar w:fldCharType="end"/>
          </w:r>
        </w:sdtContent>
      </w:sdt>
      <w:r w:rsidRPr="003E2FB8">
        <w:rPr>
          <w:rFonts w:asciiTheme="majorBidi" w:hAnsiTheme="majorBidi" w:cstheme="majorBidi"/>
          <w:sz w:val="24"/>
          <w:szCs w:val="24"/>
        </w:rPr>
        <w:t>.</w:t>
      </w:r>
      <w:r w:rsidR="0004301F">
        <w:rPr>
          <w:rFonts w:asciiTheme="majorBidi" w:hAnsiTheme="majorBidi" w:cstheme="majorBidi"/>
          <w:sz w:val="24"/>
          <w:szCs w:val="24"/>
        </w:rPr>
        <w:t xml:space="preserve"> </w:t>
      </w:r>
      <w:r w:rsidR="00F5085B">
        <w:rPr>
          <w:rFonts w:asciiTheme="majorBidi" w:hAnsiTheme="majorBidi" w:cstheme="majorBidi"/>
          <w:sz w:val="24"/>
          <w:szCs w:val="24"/>
        </w:rPr>
        <w:t xml:space="preserve">The below table summarises the results of the model fit indices and the acceptable range of results. </w:t>
      </w:r>
      <w:r w:rsidR="0004301F">
        <w:rPr>
          <w:rFonts w:asciiTheme="majorBidi" w:hAnsiTheme="majorBidi" w:cstheme="majorBidi"/>
          <w:sz w:val="24"/>
          <w:szCs w:val="24"/>
        </w:rPr>
        <w:t xml:space="preserve">The raw results of some of the indices are included in appendix </w:t>
      </w:r>
      <w:r w:rsidR="009B788D">
        <w:rPr>
          <w:rFonts w:asciiTheme="majorBidi" w:hAnsiTheme="majorBidi" w:cstheme="majorBidi"/>
          <w:sz w:val="24"/>
          <w:szCs w:val="24"/>
        </w:rPr>
        <w:t>H</w:t>
      </w:r>
      <w:r w:rsidR="0004301F">
        <w:rPr>
          <w:rFonts w:asciiTheme="majorBidi" w:hAnsiTheme="majorBidi" w:cstheme="majorBidi"/>
          <w:sz w:val="24"/>
          <w:szCs w:val="24"/>
        </w:rPr>
        <w:t xml:space="preserve">. </w:t>
      </w:r>
    </w:p>
    <w:tbl>
      <w:tblPr>
        <w:tblStyle w:val="TableGrid"/>
        <w:tblW w:w="8080" w:type="dxa"/>
        <w:tblInd w:w="279" w:type="dxa"/>
        <w:tblLook w:val="04A0" w:firstRow="1" w:lastRow="0" w:firstColumn="1" w:lastColumn="0" w:noHBand="0" w:noVBand="1"/>
      </w:tblPr>
      <w:tblGrid>
        <w:gridCol w:w="3402"/>
        <w:gridCol w:w="4678"/>
      </w:tblGrid>
      <w:tr w:rsidR="00D65FF6" w:rsidRPr="00D53E24" w14:paraId="74492FA9" w14:textId="77777777" w:rsidTr="00864BD9">
        <w:trPr>
          <w:trHeight w:val="114"/>
        </w:trPr>
        <w:tc>
          <w:tcPr>
            <w:tcW w:w="3402" w:type="dxa"/>
          </w:tcPr>
          <w:p w14:paraId="2345CCD1"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 xml:space="preserve">Applied Index  </w:t>
            </w:r>
          </w:p>
        </w:tc>
        <w:tc>
          <w:tcPr>
            <w:tcW w:w="4678" w:type="dxa"/>
          </w:tcPr>
          <w:p w14:paraId="47CF3C4D"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 xml:space="preserve">Measure </w:t>
            </w:r>
          </w:p>
        </w:tc>
      </w:tr>
      <w:tr w:rsidR="00D65FF6" w:rsidRPr="00D53E24" w14:paraId="6ACD0A41" w14:textId="77777777" w:rsidTr="00864BD9">
        <w:trPr>
          <w:trHeight w:val="259"/>
        </w:trPr>
        <w:tc>
          <w:tcPr>
            <w:tcW w:w="3402" w:type="dxa"/>
          </w:tcPr>
          <w:p w14:paraId="36B6507E"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noProof/>
                <w:sz w:val="20"/>
                <w:szCs w:val="20"/>
              </w:rPr>
              <w:t>Incremental fit index (IFI)</w:t>
            </w:r>
          </w:p>
        </w:tc>
        <w:tc>
          <w:tcPr>
            <w:tcW w:w="4678" w:type="dxa"/>
          </w:tcPr>
          <w:p w14:paraId="0B3AD369"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Varies from 0-1 with 1 being ideal</w:t>
            </w:r>
          </w:p>
        </w:tc>
      </w:tr>
      <w:tr w:rsidR="00D65FF6" w:rsidRPr="00D53E24" w14:paraId="1EBB131F" w14:textId="77777777" w:rsidTr="00864BD9">
        <w:trPr>
          <w:trHeight w:val="178"/>
        </w:trPr>
        <w:tc>
          <w:tcPr>
            <w:tcW w:w="3402" w:type="dxa"/>
          </w:tcPr>
          <w:p w14:paraId="570F58C5"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Relative fit index</w:t>
            </w:r>
          </w:p>
        </w:tc>
        <w:tc>
          <w:tcPr>
            <w:tcW w:w="4678" w:type="dxa"/>
          </w:tcPr>
          <w:p w14:paraId="02CD72D5"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Varies from 0-1 with 1 being a perfect fit</w:t>
            </w:r>
          </w:p>
        </w:tc>
      </w:tr>
      <w:tr w:rsidR="00D65FF6" w:rsidRPr="00D53E24" w14:paraId="6689E3F4" w14:textId="77777777" w:rsidTr="00864BD9">
        <w:trPr>
          <w:trHeight w:val="81"/>
        </w:trPr>
        <w:tc>
          <w:tcPr>
            <w:tcW w:w="3402" w:type="dxa"/>
          </w:tcPr>
          <w:p w14:paraId="09D95985"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Comparative fit index (CFI)</w:t>
            </w:r>
          </w:p>
        </w:tc>
        <w:tc>
          <w:tcPr>
            <w:tcW w:w="4678" w:type="dxa"/>
          </w:tcPr>
          <w:p w14:paraId="724BF1D8" w14:textId="77777777" w:rsidR="00D65FF6" w:rsidRPr="00D53E24" w:rsidRDefault="00D65FF6" w:rsidP="006B147A">
            <w:pPr>
              <w:autoSpaceDE w:val="0"/>
              <w:autoSpaceDN w:val="0"/>
              <w:adjustRightInd w:val="0"/>
              <w:rPr>
                <w:rFonts w:asciiTheme="majorBidi" w:hAnsiTheme="majorBidi" w:cstheme="majorBidi"/>
                <w:sz w:val="20"/>
                <w:szCs w:val="20"/>
              </w:rPr>
            </w:pPr>
            <w:r w:rsidRPr="00D53E24">
              <w:rPr>
                <w:rFonts w:asciiTheme="majorBidi" w:hAnsiTheme="majorBidi" w:cstheme="majorBidi"/>
                <w:sz w:val="20"/>
                <w:szCs w:val="20"/>
              </w:rPr>
              <w:t>If CFI close to 1 indicates a very good fit.</w:t>
            </w:r>
          </w:p>
        </w:tc>
      </w:tr>
      <w:tr w:rsidR="00D65FF6" w:rsidRPr="00D53E24" w14:paraId="120CF114" w14:textId="77777777" w:rsidTr="00864BD9">
        <w:trPr>
          <w:trHeight w:val="113"/>
        </w:trPr>
        <w:tc>
          <w:tcPr>
            <w:tcW w:w="3402" w:type="dxa"/>
          </w:tcPr>
          <w:p w14:paraId="52FAE47A" w14:textId="77777777" w:rsidR="00D65FF6" w:rsidRPr="00D53E24" w:rsidRDefault="00D65FF6" w:rsidP="006B147A">
            <w:pPr>
              <w:autoSpaceDE w:val="0"/>
              <w:autoSpaceDN w:val="0"/>
              <w:adjustRightInd w:val="0"/>
              <w:rPr>
                <w:rFonts w:asciiTheme="majorBidi" w:hAnsiTheme="majorBidi" w:cstheme="majorBidi"/>
                <w:sz w:val="20"/>
                <w:szCs w:val="20"/>
              </w:rPr>
            </w:pPr>
            <w:r w:rsidRPr="00D53E24">
              <w:rPr>
                <w:rFonts w:asciiTheme="majorBidi" w:hAnsiTheme="majorBidi" w:cstheme="majorBidi"/>
                <w:sz w:val="20"/>
                <w:szCs w:val="20"/>
              </w:rPr>
              <w:t>Normed fit index (NFI)</w:t>
            </w:r>
          </w:p>
        </w:tc>
        <w:tc>
          <w:tcPr>
            <w:tcW w:w="4678" w:type="dxa"/>
          </w:tcPr>
          <w:p w14:paraId="7E1BF82E"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Ranges from 0 – 1 with 1 being a perfect fit</w:t>
            </w:r>
          </w:p>
        </w:tc>
      </w:tr>
      <w:tr w:rsidR="00D65FF6" w:rsidRPr="00D53E24" w14:paraId="280FE607" w14:textId="77777777" w:rsidTr="00864BD9">
        <w:trPr>
          <w:trHeight w:val="249"/>
        </w:trPr>
        <w:tc>
          <w:tcPr>
            <w:tcW w:w="3402" w:type="dxa"/>
          </w:tcPr>
          <w:p w14:paraId="15894331"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Turker-Lewis Index (TLI)</w:t>
            </w:r>
          </w:p>
        </w:tc>
        <w:tc>
          <w:tcPr>
            <w:tcW w:w="4678" w:type="dxa"/>
          </w:tcPr>
          <w:p w14:paraId="4DE367BF"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Ranges from 0 – 1 with 1 being a perfect fit</w:t>
            </w:r>
          </w:p>
        </w:tc>
      </w:tr>
      <w:tr w:rsidR="00D65FF6" w:rsidRPr="00D53E24" w14:paraId="2BBF859A" w14:textId="77777777" w:rsidTr="00864BD9">
        <w:trPr>
          <w:trHeight w:val="191"/>
        </w:trPr>
        <w:tc>
          <w:tcPr>
            <w:tcW w:w="3402" w:type="dxa"/>
          </w:tcPr>
          <w:p w14:paraId="04F853A4" w14:textId="77777777" w:rsidR="00D65FF6" w:rsidRPr="00D53E24" w:rsidRDefault="00D65FF6" w:rsidP="006B147A">
            <w:pPr>
              <w:jc w:val="both"/>
              <w:rPr>
                <w:rFonts w:asciiTheme="majorBidi" w:hAnsiTheme="majorBidi" w:cstheme="majorBidi"/>
                <w:sz w:val="20"/>
                <w:szCs w:val="20"/>
              </w:rPr>
            </w:pPr>
            <w:r w:rsidRPr="00D53E24">
              <w:rPr>
                <w:rFonts w:asciiTheme="majorBidi" w:hAnsiTheme="majorBidi" w:cstheme="majorBidi"/>
                <w:sz w:val="20"/>
                <w:szCs w:val="20"/>
              </w:rPr>
              <w:t>Root mean square error (RMESA)</w:t>
            </w:r>
          </w:p>
        </w:tc>
        <w:tc>
          <w:tcPr>
            <w:tcW w:w="4678" w:type="dxa"/>
          </w:tcPr>
          <w:p w14:paraId="45AD7DCA" w14:textId="77777777" w:rsidR="00D65FF6" w:rsidRPr="00D53E24" w:rsidRDefault="00D65FF6" w:rsidP="00250620">
            <w:pPr>
              <w:keepNext/>
              <w:autoSpaceDE w:val="0"/>
              <w:autoSpaceDN w:val="0"/>
              <w:adjustRightInd w:val="0"/>
              <w:rPr>
                <w:rFonts w:asciiTheme="majorBidi" w:hAnsiTheme="majorBidi" w:cstheme="majorBidi"/>
                <w:sz w:val="20"/>
                <w:szCs w:val="20"/>
              </w:rPr>
            </w:pPr>
            <w:r w:rsidRPr="00D53E24">
              <w:rPr>
                <w:rFonts w:asciiTheme="majorBidi" w:hAnsiTheme="majorBidi" w:cstheme="majorBidi"/>
                <w:sz w:val="20"/>
                <w:szCs w:val="20"/>
              </w:rPr>
              <w:t>The model is good fit with RMESA less than 0.05</w:t>
            </w:r>
          </w:p>
        </w:tc>
      </w:tr>
    </w:tbl>
    <w:p w14:paraId="77F74600" w14:textId="70A92DE0" w:rsidR="00250620" w:rsidRDefault="00250620" w:rsidP="00BE04D1">
      <w:pPr>
        <w:tabs>
          <w:tab w:val="left" w:pos="630"/>
        </w:tabs>
        <w:spacing w:line="480" w:lineRule="auto"/>
        <w:jc w:val="both"/>
        <w:rPr>
          <w:i/>
          <w:iCs/>
          <w:color w:val="000000" w:themeColor="text2"/>
          <w:sz w:val="18"/>
          <w:szCs w:val="18"/>
        </w:rPr>
      </w:pPr>
      <w:r w:rsidRPr="00D53E24">
        <w:rPr>
          <w:i/>
          <w:iCs/>
          <w:color w:val="000000" w:themeColor="text2"/>
          <w:sz w:val="18"/>
          <w:szCs w:val="18"/>
        </w:rPr>
        <w:t>Table 3</w:t>
      </w:r>
      <w:r w:rsidR="00864BD9">
        <w:rPr>
          <w:i/>
          <w:iCs/>
          <w:color w:val="000000" w:themeColor="text2"/>
          <w:sz w:val="18"/>
          <w:szCs w:val="18"/>
        </w:rPr>
        <w:t>6</w:t>
      </w:r>
      <w:r w:rsidRPr="00D53E24">
        <w:rPr>
          <w:i/>
          <w:iCs/>
          <w:color w:val="000000" w:themeColor="text2"/>
          <w:sz w:val="18"/>
          <w:szCs w:val="18"/>
        </w:rPr>
        <w:t xml:space="preserve"> Summary of the model fit indices applied to test the study’s research model</w:t>
      </w:r>
    </w:p>
    <w:p w14:paraId="42AF1C74" w14:textId="0FAFCBE5" w:rsidR="00D65FF6" w:rsidRPr="008D75D3" w:rsidRDefault="00474582" w:rsidP="00BE04D1">
      <w:pPr>
        <w:tabs>
          <w:tab w:val="left" w:pos="630"/>
        </w:tabs>
        <w:spacing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D65FF6" w:rsidRPr="008D75D3">
        <w:rPr>
          <w:rFonts w:asciiTheme="majorBidi" w:hAnsiTheme="majorBidi" w:cstheme="majorBidi"/>
          <w:color w:val="000000" w:themeColor="text1"/>
          <w:sz w:val="24"/>
          <w:szCs w:val="24"/>
        </w:rPr>
        <w:t>There are several main methods by which structural models may be estimated</w:t>
      </w:r>
      <w:r w:rsidR="00D65FF6">
        <w:rPr>
          <w:rFonts w:asciiTheme="majorBidi" w:hAnsiTheme="majorBidi" w:cstheme="majorBidi"/>
          <w:color w:val="000000" w:themeColor="text1"/>
          <w:sz w:val="24"/>
          <w:szCs w:val="24"/>
        </w:rPr>
        <w:t xml:space="preserve"> such as</w:t>
      </w:r>
      <w:r w:rsidR="00D65FF6" w:rsidRPr="008D75D3">
        <w:rPr>
          <w:rFonts w:asciiTheme="majorBidi" w:hAnsiTheme="majorBidi" w:cstheme="majorBidi"/>
          <w:color w:val="000000" w:themeColor="text1"/>
          <w:sz w:val="24"/>
          <w:szCs w:val="24"/>
        </w:rPr>
        <w:t xml:space="preserve"> maximum likelihood</w:t>
      </w:r>
      <w:r>
        <w:rPr>
          <w:rFonts w:asciiTheme="majorBidi" w:hAnsiTheme="majorBidi" w:cstheme="majorBidi"/>
          <w:color w:val="000000" w:themeColor="text1"/>
          <w:sz w:val="24"/>
          <w:szCs w:val="24"/>
        </w:rPr>
        <w:t xml:space="preserve"> </w:t>
      </w:r>
      <w:r w:rsidR="00D65FF6" w:rsidRPr="008D75D3">
        <w:rPr>
          <w:rFonts w:asciiTheme="majorBidi" w:hAnsiTheme="majorBidi" w:cstheme="majorBidi"/>
          <w:color w:val="000000" w:themeColor="text1"/>
          <w:sz w:val="24"/>
          <w:szCs w:val="24"/>
        </w:rPr>
        <w:t>(ML)</w:t>
      </w:r>
      <w:r>
        <w:rPr>
          <w:rFonts w:asciiTheme="majorBidi" w:hAnsiTheme="majorBidi" w:cstheme="majorBidi"/>
          <w:color w:val="000000" w:themeColor="text1"/>
          <w:sz w:val="24"/>
          <w:szCs w:val="24"/>
        </w:rPr>
        <w:t xml:space="preserve"> </w:t>
      </w:r>
      <w:r w:rsidR="00D65FF6" w:rsidRPr="008D75D3">
        <w:rPr>
          <w:rFonts w:asciiTheme="majorBidi" w:hAnsiTheme="majorBidi" w:cstheme="majorBidi"/>
          <w:color w:val="000000" w:themeColor="text1"/>
          <w:sz w:val="24"/>
          <w:szCs w:val="24"/>
        </w:rPr>
        <w:t>estimation, weighted least squares (WLS)</w:t>
      </w:r>
      <w:r w:rsidR="00BE04D1">
        <w:rPr>
          <w:rFonts w:asciiTheme="majorBidi" w:hAnsiTheme="majorBidi" w:cstheme="majorBidi"/>
          <w:color w:val="000000" w:themeColor="text1"/>
          <w:sz w:val="24"/>
          <w:szCs w:val="24"/>
        </w:rPr>
        <w:t xml:space="preserve"> </w:t>
      </w:r>
      <w:r w:rsidR="00D65FF6" w:rsidRPr="008D75D3">
        <w:rPr>
          <w:rFonts w:asciiTheme="majorBidi" w:hAnsiTheme="majorBidi" w:cstheme="majorBidi"/>
          <w:color w:val="000000" w:themeColor="text1"/>
          <w:sz w:val="24"/>
          <w:szCs w:val="24"/>
        </w:rPr>
        <w:t>or asymptotically distribution free (ADF) methods</w:t>
      </w:r>
      <w:sdt>
        <w:sdtPr>
          <w:rPr>
            <w:rFonts w:asciiTheme="majorBidi" w:hAnsiTheme="majorBidi" w:cstheme="majorBidi"/>
            <w:color w:val="000000" w:themeColor="text1"/>
            <w:sz w:val="24"/>
            <w:szCs w:val="24"/>
          </w:rPr>
          <w:id w:val="426232032"/>
          <w:citation/>
        </w:sdtPr>
        <w:sdtContent>
          <w:r w:rsidR="009A3043">
            <w:rPr>
              <w:rFonts w:asciiTheme="majorBidi" w:hAnsiTheme="majorBidi" w:cstheme="majorBidi"/>
              <w:color w:val="000000" w:themeColor="text1"/>
              <w:sz w:val="24"/>
              <w:szCs w:val="24"/>
            </w:rPr>
            <w:fldChar w:fldCharType="begin"/>
          </w:r>
          <w:r w:rsidR="009A3043">
            <w:rPr>
              <w:rFonts w:asciiTheme="majorBidi" w:hAnsiTheme="majorBidi" w:cstheme="majorBidi"/>
              <w:color w:val="000000" w:themeColor="text1"/>
              <w:sz w:val="24"/>
              <w:szCs w:val="24"/>
            </w:rPr>
            <w:instrText xml:space="preserve">CITATION DuH21 \t  \l 2057 </w:instrText>
          </w:r>
          <w:r w:rsidR="009A3043">
            <w:rPr>
              <w:rFonts w:asciiTheme="majorBidi" w:hAnsiTheme="majorBidi" w:cstheme="majorBidi"/>
              <w:color w:val="000000" w:themeColor="text1"/>
              <w:sz w:val="24"/>
              <w:szCs w:val="24"/>
            </w:rPr>
            <w:fldChar w:fldCharType="separate"/>
          </w:r>
          <w:r w:rsidR="009A3043">
            <w:rPr>
              <w:rFonts w:asciiTheme="majorBidi" w:hAnsiTheme="majorBidi" w:cstheme="majorBidi"/>
              <w:noProof/>
              <w:color w:val="000000" w:themeColor="text1"/>
              <w:sz w:val="24"/>
              <w:szCs w:val="24"/>
            </w:rPr>
            <w:t xml:space="preserve"> </w:t>
          </w:r>
          <w:r w:rsidR="009A3043" w:rsidRPr="009A3043">
            <w:rPr>
              <w:rFonts w:asciiTheme="majorBidi" w:hAnsiTheme="majorBidi" w:cstheme="majorBidi"/>
              <w:noProof/>
              <w:color w:val="000000" w:themeColor="text1"/>
              <w:sz w:val="24"/>
              <w:szCs w:val="24"/>
            </w:rPr>
            <w:t>(Du &amp; Bentler, 2021)</w:t>
          </w:r>
          <w:r w:rsidR="009A3043">
            <w:rPr>
              <w:rFonts w:asciiTheme="majorBidi" w:hAnsiTheme="majorBidi" w:cstheme="majorBidi"/>
              <w:color w:val="000000" w:themeColor="text1"/>
              <w:sz w:val="24"/>
              <w:szCs w:val="24"/>
            </w:rPr>
            <w:fldChar w:fldCharType="end"/>
          </w:r>
        </w:sdtContent>
      </w:sdt>
      <w:r w:rsidR="00D65FF6" w:rsidRPr="008D75D3">
        <w:rPr>
          <w:rFonts w:asciiTheme="majorBidi" w:hAnsiTheme="majorBidi" w:cstheme="majorBidi"/>
          <w:color w:val="000000" w:themeColor="text1"/>
          <w:sz w:val="24"/>
          <w:szCs w:val="24"/>
        </w:rPr>
        <w:t xml:space="preserve">. </w:t>
      </w:r>
      <w:r w:rsidR="00D65FF6" w:rsidRPr="004B44B9">
        <w:rPr>
          <w:rFonts w:asciiTheme="majorBidi" w:hAnsiTheme="majorBidi" w:cstheme="majorBidi"/>
          <w:color w:val="000000" w:themeColor="text1"/>
          <w:sz w:val="24"/>
          <w:szCs w:val="24"/>
        </w:rPr>
        <w:t>For robustness, we estimate the model using maximum likely hood (ML) estimates and using distribution free (ADF) method in which the results would be the same, so we use the distribution-free method to avoid the non-normality of the data</w:t>
      </w:r>
      <w:sdt>
        <w:sdtPr>
          <w:rPr>
            <w:rFonts w:asciiTheme="majorBidi" w:hAnsiTheme="majorBidi" w:cstheme="majorBidi"/>
            <w:color w:val="000000" w:themeColor="text1"/>
            <w:sz w:val="24"/>
            <w:szCs w:val="24"/>
          </w:rPr>
          <w:id w:val="-161466857"/>
          <w:citation/>
        </w:sdtPr>
        <w:sdtContent>
          <w:r w:rsidR="00D65FF6" w:rsidRPr="004B44B9">
            <w:rPr>
              <w:rFonts w:asciiTheme="majorBidi" w:hAnsiTheme="majorBidi" w:cstheme="majorBidi"/>
              <w:color w:val="000000" w:themeColor="text1"/>
              <w:sz w:val="24"/>
              <w:szCs w:val="24"/>
            </w:rPr>
            <w:fldChar w:fldCharType="begin"/>
          </w:r>
          <w:r w:rsidR="00D65FF6" w:rsidRPr="004B44B9">
            <w:rPr>
              <w:rFonts w:asciiTheme="majorBidi" w:hAnsiTheme="majorBidi" w:cstheme="majorBidi"/>
              <w:color w:val="000000" w:themeColor="text1"/>
              <w:sz w:val="24"/>
              <w:szCs w:val="24"/>
            </w:rPr>
            <w:instrText xml:space="preserve"> CITATION DuH21 \l 2057 </w:instrText>
          </w:r>
          <w:r w:rsidR="00D65FF6" w:rsidRPr="004B44B9">
            <w:rPr>
              <w:rFonts w:asciiTheme="majorBidi" w:hAnsiTheme="majorBidi" w:cstheme="majorBidi"/>
              <w:color w:val="000000" w:themeColor="text1"/>
              <w:sz w:val="24"/>
              <w:szCs w:val="24"/>
            </w:rPr>
            <w:fldChar w:fldCharType="separate"/>
          </w:r>
          <w:r w:rsidR="00D65FF6" w:rsidRPr="004B44B9">
            <w:rPr>
              <w:rFonts w:asciiTheme="majorBidi" w:hAnsiTheme="majorBidi" w:cstheme="majorBidi"/>
              <w:noProof/>
              <w:color w:val="000000" w:themeColor="text1"/>
              <w:sz w:val="24"/>
              <w:szCs w:val="24"/>
            </w:rPr>
            <w:t xml:space="preserve"> (Du &amp; Bentler, 2021)</w:t>
          </w:r>
          <w:r w:rsidR="00D65FF6" w:rsidRPr="004B44B9">
            <w:rPr>
              <w:rFonts w:asciiTheme="majorBidi" w:hAnsiTheme="majorBidi" w:cstheme="majorBidi"/>
              <w:color w:val="000000" w:themeColor="text1"/>
              <w:sz w:val="24"/>
              <w:szCs w:val="24"/>
            </w:rPr>
            <w:fldChar w:fldCharType="end"/>
          </w:r>
        </w:sdtContent>
      </w:sdt>
      <w:r w:rsidR="00D65FF6" w:rsidRPr="004B44B9">
        <w:rPr>
          <w:rFonts w:asciiTheme="majorBidi" w:hAnsiTheme="majorBidi" w:cstheme="majorBidi"/>
          <w:color w:val="000000" w:themeColor="text1"/>
          <w:sz w:val="24"/>
          <w:szCs w:val="24"/>
        </w:rPr>
        <w:t>.</w:t>
      </w:r>
      <w:r w:rsidR="00D65FF6" w:rsidRPr="008D75D3">
        <w:rPr>
          <w:rFonts w:asciiTheme="majorBidi" w:hAnsiTheme="majorBidi" w:cstheme="majorBidi"/>
          <w:color w:val="000000" w:themeColor="text1"/>
          <w:sz w:val="24"/>
          <w:szCs w:val="24"/>
        </w:rPr>
        <w:t xml:space="preserve"> </w:t>
      </w:r>
      <w:bookmarkStart w:id="172" w:name="_Hlk149845730"/>
      <w:r w:rsidR="00D65FF6" w:rsidRPr="008D75D3">
        <w:rPr>
          <w:rFonts w:asciiTheme="majorBidi" w:hAnsiTheme="majorBidi" w:cstheme="majorBidi"/>
          <w:color w:val="000000" w:themeColor="text1"/>
          <w:sz w:val="24"/>
          <w:szCs w:val="24"/>
        </w:rPr>
        <w:t xml:space="preserve">The significance of the paths </w:t>
      </w:r>
      <w:r w:rsidR="00D65FF6">
        <w:rPr>
          <w:rFonts w:asciiTheme="majorBidi" w:hAnsiTheme="majorBidi" w:cstheme="majorBidi"/>
          <w:color w:val="000000" w:themeColor="text1"/>
          <w:sz w:val="24"/>
          <w:szCs w:val="24"/>
        </w:rPr>
        <w:t>is</w:t>
      </w:r>
      <w:r w:rsidR="00D65FF6" w:rsidRPr="008D75D3">
        <w:rPr>
          <w:rFonts w:asciiTheme="majorBidi" w:hAnsiTheme="majorBidi" w:cstheme="majorBidi"/>
          <w:color w:val="000000" w:themeColor="text1"/>
          <w:sz w:val="24"/>
          <w:szCs w:val="24"/>
        </w:rPr>
        <w:t xml:space="preserve"> determined according to the p-values while the paths effect is determined </w:t>
      </w:r>
      <w:r w:rsidR="009F4827" w:rsidRPr="008D75D3">
        <w:rPr>
          <w:rFonts w:asciiTheme="majorBidi" w:hAnsiTheme="majorBidi" w:cstheme="majorBidi"/>
          <w:color w:val="000000" w:themeColor="text1"/>
          <w:sz w:val="24"/>
          <w:szCs w:val="24"/>
        </w:rPr>
        <w:t>according to</w:t>
      </w:r>
      <w:r w:rsidR="00D65FF6" w:rsidRPr="008D75D3">
        <w:rPr>
          <w:rFonts w:asciiTheme="majorBidi" w:hAnsiTheme="majorBidi" w:cstheme="majorBidi"/>
          <w:color w:val="000000" w:themeColor="text1"/>
          <w:sz w:val="24"/>
          <w:szCs w:val="24"/>
        </w:rPr>
        <w:t xml:space="preserve"> the regression coefficient</w:t>
      </w:r>
      <w:sdt>
        <w:sdtPr>
          <w:rPr>
            <w:rFonts w:asciiTheme="majorBidi" w:hAnsiTheme="majorBidi" w:cstheme="majorBidi"/>
            <w:color w:val="000000" w:themeColor="text1"/>
            <w:sz w:val="24"/>
            <w:szCs w:val="24"/>
          </w:rPr>
          <w:id w:val="-1791276866"/>
          <w:citation/>
        </w:sdtPr>
        <w:sdtContent>
          <w:r w:rsidR="00D65FF6">
            <w:rPr>
              <w:rFonts w:asciiTheme="majorBidi" w:hAnsiTheme="majorBidi" w:cstheme="majorBidi"/>
              <w:color w:val="000000" w:themeColor="text1"/>
              <w:sz w:val="24"/>
              <w:szCs w:val="24"/>
            </w:rPr>
            <w:fldChar w:fldCharType="begin"/>
          </w:r>
          <w:r w:rsidR="00D65FF6">
            <w:rPr>
              <w:rFonts w:asciiTheme="majorBidi" w:hAnsiTheme="majorBidi" w:cstheme="majorBidi"/>
              <w:color w:val="000000" w:themeColor="text1"/>
              <w:sz w:val="24"/>
              <w:szCs w:val="24"/>
            </w:rPr>
            <w:instrText xml:space="preserve"> CITATION DuY21 \l 2057 </w:instrText>
          </w:r>
          <w:r w:rsidR="00D65FF6">
            <w:rPr>
              <w:rFonts w:asciiTheme="majorBidi" w:hAnsiTheme="majorBidi" w:cstheme="majorBidi"/>
              <w:color w:val="000000" w:themeColor="text1"/>
              <w:sz w:val="24"/>
              <w:szCs w:val="24"/>
            </w:rPr>
            <w:fldChar w:fldCharType="separate"/>
          </w:r>
          <w:r w:rsidR="00D65FF6">
            <w:rPr>
              <w:rFonts w:asciiTheme="majorBidi" w:hAnsiTheme="majorBidi" w:cstheme="majorBidi"/>
              <w:noProof/>
              <w:color w:val="000000" w:themeColor="text1"/>
              <w:sz w:val="24"/>
              <w:szCs w:val="24"/>
            </w:rPr>
            <w:t xml:space="preserve"> </w:t>
          </w:r>
          <w:r w:rsidR="00D65FF6" w:rsidRPr="009F6991">
            <w:rPr>
              <w:rFonts w:asciiTheme="majorBidi" w:hAnsiTheme="majorBidi" w:cstheme="majorBidi"/>
              <w:noProof/>
              <w:color w:val="000000" w:themeColor="text1"/>
              <w:sz w:val="24"/>
              <w:szCs w:val="24"/>
            </w:rPr>
            <w:t>(Du, Du, Liu, &amp; Yuan, 2021)</w:t>
          </w:r>
          <w:r w:rsidR="00D65FF6">
            <w:rPr>
              <w:rFonts w:asciiTheme="majorBidi" w:hAnsiTheme="majorBidi" w:cstheme="majorBidi"/>
              <w:color w:val="000000" w:themeColor="text1"/>
              <w:sz w:val="24"/>
              <w:szCs w:val="24"/>
            </w:rPr>
            <w:fldChar w:fldCharType="end"/>
          </w:r>
        </w:sdtContent>
      </w:sdt>
      <w:r w:rsidR="00D65FF6" w:rsidRPr="008D75D3">
        <w:rPr>
          <w:rFonts w:asciiTheme="majorBidi" w:hAnsiTheme="majorBidi" w:cstheme="majorBidi"/>
          <w:color w:val="000000" w:themeColor="text1"/>
          <w:sz w:val="24"/>
          <w:szCs w:val="24"/>
        </w:rPr>
        <w:t xml:space="preserve">. The software used for analysis </w:t>
      </w:r>
      <w:r w:rsidR="00D65FF6">
        <w:rPr>
          <w:rFonts w:asciiTheme="majorBidi" w:hAnsiTheme="majorBidi" w:cstheme="majorBidi"/>
          <w:color w:val="000000" w:themeColor="text1"/>
          <w:sz w:val="24"/>
          <w:szCs w:val="24"/>
        </w:rPr>
        <w:t xml:space="preserve">were </w:t>
      </w:r>
      <w:r w:rsidR="00D65FF6" w:rsidRPr="008D75D3">
        <w:rPr>
          <w:rFonts w:asciiTheme="majorBidi" w:hAnsiTheme="majorBidi" w:cstheme="majorBidi"/>
          <w:color w:val="000000" w:themeColor="text1"/>
          <w:sz w:val="24"/>
          <w:szCs w:val="24"/>
        </w:rPr>
        <w:t>SPSS</w:t>
      </w:r>
      <w:r w:rsidR="00D65FF6">
        <w:rPr>
          <w:rFonts w:asciiTheme="majorBidi" w:hAnsiTheme="majorBidi" w:cstheme="majorBidi"/>
          <w:color w:val="000000" w:themeColor="text1"/>
          <w:sz w:val="24"/>
          <w:szCs w:val="24"/>
        </w:rPr>
        <w:t xml:space="preserve">, </w:t>
      </w:r>
      <w:r w:rsidR="00D65FF6" w:rsidRPr="008D75D3">
        <w:rPr>
          <w:rFonts w:asciiTheme="majorBidi" w:hAnsiTheme="majorBidi" w:cstheme="majorBidi"/>
          <w:color w:val="000000" w:themeColor="text1"/>
          <w:sz w:val="24"/>
          <w:szCs w:val="24"/>
        </w:rPr>
        <w:t>v</w:t>
      </w:r>
      <w:r w:rsidR="00D65FF6">
        <w:rPr>
          <w:rFonts w:asciiTheme="majorBidi" w:hAnsiTheme="majorBidi" w:cstheme="majorBidi"/>
          <w:color w:val="000000" w:themeColor="text1"/>
          <w:sz w:val="24"/>
          <w:szCs w:val="24"/>
        </w:rPr>
        <w:t xml:space="preserve">ersion </w:t>
      </w:r>
      <w:r w:rsidR="00D65FF6" w:rsidRPr="008D75D3">
        <w:rPr>
          <w:rFonts w:asciiTheme="majorBidi" w:hAnsiTheme="majorBidi" w:cstheme="majorBidi"/>
          <w:color w:val="000000" w:themeColor="text1"/>
          <w:sz w:val="24"/>
          <w:szCs w:val="24"/>
        </w:rPr>
        <w:t>22</w:t>
      </w:r>
      <w:r w:rsidR="00D65FF6">
        <w:rPr>
          <w:rFonts w:asciiTheme="majorBidi" w:hAnsiTheme="majorBidi" w:cstheme="majorBidi"/>
          <w:color w:val="000000" w:themeColor="text1"/>
          <w:sz w:val="24"/>
          <w:szCs w:val="24"/>
        </w:rPr>
        <w:t>,</w:t>
      </w:r>
      <w:r w:rsidR="00D65FF6" w:rsidRPr="008D75D3">
        <w:rPr>
          <w:rFonts w:asciiTheme="majorBidi" w:hAnsiTheme="majorBidi" w:cstheme="majorBidi"/>
          <w:color w:val="000000" w:themeColor="text1"/>
          <w:sz w:val="24"/>
          <w:szCs w:val="24"/>
        </w:rPr>
        <w:t xml:space="preserve"> and AMOS. </w:t>
      </w:r>
      <w:bookmarkEnd w:id="172"/>
      <w:r w:rsidR="00D65FF6" w:rsidRPr="008D75D3">
        <w:rPr>
          <w:rFonts w:asciiTheme="majorBidi" w:hAnsiTheme="majorBidi" w:cstheme="majorBidi"/>
          <w:color w:val="000000" w:themeColor="text1"/>
          <w:sz w:val="24"/>
          <w:szCs w:val="24"/>
        </w:rPr>
        <w:t>The maximum number of iterations in Amos is 500 and the tolerance is 0.001</w:t>
      </w:r>
      <w:sdt>
        <w:sdtPr>
          <w:rPr>
            <w:rFonts w:asciiTheme="majorBidi" w:hAnsiTheme="majorBidi" w:cstheme="majorBidi"/>
            <w:color w:val="000000" w:themeColor="text1"/>
            <w:sz w:val="24"/>
            <w:szCs w:val="24"/>
          </w:rPr>
          <w:id w:val="793330324"/>
          <w:citation/>
        </w:sdtPr>
        <w:sdtContent>
          <w:r w:rsidR="0079567D">
            <w:rPr>
              <w:rFonts w:asciiTheme="majorBidi" w:hAnsiTheme="majorBidi" w:cstheme="majorBidi"/>
              <w:color w:val="000000" w:themeColor="text1"/>
              <w:sz w:val="24"/>
              <w:szCs w:val="24"/>
            </w:rPr>
            <w:fldChar w:fldCharType="begin"/>
          </w:r>
          <w:r w:rsidR="0079567D">
            <w:rPr>
              <w:rFonts w:asciiTheme="majorBidi" w:hAnsiTheme="majorBidi" w:cstheme="majorBidi"/>
              <w:color w:val="000000" w:themeColor="text1"/>
              <w:sz w:val="24"/>
              <w:szCs w:val="24"/>
            </w:rPr>
            <w:instrText xml:space="preserve"> CITATION Cho22 \l 2057 </w:instrText>
          </w:r>
          <w:r w:rsidR="0079567D">
            <w:rPr>
              <w:rFonts w:asciiTheme="majorBidi" w:hAnsiTheme="majorBidi" w:cstheme="majorBidi"/>
              <w:color w:val="000000" w:themeColor="text1"/>
              <w:sz w:val="24"/>
              <w:szCs w:val="24"/>
            </w:rPr>
            <w:fldChar w:fldCharType="separate"/>
          </w:r>
          <w:r w:rsidR="0079567D">
            <w:rPr>
              <w:rFonts w:asciiTheme="majorBidi" w:hAnsiTheme="majorBidi" w:cstheme="majorBidi"/>
              <w:noProof/>
              <w:color w:val="000000" w:themeColor="text1"/>
              <w:sz w:val="24"/>
              <w:szCs w:val="24"/>
            </w:rPr>
            <w:t xml:space="preserve"> </w:t>
          </w:r>
          <w:r w:rsidR="0079567D" w:rsidRPr="0079567D">
            <w:rPr>
              <w:rFonts w:asciiTheme="majorBidi" w:hAnsiTheme="majorBidi" w:cstheme="majorBidi"/>
              <w:noProof/>
              <w:color w:val="000000" w:themeColor="text1"/>
              <w:sz w:val="24"/>
              <w:szCs w:val="24"/>
            </w:rPr>
            <w:t>(Cho M. , 2022)</w:t>
          </w:r>
          <w:r w:rsidR="0079567D">
            <w:rPr>
              <w:rFonts w:asciiTheme="majorBidi" w:hAnsiTheme="majorBidi" w:cstheme="majorBidi"/>
              <w:color w:val="000000" w:themeColor="text1"/>
              <w:sz w:val="24"/>
              <w:szCs w:val="24"/>
            </w:rPr>
            <w:fldChar w:fldCharType="end"/>
          </w:r>
        </w:sdtContent>
      </w:sdt>
      <w:r w:rsidR="00D65FF6" w:rsidRPr="008D75D3">
        <w:rPr>
          <w:rFonts w:asciiTheme="majorBidi" w:hAnsiTheme="majorBidi" w:cstheme="majorBidi"/>
          <w:color w:val="000000" w:themeColor="text1"/>
          <w:sz w:val="24"/>
          <w:szCs w:val="24"/>
        </w:rPr>
        <w:t xml:space="preserve">. </w:t>
      </w:r>
      <w:r w:rsidR="00D65FF6">
        <w:rPr>
          <w:rFonts w:asciiTheme="majorBidi" w:hAnsiTheme="majorBidi" w:cstheme="majorBidi"/>
          <w:color w:val="000000" w:themeColor="text1"/>
          <w:sz w:val="24"/>
          <w:szCs w:val="24"/>
        </w:rPr>
        <w:t>Based on that, I w</w:t>
      </w:r>
      <w:r w:rsidR="009F4827">
        <w:rPr>
          <w:rFonts w:asciiTheme="majorBidi" w:hAnsiTheme="majorBidi" w:cstheme="majorBidi"/>
          <w:color w:val="000000" w:themeColor="text1"/>
          <w:sz w:val="24"/>
          <w:szCs w:val="24"/>
        </w:rPr>
        <w:t>as</w:t>
      </w:r>
      <w:r w:rsidR="00D65FF6">
        <w:rPr>
          <w:rFonts w:asciiTheme="majorBidi" w:hAnsiTheme="majorBidi" w:cstheme="majorBidi"/>
          <w:color w:val="000000" w:themeColor="text1"/>
          <w:sz w:val="24"/>
          <w:szCs w:val="24"/>
        </w:rPr>
        <w:t xml:space="preserve"> able to identify</w:t>
      </w:r>
      <w:r w:rsidR="00D65FF6" w:rsidRPr="008D75D3">
        <w:rPr>
          <w:rFonts w:asciiTheme="majorBidi" w:hAnsiTheme="majorBidi" w:cstheme="majorBidi"/>
          <w:color w:val="000000" w:themeColor="text1"/>
          <w:sz w:val="24"/>
          <w:szCs w:val="24"/>
        </w:rPr>
        <w:t xml:space="preserve"> that there is</w:t>
      </w:r>
      <w:r w:rsidR="009F4827">
        <w:rPr>
          <w:rFonts w:asciiTheme="majorBidi" w:hAnsiTheme="majorBidi" w:cstheme="majorBidi"/>
          <w:color w:val="000000" w:themeColor="text1"/>
          <w:sz w:val="24"/>
          <w:szCs w:val="24"/>
        </w:rPr>
        <w:t xml:space="preserve"> a</w:t>
      </w:r>
      <w:r w:rsidR="00D65FF6" w:rsidRPr="008D75D3">
        <w:rPr>
          <w:rFonts w:asciiTheme="majorBidi" w:hAnsiTheme="majorBidi" w:cstheme="majorBidi"/>
          <w:color w:val="000000" w:themeColor="text1"/>
          <w:sz w:val="24"/>
          <w:szCs w:val="24"/>
        </w:rPr>
        <w:t xml:space="preserve"> mediation effect if there is </w:t>
      </w:r>
      <w:r w:rsidR="00D65FF6">
        <w:rPr>
          <w:rFonts w:asciiTheme="majorBidi" w:hAnsiTheme="majorBidi" w:cstheme="majorBidi"/>
          <w:color w:val="000000" w:themeColor="text1"/>
          <w:sz w:val="24"/>
          <w:szCs w:val="24"/>
        </w:rPr>
        <w:t xml:space="preserve">a </w:t>
      </w:r>
      <w:r w:rsidR="00D65FF6" w:rsidRPr="008D75D3">
        <w:rPr>
          <w:rFonts w:asciiTheme="majorBidi" w:hAnsiTheme="majorBidi" w:cstheme="majorBidi"/>
          <w:color w:val="000000" w:themeColor="text1"/>
          <w:sz w:val="24"/>
          <w:szCs w:val="24"/>
        </w:rPr>
        <w:t>significant effect of the independent</w:t>
      </w:r>
      <w:r w:rsidR="00D65FF6">
        <w:rPr>
          <w:rFonts w:asciiTheme="majorBidi" w:hAnsiTheme="majorBidi" w:cstheme="majorBidi"/>
          <w:color w:val="000000" w:themeColor="text1"/>
          <w:sz w:val="24"/>
          <w:szCs w:val="24"/>
        </w:rPr>
        <w:t xml:space="preserve"> variables</w:t>
      </w:r>
      <w:r w:rsidR="00D65FF6" w:rsidRPr="008D75D3">
        <w:rPr>
          <w:rFonts w:asciiTheme="majorBidi" w:hAnsiTheme="majorBidi" w:cstheme="majorBidi"/>
          <w:color w:val="000000" w:themeColor="text1"/>
          <w:sz w:val="24"/>
          <w:szCs w:val="24"/>
        </w:rPr>
        <w:t xml:space="preserve"> on the mediator, and significant effect of the mediator on the dependent</w:t>
      </w:r>
      <w:r w:rsidR="00D65FF6">
        <w:rPr>
          <w:rFonts w:asciiTheme="majorBidi" w:hAnsiTheme="majorBidi" w:cstheme="majorBidi"/>
          <w:color w:val="000000" w:themeColor="text1"/>
          <w:sz w:val="24"/>
          <w:szCs w:val="24"/>
        </w:rPr>
        <w:t xml:space="preserve"> variables</w:t>
      </w:r>
      <w:r w:rsidR="00D65FF6" w:rsidRPr="008D75D3">
        <w:rPr>
          <w:rFonts w:asciiTheme="majorBidi" w:hAnsiTheme="majorBidi" w:cstheme="majorBidi"/>
          <w:color w:val="000000" w:themeColor="text1"/>
          <w:sz w:val="24"/>
          <w:szCs w:val="24"/>
        </w:rPr>
        <w:t xml:space="preserve">. </w:t>
      </w:r>
      <w:bookmarkStart w:id="173" w:name="_Hlk149845755"/>
      <w:r w:rsidR="00D65FF6" w:rsidRPr="008D75D3">
        <w:rPr>
          <w:rFonts w:asciiTheme="majorBidi" w:hAnsiTheme="majorBidi" w:cstheme="majorBidi"/>
          <w:color w:val="000000" w:themeColor="text1"/>
          <w:sz w:val="24"/>
          <w:szCs w:val="24"/>
        </w:rPr>
        <w:t xml:space="preserve">Two models will </w:t>
      </w:r>
      <w:r w:rsidR="00D65FF6">
        <w:rPr>
          <w:rFonts w:asciiTheme="majorBidi" w:hAnsiTheme="majorBidi" w:cstheme="majorBidi"/>
          <w:color w:val="000000" w:themeColor="text1"/>
          <w:sz w:val="24"/>
          <w:szCs w:val="24"/>
        </w:rPr>
        <w:t>be tested</w:t>
      </w:r>
      <w:r w:rsidR="00087F49">
        <w:rPr>
          <w:rFonts w:asciiTheme="majorBidi" w:hAnsiTheme="majorBidi" w:cstheme="majorBidi"/>
          <w:color w:val="000000" w:themeColor="text1"/>
          <w:sz w:val="24"/>
          <w:szCs w:val="24"/>
        </w:rPr>
        <w:t>;</w:t>
      </w:r>
      <w:r w:rsidR="00D65FF6" w:rsidRPr="008D75D3">
        <w:rPr>
          <w:rFonts w:asciiTheme="majorBidi" w:hAnsiTheme="majorBidi" w:cstheme="majorBidi"/>
          <w:color w:val="000000" w:themeColor="text1"/>
          <w:sz w:val="24"/>
          <w:szCs w:val="24"/>
        </w:rPr>
        <w:t xml:space="preserve"> the first model is testing the theoretical model</w:t>
      </w:r>
      <w:r w:rsidR="00D65FF6">
        <w:rPr>
          <w:rFonts w:asciiTheme="majorBidi" w:hAnsiTheme="majorBidi" w:cstheme="majorBidi"/>
          <w:color w:val="000000" w:themeColor="text1"/>
          <w:sz w:val="24"/>
          <w:szCs w:val="24"/>
        </w:rPr>
        <w:t>,</w:t>
      </w:r>
      <w:r w:rsidR="00D65FF6" w:rsidRPr="008D75D3">
        <w:rPr>
          <w:rFonts w:asciiTheme="majorBidi" w:hAnsiTheme="majorBidi" w:cstheme="majorBidi"/>
          <w:color w:val="000000" w:themeColor="text1"/>
          <w:sz w:val="24"/>
          <w:szCs w:val="24"/>
        </w:rPr>
        <w:t xml:space="preserve"> </w:t>
      </w:r>
      <w:r w:rsidR="00D65FF6">
        <w:rPr>
          <w:rFonts w:asciiTheme="majorBidi" w:hAnsiTheme="majorBidi" w:cstheme="majorBidi"/>
          <w:color w:val="000000" w:themeColor="text1"/>
          <w:sz w:val="24"/>
          <w:szCs w:val="24"/>
        </w:rPr>
        <w:t xml:space="preserve">which will be referred to as the default model, </w:t>
      </w:r>
      <w:r w:rsidR="00D65FF6" w:rsidRPr="008D75D3">
        <w:rPr>
          <w:rFonts w:asciiTheme="majorBidi" w:hAnsiTheme="majorBidi" w:cstheme="majorBidi"/>
          <w:color w:val="000000" w:themeColor="text1"/>
          <w:sz w:val="24"/>
          <w:szCs w:val="24"/>
        </w:rPr>
        <w:t>without the moderator</w:t>
      </w:r>
      <w:r w:rsidR="00D65FF6">
        <w:rPr>
          <w:rFonts w:asciiTheme="majorBidi" w:hAnsiTheme="majorBidi" w:cstheme="majorBidi"/>
          <w:color w:val="000000" w:themeColor="text1"/>
          <w:sz w:val="24"/>
          <w:szCs w:val="24"/>
        </w:rPr>
        <w:t xml:space="preserve"> and</w:t>
      </w:r>
      <w:r w:rsidR="00D65FF6" w:rsidRPr="008D75D3">
        <w:rPr>
          <w:rFonts w:asciiTheme="majorBidi" w:hAnsiTheme="majorBidi" w:cstheme="majorBidi"/>
          <w:color w:val="000000" w:themeColor="text1"/>
          <w:sz w:val="24"/>
          <w:szCs w:val="24"/>
        </w:rPr>
        <w:t xml:space="preserve"> the </w:t>
      </w:r>
      <w:r w:rsidR="00D65FF6">
        <w:rPr>
          <w:rFonts w:asciiTheme="majorBidi" w:hAnsiTheme="majorBidi" w:cstheme="majorBidi"/>
          <w:color w:val="000000" w:themeColor="text1"/>
          <w:sz w:val="24"/>
          <w:szCs w:val="24"/>
        </w:rPr>
        <w:t>one will include</w:t>
      </w:r>
      <w:r w:rsidR="00D65FF6" w:rsidRPr="008D75D3">
        <w:rPr>
          <w:rFonts w:asciiTheme="majorBidi" w:hAnsiTheme="majorBidi" w:cstheme="majorBidi"/>
          <w:color w:val="000000" w:themeColor="text1"/>
          <w:sz w:val="24"/>
          <w:szCs w:val="24"/>
        </w:rPr>
        <w:t xml:space="preserve"> the moderator.</w:t>
      </w:r>
      <w:bookmarkEnd w:id="173"/>
    </w:p>
    <w:p w14:paraId="52E375C4" w14:textId="1ED2F20E" w:rsidR="00D65FF6" w:rsidRPr="00A2522D" w:rsidRDefault="00D65FF6" w:rsidP="009F4827">
      <w:pPr>
        <w:tabs>
          <w:tab w:val="left" w:pos="630"/>
        </w:tabs>
        <w:spacing w:after="0" w:line="480" w:lineRule="auto"/>
        <w:jc w:val="both"/>
        <w:rPr>
          <w:rFonts w:asciiTheme="majorBidi" w:hAnsiTheme="majorBidi" w:cstheme="majorBidi"/>
          <w:b/>
          <w:bCs/>
          <w:sz w:val="24"/>
          <w:szCs w:val="24"/>
        </w:rPr>
      </w:pPr>
      <w:bookmarkStart w:id="174" w:name="_Hlk149845780"/>
      <w:r w:rsidRPr="00A2522D">
        <w:rPr>
          <w:rFonts w:asciiTheme="majorBidi" w:hAnsiTheme="majorBidi" w:cstheme="majorBidi"/>
          <w:b/>
          <w:bCs/>
          <w:sz w:val="24"/>
          <w:szCs w:val="24"/>
        </w:rPr>
        <w:t>6.1</w:t>
      </w:r>
      <w:r w:rsidR="00C0315E">
        <w:rPr>
          <w:rFonts w:asciiTheme="majorBidi" w:hAnsiTheme="majorBidi" w:cstheme="majorBidi"/>
          <w:b/>
          <w:bCs/>
          <w:sz w:val="24"/>
          <w:szCs w:val="24"/>
        </w:rPr>
        <w:t>1</w:t>
      </w:r>
      <w:r w:rsidRPr="00A2522D">
        <w:rPr>
          <w:rFonts w:asciiTheme="majorBidi" w:hAnsiTheme="majorBidi" w:cstheme="majorBidi"/>
          <w:b/>
          <w:bCs/>
          <w:sz w:val="24"/>
          <w:szCs w:val="24"/>
        </w:rPr>
        <w:t>.1 First theoretical model excluding moderators</w:t>
      </w:r>
    </w:p>
    <w:p w14:paraId="7B29C20E" w14:textId="249F06A6" w:rsidR="00D65FF6" w:rsidRDefault="00D65FF6" w:rsidP="009F4827">
      <w:pPr>
        <w:pStyle w:val="ListParagraph"/>
        <w:tabs>
          <w:tab w:val="left" w:pos="630"/>
        </w:tabs>
        <w:spacing w:after="0" w:line="480" w:lineRule="auto"/>
        <w:jc w:val="both"/>
        <w:rPr>
          <w:rFonts w:asciiTheme="majorBidi" w:hAnsiTheme="majorBidi" w:cstheme="majorBidi"/>
          <w:sz w:val="24"/>
          <w:szCs w:val="24"/>
        </w:rPr>
      </w:pPr>
      <w:r w:rsidRPr="008D75D3">
        <w:rPr>
          <w:rFonts w:asciiTheme="majorBidi" w:hAnsiTheme="majorBidi" w:cstheme="majorBidi"/>
          <w:sz w:val="24"/>
          <w:szCs w:val="24"/>
        </w:rPr>
        <w:t>To analy</w:t>
      </w:r>
      <w:r w:rsidR="003F0073">
        <w:rPr>
          <w:rFonts w:asciiTheme="majorBidi" w:hAnsiTheme="majorBidi" w:cstheme="majorBidi"/>
          <w:sz w:val="24"/>
          <w:szCs w:val="24"/>
        </w:rPr>
        <w:t>s</w:t>
      </w:r>
      <w:r w:rsidRPr="008D75D3">
        <w:rPr>
          <w:rFonts w:asciiTheme="majorBidi" w:hAnsiTheme="majorBidi" w:cstheme="majorBidi"/>
          <w:sz w:val="24"/>
          <w:szCs w:val="24"/>
        </w:rPr>
        <w:t xml:space="preserve">e the theoretical model, the following path model is estimated. </w:t>
      </w:r>
    </w:p>
    <w:p w14:paraId="5EF5B0E5" w14:textId="77777777" w:rsidR="00F35512" w:rsidRDefault="00D65FF6" w:rsidP="00F35512">
      <w:pPr>
        <w:pStyle w:val="ListParagraph"/>
        <w:keepNext/>
        <w:tabs>
          <w:tab w:val="left" w:pos="630"/>
        </w:tabs>
        <w:spacing w:line="480" w:lineRule="auto"/>
        <w:ind w:hanging="720"/>
      </w:pPr>
      <w:r w:rsidRPr="008D75D3">
        <w:rPr>
          <w:rFonts w:asciiTheme="majorBidi" w:hAnsiTheme="majorBidi" w:cstheme="majorBidi"/>
          <w:noProof/>
          <w:sz w:val="24"/>
          <w:szCs w:val="24"/>
        </w:rPr>
        <w:drawing>
          <wp:inline distT="0" distB="0" distL="0" distR="0" wp14:anchorId="37D89FE8" wp14:editId="249FB0BE">
            <wp:extent cx="3693600" cy="2613142"/>
            <wp:effectExtent l="0" t="0" r="2540" b="0"/>
            <wp:docPr id="13" name="Picture 13" descr="A diagram of a brand with Great Pyramid of Giza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brand with Great Pyramid of Giza in the background&#10;&#10;Description automatically generated with low confidence"/>
                    <pic:cNvPicPr/>
                  </pic:nvPicPr>
                  <pic:blipFill>
                    <a:blip r:embed="rId53"/>
                    <a:stretch>
                      <a:fillRect/>
                    </a:stretch>
                  </pic:blipFill>
                  <pic:spPr>
                    <a:xfrm>
                      <a:off x="0" y="0"/>
                      <a:ext cx="3756461" cy="2657615"/>
                    </a:xfrm>
                    <a:prstGeom prst="rect">
                      <a:avLst/>
                    </a:prstGeom>
                  </pic:spPr>
                </pic:pic>
              </a:graphicData>
            </a:graphic>
          </wp:inline>
        </w:drawing>
      </w:r>
    </w:p>
    <w:p w14:paraId="749500E2" w14:textId="1DC806E4" w:rsidR="00D65FF6" w:rsidRPr="003D1026" w:rsidRDefault="00F35512" w:rsidP="00F35512">
      <w:pPr>
        <w:pStyle w:val="Caption"/>
        <w:rPr>
          <w:rFonts w:asciiTheme="majorBidi" w:hAnsiTheme="majorBidi" w:cstheme="majorBidi"/>
          <w:b/>
          <w:bCs/>
          <w:sz w:val="24"/>
          <w:szCs w:val="24"/>
          <w:u w:val="single"/>
        </w:rPr>
      </w:pPr>
      <w:r>
        <w:t xml:space="preserve">Figure 24 Theoretical model without the moderators </w:t>
      </w:r>
    </w:p>
    <w:p w14:paraId="134FDB62" w14:textId="382610BF" w:rsidR="00D65FF6" w:rsidRPr="008D75D3" w:rsidRDefault="00F5085B" w:rsidP="009F4827">
      <w:pPr>
        <w:tabs>
          <w:tab w:val="left" w:pos="630"/>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D65FF6" w:rsidRPr="008D75D3">
        <w:rPr>
          <w:rFonts w:asciiTheme="majorBidi" w:hAnsiTheme="majorBidi" w:cstheme="majorBidi"/>
          <w:sz w:val="24"/>
          <w:szCs w:val="24"/>
        </w:rPr>
        <w:t>The following table presents the estimates of the above model</w:t>
      </w:r>
      <w:r w:rsidR="00D65FF6">
        <w:rPr>
          <w:rFonts w:asciiTheme="majorBidi" w:hAnsiTheme="majorBidi" w:cstheme="majorBidi"/>
          <w:sz w:val="24"/>
          <w:szCs w:val="24"/>
        </w:rPr>
        <w:t xml:space="preserve">. </w:t>
      </w:r>
      <w:r w:rsidR="0079567D">
        <w:rPr>
          <w:rFonts w:asciiTheme="majorBidi" w:hAnsiTheme="majorBidi" w:cstheme="majorBidi"/>
          <w:sz w:val="24"/>
          <w:szCs w:val="24"/>
        </w:rPr>
        <w:t>Based on this</w:t>
      </w:r>
      <w:r w:rsidR="009F4827">
        <w:rPr>
          <w:rFonts w:asciiTheme="majorBidi" w:hAnsiTheme="majorBidi" w:cstheme="majorBidi"/>
          <w:sz w:val="24"/>
          <w:szCs w:val="24"/>
        </w:rPr>
        <w:t>,</w:t>
      </w:r>
      <w:r w:rsidR="0079567D">
        <w:rPr>
          <w:rFonts w:asciiTheme="majorBidi" w:hAnsiTheme="majorBidi" w:cstheme="majorBidi"/>
          <w:sz w:val="24"/>
          <w:szCs w:val="24"/>
        </w:rPr>
        <w:t xml:space="preserve"> </w:t>
      </w:r>
      <w:r w:rsidR="009F4827">
        <w:rPr>
          <w:rFonts w:asciiTheme="majorBidi" w:hAnsiTheme="majorBidi" w:cstheme="majorBidi"/>
          <w:sz w:val="24"/>
          <w:szCs w:val="24"/>
        </w:rPr>
        <w:t>the below can be</w:t>
      </w:r>
      <w:r w:rsidR="00D65FF6" w:rsidRPr="008D75D3">
        <w:rPr>
          <w:rFonts w:asciiTheme="majorBidi" w:hAnsiTheme="majorBidi" w:cstheme="majorBidi"/>
          <w:sz w:val="24"/>
          <w:szCs w:val="24"/>
        </w:rPr>
        <w:t xml:space="preserve"> conclude</w:t>
      </w:r>
      <w:r w:rsidR="009F4827">
        <w:rPr>
          <w:rFonts w:asciiTheme="majorBidi" w:hAnsiTheme="majorBidi" w:cstheme="majorBidi"/>
          <w:sz w:val="24"/>
          <w:szCs w:val="24"/>
        </w:rPr>
        <w:t xml:space="preserve">d: </w:t>
      </w:r>
    </w:p>
    <w:p w14:paraId="79A00D0C" w14:textId="04CBE46D" w:rsidR="00D65FF6" w:rsidRPr="003F1EE5" w:rsidRDefault="00D65FF6">
      <w:pPr>
        <w:pStyle w:val="ListParagraph"/>
        <w:numPr>
          <w:ilvl w:val="0"/>
          <w:numId w:val="15"/>
        </w:numPr>
        <w:tabs>
          <w:tab w:val="left" w:pos="630"/>
        </w:tabs>
        <w:spacing w:after="0" w:line="480" w:lineRule="auto"/>
        <w:jc w:val="both"/>
        <w:rPr>
          <w:rFonts w:asciiTheme="majorBidi" w:hAnsiTheme="majorBidi" w:cstheme="majorBidi"/>
          <w:sz w:val="24"/>
          <w:szCs w:val="24"/>
        </w:rPr>
      </w:pPr>
      <w:r w:rsidRPr="00864BD9">
        <w:rPr>
          <w:rFonts w:asciiTheme="majorBidi" w:hAnsiTheme="majorBidi" w:cstheme="majorBidi"/>
          <w:sz w:val="24"/>
          <w:szCs w:val="24"/>
        </w:rPr>
        <w:t>Each of media channel, income, education, and gender do</w:t>
      </w:r>
      <w:r>
        <w:rPr>
          <w:rFonts w:asciiTheme="majorBidi" w:hAnsiTheme="majorBidi" w:cstheme="majorBidi"/>
          <w:sz w:val="24"/>
          <w:szCs w:val="24"/>
        </w:rPr>
        <w:t xml:space="preserve"> not </w:t>
      </w:r>
      <w:r w:rsidRPr="003F1EE5">
        <w:rPr>
          <w:rFonts w:asciiTheme="majorBidi" w:hAnsiTheme="majorBidi" w:cstheme="majorBidi"/>
          <w:sz w:val="24"/>
          <w:szCs w:val="24"/>
        </w:rPr>
        <w:t>significantly affect</w:t>
      </w:r>
      <w:r>
        <w:rPr>
          <w:rFonts w:asciiTheme="majorBidi" w:hAnsiTheme="majorBidi" w:cstheme="majorBidi"/>
          <w:sz w:val="24"/>
          <w:szCs w:val="24"/>
        </w:rPr>
        <w:t xml:space="preserve"> purchase</w:t>
      </w:r>
      <w:r w:rsidRPr="003F1EE5">
        <w:rPr>
          <w:rFonts w:asciiTheme="majorBidi" w:hAnsiTheme="majorBidi" w:cstheme="majorBidi"/>
          <w:sz w:val="24"/>
          <w:szCs w:val="24"/>
        </w:rPr>
        <w:t xml:space="preserve"> intention</w:t>
      </w:r>
      <w:r>
        <w:rPr>
          <w:rFonts w:asciiTheme="majorBidi" w:hAnsiTheme="majorBidi" w:cstheme="majorBidi"/>
          <w:sz w:val="24"/>
          <w:szCs w:val="24"/>
        </w:rPr>
        <w:t xml:space="preserve"> </w:t>
      </w:r>
      <w:r w:rsidRPr="003F1EE5">
        <w:rPr>
          <w:rFonts w:asciiTheme="majorBidi" w:hAnsiTheme="majorBidi" w:cstheme="majorBidi"/>
          <w:sz w:val="24"/>
          <w:szCs w:val="24"/>
        </w:rPr>
        <w:t>with 95%</w:t>
      </w:r>
      <w:r>
        <w:rPr>
          <w:rFonts w:asciiTheme="majorBidi" w:hAnsiTheme="majorBidi" w:cstheme="majorBidi"/>
          <w:sz w:val="24"/>
          <w:szCs w:val="24"/>
        </w:rPr>
        <w:t xml:space="preserve"> </w:t>
      </w:r>
      <w:r w:rsidRPr="003F1EE5">
        <w:rPr>
          <w:rFonts w:asciiTheme="majorBidi" w:hAnsiTheme="majorBidi" w:cstheme="majorBidi"/>
          <w:sz w:val="24"/>
          <w:szCs w:val="24"/>
        </w:rPr>
        <w:t>confiden</w:t>
      </w:r>
      <w:r>
        <w:rPr>
          <w:rFonts w:asciiTheme="majorBidi" w:hAnsiTheme="majorBidi" w:cstheme="majorBidi"/>
          <w:sz w:val="24"/>
          <w:szCs w:val="24"/>
        </w:rPr>
        <w:t>ce level</w:t>
      </w:r>
      <w:r w:rsidRPr="003F1EE5">
        <w:rPr>
          <w:rFonts w:asciiTheme="majorBidi" w:hAnsiTheme="majorBidi" w:cstheme="majorBidi"/>
          <w:sz w:val="24"/>
          <w:szCs w:val="24"/>
        </w:rPr>
        <w:t xml:space="preserve">, as the p-value associated with them </w:t>
      </w:r>
      <w:r>
        <w:rPr>
          <w:rFonts w:asciiTheme="majorBidi" w:hAnsiTheme="majorBidi" w:cstheme="majorBidi"/>
          <w:sz w:val="24"/>
          <w:szCs w:val="24"/>
        </w:rPr>
        <w:t>is</w:t>
      </w:r>
      <w:r w:rsidRPr="003F1EE5">
        <w:rPr>
          <w:rFonts w:asciiTheme="majorBidi" w:hAnsiTheme="majorBidi" w:cstheme="majorBidi"/>
          <w:sz w:val="24"/>
          <w:szCs w:val="24"/>
        </w:rPr>
        <w:t xml:space="preserve"> greater than 5%. </w:t>
      </w:r>
    </w:p>
    <w:p w14:paraId="0C218C62" w14:textId="77777777" w:rsidR="00D65FF6" w:rsidRPr="003F1EE5" w:rsidRDefault="00D65FF6">
      <w:pPr>
        <w:pStyle w:val="ListParagraph"/>
        <w:numPr>
          <w:ilvl w:val="0"/>
          <w:numId w:val="15"/>
        </w:numPr>
        <w:tabs>
          <w:tab w:val="left" w:pos="630"/>
        </w:tabs>
        <w:spacing w:after="200" w:line="480" w:lineRule="auto"/>
        <w:jc w:val="both"/>
        <w:rPr>
          <w:rFonts w:asciiTheme="majorBidi" w:hAnsiTheme="majorBidi" w:cstheme="majorBidi"/>
          <w:sz w:val="24"/>
          <w:szCs w:val="24"/>
        </w:rPr>
      </w:pPr>
      <w:r>
        <w:rPr>
          <w:rFonts w:asciiTheme="majorBidi" w:hAnsiTheme="majorBidi" w:cstheme="majorBidi"/>
          <w:sz w:val="24"/>
          <w:szCs w:val="24"/>
        </w:rPr>
        <w:t>Media channel</w:t>
      </w:r>
      <w:r w:rsidRPr="003F1EE5">
        <w:rPr>
          <w:rFonts w:asciiTheme="majorBidi" w:hAnsiTheme="majorBidi" w:cstheme="majorBidi"/>
          <w:sz w:val="24"/>
          <w:szCs w:val="24"/>
        </w:rPr>
        <w:t xml:space="preserve"> has no significant impact on </w:t>
      </w:r>
      <w:r>
        <w:rPr>
          <w:rFonts w:asciiTheme="majorBidi" w:hAnsiTheme="majorBidi" w:cstheme="majorBidi"/>
          <w:sz w:val="24"/>
          <w:szCs w:val="24"/>
        </w:rPr>
        <w:t>a</w:t>
      </w:r>
      <w:r w:rsidRPr="003F1EE5">
        <w:rPr>
          <w:rFonts w:asciiTheme="majorBidi" w:hAnsiTheme="majorBidi" w:cstheme="majorBidi"/>
          <w:sz w:val="24"/>
          <w:szCs w:val="24"/>
        </w:rPr>
        <w:t>d likeability</w:t>
      </w:r>
      <w:r>
        <w:rPr>
          <w:rFonts w:asciiTheme="majorBidi" w:hAnsiTheme="majorBidi" w:cstheme="majorBidi"/>
          <w:sz w:val="24"/>
          <w:szCs w:val="24"/>
        </w:rPr>
        <w:t xml:space="preserve"> </w:t>
      </w:r>
      <w:r w:rsidRPr="003F1EE5">
        <w:rPr>
          <w:rFonts w:asciiTheme="majorBidi" w:hAnsiTheme="majorBidi" w:cstheme="majorBidi"/>
          <w:sz w:val="24"/>
          <w:szCs w:val="24"/>
        </w:rPr>
        <w:t xml:space="preserve">with </w:t>
      </w:r>
      <w:r>
        <w:rPr>
          <w:rFonts w:asciiTheme="majorBidi" w:hAnsiTheme="majorBidi" w:cstheme="majorBidi"/>
          <w:sz w:val="24"/>
          <w:szCs w:val="24"/>
        </w:rPr>
        <w:t xml:space="preserve">95% </w:t>
      </w:r>
      <w:r w:rsidRPr="003F1EE5">
        <w:rPr>
          <w:rFonts w:asciiTheme="majorBidi" w:hAnsiTheme="majorBidi" w:cstheme="majorBidi"/>
          <w:sz w:val="24"/>
          <w:szCs w:val="24"/>
        </w:rPr>
        <w:t>confiden</w:t>
      </w:r>
      <w:r>
        <w:rPr>
          <w:rFonts w:asciiTheme="majorBidi" w:hAnsiTheme="majorBidi" w:cstheme="majorBidi"/>
          <w:sz w:val="24"/>
          <w:szCs w:val="24"/>
        </w:rPr>
        <w:t>ce level</w:t>
      </w:r>
      <w:r w:rsidRPr="003F1EE5">
        <w:rPr>
          <w:rFonts w:asciiTheme="majorBidi" w:hAnsiTheme="majorBidi" w:cstheme="majorBidi"/>
          <w:sz w:val="24"/>
          <w:szCs w:val="24"/>
        </w:rPr>
        <w:t xml:space="preserve">, as the p-value associated with it is greater than 5%. </w:t>
      </w:r>
    </w:p>
    <w:p w14:paraId="7E134B5D" w14:textId="08FA806E" w:rsidR="00D65FF6" w:rsidRDefault="00D65FF6">
      <w:pPr>
        <w:pStyle w:val="ListParagraph"/>
        <w:numPr>
          <w:ilvl w:val="0"/>
          <w:numId w:val="15"/>
        </w:numPr>
        <w:tabs>
          <w:tab w:val="left" w:pos="630"/>
        </w:tabs>
        <w:spacing w:after="0" w:line="480" w:lineRule="auto"/>
        <w:jc w:val="both"/>
        <w:rPr>
          <w:rFonts w:asciiTheme="majorBidi" w:hAnsiTheme="majorBidi" w:cstheme="majorBidi"/>
          <w:sz w:val="24"/>
          <w:szCs w:val="24"/>
        </w:rPr>
      </w:pPr>
      <w:bookmarkStart w:id="175" w:name="_Hlk150722894"/>
      <w:r>
        <w:rPr>
          <w:rFonts w:asciiTheme="majorBidi" w:hAnsiTheme="majorBidi" w:cstheme="majorBidi"/>
          <w:sz w:val="24"/>
          <w:szCs w:val="24"/>
        </w:rPr>
        <w:t xml:space="preserve">Communication </w:t>
      </w:r>
      <w:r w:rsidR="00FD123D">
        <w:rPr>
          <w:rFonts w:asciiTheme="majorBidi" w:hAnsiTheme="majorBidi" w:cstheme="majorBidi"/>
          <w:sz w:val="24"/>
          <w:szCs w:val="24"/>
        </w:rPr>
        <w:t>strategy</w:t>
      </w:r>
      <w:r w:rsidR="00FD123D" w:rsidRPr="003F1EE5">
        <w:rPr>
          <w:rFonts w:asciiTheme="majorBidi" w:hAnsiTheme="majorBidi" w:cstheme="majorBidi"/>
          <w:sz w:val="24"/>
          <w:szCs w:val="24"/>
        </w:rPr>
        <w:t xml:space="preserve"> </w:t>
      </w:r>
      <w:r w:rsidRPr="003F1EE5">
        <w:rPr>
          <w:rFonts w:asciiTheme="majorBidi" w:hAnsiTheme="majorBidi" w:cstheme="majorBidi"/>
          <w:sz w:val="24"/>
          <w:szCs w:val="24"/>
        </w:rPr>
        <w:t>has no significant impact on brand functionality</w:t>
      </w:r>
      <w:r>
        <w:rPr>
          <w:rFonts w:asciiTheme="majorBidi" w:hAnsiTheme="majorBidi" w:cstheme="majorBidi"/>
          <w:sz w:val="24"/>
          <w:szCs w:val="24"/>
        </w:rPr>
        <w:t xml:space="preserve"> </w:t>
      </w:r>
      <w:r w:rsidRPr="003F1EE5">
        <w:rPr>
          <w:rFonts w:asciiTheme="majorBidi" w:hAnsiTheme="majorBidi" w:cstheme="majorBidi"/>
          <w:sz w:val="24"/>
          <w:szCs w:val="24"/>
        </w:rPr>
        <w:t>with</w:t>
      </w:r>
      <w:r>
        <w:rPr>
          <w:rFonts w:asciiTheme="majorBidi" w:hAnsiTheme="majorBidi" w:cstheme="majorBidi"/>
          <w:sz w:val="24"/>
          <w:szCs w:val="24"/>
        </w:rPr>
        <w:t xml:space="preserve"> 95%</w:t>
      </w:r>
      <w:r w:rsidRPr="003F1EE5">
        <w:rPr>
          <w:rFonts w:asciiTheme="majorBidi" w:hAnsiTheme="majorBidi" w:cstheme="majorBidi"/>
          <w:sz w:val="24"/>
          <w:szCs w:val="24"/>
        </w:rPr>
        <w:t xml:space="preserve"> confiden</w:t>
      </w:r>
      <w:r>
        <w:rPr>
          <w:rFonts w:asciiTheme="majorBidi" w:hAnsiTheme="majorBidi" w:cstheme="majorBidi"/>
          <w:sz w:val="24"/>
          <w:szCs w:val="24"/>
        </w:rPr>
        <w:t>ce level</w:t>
      </w:r>
      <w:r w:rsidRPr="003F1EE5">
        <w:rPr>
          <w:rFonts w:asciiTheme="majorBidi" w:hAnsiTheme="majorBidi" w:cstheme="majorBidi"/>
          <w:sz w:val="24"/>
          <w:szCs w:val="24"/>
        </w:rPr>
        <w:t xml:space="preserve">, as the p-value associated with it is greater than 5%. </w:t>
      </w:r>
    </w:p>
    <w:bookmarkEnd w:id="175"/>
    <w:p w14:paraId="218AADCC" w14:textId="27015B10" w:rsidR="00D65FF6" w:rsidRPr="009F4827" w:rsidRDefault="00D65FF6" w:rsidP="00250620">
      <w:pPr>
        <w:tabs>
          <w:tab w:val="left" w:pos="630"/>
        </w:tabs>
        <w:spacing w:after="0" w:line="480" w:lineRule="auto"/>
        <w:ind w:left="720"/>
        <w:jc w:val="both"/>
        <w:rPr>
          <w:rFonts w:asciiTheme="majorBidi" w:hAnsiTheme="majorBidi" w:cstheme="majorBidi"/>
          <w:sz w:val="24"/>
          <w:szCs w:val="24"/>
        </w:rPr>
      </w:pPr>
      <w:r w:rsidRPr="009553E2">
        <w:rPr>
          <w:rFonts w:asciiTheme="majorBidi" w:hAnsiTheme="majorBidi" w:cstheme="majorBidi"/>
          <w:sz w:val="24"/>
          <w:szCs w:val="24"/>
        </w:rPr>
        <w:t xml:space="preserve">Accordingly, these paths </w:t>
      </w:r>
      <w:r w:rsidR="009F4827">
        <w:rPr>
          <w:rFonts w:asciiTheme="majorBidi" w:hAnsiTheme="majorBidi" w:cstheme="majorBidi"/>
          <w:sz w:val="24"/>
          <w:szCs w:val="24"/>
        </w:rPr>
        <w:t>were</w:t>
      </w:r>
      <w:r w:rsidRPr="009553E2">
        <w:rPr>
          <w:rFonts w:asciiTheme="majorBidi" w:hAnsiTheme="majorBidi" w:cstheme="majorBidi"/>
          <w:sz w:val="24"/>
          <w:szCs w:val="24"/>
        </w:rPr>
        <w:t xml:space="preserve"> removed from the model and re-designed again.</w:t>
      </w:r>
    </w:p>
    <w:p w14:paraId="4B95FA6A" w14:textId="77777777" w:rsidR="00864BD9" w:rsidRDefault="00864BD9">
      <w:bookmarkStart w:id="176" w:name="_Hlk146673747"/>
      <w:r>
        <w:br w:type="page"/>
      </w:r>
    </w:p>
    <w:tbl>
      <w:tblPr>
        <w:tblW w:w="73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567"/>
        <w:gridCol w:w="1842"/>
        <w:gridCol w:w="993"/>
        <w:gridCol w:w="708"/>
        <w:gridCol w:w="851"/>
        <w:gridCol w:w="709"/>
      </w:tblGrid>
      <w:tr w:rsidR="00864BD9" w:rsidRPr="00D53E24" w14:paraId="64E6F6A4" w14:textId="77777777" w:rsidTr="00864BD9">
        <w:trPr>
          <w:trHeight w:val="225"/>
          <w:tblHeader/>
        </w:trPr>
        <w:tc>
          <w:tcPr>
            <w:tcW w:w="1701" w:type="dxa"/>
            <w:tcMar>
              <w:top w:w="15" w:type="dxa"/>
              <w:left w:w="140" w:type="dxa"/>
              <w:bottom w:w="15" w:type="dxa"/>
              <w:right w:w="140" w:type="dxa"/>
            </w:tcMar>
            <w:vAlign w:val="center"/>
            <w:hideMark/>
          </w:tcPr>
          <w:p w14:paraId="603A37FC" w14:textId="097E4126" w:rsidR="00D65FF6" w:rsidRPr="00D53E24" w:rsidRDefault="00D65FF6" w:rsidP="008D0DBB">
            <w:pPr>
              <w:spacing w:after="0" w:line="240" w:lineRule="auto"/>
              <w:rPr>
                <w:rFonts w:asciiTheme="majorBidi" w:eastAsia="Times New Roman" w:hAnsiTheme="majorBidi" w:cstheme="majorBidi"/>
                <w:sz w:val="20"/>
                <w:szCs w:val="20"/>
              </w:rPr>
            </w:pPr>
          </w:p>
        </w:tc>
        <w:tc>
          <w:tcPr>
            <w:tcW w:w="567" w:type="dxa"/>
            <w:tcMar>
              <w:top w:w="15" w:type="dxa"/>
              <w:left w:w="140" w:type="dxa"/>
              <w:bottom w:w="15" w:type="dxa"/>
              <w:right w:w="140" w:type="dxa"/>
            </w:tcMar>
            <w:vAlign w:val="center"/>
            <w:hideMark/>
          </w:tcPr>
          <w:p w14:paraId="3482A65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p>
        </w:tc>
        <w:tc>
          <w:tcPr>
            <w:tcW w:w="1842" w:type="dxa"/>
            <w:tcMar>
              <w:top w:w="15" w:type="dxa"/>
              <w:left w:w="140" w:type="dxa"/>
              <w:bottom w:w="15" w:type="dxa"/>
              <w:right w:w="140" w:type="dxa"/>
            </w:tcMar>
            <w:vAlign w:val="center"/>
            <w:hideMark/>
          </w:tcPr>
          <w:p w14:paraId="1333879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p>
        </w:tc>
        <w:tc>
          <w:tcPr>
            <w:tcW w:w="993" w:type="dxa"/>
            <w:tcMar>
              <w:top w:w="15" w:type="dxa"/>
              <w:left w:w="140" w:type="dxa"/>
              <w:bottom w:w="15" w:type="dxa"/>
              <w:right w:w="140" w:type="dxa"/>
            </w:tcMar>
            <w:vAlign w:val="center"/>
            <w:hideMark/>
          </w:tcPr>
          <w:p w14:paraId="3AE5394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Estimate</w:t>
            </w:r>
          </w:p>
        </w:tc>
        <w:tc>
          <w:tcPr>
            <w:tcW w:w="708" w:type="dxa"/>
            <w:tcMar>
              <w:top w:w="15" w:type="dxa"/>
              <w:left w:w="140" w:type="dxa"/>
              <w:bottom w:w="15" w:type="dxa"/>
              <w:right w:w="140" w:type="dxa"/>
            </w:tcMar>
            <w:vAlign w:val="center"/>
            <w:hideMark/>
          </w:tcPr>
          <w:p w14:paraId="06D2D34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S.E.</w:t>
            </w:r>
          </w:p>
        </w:tc>
        <w:tc>
          <w:tcPr>
            <w:tcW w:w="851" w:type="dxa"/>
            <w:tcMar>
              <w:top w:w="15" w:type="dxa"/>
              <w:left w:w="140" w:type="dxa"/>
              <w:bottom w:w="15" w:type="dxa"/>
              <w:right w:w="140" w:type="dxa"/>
            </w:tcMar>
            <w:vAlign w:val="center"/>
            <w:hideMark/>
          </w:tcPr>
          <w:p w14:paraId="60FF072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C.R.</w:t>
            </w:r>
          </w:p>
        </w:tc>
        <w:tc>
          <w:tcPr>
            <w:tcW w:w="709" w:type="dxa"/>
            <w:tcMar>
              <w:top w:w="15" w:type="dxa"/>
              <w:left w:w="140" w:type="dxa"/>
              <w:bottom w:w="15" w:type="dxa"/>
              <w:right w:w="140" w:type="dxa"/>
            </w:tcMar>
            <w:vAlign w:val="center"/>
            <w:hideMark/>
          </w:tcPr>
          <w:p w14:paraId="32C25942"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P</w:t>
            </w:r>
          </w:p>
        </w:tc>
      </w:tr>
      <w:tr w:rsidR="00864BD9" w:rsidRPr="00D53E24" w14:paraId="6C784DC0" w14:textId="77777777" w:rsidTr="00864BD9">
        <w:trPr>
          <w:trHeight w:val="225"/>
        </w:trPr>
        <w:tc>
          <w:tcPr>
            <w:tcW w:w="1701" w:type="dxa"/>
            <w:tcMar>
              <w:top w:w="15" w:type="dxa"/>
              <w:left w:w="57" w:type="dxa"/>
              <w:bottom w:w="15" w:type="dxa"/>
              <w:right w:w="57" w:type="dxa"/>
            </w:tcMar>
            <w:vAlign w:val="center"/>
            <w:hideMark/>
          </w:tcPr>
          <w:p w14:paraId="0B90DE3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Ad Likeability</w:t>
            </w:r>
          </w:p>
        </w:tc>
        <w:tc>
          <w:tcPr>
            <w:tcW w:w="567" w:type="dxa"/>
            <w:noWrap/>
            <w:tcMar>
              <w:top w:w="15" w:type="dxa"/>
              <w:left w:w="57" w:type="dxa"/>
              <w:bottom w:w="15" w:type="dxa"/>
              <w:right w:w="57" w:type="dxa"/>
            </w:tcMar>
            <w:vAlign w:val="center"/>
            <w:hideMark/>
          </w:tcPr>
          <w:p w14:paraId="4FAA191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4B91157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993" w:type="dxa"/>
            <w:noWrap/>
            <w:tcMar>
              <w:top w:w="15" w:type="dxa"/>
              <w:left w:w="140" w:type="dxa"/>
              <w:bottom w:w="15" w:type="dxa"/>
              <w:right w:w="140" w:type="dxa"/>
            </w:tcMar>
            <w:vAlign w:val="center"/>
            <w:hideMark/>
          </w:tcPr>
          <w:p w14:paraId="17F06F9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-.118</w:t>
            </w:r>
          </w:p>
        </w:tc>
        <w:tc>
          <w:tcPr>
            <w:tcW w:w="708" w:type="dxa"/>
            <w:tcMar>
              <w:top w:w="15" w:type="dxa"/>
              <w:left w:w="140" w:type="dxa"/>
              <w:bottom w:w="15" w:type="dxa"/>
              <w:right w:w="140" w:type="dxa"/>
            </w:tcMar>
            <w:vAlign w:val="center"/>
            <w:hideMark/>
          </w:tcPr>
          <w:p w14:paraId="7DF597A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.110</w:t>
            </w:r>
          </w:p>
        </w:tc>
        <w:tc>
          <w:tcPr>
            <w:tcW w:w="851" w:type="dxa"/>
            <w:noWrap/>
            <w:tcMar>
              <w:top w:w="15" w:type="dxa"/>
              <w:left w:w="140" w:type="dxa"/>
              <w:bottom w:w="15" w:type="dxa"/>
              <w:right w:w="140" w:type="dxa"/>
            </w:tcMar>
            <w:vAlign w:val="center"/>
            <w:hideMark/>
          </w:tcPr>
          <w:p w14:paraId="51C8749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-1.075</w:t>
            </w:r>
          </w:p>
        </w:tc>
        <w:tc>
          <w:tcPr>
            <w:tcW w:w="709" w:type="dxa"/>
            <w:tcMar>
              <w:top w:w="15" w:type="dxa"/>
              <w:left w:w="140" w:type="dxa"/>
              <w:bottom w:w="15" w:type="dxa"/>
              <w:right w:w="140" w:type="dxa"/>
            </w:tcMar>
            <w:vAlign w:val="center"/>
            <w:hideMark/>
          </w:tcPr>
          <w:p w14:paraId="122D3C8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.282</w:t>
            </w:r>
          </w:p>
        </w:tc>
      </w:tr>
      <w:tr w:rsidR="00864BD9" w:rsidRPr="00D53E24" w14:paraId="1A1BCAD4" w14:textId="77777777" w:rsidTr="00864BD9">
        <w:trPr>
          <w:trHeight w:val="216"/>
        </w:trPr>
        <w:tc>
          <w:tcPr>
            <w:tcW w:w="1701" w:type="dxa"/>
            <w:tcMar>
              <w:top w:w="15" w:type="dxa"/>
              <w:left w:w="57" w:type="dxa"/>
              <w:bottom w:w="15" w:type="dxa"/>
              <w:right w:w="57" w:type="dxa"/>
            </w:tcMar>
            <w:vAlign w:val="center"/>
            <w:hideMark/>
          </w:tcPr>
          <w:p w14:paraId="5E4BB3D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functionality</w:t>
            </w:r>
          </w:p>
        </w:tc>
        <w:tc>
          <w:tcPr>
            <w:tcW w:w="567" w:type="dxa"/>
            <w:noWrap/>
            <w:tcMar>
              <w:top w:w="15" w:type="dxa"/>
              <w:left w:w="57" w:type="dxa"/>
              <w:bottom w:w="15" w:type="dxa"/>
              <w:right w:w="57" w:type="dxa"/>
            </w:tcMar>
            <w:vAlign w:val="center"/>
            <w:hideMark/>
          </w:tcPr>
          <w:p w14:paraId="193FFB8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46A1468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993" w:type="dxa"/>
            <w:noWrap/>
            <w:tcMar>
              <w:top w:w="15" w:type="dxa"/>
              <w:left w:w="140" w:type="dxa"/>
              <w:bottom w:w="15" w:type="dxa"/>
              <w:right w:w="140" w:type="dxa"/>
            </w:tcMar>
            <w:vAlign w:val="center"/>
            <w:hideMark/>
          </w:tcPr>
          <w:p w14:paraId="341AA24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-.592</w:t>
            </w:r>
          </w:p>
        </w:tc>
        <w:tc>
          <w:tcPr>
            <w:tcW w:w="708" w:type="dxa"/>
            <w:tcMar>
              <w:top w:w="15" w:type="dxa"/>
              <w:left w:w="140" w:type="dxa"/>
              <w:bottom w:w="15" w:type="dxa"/>
              <w:right w:w="140" w:type="dxa"/>
            </w:tcMar>
            <w:vAlign w:val="center"/>
            <w:hideMark/>
          </w:tcPr>
          <w:p w14:paraId="7CCF2D7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.112</w:t>
            </w:r>
          </w:p>
        </w:tc>
        <w:tc>
          <w:tcPr>
            <w:tcW w:w="851" w:type="dxa"/>
            <w:noWrap/>
            <w:tcMar>
              <w:top w:w="15" w:type="dxa"/>
              <w:left w:w="140" w:type="dxa"/>
              <w:bottom w:w="15" w:type="dxa"/>
              <w:right w:w="140" w:type="dxa"/>
            </w:tcMar>
            <w:vAlign w:val="center"/>
            <w:hideMark/>
          </w:tcPr>
          <w:p w14:paraId="3311161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-5.299</w:t>
            </w:r>
          </w:p>
        </w:tc>
        <w:tc>
          <w:tcPr>
            <w:tcW w:w="709" w:type="dxa"/>
            <w:tcMar>
              <w:top w:w="15" w:type="dxa"/>
              <w:left w:w="140" w:type="dxa"/>
              <w:bottom w:w="15" w:type="dxa"/>
              <w:right w:w="140" w:type="dxa"/>
            </w:tcMar>
            <w:vAlign w:val="center"/>
            <w:hideMark/>
          </w:tcPr>
          <w:p w14:paraId="318A1A32"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314C86D5" w14:textId="77777777" w:rsidTr="00864BD9">
        <w:trPr>
          <w:trHeight w:val="225"/>
        </w:trPr>
        <w:tc>
          <w:tcPr>
            <w:tcW w:w="1701" w:type="dxa"/>
            <w:tcMar>
              <w:top w:w="15" w:type="dxa"/>
              <w:left w:w="57" w:type="dxa"/>
              <w:bottom w:w="15" w:type="dxa"/>
              <w:right w:w="57" w:type="dxa"/>
            </w:tcMar>
            <w:vAlign w:val="center"/>
            <w:hideMark/>
          </w:tcPr>
          <w:p w14:paraId="3740F89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Likeability</w:t>
            </w:r>
          </w:p>
        </w:tc>
        <w:tc>
          <w:tcPr>
            <w:tcW w:w="567" w:type="dxa"/>
            <w:noWrap/>
            <w:tcMar>
              <w:top w:w="15" w:type="dxa"/>
              <w:left w:w="57" w:type="dxa"/>
              <w:bottom w:w="15" w:type="dxa"/>
              <w:right w:w="57" w:type="dxa"/>
            </w:tcMar>
            <w:vAlign w:val="center"/>
            <w:hideMark/>
          </w:tcPr>
          <w:p w14:paraId="528E717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3DA367D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993" w:type="dxa"/>
            <w:noWrap/>
            <w:tcMar>
              <w:top w:w="15" w:type="dxa"/>
              <w:left w:w="140" w:type="dxa"/>
              <w:bottom w:w="15" w:type="dxa"/>
              <w:right w:w="140" w:type="dxa"/>
            </w:tcMar>
            <w:vAlign w:val="center"/>
            <w:hideMark/>
          </w:tcPr>
          <w:p w14:paraId="40D3E19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-.454</w:t>
            </w:r>
          </w:p>
        </w:tc>
        <w:tc>
          <w:tcPr>
            <w:tcW w:w="708" w:type="dxa"/>
            <w:tcMar>
              <w:top w:w="15" w:type="dxa"/>
              <w:left w:w="140" w:type="dxa"/>
              <w:bottom w:w="15" w:type="dxa"/>
              <w:right w:w="140" w:type="dxa"/>
            </w:tcMar>
            <w:vAlign w:val="center"/>
            <w:hideMark/>
          </w:tcPr>
          <w:p w14:paraId="1B8193E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.105</w:t>
            </w:r>
          </w:p>
        </w:tc>
        <w:tc>
          <w:tcPr>
            <w:tcW w:w="851" w:type="dxa"/>
            <w:noWrap/>
            <w:tcMar>
              <w:top w:w="15" w:type="dxa"/>
              <w:left w:w="140" w:type="dxa"/>
              <w:bottom w:w="15" w:type="dxa"/>
              <w:right w:w="140" w:type="dxa"/>
            </w:tcMar>
            <w:vAlign w:val="center"/>
            <w:hideMark/>
          </w:tcPr>
          <w:p w14:paraId="5513D40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-4.322</w:t>
            </w:r>
          </w:p>
        </w:tc>
        <w:tc>
          <w:tcPr>
            <w:tcW w:w="709" w:type="dxa"/>
            <w:tcMar>
              <w:top w:w="15" w:type="dxa"/>
              <w:left w:w="140" w:type="dxa"/>
              <w:bottom w:w="15" w:type="dxa"/>
              <w:right w:w="140" w:type="dxa"/>
            </w:tcMar>
            <w:vAlign w:val="center"/>
            <w:hideMark/>
          </w:tcPr>
          <w:p w14:paraId="74BA7CA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3FDC7060" w14:textId="77777777" w:rsidTr="00864BD9">
        <w:trPr>
          <w:trHeight w:val="216"/>
        </w:trPr>
        <w:tc>
          <w:tcPr>
            <w:tcW w:w="1701" w:type="dxa"/>
            <w:tcMar>
              <w:top w:w="15" w:type="dxa"/>
              <w:left w:w="57" w:type="dxa"/>
              <w:bottom w:w="15" w:type="dxa"/>
              <w:right w:w="57" w:type="dxa"/>
            </w:tcMar>
            <w:vAlign w:val="center"/>
            <w:hideMark/>
          </w:tcPr>
          <w:p w14:paraId="5FDD588B"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Emotional brand</w:t>
            </w:r>
          </w:p>
        </w:tc>
        <w:tc>
          <w:tcPr>
            <w:tcW w:w="567" w:type="dxa"/>
            <w:noWrap/>
            <w:tcMar>
              <w:top w:w="15" w:type="dxa"/>
              <w:left w:w="57" w:type="dxa"/>
              <w:bottom w:w="15" w:type="dxa"/>
              <w:right w:w="57" w:type="dxa"/>
            </w:tcMar>
            <w:vAlign w:val="center"/>
            <w:hideMark/>
          </w:tcPr>
          <w:p w14:paraId="499AAB0E"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4DA11AC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993" w:type="dxa"/>
            <w:noWrap/>
            <w:tcMar>
              <w:top w:w="15" w:type="dxa"/>
              <w:left w:w="140" w:type="dxa"/>
              <w:bottom w:w="15" w:type="dxa"/>
              <w:right w:w="140" w:type="dxa"/>
            </w:tcMar>
            <w:vAlign w:val="center"/>
            <w:hideMark/>
          </w:tcPr>
          <w:p w14:paraId="388CB38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-.453</w:t>
            </w:r>
          </w:p>
        </w:tc>
        <w:tc>
          <w:tcPr>
            <w:tcW w:w="708" w:type="dxa"/>
            <w:tcMar>
              <w:top w:w="15" w:type="dxa"/>
              <w:left w:w="140" w:type="dxa"/>
              <w:bottom w:w="15" w:type="dxa"/>
              <w:right w:w="140" w:type="dxa"/>
            </w:tcMar>
            <w:vAlign w:val="center"/>
            <w:hideMark/>
          </w:tcPr>
          <w:p w14:paraId="08CF680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.126</w:t>
            </w:r>
          </w:p>
        </w:tc>
        <w:tc>
          <w:tcPr>
            <w:tcW w:w="851" w:type="dxa"/>
            <w:noWrap/>
            <w:tcMar>
              <w:top w:w="15" w:type="dxa"/>
              <w:left w:w="140" w:type="dxa"/>
              <w:bottom w:w="15" w:type="dxa"/>
              <w:right w:w="140" w:type="dxa"/>
            </w:tcMar>
            <w:vAlign w:val="center"/>
            <w:hideMark/>
          </w:tcPr>
          <w:p w14:paraId="17D7B52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-3.597</w:t>
            </w:r>
          </w:p>
        </w:tc>
        <w:tc>
          <w:tcPr>
            <w:tcW w:w="709" w:type="dxa"/>
            <w:tcMar>
              <w:top w:w="15" w:type="dxa"/>
              <w:left w:w="140" w:type="dxa"/>
              <w:bottom w:w="15" w:type="dxa"/>
              <w:right w:w="140" w:type="dxa"/>
            </w:tcMar>
            <w:vAlign w:val="center"/>
            <w:hideMark/>
          </w:tcPr>
          <w:p w14:paraId="494D91B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0E74FEF1" w14:textId="77777777" w:rsidTr="00864BD9">
        <w:trPr>
          <w:trHeight w:val="225"/>
        </w:trPr>
        <w:tc>
          <w:tcPr>
            <w:tcW w:w="1701" w:type="dxa"/>
            <w:tcMar>
              <w:top w:w="15" w:type="dxa"/>
              <w:left w:w="57" w:type="dxa"/>
              <w:bottom w:w="15" w:type="dxa"/>
              <w:right w:w="57" w:type="dxa"/>
            </w:tcMar>
            <w:vAlign w:val="center"/>
            <w:hideMark/>
          </w:tcPr>
          <w:p w14:paraId="06CFEA9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trust</w:t>
            </w:r>
          </w:p>
        </w:tc>
        <w:tc>
          <w:tcPr>
            <w:tcW w:w="567" w:type="dxa"/>
            <w:noWrap/>
            <w:tcMar>
              <w:top w:w="15" w:type="dxa"/>
              <w:left w:w="57" w:type="dxa"/>
              <w:bottom w:w="15" w:type="dxa"/>
              <w:right w:w="57" w:type="dxa"/>
            </w:tcMar>
            <w:vAlign w:val="center"/>
            <w:hideMark/>
          </w:tcPr>
          <w:p w14:paraId="71687DC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50ADEE9E"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993" w:type="dxa"/>
            <w:noWrap/>
            <w:tcMar>
              <w:top w:w="15" w:type="dxa"/>
              <w:left w:w="140" w:type="dxa"/>
              <w:bottom w:w="15" w:type="dxa"/>
              <w:right w:w="140" w:type="dxa"/>
            </w:tcMar>
            <w:vAlign w:val="center"/>
            <w:hideMark/>
          </w:tcPr>
          <w:p w14:paraId="3BA80D9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-.591</w:t>
            </w:r>
          </w:p>
        </w:tc>
        <w:tc>
          <w:tcPr>
            <w:tcW w:w="708" w:type="dxa"/>
            <w:tcMar>
              <w:top w:w="15" w:type="dxa"/>
              <w:left w:w="140" w:type="dxa"/>
              <w:bottom w:w="15" w:type="dxa"/>
              <w:right w:w="140" w:type="dxa"/>
            </w:tcMar>
            <w:vAlign w:val="center"/>
            <w:hideMark/>
          </w:tcPr>
          <w:p w14:paraId="391D82A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.121</w:t>
            </w:r>
          </w:p>
        </w:tc>
        <w:tc>
          <w:tcPr>
            <w:tcW w:w="851" w:type="dxa"/>
            <w:noWrap/>
            <w:tcMar>
              <w:top w:w="15" w:type="dxa"/>
              <w:left w:w="140" w:type="dxa"/>
              <w:bottom w:w="15" w:type="dxa"/>
              <w:right w:w="140" w:type="dxa"/>
            </w:tcMar>
            <w:vAlign w:val="center"/>
            <w:hideMark/>
          </w:tcPr>
          <w:p w14:paraId="3C2996E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-4.865</w:t>
            </w:r>
          </w:p>
        </w:tc>
        <w:tc>
          <w:tcPr>
            <w:tcW w:w="709" w:type="dxa"/>
            <w:tcMar>
              <w:top w:w="15" w:type="dxa"/>
              <w:left w:w="140" w:type="dxa"/>
              <w:bottom w:w="15" w:type="dxa"/>
              <w:right w:w="140" w:type="dxa"/>
            </w:tcMar>
            <w:vAlign w:val="center"/>
            <w:hideMark/>
          </w:tcPr>
          <w:p w14:paraId="229021F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554F980E" w14:textId="77777777" w:rsidTr="00864BD9">
        <w:trPr>
          <w:trHeight w:val="225"/>
        </w:trPr>
        <w:tc>
          <w:tcPr>
            <w:tcW w:w="1701" w:type="dxa"/>
            <w:tcMar>
              <w:top w:w="15" w:type="dxa"/>
              <w:left w:w="57" w:type="dxa"/>
              <w:bottom w:w="15" w:type="dxa"/>
              <w:right w:w="57" w:type="dxa"/>
            </w:tcMar>
            <w:vAlign w:val="center"/>
            <w:hideMark/>
          </w:tcPr>
          <w:p w14:paraId="39652C1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functionality</w:t>
            </w:r>
          </w:p>
        </w:tc>
        <w:tc>
          <w:tcPr>
            <w:tcW w:w="567" w:type="dxa"/>
            <w:noWrap/>
            <w:tcMar>
              <w:top w:w="15" w:type="dxa"/>
              <w:left w:w="57" w:type="dxa"/>
              <w:bottom w:w="15" w:type="dxa"/>
              <w:right w:w="57" w:type="dxa"/>
            </w:tcMar>
            <w:vAlign w:val="center"/>
            <w:hideMark/>
          </w:tcPr>
          <w:p w14:paraId="7958F4D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64B707A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993" w:type="dxa"/>
            <w:tcMar>
              <w:top w:w="15" w:type="dxa"/>
              <w:left w:w="140" w:type="dxa"/>
              <w:bottom w:w="15" w:type="dxa"/>
              <w:right w:w="140" w:type="dxa"/>
            </w:tcMar>
            <w:vAlign w:val="center"/>
            <w:hideMark/>
          </w:tcPr>
          <w:p w14:paraId="5CAD2FD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.148</w:t>
            </w:r>
          </w:p>
        </w:tc>
        <w:tc>
          <w:tcPr>
            <w:tcW w:w="708" w:type="dxa"/>
            <w:tcMar>
              <w:top w:w="15" w:type="dxa"/>
              <w:left w:w="140" w:type="dxa"/>
              <w:bottom w:w="15" w:type="dxa"/>
              <w:right w:w="140" w:type="dxa"/>
            </w:tcMar>
            <w:vAlign w:val="center"/>
            <w:hideMark/>
          </w:tcPr>
          <w:p w14:paraId="7B1212D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.113</w:t>
            </w:r>
          </w:p>
        </w:tc>
        <w:tc>
          <w:tcPr>
            <w:tcW w:w="851" w:type="dxa"/>
            <w:tcMar>
              <w:top w:w="15" w:type="dxa"/>
              <w:left w:w="140" w:type="dxa"/>
              <w:bottom w:w="15" w:type="dxa"/>
              <w:right w:w="140" w:type="dxa"/>
            </w:tcMar>
            <w:vAlign w:val="center"/>
            <w:hideMark/>
          </w:tcPr>
          <w:p w14:paraId="7F69AEF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1.313</w:t>
            </w:r>
          </w:p>
        </w:tc>
        <w:tc>
          <w:tcPr>
            <w:tcW w:w="709" w:type="dxa"/>
            <w:tcMar>
              <w:top w:w="15" w:type="dxa"/>
              <w:left w:w="140" w:type="dxa"/>
              <w:bottom w:w="15" w:type="dxa"/>
              <w:right w:w="140" w:type="dxa"/>
            </w:tcMar>
            <w:vAlign w:val="center"/>
            <w:hideMark/>
          </w:tcPr>
          <w:p w14:paraId="146A83D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.189</w:t>
            </w:r>
          </w:p>
        </w:tc>
      </w:tr>
      <w:tr w:rsidR="00864BD9" w:rsidRPr="00D53E24" w14:paraId="14D5F8EE" w14:textId="77777777" w:rsidTr="00864BD9">
        <w:trPr>
          <w:trHeight w:val="216"/>
        </w:trPr>
        <w:tc>
          <w:tcPr>
            <w:tcW w:w="1701" w:type="dxa"/>
            <w:tcMar>
              <w:top w:w="15" w:type="dxa"/>
              <w:left w:w="57" w:type="dxa"/>
              <w:bottom w:w="15" w:type="dxa"/>
              <w:right w:w="57" w:type="dxa"/>
            </w:tcMar>
            <w:vAlign w:val="center"/>
            <w:hideMark/>
          </w:tcPr>
          <w:p w14:paraId="6989349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Likeability</w:t>
            </w:r>
          </w:p>
        </w:tc>
        <w:tc>
          <w:tcPr>
            <w:tcW w:w="567" w:type="dxa"/>
            <w:noWrap/>
            <w:tcMar>
              <w:top w:w="15" w:type="dxa"/>
              <w:left w:w="57" w:type="dxa"/>
              <w:bottom w:w="15" w:type="dxa"/>
              <w:right w:w="57" w:type="dxa"/>
            </w:tcMar>
            <w:vAlign w:val="center"/>
            <w:hideMark/>
          </w:tcPr>
          <w:p w14:paraId="4FB36716"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308695D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993" w:type="dxa"/>
            <w:tcMar>
              <w:top w:w="15" w:type="dxa"/>
              <w:left w:w="140" w:type="dxa"/>
              <w:bottom w:w="15" w:type="dxa"/>
              <w:right w:w="140" w:type="dxa"/>
            </w:tcMar>
            <w:vAlign w:val="center"/>
            <w:hideMark/>
          </w:tcPr>
          <w:p w14:paraId="362FA46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.552</w:t>
            </w:r>
          </w:p>
        </w:tc>
        <w:tc>
          <w:tcPr>
            <w:tcW w:w="708" w:type="dxa"/>
            <w:tcMar>
              <w:top w:w="15" w:type="dxa"/>
              <w:left w:w="140" w:type="dxa"/>
              <w:bottom w:w="15" w:type="dxa"/>
              <w:right w:w="140" w:type="dxa"/>
            </w:tcMar>
            <w:vAlign w:val="center"/>
            <w:hideMark/>
          </w:tcPr>
          <w:p w14:paraId="5CC23BC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.106</w:t>
            </w:r>
          </w:p>
        </w:tc>
        <w:tc>
          <w:tcPr>
            <w:tcW w:w="851" w:type="dxa"/>
            <w:tcMar>
              <w:top w:w="15" w:type="dxa"/>
              <w:left w:w="140" w:type="dxa"/>
              <w:bottom w:w="15" w:type="dxa"/>
              <w:right w:w="140" w:type="dxa"/>
            </w:tcMar>
            <w:vAlign w:val="center"/>
            <w:hideMark/>
          </w:tcPr>
          <w:p w14:paraId="227C755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5.211</w:t>
            </w:r>
          </w:p>
        </w:tc>
        <w:tc>
          <w:tcPr>
            <w:tcW w:w="709" w:type="dxa"/>
            <w:tcMar>
              <w:top w:w="15" w:type="dxa"/>
              <w:left w:w="140" w:type="dxa"/>
              <w:bottom w:w="15" w:type="dxa"/>
              <w:right w:w="140" w:type="dxa"/>
            </w:tcMar>
            <w:vAlign w:val="center"/>
            <w:hideMark/>
          </w:tcPr>
          <w:p w14:paraId="1BAE9D5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1DD46C77" w14:textId="77777777" w:rsidTr="00864BD9">
        <w:trPr>
          <w:trHeight w:val="225"/>
        </w:trPr>
        <w:tc>
          <w:tcPr>
            <w:tcW w:w="1701" w:type="dxa"/>
            <w:tcMar>
              <w:top w:w="15" w:type="dxa"/>
              <w:left w:w="57" w:type="dxa"/>
              <w:bottom w:w="15" w:type="dxa"/>
              <w:right w:w="57" w:type="dxa"/>
            </w:tcMar>
            <w:vAlign w:val="center"/>
            <w:hideMark/>
          </w:tcPr>
          <w:p w14:paraId="6FBB876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Emotional brand</w:t>
            </w:r>
          </w:p>
        </w:tc>
        <w:tc>
          <w:tcPr>
            <w:tcW w:w="567" w:type="dxa"/>
            <w:noWrap/>
            <w:tcMar>
              <w:top w:w="15" w:type="dxa"/>
              <w:left w:w="57" w:type="dxa"/>
              <w:bottom w:w="15" w:type="dxa"/>
              <w:right w:w="57" w:type="dxa"/>
            </w:tcMar>
            <w:vAlign w:val="center"/>
            <w:hideMark/>
          </w:tcPr>
          <w:p w14:paraId="08460BBB"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023CB6E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993" w:type="dxa"/>
            <w:tcMar>
              <w:top w:w="15" w:type="dxa"/>
              <w:left w:w="140" w:type="dxa"/>
              <w:bottom w:w="15" w:type="dxa"/>
              <w:right w:w="140" w:type="dxa"/>
            </w:tcMar>
            <w:vAlign w:val="center"/>
            <w:hideMark/>
          </w:tcPr>
          <w:p w14:paraId="6E41E86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.618</w:t>
            </w:r>
          </w:p>
        </w:tc>
        <w:tc>
          <w:tcPr>
            <w:tcW w:w="708" w:type="dxa"/>
            <w:tcMar>
              <w:top w:w="15" w:type="dxa"/>
              <w:left w:w="140" w:type="dxa"/>
              <w:bottom w:w="15" w:type="dxa"/>
              <w:right w:w="140" w:type="dxa"/>
            </w:tcMar>
            <w:vAlign w:val="center"/>
            <w:hideMark/>
          </w:tcPr>
          <w:p w14:paraId="717D968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.127</w:t>
            </w:r>
          </w:p>
        </w:tc>
        <w:tc>
          <w:tcPr>
            <w:tcW w:w="851" w:type="dxa"/>
            <w:tcMar>
              <w:top w:w="15" w:type="dxa"/>
              <w:left w:w="140" w:type="dxa"/>
              <w:bottom w:w="15" w:type="dxa"/>
              <w:right w:w="140" w:type="dxa"/>
            </w:tcMar>
            <w:vAlign w:val="center"/>
            <w:hideMark/>
          </w:tcPr>
          <w:p w14:paraId="7A03B09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4.861</w:t>
            </w:r>
          </w:p>
        </w:tc>
        <w:tc>
          <w:tcPr>
            <w:tcW w:w="709" w:type="dxa"/>
            <w:tcMar>
              <w:top w:w="15" w:type="dxa"/>
              <w:left w:w="140" w:type="dxa"/>
              <w:bottom w:w="15" w:type="dxa"/>
              <w:right w:w="140" w:type="dxa"/>
            </w:tcMar>
            <w:vAlign w:val="center"/>
            <w:hideMark/>
          </w:tcPr>
          <w:p w14:paraId="7A9AC06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2A76F5FF" w14:textId="77777777" w:rsidTr="00864BD9">
        <w:trPr>
          <w:trHeight w:val="216"/>
        </w:trPr>
        <w:tc>
          <w:tcPr>
            <w:tcW w:w="1701" w:type="dxa"/>
            <w:tcMar>
              <w:top w:w="15" w:type="dxa"/>
              <w:left w:w="57" w:type="dxa"/>
              <w:bottom w:w="15" w:type="dxa"/>
              <w:right w:w="57" w:type="dxa"/>
            </w:tcMar>
            <w:vAlign w:val="center"/>
            <w:hideMark/>
          </w:tcPr>
          <w:p w14:paraId="7951CF7E"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trust</w:t>
            </w:r>
          </w:p>
        </w:tc>
        <w:tc>
          <w:tcPr>
            <w:tcW w:w="567" w:type="dxa"/>
            <w:noWrap/>
            <w:tcMar>
              <w:top w:w="15" w:type="dxa"/>
              <w:left w:w="57" w:type="dxa"/>
              <w:bottom w:w="15" w:type="dxa"/>
              <w:right w:w="57" w:type="dxa"/>
            </w:tcMar>
            <w:vAlign w:val="center"/>
            <w:hideMark/>
          </w:tcPr>
          <w:p w14:paraId="529212C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48E8306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993" w:type="dxa"/>
            <w:tcMar>
              <w:top w:w="15" w:type="dxa"/>
              <w:left w:w="140" w:type="dxa"/>
              <w:bottom w:w="15" w:type="dxa"/>
              <w:right w:w="140" w:type="dxa"/>
            </w:tcMar>
            <w:vAlign w:val="center"/>
            <w:hideMark/>
          </w:tcPr>
          <w:p w14:paraId="0E95581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.292</w:t>
            </w:r>
          </w:p>
        </w:tc>
        <w:tc>
          <w:tcPr>
            <w:tcW w:w="708" w:type="dxa"/>
            <w:tcMar>
              <w:top w:w="15" w:type="dxa"/>
              <w:left w:w="140" w:type="dxa"/>
              <w:bottom w:w="15" w:type="dxa"/>
              <w:right w:w="140" w:type="dxa"/>
            </w:tcMar>
            <w:vAlign w:val="center"/>
            <w:hideMark/>
          </w:tcPr>
          <w:p w14:paraId="1260B26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.123</w:t>
            </w:r>
          </w:p>
        </w:tc>
        <w:tc>
          <w:tcPr>
            <w:tcW w:w="851" w:type="dxa"/>
            <w:tcMar>
              <w:top w:w="15" w:type="dxa"/>
              <w:left w:w="140" w:type="dxa"/>
              <w:bottom w:w="15" w:type="dxa"/>
              <w:right w:w="140" w:type="dxa"/>
            </w:tcMar>
            <w:vAlign w:val="center"/>
            <w:hideMark/>
          </w:tcPr>
          <w:p w14:paraId="22A83F82"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2.387</w:t>
            </w:r>
          </w:p>
        </w:tc>
        <w:tc>
          <w:tcPr>
            <w:tcW w:w="709" w:type="dxa"/>
            <w:tcMar>
              <w:top w:w="15" w:type="dxa"/>
              <w:left w:w="140" w:type="dxa"/>
              <w:bottom w:w="15" w:type="dxa"/>
              <w:right w:w="140" w:type="dxa"/>
            </w:tcMar>
            <w:vAlign w:val="center"/>
            <w:hideMark/>
          </w:tcPr>
          <w:p w14:paraId="2B9912E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.017</w:t>
            </w:r>
          </w:p>
        </w:tc>
      </w:tr>
      <w:tr w:rsidR="00864BD9" w:rsidRPr="00D53E24" w14:paraId="2A5BCF6D" w14:textId="77777777" w:rsidTr="00864BD9">
        <w:trPr>
          <w:trHeight w:val="225"/>
        </w:trPr>
        <w:tc>
          <w:tcPr>
            <w:tcW w:w="1701" w:type="dxa"/>
            <w:tcMar>
              <w:top w:w="15" w:type="dxa"/>
              <w:left w:w="57" w:type="dxa"/>
              <w:bottom w:w="15" w:type="dxa"/>
              <w:right w:w="57" w:type="dxa"/>
            </w:tcMar>
            <w:vAlign w:val="center"/>
            <w:hideMark/>
          </w:tcPr>
          <w:p w14:paraId="30C7F57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Ad Likeability</w:t>
            </w:r>
          </w:p>
        </w:tc>
        <w:tc>
          <w:tcPr>
            <w:tcW w:w="567" w:type="dxa"/>
            <w:noWrap/>
            <w:tcMar>
              <w:top w:w="15" w:type="dxa"/>
              <w:left w:w="57" w:type="dxa"/>
              <w:bottom w:w="15" w:type="dxa"/>
              <w:right w:w="57" w:type="dxa"/>
            </w:tcMar>
            <w:vAlign w:val="center"/>
            <w:hideMark/>
          </w:tcPr>
          <w:p w14:paraId="0220375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28F8A48E"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993" w:type="dxa"/>
            <w:tcMar>
              <w:top w:w="15" w:type="dxa"/>
              <w:left w:w="140" w:type="dxa"/>
              <w:bottom w:w="15" w:type="dxa"/>
              <w:right w:w="140" w:type="dxa"/>
            </w:tcMar>
            <w:vAlign w:val="center"/>
            <w:hideMark/>
          </w:tcPr>
          <w:p w14:paraId="65CDB72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.948</w:t>
            </w:r>
          </w:p>
        </w:tc>
        <w:tc>
          <w:tcPr>
            <w:tcW w:w="708" w:type="dxa"/>
            <w:tcMar>
              <w:top w:w="15" w:type="dxa"/>
              <w:left w:w="140" w:type="dxa"/>
              <w:bottom w:w="15" w:type="dxa"/>
              <w:right w:w="140" w:type="dxa"/>
            </w:tcMar>
            <w:vAlign w:val="center"/>
            <w:hideMark/>
          </w:tcPr>
          <w:p w14:paraId="1FF81C4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.111</w:t>
            </w:r>
          </w:p>
        </w:tc>
        <w:tc>
          <w:tcPr>
            <w:tcW w:w="851" w:type="dxa"/>
            <w:tcMar>
              <w:top w:w="15" w:type="dxa"/>
              <w:left w:w="140" w:type="dxa"/>
              <w:bottom w:w="15" w:type="dxa"/>
              <w:right w:w="140" w:type="dxa"/>
            </w:tcMar>
            <w:vAlign w:val="center"/>
            <w:hideMark/>
          </w:tcPr>
          <w:p w14:paraId="0C62743E"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8.552</w:t>
            </w:r>
          </w:p>
        </w:tc>
        <w:tc>
          <w:tcPr>
            <w:tcW w:w="709" w:type="dxa"/>
            <w:tcMar>
              <w:top w:w="15" w:type="dxa"/>
              <w:left w:w="140" w:type="dxa"/>
              <w:bottom w:w="15" w:type="dxa"/>
              <w:right w:w="140" w:type="dxa"/>
            </w:tcMar>
            <w:vAlign w:val="center"/>
            <w:hideMark/>
          </w:tcPr>
          <w:p w14:paraId="38121FD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3942C4E4" w14:textId="77777777" w:rsidTr="00864BD9">
        <w:trPr>
          <w:trHeight w:val="225"/>
        </w:trPr>
        <w:tc>
          <w:tcPr>
            <w:tcW w:w="1701" w:type="dxa"/>
            <w:tcMar>
              <w:top w:w="15" w:type="dxa"/>
              <w:left w:w="57" w:type="dxa"/>
              <w:bottom w:w="15" w:type="dxa"/>
              <w:right w:w="57" w:type="dxa"/>
            </w:tcMar>
            <w:vAlign w:val="center"/>
            <w:hideMark/>
          </w:tcPr>
          <w:p w14:paraId="1F31400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3F72CFB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3297AB00"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Ad Likeability</w:t>
            </w:r>
          </w:p>
        </w:tc>
        <w:tc>
          <w:tcPr>
            <w:tcW w:w="993" w:type="dxa"/>
            <w:tcMar>
              <w:top w:w="15" w:type="dxa"/>
              <w:left w:w="140" w:type="dxa"/>
              <w:bottom w:w="15" w:type="dxa"/>
              <w:right w:w="140" w:type="dxa"/>
            </w:tcMar>
            <w:vAlign w:val="center"/>
            <w:hideMark/>
          </w:tcPr>
          <w:p w14:paraId="7F87DAB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.112</w:t>
            </w:r>
          </w:p>
        </w:tc>
        <w:tc>
          <w:tcPr>
            <w:tcW w:w="708" w:type="dxa"/>
            <w:tcMar>
              <w:top w:w="15" w:type="dxa"/>
              <w:left w:w="140" w:type="dxa"/>
              <w:bottom w:w="15" w:type="dxa"/>
              <w:right w:w="140" w:type="dxa"/>
            </w:tcMar>
            <w:vAlign w:val="center"/>
            <w:hideMark/>
          </w:tcPr>
          <w:p w14:paraId="19DE95C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.031</w:t>
            </w:r>
          </w:p>
        </w:tc>
        <w:tc>
          <w:tcPr>
            <w:tcW w:w="851" w:type="dxa"/>
            <w:tcMar>
              <w:top w:w="15" w:type="dxa"/>
              <w:left w:w="140" w:type="dxa"/>
              <w:bottom w:w="15" w:type="dxa"/>
              <w:right w:w="140" w:type="dxa"/>
            </w:tcMar>
            <w:vAlign w:val="center"/>
            <w:hideMark/>
          </w:tcPr>
          <w:p w14:paraId="0B2460A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3.606</w:t>
            </w:r>
          </w:p>
        </w:tc>
        <w:tc>
          <w:tcPr>
            <w:tcW w:w="709" w:type="dxa"/>
            <w:tcMar>
              <w:top w:w="15" w:type="dxa"/>
              <w:left w:w="140" w:type="dxa"/>
              <w:bottom w:w="15" w:type="dxa"/>
              <w:right w:w="140" w:type="dxa"/>
            </w:tcMar>
            <w:vAlign w:val="center"/>
            <w:hideMark/>
          </w:tcPr>
          <w:p w14:paraId="0D9C1E4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4A74F1A0" w14:textId="77777777" w:rsidTr="00864BD9">
        <w:trPr>
          <w:trHeight w:val="216"/>
        </w:trPr>
        <w:tc>
          <w:tcPr>
            <w:tcW w:w="1701" w:type="dxa"/>
            <w:tcMar>
              <w:top w:w="15" w:type="dxa"/>
              <w:left w:w="57" w:type="dxa"/>
              <w:bottom w:w="15" w:type="dxa"/>
              <w:right w:w="57" w:type="dxa"/>
            </w:tcMar>
            <w:vAlign w:val="center"/>
            <w:hideMark/>
          </w:tcPr>
          <w:p w14:paraId="518827A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6F664726"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41C464F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functionality</w:t>
            </w:r>
          </w:p>
        </w:tc>
        <w:tc>
          <w:tcPr>
            <w:tcW w:w="993" w:type="dxa"/>
            <w:tcMar>
              <w:top w:w="15" w:type="dxa"/>
              <w:left w:w="140" w:type="dxa"/>
              <w:bottom w:w="15" w:type="dxa"/>
              <w:right w:w="140" w:type="dxa"/>
            </w:tcMar>
            <w:vAlign w:val="center"/>
            <w:hideMark/>
          </w:tcPr>
          <w:p w14:paraId="2661D11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.150</w:t>
            </w:r>
          </w:p>
        </w:tc>
        <w:tc>
          <w:tcPr>
            <w:tcW w:w="708" w:type="dxa"/>
            <w:tcMar>
              <w:top w:w="15" w:type="dxa"/>
              <w:left w:w="140" w:type="dxa"/>
              <w:bottom w:w="15" w:type="dxa"/>
              <w:right w:w="140" w:type="dxa"/>
            </w:tcMar>
            <w:vAlign w:val="center"/>
            <w:hideMark/>
          </w:tcPr>
          <w:p w14:paraId="119E264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.031</w:t>
            </w:r>
          </w:p>
        </w:tc>
        <w:tc>
          <w:tcPr>
            <w:tcW w:w="851" w:type="dxa"/>
            <w:tcMar>
              <w:top w:w="15" w:type="dxa"/>
              <w:left w:w="140" w:type="dxa"/>
              <w:bottom w:w="15" w:type="dxa"/>
              <w:right w:w="140" w:type="dxa"/>
            </w:tcMar>
            <w:vAlign w:val="center"/>
            <w:hideMark/>
          </w:tcPr>
          <w:p w14:paraId="7B2F7F5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4.878</w:t>
            </w:r>
          </w:p>
        </w:tc>
        <w:tc>
          <w:tcPr>
            <w:tcW w:w="709" w:type="dxa"/>
            <w:tcMar>
              <w:top w:w="15" w:type="dxa"/>
              <w:left w:w="140" w:type="dxa"/>
              <w:bottom w:w="15" w:type="dxa"/>
              <w:right w:w="140" w:type="dxa"/>
            </w:tcMar>
            <w:vAlign w:val="center"/>
            <w:hideMark/>
          </w:tcPr>
          <w:p w14:paraId="6834BE4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2669FC85" w14:textId="77777777" w:rsidTr="00864BD9">
        <w:trPr>
          <w:trHeight w:val="225"/>
        </w:trPr>
        <w:tc>
          <w:tcPr>
            <w:tcW w:w="1701" w:type="dxa"/>
            <w:tcMar>
              <w:top w:w="15" w:type="dxa"/>
              <w:left w:w="57" w:type="dxa"/>
              <w:bottom w:w="15" w:type="dxa"/>
              <w:right w:w="57" w:type="dxa"/>
            </w:tcMar>
            <w:vAlign w:val="center"/>
            <w:hideMark/>
          </w:tcPr>
          <w:p w14:paraId="036671A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0C23B89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516C476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Likeability</w:t>
            </w:r>
          </w:p>
        </w:tc>
        <w:tc>
          <w:tcPr>
            <w:tcW w:w="993" w:type="dxa"/>
            <w:tcMar>
              <w:top w:w="15" w:type="dxa"/>
              <w:left w:w="140" w:type="dxa"/>
              <w:bottom w:w="15" w:type="dxa"/>
              <w:right w:w="140" w:type="dxa"/>
            </w:tcMar>
            <w:vAlign w:val="center"/>
            <w:hideMark/>
          </w:tcPr>
          <w:p w14:paraId="41FCF5A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.363</w:t>
            </w:r>
          </w:p>
        </w:tc>
        <w:tc>
          <w:tcPr>
            <w:tcW w:w="708" w:type="dxa"/>
            <w:tcMar>
              <w:top w:w="15" w:type="dxa"/>
              <w:left w:w="140" w:type="dxa"/>
              <w:bottom w:w="15" w:type="dxa"/>
              <w:right w:w="140" w:type="dxa"/>
            </w:tcMar>
            <w:vAlign w:val="center"/>
            <w:hideMark/>
          </w:tcPr>
          <w:p w14:paraId="206874A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.033</w:t>
            </w:r>
          </w:p>
        </w:tc>
        <w:tc>
          <w:tcPr>
            <w:tcW w:w="851" w:type="dxa"/>
            <w:tcMar>
              <w:top w:w="15" w:type="dxa"/>
              <w:left w:w="140" w:type="dxa"/>
              <w:bottom w:w="15" w:type="dxa"/>
              <w:right w:w="140" w:type="dxa"/>
            </w:tcMar>
            <w:vAlign w:val="center"/>
            <w:hideMark/>
          </w:tcPr>
          <w:p w14:paraId="624F65C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11.130</w:t>
            </w:r>
          </w:p>
        </w:tc>
        <w:tc>
          <w:tcPr>
            <w:tcW w:w="709" w:type="dxa"/>
            <w:tcMar>
              <w:top w:w="15" w:type="dxa"/>
              <w:left w:w="140" w:type="dxa"/>
              <w:bottom w:w="15" w:type="dxa"/>
              <w:right w:w="140" w:type="dxa"/>
            </w:tcMar>
            <w:vAlign w:val="center"/>
            <w:hideMark/>
          </w:tcPr>
          <w:p w14:paraId="1B0192D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48A6FAEE" w14:textId="77777777" w:rsidTr="00864BD9">
        <w:trPr>
          <w:trHeight w:val="216"/>
        </w:trPr>
        <w:tc>
          <w:tcPr>
            <w:tcW w:w="1701" w:type="dxa"/>
            <w:tcMar>
              <w:top w:w="15" w:type="dxa"/>
              <w:left w:w="57" w:type="dxa"/>
              <w:bottom w:w="15" w:type="dxa"/>
              <w:right w:w="57" w:type="dxa"/>
            </w:tcMar>
            <w:vAlign w:val="center"/>
            <w:hideMark/>
          </w:tcPr>
          <w:p w14:paraId="4B0954AE"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4002734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390E0D8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Emotional brand</w:t>
            </w:r>
          </w:p>
        </w:tc>
        <w:tc>
          <w:tcPr>
            <w:tcW w:w="993" w:type="dxa"/>
            <w:tcMar>
              <w:top w:w="15" w:type="dxa"/>
              <w:left w:w="140" w:type="dxa"/>
              <w:bottom w:w="15" w:type="dxa"/>
              <w:right w:w="140" w:type="dxa"/>
            </w:tcMar>
            <w:vAlign w:val="center"/>
            <w:hideMark/>
          </w:tcPr>
          <w:p w14:paraId="6B2951C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.098</w:t>
            </w:r>
          </w:p>
        </w:tc>
        <w:tc>
          <w:tcPr>
            <w:tcW w:w="708" w:type="dxa"/>
            <w:tcMar>
              <w:top w:w="15" w:type="dxa"/>
              <w:left w:w="140" w:type="dxa"/>
              <w:bottom w:w="15" w:type="dxa"/>
              <w:right w:w="140" w:type="dxa"/>
            </w:tcMar>
            <w:vAlign w:val="center"/>
            <w:hideMark/>
          </w:tcPr>
          <w:p w14:paraId="2B33FEF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.027</w:t>
            </w:r>
          </w:p>
        </w:tc>
        <w:tc>
          <w:tcPr>
            <w:tcW w:w="851" w:type="dxa"/>
            <w:tcMar>
              <w:top w:w="15" w:type="dxa"/>
              <w:left w:w="140" w:type="dxa"/>
              <w:bottom w:w="15" w:type="dxa"/>
              <w:right w:w="140" w:type="dxa"/>
            </w:tcMar>
            <w:vAlign w:val="center"/>
            <w:hideMark/>
          </w:tcPr>
          <w:p w14:paraId="04C8128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3.588</w:t>
            </w:r>
          </w:p>
        </w:tc>
        <w:tc>
          <w:tcPr>
            <w:tcW w:w="709" w:type="dxa"/>
            <w:tcMar>
              <w:top w:w="15" w:type="dxa"/>
              <w:left w:w="140" w:type="dxa"/>
              <w:bottom w:w="15" w:type="dxa"/>
              <w:right w:w="140" w:type="dxa"/>
            </w:tcMar>
            <w:vAlign w:val="center"/>
            <w:hideMark/>
          </w:tcPr>
          <w:p w14:paraId="0A7BC0F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3DAF8557" w14:textId="77777777" w:rsidTr="00864BD9">
        <w:trPr>
          <w:trHeight w:val="225"/>
        </w:trPr>
        <w:tc>
          <w:tcPr>
            <w:tcW w:w="1701" w:type="dxa"/>
            <w:tcMar>
              <w:top w:w="15" w:type="dxa"/>
              <w:left w:w="57" w:type="dxa"/>
              <w:bottom w:w="15" w:type="dxa"/>
              <w:right w:w="57" w:type="dxa"/>
            </w:tcMar>
            <w:vAlign w:val="center"/>
            <w:hideMark/>
          </w:tcPr>
          <w:p w14:paraId="48F55A92"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07A0724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314CBC1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 xml:space="preserve">Income </w:t>
            </w:r>
          </w:p>
        </w:tc>
        <w:tc>
          <w:tcPr>
            <w:tcW w:w="993" w:type="dxa"/>
            <w:tcMar>
              <w:top w:w="15" w:type="dxa"/>
              <w:left w:w="140" w:type="dxa"/>
              <w:bottom w:w="15" w:type="dxa"/>
              <w:right w:w="140" w:type="dxa"/>
            </w:tcMar>
            <w:vAlign w:val="center"/>
            <w:hideMark/>
          </w:tcPr>
          <w:p w14:paraId="67D8EEA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.114</w:t>
            </w:r>
          </w:p>
        </w:tc>
        <w:tc>
          <w:tcPr>
            <w:tcW w:w="708" w:type="dxa"/>
            <w:tcMar>
              <w:top w:w="15" w:type="dxa"/>
              <w:left w:w="140" w:type="dxa"/>
              <w:bottom w:w="15" w:type="dxa"/>
              <w:right w:w="140" w:type="dxa"/>
            </w:tcMar>
            <w:vAlign w:val="center"/>
            <w:hideMark/>
          </w:tcPr>
          <w:p w14:paraId="0848B29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.076</w:t>
            </w:r>
          </w:p>
        </w:tc>
        <w:tc>
          <w:tcPr>
            <w:tcW w:w="851" w:type="dxa"/>
            <w:tcMar>
              <w:top w:w="15" w:type="dxa"/>
              <w:left w:w="140" w:type="dxa"/>
              <w:bottom w:w="15" w:type="dxa"/>
              <w:right w:w="140" w:type="dxa"/>
            </w:tcMar>
            <w:vAlign w:val="center"/>
            <w:hideMark/>
          </w:tcPr>
          <w:p w14:paraId="67F84BF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1.512</w:t>
            </w:r>
          </w:p>
        </w:tc>
        <w:tc>
          <w:tcPr>
            <w:tcW w:w="709" w:type="dxa"/>
            <w:tcMar>
              <w:top w:w="15" w:type="dxa"/>
              <w:left w:w="140" w:type="dxa"/>
              <w:bottom w:w="15" w:type="dxa"/>
              <w:right w:w="140" w:type="dxa"/>
            </w:tcMar>
            <w:vAlign w:val="center"/>
            <w:hideMark/>
          </w:tcPr>
          <w:p w14:paraId="3B86CE92"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.130</w:t>
            </w:r>
          </w:p>
        </w:tc>
      </w:tr>
      <w:tr w:rsidR="00864BD9" w:rsidRPr="00D53E24" w14:paraId="510C5CEF" w14:textId="77777777" w:rsidTr="00864BD9">
        <w:trPr>
          <w:trHeight w:val="225"/>
        </w:trPr>
        <w:tc>
          <w:tcPr>
            <w:tcW w:w="1701" w:type="dxa"/>
            <w:tcMar>
              <w:top w:w="15" w:type="dxa"/>
              <w:left w:w="57" w:type="dxa"/>
              <w:bottom w:w="15" w:type="dxa"/>
              <w:right w:w="57" w:type="dxa"/>
            </w:tcMar>
            <w:vAlign w:val="center"/>
            <w:hideMark/>
          </w:tcPr>
          <w:p w14:paraId="119B2D5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0926B760"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2D5598C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 xml:space="preserve">Gender </w:t>
            </w:r>
          </w:p>
        </w:tc>
        <w:tc>
          <w:tcPr>
            <w:tcW w:w="993" w:type="dxa"/>
            <w:tcMar>
              <w:top w:w="15" w:type="dxa"/>
              <w:left w:w="140" w:type="dxa"/>
              <w:bottom w:w="15" w:type="dxa"/>
              <w:right w:w="140" w:type="dxa"/>
            </w:tcMar>
            <w:vAlign w:val="center"/>
            <w:hideMark/>
          </w:tcPr>
          <w:p w14:paraId="47D28E9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.068</w:t>
            </w:r>
          </w:p>
        </w:tc>
        <w:tc>
          <w:tcPr>
            <w:tcW w:w="708" w:type="dxa"/>
            <w:tcMar>
              <w:top w:w="15" w:type="dxa"/>
              <w:left w:w="140" w:type="dxa"/>
              <w:bottom w:w="15" w:type="dxa"/>
              <w:right w:w="140" w:type="dxa"/>
            </w:tcMar>
            <w:vAlign w:val="center"/>
            <w:hideMark/>
          </w:tcPr>
          <w:p w14:paraId="73B411B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.086</w:t>
            </w:r>
          </w:p>
        </w:tc>
        <w:tc>
          <w:tcPr>
            <w:tcW w:w="851" w:type="dxa"/>
            <w:tcMar>
              <w:top w:w="15" w:type="dxa"/>
              <w:left w:w="140" w:type="dxa"/>
              <w:bottom w:w="15" w:type="dxa"/>
              <w:right w:w="140" w:type="dxa"/>
            </w:tcMar>
            <w:vAlign w:val="center"/>
            <w:hideMark/>
          </w:tcPr>
          <w:p w14:paraId="5E18666E"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.797</w:t>
            </w:r>
          </w:p>
        </w:tc>
        <w:tc>
          <w:tcPr>
            <w:tcW w:w="709" w:type="dxa"/>
            <w:tcMar>
              <w:top w:w="15" w:type="dxa"/>
              <w:left w:w="140" w:type="dxa"/>
              <w:bottom w:w="15" w:type="dxa"/>
              <w:right w:w="140" w:type="dxa"/>
            </w:tcMar>
            <w:vAlign w:val="center"/>
            <w:hideMark/>
          </w:tcPr>
          <w:p w14:paraId="691E78C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.426</w:t>
            </w:r>
          </w:p>
        </w:tc>
      </w:tr>
      <w:tr w:rsidR="00864BD9" w:rsidRPr="00D53E24" w14:paraId="0E2D6CE4" w14:textId="77777777" w:rsidTr="00864BD9">
        <w:trPr>
          <w:trHeight w:val="216"/>
        </w:trPr>
        <w:tc>
          <w:tcPr>
            <w:tcW w:w="1701" w:type="dxa"/>
            <w:tcMar>
              <w:top w:w="15" w:type="dxa"/>
              <w:left w:w="57" w:type="dxa"/>
              <w:bottom w:w="15" w:type="dxa"/>
              <w:right w:w="57" w:type="dxa"/>
            </w:tcMar>
            <w:vAlign w:val="center"/>
            <w:hideMark/>
          </w:tcPr>
          <w:p w14:paraId="6256133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1B2C0F62"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0456D362"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 xml:space="preserve">Education </w:t>
            </w:r>
          </w:p>
        </w:tc>
        <w:tc>
          <w:tcPr>
            <w:tcW w:w="993" w:type="dxa"/>
            <w:tcMar>
              <w:top w:w="15" w:type="dxa"/>
              <w:left w:w="140" w:type="dxa"/>
              <w:bottom w:w="15" w:type="dxa"/>
              <w:right w:w="140" w:type="dxa"/>
            </w:tcMar>
            <w:vAlign w:val="center"/>
            <w:hideMark/>
          </w:tcPr>
          <w:p w14:paraId="11F8139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.108</w:t>
            </w:r>
          </w:p>
        </w:tc>
        <w:tc>
          <w:tcPr>
            <w:tcW w:w="708" w:type="dxa"/>
            <w:tcMar>
              <w:top w:w="15" w:type="dxa"/>
              <w:left w:w="140" w:type="dxa"/>
              <w:bottom w:w="15" w:type="dxa"/>
              <w:right w:w="140" w:type="dxa"/>
            </w:tcMar>
            <w:vAlign w:val="center"/>
            <w:hideMark/>
          </w:tcPr>
          <w:p w14:paraId="7514828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.078</w:t>
            </w:r>
          </w:p>
        </w:tc>
        <w:tc>
          <w:tcPr>
            <w:tcW w:w="851" w:type="dxa"/>
            <w:tcMar>
              <w:top w:w="15" w:type="dxa"/>
              <w:left w:w="140" w:type="dxa"/>
              <w:bottom w:w="15" w:type="dxa"/>
              <w:right w:w="140" w:type="dxa"/>
            </w:tcMar>
            <w:vAlign w:val="center"/>
            <w:hideMark/>
          </w:tcPr>
          <w:p w14:paraId="2EDFC2B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1.397</w:t>
            </w:r>
          </w:p>
        </w:tc>
        <w:tc>
          <w:tcPr>
            <w:tcW w:w="709" w:type="dxa"/>
            <w:tcMar>
              <w:top w:w="15" w:type="dxa"/>
              <w:left w:w="140" w:type="dxa"/>
              <w:bottom w:w="15" w:type="dxa"/>
              <w:right w:w="140" w:type="dxa"/>
            </w:tcMar>
            <w:vAlign w:val="center"/>
            <w:hideMark/>
          </w:tcPr>
          <w:p w14:paraId="593CD7BE"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.162</w:t>
            </w:r>
          </w:p>
        </w:tc>
      </w:tr>
      <w:tr w:rsidR="00864BD9" w:rsidRPr="00D53E24" w14:paraId="656CA90A" w14:textId="77777777" w:rsidTr="00864BD9">
        <w:trPr>
          <w:trHeight w:val="225"/>
        </w:trPr>
        <w:tc>
          <w:tcPr>
            <w:tcW w:w="1701" w:type="dxa"/>
            <w:tcMar>
              <w:top w:w="15" w:type="dxa"/>
              <w:left w:w="57" w:type="dxa"/>
              <w:bottom w:w="15" w:type="dxa"/>
              <w:right w:w="57" w:type="dxa"/>
            </w:tcMar>
            <w:vAlign w:val="center"/>
            <w:hideMark/>
          </w:tcPr>
          <w:p w14:paraId="7FB72AA2"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30EB97D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592BF64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trust</w:t>
            </w:r>
          </w:p>
        </w:tc>
        <w:tc>
          <w:tcPr>
            <w:tcW w:w="993" w:type="dxa"/>
            <w:tcMar>
              <w:top w:w="15" w:type="dxa"/>
              <w:left w:w="140" w:type="dxa"/>
              <w:bottom w:w="15" w:type="dxa"/>
              <w:right w:w="140" w:type="dxa"/>
            </w:tcMar>
            <w:vAlign w:val="center"/>
            <w:hideMark/>
          </w:tcPr>
          <w:p w14:paraId="0693FB5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.356</w:t>
            </w:r>
          </w:p>
        </w:tc>
        <w:tc>
          <w:tcPr>
            <w:tcW w:w="708" w:type="dxa"/>
            <w:tcMar>
              <w:top w:w="15" w:type="dxa"/>
              <w:left w:w="140" w:type="dxa"/>
              <w:bottom w:w="15" w:type="dxa"/>
              <w:right w:w="140" w:type="dxa"/>
            </w:tcMar>
            <w:vAlign w:val="center"/>
            <w:hideMark/>
          </w:tcPr>
          <w:p w14:paraId="761D90D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.028</w:t>
            </w:r>
          </w:p>
        </w:tc>
        <w:tc>
          <w:tcPr>
            <w:tcW w:w="851" w:type="dxa"/>
            <w:tcMar>
              <w:top w:w="15" w:type="dxa"/>
              <w:left w:w="140" w:type="dxa"/>
              <w:bottom w:w="15" w:type="dxa"/>
              <w:right w:w="140" w:type="dxa"/>
            </w:tcMar>
            <w:vAlign w:val="center"/>
            <w:hideMark/>
          </w:tcPr>
          <w:p w14:paraId="674990D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12.622</w:t>
            </w:r>
          </w:p>
        </w:tc>
        <w:tc>
          <w:tcPr>
            <w:tcW w:w="709" w:type="dxa"/>
            <w:tcMar>
              <w:top w:w="15" w:type="dxa"/>
              <w:left w:w="140" w:type="dxa"/>
              <w:bottom w:w="15" w:type="dxa"/>
              <w:right w:w="140" w:type="dxa"/>
            </w:tcMar>
            <w:vAlign w:val="center"/>
            <w:hideMark/>
          </w:tcPr>
          <w:p w14:paraId="0C459B8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864BD9" w:rsidRPr="00D53E24" w14:paraId="19FECCF5" w14:textId="77777777" w:rsidTr="00864BD9">
        <w:trPr>
          <w:trHeight w:val="216"/>
        </w:trPr>
        <w:tc>
          <w:tcPr>
            <w:tcW w:w="1701" w:type="dxa"/>
            <w:tcMar>
              <w:top w:w="15" w:type="dxa"/>
              <w:left w:w="57" w:type="dxa"/>
              <w:bottom w:w="15" w:type="dxa"/>
              <w:right w:w="57" w:type="dxa"/>
            </w:tcMar>
            <w:vAlign w:val="center"/>
            <w:hideMark/>
          </w:tcPr>
          <w:p w14:paraId="149DCF69"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052A9C6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4EBEEA2B"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993" w:type="dxa"/>
            <w:noWrap/>
            <w:tcMar>
              <w:top w:w="15" w:type="dxa"/>
              <w:left w:w="140" w:type="dxa"/>
              <w:bottom w:w="15" w:type="dxa"/>
              <w:right w:w="140" w:type="dxa"/>
            </w:tcMar>
            <w:vAlign w:val="center"/>
            <w:hideMark/>
          </w:tcPr>
          <w:p w14:paraId="0D2A49C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-.069</w:t>
            </w:r>
          </w:p>
        </w:tc>
        <w:tc>
          <w:tcPr>
            <w:tcW w:w="708" w:type="dxa"/>
            <w:tcMar>
              <w:top w:w="15" w:type="dxa"/>
              <w:left w:w="140" w:type="dxa"/>
              <w:bottom w:w="15" w:type="dxa"/>
              <w:right w:w="140" w:type="dxa"/>
            </w:tcMar>
            <w:vAlign w:val="center"/>
            <w:hideMark/>
          </w:tcPr>
          <w:p w14:paraId="2A5D9FE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.081</w:t>
            </w:r>
          </w:p>
        </w:tc>
        <w:tc>
          <w:tcPr>
            <w:tcW w:w="851" w:type="dxa"/>
            <w:noWrap/>
            <w:tcMar>
              <w:top w:w="15" w:type="dxa"/>
              <w:left w:w="140" w:type="dxa"/>
              <w:bottom w:w="15" w:type="dxa"/>
              <w:right w:w="140" w:type="dxa"/>
            </w:tcMar>
            <w:vAlign w:val="center"/>
            <w:hideMark/>
          </w:tcPr>
          <w:p w14:paraId="64CB37E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-.854</w:t>
            </w:r>
          </w:p>
        </w:tc>
        <w:tc>
          <w:tcPr>
            <w:tcW w:w="709" w:type="dxa"/>
            <w:tcMar>
              <w:top w:w="15" w:type="dxa"/>
              <w:left w:w="140" w:type="dxa"/>
              <w:bottom w:w="15" w:type="dxa"/>
              <w:right w:w="140" w:type="dxa"/>
            </w:tcMar>
            <w:vAlign w:val="center"/>
            <w:hideMark/>
          </w:tcPr>
          <w:p w14:paraId="632B94F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.393</w:t>
            </w:r>
          </w:p>
        </w:tc>
      </w:tr>
      <w:tr w:rsidR="00864BD9" w:rsidRPr="00D53E24" w14:paraId="01A5B815" w14:textId="77777777" w:rsidTr="00864BD9">
        <w:trPr>
          <w:trHeight w:val="233"/>
        </w:trPr>
        <w:tc>
          <w:tcPr>
            <w:tcW w:w="1701" w:type="dxa"/>
            <w:tcMar>
              <w:top w:w="15" w:type="dxa"/>
              <w:left w:w="57" w:type="dxa"/>
              <w:bottom w:w="15" w:type="dxa"/>
              <w:right w:w="57" w:type="dxa"/>
            </w:tcMar>
            <w:vAlign w:val="center"/>
            <w:hideMark/>
          </w:tcPr>
          <w:p w14:paraId="5F0984D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567" w:type="dxa"/>
            <w:noWrap/>
            <w:tcMar>
              <w:top w:w="15" w:type="dxa"/>
              <w:left w:w="57" w:type="dxa"/>
              <w:bottom w:w="15" w:type="dxa"/>
              <w:right w:w="57" w:type="dxa"/>
            </w:tcMar>
            <w:vAlign w:val="center"/>
            <w:hideMark/>
          </w:tcPr>
          <w:p w14:paraId="0B39B13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42" w:type="dxa"/>
            <w:tcMar>
              <w:top w:w="15" w:type="dxa"/>
              <w:left w:w="140" w:type="dxa"/>
              <w:bottom w:w="15" w:type="dxa"/>
              <w:right w:w="140" w:type="dxa"/>
            </w:tcMar>
            <w:vAlign w:val="center"/>
            <w:hideMark/>
          </w:tcPr>
          <w:p w14:paraId="3F4FD8DB"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993" w:type="dxa"/>
            <w:tcMar>
              <w:top w:w="15" w:type="dxa"/>
              <w:left w:w="140" w:type="dxa"/>
              <w:bottom w:w="15" w:type="dxa"/>
              <w:right w:w="140" w:type="dxa"/>
            </w:tcMar>
            <w:vAlign w:val="center"/>
            <w:hideMark/>
          </w:tcPr>
          <w:p w14:paraId="753F0F8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.186</w:t>
            </w:r>
          </w:p>
        </w:tc>
        <w:tc>
          <w:tcPr>
            <w:tcW w:w="708" w:type="dxa"/>
            <w:tcMar>
              <w:top w:w="15" w:type="dxa"/>
              <w:left w:w="140" w:type="dxa"/>
              <w:bottom w:w="15" w:type="dxa"/>
              <w:right w:w="140" w:type="dxa"/>
            </w:tcMar>
            <w:vAlign w:val="center"/>
            <w:hideMark/>
          </w:tcPr>
          <w:p w14:paraId="0F44140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.085</w:t>
            </w:r>
          </w:p>
        </w:tc>
        <w:tc>
          <w:tcPr>
            <w:tcW w:w="851" w:type="dxa"/>
            <w:tcMar>
              <w:top w:w="15" w:type="dxa"/>
              <w:left w:w="140" w:type="dxa"/>
              <w:bottom w:w="15" w:type="dxa"/>
              <w:right w:w="140" w:type="dxa"/>
            </w:tcMar>
            <w:vAlign w:val="center"/>
            <w:hideMark/>
          </w:tcPr>
          <w:p w14:paraId="41C00902"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2.187</w:t>
            </w:r>
          </w:p>
        </w:tc>
        <w:tc>
          <w:tcPr>
            <w:tcW w:w="709" w:type="dxa"/>
            <w:tcMar>
              <w:top w:w="15" w:type="dxa"/>
              <w:left w:w="140" w:type="dxa"/>
              <w:bottom w:w="15" w:type="dxa"/>
              <w:right w:w="140" w:type="dxa"/>
            </w:tcMar>
            <w:vAlign w:val="center"/>
            <w:hideMark/>
          </w:tcPr>
          <w:p w14:paraId="7F2676BA" w14:textId="77777777" w:rsidR="00D65FF6" w:rsidRPr="00D53E24" w:rsidRDefault="00D65FF6" w:rsidP="00250620">
            <w:pPr>
              <w:keepNext/>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.029</w:t>
            </w:r>
          </w:p>
        </w:tc>
      </w:tr>
    </w:tbl>
    <w:bookmarkEnd w:id="176"/>
    <w:p w14:paraId="4D93B081" w14:textId="3AEBF762" w:rsidR="00D65FF6" w:rsidRPr="008D75D3" w:rsidRDefault="00250620" w:rsidP="00250620">
      <w:pPr>
        <w:pStyle w:val="Caption"/>
        <w:rPr>
          <w:rFonts w:asciiTheme="majorBidi" w:hAnsiTheme="majorBidi" w:cstheme="majorBidi"/>
          <w:sz w:val="24"/>
          <w:szCs w:val="24"/>
        </w:rPr>
      </w:pPr>
      <w:r>
        <w:t>Table 3</w:t>
      </w:r>
      <w:r w:rsidR="00864BD9">
        <w:t>7</w:t>
      </w:r>
      <w:r>
        <w:t xml:space="preserve"> Regression Weights: (</w:t>
      </w:r>
      <w:r w:rsidRPr="00250620">
        <w:t>(Group number 1 - Default model)</w:t>
      </w:r>
    </w:p>
    <w:p w14:paraId="17D66F1C" w14:textId="53B48368" w:rsidR="005F3782" w:rsidRPr="00864BD9" w:rsidRDefault="00D65FF6" w:rsidP="00864BD9">
      <w:pPr>
        <w:tabs>
          <w:tab w:val="left" w:pos="630"/>
        </w:tabs>
        <w:spacing w:line="240" w:lineRule="auto"/>
        <w:jc w:val="both"/>
        <w:rPr>
          <w:rFonts w:asciiTheme="majorBidi" w:hAnsiTheme="majorBidi" w:cstheme="majorBidi"/>
          <w:sz w:val="24"/>
          <w:szCs w:val="24"/>
        </w:rPr>
      </w:pPr>
      <w:r w:rsidRPr="008D75D3">
        <w:rPr>
          <w:rFonts w:asciiTheme="majorBidi" w:hAnsiTheme="majorBidi" w:cstheme="majorBidi"/>
          <w:sz w:val="24"/>
          <w:szCs w:val="24"/>
        </w:rPr>
        <w:t>* Means p-value&lt;0.0001, C</w:t>
      </w:r>
      <w:r>
        <w:rPr>
          <w:rFonts w:asciiTheme="majorBidi" w:hAnsiTheme="majorBidi" w:cstheme="majorBidi"/>
          <w:sz w:val="24"/>
          <w:szCs w:val="24"/>
        </w:rPr>
        <w:t>SR</w:t>
      </w:r>
      <w:r w:rsidRPr="008D75D3">
        <w:rPr>
          <w:rFonts w:asciiTheme="majorBidi" w:hAnsiTheme="majorBidi" w:cstheme="majorBidi"/>
          <w:sz w:val="24"/>
          <w:szCs w:val="24"/>
        </w:rPr>
        <w:t xml:space="preserve"> is a dummy variable </w:t>
      </w:r>
      <w:r>
        <w:rPr>
          <w:rFonts w:asciiTheme="majorBidi" w:hAnsiTheme="majorBidi" w:cstheme="majorBidi"/>
          <w:sz w:val="24"/>
          <w:szCs w:val="24"/>
        </w:rPr>
        <w:t>that takes</w:t>
      </w:r>
      <w:r w:rsidRPr="008D75D3">
        <w:rPr>
          <w:rFonts w:asciiTheme="majorBidi" w:hAnsiTheme="majorBidi" w:cstheme="majorBidi"/>
          <w:sz w:val="24"/>
          <w:szCs w:val="24"/>
        </w:rPr>
        <w:t xml:space="preserve"> 1 for CSR </w:t>
      </w:r>
      <w:r>
        <w:rPr>
          <w:rFonts w:asciiTheme="majorBidi" w:hAnsiTheme="majorBidi" w:cstheme="majorBidi"/>
          <w:sz w:val="24"/>
          <w:szCs w:val="24"/>
        </w:rPr>
        <w:t>communication</w:t>
      </w:r>
      <w:r w:rsidRPr="008D75D3">
        <w:rPr>
          <w:rFonts w:asciiTheme="majorBidi" w:hAnsiTheme="majorBidi" w:cstheme="majorBidi"/>
          <w:sz w:val="24"/>
          <w:szCs w:val="24"/>
        </w:rPr>
        <w:t xml:space="preserve"> and takes 0 for non-CSR </w:t>
      </w:r>
      <w:r>
        <w:rPr>
          <w:rFonts w:asciiTheme="majorBidi" w:hAnsiTheme="majorBidi" w:cstheme="majorBidi"/>
          <w:sz w:val="24"/>
          <w:szCs w:val="24"/>
        </w:rPr>
        <w:t>communication</w:t>
      </w:r>
      <w:r w:rsidRPr="008D75D3">
        <w:rPr>
          <w:rFonts w:asciiTheme="majorBidi" w:hAnsiTheme="majorBidi" w:cstheme="majorBidi"/>
          <w:sz w:val="24"/>
          <w:szCs w:val="24"/>
        </w:rPr>
        <w:t>. T</w:t>
      </w:r>
      <w:r>
        <w:rPr>
          <w:rFonts w:asciiTheme="majorBidi" w:hAnsiTheme="majorBidi" w:cstheme="majorBidi"/>
          <w:sz w:val="24"/>
          <w:szCs w:val="24"/>
        </w:rPr>
        <w:t>V</w:t>
      </w:r>
      <w:r w:rsidRPr="008D75D3">
        <w:rPr>
          <w:rFonts w:asciiTheme="majorBidi" w:hAnsiTheme="majorBidi" w:cstheme="majorBidi"/>
          <w:sz w:val="24"/>
          <w:szCs w:val="24"/>
        </w:rPr>
        <w:t xml:space="preserve"> is a dummy variable takes 0 for TV advertisements, and 1 for social media advertisements. Gender is a dummy variable take 0 for females, and 1 for males. Education is a dummy variable takes 0 for </w:t>
      </w:r>
      <w:r w:rsidR="0079567D">
        <w:rPr>
          <w:rFonts w:asciiTheme="majorBidi" w:hAnsiTheme="majorBidi" w:cstheme="majorBidi"/>
          <w:sz w:val="24"/>
          <w:szCs w:val="24"/>
        </w:rPr>
        <w:t>bachelor’s</w:t>
      </w:r>
      <w:r>
        <w:rPr>
          <w:rFonts w:asciiTheme="majorBidi" w:hAnsiTheme="majorBidi" w:cstheme="majorBidi"/>
          <w:sz w:val="24"/>
          <w:szCs w:val="24"/>
        </w:rPr>
        <w:t xml:space="preserve"> degree</w:t>
      </w:r>
      <w:r w:rsidRPr="008D75D3">
        <w:rPr>
          <w:rFonts w:asciiTheme="majorBidi" w:hAnsiTheme="majorBidi" w:cstheme="majorBidi"/>
          <w:sz w:val="24"/>
          <w:szCs w:val="24"/>
        </w:rPr>
        <w:t xml:space="preserve"> and less and 1 for post grad. Income is dummy variable for </w:t>
      </w:r>
      <w:r w:rsidRPr="00864BD9">
        <w:rPr>
          <w:rFonts w:asciiTheme="majorBidi" w:hAnsiTheme="majorBidi" w:cstheme="majorBidi"/>
          <w:sz w:val="24"/>
          <w:szCs w:val="24"/>
        </w:rPr>
        <w:t>income less than 15,000 and 1 for 15,000 and</w:t>
      </w:r>
      <w:r>
        <w:rPr>
          <w:rFonts w:asciiTheme="majorBidi" w:hAnsiTheme="majorBidi" w:cstheme="majorBidi"/>
          <w:sz w:val="24"/>
          <w:szCs w:val="24"/>
        </w:rPr>
        <w:t xml:space="preserve"> </w:t>
      </w:r>
      <w:r w:rsidRPr="008D75D3">
        <w:rPr>
          <w:rFonts w:asciiTheme="majorBidi" w:hAnsiTheme="majorBidi" w:cstheme="majorBidi"/>
          <w:sz w:val="24"/>
          <w:szCs w:val="24"/>
        </w:rPr>
        <w:t>more.</w:t>
      </w:r>
    </w:p>
    <w:p w14:paraId="007D466A" w14:textId="0C32E70C" w:rsidR="00D65FF6" w:rsidRDefault="00D65FF6" w:rsidP="00D65FF6">
      <w:pPr>
        <w:tabs>
          <w:tab w:val="left" w:pos="630"/>
        </w:tabs>
        <w:spacing w:after="0" w:line="480" w:lineRule="auto"/>
        <w:jc w:val="both"/>
        <w:rPr>
          <w:rFonts w:asciiTheme="majorBidi" w:hAnsiTheme="majorBidi" w:cstheme="majorBidi"/>
          <w:b/>
          <w:bCs/>
          <w:sz w:val="24"/>
          <w:szCs w:val="24"/>
        </w:rPr>
      </w:pPr>
      <w:bookmarkStart w:id="177" w:name="_Hlk149845819"/>
      <w:bookmarkEnd w:id="174"/>
      <w:r w:rsidRPr="007A3A9D">
        <w:rPr>
          <w:rFonts w:asciiTheme="majorBidi" w:hAnsiTheme="majorBidi" w:cstheme="majorBidi"/>
          <w:b/>
          <w:bCs/>
          <w:sz w:val="24"/>
          <w:szCs w:val="24"/>
        </w:rPr>
        <w:t>6.1</w:t>
      </w:r>
      <w:r w:rsidR="00C0315E">
        <w:rPr>
          <w:rFonts w:asciiTheme="majorBidi" w:hAnsiTheme="majorBidi" w:cstheme="majorBidi"/>
          <w:b/>
          <w:bCs/>
          <w:sz w:val="24"/>
          <w:szCs w:val="24"/>
        </w:rPr>
        <w:t>1</w:t>
      </w:r>
      <w:r w:rsidRPr="007A3A9D">
        <w:rPr>
          <w:rFonts w:asciiTheme="majorBidi" w:hAnsiTheme="majorBidi" w:cstheme="majorBidi"/>
          <w:b/>
          <w:bCs/>
          <w:sz w:val="24"/>
          <w:szCs w:val="24"/>
        </w:rPr>
        <w:t>.2 Estimating the model after excluding insignificant paths</w:t>
      </w:r>
    </w:p>
    <w:p w14:paraId="610313B8" w14:textId="4EB08110" w:rsidR="00D65FF6" w:rsidRPr="00E47550" w:rsidRDefault="00D65FF6" w:rsidP="00D65FF6">
      <w:pPr>
        <w:tabs>
          <w:tab w:val="left" w:pos="630"/>
        </w:tabs>
        <w:spacing w:after="0" w:line="480" w:lineRule="auto"/>
        <w:jc w:val="both"/>
        <w:rPr>
          <w:rFonts w:asciiTheme="majorBidi" w:hAnsiTheme="majorBidi" w:cstheme="majorBidi"/>
          <w:b/>
          <w:bCs/>
          <w:sz w:val="24"/>
          <w:szCs w:val="24"/>
        </w:rPr>
      </w:pPr>
      <w:r w:rsidRPr="007A3A9D">
        <w:rPr>
          <w:rFonts w:asciiTheme="majorBidi" w:hAnsiTheme="majorBidi" w:cstheme="majorBidi"/>
          <w:sz w:val="24"/>
          <w:szCs w:val="24"/>
        </w:rPr>
        <w:t>After removing insignificant paths, the following path model</w:t>
      </w:r>
      <w:r w:rsidR="0079567D">
        <w:rPr>
          <w:rFonts w:asciiTheme="majorBidi" w:hAnsiTheme="majorBidi" w:cstheme="majorBidi"/>
          <w:sz w:val="24"/>
          <w:szCs w:val="24"/>
        </w:rPr>
        <w:t xml:space="preserve"> in figure </w:t>
      </w:r>
      <w:r w:rsidR="00F35512">
        <w:rPr>
          <w:rFonts w:asciiTheme="majorBidi" w:hAnsiTheme="majorBidi" w:cstheme="majorBidi"/>
          <w:sz w:val="24"/>
          <w:szCs w:val="24"/>
        </w:rPr>
        <w:t>25</w:t>
      </w:r>
      <w:r w:rsidRPr="007A3A9D">
        <w:rPr>
          <w:rFonts w:asciiTheme="majorBidi" w:hAnsiTheme="majorBidi" w:cstheme="majorBidi"/>
          <w:sz w:val="24"/>
          <w:szCs w:val="24"/>
        </w:rPr>
        <w:t xml:space="preserve"> </w:t>
      </w:r>
      <w:r>
        <w:rPr>
          <w:rFonts w:asciiTheme="majorBidi" w:hAnsiTheme="majorBidi" w:cstheme="majorBidi"/>
          <w:sz w:val="24"/>
          <w:szCs w:val="24"/>
        </w:rPr>
        <w:t>was</w:t>
      </w:r>
      <w:r w:rsidRPr="007A3A9D">
        <w:rPr>
          <w:rFonts w:asciiTheme="majorBidi" w:hAnsiTheme="majorBidi" w:cstheme="majorBidi"/>
          <w:sz w:val="24"/>
          <w:szCs w:val="24"/>
        </w:rPr>
        <w:t xml:space="preserve"> estimated.</w:t>
      </w:r>
    </w:p>
    <w:p w14:paraId="4CA80FC2" w14:textId="77777777" w:rsidR="00F35512" w:rsidRDefault="00D65FF6" w:rsidP="00F35512">
      <w:pPr>
        <w:keepNext/>
        <w:tabs>
          <w:tab w:val="left" w:pos="630"/>
        </w:tabs>
        <w:spacing w:line="480" w:lineRule="auto"/>
        <w:ind w:left="360"/>
      </w:pPr>
      <w:r w:rsidRPr="008D75D3">
        <w:rPr>
          <w:rFonts w:asciiTheme="majorBidi" w:hAnsiTheme="majorBidi" w:cstheme="majorBidi"/>
          <w:noProof/>
          <w:sz w:val="24"/>
          <w:szCs w:val="24"/>
        </w:rPr>
        <w:drawing>
          <wp:inline distT="0" distB="0" distL="0" distR="0" wp14:anchorId="70A65DD5" wp14:editId="396AACA4">
            <wp:extent cx="3844290" cy="2017776"/>
            <wp:effectExtent l="0" t="0" r="3810" b="1905"/>
            <wp:docPr id="1087807232" name="Picture 10878072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54"/>
                    <a:stretch>
                      <a:fillRect/>
                    </a:stretch>
                  </pic:blipFill>
                  <pic:spPr>
                    <a:xfrm>
                      <a:off x="0" y="0"/>
                      <a:ext cx="3971472" cy="2084531"/>
                    </a:xfrm>
                    <a:prstGeom prst="rect">
                      <a:avLst/>
                    </a:prstGeom>
                  </pic:spPr>
                </pic:pic>
              </a:graphicData>
            </a:graphic>
          </wp:inline>
        </w:drawing>
      </w:r>
    </w:p>
    <w:p w14:paraId="15EAA23D" w14:textId="724E074C" w:rsidR="00D65FF6" w:rsidRPr="008D75D3" w:rsidRDefault="00F35512" w:rsidP="00F35512">
      <w:pPr>
        <w:pStyle w:val="Caption"/>
        <w:rPr>
          <w:rFonts w:asciiTheme="majorBidi" w:hAnsiTheme="majorBidi" w:cstheme="majorBidi"/>
          <w:b/>
          <w:bCs/>
          <w:sz w:val="24"/>
          <w:szCs w:val="24"/>
          <w:u w:val="single"/>
        </w:rPr>
      </w:pPr>
      <w:r>
        <w:t>Figure 25 Theoretical model after removing insignificant relationships</w:t>
      </w:r>
    </w:p>
    <w:p w14:paraId="655EC650" w14:textId="77777777" w:rsidR="00D65FF6" w:rsidRPr="008D75D3" w:rsidRDefault="00D65FF6" w:rsidP="00D65FF6">
      <w:pPr>
        <w:tabs>
          <w:tab w:val="left" w:pos="630"/>
        </w:tabs>
        <w:spacing w:line="480" w:lineRule="auto"/>
        <w:ind w:left="360"/>
        <w:jc w:val="both"/>
        <w:rPr>
          <w:rFonts w:asciiTheme="majorBidi" w:hAnsiTheme="majorBidi" w:cstheme="majorBidi"/>
          <w:sz w:val="24"/>
          <w:szCs w:val="24"/>
        </w:rPr>
      </w:pPr>
      <w:r>
        <w:rPr>
          <w:rFonts w:asciiTheme="majorBidi" w:hAnsiTheme="majorBidi" w:cstheme="majorBidi"/>
          <w:sz w:val="24"/>
          <w:szCs w:val="24"/>
        </w:rPr>
        <w:tab/>
      </w:r>
      <w:r w:rsidRPr="008D75D3">
        <w:rPr>
          <w:rFonts w:asciiTheme="majorBidi" w:hAnsiTheme="majorBidi" w:cstheme="majorBidi"/>
          <w:sz w:val="24"/>
          <w:szCs w:val="24"/>
        </w:rPr>
        <w:t xml:space="preserve">The following table and path model present the estimates of the above model </w:t>
      </w:r>
      <w:r>
        <w:rPr>
          <w:rFonts w:asciiTheme="majorBidi" w:hAnsiTheme="majorBidi" w:cstheme="majorBidi"/>
          <w:sz w:val="24"/>
          <w:szCs w:val="24"/>
        </w:rPr>
        <w:t>from which I</w:t>
      </w:r>
      <w:r w:rsidRPr="008D75D3">
        <w:rPr>
          <w:rFonts w:asciiTheme="majorBidi" w:hAnsiTheme="majorBidi" w:cstheme="majorBidi"/>
          <w:sz w:val="24"/>
          <w:szCs w:val="24"/>
        </w:rPr>
        <w:t xml:space="preserve"> can conclude</w:t>
      </w:r>
      <w:r>
        <w:rPr>
          <w:rFonts w:asciiTheme="majorBidi" w:hAnsiTheme="majorBidi" w:cstheme="majorBidi"/>
          <w:sz w:val="24"/>
          <w:szCs w:val="24"/>
        </w:rPr>
        <w:t xml:space="preserve">, </w:t>
      </w:r>
      <w:r w:rsidRPr="008D75D3">
        <w:rPr>
          <w:rFonts w:asciiTheme="majorBidi" w:hAnsiTheme="majorBidi" w:cstheme="majorBidi"/>
          <w:sz w:val="24"/>
          <w:szCs w:val="24"/>
        </w:rPr>
        <w:t>with 95% confidence</w:t>
      </w:r>
      <w:r>
        <w:rPr>
          <w:rFonts w:asciiTheme="majorBidi" w:hAnsiTheme="majorBidi" w:cstheme="majorBidi"/>
          <w:sz w:val="24"/>
          <w:szCs w:val="24"/>
        </w:rPr>
        <w:t xml:space="preserve">, the following direct and direct effects. </w:t>
      </w:r>
    </w:p>
    <w:p w14:paraId="7FEAE830" w14:textId="1FFEFD0B" w:rsidR="00D65FF6" w:rsidRPr="00AD1911" w:rsidRDefault="00AD1911" w:rsidP="009F4827">
      <w:pPr>
        <w:tabs>
          <w:tab w:val="left" w:pos="630"/>
        </w:tabs>
        <w:spacing w:after="0" w:line="480" w:lineRule="auto"/>
        <w:ind w:left="567"/>
        <w:jc w:val="both"/>
        <w:rPr>
          <w:rFonts w:asciiTheme="majorBidi" w:hAnsiTheme="majorBidi" w:cstheme="majorBidi"/>
          <w:b/>
          <w:bCs/>
          <w:sz w:val="24"/>
          <w:szCs w:val="24"/>
        </w:rPr>
      </w:pPr>
      <w:r>
        <w:rPr>
          <w:rFonts w:asciiTheme="majorBidi" w:hAnsiTheme="majorBidi" w:cstheme="majorBidi"/>
          <w:b/>
          <w:bCs/>
          <w:sz w:val="24"/>
          <w:szCs w:val="24"/>
        </w:rPr>
        <w:t>6.1</w:t>
      </w:r>
      <w:r w:rsidR="00C0315E">
        <w:rPr>
          <w:rFonts w:asciiTheme="majorBidi" w:hAnsiTheme="majorBidi" w:cstheme="majorBidi"/>
          <w:b/>
          <w:bCs/>
          <w:sz w:val="24"/>
          <w:szCs w:val="24"/>
        </w:rPr>
        <w:t>1</w:t>
      </w:r>
      <w:r>
        <w:rPr>
          <w:rFonts w:asciiTheme="majorBidi" w:hAnsiTheme="majorBidi" w:cstheme="majorBidi"/>
          <w:b/>
          <w:bCs/>
          <w:sz w:val="24"/>
          <w:szCs w:val="24"/>
        </w:rPr>
        <w:t>.2.1</w:t>
      </w:r>
      <w:r w:rsidR="00D65FF6" w:rsidRPr="00AD1911">
        <w:rPr>
          <w:rFonts w:asciiTheme="majorBidi" w:hAnsiTheme="majorBidi" w:cstheme="majorBidi"/>
          <w:b/>
          <w:bCs/>
          <w:sz w:val="24"/>
          <w:szCs w:val="24"/>
        </w:rPr>
        <w:t xml:space="preserve"> </w:t>
      </w:r>
      <w:r w:rsidR="00D65FF6" w:rsidRPr="00864BD9">
        <w:rPr>
          <w:rFonts w:asciiTheme="majorBidi" w:hAnsiTheme="majorBidi" w:cstheme="majorBidi"/>
          <w:b/>
          <w:bCs/>
          <w:sz w:val="24"/>
          <w:szCs w:val="24"/>
        </w:rPr>
        <w:t xml:space="preserve">Direct effects </w:t>
      </w:r>
    </w:p>
    <w:p w14:paraId="71DA86AD" w14:textId="77777777" w:rsidR="00D65FF6" w:rsidRPr="00F56928" w:rsidRDefault="00D65FF6">
      <w:pPr>
        <w:pStyle w:val="ListParagraph"/>
        <w:numPr>
          <w:ilvl w:val="0"/>
          <w:numId w:val="13"/>
        </w:numPr>
        <w:tabs>
          <w:tab w:val="left" w:pos="630"/>
        </w:tabs>
        <w:spacing w:after="0" w:line="480" w:lineRule="auto"/>
        <w:jc w:val="both"/>
        <w:rPr>
          <w:rFonts w:asciiTheme="majorBidi" w:hAnsiTheme="majorBidi" w:cstheme="majorBidi"/>
          <w:sz w:val="24"/>
          <w:szCs w:val="24"/>
        </w:rPr>
      </w:pPr>
      <w:r w:rsidRPr="00F56928">
        <w:rPr>
          <w:rFonts w:asciiTheme="majorBidi" w:hAnsiTheme="majorBidi" w:cstheme="majorBidi"/>
          <w:sz w:val="24"/>
          <w:szCs w:val="24"/>
        </w:rPr>
        <w:t xml:space="preserve">There is a direct effect of media </w:t>
      </w:r>
      <w:r>
        <w:rPr>
          <w:rFonts w:asciiTheme="majorBidi" w:hAnsiTheme="majorBidi" w:cstheme="majorBidi"/>
          <w:sz w:val="24"/>
          <w:szCs w:val="24"/>
        </w:rPr>
        <w:t>channel</w:t>
      </w:r>
      <w:r w:rsidRPr="00F56928">
        <w:rPr>
          <w:rFonts w:asciiTheme="majorBidi" w:hAnsiTheme="majorBidi" w:cstheme="majorBidi"/>
          <w:sz w:val="24"/>
          <w:szCs w:val="24"/>
        </w:rPr>
        <w:t xml:space="preserve"> on brand functionality such that the effect is negative, in which the average of brand functionality for social media advertising is less than that for TV advertisements by 0.62 and this fixing all other factors.</w:t>
      </w:r>
    </w:p>
    <w:p w14:paraId="676D83D2" w14:textId="77777777"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direct effect of media </w:t>
      </w:r>
      <w:r>
        <w:rPr>
          <w:rFonts w:asciiTheme="majorBidi" w:hAnsiTheme="majorBidi" w:cstheme="majorBidi"/>
          <w:sz w:val="24"/>
          <w:szCs w:val="24"/>
        </w:rPr>
        <w:t>channel</w:t>
      </w:r>
      <w:r w:rsidRPr="008D75D3">
        <w:rPr>
          <w:rFonts w:asciiTheme="majorBidi" w:hAnsiTheme="majorBidi" w:cstheme="majorBidi"/>
          <w:sz w:val="24"/>
          <w:szCs w:val="24"/>
        </w:rPr>
        <w:t xml:space="preserve"> on brand </w:t>
      </w:r>
      <w:r>
        <w:rPr>
          <w:rFonts w:asciiTheme="majorBidi" w:hAnsiTheme="majorBidi" w:cstheme="majorBidi"/>
          <w:sz w:val="24"/>
          <w:szCs w:val="24"/>
        </w:rPr>
        <w:t>l</w:t>
      </w:r>
      <w:r w:rsidRPr="008D75D3">
        <w:rPr>
          <w:rFonts w:asciiTheme="majorBidi" w:hAnsiTheme="majorBidi" w:cstheme="majorBidi"/>
          <w:sz w:val="24"/>
          <w:szCs w:val="24"/>
        </w:rPr>
        <w:t xml:space="preserve">ikeability such that the effect is negative, </w:t>
      </w:r>
      <w:r>
        <w:rPr>
          <w:rFonts w:asciiTheme="majorBidi" w:hAnsiTheme="majorBidi" w:cstheme="majorBidi"/>
          <w:sz w:val="24"/>
          <w:szCs w:val="24"/>
        </w:rPr>
        <w:t xml:space="preserve">such </w:t>
      </w:r>
      <w:r w:rsidRPr="008D75D3">
        <w:rPr>
          <w:rFonts w:asciiTheme="majorBidi" w:hAnsiTheme="majorBidi" w:cstheme="majorBidi"/>
          <w:sz w:val="24"/>
          <w:szCs w:val="24"/>
        </w:rPr>
        <w:t xml:space="preserve">that the average of brand </w:t>
      </w:r>
      <w:r>
        <w:rPr>
          <w:rFonts w:asciiTheme="majorBidi" w:hAnsiTheme="majorBidi" w:cstheme="majorBidi"/>
          <w:sz w:val="24"/>
          <w:szCs w:val="24"/>
        </w:rPr>
        <w:t>l</w:t>
      </w:r>
      <w:r w:rsidRPr="008D75D3">
        <w:rPr>
          <w:rFonts w:asciiTheme="majorBidi" w:hAnsiTheme="majorBidi" w:cstheme="majorBidi"/>
          <w:sz w:val="24"/>
          <w:szCs w:val="24"/>
        </w:rPr>
        <w:t>ikeability for social media advertising is less than that for TV advertisements by 0.454 and this fixing all other factors.</w:t>
      </w:r>
    </w:p>
    <w:p w14:paraId="6F66FB8F" w14:textId="77777777"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w:t>
      </w:r>
      <w:r>
        <w:rPr>
          <w:rFonts w:asciiTheme="majorBidi" w:hAnsiTheme="majorBidi" w:cstheme="majorBidi"/>
          <w:sz w:val="24"/>
          <w:szCs w:val="24"/>
        </w:rPr>
        <w:t>a d</w:t>
      </w:r>
      <w:r w:rsidRPr="008D75D3">
        <w:rPr>
          <w:rFonts w:asciiTheme="majorBidi" w:hAnsiTheme="majorBidi" w:cstheme="majorBidi"/>
          <w:sz w:val="24"/>
          <w:szCs w:val="24"/>
        </w:rPr>
        <w:t xml:space="preserve">irect effect of media </w:t>
      </w:r>
      <w:r>
        <w:rPr>
          <w:rFonts w:asciiTheme="majorBidi" w:hAnsiTheme="majorBidi" w:cstheme="majorBidi"/>
          <w:sz w:val="24"/>
          <w:szCs w:val="24"/>
        </w:rPr>
        <w:t>channel</w:t>
      </w:r>
      <w:r w:rsidRPr="008D75D3">
        <w:rPr>
          <w:rFonts w:asciiTheme="majorBidi" w:hAnsiTheme="majorBidi" w:cstheme="majorBidi"/>
          <w:sz w:val="24"/>
          <w:szCs w:val="24"/>
        </w:rPr>
        <w:t xml:space="preserve"> on emotional brand</w:t>
      </w:r>
      <w:r>
        <w:rPr>
          <w:rFonts w:asciiTheme="majorBidi" w:hAnsiTheme="majorBidi" w:cstheme="majorBidi"/>
          <w:sz w:val="24"/>
          <w:szCs w:val="24"/>
        </w:rPr>
        <w:t xml:space="preserve"> attachment</w:t>
      </w:r>
      <w:r w:rsidRPr="008D75D3">
        <w:rPr>
          <w:rFonts w:asciiTheme="majorBidi" w:hAnsiTheme="majorBidi" w:cstheme="majorBidi"/>
          <w:sz w:val="24"/>
          <w:szCs w:val="24"/>
        </w:rPr>
        <w:t xml:space="preserve"> such that the effect is negative, that is the average of emotional brand for social media advertising is less than that for TV advertisements by 0.453 and this fixing all other factors.</w:t>
      </w:r>
    </w:p>
    <w:p w14:paraId="5CCD88D8" w14:textId="77777777"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There is</w:t>
      </w:r>
      <w:r>
        <w:rPr>
          <w:rFonts w:asciiTheme="majorBidi" w:hAnsiTheme="majorBidi" w:cstheme="majorBidi"/>
          <w:sz w:val="24"/>
          <w:szCs w:val="24"/>
        </w:rPr>
        <w:t xml:space="preserve"> a</w:t>
      </w:r>
      <w:r w:rsidRPr="008D75D3">
        <w:rPr>
          <w:rFonts w:asciiTheme="majorBidi" w:hAnsiTheme="majorBidi" w:cstheme="majorBidi"/>
          <w:sz w:val="24"/>
          <w:szCs w:val="24"/>
        </w:rPr>
        <w:t xml:space="preserve"> direct effect of media </w:t>
      </w:r>
      <w:r>
        <w:rPr>
          <w:rFonts w:asciiTheme="majorBidi" w:hAnsiTheme="majorBidi" w:cstheme="majorBidi"/>
          <w:sz w:val="24"/>
          <w:szCs w:val="24"/>
        </w:rPr>
        <w:t>channel</w:t>
      </w:r>
      <w:r w:rsidRPr="008D75D3">
        <w:rPr>
          <w:rFonts w:asciiTheme="majorBidi" w:hAnsiTheme="majorBidi" w:cstheme="majorBidi"/>
          <w:sz w:val="24"/>
          <w:szCs w:val="24"/>
        </w:rPr>
        <w:t xml:space="preserve"> on brand trust such that the effect is negative, that is the average of brand trust for social media advertising is less than that for TV advertisements by 0.59 and this fixing all other factors.</w:t>
      </w:r>
    </w:p>
    <w:p w14:paraId="5407B5E3" w14:textId="4A76A26E"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There is</w:t>
      </w:r>
      <w:r>
        <w:rPr>
          <w:rFonts w:asciiTheme="majorBidi" w:hAnsiTheme="majorBidi" w:cstheme="majorBidi"/>
          <w:sz w:val="24"/>
          <w:szCs w:val="24"/>
        </w:rPr>
        <w:t xml:space="preserve"> a</w:t>
      </w:r>
      <w:r w:rsidRPr="008D75D3">
        <w:rPr>
          <w:rFonts w:asciiTheme="majorBidi" w:hAnsiTheme="majorBidi" w:cstheme="majorBidi"/>
          <w:sz w:val="24"/>
          <w:szCs w:val="24"/>
        </w:rPr>
        <w:t xml:space="preserve"> direct effect o</w:t>
      </w:r>
      <w:r>
        <w:rPr>
          <w:rFonts w:asciiTheme="majorBidi" w:hAnsiTheme="majorBidi" w:cstheme="majorBidi"/>
          <w:sz w:val="24"/>
          <w:szCs w:val="24"/>
        </w:rPr>
        <w:t xml:space="preserve">f communication </w:t>
      </w:r>
      <w:r w:rsidR="00391D20">
        <w:rPr>
          <w:rFonts w:asciiTheme="majorBidi" w:hAnsiTheme="majorBidi" w:cstheme="majorBidi"/>
          <w:sz w:val="24"/>
          <w:szCs w:val="24"/>
        </w:rPr>
        <w:t>strategy</w:t>
      </w:r>
      <w:r w:rsidR="00391D20" w:rsidRPr="008D75D3">
        <w:rPr>
          <w:rFonts w:asciiTheme="majorBidi" w:hAnsiTheme="majorBidi" w:cstheme="majorBidi"/>
          <w:sz w:val="24"/>
          <w:szCs w:val="24"/>
        </w:rPr>
        <w:t xml:space="preserve"> </w:t>
      </w:r>
      <w:r w:rsidRPr="008D75D3">
        <w:rPr>
          <w:rFonts w:asciiTheme="majorBidi" w:hAnsiTheme="majorBidi" w:cstheme="majorBidi"/>
          <w:sz w:val="24"/>
          <w:szCs w:val="24"/>
        </w:rPr>
        <w:t xml:space="preserve">on </w:t>
      </w:r>
      <w:r>
        <w:rPr>
          <w:rFonts w:asciiTheme="majorBidi" w:hAnsiTheme="majorBidi" w:cstheme="majorBidi"/>
          <w:sz w:val="24"/>
          <w:szCs w:val="24"/>
        </w:rPr>
        <w:t>brand</w:t>
      </w:r>
      <w:r w:rsidRPr="008D75D3">
        <w:rPr>
          <w:rFonts w:asciiTheme="majorBidi" w:hAnsiTheme="majorBidi" w:cstheme="majorBidi"/>
          <w:sz w:val="24"/>
          <w:szCs w:val="24"/>
        </w:rPr>
        <w:t xml:space="preserve"> </w:t>
      </w:r>
      <w:r>
        <w:rPr>
          <w:rFonts w:asciiTheme="majorBidi" w:hAnsiTheme="majorBidi" w:cstheme="majorBidi"/>
          <w:sz w:val="24"/>
          <w:szCs w:val="24"/>
        </w:rPr>
        <w:t>l</w:t>
      </w:r>
      <w:r w:rsidRPr="008D75D3">
        <w:rPr>
          <w:rFonts w:asciiTheme="majorBidi" w:hAnsiTheme="majorBidi" w:cstheme="majorBidi"/>
          <w:sz w:val="24"/>
          <w:szCs w:val="24"/>
        </w:rPr>
        <w:t xml:space="preserve">ikeability such that the effect is positive, that is the average of </w:t>
      </w:r>
      <w:r>
        <w:rPr>
          <w:rFonts w:asciiTheme="majorBidi" w:hAnsiTheme="majorBidi" w:cstheme="majorBidi"/>
          <w:sz w:val="24"/>
          <w:szCs w:val="24"/>
        </w:rPr>
        <w:t>brand</w:t>
      </w:r>
      <w:r w:rsidRPr="008D75D3">
        <w:rPr>
          <w:rFonts w:asciiTheme="majorBidi" w:hAnsiTheme="majorBidi" w:cstheme="majorBidi"/>
          <w:sz w:val="24"/>
          <w:szCs w:val="24"/>
        </w:rPr>
        <w:t xml:space="preserve"> </w:t>
      </w:r>
      <w:r>
        <w:rPr>
          <w:rFonts w:asciiTheme="majorBidi" w:hAnsiTheme="majorBidi" w:cstheme="majorBidi"/>
          <w:sz w:val="24"/>
          <w:szCs w:val="24"/>
        </w:rPr>
        <w:t>l</w:t>
      </w:r>
      <w:r w:rsidRPr="008D75D3">
        <w:rPr>
          <w:rFonts w:asciiTheme="majorBidi" w:hAnsiTheme="majorBidi" w:cstheme="majorBidi"/>
          <w:sz w:val="24"/>
          <w:szCs w:val="24"/>
        </w:rPr>
        <w:t xml:space="preserve">ikeability for CSR campaigns is larger than that for </w:t>
      </w:r>
      <w:r>
        <w:rPr>
          <w:rFonts w:asciiTheme="majorBidi" w:hAnsiTheme="majorBidi" w:cstheme="majorBidi"/>
          <w:sz w:val="24"/>
          <w:szCs w:val="24"/>
        </w:rPr>
        <w:t>n</w:t>
      </w:r>
      <w:r w:rsidRPr="008D75D3">
        <w:rPr>
          <w:rFonts w:asciiTheme="majorBidi" w:hAnsiTheme="majorBidi" w:cstheme="majorBidi"/>
          <w:sz w:val="24"/>
          <w:szCs w:val="24"/>
        </w:rPr>
        <w:t>on-CSR campaigns by 0.552 and this fixing all other factors.</w:t>
      </w:r>
    </w:p>
    <w:p w14:paraId="46D9A320" w14:textId="4AF00484"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There is</w:t>
      </w:r>
      <w:r>
        <w:rPr>
          <w:rFonts w:asciiTheme="majorBidi" w:hAnsiTheme="majorBidi" w:cstheme="majorBidi"/>
          <w:sz w:val="24"/>
          <w:szCs w:val="24"/>
        </w:rPr>
        <w:t xml:space="preserve"> a</w:t>
      </w:r>
      <w:r w:rsidRPr="008D75D3">
        <w:rPr>
          <w:rFonts w:asciiTheme="majorBidi" w:hAnsiTheme="majorBidi" w:cstheme="majorBidi"/>
          <w:sz w:val="24"/>
          <w:szCs w:val="24"/>
        </w:rPr>
        <w:t xml:space="preserve"> direct effect of </w:t>
      </w:r>
      <w:r>
        <w:rPr>
          <w:rFonts w:asciiTheme="majorBidi" w:hAnsiTheme="majorBidi" w:cstheme="majorBidi"/>
          <w:sz w:val="24"/>
          <w:szCs w:val="24"/>
        </w:rPr>
        <w:t xml:space="preserve">communication </w:t>
      </w:r>
      <w:r w:rsidR="00391D20">
        <w:rPr>
          <w:rFonts w:asciiTheme="majorBidi" w:hAnsiTheme="majorBidi" w:cstheme="majorBidi"/>
          <w:sz w:val="24"/>
          <w:szCs w:val="24"/>
        </w:rPr>
        <w:t>strategy</w:t>
      </w:r>
      <w:r w:rsidR="00391D20" w:rsidRPr="008D75D3">
        <w:rPr>
          <w:rFonts w:asciiTheme="majorBidi" w:hAnsiTheme="majorBidi" w:cstheme="majorBidi"/>
          <w:sz w:val="24"/>
          <w:szCs w:val="24"/>
        </w:rPr>
        <w:t xml:space="preserve"> </w:t>
      </w:r>
      <w:r w:rsidRPr="008D75D3">
        <w:rPr>
          <w:rFonts w:asciiTheme="majorBidi" w:hAnsiTheme="majorBidi" w:cstheme="majorBidi"/>
          <w:sz w:val="24"/>
          <w:szCs w:val="24"/>
        </w:rPr>
        <w:t xml:space="preserve">on </w:t>
      </w:r>
      <w:r w:rsidRPr="00F56928">
        <w:rPr>
          <w:rFonts w:asciiTheme="majorBidi" w:hAnsiTheme="majorBidi" w:cstheme="majorBidi"/>
          <w:sz w:val="24"/>
          <w:szCs w:val="24"/>
        </w:rPr>
        <w:t>emotional brand attachment</w:t>
      </w:r>
      <w:r>
        <w:rPr>
          <w:rFonts w:asciiTheme="majorBidi" w:hAnsiTheme="majorBidi" w:cstheme="majorBidi"/>
          <w:sz w:val="24"/>
          <w:szCs w:val="24"/>
        </w:rPr>
        <w:t xml:space="preserve"> </w:t>
      </w:r>
      <w:r w:rsidRPr="008D75D3">
        <w:rPr>
          <w:rFonts w:asciiTheme="majorBidi" w:hAnsiTheme="majorBidi" w:cstheme="majorBidi"/>
          <w:sz w:val="24"/>
          <w:szCs w:val="24"/>
        </w:rPr>
        <w:t xml:space="preserve">such that the effect is positive, that is the average of emotional brand for CSR campaigns is larger than that for </w:t>
      </w:r>
      <w:r>
        <w:rPr>
          <w:rFonts w:asciiTheme="majorBidi" w:hAnsiTheme="majorBidi" w:cstheme="majorBidi"/>
          <w:sz w:val="24"/>
          <w:szCs w:val="24"/>
        </w:rPr>
        <w:t>n</w:t>
      </w:r>
      <w:r w:rsidRPr="008D75D3">
        <w:rPr>
          <w:rFonts w:asciiTheme="majorBidi" w:hAnsiTheme="majorBidi" w:cstheme="majorBidi"/>
          <w:sz w:val="24"/>
          <w:szCs w:val="24"/>
        </w:rPr>
        <w:t>on-CSR campaigns by 0.618 and this fixing all other factors.</w:t>
      </w:r>
    </w:p>
    <w:p w14:paraId="2653DE6A" w14:textId="64BC6F23"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w:t>
      </w:r>
      <w:r>
        <w:rPr>
          <w:rFonts w:asciiTheme="majorBidi" w:hAnsiTheme="majorBidi" w:cstheme="majorBidi"/>
          <w:sz w:val="24"/>
          <w:szCs w:val="24"/>
        </w:rPr>
        <w:t xml:space="preserve">a </w:t>
      </w:r>
      <w:r w:rsidRPr="008D75D3">
        <w:rPr>
          <w:rFonts w:asciiTheme="majorBidi" w:hAnsiTheme="majorBidi" w:cstheme="majorBidi"/>
          <w:sz w:val="24"/>
          <w:szCs w:val="24"/>
        </w:rPr>
        <w:t xml:space="preserve">direct effect of </w:t>
      </w:r>
      <w:r>
        <w:rPr>
          <w:rFonts w:asciiTheme="majorBidi" w:hAnsiTheme="majorBidi" w:cstheme="majorBidi"/>
          <w:sz w:val="24"/>
          <w:szCs w:val="24"/>
        </w:rPr>
        <w:t xml:space="preserve">communication </w:t>
      </w:r>
      <w:r w:rsidR="00391D20">
        <w:rPr>
          <w:rFonts w:asciiTheme="majorBidi" w:hAnsiTheme="majorBidi" w:cstheme="majorBidi"/>
          <w:sz w:val="24"/>
          <w:szCs w:val="24"/>
        </w:rPr>
        <w:t>strategy</w:t>
      </w:r>
      <w:r w:rsidR="00391D20" w:rsidRPr="008D75D3">
        <w:rPr>
          <w:rFonts w:asciiTheme="majorBidi" w:hAnsiTheme="majorBidi" w:cstheme="majorBidi"/>
          <w:sz w:val="24"/>
          <w:szCs w:val="24"/>
        </w:rPr>
        <w:t xml:space="preserve"> </w:t>
      </w:r>
      <w:r w:rsidRPr="008D75D3">
        <w:rPr>
          <w:rFonts w:asciiTheme="majorBidi" w:hAnsiTheme="majorBidi" w:cstheme="majorBidi"/>
          <w:sz w:val="24"/>
          <w:szCs w:val="24"/>
        </w:rPr>
        <w:t xml:space="preserve">on </w:t>
      </w:r>
      <w:r w:rsidRPr="00F56928">
        <w:rPr>
          <w:rFonts w:asciiTheme="majorBidi" w:hAnsiTheme="majorBidi" w:cstheme="majorBidi"/>
          <w:sz w:val="24"/>
          <w:szCs w:val="24"/>
        </w:rPr>
        <w:t>brand trust</w:t>
      </w:r>
      <w:r w:rsidRPr="008D75D3">
        <w:rPr>
          <w:rFonts w:asciiTheme="majorBidi" w:hAnsiTheme="majorBidi" w:cstheme="majorBidi"/>
          <w:sz w:val="24"/>
          <w:szCs w:val="24"/>
        </w:rPr>
        <w:t xml:space="preserve"> such that the effect is positive, that is the average of brand trust for CSR campaigns is larger than that for </w:t>
      </w:r>
      <w:r>
        <w:rPr>
          <w:rFonts w:asciiTheme="majorBidi" w:hAnsiTheme="majorBidi" w:cstheme="majorBidi"/>
          <w:sz w:val="24"/>
          <w:szCs w:val="24"/>
        </w:rPr>
        <w:t>n</w:t>
      </w:r>
      <w:r w:rsidRPr="008D75D3">
        <w:rPr>
          <w:rFonts w:asciiTheme="majorBidi" w:hAnsiTheme="majorBidi" w:cstheme="majorBidi"/>
          <w:sz w:val="24"/>
          <w:szCs w:val="24"/>
        </w:rPr>
        <w:t xml:space="preserve">on-CSR </w:t>
      </w:r>
      <w:r>
        <w:rPr>
          <w:rFonts w:asciiTheme="majorBidi" w:hAnsiTheme="majorBidi" w:cstheme="majorBidi"/>
          <w:sz w:val="24"/>
          <w:szCs w:val="24"/>
        </w:rPr>
        <w:t>communication</w:t>
      </w:r>
      <w:r w:rsidRPr="008D75D3">
        <w:rPr>
          <w:rFonts w:asciiTheme="majorBidi" w:hAnsiTheme="majorBidi" w:cstheme="majorBidi"/>
          <w:sz w:val="24"/>
          <w:szCs w:val="24"/>
        </w:rPr>
        <w:t xml:space="preserve"> by 0.292 and this fixing all other factors.</w:t>
      </w:r>
    </w:p>
    <w:p w14:paraId="7A884F89" w14:textId="592DFB3A"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direct effect of </w:t>
      </w:r>
      <w:r>
        <w:rPr>
          <w:rFonts w:asciiTheme="majorBidi" w:hAnsiTheme="majorBidi" w:cstheme="majorBidi"/>
          <w:sz w:val="24"/>
          <w:szCs w:val="24"/>
        </w:rPr>
        <w:t xml:space="preserve">communication </w:t>
      </w:r>
      <w:r w:rsidR="00391D20">
        <w:rPr>
          <w:rFonts w:asciiTheme="majorBidi" w:hAnsiTheme="majorBidi" w:cstheme="majorBidi"/>
          <w:sz w:val="24"/>
          <w:szCs w:val="24"/>
        </w:rPr>
        <w:t>strategy</w:t>
      </w:r>
      <w:r w:rsidR="00391D20" w:rsidRPr="008D75D3">
        <w:rPr>
          <w:rFonts w:asciiTheme="majorBidi" w:hAnsiTheme="majorBidi" w:cstheme="majorBidi"/>
          <w:sz w:val="24"/>
          <w:szCs w:val="24"/>
        </w:rPr>
        <w:t xml:space="preserve"> </w:t>
      </w:r>
      <w:r w:rsidRPr="008D75D3">
        <w:rPr>
          <w:rFonts w:asciiTheme="majorBidi" w:hAnsiTheme="majorBidi" w:cstheme="majorBidi"/>
          <w:sz w:val="24"/>
          <w:szCs w:val="24"/>
        </w:rPr>
        <w:t xml:space="preserve">on </w:t>
      </w:r>
      <w:r>
        <w:rPr>
          <w:rFonts w:asciiTheme="majorBidi" w:hAnsiTheme="majorBidi" w:cstheme="majorBidi"/>
          <w:sz w:val="24"/>
          <w:szCs w:val="24"/>
        </w:rPr>
        <w:t>a</w:t>
      </w:r>
      <w:r w:rsidRPr="008D75D3">
        <w:rPr>
          <w:rFonts w:asciiTheme="majorBidi" w:hAnsiTheme="majorBidi" w:cstheme="majorBidi"/>
          <w:sz w:val="24"/>
          <w:szCs w:val="24"/>
        </w:rPr>
        <w:t>d likeability such that the effect is positive, that is t</w:t>
      </w:r>
      <w:bookmarkStart w:id="178" w:name="_Hlk137470988"/>
      <w:r w:rsidRPr="008D75D3">
        <w:rPr>
          <w:rFonts w:asciiTheme="majorBidi" w:hAnsiTheme="majorBidi" w:cstheme="majorBidi"/>
          <w:sz w:val="24"/>
          <w:szCs w:val="24"/>
        </w:rPr>
        <w:t xml:space="preserve">he average of </w:t>
      </w:r>
      <w:r>
        <w:rPr>
          <w:rFonts w:asciiTheme="majorBidi" w:hAnsiTheme="majorBidi" w:cstheme="majorBidi"/>
          <w:sz w:val="24"/>
          <w:szCs w:val="24"/>
        </w:rPr>
        <w:t>ad</w:t>
      </w:r>
      <w:r w:rsidRPr="008D75D3">
        <w:rPr>
          <w:rFonts w:asciiTheme="majorBidi" w:hAnsiTheme="majorBidi" w:cstheme="majorBidi"/>
          <w:sz w:val="24"/>
          <w:szCs w:val="24"/>
        </w:rPr>
        <w:t xml:space="preserve"> likeability for CSR </w:t>
      </w:r>
      <w:r>
        <w:rPr>
          <w:rFonts w:asciiTheme="majorBidi" w:hAnsiTheme="majorBidi" w:cstheme="majorBidi"/>
          <w:sz w:val="24"/>
          <w:szCs w:val="24"/>
        </w:rPr>
        <w:t>communication</w:t>
      </w:r>
      <w:r w:rsidRPr="008D75D3">
        <w:rPr>
          <w:rFonts w:asciiTheme="majorBidi" w:hAnsiTheme="majorBidi" w:cstheme="majorBidi"/>
          <w:sz w:val="24"/>
          <w:szCs w:val="24"/>
        </w:rPr>
        <w:t xml:space="preserve"> is larger than that for </w:t>
      </w:r>
      <w:r>
        <w:rPr>
          <w:rFonts w:asciiTheme="majorBidi" w:hAnsiTheme="majorBidi" w:cstheme="majorBidi"/>
          <w:sz w:val="24"/>
          <w:szCs w:val="24"/>
        </w:rPr>
        <w:t>n</w:t>
      </w:r>
      <w:r w:rsidRPr="008D75D3">
        <w:rPr>
          <w:rFonts w:asciiTheme="majorBidi" w:hAnsiTheme="majorBidi" w:cstheme="majorBidi"/>
          <w:sz w:val="24"/>
          <w:szCs w:val="24"/>
        </w:rPr>
        <w:t xml:space="preserve">on-CSR campaigns </w:t>
      </w:r>
      <w:bookmarkEnd w:id="178"/>
      <w:r w:rsidRPr="008D75D3">
        <w:rPr>
          <w:rFonts w:asciiTheme="majorBidi" w:hAnsiTheme="majorBidi" w:cstheme="majorBidi"/>
          <w:sz w:val="24"/>
          <w:szCs w:val="24"/>
        </w:rPr>
        <w:t>by 0.97 and this fixing all other factors.</w:t>
      </w:r>
    </w:p>
    <w:p w14:paraId="5A604277" w14:textId="77777777"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direct positive effect of </w:t>
      </w:r>
      <w:r>
        <w:rPr>
          <w:rFonts w:asciiTheme="majorBidi" w:hAnsiTheme="majorBidi" w:cstheme="majorBidi"/>
          <w:sz w:val="24"/>
          <w:szCs w:val="24"/>
        </w:rPr>
        <w:t>ad</w:t>
      </w:r>
      <w:r w:rsidRPr="008D75D3">
        <w:rPr>
          <w:rFonts w:asciiTheme="majorBidi" w:hAnsiTheme="majorBidi" w:cstheme="majorBidi"/>
          <w:sz w:val="24"/>
          <w:szCs w:val="24"/>
        </w:rPr>
        <w:t xml:space="preserve"> likeability on purchase intention that is every increase in the AD likeability by 1 unit the purchase intention increase by 0.107 units fixing all other variables.</w:t>
      </w:r>
    </w:p>
    <w:p w14:paraId="39E2A746" w14:textId="77777777"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direct positive effect of </w:t>
      </w:r>
      <w:r w:rsidRPr="00F56928">
        <w:rPr>
          <w:rFonts w:asciiTheme="majorBidi" w:hAnsiTheme="majorBidi" w:cstheme="majorBidi"/>
          <w:sz w:val="24"/>
          <w:szCs w:val="24"/>
        </w:rPr>
        <w:t>brand functionality</w:t>
      </w:r>
      <w:r w:rsidRPr="008D75D3">
        <w:rPr>
          <w:rFonts w:asciiTheme="majorBidi" w:hAnsiTheme="majorBidi" w:cstheme="majorBidi"/>
          <w:sz w:val="24"/>
          <w:szCs w:val="24"/>
        </w:rPr>
        <w:t xml:space="preserve"> on purchase intention that is every increase in the brand functionality by 1 unit the purchase intention increase by 0.152 units fixing all other variables.</w:t>
      </w:r>
    </w:p>
    <w:p w14:paraId="4737EC51" w14:textId="77777777"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direct positive effect of brand </w:t>
      </w:r>
      <w:r>
        <w:rPr>
          <w:rFonts w:asciiTheme="majorBidi" w:hAnsiTheme="majorBidi" w:cstheme="majorBidi"/>
          <w:sz w:val="24"/>
          <w:szCs w:val="24"/>
        </w:rPr>
        <w:t>l</w:t>
      </w:r>
      <w:r w:rsidRPr="008D75D3">
        <w:rPr>
          <w:rFonts w:asciiTheme="majorBidi" w:hAnsiTheme="majorBidi" w:cstheme="majorBidi"/>
          <w:sz w:val="24"/>
          <w:szCs w:val="24"/>
        </w:rPr>
        <w:t xml:space="preserve">ikeability on purchase intention that is every increase in the brand </w:t>
      </w:r>
      <w:r>
        <w:rPr>
          <w:rFonts w:asciiTheme="majorBidi" w:hAnsiTheme="majorBidi" w:cstheme="majorBidi"/>
          <w:sz w:val="24"/>
          <w:szCs w:val="24"/>
        </w:rPr>
        <w:t>l</w:t>
      </w:r>
      <w:r w:rsidRPr="008D75D3">
        <w:rPr>
          <w:rFonts w:asciiTheme="majorBidi" w:hAnsiTheme="majorBidi" w:cstheme="majorBidi"/>
          <w:sz w:val="24"/>
          <w:szCs w:val="24"/>
        </w:rPr>
        <w:t>ikeability by 1 unit the purchase intention increase by 0.367 units fixing all other variables.</w:t>
      </w:r>
    </w:p>
    <w:p w14:paraId="4771A8A1" w14:textId="77777777"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direct positive effect </w:t>
      </w:r>
      <w:r w:rsidRPr="00F56928">
        <w:rPr>
          <w:rFonts w:asciiTheme="majorBidi" w:hAnsiTheme="majorBidi" w:cstheme="majorBidi"/>
          <w:sz w:val="24"/>
          <w:szCs w:val="24"/>
        </w:rPr>
        <w:t>of emotional brand</w:t>
      </w:r>
      <w:r>
        <w:rPr>
          <w:rFonts w:asciiTheme="majorBidi" w:hAnsiTheme="majorBidi" w:cstheme="majorBidi"/>
          <w:sz w:val="24"/>
          <w:szCs w:val="24"/>
        </w:rPr>
        <w:t xml:space="preserve"> attachment</w:t>
      </w:r>
      <w:r w:rsidRPr="008D75D3">
        <w:rPr>
          <w:rFonts w:asciiTheme="majorBidi" w:hAnsiTheme="majorBidi" w:cstheme="majorBidi"/>
          <w:sz w:val="24"/>
          <w:szCs w:val="24"/>
        </w:rPr>
        <w:t xml:space="preserve"> on purchase intention that is every increase in the emotional brand </w:t>
      </w:r>
      <w:r>
        <w:rPr>
          <w:rFonts w:asciiTheme="majorBidi" w:hAnsiTheme="majorBidi" w:cstheme="majorBidi"/>
          <w:sz w:val="24"/>
          <w:szCs w:val="24"/>
        </w:rPr>
        <w:t>attachment</w:t>
      </w:r>
      <w:r w:rsidRPr="008D75D3">
        <w:rPr>
          <w:rFonts w:asciiTheme="majorBidi" w:hAnsiTheme="majorBidi" w:cstheme="majorBidi"/>
          <w:sz w:val="24"/>
          <w:szCs w:val="24"/>
        </w:rPr>
        <w:t xml:space="preserve"> by 1 unit the purchase intention increase by 0.088 units fixing all other variables.</w:t>
      </w:r>
    </w:p>
    <w:p w14:paraId="6E5F1415" w14:textId="77777777"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 There is direct positive effect of </w:t>
      </w:r>
      <w:r w:rsidRPr="00F56928">
        <w:rPr>
          <w:rFonts w:asciiTheme="majorBidi" w:hAnsiTheme="majorBidi" w:cstheme="majorBidi"/>
          <w:sz w:val="24"/>
          <w:szCs w:val="24"/>
        </w:rPr>
        <w:t>brand trust on</w:t>
      </w:r>
      <w:r w:rsidRPr="008D75D3">
        <w:rPr>
          <w:rFonts w:asciiTheme="majorBidi" w:hAnsiTheme="majorBidi" w:cstheme="majorBidi"/>
          <w:sz w:val="24"/>
          <w:szCs w:val="24"/>
        </w:rPr>
        <w:t xml:space="preserve"> purchase intention that is every increase in the brand trust by 1 unit the purchase intention increase by 0.373 units fixing all other variables.</w:t>
      </w:r>
    </w:p>
    <w:p w14:paraId="50926389" w14:textId="6D9B2E2C" w:rsidR="00D65FF6" w:rsidRPr="008D75D3" w:rsidRDefault="00D65FF6">
      <w:pPr>
        <w:pStyle w:val="ListParagraph"/>
        <w:numPr>
          <w:ilvl w:val="0"/>
          <w:numId w:val="13"/>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There is direct effect of </w:t>
      </w:r>
      <w:r>
        <w:rPr>
          <w:rFonts w:asciiTheme="majorBidi" w:hAnsiTheme="majorBidi" w:cstheme="majorBidi"/>
          <w:sz w:val="24"/>
          <w:szCs w:val="24"/>
        </w:rPr>
        <w:t xml:space="preserve">communication </w:t>
      </w:r>
      <w:r w:rsidR="00391D20">
        <w:rPr>
          <w:rFonts w:asciiTheme="majorBidi" w:hAnsiTheme="majorBidi" w:cstheme="majorBidi"/>
          <w:sz w:val="24"/>
          <w:szCs w:val="24"/>
        </w:rPr>
        <w:t>strategy</w:t>
      </w:r>
      <w:r w:rsidR="00391D20" w:rsidRPr="008D75D3">
        <w:rPr>
          <w:rFonts w:asciiTheme="majorBidi" w:hAnsiTheme="majorBidi" w:cstheme="majorBidi"/>
          <w:sz w:val="24"/>
          <w:szCs w:val="24"/>
        </w:rPr>
        <w:t xml:space="preserve"> </w:t>
      </w:r>
      <w:r w:rsidRPr="008D75D3">
        <w:rPr>
          <w:rFonts w:asciiTheme="majorBidi" w:hAnsiTheme="majorBidi" w:cstheme="majorBidi"/>
          <w:sz w:val="24"/>
          <w:szCs w:val="24"/>
        </w:rPr>
        <w:t xml:space="preserve">on purchase intention such that the effect is positive, that is the average of purchase intention for CSR campaigns is larger than that for </w:t>
      </w:r>
      <w:r>
        <w:rPr>
          <w:rFonts w:asciiTheme="majorBidi" w:hAnsiTheme="majorBidi" w:cstheme="majorBidi"/>
          <w:sz w:val="24"/>
          <w:szCs w:val="24"/>
        </w:rPr>
        <w:t>n</w:t>
      </w:r>
      <w:r w:rsidRPr="008D75D3">
        <w:rPr>
          <w:rFonts w:asciiTheme="majorBidi" w:hAnsiTheme="majorBidi" w:cstheme="majorBidi"/>
          <w:sz w:val="24"/>
          <w:szCs w:val="24"/>
        </w:rPr>
        <w:t>on-CSR campaigns by 0.19 and this fixing all other factors.</w:t>
      </w:r>
    </w:p>
    <w:p w14:paraId="1B016CFE" w14:textId="77777777" w:rsidR="00D65FF6" w:rsidRDefault="00D65FF6">
      <w:pPr>
        <w:pStyle w:val="ListParagraph"/>
        <w:numPr>
          <w:ilvl w:val="0"/>
          <w:numId w:val="13"/>
        </w:numPr>
        <w:tabs>
          <w:tab w:val="left" w:pos="630"/>
        </w:tabs>
        <w:spacing w:after="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highest effect on </w:t>
      </w:r>
      <w:r>
        <w:rPr>
          <w:rFonts w:asciiTheme="majorBidi" w:hAnsiTheme="majorBidi" w:cstheme="majorBidi"/>
          <w:sz w:val="24"/>
          <w:szCs w:val="24"/>
        </w:rPr>
        <w:t xml:space="preserve">purchase </w:t>
      </w:r>
      <w:r w:rsidRPr="008D75D3">
        <w:rPr>
          <w:rFonts w:asciiTheme="majorBidi" w:hAnsiTheme="majorBidi" w:cstheme="majorBidi"/>
          <w:sz w:val="24"/>
          <w:szCs w:val="24"/>
        </w:rPr>
        <w:t>intention is brand trust from the values of standardized coefficients.</w:t>
      </w:r>
    </w:p>
    <w:p w14:paraId="5B82CD9E" w14:textId="7F097E85" w:rsidR="00D65FF6" w:rsidRPr="00250620" w:rsidRDefault="00F51417" w:rsidP="00250620">
      <w:pPr>
        <w:tabs>
          <w:tab w:val="left" w:pos="630"/>
        </w:tabs>
        <w:spacing w:after="0" w:line="480" w:lineRule="auto"/>
        <w:ind w:left="360"/>
        <w:jc w:val="both"/>
        <w:rPr>
          <w:rFonts w:asciiTheme="majorBidi" w:hAnsiTheme="majorBidi" w:cstheme="majorBidi"/>
          <w:sz w:val="24"/>
          <w:szCs w:val="24"/>
        </w:rPr>
      </w:pPr>
      <w:r>
        <w:rPr>
          <w:rFonts w:asciiTheme="majorBidi" w:hAnsiTheme="majorBidi" w:cstheme="majorBidi"/>
          <w:sz w:val="24"/>
          <w:szCs w:val="24"/>
        </w:rPr>
        <w:tab/>
      </w:r>
      <w:r w:rsidR="00D65FF6" w:rsidRPr="009A3404">
        <w:rPr>
          <w:rFonts w:asciiTheme="majorBidi" w:hAnsiTheme="majorBidi" w:cstheme="majorBidi"/>
          <w:sz w:val="24"/>
          <w:szCs w:val="24"/>
        </w:rPr>
        <w:t>Based on the above results, H</w:t>
      </w:r>
      <w:r w:rsidR="00D65FF6">
        <w:rPr>
          <w:rFonts w:asciiTheme="majorBidi" w:hAnsiTheme="majorBidi" w:cstheme="majorBidi"/>
          <w:sz w:val="24"/>
          <w:szCs w:val="24"/>
        </w:rPr>
        <w:t>1a</w:t>
      </w:r>
      <w:r w:rsidR="00D65FF6" w:rsidRPr="009A3404">
        <w:rPr>
          <w:rFonts w:asciiTheme="majorBidi" w:hAnsiTheme="majorBidi" w:cstheme="majorBidi"/>
          <w:sz w:val="24"/>
          <w:szCs w:val="24"/>
        </w:rPr>
        <w:t>,</w:t>
      </w:r>
      <w:r w:rsidR="00D65FF6">
        <w:rPr>
          <w:rFonts w:asciiTheme="majorBidi" w:hAnsiTheme="majorBidi" w:cstheme="majorBidi"/>
          <w:sz w:val="24"/>
          <w:szCs w:val="24"/>
        </w:rPr>
        <w:t xml:space="preserve"> H1b,</w:t>
      </w:r>
      <w:r w:rsidR="00D65FF6" w:rsidRPr="009A3404">
        <w:rPr>
          <w:rFonts w:asciiTheme="majorBidi" w:hAnsiTheme="majorBidi" w:cstheme="majorBidi"/>
          <w:sz w:val="24"/>
          <w:szCs w:val="24"/>
        </w:rPr>
        <w:t xml:space="preserve"> H</w:t>
      </w:r>
      <w:r w:rsidR="00D65FF6">
        <w:rPr>
          <w:rFonts w:asciiTheme="majorBidi" w:hAnsiTheme="majorBidi" w:cstheme="majorBidi"/>
          <w:sz w:val="24"/>
          <w:szCs w:val="24"/>
        </w:rPr>
        <w:t>2</w:t>
      </w:r>
      <w:r w:rsidR="00D65FF6" w:rsidRPr="009A3404">
        <w:rPr>
          <w:rFonts w:asciiTheme="majorBidi" w:hAnsiTheme="majorBidi" w:cstheme="majorBidi"/>
          <w:sz w:val="24"/>
          <w:szCs w:val="24"/>
        </w:rPr>
        <w:t>, H</w:t>
      </w:r>
      <w:r w:rsidR="00D65FF6">
        <w:rPr>
          <w:rFonts w:asciiTheme="majorBidi" w:hAnsiTheme="majorBidi" w:cstheme="majorBidi"/>
          <w:sz w:val="24"/>
          <w:szCs w:val="24"/>
        </w:rPr>
        <w:t>4</w:t>
      </w:r>
      <w:r w:rsidR="00D65FF6" w:rsidRPr="009A3404">
        <w:rPr>
          <w:rFonts w:asciiTheme="majorBidi" w:hAnsiTheme="majorBidi" w:cstheme="majorBidi"/>
          <w:sz w:val="24"/>
          <w:szCs w:val="24"/>
        </w:rPr>
        <w:t>, H</w:t>
      </w:r>
      <w:r w:rsidR="00D65FF6">
        <w:rPr>
          <w:rFonts w:asciiTheme="majorBidi" w:hAnsiTheme="majorBidi" w:cstheme="majorBidi"/>
          <w:sz w:val="24"/>
          <w:szCs w:val="24"/>
        </w:rPr>
        <w:t>6</w:t>
      </w:r>
      <w:r w:rsidR="00D65FF6" w:rsidRPr="009A3404">
        <w:rPr>
          <w:rFonts w:asciiTheme="majorBidi" w:hAnsiTheme="majorBidi" w:cstheme="majorBidi"/>
          <w:sz w:val="24"/>
          <w:szCs w:val="24"/>
        </w:rPr>
        <w:t>, and H</w:t>
      </w:r>
      <w:r w:rsidR="00D65FF6">
        <w:rPr>
          <w:rFonts w:asciiTheme="majorBidi" w:hAnsiTheme="majorBidi" w:cstheme="majorBidi"/>
          <w:sz w:val="24"/>
          <w:szCs w:val="24"/>
        </w:rPr>
        <w:t>8</w:t>
      </w:r>
      <w:r w:rsidR="00D65FF6" w:rsidRPr="009A3404">
        <w:rPr>
          <w:rFonts w:asciiTheme="majorBidi" w:hAnsiTheme="majorBidi" w:cstheme="majorBidi"/>
          <w:sz w:val="24"/>
          <w:szCs w:val="24"/>
        </w:rPr>
        <w:t xml:space="preserve"> are accepted but, H</w:t>
      </w:r>
      <w:r w:rsidR="00D65FF6">
        <w:rPr>
          <w:rFonts w:asciiTheme="majorBidi" w:hAnsiTheme="majorBidi" w:cstheme="majorBidi"/>
          <w:sz w:val="24"/>
          <w:szCs w:val="24"/>
        </w:rPr>
        <w:t>3</w:t>
      </w:r>
      <w:r w:rsidR="00D65FF6" w:rsidRPr="009A3404">
        <w:rPr>
          <w:rFonts w:asciiTheme="majorBidi" w:hAnsiTheme="majorBidi" w:cstheme="majorBidi"/>
          <w:sz w:val="24"/>
          <w:szCs w:val="24"/>
        </w:rPr>
        <w:t>, H</w:t>
      </w:r>
      <w:r w:rsidR="00D65FF6">
        <w:rPr>
          <w:rFonts w:asciiTheme="majorBidi" w:hAnsiTheme="majorBidi" w:cstheme="majorBidi"/>
          <w:sz w:val="24"/>
          <w:szCs w:val="24"/>
        </w:rPr>
        <w:t>5</w:t>
      </w:r>
      <w:r w:rsidR="00D65FF6" w:rsidRPr="009A3404">
        <w:rPr>
          <w:rFonts w:asciiTheme="majorBidi" w:hAnsiTheme="majorBidi" w:cstheme="majorBidi"/>
          <w:sz w:val="24"/>
          <w:szCs w:val="24"/>
        </w:rPr>
        <w:t>, and H</w:t>
      </w:r>
      <w:r w:rsidR="00D65FF6">
        <w:rPr>
          <w:rFonts w:asciiTheme="majorBidi" w:hAnsiTheme="majorBidi" w:cstheme="majorBidi"/>
          <w:sz w:val="24"/>
          <w:szCs w:val="24"/>
        </w:rPr>
        <w:t>7</w:t>
      </w:r>
      <w:r w:rsidR="00D65FF6" w:rsidRPr="009A3404">
        <w:rPr>
          <w:rFonts w:asciiTheme="majorBidi" w:hAnsiTheme="majorBidi" w:cstheme="majorBidi"/>
          <w:sz w:val="24"/>
          <w:szCs w:val="24"/>
        </w:rPr>
        <w:t xml:space="preserve"> are rejected. </w:t>
      </w:r>
      <w:r w:rsidR="003A3245" w:rsidRPr="003A3245">
        <w:rPr>
          <w:rFonts w:asciiTheme="majorBidi" w:hAnsiTheme="majorBidi" w:cstheme="majorBidi"/>
          <w:sz w:val="24"/>
          <w:szCs w:val="24"/>
        </w:rPr>
        <w:t>A</w:t>
      </w:r>
      <w:r w:rsidR="003A3245">
        <w:rPr>
          <w:rFonts w:asciiTheme="majorBidi" w:hAnsiTheme="majorBidi" w:cstheme="majorBidi"/>
          <w:sz w:val="24"/>
          <w:szCs w:val="24"/>
        </w:rPr>
        <w:t>dditionally, a</w:t>
      </w:r>
      <w:r w:rsidR="003A3245" w:rsidRPr="003A3245">
        <w:rPr>
          <w:rFonts w:asciiTheme="majorBidi" w:hAnsiTheme="majorBidi" w:cstheme="majorBidi"/>
          <w:sz w:val="24"/>
          <w:szCs w:val="24"/>
        </w:rPr>
        <w:t xml:space="preserve"> popular </w:t>
      </w:r>
      <w:r w:rsidR="003A3245">
        <w:rPr>
          <w:rFonts w:asciiTheme="majorBidi" w:hAnsiTheme="majorBidi" w:cstheme="majorBidi"/>
          <w:sz w:val="24"/>
          <w:szCs w:val="24"/>
        </w:rPr>
        <w:t>measure</w:t>
      </w:r>
      <w:r w:rsidR="003A3245" w:rsidRPr="003A3245">
        <w:rPr>
          <w:rFonts w:asciiTheme="majorBidi" w:hAnsiTheme="majorBidi" w:cstheme="majorBidi"/>
          <w:sz w:val="24"/>
          <w:szCs w:val="24"/>
        </w:rPr>
        <w:t xml:space="preserve"> for evaluating how well a regression model fits the data is R-squared</w:t>
      </w:r>
      <w:sdt>
        <w:sdtPr>
          <w:rPr>
            <w:rFonts w:asciiTheme="majorBidi" w:hAnsiTheme="majorBidi" w:cstheme="majorBidi"/>
            <w:sz w:val="24"/>
            <w:szCs w:val="24"/>
          </w:rPr>
          <w:id w:val="618034431"/>
          <w:citation/>
        </w:sdtPr>
        <w:sdtContent>
          <w:r w:rsidR="009B6891">
            <w:rPr>
              <w:rFonts w:asciiTheme="majorBidi" w:hAnsiTheme="majorBidi" w:cstheme="majorBidi"/>
              <w:sz w:val="24"/>
              <w:szCs w:val="24"/>
            </w:rPr>
            <w:fldChar w:fldCharType="begin"/>
          </w:r>
          <w:r w:rsidR="009B6891">
            <w:rPr>
              <w:rFonts w:asciiTheme="majorBidi" w:hAnsiTheme="majorBidi" w:cstheme="majorBidi"/>
              <w:sz w:val="24"/>
              <w:szCs w:val="24"/>
            </w:rPr>
            <w:instrText xml:space="preserve"> CITATION Fer231 \l 2057 </w:instrText>
          </w:r>
          <w:r w:rsidR="009B6891">
            <w:rPr>
              <w:rFonts w:asciiTheme="majorBidi" w:hAnsiTheme="majorBidi" w:cstheme="majorBidi"/>
              <w:sz w:val="24"/>
              <w:szCs w:val="24"/>
            </w:rPr>
            <w:fldChar w:fldCharType="separate"/>
          </w:r>
          <w:r w:rsidR="009B6891">
            <w:rPr>
              <w:rFonts w:asciiTheme="majorBidi" w:hAnsiTheme="majorBidi" w:cstheme="majorBidi"/>
              <w:noProof/>
              <w:sz w:val="24"/>
              <w:szCs w:val="24"/>
            </w:rPr>
            <w:t xml:space="preserve"> </w:t>
          </w:r>
          <w:r w:rsidR="009B6891" w:rsidRPr="009B6891">
            <w:rPr>
              <w:rFonts w:asciiTheme="majorBidi" w:hAnsiTheme="majorBidi" w:cstheme="majorBidi"/>
              <w:noProof/>
              <w:sz w:val="24"/>
              <w:szCs w:val="24"/>
            </w:rPr>
            <w:t>(Fernando, Smith, &amp; Perez, 2023)</w:t>
          </w:r>
          <w:r w:rsidR="009B6891">
            <w:rPr>
              <w:rFonts w:asciiTheme="majorBidi" w:hAnsiTheme="majorBidi" w:cstheme="majorBidi"/>
              <w:sz w:val="24"/>
              <w:szCs w:val="24"/>
            </w:rPr>
            <w:fldChar w:fldCharType="end"/>
          </w:r>
        </w:sdtContent>
      </w:sdt>
      <w:r w:rsidR="003A3245" w:rsidRPr="003A3245">
        <w:rPr>
          <w:rFonts w:asciiTheme="majorBidi" w:hAnsiTheme="majorBidi" w:cstheme="majorBidi"/>
          <w:sz w:val="24"/>
          <w:szCs w:val="24"/>
        </w:rPr>
        <w:t>.</w:t>
      </w:r>
      <w:r w:rsidR="003A3245">
        <w:rPr>
          <w:rFonts w:asciiTheme="majorBidi" w:hAnsiTheme="majorBidi" w:cstheme="majorBidi"/>
          <w:sz w:val="24"/>
          <w:szCs w:val="24"/>
        </w:rPr>
        <w:t xml:space="preserve"> Ranging from 0-1, R-squared indicated the variance depicted in the dependent variable that is accounted for by the independent variables in a regression analysis</w:t>
      </w:r>
      <w:sdt>
        <w:sdtPr>
          <w:rPr>
            <w:rFonts w:asciiTheme="majorBidi" w:hAnsiTheme="majorBidi" w:cstheme="majorBidi"/>
            <w:sz w:val="24"/>
            <w:szCs w:val="24"/>
          </w:rPr>
          <w:id w:val="205033890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Abb23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F51417">
            <w:rPr>
              <w:rFonts w:asciiTheme="majorBidi" w:hAnsiTheme="majorBidi" w:cstheme="majorBidi"/>
              <w:noProof/>
              <w:sz w:val="24"/>
              <w:szCs w:val="24"/>
            </w:rPr>
            <w:t>(Abba, 2023)</w:t>
          </w:r>
          <w:r>
            <w:rPr>
              <w:rFonts w:asciiTheme="majorBidi" w:hAnsiTheme="majorBidi" w:cstheme="majorBidi"/>
              <w:sz w:val="24"/>
              <w:szCs w:val="24"/>
            </w:rPr>
            <w:fldChar w:fldCharType="end"/>
          </w:r>
        </w:sdtContent>
      </w:sdt>
      <w:r w:rsidR="003A3245">
        <w:rPr>
          <w:rFonts w:asciiTheme="majorBidi" w:hAnsiTheme="majorBidi" w:cstheme="majorBidi"/>
          <w:sz w:val="24"/>
          <w:szCs w:val="24"/>
        </w:rPr>
        <w:t xml:space="preserve">. </w:t>
      </w:r>
      <w:r w:rsidR="0059400D">
        <w:rPr>
          <w:rFonts w:asciiTheme="majorBidi" w:hAnsiTheme="majorBidi" w:cstheme="majorBidi"/>
          <w:sz w:val="24"/>
          <w:szCs w:val="24"/>
        </w:rPr>
        <w:t xml:space="preserve">Table </w:t>
      </w:r>
      <w:r w:rsidR="004C729F">
        <w:rPr>
          <w:rFonts w:asciiTheme="majorBidi" w:hAnsiTheme="majorBidi" w:cstheme="majorBidi"/>
          <w:sz w:val="24"/>
          <w:szCs w:val="24"/>
        </w:rPr>
        <w:t>3</w:t>
      </w:r>
      <w:r w:rsidR="004F6F51">
        <w:rPr>
          <w:rFonts w:asciiTheme="majorBidi" w:hAnsiTheme="majorBidi" w:cstheme="majorBidi"/>
          <w:sz w:val="24"/>
          <w:szCs w:val="24"/>
        </w:rPr>
        <w:t>9</w:t>
      </w:r>
      <w:r w:rsidR="003A3245">
        <w:rPr>
          <w:rFonts w:asciiTheme="majorBidi" w:hAnsiTheme="majorBidi" w:cstheme="majorBidi"/>
          <w:sz w:val="24"/>
          <w:szCs w:val="24"/>
        </w:rPr>
        <w:t xml:space="preserve"> presents the results of R-squared from this analysis. </w:t>
      </w:r>
      <w:r w:rsidR="00D65FF6">
        <w:rPr>
          <w:rFonts w:asciiTheme="majorBidi" w:hAnsiTheme="majorBidi" w:cstheme="majorBidi"/>
          <w:sz w:val="24"/>
          <w:szCs w:val="24"/>
        </w:rPr>
        <w:t xml:space="preserve">The next section outlines the indirect effects that resemble the halo effects. </w:t>
      </w:r>
    </w:p>
    <w:tbl>
      <w:tblPr>
        <w:tblW w:w="8931" w:type="dxa"/>
        <w:tblInd w:w="-8" w:type="dxa"/>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92"/>
        <w:gridCol w:w="490"/>
        <w:gridCol w:w="1746"/>
        <w:gridCol w:w="1134"/>
        <w:gridCol w:w="1417"/>
        <w:gridCol w:w="992"/>
        <w:gridCol w:w="851"/>
        <w:gridCol w:w="709"/>
      </w:tblGrid>
      <w:tr w:rsidR="00D65FF6" w:rsidRPr="008D75D3" w14:paraId="5A98DC31" w14:textId="77777777" w:rsidTr="00864BD9">
        <w:trPr>
          <w:trHeight w:val="788"/>
          <w:tblHeader/>
        </w:trPr>
        <w:tc>
          <w:tcPr>
            <w:tcW w:w="1592" w:type="dxa"/>
            <w:tcBorders>
              <w:bottom w:val="single" w:sz="6" w:space="0" w:color="auto"/>
            </w:tcBorders>
            <w:tcMar>
              <w:top w:w="15" w:type="dxa"/>
              <w:left w:w="140" w:type="dxa"/>
              <w:bottom w:w="15" w:type="dxa"/>
              <w:right w:w="140" w:type="dxa"/>
            </w:tcMar>
            <w:vAlign w:val="center"/>
            <w:hideMark/>
          </w:tcPr>
          <w:p w14:paraId="44170DCD" w14:textId="77777777" w:rsidR="00D65FF6" w:rsidRPr="00D53E24" w:rsidRDefault="00D65FF6" w:rsidP="008D0DBB">
            <w:pPr>
              <w:spacing w:after="0" w:line="240" w:lineRule="auto"/>
              <w:rPr>
                <w:rFonts w:asciiTheme="majorBidi" w:eastAsia="Times New Roman" w:hAnsiTheme="majorBidi" w:cstheme="majorBidi"/>
                <w:sz w:val="20"/>
                <w:szCs w:val="20"/>
              </w:rPr>
            </w:pPr>
            <w:bookmarkStart w:id="179" w:name="_Hlk146673872"/>
          </w:p>
        </w:tc>
        <w:tc>
          <w:tcPr>
            <w:tcW w:w="490" w:type="dxa"/>
            <w:tcBorders>
              <w:bottom w:val="single" w:sz="6" w:space="0" w:color="auto"/>
            </w:tcBorders>
            <w:tcMar>
              <w:top w:w="15" w:type="dxa"/>
              <w:left w:w="140" w:type="dxa"/>
              <w:bottom w:w="15" w:type="dxa"/>
              <w:right w:w="140" w:type="dxa"/>
            </w:tcMar>
            <w:vAlign w:val="center"/>
            <w:hideMark/>
          </w:tcPr>
          <w:p w14:paraId="43793E6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p>
        </w:tc>
        <w:tc>
          <w:tcPr>
            <w:tcW w:w="1746" w:type="dxa"/>
            <w:tcBorders>
              <w:bottom w:val="single" w:sz="6" w:space="0" w:color="auto"/>
              <w:right w:val="single" w:sz="6" w:space="0" w:color="auto"/>
            </w:tcBorders>
            <w:tcMar>
              <w:top w:w="15" w:type="dxa"/>
              <w:left w:w="140" w:type="dxa"/>
              <w:bottom w:w="15" w:type="dxa"/>
              <w:right w:w="140" w:type="dxa"/>
            </w:tcMar>
            <w:vAlign w:val="center"/>
            <w:hideMark/>
          </w:tcPr>
          <w:p w14:paraId="1D5CA3F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p>
        </w:tc>
        <w:tc>
          <w:tcPr>
            <w:tcW w:w="1134" w:type="dxa"/>
            <w:tcBorders>
              <w:bottom w:val="single" w:sz="6" w:space="0" w:color="auto"/>
            </w:tcBorders>
            <w:tcMar>
              <w:top w:w="15" w:type="dxa"/>
              <w:left w:w="140" w:type="dxa"/>
              <w:bottom w:w="15" w:type="dxa"/>
              <w:right w:w="140" w:type="dxa"/>
            </w:tcMar>
            <w:vAlign w:val="center"/>
            <w:hideMark/>
          </w:tcPr>
          <w:p w14:paraId="060B997F" w14:textId="77777777" w:rsidR="00D65FF6" w:rsidRPr="00D53E24" w:rsidRDefault="00D65FF6" w:rsidP="00321A6B">
            <w:pPr>
              <w:spacing w:after="0" w:line="240" w:lineRule="auto"/>
              <w:jc w:val="center"/>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Estimate</w:t>
            </w:r>
          </w:p>
        </w:tc>
        <w:tc>
          <w:tcPr>
            <w:tcW w:w="1417" w:type="dxa"/>
            <w:tcBorders>
              <w:bottom w:val="single" w:sz="6" w:space="0" w:color="auto"/>
            </w:tcBorders>
            <w:tcMar>
              <w:top w:w="15" w:type="dxa"/>
              <w:left w:w="140" w:type="dxa"/>
              <w:bottom w:w="15" w:type="dxa"/>
              <w:right w:w="140" w:type="dxa"/>
            </w:tcMar>
            <w:vAlign w:val="center"/>
            <w:hideMark/>
          </w:tcPr>
          <w:p w14:paraId="060C514A" w14:textId="100EE1D1" w:rsidR="00D65FF6" w:rsidRPr="00D53E24" w:rsidRDefault="00D65FF6" w:rsidP="00321A6B">
            <w:pPr>
              <w:spacing w:after="0" w:line="240" w:lineRule="auto"/>
              <w:jc w:val="center"/>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Standardi</w:t>
            </w:r>
            <w:r w:rsidR="00D53E24">
              <w:rPr>
                <w:rFonts w:asciiTheme="majorBidi" w:eastAsia="Times New Roman" w:hAnsiTheme="majorBidi" w:cstheme="majorBidi"/>
                <w:sz w:val="20"/>
                <w:szCs w:val="20"/>
              </w:rPr>
              <w:t>s</w:t>
            </w:r>
            <w:r w:rsidRPr="00D53E24">
              <w:rPr>
                <w:rFonts w:asciiTheme="majorBidi" w:eastAsia="Times New Roman" w:hAnsiTheme="majorBidi" w:cstheme="majorBidi"/>
                <w:sz w:val="20"/>
                <w:szCs w:val="20"/>
              </w:rPr>
              <w:t>ed coefficients</w:t>
            </w:r>
          </w:p>
        </w:tc>
        <w:tc>
          <w:tcPr>
            <w:tcW w:w="992" w:type="dxa"/>
            <w:tcBorders>
              <w:bottom w:val="single" w:sz="6" w:space="0" w:color="auto"/>
            </w:tcBorders>
            <w:tcMar>
              <w:top w:w="15" w:type="dxa"/>
              <w:left w:w="140" w:type="dxa"/>
              <w:bottom w:w="15" w:type="dxa"/>
              <w:right w:w="140" w:type="dxa"/>
            </w:tcMar>
            <w:vAlign w:val="center"/>
            <w:hideMark/>
          </w:tcPr>
          <w:p w14:paraId="2197478C" w14:textId="77777777" w:rsidR="00D65FF6" w:rsidRPr="00D53E24" w:rsidRDefault="00D65FF6" w:rsidP="00321A6B">
            <w:pPr>
              <w:spacing w:after="0" w:line="240" w:lineRule="auto"/>
              <w:jc w:val="center"/>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S.E.</w:t>
            </w:r>
          </w:p>
        </w:tc>
        <w:tc>
          <w:tcPr>
            <w:tcW w:w="851" w:type="dxa"/>
            <w:tcBorders>
              <w:bottom w:val="single" w:sz="6" w:space="0" w:color="auto"/>
            </w:tcBorders>
            <w:tcMar>
              <w:top w:w="15" w:type="dxa"/>
              <w:left w:w="140" w:type="dxa"/>
              <w:bottom w:w="15" w:type="dxa"/>
              <w:right w:w="140" w:type="dxa"/>
            </w:tcMar>
            <w:vAlign w:val="center"/>
            <w:hideMark/>
          </w:tcPr>
          <w:p w14:paraId="43A07A29" w14:textId="77777777" w:rsidR="00D65FF6" w:rsidRPr="00D53E24" w:rsidRDefault="00D65FF6" w:rsidP="00321A6B">
            <w:pPr>
              <w:spacing w:after="0" w:line="240" w:lineRule="auto"/>
              <w:jc w:val="center"/>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C.R.</w:t>
            </w:r>
          </w:p>
        </w:tc>
        <w:tc>
          <w:tcPr>
            <w:tcW w:w="709" w:type="dxa"/>
            <w:tcBorders>
              <w:bottom w:val="single" w:sz="6" w:space="0" w:color="auto"/>
            </w:tcBorders>
            <w:tcMar>
              <w:top w:w="15" w:type="dxa"/>
              <w:left w:w="140" w:type="dxa"/>
              <w:bottom w:w="15" w:type="dxa"/>
              <w:right w:w="140" w:type="dxa"/>
            </w:tcMar>
            <w:vAlign w:val="center"/>
            <w:hideMark/>
          </w:tcPr>
          <w:p w14:paraId="7E7B487D" w14:textId="77777777" w:rsidR="00D65FF6" w:rsidRPr="00D53E24" w:rsidRDefault="00D65FF6" w:rsidP="00321A6B">
            <w:pPr>
              <w:spacing w:after="0" w:line="240" w:lineRule="auto"/>
              <w:jc w:val="center"/>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P</w:t>
            </w:r>
          </w:p>
        </w:tc>
      </w:tr>
      <w:tr w:rsidR="00D65FF6" w:rsidRPr="008D75D3" w14:paraId="4669A8BC" w14:textId="77777777" w:rsidTr="00864BD9">
        <w:trPr>
          <w:trHeight w:val="318"/>
        </w:trPr>
        <w:tc>
          <w:tcPr>
            <w:tcW w:w="1592" w:type="dxa"/>
            <w:tcMar>
              <w:top w:w="15" w:type="dxa"/>
              <w:left w:w="57" w:type="dxa"/>
              <w:bottom w:w="15" w:type="dxa"/>
              <w:right w:w="57" w:type="dxa"/>
            </w:tcMar>
            <w:vAlign w:val="center"/>
            <w:hideMark/>
          </w:tcPr>
          <w:p w14:paraId="35443C83"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functionality</w:t>
            </w:r>
          </w:p>
        </w:tc>
        <w:tc>
          <w:tcPr>
            <w:tcW w:w="490" w:type="dxa"/>
            <w:noWrap/>
            <w:tcMar>
              <w:top w:w="15" w:type="dxa"/>
              <w:left w:w="57" w:type="dxa"/>
              <w:bottom w:w="15" w:type="dxa"/>
              <w:right w:w="57" w:type="dxa"/>
            </w:tcMar>
            <w:vAlign w:val="center"/>
            <w:hideMark/>
          </w:tcPr>
          <w:p w14:paraId="15D238F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3CE0519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1134" w:type="dxa"/>
            <w:noWrap/>
            <w:tcMar>
              <w:top w:w="15" w:type="dxa"/>
              <w:left w:w="140" w:type="dxa"/>
              <w:bottom w:w="15" w:type="dxa"/>
              <w:right w:w="140" w:type="dxa"/>
            </w:tcMar>
            <w:vAlign w:val="center"/>
            <w:hideMark/>
          </w:tcPr>
          <w:p w14:paraId="04A7035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-.620</w:t>
            </w:r>
          </w:p>
        </w:tc>
        <w:tc>
          <w:tcPr>
            <w:tcW w:w="1417" w:type="dxa"/>
            <w:tcMar>
              <w:top w:w="15" w:type="dxa"/>
              <w:left w:w="140" w:type="dxa"/>
              <w:bottom w:w="15" w:type="dxa"/>
              <w:right w:w="140" w:type="dxa"/>
            </w:tcMar>
            <w:vAlign w:val="center"/>
            <w:hideMark/>
          </w:tcPr>
          <w:p w14:paraId="1638199E"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-.247</w:t>
            </w:r>
          </w:p>
        </w:tc>
        <w:tc>
          <w:tcPr>
            <w:tcW w:w="992" w:type="dxa"/>
            <w:noWrap/>
            <w:tcMar>
              <w:top w:w="15" w:type="dxa"/>
              <w:left w:w="140" w:type="dxa"/>
              <w:bottom w:w="15" w:type="dxa"/>
              <w:right w:w="140" w:type="dxa"/>
            </w:tcMar>
            <w:vAlign w:val="center"/>
            <w:hideMark/>
          </w:tcPr>
          <w:p w14:paraId="013B834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.112</w:t>
            </w:r>
          </w:p>
        </w:tc>
        <w:tc>
          <w:tcPr>
            <w:tcW w:w="851" w:type="dxa"/>
            <w:tcMar>
              <w:top w:w="15" w:type="dxa"/>
              <w:left w:w="140" w:type="dxa"/>
              <w:bottom w:w="15" w:type="dxa"/>
              <w:right w:w="140" w:type="dxa"/>
            </w:tcMar>
            <w:vAlign w:val="center"/>
            <w:hideMark/>
          </w:tcPr>
          <w:p w14:paraId="63286CE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-5.533</w:t>
            </w:r>
          </w:p>
        </w:tc>
        <w:tc>
          <w:tcPr>
            <w:tcW w:w="709" w:type="dxa"/>
            <w:tcMar>
              <w:top w:w="15" w:type="dxa"/>
              <w:left w:w="140" w:type="dxa"/>
              <w:bottom w:w="15" w:type="dxa"/>
              <w:right w:w="140" w:type="dxa"/>
            </w:tcMar>
            <w:vAlign w:val="center"/>
            <w:hideMark/>
          </w:tcPr>
          <w:p w14:paraId="20E6842E"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7313993E" w14:textId="77777777" w:rsidTr="00864BD9">
        <w:trPr>
          <w:trHeight w:val="112"/>
        </w:trPr>
        <w:tc>
          <w:tcPr>
            <w:tcW w:w="1592" w:type="dxa"/>
            <w:tcMar>
              <w:top w:w="15" w:type="dxa"/>
              <w:left w:w="57" w:type="dxa"/>
              <w:bottom w:w="15" w:type="dxa"/>
              <w:right w:w="57" w:type="dxa"/>
            </w:tcMar>
            <w:vAlign w:val="center"/>
            <w:hideMark/>
          </w:tcPr>
          <w:p w14:paraId="5E7B0DD6"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Likeability</w:t>
            </w:r>
          </w:p>
        </w:tc>
        <w:tc>
          <w:tcPr>
            <w:tcW w:w="490" w:type="dxa"/>
            <w:noWrap/>
            <w:tcMar>
              <w:top w:w="15" w:type="dxa"/>
              <w:left w:w="57" w:type="dxa"/>
              <w:bottom w:w="15" w:type="dxa"/>
              <w:right w:w="57" w:type="dxa"/>
            </w:tcMar>
            <w:vAlign w:val="center"/>
            <w:hideMark/>
          </w:tcPr>
          <w:p w14:paraId="31CEA6E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5FE5D5C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1134" w:type="dxa"/>
            <w:noWrap/>
            <w:tcMar>
              <w:top w:w="15" w:type="dxa"/>
              <w:left w:w="140" w:type="dxa"/>
              <w:bottom w:w="15" w:type="dxa"/>
              <w:right w:w="140" w:type="dxa"/>
            </w:tcMar>
            <w:vAlign w:val="center"/>
            <w:hideMark/>
          </w:tcPr>
          <w:p w14:paraId="0F47997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-.454</w:t>
            </w:r>
          </w:p>
        </w:tc>
        <w:tc>
          <w:tcPr>
            <w:tcW w:w="1417" w:type="dxa"/>
            <w:tcMar>
              <w:top w:w="15" w:type="dxa"/>
              <w:left w:w="140" w:type="dxa"/>
              <w:bottom w:w="15" w:type="dxa"/>
              <w:right w:w="140" w:type="dxa"/>
            </w:tcMar>
            <w:vAlign w:val="center"/>
            <w:hideMark/>
          </w:tcPr>
          <w:p w14:paraId="48D790C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-.188</w:t>
            </w:r>
          </w:p>
        </w:tc>
        <w:tc>
          <w:tcPr>
            <w:tcW w:w="992" w:type="dxa"/>
            <w:noWrap/>
            <w:tcMar>
              <w:top w:w="15" w:type="dxa"/>
              <w:left w:w="140" w:type="dxa"/>
              <w:bottom w:w="15" w:type="dxa"/>
              <w:right w:w="140" w:type="dxa"/>
            </w:tcMar>
            <w:vAlign w:val="center"/>
            <w:hideMark/>
          </w:tcPr>
          <w:p w14:paraId="10DAB3C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.107</w:t>
            </w:r>
          </w:p>
        </w:tc>
        <w:tc>
          <w:tcPr>
            <w:tcW w:w="851" w:type="dxa"/>
            <w:tcMar>
              <w:top w:w="15" w:type="dxa"/>
              <w:left w:w="140" w:type="dxa"/>
              <w:bottom w:w="15" w:type="dxa"/>
              <w:right w:w="140" w:type="dxa"/>
            </w:tcMar>
            <w:vAlign w:val="center"/>
            <w:hideMark/>
          </w:tcPr>
          <w:p w14:paraId="312FD90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-4.247</w:t>
            </w:r>
          </w:p>
        </w:tc>
        <w:tc>
          <w:tcPr>
            <w:tcW w:w="709" w:type="dxa"/>
            <w:tcMar>
              <w:top w:w="15" w:type="dxa"/>
              <w:left w:w="140" w:type="dxa"/>
              <w:bottom w:w="15" w:type="dxa"/>
              <w:right w:w="140" w:type="dxa"/>
            </w:tcMar>
            <w:vAlign w:val="center"/>
            <w:hideMark/>
          </w:tcPr>
          <w:p w14:paraId="13A66F9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72410150" w14:textId="77777777" w:rsidTr="00864BD9">
        <w:trPr>
          <w:trHeight w:val="286"/>
        </w:trPr>
        <w:tc>
          <w:tcPr>
            <w:tcW w:w="1592" w:type="dxa"/>
            <w:tcMar>
              <w:top w:w="15" w:type="dxa"/>
              <w:left w:w="57" w:type="dxa"/>
              <w:bottom w:w="15" w:type="dxa"/>
              <w:right w:w="57" w:type="dxa"/>
            </w:tcMar>
            <w:vAlign w:val="center"/>
            <w:hideMark/>
          </w:tcPr>
          <w:p w14:paraId="51EAD1D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Emotional brand</w:t>
            </w:r>
          </w:p>
        </w:tc>
        <w:tc>
          <w:tcPr>
            <w:tcW w:w="490" w:type="dxa"/>
            <w:noWrap/>
            <w:tcMar>
              <w:top w:w="15" w:type="dxa"/>
              <w:left w:w="57" w:type="dxa"/>
              <w:bottom w:w="15" w:type="dxa"/>
              <w:right w:w="57" w:type="dxa"/>
            </w:tcMar>
            <w:vAlign w:val="center"/>
            <w:hideMark/>
          </w:tcPr>
          <w:p w14:paraId="3881EC5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6B53C1E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1134" w:type="dxa"/>
            <w:noWrap/>
            <w:tcMar>
              <w:top w:w="15" w:type="dxa"/>
              <w:left w:w="140" w:type="dxa"/>
              <w:bottom w:w="15" w:type="dxa"/>
              <w:right w:w="140" w:type="dxa"/>
            </w:tcMar>
            <w:vAlign w:val="center"/>
            <w:hideMark/>
          </w:tcPr>
          <w:p w14:paraId="0741C882"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-.453</w:t>
            </w:r>
          </w:p>
        </w:tc>
        <w:tc>
          <w:tcPr>
            <w:tcW w:w="1417" w:type="dxa"/>
            <w:tcMar>
              <w:top w:w="15" w:type="dxa"/>
              <w:left w:w="140" w:type="dxa"/>
              <w:bottom w:w="15" w:type="dxa"/>
              <w:right w:w="140" w:type="dxa"/>
            </w:tcMar>
            <w:vAlign w:val="center"/>
            <w:hideMark/>
          </w:tcPr>
          <w:p w14:paraId="01B5C8C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-.158</w:t>
            </w:r>
          </w:p>
        </w:tc>
        <w:tc>
          <w:tcPr>
            <w:tcW w:w="992" w:type="dxa"/>
            <w:noWrap/>
            <w:tcMar>
              <w:top w:w="15" w:type="dxa"/>
              <w:left w:w="140" w:type="dxa"/>
              <w:bottom w:w="15" w:type="dxa"/>
              <w:right w:w="140" w:type="dxa"/>
            </w:tcMar>
            <w:vAlign w:val="center"/>
            <w:hideMark/>
          </w:tcPr>
          <w:p w14:paraId="35E3E11E"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.128</w:t>
            </w:r>
          </w:p>
        </w:tc>
        <w:tc>
          <w:tcPr>
            <w:tcW w:w="851" w:type="dxa"/>
            <w:tcMar>
              <w:top w:w="15" w:type="dxa"/>
              <w:left w:w="140" w:type="dxa"/>
              <w:bottom w:w="15" w:type="dxa"/>
              <w:right w:w="140" w:type="dxa"/>
            </w:tcMar>
            <w:vAlign w:val="center"/>
            <w:hideMark/>
          </w:tcPr>
          <w:p w14:paraId="0240148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-3.534</w:t>
            </w:r>
          </w:p>
        </w:tc>
        <w:tc>
          <w:tcPr>
            <w:tcW w:w="709" w:type="dxa"/>
            <w:tcMar>
              <w:top w:w="15" w:type="dxa"/>
              <w:left w:w="140" w:type="dxa"/>
              <w:bottom w:w="15" w:type="dxa"/>
              <w:right w:w="140" w:type="dxa"/>
            </w:tcMar>
            <w:vAlign w:val="center"/>
            <w:hideMark/>
          </w:tcPr>
          <w:p w14:paraId="6F60DE6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4DFDBCF2" w14:textId="77777777" w:rsidTr="00864BD9">
        <w:trPr>
          <w:trHeight w:val="248"/>
        </w:trPr>
        <w:tc>
          <w:tcPr>
            <w:tcW w:w="1592" w:type="dxa"/>
            <w:tcMar>
              <w:top w:w="15" w:type="dxa"/>
              <w:left w:w="57" w:type="dxa"/>
              <w:bottom w:w="15" w:type="dxa"/>
              <w:right w:w="57" w:type="dxa"/>
            </w:tcMar>
            <w:vAlign w:val="center"/>
            <w:hideMark/>
          </w:tcPr>
          <w:p w14:paraId="42DC608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trust</w:t>
            </w:r>
          </w:p>
        </w:tc>
        <w:tc>
          <w:tcPr>
            <w:tcW w:w="490" w:type="dxa"/>
            <w:noWrap/>
            <w:tcMar>
              <w:top w:w="15" w:type="dxa"/>
              <w:left w:w="57" w:type="dxa"/>
              <w:bottom w:w="15" w:type="dxa"/>
              <w:right w:w="57" w:type="dxa"/>
            </w:tcMar>
            <w:vAlign w:val="center"/>
            <w:hideMark/>
          </w:tcPr>
          <w:p w14:paraId="1B71299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5F553EF3"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TV</w:t>
            </w:r>
          </w:p>
        </w:tc>
        <w:tc>
          <w:tcPr>
            <w:tcW w:w="1134" w:type="dxa"/>
            <w:noWrap/>
            <w:tcMar>
              <w:top w:w="15" w:type="dxa"/>
              <w:left w:w="140" w:type="dxa"/>
              <w:bottom w:w="15" w:type="dxa"/>
              <w:right w:w="140" w:type="dxa"/>
            </w:tcMar>
            <w:vAlign w:val="center"/>
            <w:hideMark/>
          </w:tcPr>
          <w:p w14:paraId="645CD9D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-.591</w:t>
            </w:r>
          </w:p>
        </w:tc>
        <w:tc>
          <w:tcPr>
            <w:tcW w:w="1417" w:type="dxa"/>
            <w:tcMar>
              <w:top w:w="15" w:type="dxa"/>
              <w:left w:w="140" w:type="dxa"/>
              <w:bottom w:w="15" w:type="dxa"/>
              <w:right w:w="140" w:type="dxa"/>
            </w:tcMar>
            <w:vAlign w:val="center"/>
            <w:hideMark/>
          </w:tcPr>
          <w:p w14:paraId="591E576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-.216</w:t>
            </w:r>
          </w:p>
        </w:tc>
        <w:tc>
          <w:tcPr>
            <w:tcW w:w="992" w:type="dxa"/>
            <w:noWrap/>
            <w:tcMar>
              <w:top w:w="15" w:type="dxa"/>
              <w:left w:w="140" w:type="dxa"/>
              <w:bottom w:w="15" w:type="dxa"/>
              <w:right w:w="140" w:type="dxa"/>
            </w:tcMar>
            <w:vAlign w:val="center"/>
            <w:hideMark/>
          </w:tcPr>
          <w:p w14:paraId="7C0C417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.124</w:t>
            </w:r>
          </w:p>
        </w:tc>
        <w:tc>
          <w:tcPr>
            <w:tcW w:w="851" w:type="dxa"/>
            <w:tcMar>
              <w:top w:w="15" w:type="dxa"/>
              <w:left w:w="140" w:type="dxa"/>
              <w:bottom w:w="15" w:type="dxa"/>
              <w:right w:w="140" w:type="dxa"/>
            </w:tcMar>
            <w:vAlign w:val="center"/>
            <w:hideMark/>
          </w:tcPr>
          <w:p w14:paraId="7D3868C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-4.781</w:t>
            </w:r>
          </w:p>
        </w:tc>
        <w:tc>
          <w:tcPr>
            <w:tcW w:w="709" w:type="dxa"/>
            <w:tcMar>
              <w:top w:w="15" w:type="dxa"/>
              <w:left w:w="140" w:type="dxa"/>
              <w:bottom w:w="15" w:type="dxa"/>
              <w:right w:w="140" w:type="dxa"/>
            </w:tcMar>
            <w:vAlign w:val="center"/>
            <w:hideMark/>
          </w:tcPr>
          <w:p w14:paraId="78180ED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28AEA889" w14:textId="77777777" w:rsidTr="00864BD9">
        <w:trPr>
          <w:trHeight w:val="110"/>
        </w:trPr>
        <w:tc>
          <w:tcPr>
            <w:tcW w:w="1592" w:type="dxa"/>
            <w:tcMar>
              <w:top w:w="15" w:type="dxa"/>
              <w:left w:w="57" w:type="dxa"/>
              <w:bottom w:w="15" w:type="dxa"/>
              <w:right w:w="57" w:type="dxa"/>
            </w:tcMar>
            <w:vAlign w:val="center"/>
            <w:hideMark/>
          </w:tcPr>
          <w:p w14:paraId="1A46795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Likeability</w:t>
            </w:r>
          </w:p>
        </w:tc>
        <w:tc>
          <w:tcPr>
            <w:tcW w:w="490" w:type="dxa"/>
            <w:noWrap/>
            <w:tcMar>
              <w:top w:w="15" w:type="dxa"/>
              <w:left w:w="57" w:type="dxa"/>
              <w:bottom w:w="15" w:type="dxa"/>
              <w:right w:w="57" w:type="dxa"/>
            </w:tcMar>
            <w:vAlign w:val="center"/>
            <w:hideMark/>
          </w:tcPr>
          <w:p w14:paraId="1CA9C7E3"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38661BAB"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1134" w:type="dxa"/>
            <w:tcMar>
              <w:top w:w="15" w:type="dxa"/>
              <w:left w:w="140" w:type="dxa"/>
              <w:bottom w:w="15" w:type="dxa"/>
              <w:right w:w="140" w:type="dxa"/>
            </w:tcMar>
            <w:vAlign w:val="center"/>
            <w:hideMark/>
          </w:tcPr>
          <w:p w14:paraId="40403E8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.552</w:t>
            </w:r>
          </w:p>
        </w:tc>
        <w:tc>
          <w:tcPr>
            <w:tcW w:w="1417" w:type="dxa"/>
            <w:tcMar>
              <w:top w:w="15" w:type="dxa"/>
              <w:left w:w="140" w:type="dxa"/>
              <w:bottom w:w="15" w:type="dxa"/>
              <w:right w:w="140" w:type="dxa"/>
            </w:tcMar>
            <w:vAlign w:val="center"/>
            <w:hideMark/>
          </w:tcPr>
          <w:p w14:paraId="7BAC490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.227</w:t>
            </w:r>
          </w:p>
        </w:tc>
        <w:tc>
          <w:tcPr>
            <w:tcW w:w="992" w:type="dxa"/>
            <w:tcMar>
              <w:top w:w="15" w:type="dxa"/>
              <w:left w:w="140" w:type="dxa"/>
              <w:bottom w:w="15" w:type="dxa"/>
              <w:right w:w="140" w:type="dxa"/>
            </w:tcMar>
            <w:vAlign w:val="center"/>
            <w:hideMark/>
          </w:tcPr>
          <w:p w14:paraId="1B79F53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.108</w:t>
            </w:r>
          </w:p>
        </w:tc>
        <w:tc>
          <w:tcPr>
            <w:tcW w:w="851" w:type="dxa"/>
            <w:tcMar>
              <w:top w:w="15" w:type="dxa"/>
              <w:left w:w="140" w:type="dxa"/>
              <w:bottom w:w="15" w:type="dxa"/>
              <w:right w:w="140" w:type="dxa"/>
            </w:tcMar>
            <w:vAlign w:val="center"/>
            <w:hideMark/>
          </w:tcPr>
          <w:p w14:paraId="30C14C5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5.121</w:t>
            </w:r>
          </w:p>
        </w:tc>
        <w:tc>
          <w:tcPr>
            <w:tcW w:w="709" w:type="dxa"/>
            <w:tcMar>
              <w:top w:w="15" w:type="dxa"/>
              <w:left w:w="140" w:type="dxa"/>
              <w:bottom w:w="15" w:type="dxa"/>
              <w:right w:w="140" w:type="dxa"/>
            </w:tcMar>
            <w:vAlign w:val="center"/>
            <w:hideMark/>
          </w:tcPr>
          <w:p w14:paraId="029BA8F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53F7A93F" w14:textId="77777777" w:rsidTr="00864BD9">
        <w:trPr>
          <w:trHeight w:val="41"/>
        </w:trPr>
        <w:tc>
          <w:tcPr>
            <w:tcW w:w="1592" w:type="dxa"/>
            <w:tcMar>
              <w:top w:w="15" w:type="dxa"/>
              <w:left w:w="57" w:type="dxa"/>
              <w:bottom w:w="15" w:type="dxa"/>
              <w:right w:w="57" w:type="dxa"/>
            </w:tcMar>
            <w:vAlign w:val="center"/>
            <w:hideMark/>
          </w:tcPr>
          <w:p w14:paraId="4F84533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Emotional brand</w:t>
            </w:r>
          </w:p>
        </w:tc>
        <w:tc>
          <w:tcPr>
            <w:tcW w:w="490" w:type="dxa"/>
            <w:noWrap/>
            <w:tcMar>
              <w:top w:w="15" w:type="dxa"/>
              <w:left w:w="57" w:type="dxa"/>
              <w:bottom w:w="15" w:type="dxa"/>
              <w:right w:w="57" w:type="dxa"/>
            </w:tcMar>
            <w:vAlign w:val="center"/>
            <w:hideMark/>
          </w:tcPr>
          <w:p w14:paraId="2278F50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155C6F5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1134" w:type="dxa"/>
            <w:tcMar>
              <w:top w:w="15" w:type="dxa"/>
              <w:left w:w="140" w:type="dxa"/>
              <w:bottom w:w="15" w:type="dxa"/>
              <w:right w:w="140" w:type="dxa"/>
            </w:tcMar>
            <w:vAlign w:val="center"/>
            <w:hideMark/>
          </w:tcPr>
          <w:p w14:paraId="16287B7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.618</w:t>
            </w:r>
          </w:p>
        </w:tc>
        <w:tc>
          <w:tcPr>
            <w:tcW w:w="1417" w:type="dxa"/>
            <w:tcMar>
              <w:top w:w="15" w:type="dxa"/>
              <w:left w:w="140" w:type="dxa"/>
              <w:bottom w:w="15" w:type="dxa"/>
              <w:right w:w="140" w:type="dxa"/>
            </w:tcMar>
            <w:vAlign w:val="center"/>
            <w:hideMark/>
          </w:tcPr>
          <w:p w14:paraId="2A14EDF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.214</w:t>
            </w:r>
          </w:p>
        </w:tc>
        <w:tc>
          <w:tcPr>
            <w:tcW w:w="992" w:type="dxa"/>
            <w:tcMar>
              <w:top w:w="15" w:type="dxa"/>
              <w:left w:w="140" w:type="dxa"/>
              <w:bottom w:w="15" w:type="dxa"/>
              <w:right w:w="140" w:type="dxa"/>
            </w:tcMar>
            <w:vAlign w:val="center"/>
            <w:hideMark/>
          </w:tcPr>
          <w:p w14:paraId="7FFA6BAE"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.129</w:t>
            </w:r>
          </w:p>
        </w:tc>
        <w:tc>
          <w:tcPr>
            <w:tcW w:w="851" w:type="dxa"/>
            <w:tcMar>
              <w:top w:w="15" w:type="dxa"/>
              <w:left w:w="140" w:type="dxa"/>
              <w:bottom w:w="15" w:type="dxa"/>
              <w:right w:w="140" w:type="dxa"/>
            </w:tcMar>
            <w:vAlign w:val="center"/>
            <w:hideMark/>
          </w:tcPr>
          <w:p w14:paraId="4501E69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4.777</w:t>
            </w:r>
          </w:p>
        </w:tc>
        <w:tc>
          <w:tcPr>
            <w:tcW w:w="709" w:type="dxa"/>
            <w:tcMar>
              <w:top w:w="15" w:type="dxa"/>
              <w:left w:w="140" w:type="dxa"/>
              <w:bottom w:w="15" w:type="dxa"/>
              <w:right w:w="140" w:type="dxa"/>
            </w:tcMar>
            <w:vAlign w:val="center"/>
            <w:hideMark/>
          </w:tcPr>
          <w:p w14:paraId="74F772A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7B4E9754" w14:textId="77777777" w:rsidTr="00864BD9">
        <w:trPr>
          <w:trHeight w:val="160"/>
        </w:trPr>
        <w:tc>
          <w:tcPr>
            <w:tcW w:w="1592" w:type="dxa"/>
            <w:tcMar>
              <w:top w:w="15" w:type="dxa"/>
              <w:left w:w="57" w:type="dxa"/>
              <w:bottom w:w="15" w:type="dxa"/>
              <w:right w:w="57" w:type="dxa"/>
            </w:tcMar>
            <w:vAlign w:val="center"/>
            <w:hideMark/>
          </w:tcPr>
          <w:p w14:paraId="5F24B186"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trust</w:t>
            </w:r>
          </w:p>
        </w:tc>
        <w:tc>
          <w:tcPr>
            <w:tcW w:w="490" w:type="dxa"/>
            <w:noWrap/>
            <w:tcMar>
              <w:top w:w="15" w:type="dxa"/>
              <w:left w:w="57" w:type="dxa"/>
              <w:bottom w:w="15" w:type="dxa"/>
              <w:right w:w="57" w:type="dxa"/>
            </w:tcMar>
            <w:vAlign w:val="center"/>
            <w:hideMark/>
          </w:tcPr>
          <w:p w14:paraId="1DBB4124"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33BEC54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1134" w:type="dxa"/>
            <w:tcMar>
              <w:top w:w="15" w:type="dxa"/>
              <w:left w:w="140" w:type="dxa"/>
              <w:bottom w:w="15" w:type="dxa"/>
              <w:right w:w="140" w:type="dxa"/>
            </w:tcMar>
            <w:vAlign w:val="center"/>
            <w:hideMark/>
          </w:tcPr>
          <w:p w14:paraId="38A37F1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.292</w:t>
            </w:r>
          </w:p>
        </w:tc>
        <w:tc>
          <w:tcPr>
            <w:tcW w:w="1417" w:type="dxa"/>
            <w:tcMar>
              <w:top w:w="15" w:type="dxa"/>
              <w:left w:w="140" w:type="dxa"/>
              <w:bottom w:w="15" w:type="dxa"/>
              <w:right w:w="140" w:type="dxa"/>
            </w:tcMar>
            <w:vAlign w:val="center"/>
            <w:hideMark/>
          </w:tcPr>
          <w:p w14:paraId="734FCC6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.106</w:t>
            </w:r>
          </w:p>
        </w:tc>
        <w:tc>
          <w:tcPr>
            <w:tcW w:w="992" w:type="dxa"/>
            <w:tcMar>
              <w:top w:w="15" w:type="dxa"/>
              <w:left w:w="140" w:type="dxa"/>
              <w:bottom w:w="15" w:type="dxa"/>
              <w:right w:w="140" w:type="dxa"/>
            </w:tcMar>
            <w:vAlign w:val="center"/>
            <w:hideMark/>
          </w:tcPr>
          <w:p w14:paraId="576181F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.125</w:t>
            </w:r>
          </w:p>
        </w:tc>
        <w:tc>
          <w:tcPr>
            <w:tcW w:w="851" w:type="dxa"/>
            <w:tcMar>
              <w:top w:w="15" w:type="dxa"/>
              <w:left w:w="140" w:type="dxa"/>
              <w:bottom w:w="15" w:type="dxa"/>
              <w:right w:w="140" w:type="dxa"/>
            </w:tcMar>
            <w:vAlign w:val="center"/>
            <w:hideMark/>
          </w:tcPr>
          <w:p w14:paraId="52C3554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2.345</w:t>
            </w:r>
          </w:p>
        </w:tc>
        <w:tc>
          <w:tcPr>
            <w:tcW w:w="709" w:type="dxa"/>
            <w:tcMar>
              <w:top w:w="15" w:type="dxa"/>
              <w:left w:w="140" w:type="dxa"/>
              <w:bottom w:w="15" w:type="dxa"/>
              <w:right w:w="140" w:type="dxa"/>
            </w:tcMar>
            <w:vAlign w:val="center"/>
            <w:hideMark/>
          </w:tcPr>
          <w:p w14:paraId="2AAAF39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.019</w:t>
            </w:r>
          </w:p>
        </w:tc>
      </w:tr>
      <w:tr w:rsidR="00D65FF6" w:rsidRPr="008D75D3" w14:paraId="345116F8" w14:textId="77777777" w:rsidTr="00864BD9">
        <w:trPr>
          <w:trHeight w:val="41"/>
        </w:trPr>
        <w:tc>
          <w:tcPr>
            <w:tcW w:w="1592" w:type="dxa"/>
            <w:tcMar>
              <w:top w:w="15" w:type="dxa"/>
              <w:left w:w="57" w:type="dxa"/>
              <w:bottom w:w="15" w:type="dxa"/>
              <w:right w:w="57" w:type="dxa"/>
            </w:tcMar>
            <w:vAlign w:val="center"/>
            <w:hideMark/>
          </w:tcPr>
          <w:p w14:paraId="11105E5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Ad Likeability</w:t>
            </w:r>
          </w:p>
        </w:tc>
        <w:tc>
          <w:tcPr>
            <w:tcW w:w="490" w:type="dxa"/>
            <w:noWrap/>
            <w:tcMar>
              <w:top w:w="15" w:type="dxa"/>
              <w:left w:w="57" w:type="dxa"/>
              <w:bottom w:w="15" w:type="dxa"/>
              <w:right w:w="57" w:type="dxa"/>
            </w:tcMar>
            <w:vAlign w:val="center"/>
            <w:hideMark/>
          </w:tcPr>
          <w:p w14:paraId="3BFEF303"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3EBD8CA9"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1134" w:type="dxa"/>
            <w:tcMar>
              <w:top w:w="15" w:type="dxa"/>
              <w:left w:w="140" w:type="dxa"/>
              <w:bottom w:w="15" w:type="dxa"/>
              <w:right w:w="140" w:type="dxa"/>
            </w:tcMar>
            <w:vAlign w:val="center"/>
            <w:hideMark/>
          </w:tcPr>
          <w:p w14:paraId="08CA0FAE"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.970</w:t>
            </w:r>
          </w:p>
        </w:tc>
        <w:tc>
          <w:tcPr>
            <w:tcW w:w="1417" w:type="dxa"/>
            <w:tcMar>
              <w:top w:w="15" w:type="dxa"/>
              <w:left w:w="140" w:type="dxa"/>
              <w:bottom w:w="15" w:type="dxa"/>
              <w:right w:w="140" w:type="dxa"/>
            </w:tcMar>
            <w:vAlign w:val="center"/>
            <w:hideMark/>
          </w:tcPr>
          <w:p w14:paraId="4AC8495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.373</w:t>
            </w:r>
          </w:p>
        </w:tc>
        <w:tc>
          <w:tcPr>
            <w:tcW w:w="992" w:type="dxa"/>
            <w:tcMar>
              <w:top w:w="15" w:type="dxa"/>
              <w:left w:w="140" w:type="dxa"/>
              <w:bottom w:w="15" w:type="dxa"/>
              <w:right w:w="140" w:type="dxa"/>
            </w:tcMar>
            <w:vAlign w:val="center"/>
            <w:hideMark/>
          </w:tcPr>
          <w:p w14:paraId="00B2AB9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.111</w:t>
            </w:r>
          </w:p>
        </w:tc>
        <w:tc>
          <w:tcPr>
            <w:tcW w:w="851" w:type="dxa"/>
            <w:tcMar>
              <w:top w:w="15" w:type="dxa"/>
              <w:left w:w="140" w:type="dxa"/>
              <w:bottom w:w="15" w:type="dxa"/>
              <w:right w:w="140" w:type="dxa"/>
            </w:tcMar>
            <w:vAlign w:val="center"/>
            <w:hideMark/>
          </w:tcPr>
          <w:p w14:paraId="616D3B3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8.741</w:t>
            </w:r>
          </w:p>
        </w:tc>
        <w:tc>
          <w:tcPr>
            <w:tcW w:w="709" w:type="dxa"/>
            <w:tcMar>
              <w:top w:w="15" w:type="dxa"/>
              <w:left w:w="140" w:type="dxa"/>
              <w:bottom w:w="15" w:type="dxa"/>
              <w:right w:w="140" w:type="dxa"/>
            </w:tcMar>
            <w:vAlign w:val="center"/>
            <w:hideMark/>
          </w:tcPr>
          <w:p w14:paraId="3685566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25DB87BE" w14:textId="77777777" w:rsidTr="00864BD9">
        <w:trPr>
          <w:trHeight w:val="54"/>
        </w:trPr>
        <w:tc>
          <w:tcPr>
            <w:tcW w:w="1592" w:type="dxa"/>
            <w:tcMar>
              <w:top w:w="15" w:type="dxa"/>
              <w:left w:w="57" w:type="dxa"/>
              <w:bottom w:w="15" w:type="dxa"/>
              <w:right w:w="57" w:type="dxa"/>
            </w:tcMar>
            <w:vAlign w:val="center"/>
            <w:hideMark/>
          </w:tcPr>
          <w:p w14:paraId="25EB089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490" w:type="dxa"/>
            <w:noWrap/>
            <w:tcMar>
              <w:top w:w="15" w:type="dxa"/>
              <w:left w:w="57" w:type="dxa"/>
              <w:bottom w:w="15" w:type="dxa"/>
              <w:right w:w="57" w:type="dxa"/>
            </w:tcMar>
            <w:vAlign w:val="center"/>
            <w:hideMark/>
          </w:tcPr>
          <w:p w14:paraId="44B5D3F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0E9254C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Ad likeability</w:t>
            </w:r>
          </w:p>
        </w:tc>
        <w:tc>
          <w:tcPr>
            <w:tcW w:w="1134" w:type="dxa"/>
            <w:tcMar>
              <w:top w:w="15" w:type="dxa"/>
              <w:left w:w="140" w:type="dxa"/>
              <w:bottom w:w="15" w:type="dxa"/>
              <w:right w:w="140" w:type="dxa"/>
            </w:tcMar>
            <w:vAlign w:val="center"/>
            <w:hideMark/>
          </w:tcPr>
          <w:p w14:paraId="1ECBDF5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.107</w:t>
            </w:r>
          </w:p>
        </w:tc>
        <w:tc>
          <w:tcPr>
            <w:tcW w:w="1417" w:type="dxa"/>
            <w:tcMar>
              <w:top w:w="15" w:type="dxa"/>
              <w:left w:w="140" w:type="dxa"/>
              <w:bottom w:w="15" w:type="dxa"/>
              <w:right w:w="140" w:type="dxa"/>
            </w:tcMar>
            <w:vAlign w:val="center"/>
            <w:hideMark/>
          </w:tcPr>
          <w:p w14:paraId="0E42EBA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.119</w:t>
            </w:r>
          </w:p>
        </w:tc>
        <w:tc>
          <w:tcPr>
            <w:tcW w:w="992" w:type="dxa"/>
            <w:tcMar>
              <w:top w:w="15" w:type="dxa"/>
              <w:left w:w="140" w:type="dxa"/>
              <w:bottom w:w="15" w:type="dxa"/>
              <w:right w:w="140" w:type="dxa"/>
            </w:tcMar>
            <w:vAlign w:val="center"/>
            <w:hideMark/>
          </w:tcPr>
          <w:p w14:paraId="385785F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.031</w:t>
            </w:r>
          </w:p>
        </w:tc>
        <w:tc>
          <w:tcPr>
            <w:tcW w:w="851" w:type="dxa"/>
            <w:tcMar>
              <w:top w:w="15" w:type="dxa"/>
              <w:left w:w="140" w:type="dxa"/>
              <w:bottom w:w="15" w:type="dxa"/>
              <w:right w:w="140" w:type="dxa"/>
            </w:tcMar>
            <w:vAlign w:val="center"/>
            <w:hideMark/>
          </w:tcPr>
          <w:p w14:paraId="10BA365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3.413</w:t>
            </w:r>
          </w:p>
        </w:tc>
        <w:tc>
          <w:tcPr>
            <w:tcW w:w="709" w:type="dxa"/>
            <w:tcMar>
              <w:top w:w="15" w:type="dxa"/>
              <w:left w:w="140" w:type="dxa"/>
              <w:bottom w:w="15" w:type="dxa"/>
              <w:right w:w="140" w:type="dxa"/>
            </w:tcMar>
            <w:vAlign w:val="center"/>
            <w:hideMark/>
          </w:tcPr>
          <w:p w14:paraId="52C3352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505F0885" w14:textId="77777777" w:rsidTr="00864BD9">
        <w:trPr>
          <w:trHeight w:val="228"/>
        </w:trPr>
        <w:tc>
          <w:tcPr>
            <w:tcW w:w="1592" w:type="dxa"/>
            <w:tcMar>
              <w:top w:w="15" w:type="dxa"/>
              <w:left w:w="57" w:type="dxa"/>
              <w:bottom w:w="15" w:type="dxa"/>
              <w:right w:w="57" w:type="dxa"/>
            </w:tcMar>
            <w:vAlign w:val="center"/>
            <w:hideMark/>
          </w:tcPr>
          <w:p w14:paraId="71F344A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490" w:type="dxa"/>
            <w:noWrap/>
            <w:tcMar>
              <w:top w:w="15" w:type="dxa"/>
              <w:left w:w="57" w:type="dxa"/>
              <w:bottom w:w="15" w:type="dxa"/>
              <w:right w:w="57" w:type="dxa"/>
            </w:tcMar>
            <w:vAlign w:val="center"/>
            <w:hideMark/>
          </w:tcPr>
          <w:p w14:paraId="1C9EE46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16AD6D49"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functionality</w:t>
            </w:r>
          </w:p>
        </w:tc>
        <w:tc>
          <w:tcPr>
            <w:tcW w:w="1134" w:type="dxa"/>
            <w:tcMar>
              <w:top w:w="15" w:type="dxa"/>
              <w:left w:w="140" w:type="dxa"/>
              <w:bottom w:w="15" w:type="dxa"/>
              <w:right w:w="140" w:type="dxa"/>
            </w:tcMar>
            <w:vAlign w:val="center"/>
            <w:hideMark/>
          </w:tcPr>
          <w:p w14:paraId="1646348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.152</w:t>
            </w:r>
          </w:p>
        </w:tc>
        <w:tc>
          <w:tcPr>
            <w:tcW w:w="1417" w:type="dxa"/>
            <w:tcMar>
              <w:top w:w="15" w:type="dxa"/>
              <w:left w:w="140" w:type="dxa"/>
              <w:bottom w:w="15" w:type="dxa"/>
              <w:right w:w="140" w:type="dxa"/>
            </w:tcMar>
            <w:vAlign w:val="center"/>
            <w:hideMark/>
          </w:tcPr>
          <w:p w14:paraId="1E5A02E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.164</w:t>
            </w:r>
          </w:p>
        </w:tc>
        <w:tc>
          <w:tcPr>
            <w:tcW w:w="992" w:type="dxa"/>
            <w:tcMar>
              <w:top w:w="15" w:type="dxa"/>
              <w:left w:w="140" w:type="dxa"/>
              <w:bottom w:w="15" w:type="dxa"/>
              <w:right w:w="140" w:type="dxa"/>
            </w:tcMar>
            <w:vAlign w:val="center"/>
            <w:hideMark/>
          </w:tcPr>
          <w:p w14:paraId="7E2EF67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.030</w:t>
            </w:r>
          </w:p>
        </w:tc>
        <w:tc>
          <w:tcPr>
            <w:tcW w:w="851" w:type="dxa"/>
            <w:tcMar>
              <w:top w:w="15" w:type="dxa"/>
              <w:left w:w="140" w:type="dxa"/>
              <w:bottom w:w="15" w:type="dxa"/>
              <w:right w:w="140" w:type="dxa"/>
            </w:tcMar>
            <w:vAlign w:val="center"/>
            <w:hideMark/>
          </w:tcPr>
          <w:p w14:paraId="6AB13DA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5.067</w:t>
            </w:r>
          </w:p>
        </w:tc>
        <w:tc>
          <w:tcPr>
            <w:tcW w:w="709" w:type="dxa"/>
            <w:tcMar>
              <w:top w:w="15" w:type="dxa"/>
              <w:left w:w="140" w:type="dxa"/>
              <w:bottom w:w="15" w:type="dxa"/>
              <w:right w:w="140" w:type="dxa"/>
            </w:tcMar>
            <w:vAlign w:val="center"/>
            <w:hideMark/>
          </w:tcPr>
          <w:p w14:paraId="2C97A34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4F6207C2" w14:textId="77777777" w:rsidTr="00864BD9">
        <w:trPr>
          <w:trHeight w:val="41"/>
        </w:trPr>
        <w:tc>
          <w:tcPr>
            <w:tcW w:w="1592" w:type="dxa"/>
            <w:tcMar>
              <w:top w:w="15" w:type="dxa"/>
              <w:left w:w="57" w:type="dxa"/>
              <w:bottom w:w="15" w:type="dxa"/>
              <w:right w:w="57" w:type="dxa"/>
            </w:tcMar>
            <w:vAlign w:val="center"/>
            <w:hideMark/>
          </w:tcPr>
          <w:p w14:paraId="68D6C59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490" w:type="dxa"/>
            <w:noWrap/>
            <w:tcMar>
              <w:top w:w="15" w:type="dxa"/>
              <w:left w:w="57" w:type="dxa"/>
              <w:bottom w:w="15" w:type="dxa"/>
              <w:right w:w="57" w:type="dxa"/>
            </w:tcMar>
            <w:vAlign w:val="center"/>
            <w:hideMark/>
          </w:tcPr>
          <w:p w14:paraId="1266DB38"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0EF4B103"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likeability</w:t>
            </w:r>
          </w:p>
        </w:tc>
        <w:tc>
          <w:tcPr>
            <w:tcW w:w="1134" w:type="dxa"/>
            <w:tcMar>
              <w:top w:w="15" w:type="dxa"/>
              <w:left w:w="140" w:type="dxa"/>
              <w:bottom w:w="15" w:type="dxa"/>
              <w:right w:w="140" w:type="dxa"/>
            </w:tcMar>
            <w:vAlign w:val="center"/>
            <w:hideMark/>
          </w:tcPr>
          <w:p w14:paraId="5C37865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.367</w:t>
            </w:r>
          </w:p>
        </w:tc>
        <w:tc>
          <w:tcPr>
            <w:tcW w:w="1417" w:type="dxa"/>
            <w:tcMar>
              <w:top w:w="15" w:type="dxa"/>
              <w:left w:w="140" w:type="dxa"/>
              <w:bottom w:w="15" w:type="dxa"/>
              <w:right w:w="140" w:type="dxa"/>
            </w:tcMar>
            <w:vAlign w:val="center"/>
            <w:hideMark/>
          </w:tcPr>
          <w:p w14:paraId="592AD2E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.380</w:t>
            </w:r>
          </w:p>
        </w:tc>
        <w:tc>
          <w:tcPr>
            <w:tcW w:w="992" w:type="dxa"/>
            <w:tcMar>
              <w:top w:w="15" w:type="dxa"/>
              <w:left w:w="140" w:type="dxa"/>
              <w:bottom w:w="15" w:type="dxa"/>
              <w:right w:w="140" w:type="dxa"/>
            </w:tcMar>
            <w:vAlign w:val="center"/>
            <w:hideMark/>
          </w:tcPr>
          <w:p w14:paraId="5AE9294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.032</w:t>
            </w:r>
          </w:p>
        </w:tc>
        <w:tc>
          <w:tcPr>
            <w:tcW w:w="851" w:type="dxa"/>
            <w:tcMar>
              <w:top w:w="15" w:type="dxa"/>
              <w:left w:w="140" w:type="dxa"/>
              <w:bottom w:w="15" w:type="dxa"/>
              <w:right w:w="140" w:type="dxa"/>
            </w:tcMar>
            <w:vAlign w:val="center"/>
            <w:hideMark/>
          </w:tcPr>
          <w:p w14:paraId="3DE1685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11.364</w:t>
            </w:r>
          </w:p>
        </w:tc>
        <w:tc>
          <w:tcPr>
            <w:tcW w:w="709" w:type="dxa"/>
            <w:tcMar>
              <w:top w:w="15" w:type="dxa"/>
              <w:left w:w="140" w:type="dxa"/>
              <w:bottom w:w="15" w:type="dxa"/>
              <w:right w:w="140" w:type="dxa"/>
            </w:tcMar>
            <w:vAlign w:val="center"/>
            <w:hideMark/>
          </w:tcPr>
          <w:p w14:paraId="0B6C28B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42B5DF08" w14:textId="77777777" w:rsidTr="00864BD9">
        <w:trPr>
          <w:trHeight w:val="420"/>
        </w:trPr>
        <w:tc>
          <w:tcPr>
            <w:tcW w:w="1592" w:type="dxa"/>
            <w:tcMar>
              <w:top w:w="15" w:type="dxa"/>
              <w:left w:w="57" w:type="dxa"/>
              <w:bottom w:w="15" w:type="dxa"/>
              <w:right w:w="57" w:type="dxa"/>
            </w:tcMar>
            <w:vAlign w:val="center"/>
            <w:hideMark/>
          </w:tcPr>
          <w:p w14:paraId="7ED0882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490" w:type="dxa"/>
            <w:noWrap/>
            <w:tcMar>
              <w:top w:w="15" w:type="dxa"/>
              <w:left w:w="57" w:type="dxa"/>
              <w:bottom w:w="15" w:type="dxa"/>
              <w:right w:w="57" w:type="dxa"/>
            </w:tcMar>
            <w:vAlign w:val="center"/>
            <w:hideMark/>
          </w:tcPr>
          <w:p w14:paraId="2104F300"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55EB19F2"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Emotional brand attachment</w:t>
            </w:r>
          </w:p>
        </w:tc>
        <w:tc>
          <w:tcPr>
            <w:tcW w:w="1134" w:type="dxa"/>
            <w:tcMar>
              <w:top w:w="15" w:type="dxa"/>
              <w:left w:w="140" w:type="dxa"/>
              <w:bottom w:w="15" w:type="dxa"/>
              <w:right w:w="140" w:type="dxa"/>
            </w:tcMar>
            <w:vAlign w:val="center"/>
            <w:hideMark/>
          </w:tcPr>
          <w:p w14:paraId="374F35A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.088</w:t>
            </w:r>
          </w:p>
        </w:tc>
        <w:tc>
          <w:tcPr>
            <w:tcW w:w="1417" w:type="dxa"/>
            <w:tcMar>
              <w:top w:w="15" w:type="dxa"/>
              <w:left w:w="140" w:type="dxa"/>
              <w:bottom w:w="15" w:type="dxa"/>
              <w:right w:w="140" w:type="dxa"/>
            </w:tcMar>
            <w:vAlign w:val="center"/>
            <w:hideMark/>
          </w:tcPr>
          <w:p w14:paraId="74CB02B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.108</w:t>
            </w:r>
          </w:p>
        </w:tc>
        <w:tc>
          <w:tcPr>
            <w:tcW w:w="992" w:type="dxa"/>
            <w:tcMar>
              <w:top w:w="15" w:type="dxa"/>
              <w:left w:w="140" w:type="dxa"/>
              <w:bottom w:w="15" w:type="dxa"/>
              <w:right w:w="140" w:type="dxa"/>
            </w:tcMar>
            <w:vAlign w:val="center"/>
            <w:hideMark/>
          </w:tcPr>
          <w:p w14:paraId="2B35052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.027</w:t>
            </w:r>
          </w:p>
        </w:tc>
        <w:tc>
          <w:tcPr>
            <w:tcW w:w="851" w:type="dxa"/>
            <w:tcMar>
              <w:top w:w="15" w:type="dxa"/>
              <w:left w:w="140" w:type="dxa"/>
              <w:bottom w:w="15" w:type="dxa"/>
              <w:right w:w="140" w:type="dxa"/>
            </w:tcMar>
            <w:vAlign w:val="center"/>
            <w:hideMark/>
          </w:tcPr>
          <w:p w14:paraId="2C13394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3.245</w:t>
            </w:r>
          </w:p>
        </w:tc>
        <w:tc>
          <w:tcPr>
            <w:tcW w:w="709" w:type="dxa"/>
            <w:tcMar>
              <w:top w:w="15" w:type="dxa"/>
              <w:left w:w="140" w:type="dxa"/>
              <w:bottom w:w="15" w:type="dxa"/>
              <w:right w:w="140" w:type="dxa"/>
            </w:tcMar>
            <w:vAlign w:val="center"/>
            <w:hideMark/>
          </w:tcPr>
          <w:p w14:paraId="788934A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.001</w:t>
            </w:r>
          </w:p>
        </w:tc>
      </w:tr>
      <w:tr w:rsidR="00D65FF6" w:rsidRPr="008D75D3" w14:paraId="20F01E3F" w14:textId="77777777" w:rsidTr="00864BD9">
        <w:trPr>
          <w:trHeight w:val="59"/>
        </w:trPr>
        <w:tc>
          <w:tcPr>
            <w:tcW w:w="1592" w:type="dxa"/>
            <w:tcMar>
              <w:top w:w="15" w:type="dxa"/>
              <w:left w:w="57" w:type="dxa"/>
              <w:bottom w:w="15" w:type="dxa"/>
              <w:right w:w="57" w:type="dxa"/>
            </w:tcMar>
            <w:vAlign w:val="center"/>
            <w:hideMark/>
          </w:tcPr>
          <w:p w14:paraId="563A133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490" w:type="dxa"/>
            <w:noWrap/>
            <w:tcMar>
              <w:top w:w="15" w:type="dxa"/>
              <w:left w:w="57" w:type="dxa"/>
              <w:bottom w:w="15" w:type="dxa"/>
              <w:right w:w="57" w:type="dxa"/>
            </w:tcMar>
            <w:vAlign w:val="center"/>
            <w:hideMark/>
          </w:tcPr>
          <w:p w14:paraId="0CFF1E1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3232F3C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trust</w:t>
            </w:r>
          </w:p>
        </w:tc>
        <w:tc>
          <w:tcPr>
            <w:tcW w:w="1134" w:type="dxa"/>
            <w:tcMar>
              <w:top w:w="15" w:type="dxa"/>
              <w:left w:w="140" w:type="dxa"/>
              <w:bottom w:w="15" w:type="dxa"/>
              <w:right w:w="140" w:type="dxa"/>
            </w:tcMar>
            <w:vAlign w:val="center"/>
            <w:hideMark/>
          </w:tcPr>
          <w:p w14:paraId="67C02BA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.373</w:t>
            </w:r>
          </w:p>
        </w:tc>
        <w:tc>
          <w:tcPr>
            <w:tcW w:w="1417" w:type="dxa"/>
            <w:tcMar>
              <w:top w:w="15" w:type="dxa"/>
              <w:left w:w="140" w:type="dxa"/>
              <w:bottom w:w="15" w:type="dxa"/>
              <w:right w:w="140" w:type="dxa"/>
            </w:tcMar>
            <w:vAlign w:val="center"/>
            <w:hideMark/>
          </w:tcPr>
          <w:p w14:paraId="5257B59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.437</w:t>
            </w:r>
          </w:p>
        </w:tc>
        <w:tc>
          <w:tcPr>
            <w:tcW w:w="992" w:type="dxa"/>
            <w:tcMar>
              <w:top w:w="15" w:type="dxa"/>
              <w:left w:w="140" w:type="dxa"/>
              <w:bottom w:w="15" w:type="dxa"/>
              <w:right w:w="140" w:type="dxa"/>
            </w:tcMar>
            <w:vAlign w:val="center"/>
            <w:hideMark/>
          </w:tcPr>
          <w:p w14:paraId="09DED28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.028</w:t>
            </w:r>
          </w:p>
        </w:tc>
        <w:tc>
          <w:tcPr>
            <w:tcW w:w="851" w:type="dxa"/>
            <w:tcMar>
              <w:top w:w="15" w:type="dxa"/>
              <w:left w:w="140" w:type="dxa"/>
              <w:bottom w:w="15" w:type="dxa"/>
              <w:right w:w="140" w:type="dxa"/>
            </w:tcMar>
            <w:vAlign w:val="center"/>
            <w:hideMark/>
          </w:tcPr>
          <w:p w14:paraId="443F490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13.392</w:t>
            </w:r>
          </w:p>
        </w:tc>
        <w:tc>
          <w:tcPr>
            <w:tcW w:w="709" w:type="dxa"/>
            <w:tcMar>
              <w:top w:w="15" w:type="dxa"/>
              <w:left w:w="140" w:type="dxa"/>
              <w:bottom w:w="15" w:type="dxa"/>
              <w:right w:w="140" w:type="dxa"/>
            </w:tcMar>
            <w:vAlign w:val="center"/>
            <w:hideMark/>
          </w:tcPr>
          <w:p w14:paraId="4AE07B89"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8D75D3" w14:paraId="332A6F60" w14:textId="77777777" w:rsidTr="00864BD9">
        <w:trPr>
          <w:trHeight w:val="232"/>
        </w:trPr>
        <w:tc>
          <w:tcPr>
            <w:tcW w:w="1592" w:type="dxa"/>
            <w:tcMar>
              <w:top w:w="15" w:type="dxa"/>
              <w:left w:w="57" w:type="dxa"/>
              <w:bottom w:w="15" w:type="dxa"/>
              <w:right w:w="57" w:type="dxa"/>
            </w:tcMar>
            <w:vAlign w:val="center"/>
            <w:hideMark/>
          </w:tcPr>
          <w:p w14:paraId="36C52AC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490" w:type="dxa"/>
            <w:noWrap/>
            <w:tcMar>
              <w:top w:w="15" w:type="dxa"/>
              <w:left w:w="57" w:type="dxa"/>
              <w:bottom w:w="15" w:type="dxa"/>
              <w:right w:w="57" w:type="dxa"/>
            </w:tcMar>
            <w:vAlign w:val="center"/>
            <w:hideMark/>
          </w:tcPr>
          <w:p w14:paraId="45080B75"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746" w:type="dxa"/>
            <w:tcBorders>
              <w:right w:val="single" w:sz="6" w:space="0" w:color="auto"/>
            </w:tcBorders>
            <w:tcMar>
              <w:top w:w="15" w:type="dxa"/>
              <w:left w:w="140" w:type="dxa"/>
              <w:bottom w:w="15" w:type="dxa"/>
              <w:right w:w="140" w:type="dxa"/>
            </w:tcMar>
            <w:vAlign w:val="center"/>
            <w:hideMark/>
          </w:tcPr>
          <w:p w14:paraId="60AC738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CSR</w:t>
            </w:r>
          </w:p>
        </w:tc>
        <w:tc>
          <w:tcPr>
            <w:tcW w:w="1134" w:type="dxa"/>
            <w:tcMar>
              <w:top w:w="15" w:type="dxa"/>
              <w:left w:w="140" w:type="dxa"/>
              <w:bottom w:w="15" w:type="dxa"/>
              <w:right w:w="140" w:type="dxa"/>
            </w:tcMar>
            <w:vAlign w:val="center"/>
            <w:hideMark/>
          </w:tcPr>
          <w:p w14:paraId="52D9BF3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.190</w:t>
            </w:r>
          </w:p>
        </w:tc>
        <w:tc>
          <w:tcPr>
            <w:tcW w:w="1417" w:type="dxa"/>
            <w:tcMar>
              <w:top w:w="15" w:type="dxa"/>
              <w:left w:w="140" w:type="dxa"/>
              <w:bottom w:w="15" w:type="dxa"/>
              <w:right w:w="140" w:type="dxa"/>
            </w:tcMar>
            <w:vAlign w:val="center"/>
            <w:hideMark/>
          </w:tcPr>
          <w:p w14:paraId="0689766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.081</w:t>
            </w:r>
          </w:p>
        </w:tc>
        <w:tc>
          <w:tcPr>
            <w:tcW w:w="992" w:type="dxa"/>
            <w:tcMar>
              <w:top w:w="15" w:type="dxa"/>
              <w:left w:w="140" w:type="dxa"/>
              <w:bottom w:w="15" w:type="dxa"/>
              <w:right w:w="140" w:type="dxa"/>
            </w:tcMar>
            <w:vAlign w:val="center"/>
            <w:hideMark/>
          </w:tcPr>
          <w:p w14:paraId="6290039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.087</w:t>
            </w:r>
          </w:p>
        </w:tc>
        <w:tc>
          <w:tcPr>
            <w:tcW w:w="851" w:type="dxa"/>
            <w:tcMar>
              <w:top w:w="15" w:type="dxa"/>
              <w:left w:w="140" w:type="dxa"/>
              <w:bottom w:w="15" w:type="dxa"/>
              <w:right w:w="140" w:type="dxa"/>
            </w:tcMar>
            <w:vAlign w:val="center"/>
            <w:hideMark/>
          </w:tcPr>
          <w:p w14:paraId="49E69E3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2.196</w:t>
            </w:r>
          </w:p>
        </w:tc>
        <w:tc>
          <w:tcPr>
            <w:tcW w:w="709" w:type="dxa"/>
            <w:tcMar>
              <w:top w:w="15" w:type="dxa"/>
              <w:left w:w="140" w:type="dxa"/>
              <w:bottom w:w="15" w:type="dxa"/>
              <w:right w:w="140" w:type="dxa"/>
            </w:tcMar>
            <w:vAlign w:val="center"/>
            <w:hideMark/>
          </w:tcPr>
          <w:p w14:paraId="2F5035BD" w14:textId="77777777" w:rsidR="00D65FF6" w:rsidRPr="00D53E24" w:rsidRDefault="00D65FF6" w:rsidP="00250620">
            <w:pPr>
              <w:keepNext/>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.028</w:t>
            </w:r>
          </w:p>
        </w:tc>
      </w:tr>
    </w:tbl>
    <w:bookmarkEnd w:id="179"/>
    <w:p w14:paraId="7DFF75EF" w14:textId="0D63CEC6" w:rsidR="00D65FF6" w:rsidRPr="008D75D3" w:rsidRDefault="00250620" w:rsidP="00250620">
      <w:pPr>
        <w:pStyle w:val="Caption"/>
        <w:rPr>
          <w:rFonts w:asciiTheme="majorBidi" w:hAnsiTheme="majorBidi" w:cstheme="majorBidi"/>
          <w:sz w:val="24"/>
          <w:szCs w:val="24"/>
        </w:rPr>
      </w:pPr>
      <w:r>
        <w:t>Table 3</w:t>
      </w:r>
      <w:r w:rsidR="00864BD9">
        <w:t>8</w:t>
      </w:r>
      <w:r>
        <w:t xml:space="preserve"> Regression Weights: (</w:t>
      </w:r>
      <w:r w:rsidRPr="00250620">
        <w:t>Group number 1 - Default model)</w:t>
      </w:r>
    </w:p>
    <w:p w14:paraId="3FB3F514" w14:textId="7E972004" w:rsidR="001110ED" w:rsidRDefault="00D65FF6" w:rsidP="00250620">
      <w:pPr>
        <w:tabs>
          <w:tab w:val="left" w:pos="630"/>
        </w:tabs>
        <w:spacing w:line="240" w:lineRule="auto"/>
        <w:jc w:val="both"/>
        <w:rPr>
          <w:rFonts w:asciiTheme="majorBidi" w:hAnsiTheme="majorBidi" w:cstheme="majorBidi"/>
          <w:sz w:val="24"/>
          <w:szCs w:val="24"/>
        </w:rPr>
      </w:pPr>
      <w:r w:rsidRPr="008D75D3">
        <w:rPr>
          <w:rFonts w:asciiTheme="majorBidi" w:hAnsiTheme="majorBidi" w:cstheme="majorBidi"/>
          <w:sz w:val="24"/>
          <w:szCs w:val="24"/>
        </w:rPr>
        <w:t xml:space="preserve">** means p-value&lt;0.0001, </w:t>
      </w:r>
      <w:r>
        <w:rPr>
          <w:rFonts w:asciiTheme="majorBidi" w:hAnsiTheme="majorBidi" w:cstheme="majorBidi"/>
          <w:sz w:val="24"/>
          <w:szCs w:val="24"/>
        </w:rPr>
        <w:t>CSR</w:t>
      </w:r>
      <w:r w:rsidRPr="008D75D3">
        <w:rPr>
          <w:rFonts w:asciiTheme="majorBidi" w:hAnsiTheme="majorBidi" w:cstheme="majorBidi"/>
          <w:sz w:val="24"/>
          <w:szCs w:val="24"/>
        </w:rPr>
        <w:t xml:space="preserve"> is a dummy variable take 1 for CSR campaigns and takes 0 for non-CSR campaigns. Tv is a dummy variable takes 0 for TV advertisements, and 1 for social media advertisements. </w:t>
      </w:r>
    </w:p>
    <w:tbl>
      <w:tblPr>
        <w:tblStyle w:val="TableGrid"/>
        <w:tblW w:w="0" w:type="auto"/>
        <w:tblLook w:val="04A0" w:firstRow="1" w:lastRow="0" w:firstColumn="1" w:lastColumn="0" w:noHBand="0" w:noVBand="1"/>
      </w:tblPr>
      <w:tblGrid>
        <w:gridCol w:w="3256"/>
        <w:gridCol w:w="1984"/>
      </w:tblGrid>
      <w:tr w:rsidR="001110ED" w:rsidRPr="00D53E24" w14:paraId="1C970BAE" w14:textId="77777777" w:rsidTr="00D75BCF">
        <w:tc>
          <w:tcPr>
            <w:tcW w:w="3256" w:type="dxa"/>
          </w:tcPr>
          <w:p w14:paraId="23CDDD50"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 xml:space="preserve">Variable </w:t>
            </w:r>
          </w:p>
        </w:tc>
        <w:tc>
          <w:tcPr>
            <w:tcW w:w="1984" w:type="dxa"/>
          </w:tcPr>
          <w:p w14:paraId="2BB0115E" w14:textId="68058F86"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R-square</w:t>
            </w:r>
            <w:r w:rsidR="003A3245" w:rsidRPr="00D53E24">
              <w:rPr>
                <w:rFonts w:asciiTheme="majorBidi" w:hAnsiTheme="majorBidi" w:cstheme="majorBidi"/>
                <w:sz w:val="20"/>
                <w:szCs w:val="20"/>
              </w:rPr>
              <w:t>d</w:t>
            </w:r>
          </w:p>
        </w:tc>
      </w:tr>
      <w:tr w:rsidR="001110ED" w:rsidRPr="00D53E24" w14:paraId="3A7115B4" w14:textId="77777777" w:rsidTr="00D75BCF">
        <w:tc>
          <w:tcPr>
            <w:tcW w:w="3256" w:type="dxa"/>
          </w:tcPr>
          <w:p w14:paraId="69A7E574"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 xml:space="preserve">Brand likeability </w:t>
            </w:r>
          </w:p>
        </w:tc>
        <w:tc>
          <w:tcPr>
            <w:tcW w:w="1984" w:type="dxa"/>
          </w:tcPr>
          <w:p w14:paraId="691A8BC6"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0.389</w:t>
            </w:r>
          </w:p>
        </w:tc>
      </w:tr>
      <w:tr w:rsidR="001110ED" w:rsidRPr="00D53E24" w14:paraId="59DA0946" w14:textId="77777777" w:rsidTr="00D75BCF">
        <w:tc>
          <w:tcPr>
            <w:tcW w:w="3256" w:type="dxa"/>
          </w:tcPr>
          <w:p w14:paraId="1F5A6E03"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 xml:space="preserve">Ad likeability </w:t>
            </w:r>
          </w:p>
        </w:tc>
        <w:tc>
          <w:tcPr>
            <w:tcW w:w="1984" w:type="dxa"/>
          </w:tcPr>
          <w:p w14:paraId="6B3B37D6"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0.326</w:t>
            </w:r>
          </w:p>
        </w:tc>
      </w:tr>
      <w:tr w:rsidR="001110ED" w:rsidRPr="00D53E24" w14:paraId="2FF4062C" w14:textId="77777777" w:rsidTr="00D75BCF">
        <w:tc>
          <w:tcPr>
            <w:tcW w:w="3256" w:type="dxa"/>
          </w:tcPr>
          <w:p w14:paraId="1CA29813"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 xml:space="preserve">Brand trust </w:t>
            </w:r>
          </w:p>
        </w:tc>
        <w:tc>
          <w:tcPr>
            <w:tcW w:w="1984" w:type="dxa"/>
          </w:tcPr>
          <w:p w14:paraId="24B0DBFC"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0.376</w:t>
            </w:r>
          </w:p>
        </w:tc>
      </w:tr>
      <w:tr w:rsidR="001110ED" w:rsidRPr="00D53E24" w14:paraId="3030AA20" w14:textId="77777777" w:rsidTr="00D75BCF">
        <w:tc>
          <w:tcPr>
            <w:tcW w:w="3256" w:type="dxa"/>
          </w:tcPr>
          <w:p w14:paraId="3F9DA598"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 xml:space="preserve">Perceived brand functionality </w:t>
            </w:r>
          </w:p>
        </w:tc>
        <w:tc>
          <w:tcPr>
            <w:tcW w:w="1984" w:type="dxa"/>
          </w:tcPr>
          <w:p w14:paraId="1DE6895E"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0.415</w:t>
            </w:r>
          </w:p>
        </w:tc>
      </w:tr>
      <w:tr w:rsidR="001110ED" w:rsidRPr="00D53E24" w14:paraId="7ED3FF23" w14:textId="77777777" w:rsidTr="00D75BCF">
        <w:tc>
          <w:tcPr>
            <w:tcW w:w="3256" w:type="dxa"/>
          </w:tcPr>
          <w:p w14:paraId="55FB5255"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 xml:space="preserve">Emotional brand </w:t>
            </w:r>
          </w:p>
        </w:tc>
        <w:tc>
          <w:tcPr>
            <w:tcW w:w="1984" w:type="dxa"/>
          </w:tcPr>
          <w:p w14:paraId="25927660"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0.325</w:t>
            </w:r>
          </w:p>
        </w:tc>
      </w:tr>
      <w:tr w:rsidR="001110ED" w:rsidRPr="00D53E24" w14:paraId="60582E4C" w14:textId="77777777" w:rsidTr="00D75BCF">
        <w:tc>
          <w:tcPr>
            <w:tcW w:w="3256" w:type="dxa"/>
          </w:tcPr>
          <w:p w14:paraId="25EFDFBF" w14:textId="77777777" w:rsidR="001110ED" w:rsidRPr="00D53E24" w:rsidRDefault="001110ED" w:rsidP="00D75BCF">
            <w:pPr>
              <w:rPr>
                <w:rFonts w:asciiTheme="majorBidi" w:hAnsiTheme="majorBidi" w:cstheme="majorBidi"/>
                <w:sz w:val="20"/>
                <w:szCs w:val="20"/>
              </w:rPr>
            </w:pPr>
            <w:r w:rsidRPr="00D53E24">
              <w:rPr>
                <w:rFonts w:asciiTheme="majorBidi" w:hAnsiTheme="majorBidi" w:cstheme="majorBidi"/>
                <w:sz w:val="20"/>
                <w:szCs w:val="20"/>
              </w:rPr>
              <w:t>Purchase intention</w:t>
            </w:r>
          </w:p>
        </w:tc>
        <w:tc>
          <w:tcPr>
            <w:tcW w:w="1984" w:type="dxa"/>
          </w:tcPr>
          <w:p w14:paraId="7E6769F1" w14:textId="77777777" w:rsidR="001110ED" w:rsidRPr="00D53E24" w:rsidRDefault="001110ED" w:rsidP="00250620">
            <w:pPr>
              <w:keepNext/>
              <w:rPr>
                <w:rFonts w:asciiTheme="majorBidi" w:hAnsiTheme="majorBidi" w:cstheme="majorBidi"/>
                <w:sz w:val="20"/>
                <w:szCs w:val="20"/>
              </w:rPr>
            </w:pPr>
            <w:r w:rsidRPr="00D53E24">
              <w:rPr>
                <w:rFonts w:asciiTheme="majorBidi" w:hAnsiTheme="majorBidi" w:cstheme="majorBidi"/>
                <w:sz w:val="20"/>
                <w:szCs w:val="20"/>
              </w:rPr>
              <w:t>0.532</w:t>
            </w:r>
          </w:p>
        </w:tc>
      </w:tr>
    </w:tbl>
    <w:p w14:paraId="7065DE73" w14:textId="3E3A9646" w:rsidR="00042968" w:rsidRDefault="00250620" w:rsidP="00250620">
      <w:pPr>
        <w:pStyle w:val="Caption"/>
        <w:rPr>
          <w:rFonts w:asciiTheme="majorBidi" w:hAnsiTheme="majorBidi" w:cstheme="majorBidi"/>
          <w:sz w:val="24"/>
          <w:szCs w:val="24"/>
        </w:rPr>
      </w:pPr>
      <w:r>
        <w:t>Table 3</w:t>
      </w:r>
      <w:r w:rsidR="00864BD9">
        <w:t>9</w:t>
      </w:r>
      <w:r>
        <w:t xml:space="preserve"> R-squared results </w:t>
      </w:r>
    </w:p>
    <w:p w14:paraId="0E813453" w14:textId="4D1990E2" w:rsidR="00D65FF6" w:rsidRPr="00F16A72" w:rsidRDefault="00F16A72" w:rsidP="00F16A72">
      <w:pPr>
        <w:tabs>
          <w:tab w:val="left" w:pos="630"/>
        </w:tabs>
        <w:spacing w:after="0" w:line="480" w:lineRule="auto"/>
        <w:ind w:left="420"/>
        <w:jc w:val="both"/>
        <w:rPr>
          <w:rFonts w:asciiTheme="majorBidi" w:hAnsiTheme="majorBidi" w:cstheme="majorBidi"/>
          <w:b/>
          <w:bCs/>
          <w:sz w:val="24"/>
          <w:szCs w:val="24"/>
        </w:rPr>
      </w:pPr>
      <w:bookmarkStart w:id="180" w:name="_Hlk149845973"/>
      <w:bookmarkEnd w:id="177"/>
      <w:r>
        <w:rPr>
          <w:rFonts w:asciiTheme="majorBidi" w:hAnsiTheme="majorBidi" w:cstheme="majorBidi"/>
          <w:b/>
          <w:bCs/>
          <w:sz w:val="24"/>
          <w:szCs w:val="24"/>
        </w:rPr>
        <w:t xml:space="preserve">6.11.3 </w:t>
      </w:r>
      <w:r w:rsidR="00D65FF6" w:rsidRPr="00F16A72">
        <w:rPr>
          <w:rFonts w:asciiTheme="majorBidi" w:hAnsiTheme="majorBidi" w:cstheme="majorBidi"/>
          <w:b/>
          <w:bCs/>
          <w:sz w:val="24"/>
          <w:szCs w:val="24"/>
        </w:rPr>
        <w:t xml:space="preserve">Indirect effects </w:t>
      </w:r>
    </w:p>
    <w:p w14:paraId="0DC0FC2B" w14:textId="77777777" w:rsidR="00D65FF6" w:rsidRPr="00545740"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Brand functionality</w:t>
      </w:r>
      <w:r>
        <w:rPr>
          <w:rFonts w:asciiTheme="majorBidi" w:hAnsiTheme="majorBidi" w:cstheme="majorBidi"/>
          <w:sz w:val="24"/>
          <w:szCs w:val="24"/>
        </w:rPr>
        <w:t xml:space="preserve"> variable</w:t>
      </w:r>
      <w:r w:rsidRPr="008D75D3">
        <w:rPr>
          <w:rFonts w:asciiTheme="majorBidi" w:hAnsiTheme="majorBidi" w:cstheme="majorBidi"/>
          <w:sz w:val="24"/>
          <w:szCs w:val="24"/>
        </w:rPr>
        <w:t xml:space="preserve"> mediate</w:t>
      </w:r>
      <w:r>
        <w:rPr>
          <w:rFonts w:asciiTheme="majorBidi" w:hAnsiTheme="majorBidi" w:cstheme="majorBidi"/>
          <w:sz w:val="24"/>
          <w:szCs w:val="24"/>
        </w:rPr>
        <w:t>s</w:t>
      </w:r>
      <w:r w:rsidRPr="008D75D3">
        <w:rPr>
          <w:rFonts w:asciiTheme="majorBidi" w:hAnsiTheme="majorBidi" w:cstheme="majorBidi"/>
          <w:sz w:val="24"/>
          <w:szCs w:val="24"/>
        </w:rPr>
        <w:t xml:space="preserve"> the relation</w:t>
      </w:r>
      <w:r>
        <w:rPr>
          <w:rFonts w:asciiTheme="majorBidi" w:hAnsiTheme="majorBidi" w:cstheme="majorBidi"/>
          <w:sz w:val="24"/>
          <w:szCs w:val="24"/>
        </w:rPr>
        <w:t>ship</w:t>
      </w:r>
      <w:r w:rsidRPr="008D75D3">
        <w:rPr>
          <w:rFonts w:asciiTheme="majorBidi" w:hAnsiTheme="majorBidi" w:cstheme="majorBidi"/>
          <w:sz w:val="24"/>
          <w:szCs w:val="24"/>
        </w:rPr>
        <w:t xml:space="preserve"> between media </w:t>
      </w:r>
      <w:r>
        <w:rPr>
          <w:rFonts w:asciiTheme="majorBidi" w:hAnsiTheme="majorBidi" w:cstheme="majorBidi"/>
          <w:sz w:val="24"/>
          <w:szCs w:val="24"/>
        </w:rPr>
        <w:t>channel</w:t>
      </w:r>
      <w:r w:rsidRPr="008D75D3">
        <w:rPr>
          <w:rFonts w:asciiTheme="majorBidi" w:hAnsiTheme="majorBidi" w:cstheme="majorBidi"/>
          <w:sz w:val="24"/>
          <w:szCs w:val="24"/>
        </w:rPr>
        <w:t xml:space="preserve"> and </w:t>
      </w:r>
      <w:r>
        <w:rPr>
          <w:rFonts w:asciiTheme="majorBidi" w:hAnsiTheme="majorBidi" w:cstheme="majorBidi"/>
          <w:sz w:val="24"/>
          <w:szCs w:val="24"/>
        </w:rPr>
        <w:t xml:space="preserve">purchase </w:t>
      </w:r>
      <w:r w:rsidRPr="008D75D3">
        <w:rPr>
          <w:rFonts w:asciiTheme="majorBidi" w:hAnsiTheme="majorBidi" w:cstheme="majorBidi"/>
          <w:sz w:val="24"/>
          <w:szCs w:val="24"/>
        </w:rPr>
        <w:t xml:space="preserve">intention such that </w:t>
      </w:r>
      <w:r w:rsidRPr="007D11F6">
        <w:rPr>
          <w:rFonts w:asciiTheme="majorBidi" w:hAnsiTheme="majorBidi" w:cstheme="majorBidi"/>
          <w:sz w:val="24"/>
          <w:szCs w:val="24"/>
        </w:rPr>
        <w:t>the indirect effect of media vehicle on</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through brand functionality is -0.094</w:t>
      </w:r>
      <w:r>
        <w:rPr>
          <w:rFonts w:asciiTheme="majorBidi" w:hAnsiTheme="majorBidi" w:cstheme="majorBidi"/>
          <w:sz w:val="24"/>
          <w:szCs w:val="24"/>
        </w:rPr>
        <w:t xml:space="preserve">. This indicates that </w:t>
      </w:r>
      <w:r w:rsidRPr="00545740">
        <w:rPr>
          <w:rFonts w:asciiTheme="majorBidi" w:hAnsiTheme="majorBidi" w:cstheme="majorBidi"/>
          <w:sz w:val="24"/>
          <w:szCs w:val="24"/>
        </w:rPr>
        <w:t xml:space="preserve">the average </w:t>
      </w:r>
      <w:r>
        <w:rPr>
          <w:rFonts w:asciiTheme="majorBidi" w:hAnsiTheme="majorBidi" w:cstheme="majorBidi"/>
          <w:sz w:val="24"/>
          <w:szCs w:val="24"/>
        </w:rPr>
        <w:t>indirect effect</w:t>
      </w:r>
      <w:r w:rsidRPr="00545740">
        <w:rPr>
          <w:rFonts w:asciiTheme="majorBidi" w:hAnsiTheme="majorBidi" w:cstheme="majorBidi"/>
          <w:sz w:val="24"/>
          <w:szCs w:val="24"/>
        </w:rPr>
        <w:t xml:space="preserve"> for social media advertising</w:t>
      </w:r>
      <w:r>
        <w:rPr>
          <w:rFonts w:asciiTheme="majorBidi" w:hAnsiTheme="majorBidi" w:cstheme="majorBidi"/>
          <w:sz w:val="24"/>
          <w:szCs w:val="24"/>
        </w:rPr>
        <w:t xml:space="preserve"> through brand functionality</w:t>
      </w:r>
      <w:r w:rsidRPr="00545740">
        <w:rPr>
          <w:rFonts w:asciiTheme="majorBidi" w:hAnsiTheme="majorBidi" w:cstheme="majorBidi"/>
          <w:sz w:val="24"/>
          <w:szCs w:val="24"/>
        </w:rPr>
        <w:t xml:space="preserve"> is less than that for TV advertisements by 0.</w:t>
      </w:r>
      <w:r>
        <w:rPr>
          <w:rFonts w:asciiTheme="majorBidi" w:hAnsiTheme="majorBidi" w:cstheme="majorBidi"/>
          <w:sz w:val="24"/>
          <w:szCs w:val="24"/>
        </w:rPr>
        <w:t>094.</w:t>
      </w:r>
    </w:p>
    <w:p w14:paraId="3F96B0F3" w14:textId="3919D059" w:rsidR="00D65FF6" w:rsidRPr="00545740"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Brand </w:t>
      </w:r>
      <w:r>
        <w:rPr>
          <w:rFonts w:asciiTheme="majorBidi" w:hAnsiTheme="majorBidi" w:cstheme="majorBidi"/>
          <w:sz w:val="24"/>
          <w:szCs w:val="24"/>
        </w:rPr>
        <w:t>l</w:t>
      </w:r>
      <w:r w:rsidRPr="008D75D3">
        <w:rPr>
          <w:rFonts w:asciiTheme="majorBidi" w:hAnsiTheme="majorBidi" w:cstheme="majorBidi"/>
          <w:sz w:val="24"/>
          <w:szCs w:val="24"/>
        </w:rPr>
        <w:t>ikeability mediate</w:t>
      </w:r>
      <w:r>
        <w:rPr>
          <w:rFonts w:asciiTheme="majorBidi" w:hAnsiTheme="majorBidi" w:cstheme="majorBidi"/>
          <w:sz w:val="24"/>
          <w:szCs w:val="24"/>
        </w:rPr>
        <w:t>s</w:t>
      </w:r>
      <w:r w:rsidRPr="008D75D3">
        <w:rPr>
          <w:rFonts w:asciiTheme="majorBidi" w:hAnsiTheme="majorBidi" w:cstheme="majorBidi"/>
          <w:sz w:val="24"/>
          <w:szCs w:val="24"/>
        </w:rPr>
        <w:t xml:space="preserve"> the relation</w:t>
      </w:r>
      <w:r>
        <w:rPr>
          <w:rFonts w:asciiTheme="majorBidi" w:hAnsiTheme="majorBidi" w:cstheme="majorBidi"/>
          <w:sz w:val="24"/>
          <w:szCs w:val="24"/>
        </w:rPr>
        <w:t>ship</w:t>
      </w:r>
      <w:r w:rsidRPr="008D75D3">
        <w:rPr>
          <w:rFonts w:asciiTheme="majorBidi" w:hAnsiTheme="majorBidi" w:cstheme="majorBidi"/>
          <w:sz w:val="24"/>
          <w:szCs w:val="24"/>
        </w:rPr>
        <w:t xml:space="preserve"> between media </w:t>
      </w:r>
      <w:r>
        <w:rPr>
          <w:rFonts w:asciiTheme="majorBidi" w:hAnsiTheme="majorBidi" w:cstheme="majorBidi"/>
          <w:sz w:val="24"/>
          <w:szCs w:val="24"/>
        </w:rPr>
        <w:t>channel</w:t>
      </w:r>
      <w:r w:rsidRPr="008D75D3">
        <w:rPr>
          <w:rFonts w:asciiTheme="majorBidi" w:hAnsiTheme="majorBidi" w:cstheme="majorBidi"/>
          <w:sz w:val="24"/>
          <w:szCs w:val="24"/>
        </w:rPr>
        <w:t xml:space="preserve"> and </w:t>
      </w:r>
      <w:r>
        <w:rPr>
          <w:rFonts w:asciiTheme="majorBidi" w:hAnsiTheme="majorBidi" w:cstheme="majorBidi"/>
          <w:sz w:val="24"/>
          <w:szCs w:val="24"/>
        </w:rPr>
        <w:t xml:space="preserve">purchase </w:t>
      </w:r>
      <w:r w:rsidRPr="008D75D3">
        <w:rPr>
          <w:rFonts w:asciiTheme="majorBidi" w:hAnsiTheme="majorBidi" w:cstheme="majorBidi"/>
          <w:sz w:val="24"/>
          <w:szCs w:val="24"/>
        </w:rPr>
        <w:t xml:space="preserve">intention such that the indirect effect of media </w:t>
      </w:r>
      <w:r w:rsidR="00D74555">
        <w:rPr>
          <w:rFonts w:asciiTheme="majorBidi" w:hAnsiTheme="majorBidi" w:cstheme="majorBidi"/>
          <w:sz w:val="24"/>
          <w:szCs w:val="24"/>
        </w:rPr>
        <w:t>vehicle</w:t>
      </w:r>
      <w:r w:rsidR="00D74555" w:rsidRPr="008D75D3">
        <w:rPr>
          <w:rFonts w:asciiTheme="majorBidi" w:hAnsiTheme="majorBidi" w:cstheme="majorBidi"/>
          <w:sz w:val="24"/>
          <w:szCs w:val="24"/>
        </w:rPr>
        <w:t xml:space="preserve"> </w:t>
      </w:r>
      <w:r w:rsidRPr="008D75D3">
        <w:rPr>
          <w:rFonts w:asciiTheme="majorBidi" w:hAnsiTheme="majorBidi" w:cstheme="majorBidi"/>
          <w:sz w:val="24"/>
          <w:szCs w:val="24"/>
        </w:rPr>
        <w:t>on</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through brand likeability is -0.167.</w:t>
      </w:r>
      <w:r w:rsidRPr="00545740">
        <w:rPr>
          <w:rFonts w:asciiTheme="majorBidi" w:hAnsiTheme="majorBidi" w:cstheme="majorBidi"/>
          <w:sz w:val="24"/>
          <w:szCs w:val="24"/>
        </w:rPr>
        <w:t xml:space="preserve"> </w:t>
      </w:r>
      <w:r>
        <w:rPr>
          <w:rFonts w:asciiTheme="majorBidi" w:hAnsiTheme="majorBidi" w:cstheme="majorBidi"/>
          <w:sz w:val="24"/>
          <w:szCs w:val="24"/>
        </w:rPr>
        <w:t xml:space="preserve">This indicates that </w:t>
      </w:r>
      <w:r w:rsidRPr="00545740">
        <w:rPr>
          <w:rFonts w:asciiTheme="majorBidi" w:hAnsiTheme="majorBidi" w:cstheme="majorBidi"/>
          <w:sz w:val="24"/>
          <w:szCs w:val="24"/>
        </w:rPr>
        <w:t xml:space="preserve">the average </w:t>
      </w:r>
      <w:r>
        <w:rPr>
          <w:rFonts w:asciiTheme="majorBidi" w:hAnsiTheme="majorBidi" w:cstheme="majorBidi"/>
          <w:sz w:val="24"/>
          <w:szCs w:val="24"/>
        </w:rPr>
        <w:t>indirect effect</w:t>
      </w:r>
      <w:r w:rsidRPr="00545740">
        <w:rPr>
          <w:rFonts w:asciiTheme="majorBidi" w:hAnsiTheme="majorBidi" w:cstheme="majorBidi"/>
          <w:sz w:val="24"/>
          <w:szCs w:val="24"/>
        </w:rPr>
        <w:t xml:space="preserve"> for social media advertising is less than that for TV advertisements by 0.</w:t>
      </w:r>
      <w:r>
        <w:rPr>
          <w:rFonts w:asciiTheme="majorBidi" w:hAnsiTheme="majorBidi" w:cstheme="majorBidi"/>
          <w:sz w:val="24"/>
          <w:szCs w:val="24"/>
        </w:rPr>
        <w:t>167.</w:t>
      </w:r>
    </w:p>
    <w:p w14:paraId="130F1E04" w14:textId="67D0DE97" w:rsidR="00D65FF6" w:rsidRPr="008D75D3"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Emotional brand </w:t>
      </w:r>
      <w:r>
        <w:rPr>
          <w:rFonts w:asciiTheme="majorBidi" w:hAnsiTheme="majorBidi" w:cstheme="majorBidi"/>
          <w:sz w:val="24"/>
          <w:szCs w:val="24"/>
        </w:rPr>
        <w:t xml:space="preserve">attachment variable </w:t>
      </w:r>
      <w:r w:rsidRPr="008D75D3">
        <w:rPr>
          <w:rFonts w:asciiTheme="majorBidi" w:hAnsiTheme="majorBidi" w:cstheme="majorBidi"/>
          <w:sz w:val="24"/>
          <w:szCs w:val="24"/>
        </w:rPr>
        <w:t>mediate</w:t>
      </w:r>
      <w:r>
        <w:rPr>
          <w:rFonts w:asciiTheme="majorBidi" w:hAnsiTheme="majorBidi" w:cstheme="majorBidi"/>
          <w:sz w:val="24"/>
          <w:szCs w:val="24"/>
        </w:rPr>
        <w:t>s</w:t>
      </w:r>
      <w:r w:rsidRPr="008D75D3">
        <w:rPr>
          <w:rFonts w:asciiTheme="majorBidi" w:hAnsiTheme="majorBidi" w:cstheme="majorBidi"/>
          <w:sz w:val="24"/>
          <w:szCs w:val="24"/>
        </w:rPr>
        <w:t xml:space="preserve"> the relation</w:t>
      </w:r>
      <w:r>
        <w:rPr>
          <w:rFonts w:asciiTheme="majorBidi" w:hAnsiTheme="majorBidi" w:cstheme="majorBidi"/>
          <w:sz w:val="24"/>
          <w:szCs w:val="24"/>
        </w:rPr>
        <w:t>ship</w:t>
      </w:r>
      <w:r w:rsidRPr="008D75D3">
        <w:rPr>
          <w:rFonts w:asciiTheme="majorBidi" w:hAnsiTheme="majorBidi" w:cstheme="majorBidi"/>
          <w:sz w:val="24"/>
          <w:szCs w:val="24"/>
        </w:rPr>
        <w:t xml:space="preserve"> between media </w:t>
      </w:r>
      <w:r>
        <w:rPr>
          <w:rFonts w:asciiTheme="majorBidi" w:hAnsiTheme="majorBidi" w:cstheme="majorBidi"/>
          <w:sz w:val="24"/>
          <w:szCs w:val="24"/>
        </w:rPr>
        <w:t>channel</w:t>
      </w:r>
      <w:r w:rsidRPr="008D75D3">
        <w:rPr>
          <w:rFonts w:asciiTheme="majorBidi" w:hAnsiTheme="majorBidi" w:cstheme="majorBidi"/>
          <w:sz w:val="24"/>
          <w:szCs w:val="24"/>
        </w:rPr>
        <w:t xml:space="preserve"> and</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such that the indirect effect of media </w:t>
      </w:r>
      <w:r w:rsidR="00D74555">
        <w:rPr>
          <w:rFonts w:asciiTheme="majorBidi" w:hAnsiTheme="majorBidi" w:cstheme="majorBidi"/>
          <w:sz w:val="24"/>
          <w:szCs w:val="24"/>
        </w:rPr>
        <w:t>vehicle</w:t>
      </w:r>
      <w:r w:rsidR="00D74555" w:rsidRPr="008D75D3">
        <w:rPr>
          <w:rFonts w:asciiTheme="majorBidi" w:hAnsiTheme="majorBidi" w:cstheme="majorBidi"/>
          <w:sz w:val="24"/>
          <w:szCs w:val="24"/>
        </w:rPr>
        <w:t xml:space="preserve"> </w:t>
      </w:r>
      <w:r w:rsidRPr="008D75D3">
        <w:rPr>
          <w:rFonts w:asciiTheme="majorBidi" w:hAnsiTheme="majorBidi" w:cstheme="majorBidi"/>
          <w:sz w:val="24"/>
          <w:szCs w:val="24"/>
        </w:rPr>
        <w:t>on</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through emotional brand</w:t>
      </w:r>
      <w:r>
        <w:rPr>
          <w:rFonts w:asciiTheme="majorBidi" w:hAnsiTheme="majorBidi" w:cstheme="majorBidi"/>
          <w:sz w:val="24"/>
          <w:szCs w:val="24"/>
        </w:rPr>
        <w:t xml:space="preserve"> attachment</w:t>
      </w:r>
      <w:r w:rsidRPr="008D75D3">
        <w:rPr>
          <w:rFonts w:asciiTheme="majorBidi" w:hAnsiTheme="majorBidi" w:cstheme="majorBidi"/>
          <w:sz w:val="24"/>
          <w:szCs w:val="24"/>
        </w:rPr>
        <w:t xml:space="preserve"> is -0.0399.</w:t>
      </w:r>
      <w:r w:rsidRPr="007D11F6">
        <w:rPr>
          <w:rFonts w:asciiTheme="majorBidi" w:hAnsiTheme="majorBidi" w:cstheme="majorBidi"/>
          <w:sz w:val="24"/>
          <w:szCs w:val="24"/>
        </w:rPr>
        <w:t xml:space="preserve"> </w:t>
      </w:r>
      <w:r>
        <w:rPr>
          <w:rFonts w:asciiTheme="majorBidi" w:hAnsiTheme="majorBidi" w:cstheme="majorBidi"/>
          <w:sz w:val="24"/>
          <w:szCs w:val="24"/>
        </w:rPr>
        <w:t xml:space="preserve">This indicates that </w:t>
      </w:r>
      <w:r w:rsidRPr="00545740">
        <w:rPr>
          <w:rFonts w:asciiTheme="majorBidi" w:hAnsiTheme="majorBidi" w:cstheme="majorBidi"/>
          <w:sz w:val="24"/>
          <w:szCs w:val="24"/>
        </w:rPr>
        <w:t xml:space="preserve">the average </w:t>
      </w:r>
      <w:r>
        <w:rPr>
          <w:rFonts w:asciiTheme="majorBidi" w:hAnsiTheme="majorBidi" w:cstheme="majorBidi"/>
          <w:sz w:val="24"/>
          <w:szCs w:val="24"/>
        </w:rPr>
        <w:t>indirect effect</w:t>
      </w:r>
      <w:r w:rsidRPr="00545740">
        <w:rPr>
          <w:rFonts w:asciiTheme="majorBidi" w:hAnsiTheme="majorBidi" w:cstheme="majorBidi"/>
          <w:sz w:val="24"/>
          <w:szCs w:val="24"/>
        </w:rPr>
        <w:t xml:space="preserve"> for social media advertising is less than that for TV by 0.</w:t>
      </w:r>
      <w:r>
        <w:rPr>
          <w:rFonts w:asciiTheme="majorBidi" w:hAnsiTheme="majorBidi" w:cstheme="majorBidi"/>
          <w:sz w:val="24"/>
          <w:szCs w:val="24"/>
        </w:rPr>
        <w:t>0399.</w:t>
      </w:r>
    </w:p>
    <w:p w14:paraId="45FF3AB9" w14:textId="77777777" w:rsidR="00D65FF6" w:rsidRPr="008D75D3"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Brand trust mediate</w:t>
      </w:r>
      <w:r>
        <w:rPr>
          <w:rFonts w:asciiTheme="majorBidi" w:hAnsiTheme="majorBidi" w:cstheme="majorBidi"/>
          <w:sz w:val="24"/>
          <w:szCs w:val="24"/>
        </w:rPr>
        <w:t>s</w:t>
      </w:r>
      <w:r w:rsidRPr="008D75D3">
        <w:rPr>
          <w:rFonts w:asciiTheme="majorBidi" w:hAnsiTheme="majorBidi" w:cstheme="majorBidi"/>
          <w:sz w:val="24"/>
          <w:szCs w:val="24"/>
        </w:rPr>
        <w:t xml:space="preserve"> the relation</w:t>
      </w:r>
      <w:r>
        <w:rPr>
          <w:rFonts w:asciiTheme="majorBidi" w:hAnsiTheme="majorBidi" w:cstheme="majorBidi"/>
          <w:sz w:val="24"/>
          <w:szCs w:val="24"/>
        </w:rPr>
        <w:t>ship</w:t>
      </w:r>
      <w:r w:rsidRPr="008D75D3">
        <w:rPr>
          <w:rFonts w:asciiTheme="majorBidi" w:hAnsiTheme="majorBidi" w:cstheme="majorBidi"/>
          <w:sz w:val="24"/>
          <w:szCs w:val="24"/>
        </w:rPr>
        <w:t xml:space="preserve"> between media </w:t>
      </w:r>
      <w:r>
        <w:rPr>
          <w:rFonts w:asciiTheme="majorBidi" w:hAnsiTheme="majorBidi" w:cstheme="majorBidi"/>
          <w:sz w:val="24"/>
          <w:szCs w:val="24"/>
        </w:rPr>
        <w:t>channel</w:t>
      </w:r>
      <w:r w:rsidRPr="008D75D3">
        <w:rPr>
          <w:rFonts w:asciiTheme="majorBidi" w:hAnsiTheme="majorBidi" w:cstheme="majorBidi"/>
          <w:sz w:val="24"/>
          <w:szCs w:val="24"/>
        </w:rPr>
        <w:t xml:space="preserve"> and</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such that the indirect effect of media </w:t>
      </w:r>
      <w:r>
        <w:rPr>
          <w:rFonts w:asciiTheme="majorBidi" w:hAnsiTheme="majorBidi" w:cstheme="majorBidi"/>
          <w:sz w:val="24"/>
          <w:szCs w:val="24"/>
        </w:rPr>
        <w:t>vehicle</w:t>
      </w:r>
      <w:r w:rsidRPr="008D75D3">
        <w:rPr>
          <w:rFonts w:asciiTheme="majorBidi" w:hAnsiTheme="majorBidi" w:cstheme="majorBidi"/>
          <w:sz w:val="24"/>
          <w:szCs w:val="24"/>
        </w:rPr>
        <w:t xml:space="preserve"> on </w:t>
      </w:r>
      <w:r>
        <w:rPr>
          <w:rFonts w:asciiTheme="majorBidi" w:hAnsiTheme="majorBidi" w:cstheme="majorBidi"/>
          <w:sz w:val="24"/>
          <w:szCs w:val="24"/>
        </w:rPr>
        <w:t xml:space="preserve">purchase </w:t>
      </w:r>
      <w:r w:rsidRPr="008D75D3">
        <w:rPr>
          <w:rFonts w:asciiTheme="majorBidi" w:hAnsiTheme="majorBidi" w:cstheme="majorBidi"/>
          <w:sz w:val="24"/>
          <w:szCs w:val="24"/>
        </w:rPr>
        <w:t>intention through brand trust is -0.222</w:t>
      </w:r>
      <w:r>
        <w:rPr>
          <w:rFonts w:asciiTheme="majorBidi" w:hAnsiTheme="majorBidi" w:cstheme="majorBidi"/>
          <w:sz w:val="24"/>
          <w:szCs w:val="24"/>
        </w:rPr>
        <w:t xml:space="preserve">. This indicates that </w:t>
      </w:r>
      <w:r w:rsidRPr="00545740">
        <w:rPr>
          <w:rFonts w:asciiTheme="majorBidi" w:hAnsiTheme="majorBidi" w:cstheme="majorBidi"/>
          <w:sz w:val="24"/>
          <w:szCs w:val="24"/>
        </w:rPr>
        <w:t xml:space="preserve">the average </w:t>
      </w:r>
      <w:r>
        <w:rPr>
          <w:rFonts w:asciiTheme="majorBidi" w:hAnsiTheme="majorBidi" w:cstheme="majorBidi"/>
          <w:sz w:val="24"/>
          <w:szCs w:val="24"/>
        </w:rPr>
        <w:t>indirect effect</w:t>
      </w:r>
      <w:r w:rsidRPr="00545740">
        <w:rPr>
          <w:rFonts w:asciiTheme="majorBidi" w:hAnsiTheme="majorBidi" w:cstheme="majorBidi"/>
          <w:sz w:val="24"/>
          <w:szCs w:val="24"/>
        </w:rPr>
        <w:t xml:space="preserve"> for social media advertising is less than that for TV advertisements by 0.</w:t>
      </w:r>
      <w:r>
        <w:rPr>
          <w:rFonts w:asciiTheme="majorBidi" w:hAnsiTheme="majorBidi" w:cstheme="majorBidi"/>
          <w:sz w:val="24"/>
          <w:szCs w:val="24"/>
        </w:rPr>
        <w:t>222.</w:t>
      </w:r>
    </w:p>
    <w:p w14:paraId="6B7C98AE" w14:textId="77777777" w:rsidR="00D65FF6" w:rsidRPr="009A3404"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Ad </w:t>
      </w:r>
      <w:r>
        <w:rPr>
          <w:rFonts w:asciiTheme="majorBidi" w:hAnsiTheme="majorBidi" w:cstheme="majorBidi"/>
          <w:sz w:val="24"/>
          <w:szCs w:val="24"/>
        </w:rPr>
        <w:t>l</w:t>
      </w:r>
      <w:r w:rsidRPr="008D75D3">
        <w:rPr>
          <w:rFonts w:asciiTheme="majorBidi" w:hAnsiTheme="majorBidi" w:cstheme="majorBidi"/>
          <w:sz w:val="24"/>
          <w:szCs w:val="24"/>
        </w:rPr>
        <w:t>ikeability does not mediate the relatio</w:t>
      </w:r>
      <w:r>
        <w:rPr>
          <w:rFonts w:asciiTheme="majorBidi" w:hAnsiTheme="majorBidi" w:cstheme="majorBidi"/>
          <w:sz w:val="24"/>
          <w:szCs w:val="24"/>
        </w:rPr>
        <w:t>n</w:t>
      </w:r>
      <w:r w:rsidRPr="008D75D3">
        <w:rPr>
          <w:rFonts w:asciiTheme="majorBidi" w:hAnsiTheme="majorBidi" w:cstheme="majorBidi"/>
          <w:sz w:val="24"/>
          <w:szCs w:val="24"/>
        </w:rPr>
        <w:t xml:space="preserve"> between media </w:t>
      </w:r>
      <w:r>
        <w:rPr>
          <w:rFonts w:asciiTheme="majorBidi" w:hAnsiTheme="majorBidi" w:cstheme="majorBidi"/>
          <w:sz w:val="24"/>
          <w:szCs w:val="24"/>
        </w:rPr>
        <w:t>channel</w:t>
      </w:r>
      <w:r w:rsidRPr="008D75D3">
        <w:rPr>
          <w:rFonts w:asciiTheme="majorBidi" w:hAnsiTheme="majorBidi" w:cstheme="majorBidi"/>
          <w:sz w:val="24"/>
          <w:szCs w:val="24"/>
        </w:rPr>
        <w:t xml:space="preserve"> and</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w:t>
      </w:r>
      <w:r w:rsidRPr="009A3404">
        <w:rPr>
          <w:rFonts w:asciiTheme="majorBidi" w:hAnsiTheme="majorBidi" w:cstheme="majorBidi"/>
          <w:sz w:val="24"/>
          <w:szCs w:val="24"/>
        </w:rPr>
        <w:t xml:space="preserve">intention. </w:t>
      </w:r>
    </w:p>
    <w:p w14:paraId="25FA445F" w14:textId="77777777" w:rsidR="00D65FF6" w:rsidRPr="009A3404"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9A3404">
        <w:rPr>
          <w:rFonts w:asciiTheme="majorBidi" w:hAnsiTheme="majorBidi" w:cstheme="majorBidi"/>
          <w:sz w:val="24"/>
          <w:szCs w:val="24"/>
        </w:rPr>
        <w:t xml:space="preserve">The total indirect effect of media channel on purchase intention is -0.52, and there is no direct effect of media channel on purchase intention. That is the average purchase intention for </w:t>
      </w:r>
      <w:r>
        <w:rPr>
          <w:rFonts w:asciiTheme="majorBidi" w:hAnsiTheme="majorBidi" w:cstheme="majorBidi"/>
          <w:sz w:val="24"/>
          <w:szCs w:val="24"/>
        </w:rPr>
        <w:t>social</w:t>
      </w:r>
      <w:r w:rsidRPr="009A3404">
        <w:rPr>
          <w:rFonts w:asciiTheme="majorBidi" w:hAnsiTheme="majorBidi" w:cstheme="majorBidi"/>
          <w:sz w:val="24"/>
          <w:szCs w:val="24"/>
        </w:rPr>
        <w:t xml:space="preserve"> media is less than the same average for </w:t>
      </w:r>
      <w:r>
        <w:rPr>
          <w:rFonts w:asciiTheme="majorBidi" w:hAnsiTheme="majorBidi" w:cstheme="majorBidi"/>
          <w:sz w:val="24"/>
          <w:szCs w:val="24"/>
        </w:rPr>
        <w:t>TV</w:t>
      </w:r>
      <w:r w:rsidRPr="009A3404">
        <w:rPr>
          <w:rFonts w:asciiTheme="majorBidi" w:hAnsiTheme="majorBidi" w:cstheme="majorBidi"/>
          <w:sz w:val="24"/>
          <w:szCs w:val="24"/>
        </w:rPr>
        <w:t xml:space="preserve"> indirectly through mediators. </w:t>
      </w:r>
    </w:p>
    <w:p w14:paraId="0D1DBF6A" w14:textId="77777777" w:rsidR="00D65FF6" w:rsidRPr="008D75D3"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9A3404">
        <w:rPr>
          <w:rFonts w:asciiTheme="majorBidi" w:hAnsiTheme="majorBidi" w:cstheme="majorBidi"/>
          <w:sz w:val="24"/>
          <w:szCs w:val="24"/>
        </w:rPr>
        <w:t>Ad likeability mediates the relation between CSR communication and purchase intention such that the indirect effect of CSR on intention through Ad likeability is</w:t>
      </w:r>
      <w:r w:rsidRPr="008D75D3">
        <w:rPr>
          <w:rFonts w:asciiTheme="majorBidi" w:hAnsiTheme="majorBidi" w:cstheme="majorBidi"/>
          <w:sz w:val="24"/>
          <w:szCs w:val="24"/>
        </w:rPr>
        <w:t xml:space="preserve"> 0.104.</w:t>
      </w:r>
    </w:p>
    <w:p w14:paraId="49450340" w14:textId="77777777" w:rsidR="00D65FF6" w:rsidRPr="008D75D3"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Brand </w:t>
      </w:r>
      <w:r>
        <w:rPr>
          <w:rFonts w:asciiTheme="majorBidi" w:hAnsiTheme="majorBidi" w:cstheme="majorBidi"/>
          <w:sz w:val="24"/>
          <w:szCs w:val="24"/>
        </w:rPr>
        <w:t>l</w:t>
      </w:r>
      <w:r w:rsidRPr="008D75D3">
        <w:rPr>
          <w:rFonts w:asciiTheme="majorBidi" w:hAnsiTheme="majorBidi" w:cstheme="majorBidi"/>
          <w:sz w:val="24"/>
          <w:szCs w:val="24"/>
        </w:rPr>
        <w:t>ikeability mediate</w:t>
      </w:r>
      <w:r>
        <w:rPr>
          <w:rFonts w:asciiTheme="majorBidi" w:hAnsiTheme="majorBidi" w:cstheme="majorBidi"/>
          <w:sz w:val="24"/>
          <w:szCs w:val="24"/>
        </w:rPr>
        <w:t>s</w:t>
      </w:r>
      <w:r w:rsidRPr="008D75D3">
        <w:rPr>
          <w:rFonts w:asciiTheme="majorBidi" w:hAnsiTheme="majorBidi" w:cstheme="majorBidi"/>
          <w:sz w:val="24"/>
          <w:szCs w:val="24"/>
        </w:rPr>
        <w:t xml:space="preserve"> the </w:t>
      </w:r>
      <w:r w:rsidRPr="009A3404">
        <w:rPr>
          <w:rFonts w:asciiTheme="majorBidi" w:hAnsiTheme="majorBidi" w:cstheme="majorBidi"/>
          <w:sz w:val="24"/>
          <w:szCs w:val="24"/>
        </w:rPr>
        <w:t>relation</w:t>
      </w:r>
      <w:r w:rsidRPr="008D75D3">
        <w:rPr>
          <w:rFonts w:asciiTheme="majorBidi" w:hAnsiTheme="majorBidi" w:cstheme="majorBidi"/>
          <w:sz w:val="24"/>
          <w:szCs w:val="24"/>
        </w:rPr>
        <w:t xml:space="preserve"> between CSR and</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such that the indirect effect of CSR on </w:t>
      </w:r>
      <w:r>
        <w:rPr>
          <w:rFonts w:asciiTheme="majorBidi" w:hAnsiTheme="majorBidi" w:cstheme="majorBidi"/>
          <w:sz w:val="24"/>
          <w:szCs w:val="24"/>
        </w:rPr>
        <w:t xml:space="preserve">purchase </w:t>
      </w:r>
      <w:r w:rsidRPr="008D75D3">
        <w:rPr>
          <w:rFonts w:asciiTheme="majorBidi" w:hAnsiTheme="majorBidi" w:cstheme="majorBidi"/>
          <w:sz w:val="24"/>
          <w:szCs w:val="24"/>
        </w:rPr>
        <w:t>intention</w:t>
      </w:r>
      <w:r>
        <w:rPr>
          <w:rFonts w:asciiTheme="majorBidi" w:hAnsiTheme="majorBidi" w:cstheme="majorBidi"/>
          <w:sz w:val="24"/>
          <w:szCs w:val="24"/>
        </w:rPr>
        <w:t xml:space="preserve"> </w:t>
      </w:r>
      <w:r w:rsidRPr="008D75D3">
        <w:rPr>
          <w:rFonts w:asciiTheme="majorBidi" w:hAnsiTheme="majorBidi" w:cstheme="majorBidi"/>
          <w:sz w:val="24"/>
          <w:szCs w:val="24"/>
        </w:rPr>
        <w:t xml:space="preserve">through brand </w:t>
      </w:r>
      <w:r>
        <w:rPr>
          <w:rFonts w:asciiTheme="majorBidi" w:hAnsiTheme="majorBidi" w:cstheme="majorBidi"/>
          <w:sz w:val="24"/>
          <w:szCs w:val="24"/>
        </w:rPr>
        <w:t>l</w:t>
      </w:r>
      <w:r w:rsidRPr="008D75D3">
        <w:rPr>
          <w:rFonts w:asciiTheme="majorBidi" w:hAnsiTheme="majorBidi" w:cstheme="majorBidi"/>
          <w:sz w:val="24"/>
          <w:szCs w:val="24"/>
        </w:rPr>
        <w:t>ikeability is 0.203.</w:t>
      </w:r>
    </w:p>
    <w:p w14:paraId="779A7B7F" w14:textId="77777777" w:rsidR="00D65FF6" w:rsidRPr="008D75D3"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Emotional brand </w:t>
      </w:r>
      <w:r>
        <w:rPr>
          <w:rFonts w:asciiTheme="majorBidi" w:hAnsiTheme="majorBidi" w:cstheme="majorBidi"/>
          <w:sz w:val="24"/>
          <w:szCs w:val="24"/>
        </w:rPr>
        <w:t xml:space="preserve">attachment </w:t>
      </w:r>
      <w:r w:rsidRPr="008D75D3">
        <w:rPr>
          <w:rFonts w:asciiTheme="majorBidi" w:hAnsiTheme="majorBidi" w:cstheme="majorBidi"/>
          <w:sz w:val="24"/>
          <w:szCs w:val="24"/>
        </w:rPr>
        <w:t>mediate</w:t>
      </w:r>
      <w:r>
        <w:rPr>
          <w:rFonts w:asciiTheme="majorBidi" w:hAnsiTheme="majorBidi" w:cstheme="majorBidi"/>
          <w:sz w:val="24"/>
          <w:szCs w:val="24"/>
        </w:rPr>
        <w:t>s</w:t>
      </w:r>
      <w:r w:rsidRPr="008D75D3">
        <w:rPr>
          <w:rFonts w:asciiTheme="majorBidi" w:hAnsiTheme="majorBidi" w:cstheme="majorBidi"/>
          <w:sz w:val="24"/>
          <w:szCs w:val="24"/>
        </w:rPr>
        <w:t xml:space="preserve"> the relation between CSR</w:t>
      </w:r>
      <w:r>
        <w:rPr>
          <w:rFonts w:asciiTheme="majorBidi" w:hAnsiTheme="majorBidi" w:cstheme="majorBidi"/>
          <w:sz w:val="24"/>
          <w:szCs w:val="24"/>
        </w:rPr>
        <w:t xml:space="preserve"> communication</w:t>
      </w:r>
      <w:r w:rsidRPr="008D75D3">
        <w:rPr>
          <w:rFonts w:asciiTheme="majorBidi" w:hAnsiTheme="majorBidi" w:cstheme="majorBidi"/>
          <w:sz w:val="24"/>
          <w:szCs w:val="24"/>
        </w:rPr>
        <w:t xml:space="preserve"> and </w:t>
      </w:r>
      <w:r>
        <w:rPr>
          <w:rFonts w:asciiTheme="majorBidi" w:hAnsiTheme="majorBidi" w:cstheme="majorBidi"/>
          <w:sz w:val="24"/>
          <w:szCs w:val="24"/>
        </w:rPr>
        <w:t xml:space="preserve">purchase </w:t>
      </w:r>
      <w:r w:rsidRPr="008D75D3">
        <w:rPr>
          <w:rFonts w:asciiTheme="majorBidi" w:hAnsiTheme="majorBidi" w:cstheme="majorBidi"/>
          <w:sz w:val="24"/>
          <w:szCs w:val="24"/>
        </w:rPr>
        <w:t>intention such that the indirect effect of CSR</w:t>
      </w:r>
      <w:r>
        <w:rPr>
          <w:rFonts w:asciiTheme="majorBidi" w:hAnsiTheme="majorBidi" w:cstheme="majorBidi"/>
          <w:sz w:val="24"/>
          <w:szCs w:val="24"/>
        </w:rPr>
        <w:t xml:space="preserve"> communication</w:t>
      </w:r>
      <w:r w:rsidRPr="008D75D3">
        <w:rPr>
          <w:rFonts w:asciiTheme="majorBidi" w:hAnsiTheme="majorBidi" w:cstheme="majorBidi"/>
          <w:sz w:val="24"/>
          <w:szCs w:val="24"/>
        </w:rPr>
        <w:t xml:space="preserve"> on</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through emotional brand</w:t>
      </w:r>
      <w:r>
        <w:rPr>
          <w:rFonts w:asciiTheme="majorBidi" w:hAnsiTheme="majorBidi" w:cstheme="majorBidi"/>
          <w:sz w:val="24"/>
          <w:szCs w:val="24"/>
        </w:rPr>
        <w:t xml:space="preserve"> attachment</w:t>
      </w:r>
      <w:r w:rsidRPr="008D75D3">
        <w:rPr>
          <w:rFonts w:asciiTheme="majorBidi" w:hAnsiTheme="majorBidi" w:cstheme="majorBidi"/>
          <w:sz w:val="24"/>
          <w:szCs w:val="24"/>
        </w:rPr>
        <w:t xml:space="preserve"> is 0.0544.</w:t>
      </w:r>
    </w:p>
    <w:p w14:paraId="7C80C1C0" w14:textId="759CCF6E" w:rsidR="00D65FF6" w:rsidRPr="007C6056"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Brand trust mediate</w:t>
      </w:r>
      <w:r>
        <w:rPr>
          <w:rFonts w:asciiTheme="majorBidi" w:hAnsiTheme="majorBidi" w:cstheme="majorBidi"/>
          <w:sz w:val="24"/>
          <w:szCs w:val="24"/>
        </w:rPr>
        <w:t>s</w:t>
      </w:r>
      <w:r w:rsidRPr="008D75D3">
        <w:rPr>
          <w:rFonts w:asciiTheme="majorBidi" w:hAnsiTheme="majorBidi" w:cstheme="majorBidi"/>
          <w:sz w:val="24"/>
          <w:szCs w:val="24"/>
        </w:rPr>
        <w:t xml:space="preserve"> the relation between </w:t>
      </w:r>
      <w:r w:rsidRPr="007C6056">
        <w:rPr>
          <w:rFonts w:asciiTheme="majorBidi" w:hAnsiTheme="majorBidi" w:cstheme="majorBidi"/>
          <w:sz w:val="24"/>
          <w:szCs w:val="24"/>
        </w:rPr>
        <w:t>CSR</w:t>
      </w:r>
      <w:r>
        <w:rPr>
          <w:rFonts w:asciiTheme="majorBidi" w:hAnsiTheme="majorBidi" w:cstheme="majorBidi"/>
          <w:sz w:val="24"/>
          <w:szCs w:val="24"/>
        </w:rPr>
        <w:t xml:space="preserve"> communication</w:t>
      </w:r>
      <w:r w:rsidRPr="007C6056">
        <w:rPr>
          <w:rFonts w:asciiTheme="majorBidi" w:hAnsiTheme="majorBidi" w:cstheme="majorBidi"/>
          <w:sz w:val="24"/>
          <w:szCs w:val="24"/>
        </w:rPr>
        <w:t xml:space="preserve"> and </w:t>
      </w:r>
      <w:r>
        <w:rPr>
          <w:rFonts w:asciiTheme="majorBidi" w:hAnsiTheme="majorBidi" w:cstheme="majorBidi"/>
          <w:sz w:val="24"/>
          <w:szCs w:val="24"/>
        </w:rPr>
        <w:t xml:space="preserve">purchase </w:t>
      </w:r>
      <w:r w:rsidRPr="007C6056">
        <w:rPr>
          <w:rFonts w:asciiTheme="majorBidi" w:hAnsiTheme="majorBidi" w:cstheme="majorBidi"/>
          <w:sz w:val="24"/>
          <w:szCs w:val="24"/>
        </w:rPr>
        <w:t xml:space="preserve">intention such that the indirect effect of media </w:t>
      </w:r>
      <w:r w:rsidR="00D74555">
        <w:rPr>
          <w:rFonts w:asciiTheme="majorBidi" w:hAnsiTheme="majorBidi" w:cstheme="majorBidi"/>
          <w:sz w:val="24"/>
          <w:szCs w:val="24"/>
        </w:rPr>
        <w:t>vehicle</w:t>
      </w:r>
      <w:r w:rsidR="00D74555" w:rsidRPr="007C6056">
        <w:rPr>
          <w:rFonts w:asciiTheme="majorBidi" w:hAnsiTheme="majorBidi" w:cstheme="majorBidi"/>
          <w:sz w:val="24"/>
          <w:szCs w:val="24"/>
        </w:rPr>
        <w:t xml:space="preserve"> </w:t>
      </w:r>
      <w:r w:rsidRPr="007C6056">
        <w:rPr>
          <w:rFonts w:asciiTheme="majorBidi" w:hAnsiTheme="majorBidi" w:cstheme="majorBidi"/>
          <w:sz w:val="24"/>
          <w:szCs w:val="24"/>
        </w:rPr>
        <w:t xml:space="preserve">on </w:t>
      </w:r>
      <w:r>
        <w:rPr>
          <w:rFonts w:asciiTheme="majorBidi" w:hAnsiTheme="majorBidi" w:cstheme="majorBidi"/>
          <w:sz w:val="24"/>
          <w:szCs w:val="24"/>
        </w:rPr>
        <w:t xml:space="preserve">purchase </w:t>
      </w:r>
      <w:r w:rsidRPr="007C6056">
        <w:rPr>
          <w:rFonts w:asciiTheme="majorBidi" w:hAnsiTheme="majorBidi" w:cstheme="majorBidi"/>
          <w:sz w:val="24"/>
          <w:szCs w:val="24"/>
        </w:rPr>
        <w:t>intention through brand trust is 0.109.</w:t>
      </w:r>
    </w:p>
    <w:p w14:paraId="7295E473" w14:textId="77777777" w:rsidR="00D65FF6" w:rsidRPr="008D75D3"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Brand functionality does not mediate the relation between CSR</w:t>
      </w:r>
      <w:r>
        <w:rPr>
          <w:rFonts w:asciiTheme="majorBidi" w:hAnsiTheme="majorBidi" w:cstheme="majorBidi"/>
          <w:sz w:val="24"/>
          <w:szCs w:val="24"/>
        </w:rPr>
        <w:t xml:space="preserve"> communication</w:t>
      </w:r>
      <w:r w:rsidRPr="008D75D3">
        <w:rPr>
          <w:rFonts w:asciiTheme="majorBidi" w:hAnsiTheme="majorBidi" w:cstheme="majorBidi"/>
          <w:sz w:val="24"/>
          <w:szCs w:val="24"/>
        </w:rPr>
        <w:t xml:space="preserve"> and</w:t>
      </w:r>
      <w:r>
        <w:rPr>
          <w:rFonts w:asciiTheme="majorBidi" w:hAnsiTheme="majorBidi" w:cstheme="majorBidi"/>
          <w:sz w:val="24"/>
          <w:szCs w:val="24"/>
        </w:rPr>
        <w:t xml:space="preserve"> purchase </w:t>
      </w:r>
      <w:r w:rsidRPr="008D75D3">
        <w:rPr>
          <w:rFonts w:asciiTheme="majorBidi" w:hAnsiTheme="majorBidi" w:cstheme="majorBidi"/>
          <w:sz w:val="24"/>
          <w:szCs w:val="24"/>
        </w:rPr>
        <w:t>intention.</w:t>
      </w:r>
    </w:p>
    <w:p w14:paraId="7B69F9CC" w14:textId="77777777" w:rsidR="00D65FF6" w:rsidRDefault="00D65FF6">
      <w:pPr>
        <w:pStyle w:val="ListParagraph"/>
        <w:numPr>
          <w:ilvl w:val="0"/>
          <w:numId w:val="20"/>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The total indirect effect of CSR on intention </w:t>
      </w:r>
      <w:r>
        <w:rPr>
          <w:rFonts w:asciiTheme="majorBidi" w:hAnsiTheme="majorBidi" w:cstheme="majorBidi"/>
          <w:sz w:val="24"/>
          <w:szCs w:val="24"/>
        </w:rPr>
        <w:t>is</w:t>
      </w:r>
      <w:r w:rsidRPr="008D75D3">
        <w:rPr>
          <w:rFonts w:asciiTheme="majorBidi" w:hAnsiTheme="majorBidi" w:cstheme="majorBidi"/>
          <w:sz w:val="24"/>
          <w:szCs w:val="24"/>
        </w:rPr>
        <w:t xml:space="preserve"> 0.4704, and the direct effect of CSR</w:t>
      </w:r>
      <w:r>
        <w:rPr>
          <w:rFonts w:asciiTheme="majorBidi" w:hAnsiTheme="majorBidi" w:cstheme="majorBidi"/>
          <w:sz w:val="24"/>
          <w:szCs w:val="24"/>
        </w:rPr>
        <w:t xml:space="preserve"> communication</w:t>
      </w:r>
      <w:r w:rsidRPr="008D75D3">
        <w:rPr>
          <w:rFonts w:asciiTheme="majorBidi" w:hAnsiTheme="majorBidi" w:cstheme="majorBidi"/>
          <w:sz w:val="24"/>
          <w:szCs w:val="24"/>
        </w:rPr>
        <w:t xml:space="preserve"> on intention is 0.190. </w:t>
      </w:r>
      <w:r w:rsidRPr="00D912A6">
        <w:rPr>
          <w:rFonts w:asciiTheme="majorBidi" w:hAnsiTheme="majorBidi" w:cstheme="majorBidi"/>
          <w:sz w:val="24"/>
          <w:szCs w:val="24"/>
        </w:rPr>
        <w:t>Then the total effect is 0.6604. That is the average of purchase intention for CSR is larger than the same average for non-CSR directly and indirectly through mediators.</w:t>
      </w:r>
      <w:r w:rsidRPr="008D75D3">
        <w:rPr>
          <w:rFonts w:asciiTheme="majorBidi" w:hAnsiTheme="majorBidi" w:cstheme="majorBidi"/>
          <w:sz w:val="24"/>
          <w:szCs w:val="24"/>
        </w:rPr>
        <w:t xml:space="preserve"> </w:t>
      </w:r>
    </w:p>
    <w:p w14:paraId="5BC4D842" w14:textId="6C2BCE05" w:rsidR="00D65FF6" w:rsidRPr="00BC242D" w:rsidRDefault="00D65FF6" w:rsidP="004F6F51">
      <w:pPr>
        <w:pStyle w:val="ListParagraph"/>
        <w:tabs>
          <w:tab w:val="left" w:pos="630"/>
        </w:tabs>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4C6460">
        <w:rPr>
          <w:rFonts w:asciiTheme="majorBidi" w:hAnsiTheme="majorBidi" w:cstheme="majorBidi"/>
          <w:sz w:val="24"/>
          <w:szCs w:val="24"/>
        </w:rPr>
        <w:t xml:space="preserve">As discussed above and shown in </w:t>
      </w:r>
      <w:r w:rsidR="0059400D">
        <w:rPr>
          <w:rFonts w:asciiTheme="majorBidi" w:hAnsiTheme="majorBidi" w:cstheme="majorBidi"/>
          <w:sz w:val="24"/>
          <w:szCs w:val="24"/>
        </w:rPr>
        <w:t>table</w:t>
      </w:r>
      <w:r w:rsidR="004C6460">
        <w:rPr>
          <w:rFonts w:asciiTheme="majorBidi" w:hAnsiTheme="majorBidi" w:cstheme="majorBidi"/>
          <w:sz w:val="24"/>
          <w:szCs w:val="24"/>
        </w:rPr>
        <w:t xml:space="preserve"> </w:t>
      </w:r>
      <w:r w:rsidR="004F6F51">
        <w:rPr>
          <w:rFonts w:asciiTheme="majorBidi" w:hAnsiTheme="majorBidi" w:cstheme="majorBidi"/>
          <w:sz w:val="24"/>
          <w:szCs w:val="24"/>
        </w:rPr>
        <w:t>40</w:t>
      </w:r>
      <w:r w:rsidR="004C6460">
        <w:rPr>
          <w:rFonts w:asciiTheme="majorBidi" w:hAnsiTheme="majorBidi" w:cstheme="majorBidi"/>
          <w:sz w:val="24"/>
          <w:szCs w:val="24"/>
        </w:rPr>
        <w:t xml:space="preserve"> that summarises the indirect effects, </w:t>
      </w:r>
      <w:r w:rsidRPr="00361C5B">
        <w:rPr>
          <w:rFonts w:asciiTheme="majorBidi" w:hAnsiTheme="majorBidi" w:cstheme="majorBidi"/>
          <w:sz w:val="24"/>
          <w:szCs w:val="24"/>
        </w:rPr>
        <w:t>H9</w:t>
      </w:r>
      <w:r w:rsidR="004C6460">
        <w:rPr>
          <w:rFonts w:asciiTheme="majorBidi" w:hAnsiTheme="majorBidi" w:cstheme="majorBidi"/>
          <w:sz w:val="24"/>
          <w:szCs w:val="24"/>
        </w:rPr>
        <w:t xml:space="preserve"> is accepted</w:t>
      </w:r>
      <w:r w:rsidRPr="00361C5B">
        <w:rPr>
          <w:rFonts w:asciiTheme="majorBidi" w:hAnsiTheme="majorBidi" w:cstheme="majorBidi"/>
          <w:sz w:val="24"/>
          <w:szCs w:val="24"/>
        </w:rPr>
        <w:t xml:space="preserve"> but, H10 is partially rejected. This is because, even though social media has an indirect effect on purchase intention, the indirect effect of TV is stronger.</w:t>
      </w:r>
      <w:r w:rsidR="00283821">
        <w:rPr>
          <w:rFonts w:asciiTheme="majorBidi" w:hAnsiTheme="majorBidi" w:cstheme="majorBidi"/>
          <w:sz w:val="24"/>
          <w:szCs w:val="24"/>
        </w:rPr>
        <w:t xml:space="preserve"> Figure </w:t>
      </w:r>
      <w:r w:rsidR="0059400D">
        <w:rPr>
          <w:rFonts w:asciiTheme="majorBidi" w:hAnsiTheme="majorBidi" w:cstheme="majorBidi"/>
          <w:sz w:val="24"/>
          <w:szCs w:val="24"/>
        </w:rPr>
        <w:t>26</w:t>
      </w:r>
      <w:r w:rsidR="00283821">
        <w:rPr>
          <w:rFonts w:asciiTheme="majorBidi" w:hAnsiTheme="majorBidi" w:cstheme="majorBidi"/>
          <w:sz w:val="24"/>
          <w:szCs w:val="24"/>
        </w:rPr>
        <w:t xml:space="preserve"> </w:t>
      </w:r>
      <w:r w:rsidR="004C6460">
        <w:rPr>
          <w:rFonts w:asciiTheme="majorBidi" w:hAnsiTheme="majorBidi" w:cstheme="majorBidi"/>
          <w:sz w:val="24"/>
          <w:szCs w:val="24"/>
        </w:rPr>
        <w:t xml:space="preserve">presents the final estimated model followed by figure </w:t>
      </w:r>
      <w:r w:rsidR="0059400D">
        <w:rPr>
          <w:rFonts w:asciiTheme="majorBidi" w:hAnsiTheme="majorBidi" w:cstheme="majorBidi"/>
          <w:sz w:val="24"/>
          <w:szCs w:val="24"/>
        </w:rPr>
        <w:t>27</w:t>
      </w:r>
      <w:r w:rsidR="004C6460">
        <w:rPr>
          <w:rFonts w:asciiTheme="majorBidi" w:hAnsiTheme="majorBidi" w:cstheme="majorBidi"/>
          <w:sz w:val="24"/>
          <w:szCs w:val="24"/>
        </w:rPr>
        <w:t xml:space="preserve"> that shows the result </w:t>
      </w:r>
      <w:bookmarkStart w:id="181" w:name="_Hlk146724514"/>
      <w:r w:rsidR="004C6460">
        <w:rPr>
          <w:rFonts w:asciiTheme="majorBidi" w:hAnsiTheme="majorBidi" w:cstheme="majorBidi"/>
          <w:sz w:val="24"/>
          <w:szCs w:val="24"/>
        </w:rPr>
        <w:t xml:space="preserve">conceptual model. </w:t>
      </w:r>
    </w:p>
    <w:tbl>
      <w:tblPr>
        <w:tblStyle w:val="TableGrid"/>
        <w:tblW w:w="6520" w:type="dxa"/>
        <w:tblInd w:w="988" w:type="dxa"/>
        <w:tblLook w:val="04A0" w:firstRow="1" w:lastRow="0" w:firstColumn="1" w:lastColumn="0" w:noHBand="0" w:noVBand="1"/>
      </w:tblPr>
      <w:tblGrid>
        <w:gridCol w:w="4961"/>
        <w:gridCol w:w="1559"/>
      </w:tblGrid>
      <w:tr w:rsidR="00D65FF6" w:rsidRPr="00D53E24" w14:paraId="6D92DFA3" w14:textId="77777777" w:rsidTr="00864BD9">
        <w:tc>
          <w:tcPr>
            <w:tcW w:w="4961" w:type="dxa"/>
          </w:tcPr>
          <w:p w14:paraId="29A9313F"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Path</w:t>
            </w:r>
          </w:p>
        </w:tc>
        <w:tc>
          <w:tcPr>
            <w:tcW w:w="1559" w:type="dxa"/>
          </w:tcPr>
          <w:p w14:paraId="5AD30C7C"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 xml:space="preserve">Indirect effect </w:t>
            </w:r>
          </w:p>
        </w:tc>
      </w:tr>
      <w:tr w:rsidR="00D65FF6" w:rsidRPr="00D53E24" w14:paraId="173B3213" w14:textId="77777777" w:rsidTr="00864BD9">
        <w:tc>
          <w:tcPr>
            <w:tcW w:w="4961" w:type="dxa"/>
          </w:tcPr>
          <w:p w14:paraId="369A7450"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 xml:space="preserve">TV &gt; Brand functionality &gt; Purchase Intention </w:t>
            </w:r>
          </w:p>
        </w:tc>
        <w:tc>
          <w:tcPr>
            <w:tcW w:w="1559" w:type="dxa"/>
          </w:tcPr>
          <w:p w14:paraId="5E6D03E4"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 xml:space="preserve">-0.094 </w:t>
            </w:r>
          </w:p>
        </w:tc>
      </w:tr>
      <w:tr w:rsidR="00D65FF6" w:rsidRPr="00D53E24" w14:paraId="24050A92" w14:textId="77777777" w:rsidTr="00864BD9">
        <w:tc>
          <w:tcPr>
            <w:tcW w:w="4961" w:type="dxa"/>
          </w:tcPr>
          <w:p w14:paraId="54FCBA20"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TV &gt; Brand Likeability &gt; Purchase Intention</w:t>
            </w:r>
          </w:p>
        </w:tc>
        <w:tc>
          <w:tcPr>
            <w:tcW w:w="1559" w:type="dxa"/>
          </w:tcPr>
          <w:p w14:paraId="7E7D3271"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-0.167</w:t>
            </w:r>
          </w:p>
        </w:tc>
      </w:tr>
      <w:tr w:rsidR="00D65FF6" w:rsidRPr="00D53E24" w14:paraId="4A6D842B" w14:textId="77777777" w:rsidTr="00864BD9">
        <w:tc>
          <w:tcPr>
            <w:tcW w:w="4961" w:type="dxa"/>
          </w:tcPr>
          <w:p w14:paraId="70733DB5"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 xml:space="preserve">TV &gt;Emotional Brand Attachment &gt; Purchase Intention </w:t>
            </w:r>
          </w:p>
        </w:tc>
        <w:tc>
          <w:tcPr>
            <w:tcW w:w="1559" w:type="dxa"/>
          </w:tcPr>
          <w:p w14:paraId="10132B37"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-0.0399</w:t>
            </w:r>
          </w:p>
        </w:tc>
      </w:tr>
      <w:tr w:rsidR="00D65FF6" w:rsidRPr="00D53E24" w14:paraId="52B814A1" w14:textId="77777777" w:rsidTr="00864BD9">
        <w:tc>
          <w:tcPr>
            <w:tcW w:w="4961" w:type="dxa"/>
          </w:tcPr>
          <w:p w14:paraId="66743F62"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TV &gt;Brand Trust &gt; Purchase Intention</w:t>
            </w:r>
          </w:p>
        </w:tc>
        <w:tc>
          <w:tcPr>
            <w:tcW w:w="1559" w:type="dxa"/>
          </w:tcPr>
          <w:p w14:paraId="14B083AC"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-0.222</w:t>
            </w:r>
          </w:p>
        </w:tc>
      </w:tr>
      <w:tr w:rsidR="00D65FF6" w:rsidRPr="00D53E24" w14:paraId="65631A7D" w14:textId="77777777" w:rsidTr="00864BD9">
        <w:tc>
          <w:tcPr>
            <w:tcW w:w="4961" w:type="dxa"/>
          </w:tcPr>
          <w:p w14:paraId="7AFC58B3"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 xml:space="preserve">TV &gt; Purchase Intention </w:t>
            </w:r>
          </w:p>
        </w:tc>
        <w:tc>
          <w:tcPr>
            <w:tcW w:w="1559" w:type="dxa"/>
          </w:tcPr>
          <w:p w14:paraId="3DE3C0AA"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-0.52</w:t>
            </w:r>
          </w:p>
        </w:tc>
      </w:tr>
      <w:tr w:rsidR="00D65FF6" w:rsidRPr="00D53E24" w14:paraId="3AF3F83E" w14:textId="77777777" w:rsidTr="00864BD9">
        <w:tc>
          <w:tcPr>
            <w:tcW w:w="4961" w:type="dxa"/>
          </w:tcPr>
          <w:p w14:paraId="25FC1A5C"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CSR &gt; Ad likeability &gt; Purchase Intention</w:t>
            </w:r>
          </w:p>
        </w:tc>
        <w:tc>
          <w:tcPr>
            <w:tcW w:w="1559" w:type="dxa"/>
          </w:tcPr>
          <w:p w14:paraId="538BF2F1"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0.104</w:t>
            </w:r>
          </w:p>
        </w:tc>
      </w:tr>
      <w:tr w:rsidR="00D65FF6" w:rsidRPr="00D53E24" w14:paraId="685E5065" w14:textId="77777777" w:rsidTr="00864BD9">
        <w:tc>
          <w:tcPr>
            <w:tcW w:w="4961" w:type="dxa"/>
          </w:tcPr>
          <w:p w14:paraId="3C87438E"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CSR &gt; Brand Likeability &gt; Purchase Intention</w:t>
            </w:r>
          </w:p>
        </w:tc>
        <w:tc>
          <w:tcPr>
            <w:tcW w:w="1559" w:type="dxa"/>
          </w:tcPr>
          <w:p w14:paraId="2C37810B"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0.203</w:t>
            </w:r>
          </w:p>
        </w:tc>
      </w:tr>
      <w:tr w:rsidR="00D65FF6" w:rsidRPr="00D53E24" w14:paraId="01723A20" w14:textId="77777777" w:rsidTr="00864BD9">
        <w:tc>
          <w:tcPr>
            <w:tcW w:w="4961" w:type="dxa"/>
          </w:tcPr>
          <w:p w14:paraId="053F24E3"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CSR &gt; Emotional Brand Attachment &gt; Purchase Intention</w:t>
            </w:r>
          </w:p>
        </w:tc>
        <w:tc>
          <w:tcPr>
            <w:tcW w:w="1559" w:type="dxa"/>
          </w:tcPr>
          <w:p w14:paraId="6276C50C"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0.0544</w:t>
            </w:r>
          </w:p>
        </w:tc>
      </w:tr>
      <w:tr w:rsidR="00D65FF6" w:rsidRPr="00D53E24" w14:paraId="7C316B01" w14:textId="77777777" w:rsidTr="00864BD9">
        <w:tc>
          <w:tcPr>
            <w:tcW w:w="4961" w:type="dxa"/>
          </w:tcPr>
          <w:p w14:paraId="162C8C29"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CSR &gt; Brand Trust &gt; Purchase Intention</w:t>
            </w:r>
          </w:p>
        </w:tc>
        <w:tc>
          <w:tcPr>
            <w:tcW w:w="1559" w:type="dxa"/>
          </w:tcPr>
          <w:p w14:paraId="4609ACA7"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0.109</w:t>
            </w:r>
          </w:p>
        </w:tc>
      </w:tr>
      <w:tr w:rsidR="00D65FF6" w:rsidRPr="00D53E24" w14:paraId="1FE72E10" w14:textId="77777777" w:rsidTr="00864BD9">
        <w:tc>
          <w:tcPr>
            <w:tcW w:w="4961" w:type="dxa"/>
          </w:tcPr>
          <w:p w14:paraId="0EE2EFEA" w14:textId="77777777" w:rsidR="00D65FF6" w:rsidRPr="00D53E24" w:rsidRDefault="00D65FF6" w:rsidP="008D0DBB">
            <w:pPr>
              <w:tabs>
                <w:tab w:val="left" w:pos="630"/>
              </w:tabs>
              <w:jc w:val="both"/>
              <w:rPr>
                <w:rFonts w:asciiTheme="majorBidi" w:hAnsiTheme="majorBidi" w:cstheme="majorBidi"/>
                <w:sz w:val="20"/>
                <w:szCs w:val="20"/>
              </w:rPr>
            </w:pPr>
            <w:r w:rsidRPr="00D53E24">
              <w:rPr>
                <w:rFonts w:asciiTheme="majorBidi" w:hAnsiTheme="majorBidi" w:cstheme="majorBidi"/>
                <w:sz w:val="20"/>
                <w:szCs w:val="20"/>
              </w:rPr>
              <w:t>CSR &gt; Purchase Intention</w:t>
            </w:r>
          </w:p>
        </w:tc>
        <w:tc>
          <w:tcPr>
            <w:tcW w:w="1559" w:type="dxa"/>
          </w:tcPr>
          <w:p w14:paraId="331AA2E0" w14:textId="77777777" w:rsidR="00D65FF6" w:rsidRPr="00D53E24" w:rsidRDefault="00D65FF6" w:rsidP="00D238AF">
            <w:pPr>
              <w:keepNext/>
              <w:tabs>
                <w:tab w:val="left" w:pos="630"/>
              </w:tabs>
              <w:jc w:val="both"/>
              <w:rPr>
                <w:rFonts w:asciiTheme="majorBidi" w:hAnsiTheme="majorBidi" w:cstheme="majorBidi"/>
                <w:sz w:val="20"/>
                <w:szCs w:val="20"/>
              </w:rPr>
            </w:pPr>
            <w:r w:rsidRPr="00D53E24">
              <w:rPr>
                <w:rFonts w:asciiTheme="majorBidi" w:hAnsiTheme="majorBidi" w:cstheme="majorBidi"/>
                <w:sz w:val="20"/>
                <w:szCs w:val="20"/>
              </w:rPr>
              <w:t>0.4704</w:t>
            </w:r>
          </w:p>
        </w:tc>
      </w:tr>
    </w:tbl>
    <w:bookmarkEnd w:id="181"/>
    <w:p w14:paraId="0558250E" w14:textId="6C29E6EB" w:rsidR="00D238AF" w:rsidRDefault="00D238AF">
      <w:pPr>
        <w:pStyle w:val="Caption"/>
      </w:pPr>
      <w:r>
        <w:t xml:space="preserve">Table </w:t>
      </w:r>
      <w:r w:rsidR="00864BD9">
        <w:t>40</w:t>
      </w:r>
      <w:r>
        <w:t xml:space="preserve">* A summary of the </w:t>
      </w:r>
      <w:r w:rsidRPr="00D238AF">
        <w:t>indirect effects of the independent variables</w:t>
      </w:r>
      <w:r>
        <w:br/>
      </w:r>
      <w:r w:rsidRPr="00D238AF">
        <w:t>*CSR is a dummy variable take 1 for CSR campaigns and takes 0 for non-CSR campaigns. TV is a dummy variable takes 0 for TV advertisements, and 1 for social media advertisements.</w:t>
      </w:r>
    </w:p>
    <w:p w14:paraId="5532D87D" w14:textId="77777777" w:rsidR="0059400D" w:rsidRDefault="00D65FF6" w:rsidP="0059400D">
      <w:pPr>
        <w:keepNext/>
        <w:tabs>
          <w:tab w:val="left" w:pos="630"/>
        </w:tabs>
        <w:spacing w:line="240" w:lineRule="auto"/>
      </w:pPr>
      <w:r w:rsidRPr="008D75D3">
        <w:rPr>
          <w:rFonts w:asciiTheme="majorBidi" w:hAnsiTheme="majorBidi" w:cstheme="majorBidi"/>
          <w:noProof/>
          <w:sz w:val="24"/>
          <w:szCs w:val="24"/>
        </w:rPr>
        <w:drawing>
          <wp:inline distT="0" distB="0" distL="0" distR="0" wp14:anchorId="4C6DD795" wp14:editId="2CF45E53">
            <wp:extent cx="4532029" cy="2791968"/>
            <wp:effectExtent l="0" t="0" r="1905" b="8890"/>
            <wp:docPr id="15" name="Picture 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low confidenc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902" r="39038" b="13734"/>
                    <a:stretch/>
                  </pic:blipFill>
                  <pic:spPr bwMode="auto">
                    <a:xfrm>
                      <a:off x="0" y="0"/>
                      <a:ext cx="4615688" cy="2843506"/>
                    </a:xfrm>
                    <a:prstGeom prst="rect">
                      <a:avLst/>
                    </a:prstGeom>
                    <a:noFill/>
                    <a:ln>
                      <a:noFill/>
                    </a:ln>
                    <a:extLst>
                      <a:ext uri="{53640926-AAD7-44D8-BBD7-CCE9431645EC}">
                        <a14:shadowObscured xmlns:a14="http://schemas.microsoft.com/office/drawing/2010/main"/>
                      </a:ext>
                    </a:extLst>
                  </pic:spPr>
                </pic:pic>
              </a:graphicData>
            </a:graphic>
          </wp:inline>
        </w:drawing>
      </w:r>
    </w:p>
    <w:p w14:paraId="4E94EB3D" w14:textId="1CEF86D0" w:rsidR="0059400D" w:rsidRPr="0059400D" w:rsidRDefault="0059400D" w:rsidP="0059400D">
      <w:pPr>
        <w:pStyle w:val="Caption"/>
        <w:rPr>
          <w:rFonts w:asciiTheme="majorBidi" w:hAnsiTheme="majorBidi" w:cstheme="majorBidi"/>
          <w:sz w:val="24"/>
          <w:szCs w:val="24"/>
        </w:rPr>
      </w:pPr>
      <w:r>
        <w:t>Figure 26* The final estimated model including insignificant relationships</w:t>
      </w:r>
    </w:p>
    <w:p w14:paraId="40DA0D78" w14:textId="7EA1794C" w:rsidR="0059400D" w:rsidRDefault="0059400D" w:rsidP="0059400D">
      <w:pPr>
        <w:pStyle w:val="Caption"/>
      </w:pPr>
      <w:r>
        <w:t>* Red lines indicate the insignificant relationships</w:t>
      </w:r>
    </w:p>
    <w:p w14:paraId="3C6B5B17" w14:textId="77777777" w:rsidR="00511634" w:rsidRDefault="00511634" w:rsidP="00511634"/>
    <w:p w14:paraId="704BDB28" w14:textId="77777777" w:rsidR="00511634" w:rsidRDefault="00511634" w:rsidP="00511634"/>
    <w:p w14:paraId="5138571E" w14:textId="77777777" w:rsidR="00511634" w:rsidRDefault="00511634" w:rsidP="00511634"/>
    <w:p w14:paraId="48E697E0" w14:textId="77777777" w:rsidR="00511634" w:rsidRDefault="00511634" w:rsidP="00511634"/>
    <w:p w14:paraId="04B7227F" w14:textId="77777777" w:rsidR="00511634" w:rsidRDefault="00511634" w:rsidP="00511634"/>
    <w:p w14:paraId="73C95D41" w14:textId="77777777" w:rsidR="00511634" w:rsidRDefault="00511634" w:rsidP="00511634"/>
    <w:p w14:paraId="448B47E4" w14:textId="77777777" w:rsidR="00511634" w:rsidRDefault="00511634" w:rsidP="00511634"/>
    <w:p w14:paraId="113FDFD3" w14:textId="77777777" w:rsidR="00511634" w:rsidRDefault="00511634" w:rsidP="00511634"/>
    <w:p w14:paraId="24A76790" w14:textId="77777777" w:rsidR="00511634" w:rsidRPr="00511634" w:rsidRDefault="00511634" w:rsidP="00511634"/>
    <w:p w14:paraId="44894A47" w14:textId="36EE85C4" w:rsidR="00E9214B" w:rsidRDefault="00864BD9" w:rsidP="00E9214B">
      <w:pPr>
        <w:tabs>
          <w:tab w:val="left" w:pos="630"/>
        </w:tabs>
        <w:spacing w:line="240" w:lineRule="auto"/>
        <w:rPr>
          <w:rFonts w:asciiTheme="majorBidi" w:hAnsiTheme="majorBidi" w:cstheme="majorBidi"/>
          <w:sz w:val="24"/>
          <w:szCs w:val="24"/>
        </w:rPr>
      </w:pPr>
      <w:r>
        <w:rPr>
          <w:noProof/>
        </w:rPr>
        <w:drawing>
          <wp:anchor distT="0" distB="0" distL="114300" distR="114300" simplePos="0" relativeHeight="251657728" behindDoc="1" locked="0" layoutInCell="1" allowOverlap="1" wp14:anchorId="61E23275" wp14:editId="73946C28">
            <wp:simplePos x="0" y="0"/>
            <wp:positionH relativeFrom="margin">
              <wp:align>left</wp:align>
            </wp:positionH>
            <wp:positionV relativeFrom="paragraph">
              <wp:posOffset>10160</wp:posOffset>
            </wp:positionV>
            <wp:extent cx="5355590" cy="4584700"/>
            <wp:effectExtent l="0" t="0" r="0" b="6350"/>
            <wp:wrapSquare wrapText="bothSides"/>
            <wp:docPr id="79761448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14483" name="Picture 1" descr="A diagram of a 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364416" cy="4592078"/>
                    </a:xfrm>
                    <a:prstGeom prst="rect">
                      <a:avLst/>
                    </a:prstGeom>
                  </pic:spPr>
                </pic:pic>
              </a:graphicData>
            </a:graphic>
            <wp14:sizeRelH relativeFrom="margin">
              <wp14:pctWidth>0</wp14:pctWidth>
            </wp14:sizeRelH>
            <wp14:sizeRelV relativeFrom="margin">
              <wp14:pctHeight>0</wp14:pctHeight>
            </wp14:sizeRelV>
          </wp:anchor>
        </w:drawing>
      </w:r>
    </w:p>
    <w:p w14:paraId="3CE1856B" w14:textId="3CFFA876" w:rsidR="0079567D" w:rsidRDefault="0079567D" w:rsidP="0079567D">
      <w:pPr>
        <w:tabs>
          <w:tab w:val="left" w:pos="630"/>
        </w:tabs>
        <w:spacing w:line="240" w:lineRule="auto"/>
        <w:jc w:val="both"/>
        <w:rPr>
          <w:rFonts w:asciiTheme="majorBidi" w:hAnsiTheme="majorBidi" w:cstheme="majorBidi"/>
          <w:sz w:val="24"/>
          <w:szCs w:val="24"/>
        </w:rPr>
      </w:pPr>
    </w:p>
    <w:p w14:paraId="54DA9D07" w14:textId="77777777" w:rsidR="0079567D" w:rsidRPr="008177D8" w:rsidRDefault="0079567D" w:rsidP="00D65FF6">
      <w:pPr>
        <w:tabs>
          <w:tab w:val="left" w:pos="630"/>
        </w:tabs>
        <w:spacing w:line="240" w:lineRule="auto"/>
        <w:rPr>
          <w:rFonts w:asciiTheme="majorBidi" w:hAnsiTheme="majorBidi" w:cstheme="majorBidi"/>
          <w:sz w:val="24"/>
          <w:szCs w:val="24"/>
        </w:rPr>
      </w:pPr>
    </w:p>
    <w:p w14:paraId="3E3FA973" w14:textId="77777777" w:rsidR="0059400D" w:rsidRDefault="0059400D" w:rsidP="00F51417">
      <w:pPr>
        <w:pStyle w:val="CommentText"/>
        <w:spacing w:after="0" w:line="480" w:lineRule="auto"/>
        <w:jc w:val="both"/>
        <w:rPr>
          <w:rFonts w:asciiTheme="majorBidi" w:hAnsiTheme="majorBidi" w:cstheme="majorBidi"/>
          <w:b/>
          <w:bCs/>
          <w:sz w:val="24"/>
          <w:szCs w:val="24"/>
        </w:rPr>
      </w:pPr>
    </w:p>
    <w:p w14:paraId="623039BC" w14:textId="77777777" w:rsidR="0059400D" w:rsidRDefault="0059400D" w:rsidP="00F51417">
      <w:pPr>
        <w:pStyle w:val="CommentText"/>
        <w:spacing w:after="0" w:line="480" w:lineRule="auto"/>
        <w:jc w:val="both"/>
        <w:rPr>
          <w:rFonts w:asciiTheme="majorBidi" w:hAnsiTheme="majorBidi" w:cstheme="majorBidi"/>
          <w:b/>
          <w:bCs/>
          <w:sz w:val="24"/>
          <w:szCs w:val="24"/>
        </w:rPr>
      </w:pPr>
    </w:p>
    <w:p w14:paraId="49E0131A" w14:textId="77777777" w:rsidR="0059400D" w:rsidRDefault="0059400D" w:rsidP="00F51417">
      <w:pPr>
        <w:pStyle w:val="CommentText"/>
        <w:spacing w:after="0" w:line="480" w:lineRule="auto"/>
        <w:jc w:val="both"/>
        <w:rPr>
          <w:rFonts w:asciiTheme="majorBidi" w:hAnsiTheme="majorBidi" w:cstheme="majorBidi"/>
          <w:b/>
          <w:bCs/>
          <w:sz w:val="24"/>
          <w:szCs w:val="24"/>
        </w:rPr>
      </w:pPr>
    </w:p>
    <w:p w14:paraId="0740DE6C" w14:textId="77777777" w:rsidR="0059400D" w:rsidRDefault="0059400D" w:rsidP="00F51417">
      <w:pPr>
        <w:pStyle w:val="CommentText"/>
        <w:spacing w:after="0" w:line="480" w:lineRule="auto"/>
        <w:jc w:val="both"/>
        <w:rPr>
          <w:rFonts w:asciiTheme="majorBidi" w:hAnsiTheme="majorBidi" w:cstheme="majorBidi"/>
          <w:b/>
          <w:bCs/>
          <w:sz w:val="24"/>
          <w:szCs w:val="24"/>
        </w:rPr>
      </w:pPr>
    </w:p>
    <w:p w14:paraId="74E70CB8" w14:textId="77777777" w:rsidR="0059400D" w:rsidRDefault="0059400D" w:rsidP="00F51417">
      <w:pPr>
        <w:pStyle w:val="CommentText"/>
        <w:spacing w:after="0" w:line="480" w:lineRule="auto"/>
        <w:jc w:val="both"/>
        <w:rPr>
          <w:rFonts w:asciiTheme="majorBidi" w:hAnsiTheme="majorBidi" w:cstheme="majorBidi"/>
          <w:b/>
          <w:bCs/>
          <w:sz w:val="24"/>
          <w:szCs w:val="24"/>
        </w:rPr>
      </w:pPr>
    </w:p>
    <w:p w14:paraId="4E55C2F4" w14:textId="77777777" w:rsidR="0059400D" w:rsidRDefault="0059400D" w:rsidP="00F51417">
      <w:pPr>
        <w:pStyle w:val="CommentText"/>
        <w:spacing w:after="0" w:line="480" w:lineRule="auto"/>
        <w:jc w:val="both"/>
        <w:rPr>
          <w:rFonts w:asciiTheme="majorBidi" w:hAnsiTheme="majorBidi" w:cstheme="majorBidi"/>
          <w:b/>
          <w:bCs/>
          <w:sz w:val="24"/>
          <w:szCs w:val="24"/>
        </w:rPr>
      </w:pPr>
    </w:p>
    <w:p w14:paraId="615574BE" w14:textId="77777777" w:rsidR="0059400D" w:rsidRDefault="0059400D" w:rsidP="00F51417">
      <w:pPr>
        <w:pStyle w:val="CommentText"/>
        <w:spacing w:after="0" w:line="480" w:lineRule="auto"/>
        <w:jc w:val="both"/>
        <w:rPr>
          <w:rFonts w:asciiTheme="majorBidi" w:hAnsiTheme="majorBidi" w:cstheme="majorBidi"/>
          <w:b/>
          <w:bCs/>
          <w:sz w:val="24"/>
          <w:szCs w:val="24"/>
        </w:rPr>
      </w:pPr>
    </w:p>
    <w:p w14:paraId="2BE1D965" w14:textId="5935ED50" w:rsidR="0059400D" w:rsidRDefault="0059400D" w:rsidP="00F51417">
      <w:pPr>
        <w:pStyle w:val="CommentText"/>
        <w:spacing w:after="0" w:line="480" w:lineRule="auto"/>
        <w:jc w:val="both"/>
        <w:rPr>
          <w:rFonts w:asciiTheme="majorBidi" w:hAnsiTheme="majorBidi" w:cstheme="majorBidi"/>
          <w:b/>
          <w:bCs/>
          <w:sz w:val="24"/>
          <w:szCs w:val="24"/>
        </w:rPr>
      </w:pPr>
    </w:p>
    <w:bookmarkEnd w:id="180"/>
    <w:p w14:paraId="7A3D4EFA" w14:textId="694BB1D5" w:rsidR="00544567" w:rsidRDefault="00544567" w:rsidP="00F51417">
      <w:pPr>
        <w:pStyle w:val="CommentText"/>
        <w:spacing w:after="0" w:line="480" w:lineRule="auto"/>
        <w:jc w:val="both"/>
        <w:rPr>
          <w:rFonts w:asciiTheme="majorBidi" w:hAnsiTheme="majorBidi" w:cstheme="majorBidi"/>
          <w:b/>
          <w:bCs/>
          <w:sz w:val="24"/>
          <w:szCs w:val="24"/>
        </w:rPr>
      </w:pPr>
    </w:p>
    <w:p w14:paraId="49582ADE" w14:textId="04DDF141" w:rsidR="00511634" w:rsidRDefault="00511634">
      <w:pPr>
        <w:rPr>
          <w:rFonts w:asciiTheme="majorBidi" w:hAnsiTheme="majorBidi" w:cstheme="majorBidi"/>
          <w:b/>
          <w:bCs/>
          <w:kern w:val="0"/>
          <w:sz w:val="24"/>
          <w:szCs w:val="24"/>
        </w:rPr>
      </w:pPr>
      <w:r>
        <w:rPr>
          <w:noProof/>
        </w:rPr>
        <mc:AlternateContent>
          <mc:Choice Requires="wps">
            <w:drawing>
              <wp:anchor distT="0" distB="0" distL="114300" distR="114300" simplePos="0" relativeHeight="251664896" behindDoc="0" locked="0" layoutInCell="1" allowOverlap="1" wp14:anchorId="5C7F539D" wp14:editId="047FCCCA">
                <wp:simplePos x="0" y="0"/>
                <wp:positionH relativeFrom="margin">
                  <wp:posOffset>-25400</wp:posOffset>
                </wp:positionH>
                <wp:positionV relativeFrom="paragraph">
                  <wp:posOffset>699135</wp:posOffset>
                </wp:positionV>
                <wp:extent cx="4834890" cy="266700"/>
                <wp:effectExtent l="0" t="0" r="3810" b="0"/>
                <wp:wrapSquare wrapText="bothSides"/>
                <wp:docPr id="1269760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4890" cy="266700"/>
                        </a:xfrm>
                        <a:prstGeom prst="rect">
                          <a:avLst/>
                        </a:prstGeom>
                        <a:solidFill>
                          <a:prstClr val="white"/>
                        </a:solidFill>
                        <a:ln>
                          <a:noFill/>
                        </a:ln>
                      </wps:spPr>
                      <wps:txbx>
                        <w:txbxContent>
                          <w:p w14:paraId="04D97763" w14:textId="6912CD82" w:rsidR="00544567" w:rsidRPr="00EE6841" w:rsidRDefault="00544567" w:rsidP="00544567">
                            <w:pPr>
                              <w:pStyle w:val="Caption"/>
                              <w:rPr>
                                <w:noProof/>
                              </w:rPr>
                            </w:pPr>
                            <w:r>
                              <w:t xml:space="preserve">Figure 27 Result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7F539D" id="Text Box 5" o:spid="_x0000_s1031" type="#_x0000_t202" style="position:absolute;margin-left:-2pt;margin-top:55.05pt;width:380.7pt;height:21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" stroked="f">
                <v:textbox style="mso-fit-shape-to-text:t" inset="0,0,0,0">
                  <w:txbxContent>
                    <w:p w14:paraId="04D97763" w14:textId="6912CD82" w:rsidR="00544567" w:rsidRPr="00EE6841" w:rsidRDefault="00544567" w:rsidP="00544567">
                      <w:pPr>
                        <w:pStyle w:val="Caption"/>
                        <w:rPr>
                          <w:noProof/>
                        </w:rPr>
                      </w:pPr>
                      <w:r>
                        <w:t xml:space="preserve">Figure 27 Result Model </w:t>
                      </w:r>
                    </w:p>
                  </w:txbxContent>
                </v:textbox>
                <w10:wrap type="square" anchorx="margin"/>
              </v:shape>
            </w:pict>
          </mc:Fallback>
        </mc:AlternateContent>
      </w:r>
      <w:r>
        <w:rPr>
          <w:rFonts w:asciiTheme="majorBidi" w:hAnsiTheme="majorBidi" w:cstheme="majorBidi"/>
          <w:b/>
          <w:bCs/>
          <w:sz w:val="24"/>
          <w:szCs w:val="24"/>
        </w:rPr>
        <w:br w:type="page"/>
      </w:r>
    </w:p>
    <w:p w14:paraId="107C6D2E" w14:textId="453CD22F" w:rsidR="00F51417" w:rsidRPr="00F51417" w:rsidRDefault="00F51417" w:rsidP="00F51417">
      <w:pPr>
        <w:pStyle w:val="CommentText"/>
        <w:spacing w:after="0" w:line="480" w:lineRule="auto"/>
        <w:jc w:val="both"/>
        <w:rPr>
          <w:rFonts w:asciiTheme="majorBidi" w:hAnsiTheme="majorBidi" w:cstheme="majorBidi"/>
          <w:b/>
          <w:bCs/>
          <w:sz w:val="24"/>
          <w:szCs w:val="24"/>
        </w:rPr>
      </w:pPr>
      <w:r w:rsidRPr="00F51417">
        <w:rPr>
          <w:rFonts w:asciiTheme="majorBidi" w:hAnsiTheme="majorBidi" w:cstheme="majorBidi"/>
          <w:b/>
          <w:bCs/>
          <w:sz w:val="24"/>
          <w:szCs w:val="24"/>
        </w:rPr>
        <w:t>6.11.</w:t>
      </w:r>
      <w:r w:rsidR="003B3A90">
        <w:rPr>
          <w:rFonts w:asciiTheme="majorBidi" w:hAnsiTheme="majorBidi" w:cstheme="majorBidi"/>
          <w:b/>
          <w:bCs/>
          <w:sz w:val="24"/>
          <w:szCs w:val="24"/>
        </w:rPr>
        <w:t>4</w:t>
      </w:r>
      <w:r w:rsidRPr="00F51417">
        <w:rPr>
          <w:rFonts w:asciiTheme="majorBidi" w:hAnsiTheme="majorBidi" w:cstheme="majorBidi"/>
          <w:b/>
          <w:bCs/>
          <w:sz w:val="24"/>
          <w:szCs w:val="24"/>
        </w:rPr>
        <w:t xml:space="preserve"> Model Fit Indices </w:t>
      </w:r>
      <w:r w:rsidR="00D65FF6" w:rsidRPr="00F51417">
        <w:rPr>
          <w:rFonts w:asciiTheme="majorBidi" w:hAnsiTheme="majorBidi" w:cstheme="majorBidi"/>
          <w:b/>
          <w:bCs/>
          <w:sz w:val="24"/>
          <w:szCs w:val="24"/>
        </w:rPr>
        <w:tab/>
      </w:r>
    </w:p>
    <w:p w14:paraId="3FD97723" w14:textId="331313FF" w:rsidR="00F51417" w:rsidRPr="008D392E" w:rsidRDefault="00F51417" w:rsidP="00D238AF">
      <w:pPr>
        <w:spacing w:line="480" w:lineRule="auto"/>
        <w:rPr>
          <w:rFonts w:asciiTheme="majorBidi" w:hAnsiTheme="majorBidi" w:cstheme="majorBidi"/>
          <w:sz w:val="24"/>
          <w:szCs w:val="24"/>
        </w:rPr>
      </w:pPr>
      <w:r>
        <w:rPr>
          <w:rFonts w:asciiTheme="majorBidi" w:hAnsiTheme="majorBidi" w:cstheme="majorBidi"/>
          <w:sz w:val="24"/>
          <w:szCs w:val="24"/>
        </w:rPr>
        <w:tab/>
      </w:r>
      <w:r w:rsidR="00D65FF6">
        <w:rPr>
          <w:rFonts w:asciiTheme="majorBidi" w:hAnsiTheme="majorBidi" w:cstheme="majorBidi"/>
          <w:sz w:val="24"/>
          <w:szCs w:val="24"/>
        </w:rPr>
        <w:t>Based on</w:t>
      </w:r>
      <w:r w:rsidR="00D65FF6" w:rsidRPr="008D75D3">
        <w:rPr>
          <w:rFonts w:asciiTheme="majorBidi" w:hAnsiTheme="majorBidi" w:cstheme="majorBidi"/>
          <w:sz w:val="24"/>
          <w:szCs w:val="24"/>
        </w:rPr>
        <w:t xml:space="preserve"> table</w:t>
      </w:r>
      <w:r>
        <w:rPr>
          <w:rFonts w:asciiTheme="majorBidi" w:hAnsiTheme="majorBidi" w:cstheme="majorBidi"/>
          <w:sz w:val="24"/>
          <w:szCs w:val="24"/>
        </w:rPr>
        <w:t xml:space="preserve"> </w:t>
      </w:r>
      <w:r w:rsidR="004F6F51">
        <w:rPr>
          <w:rFonts w:asciiTheme="majorBidi" w:hAnsiTheme="majorBidi" w:cstheme="majorBidi"/>
          <w:sz w:val="24"/>
          <w:szCs w:val="24"/>
        </w:rPr>
        <w:t>41</w:t>
      </w:r>
      <w:r>
        <w:rPr>
          <w:rFonts w:asciiTheme="majorBidi" w:hAnsiTheme="majorBidi" w:cstheme="majorBidi"/>
          <w:sz w:val="24"/>
          <w:szCs w:val="24"/>
        </w:rPr>
        <w:t xml:space="preserve"> below</w:t>
      </w:r>
      <w:r w:rsidR="00D65FF6" w:rsidRPr="008D75D3">
        <w:rPr>
          <w:rFonts w:asciiTheme="majorBidi" w:hAnsiTheme="majorBidi" w:cstheme="majorBidi"/>
          <w:sz w:val="24"/>
          <w:szCs w:val="24"/>
        </w:rPr>
        <w:t>,</w:t>
      </w:r>
      <w:r w:rsidR="00D65FF6">
        <w:rPr>
          <w:rFonts w:asciiTheme="majorBidi" w:hAnsiTheme="majorBidi" w:cstheme="majorBidi"/>
          <w:sz w:val="24"/>
          <w:szCs w:val="24"/>
        </w:rPr>
        <w:t xml:space="preserve"> it was </w:t>
      </w:r>
      <w:r w:rsidR="00D65FF6" w:rsidRPr="008D75D3">
        <w:rPr>
          <w:rFonts w:asciiTheme="majorBidi" w:hAnsiTheme="majorBidi" w:cstheme="majorBidi"/>
          <w:sz w:val="24"/>
          <w:szCs w:val="24"/>
        </w:rPr>
        <w:t xml:space="preserve">concluded that all the goodness of fit measures of the model indicate that all indicators </w:t>
      </w:r>
      <w:r w:rsidR="00D65FF6">
        <w:rPr>
          <w:rFonts w:asciiTheme="majorBidi" w:hAnsiTheme="majorBidi" w:cstheme="majorBidi"/>
          <w:sz w:val="24"/>
          <w:szCs w:val="24"/>
        </w:rPr>
        <w:t xml:space="preserve">are </w:t>
      </w:r>
      <w:r w:rsidR="00D65FF6" w:rsidRPr="008D75D3">
        <w:rPr>
          <w:rFonts w:asciiTheme="majorBidi" w:hAnsiTheme="majorBidi" w:cstheme="majorBidi"/>
          <w:sz w:val="24"/>
          <w:szCs w:val="24"/>
        </w:rPr>
        <w:t xml:space="preserve">at acceptable limits, especially NFI, RFI, IFI, TLI, and CFI </w:t>
      </w:r>
      <w:sdt>
        <w:sdtPr>
          <w:id w:val="711768457"/>
          <w:citation/>
        </w:sdtPr>
        <w:sdtEndPr>
          <w:rPr>
            <w:rFonts w:asciiTheme="majorBidi" w:hAnsiTheme="majorBidi" w:cstheme="majorBidi"/>
            <w:sz w:val="24"/>
            <w:szCs w:val="24"/>
          </w:rPr>
        </w:sdtEndPr>
        <w:sdtContent>
          <w:r w:rsidR="00CD0E35" w:rsidRPr="00990242">
            <w:rPr>
              <w:rFonts w:asciiTheme="majorBidi" w:hAnsiTheme="majorBidi" w:cstheme="majorBidi"/>
              <w:sz w:val="24"/>
              <w:szCs w:val="24"/>
            </w:rPr>
            <w:fldChar w:fldCharType="begin"/>
          </w:r>
          <w:r w:rsidR="00CD0E35" w:rsidRPr="00990242">
            <w:rPr>
              <w:rFonts w:asciiTheme="majorBidi" w:hAnsiTheme="majorBidi" w:cstheme="majorBidi"/>
              <w:sz w:val="24"/>
              <w:szCs w:val="24"/>
            </w:rPr>
            <w:instrText xml:space="preserve"> CITATION San20 \l 2057 </w:instrText>
          </w:r>
          <w:r w:rsidR="00CD0E35" w:rsidRPr="00990242">
            <w:rPr>
              <w:rFonts w:asciiTheme="majorBidi" w:hAnsiTheme="majorBidi" w:cstheme="majorBidi"/>
              <w:sz w:val="24"/>
              <w:szCs w:val="24"/>
            </w:rPr>
            <w:fldChar w:fldCharType="separate"/>
          </w:r>
          <w:r w:rsidR="00CD0E35" w:rsidRPr="00990242">
            <w:rPr>
              <w:rFonts w:asciiTheme="majorBidi" w:hAnsiTheme="majorBidi" w:cstheme="majorBidi"/>
              <w:noProof/>
              <w:sz w:val="24"/>
              <w:szCs w:val="24"/>
            </w:rPr>
            <w:t>(Sanchez, Ordóñez, Gilar, &amp; Castejon, 2020)</w:t>
          </w:r>
          <w:r w:rsidR="00CD0E35" w:rsidRPr="00990242">
            <w:rPr>
              <w:rFonts w:asciiTheme="majorBidi" w:hAnsiTheme="majorBidi" w:cstheme="majorBidi"/>
              <w:sz w:val="24"/>
              <w:szCs w:val="24"/>
            </w:rPr>
            <w:fldChar w:fldCharType="end"/>
          </w:r>
        </w:sdtContent>
      </w:sdt>
      <w:r w:rsidR="00CD0E35">
        <w:rPr>
          <w:rFonts w:asciiTheme="majorBidi" w:hAnsiTheme="majorBidi" w:cstheme="majorBidi"/>
          <w:sz w:val="24"/>
          <w:szCs w:val="24"/>
        </w:rPr>
        <w:t xml:space="preserve"> </w:t>
      </w:r>
      <w:r w:rsidR="00D65FF6" w:rsidRPr="008D75D3">
        <w:rPr>
          <w:rFonts w:asciiTheme="majorBidi" w:hAnsiTheme="majorBidi" w:cstheme="majorBidi"/>
          <w:sz w:val="24"/>
          <w:szCs w:val="24"/>
        </w:rPr>
        <w:t>are close to one. Also</w:t>
      </w:r>
      <w:r w:rsidR="00D65FF6">
        <w:rPr>
          <w:rFonts w:asciiTheme="majorBidi" w:hAnsiTheme="majorBidi" w:cstheme="majorBidi"/>
          <w:sz w:val="24"/>
          <w:szCs w:val="24"/>
        </w:rPr>
        <w:t>,</w:t>
      </w:r>
      <w:r w:rsidR="00D65FF6" w:rsidRPr="008D75D3">
        <w:rPr>
          <w:rFonts w:asciiTheme="majorBidi" w:hAnsiTheme="majorBidi" w:cstheme="majorBidi"/>
          <w:sz w:val="24"/>
          <w:szCs w:val="24"/>
        </w:rPr>
        <w:t xml:space="preserve"> the value of RMSEA is less than 0.05. All these measures indicate the goodness of fit of the structural model. Also</w:t>
      </w:r>
      <w:r w:rsidR="00D65FF6">
        <w:rPr>
          <w:rFonts w:asciiTheme="majorBidi" w:hAnsiTheme="majorBidi" w:cstheme="majorBidi"/>
          <w:sz w:val="24"/>
          <w:szCs w:val="24"/>
        </w:rPr>
        <w:t>,</w:t>
      </w:r>
      <w:r w:rsidR="00D65FF6" w:rsidRPr="008D75D3">
        <w:rPr>
          <w:rFonts w:asciiTheme="majorBidi" w:hAnsiTheme="majorBidi" w:cstheme="majorBidi"/>
          <w:sz w:val="24"/>
          <w:szCs w:val="24"/>
        </w:rPr>
        <w:t xml:space="preserve"> level of significance of the Chi-square test indicates</w:t>
      </w:r>
      <w:r w:rsidR="00D65FF6">
        <w:rPr>
          <w:rFonts w:asciiTheme="majorBidi" w:hAnsiTheme="majorBidi" w:cstheme="majorBidi"/>
          <w:sz w:val="24"/>
          <w:szCs w:val="24"/>
        </w:rPr>
        <w:t xml:space="preserve"> that</w:t>
      </w:r>
      <w:r w:rsidR="00D65FF6" w:rsidRPr="008D75D3">
        <w:rPr>
          <w:rFonts w:asciiTheme="majorBidi" w:hAnsiTheme="majorBidi" w:cstheme="majorBidi"/>
          <w:sz w:val="24"/>
          <w:szCs w:val="24"/>
        </w:rPr>
        <w:t xml:space="preserve"> the model is not good fit</w:t>
      </w:r>
      <w:r w:rsidR="001936DB">
        <w:rPr>
          <w:rFonts w:asciiTheme="majorBidi" w:hAnsiTheme="majorBidi" w:cstheme="majorBidi"/>
          <w:sz w:val="24"/>
          <w:szCs w:val="24"/>
        </w:rPr>
        <w:t>;</w:t>
      </w:r>
      <w:r w:rsidR="00D65FF6" w:rsidRPr="008D75D3">
        <w:rPr>
          <w:rFonts w:asciiTheme="majorBidi" w:hAnsiTheme="majorBidi" w:cstheme="majorBidi"/>
          <w:sz w:val="24"/>
          <w:szCs w:val="24"/>
        </w:rPr>
        <w:t xml:space="preserve"> </w:t>
      </w:r>
      <w:r w:rsidR="001936DB" w:rsidRPr="008D75D3">
        <w:rPr>
          <w:rFonts w:asciiTheme="majorBidi" w:hAnsiTheme="majorBidi" w:cstheme="majorBidi"/>
          <w:sz w:val="24"/>
          <w:szCs w:val="24"/>
        </w:rPr>
        <w:t>however,</w:t>
      </w:r>
      <w:r w:rsidR="00D65FF6" w:rsidRPr="008D75D3">
        <w:rPr>
          <w:rFonts w:asciiTheme="majorBidi" w:hAnsiTheme="majorBidi" w:cstheme="majorBidi"/>
          <w:sz w:val="24"/>
          <w:szCs w:val="24"/>
        </w:rPr>
        <w:t xml:space="preserve"> Chi-square test is very sensitive with increasing sample size so </w:t>
      </w:r>
      <w:r w:rsidR="00D65FF6">
        <w:rPr>
          <w:rFonts w:asciiTheme="majorBidi" w:hAnsiTheme="majorBidi" w:cstheme="majorBidi"/>
          <w:sz w:val="24"/>
          <w:szCs w:val="24"/>
        </w:rPr>
        <w:t>I can rely</w:t>
      </w:r>
      <w:r w:rsidR="00D65FF6" w:rsidRPr="008D75D3">
        <w:rPr>
          <w:rFonts w:asciiTheme="majorBidi" w:hAnsiTheme="majorBidi" w:cstheme="majorBidi"/>
          <w:sz w:val="24"/>
          <w:szCs w:val="24"/>
        </w:rPr>
        <w:t xml:space="preserve"> on other measures</w:t>
      </w:r>
      <w:sdt>
        <w:sdtPr>
          <w:rPr>
            <w:rFonts w:asciiTheme="majorBidi" w:hAnsiTheme="majorBidi" w:cstheme="majorBidi"/>
            <w:sz w:val="24"/>
            <w:szCs w:val="24"/>
          </w:rPr>
          <w:id w:val="1735279771"/>
          <w:citation/>
        </w:sdtPr>
        <w:sdtContent>
          <w:r w:rsidR="00D65FF6">
            <w:rPr>
              <w:rFonts w:asciiTheme="majorBidi" w:hAnsiTheme="majorBidi" w:cstheme="majorBidi"/>
              <w:sz w:val="24"/>
              <w:szCs w:val="24"/>
            </w:rPr>
            <w:fldChar w:fldCharType="begin"/>
          </w:r>
          <w:r w:rsidR="00D65FF6">
            <w:rPr>
              <w:rFonts w:asciiTheme="majorBidi" w:hAnsiTheme="majorBidi" w:cstheme="majorBidi"/>
              <w:sz w:val="24"/>
              <w:szCs w:val="24"/>
            </w:rPr>
            <w:instrText xml:space="preserve"> CITATION Ala201 \l 2057 </w:instrText>
          </w:r>
          <w:r w:rsidR="00D65FF6">
            <w:rPr>
              <w:rFonts w:asciiTheme="majorBidi" w:hAnsiTheme="majorBidi" w:cstheme="majorBidi"/>
              <w:sz w:val="24"/>
              <w:szCs w:val="24"/>
            </w:rPr>
            <w:fldChar w:fldCharType="separate"/>
          </w:r>
          <w:r w:rsidR="00D65FF6">
            <w:rPr>
              <w:rFonts w:asciiTheme="majorBidi" w:hAnsiTheme="majorBidi" w:cstheme="majorBidi"/>
              <w:noProof/>
              <w:sz w:val="24"/>
              <w:szCs w:val="24"/>
            </w:rPr>
            <w:t xml:space="preserve"> </w:t>
          </w:r>
          <w:r w:rsidR="00D65FF6" w:rsidRPr="009F6991">
            <w:rPr>
              <w:rFonts w:asciiTheme="majorBidi" w:hAnsiTheme="majorBidi" w:cstheme="majorBidi"/>
              <w:noProof/>
              <w:sz w:val="24"/>
              <w:szCs w:val="24"/>
            </w:rPr>
            <w:t>(Alavi, et al., 2020)</w:t>
          </w:r>
          <w:r w:rsidR="00D65FF6">
            <w:rPr>
              <w:rFonts w:asciiTheme="majorBidi" w:hAnsiTheme="majorBidi" w:cstheme="majorBidi"/>
              <w:sz w:val="24"/>
              <w:szCs w:val="24"/>
            </w:rPr>
            <w:fldChar w:fldCharType="end"/>
          </w:r>
        </w:sdtContent>
      </w:sdt>
      <w:r w:rsidR="00D65FF6">
        <w:rPr>
          <w:rFonts w:asciiTheme="majorBidi" w:hAnsiTheme="majorBidi" w:cstheme="majorBidi"/>
          <w:sz w:val="24"/>
          <w:szCs w:val="24"/>
        </w:rPr>
        <w:t>.</w:t>
      </w:r>
    </w:p>
    <w:tbl>
      <w:tblPr>
        <w:tblW w:w="79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7"/>
        <w:gridCol w:w="2126"/>
        <w:gridCol w:w="992"/>
        <w:gridCol w:w="1418"/>
      </w:tblGrid>
      <w:tr w:rsidR="00F51417" w:rsidRPr="00D53E24" w14:paraId="7FE7BFCD" w14:textId="77777777" w:rsidTr="00864BD9">
        <w:trPr>
          <w:trHeight w:val="135"/>
        </w:trPr>
        <w:tc>
          <w:tcPr>
            <w:tcW w:w="1275" w:type="dxa"/>
          </w:tcPr>
          <w:p w14:paraId="14BC5E7F"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 xml:space="preserve">Indices </w:t>
            </w:r>
          </w:p>
        </w:tc>
        <w:tc>
          <w:tcPr>
            <w:tcW w:w="2127" w:type="dxa"/>
          </w:tcPr>
          <w:p w14:paraId="1981ED61" w14:textId="77777777" w:rsidR="00F51417" w:rsidRPr="00D53E24" w:rsidRDefault="00F51417" w:rsidP="00D53E24">
            <w:pPr>
              <w:spacing w:after="0" w:line="240" w:lineRule="auto"/>
              <w:jc w:val="lowKashida"/>
              <w:rPr>
                <w:rFonts w:asciiTheme="majorBidi" w:hAnsiTheme="majorBidi" w:cstheme="majorBidi"/>
                <w:sz w:val="20"/>
                <w:szCs w:val="20"/>
              </w:rPr>
            </w:pPr>
            <w:r w:rsidRPr="00D53E24">
              <w:rPr>
                <w:rFonts w:asciiTheme="majorBidi" w:hAnsiTheme="majorBidi" w:cstheme="majorBidi"/>
                <w:sz w:val="20"/>
                <w:szCs w:val="20"/>
              </w:rPr>
              <w:t xml:space="preserve">Abbreviation </w:t>
            </w:r>
          </w:p>
        </w:tc>
        <w:tc>
          <w:tcPr>
            <w:tcW w:w="2126" w:type="dxa"/>
          </w:tcPr>
          <w:p w14:paraId="287C6168"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 xml:space="preserve">Recommended criteria  </w:t>
            </w:r>
          </w:p>
        </w:tc>
        <w:tc>
          <w:tcPr>
            <w:tcW w:w="992" w:type="dxa"/>
          </w:tcPr>
          <w:p w14:paraId="46B18AFA"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Results</w:t>
            </w:r>
          </w:p>
        </w:tc>
        <w:tc>
          <w:tcPr>
            <w:tcW w:w="1418" w:type="dxa"/>
          </w:tcPr>
          <w:p w14:paraId="242D7B81"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 xml:space="preserve">Conclusion </w:t>
            </w:r>
          </w:p>
        </w:tc>
      </w:tr>
      <w:tr w:rsidR="00F51417" w:rsidRPr="00D53E24" w14:paraId="4EFA19A9" w14:textId="77777777" w:rsidTr="00864BD9">
        <w:trPr>
          <w:trHeight w:val="155"/>
        </w:trPr>
        <w:tc>
          <w:tcPr>
            <w:tcW w:w="1275" w:type="dxa"/>
          </w:tcPr>
          <w:p w14:paraId="78B627A9"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 xml:space="preserve">Chi-square </w:t>
            </w:r>
          </w:p>
        </w:tc>
        <w:tc>
          <w:tcPr>
            <w:tcW w:w="2127" w:type="dxa"/>
          </w:tcPr>
          <w:p w14:paraId="7F1C78E6"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 xml:space="preserve">χ </w:t>
            </w:r>
            <w:r w:rsidRPr="00D53E24">
              <w:rPr>
                <w:rFonts w:asciiTheme="majorBidi" w:hAnsiTheme="majorBidi" w:cstheme="majorBidi"/>
                <w:sz w:val="20"/>
                <w:szCs w:val="20"/>
                <w:vertAlign w:val="superscript"/>
              </w:rPr>
              <w:t>2</w:t>
            </w:r>
          </w:p>
        </w:tc>
        <w:tc>
          <w:tcPr>
            <w:tcW w:w="2126" w:type="dxa"/>
          </w:tcPr>
          <w:p w14:paraId="02570F29"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P value&gt;0.05</w:t>
            </w:r>
          </w:p>
        </w:tc>
        <w:tc>
          <w:tcPr>
            <w:tcW w:w="992" w:type="dxa"/>
          </w:tcPr>
          <w:p w14:paraId="60ED5842"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83.893</w:t>
            </w:r>
          </w:p>
        </w:tc>
        <w:tc>
          <w:tcPr>
            <w:tcW w:w="1418" w:type="dxa"/>
          </w:tcPr>
          <w:p w14:paraId="0C5FB6F2" w14:textId="05278BA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Not good fit</w:t>
            </w:r>
          </w:p>
        </w:tc>
      </w:tr>
      <w:tr w:rsidR="00F51417" w:rsidRPr="00D53E24" w14:paraId="3D123243" w14:textId="77777777" w:rsidTr="00864BD9">
        <w:trPr>
          <w:trHeight w:val="331"/>
        </w:trPr>
        <w:tc>
          <w:tcPr>
            <w:tcW w:w="1275" w:type="dxa"/>
          </w:tcPr>
          <w:p w14:paraId="6BB747A0"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Normed chi square</w:t>
            </w:r>
          </w:p>
        </w:tc>
        <w:tc>
          <w:tcPr>
            <w:tcW w:w="2127" w:type="dxa"/>
          </w:tcPr>
          <w:p w14:paraId="7143C028" w14:textId="77777777" w:rsidR="00F51417" w:rsidRPr="00D53E24" w:rsidRDefault="00F51417" w:rsidP="00D53E24">
            <w:pPr>
              <w:spacing w:after="0" w:line="240" w:lineRule="auto"/>
              <w:jc w:val="lowKashida"/>
              <w:rPr>
                <w:rFonts w:asciiTheme="majorBidi" w:hAnsiTheme="majorBidi" w:cstheme="majorBidi"/>
                <w:sz w:val="20"/>
                <w:szCs w:val="20"/>
              </w:rPr>
            </w:pPr>
            <w:r w:rsidRPr="00D53E24">
              <w:rPr>
                <w:rFonts w:asciiTheme="majorBidi" w:hAnsiTheme="majorBidi" w:cstheme="majorBidi"/>
                <w:sz w:val="20"/>
                <w:szCs w:val="20"/>
              </w:rPr>
              <w:t xml:space="preserve">χ </w:t>
            </w:r>
            <w:r w:rsidRPr="00D53E24">
              <w:rPr>
                <w:rFonts w:asciiTheme="majorBidi" w:hAnsiTheme="majorBidi" w:cstheme="majorBidi"/>
                <w:sz w:val="20"/>
                <w:szCs w:val="20"/>
                <w:vertAlign w:val="superscript"/>
              </w:rPr>
              <w:t>2</w:t>
            </w:r>
            <w:r w:rsidRPr="00D53E24">
              <w:rPr>
                <w:rFonts w:asciiTheme="majorBidi" w:hAnsiTheme="majorBidi" w:cstheme="majorBidi"/>
                <w:sz w:val="20"/>
                <w:szCs w:val="20"/>
              </w:rPr>
              <w:t>/DF</w:t>
            </w:r>
          </w:p>
        </w:tc>
        <w:tc>
          <w:tcPr>
            <w:tcW w:w="2126" w:type="dxa"/>
          </w:tcPr>
          <w:p w14:paraId="4F2FA243" w14:textId="77777777" w:rsidR="00F51417" w:rsidRPr="00D53E24" w:rsidRDefault="00F51417" w:rsidP="00D53E24">
            <w:pPr>
              <w:spacing w:after="0" w:line="240" w:lineRule="auto"/>
              <w:jc w:val="lowKashida"/>
              <w:rPr>
                <w:rFonts w:asciiTheme="majorBidi" w:hAnsiTheme="majorBidi" w:cstheme="majorBidi"/>
                <w:sz w:val="20"/>
                <w:szCs w:val="20"/>
              </w:rPr>
            </w:pPr>
            <w:r w:rsidRPr="00D53E24">
              <w:rPr>
                <w:rFonts w:asciiTheme="majorBidi" w:hAnsiTheme="majorBidi" w:cstheme="majorBidi"/>
                <w:sz w:val="20"/>
                <w:szCs w:val="20"/>
              </w:rPr>
              <w:t xml:space="preserve">1&lt;χ </w:t>
            </w:r>
            <w:r w:rsidRPr="00D53E24">
              <w:rPr>
                <w:rFonts w:asciiTheme="majorBidi" w:hAnsiTheme="majorBidi" w:cstheme="majorBidi"/>
                <w:sz w:val="20"/>
                <w:szCs w:val="20"/>
                <w:vertAlign w:val="superscript"/>
              </w:rPr>
              <w:t>2</w:t>
            </w:r>
            <w:r w:rsidRPr="00D53E24">
              <w:rPr>
                <w:rFonts w:asciiTheme="majorBidi" w:hAnsiTheme="majorBidi" w:cstheme="majorBidi"/>
                <w:sz w:val="20"/>
                <w:szCs w:val="20"/>
              </w:rPr>
              <w:t>/df&lt;3</w:t>
            </w:r>
          </w:p>
        </w:tc>
        <w:tc>
          <w:tcPr>
            <w:tcW w:w="992" w:type="dxa"/>
          </w:tcPr>
          <w:p w14:paraId="7170B52F"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2.99</w:t>
            </w:r>
          </w:p>
        </w:tc>
        <w:tc>
          <w:tcPr>
            <w:tcW w:w="1418" w:type="dxa"/>
          </w:tcPr>
          <w:p w14:paraId="0BE3CBE8" w14:textId="685AF9A1"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Good fit</w:t>
            </w:r>
          </w:p>
        </w:tc>
      </w:tr>
      <w:tr w:rsidR="00F51417" w:rsidRPr="00D53E24" w14:paraId="24514821" w14:textId="77777777" w:rsidTr="00864BD9">
        <w:trPr>
          <w:trHeight w:val="209"/>
        </w:trPr>
        <w:tc>
          <w:tcPr>
            <w:tcW w:w="1275" w:type="dxa"/>
          </w:tcPr>
          <w:p w14:paraId="7E1F09E8"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 xml:space="preserve">Degree of freedom </w:t>
            </w:r>
          </w:p>
        </w:tc>
        <w:tc>
          <w:tcPr>
            <w:tcW w:w="2127" w:type="dxa"/>
          </w:tcPr>
          <w:p w14:paraId="07CBF3C2"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c>
          <w:tcPr>
            <w:tcW w:w="2126" w:type="dxa"/>
          </w:tcPr>
          <w:p w14:paraId="3653114D"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c>
          <w:tcPr>
            <w:tcW w:w="992" w:type="dxa"/>
          </w:tcPr>
          <w:p w14:paraId="2BCB76D0"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28</w:t>
            </w:r>
          </w:p>
        </w:tc>
        <w:tc>
          <w:tcPr>
            <w:tcW w:w="1418" w:type="dxa"/>
          </w:tcPr>
          <w:p w14:paraId="3799DA1C"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r>
      <w:tr w:rsidR="00F51417" w:rsidRPr="00D53E24" w14:paraId="3DA4F265" w14:textId="77777777" w:rsidTr="00864BD9">
        <w:trPr>
          <w:trHeight w:val="46"/>
        </w:trPr>
        <w:tc>
          <w:tcPr>
            <w:tcW w:w="1275" w:type="dxa"/>
          </w:tcPr>
          <w:p w14:paraId="5D48D94D"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 xml:space="preserve">Level of significance </w:t>
            </w:r>
          </w:p>
        </w:tc>
        <w:tc>
          <w:tcPr>
            <w:tcW w:w="2127" w:type="dxa"/>
          </w:tcPr>
          <w:p w14:paraId="4EC54B78"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c>
          <w:tcPr>
            <w:tcW w:w="2126" w:type="dxa"/>
          </w:tcPr>
          <w:p w14:paraId="01ED1509"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c>
          <w:tcPr>
            <w:tcW w:w="992" w:type="dxa"/>
          </w:tcPr>
          <w:p w14:paraId="7F4CB6F5"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0.000</w:t>
            </w:r>
          </w:p>
        </w:tc>
        <w:tc>
          <w:tcPr>
            <w:tcW w:w="1418" w:type="dxa"/>
          </w:tcPr>
          <w:p w14:paraId="3D13DA28"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r>
      <w:tr w:rsidR="00F51417" w:rsidRPr="00D53E24" w14:paraId="0A155A61" w14:textId="77777777" w:rsidTr="00864BD9">
        <w:trPr>
          <w:trHeight w:val="245"/>
        </w:trPr>
        <w:tc>
          <w:tcPr>
            <w:tcW w:w="1275" w:type="dxa"/>
          </w:tcPr>
          <w:p w14:paraId="7BF3D991"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RMESA</w:t>
            </w:r>
          </w:p>
        </w:tc>
        <w:tc>
          <w:tcPr>
            <w:tcW w:w="2127" w:type="dxa"/>
          </w:tcPr>
          <w:p w14:paraId="54EE7773"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Root mean square error of approximation</w:t>
            </w:r>
          </w:p>
        </w:tc>
        <w:tc>
          <w:tcPr>
            <w:tcW w:w="2126" w:type="dxa"/>
          </w:tcPr>
          <w:p w14:paraId="5B6966A5" w14:textId="06A05480" w:rsidR="00F51417" w:rsidRPr="00D53E24" w:rsidRDefault="00F51417" w:rsidP="00D53E24">
            <w:pPr>
              <w:spacing w:after="0" w:line="240" w:lineRule="auto"/>
              <w:jc w:val="both"/>
              <w:rPr>
                <w:rFonts w:asciiTheme="majorBidi" w:hAnsiTheme="majorBidi" w:cstheme="majorBidi"/>
                <w:color w:val="000000" w:themeColor="text1"/>
                <w:sz w:val="20"/>
                <w:szCs w:val="20"/>
              </w:rPr>
            </w:pPr>
            <w:r w:rsidRPr="00D53E24">
              <w:rPr>
                <w:rFonts w:asciiTheme="majorBidi" w:hAnsiTheme="majorBidi" w:cstheme="majorBidi"/>
                <w:sz w:val="20"/>
                <w:szCs w:val="20"/>
              </w:rPr>
              <w:t>&lt;0.05</w:t>
            </w:r>
            <w:r w:rsidR="00D53E24">
              <w:rPr>
                <w:rFonts w:asciiTheme="majorBidi" w:hAnsiTheme="majorBidi" w:cstheme="majorBidi"/>
                <w:sz w:val="20"/>
                <w:szCs w:val="20"/>
              </w:rPr>
              <w:t xml:space="preserve"> </w:t>
            </w:r>
            <w:r w:rsidRPr="00D53E24">
              <w:rPr>
                <w:rFonts w:asciiTheme="majorBidi" w:hAnsiTheme="majorBidi" w:cstheme="majorBidi"/>
                <w:sz w:val="20"/>
                <w:szCs w:val="20"/>
              </w:rPr>
              <w:t>good fit</w:t>
            </w:r>
            <w:r w:rsidRPr="00D53E24">
              <w:rPr>
                <w:rFonts w:asciiTheme="majorBidi" w:hAnsiTheme="majorBidi" w:cstheme="majorBidi"/>
                <w:sz w:val="20"/>
                <w:szCs w:val="20"/>
              </w:rPr>
              <w:br/>
              <w:t>&lt;0.08 acceptable fit</w:t>
            </w:r>
          </w:p>
        </w:tc>
        <w:tc>
          <w:tcPr>
            <w:tcW w:w="992" w:type="dxa"/>
          </w:tcPr>
          <w:p w14:paraId="7593A90C"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0.042</w:t>
            </w:r>
          </w:p>
        </w:tc>
        <w:tc>
          <w:tcPr>
            <w:tcW w:w="1418" w:type="dxa"/>
          </w:tcPr>
          <w:p w14:paraId="3CC91AC9" w14:textId="4E75EA4A"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Good fit</w:t>
            </w:r>
          </w:p>
        </w:tc>
      </w:tr>
      <w:tr w:rsidR="00F51417" w:rsidRPr="00D53E24" w14:paraId="208065F4" w14:textId="77777777" w:rsidTr="00864BD9">
        <w:trPr>
          <w:trHeight w:val="245"/>
        </w:trPr>
        <w:tc>
          <w:tcPr>
            <w:tcW w:w="1275" w:type="dxa"/>
          </w:tcPr>
          <w:p w14:paraId="7038E80B"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NFI</w:t>
            </w:r>
          </w:p>
        </w:tc>
        <w:tc>
          <w:tcPr>
            <w:tcW w:w="2127" w:type="dxa"/>
          </w:tcPr>
          <w:p w14:paraId="522ADFA9"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Normed fit index</w:t>
            </w:r>
          </w:p>
        </w:tc>
        <w:tc>
          <w:tcPr>
            <w:tcW w:w="2126" w:type="dxa"/>
          </w:tcPr>
          <w:p w14:paraId="51D3455D"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&gt;0.90</w:t>
            </w:r>
          </w:p>
        </w:tc>
        <w:tc>
          <w:tcPr>
            <w:tcW w:w="992" w:type="dxa"/>
          </w:tcPr>
          <w:p w14:paraId="3118DB00"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0.948</w:t>
            </w:r>
          </w:p>
        </w:tc>
        <w:tc>
          <w:tcPr>
            <w:tcW w:w="1418" w:type="dxa"/>
          </w:tcPr>
          <w:p w14:paraId="21965D27" w14:textId="41FC1069"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Good fit</w:t>
            </w:r>
          </w:p>
        </w:tc>
      </w:tr>
      <w:tr w:rsidR="00F51417" w:rsidRPr="00D53E24" w14:paraId="10DA29EF" w14:textId="77777777" w:rsidTr="00864BD9">
        <w:trPr>
          <w:trHeight w:val="245"/>
        </w:trPr>
        <w:tc>
          <w:tcPr>
            <w:tcW w:w="1275" w:type="dxa"/>
          </w:tcPr>
          <w:p w14:paraId="78D411BC"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RFI</w:t>
            </w:r>
          </w:p>
        </w:tc>
        <w:tc>
          <w:tcPr>
            <w:tcW w:w="2127" w:type="dxa"/>
          </w:tcPr>
          <w:p w14:paraId="7AB9602A"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c>
          <w:tcPr>
            <w:tcW w:w="2126" w:type="dxa"/>
          </w:tcPr>
          <w:p w14:paraId="34AB29AA"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&gt;0.90</w:t>
            </w:r>
          </w:p>
        </w:tc>
        <w:tc>
          <w:tcPr>
            <w:tcW w:w="992" w:type="dxa"/>
          </w:tcPr>
          <w:p w14:paraId="256A22B8"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0.941</w:t>
            </w:r>
          </w:p>
        </w:tc>
        <w:tc>
          <w:tcPr>
            <w:tcW w:w="1418" w:type="dxa"/>
          </w:tcPr>
          <w:p w14:paraId="73C2BD04" w14:textId="07AADA66"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Good fit</w:t>
            </w:r>
          </w:p>
        </w:tc>
      </w:tr>
      <w:tr w:rsidR="00F51417" w:rsidRPr="00D53E24" w14:paraId="483A9A96" w14:textId="77777777" w:rsidTr="00864BD9">
        <w:trPr>
          <w:trHeight w:val="245"/>
        </w:trPr>
        <w:tc>
          <w:tcPr>
            <w:tcW w:w="1275" w:type="dxa"/>
          </w:tcPr>
          <w:p w14:paraId="1C876375"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IFI</w:t>
            </w:r>
          </w:p>
        </w:tc>
        <w:tc>
          <w:tcPr>
            <w:tcW w:w="2127" w:type="dxa"/>
          </w:tcPr>
          <w:p w14:paraId="10FF4ABC"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c>
          <w:tcPr>
            <w:tcW w:w="2126" w:type="dxa"/>
          </w:tcPr>
          <w:p w14:paraId="2CE2CFDC"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&gt;0.90</w:t>
            </w:r>
          </w:p>
        </w:tc>
        <w:tc>
          <w:tcPr>
            <w:tcW w:w="992" w:type="dxa"/>
          </w:tcPr>
          <w:p w14:paraId="144D024B"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0.950</w:t>
            </w:r>
          </w:p>
        </w:tc>
        <w:tc>
          <w:tcPr>
            <w:tcW w:w="1418" w:type="dxa"/>
          </w:tcPr>
          <w:p w14:paraId="695DA2C7" w14:textId="0F0E8941"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Good fit</w:t>
            </w:r>
          </w:p>
        </w:tc>
      </w:tr>
      <w:tr w:rsidR="00F51417" w:rsidRPr="00D53E24" w14:paraId="4F50ABBB" w14:textId="77777777" w:rsidTr="00864BD9">
        <w:trPr>
          <w:trHeight w:val="240"/>
        </w:trPr>
        <w:tc>
          <w:tcPr>
            <w:tcW w:w="1275" w:type="dxa"/>
          </w:tcPr>
          <w:p w14:paraId="0B4954B9"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TLI</w:t>
            </w:r>
          </w:p>
        </w:tc>
        <w:tc>
          <w:tcPr>
            <w:tcW w:w="2127" w:type="dxa"/>
          </w:tcPr>
          <w:p w14:paraId="1743E3B9"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Tucker-Lewis index</w:t>
            </w:r>
          </w:p>
        </w:tc>
        <w:tc>
          <w:tcPr>
            <w:tcW w:w="2126" w:type="dxa"/>
          </w:tcPr>
          <w:p w14:paraId="2283F19F"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&gt;0.90</w:t>
            </w:r>
          </w:p>
        </w:tc>
        <w:tc>
          <w:tcPr>
            <w:tcW w:w="992" w:type="dxa"/>
          </w:tcPr>
          <w:p w14:paraId="3AD92A31"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0.941</w:t>
            </w:r>
          </w:p>
        </w:tc>
        <w:tc>
          <w:tcPr>
            <w:tcW w:w="1418" w:type="dxa"/>
          </w:tcPr>
          <w:p w14:paraId="383473F1" w14:textId="4A5E765B"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Good fit</w:t>
            </w:r>
          </w:p>
        </w:tc>
      </w:tr>
      <w:tr w:rsidR="00F51417" w:rsidRPr="00D53E24" w14:paraId="56726371" w14:textId="77777777" w:rsidTr="00864BD9">
        <w:trPr>
          <w:trHeight w:val="179"/>
        </w:trPr>
        <w:tc>
          <w:tcPr>
            <w:tcW w:w="1275" w:type="dxa"/>
          </w:tcPr>
          <w:p w14:paraId="64D91433"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CFI</w:t>
            </w:r>
          </w:p>
        </w:tc>
        <w:tc>
          <w:tcPr>
            <w:tcW w:w="2127" w:type="dxa"/>
          </w:tcPr>
          <w:p w14:paraId="76E8DE9C"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Comparative fit index</w:t>
            </w:r>
          </w:p>
        </w:tc>
        <w:tc>
          <w:tcPr>
            <w:tcW w:w="2126" w:type="dxa"/>
          </w:tcPr>
          <w:p w14:paraId="5EB11110"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sz w:val="20"/>
                <w:szCs w:val="20"/>
              </w:rPr>
              <w:t>&gt;0.90</w:t>
            </w:r>
          </w:p>
        </w:tc>
        <w:tc>
          <w:tcPr>
            <w:tcW w:w="992" w:type="dxa"/>
          </w:tcPr>
          <w:p w14:paraId="49E87F88"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0.946</w:t>
            </w:r>
          </w:p>
        </w:tc>
        <w:tc>
          <w:tcPr>
            <w:tcW w:w="1418" w:type="dxa"/>
          </w:tcPr>
          <w:p w14:paraId="777173BF" w14:textId="6B1543FD"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Good fit</w:t>
            </w:r>
          </w:p>
        </w:tc>
      </w:tr>
      <w:tr w:rsidR="00F51417" w:rsidRPr="00D53E24" w14:paraId="47D1393A" w14:textId="77777777" w:rsidTr="00864BD9">
        <w:trPr>
          <w:trHeight w:val="245"/>
        </w:trPr>
        <w:tc>
          <w:tcPr>
            <w:tcW w:w="1275" w:type="dxa"/>
          </w:tcPr>
          <w:p w14:paraId="7D5DC608"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R-square</w:t>
            </w:r>
          </w:p>
        </w:tc>
        <w:tc>
          <w:tcPr>
            <w:tcW w:w="2127" w:type="dxa"/>
          </w:tcPr>
          <w:p w14:paraId="118314E6"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c>
          <w:tcPr>
            <w:tcW w:w="2126" w:type="dxa"/>
          </w:tcPr>
          <w:p w14:paraId="6CC575EC"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p>
        </w:tc>
        <w:tc>
          <w:tcPr>
            <w:tcW w:w="992" w:type="dxa"/>
          </w:tcPr>
          <w:p w14:paraId="6E49CBAD" w14:textId="77777777" w:rsidR="00F51417" w:rsidRPr="00D53E24" w:rsidRDefault="00F51417" w:rsidP="00D53E24">
            <w:pPr>
              <w:spacing w:after="0" w:line="240" w:lineRule="auto"/>
              <w:jc w:val="lowKashida"/>
              <w:rPr>
                <w:rFonts w:asciiTheme="majorBidi" w:hAnsiTheme="majorBidi" w:cstheme="majorBidi"/>
                <w:color w:val="000000" w:themeColor="text1"/>
                <w:sz w:val="20"/>
                <w:szCs w:val="20"/>
              </w:rPr>
            </w:pPr>
            <w:r w:rsidRPr="00D53E24">
              <w:rPr>
                <w:rFonts w:asciiTheme="majorBidi" w:hAnsiTheme="majorBidi" w:cstheme="majorBidi"/>
                <w:color w:val="000000" w:themeColor="text1"/>
                <w:sz w:val="20"/>
                <w:szCs w:val="20"/>
              </w:rPr>
              <w:t>51%</w:t>
            </w:r>
          </w:p>
        </w:tc>
        <w:tc>
          <w:tcPr>
            <w:tcW w:w="1418" w:type="dxa"/>
          </w:tcPr>
          <w:p w14:paraId="2017B040" w14:textId="77777777" w:rsidR="00F51417" w:rsidRPr="00D53E24" w:rsidRDefault="00F51417" w:rsidP="00D53E24">
            <w:pPr>
              <w:keepNext/>
              <w:spacing w:after="0" w:line="240" w:lineRule="auto"/>
              <w:jc w:val="lowKashida"/>
              <w:rPr>
                <w:rFonts w:asciiTheme="majorBidi" w:hAnsiTheme="majorBidi" w:cstheme="majorBidi"/>
                <w:color w:val="000000" w:themeColor="text1"/>
                <w:sz w:val="20"/>
                <w:szCs w:val="20"/>
              </w:rPr>
            </w:pPr>
          </w:p>
        </w:tc>
      </w:tr>
    </w:tbl>
    <w:p w14:paraId="463023C8" w14:textId="11EDB833" w:rsidR="00F51417" w:rsidRDefault="00D238AF" w:rsidP="00D238AF">
      <w:pPr>
        <w:pStyle w:val="Caption"/>
        <w:rPr>
          <w:rFonts w:asciiTheme="majorBidi" w:hAnsiTheme="majorBidi" w:cstheme="majorBidi"/>
          <w:sz w:val="24"/>
          <w:szCs w:val="24"/>
        </w:rPr>
      </w:pPr>
      <w:r>
        <w:t xml:space="preserve">Table </w:t>
      </w:r>
      <w:r w:rsidR="00864BD9">
        <w:t>4</w:t>
      </w:r>
      <w:r w:rsidR="00CB0370">
        <w:t>1</w:t>
      </w:r>
      <w:r>
        <w:t xml:space="preserve"> The goodness of the model with </w:t>
      </w:r>
      <w:r w:rsidRPr="00D238AF">
        <w:t>fit Indices for the estimated SEM</w:t>
      </w:r>
    </w:p>
    <w:p w14:paraId="708B2CF3" w14:textId="3CD81825" w:rsidR="00D65FF6" w:rsidRPr="001C1BDF" w:rsidRDefault="00D65FF6" w:rsidP="00D65FF6">
      <w:pPr>
        <w:pStyle w:val="CommentText"/>
        <w:spacing w:after="0" w:line="480" w:lineRule="auto"/>
        <w:jc w:val="both"/>
        <w:rPr>
          <w:rFonts w:asciiTheme="majorBidi" w:hAnsiTheme="majorBidi" w:cstheme="majorBidi"/>
          <w:sz w:val="24"/>
          <w:szCs w:val="24"/>
        </w:rPr>
      </w:pPr>
      <w:r>
        <w:rPr>
          <w:rFonts w:asciiTheme="majorBidi" w:hAnsiTheme="majorBidi"/>
          <w:b/>
          <w:bCs/>
          <w:sz w:val="24"/>
          <w:szCs w:val="24"/>
        </w:rPr>
        <w:t>6.1</w:t>
      </w:r>
      <w:r w:rsidR="00DB6CAA">
        <w:rPr>
          <w:rFonts w:asciiTheme="majorBidi" w:hAnsiTheme="majorBidi"/>
          <w:b/>
          <w:bCs/>
          <w:sz w:val="24"/>
          <w:szCs w:val="24"/>
        </w:rPr>
        <w:t>2</w:t>
      </w:r>
      <w:r>
        <w:rPr>
          <w:rFonts w:asciiTheme="majorBidi" w:hAnsiTheme="majorBidi"/>
          <w:b/>
          <w:bCs/>
          <w:sz w:val="24"/>
          <w:szCs w:val="24"/>
        </w:rPr>
        <w:t xml:space="preserve"> </w:t>
      </w:r>
      <w:r w:rsidRPr="009875FB">
        <w:rPr>
          <w:rFonts w:asciiTheme="majorBidi" w:hAnsiTheme="majorBidi"/>
          <w:b/>
          <w:bCs/>
          <w:sz w:val="24"/>
          <w:szCs w:val="24"/>
        </w:rPr>
        <w:t>Testing the moderation effects of CSR perception</w:t>
      </w:r>
    </w:p>
    <w:p w14:paraId="40264A29" w14:textId="0CE26BFB" w:rsidR="00D65FF6" w:rsidRPr="008D392E" w:rsidRDefault="00D65FF6" w:rsidP="00D238AF">
      <w:pPr>
        <w:pStyle w:val="CommentText"/>
        <w:spacing w:after="0" w:line="480" w:lineRule="auto"/>
        <w:jc w:val="both"/>
        <w:rPr>
          <w:rFonts w:asciiTheme="majorBidi" w:hAnsiTheme="majorBidi" w:cstheme="majorBidi"/>
          <w:sz w:val="24"/>
          <w:szCs w:val="24"/>
        </w:rPr>
      </w:pPr>
      <w:r>
        <w:rPr>
          <w:rFonts w:asciiTheme="majorBidi" w:hAnsiTheme="majorBidi" w:cstheme="majorBidi"/>
          <w:sz w:val="24"/>
          <w:szCs w:val="24"/>
        </w:rPr>
        <w:tab/>
      </w:r>
      <w:bookmarkStart w:id="182" w:name="_Hlk149846034"/>
      <w:r w:rsidRPr="008D75D3">
        <w:rPr>
          <w:rFonts w:asciiTheme="majorBidi" w:hAnsiTheme="majorBidi" w:cstheme="majorBidi"/>
          <w:sz w:val="24"/>
          <w:szCs w:val="24"/>
        </w:rPr>
        <w:t xml:space="preserve">To test the </w:t>
      </w:r>
      <w:r>
        <w:rPr>
          <w:rFonts w:asciiTheme="majorBidi" w:hAnsiTheme="majorBidi" w:cstheme="majorBidi"/>
          <w:sz w:val="24"/>
          <w:szCs w:val="24"/>
        </w:rPr>
        <w:t>moderating</w:t>
      </w:r>
      <w:r w:rsidRPr="008D75D3">
        <w:rPr>
          <w:rFonts w:asciiTheme="majorBidi" w:hAnsiTheme="majorBidi" w:cstheme="majorBidi"/>
          <w:sz w:val="24"/>
          <w:szCs w:val="24"/>
        </w:rPr>
        <w:t xml:space="preserve"> effect of the CSR perception of different paths</w:t>
      </w:r>
      <w:r>
        <w:rPr>
          <w:rFonts w:asciiTheme="majorBidi" w:hAnsiTheme="majorBidi" w:cstheme="majorBidi"/>
          <w:sz w:val="24"/>
          <w:szCs w:val="24"/>
        </w:rPr>
        <w:t>,</w:t>
      </w:r>
      <w:r w:rsidRPr="008D75D3">
        <w:rPr>
          <w:rFonts w:asciiTheme="majorBidi" w:hAnsiTheme="majorBidi" w:cstheme="majorBidi"/>
          <w:sz w:val="24"/>
          <w:szCs w:val="24"/>
        </w:rPr>
        <w:t xml:space="preserve"> </w:t>
      </w:r>
      <w:bookmarkEnd w:id="182"/>
      <w:r w:rsidRPr="008D75D3">
        <w:rPr>
          <w:rFonts w:asciiTheme="majorBidi" w:hAnsiTheme="majorBidi" w:cstheme="majorBidi"/>
          <w:sz w:val="24"/>
          <w:szCs w:val="24"/>
        </w:rPr>
        <w:t xml:space="preserve">a multigroup analysis is used. </w:t>
      </w:r>
      <w:r w:rsidRPr="00864BD9">
        <w:rPr>
          <w:rFonts w:asciiTheme="majorBidi" w:hAnsiTheme="majorBidi" w:cstheme="majorBidi"/>
          <w:sz w:val="24"/>
          <w:szCs w:val="24"/>
        </w:rPr>
        <w:t xml:space="preserve">Multi-group analysis in structural equation </w:t>
      </w:r>
      <w:r w:rsidR="008D392E" w:rsidRPr="00864BD9">
        <w:rPr>
          <w:rFonts w:asciiTheme="majorBidi" w:hAnsiTheme="majorBidi" w:cstheme="majorBidi"/>
          <w:sz w:val="24"/>
          <w:szCs w:val="24"/>
        </w:rPr>
        <w:t>modelling</w:t>
      </w:r>
      <w:r w:rsidRPr="00864BD9">
        <w:rPr>
          <w:rFonts w:asciiTheme="majorBidi" w:hAnsiTheme="majorBidi" w:cstheme="majorBidi"/>
          <w:sz w:val="24"/>
          <w:szCs w:val="24"/>
        </w:rPr>
        <w:t xml:space="preserve"> (SEM) is another form of moderation analysis</w:t>
      </w:r>
      <w:r w:rsidRPr="008D75D3">
        <w:rPr>
          <w:rFonts w:asciiTheme="majorBidi" w:hAnsiTheme="majorBidi" w:cstheme="majorBidi"/>
          <w:sz w:val="24"/>
          <w:szCs w:val="24"/>
        </w:rPr>
        <w:t xml:space="preserve"> </w:t>
      </w:r>
      <w:r>
        <w:rPr>
          <w:rFonts w:asciiTheme="majorBidi" w:hAnsiTheme="majorBidi" w:cstheme="majorBidi"/>
          <w:sz w:val="24"/>
          <w:szCs w:val="24"/>
        </w:rPr>
        <w:t>that uses</w:t>
      </w:r>
      <w:r w:rsidRPr="008D75D3">
        <w:rPr>
          <w:rFonts w:asciiTheme="majorBidi" w:hAnsiTheme="majorBidi" w:cstheme="majorBidi"/>
          <w:sz w:val="24"/>
          <w:szCs w:val="24"/>
        </w:rPr>
        <w:t xml:space="preserve"> </w:t>
      </w:r>
      <w:r>
        <w:rPr>
          <w:rFonts w:asciiTheme="majorBidi" w:hAnsiTheme="majorBidi" w:cstheme="majorBidi"/>
          <w:sz w:val="24"/>
          <w:szCs w:val="24"/>
        </w:rPr>
        <w:t>grouping</w:t>
      </w:r>
      <w:r w:rsidRPr="008D75D3">
        <w:rPr>
          <w:rFonts w:asciiTheme="majorBidi" w:hAnsiTheme="majorBidi" w:cstheme="majorBidi"/>
          <w:sz w:val="24"/>
          <w:szCs w:val="24"/>
        </w:rPr>
        <w:t xml:space="preserve"> variables or </w:t>
      </w:r>
      <w:r>
        <w:rPr>
          <w:rFonts w:asciiTheme="majorBidi" w:hAnsiTheme="majorBidi" w:cstheme="majorBidi"/>
          <w:sz w:val="24"/>
          <w:szCs w:val="24"/>
        </w:rPr>
        <w:t>categorial</w:t>
      </w:r>
      <w:r w:rsidRPr="008D75D3">
        <w:rPr>
          <w:rFonts w:asciiTheme="majorBidi" w:hAnsiTheme="majorBidi" w:cstheme="majorBidi"/>
          <w:sz w:val="24"/>
          <w:szCs w:val="24"/>
        </w:rPr>
        <w:t xml:space="preserve"> variables</w:t>
      </w:r>
      <w:sdt>
        <w:sdtPr>
          <w:rPr>
            <w:rFonts w:asciiTheme="majorBidi" w:hAnsiTheme="majorBidi" w:cstheme="majorBidi"/>
            <w:sz w:val="24"/>
            <w:szCs w:val="24"/>
          </w:rPr>
          <w:id w:val="45715273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Che23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(Cheah, Amaro, &amp; Roldán, 2023)</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8D75D3">
        <w:rPr>
          <w:rFonts w:asciiTheme="majorBidi" w:hAnsiTheme="majorBidi" w:cstheme="majorBidi"/>
          <w:sz w:val="24"/>
          <w:szCs w:val="24"/>
        </w:rPr>
        <w:t xml:space="preserve">This process is straightforward in AMOS as the grouping variable is already specified in the dataset. In cases where available data are continuous (e.g. </w:t>
      </w:r>
      <w:r>
        <w:rPr>
          <w:rFonts w:asciiTheme="majorBidi" w:hAnsiTheme="majorBidi" w:cstheme="majorBidi"/>
          <w:sz w:val="24"/>
          <w:szCs w:val="24"/>
        </w:rPr>
        <w:t>a</w:t>
      </w:r>
      <w:r w:rsidRPr="008D75D3">
        <w:rPr>
          <w:rFonts w:asciiTheme="majorBidi" w:hAnsiTheme="majorBidi" w:cstheme="majorBidi"/>
          <w:sz w:val="24"/>
          <w:szCs w:val="24"/>
        </w:rPr>
        <w:t xml:space="preserve">ge) or ordinal (e.g. </w:t>
      </w:r>
      <w:r>
        <w:rPr>
          <w:rFonts w:asciiTheme="majorBidi" w:hAnsiTheme="majorBidi" w:cstheme="majorBidi"/>
          <w:sz w:val="24"/>
          <w:szCs w:val="24"/>
        </w:rPr>
        <w:t>L</w:t>
      </w:r>
      <w:r w:rsidRPr="008D75D3">
        <w:rPr>
          <w:rFonts w:asciiTheme="majorBidi" w:hAnsiTheme="majorBidi" w:cstheme="majorBidi"/>
          <w:sz w:val="24"/>
          <w:szCs w:val="24"/>
        </w:rPr>
        <w:t xml:space="preserve">ikert scale responses), conducting </w:t>
      </w:r>
      <w:r>
        <w:rPr>
          <w:rFonts w:asciiTheme="majorBidi" w:hAnsiTheme="majorBidi" w:cstheme="majorBidi"/>
          <w:sz w:val="24"/>
          <w:szCs w:val="24"/>
        </w:rPr>
        <w:t>m</w:t>
      </w:r>
      <w:r w:rsidRPr="008D75D3">
        <w:rPr>
          <w:rFonts w:asciiTheme="majorBidi" w:hAnsiTheme="majorBidi" w:cstheme="majorBidi"/>
          <w:sz w:val="24"/>
          <w:szCs w:val="24"/>
        </w:rPr>
        <w:t xml:space="preserve">ulti-group analysis is also possible. However, </w:t>
      </w:r>
      <w:r>
        <w:rPr>
          <w:rFonts w:asciiTheme="majorBidi" w:hAnsiTheme="majorBidi" w:cstheme="majorBidi"/>
          <w:sz w:val="24"/>
          <w:szCs w:val="24"/>
        </w:rPr>
        <w:t>it is</w:t>
      </w:r>
      <w:r w:rsidRPr="008D75D3">
        <w:rPr>
          <w:rFonts w:asciiTheme="majorBidi" w:hAnsiTheme="majorBidi" w:cstheme="majorBidi"/>
          <w:sz w:val="24"/>
          <w:szCs w:val="24"/>
        </w:rPr>
        <w:t xml:space="preserve"> </w:t>
      </w:r>
      <w:r>
        <w:rPr>
          <w:rFonts w:asciiTheme="majorBidi" w:hAnsiTheme="majorBidi" w:cstheme="majorBidi"/>
          <w:sz w:val="24"/>
          <w:szCs w:val="24"/>
        </w:rPr>
        <w:t>required</w:t>
      </w:r>
      <w:r w:rsidRPr="008D75D3">
        <w:rPr>
          <w:rFonts w:asciiTheme="majorBidi" w:hAnsiTheme="majorBidi" w:cstheme="majorBidi"/>
          <w:sz w:val="24"/>
          <w:szCs w:val="24"/>
        </w:rPr>
        <w:t xml:space="preserve"> to</w:t>
      </w:r>
      <w:r>
        <w:rPr>
          <w:rFonts w:asciiTheme="majorBidi" w:hAnsiTheme="majorBidi" w:cstheme="majorBidi"/>
          <w:sz w:val="24"/>
          <w:szCs w:val="24"/>
        </w:rPr>
        <w:t xml:space="preserve"> first</w:t>
      </w:r>
      <w:r w:rsidRPr="008D75D3">
        <w:rPr>
          <w:rFonts w:asciiTheme="majorBidi" w:hAnsiTheme="majorBidi" w:cstheme="majorBidi"/>
          <w:sz w:val="24"/>
          <w:szCs w:val="24"/>
        </w:rPr>
        <w:t xml:space="preserve"> convert these variables into categorical ones</w:t>
      </w:r>
      <w:r>
        <w:rPr>
          <w:rFonts w:asciiTheme="majorBidi" w:hAnsiTheme="majorBidi" w:cstheme="majorBidi"/>
          <w:sz w:val="24"/>
          <w:szCs w:val="24"/>
        </w:rPr>
        <w:t xml:space="preserve"> </w:t>
      </w:r>
      <w:r w:rsidRPr="008D75D3">
        <w:rPr>
          <w:rFonts w:asciiTheme="majorBidi" w:hAnsiTheme="majorBidi" w:cstheme="majorBidi"/>
          <w:sz w:val="24"/>
          <w:szCs w:val="24"/>
        </w:rPr>
        <w:t xml:space="preserve">to be </w:t>
      </w:r>
      <w:r w:rsidR="00DB6CAA">
        <w:rPr>
          <w:rFonts w:asciiTheme="majorBidi" w:hAnsiTheme="majorBidi" w:cstheme="majorBidi"/>
          <w:sz w:val="24"/>
          <w:szCs w:val="24"/>
        </w:rPr>
        <w:t xml:space="preserve">able to </w:t>
      </w:r>
      <w:r w:rsidRPr="008D75D3">
        <w:rPr>
          <w:rFonts w:asciiTheme="majorBidi" w:hAnsiTheme="majorBidi" w:cstheme="majorBidi"/>
          <w:sz w:val="24"/>
          <w:szCs w:val="24"/>
        </w:rPr>
        <w:t>use in AMOS. This is done in SPSS. Accordingly, as CSR perception is</w:t>
      </w:r>
      <w:r>
        <w:rPr>
          <w:rFonts w:asciiTheme="majorBidi" w:hAnsiTheme="majorBidi" w:cstheme="majorBidi"/>
          <w:sz w:val="24"/>
          <w:szCs w:val="24"/>
        </w:rPr>
        <w:t xml:space="preserve"> a</w:t>
      </w:r>
      <w:r w:rsidRPr="008D75D3">
        <w:rPr>
          <w:rFonts w:asciiTheme="majorBidi" w:hAnsiTheme="majorBidi" w:cstheme="majorBidi"/>
          <w:sz w:val="24"/>
          <w:szCs w:val="24"/>
        </w:rPr>
        <w:t xml:space="preserve"> quantitative variable</w:t>
      </w:r>
      <w:r>
        <w:rPr>
          <w:rFonts w:asciiTheme="majorBidi" w:hAnsiTheme="majorBidi" w:cstheme="majorBidi"/>
          <w:sz w:val="24"/>
          <w:szCs w:val="24"/>
        </w:rPr>
        <w:t>,</w:t>
      </w:r>
      <w:r w:rsidRPr="008D75D3">
        <w:rPr>
          <w:rFonts w:asciiTheme="majorBidi" w:hAnsiTheme="majorBidi" w:cstheme="majorBidi"/>
          <w:sz w:val="24"/>
          <w:szCs w:val="24"/>
        </w:rPr>
        <w:t xml:space="preserve"> so </w:t>
      </w:r>
      <w:r>
        <w:rPr>
          <w:rFonts w:asciiTheme="majorBidi" w:hAnsiTheme="majorBidi" w:cstheme="majorBidi"/>
          <w:sz w:val="24"/>
          <w:szCs w:val="24"/>
        </w:rPr>
        <w:t>I</w:t>
      </w:r>
      <w:r w:rsidRPr="008D75D3">
        <w:rPr>
          <w:rFonts w:asciiTheme="majorBidi" w:hAnsiTheme="majorBidi" w:cstheme="majorBidi"/>
          <w:sz w:val="24"/>
          <w:szCs w:val="24"/>
        </w:rPr>
        <w:t xml:space="preserve"> categori</w:t>
      </w:r>
      <w:r w:rsidR="00DB6CAA">
        <w:rPr>
          <w:rFonts w:asciiTheme="majorBidi" w:hAnsiTheme="majorBidi" w:cstheme="majorBidi"/>
          <w:sz w:val="24"/>
          <w:szCs w:val="24"/>
        </w:rPr>
        <w:t>s</w:t>
      </w:r>
      <w:r w:rsidRPr="008D75D3">
        <w:rPr>
          <w:rFonts w:asciiTheme="majorBidi" w:hAnsiTheme="majorBidi" w:cstheme="majorBidi"/>
          <w:sz w:val="24"/>
          <w:szCs w:val="24"/>
        </w:rPr>
        <w:t xml:space="preserve">ed it into </w:t>
      </w:r>
      <w:r w:rsidR="000613FC">
        <w:rPr>
          <w:rFonts w:asciiTheme="majorBidi" w:hAnsiTheme="majorBidi" w:cstheme="majorBidi"/>
          <w:sz w:val="24"/>
          <w:szCs w:val="24"/>
        </w:rPr>
        <w:t>two</w:t>
      </w:r>
      <w:r w:rsidRPr="008D75D3">
        <w:rPr>
          <w:rFonts w:asciiTheme="majorBidi" w:hAnsiTheme="majorBidi" w:cstheme="majorBidi"/>
          <w:sz w:val="24"/>
          <w:szCs w:val="24"/>
        </w:rPr>
        <w:t xml:space="preserve"> categories using </w:t>
      </w:r>
      <w:r>
        <w:rPr>
          <w:rFonts w:asciiTheme="majorBidi" w:hAnsiTheme="majorBidi" w:cstheme="majorBidi"/>
          <w:sz w:val="24"/>
          <w:szCs w:val="24"/>
        </w:rPr>
        <w:t xml:space="preserve">the </w:t>
      </w:r>
      <w:r w:rsidRPr="008D75D3">
        <w:rPr>
          <w:rFonts w:asciiTheme="majorBidi" w:hAnsiTheme="majorBidi" w:cstheme="majorBidi"/>
          <w:sz w:val="24"/>
          <w:szCs w:val="24"/>
        </w:rPr>
        <w:t>median</w:t>
      </w:r>
      <w:r>
        <w:rPr>
          <w:rFonts w:asciiTheme="majorBidi" w:hAnsiTheme="majorBidi" w:cstheme="majorBidi"/>
          <w:sz w:val="24"/>
          <w:szCs w:val="24"/>
        </w:rPr>
        <w:t>. I</w:t>
      </w:r>
      <w:r w:rsidRPr="008D75D3">
        <w:rPr>
          <w:rFonts w:asciiTheme="majorBidi" w:hAnsiTheme="majorBidi" w:cstheme="majorBidi"/>
          <w:sz w:val="24"/>
          <w:szCs w:val="24"/>
        </w:rPr>
        <w:t xml:space="preserve">t </w:t>
      </w:r>
      <w:r>
        <w:rPr>
          <w:rFonts w:asciiTheme="majorBidi" w:hAnsiTheme="majorBidi" w:cstheme="majorBidi"/>
          <w:sz w:val="24"/>
          <w:szCs w:val="24"/>
        </w:rPr>
        <w:t xml:space="preserve">was </w:t>
      </w:r>
      <w:r w:rsidRPr="008D75D3">
        <w:rPr>
          <w:rFonts w:asciiTheme="majorBidi" w:hAnsiTheme="majorBidi" w:cstheme="majorBidi"/>
          <w:sz w:val="24"/>
          <w:szCs w:val="24"/>
        </w:rPr>
        <w:t xml:space="preserve">found that around 55% of the sample </w:t>
      </w:r>
      <w:r>
        <w:rPr>
          <w:rFonts w:asciiTheme="majorBidi" w:hAnsiTheme="majorBidi" w:cstheme="majorBidi"/>
          <w:sz w:val="24"/>
          <w:szCs w:val="24"/>
        </w:rPr>
        <w:t xml:space="preserve">had </w:t>
      </w:r>
      <w:r w:rsidRPr="008D75D3">
        <w:rPr>
          <w:rFonts w:asciiTheme="majorBidi" w:hAnsiTheme="majorBidi" w:cstheme="majorBidi"/>
          <w:sz w:val="24"/>
          <w:szCs w:val="24"/>
        </w:rPr>
        <w:t>low perception</w:t>
      </w:r>
      <w:r>
        <w:rPr>
          <w:rFonts w:asciiTheme="majorBidi" w:hAnsiTheme="majorBidi" w:cstheme="majorBidi"/>
          <w:sz w:val="24"/>
          <w:szCs w:val="24"/>
        </w:rPr>
        <w:t xml:space="preserve"> </w:t>
      </w:r>
      <w:r w:rsidRPr="008D75D3">
        <w:rPr>
          <w:rFonts w:asciiTheme="majorBidi" w:hAnsiTheme="majorBidi" w:cstheme="majorBidi"/>
          <w:sz w:val="24"/>
          <w:szCs w:val="24"/>
        </w:rPr>
        <w:t xml:space="preserve">while 45% </w:t>
      </w:r>
      <w:r>
        <w:rPr>
          <w:rFonts w:asciiTheme="majorBidi" w:hAnsiTheme="majorBidi" w:cstheme="majorBidi"/>
          <w:sz w:val="24"/>
          <w:szCs w:val="24"/>
        </w:rPr>
        <w:t>had</w:t>
      </w:r>
      <w:r w:rsidRPr="008D75D3">
        <w:rPr>
          <w:rFonts w:asciiTheme="majorBidi" w:hAnsiTheme="majorBidi" w:cstheme="majorBidi"/>
          <w:sz w:val="24"/>
          <w:szCs w:val="24"/>
        </w:rPr>
        <w:t xml:space="preserve"> high </w:t>
      </w:r>
      <w:r>
        <w:rPr>
          <w:rFonts w:asciiTheme="majorBidi" w:hAnsiTheme="majorBidi" w:cstheme="majorBidi"/>
          <w:sz w:val="24"/>
          <w:szCs w:val="24"/>
        </w:rPr>
        <w:t>perception of CSR</w:t>
      </w:r>
      <w:r w:rsidRPr="008D75D3">
        <w:rPr>
          <w:rFonts w:asciiTheme="majorBidi" w:hAnsiTheme="majorBidi" w:cstheme="majorBidi"/>
          <w:sz w:val="24"/>
          <w:szCs w:val="24"/>
        </w:rPr>
        <w:t>.</w:t>
      </w:r>
    </w:p>
    <w:tbl>
      <w:tblPr>
        <w:tblW w:w="679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2684"/>
        <w:gridCol w:w="2105"/>
      </w:tblGrid>
      <w:tr w:rsidR="00D65FF6" w:rsidRPr="00D53E24" w14:paraId="0E5CF7FF" w14:textId="77777777" w:rsidTr="00FD1819">
        <w:trPr>
          <w:trHeight w:val="46"/>
        </w:trPr>
        <w:tc>
          <w:tcPr>
            <w:tcW w:w="2005" w:type="dxa"/>
            <w:shd w:val="clear" w:color="000000" w:fill="FFFFFF"/>
            <w:vAlign w:val="center"/>
            <w:hideMark/>
          </w:tcPr>
          <w:p w14:paraId="17F7E3F5"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2684" w:type="dxa"/>
            <w:shd w:val="clear" w:color="000000" w:fill="FFFFFF"/>
            <w:vAlign w:val="center"/>
            <w:hideMark/>
          </w:tcPr>
          <w:p w14:paraId="1BF0F869"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Frequency</w:t>
            </w:r>
          </w:p>
        </w:tc>
        <w:tc>
          <w:tcPr>
            <w:tcW w:w="2105" w:type="dxa"/>
            <w:shd w:val="clear" w:color="000000" w:fill="FFFFFF"/>
            <w:vAlign w:val="center"/>
            <w:hideMark/>
          </w:tcPr>
          <w:p w14:paraId="067695C9" w14:textId="77777777" w:rsidR="00D65FF6" w:rsidRPr="00D53E24" w:rsidRDefault="00D65FF6" w:rsidP="008D0DBB">
            <w:pPr>
              <w:spacing w:after="0" w:line="240" w:lineRule="auto"/>
              <w:jc w:val="center"/>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Percent</w:t>
            </w:r>
          </w:p>
        </w:tc>
      </w:tr>
      <w:tr w:rsidR="00D65FF6" w:rsidRPr="00D53E24" w14:paraId="6541AC85" w14:textId="77777777" w:rsidTr="00FD1819">
        <w:trPr>
          <w:trHeight w:val="219"/>
        </w:trPr>
        <w:tc>
          <w:tcPr>
            <w:tcW w:w="2005" w:type="dxa"/>
            <w:shd w:val="clear" w:color="000000" w:fill="FFFFFF"/>
            <w:vAlign w:val="center"/>
            <w:hideMark/>
          </w:tcPr>
          <w:p w14:paraId="1FA2990D"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Low Perception</w:t>
            </w:r>
          </w:p>
        </w:tc>
        <w:tc>
          <w:tcPr>
            <w:tcW w:w="2684" w:type="dxa"/>
            <w:shd w:val="clear" w:color="000000" w:fill="FFFFFF"/>
            <w:vAlign w:val="center"/>
            <w:hideMark/>
          </w:tcPr>
          <w:p w14:paraId="3BD65007"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262</w:t>
            </w:r>
          </w:p>
        </w:tc>
        <w:tc>
          <w:tcPr>
            <w:tcW w:w="2105" w:type="dxa"/>
            <w:shd w:val="clear" w:color="000000" w:fill="FFFFFF"/>
            <w:vAlign w:val="center"/>
            <w:hideMark/>
          </w:tcPr>
          <w:p w14:paraId="27C90140"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55.3</w:t>
            </w:r>
          </w:p>
        </w:tc>
      </w:tr>
      <w:tr w:rsidR="00D65FF6" w:rsidRPr="00D53E24" w14:paraId="21DFEB2B" w14:textId="77777777" w:rsidTr="00FD1819">
        <w:trPr>
          <w:cantSplit/>
          <w:trHeight w:val="115"/>
        </w:trPr>
        <w:tc>
          <w:tcPr>
            <w:tcW w:w="2005" w:type="dxa"/>
            <w:shd w:val="clear" w:color="000000" w:fill="FFFFFF"/>
            <w:vAlign w:val="center"/>
            <w:hideMark/>
          </w:tcPr>
          <w:p w14:paraId="238453F8"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High perception</w:t>
            </w:r>
          </w:p>
        </w:tc>
        <w:tc>
          <w:tcPr>
            <w:tcW w:w="2684" w:type="dxa"/>
            <w:shd w:val="clear" w:color="000000" w:fill="FFFFFF"/>
            <w:vAlign w:val="center"/>
            <w:hideMark/>
          </w:tcPr>
          <w:p w14:paraId="269608EB"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212</w:t>
            </w:r>
          </w:p>
        </w:tc>
        <w:tc>
          <w:tcPr>
            <w:tcW w:w="2105" w:type="dxa"/>
            <w:shd w:val="clear" w:color="000000" w:fill="FFFFFF"/>
            <w:vAlign w:val="center"/>
            <w:hideMark/>
          </w:tcPr>
          <w:p w14:paraId="64E0DF35"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44.7</w:t>
            </w:r>
          </w:p>
        </w:tc>
      </w:tr>
      <w:tr w:rsidR="00D65FF6" w:rsidRPr="00D53E24" w14:paraId="6EBDA376" w14:textId="77777777" w:rsidTr="00FD1819">
        <w:trPr>
          <w:cantSplit/>
          <w:trHeight w:val="46"/>
        </w:trPr>
        <w:tc>
          <w:tcPr>
            <w:tcW w:w="2005" w:type="dxa"/>
            <w:shd w:val="clear" w:color="000000" w:fill="FFFFFF"/>
            <w:vAlign w:val="center"/>
            <w:hideMark/>
          </w:tcPr>
          <w:p w14:paraId="264D8E37" w14:textId="77777777" w:rsidR="00D65FF6" w:rsidRPr="00D53E24" w:rsidRDefault="00D65FF6" w:rsidP="008D0DBB">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Total</w:t>
            </w:r>
          </w:p>
        </w:tc>
        <w:tc>
          <w:tcPr>
            <w:tcW w:w="2684" w:type="dxa"/>
            <w:shd w:val="clear" w:color="000000" w:fill="FFFFFF"/>
            <w:vAlign w:val="center"/>
            <w:hideMark/>
          </w:tcPr>
          <w:p w14:paraId="0855934C" w14:textId="77777777" w:rsidR="00D65FF6" w:rsidRPr="00D53E24" w:rsidRDefault="00D65FF6" w:rsidP="008D0DBB">
            <w:pPr>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474</w:t>
            </w:r>
          </w:p>
        </w:tc>
        <w:tc>
          <w:tcPr>
            <w:tcW w:w="2105" w:type="dxa"/>
            <w:shd w:val="clear" w:color="000000" w:fill="FFFFFF"/>
            <w:vAlign w:val="center"/>
            <w:hideMark/>
          </w:tcPr>
          <w:p w14:paraId="560090BE" w14:textId="77777777" w:rsidR="00D65FF6" w:rsidRPr="00D53E24" w:rsidRDefault="00D65FF6" w:rsidP="00D238AF">
            <w:pPr>
              <w:keepNext/>
              <w:spacing w:after="0" w:line="240" w:lineRule="auto"/>
              <w:jc w:val="right"/>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100</w:t>
            </w:r>
          </w:p>
        </w:tc>
      </w:tr>
    </w:tbl>
    <w:p w14:paraId="7C34C8EB" w14:textId="5199F812" w:rsidR="00D65FF6" w:rsidRPr="008D75D3" w:rsidRDefault="00D238AF" w:rsidP="00D238AF">
      <w:pPr>
        <w:pStyle w:val="Caption"/>
        <w:rPr>
          <w:rFonts w:asciiTheme="majorBidi" w:hAnsiTheme="majorBidi" w:cstheme="majorBidi"/>
          <w:sz w:val="24"/>
          <w:szCs w:val="24"/>
        </w:rPr>
      </w:pPr>
      <w:r>
        <w:t>Table 4</w:t>
      </w:r>
      <w:r w:rsidR="00CB0370">
        <w:t>2</w:t>
      </w:r>
      <w:r>
        <w:t xml:space="preserve"> </w:t>
      </w:r>
      <w:r w:rsidR="00862109">
        <w:t>F</w:t>
      </w:r>
      <w:r>
        <w:t>requency of high and low perception of CSR</w:t>
      </w:r>
    </w:p>
    <w:p w14:paraId="59AD535B" w14:textId="0A465F56" w:rsidR="00D65FF6" w:rsidRPr="008D392E" w:rsidRDefault="00D65FF6" w:rsidP="00D238AF">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bookmarkStart w:id="183" w:name="_Hlk149846080"/>
      <w:r w:rsidRPr="002302CC">
        <w:rPr>
          <w:rFonts w:asciiTheme="majorBidi" w:hAnsiTheme="majorBidi" w:cstheme="majorBidi"/>
          <w:sz w:val="24"/>
          <w:szCs w:val="24"/>
        </w:rPr>
        <w:t xml:space="preserve">I applied a z-test to compute the difference between coefficients from </w:t>
      </w:r>
      <w:r>
        <w:rPr>
          <w:rFonts w:asciiTheme="majorBidi" w:hAnsiTheme="majorBidi" w:cstheme="majorBidi"/>
          <w:sz w:val="24"/>
          <w:szCs w:val="24"/>
        </w:rPr>
        <w:t>the first and the second model. Z-test is a hypothesis test to ensure that the results of the tests are repeatable and valid</w:t>
      </w:r>
      <w:sdt>
        <w:sdtPr>
          <w:rPr>
            <w:rFonts w:asciiTheme="majorBidi" w:hAnsiTheme="majorBidi" w:cstheme="majorBidi"/>
            <w:sz w:val="24"/>
            <w:szCs w:val="24"/>
          </w:rPr>
          <w:id w:val="-177554885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How22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(Howell,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2302CC">
        <w:rPr>
          <w:rFonts w:asciiTheme="majorBidi" w:hAnsiTheme="majorBidi" w:cstheme="majorBidi"/>
          <w:sz w:val="24"/>
          <w:szCs w:val="24"/>
        </w:rPr>
        <w:t>For a two-tailed test, this value must be greater than |1.96| (absolute value of 1.96) for the difference between paths to be statistically significant at p &lt; .05</w:t>
      </w:r>
      <w:r w:rsidR="000613FC">
        <w:rPr>
          <w:rFonts w:asciiTheme="majorBidi" w:hAnsiTheme="majorBidi" w:cstheme="majorBidi"/>
          <w:sz w:val="24"/>
          <w:szCs w:val="24"/>
        </w:rPr>
        <w:t>,</w:t>
      </w:r>
      <w:r w:rsidR="00FD1819">
        <w:rPr>
          <w:rFonts w:asciiTheme="majorBidi" w:hAnsiTheme="majorBidi" w:cstheme="majorBidi"/>
          <w:sz w:val="24"/>
          <w:szCs w:val="24"/>
        </w:rPr>
        <w:t xml:space="preserve"> </w:t>
      </w:r>
      <w:r w:rsidRPr="002302CC">
        <w:rPr>
          <w:rFonts w:asciiTheme="majorBidi" w:hAnsiTheme="majorBidi" w:cstheme="majorBidi"/>
          <w:sz w:val="24"/>
          <w:szCs w:val="24"/>
        </w:rPr>
        <w:t>as shown in the following table.</w:t>
      </w:r>
    </w:p>
    <w:tbl>
      <w:tblPr>
        <w:tblStyle w:val="TableGrid"/>
        <w:tblW w:w="0" w:type="auto"/>
        <w:tblInd w:w="988" w:type="dxa"/>
        <w:tblLook w:val="04A0" w:firstRow="1" w:lastRow="0" w:firstColumn="1" w:lastColumn="0" w:noHBand="0" w:noVBand="1"/>
      </w:tblPr>
      <w:tblGrid>
        <w:gridCol w:w="2976"/>
        <w:gridCol w:w="2127"/>
        <w:gridCol w:w="1843"/>
      </w:tblGrid>
      <w:tr w:rsidR="00DB6CAA" w:rsidRPr="00D53E24" w14:paraId="382B811A" w14:textId="77777777" w:rsidTr="00FD1819">
        <w:trPr>
          <w:trHeight w:val="221"/>
        </w:trPr>
        <w:tc>
          <w:tcPr>
            <w:tcW w:w="2976" w:type="dxa"/>
            <w:vAlign w:val="center"/>
          </w:tcPr>
          <w:p w14:paraId="69639EBA" w14:textId="341CC1B9" w:rsidR="00D65FF6" w:rsidRPr="00D53E24" w:rsidRDefault="00DB6CAA" w:rsidP="00D238AF">
            <w:pPr>
              <w:pStyle w:val="CommentText"/>
              <w:jc w:val="both"/>
              <w:rPr>
                <w:rFonts w:asciiTheme="majorBidi" w:hAnsiTheme="majorBidi" w:cstheme="majorBidi"/>
                <w:b/>
                <w:bCs/>
              </w:rPr>
            </w:pPr>
            <w:r w:rsidRPr="00D53E24">
              <w:rPr>
                <w:rFonts w:asciiTheme="majorBidi" w:eastAsia="Times New Roman" w:hAnsiTheme="majorBidi" w:cstheme="majorBidi"/>
              </w:rPr>
              <w:t>Z</w:t>
            </w:r>
            <w:r w:rsidR="00D65FF6" w:rsidRPr="00D53E24">
              <w:rPr>
                <w:rFonts w:asciiTheme="majorBidi" w:eastAsia="Times New Roman" w:hAnsiTheme="majorBidi" w:cstheme="majorBidi"/>
              </w:rPr>
              <w:t>-score (Standard Deviations)</w:t>
            </w:r>
          </w:p>
        </w:tc>
        <w:tc>
          <w:tcPr>
            <w:tcW w:w="2127" w:type="dxa"/>
            <w:vAlign w:val="center"/>
          </w:tcPr>
          <w:p w14:paraId="2DCD2927"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p-value (Probability)</w:t>
            </w:r>
          </w:p>
        </w:tc>
        <w:tc>
          <w:tcPr>
            <w:tcW w:w="1843" w:type="dxa"/>
            <w:vAlign w:val="center"/>
          </w:tcPr>
          <w:p w14:paraId="32B08001"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Confidence level</w:t>
            </w:r>
          </w:p>
        </w:tc>
      </w:tr>
      <w:tr w:rsidR="00DB6CAA" w:rsidRPr="00D53E24" w14:paraId="4C79DD73" w14:textId="77777777" w:rsidTr="00FD1819">
        <w:trPr>
          <w:trHeight w:val="46"/>
        </w:trPr>
        <w:tc>
          <w:tcPr>
            <w:tcW w:w="2976" w:type="dxa"/>
            <w:vAlign w:val="center"/>
          </w:tcPr>
          <w:p w14:paraId="78049B02"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&lt; -1.65 or &gt; +1.65</w:t>
            </w:r>
          </w:p>
        </w:tc>
        <w:tc>
          <w:tcPr>
            <w:tcW w:w="2127" w:type="dxa"/>
            <w:vAlign w:val="center"/>
          </w:tcPr>
          <w:p w14:paraId="63BB9063"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&lt; 0.10</w:t>
            </w:r>
          </w:p>
        </w:tc>
        <w:tc>
          <w:tcPr>
            <w:tcW w:w="1843" w:type="dxa"/>
            <w:vAlign w:val="center"/>
          </w:tcPr>
          <w:p w14:paraId="2D9F1F20"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90%</w:t>
            </w:r>
          </w:p>
        </w:tc>
      </w:tr>
      <w:tr w:rsidR="00D65FF6" w:rsidRPr="00D53E24" w14:paraId="406D0D59" w14:textId="77777777" w:rsidTr="00FD1819">
        <w:trPr>
          <w:trHeight w:val="273"/>
        </w:trPr>
        <w:tc>
          <w:tcPr>
            <w:tcW w:w="2976" w:type="dxa"/>
            <w:vAlign w:val="center"/>
          </w:tcPr>
          <w:p w14:paraId="7A3161E9"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&lt; -1.96 or &gt; +1.96</w:t>
            </w:r>
          </w:p>
        </w:tc>
        <w:tc>
          <w:tcPr>
            <w:tcW w:w="2127" w:type="dxa"/>
            <w:vAlign w:val="center"/>
          </w:tcPr>
          <w:p w14:paraId="53861F61"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&lt; 0.05</w:t>
            </w:r>
          </w:p>
        </w:tc>
        <w:tc>
          <w:tcPr>
            <w:tcW w:w="1843" w:type="dxa"/>
            <w:vAlign w:val="center"/>
          </w:tcPr>
          <w:p w14:paraId="5B6EB044"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95%</w:t>
            </w:r>
          </w:p>
        </w:tc>
      </w:tr>
      <w:tr w:rsidR="00D65FF6" w:rsidRPr="00D53E24" w14:paraId="30ADF0CC" w14:textId="77777777" w:rsidTr="00FD1819">
        <w:trPr>
          <w:trHeight w:val="262"/>
        </w:trPr>
        <w:tc>
          <w:tcPr>
            <w:tcW w:w="2976" w:type="dxa"/>
            <w:vAlign w:val="center"/>
          </w:tcPr>
          <w:p w14:paraId="32A5F7B5"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&lt; -2.58 or &gt; +2.58</w:t>
            </w:r>
          </w:p>
        </w:tc>
        <w:tc>
          <w:tcPr>
            <w:tcW w:w="2127" w:type="dxa"/>
            <w:vAlign w:val="center"/>
          </w:tcPr>
          <w:p w14:paraId="241CB592" w14:textId="77777777" w:rsidR="00D65FF6" w:rsidRPr="00D53E24" w:rsidRDefault="00D65FF6" w:rsidP="00D238AF">
            <w:pPr>
              <w:pStyle w:val="CommentText"/>
              <w:jc w:val="both"/>
              <w:rPr>
                <w:rFonts w:asciiTheme="majorBidi" w:hAnsiTheme="majorBidi" w:cstheme="majorBidi"/>
                <w:b/>
                <w:bCs/>
              </w:rPr>
            </w:pPr>
            <w:r w:rsidRPr="00D53E24">
              <w:rPr>
                <w:rFonts w:asciiTheme="majorBidi" w:eastAsia="Times New Roman" w:hAnsiTheme="majorBidi" w:cstheme="majorBidi"/>
              </w:rPr>
              <w:t>&lt; 0.01</w:t>
            </w:r>
          </w:p>
        </w:tc>
        <w:tc>
          <w:tcPr>
            <w:tcW w:w="1843" w:type="dxa"/>
            <w:vAlign w:val="center"/>
          </w:tcPr>
          <w:p w14:paraId="7C6E5B35" w14:textId="77777777" w:rsidR="00D65FF6" w:rsidRPr="00D53E24" w:rsidRDefault="00D65FF6" w:rsidP="00D238AF">
            <w:pPr>
              <w:pStyle w:val="CommentText"/>
              <w:keepNext/>
              <w:jc w:val="both"/>
              <w:rPr>
                <w:rFonts w:asciiTheme="majorBidi" w:hAnsiTheme="majorBidi" w:cstheme="majorBidi"/>
                <w:b/>
                <w:bCs/>
              </w:rPr>
            </w:pPr>
            <w:r w:rsidRPr="00D53E24">
              <w:rPr>
                <w:rFonts w:asciiTheme="majorBidi" w:eastAsia="Times New Roman" w:hAnsiTheme="majorBidi" w:cstheme="majorBidi"/>
              </w:rPr>
              <w:t>99%</w:t>
            </w:r>
          </w:p>
        </w:tc>
      </w:tr>
    </w:tbl>
    <w:p w14:paraId="1BFB955B" w14:textId="064B1A7B" w:rsidR="00D65FF6" w:rsidRPr="008D75D3" w:rsidRDefault="00D238AF" w:rsidP="00D238AF">
      <w:pPr>
        <w:pStyle w:val="Caption"/>
        <w:rPr>
          <w:rFonts w:asciiTheme="majorBidi" w:hAnsiTheme="majorBidi" w:cstheme="majorBidi"/>
          <w:color w:val="4C4C4C"/>
          <w:sz w:val="24"/>
          <w:szCs w:val="24"/>
          <w:shd w:val="clear" w:color="auto" w:fill="FFFFFF"/>
        </w:rPr>
      </w:pPr>
      <w:r>
        <w:t>Table 4</w:t>
      </w:r>
      <w:r w:rsidR="00CB0370">
        <w:t>3</w:t>
      </w:r>
      <w:r>
        <w:t xml:space="preserve"> Z-score </w:t>
      </w:r>
    </w:p>
    <w:p w14:paraId="1D9D9655" w14:textId="6D09F51E" w:rsidR="00D65FF6" w:rsidRPr="002302CC" w:rsidRDefault="00D65FF6" w:rsidP="004F6F51">
      <w:pPr>
        <w:spacing w:line="480" w:lineRule="auto"/>
        <w:rPr>
          <w:rFonts w:asciiTheme="majorBidi" w:hAnsiTheme="majorBidi" w:cstheme="majorBidi"/>
          <w:sz w:val="24"/>
          <w:szCs w:val="24"/>
        </w:rPr>
      </w:pPr>
      <w:r>
        <w:rPr>
          <w:rFonts w:asciiTheme="majorBidi" w:hAnsiTheme="majorBidi" w:cstheme="majorBidi"/>
          <w:sz w:val="24"/>
          <w:szCs w:val="24"/>
        </w:rPr>
        <w:t xml:space="preserve">Table </w:t>
      </w:r>
      <w:r w:rsidR="00D238AF">
        <w:rPr>
          <w:rFonts w:asciiTheme="majorBidi" w:hAnsiTheme="majorBidi" w:cstheme="majorBidi"/>
          <w:sz w:val="24"/>
          <w:szCs w:val="24"/>
        </w:rPr>
        <w:t>4</w:t>
      </w:r>
      <w:r w:rsidR="004F6F51">
        <w:rPr>
          <w:rFonts w:asciiTheme="majorBidi" w:hAnsiTheme="majorBidi" w:cstheme="majorBidi"/>
          <w:sz w:val="24"/>
          <w:szCs w:val="24"/>
        </w:rPr>
        <w:t>4</w:t>
      </w:r>
      <w:r w:rsidRPr="002302CC">
        <w:rPr>
          <w:rFonts w:asciiTheme="majorBidi" w:hAnsiTheme="majorBidi" w:cstheme="majorBidi"/>
          <w:sz w:val="24"/>
          <w:szCs w:val="24"/>
        </w:rPr>
        <w:t xml:space="preserve"> show</w:t>
      </w:r>
      <w:r>
        <w:rPr>
          <w:rFonts w:asciiTheme="majorBidi" w:hAnsiTheme="majorBidi" w:cstheme="majorBidi"/>
          <w:sz w:val="24"/>
          <w:szCs w:val="24"/>
        </w:rPr>
        <w:t>s</w:t>
      </w:r>
      <w:r w:rsidRPr="002302CC">
        <w:rPr>
          <w:rFonts w:asciiTheme="majorBidi" w:hAnsiTheme="majorBidi" w:cstheme="majorBidi"/>
          <w:sz w:val="24"/>
          <w:szCs w:val="24"/>
        </w:rPr>
        <w:t xml:space="preserve"> the results of the moderation analysis, from</w:t>
      </w:r>
      <w:r>
        <w:rPr>
          <w:rFonts w:asciiTheme="majorBidi" w:hAnsiTheme="majorBidi" w:cstheme="majorBidi"/>
          <w:sz w:val="24"/>
          <w:szCs w:val="24"/>
        </w:rPr>
        <w:t xml:space="preserve"> which, the data revealed the below results.</w:t>
      </w:r>
    </w:p>
    <w:p w14:paraId="419CFF4A" w14:textId="2264434D" w:rsidR="00D65FF6" w:rsidRPr="00256E10" w:rsidRDefault="00D65FF6">
      <w:pPr>
        <w:pStyle w:val="ListParagraph"/>
        <w:numPr>
          <w:ilvl w:val="0"/>
          <w:numId w:val="16"/>
        </w:numPr>
        <w:spacing w:line="480" w:lineRule="auto"/>
        <w:jc w:val="both"/>
        <w:rPr>
          <w:rFonts w:asciiTheme="majorBidi" w:hAnsiTheme="majorBidi" w:cstheme="majorBidi"/>
          <w:b/>
          <w:bCs/>
          <w:sz w:val="24"/>
          <w:szCs w:val="24"/>
        </w:rPr>
      </w:pPr>
      <w:bookmarkStart w:id="184" w:name="_Hlk151563005"/>
      <w:r w:rsidRPr="00256E10">
        <w:rPr>
          <w:rFonts w:asciiTheme="majorBidi" w:hAnsiTheme="majorBidi" w:cstheme="majorBidi"/>
          <w:sz w:val="24"/>
          <w:szCs w:val="24"/>
        </w:rPr>
        <w:t xml:space="preserve">CSR perception moderates the relationship between </w:t>
      </w:r>
      <w:r w:rsidR="00DB6CAA">
        <w:rPr>
          <w:rFonts w:asciiTheme="majorBidi" w:hAnsiTheme="majorBidi" w:cstheme="majorBidi"/>
          <w:sz w:val="24"/>
          <w:szCs w:val="24"/>
        </w:rPr>
        <w:t>c</w:t>
      </w:r>
      <w:r>
        <w:rPr>
          <w:rFonts w:asciiTheme="majorBidi" w:hAnsiTheme="majorBidi" w:cstheme="majorBidi"/>
          <w:sz w:val="24"/>
          <w:szCs w:val="24"/>
        </w:rPr>
        <w:t xml:space="preserve">ommunication </w:t>
      </w:r>
      <w:r w:rsidR="00391D20">
        <w:rPr>
          <w:rFonts w:asciiTheme="majorBidi" w:hAnsiTheme="majorBidi" w:cstheme="majorBidi"/>
          <w:sz w:val="24"/>
          <w:szCs w:val="24"/>
        </w:rPr>
        <w:t xml:space="preserve">strategy </w:t>
      </w:r>
      <w:r w:rsidRPr="00256E10">
        <w:rPr>
          <w:rFonts w:asciiTheme="majorBidi" w:hAnsiTheme="majorBidi" w:cstheme="majorBidi"/>
          <w:sz w:val="24"/>
          <w:szCs w:val="24"/>
        </w:rPr>
        <w:t xml:space="preserve">and ad likeability, as the z-value was greater than 1.96. Therefore, the effect of CSR </w:t>
      </w:r>
      <w:r>
        <w:rPr>
          <w:rFonts w:asciiTheme="majorBidi" w:hAnsiTheme="majorBidi" w:cstheme="majorBidi"/>
          <w:sz w:val="24"/>
          <w:szCs w:val="24"/>
        </w:rPr>
        <w:t>communication</w:t>
      </w:r>
      <w:r w:rsidRPr="00256E10">
        <w:rPr>
          <w:rFonts w:asciiTheme="majorBidi" w:hAnsiTheme="majorBidi" w:cstheme="majorBidi"/>
          <w:sz w:val="24"/>
          <w:szCs w:val="24"/>
        </w:rPr>
        <w:t xml:space="preserve"> on ad likeability for those who have high perception is greater than the same effect for those who have low CSR perception.</w:t>
      </w:r>
    </w:p>
    <w:p w14:paraId="3EFA8D81" w14:textId="77777777" w:rsidR="00D65FF6" w:rsidRPr="00256E10" w:rsidRDefault="00D65FF6">
      <w:pPr>
        <w:pStyle w:val="ListParagraph"/>
        <w:numPr>
          <w:ilvl w:val="0"/>
          <w:numId w:val="16"/>
        </w:numPr>
        <w:spacing w:line="480" w:lineRule="auto"/>
        <w:jc w:val="both"/>
        <w:rPr>
          <w:rFonts w:asciiTheme="majorBidi" w:hAnsiTheme="majorBidi" w:cstheme="majorBidi"/>
          <w:b/>
          <w:bCs/>
          <w:sz w:val="24"/>
          <w:szCs w:val="24"/>
        </w:rPr>
      </w:pPr>
      <w:r w:rsidRPr="00256E10">
        <w:rPr>
          <w:rFonts w:asciiTheme="majorBidi" w:hAnsiTheme="majorBidi" w:cstheme="majorBidi"/>
          <w:sz w:val="24"/>
          <w:szCs w:val="24"/>
        </w:rPr>
        <w:t>CSR perception moderate</w:t>
      </w:r>
      <w:r>
        <w:rPr>
          <w:rFonts w:asciiTheme="majorBidi" w:hAnsiTheme="majorBidi" w:cstheme="majorBidi"/>
          <w:sz w:val="24"/>
          <w:szCs w:val="24"/>
        </w:rPr>
        <w:t>s</w:t>
      </w:r>
      <w:r w:rsidRPr="00256E10">
        <w:rPr>
          <w:rFonts w:asciiTheme="majorBidi" w:hAnsiTheme="majorBidi" w:cstheme="majorBidi"/>
          <w:sz w:val="24"/>
          <w:szCs w:val="24"/>
        </w:rPr>
        <w:t xml:space="preserve"> the relationship between brand likeability and</w:t>
      </w:r>
      <w:r>
        <w:rPr>
          <w:rFonts w:asciiTheme="majorBidi" w:hAnsiTheme="majorBidi" w:cstheme="majorBidi"/>
          <w:sz w:val="24"/>
          <w:szCs w:val="24"/>
        </w:rPr>
        <w:t xml:space="preserve"> purchase</w:t>
      </w:r>
      <w:r w:rsidRPr="00256E10">
        <w:rPr>
          <w:rFonts w:asciiTheme="majorBidi" w:hAnsiTheme="majorBidi" w:cstheme="majorBidi"/>
          <w:sz w:val="24"/>
          <w:szCs w:val="24"/>
        </w:rPr>
        <w:t xml:space="preserve"> intention, as the z-value is greater than 1.96. </w:t>
      </w:r>
      <w:r>
        <w:rPr>
          <w:rFonts w:asciiTheme="majorBidi" w:hAnsiTheme="majorBidi" w:cstheme="majorBidi"/>
          <w:sz w:val="24"/>
          <w:szCs w:val="24"/>
        </w:rPr>
        <w:t>This indicates</w:t>
      </w:r>
      <w:r w:rsidRPr="00256E10">
        <w:rPr>
          <w:rFonts w:asciiTheme="majorBidi" w:hAnsiTheme="majorBidi" w:cstheme="majorBidi"/>
          <w:sz w:val="24"/>
          <w:szCs w:val="24"/>
        </w:rPr>
        <w:t xml:space="preserve"> that the effect of brand likeability on </w:t>
      </w:r>
      <w:r>
        <w:rPr>
          <w:rFonts w:asciiTheme="majorBidi" w:hAnsiTheme="majorBidi" w:cstheme="majorBidi"/>
          <w:sz w:val="24"/>
          <w:szCs w:val="24"/>
        </w:rPr>
        <w:t xml:space="preserve">purchase </w:t>
      </w:r>
      <w:r w:rsidRPr="00256E10">
        <w:rPr>
          <w:rFonts w:asciiTheme="majorBidi" w:hAnsiTheme="majorBidi" w:cstheme="majorBidi"/>
          <w:sz w:val="24"/>
          <w:szCs w:val="24"/>
        </w:rPr>
        <w:t xml:space="preserve">intention for those who have high </w:t>
      </w:r>
      <w:r>
        <w:rPr>
          <w:rFonts w:asciiTheme="majorBidi" w:hAnsiTheme="majorBidi" w:cstheme="majorBidi"/>
          <w:sz w:val="24"/>
          <w:szCs w:val="24"/>
        </w:rPr>
        <w:t xml:space="preserve">CSR </w:t>
      </w:r>
      <w:r w:rsidRPr="00256E10">
        <w:rPr>
          <w:rFonts w:asciiTheme="majorBidi" w:hAnsiTheme="majorBidi" w:cstheme="majorBidi"/>
          <w:sz w:val="24"/>
          <w:szCs w:val="24"/>
        </w:rPr>
        <w:t>perception is lower than the same effect for</w:t>
      </w:r>
      <w:r>
        <w:rPr>
          <w:rFonts w:asciiTheme="majorBidi" w:hAnsiTheme="majorBidi" w:cstheme="majorBidi"/>
          <w:sz w:val="24"/>
          <w:szCs w:val="24"/>
        </w:rPr>
        <w:t xml:space="preserve"> those</w:t>
      </w:r>
      <w:r w:rsidRPr="00256E10">
        <w:rPr>
          <w:rFonts w:asciiTheme="majorBidi" w:hAnsiTheme="majorBidi" w:cstheme="majorBidi"/>
          <w:sz w:val="24"/>
          <w:szCs w:val="24"/>
        </w:rPr>
        <w:t xml:space="preserve"> who have low </w:t>
      </w:r>
      <w:r>
        <w:rPr>
          <w:rFonts w:asciiTheme="majorBidi" w:hAnsiTheme="majorBidi" w:cstheme="majorBidi"/>
          <w:sz w:val="24"/>
          <w:szCs w:val="24"/>
        </w:rPr>
        <w:t xml:space="preserve">CSR </w:t>
      </w:r>
      <w:r w:rsidRPr="00256E10">
        <w:rPr>
          <w:rFonts w:asciiTheme="majorBidi" w:hAnsiTheme="majorBidi" w:cstheme="majorBidi"/>
          <w:sz w:val="24"/>
          <w:szCs w:val="24"/>
        </w:rPr>
        <w:t>perception.</w:t>
      </w:r>
    </w:p>
    <w:p w14:paraId="2D135C9D" w14:textId="77777777" w:rsidR="00D65FF6" w:rsidRPr="00C64B2C" w:rsidRDefault="00D65FF6">
      <w:pPr>
        <w:pStyle w:val="ListParagraph"/>
        <w:numPr>
          <w:ilvl w:val="0"/>
          <w:numId w:val="16"/>
        </w:numPr>
        <w:spacing w:line="480" w:lineRule="auto"/>
        <w:jc w:val="both"/>
        <w:rPr>
          <w:rFonts w:asciiTheme="majorBidi" w:hAnsiTheme="majorBidi" w:cstheme="majorBidi"/>
          <w:b/>
          <w:bCs/>
          <w:sz w:val="24"/>
          <w:szCs w:val="24"/>
        </w:rPr>
      </w:pPr>
      <w:r w:rsidRPr="00256E10">
        <w:rPr>
          <w:rFonts w:asciiTheme="majorBidi" w:hAnsiTheme="majorBidi" w:cstheme="majorBidi"/>
          <w:sz w:val="24"/>
          <w:szCs w:val="24"/>
        </w:rPr>
        <w:t>CSR perception moderate</w:t>
      </w:r>
      <w:r>
        <w:rPr>
          <w:rFonts w:asciiTheme="majorBidi" w:hAnsiTheme="majorBidi" w:cstheme="majorBidi"/>
          <w:sz w:val="24"/>
          <w:szCs w:val="24"/>
        </w:rPr>
        <w:t>s</w:t>
      </w:r>
      <w:r w:rsidRPr="00256E10">
        <w:rPr>
          <w:rFonts w:asciiTheme="majorBidi" w:hAnsiTheme="majorBidi" w:cstheme="majorBidi"/>
          <w:sz w:val="24"/>
          <w:szCs w:val="24"/>
        </w:rPr>
        <w:t xml:space="preserve"> the relationship between emotional brand </w:t>
      </w:r>
      <w:r>
        <w:rPr>
          <w:rFonts w:asciiTheme="majorBidi" w:hAnsiTheme="majorBidi" w:cstheme="majorBidi"/>
          <w:sz w:val="24"/>
          <w:szCs w:val="24"/>
        </w:rPr>
        <w:t xml:space="preserve">attachment </w:t>
      </w:r>
      <w:r w:rsidRPr="00256E10">
        <w:rPr>
          <w:rFonts w:asciiTheme="majorBidi" w:hAnsiTheme="majorBidi" w:cstheme="majorBidi"/>
          <w:sz w:val="24"/>
          <w:szCs w:val="24"/>
        </w:rPr>
        <w:t>and</w:t>
      </w:r>
      <w:r>
        <w:rPr>
          <w:rFonts w:asciiTheme="majorBidi" w:hAnsiTheme="majorBidi" w:cstheme="majorBidi"/>
          <w:sz w:val="24"/>
          <w:szCs w:val="24"/>
        </w:rPr>
        <w:t xml:space="preserve"> purchase</w:t>
      </w:r>
      <w:r w:rsidRPr="00256E10">
        <w:rPr>
          <w:rFonts w:asciiTheme="majorBidi" w:hAnsiTheme="majorBidi" w:cstheme="majorBidi"/>
          <w:sz w:val="24"/>
          <w:szCs w:val="24"/>
        </w:rPr>
        <w:t xml:space="preserve"> intention, as the z-value is greater than 1.96. Such that the effect of emotional brand </w:t>
      </w:r>
      <w:r>
        <w:rPr>
          <w:rFonts w:asciiTheme="majorBidi" w:hAnsiTheme="majorBidi" w:cstheme="majorBidi"/>
          <w:sz w:val="24"/>
          <w:szCs w:val="24"/>
        </w:rPr>
        <w:t xml:space="preserve">attachment </w:t>
      </w:r>
      <w:r w:rsidRPr="00256E10">
        <w:rPr>
          <w:rFonts w:asciiTheme="majorBidi" w:hAnsiTheme="majorBidi" w:cstheme="majorBidi"/>
          <w:sz w:val="24"/>
          <w:szCs w:val="24"/>
        </w:rPr>
        <w:t>on</w:t>
      </w:r>
      <w:r>
        <w:rPr>
          <w:rFonts w:asciiTheme="majorBidi" w:hAnsiTheme="majorBidi" w:cstheme="majorBidi"/>
          <w:sz w:val="24"/>
          <w:szCs w:val="24"/>
        </w:rPr>
        <w:t xml:space="preserve"> purchase </w:t>
      </w:r>
      <w:r w:rsidRPr="00256E10">
        <w:rPr>
          <w:rFonts w:asciiTheme="majorBidi" w:hAnsiTheme="majorBidi" w:cstheme="majorBidi"/>
          <w:sz w:val="24"/>
          <w:szCs w:val="24"/>
        </w:rPr>
        <w:t xml:space="preserve">intention for those who have high </w:t>
      </w:r>
      <w:r>
        <w:rPr>
          <w:rFonts w:asciiTheme="majorBidi" w:hAnsiTheme="majorBidi" w:cstheme="majorBidi"/>
          <w:sz w:val="24"/>
          <w:szCs w:val="24"/>
        </w:rPr>
        <w:t xml:space="preserve">CSR </w:t>
      </w:r>
      <w:r w:rsidRPr="00256E10">
        <w:rPr>
          <w:rFonts w:asciiTheme="majorBidi" w:hAnsiTheme="majorBidi" w:cstheme="majorBidi"/>
          <w:sz w:val="24"/>
          <w:szCs w:val="24"/>
        </w:rPr>
        <w:t xml:space="preserve">perception is higher than the same effect for </w:t>
      </w:r>
      <w:r>
        <w:rPr>
          <w:rFonts w:asciiTheme="majorBidi" w:hAnsiTheme="majorBidi" w:cstheme="majorBidi"/>
          <w:sz w:val="24"/>
          <w:szCs w:val="24"/>
        </w:rPr>
        <w:t xml:space="preserve">those </w:t>
      </w:r>
      <w:r w:rsidRPr="00256E10">
        <w:rPr>
          <w:rFonts w:asciiTheme="majorBidi" w:hAnsiTheme="majorBidi" w:cstheme="majorBidi"/>
          <w:sz w:val="24"/>
          <w:szCs w:val="24"/>
        </w:rPr>
        <w:t>who have low</w:t>
      </w:r>
      <w:r>
        <w:rPr>
          <w:rFonts w:asciiTheme="majorBidi" w:hAnsiTheme="majorBidi" w:cstheme="majorBidi"/>
          <w:sz w:val="24"/>
          <w:szCs w:val="24"/>
        </w:rPr>
        <w:t xml:space="preserve"> CSR</w:t>
      </w:r>
      <w:r w:rsidRPr="00256E10">
        <w:rPr>
          <w:rFonts w:asciiTheme="majorBidi" w:hAnsiTheme="majorBidi" w:cstheme="majorBidi"/>
          <w:sz w:val="24"/>
          <w:szCs w:val="24"/>
        </w:rPr>
        <w:t xml:space="preserve"> perception.</w:t>
      </w:r>
    </w:p>
    <w:p w14:paraId="3037A563" w14:textId="58224CE5" w:rsidR="00D65FF6" w:rsidRPr="00D238AF" w:rsidRDefault="00D65FF6">
      <w:pPr>
        <w:pStyle w:val="ListParagraph"/>
        <w:numPr>
          <w:ilvl w:val="0"/>
          <w:numId w:val="16"/>
        </w:numPr>
        <w:spacing w:line="480" w:lineRule="auto"/>
        <w:jc w:val="both"/>
        <w:rPr>
          <w:rFonts w:asciiTheme="majorBidi" w:hAnsiTheme="majorBidi" w:cstheme="majorBidi"/>
          <w:b/>
          <w:bCs/>
          <w:sz w:val="24"/>
          <w:szCs w:val="24"/>
        </w:rPr>
      </w:pPr>
      <w:r w:rsidRPr="00AC191D">
        <w:rPr>
          <w:rFonts w:asciiTheme="majorBidi" w:hAnsiTheme="majorBidi" w:cstheme="majorBidi"/>
          <w:sz w:val="24"/>
          <w:szCs w:val="24"/>
        </w:rPr>
        <w:t>CSR perception does not moderate other relationships.</w:t>
      </w:r>
    </w:p>
    <w:p w14:paraId="5DAEB988" w14:textId="77777777" w:rsidR="00CB0370" w:rsidRDefault="00CB0370">
      <w:r>
        <w:br w:type="page"/>
      </w: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850"/>
        <w:gridCol w:w="2278"/>
        <w:gridCol w:w="1418"/>
        <w:gridCol w:w="1417"/>
        <w:gridCol w:w="993"/>
      </w:tblGrid>
      <w:tr w:rsidR="00D65FF6" w:rsidRPr="00D53E24" w14:paraId="4AD4A135" w14:textId="77777777" w:rsidTr="00FD1819">
        <w:trPr>
          <w:trHeight w:val="426"/>
        </w:trPr>
        <w:tc>
          <w:tcPr>
            <w:tcW w:w="1833" w:type="dxa"/>
            <w:shd w:val="clear" w:color="auto" w:fill="auto"/>
            <w:noWrap/>
            <w:vAlign w:val="center"/>
            <w:hideMark/>
          </w:tcPr>
          <w:p w14:paraId="61D0841B" w14:textId="0A4394C3" w:rsidR="00D65FF6" w:rsidRPr="00D53E24" w:rsidRDefault="00D65FF6" w:rsidP="00D238AF">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850" w:type="dxa"/>
            <w:shd w:val="clear" w:color="auto" w:fill="auto"/>
            <w:vAlign w:val="center"/>
            <w:hideMark/>
          </w:tcPr>
          <w:p w14:paraId="1768E20B" w14:textId="77777777" w:rsidR="00D65FF6" w:rsidRPr="00D53E24" w:rsidRDefault="00D65FF6" w:rsidP="00D238AF">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2278" w:type="dxa"/>
            <w:shd w:val="clear" w:color="auto" w:fill="auto"/>
            <w:vAlign w:val="center"/>
            <w:hideMark/>
          </w:tcPr>
          <w:p w14:paraId="2DB4787E" w14:textId="77777777" w:rsidR="00D65FF6" w:rsidRPr="00D53E24" w:rsidRDefault="00D65FF6" w:rsidP="00D238AF">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 </w:t>
            </w:r>
          </w:p>
        </w:tc>
        <w:tc>
          <w:tcPr>
            <w:tcW w:w="1418" w:type="dxa"/>
            <w:shd w:val="clear" w:color="auto" w:fill="auto"/>
            <w:vAlign w:val="center"/>
            <w:hideMark/>
          </w:tcPr>
          <w:p w14:paraId="7F7F51F6" w14:textId="77777777" w:rsidR="00D65FF6" w:rsidRPr="00D53E24" w:rsidRDefault="00D65FF6" w:rsidP="00D238AF">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effect size for low CSR perception</w:t>
            </w:r>
          </w:p>
        </w:tc>
        <w:tc>
          <w:tcPr>
            <w:tcW w:w="1417" w:type="dxa"/>
            <w:shd w:val="clear" w:color="auto" w:fill="auto"/>
            <w:vAlign w:val="center"/>
            <w:hideMark/>
          </w:tcPr>
          <w:p w14:paraId="5278428D" w14:textId="77777777" w:rsidR="00D65FF6" w:rsidRPr="00D53E24" w:rsidRDefault="00D65FF6" w:rsidP="00D238AF">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effect size for high CSR perception</w:t>
            </w:r>
          </w:p>
        </w:tc>
        <w:tc>
          <w:tcPr>
            <w:tcW w:w="993" w:type="dxa"/>
            <w:shd w:val="clear" w:color="auto" w:fill="auto"/>
            <w:vAlign w:val="center"/>
            <w:hideMark/>
          </w:tcPr>
          <w:p w14:paraId="6A9E028C" w14:textId="77777777" w:rsidR="00D65FF6" w:rsidRPr="00D53E24" w:rsidRDefault="00D65FF6" w:rsidP="00D238AF">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Z-value</w:t>
            </w:r>
          </w:p>
        </w:tc>
      </w:tr>
      <w:tr w:rsidR="00D65FF6" w:rsidRPr="00D53E24" w14:paraId="0608F71A" w14:textId="77777777" w:rsidTr="00FD1819">
        <w:trPr>
          <w:trHeight w:val="266"/>
        </w:trPr>
        <w:tc>
          <w:tcPr>
            <w:tcW w:w="1833" w:type="dxa"/>
            <w:shd w:val="clear" w:color="auto" w:fill="auto"/>
            <w:noWrap/>
            <w:vAlign w:val="center"/>
            <w:hideMark/>
          </w:tcPr>
          <w:p w14:paraId="5A393AC1"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850" w:type="dxa"/>
            <w:shd w:val="clear" w:color="auto" w:fill="auto"/>
            <w:noWrap/>
            <w:vAlign w:val="center"/>
            <w:hideMark/>
          </w:tcPr>
          <w:p w14:paraId="608FE969"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0BFA3F2F"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1418" w:type="dxa"/>
            <w:shd w:val="clear" w:color="auto" w:fill="auto"/>
            <w:noWrap/>
            <w:vAlign w:val="center"/>
            <w:hideMark/>
          </w:tcPr>
          <w:p w14:paraId="1A569FFB"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-0.706</w:t>
            </w:r>
          </w:p>
        </w:tc>
        <w:tc>
          <w:tcPr>
            <w:tcW w:w="1417" w:type="dxa"/>
            <w:shd w:val="clear" w:color="auto" w:fill="auto"/>
            <w:noWrap/>
            <w:vAlign w:val="center"/>
            <w:hideMark/>
          </w:tcPr>
          <w:p w14:paraId="0844129D"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-0.481</w:t>
            </w:r>
          </w:p>
        </w:tc>
        <w:tc>
          <w:tcPr>
            <w:tcW w:w="993" w:type="dxa"/>
            <w:shd w:val="clear" w:color="auto" w:fill="auto"/>
            <w:vAlign w:val="center"/>
            <w:hideMark/>
          </w:tcPr>
          <w:p w14:paraId="368ACDE1"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1.004</w:t>
            </w:r>
          </w:p>
        </w:tc>
      </w:tr>
      <w:tr w:rsidR="00D65FF6" w:rsidRPr="00D53E24" w14:paraId="650BD747" w14:textId="77777777" w:rsidTr="00FD1819">
        <w:trPr>
          <w:trHeight w:val="266"/>
        </w:trPr>
        <w:tc>
          <w:tcPr>
            <w:tcW w:w="1833" w:type="dxa"/>
            <w:shd w:val="clear" w:color="auto" w:fill="auto"/>
            <w:noWrap/>
            <w:vAlign w:val="center"/>
            <w:hideMark/>
          </w:tcPr>
          <w:p w14:paraId="20FC4310"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850" w:type="dxa"/>
            <w:shd w:val="clear" w:color="auto" w:fill="auto"/>
            <w:noWrap/>
            <w:vAlign w:val="center"/>
            <w:hideMark/>
          </w:tcPr>
          <w:p w14:paraId="08A59382"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53189BC5"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1418" w:type="dxa"/>
            <w:shd w:val="clear" w:color="auto" w:fill="auto"/>
            <w:noWrap/>
            <w:vAlign w:val="center"/>
            <w:hideMark/>
          </w:tcPr>
          <w:p w14:paraId="721CC196"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-0.548</w:t>
            </w:r>
          </w:p>
        </w:tc>
        <w:tc>
          <w:tcPr>
            <w:tcW w:w="1417" w:type="dxa"/>
            <w:shd w:val="clear" w:color="auto" w:fill="auto"/>
            <w:noWrap/>
            <w:vAlign w:val="center"/>
            <w:hideMark/>
          </w:tcPr>
          <w:p w14:paraId="543B7C58"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-0.362</w:t>
            </w:r>
          </w:p>
        </w:tc>
        <w:tc>
          <w:tcPr>
            <w:tcW w:w="993" w:type="dxa"/>
            <w:shd w:val="clear" w:color="auto" w:fill="auto"/>
            <w:vAlign w:val="center"/>
            <w:hideMark/>
          </w:tcPr>
          <w:p w14:paraId="091E28B2"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0.873</w:t>
            </w:r>
          </w:p>
        </w:tc>
      </w:tr>
      <w:tr w:rsidR="00D65FF6" w:rsidRPr="00D53E24" w14:paraId="3112A8F1" w14:textId="77777777" w:rsidTr="00FD1819">
        <w:trPr>
          <w:trHeight w:val="266"/>
        </w:trPr>
        <w:tc>
          <w:tcPr>
            <w:tcW w:w="1833" w:type="dxa"/>
            <w:shd w:val="clear" w:color="auto" w:fill="auto"/>
            <w:noWrap/>
            <w:vAlign w:val="center"/>
            <w:hideMark/>
          </w:tcPr>
          <w:p w14:paraId="124EBBDA"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w:t>
            </w:r>
          </w:p>
        </w:tc>
        <w:tc>
          <w:tcPr>
            <w:tcW w:w="850" w:type="dxa"/>
            <w:shd w:val="clear" w:color="auto" w:fill="auto"/>
            <w:noWrap/>
            <w:vAlign w:val="center"/>
            <w:hideMark/>
          </w:tcPr>
          <w:p w14:paraId="718953BD"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3C5E66AE"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1418" w:type="dxa"/>
            <w:shd w:val="clear" w:color="auto" w:fill="auto"/>
            <w:noWrap/>
            <w:vAlign w:val="center"/>
            <w:hideMark/>
          </w:tcPr>
          <w:p w14:paraId="0C960625"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-0.475</w:t>
            </w:r>
          </w:p>
        </w:tc>
        <w:tc>
          <w:tcPr>
            <w:tcW w:w="1417" w:type="dxa"/>
            <w:shd w:val="clear" w:color="auto" w:fill="auto"/>
            <w:noWrap/>
            <w:vAlign w:val="center"/>
            <w:hideMark/>
          </w:tcPr>
          <w:p w14:paraId="72766040"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-0.457</w:t>
            </w:r>
          </w:p>
        </w:tc>
        <w:tc>
          <w:tcPr>
            <w:tcW w:w="993" w:type="dxa"/>
            <w:shd w:val="clear" w:color="auto" w:fill="auto"/>
            <w:vAlign w:val="center"/>
            <w:hideMark/>
          </w:tcPr>
          <w:p w14:paraId="42577AE6"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0.07</w:t>
            </w:r>
          </w:p>
        </w:tc>
      </w:tr>
      <w:tr w:rsidR="00D65FF6" w:rsidRPr="00D53E24" w14:paraId="32EBBC00" w14:textId="77777777" w:rsidTr="00FD1819">
        <w:trPr>
          <w:trHeight w:val="266"/>
        </w:trPr>
        <w:tc>
          <w:tcPr>
            <w:tcW w:w="1833" w:type="dxa"/>
            <w:shd w:val="clear" w:color="auto" w:fill="auto"/>
            <w:noWrap/>
            <w:vAlign w:val="center"/>
            <w:hideMark/>
          </w:tcPr>
          <w:p w14:paraId="33E7E1CB"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850" w:type="dxa"/>
            <w:shd w:val="clear" w:color="auto" w:fill="auto"/>
            <w:noWrap/>
            <w:vAlign w:val="center"/>
            <w:hideMark/>
          </w:tcPr>
          <w:p w14:paraId="61CE0415"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377F8394"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TV</w:t>
            </w:r>
          </w:p>
        </w:tc>
        <w:tc>
          <w:tcPr>
            <w:tcW w:w="1418" w:type="dxa"/>
            <w:shd w:val="clear" w:color="auto" w:fill="auto"/>
            <w:noWrap/>
            <w:vAlign w:val="center"/>
            <w:hideMark/>
          </w:tcPr>
          <w:p w14:paraId="31E79876"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-0.72</w:t>
            </w:r>
          </w:p>
        </w:tc>
        <w:tc>
          <w:tcPr>
            <w:tcW w:w="1417" w:type="dxa"/>
            <w:shd w:val="clear" w:color="auto" w:fill="auto"/>
            <w:noWrap/>
            <w:vAlign w:val="center"/>
            <w:hideMark/>
          </w:tcPr>
          <w:p w14:paraId="1CD0BC96"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-0.468</w:t>
            </w:r>
          </w:p>
        </w:tc>
        <w:tc>
          <w:tcPr>
            <w:tcW w:w="993" w:type="dxa"/>
            <w:shd w:val="clear" w:color="auto" w:fill="auto"/>
            <w:vAlign w:val="center"/>
            <w:hideMark/>
          </w:tcPr>
          <w:p w14:paraId="0EDF988B"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1.025</w:t>
            </w:r>
          </w:p>
        </w:tc>
      </w:tr>
      <w:tr w:rsidR="00D65FF6" w:rsidRPr="00D53E24" w14:paraId="1AC60260" w14:textId="77777777" w:rsidTr="00FD1819">
        <w:trPr>
          <w:trHeight w:val="266"/>
        </w:trPr>
        <w:tc>
          <w:tcPr>
            <w:tcW w:w="1833" w:type="dxa"/>
            <w:shd w:val="clear" w:color="auto" w:fill="auto"/>
            <w:noWrap/>
            <w:vAlign w:val="center"/>
            <w:hideMark/>
          </w:tcPr>
          <w:p w14:paraId="18982BFC"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850" w:type="dxa"/>
            <w:shd w:val="clear" w:color="auto" w:fill="auto"/>
            <w:noWrap/>
            <w:vAlign w:val="center"/>
            <w:hideMark/>
          </w:tcPr>
          <w:p w14:paraId="20DC302D"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3A30E8B8"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1418" w:type="dxa"/>
            <w:shd w:val="clear" w:color="auto" w:fill="auto"/>
            <w:vAlign w:val="center"/>
            <w:hideMark/>
          </w:tcPr>
          <w:p w14:paraId="015CA16E"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0.283</w:t>
            </w:r>
          </w:p>
        </w:tc>
        <w:tc>
          <w:tcPr>
            <w:tcW w:w="1417" w:type="dxa"/>
            <w:shd w:val="clear" w:color="auto" w:fill="auto"/>
            <w:vAlign w:val="center"/>
            <w:hideMark/>
          </w:tcPr>
          <w:p w14:paraId="59A9B07B"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0.641</w:t>
            </w:r>
          </w:p>
        </w:tc>
        <w:tc>
          <w:tcPr>
            <w:tcW w:w="993" w:type="dxa"/>
            <w:shd w:val="clear" w:color="auto" w:fill="auto"/>
            <w:vAlign w:val="center"/>
            <w:hideMark/>
          </w:tcPr>
          <w:p w14:paraId="5DE44F60"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1.641</w:t>
            </w:r>
          </w:p>
        </w:tc>
      </w:tr>
      <w:tr w:rsidR="00D65FF6" w:rsidRPr="00D53E24" w14:paraId="4DE58245" w14:textId="77777777" w:rsidTr="00FD1819">
        <w:trPr>
          <w:trHeight w:val="266"/>
        </w:trPr>
        <w:tc>
          <w:tcPr>
            <w:tcW w:w="1833" w:type="dxa"/>
            <w:shd w:val="clear" w:color="auto" w:fill="auto"/>
            <w:noWrap/>
            <w:vAlign w:val="center"/>
            <w:hideMark/>
          </w:tcPr>
          <w:p w14:paraId="3955D0F3"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w:t>
            </w:r>
          </w:p>
        </w:tc>
        <w:tc>
          <w:tcPr>
            <w:tcW w:w="850" w:type="dxa"/>
            <w:shd w:val="clear" w:color="auto" w:fill="auto"/>
            <w:noWrap/>
            <w:vAlign w:val="center"/>
            <w:hideMark/>
          </w:tcPr>
          <w:p w14:paraId="2C3DDD56"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5C60E4A9"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1418" w:type="dxa"/>
            <w:shd w:val="clear" w:color="auto" w:fill="auto"/>
            <w:vAlign w:val="center"/>
            <w:hideMark/>
          </w:tcPr>
          <w:p w14:paraId="0C311EFC"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0.31</w:t>
            </w:r>
          </w:p>
        </w:tc>
        <w:tc>
          <w:tcPr>
            <w:tcW w:w="1417" w:type="dxa"/>
            <w:shd w:val="clear" w:color="auto" w:fill="auto"/>
            <w:vAlign w:val="center"/>
            <w:hideMark/>
          </w:tcPr>
          <w:p w14:paraId="537E5920"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0.772</w:t>
            </w:r>
          </w:p>
        </w:tc>
        <w:tc>
          <w:tcPr>
            <w:tcW w:w="993" w:type="dxa"/>
            <w:shd w:val="clear" w:color="auto" w:fill="auto"/>
            <w:vAlign w:val="center"/>
            <w:hideMark/>
          </w:tcPr>
          <w:p w14:paraId="312E0794"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1.759</w:t>
            </w:r>
          </w:p>
        </w:tc>
      </w:tr>
      <w:tr w:rsidR="00D65FF6" w:rsidRPr="00D53E24" w14:paraId="56D02BA4" w14:textId="77777777" w:rsidTr="00FD1819">
        <w:trPr>
          <w:trHeight w:val="266"/>
        </w:trPr>
        <w:tc>
          <w:tcPr>
            <w:tcW w:w="1833" w:type="dxa"/>
            <w:shd w:val="clear" w:color="auto" w:fill="auto"/>
            <w:noWrap/>
            <w:vAlign w:val="center"/>
            <w:hideMark/>
          </w:tcPr>
          <w:p w14:paraId="78C3722C"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850" w:type="dxa"/>
            <w:shd w:val="clear" w:color="auto" w:fill="auto"/>
            <w:noWrap/>
            <w:vAlign w:val="center"/>
            <w:hideMark/>
          </w:tcPr>
          <w:p w14:paraId="7CFFEB68"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00F6E481"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1418" w:type="dxa"/>
            <w:shd w:val="clear" w:color="auto" w:fill="auto"/>
            <w:noWrap/>
            <w:vAlign w:val="center"/>
            <w:hideMark/>
          </w:tcPr>
          <w:p w14:paraId="1AA8D5BF"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-0.032</w:t>
            </w:r>
          </w:p>
        </w:tc>
        <w:tc>
          <w:tcPr>
            <w:tcW w:w="1417" w:type="dxa"/>
            <w:shd w:val="clear" w:color="auto" w:fill="auto"/>
            <w:vAlign w:val="center"/>
            <w:hideMark/>
          </w:tcPr>
          <w:p w14:paraId="5A1CD2A8"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0.429</w:t>
            </w:r>
          </w:p>
        </w:tc>
        <w:tc>
          <w:tcPr>
            <w:tcW w:w="993" w:type="dxa"/>
            <w:shd w:val="clear" w:color="auto" w:fill="auto"/>
            <w:vAlign w:val="center"/>
            <w:hideMark/>
          </w:tcPr>
          <w:p w14:paraId="1ECA6D4F"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1.821</w:t>
            </w:r>
          </w:p>
        </w:tc>
      </w:tr>
      <w:tr w:rsidR="00D65FF6" w:rsidRPr="00D53E24" w14:paraId="2495979D" w14:textId="77777777" w:rsidTr="00FD1819">
        <w:trPr>
          <w:trHeight w:val="266"/>
        </w:trPr>
        <w:tc>
          <w:tcPr>
            <w:tcW w:w="1833" w:type="dxa"/>
            <w:shd w:val="clear" w:color="auto" w:fill="auto"/>
            <w:noWrap/>
            <w:vAlign w:val="center"/>
            <w:hideMark/>
          </w:tcPr>
          <w:p w14:paraId="0B271869"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850" w:type="dxa"/>
            <w:shd w:val="clear" w:color="auto" w:fill="auto"/>
            <w:noWrap/>
            <w:vAlign w:val="center"/>
            <w:hideMark/>
          </w:tcPr>
          <w:p w14:paraId="75E021D9"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327F7A65"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1418" w:type="dxa"/>
            <w:shd w:val="clear" w:color="auto" w:fill="auto"/>
            <w:vAlign w:val="center"/>
            <w:hideMark/>
          </w:tcPr>
          <w:p w14:paraId="5F873235"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0.649</w:t>
            </w:r>
          </w:p>
        </w:tc>
        <w:tc>
          <w:tcPr>
            <w:tcW w:w="1417" w:type="dxa"/>
            <w:shd w:val="clear" w:color="auto" w:fill="auto"/>
            <w:vAlign w:val="center"/>
            <w:hideMark/>
          </w:tcPr>
          <w:p w14:paraId="609DF9F6"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1.153</w:t>
            </w:r>
          </w:p>
        </w:tc>
        <w:tc>
          <w:tcPr>
            <w:tcW w:w="993" w:type="dxa"/>
            <w:shd w:val="clear" w:color="auto" w:fill="auto"/>
            <w:vAlign w:val="center"/>
            <w:hideMark/>
          </w:tcPr>
          <w:p w14:paraId="278B42FC"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2.249</w:t>
            </w:r>
          </w:p>
        </w:tc>
      </w:tr>
      <w:tr w:rsidR="00D65FF6" w:rsidRPr="00D53E24" w14:paraId="719C2C4B" w14:textId="77777777" w:rsidTr="00FD1819">
        <w:trPr>
          <w:trHeight w:val="46"/>
        </w:trPr>
        <w:tc>
          <w:tcPr>
            <w:tcW w:w="1833" w:type="dxa"/>
            <w:shd w:val="clear" w:color="auto" w:fill="auto"/>
            <w:noWrap/>
            <w:vAlign w:val="center"/>
            <w:hideMark/>
          </w:tcPr>
          <w:p w14:paraId="19E62240"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Purchase intention</w:t>
            </w:r>
          </w:p>
        </w:tc>
        <w:tc>
          <w:tcPr>
            <w:tcW w:w="850" w:type="dxa"/>
            <w:shd w:val="clear" w:color="auto" w:fill="auto"/>
            <w:noWrap/>
            <w:vAlign w:val="center"/>
            <w:hideMark/>
          </w:tcPr>
          <w:p w14:paraId="2CBCBE47"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5FDC7924"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Ad likeability</w:t>
            </w:r>
          </w:p>
        </w:tc>
        <w:tc>
          <w:tcPr>
            <w:tcW w:w="1418" w:type="dxa"/>
            <w:shd w:val="clear" w:color="auto" w:fill="auto"/>
            <w:vAlign w:val="center"/>
            <w:hideMark/>
          </w:tcPr>
          <w:p w14:paraId="282041A1"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0.154</w:t>
            </w:r>
          </w:p>
        </w:tc>
        <w:tc>
          <w:tcPr>
            <w:tcW w:w="1417" w:type="dxa"/>
            <w:shd w:val="clear" w:color="auto" w:fill="auto"/>
            <w:vAlign w:val="center"/>
            <w:hideMark/>
          </w:tcPr>
          <w:p w14:paraId="78829860"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0.08</w:t>
            </w:r>
          </w:p>
        </w:tc>
        <w:tc>
          <w:tcPr>
            <w:tcW w:w="993" w:type="dxa"/>
            <w:shd w:val="clear" w:color="auto" w:fill="auto"/>
            <w:noWrap/>
            <w:vAlign w:val="center"/>
            <w:hideMark/>
          </w:tcPr>
          <w:p w14:paraId="451C8160"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-1.178</w:t>
            </w:r>
          </w:p>
        </w:tc>
      </w:tr>
      <w:tr w:rsidR="00D65FF6" w:rsidRPr="00D53E24" w14:paraId="3870370D" w14:textId="77777777" w:rsidTr="00FD1819">
        <w:trPr>
          <w:trHeight w:val="117"/>
        </w:trPr>
        <w:tc>
          <w:tcPr>
            <w:tcW w:w="1833" w:type="dxa"/>
            <w:shd w:val="clear" w:color="auto" w:fill="auto"/>
            <w:noWrap/>
            <w:vAlign w:val="center"/>
            <w:hideMark/>
          </w:tcPr>
          <w:p w14:paraId="0F5C3315"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Purchase intention</w:t>
            </w:r>
          </w:p>
        </w:tc>
        <w:tc>
          <w:tcPr>
            <w:tcW w:w="850" w:type="dxa"/>
            <w:shd w:val="clear" w:color="auto" w:fill="auto"/>
            <w:noWrap/>
            <w:vAlign w:val="center"/>
            <w:hideMark/>
          </w:tcPr>
          <w:p w14:paraId="5F206D97"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7A192633"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functionality</w:t>
            </w:r>
          </w:p>
        </w:tc>
        <w:tc>
          <w:tcPr>
            <w:tcW w:w="1418" w:type="dxa"/>
            <w:shd w:val="clear" w:color="auto" w:fill="auto"/>
            <w:vAlign w:val="center"/>
            <w:hideMark/>
          </w:tcPr>
          <w:p w14:paraId="31DB6565"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0.107</w:t>
            </w:r>
          </w:p>
        </w:tc>
        <w:tc>
          <w:tcPr>
            <w:tcW w:w="1417" w:type="dxa"/>
            <w:shd w:val="clear" w:color="auto" w:fill="auto"/>
            <w:vAlign w:val="center"/>
            <w:hideMark/>
          </w:tcPr>
          <w:p w14:paraId="48CD98B3"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0.197</w:t>
            </w:r>
          </w:p>
        </w:tc>
        <w:tc>
          <w:tcPr>
            <w:tcW w:w="993" w:type="dxa"/>
            <w:shd w:val="clear" w:color="auto" w:fill="auto"/>
            <w:vAlign w:val="center"/>
            <w:hideMark/>
          </w:tcPr>
          <w:p w14:paraId="1267F009"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1.506</w:t>
            </w:r>
          </w:p>
        </w:tc>
      </w:tr>
      <w:tr w:rsidR="00D65FF6" w:rsidRPr="00D53E24" w14:paraId="4BBCC3EB" w14:textId="77777777" w:rsidTr="00FD1819">
        <w:trPr>
          <w:trHeight w:val="285"/>
        </w:trPr>
        <w:tc>
          <w:tcPr>
            <w:tcW w:w="1833" w:type="dxa"/>
            <w:shd w:val="clear" w:color="auto" w:fill="auto"/>
            <w:noWrap/>
            <w:vAlign w:val="center"/>
            <w:hideMark/>
          </w:tcPr>
          <w:p w14:paraId="43FCC6E3"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Purchase intention</w:t>
            </w:r>
          </w:p>
        </w:tc>
        <w:tc>
          <w:tcPr>
            <w:tcW w:w="850" w:type="dxa"/>
            <w:shd w:val="clear" w:color="auto" w:fill="auto"/>
            <w:noWrap/>
            <w:vAlign w:val="center"/>
            <w:hideMark/>
          </w:tcPr>
          <w:p w14:paraId="5366D226"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2A98D3EC"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likeability</w:t>
            </w:r>
          </w:p>
        </w:tc>
        <w:tc>
          <w:tcPr>
            <w:tcW w:w="1418" w:type="dxa"/>
            <w:shd w:val="clear" w:color="auto" w:fill="auto"/>
            <w:vAlign w:val="center"/>
            <w:hideMark/>
          </w:tcPr>
          <w:p w14:paraId="4406CF96"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0.573</w:t>
            </w:r>
          </w:p>
        </w:tc>
        <w:tc>
          <w:tcPr>
            <w:tcW w:w="1417" w:type="dxa"/>
            <w:shd w:val="clear" w:color="auto" w:fill="auto"/>
            <w:vAlign w:val="center"/>
            <w:hideMark/>
          </w:tcPr>
          <w:p w14:paraId="545698F0"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0.159</w:t>
            </w:r>
          </w:p>
        </w:tc>
        <w:tc>
          <w:tcPr>
            <w:tcW w:w="993" w:type="dxa"/>
            <w:shd w:val="clear" w:color="auto" w:fill="auto"/>
            <w:noWrap/>
            <w:vAlign w:val="center"/>
            <w:hideMark/>
          </w:tcPr>
          <w:p w14:paraId="19361B29"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-6.406</w:t>
            </w:r>
          </w:p>
        </w:tc>
      </w:tr>
      <w:tr w:rsidR="00D65FF6" w:rsidRPr="00D53E24" w14:paraId="6830E51A" w14:textId="77777777" w:rsidTr="00FD1819">
        <w:trPr>
          <w:trHeight w:val="139"/>
        </w:trPr>
        <w:tc>
          <w:tcPr>
            <w:tcW w:w="1833" w:type="dxa"/>
            <w:shd w:val="clear" w:color="auto" w:fill="auto"/>
            <w:noWrap/>
            <w:vAlign w:val="center"/>
            <w:hideMark/>
          </w:tcPr>
          <w:p w14:paraId="23B4E7EA"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Purchase intention</w:t>
            </w:r>
          </w:p>
        </w:tc>
        <w:tc>
          <w:tcPr>
            <w:tcW w:w="850" w:type="dxa"/>
            <w:shd w:val="clear" w:color="auto" w:fill="auto"/>
            <w:noWrap/>
            <w:vAlign w:val="center"/>
            <w:hideMark/>
          </w:tcPr>
          <w:p w14:paraId="6E31B1CE"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037F15B7"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Emotional brand attachment</w:t>
            </w:r>
          </w:p>
        </w:tc>
        <w:tc>
          <w:tcPr>
            <w:tcW w:w="1418" w:type="dxa"/>
            <w:shd w:val="clear" w:color="auto" w:fill="auto"/>
            <w:noWrap/>
            <w:vAlign w:val="center"/>
            <w:hideMark/>
          </w:tcPr>
          <w:p w14:paraId="3D70B3EB"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-0.02</w:t>
            </w:r>
          </w:p>
        </w:tc>
        <w:tc>
          <w:tcPr>
            <w:tcW w:w="1417" w:type="dxa"/>
            <w:shd w:val="clear" w:color="auto" w:fill="auto"/>
            <w:vAlign w:val="center"/>
            <w:hideMark/>
          </w:tcPr>
          <w:p w14:paraId="27B31F2E"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0.211</w:t>
            </w:r>
          </w:p>
        </w:tc>
        <w:tc>
          <w:tcPr>
            <w:tcW w:w="993" w:type="dxa"/>
            <w:shd w:val="clear" w:color="auto" w:fill="auto"/>
            <w:vAlign w:val="center"/>
            <w:hideMark/>
          </w:tcPr>
          <w:p w14:paraId="1DBFF544"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4.284</w:t>
            </w:r>
          </w:p>
        </w:tc>
      </w:tr>
      <w:tr w:rsidR="00D65FF6" w:rsidRPr="00D53E24" w14:paraId="269C7F42" w14:textId="77777777" w:rsidTr="00FD1819">
        <w:trPr>
          <w:trHeight w:val="46"/>
        </w:trPr>
        <w:tc>
          <w:tcPr>
            <w:tcW w:w="1833" w:type="dxa"/>
            <w:shd w:val="clear" w:color="auto" w:fill="auto"/>
            <w:noWrap/>
            <w:vAlign w:val="center"/>
            <w:hideMark/>
          </w:tcPr>
          <w:p w14:paraId="36D20783"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Purchase intention</w:t>
            </w:r>
          </w:p>
        </w:tc>
        <w:tc>
          <w:tcPr>
            <w:tcW w:w="850" w:type="dxa"/>
            <w:shd w:val="clear" w:color="auto" w:fill="auto"/>
            <w:noWrap/>
            <w:vAlign w:val="center"/>
            <w:hideMark/>
          </w:tcPr>
          <w:p w14:paraId="32770A1A"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1BCB554C"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Brand trust</w:t>
            </w:r>
          </w:p>
        </w:tc>
        <w:tc>
          <w:tcPr>
            <w:tcW w:w="1418" w:type="dxa"/>
            <w:shd w:val="clear" w:color="auto" w:fill="auto"/>
            <w:vAlign w:val="center"/>
            <w:hideMark/>
          </w:tcPr>
          <w:p w14:paraId="629413E2" w14:textId="77777777" w:rsidR="00D65FF6" w:rsidRPr="00D53E24" w:rsidRDefault="00D65FF6" w:rsidP="00DB6CA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0.341</w:t>
            </w:r>
          </w:p>
        </w:tc>
        <w:tc>
          <w:tcPr>
            <w:tcW w:w="1417" w:type="dxa"/>
            <w:shd w:val="clear" w:color="auto" w:fill="auto"/>
            <w:vAlign w:val="center"/>
            <w:hideMark/>
          </w:tcPr>
          <w:p w14:paraId="65CBA5AF" w14:textId="77777777" w:rsidR="00D65FF6" w:rsidRPr="00D53E24" w:rsidRDefault="00D65FF6" w:rsidP="00DB6CA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0.39</w:t>
            </w:r>
          </w:p>
        </w:tc>
        <w:tc>
          <w:tcPr>
            <w:tcW w:w="993" w:type="dxa"/>
            <w:shd w:val="clear" w:color="auto" w:fill="auto"/>
            <w:vAlign w:val="center"/>
            <w:hideMark/>
          </w:tcPr>
          <w:p w14:paraId="50A00995" w14:textId="77777777" w:rsidR="00D65FF6" w:rsidRPr="00D53E24" w:rsidRDefault="00D65FF6" w:rsidP="00DB6CA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0.881</w:t>
            </w:r>
          </w:p>
        </w:tc>
      </w:tr>
      <w:tr w:rsidR="00D65FF6" w:rsidRPr="00D53E24" w14:paraId="1650AAF5" w14:textId="77777777" w:rsidTr="00FD1819">
        <w:trPr>
          <w:trHeight w:val="266"/>
        </w:trPr>
        <w:tc>
          <w:tcPr>
            <w:tcW w:w="1833" w:type="dxa"/>
            <w:shd w:val="clear" w:color="auto" w:fill="auto"/>
            <w:noWrap/>
            <w:vAlign w:val="center"/>
            <w:hideMark/>
          </w:tcPr>
          <w:p w14:paraId="5CCAD08E"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Purchase intention</w:t>
            </w:r>
          </w:p>
        </w:tc>
        <w:tc>
          <w:tcPr>
            <w:tcW w:w="850" w:type="dxa"/>
            <w:shd w:val="clear" w:color="auto" w:fill="auto"/>
            <w:noWrap/>
            <w:vAlign w:val="center"/>
            <w:hideMark/>
          </w:tcPr>
          <w:p w14:paraId="6BAFBFA9"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&lt;---</w:t>
            </w:r>
          </w:p>
        </w:tc>
        <w:tc>
          <w:tcPr>
            <w:tcW w:w="2278" w:type="dxa"/>
            <w:shd w:val="clear" w:color="auto" w:fill="auto"/>
            <w:vAlign w:val="center"/>
            <w:hideMark/>
          </w:tcPr>
          <w:p w14:paraId="50589BB2" w14:textId="77777777" w:rsidR="00D65FF6" w:rsidRPr="00D53E24" w:rsidRDefault="00D65FF6" w:rsidP="00D76248">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CSR</w:t>
            </w:r>
          </w:p>
        </w:tc>
        <w:tc>
          <w:tcPr>
            <w:tcW w:w="1418" w:type="dxa"/>
            <w:shd w:val="clear" w:color="auto" w:fill="auto"/>
            <w:vAlign w:val="center"/>
            <w:hideMark/>
          </w:tcPr>
          <w:p w14:paraId="7259EBAE" w14:textId="77777777" w:rsidR="00D65FF6" w:rsidRPr="00D53E24" w:rsidRDefault="00D65FF6" w:rsidP="00DB6CA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0.207</w:t>
            </w:r>
          </w:p>
        </w:tc>
        <w:tc>
          <w:tcPr>
            <w:tcW w:w="1417" w:type="dxa"/>
            <w:shd w:val="clear" w:color="auto" w:fill="auto"/>
            <w:vAlign w:val="center"/>
            <w:hideMark/>
          </w:tcPr>
          <w:p w14:paraId="7EB36140" w14:textId="77777777" w:rsidR="00D65FF6" w:rsidRPr="00D53E24" w:rsidRDefault="00D65FF6" w:rsidP="00DB6CAA">
            <w:pPr>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0.185</w:t>
            </w:r>
          </w:p>
        </w:tc>
        <w:tc>
          <w:tcPr>
            <w:tcW w:w="993" w:type="dxa"/>
            <w:shd w:val="clear" w:color="auto" w:fill="auto"/>
            <w:noWrap/>
            <w:vAlign w:val="center"/>
            <w:hideMark/>
          </w:tcPr>
          <w:p w14:paraId="42A6DBF2" w14:textId="77777777" w:rsidR="00D65FF6" w:rsidRPr="00D53E24" w:rsidRDefault="00D65FF6" w:rsidP="00D238AF">
            <w:pPr>
              <w:keepNext/>
              <w:spacing w:after="0" w:line="240" w:lineRule="auto"/>
              <w:rPr>
                <w:rFonts w:asciiTheme="majorBidi" w:eastAsia="Times New Roman" w:hAnsiTheme="majorBidi" w:cstheme="majorBidi"/>
                <w:color w:val="000000"/>
                <w:sz w:val="20"/>
                <w:szCs w:val="20"/>
              </w:rPr>
            </w:pPr>
            <w:r w:rsidRPr="00D53E24">
              <w:rPr>
                <w:rFonts w:asciiTheme="majorBidi" w:eastAsia="Times New Roman" w:hAnsiTheme="majorBidi" w:cstheme="majorBidi"/>
                <w:color w:val="000000"/>
                <w:sz w:val="20"/>
                <w:szCs w:val="20"/>
              </w:rPr>
              <w:t>-0.123</w:t>
            </w:r>
          </w:p>
        </w:tc>
      </w:tr>
    </w:tbl>
    <w:bookmarkEnd w:id="184"/>
    <w:p w14:paraId="4C2B6385" w14:textId="5BC7FC24" w:rsidR="00D238AF" w:rsidRDefault="00D238AF">
      <w:pPr>
        <w:pStyle w:val="Caption"/>
      </w:pPr>
      <w:r>
        <w:t>Table 4</w:t>
      </w:r>
      <w:r w:rsidR="00FD1819">
        <w:t>4</w:t>
      </w:r>
      <w:r>
        <w:t xml:space="preserve">* Effect size of CSR perception on all variables </w:t>
      </w:r>
      <w:r>
        <w:br/>
      </w:r>
      <w:r w:rsidRPr="00D238AF">
        <w:t>* z-value &gt; 1.96, this means that p-value &lt; 0.05</w:t>
      </w:r>
    </w:p>
    <w:bookmarkEnd w:id="153"/>
    <w:bookmarkEnd w:id="183"/>
    <w:p w14:paraId="5722464F" w14:textId="72E26308" w:rsidR="004E52B4" w:rsidRDefault="00D65FF6" w:rsidP="004E52B4">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While the above reported results examine the moderating effects of CSR perception, the subsequent sections further </w:t>
      </w:r>
      <w:r w:rsidR="00DD180D">
        <w:rPr>
          <w:rFonts w:asciiTheme="majorBidi" w:hAnsiTheme="majorBidi" w:cstheme="majorBidi"/>
          <w:sz w:val="24"/>
          <w:szCs w:val="24"/>
        </w:rPr>
        <w:t>analyse</w:t>
      </w:r>
      <w:r>
        <w:rPr>
          <w:rFonts w:asciiTheme="majorBidi" w:hAnsiTheme="majorBidi" w:cstheme="majorBidi"/>
          <w:sz w:val="24"/>
          <w:szCs w:val="24"/>
        </w:rPr>
        <w:t xml:space="preserve"> the CSR perception variable from a different angle. </w:t>
      </w:r>
    </w:p>
    <w:p w14:paraId="3F3ECE69" w14:textId="12CBD244" w:rsidR="00D65FF6" w:rsidRPr="004E52B4" w:rsidRDefault="00D65FF6" w:rsidP="00393BBE">
      <w:pPr>
        <w:spacing w:after="0" w:line="480" w:lineRule="auto"/>
        <w:rPr>
          <w:rFonts w:asciiTheme="majorBidi" w:hAnsiTheme="majorBidi" w:cstheme="majorBidi"/>
          <w:sz w:val="24"/>
          <w:szCs w:val="24"/>
        </w:rPr>
      </w:pPr>
      <w:r>
        <w:rPr>
          <w:rFonts w:asciiTheme="majorBidi" w:hAnsiTheme="majorBidi"/>
          <w:b/>
          <w:bCs/>
          <w:sz w:val="24"/>
          <w:szCs w:val="24"/>
        </w:rPr>
        <w:tab/>
      </w:r>
      <w:r w:rsidRPr="001C1BDF">
        <w:rPr>
          <w:rFonts w:asciiTheme="majorBidi" w:hAnsiTheme="majorBidi" w:cstheme="majorBidi"/>
          <w:sz w:val="24"/>
          <w:szCs w:val="24"/>
        </w:rPr>
        <w:t>To explore the effects of high and low CSR perception on the mediating variables and the final outcome and test H1</w:t>
      </w:r>
      <w:r w:rsidR="002F11E7">
        <w:rPr>
          <w:rFonts w:asciiTheme="majorBidi" w:hAnsiTheme="majorBidi" w:cstheme="majorBidi"/>
          <w:sz w:val="24"/>
          <w:szCs w:val="24"/>
        </w:rPr>
        <w:t>1</w:t>
      </w:r>
      <w:r w:rsidRPr="001C1BDF">
        <w:rPr>
          <w:rFonts w:asciiTheme="majorBidi" w:hAnsiTheme="majorBidi" w:cstheme="majorBidi"/>
          <w:sz w:val="24"/>
          <w:szCs w:val="24"/>
        </w:rPr>
        <w:t>, SEM (as explained in section 6.11) was also applied in the following sections</w:t>
      </w:r>
      <w:r w:rsidR="00393BBE">
        <w:rPr>
          <w:rFonts w:asciiTheme="majorBidi" w:hAnsiTheme="majorBidi" w:cstheme="majorBidi"/>
          <w:sz w:val="24"/>
          <w:szCs w:val="24"/>
        </w:rPr>
        <w:t>.</w:t>
      </w:r>
    </w:p>
    <w:p w14:paraId="67815A00" w14:textId="67821573" w:rsidR="00D65FF6" w:rsidRDefault="00D65FF6" w:rsidP="00D65FF6">
      <w:pPr>
        <w:tabs>
          <w:tab w:val="left" w:pos="630"/>
        </w:tabs>
        <w:spacing w:after="0" w:line="480" w:lineRule="auto"/>
        <w:jc w:val="both"/>
        <w:rPr>
          <w:rFonts w:asciiTheme="majorBidi" w:hAnsiTheme="majorBidi" w:cstheme="majorBidi"/>
          <w:b/>
          <w:bCs/>
          <w:sz w:val="24"/>
          <w:szCs w:val="24"/>
        </w:rPr>
      </w:pPr>
      <w:bookmarkStart w:id="185" w:name="_Hlk151487035"/>
      <w:r w:rsidRPr="004B0852">
        <w:rPr>
          <w:rFonts w:asciiTheme="majorBidi" w:hAnsiTheme="majorBidi" w:cstheme="majorBidi"/>
          <w:b/>
          <w:bCs/>
          <w:sz w:val="24"/>
          <w:szCs w:val="24"/>
        </w:rPr>
        <w:t>6.1</w:t>
      </w:r>
      <w:r w:rsidR="008D392E">
        <w:rPr>
          <w:rFonts w:asciiTheme="majorBidi" w:hAnsiTheme="majorBidi" w:cstheme="majorBidi"/>
          <w:b/>
          <w:bCs/>
          <w:sz w:val="24"/>
          <w:szCs w:val="24"/>
        </w:rPr>
        <w:t>2</w:t>
      </w:r>
      <w:r w:rsidR="00DB6CAA">
        <w:rPr>
          <w:rFonts w:asciiTheme="majorBidi" w:hAnsiTheme="majorBidi" w:cstheme="majorBidi"/>
          <w:b/>
          <w:bCs/>
          <w:sz w:val="24"/>
          <w:szCs w:val="24"/>
        </w:rPr>
        <w:t>.1</w:t>
      </w:r>
      <w:r w:rsidRPr="004B0852">
        <w:rPr>
          <w:rFonts w:asciiTheme="majorBidi" w:hAnsiTheme="majorBidi" w:cstheme="majorBidi"/>
          <w:b/>
          <w:bCs/>
          <w:sz w:val="24"/>
          <w:szCs w:val="24"/>
        </w:rPr>
        <w:t xml:space="preserve"> First theoretical model for</w:t>
      </w:r>
      <w:r w:rsidR="00393BBE">
        <w:rPr>
          <w:rFonts w:asciiTheme="majorBidi" w:hAnsiTheme="majorBidi" w:cstheme="majorBidi"/>
          <w:b/>
          <w:bCs/>
          <w:sz w:val="24"/>
          <w:szCs w:val="24"/>
        </w:rPr>
        <w:t xml:space="preserve"> CSR perception for</w:t>
      </w:r>
      <w:r w:rsidRPr="004B0852">
        <w:rPr>
          <w:rFonts w:asciiTheme="majorBidi" w:hAnsiTheme="majorBidi" w:cstheme="majorBidi"/>
          <w:b/>
          <w:bCs/>
          <w:sz w:val="24"/>
          <w:szCs w:val="24"/>
        </w:rPr>
        <w:t xml:space="preserve"> CSR group</w:t>
      </w:r>
      <w:r w:rsidR="00445663">
        <w:rPr>
          <w:rFonts w:asciiTheme="majorBidi" w:hAnsiTheme="majorBidi" w:cstheme="majorBidi"/>
          <w:b/>
          <w:bCs/>
          <w:sz w:val="24"/>
          <w:szCs w:val="24"/>
        </w:rPr>
        <w:t xml:space="preserve"> </w:t>
      </w:r>
    </w:p>
    <w:p w14:paraId="68669341" w14:textId="304E24E4" w:rsidR="00D65FF6" w:rsidRPr="00393BBE" w:rsidRDefault="00D65FF6" w:rsidP="00393BBE">
      <w:pPr>
        <w:spacing w:after="0" w:line="480" w:lineRule="auto"/>
        <w:rPr>
          <w:rFonts w:asciiTheme="majorBidi" w:hAnsiTheme="majorBidi" w:cstheme="majorBidi"/>
          <w:sz w:val="24"/>
          <w:szCs w:val="24"/>
        </w:rPr>
      </w:pPr>
      <w:r>
        <w:rPr>
          <w:rFonts w:asciiTheme="majorBidi" w:hAnsiTheme="majorBidi" w:cstheme="majorBidi"/>
          <w:b/>
          <w:bCs/>
          <w:sz w:val="24"/>
          <w:szCs w:val="24"/>
        </w:rPr>
        <w:tab/>
      </w:r>
      <w:r w:rsidR="00393BBE">
        <w:rPr>
          <w:rFonts w:asciiTheme="majorBidi" w:hAnsiTheme="majorBidi" w:cstheme="majorBidi"/>
          <w:sz w:val="24"/>
          <w:szCs w:val="24"/>
        </w:rPr>
        <w:t xml:space="preserve">In this section, first I test the effects of high and low CSR perception on the CSR groups then the effects of high and low CSR perceptions on the non-CSR groups. </w:t>
      </w:r>
      <w:r w:rsidRPr="008D75D3">
        <w:rPr>
          <w:rFonts w:asciiTheme="majorBidi" w:hAnsiTheme="majorBidi" w:cstheme="majorBidi"/>
          <w:sz w:val="24"/>
          <w:szCs w:val="24"/>
        </w:rPr>
        <w:t>To analy</w:t>
      </w:r>
      <w:r w:rsidR="00F7767A">
        <w:rPr>
          <w:rFonts w:asciiTheme="majorBidi" w:hAnsiTheme="majorBidi" w:cstheme="majorBidi"/>
          <w:sz w:val="24"/>
          <w:szCs w:val="24"/>
        </w:rPr>
        <w:t>s</w:t>
      </w:r>
      <w:r w:rsidRPr="008D75D3">
        <w:rPr>
          <w:rFonts w:asciiTheme="majorBidi" w:hAnsiTheme="majorBidi" w:cstheme="majorBidi"/>
          <w:sz w:val="24"/>
          <w:szCs w:val="24"/>
        </w:rPr>
        <w:t xml:space="preserve">e the theoretical model, the following path model </w:t>
      </w:r>
      <w:r>
        <w:rPr>
          <w:rFonts w:asciiTheme="majorBidi" w:hAnsiTheme="majorBidi" w:cstheme="majorBidi"/>
          <w:sz w:val="24"/>
          <w:szCs w:val="24"/>
        </w:rPr>
        <w:t>is assumed</w:t>
      </w:r>
      <w:r w:rsidRPr="008D75D3">
        <w:rPr>
          <w:rFonts w:asciiTheme="majorBidi" w:hAnsiTheme="majorBidi" w:cstheme="majorBidi"/>
          <w:sz w:val="24"/>
          <w:szCs w:val="24"/>
        </w:rPr>
        <w:t xml:space="preserve">. </w:t>
      </w:r>
    </w:p>
    <w:p w14:paraId="6FFCC989" w14:textId="77777777" w:rsidR="00544567" w:rsidRDefault="00D65FF6" w:rsidP="00544567">
      <w:pPr>
        <w:pStyle w:val="ListParagraph"/>
        <w:keepNext/>
        <w:tabs>
          <w:tab w:val="left" w:pos="630"/>
        </w:tabs>
        <w:spacing w:line="480" w:lineRule="auto"/>
        <w:ind w:hanging="720"/>
      </w:pPr>
      <w:r>
        <w:rPr>
          <w:noProof/>
        </w:rPr>
        <w:drawing>
          <wp:inline distT="0" distB="0" distL="0" distR="0" wp14:anchorId="35D35EE9" wp14:editId="6CE27218">
            <wp:extent cx="3895380" cy="2755900"/>
            <wp:effectExtent l="0" t="0" r="0" b="6350"/>
            <wp:docPr id="2077086186" name="Picture 1" descr="A diagram of a br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86186" name="Picture 1" descr="A diagram of a brand&#10;&#10;Description automatically generated with medium confidence"/>
                    <pic:cNvPicPr/>
                  </pic:nvPicPr>
                  <pic:blipFill>
                    <a:blip r:embed="rId57"/>
                    <a:stretch>
                      <a:fillRect/>
                    </a:stretch>
                  </pic:blipFill>
                  <pic:spPr>
                    <a:xfrm>
                      <a:off x="0" y="0"/>
                      <a:ext cx="3963465" cy="2804069"/>
                    </a:xfrm>
                    <a:prstGeom prst="rect">
                      <a:avLst/>
                    </a:prstGeom>
                  </pic:spPr>
                </pic:pic>
              </a:graphicData>
            </a:graphic>
          </wp:inline>
        </w:drawing>
      </w:r>
    </w:p>
    <w:p w14:paraId="313A06DC" w14:textId="40D3232B" w:rsidR="00D65FF6" w:rsidRPr="003D1026" w:rsidRDefault="00544567" w:rsidP="00544567">
      <w:pPr>
        <w:pStyle w:val="Caption"/>
        <w:rPr>
          <w:rFonts w:asciiTheme="majorBidi" w:hAnsiTheme="majorBidi" w:cstheme="majorBidi"/>
          <w:b/>
          <w:bCs/>
          <w:sz w:val="24"/>
          <w:szCs w:val="24"/>
          <w:u w:val="single"/>
        </w:rPr>
      </w:pPr>
      <w:r>
        <w:t>Figure 28 Theoretical model without the moderators for the CSR group</w:t>
      </w:r>
    </w:p>
    <w:p w14:paraId="1A25F2E0" w14:textId="77777777" w:rsidR="00D65FF6" w:rsidRPr="008D75D3" w:rsidRDefault="00D65FF6" w:rsidP="00D65FF6">
      <w:pPr>
        <w:tabs>
          <w:tab w:val="left" w:pos="630"/>
        </w:tabs>
        <w:spacing w:after="0" w:line="480" w:lineRule="auto"/>
        <w:jc w:val="both"/>
        <w:rPr>
          <w:rFonts w:asciiTheme="majorBidi" w:hAnsiTheme="majorBidi" w:cstheme="majorBidi"/>
          <w:sz w:val="24"/>
          <w:szCs w:val="24"/>
        </w:rPr>
      </w:pPr>
      <w:r w:rsidRPr="008D75D3">
        <w:rPr>
          <w:rFonts w:asciiTheme="majorBidi" w:hAnsiTheme="majorBidi" w:cstheme="majorBidi"/>
          <w:sz w:val="24"/>
          <w:szCs w:val="24"/>
        </w:rPr>
        <w:t>The following table presents the estimates of the above model</w:t>
      </w:r>
      <w:r>
        <w:rPr>
          <w:rFonts w:asciiTheme="majorBidi" w:hAnsiTheme="majorBidi" w:cstheme="majorBidi"/>
          <w:sz w:val="24"/>
          <w:szCs w:val="24"/>
        </w:rPr>
        <w:t xml:space="preserve">. </w:t>
      </w:r>
      <w:r w:rsidRPr="008D75D3">
        <w:rPr>
          <w:rFonts w:asciiTheme="majorBidi" w:hAnsiTheme="majorBidi" w:cstheme="majorBidi"/>
          <w:sz w:val="24"/>
          <w:szCs w:val="24"/>
        </w:rPr>
        <w:t xml:space="preserve">From it we can conclude that </w:t>
      </w:r>
      <w:r>
        <w:rPr>
          <w:rFonts w:asciiTheme="majorBidi" w:hAnsiTheme="majorBidi" w:cstheme="majorBidi"/>
          <w:sz w:val="24"/>
          <w:szCs w:val="24"/>
        </w:rPr>
        <w:t>below.</w:t>
      </w:r>
    </w:p>
    <w:p w14:paraId="3CE343C2" w14:textId="77777777" w:rsidR="00D65FF6" w:rsidRPr="00B0495C" w:rsidRDefault="00D65FF6">
      <w:pPr>
        <w:pStyle w:val="ListParagraph"/>
        <w:numPr>
          <w:ilvl w:val="0"/>
          <w:numId w:val="15"/>
        </w:numPr>
        <w:tabs>
          <w:tab w:val="left" w:pos="630"/>
        </w:tabs>
        <w:spacing w:after="0" w:line="480" w:lineRule="auto"/>
        <w:ind w:left="1170"/>
        <w:jc w:val="both"/>
        <w:rPr>
          <w:rFonts w:asciiTheme="majorBidi" w:hAnsiTheme="majorBidi" w:cstheme="majorBidi"/>
          <w:sz w:val="24"/>
          <w:szCs w:val="24"/>
        </w:rPr>
      </w:pPr>
      <w:r>
        <w:rPr>
          <w:rFonts w:asciiTheme="majorBidi" w:hAnsiTheme="majorBidi" w:cstheme="majorBidi"/>
          <w:sz w:val="24"/>
          <w:szCs w:val="24"/>
        </w:rPr>
        <w:t xml:space="preserve">CSR perception does not </w:t>
      </w:r>
      <w:r w:rsidRPr="003F1EE5">
        <w:rPr>
          <w:rFonts w:asciiTheme="majorBidi" w:hAnsiTheme="majorBidi" w:cstheme="majorBidi"/>
          <w:sz w:val="24"/>
          <w:szCs w:val="24"/>
        </w:rPr>
        <w:t>significantly affect</w:t>
      </w:r>
      <w:r>
        <w:rPr>
          <w:rFonts w:asciiTheme="majorBidi" w:hAnsiTheme="majorBidi" w:cstheme="majorBidi"/>
          <w:sz w:val="24"/>
          <w:szCs w:val="24"/>
        </w:rPr>
        <w:t xml:space="preserve"> Brand functionality</w:t>
      </w:r>
      <w:r w:rsidRPr="003F1EE5">
        <w:rPr>
          <w:rFonts w:asciiTheme="majorBidi" w:hAnsiTheme="majorBidi" w:cstheme="majorBidi"/>
          <w:sz w:val="24"/>
          <w:szCs w:val="24"/>
        </w:rPr>
        <w:t xml:space="preserve"> with 95%</w:t>
      </w:r>
      <w:r>
        <w:rPr>
          <w:rFonts w:asciiTheme="majorBidi" w:hAnsiTheme="majorBidi" w:cstheme="majorBidi"/>
          <w:sz w:val="24"/>
          <w:szCs w:val="24"/>
        </w:rPr>
        <w:t xml:space="preserve"> </w:t>
      </w:r>
      <w:r w:rsidRPr="003F1EE5">
        <w:rPr>
          <w:rFonts w:asciiTheme="majorBidi" w:hAnsiTheme="majorBidi" w:cstheme="majorBidi"/>
          <w:sz w:val="24"/>
          <w:szCs w:val="24"/>
        </w:rPr>
        <w:t>confiden</w:t>
      </w:r>
      <w:r>
        <w:rPr>
          <w:rFonts w:asciiTheme="majorBidi" w:hAnsiTheme="majorBidi" w:cstheme="majorBidi"/>
          <w:sz w:val="24"/>
          <w:szCs w:val="24"/>
        </w:rPr>
        <w:t>ce level</w:t>
      </w:r>
      <w:r w:rsidRPr="003F1EE5">
        <w:rPr>
          <w:rFonts w:asciiTheme="majorBidi" w:hAnsiTheme="majorBidi" w:cstheme="majorBidi"/>
          <w:sz w:val="24"/>
          <w:szCs w:val="24"/>
        </w:rPr>
        <w:t xml:space="preserve">, as the p-value associated with them </w:t>
      </w:r>
      <w:r>
        <w:rPr>
          <w:rFonts w:asciiTheme="majorBidi" w:hAnsiTheme="majorBidi" w:cstheme="majorBidi"/>
          <w:sz w:val="24"/>
          <w:szCs w:val="24"/>
        </w:rPr>
        <w:t>is</w:t>
      </w:r>
      <w:r w:rsidRPr="003F1EE5">
        <w:rPr>
          <w:rFonts w:asciiTheme="majorBidi" w:hAnsiTheme="majorBidi" w:cstheme="majorBidi"/>
          <w:sz w:val="24"/>
          <w:szCs w:val="24"/>
        </w:rPr>
        <w:t xml:space="preserve"> greater than 5%. </w:t>
      </w:r>
    </w:p>
    <w:p w14:paraId="75AB2EC8" w14:textId="77777777" w:rsidR="00D65FF6" w:rsidRPr="00D53E24" w:rsidRDefault="00D65FF6">
      <w:pPr>
        <w:pStyle w:val="ListParagraph"/>
        <w:numPr>
          <w:ilvl w:val="0"/>
          <w:numId w:val="15"/>
        </w:numPr>
        <w:tabs>
          <w:tab w:val="left" w:pos="630"/>
        </w:tabs>
        <w:spacing w:after="200" w:line="480" w:lineRule="auto"/>
        <w:ind w:left="1170"/>
        <w:jc w:val="both"/>
        <w:rPr>
          <w:rFonts w:asciiTheme="majorBidi" w:hAnsiTheme="majorBidi" w:cstheme="majorBidi"/>
          <w:sz w:val="24"/>
          <w:szCs w:val="24"/>
        </w:rPr>
      </w:pPr>
      <w:r w:rsidRPr="00D53E24">
        <w:rPr>
          <w:rFonts w:asciiTheme="majorBidi" w:hAnsiTheme="majorBidi" w:cstheme="majorBidi"/>
          <w:sz w:val="24"/>
          <w:szCs w:val="24"/>
        </w:rPr>
        <w:t xml:space="preserve">Brand functionality does not significantly affect purchase intention with 95% confidence level, as the p-value associated with them is greater than 5%. </w:t>
      </w:r>
    </w:p>
    <w:p w14:paraId="7110DE6D" w14:textId="453392A1" w:rsidR="00D65FF6" w:rsidRPr="00D238AF" w:rsidRDefault="00D65FF6" w:rsidP="00D238AF">
      <w:pPr>
        <w:tabs>
          <w:tab w:val="left" w:pos="630"/>
        </w:tabs>
        <w:spacing w:line="480" w:lineRule="auto"/>
        <w:ind w:left="720"/>
        <w:jc w:val="both"/>
        <w:rPr>
          <w:rFonts w:asciiTheme="majorBidi" w:hAnsiTheme="majorBidi" w:cstheme="majorBidi"/>
          <w:sz w:val="24"/>
          <w:szCs w:val="24"/>
        </w:rPr>
      </w:pPr>
      <w:r w:rsidRPr="009553E2">
        <w:rPr>
          <w:rFonts w:asciiTheme="majorBidi" w:hAnsiTheme="majorBidi" w:cstheme="majorBidi"/>
          <w:sz w:val="24"/>
          <w:szCs w:val="24"/>
        </w:rPr>
        <w:t>Accordingly, these paths are removed from the model and re-designed again.</w:t>
      </w:r>
    </w:p>
    <w:tbl>
      <w:tblPr>
        <w:tblW w:w="8497" w:type="dxa"/>
        <w:tblInd w:w="26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94"/>
        <w:gridCol w:w="625"/>
        <w:gridCol w:w="1876"/>
        <w:gridCol w:w="1126"/>
        <w:gridCol w:w="992"/>
        <w:gridCol w:w="850"/>
        <w:gridCol w:w="1134"/>
      </w:tblGrid>
      <w:tr w:rsidR="00D65FF6" w:rsidRPr="00D53E24" w14:paraId="111406B0" w14:textId="77777777" w:rsidTr="00FD1819">
        <w:trPr>
          <w:trHeight w:val="231"/>
          <w:tblHeader/>
        </w:trPr>
        <w:tc>
          <w:tcPr>
            <w:tcW w:w="1894" w:type="dxa"/>
            <w:tcBorders>
              <w:bottom w:val="single" w:sz="6" w:space="0" w:color="auto"/>
            </w:tcBorders>
            <w:tcMar>
              <w:top w:w="15" w:type="dxa"/>
              <w:left w:w="140" w:type="dxa"/>
              <w:bottom w:w="15" w:type="dxa"/>
              <w:right w:w="140" w:type="dxa"/>
            </w:tcMar>
            <w:vAlign w:val="center"/>
            <w:hideMark/>
          </w:tcPr>
          <w:p w14:paraId="2F31FCA0" w14:textId="77777777" w:rsidR="00D65FF6" w:rsidRPr="00D53E24" w:rsidRDefault="00D65FF6" w:rsidP="008D0DBB">
            <w:pPr>
              <w:spacing w:after="0" w:line="240" w:lineRule="auto"/>
              <w:rPr>
                <w:rFonts w:ascii="Times New Roman" w:eastAsia="Times New Roman" w:hAnsi="Times New Roman" w:cs="Times New Roman"/>
                <w:sz w:val="20"/>
                <w:szCs w:val="20"/>
              </w:rPr>
            </w:pPr>
          </w:p>
        </w:tc>
        <w:tc>
          <w:tcPr>
            <w:tcW w:w="0" w:type="auto"/>
            <w:tcBorders>
              <w:bottom w:val="single" w:sz="6" w:space="0" w:color="auto"/>
            </w:tcBorders>
            <w:tcMar>
              <w:top w:w="15" w:type="dxa"/>
              <w:left w:w="140" w:type="dxa"/>
              <w:bottom w:w="15" w:type="dxa"/>
              <w:right w:w="140" w:type="dxa"/>
            </w:tcMar>
            <w:vAlign w:val="center"/>
            <w:hideMark/>
          </w:tcPr>
          <w:p w14:paraId="2BB557E0"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p>
        </w:tc>
        <w:tc>
          <w:tcPr>
            <w:tcW w:w="1876" w:type="dxa"/>
            <w:tcBorders>
              <w:bottom w:val="single" w:sz="6" w:space="0" w:color="auto"/>
              <w:right w:val="single" w:sz="6" w:space="0" w:color="auto"/>
            </w:tcBorders>
            <w:tcMar>
              <w:top w:w="15" w:type="dxa"/>
              <w:left w:w="140" w:type="dxa"/>
              <w:bottom w:w="15" w:type="dxa"/>
              <w:right w:w="140" w:type="dxa"/>
            </w:tcMar>
            <w:vAlign w:val="center"/>
            <w:hideMark/>
          </w:tcPr>
          <w:p w14:paraId="66F8E65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p>
        </w:tc>
        <w:tc>
          <w:tcPr>
            <w:tcW w:w="1126" w:type="dxa"/>
            <w:tcBorders>
              <w:bottom w:val="single" w:sz="6" w:space="0" w:color="auto"/>
            </w:tcBorders>
            <w:tcMar>
              <w:top w:w="15" w:type="dxa"/>
              <w:left w:w="140" w:type="dxa"/>
              <w:bottom w:w="15" w:type="dxa"/>
              <w:right w:w="140" w:type="dxa"/>
            </w:tcMar>
            <w:vAlign w:val="center"/>
            <w:hideMark/>
          </w:tcPr>
          <w:p w14:paraId="75AA949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Estimate</w:t>
            </w:r>
          </w:p>
        </w:tc>
        <w:tc>
          <w:tcPr>
            <w:tcW w:w="992" w:type="dxa"/>
            <w:tcBorders>
              <w:bottom w:val="single" w:sz="6" w:space="0" w:color="auto"/>
            </w:tcBorders>
            <w:tcMar>
              <w:top w:w="15" w:type="dxa"/>
              <w:left w:w="140" w:type="dxa"/>
              <w:bottom w:w="15" w:type="dxa"/>
              <w:right w:w="140" w:type="dxa"/>
            </w:tcMar>
            <w:vAlign w:val="center"/>
            <w:hideMark/>
          </w:tcPr>
          <w:p w14:paraId="2C143D87"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S.E.</w:t>
            </w:r>
          </w:p>
        </w:tc>
        <w:tc>
          <w:tcPr>
            <w:tcW w:w="850" w:type="dxa"/>
            <w:tcBorders>
              <w:bottom w:val="single" w:sz="6" w:space="0" w:color="auto"/>
            </w:tcBorders>
            <w:tcMar>
              <w:top w:w="15" w:type="dxa"/>
              <w:left w:w="140" w:type="dxa"/>
              <w:bottom w:w="15" w:type="dxa"/>
              <w:right w:w="140" w:type="dxa"/>
            </w:tcMar>
            <w:vAlign w:val="center"/>
            <w:hideMark/>
          </w:tcPr>
          <w:p w14:paraId="1F892C80"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C.R.</w:t>
            </w:r>
          </w:p>
        </w:tc>
        <w:tc>
          <w:tcPr>
            <w:tcW w:w="1134" w:type="dxa"/>
            <w:tcBorders>
              <w:bottom w:val="single" w:sz="6" w:space="0" w:color="auto"/>
            </w:tcBorders>
            <w:tcMar>
              <w:top w:w="15" w:type="dxa"/>
              <w:left w:w="140" w:type="dxa"/>
              <w:bottom w:w="15" w:type="dxa"/>
              <w:right w:w="140" w:type="dxa"/>
            </w:tcMar>
            <w:vAlign w:val="center"/>
            <w:hideMark/>
          </w:tcPr>
          <w:p w14:paraId="6C7CF6C6"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w:t>
            </w:r>
          </w:p>
        </w:tc>
      </w:tr>
      <w:tr w:rsidR="00D65FF6" w:rsidRPr="00D53E24" w14:paraId="0592C10E" w14:textId="77777777" w:rsidTr="00FD1819">
        <w:trPr>
          <w:trHeight w:val="231"/>
        </w:trPr>
        <w:tc>
          <w:tcPr>
            <w:tcW w:w="1894" w:type="dxa"/>
            <w:tcMar>
              <w:top w:w="15" w:type="dxa"/>
              <w:left w:w="57" w:type="dxa"/>
              <w:bottom w:w="15" w:type="dxa"/>
              <w:right w:w="57" w:type="dxa"/>
            </w:tcMar>
            <w:vAlign w:val="center"/>
            <w:hideMark/>
          </w:tcPr>
          <w:p w14:paraId="4851520C"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  Likeability</w:t>
            </w:r>
          </w:p>
        </w:tc>
        <w:tc>
          <w:tcPr>
            <w:tcW w:w="0" w:type="auto"/>
            <w:noWrap/>
            <w:tcMar>
              <w:top w:w="15" w:type="dxa"/>
              <w:left w:w="57" w:type="dxa"/>
              <w:bottom w:w="15" w:type="dxa"/>
              <w:right w:w="57" w:type="dxa"/>
            </w:tcMar>
            <w:vAlign w:val="center"/>
            <w:hideMark/>
          </w:tcPr>
          <w:p w14:paraId="72C57477"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1C11FED5"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126" w:type="dxa"/>
            <w:tcMar>
              <w:top w:w="15" w:type="dxa"/>
              <w:left w:w="140" w:type="dxa"/>
              <w:bottom w:w="15" w:type="dxa"/>
              <w:right w:w="140" w:type="dxa"/>
            </w:tcMar>
            <w:vAlign w:val="center"/>
            <w:hideMark/>
          </w:tcPr>
          <w:p w14:paraId="7969DFC2"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.544</w:t>
            </w:r>
          </w:p>
        </w:tc>
        <w:tc>
          <w:tcPr>
            <w:tcW w:w="992" w:type="dxa"/>
            <w:tcMar>
              <w:top w:w="15" w:type="dxa"/>
              <w:left w:w="140" w:type="dxa"/>
              <w:bottom w:w="15" w:type="dxa"/>
              <w:right w:w="140" w:type="dxa"/>
            </w:tcMar>
            <w:vAlign w:val="center"/>
            <w:hideMark/>
          </w:tcPr>
          <w:p w14:paraId="6DBA0006"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.155</w:t>
            </w:r>
          </w:p>
        </w:tc>
        <w:tc>
          <w:tcPr>
            <w:tcW w:w="850" w:type="dxa"/>
            <w:tcMar>
              <w:top w:w="15" w:type="dxa"/>
              <w:left w:w="140" w:type="dxa"/>
              <w:bottom w:w="15" w:type="dxa"/>
              <w:right w:w="140" w:type="dxa"/>
            </w:tcMar>
            <w:vAlign w:val="center"/>
            <w:hideMark/>
          </w:tcPr>
          <w:p w14:paraId="139FCB6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3.503</w:t>
            </w:r>
          </w:p>
        </w:tc>
        <w:tc>
          <w:tcPr>
            <w:tcW w:w="1134" w:type="dxa"/>
            <w:tcMar>
              <w:top w:w="15" w:type="dxa"/>
              <w:left w:w="140" w:type="dxa"/>
              <w:bottom w:w="15" w:type="dxa"/>
              <w:right w:w="140" w:type="dxa"/>
            </w:tcMar>
            <w:vAlign w:val="center"/>
            <w:hideMark/>
          </w:tcPr>
          <w:p w14:paraId="744B3DE7"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3B3158CE" w14:textId="77777777" w:rsidTr="00FD1819">
        <w:trPr>
          <w:trHeight w:val="231"/>
        </w:trPr>
        <w:tc>
          <w:tcPr>
            <w:tcW w:w="1894" w:type="dxa"/>
            <w:tcMar>
              <w:top w:w="15" w:type="dxa"/>
              <w:left w:w="57" w:type="dxa"/>
              <w:bottom w:w="15" w:type="dxa"/>
              <w:right w:w="57" w:type="dxa"/>
            </w:tcMar>
            <w:vAlign w:val="center"/>
            <w:hideMark/>
          </w:tcPr>
          <w:p w14:paraId="6A04EC8E"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Emotional brand</w:t>
            </w:r>
          </w:p>
        </w:tc>
        <w:tc>
          <w:tcPr>
            <w:tcW w:w="0" w:type="auto"/>
            <w:noWrap/>
            <w:tcMar>
              <w:top w:w="15" w:type="dxa"/>
              <w:left w:w="57" w:type="dxa"/>
              <w:bottom w:w="15" w:type="dxa"/>
              <w:right w:w="57" w:type="dxa"/>
            </w:tcMar>
            <w:vAlign w:val="center"/>
            <w:hideMark/>
          </w:tcPr>
          <w:p w14:paraId="59F405CF"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018FCA91"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126" w:type="dxa"/>
            <w:tcMar>
              <w:top w:w="15" w:type="dxa"/>
              <w:left w:w="140" w:type="dxa"/>
              <w:bottom w:w="15" w:type="dxa"/>
              <w:right w:w="140" w:type="dxa"/>
            </w:tcMar>
            <w:vAlign w:val="center"/>
            <w:hideMark/>
          </w:tcPr>
          <w:p w14:paraId="045AD387"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.594</w:t>
            </w:r>
          </w:p>
        </w:tc>
        <w:tc>
          <w:tcPr>
            <w:tcW w:w="992" w:type="dxa"/>
            <w:tcMar>
              <w:top w:w="15" w:type="dxa"/>
              <w:left w:w="140" w:type="dxa"/>
              <w:bottom w:w="15" w:type="dxa"/>
              <w:right w:w="140" w:type="dxa"/>
            </w:tcMar>
            <w:vAlign w:val="center"/>
            <w:hideMark/>
          </w:tcPr>
          <w:p w14:paraId="2B719406"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.187</w:t>
            </w:r>
          </w:p>
        </w:tc>
        <w:tc>
          <w:tcPr>
            <w:tcW w:w="850" w:type="dxa"/>
            <w:tcMar>
              <w:top w:w="15" w:type="dxa"/>
              <w:left w:w="140" w:type="dxa"/>
              <w:bottom w:w="15" w:type="dxa"/>
              <w:right w:w="140" w:type="dxa"/>
            </w:tcMar>
            <w:vAlign w:val="center"/>
            <w:hideMark/>
          </w:tcPr>
          <w:p w14:paraId="3F486F12"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3.172</w:t>
            </w:r>
          </w:p>
        </w:tc>
        <w:tc>
          <w:tcPr>
            <w:tcW w:w="1134" w:type="dxa"/>
            <w:tcMar>
              <w:top w:w="15" w:type="dxa"/>
              <w:left w:w="140" w:type="dxa"/>
              <w:bottom w:w="15" w:type="dxa"/>
              <w:right w:w="140" w:type="dxa"/>
            </w:tcMar>
            <w:vAlign w:val="center"/>
            <w:hideMark/>
          </w:tcPr>
          <w:p w14:paraId="58D9EBA1"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.002</w:t>
            </w:r>
          </w:p>
        </w:tc>
      </w:tr>
      <w:tr w:rsidR="00D65FF6" w:rsidRPr="00D53E24" w14:paraId="6BE90F7A" w14:textId="77777777" w:rsidTr="00FD1819">
        <w:trPr>
          <w:trHeight w:val="238"/>
        </w:trPr>
        <w:tc>
          <w:tcPr>
            <w:tcW w:w="1894" w:type="dxa"/>
            <w:tcMar>
              <w:top w:w="15" w:type="dxa"/>
              <w:left w:w="57" w:type="dxa"/>
              <w:bottom w:w="15" w:type="dxa"/>
              <w:right w:w="57" w:type="dxa"/>
            </w:tcMar>
            <w:vAlign w:val="center"/>
            <w:hideMark/>
          </w:tcPr>
          <w:p w14:paraId="6F289E1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Ad Likeability</w:t>
            </w:r>
          </w:p>
        </w:tc>
        <w:tc>
          <w:tcPr>
            <w:tcW w:w="0" w:type="auto"/>
            <w:noWrap/>
            <w:tcMar>
              <w:top w:w="15" w:type="dxa"/>
              <w:left w:w="57" w:type="dxa"/>
              <w:bottom w:w="15" w:type="dxa"/>
              <w:right w:w="57" w:type="dxa"/>
            </w:tcMar>
            <w:vAlign w:val="center"/>
            <w:hideMark/>
          </w:tcPr>
          <w:p w14:paraId="0445CE99"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051368F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Perception</w:t>
            </w:r>
          </w:p>
        </w:tc>
        <w:tc>
          <w:tcPr>
            <w:tcW w:w="1126" w:type="dxa"/>
            <w:tcMar>
              <w:top w:w="15" w:type="dxa"/>
              <w:left w:w="140" w:type="dxa"/>
              <w:bottom w:w="15" w:type="dxa"/>
              <w:right w:w="140" w:type="dxa"/>
            </w:tcMar>
            <w:vAlign w:val="center"/>
            <w:hideMark/>
          </w:tcPr>
          <w:p w14:paraId="54AEE46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.646</w:t>
            </w:r>
          </w:p>
        </w:tc>
        <w:tc>
          <w:tcPr>
            <w:tcW w:w="992" w:type="dxa"/>
            <w:tcMar>
              <w:top w:w="15" w:type="dxa"/>
              <w:left w:w="140" w:type="dxa"/>
              <w:bottom w:w="15" w:type="dxa"/>
              <w:right w:w="140" w:type="dxa"/>
            </w:tcMar>
            <w:vAlign w:val="center"/>
            <w:hideMark/>
          </w:tcPr>
          <w:p w14:paraId="547E573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.164</w:t>
            </w:r>
          </w:p>
        </w:tc>
        <w:tc>
          <w:tcPr>
            <w:tcW w:w="850" w:type="dxa"/>
            <w:tcMar>
              <w:top w:w="15" w:type="dxa"/>
              <w:left w:w="140" w:type="dxa"/>
              <w:bottom w:w="15" w:type="dxa"/>
              <w:right w:w="140" w:type="dxa"/>
            </w:tcMar>
            <w:vAlign w:val="center"/>
            <w:hideMark/>
          </w:tcPr>
          <w:p w14:paraId="0DE460C7"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3.944</w:t>
            </w:r>
          </w:p>
        </w:tc>
        <w:tc>
          <w:tcPr>
            <w:tcW w:w="1134" w:type="dxa"/>
            <w:tcMar>
              <w:top w:w="15" w:type="dxa"/>
              <w:left w:w="140" w:type="dxa"/>
              <w:bottom w:w="15" w:type="dxa"/>
              <w:right w:w="140" w:type="dxa"/>
            </w:tcMar>
            <w:vAlign w:val="center"/>
            <w:hideMark/>
          </w:tcPr>
          <w:p w14:paraId="0D61619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D53E24" w14:paraId="3E510366" w14:textId="77777777" w:rsidTr="00FD1819">
        <w:trPr>
          <w:trHeight w:val="231"/>
        </w:trPr>
        <w:tc>
          <w:tcPr>
            <w:tcW w:w="1894" w:type="dxa"/>
            <w:tcMar>
              <w:top w:w="15" w:type="dxa"/>
              <w:left w:w="57" w:type="dxa"/>
              <w:bottom w:w="15" w:type="dxa"/>
              <w:right w:w="57" w:type="dxa"/>
            </w:tcMar>
            <w:vAlign w:val="center"/>
            <w:hideMark/>
          </w:tcPr>
          <w:p w14:paraId="6703BBA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trust</w:t>
            </w:r>
          </w:p>
        </w:tc>
        <w:tc>
          <w:tcPr>
            <w:tcW w:w="0" w:type="auto"/>
            <w:noWrap/>
            <w:tcMar>
              <w:top w:w="15" w:type="dxa"/>
              <w:left w:w="57" w:type="dxa"/>
              <w:bottom w:w="15" w:type="dxa"/>
              <w:right w:w="57" w:type="dxa"/>
            </w:tcMar>
            <w:vAlign w:val="center"/>
            <w:hideMark/>
          </w:tcPr>
          <w:p w14:paraId="1543952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5CBE6AB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Perception</w:t>
            </w:r>
          </w:p>
        </w:tc>
        <w:tc>
          <w:tcPr>
            <w:tcW w:w="1126" w:type="dxa"/>
            <w:tcMar>
              <w:top w:w="15" w:type="dxa"/>
              <w:left w:w="140" w:type="dxa"/>
              <w:bottom w:w="15" w:type="dxa"/>
              <w:right w:w="140" w:type="dxa"/>
            </w:tcMar>
            <w:vAlign w:val="center"/>
            <w:hideMark/>
          </w:tcPr>
          <w:p w14:paraId="10119F8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.588</w:t>
            </w:r>
          </w:p>
        </w:tc>
        <w:tc>
          <w:tcPr>
            <w:tcW w:w="992" w:type="dxa"/>
            <w:tcMar>
              <w:top w:w="15" w:type="dxa"/>
              <w:left w:w="140" w:type="dxa"/>
              <w:bottom w:w="15" w:type="dxa"/>
              <w:right w:w="140" w:type="dxa"/>
            </w:tcMar>
            <w:vAlign w:val="center"/>
            <w:hideMark/>
          </w:tcPr>
          <w:p w14:paraId="0F21500A"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.178</w:t>
            </w:r>
          </w:p>
        </w:tc>
        <w:tc>
          <w:tcPr>
            <w:tcW w:w="850" w:type="dxa"/>
            <w:tcMar>
              <w:top w:w="15" w:type="dxa"/>
              <w:left w:w="140" w:type="dxa"/>
              <w:bottom w:w="15" w:type="dxa"/>
              <w:right w:w="140" w:type="dxa"/>
            </w:tcMar>
            <w:vAlign w:val="center"/>
            <w:hideMark/>
          </w:tcPr>
          <w:p w14:paraId="0C08553F"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3.298</w:t>
            </w:r>
          </w:p>
        </w:tc>
        <w:tc>
          <w:tcPr>
            <w:tcW w:w="1134" w:type="dxa"/>
            <w:tcMar>
              <w:top w:w="15" w:type="dxa"/>
              <w:left w:w="140" w:type="dxa"/>
              <w:bottom w:w="15" w:type="dxa"/>
              <w:right w:w="140" w:type="dxa"/>
            </w:tcMar>
            <w:vAlign w:val="center"/>
            <w:hideMark/>
          </w:tcPr>
          <w:p w14:paraId="36BAFB8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D53E24" w14:paraId="0EE488CF" w14:textId="77777777" w:rsidTr="00FD1819">
        <w:trPr>
          <w:trHeight w:val="231"/>
        </w:trPr>
        <w:tc>
          <w:tcPr>
            <w:tcW w:w="1894" w:type="dxa"/>
            <w:tcMar>
              <w:top w:w="15" w:type="dxa"/>
              <w:left w:w="57" w:type="dxa"/>
              <w:bottom w:w="15" w:type="dxa"/>
              <w:right w:w="57" w:type="dxa"/>
            </w:tcMar>
            <w:vAlign w:val="center"/>
            <w:hideMark/>
          </w:tcPr>
          <w:p w14:paraId="44FC3C3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0" w:type="auto"/>
            <w:noWrap/>
            <w:tcMar>
              <w:top w:w="15" w:type="dxa"/>
              <w:left w:w="57" w:type="dxa"/>
              <w:bottom w:w="15" w:type="dxa"/>
              <w:right w:w="57" w:type="dxa"/>
            </w:tcMar>
            <w:vAlign w:val="center"/>
            <w:hideMark/>
          </w:tcPr>
          <w:p w14:paraId="1B9EF3DB"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3BFDE549"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Ad Likeability</w:t>
            </w:r>
          </w:p>
        </w:tc>
        <w:tc>
          <w:tcPr>
            <w:tcW w:w="1126" w:type="dxa"/>
            <w:tcMar>
              <w:top w:w="15" w:type="dxa"/>
              <w:left w:w="140" w:type="dxa"/>
              <w:bottom w:w="15" w:type="dxa"/>
              <w:right w:w="140" w:type="dxa"/>
            </w:tcMar>
            <w:vAlign w:val="center"/>
            <w:hideMark/>
          </w:tcPr>
          <w:p w14:paraId="1651FB5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.150</w:t>
            </w:r>
          </w:p>
        </w:tc>
        <w:tc>
          <w:tcPr>
            <w:tcW w:w="992" w:type="dxa"/>
            <w:tcMar>
              <w:top w:w="15" w:type="dxa"/>
              <w:left w:w="140" w:type="dxa"/>
              <w:bottom w:w="15" w:type="dxa"/>
              <w:right w:w="140" w:type="dxa"/>
            </w:tcMar>
            <w:vAlign w:val="center"/>
            <w:hideMark/>
          </w:tcPr>
          <w:p w14:paraId="6224CA1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.045</w:t>
            </w:r>
          </w:p>
        </w:tc>
        <w:tc>
          <w:tcPr>
            <w:tcW w:w="850" w:type="dxa"/>
            <w:tcMar>
              <w:top w:w="15" w:type="dxa"/>
              <w:left w:w="140" w:type="dxa"/>
              <w:bottom w:w="15" w:type="dxa"/>
              <w:right w:w="140" w:type="dxa"/>
            </w:tcMar>
            <w:vAlign w:val="center"/>
            <w:hideMark/>
          </w:tcPr>
          <w:p w14:paraId="3869D41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3.330</w:t>
            </w:r>
          </w:p>
        </w:tc>
        <w:tc>
          <w:tcPr>
            <w:tcW w:w="1134" w:type="dxa"/>
            <w:tcMar>
              <w:top w:w="15" w:type="dxa"/>
              <w:left w:w="140" w:type="dxa"/>
              <w:bottom w:w="15" w:type="dxa"/>
              <w:right w:w="140" w:type="dxa"/>
            </w:tcMar>
            <w:vAlign w:val="center"/>
            <w:hideMark/>
          </w:tcPr>
          <w:p w14:paraId="4EFB046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D53E24" w14:paraId="3FEF231A" w14:textId="77777777" w:rsidTr="00FD1819">
        <w:trPr>
          <w:trHeight w:val="231"/>
        </w:trPr>
        <w:tc>
          <w:tcPr>
            <w:tcW w:w="1894" w:type="dxa"/>
            <w:tcMar>
              <w:top w:w="15" w:type="dxa"/>
              <w:left w:w="57" w:type="dxa"/>
              <w:bottom w:w="15" w:type="dxa"/>
              <w:right w:w="57" w:type="dxa"/>
            </w:tcMar>
            <w:vAlign w:val="center"/>
          </w:tcPr>
          <w:p w14:paraId="7061392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hAnsiTheme="majorBidi" w:cstheme="majorBidi"/>
                <w:sz w:val="20"/>
                <w:szCs w:val="20"/>
              </w:rPr>
              <w:t>Brand functionality</w:t>
            </w:r>
          </w:p>
        </w:tc>
        <w:tc>
          <w:tcPr>
            <w:tcW w:w="0" w:type="auto"/>
            <w:noWrap/>
            <w:tcMar>
              <w:top w:w="15" w:type="dxa"/>
              <w:left w:w="57" w:type="dxa"/>
              <w:bottom w:w="15" w:type="dxa"/>
              <w:right w:w="57" w:type="dxa"/>
            </w:tcMar>
            <w:vAlign w:val="center"/>
          </w:tcPr>
          <w:p w14:paraId="5CDB543A"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tcPr>
          <w:p w14:paraId="653B300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hAnsiTheme="majorBidi" w:cstheme="majorBidi"/>
                <w:sz w:val="20"/>
                <w:szCs w:val="20"/>
              </w:rPr>
              <w:t>Perception</w:t>
            </w:r>
          </w:p>
        </w:tc>
        <w:tc>
          <w:tcPr>
            <w:tcW w:w="1126" w:type="dxa"/>
            <w:tcMar>
              <w:top w:w="15" w:type="dxa"/>
              <w:left w:w="140" w:type="dxa"/>
              <w:bottom w:w="15" w:type="dxa"/>
              <w:right w:w="140" w:type="dxa"/>
            </w:tcMar>
            <w:vAlign w:val="center"/>
          </w:tcPr>
          <w:p w14:paraId="2AAE592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hAnsiTheme="majorBidi" w:cstheme="majorBidi"/>
                <w:sz w:val="20"/>
                <w:szCs w:val="20"/>
              </w:rPr>
              <w:t>.296</w:t>
            </w:r>
          </w:p>
        </w:tc>
        <w:tc>
          <w:tcPr>
            <w:tcW w:w="992" w:type="dxa"/>
            <w:tcMar>
              <w:top w:w="15" w:type="dxa"/>
              <w:left w:w="140" w:type="dxa"/>
              <w:bottom w:w="15" w:type="dxa"/>
              <w:right w:w="140" w:type="dxa"/>
            </w:tcMar>
            <w:vAlign w:val="center"/>
          </w:tcPr>
          <w:p w14:paraId="7D9F1A7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hAnsiTheme="majorBidi" w:cstheme="majorBidi"/>
                <w:sz w:val="20"/>
                <w:szCs w:val="20"/>
              </w:rPr>
              <w:t>.174</w:t>
            </w:r>
          </w:p>
        </w:tc>
        <w:tc>
          <w:tcPr>
            <w:tcW w:w="850" w:type="dxa"/>
            <w:tcMar>
              <w:top w:w="15" w:type="dxa"/>
              <w:left w:w="140" w:type="dxa"/>
              <w:bottom w:w="15" w:type="dxa"/>
              <w:right w:w="140" w:type="dxa"/>
            </w:tcMar>
            <w:vAlign w:val="center"/>
          </w:tcPr>
          <w:p w14:paraId="5BC807C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hAnsiTheme="majorBidi" w:cstheme="majorBidi"/>
                <w:sz w:val="20"/>
                <w:szCs w:val="20"/>
              </w:rPr>
              <w:t>1.701</w:t>
            </w:r>
          </w:p>
        </w:tc>
        <w:tc>
          <w:tcPr>
            <w:tcW w:w="1134" w:type="dxa"/>
            <w:tcMar>
              <w:top w:w="15" w:type="dxa"/>
              <w:left w:w="140" w:type="dxa"/>
              <w:bottom w:w="15" w:type="dxa"/>
              <w:right w:w="140" w:type="dxa"/>
            </w:tcMar>
            <w:vAlign w:val="center"/>
          </w:tcPr>
          <w:p w14:paraId="23DF132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hAnsiTheme="majorBidi" w:cstheme="majorBidi"/>
                <w:sz w:val="20"/>
                <w:szCs w:val="20"/>
              </w:rPr>
              <w:t>.089</w:t>
            </w:r>
          </w:p>
        </w:tc>
      </w:tr>
      <w:tr w:rsidR="00D65FF6" w:rsidRPr="00D53E24" w14:paraId="4F4D6C4D" w14:textId="77777777" w:rsidTr="00FD1819">
        <w:trPr>
          <w:trHeight w:val="231"/>
        </w:trPr>
        <w:tc>
          <w:tcPr>
            <w:tcW w:w="1894" w:type="dxa"/>
            <w:tcMar>
              <w:top w:w="15" w:type="dxa"/>
              <w:left w:w="57" w:type="dxa"/>
              <w:bottom w:w="15" w:type="dxa"/>
              <w:right w:w="57" w:type="dxa"/>
            </w:tcMar>
            <w:vAlign w:val="center"/>
            <w:hideMark/>
          </w:tcPr>
          <w:p w14:paraId="5422650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0" w:type="auto"/>
            <w:noWrap/>
            <w:tcMar>
              <w:top w:w="15" w:type="dxa"/>
              <w:left w:w="57" w:type="dxa"/>
              <w:bottom w:w="15" w:type="dxa"/>
              <w:right w:w="57" w:type="dxa"/>
            </w:tcMar>
            <w:vAlign w:val="center"/>
            <w:hideMark/>
          </w:tcPr>
          <w:p w14:paraId="468B7DF0"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706B2E56"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functionality</w:t>
            </w:r>
          </w:p>
        </w:tc>
        <w:tc>
          <w:tcPr>
            <w:tcW w:w="1126" w:type="dxa"/>
            <w:tcMar>
              <w:top w:w="15" w:type="dxa"/>
              <w:left w:w="140" w:type="dxa"/>
              <w:bottom w:w="15" w:type="dxa"/>
              <w:right w:w="140" w:type="dxa"/>
            </w:tcMar>
            <w:vAlign w:val="center"/>
            <w:hideMark/>
          </w:tcPr>
          <w:p w14:paraId="5ADD846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.043</w:t>
            </w:r>
          </w:p>
        </w:tc>
        <w:tc>
          <w:tcPr>
            <w:tcW w:w="992" w:type="dxa"/>
            <w:tcMar>
              <w:top w:w="15" w:type="dxa"/>
              <w:left w:w="140" w:type="dxa"/>
              <w:bottom w:w="15" w:type="dxa"/>
              <w:right w:w="140" w:type="dxa"/>
            </w:tcMar>
            <w:vAlign w:val="center"/>
            <w:hideMark/>
          </w:tcPr>
          <w:p w14:paraId="7F2CC09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.042</w:t>
            </w:r>
          </w:p>
        </w:tc>
        <w:tc>
          <w:tcPr>
            <w:tcW w:w="850" w:type="dxa"/>
            <w:tcMar>
              <w:top w:w="15" w:type="dxa"/>
              <w:left w:w="140" w:type="dxa"/>
              <w:bottom w:w="15" w:type="dxa"/>
              <w:right w:w="140" w:type="dxa"/>
            </w:tcMar>
            <w:vAlign w:val="center"/>
            <w:hideMark/>
          </w:tcPr>
          <w:p w14:paraId="72E4B5D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1.023</w:t>
            </w:r>
          </w:p>
        </w:tc>
        <w:tc>
          <w:tcPr>
            <w:tcW w:w="1134" w:type="dxa"/>
            <w:tcMar>
              <w:top w:w="15" w:type="dxa"/>
              <w:left w:w="140" w:type="dxa"/>
              <w:bottom w:w="15" w:type="dxa"/>
              <w:right w:w="140" w:type="dxa"/>
            </w:tcMar>
            <w:vAlign w:val="center"/>
            <w:hideMark/>
          </w:tcPr>
          <w:p w14:paraId="4B2115C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.306</w:t>
            </w:r>
          </w:p>
        </w:tc>
      </w:tr>
      <w:tr w:rsidR="00D65FF6" w:rsidRPr="00D53E24" w14:paraId="0C8462B5" w14:textId="77777777" w:rsidTr="00FD1819">
        <w:trPr>
          <w:trHeight w:val="231"/>
        </w:trPr>
        <w:tc>
          <w:tcPr>
            <w:tcW w:w="1894" w:type="dxa"/>
            <w:tcMar>
              <w:top w:w="15" w:type="dxa"/>
              <w:left w:w="57" w:type="dxa"/>
              <w:bottom w:w="15" w:type="dxa"/>
              <w:right w:w="57" w:type="dxa"/>
            </w:tcMar>
            <w:vAlign w:val="center"/>
            <w:hideMark/>
          </w:tcPr>
          <w:p w14:paraId="6840AD39"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0" w:type="auto"/>
            <w:noWrap/>
            <w:tcMar>
              <w:top w:w="15" w:type="dxa"/>
              <w:left w:w="57" w:type="dxa"/>
              <w:bottom w:w="15" w:type="dxa"/>
              <w:right w:w="57" w:type="dxa"/>
            </w:tcMar>
            <w:vAlign w:val="center"/>
            <w:hideMark/>
          </w:tcPr>
          <w:p w14:paraId="1442491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4DFAA19D"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Likeability</w:t>
            </w:r>
          </w:p>
        </w:tc>
        <w:tc>
          <w:tcPr>
            <w:tcW w:w="1126" w:type="dxa"/>
            <w:tcMar>
              <w:top w:w="15" w:type="dxa"/>
              <w:left w:w="140" w:type="dxa"/>
              <w:bottom w:w="15" w:type="dxa"/>
              <w:right w:w="140" w:type="dxa"/>
            </w:tcMar>
            <w:vAlign w:val="center"/>
            <w:hideMark/>
          </w:tcPr>
          <w:p w14:paraId="2316EEF6"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.308</w:t>
            </w:r>
          </w:p>
        </w:tc>
        <w:tc>
          <w:tcPr>
            <w:tcW w:w="992" w:type="dxa"/>
            <w:tcMar>
              <w:top w:w="15" w:type="dxa"/>
              <w:left w:w="140" w:type="dxa"/>
              <w:bottom w:w="15" w:type="dxa"/>
              <w:right w:w="140" w:type="dxa"/>
            </w:tcMar>
            <w:vAlign w:val="center"/>
            <w:hideMark/>
          </w:tcPr>
          <w:p w14:paraId="41DA0E90"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.047</w:t>
            </w:r>
          </w:p>
        </w:tc>
        <w:tc>
          <w:tcPr>
            <w:tcW w:w="850" w:type="dxa"/>
            <w:tcMar>
              <w:top w:w="15" w:type="dxa"/>
              <w:left w:w="140" w:type="dxa"/>
              <w:bottom w:w="15" w:type="dxa"/>
              <w:right w:w="140" w:type="dxa"/>
            </w:tcMar>
            <w:vAlign w:val="center"/>
            <w:hideMark/>
          </w:tcPr>
          <w:p w14:paraId="656D70D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6.497</w:t>
            </w:r>
          </w:p>
        </w:tc>
        <w:tc>
          <w:tcPr>
            <w:tcW w:w="1134" w:type="dxa"/>
            <w:tcMar>
              <w:top w:w="15" w:type="dxa"/>
              <w:left w:w="140" w:type="dxa"/>
              <w:bottom w:w="15" w:type="dxa"/>
              <w:right w:w="140" w:type="dxa"/>
            </w:tcMar>
            <w:vAlign w:val="center"/>
            <w:hideMark/>
          </w:tcPr>
          <w:p w14:paraId="328DFF3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D53E24" w14:paraId="44B42073" w14:textId="77777777" w:rsidTr="00FD1819">
        <w:trPr>
          <w:trHeight w:val="231"/>
        </w:trPr>
        <w:tc>
          <w:tcPr>
            <w:tcW w:w="1894" w:type="dxa"/>
            <w:tcMar>
              <w:top w:w="15" w:type="dxa"/>
              <w:left w:w="57" w:type="dxa"/>
              <w:bottom w:w="15" w:type="dxa"/>
              <w:right w:w="57" w:type="dxa"/>
            </w:tcMar>
            <w:vAlign w:val="center"/>
            <w:hideMark/>
          </w:tcPr>
          <w:p w14:paraId="4DCB740C"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0" w:type="auto"/>
            <w:noWrap/>
            <w:tcMar>
              <w:top w:w="15" w:type="dxa"/>
              <w:left w:w="57" w:type="dxa"/>
              <w:bottom w:w="15" w:type="dxa"/>
              <w:right w:w="57" w:type="dxa"/>
            </w:tcMar>
            <w:vAlign w:val="center"/>
            <w:hideMark/>
          </w:tcPr>
          <w:p w14:paraId="112FD65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733E833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Emotional brand</w:t>
            </w:r>
          </w:p>
        </w:tc>
        <w:tc>
          <w:tcPr>
            <w:tcW w:w="1126" w:type="dxa"/>
            <w:tcMar>
              <w:top w:w="15" w:type="dxa"/>
              <w:left w:w="140" w:type="dxa"/>
              <w:bottom w:w="15" w:type="dxa"/>
              <w:right w:w="140" w:type="dxa"/>
            </w:tcMar>
            <w:vAlign w:val="center"/>
            <w:hideMark/>
          </w:tcPr>
          <w:p w14:paraId="403DF834"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.195</w:t>
            </w:r>
          </w:p>
        </w:tc>
        <w:tc>
          <w:tcPr>
            <w:tcW w:w="992" w:type="dxa"/>
            <w:tcMar>
              <w:top w:w="15" w:type="dxa"/>
              <w:left w:w="140" w:type="dxa"/>
              <w:bottom w:w="15" w:type="dxa"/>
              <w:right w:w="140" w:type="dxa"/>
            </w:tcMar>
            <w:vAlign w:val="center"/>
            <w:hideMark/>
          </w:tcPr>
          <w:p w14:paraId="2467C785"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.039</w:t>
            </w:r>
          </w:p>
        </w:tc>
        <w:tc>
          <w:tcPr>
            <w:tcW w:w="850" w:type="dxa"/>
            <w:tcMar>
              <w:top w:w="15" w:type="dxa"/>
              <w:left w:w="140" w:type="dxa"/>
              <w:bottom w:w="15" w:type="dxa"/>
              <w:right w:w="140" w:type="dxa"/>
            </w:tcMar>
            <w:vAlign w:val="center"/>
            <w:hideMark/>
          </w:tcPr>
          <w:p w14:paraId="3C5E10F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4.966</w:t>
            </w:r>
          </w:p>
        </w:tc>
        <w:tc>
          <w:tcPr>
            <w:tcW w:w="1134" w:type="dxa"/>
            <w:tcMar>
              <w:top w:w="15" w:type="dxa"/>
              <w:left w:w="140" w:type="dxa"/>
              <w:bottom w:w="15" w:type="dxa"/>
              <w:right w:w="140" w:type="dxa"/>
            </w:tcMar>
            <w:vAlign w:val="center"/>
            <w:hideMark/>
          </w:tcPr>
          <w:p w14:paraId="7FBE5AF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D53E24" w14:paraId="72570910" w14:textId="77777777" w:rsidTr="00FD1819">
        <w:trPr>
          <w:trHeight w:val="238"/>
        </w:trPr>
        <w:tc>
          <w:tcPr>
            <w:tcW w:w="1894" w:type="dxa"/>
            <w:tcMar>
              <w:top w:w="15" w:type="dxa"/>
              <w:left w:w="57" w:type="dxa"/>
              <w:bottom w:w="15" w:type="dxa"/>
              <w:right w:w="57" w:type="dxa"/>
            </w:tcMar>
            <w:vAlign w:val="center"/>
            <w:hideMark/>
          </w:tcPr>
          <w:p w14:paraId="4D4DC580"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0" w:type="auto"/>
            <w:noWrap/>
            <w:tcMar>
              <w:top w:w="15" w:type="dxa"/>
              <w:left w:w="57" w:type="dxa"/>
              <w:bottom w:w="15" w:type="dxa"/>
              <w:right w:w="57" w:type="dxa"/>
            </w:tcMar>
            <w:vAlign w:val="center"/>
            <w:hideMark/>
          </w:tcPr>
          <w:p w14:paraId="3B9EA4A7"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501F7CC0"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Brand trust</w:t>
            </w:r>
          </w:p>
        </w:tc>
        <w:tc>
          <w:tcPr>
            <w:tcW w:w="1126" w:type="dxa"/>
            <w:tcMar>
              <w:top w:w="15" w:type="dxa"/>
              <w:left w:w="140" w:type="dxa"/>
              <w:bottom w:w="15" w:type="dxa"/>
              <w:right w:w="140" w:type="dxa"/>
            </w:tcMar>
            <w:vAlign w:val="center"/>
            <w:hideMark/>
          </w:tcPr>
          <w:p w14:paraId="6301A2A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.302</w:t>
            </w:r>
          </w:p>
        </w:tc>
        <w:tc>
          <w:tcPr>
            <w:tcW w:w="992" w:type="dxa"/>
            <w:tcMar>
              <w:top w:w="15" w:type="dxa"/>
              <w:left w:w="140" w:type="dxa"/>
              <w:bottom w:w="15" w:type="dxa"/>
              <w:right w:w="140" w:type="dxa"/>
            </w:tcMar>
            <w:vAlign w:val="center"/>
            <w:hideMark/>
          </w:tcPr>
          <w:p w14:paraId="50CA80EB"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.041</w:t>
            </w:r>
          </w:p>
        </w:tc>
        <w:tc>
          <w:tcPr>
            <w:tcW w:w="850" w:type="dxa"/>
            <w:tcMar>
              <w:top w:w="15" w:type="dxa"/>
              <w:left w:w="140" w:type="dxa"/>
              <w:bottom w:w="15" w:type="dxa"/>
              <w:right w:w="140" w:type="dxa"/>
            </w:tcMar>
            <w:vAlign w:val="center"/>
            <w:hideMark/>
          </w:tcPr>
          <w:p w14:paraId="03C08873"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7.311</w:t>
            </w:r>
          </w:p>
        </w:tc>
        <w:tc>
          <w:tcPr>
            <w:tcW w:w="1134" w:type="dxa"/>
            <w:tcMar>
              <w:top w:w="15" w:type="dxa"/>
              <w:left w:w="140" w:type="dxa"/>
              <w:bottom w:w="15" w:type="dxa"/>
              <w:right w:w="140" w:type="dxa"/>
            </w:tcMar>
            <w:vAlign w:val="center"/>
            <w:hideMark/>
          </w:tcPr>
          <w:p w14:paraId="0C3F456C"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r w:rsidR="00D65FF6" w:rsidRPr="00D53E24" w14:paraId="2063DD29" w14:textId="77777777" w:rsidTr="00FD1819">
        <w:trPr>
          <w:trHeight w:val="231"/>
        </w:trPr>
        <w:tc>
          <w:tcPr>
            <w:tcW w:w="1894" w:type="dxa"/>
            <w:tcMar>
              <w:top w:w="15" w:type="dxa"/>
              <w:left w:w="57" w:type="dxa"/>
              <w:bottom w:w="15" w:type="dxa"/>
              <w:right w:w="57" w:type="dxa"/>
            </w:tcMar>
            <w:vAlign w:val="center"/>
            <w:hideMark/>
          </w:tcPr>
          <w:p w14:paraId="100399E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intention</w:t>
            </w:r>
          </w:p>
        </w:tc>
        <w:tc>
          <w:tcPr>
            <w:tcW w:w="0" w:type="auto"/>
            <w:noWrap/>
            <w:tcMar>
              <w:top w:w="15" w:type="dxa"/>
              <w:left w:w="57" w:type="dxa"/>
              <w:bottom w:w="15" w:type="dxa"/>
              <w:right w:w="57" w:type="dxa"/>
            </w:tcMar>
            <w:vAlign w:val="center"/>
            <w:hideMark/>
          </w:tcPr>
          <w:p w14:paraId="753527AF"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&lt;---</w:t>
            </w:r>
          </w:p>
        </w:tc>
        <w:tc>
          <w:tcPr>
            <w:tcW w:w="1876" w:type="dxa"/>
            <w:tcBorders>
              <w:right w:val="single" w:sz="6" w:space="0" w:color="auto"/>
            </w:tcBorders>
            <w:tcMar>
              <w:top w:w="15" w:type="dxa"/>
              <w:left w:w="140" w:type="dxa"/>
              <w:bottom w:w="15" w:type="dxa"/>
              <w:right w:w="140" w:type="dxa"/>
            </w:tcMar>
            <w:vAlign w:val="center"/>
            <w:hideMark/>
          </w:tcPr>
          <w:p w14:paraId="134057D1" w14:textId="77777777" w:rsidR="00D65FF6" w:rsidRPr="00D53E24" w:rsidRDefault="00D65FF6" w:rsidP="008D0DBB">
            <w:pPr>
              <w:spacing w:after="0" w:line="240" w:lineRule="auto"/>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Perception</w:t>
            </w:r>
          </w:p>
        </w:tc>
        <w:tc>
          <w:tcPr>
            <w:tcW w:w="1126" w:type="dxa"/>
            <w:noWrap/>
            <w:tcMar>
              <w:top w:w="15" w:type="dxa"/>
              <w:left w:w="140" w:type="dxa"/>
              <w:bottom w:w="15" w:type="dxa"/>
              <w:right w:w="140" w:type="dxa"/>
            </w:tcMar>
            <w:vAlign w:val="center"/>
            <w:hideMark/>
          </w:tcPr>
          <w:p w14:paraId="2675AE7D"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.116</w:t>
            </w:r>
          </w:p>
        </w:tc>
        <w:tc>
          <w:tcPr>
            <w:tcW w:w="992" w:type="dxa"/>
            <w:tcMar>
              <w:top w:w="15" w:type="dxa"/>
              <w:left w:w="140" w:type="dxa"/>
              <w:bottom w:w="15" w:type="dxa"/>
              <w:right w:w="140" w:type="dxa"/>
            </w:tcMar>
            <w:vAlign w:val="center"/>
            <w:hideMark/>
          </w:tcPr>
          <w:p w14:paraId="0BB3C8C8"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.017</w:t>
            </w:r>
          </w:p>
        </w:tc>
        <w:tc>
          <w:tcPr>
            <w:tcW w:w="850" w:type="dxa"/>
            <w:noWrap/>
            <w:tcMar>
              <w:top w:w="15" w:type="dxa"/>
              <w:left w:w="140" w:type="dxa"/>
              <w:bottom w:w="15" w:type="dxa"/>
              <w:right w:w="140" w:type="dxa"/>
            </w:tcMar>
            <w:vAlign w:val="center"/>
            <w:hideMark/>
          </w:tcPr>
          <w:p w14:paraId="0B2A4C31" w14:textId="77777777" w:rsidR="00D65FF6" w:rsidRPr="00D53E24" w:rsidRDefault="00D65FF6" w:rsidP="008D0DBB">
            <w:pPr>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7.027</w:t>
            </w:r>
          </w:p>
        </w:tc>
        <w:tc>
          <w:tcPr>
            <w:tcW w:w="1134" w:type="dxa"/>
            <w:tcMar>
              <w:top w:w="15" w:type="dxa"/>
              <w:left w:w="140" w:type="dxa"/>
              <w:bottom w:w="15" w:type="dxa"/>
              <w:right w:w="140" w:type="dxa"/>
            </w:tcMar>
            <w:vAlign w:val="center"/>
            <w:hideMark/>
          </w:tcPr>
          <w:p w14:paraId="70B9BBBB" w14:textId="77777777" w:rsidR="00D65FF6" w:rsidRPr="00D53E24" w:rsidRDefault="00D65FF6" w:rsidP="00D238AF">
            <w:pPr>
              <w:keepNext/>
              <w:spacing w:after="0" w:line="240" w:lineRule="auto"/>
              <w:jc w:val="right"/>
              <w:rPr>
                <w:rFonts w:asciiTheme="majorBidi" w:eastAsia="Times New Roman" w:hAnsiTheme="majorBidi" w:cstheme="majorBidi"/>
                <w:sz w:val="20"/>
                <w:szCs w:val="20"/>
              </w:rPr>
            </w:pPr>
            <w:r w:rsidRPr="00D53E24">
              <w:rPr>
                <w:rFonts w:asciiTheme="majorBidi" w:eastAsia="Times New Roman" w:hAnsiTheme="majorBidi" w:cstheme="majorBidi"/>
                <w:sz w:val="20"/>
                <w:szCs w:val="20"/>
              </w:rPr>
              <w:t>***</w:t>
            </w:r>
          </w:p>
        </w:tc>
      </w:tr>
    </w:tbl>
    <w:p w14:paraId="32283AD9" w14:textId="4257F9A0" w:rsidR="00D65FF6" w:rsidRPr="00D53E24" w:rsidRDefault="00D238AF" w:rsidP="00D238AF">
      <w:pPr>
        <w:pStyle w:val="Caption"/>
        <w:rPr>
          <w:rFonts w:cstheme="minorHAnsi"/>
          <w:color w:val="auto"/>
        </w:rPr>
      </w:pPr>
      <w:r w:rsidRPr="00D53E24">
        <w:rPr>
          <w:rFonts w:cstheme="minorHAnsi"/>
          <w:color w:val="auto"/>
        </w:rPr>
        <w:t>Table 4</w:t>
      </w:r>
      <w:r w:rsidR="00FD1819">
        <w:rPr>
          <w:rFonts w:cstheme="minorHAnsi"/>
          <w:color w:val="auto"/>
        </w:rPr>
        <w:t>5</w:t>
      </w:r>
      <w:r w:rsidRPr="00D53E24">
        <w:rPr>
          <w:rFonts w:cstheme="minorHAnsi"/>
          <w:color w:val="auto"/>
        </w:rPr>
        <w:t>* Regression Weights: (Group number 1 – Default Model)</w:t>
      </w:r>
      <w:r w:rsidRPr="00D53E24">
        <w:rPr>
          <w:rFonts w:cstheme="minorHAnsi"/>
          <w:color w:val="auto"/>
        </w:rPr>
        <w:br/>
        <w:t>*Means p-value&lt;0.0001, perception is a dummy variable that takes 1 for High CSR perception and takes 0 for Low CSR perception.</w:t>
      </w:r>
    </w:p>
    <w:p w14:paraId="080AD88F" w14:textId="77777777" w:rsidR="005F3782" w:rsidRDefault="005F3782" w:rsidP="00D65FF6">
      <w:pPr>
        <w:tabs>
          <w:tab w:val="left" w:pos="630"/>
        </w:tabs>
        <w:spacing w:after="0" w:line="480" w:lineRule="auto"/>
        <w:jc w:val="both"/>
        <w:rPr>
          <w:rFonts w:asciiTheme="majorBidi" w:hAnsiTheme="majorBidi" w:cstheme="majorBidi"/>
          <w:b/>
          <w:bCs/>
          <w:sz w:val="24"/>
          <w:szCs w:val="24"/>
        </w:rPr>
      </w:pPr>
      <w:bookmarkStart w:id="186" w:name="_Hlk146480597"/>
    </w:p>
    <w:p w14:paraId="0E5F864B" w14:textId="588882B2" w:rsidR="00D65FF6" w:rsidRPr="007A3A9D" w:rsidRDefault="00D65FF6" w:rsidP="00D65FF6">
      <w:pPr>
        <w:tabs>
          <w:tab w:val="left" w:pos="630"/>
        </w:tabs>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6.1</w:t>
      </w:r>
      <w:r w:rsidR="000728A8">
        <w:rPr>
          <w:rFonts w:asciiTheme="majorBidi" w:hAnsiTheme="majorBidi" w:cstheme="majorBidi"/>
          <w:b/>
          <w:bCs/>
          <w:sz w:val="24"/>
          <w:szCs w:val="24"/>
        </w:rPr>
        <w:t>2</w:t>
      </w:r>
      <w:r>
        <w:rPr>
          <w:rFonts w:asciiTheme="majorBidi" w:hAnsiTheme="majorBidi" w:cstheme="majorBidi"/>
          <w:b/>
          <w:bCs/>
          <w:sz w:val="24"/>
          <w:szCs w:val="24"/>
        </w:rPr>
        <w:t>.</w:t>
      </w:r>
      <w:r w:rsidR="00DB6CAA">
        <w:rPr>
          <w:rFonts w:asciiTheme="majorBidi" w:hAnsiTheme="majorBidi" w:cstheme="majorBidi"/>
          <w:b/>
          <w:bCs/>
          <w:sz w:val="24"/>
          <w:szCs w:val="24"/>
        </w:rPr>
        <w:t>2</w:t>
      </w:r>
      <w:r>
        <w:rPr>
          <w:rFonts w:asciiTheme="majorBidi" w:hAnsiTheme="majorBidi" w:cstheme="majorBidi"/>
          <w:b/>
          <w:bCs/>
          <w:sz w:val="24"/>
          <w:szCs w:val="24"/>
        </w:rPr>
        <w:t xml:space="preserve"> </w:t>
      </w:r>
      <w:r w:rsidRPr="007A3A9D">
        <w:rPr>
          <w:rFonts w:asciiTheme="majorBidi" w:hAnsiTheme="majorBidi" w:cstheme="majorBidi"/>
          <w:b/>
          <w:bCs/>
          <w:sz w:val="24"/>
          <w:szCs w:val="24"/>
        </w:rPr>
        <w:t>Estimating the model after excluding insignificant paths</w:t>
      </w:r>
    </w:p>
    <w:p w14:paraId="1343FEEE" w14:textId="3137D35A" w:rsidR="00544567" w:rsidRPr="00544567" w:rsidRDefault="00D65FF6" w:rsidP="00544567">
      <w:pPr>
        <w:tabs>
          <w:tab w:val="left" w:pos="630"/>
        </w:tabs>
        <w:spacing w:after="0" w:line="480" w:lineRule="auto"/>
        <w:rPr>
          <w:rFonts w:asciiTheme="majorBidi" w:hAnsiTheme="majorBidi" w:cstheme="majorBidi"/>
          <w:sz w:val="24"/>
          <w:szCs w:val="24"/>
        </w:rPr>
      </w:pPr>
      <w:r>
        <w:rPr>
          <w:rFonts w:asciiTheme="majorBidi" w:hAnsiTheme="majorBidi" w:cstheme="majorBidi"/>
          <w:sz w:val="24"/>
          <w:szCs w:val="24"/>
        </w:rPr>
        <w:tab/>
      </w:r>
      <w:r w:rsidRPr="007A3A9D">
        <w:rPr>
          <w:rFonts w:asciiTheme="majorBidi" w:hAnsiTheme="majorBidi" w:cstheme="majorBidi"/>
          <w:sz w:val="24"/>
          <w:szCs w:val="24"/>
        </w:rPr>
        <w:t xml:space="preserve">After removing insignificant paths, the following path model </w:t>
      </w:r>
      <w:r>
        <w:rPr>
          <w:rFonts w:asciiTheme="majorBidi" w:hAnsiTheme="majorBidi" w:cstheme="majorBidi"/>
          <w:sz w:val="24"/>
          <w:szCs w:val="24"/>
        </w:rPr>
        <w:t>was</w:t>
      </w:r>
      <w:r w:rsidRPr="007A3A9D">
        <w:rPr>
          <w:rFonts w:asciiTheme="majorBidi" w:hAnsiTheme="majorBidi" w:cstheme="majorBidi"/>
          <w:sz w:val="24"/>
          <w:szCs w:val="24"/>
        </w:rPr>
        <w:t xml:space="preserve"> estimated</w:t>
      </w:r>
      <w:r>
        <w:rPr>
          <w:rFonts w:asciiTheme="majorBidi" w:hAnsiTheme="majorBidi" w:cstheme="majorBidi"/>
          <w:noProof/>
          <w:sz w:val="24"/>
          <w:szCs w:val="24"/>
        </w:rPr>
        <w:drawing>
          <wp:inline distT="0" distB="0" distL="0" distR="0" wp14:anchorId="0051B23D" wp14:editId="592F6D54">
            <wp:extent cx="3987075" cy="2531778"/>
            <wp:effectExtent l="0" t="0" r="0" b="1905"/>
            <wp:docPr id="425546318" name="Picture 3" descr="A picture containing sketch, diagram,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46318" name="Picture 3" descr="A picture containing sketch, diagram, drawing, line&#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6446"/>
                    <a:stretch/>
                  </pic:blipFill>
                  <pic:spPr bwMode="auto">
                    <a:xfrm>
                      <a:off x="0" y="0"/>
                      <a:ext cx="4021702" cy="2553766"/>
                    </a:xfrm>
                    <a:prstGeom prst="rect">
                      <a:avLst/>
                    </a:prstGeom>
                    <a:noFill/>
                    <a:ln>
                      <a:noFill/>
                    </a:ln>
                    <a:extLst>
                      <a:ext uri="{53640926-AAD7-44D8-BBD7-CCE9431645EC}">
                        <a14:shadowObscured xmlns:a14="http://schemas.microsoft.com/office/drawing/2010/main"/>
                      </a:ext>
                    </a:extLst>
                  </pic:spPr>
                </pic:pic>
              </a:graphicData>
            </a:graphic>
          </wp:inline>
        </w:drawing>
      </w:r>
    </w:p>
    <w:p w14:paraId="3A677A26" w14:textId="0DE6E56B" w:rsidR="00D65FF6" w:rsidRPr="00D731A0" w:rsidRDefault="00544567" w:rsidP="00544567">
      <w:pPr>
        <w:pStyle w:val="Caption"/>
        <w:rPr>
          <w:rFonts w:asciiTheme="majorBidi" w:hAnsiTheme="majorBidi" w:cstheme="majorBidi"/>
          <w:sz w:val="24"/>
          <w:szCs w:val="24"/>
        </w:rPr>
      </w:pPr>
      <w:r>
        <w:t>Figure 29 Theoretical model for CSR group after removing insignificant relationships</w:t>
      </w:r>
    </w:p>
    <w:p w14:paraId="2EC5C60B" w14:textId="163A9CD7" w:rsidR="00D65FF6" w:rsidRDefault="00D65FF6" w:rsidP="00D65FF6">
      <w:pPr>
        <w:tabs>
          <w:tab w:val="left" w:pos="630"/>
        </w:tabs>
        <w:spacing w:line="480" w:lineRule="auto"/>
        <w:ind w:left="360"/>
        <w:jc w:val="both"/>
        <w:rPr>
          <w:rFonts w:asciiTheme="majorBidi" w:hAnsiTheme="majorBidi" w:cstheme="majorBidi"/>
          <w:sz w:val="24"/>
          <w:szCs w:val="24"/>
        </w:rPr>
      </w:pPr>
      <w:r>
        <w:rPr>
          <w:rFonts w:asciiTheme="majorBidi" w:hAnsiTheme="majorBidi" w:cstheme="majorBidi"/>
          <w:sz w:val="24"/>
          <w:szCs w:val="24"/>
        </w:rPr>
        <w:tab/>
      </w:r>
      <w:r w:rsidRPr="008D75D3">
        <w:rPr>
          <w:rFonts w:asciiTheme="majorBidi" w:hAnsiTheme="majorBidi" w:cstheme="majorBidi"/>
          <w:sz w:val="24"/>
          <w:szCs w:val="24"/>
        </w:rPr>
        <w:t>Table</w:t>
      </w:r>
      <w:r>
        <w:rPr>
          <w:rFonts w:asciiTheme="majorBidi" w:hAnsiTheme="majorBidi" w:cstheme="majorBidi"/>
          <w:sz w:val="24"/>
          <w:szCs w:val="24"/>
        </w:rPr>
        <w:t xml:space="preserve"> </w:t>
      </w:r>
      <w:r w:rsidR="00D238AF">
        <w:rPr>
          <w:rFonts w:asciiTheme="majorBidi" w:hAnsiTheme="majorBidi" w:cstheme="majorBidi"/>
          <w:sz w:val="24"/>
          <w:szCs w:val="24"/>
        </w:rPr>
        <w:t>4</w:t>
      </w:r>
      <w:r w:rsidR="003079CC">
        <w:rPr>
          <w:rFonts w:asciiTheme="majorBidi" w:hAnsiTheme="majorBidi" w:cstheme="majorBidi"/>
          <w:sz w:val="24"/>
          <w:szCs w:val="24"/>
        </w:rPr>
        <w:t>6</w:t>
      </w:r>
      <w:r w:rsidRPr="008D75D3">
        <w:rPr>
          <w:rFonts w:asciiTheme="majorBidi" w:hAnsiTheme="majorBidi" w:cstheme="majorBidi"/>
          <w:sz w:val="24"/>
          <w:szCs w:val="24"/>
        </w:rPr>
        <w:t xml:space="preserve"> and path model present the estimates of the above model </w:t>
      </w:r>
      <w:r>
        <w:rPr>
          <w:rFonts w:asciiTheme="majorBidi" w:hAnsiTheme="majorBidi" w:cstheme="majorBidi"/>
          <w:sz w:val="24"/>
          <w:szCs w:val="24"/>
        </w:rPr>
        <w:t>from which I</w:t>
      </w:r>
      <w:r w:rsidRPr="008D75D3">
        <w:rPr>
          <w:rFonts w:asciiTheme="majorBidi" w:hAnsiTheme="majorBidi" w:cstheme="majorBidi"/>
          <w:sz w:val="24"/>
          <w:szCs w:val="24"/>
        </w:rPr>
        <w:t xml:space="preserve"> can conclude</w:t>
      </w:r>
      <w:r>
        <w:rPr>
          <w:rFonts w:asciiTheme="majorBidi" w:hAnsiTheme="majorBidi" w:cstheme="majorBidi"/>
          <w:sz w:val="24"/>
          <w:szCs w:val="24"/>
        </w:rPr>
        <w:t xml:space="preserve">, </w:t>
      </w:r>
      <w:r w:rsidRPr="008D75D3">
        <w:rPr>
          <w:rFonts w:asciiTheme="majorBidi" w:hAnsiTheme="majorBidi" w:cstheme="majorBidi"/>
          <w:sz w:val="24"/>
          <w:szCs w:val="24"/>
        </w:rPr>
        <w:t>with 95% confidence</w:t>
      </w:r>
      <w:r>
        <w:rPr>
          <w:rFonts w:asciiTheme="majorBidi" w:hAnsiTheme="majorBidi" w:cstheme="majorBidi"/>
          <w:sz w:val="24"/>
          <w:szCs w:val="24"/>
        </w:rPr>
        <w:t xml:space="preserve">, the following direct and direct effects. </w:t>
      </w:r>
    </w:p>
    <w:p w14:paraId="744B5D59" w14:textId="63C2E558" w:rsidR="00D65FF6" w:rsidRPr="00DB6CAA" w:rsidRDefault="00D65FF6">
      <w:pPr>
        <w:pStyle w:val="ListParagraph"/>
        <w:numPr>
          <w:ilvl w:val="2"/>
          <w:numId w:val="25"/>
        </w:numPr>
        <w:tabs>
          <w:tab w:val="left" w:pos="630"/>
        </w:tabs>
        <w:spacing w:after="0" w:line="480" w:lineRule="auto"/>
        <w:jc w:val="both"/>
        <w:rPr>
          <w:rFonts w:asciiTheme="majorBidi" w:hAnsiTheme="majorBidi" w:cstheme="majorBidi"/>
          <w:sz w:val="24"/>
          <w:szCs w:val="24"/>
        </w:rPr>
      </w:pPr>
      <w:bookmarkStart w:id="187" w:name="_Hlk142403192"/>
      <w:r w:rsidRPr="00DB6CAA">
        <w:rPr>
          <w:rFonts w:asciiTheme="majorBidi" w:hAnsiTheme="majorBidi" w:cstheme="majorBidi"/>
          <w:b/>
          <w:bCs/>
          <w:sz w:val="24"/>
          <w:szCs w:val="24"/>
        </w:rPr>
        <w:t xml:space="preserve">Direct effects </w:t>
      </w:r>
    </w:p>
    <w:p w14:paraId="132B1664" w14:textId="77777777" w:rsidR="00924334"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4B0852">
        <w:rPr>
          <w:rFonts w:asciiTheme="majorBidi" w:hAnsiTheme="majorBidi" w:cstheme="majorBidi"/>
          <w:sz w:val="24"/>
          <w:szCs w:val="24"/>
        </w:rPr>
        <w:t>There is a direct effect of CSR perception on ad likeability such that the effect is positive, that is the average of ad likeability for high perception is larger than that for low perception by 0.646 and this fixing all other factors.</w:t>
      </w:r>
    </w:p>
    <w:p w14:paraId="314BC81A" w14:textId="6C3D9FDF" w:rsidR="00D65FF6" w:rsidRPr="00924334"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924334">
        <w:rPr>
          <w:rFonts w:asciiTheme="majorBidi" w:hAnsiTheme="majorBidi" w:cstheme="majorBidi"/>
          <w:sz w:val="24"/>
          <w:szCs w:val="24"/>
        </w:rPr>
        <w:t>There is a direct effect of CSR perception on emotional brand such that the effect is positive, that is the average of emotional brand for high perception is larger than that for low perception by 0.594 and this fixing all other factors.</w:t>
      </w:r>
    </w:p>
    <w:p w14:paraId="434863EA" w14:textId="2192761D" w:rsidR="00D65FF6"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4B0852">
        <w:rPr>
          <w:rFonts w:asciiTheme="majorBidi" w:hAnsiTheme="majorBidi" w:cstheme="majorBidi"/>
          <w:sz w:val="24"/>
          <w:szCs w:val="24"/>
        </w:rPr>
        <w:t xml:space="preserve">There is a direct effect of CSR perception on brand likeability such that the effect is positive, that is the average of brand likeability for </w:t>
      </w:r>
      <w:r w:rsidR="00880C57">
        <w:rPr>
          <w:rFonts w:asciiTheme="majorBidi" w:hAnsiTheme="majorBidi" w:cstheme="majorBidi"/>
          <w:sz w:val="24"/>
          <w:szCs w:val="24"/>
        </w:rPr>
        <w:t>h</w:t>
      </w:r>
      <w:r w:rsidRPr="004B0852">
        <w:rPr>
          <w:rFonts w:asciiTheme="majorBidi" w:hAnsiTheme="majorBidi" w:cstheme="majorBidi"/>
          <w:sz w:val="24"/>
          <w:szCs w:val="24"/>
        </w:rPr>
        <w:t>igh perception is larger than that for low perception by 0.544 and this fixing all other factors.</w:t>
      </w:r>
    </w:p>
    <w:p w14:paraId="4B2DD303" w14:textId="77777777" w:rsidR="00D65FF6"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4B0852">
        <w:rPr>
          <w:rFonts w:asciiTheme="majorBidi" w:hAnsiTheme="majorBidi" w:cstheme="majorBidi"/>
          <w:sz w:val="24"/>
          <w:szCs w:val="24"/>
        </w:rPr>
        <w:t>There is a direct effect of CSR perception on brand trust such that the effect is positive, that is the average of brand trust for high perception is larger than that for low perception by 0.588 and this fixing all other factors.</w:t>
      </w:r>
    </w:p>
    <w:p w14:paraId="3804ED1C" w14:textId="77777777" w:rsidR="00D65FF6"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4B0852">
        <w:rPr>
          <w:rFonts w:asciiTheme="majorBidi" w:hAnsiTheme="majorBidi" w:cstheme="majorBidi"/>
          <w:sz w:val="24"/>
          <w:szCs w:val="24"/>
        </w:rPr>
        <w:t>There is direct positive effect of ad likeability on purchase intention that is every increase in the ad likeability by 1 unit, purchase intention increases by 0.156 units fixing all other variables.</w:t>
      </w:r>
    </w:p>
    <w:p w14:paraId="30092EE7" w14:textId="77777777" w:rsidR="00D65FF6"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4B0852">
        <w:rPr>
          <w:rFonts w:asciiTheme="majorBidi" w:hAnsiTheme="majorBidi" w:cstheme="majorBidi"/>
          <w:sz w:val="24"/>
          <w:szCs w:val="24"/>
        </w:rPr>
        <w:t>There is direct positive effect of brand likeability on purchase intention that is every increase in the brand likeability by 1 unit, purchase intention increases by 0.335 units fixing all other variables.</w:t>
      </w:r>
    </w:p>
    <w:p w14:paraId="6B5924B0" w14:textId="77777777" w:rsidR="00D65FF6"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4B0852">
        <w:rPr>
          <w:rFonts w:asciiTheme="majorBidi" w:hAnsiTheme="majorBidi" w:cstheme="majorBidi"/>
          <w:sz w:val="24"/>
          <w:szCs w:val="24"/>
        </w:rPr>
        <w:t>There is direct positive effect of emotional brand on purchase intention that is every increase in the emotional brand attachment by 1 unit, purchase intention increases by 0.196 units fixing all other variables.</w:t>
      </w:r>
    </w:p>
    <w:p w14:paraId="55E16CCC" w14:textId="77777777" w:rsidR="00D65FF6"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4B0852">
        <w:rPr>
          <w:rFonts w:asciiTheme="majorBidi" w:hAnsiTheme="majorBidi" w:cstheme="majorBidi"/>
          <w:sz w:val="24"/>
          <w:szCs w:val="24"/>
        </w:rPr>
        <w:t xml:space="preserve"> There is direct positive effect of brand trust on purchase intention that is every increase in the brand trust by 1 unit, purchase intention increases by 0.309 units fixing all other variables.</w:t>
      </w:r>
    </w:p>
    <w:p w14:paraId="4417A780" w14:textId="77777777" w:rsidR="00D65FF6" w:rsidRPr="004B0852" w:rsidRDefault="00D65FF6">
      <w:pPr>
        <w:pStyle w:val="ListParagraph"/>
        <w:numPr>
          <w:ilvl w:val="0"/>
          <w:numId w:val="18"/>
        </w:numPr>
        <w:tabs>
          <w:tab w:val="left" w:pos="630"/>
        </w:tabs>
        <w:spacing w:after="0" w:line="480" w:lineRule="auto"/>
        <w:jc w:val="both"/>
        <w:rPr>
          <w:rFonts w:asciiTheme="majorBidi" w:hAnsiTheme="majorBidi" w:cstheme="majorBidi"/>
          <w:sz w:val="24"/>
          <w:szCs w:val="24"/>
        </w:rPr>
      </w:pPr>
      <w:r w:rsidRPr="004B0852">
        <w:rPr>
          <w:rFonts w:asciiTheme="majorBidi" w:hAnsiTheme="majorBidi" w:cstheme="majorBidi"/>
          <w:sz w:val="24"/>
          <w:szCs w:val="24"/>
        </w:rPr>
        <w:t>There is direct effect of CSR perception on purchase intention such that the effect is positive, that is the average of purchase intention for high perception is larger than that for low perception by 0.127 and this fixing all other factors.</w:t>
      </w:r>
    </w:p>
    <w:p w14:paraId="41750B45" w14:textId="1EA88D45" w:rsidR="003079CC" w:rsidRPr="003079CC" w:rsidRDefault="00D65FF6" w:rsidP="003079CC">
      <w:pPr>
        <w:pStyle w:val="ListParagraph"/>
        <w:numPr>
          <w:ilvl w:val="2"/>
          <w:numId w:val="25"/>
        </w:numPr>
        <w:tabs>
          <w:tab w:val="left" w:pos="630"/>
        </w:tabs>
        <w:spacing w:after="200" w:line="480" w:lineRule="auto"/>
        <w:jc w:val="both"/>
        <w:rPr>
          <w:rFonts w:asciiTheme="majorBidi" w:hAnsiTheme="majorBidi" w:cstheme="majorBidi"/>
          <w:b/>
          <w:bCs/>
          <w:sz w:val="24"/>
          <w:szCs w:val="24"/>
        </w:rPr>
      </w:pPr>
      <w:bookmarkStart w:id="188" w:name="_Hlk142403215"/>
      <w:bookmarkEnd w:id="187"/>
      <w:r w:rsidRPr="00DB6CAA">
        <w:rPr>
          <w:rFonts w:asciiTheme="majorBidi" w:hAnsiTheme="majorBidi" w:cstheme="majorBidi"/>
          <w:b/>
          <w:bCs/>
          <w:sz w:val="24"/>
          <w:szCs w:val="24"/>
        </w:rPr>
        <w:t xml:space="preserve">Indirect effects </w:t>
      </w:r>
    </w:p>
    <w:p w14:paraId="3B0C5653" w14:textId="77777777" w:rsidR="00D65FF6" w:rsidRDefault="00D65FF6">
      <w:pPr>
        <w:pStyle w:val="ListParagraph"/>
        <w:numPr>
          <w:ilvl w:val="0"/>
          <w:numId w:val="19"/>
        </w:numPr>
        <w:tabs>
          <w:tab w:val="left" w:pos="630"/>
        </w:tabs>
        <w:spacing w:after="200" w:line="480" w:lineRule="auto"/>
        <w:jc w:val="both"/>
        <w:rPr>
          <w:rFonts w:asciiTheme="majorBidi" w:hAnsiTheme="majorBidi" w:cstheme="majorBidi"/>
          <w:sz w:val="24"/>
          <w:szCs w:val="24"/>
        </w:rPr>
      </w:pPr>
      <w:r w:rsidRPr="008D75D3">
        <w:rPr>
          <w:rFonts w:asciiTheme="majorBidi" w:hAnsiTheme="majorBidi" w:cstheme="majorBidi"/>
          <w:sz w:val="24"/>
          <w:szCs w:val="24"/>
        </w:rPr>
        <w:t>A</w:t>
      </w:r>
      <w:r>
        <w:rPr>
          <w:rFonts w:asciiTheme="majorBidi" w:hAnsiTheme="majorBidi" w:cstheme="majorBidi"/>
          <w:sz w:val="24"/>
          <w:szCs w:val="24"/>
        </w:rPr>
        <w:t>d l</w:t>
      </w:r>
      <w:r w:rsidRPr="008D75D3">
        <w:rPr>
          <w:rFonts w:asciiTheme="majorBidi" w:hAnsiTheme="majorBidi" w:cstheme="majorBidi"/>
          <w:sz w:val="24"/>
          <w:szCs w:val="24"/>
        </w:rPr>
        <w:t>ikeability mediate</w:t>
      </w:r>
      <w:r>
        <w:rPr>
          <w:rFonts w:asciiTheme="majorBidi" w:hAnsiTheme="majorBidi" w:cstheme="majorBidi"/>
          <w:sz w:val="24"/>
          <w:szCs w:val="24"/>
        </w:rPr>
        <w:t>s</w:t>
      </w:r>
      <w:r w:rsidRPr="008D75D3">
        <w:rPr>
          <w:rFonts w:asciiTheme="majorBidi" w:hAnsiTheme="majorBidi" w:cstheme="majorBidi"/>
          <w:sz w:val="24"/>
          <w:szCs w:val="24"/>
        </w:rPr>
        <w:t xml:space="preserve"> the relation between CSR</w:t>
      </w:r>
      <w:r>
        <w:rPr>
          <w:rFonts w:asciiTheme="majorBidi" w:hAnsiTheme="majorBidi" w:cstheme="majorBidi"/>
          <w:sz w:val="24"/>
          <w:szCs w:val="24"/>
        </w:rPr>
        <w:t xml:space="preserve"> perception</w:t>
      </w:r>
      <w:r w:rsidRPr="008D75D3">
        <w:rPr>
          <w:rFonts w:asciiTheme="majorBidi" w:hAnsiTheme="majorBidi" w:cstheme="majorBidi"/>
          <w:sz w:val="24"/>
          <w:szCs w:val="24"/>
        </w:rPr>
        <w:t xml:space="preserve"> and</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such that the indirect effect of </w:t>
      </w:r>
      <w:r>
        <w:rPr>
          <w:rFonts w:asciiTheme="majorBidi" w:hAnsiTheme="majorBidi" w:cstheme="majorBidi"/>
          <w:sz w:val="24"/>
          <w:szCs w:val="24"/>
        </w:rPr>
        <w:t xml:space="preserve">perception </w:t>
      </w:r>
      <w:r w:rsidRPr="008D75D3">
        <w:rPr>
          <w:rFonts w:asciiTheme="majorBidi" w:hAnsiTheme="majorBidi" w:cstheme="majorBidi"/>
          <w:sz w:val="24"/>
          <w:szCs w:val="24"/>
        </w:rPr>
        <w:t xml:space="preserve">on intention through </w:t>
      </w:r>
      <w:r>
        <w:rPr>
          <w:rFonts w:asciiTheme="majorBidi" w:hAnsiTheme="majorBidi" w:cstheme="majorBidi"/>
          <w:sz w:val="24"/>
          <w:szCs w:val="24"/>
        </w:rPr>
        <w:t>ad</w:t>
      </w:r>
      <w:r w:rsidRPr="008D75D3">
        <w:rPr>
          <w:rFonts w:asciiTheme="majorBidi" w:hAnsiTheme="majorBidi" w:cstheme="majorBidi"/>
          <w:sz w:val="24"/>
          <w:szCs w:val="24"/>
        </w:rPr>
        <w:t xml:space="preserve"> likeability is 0.1</w:t>
      </w:r>
      <w:r>
        <w:rPr>
          <w:rFonts w:asciiTheme="majorBidi" w:hAnsiTheme="majorBidi" w:cstheme="majorBidi"/>
          <w:sz w:val="24"/>
          <w:szCs w:val="24"/>
        </w:rPr>
        <w:t>001</w:t>
      </w:r>
      <w:r w:rsidRPr="008D75D3">
        <w:rPr>
          <w:rFonts w:asciiTheme="majorBidi" w:hAnsiTheme="majorBidi" w:cstheme="majorBidi"/>
          <w:sz w:val="24"/>
          <w:szCs w:val="24"/>
        </w:rPr>
        <w:t>.</w:t>
      </w:r>
    </w:p>
    <w:p w14:paraId="63587A21" w14:textId="77777777" w:rsidR="00D65FF6" w:rsidRDefault="00D65FF6">
      <w:pPr>
        <w:pStyle w:val="ListParagraph"/>
        <w:numPr>
          <w:ilvl w:val="0"/>
          <w:numId w:val="19"/>
        </w:numPr>
        <w:tabs>
          <w:tab w:val="left" w:pos="630"/>
        </w:tabs>
        <w:spacing w:after="200" w:line="480" w:lineRule="auto"/>
        <w:jc w:val="both"/>
        <w:rPr>
          <w:rFonts w:asciiTheme="majorBidi" w:hAnsiTheme="majorBidi" w:cstheme="majorBidi"/>
          <w:sz w:val="24"/>
          <w:szCs w:val="24"/>
        </w:rPr>
      </w:pPr>
      <w:r w:rsidRPr="004B0852">
        <w:rPr>
          <w:rFonts w:asciiTheme="majorBidi" w:hAnsiTheme="majorBidi" w:cstheme="majorBidi"/>
          <w:sz w:val="24"/>
          <w:szCs w:val="24"/>
        </w:rPr>
        <w:t>Brand likeability mediates the relation between CSR perception and purchase intention such that the indirect effect of CSR perception on purchase intention through brand likeability is 0.1822.</w:t>
      </w:r>
    </w:p>
    <w:p w14:paraId="545224DF" w14:textId="77777777" w:rsidR="00D65FF6" w:rsidRDefault="00D65FF6">
      <w:pPr>
        <w:pStyle w:val="ListParagraph"/>
        <w:numPr>
          <w:ilvl w:val="0"/>
          <w:numId w:val="19"/>
        </w:numPr>
        <w:tabs>
          <w:tab w:val="left" w:pos="630"/>
        </w:tabs>
        <w:spacing w:after="200" w:line="480" w:lineRule="auto"/>
        <w:jc w:val="both"/>
        <w:rPr>
          <w:rFonts w:asciiTheme="majorBidi" w:hAnsiTheme="majorBidi" w:cstheme="majorBidi"/>
          <w:sz w:val="24"/>
          <w:szCs w:val="24"/>
        </w:rPr>
      </w:pPr>
      <w:r w:rsidRPr="004B0852">
        <w:rPr>
          <w:rFonts w:asciiTheme="majorBidi" w:hAnsiTheme="majorBidi" w:cstheme="majorBidi"/>
          <w:sz w:val="24"/>
          <w:szCs w:val="24"/>
        </w:rPr>
        <w:t>Emotional brand attachment mediates the relation between CSR perception and purchase intention such that the indirect effect of CSR perception on purchase intention through emotional brand attachment is 0.1164.</w:t>
      </w:r>
    </w:p>
    <w:p w14:paraId="6E5D5387" w14:textId="77777777" w:rsidR="00D65FF6" w:rsidRDefault="00D65FF6">
      <w:pPr>
        <w:pStyle w:val="ListParagraph"/>
        <w:numPr>
          <w:ilvl w:val="0"/>
          <w:numId w:val="19"/>
        </w:numPr>
        <w:tabs>
          <w:tab w:val="left" w:pos="630"/>
        </w:tabs>
        <w:spacing w:after="200" w:line="480" w:lineRule="auto"/>
        <w:jc w:val="both"/>
        <w:rPr>
          <w:rFonts w:asciiTheme="majorBidi" w:hAnsiTheme="majorBidi" w:cstheme="majorBidi"/>
          <w:sz w:val="24"/>
          <w:szCs w:val="24"/>
        </w:rPr>
      </w:pPr>
      <w:r w:rsidRPr="004B0852">
        <w:rPr>
          <w:rFonts w:asciiTheme="majorBidi" w:hAnsiTheme="majorBidi" w:cstheme="majorBidi"/>
          <w:sz w:val="24"/>
          <w:szCs w:val="24"/>
        </w:rPr>
        <w:t>Brand trust mediates the relation between CSR perception and purchase intention such that the indirect effect of CSR perception on purchase intention through brand trust is 0.182.</w:t>
      </w:r>
    </w:p>
    <w:p w14:paraId="5ED6E3E0" w14:textId="68CCE610" w:rsidR="00D65FF6" w:rsidRPr="00AF5A81" w:rsidRDefault="00D65FF6">
      <w:pPr>
        <w:pStyle w:val="ListParagraph"/>
        <w:numPr>
          <w:ilvl w:val="0"/>
          <w:numId w:val="19"/>
        </w:numPr>
        <w:tabs>
          <w:tab w:val="left" w:pos="630"/>
        </w:tabs>
        <w:spacing w:after="200" w:line="480" w:lineRule="auto"/>
        <w:jc w:val="both"/>
        <w:rPr>
          <w:rFonts w:asciiTheme="majorBidi" w:hAnsiTheme="majorBidi" w:cstheme="majorBidi"/>
          <w:sz w:val="24"/>
          <w:szCs w:val="24"/>
        </w:rPr>
      </w:pPr>
      <w:r w:rsidRPr="004B0852">
        <w:rPr>
          <w:rFonts w:asciiTheme="majorBidi" w:hAnsiTheme="majorBidi" w:cstheme="majorBidi"/>
          <w:sz w:val="24"/>
          <w:szCs w:val="24"/>
        </w:rPr>
        <w:t>The total indirect effect of CSR perception on purchase intention is 0.5811, and the direct effect of CSR perception on purchase intention is 0.127. Then the total effect is 0.708. That is the average of purchase intention for high perception is larger than the same average for low perception directly and indirectly through mediators.</w:t>
      </w:r>
      <w:bookmarkEnd w:id="188"/>
    </w:p>
    <w:tbl>
      <w:tblPr>
        <w:tblW w:w="70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7"/>
        <w:gridCol w:w="580"/>
        <w:gridCol w:w="1713"/>
        <w:gridCol w:w="980"/>
        <w:gridCol w:w="708"/>
        <w:gridCol w:w="730"/>
        <w:gridCol w:w="830"/>
      </w:tblGrid>
      <w:tr w:rsidR="00D65FF6" w:rsidRPr="00D53E24" w14:paraId="553EE342" w14:textId="77777777" w:rsidTr="00FD1819">
        <w:trPr>
          <w:trHeight w:val="237"/>
          <w:tblHeader/>
        </w:trPr>
        <w:tc>
          <w:tcPr>
            <w:tcW w:w="1547" w:type="dxa"/>
            <w:tcMar>
              <w:top w:w="15" w:type="dxa"/>
              <w:left w:w="140" w:type="dxa"/>
              <w:bottom w:w="15" w:type="dxa"/>
              <w:right w:w="140" w:type="dxa"/>
            </w:tcMar>
            <w:vAlign w:val="center"/>
            <w:hideMark/>
          </w:tcPr>
          <w:p w14:paraId="74F0E954" w14:textId="77777777" w:rsidR="00D65FF6" w:rsidRPr="00D53E24" w:rsidRDefault="00D65FF6" w:rsidP="008D0DBB">
            <w:pPr>
              <w:spacing w:after="0" w:line="240" w:lineRule="auto"/>
              <w:rPr>
                <w:rFonts w:ascii="Times New Roman" w:eastAsia="Times New Roman" w:hAnsi="Times New Roman" w:cs="Times New Roman"/>
                <w:sz w:val="20"/>
                <w:szCs w:val="20"/>
              </w:rPr>
            </w:pPr>
          </w:p>
        </w:tc>
        <w:tc>
          <w:tcPr>
            <w:tcW w:w="580" w:type="dxa"/>
            <w:tcMar>
              <w:top w:w="15" w:type="dxa"/>
              <w:left w:w="140" w:type="dxa"/>
              <w:bottom w:w="15" w:type="dxa"/>
              <w:right w:w="140" w:type="dxa"/>
            </w:tcMar>
            <w:vAlign w:val="center"/>
            <w:hideMark/>
          </w:tcPr>
          <w:p w14:paraId="59343D5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p>
        </w:tc>
        <w:tc>
          <w:tcPr>
            <w:tcW w:w="1713" w:type="dxa"/>
            <w:tcMar>
              <w:top w:w="15" w:type="dxa"/>
              <w:left w:w="140" w:type="dxa"/>
              <w:bottom w:w="15" w:type="dxa"/>
              <w:right w:w="140" w:type="dxa"/>
            </w:tcMar>
            <w:vAlign w:val="center"/>
            <w:hideMark/>
          </w:tcPr>
          <w:p w14:paraId="442310B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p>
        </w:tc>
        <w:tc>
          <w:tcPr>
            <w:tcW w:w="980" w:type="dxa"/>
            <w:tcMar>
              <w:top w:w="15" w:type="dxa"/>
              <w:left w:w="140" w:type="dxa"/>
              <w:bottom w:w="15" w:type="dxa"/>
              <w:right w:w="140" w:type="dxa"/>
            </w:tcMar>
            <w:vAlign w:val="center"/>
            <w:hideMark/>
          </w:tcPr>
          <w:p w14:paraId="104641D0"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Estimate</w:t>
            </w:r>
          </w:p>
        </w:tc>
        <w:tc>
          <w:tcPr>
            <w:tcW w:w="708" w:type="dxa"/>
            <w:tcMar>
              <w:top w:w="15" w:type="dxa"/>
              <w:left w:w="140" w:type="dxa"/>
              <w:bottom w:w="15" w:type="dxa"/>
              <w:right w:w="140" w:type="dxa"/>
            </w:tcMar>
            <w:vAlign w:val="center"/>
            <w:hideMark/>
          </w:tcPr>
          <w:p w14:paraId="7257748B"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S.E.</w:t>
            </w:r>
          </w:p>
        </w:tc>
        <w:tc>
          <w:tcPr>
            <w:tcW w:w="730" w:type="dxa"/>
            <w:tcMar>
              <w:top w:w="15" w:type="dxa"/>
              <w:left w:w="140" w:type="dxa"/>
              <w:bottom w:w="15" w:type="dxa"/>
              <w:right w:w="140" w:type="dxa"/>
            </w:tcMar>
            <w:vAlign w:val="center"/>
            <w:hideMark/>
          </w:tcPr>
          <w:p w14:paraId="201EEA3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C.R.</w:t>
            </w:r>
          </w:p>
        </w:tc>
        <w:tc>
          <w:tcPr>
            <w:tcW w:w="830" w:type="dxa"/>
            <w:tcMar>
              <w:top w:w="15" w:type="dxa"/>
              <w:left w:w="140" w:type="dxa"/>
              <w:bottom w:w="15" w:type="dxa"/>
              <w:right w:w="140" w:type="dxa"/>
            </w:tcMar>
            <w:vAlign w:val="center"/>
            <w:hideMark/>
          </w:tcPr>
          <w:p w14:paraId="5D0CF5C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w:t>
            </w:r>
          </w:p>
        </w:tc>
      </w:tr>
      <w:tr w:rsidR="00D65FF6" w:rsidRPr="00D53E24" w14:paraId="48B2B405" w14:textId="77777777" w:rsidTr="00FD1819">
        <w:trPr>
          <w:trHeight w:val="237"/>
        </w:trPr>
        <w:tc>
          <w:tcPr>
            <w:tcW w:w="1547" w:type="dxa"/>
            <w:tcMar>
              <w:top w:w="15" w:type="dxa"/>
              <w:left w:w="57" w:type="dxa"/>
              <w:bottom w:w="15" w:type="dxa"/>
              <w:right w:w="57" w:type="dxa"/>
            </w:tcMar>
            <w:vAlign w:val="center"/>
            <w:hideMark/>
          </w:tcPr>
          <w:p w14:paraId="68A14BBE"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brand_Likeability</w:t>
            </w:r>
          </w:p>
        </w:tc>
        <w:tc>
          <w:tcPr>
            <w:tcW w:w="580" w:type="dxa"/>
            <w:noWrap/>
            <w:tcMar>
              <w:top w:w="15" w:type="dxa"/>
              <w:left w:w="57" w:type="dxa"/>
              <w:bottom w:w="15" w:type="dxa"/>
              <w:right w:w="57" w:type="dxa"/>
            </w:tcMar>
            <w:vAlign w:val="center"/>
            <w:hideMark/>
          </w:tcPr>
          <w:p w14:paraId="0EE3A007"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4D7EE484"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980" w:type="dxa"/>
            <w:tcMar>
              <w:top w:w="15" w:type="dxa"/>
              <w:left w:w="140" w:type="dxa"/>
              <w:bottom w:w="15" w:type="dxa"/>
              <w:right w:w="140" w:type="dxa"/>
            </w:tcMar>
            <w:vAlign w:val="center"/>
            <w:hideMark/>
          </w:tcPr>
          <w:p w14:paraId="181169BB"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.544</w:t>
            </w:r>
          </w:p>
        </w:tc>
        <w:tc>
          <w:tcPr>
            <w:tcW w:w="708" w:type="dxa"/>
            <w:tcMar>
              <w:top w:w="15" w:type="dxa"/>
              <w:left w:w="140" w:type="dxa"/>
              <w:bottom w:w="15" w:type="dxa"/>
              <w:right w:w="140" w:type="dxa"/>
            </w:tcMar>
            <w:vAlign w:val="center"/>
            <w:hideMark/>
          </w:tcPr>
          <w:p w14:paraId="6F11F33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.155</w:t>
            </w:r>
          </w:p>
        </w:tc>
        <w:tc>
          <w:tcPr>
            <w:tcW w:w="730" w:type="dxa"/>
            <w:tcMar>
              <w:top w:w="15" w:type="dxa"/>
              <w:left w:w="140" w:type="dxa"/>
              <w:bottom w:w="15" w:type="dxa"/>
              <w:right w:w="140" w:type="dxa"/>
            </w:tcMar>
            <w:vAlign w:val="center"/>
            <w:hideMark/>
          </w:tcPr>
          <w:p w14:paraId="1EAD4FD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3.503</w:t>
            </w:r>
          </w:p>
        </w:tc>
        <w:tc>
          <w:tcPr>
            <w:tcW w:w="830" w:type="dxa"/>
            <w:tcMar>
              <w:top w:w="15" w:type="dxa"/>
              <w:left w:w="140" w:type="dxa"/>
              <w:bottom w:w="15" w:type="dxa"/>
              <w:right w:w="140" w:type="dxa"/>
            </w:tcMar>
            <w:vAlign w:val="center"/>
            <w:hideMark/>
          </w:tcPr>
          <w:p w14:paraId="79DDAFEB"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2C685B93" w14:textId="77777777" w:rsidTr="00FD1819">
        <w:trPr>
          <w:trHeight w:val="237"/>
        </w:trPr>
        <w:tc>
          <w:tcPr>
            <w:tcW w:w="1547" w:type="dxa"/>
            <w:tcMar>
              <w:top w:w="15" w:type="dxa"/>
              <w:left w:w="57" w:type="dxa"/>
              <w:bottom w:w="15" w:type="dxa"/>
              <w:right w:w="57" w:type="dxa"/>
            </w:tcMar>
            <w:vAlign w:val="center"/>
            <w:hideMark/>
          </w:tcPr>
          <w:p w14:paraId="0AB10228"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emotional_brand</w:t>
            </w:r>
          </w:p>
        </w:tc>
        <w:tc>
          <w:tcPr>
            <w:tcW w:w="580" w:type="dxa"/>
            <w:noWrap/>
            <w:tcMar>
              <w:top w:w="15" w:type="dxa"/>
              <w:left w:w="57" w:type="dxa"/>
              <w:bottom w:w="15" w:type="dxa"/>
              <w:right w:w="57" w:type="dxa"/>
            </w:tcMar>
            <w:vAlign w:val="center"/>
            <w:hideMark/>
          </w:tcPr>
          <w:p w14:paraId="43AC5FF2"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46E98F38"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980" w:type="dxa"/>
            <w:tcMar>
              <w:top w:w="15" w:type="dxa"/>
              <w:left w:w="140" w:type="dxa"/>
              <w:bottom w:w="15" w:type="dxa"/>
              <w:right w:w="140" w:type="dxa"/>
            </w:tcMar>
            <w:vAlign w:val="center"/>
            <w:hideMark/>
          </w:tcPr>
          <w:p w14:paraId="09283C0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.594</w:t>
            </w:r>
          </w:p>
        </w:tc>
        <w:tc>
          <w:tcPr>
            <w:tcW w:w="708" w:type="dxa"/>
            <w:tcMar>
              <w:top w:w="15" w:type="dxa"/>
              <w:left w:w="140" w:type="dxa"/>
              <w:bottom w:w="15" w:type="dxa"/>
              <w:right w:w="140" w:type="dxa"/>
            </w:tcMar>
            <w:vAlign w:val="center"/>
            <w:hideMark/>
          </w:tcPr>
          <w:p w14:paraId="679476F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.187</w:t>
            </w:r>
          </w:p>
        </w:tc>
        <w:tc>
          <w:tcPr>
            <w:tcW w:w="730" w:type="dxa"/>
            <w:tcMar>
              <w:top w:w="15" w:type="dxa"/>
              <w:left w:w="140" w:type="dxa"/>
              <w:bottom w:w="15" w:type="dxa"/>
              <w:right w:w="140" w:type="dxa"/>
            </w:tcMar>
            <w:vAlign w:val="center"/>
            <w:hideMark/>
          </w:tcPr>
          <w:p w14:paraId="45A5D7E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3.172</w:t>
            </w:r>
          </w:p>
        </w:tc>
        <w:tc>
          <w:tcPr>
            <w:tcW w:w="830" w:type="dxa"/>
            <w:tcMar>
              <w:top w:w="15" w:type="dxa"/>
              <w:left w:w="140" w:type="dxa"/>
              <w:bottom w:w="15" w:type="dxa"/>
              <w:right w:w="140" w:type="dxa"/>
            </w:tcMar>
            <w:vAlign w:val="center"/>
            <w:hideMark/>
          </w:tcPr>
          <w:p w14:paraId="065956E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.002</w:t>
            </w:r>
          </w:p>
        </w:tc>
      </w:tr>
      <w:tr w:rsidR="00D65FF6" w:rsidRPr="00D53E24" w14:paraId="2CC11966" w14:textId="77777777" w:rsidTr="00FD1819">
        <w:trPr>
          <w:trHeight w:val="244"/>
        </w:trPr>
        <w:tc>
          <w:tcPr>
            <w:tcW w:w="1547" w:type="dxa"/>
            <w:tcMar>
              <w:top w:w="15" w:type="dxa"/>
              <w:left w:w="57" w:type="dxa"/>
              <w:bottom w:w="15" w:type="dxa"/>
              <w:right w:w="57" w:type="dxa"/>
            </w:tcMar>
            <w:vAlign w:val="center"/>
            <w:hideMark/>
          </w:tcPr>
          <w:p w14:paraId="3A8DE6F3"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Ad_Likeability</w:t>
            </w:r>
          </w:p>
        </w:tc>
        <w:tc>
          <w:tcPr>
            <w:tcW w:w="580" w:type="dxa"/>
            <w:noWrap/>
            <w:tcMar>
              <w:top w:w="15" w:type="dxa"/>
              <w:left w:w="57" w:type="dxa"/>
              <w:bottom w:w="15" w:type="dxa"/>
              <w:right w:w="57" w:type="dxa"/>
            </w:tcMar>
            <w:vAlign w:val="center"/>
            <w:hideMark/>
          </w:tcPr>
          <w:p w14:paraId="70E1DC3B"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23CAA91D"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980" w:type="dxa"/>
            <w:tcMar>
              <w:top w:w="15" w:type="dxa"/>
              <w:left w:w="140" w:type="dxa"/>
              <w:bottom w:w="15" w:type="dxa"/>
              <w:right w:w="140" w:type="dxa"/>
            </w:tcMar>
            <w:vAlign w:val="center"/>
            <w:hideMark/>
          </w:tcPr>
          <w:p w14:paraId="30C683B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.646</w:t>
            </w:r>
          </w:p>
        </w:tc>
        <w:tc>
          <w:tcPr>
            <w:tcW w:w="708" w:type="dxa"/>
            <w:tcMar>
              <w:top w:w="15" w:type="dxa"/>
              <w:left w:w="140" w:type="dxa"/>
              <w:bottom w:w="15" w:type="dxa"/>
              <w:right w:w="140" w:type="dxa"/>
            </w:tcMar>
            <w:vAlign w:val="center"/>
            <w:hideMark/>
          </w:tcPr>
          <w:p w14:paraId="4AB8F16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.164</w:t>
            </w:r>
          </w:p>
        </w:tc>
        <w:tc>
          <w:tcPr>
            <w:tcW w:w="730" w:type="dxa"/>
            <w:tcMar>
              <w:top w:w="15" w:type="dxa"/>
              <w:left w:w="140" w:type="dxa"/>
              <w:bottom w:w="15" w:type="dxa"/>
              <w:right w:w="140" w:type="dxa"/>
            </w:tcMar>
            <w:vAlign w:val="center"/>
            <w:hideMark/>
          </w:tcPr>
          <w:p w14:paraId="3412E7E5"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3.944</w:t>
            </w:r>
          </w:p>
        </w:tc>
        <w:tc>
          <w:tcPr>
            <w:tcW w:w="830" w:type="dxa"/>
            <w:tcMar>
              <w:top w:w="15" w:type="dxa"/>
              <w:left w:w="140" w:type="dxa"/>
              <w:bottom w:w="15" w:type="dxa"/>
              <w:right w:w="140" w:type="dxa"/>
            </w:tcMar>
            <w:vAlign w:val="center"/>
            <w:hideMark/>
          </w:tcPr>
          <w:p w14:paraId="54571B5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2DD50EDB" w14:textId="77777777" w:rsidTr="00FD1819">
        <w:trPr>
          <w:trHeight w:val="237"/>
        </w:trPr>
        <w:tc>
          <w:tcPr>
            <w:tcW w:w="1547" w:type="dxa"/>
            <w:tcMar>
              <w:top w:w="15" w:type="dxa"/>
              <w:left w:w="57" w:type="dxa"/>
              <w:bottom w:w="15" w:type="dxa"/>
              <w:right w:w="57" w:type="dxa"/>
            </w:tcMar>
            <w:vAlign w:val="center"/>
            <w:hideMark/>
          </w:tcPr>
          <w:p w14:paraId="06F81F65"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brand_trust</w:t>
            </w:r>
          </w:p>
        </w:tc>
        <w:tc>
          <w:tcPr>
            <w:tcW w:w="580" w:type="dxa"/>
            <w:noWrap/>
            <w:tcMar>
              <w:top w:w="15" w:type="dxa"/>
              <w:left w:w="57" w:type="dxa"/>
              <w:bottom w:w="15" w:type="dxa"/>
              <w:right w:w="57" w:type="dxa"/>
            </w:tcMar>
            <w:vAlign w:val="center"/>
            <w:hideMark/>
          </w:tcPr>
          <w:p w14:paraId="77D92826"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60E63E6D"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980" w:type="dxa"/>
            <w:tcMar>
              <w:top w:w="15" w:type="dxa"/>
              <w:left w:w="140" w:type="dxa"/>
              <w:bottom w:w="15" w:type="dxa"/>
              <w:right w:w="140" w:type="dxa"/>
            </w:tcMar>
            <w:vAlign w:val="center"/>
            <w:hideMark/>
          </w:tcPr>
          <w:p w14:paraId="7BF5C8EA"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.588</w:t>
            </w:r>
          </w:p>
        </w:tc>
        <w:tc>
          <w:tcPr>
            <w:tcW w:w="708" w:type="dxa"/>
            <w:tcMar>
              <w:top w:w="15" w:type="dxa"/>
              <w:left w:w="140" w:type="dxa"/>
              <w:bottom w:w="15" w:type="dxa"/>
              <w:right w:w="140" w:type="dxa"/>
            </w:tcMar>
            <w:vAlign w:val="center"/>
            <w:hideMark/>
          </w:tcPr>
          <w:p w14:paraId="1F29B9B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.178</w:t>
            </w:r>
          </w:p>
        </w:tc>
        <w:tc>
          <w:tcPr>
            <w:tcW w:w="730" w:type="dxa"/>
            <w:tcMar>
              <w:top w:w="15" w:type="dxa"/>
              <w:left w:w="140" w:type="dxa"/>
              <w:bottom w:w="15" w:type="dxa"/>
              <w:right w:w="140" w:type="dxa"/>
            </w:tcMar>
            <w:vAlign w:val="center"/>
            <w:hideMark/>
          </w:tcPr>
          <w:p w14:paraId="1EC73D8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3.298</w:t>
            </w:r>
          </w:p>
        </w:tc>
        <w:tc>
          <w:tcPr>
            <w:tcW w:w="830" w:type="dxa"/>
            <w:tcMar>
              <w:top w:w="15" w:type="dxa"/>
              <w:left w:w="140" w:type="dxa"/>
              <w:bottom w:w="15" w:type="dxa"/>
              <w:right w:w="140" w:type="dxa"/>
            </w:tcMar>
            <w:vAlign w:val="center"/>
            <w:hideMark/>
          </w:tcPr>
          <w:p w14:paraId="5C907B3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2EF19421" w14:textId="77777777" w:rsidTr="00FD1819">
        <w:trPr>
          <w:trHeight w:val="237"/>
        </w:trPr>
        <w:tc>
          <w:tcPr>
            <w:tcW w:w="1547" w:type="dxa"/>
            <w:tcMar>
              <w:top w:w="15" w:type="dxa"/>
              <w:left w:w="57" w:type="dxa"/>
              <w:bottom w:w="15" w:type="dxa"/>
              <w:right w:w="57" w:type="dxa"/>
            </w:tcMar>
            <w:vAlign w:val="center"/>
            <w:hideMark/>
          </w:tcPr>
          <w:p w14:paraId="61A7C1C5"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intention</w:t>
            </w:r>
          </w:p>
        </w:tc>
        <w:tc>
          <w:tcPr>
            <w:tcW w:w="580" w:type="dxa"/>
            <w:noWrap/>
            <w:tcMar>
              <w:top w:w="15" w:type="dxa"/>
              <w:left w:w="57" w:type="dxa"/>
              <w:bottom w:w="15" w:type="dxa"/>
              <w:right w:w="57" w:type="dxa"/>
            </w:tcMar>
            <w:vAlign w:val="center"/>
            <w:hideMark/>
          </w:tcPr>
          <w:p w14:paraId="7BC19714"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4CCDC56A"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Ad_Likeability</w:t>
            </w:r>
          </w:p>
        </w:tc>
        <w:tc>
          <w:tcPr>
            <w:tcW w:w="980" w:type="dxa"/>
            <w:tcMar>
              <w:top w:w="15" w:type="dxa"/>
              <w:left w:w="140" w:type="dxa"/>
              <w:bottom w:w="15" w:type="dxa"/>
              <w:right w:w="140" w:type="dxa"/>
            </w:tcMar>
            <w:vAlign w:val="center"/>
            <w:hideMark/>
          </w:tcPr>
          <w:p w14:paraId="0D1B43C2"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.156</w:t>
            </w:r>
          </w:p>
        </w:tc>
        <w:tc>
          <w:tcPr>
            <w:tcW w:w="708" w:type="dxa"/>
            <w:tcMar>
              <w:top w:w="15" w:type="dxa"/>
              <w:left w:w="140" w:type="dxa"/>
              <w:bottom w:w="15" w:type="dxa"/>
              <w:right w:w="140" w:type="dxa"/>
            </w:tcMar>
            <w:vAlign w:val="center"/>
            <w:hideMark/>
          </w:tcPr>
          <w:p w14:paraId="6A03318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.045</w:t>
            </w:r>
          </w:p>
        </w:tc>
        <w:tc>
          <w:tcPr>
            <w:tcW w:w="730" w:type="dxa"/>
            <w:tcMar>
              <w:top w:w="15" w:type="dxa"/>
              <w:left w:w="140" w:type="dxa"/>
              <w:bottom w:w="15" w:type="dxa"/>
              <w:right w:w="140" w:type="dxa"/>
            </w:tcMar>
            <w:vAlign w:val="center"/>
            <w:hideMark/>
          </w:tcPr>
          <w:p w14:paraId="17910AC0"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3.461</w:t>
            </w:r>
          </w:p>
        </w:tc>
        <w:tc>
          <w:tcPr>
            <w:tcW w:w="830" w:type="dxa"/>
            <w:tcMar>
              <w:top w:w="15" w:type="dxa"/>
              <w:left w:w="140" w:type="dxa"/>
              <w:bottom w:w="15" w:type="dxa"/>
              <w:right w:w="140" w:type="dxa"/>
            </w:tcMar>
            <w:vAlign w:val="center"/>
            <w:hideMark/>
          </w:tcPr>
          <w:p w14:paraId="32562C63"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76F00FDD" w14:textId="77777777" w:rsidTr="00FD1819">
        <w:trPr>
          <w:trHeight w:val="237"/>
        </w:trPr>
        <w:tc>
          <w:tcPr>
            <w:tcW w:w="1547" w:type="dxa"/>
            <w:tcMar>
              <w:top w:w="15" w:type="dxa"/>
              <w:left w:w="57" w:type="dxa"/>
              <w:bottom w:w="15" w:type="dxa"/>
              <w:right w:w="57" w:type="dxa"/>
            </w:tcMar>
            <w:vAlign w:val="center"/>
            <w:hideMark/>
          </w:tcPr>
          <w:p w14:paraId="04CC7861"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intention</w:t>
            </w:r>
          </w:p>
        </w:tc>
        <w:tc>
          <w:tcPr>
            <w:tcW w:w="580" w:type="dxa"/>
            <w:noWrap/>
            <w:tcMar>
              <w:top w:w="15" w:type="dxa"/>
              <w:left w:w="57" w:type="dxa"/>
              <w:bottom w:w="15" w:type="dxa"/>
              <w:right w:w="57" w:type="dxa"/>
            </w:tcMar>
            <w:vAlign w:val="center"/>
            <w:hideMark/>
          </w:tcPr>
          <w:p w14:paraId="3332D22B"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3FB5868D"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brand_Likeability</w:t>
            </w:r>
          </w:p>
        </w:tc>
        <w:tc>
          <w:tcPr>
            <w:tcW w:w="980" w:type="dxa"/>
            <w:tcMar>
              <w:top w:w="15" w:type="dxa"/>
              <w:left w:w="140" w:type="dxa"/>
              <w:bottom w:w="15" w:type="dxa"/>
              <w:right w:w="140" w:type="dxa"/>
            </w:tcMar>
            <w:vAlign w:val="center"/>
            <w:hideMark/>
          </w:tcPr>
          <w:p w14:paraId="31F79B47"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.335</w:t>
            </w:r>
          </w:p>
        </w:tc>
        <w:tc>
          <w:tcPr>
            <w:tcW w:w="708" w:type="dxa"/>
            <w:tcMar>
              <w:top w:w="15" w:type="dxa"/>
              <w:left w:w="140" w:type="dxa"/>
              <w:bottom w:w="15" w:type="dxa"/>
              <w:right w:w="140" w:type="dxa"/>
            </w:tcMar>
            <w:vAlign w:val="center"/>
            <w:hideMark/>
          </w:tcPr>
          <w:p w14:paraId="030CB44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.048</w:t>
            </w:r>
          </w:p>
        </w:tc>
        <w:tc>
          <w:tcPr>
            <w:tcW w:w="730" w:type="dxa"/>
            <w:tcMar>
              <w:top w:w="15" w:type="dxa"/>
              <w:left w:w="140" w:type="dxa"/>
              <w:bottom w:w="15" w:type="dxa"/>
              <w:right w:w="140" w:type="dxa"/>
            </w:tcMar>
            <w:vAlign w:val="center"/>
            <w:hideMark/>
          </w:tcPr>
          <w:p w14:paraId="196CFE8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7.057</w:t>
            </w:r>
          </w:p>
        </w:tc>
        <w:tc>
          <w:tcPr>
            <w:tcW w:w="830" w:type="dxa"/>
            <w:tcMar>
              <w:top w:w="15" w:type="dxa"/>
              <w:left w:w="140" w:type="dxa"/>
              <w:bottom w:w="15" w:type="dxa"/>
              <w:right w:w="140" w:type="dxa"/>
            </w:tcMar>
            <w:vAlign w:val="center"/>
            <w:hideMark/>
          </w:tcPr>
          <w:p w14:paraId="056E639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00F767A7" w14:textId="77777777" w:rsidTr="00FD1819">
        <w:trPr>
          <w:trHeight w:val="237"/>
        </w:trPr>
        <w:tc>
          <w:tcPr>
            <w:tcW w:w="1547" w:type="dxa"/>
            <w:tcMar>
              <w:top w:w="15" w:type="dxa"/>
              <w:left w:w="57" w:type="dxa"/>
              <w:bottom w:w="15" w:type="dxa"/>
              <w:right w:w="57" w:type="dxa"/>
            </w:tcMar>
            <w:vAlign w:val="center"/>
            <w:hideMark/>
          </w:tcPr>
          <w:p w14:paraId="729D9A54"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intention</w:t>
            </w:r>
          </w:p>
        </w:tc>
        <w:tc>
          <w:tcPr>
            <w:tcW w:w="580" w:type="dxa"/>
            <w:noWrap/>
            <w:tcMar>
              <w:top w:w="15" w:type="dxa"/>
              <w:left w:w="57" w:type="dxa"/>
              <w:bottom w:w="15" w:type="dxa"/>
              <w:right w:w="57" w:type="dxa"/>
            </w:tcMar>
            <w:vAlign w:val="center"/>
            <w:hideMark/>
          </w:tcPr>
          <w:p w14:paraId="23366AE6"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79AFC00F"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emotional_brand</w:t>
            </w:r>
          </w:p>
        </w:tc>
        <w:tc>
          <w:tcPr>
            <w:tcW w:w="980" w:type="dxa"/>
            <w:tcMar>
              <w:top w:w="15" w:type="dxa"/>
              <w:left w:w="140" w:type="dxa"/>
              <w:bottom w:w="15" w:type="dxa"/>
              <w:right w:w="140" w:type="dxa"/>
            </w:tcMar>
            <w:vAlign w:val="center"/>
            <w:hideMark/>
          </w:tcPr>
          <w:p w14:paraId="6667FCBA"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.196</w:t>
            </w:r>
          </w:p>
        </w:tc>
        <w:tc>
          <w:tcPr>
            <w:tcW w:w="708" w:type="dxa"/>
            <w:tcMar>
              <w:top w:w="15" w:type="dxa"/>
              <w:left w:w="140" w:type="dxa"/>
              <w:bottom w:w="15" w:type="dxa"/>
              <w:right w:w="140" w:type="dxa"/>
            </w:tcMar>
            <w:vAlign w:val="center"/>
            <w:hideMark/>
          </w:tcPr>
          <w:p w14:paraId="3E576062"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.039</w:t>
            </w:r>
          </w:p>
        </w:tc>
        <w:tc>
          <w:tcPr>
            <w:tcW w:w="730" w:type="dxa"/>
            <w:tcMar>
              <w:top w:w="15" w:type="dxa"/>
              <w:left w:w="140" w:type="dxa"/>
              <w:bottom w:w="15" w:type="dxa"/>
              <w:right w:w="140" w:type="dxa"/>
            </w:tcMar>
            <w:vAlign w:val="center"/>
            <w:hideMark/>
          </w:tcPr>
          <w:p w14:paraId="39197043"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4.977</w:t>
            </w:r>
          </w:p>
        </w:tc>
        <w:tc>
          <w:tcPr>
            <w:tcW w:w="830" w:type="dxa"/>
            <w:tcMar>
              <w:top w:w="15" w:type="dxa"/>
              <w:left w:w="140" w:type="dxa"/>
              <w:bottom w:w="15" w:type="dxa"/>
              <w:right w:w="140" w:type="dxa"/>
            </w:tcMar>
            <w:vAlign w:val="center"/>
            <w:hideMark/>
          </w:tcPr>
          <w:p w14:paraId="1FF479F5"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13694455" w14:textId="77777777" w:rsidTr="00FD1819">
        <w:trPr>
          <w:trHeight w:val="237"/>
        </w:trPr>
        <w:tc>
          <w:tcPr>
            <w:tcW w:w="1547" w:type="dxa"/>
            <w:tcMar>
              <w:top w:w="15" w:type="dxa"/>
              <w:left w:w="57" w:type="dxa"/>
              <w:bottom w:w="15" w:type="dxa"/>
              <w:right w:w="57" w:type="dxa"/>
            </w:tcMar>
            <w:vAlign w:val="center"/>
            <w:hideMark/>
          </w:tcPr>
          <w:p w14:paraId="2E501543"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intention</w:t>
            </w:r>
          </w:p>
        </w:tc>
        <w:tc>
          <w:tcPr>
            <w:tcW w:w="580" w:type="dxa"/>
            <w:noWrap/>
            <w:tcMar>
              <w:top w:w="15" w:type="dxa"/>
              <w:left w:w="57" w:type="dxa"/>
              <w:bottom w:w="15" w:type="dxa"/>
              <w:right w:w="57" w:type="dxa"/>
            </w:tcMar>
            <w:vAlign w:val="center"/>
            <w:hideMark/>
          </w:tcPr>
          <w:p w14:paraId="514C6988"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7B79629A"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brand_trust</w:t>
            </w:r>
          </w:p>
        </w:tc>
        <w:tc>
          <w:tcPr>
            <w:tcW w:w="980" w:type="dxa"/>
            <w:tcMar>
              <w:top w:w="15" w:type="dxa"/>
              <w:left w:w="140" w:type="dxa"/>
              <w:bottom w:w="15" w:type="dxa"/>
              <w:right w:w="140" w:type="dxa"/>
            </w:tcMar>
            <w:vAlign w:val="center"/>
            <w:hideMark/>
          </w:tcPr>
          <w:p w14:paraId="7AC8AE85"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.309</w:t>
            </w:r>
          </w:p>
        </w:tc>
        <w:tc>
          <w:tcPr>
            <w:tcW w:w="708" w:type="dxa"/>
            <w:tcMar>
              <w:top w:w="15" w:type="dxa"/>
              <w:left w:w="140" w:type="dxa"/>
              <w:bottom w:w="15" w:type="dxa"/>
              <w:right w:w="140" w:type="dxa"/>
            </w:tcMar>
            <w:vAlign w:val="center"/>
            <w:hideMark/>
          </w:tcPr>
          <w:p w14:paraId="7FDC18D4"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.041</w:t>
            </w:r>
          </w:p>
        </w:tc>
        <w:tc>
          <w:tcPr>
            <w:tcW w:w="730" w:type="dxa"/>
            <w:tcMar>
              <w:top w:w="15" w:type="dxa"/>
              <w:left w:w="140" w:type="dxa"/>
              <w:bottom w:w="15" w:type="dxa"/>
              <w:right w:w="140" w:type="dxa"/>
            </w:tcMar>
            <w:vAlign w:val="center"/>
            <w:hideMark/>
          </w:tcPr>
          <w:p w14:paraId="39B1683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7.476</w:t>
            </w:r>
          </w:p>
        </w:tc>
        <w:tc>
          <w:tcPr>
            <w:tcW w:w="830" w:type="dxa"/>
            <w:tcMar>
              <w:top w:w="15" w:type="dxa"/>
              <w:left w:w="140" w:type="dxa"/>
              <w:bottom w:w="15" w:type="dxa"/>
              <w:right w:w="140" w:type="dxa"/>
            </w:tcMar>
            <w:vAlign w:val="center"/>
            <w:hideMark/>
          </w:tcPr>
          <w:p w14:paraId="65F8C34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253E41A3" w14:textId="77777777" w:rsidTr="00FD1819">
        <w:trPr>
          <w:trHeight w:val="237"/>
        </w:trPr>
        <w:tc>
          <w:tcPr>
            <w:tcW w:w="1547" w:type="dxa"/>
            <w:tcMar>
              <w:top w:w="15" w:type="dxa"/>
              <w:left w:w="57" w:type="dxa"/>
              <w:bottom w:w="15" w:type="dxa"/>
              <w:right w:w="57" w:type="dxa"/>
            </w:tcMar>
            <w:vAlign w:val="center"/>
            <w:hideMark/>
          </w:tcPr>
          <w:p w14:paraId="486F1ECF"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intention</w:t>
            </w:r>
          </w:p>
        </w:tc>
        <w:tc>
          <w:tcPr>
            <w:tcW w:w="580" w:type="dxa"/>
            <w:noWrap/>
            <w:tcMar>
              <w:top w:w="15" w:type="dxa"/>
              <w:left w:w="57" w:type="dxa"/>
              <w:bottom w:w="15" w:type="dxa"/>
              <w:right w:w="57" w:type="dxa"/>
            </w:tcMar>
            <w:vAlign w:val="center"/>
            <w:hideMark/>
          </w:tcPr>
          <w:p w14:paraId="69FDD24C"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713" w:type="dxa"/>
            <w:tcMar>
              <w:top w:w="15" w:type="dxa"/>
              <w:left w:w="140" w:type="dxa"/>
              <w:bottom w:w="15" w:type="dxa"/>
              <w:right w:w="140" w:type="dxa"/>
            </w:tcMar>
            <w:vAlign w:val="center"/>
            <w:hideMark/>
          </w:tcPr>
          <w:p w14:paraId="4979AB6A"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980" w:type="dxa"/>
            <w:noWrap/>
            <w:tcMar>
              <w:top w:w="15" w:type="dxa"/>
              <w:left w:w="140" w:type="dxa"/>
              <w:bottom w:w="15" w:type="dxa"/>
              <w:right w:w="140" w:type="dxa"/>
            </w:tcMar>
            <w:vAlign w:val="center"/>
            <w:hideMark/>
          </w:tcPr>
          <w:p w14:paraId="5BB1DA5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.127</w:t>
            </w:r>
          </w:p>
        </w:tc>
        <w:tc>
          <w:tcPr>
            <w:tcW w:w="708" w:type="dxa"/>
            <w:tcMar>
              <w:top w:w="15" w:type="dxa"/>
              <w:left w:w="140" w:type="dxa"/>
              <w:bottom w:w="15" w:type="dxa"/>
              <w:right w:w="140" w:type="dxa"/>
            </w:tcMar>
            <w:vAlign w:val="center"/>
            <w:hideMark/>
          </w:tcPr>
          <w:p w14:paraId="511358A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.018</w:t>
            </w:r>
          </w:p>
        </w:tc>
        <w:tc>
          <w:tcPr>
            <w:tcW w:w="730" w:type="dxa"/>
            <w:noWrap/>
            <w:tcMar>
              <w:top w:w="15" w:type="dxa"/>
              <w:left w:w="140" w:type="dxa"/>
              <w:bottom w:w="15" w:type="dxa"/>
              <w:right w:w="140" w:type="dxa"/>
            </w:tcMar>
            <w:vAlign w:val="center"/>
            <w:hideMark/>
          </w:tcPr>
          <w:p w14:paraId="6E3E1A2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7.118</w:t>
            </w:r>
          </w:p>
        </w:tc>
        <w:tc>
          <w:tcPr>
            <w:tcW w:w="830" w:type="dxa"/>
            <w:tcMar>
              <w:top w:w="15" w:type="dxa"/>
              <w:left w:w="140" w:type="dxa"/>
              <w:bottom w:w="15" w:type="dxa"/>
              <w:right w:w="140" w:type="dxa"/>
            </w:tcMar>
            <w:vAlign w:val="center"/>
            <w:hideMark/>
          </w:tcPr>
          <w:p w14:paraId="5F7EF9B3" w14:textId="77777777" w:rsidR="00D65FF6" w:rsidRPr="00D53E24" w:rsidRDefault="00D65FF6" w:rsidP="00AF5A81">
            <w:pPr>
              <w:keepNext/>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bl>
    <w:p w14:paraId="31DF6BD2" w14:textId="5D4F98BD" w:rsidR="00D65FF6" w:rsidRPr="00AF5A81" w:rsidRDefault="00AF5A81" w:rsidP="00AF5A81">
      <w:pPr>
        <w:pStyle w:val="Caption"/>
      </w:pPr>
      <w:r>
        <w:t>Table 4</w:t>
      </w:r>
      <w:r w:rsidR="00FD1819">
        <w:t>6</w:t>
      </w:r>
      <w:r>
        <w:t xml:space="preserve">* Regression Weights: (Group numb </w:t>
      </w:r>
      <w:r>
        <w:fldChar w:fldCharType="begin"/>
      </w:r>
      <w:r>
        <w:instrText xml:space="preserve"> SEQ Table_44_Regression_Weights:_(Group_numb \* ARABIC </w:instrText>
      </w:r>
      <w:r>
        <w:fldChar w:fldCharType="separate"/>
      </w:r>
      <w:r>
        <w:rPr>
          <w:noProof/>
        </w:rPr>
        <w:t>1</w:t>
      </w:r>
      <w:r>
        <w:rPr>
          <w:noProof/>
        </w:rPr>
        <w:fldChar w:fldCharType="end"/>
      </w:r>
      <w:r>
        <w:t xml:space="preserve"> – Default model)</w:t>
      </w:r>
      <w:r>
        <w:br/>
      </w:r>
      <w:r w:rsidRPr="00AF5A81">
        <w:t>*Means p-value&lt;0.0001, perception is a dummy variable that takes 1 for High CSR perception and takes 0 for Low CSR perception</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843"/>
        <w:gridCol w:w="2268"/>
        <w:gridCol w:w="992"/>
        <w:gridCol w:w="1559"/>
      </w:tblGrid>
      <w:tr w:rsidR="00D65FF6" w:rsidRPr="00D53E24" w14:paraId="2548CF1B" w14:textId="77777777" w:rsidTr="00FD1819">
        <w:trPr>
          <w:trHeight w:val="297"/>
        </w:trPr>
        <w:tc>
          <w:tcPr>
            <w:tcW w:w="1417" w:type="dxa"/>
          </w:tcPr>
          <w:p w14:paraId="63382AE8"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Indices </w:t>
            </w:r>
          </w:p>
        </w:tc>
        <w:tc>
          <w:tcPr>
            <w:tcW w:w="1843" w:type="dxa"/>
          </w:tcPr>
          <w:p w14:paraId="7CD2FB64"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Abbreviation </w:t>
            </w:r>
          </w:p>
        </w:tc>
        <w:tc>
          <w:tcPr>
            <w:tcW w:w="2268" w:type="dxa"/>
          </w:tcPr>
          <w:p w14:paraId="450327DC"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Recommended criteria  </w:t>
            </w:r>
          </w:p>
        </w:tc>
        <w:tc>
          <w:tcPr>
            <w:tcW w:w="992" w:type="dxa"/>
          </w:tcPr>
          <w:p w14:paraId="251CF891"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Results</w:t>
            </w:r>
          </w:p>
        </w:tc>
        <w:tc>
          <w:tcPr>
            <w:tcW w:w="1559" w:type="dxa"/>
          </w:tcPr>
          <w:p w14:paraId="63789DC1"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Conclusion </w:t>
            </w:r>
          </w:p>
        </w:tc>
      </w:tr>
      <w:tr w:rsidR="00D65FF6" w:rsidRPr="00D53E24" w14:paraId="66550E53" w14:textId="77777777" w:rsidTr="00FD1819">
        <w:trPr>
          <w:trHeight w:val="20"/>
        </w:trPr>
        <w:tc>
          <w:tcPr>
            <w:tcW w:w="1417" w:type="dxa"/>
          </w:tcPr>
          <w:p w14:paraId="753DF80D"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Chi-square </w:t>
            </w:r>
          </w:p>
        </w:tc>
        <w:tc>
          <w:tcPr>
            <w:tcW w:w="1843" w:type="dxa"/>
          </w:tcPr>
          <w:p w14:paraId="6562023B"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χ </w:t>
            </w:r>
            <w:r w:rsidRPr="00D53E24">
              <w:rPr>
                <w:rFonts w:asciiTheme="majorBidi" w:hAnsiTheme="majorBidi" w:cstheme="majorBidi"/>
                <w:sz w:val="20"/>
                <w:szCs w:val="20"/>
                <w:vertAlign w:val="superscript"/>
              </w:rPr>
              <w:t>2</w:t>
            </w:r>
          </w:p>
        </w:tc>
        <w:tc>
          <w:tcPr>
            <w:tcW w:w="2268" w:type="dxa"/>
          </w:tcPr>
          <w:p w14:paraId="7BFC86D8"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P value&gt;0.05</w:t>
            </w:r>
          </w:p>
        </w:tc>
        <w:tc>
          <w:tcPr>
            <w:tcW w:w="992" w:type="dxa"/>
          </w:tcPr>
          <w:p w14:paraId="21CDFE83"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44.605</w:t>
            </w:r>
          </w:p>
        </w:tc>
        <w:tc>
          <w:tcPr>
            <w:tcW w:w="1559" w:type="dxa"/>
          </w:tcPr>
          <w:p w14:paraId="76A9ACBF" w14:textId="1A56D804"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Not good fi</w:t>
            </w:r>
            <w:r w:rsidR="00DB6CAA" w:rsidRPr="00D53E24">
              <w:rPr>
                <w:rFonts w:asciiTheme="majorBidi" w:hAnsiTheme="majorBidi" w:cstheme="majorBidi"/>
                <w:sz w:val="20"/>
                <w:szCs w:val="20"/>
              </w:rPr>
              <w:t>t</w:t>
            </w:r>
          </w:p>
        </w:tc>
      </w:tr>
      <w:tr w:rsidR="00D65FF6" w:rsidRPr="00D53E24" w14:paraId="71741477" w14:textId="77777777" w:rsidTr="00FD1819">
        <w:trPr>
          <w:trHeight w:val="530"/>
        </w:trPr>
        <w:tc>
          <w:tcPr>
            <w:tcW w:w="1417" w:type="dxa"/>
          </w:tcPr>
          <w:p w14:paraId="68137891"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Normed chi square</w:t>
            </w:r>
          </w:p>
        </w:tc>
        <w:tc>
          <w:tcPr>
            <w:tcW w:w="1843" w:type="dxa"/>
          </w:tcPr>
          <w:p w14:paraId="4E053A87"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χ </w:t>
            </w:r>
            <w:r w:rsidRPr="00D53E24">
              <w:rPr>
                <w:rFonts w:asciiTheme="majorBidi" w:hAnsiTheme="majorBidi" w:cstheme="majorBidi"/>
                <w:sz w:val="20"/>
                <w:szCs w:val="20"/>
                <w:vertAlign w:val="superscript"/>
              </w:rPr>
              <w:t>2</w:t>
            </w:r>
            <w:r w:rsidRPr="00D53E24">
              <w:rPr>
                <w:rFonts w:asciiTheme="majorBidi" w:hAnsiTheme="majorBidi" w:cstheme="majorBidi"/>
                <w:sz w:val="20"/>
                <w:szCs w:val="20"/>
              </w:rPr>
              <w:t>/DF</w:t>
            </w:r>
          </w:p>
        </w:tc>
        <w:tc>
          <w:tcPr>
            <w:tcW w:w="2268" w:type="dxa"/>
          </w:tcPr>
          <w:p w14:paraId="39A31D71"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1&lt;χ </w:t>
            </w:r>
            <w:r w:rsidRPr="00D53E24">
              <w:rPr>
                <w:rFonts w:asciiTheme="majorBidi" w:hAnsiTheme="majorBidi" w:cstheme="majorBidi"/>
                <w:sz w:val="20"/>
                <w:szCs w:val="20"/>
                <w:vertAlign w:val="superscript"/>
              </w:rPr>
              <w:t>2</w:t>
            </w:r>
            <w:r w:rsidRPr="00D53E24">
              <w:rPr>
                <w:rFonts w:asciiTheme="majorBidi" w:hAnsiTheme="majorBidi" w:cstheme="majorBidi"/>
                <w:sz w:val="20"/>
                <w:szCs w:val="20"/>
              </w:rPr>
              <w:t>/df&lt;3</w:t>
            </w:r>
          </w:p>
        </w:tc>
        <w:tc>
          <w:tcPr>
            <w:tcW w:w="992" w:type="dxa"/>
          </w:tcPr>
          <w:p w14:paraId="41AD4E12"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2.97</w:t>
            </w:r>
          </w:p>
        </w:tc>
        <w:tc>
          <w:tcPr>
            <w:tcW w:w="1559" w:type="dxa"/>
          </w:tcPr>
          <w:p w14:paraId="3098D019" w14:textId="5C7BCA0E"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Good fit</w:t>
            </w:r>
          </w:p>
        </w:tc>
      </w:tr>
      <w:tr w:rsidR="00D65FF6" w:rsidRPr="00D53E24" w14:paraId="3986B47F" w14:textId="77777777" w:rsidTr="00FD1819">
        <w:trPr>
          <w:trHeight w:val="20"/>
        </w:trPr>
        <w:tc>
          <w:tcPr>
            <w:tcW w:w="1417" w:type="dxa"/>
          </w:tcPr>
          <w:p w14:paraId="0D41FAB7"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Degree of freedom </w:t>
            </w:r>
          </w:p>
        </w:tc>
        <w:tc>
          <w:tcPr>
            <w:tcW w:w="1843" w:type="dxa"/>
          </w:tcPr>
          <w:p w14:paraId="373BFE18" w14:textId="77777777" w:rsidR="00D65FF6" w:rsidRPr="00D53E24" w:rsidRDefault="00D65FF6" w:rsidP="00D53E24">
            <w:pPr>
              <w:spacing w:after="0" w:line="240" w:lineRule="auto"/>
              <w:jc w:val="highKashida"/>
              <w:rPr>
                <w:rFonts w:asciiTheme="majorBidi" w:hAnsiTheme="majorBidi" w:cstheme="majorBidi"/>
                <w:sz w:val="20"/>
                <w:szCs w:val="20"/>
              </w:rPr>
            </w:pPr>
          </w:p>
        </w:tc>
        <w:tc>
          <w:tcPr>
            <w:tcW w:w="2268" w:type="dxa"/>
          </w:tcPr>
          <w:p w14:paraId="138FC0BA" w14:textId="77777777" w:rsidR="00D65FF6" w:rsidRPr="00D53E24" w:rsidRDefault="00D65FF6" w:rsidP="00D53E24">
            <w:pPr>
              <w:spacing w:after="0" w:line="240" w:lineRule="auto"/>
              <w:jc w:val="highKashida"/>
              <w:rPr>
                <w:rFonts w:asciiTheme="majorBidi" w:hAnsiTheme="majorBidi" w:cstheme="majorBidi"/>
                <w:sz w:val="20"/>
                <w:szCs w:val="20"/>
              </w:rPr>
            </w:pPr>
          </w:p>
        </w:tc>
        <w:tc>
          <w:tcPr>
            <w:tcW w:w="992" w:type="dxa"/>
          </w:tcPr>
          <w:p w14:paraId="0CE16987"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15</w:t>
            </w:r>
          </w:p>
        </w:tc>
        <w:tc>
          <w:tcPr>
            <w:tcW w:w="1559" w:type="dxa"/>
          </w:tcPr>
          <w:p w14:paraId="3E9A1E3C" w14:textId="77777777" w:rsidR="00D65FF6" w:rsidRPr="00D53E24" w:rsidRDefault="00D65FF6" w:rsidP="00D53E24">
            <w:pPr>
              <w:spacing w:after="0" w:line="240" w:lineRule="auto"/>
              <w:jc w:val="highKashida"/>
              <w:rPr>
                <w:rFonts w:asciiTheme="majorBidi" w:hAnsiTheme="majorBidi" w:cstheme="majorBidi"/>
                <w:sz w:val="20"/>
                <w:szCs w:val="20"/>
              </w:rPr>
            </w:pPr>
          </w:p>
        </w:tc>
      </w:tr>
      <w:tr w:rsidR="00D65FF6" w:rsidRPr="00D53E24" w14:paraId="0927BA9A" w14:textId="77777777" w:rsidTr="00FD1819">
        <w:trPr>
          <w:trHeight w:val="20"/>
        </w:trPr>
        <w:tc>
          <w:tcPr>
            <w:tcW w:w="1417" w:type="dxa"/>
          </w:tcPr>
          <w:p w14:paraId="7FC737A9"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 xml:space="preserve">Level of significance </w:t>
            </w:r>
          </w:p>
        </w:tc>
        <w:tc>
          <w:tcPr>
            <w:tcW w:w="1843" w:type="dxa"/>
          </w:tcPr>
          <w:p w14:paraId="18AF5232" w14:textId="77777777" w:rsidR="00D65FF6" w:rsidRPr="00D53E24" w:rsidRDefault="00D65FF6" w:rsidP="00D53E24">
            <w:pPr>
              <w:spacing w:after="0" w:line="240" w:lineRule="auto"/>
              <w:jc w:val="highKashida"/>
              <w:rPr>
                <w:rFonts w:asciiTheme="majorBidi" w:hAnsiTheme="majorBidi" w:cstheme="majorBidi"/>
                <w:sz w:val="20"/>
                <w:szCs w:val="20"/>
              </w:rPr>
            </w:pPr>
          </w:p>
        </w:tc>
        <w:tc>
          <w:tcPr>
            <w:tcW w:w="2268" w:type="dxa"/>
          </w:tcPr>
          <w:p w14:paraId="18F10F20" w14:textId="77777777" w:rsidR="00D65FF6" w:rsidRPr="00D53E24" w:rsidRDefault="00D65FF6" w:rsidP="00D53E24">
            <w:pPr>
              <w:spacing w:after="0" w:line="240" w:lineRule="auto"/>
              <w:jc w:val="highKashida"/>
              <w:rPr>
                <w:rFonts w:asciiTheme="majorBidi" w:hAnsiTheme="majorBidi" w:cstheme="majorBidi"/>
                <w:sz w:val="20"/>
                <w:szCs w:val="20"/>
              </w:rPr>
            </w:pPr>
          </w:p>
        </w:tc>
        <w:tc>
          <w:tcPr>
            <w:tcW w:w="992" w:type="dxa"/>
          </w:tcPr>
          <w:p w14:paraId="72DDF29F"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0.000</w:t>
            </w:r>
          </w:p>
        </w:tc>
        <w:tc>
          <w:tcPr>
            <w:tcW w:w="1559" w:type="dxa"/>
          </w:tcPr>
          <w:p w14:paraId="47B1C036" w14:textId="77777777" w:rsidR="00D65FF6" w:rsidRPr="00D53E24" w:rsidRDefault="00D65FF6" w:rsidP="00D53E24">
            <w:pPr>
              <w:spacing w:after="0" w:line="240" w:lineRule="auto"/>
              <w:jc w:val="highKashida"/>
              <w:rPr>
                <w:rFonts w:asciiTheme="majorBidi" w:hAnsiTheme="majorBidi" w:cstheme="majorBidi"/>
                <w:sz w:val="20"/>
                <w:szCs w:val="20"/>
              </w:rPr>
            </w:pPr>
          </w:p>
        </w:tc>
      </w:tr>
      <w:tr w:rsidR="00D65FF6" w:rsidRPr="00D53E24" w14:paraId="668EFF83" w14:textId="77777777" w:rsidTr="00FD1819">
        <w:trPr>
          <w:trHeight w:val="20"/>
        </w:trPr>
        <w:tc>
          <w:tcPr>
            <w:tcW w:w="1417" w:type="dxa"/>
          </w:tcPr>
          <w:p w14:paraId="542E5766"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RMESA</w:t>
            </w:r>
          </w:p>
        </w:tc>
        <w:tc>
          <w:tcPr>
            <w:tcW w:w="1843" w:type="dxa"/>
          </w:tcPr>
          <w:p w14:paraId="10DBB967"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Root mean square error of approximation</w:t>
            </w:r>
          </w:p>
        </w:tc>
        <w:tc>
          <w:tcPr>
            <w:tcW w:w="2268" w:type="dxa"/>
          </w:tcPr>
          <w:p w14:paraId="5864539F"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&lt;0.05 good fit</w:t>
            </w:r>
            <w:r w:rsidRPr="00D53E24">
              <w:rPr>
                <w:rFonts w:asciiTheme="majorBidi" w:hAnsiTheme="majorBidi" w:cstheme="majorBidi"/>
                <w:sz w:val="20"/>
                <w:szCs w:val="20"/>
              </w:rPr>
              <w:br/>
              <w:t>&lt;0.08 acceptable fit</w:t>
            </w:r>
          </w:p>
        </w:tc>
        <w:tc>
          <w:tcPr>
            <w:tcW w:w="992" w:type="dxa"/>
          </w:tcPr>
          <w:p w14:paraId="1BE8E53D"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0.048</w:t>
            </w:r>
          </w:p>
        </w:tc>
        <w:tc>
          <w:tcPr>
            <w:tcW w:w="1559" w:type="dxa"/>
          </w:tcPr>
          <w:p w14:paraId="50AF0CE8" w14:textId="47EC483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Good fit</w:t>
            </w:r>
          </w:p>
        </w:tc>
      </w:tr>
      <w:tr w:rsidR="00D65FF6" w:rsidRPr="00D53E24" w14:paraId="1EF3B08C" w14:textId="77777777" w:rsidTr="00FD1819">
        <w:trPr>
          <w:trHeight w:val="20"/>
        </w:trPr>
        <w:tc>
          <w:tcPr>
            <w:tcW w:w="1417" w:type="dxa"/>
          </w:tcPr>
          <w:p w14:paraId="16ED3FA0"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NFI</w:t>
            </w:r>
          </w:p>
        </w:tc>
        <w:tc>
          <w:tcPr>
            <w:tcW w:w="1843" w:type="dxa"/>
          </w:tcPr>
          <w:p w14:paraId="26AE9A58"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Normed fit index</w:t>
            </w:r>
          </w:p>
        </w:tc>
        <w:tc>
          <w:tcPr>
            <w:tcW w:w="2268" w:type="dxa"/>
          </w:tcPr>
          <w:p w14:paraId="1363E4CF"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&gt;0.90</w:t>
            </w:r>
          </w:p>
        </w:tc>
        <w:tc>
          <w:tcPr>
            <w:tcW w:w="992" w:type="dxa"/>
          </w:tcPr>
          <w:p w14:paraId="7A4D8D92"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0.938</w:t>
            </w:r>
          </w:p>
        </w:tc>
        <w:tc>
          <w:tcPr>
            <w:tcW w:w="1559" w:type="dxa"/>
          </w:tcPr>
          <w:p w14:paraId="0C3D18F9" w14:textId="345F534D"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Good fit</w:t>
            </w:r>
          </w:p>
        </w:tc>
      </w:tr>
      <w:tr w:rsidR="00D65FF6" w:rsidRPr="00D53E24" w14:paraId="3D2B8693" w14:textId="77777777" w:rsidTr="00FD1819">
        <w:trPr>
          <w:trHeight w:val="20"/>
        </w:trPr>
        <w:tc>
          <w:tcPr>
            <w:tcW w:w="1417" w:type="dxa"/>
          </w:tcPr>
          <w:p w14:paraId="05C8A528"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RFI</w:t>
            </w:r>
          </w:p>
        </w:tc>
        <w:tc>
          <w:tcPr>
            <w:tcW w:w="1843" w:type="dxa"/>
          </w:tcPr>
          <w:p w14:paraId="7D74AF24" w14:textId="77777777" w:rsidR="00D65FF6" w:rsidRPr="00D53E24" w:rsidRDefault="00D65FF6" w:rsidP="00D53E24">
            <w:pPr>
              <w:spacing w:after="0" w:line="240" w:lineRule="auto"/>
              <w:jc w:val="highKashida"/>
              <w:rPr>
                <w:rFonts w:asciiTheme="majorBidi" w:hAnsiTheme="majorBidi" w:cstheme="majorBidi"/>
                <w:sz w:val="20"/>
                <w:szCs w:val="20"/>
              </w:rPr>
            </w:pPr>
          </w:p>
        </w:tc>
        <w:tc>
          <w:tcPr>
            <w:tcW w:w="2268" w:type="dxa"/>
          </w:tcPr>
          <w:p w14:paraId="00700074"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&gt;0.90</w:t>
            </w:r>
          </w:p>
        </w:tc>
        <w:tc>
          <w:tcPr>
            <w:tcW w:w="992" w:type="dxa"/>
          </w:tcPr>
          <w:p w14:paraId="63CE05BB"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0.948</w:t>
            </w:r>
          </w:p>
        </w:tc>
        <w:tc>
          <w:tcPr>
            <w:tcW w:w="1559" w:type="dxa"/>
          </w:tcPr>
          <w:p w14:paraId="71BEBB7C" w14:textId="798C30C3"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Good fit</w:t>
            </w:r>
          </w:p>
        </w:tc>
      </w:tr>
      <w:tr w:rsidR="00D65FF6" w:rsidRPr="00D53E24" w14:paraId="2E16BD19" w14:textId="77777777" w:rsidTr="00FD1819">
        <w:trPr>
          <w:trHeight w:val="20"/>
        </w:trPr>
        <w:tc>
          <w:tcPr>
            <w:tcW w:w="1417" w:type="dxa"/>
          </w:tcPr>
          <w:p w14:paraId="49D67910"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IFI</w:t>
            </w:r>
          </w:p>
        </w:tc>
        <w:tc>
          <w:tcPr>
            <w:tcW w:w="1843" w:type="dxa"/>
          </w:tcPr>
          <w:p w14:paraId="43EF357A" w14:textId="77777777" w:rsidR="00D65FF6" w:rsidRPr="00D53E24" w:rsidRDefault="00D65FF6" w:rsidP="00D53E24">
            <w:pPr>
              <w:spacing w:after="0" w:line="240" w:lineRule="auto"/>
              <w:jc w:val="highKashida"/>
              <w:rPr>
                <w:rFonts w:asciiTheme="majorBidi" w:hAnsiTheme="majorBidi" w:cstheme="majorBidi"/>
                <w:sz w:val="20"/>
                <w:szCs w:val="20"/>
              </w:rPr>
            </w:pPr>
          </w:p>
        </w:tc>
        <w:tc>
          <w:tcPr>
            <w:tcW w:w="2268" w:type="dxa"/>
          </w:tcPr>
          <w:p w14:paraId="4AE35AEB"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&gt;0.90</w:t>
            </w:r>
          </w:p>
        </w:tc>
        <w:tc>
          <w:tcPr>
            <w:tcW w:w="992" w:type="dxa"/>
          </w:tcPr>
          <w:p w14:paraId="0F23BBCC"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0.936</w:t>
            </w:r>
          </w:p>
        </w:tc>
        <w:tc>
          <w:tcPr>
            <w:tcW w:w="1559" w:type="dxa"/>
          </w:tcPr>
          <w:p w14:paraId="68E82D17" w14:textId="7D1D7426"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Good fit</w:t>
            </w:r>
          </w:p>
        </w:tc>
      </w:tr>
      <w:tr w:rsidR="00D65FF6" w:rsidRPr="00D53E24" w14:paraId="1C173B67" w14:textId="77777777" w:rsidTr="00FD1819">
        <w:trPr>
          <w:trHeight w:val="20"/>
        </w:trPr>
        <w:tc>
          <w:tcPr>
            <w:tcW w:w="1417" w:type="dxa"/>
          </w:tcPr>
          <w:p w14:paraId="39613795"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TLI</w:t>
            </w:r>
          </w:p>
        </w:tc>
        <w:tc>
          <w:tcPr>
            <w:tcW w:w="1843" w:type="dxa"/>
          </w:tcPr>
          <w:p w14:paraId="619E1E40"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Tucker-Lewis index</w:t>
            </w:r>
          </w:p>
        </w:tc>
        <w:tc>
          <w:tcPr>
            <w:tcW w:w="2268" w:type="dxa"/>
          </w:tcPr>
          <w:p w14:paraId="09FB7643"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&gt;0.90</w:t>
            </w:r>
          </w:p>
        </w:tc>
        <w:tc>
          <w:tcPr>
            <w:tcW w:w="992" w:type="dxa"/>
          </w:tcPr>
          <w:p w14:paraId="0EF4A93B"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0.986</w:t>
            </w:r>
          </w:p>
        </w:tc>
        <w:tc>
          <w:tcPr>
            <w:tcW w:w="1559" w:type="dxa"/>
          </w:tcPr>
          <w:p w14:paraId="5B0CFB72" w14:textId="3EEAF255"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Good fit</w:t>
            </w:r>
          </w:p>
        </w:tc>
      </w:tr>
      <w:tr w:rsidR="00D65FF6" w:rsidRPr="00D53E24" w14:paraId="3CF6C8C1" w14:textId="77777777" w:rsidTr="00FD1819">
        <w:trPr>
          <w:trHeight w:val="20"/>
        </w:trPr>
        <w:tc>
          <w:tcPr>
            <w:tcW w:w="1417" w:type="dxa"/>
          </w:tcPr>
          <w:p w14:paraId="424EA2FA"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CFI</w:t>
            </w:r>
          </w:p>
        </w:tc>
        <w:tc>
          <w:tcPr>
            <w:tcW w:w="1843" w:type="dxa"/>
          </w:tcPr>
          <w:p w14:paraId="5DCF3260"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Comparative fit index</w:t>
            </w:r>
          </w:p>
        </w:tc>
        <w:tc>
          <w:tcPr>
            <w:tcW w:w="2268" w:type="dxa"/>
          </w:tcPr>
          <w:p w14:paraId="70CC79BE"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&gt;0.90</w:t>
            </w:r>
          </w:p>
        </w:tc>
        <w:tc>
          <w:tcPr>
            <w:tcW w:w="992" w:type="dxa"/>
          </w:tcPr>
          <w:p w14:paraId="6F676B4D"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0.989</w:t>
            </w:r>
          </w:p>
        </w:tc>
        <w:tc>
          <w:tcPr>
            <w:tcW w:w="1559" w:type="dxa"/>
          </w:tcPr>
          <w:p w14:paraId="6D8C5DC9" w14:textId="28166D50"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Good fit</w:t>
            </w:r>
          </w:p>
        </w:tc>
      </w:tr>
      <w:tr w:rsidR="00D65FF6" w:rsidRPr="00D53E24" w14:paraId="16DC71BD" w14:textId="77777777" w:rsidTr="00FD1819">
        <w:trPr>
          <w:trHeight w:val="20"/>
        </w:trPr>
        <w:tc>
          <w:tcPr>
            <w:tcW w:w="1417" w:type="dxa"/>
          </w:tcPr>
          <w:p w14:paraId="62805AC5"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R-square</w:t>
            </w:r>
          </w:p>
        </w:tc>
        <w:tc>
          <w:tcPr>
            <w:tcW w:w="1843" w:type="dxa"/>
          </w:tcPr>
          <w:p w14:paraId="71271C6B" w14:textId="77777777" w:rsidR="00D65FF6" w:rsidRPr="00D53E24" w:rsidRDefault="00D65FF6" w:rsidP="00D53E24">
            <w:pPr>
              <w:spacing w:after="0" w:line="240" w:lineRule="auto"/>
              <w:jc w:val="highKashida"/>
              <w:rPr>
                <w:rFonts w:asciiTheme="majorBidi" w:hAnsiTheme="majorBidi" w:cstheme="majorBidi"/>
                <w:sz w:val="20"/>
                <w:szCs w:val="20"/>
              </w:rPr>
            </w:pPr>
          </w:p>
        </w:tc>
        <w:tc>
          <w:tcPr>
            <w:tcW w:w="2268" w:type="dxa"/>
          </w:tcPr>
          <w:p w14:paraId="047A2172" w14:textId="77777777" w:rsidR="00D65FF6" w:rsidRPr="00D53E24" w:rsidRDefault="00D65FF6" w:rsidP="00D53E24">
            <w:pPr>
              <w:spacing w:after="0" w:line="240" w:lineRule="auto"/>
              <w:jc w:val="highKashida"/>
              <w:rPr>
                <w:rFonts w:asciiTheme="majorBidi" w:hAnsiTheme="majorBidi" w:cstheme="majorBidi"/>
                <w:sz w:val="20"/>
                <w:szCs w:val="20"/>
              </w:rPr>
            </w:pPr>
          </w:p>
        </w:tc>
        <w:tc>
          <w:tcPr>
            <w:tcW w:w="992" w:type="dxa"/>
          </w:tcPr>
          <w:p w14:paraId="5C61CD88" w14:textId="77777777" w:rsidR="00D65FF6" w:rsidRPr="00D53E24" w:rsidRDefault="00D65FF6" w:rsidP="00D53E24">
            <w:pPr>
              <w:spacing w:after="0" w:line="240" w:lineRule="auto"/>
              <w:jc w:val="highKashida"/>
              <w:rPr>
                <w:rFonts w:asciiTheme="majorBidi" w:hAnsiTheme="majorBidi" w:cstheme="majorBidi"/>
                <w:sz w:val="20"/>
                <w:szCs w:val="20"/>
              </w:rPr>
            </w:pPr>
            <w:r w:rsidRPr="00D53E24">
              <w:rPr>
                <w:rFonts w:asciiTheme="majorBidi" w:hAnsiTheme="majorBidi" w:cstheme="majorBidi"/>
                <w:sz w:val="20"/>
                <w:szCs w:val="20"/>
              </w:rPr>
              <w:t>46.4%</w:t>
            </w:r>
          </w:p>
        </w:tc>
        <w:tc>
          <w:tcPr>
            <w:tcW w:w="1559" w:type="dxa"/>
          </w:tcPr>
          <w:p w14:paraId="2F16C04F" w14:textId="77777777" w:rsidR="00D65FF6" w:rsidRPr="00D53E24" w:rsidRDefault="00D65FF6" w:rsidP="00D53E24">
            <w:pPr>
              <w:keepNext/>
              <w:spacing w:after="0" w:line="240" w:lineRule="auto"/>
              <w:jc w:val="highKashida"/>
              <w:rPr>
                <w:rFonts w:asciiTheme="majorBidi" w:hAnsiTheme="majorBidi" w:cstheme="majorBidi"/>
                <w:sz w:val="20"/>
                <w:szCs w:val="20"/>
              </w:rPr>
            </w:pPr>
          </w:p>
        </w:tc>
      </w:tr>
    </w:tbl>
    <w:p w14:paraId="74D648D4" w14:textId="07B48D40" w:rsidR="00AF5A81" w:rsidRDefault="00AF5A81" w:rsidP="00AF5A81">
      <w:pPr>
        <w:pStyle w:val="Caption"/>
        <w:spacing w:after="0"/>
      </w:pPr>
      <w:r>
        <w:t>Table 4</w:t>
      </w:r>
      <w:r w:rsidR="00FD1819">
        <w:t>7</w:t>
      </w:r>
      <w:r>
        <w:t xml:space="preserve"> The goodness of the model with </w:t>
      </w:r>
      <w:r w:rsidRPr="00AF5A81">
        <w:t>fit Indices for the estimated SEM</w:t>
      </w:r>
    </w:p>
    <w:p w14:paraId="194295CD" w14:textId="77777777" w:rsidR="000613FC" w:rsidRDefault="000613FC" w:rsidP="00AF5A81">
      <w:pPr>
        <w:pStyle w:val="CommentText"/>
        <w:spacing w:after="0" w:line="480" w:lineRule="auto"/>
        <w:jc w:val="both"/>
        <w:rPr>
          <w:rFonts w:asciiTheme="majorBidi" w:hAnsiTheme="majorBidi" w:cstheme="majorBidi"/>
          <w:sz w:val="24"/>
          <w:szCs w:val="24"/>
        </w:rPr>
      </w:pPr>
    </w:p>
    <w:p w14:paraId="22042DBD" w14:textId="69C3D801" w:rsidR="00D65FF6" w:rsidRDefault="00D65FF6" w:rsidP="00AF5A81">
      <w:pPr>
        <w:pStyle w:val="CommentText"/>
        <w:spacing w:after="0" w:line="480" w:lineRule="auto"/>
        <w:jc w:val="both"/>
        <w:rPr>
          <w:rFonts w:asciiTheme="majorBidi" w:hAnsiTheme="majorBidi" w:cstheme="majorBidi"/>
          <w:sz w:val="24"/>
          <w:szCs w:val="24"/>
        </w:rPr>
      </w:pPr>
      <w:r>
        <w:rPr>
          <w:rFonts w:asciiTheme="majorBidi" w:hAnsiTheme="majorBidi" w:cstheme="majorBidi"/>
          <w:sz w:val="24"/>
          <w:szCs w:val="24"/>
        </w:rPr>
        <w:tab/>
        <w:t>Based on</w:t>
      </w:r>
      <w:r w:rsidRPr="008D75D3">
        <w:rPr>
          <w:rFonts w:asciiTheme="majorBidi" w:hAnsiTheme="majorBidi" w:cstheme="majorBidi"/>
          <w:sz w:val="24"/>
          <w:szCs w:val="24"/>
        </w:rPr>
        <w:t xml:space="preserve"> the above table,</w:t>
      </w:r>
      <w:r>
        <w:rPr>
          <w:rFonts w:asciiTheme="majorBidi" w:hAnsiTheme="majorBidi" w:cstheme="majorBidi"/>
          <w:sz w:val="24"/>
          <w:szCs w:val="24"/>
        </w:rPr>
        <w:t xml:space="preserve"> it was </w:t>
      </w:r>
      <w:r w:rsidRPr="008D75D3">
        <w:rPr>
          <w:rFonts w:asciiTheme="majorBidi" w:hAnsiTheme="majorBidi" w:cstheme="majorBidi"/>
          <w:sz w:val="24"/>
          <w:szCs w:val="24"/>
        </w:rPr>
        <w:t xml:space="preserve">concluded that all the goodness of fit measures of the model indicate that all indicators </w:t>
      </w:r>
      <w:r>
        <w:rPr>
          <w:rFonts w:asciiTheme="majorBidi" w:hAnsiTheme="majorBidi" w:cstheme="majorBidi"/>
          <w:sz w:val="24"/>
          <w:szCs w:val="24"/>
        </w:rPr>
        <w:t xml:space="preserve">are </w:t>
      </w:r>
      <w:r w:rsidRPr="008D75D3">
        <w:rPr>
          <w:rFonts w:asciiTheme="majorBidi" w:hAnsiTheme="majorBidi" w:cstheme="majorBidi"/>
          <w:sz w:val="24"/>
          <w:szCs w:val="24"/>
        </w:rPr>
        <w:t>at acceptable limits, especially NFI, RFI, IFI, TLI, and CFI are close to one. Also</w:t>
      </w:r>
      <w:r>
        <w:rPr>
          <w:rFonts w:asciiTheme="majorBidi" w:hAnsiTheme="majorBidi" w:cstheme="majorBidi"/>
          <w:sz w:val="24"/>
          <w:szCs w:val="24"/>
        </w:rPr>
        <w:t>,</w:t>
      </w:r>
      <w:r w:rsidRPr="008D75D3">
        <w:rPr>
          <w:rFonts w:asciiTheme="majorBidi" w:hAnsiTheme="majorBidi" w:cstheme="majorBidi"/>
          <w:sz w:val="24"/>
          <w:szCs w:val="24"/>
        </w:rPr>
        <w:t xml:space="preserve"> the value of RMSEA is less than 0.05. All these measures indicate the goodness of fit of the structural model. Also</w:t>
      </w:r>
      <w:r>
        <w:rPr>
          <w:rFonts w:asciiTheme="majorBidi" w:hAnsiTheme="majorBidi" w:cstheme="majorBidi"/>
          <w:sz w:val="24"/>
          <w:szCs w:val="24"/>
        </w:rPr>
        <w:t>,</w:t>
      </w:r>
      <w:r w:rsidRPr="008D75D3">
        <w:rPr>
          <w:rFonts w:asciiTheme="majorBidi" w:hAnsiTheme="majorBidi" w:cstheme="majorBidi"/>
          <w:sz w:val="24"/>
          <w:szCs w:val="24"/>
        </w:rPr>
        <w:t xml:space="preserve"> level of significance of the Chi-square test indicates</w:t>
      </w:r>
      <w:r>
        <w:rPr>
          <w:rFonts w:asciiTheme="majorBidi" w:hAnsiTheme="majorBidi" w:cstheme="majorBidi"/>
          <w:sz w:val="24"/>
          <w:szCs w:val="24"/>
        </w:rPr>
        <w:t xml:space="preserve"> that</w:t>
      </w:r>
      <w:r w:rsidRPr="008D75D3">
        <w:rPr>
          <w:rFonts w:asciiTheme="majorBidi" w:hAnsiTheme="majorBidi" w:cstheme="majorBidi"/>
          <w:sz w:val="24"/>
          <w:szCs w:val="24"/>
        </w:rPr>
        <w:t xml:space="preserve"> the model is not good fit, however Chi-square test is very sensitive with increasing sample size so </w:t>
      </w:r>
      <w:r>
        <w:rPr>
          <w:rFonts w:asciiTheme="majorBidi" w:hAnsiTheme="majorBidi" w:cstheme="majorBidi"/>
          <w:sz w:val="24"/>
          <w:szCs w:val="24"/>
        </w:rPr>
        <w:t>I can rely</w:t>
      </w:r>
      <w:r w:rsidRPr="008D75D3">
        <w:rPr>
          <w:rFonts w:asciiTheme="majorBidi" w:hAnsiTheme="majorBidi" w:cstheme="majorBidi"/>
          <w:sz w:val="24"/>
          <w:szCs w:val="24"/>
        </w:rPr>
        <w:t xml:space="preserve"> on other measures</w:t>
      </w:r>
      <w:sdt>
        <w:sdtPr>
          <w:rPr>
            <w:rFonts w:asciiTheme="majorBidi" w:hAnsiTheme="majorBidi" w:cstheme="majorBidi"/>
            <w:sz w:val="24"/>
            <w:szCs w:val="24"/>
          </w:rPr>
          <w:id w:val="2005269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Ala201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(Alavi, et al., 2020)</w:t>
          </w:r>
          <w:r>
            <w:rPr>
              <w:rFonts w:asciiTheme="majorBidi" w:hAnsiTheme="majorBidi" w:cstheme="majorBidi"/>
              <w:sz w:val="24"/>
              <w:szCs w:val="24"/>
            </w:rPr>
            <w:fldChar w:fldCharType="end"/>
          </w:r>
        </w:sdtContent>
      </w:sdt>
      <w:r>
        <w:rPr>
          <w:rFonts w:asciiTheme="majorBidi" w:hAnsiTheme="majorBidi" w:cstheme="majorBidi"/>
          <w:sz w:val="24"/>
          <w:szCs w:val="24"/>
        </w:rPr>
        <w:t>.</w:t>
      </w:r>
    </w:p>
    <w:p w14:paraId="155B697B" w14:textId="77843798" w:rsidR="00D65FF6" w:rsidRPr="004B0852" w:rsidRDefault="00D65FF6" w:rsidP="00D65FF6">
      <w:pPr>
        <w:pStyle w:val="CommentText"/>
        <w:spacing w:line="480" w:lineRule="auto"/>
        <w:jc w:val="both"/>
        <w:rPr>
          <w:rFonts w:asciiTheme="majorBidi" w:hAnsiTheme="majorBidi" w:cstheme="majorBidi"/>
          <w:sz w:val="24"/>
          <w:szCs w:val="24"/>
        </w:rPr>
      </w:pPr>
      <w:bookmarkStart w:id="189" w:name="_Hlk146480638"/>
      <w:bookmarkEnd w:id="186"/>
      <w:r w:rsidRPr="004B0852">
        <w:rPr>
          <w:rFonts w:asciiTheme="majorBidi" w:hAnsiTheme="majorBidi" w:cstheme="majorBidi"/>
          <w:b/>
          <w:bCs/>
          <w:sz w:val="24"/>
          <w:szCs w:val="24"/>
        </w:rPr>
        <w:t>6.1</w:t>
      </w:r>
      <w:r w:rsidR="000728A8">
        <w:rPr>
          <w:rFonts w:asciiTheme="majorBidi" w:hAnsiTheme="majorBidi" w:cstheme="majorBidi"/>
          <w:b/>
          <w:bCs/>
          <w:sz w:val="24"/>
          <w:szCs w:val="24"/>
        </w:rPr>
        <w:t>2.</w:t>
      </w:r>
      <w:r w:rsidR="00DB6CAA">
        <w:rPr>
          <w:rFonts w:asciiTheme="majorBidi" w:hAnsiTheme="majorBidi" w:cstheme="majorBidi"/>
          <w:b/>
          <w:bCs/>
          <w:sz w:val="24"/>
          <w:szCs w:val="24"/>
        </w:rPr>
        <w:t>5</w:t>
      </w:r>
      <w:r w:rsidRPr="004B0852">
        <w:rPr>
          <w:rFonts w:asciiTheme="majorBidi" w:hAnsiTheme="majorBidi" w:cstheme="majorBidi"/>
          <w:b/>
          <w:bCs/>
          <w:sz w:val="24"/>
          <w:szCs w:val="24"/>
        </w:rPr>
        <w:t xml:space="preserve"> Second theoretical model for non-CSR group </w:t>
      </w:r>
    </w:p>
    <w:p w14:paraId="6EEA418A" w14:textId="6304B325" w:rsidR="00D65FF6" w:rsidRDefault="00D65FF6" w:rsidP="00D65FF6">
      <w:pPr>
        <w:pStyle w:val="ListParagraph"/>
        <w:tabs>
          <w:tab w:val="left" w:pos="630"/>
        </w:tabs>
        <w:spacing w:line="480" w:lineRule="auto"/>
        <w:jc w:val="both"/>
        <w:rPr>
          <w:rFonts w:asciiTheme="majorBidi" w:hAnsiTheme="majorBidi" w:cstheme="majorBidi"/>
          <w:sz w:val="24"/>
          <w:szCs w:val="24"/>
        </w:rPr>
      </w:pPr>
      <w:r w:rsidRPr="008D75D3">
        <w:rPr>
          <w:rFonts w:asciiTheme="majorBidi" w:hAnsiTheme="majorBidi" w:cstheme="majorBidi"/>
          <w:sz w:val="24"/>
          <w:szCs w:val="24"/>
        </w:rPr>
        <w:t xml:space="preserve">To </w:t>
      </w:r>
      <w:r w:rsidR="00DD180D">
        <w:rPr>
          <w:rFonts w:asciiTheme="majorBidi" w:hAnsiTheme="majorBidi" w:cstheme="majorBidi"/>
          <w:sz w:val="24"/>
          <w:szCs w:val="24"/>
        </w:rPr>
        <w:t>analyse</w:t>
      </w:r>
      <w:r w:rsidRPr="008D75D3">
        <w:rPr>
          <w:rFonts w:asciiTheme="majorBidi" w:hAnsiTheme="majorBidi" w:cstheme="majorBidi"/>
          <w:sz w:val="24"/>
          <w:szCs w:val="24"/>
        </w:rPr>
        <w:t xml:space="preserve"> the theoretical model, the following path model is estimated. </w:t>
      </w:r>
    </w:p>
    <w:p w14:paraId="4EFC2C9A" w14:textId="77777777" w:rsidR="00544567" w:rsidRDefault="00D65FF6" w:rsidP="00544567">
      <w:pPr>
        <w:pStyle w:val="ListParagraph"/>
        <w:keepNext/>
        <w:tabs>
          <w:tab w:val="left" w:pos="630"/>
        </w:tabs>
        <w:spacing w:line="480" w:lineRule="auto"/>
        <w:ind w:hanging="720"/>
      </w:pPr>
      <w:r>
        <w:rPr>
          <w:noProof/>
        </w:rPr>
        <w:drawing>
          <wp:inline distT="0" distB="0" distL="0" distR="0" wp14:anchorId="0B821EF0" wp14:editId="6C279E6B">
            <wp:extent cx="3193961" cy="2259660"/>
            <wp:effectExtent l="0" t="0" r="6985" b="7620"/>
            <wp:docPr id="1630753735" name="Picture 1630753735" descr="A diagram of a br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86186" name="Picture 1" descr="A diagram of a brand&#10;&#10;Description automatically generated with medium confidence"/>
                    <pic:cNvPicPr/>
                  </pic:nvPicPr>
                  <pic:blipFill>
                    <a:blip r:embed="rId57"/>
                    <a:stretch>
                      <a:fillRect/>
                    </a:stretch>
                  </pic:blipFill>
                  <pic:spPr>
                    <a:xfrm>
                      <a:off x="0" y="0"/>
                      <a:ext cx="3232807" cy="2287142"/>
                    </a:xfrm>
                    <a:prstGeom prst="rect">
                      <a:avLst/>
                    </a:prstGeom>
                  </pic:spPr>
                </pic:pic>
              </a:graphicData>
            </a:graphic>
          </wp:inline>
        </w:drawing>
      </w:r>
    </w:p>
    <w:p w14:paraId="7845AB56" w14:textId="0B691EFE" w:rsidR="00D65FF6" w:rsidRPr="003D1026" w:rsidRDefault="00544567" w:rsidP="00544567">
      <w:pPr>
        <w:pStyle w:val="Caption"/>
        <w:rPr>
          <w:rFonts w:asciiTheme="majorBidi" w:hAnsiTheme="majorBidi" w:cstheme="majorBidi"/>
          <w:b/>
          <w:bCs/>
          <w:sz w:val="24"/>
          <w:szCs w:val="24"/>
          <w:u w:val="single"/>
        </w:rPr>
      </w:pPr>
      <w:r>
        <w:t xml:space="preserve">Figure 30 Theoretical model without the moderators for non-CSR group </w:t>
      </w:r>
    </w:p>
    <w:p w14:paraId="23CB0811" w14:textId="77777777" w:rsidR="00D65FF6" w:rsidRPr="008D75D3" w:rsidRDefault="00D65FF6" w:rsidP="00D65FF6">
      <w:pPr>
        <w:tabs>
          <w:tab w:val="left" w:pos="630"/>
        </w:tabs>
        <w:spacing w:after="0" w:line="480" w:lineRule="auto"/>
        <w:jc w:val="both"/>
        <w:rPr>
          <w:rFonts w:asciiTheme="majorBidi" w:hAnsiTheme="majorBidi" w:cstheme="majorBidi"/>
          <w:sz w:val="24"/>
          <w:szCs w:val="24"/>
        </w:rPr>
      </w:pPr>
      <w:r w:rsidRPr="008D75D3">
        <w:rPr>
          <w:rFonts w:asciiTheme="majorBidi" w:hAnsiTheme="majorBidi" w:cstheme="majorBidi"/>
          <w:sz w:val="24"/>
          <w:szCs w:val="24"/>
        </w:rPr>
        <w:t>The following table presents the estimates of the above model</w:t>
      </w:r>
      <w:r>
        <w:rPr>
          <w:rFonts w:asciiTheme="majorBidi" w:hAnsiTheme="majorBidi" w:cstheme="majorBidi"/>
          <w:sz w:val="24"/>
          <w:szCs w:val="24"/>
        </w:rPr>
        <w:t xml:space="preserve">. </w:t>
      </w:r>
      <w:r w:rsidRPr="008D75D3">
        <w:rPr>
          <w:rFonts w:asciiTheme="majorBidi" w:hAnsiTheme="majorBidi" w:cstheme="majorBidi"/>
          <w:sz w:val="24"/>
          <w:szCs w:val="24"/>
        </w:rPr>
        <w:t xml:space="preserve">From it we can conclude </w:t>
      </w:r>
      <w:r>
        <w:rPr>
          <w:rFonts w:asciiTheme="majorBidi" w:hAnsiTheme="majorBidi" w:cstheme="majorBidi"/>
          <w:sz w:val="24"/>
          <w:szCs w:val="24"/>
        </w:rPr>
        <w:t>below.</w:t>
      </w:r>
    </w:p>
    <w:p w14:paraId="3F013789" w14:textId="77777777" w:rsidR="00D65FF6" w:rsidRPr="00B0495C" w:rsidRDefault="00D65FF6">
      <w:pPr>
        <w:pStyle w:val="ListParagraph"/>
        <w:numPr>
          <w:ilvl w:val="0"/>
          <w:numId w:val="15"/>
        </w:numPr>
        <w:tabs>
          <w:tab w:val="left" w:pos="630"/>
        </w:tabs>
        <w:spacing w:after="0" w:line="480" w:lineRule="auto"/>
        <w:ind w:left="1170"/>
        <w:jc w:val="both"/>
        <w:rPr>
          <w:rFonts w:asciiTheme="majorBidi" w:hAnsiTheme="majorBidi" w:cstheme="majorBidi"/>
          <w:sz w:val="24"/>
          <w:szCs w:val="24"/>
        </w:rPr>
      </w:pPr>
      <w:r>
        <w:rPr>
          <w:rFonts w:asciiTheme="majorBidi" w:hAnsiTheme="majorBidi" w:cstheme="majorBidi"/>
          <w:sz w:val="24"/>
          <w:szCs w:val="24"/>
        </w:rPr>
        <w:t xml:space="preserve">CSR perception does not </w:t>
      </w:r>
      <w:r w:rsidRPr="003F1EE5">
        <w:rPr>
          <w:rFonts w:asciiTheme="majorBidi" w:hAnsiTheme="majorBidi" w:cstheme="majorBidi"/>
          <w:sz w:val="24"/>
          <w:szCs w:val="24"/>
        </w:rPr>
        <w:t>significantly affect</w:t>
      </w:r>
      <w:r>
        <w:rPr>
          <w:rFonts w:asciiTheme="majorBidi" w:hAnsiTheme="majorBidi" w:cstheme="majorBidi"/>
          <w:sz w:val="24"/>
          <w:szCs w:val="24"/>
        </w:rPr>
        <w:t xml:space="preserve"> each of brand functionality, emotional brand, ad likeability, brand trust, </w:t>
      </w:r>
      <w:r w:rsidRPr="003F1EE5">
        <w:rPr>
          <w:rFonts w:asciiTheme="majorBidi" w:hAnsiTheme="majorBidi" w:cstheme="majorBidi"/>
          <w:sz w:val="24"/>
          <w:szCs w:val="24"/>
        </w:rPr>
        <w:t>with 95%</w:t>
      </w:r>
      <w:r>
        <w:rPr>
          <w:rFonts w:asciiTheme="majorBidi" w:hAnsiTheme="majorBidi" w:cstheme="majorBidi"/>
          <w:sz w:val="24"/>
          <w:szCs w:val="24"/>
        </w:rPr>
        <w:t xml:space="preserve"> </w:t>
      </w:r>
      <w:r w:rsidRPr="003F1EE5">
        <w:rPr>
          <w:rFonts w:asciiTheme="majorBidi" w:hAnsiTheme="majorBidi" w:cstheme="majorBidi"/>
          <w:sz w:val="24"/>
          <w:szCs w:val="24"/>
        </w:rPr>
        <w:t>confiden</w:t>
      </w:r>
      <w:r>
        <w:rPr>
          <w:rFonts w:asciiTheme="majorBidi" w:hAnsiTheme="majorBidi" w:cstheme="majorBidi"/>
          <w:sz w:val="24"/>
          <w:szCs w:val="24"/>
        </w:rPr>
        <w:t>ce level</w:t>
      </w:r>
      <w:r w:rsidRPr="003F1EE5">
        <w:rPr>
          <w:rFonts w:asciiTheme="majorBidi" w:hAnsiTheme="majorBidi" w:cstheme="majorBidi"/>
          <w:sz w:val="24"/>
          <w:szCs w:val="24"/>
        </w:rPr>
        <w:t xml:space="preserve">, as the p-value associated with them </w:t>
      </w:r>
      <w:r>
        <w:rPr>
          <w:rFonts w:asciiTheme="majorBidi" w:hAnsiTheme="majorBidi" w:cstheme="majorBidi"/>
          <w:sz w:val="24"/>
          <w:szCs w:val="24"/>
        </w:rPr>
        <w:t>is</w:t>
      </w:r>
      <w:r w:rsidRPr="003F1EE5">
        <w:rPr>
          <w:rFonts w:asciiTheme="majorBidi" w:hAnsiTheme="majorBidi" w:cstheme="majorBidi"/>
          <w:sz w:val="24"/>
          <w:szCs w:val="24"/>
        </w:rPr>
        <w:t xml:space="preserve"> greater than 5%. </w:t>
      </w:r>
    </w:p>
    <w:p w14:paraId="6BDE27D9" w14:textId="77777777" w:rsidR="000613FC" w:rsidRDefault="00D65FF6">
      <w:pPr>
        <w:pStyle w:val="ListParagraph"/>
        <w:numPr>
          <w:ilvl w:val="0"/>
          <w:numId w:val="15"/>
        </w:numPr>
        <w:tabs>
          <w:tab w:val="left" w:pos="630"/>
        </w:tabs>
        <w:spacing w:after="200" w:line="480" w:lineRule="auto"/>
        <w:ind w:left="1170"/>
        <w:jc w:val="both"/>
        <w:rPr>
          <w:rFonts w:asciiTheme="majorBidi" w:hAnsiTheme="majorBidi" w:cstheme="majorBidi"/>
          <w:sz w:val="24"/>
          <w:szCs w:val="24"/>
        </w:rPr>
      </w:pPr>
      <w:r>
        <w:rPr>
          <w:rFonts w:asciiTheme="majorBidi" w:hAnsiTheme="majorBidi" w:cstheme="majorBidi"/>
          <w:sz w:val="24"/>
          <w:szCs w:val="24"/>
        </w:rPr>
        <w:t xml:space="preserve">Ad likeability, emotional brand and perception do not </w:t>
      </w:r>
      <w:r w:rsidRPr="003F1EE5">
        <w:rPr>
          <w:rFonts w:asciiTheme="majorBidi" w:hAnsiTheme="majorBidi" w:cstheme="majorBidi"/>
          <w:sz w:val="24"/>
          <w:szCs w:val="24"/>
        </w:rPr>
        <w:t>significantly affect</w:t>
      </w:r>
      <w:r>
        <w:rPr>
          <w:rFonts w:asciiTheme="majorBidi" w:hAnsiTheme="majorBidi" w:cstheme="majorBidi"/>
          <w:sz w:val="24"/>
          <w:szCs w:val="24"/>
        </w:rPr>
        <w:t xml:space="preserve"> purchase</w:t>
      </w:r>
      <w:r w:rsidRPr="003F1EE5">
        <w:rPr>
          <w:rFonts w:asciiTheme="majorBidi" w:hAnsiTheme="majorBidi" w:cstheme="majorBidi"/>
          <w:sz w:val="24"/>
          <w:szCs w:val="24"/>
        </w:rPr>
        <w:t xml:space="preserve"> intention</w:t>
      </w:r>
      <w:r>
        <w:rPr>
          <w:rFonts w:asciiTheme="majorBidi" w:hAnsiTheme="majorBidi" w:cstheme="majorBidi"/>
          <w:sz w:val="24"/>
          <w:szCs w:val="24"/>
        </w:rPr>
        <w:t xml:space="preserve"> </w:t>
      </w:r>
      <w:r w:rsidRPr="003F1EE5">
        <w:rPr>
          <w:rFonts w:asciiTheme="majorBidi" w:hAnsiTheme="majorBidi" w:cstheme="majorBidi"/>
          <w:sz w:val="24"/>
          <w:szCs w:val="24"/>
        </w:rPr>
        <w:t>with 95%</w:t>
      </w:r>
      <w:r>
        <w:rPr>
          <w:rFonts w:asciiTheme="majorBidi" w:hAnsiTheme="majorBidi" w:cstheme="majorBidi"/>
          <w:sz w:val="24"/>
          <w:szCs w:val="24"/>
        </w:rPr>
        <w:t xml:space="preserve"> </w:t>
      </w:r>
      <w:r w:rsidRPr="003F1EE5">
        <w:rPr>
          <w:rFonts w:asciiTheme="majorBidi" w:hAnsiTheme="majorBidi" w:cstheme="majorBidi"/>
          <w:sz w:val="24"/>
          <w:szCs w:val="24"/>
        </w:rPr>
        <w:t>confiden</w:t>
      </w:r>
      <w:r>
        <w:rPr>
          <w:rFonts w:asciiTheme="majorBidi" w:hAnsiTheme="majorBidi" w:cstheme="majorBidi"/>
          <w:sz w:val="24"/>
          <w:szCs w:val="24"/>
        </w:rPr>
        <w:t>ce level</w:t>
      </w:r>
      <w:r w:rsidRPr="003F1EE5">
        <w:rPr>
          <w:rFonts w:asciiTheme="majorBidi" w:hAnsiTheme="majorBidi" w:cstheme="majorBidi"/>
          <w:sz w:val="24"/>
          <w:szCs w:val="24"/>
        </w:rPr>
        <w:t xml:space="preserve">, as the p-value associated with them </w:t>
      </w:r>
      <w:r>
        <w:rPr>
          <w:rFonts w:asciiTheme="majorBidi" w:hAnsiTheme="majorBidi" w:cstheme="majorBidi"/>
          <w:sz w:val="24"/>
          <w:szCs w:val="24"/>
        </w:rPr>
        <w:t>is</w:t>
      </w:r>
      <w:r w:rsidRPr="003F1EE5">
        <w:rPr>
          <w:rFonts w:asciiTheme="majorBidi" w:hAnsiTheme="majorBidi" w:cstheme="majorBidi"/>
          <w:sz w:val="24"/>
          <w:szCs w:val="24"/>
        </w:rPr>
        <w:t xml:space="preserve"> greater than 5%. </w:t>
      </w:r>
    </w:p>
    <w:p w14:paraId="3604E4D9" w14:textId="614D41B2" w:rsidR="00D65FF6" w:rsidRPr="000613FC" w:rsidRDefault="00D65FF6" w:rsidP="00FD1819">
      <w:pPr>
        <w:tabs>
          <w:tab w:val="left" w:pos="630"/>
        </w:tabs>
        <w:spacing w:after="0" w:line="480" w:lineRule="auto"/>
        <w:jc w:val="both"/>
        <w:rPr>
          <w:rFonts w:asciiTheme="majorBidi" w:hAnsiTheme="majorBidi" w:cstheme="majorBidi"/>
          <w:sz w:val="24"/>
          <w:szCs w:val="24"/>
        </w:rPr>
      </w:pPr>
      <w:r w:rsidRPr="000613FC">
        <w:rPr>
          <w:rFonts w:asciiTheme="majorBidi" w:hAnsiTheme="majorBidi" w:cstheme="majorBidi"/>
          <w:sz w:val="24"/>
          <w:szCs w:val="24"/>
        </w:rPr>
        <w:t>Accordingly, these paths are removed from the model and re-designed again.</w:t>
      </w:r>
    </w:p>
    <w:tbl>
      <w:tblPr>
        <w:tblW w:w="7371" w:type="dxa"/>
        <w:tblInd w:w="559"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92"/>
        <w:gridCol w:w="427"/>
        <w:gridCol w:w="1858"/>
        <w:gridCol w:w="1032"/>
        <w:gridCol w:w="647"/>
        <w:gridCol w:w="865"/>
        <w:gridCol w:w="850"/>
      </w:tblGrid>
      <w:tr w:rsidR="00D65FF6" w:rsidRPr="00D53E24" w14:paraId="328360A3" w14:textId="77777777" w:rsidTr="00FD1819">
        <w:trPr>
          <w:trHeight w:val="255"/>
          <w:tblHeader/>
        </w:trPr>
        <w:tc>
          <w:tcPr>
            <w:tcW w:w="1692" w:type="dxa"/>
            <w:tcBorders>
              <w:bottom w:val="single" w:sz="6" w:space="0" w:color="auto"/>
            </w:tcBorders>
            <w:tcMar>
              <w:top w:w="15" w:type="dxa"/>
              <w:left w:w="140" w:type="dxa"/>
              <w:bottom w:w="15" w:type="dxa"/>
              <w:right w:w="140" w:type="dxa"/>
            </w:tcMar>
            <w:vAlign w:val="center"/>
            <w:hideMark/>
          </w:tcPr>
          <w:p w14:paraId="74CC3943" w14:textId="77777777" w:rsidR="00D65FF6" w:rsidRPr="00D53E24" w:rsidRDefault="00D65FF6" w:rsidP="008D0DBB">
            <w:pPr>
              <w:spacing w:after="0" w:line="240" w:lineRule="auto"/>
              <w:rPr>
                <w:rFonts w:ascii="Times New Roman" w:eastAsia="Times New Roman" w:hAnsi="Times New Roman" w:cs="Times New Roman"/>
                <w:sz w:val="20"/>
                <w:szCs w:val="20"/>
              </w:rPr>
            </w:pPr>
          </w:p>
        </w:tc>
        <w:tc>
          <w:tcPr>
            <w:tcW w:w="0" w:type="auto"/>
            <w:tcBorders>
              <w:bottom w:val="single" w:sz="6" w:space="0" w:color="auto"/>
            </w:tcBorders>
            <w:tcMar>
              <w:top w:w="15" w:type="dxa"/>
              <w:left w:w="140" w:type="dxa"/>
              <w:bottom w:w="15" w:type="dxa"/>
              <w:right w:w="140" w:type="dxa"/>
            </w:tcMar>
            <w:vAlign w:val="center"/>
            <w:hideMark/>
          </w:tcPr>
          <w:p w14:paraId="59BDB6C6"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p>
        </w:tc>
        <w:tc>
          <w:tcPr>
            <w:tcW w:w="1858" w:type="dxa"/>
            <w:tcBorders>
              <w:bottom w:val="single" w:sz="6" w:space="0" w:color="auto"/>
              <w:right w:val="single" w:sz="6" w:space="0" w:color="auto"/>
            </w:tcBorders>
            <w:tcMar>
              <w:top w:w="15" w:type="dxa"/>
              <w:left w:w="140" w:type="dxa"/>
              <w:bottom w:w="15" w:type="dxa"/>
              <w:right w:w="140" w:type="dxa"/>
            </w:tcMar>
            <w:vAlign w:val="center"/>
            <w:hideMark/>
          </w:tcPr>
          <w:p w14:paraId="5E19B873"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p>
        </w:tc>
        <w:tc>
          <w:tcPr>
            <w:tcW w:w="1032" w:type="dxa"/>
            <w:tcBorders>
              <w:bottom w:val="single" w:sz="6" w:space="0" w:color="auto"/>
            </w:tcBorders>
            <w:tcMar>
              <w:top w:w="15" w:type="dxa"/>
              <w:left w:w="140" w:type="dxa"/>
              <w:bottom w:w="15" w:type="dxa"/>
              <w:right w:w="140" w:type="dxa"/>
            </w:tcMar>
            <w:vAlign w:val="center"/>
            <w:hideMark/>
          </w:tcPr>
          <w:p w14:paraId="1BC5EA8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Estimate</w:t>
            </w:r>
          </w:p>
        </w:tc>
        <w:tc>
          <w:tcPr>
            <w:tcW w:w="647" w:type="dxa"/>
            <w:tcBorders>
              <w:bottom w:val="single" w:sz="6" w:space="0" w:color="auto"/>
            </w:tcBorders>
            <w:tcMar>
              <w:top w:w="15" w:type="dxa"/>
              <w:left w:w="140" w:type="dxa"/>
              <w:bottom w:w="15" w:type="dxa"/>
              <w:right w:w="140" w:type="dxa"/>
            </w:tcMar>
            <w:vAlign w:val="center"/>
            <w:hideMark/>
          </w:tcPr>
          <w:p w14:paraId="12C3BD60"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S.E.</w:t>
            </w:r>
          </w:p>
        </w:tc>
        <w:tc>
          <w:tcPr>
            <w:tcW w:w="865" w:type="dxa"/>
            <w:tcBorders>
              <w:bottom w:val="single" w:sz="6" w:space="0" w:color="auto"/>
            </w:tcBorders>
            <w:tcMar>
              <w:top w:w="15" w:type="dxa"/>
              <w:left w:w="140" w:type="dxa"/>
              <w:bottom w:w="15" w:type="dxa"/>
              <w:right w:w="140" w:type="dxa"/>
            </w:tcMar>
            <w:vAlign w:val="center"/>
            <w:hideMark/>
          </w:tcPr>
          <w:p w14:paraId="7A44CE68"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C.R.</w:t>
            </w:r>
          </w:p>
        </w:tc>
        <w:tc>
          <w:tcPr>
            <w:tcW w:w="850" w:type="dxa"/>
            <w:tcBorders>
              <w:bottom w:val="single" w:sz="6" w:space="0" w:color="auto"/>
            </w:tcBorders>
            <w:tcMar>
              <w:top w:w="15" w:type="dxa"/>
              <w:left w:w="140" w:type="dxa"/>
              <w:bottom w:w="15" w:type="dxa"/>
              <w:right w:w="140" w:type="dxa"/>
            </w:tcMar>
            <w:vAlign w:val="center"/>
            <w:hideMark/>
          </w:tcPr>
          <w:p w14:paraId="3CAF7760"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w:t>
            </w:r>
          </w:p>
        </w:tc>
      </w:tr>
      <w:tr w:rsidR="00D65FF6" w:rsidRPr="00D53E24" w14:paraId="5FFC3FB0" w14:textId="77777777" w:rsidTr="00FD1819">
        <w:trPr>
          <w:trHeight w:val="255"/>
        </w:trPr>
        <w:tc>
          <w:tcPr>
            <w:tcW w:w="1692" w:type="dxa"/>
            <w:tcMar>
              <w:top w:w="15" w:type="dxa"/>
              <w:left w:w="57" w:type="dxa"/>
              <w:bottom w:w="15" w:type="dxa"/>
              <w:right w:w="57" w:type="dxa"/>
            </w:tcMar>
            <w:vAlign w:val="center"/>
            <w:hideMark/>
          </w:tcPr>
          <w:p w14:paraId="751F20FB"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brand_Likeability</w:t>
            </w:r>
          </w:p>
        </w:tc>
        <w:tc>
          <w:tcPr>
            <w:tcW w:w="0" w:type="auto"/>
            <w:noWrap/>
            <w:tcMar>
              <w:top w:w="15" w:type="dxa"/>
              <w:left w:w="57" w:type="dxa"/>
              <w:bottom w:w="15" w:type="dxa"/>
              <w:right w:w="57" w:type="dxa"/>
            </w:tcMar>
            <w:vAlign w:val="center"/>
            <w:hideMark/>
          </w:tcPr>
          <w:p w14:paraId="4641403C"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504A0BCC"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032" w:type="dxa"/>
            <w:tcMar>
              <w:top w:w="15" w:type="dxa"/>
              <w:left w:w="140" w:type="dxa"/>
              <w:bottom w:w="15" w:type="dxa"/>
              <w:right w:w="140" w:type="dxa"/>
            </w:tcMar>
            <w:vAlign w:val="center"/>
            <w:hideMark/>
          </w:tcPr>
          <w:p w14:paraId="43B36E52"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.311</w:t>
            </w:r>
          </w:p>
        </w:tc>
        <w:tc>
          <w:tcPr>
            <w:tcW w:w="647" w:type="dxa"/>
            <w:tcMar>
              <w:top w:w="15" w:type="dxa"/>
              <w:left w:w="140" w:type="dxa"/>
              <w:bottom w:w="15" w:type="dxa"/>
              <w:right w:w="140" w:type="dxa"/>
            </w:tcMar>
            <w:vAlign w:val="center"/>
            <w:hideMark/>
          </w:tcPr>
          <w:p w14:paraId="559C1821"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.146</w:t>
            </w:r>
          </w:p>
        </w:tc>
        <w:tc>
          <w:tcPr>
            <w:tcW w:w="865" w:type="dxa"/>
            <w:tcMar>
              <w:top w:w="15" w:type="dxa"/>
              <w:left w:w="140" w:type="dxa"/>
              <w:bottom w:w="15" w:type="dxa"/>
              <w:right w:w="140" w:type="dxa"/>
            </w:tcMar>
            <w:vAlign w:val="center"/>
            <w:hideMark/>
          </w:tcPr>
          <w:p w14:paraId="605689B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2.130</w:t>
            </w:r>
          </w:p>
        </w:tc>
        <w:tc>
          <w:tcPr>
            <w:tcW w:w="850" w:type="dxa"/>
            <w:tcMar>
              <w:top w:w="15" w:type="dxa"/>
              <w:left w:w="140" w:type="dxa"/>
              <w:bottom w:w="15" w:type="dxa"/>
              <w:right w:w="140" w:type="dxa"/>
            </w:tcMar>
            <w:vAlign w:val="center"/>
            <w:hideMark/>
          </w:tcPr>
          <w:p w14:paraId="72EF4378"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.033</w:t>
            </w:r>
          </w:p>
        </w:tc>
      </w:tr>
      <w:tr w:rsidR="00D65FF6" w:rsidRPr="00D53E24" w14:paraId="7AC69616" w14:textId="77777777" w:rsidTr="00FD1819">
        <w:trPr>
          <w:trHeight w:val="255"/>
        </w:trPr>
        <w:tc>
          <w:tcPr>
            <w:tcW w:w="1692" w:type="dxa"/>
            <w:tcMar>
              <w:top w:w="15" w:type="dxa"/>
              <w:left w:w="57" w:type="dxa"/>
              <w:bottom w:w="15" w:type="dxa"/>
              <w:right w:w="57" w:type="dxa"/>
            </w:tcMar>
            <w:vAlign w:val="center"/>
            <w:hideMark/>
          </w:tcPr>
          <w:p w14:paraId="6B242EC2"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emotional_brand</w:t>
            </w:r>
          </w:p>
        </w:tc>
        <w:tc>
          <w:tcPr>
            <w:tcW w:w="0" w:type="auto"/>
            <w:noWrap/>
            <w:tcMar>
              <w:top w:w="15" w:type="dxa"/>
              <w:left w:w="57" w:type="dxa"/>
              <w:bottom w:w="15" w:type="dxa"/>
              <w:right w:w="57" w:type="dxa"/>
            </w:tcMar>
            <w:vAlign w:val="center"/>
            <w:hideMark/>
          </w:tcPr>
          <w:p w14:paraId="6622B0ED"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5BEA5607"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032" w:type="dxa"/>
            <w:tcMar>
              <w:top w:w="15" w:type="dxa"/>
              <w:left w:w="140" w:type="dxa"/>
              <w:bottom w:w="15" w:type="dxa"/>
              <w:right w:w="140" w:type="dxa"/>
            </w:tcMar>
            <w:vAlign w:val="center"/>
            <w:hideMark/>
          </w:tcPr>
          <w:p w14:paraId="47F333E4"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.229</w:t>
            </w:r>
          </w:p>
        </w:tc>
        <w:tc>
          <w:tcPr>
            <w:tcW w:w="647" w:type="dxa"/>
            <w:tcMar>
              <w:top w:w="15" w:type="dxa"/>
              <w:left w:w="140" w:type="dxa"/>
              <w:bottom w:w="15" w:type="dxa"/>
              <w:right w:w="140" w:type="dxa"/>
            </w:tcMar>
            <w:vAlign w:val="center"/>
            <w:hideMark/>
          </w:tcPr>
          <w:p w14:paraId="581A9A80"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.174</w:t>
            </w:r>
          </w:p>
        </w:tc>
        <w:tc>
          <w:tcPr>
            <w:tcW w:w="865" w:type="dxa"/>
            <w:tcMar>
              <w:top w:w="15" w:type="dxa"/>
              <w:left w:w="140" w:type="dxa"/>
              <w:bottom w:w="15" w:type="dxa"/>
              <w:right w:w="140" w:type="dxa"/>
            </w:tcMar>
            <w:vAlign w:val="center"/>
            <w:hideMark/>
          </w:tcPr>
          <w:p w14:paraId="0FA61731"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1.315</w:t>
            </w:r>
          </w:p>
        </w:tc>
        <w:tc>
          <w:tcPr>
            <w:tcW w:w="850" w:type="dxa"/>
            <w:tcMar>
              <w:top w:w="15" w:type="dxa"/>
              <w:left w:w="140" w:type="dxa"/>
              <w:bottom w:w="15" w:type="dxa"/>
              <w:right w:w="140" w:type="dxa"/>
            </w:tcMar>
            <w:vAlign w:val="center"/>
            <w:hideMark/>
          </w:tcPr>
          <w:p w14:paraId="71D45B7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.188</w:t>
            </w:r>
          </w:p>
        </w:tc>
      </w:tr>
      <w:tr w:rsidR="00D65FF6" w:rsidRPr="00D53E24" w14:paraId="30244F1A" w14:textId="77777777" w:rsidTr="00FD1819">
        <w:trPr>
          <w:trHeight w:val="255"/>
        </w:trPr>
        <w:tc>
          <w:tcPr>
            <w:tcW w:w="1692" w:type="dxa"/>
            <w:tcMar>
              <w:top w:w="15" w:type="dxa"/>
              <w:left w:w="57" w:type="dxa"/>
              <w:bottom w:w="15" w:type="dxa"/>
              <w:right w:w="57" w:type="dxa"/>
            </w:tcMar>
            <w:vAlign w:val="center"/>
            <w:hideMark/>
          </w:tcPr>
          <w:p w14:paraId="2F78B584"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Ad_Likeability</w:t>
            </w:r>
          </w:p>
        </w:tc>
        <w:tc>
          <w:tcPr>
            <w:tcW w:w="0" w:type="auto"/>
            <w:noWrap/>
            <w:tcMar>
              <w:top w:w="15" w:type="dxa"/>
              <w:left w:w="57" w:type="dxa"/>
              <w:bottom w:w="15" w:type="dxa"/>
              <w:right w:w="57" w:type="dxa"/>
            </w:tcMar>
            <w:vAlign w:val="center"/>
            <w:hideMark/>
          </w:tcPr>
          <w:p w14:paraId="44D8559B"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3A58EE2E"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032" w:type="dxa"/>
            <w:tcMar>
              <w:top w:w="15" w:type="dxa"/>
              <w:left w:w="140" w:type="dxa"/>
              <w:bottom w:w="15" w:type="dxa"/>
              <w:right w:w="140" w:type="dxa"/>
            </w:tcMar>
            <w:vAlign w:val="center"/>
            <w:hideMark/>
          </w:tcPr>
          <w:p w14:paraId="00B63082"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.142</w:t>
            </w:r>
          </w:p>
        </w:tc>
        <w:tc>
          <w:tcPr>
            <w:tcW w:w="647" w:type="dxa"/>
            <w:tcMar>
              <w:top w:w="15" w:type="dxa"/>
              <w:left w:w="140" w:type="dxa"/>
              <w:bottom w:w="15" w:type="dxa"/>
              <w:right w:w="140" w:type="dxa"/>
            </w:tcMar>
            <w:vAlign w:val="center"/>
            <w:hideMark/>
          </w:tcPr>
          <w:p w14:paraId="686F9DE0"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.148</w:t>
            </w:r>
          </w:p>
        </w:tc>
        <w:tc>
          <w:tcPr>
            <w:tcW w:w="865" w:type="dxa"/>
            <w:tcMar>
              <w:top w:w="15" w:type="dxa"/>
              <w:left w:w="140" w:type="dxa"/>
              <w:bottom w:w="15" w:type="dxa"/>
              <w:right w:w="140" w:type="dxa"/>
            </w:tcMar>
            <w:vAlign w:val="center"/>
            <w:hideMark/>
          </w:tcPr>
          <w:p w14:paraId="1D08927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.964</w:t>
            </w:r>
          </w:p>
        </w:tc>
        <w:tc>
          <w:tcPr>
            <w:tcW w:w="850" w:type="dxa"/>
            <w:tcMar>
              <w:top w:w="15" w:type="dxa"/>
              <w:left w:w="140" w:type="dxa"/>
              <w:bottom w:w="15" w:type="dxa"/>
              <w:right w:w="140" w:type="dxa"/>
            </w:tcMar>
            <w:vAlign w:val="center"/>
            <w:hideMark/>
          </w:tcPr>
          <w:p w14:paraId="6CE88AD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.335</w:t>
            </w:r>
          </w:p>
        </w:tc>
      </w:tr>
      <w:tr w:rsidR="00D65FF6" w:rsidRPr="00D53E24" w14:paraId="1951DCD9" w14:textId="77777777" w:rsidTr="00FD1819">
        <w:trPr>
          <w:trHeight w:val="255"/>
        </w:trPr>
        <w:tc>
          <w:tcPr>
            <w:tcW w:w="1692" w:type="dxa"/>
            <w:tcMar>
              <w:top w:w="15" w:type="dxa"/>
              <w:left w:w="57" w:type="dxa"/>
              <w:bottom w:w="15" w:type="dxa"/>
              <w:right w:w="57" w:type="dxa"/>
            </w:tcMar>
            <w:vAlign w:val="center"/>
            <w:hideMark/>
          </w:tcPr>
          <w:p w14:paraId="7BFB5403"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brand_trust</w:t>
            </w:r>
          </w:p>
        </w:tc>
        <w:tc>
          <w:tcPr>
            <w:tcW w:w="0" w:type="auto"/>
            <w:noWrap/>
            <w:tcMar>
              <w:top w:w="15" w:type="dxa"/>
              <w:left w:w="57" w:type="dxa"/>
              <w:bottom w:w="15" w:type="dxa"/>
              <w:right w:w="57" w:type="dxa"/>
            </w:tcMar>
            <w:vAlign w:val="center"/>
            <w:hideMark/>
          </w:tcPr>
          <w:p w14:paraId="73D2E070"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7BF91182"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032" w:type="dxa"/>
            <w:tcMar>
              <w:top w:w="15" w:type="dxa"/>
              <w:left w:w="140" w:type="dxa"/>
              <w:bottom w:w="15" w:type="dxa"/>
              <w:right w:w="140" w:type="dxa"/>
            </w:tcMar>
            <w:vAlign w:val="center"/>
            <w:hideMark/>
          </w:tcPr>
          <w:p w14:paraId="1D21ACE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.292</w:t>
            </w:r>
          </w:p>
        </w:tc>
        <w:tc>
          <w:tcPr>
            <w:tcW w:w="647" w:type="dxa"/>
            <w:tcMar>
              <w:top w:w="15" w:type="dxa"/>
              <w:left w:w="140" w:type="dxa"/>
              <w:bottom w:w="15" w:type="dxa"/>
              <w:right w:w="140" w:type="dxa"/>
            </w:tcMar>
            <w:vAlign w:val="center"/>
            <w:hideMark/>
          </w:tcPr>
          <w:p w14:paraId="2FF3CDF3"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.171</w:t>
            </w:r>
          </w:p>
        </w:tc>
        <w:tc>
          <w:tcPr>
            <w:tcW w:w="865" w:type="dxa"/>
            <w:tcMar>
              <w:top w:w="15" w:type="dxa"/>
              <w:left w:w="140" w:type="dxa"/>
              <w:bottom w:w="15" w:type="dxa"/>
              <w:right w:w="140" w:type="dxa"/>
            </w:tcMar>
            <w:vAlign w:val="center"/>
            <w:hideMark/>
          </w:tcPr>
          <w:p w14:paraId="3730B28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1.706</w:t>
            </w:r>
          </w:p>
        </w:tc>
        <w:tc>
          <w:tcPr>
            <w:tcW w:w="850" w:type="dxa"/>
            <w:tcMar>
              <w:top w:w="15" w:type="dxa"/>
              <w:left w:w="140" w:type="dxa"/>
              <w:bottom w:w="15" w:type="dxa"/>
              <w:right w:w="140" w:type="dxa"/>
            </w:tcMar>
            <w:vAlign w:val="center"/>
            <w:hideMark/>
          </w:tcPr>
          <w:p w14:paraId="623EABC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.088</w:t>
            </w:r>
          </w:p>
        </w:tc>
      </w:tr>
      <w:tr w:rsidR="00D65FF6" w:rsidRPr="00D53E24" w14:paraId="7878D616" w14:textId="77777777" w:rsidTr="00FD1819">
        <w:trPr>
          <w:trHeight w:val="263"/>
        </w:trPr>
        <w:tc>
          <w:tcPr>
            <w:tcW w:w="1692" w:type="dxa"/>
            <w:tcMar>
              <w:top w:w="15" w:type="dxa"/>
              <w:left w:w="57" w:type="dxa"/>
              <w:bottom w:w="15" w:type="dxa"/>
              <w:right w:w="57" w:type="dxa"/>
            </w:tcMar>
            <w:vAlign w:val="center"/>
            <w:hideMark/>
          </w:tcPr>
          <w:p w14:paraId="74923098"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brand_functionality</w:t>
            </w:r>
          </w:p>
        </w:tc>
        <w:tc>
          <w:tcPr>
            <w:tcW w:w="0" w:type="auto"/>
            <w:noWrap/>
            <w:tcMar>
              <w:top w:w="15" w:type="dxa"/>
              <w:left w:w="57" w:type="dxa"/>
              <w:bottom w:w="15" w:type="dxa"/>
              <w:right w:w="57" w:type="dxa"/>
            </w:tcMar>
            <w:vAlign w:val="center"/>
            <w:hideMark/>
          </w:tcPr>
          <w:p w14:paraId="275F272A"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086E3820"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032" w:type="dxa"/>
            <w:tcMar>
              <w:top w:w="15" w:type="dxa"/>
              <w:left w:w="140" w:type="dxa"/>
              <w:bottom w:w="15" w:type="dxa"/>
              <w:right w:w="140" w:type="dxa"/>
            </w:tcMar>
            <w:vAlign w:val="center"/>
            <w:hideMark/>
          </w:tcPr>
          <w:p w14:paraId="076BCA24"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.206</w:t>
            </w:r>
          </w:p>
        </w:tc>
        <w:tc>
          <w:tcPr>
            <w:tcW w:w="647" w:type="dxa"/>
            <w:tcMar>
              <w:top w:w="15" w:type="dxa"/>
              <w:left w:w="140" w:type="dxa"/>
              <w:bottom w:w="15" w:type="dxa"/>
              <w:right w:w="140" w:type="dxa"/>
            </w:tcMar>
            <w:vAlign w:val="center"/>
            <w:hideMark/>
          </w:tcPr>
          <w:p w14:paraId="4D36887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.156</w:t>
            </w:r>
          </w:p>
        </w:tc>
        <w:tc>
          <w:tcPr>
            <w:tcW w:w="865" w:type="dxa"/>
            <w:tcMar>
              <w:top w:w="15" w:type="dxa"/>
              <w:left w:w="140" w:type="dxa"/>
              <w:bottom w:w="15" w:type="dxa"/>
              <w:right w:w="140" w:type="dxa"/>
            </w:tcMar>
            <w:vAlign w:val="center"/>
            <w:hideMark/>
          </w:tcPr>
          <w:p w14:paraId="401F1334"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1.324</w:t>
            </w:r>
          </w:p>
        </w:tc>
        <w:tc>
          <w:tcPr>
            <w:tcW w:w="850" w:type="dxa"/>
            <w:tcMar>
              <w:top w:w="15" w:type="dxa"/>
              <w:left w:w="140" w:type="dxa"/>
              <w:bottom w:w="15" w:type="dxa"/>
              <w:right w:w="140" w:type="dxa"/>
            </w:tcMar>
            <w:vAlign w:val="center"/>
            <w:hideMark/>
          </w:tcPr>
          <w:p w14:paraId="03308C0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.185</w:t>
            </w:r>
          </w:p>
        </w:tc>
      </w:tr>
      <w:tr w:rsidR="00D65FF6" w:rsidRPr="00D53E24" w14:paraId="2964384E" w14:textId="77777777" w:rsidTr="00FD1819">
        <w:trPr>
          <w:trHeight w:val="255"/>
        </w:trPr>
        <w:tc>
          <w:tcPr>
            <w:tcW w:w="1692" w:type="dxa"/>
            <w:tcMar>
              <w:top w:w="15" w:type="dxa"/>
              <w:left w:w="57" w:type="dxa"/>
              <w:bottom w:w="15" w:type="dxa"/>
              <w:right w:w="57" w:type="dxa"/>
            </w:tcMar>
            <w:vAlign w:val="center"/>
            <w:hideMark/>
          </w:tcPr>
          <w:p w14:paraId="4EB9F943" w14:textId="2B2B1388" w:rsidR="00D65FF6" w:rsidRPr="00D53E24" w:rsidRDefault="000613FC"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w:t>
            </w:r>
            <w:r w:rsidR="00D65FF6" w:rsidRPr="00D53E24">
              <w:rPr>
                <w:rFonts w:ascii="Times New Roman" w:eastAsia="Times New Roman" w:hAnsi="Times New Roman" w:cs="Times New Roman"/>
                <w:sz w:val="20"/>
                <w:szCs w:val="20"/>
              </w:rPr>
              <w:t>ntention</w:t>
            </w:r>
          </w:p>
        </w:tc>
        <w:tc>
          <w:tcPr>
            <w:tcW w:w="0" w:type="auto"/>
            <w:noWrap/>
            <w:tcMar>
              <w:top w:w="15" w:type="dxa"/>
              <w:left w:w="57" w:type="dxa"/>
              <w:bottom w:w="15" w:type="dxa"/>
              <w:right w:w="57" w:type="dxa"/>
            </w:tcMar>
            <w:vAlign w:val="center"/>
            <w:hideMark/>
          </w:tcPr>
          <w:p w14:paraId="4F9C6611"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3E047524"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Ad_Likeability</w:t>
            </w:r>
          </w:p>
        </w:tc>
        <w:tc>
          <w:tcPr>
            <w:tcW w:w="1032" w:type="dxa"/>
            <w:tcMar>
              <w:top w:w="15" w:type="dxa"/>
              <w:left w:w="140" w:type="dxa"/>
              <w:bottom w:w="15" w:type="dxa"/>
              <w:right w:w="140" w:type="dxa"/>
            </w:tcMar>
            <w:vAlign w:val="center"/>
            <w:hideMark/>
          </w:tcPr>
          <w:p w14:paraId="4C0EAD2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.080</w:t>
            </w:r>
          </w:p>
        </w:tc>
        <w:tc>
          <w:tcPr>
            <w:tcW w:w="647" w:type="dxa"/>
            <w:tcMar>
              <w:top w:w="15" w:type="dxa"/>
              <w:left w:w="140" w:type="dxa"/>
              <w:bottom w:w="15" w:type="dxa"/>
              <w:right w:w="140" w:type="dxa"/>
            </w:tcMar>
            <w:vAlign w:val="center"/>
            <w:hideMark/>
          </w:tcPr>
          <w:p w14:paraId="6A16CC5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.043</w:t>
            </w:r>
          </w:p>
        </w:tc>
        <w:tc>
          <w:tcPr>
            <w:tcW w:w="865" w:type="dxa"/>
            <w:tcMar>
              <w:top w:w="15" w:type="dxa"/>
              <w:left w:w="140" w:type="dxa"/>
              <w:bottom w:w="15" w:type="dxa"/>
              <w:right w:w="140" w:type="dxa"/>
            </w:tcMar>
            <w:vAlign w:val="center"/>
            <w:hideMark/>
          </w:tcPr>
          <w:p w14:paraId="07AB52B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1.886</w:t>
            </w:r>
          </w:p>
        </w:tc>
        <w:tc>
          <w:tcPr>
            <w:tcW w:w="850" w:type="dxa"/>
            <w:tcMar>
              <w:top w:w="15" w:type="dxa"/>
              <w:left w:w="140" w:type="dxa"/>
              <w:bottom w:w="15" w:type="dxa"/>
              <w:right w:w="140" w:type="dxa"/>
            </w:tcMar>
            <w:vAlign w:val="center"/>
            <w:hideMark/>
          </w:tcPr>
          <w:p w14:paraId="5291407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.059</w:t>
            </w:r>
          </w:p>
        </w:tc>
      </w:tr>
      <w:tr w:rsidR="00D65FF6" w:rsidRPr="00D53E24" w14:paraId="6808E29B" w14:textId="77777777" w:rsidTr="00FD1819">
        <w:trPr>
          <w:trHeight w:val="255"/>
        </w:trPr>
        <w:tc>
          <w:tcPr>
            <w:tcW w:w="1692" w:type="dxa"/>
            <w:tcMar>
              <w:top w:w="15" w:type="dxa"/>
              <w:left w:w="57" w:type="dxa"/>
              <w:bottom w:w="15" w:type="dxa"/>
              <w:right w:w="57" w:type="dxa"/>
            </w:tcMar>
            <w:vAlign w:val="center"/>
            <w:hideMark/>
          </w:tcPr>
          <w:p w14:paraId="04D0DEF5" w14:textId="3EC1963D" w:rsidR="00D65FF6" w:rsidRPr="00D53E24" w:rsidRDefault="000613FC"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w:t>
            </w:r>
            <w:r w:rsidR="00D65FF6" w:rsidRPr="00D53E24">
              <w:rPr>
                <w:rFonts w:ascii="Times New Roman" w:eastAsia="Times New Roman" w:hAnsi="Times New Roman" w:cs="Times New Roman"/>
                <w:sz w:val="20"/>
                <w:szCs w:val="20"/>
              </w:rPr>
              <w:t>ntention</w:t>
            </w:r>
          </w:p>
        </w:tc>
        <w:tc>
          <w:tcPr>
            <w:tcW w:w="0" w:type="auto"/>
            <w:noWrap/>
            <w:tcMar>
              <w:top w:w="15" w:type="dxa"/>
              <w:left w:w="57" w:type="dxa"/>
              <w:bottom w:w="15" w:type="dxa"/>
              <w:right w:w="57" w:type="dxa"/>
            </w:tcMar>
            <w:vAlign w:val="center"/>
            <w:hideMark/>
          </w:tcPr>
          <w:p w14:paraId="5C060F94"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6F9091E8"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brand_functionality</w:t>
            </w:r>
          </w:p>
        </w:tc>
        <w:tc>
          <w:tcPr>
            <w:tcW w:w="1032" w:type="dxa"/>
            <w:tcMar>
              <w:top w:w="15" w:type="dxa"/>
              <w:left w:w="140" w:type="dxa"/>
              <w:bottom w:w="15" w:type="dxa"/>
              <w:right w:w="140" w:type="dxa"/>
            </w:tcMar>
            <w:vAlign w:val="center"/>
            <w:hideMark/>
          </w:tcPr>
          <w:p w14:paraId="183A55C3"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.207</w:t>
            </w:r>
          </w:p>
        </w:tc>
        <w:tc>
          <w:tcPr>
            <w:tcW w:w="647" w:type="dxa"/>
            <w:tcMar>
              <w:top w:w="15" w:type="dxa"/>
              <w:left w:w="140" w:type="dxa"/>
              <w:bottom w:w="15" w:type="dxa"/>
              <w:right w:w="140" w:type="dxa"/>
            </w:tcMar>
            <w:vAlign w:val="center"/>
            <w:hideMark/>
          </w:tcPr>
          <w:p w14:paraId="10F8E3A6"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.040</w:t>
            </w:r>
          </w:p>
        </w:tc>
        <w:tc>
          <w:tcPr>
            <w:tcW w:w="865" w:type="dxa"/>
            <w:tcMar>
              <w:top w:w="15" w:type="dxa"/>
              <w:left w:w="140" w:type="dxa"/>
              <w:bottom w:w="15" w:type="dxa"/>
              <w:right w:w="140" w:type="dxa"/>
            </w:tcMar>
            <w:vAlign w:val="center"/>
            <w:hideMark/>
          </w:tcPr>
          <w:p w14:paraId="3742078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5.128</w:t>
            </w:r>
          </w:p>
        </w:tc>
        <w:tc>
          <w:tcPr>
            <w:tcW w:w="850" w:type="dxa"/>
            <w:tcMar>
              <w:top w:w="15" w:type="dxa"/>
              <w:left w:w="140" w:type="dxa"/>
              <w:bottom w:w="15" w:type="dxa"/>
              <w:right w:w="140" w:type="dxa"/>
            </w:tcMar>
            <w:vAlign w:val="center"/>
            <w:hideMark/>
          </w:tcPr>
          <w:p w14:paraId="7B28D1E3"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1634F574" w14:textId="77777777" w:rsidTr="00FD1819">
        <w:trPr>
          <w:trHeight w:val="255"/>
        </w:trPr>
        <w:tc>
          <w:tcPr>
            <w:tcW w:w="1692" w:type="dxa"/>
            <w:tcMar>
              <w:top w:w="15" w:type="dxa"/>
              <w:left w:w="57" w:type="dxa"/>
              <w:bottom w:w="15" w:type="dxa"/>
              <w:right w:w="57" w:type="dxa"/>
            </w:tcMar>
            <w:vAlign w:val="center"/>
            <w:hideMark/>
          </w:tcPr>
          <w:p w14:paraId="37EA38F0" w14:textId="50E56465" w:rsidR="00D65FF6" w:rsidRPr="00D53E24" w:rsidRDefault="000613FC"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w:t>
            </w:r>
            <w:r w:rsidR="00D65FF6" w:rsidRPr="00D53E24">
              <w:rPr>
                <w:rFonts w:ascii="Times New Roman" w:eastAsia="Times New Roman" w:hAnsi="Times New Roman" w:cs="Times New Roman"/>
                <w:sz w:val="20"/>
                <w:szCs w:val="20"/>
              </w:rPr>
              <w:t>ntention</w:t>
            </w:r>
          </w:p>
        </w:tc>
        <w:tc>
          <w:tcPr>
            <w:tcW w:w="0" w:type="auto"/>
            <w:noWrap/>
            <w:tcMar>
              <w:top w:w="15" w:type="dxa"/>
              <w:left w:w="57" w:type="dxa"/>
              <w:bottom w:w="15" w:type="dxa"/>
              <w:right w:w="57" w:type="dxa"/>
            </w:tcMar>
            <w:vAlign w:val="center"/>
            <w:hideMark/>
          </w:tcPr>
          <w:p w14:paraId="2F9726DB"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54BA66F7"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brand_Likeability</w:t>
            </w:r>
          </w:p>
        </w:tc>
        <w:tc>
          <w:tcPr>
            <w:tcW w:w="1032" w:type="dxa"/>
            <w:tcMar>
              <w:top w:w="15" w:type="dxa"/>
              <w:left w:w="140" w:type="dxa"/>
              <w:bottom w:w="15" w:type="dxa"/>
              <w:right w:w="140" w:type="dxa"/>
            </w:tcMar>
            <w:vAlign w:val="center"/>
            <w:hideMark/>
          </w:tcPr>
          <w:p w14:paraId="0E0CEF8B"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.437</w:t>
            </w:r>
          </w:p>
        </w:tc>
        <w:tc>
          <w:tcPr>
            <w:tcW w:w="647" w:type="dxa"/>
            <w:tcMar>
              <w:top w:w="15" w:type="dxa"/>
              <w:left w:w="140" w:type="dxa"/>
              <w:bottom w:w="15" w:type="dxa"/>
              <w:right w:w="140" w:type="dxa"/>
            </w:tcMar>
            <w:vAlign w:val="center"/>
            <w:hideMark/>
          </w:tcPr>
          <w:p w14:paraId="214E6AD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.043</w:t>
            </w:r>
          </w:p>
        </w:tc>
        <w:tc>
          <w:tcPr>
            <w:tcW w:w="865" w:type="dxa"/>
            <w:tcMar>
              <w:top w:w="15" w:type="dxa"/>
              <w:left w:w="140" w:type="dxa"/>
              <w:bottom w:w="15" w:type="dxa"/>
              <w:right w:w="140" w:type="dxa"/>
            </w:tcMar>
            <w:vAlign w:val="center"/>
            <w:hideMark/>
          </w:tcPr>
          <w:p w14:paraId="586638B6"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10.120</w:t>
            </w:r>
          </w:p>
        </w:tc>
        <w:tc>
          <w:tcPr>
            <w:tcW w:w="850" w:type="dxa"/>
            <w:tcMar>
              <w:top w:w="15" w:type="dxa"/>
              <w:left w:w="140" w:type="dxa"/>
              <w:bottom w:w="15" w:type="dxa"/>
              <w:right w:w="140" w:type="dxa"/>
            </w:tcMar>
            <w:vAlign w:val="center"/>
            <w:hideMark/>
          </w:tcPr>
          <w:p w14:paraId="649A8032"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1982FB58" w14:textId="77777777" w:rsidTr="00FD1819">
        <w:trPr>
          <w:trHeight w:val="255"/>
        </w:trPr>
        <w:tc>
          <w:tcPr>
            <w:tcW w:w="1692" w:type="dxa"/>
            <w:tcMar>
              <w:top w:w="15" w:type="dxa"/>
              <w:left w:w="57" w:type="dxa"/>
              <w:bottom w:w="15" w:type="dxa"/>
              <w:right w:w="57" w:type="dxa"/>
            </w:tcMar>
            <w:vAlign w:val="center"/>
            <w:hideMark/>
          </w:tcPr>
          <w:p w14:paraId="08B91D37" w14:textId="19F05D0F" w:rsidR="00D65FF6" w:rsidRPr="00D53E24" w:rsidRDefault="000613FC"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w:t>
            </w:r>
            <w:r w:rsidR="00D65FF6" w:rsidRPr="00D53E24">
              <w:rPr>
                <w:rFonts w:ascii="Times New Roman" w:eastAsia="Times New Roman" w:hAnsi="Times New Roman" w:cs="Times New Roman"/>
                <w:sz w:val="20"/>
                <w:szCs w:val="20"/>
              </w:rPr>
              <w:t>ntention</w:t>
            </w:r>
          </w:p>
        </w:tc>
        <w:tc>
          <w:tcPr>
            <w:tcW w:w="0" w:type="auto"/>
            <w:noWrap/>
            <w:tcMar>
              <w:top w:w="15" w:type="dxa"/>
              <w:left w:w="57" w:type="dxa"/>
              <w:bottom w:w="15" w:type="dxa"/>
              <w:right w:w="57" w:type="dxa"/>
            </w:tcMar>
            <w:vAlign w:val="center"/>
            <w:hideMark/>
          </w:tcPr>
          <w:p w14:paraId="40A271B1"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32F05B4F"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emotional_brand</w:t>
            </w:r>
          </w:p>
        </w:tc>
        <w:tc>
          <w:tcPr>
            <w:tcW w:w="1032" w:type="dxa"/>
            <w:tcMar>
              <w:top w:w="15" w:type="dxa"/>
              <w:left w:w="140" w:type="dxa"/>
              <w:bottom w:w="15" w:type="dxa"/>
              <w:right w:w="140" w:type="dxa"/>
            </w:tcMar>
            <w:vAlign w:val="center"/>
            <w:hideMark/>
          </w:tcPr>
          <w:p w14:paraId="49EBAE87"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.036</w:t>
            </w:r>
          </w:p>
        </w:tc>
        <w:tc>
          <w:tcPr>
            <w:tcW w:w="647" w:type="dxa"/>
            <w:tcMar>
              <w:top w:w="15" w:type="dxa"/>
              <w:left w:w="140" w:type="dxa"/>
              <w:bottom w:w="15" w:type="dxa"/>
              <w:right w:w="140" w:type="dxa"/>
            </w:tcMar>
            <w:vAlign w:val="center"/>
            <w:hideMark/>
          </w:tcPr>
          <w:p w14:paraId="7193602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.036</w:t>
            </w:r>
          </w:p>
        </w:tc>
        <w:tc>
          <w:tcPr>
            <w:tcW w:w="865" w:type="dxa"/>
            <w:tcMar>
              <w:top w:w="15" w:type="dxa"/>
              <w:left w:w="140" w:type="dxa"/>
              <w:bottom w:w="15" w:type="dxa"/>
              <w:right w:w="140" w:type="dxa"/>
            </w:tcMar>
            <w:vAlign w:val="center"/>
            <w:hideMark/>
          </w:tcPr>
          <w:p w14:paraId="3DDCED0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.987</w:t>
            </w:r>
          </w:p>
        </w:tc>
        <w:tc>
          <w:tcPr>
            <w:tcW w:w="850" w:type="dxa"/>
            <w:tcMar>
              <w:top w:w="15" w:type="dxa"/>
              <w:left w:w="140" w:type="dxa"/>
              <w:bottom w:w="15" w:type="dxa"/>
              <w:right w:w="140" w:type="dxa"/>
            </w:tcMar>
            <w:vAlign w:val="center"/>
            <w:hideMark/>
          </w:tcPr>
          <w:p w14:paraId="5F7EAB6A"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.324</w:t>
            </w:r>
          </w:p>
        </w:tc>
      </w:tr>
      <w:tr w:rsidR="00D65FF6" w:rsidRPr="00D53E24" w14:paraId="0E4E1B13" w14:textId="77777777" w:rsidTr="00FD1819">
        <w:trPr>
          <w:trHeight w:val="255"/>
        </w:trPr>
        <w:tc>
          <w:tcPr>
            <w:tcW w:w="1692" w:type="dxa"/>
            <w:tcMar>
              <w:top w:w="15" w:type="dxa"/>
              <w:left w:w="57" w:type="dxa"/>
              <w:bottom w:w="15" w:type="dxa"/>
              <w:right w:w="57" w:type="dxa"/>
            </w:tcMar>
            <w:vAlign w:val="center"/>
            <w:hideMark/>
          </w:tcPr>
          <w:p w14:paraId="50F11FC8" w14:textId="5F4229DE" w:rsidR="00D65FF6" w:rsidRPr="00D53E24" w:rsidRDefault="000613FC"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w:t>
            </w:r>
            <w:r w:rsidR="00D65FF6" w:rsidRPr="00D53E24">
              <w:rPr>
                <w:rFonts w:ascii="Times New Roman" w:eastAsia="Times New Roman" w:hAnsi="Times New Roman" w:cs="Times New Roman"/>
                <w:sz w:val="20"/>
                <w:szCs w:val="20"/>
              </w:rPr>
              <w:t>ntention</w:t>
            </w:r>
          </w:p>
        </w:tc>
        <w:tc>
          <w:tcPr>
            <w:tcW w:w="0" w:type="auto"/>
            <w:noWrap/>
            <w:tcMar>
              <w:top w:w="15" w:type="dxa"/>
              <w:left w:w="57" w:type="dxa"/>
              <w:bottom w:w="15" w:type="dxa"/>
              <w:right w:w="57" w:type="dxa"/>
            </w:tcMar>
            <w:vAlign w:val="center"/>
            <w:hideMark/>
          </w:tcPr>
          <w:p w14:paraId="4D5D1A11"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07BDD2EC"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brand_trust</w:t>
            </w:r>
          </w:p>
        </w:tc>
        <w:tc>
          <w:tcPr>
            <w:tcW w:w="1032" w:type="dxa"/>
            <w:tcMar>
              <w:top w:w="15" w:type="dxa"/>
              <w:left w:w="140" w:type="dxa"/>
              <w:bottom w:w="15" w:type="dxa"/>
              <w:right w:w="140" w:type="dxa"/>
            </w:tcMar>
            <w:vAlign w:val="center"/>
            <w:hideMark/>
          </w:tcPr>
          <w:p w14:paraId="18516BE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.384</w:t>
            </w:r>
          </w:p>
        </w:tc>
        <w:tc>
          <w:tcPr>
            <w:tcW w:w="647" w:type="dxa"/>
            <w:tcMar>
              <w:top w:w="15" w:type="dxa"/>
              <w:left w:w="140" w:type="dxa"/>
              <w:bottom w:w="15" w:type="dxa"/>
              <w:right w:w="140" w:type="dxa"/>
            </w:tcMar>
            <w:vAlign w:val="center"/>
            <w:hideMark/>
          </w:tcPr>
          <w:p w14:paraId="06A5FB74"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.037</w:t>
            </w:r>
          </w:p>
        </w:tc>
        <w:tc>
          <w:tcPr>
            <w:tcW w:w="865" w:type="dxa"/>
            <w:tcMar>
              <w:top w:w="15" w:type="dxa"/>
              <w:left w:w="140" w:type="dxa"/>
              <w:bottom w:w="15" w:type="dxa"/>
              <w:right w:w="140" w:type="dxa"/>
            </w:tcMar>
            <w:vAlign w:val="center"/>
            <w:hideMark/>
          </w:tcPr>
          <w:p w14:paraId="28AC45E4"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10.461</w:t>
            </w:r>
          </w:p>
        </w:tc>
        <w:tc>
          <w:tcPr>
            <w:tcW w:w="850" w:type="dxa"/>
            <w:tcMar>
              <w:top w:w="15" w:type="dxa"/>
              <w:left w:w="140" w:type="dxa"/>
              <w:bottom w:w="15" w:type="dxa"/>
              <w:right w:w="140" w:type="dxa"/>
            </w:tcMar>
            <w:vAlign w:val="center"/>
            <w:hideMark/>
          </w:tcPr>
          <w:p w14:paraId="740210D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70CB6C55" w14:textId="77777777" w:rsidTr="00FD1819">
        <w:trPr>
          <w:trHeight w:val="255"/>
        </w:trPr>
        <w:tc>
          <w:tcPr>
            <w:tcW w:w="1692" w:type="dxa"/>
            <w:tcMar>
              <w:top w:w="15" w:type="dxa"/>
              <w:left w:w="57" w:type="dxa"/>
              <w:bottom w:w="15" w:type="dxa"/>
              <w:right w:w="57" w:type="dxa"/>
            </w:tcMar>
            <w:vAlign w:val="center"/>
            <w:hideMark/>
          </w:tcPr>
          <w:p w14:paraId="65715648" w14:textId="11403968" w:rsidR="00D65FF6" w:rsidRPr="00D53E24" w:rsidRDefault="000613FC"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w:t>
            </w:r>
            <w:r w:rsidR="00D65FF6" w:rsidRPr="00D53E24">
              <w:rPr>
                <w:rFonts w:ascii="Times New Roman" w:eastAsia="Times New Roman" w:hAnsi="Times New Roman" w:cs="Times New Roman"/>
                <w:sz w:val="20"/>
                <w:szCs w:val="20"/>
              </w:rPr>
              <w:t>ntention</w:t>
            </w:r>
          </w:p>
        </w:tc>
        <w:tc>
          <w:tcPr>
            <w:tcW w:w="0" w:type="auto"/>
            <w:noWrap/>
            <w:tcMar>
              <w:top w:w="15" w:type="dxa"/>
              <w:left w:w="57" w:type="dxa"/>
              <w:bottom w:w="15" w:type="dxa"/>
              <w:right w:w="57" w:type="dxa"/>
            </w:tcMar>
            <w:vAlign w:val="center"/>
            <w:hideMark/>
          </w:tcPr>
          <w:p w14:paraId="4807F2B4"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1858" w:type="dxa"/>
            <w:tcBorders>
              <w:right w:val="single" w:sz="6" w:space="0" w:color="auto"/>
            </w:tcBorders>
            <w:tcMar>
              <w:top w:w="15" w:type="dxa"/>
              <w:left w:w="140" w:type="dxa"/>
              <w:bottom w:w="15" w:type="dxa"/>
              <w:right w:w="140" w:type="dxa"/>
            </w:tcMar>
            <w:vAlign w:val="center"/>
            <w:hideMark/>
          </w:tcPr>
          <w:p w14:paraId="73F6C877"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032" w:type="dxa"/>
            <w:noWrap/>
            <w:tcMar>
              <w:top w:w="15" w:type="dxa"/>
              <w:left w:w="140" w:type="dxa"/>
              <w:bottom w:w="15" w:type="dxa"/>
              <w:right w:w="140" w:type="dxa"/>
            </w:tcMar>
            <w:vAlign w:val="center"/>
            <w:hideMark/>
          </w:tcPr>
          <w:p w14:paraId="5D757EB5"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-.019</w:t>
            </w:r>
          </w:p>
        </w:tc>
        <w:tc>
          <w:tcPr>
            <w:tcW w:w="647" w:type="dxa"/>
            <w:tcMar>
              <w:top w:w="15" w:type="dxa"/>
              <w:left w:w="140" w:type="dxa"/>
              <w:bottom w:w="15" w:type="dxa"/>
              <w:right w:w="140" w:type="dxa"/>
            </w:tcMar>
            <w:vAlign w:val="center"/>
            <w:hideMark/>
          </w:tcPr>
          <w:p w14:paraId="7F8ABACB"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.108</w:t>
            </w:r>
          </w:p>
        </w:tc>
        <w:tc>
          <w:tcPr>
            <w:tcW w:w="865" w:type="dxa"/>
            <w:noWrap/>
            <w:tcMar>
              <w:top w:w="15" w:type="dxa"/>
              <w:left w:w="140" w:type="dxa"/>
              <w:bottom w:w="15" w:type="dxa"/>
              <w:right w:w="140" w:type="dxa"/>
            </w:tcMar>
            <w:vAlign w:val="center"/>
            <w:hideMark/>
          </w:tcPr>
          <w:p w14:paraId="082D042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-.173</w:t>
            </w:r>
          </w:p>
        </w:tc>
        <w:tc>
          <w:tcPr>
            <w:tcW w:w="850" w:type="dxa"/>
            <w:tcMar>
              <w:top w:w="15" w:type="dxa"/>
              <w:left w:w="140" w:type="dxa"/>
              <w:bottom w:w="15" w:type="dxa"/>
              <w:right w:w="140" w:type="dxa"/>
            </w:tcMar>
            <w:vAlign w:val="center"/>
            <w:hideMark/>
          </w:tcPr>
          <w:p w14:paraId="4205BA5D" w14:textId="77777777" w:rsidR="00D65FF6" w:rsidRPr="00D53E24" w:rsidRDefault="00D65FF6" w:rsidP="00AF5A81">
            <w:pPr>
              <w:keepNext/>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.863</w:t>
            </w:r>
          </w:p>
        </w:tc>
      </w:tr>
    </w:tbl>
    <w:p w14:paraId="799DC40B" w14:textId="0F829F3A" w:rsidR="00AF5A81" w:rsidRPr="00AF5A81" w:rsidRDefault="00AF5A81" w:rsidP="00AF5A81">
      <w:pPr>
        <w:pStyle w:val="Caption"/>
      </w:pPr>
      <w:r>
        <w:t>Table 4</w:t>
      </w:r>
      <w:r w:rsidR="00FD1819">
        <w:t>8</w:t>
      </w:r>
      <w:r>
        <w:t xml:space="preserve">* Regression Weights: </w:t>
      </w:r>
      <w:r w:rsidRPr="00AF5A81">
        <w:t>(Group number 2 - Default model)</w:t>
      </w:r>
      <w:r>
        <w:br/>
      </w:r>
      <w:r w:rsidRPr="00AF5A81">
        <w:t>* Means p-value&lt;0.0001, perception is a dummy variable that takes 1 for High CSR perception and takes 0 for Low CSR perception</w:t>
      </w:r>
      <w:r w:rsidRPr="008D75D3">
        <w:rPr>
          <w:rFonts w:asciiTheme="majorBidi" w:hAnsiTheme="majorBidi" w:cstheme="majorBidi"/>
          <w:sz w:val="24"/>
          <w:szCs w:val="24"/>
        </w:rPr>
        <w:t xml:space="preserve"> </w:t>
      </w:r>
    </w:p>
    <w:p w14:paraId="13DADB32" w14:textId="16A4AA6F" w:rsidR="00D65FF6" w:rsidRPr="000728A8" w:rsidRDefault="000728A8" w:rsidP="000728A8">
      <w:pPr>
        <w:tabs>
          <w:tab w:val="left" w:pos="630"/>
        </w:tabs>
        <w:spacing w:line="240" w:lineRule="auto"/>
        <w:jc w:val="both"/>
        <w:rPr>
          <w:rFonts w:asciiTheme="majorBidi" w:hAnsiTheme="majorBidi" w:cstheme="majorBidi"/>
          <w:b/>
          <w:bCs/>
          <w:sz w:val="24"/>
          <w:szCs w:val="24"/>
        </w:rPr>
      </w:pPr>
      <w:r w:rsidRPr="000728A8">
        <w:rPr>
          <w:rFonts w:asciiTheme="majorBidi" w:hAnsiTheme="majorBidi" w:cstheme="majorBidi"/>
          <w:b/>
          <w:bCs/>
          <w:sz w:val="24"/>
          <w:szCs w:val="24"/>
        </w:rPr>
        <w:t>6.12.</w:t>
      </w:r>
      <w:r w:rsidR="00DB6CAA">
        <w:rPr>
          <w:rFonts w:asciiTheme="majorBidi" w:hAnsiTheme="majorBidi" w:cstheme="majorBidi"/>
          <w:b/>
          <w:bCs/>
          <w:sz w:val="24"/>
          <w:szCs w:val="24"/>
        </w:rPr>
        <w:t>6</w:t>
      </w:r>
      <w:r w:rsidRPr="000728A8">
        <w:rPr>
          <w:rFonts w:asciiTheme="majorBidi" w:hAnsiTheme="majorBidi" w:cstheme="majorBidi"/>
          <w:b/>
          <w:bCs/>
          <w:sz w:val="24"/>
          <w:szCs w:val="24"/>
        </w:rPr>
        <w:t xml:space="preserve"> </w:t>
      </w:r>
      <w:r w:rsidR="00D65FF6" w:rsidRPr="000728A8">
        <w:rPr>
          <w:rFonts w:asciiTheme="majorBidi" w:hAnsiTheme="majorBidi" w:cstheme="majorBidi"/>
          <w:b/>
          <w:bCs/>
          <w:sz w:val="24"/>
          <w:szCs w:val="24"/>
        </w:rPr>
        <w:t>Estimating the model after excluding insignificant paths</w:t>
      </w:r>
    </w:p>
    <w:p w14:paraId="4E17C2D0" w14:textId="77777777" w:rsidR="00D65FF6" w:rsidRPr="00EF7ED4" w:rsidRDefault="00D65FF6" w:rsidP="00D65FF6">
      <w:pPr>
        <w:pStyle w:val="ListParagraph"/>
        <w:tabs>
          <w:tab w:val="left" w:pos="630"/>
        </w:tabs>
        <w:spacing w:line="480" w:lineRule="auto"/>
        <w:ind w:left="1080"/>
        <w:jc w:val="both"/>
        <w:rPr>
          <w:rFonts w:asciiTheme="majorBidi" w:hAnsiTheme="majorBidi" w:cstheme="majorBidi"/>
          <w:b/>
          <w:bCs/>
          <w:sz w:val="24"/>
          <w:szCs w:val="24"/>
        </w:rPr>
      </w:pPr>
      <w:r w:rsidRPr="00EF7ED4">
        <w:rPr>
          <w:rFonts w:asciiTheme="majorBidi" w:hAnsiTheme="majorBidi" w:cstheme="majorBidi"/>
          <w:sz w:val="24"/>
          <w:szCs w:val="24"/>
        </w:rPr>
        <w:t>After removing insignificant paths, the following path model was estimated.</w:t>
      </w:r>
    </w:p>
    <w:p w14:paraId="4308AD91" w14:textId="77777777" w:rsidR="00544567" w:rsidRDefault="00D65FF6" w:rsidP="00544567">
      <w:pPr>
        <w:keepNext/>
        <w:tabs>
          <w:tab w:val="left" w:pos="630"/>
        </w:tabs>
        <w:spacing w:line="480" w:lineRule="auto"/>
      </w:pPr>
      <w:r>
        <w:rPr>
          <w:noProof/>
        </w:rPr>
        <w:drawing>
          <wp:inline distT="0" distB="0" distL="0" distR="0" wp14:anchorId="331A1C01" wp14:editId="38C284AA">
            <wp:extent cx="3659409" cy="1811628"/>
            <wp:effectExtent l="0" t="0" r="0" b="0"/>
            <wp:docPr id="1001071295" name="Picture 1" descr="A diagram of a br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1295" name="Picture 1" descr="A diagram of a brand&#10;&#10;Description automatically generated with medium confidence"/>
                    <pic:cNvPicPr/>
                  </pic:nvPicPr>
                  <pic:blipFill rotWithShape="1">
                    <a:blip r:embed="rId59"/>
                    <a:srcRect l="-1" t="6245" r="6373" b="28239"/>
                    <a:stretch/>
                  </pic:blipFill>
                  <pic:spPr bwMode="auto">
                    <a:xfrm>
                      <a:off x="0" y="0"/>
                      <a:ext cx="3729070" cy="1846115"/>
                    </a:xfrm>
                    <a:prstGeom prst="rect">
                      <a:avLst/>
                    </a:prstGeom>
                    <a:ln>
                      <a:noFill/>
                    </a:ln>
                    <a:extLst>
                      <a:ext uri="{53640926-AAD7-44D8-BBD7-CCE9431645EC}">
                        <a14:shadowObscured xmlns:a14="http://schemas.microsoft.com/office/drawing/2010/main"/>
                      </a:ext>
                    </a:extLst>
                  </pic:spPr>
                </pic:pic>
              </a:graphicData>
            </a:graphic>
          </wp:inline>
        </w:drawing>
      </w:r>
    </w:p>
    <w:p w14:paraId="1C09E079" w14:textId="2971F287" w:rsidR="00D65FF6" w:rsidRPr="00D731A0" w:rsidRDefault="00544567" w:rsidP="00544567">
      <w:pPr>
        <w:pStyle w:val="Caption"/>
        <w:rPr>
          <w:rFonts w:asciiTheme="majorBidi" w:hAnsiTheme="majorBidi" w:cstheme="majorBidi"/>
          <w:sz w:val="24"/>
          <w:szCs w:val="24"/>
        </w:rPr>
      </w:pPr>
      <w:r>
        <w:t>Figure 31 Theoretical model for non-CSR group after removing insignificant relationships</w:t>
      </w:r>
    </w:p>
    <w:p w14:paraId="41F534AF" w14:textId="77777777" w:rsidR="00D65FF6" w:rsidRDefault="00D65FF6" w:rsidP="00D65FF6">
      <w:pPr>
        <w:tabs>
          <w:tab w:val="left" w:pos="630"/>
        </w:tabs>
        <w:spacing w:line="480" w:lineRule="auto"/>
        <w:ind w:left="360"/>
        <w:jc w:val="both"/>
        <w:rPr>
          <w:rFonts w:asciiTheme="majorBidi" w:hAnsiTheme="majorBidi" w:cstheme="majorBidi"/>
          <w:sz w:val="24"/>
          <w:szCs w:val="24"/>
        </w:rPr>
      </w:pPr>
      <w:r w:rsidRPr="008D75D3">
        <w:rPr>
          <w:rFonts w:asciiTheme="majorBidi" w:hAnsiTheme="majorBidi" w:cstheme="majorBidi"/>
          <w:sz w:val="24"/>
          <w:szCs w:val="24"/>
        </w:rPr>
        <w:t xml:space="preserve">The following table and path model present the estimates of the above model </w:t>
      </w:r>
      <w:r>
        <w:rPr>
          <w:rFonts w:asciiTheme="majorBidi" w:hAnsiTheme="majorBidi" w:cstheme="majorBidi"/>
          <w:sz w:val="24"/>
          <w:szCs w:val="24"/>
        </w:rPr>
        <w:t>from which I</w:t>
      </w:r>
      <w:r w:rsidRPr="008D75D3">
        <w:rPr>
          <w:rFonts w:asciiTheme="majorBidi" w:hAnsiTheme="majorBidi" w:cstheme="majorBidi"/>
          <w:sz w:val="24"/>
          <w:szCs w:val="24"/>
        </w:rPr>
        <w:t xml:space="preserve"> can conclude</w:t>
      </w:r>
      <w:r>
        <w:rPr>
          <w:rFonts w:asciiTheme="majorBidi" w:hAnsiTheme="majorBidi" w:cstheme="majorBidi"/>
          <w:sz w:val="24"/>
          <w:szCs w:val="24"/>
        </w:rPr>
        <w:t xml:space="preserve">, </w:t>
      </w:r>
      <w:r w:rsidRPr="008D75D3">
        <w:rPr>
          <w:rFonts w:asciiTheme="majorBidi" w:hAnsiTheme="majorBidi" w:cstheme="majorBidi"/>
          <w:sz w:val="24"/>
          <w:szCs w:val="24"/>
        </w:rPr>
        <w:t>with 95% confidence</w:t>
      </w:r>
      <w:r>
        <w:rPr>
          <w:rFonts w:asciiTheme="majorBidi" w:hAnsiTheme="majorBidi" w:cstheme="majorBidi"/>
          <w:sz w:val="24"/>
          <w:szCs w:val="24"/>
        </w:rPr>
        <w:t xml:space="preserve">, the following direct and direct effects. </w:t>
      </w:r>
    </w:p>
    <w:p w14:paraId="76F301CA" w14:textId="308CCF53" w:rsidR="00D65FF6" w:rsidRPr="00D731A0" w:rsidRDefault="00AD1911" w:rsidP="00D65FF6">
      <w:pPr>
        <w:tabs>
          <w:tab w:val="left" w:pos="630"/>
        </w:tabs>
        <w:spacing w:after="0" w:line="480" w:lineRule="auto"/>
        <w:ind w:left="360"/>
        <w:jc w:val="both"/>
        <w:rPr>
          <w:rFonts w:asciiTheme="majorBidi" w:hAnsiTheme="majorBidi" w:cstheme="majorBidi"/>
          <w:sz w:val="24"/>
          <w:szCs w:val="24"/>
        </w:rPr>
      </w:pPr>
      <w:r>
        <w:rPr>
          <w:rFonts w:asciiTheme="majorBidi" w:hAnsiTheme="majorBidi" w:cstheme="majorBidi"/>
          <w:b/>
          <w:bCs/>
          <w:sz w:val="24"/>
          <w:szCs w:val="24"/>
        </w:rPr>
        <w:t>6.1</w:t>
      </w:r>
      <w:r w:rsidR="000728A8">
        <w:rPr>
          <w:rFonts w:asciiTheme="majorBidi" w:hAnsiTheme="majorBidi" w:cstheme="majorBidi"/>
          <w:b/>
          <w:bCs/>
          <w:sz w:val="24"/>
          <w:szCs w:val="24"/>
        </w:rPr>
        <w:t>2</w:t>
      </w:r>
      <w:r>
        <w:rPr>
          <w:rFonts w:asciiTheme="majorBidi" w:hAnsiTheme="majorBidi" w:cstheme="majorBidi"/>
          <w:b/>
          <w:bCs/>
          <w:sz w:val="24"/>
          <w:szCs w:val="24"/>
        </w:rPr>
        <w:t>.</w:t>
      </w:r>
      <w:r w:rsidR="00DB6CAA">
        <w:rPr>
          <w:rFonts w:asciiTheme="majorBidi" w:hAnsiTheme="majorBidi" w:cstheme="majorBidi"/>
          <w:b/>
          <w:bCs/>
          <w:sz w:val="24"/>
          <w:szCs w:val="24"/>
        </w:rPr>
        <w:t>7</w:t>
      </w:r>
      <w:r>
        <w:rPr>
          <w:rFonts w:asciiTheme="majorBidi" w:hAnsiTheme="majorBidi" w:cstheme="majorBidi"/>
          <w:b/>
          <w:bCs/>
          <w:sz w:val="24"/>
          <w:szCs w:val="24"/>
        </w:rPr>
        <w:t xml:space="preserve"> </w:t>
      </w:r>
      <w:r w:rsidR="00D65FF6" w:rsidRPr="00D731A0">
        <w:rPr>
          <w:rFonts w:asciiTheme="majorBidi" w:hAnsiTheme="majorBidi" w:cstheme="majorBidi"/>
          <w:b/>
          <w:bCs/>
          <w:sz w:val="24"/>
          <w:szCs w:val="24"/>
        </w:rPr>
        <w:t xml:space="preserve">Direct effects </w:t>
      </w:r>
    </w:p>
    <w:p w14:paraId="63988D3B" w14:textId="4370CE31" w:rsidR="00D65FF6" w:rsidRDefault="00D65FF6">
      <w:pPr>
        <w:pStyle w:val="ListParagraph"/>
        <w:numPr>
          <w:ilvl w:val="0"/>
          <w:numId w:val="17"/>
        </w:numPr>
        <w:tabs>
          <w:tab w:val="left" w:pos="630"/>
        </w:tabs>
        <w:spacing w:after="0" w:line="480" w:lineRule="auto"/>
        <w:jc w:val="both"/>
        <w:rPr>
          <w:rFonts w:asciiTheme="majorBidi" w:hAnsiTheme="majorBidi" w:cstheme="majorBidi"/>
          <w:sz w:val="24"/>
          <w:szCs w:val="24"/>
        </w:rPr>
      </w:pPr>
      <w:r w:rsidRPr="008D75D3">
        <w:rPr>
          <w:rFonts w:asciiTheme="majorBidi" w:hAnsiTheme="majorBidi" w:cstheme="majorBidi"/>
          <w:sz w:val="24"/>
          <w:szCs w:val="24"/>
        </w:rPr>
        <w:t>There is</w:t>
      </w:r>
      <w:r>
        <w:rPr>
          <w:rFonts w:asciiTheme="majorBidi" w:hAnsiTheme="majorBidi" w:cstheme="majorBidi"/>
          <w:sz w:val="24"/>
          <w:szCs w:val="24"/>
        </w:rPr>
        <w:t xml:space="preserve"> a</w:t>
      </w:r>
      <w:r w:rsidRPr="008D75D3">
        <w:rPr>
          <w:rFonts w:asciiTheme="majorBidi" w:hAnsiTheme="majorBidi" w:cstheme="majorBidi"/>
          <w:sz w:val="24"/>
          <w:szCs w:val="24"/>
        </w:rPr>
        <w:t xml:space="preserve"> direct effect of CSR</w:t>
      </w:r>
      <w:r>
        <w:rPr>
          <w:rFonts w:asciiTheme="majorBidi" w:hAnsiTheme="majorBidi" w:cstheme="majorBidi"/>
          <w:sz w:val="24"/>
          <w:szCs w:val="24"/>
        </w:rPr>
        <w:t xml:space="preserve"> perception </w:t>
      </w:r>
      <w:r w:rsidRPr="008D75D3">
        <w:rPr>
          <w:rFonts w:asciiTheme="majorBidi" w:hAnsiTheme="majorBidi" w:cstheme="majorBidi"/>
          <w:sz w:val="24"/>
          <w:szCs w:val="24"/>
        </w:rPr>
        <w:t xml:space="preserve">on </w:t>
      </w:r>
      <w:r>
        <w:rPr>
          <w:rFonts w:asciiTheme="majorBidi" w:hAnsiTheme="majorBidi" w:cstheme="majorBidi"/>
          <w:sz w:val="24"/>
          <w:szCs w:val="24"/>
        </w:rPr>
        <w:t>brand likeability</w:t>
      </w:r>
      <w:r w:rsidRPr="008D75D3">
        <w:rPr>
          <w:rFonts w:asciiTheme="majorBidi" w:hAnsiTheme="majorBidi" w:cstheme="majorBidi"/>
          <w:sz w:val="24"/>
          <w:szCs w:val="24"/>
        </w:rPr>
        <w:t xml:space="preserve"> such that the effect is positive, that is the average of </w:t>
      </w:r>
      <w:r>
        <w:rPr>
          <w:rFonts w:asciiTheme="majorBidi" w:hAnsiTheme="majorBidi" w:cstheme="majorBidi"/>
          <w:sz w:val="24"/>
          <w:szCs w:val="24"/>
        </w:rPr>
        <w:t>brand likeability</w:t>
      </w:r>
      <w:r w:rsidRPr="008D75D3">
        <w:rPr>
          <w:rFonts w:asciiTheme="majorBidi" w:hAnsiTheme="majorBidi" w:cstheme="majorBidi"/>
          <w:sz w:val="24"/>
          <w:szCs w:val="24"/>
        </w:rPr>
        <w:t xml:space="preserve"> for </w:t>
      </w:r>
      <w:r w:rsidR="00A03CE5">
        <w:rPr>
          <w:rFonts w:asciiTheme="majorBidi" w:hAnsiTheme="majorBidi" w:cstheme="majorBidi"/>
          <w:sz w:val="24"/>
          <w:szCs w:val="24"/>
        </w:rPr>
        <w:t>h</w:t>
      </w:r>
      <w:r>
        <w:rPr>
          <w:rFonts w:asciiTheme="majorBidi" w:hAnsiTheme="majorBidi" w:cstheme="majorBidi"/>
          <w:sz w:val="24"/>
          <w:szCs w:val="24"/>
        </w:rPr>
        <w:t>igh</w:t>
      </w:r>
      <w:r w:rsidR="00A03CE5">
        <w:rPr>
          <w:rFonts w:asciiTheme="majorBidi" w:hAnsiTheme="majorBidi" w:cstheme="majorBidi"/>
          <w:sz w:val="24"/>
          <w:szCs w:val="24"/>
        </w:rPr>
        <w:t xml:space="preserve"> CSR</w:t>
      </w:r>
      <w:r>
        <w:rPr>
          <w:rFonts w:asciiTheme="majorBidi" w:hAnsiTheme="majorBidi" w:cstheme="majorBidi"/>
          <w:sz w:val="24"/>
          <w:szCs w:val="24"/>
        </w:rPr>
        <w:t xml:space="preserve"> perception </w:t>
      </w:r>
      <w:r w:rsidRPr="008D75D3">
        <w:rPr>
          <w:rFonts w:asciiTheme="majorBidi" w:hAnsiTheme="majorBidi" w:cstheme="majorBidi"/>
          <w:sz w:val="24"/>
          <w:szCs w:val="24"/>
        </w:rPr>
        <w:t>is larger than that for</w:t>
      </w:r>
      <w:r>
        <w:rPr>
          <w:rFonts w:asciiTheme="majorBidi" w:hAnsiTheme="majorBidi" w:cstheme="majorBidi"/>
          <w:sz w:val="24"/>
          <w:szCs w:val="24"/>
        </w:rPr>
        <w:t xml:space="preserve"> low</w:t>
      </w:r>
      <w:r w:rsidR="00A03CE5">
        <w:rPr>
          <w:rFonts w:asciiTheme="majorBidi" w:hAnsiTheme="majorBidi" w:cstheme="majorBidi"/>
          <w:sz w:val="24"/>
          <w:szCs w:val="24"/>
        </w:rPr>
        <w:t xml:space="preserve"> CSR</w:t>
      </w:r>
      <w:r>
        <w:rPr>
          <w:rFonts w:asciiTheme="majorBidi" w:hAnsiTheme="majorBidi" w:cstheme="majorBidi"/>
          <w:sz w:val="24"/>
          <w:szCs w:val="24"/>
        </w:rPr>
        <w:t xml:space="preserve"> perception </w:t>
      </w:r>
      <w:r w:rsidRPr="008D75D3">
        <w:rPr>
          <w:rFonts w:asciiTheme="majorBidi" w:hAnsiTheme="majorBidi" w:cstheme="majorBidi"/>
          <w:sz w:val="24"/>
          <w:szCs w:val="24"/>
        </w:rPr>
        <w:t xml:space="preserve">by </w:t>
      </w:r>
      <w:r>
        <w:rPr>
          <w:rFonts w:asciiTheme="majorBidi" w:hAnsiTheme="majorBidi" w:cstheme="majorBidi"/>
          <w:sz w:val="24"/>
          <w:szCs w:val="24"/>
        </w:rPr>
        <w:t>0.311</w:t>
      </w:r>
      <w:r w:rsidRPr="008D75D3">
        <w:rPr>
          <w:rFonts w:asciiTheme="majorBidi" w:hAnsiTheme="majorBidi" w:cstheme="majorBidi"/>
          <w:sz w:val="24"/>
          <w:szCs w:val="24"/>
        </w:rPr>
        <w:t xml:space="preserve"> and this fixing all other factors.</w:t>
      </w:r>
    </w:p>
    <w:p w14:paraId="6E6EEB2B" w14:textId="77777777" w:rsidR="00D65FF6" w:rsidRDefault="00D65FF6">
      <w:pPr>
        <w:pStyle w:val="ListParagraph"/>
        <w:numPr>
          <w:ilvl w:val="0"/>
          <w:numId w:val="17"/>
        </w:numPr>
        <w:tabs>
          <w:tab w:val="left" w:pos="630"/>
        </w:tabs>
        <w:spacing w:after="200" w:line="480" w:lineRule="auto"/>
        <w:jc w:val="both"/>
        <w:rPr>
          <w:rFonts w:asciiTheme="majorBidi" w:hAnsiTheme="majorBidi" w:cstheme="majorBidi"/>
          <w:sz w:val="24"/>
          <w:szCs w:val="24"/>
        </w:rPr>
      </w:pPr>
      <w:r w:rsidRPr="00546042">
        <w:rPr>
          <w:rFonts w:asciiTheme="majorBidi" w:hAnsiTheme="majorBidi" w:cstheme="majorBidi"/>
          <w:sz w:val="24"/>
          <w:szCs w:val="24"/>
        </w:rPr>
        <w:t>There is direct positive effect of brand likeability on purchase intention, that is every increase in the brand likeability by 1 unit the purchase intention increase by 0.511 units fixing all other variables.</w:t>
      </w:r>
    </w:p>
    <w:p w14:paraId="3040CF8D" w14:textId="77777777" w:rsidR="00D65FF6" w:rsidRDefault="00D65FF6">
      <w:pPr>
        <w:pStyle w:val="ListParagraph"/>
        <w:numPr>
          <w:ilvl w:val="0"/>
          <w:numId w:val="17"/>
        </w:numPr>
        <w:tabs>
          <w:tab w:val="left" w:pos="630"/>
        </w:tabs>
        <w:spacing w:after="200" w:line="480" w:lineRule="auto"/>
        <w:jc w:val="both"/>
        <w:rPr>
          <w:rFonts w:asciiTheme="majorBidi" w:hAnsiTheme="majorBidi" w:cstheme="majorBidi"/>
          <w:sz w:val="24"/>
          <w:szCs w:val="24"/>
        </w:rPr>
      </w:pPr>
      <w:r w:rsidRPr="00546042">
        <w:rPr>
          <w:rFonts w:asciiTheme="majorBidi" w:hAnsiTheme="majorBidi" w:cstheme="majorBidi"/>
          <w:sz w:val="24"/>
          <w:szCs w:val="24"/>
        </w:rPr>
        <w:t>There is direct positive effect of brand functionality on purchase intention, that is every increase in the brand functionality by 1 unit the purchase intention increase by 0.221 units fixing all other variables.</w:t>
      </w:r>
    </w:p>
    <w:p w14:paraId="68A0B305" w14:textId="77777777" w:rsidR="000728A8" w:rsidRDefault="00D65FF6">
      <w:pPr>
        <w:pStyle w:val="ListParagraph"/>
        <w:numPr>
          <w:ilvl w:val="0"/>
          <w:numId w:val="17"/>
        </w:numPr>
        <w:tabs>
          <w:tab w:val="left" w:pos="630"/>
        </w:tabs>
        <w:spacing w:after="200" w:line="480" w:lineRule="auto"/>
        <w:jc w:val="both"/>
        <w:rPr>
          <w:rFonts w:asciiTheme="majorBidi" w:hAnsiTheme="majorBidi" w:cstheme="majorBidi"/>
          <w:sz w:val="24"/>
          <w:szCs w:val="24"/>
        </w:rPr>
      </w:pPr>
      <w:r w:rsidRPr="00546042">
        <w:rPr>
          <w:rFonts w:asciiTheme="majorBidi" w:hAnsiTheme="majorBidi" w:cstheme="majorBidi"/>
          <w:sz w:val="24"/>
          <w:szCs w:val="24"/>
        </w:rPr>
        <w:t xml:space="preserve"> There is direct positive effect of brand trust on purchase intention that is every increase in the brand trust by 1 unit the purchase intention increase by 0.373 units fixing all other variables.</w:t>
      </w:r>
    </w:p>
    <w:p w14:paraId="2CAA0125" w14:textId="22C4D462" w:rsidR="00D65FF6" w:rsidRPr="006D1F15" w:rsidRDefault="00D65FF6">
      <w:pPr>
        <w:pStyle w:val="ListParagraph"/>
        <w:numPr>
          <w:ilvl w:val="2"/>
          <w:numId w:val="26"/>
        </w:numPr>
        <w:tabs>
          <w:tab w:val="left" w:pos="630"/>
        </w:tabs>
        <w:spacing w:after="200" w:line="480" w:lineRule="auto"/>
        <w:jc w:val="both"/>
        <w:rPr>
          <w:rFonts w:asciiTheme="majorBidi" w:hAnsiTheme="majorBidi" w:cstheme="majorBidi"/>
          <w:sz w:val="24"/>
          <w:szCs w:val="24"/>
        </w:rPr>
      </w:pPr>
      <w:r w:rsidRPr="006D1F15">
        <w:rPr>
          <w:rFonts w:asciiTheme="majorBidi" w:hAnsiTheme="majorBidi" w:cstheme="majorBidi"/>
          <w:b/>
          <w:bCs/>
          <w:sz w:val="24"/>
          <w:szCs w:val="24"/>
        </w:rPr>
        <w:t xml:space="preserve">Indirect effects </w:t>
      </w:r>
    </w:p>
    <w:p w14:paraId="10FAA80F" w14:textId="586A9269" w:rsidR="00D65FF6" w:rsidRDefault="00D65FF6">
      <w:pPr>
        <w:pStyle w:val="ListParagraph"/>
        <w:numPr>
          <w:ilvl w:val="0"/>
          <w:numId w:val="21"/>
        </w:numPr>
        <w:tabs>
          <w:tab w:val="left" w:pos="630"/>
        </w:tabs>
        <w:spacing w:after="200" w:line="480" w:lineRule="auto"/>
        <w:jc w:val="both"/>
        <w:rPr>
          <w:rFonts w:asciiTheme="majorBidi" w:hAnsiTheme="majorBidi" w:cstheme="majorBidi"/>
          <w:sz w:val="24"/>
          <w:szCs w:val="24"/>
        </w:rPr>
      </w:pPr>
      <w:r>
        <w:rPr>
          <w:rFonts w:asciiTheme="majorBidi" w:hAnsiTheme="majorBidi" w:cstheme="majorBidi"/>
          <w:sz w:val="24"/>
          <w:szCs w:val="24"/>
        </w:rPr>
        <w:t>Brand l</w:t>
      </w:r>
      <w:r w:rsidRPr="008D75D3">
        <w:rPr>
          <w:rFonts w:asciiTheme="majorBidi" w:hAnsiTheme="majorBidi" w:cstheme="majorBidi"/>
          <w:sz w:val="24"/>
          <w:szCs w:val="24"/>
        </w:rPr>
        <w:t>ikeability mediate</w:t>
      </w:r>
      <w:r>
        <w:rPr>
          <w:rFonts w:asciiTheme="majorBidi" w:hAnsiTheme="majorBidi" w:cstheme="majorBidi"/>
          <w:sz w:val="24"/>
          <w:szCs w:val="24"/>
        </w:rPr>
        <w:t>s</w:t>
      </w:r>
      <w:r w:rsidRPr="008D75D3">
        <w:rPr>
          <w:rFonts w:asciiTheme="majorBidi" w:hAnsiTheme="majorBidi" w:cstheme="majorBidi"/>
          <w:sz w:val="24"/>
          <w:szCs w:val="24"/>
        </w:rPr>
        <w:t xml:space="preserve"> the relation between CSR</w:t>
      </w:r>
      <w:r>
        <w:rPr>
          <w:rFonts w:asciiTheme="majorBidi" w:hAnsiTheme="majorBidi" w:cstheme="majorBidi"/>
          <w:sz w:val="24"/>
          <w:szCs w:val="24"/>
        </w:rPr>
        <w:t xml:space="preserve"> perception </w:t>
      </w:r>
      <w:r w:rsidRPr="008D75D3">
        <w:rPr>
          <w:rFonts w:asciiTheme="majorBidi" w:hAnsiTheme="majorBidi" w:cstheme="majorBidi"/>
          <w:sz w:val="24"/>
          <w:szCs w:val="24"/>
        </w:rPr>
        <w:t>and</w:t>
      </w:r>
      <w:r>
        <w:rPr>
          <w:rFonts w:asciiTheme="majorBidi" w:hAnsiTheme="majorBidi" w:cstheme="majorBidi"/>
          <w:sz w:val="24"/>
          <w:szCs w:val="24"/>
        </w:rPr>
        <w:t xml:space="preserve"> purchase</w:t>
      </w:r>
      <w:r w:rsidRPr="008D75D3">
        <w:rPr>
          <w:rFonts w:asciiTheme="majorBidi" w:hAnsiTheme="majorBidi" w:cstheme="majorBidi"/>
          <w:sz w:val="24"/>
          <w:szCs w:val="24"/>
        </w:rPr>
        <w:t xml:space="preserve"> intention such that the indirect effect of </w:t>
      </w:r>
      <w:r w:rsidR="00A03CE5">
        <w:rPr>
          <w:rFonts w:asciiTheme="majorBidi" w:hAnsiTheme="majorBidi" w:cstheme="majorBidi"/>
          <w:sz w:val="24"/>
          <w:szCs w:val="24"/>
        </w:rPr>
        <w:t xml:space="preserve">CSR </w:t>
      </w:r>
      <w:r>
        <w:rPr>
          <w:rFonts w:asciiTheme="majorBidi" w:hAnsiTheme="majorBidi" w:cstheme="majorBidi"/>
          <w:sz w:val="24"/>
          <w:szCs w:val="24"/>
        </w:rPr>
        <w:t xml:space="preserve">perception </w:t>
      </w:r>
      <w:r w:rsidRPr="008D75D3">
        <w:rPr>
          <w:rFonts w:asciiTheme="majorBidi" w:hAnsiTheme="majorBidi" w:cstheme="majorBidi"/>
          <w:sz w:val="24"/>
          <w:szCs w:val="24"/>
        </w:rPr>
        <w:t xml:space="preserve">on intention through </w:t>
      </w:r>
      <w:r>
        <w:rPr>
          <w:rFonts w:asciiTheme="majorBidi" w:hAnsiTheme="majorBidi" w:cstheme="majorBidi"/>
          <w:sz w:val="24"/>
          <w:szCs w:val="24"/>
        </w:rPr>
        <w:t xml:space="preserve">brand </w:t>
      </w:r>
      <w:r w:rsidRPr="008D75D3">
        <w:rPr>
          <w:rFonts w:asciiTheme="majorBidi" w:hAnsiTheme="majorBidi" w:cstheme="majorBidi"/>
          <w:sz w:val="24"/>
          <w:szCs w:val="24"/>
        </w:rPr>
        <w:t>likeability is 0.1</w:t>
      </w:r>
      <w:r>
        <w:rPr>
          <w:rFonts w:asciiTheme="majorBidi" w:hAnsiTheme="majorBidi" w:cstheme="majorBidi"/>
          <w:sz w:val="24"/>
          <w:szCs w:val="24"/>
        </w:rPr>
        <w:t>59.</w:t>
      </w:r>
    </w:p>
    <w:p w14:paraId="639979AC" w14:textId="72BC4E77" w:rsidR="00D65FF6" w:rsidRPr="001D14BD" w:rsidRDefault="00D65FF6" w:rsidP="001D14BD">
      <w:pPr>
        <w:pStyle w:val="ListParagraph"/>
        <w:tabs>
          <w:tab w:val="left" w:pos="630"/>
        </w:tabs>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Accordingly, H11 is accepted. </w:t>
      </w:r>
    </w:p>
    <w:tbl>
      <w:tblPr>
        <w:tblW w:w="7513" w:type="dxa"/>
        <w:tblInd w:w="70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547"/>
        <w:gridCol w:w="427"/>
        <w:gridCol w:w="1841"/>
        <w:gridCol w:w="1176"/>
        <w:gridCol w:w="681"/>
        <w:gridCol w:w="991"/>
        <w:gridCol w:w="850"/>
      </w:tblGrid>
      <w:tr w:rsidR="00D65FF6" w:rsidRPr="00D53E24" w14:paraId="66242682" w14:textId="77777777" w:rsidTr="00FD1819">
        <w:trPr>
          <w:trHeight w:val="286"/>
          <w:tblHeader/>
        </w:trPr>
        <w:tc>
          <w:tcPr>
            <w:tcW w:w="1547" w:type="dxa"/>
            <w:tcBorders>
              <w:bottom w:val="single" w:sz="6" w:space="0" w:color="auto"/>
            </w:tcBorders>
            <w:tcMar>
              <w:top w:w="15" w:type="dxa"/>
              <w:left w:w="140" w:type="dxa"/>
              <w:bottom w:w="15" w:type="dxa"/>
              <w:right w:w="140" w:type="dxa"/>
            </w:tcMar>
            <w:vAlign w:val="center"/>
            <w:hideMark/>
          </w:tcPr>
          <w:p w14:paraId="11DDA01E" w14:textId="77777777" w:rsidR="00D65FF6" w:rsidRPr="00D53E24" w:rsidRDefault="00D65FF6" w:rsidP="008D0DBB">
            <w:pPr>
              <w:spacing w:after="0" w:line="240" w:lineRule="auto"/>
              <w:rPr>
                <w:rFonts w:ascii="Times New Roman" w:eastAsia="Times New Roman" w:hAnsi="Times New Roman" w:cs="Times New Roman"/>
                <w:sz w:val="20"/>
                <w:szCs w:val="20"/>
              </w:rPr>
            </w:pPr>
          </w:p>
        </w:tc>
        <w:tc>
          <w:tcPr>
            <w:tcW w:w="0" w:type="auto"/>
            <w:tcBorders>
              <w:bottom w:val="single" w:sz="6" w:space="0" w:color="auto"/>
            </w:tcBorders>
            <w:tcMar>
              <w:top w:w="15" w:type="dxa"/>
              <w:left w:w="140" w:type="dxa"/>
              <w:bottom w:w="15" w:type="dxa"/>
              <w:right w:w="140" w:type="dxa"/>
            </w:tcMar>
            <w:vAlign w:val="center"/>
            <w:hideMark/>
          </w:tcPr>
          <w:p w14:paraId="7E545033"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p>
        </w:tc>
        <w:tc>
          <w:tcPr>
            <w:tcW w:w="1841" w:type="dxa"/>
            <w:tcBorders>
              <w:bottom w:val="single" w:sz="6" w:space="0" w:color="auto"/>
              <w:right w:val="single" w:sz="6" w:space="0" w:color="auto"/>
            </w:tcBorders>
            <w:tcMar>
              <w:top w:w="15" w:type="dxa"/>
              <w:left w:w="140" w:type="dxa"/>
              <w:bottom w:w="15" w:type="dxa"/>
              <w:right w:w="140" w:type="dxa"/>
            </w:tcMar>
            <w:vAlign w:val="center"/>
            <w:hideMark/>
          </w:tcPr>
          <w:p w14:paraId="0395A24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p>
        </w:tc>
        <w:tc>
          <w:tcPr>
            <w:tcW w:w="1176" w:type="dxa"/>
            <w:tcBorders>
              <w:bottom w:val="single" w:sz="6" w:space="0" w:color="auto"/>
            </w:tcBorders>
            <w:tcMar>
              <w:top w:w="15" w:type="dxa"/>
              <w:left w:w="140" w:type="dxa"/>
              <w:bottom w:w="15" w:type="dxa"/>
              <w:right w:w="140" w:type="dxa"/>
            </w:tcMar>
            <w:vAlign w:val="center"/>
            <w:hideMark/>
          </w:tcPr>
          <w:p w14:paraId="1E801B7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Estimate</w:t>
            </w:r>
          </w:p>
        </w:tc>
        <w:tc>
          <w:tcPr>
            <w:tcW w:w="681" w:type="dxa"/>
            <w:tcBorders>
              <w:bottom w:val="single" w:sz="6" w:space="0" w:color="auto"/>
            </w:tcBorders>
            <w:tcMar>
              <w:top w:w="15" w:type="dxa"/>
              <w:left w:w="140" w:type="dxa"/>
              <w:bottom w:w="15" w:type="dxa"/>
              <w:right w:w="140" w:type="dxa"/>
            </w:tcMar>
            <w:vAlign w:val="center"/>
            <w:hideMark/>
          </w:tcPr>
          <w:p w14:paraId="33ABA177"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S.E.</w:t>
            </w:r>
          </w:p>
        </w:tc>
        <w:tc>
          <w:tcPr>
            <w:tcW w:w="991" w:type="dxa"/>
            <w:tcBorders>
              <w:bottom w:val="single" w:sz="6" w:space="0" w:color="auto"/>
            </w:tcBorders>
            <w:tcMar>
              <w:top w:w="15" w:type="dxa"/>
              <w:left w:w="140" w:type="dxa"/>
              <w:bottom w:w="15" w:type="dxa"/>
              <w:right w:w="140" w:type="dxa"/>
            </w:tcMar>
            <w:vAlign w:val="center"/>
            <w:hideMark/>
          </w:tcPr>
          <w:p w14:paraId="5A5E3343"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C.R.</w:t>
            </w:r>
          </w:p>
        </w:tc>
        <w:tc>
          <w:tcPr>
            <w:tcW w:w="850" w:type="dxa"/>
            <w:tcBorders>
              <w:bottom w:val="single" w:sz="6" w:space="0" w:color="auto"/>
            </w:tcBorders>
            <w:tcMar>
              <w:top w:w="15" w:type="dxa"/>
              <w:left w:w="140" w:type="dxa"/>
              <w:bottom w:w="15" w:type="dxa"/>
              <w:right w:w="140" w:type="dxa"/>
            </w:tcMar>
            <w:vAlign w:val="center"/>
            <w:hideMark/>
          </w:tcPr>
          <w:p w14:paraId="6AE173CB"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w:t>
            </w:r>
          </w:p>
        </w:tc>
      </w:tr>
      <w:tr w:rsidR="00D65FF6" w:rsidRPr="00D53E24" w14:paraId="4CA08FDA" w14:textId="77777777" w:rsidTr="00FD1819">
        <w:trPr>
          <w:trHeight w:val="286"/>
        </w:trPr>
        <w:tc>
          <w:tcPr>
            <w:tcW w:w="1547" w:type="dxa"/>
            <w:tcMar>
              <w:top w:w="15" w:type="dxa"/>
              <w:left w:w="57" w:type="dxa"/>
              <w:bottom w:w="15" w:type="dxa"/>
              <w:right w:w="57" w:type="dxa"/>
            </w:tcMar>
            <w:vAlign w:val="center"/>
            <w:hideMark/>
          </w:tcPr>
          <w:p w14:paraId="13E63B7F"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brand_Likeability</w:t>
            </w:r>
          </w:p>
        </w:tc>
        <w:tc>
          <w:tcPr>
            <w:tcW w:w="0" w:type="auto"/>
            <w:noWrap/>
            <w:tcMar>
              <w:top w:w="15" w:type="dxa"/>
              <w:left w:w="57" w:type="dxa"/>
              <w:bottom w:w="15" w:type="dxa"/>
              <w:right w:w="57" w:type="dxa"/>
            </w:tcMar>
            <w:vAlign w:val="center"/>
            <w:hideMark/>
          </w:tcPr>
          <w:p w14:paraId="02852AB1"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0" w:type="auto"/>
            <w:tcBorders>
              <w:right w:val="single" w:sz="6" w:space="0" w:color="auto"/>
            </w:tcBorders>
            <w:tcMar>
              <w:top w:w="15" w:type="dxa"/>
              <w:left w:w="140" w:type="dxa"/>
              <w:bottom w:w="15" w:type="dxa"/>
              <w:right w:w="140" w:type="dxa"/>
            </w:tcMar>
            <w:vAlign w:val="center"/>
            <w:hideMark/>
          </w:tcPr>
          <w:p w14:paraId="49C37A94"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Perception</w:t>
            </w:r>
          </w:p>
        </w:tc>
        <w:tc>
          <w:tcPr>
            <w:tcW w:w="1176" w:type="dxa"/>
            <w:tcMar>
              <w:top w:w="15" w:type="dxa"/>
              <w:left w:w="140" w:type="dxa"/>
              <w:bottom w:w="15" w:type="dxa"/>
              <w:right w:w="140" w:type="dxa"/>
            </w:tcMar>
            <w:vAlign w:val="center"/>
            <w:hideMark/>
          </w:tcPr>
          <w:p w14:paraId="6B42550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.311</w:t>
            </w:r>
          </w:p>
        </w:tc>
        <w:tc>
          <w:tcPr>
            <w:tcW w:w="681" w:type="dxa"/>
            <w:tcMar>
              <w:top w:w="15" w:type="dxa"/>
              <w:left w:w="140" w:type="dxa"/>
              <w:bottom w:w="15" w:type="dxa"/>
              <w:right w:w="140" w:type="dxa"/>
            </w:tcMar>
            <w:vAlign w:val="center"/>
            <w:hideMark/>
          </w:tcPr>
          <w:p w14:paraId="6AC51FDF"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.146</w:t>
            </w:r>
          </w:p>
        </w:tc>
        <w:tc>
          <w:tcPr>
            <w:tcW w:w="991" w:type="dxa"/>
            <w:tcMar>
              <w:top w:w="15" w:type="dxa"/>
              <w:left w:w="140" w:type="dxa"/>
              <w:bottom w:w="15" w:type="dxa"/>
              <w:right w:w="140" w:type="dxa"/>
            </w:tcMar>
            <w:vAlign w:val="center"/>
            <w:hideMark/>
          </w:tcPr>
          <w:p w14:paraId="2764938B"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2.130</w:t>
            </w:r>
          </w:p>
        </w:tc>
        <w:tc>
          <w:tcPr>
            <w:tcW w:w="850" w:type="dxa"/>
            <w:tcMar>
              <w:top w:w="15" w:type="dxa"/>
              <w:left w:w="140" w:type="dxa"/>
              <w:bottom w:w="15" w:type="dxa"/>
              <w:right w:w="140" w:type="dxa"/>
            </w:tcMar>
            <w:vAlign w:val="center"/>
            <w:hideMark/>
          </w:tcPr>
          <w:p w14:paraId="587CF3C4"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.033</w:t>
            </w:r>
          </w:p>
        </w:tc>
      </w:tr>
      <w:tr w:rsidR="00D65FF6" w:rsidRPr="00D53E24" w14:paraId="7F019B16" w14:textId="77777777" w:rsidTr="00FD1819">
        <w:trPr>
          <w:trHeight w:val="286"/>
        </w:trPr>
        <w:tc>
          <w:tcPr>
            <w:tcW w:w="1547" w:type="dxa"/>
            <w:tcMar>
              <w:top w:w="15" w:type="dxa"/>
              <w:left w:w="57" w:type="dxa"/>
              <w:bottom w:w="15" w:type="dxa"/>
              <w:right w:w="57" w:type="dxa"/>
            </w:tcMar>
            <w:vAlign w:val="center"/>
            <w:hideMark/>
          </w:tcPr>
          <w:p w14:paraId="46BB7C61"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Intention</w:t>
            </w:r>
          </w:p>
        </w:tc>
        <w:tc>
          <w:tcPr>
            <w:tcW w:w="0" w:type="auto"/>
            <w:noWrap/>
            <w:tcMar>
              <w:top w:w="15" w:type="dxa"/>
              <w:left w:w="57" w:type="dxa"/>
              <w:bottom w:w="15" w:type="dxa"/>
              <w:right w:w="57" w:type="dxa"/>
            </w:tcMar>
            <w:vAlign w:val="center"/>
            <w:hideMark/>
          </w:tcPr>
          <w:p w14:paraId="219F7B71"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0" w:type="auto"/>
            <w:tcBorders>
              <w:right w:val="single" w:sz="6" w:space="0" w:color="auto"/>
            </w:tcBorders>
            <w:tcMar>
              <w:top w:w="15" w:type="dxa"/>
              <w:left w:w="140" w:type="dxa"/>
              <w:bottom w:w="15" w:type="dxa"/>
              <w:right w:w="140" w:type="dxa"/>
            </w:tcMar>
            <w:vAlign w:val="center"/>
            <w:hideMark/>
          </w:tcPr>
          <w:p w14:paraId="7E4F6E98"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 functionality</w:t>
            </w:r>
          </w:p>
        </w:tc>
        <w:tc>
          <w:tcPr>
            <w:tcW w:w="1176" w:type="dxa"/>
            <w:tcMar>
              <w:top w:w="15" w:type="dxa"/>
              <w:left w:w="140" w:type="dxa"/>
              <w:bottom w:w="15" w:type="dxa"/>
              <w:right w:w="140" w:type="dxa"/>
            </w:tcMar>
            <w:vAlign w:val="center"/>
            <w:hideMark/>
          </w:tcPr>
          <w:p w14:paraId="4852C78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.221</w:t>
            </w:r>
          </w:p>
        </w:tc>
        <w:tc>
          <w:tcPr>
            <w:tcW w:w="681" w:type="dxa"/>
            <w:tcMar>
              <w:top w:w="15" w:type="dxa"/>
              <w:left w:w="140" w:type="dxa"/>
              <w:bottom w:w="15" w:type="dxa"/>
              <w:right w:w="140" w:type="dxa"/>
            </w:tcMar>
            <w:vAlign w:val="center"/>
            <w:hideMark/>
          </w:tcPr>
          <w:p w14:paraId="2ABDB899"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.041</w:t>
            </w:r>
          </w:p>
        </w:tc>
        <w:tc>
          <w:tcPr>
            <w:tcW w:w="991" w:type="dxa"/>
            <w:tcMar>
              <w:top w:w="15" w:type="dxa"/>
              <w:left w:w="140" w:type="dxa"/>
              <w:bottom w:w="15" w:type="dxa"/>
              <w:right w:w="140" w:type="dxa"/>
            </w:tcMar>
            <w:vAlign w:val="center"/>
            <w:hideMark/>
          </w:tcPr>
          <w:p w14:paraId="4B5F99A7"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5.462</w:t>
            </w:r>
          </w:p>
        </w:tc>
        <w:tc>
          <w:tcPr>
            <w:tcW w:w="850" w:type="dxa"/>
            <w:tcMar>
              <w:top w:w="15" w:type="dxa"/>
              <w:left w:w="140" w:type="dxa"/>
              <w:bottom w:w="15" w:type="dxa"/>
              <w:right w:w="140" w:type="dxa"/>
            </w:tcMar>
            <w:vAlign w:val="center"/>
            <w:hideMark/>
          </w:tcPr>
          <w:p w14:paraId="2D966DD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60586FB8" w14:textId="77777777" w:rsidTr="00FD1819">
        <w:trPr>
          <w:trHeight w:val="286"/>
        </w:trPr>
        <w:tc>
          <w:tcPr>
            <w:tcW w:w="1547" w:type="dxa"/>
            <w:tcMar>
              <w:top w:w="15" w:type="dxa"/>
              <w:left w:w="57" w:type="dxa"/>
              <w:bottom w:w="15" w:type="dxa"/>
              <w:right w:w="57" w:type="dxa"/>
            </w:tcMar>
            <w:vAlign w:val="center"/>
            <w:hideMark/>
          </w:tcPr>
          <w:p w14:paraId="7BA79918"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Intention</w:t>
            </w:r>
          </w:p>
        </w:tc>
        <w:tc>
          <w:tcPr>
            <w:tcW w:w="0" w:type="auto"/>
            <w:noWrap/>
            <w:tcMar>
              <w:top w:w="15" w:type="dxa"/>
              <w:left w:w="57" w:type="dxa"/>
              <w:bottom w:w="15" w:type="dxa"/>
              <w:right w:w="57" w:type="dxa"/>
            </w:tcMar>
            <w:vAlign w:val="center"/>
            <w:hideMark/>
          </w:tcPr>
          <w:p w14:paraId="67A92288"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0" w:type="auto"/>
            <w:tcBorders>
              <w:right w:val="single" w:sz="6" w:space="0" w:color="auto"/>
            </w:tcBorders>
            <w:tcMar>
              <w:top w:w="15" w:type="dxa"/>
              <w:left w:w="140" w:type="dxa"/>
              <w:bottom w:w="15" w:type="dxa"/>
              <w:right w:w="140" w:type="dxa"/>
            </w:tcMar>
            <w:vAlign w:val="center"/>
            <w:hideMark/>
          </w:tcPr>
          <w:p w14:paraId="5E9E9C23"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 likeability</w:t>
            </w:r>
          </w:p>
        </w:tc>
        <w:tc>
          <w:tcPr>
            <w:tcW w:w="1176" w:type="dxa"/>
            <w:tcMar>
              <w:top w:w="15" w:type="dxa"/>
              <w:left w:w="140" w:type="dxa"/>
              <w:bottom w:w="15" w:type="dxa"/>
              <w:right w:w="140" w:type="dxa"/>
            </w:tcMar>
            <w:vAlign w:val="center"/>
            <w:hideMark/>
          </w:tcPr>
          <w:p w14:paraId="05D8D7AA"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.511</w:t>
            </w:r>
          </w:p>
        </w:tc>
        <w:tc>
          <w:tcPr>
            <w:tcW w:w="681" w:type="dxa"/>
            <w:tcMar>
              <w:top w:w="15" w:type="dxa"/>
              <w:left w:w="140" w:type="dxa"/>
              <w:bottom w:w="15" w:type="dxa"/>
              <w:right w:w="140" w:type="dxa"/>
            </w:tcMar>
            <w:vAlign w:val="center"/>
            <w:hideMark/>
          </w:tcPr>
          <w:p w14:paraId="6AD64C47"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.043</w:t>
            </w:r>
          </w:p>
        </w:tc>
        <w:tc>
          <w:tcPr>
            <w:tcW w:w="991" w:type="dxa"/>
            <w:tcMar>
              <w:top w:w="15" w:type="dxa"/>
              <w:left w:w="140" w:type="dxa"/>
              <w:bottom w:w="15" w:type="dxa"/>
              <w:right w:w="140" w:type="dxa"/>
            </w:tcMar>
            <w:vAlign w:val="center"/>
            <w:hideMark/>
          </w:tcPr>
          <w:p w14:paraId="3A39307C"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11.864</w:t>
            </w:r>
          </w:p>
        </w:tc>
        <w:tc>
          <w:tcPr>
            <w:tcW w:w="850" w:type="dxa"/>
            <w:tcMar>
              <w:top w:w="15" w:type="dxa"/>
              <w:left w:w="140" w:type="dxa"/>
              <w:bottom w:w="15" w:type="dxa"/>
              <w:right w:w="140" w:type="dxa"/>
            </w:tcMar>
            <w:vAlign w:val="center"/>
            <w:hideMark/>
          </w:tcPr>
          <w:p w14:paraId="3F05E614"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r w:rsidR="00D65FF6" w:rsidRPr="00D53E24" w14:paraId="6A347B75" w14:textId="77777777" w:rsidTr="00FD1819">
        <w:trPr>
          <w:trHeight w:val="286"/>
        </w:trPr>
        <w:tc>
          <w:tcPr>
            <w:tcW w:w="1547" w:type="dxa"/>
            <w:tcMar>
              <w:top w:w="15" w:type="dxa"/>
              <w:left w:w="57" w:type="dxa"/>
              <w:bottom w:w="15" w:type="dxa"/>
              <w:right w:w="57" w:type="dxa"/>
            </w:tcMar>
            <w:vAlign w:val="center"/>
            <w:hideMark/>
          </w:tcPr>
          <w:p w14:paraId="3BC2D99C"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Intention</w:t>
            </w:r>
          </w:p>
        </w:tc>
        <w:tc>
          <w:tcPr>
            <w:tcW w:w="0" w:type="auto"/>
            <w:noWrap/>
            <w:tcMar>
              <w:top w:w="15" w:type="dxa"/>
              <w:left w:w="57" w:type="dxa"/>
              <w:bottom w:w="15" w:type="dxa"/>
              <w:right w:w="57" w:type="dxa"/>
            </w:tcMar>
            <w:vAlign w:val="center"/>
            <w:hideMark/>
          </w:tcPr>
          <w:p w14:paraId="3D230180"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&lt;---</w:t>
            </w:r>
          </w:p>
        </w:tc>
        <w:tc>
          <w:tcPr>
            <w:tcW w:w="0" w:type="auto"/>
            <w:tcBorders>
              <w:right w:val="single" w:sz="6" w:space="0" w:color="auto"/>
            </w:tcBorders>
            <w:tcMar>
              <w:top w:w="15" w:type="dxa"/>
              <w:left w:w="140" w:type="dxa"/>
              <w:bottom w:w="15" w:type="dxa"/>
              <w:right w:w="140" w:type="dxa"/>
            </w:tcMar>
            <w:vAlign w:val="center"/>
            <w:hideMark/>
          </w:tcPr>
          <w:p w14:paraId="02FD5E73" w14:textId="77777777" w:rsidR="00D65FF6" w:rsidRPr="00D53E24" w:rsidRDefault="00D65FF6" w:rsidP="008D0DBB">
            <w:pPr>
              <w:spacing w:after="0" w:line="240" w:lineRule="auto"/>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Brand trust</w:t>
            </w:r>
          </w:p>
        </w:tc>
        <w:tc>
          <w:tcPr>
            <w:tcW w:w="1176" w:type="dxa"/>
            <w:tcMar>
              <w:top w:w="15" w:type="dxa"/>
              <w:left w:w="140" w:type="dxa"/>
              <w:bottom w:w="15" w:type="dxa"/>
              <w:right w:w="140" w:type="dxa"/>
            </w:tcMar>
            <w:vAlign w:val="center"/>
            <w:hideMark/>
          </w:tcPr>
          <w:p w14:paraId="4D1D182D"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.373</w:t>
            </w:r>
          </w:p>
        </w:tc>
        <w:tc>
          <w:tcPr>
            <w:tcW w:w="681" w:type="dxa"/>
            <w:tcMar>
              <w:top w:w="15" w:type="dxa"/>
              <w:left w:w="140" w:type="dxa"/>
              <w:bottom w:w="15" w:type="dxa"/>
              <w:right w:w="140" w:type="dxa"/>
            </w:tcMar>
            <w:vAlign w:val="center"/>
            <w:hideMark/>
          </w:tcPr>
          <w:p w14:paraId="70354B3E"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.037</w:t>
            </w:r>
          </w:p>
        </w:tc>
        <w:tc>
          <w:tcPr>
            <w:tcW w:w="991" w:type="dxa"/>
            <w:tcMar>
              <w:top w:w="15" w:type="dxa"/>
              <w:left w:w="140" w:type="dxa"/>
              <w:bottom w:w="15" w:type="dxa"/>
              <w:right w:w="140" w:type="dxa"/>
            </w:tcMar>
            <w:vAlign w:val="center"/>
            <w:hideMark/>
          </w:tcPr>
          <w:p w14:paraId="479472A6" w14:textId="77777777" w:rsidR="00D65FF6" w:rsidRPr="00D53E24" w:rsidRDefault="00D65FF6" w:rsidP="008D0DBB">
            <w:pPr>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10.149</w:t>
            </w:r>
          </w:p>
        </w:tc>
        <w:tc>
          <w:tcPr>
            <w:tcW w:w="850" w:type="dxa"/>
            <w:tcMar>
              <w:top w:w="15" w:type="dxa"/>
              <w:left w:w="140" w:type="dxa"/>
              <w:bottom w:w="15" w:type="dxa"/>
              <w:right w:w="140" w:type="dxa"/>
            </w:tcMar>
            <w:vAlign w:val="center"/>
            <w:hideMark/>
          </w:tcPr>
          <w:p w14:paraId="24FF1E27" w14:textId="77777777" w:rsidR="00D65FF6" w:rsidRPr="00D53E24" w:rsidRDefault="00D65FF6" w:rsidP="00AF5A81">
            <w:pPr>
              <w:keepNext/>
              <w:spacing w:after="0" w:line="240" w:lineRule="auto"/>
              <w:jc w:val="right"/>
              <w:rPr>
                <w:rFonts w:ascii="Times New Roman" w:eastAsia="Times New Roman" w:hAnsi="Times New Roman" w:cs="Times New Roman"/>
                <w:sz w:val="20"/>
                <w:szCs w:val="20"/>
              </w:rPr>
            </w:pPr>
            <w:r w:rsidRPr="00D53E24">
              <w:rPr>
                <w:rFonts w:ascii="Times New Roman" w:eastAsia="Times New Roman" w:hAnsi="Times New Roman" w:cs="Times New Roman"/>
                <w:sz w:val="20"/>
                <w:szCs w:val="20"/>
              </w:rPr>
              <w:t>***</w:t>
            </w:r>
          </w:p>
        </w:tc>
      </w:tr>
    </w:tbl>
    <w:p w14:paraId="620BC81A" w14:textId="0C988491" w:rsidR="00D65FF6" w:rsidRPr="00AF5A81" w:rsidRDefault="00AF5A81" w:rsidP="00AF5A81">
      <w:pPr>
        <w:pStyle w:val="Caption"/>
      </w:pPr>
      <w:r>
        <w:t>Table 4</w:t>
      </w:r>
      <w:r w:rsidR="00FD1819">
        <w:t>9</w:t>
      </w:r>
      <w:r>
        <w:t xml:space="preserve">* Regression Weights: (Group number 2 – </w:t>
      </w:r>
      <w:r w:rsidR="007D5C15">
        <w:t>significant paths</w:t>
      </w:r>
      <w:r>
        <w:t xml:space="preserve">) </w:t>
      </w:r>
      <w:r>
        <w:br/>
      </w:r>
      <w:r w:rsidRPr="00AF5A81">
        <w:t>* Means p-value&lt;0.0001, perception is a dummy variable that takes 1 for High CSR perception and takes 0 for Low CSR perception.</w:t>
      </w:r>
    </w:p>
    <w:p w14:paraId="796CAA05" w14:textId="77777777" w:rsidR="00CB0370" w:rsidRDefault="00CB0370">
      <w:r>
        <w:br w:type="page"/>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2578"/>
        <w:gridCol w:w="1984"/>
        <w:gridCol w:w="851"/>
        <w:gridCol w:w="1134"/>
      </w:tblGrid>
      <w:tr w:rsidR="00D65FF6" w:rsidRPr="007D5C15" w14:paraId="7468AD1D" w14:textId="77777777" w:rsidTr="00FD1819">
        <w:trPr>
          <w:trHeight w:val="20"/>
        </w:trPr>
        <w:tc>
          <w:tcPr>
            <w:tcW w:w="1391" w:type="dxa"/>
          </w:tcPr>
          <w:p w14:paraId="79086662" w14:textId="13107532"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 xml:space="preserve">Indices </w:t>
            </w:r>
          </w:p>
        </w:tc>
        <w:tc>
          <w:tcPr>
            <w:tcW w:w="2578" w:type="dxa"/>
          </w:tcPr>
          <w:p w14:paraId="524CAEBE" w14:textId="77777777" w:rsidR="00D65FF6" w:rsidRPr="007D5C15" w:rsidRDefault="00D65FF6" w:rsidP="007D5C15">
            <w:pPr>
              <w:spacing w:after="0" w:line="240" w:lineRule="auto"/>
              <w:jc w:val="both"/>
              <w:rPr>
                <w:rFonts w:asciiTheme="majorBidi" w:hAnsiTheme="majorBidi" w:cstheme="majorBidi"/>
                <w:sz w:val="20"/>
                <w:szCs w:val="20"/>
              </w:rPr>
            </w:pPr>
            <w:r w:rsidRPr="007D5C15">
              <w:rPr>
                <w:rFonts w:asciiTheme="majorBidi" w:hAnsiTheme="majorBidi" w:cstheme="majorBidi"/>
                <w:sz w:val="20"/>
                <w:szCs w:val="20"/>
              </w:rPr>
              <w:t xml:space="preserve">Abbreviation </w:t>
            </w:r>
          </w:p>
        </w:tc>
        <w:tc>
          <w:tcPr>
            <w:tcW w:w="1984" w:type="dxa"/>
          </w:tcPr>
          <w:p w14:paraId="62D893A6"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 xml:space="preserve">Recommended criteria  </w:t>
            </w:r>
          </w:p>
        </w:tc>
        <w:tc>
          <w:tcPr>
            <w:tcW w:w="851" w:type="dxa"/>
          </w:tcPr>
          <w:p w14:paraId="29A54556"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Results</w:t>
            </w:r>
          </w:p>
        </w:tc>
        <w:tc>
          <w:tcPr>
            <w:tcW w:w="1134" w:type="dxa"/>
          </w:tcPr>
          <w:p w14:paraId="4461BBA6"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 xml:space="preserve">Conclusion </w:t>
            </w:r>
          </w:p>
        </w:tc>
      </w:tr>
      <w:tr w:rsidR="00D65FF6" w:rsidRPr="007D5C15" w14:paraId="74EB8C9D" w14:textId="77777777" w:rsidTr="00FD1819">
        <w:trPr>
          <w:trHeight w:val="20"/>
        </w:trPr>
        <w:tc>
          <w:tcPr>
            <w:tcW w:w="1391" w:type="dxa"/>
          </w:tcPr>
          <w:p w14:paraId="6EC61B42"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 xml:space="preserve">Chi-square </w:t>
            </w:r>
          </w:p>
        </w:tc>
        <w:tc>
          <w:tcPr>
            <w:tcW w:w="2578" w:type="dxa"/>
          </w:tcPr>
          <w:p w14:paraId="41109834"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 xml:space="preserve">χ </w:t>
            </w:r>
            <w:r w:rsidRPr="007D5C15">
              <w:rPr>
                <w:rFonts w:asciiTheme="majorBidi" w:hAnsiTheme="majorBidi" w:cstheme="majorBidi"/>
                <w:sz w:val="20"/>
                <w:szCs w:val="20"/>
                <w:vertAlign w:val="superscript"/>
              </w:rPr>
              <w:t>2</w:t>
            </w:r>
          </w:p>
        </w:tc>
        <w:tc>
          <w:tcPr>
            <w:tcW w:w="1984" w:type="dxa"/>
          </w:tcPr>
          <w:p w14:paraId="34ABEC04"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P value&gt;0.05</w:t>
            </w:r>
          </w:p>
        </w:tc>
        <w:tc>
          <w:tcPr>
            <w:tcW w:w="851" w:type="dxa"/>
          </w:tcPr>
          <w:p w14:paraId="428A2939"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22.26</w:t>
            </w:r>
          </w:p>
        </w:tc>
        <w:tc>
          <w:tcPr>
            <w:tcW w:w="1134" w:type="dxa"/>
          </w:tcPr>
          <w:p w14:paraId="495C4C65" w14:textId="69C45C24"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Not good fit</w:t>
            </w:r>
          </w:p>
        </w:tc>
      </w:tr>
      <w:tr w:rsidR="00D65FF6" w:rsidRPr="007D5C15" w14:paraId="3628EC57" w14:textId="77777777" w:rsidTr="00FD1819">
        <w:trPr>
          <w:trHeight w:val="127"/>
        </w:trPr>
        <w:tc>
          <w:tcPr>
            <w:tcW w:w="1391" w:type="dxa"/>
          </w:tcPr>
          <w:p w14:paraId="0B7E5FA5"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Normed chi square</w:t>
            </w:r>
          </w:p>
        </w:tc>
        <w:tc>
          <w:tcPr>
            <w:tcW w:w="2578" w:type="dxa"/>
          </w:tcPr>
          <w:p w14:paraId="0A27F31E" w14:textId="77777777" w:rsidR="00D65FF6" w:rsidRPr="007D5C15" w:rsidRDefault="00D65FF6" w:rsidP="007D5C15">
            <w:pPr>
              <w:spacing w:after="0" w:line="240" w:lineRule="auto"/>
              <w:jc w:val="both"/>
              <w:rPr>
                <w:rFonts w:asciiTheme="majorBidi" w:hAnsiTheme="majorBidi" w:cstheme="majorBidi"/>
                <w:sz w:val="20"/>
                <w:szCs w:val="20"/>
              </w:rPr>
            </w:pPr>
            <w:r w:rsidRPr="007D5C15">
              <w:rPr>
                <w:rFonts w:asciiTheme="majorBidi" w:hAnsiTheme="majorBidi" w:cstheme="majorBidi"/>
                <w:sz w:val="20"/>
                <w:szCs w:val="20"/>
              </w:rPr>
              <w:t xml:space="preserve">χ </w:t>
            </w:r>
            <w:r w:rsidRPr="007D5C15">
              <w:rPr>
                <w:rFonts w:asciiTheme="majorBidi" w:hAnsiTheme="majorBidi" w:cstheme="majorBidi"/>
                <w:sz w:val="20"/>
                <w:szCs w:val="20"/>
                <w:vertAlign w:val="superscript"/>
              </w:rPr>
              <w:t>2</w:t>
            </w:r>
            <w:r w:rsidRPr="007D5C15">
              <w:rPr>
                <w:rFonts w:asciiTheme="majorBidi" w:hAnsiTheme="majorBidi" w:cstheme="majorBidi"/>
                <w:sz w:val="20"/>
                <w:szCs w:val="20"/>
              </w:rPr>
              <w:t>/DF</w:t>
            </w:r>
          </w:p>
        </w:tc>
        <w:tc>
          <w:tcPr>
            <w:tcW w:w="1984" w:type="dxa"/>
          </w:tcPr>
          <w:p w14:paraId="39A685E3" w14:textId="77777777" w:rsidR="00D65FF6" w:rsidRPr="007D5C15" w:rsidRDefault="00D65FF6" w:rsidP="007D5C15">
            <w:pPr>
              <w:spacing w:after="0" w:line="240" w:lineRule="auto"/>
              <w:jc w:val="both"/>
              <w:rPr>
                <w:rFonts w:asciiTheme="majorBidi" w:hAnsiTheme="majorBidi" w:cstheme="majorBidi"/>
                <w:sz w:val="20"/>
                <w:szCs w:val="20"/>
              </w:rPr>
            </w:pPr>
            <w:r w:rsidRPr="007D5C15">
              <w:rPr>
                <w:rFonts w:asciiTheme="majorBidi" w:hAnsiTheme="majorBidi" w:cstheme="majorBidi"/>
                <w:sz w:val="20"/>
                <w:szCs w:val="20"/>
              </w:rPr>
              <w:t xml:space="preserve">1&lt;χ </w:t>
            </w:r>
            <w:r w:rsidRPr="007D5C15">
              <w:rPr>
                <w:rFonts w:asciiTheme="majorBidi" w:hAnsiTheme="majorBidi" w:cstheme="majorBidi"/>
                <w:sz w:val="20"/>
                <w:szCs w:val="20"/>
                <w:vertAlign w:val="superscript"/>
              </w:rPr>
              <w:t>2</w:t>
            </w:r>
            <w:r w:rsidRPr="007D5C15">
              <w:rPr>
                <w:rFonts w:asciiTheme="majorBidi" w:hAnsiTheme="majorBidi" w:cstheme="majorBidi"/>
                <w:sz w:val="20"/>
                <w:szCs w:val="20"/>
              </w:rPr>
              <w:t>/df&lt;3</w:t>
            </w:r>
          </w:p>
        </w:tc>
        <w:tc>
          <w:tcPr>
            <w:tcW w:w="851" w:type="dxa"/>
          </w:tcPr>
          <w:p w14:paraId="446B33F3"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2.26</w:t>
            </w:r>
          </w:p>
        </w:tc>
        <w:tc>
          <w:tcPr>
            <w:tcW w:w="1134" w:type="dxa"/>
          </w:tcPr>
          <w:p w14:paraId="5FB4CCFD" w14:textId="67D176B8"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Good fit</w:t>
            </w:r>
          </w:p>
        </w:tc>
      </w:tr>
      <w:tr w:rsidR="00D65FF6" w:rsidRPr="007D5C15" w14:paraId="2FFAFC18" w14:textId="77777777" w:rsidTr="00FD1819">
        <w:trPr>
          <w:trHeight w:val="20"/>
        </w:trPr>
        <w:tc>
          <w:tcPr>
            <w:tcW w:w="1391" w:type="dxa"/>
          </w:tcPr>
          <w:p w14:paraId="5AFF84B2"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 xml:space="preserve">Degree of freedom </w:t>
            </w:r>
          </w:p>
        </w:tc>
        <w:tc>
          <w:tcPr>
            <w:tcW w:w="2578" w:type="dxa"/>
          </w:tcPr>
          <w:p w14:paraId="17927842"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c>
          <w:tcPr>
            <w:tcW w:w="1984" w:type="dxa"/>
          </w:tcPr>
          <w:p w14:paraId="691C3C6A"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c>
          <w:tcPr>
            <w:tcW w:w="851" w:type="dxa"/>
          </w:tcPr>
          <w:p w14:paraId="7B469070"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10</w:t>
            </w:r>
          </w:p>
        </w:tc>
        <w:tc>
          <w:tcPr>
            <w:tcW w:w="1134" w:type="dxa"/>
          </w:tcPr>
          <w:p w14:paraId="5D200209"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r>
      <w:tr w:rsidR="00D65FF6" w:rsidRPr="007D5C15" w14:paraId="63BD0EDF" w14:textId="77777777" w:rsidTr="00FD1819">
        <w:trPr>
          <w:trHeight w:val="20"/>
        </w:trPr>
        <w:tc>
          <w:tcPr>
            <w:tcW w:w="1391" w:type="dxa"/>
          </w:tcPr>
          <w:p w14:paraId="4AA602FA"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 xml:space="preserve">Level of significance </w:t>
            </w:r>
          </w:p>
        </w:tc>
        <w:tc>
          <w:tcPr>
            <w:tcW w:w="2578" w:type="dxa"/>
          </w:tcPr>
          <w:p w14:paraId="5DCD1DFD"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c>
          <w:tcPr>
            <w:tcW w:w="1984" w:type="dxa"/>
          </w:tcPr>
          <w:p w14:paraId="210465B4"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c>
          <w:tcPr>
            <w:tcW w:w="851" w:type="dxa"/>
          </w:tcPr>
          <w:p w14:paraId="40BE685B"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0.000</w:t>
            </w:r>
          </w:p>
        </w:tc>
        <w:tc>
          <w:tcPr>
            <w:tcW w:w="1134" w:type="dxa"/>
          </w:tcPr>
          <w:p w14:paraId="63B64D36"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r>
      <w:tr w:rsidR="00D65FF6" w:rsidRPr="007D5C15" w14:paraId="1BF2C8BD" w14:textId="77777777" w:rsidTr="00FD1819">
        <w:trPr>
          <w:trHeight w:val="20"/>
        </w:trPr>
        <w:tc>
          <w:tcPr>
            <w:tcW w:w="1391" w:type="dxa"/>
          </w:tcPr>
          <w:p w14:paraId="66F05D52"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RMESA</w:t>
            </w:r>
          </w:p>
        </w:tc>
        <w:tc>
          <w:tcPr>
            <w:tcW w:w="2578" w:type="dxa"/>
          </w:tcPr>
          <w:p w14:paraId="2E390A9A"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Root mean square error of approximation</w:t>
            </w:r>
          </w:p>
        </w:tc>
        <w:tc>
          <w:tcPr>
            <w:tcW w:w="1984" w:type="dxa"/>
          </w:tcPr>
          <w:p w14:paraId="5D587A6E"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&lt;0.05 good fit</w:t>
            </w:r>
            <w:r w:rsidRPr="007D5C15">
              <w:rPr>
                <w:rFonts w:asciiTheme="majorBidi" w:hAnsiTheme="majorBidi" w:cstheme="majorBidi"/>
                <w:sz w:val="20"/>
                <w:szCs w:val="20"/>
              </w:rPr>
              <w:br/>
              <w:t>&lt;0.08 acceptable fit</w:t>
            </w:r>
          </w:p>
        </w:tc>
        <w:tc>
          <w:tcPr>
            <w:tcW w:w="851" w:type="dxa"/>
          </w:tcPr>
          <w:p w14:paraId="265DA88D"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0.042</w:t>
            </w:r>
          </w:p>
        </w:tc>
        <w:tc>
          <w:tcPr>
            <w:tcW w:w="1134" w:type="dxa"/>
          </w:tcPr>
          <w:p w14:paraId="7217F3D9" w14:textId="51303C19"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Good fit</w:t>
            </w:r>
          </w:p>
        </w:tc>
      </w:tr>
      <w:tr w:rsidR="00D65FF6" w:rsidRPr="007D5C15" w14:paraId="6818EB20" w14:textId="77777777" w:rsidTr="00FD1819">
        <w:trPr>
          <w:trHeight w:val="20"/>
        </w:trPr>
        <w:tc>
          <w:tcPr>
            <w:tcW w:w="1391" w:type="dxa"/>
          </w:tcPr>
          <w:p w14:paraId="4C0BCCB5"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NFI</w:t>
            </w:r>
          </w:p>
        </w:tc>
        <w:tc>
          <w:tcPr>
            <w:tcW w:w="2578" w:type="dxa"/>
          </w:tcPr>
          <w:p w14:paraId="7BB9119E"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Normed fit index</w:t>
            </w:r>
          </w:p>
        </w:tc>
        <w:tc>
          <w:tcPr>
            <w:tcW w:w="1984" w:type="dxa"/>
          </w:tcPr>
          <w:p w14:paraId="05E5E0C0"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&gt;0.90</w:t>
            </w:r>
          </w:p>
        </w:tc>
        <w:tc>
          <w:tcPr>
            <w:tcW w:w="851" w:type="dxa"/>
          </w:tcPr>
          <w:p w14:paraId="5EEBCD16"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0.969</w:t>
            </w:r>
          </w:p>
        </w:tc>
        <w:tc>
          <w:tcPr>
            <w:tcW w:w="1134" w:type="dxa"/>
          </w:tcPr>
          <w:p w14:paraId="1727ACB2" w14:textId="05E9E3CC"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Good fit</w:t>
            </w:r>
          </w:p>
        </w:tc>
      </w:tr>
      <w:tr w:rsidR="00D65FF6" w:rsidRPr="007D5C15" w14:paraId="400AC686" w14:textId="77777777" w:rsidTr="00FD1819">
        <w:trPr>
          <w:trHeight w:val="20"/>
        </w:trPr>
        <w:tc>
          <w:tcPr>
            <w:tcW w:w="1391" w:type="dxa"/>
          </w:tcPr>
          <w:p w14:paraId="1F0108E3"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RFI</w:t>
            </w:r>
          </w:p>
        </w:tc>
        <w:tc>
          <w:tcPr>
            <w:tcW w:w="2578" w:type="dxa"/>
          </w:tcPr>
          <w:p w14:paraId="05BEB347"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c>
          <w:tcPr>
            <w:tcW w:w="1984" w:type="dxa"/>
          </w:tcPr>
          <w:p w14:paraId="7FF050DA"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&gt;0.90</w:t>
            </w:r>
          </w:p>
        </w:tc>
        <w:tc>
          <w:tcPr>
            <w:tcW w:w="851" w:type="dxa"/>
          </w:tcPr>
          <w:p w14:paraId="415AC5E3"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0.951</w:t>
            </w:r>
          </w:p>
        </w:tc>
        <w:tc>
          <w:tcPr>
            <w:tcW w:w="1134" w:type="dxa"/>
          </w:tcPr>
          <w:p w14:paraId="526677B2" w14:textId="161CA39B"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Good fit</w:t>
            </w:r>
          </w:p>
        </w:tc>
      </w:tr>
      <w:tr w:rsidR="00D65FF6" w:rsidRPr="007D5C15" w14:paraId="348C0832" w14:textId="77777777" w:rsidTr="00FD1819">
        <w:trPr>
          <w:trHeight w:val="20"/>
        </w:trPr>
        <w:tc>
          <w:tcPr>
            <w:tcW w:w="1391" w:type="dxa"/>
          </w:tcPr>
          <w:p w14:paraId="786EDADE"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IFI</w:t>
            </w:r>
          </w:p>
        </w:tc>
        <w:tc>
          <w:tcPr>
            <w:tcW w:w="2578" w:type="dxa"/>
          </w:tcPr>
          <w:p w14:paraId="4FCF6ED5"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c>
          <w:tcPr>
            <w:tcW w:w="1984" w:type="dxa"/>
          </w:tcPr>
          <w:p w14:paraId="63DBC8B4"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&gt;0.90</w:t>
            </w:r>
          </w:p>
        </w:tc>
        <w:tc>
          <w:tcPr>
            <w:tcW w:w="851" w:type="dxa"/>
          </w:tcPr>
          <w:p w14:paraId="01AF8DBE"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0.972</w:t>
            </w:r>
          </w:p>
        </w:tc>
        <w:tc>
          <w:tcPr>
            <w:tcW w:w="1134" w:type="dxa"/>
          </w:tcPr>
          <w:p w14:paraId="46DD5829" w14:textId="69B4CAA3"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Good fit</w:t>
            </w:r>
          </w:p>
        </w:tc>
      </w:tr>
      <w:tr w:rsidR="00D65FF6" w:rsidRPr="007D5C15" w14:paraId="61745112" w14:textId="77777777" w:rsidTr="00FD1819">
        <w:trPr>
          <w:trHeight w:val="20"/>
        </w:trPr>
        <w:tc>
          <w:tcPr>
            <w:tcW w:w="1391" w:type="dxa"/>
          </w:tcPr>
          <w:p w14:paraId="7B2334D6"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TLI</w:t>
            </w:r>
          </w:p>
        </w:tc>
        <w:tc>
          <w:tcPr>
            <w:tcW w:w="2578" w:type="dxa"/>
          </w:tcPr>
          <w:p w14:paraId="10AEEB4F"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Tucker-Lewis index</w:t>
            </w:r>
          </w:p>
        </w:tc>
        <w:tc>
          <w:tcPr>
            <w:tcW w:w="1984" w:type="dxa"/>
          </w:tcPr>
          <w:p w14:paraId="2185E907"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&gt;0.90</w:t>
            </w:r>
          </w:p>
        </w:tc>
        <w:tc>
          <w:tcPr>
            <w:tcW w:w="851" w:type="dxa"/>
          </w:tcPr>
          <w:p w14:paraId="29497548"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0.952</w:t>
            </w:r>
          </w:p>
        </w:tc>
        <w:tc>
          <w:tcPr>
            <w:tcW w:w="1134" w:type="dxa"/>
          </w:tcPr>
          <w:p w14:paraId="0225066E" w14:textId="472923FB"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Good fit</w:t>
            </w:r>
          </w:p>
        </w:tc>
      </w:tr>
      <w:tr w:rsidR="00D65FF6" w:rsidRPr="007D5C15" w14:paraId="25CD94FB" w14:textId="77777777" w:rsidTr="00FD1819">
        <w:trPr>
          <w:trHeight w:val="20"/>
        </w:trPr>
        <w:tc>
          <w:tcPr>
            <w:tcW w:w="1391" w:type="dxa"/>
          </w:tcPr>
          <w:p w14:paraId="465718B3"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CFI</w:t>
            </w:r>
          </w:p>
        </w:tc>
        <w:tc>
          <w:tcPr>
            <w:tcW w:w="2578" w:type="dxa"/>
          </w:tcPr>
          <w:p w14:paraId="165B70DC"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Comparative fit index</w:t>
            </w:r>
          </w:p>
        </w:tc>
        <w:tc>
          <w:tcPr>
            <w:tcW w:w="1984" w:type="dxa"/>
          </w:tcPr>
          <w:p w14:paraId="4D0555A1"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sz w:val="20"/>
                <w:szCs w:val="20"/>
              </w:rPr>
              <w:t>&gt;0.90</w:t>
            </w:r>
          </w:p>
        </w:tc>
        <w:tc>
          <w:tcPr>
            <w:tcW w:w="851" w:type="dxa"/>
          </w:tcPr>
          <w:p w14:paraId="60B2D3AF"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0.969</w:t>
            </w:r>
          </w:p>
        </w:tc>
        <w:tc>
          <w:tcPr>
            <w:tcW w:w="1134" w:type="dxa"/>
          </w:tcPr>
          <w:p w14:paraId="476FC461" w14:textId="513F4AB2"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 xml:space="preserve">Good fit </w:t>
            </w:r>
          </w:p>
        </w:tc>
      </w:tr>
      <w:tr w:rsidR="00D65FF6" w:rsidRPr="007D5C15" w14:paraId="5EC604DF" w14:textId="77777777" w:rsidTr="00FD1819">
        <w:trPr>
          <w:trHeight w:val="20"/>
        </w:trPr>
        <w:tc>
          <w:tcPr>
            <w:tcW w:w="1391" w:type="dxa"/>
          </w:tcPr>
          <w:p w14:paraId="5AD92F8F"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R-square</w:t>
            </w:r>
          </w:p>
        </w:tc>
        <w:tc>
          <w:tcPr>
            <w:tcW w:w="2578" w:type="dxa"/>
          </w:tcPr>
          <w:p w14:paraId="59025AA3"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c>
          <w:tcPr>
            <w:tcW w:w="1984" w:type="dxa"/>
          </w:tcPr>
          <w:p w14:paraId="4A5C0950"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p>
        </w:tc>
        <w:tc>
          <w:tcPr>
            <w:tcW w:w="851" w:type="dxa"/>
          </w:tcPr>
          <w:p w14:paraId="47DE23B2" w14:textId="77777777" w:rsidR="00D65FF6" w:rsidRPr="007D5C15" w:rsidRDefault="00D65FF6" w:rsidP="007D5C15">
            <w:pPr>
              <w:spacing w:after="0" w:line="240" w:lineRule="auto"/>
              <w:jc w:val="both"/>
              <w:rPr>
                <w:rFonts w:asciiTheme="majorBidi" w:hAnsiTheme="majorBidi" w:cstheme="majorBidi"/>
                <w:color w:val="000000" w:themeColor="text1"/>
                <w:sz w:val="20"/>
                <w:szCs w:val="20"/>
              </w:rPr>
            </w:pPr>
            <w:r w:rsidRPr="007D5C15">
              <w:rPr>
                <w:rFonts w:asciiTheme="majorBidi" w:hAnsiTheme="majorBidi" w:cstheme="majorBidi"/>
                <w:color w:val="000000" w:themeColor="text1"/>
                <w:sz w:val="20"/>
                <w:szCs w:val="20"/>
              </w:rPr>
              <w:t>49.1%</w:t>
            </w:r>
          </w:p>
        </w:tc>
        <w:tc>
          <w:tcPr>
            <w:tcW w:w="1134" w:type="dxa"/>
          </w:tcPr>
          <w:p w14:paraId="300C3124" w14:textId="77777777" w:rsidR="00D65FF6" w:rsidRPr="007D5C15" w:rsidRDefault="00D65FF6" w:rsidP="007D5C15">
            <w:pPr>
              <w:keepNext/>
              <w:spacing w:after="0" w:line="240" w:lineRule="auto"/>
              <w:jc w:val="both"/>
              <w:rPr>
                <w:rFonts w:asciiTheme="majorBidi" w:hAnsiTheme="majorBidi" w:cstheme="majorBidi"/>
                <w:color w:val="000000" w:themeColor="text1"/>
                <w:sz w:val="20"/>
                <w:szCs w:val="20"/>
              </w:rPr>
            </w:pPr>
          </w:p>
        </w:tc>
      </w:tr>
    </w:tbl>
    <w:p w14:paraId="0DAFE168" w14:textId="77777777" w:rsidR="00FD1819" w:rsidRDefault="00AF5A81" w:rsidP="00FD1819">
      <w:pPr>
        <w:pStyle w:val="Caption"/>
        <w:spacing w:after="0"/>
      </w:pPr>
      <w:r>
        <w:t xml:space="preserve">Table </w:t>
      </w:r>
      <w:r w:rsidR="00FD1819">
        <w:t>50</w:t>
      </w:r>
      <w:r>
        <w:t xml:space="preserve"> The goodness of the model with </w:t>
      </w:r>
      <w:r w:rsidRPr="00AF5A81">
        <w:t>fit Indices for the estimated SEM</w:t>
      </w:r>
    </w:p>
    <w:p w14:paraId="5246ACBB" w14:textId="1EA07B88" w:rsidR="007D5C15" w:rsidRPr="003079CC" w:rsidRDefault="006D1F15" w:rsidP="00FD1819">
      <w:pPr>
        <w:pStyle w:val="Caption"/>
        <w:spacing w:after="0" w:line="480" w:lineRule="auto"/>
        <w:rPr>
          <w:i w:val="0"/>
          <w:iCs w:val="0"/>
        </w:rPr>
      </w:pPr>
      <w:r>
        <w:rPr>
          <w:rFonts w:asciiTheme="majorBidi" w:hAnsiTheme="majorBidi" w:cstheme="majorBidi"/>
          <w:sz w:val="24"/>
          <w:szCs w:val="24"/>
        </w:rPr>
        <w:br/>
      </w:r>
      <w:r>
        <w:rPr>
          <w:rFonts w:asciiTheme="majorBidi" w:hAnsiTheme="majorBidi" w:cstheme="majorBidi"/>
          <w:sz w:val="24"/>
          <w:szCs w:val="24"/>
        </w:rPr>
        <w:tab/>
      </w:r>
      <w:r w:rsidR="00D65FF6" w:rsidRPr="003079CC">
        <w:rPr>
          <w:rFonts w:asciiTheme="majorBidi" w:hAnsiTheme="majorBidi" w:cstheme="majorBidi"/>
          <w:i w:val="0"/>
          <w:iCs w:val="0"/>
          <w:sz w:val="24"/>
          <w:szCs w:val="24"/>
        </w:rPr>
        <w:t xml:space="preserve">Based on the above table, it was concluded that all the goodness of fit measures of the </w:t>
      </w:r>
    </w:p>
    <w:p w14:paraId="11938DBE" w14:textId="24BBC379" w:rsidR="007D5C15" w:rsidRPr="008D75D3" w:rsidRDefault="00D65FF6" w:rsidP="00FD1819">
      <w:pPr>
        <w:pStyle w:val="CommentText"/>
        <w:spacing w:after="0" w:line="480" w:lineRule="auto"/>
        <w:jc w:val="both"/>
        <w:rPr>
          <w:rFonts w:asciiTheme="majorBidi" w:hAnsiTheme="majorBidi" w:cstheme="majorBidi"/>
          <w:sz w:val="24"/>
          <w:szCs w:val="24"/>
        </w:rPr>
      </w:pPr>
      <w:r w:rsidRPr="003079CC">
        <w:rPr>
          <w:rFonts w:asciiTheme="majorBidi" w:hAnsiTheme="majorBidi" w:cstheme="majorBidi"/>
          <w:sz w:val="24"/>
          <w:szCs w:val="24"/>
        </w:rPr>
        <w:t>model</w:t>
      </w:r>
      <w:r w:rsidRPr="008D75D3">
        <w:rPr>
          <w:rFonts w:asciiTheme="majorBidi" w:hAnsiTheme="majorBidi" w:cstheme="majorBidi"/>
          <w:sz w:val="24"/>
          <w:szCs w:val="24"/>
        </w:rPr>
        <w:t xml:space="preserve"> indicate that all indicators </w:t>
      </w:r>
      <w:r>
        <w:rPr>
          <w:rFonts w:asciiTheme="majorBidi" w:hAnsiTheme="majorBidi" w:cstheme="majorBidi"/>
          <w:sz w:val="24"/>
          <w:szCs w:val="24"/>
        </w:rPr>
        <w:t xml:space="preserve">are </w:t>
      </w:r>
      <w:r w:rsidRPr="008D75D3">
        <w:rPr>
          <w:rFonts w:asciiTheme="majorBidi" w:hAnsiTheme="majorBidi" w:cstheme="majorBidi"/>
          <w:sz w:val="24"/>
          <w:szCs w:val="24"/>
        </w:rPr>
        <w:t>at acceptable limits, especially NFI, RFI, IFI, TLI, and CFI are close to one. Also</w:t>
      </w:r>
      <w:r>
        <w:rPr>
          <w:rFonts w:asciiTheme="majorBidi" w:hAnsiTheme="majorBidi" w:cstheme="majorBidi"/>
          <w:sz w:val="24"/>
          <w:szCs w:val="24"/>
        </w:rPr>
        <w:t>,</w:t>
      </w:r>
      <w:r w:rsidRPr="008D75D3">
        <w:rPr>
          <w:rFonts w:asciiTheme="majorBidi" w:hAnsiTheme="majorBidi" w:cstheme="majorBidi"/>
          <w:sz w:val="24"/>
          <w:szCs w:val="24"/>
        </w:rPr>
        <w:t xml:space="preserve"> the value of RMSEA is less than 0.05. All these measures indicate the goodness of fit of the structural model. Also</w:t>
      </w:r>
      <w:r>
        <w:rPr>
          <w:rFonts w:asciiTheme="majorBidi" w:hAnsiTheme="majorBidi" w:cstheme="majorBidi"/>
          <w:sz w:val="24"/>
          <w:szCs w:val="24"/>
        </w:rPr>
        <w:t>,</w:t>
      </w:r>
      <w:r w:rsidRPr="008D75D3">
        <w:rPr>
          <w:rFonts w:asciiTheme="majorBidi" w:hAnsiTheme="majorBidi" w:cstheme="majorBidi"/>
          <w:sz w:val="24"/>
          <w:szCs w:val="24"/>
        </w:rPr>
        <w:t xml:space="preserve"> level of significance of the Chi-square test </w:t>
      </w:r>
    </w:p>
    <w:p w14:paraId="6DB5D432" w14:textId="64905ED9" w:rsidR="00D65FF6" w:rsidRDefault="00D65FF6" w:rsidP="00AF5A81">
      <w:pPr>
        <w:pStyle w:val="CommentText"/>
        <w:spacing w:after="0" w:line="480" w:lineRule="auto"/>
        <w:jc w:val="both"/>
        <w:rPr>
          <w:rFonts w:asciiTheme="majorBidi" w:hAnsiTheme="majorBidi" w:cstheme="majorBidi"/>
          <w:sz w:val="24"/>
          <w:szCs w:val="24"/>
        </w:rPr>
      </w:pPr>
      <w:r w:rsidRPr="008D75D3">
        <w:rPr>
          <w:rFonts w:asciiTheme="majorBidi" w:hAnsiTheme="majorBidi" w:cstheme="majorBidi"/>
          <w:sz w:val="24"/>
          <w:szCs w:val="24"/>
        </w:rPr>
        <w:t>indicates</w:t>
      </w:r>
      <w:r>
        <w:rPr>
          <w:rFonts w:asciiTheme="majorBidi" w:hAnsiTheme="majorBidi" w:cstheme="majorBidi"/>
          <w:sz w:val="24"/>
          <w:szCs w:val="24"/>
        </w:rPr>
        <w:t xml:space="preserve"> that</w:t>
      </w:r>
      <w:r w:rsidRPr="008D75D3">
        <w:rPr>
          <w:rFonts w:asciiTheme="majorBidi" w:hAnsiTheme="majorBidi" w:cstheme="majorBidi"/>
          <w:sz w:val="24"/>
          <w:szCs w:val="24"/>
        </w:rPr>
        <w:t xml:space="preserve"> the model is not good fit, however Chi-square test is very sensitive with increasing sample size so </w:t>
      </w:r>
      <w:r>
        <w:rPr>
          <w:rFonts w:asciiTheme="majorBidi" w:hAnsiTheme="majorBidi" w:cstheme="majorBidi"/>
          <w:sz w:val="24"/>
          <w:szCs w:val="24"/>
        </w:rPr>
        <w:t>I can rely</w:t>
      </w:r>
      <w:r w:rsidRPr="008D75D3">
        <w:rPr>
          <w:rFonts w:asciiTheme="majorBidi" w:hAnsiTheme="majorBidi" w:cstheme="majorBidi"/>
          <w:sz w:val="24"/>
          <w:szCs w:val="24"/>
        </w:rPr>
        <w:t xml:space="preserve"> on other measures</w:t>
      </w:r>
      <w:sdt>
        <w:sdtPr>
          <w:rPr>
            <w:rFonts w:asciiTheme="majorBidi" w:hAnsiTheme="majorBidi" w:cstheme="majorBidi"/>
            <w:sz w:val="24"/>
            <w:szCs w:val="24"/>
          </w:rPr>
          <w:id w:val="207661608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Ala201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F6991">
            <w:rPr>
              <w:rFonts w:asciiTheme="majorBidi" w:hAnsiTheme="majorBidi" w:cstheme="majorBidi"/>
              <w:noProof/>
              <w:sz w:val="24"/>
              <w:szCs w:val="24"/>
            </w:rPr>
            <w:t>(Alavi, et al., 2020)</w:t>
          </w:r>
          <w:r>
            <w:rPr>
              <w:rFonts w:asciiTheme="majorBidi" w:hAnsiTheme="majorBidi" w:cstheme="majorBidi"/>
              <w:sz w:val="24"/>
              <w:szCs w:val="24"/>
            </w:rPr>
            <w:fldChar w:fldCharType="end"/>
          </w:r>
        </w:sdtContent>
      </w:sdt>
      <w:r>
        <w:rPr>
          <w:rFonts w:asciiTheme="majorBidi" w:hAnsiTheme="majorBidi" w:cstheme="majorBidi"/>
          <w:sz w:val="24"/>
          <w:szCs w:val="24"/>
        </w:rPr>
        <w:t>.</w:t>
      </w:r>
    </w:p>
    <w:bookmarkEnd w:id="185"/>
    <w:bookmarkEnd w:id="189"/>
    <w:p w14:paraId="739A85A9" w14:textId="679BD099" w:rsidR="00D65FF6" w:rsidRDefault="00D65FF6">
      <w:pPr>
        <w:pStyle w:val="CommentText"/>
        <w:numPr>
          <w:ilvl w:val="1"/>
          <w:numId w:val="26"/>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Chapter Summary</w:t>
      </w:r>
    </w:p>
    <w:p w14:paraId="31176924" w14:textId="57F3034E" w:rsidR="000728A8" w:rsidRDefault="00D65FF6" w:rsidP="0032474D">
      <w:pPr>
        <w:pStyle w:val="Caption"/>
        <w:spacing w:after="0" w:line="480" w:lineRule="auto"/>
        <w:ind w:firstLine="390"/>
        <w:rPr>
          <w:rFonts w:asciiTheme="majorBidi" w:hAnsiTheme="majorBidi" w:cstheme="majorBidi"/>
          <w:i w:val="0"/>
          <w:iCs w:val="0"/>
          <w:sz w:val="24"/>
          <w:szCs w:val="24"/>
        </w:rPr>
      </w:pPr>
      <w:r w:rsidRPr="0032474D">
        <w:rPr>
          <w:rFonts w:asciiTheme="majorBidi" w:hAnsiTheme="majorBidi" w:cstheme="majorBidi"/>
          <w:i w:val="0"/>
          <w:iCs w:val="0"/>
          <w:sz w:val="24"/>
          <w:szCs w:val="24"/>
        </w:rPr>
        <w:t>Lastly, this chapter outline</w:t>
      </w:r>
      <w:r w:rsidR="00C1566F" w:rsidRPr="0032474D">
        <w:rPr>
          <w:rFonts w:asciiTheme="majorBidi" w:hAnsiTheme="majorBidi" w:cstheme="majorBidi"/>
          <w:i w:val="0"/>
          <w:iCs w:val="0"/>
          <w:sz w:val="24"/>
          <w:szCs w:val="24"/>
        </w:rPr>
        <w:t>s</w:t>
      </w:r>
      <w:r w:rsidRPr="0032474D">
        <w:rPr>
          <w:rFonts w:asciiTheme="majorBidi" w:hAnsiTheme="majorBidi" w:cstheme="majorBidi"/>
          <w:i w:val="0"/>
          <w:iCs w:val="0"/>
          <w:sz w:val="24"/>
          <w:szCs w:val="24"/>
        </w:rPr>
        <w:t xml:space="preserve"> the necessary experimental models that support and validate the relationships suggested in the study’s conceptual model outlined in chapter </w:t>
      </w:r>
      <w:r w:rsidR="004C729F" w:rsidRPr="0032474D">
        <w:rPr>
          <w:rFonts w:asciiTheme="majorBidi" w:hAnsiTheme="majorBidi" w:cstheme="majorBidi"/>
          <w:i w:val="0"/>
          <w:iCs w:val="0"/>
          <w:sz w:val="24"/>
          <w:szCs w:val="24"/>
        </w:rPr>
        <w:t>four</w:t>
      </w:r>
      <w:r w:rsidRPr="0032474D">
        <w:rPr>
          <w:rFonts w:asciiTheme="majorBidi" w:hAnsiTheme="majorBidi" w:cstheme="majorBidi"/>
          <w:i w:val="0"/>
          <w:iCs w:val="0"/>
          <w:sz w:val="24"/>
          <w:szCs w:val="24"/>
        </w:rPr>
        <w:t xml:space="preserve">. Testing different path models and relationships between independent variables and outcomes provided substantial knowledge, based on which, I was able to test the hypotheses. Table </w:t>
      </w:r>
      <w:r w:rsidR="0032474D">
        <w:rPr>
          <w:rFonts w:asciiTheme="majorBidi" w:hAnsiTheme="majorBidi" w:cstheme="majorBidi"/>
          <w:i w:val="0"/>
          <w:iCs w:val="0"/>
          <w:sz w:val="24"/>
          <w:szCs w:val="24"/>
        </w:rPr>
        <w:t>51</w:t>
      </w:r>
      <w:r w:rsidRPr="0032474D">
        <w:rPr>
          <w:rFonts w:asciiTheme="majorBidi" w:hAnsiTheme="majorBidi" w:cstheme="majorBidi"/>
          <w:i w:val="0"/>
          <w:iCs w:val="0"/>
          <w:sz w:val="24"/>
          <w:szCs w:val="24"/>
        </w:rPr>
        <w:t xml:space="preserve"> </w:t>
      </w:r>
      <w:r w:rsidR="00AF5A81" w:rsidRPr="0032474D">
        <w:rPr>
          <w:rFonts w:asciiTheme="majorBidi" w:hAnsiTheme="majorBidi" w:cstheme="majorBidi"/>
          <w:i w:val="0"/>
          <w:iCs w:val="0"/>
          <w:sz w:val="24"/>
          <w:szCs w:val="24"/>
        </w:rPr>
        <w:t>present</w:t>
      </w:r>
      <w:r w:rsidRPr="0032474D">
        <w:rPr>
          <w:rFonts w:asciiTheme="majorBidi" w:hAnsiTheme="majorBidi" w:cstheme="majorBidi"/>
          <w:i w:val="0"/>
          <w:iCs w:val="0"/>
          <w:sz w:val="24"/>
          <w:szCs w:val="24"/>
        </w:rPr>
        <w:t xml:space="preserve"> the results of all the tested hypotheses. The next chapter reports the qualitative results of study two which aid in answering the research questions and achieve the study’s objectives. </w:t>
      </w:r>
    </w:p>
    <w:p w14:paraId="6BDEFC48" w14:textId="77777777" w:rsidR="0032474D" w:rsidRPr="0032474D" w:rsidRDefault="0032474D" w:rsidP="0032474D"/>
    <w:p w14:paraId="3207E636" w14:textId="77777777" w:rsidR="003079CC" w:rsidRDefault="003079CC" w:rsidP="00CB0370">
      <w:pPr>
        <w:pStyle w:val="CommentText"/>
        <w:spacing w:after="0" w:line="480" w:lineRule="auto"/>
        <w:jc w:val="both"/>
        <w:rPr>
          <w:rFonts w:asciiTheme="majorBidi" w:hAnsiTheme="majorBidi" w:cstheme="majorBidi"/>
          <w:sz w:val="24"/>
          <w:szCs w:val="24"/>
        </w:rPr>
      </w:pPr>
    </w:p>
    <w:p w14:paraId="53D2F141" w14:textId="45B73F50" w:rsidR="003320A4" w:rsidRDefault="003320A4" w:rsidP="006605E7">
      <w:pPr>
        <w:widowControl w:val="0"/>
        <w:jc w:val="center"/>
        <w:rPr>
          <w:rFonts w:asciiTheme="majorBidi" w:hAnsiTheme="majorBidi" w:cstheme="majorBidi"/>
          <w:b/>
          <w:bCs/>
          <w:sz w:val="24"/>
          <w:szCs w:val="24"/>
        </w:rPr>
      </w:pPr>
    </w:p>
    <w:tbl>
      <w:tblPr>
        <w:tblStyle w:val="TableGrid"/>
        <w:tblpPr w:leftFromText="180" w:rightFromText="180" w:vertAnchor="page" w:horzAnchor="margin" w:tblpXSpec="center" w:tblpY="1623"/>
        <w:tblW w:w="0" w:type="auto"/>
        <w:tblLook w:val="04A0" w:firstRow="1" w:lastRow="0" w:firstColumn="1" w:lastColumn="0" w:noHBand="0" w:noVBand="1"/>
      </w:tblPr>
      <w:tblGrid>
        <w:gridCol w:w="7590"/>
        <w:gridCol w:w="1052"/>
      </w:tblGrid>
      <w:tr w:rsidR="0032474D" w:rsidRPr="007D5C15" w14:paraId="2AF67B16" w14:textId="77777777" w:rsidTr="0032474D">
        <w:trPr>
          <w:trHeight w:val="302"/>
        </w:trPr>
        <w:tc>
          <w:tcPr>
            <w:tcW w:w="7590" w:type="dxa"/>
          </w:tcPr>
          <w:p w14:paraId="0EE4FCB6"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 xml:space="preserve">Hypothesis </w:t>
            </w:r>
          </w:p>
        </w:tc>
        <w:tc>
          <w:tcPr>
            <w:tcW w:w="1052" w:type="dxa"/>
          </w:tcPr>
          <w:p w14:paraId="01BF824D"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 xml:space="preserve">Status </w:t>
            </w:r>
          </w:p>
        </w:tc>
      </w:tr>
      <w:tr w:rsidR="0032474D" w:rsidRPr="007D5C15" w14:paraId="75801303" w14:textId="77777777" w:rsidTr="0032474D">
        <w:trPr>
          <w:trHeight w:val="510"/>
        </w:trPr>
        <w:tc>
          <w:tcPr>
            <w:tcW w:w="7590" w:type="dxa"/>
          </w:tcPr>
          <w:p w14:paraId="4CDCB22E"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H1: CSR communication has a positive effect on the (a) brand likeability and (b) ad likeability on consumers in Egypt more than non-CSR communication.</w:t>
            </w:r>
          </w:p>
        </w:tc>
        <w:tc>
          <w:tcPr>
            <w:tcW w:w="1052" w:type="dxa"/>
          </w:tcPr>
          <w:p w14:paraId="49AC63DE"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Accepted</w:t>
            </w:r>
          </w:p>
        </w:tc>
      </w:tr>
      <w:tr w:rsidR="0032474D" w:rsidRPr="007D5C15" w14:paraId="57AAD838" w14:textId="77777777" w:rsidTr="0032474D">
        <w:trPr>
          <w:trHeight w:val="522"/>
        </w:trPr>
        <w:tc>
          <w:tcPr>
            <w:tcW w:w="7590" w:type="dxa"/>
          </w:tcPr>
          <w:p w14:paraId="4D665259"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H2:  CSR communication has a positive effect on the brand trust of consumers in Egypt more than non-CSR communication.</w:t>
            </w:r>
          </w:p>
        </w:tc>
        <w:tc>
          <w:tcPr>
            <w:tcW w:w="1052" w:type="dxa"/>
          </w:tcPr>
          <w:p w14:paraId="69720EB3"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Accepted</w:t>
            </w:r>
          </w:p>
        </w:tc>
      </w:tr>
      <w:tr w:rsidR="0032474D" w:rsidRPr="007D5C15" w14:paraId="25AFC3BA" w14:textId="77777777" w:rsidTr="0032474D">
        <w:trPr>
          <w:trHeight w:val="522"/>
        </w:trPr>
        <w:tc>
          <w:tcPr>
            <w:tcW w:w="7590" w:type="dxa"/>
          </w:tcPr>
          <w:p w14:paraId="5035CB76"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H3: CSR communication has a positive effect on the perceived brand functionality of consumers in Egypt more than non-CSR communication.</w:t>
            </w:r>
          </w:p>
        </w:tc>
        <w:tc>
          <w:tcPr>
            <w:tcW w:w="1052" w:type="dxa"/>
          </w:tcPr>
          <w:p w14:paraId="3ACB5605"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 xml:space="preserve">Rejected </w:t>
            </w:r>
          </w:p>
        </w:tc>
      </w:tr>
      <w:tr w:rsidR="0032474D" w:rsidRPr="007D5C15" w14:paraId="25445BF3" w14:textId="77777777" w:rsidTr="0032474D">
        <w:trPr>
          <w:trHeight w:val="522"/>
        </w:trPr>
        <w:tc>
          <w:tcPr>
            <w:tcW w:w="7590" w:type="dxa"/>
          </w:tcPr>
          <w:p w14:paraId="62F47C1A"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 xml:space="preserve">H4:  CSR communication has a positive effect on the emotional brand attachment of consumers in Egypt more than non-CSR communication.  </w:t>
            </w:r>
          </w:p>
        </w:tc>
        <w:tc>
          <w:tcPr>
            <w:tcW w:w="1052" w:type="dxa"/>
          </w:tcPr>
          <w:p w14:paraId="5849E0DD"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Accepted</w:t>
            </w:r>
          </w:p>
        </w:tc>
      </w:tr>
      <w:tr w:rsidR="0032474D" w:rsidRPr="007D5C15" w14:paraId="3FEFEE91" w14:textId="77777777" w:rsidTr="0032474D">
        <w:trPr>
          <w:trHeight w:val="522"/>
        </w:trPr>
        <w:tc>
          <w:tcPr>
            <w:tcW w:w="7590" w:type="dxa"/>
          </w:tcPr>
          <w:p w14:paraId="4A882EB3"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H5: Emotional brand attachment has a stronger influence on purchase intention than brand functionality.</w:t>
            </w:r>
          </w:p>
        </w:tc>
        <w:tc>
          <w:tcPr>
            <w:tcW w:w="1052" w:type="dxa"/>
          </w:tcPr>
          <w:p w14:paraId="6574766C"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Rejected</w:t>
            </w:r>
          </w:p>
        </w:tc>
      </w:tr>
      <w:tr w:rsidR="0032474D" w:rsidRPr="007D5C15" w14:paraId="24DBEB53" w14:textId="77777777" w:rsidTr="0032474D">
        <w:trPr>
          <w:trHeight w:val="510"/>
        </w:trPr>
        <w:tc>
          <w:tcPr>
            <w:tcW w:w="7590" w:type="dxa"/>
          </w:tcPr>
          <w:p w14:paraId="72A008A4"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H6: CSR communication has a positive effect on purchase intentions of consumers in Egypt more than non-CSR communication.</w:t>
            </w:r>
          </w:p>
        </w:tc>
        <w:tc>
          <w:tcPr>
            <w:tcW w:w="1052" w:type="dxa"/>
          </w:tcPr>
          <w:p w14:paraId="00785EDD"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Accepted</w:t>
            </w:r>
          </w:p>
        </w:tc>
      </w:tr>
      <w:tr w:rsidR="0032474D" w:rsidRPr="007D5C15" w14:paraId="1FFFA4E6" w14:textId="77777777" w:rsidTr="0032474D">
        <w:trPr>
          <w:trHeight w:val="522"/>
        </w:trPr>
        <w:tc>
          <w:tcPr>
            <w:tcW w:w="7590" w:type="dxa"/>
          </w:tcPr>
          <w:p w14:paraId="23DF9AFC"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H7: Social media has a stronger impact on consumers’ attitudes towards CSR communication than television.</w:t>
            </w:r>
          </w:p>
        </w:tc>
        <w:tc>
          <w:tcPr>
            <w:tcW w:w="1052" w:type="dxa"/>
          </w:tcPr>
          <w:p w14:paraId="54496DA1"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Rejected</w:t>
            </w:r>
          </w:p>
        </w:tc>
      </w:tr>
      <w:tr w:rsidR="0032474D" w:rsidRPr="007D5C15" w14:paraId="0DC4FED9" w14:textId="77777777" w:rsidTr="0032474D">
        <w:trPr>
          <w:trHeight w:val="522"/>
        </w:trPr>
        <w:tc>
          <w:tcPr>
            <w:tcW w:w="7590" w:type="dxa"/>
          </w:tcPr>
          <w:p w14:paraId="2D65E0D3"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H8:</w:t>
            </w:r>
            <w:r w:rsidRPr="007D5C15">
              <w:rPr>
                <w:rFonts w:asciiTheme="majorBidi" w:hAnsiTheme="majorBidi" w:cstheme="majorBidi"/>
                <w:color w:val="2E2E2E"/>
              </w:rPr>
              <w:t xml:space="preserve"> Ad likeability, emotional brand attachment, brand likeability, brand trust and perceived brand functionality have a positive impact on purchase intention of Egyptian consumers.</w:t>
            </w:r>
          </w:p>
        </w:tc>
        <w:tc>
          <w:tcPr>
            <w:tcW w:w="1052" w:type="dxa"/>
          </w:tcPr>
          <w:p w14:paraId="386ECD41"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Accepted</w:t>
            </w:r>
          </w:p>
        </w:tc>
      </w:tr>
      <w:tr w:rsidR="0032474D" w:rsidRPr="007D5C15" w14:paraId="086F8E38" w14:textId="77777777" w:rsidTr="0032474D">
        <w:trPr>
          <w:trHeight w:val="261"/>
        </w:trPr>
        <w:tc>
          <w:tcPr>
            <w:tcW w:w="7590" w:type="dxa"/>
          </w:tcPr>
          <w:p w14:paraId="59718234"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H9: CSR communication in Egypt has a positive halo effect on the consumers’ purchase intention.</w:t>
            </w:r>
          </w:p>
        </w:tc>
        <w:tc>
          <w:tcPr>
            <w:tcW w:w="1052" w:type="dxa"/>
          </w:tcPr>
          <w:p w14:paraId="729CE7A5"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Accepted</w:t>
            </w:r>
          </w:p>
        </w:tc>
      </w:tr>
      <w:tr w:rsidR="0032474D" w:rsidRPr="007D5C15" w14:paraId="0FEDE92C" w14:textId="77777777" w:rsidTr="0032474D">
        <w:trPr>
          <w:trHeight w:val="342"/>
        </w:trPr>
        <w:tc>
          <w:tcPr>
            <w:tcW w:w="7590" w:type="dxa"/>
          </w:tcPr>
          <w:p w14:paraId="3AAFB5C3" w14:textId="77777777" w:rsidR="0032474D" w:rsidRPr="007D5C15" w:rsidRDefault="0032474D" w:rsidP="0032474D">
            <w:pPr>
              <w:pStyle w:val="CommentText"/>
              <w:rPr>
                <w:rFonts w:asciiTheme="majorBidi" w:hAnsiTheme="majorBidi" w:cstheme="majorBidi"/>
              </w:rPr>
            </w:pPr>
            <w:r w:rsidRPr="007D5C15">
              <w:rPr>
                <w:rFonts w:asciiTheme="majorBidi" w:eastAsia="Arial" w:hAnsiTheme="majorBidi" w:cstheme="majorBidi"/>
              </w:rPr>
              <w:t xml:space="preserve">H10: </w:t>
            </w:r>
            <w:r w:rsidRPr="007D5C15">
              <w:rPr>
                <w:rFonts w:asciiTheme="majorBidi" w:hAnsiTheme="majorBidi" w:cstheme="majorBidi"/>
              </w:rPr>
              <w:t>Social media communication in Egypt has a positive halo effect on consumers’ purchase intention.</w:t>
            </w:r>
          </w:p>
        </w:tc>
        <w:tc>
          <w:tcPr>
            <w:tcW w:w="1052" w:type="dxa"/>
          </w:tcPr>
          <w:p w14:paraId="01DCD542" w14:textId="77777777" w:rsidR="0032474D" w:rsidRPr="007D5C15" w:rsidRDefault="0032474D" w:rsidP="0032474D">
            <w:pPr>
              <w:pStyle w:val="CommentText"/>
              <w:rPr>
                <w:rFonts w:asciiTheme="majorBidi" w:hAnsiTheme="majorBidi" w:cstheme="majorBidi"/>
              </w:rPr>
            </w:pPr>
            <w:r w:rsidRPr="007D5C15">
              <w:rPr>
                <w:rFonts w:asciiTheme="majorBidi" w:hAnsiTheme="majorBidi" w:cstheme="majorBidi"/>
              </w:rPr>
              <w:t xml:space="preserve">Partially Rejected </w:t>
            </w:r>
          </w:p>
        </w:tc>
      </w:tr>
      <w:tr w:rsidR="0032474D" w:rsidRPr="007D5C15" w14:paraId="2A2C44CD" w14:textId="77777777" w:rsidTr="0032474D">
        <w:trPr>
          <w:trHeight w:val="692"/>
        </w:trPr>
        <w:tc>
          <w:tcPr>
            <w:tcW w:w="7590" w:type="dxa"/>
          </w:tcPr>
          <w:p w14:paraId="3516E633" w14:textId="77777777" w:rsidR="0032474D" w:rsidRPr="007D5C15" w:rsidRDefault="0032474D" w:rsidP="0032474D">
            <w:pPr>
              <w:pStyle w:val="NormalWeb"/>
              <w:spacing w:before="67" w:beforeAutospacing="0" w:after="120" w:afterAutospacing="0"/>
              <w:rPr>
                <w:rFonts w:asciiTheme="majorBidi" w:hAnsiTheme="majorBidi" w:cstheme="majorBidi"/>
                <w:sz w:val="20"/>
                <w:szCs w:val="20"/>
              </w:rPr>
            </w:pPr>
            <w:r w:rsidRPr="007D5C15">
              <w:rPr>
                <w:rFonts w:asciiTheme="majorBidi" w:hAnsiTheme="majorBidi" w:cstheme="majorBidi"/>
                <w:sz w:val="20"/>
                <w:szCs w:val="20"/>
              </w:rPr>
              <w:t xml:space="preserve">H11:  Individuals with high CSR perception in Egypt will possess positive brand attitudes towards the brand launching CSR communication. </w:t>
            </w:r>
          </w:p>
        </w:tc>
        <w:tc>
          <w:tcPr>
            <w:tcW w:w="1052" w:type="dxa"/>
          </w:tcPr>
          <w:p w14:paraId="4A89F942" w14:textId="77777777" w:rsidR="0032474D" w:rsidRPr="007D5C15" w:rsidRDefault="0032474D" w:rsidP="0032474D">
            <w:pPr>
              <w:pStyle w:val="CommentText"/>
              <w:keepNext/>
              <w:rPr>
                <w:rFonts w:asciiTheme="majorBidi" w:hAnsiTheme="majorBidi" w:cstheme="majorBidi"/>
              </w:rPr>
            </w:pPr>
            <w:r w:rsidRPr="007D5C15">
              <w:rPr>
                <w:rFonts w:asciiTheme="majorBidi" w:hAnsiTheme="majorBidi" w:cstheme="majorBidi"/>
              </w:rPr>
              <w:t>Accepted</w:t>
            </w:r>
          </w:p>
        </w:tc>
      </w:tr>
    </w:tbl>
    <w:p w14:paraId="3AC7A86F" w14:textId="4126B0F6" w:rsidR="0032474D" w:rsidRDefault="0032474D" w:rsidP="0032474D">
      <w:pPr>
        <w:pStyle w:val="Caption"/>
        <w:framePr w:hSpace="180" w:wrap="around" w:vAnchor="page" w:hAnchor="page" w:x="1645" w:y="7844"/>
      </w:pPr>
      <w:r>
        <w:t xml:space="preserve">Table 51 Results of tested hypotheses </w:t>
      </w:r>
    </w:p>
    <w:p w14:paraId="03F01B2A" w14:textId="77777777" w:rsidR="0032474D" w:rsidRDefault="0032474D" w:rsidP="00ED492B">
      <w:pPr>
        <w:widowControl w:val="0"/>
        <w:jc w:val="center"/>
        <w:rPr>
          <w:rFonts w:asciiTheme="majorBidi" w:hAnsiTheme="majorBidi" w:cstheme="majorBidi"/>
          <w:b/>
          <w:bCs/>
          <w:sz w:val="24"/>
          <w:szCs w:val="24"/>
        </w:rPr>
      </w:pPr>
    </w:p>
    <w:p w14:paraId="451A613E" w14:textId="77777777" w:rsidR="0032474D" w:rsidRDefault="0032474D" w:rsidP="00ED492B">
      <w:pPr>
        <w:widowControl w:val="0"/>
        <w:jc w:val="center"/>
        <w:rPr>
          <w:rFonts w:asciiTheme="majorBidi" w:hAnsiTheme="majorBidi" w:cstheme="majorBidi"/>
          <w:b/>
          <w:bCs/>
          <w:sz w:val="24"/>
          <w:szCs w:val="24"/>
        </w:rPr>
      </w:pPr>
    </w:p>
    <w:p w14:paraId="557AC256" w14:textId="77777777" w:rsidR="0032474D" w:rsidRDefault="0032474D">
      <w:pPr>
        <w:rPr>
          <w:rFonts w:asciiTheme="majorBidi" w:hAnsiTheme="majorBidi" w:cstheme="majorBidi"/>
          <w:b/>
          <w:bCs/>
          <w:sz w:val="24"/>
          <w:szCs w:val="24"/>
        </w:rPr>
      </w:pPr>
      <w:r>
        <w:rPr>
          <w:rFonts w:asciiTheme="majorBidi" w:hAnsiTheme="majorBidi" w:cstheme="majorBidi"/>
          <w:b/>
          <w:bCs/>
          <w:sz w:val="24"/>
          <w:szCs w:val="24"/>
        </w:rPr>
        <w:br w:type="page"/>
      </w:r>
    </w:p>
    <w:p w14:paraId="27E4410B" w14:textId="20115F1E" w:rsidR="0032474D" w:rsidRDefault="0032474D" w:rsidP="00ED492B">
      <w:pPr>
        <w:widowControl w:val="0"/>
        <w:jc w:val="center"/>
        <w:rPr>
          <w:rFonts w:asciiTheme="majorBidi" w:hAnsiTheme="majorBidi" w:cstheme="majorBidi"/>
          <w:b/>
          <w:bCs/>
          <w:sz w:val="24"/>
          <w:szCs w:val="24"/>
        </w:rPr>
      </w:pPr>
      <w:r>
        <w:rPr>
          <w:rFonts w:asciiTheme="majorBidi" w:hAnsiTheme="majorBidi" w:cstheme="majorBidi"/>
          <w:b/>
          <w:bCs/>
          <w:sz w:val="24"/>
          <w:szCs w:val="24"/>
        </w:rPr>
        <w:t>Chapter 7</w:t>
      </w:r>
    </w:p>
    <w:p w14:paraId="4D597176" w14:textId="2204A96B" w:rsidR="00ED492B" w:rsidRPr="00253E59" w:rsidRDefault="00ED492B" w:rsidP="00ED492B">
      <w:pPr>
        <w:widowControl w:val="0"/>
        <w:jc w:val="center"/>
        <w:rPr>
          <w:rFonts w:asciiTheme="majorBidi" w:hAnsiTheme="majorBidi" w:cstheme="majorBidi"/>
          <w:b/>
          <w:bCs/>
          <w:sz w:val="24"/>
          <w:szCs w:val="24"/>
        </w:rPr>
      </w:pPr>
      <w:r w:rsidRPr="00253E59">
        <w:rPr>
          <w:rFonts w:asciiTheme="majorBidi" w:hAnsiTheme="majorBidi" w:cstheme="majorBidi"/>
          <w:b/>
          <w:bCs/>
          <w:sz w:val="24"/>
          <w:szCs w:val="24"/>
        </w:rPr>
        <w:t xml:space="preserve">Results – Study </w:t>
      </w:r>
      <w:r>
        <w:rPr>
          <w:rFonts w:asciiTheme="majorBidi" w:hAnsiTheme="majorBidi" w:cstheme="majorBidi"/>
          <w:b/>
          <w:bCs/>
          <w:sz w:val="24"/>
          <w:szCs w:val="24"/>
        </w:rPr>
        <w:t>Two</w:t>
      </w:r>
    </w:p>
    <w:p w14:paraId="7B629434" w14:textId="6FFC9CAB" w:rsidR="00ED492B" w:rsidRPr="00B62CE5" w:rsidRDefault="00ED492B" w:rsidP="00ED492B">
      <w:pPr>
        <w:widowControl w:val="0"/>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Pr="00B62CE5">
        <w:rPr>
          <w:rFonts w:asciiTheme="majorBidi" w:hAnsiTheme="majorBidi" w:cstheme="majorBidi"/>
          <w:b/>
          <w:bCs/>
          <w:color w:val="2E2E2E"/>
          <w:sz w:val="24"/>
          <w:szCs w:val="24"/>
        </w:rPr>
        <w:t>.</w:t>
      </w:r>
      <w:r w:rsidR="008900D7">
        <w:rPr>
          <w:rFonts w:asciiTheme="majorBidi" w:hAnsiTheme="majorBidi" w:cstheme="majorBidi"/>
          <w:b/>
          <w:bCs/>
          <w:color w:val="2E2E2E"/>
          <w:sz w:val="24"/>
          <w:szCs w:val="24"/>
        </w:rPr>
        <w:t>0</w:t>
      </w:r>
      <w:r w:rsidRPr="00B62CE5">
        <w:rPr>
          <w:rFonts w:asciiTheme="majorBidi" w:hAnsiTheme="majorBidi" w:cstheme="majorBidi"/>
          <w:b/>
          <w:bCs/>
          <w:color w:val="2E2E2E"/>
          <w:sz w:val="24"/>
          <w:szCs w:val="24"/>
        </w:rPr>
        <w:t xml:space="preserve"> Introduction </w:t>
      </w:r>
      <w:r w:rsidRPr="00B62CE5">
        <w:rPr>
          <w:rFonts w:asciiTheme="majorBidi" w:hAnsiTheme="majorBidi" w:cstheme="majorBidi"/>
          <w:b/>
          <w:bCs/>
          <w:color w:val="2E2E2E"/>
          <w:sz w:val="24"/>
          <w:szCs w:val="24"/>
        </w:rPr>
        <w:tab/>
      </w:r>
    </w:p>
    <w:p w14:paraId="0FDC9504" w14:textId="08EF89DD" w:rsidR="00ED492B" w:rsidRPr="00B62CE5" w:rsidRDefault="00ED492B" w:rsidP="00ED492B">
      <w:pPr>
        <w:widowControl w:val="0"/>
        <w:spacing w:line="480" w:lineRule="auto"/>
        <w:rPr>
          <w:rFonts w:asciiTheme="majorBidi" w:hAnsiTheme="majorBidi" w:cstheme="majorBidi"/>
          <w:sz w:val="24"/>
          <w:szCs w:val="24"/>
        </w:rPr>
      </w:pPr>
      <w:r w:rsidRPr="00B62CE5">
        <w:rPr>
          <w:rFonts w:asciiTheme="majorBidi" w:hAnsiTheme="majorBidi" w:cstheme="majorBidi"/>
          <w:color w:val="2E2E2E"/>
          <w:sz w:val="24"/>
          <w:szCs w:val="24"/>
        </w:rPr>
        <w:tab/>
      </w:r>
      <w:r w:rsidR="00924334">
        <w:rPr>
          <w:rFonts w:asciiTheme="majorBidi" w:hAnsiTheme="majorBidi" w:cstheme="majorBidi"/>
          <w:color w:val="2E2E2E"/>
          <w:sz w:val="24"/>
          <w:szCs w:val="24"/>
        </w:rPr>
        <w:t xml:space="preserve">To fully answer the study’s research questions and </w:t>
      </w:r>
      <w:r w:rsidR="00951A35">
        <w:rPr>
          <w:rFonts w:asciiTheme="majorBidi" w:hAnsiTheme="majorBidi" w:cstheme="majorBidi"/>
          <w:color w:val="2E2E2E"/>
          <w:sz w:val="24"/>
          <w:szCs w:val="24"/>
        </w:rPr>
        <w:t>fulfil</w:t>
      </w:r>
      <w:r w:rsidR="00924334">
        <w:rPr>
          <w:rFonts w:asciiTheme="majorBidi" w:hAnsiTheme="majorBidi" w:cstheme="majorBidi"/>
          <w:color w:val="2E2E2E"/>
          <w:sz w:val="24"/>
          <w:szCs w:val="24"/>
        </w:rPr>
        <w:t xml:space="preserve"> part of the objectives, this thesis </w:t>
      </w:r>
      <w:r w:rsidR="00951A35">
        <w:rPr>
          <w:rFonts w:asciiTheme="majorBidi" w:hAnsiTheme="majorBidi" w:cstheme="majorBidi"/>
          <w:color w:val="2E2E2E"/>
          <w:sz w:val="24"/>
          <w:szCs w:val="24"/>
        </w:rPr>
        <w:t>conducted a qualitative study to gain a wholesome understanding on consumers</w:t>
      </w:r>
      <w:r w:rsidR="00C1566F">
        <w:rPr>
          <w:rFonts w:asciiTheme="majorBidi" w:hAnsiTheme="majorBidi" w:cstheme="majorBidi"/>
          <w:color w:val="2E2E2E"/>
          <w:sz w:val="24"/>
          <w:szCs w:val="24"/>
        </w:rPr>
        <w:t>’</w:t>
      </w:r>
      <w:r w:rsidR="00951A35">
        <w:rPr>
          <w:rFonts w:asciiTheme="majorBidi" w:hAnsiTheme="majorBidi" w:cstheme="majorBidi"/>
          <w:color w:val="2E2E2E"/>
          <w:sz w:val="24"/>
          <w:szCs w:val="24"/>
        </w:rPr>
        <w:t xml:space="preserve"> perceptions and intentions towards an FMCG’s brand’s CSR communications. </w:t>
      </w:r>
      <w:r w:rsidRPr="00B62CE5">
        <w:rPr>
          <w:rFonts w:asciiTheme="majorBidi" w:hAnsiTheme="majorBidi" w:cstheme="majorBidi"/>
          <w:color w:val="2E2E2E"/>
          <w:sz w:val="24"/>
          <w:szCs w:val="24"/>
        </w:rPr>
        <w:t>Primarily, the main goal of qualitative research is to gain deeper insights from a group of people who encountered a certain phenomenon and recognize the unique value of the respondents’ viewpoints within a specific context</w:t>
      </w:r>
      <w:sdt>
        <w:sdtPr>
          <w:rPr>
            <w:rFonts w:asciiTheme="majorBidi" w:hAnsiTheme="majorBidi" w:cstheme="majorBidi"/>
            <w:color w:val="2E2E2E"/>
            <w:sz w:val="24"/>
            <w:szCs w:val="24"/>
          </w:rPr>
          <w:id w:val="-1073888568"/>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Cas18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(Castleberry &amp; Nolen, 2018)</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xml:space="preserve">. Hence, </w:t>
      </w:r>
      <w:bookmarkStart w:id="190" w:name="_Hlk149846330"/>
      <w:r w:rsidRPr="00B62CE5">
        <w:rPr>
          <w:rFonts w:asciiTheme="majorBidi" w:hAnsiTheme="majorBidi" w:cstheme="majorBidi"/>
          <w:color w:val="2E2E2E"/>
          <w:sz w:val="24"/>
          <w:szCs w:val="24"/>
        </w:rPr>
        <w:t>to gain more meaningful insights from consumers’ perspectives</w:t>
      </w:r>
      <w:r>
        <w:rPr>
          <w:rFonts w:asciiTheme="majorBidi" w:hAnsiTheme="majorBidi" w:cstheme="majorBidi"/>
          <w:color w:val="2E2E2E"/>
          <w:sz w:val="24"/>
          <w:szCs w:val="24"/>
        </w:rPr>
        <w:t xml:space="preserve"> on CSR communication</w:t>
      </w:r>
      <w:r w:rsidR="00951A35">
        <w:rPr>
          <w:rFonts w:asciiTheme="majorBidi" w:hAnsiTheme="majorBidi" w:cstheme="majorBidi"/>
          <w:color w:val="2E2E2E"/>
          <w:sz w:val="24"/>
          <w:szCs w:val="24"/>
        </w:rPr>
        <w:t xml:space="preserve"> in Egypt</w:t>
      </w:r>
      <w:r w:rsidRPr="00B62CE5">
        <w:rPr>
          <w:rFonts w:asciiTheme="majorBidi" w:hAnsiTheme="majorBidi" w:cstheme="majorBidi"/>
          <w:color w:val="2E2E2E"/>
          <w:sz w:val="24"/>
          <w:szCs w:val="24"/>
        </w:rPr>
        <w:t>, this research carried out another study to obtain qualitative data.</w:t>
      </w:r>
      <w:r>
        <w:rPr>
          <w:rFonts w:asciiTheme="majorBidi" w:hAnsiTheme="majorBidi" w:cstheme="majorBidi"/>
          <w:color w:val="2E2E2E"/>
          <w:sz w:val="24"/>
          <w:szCs w:val="24"/>
        </w:rPr>
        <w:t xml:space="preserve"> The main objective of study two is to gain further understanding on reasons why some</w:t>
      </w:r>
      <w:r w:rsidRPr="00FD1819">
        <w:rPr>
          <w:rFonts w:asciiTheme="majorBidi" w:hAnsiTheme="majorBidi" w:cstheme="majorBidi"/>
          <w:color w:val="2E2E2E"/>
          <w:sz w:val="24"/>
          <w:szCs w:val="24"/>
        </w:rPr>
        <w:t xml:space="preserve"> interview</w:t>
      </w:r>
      <w:r w:rsidR="00FD1819">
        <w:rPr>
          <w:rFonts w:asciiTheme="majorBidi" w:hAnsiTheme="majorBidi" w:cstheme="majorBidi"/>
          <w:color w:val="2E2E2E"/>
          <w:sz w:val="24"/>
          <w:szCs w:val="24"/>
        </w:rPr>
        <w:t>s</w:t>
      </w:r>
      <w:r>
        <w:rPr>
          <w:rFonts w:asciiTheme="majorBidi" w:hAnsiTheme="majorBidi" w:cstheme="majorBidi"/>
          <w:color w:val="2E2E2E"/>
          <w:sz w:val="24"/>
          <w:szCs w:val="24"/>
        </w:rPr>
        <w:t xml:space="preserve"> participants provided certain answers in the survey experiments. </w:t>
      </w:r>
      <w:bookmarkEnd w:id="190"/>
      <w:r>
        <w:rPr>
          <w:rFonts w:asciiTheme="majorBidi" w:hAnsiTheme="majorBidi" w:cstheme="majorBidi"/>
          <w:color w:val="2E2E2E"/>
          <w:sz w:val="24"/>
          <w:szCs w:val="24"/>
        </w:rPr>
        <w:t>Moreover, study two was conducted to allow the same respondents to compare between CSR and non-CSR</w:t>
      </w:r>
      <w:r w:rsidRPr="00B62CE5">
        <w:rPr>
          <w:rFonts w:asciiTheme="majorBidi" w:hAnsiTheme="majorBidi" w:cstheme="majorBidi"/>
          <w:color w:val="2E2E2E"/>
          <w:sz w:val="24"/>
          <w:szCs w:val="24"/>
        </w:rPr>
        <w:t xml:space="preserve"> </w:t>
      </w:r>
      <w:r>
        <w:rPr>
          <w:rFonts w:asciiTheme="majorBidi" w:hAnsiTheme="majorBidi" w:cstheme="majorBidi"/>
          <w:color w:val="2E2E2E"/>
          <w:sz w:val="24"/>
          <w:szCs w:val="24"/>
        </w:rPr>
        <w:t xml:space="preserve">communications based on their personal perspectives. </w:t>
      </w:r>
      <w:r w:rsidRPr="00B62CE5">
        <w:rPr>
          <w:rFonts w:asciiTheme="majorBidi" w:hAnsiTheme="majorBidi" w:cstheme="majorBidi"/>
          <w:color w:val="2E2E2E"/>
          <w:sz w:val="24"/>
          <w:szCs w:val="24"/>
        </w:rPr>
        <w:t xml:space="preserve">This chapter describes the research procedures applied for study </w:t>
      </w:r>
      <w:r>
        <w:rPr>
          <w:rFonts w:asciiTheme="majorBidi" w:hAnsiTheme="majorBidi" w:cstheme="majorBidi"/>
          <w:color w:val="2E2E2E"/>
          <w:sz w:val="24"/>
          <w:szCs w:val="24"/>
        </w:rPr>
        <w:t>two</w:t>
      </w:r>
      <w:r w:rsidRPr="00B62CE5">
        <w:rPr>
          <w:rFonts w:asciiTheme="majorBidi" w:hAnsiTheme="majorBidi" w:cstheme="majorBidi"/>
          <w:color w:val="2E2E2E"/>
          <w:sz w:val="24"/>
          <w:szCs w:val="24"/>
        </w:rPr>
        <w:t>. Firstly, I describe the different methods of qualitative data analysis and the ones applied in this study. Secondly, I examine different strategies of coding and approaches for determining the levels of data saturation and the ones used in this study. Thirdly, the chapter</w:t>
      </w:r>
      <w:r w:rsidRPr="00FD1819">
        <w:rPr>
          <w:rFonts w:asciiTheme="majorBidi" w:hAnsiTheme="majorBidi" w:cstheme="majorBidi"/>
          <w:color w:val="2E2E2E"/>
          <w:sz w:val="24"/>
          <w:szCs w:val="24"/>
        </w:rPr>
        <w:t xml:space="preserve"> </w:t>
      </w:r>
      <w:r w:rsidR="00FD1819" w:rsidRPr="00FD1819">
        <w:rPr>
          <w:rFonts w:asciiTheme="majorBidi" w:hAnsiTheme="majorBidi" w:cstheme="majorBidi"/>
          <w:color w:val="2E2E2E"/>
          <w:sz w:val="24"/>
          <w:szCs w:val="24"/>
        </w:rPr>
        <w:t xml:space="preserve">presents </w:t>
      </w:r>
      <w:r w:rsidRPr="00B62CE5">
        <w:rPr>
          <w:rFonts w:asciiTheme="majorBidi" w:hAnsiTheme="majorBidi" w:cstheme="majorBidi"/>
          <w:color w:val="2E2E2E"/>
          <w:sz w:val="24"/>
          <w:szCs w:val="24"/>
        </w:rPr>
        <w:t xml:space="preserve">the details of the findings that emerged from the interviews based on the emerged themes and the study’s research questions. </w:t>
      </w:r>
    </w:p>
    <w:p w14:paraId="1C4D7354" w14:textId="02F10EA9" w:rsidR="00ED492B" w:rsidRPr="00B62CE5" w:rsidRDefault="00ED492B" w:rsidP="00ED492B">
      <w:pPr>
        <w:widowControl w:val="0"/>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Pr="00B62CE5">
        <w:rPr>
          <w:rFonts w:asciiTheme="majorBidi" w:hAnsiTheme="majorBidi" w:cstheme="majorBidi"/>
          <w:b/>
          <w:bCs/>
          <w:color w:val="2E2E2E"/>
          <w:sz w:val="24"/>
          <w:szCs w:val="24"/>
        </w:rPr>
        <w:t>.</w:t>
      </w:r>
      <w:r w:rsidR="008900D7">
        <w:rPr>
          <w:rFonts w:asciiTheme="majorBidi" w:hAnsiTheme="majorBidi" w:cstheme="majorBidi"/>
          <w:b/>
          <w:bCs/>
          <w:color w:val="2E2E2E"/>
          <w:sz w:val="24"/>
          <w:szCs w:val="24"/>
        </w:rPr>
        <w:t>1</w:t>
      </w:r>
      <w:r w:rsidRPr="00B62CE5">
        <w:rPr>
          <w:rFonts w:asciiTheme="majorBidi" w:hAnsiTheme="majorBidi" w:cstheme="majorBidi"/>
          <w:b/>
          <w:bCs/>
          <w:color w:val="2E2E2E"/>
          <w:sz w:val="24"/>
          <w:szCs w:val="24"/>
        </w:rPr>
        <w:t xml:space="preserve"> Strategies of Qualitative Data Analysis </w:t>
      </w:r>
    </w:p>
    <w:p w14:paraId="624E0BD2" w14:textId="77777777" w:rsidR="00ED492B" w:rsidRPr="00FD1819" w:rsidRDefault="00ED492B" w:rsidP="00ED492B">
      <w:pPr>
        <w:widowControl w:val="0"/>
        <w:spacing w:after="0" w:line="480" w:lineRule="auto"/>
        <w:rPr>
          <w:rFonts w:asciiTheme="majorBidi" w:hAnsiTheme="majorBidi" w:cstheme="majorBidi"/>
          <w:sz w:val="24"/>
          <w:szCs w:val="24"/>
        </w:rPr>
      </w:pPr>
      <w:r w:rsidRPr="00B62CE5">
        <w:rPr>
          <w:rFonts w:asciiTheme="majorBidi" w:hAnsiTheme="majorBidi" w:cstheme="majorBidi"/>
          <w:sz w:val="24"/>
          <w:szCs w:val="24"/>
        </w:rPr>
        <w:tab/>
        <w:t>While there are at least 50 different types of qualitative data analysis</w:t>
      </w:r>
      <w:sdt>
        <w:sdtPr>
          <w:rPr>
            <w:rFonts w:asciiTheme="majorBidi" w:hAnsiTheme="majorBidi" w:cstheme="majorBidi"/>
            <w:sz w:val="24"/>
            <w:szCs w:val="24"/>
          </w:rPr>
          <w:id w:val="-1186358834"/>
          <w:citation/>
        </w:sdtPr>
        <w:sdtContent>
          <w:r w:rsidRPr="00B62CE5">
            <w:rPr>
              <w:rFonts w:asciiTheme="majorBidi" w:hAnsiTheme="majorBidi" w:cstheme="majorBidi"/>
              <w:sz w:val="24"/>
              <w:szCs w:val="24"/>
            </w:rPr>
            <w:fldChar w:fldCharType="begin"/>
          </w:r>
          <w:r w:rsidRPr="00B62CE5">
            <w:rPr>
              <w:rFonts w:asciiTheme="majorBidi" w:hAnsiTheme="majorBidi" w:cstheme="majorBidi"/>
              <w:sz w:val="24"/>
              <w:szCs w:val="24"/>
            </w:rPr>
            <w:instrText xml:space="preserve"> CITATION Wol94 \l 2057 </w:instrText>
          </w:r>
          <w:r w:rsidRPr="00B62CE5">
            <w:rPr>
              <w:rFonts w:asciiTheme="majorBidi" w:hAnsiTheme="majorBidi" w:cstheme="majorBidi"/>
              <w:sz w:val="24"/>
              <w:szCs w:val="24"/>
            </w:rPr>
            <w:fldChar w:fldCharType="separate"/>
          </w:r>
          <w:r w:rsidRPr="00B62CE5">
            <w:rPr>
              <w:rFonts w:asciiTheme="majorBidi" w:hAnsiTheme="majorBidi" w:cstheme="majorBidi"/>
              <w:noProof/>
              <w:sz w:val="24"/>
              <w:szCs w:val="24"/>
            </w:rPr>
            <w:t xml:space="preserve"> (Wolcott, 1994)</w:t>
          </w:r>
          <w:r w:rsidRPr="00B62CE5">
            <w:rPr>
              <w:rFonts w:asciiTheme="majorBidi" w:hAnsiTheme="majorBidi" w:cstheme="majorBidi"/>
              <w:sz w:val="24"/>
              <w:szCs w:val="24"/>
            </w:rPr>
            <w:fldChar w:fldCharType="end"/>
          </w:r>
        </w:sdtContent>
      </w:sdt>
      <w:r w:rsidRPr="00B62CE5">
        <w:rPr>
          <w:rFonts w:asciiTheme="majorBidi" w:hAnsiTheme="majorBidi" w:cstheme="majorBidi"/>
          <w:sz w:val="24"/>
          <w:szCs w:val="24"/>
        </w:rPr>
        <w:t>, there are five most used methods of qualitative data analysis</w:t>
      </w:r>
      <w:sdt>
        <w:sdtPr>
          <w:rPr>
            <w:rFonts w:asciiTheme="majorBidi" w:hAnsiTheme="majorBidi" w:cstheme="majorBidi"/>
            <w:sz w:val="24"/>
            <w:szCs w:val="24"/>
          </w:rPr>
          <w:id w:val="2119568505"/>
          <w:citation/>
        </w:sdtPr>
        <w:sdtContent>
          <w:r w:rsidRPr="00B62CE5">
            <w:rPr>
              <w:rFonts w:asciiTheme="majorBidi" w:hAnsiTheme="majorBidi" w:cstheme="majorBidi"/>
              <w:sz w:val="24"/>
              <w:szCs w:val="24"/>
            </w:rPr>
            <w:fldChar w:fldCharType="begin"/>
          </w:r>
          <w:r w:rsidRPr="00B62CE5">
            <w:rPr>
              <w:rFonts w:asciiTheme="majorBidi" w:hAnsiTheme="majorBidi" w:cstheme="majorBidi"/>
              <w:sz w:val="24"/>
              <w:szCs w:val="24"/>
            </w:rPr>
            <w:instrText xml:space="preserve"> CITATION War20 \l 2057 </w:instrText>
          </w:r>
          <w:r w:rsidRPr="00B62CE5">
            <w:rPr>
              <w:rFonts w:asciiTheme="majorBidi" w:hAnsiTheme="majorBidi" w:cstheme="majorBidi"/>
              <w:sz w:val="24"/>
              <w:szCs w:val="24"/>
            </w:rPr>
            <w:fldChar w:fldCharType="separate"/>
          </w:r>
          <w:r w:rsidRPr="00B62CE5">
            <w:rPr>
              <w:rFonts w:asciiTheme="majorBidi" w:hAnsiTheme="majorBidi" w:cstheme="majorBidi"/>
              <w:noProof/>
              <w:sz w:val="24"/>
              <w:szCs w:val="24"/>
            </w:rPr>
            <w:t xml:space="preserve"> (Warren, 2020)</w:t>
          </w:r>
          <w:r w:rsidRPr="00B62CE5">
            <w:rPr>
              <w:rFonts w:asciiTheme="majorBidi" w:hAnsiTheme="majorBidi" w:cstheme="majorBidi"/>
              <w:sz w:val="24"/>
              <w:szCs w:val="24"/>
            </w:rPr>
            <w:fldChar w:fldCharType="end"/>
          </w:r>
        </w:sdtContent>
      </w:sdt>
      <w:r w:rsidRPr="00B62CE5">
        <w:rPr>
          <w:rFonts w:asciiTheme="majorBidi" w:hAnsiTheme="majorBidi" w:cstheme="majorBidi"/>
          <w:sz w:val="24"/>
          <w:szCs w:val="24"/>
        </w:rPr>
        <w:t xml:space="preserve">. Firstly, </w:t>
      </w:r>
      <w:r w:rsidRPr="00FD1819">
        <w:rPr>
          <w:rFonts w:asciiTheme="majorBidi" w:hAnsiTheme="majorBidi" w:cstheme="majorBidi"/>
          <w:sz w:val="24"/>
          <w:szCs w:val="24"/>
          <w:shd w:val="clear" w:color="auto" w:fill="FFFFFF"/>
        </w:rPr>
        <w:t>content analysis can be the most popular and straightforward approach for qualitative data analysis. It is used to identify common patterns (such as common words or phrases) and the frequency of their occurrences within a piece of content or multiple pieces of content</w:t>
      </w:r>
      <w:sdt>
        <w:sdtPr>
          <w:rPr>
            <w:rFonts w:asciiTheme="majorBidi" w:hAnsiTheme="majorBidi" w:cstheme="majorBidi"/>
            <w:sz w:val="24"/>
            <w:szCs w:val="24"/>
            <w:shd w:val="clear" w:color="auto" w:fill="FFFFFF"/>
          </w:rPr>
          <w:id w:val="-1224370280"/>
          <w:citation/>
        </w:sdtPr>
        <w:sdtContent>
          <w:r w:rsidRPr="00FD1819">
            <w:rPr>
              <w:rFonts w:asciiTheme="majorBidi" w:hAnsiTheme="majorBidi" w:cstheme="majorBidi"/>
              <w:sz w:val="24"/>
              <w:szCs w:val="24"/>
              <w:shd w:val="clear" w:color="auto" w:fill="FFFFFF"/>
            </w:rPr>
            <w:fldChar w:fldCharType="begin"/>
          </w:r>
          <w:r w:rsidRPr="00FD1819">
            <w:rPr>
              <w:rFonts w:asciiTheme="majorBidi" w:hAnsiTheme="majorBidi" w:cstheme="majorBidi"/>
              <w:sz w:val="24"/>
              <w:szCs w:val="24"/>
              <w:shd w:val="clear" w:color="auto" w:fill="FFFFFF"/>
            </w:rPr>
            <w:instrText xml:space="preserve"> CITATION Kri04 \l 2057 </w:instrText>
          </w:r>
          <w:r w:rsidRPr="00FD1819">
            <w:rPr>
              <w:rFonts w:asciiTheme="majorBidi" w:hAnsiTheme="majorBidi" w:cstheme="majorBidi"/>
              <w:sz w:val="24"/>
              <w:szCs w:val="24"/>
              <w:shd w:val="clear" w:color="auto" w:fill="FFFFFF"/>
            </w:rPr>
            <w:fldChar w:fldCharType="separate"/>
          </w:r>
          <w:r w:rsidRPr="00FD1819">
            <w:rPr>
              <w:rFonts w:asciiTheme="majorBidi" w:hAnsiTheme="majorBidi" w:cstheme="majorBidi"/>
              <w:noProof/>
              <w:sz w:val="24"/>
              <w:szCs w:val="24"/>
              <w:shd w:val="clear" w:color="auto" w:fill="FFFFFF"/>
            </w:rPr>
            <w:t xml:space="preserve"> (Krippendorff, 2004)</w:t>
          </w:r>
          <w:r w:rsidRPr="00FD1819">
            <w:rPr>
              <w:rFonts w:asciiTheme="majorBidi" w:hAnsiTheme="majorBidi" w:cstheme="majorBidi"/>
              <w:sz w:val="24"/>
              <w:szCs w:val="24"/>
              <w:shd w:val="clear" w:color="auto" w:fill="FFFFFF"/>
            </w:rPr>
            <w:fldChar w:fldCharType="end"/>
          </w:r>
        </w:sdtContent>
      </w:sdt>
      <w:r w:rsidRPr="00FD1819">
        <w:rPr>
          <w:rFonts w:asciiTheme="majorBidi" w:hAnsiTheme="majorBidi" w:cstheme="majorBidi"/>
          <w:sz w:val="24"/>
          <w:szCs w:val="24"/>
          <w:shd w:val="clear" w:color="auto" w:fill="FFFFFF"/>
        </w:rPr>
        <w:t>. The main issues with content analysis are that it requires a plenty of time reading a lot of material and it might make the researcher disregard some important information that were not frequently mentioned in attempt to only look for common words and phrases</w:t>
      </w:r>
      <w:sdt>
        <w:sdtPr>
          <w:rPr>
            <w:rFonts w:asciiTheme="majorBidi" w:hAnsiTheme="majorBidi" w:cstheme="majorBidi"/>
            <w:sz w:val="24"/>
            <w:szCs w:val="24"/>
            <w:shd w:val="clear" w:color="auto" w:fill="FFFFFF"/>
          </w:rPr>
          <w:id w:val="1474336103"/>
          <w:citation/>
        </w:sdtPr>
        <w:sdtContent>
          <w:r w:rsidRPr="00FD1819">
            <w:rPr>
              <w:rFonts w:asciiTheme="majorBidi" w:hAnsiTheme="majorBidi" w:cstheme="majorBidi"/>
              <w:sz w:val="24"/>
              <w:szCs w:val="24"/>
              <w:shd w:val="clear" w:color="auto" w:fill="FFFFFF"/>
            </w:rPr>
            <w:fldChar w:fldCharType="begin"/>
          </w:r>
          <w:r w:rsidRPr="00FD1819">
            <w:rPr>
              <w:rFonts w:asciiTheme="majorBidi" w:hAnsiTheme="majorBidi" w:cstheme="majorBidi"/>
              <w:sz w:val="24"/>
              <w:szCs w:val="24"/>
              <w:shd w:val="clear" w:color="auto" w:fill="FFFFFF"/>
            </w:rPr>
            <w:instrText xml:space="preserve"> CITATION Luo22 \l 2057 </w:instrText>
          </w:r>
          <w:r w:rsidRPr="00FD1819">
            <w:rPr>
              <w:rFonts w:asciiTheme="majorBidi" w:hAnsiTheme="majorBidi" w:cstheme="majorBidi"/>
              <w:sz w:val="24"/>
              <w:szCs w:val="24"/>
              <w:shd w:val="clear" w:color="auto" w:fill="FFFFFF"/>
            </w:rPr>
            <w:fldChar w:fldCharType="separate"/>
          </w:r>
          <w:r w:rsidRPr="00FD1819">
            <w:rPr>
              <w:rFonts w:asciiTheme="majorBidi" w:hAnsiTheme="majorBidi" w:cstheme="majorBidi"/>
              <w:noProof/>
              <w:sz w:val="24"/>
              <w:szCs w:val="24"/>
              <w:shd w:val="clear" w:color="auto" w:fill="FFFFFF"/>
            </w:rPr>
            <w:t xml:space="preserve"> (Luo, 2022)</w:t>
          </w:r>
          <w:r w:rsidRPr="00FD1819">
            <w:rPr>
              <w:rFonts w:asciiTheme="majorBidi" w:hAnsiTheme="majorBidi" w:cstheme="majorBidi"/>
              <w:sz w:val="24"/>
              <w:szCs w:val="24"/>
              <w:shd w:val="clear" w:color="auto" w:fill="FFFFFF"/>
            </w:rPr>
            <w:fldChar w:fldCharType="end"/>
          </w:r>
        </w:sdtContent>
      </w:sdt>
      <w:r w:rsidRPr="00FD1819">
        <w:rPr>
          <w:rFonts w:asciiTheme="majorBidi" w:hAnsiTheme="majorBidi" w:cstheme="majorBidi"/>
          <w:sz w:val="24"/>
          <w:szCs w:val="24"/>
          <w:shd w:val="clear" w:color="auto" w:fill="FFFFFF"/>
        </w:rPr>
        <w:t>. Secondly, there is narrative analysis which is about listening to the respondents’ stories for</w:t>
      </w:r>
      <w:r w:rsidRPr="00B62CE5">
        <w:rPr>
          <w:rFonts w:asciiTheme="majorBidi" w:hAnsiTheme="majorBidi" w:cstheme="majorBidi"/>
          <w:sz w:val="24"/>
          <w:szCs w:val="24"/>
          <w:shd w:val="clear" w:color="auto" w:fill="FFFFFF"/>
        </w:rPr>
        <w:t xml:space="preserve"> the purpose of gaining insights of how people perceive reality</w:t>
      </w:r>
      <w:sdt>
        <w:sdtPr>
          <w:rPr>
            <w:rFonts w:asciiTheme="majorBidi" w:hAnsiTheme="majorBidi" w:cstheme="majorBidi"/>
            <w:sz w:val="24"/>
            <w:szCs w:val="24"/>
            <w:shd w:val="clear" w:color="auto" w:fill="FFFFFF"/>
          </w:rPr>
          <w:id w:val="-2138482401"/>
          <w:citation/>
        </w:sdtPr>
        <w:sdtContent>
          <w:r w:rsidRPr="00B62CE5">
            <w:rPr>
              <w:rFonts w:asciiTheme="majorBidi" w:hAnsiTheme="majorBidi" w:cstheme="majorBidi"/>
              <w:sz w:val="24"/>
              <w:szCs w:val="24"/>
              <w:shd w:val="clear" w:color="auto" w:fill="FFFFFF"/>
            </w:rPr>
            <w:fldChar w:fldCharType="begin"/>
          </w:r>
          <w:r w:rsidRPr="00B62CE5">
            <w:rPr>
              <w:rFonts w:asciiTheme="majorBidi" w:hAnsiTheme="majorBidi" w:cstheme="majorBidi"/>
              <w:sz w:val="24"/>
              <w:szCs w:val="24"/>
              <w:shd w:val="clear" w:color="auto" w:fill="FFFFFF"/>
            </w:rPr>
            <w:instrText xml:space="preserve"> CITATION NgS18 \l 2057 </w:instrText>
          </w:r>
          <w:r w:rsidRPr="00B62CE5">
            <w:rPr>
              <w:rFonts w:asciiTheme="majorBidi" w:hAnsiTheme="majorBidi" w:cstheme="majorBidi"/>
              <w:sz w:val="24"/>
              <w:szCs w:val="24"/>
              <w:shd w:val="clear" w:color="auto" w:fill="FFFFFF"/>
            </w:rPr>
            <w:fldChar w:fldCharType="separate"/>
          </w:r>
          <w:r w:rsidRPr="00B62CE5">
            <w:rPr>
              <w:rFonts w:asciiTheme="majorBidi" w:hAnsiTheme="majorBidi" w:cstheme="majorBidi"/>
              <w:noProof/>
              <w:sz w:val="24"/>
              <w:szCs w:val="24"/>
              <w:shd w:val="clear" w:color="auto" w:fill="FFFFFF"/>
            </w:rPr>
            <w:t xml:space="preserve"> (Ng, Baker, Cristancho, Kennedy, &amp; Lingard, 2018)</w:t>
          </w:r>
          <w:r w:rsidRPr="00B62CE5">
            <w:rPr>
              <w:rFonts w:asciiTheme="majorBidi" w:hAnsiTheme="majorBidi" w:cstheme="majorBidi"/>
              <w:sz w:val="24"/>
              <w:szCs w:val="24"/>
              <w:shd w:val="clear" w:color="auto" w:fill="FFFFFF"/>
            </w:rPr>
            <w:fldChar w:fldCharType="end"/>
          </w:r>
        </w:sdtContent>
      </w:sdt>
      <w:r w:rsidRPr="00B62CE5">
        <w:rPr>
          <w:rFonts w:asciiTheme="majorBidi" w:hAnsiTheme="majorBidi" w:cstheme="majorBidi"/>
          <w:sz w:val="24"/>
          <w:szCs w:val="24"/>
          <w:shd w:val="clear" w:color="auto" w:fill="FFFFFF"/>
        </w:rPr>
        <w:t xml:space="preserve">. Nevertheless, </w:t>
      </w:r>
      <w:r>
        <w:rPr>
          <w:rFonts w:asciiTheme="majorBidi" w:hAnsiTheme="majorBidi" w:cstheme="majorBidi"/>
          <w:sz w:val="24"/>
          <w:szCs w:val="24"/>
          <w:shd w:val="clear" w:color="auto" w:fill="FFFFFF"/>
        </w:rPr>
        <w:t>one of the</w:t>
      </w:r>
      <w:r w:rsidRPr="00B62CE5">
        <w:rPr>
          <w:rFonts w:asciiTheme="majorBidi" w:hAnsiTheme="majorBidi" w:cstheme="majorBidi"/>
          <w:sz w:val="24"/>
          <w:szCs w:val="24"/>
          <w:shd w:val="clear" w:color="auto" w:fill="FFFFFF"/>
        </w:rPr>
        <w:t xml:space="preserve"> drawbacks of the narrative analysis method </w:t>
      </w:r>
      <w:r>
        <w:rPr>
          <w:rFonts w:asciiTheme="majorBidi" w:hAnsiTheme="majorBidi" w:cstheme="majorBidi"/>
          <w:sz w:val="24"/>
          <w:szCs w:val="24"/>
          <w:shd w:val="clear" w:color="auto" w:fill="FFFFFF"/>
        </w:rPr>
        <w:t>is</w:t>
      </w:r>
      <w:r w:rsidRPr="00B62CE5">
        <w:rPr>
          <w:rFonts w:asciiTheme="majorBidi" w:hAnsiTheme="majorBidi" w:cstheme="majorBidi"/>
          <w:sz w:val="24"/>
          <w:szCs w:val="24"/>
          <w:shd w:val="clear" w:color="auto" w:fill="FFFFFF"/>
        </w:rPr>
        <w:t xml:space="preserve"> that it requires the researchers to conduct a background analysis on the respondents to see if their background and stories are relevant to the study</w:t>
      </w:r>
      <w:sdt>
        <w:sdtPr>
          <w:rPr>
            <w:rFonts w:asciiTheme="majorBidi" w:hAnsiTheme="majorBidi" w:cstheme="majorBidi"/>
            <w:sz w:val="24"/>
            <w:szCs w:val="24"/>
            <w:shd w:val="clear" w:color="auto" w:fill="FFFFFF"/>
          </w:rPr>
          <w:id w:val="-596869110"/>
          <w:citation/>
        </w:sdtPr>
        <w:sdtContent>
          <w:r w:rsidRPr="00B62CE5">
            <w:rPr>
              <w:rFonts w:asciiTheme="majorBidi" w:hAnsiTheme="majorBidi" w:cstheme="majorBidi"/>
              <w:sz w:val="24"/>
              <w:szCs w:val="24"/>
              <w:shd w:val="clear" w:color="auto" w:fill="FFFFFF"/>
            </w:rPr>
            <w:fldChar w:fldCharType="begin"/>
          </w:r>
          <w:r w:rsidRPr="00B62CE5">
            <w:rPr>
              <w:rFonts w:asciiTheme="majorBidi" w:hAnsiTheme="majorBidi" w:cstheme="majorBidi"/>
              <w:sz w:val="24"/>
              <w:szCs w:val="24"/>
              <w:shd w:val="clear" w:color="auto" w:fill="FFFFFF"/>
            </w:rPr>
            <w:instrText xml:space="preserve"> CITATION NgS18 \l 2057 </w:instrText>
          </w:r>
          <w:r w:rsidRPr="00B62CE5">
            <w:rPr>
              <w:rFonts w:asciiTheme="majorBidi" w:hAnsiTheme="majorBidi" w:cstheme="majorBidi"/>
              <w:sz w:val="24"/>
              <w:szCs w:val="24"/>
              <w:shd w:val="clear" w:color="auto" w:fill="FFFFFF"/>
            </w:rPr>
            <w:fldChar w:fldCharType="separate"/>
          </w:r>
          <w:r w:rsidRPr="00B62CE5">
            <w:rPr>
              <w:rFonts w:asciiTheme="majorBidi" w:hAnsiTheme="majorBidi" w:cstheme="majorBidi"/>
              <w:noProof/>
              <w:sz w:val="24"/>
              <w:szCs w:val="24"/>
              <w:shd w:val="clear" w:color="auto" w:fill="FFFFFF"/>
            </w:rPr>
            <w:t xml:space="preserve"> (Ng, Baker, Cristancho, Kennedy, &amp; Lingard, 2018)</w:t>
          </w:r>
          <w:r w:rsidRPr="00B62CE5">
            <w:rPr>
              <w:rFonts w:asciiTheme="majorBidi" w:hAnsiTheme="majorBidi" w:cstheme="majorBidi"/>
              <w:sz w:val="24"/>
              <w:szCs w:val="24"/>
              <w:shd w:val="clear" w:color="auto" w:fill="FFFFFF"/>
            </w:rPr>
            <w:fldChar w:fldCharType="end"/>
          </w:r>
        </w:sdtContent>
      </w:sdt>
      <w:r w:rsidRPr="00B62CE5">
        <w:rPr>
          <w:rFonts w:asciiTheme="majorBidi" w:hAnsiTheme="majorBidi" w:cstheme="majorBidi"/>
          <w:sz w:val="24"/>
          <w:szCs w:val="24"/>
          <w:shd w:val="clear" w:color="auto" w:fill="FFFFFF"/>
        </w:rPr>
        <w:t>. Additionally, researcher bias may have a significant impact on the outcomes in this case</w:t>
      </w:r>
      <w:sdt>
        <w:sdtPr>
          <w:rPr>
            <w:rFonts w:asciiTheme="majorBidi" w:hAnsiTheme="majorBidi" w:cstheme="majorBidi"/>
            <w:sz w:val="24"/>
            <w:szCs w:val="24"/>
            <w:shd w:val="clear" w:color="auto" w:fill="FFFFFF"/>
          </w:rPr>
          <w:id w:val="-2047974642"/>
          <w:citation/>
        </w:sdtPr>
        <w:sdtContent>
          <w:r w:rsidRPr="00B62CE5">
            <w:rPr>
              <w:rFonts w:asciiTheme="majorBidi" w:hAnsiTheme="majorBidi" w:cstheme="majorBidi"/>
              <w:sz w:val="24"/>
              <w:szCs w:val="24"/>
              <w:shd w:val="clear" w:color="auto" w:fill="FFFFFF"/>
            </w:rPr>
            <w:fldChar w:fldCharType="begin"/>
          </w:r>
          <w:r w:rsidRPr="00B62CE5">
            <w:rPr>
              <w:rFonts w:asciiTheme="majorBidi" w:hAnsiTheme="majorBidi" w:cstheme="majorBidi"/>
              <w:sz w:val="24"/>
              <w:szCs w:val="24"/>
              <w:shd w:val="clear" w:color="auto" w:fill="FFFFFF"/>
            </w:rPr>
            <w:instrText xml:space="preserve"> CITATION War20 \l 2057 </w:instrText>
          </w:r>
          <w:r w:rsidRPr="00B62CE5">
            <w:rPr>
              <w:rFonts w:asciiTheme="majorBidi" w:hAnsiTheme="majorBidi" w:cstheme="majorBidi"/>
              <w:sz w:val="24"/>
              <w:szCs w:val="24"/>
              <w:shd w:val="clear" w:color="auto" w:fill="FFFFFF"/>
            </w:rPr>
            <w:fldChar w:fldCharType="separate"/>
          </w:r>
          <w:r w:rsidRPr="00B62CE5">
            <w:rPr>
              <w:rFonts w:asciiTheme="majorBidi" w:hAnsiTheme="majorBidi" w:cstheme="majorBidi"/>
              <w:noProof/>
              <w:sz w:val="24"/>
              <w:szCs w:val="24"/>
              <w:shd w:val="clear" w:color="auto" w:fill="FFFFFF"/>
            </w:rPr>
            <w:t xml:space="preserve"> (Warren, 2020)</w:t>
          </w:r>
          <w:r w:rsidRPr="00B62CE5">
            <w:rPr>
              <w:rFonts w:asciiTheme="majorBidi" w:hAnsiTheme="majorBidi" w:cstheme="majorBidi"/>
              <w:sz w:val="24"/>
              <w:szCs w:val="24"/>
              <w:shd w:val="clear" w:color="auto" w:fill="FFFFFF"/>
            </w:rPr>
            <w:fldChar w:fldCharType="end"/>
          </w:r>
        </w:sdtContent>
      </w:sdt>
      <w:r w:rsidRPr="00B62CE5">
        <w:rPr>
          <w:rFonts w:asciiTheme="majorBidi" w:hAnsiTheme="majorBidi" w:cstheme="majorBidi"/>
          <w:sz w:val="24"/>
          <w:szCs w:val="24"/>
          <w:shd w:val="clear" w:color="auto" w:fill="FFFFFF"/>
        </w:rPr>
        <w:t xml:space="preserve">. Thirdly, </w:t>
      </w:r>
      <w:r w:rsidRPr="00FD1819">
        <w:rPr>
          <w:rFonts w:asciiTheme="majorBidi" w:hAnsiTheme="majorBidi" w:cstheme="majorBidi"/>
          <w:sz w:val="24"/>
          <w:szCs w:val="24"/>
          <w:shd w:val="clear" w:color="auto" w:fill="FFFFFF"/>
        </w:rPr>
        <w:t>discourse analysis is focused on analysing the language within a conversation or a speech to identify how this language reflect on the culture or society. Discourse analysis can also be time consuming as it requires the researcher to reach data saturation</w:t>
      </w:r>
      <w:sdt>
        <w:sdtPr>
          <w:rPr>
            <w:rFonts w:asciiTheme="majorBidi" w:hAnsiTheme="majorBidi" w:cstheme="majorBidi"/>
            <w:sz w:val="24"/>
            <w:szCs w:val="24"/>
            <w:shd w:val="clear" w:color="auto" w:fill="FFFFFF"/>
          </w:rPr>
          <w:id w:val="1454064611"/>
          <w:citation/>
        </w:sdtPr>
        <w:sdtContent>
          <w:r w:rsidRPr="00FD1819">
            <w:rPr>
              <w:rFonts w:asciiTheme="majorBidi" w:hAnsiTheme="majorBidi" w:cstheme="majorBidi"/>
              <w:sz w:val="24"/>
              <w:szCs w:val="24"/>
              <w:shd w:val="clear" w:color="auto" w:fill="FFFFFF"/>
            </w:rPr>
            <w:fldChar w:fldCharType="begin"/>
          </w:r>
          <w:r w:rsidRPr="00FD1819">
            <w:rPr>
              <w:rFonts w:asciiTheme="majorBidi" w:hAnsiTheme="majorBidi" w:cstheme="majorBidi"/>
              <w:sz w:val="24"/>
              <w:szCs w:val="24"/>
              <w:shd w:val="clear" w:color="auto" w:fill="FFFFFF"/>
            </w:rPr>
            <w:instrText xml:space="preserve"> CITATION War20 \l 2057 </w:instrText>
          </w:r>
          <w:r w:rsidRPr="00FD1819">
            <w:rPr>
              <w:rFonts w:asciiTheme="majorBidi" w:hAnsiTheme="majorBidi" w:cstheme="majorBidi"/>
              <w:sz w:val="24"/>
              <w:szCs w:val="24"/>
              <w:shd w:val="clear" w:color="auto" w:fill="FFFFFF"/>
            </w:rPr>
            <w:fldChar w:fldCharType="separate"/>
          </w:r>
          <w:r w:rsidRPr="00FD1819">
            <w:rPr>
              <w:rFonts w:asciiTheme="majorBidi" w:hAnsiTheme="majorBidi" w:cstheme="majorBidi"/>
              <w:noProof/>
              <w:sz w:val="24"/>
              <w:szCs w:val="24"/>
              <w:shd w:val="clear" w:color="auto" w:fill="FFFFFF"/>
            </w:rPr>
            <w:t xml:space="preserve"> (Warren, 2020)</w:t>
          </w:r>
          <w:r w:rsidRPr="00FD1819">
            <w:rPr>
              <w:rFonts w:asciiTheme="majorBidi" w:hAnsiTheme="majorBidi" w:cstheme="majorBidi"/>
              <w:sz w:val="24"/>
              <w:szCs w:val="24"/>
              <w:shd w:val="clear" w:color="auto" w:fill="FFFFFF"/>
            </w:rPr>
            <w:fldChar w:fldCharType="end"/>
          </w:r>
        </w:sdtContent>
      </w:sdt>
      <w:r w:rsidRPr="00FD1819">
        <w:rPr>
          <w:rFonts w:asciiTheme="majorBidi" w:hAnsiTheme="majorBidi" w:cstheme="majorBidi"/>
          <w:sz w:val="24"/>
          <w:szCs w:val="24"/>
          <w:shd w:val="clear" w:color="auto" w:fill="FFFFFF"/>
        </w:rPr>
        <w:t xml:space="preserve">. The fourth commonly used method is grounded theory. Grounded theory is a systematic approach that combines a set of techniques that enables researchers to develop concepts and theories from the qualitative data </w:t>
      </w:r>
      <w:sdt>
        <w:sdtPr>
          <w:rPr>
            <w:rFonts w:asciiTheme="majorBidi" w:hAnsiTheme="majorBidi" w:cstheme="majorBidi"/>
            <w:sz w:val="24"/>
            <w:szCs w:val="24"/>
            <w:shd w:val="clear" w:color="auto" w:fill="FFFFFF"/>
          </w:rPr>
          <w:id w:val="1412884308"/>
          <w:citation/>
        </w:sdtPr>
        <w:sdtContent>
          <w:r w:rsidRPr="00FD1819">
            <w:rPr>
              <w:rFonts w:asciiTheme="majorBidi" w:hAnsiTheme="majorBidi" w:cstheme="majorBidi"/>
              <w:sz w:val="24"/>
              <w:szCs w:val="24"/>
              <w:shd w:val="clear" w:color="auto" w:fill="FFFFFF"/>
            </w:rPr>
            <w:fldChar w:fldCharType="begin"/>
          </w:r>
          <w:r w:rsidRPr="00FD1819">
            <w:rPr>
              <w:rFonts w:asciiTheme="majorBidi" w:hAnsiTheme="majorBidi" w:cstheme="majorBidi"/>
              <w:sz w:val="24"/>
              <w:szCs w:val="24"/>
              <w:shd w:val="clear" w:color="auto" w:fill="FFFFFF"/>
            </w:rPr>
            <w:instrText xml:space="preserve"> CITATION Cor14 \l 2057 </w:instrText>
          </w:r>
          <w:r w:rsidRPr="00FD1819">
            <w:rPr>
              <w:rFonts w:asciiTheme="majorBidi" w:hAnsiTheme="majorBidi" w:cstheme="majorBidi"/>
              <w:sz w:val="24"/>
              <w:szCs w:val="24"/>
              <w:shd w:val="clear" w:color="auto" w:fill="FFFFFF"/>
            </w:rPr>
            <w:fldChar w:fldCharType="separate"/>
          </w:r>
          <w:r w:rsidRPr="00FD1819">
            <w:rPr>
              <w:rFonts w:asciiTheme="majorBidi" w:hAnsiTheme="majorBidi" w:cstheme="majorBidi"/>
              <w:noProof/>
              <w:sz w:val="24"/>
              <w:szCs w:val="24"/>
              <w:shd w:val="clear" w:color="auto" w:fill="FFFFFF"/>
            </w:rPr>
            <w:t>(Corbin &amp; Strauss, 2014)</w:t>
          </w:r>
          <w:r w:rsidRPr="00FD1819">
            <w:rPr>
              <w:rFonts w:asciiTheme="majorBidi" w:hAnsiTheme="majorBidi" w:cstheme="majorBidi"/>
              <w:sz w:val="24"/>
              <w:szCs w:val="24"/>
              <w:shd w:val="clear" w:color="auto" w:fill="FFFFFF"/>
            </w:rPr>
            <w:fldChar w:fldCharType="end"/>
          </w:r>
        </w:sdtContent>
      </w:sdt>
      <w:r w:rsidRPr="00FD1819">
        <w:rPr>
          <w:rFonts w:asciiTheme="majorBidi" w:hAnsiTheme="majorBidi" w:cstheme="majorBidi"/>
          <w:sz w:val="24"/>
          <w:szCs w:val="24"/>
          <w:shd w:val="clear" w:color="auto" w:fill="FFFFFF"/>
        </w:rPr>
        <w:t xml:space="preserve">. Grounded theory is mainly applied to novel topics that researchers know little about and can aid in explaining events that can’t be </w:t>
      </w:r>
      <w:r w:rsidRPr="00FD1819">
        <w:rPr>
          <w:rFonts w:asciiTheme="majorBidi" w:hAnsiTheme="majorBidi" w:cstheme="majorBidi"/>
          <w:sz w:val="24"/>
          <w:szCs w:val="24"/>
        </w:rPr>
        <w:t>explained with existing theories</w:t>
      </w:r>
      <w:sdt>
        <w:sdtPr>
          <w:rPr>
            <w:rFonts w:asciiTheme="majorBidi" w:hAnsiTheme="majorBidi" w:cstheme="majorBidi"/>
            <w:sz w:val="24"/>
            <w:szCs w:val="24"/>
          </w:rPr>
          <w:id w:val="-1044511655"/>
          <w:citation/>
        </w:sdtPr>
        <w:sdtContent>
          <w:r w:rsidRPr="00FD1819">
            <w:rPr>
              <w:rFonts w:asciiTheme="majorBidi" w:hAnsiTheme="majorBidi" w:cstheme="majorBidi"/>
              <w:sz w:val="24"/>
              <w:szCs w:val="24"/>
            </w:rPr>
            <w:fldChar w:fldCharType="begin"/>
          </w:r>
          <w:r w:rsidRPr="00FD1819">
            <w:rPr>
              <w:rFonts w:asciiTheme="majorBidi" w:hAnsiTheme="majorBidi" w:cstheme="majorBidi"/>
              <w:sz w:val="24"/>
              <w:szCs w:val="24"/>
            </w:rPr>
            <w:instrText xml:space="preserve"> CITATION Fol15 \l 2057 </w:instrText>
          </w:r>
          <w:r w:rsidRPr="00FD1819">
            <w:rPr>
              <w:rFonts w:asciiTheme="majorBidi" w:hAnsiTheme="majorBidi" w:cstheme="majorBidi"/>
              <w:sz w:val="24"/>
              <w:szCs w:val="24"/>
            </w:rPr>
            <w:fldChar w:fldCharType="separate"/>
          </w:r>
          <w:r w:rsidRPr="00FD1819">
            <w:rPr>
              <w:rFonts w:asciiTheme="majorBidi" w:hAnsiTheme="majorBidi" w:cstheme="majorBidi"/>
              <w:noProof/>
              <w:sz w:val="24"/>
              <w:szCs w:val="24"/>
            </w:rPr>
            <w:t xml:space="preserve"> (Foley &amp; Timonen, 2015)</w:t>
          </w:r>
          <w:r w:rsidRPr="00FD1819">
            <w:rPr>
              <w:rFonts w:asciiTheme="majorBidi" w:hAnsiTheme="majorBidi" w:cstheme="majorBidi"/>
              <w:sz w:val="24"/>
              <w:szCs w:val="24"/>
            </w:rPr>
            <w:fldChar w:fldCharType="end"/>
          </w:r>
        </w:sdtContent>
      </w:sdt>
      <w:r w:rsidRPr="00FD1819">
        <w:rPr>
          <w:rFonts w:asciiTheme="majorBidi" w:hAnsiTheme="majorBidi" w:cstheme="majorBidi"/>
          <w:sz w:val="24"/>
          <w:szCs w:val="24"/>
        </w:rPr>
        <w:t>. The main drawback of grounded theory is that it requires objectivity and critical thinking to develop theories which may not properly answer the research questions from the qualitative data</w:t>
      </w:r>
      <w:sdt>
        <w:sdtPr>
          <w:rPr>
            <w:rFonts w:asciiTheme="majorBidi" w:hAnsiTheme="majorBidi" w:cstheme="majorBidi"/>
            <w:sz w:val="24"/>
            <w:szCs w:val="24"/>
          </w:rPr>
          <w:id w:val="-157775182"/>
          <w:citation/>
        </w:sdtPr>
        <w:sdtContent>
          <w:r w:rsidRPr="00FD1819">
            <w:rPr>
              <w:rFonts w:asciiTheme="majorBidi" w:hAnsiTheme="majorBidi" w:cstheme="majorBidi"/>
              <w:sz w:val="24"/>
              <w:szCs w:val="24"/>
            </w:rPr>
            <w:fldChar w:fldCharType="begin"/>
          </w:r>
          <w:r w:rsidRPr="00FD1819">
            <w:rPr>
              <w:rFonts w:asciiTheme="majorBidi" w:hAnsiTheme="majorBidi" w:cstheme="majorBidi"/>
              <w:sz w:val="24"/>
              <w:szCs w:val="24"/>
            </w:rPr>
            <w:instrText xml:space="preserve"> CITATION Tim \l 2057 </w:instrText>
          </w:r>
          <w:r w:rsidRPr="00FD1819">
            <w:rPr>
              <w:rFonts w:asciiTheme="majorBidi" w:hAnsiTheme="majorBidi" w:cstheme="majorBidi"/>
              <w:sz w:val="24"/>
              <w:szCs w:val="24"/>
            </w:rPr>
            <w:fldChar w:fldCharType="separate"/>
          </w:r>
          <w:r w:rsidRPr="00FD1819">
            <w:rPr>
              <w:rFonts w:asciiTheme="majorBidi" w:hAnsiTheme="majorBidi" w:cstheme="majorBidi"/>
              <w:noProof/>
              <w:sz w:val="24"/>
              <w:szCs w:val="24"/>
            </w:rPr>
            <w:t xml:space="preserve"> (Timonen, Foley, &amp; Conlon, 2018)</w:t>
          </w:r>
          <w:r w:rsidRPr="00FD1819">
            <w:rPr>
              <w:rFonts w:asciiTheme="majorBidi" w:hAnsiTheme="majorBidi" w:cstheme="majorBidi"/>
              <w:sz w:val="24"/>
              <w:szCs w:val="24"/>
            </w:rPr>
            <w:fldChar w:fldCharType="end"/>
          </w:r>
        </w:sdtContent>
      </w:sdt>
      <w:r w:rsidRPr="00FD1819">
        <w:rPr>
          <w:rFonts w:asciiTheme="majorBidi" w:hAnsiTheme="majorBidi" w:cstheme="majorBidi"/>
          <w:sz w:val="24"/>
          <w:szCs w:val="24"/>
        </w:rPr>
        <w:t xml:space="preserve">. </w:t>
      </w:r>
    </w:p>
    <w:p w14:paraId="1232DFDA" w14:textId="58DAAB4F" w:rsidR="00ED492B" w:rsidRPr="00B62CE5" w:rsidRDefault="00ED492B" w:rsidP="006A797D">
      <w:pPr>
        <w:widowControl w:val="0"/>
        <w:spacing w:after="0" w:line="480" w:lineRule="auto"/>
        <w:rPr>
          <w:rFonts w:asciiTheme="majorBidi" w:hAnsiTheme="majorBidi" w:cstheme="majorBidi"/>
          <w:sz w:val="24"/>
          <w:szCs w:val="24"/>
          <w:shd w:val="clear" w:color="auto" w:fill="FFFFFF"/>
        </w:rPr>
      </w:pPr>
      <w:r w:rsidRPr="00FD1819">
        <w:rPr>
          <w:rFonts w:asciiTheme="majorBidi" w:hAnsiTheme="majorBidi" w:cstheme="majorBidi"/>
          <w:sz w:val="24"/>
          <w:szCs w:val="24"/>
          <w:shd w:val="clear" w:color="auto" w:fill="FFFFFF"/>
        </w:rPr>
        <w:tab/>
        <w:t xml:space="preserve"> Lastly, thematic analysis requires the researcher to examine the data and group the answers or findings into similar patterns or “themes”</w:t>
      </w:r>
      <w:r w:rsidRPr="00B62CE5">
        <w:rPr>
          <w:rFonts w:asciiTheme="majorBidi" w:hAnsiTheme="majorBidi" w:cstheme="majorBidi"/>
          <w:sz w:val="24"/>
          <w:szCs w:val="24"/>
          <w:shd w:val="clear" w:color="auto" w:fill="FFFFFF"/>
        </w:rPr>
        <w:t xml:space="preserve"> that convey similar meanings or ideas</w:t>
      </w:r>
      <w:sdt>
        <w:sdtPr>
          <w:rPr>
            <w:rFonts w:asciiTheme="majorBidi" w:hAnsiTheme="majorBidi" w:cstheme="majorBidi"/>
            <w:sz w:val="24"/>
            <w:szCs w:val="24"/>
            <w:shd w:val="clear" w:color="auto" w:fill="FFFFFF"/>
          </w:rPr>
          <w:id w:val="312451373"/>
          <w:citation/>
        </w:sdtPr>
        <w:sdtContent>
          <w:r w:rsidRPr="00B62CE5">
            <w:rPr>
              <w:rFonts w:asciiTheme="majorBidi" w:hAnsiTheme="majorBidi" w:cstheme="majorBidi"/>
              <w:sz w:val="24"/>
              <w:szCs w:val="24"/>
              <w:shd w:val="clear" w:color="auto" w:fill="FFFFFF"/>
            </w:rPr>
            <w:fldChar w:fldCharType="begin"/>
          </w:r>
          <w:r w:rsidRPr="00B62CE5">
            <w:rPr>
              <w:rFonts w:asciiTheme="majorBidi" w:hAnsiTheme="majorBidi" w:cstheme="majorBidi"/>
              <w:sz w:val="24"/>
              <w:szCs w:val="24"/>
              <w:shd w:val="clear" w:color="auto" w:fill="FFFFFF"/>
            </w:rPr>
            <w:instrText xml:space="preserve"> CITATION Cas18 \l 2057 </w:instrText>
          </w:r>
          <w:r w:rsidRPr="00B62CE5">
            <w:rPr>
              <w:rFonts w:asciiTheme="majorBidi" w:hAnsiTheme="majorBidi" w:cstheme="majorBidi"/>
              <w:sz w:val="24"/>
              <w:szCs w:val="24"/>
              <w:shd w:val="clear" w:color="auto" w:fill="FFFFFF"/>
            </w:rPr>
            <w:fldChar w:fldCharType="separate"/>
          </w:r>
          <w:r w:rsidRPr="00B62CE5">
            <w:rPr>
              <w:rFonts w:asciiTheme="majorBidi" w:hAnsiTheme="majorBidi" w:cstheme="majorBidi"/>
              <w:noProof/>
              <w:sz w:val="24"/>
              <w:szCs w:val="24"/>
              <w:shd w:val="clear" w:color="auto" w:fill="FFFFFF"/>
            </w:rPr>
            <w:t xml:space="preserve"> (Castleberry &amp; Nolen, 2018)</w:t>
          </w:r>
          <w:r w:rsidRPr="00B62CE5">
            <w:rPr>
              <w:rFonts w:asciiTheme="majorBidi" w:hAnsiTheme="majorBidi" w:cstheme="majorBidi"/>
              <w:sz w:val="24"/>
              <w:szCs w:val="24"/>
              <w:shd w:val="clear" w:color="auto" w:fill="FFFFFF"/>
            </w:rPr>
            <w:fldChar w:fldCharType="end"/>
          </w:r>
        </w:sdtContent>
      </w:sdt>
      <w:r w:rsidRPr="00B62CE5">
        <w:rPr>
          <w:rFonts w:asciiTheme="majorBidi" w:hAnsiTheme="majorBidi" w:cstheme="majorBidi"/>
          <w:sz w:val="24"/>
          <w:szCs w:val="24"/>
          <w:shd w:val="clear" w:color="auto" w:fill="FFFFFF"/>
        </w:rPr>
        <w:t>. This method is used frequently because this approach of data analysis can be applied to a wide range of research issues</w:t>
      </w:r>
      <w:sdt>
        <w:sdtPr>
          <w:rPr>
            <w:rFonts w:asciiTheme="majorBidi" w:hAnsiTheme="majorBidi" w:cstheme="majorBidi"/>
            <w:sz w:val="24"/>
            <w:szCs w:val="24"/>
            <w:shd w:val="clear" w:color="auto" w:fill="FFFFFF"/>
          </w:rPr>
          <w:id w:val="1143624961"/>
          <w:citation/>
        </w:sdtPr>
        <w:sdtContent>
          <w:r w:rsidRPr="00B62CE5">
            <w:rPr>
              <w:rFonts w:asciiTheme="majorBidi" w:hAnsiTheme="majorBidi" w:cstheme="majorBidi"/>
              <w:sz w:val="24"/>
              <w:szCs w:val="24"/>
              <w:shd w:val="clear" w:color="auto" w:fill="FFFFFF"/>
            </w:rPr>
            <w:fldChar w:fldCharType="begin"/>
          </w:r>
          <w:r w:rsidRPr="00B62CE5">
            <w:rPr>
              <w:rFonts w:asciiTheme="majorBidi" w:hAnsiTheme="majorBidi" w:cstheme="majorBidi"/>
              <w:sz w:val="24"/>
              <w:szCs w:val="24"/>
              <w:shd w:val="clear" w:color="auto" w:fill="FFFFFF"/>
            </w:rPr>
            <w:instrText xml:space="preserve"> CITATION Vai131 \l 2057  \m Tuc05</w:instrText>
          </w:r>
          <w:r w:rsidRPr="00B62CE5">
            <w:rPr>
              <w:rFonts w:asciiTheme="majorBidi" w:hAnsiTheme="majorBidi" w:cstheme="majorBidi"/>
              <w:sz w:val="24"/>
              <w:szCs w:val="24"/>
              <w:shd w:val="clear" w:color="auto" w:fill="FFFFFF"/>
            </w:rPr>
            <w:fldChar w:fldCharType="separate"/>
          </w:r>
          <w:r w:rsidRPr="00B62CE5">
            <w:rPr>
              <w:rFonts w:asciiTheme="majorBidi" w:hAnsiTheme="majorBidi" w:cstheme="majorBidi"/>
              <w:noProof/>
              <w:sz w:val="24"/>
              <w:szCs w:val="24"/>
              <w:shd w:val="clear" w:color="auto" w:fill="FFFFFF"/>
            </w:rPr>
            <w:t xml:space="preserve"> (Vaismoradi, Turunen, &amp; Bondas, 2013; Tuckett, 2005)</w:t>
          </w:r>
          <w:r w:rsidRPr="00B62CE5">
            <w:rPr>
              <w:rFonts w:asciiTheme="majorBidi" w:hAnsiTheme="majorBidi" w:cstheme="majorBidi"/>
              <w:sz w:val="24"/>
              <w:szCs w:val="24"/>
              <w:shd w:val="clear" w:color="auto" w:fill="FFFFFF"/>
            </w:rPr>
            <w:fldChar w:fldCharType="end"/>
          </w:r>
        </w:sdtContent>
      </w:sdt>
      <w:r w:rsidRPr="00B62CE5">
        <w:rPr>
          <w:rFonts w:asciiTheme="majorBidi" w:hAnsiTheme="majorBidi" w:cstheme="majorBidi"/>
          <w:sz w:val="24"/>
          <w:szCs w:val="24"/>
          <w:shd w:val="clear" w:color="auto" w:fill="FFFFFF"/>
        </w:rPr>
        <w:t>. One of the issues of thematic analysis is that the analysis allows for subjectivity and does</w:t>
      </w:r>
      <w:r w:rsidR="00C1566F">
        <w:rPr>
          <w:rFonts w:asciiTheme="majorBidi" w:hAnsiTheme="majorBidi" w:cstheme="majorBidi"/>
          <w:sz w:val="24"/>
          <w:szCs w:val="24"/>
          <w:shd w:val="clear" w:color="auto" w:fill="FFFFFF"/>
        </w:rPr>
        <w:t xml:space="preserve"> </w:t>
      </w:r>
      <w:r w:rsidRPr="00B62CE5">
        <w:rPr>
          <w:rFonts w:asciiTheme="majorBidi" w:hAnsiTheme="majorBidi" w:cstheme="majorBidi"/>
          <w:sz w:val="24"/>
          <w:szCs w:val="24"/>
          <w:shd w:val="clear" w:color="auto" w:fill="FFFFFF"/>
        </w:rPr>
        <w:t>n</w:t>
      </w:r>
      <w:r w:rsidR="00C1566F">
        <w:rPr>
          <w:rFonts w:asciiTheme="majorBidi" w:hAnsiTheme="majorBidi" w:cstheme="majorBidi"/>
          <w:sz w:val="24"/>
          <w:szCs w:val="24"/>
          <w:shd w:val="clear" w:color="auto" w:fill="FFFFFF"/>
        </w:rPr>
        <w:t>o</w:t>
      </w:r>
      <w:r w:rsidRPr="00B62CE5">
        <w:rPr>
          <w:rFonts w:asciiTheme="majorBidi" w:hAnsiTheme="majorBidi" w:cstheme="majorBidi"/>
          <w:sz w:val="24"/>
          <w:szCs w:val="24"/>
          <w:shd w:val="clear" w:color="auto" w:fill="FFFFFF"/>
        </w:rPr>
        <w:t>t necessarily consider the meaning of the data being analysed</w:t>
      </w:r>
      <w:sdt>
        <w:sdtPr>
          <w:rPr>
            <w:rFonts w:asciiTheme="majorBidi" w:hAnsiTheme="majorBidi" w:cstheme="majorBidi"/>
            <w:sz w:val="24"/>
            <w:szCs w:val="24"/>
            <w:shd w:val="clear" w:color="auto" w:fill="FFFFFF"/>
          </w:rPr>
          <w:id w:val="-1726279959"/>
          <w:citation/>
        </w:sdtPr>
        <w:sdtContent>
          <w:r w:rsidRPr="00B62CE5">
            <w:rPr>
              <w:rFonts w:asciiTheme="majorBidi" w:hAnsiTheme="majorBidi" w:cstheme="majorBidi"/>
              <w:sz w:val="24"/>
              <w:szCs w:val="24"/>
              <w:shd w:val="clear" w:color="auto" w:fill="FFFFFF"/>
            </w:rPr>
            <w:fldChar w:fldCharType="begin"/>
          </w:r>
          <w:r w:rsidRPr="00B62CE5">
            <w:rPr>
              <w:rFonts w:asciiTheme="majorBidi" w:hAnsiTheme="majorBidi" w:cstheme="majorBidi"/>
              <w:sz w:val="24"/>
              <w:szCs w:val="24"/>
              <w:shd w:val="clear" w:color="auto" w:fill="FFFFFF"/>
            </w:rPr>
            <w:instrText xml:space="preserve"> CITATION War20 \l 2057 </w:instrText>
          </w:r>
          <w:r w:rsidRPr="00B62CE5">
            <w:rPr>
              <w:rFonts w:asciiTheme="majorBidi" w:hAnsiTheme="majorBidi" w:cstheme="majorBidi"/>
              <w:sz w:val="24"/>
              <w:szCs w:val="24"/>
              <w:shd w:val="clear" w:color="auto" w:fill="FFFFFF"/>
            </w:rPr>
            <w:fldChar w:fldCharType="separate"/>
          </w:r>
          <w:r w:rsidRPr="00B62CE5">
            <w:rPr>
              <w:rFonts w:asciiTheme="majorBidi" w:hAnsiTheme="majorBidi" w:cstheme="majorBidi"/>
              <w:noProof/>
              <w:sz w:val="24"/>
              <w:szCs w:val="24"/>
              <w:shd w:val="clear" w:color="auto" w:fill="FFFFFF"/>
            </w:rPr>
            <w:t xml:space="preserve"> (Warren, 2020)</w:t>
          </w:r>
          <w:r w:rsidRPr="00B62CE5">
            <w:rPr>
              <w:rFonts w:asciiTheme="majorBidi" w:hAnsiTheme="majorBidi" w:cstheme="majorBidi"/>
              <w:sz w:val="24"/>
              <w:szCs w:val="24"/>
              <w:shd w:val="clear" w:color="auto" w:fill="FFFFFF"/>
            </w:rPr>
            <w:fldChar w:fldCharType="end"/>
          </w:r>
        </w:sdtContent>
      </w:sdt>
      <w:r w:rsidRPr="00B62CE5">
        <w:rPr>
          <w:rFonts w:asciiTheme="majorBidi" w:hAnsiTheme="majorBidi" w:cstheme="majorBidi"/>
          <w:sz w:val="24"/>
          <w:szCs w:val="24"/>
          <w:shd w:val="clear" w:color="auto" w:fill="FFFFFF"/>
        </w:rPr>
        <w:t xml:space="preserve">. </w:t>
      </w:r>
      <w:r w:rsidR="00C1566F" w:rsidRPr="00B62CE5">
        <w:rPr>
          <w:rFonts w:asciiTheme="majorBidi" w:hAnsiTheme="majorBidi" w:cstheme="majorBidi"/>
          <w:sz w:val="24"/>
          <w:szCs w:val="24"/>
          <w:shd w:val="clear" w:color="auto" w:fill="FFFFFF"/>
        </w:rPr>
        <w:t xml:space="preserve">Table </w:t>
      </w:r>
      <w:r w:rsidR="00C1566F">
        <w:rPr>
          <w:rFonts w:asciiTheme="majorBidi" w:hAnsiTheme="majorBidi" w:cstheme="majorBidi"/>
          <w:sz w:val="24"/>
          <w:szCs w:val="24"/>
          <w:shd w:val="clear" w:color="auto" w:fill="FFFFFF"/>
        </w:rPr>
        <w:t>49</w:t>
      </w:r>
      <w:r w:rsidR="00C1566F" w:rsidRPr="00B62CE5">
        <w:rPr>
          <w:rFonts w:asciiTheme="majorBidi" w:hAnsiTheme="majorBidi" w:cstheme="majorBidi"/>
          <w:sz w:val="24"/>
          <w:szCs w:val="24"/>
          <w:shd w:val="clear" w:color="auto" w:fill="FFFFFF"/>
        </w:rPr>
        <w:t xml:space="preserve"> summarises the different qualitative analysis methods.</w:t>
      </w:r>
    </w:p>
    <w:p w14:paraId="22239D2A" w14:textId="77777777" w:rsidR="00024510" w:rsidRDefault="00024510">
      <w:r>
        <w:br w:type="page"/>
      </w:r>
    </w:p>
    <w:p w14:paraId="777D9848" w14:textId="6D7B32DE" w:rsidR="00ED492B" w:rsidRPr="00B62CE5" w:rsidRDefault="00ED492B" w:rsidP="006A797D">
      <w:pPr>
        <w:pStyle w:val="Caption"/>
        <w:rPr>
          <w:rFonts w:asciiTheme="majorBidi" w:hAnsiTheme="majorBidi" w:cstheme="majorBidi"/>
          <w:sz w:val="24"/>
          <w:szCs w:val="24"/>
          <w:shd w:val="clear" w:color="auto" w:fill="FFFFFF"/>
        </w:rPr>
      </w:pPr>
    </w:p>
    <w:tbl>
      <w:tblPr>
        <w:tblStyle w:val="TableGrid"/>
        <w:tblpPr w:leftFromText="180" w:rightFromText="180" w:vertAnchor="page" w:horzAnchor="margin" w:tblpX="137" w:tblpY="8958"/>
        <w:tblW w:w="8217" w:type="dxa"/>
        <w:tblLook w:val="04A0" w:firstRow="1" w:lastRow="0" w:firstColumn="1" w:lastColumn="0" w:noHBand="0" w:noVBand="1"/>
      </w:tblPr>
      <w:tblGrid>
        <w:gridCol w:w="1838"/>
        <w:gridCol w:w="3119"/>
        <w:gridCol w:w="3260"/>
      </w:tblGrid>
      <w:tr w:rsidR="008C0AA6" w:rsidRPr="007D5C15" w14:paraId="2103FB36" w14:textId="77777777" w:rsidTr="00635E3C">
        <w:tc>
          <w:tcPr>
            <w:tcW w:w="1838" w:type="dxa"/>
          </w:tcPr>
          <w:p w14:paraId="229F39AE"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Data Analysis Type </w:t>
            </w:r>
          </w:p>
        </w:tc>
        <w:tc>
          <w:tcPr>
            <w:tcW w:w="3119" w:type="dxa"/>
          </w:tcPr>
          <w:p w14:paraId="51748C0F"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Definition </w:t>
            </w:r>
          </w:p>
        </w:tc>
        <w:tc>
          <w:tcPr>
            <w:tcW w:w="3260" w:type="dxa"/>
          </w:tcPr>
          <w:p w14:paraId="7F2DF459"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Drawbacks </w:t>
            </w:r>
          </w:p>
        </w:tc>
      </w:tr>
      <w:tr w:rsidR="008C0AA6" w:rsidRPr="007D5C15" w14:paraId="57A889DE" w14:textId="77777777" w:rsidTr="00635E3C">
        <w:trPr>
          <w:trHeight w:val="356"/>
        </w:trPr>
        <w:tc>
          <w:tcPr>
            <w:tcW w:w="1838" w:type="dxa"/>
          </w:tcPr>
          <w:p w14:paraId="30C90A47"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Content Analysis</w:t>
            </w:r>
          </w:p>
        </w:tc>
        <w:tc>
          <w:tcPr>
            <w:tcW w:w="3119" w:type="dxa"/>
          </w:tcPr>
          <w:p w14:paraId="2B9C2075"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shd w:val="clear" w:color="auto" w:fill="FFFFFF"/>
              </w:rPr>
              <w:t>Used to identify common patterns within a piece of content or multiple pieces of content</w:t>
            </w:r>
          </w:p>
        </w:tc>
        <w:tc>
          <w:tcPr>
            <w:tcW w:w="3260" w:type="dxa"/>
          </w:tcPr>
          <w:p w14:paraId="1F95FA1A" w14:textId="77777777" w:rsidR="008C0AA6" w:rsidRPr="007D5C15" w:rsidRDefault="008C0AA6" w:rsidP="00635E3C">
            <w:pPr>
              <w:widowControl w:val="0"/>
              <w:spacing w:line="259" w:lineRule="auto"/>
              <w:rPr>
                <w:rFonts w:asciiTheme="majorBidi" w:hAnsiTheme="majorBidi" w:cstheme="majorBidi"/>
                <w:sz w:val="20"/>
                <w:szCs w:val="20"/>
              </w:rPr>
            </w:pPr>
            <w:r w:rsidRPr="007D5C15">
              <w:rPr>
                <w:rFonts w:asciiTheme="majorBidi" w:hAnsiTheme="majorBidi" w:cstheme="majorBidi"/>
                <w:sz w:val="20"/>
                <w:szCs w:val="20"/>
                <w:shd w:val="clear" w:color="auto" w:fill="FFFFFF"/>
              </w:rPr>
              <w:t xml:space="preserve">requires a plenty of time and it might disregard important information </w:t>
            </w:r>
          </w:p>
        </w:tc>
      </w:tr>
      <w:tr w:rsidR="008C0AA6" w:rsidRPr="007D5C15" w14:paraId="18D9C082" w14:textId="77777777" w:rsidTr="00635E3C">
        <w:tc>
          <w:tcPr>
            <w:tcW w:w="1838" w:type="dxa"/>
          </w:tcPr>
          <w:p w14:paraId="77BDDBFE"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Narrative Analysis </w:t>
            </w:r>
          </w:p>
        </w:tc>
        <w:tc>
          <w:tcPr>
            <w:tcW w:w="3119" w:type="dxa"/>
          </w:tcPr>
          <w:p w14:paraId="49AD9104"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shd w:val="clear" w:color="auto" w:fill="FFFFFF"/>
              </w:rPr>
              <w:t>Involves listening to respondents’ stories to gain insights of how they perceive reality</w:t>
            </w:r>
          </w:p>
        </w:tc>
        <w:tc>
          <w:tcPr>
            <w:tcW w:w="3260" w:type="dxa"/>
          </w:tcPr>
          <w:p w14:paraId="22A1161B"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shd w:val="clear" w:color="auto" w:fill="FFFFFF"/>
              </w:rPr>
              <w:t>Requires a background analysis on the respondents and researcher bias could influence the results</w:t>
            </w:r>
          </w:p>
        </w:tc>
      </w:tr>
      <w:tr w:rsidR="008C0AA6" w:rsidRPr="007D5C15" w14:paraId="47E4632A" w14:textId="77777777" w:rsidTr="00635E3C">
        <w:tc>
          <w:tcPr>
            <w:tcW w:w="1838" w:type="dxa"/>
          </w:tcPr>
          <w:p w14:paraId="74BB05A1"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Discourse analysis</w:t>
            </w:r>
          </w:p>
        </w:tc>
        <w:tc>
          <w:tcPr>
            <w:tcW w:w="3119" w:type="dxa"/>
          </w:tcPr>
          <w:p w14:paraId="45D3D97D"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shd w:val="clear" w:color="auto" w:fill="FFFFFF"/>
              </w:rPr>
              <w:t xml:space="preserve">Focuses on analysing the language within a societal context. </w:t>
            </w:r>
          </w:p>
        </w:tc>
        <w:tc>
          <w:tcPr>
            <w:tcW w:w="3260" w:type="dxa"/>
          </w:tcPr>
          <w:p w14:paraId="6B4B6EBE"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shd w:val="clear" w:color="auto" w:fill="FFFFFF"/>
              </w:rPr>
              <w:t>Time consuming as it requires data to reach saturation</w:t>
            </w:r>
          </w:p>
        </w:tc>
      </w:tr>
      <w:tr w:rsidR="008C0AA6" w:rsidRPr="007D5C15" w14:paraId="0A44A10D" w14:textId="77777777" w:rsidTr="00635E3C">
        <w:tc>
          <w:tcPr>
            <w:tcW w:w="1838" w:type="dxa"/>
          </w:tcPr>
          <w:p w14:paraId="1FBD0AB7"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Grounded theory</w:t>
            </w:r>
          </w:p>
        </w:tc>
        <w:tc>
          <w:tcPr>
            <w:tcW w:w="3119" w:type="dxa"/>
          </w:tcPr>
          <w:p w14:paraId="3250DAC2"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shd w:val="clear" w:color="auto" w:fill="FFFFFF"/>
              </w:rPr>
              <w:t>A set of techniques that enables researchers to develop concepts and theories from the qualitative data</w:t>
            </w:r>
          </w:p>
        </w:tc>
        <w:tc>
          <w:tcPr>
            <w:tcW w:w="3260" w:type="dxa"/>
          </w:tcPr>
          <w:p w14:paraId="62E51ADE"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Requires objectivity and critical thinking to develop theories which may not properly answer the research questions </w:t>
            </w:r>
          </w:p>
        </w:tc>
      </w:tr>
      <w:tr w:rsidR="008C0AA6" w:rsidRPr="007D5C15" w14:paraId="576A7C5F" w14:textId="77777777" w:rsidTr="00635E3C">
        <w:tc>
          <w:tcPr>
            <w:tcW w:w="1838" w:type="dxa"/>
          </w:tcPr>
          <w:p w14:paraId="05E32081"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rPr>
              <w:t>Thematic analysis</w:t>
            </w:r>
          </w:p>
        </w:tc>
        <w:tc>
          <w:tcPr>
            <w:tcW w:w="3119" w:type="dxa"/>
          </w:tcPr>
          <w:p w14:paraId="7562B1DA" w14:textId="77777777" w:rsidR="008C0AA6" w:rsidRPr="007D5C15" w:rsidRDefault="008C0AA6" w:rsidP="00635E3C">
            <w:pPr>
              <w:widowControl w:val="0"/>
              <w:rPr>
                <w:rFonts w:asciiTheme="majorBidi" w:hAnsiTheme="majorBidi" w:cstheme="majorBidi"/>
                <w:sz w:val="20"/>
                <w:szCs w:val="20"/>
              </w:rPr>
            </w:pPr>
            <w:r w:rsidRPr="007D5C15">
              <w:rPr>
                <w:rFonts w:asciiTheme="majorBidi" w:hAnsiTheme="majorBidi" w:cstheme="majorBidi"/>
                <w:sz w:val="20"/>
                <w:szCs w:val="20"/>
                <w:shd w:val="clear" w:color="auto" w:fill="FFFFFF"/>
              </w:rPr>
              <w:t>Thematic analysis require the researcher to examine the data and group the findings into similar patterns or “themes”</w:t>
            </w:r>
          </w:p>
        </w:tc>
        <w:tc>
          <w:tcPr>
            <w:tcW w:w="3260" w:type="dxa"/>
          </w:tcPr>
          <w:p w14:paraId="664DF2DA" w14:textId="77777777" w:rsidR="008C0AA6" w:rsidRPr="007D5C15" w:rsidRDefault="008C0AA6" w:rsidP="00635E3C">
            <w:pPr>
              <w:keepNext/>
              <w:widowControl w:val="0"/>
              <w:rPr>
                <w:rFonts w:asciiTheme="majorBidi" w:hAnsiTheme="majorBidi" w:cstheme="majorBidi"/>
                <w:sz w:val="20"/>
                <w:szCs w:val="20"/>
              </w:rPr>
            </w:pPr>
            <w:r w:rsidRPr="007D5C15">
              <w:rPr>
                <w:rFonts w:asciiTheme="majorBidi" w:hAnsiTheme="majorBidi" w:cstheme="majorBidi"/>
                <w:sz w:val="20"/>
                <w:szCs w:val="20"/>
                <w:shd w:val="clear" w:color="auto" w:fill="FFFFFF"/>
              </w:rPr>
              <w:t>Allows subjectivity and does not necessarily consider the meanings within the data being analysed</w:t>
            </w:r>
          </w:p>
        </w:tc>
      </w:tr>
    </w:tbl>
    <w:p w14:paraId="771DAD34" w14:textId="012B1B01" w:rsidR="00F91C6A" w:rsidRPr="00A35071" w:rsidRDefault="00ED492B" w:rsidP="00A35071">
      <w:pPr>
        <w:widowControl w:val="0"/>
        <w:spacing w:line="480" w:lineRule="auto"/>
        <w:rPr>
          <w:rFonts w:asciiTheme="majorBidi" w:hAnsiTheme="majorBidi" w:cstheme="majorBidi"/>
          <w:sz w:val="24"/>
          <w:szCs w:val="24"/>
          <w:shd w:val="clear" w:color="auto" w:fill="FFFFFF"/>
        </w:rPr>
      </w:pPr>
      <w:r w:rsidRPr="00B62CE5">
        <w:rPr>
          <w:rFonts w:asciiTheme="majorBidi" w:hAnsiTheme="majorBidi" w:cstheme="majorBidi"/>
          <w:sz w:val="24"/>
          <w:szCs w:val="24"/>
          <w:shd w:val="clear" w:color="auto" w:fill="FFFFFF"/>
        </w:rPr>
        <w:tab/>
        <w:t>Thematic and content analysis can appear to be similar. However, content analysis is focused on the frequency of appearance of certain phrases and thematic</w:t>
      </w:r>
      <w:r w:rsidR="00C1566F">
        <w:rPr>
          <w:rFonts w:asciiTheme="majorBidi" w:hAnsiTheme="majorBidi" w:cstheme="majorBidi"/>
          <w:sz w:val="24"/>
          <w:szCs w:val="24"/>
          <w:shd w:val="clear" w:color="auto" w:fill="FFFFFF"/>
        </w:rPr>
        <w:t xml:space="preserve"> analysis</w:t>
      </w:r>
      <w:r w:rsidRPr="00B62CE5">
        <w:rPr>
          <w:rFonts w:asciiTheme="majorBidi" w:hAnsiTheme="majorBidi" w:cstheme="majorBidi"/>
          <w:sz w:val="24"/>
          <w:szCs w:val="24"/>
          <w:shd w:val="clear" w:color="auto" w:fill="FFFFFF"/>
        </w:rPr>
        <w:t xml:space="preserve"> is focused on identifying patterns or themes. Thus, thematic analysis warrants </w:t>
      </w:r>
      <w:r w:rsidRPr="00B62CE5">
        <w:rPr>
          <w:rFonts w:asciiTheme="majorBidi" w:hAnsiTheme="majorBidi" w:cstheme="majorBidi"/>
          <w:sz w:val="24"/>
          <w:szCs w:val="24"/>
        </w:rPr>
        <w:t>thorough and rich analysis of complex data</w:t>
      </w:r>
      <w:sdt>
        <w:sdtPr>
          <w:rPr>
            <w:rFonts w:asciiTheme="majorBidi" w:hAnsiTheme="majorBidi" w:cstheme="majorBidi"/>
            <w:sz w:val="24"/>
            <w:szCs w:val="24"/>
          </w:rPr>
          <w:id w:val="259567856"/>
          <w:citation/>
        </w:sdtPr>
        <w:sdtContent>
          <w:r w:rsidRPr="00B62CE5">
            <w:rPr>
              <w:rFonts w:asciiTheme="majorBidi" w:hAnsiTheme="majorBidi" w:cstheme="majorBidi"/>
              <w:sz w:val="24"/>
              <w:szCs w:val="24"/>
            </w:rPr>
            <w:fldChar w:fldCharType="begin"/>
          </w:r>
          <w:r w:rsidRPr="00B62CE5">
            <w:rPr>
              <w:rFonts w:asciiTheme="majorBidi" w:hAnsiTheme="majorBidi" w:cstheme="majorBidi"/>
              <w:sz w:val="24"/>
              <w:szCs w:val="24"/>
            </w:rPr>
            <w:instrText xml:space="preserve"> CITATION Bra08 \l 2057 </w:instrText>
          </w:r>
          <w:r w:rsidRPr="00B62CE5">
            <w:rPr>
              <w:rFonts w:asciiTheme="majorBidi" w:hAnsiTheme="majorBidi" w:cstheme="majorBidi"/>
              <w:sz w:val="24"/>
              <w:szCs w:val="24"/>
            </w:rPr>
            <w:fldChar w:fldCharType="separate"/>
          </w:r>
          <w:r w:rsidRPr="00B62CE5">
            <w:rPr>
              <w:rFonts w:asciiTheme="majorBidi" w:hAnsiTheme="majorBidi" w:cstheme="majorBidi"/>
              <w:noProof/>
              <w:sz w:val="24"/>
              <w:szCs w:val="24"/>
            </w:rPr>
            <w:t xml:space="preserve"> (Braun &amp; Clarke, 2008)</w:t>
          </w:r>
          <w:r w:rsidRPr="00B62CE5">
            <w:rPr>
              <w:rFonts w:asciiTheme="majorBidi" w:hAnsiTheme="majorBidi" w:cstheme="majorBidi"/>
              <w:sz w:val="24"/>
              <w:szCs w:val="24"/>
            </w:rPr>
            <w:fldChar w:fldCharType="end"/>
          </w:r>
        </w:sdtContent>
      </w:sdt>
      <w:r w:rsidRPr="00B62CE5">
        <w:rPr>
          <w:rFonts w:asciiTheme="majorBidi" w:hAnsiTheme="majorBidi" w:cstheme="majorBidi"/>
          <w:sz w:val="24"/>
          <w:szCs w:val="24"/>
        </w:rPr>
        <w:t xml:space="preserve">. This qualitative study applies </w:t>
      </w:r>
      <w:r w:rsidRPr="00CB0370">
        <w:rPr>
          <w:rFonts w:asciiTheme="majorBidi" w:hAnsiTheme="majorBidi" w:cstheme="majorBidi"/>
          <w:sz w:val="24"/>
          <w:szCs w:val="24"/>
        </w:rPr>
        <w:t>Yin’s</w:t>
      </w:r>
      <w:sdt>
        <w:sdtPr>
          <w:rPr>
            <w:rFonts w:asciiTheme="majorBidi" w:hAnsiTheme="majorBidi" w:cstheme="majorBidi"/>
            <w:sz w:val="24"/>
            <w:szCs w:val="24"/>
          </w:rPr>
          <w:id w:val="-1877382218"/>
          <w:citation/>
        </w:sdtPr>
        <w:sdtContent>
          <w:r w:rsidRPr="00CB0370">
            <w:rPr>
              <w:rFonts w:asciiTheme="majorBidi" w:hAnsiTheme="majorBidi" w:cstheme="majorBidi"/>
              <w:sz w:val="24"/>
              <w:szCs w:val="24"/>
            </w:rPr>
            <w:fldChar w:fldCharType="begin"/>
          </w:r>
          <w:r w:rsidRPr="00CB0370">
            <w:rPr>
              <w:rFonts w:asciiTheme="majorBidi" w:hAnsiTheme="majorBidi" w:cstheme="majorBidi"/>
              <w:sz w:val="24"/>
              <w:szCs w:val="24"/>
            </w:rPr>
            <w:instrText xml:space="preserve">CITATION Yin11 \n  \t  \l 2057 </w:instrText>
          </w:r>
          <w:r w:rsidRPr="00CB0370">
            <w:rPr>
              <w:rFonts w:asciiTheme="majorBidi" w:hAnsiTheme="majorBidi" w:cstheme="majorBidi"/>
              <w:sz w:val="24"/>
              <w:szCs w:val="24"/>
            </w:rPr>
            <w:fldChar w:fldCharType="separate"/>
          </w:r>
          <w:r w:rsidRPr="00CB0370">
            <w:rPr>
              <w:rFonts w:asciiTheme="majorBidi" w:hAnsiTheme="majorBidi" w:cstheme="majorBidi"/>
              <w:noProof/>
              <w:sz w:val="24"/>
              <w:szCs w:val="24"/>
            </w:rPr>
            <w:t xml:space="preserve"> (2011)</w:t>
          </w:r>
          <w:r w:rsidRPr="00CB0370">
            <w:rPr>
              <w:rFonts w:asciiTheme="majorBidi" w:hAnsiTheme="majorBidi" w:cstheme="majorBidi"/>
              <w:sz w:val="24"/>
              <w:szCs w:val="24"/>
            </w:rPr>
            <w:fldChar w:fldCharType="end"/>
          </w:r>
        </w:sdtContent>
      </w:sdt>
      <w:r w:rsidRPr="00CB0370">
        <w:rPr>
          <w:rFonts w:asciiTheme="majorBidi" w:hAnsiTheme="majorBidi" w:cstheme="majorBidi"/>
          <w:sz w:val="24"/>
          <w:szCs w:val="24"/>
        </w:rPr>
        <w:t xml:space="preserve"> five phases of qualitative data analysis w</w:t>
      </w:r>
      <w:r w:rsidRPr="00B62CE5">
        <w:rPr>
          <w:rFonts w:asciiTheme="majorBidi" w:hAnsiTheme="majorBidi" w:cstheme="majorBidi"/>
          <w:sz w:val="24"/>
          <w:szCs w:val="24"/>
        </w:rPr>
        <w:t>hich are similar to Braun and Clarke’s</w:t>
      </w:r>
      <w:sdt>
        <w:sdtPr>
          <w:rPr>
            <w:rFonts w:asciiTheme="majorBidi" w:hAnsiTheme="majorBidi" w:cstheme="majorBidi"/>
            <w:sz w:val="24"/>
            <w:szCs w:val="24"/>
          </w:rPr>
          <w:id w:val="1458678783"/>
          <w:citation/>
        </w:sdtPr>
        <w:sdtContent>
          <w:r w:rsidRPr="00B62CE5">
            <w:rPr>
              <w:rFonts w:asciiTheme="majorBidi" w:hAnsiTheme="majorBidi" w:cstheme="majorBidi"/>
              <w:sz w:val="24"/>
              <w:szCs w:val="24"/>
            </w:rPr>
            <w:fldChar w:fldCharType="begin"/>
          </w:r>
          <w:r w:rsidRPr="00B62CE5">
            <w:rPr>
              <w:rFonts w:asciiTheme="majorBidi" w:hAnsiTheme="majorBidi" w:cstheme="majorBidi"/>
              <w:sz w:val="24"/>
              <w:szCs w:val="24"/>
            </w:rPr>
            <w:instrText xml:space="preserve">CITATION Bra08 \n  \t  \l 2057 </w:instrText>
          </w:r>
          <w:r w:rsidRPr="00B62CE5">
            <w:rPr>
              <w:rFonts w:asciiTheme="majorBidi" w:hAnsiTheme="majorBidi" w:cstheme="majorBidi"/>
              <w:sz w:val="24"/>
              <w:szCs w:val="24"/>
            </w:rPr>
            <w:fldChar w:fldCharType="separate"/>
          </w:r>
          <w:r w:rsidRPr="00B62CE5">
            <w:rPr>
              <w:rFonts w:asciiTheme="majorBidi" w:hAnsiTheme="majorBidi" w:cstheme="majorBidi"/>
              <w:noProof/>
              <w:sz w:val="24"/>
              <w:szCs w:val="24"/>
            </w:rPr>
            <w:t xml:space="preserve"> (2008)</w:t>
          </w:r>
          <w:r w:rsidRPr="00B62CE5">
            <w:rPr>
              <w:rFonts w:asciiTheme="majorBidi" w:hAnsiTheme="majorBidi" w:cstheme="majorBidi"/>
              <w:sz w:val="24"/>
              <w:szCs w:val="24"/>
            </w:rPr>
            <w:fldChar w:fldCharType="end"/>
          </w:r>
        </w:sdtContent>
      </w:sdt>
      <w:r w:rsidRPr="00B62CE5">
        <w:rPr>
          <w:rFonts w:asciiTheme="majorBidi" w:hAnsiTheme="majorBidi" w:cstheme="majorBidi"/>
          <w:sz w:val="24"/>
          <w:szCs w:val="24"/>
        </w:rPr>
        <w:t xml:space="preserve"> six steps model. Yin’s model was cited and applied </w:t>
      </w:r>
      <w:r>
        <w:rPr>
          <w:rFonts w:asciiTheme="majorBidi" w:hAnsiTheme="majorBidi" w:cstheme="majorBidi"/>
          <w:sz w:val="24"/>
          <w:szCs w:val="24"/>
        </w:rPr>
        <w:t>by a plenty of researchers</w:t>
      </w:r>
      <w:sdt>
        <w:sdtPr>
          <w:rPr>
            <w:rFonts w:asciiTheme="majorBidi" w:hAnsiTheme="majorBidi" w:cstheme="majorBidi"/>
            <w:sz w:val="24"/>
            <w:szCs w:val="24"/>
          </w:rPr>
          <w:id w:val="277526964"/>
          <w:citation/>
        </w:sdtPr>
        <w:sdtContent>
          <w:r w:rsidRPr="00B62CE5">
            <w:rPr>
              <w:rFonts w:asciiTheme="majorBidi" w:hAnsiTheme="majorBidi" w:cstheme="majorBidi"/>
              <w:sz w:val="24"/>
              <w:szCs w:val="24"/>
            </w:rPr>
            <w:fldChar w:fldCharType="begin"/>
          </w:r>
          <w:r w:rsidRPr="00B62CE5">
            <w:rPr>
              <w:rFonts w:asciiTheme="majorBidi" w:hAnsiTheme="majorBidi" w:cstheme="majorBidi"/>
              <w:sz w:val="24"/>
              <w:szCs w:val="24"/>
            </w:rPr>
            <w:instrText xml:space="preserve"> CITATION Fre18 \l 2057  \m Jim19</w:instrText>
          </w:r>
          <w:r w:rsidRPr="00B62CE5">
            <w:rPr>
              <w:rFonts w:asciiTheme="majorBidi" w:hAnsiTheme="majorBidi" w:cstheme="majorBidi"/>
              <w:sz w:val="24"/>
              <w:szCs w:val="24"/>
            </w:rPr>
            <w:fldChar w:fldCharType="separate"/>
          </w:r>
          <w:r w:rsidRPr="00B62CE5">
            <w:rPr>
              <w:rFonts w:asciiTheme="majorBidi" w:hAnsiTheme="majorBidi" w:cstheme="majorBidi"/>
              <w:noProof/>
              <w:sz w:val="24"/>
              <w:szCs w:val="24"/>
            </w:rPr>
            <w:t xml:space="preserve"> (Frenda &amp; Banerjee, 2018; Jiménez &amp; Vozmediano, 2019)</w:t>
          </w:r>
          <w:r w:rsidRPr="00B62CE5">
            <w:rPr>
              <w:rFonts w:asciiTheme="majorBidi" w:hAnsiTheme="majorBidi" w:cstheme="majorBidi"/>
              <w:sz w:val="24"/>
              <w:szCs w:val="24"/>
            </w:rPr>
            <w:fldChar w:fldCharType="end"/>
          </w:r>
        </w:sdtContent>
      </w:sdt>
      <w:r w:rsidRPr="00B62CE5">
        <w:rPr>
          <w:rFonts w:asciiTheme="majorBidi" w:hAnsiTheme="majorBidi" w:cstheme="majorBidi"/>
          <w:sz w:val="24"/>
          <w:szCs w:val="24"/>
        </w:rPr>
        <w:t>.</w:t>
      </w:r>
      <w:r>
        <w:rPr>
          <w:rFonts w:asciiTheme="majorBidi" w:hAnsiTheme="majorBidi" w:cstheme="majorBidi"/>
          <w:sz w:val="24"/>
          <w:szCs w:val="24"/>
        </w:rPr>
        <w:t xml:space="preserve"> Y</w:t>
      </w:r>
      <w:r w:rsidRPr="00F175B9">
        <w:rPr>
          <w:rFonts w:asciiTheme="majorBidi" w:hAnsiTheme="majorBidi" w:cstheme="majorBidi"/>
          <w:sz w:val="24"/>
          <w:szCs w:val="24"/>
        </w:rPr>
        <w:t xml:space="preserve">in's five phases analysis of qualitative data is a systematic and </w:t>
      </w:r>
      <w:r>
        <w:rPr>
          <w:rFonts w:asciiTheme="majorBidi" w:hAnsiTheme="majorBidi" w:cstheme="majorBidi"/>
          <w:sz w:val="24"/>
          <w:szCs w:val="24"/>
        </w:rPr>
        <w:t>logical</w:t>
      </w:r>
      <w:r w:rsidRPr="00F175B9">
        <w:rPr>
          <w:rFonts w:asciiTheme="majorBidi" w:hAnsiTheme="majorBidi" w:cstheme="majorBidi"/>
          <w:sz w:val="24"/>
          <w:szCs w:val="24"/>
        </w:rPr>
        <w:t xml:space="preserve"> approach to analysing qualitative data</w:t>
      </w:r>
      <w:r>
        <w:rPr>
          <w:rFonts w:asciiTheme="majorBidi" w:hAnsiTheme="majorBidi" w:cstheme="majorBidi"/>
          <w:sz w:val="24"/>
          <w:szCs w:val="24"/>
        </w:rPr>
        <w:t xml:space="preserve"> as i</w:t>
      </w:r>
      <w:r w:rsidRPr="00F175B9">
        <w:rPr>
          <w:rFonts w:asciiTheme="majorBidi" w:hAnsiTheme="majorBidi" w:cstheme="majorBidi"/>
          <w:sz w:val="24"/>
          <w:szCs w:val="24"/>
        </w:rPr>
        <w:t>t involves familiari</w:t>
      </w:r>
      <w:r>
        <w:rPr>
          <w:rFonts w:asciiTheme="majorBidi" w:hAnsiTheme="majorBidi" w:cstheme="majorBidi"/>
          <w:sz w:val="24"/>
          <w:szCs w:val="24"/>
        </w:rPr>
        <w:t>s</w:t>
      </w:r>
      <w:r w:rsidRPr="00F175B9">
        <w:rPr>
          <w:rFonts w:asciiTheme="majorBidi" w:hAnsiTheme="majorBidi" w:cstheme="majorBidi"/>
          <w:sz w:val="24"/>
          <w:szCs w:val="24"/>
        </w:rPr>
        <w:t>ation, creating a coding scheme</w:t>
      </w:r>
      <w:r>
        <w:rPr>
          <w:rFonts w:asciiTheme="majorBidi" w:hAnsiTheme="majorBidi" w:cstheme="majorBidi"/>
          <w:sz w:val="24"/>
          <w:szCs w:val="24"/>
        </w:rPr>
        <w:t xml:space="preserve"> from the </w:t>
      </w:r>
      <w:r w:rsidRPr="00F175B9">
        <w:rPr>
          <w:rFonts w:asciiTheme="majorBidi" w:hAnsiTheme="majorBidi" w:cstheme="majorBidi"/>
          <w:sz w:val="24"/>
          <w:szCs w:val="24"/>
        </w:rPr>
        <w:t>data, creating themes, and producing the final report</w:t>
      </w:r>
      <w:sdt>
        <w:sdtPr>
          <w:rPr>
            <w:rFonts w:asciiTheme="majorBidi" w:hAnsiTheme="majorBidi" w:cstheme="majorBidi"/>
            <w:sz w:val="24"/>
            <w:szCs w:val="24"/>
          </w:rPr>
          <w:id w:val="-90976334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Saw22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F175B9">
            <w:rPr>
              <w:rFonts w:asciiTheme="majorBidi" w:hAnsiTheme="majorBidi" w:cstheme="majorBidi"/>
              <w:noProof/>
              <w:sz w:val="24"/>
              <w:szCs w:val="24"/>
            </w:rPr>
            <w:t>(Sawad &amp; Andrews, 2022)</w:t>
          </w:r>
          <w:r>
            <w:rPr>
              <w:rFonts w:asciiTheme="majorBidi" w:hAnsiTheme="majorBidi" w:cstheme="majorBidi"/>
              <w:sz w:val="24"/>
              <w:szCs w:val="24"/>
            </w:rPr>
            <w:fldChar w:fldCharType="end"/>
          </w:r>
        </w:sdtContent>
      </w:sdt>
      <w:r w:rsidRPr="00F175B9">
        <w:rPr>
          <w:rFonts w:asciiTheme="majorBidi" w:hAnsiTheme="majorBidi" w:cstheme="majorBidi"/>
          <w:sz w:val="24"/>
          <w:szCs w:val="24"/>
        </w:rPr>
        <w:t>.</w:t>
      </w:r>
      <w:r>
        <w:rPr>
          <w:rFonts w:asciiTheme="majorBidi" w:hAnsiTheme="majorBidi" w:cstheme="majorBidi"/>
          <w:sz w:val="24"/>
          <w:szCs w:val="24"/>
        </w:rPr>
        <w:t xml:space="preserve"> </w:t>
      </w:r>
      <w:r w:rsidRPr="00B62CE5">
        <w:rPr>
          <w:rFonts w:asciiTheme="majorBidi" w:hAnsiTheme="majorBidi" w:cstheme="majorBidi"/>
          <w:sz w:val="24"/>
          <w:szCs w:val="24"/>
          <w:shd w:val="clear" w:color="auto" w:fill="FFFFFF"/>
        </w:rPr>
        <w:t xml:space="preserve">The below table summarises the five phases </w:t>
      </w:r>
      <w:sdt>
        <w:sdtPr>
          <w:rPr>
            <w:rFonts w:asciiTheme="majorBidi" w:hAnsiTheme="majorBidi" w:cstheme="majorBidi"/>
            <w:sz w:val="24"/>
            <w:szCs w:val="24"/>
            <w:shd w:val="clear" w:color="auto" w:fill="FFFFFF"/>
          </w:rPr>
          <w:id w:val="-1106344864"/>
          <w:citation/>
        </w:sdtPr>
        <w:sdtContent>
          <w:r w:rsidRPr="00B62CE5">
            <w:rPr>
              <w:rFonts w:asciiTheme="majorBidi" w:hAnsiTheme="majorBidi" w:cstheme="majorBidi"/>
              <w:sz w:val="24"/>
              <w:szCs w:val="24"/>
              <w:shd w:val="clear" w:color="auto" w:fill="FFFFFF"/>
            </w:rPr>
            <w:fldChar w:fldCharType="begin"/>
          </w:r>
          <w:r w:rsidRPr="00B62CE5">
            <w:rPr>
              <w:rFonts w:asciiTheme="majorBidi" w:hAnsiTheme="majorBidi" w:cstheme="majorBidi"/>
              <w:sz w:val="24"/>
              <w:szCs w:val="24"/>
              <w:shd w:val="clear" w:color="auto" w:fill="FFFFFF"/>
            </w:rPr>
            <w:instrText xml:space="preserve"> CITATION Yin11 \l 2057 </w:instrText>
          </w:r>
          <w:r w:rsidRPr="00B62CE5">
            <w:rPr>
              <w:rFonts w:asciiTheme="majorBidi" w:hAnsiTheme="majorBidi" w:cstheme="majorBidi"/>
              <w:sz w:val="24"/>
              <w:szCs w:val="24"/>
              <w:shd w:val="clear" w:color="auto" w:fill="FFFFFF"/>
            </w:rPr>
            <w:fldChar w:fldCharType="separate"/>
          </w:r>
          <w:r w:rsidRPr="00B62CE5">
            <w:rPr>
              <w:rFonts w:asciiTheme="majorBidi" w:hAnsiTheme="majorBidi" w:cstheme="majorBidi"/>
              <w:noProof/>
              <w:sz w:val="24"/>
              <w:szCs w:val="24"/>
              <w:shd w:val="clear" w:color="auto" w:fill="FFFFFF"/>
            </w:rPr>
            <w:t>(Yin, 2011)</w:t>
          </w:r>
          <w:r w:rsidRPr="00B62CE5">
            <w:rPr>
              <w:rFonts w:asciiTheme="majorBidi" w:hAnsiTheme="majorBidi" w:cstheme="majorBidi"/>
              <w:sz w:val="24"/>
              <w:szCs w:val="24"/>
              <w:shd w:val="clear" w:color="auto" w:fill="FFFFFF"/>
            </w:rPr>
            <w:fldChar w:fldCharType="end"/>
          </w:r>
        </w:sdtContent>
      </w:sdt>
      <w:r w:rsidRPr="00B62CE5">
        <w:rPr>
          <w:rFonts w:asciiTheme="majorBidi" w:hAnsiTheme="majorBidi" w:cstheme="majorBidi"/>
          <w:sz w:val="24"/>
          <w:szCs w:val="24"/>
          <w:shd w:val="clear" w:color="auto" w:fill="FFFFFF"/>
        </w:rPr>
        <w:t xml:space="preserve"> applied in the study, identifies the equivalent step</w:t>
      </w:r>
      <w:r>
        <w:rPr>
          <w:rFonts w:asciiTheme="majorBidi" w:hAnsiTheme="majorBidi" w:cstheme="majorBidi"/>
          <w:sz w:val="24"/>
          <w:szCs w:val="24"/>
          <w:shd w:val="clear" w:color="auto" w:fill="FFFFFF"/>
        </w:rPr>
        <w:t>s</w:t>
      </w:r>
      <w:r w:rsidRPr="00B62CE5">
        <w:rPr>
          <w:rFonts w:asciiTheme="majorBidi" w:hAnsiTheme="majorBidi" w:cstheme="majorBidi"/>
          <w:sz w:val="24"/>
          <w:szCs w:val="24"/>
          <w:shd w:val="clear" w:color="auto" w:fill="FFFFFF"/>
        </w:rPr>
        <w:t xml:space="preserve"> from Braun and Clarke’s </w:t>
      </w:r>
      <w:sdt>
        <w:sdtPr>
          <w:rPr>
            <w:rFonts w:asciiTheme="majorBidi" w:hAnsiTheme="majorBidi" w:cstheme="majorBidi"/>
            <w:sz w:val="24"/>
            <w:szCs w:val="24"/>
            <w:shd w:val="clear" w:color="auto" w:fill="FFFFFF"/>
          </w:rPr>
          <w:id w:val="1775371692"/>
          <w:citation/>
        </w:sdtPr>
        <w:sdtContent>
          <w:r w:rsidRPr="00B62CE5">
            <w:rPr>
              <w:rFonts w:asciiTheme="majorBidi" w:hAnsiTheme="majorBidi" w:cstheme="majorBidi"/>
              <w:sz w:val="24"/>
              <w:szCs w:val="24"/>
              <w:shd w:val="clear" w:color="auto" w:fill="FFFFFF"/>
            </w:rPr>
            <w:fldChar w:fldCharType="begin"/>
          </w:r>
          <w:r w:rsidRPr="00B62CE5">
            <w:rPr>
              <w:rFonts w:asciiTheme="majorBidi" w:hAnsiTheme="majorBidi" w:cstheme="majorBidi"/>
              <w:sz w:val="24"/>
              <w:szCs w:val="24"/>
              <w:shd w:val="clear" w:color="auto" w:fill="FFFFFF"/>
            </w:rPr>
            <w:instrText xml:space="preserve">CITATION Bra08 \n  \t  \l 2057 </w:instrText>
          </w:r>
          <w:r w:rsidRPr="00B62CE5">
            <w:rPr>
              <w:rFonts w:asciiTheme="majorBidi" w:hAnsiTheme="majorBidi" w:cstheme="majorBidi"/>
              <w:sz w:val="24"/>
              <w:szCs w:val="24"/>
              <w:shd w:val="clear" w:color="auto" w:fill="FFFFFF"/>
            </w:rPr>
            <w:fldChar w:fldCharType="separate"/>
          </w:r>
          <w:r w:rsidRPr="00B62CE5">
            <w:rPr>
              <w:rFonts w:asciiTheme="majorBidi" w:hAnsiTheme="majorBidi" w:cstheme="majorBidi"/>
              <w:noProof/>
              <w:sz w:val="24"/>
              <w:szCs w:val="24"/>
              <w:shd w:val="clear" w:color="auto" w:fill="FFFFFF"/>
            </w:rPr>
            <w:t>(2008)</w:t>
          </w:r>
          <w:r w:rsidRPr="00B62CE5">
            <w:rPr>
              <w:rFonts w:asciiTheme="majorBidi" w:hAnsiTheme="majorBidi" w:cstheme="majorBidi"/>
              <w:sz w:val="24"/>
              <w:szCs w:val="24"/>
              <w:shd w:val="clear" w:color="auto" w:fill="FFFFFF"/>
            </w:rPr>
            <w:fldChar w:fldCharType="end"/>
          </w:r>
        </w:sdtContent>
      </w:sdt>
      <w:r w:rsidRPr="00B62CE5">
        <w:rPr>
          <w:rFonts w:asciiTheme="majorBidi" w:hAnsiTheme="majorBidi" w:cstheme="majorBidi"/>
          <w:sz w:val="24"/>
          <w:szCs w:val="24"/>
          <w:shd w:val="clear" w:color="auto" w:fill="FFFFFF"/>
        </w:rPr>
        <w:t xml:space="preserve"> six steps, and briefly explains every phase. </w:t>
      </w:r>
      <w:r w:rsidR="008C0AA6">
        <w:rPr>
          <w:rFonts w:asciiTheme="majorBidi" w:hAnsiTheme="majorBidi" w:cstheme="majorBidi"/>
          <w:sz w:val="24"/>
          <w:szCs w:val="24"/>
          <w:shd w:val="clear" w:color="auto" w:fill="FFFFFF"/>
        </w:rPr>
        <w:t>Afterwards, table 53 briefly explains the five phases of qualitative data analysis.</w:t>
      </w:r>
    </w:p>
    <w:p w14:paraId="6B9F2880" w14:textId="201DA109" w:rsidR="008C0AA6" w:rsidRDefault="008C0AA6" w:rsidP="00635E3C">
      <w:pPr>
        <w:pStyle w:val="Caption"/>
        <w:framePr w:hSpace="180" w:wrap="around" w:vAnchor="page" w:hAnchor="page" w:x="1434" w:y="12999"/>
      </w:pPr>
      <w:r>
        <w:t xml:space="preserve">Table 52 A summary of different qualitative analysis methods </w:t>
      </w:r>
    </w:p>
    <w:p w14:paraId="01984B1A" w14:textId="77777777" w:rsidR="00CB0370" w:rsidRDefault="00CB0370">
      <w:r>
        <w:br w:type="page"/>
      </w:r>
    </w:p>
    <w:tbl>
      <w:tblPr>
        <w:tblStyle w:val="TableGrid"/>
        <w:tblW w:w="7938" w:type="dxa"/>
        <w:tblInd w:w="279" w:type="dxa"/>
        <w:tblLook w:val="04A0" w:firstRow="1" w:lastRow="0" w:firstColumn="1" w:lastColumn="0" w:noHBand="0" w:noVBand="1"/>
      </w:tblPr>
      <w:tblGrid>
        <w:gridCol w:w="1394"/>
        <w:gridCol w:w="2717"/>
        <w:gridCol w:w="3827"/>
      </w:tblGrid>
      <w:tr w:rsidR="00ED492B" w:rsidRPr="007D5C15" w14:paraId="3C986335" w14:textId="77777777" w:rsidTr="00CB0370">
        <w:trPr>
          <w:trHeight w:val="284"/>
        </w:trPr>
        <w:tc>
          <w:tcPr>
            <w:tcW w:w="1394" w:type="dxa"/>
          </w:tcPr>
          <w:p w14:paraId="4A9ACEF1" w14:textId="497AA853" w:rsidR="00ED492B" w:rsidRPr="007D5C15" w:rsidRDefault="00000000" w:rsidP="008D0DBB">
            <w:pPr>
              <w:widowControl w:val="0"/>
              <w:rPr>
                <w:rFonts w:asciiTheme="majorBidi" w:hAnsiTheme="majorBidi" w:cstheme="majorBidi"/>
                <w:sz w:val="20"/>
                <w:szCs w:val="20"/>
              </w:rPr>
            </w:pPr>
            <w:sdt>
              <w:sdtPr>
                <w:rPr>
                  <w:rFonts w:asciiTheme="majorBidi" w:hAnsiTheme="majorBidi" w:cstheme="majorBidi"/>
                  <w:sz w:val="20"/>
                  <w:szCs w:val="20"/>
                </w:rPr>
                <w:id w:val="-1539111719"/>
                <w:citation/>
              </w:sdtPr>
              <w:sdtContent>
                <w:r w:rsidR="00ED492B" w:rsidRPr="007D5C15">
                  <w:rPr>
                    <w:rFonts w:asciiTheme="majorBidi" w:hAnsiTheme="majorBidi" w:cstheme="majorBidi"/>
                    <w:sz w:val="20"/>
                    <w:szCs w:val="20"/>
                  </w:rPr>
                  <w:fldChar w:fldCharType="begin"/>
                </w:r>
                <w:r w:rsidR="00ED492B" w:rsidRPr="007D5C15">
                  <w:rPr>
                    <w:rFonts w:asciiTheme="majorBidi" w:hAnsiTheme="majorBidi" w:cstheme="majorBidi"/>
                    <w:sz w:val="20"/>
                    <w:szCs w:val="20"/>
                  </w:rPr>
                  <w:instrText xml:space="preserve"> CITATION Yin11 \l 2057 </w:instrText>
                </w:r>
                <w:r w:rsidR="00ED492B" w:rsidRPr="007D5C15">
                  <w:rPr>
                    <w:rFonts w:asciiTheme="majorBidi" w:hAnsiTheme="majorBidi" w:cstheme="majorBidi"/>
                    <w:sz w:val="20"/>
                    <w:szCs w:val="20"/>
                  </w:rPr>
                  <w:fldChar w:fldCharType="separate"/>
                </w:r>
                <w:r w:rsidR="00ED492B" w:rsidRPr="007D5C15">
                  <w:rPr>
                    <w:rFonts w:asciiTheme="majorBidi" w:hAnsiTheme="majorBidi" w:cstheme="majorBidi"/>
                    <w:noProof/>
                    <w:sz w:val="20"/>
                    <w:szCs w:val="20"/>
                  </w:rPr>
                  <w:t>(Yin, 2011)</w:t>
                </w:r>
                <w:r w:rsidR="00ED492B" w:rsidRPr="007D5C15">
                  <w:rPr>
                    <w:rFonts w:asciiTheme="majorBidi" w:hAnsiTheme="majorBidi" w:cstheme="majorBidi"/>
                    <w:sz w:val="20"/>
                    <w:szCs w:val="20"/>
                  </w:rPr>
                  <w:fldChar w:fldCharType="end"/>
                </w:r>
              </w:sdtContent>
            </w:sdt>
          </w:p>
        </w:tc>
        <w:tc>
          <w:tcPr>
            <w:tcW w:w="2717" w:type="dxa"/>
          </w:tcPr>
          <w:p w14:paraId="3001D3AF" w14:textId="77777777" w:rsidR="00ED492B" w:rsidRPr="007D5C15" w:rsidRDefault="00000000" w:rsidP="008D0DBB">
            <w:pPr>
              <w:widowControl w:val="0"/>
              <w:rPr>
                <w:rFonts w:asciiTheme="majorBidi" w:hAnsiTheme="majorBidi" w:cstheme="majorBidi"/>
                <w:sz w:val="20"/>
                <w:szCs w:val="20"/>
              </w:rPr>
            </w:pPr>
            <w:sdt>
              <w:sdtPr>
                <w:rPr>
                  <w:rFonts w:asciiTheme="majorBidi" w:hAnsiTheme="majorBidi" w:cstheme="majorBidi"/>
                  <w:sz w:val="20"/>
                  <w:szCs w:val="20"/>
                </w:rPr>
                <w:id w:val="-2127997281"/>
                <w:citation/>
              </w:sdtPr>
              <w:sdtContent>
                <w:r w:rsidR="00ED492B" w:rsidRPr="007D5C15">
                  <w:rPr>
                    <w:rFonts w:asciiTheme="majorBidi" w:hAnsiTheme="majorBidi" w:cstheme="majorBidi"/>
                    <w:sz w:val="20"/>
                    <w:szCs w:val="20"/>
                  </w:rPr>
                  <w:fldChar w:fldCharType="begin"/>
                </w:r>
                <w:r w:rsidR="00ED492B" w:rsidRPr="007D5C15">
                  <w:rPr>
                    <w:rFonts w:asciiTheme="majorBidi" w:hAnsiTheme="majorBidi" w:cstheme="majorBidi"/>
                    <w:sz w:val="20"/>
                    <w:szCs w:val="20"/>
                  </w:rPr>
                  <w:instrText xml:space="preserve"> CITATION Bra08 \l 2057 </w:instrText>
                </w:r>
                <w:r w:rsidR="00ED492B" w:rsidRPr="007D5C15">
                  <w:rPr>
                    <w:rFonts w:asciiTheme="majorBidi" w:hAnsiTheme="majorBidi" w:cstheme="majorBidi"/>
                    <w:sz w:val="20"/>
                    <w:szCs w:val="20"/>
                  </w:rPr>
                  <w:fldChar w:fldCharType="separate"/>
                </w:r>
                <w:r w:rsidR="00ED492B" w:rsidRPr="007D5C15">
                  <w:rPr>
                    <w:rFonts w:asciiTheme="majorBidi" w:hAnsiTheme="majorBidi" w:cstheme="majorBidi"/>
                    <w:noProof/>
                    <w:sz w:val="20"/>
                    <w:szCs w:val="20"/>
                  </w:rPr>
                  <w:t>(Braun &amp; Clarke, 2008)</w:t>
                </w:r>
                <w:r w:rsidR="00ED492B" w:rsidRPr="007D5C15">
                  <w:rPr>
                    <w:rFonts w:asciiTheme="majorBidi" w:hAnsiTheme="majorBidi" w:cstheme="majorBidi"/>
                    <w:sz w:val="20"/>
                    <w:szCs w:val="20"/>
                  </w:rPr>
                  <w:fldChar w:fldCharType="end"/>
                </w:r>
              </w:sdtContent>
            </w:sdt>
          </w:p>
        </w:tc>
        <w:tc>
          <w:tcPr>
            <w:tcW w:w="3827" w:type="dxa"/>
          </w:tcPr>
          <w:p w14:paraId="5122BC23"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Description </w:t>
            </w:r>
          </w:p>
        </w:tc>
      </w:tr>
      <w:tr w:rsidR="00ED492B" w:rsidRPr="007D5C15" w14:paraId="1AA46423" w14:textId="77777777" w:rsidTr="00CB0370">
        <w:trPr>
          <w:trHeight w:val="556"/>
        </w:trPr>
        <w:tc>
          <w:tcPr>
            <w:tcW w:w="1394" w:type="dxa"/>
          </w:tcPr>
          <w:p w14:paraId="3D22AF96"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Compiling </w:t>
            </w:r>
          </w:p>
        </w:tc>
        <w:tc>
          <w:tcPr>
            <w:tcW w:w="2717" w:type="dxa"/>
          </w:tcPr>
          <w:p w14:paraId="76B6E455"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Familiarising yourself with your data</w:t>
            </w:r>
          </w:p>
        </w:tc>
        <w:tc>
          <w:tcPr>
            <w:tcW w:w="3827" w:type="dxa"/>
          </w:tcPr>
          <w:p w14:paraId="61627EB9"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Transcribing the data and organizing it into useable forms</w:t>
            </w:r>
          </w:p>
        </w:tc>
      </w:tr>
      <w:tr w:rsidR="00ED492B" w:rsidRPr="007D5C15" w14:paraId="1CD1581C" w14:textId="77777777" w:rsidTr="00CB0370">
        <w:trPr>
          <w:trHeight w:val="284"/>
        </w:trPr>
        <w:tc>
          <w:tcPr>
            <w:tcW w:w="1394" w:type="dxa"/>
          </w:tcPr>
          <w:p w14:paraId="2FA25FE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Disassembling</w:t>
            </w:r>
          </w:p>
        </w:tc>
        <w:tc>
          <w:tcPr>
            <w:tcW w:w="2717" w:type="dxa"/>
          </w:tcPr>
          <w:p w14:paraId="03458B1E"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Generating Initial Code </w:t>
            </w:r>
          </w:p>
        </w:tc>
        <w:tc>
          <w:tcPr>
            <w:tcW w:w="3827" w:type="dxa"/>
          </w:tcPr>
          <w:p w14:paraId="1DF6B6D9"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Identifying initial codes from the emerged findings </w:t>
            </w:r>
          </w:p>
        </w:tc>
      </w:tr>
      <w:tr w:rsidR="00ED492B" w:rsidRPr="007D5C15" w14:paraId="4DEDED4C" w14:textId="77777777" w:rsidTr="00CB0370">
        <w:trPr>
          <w:trHeight w:val="278"/>
        </w:trPr>
        <w:tc>
          <w:tcPr>
            <w:tcW w:w="1394" w:type="dxa"/>
          </w:tcPr>
          <w:p w14:paraId="262DFA46"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Reassembling </w:t>
            </w:r>
          </w:p>
        </w:tc>
        <w:tc>
          <w:tcPr>
            <w:tcW w:w="2717" w:type="dxa"/>
          </w:tcPr>
          <w:p w14:paraId="4CE70993"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Searching and reviewing themes </w:t>
            </w:r>
          </w:p>
        </w:tc>
        <w:tc>
          <w:tcPr>
            <w:tcW w:w="3827" w:type="dxa"/>
          </w:tcPr>
          <w:p w14:paraId="56672471" w14:textId="74E5EB6B"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The data is rearranged in other tabular forms to facilitate the rearrangements and identifying further themes</w:t>
            </w:r>
          </w:p>
        </w:tc>
      </w:tr>
      <w:tr w:rsidR="00ED492B" w:rsidRPr="007D5C15" w14:paraId="0D7D9EA7" w14:textId="77777777" w:rsidTr="00CB0370">
        <w:trPr>
          <w:trHeight w:val="284"/>
        </w:trPr>
        <w:tc>
          <w:tcPr>
            <w:tcW w:w="1394" w:type="dxa"/>
          </w:tcPr>
          <w:p w14:paraId="3BB56C2E"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Interpreting</w:t>
            </w:r>
          </w:p>
        </w:tc>
        <w:tc>
          <w:tcPr>
            <w:tcW w:w="2717" w:type="dxa"/>
          </w:tcPr>
          <w:p w14:paraId="3A03E5F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Defining and naming themes</w:t>
            </w:r>
          </w:p>
        </w:tc>
        <w:tc>
          <w:tcPr>
            <w:tcW w:w="3827" w:type="dxa"/>
          </w:tcPr>
          <w:p w14:paraId="42994876" w14:textId="5B044CF1"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Identifying overarching themes from the data that capture the key findings</w:t>
            </w:r>
          </w:p>
        </w:tc>
      </w:tr>
      <w:tr w:rsidR="00ED492B" w:rsidRPr="007D5C15" w14:paraId="61BFA58A" w14:textId="77777777" w:rsidTr="00CB0370">
        <w:trPr>
          <w:trHeight w:val="284"/>
        </w:trPr>
        <w:tc>
          <w:tcPr>
            <w:tcW w:w="1394" w:type="dxa"/>
          </w:tcPr>
          <w:p w14:paraId="273C2098"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Concluding</w:t>
            </w:r>
          </w:p>
        </w:tc>
        <w:tc>
          <w:tcPr>
            <w:tcW w:w="2717" w:type="dxa"/>
          </w:tcPr>
          <w:p w14:paraId="48BB3C56"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Producing the report </w:t>
            </w:r>
          </w:p>
        </w:tc>
        <w:tc>
          <w:tcPr>
            <w:tcW w:w="3827" w:type="dxa"/>
          </w:tcPr>
          <w:p w14:paraId="52069645" w14:textId="4F089C3B" w:rsidR="00ED492B" w:rsidRPr="007D5C15" w:rsidRDefault="00ED492B" w:rsidP="006A797D">
            <w:pPr>
              <w:keepNext/>
              <w:widowControl w:val="0"/>
              <w:rPr>
                <w:rFonts w:asciiTheme="majorBidi" w:hAnsiTheme="majorBidi" w:cstheme="majorBidi"/>
                <w:sz w:val="20"/>
                <w:szCs w:val="20"/>
              </w:rPr>
            </w:pPr>
            <w:r w:rsidRPr="007D5C15">
              <w:rPr>
                <w:rFonts w:asciiTheme="majorBidi" w:hAnsiTheme="majorBidi" w:cstheme="majorBidi"/>
                <w:sz w:val="20"/>
                <w:szCs w:val="20"/>
              </w:rPr>
              <w:t>Producing the final report with detailed description of the findings and every theme</w:t>
            </w:r>
          </w:p>
        </w:tc>
      </w:tr>
    </w:tbl>
    <w:p w14:paraId="103E7C1F" w14:textId="0C29655E" w:rsidR="00ED492B" w:rsidRPr="00B62CE5" w:rsidRDefault="006A797D" w:rsidP="006A797D">
      <w:pPr>
        <w:pStyle w:val="Caption"/>
        <w:rPr>
          <w:rFonts w:asciiTheme="majorBidi" w:hAnsiTheme="majorBidi" w:cstheme="majorBidi"/>
          <w:b/>
          <w:bCs/>
          <w:color w:val="2E2E2E"/>
          <w:sz w:val="24"/>
          <w:szCs w:val="24"/>
        </w:rPr>
      </w:pPr>
      <w:r>
        <w:t>Table 5</w:t>
      </w:r>
      <w:r w:rsidR="00CB0370">
        <w:t>3</w:t>
      </w:r>
      <w:r>
        <w:t xml:space="preserve"> Five phases of qualitative data analysis</w:t>
      </w:r>
    </w:p>
    <w:p w14:paraId="482C74B2" w14:textId="56AFFAD9" w:rsidR="00ED492B" w:rsidRPr="00B62CE5" w:rsidRDefault="00ED492B" w:rsidP="00ED492B">
      <w:pPr>
        <w:widowControl w:val="0"/>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1</w:t>
      </w:r>
      <w:r>
        <w:rPr>
          <w:rFonts w:asciiTheme="majorBidi" w:hAnsiTheme="majorBidi" w:cstheme="majorBidi"/>
          <w:b/>
          <w:bCs/>
          <w:color w:val="2E2E2E"/>
          <w:sz w:val="24"/>
          <w:szCs w:val="24"/>
        </w:rPr>
        <w:t xml:space="preserve">.1 </w:t>
      </w:r>
      <w:r w:rsidRPr="00B62CE5">
        <w:rPr>
          <w:rFonts w:asciiTheme="majorBidi" w:hAnsiTheme="majorBidi" w:cstheme="majorBidi"/>
          <w:b/>
          <w:bCs/>
          <w:color w:val="2E2E2E"/>
          <w:sz w:val="24"/>
          <w:szCs w:val="24"/>
        </w:rPr>
        <w:t>Compiling</w:t>
      </w:r>
    </w:p>
    <w:p w14:paraId="478F6C1F" w14:textId="79FCAA60" w:rsidR="004B3698" w:rsidRPr="00A35071" w:rsidRDefault="00ED492B" w:rsidP="00A35071">
      <w:pPr>
        <w:widowControl w:val="0"/>
        <w:spacing w:line="480" w:lineRule="auto"/>
        <w:rPr>
          <w:rFonts w:asciiTheme="majorBidi" w:hAnsiTheme="majorBidi" w:cstheme="majorBidi"/>
          <w:color w:val="2E2E2E"/>
          <w:sz w:val="24"/>
          <w:szCs w:val="24"/>
        </w:rPr>
      </w:pPr>
      <w:r w:rsidRPr="00B62CE5">
        <w:rPr>
          <w:rFonts w:asciiTheme="majorBidi" w:hAnsiTheme="majorBidi" w:cstheme="majorBidi"/>
          <w:color w:val="2E2E2E"/>
          <w:sz w:val="24"/>
          <w:szCs w:val="24"/>
        </w:rPr>
        <w:tab/>
        <w:t>Compiling</w:t>
      </w:r>
      <w:r w:rsidR="00C1566F">
        <w:rPr>
          <w:rFonts w:asciiTheme="majorBidi" w:hAnsiTheme="majorBidi" w:cstheme="majorBidi"/>
          <w:color w:val="2E2E2E"/>
          <w:sz w:val="24"/>
          <w:szCs w:val="24"/>
        </w:rPr>
        <w:t xml:space="preserve"> </w:t>
      </w:r>
      <w:r w:rsidRPr="00B62CE5">
        <w:rPr>
          <w:rFonts w:asciiTheme="majorBidi" w:hAnsiTheme="majorBidi" w:cstheme="majorBidi"/>
          <w:color w:val="2E2E2E"/>
          <w:sz w:val="24"/>
          <w:szCs w:val="24"/>
        </w:rPr>
        <w:t>is also denoted to as transcribing</w:t>
      </w:r>
      <w:r>
        <w:rPr>
          <w:rFonts w:asciiTheme="majorBidi" w:hAnsiTheme="majorBidi" w:cstheme="majorBidi"/>
          <w:color w:val="2E2E2E"/>
          <w:sz w:val="24"/>
          <w:szCs w:val="24"/>
        </w:rPr>
        <w:t xml:space="preserve"> and </w:t>
      </w:r>
      <w:r w:rsidRPr="00B62CE5">
        <w:rPr>
          <w:rFonts w:asciiTheme="majorBidi" w:hAnsiTheme="majorBidi" w:cstheme="majorBidi"/>
          <w:color w:val="2E2E2E"/>
          <w:sz w:val="24"/>
          <w:szCs w:val="24"/>
        </w:rPr>
        <w:t>organi</w:t>
      </w:r>
      <w:r w:rsidR="007D5C15">
        <w:rPr>
          <w:rFonts w:asciiTheme="majorBidi" w:hAnsiTheme="majorBidi" w:cstheme="majorBidi"/>
          <w:color w:val="2E2E2E"/>
          <w:sz w:val="24"/>
          <w:szCs w:val="24"/>
        </w:rPr>
        <w:t>s</w:t>
      </w:r>
      <w:r w:rsidRPr="00B62CE5">
        <w:rPr>
          <w:rFonts w:asciiTheme="majorBidi" w:hAnsiTheme="majorBidi" w:cstheme="majorBidi"/>
          <w:color w:val="2E2E2E"/>
          <w:sz w:val="24"/>
          <w:szCs w:val="24"/>
        </w:rPr>
        <w:t>ing the data into useable forms</w:t>
      </w:r>
      <w:sdt>
        <w:sdtPr>
          <w:rPr>
            <w:rFonts w:asciiTheme="majorBidi" w:hAnsiTheme="majorBidi" w:cstheme="majorBidi"/>
            <w:color w:val="2E2E2E"/>
            <w:sz w:val="24"/>
            <w:szCs w:val="24"/>
          </w:rPr>
          <w:id w:val="-1572503605"/>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Cas18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(Castleberry &amp; Nolen, 2018)</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Multiple researchers advise the researcher to do the transcription himself/herself</w:t>
      </w:r>
      <w:sdt>
        <w:sdtPr>
          <w:rPr>
            <w:rFonts w:asciiTheme="majorBidi" w:hAnsiTheme="majorBidi" w:cstheme="majorBidi"/>
            <w:color w:val="2E2E2E"/>
            <w:sz w:val="24"/>
            <w:szCs w:val="24"/>
          </w:rPr>
          <w:id w:val="758798567"/>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Sut15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(Sutton &amp; Austin, 2015)</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Thus, after carefully listening to the recordings of the interviews multiple times, I manually transcribed the qualitative data myself. There are three types of commonly applied techniques of transcription</w:t>
      </w:r>
      <w:r w:rsidRPr="00B62CE5">
        <w:rPr>
          <w:rFonts w:asciiTheme="majorBidi" w:hAnsiTheme="majorBidi" w:cstheme="majorBidi"/>
          <w:noProof/>
          <w:color w:val="2E2E2E"/>
          <w:sz w:val="24"/>
          <w:szCs w:val="24"/>
        </w:rPr>
        <w:t xml:space="preserve"> </w:t>
      </w:r>
      <w:sdt>
        <w:sdtPr>
          <w:rPr>
            <w:rFonts w:asciiTheme="majorBidi" w:hAnsiTheme="majorBidi" w:cstheme="majorBidi"/>
            <w:noProof/>
            <w:color w:val="2E2E2E"/>
            <w:sz w:val="24"/>
            <w:szCs w:val="24"/>
          </w:rPr>
          <w:id w:val="-1483303086"/>
          <w:citation/>
        </w:sdtPr>
        <w:sdtContent>
          <w:r w:rsidRPr="00B62CE5">
            <w:rPr>
              <w:rFonts w:asciiTheme="majorBidi" w:hAnsiTheme="majorBidi" w:cstheme="majorBidi"/>
              <w:noProof/>
              <w:color w:val="2E2E2E"/>
              <w:sz w:val="24"/>
              <w:szCs w:val="24"/>
            </w:rPr>
            <w:fldChar w:fldCharType="begin"/>
          </w:r>
          <w:r w:rsidRPr="00B62CE5">
            <w:rPr>
              <w:rFonts w:asciiTheme="majorBidi" w:hAnsiTheme="majorBidi" w:cstheme="majorBidi"/>
              <w:noProof/>
              <w:color w:val="2E2E2E"/>
              <w:sz w:val="24"/>
              <w:szCs w:val="24"/>
            </w:rPr>
            <w:instrText xml:space="preserve"> CITATION Wal18 \l 2057 </w:instrText>
          </w:r>
          <w:r w:rsidRPr="00B62CE5">
            <w:rPr>
              <w:rFonts w:asciiTheme="majorBidi" w:hAnsiTheme="majorBidi" w:cstheme="majorBidi"/>
              <w:noProof/>
              <w:color w:val="2E2E2E"/>
              <w:sz w:val="24"/>
              <w:szCs w:val="24"/>
            </w:rPr>
            <w:fldChar w:fldCharType="separate"/>
          </w:r>
          <w:r w:rsidRPr="00B62CE5">
            <w:rPr>
              <w:rFonts w:asciiTheme="majorBidi" w:hAnsiTheme="majorBidi" w:cstheme="majorBidi"/>
              <w:noProof/>
              <w:color w:val="2E2E2E"/>
              <w:sz w:val="24"/>
              <w:szCs w:val="24"/>
            </w:rPr>
            <w:t>(Walker, 2018)</w:t>
          </w:r>
          <w:r w:rsidRPr="00B62CE5">
            <w:rPr>
              <w:rFonts w:asciiTheme="majorBidi" w:hAnsiTheme="majorBidi" w:cstheme="majorBidi"/>
              <w:noProof/>
              <w:color w:val="2E2E2E"/>
              <w:sz w:val="24"/>
              <w:szCs w:val="24"/>
            </w:rPr>
            <w:fldChar w:fldCharType="end"/>
          </w:r>
        </w:sdtContent>
      </w:sdt>
      <w:r w:rsidRPr="00B62CE5">
        <w:rPr>
          <w:rFonts w:asciiTheme="majorBidi" w:hAnsiTheme="majorBidi" w:cstheme="majorBidi"/>
          <w:color w:val="2E2E2E"/>
          <w:sz w:val="24"/>
          <w:szCs w:val="24"/>
        </w:rPr>
        <w:t xml:space="preserve">. Firstly, verbatim transcription captures </w:t>
      </w:r>
      <w:r w:rsidR="00C1566F">
        <w:rPr>
          <w:rFonts w:asciiTheme="majorBidi" w:hAnsiTheme="majorBidi" w:cstheme="majorBidi"/>
          <w:color w:val="2E2E2E"/>
          <w:sz w:val="24"/>
          <w:szCs w:val="24"/>
        </w:rPr>
        <w:t>all</w:t>
      </w:r>
      <w:r w:rsidRPr="00B62CE5">
        <w:rPr>
          <w:rFonts w:asciiTheme="majorBidi" w:hAnsiTheme="majorBidi" w:cstheme="majorBidi"/>
          <w:color w:val="2E2E2E"/>
          <w:sz w:val="24"/>
          <w:szCs w:val="24"/>
        </w:rPr>
        <w:t xml:space="preserve"> verbal and nonverbal communications by the </w:t>
      </w:r>
      <w:r>
        <w:rPr>
          <w:rFonts w:asciiTheme="majorBidi" w:hAnsiTheme="majorBidi" w:cstheme="majorBidi"/>
          <w:color w:val="2E2E2E"/>
          <w:sz w:val="24"/>
          <w:szCs w:val="24"/>
        </w:rPr>
        <w:t>interviewees</w:t>
      </w:r>
      <w:r w:rsidRPr="00B62CE5">
        <w:rPr>
          <w:rFonts w:asciiTheme="majorBidi" w:hAnsiTheme="majorBidi" w:cstheme="majorBidi"/>
          <w:color w:val="2E2E2E"/>
          <w:sz w:val="24"/>
          <w:szCs w:val="24"/>
        </w:rPr>
        <w:t xml:space="preserve"> including slang words and fillers. Secondly, </w:t>
      </w:r>
      <w:r w:rsidRPr="007D5C15">
        <w:rPr>
          <w:rFonts w:asciiTheme="majorBidi" w:hAnsiTheme="majorBidi" w:cstheme="majorBidi"/>
          <w:color w:val="2E2E2E"/>
          <w:sz w:val="24"/>
          <w:szCs w:val="24"/>
        </w:rPr>
        <w:t>intelligent transcription involves transcribing every word while making necessary interpretation to exclude unnecessary fillers or pauses. Thirdly,</w:t>
      </w:r>
      <w:r w:rsidRPr="00B62CE5">
        <w:rPr>
          <w:rFonts w:asciiTheme="majorBidi" w:hAnsiTheme="majorBidi" w:cstheme="majorBidi"/>
          <w:color w:val="2E2E2E"/>
          <w:sz w:val="24"/>
          <w:szCs w:val="24"/>
        </w:rPr>
        <w:t xml:space="preserve"> edited transcription refers to grammatically edited transcriptions that can be ready for publishing to an audience</w:t>
      </w:r>
      <w:sdt>
        <w:sdtPr>
          <w:rPr>
            <w:rFonts w:asciiTheme="majorBidi" w:hAnsiTheme="majorBidi" w:cstheme="majorBidi"/>
            <w:color w:val="2E2E2E"/>
            <w:sz w:val="24"/>
            <w:szCs w:val="24"/>
          </w:rPr>
          <w:id w:val="1137993031"/>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Wal18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(Walker, 2018)</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In this study, I conducted intelligent transcription shortly after each interview. Other researchers suggested the importance of identifying the use of naturali</w:t>
      </w:r>
      <w:r w:rsidR="00C1566F">
        <w:rPr>
          <w:rFonts w:asciiTheme="majorBidi" w:hAnsiTheme="majorBidi" w:cstheme="majorBidi"/>
          <w:color w:val="2E2E2E"/>
          <w:sz w:val="24"/>
          <w:szCs w:val="24"/>
        </w:rPr>
        <w:t>s</w:t>
      </w:r>
      <w:r w:rsidRPr="00B62CE5">
        <w:rPr>
          <w:rFonts w:asciiTheme="majorBidi" w:hAnsiTheme="majorBidi" w:cstheme="majorBidi"/>
          <w:color w:val="2E2E2E"/>
          <w:sz w:val="24"/>
          <w:szCs w:val="24"/>
        </w:rPr>
        <w:t>ed or denaturali</w:t>
      </w:r>
      <w:r w:rsidR="00C1566F">
        <w:rPr>
          <w:rFonts w:asciiTheme="majorBidi" w:hAnsiTheme="majorBidi" w:cstheme="majorBidi"/>
          <w:color w:val="2E2E2E"/>
          <w:sz w:val="24"/>
          <w:szCs w:val="24"/>
        </w:rPr>
        <w:t>s</w:t>
      </w:r>
      <w:r w:rsidRPr="00B62CE5">
        <w:rPr>
          <w:rFonts w:asciiTheme="majorBidi" w:hAnsiTheme="majorBidi" w:cstheme="majorBidi"/>
          <w:color w:val="2E2E2E"/>
          <w:sz w:val="24"/>
          <w:szCs w:val="24"/>
        </w:rPr>
        <w:t>ed transcriptions</w:t>
      </w:r>
      <w:sdt>
        <w:sdtPr>
          <w:rPr>
            <w:rFonts w:asciiTheme="majorBidi" w:hAnsiTheme="majorBidi" w:cstheme="majorBidi"/>
            <w:color w:val="2E2E2E"/>
            <w:sz w:val="24"/>
            <w:szCs w:val="24"/>
          </w:rPr>
          <w:id w:val="-1827584855"/>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Nas23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(Nascimento &amp; Steinbruch, 2019)</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Naturali</w:t>
      </w:r>
      <w:r w:rsidR="00C1566F">
        <w:rPr>
          <w:rFonts w:asciiTheme="majorBidi" w:hAnsiTheme="majorBidi" w:cstheme="majorBidi"/>
          <w:color w:val="2E2E2E"/>
          <w:sz w:val="24"/>
          <w:szCs w:val="24"/>
        </w:rPr>
        <w:t>s</w:t>
      </w:r>
      <w:r w:rsidRPr="00B62CE5">
        <w:rPr>
          <w:rFonts w:asciiTheme="majorBidi" w:hAnsiTheme="majorBidi" w:cstheme="majorBidi"/>
          <w:color w:val="2E2E2E"/>
          <w:sz w:val="24"/>
          <w:szCs w:val="24"/>
        </w:rPr>
        <w:t>ed transcription involves transforming the respondents’</w:t>
      </w:r>
      <w:r>
        <w:rPr>
          <w:rFonts w:asciiTheme="majorBidi" w:hAnsiTheme="majorBidi" w:cstheme="majorBidi"/>
          <w:color w:val="2E2E2E"/>
          <w:sz w:val="24"/>
          <w:szCs w:val="24"/>
        </w:rPr>
        <w:t xml:space="preserve"> </w:t>
      </w:r>
      <w:r w:rsidRPr="00B62CE5">
        <w:rPr>
          <w:rFonts w:asciiTheme="majorBidi" w:hAnsiTheme="majorBidi" w:cstheme="majorBidi"/>
          <w:color w:val="2E2E2E"/>
          <w:sz w:val="24"/>
          <w:szCs w:val="24"/>
        </w:rPr>
        <w:t>speech into formal language</w:t>
      </w:r>
      <w:sdt>
        <w:sdtPr>
          <w:rPr>
            <w:rFonts w:asciiTheme="majorBidi" w:hAnsiTheme="majorBidi" w:cstheme="majorBidi"/>
            <w:color w:val="2E2E2E"/>
            <w:sz w:val="24"/>
            <w:szCs w:val="24"/>
          </w:rPr>
          <w:id w:val="-1002035928"/>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Buc00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(Bucholtz, 2000)</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xml:space="preserve"> whereas, </w:t>
      </w:r>
      <w:r w:rsidRPr="007D5C15">
        <w:rPr>
          <w:rFonts w:asciiTheme="majorBidi" w:hAnsiTheme="majorBidi" w:cstheme="majorBidi"/>
          <w:color w:val="2E2E2E"/>
          <w:sz w:val="24"/>
          <w:szCs w:val="24"/>
        </w:rPr>
        <w:t>denaturali</w:t>
      </w:r>
      <w:r w:rsidR="00C1566F" w:rsidRPr="007D5C15">
        <w:rPr>
          <w:rFonts w:asciiTheme="majorBidi" w:hAnsiTheme="majorBidi" w:cstheme="majorBidi"/>
          <w:color w:val="2E2E2E"/>
          <w:sz w:val="24"/>
          <w:szCs w:val="24"/>
        </w:rPr>
        <w:t>s</w:t>
      </w:r>
      <w:r w:rsidRPr="007D5C15">
        <w:rPr>
          <w:rFonts w:asciiTheme="majorBidi" w:hAnsiTheme="majorBidi" w:cstheme="majorBidi"/>
          <w:color w:val="2E2E2E"/>
          <w:sz w:val="24"/>
          <w:szCs w:val="24"/>
        </w:rPr>
        <w:t>ed transcription aims to keep the grammatical consistency among the interviews by eliminating only unnecessary noise</w:t>
      </w:r>
      <w:r w:rsidRPr="00B62CE5">
        <w:rPr>
          <w:rFonts w:asciiTheme="majorBidi" w:hAnsiTheme="majorBidi" w:cstheme="majorBidi"/>
          <w:color w:val="2E2E2E"/>
          <w:sz w:val="24"/>
          <w:szCs w:val="24"/>
        </w:rPr>
        <w:t xml:space="preserve"> </w:t>
      </w:r>
      <w:sdt>
        <w:sdtPr>
          <w:rPr>
            <w:rFonts w:asciiTheme="majorBidi" w:hAnsiTheme="majorBidi" w:cstheme="majorBidi"/>
            <w:color w:val="2E2E2E"/>
            <w:sz w:val="24"/>
            <w:szCs w:val="24"/>
          </w:rPr>
          <w:id w:val="-93553252"/>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Oli05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(Oliver , Serovich, &amp; Mason, 2005)</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xml:space="preserve">. </w:t>
      </w:r>
      <w:r w:rsidR="00C1566F">
        <w:rPr>
          <w:rFonts w:asciiTheme="majorBidi" w:hAnsiTheme="majorBidi" w:cstheme="majorBidi"/>
          <w:color w:val="2E2E2E"/>
          <w:sz w:val="24"/>
          <w:szCs w:val="24"/>
        </w:rPr>
        <w:t>I</w:t>
      </w:r>
      <w:r w:rsidRPr="00B62CE5">
        <w:rPr>
          <w:rFonts w:asciiTheme="majorBidi" w:hAnsiTheme="majorBidi" w:cstheme="majorBidi"/>
          <w:color w:val="2E2E2E"/>
          <w:sz w:val="24"/>
          <w:szCs w:val="24"/>
        </w:rPr>
        <w:t>n this study, I relied on denaturali</w:t>
      </w:r>
      <w:r w:rsidR="00C1566F">
        <w:rPr>
          <w:rFonts w:asciiTheme="majorBidi" w:hAnsiTheme="majorBidi" w:cstheme="majorBidi"/>
          <w:color w:val="2E2E2E"/>
          <w:sz w:val="24"/>
          <w:szCs w:val="24"/>
        </w:rPr>
        <w:t>s</w:t>
      </w:r>
      <w:r w:rsidRPr="00B62CE5">
        <w:rPr>
          <w:rFonts w:asciiTheme="majorBidi" w:hAnsiTheme="majorBidi" w:cstheme="majorBidi"/>
          <w:color w:val="2E2E2E"/>
          <w:sz w:val="24"/>
          <w:szCs w:val="24"/>
        </w:rPr>
        <w:t xml:space="preserve">ed transcription while noting any important phrases mentioned in the </w:t>
      </w:r>
      <w:r>
        <w:rPr>
          <w:rFonts w:asciiTheme="majorBidi" w:hAnsiTheme="majorBidi" w:cstheme="majorBidi"/>
          <w:color w:val="2E2E2E"/>
          <w:sz w:val="24"/>
          <w:szCs w:val="24"/>
        </w:rPr>
        <w:t>participants’</w:t>
      </w:r>
      <w:r w:rsidRPr="00B62CE5">
        <w:rPr>
          <w:rFonts w:asciiTheme="majorBidi" w:hAnsiTheme="majorBidi" w:cstheme="majorBidi"/>
          <w:color w:val="2E2E2E"/>
          <w:sz w:val="24"/>
          <w:szCs w:val="24"/>
        </w:rPr>
        <w:t xml:space="preserve"> specific language if it supports the objectives and context of the study. </w:t>
      </w:r>
    </w:p>
    <w:p w14:paraId="61A848FA" w14:textId="675BCB34" w:rsidR="00ED492B" w:rsidRPr="00390B25" w:rsidRDefault="00ED492B" w:rsidP="00ED492B">
      <w:pPr>
        <w:widowControl w:val="0"/>
        <w:spacing w:after="0" w:line="480" w:lineRule="auto"/>
        <w:rPr>
          <w:rFonts w:asciiTheme="majorBidi" w:hAnsiTheme="majorBidi" w:cstheme="majorBidi"/>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1</w:t>
      </w:r>
      <w:r>
        <w:rPr>
          <w:rFonts w:asciiTheme="majorBidi" w:hAnsiTheme="majorBidi" w:cstheme="majorBidi"/>
          <w:b/>
          <w:bCs/>
          <w:color w:val="2E2E2E"/>
          <w:sz w:val="24"/>
          <w:szCs w:val="24"/>
        </w:rPr>
        <w:t xml:space="preserve">.2 </w:t>
      </w:r>
      <w:r w:rsidRPr="00B62CE5">
        <w:rPr>
          <w:rFonts w:asciiTheme="majorBidi" w:hAnsiTheme="majorBidi" w:cstheme="majorBidi"/>
          <w:b/>
          <w:bCs/>
          <w:color w:val="2E2E2E"/>
          <w:sz w:val="24"/>
          <w:szCs w:val="24"/>
        </w:rPr>
        <w:t>Disassembling</w:t>
      </w:r>
      <w:r>
        <w:rPr>
          <w:rFonts w:asciiTheme="majorBidi" w:hAnsiTheme="majorBidi" w:cstheme="majorBidi"/>
          <w:b/>
          <w:bCs/>
          <w:color w:val="2E2E2E"/>
          <w:sz w:val="24"/>
          <w:szCs w:val="24"/>
        </w:rPr>
        <w:t xml:space="preserve">, Reassembling, and Interpreting </w:t>
      </w:r>
    </w:p>
    <w:p w14:paraId="100496A2" w14:textId="01EBF786" w:rsidR="00ED492B" w:rsidRPr="00B62CE5" w:rsidRDefault="00ED492B" w:rsidP="00ED492B">
      <w:pPr>
        <w:widowControl w:val="0"/>
        <w:spacing w:after="0" w:line="480" w:lineRule="auto"/>
        <w:outlineLvl w:val="2"/>
        <w:rPr>
          <w:rFonts w:asciiTheme="majorBidi" w:hAnsiTheme="majorBidi" w:cstheme="majorBidi"/>
          <w:color w:val="2E2E2E"/>
          <w:sz w:val="24"/>
          <w:szCs w:val="24"/>
        </w:rPr>
      </w:pPr>
      <w:r w:rsidRPr="00B62CE5">
        <w:rPr>
          <w:rFonts w:asciiTheme="majorBidi" w:hAnsiTheme="majorBidi" w:cstheme="majorBidi"/>
          <w:color w:val="2E2E2E"/>
          <w:sz w:val="24"/>
          <w:szCs w:val="24"/>
        </w:rPr>
        <w:tab/>
        <w:t xml:space="preserve">Afterwards, the data </w:t>
      </w:r>
      <w:r w:rsidR="009453DF">
        <w:rPr>
          <w:rFonts w:asciiTheme="majorBidi" w:hAnsiTheme="majorBidi" w:cstheme="majorBidi"/>
          <w:color w:val="2E2E2E"/>
          <w:sz w:val="24"/>
          <w:szCs w:val="24"/>
        </w:rPr>
        <w:t>was</w:t>
      </w:r>
      <w:r w:rsidRPr="00B62CE5">
        <w:rPr>
          <w:rFonts w:asciiTheme="majorBidi" w:hAnsiTheme="majorBidi" w:cstheme="majorBidi"/>
          <w:color w:val="2E2E2E"/>
          <w:sz w:val="24"/>
          <w:szCs w:val="24"/>
        </w:rPr>
        <w:t xml:space="preserve"> taken apart to create meaningful groupings of themes and concepts</w:t>
      </w:r>
      <w:sdt>
        <w:sdtPr>
          <w:rPr>
            <w:rFonts w:asciiTheme="majorBidi" w:hAnsiTheme="majorBidi" w:cstheme="majorBidi"/>
            <w:color w:val="2E2E2E"/>
            <w:sz w:val="24"/>
            <w:szCs w:val="24"/>
          </w:rPr>
          <w:id w:val="1670750515"/>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Aus14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color w:val="2E2E2E"/>
              <w:sz w:val="24"/>
              <w:szCs w:val="24"/>
            </w:rPr>
            <w:t xml:space="preserve"> (Austin &amp; Sutton, 2014)</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Some of the categories that the data was assigned to were related to the initial ice breaking topics for discussion. Nevertheless,</w:t>
      </w:r>
      <w:r w:rsidR="009453DF">
        <w:rPr>
          <w:rFonts w:asciiTheme="majorBidi" w:hAnsiTheme="majorBidi" w:cstheme="majorBidi"/>
          <w:color w:val="2E2E2E"/>
          <w:sz w:val="24"/>
          <w:szCs w:val="24"/>
        </w:rPr>
        <w:t xml:space="preserve"> the</w:t>
      </w:r>
      <w:r w:rsidRPr="00B62CE5">
        <w:rPr>
          <w:rFonts w:asciiTheme="majorBidi" w:hAnsiTheme="majorBidi" w:cstheme="majorBidi"/>
          <w:color w:val="2E2E2E"/>
          <w:sz w:val="24"/>
          <w:szCs w:val="24"/>
        </w:rPr>
        <w:t xml:space="preserve"> majority of the groups were created to reflect the main examined variables as outlined in the previous chapters.</w:t>
      </w:r>
    </w:p>
    <w:p w14:paraId="1B138957" w14:textId="77777777" w:rsidR="00ED492B" w:rsidRPr="00B62CE5" w:rsidRDefault="00ED492B" w:rsidP="00ED492B">
      <w:pPr>
        <w:widowControl w:val="0"/>
        <w:spacing w:after="0" w:line="480" w:lineRule="auto"/>
        <w:ind w:firstLine="720"/>
        <w:outlineLvl w:val="2"/>
        <w:rPr>
          <w:rFonts w:asciiTheme="majorBidi" w:hAnsiTheme="majorBidi" w:cstheme="majorBidi"/>
          <w:color w:val="2E2E2E"/>
          <w:sz w:val="24"/>
          <w:szCs w:val="24"/>
        </w:rPr>
      </w:pPr>
      <w:r w:rsidRPr="007D5C15">
        <w:rPr>
          <w:rFonts w:asciiTheme="majorBidi" w:hAnsiTheme="majorBidi" w:cstheme="majorBidi"/>
          <w:color w:val="2E2E2E"/>
          <w:sz w:val="24"/>
          <w:szCs w:val="24"/>
        </w:rPr>
        <w:t>Disassembling refers to generating the first set of codes based on initially appearing common themes</w:t>
      </w:r>
      <w:sdt>
        <w:sdtPr>
          <w:rPr>
            <w:rFonts w:asciiTheme="majorBidi" w:hAnsiTheme="majorBidi" w:cstheme="majorBidi"/>
            <w:color w:val="2E2E2E"/>
            <w:sz w:val="24"/>
            <w:szCs w:val="24"/>
          </w:rPr>
          <w:id w:val="-37736852"/>
          <w:citation/>
        </w:sdtPr>
        <w:sdtContent>
          <w:r w:rsidRPr="007D5C15">
            <w:rPr>
              <w:rFonts w:asciiTheme="majorBidi" w:hAnsiTheme="majorBidi" w:cstheme="majorBidi"/>
              <w:color w:val="2E2E2E"/>
              <w:sz w:val="24"/>
              <w:szCs w:val="24"/>
            </w:rPr>
            <w:fldChar w:fldCharType="begin"/>
          </w:r>
          <w:r w:rsidRPr="007D5C15">
            <w:rPr>
              <w:rFonts w:asciiTheme="majorBidi" w:hAnsiTheme="majorBidi" w:cstheme="majorBidi"/>
              <w:color w:val="2E2E2E"/>
              <w:sz w:val="24"/>
              <w:szCs w:val="24"/>
            </w:rPr>
            <w:instrText xml:space="preserve"> CITATION Yin11 \l 2057 </w:instrText>
          </w:r>
          <w:r w:rsidRPr="007D5C15">
            <w:rPr>
              <w:rFonts w:asciiTheme="majorBidi" w:hAnsiTheme="majorBidi" w:cstheme="majorBidi"/>
              <w:color w:val="2E2E2E"/>
              <w:sz w:val="24"/>
              <w:szCs w:val="24"/>
            </w:rPr>
            <w:fldChar w:fldCharType="separate"/>
          </w:r>
          <w:r w:rsidRPr="007D5C15">
            <w:rPr>
              <w:rFonts w:asciiTheme="majorBidi" w:hAnsiTheme="majorBidi" w:cstheme="majorBidi"/>
              <w:noProof/>
              <w:color w:val="2E2E2E"/>
              <w:sz w:val="24"/>
              <w:szCs w:val="24"/>
            </w:rPr>
            <w:t xml:space="preserve"> (Yin, 2011)</w:t>
          </w:r>
          <w:r w:rsidRPr="007D5C15">
            <w:rPr>
              <w:rFonts w:asciiTheme="majorBidi" w:hAnsiTheme="majorBidi" w:cstheme="majorBidi"/>
              <w:color w:val="2E2E2E"/>
              <w:sz w:val="24"/>
              <w:szCs w:val="24"/>
            </w:rPr>
            <w:fldChar w:fldCharType="end"/>
          </w:r>
        </w:sdtContent>
      </w:sdt>
      <w:r w:rsidRPr="007D5C15">
        <w:rPr>
          <w:rFonts w:asciiTheme="majorBidi" w:hAnsiTheme="majorBidi" w:cstheme="majorBidi"/>
          <w:color w:val="2E2E2E"/>
          <w:sz w:val="24"/>
          <w:szCs w:val="24"/>
        </w:rPr>
        <w:t>. Usually, these themes are identified based on a coding system that uses a mix of codes to categorise their data</w:t>
      </w:r>
      <w:sdt>
        <w:sdtPr>
          <w:rPr>
            <w:rFonts w:asciiTheme="majorBidi" w:hAnsiTheme="majorBidi" w:cstheme="majorBidi"/>
            <w:color w:val="2E2E2E"/>
            <w:sz w:val="24"/>
            <w:szCs w:val="24"/>
          </w:rPr>
          <w:id w:val="1594591461"/>
          <w:citation/>
        </w:sdtPr>
        <w:sdtContent>
          <w:r w:rsidRPr="007D5C15">
            <w:rPr>
              <w:rFonts w:asciiTheme="majorBidi" w:hAnsiTheme="majorBidi" w:cstheme="majorBidi"/>
              <w:color w:val="2E2E2E"/>
              <w:sz w:val="24"/>
              <w:szCs w:val="24"/>
            </w:rPr>
            <w:fldChar w:fldCharType="begin"/>
          </w:r>
          <w:r w:rsidRPr="007D5C15">
            <w:rPr>
              <w:rFonts w:asciiTheme="majorBidi" w:hAnsiTheme="majorBidi" w:cstheme="majorBidi"/>
              <w:color w:val="2E2E2E"/>
              <w:sz w:val="24"/>
              <w:szCs w:val="24"/>
            </w:rPr>
            <w:instrText xml:space="preserve"> CITATION Cas18 \l 2057 </w:instrText>
          </w:r>
          <w:r w:rsidRPr="007D5C15">
            <w:rPr>
              <w:rFonts w:asciiTheme="majorBidi" w:hAnsiTheme="majorBidi" w:cstheme="majorBidi"/>
              <w:color w:val="2E2E2E"/>
              <w:sz w:val="24"/>
              <w:szCs w:val="24"/>
            </w:rPr>
            <w:fldChar w:fldCharType="separate"/>
          </w:r>
          <w:r w:rsidRPr="007D5C15">
            <w:rPr>
              <w:rFonts w:asciiTheme="majorBidi" w:hAnsiTheme="majorBidi" w:cstheme="majorBidi"/>
              <w:noProof/>
              <w:color w:val="2E2E2E"/>
              <w:sz w:val="24"/>
              <w:szCs w:val="24"/>
            </w:rPr>
            <w:t xml:space="preserve"> (Castleberry &amp; Nolen, 2018)</w:t>
          </w:r>
          <w:r w:rsidRPr="007D5C15">
            <w:rPr>
              <w:rFonts w:asciiTheme="majorBidi" w:hAnsiTheme="majorBidi" w:cstheme="majorBidi"/>
              <w:color w:val="2E2E2E"/>
              <w:sz w:val="24"/>
              <w:szCs w:val="24"/>
            </w:rPr>
            <w:fldChar w:fldCharType="end"/>
          </w:r>
        </w:sdtContent>
      </w:sdt>
      <w:r w:rsidRPr="007D5C15">
        <w:rPr>
          <w:rFonts w:asciiTheme="majorBidi" w:hAnsiTheme="majorBidi" w:cstheme="majorBidi"/>
          <w:color w:val="2E2E2E"/>
          <w:sz w:val="24"/>
          <w:szCs w:val="24"/>
        </w:rPr>
        <w:t>. The primary goal of coding is to reflect the interaction between respondents' answers and researchers' views on the aspects of the study’s topic</w:t>
      </w:r>
      <w:sdt>
        <w:sdtPr>
          <w:rPr>
            <w:rFonts w:asciiTheme="majorBidi" w:hAnsiTheme="majorBidi" w:cstheme="majorBidi"/>
            <w:color w:val="2E2E2E"/>
            <w:sz w:val="24"/>
            <w:szCs w:val="24"/>
          </w:rPr>
          <w:id w:val="-780733094"/>
          <w:citation/>
        </w:sdtPr>
        <w:sdtContent>
          <w:r w:rsidRPr="007D5C15">
            <w:rPr>
              <w:rFonts w:asciiTheme="majorBidi" w:hAnsiTheme="majorBidi" w:cstheme="majorBidi"/>
              <w:color w:val="2E2E2E"/>
              <w:sz w:val="24"/>
              <w:szCs w:val="24"/>
            </w:rPr>
            <w:fldChar w:fldCharType="begin"/>
          </w:r>
          <w:r w:rsidRPr="007D5C15">
            <w:rPr>
              <w:rFonts w:asciiTheme="majorBidi" w:hAnsiTheme="majorBidi" w:cstheme="majorBidi"/>
              <w:color w:val="2E2E2E"/>
              <w:sz w:val="24"/>
              <w:szCs w:val="24"/>
            </w:rPr>
            <w:instrText xml:space="preserve"> CITATION Dou11 \l 2057 </w:instrText>
          </w:r>
          <w:r w:rsidRPr="007D5C15">
            <w:rPr>
              <w:rFonts w:asciiTheme="majorBidi" w:hAnsiTheme="majorBidi" w:cstheme="majorBidi"/>
              <w:color w:val="2E2E2E"/>
              <w:sz w:val="24"/>
              <w:szCs w:val="24"/>
            </w:rPr>
            <w:fldChar w:fldCharType="separate"/>
          </w:r>
          <w:r w:rsidRPr="007D5C15">
            <w:rPr>
              <w:rFonts w:asciiTheme="majorBidi" w:hAnsiTheme="majorBidi" w:cstheme="majorBidi"/>
              <w:noProof/>
              <w:color w:val="2E2E2E"/>
              <w:sz w:val="24"/>
              <w:szCs w:val="24"/>
            </w:rPr>
            <w:t xml:space="preserve"> (Douglas, 2011)</w:t>
          </w:r>
          <w:r w:rsidRPr="007D5C15">
            <w:rPr>
              <w:rFonts w:asciiTheme="majorBidi" w:hAnsiTheme="majorBidi" w:cstheme="majorBidi"/>
              <w:color w:val="2E2E2E"/>
              <w:sz w:val="24"/>
              <w:szCs w:val="24"/>
            </w:rPr>
            <w:fldChar w:fldCharType="end"/>
          </w:r>
        </w:sdtContent>
      </w:sdt>
      <w:r w:rsidRPr="007D5C15">
        <w:rPr>
          <w:rFonts w:asciiTheme="majorBidi" w:hAnsiTheme="majorBidi" w:cstheme="majorBidi"/>
          <w:color w:val="2E2E2E"/>
          <w:sz w:val="24"/>
          <w:szCs w:val="24"/>
        </w:rPr>
        <w:t>.</w:t>
      </w:r>
      <w:r w:rsidRPr="00B62CE5">
        <w:rPr>
          <w:rFonts w:asciiTheme="majorBidi" w:hAnsiTheme="majorBidi" w:cstheme="majorBidi"/>
          <w:color w:val="2E2E2E"/>
          <w:sz w:val="24"/>
          <w:szCs w:val="24"/>
        </w:rPr>
        <w:t xml:space="preserve"> According to Saldana</w:t>
      </w:r>
      <w:sdt>
        <w:sdtPr>
          <w:rPr>
            <w:rFonts w:asciiTheme="majorBidi" w:hAnsiTheme="majorBidi" w:cstheme="majorBidi"/>
            <w:color w:val="2E2E2E"/>
            <w:sz w:val="24"/>
            <w:szCs w:val="24"/>
          </w:rPr>
          <w:id w:val="-435601216"/>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CITATION Sal211 \n  \t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(2021)</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xml:space="preserve">, in qualitative research, a code is a word or brief phrase that symbolically captures the respondents’ words and provides summative and prominent, or emotive attribute of their personal perspectives. </w:t>
      </w:r>
    </w:p>
    <w:p w14:paraId="2B0FF002" w14:textId="14EC4955" w:rsidR="00ED492B" w:rsidRPr="00B62CE5" w:rsidRDefault="00ED492B" w:rsidP="006A797D">
      <w:pPr>
        <w:widowControl w:val="0"/>
        <w:spacing w:after="0" w:line="480" w:lineRule="auto"/>
        <w:ind w:firstLine="720"/>
        <w:outlineLvl w:val="2"/>
        <w:rPr>
          <w:rFonts w:asciiTheme="majorBidi" w:hAnsiTheme="majorBidi" w:cstheme="majorBidi"/>
          <w:color w:val="2E2E2E"/>
          <w:sz w:val="24"/>
          <w:szCs w:val="24"/>
        </w:rPr>
      </w:pPr>
      <w:r w:rsidRPr="00B62CE5">
        <w:rPr>
          <w:rFonts w:asciiTheme="majorBidi" w:hAnsiTheme="majorBidi" w:cstheme="majorBidi"/>
          <w:color w:val="2E2E2E"/>
          <w:sz w:val="24"/>
          <w:szCs w:val="24"/>
        </w:rPr>
        <w:t>Coding usually happens in stages</w:t>
      </w:r>
      <w:sdt>
        <w:sdtPr>
          <w:rPr>
            <w:rFonts w:asciiTheme="majorBidi" w:hAnsiTheme="majorBidi" w:cstheme="majorBidi"/>
            <w:color w:val="2E2E2E"/>
            <w:sz w:val="24"/>
            <w:szCs w:val="24"/>
          </w:rPr>
          <w:id w:val="1887752900"/>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Bur22 \l 2057  \m Lin19</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(Burnam, 2022; Linneberg &amp; Korsgaard , 2019)</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xml:space="preserve">. </w:t>
      </w:r>
      <w:r w:rsidRPr="007D5C15">
        <w:rPr>
          <w:rFonts w:asciiTheme="majorBidi" w:hAnsiTheme="majorBidi" w:cstheme="majorBidi"/>
          <w:color w:val="2E2E2E"/>
          <w:sz w:val="24"/>
          <w:szCs w:val="24"/>
        </w:rPr>
        <w:t>The first stage encompasses listening to all interviews or reading all transcriptions and assigning generic phrases that represent respondents’ own words and answers</w:t>
      </w:r>
      <w:sdt>
        <w:sdtPr>
          <w:rPr>
            <w:rFonts w:asciiTheme="majorBidi" w:hAnsiTheme="majorBidi" w:cstheme="majorBidi"/>
            <w:color w:val="2E2E2E"/>
            <w:sz w:val="24"/>
            <w:szCs w:val="24"/>
          </w:rPr>
          <w:id w:val="1089431485"/>
          <w:citation/>
        </w:sdtPr>
        <w:sdtContent>
          <w:r w:rsidRPr="007D5C15">
            <w:rPr>
              <w:rFonts w:asciiTheme="majorBidi" w:hAnsiTheme="majorBidi" w:cstheme="majorBidi"/>
              <w:color w:val="2E2E2E"/>
              <w:sz w:val="24"/>
              <w:szCs w:val="24"/>
            </w:rPr>
            <w:fldChar w:fldCharType="begin"/>
          </w:r>
          <w:r w:rsidRPr="007D5C15">
            <w:rPr>
              <w:rFonts w:asciiTheme="majorBidi" w:hAnsiTheme="majorBidi" w:cstheme="majorBidi"/>
              <w:color w:val="2E2E2E"/>
              <w:sz w:val="24"/>
              <w:szCs w:val="24"/>
            </w:rPr>
            <w:instrText xml:space="preserve"> CITATION Bon21 \l 2057 </w:instrText>
          </w:r>
          <w:r w:rsidRPr="007D5C15">
            <w:rPr>
              <w:rFonts w:asciiTheme="majorBidi" w:hAnsiTheme="majorBidi" w:cstheme="majorBidi"/>
              <w:color w:val="2E2E2E"/>
              <w:sz w:val="24"/>
              <w:szCs w:val="24"/>
            </w:rPr>
            <w:fldChar w:fldCharType="separate"/>
          </w:r>
          <w:r w:rsidRPr="007D5C15">
            <w:rPr>
              <w:rFonts w:asciiTheme="majorBidi" w:hAnsiTheme="majorBidi" w:cstheme="majorBidi"/>
              <w:noProof/>
              <w:color w:val="2E2E2E"/>
              <w:sz w:val="24"/>
              <w:szCs w:val="24"/>
            </w:rPr>
            <w:t xml:space="preserve"> (Bondie, 2021)</w:t>
          </w:r>
          <w:r w:rsidRPr="007D5C15">
            <w:rPr>
              <w:rFonts w:asciiTheme="majorBidi" w:hAnsiTheme="majorBidi" w:cstheme="majorBidi"/>
              <w:color w:val="2E2E2E"/>
              <w:sz w:val="24"/>
              <w:szCs w:val="24"/>
            </w:rPr>
            <w:fldChar w:fldCharType="end"/>
          </w:r>
        </w:sdtContent>
      </w:sdt>
      <w:r w:rsidRPr="007D5C15">
        <w:rPr>
          <w:rFonts w:asciiTheme="majorBidi" w:hAnsiTheme="majorBidi" w:cstheme="majorBidi"/>
          <w:color w:val="2E2E2E"/>
          <w:sz w:val="24"/>
          <w:szCs w:val="24"/>
        </w:rPr>
        <w:t>. This first level of coding is referred to as “open coding,” that happens in the disassembling phase, allows the researcher to identify the initial concepts</w:t>
      </w:r>
      <w:r w:rsidRPr="00B62CE5">
        <w:rPr>
          <w:rFonts w:asciiTheme="majorBidi" w:hAnsiTheme="majorBidi" w:cstheme="majorBidi"/>
          <w:color w:val="2E2E2E"/>
          <w:sz w:val="24"/>
          <w:szCs w:val="24"/>
        </w:rPr>
        <w:t xml:space="preserve"> and themes from the data</w:t>
      </w:r>
      <w:sdt>
        <w:sdtPr>
          <w:rPr>
            <w:rFonts w:asciiTheme="majorBidi" w:hAnsiTheme="majorBidi" w:cstheme="majorBidi"/>
            <w:color w:val="2E2E2E"/>
            <w:sz w:val="24"/>
            <w:szCs w:val="24"/>
          </w:rPr>
          <w:id w:val="302128899"/>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Wil19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(Williams &amp; Moser, 2019)</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Open coding is often referred to as inductive coding</w:t>
      </w:r>
      <w:sdt>
        <w:sdtPr>
          <w:rPr>
            <w:rFonts w:asciiTheme="majorBidi" w:hAnsiTheme="majorBidi" w:cstheme="majorBidi"/>
            <w:color w:val="2E2E2E"/>
            <w:sz w:val="24"/>
            <w:szCs w:val="24"/>
          </w:rPr>
          <w:id w:val="1716397624"/>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Wil19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(Williams &amp; Moser, 2019)</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xml:space="preserve">. </w:t>
      </w:r>
      <w:r>
        <w:rPr>
          <w:rFonts w:asciiTheme="majorBidi" w:hAnsiTheme="majorBidi" w:cstheme="majorBidi"/>
          <w:color w:val="2E2E2E"/>
          <w:sz w:val="24"/>
          <w:szCs w:val="24"/>
        </w:rPr>
        <w:t>Afterwards</w:t>
      </w:r>
      <w:r w:rsidRPr="00B62CE5">
        <w:rPr>
          <w:rFonts w:asciiTheme="majorBidi" w:hAnsiTheme="majorBidi" w:cstheme="majorBidi"/>
          <w:color w:val="2E2E2E"/>
          <w:sz w:val="24"/>
          <w:szCs w:val="24"/>
        </w:rPr>
        <w:t>, these codes could be descriptive phrases that explain concepts or references from literature or directly quotes it</w:t>
      </w:r>
      <w:sdt>
        <w:sdtPr>
          <w:rPr>
            <w:rFonts w:asciiTheme="majorBidi" w:hAnsiTheme="majorBidi" w:cstheme="majorBidi"/>
            <w:color w:val="2E2E2E"/>
            <w:sz w:val="24"/>
            <w:szCs w:val="24"/>
          </w:rPr>
          <w:id w:val="253567777"/>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Mil14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(Miles, Huberman, &amp; Saldana, 2014)</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These are descriptive codes. While some researchers rely on “priori” which refer to existing codes from previous literature</w:t>
      </w:r>
      <w:sdt>
        <w:sdtPr>
          <w:rPr>
            <w:rFonts w:asciiTheme="majorBidi" w:hAnsiTheme="majorBidi" w:cstheme="majorBidi"/>
            <w:color w:val="2E2E2E"/>
            <w:sz w:val="24"/>
            <w:szCs w:val="24"/>
          </w:rPr>
          <w:id w:val="-889036315"/>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Boy98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(Boyatzis, 1998)</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the coding scheme can emerge from the data during the disassembling process</w:t>
      </w:r>
      <w:sdt>
        <w:sdtPr>
          <w:rPr>
            <w:rFonts w:asciiTheme="majorBidi" w:hAnsiTheme="majorBidi" w:cstheme="majorBidi"/>
            <w:color w:val="2E2E2E"/>
            <w:sz w:val="24"/>
            <w:szCs w:val="24"/>
          </w:rPr>
          <w:id w:val="-1569419001"/>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Cas18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(Castleberry &amp; Nolen, 2018)</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Both of descriptive and priori codes are often referred to as deductive coding</w:t>
      </w:r>
      <w:sdt>
        <w:sdtPr>
          <w:rPr>
            <w:rFonts w:asciiTheme="majorBidi" w:hAnsiTheme="majorBidi" w:cstheme="majorBidi"/>
            <w:color w:val="2E2E2E"/>
            <w:sz w:val="24"/>
            <w:szCs w:val="24"/>
          </w:rPr>
          <w:id w:val="284709977"/>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Wil19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(Williams &amp; Moser, 2019)</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xml:space="preserve">. Additionally, there are “In Vivo” codes that are based on exact phrases from the </w:t>
      </w:r>
      <w:r>
        <w:rPr>
          <w:rFonts w:asciiTheme="majorBidi" w:hAnsiTheme="majorBidi" w:cstheme="majorBidi"/>
          <w:color w:val="2E2E2E"/>
          <w:sz w:val="24"/>
          <w:szCs w:val="24"/>
        </w:rPr>
        <w:t>participants</w:t>
      </w:r>
      <w:r w:rsidRPr="00B62CE5">
        <w:rPr>
          <w:rFonts w:asciiTheme="majorBidi" w:hAnsiTheme="majorBidi" w:cstheme="majorBidi"/>
          <w:color w:val="2E2E2E"/>
          <w:sz w:val="24"/>
          <w:szCs w:val="24"/>
        </w:rPr>
        <w:t xml:space="preserve">’ narration which gives insight on the exact information emerging from the </w:t>
      </w:r>
      <w:r>
        <w:rPr>
          <w:rFonts w:asciiTheme="majorBidi" w:hAnsiTheme="majorBidi" w:cstheme="majorBidi"/>
          <w:color w:val="2E2E2E"/>
          <w:sz w:val="24"/>
          <w:szCs w:val="24"/>
        </w:rPr>
        <w:t>participants</w:t>
      </w:r>
      <w:sdt>
        <w:sdtPr>
          <w:rPr>
            <w:rFonts w:asciiTheme="majorBidi" w:hAnsiTheme="majorBidi" w:cstheme="majorBidi"/>
            <w:color w:val="2E2E2E"/>
            <w:sz w:val="24"/>
            <w:szCs w:val="24"/>
          </w:rPr>
          <w:id w:val="-1256042520"/>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Cas18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(Castleberry &amp; Nolen, 2018)</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xml:space="preserve">. There are </w:t>
      </w:r>
      <w:r w:rsidR="009453DF">
        <w:rPr>
          <w:rFonts w:asciiTheme="majorBidi" w:hAnsiTheme="majorBidi" w:cstheme="majorBidi"/>
          <w:color w:val="2E2E2E"/>
          <w:sz w:val="24"/>
          <w:szCs w:val="24"/>
        </w:rPr>
        <w:t>several</w:t>
      </w:r>
      <w:r w:rsidRPr="00B62CE5">
        <w:rPr>
          <w:rFonts w:asciiTheme="majorBidi" w:hAnsiTheme="majorBidi" w:cstheme="majorBidi"/>
          <w:color w:val="2E2E2E"/>
          <w:sz w:val="24"/>
          <w:szCs w:val="24"/>
        </w:rPr>
        <w:t xml:space="preserve"> other types of coding such as process, structural, values,</w:t>
      </w:r>
      <w:r w:rsidR="009453DF">
        <w:rPr>
          <w:rFonts w:asciiTheme="majorBidi" w:hAnsiTheme="majorBidi" w:cstheme="majorBidi"/>
          <w:color w:val="2E2E2E"/>
          <w:sz w:val="24"/>
          <w:szCs w:val="24"/>
        </w:rPr>
        <w:t xml:space="preserve"> and</w:t>
      </w:r>
      <w:r w:rsidRPr="00B62CE5">
        <w:rPr>
          <w:rFonts w:asciiTheme="majorBidi" w:hAnsiTheme="majorBidi" w:cstheme="majorBidi"/>
          <w:color w:val="2E2E2E"/>
          <w:sz w:val="24"/>
          <w:szCs w:val="24"/>
        </w:rPr>
        <w:t xml:space="preserve"> simultaneous codes, etc</w:t>
      </w:r>
      <w:sdt>
        <w:sdtPr>
          <w:rPr>
            <w:rFonts w:asciiTheme="majorBidi" w:hAnsiTheme="majorBidi" w:cstheme="majorBidi"/>
            <w:color w:val="2E2E2E"/>
            <w:sz w:val="24"/>
            <w:szCs w:val="24"/>
          </w:rPr>
          <w:id w:val="810208969"/>
          <w:citation/>
        </w:sdtPr>
        <w:sdtContent>
          <w:r w:rsidRPr="00B62CE5">
            <w:rPr>
              <w:rFonts w:asciiTheme="majorBidi" w:hAnsiTheme="majorBidi" w:cstheme="majorBidi"/>
              <w:color w:val="2E2E2E"/>
              <w:sz w:val="24"/>
              <w:szCs w:val="24"/>
            </w:rPr>
            <w:fldChar w:fldCharType="begin"/>
          </w:r>
          <w:r w:rsidRPr="00B62CE5">
            <w:rPr>
              <w:rFonts w:asciiTheme="majorBidi" w:hAnsiTheme="majorBidi" w:cstheme="majorBidi"/>
              <w:color w:val="2E2E2E"/>
              <w:sz w:val="24"/>
              <w:szCs w:val="24"/>
            </w:rPr>
            <w:instrText xml:space="preserve"> CITATION Sch21 \l 2057 </w:instrText>
          </w:r>
          <w:r w:rsidRPr="00B62CE5">
            <w:rPr>
              <w:rFonts w:asciiTheme="majorBidi" w:hAnsiTheme="majorBidi" w:cstheme="majorBidi"/>
              <w:color w:val="2E2E2E"/>
              <w:sz w:val="24"/>
              <w:szCs w:val="24"/>
            </w:rPr>
            <w:fldChar w:fldCharType="separate"/>
          </w:r>
          <w:r w:rsidRPr="00B62CE5">
            <w:rPr>
              <w:rFonts w:asciiTheme="majorBidi" w:hAnsiTheme="majorBidi" w:cstheme="majorBidi"/>
              <w:noProof/>
              <w:color w:val="2E2E2E"/>
              <w:sz w:val="24"/>
              <w:szCs w:val="24"/>
            </w:rPr>
            <w:t xml:space="preserve"> (Schwartz, 2021)</w:t>
          </w:r>
          <w:r w:rsidRPr="00B62CE5">
            <w:rPr>
              <w:rFonts w:asciiTheme="majorBidi" w:hAnsiTheme="majorBidi" w:cstheme="majorBidi"/>
              <w:color w:val="2E2E2E"/>
              <w:sz w:val="24"/>
              <w:szCs w:val="24"/>
            </w:rPr>
            <w:fldChar w:fldCharType="end"/>
          </w:r>
        </w:sdtContent>
      </w:sdt>
      <w:r w:rsidRPr="00B62CE5">
        <w:rPr>
          <w:rFonts w:asciiTheme="majorBidi" w:hAnsiTheme="majorBidi" w:cstheme="majorBidi"/>
          <w:color w:val="2E2E2E"/>
          <w:sz w:val="24"/>
          <w:szCs w:val="24"/>
        </w:rPr>
        <w:t>. The following</w:t>
      </w:r>
      <w:r>
        <w:rPr>
          <w:rFonts w:asciiTheme="majorBidi" w:hAnsiTheme="majorBidi" w:cstheme="majorBidi"/>
          <w:color w:val="2E2E2E"/>
          <w:sz w:val="24"/>
          <w:szCs w:val="24"/>
        </w:rPr>
        <w:t xml:space="preserve"> table</w:t>
      </w:r>
      <w:r w:rsidRPr="00B62CE5">
        <w:rPr>
          <w:rFonts w:asciiTheme="majorBidi" w:hAnsiTheme="majorBidi" w:cstheme="majorBidi"/>
          <w:color w:val="2E2E2E"/>
          <w:sz w:val="24"/>
          <w:szCs w:val="24"/>
        </w:rPr>
        <w:t xml:space="preserve"> identifies some of the most applied coding systems in qualitative data.</w:t>
      </w:r>
    </w:p>
    <w:tbl>
      <w:tblPr>
        <w:tblStyle w:val="TableGrid"/>
        <w:tblW w:w="0" w:type="auto"/>
        <w:tblInd w:w="279" w:type="dxa"/>
        <w:tblLook w:val="04A0" w:firstRow="1" w:lastRow="0" w:firstColumn="1" w:lastColumn="0" w:noHBand="0" w:noVBand="1"/>
      </w:tblPr>
      <w:tblGrid>
        <w:gridCol w:w="2126"/>
        <w:gridCol w:w="6095"/>
      </w:tblGrid>
      <w:tr w:rsidR="00ED492B" w:rsidRPr="00B62CE5" w14:paraId="0A855E89" w14:textId="77777777" w:rsidTr="00CB0370">
        <w:trPr>
          <w:trHeight w:val="46"/>
        </w:trPr>
        <w:tc>
          <w:tcPr>
            <w:tcW w:w="2126" w:type="dxa"/>
          </w:tcPr>
          <w:p w14:paraId="1D775345"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Type of Code </w:t>
            </w:r>
          </w:p>
        </w:tc>
        <w:tc>
          <w:tcPr>
            <w:tcW w:w="6095" w:type="dxa"/>
          </w:tcPr>
          <w:p w14:paraId="05C2500B"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Definition </w:t>
            </w:r>
          </w:p>
        </w:tc>
      </w:tr>
      <w:tr w:rsidR="00ED492B" w:rsidRPr="00B62CE5" w14:paraId="7E64155B" w14:textId="77777777" w:rsidTr="00CB0370">
        <w:trPr>
          <w:trHeight w:val="190"/>
        </w:trPr>
        <w:tc>
          <w:tcPr>
            <w:tcW w:w="2126" w:type="dxa"/>
          </w:tcPr>
          <w:p w14:paraId="39886B83"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Open Coding</w:t>
            </w:r>
          </w:p>
        </w:tc>
        <w:tc>
          <w:tcPr>
            <w:tcW w:w="6095" w:type="dxa"/>
          </w:tcPr>
          <w:p w14:paraId="41914DD7"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Preliminary codes for initially identified themes that are subject to change </w:t>
            </w:r>
          </w:p>
        </w:tc>
      </w:tr>
      <w:tr w:rsidR="00ED492B" w:rsidRPr="00B62CE5" w14:paraId="1E96EE62" w14:textId="77777777" w:rsidTr="00CB0370">
        <w:trPr>
          <w:trHeight w:val="209"/>
        </w:trPr>
        <w:tc>
          <w:tcPr>
            <w:tcW w:w="2126" w:type="dxa"/>
          </w:tcPr>
          <w:p w14:paraId="6094459C"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Descriptive Coding</w:t>
            </w:r>
          </w:p>
        </w:tc>
        <w:tc>
          <w:tcPr>
            <w:tcW w:w="6095" w:type="dxa"/>
          </w:tcPr>
          <w:p w14:paraId="333F4DC3"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Phrases that briefly explain concepts or themes emerged from the results </w:t>
            </w:r>
          </w:p>
        </w:tc>
      </w:tr>
      <w:tr w:rsidR="00ED492B" w:rsidRPr="00B62CE5" w14:paraId="2F1BE6B8" w14:textId="77777777" w:rsidTr="00CB0370">
        <w:trPr>
          <w:trHeight w:val="248"/>
        </w:trPr>
        <w:tc>
          <w:tcPr>
            <w:tcW w:w="2126" w:type="dxa"/>
          </w:tcPr>
          <w:p w14:paraId="1F43F674"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Priori Coding</w:t>
            </w:r>
          </w:p>
        </w:tc>
        <w:tc>
          <w:tcPr>
            <w:tcW w:w="6095" w:type="dxa"/>
          </w:tcPr>
          <w:p w14:paraId="0D52733F"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Using codes that were previously created in other studies addressing similar topics </w:t>
            </w:r>
          </w:p>
        </w:tc>
      </w:tr>
      <w:tr w:rsidR="00ED492B" w:rsidRPr="00B62CE5" w14:paraId="1EC50FD9" w14:textId="77777777" w:rsidTr="00CB0370">
        <w:trPr>
          <w:trHeight w:val="248"/>
        </w:trPr>
        <w:tc>
          <w:tcPr>
            <w:tcW w:w="2126" w:type="dxa"/>
          </w:tcPr>
          <w:p w14:paraId="5C6EE879"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In Vivo Coding</w:t>
            </w:r>
          </w:p>
        </w:tc>
        <w:tc>
          <w:tcPr>
            <w:tcW w:w="6095" w:type="dxa"/>
          </w:tcPr>
          <w:p w14:paraId="25D95CAD"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Codes that utilise the respondents’ own phrases and spoken language </w:t>
            </w:r>
          </w:p>
        </w:tc>
      </w:tr>
      <w:tr w:rsidR="00ED492B" w:rsidRPr="00B62CE5" w14:paraId="09130AC1" w14:textId="77777777" w:rsidTr="00CB0370">
        <w:trPr>
          <w:trHeight w:val="53"/>
        </w:trPr>
        <w:tc>
          <w:tcPr>
            <w:tcW w:w="2126" w:type="dxa"/>
          </w:tcPr>
          <w:p w14:paraId="08FDB7C0"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Process Coding </w:t>
            </w:r>
          </w:p>
        </w:tc>
        <w:tc>
          <w:tcPr>
            <w:tcW w:w="6095" w:type="dxa"/>
          </w:tcPr>
          <w:p w14:paraId="087EF1E8"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Codes that communicate an action depicted in the data </w:t>
            </w:r>
          </w:p>
        </w:tc>
      </w:tr>
      <w:tr w:rsidR="00ED492B" w:rsidRPr="00B62CE5" w14:paraId="6B02F39C" w14:textId="77777777" w:rsidTr="00CB0370">
        <w:trPr>
          <w:trHeight w:val="53"/>
        </w:trPr>
        <w:tc>
          <w:tcPr>
            <w:tcW w:w="2126" w:type="dxa"/>
          </w:tcPr>
          <w:p w14:paraId="3A904DCE"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Structural Coding </w:t>
            </w:r>
          </w:p>
        </w:tc>
        <w:tc>
          <w:tcPr>
            <w:tcW w:w="6095" w:type="dxa"/>
          </w:tcPr>
          <w:p w14:paraId="4D059A72"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Categorises and analyses the qualitative data based on a specific structure  </w:t>
            </w:r>
          </w:p>
        </w:tc>
      </w:tr>
      <w:tr w:rsidR="00ED492B" w:rsidRPr="00B62CE5" w14:paraId="09D50B7F" w14:textId="77777777" w:rsidTr="00CB0370">
        <w:trPr>
          <w:trHeight w:val="53"/>
        </w:trPr>
        <w:tc>
          <w:tcPr>
            <w:tcW w:w="2126" w:type="dxa"/>
          </w:tcPr>
          <w:p w14:paraId="6B488C99"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Values Coding </w:t>
            </w:r>
          </w:p>
        </w:tc>
        <w:tc>
          <w:tcPr>
            <w:tcW w:w="6095" w:type="dxa"/>
          </w:tcPr>
          <w:p w14:paraId="5946BD32"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Codes that reflect respondent’s attitudes and values </w:t>
            </w:r>
          </w:p>
        </w:tc>
      </w:tr>
      <w:tr w:rsidR="00ED492B" w:rsidRPr="00B62CE5" w14:paraId="1DADE502" w14:textId="77777777" w:rsidTr="00CB0370">
        <w:trPr>
          <w:trHeight w:val="53"/>
        </w:trPr>
        <w:tc>
          <w:tcPr>
            <w:tcW w:w="2126" w:type="dxa"/>
          </w:tcPr>
          <w:p w14:paraId="4D26C2EE"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Simultaneous Coding</w:t>
            </w:r>
          </w:p>
        </w:tc>
        <w:tc>
          <w:tcPr>
            <w:tcW w:w="6095" w:type="dxa"/>
          </w:tcPr>
          <w:p w14:paraId="6310FC5A" w14:textId="77777777" w:rsidR="00ED492B" w:rsidRPr="007D5C15" w:rsidRDefault="00ED492B" w:rsidP="007D5C15">
            <w:pPr>
              <w:keepNext/>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Involves coding a single piece of qualitative data using different codes </w:t>
            </w:r>
          </w:p>
        </w:tc>
      </w:tr>
    </w:tbl>
    <w:p w14:paraId="33374F2D" w14:textId="150F5C18" w:rsidR="00ED492B" w:rsidRDefault="006A797D" w:rsidP="006A797D">
      <w:pPr>
        <w:pStyle w:val="Caption"/>
        <w:rPr>
          <w:rFonts w:asciiTheme="majorBidi" w:hAnsiTheme="majorBidi" w:cstheme="majorBidi"/>
          <w:color w:val="2E2E2E"/>
          <w:sz w:val="24"/>
          <w:szCs w:val="24"/>
        </w:rPr>
      </w:pPr>
      <w:r>
        <w:t xml:space="preserve">Table </w:t>
      </w:r>
      <w:r w:rsidR="00CB0370">
        <w:t>54 Summarises</w:t>
      </w:r>
      <w:r>
        <w:t xml:space="preserve"> the main types of</w:t>
      </w:r>
      <w:r w:rsidRPr="006A797D">
        <w:t xml:space="preserve"> coding in qualitative data analysis</w:t>
      </w:r>
    </w:p>
    <w:p w14:paraId="534F06F7" w14:textId="23C97075" w:rsidR="00ED492B" w:rsidRPr="00B62CE5" w:rsidRDefault="00ED492B" w:rsidP="006A797D">
      <w:pPr>
        <w:pStyle w:val="ListParagraph"/>
        <w:widowControl w:val="0"/>
        <w:spacing w:after="0" w:line="480" w:lineRule="auto"/>
        <w:ind w:left="0"/>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B62CE5">
        <w:rPr>
          <w:rFonts w:asciiTheme="majorBidi" w:hAnsiTheme="majorBidi" w:cstheme="majorBidi"/>
          <w:color w:val="2E2E2E"/>
          <w:sz w:val="24"/>
          <w:szCs w:val="24"/>
        </w:rPr>
        <w:t xml:space="preserve"> </w:t>
      </w:r>
      <w:r>
        <w:rPr>
          <w:rFonts w:asciiTheme="majorBidi" w:hAnsiTheme="majorBidi" w:cstheme="majorBidi"/>
          <w:color w:val="2E2E2E"/>
          <w:sz w:val="24"/>
          <w:szCs w:val="24"/>
        </w:rPr>
        <w:t xml:space="preserve">Subsequently, the </w:t>
      </w:r>
      <w:r w:rsidRPr="007D5C15">
        <w:rPr>
          <w:rFonts w:asciiTheme="majorBidi" w:hAnsiTheme="majorBidi" w:cstheme="majorBidi"/>
          <w:color w:val="2E2E2E"/>
          <w:sz w:val="24"/>
          <w:szCs w:val="24"/>
        </w:rPr>
        <w:t>reassembling phase takes place by conducting a more detailed “line-by-line” transcription analysis and reassigning or rephrasing the codes</w:t>
      </w:r>
      <w:sdt>
        <w:sdtPr>
          <w:rPr>
            <w:rFonts w:asciiTheme="majorBidi" w:hAnsiTheme="majorBidi" w:cstheme="majorBidi"/>
            <w:color w:val="2E2E2E"/>
            <w:sz w:val="24"/>
            <w:szCs w:val="24"/>
          </w:rPr>
          <w:id w:val="-132871971"/>
          <w:citation/>
        </w:sdtPr>
        <w:sdtContent>
          <w:r w:rsidRPr="007D5C15">
            <w:rPr>
              <w:rFonts w:asciiTheme="majorBidi" w:hAnsiTheme="majorBidi" w:cstheme="majorBidi"/>
              <w:color w:val="2E2E2E"/>
              <w:sz w:val="24"/>
              <w:szCs w:val="24"/>
            </w:rPr>
            <w:fldChar w:fldCharType="begin"/>
          </w:r>
          <w:r w:rsidRPr="007D5C15">
            <w:rPr>
              <w:rFonts w:asciiTheme="majorBidi" w:hAnsiTheme="majorBidi" w:cstheme="majorBidi"/>
              <w:color w:val="2E2E2E"/>
              <w:sz w:val="24"/>
              <w:szCs w:val="24"/>
            </w:rPr>
            <w:instrText xml:space="preserve"> CITATION Bon21 \l 2057 </w:instrText>
          </w:r>
          <w:r w:rsidRPr="007D5C15">
            <w:rPr>
              <w:rFonts w:asciiTheme="majorBidi" w:hAnsiTheme="majorBidi" w:cstheme="majorBidi"/>
              <w:color w:val="2E2E2E"/>
              <w:sz w:val="24"/>
              <w:szCs w:val="24"/>
            </w:rPr>
            <w:fldChar w:fldCharType="separate"/>
          </w:r>
          <w:r w:rsidRPr="007D5C15">
            <w:rPr>
              <w:rFonts w:asciiTheme="majorBidi" w:hAnsiTheme="majorBidi" w:cstheme="majorBidi"/>
              <w:noProof/>
              <w:color w:val="2E2E2E"/>
              <w:sz w:val="24"/>
              <w:szCs w:val="24"/>
            </w:rPr>
            <w:t xml:space="preserve"> (Bondie, 2021)</w:t>
          </w:r>
          <w:r w:rsidRPr="007D5C15">
            <w:rPr>
              <w:rFonts w:asciiTheme="majorBidi" w:hAnsiTheme="majorBidi" w:cstheme="majorBidi"/>
              <w:color w:val="2E2E2E"/>
              <w:sz w:val="24"/>
              <w:szCs w:val="24"/>
            </w:rPr>
            <w:fldChar w:fldCharType="end"/>
          </w:r>
        </w:sdtContent>
      </w:sdt>
      <w:r w:rsidRPr="007D5C15">
        <w:rPr>
          <w:rFonts w:asciiTheme="majorBidi" w:hAnsiTheme="majorBidi" w:cstheme="majorBidi"/>
          <w:color w:val="2E2E2E"/>
          <w:sz w:val="24"/>
          <w:szCs w:val="24"/>
        </w:rPr>
        <w:t>. In this phase, descriptive coding is assigned for the emerged themes. Lastly, the codes emerged in the second stage are grouped based on common themes and categories that emerged from the data</w:t>
      </w:r>
      <w:sdt>
        <w:sdtPr>
          <w:rPr>
            <w:rFonts w:asciiTheme="majorBidi" w:hAnsiTheme="majorBidi" w:cstheme="majorBidi"/>
            <w:color w:val="2E2E2E"/>
            <w:sz w:val="24"/>
            <w:szCs w:val="24"/>
          </w:rPr>
          <w:id w:val="148565604"/>
          <w:citation/>
        </w:sdtPr>
        <w:sdtContent>
          <w:r w:rsidRPr="007D5C15">
            <w:rPr>
              <w:rFonts w:asciiTheme="majorBidi" w:hAnsiTheme="majorBidi" w:cstheme="majorBidi"/>
              <w:color w:val="2E2E2E"/>
              <w:sz w:val="24"/>
              <w:szCs w:val="24"/>
            </w:rPr>
            <w:fldChar w:fldCharType="begin"/>
          </w:r>
          <w:r w:rsidRPr="007D5C15">
            <w:rPr>
              <w:rFonts w:asciiTheme="majorBidi" w:hAnsiTheme="majorBidi" w:cstheme="majorBidi"/>
              <w:color w:val="2E2E2E"/>
              <w:sz w:val="24"/>
              <w:szCs w:val="24"/>
            </w:rPr>
            <w:instrText xml:space="preserve"> CITATION Bon21 \l 2057 </w:instrText>
          </w:r>
          <w:r w:rsidRPr="007D5C15">
            <w:rPr>
              <w:rFonts w:asciiTheme="majorBidi" w:hAnsiTheme="majorBidi" w:cstheme="majorBidi"/>
              <w:color w:val="2E2E2E"/>
              <w:sz w:val="24"/>
              <w:szCs w:val="24"/>
            </w:rPr>
            <w:fldChar w:fldCharType="separate"/>
          </w:r>
          <w:r w:rsidRPr="007D5C15">
            <w:rPr>
              <w:rFonts w:asciiTheme="majorBidi" w:hAnsiTheme="majorBidi" w:cstheme="majorBidi"/>
              <w:noProof/>
              <w:color w:val="2E2E2E"/>
              <w:sz w:val="24"/>
              <w:szCs w:val="24"/>
            </w:rPr>
            <w:t xml:space="preserve"> (Bondie, 2021)</w:t>
          </w:r>
          <w:r w:rsidRPr="007D5C15">
            <w:rPr>
              <w:rFonts w:asciiTheme="majorBidi" w:hAnsiTheme="majorBidi" w:cstheme="majorBidi"/>
              <w:color w:val="2E2E2E"/>
              <w:sz w:val="24"/>
              <w:szCs w:val="24"/>
            </w:rPr>
            <w:fldChar w:fldCharType="end"/>
          </w:r>
        </w:sdtContent>
      </w:sdt>
      <w:r w:rsidRPr="007D5C15">
        <w:rPr>
          <w:rFonts w:asciiTheme="majorBidi" w:hAnsiTheme="majorBidi" w:cstheme="majorBidi"/>
          <w:color w:val="2E2E2E"/>
          <w:sz w:val="24"/>
          <w:szCs w:val="24"/>
        </w:rPr>
        <w:t>. This stage is referred to as interpreting. The final themes, summari</w:t>
      </w:r>
      <w:r w:rsidR="009453DF" w:rsidRPr="007D5C15">
        <w:rPr>
          <w:rFonts w:asciiTheme="majorBidi" w:hAnsiTheme="majorBidi" w:cstheme="majorBidi"/>
          <w:color w:val="2E2E2E"/>
          <w:sz w:val="24"/>
          <w:szCs w:val="24"/>
        </w:rPr>
        <w:t>s</w:t>
      </w:r>
      <w:r w:rsidRPr="007D5C15">
        <w:rPr>
          <w:rFonts w:asciiTheme="majorBidi" w:hAnsiTheme="majorBidi" w:cstheme="majorBidi"/>
          <w:color w:val="2E2E2E"/>
          <w:sz w:val="24"/>
          <w:szCs w:val="24"/>
        </w:rPr>
        <w:t>ed in the below table, were grouped into 12 main themes and 6 subthemes.</w:t>
      </w:r>
      <w:r w:rsidRPr="00B62CE5">
        <w:rPr>
          <w:rFonts w:asciiTheme="majorBidi" w:hAnsiTheme="majorBidi" w:cstheme="majorBidi"/>
          <w:color w:val="2E2E2E"/>
          <w:sz w:val="24"/>
          <w:szCs w:val="24"/>
        </w:rPr>
        <w:t xml:space="preserve"> These themes were: </w:t>
      </w:r>
      <w:r>
        <w:rPr>
          <w:rFonts w:asciiTheme="majorBidi" w:hAnsiTheme="majorBidi" w:cstheme="majorBidi"/>
          <w:color w:val="2E2E2E"/>
          <w:sz w:val="24"/>
          <w:szCs w:val="24"/>
        </w:rPr>
        <w:t>choosing products</w:t>
      </w:r>
      <w:r w:rsidRPr="00B62CE5">
        <w:rPr>
          <w:rFonts w:asciiTheme="majorBidi" w:hAnsiTheme="majorBidi" w:cstheme="majorBidi"/>
          <w:color w:val="2E2E2E"/>
          <w:sz w:val="24"/>
          <w:szCs w:val="24"/>
        </w:rPr>
        <w:t>, CSR Perception, ad likeability,</w:t>
      </w:r>
      <w:r>
        <w:rPr>
          <w:rFonts w:asciiTheme="majorBidi" w:hAnsiTheme="majorBidi" w:cstheme="majorBidi"/>
          <w:color w:val="2E2E2E"/>
          <w:sz w:val="24"/>
          <w:szCs w:val="24"/>
        </w:rPr>
        <w:t xml:space="preserve"> </w:t>
      </w:r>
      <w:r w:rsidRPr="0028089D">
        <w:rPr>
          <w:rFonts w:asciiTheme="majorBidi" w:hAnsiTheme="majorBidi" w:cstheme="majorBidi"/>
          <w:sz w:val="24"/>
          <w:szCs w:val="24"/>
        </w:rPr>
        <w:t>ad comparisons,</w:t>
      </w:r>
      <w:r>
        <w:rPr>
          <w:rFonts w:asciiTheme="majorBidi" w:hAnsiTheme="majorBidi" w:cstheme="majorBidi"/>
          <w:b/>
          <w:bCs/>
          <w:sz w:val="24"/>
          <w:szCs w:val="24"/>
        </w:rPr>
        <w:t xml:space="preserve"> </w:t>
      </w:r>
      <w:r>
        <w:rPr>
          <w:rFonts w:asciiTheme="majorBidi" w:hAnsiTheme="majorBidi" w:cstheme="majorBidi"/>
          <w:color w:val="2E2E2E"/>
          <w:sz w:val="24"/>
          <w:szCs w:val="24"/>
        </w:rPr>
        <w:t>m</w:t>
      </w:r>
      <w:r w:rsidRPr="0028089D">
        <w:rPr>
          <w:rFonts w:asciiTheme="majorBidi" w:hAnsiTheme="majorBidi" w:cstheme="majorBidi"/>
          <w:color w:val="2E2E2E"/>
          <w:sz w:val="24"/>
          <w:szCs w:val="24"/>
        </w:rPr>
        <w:t>edia channel preference</w:t>
      </w:r>
      <w:r>
        <w:rPr>
          <w:rFonts w:asciiTheme="majorBidi" w:hAnsiTheme="majorBidi" w:cstheme="majorBidi"/>
          <w:color w:val="2E2E2E"/>
          <w:sz w:val="24"/>
          <w:szCs w:val="24"/>
        </w:rPr>
        <w:t>, b</w:t>
      </w:r>
      <w:r w:rsidRPr="0028089D">
        <w:rPr>
          <w:rFonts w:asciiTheme="majorBidi" w:hAnsiTheme="majorBidi" w:cstheme="majorBidi"/>
          <w:color w:val="2E2E2E"/>
          <w:sz w:val="24"/>
          <w:szCs w:val="24"/>
        </w:rPr>
        <w:t>rand likeability</w:t>
      </w:r>
      <w:r>
        <w:rPr>
          <w:rFonts w:asciiTheme="majorBidi" w:hAnsiTheme="majorBidi" w:cstheme="majorBidi"/>
          <w:color w:val="2E2E2E"/>
          <w:sz w:val="24"/>
          <w:szCs w:val="24"/>
        </w:rPr>
        <w:t xml:space="preserve">, </w:t>
      </w:r>
      <w:r w:rsidR="009453DF">
        <w:rPr>
          <w:rFonts w:asciiTheme="majorBidi" w:hAnsiTheme="majorBidi" w:cstheme="majorBidi"/>
          <w:color w:val="2E2E2E"/>
          <w:sz w:val="24"/>
          <w:szCs w:val="24"/>
        </w:rPr>
        <w:t>e</w:t>
      </w:r>
      <w:r w:rsidRPr="00F023E9">
        <w:rPr>
          <w:rFonts w:asciiTheme="majorBidi" w:hAnsiTheme="majorBidi" w:cstheme="majorBidi"/>
          <w:color w:val="2E2E2E"/>
          <w:sz w:val="24"/>
          <w:szCs w:val="24"/>
        </w:rPr>
        <w:t>motional brand attachment</w:t>
      </w:r>
      <w:r>
        <w:rPr>
          <w:rFonts w:asciiTheme="majorBidi" w:hAnsiTheme="majorBidi" w:cstheme="majorBidi"/>
          <w:color w:val="2E2E2E"/>
          <w:sz w:val="24"/>
          <w:szCs w:val="24"/>
        </w:rPr>
        <w:t>, b</w:t>
      </w:r>
      <w:r w:rsidRPr="0028089D">
        <w:rPr>
          <w:rFonts w:asciiTheme="majorBidi" w:hAnsiTheme="majorBidi" w:cstheme="majorBidi"/>
          <w:color w:val="2E2E2E"/>
          <w:sz w:val="24"/>
          <w:szCs w:val="24"/>
        </w:rPr>
        <w:t>rand trust</w:t>
      </w:r>
      <w:r>
        <w:rPr>
          <w:rFonts w:asciiTheme="majorBidi" w:hAnsiTheme="majorBidi" w:cstheme="majorBidi"/>
          <w:color w:val="2E2E2E"/>
          <w:sz w:val="24"/>
          <w:szCs w:val="24"/>
        </w:rPr>
        <w:t>, p</w:t>
      </w:r>
      <w:r w:rsidRPr="0028089D">
        <w:rPr>
          <w:rFonts w:asciiTheme="majorBidi" w:hAnsiTheme="majorBidi" w:cstheme="majorBidi"/>
          <w:color w:val="2E2E2E"/>
          <w:sz w:val="24"/>
          <w:szCs w:val="24"/>
        </w:rPr>
        <w:t>erceived brand functionality</w:t>
      </w:r>
      <w:r>
        <w:rPr>
          <w:rFonts w:asciiTheme="majorBidi" w:hAnsiTheme="majorBidi" w:cstheme="majorBidi"/>
          <w:color w:val="2E2E2E"/>
          <w:sz w:val="24"/>
          <w:szCs w:val="24"/>
        </w:rPr>
        <w:t>, p</w:t>
      </w:r>
      <w:r w:rsidRPr="0028089D">
        <w:rPr>
          <w:rFonts w:asciiTheme="majorBidi" w:hAnsiTheme="majorBidi" w:cstheme="majorBidi"/>
          <w:color w:val="2E2E2E"/>
          <w:sz w:val="24"/>
          <w:szCs w:val="24"/>
        </w:rPr>
        <w:t>urchase intention</w:t>
      </w:r>
      <w:r>
        <w:rPr>
          <w:rFonts w:asciiTheme="majorBidi" w:hAnsiTheme="majorBidi" w:cstheme="majorBidi"/>
          <w:color w:val="2E2E2E"/>
          <w:sz w:val="24"/>
          <w:szCs w:val="24"/>
        </w:rPr>
        <w:t xml:space="preserve">, CSR strategy, </w:t>
      </w:r>
      <w:r w:rsidR="009453DF">
        <w:rPr>
          <w:rFonts w:asciiTheme="majorBidi" w:hAnsiTheme="majorBidi" w:cstheme="majorBidi"/>
          <w:color w:val="2E2E2E"/>
          <w:sz w:val="24"/>
          <w:szCs w:val="24"/>
        </w:rPr>
        <w:t xml:space="preserve">and </w:t>
      </w:r>
      <w:r>
        <w:rPr>
          <w:rFonts w:asciiTheme="majorBidi" w:hAnsiTheme="majorBidi" w:cstheme="majorBidi"/>
          <w:color w:val="2E2E2E"/>
          <w:sz w:val="24"/>
          <w:szCs w:val="24"/>
        </w:rPr>
        <w:t xml:space="preserve">congruity. Some of the final agreed on set of themes were further subcategorised into two subthemes. During the interpretation stage, </w:t>
      </w:r>
      <w:r w:rsidR="009453DF">
        <w:rPr>
          <w:rFonts w:asciiTheme="majorBidi" w:hAnsiTheme="majorBidi" w:cstheme="majorBidi"/>
          <w:color w:val="2E2E2E"/>
          <w:sz w:val="24"/>
          <w:szCs w:val="24"/>
        </w:rPr>
        <w:t>two</w:t>
      </w:r>
      <w:r>
        <w:rPr>
          <w:rFonts w:asciiTheme="majorBidi" w:hAnsiTheme="majorBidi" w:cstheme="majorBidi"/>
          <w:color w:val="2E2E2E"/>
          <w:sz w:val="24"/>
          <w:szCs w:val="24"/>
        </w:rPr>
        <w:t xml:space="preserve"> of the themes were further divided into subthemes. Due to the comparative goals of this research, ad likeability and purchase intention were broken down into three themes each. Table </w:t>
      </w:r>
      <w:r w:rsidR="004C729F">
        <w:rPr>
          <w:rFonts w:asciiTheme="majorBidi" w:hAnsiTheme="majorBidi" w:cstheme="majorBidi"/>
          <w:color w:val="2E2E2E"/>
          <w:sz w:val="24"/>
          <w:szCs w:val="24"/>
        </w:rPr>
        <w:t>5</w:t>
      </w:r>
      <w:r w:rsidR="008C0AA6">
        <w:rPr>
          <w:rFonts w:asciiTheme="majorBidi" w:hAnsiTheme="majorBidi" w:cstheme="majorBidi"/>
          <w:color w:val="2E2E2E"/>
          <w:sz w:val="24"/>
          <w:szCs w:val="24"/>
        </w:rPr>
        <w:t>5</w:t>
      </w:r>
      <w:r>
        <w:rPr>
          <w:rFonts w:asciiTheme="majorBidi" w:hAnsiTheme="majorBidi" w:cstheme="majorBidi"/>
          <w:color w:val="2E2E2E"/>
          <w:sz w:val="24"/>
          <w:szCs w:val="24"/>
        </w:rPr>
        <w:t xml:space="preserve"> summarises the coding process and the assigned codes and themes during every stage. </w:t>
      </w:r>
    </w:p>
    <w:tbl>
      <w:tblPr>
        <w:tblStyle w:val="TableGrid"/>
        <w:tblW w:w="7938" w:type="dxa"/>
        <w:tblInd w:w="279" w:type="dxa"/>
        <w:tblLook w:val="04A0" w:firstRow="1" w:lastRow="0" w:firstColumn="1" w:lastColumn="0" w:noHBand="0" w:noVBand="1"/>
      </w:tblPr>
      <w:tblGrid>
        <w:gridCol w:w="1117"/>
        <w:gridCol w:w="2001"/>
        <w:gridCol w:w="2552"/>
        <w:gridCol w:w="2268"/>
      </w:tblGrid>
      <w:tr w:rsidR="00ED492B" w:rsidRPr="007D5C15" w14:paraId="52C54B49" w14:textId="77777777" w:rsidTr="00635E3C">
        <w:tc>
          <w:tcPr>
            <w:tcW w:w="1117" w:type="dxa"/>
          </w:tcPr>
          <w:bookmarkStart w:id="191" w:name="_Hlk149850817"/>
          <w:p w14:paraId="19CB22CD" w14:textId="77777777" w:rsidR="00ED492B" w:rsidRPr="007D5C15" w:rsidRDefault="00000000" w:rsidP="007D5C15">
            <w:pPr>
              <w:widowControl w:val="0"/>
              <w:outlineLvl w:val="2"/>
              <w:rPr>
                <w:rFonts w:asciiTheme="majorBidi" w:hAnsiTheme="majorBidi" w:cstheme="majorBidi"/>
                <w:color w:val="2E2E2E"/>
                <w:sz w:val="20"/>
                <w:szCs w:val="20"/>
              </w:rPr>
            </w:pPr>
            <w:sdt>
              <w:sdtPr>
                <w:rPr>
                  <w:rFonts w:asciiTheme="majorBidi" w:hAnsiTheme="majorBidi" w:cstheme="majorBidi"/>
                  <w:color w:val="2E2E2E"/>
                  <w:sz w:val="20"/>
                  <w:szCs w:val="20"/>
                </w:rPr>
                <w:id w:val="362013653"/>
                <w:citation/>
              </w:sdtPr>
              <w:sdtContent>
                <w:r w:rsidR="00ED492B" w:rsidRPr="007D5C15">
                  <w:rPr>
                    <w:rFonts w:asciiTheme="majorBidi" w:hAnsiTheme="majorBidi" w:cstheme="majorBidi"/>
                    <w:color w:val="2E2E2E"/>
                    <w:sz w:val="20"/>
                    <w:szCs w:val="20"/>
                  </w:rPr>
                  <w:fldChar w:fldCharType="begin"/>
                </w:r>
                <w:r w:rsidR="00ED492B" w:rsidRPr="007D5C15">
                  <w:rPr>
                    <w:rFonts w:asciiTheme="majorBidi" w:hAnsiTheme="majorBidi" w:cstheme="majorBidi"/>
                    <w:color w:val="2E2E2E"/>
                    <w:sz w:val="20"/>
                    <w:szCs w:val="20"/>
                  </w:rPr>
                  <w:instrText xml:space="preserve"> CITATION Bon21 \l 2057 </w:instrText>
                </w:r>
                <w:r w:rsidR="00ED492B" w:rsidRPr="007D5C15">
                  <w:rPr>
                    <w:rFonts w:asciiTheme="majorBidi" w:hAnsiTheme="majorBidi" w:cstheme="majorBidi"/>
                    <w:color w:val="2E2E2E"/>
                    <w:sz w:val="20"/>
                    <w:szCs w:val="20"/>
                  </w:rPr>
                  <w:fldChar w:fldCharType="separate"/>
                </w:r>
                <w:r w:rsidR="00ED492B" w:rsidRPr="007D5C15">
                  <w:rPr>
                    <w:rFonts w:asciiTheme="majorBidi" w:hAnsiTheme="majorBidi" w:cstheme="majorBidi"/>
                    <w:noProof/>
                    <w:color w:val="2E2E2E"/>
                    <w:sz w:val="20"/>
                    <w:szCs w:val="20"/>
                  </w:rPr>
                  <w:t>(Bondie, 2021)</w:t>
                </w:r>
                <w:r w:rsidR="00ED492B" w:rsidRPr="007D5C15">
                  <w:rPr>
                    <w:rFonts w:asciiTheme="majorBidi" w:hAnsiTheme="majorBidi" w:cstheme="majorBidi"/>
                    <w:color w:val="2E2E2E"/>
                    <w:sz w:val="20"/>
                    <w:szCs w:val="20"/>
                  </w:rPr>
                  <w:fldChar w:fldCharType="end"/>
                </w:r>
              </w:sdtContent>
            </w:sdt>
          </w:p>
        </w:tc>
        <w:tc>
          <w:tcPr>
            <w:tcW w:w="2001" w:type="dxa"/>
          </w:tcPr>
          <w:p w14:paraId="2102C99F"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First Stage </w:t>
            </w:r>
          </w:p>
        </w:tc>
        <w:tc>
          <w:tcPr>
            <w:tcW w:w="2552" w:type="dxa"/>
          </w:tcPr>
          <w:p w14:paraId="02FDA69E"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Second Stage </w:t>
            </w:r>
          </w:p>
        </w:tc>
        <w:tc>
          <w:tcPr>
            <w:tcW w:w="2268" w:type="dxa"/>
          </w:tcPr>
          <w:p w14:paraId="57EDA44F"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Third Stage </w:t>
            </w:r>
          </w:p>
        </w:tc>
      </w:tr>
      <w:tr w:rsidR="00ED492B" w:rsidRPr="007D5C15" w14:paraId="3F80608E" w14:textId="77777777" w:rsidTr="00635E3C">
        <w:trPr>
          <w:trHeight w:val="125"/>
        </w:trPr>
        <w:tc>
          <w:tcPr>
            <w:tcW w:w="1117" w:type="dxa"/>
          </w:tcPr>
          <w:p w14:paraId="75E5FF2A" w14:textId="77777777" w:rsidR="00ED492B" w:rsidRPr="007D5C15" w:rsidRDefault="00000000" w:rsidP="007D5C15">
            <w:pPr>
              <w:widowControl w:val="0"/>
              <w:outlineLvl w:val="2"/>
              <w:rPr>
                <w:rFonts w:asciiTheme="majorBidi" w:hAnsiTheme="majorBidi" w:cstheme="majorBidi"/>
                <w:color w:val="2E2E2E"/>
                <w:sz w:val="20"/>
                <w:szCs w:val="20"/>
              </w:rPr>
            </w:pPr>
            <w:sdt>
              <w:sdtPr>
                <w:rPr>
                  <w:rFonts w:asciiTheme="majorBidi" w:hAnsiTheme="majorBidi" w:cstheme="majorBidi"/>
                  <w:color w:val="2E2E2E"/>
                  <w:sz w:val="20"/>
                  <w:szCs w:val="20"/>
                </w:rPr>
                <w:id w:val="2036377532"/>
                <w:citation/>
              </w:sdtPr>
              <w:sdtContent>
                <w:r w:rsidR="00ED492B" w:rsidRPr="007D5C15">
                  <w:rPr>
                    <w:rFonts w:asciiTheme="majorBidi" w:hAnsiTheme="majorBidi" w:cstheme="majorBidi"/>
                    <w:color w:val="2E2E2E"/>
                    <w:sz w:val="20"/>
                    <w:szCs w:val="20"/>
                  </w:rPr>
                  <w:fldChar w:fldCharType="begin"/>
                </w:r>
                <w:r w:rsidR="00ED492B" w:rsidRPr="007D5C15">
                  <w:rPr>
                    <w:rFonts w:asciiTheme="majorBidi" w:hAnsiTheme="majorBidi" w:cstheme="majorBidi"/>
                    <w:color w:val="2E2E2E"/>
                    <w:sz w:val="20"/>
                    <w:szCs w:val="20"/>
                  </w:rPr>
                  <w:instrText xml:space="preserve"> CITATION Yin11 \l 2057 </w:instrText>
                </w:r>
                <w:r w:rsidR="00ED492B" w:rsidRPr="007D5C15">
                  <w:rPr>
                    <w:rFonts w:asciiTheme="majorBidi" w:hAnsiTheme="majorBidi" w:cstheme="majorBidi"/>
                    <w:color w:val="2E2E2E"/>
                    <w:sz w:val="20"/>
                    <w:szCs w:val="20"/>
                  </w:rPr>
                  <w:fldChar w:fldCharType="separate"/>
                </w:r>
                <w:r w:rsidR="00ED492B" w:rsidRPr="007D5C15">
                  <w:rPr>
                    <w:rFonts w:asciiTheme="majorBidi" w:hAnsiTheme="majorBidi" w:cstheme="majorBidi"/>
                    <w:noProof/>
                    <w:color w:val="2E2E2E"/>
                    <w:sz w:val="20"/>
                    <w:szCs w:val="20"/>
                  </w:rPr>
                  <w:t>(Yin, 2011)</w:t>
                </w:r>
                <w:r w:rsidR="00ED492B" w:rsidRPr="007D5C15">
                  <w:rPr>
                    <w:rFonts w:asciiTheme="majorBidi" w:hAnsiTheme="majorBidi" w:cstheme="majorBidi"/>
                    <w:color w:val="2E2E2E"/>
                    <w:sz w:val="20"/>
                    <w:szCs w:val="20"/>
                  </w:rPr>
                  <w:fldChar w:fldCharType="end"/>
                </w:r>
              </w:sdtContent>
            </w:sdt>
          </w:p>
        </w:tc>
        <w:tc>
          <w:tcPr>
            <w:tcW w:w="2001" w:type="dxa"/>
          </w:tcPr>
          <w:p w14:paraId="137AF1AF"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Compiling </w:t>
            </w:r>
          </w:p>
        </w:tc>
        <w:tc>
          <w:tcPr>
            <w:tcW w:w="2552" w:type="dxa"/>
          </w:tcPr>
          <w:p w14:paraId="6E969120"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Disassembling </w:t>
            </w:r>
          </w:p>
        </w:tc>
        <w:tc>
          <w:tcPr>
            <w:tcW w:w="2268" w:type="dxa"/>
          </w:tcPr>
          <w:p w14:paraId="214A6E90"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Reassembling and interpreting </w:t>
            </w:r>
          </w:p>
        </w:tc>
      </w:tr>
      <w:tr w:rsidR="00ED492B" w:rsidRPr="007D5C15" w14:paraId="571AC59A" w14:textId="77777777" w:rsidTr="00635E3C">
        <w:trPr>
          <w:trHeight w:val="171"/>
        </w:trPr>
        <w:tc>
          <w:tcPr>
            <w:tcW w:w="1117" w:type="dxa"/>
          </w:tcPr>
          <w:p w14:paraId="3B05040C" w14:textId="77777777" w:rsidR="00ED492B" w:rsidRPr="007D5C15" w:rsidRDefault="00ED492B" w:rsidP="007D5C15">
            <w:pPr>
              <w:widowControl w:val="0"/>
              <w:outlineLvl w:val="2"/>
              <w:rPr>
                <w:rFonts w:asciiTheme="majorBidi" w:hAnsiTheme="majorBidi" w:cstheme="majorBidi"/>
                <w:color w:val="2E2E2E"/>
                <w:sz w:val="20"/>
                <w:szCs w:val="20"/>
              </w:rPr>
            </w:pPr>
          </w:p>
        </w:tc>
        <w:tc>
          <w:tcPr>
            <w:tcW w:w="2001" w:type="dxa"/>
          </w:tcPr>
          <w:p w14:paraId="4A791FBE"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Open Coding </w:t>
            </w:r>
          </w:p>
        </w:tc>
        <w:tc>
          <w:tcPr>
            <w:tcW w:w="2552" w:type="dxa"/>
          </w:tcPr>
          <w:p w14:paraId="23C39EA2"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Descriptive Coding </w:t>
            </w:r>
          </w:p>
        </w:tc>
        <w:tc>
          <w:tcPr>
            <w:tcW w:w="2268" w:type="dxa"/>
          </w:tcPr>
          <w:p w14:paraId="22A961D4"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Descriptive Coding </w:t>
            </w:r>
          </w:p>
        </w:tc>
      </w:tr>
      <w:tr w:rsidR="00ED492B" w:rsidRPr="007D5C15" w14:paraId="45E79369" w14:textId="77777777" w:rsidTr="00635E3C">
        <w:trPr>
          <w:trHeight w:val="700"/>
        </w:trPr>
        <w:tc>
          <w:tcPr>
            <w:tcW w:w="1117" w:type="dxa"/>
          </w:tcPr>
          <w:p w14:paraId="391B78A4"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Number of determined Themes   </w:t>
            </w:r>
          </w:p>
        </w:tc>
        <w:tc>
          <w:tcPr>
            <w:tcW w:w="2001" w:type="dxa"/>
          </w:tcPr>
          <w:p w14:paraId="6DF0014B"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17</w:t>
            </w:r>
          </w:p>
        </w:tc>
        <w:tc>
          <w:tcPr>
            <w:tcW w:w="2552" w:type="dxa"/>
          </w:tcPr>
          <w:p w14:paraId="2B6E92A8"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13</w:t>
            </w:r>
          </w:p>
        </w:tc>
        <w:tc>
          <w:tcPr>
            <w:tcW w:w="2268" w:type="dxa"/>
          </w:tcPr>
          <w:p w14:paraId="4BFD0CF9" w14:textId="77777777" w:rsidR="00ED492B" w:rsidRPr="007D5C15" w:rsidRDefault="00ED492B" w:rsidP="007D5C15">
            <w:pPr>
              <w:widowControl w:val="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12</w:t>
            </w:r>
          </w:p>
        </w:tc>
      </w:tr>
      <w:tr w:rsidR="00ED492B" w:rsidRPr="007D5C15" w14:paraId="5858B03D" w14:textId="77777777" w:rsidTr="00635E3C">
        <w:tc>
          <w:tcPr>
            <w:tcW w:w="1117" w:type="dxa"/>
          </w:tcPr>
          <w:p w14:paraId="600EECA6" w14:textId="77777777" w:rsidR="00ED492B" w:rsidRPr="007D5C15" w:rsidRDefault="00ED492B" w:rsidP="007D5C15">
            <w:pPr>
              <w:widowControl w:val="0"/>
              <w:spacing w:before="360"/>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Codes </w:t>
            </w:r>
          </w:p>
        </w:tc>
        <w:tc>
          <w:tcPr>
            <w:tcW w:w="2001" w:type="dxa"/>
          </w:tcPr>
          <w:p w14:paraId="37997D6A"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 Choosing which product to buy</w:t>
            </w:r>
          </w:p>
          <w:p w14:paraId="166D0E92"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CSR Perception</w:t>
            </w:r>
          </w:p>
          <w:p w14:paraId="70D4C051"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Ad likeability</w:t>
            </w:r>
          </w:p>
          <w:p w14:paraId="2CE2D5FE"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Comparing Ads</w:t>
            </w:r>
          </w:p>
          <w:p w14:paraId="153840C6"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Purchase intention after CSR ad</w:t>
            </w:r>
          </w:p>
          <w:p w14:paraId="2A19BB0E"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Media channel preference</w:t>
            </w:r>
          </w:p>
          <w:p w14:paraId="3829DABC"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Non-CSR ad likability </w:t>
            </w:r>
          </w:p>
          <w:p w14:paraId="38B91F30"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Purchase intention after non-CSR ad</w:t>
            </w:r>
          </w:p>
          <w:p w14:paraId="30EE3374"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Ad comparisons </w:t>
            </w:r>
          </w:p>
          <w:p w14:paraId="3D38B9C4"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Brand likeability</w:t>
            </w:r>
          </w:p>
          <w:p w14:paraId="443B58C3"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Emotional brand attachment</w:t>
            </w:r>
          </w:p>
          <w:p w14:paraId="33C91266"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Brand trust</w:t>
            </w:r>
          </w:p>
          <w:p w14:paraId="43D39990"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Knowledge of similar CSR campaigns</w:t>
            </w:r>
          </w:p>
          <w:p w14:paraId="27B7003B"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Perceived brand functionality</w:t>
            </w:r>
          </w:p>
          <w:p w14:paraId="3290A5E2"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CSR strategy</w:t>
            </w:r>
          </w:p>
          <w:p w14:paraId="7238AFC2" w14:textId="77777777" w:rsidR="00ED492B" w:rsidRPr="007D5C15" w:rsidRDefault="00ED492B" w:rsidP="007D5C15">
            <w:pPr>
              <w:pStyle w:val="ListParagraph"/>
              <w:widowControl w:val="0"/>
              <w:numPr>
                <w:ilvl w:val="0"/>
                <w:numId w:val="4"/>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Congruity between consumer attitudes and CSR </w:t>
            </w:r>
          </w:p>
        </w:tc>
        <w:tc>
          <w:tcPr>
            <w:tcW w:w="2552" w:type="dxa"/>
          </w:tcPr>
          <w:p w14:paraId="03BB8B75"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Choosing which product to buy</w:t>
            </w:r>
          </w:p>
          <w:p w14:paraId="4CE1C339"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CSR Perception</w:t>
            </w:r>
          </w:p>
          <w:p w14:paraId="0C0B32A2"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Ad likeability</w:t>
            </w:r>
          </w:p>
          <w:p w14:paraId="24A22AEC"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Comparing Ads</w:t>
            </w:r>
          </w:p>
          <w:p w14:paraId="7C5570CE"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Purchase intention </w:t>
            </w:r>
          </w:p>
          <w:p w14:paraId="74D57D34"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Media channel preference</w:t>
            </w:r>
          </w:p>
          <w:p w14:paraId="3D312329"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Brand likeability</w:t>
            </w:r>
          </w:p>
          <w:p w14:paraId="211EABB2"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Emotional brand attachment</w:t>
            </w:r>
          </w:p>
          <w:p w14:paraId="30AD904D"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Brand trust</w:t>
            </w:r>
          </w:p>
          <w:p w14:paraId="0D859C23"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Knowledge of similar CSR campaigns</w:t>
            </w:r>
          </w:p>
          <w:p w14:paraId="59C3AD1A"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Perceived brand functionality</w:t>
            </w:r>
          </w:p>
          <w:p w14:paraId="42D495BD"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CSR strategy</w:t>
            </w:r>
          </w:p>
          <w:p w14:paraId="70813E96" w14:textId="77777777" w:rsidR="00ED492B" w:rsidRPr="007D5C15" w:rsidRDefault="00ED492B" w:rsidP="007D5C15">
            <w:pPr>
              <w:pStyle w:val="ListParagraph"/>
              <w:widowControl w:val="0"/>
              <w:numPr>
                <w:ilvl w:val="0"/>
                <w:numId w:val="5"/>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Congruity </w:t>
            </w:r>
          </w:p>
        </w:tc>
        <w:tc>
          <w:tcPr>
            <w:tcW w:w="2268" w:type="dxa"/>
          </w:tcPr>
          <w:p w14:paraId="294AF2E9"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Choosing products</w:t>
            </w:r>
          </w:p>
          <w:p w14:paraId="3B559635"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CSR Perception</w:t>
            </w:r>
          </w:p>
          <w:p w14:paraId="5D70469E"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Ad likeability</w:t>
            </w:r>
          </w:p>
          <w:p w14:paraId="375213A9" w14:textId="77777777" w:rsidR="00ED492B" w:rsidRPr="007D5C15" w:rsidRDefault="00ED492B" w:rsidP="007D5C15">
            <w:pPr>
              <w:pStyle w:val="ListParagraph"/>
              <w:widowControl w:val="0"/>
              <w:numPr>
                <w:ilvl w:val="0"/>
                <w:numId w:val="7"/>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Ad likability of CSR ad</w:t>
            </w:r>
          </w:p>
          <w:p w14:paraId="62C90253" w14:textId="77777777" w:rsidR="00ED492B" w:rsidRPr="007D5C15" w:rsidRDefault="00ED492B" w:rsidP="007D5C15">
            <w:pPr>
              <w:pStyle w:val="ListParagraph"/>
              <w:widowControl w:val="0"/>
              <w:numPr>
                <w:ilvl w:val="0"/>
                <w:numId w:val="7"/>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Ad likeability of non-CSR</w:t>
            </w:r>
          </w:p>
          <w:p w14:paraId="546B1260" w14:textId="77777777" w:rsidR="00ED492B" w:rsidRPr="007D5C15" w:rsidRDefault="00ED492B" w:rsidP="007D5C15">
            <w:pPr>
              <w:pStyle w:val="ListParagraph"/>
              <w:widowControl w:val="0"/>
              <w:numPr>
                <w:ilvl w:val="0"/>
                <w:numId w:val="7"/>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Ad likability on social media  </w:t>
            </w:r>
          </w:p>
          <w:p w14:paraId="2AACE01E"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b/>
                <w:bCs/>
                <w:sz w:val="20"/>
                <w:szCs w:val="20"/>
              </w:rPr>
              <w:t>Ad Comparisons</w:t>
            </w:r>
          </w:p>
          <w:p w14:paraId="451EA050"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Media channel preference</w:t>
            </w:r>
          </w:p>
          <w:p w14:paraId="42F8E67E"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Brand likeability</w:t>
            </w:r>
          </w:p>
          <w:p w14:paraId="61AF49E9"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Emotional brand attachment</w:t>
            </w:r>
          </w:p>
          <w:p w14:paraId="1CB35D31"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Brand trust</w:t>
            </w:r>
          </w:p>
          <w:p w14:paraId="280AE9B5"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Perceived brand functionality</w:t>
            </w:r>
          </w:p>
          <w:p w14:paraId="45B4947A"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Purchase intention </w:t>
            </w:r>
          </w:p>
          <w:p w14:paraId="3BB0F05A" w14:textId="77777777" w:rsidR="00ED492B" w:rsidRPr="007D5C15" w:rsidRDefault="00ED492B" w:rsidP="007D5C15">
            <w:pPr>
              <w:pStyle w:val="ListParagraph"/>
              <w:widowControl w:val="0"/>
              <w:numPr>
                <w:ilvl w:val="0"/>
                <w:numId w:val="7"/>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Purchase intention after CSR ad </w:t>
            </w:r>
          </w:p>
          <w:p w14:paraId="0E0172FB" w14:textId="77777777" w:rsidR="00ED492B" w:rsidRPr="007D5C15" w:rsidRDefault="00ED492B" w:rsidP="007D5C15">
            <w:pPr>
              <w:pStyle w:val="ListParagraph"/>
              <w:widowControl w:val="0"/>
              <w:numPr>
                <w:ilvl w:val="0"/>
                <w:numId w:val="7"/>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Purchase intention after CSR ad from an unknown brand </w:t>
            </w:r>
          </w:p>
          <w:p w14:paraId="68A4C931" w14:textId="77777777" w:rsidR="00ED492B" w:rsidRPr="007D5C15" w:rsidRDefault="00ED492B" w:rsidP="007D5C15">
            <w:pPr>
              <w:pStyle w:val="ListParagraph"/>
              <w:widowControl w:val="0"/>
              <w:numPr>
                <w:ilvl w:val="0"/>
                <w:numId w:val="7"/>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 xml:space="preserve">Purchase intention non-CSR ad </w:t>
            </w:r>
          </w:p>
          <w:p w14:paraId="14C75DFB" w14:textId="77777777" w:rsidR="00ED492B" w:rsidRPr="007D5C15" w:rsidRDefault="00ED492B" w:rsidP="007D5C15">
            <w:pPr>
              <w:pStyle w:val="ListParagraph"/>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CSR strategy</w:t>
            </w:r>
          </w:p>
          <w:p w14:paraId="3F6D1F5B" w14:textId="77777777" w:rsidR="00ED492B" w:rsidRPr="007D5C15" w:rsidRDefault="00ED492B" w:rsidP="007D5C15">
            <w:pPr>
              <w:pStyle w:val="ListParagraph"/>
              <w:keepNext/>
              <w:widowControl w:val="0"/>
              <w:numPr>
                <w:ilvl w:val="0"/>
                <w:numId w:val="6"/>
              </w:numPr>
              <w:outlineLvl w:val="2"/>
              <w:rPr>
                <w:rFonts w:asciiTheme="majorBidi" w:hAnsiTheme="majorBidi" w:cstheme="majorBidi"/>
                <w:color w:val="2E2E2E"/>
                <w:sz w:val="20"/>
                <w:szCs w:val="20"/>
              </w:rPr>
            </w:pPr>
            <w:r w:rsidRPr="007D5C15">
              <w:rPr>
                <w:rFonts w:asciiTheme="majorBidi" w:hAnsiTheme="majorBidi" w:cstheme="majorBidi"/>
                <w:color w:val="2E2E2E"/>
                <w:sz w:val="20"/>
                <w:szCs w:val="20"/>
              </w:rPr>
              <w:t>Congruity</w:t>
            </w:r>
          </w:p>
        </w:tc>
      </w:tr>
    </w:tbl>
    <w:p w14:paraId="66BD9A99" w14:textId="0387A6FC" w:rsidR="004B3698" w:rsidRPr="007D5C15" w:rsidRDefault="006A797D" w:rsidP="007D5C15">
      <w:pPr>
        <w:pStyle w:val="Caption"/>
        <w:rPr>
          <w:rStyle w:val="Hyperlink"/>
          <w:color w:val="2E2E2E"/>
          <w:u w:val="none"/>
        </w:rPr>
      </w:pPr>
      <w:r>
        <w:t>Table 5</w:t>
      </w:r>
      <w:r w:rsidR="00C461D8">
        <w:t>5</w:t>
      </w:r>
      <w:r>
        <w:t xml:space="preserve"> Codes and themes emerged from the findings </w:t>
      </w:r>
      <w:bookmarkEnd w:id="191"/>
    </w:p>
    <w:p w14:paraId="5C4D934F" w14:textId="5538933F" w:rsidR="00ED492B" w:rsidRPr="004E52B4" w:rsidRDefault="00ED492B" w:rsidP="00ED492B">
      <w:pPr>
        <w:widowControl w:val="0"/>
        <w:rPr>
          <w:rStyle w:val="Hyperlink"/>
          <w:rFonts w:asciiTheme="majorBidi" w:hAnsiTheme="majorBidi" w:cstheme="majorBidi"/>
          <w:b/>
          <w:bCs/>
          <w:color w:val="auto"/>
          <w:sz w:val="24"/>
          <w:szCs w:val="24"/>
          <w:u w:val="none"/>
        </w:rPr>
      </w:pPr>
      <w:r w:rsidRPr="004E52B4">
        <w:rPr>
          <w:rStyle w:val="Hyperlink"/>
          <w:rFonts w:asciiTheme="majorBidi" w:hAnsiTheme="majorBidi" w:cstheme="majorBidi"/>
          <w:b/>
          <w:bCs/>
          <w:color w:val="auto"/>
          <w:sz w:val="24"/>
          <w:szCs w:val="24"/>
          <w:u w:val="none"/>
        </w:rPr>
        <w:t>7.</w:t>
      </w:r>
      <w:r w:rsidR="008900D7">
        <w:rPr>
          <w:rStyle w:val="Hyperlink"/>
          <w:rFonts w:asciiTheme="majorBidi" w:hAnsiTheme="majorBidi" w:cstheme="majorBidi"/>
          <w:b/>
          <w:bCs/>
          <w:color w:val="auto"/>
          <w:sz w:val="24"/>
          <w:szCs w:val="24"/>
          <w:u w:val="none"/>
        </w:rPr>
        <w:t>1</w:t>
      </w:r>
      <w:r w:rsidR="004B3698">
        <w:rPr>
          <w:rStyle w:val="Hyperlink"/>
          <w:rFonts w:asciiTheme="majorBidi" w:hAnsiTheme="majorBidi" w:cstheme="majorBidi"/>
          <w:b/>
          <w:bCs/>
          <w:color w:val="auto"/>
          <w:sz w:val="24"/>
          <w:szCs w:val="24"/>
          <w:u w:val="none"/>
        </w:rPr>
        <w:t>.</w:t>
      </w:r>
      <w:r w:rsidRPr="004E52B4">
        <w:rPr>
          <w:rStyle w:val="Hyperlink"/>
          <w:rFonts w:asciiTheme="majorBidi" w:hAnsiTheme="majorBidi" w:cstheme="majorBidi"/>
          <w:b/>
          <w:bCs/>
          <w:color w:val="auto"/>
          <w:sz w:val="24"/>
          <w:szCs w:val="24"/>
          <w:u w:val="none"/>
        </w:rPr>
        <w:t xml:space="preserve">3 Concluding </w:t>
      </w:r>
    </w:p>
    <w:p w14:paraId="271930B7" w14:textId="77777777" w:rsidR="00ED492B" w:rsidRPr="00A56B45" w:rsidRDefault="00ED492B" w:rsidP="00ED492B">
      <w:pPr>
        <w:widowControl w:val="0"/>
        <w:spacing w:line="480" w:lineRule="auto"/>
        <w:rPr>
          <w:rStyle w:val="Hyperlink"/>
          <w:rFonts w:asciiTheme="majorBidi" w:hAnsiTheme="majorBidi" w:cstheme="majorBidi"/>
          <w:color w:val="2E2E2E"/>
          <w:sz w:val="24"/>
          <w:szCs w:val="24"/>
        </w:rPr>
      </w:pPr>
      <w:r>
        <w:rPr>
          <w:rFonts w:asciiTheme="majorBidi" w:hAnsiTheme="majorBidi" w:cstheme="majorBidi"/>
          <w:color w:val="2E2E2E"/>
          <w:sz w:val="24"/>
          <w:szCs w:val="24"/>
        </w:rPr>
        <w:tab/>
      </w:r>
      <w:r w:rsidRPr="004A3300">
        <w:rPr>
          <w:rFonts w:asciiTheme="majorBidi" w:hAnsiTheme="majorBidi" w:cstheme="majorBidi"/>
          <w:color w:val="2E2E2E"/>
          <w:sz w:val="24"/>
          <w:szCs w:val="24"/>
        </w:rPr>
        <w:t>The fifth and final stage calls for drawing conclusions from the entire study that are established from the previous stage</w:t>
      </w:r>
      <w:sdt>
        <w:sdtPr>
          <w:rPr>
            <w:rFonts w:asciiTheme="majorBidi" w:hAnsiTheme="majorBidi" w:cstheme="majorBidi"/>
            <w:color w:val="2E2E2E"/>
            <w:sz w:val="24"/>
            <w:szCs w:val="24"/>
          </w:rPr>
          <w:id w:val="724188592"/>
          <w:citation/>
        </w:sdtPr>
        <w:sdtContent>
          <w:r w:rsidRPr="004A3300">
            <w:rPr>
              <w:rFonts w:asciiTheme="majorBidi" w:hAnsiTheme="majorBidi" w:cstheme="majorBidi"/>
              <w:color w:val="2E2E2E"/>
              <w:sz w:val="24"/>
              <w:szCs w:val="24"/>
            </w:rPr>
            <w:fldChar w:fldCharType="begin"/>
          </w:r>
          <w:r w:rsidRPr="004A3300">
            <w:rPr>
              <w:rFonts w:asciiTheme="majorBidi" w:hAnsiTheme="majorBidi" w:cstheme="majorBidi"/>
              <w:color w:val="2E2E2E"/>
              <w:sz w:val="24"/>
              <w:szCs w:val="24"/>
            </w:rPr>
            <w:instrText xml:space="preserve"> CITATION Yin11 \l 2057 </w:instrText>
          </w:r>
          <w:r w:rsidRPr="004A3300">
            <w:rPr>
              <w:rFonts w:asciiTheme="majorBidi" w:hAnsiTheme="majorBidi" w:cstheme="majorBidi"/>
              <w:color w:val="2E2E2E"/>
              <w:sz w:val="24"/>
              <w:szCs w:val="24"/>
            </w:rPr>
            <w:fldChar w:fldCharType="separate"/>
          </w:r>
          <w:r w:rsidRPr="004A3300">
            <w:rPr>
              <w:rFonts w:asciiTheme="majorBidi" w:hAnsiTheme="majorBidi" w:cstheme="majorBidi"/>
              <w:color w:val="2E2E2E"/>
              <w:sz w:val="24"/>
              <w:szCs w:val="24"/>
            </w:rPr>
            <w:t xml:space="preserve"> (Yin, 2011)</w:t>
          </w:r>
          <w:r w:rsidRPr="004A3300">
            <w:rPr>
              <w:rFonts w:asciiTheme="majorBidi" w:hAnsiTheme="majorBidi" w:cstheme="majorBidi"/>
              <w:color w:val="2E2E2E"/>
              <w:sz w:val="24"/>
              <w:szCs w:val="24"/>
            </w:rPr>
            <w:fldChar w:fldCharType="end"/>
          </w:r>
        </w:sdtContent>
      </w:sdt>
      <w:r w:rsidRPr="004A3300">
        <w:rPr>
          <w:rFonts w:asciiTheme="majorBidi" w:hAnsiTheme="majorBidi" w:cstheme="majorBidi"/>
          <w:color w:val="2E2E2E"/>
          <w:sz w:val="24"/>
          <w:szCs w:val="24"/>
        </w:rPr>
        <w:t xml:space="preserve">. </w:t>
      </w:r>
      <w:r>
        <w:rPr>
          <w:rFonts w:asciiTheme="majorBidi" w:hAnsiTheme="majorBidi" w:cstheme="majorBidi"/>
          <w:color w:val="2E2E2E"/>
          <w:sz w:val="24"/>
          <w:szCs w:val="24"/>
        </w:rPr>
        <w:t>It is usually expected that the findings would yield multiple conclusions</w:t>
      </w:r>
      <w:sdt>
        <w:sdtPr>
          <w:rPr>
            <w:rFonts w:asciiTheme="majorBidi" w:hAnsiTheme="majorBidi" w:cstheme="majorBidi"/>
            <w:color w:val="2E2E2E"/>
            <w:sz w:val="24"/>
            <w:szCs w:val="24"/>
          </w:rPr>
          <w:id w:val="-488403100"/>
          <w:citation/>
        </w:sdtPr>
        <w:sdtContent>
          <w:r>
            <w:rPr>
              <w:rFonts w:asciiTheme="majorBidi" w:hAnsiTheme="majorBidi" w:cstheme="majorBidi"/>
              <w:color w:val="2E2E2E"/>
              <w:sz w:val="24"/>
              <w:szCs w:val="24"/>
            </w:rPr>
            <w:fldChar w:fldCharType="begin"/>
          </w:r>
          <w:r>
            <w:rPr>
              <w:rFonts w:asciiTheme="majorBidi" w:hAnsiTheme="majorBidi" w:cstheme="majorBidi"/>
              <w:color w:val="2E2E2E"/>
              <w:sz w:val="24"/>
              <w:szCs w:val="24"/>
            </w:rPr>
            <w:instrText xml:space="preserve"> CITATION Yin11 \l 2057 </w:instrText>
          </w:r>
          <w:r>
            <w:rPr>
              <w:rFonts w:asciiTheme="majorBidi" w:hAnsiTheme="majorBidi" w:cstheme="majorBidi"/>
              <w:color w:val="2E2E2E"/>
              <w:sz w:val="24"/>
              <w:szCs w:val="24"/>
            </w:rPr>
            <w:fldChar w:fldCharType="separate"/>
          </w:r>
          <w:r>
            <w:rPr>
              <w:rFonts w:asciiTheme="majorBidi" w:hAnsiTheme="majorBidi" w:cstheme="majorBidi"/>
              <w:noProof/>
              <w:color w:val="2E2E2E"/>
              <w:sz w:val="24"/>
              <w:szCs w:val="24"/>
            </w:rPr>
            <w:t xml:space="preserve"> </w:t>
          </w:r>
          <w:r w:rsidRPr="00B25F91">
            <w:rPr>
              <w:rFonts w:asciiTheme="majorBidi" w:hAnsiTheme="majorBidi" w:cstheme="majorBidi"/>
              <w:noProof/>
              <w:color w:val="2E2E2E"/>
              <w:sz w:val="24"/>
              <w:szCs w:val="24"/>
            </w:rPr>
            <w:t>(Yin, 2011)</w:t>
          </w:r>
          <w:r>
            <w:rPr>
              <w:rFonts w:asciiTheme="majorBidi" w:hAnsiTheme="majorBidi" w:cstheme="majorBidi"/>
              <w:color w:val="2E2E2E"/>
              <w:sz w:val="24"/>
              <w:szCs w:val="24"/>
            </w:rPr>
            <w:fldChar w:fldCharType="end"/>
          </w:r>
        </w:sdtContent>
      </w:sdt>
      <w:r>
        <w:rPr>
          <w:rFonts w:asciiTheme="majorBidi" w:hAnsiTheme="majorBidi" w:cstheme="majorBidi"/>
          <w:color w:val="2E2E2E"/>
          <w:sz w:val="24"/>
          <w:szCs w:val="24"/>
        </w:rPr>
        <w:t xml:space="preserve">. </w:t>
      </w:r>
      <w:r w:rsidRPr="004A3300">
        <w:rPr>
          <w:rFonts w:asciiTheme="majorBidi" w:hAnsiTheme="majorBidi" w:cstheme="majorBidi"/>
          <w:color w:val="2E2E2E"/>
          <w:sz w:val="24"/>
          <w:szCs w:val="24"/>
        </w:rPr>
        <w:t>In this chapter, there are significant findings that appeared based on the interpretation of each theme. These empirical observations were highlighted in the reports in the results section (</w:t>
      </w:r>
      <w:r>
        <w:rPr>
          <w:rFonts w:asciiTheme="majorBidi" w:hAnsiTheme="majorBidi" w:cstheme="majorBidi"/>
          <w:color w:val="2E2E2E"/>
          <w:sz w:val="24"/>
          <w:szCs w:val="24"/>
        </w:rPr>
        <w:t xml:space="preserve">7.4 and 7.5) </w:t>
      </w:r>
      <w:r w:rsidRPr="004A3300">
        <w:rPr>
          <w:rFonts w:asciiTheme="majorBidi" w:hAnsiTheme="majorBidi" w:cstheme="majorBidi"/>
          <w:color w:val="2E2E2E"/>
          <w:sz w:val="24"/>
          <w:szCs w:val="24"/>
        </w:rPr>
        <w:t>and will be further expanded on in the following chapter</w:t>
      </w:r>
      <w:r>
        <w:rPr>
          <w:rFonts w:asciiTheme="majorBidi" w:hAnsiTheme="majorBidi" w:cstheme="majorBidi"/>
          <w:color w:val="2E2E2E"/>
          <w:sz w:val="24"/>
          <w:szCs w:val="24"/>
        </w:rPr>
        <w:t xml:space="preserve"> (discussion)</w:t>
      </w:r>
      <w:r w:rsidRPr="004A3300">
        <w:rPr>
          <w:rFonts w:asciiTheme="majorBidi" w:hAnsiTheme="majorBidi" w:cstheme="majorBidi"/>
          <w:color w:val="2E2E2E"/>
          <w:sz w:val="24"/>
          <w:szCs w:val="24"/>
        </w:rPr>
        <w:t xml:space="preserve">. </w:t>
      </w:r>
    </w:p>
    <w:p w14:paraId="0C6EAF5B" w14:textId="5D03D36D" w:rsidR="00ED492B" w:rsidRPr="006C5E15" w:rsidRDefault="00ED492B" w:rsidP="00ED492B">
      <w:pPr>
        <w:widowControl w:val="0"/>
        <w:rPr>
          <w:rStyle w:val="Hyperlink"/>
          <w:rFonts w:asciiTheme="majorBidi" w:hAnsiTheme="majorBidi" w:cstheme="majorBidi"/>
          <w:b/>
          <w:bCs/>
          <w:color w:val="auto"/>
          <w:sz w:val="24"/>
          <w:szCs w:val="24"/>
          <w:u w:val="none"/>
        </w:rPr>
      </w:pPr>
      <w:r w:rsidRPr="006C5E15">
        <w:rPr>
          <w:rStyle w:val="Hyperlink"/>
          <w:rFonts w:asciiTheme="majorBidi" w:hAnsiTheme="majorBidi" w:cstheme="majorBidi"/>
          <w:b/>
          <w:bCs/>
          <w:color w:val="auto"/>
          <w:sz w:val="24"/>
          <w:szCs w:val="24"/>
          <w:u w:val="none"/>
        </w:rPr>
        <w:t>7.</w:t>
      </w:r>
      <w:r w:rsidR="008900D7">
        <w:rPr>
          <w:rStyle w:val="Hyperlink"/>
          <w:rFonts w:asciiTheme="majorBidi" w:hAnsiTheme="majorBidi" w:cstheme="majorBidi"/>
          <w:b/>
          <w:bCs/>
          <w:color w:val="auto"/>
          <w:sz w:val="24"/>
          <w:szCs w:val="24"/>
          <w:u w:val="none"/>
        </w:rPr>
        <w:t>2</w:t>
      </w:r>
      <w:r w:rsidRPr="006C5E15">
        <w:rPr>
          <w:rStyle w:val="Hyperlink"/>
          <w:rFonts w:asciiTheme="majorBidi" w:hAnsiTheme="majorBidi" w:cstheme="majorBidi"/>
          <w:b/>
          <w:bCs/>
          <w:color w:val="auto"/>
          <w:sz w:val="24"/>
          <w:szCs w:val="24"/>
          <w:u w:val="none"/>
        </w:rPr>
        <w:t xml:space="preserve"> Sample Consideration </w:t>
      </w:r>
    </w:p>
    <w:p w14:paraId="0D49E57E" w14:textId="139B7FCA" w:rsidR="00ED492B" w:rsidRPr="006C5E15" w:rsidRDefault="00ED492B" w:rsidP="00ED492B">
      <w:pPr>
        <w:widowControl w:val="0"/>
        <w:rPr>
          <w:rStyle w:val="Hyperlink"/>
          <w:rFonts w:asciiTheme="majorBidi" w:hAnsiTheme="majorBidi" w:cstheme="majorBidi"/>
          <w:b/>
          <w:bCs/>
          <w:color w:val="auto"/>
          <w:sz w:val="24"/>
          <w:szCs w:val="24"/>
          <w:u w:val="none"/>
        </w:rPr>
      </w:pPr>
      <w:r w:rsidRPr="006C5E15">
        <w:rPr>
          <w:rStyle w:val="Hyperlink"/>
          <w:rFonts w:asciiTheme="majorBidi" w:hAnsiTheme="majorBidi" w:cstheme="majorBidi"/>
          <w:b/>
          <w:bCs/>
          <w:color w:val="auto"/>
          <w:sz w:val="24"/>
          <w:szCs w:val="24"/>
          <w:u w:val="none"/>
        </w:rPr>
        <w:t>7.</w:t>
      </w:r>
      <w:r w:rsidR="008900D7">
        <w:rPr>
          <w:rStyle w:val="Hyperlink"/>
          <w:rFonts w:asciiTheme="majorBidi" w:hAnsiTheme="majorBidi" w:cstheme="majorBidi"/>
          <w:b/>
          <w:bCs/>
          <w:color w:val="auto"/>
          <w:sz w:val="24"/>
          <w:szCs w:val="24"/>
          <w:u w:val="none"/>
        </w:rPr>
        <w:t>2</w:t>
      </w:r>
      <w:r w:rsidRPr="006C5E15">
        <w:rPr>
          <w:rStyle w:val="Hyperlink"/>
          <w:rFonts w:asciiTheme="majorBidi" w:hAnsiTheme="majorBidi" w:cstheme="majorBidi"/>
          <w:b/>
          <w:bCs/>
          <w:color w:val="auto"/>
          <w:sz w:val="24"/>
          <w:szCs w:val="24"/>
          <w:u w:val="none"/>
        </w:rPr>
        <w:t xml:space="preserve">.1 Data Saturation and sample size </w:t>
      </w:r>
    </w:p>
    <w:p w14:paraId="66F5C56C" w14:textId="03BDB396" w:rsidR="00ED492B" w:rsidRPr="006C5E15" w:rsidRDefault="00ED492B" w:rsidP="00ED492B">
      <w:pPr>
        <w:widowControl w:val="0"/>
        <w:spacing w:after="0" w:line="480" w:lineRule="auto"/>
        <w:rPr>
          <w:rStyle w:val="Hyperlink"/>
          <w:rFonts w:asciiTheme="majorBidi" w:hAnsiTheme="majorBidi" w:cstheme="majorBidi"/>
          <w:color w:val="auto"/>
          <w:sz w:val="24"/>
          <w:szCs w:val="24"/>
          <w:u w:val="none"/>
        </w:rPr>
      </w:pPr>
      <w:r w:rsidRPr="006C5E15">
        <w:rPr>
          <w:rStyle w:val="Hyperlink"/>
          <w:rFonts w:asciiTheme="majorBidi" w:hAnsiTheme="majorBidi" w:cstheme="majorBidi"/>
          <w:color w:val="auto"/>
          <w:sz w:val="24"/>
          <w:szCs w:val="24"/>
          <w:u w:val="none"/>
        </w:rPr>
        <w:tab/>
        <w:t xml:space="preserve">In qualitative research, data saturation or ‘thematic saturation’ </w:t>
      </w:r>
      <w:sdt>
        <w:sdtPr>
          <w:rPr>
            <w:rStyle w:val="Hyperlink"/>
            <w:rFonts w:asciiTheme="majorBidi" w:hAnsiTheme="majorBidi" w:cstheme="majorBidi"/>
            <w:color w:val="auto"/>
            <w:sz w:val="24"/>
            <w:szCs w:val="24"/>
            <w:u w:val="none"/>
          </w:rPr>
          <w:id w:val="351919774"/>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 CITATION Hen17 \l 2057 </w:instrText>
          </w:r>
          <w:r w:rsidRPr="006C5E15">
            <w:rPr>
              <w:rStyle w:val="Hyperlink"/>
              <w:rFonts w:asciiTheme="majorBidi" w:hAnsiTheme="majorBidi" w:cstheme="majorBidi"/>
              <w:color w:val="auto"/>
              <w:sz w:val="24"/>
              <w:szCs w:val="24"/>
              <w:u w:val="none"/>
            </w:rPr>
            <w:fldChar w:fldCharType="separate"/>
          </w:r>
          <w:r w:rsidRPr="006C5E15">
            <w:rPr>
              <w:rFonts w:asciiTheme="majorBidi" w:hAnsiTheme="majorBidi" w:cstheme="majorBidi"/>
              <w:noProof/>
              <w:sz w:val="24"/>
              <w:szCs w:val="24"/>
            </w:rPr>
            <w:t>(Hennink, Kaiser, &amp; Marconi, 2017)</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xml:space="preserve"> is the most frequently applied rationale to identify the appropriate sample size</w:t>
      </w:r>
      <w:sdt>
        <w:sdtPr>
          <w:rPr>
            <w:rStyle w:val="Hyperlink"/>
            <w:rFonts w:asciiTheme="majorBidi" w:hAnsiTheme="majorBidi" w:cstheme="majorBidi"/>
            <w:color w:val="auto"/>
            <w:sz w:val="24"/>
            <w:szCs w:val="24"/>
            <w:u w:val="none"/>
          </w:rPr>
          <w:id w:val="-430042667"/>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CITATION Mor95 \t  \m Mor15 \n  \t  \l 2057 </w:instrText>
          </w:r>
          <w:r w:rsidRPr="006C5E15">
            <w:rPr>
              <w:rStyle w:val="Hyperlink"/>
              <w:rFonts w:asciiTheme="majorBidi" w:hAnsiTheme="majorBidi" w:cstheme="majorBidi"/>
              <w:color w:val="auto"/>
              <w:sz w:val="24"/>
              <w:szCs w:val="24"/>
              <w:u w:val="none"/>
            </w:rPr>
            <w:fldChar w:fldCharType="separate"/>
          </w:r>
          <w:r w:rsidRPr="006C5E15">
            <w:rPr>
              <w:rStyle w:val="Hyperlink"/>
              <w:rFonts w:asciiTheme="majorBidi" w:hAnsiTheme="majorBidi" w:cstheme="majorBidi"/>
              <w:noProof/>
              <w:color w:val="auto"/>
              <w:sz w:val="24"/>
              <w:szCs w:val="24"/>
              <w:u w:val="none"/>
            </w:rPr>
            <w:t xml:space="preserve"> </w:t>
          </w:r>
          <w:r w:rsidRPr="006C5E15">
            <w:rPr>
              <w:rFonts w:asciiTheme="majorBidi" w:hAnsiTheme="majorBidi" w:cstheme="majorBidi"/>
              <w:noProof/>
              <w:sz w:val="24"/>
              <w:szCs w:val="24"/>
            </w:rPr>
            <w:t>(Morse, 1995; 2015)</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This study implemented multiple technique to ensure reaching data saturation. Data saturation indicates that the researcher has reached a point in which any further collected data will provide the same results, no new information or themes will emerge</w:t>
      </w:r>
      <w:sdt>
        <w:sdtPr>
          <w:rPr>
            <w:rStyle w:val="Hyperlink"/>
            <w:rFonts w:asciiTheme="majorBidi" w:hAnsiTheme="majorBidi" w:cstheme="majorBidi"/>
            <w:color w:val="auto"/>
            <w:sz w:val="24"/>
            <w:szCs w:val="24"/>
            <w:u w:val="none"/>
          </w:rPr>
          <w:id w:val="-776102405"/>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 CITATION Fau17 \l 2057  \m Gue06 \m Giv16</w:instrText>
          </w:r>
          <w:r w:rsidRPr="006C5E15">
            <w:rPr>
              <w:rStyle w:val="Hyperlink"/>
              <w:rFonts w:asciiTheme="majorBidi" w:hAnsiTheme="majorBidi" w:cstheme="majorBidi"/>
              <w:color w:val="auto"/>
              <w:sz w:val="24"/>
              <w:szCs w:val="24"/>
              <w:u w:val="none"/>
            </w:rPr>
            <w:fldChar w:fldCharType="separate"/>
          </w:r>
          <w:r w:rsidRPr="006C5E15">
            <w:rPr>
              <w:rStyle w:val="Hyperlink"/>
              <w:rFonts w:asciiTheme="majorBidi" w:hAnsiTheme="majorBidi" w:cstheme="majorBidi"/>
              <w:noProof/>
              <w:color w:val="auto"/>
              <w:sz w:val="24"/>
              <w:szCs w:val="24"/>
              <w:u w:val="none"/>
            </w:rPr>
            <w:t xml:space="preserve"> </w:t>
          </w:r>
          <w:r w:rsidRPr="006C5E15">
            <w:rPr>
              <w:rFonts w:asciiTheme="majorBidi" w:hAnsiTheme="majorBidi" w:cstheme="majorBidi"/>
              <w:noProof/>
              <w:sz w:val="24"/>
              <w:szCs w:val="24"/>
            </w:rPr>
            <w:t>(Faulkner &amp; Trotter, 2017; Guest , Bunce, &amp; Johnson, 2006; Given, 2016)</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xml:space="preserve">, and the obtained information is enough to replicate the study </w:t>
      </w:r>
      <w:sdt>
        <w:sdtPr>
          <w:rPr>
            <w:rStyle w:val="Hyperlink"/>
            <w:rFonts w:asciiTheme="majorBidi" w:hAnsiTheme="majorBidi" w:cstheme="majorBidi"/>
            <w:color w:val="auto"/>
            <w:sz w:val="24"/>
            <w:szCs w:val="24"/>
            <w:u w:val="none"/>
          </w:rPr>
          <w:id w:val="-1041353276"/>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 CITATION ORe12 \l 2057 </w:instrText>
          </w:r>
          <w:r w:rsidRPr="006C5E15">
            <w:rPr>
              <w:rStyle w:val="Hyperlink"/>
              <w:rFonts w:asciiTheme="majorBidi" w:hAnsiTheme="majorBidi" w:cstheme="majorBidi"/>
              <w:color w:val="auto"/>
              <w:sz w:val="24"/>
              <w:szCs w:val="24"/>
              <w:u w:val="none"/>
            </w:rPr>
            <w:fldChar w:fldCharType="separate"/>
          </w:r>
          <w:r w:rsidRPr="006C5E15">
            <w:rPr>
              <w:rFonts w:asciiTheme="majorBidi" w:hAnsiTheme="majorBidi" w:cstheme="majorBidi"/>
              <w:noProof/>
              <w:sz w:val="24"/>
              <w:szCs w:val="24"/>
            </w:rPr>
            <w:t>(O’Reilly &amp; Parker , 2012)</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Data saturation does not only require transparent reporting from the researcher</w:t>
      </w:r>
      <w:sdt>
        <w:sdtPr>
          <w:rPr>
            <w:rStyle w:val="Hyperlink"/>
            <w:rFonts w:asciiTheme="majorBidi" w:hAnsiTheme="majorBidi" w:cstheme="majorBidi"/>
            <w:color w:val="auto"/>
            <w:sz w:val="24"/>
            <w:szCs w:val="24"/>
            <w:u w:val="none"/>
          </w:rPr>
          <w:id w:val="1091669358"/>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 CITATION Fra10 \l 2057 </w:instrText>
          </w:r>
          <w:r w:rsidRPr="006C5E15">
            <w:rPr>
              <w:rStyle w:val="Hyperlink"/>
              <w:rFonts w:asciiTheme="majorBidi" w:hAnsiTheme="majorBidi" w:cstheme="majorBidi"/>
              <w:color w:val="auto"/>
              <w:sz w:val="24"/>
              <w:szCs w:val="24"/>
              <w:u w:val="none"/>
            </w:rPr>
            <w:fldChar w:fldCharType="separate"/>
          </w:r>
          <w:r w:rsidRPr="006C5E15">
            <w:rPr>
              <w:rStyle w:val="Hyperlink"/>
              <w:rFonts w:asciiTheme="majorBidi" w:hAnsiTheme="majorBidi" w:cstheme="majorBidi"/>
              <w:noProof/>
              <w:color w:val="auto"/>
              <w:sz w:val="24"/>
              <w:szCs w:val="24"/>
              <w:u w:val="none"/>
            </w:rPr>
            <w:t xml:space="preserve"> </w:t>
          </w:r>
          <w:r w:rsidRPr="006C5E15">
            <w:rPr>
              <w:rFonts w:asciiTheme="majorBidi" w:hAnsiTheme="majorBidi" w:cstheme="majorBidi"/>
              <w:noProof/>
              <w:sz w:val="24"/>
              <w:szCs w:val="24"/>
            </w:rPr>
            <w:t>(Francis, et al., 2010)</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xml:space="preserve"> but also, requires the obtained data to be linked to the study’s research questions. </w:t>
      </w:r>
      <w:r w:rsidR="006D1F15">
        <w:rPr>
          <w:rStyle w:val="Hyperlink"/>
          <w:rFonts w:asciiTheme="majorBidi" w:hAnsiTheme="majorBidi" w:cstheme="majorBidi"/>
          <w:color w:val="auto"/>
          <w:sz w:val="24"/>
          <w:szCs w:val="24"/>
          <w:u w:val="none"/>
        </w:rPr>
        <w:tab/>
      </w:r>
      <w:r w:rsidRPr="006C5E15">
        <w:rPr>
          <w:rStyle w:val="Hyperlink"/>
          <w:rFonts w:asciiTheme="majorBidi" w:hAnsiTheme="majorBidi" w:cstheme="majorBidi"/>
          <w:color w:val="auto"/>
          <w:sz w:val="24"/>
          <w:szCs w:val="24"/>
          <w:u w:val="none"/>
        </w:rPr>
        <w:t>While there are</w:t>
      </w:r>
      <w:r w:rsidR="009453DF">
        <w:rPr>
          <w:rStyle w:val="Hyperlink"/>
          <w:rFonts w:asciiTheme="majorBidi" w:hAnsiTheme="majorBidi" w:cstheme="majorBidi"/>
          <w:color w:val="auto"/>
          <w:sz w:val="24"/>
          <w:szCs w:val="24"/>
          <w:u w:val="none"/>
        </w:rPr>
        <w:t xml:space="preserve"> no</w:t>
      </w:r>
      <w:r w:rsidRPr="006C5E15">
        <w:rPr>
          <w:rStyle w:val="Hyperlink"/>
          <w:rFonts w:asciiTheme="majorBidi" w:hAnsiTheme="majorBidi" w:cstheme="majorBidi"/>
          <w:color w:val="auto"/>
          <w:sz w:val="24"/>
          <w:szCs w:val="24"/>
          <w:u w:val="none"/>
        </w:rPr>
        <w:t xml:space="preserve">t guidelines to identify data saturation, it is advised to observe the qualitative data in terms </w:t>
      </w:r>
      <w:r w:rsidRPr="007D5C15">
        <w:rPr>
          <w:rStyle w:val="Hyperlink"/>
          <w:rFonts w:asciiTheme="majorBidi" w:hAnsiTheme="majorBidi" w:cstheme="majorBidi"/>
          <w:color w:val="auto"/>
          <w:sz w:val="24"/>
          <w:szCs w:val="24"/>
          <w:u w:val="none"/>
        </w:rPr>
        <w:t>of its richness or quality rather than sample size</w:t>
      </w:r>
      <w:sdt>
        <w:sdtPr>
          <w:rPr>
            <w:rStyle w:val="Hyperlink"/>
            <w:rFonts w:asciiTheme="majorBidi" w:hAnsiTheme="majorBidi" w:cstheme="majorBidi"/>
            <w:color w:val="auto"/>
            <w:sz w:val="24"/>
            <w:szCs w:val="24"/>
            <w:u w:val="none"/>
          </w:rPr>
          <w:id w:val="2002076173"/>
          <w:citation/>
        </w:sdtPr>
        <w:sdtContent>
          <w:r w:rsidRPr="007D5C15">
            <w:rPr>
              <w:rStyle w:val="Hyperlink"/>
              <w:rFonts w:asciiTheme="majorBidi" w:hAnsiTheme="majorBidi" w:cstheme="majorBidi"/>
              <w:color w:val="auto"/>
              <w:sz w:val="24"/>
              <w:szCs w:val="24"/>
              <w:u w:val="none"/>
            </w:rPr>
            <w:fldChar w:fldCharType="begin"/>
          </w:r>
          <w:r w:rsidRPr="007D5C15">
            <w:rPr>
              <w:rStyle w:val="Hyperlink"/>
              <w:rFonts w:asciiTheme="majorBidi" w:hAnsiTheme="majorBidi" w:cstheme="majorBidi"/>
              <w:color w:val="auto"/>
              <w:sz w:val="24"/>
              <w:szCs w:val="24"/>
              <w:u w:val="none"/>
            </w:rPr>
            <w:instrText xml:space="preserve"> CITATION Bur12 \l 2057 </w:instrText>
          </w:r>
          <w:r w:rsidRPr="007D5C15">
            <w:rPr>
              <w:rStyle w:val="Hyperlink"/>
              <w:rFonts w:asciiTheme="majorBidi" w:hAnsiTheme="majorBidi" w:cstheme="majorBidi"/>
              <w:color w:val="auto"/>
              <w:sz w:val="24"/>
              <w:szCs w:val="24"/>
              <w:u w:val="none"/>
            </w:rPr>
            <w:fldChar w:fldCharType="separate"/>
          </w:r>
          <w:r w:rsidRPr="007D5C15">
            <w:rPr>
              <w:rStyle w:val="Hyperlink"/>
              <w:rFonts w:asciiTheme="majorBidi" w:hAnsiTheme="majorBidi" w:cstheme="majorBidi"/>
              <w:noProof/>
              <w:color w:val="auto"/>
              <w:sz w:val="24"/>
              <w:szCs w:val="24"/>
              <w:u w:val="none"/>
            </w:rPr>
            <w:t xml:space="preserve"> </w:t>
          </w:r>
          <w:r w:rsidRPr="007D5C15">
            <w:rPr>
              <w:rFonts w:asciiTheme="majorBidi" w:hAnsiTheme="majorBidi" w:cstheme="majorBidi"/>
              <w:noProof/>
              <w:sz w:val="24"/>
              <w:szCs w:val="24"/>
            </w:rPr>
            <w:t>(Burmeister &amp; Aitken, 2012)</w:t>
          </w:r>
          <w:r w:rsidRPr="007D5C15">
            <w:rPr>
              <w:rStyle w:val="Hyperlink"/>
              <w:rFonts w:asciiTheme="majorBidi" w:hAnsiTheme="majorBidi" w:cstheme="majorBidi"/>
              <w:color w:val="auto"/>
              <w:sz w:val="24"/>
              <w:szCs w:val="24"/>
              <w:u w:val="none"/>
            </w:rPr>
            <w:fldChar w:fldCharType="end"/>
          </w:r>
        </w:sdtContent>
      </w:sdt>
      <w:r w:rsidRPr="007D5C15">
        <w:rPr>
          <w:rStyle w:val="Hyperlink"/>
          <w:rFonts w:asciiTheme="majorBidi" w:hAnsiTheme="majorBidi" w:cstheme="majorBidi"/>
          <w:color w:val="auto"/>
          <w:sz w:val="24"/>
          <w:szCs w:val="24"/>
          <w:u w:val="none"/>
        </w:rPr>
        <w:t>. Data richness usually means layered, deep, unique, detailed, and nuanced data</w:t>
      </w:r>
      <w:sdt>
        <w:sdtPr>
          <w:rPr>
            <w:rStyle w:val="Hyperlink"/>
            <w:rFonts w:asciiTheme="majorBidi" w:hAnsiTheme="majorBidi" w:cstheme="majorBidi"/>
            <w:color w:val="auto"/>
            <w:sz w:val="24"/>
            <w:szCs w:val="24"/>
            <w:u w:val="none"/>
          </w:rPr>
          <w:id w:val="-1308011445"/>
          <w:citation/>
        </w:sdtPr>
        <w:sdtContent>
          <w:r w:rsidRPr="007D5C15">
            <w:rPr>
              <w:rStyle w:val="Hyperlink"/>
              <w:rFonts w:asciiTheme="majorBidi" w:hAnsiTheme="majorBidi" w:cstheme="majorBidi"/>
              <w:color w:val="auto"/>
              <w:sz w:val="24"/>
              <w:szCs w:val="24"/>
              <w:u w:val="none"/>
            </w:rPr>
            <w:fldChar w:fldCharType="begin"/>
          </w:r>
          <w:r w:rsidRPr="007D5C15">
            <w:rPr>
              <w:rStyle w:val="Hyperlink"/>
              <w:rFonts w:asciiTheme="majorBidi" w:hAnsiTheme="majorBidi" w:cstheme="majorBidi"/>
              <w:color w:val="auto"/>
              <w:sz w:val="24"/>
              <w:szCs w:val="24"/>
              <w:u w:val="none"/>
            </w:rPr>
            <w:instrText xml:space="preserve"> CITATION Bur12 \l 2057 </w:instrText>
          </w:r>
          <w:r w:rsidRPr="007D5C15">
            <w:rPr>
              <w:rStyle w:val="Hyperlink"/>
              <w:rFonts w:asciiTheme="majorBidi" w:hAnsiTheme="majorBidi" w:cstheme="majorBidi"/>
              <w:color w:val="auto"/>
              <w:sz w:val="24"/>
              <w:szCs w:val="24"/>
              <w:u w:val="none"/>
            </w:rPr>
            <w:fldChar w:fldCharType="separate"/>
          </w:r>
          <w:r w:rsidRPr="007D5C15">
            <w:rPr>
              <w:rStyle w:val="Hyperlink"/>
              <w:rFonts w:asciiTheme="majorBidi" w:hAnsiTheme="majorBidi" w:cstheme="majorBidi"/>
              <w:noProof/>
              <w:color w:val="auto"/>
              <w:sz w:val="24"/>
              <w:szCs w:val="24"/>
              <w:u w:val="none"/>
            </w:rPr>
            <w:t xml:space="preserve"> </w:t>
          </w:r>
          <w:r w:rsidRPr="007D5C15">
            <w:rPr>
              <w:rFonts w:asciiTheme="majorBidi" w:hAnsiTheme="majorBidi" w:cstheme="majorBidi"/>
              <w:noProof/>
              <w:sz w:val="24"/>
              <w:szCs w:val="24"/>
            </w:rPr>
            <w:t>(Burmeister &amp; Aitken, 2012)</w:t>
          </w:r>
          <w:r w:rsidRPr="007D5C15">
            <w:rPr>
              <w:rStyle w:val="Hyperlink"/>
              <w:rFonts w:asciiTheme="majorBidi" w:hAnsiTheme="majorBidi" w:cstheme="majorBidi"/>
              <w:color w:val="auto"/>
              <w:sz w:val="24"/>
              <w:szCs w:val="24"/>
              <w:u w:val="none"/>
            </w:rPr>
            <w:fldChar w:fldCharType="end"/>
          </w:r>
        </w:sdtContent>
      </w:sdt>
      <w:r w:rsidRPr="007D5C15">
        <w:rPr>
          <w:rStyle w:val="Hyperlink"/>
          <w:rFonts w:asciiTheme="majorBidi" w:hAnsiTheme="majorBidi" w:cstheme="majorBidi"/>
          <w:color w:val="auto"/>
          <w:sz w:val="24"/>
          <w:szCs w:val="24"/>
          <w:u w:val="none"/>
        </w:rPr>
        <w:t>.  Based on a systematic literature review, across 16 studies in different fields using different approaches to data saturation, results yielded that data saturation was achieved from 5 to 24 interviews</w:t>
      </w:r>
      <w:sdt>
        <w:sdtPr>
          <w:rPr>
            <w:rStyle w:val="Hyperlink"/>
            <w:rFonts w:asciiTheme="majorBidi" w:hAnsiTheme="majorBidi" w:cstheme="majorBidi"/>
            <w:color w:val="auto"/>
            <w:sz w:val="24"/>
            <w:szCs w:val="24"/>
            <w:u w:val="none"/>
          </w:rPr>
          <w:id w:val="1803341771"/>
          <w:citation/>
        </w:sdtPr>
        <w:sdtContent>
          <w:r w:rsidRPr="007D5C15">
            <w:rPr>
              <w:rStyle w:val="Hyperlink"/>
              <w:rFonts w:asciiTheme="majorBidi" w:hAnsiTheme="majorBidi" w:cstheme="majorBidi"/>
              <w:color w:val="auto"/>
              <w:sz w:val="24"/>
              <w:szCs w:val="24"/>
              <w:u w:val="none"/>
            </w:rPr>
            <w:fldChar w:fldCharType="begin"/>
          </w:r>
          <w:r w:rsidRPr="007D5C15">
            <w:rPr>
              <w:rStyle w:val="Hyperlink"/>
              <w:rFonts w:asciiTheme="majorBidi" w:hAnsiTheme="majorBidi" w:cstheme="majorBidi"/>
              <w:color w:val="auto"/>
              <w:sz w:val="24"/>
              <w:szCs w:val="24"/>
              <w:u w:val="none"/>
            </w:rPr>
            <w:instrText xml:space="preserve"> CITATION Con17 \l 2057  \m Hen22</w:instrText>
          </w:r>
          <w:r w:rsidRPr="007D5C15">
            <w:rPr>
              <w:rStyle w:val="Hyperlink"/>
              <w:rFonts w:asciiTheme="majorBidi" w:hAnsiTheme="majorBidi" w:cstheme="majorBidi"/>
              <w:color w:val="auto"/>
              <w:sz w:val="24"/>
              <w:szCs w:val="24"/>
              <w:u w:val="none"/>
            </w:rPr>
            <w:fldChar w:fldCharType="separate"/>
          </w:r>
          <w:r w:rsidRPr="007D5C15">
            <w:rPr>
              <w:rStyle w:val="Hyperlink"/>
              <w:rFonts w:asciiTheme="majorBidi" w:hAnsiTheme="majorBidi" w:cstheme="majorBidi"/>
              <w:noProof/>
              <w:color w:val="auto"/>
              <w:sz w:val="24"/>
              <w:szCs w:val="24"/>
              <w:u w:val="none"/>
            </w:rPr>
            <w:t xml:space="preserve"> </w:t>
          </w:r>
          <w:r w:rsidRPr="007D5C15">
            <w:rPr>
              <w:rFonts w:asciiTheme="majorBidi" w:hAnsiTheme="majorBidi" w:cstheme="majorBidi"/>
              <w:noProof/>
              <w:sz w:val="24"/>
              <w:szCs w:val="24"/>
            </w:rPr>
            <w:t>(Constantinou, Georgiou, &amp; Perdikogianni, 2017; Hennink &amp; Kaiser, 2022)</w:t>
          </w:r>
          <w:r w:rsidRPr="007D5C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The review identified two main approaches to measure data saturation: using empirical data and statistical models</w:t>
      </w:r>
      <w:sdt>
        <w:sdtPr>
          <w:rPr>
            <w:rStyle w:val="Hyperlink"/>
            <w:rFonts w:asciiTheme="majorBidi" w:hAnsiTheme="majorBidi" w:cstheme="majorBidi"/>
            <w:color w:val="auto"/>
            <w:sz w:val="24"/>
            <w:szCs w:val="24"/>
            <w:u w:val="none"/>
          </w:rPr>
          <w:id w:val="-1497651321"/>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 CITATION Hen22 \l 2057 </w:instrText>
          </w:r>
          <w:r w:rsidRPr="006C5E15">
            <w:rPr>
              <w:rStyle w:val="Hyperlink"/>
              <w:rFonts w:asciiTheme="majorBidi" w:hAnsiTheme="majorBidi" w:cstheme="majorBidi"/>
              <w:color w:val="auto"/>
              <w:sz w:val="24"/>
              <w:szCs w:val="24"/>
              <w:u w:val="none"/>
            </w:rPr>
            <w:fldChar w:fldCharType="separate"/>
          </w:r>
          <w:r w:rsidRPr="006C5E15">
            <w:rPr>
              <w:rStyle w:val="Hyperlink"/>
              <w:rFonts w:asciiTheme="majorBidi" w:hAnsiTheme="majorBidi" w:cstheme="majorBidi"/>
              <w:noProof/>
              <w:color w:val="auto"/>
              <w:sz w:val="24"/>
              <w:szCs w:val="24"/>
              <w:u w:val="none"/>
            </w:rPr>
            <w:t xml:space="preserve"> </w:t>
          </w:r>
          <w:r w:rsidRPr="006C5E15">
            <w:rPr>
              <w:rFonts w:asciiTheme="majorBidi" w:hAnsiTheme="majorBidi" w:cstheme="majorBidi"/>
              <w:noProof/>
              <w:sz w:val="24"/>
              <w:szCs w:val="24"/>
            </w:rPr>
            <w:t>(Hennink &amp; Kaiser, 2022)</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While statistical methods are applauded in literature, many of the formulas developed for statistical methods are based on assumptions and they might be scientifically deceptive thus, restrict their usefulness</w:t>
      </w:r>
      <w:sdt>
        <w:sdtPr>
          <w:rPr>
            <w:rStyle w:val="Hyperlink"/>
            <w:rFonts w:asciiTheme="majorBidi" w:hAnsiTheme="majorBidi" w:cstheme="majorBidi"/>
            <w:color w:val="auto"/>
            <w:sz w:val="24"/>
            <w:szCs w:val="24"/>
            <w:u w:val="none"/>
          </w:rPr>
          <w:id w:val="775446332"/>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 CITATION Hen22 \l 2057 </w:instrText>
          </w:r>
          <w:r w:rsidRPr="006C5E15">
            <w:rPr>
              <w:rStyle w:val="Hyperlink"/>
              <w:rFonts w:asciiTheme="majorBidi" w:hAnsiTheme="majorBidi" w:cstheme="majorBidi"/>
              <w:color w:val="auto"/>
              <w:sz w:val="24"/>
              <w:szCs w:val="24"/>
              <w:u w:val="none"/>
            </w:rPr>
            <w:fldChar w:fldCharType="separate"/>
          </w:r>
          <w:r w:rsidRPr="006C5E15">
            <w:rPr>
              <w:rStyle w:val="Hyperlink"/>
              <w:rFonts w:asciiTheme="majorBidi" w:hAnsiTheme="majorBidi" w:cstheme="majorBidi"/>
              <w:noProof/>
              <w:color w:val="auto"/>
              <w:sz w:val="24"/>
              <w:szCs w:val="24"/>
              <w:u w:val="none"/>
            </w:rPr>
            <w:t xml:space="preserve"> </w:t>
          </w:r>
          <w:r w:rsidRPr="006C5E15">
            <w:rPr>
              <w:rFonts w:asciiTheme="majorBidi" w:hAnsiTheme="majorBidi" w:cstheme="majorBidi"/>
              <w:noProof/>
              <w:sz w:val="24"/>
              <w:szCs w:val="24"/>
            </w:rPr>
            <w:t>(Hennink &amp; Kaiser, 2022)</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xml:space="preserve">. </w:t>
      </w:r>
    </w:p>
    <w:p w14:paraId="7DA3B857" w14:textId="633AD6A7" w:rsidR="00ED492B" w:rsidRPr="006C5E15" w:rsidRDefault="00ED492B" w:rsidP="00ED492B">
      <w:pPr>
        <w:widowControl w:val="0"/>
        <w:spacing w:after="0" w:line="480" w:lineRule="auto"/>
        <w:rPr>
          <w:rStyle w:val="Hyperlink"/>
          <w:rFonts w:asciiTheme="majorBidi" w:hAnsiTheme="majorBidi" w:cstheme="majorBidi"/>
          <w:color w:val="auto"/>
          <w:sz w:val="24"/>
          <w:szCs w:val="24"/>
          <w:u w:val="none"/>
        </w:rPr>
      </w:pPr>
      <w:r w:rsidRPr="006C5E15">
        <w:rPr>
          <w:rStyle w:val="Hyperlink"/>
          <w:rFonts w:asciiTheme="majorBidi" w:hAnsiTheme="majorBidi" w:cstheme="majorBidi"/>
          <w:color w:val="auto"/>
          <w:sz w:val="24"/>
          <w:szCs w:val="24"/>
          <w:u w:val="none"/>
        </w:rPr>
        <w:tab/>
        <w:t>This study applied empirical data to assess data saturation. This has been applied in multiple studies in literature in different fields</w:t>
      </w:r>
      <w:sdt>
        <w:sdtPr>
          <w:rPr>
            <w:rStyle w:val="Hyperlink"/>
            <w:rFonts w:asciiTheme="majorBidi" w:hAnsiTheme="majorBidi" w:cstheme="majorBidi"/>
            <w:color w:val="auto"/>
            <w:sz w:val="24"/>
            <w:szCs w:val="24"/>
            <w:u w:val="none"/>
          </w:rPr>
          <w:id w:val="-1141029303"/>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CITATION Con17 \m Gue20 \t  \l 2057  \m Rij17</w:instrText>
          </w:r>
          <w:r w:rsidRPr="006C5E15">
            <w:rPr>
              <w:rStyle w:val="Hyperlink"/>
              <w:rFonts w:asciiTheme="majorBidi" w:hAnsiTheme="majorBidi" w:cstheme="majorBidi"/>
              <w:color w:val="auto"/>
              <w:sz w:val="24"/>
              <w:szCs w:val="24"/>
              <w:u w:val="none"/>
            </w:rPr>
            <w:fldChar w:fldCharType="separate"/>
          </w:r>
          <w:r w:rsidRPr="006C5E15">
            <w:rPr>
              <w:rStyle w:val="Hyperlink"/>
              <w:rFonts w:asciiTheme="majorBidi" w:hAnsiTheme="majorBidi" w:cstheme="majorBidi"/>
              <w:noProof/>
              <w:color w:val="auto"/>
              <w:sz w:val="24"/>
              <w:szCs w:val="24"/>
              <w:u w:val="none"/>
            </w:rPr>
            <w:t xml:space="preserve"> </w:t>
          </w:r>
          <w:r w:rsidRPr="006C5E15">
            <w:rPr>
              <w:rFonts w:asciiTheme="majorBidi" w:hAnsiTheme="majorBidi" w:cstheme="majorBidi"/>
              <w:noProof/>
              <w:sz w:val="24"/>
              <w:szCs w:val="24"/>
            </w:rPr>
            <w:t>(Constantinou, Georgiou, &amp; Perdikogianni, 2017; Guest, Namey, &amp; Chen, 2020; Rijnsoever, 2017)</w:t>
          </w:r>
          <w:r w:rsidRPr="006C5E15">
            <w:rPr>
              <w:rStyle w:val="Hyperlink"/>
              <w:rFonts w:asciiTheme="majorBidi" w:hAnsiTheme="majorBidi" w:cstheme="majorBidi"/>
              <w:color w:val="auto"/>
              <w:sz w:val="24"/>
              <w:szCs w:val="24"/>
              <w:u w:val="none"/>
            </w:rPr>
            <w:fldChar w:fldCharType="end"/>
          </w:r>
        </w:sdtContent>
      </w:sdt>
      <w:r w:rsidRPr="007D5C15">
        <w:rPr>
          <w:rStyle w:val="Hyperlink"/>
          <w:rFonts w:asciiTheme="majorBidi" w:hAnsiTheme="majorBidi" w:cstheme="majorBidi"/>
          <w:color w:val="auto"/>
          <w:sz w:val="24"/>
          <w:szCs w:val="24"/>
          <w:u w:val="none"/>
        </w:rPr>
        <w:t>. Empirical data identifies all themes based on the first interview which are then compared against common themes and any new themes from the second interview</w:t>
      </w:r>
      <w:sdt>
        <w:sdtPr>
          <w:rPr>
            <w:rStyle w:val="Hyperlink"/>
            <w:rFonts w:asciiTheme="majorBidi" w:hAnsiTheme="majorBidi" w:cstheme="majorBidi"/>
            <w:color w:val="auto"/>
            <w:sz w:val="24"/>
            <w:szCs w:val="24"/>
            <w:u w:val="none"/>
          </w:rPr>
          <w:id w:val="-1020460328"/>
          <w:citation/>
        </w:sdtPr>
        <w:sdtContent>
          <w:r w:rsidRPr="007D5C15">
            <w:rPr>
              <w:rStyle w:val="Hyperlink"/>
              <w:rFonts w:asciiTheme="majorBidi" w:hAnsiTheme="majorBidi" w:cstheme="majorBidi"/>
              <w:color w:val="auto"/>
              <w:sz w:val="24"/>
              <w:szCs w:val="24"/>
              <w:u w:val="none"/>
            </w:rPr>
            <w:fldChar w:fldCharType="begin"/>
          </w:r>
          <w:r w:rsidRPr="007D5C15">
            <w:rPr>
              <w:rStyle w:val="Hyperlink"/>
              <w:rFonts w:asciiTheme="majorBidi" w:hAnsiTheme="majorBidi" w:cstheme="majorBidi"/>
              <w:color w:val="auto"/>
              <w:sz w:val="24"/>
              <w:szCs w:val="24"/>
              <w:u w:val="none"/>
            </w:rPr>
            <w:instrText xml:space="preserve"> CITATION Con17 \l 2057 </w:instrText>
          </w:r>
          <w:r w:rsidRPr="007D5C15">
            <w:rPr>
              <w:rStyle w:val="Hyperlink"/>
              <w:rFonts w:asciiTheme="majorBidi" w:hAnsiTheme="majorBidi" w:cstheme="majorBidi"/>
              <w:color w:val="auto"/>
              <w:sz w:val="24"/>
              <w:szCs w:val="24"/>
              <w:u w:val="none"/>
            </w:rPr>
            <w:fldChar w:fldCharType="separate"/>
          </w:r>
          <w:r w:rsidRPr="007D5C15">
            <w:rPr>
              <w:rStyle w:val="Hyperlink"/>
              <w:rFonts w:asciiTheme="majorBidi" w:hAnsiTheme="majorBidi" w:cstheme="majorBidi"/>
              <w:noProof/>
              <w:color w:val="auto"/>
              <w:sz w:val="24"/>
              <w:szCs w:val="24"/>
              <w:u w:val="none"/>
            </w:rPr>
            <w:t xml:space="preserve"> </w:t>
          </w:r>
          <w:r w:rsidRPr="007D5C15">
            <w:rPr>
              <w:rFonts w:asciiTheme="majorBidi" w:hAnsiTheme="majorBidi" w:cstheme="majorBidi"/>
              <w:noProof/>
              <w:sz w:val="24"/>
              <w:szCs w:val="24"/>
            </w:rPr>
            <w:t>(Constantinou, Georgiou, &amp; Perdikogianni, 2017)</w:t>
          </w:r>
          <w:r w:rsidRPr="007D5C15">
            <w:rPr>
              <w:rStyle w:val="Hyperlink"/>
              <w:rFonts w:asciiTheme="majorBidi" w:hAnsiTheme="majorBidi" w:cstheme="majorBidi"/>
              <w:color w:val="auto"/>
              <w:sz w:val="24"/>
              <w:szCs w:val="24"/>
              <w:u w:val="none"/>
            </w:rPr>
            <w:fldChar w:fldCharType="end"/>
          </w:r>
        </w:sdtContent>
      </w:sdt>
      <w:r w:rsidRPr="007D5C15">
        <w:rPr>
          <w:rStyle w:val="Hyperlink"/>
          <w:rFonts w:asciiTheme="majorBidi" w:hAnsiTheme="majorBidi" w:cstheme="majorBidi"/>
          <w:color w:val="auto"/>
          <w:sz w:val="24"/>
          <w:szCs w:val="24"/>
          <w:u w:val="none"/>
        </w:rPr>
        <w:t>.</w:t>
      </w:r>
      <w:r w:rsidRPr="006C5E15">
        <w:rPr>
          <w:rStyle w:val="Hyperlink"/>
          <w:rFonts w:asciiTheme="majorBidi" w:hAnsiTheme="majorBidi" w:cstheme="majorBidi"/>
          <w:color w:val="auto"/>
          <w:sz w:val="24"/>
          <w:szCs w:val="24"/>
          <w:u w:val="none"/>
        </w:rPr>
        <w:t xml:space="preserve"> This process is repeated with all interviews until no more new themes emerge</w:t>
      </w:r>
      <w:sdt>
        <w:sdtPr>
          <w:rPr>
            <w:rStyle w:val="Hyperlink"/>
            <w:rFonts w:asciiTheme="majorBidi" w:hAnsiTheme="majorBidi" w:cstheme="majorBidi"/>
            <w:color w:val="auto"/>
            <w:sz w:val="24"/>
            <w:szCs w:val="24"/>
            <w:u w:val="none"/>
          </w:rPr>
          <w:id w:val="-1352409569"/>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 CITATION Con17 \l 2057 </w:instrText>
          </w:r>
          <w:r w:rsidRPr="006C5E15">
            <w:rPr>
              <w:rStyle w:val="Hyperlink"/>
              <w:rFonts w:asciiTheme="majorBidi" w:hAnsiTheme="majorBidi" w:cstheme="majorBidi"/>
              <w:color w:val="auto"/>
              <w:sz w:val="24"/>
              <w:szCs w:val="24"/>
              <w:u w:val="none"/>
            </w:rPr>
            <w:fldChar w:fldCharType="separate"/>
          </w:r>
          <w:r w:rsidRPr="006C5E15">
            <w:rPr>
              <w:rStyle w:val="Hyperlink"/>
              <w:rFonts w:asciiTheme="majorBidi" w:hAnsiTheme="majorBidi" w:cstheme="majorBidi"/>
              <w:noProof/>
              <w:color w:val="auto"/>
              <w:sz w:val="24"/>
              <w:szCs w:val="24"/>
              <w:u w:val="none"/>
            </w:rPr>
            <w:t xml:space="preserve"> </w:t>
          </w:r>
          <w:r w:rsidRPr="006C5E15">
            <w:rPr>
              <w:rFonts w:asciiTheme="majorBidi" w:hAnsiTheme="majorBidi" w:cstheme="majorBidi"/>
              <w:noProof/>
              <w:sz w:val="24"/>
              <w:szCs w:val="24"/>
            </w:rPr>
            <w:t>(Constantinou, Georgiou, &amp; Perdikogianni, 2017)</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xml:space="preserve">. </w:t>
      </w:r>
      <w:r w:rsidRPr="00815733">
        <w:rPr>
          <w:rStyle w:val="Hyperlink"/>
          <w:rFonts w:asciiTheme="majorBidi" w:hAnsiTheme="majorBidi" w:cstheme="majorBidi"/>
          <w:color w:val="auto"/>
          <w:sz w:val="24"/>
          <w:szCs w:val="24"/>
          <w:u w:val="none"/>
        </w:rPr>
        <w:t>Empirical data is usually opposed with the argument that the operationali</w:t>
      </w:r>
      <w:r w:rsidR="001D3CC3" w:rsidRPr="00815733">
        <w:rPr>
          <w:rStyle w:val="Hyperlink"/>
          <w:rFonts w:asciiTheme="majorBidi" w:hAnsiTheme="majorBidi" w:cstheme="majorBidi"/>
          <w:color w:val="auto"/>
          <w:sz w:val="24"/>
          <w:szCs w:val="24"/>
          <w:u w:val="none"/>
        </w:rPr>
        <w:t>s</w:t>
      </w:r>
      <w:r w:rsidRPr="00815733">
        <w:rPr>
          <w:rStyle w:val="Hyperlink"/>
          <w:rFonts w:asciiTheme="majorBidi" w:hAnsiTheme="majorBidi" w:cstheme="majorBidi"/>
          <w:color w:val="auto"/>
          <w:sz w:val="24"/>
          <w:szCs w:val="24"/>
          <w:u w:val="none"/>
        </w:rPr>
        <w:t>ation of empirical data model to reach saturation vary widely in the criteria used to arrive at determining saturation</w:t>
      </w:r>
      <w:sdt>
        <w:sdtPr>
          <w:rPr>
            <w:rStyle w:val="Hyperlink"/>
            <w:rFonts w:asciiTheme="majorBidi" w:hAnsiTheme="majorBidi" w:cstheme="majorBidi"/>
            <w:color w:val="auto"/>
            <w:sz w:val="24"/>
            <w:szCs w:val="24"/>
            <w:u w:val="none"/>
          </w:rPr>
          <w:id w:val="-262380235"/>
          <w:citation/>
        </w:sdtPr>
        <w:sdtContent>
          <w:r w:rsidRPr="00815733">
            <w:rPr>
              <w:rStyle w:val="Hyperlink"/>
              <w:rFonts w:asciiTheme="majorBidi" w:hAnsiTheme="majorBidi" w:cstheme="majorBidi"/>
              <w:color w:val="auto"/>
              <w:sz w:val="24"/>
              <w:szCs w:val="24"/>
              <w:u w:val="none"/>
            </w:rPr>
            <w:fldChar w:fldCharType="begin"/>
          </w:r>
          <w:r w:rsidRPr="00815733">
            <w:rPr>
              <w:rStyle w:val="Hyperlink"/>
              <w:rFonts w:asciiTheme="majorBidi" w:hAnsiTheme="majorBidi" w:cstheme="majorBidi"/>
              <w:color w:val="auto"/>
              <w:sz w:val="24"/>
              <w:szCs w:val="24"/>
              <w:u w:val="none"/>
            </w:rPr>
            <w:instrText xml:space="preserve"> CITATION Coe12 \l 2057 </w:instrText>
          </w:r>
          <w:r w:rsidRPr="00815733">
            <w:rPr>
              <w:rStyle w:val="Hyperlink"/>
              <w:rFonts w:asciiTheme="majorBidi" w:hAnsiTheme="majorBidi" w:cstheme="majorBidi"/>
              <w:color w:val="auto"/>
              <w:sz w:val="24"/>
              <w:szCs w:val="24"/>
              <w:u w:val="none"/>
            </w:rPr>
            <w:fldChar w:fldCharType="separate"/>
          </w:r>
          <w:r w:rsidRPr="00815733">
            <w:rPr>
              <w:rStyle w:val="Hyperlink"/>
              <w:rFonts w:asciiTheme="majorBidi" w:hAnsiTheme="majorBidi" w:cstheme="majorBidi"/>
              <w:noProof/>
              <w:color w:val="auto"/>
              <w:sz w:val="24"/>
              <w:szCs w:val="24"/>
              <w:u w:val="none"/>
            </w:rPr>
            <w:t xml:space="preserve"> </w:t>
          </w:r>
          <w:r w:rsidRPr="00815733">
            <w:rPr>
              <w:rFonts w:asciiTheme="majorBidi" w:hAnsiTheme="majorBidi" w:cstheme="majorBidi"/>
              <w:noProof/>
              <w:sz w:val="24"/>
              <w:szCs w:val="24"/>
            </w:rPr>
            <w:t>(Coenen, Stamm, Stucki, &amp; Cieza , 2012)</w:t>
          </w:r>
          <w:r w:rsidRPr="00815733">
            <w:rPr>
              <w:rStyle w:val="Hyperlink"/>
              <w:rFonts w:asciiTheme="majorBidi" w:hAnsiTheme="majorBidi" w:cstheme="majorBidi"/>
              <w:color w:val="auto"/>
              <w:sz w:val="24"/>
              <w:szCs w:val="24"/>
              <w:u w:val="none"/>
            </w:rPr>
            <w:fldChar w:fldCharType="end"/>
          </w:r>
        </w:sdtContent>
      </w:sdt>
      <w:r w:rsidRPr="00815733">
        <w:rPr>
          <w:rStyle w:val="Hyperlink"/>
          <w:rFonts w:asciiTheme="majorBidi" w:hAnsiTheme="majorBidi" w:cstheme="majorBidi"/>
          <w:color w:val="auto"/>
          <w:sz w:val="24"/>
          <w:szCs w:val="24"/>
          <w:u w:val="none"/>
        </w:rPr>
        <w:t xml:space="preserve">. However, this method facilitates the qualitative researchers’ decision in reaching data saturation and that </w:t>
      </w:r>
      <w:r w:rsidRPr="007D5C15">
        <w:rPr>
          <w:rStyle w:val="Hyperlink"/>
          <w:rFonts w:asciiTheme="majorBidi" w:hAnsiTheme="majorBidi" w:cstheme="majorBidi"/>
          <w:color w:val="auto"/>
          <w:sz w:val="24"/>
          <w:szCs w:val="24"/>
          <w:u w:val="none"/>
        </w:rPr>
        <w:t>ensures that the qualitative results are more relevant to the study’s objectives</w:t>
      </w:r>
      <w:sdt>
        <w:sdtPr>
          <w:rPr>
            <w:rStyle w:val="Hyperlink"/>
            <w:rFonts w:asciiTheme="majorBidi" w:hAnsiTheme="majorBidi" w:cstheme="majorBidi"/>
            <w:color w:val="auto"/>
            <w:sz w:val="24"/>
            <w:szCs w:val="24"/>
            <w:u w:val="none"/>
          </w:rPr>
          <w:id w:val="554979792"/>
          <w:citation/>
        </w:sdtPr>
        <w:sdtContent>
          <w:r w:rsidRPr="00815733">
            <w:rPr>
              <w:rStyle w:val="Hyperlink"/>
              <w:rFonts w:asciiTheme="majorBidi" w:hAnsiTheme="majorBidi" w:cstheme="majorBidi"/>
              <w:color w:val="auto"/>
              <w:sz w:val="24"/>
              <w:szCs w:val="24"/>
              <w:u w:val="none"/>
            </w:rPr>
            <w:fldChar w:fldCharType="begin"/>
          </w:r>
          <w:r w:rsidRPr="00815733">
            <w:rPr>
              <w:rStyle w:val="Hyperlink"/>
              <w:rFonts w:asciiTheme="majorBidi" w:hAnsiTheme="majorBidi" w:cstheme="majorBidi"/>
              <w:color w:val="auto"/>
              <w:sz w:val="24"/>
              <w:szCs w:val="24"/>
              <w:u w:val="none"/>
            </w:rPr>
            <w:instrText xml:space="preserve">CITATION Gue20 \t  \l 2057 </w:instrText>
          </w:r>
          <w:r w:rsidRPr="00815733">
            <w:rPr>
              <w:rStyle w:val="Hyperlink"/>
              <w:rFonts w:asciiTheme="majorBidi" w:hAnsiTheme="majorBidi" w:cstheme="majorBidi"/>
              <w:color w:val="auto"/>
              <w:sz w:val="24"/>
              <w:szCs w:val="24"/>
              <w:u w:val="none"/>
            </w:rPr>
            <w:fldChar w:fldCharType="separate"/>
          </w:r>
          <w:r w:rsidRPr="00815733">
            <w:rPr>
              <w:rStyle w:val="Hyperlink"/>
              <w:rFonts w:asciiTheme="majorBidi" w:hAnsiTheme="majorBidi" w:cstheme="majorBidi"/>
              <w:noProof/>
              <w:color w:val="auto"/>
              <w:sz w:val="24"/>
              <w:szCs w:val="24"/>
              <w:u w:val="none"/>
            </w:rPr>
            <w:t xml:space="preserve"> </w:t>
          </w:r>
          <w:r w:rsidRPr="00815733">
            <w:rPr>
              <w:rFonts w:asciiTheme="majorBidi" w:hAnsiTheme="majorBidi" w:cstheme="majorBidi"/>
              <w:noProof/>
              <w:sz w:val="24"/>
              <w:szCs w:val="24"/>
            </w:rPr>
            <w:t>(Guest, Namey, &amp; Chen, 2020)</w:t>
          </w:r>
          <w:r w:rsidRPr="00815733">
            <w:rPr>
              <w:rStyle w:val="Hyperlink"/>
              <w:rFonts w:asciiTheme="majorBidi" w:hAnsiTheme="majorBidi" w:cstheme="majorBidi"/>
              <w:color w:val="auto"/>
              <w:sz w:val="24"/>
              <w:szCs w:val="24"/>
              <w:u w:val="none"/>
            </w:rPr>
            <w:fldChar w:fldCharType="end"/>
          </w:r>
        </w:sdtContent>
      </w:sdt>
      <w:r w:rsidRPr="00815733">
        <w:rPr>
          <w:rStyle w:val="Hyperlink"/>
          <w:rFonts w:asciiTheme="majorBidi" w:hAnsiTheme="majorBidi" w:cstheme="majorBidi"/>
          <w:color w:val="auto"/>
          <w:sz w:val="24"/>
          <w:szCs w:val="24"/>
          <w:u w:val="none"/>
        </w:rPr>
        <w:t>.</w:t>
      </w:r>
      <w:r w:rsidRPr="006C5E15">
        <w:rPr>
          <w:rStyle w:val="Hyperlink"/>
          <w:rFonts w:asciiTheme="majorBidi" w:hAnsiTheme="majorBidi" w:cstheme="majorBidi"/>
          <w:color w:val="auto"/>
          <w:sz w:val="24"/>
          <w:szCs w:val="24"/>
          <w:u w:val="none"/>
        </w:rPr>
        <w:t xml:space="preserve"> Additionally, it is essential for the researcher to isolate his/her personal views during the interview to avoid influencing the respondents’ answers</w:t>
      </w:r>
      <w:sdt>
        <w:sdtPr>
          <w:rPr>
            <w:rStyle w:val="Hyperlink"/>
            <w:rFonts w:asciiTheme="majorBidi" w:hAnsiTheme="majorBidi" w:cstheme="majorBidi"/>
            <w:color w:val="auto"/>
            <w:sz w:val="24"/>
            <w:szCs w:val="24"/>
            <w:u w:val="none"/>
          </w:rPr>
          <w:id w:val="-615438938"/>
          <w:citation/>
        </w:sdtPr>
        <w:sdtContent>
          <w:r w:rsidRPr="006C5E15">
            <w:rPr>
              <w:rStyle w:val="Hyperlink"/>
              <w:rFonts w:asciiTheme="majorBidi" w:hAnsiTheme="majorBidi" w:cstheme="majorBidi"/>
              <w:color w:val="auto"/>
              <w:sz w:val="24"/>
              <w:szCs w:val="24"/>
              <w:u w:val="none"/>
            </w:rPr>
            <w:fldChar w:fldCharType="begin"/>
          </w:r>
          <w:r w:rsidRPr="006C5E15">
            <w:rPr>
              <w:rStyle w:val="Hyperlink"/>
              <w:rFonts w:asciiTheme="majorBidi" w:hAnsiTheme="majorBidi" w:cstheme="majorBidi"/>
              <w:color w:val="auto"/>
              <w:sz w:val="24"/>
              <w:szCs w:val="24"/>
              <w:u w:val="none"/>
            </w:rPr>
            <w:instrText xml:space="preserve"> CITATION Dib11 \l 2057 </w:instrText>
          </w:r>
          <w:r w:rsidRPr="006C5E15">
            <w:rPr>
              <w:rStyle w:val="Hyperlink"/>
              <w:rFonts w:asciiTheme="majorBidi" w:hAnsiTheme="majorBidi" w:cstheme="majorBidi"/>
              <w:color w:val="auto"/>
              <w:sz w:val="24"/>
              <w:szCs w:val="24"/>
              <w:u w:val="none"/>
            </w:rPr>
            <w:fldChar w:fldCharType="separate"/>
          </w:r>
          <w:r w:rsidRPr="006C5E15">
            <w:rPr>
              <w:rStyle w:val="Hyperlink"/>
              <w:rFonts w:asciiTheme="majorBidi" w:hAnsiTheme="majorBidi" w:cstheme="majorBidi"/>
              <w:noProof/>
              <w:color w:val="auto"/>
              <w:sz w:val="24"/>
              <w:szCs w:val="24"/>
              <w:u w:val="none"/>
            </w:rPr>
            <w:t xml:space="preserve"> </w:t>
          </w:r>
          <w:r w:rsidRPr="006C5E15">
            <w:rPr>
              <w:rFonts w:asciiTheme="majorBidi" w:hAnsiTheme="majorBidi" w:cstheme="majorBidi"/>
              <w:noProof/>
              <w:sz w:val="24"/>
              <w:szCs w:val="24"/>
            </w:rPr>
            <w:t>(Dibley , 2011)</w:t>
          </w:r>
          <w:r w:rsidRPr="006C5E15">
            <w:rPr>
              <w:rStyle w:val="Hyperlink"/>
              <w:rFonts w:asciiTheme="majorBidi" w:hAnsiTheme="majorBidi" w:cstheme="majorBidi"/>
              <w:color w:val="auto"/>
              <w:sz w:val="24"/>
              <w:szCs w:val="24"/>
              <w:u w:val="none"/>
            </w:rPr>
            <w:fldChar w:fldCharType="end"/>
          </w:r>
        </w:sdtContent>
      </w:sdt>
      <w:r w:rsidRPr="006C5E15">
        <w:rPr>
          <w:rStyle w:val="Hyperlink"/>
          <w:rFonts w:asciiTheme="majorBidi" w:hAnsiTheme="majorBidi" w:cstheme="majorBidi"/>
          <w:color w:val="auto"/>
          <w:sz w:val="24"/>
          <w:szCs w:val="24"/>
          <w:u w:val="none"/>
        </w:rPr>
        <w:t xml:space="preserve">. </w:t>
      </w:r>
      <w:bookmarkStart w:id="192" w:name="_Hlk149850618"/>
      <w:r w:rsidRPr="006C5E15">
        <w:rPr>
          <w:rStyle w:val="Hyperlink"/>
          <w:rFonts w:asciiTheme="majorBidi" w:hAnsiTheme="majorBidi" w:cstheme="majorBidi"/>
          <w:color w:val="auto"/>
          <w:sz w:val="24"/>
          <w:szCs w:val="24"/>
          <w:u w:val="none"/>
        </w:rPr>
        <w:t>In this study, the different themes started to be repetitive after the 14</w:t>
      </w:r>
      <w:r w:rsidRPr="006C5E15">
        <w:rPr>
          <w:rStyle w:val="Hyperlink"/>
          <w:rFonts w:asciiTheme="majorBidi" w:hAnsiTheme="majorBidi" w:cstheme="majorBidi"/>
          <w:color w:val="auto"/>
          <w:sz w:val="24"/>
          <w:szCs w:val="24"/>
          <w:u w:val="none"/>
          <w:vertAlign w:val="superscript"/>
        </w:rPr>
        <w:t>th</w:t>
      </w:r>
      <w:r w:rsidRPr="006C5E15">
        <w:rPr>
          <w:rStyle w:val="Hyperlink"/>
          <w:rFonts w:asciiTheme="majorBidi" w:hAnsiTheme="majorBidi" w:cstheme="majorBidi"/>
          <w:color w:val="auto"/>
          <w:sz w:val="24"/>
          <w:szCs w:val="24"/>
          <w:u w:val="none"/>
        </w:rPr>
        <w:t xml:space="preserve"> interview. Yet, in order to ensure that there </w:t>
      </w:r>
      <w:r w:rsidR="001D3CC3" w:rsidRPr="006C5E15">
        <w:rPr>
          <w:rStyle w:val="Hyperlink"/>
          <w:rFonts w:asciiTheme="majorBidi" w:hAnsiTheme="majorBidi" w:cstheme="majorBidi"/>
          <w:color w:val="auto"/>
          <w:sz w:val="24"/>
          <w:szCs w:val="24"/>
          <w:u w:val="none"/>
        </w:rPr>
        <w:t>is</w:t>
      </w:r>
      <w:r w:rsidR="009453DF">
        <w:rPr>
          <w:rStyle w:val="Hyperlink"/>
          <w:rFonts w:asciiTheme="majorBidi" w:hAnsiTheme="majorBidi" w:cstheme="majorBidi"/>
          <w:color w:val="auto"/>
          <w:sz w:val="24"/>
          <w:szCs w:val="24"/>
          <w:u w:val="none"/>
        </w:rPr>
        <w:t xml:space="preserve"> no</w:t>
      </w:r>
      <w:r w:rsidR="001D3CC3" w:rsidRPr="006C5E15">
        <w:rPr>
          <w:rStyle w:val="Hyperlink"/>
          <w:rFonts w:asciiTheme="majorBidi" w:hAnsiTheme="majorBidi" w:cstheme="majorBidi"/>
          <w:color w:val="auto"/>
          <w:sz w:val="24"/>
          <w:szCs w:val="24"/>
          <w:u w:val="none"/>
        </w:rPr>
        <w:t>t</w:t>
      </w:r>
      <w:r w:rsidRPr="006C5E15">
        <w:rPr>
          <w:rStyle w:val="Hyperlink"/>
          <w:rFonts w:asciiTheme="majorBidi" w:hAnsiTheme="majorBidi" w:cstheme="majorBidi"/>
          <w:color w:val="auto"/>
          <w:sz w:val="24"/>
          <w:szCs w:val="24"/>
          <w:u w:val="none"/>
        </w:rPr>
        <w:t xml:space="preserve"> any further new information related to the topic emerging from new respondents, the final data was collected from 18</w:t>
      </w:r>
      <w:r w:rsidRPr="006C5E15">
        <w:rPr>
          <w:rStyle w:val="Hyperlink"/>
          <w:rFonts w:asciiTheme="majorBidi" w:hAnsiTheme="majorBidi" w:cstheme="majorBidi"/>
          <w:color w:val="auto"/>
          <w:sz w:val="24"/>
          <w:szCs w:val="24"/>
          <w:u w:val="none"/>
          <w:vertAlign w:val="superscript"/>
        </w:rPr>
        <w:t xml:space="preserve"> </w:t>
      </w:r>
      <w:r w:rsidRPr="006C5E15">
        <w:rPr>
          <w:rStyle w:val="Hyperlink"/>
          <w:rFonts w:asciiTheme="majorBidi" w:hAnsiTheme="majorBidi" w:cstheme="majorBidi"/>
          <w:color w:val="auto"/>
          <w:sz w:val="24"/>
          <w:szCs w:val="24"/>
          <w:u w:val="none"/>
        </w:rPr>
        <w:t xml:space="preserve">respondents. </w:t>
      </w:r>
    </w:p>
    <w:bookmarkEnd w:id="192"/>
    <w:p w14:paraId="0CE3E854" w14:textId="3D9437A6" w:rsidR="00ED492B" w:rsidRPr="006C5E15" w:rsidRDefault="00ED492B" w:rsidP="00ED492B">
      <w:pPr>
        <w:widowControl w:val="0"/>
        <w:rPr>
          <w:rStyle w:val="Hyperlink"/>
          <w:rFonts w:asciiTheme="majorBidi" w:hAnsiTheme="majorBidi" w:cstheme="majorBidi"/>
          <w:b/>
          <w:bCs/>
          <w:color w:val="auto"/>
          <w:sz w:val="24"/>
          <w:szCs w:val="24"/>
          <w:u w:val="none"/>
        </w:rPr>
      </w:pPr>
      <w:r w:rsidRPr="006C5E15">
        <w:rPr>
          <w:rStyle w:val="Hyperlink"/>
          <w:rFonts w:asciiTheme="majorBidi" w:hAnsiTheme="majorBidi" w:cstheme="majorBidi"/>
          <w:b/>
          <w:bCs/>
          <w:color w:val="auto"/>
          <w:sz w:val="24"/>
          <w:szCs w:val="24"/>
          <w:u w:val="none"/>
        </w:rPr>
        <w:t>7.</w:t>
      </w:r>
      <w:r w:rsidR="008900D7">
        <w:rPr>
          <w:rStyle w:val="Hyperlink"/>
          <w:rFonts w:asciiTheme="majorBidi" w:hAnsiTheme="majorBidi" w:cstheme="majorBidi"/>
          <w:b/>
          <w:bCs/>
          <w:color w:val="auto"/>
          <w:sz w:val="24"/>
          <w:szCs w:val="24"/>
          <w:u w:val="none"/>
        </w:rPr>
        <w:t>2</w:t>
      </w:r>
      <w:r w:rsidRPr="006C5E15">
        <w:rPr>
          <w:rStyle w:val="Hyperlink"/>
          <w:rFonts w:asciiTheme="majorBidi" w:hAnsiTheme="majorBidi" w:cstheme="majorBidi"/>
          <w:b/>
          <w:bCs/>
          <w:color w:val="auto"/>
          <w:sz w:val="24"/>
          <w:szCs w:val="24"/>
          <w:u w:val="none"/>
        </w:rPr>
        <w:t xml:space="preserve">.2 </w:t>
      </w:r>
      <w:r w:rsidR="004B3698">
        <w:rPr>
          <w:rStyle w:val="Hyperlink"/>
          <w:rFonts w:asciiTheme="majorBidi" w:hAnsiTheme="majorBidi" w:cstheme="majorBidi"/>
          <w:b/>
          <w:bCs/>
          <w:color w:val="auto"/>
          <w:sz w:val="24"/>
          <w:szCs w:val="24"/>
          <w:u w:val="none"/>
        </w:rPr>
        <w:t xml:space="preserve">Sample </w:t>
      </w:r>
      <w:r w:rsidR="0076688A">
        <w:rPr>
          <w:rStyle w:val="Hyperlink"/>
          <w:rFonts w:asciiTheme="majorBidi" w:hAnsiTheme="majorBidi" w:cstheme="majorBidi"/>
          <w:b/>
          <w:bCs/>
          <w:color w:val="auto"/>
          <w:sz w:val="24"/>
          <w:szCs w:val="24"/>
          <w:u w:val="none"/>
        </w:rPr>
        <w:t>R</w:t>
      </w:r>
      <w:r w:rsidRPr="006C5E15">
        <w:rPr>
          <w:rStyle w:val="Hyperlink"/>
          <w:rFonts w:asciiTheme="majorBidi" w:hAnsiTheme="majorBidi" w:cstheme="majorBidi"/>
          <w:b/>
          <w:bCs/>
          <w:color w:val="auto"/>
          <w:sz w:val="24"/>
          <w:szCs w:val="24"/>
          <w:u w:val="none"/>
        </w:rPr>
        <w:t xml:space="preserve">ecruitment </w:t>
      </w:r>
    </w:p>
    <w:p w14:paraId="1E54A8C6" w14:textId="76A6EECB" w:rsidR="00ED492B" w:rsidRPr="006C5E15" w:rsidRDefault="00ED492B" w:rsidP="00ED492B">
      <w:pPr>
        <w:widowControl w:val="0"/>
        <w:spacing w:line="480" w:lineRule="auto"/>
        <w:rPr>
          <w:rStyle w:val="Hyperlink"/>
          <w:rFonts w:asciiTheme="majorBidi" w:hAnsiTheme="majorBidi" w:cstheme="majorBidi"/>
          <w:color w:val="auto"/>
          <w:sz w:val="24"/>
          <w:szCs w:val="24"/>
          <w:u w:val="none"/>
        </w:rPr>
      </w:pPr>
      <w:r w:rsidRPr="006C5E15">
        <w:rPr>
          <w:rStyle w:val="Hyperlink"/>
          <w:rFonts w:asciiTheme="majorBidi" w:hAnsiTheme="majorBidi" w:cstheme="majorBidi"/>
          <w:color w:val="auto"/>
          <w:sz w:val="24"/>
          <w:szCs w:val="24"/>
          <w:u w:val="none"/>
        </w:rPr>
        <w:tab/>
      </w:r>
      <w:bookmarkStart w:id="193" w:name="_Hlk149850647"/>
      <w:r w:rsidRPr="006C5E15">
        <w:rPr>
          <w:rStyle w:val="Hyperlink"/>
          <w:rFonts w:asciiTheme="majorBidi" w:hAnsiTheme="majorBidi" w:cstheme="majorBidi"/>
          <w:color w:val="auto"/>
          <w:sz w:val="24"/>
          <w:szCs w:val="24"/>
          <w:u w:val="none"/>
        </w:rPr>
        <w:t>I contacted the interview</w:t>
      </w:r>
      <w:r w:rsidR="0076688A">
        <w:rPr>
          <w:rStyle w:val="Hyperlink"/>
          <w:rFonts w:asciiTheme="majorBidi" w:hAnsiTheme="majorBidi" w:cstheme="majorBidi"/>
          <w:color w:val="auto"/>
          <w:sz w:val="24"/>
          <w:szCs w:val="24"/>
          <w:u w:val="none"/>
        </w:rPr>
        <w:t>ed</w:t>
      </w:r>
      <w:r w:rsidRPr="006C5E15">
        <w:rPr>
          <w:rStyle w:val="Hyperlink"/>
          <w:rFonts w:asciiTheme="majorBidi" w:hAnsiTheme="majorBidi" w:cstheme="majorBidi"/>
          <w:color w:val="auto"/>
          <w:sz w:val="24"/>
          <w:szCs w:val="24"/>
          <w:u w:val="none"/>
        </w:rPr>
        <w:t xml:space="preserve"> subjects via the email addresses they provided in the surveys in study one to ask them if they are interested to participate in a</w:t>
      </w:r>
      <w:r w:rsidR="001D3CC3">
        <w:rPr>
          <w:rStyle w:val="Hyperlink"/>
          <w:rFonts w:asciiTheme="majorBidi" w:hAnsiTheme="majorBidi" w:cstheme="majorBidi"/>
          <w:color w:val="auto"/>
          <w:sz w:val="24"/>
          <w:szCs w:val="24"/>
          <w:u w:val="none"/>
        </w:rPr>
        <w:t>n anonymous</w:t>
      </w:r>
      <w:r w:rsidRPr="006C5E15">
        <w:rPr>
          <w:rStyle w:val="Hyperlink"/>
          <w:rFonts w:asciiTheme="majorBidi" w:hAnsiTheme="majorBidi" w:cstheme="majorBidi"/>
          <w:color w:val="auto"/>
          <w:sz w:val="24"/>
          <w:szCs w:val="24"/>
          <w:u w:val="none"/>
        </w:rPr>
        <w:t xml:space="preserve"> semi-structured interview. Majority of the interviews were conducted face-to-face in which 16 interviews were conducted in Cairo and two interviews were conducted online through Zoom. Initially, the online interviews were supposed to happen face-to-face</w:t>
      </w:r>
      <w:r w:rsidR="009453DF">
        <w:rPr>
          <w:rStyle w:val="Hyperlink"/>
          <w:rFonts w:asciiTheme="majorBidi" w:hAnsiTheme="majorBidi" w:cstheme="majorBidi"/>
          <w:color w:val="auto"/>
          <w:sz w:val="24"/>
          <w:szCs w:val="24"/>
          <w:u w:val="none"/>
        </w:rPr>
        <w:t>,</w:t>
      </w:r>
      <w:r w:rsidRPr="006C5E15">
        <w:rPr>
          <w:rStyle w:val="Hyperlink"/>
          <w:rFonts w:asciiTheme="majorBidi" w:hAnsiTheme="majorBidi" w:cstheme="majorBidi"/>
          <w:color w:val="auto"/>
          <w:sz w:val="24"/>
          <w:szCs w:val="24"/>
          <w:u w:val="none"/>
        </w:rPr>
        <w:t xml:space="preserve"> but due to some personal circumstances with the subjects, they requested to conduct the interviews online. </w:t>
      </w:r>
      <w:bookmarkEnd w:id="193"/>
      <w:r w:rsidRPr="006C5E15">
        <w:rPr>
          <w:rStyle w:val="Hyperlink"/>
          <w:rFonts w:asciiTheme="majorBidi" w:hAnsiTheme="majorBidi" w:cstheme="majorBidi"/>
          <w:color w:val="auto"/>
          <w:sz w:val="24"/>
          <w:szCs w:val="24"/>
          <w:u w:val="none"/>
        </w:rPr>
        <w:t xml:space="preserve">The place for the face-to-face interviews was usually a quiet café in Egypt which was selected based on mutual agreement </w:t>
      </w:r>
      <w:r w:rsidR="001D3CC3">
        <w:rPr>
          <w:rStyle w:val="Hyperlink"/>
          <w:rFonts w:asciiTheme="majorBidi" w:hAnsiTheme="majorBidi" w:cstheme="majorBidi"/>
          <w:color w:val="auto"/>
          <w:sz w:val="24"/>
          <w:szCs w:val="24"/>
          <w:u w:val="none"/>
        </w:rPr>
        <w:t>between</w:t>
      </w:r>
      <w:r w:rsidRPr="006C5E15">
        <w:rPr>
          <w:rStyle w:val="Hyperlink"/>
          <w:rFonts w:asciiTheme="majorBidi" w:hAnsiTheme="majorBidi" w:cstheme="majorBidi"/>
          <w:color w:val="auto"/>
          <w:sz w:val="24"/>
          <w:szCs w:val="24"/>
          <w:u w:val="none"/>
        </w:rPr>
        <w:t xml:space="preserve"> the participants and I. Most of the participants answered in Arabic which I translated to English during transcription. Both </w:t>
      </w:r>
      <w:r w:rsidR="00935FBD">
        <w:rPr>
          <w:rStyle w:val="Hyperlink"/>
          <w:rFonts w:asciiTheme="majorBidi" w:hAnsiTheme="majorBidi" w:cstheme="majorBidi"/>
          <w:color w:val="auto"/>
          <w:sz w:val="24"/>
          <w:szCs w:val="24"/>
          <w:u w:val="none"/>
        </w:rPr>
        <w:t>t</w:t>
      </w:r>
      <w:r w:rsidRPr="006C5E15">
        <w:rPr>
          <w:rStyle w:val="Hyperlink"/>
          <w:rFonts w:asciiTheme="majorBidi" w:hAnsiTheme="majorBidi" w:cstheme="majorBidi"/>
          <w:color w:val="auto"/>
          <w:sz w:val="24"/>
          <w:szCs w:val="24"/>
          <w:u w:val="none"/>
        </w:rPr>
        <w:t xml:space="preserve">elevision ads and Facebook static ads were presented to respondents on my laptop to compare and remind them of what they saw in study one. </w:t>
      </w:r>
      <w:r w:rsidR="00C42F79">
        <w:rPr>
          <w:rStyle w:val="Hyperlink"/>
          <w:rFonts w:asciiTheme="majorBidi" w:hAnsiTheme="majorBidi" w:cstheme="majorBidi"/>
          <w:color w:val="auto"/>
          <w:sz w:val="24"/>
          <w:szCs w:val="24"/>
          <w:u w:val="none"/>
        </w:rPr>
        <w:t>To protect the respondents’ privacy as mentioned in the consensual</w:t>
      </w:r>
      <w:r w:rsidR="006A7B31">
        <w:rPr>
          <w:rStyle w:val="Hyperlink"/>
          <w:rFonts w:asciiTheme="majorBidi" w:hAnsiTheme="majorBidi" w:cstheme="majorBidi"/>
          <w:color w:val="auto"/>
          <w:sz w:val="24"/>
          <w:szCs w:val="24"/>
          <w:u w:val="none"/>
        </w:rPr>
        <w:t xml:space="preserve"> questions </w:t>
      </w:r>
      <w:r w:rsidR="00C42F79">
        <w:rPr>
          <w:rStyle w:val="Hyperlink"/>
          <w:rFonts w:asciiTheme="majorBidi" w:hAnsiTheme="majorBidi" w:cstheme="majorBidi"/>
          <w:color w:val="auto"/>
          <w:sz w:val="24"/>
          <w:szCs w:val="24"/>
          <w:u w:val="none"/>
        </w:rPr>
        <w:t>at the beginning of each interview</w:t>
      </w:r>
      <w:r w:rsidR="006A7B31">
        <w:rPr>
          <w:rStyle w:val="Hyperlink"/>
          <w:rFonts w:asciiTheme="majorBidi" w:hAnsiTheme="majorBidi" w:cstheme="majorBidi"/>
          <w:color w:val="auto"/>
          <w:sz w:val="24"/>
          <w:szCs w:val="24"/>
          <w:u w:val="none"/>
        </w:rPr>
        <w:t xml:space="preserve">, the interviewees names were hidden and replaced with their initials as presented in table </w:t>
      </w:r>
      <w:r w:rsidR="004C729F">
        <w:rPr>
          <w:rStyle w:val="Hyperlink"/>
          <w:rFonts w:asciiTheme="majorBidi" w:hAnsiTheme="majorBidi" w:cstheme="majorBidi"/>
          <w:color w:val="auto"/>
          <w:sz w:val="24"/>
          <w:szCs w:val="24"/>
          <w:u w:val="none"/>
        </w:rPr>
        <w:t>53</w:t>
      </w:r>
      <w:r w:rsidR="006A7B31">
        <w:rPr>
          <w:rStyle w:val="Hyperlink"/>
          <w:rFonts w:asciiTheme="majorBidi" w:hAnsiTheme="majorBidi" w:cstheme="majorBidi"/>
          <w:color w:val="auto"/>
          <w:sz w:val="24"/>
          <w:szCs w:val="24"/>
          <w:u w:val="none"/>
        </w:rPr>
        <w:t xml:space="preserve">. </w:t>
      </w:r>
    </w:p>
    <w:p w14:paraId="30DB67A2" w14:textId="200C62EB" w:rsidR="00ED492B" w:rsidRPr="00B62CE5" w:rsidRDefault="00ED492B" w:rsidP="00ED492B">
      <w:pPr>
        <w:widowControl w:val="0"/>
        <w:rPr>
          <w:rFonts w:asciiTheme="majorBidi" w:hAnsiTheme="majorBidi" w:cstheme="majorBidi"/>
          <w:b/>
          <w:bCs/>
          <w:sz w:val="24"/>
          <w:szCs w:val="24"/>
        </w:rPr>
      </w:pPr>
      <w:r>
        <w:rPr>
          <w:rFonts w:asciiTheme="majorBidi" w:hAnsiTheme="majorBidi" w:cstheme="majorBidi"/>
          <w:b/>
          <w:bCs/>
          <w:sz w:val="24"/>
          <w:szCs w:val="24"/>
        </w:rPr>
        <w:t>7</w:t>
      </w:r>
      <w:r w:rsidRPr="00B62CE5">
        <w:rPr>
          <w:rFonts w:asciiTheme="majorBidi" w:hAnsiTheme="majorBidi" w:cstheme="majorBidi"/>
          <w:b/>
          <w:bCs/>
          <w:sz w:val="24"/>
          <w:szCs w:val="24"/>
        </w:rPr>
        <w:t>.</w:t>
      </w:r>
      <w:r w:rsidR="008900D7">
        <w:rPr>
          <w:rFonts w:asciiTheme="majorBidi" w:hAnsiTheme="majorBidi" w:cstheme="majorBidi"/>
          <w:b/>
          <w:bCs/>
          <w:sz w:val="24"/>
          <w:szCs w:val="24"/>
        </w:rPr>
        <w:t>3</w:t>
      </w:r>
      <w:r w:rsidRPr="00B62CE5">
        <w:rPr>
          <w:rFonts w:asciiTheme="majorBidi" w:hAnsiTheme="majorBidi" w:cstheme="majorBidi"/>
          <w:b/>
          <w:bCs/>
          <w:sz w:val="24"/>
          <w:szCs w:val="24"/>
        </w:rPr>
        <w:t xml:space="preserve"> Results </w:t>
      </w:r>
    </w:p>
    <w:p w14:paraId="6C237210" w14:textId="3BCC1C1F" w:rsidR="00ED492B" w:rsidRDefault="00ED492B" w:rsidP="00ED492B">
      <w:pPr>
        <w:widowControl w:val="0"/>
        <w:spacing w:line="480" w:lineRule="auto"/>
        <w:rPr>
          <w:rFonts w:asciiTheme="majorBidi" w:hAnsiTheme="majorBidi" w:cstheme="majorBidi"/>
          <w:sz w:val="24"/>
          <w:szCs w:val="24"/>
        </w:rPr>
      </w:pPr>
      <w:r>
        <w:rPr>
          <w:rFonts w:asciiTheme="majorBidi" w:hAnsiTheme="majorBidi" w:cstheme="majorBidi"/>
          <w:sz w:val="24"/>
          <w:szCs w:val="24"/>
        </w:rPr>
        <w:tab/>
      </w:r>
      <w:r w:rsidRPr="00B62CE5">
        <w:rPr>
          <w:rFonts w:asciiTheme="majorBidi" w:hAnsiTheme="majorBidi" w:cstheme="majorBidi"/>
          <w:sz w:val="24"/>
          <w:szCs w:val="24"/>
        </w:rPr>
        <w:t>This section critically analyses the data from the interviews based on the final 1</w:t>
      </w:r>
      <w:r>
        <w:rPr>
          <w:rFonts w:asciiTheme="majorBidi" w:hAnsiTheme="majorBidi" w:cstheme="majorBidi"/>
          <w:sz w:val="24"/>
          <w:szCs w:val="24"/>
        </w:rPr>
        <w:t>2 main</w:t>
      </w:r>
      <w:r w:rsidRPr="00B62CE5">
        <w:rPr>
          <w:rFonts w:asciiTheme="majorBidi" w:hAnsiTheme="majorBidi" w:cstheme="majorBidi"/>
          <w:sz w:val="24"/>
          <w:szCs w:val="24"/>
        </w:rPr>
        <w:t xml:space="preserve"> themes that emerged in the last stage. Below, I outline and illustrate the respondents</w:t>
      </w:r>
      <w:r w:rsidR="0076688A">
        <w:rPr>
          <w:rFonts w:asciiTheme="majorBidi" w:hAnsiTheme="majorBidi" w:cstheme="majorBidi"/>
          <w:sz w:val="24"/>
          <w:szCs w:val="24"/>
        </w:rPr>
        <w:t>’ demographics and perceptions</w:t>
      </w:r>
      <w:r w:rsidRPr="00B62CE5">
        <w:rPr>
          <w:rFonts w:asciiTheme="majorBidi" w:hAnsiTheme="majorBidi" w:cstheme="majorBidi"/>
          <w:sz w:val="24"/>
          <w:szCs w:val="24"/>
        </w:rPr>
        <w:t xml:space="preserve"> followed by </w:t>
      </w:r>
      <w:r w:rsidR="0076688A">
        <w:rPr>
          <w:rFonts w:asciiTheme="majorBidi" w:hAnsiTheme="majorBidi" w:cstheme="majorBidi"/>
          <w:sz w:val="24"/>
          <w:szCs w:val="24"/>
        </w:rPr>
        <w:t xml:space="preserve">examining </w:t>
      </w:r>
      <w:r w:rsidRPr="00B62CE5">
        <w:rPr>
          <w:rFonts w:asciiTheme="majorBidi" w:hAnsiTheme="majorBidi" w:cstheme="majorBidi"/>
          <w:sz w:val="24"/>
          <w:szCs w:val="24"/>
        </w:rPr>
        <w:t>the findings related to the respondents’ attitudes towards the brand and the ad</w:t>
      </w:r>
      <w:r>
        <w:rPr>
          <w:rFonts w:asciiTheme="majorBidi" w:hAnsiTheme="majorBidi" w:cstheme="majorBidi"/>
          <w:sz w:val="24"/>
          <w:szCs w:val="24"/>
        </w:rPr>
        <w:t>s</w:t>
      </w:r>
      <w:r w:rsidRPr="00B62CE5">
        <w:rPr>
          <w:rFonts w:asciiTheme="majorBidi" w:hAnsiTheme="majorBidi" w:cstheme="majorBidi"/>
          <w:sz w:val="24"/>
          <w:szCs w:val="24"/>
        </w:rPr>
        <w:t>, purchase intention and their perspectives on CSR strategies to be implement</w:t>
      </w:r>
      <w:r w:rsidR="0076688A">
        <w:rPr>
          <w:rFonts w:asciiTheme="majorBidi" w:hAnsiTheme="majorBidi" w:cstheme="majorBidi"/>
          <w:sz w:val="24"/>
          <w:szCs w:val="24"/>
        </w:rPr>
        <w:t>ed</w:t>
      </w:r>
      <w:r w:rsidRPr="00B62CE5">
        <w:rPr>
          <w:rFonts w:asciiTheme="majorBidi" w:hAnsiTheme="majorBidi" w:cstheme="majorBidi"/>
          <w:sz w:val="24"/>
          <w:szCs w:val="24"/>
        </w:rPr>
        <w:t xml:space="preserve">.  </w:t>
      </w:r>
    </w:p>
    <w:p w14:paraId="26DBC334" w14:textId="070AABFD" w:rsidR="00ED492B" w:rsidRDefault="00ED492B" w:rsidP="00ED492B">
      <w:pPr>
        <w:widowControl w:val="0"/>
        <w:rPr>
          <w:rFonts w:asciiTheme="majorBidi" w:hAnsiTheme="majorBidi" w:cstheme="majorBidi"/>
          <w:b/>
          <w:bCs/>
          <w:sz w:val="24"/>
          <w:szCs w:val="24"/>
        </w:rPr>
      </w:pPr>
      <w:r>
        <w:rPr>
          <w:rFonts w:asciiTheme="majorBidi" w:hAnsiTheme="majorBidi" w:cstheme="majorBidi"/>
          <w:b/>
          <w:bCs/>
          <w:sz w:val="24"/>
          <w:szCs w:val="24"/>
        </w:rPr>
        <w:t>7.</w:t>
      </w:r>
      <w:r w:rsidR="008900D7">
        <w:rPr>
          <w:rFonts w:asciiTheme="majorBidi" w:hAnsiTheme="majorBidi" w:cstheme="majorBidi"/>
          <w:b/>
          <w:bCs/>
          <w:sz w:val="24"/>
          <w:szCs w:val="24"/>
        </w:rPr>
        <w:t>3</w:t>
      </w:r>
      <w:r>
        <w:rPr>
          <w:rFonts w:asciiTheme="majorBidi" w:hAnsiTheme="majorBidi" w:cstheme="majorBidi"/>
          <w:b/>
          <w:bCs/>
          <w:sz w:val="24"/>
          <w:szCs w:val="24"/>
        </w:rPr>
        <w:t xml:space="preserve">.1 Demographics </w:t>
      </w:r>
    </w:p>
    <w:p w14:paraId="3EF118B6" w14:textId="272FD35B" w:rsidR="00ED492B" w:rsidRPr="00F15918" w:rsidRDefault="00ED492B" w:rsidP="006A797D">
      <w:pPr>
        <w:widowControl w:val="0"/>
        <w:spacing w:line="480" w:lineRule="auto"/>
        <w:rPr>
          <w:rFonts w:asciiTheme="majorBidi" w:hAnsiTheme="majorBidi" w:cstheme="majorBidi"/>
          <w:sz w:val="24"/>
          <w:szCs w:val="24"/>
        </w:rPr>
      </w:pPr>
      <w:r>
        <w:rPr>
          <w:rFonts w:asciiTheme="majorBidi" w:hAnsiTheme="majorBidi" w:cstheme="majorBidi"/>
          <w:sz w:val="24"/>
          <w:szCs w:val="24"/>
        </w:rPr>
        <w:tab/>
      </w:r>
      <w:r w:rsidRPr="00F15918">
        <w:rPr>
          <w:rFonts w:asciiTheme="majorBidi" w:hAnsiTheme="majorBidi" w:cstheme="majorBidi"/>
          <w:sz w:val="24"/>
          <w:szCs w:val="24"/>
        </w:rPr>
        <w:t xml:space="preserve">As mentioned above, the </w:t>
      </w:r>
      <w:r>
        <w:rPr>
          <w:rFonts w:asciiTheme="majorBidi" w:hAnsiTheme="majorBidi" w:cstheme="majorBidi"/>
          <w:sz w:val="24"/>
          <w:szCs w:val="24"/>
        </w:rPr>
        <w:t xml:space="preserve">interviewed subjects </w:t>
      </w:r>
      <w:r w:rsidRPr="00F15918">
        <w:rPr>
          <w:rFonts w:asciiTheme="majorBidi" w:hAnsiTheme="majorBidi" w:cstheme="majorBidi"/>
          <w:sz w:val="24"/>
          <w:szCs w:val="24"/>
        </w:rPr>
        <w:t xml:space="preserve">were contacted through the </w:t>
      </w:r>
      <w:r w:rsidR="0076688A">
        <w:rPr>
          <w:rFonts w:asciiTheme="majorBidi" w:hAnsiTheme="majorBidi" w:cstheme="majorBidi"/>
          <w:sz w:val="24"/>
          <w:szCs w:val="24"/>
        </w:rPr>
        <w:t>email addresses</w:t>
      </w:r>
      <w:r w:rsidRPr="00F15918">
        <w:rPr>
          <w:rFonts w:asciiTheme="majorBidi" w:hAnsiTheme="majorBidi" w:cstheme="majorBidi"/>
          <w:sz w:val="24"/>
          <w:szCs w:val="24"/>
        </w:rPr>
        <w:t xml:space="preserve"> they provided at the end of the</w:t>
      </w:r>
      <w:r w:rsidR="0076688A">
        <w:rPr>
          <w:rFonts w:asciiTheme="majorBidi" w:hAnsiTheme="majorBidi" w:cstheme="majorBidi"/>
          <w:sz w:val="24"/>
          <w:szCs w:val="24"/>
        </w:rPr>
        <w:t xml:space="preserve"> questionnaires for the</w:t>
      </w:r>
      <w:r w:rsidRPr="00F15918">
        <w:rPr>
          <w:rFonts w:asciiTheme="majorBidi" w:hAnsiTheme="majorBidi" w:cstheme="majorBidi"/>
          <w:sz w:val="24"/>
          <w:szCs w:val="24"/>
        </w:rPr>
        <w:t xml:space="preserve"> survey experiments. Hence</w:t>
      </w:r>
      <w:r w:rsidR="00173596">
        <w:rPr>
          <w:rFonts w:asciiTheme="majorBidi" w:hAnsiTheme="majorBidi" w:cstheme="majorBidi"/>
          <w:sz w:val="24"/>
          <w:szCs w:val="24"/>
        </w:rPr>
        <w:t>forth</w:t>
      </w:r>
      <w:r w:rsidRPr="00F15918">
        <w:rPr>
          <w:rFonts w:asciiTheme="majorBidi" w:hAnsiTheme="majorBidi" w:cstheme="majorBidi"/>
          <w:sz w:val="24"/>
          <w:szCs w:val="24"/>
        </w:rPr>
        <w:t xml:space="preserve">, the demographic characteristics of the </w:t>
      </w:r>
      <w:r w:rsidR="00D82635">
        <w:rPr>
          <w:rFonts w:asciiTheme="majorBidi" w:hAnsiTheme="majorBidi" w:cstheme="majorBidi"/>
          <w:sz w:val="24"/>
          <w:szCs w:val="24"/>
        </w:rPr>
        <w:t>participants</w:t>
      </w:r>
      <w:r w:rsidRPr="00F15918">
        <w:rPr>
          <w:rFonts w:asciiTheme="majorBidi" w:hAnsiTheme="majorBidi" w:cstheme="majorBidi"/>
          <w:sz w:val="24"/>
          <w:szCs w:val="24"/>
        </w:rPr>
        <w:t xml:space="preserve"> from the qualitative sample were like the respondents from study </w:t>
      </w:r>
      <w:r>
        <w:rPr>
          <w:rFonts w:asciiTheme="majorBidi" w:hAnsiTheme="majorBidi" w:cstheme="majorBidi"/>
          <w:sz w:val="24"/>
          <w:szCs w:val="24"/>
        </w:rPr>
        <w:t>one</w:t>
      </w:r>
      <w:r w:rsidRPr="00F15918">
        <w:rPr>
          <w:rFonts w:asciiTheme="majorBidi" w:hAnsiTheme="majorBidi" w:cstheme="majorBidi"/>
          <w:sz w:val="24"/>
          <w:szCs w:val="24"/>
        </w:rPr>
        <w:t xml:space="preserve">. Below is a summary of the demographic characteristics of the respondents who participated in the semi-structure interviews. </w:t>
      </w:r>
    </w:p>
    <w:p w14:paraId="47748D5D" w14:textId="77777777" w:rsidR="00635E3C" w:rsidRDefault="00635E3C">
      <w:bookmarkStart w:id="194" w:name="_Hlk146405480"/>
      <w:r>
        <w:br w:type="page"/>
      </w:r>
    </w:p>
    <w:tbl>
      <w:tblPr>
        <w:tblStyle w:val="TableGrid"/>
        <w:tblW w:w="7938" w:type="dxa"/>
        <w:tblInd w:w="279" w:type="dxa"/>
        <w:tblLook w:val="04A0" w:firstRow="1" w:lastRow="0" w:firstColumn="1" w:lastColumn="0" w:noHBand="0" w:noVBand="1"/>
      </w:tblPr>
      <w:tblGrid>
        <w:gridCol w:w="1417"/>
        <w:gridCol w:w="709"/>
        <w:gridCol w:w="992"/>
        <w:gridCol w:w="3402"/>
        <w:gridCol w:w="1418"/>
      </w:tblGrid>
      <w:tr w:rsidR="00ED492B" w:rsidRPr="007D5C15" w14:paraId="5D227782" w14:textId="77777777" w:rsidTr="00CB0370">
        <w:tc>
          <w:tcPr>
            <w:tcW w:w="1417" w:type="dxa"/>
          </w:tcPr>
          <w:p w14:paraId="424DD901" w14:textId="418932F4"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Respondent</w:t>
            </w:r>
            <w:r w:rsidR="006A7B31" w:rsidRPr="007D5C15">
              <w:rPr>
                <w:rFonts w:asciiTheme="majorBidi" w:hAnsiTheme="majorBidi" w:cstheme="majorBidi"/>
                <w:sz w:val="20"/>
                <w:szCs w:val="20"/>
              </w:rPr>
              <w:t>s’ Initials</w:t>
            </w:r>
          </w:p>
        </w:tc>
        <w:tc>
          <w:tcPr>
            <w:tcW w:w="709" w:type="dxa"/>
          </w:tcPr>
          <w:p w14:paraId="3F8AE1DE"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Age </w:t>
            </w:r>
          </w:p>
        </w:tc>
        <w:tc>
          <w:tcPr>
            <w:tcW w:w="992" w:type="dxa"/>
          </w:tcPr>
          <w:p w14:paraId="4E07C7B5"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Gender </w:t>
            </w:r>
          </w:p>
        </w:tc>
        <w:tc>
          <w:tcPr>
            <w:tcW w:w="3402" w:type="dxa"/>
          </w:tcPr>
          <w:p w14:paraId="1B853E3A"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Occupation </w:t>
            </w:r>
          </w:p>
        </w:tc>
        <w:tc>
          <w:tcPr>
            <w:tcW w:w="1418" w:type="dxa"/>
          </w:tcPr>
          <w:p w14:paraId="61B0F7E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Mode </w:t>
            </w:r>
          </w:p>
        </w:tc>
      </w:tr>
      <w:tr w:rsidR="00ED492B" w:rsidRPr="007D5C15" w14:paraId="58BADB34" w14:textId="77777777" w:rsidTr="00CB0370">
        <w:tc>
          <w:tcPr>
            <w:tcW w:w="1417" w:type="dxa"/>
          </w:tcPr>
          <w:p w14:paraId="0E4FB156" w14:textId="3195EB26"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A.I </w:t>
            </w:r>
          </w:p>
        </w:tc>
        <w:tc>
          <w:tcPr>
            <w:tcW w:w="709" w:type="dxa"/>
          </w:tcPr>
          <w:p w14:paraId="2252F46E"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31 </w:t>
            </w:r>
          </w:p>
        </w:tc>
        <w:tc>
          <w:tcPr>
            <w:tcW w:w="992" w:type="dxa"/>
          </w:tcPr>
          <w:p w14:paraId="6377DEAD"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Female </w:t>
            </w:r>
          </w:p>
        </w:tc>
        <w:tc>
          <w:tcPr>
            <w:tcW w:w="3402" w:type="dxa"/>
          </w:tcPr>
          <w:p w14:paraId="08A66DF7"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Human Resources Manager </w:t>
            </w:r>
          </w:p>
        </w:tc>
        <w:tc>
          <w:tcPr>
            <w:tcW w:w="1418" w:type="dxa"/>
          </w:tcPr>
          <w:p w14:paraId="73D54B68"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1291677E" w14:textId="77777777" w:rsidTr="00CB0370">
        <w:tc>
          <w:tcPr>
            <w:tcW w:w="1417" w:type="dxa"/>
          </w:tcPr>
          <w:p w14:paraId="13782EA3" w14:textId="57E05284"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K.B.</w:t>
            </w:r>
          </w:p>
        </w:tc>
        <w:tc>
          <w:tcPr>
            <w:tcW w:w="709" w:type="dxa"/>
          </w:tcPr>
          <w:p w14:paraId="04A1E767"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34</w:t>
            </w:r>
          </w:p>
        </w:tc>
        <w:tc>
          <w:tcPr>
            <w:tcW w:w="992" w:type="dxa"/>
          </w:tcPr>
          <w:p w14:paraId="5237192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Male </w:t>
            </w:r>
          </w:p>
        </w:tc>
        <w:tc>
          <w:tcPr>
            <w:tcW w:w="3402" w:type="dxa"/>
          </w:tcPr>
          <w:p w14:paraId="26CC0877"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Medical Customer Service Manager</w:t>
            </w:r>
          </w:p>
        </w:tc>
        <w:tc>
          <w:tcPr>
            <w:tcW w:w="1418" w:type="dxa"/>
          </w:tcPr>
          <w:p w14:paraId="7C6D9245"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Face to Face</w:t>
            </w:r>
          </w:p>
        </w:tc>
      </w:tr>
      <w:tr w:rsidR="00ED492B" w:rsidRPr="007D5C15" w14:paraId="0D4C74EB" w14:textId="77777777" w:rsidTr="00CB0370">
        <w:tc>
          <w:tcPr>
            <w:tcW w:w="1417" w:type="dxa"/>
          </w:tcPr>
          <w:p w14:paraId="6F3BFB27" w14:textId="6E16AB2A"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K.M</w:t>
            </w:r>
          </w:p>
        </w:tc>
        <w:tc>
          <w:tcPr>
            <w:tcW w:w="709" w:type="dxa"/>
          </w:tcPr>
          <w:p w14:paraId="6B1EF1B7"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35</w:t>
            </w:r>
          </w:p>
        </w:tc>
        <w:tc>
          <w:tcPr>
            <w:tcW w:w="992" w:type="dxa"/>
          </w:tcPr>
          <w:p w14:paraId="1D2BDEB6"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Male</w:t>
            </w:r>
          </w:p>
        </w:tc>
        <w:tc>
          <w:tcPr>
            <w:tcW w:w="3402" w:type="dxa"/>
          </w:tcPr>
          <w:p w14:paraId="370BAEE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Senior Management Consultant </w:t>
            </w:r>
          </w:p>
        </w:tc>
        <w:tc>
          <w:tcPr>
            <w:tcW w:w="1418" w:type="dxa"/>
          </w:tcPr>
          <w:p w14:paraId="5640C18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28E181C7" w14:textId="77777777" w:rsidTr="00CB0370">
        <w:tc>
          <w:tcPr>
            <w:tcW w:w="1417" w:type="dxa"/>
          </w:tcPr>
          <w:p w14:paraId="492E02EF" w14:textId="2CA711CC"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S.A.</w:t>
            </w:r>
          </w:p>
        </w:tc>
        <w:tc>
          <w:tcPr>
            <w:tcW w:w="709" w:type="dxa"/>
          </w:tcPr>
          <w:p w14:paraId="0533611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33</w:t>
            </w:r>
          </w:p>
        </w:tc>
        <w:tc>
          <w:tcPr>
            <w:tcW w:w="992" w:type="dxa"/>
          </w:tcPr>
          <w:p w14:paraId="1F1FA5A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Female</w:t>
            </w:r>
          </w:p>
        </w:tc>
        <w:tc>
          <w:tcPr>
            <w:tcW w:w="3402" w:type="dxa"/>
          </w:tcPr>
          <w:p w14:paraId="1C223D9A"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Corporate Communication Manager </w:t>
            </w:r>
          </w:p>
        </w:tc>
        <w:tc>
          <w:tcPr>
            <w:tcW w:w="1418" w:type="dxa"/>
          </w:tcPr>
          <w:p w14:paraId="68A1F92F"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Face to Face</w:t>
            </w:r>
          </w:p>
        </w:tc>
      </w:tr>
      <w:tr w:rsidR="00ED492B" w:rsidRPr="007D5C15" w14:paraId="3BE09279" w14:textId="77777777" w:rsidTr="00CB0370">
        <w:tc>
          <w:tcPr>
            <w:tcW w:w="1417" w:type="dxa"/>
          </w:tcPr>
          <w:p w14:paraId="6E3C72E0" w14:textId="3EA2A1F0"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N.S.</w:t>
            </w:r>
          </w:p>
        </w:tc>
        <w:tc>
          <w:tcPr>
            <w:tcW w:w="709" w:type="dxa"/>
          </w:tcPr>
          <w:p w14:paraId="200FF56F"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62</w:t>
            </w:r>
          </w:p>
        </w:tc>
        <w:tc>
          <w:tcPr>
            <w:tcW w:w="992" w:type="dxa"/>
          </w:tcPr>
          <w:p w14:paraId="1F47791F"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Male </w:t>
            </w:r>
          </w:p>
        </w:tc>
        <w:tc>
          <w:tcPr>
            <w:tcW w:w="3402" w:type="dxa"/>
          </w:tcPr>
          <w:p w14:paraId="13FE4CEB"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General Manager </w:t>
            </w:r>
          </w:p>
        </w:tc>
        <w:tc>
          <w:tcPr>
            <w:tcW w:w="1418" w:type="dxa"/>
          </w:tcPr>
          <w:p w14:paraId="1DD97EC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70484095" w14:textId="77777777" w:rsidTr="00CB0370">
        <w:tc>
          <w:tcPr>
            <w:tcW w:w="1417" w:type="dxa"/>
          </w:tcPr>
          <w:p w14:paraId="315FF610" w14:textId="4DE9C497"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K.R.</w:t>
            </w:r>
          </w:p>
        </w:tc>
        <w:tc>
          <w:tcPr>
            <w:tcW w:w="709" w:type="dxa"/>
          </w:tcPr>
          <w:p w14:paraId="496F8FF0"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36</w:t>
            </w:r>
          </w:p>
        </w:tc>
        <w:tc>
          <w:tcPr>
            <w:tcW w:w="992" w:type="dxa"/>
          </w:tcPr>
          <w:p w14:paraId="57F1D90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Male </w:t>
            </w:r>
          </w:p>
        </w:tc>
        <w:tc>
          <w:tcPr>
            <w:tcW w:w="3402" w:type="dxa"/>
          </w:tcPr>
          <w:p w14:paraId="741EEE00"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Operations Manager </w:t>
            </w:r>
          </w:p>
        </w:tc>
        <w:tc>
          <w:tcPr>
            <w:tcW w:w="1418" w:type="dxa"/>
          </w:tcPr>
          <w:p w14:paraId="619D72C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3C256D4B" w14:textId="77777777" w:rsidTr="00CB0370">
        <w:tc>
          <w:tcPr>
            <w:tcW w:w="1417" w:type="dxa"/>
          </w:tcPr>
          <w:p w14:paraId="1EE2989B" w14:textId="1C9444EB"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N.O.</w:t>
            </w:r>
          </w:p>
        </w:tc>
        <w:tc>
          <w:tcPr>
            <w:tcW w:w="709" w:type="dxa"/>
          </w:tcPr>
          <w:p w14:paraId="76052B2D"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65</w:t>
            </w:r>
          </w:p>
        </w:tc>
        <w:tc>
          <w:tcPr>
            <w:tcW w:w="992" w:type="dxa"/>
          </w:tcPr>
          <w:p w14:paraId="3F56586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Female</w:t>
            </w:r>
          </w:p>
        </w:tc>
        <w:tc>
          <w:tcPr>
            <w:tcW w:w="3402" w:type="dxa"/>
          </w:tcPr>
          <w:p w14:paraId="6E8964F7"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Head of Dentistry Department </w:t>
            </w:r>
          </w:p>
        </w:tc>
        <w:tc>
          <w:tcPr>
            <w:tcW w:w="1418" w:type="dxa"/>
          </w:tcPr>
          <w:p w14:paraId="27F34EDE"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31BAE60F" w14:textId="77777777" w:rsidTr="00CB0370">
        <w:tc>
          <w:tcPr>
            <w:tcW w:w="1417" w:type="dxa"/>
          </w:tcPr>
          <w:p w14:paraId="02DEBD80" w14:textId="4D5F29E5"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M.H</w:t>
            </w:r>
          </w:p>
        </w:tc>
        <w:tc>
          <w:tcPr>
            <w:tcW w:w="709" w:type="dxa"/>
          </w:tcPr>
          <w:p w14:paraId="3618968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62</w:t>
            </w:r>
          </w:p>
        </w:tc>
        <w:tc>
          <w:tcPr>
            <w:tcW w:w="992" w:type="dxa"/>
          </w:tcPr>
          <w:p w14:paraId="6853169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Female </w:t>
            </w:r>
          </w:p>
        </w:tc>
        <w:tc>
          <w:tcPr>
            <w:tcW w:w="3402" w:type="dxa"/>
          </w:tcPr>
          <w:p w14:paraId="5696075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English Teacher </w:t>
            </w:r>
          </w:p>
        </w:tc>
        <w:tc>
          <w:tcPr>
            <w:tcW w:w="1418" w:type="dxa"/>
          </w:tcPr>
          <w:p w14:paraId="54A3FA0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5F5AB841" w14:textId="77777777" w:rsidTr="00CB0370">
        <w:tc>
          <w:tcPr>
            <w:tcW w:w="1417" w:type="dxa"/>
          </w:tcPr>
          <w:p w14:paraId="6A18A44A" w14:textId="590F13B3"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S.H.</w:t>
            </w:r>
          </w:p>
        </w:tc>
        <w:tc>
          <w:tcPr>
            <w:tcW w:w="709" w:type="dxa"/>
          </w:tcPr>
          <w:p w14:paraId="4E6398BA"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33</w:t>
            </w:r>
          </w:p>
        </w:tc>
        <w:tc>
          <w:tcPr>
            <w:tcW w:w="992" w:type="dxa"/>
          </w:tcPr>
          <w:p w14:paraId="5DE6FC59"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Female</w:t>
            </w:r>
          </w:p>
        </w:tc>
        <w:tc>
          <w:tcPr>
            <w:tcW w:w="3402" w:type="dxa"/>
          </w:tcPr>
          <w:p w14:paraId="016BC7F0"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Lecturer </w:t>
            </w:r>
          </w:p>
        </w:tc>
        <w:tc>
          <w:tcPr>
            <w:tcW w:w="1418" w:type="dxa"/>
          </w:tcPr>
          <w:p w14:paraId="1EE2015B"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44BE1E12" w14:textId="77777777" w:rsidTr="00CB0370">
        <w:tc>
          <w:tcPr>
            <w:tcW w:w="1417" w:type="dxa"/>
          </w:tcPr>
          <w:p w14:paraId="365B83CC" w14:textId="2423F5A2"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L.O.</w:t>
            </w:r>
          </w:p>
        </w:tc>
        <w:tc>
          <w:tcPr>
            <w:tcW w:w="709" w:type="dxa"/>
          </w:tcPr>
          <w:p w14:paraId="6FDBF3BC"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33</w:t>
            </w:r>
          </w:p>
        </w:tc>
        <w:tc>
          <w:tcPr>
            <w:tcW w:w="992" w:type="dxa"/>
          </w:tcPr>
          <w:p w14:paraId="64227033"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Female</w:t>
            </w:r>
          </w:p>
        </w:tc>
        <w:tc>
          <w:tcPr>
            <w:tcW w:w="3402" w:type="dxa"/>
          </w:tcPr>
          <w:p w14:paraId="18374CF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Art Teacher </w:t>
            </w:r>
          </w:p>
        </w:tc>
        <w:tc>
          <w:tcPr>
            <w:tcW w:w="1418" w:type="dxa"/>
          </w:tcPr>
          <w:p w14:paraId="1C8F690F"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69274ED6" w14:textId="77777777" w:rsidTr="00CB0370">
        <w:tc>
          <w:tcPr>
            <w:tcW w:w="1417" w:type="dxa"/>
          </w:tcPr>
          <w:p w14:paraId="4C94662A" w14:textId="5A39C5CB"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B.M.</w:t>
            </w:r>
          </w:p>
        </w:tc>
        <w:tc>
          <w:tcPr>
            <w:tcW w:w="709" w:type="dxa"/>
          </w:tcPr>
          <w:p w14:paraId="742039FD"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41</w:t>
            </w:r>
          </w:p>
        </w:tc>
        <w:tc>
          <w:tcPr>
            <w:tcW w:w="992" w:type="dxa"/>
          </w:tcPr>
          <w:p w14:paraId="135D8BDC"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Male</w:t>
            </w:r>
          </w:p>
        </w:tc>
        <w:tc>
          <w:tcPr>
            <w:tcW w:w="3402" w:type="dxa"/>
          </w:tcPr>
          <w:p w14:paraId="06CB2E99"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Civil Engineer </w:t>
            </w:r>
          </w:p>
        </w:tc>
        <w:tc>
          <w:tcPr>
            <w:tcW w:w="1418" w:type="dxa"/>
          </w:tcPr>
          <w:p w14:paraId="3BC7557C"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67EB9708" w14:textId="77777777" w:rsidTr="00CB0370">
        <w:tc>
          <w:tcPr>
            <w:tcW w:w="1417" w:type="dxa"/>
          </w:tcPr>
          <w:p w14:paraId="24084AF3" w14:textId="266F54D4"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N.N.</w:t>
            </w:r>
          </w:p>
        </w:tc>
        <w:tc>
          <w:tcPr>
            <w:tcW w:w="709" w:type="dxa"/>
          </w:tcPr>
          <w:p w14:paraId="6D3012A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37</w:t>
            </w:r>
          </w:p>
        </w:tc>
        <w:tc>
          <w:tcPr>
            <w:tcW w:w="992" w:type="dxa"/>
          </w:tcPr>
          <w:p w14:paraId="6847C03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Female</w:t>
            </w:r>
          </w:p>
        </w:tc>
        <w:tc>
          <w:tcPr>
            <w:tcW w:w="3402" w:type="dxa"/>
          </w:tcPr>
          <w:p w14:paraId="23A5150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Employment Consultant</w:t>
            </w:r>
          </w:p>
        </w:tc>
        <w:tc>
          <w:tcPr>
            <w:tcW w:w="1418" w:type="dxa"/>
          </w:tcPr>
          <w:p w14:paraId="0F23B536"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4DF4CD24" w14:textId="77777777" w:rsidTr="00CB0370">
        <w:tc>
          <w:tcPr>
            <w:tcW w:w="1417" w:type="dxa"/>
          </w:tcPr>
          <w:p w14:paraId="540DF382" w14:textId="5E1A4508"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R.G.</w:t>
            </w:r>
          </w:p>
        </w:tc>
        <w:tc>
          <w:tcPr>
            <w:tcW w:w="709" w:type="dxa"/>
          </w:tcPr>
          <w:p w14:paraId="3643A7C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33</w:t>
            </w:r>
          </w:p>
        </w:tc>
        <w:tc>
          <w:tcPr>
            <w:tcW w:w="992" w:type="dxa"/>
          </w:tcPr>
          <w:p w14:paraId="5C8775AC"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Female</w:t>
            </w:r>
          </w:p>
        </w:tc>
        <w:tc>
          <w:tcPr>
            <w:tcW w:w="3402" w:type="dxa"/>
          </w:tcPr>
          <w:p w14:paraId="53BA2A2A"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Emergency Doctor</w:t>
            </w:r>
          </w:p>
        </w:tc>
        <w:tc>
          <w:tcPr>
            <w:tcW w:w="1418" w:type="dxa"/>
          </w:tcPr>
          <w:p w14:paraId="27F06F9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Online </w:t>
            </w:r>
          </w:p>
        </w:tc>
      </w:tr>
      <w:tr w:rsidR="00ED492B" w:rsidRPr="007D5C15" w14:paraId="7FE4ADC4" w14:textId="77777777" w:rsidTr="00CB0370">
        <w:tc>
          <w:tcPr>
            <w:tcW w:w="1417" w:type="dxa"/>
          </w:tcPr>
          <w:p w14:paraId="436EB226" w14:textId="1611045A"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S.O.</w:t>
            </w:r>
          </w:p>
        </w:tc>
        <w:tc>
          <w:tcPr>
            <w:tcW w:w="709" w:type="dxa"/>
          </w:tcPr>
          <w:p w14:paraId="08B52E01"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45</w:t>
            </w:r>
          </w:p>
        </w:tc>
        <w:tc>
          <w:tcPr>
            <w:tcW w:w="992" w:type="dxa"/>
          </w:tcPr>
          <w:p w14:paraId="29B299CE"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Female </w:t>
            </w:r>
          </w:p>
        </w:tc>
        <w:tc>
          <w:tcPr>
            <w:tcW w:w="3402" w:type="dxa"/>
          </w:tcPr>
          <w:p w14:paraId="43C34B9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IT senior Manager </w:t>
            </w:r>
          </w:p>
        </w:tc>
        <w:tc>
          <w:tcPr>
            <w:tcW w:w="1418" w:type="dxa"/>
          </w:tcPr>
          <w:p w14:paraId="36373B2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5DD57051" w14:textId="77777777" w:rsidTr="00CB0370">
        <w:tc>
          <w:tcPr>
            <w:tcW w:w="1417" w:type="dxa"/>
          </w:tcPr>
          <w:p w14:paraId="02EB224E" w14:textId="2945AE38"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A.A.</w:t>
            </w:r>
          </w:p>
        </w:tc>
        <w:tc>
          <w:tcPr>
            <w:tcW w:w="709" w:type="dxa"/>
          </w:tcPr>
          <w:p w14:paraId="118FC59B"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34</w:t>
            </w:r>
          </w:p>
        </w:tc>
        <w:tc>
          <w:tcPr>
            <w:tcW w:w="992" w:type="dxa"/>
          </w:tcPr>
          <w:p w14:paraId="539C98C9"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Male </w:t>
            </w:r>
          </w:p>
        </w:tc>
        <w:tc>
          <w:tcPr>
            <w:tcW w:w="3402" w:type="dxa"/>
          </w:tcPr>
          <w:p w14:paraId="399E40D2"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Project Manager </w:t>
            </w:r>
          </w:p>
        </w:tc>
        <w:tc>
          <w:tcPr>
            <w:tcW w:w="1418" w:type="dxa"/>
          </w:tcPr>
          <w:p w14:paraId="07297E0D"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Face to Face</w:t>
            </w:r>
          </w:p>
        </w:tc>
      </w:tr>
      <w:tr w:rsidR="00ED492B" w:rsidRPr="007D5C15" w14:paraId="77CEBBC2" w14:textId="77777777" w:rsidTr="00CB0370">
        <w:tc>
          <w:tcPr>
            <w:tcW w:w="1417" w:type="dxa"/>
          </w:tcPr>
          <w:p w14:paraId="6042CB16" w14:textId="6D29FCF5"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N.A.</w:t>
            </w:r>
          </w:p>
        </w:tc>
        <w:tc>
          <w:tcPr>
            <w:tcW w:w="709" w:type="dxa"/>
          </w:tcPr>
          <w:p w14:paraId="7D75E7E6"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36</w:t>
            </w:r>
          </w:p>
        </w:tc>
        <w:tc>
          <w:tcPr>
            <w:tcW w:w="992" w:type="dxa"/>
          </w:tcPr>
          <w:p w14:paraId="2F4E6BC0"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Female</w:t>
            </w:r>
          </w:p>
        </w:tc>
        <w:tc>
          <w:tcPr>
            <w:tcW w:w="3402" w:type="dxa"/>
          </w:tcPr>
          <w:p w14:paraId="6E886EB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Banker </w:t>
            </w:r>
          </w:p>
        </w:tc>
        <w:tc>
          <w:tcPr>
            <w:tcW w:w="1418" w:type="dxa"/>
          </w:tcPr>
          <w:p w14:paraId="030BD3F3"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2AEF1A36" w14:textId="77777777" w:rsidTr="00CB0370">
        <w:tc>
          <w:tcPr>
            <w:tcW w:w="1417" w:type="dxa"/>
          </w:tcPr>
          <w:p w14:paraId="5106014E" w14:textId="27F5DEE0"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A.Z.</w:t>
            </w:r>
          </w:p>
        </w:tc>
        <w:tc>
          <w:tcPr>
            <w:tcW w:w="709" w:type="dxa"/>
          </w:tcPr>
          <w:p w14:paraId="6E6CF99B"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38</w:t>
            </w:r>
          </w:p>
        </w:tc>
        <w:tc>
          <w:tcPr>
            <w:tcW w:w="992" w:type="dxa"/>
          </w:tcPr>
          <w:p w14:paraId="65B09B34"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Female</w:t>
            </w:r>
          </w:p>
        </w:tc>
        <w:tc>
          <w:tcPr>
            <w:tcW w:w="3402" w:type="dxa"/>
          </w:tcPr>
          <w:p w14:paraId="433F094F"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Creative Designer </w:t>
            </w:r>
          </w:p>
        </w:tc>
        <w:tc>
          <w:tcPr>
            <w:tcW w:w="1418" w:type="dxa"/>
          </w:tcPr>
          <w:p w14:paraId="6454F95C"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Face to Face </w:t>
            </w:r>
          </w:p>
        </w:tc>
      </w:tr>
      <w:tr w:rsidR="00ED492B" w:rsidRPr="007D5C15" w14:paraId="1FD03AC1" w14:textId="77777777" w:rsidTr="00CB0370">
        <w:tc>
          <w:tcPr>
            <w:tcW w:w="1417" w:type="dxa"/>
          </w:tcPr>
          <w:p w14:paraId="31CD50A7" w14:textId="6C08AB43" w:rsidR="00ED492B" w:rsidRPr="007D5C15" w:rsidRDefault="006A7B31" w:rsidP="008D0DBB">
            <w:pPr>
              <w:widowControl w:val="0"/>
              <w:rPr>
                <w:rFonts w:asciiTheme="majorBidi" w:hAnsiTheme="majorBidi" w:cstheme="majorBidi"/>
                <w:sz w:val="20"/>
                <w:szCs w:val="20"/>
              </w:rPr>
            </w:pPr>
            <w:r w:rsidRPr="007D5C15">
              <w:rPr>
                <w:rFonts w:asciiTheme="majorBidi" w:hAnsiTheme="majorBidi" w:cstheme="majorBidi"/>
                <w:sz w:val="20"/>
                <w:szCs w:val="20"/>
              </w:rPr>
              <w:t>N.O.</w:t>
            </w:r>
          </w:p>
        </w:tc>
        <w:tc>
          <w:tcPr>
            <w:tcW w:w="709" w:type="dxa"/>
          </w:tcPr>
          <w:p w14:paraId="2C9BD1A3"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33</w:t>
            </w:r>
          </w:p>
        </w:tc>
        <w:tc>
          <w:tcPr>
            <w:tcW w:w="992" w:type="dxa"/>
          </w:tcPr>
          <w:p w14:paraId="70C6322E"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Female </w:t>
            </w:r>
          </w:p>
        </w:tc>
        <w:tc>
          <w:tcPr>
            <w:tcW w:w="3402" w:type="dxa"/>
          </w:tcPr>
          <w:p w14:paraId="7E7FF1FD" w14:textId="77777777" w:rsidR="00ED492B" w:rsidRPr="007D5C15" w:rsidRDefault="00ED492B" w:rsidP="008D0DBB">
            <w:pPr>
              <w:widowControl w:val="0"/>
              <w:rPr>
                <w:rFonts w:asciiTheme="majorBidi" w:hAnsiTheme="majorBidi" w:cstheme="majorBidi"/>
                <w:sz w:val="20"/>
                <w:szCs w:val="20"/>
              </w:rPr>
            </w:pPr>
            <w:r w:rsidRPr="007D5C15">
              <w:rPr>
                <w:rFonts w:asciiTheme="majorBidi" w:hAnsiTheme="majorBidi" w:cstheme="majorBidi"/>
                <w:sz w:val="20"/>
                <w:szCs w:val="20"/>
              </w:rPr>
              <w:t xml:space="preserve">Manager of client services </w:t>
            </w:r>
          </w:p>
        </w:tc>
        <w:tc>
          <w:tcPr>
            <w:tcW w:w="1418" w:type="dxa"/>
          </w:tcPr>
          <w:p w14:paraId="0D736AAE" w14:textId="77777777" w:rsidR="00ED492B" w:rsidRPr="007D5C15" w:rsidRDefault="00ED492B" w:rsidP="006A797D">
            <w:pPr>
              <w:keepNext/>
              <w:widowControl w:val="0"/>
              <w:rPr>
                <w:rFonts w:asciiTheme="majorBidi" w:hAnsiTheme="majorBidi" w:cstheme="majorBidi"/>
                <w:sz w:val="20"/>
                <w:szCs w:val="20"/>
              </w:rPr>
            </w:pPr>
            <w:r w:rsidRPr="007D5C15">
              <w:rPr>
                <w:rFonts w:asciiTheme="majorBidi" w:hAnsiTheme="majorBidi" w:cstheme="majorBidi"/>
                <w:sz w:val="20"/>
                <w:szCs w:val="20"/>
              </w:rPr>
              <w:t xml:space="preserve">Online </w:t>
            </w:r>
          </w:p>
        </w:tc>
      </w:tr>
    </w:tbl>
    <w:bookmarkEnd w:id="194"/>
    <w:p w14:paraId="126AB1AB" w14:textId="409D7786" w:rsidR="00ED492B" w:rsidRPr="00F15918" w:rsidRDefault="006A797D" w:rsidP="006A797D">
      <w:pPr>
        <w:pStyle w:val="Caption"/>
        <w:rPr>
          <w:rFonts w:asciiTheme="majorBidi" w:hAnsiTheme="majorBidi" w:cstheme="majorBidi"/>
          <w:b/>
          <w:bCs/>
          <w:sz w:val="24"/>
          <w:szCs w:val="24"/>
        </w:rPr>
      </w:pPr>
      <w:r>
        <w:t>Table 5</w:t>
      </w:r>
      <w:r w:rsidR="00C461D8">
        <w:t>6</w:t>
      </w:r>
      <w:r>
        <w:t xml:space="preserve"> Demographic characteristics of respondents in the qualitative study </w:t>
      </w:r>
    </w:p>
    <w:p w14:paraId="222E9F66" w14:textId="1A10CE29" w:rsidR="00ED492B" w:rsidRPr="00B62CE5" w:rsidRDefault="00ED492B" w:rsidP="00ED492B">
      <w:pPr>
        <w:widowControl w:val="0"/>
        <w:rPr>
          <w:rFonts w:asciiTheme="majorBidi" w:hAnsiTheme="majorBidi" w:cstheme="majorBidi"/>
          <w:b/>
          <w:bCs/>
          <w:sz w:val="24"/>
          <w:szCs w:val="24"/>
        </w:rPr>
      </w:pPr>
      <w:r>
        <w:rPr>
          <w:rFonts w:asciiTheme="majorBidi" w:hAnsiTheme="majorBidi" w:cstheme="majorBidi"/>
          <w:b/>
          <w:bCs/>
          <w:sz w:val="24"/>
          <w:szCs w:val="24"/>
        </w:rPr>
        <w:t>7.</w:t>
      </w:r>
      <w:r w:rsidR="008900D7">
        <w:rPr>
          <w:rFonts w:asciiTheme="majorBidi" w:hAnsiTheme="majorBidi" w:cstheme="majorBidi"/>
          <w:b/>
          <w:bCs/>
          <w:sz w:val="24"/>
          <w:szCs w:val="24"/>
        </w:rPr>
        <w:t>3</w:t>
      </w:r>
      <w:r>
        <w:rPr>
          <w:rFonts w:asciiTheme="majorBidi" w:hAnsiTheme="majorBidi" w:cstheme="majorBidi"/>
          <w:b/>
          <w:bCs/>
          <w:sz w:val="24"/>
          <w:szCs w:val="24"/>
        </w:rPr>
        <w:t xml:space="preserve">.2 </w:t>
      </w:r>
      <w:r w:rsidRPr="00B62CE5">
        <w:rPr>
          <w:rFonts w:asciiTheme="majorBidi" w:hAnsiTheme="majorBidi" w:cstheme="majorBidi"/>
          <w:b/>
          <w:bCs/>
          <w:sz w:val="24"/>
          <w:szCs w:val="24"/>
        </w:rPr>
        <w:t>Choosing products</w:t>
      </w:r>
    </w:p>
    <w:p w14:paraId="74EAF5EB" w14:textId="77777777" w:rsidR="006C23B4" w:rsidRDefault="00ED492B" w:rsidP="004E52B4">
      <w:pPr>
        <w:widowControl w:val="0"/>
        <w:spacing w:after="0" w:line="480" w:lineRule="auto"/>
        <w:rPr>
          <w:rFonts w:asciiTheme="majorBidi" w:hAnsiTheme="majorBidi" w:cstheme="majorBidi"/>
          <w:i/>
          <w:iCs/>
          <w:sz w:val="24"/>
          <w:szCs w:val="24"/>
        </w:rPr>
      </w:pPr>
      <w:r w:rsidRPr="00B62CE5">
        <w:rPr>
          <w:rFonts w:asciiTheme="majorBidi" w:hAnsiTheme="majorBidi" w:cstheme="majorBidi"/>
          <w:sz w:val="24"/>
          <w:szCs w:val="24"/>
        </w:rPr>
        <w:tab/>
        <w:t xml:space="preserve">This theme was one of the early themes that emerged from the data set to describe some of the </w:t>
      </w:r>
      <w:r w:rsidR="001D3CC3">
        <w:rPr>
          <w:rFonts w:asciiTheme="majorBidi" w:hAnsiTheme="majorBidi" w:cstheme="majorBidi"/>
          <w:sz w:val="24"/>
          <w:szCs w:val="24"/>
        </w:rPr>
        <w:t>factors</w:t>
      </w:r>
      <w:r w:rsidRPr="00B62CE5">
        <w:rPr>
          <w:rFonts w:asciiTheme="majorBidi" w:hAnsiTheme="majorBidi" w:cstheme="majorBidi"/>
          <w:sz w:val="24"/>
          <w:szCs w:val="24"/>
        </w:rPr>
        <w:t xml:space="preserve"> that influences the consumers</w:t>
      </w:r>
      <w:r w:rsidR="001D3CC3">
        <w:rPr>
          <w:rFonts w:asciiTheme="majorBidi" w:hAnsiTheme="majorBidi" w:cstheme="majorBidi"/>
          <w:sz w:val="24"/>
          <w:szCs w:val="24"/>
        </w:rPr>
        <w:t>’</w:t>
      </w:r>
      <w:r w:rsidRPr="00B62CE5">
        <w:rPr>
          <w:rFonts w:asciiTheme="majorBidi" w:hAnsiTheme="majorBidi" w:cstheme="majorBidi"/>
          <w:sz w:val="24"/>
          <w:szCs w:val="24"/>
        </w:rPr>
        <w:t xml:space="preserve"> buying decisions for low involvement products. </w:t>
      </w:r>
      <w:r>
        <w:rPr>
          <w:rFonts w:asciiTheme="majorBidi" w:hAnsiTheme="majorBidi" w:cstheme="majorBidi"/>
          <w:sz w:val="24"/>
          <w:szCs w:val="24"/>
        </w:rPr>
        <w:t>Additionally, this theme give</w:t>
      </w:r>
      <w:r w:rsidR="001D3CC3">
        <w:rPr>
          <w:rFonts w:asciiTheme="majorBidi" w:hAnsiTheme="majorBidi" w:cstheme="majorBidi"/>
          <w:sz w:val="24"/>
          <w:szCs w:val="24"/>
        </w:rPr>
        <w:t>s</w:t>
      </w:r>
      <w:r>
        <w:rPr>
          <w:rFonts w:asciiTheme="majorBidi" w:hAnsiTheme="majorBidi" w:cstheme="majorBidi"/>
          <w:sz w:val="24"/>
          <w:szCs w:val="24"/>
        </w:rPr>
        <w:t xml:space="preserve"> an indication on the kind of marketing strategies that consumers tend of respond to with a behavioural or purchase intention. </w:t>
      </w:r>
      <w:r w:rsidRPr="00B62CE5">
        <w:rPr>
          <w:rFonts w:asciiTheme="majorBidi" w:hAnsiTheme="majorBidi" w:cstheme="majorBidi"/>
          <w:sz w:val="24"/>
          <w:szCs w:val="24"/>
        </w:rPr>
        <w:t xml:space="preserve">These findings emerged from answers to the last ice-breaking question that prepared </w:t>
      </w:r>
      <w:r>
        <w:rPr>
          <w:rFonts w:asciiTheme="majorBidi" w:hAnsiTheme="majorBidi" w:cstheme="majorBidi"/>
          <w:sz w:val="24"/>
          <w:szCs w:val="24"/>
        </w:rPr>
        <w:t>interviewees</w:t>
      </w:r>
      <w:r w:rsidRPr="00B62CE5">
        <w:rPr>
          <w:rFonts w:asciiTheme="majorBidi" w:hAnsiTheme="majorBidi" w:cstheme="majorBidi"/>
          <w:sz w:val="24"/>
          <w:szCs w:val="24"/>
        </w:rPr>
        <w:t xml:space="preserve"> to more detailed questions related to </w:t>
      </w:r>
      <w:r w:rsidR="001D3CC3">
        <w:rPr>
          <w:rFonts w:asciiTheme="majorBidi" w:hAnsiTheme="majorBidi" w:cstheme="majorBidi"/>
          <w:sz w:val="24"/>
          <w:szCs w:val="24"/>
        </w:rPr>
        <w:t xml:space="preserve">attitudes towards the brand and purchase </w:t>
      </w:r>
      <w:r w:rsidRPr="00B62CE5">
        <w:rPr>
          <w:rFonts w:asciiTheme="majorBidi" w:hAnsiTheme="majorBidi" w:cstheme="majorBidi"/>
          <w:sz w:val="24"/>
          <w:szCs w:val="24"/>
        </w:rPr>
        <w:t xml:space="preserve">intentions. </w:t>
      </w:r>
      <w:r w:rsidR="009453DF">
        <w:rPr>
          <w:rFonts w:asciiTheme="majorBidi" w:hAnsiTheme="majorBidi" w:cstheme="majorBidi"/>
          <w:sz w:val="24"/>
          <w:szCs w:val="24"/>
        </w:rPr>
        <w:t>P</w:t>
      </w:r>
      <w:r w:rsidRPr="00B62CE5">
        <w:rPr>
          <w:rFonts w:asciiTheme="majorBidi" w:hAnsiTheme="majorBidi" w:cstheme="majorBidi"/>
          <w:sz w:val="24"/>
          <w:szCs w:val="24"/>
        </w:rPr>
        <w:t xml:space="preserve">lenty of the respondents </w:t>
      </w:r>
      <w:r>
        <w:rPr>
          <w:rFonts w:asciiTheme="majorBidi" w:hAnsiTheme="majorBidi" w:cstheme="majorBidi"/>
          <w:sz w:val="24"/>
          <w:szCs w:val="24"/>
        </w:rPr>
        <w:t>purchase</w:t>
      </w:r>
      <w:r w:rsidRPr="00B62CE5">
        <w:rPr>
          <w:rFonts w:asciiTheme="majorBidi" w:hAnsiTheme="majorBidi" w:cstheme="majorBidi"/>
          <w:sz w:val="24"/>
          <w:szCs w:val="24"/>
        </w:rPr>
        <w:t xml:space="preserve"> products that they know because they bought and tried them before. Others mentioned that they decide based on “word of mouth” by checking online reviews or from family and friends; and others mentioned that an attractive packaging can make them consider buying the product.  During the interview, one respondent mentioned th</w:t>
      </w:r>
      <w:r>
        <w:rPr>
          <w:rFonts w:asciiTheme="majorBidi" w:hAnsiTheme="majorBidi" w:cstheme="majorBidi"/>
          <w:sz w:val="24"/>
          <w:szCs w:val="24"/>
        </w:rPr>
        <w:t>is</w:t>
      </w:r>
      <w:r w:rsidRPr="00B62CE5">
        <w:rPr>
          <w:rFonts w:asciiTheme="majorBidi" w:hAnsiTheme="majorBidi" w:cstheme="majorBidi"/>
          <w:sz w:val="24"/>
          <w:szCs w:val="24"/>
        </w:rPr>
        <w:t xml:space="preserve"> </w:t>
      </w:r>
      <w:r w:rsidR="006A7B31" w:rsidRPr="00B62CE5">
        <w:rPr>
          <w:rFonts w:asciiTheme="majorBidi" w:hAnsiTheme="majorBidi" w:cstheme="majorBidi"/>
          <w:sz w:val="24"/>
          <w:szCs w:val="24"/>
        </w:rPr>
        <w:t>comment:</w:t>
      </w:r>
    </w:p>
    <w:p w14:paraId="71A5E152" w14:textId="3D8A1240" w:rsidR="00ED492B" w:rsidRPr="00457D00" w:rsidRDefault="006A7B31" w:rsidP="006C23B4">
      <w:pPr>
        <w:widowControl w:val="0"/>
        <w:spacing w:line="240" w:lineRule="auto"/>
        <w:ind w:left="720"/>
        <w:rPr>
          <w:rFonts w:asciiTheme="majorBidi" w:hAnsiTheme="majorBidi" w:cstheme="majorBidi"/>
          <w:sz w:val="24"/>
          <w:szCs w:val="24"/>
        </w:rPr>
      </w:pPr>
      <w:r w:rsidRPr="006C23B4">
        <w:rPr>
          <w:rFonts w:asciiTheme="majorBidi" w:hAnsiTheme="majorBidi" w:cstheme="majorBidi"/>
          <w:i/>
          <w:iCs/>
          <w:sz w:val="24"/>
          <w:szCs w:val="24"/>
        </w:rPr>
        <w:t>“Sometimes</w:t>
      </w:r>
      <w:r w:rsidR="00ED492B" w:rsidRPr="006C23B4">
        <w:rPr>
          <w:rFonts w:asciiTheme="majorBidi" w:hAnsiTheme="majorBidi" w:cstheme="majorBidi"/>
          <w:i/>
          <w:iCs/>
          <w:sz w:val="24"/>
          <w:szCs w:val="24"/>
        </w:rPr>
        <w:t xml:space="preserve"> I just go straight to the brands that I know, and sometimes I ask my family and friends or read reviews</w:t>
      </w:r>
      <w:r w:rsidRPr="006C23B4">
        <w:rPr>
          <w:rFonts w:asciiTheme="majorBidi" w:hAnsiTheme="majorBidi" w:cstheme="majorBidi"/>
          <w:i/>
          <w:iCs/>
          <w:sz w:val="24"/>
          <w:szCs w:val="24"/>
        </w:rPr>
        <w:t xml:space="preserve"> (N.N, 2022).</w:t>
      </w:r>
      <w:r w:rsidR="00ED492B" w:rsidRPr="006C23B4">
        <w:rPr>
          <w:rFonts w:asciiTheme="majorBidi" w:hAnsiTheme="majorBidi" w:cstheme="majorBidi"/>
          <w:i/>
          <w:iCs/>
          <w:sz w:val="24"/>
          <w:szCs w:val="24"/>
        </w:rPr>
        <w:t>”</w:t>
      </w:r>
    </w:p>
    <w:p w14:paraId="03C1FBC2" w14:textId="4B38553F" w:rsidR="00ED492B" w:rsidRPr="00457D00" w:rsidRDefault="00ED492B" w:rsidP="004E52B4">
      <w:pPr>
        <w:widowControl w:val="0"/>
        <w:spacing w:after="0" w:line="480" w:lineRule="auto"/>
        <w:rPr>
          <w:rFonts w:asciiTheme="majorBidi" w:hAnsiTheme="majorBidi" w:cstheme="majorBidi"/>
          <w:sz w:val="24"/>
          <w:szCs w:val="24"/>
        </w:rPr>
      </w:pPr>
      <w:r w:rsidRPr="00B62CE5">
        <w:rPr>
          <w:rFonts w:asciiTheme="majorBidi" w:hAnsiTheme="majorBidi" w:cstheme="majorBidi"/>
          <w:sz w:val="24"/>
          <w:szCs w:val="24"/>
        </w:rPr>
        <w:tab/>
        <w:t xml:space="preserve">There are only two </w:t>
      </w:r>
      <w:r>
        <w:rPr>
          <w:rFonts w:asciiTheme="majorBidi" w:hAnsiTheme="majorBidi" w:cstheme="majorBidi"/>
          <w:sz w:val="24"/>
          <w:szCs w:val="24"/>
        </w:rPr>
        <w:t>participants</w:t>
      </w:r>
      <w:r w:rsidRPr="00B62CE5">
        <w:rPr>
          <w:rFonts w:asciiTheme="majorBidi" w:hAnsiTheme="majorBidi" w:cstheme="majorBidi"/>
          <w:sz w:val="24"/>
          <w:szCs w:val="24"/>
        </w:rPr>
        <w:t xml:space="preserve"> that mentioned price as a decisive factor, another two mentioned that they choose based on ads they see on social media or television, and only one mentioned they choose the best brand names.</w:t>
      </w:r>
      <w:r>
        <w:rPr>
          <w:rFonts w:asciiTheme="majorBidi" w:hAnsiTheme="majorBidi" w:cstheme="majorBidi"/>
          <w:sz w:val="24"/>
          <w:szCs w:val="24"/>
        </w:rPr>
        <w:t xml:space="preserve"> </w:t>
      </w:r>
      <w:r w:rsidRPr="00B62CE5">
        <w:rPr>
          <w:rFonts w:asciiTheme="majorBidi" w:hAnsiTheme="majorBidi" w:cstheme="majorBidi"/>
          <w:sz w:val="24"/>
          <w:szCs w:val="24"/>
        </w:rPr>
        <w:t xml:space="preserve">Most of the respondents mentioned that they choose based on a combination of these factors. For example, </w:t>
      </w:r>
      <w:r w:rsidR="006A7B31">
        <w:rPr>
          <w:rFonts w:asciiTheme="majorBidi" w:hAnsiTheme="majorBidi" w:cstheme="majorBidi"/>
          <w:sz w:val="24"/>
          <w:szCs w:val="24"/>
        </w:rPr>
        <w:t>L.O.</w:t>
      </w:r>
      <w:r w:rsidRPr="00B62CE5">
        <w:rPr>
          <w:rFonts w:asciiTheme="majorBidi" w:hAnsiTheme="majorBidi" w:cstheme="majorBidi"/>
          <w:sz w:val="24"/>
          <w:szCs w:val="24"/>
        </w:rPr>
        <w:t xml:space="preserve"> </w:t>
      </w:r>
      <w:r w:rsidR="006A7B31">
        <w:rPr>
          <w:rFonts w:asciiTheme="majorBidi" w:hAnsiTheme="majorBidi" w:cstheme="majorBidi"/>
          <w:sz w:val="24"/>
          <w:szCs w:val="24"/>
        </w:rPr>
        <w:t>said:</w:t>
      </w:r>
      <w:r w:rsidR="006A7B31" w:rsidRPr="00B62CE5">
        <w:rPr>
          <w:rFonts w:asciiTheme="majorBidi" w:hAnsiTheme="majorBidi" w:cstheme="majorBidi"/>
          <w:i/>
          <w:iCs/>
          <w:sz w:val="24"/>
          <w:szCs w:val="24"/>
        </w:rPr>
        <w:t xml:space="preserve"> </w:t>
      </w:r>
      <w:r w:rsidR="006A7B31" w:rsidRPr="006A7B31">
        <w:rPr>
          <w:rFonts w:asciiTheme="majorBidi" w:hAnsiTheme="majorBidi" w:cstheme="majorBidi"/>
          <w:sz w:val="24"/>
          <w:szCs w:val="24"/>
        </w:rPr>
        <w:t>“If</w:t>
      </w:r>
      <w:r w:rsidRPr="006A7B31">
        <w:rPr>
          <w:rFonts w:asciiTheme="majorBidi" w:hAnsiTheme="majorBidi" w:cstheme="majorBidi"/>
          <w:sz w:val="24"/>
          <w:szCs w:val="24"/>
        </w:rPr>
        <w:t xml:space="preserve"> I know it and use it, then I just keep using it. Unless there is an unjustified price increase, I check other products. Also, packaging is what catches my eye as well as the price</w:t>
      </w:r>
      <w:r w:rsidR="006A7B31" w:rsidRPr="006A7B31">
        <w:rPr>
          <w:rFonts w:asciiTheme="majorBidi" w:hAnsiTheme="majorBidi" w:cstheme="majorBidi"/>
          <w:sz w:val="24"/>
          <w:szCs w:val="24"/>
        </w:rPr>
        <w:t xml:space="preserve"> (L.O. 2023).</w:t>
      </w:r>
      <w:r w:rsidRPr="006A7B31">
        <w:rPr>
          <w:rFonts w:asciiTheme="majorBidi" w:hAnsiTheme="majorBidi" w:cstheme="majorBidi"/>
          <w:sz w:val="24"/>
          <w:szCs w:val="24"/>
        </w:rPr>
        <w:t>”</w:t>
      </w:r>
    </w:p>
    <w:p w14:paraId="43E3E36B" w14:textId="4AC8FBE5" w:rsidR="00ED492B" w:rsidRPr="00B62CE5"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.3 </w:t>
      </w:r>
      <w:bookmarkStart w:id="195" w:name="_Hlk149850916"/>
      <w:r w:rsidRPr="00B62CE5">
        <w:rPr>
          <w:rFonts w:asciiTheme="majorBidi" w:hAnsiTheme="majorBidi" w:cstheme="majorBidi"/>
          <w:b/>
          <w:bCs/>
          <w:color w:val="2E2E2E"/>
          <w:sz w:val="24"/>
          <w:szCs w:val="24"/>
        </w:rPr>
        <w:t>CSR Perception</w:t>
      </w:r>
    </w:p>
    <w:bookmarkEnd w:id="195"/>
    <w:p w14:paraId="18986494" w14:textId="36A7A4F9" w:rsidR="00ED492B" w:rsidRPr="00B62CE5" w:rsidRDefault="00ED492B" w:rsidP="00ED492B">
      <w:pPr>
        <w:widowControl w:val="0"/>
        <w:spacing w:after="120" w:line="480" w:lineRule="auto"/>
        <w:outlineLvl w:val="2"/>
        <w:rPr>
          <w:rFonts w:asciiTheme="majorBidi" w:hAnsiTheme="majorBidi" w:cstheme="majorBidi"/>
          <w:color w:val="2E2E2E"/>
          <w:sz w:val="24"/>
          <w:szCs w:val="24"/>
        </w:rPr>
      </w:pPr>
      <w:r w:rsidRPr="00B62CE5">
        <w:rPr>
          <w:rFonts w:asciiTheme="majorBidi" w:hAnsiTheme="majorBidi" w:cstheme="majorBidi"/>
          <w:color w:val="2E2E2E"/>
          <w:sz w:val="24"/>
          <w:szCs w:val="24"/>
        </w:rPr>
        <w:tab/>
        <w:t>Before investigating the views</w:t>
      </w:r>
      <w:r w:rsidR="00C4373A">
        <w:rPr>
          <w:rFonts w:asciiTheme="majorBidi" w:hAnsiTheme="majorBidi" w:cstheme="majorBidi"/>
          <w:color w:val="2E2E2E"/>
          <w:sz w:val="24"/>
          <w:szCs w:val="24"/>
        </w:rPr>
        <w:t xml:space="preserve"> of the interviewed subjects</w:t>
      </w:r>
      <w:r w:rsidRPr="00B62CE5">
        <w:rPr>
          <w:rFonts w:asciiTheme="majorBidi" w:hAnsiTheme="majorBidi" w:cstheme="majorBidi"/>
          <w:color w:val="2E2E2E"/>
          <w:sz w:val="24"/>
          <w:szCs w:val="24"/>
        </w:rPr>
        <w:t xml:space="preserve"> on the specific CSR campaign presented in the experiment, the interviews started with understanding the respondents general view on CSR. </w:t>
      </w:r>
      <w:bookmarkStart w:id="196" w:name="_Hlk149850943"/>
      <w:r w:rsidRPr="00B62CE5">
        <w:rPr>
          <w:rFonts w:asciiTheme="majorBidi" w:hAnsiTheme="majorBidi" w:cstheme="majorBidi"/>
          <w:color w:val="2E2E2E"/>
          <w:sz w:val="24"/>
          <w:szCs w:val="24"/>
        </w:rPr>
        <w:t xml:space="preserve">This theme emerged to identify </w:t>
      </w:r>
      <w:r>
        <w:rPr>
          <w:rFonts w:asciiTheme="majorBidi" w:hAnsiTheme="majorBidi" w:cstheme="majorBidi"/>
          <w:color w:val="2E2E2E"/>
          <w:sz w:val="24"/>
          <w:szCs w:val="24"/>
        </w:rPr>
        <w:t>the interviewees’</w:t>
      </w:r>
      <w:r w:rsidRPr="00B62CE5">
        <w:rPr>
          <w:rFonts w:asciiTheme="majorBidi" w:hAnsiTheme="majorBidi" w:cstheme="majorBidi"/>
          <w:color w:val="2E2E2E"/>
          <w:sz w:val="24"/>
          <w:szCs w:val="24"/>
        </w:rPr>
        <w:t xml:space="preserve"> view</w:t>
      </w:r>
      <w:r>
        <w:rPr>
          <w:rFonts w:asciiTheme="majorBidi" w:hAnsiTheme="majorBidi" w:cstheme="majorBidi"/>
          <w:color w:val="2E2E2E"/>
          <w:sz w:val="24"/>
          <w:szCs w:val="24"/>
        </w:rPr>
        <w:t>s</w:t>
      </w:r>
      <w:r w:rsidRPr="00B62CE5">
        <w:rPr>
          <w:rFonts w:asciiTheme="majorBidi" w:hAnsiTheme="majorBidi" w:cstheme="majorBidi"/>
          <w:color w:val="2E2E2E"/>
          <w:sz w:val="24"/>
          <w:szCs w:val="24"/>
        </w:rPr>
        <w:t xml:space="preserve"> of CSR and companies that conduct CSR activities. Most of the </w:t>
      </w:r>
      <w:r>
        <w:rPr>
          <w:rFonts w:asciiTheme="majorBidi" w:hAnsiTheme="majorBidi" w:cstheme="majorBidi"/>
          <w:color w:val="2E2E2E"/>
          <w:sz w:val="24"/>
          <w:szCs w:val="24"/>
        </w:rPr>
        <w:t>interviewees</w:t>
      </w:r>
      <w:r w:rsidRPr="00B62CE5">
        <w:rPr>
          <w:rFonts w:asciiTheme="majorBidi" w:hAnsiTheme="majorBidi" w:cstheme="majorBidi"/>
          <w:color w:val="2E2E2E"/>
          <w:sz w:val="24"/>
          <w:szCs w:val="24"/>
        </w:rPr>
        <w:t xml:space="preserve"> had a proper idea on what CSR is and they referred to it as companies “</w:t>
      </w:r>
      <w:r w:rsidRPr="006C23B4">
        <w:rPr>
          <w:rFonts w:asciiTheme="majorBidi" w:hAnsiTheme="majorBidi" w:cstheme="majorBidi"/>
          <w:i/>
          <w:iCs/>
          <w:color w:val="2E2E2E"/>
          <w:sz w:val="24"/>
          <w:szCs w:val="24"/>
        </w:rPr>
        <w:t>giving back</w:t>
      </w:r>
      <w:r w:rsidRPr="00B62CE5">
        <w:rPr>
          <w:rFonts w:asciiTheme="majorBidi" w:hAnsiTheme="majorBidi" w:cstheme="majorBidi"/>
          <w:color w:val="2E2E2E"/>
          <w:sz w:val="24"/>
          <w:szCs w:val="24"/>
        </w:rPr>
        <w:t>,” “</w:t>
      </w:r>
      <w:r w:rsidRPr="006C23B4">
        <w:rPr>
          <w:rFonts w:asciiTheme="majorBidi" w:hAnsiTheme="majorBidi" w:cstheme="majorBidi"/>
          <w:i/>
          <w:iCs/>
          <w:color w:val="2E2E2E"/>
          <w:sz w:val="24"/>
          <w:szCs w:val="24"/>
        </w:rPr>
        <w:t>helping society</w:t>
      </w:r>
      <w:r w:rsidRPr="00B62CE5">
        <w:rPr>
          <w:rFonts w:asciiTheme="majorBidi" w:hAnsiTheme="majorBidi" w:cstheme="majorBidi"/>
          <w:color w:val="2E2E2E"/>
          <w:sz w:val="24"/>
          <w:szCs w:val="24"/>
        </w:rPr>
        <w:t>,” “</w:t>
      </w:r>
      <w:r w:rsidRPr="006C23B4">
        <w:rPr>
          <w:rFonts w:asciiTheme="majorBidi" w:hAnsiTheme="majorBidi" w:cstheme="majorBidi"/>
          <w:i/>
          <w:iCs/>
          <w:color w:val="2E2E2E"/>
          <w:sz w:val="24"/>
          <w:szCs w:val="24"/>
        </w:rPr>
        <w:t>going green</w:t>
      </w:r>
      <w:r w:rsidRPr="00B62CE5">
        <w:rPr>
          <w:rFonts w:asciiTheme="majorBidi" w:hAnsiTheme="majorBidi" w:cstheme="majorBidi"/>
          <w:color w:val="2E2E2E"/>
          <w:sz w:val="24"/>
          <w:szCs w:val="24"/>
        </w:rPr>
        <w:t>” or “</w:t>
      </w:r>
      <w:r w:rsidRPr="006C23B4">
        <w:rPr>
          <w:rFonts w:asciiTheme="majorBidi" w:hAnsiTheme="majorBidi" w:cstheme="majorBidi"/>
          <w:i/>
          <w:iCs/>
          <w:color w:val="2E2E2E"/>
          <w:sz w:val="24"/>
          <w:szCs w:val="24"/>
        </w:rPr>
        <w:t>doing more for society</w:t>
      </w:r>
      <w:r w:rsidRPr="00B62CE5">
        <w:rPr>
          <w:rFonts w:asciiTheme="majorBidi" w:hAnsiTheme="majorBidi" w:cstheme="majorBidi"/>
          <w:color w:val="2E2E2E"/>
          <w:sz w:val="24"/>
          <w:szCs w:val="24"/>
        </w:rPr>
        <w:t xml:space="preserve">.” </w:t>
      </w:r>
      <w:bookmarkEnd w:id="196"/>
      <w:r w:rsidRPr="00B62CE5">
        <w:rPr>
          <w:rFonts w:asciiTheme="majorBidi" w:hAnsiTheme="majorBidi" w:cstheme="majorBidi"/>
          <w:color w:val="2E2E2E"/>
          <w:sz w:val="24"/>
          <w:szCs w:val="24"/>
        </w:rPr>
        <w:t xml:space="preserve">One respondent said: </w:t>
      </w:r>
    </w:p>
    <w:p w14:paraId="125A54EC" w14:textId="55EA8684" w:rsidR="00ED492B" w:rsidRPr="006C23B4" w:rsidRDefault="00ED492B" w:rsidP="0076688A">
      <w:pPr>
        <w:widowControl w:val="0"/>
        <w:spacing w:after="120" w:line="240" w:lineRule="auto"/>
        <w:ind w:left="720"/>
        <w:outlineLvl w:val="2"/>
        <w:rPr>
          <w:rFonts w:asciiTheme="majorBidi" w:hAnsiTheme="majorBidi" w:cstheme="majorBidi"/>
          <w:i/>
          <w:iCs/>
          <w:sz w:val="24"/>
          <w:szCs w:val="24"/>
        </w:rPr>
      </w:pPr>
      <w:r w:rsidRPr="006C23B4">
        <w:rPr>
          <w:rFonts w:asciiTheme="majorBidi" w:hAnsiTheme="majorBidi" w:cstheme="majorBidi"/>
          <w:i/>
          <w:iCs/>
          <w:sz w:val="24"/>
          <w:szCs w:val="24"/>
        </w:rPr>
        <w:t>I think the company’s main goal is to make profit as this is the first and initial stage, then the second stage happens when the company is successful enough will think and consider CSR. And vice versa, when a company launches CSR, I understand that it’s a strong company</w:t>
      </w:r>
      <w:r w:rsidR="006A7B31" w:rsidRPr="006C23B4">
        <w:rPr>
          <w:rFonts w:asciiTheme="majorBidi" w:hAnsiTheme="majorBidi" w:cstheme="majorBidi"/>
          <w:i/>
          <w:iCs/>
          <w:sz w:val="24"/>
          <w:szCs w:val="24"/>
        </w:rPr>
        <w:t xml:space="preserve"> (B.M. 2022)</w:t>
      </w:r>
      <w:r w:rsidRPr="006C23B4">
        <w:rPr>
          <w:rFonts w:asciiTheme="majorBidi" w:hAnsiTheme="majorBidi" w:cstheme="majorBidi"/>
          <w:i/>
          <w:iCs/>
          <w:sz w:val="24"/>
          <w:szCs w:val="24"/>
        </w:rPr>
        <w:t>.</w:t>
      </w:r>
      <w:r w:rsidR="001E0A90" w:rsidRPr="006C23B4">
        <w:rPr>
          <w:rFonts w:asciiTheme="majorBidi" w:hAnsiTheme="majorBidi" w:cstheme="majorBidi"/>
          <w:i/>
          <w:iCs/>
          <w:sz w:val="24"/>
          <w:szCs w:val="24"/>
        </w:rPr>
        <w:br/>
      </w:r>
    </w:p>
    <w:p w14:paraId="2E78998F" w14:textId="29AC1492" w:rsidR="00ED492B" w:rsidRPr="00B62CE5" w:rsidRDefault="00ED492B" w:rsidP="00295214">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bookmarkStart w:id="197" w:name="_Hlk149851004"/>
      <w:r w:rsidRPr="00B62CE5">
        <w:rPr>
          <w:rFonts w:asciiTheme="majorBidi" w:hAnsiTheme="majorBidi" w:cstheme="majorBidi"/>
          <w:color w:val="2E2E2E"/>
          <w:sz w:val="24"/>
          <w:szCs w:val="24"/>
        </w:rPr>
        <w:t>It is crucial to highlight that a lot of the respondents believed that most CSR campaigns are more expected from large corporations.</w:t>
      </w:r>
      <w:bookmarkEnd w:id="197"/>
      <w:r w:rsidRPr="00B62CE5">
        <w:rPr>
          <w:rFonts w:asciiTheme="majorBidi" w:hAnsiTheme="majorBidi" w:cstheme="majorBidi"/>
          <w:color w:val="2E2E2E"/>
          <w:sz w:val="24"/>
          <w:szCs w:val="24"/>
        </w:rPr>
        <w:t xml:space="preserve"> When asked about the perceptions of CSR, many </w:t>
      </w:r>
      <w:r>
        <w:rPr>
          <w:rFonts w:asciiTheme="majorBidi" w:hAnsiTheme="majorBidi" w:cstheme="majorBidi"/>
          <w:color w:val="2E2E2E"/>
          <w:sz w:val="24"/>
          <w:szCs w:val="24"/>
        </w:rPr>
        <w:t>participants</w:t>
      </w:r>
      <w:r w:rsidRPr="00B62CE5">
        <w:rPr>
          <w:rFonts w:asciiTheme="majorBidi" w:hAnsiTheme="majorBidi" w:cstheme="majorBidi"/>
          <w:color w:val="2E2E2E"/>
          <w:sz w:val="24"/>
          <w:szCs w:val="24"/>
        </w:rPr>
        <w:t xml:space="preserve"> used words like “</w:t>
      </w:r>
      <w:r w:rsidRPr="006C23B4">
        <w:rPr>
          <w:rFonts w:asciiTheme="majorBidi" w:hAnsiTheme="majorBidi" w:cstheme="majorBidi"/>
          <w:i/>
          <w:iCs/>
          <w:color w:val="2E2E2E"/>
          <w:sz w:val="24"/>
          <w:szCs w:val="24"/>
        </w:rPr>
        <w:t>corporates</w:t>
      </w:r>
      <w:r w:rsidRPr="00B62CE5">
        <w:rPr>
          <w:rFonts w:asciiTheme="majorBidi" w:hAnsiTheme="majorBidi" w:cstheme="majorBidi"/>
          <w:color w:val="2E2E2E"/>
          <w:sz w:val="24"/>
          <w:szCs w:val="24"/>
        </w:rPr>
        <w:t>,” “</w:t>
      </w:r>
      <w:r w:rsidRPr="006C23B4">
        <w:rPr>
          <w:rFonts w:asciiTheme="majorBidi" w:hAnsiTheme="majorBidi" w:cstheme="majorBidi"/>
          <w:i/>
          <w:iCs/>
          <w:color w:val="2E2E2E"/>
          <w:sz w:val="24"/>
          <w:szCs w:val="24"/>
        </w:rPr>
        <w:t>big corporates</w:t>
      </w:r>
      <w:r w:rsidRPr="00B62CE5">
        <w:rPr>
          <w:rFonts w:asciiTheme="majorBidi" w:hAnsiTheme="majorBidi" w:cstheme="majorBidi"/>
          <w:color w:val="2E2E2E"/>
          <w:sz w:val="24"/>
          <w:szCs w:val="24"/>
        </w:rPr>
        <w:t>,” or “</w:t>
      </w:r>
      <w:r w:rsidRPr="006C23B4">
        <w:rPr>
          <w:rFonts w:asciiTheme="majorBidi" w:hAnsiTheme="majorBidi" w:cstheme="majorBidi"/>
          <w:i/>
          <w:iCs/>
          <w:color w:val="2E2E2E"/>
          <w:sz w:val="24"/>
          <w:szCs w:val="24"/>
        </w:rPr>
        <w:t>multinationals</w:t>
      </w:r>
      <w:r w:rsidRPr="00B62CE5">
        <w:rPr>
          <w:rFonts w:asciiTheme="majorBidi" w:hAnsiTheme="majorBidi" w:cstheme="majorBidi"/>
          <w:color w:val="2E2E2E"/>
          <w:sz w:val="24"/>
          <w:szCs w:val="24"/>
        </w:rPr>
        <w:t xml:space="preserve">.” There was only one </w:t>
      </w:r>
      <w:r>
        <w:rPr>
          <w:rFonts w:asciiTheme="majorBidi" w:hAnsiTheme="majorBidi" w:cstheme="majorBidi"/>
          <w:color w:val="2E2E2E"/>
          <w:sz w:val="24"/>
          <w:szCs w:val="24"/>
        </w:rPr>
        <w:t>subject</w:t>
      </w:r>
      <w:r w:rsidRPr="00B62CE5">
        <w:rPr>
          <w:rFonts w:asciiTheme="majorBidi" w:hAnsiTheme="majorBidi" w:cstheme="majorBidi"/>
          <w:color w:val="2E2E2E"/>
          <w:sz w:val="24"/>
          <w:szCs w:val="24"/>
        </w:rPr>
        <w:t xml:space="preserve"> who even though had a clear idea on what CSR is but, she mentioned “</w:t>
      </w:r>
      <w:r w:rsidRPr="006C23B4">
        <w:rPr>
          <w:rFonts w:asciiTheme="majorBidi" w:hAnsiTheme="majorBidi" w:cstheme="majorBidi"/>
          <w:i/>
          <w:iCs/>
          <w:color w:val="2E2E2E"/>
          <w:sz w:val="24"/>
          <w:szCs w:val="24"/>
        </w:rPr>
        <w:t>I don’t hear the term often.</w:t>
      </w:r>
      <w:r w:rsidRPr="00B62CE5">
        <w:rPr>
          <w:rFonts w:asciiTheme="majorBidi" w:hAnsiTheme="majorBidi" w:cstheme="majorBidi"/>
          <w:color w:val="2E2E2E"/>
          <w:sz w:val="24"/>
          <w:szCs w:val="24"/>
        </w:rPr>
        <w:t xml:space="preserve">” There were a couple of respondents who reported a different </w:t>
      </w:r>
      <w:r w:rsidR="00173596">
        <w:rPr>
          <w:rFonts w:asciiTheme="majorBidi" w:hAnsiTheme="majorBidi" w:cstheme="majorBidi"/>
          <w:color w:val="2E2E2E"/>
          <w:sz w:val="24"/>
          <w:szCs w:val="24"/>
        </w:rPr>
        <w:t>outlook</w:t>
      </w:r>
      <w:r w:rsidRPr="00B62CE5">
        <w:rPr>
          <w:rFonts w:asciiTheme="majorBidi" w:hAnsiTheme="majorBidi" w:cstheme="majorBidi"/>
          <w:color w:val="2E2E2E"/>
          <w:sz w:val="24"/>
          <w:szCs w:val="24"/>
        </w:rPr>
        <w:t xml:space="preserve"> on companies that do CSR by mentioning that they do not always trust the sincerity of these campaigns or communications. This point will be elaborated</w:t>
      </w:r>
      <w:r w:rsidR="009453DF">
        <w:rPr>
          <w:rFonts w:asciiTheme="majorBidi" w:hAnsiTheme="majorBidi" w:cstheme="majorBidi"/>
          <w:color w:val="2E2E2E"/>
          <w:sz w:val="24"/>
          <w:szCs w:val="24"/>
        </w:rPr>
        <w:t xml:space="preserve"> on</w:t>
      </w:r>
      <w:r w:rsidRPr="00B62CE5">
        <w:rPr>
          <w:rFonts w:asciiTheme="majorBidi" w:hAnsiTheme="majorBidi" w:cstheme="majorBidi"/>
          <w:color w:val="2E2E2E"/>
          <w:sz w:val="24"/>
          <w:szCs w:val="24"/>
        </w:rPr>
        <w:t xml:space="preserve"> further </w:t>
      </w:r>
      <w:r>
        <w:rPr>
          <w:rFonts w:asciiTheme="majorBidi" w:hAnsiTheme="majorBidi" w:cstheme="majorBidi"/>
          <w:color w:val="2E2E2E"/>
          <w:sz w:val="24"/>
          <w:szCs w:val="24"/>
        </w:rPr>
        <w:t>i</w:t>
      </w:r>
      <w:r w:rsidRPr="00B62CE5">
        <w:rPr>
          <w:rFonts w:asciiTheme="majorBidi" w:hAnsiTheme="majorBidi" w:cstheme="majorBidi"/>
          <w:color w:val="2E2E2E"/>
          <w:sz w:val="24"/>
          <w:szCs w:val="24"/>
        </w:rPr>
        <w:t>n section</w:t>
      </w:r>
      <w:r w:rsidR="006A7B31">
        <w:rPr>
          <w:rFonts w:asciiTheme="majorBidi" w:hAnsiTheme="majorBidi" w:cstheme="majorBidi"/>
          <w:color w:val="2E2E2E"/>
          <w:sz w:val="24"/>
          <w:szCs w:val="24"/>
        </w:rPr>
        <w:t xml:space="preserve"> </w:t>
      </w:r>
      <w:r>
        <w:rPr>
          <w:rFonts w:asciiTheme="majorBidi" w:hAnsiTheme="majorBidi" w:cstheme="majorBidi"/>
          <w:color w:val="2E2E2E"/>
          <w:sz w:val="24"/>
          <w:szCs w:val="24"/>
        </w:rPr>
        <w:t>7.</w:t>
      </w:r>
      <w:r w:rsidR="008900D7">
        <w:rPr>
          <w:rFonts w:asciiTheme="majorBidi" w:hAnsiTheme="majorBidi" w:cstheme="majorBidi"/>
          <w:color w:val="2E2E2E"/>
          <w:sz w:val="24"/>
          <w:szCs w:val="24"/>
        </w:rPr>
        <w:t>3</w:t>
      </w:r>
      <w:r>
        <w:rPr>
          <w:rFonts w:asciiTheme="majorBidi" w:hAnsiTheme="majorBidi" w:cstheme="majorBidi"/>
          <w:color w:val="2E2E2E"/>
          <w:sz w:val="24"/>
          <w:szCs w:val="24"/>
        </w:rPr>
        <w:t>.</w:t>
      </w:r>
      <w:r w:rsidR="004C729F">
        <w:rPr>
          <w:rFonts w:asciiTheme="majorBidi" w:hAnsiTheme="majorBidi" w:cstheme="majorBidi"/>
          <w:color w:val="2E2E2E"/>
          <w:sz w:val="24"/>
          <w:szCs w:val="24"/>
        </w:rPr>
        <w:t>9</w:t>
      </w:r>
      <w:r w:rsidRPr="00B62CE5">
        <w:rPr>
          <w:rFonts w:asciiTheme="majorBidi" w:hAnsiTheme="majorBidi" w:cstheme="majorBidi"/>
          <w:color w:val="2E2E2E"/>
          <w:sz w:val="24"/>
          <w:szCs w:val="24"/>
        </w:rPr>
        <w:t xml:space="preserve"> </w:t>
      </w:r>
      <w:r>
        <w:rPr>
          <w:rFonts w:asciiTheme="majorBidi" w:hAnsiTheme="majorBidi" w:cstheme="majorBidi"/>
          <w:color w:val="2E2E2E"/>
          <w:sz w:val="24"/>
          <w:szCs w:val="24"/>
        </w:rPr>
        <w:t>examining</w:t>
      </w:r>
      <w:r w:rsidRPr="00B62CE5">
        <w:rPr>
          <w:rFonts w:asciiTheme="majorBidi" w:hAnsiTheme="majorBidi" w:cstheme="majorBidi"/>
          <w:color w:val="2E2E2E"/>
          <w:sz w:val="24"/>
          <w:szCs w:val="24"/>
        </w:rPr>
        <w:t xml:space="preserve"> brand trust. For instance, </w:t>
      </w:r>
      <w:r>
        <w:rPr>
          <w:rFonts w:asciiTheme="majorBidi" w:hAnsiTheme="majorBidi" w:cstheme="majorBidi"/>
          <w:color w:val="2E2E2E"/>
          <w:sz w:val="24"/>
          <w:szCs w:val="24"/>
        </w:rPr>
        <w:t>one</w:t>
      </w:r>
      <w:r w:rsidRPr="00B62CE5">
        <w:rPr>
          <w:rFonts w:asciiTheme="majorBidi" w:hAnsiTheme="majorBidi" w:cstheme="majorBidi"/>
          <w:color w:val="2E2E2E"/>
          <w:sz w:val="24"/>
          <w:szCs w:val="24"/>
        </w:rPr>
        <w:t xml:space="preserve"> respondent </w:t>
      </w:r>
      <w:r w:rsidR="006A7B31" w:rsidRPr="00B62CE5">
        <w:rPr>
          <w:rFonts w:asciiTheme="majorBidi" w:hAnsiTheme="majorBidi" w:cstheme="majorBidi"/>
          <w:color w:val="2E2E2E"/>
          <w:sz w:val="24"/>
          <w:szCs w:val="24"/>
        </w:rPr>
        <w:t>stated</w:t>
      </w:r>
      <w:r w:rsidRPr="00B62CE5">
        <w:rPr>
          <w:rFonts w:asciiTheme="majorBidi" w:hAnsiTheme="majorBidi" w:cstheme="majorBidi"/>
          <w:color w:val="2E2E2E"/>
          <w:sz w:val="24"/>
          <w:szCs w:val="24"/>
        </w:rPr>
        <w:t>:</w:t>
      </w:r>
    </w:p>
    <w:p w14:paraId="63A7C2C9" w14:textId="2C0038CB" w:rsidR="00ED492B" w:rsidRPr="006C23B4" w:rsidRDefault="00ED492B" w:rsidP="00295214">
      <w:pPr>
        <w:widowControl w:val="0"/>
        <w:spacing w:after="0"/>
        <w:ind w:left="720"/>
        <w:outlineLvl w:val="2"/>
        <w:rPr>
          <w:rFonts w:asciiTheme="majorBidi" w:hAnsiTheme="majorBidi" w:cstheme="majorBidi"/>
          <w:i/>
          <w:iCs/>
          <w:sz w:val="24"/>
          <w:szCs w:val="24"/>
        </w:rPr>
      </w:pPr>
      <w:r w:rsidRPr="006C23B4">
        <w:rPr>
          <w:rFonts w:asciiTheme="majorBidi" w:hAnsiTheme="majorBidi" w:cstheme="majorBidi"/>
          <w:i/>
          <w:iCs/>
          <w:sz w:val="24"/>
          <w:szCs w:val="24"/>
        </w:rPr>
        <w:t xml:space="preserve">CSR is something positive and attractive to me. But I feel some companies are basically genuine and they want to compromise the damage that they did, and others are just doing it because </w:t>
      </w:r>
      <w:r w:rsidRPr="006C23B4">
        <w:rPr>
          <w:rFonts w:asciiTheme="majorBidi" w:hAnsiTheme="majorBidi" w:cstheme="majorBidi"/>
          <w:i/>
          <w:iCs/>
          <w:sz w:val="24"/>
          <w:szCs w:val="24"/>
          <w:u w:val="single"/>
        </w:rPr>
        <w:t>they know that this will sell so it becomes fake</w:t>
      </w:r>
      <w:r w:rsidR="006A7B31" w:rsidRPr="006C23B4">
        <w:rPr>
          <w:rFonts w:asciiTheme="majorBidi" w:hAnsiTheme="majorBidi" w:cstheme="majorBidi"/>
          <w:i/>
          <w:iCs/>
          <w:sz w:val="24"/>
          <w:szCs w:val="24"/>
        </w:rPr>
        <w:t xml:space="preserve"> (K.R., 2022)</w:t>
      </w:r>
      <w:r w:rsidRPr="006C23B4">
        <w:rPr>
          <w:rFonts w:asciiTheme="majorBidi" w:hAnsiTheme="majorBidi" w:cstheme="majorBidi"/>
          <w:i/>
          <w:iCs/>
          <w:sz w:val="24"/>
          <w:szCs w:val="24"/>
        </w:rPr>
        <w:t>.</w:t>
      </w:r>
    </w:p>
    <w:p w14:paraId="6305BB73" w14:textId="77777777" w:rsidR="00295214" w:rsidRPr="008521AD" w:rsidRDefault="00295214" w:rsidP="00295214">
      <w:pPr>
        <w:widowControl w:val="0"/>
        <w:spacing w:after="0"/>
        <w:ind w:left="720"/>
        <w:outlineLvl w:val="2"/>
        <w:rPr>
          <w:rFonts w:asciiTheme="majorBidi" w:hAnsiTheme="majorBidi" w:cstheme="majorBidi"/>
          <w:color w:val="2E2E2E"/>
          <w:sz w:val="24"/>
          <w:szCs w:val="24"/>
        </w:rPr>
      </w:pPr>
    </w:p>
    <w:p w14:paraId="077EAEE1" w14:textId="77777777" w:rsidR="006C23B4" w:rsidRDefault="00ED492B" w:rsidP="001E0A90">
      <w:pPr>
        <w:widowControl w:val="0"/>
        <w:spacing w:after="0" w:line="480" w:lineRule="auto"/>
        <w:outlineLvl w:val="2"/>
        <w:rPr>
          <w:rFonts w:asciiTheme="majorBidi" w:hAnsiTheme="majorBidi" w:cstheme="majorBidi"/>
          <w:sz w:val="24"/>
          <w:szCs w:val="24"/>
        </w:rPr>
      </w:pPr>
      <w:r>
        <w:rPr>
          <w:rFonts w:asciiTheme="majorBidi" w:hAnsiTheme="majorBidi" w:cstheme="majorBidi"/>
          <w:color w:val="2E2E2E"/>
          <w:sz w:val="24"/>
          <w:szCs w:val="24"/>
        </w:rPr>
        <w:tab/>
      </w:r>
      <w:r w:rsidRPr="009453DF">
        <w:rPr>
          <w:rFonts w:asciiTheme="majorBidi" w:hAnsiTheme="majorBidi" w:cstheme="majorBidi"/>
          <w:sz w:val="24"/>
          <w:szCs w:val="24"/>
        </w:rPr>
        <w:t>Additionally, it is noteworthy to mention that some interviewed subjects (n=5) recogni</w:t>
      </w:r>
      <w:r w:rsidR="009453DF" w:rsidRPr="009453DF">
        <w:rPr>
          <w:rFonts w:asciiTheme="majorBidi" w:hAnsiTheme="majorBidi" w:cstheme="majorBidi"/>
          <w:sz w:val="24"/>
          <w:szCs w:val="24"/>
        </w:rPr>
        <w:t>s</w:t>
      </w:r>
      <w:r w:rsidRPr="009453DF">
        <w:rPr>
          <w:rFonts w:asciiTheme="majorBidi" w:hAnsiTheme="majorBidi" w:cstheme="majorBidi"/>
          <w:sz w:val="24"/>
          <w:szCs w:val="24"/>
        </w:rPr>
        <w:t>ed CSR as a “</w:t>
      </w:r>
      <w:r w:rsidRPr="006C23B4">
        <w:rPr>
          <w:rFonts w:asciiTheme="majorBidi" w:hAnsiTheme="majorBidi" w:cstheme="majorBidi"/>
          <w:i/>
          <w:iCs/>
          <w:sz w:val="24"/>
          <w:szCs w:val="24"/>
        </w:rPr>
        <w:t>role</w:t>
      </w:r>
      <w:r w:rsidRPr="007D5C15">
        <w:rPr>
          <w:rFonts w:asciiTheme="majorBidi" w:hAnsiTheme="majorBidi" w:cstheme="majorBidi"/>
          <w:sz w:val="24"/>
          <w:szCs w:val="24"/>
        </w:rPr>
        <w:t>” or “</w:t>
      </w:r>
      <w:r w:rsidRPr="006C23B4">
        <w:rPr>
          <w:rFonts w:asciiTheme="majorBidi" w:hAnsiTheme="majorBidi" w:cstheme="majorBidi"/>
          <w:i/>
          <w:iCs/>
          <w:sz w:val="24"/>
          <w:szCs w:val="24"/>
        </w:rPr>
        <w:t>responsibility</w:t>
      </w:r>
      <w:r w:rsidRPr="007D5C15">
        <w:rPr>
          <w:rFonts w:asciiTheme="majorBidi" w:hAnsiTheme="majorBidi" w:cstheme="majorBidi"/>
          <w:sz w:val="24"/>
          <w:szCs w:val="24"/>
        </w:rPr>
        <w:t>” that corporates have towards society while others perceived CSR as an “</w:t>
      </w:r>
      <w:r w:rsidRPr="006C23B4">
        <w:rPr>
          <w:rFonts w:asciiTheme="majorBidi" w:hAnsiTheme="majorBidi" w:cstheme="majorBidi"/>
          <w:i/>
          <w:iCs/>
          <w:sz w:val="24"/>
          <w:szCs w:val="24"/>
        </w:rPr>
        <w:t>extended effort</w:t>
      </w:r>
      <w:r w:rsidR="006C23B4" w:rsidRPr="006C23B4">
        <w:rPr>
          <w:rFonts w:asciiTheme="majorBidi" w:hAnsiTheme="majorBidi" w:cstheme="majorBidi"/>
          <w:i/>
          <w:iCs/>
          <w:sz w:val="24"/>
          <w:szCs w:val="24"/>
        </w:rPr>
        <w:t>.</w:t>
      </w:r>
      <w:r w:rsidRPr="007D5C15">
        <w:rPr>
          <w:rFonts w:asciiTheme="majorBidi" w:hAnsiTheme="majorBidi" w:cstheme="majorBidi"/>
          <w:sz w:val="24"/>
          <w:szCs w:val="24"/>
        </w:rPr>
        <w:t>”</w:t>
      </w:r>
      <w:r w:rsidRPr="009453DF">
        <w:rPr>
          <w:rFonts w:asciiTheme="majorBidi" w:hAnsiTheme="majorBidi" w:cstheme="majorBidi"/>
          <w:sz w:val="24"/>
          <w:szCs w:val="24"/>
        </w:rPr>
        <w:t xml:space="preserve"> To illustrate, a couple of respondents said:</w:t>
      </w:r>
    </w:p>
    <w:p w14:paraId="0DE2B28F" w14:textId="4CE8D697" w:rsidR="006C23B4" w:rsidRDefault="00ED492B" w:rsidP="006C23B4">
      <w:pPr>
        <w:widowControl w:val="0"/>
        <w:spacing w:line="240" w:lineRule="auto"/>
        <w:ind w:left="720"/>
        <w:outlineLvl w:val="2"/>
        <w:rPr>
          <w:rFonts w:asciiTheme="majorBidi" w:hAnsiTheme="majorBidi" w:cstheme="majorBidi"/>
          <w:sz w:val="24"/>
          <w:szCs w:val="24"/>
        </w:rPr>
      </w:pPr>
      <w:r w:rsidRPr="009453DF">
        <w:rPr>
          <w:rFonts w:asciiTheme="majorBidi" w:hAnsiTheme="majorBidi" w:cstheme="majorBidi"/>
          <w:sz w:val="24"/>
          <w:szCs w:val="24"/>
        </w:rPr>
        <w:t>“</w:t>
      </w:r>
      <w:r w:rsidRPr="006C23B4">
        <w:rPr>
          <w:rFonts w:asciiTheme="majorBidi" w:hAnsiTheme="majorBidi" w:cstheme="majorBidi"/>
          <w:i/>
          <w:iCs/>
          <w:sz w:val="24"/>
          <w:szCs w:val="24"/>
        </w:rPr>
        <w:t xml:space="preserve">big corporates are responsible to pay back out of </w:t>
      </w:r>
      <w:r w:rsidR="009453DF" w:rsidRPr="006C23B4">
        <w:rPr>
          <w:rFonts w:asciiTheme="majorBidi" w:hAnsiTheme="majorBidi" w:cstheme="majorBidi"/>
          <w:i/>
          <w:iCs/>
          <w:sz w:val="24"/>
          <w:szCs w:val="24"/>
        </w:rPr>
        <w:t>their</w:t>
      </w:r>
      <w:r w:rsidRPr="006C23B4">
        <w:rPr>
          <w:rFonts w:asciiTheme="majorBidi" w:hAnsiTheme="majorBidi" w:cstheme="majorBidi"/>
          <w:i/>
          <w:iCs/>
          <w:sz w:val="24"/>
          <w:szCs w:val="24"/>
        </w:rPr>
        <w:t xml:space="preserve"> annual profit towards society</w:t>
      </w:r>
      <w:r w:rsidR="001E005B" w:rsidRPr="006C23B4">
        <w:rPr>
          <w:rFonts w:asciiTheme="majorBidi" w:hAnsiTheme="majorBidi" w:cstheme="majorBidi"/>
          <w:i/>
          <w:iCs/>
          <w:sz w:val="24"/>
          <w:szCs w:val="24"/>
        </w:rPr>
        <w:t xml:space="preserve"> </w:t>
      </w:r>
      <w:r w:rsidR="006A7B31" w:rsidRPr="009453DF">
        <w:rPr>
          <w:rFonts w:asciiTheme="majorBidi" w:hAnsiTheme="majorBidi" w:cstheme="majorBidi"/>
          <w:sz w:val="24"/>
          <w:szCs w:val="24"/>
        </w:rPr>
        <w:t>(N.O., 2022)</w:t>
      </w:r>
      <w:r w:rsidRPr="009453DF">
        <w:rPr>
          <w:rFonts w:asciiTheme="majorBidi" w:hAnsiTheme="majorBidi" w:cstheme="majorBidi"/>
          <w:sz w:val="24"/>
          <w:szCs w:val="24"/>
        </w:rPr>
        <w:t xml:space="preserve">” </w:t>
      </w:r>
    </w:p>
    <w:p w14:paraId="35E88FEF" w14:textId="1B7D3301" w:rsidR="00ED492B" w:rsidRPr="009453DF" w:rsidRDefault="00ED492B" w:rsidP="006C23B4">
      <w:pPr>
        <w:widowControl w:val="0"/>
        <w:spacing w:line="240" w:lineRule="auto"/>
        <w:ind w:left="720" w:firstLine="60"/>
        <w:outlineLvl w:val="2"/>
        <w:rPr>
          <w:rFonts w:asciiTheme="majorBidi" w:hAnsiTheme="majorBidi" w:cstheme="majorBidi"/>
          <w:sz w:val="24"/>
          <w:szCs w:val="24"/>
        </w:rPr>
      </w:pPr>
      <w:r w:rsidRPr="009453DF">
        <w:rPr>
          <w:rFonts w:asciiTheme="majorBidi" w:hAnsiTheme="majorBidi" w:cstheme="majorBidi"/>
          <w:sz w:val="24"/>
          <w:szCs w:val="24"/>
        </w:rPr>
        <w:t>“</w:t>
      </w:r>
      <w:r w:rsidRPr="006C23B4">
        <w:rPr>
          <w:rFonts w:asciiTheme="majorBidi" w:hAnsiTheme="majorBidi" w:cstheme="majorBidi"/>
          <w:i/>
          <w:iCs/>
          <w:sz w:val="24"/>
          <w:szCs w:val="24"/>
        </w:rPr>
        <w:t>I think the company’s main goal is to make profit as this is the first and initial stage, then the second stage happens when the company is successful enough</w:t>
      </w:r>
      <w:r w:rsidR="009453DF" w:rsidRPr="006C23B4">
        <w:rPr>
          <w:rFonts w:asciiTheme="majorBidi" w:hAnsiTheme="majorBidi" w:cstheme="majorBidi"/>
          <w:i/>
          <w:iCs/>
          <w:sz w:val="24"/>
          <w:szCs w:val="24"/>
        </w:rPr>
        <w:t>, so it</w:t>
      </w:r>
      <w:r w:rsidRPr="006C23B4">
        <w:rPr>
          <w:rFonts w:asciiTheme="majorBidi" w:hAnsiTheme="majorBidi" w:cstheme="majorBidi"/>
          <w:i/>
          <w:iCs/>
          <w:sz w:val="24"/>
          <w:szCs w:val="24"/>
        </w:rPr>
        <w:t xml:space="preserve"> will think and consider CSR</w:t>
      </w:r>
      <w:r w:rsidR="009F7C41" w:rsidRPr="006C23B4">
        <w:rPr>
          <w:rFonts w:asciiTheme="majorBidi" w:hAnsiTheme="majorBidi" w:cstheme="majorBidi"/>
          <w:i/>
          <w:iCs/>
          <w:sz w:val="24"/>
          <w:szCs w:val="24"/>
        </w:rPr>
        <w:t xml:space="preserve"> </w:t>
      </w:r>
      <w:r w:rsidR="001E005B" w:rsidRPr="006C23B4">
        <w:rPr>
          <w:rFonts w:asciiTheme="majorBidi" w:hAnsiTheme="majorBidi" w:cstheme="majorBidi"/>
          <w:i/>
          <w:iCs/>
          <w:sz w:val="24"/>
          <w:szCs w:val="24"/>
        </w:rPr>
        <w:t>(B.M., 2022)</w:t>
      </w:r>
      <w:r w:rsidRPr="006C23B4">
        <w:rPr>
          <w:rFonts w:asciiTheme="majorBidi" w:hAnsiTheme="majorBidi" w:cstheme="majorBidi"/>
          <w:i/>
          <w:iCs/>
          <w:sz w:val="24"/>
          <w:szCs w:val="24"/>
        </w:rPr>
        <w:t>.”</w:t>
      </w:r>
    </w:p>
    <w:p w14:paraId="35E6816B" w14:textId="77777777" w:rsidR="00ED492B" w:rsidRDefault="00ED492B" w:rsidP="001E0A90">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t xml:space="preserve">Another respondent mentioned she has trust issues with CSR in general. She mentioned: </w:t>
      </w:r>
    </w:p>
    <w:p w14:paraId="66FFA52F" w14:textId="43F8C907" w:rsidR="00ED492B" w:rsidRPr="006C23B4" w:rsidRDefault="00ED492B" w:rsidP="00ED492B">
      <w:pPr>
        <w:widowControl w:val="0"/>
        <w:spacing w:after="120"/>
        <w:ind w:left="720"/>
        <w:outlineLvl w:val="2"/>
        <w:rPr>
          <w:rFonts w:asciiTheme="majorBidi" w:hAnsiTheme="majorBidi" w:cstheme="majorBidi"/>
          <w:i/>
          <w:iCs/>
          <w:color w:val="2E2E2E"/>
          <w:sz w:val="24"/>
          <w:szCs w:val="24"/>
        </w:rPr>
      </w:pPr>
      <w:r w:rsidRPr="006C23B4">
        <w:rPr>
          <w:rFonts w:asciiTheme="majorBidi" w:hAnsiTheme="majorBidi" w:cstheme="majorBidi"/>
          <w:i/>
          <w:iCs/>
          <w:sz w:val="24"/>
          <w:szCs w:val="24"/>
        </w:rPr>
        <w:t>I have huge trust issues from these campaigns. This is because an incident that happened before from Pepsi or Coca Cola, one of them mentioned that they will not do any ads to support a charity or educational program or something but, someone went on Facebook and uncovered that none of this real. So, the idea is nice and great but, I need a reference to trust this ad related to the government or ministry of health to be able to trust it</w:t>
      </w:r>
      <w:r w:rsidR="001E005B" w:rsidRPr="006C23B4">
        <w:rPr>
          <w:rFonts w:asciiTheme="majorBidi" w:hAnsiTheme="majorBidi" w:cstheme="majorBidi"/>
          <w:i/>
          <w:iCs/>
          <w:sz w:val="24"/>
          <w:szCs w:val="24"/>
        </w:rPr>
        <w:t xml:space="preserve"> (S.H., 2022)</w:t>
      </w:r>
      <w:r w:rsidRPr="006C23B4">
        <w:rPr>
          <w:rFonts w:asciiTheme="majorBidi" w:hAnsiTheme="majorBidi" w:cstheme="majorBidi"/>
          <w:i/>
          <w:iCs/>
          <w:sz w:val="24"/>
          <w:szCs w:val="24"/>
        </w:rPr>
        <w:t>.</w:t>
      </w:r>
    </w:p>
    <w:p w14:paraId="29B7B1CD" w14:textId="3821133D" w:rsidR="006C23B4" w:rsidRDefault="00ED492B" w:rsidP="00ED492B">
      <w:pPr>
        <w:widowControl w:val="0"/>
        <w:spacing w:after="120" w:line="480" w:lineRule="auto"/>
        <w:outlineLvl w:val="2"/>
        <w:rPr>
          <w:rFonts w:asciiTheme="majorBidi" w:hAnsiTheme="majorBidi" w:cstheme="majorBidi"/>
          <w:sz w:val="24"/>
          <w:szCs w:val="24"/>
        </w:rPr>
      </w:pPr>
      <w:r>
        <w:rPr>
          <w:rFonts w:asciiTheme="majorBidi" w:hAnsiTheme="majorBidi" w:cstheme="majorBidi"/>
          <w:color w:val="2E2E2E"/>
          <w:sz w:val="24"/>
          <w:szCs w:val="24"/>
        </w:rPr>
        <w:t xml:space="preserve"> </w:t>
      </w:r>
      <w:r w:rsidRPr="001E005B">
        <w:rPr>
          <w:rFonts w:asciiTheme="majorBidi" w:hAnsiTheme="majorBidi" w:cstheme="majorBidi"/>
          <w:sz w:val="24"/>
          <w:szCs w:val="24"/>
        </w:rPr>
        <w:t xml:space="preserve">Furthermore, she mentioned an interesting comment saying that </w:t>
      </w:r>
    </w:p>
    <w:p w14:paraId="5FB94F25" w14:textId="339D4CBB" w:rsidR="006C23B4" w:rsidRPr="006C23B4" w:rsidRDefault="00ED492B" w:rsidP="006C23B4">
      <w:pPr>
        <w:widowControl w:val="0"/>
        <w:spacing w:line="240" w:lineRule="auto"/>
        <w:ind w:left="720"/>
        <w:outlineLvl w:val="2"/>
        <w:rPr>
          <w:rFonts w:asciiTheme="majorBidi" w:hAnsiTheme="majorBidi" w:cstheme="majorBidi"/>
          <w:i/>
          <w:iCs/>
          <w:color w:val="2E2E2E"/>
          <w:sz w:val="24"/>
          <w:szCs w:val="24"/>
        </w:rPr>
      </w:pPr>
      <w:r w:rsidRPr="006C23B4">
        <w:rPr>
          <w:rFonts w:asciiTheme="majorBidi" w:hAnsiTheme="majorBidi" w:cstheme="majorBidi"/>
          <w:i/>
          <w:iCs/>
          <w:sz w:val="24"/>
          <w:szCs w:val="24"/>
        </w:rPr>
        <w:t>“</w:t>
      </w:r>
      <w:r w:rsidR="006C23B4">
        <w:rPr>
          <w:rFonts w:asciiTheme="majorBidi" w:hAnsiTheme="majorBidi" w:cstheme="majorBidi"/>
          <w:i/>
          <w:iCs/>
          <w:sz w:val="24"/>
          <w:szCs w:val="24"/>
        </w:rPr>
        <w:t>P</w:t>
      </w:r>
      <w:r w:rsidRPr="006C23B4">
        <w:rPr>
          <w:rFonts w:asciiTheme="majorBidi" w:hAnsiTheme="majorBidi" w:cstheme="majorBidi"/>
          <w:i/>
          <w:iCs/>
          <w:sz w:val="24"/>
          <w:szCs w:val="24"/>
        </w:rPr>
        <w:t xml:space="preserve">art of this is for society and part of it is marketing, which is fine by me, </w:t>
      </w:r>
      <w:r w:rsidR="006C23B4" w:rsidRPr="006C23B4">
        <w:rPr>
          <w:rFonts w:asciiTheme="majorBidi" w:hAnsiTheme="majorBidi" w:cstheme="majorBidi"/>
          <w:i/>
          <w:iCs/>
          <w:sz w:val="24"/>
          <w:szCs w:val="24"/>
        </w:rPr>
        <w:t>it’s</w:t>
      </w:r>
      <w:r w:rsidRPr="006C23B4">
        <w:rPr>
          <w:rFonts w:asciiTheme="majorBidi" w:hAnsiTheme="majorBidi" w:cstheme="majorBidi"/>
          <w:i/>
          <w:iCs/>
          <w:sz w:val="24"/>
          <w:szCs w:val="24"/>
        </w:rPr>
        <w:t xml:space="preserve"> their right</w:t>
      </w:r>
      <w:r w:rsidR="001E005B" w:rsidRPr="006C23B4">
        <w:rPr>
          <w:rFonts w:asciiTheme="majorBidi" w:hAnsiTheme="majorBidi" w:cstheme="majorBidi"/>
          <w:i/>
          <w:iCs/>
          <w:sz w:val="24"/>
          <w:szCs w:val="24"/>
        </w:rPr>
        <w:t xml:space="preserve"> (B.M., 2022).</w:t>
      </w:r>
      <w:r w:rsidRPr="006C23B4">
        <w:rPr>
          <w:rFonts w:asciiTheme="majorBidi" w:hAnsiTheme="majorBidi" w:cstheme="majorBidi"/>
          <w:i/>
          <w:iCs/>
          <w:color w:val="2E2E2E"/>
          <w:sz w:val="24"/>
          <w:szCs w:val="24"/>
        </w:rPr>
        <w:t>”</w:t>
      </w:r>
    </w:p>
    <w:p w14:paraId="7870E891" w14:textId="072CE0D0" w:rsidR="00ED492B" w:rsidRPr="00B62CE5" w:rsidRDefault="00ED492B" w:rsidP="006C23B4">
      <w:pPr>
        <w:widowControl w:val="0"/>
        <w:spacing w:after="120" w:line="480" w:lineRule="auto"/>
        <w:ind w:firstLine="720"/>
        <w:outlineLvl w:val="2"/>
        <w:rPr>
          <w:rFonts w:asciiTheme="majorBidi" w:hAnsiTheme="majorBidi" w:cstheme="majorBidi"/>
          <w:color w:val="2E2E2E"/>
          <w:sz w:val="24"/>
          <w:szCs w:val="24"/>
        </w:rPr>
      </w:pPr>
      <w:r>
        <w:rPr>
          <w:rFonts w:asciiTheme="majorBidi" w:hAnsiTheme="majorBidi" w:cstheme="majorBidi"/>
          <w:color w:val="2E2E2E"/>
          <w:sz w:val="24"/>
          <w:szCs w:val="24"/>
        </w:rPr>
        <w:t xml:space="preserve"> This indicates that in few cases, consumers might be aware that CSR can be a marketing strategy and they might accept this idea if the campaign provides real value to society. The following sections discuss themes that emerged from the data that are more related to the brand attitudes examined in this research. </w:t>
      </w:r>
    </w:p>
    <w:p w14:paraId="1E97037B" w14:textId="1E636233"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.4 </w:t>
      </w:r>
      <w:r w:rsidRPr="00974587">
        <w:rPr>
          <w:rFonts w:asciiTheme="majorBidi" w:hAnsiTheme="majorBidi" w:cstheme="majorBidi"/>
          <w:b/>
          <w:bCs/>
          <w:color w:val="2E2E2E"/>
          <w:sz w:val="24"/>
          <w:szCs w:val="24"/>
        </w:rPr>
        <w:t>Ad likeability</w:t>
      </w:r>
    </w:p>
    <w:p w14:paraId="3213A852" w14:textId="74DDC8D6" w:rsidR="00BE0107" w:rsidRPr="009F7C41" w:rsidRDefault="00ED492B" w:rsidP="009F7C41">
      <w:pPr>
        <w:widowControl w:val="0"/>
        <w:spacing w:after="120" w:line="480" w:lineRule="auto"/>
        <w:outlineLvl w:val="2"/>
        <w:rPr>
          <w:rFonts w:asciiTheme="majorBidi" w:hAnsiTheme="majorBidi" w:cstheme="majorBidi"/>
          <w:color w:val="2E2E2E"/>
          <w:sz w:val="24"/>
          <w:szCs w:val="24"/>
        </w:rPr>
      </w:pPr>
      <w:r w:rsidRPr="008521AD">
        <w:rPr>
          <w:rFonts w:asciiTheme="majorBidi" w:hAnsiTheme="majorBidi" w:cstheme="majorBidi"/>
          <w:color w:val="2E2E2E"/>
          <w:sz w:val="24"/>
          <w:szCs w:val="24"/>
        </w:rPr>
        <w:tab/>
      </w:r>
      <w:r w:rsidRPr="00903CAA">
        <w:rPr>
          <w:rFonts w:asciiTheme="majorBidi" w:hAnsiTheme="majorBidi" w:cstheme="majorBidi"/>
          <w:color w:val="2E2E2E"/>
          <w:sz w:val="24"/>
          <w:szCs w:val="24"/>
        </w:rPr>
        <w:t xml:space="preserve">This section describes </w:t>
      </w:r>
      <w:r w:rsidR="00C4373A">
        <w:rPr>
          <w:rFonts w:asciiTheme="majorBidi" w:hAnsiTheme="majorBidi" w:cstheme="majorBidi"/>
          <w:color w:val="2E2E2E"/>
          <w:sz w:val="24"/>
          <w:szCs w:val="24"/>
        </w:rPr>
        <w:t>the interviewees’</w:t>
      </w:r>
      <w:r w:rsidRPr="00903CAA">
        <w:rPr>
          <w:rFonts w:asciiTheme="majorBidi" w:hAnsiTheme="majorBidi" w:cstheme="majorBidi"/>
          <w:color w:val="2E2E2E"/>
          <w:sz w:val="24"/>
          <w:szCs w:val="24"/>
        </w:rPr>
        <w:t xml:space="preserve"> perceptions and likability towards both CSR and non-CSR ads. </w:t>
      </w:r>
      <w:bookmarkStart w:id="198" w:name="_Hlk149851068"/>
      <w:r w:rsidRPr="00903CAA">
        <w:rPr>
          <w:rFonts w:asciiTheme="majorBidi" w:hAnsiTheme="majorBidi" w:cstheme="majorBidi"/>
          <w:color w:val="2E2E2E"/>
          <w:sz w:val="24"/>
          <w:szCs w:val="24"/>
        </w:rPr>
        <w:t xml:space="preserve">This section particularly examines the reasons of why </w:t>
      </w:r>
      <w:r w:rsidR="00C4373A">
        <w:rPr>
          <w:rFonts w:asciiTheme="majorBidi" w:hAnsiTheme="majorBidi" w:cstheme="majorBidi"/>
          <w:color w:val="2E2E2E"/>
          <w:sz w:val="24"/>
          <w:szCs w:val="24"/>
        </w:rPr>
        <w:t>interviewees</w:t>
      </w:r>
      <w:r w:rsidRPr="00903CAA">
        <w:rPr>
          <w:rFonts w:asciiTheme="majorBidi" w:hAnsiTheme="majorBidi" w:cstheme="majorBidi"/>
          <w:color w:val="2E2E2E"/>
          <w:sz w:val="24"/>
          <w:szCs w:val="24"/>
        </w:rPr>
        <w:t xml:space="preserve"> liked or disliked the CSR and non-CSR ad stimuli</w:t>
      </w:r>
      <w:bookmarkEnd w:id="198"/>
      <w:r w:rsidRPr="00903CAA">
        <w:rPr>
          <w:rFonts w:asciiTheme="majorBidi" w:hAnsiTheme="majorBidi" w:cstheme="majorBidi"/>
          <w:color w:val="2E2E2E"/>
          <w:sz w:val="24"/>
          <w:szCs w:val="24"/>
        </w:rPr>
        <w:t xml:space="preserve">. This theme emerged based on the respondents’ answers about a question on their views of the CSR ad and the non-CSR ad mirroring the “ad likeability” variable that was measured in the quantitative study. Thus, this theme has three subthemes: </w:t>
      </w:r>
      <w:r w:rsidR="001E005B">
        <w:rPr>
          <w:rFonts w:asciiTheme="majorBidi" w:hAnsiTheme="majorBidi" w:cstheme="majorBidi"/>
          <w:color w:val="2E2E2E"/>
          <w:sz w:val="24"/>
          <w:szCs w:val="24"/>
        </w:rPr>
        <w:t>a</w:t>
      </w:r>
      <w:r w:rsidRPr="00903CAA">
        <w:rPr>
          <w:rFonts w:asciiTheme="majorBidi" w:hAnsiTheme="majorBidi" w:cstheme="majorBidi"/>
          <w:color w:val="2E2E2E"/>
          <w:sz w:val="24"/>
          <w:szCs w:val="24"/>
        </w:rPr>
        <w:t xml:space="preserve">d </w:t>
      </w:r>
      <w:r w:rsidR="009F7C41">
        <w:rPr>
          <w:rFonts w:asciiTheme="majorBidi" w:hAnsiTheme="majorBidi" w:cstheme="majorBidi"/>
          <w:color w:val="2E2E2E"/>
          <w:sz w:val="24"/>
          <w:szCs w:val="24"/>
        </w:rPr>
        <w:t>l</w:t>
      </w:r>
      <w:r w:rsidRPr="00903CAA">
        <w:rPr>
          <w:rFonts w:asciiTheme="majorBidi" w:hAnsiTheme="majorBidi" w:cstheme="majorBidi"/>
          <w:color w:val="2E2E2E"/>
          <w:sz w:val="24"/>
          <w:szCs w:val="24"/>
        </w:rPr>
        <w:t xml:space="preserve">ikeability of CSR, </w:t>
      </w:r>
      <w:r w:rsidR="001E005B">
        <w:rPr>
          <w:rFonts w:asciiTheme="majorBidi" w:hAnsiTheme="majorBidi" w:cstheme="majorBidi"/>
          <w:color w:val="2E2E2E"/>
          <w:sz w:val="24"/>
          <w:szCs w:val="24"/>
        </w:rPr>
        <w:t>a</w:t>
      </w:r>
      <w:r w:rsidRPr="00903CAA">
        <w:rPr>
          <w:rFonts w:asciiTheme="majorBidi" w:hAnsiTheme="majorBidi" w:cstheme="majorBidi"/>
          <w:color w:val="2E2E2E"/>
          <w:sz w:val="24"/>
          <w:szCs w:val="24"/>
        </w:rPr>
        <w:t xml:space="preserve">d likeability of non-CSR, and </w:t>
      </w:r>
      <w:r w:rsidR="001E005B">
        <w:rPr>
          <w:rFonts w:asciiTheme="majorBidi" w:hAnsiTheme="majorBidi" w:cstheme="majorBidi"/>
          <w:color w:val="2E2E2E"/>
          <w:sz w:val="24"/>
          <w:szCs w:val="24"/>
        </w:rPr>
        <w:t>a</w:t>
      </w:r>
      <w:r w:rsidRPr="00903CAA">
        <w:rPr>
          <w:rFonts w:asciiTheme="majorBidi" w:hAnsiTheme="majorBidi" w:cstheme="majorBidi"/>
          <w:color w:val="2E2E2E"/>
          <w:sz w:val="24"/>
          <w:szCs w:val="24"/>
        </w:rPr>
        <w:t xml:space="preserve">d likeability on </w:t>
      </w:r>
      <w:r w:rsidR="001E005B">
        <w:rPr>
          <w:rFonts w:asciiTheme="majorBidi" w:hAnsiTheme="majorBidi" w:cstheme="majorBidi"/>
          <w:color w:val="2E2E2E"/>
          <w:sz w:val="24"/>
          <w:szCs w:val="24"/>
        </w:rPr>
        <w:t>s</w:t>
      </w:r>
      <w:r w:rsidRPr="00903CAA">
        <w:rPr>
          <w:rFonts w:asciiTheme="majorBidi" w:hAnsiTheme="majorBidi" w:cstheme="majorBidi"/>
          <w:color w:val="2E2E2E"/>
          <w:sz w:val="24"/>
          <w:szCs w:val="24"/>
        </w:rPr>
        <w:t>ocial media.</w:t>
      </w:r>
    </w:p>
    <w:p w14:paraId="549B1B87" w14:textId="496490CB" w:rsidR="00ED492B" w:rsidRPr="00AC435A"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.4.1 </w:t>
      </w:r>
      <w:r w:rsidRPr="00AC435A">
        <w:rPr>
          <w:rFonts w:asciiTheme="majorBidi" w:hAnsiTheme="majorBidi" w:cstheme="majorBidi"/>
          <w:b/>
          <w:bCs/>
          <w:color w:val="2E2E2E"/>
          <w:sz w:val="24"/>
          <w:szCs w:val="24"/>
        </w:rPr>
        <w:t xml:space="preserve">Ad Likeability CSR ad </w:t>
      </w:r>
    </w:p>
    <w:p w14:paraId="5D7BFD82" w14:textId="50B9DAAF" w:rsidR="00ED492B" w:rsidRPr="00C6448A" w:rsidRDefault="00ED492B" w:rsidP="00ED492B">
      <w:pPr>
        <w:widowControl w:val="0"/>
        <w:spacing w:after="120" w:line="480" w:lineRule="auto"/>
        <w:outlineLvl w:val="2"/>
        <w:rPr>
          <w:rFonts w:asciiTheme="majorBidi" w:hAnsiTheme="majorBidi" w:cstheme="majorBidi"/>
          <w:color w:val="2E2E2E"/>
          <w:sz w:val="24"/>
          <w:szCs w:val="24"/>
        </w:rPr>
      </w:pPr>
      <w:r w:rsidRPr="00C6448A">
        <w:rPr>
          <w:rFonts w:asciiTheme="majorBidi" w:hAnsiTheme="majorBidi" w:cstheme="majorBidi"/>
          <w:color w:val="2E2E2E"/>
          <w:sz w:val="24"/>
          <w:szCs w:val="24"/>
        </w:rPr>
        <w:tab/>
      </w:r>
      <w:bookmarkStart w:id="199" w:name="_Hlk149851099"/>
      <w:r w:rsidRPr="00C6448A">
        <w:rPr>
          <w:rFonts w:asciiTheme="majorBidi" w:hAnsiTheme="majorBidi" w:cstheme="majorBidi"/>
          <w:color w:val="2E2E2E"/>
          <w:sz w:val="24"/>
          <w:szCs w:val="24"/>
        </w:rPr>
        <w:t xml:space="preserve">While </w:t>
      </w:r>
      <w:r>
        <w:rPr>
          <w:rFonts w:asciiTheme="majorBidi" w:hAnsiTheme="majorBidi" w:cstheme="majorBidi"/>
          <w:color w:val="2E2E2E"/>
          <w:sz w:val="24"/>
          <w:szCs w:val="24"/>
        </w:rPr>
        <w:t>the interviewed consumers</w:t>
      </w:r>
      <w:r w:rsidRPr="00C6448A">
        <w:rPr>
          <w:rFonts w:asciiTheme="majorBidi" w:hAnsiTheme="majorBidi" w:cstheme="majorBidi"/>
          <w:color w:val="2E2E2E"/>
          <w:sz w:val="24"/>
          <w:szCs w:val="24"/>
        </w:rPr>
        <w:t xml:space="preserve"> used different terminologies to describe their “likeability” of the ad, it is evident in the data that almost all expressed that they “</w:t>
      </w:r>
      <w:r w:rsidRPr="006C23B4">
        <w:rPr>
          <w:rFonts w:asciiTheme="majorBidi" w:hAnsiTheme="majorBidi" w:cstheme="majorBidi"/>
          <w:i/>
          <w:iCs/>
          <w:color w:val="2E2E2E"/>
          <w:sz w:val="24"/>
          <w:szCs w:val="24"/>
        </w:rPr>
        <w:t>liked</w:t>
      </w:r>
      <w:r w:rsidRPr="00C6448A">
        <w:rPr>
          <w:rFonts w:asciiTheme="majorBidi" w:hAnsiTheme="majorBidi" w:cstheme="majorBidi"/>
          <w:color w:val="2E2E2E"/>
          <w:sz w:val="24"/>
          <w:szCs w:val="24"/>
        </w:rPr>
        <w:t xml:space="preserve">” the CSR ad. </w:t>
      </w:r>
      <w:bookmarkEnd w:id="199"/>
      <w:r w:rsidRPr="00C6448A">
        <w:rPr>
          <w:rFonts w:asciiTheme="majorBidi" w:hAnsiTheme="majorBidi" w:cstheme="majorBidi"/>
          <w:color w:val="2E2E2E"/>
          <w:sz w:val="24"/>
          <w:szCs w:val="24"/>
        </w:rPr>
        <w:t>This was expressed using different words and phrases such as “</w:t>
      </w:r>
      <w:r w:rsidRPr="006C23B4">
        <w:rPr>
          <w:rFonts w:asciiTheme="majorBidi" w:hAnsiTheme="majorBidi" w:cstheme="majorBidi"/>
          <w:i/>
          <w:iCs/>
          <w:color w:val="2E2E2E"/>
          <w:sz w:val="24"/>
          <w:szCs w:val="24"/>
        </w:rPr>
        <w:t>beautiful ad</w:t>
      </w:r>
      <w:r w:rsidRPr="00C6448A">
        <w:rPr>
          <w:rFonts w:asciiTheme="majorBidi" w:hAnsiTheme="majorBidi" w:cstheme="majorBidi"/>
          <w:color w:val="2E2E2E"/>
          <w:sz w:val="24"/>
          <w:szCs w:val="24"/>
        </w:rPr>
        <w:t>,” “</w:t>
      </w:r>
      <w:r w:rsidRPr="006C23B4">
        <w:rPr>
          <w:rFonts w:asciiTheme="majorBidi" w:hAnsiTheme="majorBidi" w:cstheme="majorBidi"/>
          <w:i/>
          <w:iCs/>
          <w:color w:val="2E2E2E"/>
          <w:sz w:val="24"/>
          <w:szCs w:val="24"/>
        </w:rPr>
        <w:t>respect</w:t>
      </w:r>
      <w:r w:rsidRPr="00C6448A">
        <w:rPr>
          <w:rFonts w:asciiTheme="majorBidi" w:hAnsiTheme="majorBidi" w:cstheme="majorBidi"/>
          <w:color w:val="2E2E2E"/>
          <w:sz w:val="24"/>
          <w:szCs w:val="24"/>
        </w:rPr>
        <w:t>,” “</w:t>
      </w:r>
      <w:r w:rsidRPr="006C23B4">
        <w:rPr>
          <w:rFonts w:asciiTheme="majorBidi" w:hAnsiTheme="majorBidi" w:cstheme="majorBidi"/>
          <w:i/>
          <w:iCs/>
          <w:color w:val="2E2E2E"/>
          <w:sz w:val="24"/>
          <w:szCs w:val="24"/>
        </w:rPr>
        <w:t>good one</w:t>
      </w:r>
      <w:r w:rsidRPr="00C6448A">
        <w:rPr>
          <w:rFonts w:asciiTheme="majorBidi" w:hAnsiTheme="majorBidi" w:cstheme="majorBidi"/>
          <w:color w:val="2E2E2E"/>
          <w:sz w:val="24"/>
          <w:szCs w:val="24"/>
        </w:rPr>
        <w:t>” and “</w:t>
      </w:r>
      <w:r w:rsidRPr="006C23B4">
        <w:rPr>
          <w:rFonts w:asciiTheme="majorBidi" w:hAnsiTheme="majorBidi" w:cstheme="majorBidi"/>
          <w:i/>
          <w:iCs/>
          <w:color w:val="2E2E2E"/>
          <w:sz w:val="24"/>
          <w:szCs w:val="24"/>
        </w:rPr>
        <w:t>very nice</w:t>
      </w:r>
      <w:r w:rsidRPr="00C6448A">
        <w:rPr>
          <w:rFonts w:asciiTheme="majorBidi" w:hAnsiTheme="majorBidi" w:cstheme="majorBidi"/>
          <w:color w:val="2E2E2E"/>
          <w:sz w:val="24"/>
          <w:szCs w:val="24"/>
        </w:rPr>
        <w:t xml:space="preserve">.” A few </w:t>
      </w:r>
      <w:r>
        <w:rPr>
          <w:rFonts w:asciiTheme="majorBidi" w:hAnsiTheme="majorBidi" w:cstheme="majorBidi"/>
          <w:color w:val="2E2E2E"/>
          <w:sz w:val="24"/>
          <w:szCs w:val="24"/>
        </w:rPr>
        <w:t>subjects</w:t>
      </w:r>
      <w:r w:rsidRPr="00C6448A">
        <w:rPr>
          <w:rFonts w:asciiTheme="majorBidi" w:hAnsiTheme="majorBidi" w:cstheme="majorBidi"/>
          <w:color w:val="2E2E2E"/>
          <w:sz w:val="24"/>
          <w:szCs w:val="24"/>
        </w:rPr>
        <w:t xml:space="preserve"> responded on likeability using words that described emotions which will be discussed in the emotional brand attachment section. </w:t>
      </w:r>
      <w:r>
        <w:rPr>
          <w:rFonts w:asciiTheme="majorBidi" w:hAnsiTheme="majorBidi" w:cstheme="majorBidi"/>
          <w:color w:val="2E2E2E"/>
          <w:sz w:val="24"/>
          <w:szCs w:val="24"/>
        </w:rPr>
        <w:t>Participants’</w:t>
      </w:r>
      <w:r w:rsidRPr="00C6448A">
        <w:rPr>
          <w:rFonts w:asciiTheme="majorBidi" w:hAnsiTheme="majorBidi" w:cstheme="majorBidi"/>
          <w:color w:val="2E2E2E"/>
          <w:sz w:val="24"/>
          <w:szCs w:val="24"/>
        </w:rPr>
        <w:t xml:space="preserve"> justification for liking the ad was centred </w:t>
      </w:r>
      <w:r w:rsidR="009453DF">
        <w:rPr>
          <w:rFonts w:asciiTheme="majorBidi" w:hAnsiTheme="majorBidi" w:cstheme="majorBidi"/>
          <w:color w:val="2E2E2E"/>
          <w:sz w:val="24"/>
          <w:szCs w:val="24"/>
        </w:rPr>
        <w:t>on</w:t>
      </w:r>
      <w:r w:rsidRPr="00C6448A">
        <w:rPr>
          <w:rFonts w:asciiTheme="majorBidi" w:hAnsiTheme="majorBidi" w:cstheme="majorBidi"/>
          <w:color w:val="2E2E2E"/>
          <w:sz w:val="24"/>
          <w:szCs w:val="24"/>
        </w:rPr>
        <w:t xml:space="preserve"> three main reasons. </w:t>
      </w:r>
      <w:bookmarkStart w:id="200" w:name="_Hlk149851137"/>
      <w:r w:rsidRPr="00C6448A">
        <w:rPr>
          <w:rFonts w:asciiTheme="majorBidi" w:hAnsiTheme="majorBidi" w:cstheme="majorBidi"/>
          <w:color w:val="2E2E2E"/>
          <w:sz w:val="24"/>
          <w:szCs w:val="24"/>
        </w:rPr>
        <w:t xml:space="preserve">The first commonly emerged reason was that respondents believed that the company is doing a positive initiative for society. </w:t>
      </w:r>
      <w:bookmarkEnd w:id="200"/>
      <w:r w:rsidRPr="00C6448A">
        <w:rPr>
          <w:rFonts w:asciiTheme="majorBidi" w:hAnsiTheme="majorBidi" w:cstheme="majorBidi"/>
          <w:color w:val="2E2E2E"/>
          <w:sz w:val="24"/>
          <w:szCs w:val="24"/>
        </w:rPr>
        <w:t>For example</w:t>
      </w:r>
      <w:r>
        <w:rPr>
          <w:rFonts w:asciiTheme="majorBidi" w:hAnsiTheme="majorBidi" w:cstheme="majorBidi"/>
          <w:color w:val="2E2E2E"/>
          <w:sz w:val="24"/>
          <w:szCs w:val="24"/>
        </w:rPr>
        <w:t xml:space="preserve">, </w:t>
      </w:r>
      <w:r w:rsidRPr="00C6448A">
        <w:rPr>
          <w:rFonts w:asciiTheme="majorBidi" w:hAnsiTheme="majorBidi" w:cstheme="majorBidi"/>
          <w:color w:val="2E2E2E"/>
          <w:sz w:val="24"/>
          <w:szCs w:val="24"/>
        </w:rPr>
        <w:t xml:space="preserve">one respondent made the below comments: </w:t>
      </w:r>
    </w:p>
    <w:p w14:paraId="78B93A8A" w14:textId="7C8FFF95" w:rsidR="00ED492B" w:rsidRPr="006C23B4" w:rsidRDefault="00ED492B" w:rsidP="00ED492B">
      <w:pPr>
        <w:widowControl w:val="0"/>
        <w:spacing w:after="120"/>
        <w:ind w:left="720"/>
        <w:outlineLvl w:val="2"/>
        <w:rPr>
          <w:rFonts w:asciiTheme="majorBidi" w:hAnsiTheme="majorBidi" w:cstheme="majorBidi"/>
          <w:i/>
          <w:iCs/>
          <w:sz w:val="24"/>
          <w:szCs w:val="24"/>
        </w:rPr>
      </w:pPr>
      <w:r w:rsidRPr="006C23B4">
        <w:rPr>
          <w:rFonts w:asciiTheme="majorBidi" w:hAnsiTheme="majorBidi" w:cstheme="majorBidi"/>
          <w:i/>
          <w:iCs/>
          <w:sz w:val="24"/>
          <w:szCs w:val="24"/>
        </w:rPr>
        <w:t>Good one, I really like the companies that has high social responsibility and they do make not profit to be their main objectives. I like that they pay back by doing something different. They have values and they act accordingly</w:t>
      </w:r>
      <w:r w:rsidR="001E005B" w:rsidRPr="006C23B4">
        <w:rPr>
          <w:rFonts w:asciiTheme="majorBidi" w:hAnsiTheme="majorBidi" w:cstheme="majorBidi"/>
          <w:i/>
          <w:iCs/>
          <w:sz w:val="24"/>
          <w:szCs w:val="24"/>
        </w:rPr>
        <w:t xml:space="preserve"> (S.A., 2022)</w:t>
      </w:r>
      <w:r w:rsidRPr="006C23B4">
        <w:rPr>
          <w:rFonts w:asciiTheme="majorBidi" w:hAnsiTheme="majorBidi" w:cstheme="majorBidi"/>
          <w:i/>
          <w:iCs/>
          <w:sz w:val="24"/>
          <w:szCs w:val="24"/>
        </w:rPr>
        <w:t>.</w:t>
      </w:r>
    </w:p>
    <w:p w14:paraId="0E92D2BD" w14:textId="1297131A" w:rsidR="006C23B4" w:rsidRDefault="00ED492B" w:rsidP="006C23B4">
      <w:pPr>
        <w:widowControl w:val="0"/>
        <w:spacing w:after="0" w:line="480" w:lineRule="auto"/>
        <w:ind w:firstLine="720"/>
        <w:outlineLvl w:val="2"/>
        <w:rPr>
          <w:rFonts w:asciiTheme="majorBidi" w:hAnsiTheme="majorBidi" w:cstheme="majorBidi"/>
          <w:i/>
          <w:iCs/>
          <w:sz w:val="24"/>
          <w:szCs w:val="24"/>
        </w:rPr>
      </w:pPr>
      <w:bookmarkStart w:id="201" w:name="_Hlk149851180"/>
      <w:r w:rsidRPr="001E005B">
        <w:rPr>
          <w:rFonts w:asciiTheme="majorBidi" w:hAnsiTheme="majorBidi" w:cstheme="majorBidi"/>
          <w:sz w:val="24"/>
          <w:szCs w:val="24"/>
        </w:rPr>
        <w:t xml:space="preserve">The second reason that participants claimed behind liking the ad was that it’s a </w:t>
      </w:r>
      <w:r w:rsidRPr="007D5C15">
        <w:rPr>
          <w:rFonts w:asciiTheme="majorBidi" w:hAnsiTheme="majorBidi" w:cstheme="majorBidi"/>
          <w:sz w:val="24"/>
          <w:szCs w:val="24"/>
        </w:rPr>
        <w:t>“</w:t>
      </w:r>
      <w:r w:rsidRPr="006C23B4">
        <w:rPr>
          <w:rFonts w:asciiTheme="majorBidi" w:hAnsiTheme="majorBidi" w:cstheme="majorBidi"/>
          <w:i/>
          <w:iCs/>
          <w:sz w:val="24"/>
          <w:szCs w:val="24"/>
        </w:rPr>
        <w:t>new</w:t>
      </w:r>
      <w:r w:rsidRPr="007D5C15">
        <w:rPr>
          <w:rFonts w:asciiTheme="majorBidi" w:hAnsiTheme="majorBidi" w:cstheme="majorBidi"/>
          <w:sz w:val="24"/>
          <w:szCs w:val="24"/>
        </w:rPr>
        <w:t>” idea and “</w:t>
      </w:r>
      <w:r w:rsidRPr="006C23B4">
        <w:rPr>
          <w:rFonts w:asciiTheme="majorBidi" w:hAnsiTheme="majorBidi" w:cstheme="majorBidi"/>
          <w:i/>
          <w:iCs/>
          <w:sz w:val="24"/>
          <w:szCs w:val="24"/>
        </w:rPr>
        <w:t>not regular.</w:t>
      </w:r>
      <w:r w:rsidRPr="007D5C15">
        <w:rPr>
          <w:rFonts w:asciiTheme="majorBidi" w:hAnsiTheme="majorBidi" w:cstheme="majorBidi"/>
          <w:sz w:val="24"/>
          <w:szCs w:val="24"/>
        </w:rPr>
        <w:t>” This is revealed in these comments by two participants:</w:t>
      </w:r>
      <w:r w:rsidRPr="007D5C15">
        <w:rPr>
          <w:rFonts w:asciiTheme="majorBidi" w:hAnsiTheme="majorBidi" w:cstheme="majorBidi"/>
          <w:i/>
          <w:iCs/>
          <w:sz w:val="24"/>
          <w:szCs w:val="24"/>
        </w:rPr>
        <w:t xml:space="preserve"> </w:t>
      </w:r>
    </w:p>
    <w:p w14:paraId="2B1D098B" w14:textId="77777777" w:rsidR="006C23B4" w:rsidRPr="006C23B4" w:rsidRDefault="00ED492B" w:rsidP="006C23B4">
      <w:pPr>
        <w:widowControl w:val="0"/>
        <w:spacing w:line="240" w:lineRule="auto"/>
        <w:ind w:left="720"/>
        <w:outlineLvl w:val="2"/>
        <w:rPr>
          <w:rFonts w:asciiTheme="majorBidi" w:hAnsiTheme="majorBidi" w:cstheme="majorBidi"/>
          <w:i/>
          <w:iCs/>
          <w:sz w:val="24"/>
          <w:szCs w:val="24"/>
        </w:rPr>
      </w:pPr>
      <w:r w:rsidRPr="006C23B4">
        <w:rPr>
          <w:rFonts w:asciiTheme="majorBidi" w:hAnsiTheme="majorBidi" w:cstheme="majorBidi"/>
          <w:i/>
          <w:iCs/>
          <w:sz w:val="24"/>
          <w:szCs w:val="24"/>
        </w:rPr>
        <w:t>“it’s a good idea that they redirect the amount of the money to do things that benefits people. It is still an ad but, it’s a different type of ad</w:t>
      </w:r>
      <w:r w:rsidR="001E005B" w:rsidRPr="006C23B4">
        <w:rPr>
          <w:rFonts w:asciiTheme="majorBidi" w:hAnsiTheme="majorBidi" w:cstheme="majorBidi"/>
          <w:i/>
          <w:iCs/>
          <w:sz w:val="24"/>
          <w:szCs w:val="24"/>
        </w:rPr>
        <w:t xml:space="preserve"> (K.R., 2022)</w:t>
      </w:r>
      <w:r w:rsidRPr="006C23B4">
        <w:rPr>
          <w:rFonts w:asciiTheme="majorBidi" w:hAnsiTheme="majorBidi" w:cstheme="majorBidi"/>
          <w:i/>
          <w:iCs/>
          <w:sz w:val="24"/>
          <w:szCs w:val="24"/>
        </w:rPr>
        <w:t xml:space="preserve">” </w:t>
      </w:r>
    </w:p>
    <w:p w14:paraId="7507C9EC" w14:textId="604F9C13" w:rsidR="00ED492B" w:rsidRPr="006C23B4" w:rsidRDefault="00ED492B" w:rsidP="006C23B4">
      <w:pPr>
        <w:widowControl w:val="0"/>
        <w:spacing w:line="240" w:lineRule="auto"/>
        <w:ind w:left="720"/>
        <w:outlineLvl w:val="2"/>
        <w:rPr>
          <w:rFonts w:asciiTheme="majorBidi" w:hAnsiTheme="majorBidi" w:cstheme="majorBidi"/>
          <w:i/>
          <w:iCs/>
          <w:sz w:val="24"/>
          <w:szCs w:val="24"/>
        </w:rPr>
      </w:pPr>
      <w:r w:rsidRPr="006C23B4">
        <w:rPr>
          <w:rFonts w:asciiTheme="majorBidi" w:hAnsiTheme="majorBidi" w:cstheme="majorBidi"/>
          <w:i/>
          <w:iCs/>
          <w:sz w:val="24"/>
          <w:szCs w:val="24"/>
        </w:rPr>
        <w:t>“</w:t>
      </w:r>
      <w:r w:rsidR="006C23B4">
        <w:rPr>
          <w:rFonts w:asciiTheme="majorBidi" w:hAnsiTheme="majorBidi" w:cstheme="majorBidi"/>
          <w:i/>
          <w:iCs/>
          <w:sz w:val="24"/>
          <w:szCs w:val="24"/>
        </w:rPr>
        <w:t>L</w:t>
      </w:r>
      <w:r w:rsidRPr="006C23B4">
        <w:rPr>
          <w:rFonts w:asciiTheme="majorBidi" w:hAnsiTheme="majorBidi" w:cstheme="majorBidi"/>
          <w:i/>
          <w:iCs/>
          <w:sz w:val="24"/>
          <w:szCs w:val="24"/>
        </w:rPr>
        <w:t>ovely ad, I like that it is not a traditional commercial ad. It shows that the brand did something huge for the community</w:t>
      </w:r>
      <w:r w:rsidR="001E005B" w:rsidRPr="006C23B4">
        <w:rPr>
          <w:rFonts w:asciiTheme="majorBidi" w:hAnsiTheme="majorBidi" w:cstheme="majorBidi"/>
          <w:i/>
          <w:iCs/>
          <w:sz w:val="24"/>
          <w:szCs w:val="24"/>
        </w:rPr>
        <w:t xml:space="preserve"> (N.O., 2022)</w:t>
      </w:r>
      <w:r w:rsidRPr="006C23B4">
        <w:rPr>
          <w:rFonts w:asciiTheme="majorBidi" w:hAnsiTheme="majorBidi" w:cstheme="majorBidi"/>
          <w:i/>
          <w:iCs/>
          <w:sz w:val="24"/>
          <w:szCs w:val="24"/>
        </w:rPr>
        <w:t>.”</w:t>
      </w:r>
    </w:p>
    <w:p w14:paraId="2905E3DB" w14:textId="77777777" w:rsidR="006C23B4" w:rsidRDefault="00ED492B" w:rsidP="00ED492B">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t xml:space="preserve">The third reason that respondents gave slightly reflected on their </w:t>
      </w:r>
      <w:r w:rsidRPr="007D5C15">
        <w:rPr>
          <w:rFonts w:asciiTheme="majorBidi" w:hAnsiTheme="majorBidi" w:cstheme="majorBidi"/>
          <w:color w:val="2E2E2E"/>
          <w:sz w:val="24"/>
          <w:szCs w:val="24"/>
        </w:rPr>
        <w:t>personal values</w:t>
      </w:r>
      <w:r>
        <w:rPr>
          <w:rFonts w:asciiTheme="majorBidi" w:hAnsiTheme="majorBidi" w:cstheme="majorBidi"/>
          <w:color w:val="2E2E2E"/>
          <w:sz w:val="24"/>
          <w:szCs w:val="24"/>
        </w:rPr>
        <w:t>. Three respondents made comments using phrases like “</w:t>
      </w:r>
      <w:r w:rsidRPr="006C23B4">
        <w:rPr>
          <w:rFonts w:asciiTheme="majorBidi" w:hAnsiTheme="majorBidi" w:cstheme="majorBidi"/>
          <w:i/>
          <w:iCs/>
          <w:color w:val="2E2E2E"/>
          <w:sz w:val="24"/>
          <w:szCs w:val="24"/>
        </w:rPr>
        <w:t>it speaks to me</w:t>
      </w:r>
      <w:r>
        <w:rPr>
          <w:rFonts w:asciiTheme="majorBidi" w:hAnsiTheme="majorBidi" w:cstheme="majorBidi"/>
          <w:color w:val="2E2E2E"/>
          <w:sz w:val="24"/>
          <w:szCs w:val="24"/>
        </w:rPr>
        <w:t>.” Another respondent mentioned that</w:t>
      </w:r>
    </w:p>
    <w:p w14:paraId="35D43E2E" w14:textId="77777777" w:rsidR="006C23B4" w:rsidRPr="006C23B4" w:rsidRDefault="00ED492B" w:rsidP="006C23B4">
      <w:pPr>
        <w:widowControl w:val="0"/>
        <w:spacing w:line="240" w:lineRule="auto"/>
        <w:ind w:left="720"/>
        <w:outlineLvl w:val="2"/>
        <w:rPr>
          <w:rFonts w:asciiTheme="majorBidi" w:hAnsiTheme="majorBidi" w:cstheme="majorBidi"/>
          <w:i/>
          <w:iCs/>
          <w:sz w:val="24"/>
          <w:szCs w:val="24"/>
        </w:rPr>
      </w:pPr>
      <w:r w:rsidRPr="006C23B4">
        <w:rPr>
          <w:rFonts w:asciiTheme="majorBidi" w:hAnsiTheme="majorBidi" w:cstheme="majorBidi"/>
          <w:i/>
          <w:iCs/>
          <w:color w:val="2E2E2E"/>
          <w:sz w:val="24"/>
          <w:szCs w:val="24"/>
        </w:rPr>
        <w:t>“</w:t>
      </w:r>
      <w:r w:rsidRPr="006C23B4">
        <w:rPr>
          <w:rFonts w:asciiTheme="majorBidi" w:hAnsiTheme="majorBidi" w:cstheme="majorBidi"/>
          <w:i/>
          <w:iCs/>
          <w:sz w:val="24"/>
          <w:szCs w:val="24"/>
        </w:rPr>
        <w:t>I have some information that Asyut is</w:t>
      </w:r>
      <w:r w:rsidR="00F67257" w:rsidRPr="006C23B4">
        <w:rPr>
          <w:rFonts w:asciiTheme="majorBidi" w:hAnsiTheme="majorBidi" w:cstheme="majorBidi"/>
          <w:i/>
          <w:iCs/>
          <w:sz w:val="24"/>
          <w:szCs w:val="24"/>
        </w:rPr>
        <w:t xml:space="preserve"> one of</w:t>
      </w:r>
      <w:r w:rsidRPr="006C23B4">
        <w:rPr>
          <w:rFonts w:asciiTheme="majorBidi" w:hAnsiTheme="majorBidi" w:cstheme="majorBidi"/>
          <w:i/>
          <w:iCs/>
          <w:sz w:val="24"/>
          <w:szCs w:val="24"/>
        </w:rPr>
        <w:t xml:space="preserve"> the poorest cities in Egypt. The minute I heard Asyut I felt like I am sold</w:t>
      </w:r>
      <w:r w:rsidR="001E005B" w:rsidRPr="006C23B4">
        <w:rPr>
          <w:rFonts w:asciiTheme="majorBidi" w:hAnsiTheme="majorBidi" w:cstheme="majorBidi"/>
          <w:i/>
          <w:iCs/>
          <w:sz w:val="24"/>
          <w:szCs w:val="24"/>
        </w:rPr>
        <w:t xml:space="preserve"> (K.B., 2022)</w:t>
      </w:r>
      <w:r w:rsidRPr="006C23B4">
        <w:rPr>
          <w:rFonts w:asciiTheme="majorBidi" w:hAnsiTheme="majorBidi" w:cstheme="majorBidi"/>
          <w:i/>
          <w:iCs/>
          <w:sz w:val="24"/>
          <w:szCs w:val="24"/>
        </w:rPr>
        <w:t>”</w:t>
      </w:r>
      <w:bookmarkEnd w:id="201"/>
    </w:p>
    <w:p w14:paraId="46DA646F" w14:textId="5EDF412D" w:rsidR="00ED492B" w:rsidRDefault="00ED492B" w:rsidP="006C23B4">
      <w:pPr>
        <w:widowControl w:val="0"/>
        <w:spacing w:after="0" w:line="480" w:lineRule="auto"/>
        <w:outlineLvl w:val="2"/>
        <w:rPr>
          <w:rFonts w:asciiTheme="majorBidi" w:hAnsiTheme="majorBidi" w:cstheme="majorBidi"/>
          <w:i/>
          <w:iCs/>
          <w:sz w:val="24"/>
          <w:szCs w:val="24"/>
        </w:rPr>
      </w:pPr>
      <w:r w:rsidRPr="00A907FE">
        <w:rPr>
          <w:rFonts w:asciiTheme="majorBidi" w:hAnsiTheme="majorBidi" w:cstheme="majorBidi"/>
          <w:sz w:val="24"/>
          <w:szCs w:val="24"/>
        </w:rPr>
        <w:t>The third respondent reflected on the word “</w:t>
      </w:r>
      <w:r w:rsidRPr="006C23B4">
        <w:rPr>
          <w:rFonts w:asciiTheme="majorBidi" w:hAnsiTheme="majorBidi" w:cstheme="majorBidi"/>
          <w:i/>
          <w:iCs/>
          <w:sz w:val="24"/>
          <w:szCs w:val="24"/>
        </w:rPr>
        <w:t>baladna</w:t>
      </w:r>
      <w:r w:rsidRPr="00A907FE">
        <w:rPr>
          <w:rFonts w:asciiTheme="majorBidi" w:hAnsiTheme="majorBidi" w:cstheme="majorBidi"/>
          <w:sz w:val="24"/>
          <w:szCs w:val="24"/>
        </w:rPr>
        <w:t xml:space="preserve">” </w:t>
      </w:r>
      <w:r>
        <w:rPr>
          <w:rFonts w:asciiTheme="majorBidi" w:hAnsiTheme="majorBidi" w:cstheme="majorBidi"/>
          <w:sz w:val="24"/>
          <w:szCs w:val="24"/>
        </w:rPr>
        <w:t xml:space="preserve">in the ad </w:t>
      </w:r>
      <w:r w:rsidRPr="00A907FE">
        <w:rPr>
          <w:rFonts w:asciiTheme="majorBidi" w:hAnsiTheme="majorBidi" w:cstheme="majorBidi"/>
          <w:sz w:val="24"/>
          <w:szCs w:val="24"/>
        </w:rPr>
        <w:t>which means “</w:t>
      </w:r>
      <w:r w:rsidRPr="006C23B4">
        <w:rPr>
          <w:rFonts w:asciiTheme="majorBidi" w:hAnsiTheme="majorBidi" w:cstheme="majorBidi"/>
          <w:i/>
          <w:iCs/>
          <w:sz w:val="24"/>
          <w:szCs w:val="24"/>
        </w:rPr>
        <w:t>our country</w:t>
      </w:r>
      <w:r w:rsidRPr="00A907FE">
        <w:rPr>
          <w:rFonts w:asciiTheme="majorBidi" w:hAnsiTheme="majorBidi" w:cstheme="majorBidi"/>
          <w:sz w:val="24"/>
          <w:szCs w:val="24"/>
        </w:rPr>
        <w:t>.” He mentioned</w:t>
      </w:r>
      <w:r>
        <w:rPr>
          <w:rFonts w:asciiTheme="majorBidi" w:hAnsiTheme="majorBidi" w:cstheme="majorBidi"/>
          <w:sz w:val="24"/>
          <w:szCs w:val="24"/>
        </w:rPr>
        <w:t xml:space="preserve">: </w:t>
      </w:r>
      <w:r w:rsidRPr="001E005B">
        <w:rPr>
          <w:rFonts w:asciiTheme="majorBidi" w:hAnsiTheme="majorBidi" w:cstheme="majorBidi"/>
          <w:sz w:val="24"/>
          <w:szCs w:val="24"/>
        </w:rPr>
        <w:t>“this word is very catch and creates a strong sense of belonging</w:t>
      </w:r>
      <w:r w:rsidR="001E005B" w:rsidRPr="001E005B">
        <w:rPr>
          <w:rFonts w:asciiTheme="majorBidi" w:hAnsiTheme="majorBidi" w:cstheme="majorBidi"/>
          <w:sz w:val="24"/>
          <w:szCs w:val="24"/>
        </w:rPr>
        <w:t xml:space="preserve"> (N.S., 2022)</w:t>
      </w:r>
      <w:r w:rsidRPr="001E005B">
        <w:rPr>
          <w:rFonts w:asciiTheme="majorBidi" w:hAnsiTheme="majorBidi" w:cstheme="majorBidi"/>
          <w:sz w:val="24"/>
          <w:szCs w:val="24"/>
        </w:rPr>
        <w:t xml:space="preserve">.” </w:t>
      </w:r>
      <w:r w:rsidRPr="00C33B6B">
        <w:rPr>
          <w:rFonts w:asciiTheme="majorBidi" w:hAnsiTheme="majorBidi" w:cstheme="majorBidi"/>
          <w:sz w:val="24"/>
          <w:szCs w:val="24"/>
        </w:rPr>
        <w:t xml:space="preserve">This will be further elaborated on </w:t>
      </w:r>
      <w:r>
        <w:rPr>
          <w:rFonts w:asciiTheme="majorBidi" w:hAnsiTheme="majorBidi" w:cstheme="majorBidi"/>
          <w:sz w:val="24"/>
          <w:szCs w:val="24"/>
        </w:rPr>
        <w:t xml:space="preserve">in section </w:t>
      </w:r>
      <w:r>
        <w:rPr>
          <w:rFonts w:asciiTheme="majorBidi" w:hAnsiTheme="majorBidi" w:cstheme="majorBidi"/>
          <w:color w:val="2E2E2E"/>
          <w:sz w:val="24"/>
          <w:szCs w:val="24"/>
        </w:rPr>
        <w:t>7</w:t>
      </w:r>
      <w:r w:rsidRPr="00C33B6B">
        <w:rPr>
          <w:rFonts w:asciiTheme="majorBidi" w:hAnsiTheme="majorBidi" w:cstheme="majorBidi"/>
          <w:color w:val="2E2E2E"/>
          <w:sz w:val="24"/>
          <w:szCs w:val="24"/>
        </w:rPr>
        <w:t>.4.13 discussing congruity.</w:t>
      </w:r>
    </w:p>
    <w:p w14:paraId="3811C1CB" w14:textId="77777777" w:rsidR="006C23B4" w:rsidRDefault="00ED492B" w:rsidP="00ED492B">
      <w:pPr>
        <w:widowControl w:val="0"/>
        <w:spacing w:after="0" w:line="480" w:lineRule="auto"/>
        <w:outlineLvl w:val="2"/>
        <w:rPr>
          <w:rFonts w:asciiTheme="majorBidi" w:hAnsiTheme="majorBidi" w:cstheme="majorBidi"/>
          <w:sz w:val="24"/>
          <w:szCs w:val="24"/>
        </w:rPr>
      </w:pPr>
      <w:r>
        <w:rPr>
          <w:rFonts w:asciiTheme="majorBidi" w:hAnsiTheme="majorBidi" w:cstheme="majorBidi"/>
          <w:i/>
          <w:iCs/>
          <w:sz w:val="24"/>
          <w:szCs w:val="24"/>
        </w:rPr>
        <w:tab/>
      </w:r>
      <w:bookmarkStart w:id="202" w:name="_Hlk149851250"/>
      <w:r>
        <w:rPr>
          <w:rFonts w:asciiTheme="majorBidi" w:hAnsiTheme="majorBidi" w:cstheme="majorBidi"/>
          <w:sz w:val="24"/>
          <w:szCs w:val="24"/>
        </w:rPr>
        <w:t>Some</w:t>
      </w:r>
      <w:r w:rsidRPr="00A907FE">
        <w:rPr>
          <w:rFonts w:asciiTheme="majorBidi" w:hAnsiTheme="majorBidi" w:cstheme="majorBidi"/>
          <w:sz w:val="24"/>
          <w:szCs w:val="24"/>
        </w:rPr>
        <w:t xml:space="preserve"> </w:t>
      </w:r>
      <w:r>
        <w:rPr>
          <w:rFonts w:asciiTheme="majorBidi" w:hAnsiTheme="majorBidi" w:cstheme="majorBidi"/>
          <w:sz w:val="24"/>
          <w:szCs w:val="24"/>
        </w:rPr>
        <w:t>interviewees</w:t>
      </w:r>
      <w:r w:rsidRPr="00A907FE">
        <w:rPr>
          <w:rFonts w:asciiTheme="majorBidi" w:hAnsiTheme="majorBidi" w:cstheme="majorBidi"/>
          <w:sz w:val="24"/>
          <w:szCs w:val="24"/>
        </w:rPr>
        <w:t xml:space="preserve"> who even though </w:t>
      </w:r>
      <w:r>
        <w:rPr>
          <w:rFonts w:asciiTheme="majorBidi" w:hAnsiTheme="majorBidi" w:cstheme="majorBidi"/>
          <w:sz w:val="24"/>
          <w:szCs w:val="24"/>
        </w:rPr>
        <w:t xml:space="preserve">expressed that </w:t>
      </w:r>
      <w:r w:rsidRPr="00A907FE">
        <w:rPr>
          <w:rFonts w:asciiTheme="majorBidi" w:hAnsiTheme="majorBidi" w:cstheme="majorBidi"/>
          <w:sz w:val="24"/>
          <w:szCs w:val="24"/>
        </w:rPr>
        <w:t xml:space="preserve">they liked the ad, they raised some doubts about it. </w:t>
      </w:r>
      <w:r>
        <w:rPr>
          <w:rFonts w:asciiTheme="majorBidi" w:hAnsiTheme="majorBidi" w:cstheme="majorBidi"/>
          <w:sz w:val="24"/>
          <w:szCs w:val="24"/>
        </w:rPr>
        <w:t>It appeared from their answers that these subjects doubted the campaign presented in the stimulus or needed some more information about it</w:t>
      </w:r>
      <w:bookmarkEnd w:id="202"/>
      <w:r>
        <w:rPr>
          <w:rFonts w:asciiTheme="majorBidi" w:hAnsiTheme="majorBidi" w:cstheme="majorBidi"/>
          <w:sz w:val="24"/>
          <w:szCs w:val="24"/>
        </w:rPr>
        <w:t xml:space="preserve">. For instance, a couple of them made these comments: </w:t>
      </w:r>
      <w:bookmarkStart w:id="203" w:name="_Hlk131433049"/>
    </w:p>
    <w:p w14:paraId="7B14E3DA" w14:textId="77777777" w:rsidR="006C23B4" w:rsidRDefault="00ED492B" w:rsidP="006C23B4">
      <w:pPr>
        <w:widowControl w:val="0"/>
        <w:spacing w:after="0" w:line="480" w:lineRule="auto"/>
        <w:ind w:left="720"/>
        <w:outlineLvl w:val="2"/>
        <w:rPr>
          <w:rFonts w:asciiTheme="majorBidi" w:hAnsiTheme="majorBidi" w:cstheme="majorBidi"/>
          <w:i/>
          <w:iCs/>
          <w:sz w:val="24"/>
          <w:szCs w:val="24"/>
        </w:rPr>
      </w:pPr>
      <w:r w:rsidRPr="006C23B4">
        <w:rPr>
          <w:rFonts w:asciiTheme="majorBidi" w:hAnsiTheme="majorBidi" w:cstheme="majorBidi"/>
          <w:i/>
          <w:iCs/>
          <w:sz w:val="24"/>
          <w:szCs w:val="24"/>
        </w:rPr>
        <w:t>“lovely ad</w:t>
      </w:r>
      <w:bookmarkEnd w:id="203"/>
      <w:r w:rsidRPr="006C23B4">
        <w:rPr>
          <w:rFonts w:asciiTheme="majorBidi" w:hAnsiTheme="majorBidi" w:cstheme="majorBidi"/>
          <w:i/>
          <w:iCs/>
          <w:sz w:val="24"/>
          <w:szCs w:val="24"/>
        </w:rPr>
        <w:t xml:space="preserve"> but, was there a previous ad to show that they started this project</w:t>
      </w:r>
      <w:r w:rsidR="001E005B" w:rsidRPr="006C23B4">
        <w:rPr>
          <w:rFonts w:asciiTheme="majorBidi" w:hAnsiTheme="majorBidi" w:cstheme="majorBidi"/>
          <w:i/>
          <w:iCs/>
          <w:sz w:val="24"/>
          <w:szCs w:val="24"/>
        </w:rPr>
        <w:t xml:space="preserve"> (N.O., 2022)</w:t>
      </w:r>
      <w:r w:rsidRPr="006C23B4">
        <w:rPr>
          <w:rFonts w:asciiTheme="majorBidi" w:hAnsiTheme="majorBidi" w:cstheme="majorBidi"/>
          <w:i/>
          <w:iCs/>
          <w:sz w:val="24"/>
          <w:szCs w:val="24"/>
        </w:rPr>
        <w:t xml:space="preserve">?” </w:t>
      </w:r>
    </w:p>
    <w:p w14:paraId="434BE059" w14:textId="39BAD6A1" w:rsidR="00ED492B" w:rsidRPr="006C23B4" w:rsidRDefault="00ED492B" w:rsidP="006C23B4">
      <w:pPr>
        <w:widowControl w:val="0"/>
        <w:spacing w:after="0" w:line="480" w:lineRule="auto"/>
        <w:ind w:left="720" w:firstLine="60"/>
        <w:outlineLvl w:val="2"/>
        <w:rPr>
          <w:rFonts w:asciiTheme="majorBidi" w:hAnsiTheme="majorBidi" w:cstheme="majorBidi"/>
          <w:i/>
          <w:iCs/>
          <w:sz w:val="24"/>
          <w:szCs w:val="24"/>
        </w:rPr>
      </w:pPr>
      <w:r w:rsidRPr="006C23B4">
        <w:rPr>
          <w:rFonts w:asciiTheme="majorBidi" w:hAnsiTheme="majorBidi" w:cstheme="majorBidi"/>
          <w:i/>
          <w:iCs/>
          <w:sz w:val="24"/>
          <w:szCs w:val="24"/>
        </w:rPr>
        <w:t>“I did not like that it was not clear who did they get approval from to build this clini</w:t>
      </w:r>
      <w:r w:rsidR="001E005B" w:rsidRPr="006C23B4">
        <w:rPr>
          <w:rFonts w:asciiTheme="majorBidi" w:hAnsiTheme="majorBidi" w:cstheme="majorBidi"/>
          <w:i/>
          <w:iCs/>
          <w:sz w:val="24"/>
          <w:szCs w:val="24"/>
        </w:rPr>
        <w:t xml:space="preserve">c? </w:t>
      </w:r>
      <w:r w:rsidRPr="006C23B4">
        <w:rPr>
          <w:rFonts w:asciiTheme="majorBidi" w:hAnsiTheme="majorBidi" w:cstheme="majorBidi"/>
          <w:i/>
          <w:iCs/>
          <w:sz w:val="24"/>
          <w:szCs w:val="24"/>
        </w:rPr>
        <w:t>Did they collaborate with the ministry of health? Is this a permanent or temporary project</w:t>
      </w:r>
      <w:r w:rsidR="001E0A90" w:rsidRPr="006C23B4">
        <w:rPr>
          <w:rFonts w:asciiTheme="majorBidi" w:hAnsiTheme="majorBidi" w:cstheme="majorBidi"/>
          <w:i/>
          <w:iCs/>
          <w:sz w:val="24"/>
          <w:szCs w:val="24"/>
        </w:rPr>
        <w:t xml:space="preserve"> </w:t>
      </w:r>
      <w:r w:rsidR="001E005B" w:rsidRPr="006C23B4">
        <w:rPr>
          <w:rFonts w:asciiTheme="majorBidi" w:hAnsiTheme="majorBidi" w:cstheme="majorBidi"/>
          <w:i/>
          <w:iCs/>
          <w:sz w:val="24"/>
          <w:szCs w:val="24"/>
        </w:rPr>
        <w:t>(N.N., 2022)?</w:t>
      </w:r>
      <w:r w:rsidRPr="006C23B4">
        <w:rPr>
          <w:rFonts w:asciiTheme="majorBidi" w:hAnsiTheme="majorBidi" w:cstheme="majorBidi"/>
          <w:i/>
          <w:iCs/>
          <w:sz w:val="24"/>
          <w:szCs w:val="24"/>
        </w:rPr>
        <w:t>”</w:t>
      </w:r>
    </w:p>
    <w:p w14:paraId="50EA90FF" w14:textId="5CFEC730" w:rsidR="00ED492B" w:rsidRDefault="00ED492B" w:rsidP="00ED492B">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t xml:space="preserve">It seems that the information that the interviewees needed is related to their trust in the brand or campaign. These doubts will be further examined from the </w:t>
      </w:r>
      <w:r w:rsidR="00C4373A">
        <w:rPr>
          <w:rFonts w:asciiTheme="majorBidi" w:hAnsiTheme="majorBidi" w:cstheme="majorBidi"/>
          <w:color w:val="2E2E2E"/>
          <w:sz w:val="24"/>
          <w:szCs w:val="24"/>
        </w:rPr>
        <w:t>participants’</w:t>
      </w:r>
      <w:r>
        <w:rPr>
          <w:rFonts w:asciiTheme="majorBidi" w:hAnsiTheme="majorBidi" w:cstheme="majorBidi"/>
          <w:color w:val="2E2E2E"/>
          <w:sz w:val="24"/>
          <w:szCs w:val="24"/>
        </w:rPr>
        <w:t xml:space="preserve"> answers in the brand trust and CSR strategies themes discussed later in this chapter. The next sub-section examines the ad perception and ad likeability of the non-CSR ad. </w:t>
      </w:r>
    </w:p>
    <w:p w14:paraId="51C9583C" w14:textId="17C68773"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.4.2 </w:t>
      </w:r>
      <w:bookmarkStart w:id="204" w:name="_Hlk149851298"/>
      <w:r w:rsidRPr="001A153E">
        <w:rPr>
          <w:rFonts w:asciiTheme="majorBidi" w:hAnsiTheme="majorBidi" w:cstheme="majorBidi"/>
          <w:b/>
          <w:bCs/>
          <w:color w:val="2E2E2E"/>
          <w:sz w:val="24"/>
          <w:szCs w:val="24"/>
        </w:rPr>
        <w:t>Ad likeability non-CSR ad</w:t>
      </w:r>
    </w:p>
    <w:p w14:paraId="6165AAEB" w14:textId="77777777" w:rsidR="006C23B4" w:rsidRDefault="00ED492B" w:rsidP="00ED492B">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741682">
        <w:rPr>
          <w:rFonts w:asciiTheme="majorBidi" w:hAnsiTheme="majorBidi" w:cstheme="majorBidi"/>
          <w:color w:val="2E2E2E"/>
          <w:sz w:val="24"/>
          <w:szCs w:val="24"/>
        </w:rPr>
        <w:t>This subtheme emerged from the respondents’ responses to the non-CSR</w:t>
      </w:r>
      <w:r>
        <w:rPr>
          <w:rFonts w:asciiTheme="majorBidi" w:hAnsiTheme="majorBidi" w:cstheme="majorBidi"/>
          <w:color w:val="2E2E2E"/>
          <w:sz w:val="24"/>
          <w:szCs w:val="24"/>
        </w:rPr>
        <w:t xml:space="preserve"> stimulus</w:t>
      </w:r>
      <w:r w:rsidRPr="00741682">
        <w:rPr>
          <w:rFonts w:asciiTheme="majorBidi" w:hAnsiTheme="majorBidi" w:cstheme="majorBidi"/>
          <w:color w:val="2E2E2E"/>
          <w:sz w:val="24"/>
          <w:szCs w:val="24"/>
        </w:rPr>
        <w:t xml:space="preserve">. There were only </w:t>
      </w:r>
      <w:r>
        <w:rPr>
          <w:rFonts w:asciiTheme="majorBidi" w:hAnsiTheme="majorBidi" w:cstheme="majorBidi"/>
          <w:color w:val="2E2E2E"/>
          <w:sz w:val="24"/>
          <w:szCs w:val="24"/>
        </w:rPr>
        <w:t>three</w:t>
      </w:r>
      <w:r w:rsidRPr="00741682">
        <w:rPr>
          <w:rFonts w:asciiTheme="majorBidi" w:hAnsiTheme="majorBidi" w:cstheme="majorBidi"/>
          <w:color w:val="2E2E2E"/>
          <w:sz w:val="24"/>
          <w:szCs w:val="24"/>
        </w:rPr>
        <w:t xml:space="preserve"> respondents who explicitly mentioned that they liked the non-CSR, and they preferred it over the CSR one.</w:t>
      </w:r>
      <w:r>
        <w:rPr>
          <w:rFonts w:asciiTheme="majorBidi" w:hAnsiTheme="majorBidi" w:cstheme="majorBidi"/>
          <w:color w:val="2E2E2E"/>
          <w:sz w:val="24"/>
          <w:szCs w:val="24"/>
        </w:rPr>
        <w:t xml:space="preserve"> They said: </w:t>
      </w:r>
    </w:p>
    <w:p w14:paraId="73B6C3A5" w14:textId="77777777" w:rsidR="006C23B4" w:rsidRPr="006C23B4" w:rsidRDefault="00ED492B" w:rsidP="006C23B4">
      <w:pPr>
        <w:widowControl w:val="0"/>
        <w:spacing w:line="240" w:lineRule="auto"/>
        <w:ind w:left="720"/>
        <w:outlineLvl w:val="2"/>
        <w:rPr>
          <w:rFonts w:asciiTheme="majorBidi" w:hAnsiTheme="majorBidi" w:cstheme="majorBidi"/>
          <w:i/>
          <w:iCs/>
          <w:sz w:val="24"/>
          <w:szCs w:val="24"/>
        </w:rPr>
      </w:pPr>
      <w:r w:rsidRPr="006C23B4">
        <w:rPr>
          <w:rFonts w:asciiTheme="majorBidi" w:hAnsiTheme="majorBidi" w:cstheme="majorBidi"/>
          <w:i/>
          <w:iCs/>
          <w:sz w:val="24"/>
          <w:szCs w:val="24"/>
        </w:rPr>
        <w:t>“I like this one</w:t>
      </w:r>
      <w:r w:rsidR="00F67257" w:rsidRPr="006C23B4">
        <w:rPr>
          <w:rFonts w:asciiTheme="majorBidi" w:hAnsiTheme="majorBidi" w:cstheme="majorBidi"/>
          <w:i/>
          <w:iCs/>
          <w:sz w:val="24"/>
          <w:szCs w:val="24"/>
        </w:rPr>
        <w:t xml:space="preserve"> b</w:t>
      </w:r>
      <w:r w:rsidRPr="006C23B4">
        <w:rPr>
          <w:rFonts w:asciiTheme="majorBidi" w:hAnsiTheme="majorBidi" w:cstheme="majorBidi"/>
          <w:i/>
          <w:iCs/>
          <w:sz w:val="24"/>
          <w:szCs w:val="24"/>
        </w:rPr>
        <w:t>ecause children are the most important aspect in any parents’ life</w:t>
      </w:r>
      <w:r w:rsidR="001E0A90" w:rsidRPr="006C23B4">
        <w:rPr>
          <w:rFonts w:asciiTheme="majorBidi" w:hAnsiTheme="majorBidi" w:cstheme="majorBidi"/>
          <w:i/>
          <w:iCs/>
          <w:sz w:val="24"/>
          <w:szCs w:val="24"/>
        </w:rPr>
        <w:t xml:space="preserve"> (L.O., 2022)</w:t>
      </w:r>
      <w:r w:rsidRPr="006C23B4">
        <w:rPr>
          <w:rFonts w:asciiTheme="majorBidi" w:hAnsiTheme="majorBidi" w:cstheme="majorBidi"/>
          <w:i/>
          <w:iCs/>
          <w:sz w:val="24"/>
          <w:szCs w:val="24"/>
        </w:rPr>
        <w:t>,” “also nice. I like that the ad showed cute babies. It also showed that Dettol</w:t>
      </w:r>
      <w:r w:rsidR="00F67257" w:rsidRPr="006C23B4">
        <w:rPr>
          <w:rFonts w:asciiTheme="majorBidi" w:hAnsiTheme="majorBidi" w:cstheme="majorBidi"/>
          <w:i/>
          <w:iCs/>
          <w:sz w:val="24"/>
          <w:szCs w:val="24"/>
        </w:rPr>
        <w:t xml:space="preserve"> </w:t>
      </w:r>
      <w:r w:rsidRPr="006C23B4">
        <w:rPr>
          <w:rFonts w:asciiTheme="majorBidi" w:hAnsiTheme="majorBidi" w:cstheme="majorBidi"/>
          <w:i/>
          <w:iCs/>
          <w:sz w:val="24"/>
          <w:szCs w:val="24"/>
        </w:rPr>
        <w:t>started</w:t>
      </w:r>
      <w:r w:rsidR="00F67257" w:rsidRPr="006C23B4">
        <w:rPr>
          <w:rFonts w:asciiTheme="majorBidi" w:hAnsiTheme="majorBidi" w:cstheme="majorBidi"/>
          <w:i/>
          <w:iCs/>
          <w:sz w:val="24"/>
          <w:szCs w:val="24"/>
        </w:rPr>
        <w:t xml:space="preserve"> a</w:t>
      </w:r>
      <w:r w:rsidRPr="006C23B4">
        <w:rPr>
          <w:rFonts w:asciiTheme="majorBidi" w:hAnsiTheme="majorBidi" w:cstheme="majorBidi"/>
          <w:i/>
          <w:iCs/>
          <w:sz w:val="24"/>
          <w:szCs w:val="24"/>
        </w:rPr>
        <w:t xml:space="preserve"> long time ago</w:t>
      </w:r>
      <w:r w:rsidR="001E0A90" w:rsidRPr="006C23B4">
        <w:rPr>
          <w:rFonts w:asciiTheme="majorBidi" w:hAnsiTheme="majorBidi" w:cstheme="majorBidi"/>
          <w:i/>
          <w:iCs/>
          <w:sz w:val="24"/>
          <w:szCs w:val="24"/>
        </w:rPr>
        <w:t xml:space="preserve"> (N.O., 2022)</w:t>
      </w:r>
      <w:r w:rsidRPr="006C23B4">
        <w:rPr>
          <w:rFonts w:asciiTheme="majorBidi" w:hAnsiTheme="majorBidi" w:cstheme="majorBidi"/>
          <w:i/>
          <w:iCs/>
          <w:sz w:val="24"/>
          <w:szCs w:val="24"/>
        </w:rPr>
        <w:t xml:space="preserve">,” </w:t>
      </w:r>
    </w:p>
    <w:p w14:paraId="344AC838" w14:textId="06B0E08A" w:rsidR="00ED492B" w:rsidRPr="006C23B4" w:rsidRDefault="00ED492B" w:rsidP="006C23B4">
      <w:pPr>
        <w:widowControl w:val="0"/>
        <w:spacing w:line="240" w:lineRule="auto"/>
        <w:ind w:left="720"/>
        <w:outlineLvl w:val="2"/>
        <w:rPr>
          <w:rFonts w:asciiTheme="majorBidi" w:hAnsiTheme="majorBidi" w:cstheme="majorBidi"/>
          <w:i/>
          <w:iCs/>
          <w:color w:val="2E2E2E"/>
          <w:sz w:val="24"/>
          <w:szCs w:val="24"/>
        </w:rPr>
      </w:pPr>
      <w:r w:rsidRPr="006C23B4">
        <w:rPr>
          <w:rFonts w:asciiTheme="majorBidi" w:hAnsiTheme="majorBidi" w:cstheme="majorBidi"/>
          <w:i/>
          <w:iCs/>
          <w:sz w:val="24"/>
          <w:szCs w:val="24"/>
        </w:rPr>
        <w:t>“</w:t>
      </w:r>
      <w:r w:rsidR="006C23B4">
        <w:rPr>
          <w:rFonts w:asciiTheme="majorBidi" w:hAnsiTheme="majorBidi" w:cstheme="majorBidi"/>
          <w:i/>
          <w:iCs/>
          <w:sz w:val="24"/>
          <w:szCs w:val="24"/>
        </w:rPr>
        <w:t>V</w:t>
      </w:r>
      <w:r w:rsidRPr="006C23B4">
        <w:rPr>
          <w:rFonts w:asciiTheme="majorBidi" w:hAnsiTheme="majorBidi" w:cstheme="majorBidi"/>
          <w:i/>
          <w:iCs/>
          <w:sz w:val="24"/>
          <w:szCs w:val="24"/>
        </w:rPr>
        <w:t>ery nice. I like that it’s true that this product protects our kids, and it disinfects and cleans our homes</w:t>
      </w:r>
      <w:r w:rsidR="001E0A90" w:rsidRPr="006C23B4">
        <w:rPr>
          <w:rFonts w:asciiTheme="majorBidi" w:hAnsiTheme="majorBidi" w:cstheme="majorBidi"/>
          <w:i/>
          <w:iCs/>
          <w:sz w:val="24"/>
          <w:szCs w:val="24"/>
        </w:rPr>
        <w:t xml:space="preserve"> (A.A., 2022)</w:t>
      </w:r>
      <w:r w:rsidRPr="006C23B4">
        <w:rPr>
          <w:rFonts w:asciiTheme="majorBidi" w:hAnsiTheme="majorBidi" w:cstheme="majorBidi"/>
          <w:i/>
          <w:iCs/>
          <w:sz w:val="24"/>
          <w:szCs w:val="24"/>
        </w:rPr>
        <w:t>.”</w:t>
      </w:r>
    </w:p>
    <w:bookmarkEnd w:id="204"/>
    <w:p w14:paraId="3E0B8481" w14:textId="77777777" w:rsidR="006C23B4" w:rsidRDefault="00ED492B" w:rsidP="00ED492B">
      <w:pPr>
        <w:widowControl w:val="0"/>
        <w:spacing w:after="0" w:line="480" w:lineRule="auto"/>
        <w:outlineLvl w:val="2"/>
        <w:rPr>
          <w:rFonts w:asciiTheme="majorBidi" w:hAnsiTheme="majorBidi" w:cstheme="majorBidi"/>
          <w:color w:val="2E2E2E"/>
          <w:sz w:val="24"/>
          <w:szCs w:val="24"/>
        </w:rPr>
      </w:pPr>
      <w:r w:rsidRPr="00741682">
        <w:rPr>
          <w:rFonts w:asciiTheme="majorBidi" w:hAnsiTheme="majorBidi" w:cstheme="majorBidi"/>
          <w:color w:val="2E2E2E"/>
          <w:sz w:val="24"/>
          <w:szCs w:val="24"/>
        </w:rPr>
        <w:t xml:space="preserve"> </w:t>
      </w:r>
      <w:r>
        <w:rPr>
          <w:rFonts w:asciiTheme="majorBidi" w:hAnsiTheme="majorBidi" w:cstheme="majorBidi"/>
          <w:color w:val="2E2E2E"/>
          <w:sz w:val="24"/>
          <w:szCs w:val="24"/>
        </w:rPr>
        <w:tab/>
        <w:t xml:space="preserve">Based on the comments above, there is a common comment from all three </w:t>
      </w:r>
      <w:r w:rsidR="00C4373A">
        <w:rPr>
          <w:rFonts w:asciiTheme="majorBidi" w:hAnsiTheme="majorBidi" w:cstheme="majorBidi"/>
          <w:color w:val="2E2E2E"/>
          <w:sz w:val="24"/>
          <w:szCs w:val="24"/>
        </w:rPr>
        <w:t>participants</w:t>
      </w:r>
      <w:r>
        <w:rPr>
          <w:rFonts w:asciiTheme="majorBidi" w:hAnsiTheme="majorBidi" w:cstheme="majorBidi"/>
          <w:color w:val="2E2E2E"/>
          <w:sz w:val="24"/>
          <w:szCs w:val="24"/>
        </w:rPr>
        <w:t xml:space="preserve"> related to the presence of a new</w:t>
      </w:r>
      <w:r w:rsidR="00F67257">
        <w:rPr>
          <w:rFonts w:asciiTheme="majorBidi" w:hAnsiTheme="majorBidi" w:cstheme="majorBidi"/>
          <w:color w:val="2E2E2E"/>
          <w:sz w:val="24"/>
          <w:szCs w:val="24"/>
        </w:rPr>
        <w:t>-</w:t>
      </w:r>
      <w:r>
        <w:rPr>
          <w:rFonts w:asciiTheme="majorBidi" w:hAnsiTheme="majorBidi" w:cstheme="majorBidi"/>
          <w:color w:val="2E2E2E"/>
          <w:sz w:val="24"/>
          <w:szCs w:val="24"/>
        </w:rPr>
        <w:t>born in the ad. Clearly, these three respondents were drawn to a specific element in the implementation of the ad rather than the overall ad concept that presents the brand</w:t>
      </w:r>
      <w:r w:rsidR="001E0A90">
        <w:rPr>
          <w:rFonts w:asciiTheme="majorBidi" w:hAnsiTheme="majorBidi" w:cstheme="majorBidi"/>
          <w:color w:val="2E2E2E"/>
          <w:sz w:val="24"/>
          <w:szCs w:val="24"/>
        </w:rPr>
        <w:t>’</w:t>
      </w:r>
      <w:r>
        <w:rPr>
          <w:rFonts w:asciiTheme="majorBidi" w:hAnsiTheme="majorBidi" w:cstheme="majorBidi"/>
          <w:color w:val="2E2E2E"/>
          <w:sz w:val="24"/>
          <w:szCs w:val="24"/>
        </w:rPr>
        <w:t xml:space="preserve">s functional benefits. </w:t>
      </w:r>
      <w:r w:rsidRPr="00741682">
        <w:rPr>
          <w:rFonts w:asciiTheme="majorBidi" w:hAnsiTheme="majorBidi" w:cstheme="majorBidi"/>
          <w:color w:val="2E2E2E"/>
          <w:sz w:val="24"/>
          <w:szCs w:val="24"/>
        </w:rPr>
        <w:t xml:space="preserve">There was a considerable number of </w:t>
      </w:r>
      <w:r w:rsidR="00C4373A">
        <w:rPr>
          <w:rFonts w:asciiTheme="majorBidi" w:hAnsiTheme="majorBidi" w:cstheme="majorBidi"/>
          <w:color w:val="2E2E2E"/>
          <w:sz w:val="24"/>
          <w:szCs w:val="24"/>
        </w:rPr>
        <w:t>participants</w:t>
      </w:r>
      <w:r w:rsidRPr="00741682">
        <w:rPr>
          <w:rFonts w:asciiTheme="majorBidi" w:hAnsiTheme="majorBidi" w:cstheme="majorBidi"/>
          <w:color w:val="2E2E2E"/>
          <w:sz w:val="24"/>
          <w:szCs w:val="24"/>
        </w:rPr>
        <w:t xml:space="preserve"> who initially expressed liking the non-CSR ad</w:t>
      </w:r>
      <w:r w:rsidR="00F67257">
        <w:rPr>
          <w:rFonts w:asciiTheme="majorBidi" w:hAnsiTheme="majorBidi" w:cstheme="majorBidi"/>
          <w:color w:val="2E2E2E"/>
          <w:sz w:val="24"/>
          <w:szCs w:val="24"/>
        </w:rPr>
        <w:t>,</w:t>
      </w:r>
      <w:r w:rsidRPr="00741682">
        <w:rPr>
          <w:rFonts w:asciiTheme="majorBidi" w:hAnsiTheme="majorBidi" w:cstheme="majorBidi"/>
          <w:color w:val="2E2E2E"/>
          <w:sz w:val="24"/>
          <w:szCs w:val="24"/>
        </w:rPr>
        <w:t xml:space="preserve"> but it was followed by some comments expressing their issues with the non-CSR ad or preferring the CSR one. </w:t>
      </w:r>
      <w:r>
        <w:rPr>
          <w:rFonts w:asciiTheme="majorBidi" w:hAnsiTheme="majorBidi" w:cstheme="majorBidi"/>
          <w:color w:val="2E2E2E"/>
          <w:sz w:val="24"/>
          <w:szCs w:val="24"/>
        </w:rPr>
        <w:t>Most of these statements confirmed the same concept that stated that while the participants liked the ad, they thought that the idea is repetitive. These are some examples of the respondents’ answers that sheds light on reasons that they did not like non-CSR ad. They said:</w:t>
      </w:r>
      <w:r w:rsidR="001E0A90">
        <w:rPr>
          <w:rFonts w:asciiTheme="majorBidi" w:hAnsiTheme="majorBidi" w:cstheme="majorBidi"/>
          <w:color w:val="2E2E2E"/>
          <w:sz w:val="24"/>
          <w:szCs w:val="24"/>
        </w:rPr>
        <w:t xml:space="preserve"> </w:t>
      </w:r>
    </w:p>
    <w:p w14:paraId="6EB855BE" w14:textId="5BE87A19" w:rsidR="006C23B4" w:rsidRDefault="00ED492B" w:rsidP="006C23B4">
      <w:pPr>
        <w:widowControl w:val="0"/>
        <w:spacing w:line="240" w:lineRule="auto"/>
        <w:ind w:left="720"/>
        <w:outlineLvl w:val="2"/>
        <w:rPr>
          <w:rFonts w:asciiTheme="majorBidi" w:hAnsiTheme="majorBidi" w:cstheme="majorBidi"/>
          <w:color w:val="2E2E2E"/>
          <w:sz w:val="24"/>
          <w:szCs w:val="24"/>
        </w:rPr>
      </w:pPr>
      <w:r w:rsidRPr="006C23B4">
        <w:rPr>
          <w:rFonts w:asciiTheme="majorBidi" w:hAnsiTheme="majorBidi" w:cstheme="majorBidi"/>
          <w:i/>
          <w:iCs/>
          <w:sz w:val="24"/>
          <w:szCs w:val="24"/>
        </w:rPr>
        <w:t>“</w:t>
      </w:r>
      <w:r w:rsidR="006C23B4">
        <w:rPr>
          <w:rFonts w:asciiTheme="majorBidi" w:hAnsiTheme="majorBidi" w:cstheme="majorBidi"/>
          <w:i/>
          <w:iCs/>
          <w:sz w:val="24"/>
          <w:szCs w:val="24"/>
        </w:rPr>
        <w:t>I</w:t>
      </w:r>
      <w:r w:rsidRPr="006C23B4">
        <w:rPr>
          <w:rFonts w:asciiTheme="majorBidi" w:hAnsiTheme="majorBidi" w:cstheme="majorBidi"/>
          <w:i/>
          <w:iCs/>
          <w:sz w:val="24"/>
          <w:szCs w:val="24"/>
        </w:rPr>
        <w:t>t</w:t>
      </w:r>
      <w:r w:rsidR="00F67257" w:rsidRPr="006C23B4">
        <w:rPr>
          <w:rFonts w:asciiTheme="majorBidi" w:hAnsiTheme="majorBidi" w:cstheme="majorBidi"/>
          <w:i/>
          <w:iCs/>
          <w:sz w:val="24"/>
          <w:szCs w:val="24"/>
        </w:rPr>
        <w:t>’</w:t>
      </w:r>
      <w:r w:rsidRPr="006C23B4">
        <w:rPr>
          <w:rFonts w:asciiTheme="majorBidi" w:hAnsiTheme="majorBidi" w:cstheme="majorBidi"/>
          <w:i/>
          <w:iCs/>
          <w:sz w:val="24"/>
          <w:szCs w:val="24"/>
        </w:rPr>
        <w:t>s good but, nothing new, I have seen things and claims like that millions of times</w:t>
      </w:r>
      <w:r w:rsidR="001E0A90" w:rsidRPr="006C23B4">
        <w:rPr>
          <w:rFonts w:asciiTheme="majorBidi" w:hAnsiTheme="majorBidi" w:cstheme="majorBidi"/>
          <w:i/>
          <w:iCs/>
          <w:sz w:val="24"/>
          <w:szCs w:val="24"/>
        </w:rPr>
        <w:t xml:space="preserve"> </w:t>
      </w:r>
      <w:r w:rsidR="001E0A90">
        <w:rPr>
          <w:rFonts w:asciiTheme="majorBidi" w:hAnsiTheme="majorBidi" w:cstheme="majorBidi"/>
          <w:sz w:val="24"/>
          <w:szCs w:val="24"/>
        </w:rPr>
        <w:t>(K.B.,</w:t>
      </w:r>
      <w:r w:rsidR="0086710F">
        <w:rPr>
          <w:rFonts w:asciiTheme="majorBidi" w:hAnsiTheme="majorBidi" w:cstheme="majorBidi"/>
          <w:sz w:val="24"/>
          <w:szCs w:val="24"/>
        </w:rPr>
        <w:t xml:space="preserve"> </w:t>
      </w:r>
      <w:r w:rsidR="001E0A90">
        <w:rPr>
          <w:rFonts w:asciiTheme="majorBidi" w:hAnsiTheme="majorBidi" w:cstheme="majorBidi"/>
          <w:sz w:val="24"/>
          <w:szCs w:val="24"/>
        </w:rPr>
        <w:t>2022)</w:t>
      </w:r>
      <w:r w:rsidR="006C23B4">
        <w:rPr>
          <w:rFonts w:asciiTheme="majorBidi" w:hAnsiTheme="majorBidi" w:cstheme="majorBidi"/>
          <w:sz w:val="24"/>
          <w:szCs w:val="24"/>
        </w:rPr>
        <w:t>,</w:t>
      </w:r>
      <w:r w:rsidRPr="001E0A90">
        <w:rPr>
          <w:rFonts w:asciiTheme="majorBidi" w:hAnsiTheme="majorBidi" w:cstheme="majorBidi"/>
          <w:sz w:val="24"/>
          <w:szCs w:val="24"/>
        </w:rPr>
        <w:t>”</w:t>
      </w:r>
      <w:r>
        <w:rPr>
          <w:rFonts w:asciiTheme="majorBidi" w:hAnsiTheme="majorBidi" w:cstheme="majorBidi"/>
          <w:color w:val="2E2E2E"/>
          <w:sz w:val="24"/>
          <w:szCs w:val="24"/>
        </w:rPr>
        <w:t xml:space="preserve"> </w:t>
      </w:r>
    </w:p>
    <w:p w14:paraId="7DB56F16" w14:textId="24C613BD" w:rsidR="006C23B4" w:rsidRDefault="00ED492B" w:rsidP="006C23B4">
      <w:pPr>
        <w:widowControl w:val="0"/>
        <w:spacing w:line="240" w:lineRule="auto"/>
        <w:ind w:firstLine="720"/>
        <w:outlineLvl w:val="2"/>
        <w:rPr>
          <w:rFonts w:asciiTheme="majorBidi" w:hAnsiTheme="majorBidi" w:cstheme="majorBidi"/>
          <w:sz w:val="24"/>
          <w:szCs w:val="24"/>
        </w:rPr>
      </w:pPr>
      <w:r w:rsidRPr="001E0A90">
        <w:rPr>
          <w:rFonts w:asciiTheme="majorBidi" w:hAnsiTheme="majorBidi" w:cstheme="majorBidi"/>
          <w:sz w:val="24"/>
          <w:szCs w:val="24"/>
        </w:rPr>
        <w:t>“</w:t>
      </w:r>
      <w:r w:rsidR="006C23B4" w:rsidRPr="006C23B4">
        <w:rPr>
          <w:rFonts w:asciiTheme="majorBidi" w:hAnsiTheme="majorBidi" w:cstheme="majorBidi"/>
          <w:i/>
          <w:iCs/>
          <w:sz w:val="24"/>
          <w:szCs w:val="24"/>
        </w:rPr>
        <w:t>N</w:t>
      </w:r>
      <w:r w:rsidRPr="006C23B4">
        <w:rPr>
          <w:rFonts w:asciiTheme="majorBidi" w:hAnsiTheme="majorBidi" w:cstheme="majorBidi"/>
          <w:i/>
          <w:iCs/>
          <w:sz w:val="24"/>
          <w:szCs w:val="24"/>
        </w:rPr>
        <w:t>ice</w:t>
      </w:r>
      <w:r w:rsidR="00F67257" w:rsidRPr="006C23B4">
        <w:rPr>
          <w:rFonts w:asciiTheme="majorBidi" w:hAnsiTheme="majorBidi" w:cstheme="majorBidi"/>
          <w:i/>
          <w:iCs/>
          <w:sz w:val="24"/>
          <w:szCs w:val="24"/>
        </w:rPr>
        <w:t>,</w:t>
      </w:r>
      <w:r w:rsidRPr="006C23B4">
        <w:rPr>
          <w:rFonts w:asciiTheme="majorBidi" w:hAnsiTheme="majorBidi" w:cstheme="majorBidi"/>
          <w:i/>
          <w:iCs/>
          <w:sz w:val="24"/>
          <w:szCs w:val="24"/>
        </w:rPr>
        <w:t xml:space="preserve"> but it just confirms what I already know. It is very repetitive</w:t>
      </w:r>
      <w:r w:rsidR="001E0A90">
        <w:rPr>
          <w:rFonts w:asciiTheme="majorBidi" w:hAnsiTheme="majorBidi" w:cstheme="majorBidi"/>
          <w:sz w:val="24"/>
          <w:szCs w:val="24"/>
        </w:rPr>
        <w:t xml:space="preserve"> (K.R.,</w:t>
      </w:r>
      <w:r w:rsidR="0063170A">
        <w:rPr>
          <w:rFonts w:asciiTheme="majorBidi" w:hAnsiTheme="majorBidi" w:cstheme="majorBidi"/>
          <w:sz w:val="24"/>
          <w:szCs w:val="24"/>
        </w:rPr>
        <w:t xml:space="preserve"> </w:t>
      </w:r>
      <w:r w:rsidR="001E0A90">
        <w:rPr>
          <w:rFonts w:asciiTheme="majorBidi" w:hAnsiTheme="majorBidi" w:cstheme="majorBidi"/>
          <w:sz w:val="24"/>
          <w:szCs w:val="24"/>
        </w:rPr>
        <w:t>2022)</w:t>
      </w:r>
      <w:r w:rsidR="006C23B4">
        <w:rPr>
          <w:rFonts w:asciiTheme="majorBidi" w:hAnsiTheme="majorBidi" w:cstheme="majorBidi"/>
          <w:sz w:val="24"/>
          <w:szCs w:val="24"/>
        </w:rPr>
        <w:t xml:space="preserve"> and</w:t>
      </w:r>
      <w:r w:rsidRPr="001E0A90">
        <w:rPr>
          <w:rFonts w:asciiTheme="majorBidi" w:hAnsiTheme="majorBidi" w:cstheme="majorBidi"/>
          <w:sz w:val="24"/>
          <w:szCs w:val="24"/>
        </w:rPr>
        <w:t xml:space="preserve">,” </w:t>
      </w:r>
    </w:p>
    <w:p w14:paraId="33EFDEB1" w14:textId="1167489E" w:rsidR="00ED492B" w:rsidRPr="001E0A90" w:rsidRDefault="00ED492B" w:rsidP="006C23B4">
      <w:pPr>
        <w:widowControl w:val="0"/>
        <w:spacing w:line="240" w:lineRule="auto"/>
        <w:ind w:firstLine="720"/>
        <w:outlineLvl w:val="2"/>
        <w:rPr>
          <w:rFonts w:asciiTheme="majorBidi" w:hAnsiTheme="majorBidi" w:cstheme="majorBidi"/>
          <w:color w:val="2E2E2E"/>
          <w:sz w:val="24"/>
          <w:szCs w:val="24"/>
        </w:rPr>
      </w:pPr>
      <w:r w:rsidRPr="00F67257">
        <w:rPr>
          <w:rFonts w:asciiTheme="majorBidi" w:hAnsiTheme="majorBidi" w:cstheme="majorBidi"/>
          <w:color w:val="2E2E2E"/>
          <w:sz w:val="24"/>
          <w:szCs w:val="24"/>
        </w:rPr>
        <w:t>“</w:t>
      </w:r>
      <w:r w:rsidR="006C23B4" w:rsidRPr="006C23B4">
        <w:rPr>
          <w:rFonts w:asciiTheme="majorBidi" w:hAnsiTheme="majorBidi" w:cstheme="majorBidi"/>
          <w:i/>
          <w:iCs/>
          <w:sz w:val="24"/>
          <w:szCs w:val="24"/>
        </w:rPr>
        <w:t>N</w:t>
      </w:r>
      <w:r w:rsidRPr="006C23B4">
        <w:rPr>
          <w:rFonts w:asciiTheme="majorBidi" w:hAnsiTheme="majorBidi" w:cstheme="majorBidi"/>
          <w:i/>
          <w:iCs/>
          <w:sz w:val="24"/>
          <w:szCs w:val="24"/>
        </w:rPr>
        <w:t>ormal ad, just like any other ad I see, nothing special about it</w:t>
      </w:r>
      <w:r w:rsidR="001E0A90">
        <w:rPr>
          <w:rFonts w:asciiTheme="majorBidi" w:hAnsiTheme="majorBidi" w:cstheme="majorBidi"/>
          <w:sz w:val="24"/>
          <w:szCs w:val="24"/>
        </w:rPr>
        <w:t xml:space="preserve"> (N.N., 2022)</w:t>
      </w:r>
      <w:r w:rsidRPr="001E0A90">
        <w:rPr>
          <w:rFonts w:asciiTheme="majorBidi" w:hAnsiTheme="majorBidi" w:cstheme="majorBidi"/>
          <w:sz w:val="24"/>
          <w:szCs w:val="24"/>
        </w:rPr>
        <w:t>.”</w:t>
      </w:r>
    </w:p>
    <w:p w14:paraId="0991C7D6" w14:textId="77777777" w:rsidR="006C23B4" w:rsidRDefault="00ED492B" w:rsidP="00ED492B">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4B663C">
        <w:rPr>
          <w:rFonts w:asciiTheme="majorBidi" w:hAnsiTheme="majorBidi" w:cstheme="majorBidi"/>
          <w:color w:val="2E2E2E"/>
          <w:sz w:val="24"/>
          <w:szCs w:val="24"/>
        </w:rPr>
        <w:t xml:space="preserve"> </w:t>
      </w:r>
      <w:bookmarkStart w:id="205" w:name="_Hlk149851372"/>
      <w:r w:rsidRPr="004B663C">
        <w:rPr>
          <w:rFonts w:asciiTheme="majorBidi" w:hAnsiTheme="majorBidi" w:cstheme="majorBidi"/>
          <w:color w:val="2E2E2E"/>
          <w:sz w:val="24"/>
          <w:szCs w:val="24"/>
        </w:rPr>
        <w:t xml:space="preserve">There were few </w:t>
      </w:r>
      <w:r>
        <w:rPr>
          <w:rFonts w:asciiTheme="majorBidi" w:hAnsiTheme="majorBidi" w:cstheme="majorBidi"/>
          <w:color w:val="2E2E2E"/>
          <w:sz w:val="24"/>
          <w:szCs w:val="24"/>
        </w:rPr>
        <w:t>interviewees</w:t>
      </w:r>
      <w:r w:rsidRPr="004B663C">
        <w:rPr>
          <w:rFonts w:asciiTheme="majorBidi" w:hAnsiTheme="majorBidi" w:cstheme="majorBidi"/>
          <w:color w:val="2E2E2E"/>
          <w:sz w:val="24"/>
          <w:szCs w:val="24"/>
        </w:rPr>
        <w:t xml:space="preserve"> who generally did not like the non-CSR ad or did not express special interest in it</w:t>
      </w:r>
      <w:r>
        <w:rPr>
          <w:rFonts w:asciiTheme="majorBidi" w:hAnsiTheme="majorBidi" w:cstheme="majorBidi"/>
          <w:color w:val="2E2E2E"/>
          <w:sz w:val="24"/>
          <w:szCs w:val="24"/>
        </w:rPr>
        <w:t>. They expressed similar reasons like the above comments as they believed that the non-CSR ad is a typical ad that they have seen before. Few subjects said:</w:t>
      </w:r>
    </w:p>
    <w:p w14:paraId="2F6B34DB" w14:textId="519CDB31" w:rsidR="006C23B4" w:rsidRDefault="00ED492B" w:rsidP="006C23B4">
      <w:pPr>
        <w:widowControl w:val="0"/>
        <w:spacing w:line="240" w:lineRule="auto"/>
        <w:ind w:firstLine="720"/>
        <w:outlineLvl w:val="2"/>
        <w:rPr>
          <w:rFonts w:asciiTheme="majorBidi" w:hAnsiTheme="majorBidi" w:cstheme="majorBidi"/>
          <w:sz w:val="24"/>
          <w:szCs w:val="24"/>
        </w:rPr>
      </w:pPr>
      <w:r w:rsidRPr="001E0A90">
        <w:rPr>
          <w:rFonts w:asciiTheme="majorBidi" w:hAnsiTheme="majorBidi" w:cstheme="majorBidi"/>
          <w:sz w:val="24"/>
          <w:szCs w:val="24"/>
        </w:rPr>
        <w:t>“</w:t>
      </w:r>
      <w:r w:rsidR="006C23B4" w:rsidRPr="006C23B4">
        <w:rPr>
          <w:rFonts w:asciiTheme="majorBidi" w:hAnsiTheme="majorBidi" w:cstheme="majorBidi"/>
          <w:i/>
          <w:iCs/>
          <w:sz w:val="24"/>
          <w:szCs w:val="24"/>
        </w:rPr>
        <w:t>B</w:t>
      </w:r>
      <w:r w:rsidRPr="006C23B4">
        <w:rPr>
          <w:rFonts w:asciiTheme="majorBidi" w:hAnsiTheme="majorBidi" w:cstheme="majorBidi"/>
          <w:i/>
          <w:iCs/>
          <w:sz w:val="24"/>
          <w:szCs w:val="24"/>
        </w:rPr>
        <w:t>asic or normal just like all the other ads with no purpose</w:t>
      </w:r>
      <w:r w:rsidR="001E0A90">
        <w:rPr>
          <w:rFonts w:asciiTheme="majorBidi" w:hAnsiTheme="majorBidi" w:cstheme="majorBidi"/>
          <w:sz w:val="24"/>
          <w:szCs w:val="24"/>
        </w:rPr>
        <w:t xml:space="preserve"> (S.O., 2022)</w:t>
      </w:r>
      <w:r w:rsidRPr="001E0A90">
        <w:rPr>
          <w:rFonts w:asciiTheme="majorBidi" w:hAnsiTheme="majorBidi" w:cstheme="majorBidi"/>
          <w:sz w:val="24"/>
          <w:szCs w:val="24"/>
        </w:rPr>
        <w:t>,”</w:t>
      </w:r>
    </w:p>
    <w:p w14:paraId="52093534" w14:textId="77777777" w:rsidR="006C23B4" w:rsidRDefault="00ED492B" w:rsidP="006C23B4">
      <w:pPr>
        <w:widowControl w:val="0"/>
        <w:spacing w:line="240" w:lineRule="auto"/>
        <w:outlineLvl w:val="2"/>
        <w:rPr>
          <w:rFonts w:asciiTheme="majorBidi" w:hAnsiTheme="majorBidi" w:cstheme="majorBidi"/>
          <w:sz w:val="24"/>
          <w:szCs w:val="24"/>
        </w:rPr>
      </w:pPr>
      <w:r>
        <w:rPr>
          <w:rFonts w:asciiTheme="majorBidi" w:hAnsiTheme="majorBidi" w:cstheme="majorBidi"/>
          <w:sz w:val="24"/>
          <w:szCs w:val="24"/>
        </w:rPr>
        <w:t xml:space="preserve"> </w:t>
      </w:r>
      <w:r w:rsidR="006C23B4">
        <w:rPr>
          <w:rFonts w:asciiTheme="majorBidi" w:hAnsiTheme="majorBidi" w:cstheme="majorBidi"/>
          <w:sz w:val="24"/>
          <w:szCs w:val="24"/>
        </w:rPr>
        <w:tab/>
      </w:r>
      <w:r w:rsidRPr="001E0A90">
        <w:rPr>
          <w:rFonts w:asciiTheme="majorBidi" w:hAnsiTheme="majorBidi" w:cstheme="majorBidi"/>
          <w:sz w:val="24"/>
          <w:szCs w:val="24"/>
        </w:rPr>
        <w:t>“</w:t>
      </w:r>
      <w:r w:rsidR="006C23B4" w:rsidRPr="006C23B4">
        <w:rPr>
          <w:rFonts w:asciiTheme="majorBidi" w:hAnsiTheme="majorBidi" w:cstheme="majorBidi"/>
          <w:i/>
          <w:iCs/>
          <w:color w:val="2E2E2E"/>
          <w:sz w:val="24"/>
          <w:szCs w:val="24"/>
        </w:rPr>
        <w:t>I</w:t>
      </w:r>
      <w:r w:rsidRPr="006C23B4">
        <w:rPr>
          <w:rFonts w:asciiTheme="majorBidi" w:hAnsiTheme="majorBidi" w:cstheme="majorBidi"/>
          <w:i/>
          <w:iCs/>
          <w:sz w:val="24"/>
          <w:szCs w:val="24"/>
        </w:rPr>
        <w:t>n general, I didn’t like this ad</w:t>
      </w:r>
      <w:r w:rsidR="001E0A90">
        <w:rPr>
          <w:rFonts w:asciiTheme="majorBidi" w:hAnsiTheme="majorBidi" w:cstheme="majorBidi"/>
          <w:sz w:val="24"/>
          <w:szCs w:val="24"/>
        </w:rPr>
        <w:t xml:space="preserve"> (R.G., 2022)</w:t>
      </w:r>
      <w:r w:rsidRPr="001E0A90">
        <w:rPr>
          <w:rFonts w:asciiTheme="majorBidi" w:hAnsiTheme="majorBidi" w:cstheme="majorBidi"/>
          <w:sz w:val="24"/>
          <w:szCs w:val="24"/>
        </w:rPr>
        <w:t>,”</w:t>
      </w:r>
      <w:r w:rsidRPr="00E35686">
        <w:rPr>
          <w:rFonts w:asciiTheme="majorBidi" w:hAnsiTheme="majorBidi" w:cstheme="majorBidi"/>
          <w:sz w:val="24"/>
          <w:szCs w:val="24"/>
        </w:rPr>
        <w:t xml:space="preserve"> </w:t>
      </w:r>
    </w:p>
    <w:p w14:paraId="01B9163A" w14:textId="77777777" w:rsidR="006C23B4" w:rsidRDefault="006C23B4" w:rsidP="006C23B4">
      <w:pPr>
        <w:widowControl w:val="0"/>
        <w:spacing w:line="240" w:lineRule="auto"/>
        <w:ind w:left="720"/>
        <w:outlineLvl w:val="2"/>
        <w:rPr>
          <w:rFonts w:asciiTheme="majorBidi" w:hAnsiTheme="majorBidi" w:cstheme="majorBidi"/>
          <w:sz w:val="24"/>
          <w:szCs w:val="24"/>
        </w:rPr>
      </w:pPr>
      <w:r>
        <w:rPr>
          <w:rFonts w:asciiTheme="majorBidi" w:hAnsiTheme="majorBidi" w:cstheme="majorBidi"/>
          <w:sz w:val="24"/>
          <w:szCs w:val="24"/>
        </w:rPr>
        <w:t>“</w:t>
      </w:r>
      <w:r w:rsidRPr="006C23B4">
        <w:rPr>
          <w:rFonts w:asciiTheme="majorBidi" w:hAnsiTheme="majorBidi" w:cstheme="majorBidi"/>
          <w:i/>
          <w:iCs/>
          <w:sz w:val="24"/>
          <w:szCs w:val="24"/>
        </w:rPr>
        <w:t>I</w:t>
      </w:r>
      <w:r w:rsidR="00ED492B" w:rsidRPr="006C23B4">
        <w:rPr>
          <w:rFonts w:asciiTheme="majorBidi" w:hAnsiTheme="majorBidi" w:cstheme="majorBidi"/>
          <w:i/>
          <w:iCs/>
          <w:sz w:val="24"/>
          <w:szCs w:val="24"/>
        </w:rPr>
        <w:t>n general, I am bored of these ads, same target audience that says women and moms are the ones concerned with cleaning</w:t>
      </w:r>
      <w:r w:rsidR="000A6D10">
        <w:rPr>
          <w:rFonts w:asciiTheme="majorBidi" w:hAnsiTheme="majorBidi" w:cstheme="majorBidi"/>
          <w:sz w:val="24"/>
          <w:szCs w:val="24"/>
        </w:rPr>
        <w:t xml:space="preserve"> (S.H., 2022)</w:t>
      </w:r>
      <w:r w:rsidR="00ED492B" w:rsidRPr="001E0A90">
        <w:rPr>
          <w:rFonts w:asciiTheme="majorBidi" w:hAnsiTheme="majorBidi" w:cstheme="majorBidi"/>
          <w:sz w:val="24"/>
          <w:szCs w:val="24"/>
        </w:rPr>
        <w:t>,</w:t>
      </w:r>
      <w:r>
        <w:rPr>
          <w:rFonts w:asciiTheme="majorBidi" w:hAnsiTheme="majorBidi" w:cstheme="majorBidi"/>
          <w:sz w:val="24"/>
          <w:szCs w:val="24"/>
        </w:rPr>
        <w:t xml:space="preserve"> and</w:t>
      </w:r>
      <w:r w:rsidR="00ED492B" w:rsidRPr="001E0A90">
        <w:rPr>
          <w:rFonts w:asciiTheme="majorBidi" w:hAnsiTheme="majorBidi" w:cstheme="majorBidi"/>
          <w:sz w:val="24"/>
          <w:szCs w:val="24"/>
        </w:rPr>
        <w:t>”</w:t>
      </w:r>
      <w:r w:rsidR="00ED492B">
        <w:rPr>
          <w:rFonts w:asciiTheme="majorBidi" w:hAnsiTheme="majorBidi" w:cstheme="majorBidi"/>
          <w:sz w:val="24"/>
          <w:szCs w:val="24"/>
        </w:rPr>
        <w:t xml:space="preserve"> </w:t>
      </w:r>
      <w:bookmarkEnd w:id="205"/>
    </w:p>
    <w:p w14:paraId="143EF7AF" w14:textId="1706FA32" w:rsidR="00ED492B" w:rsidRPr="006C23B4" w:rsidRDefault="00ED492B" w:rsidP="006C23B4">
      <w:pPr>
        <w:widowControl w:val="0"/>
        <w:spacing w:line="240" w:lineRule="auto"/>
        <w:ind w:left="720"/>
        <w:outlineLvl w:val="2"/>
        <w:rPr>
          <w:rFonts w:asciiTheme="majorBidi" w:hAnsiTheme="majorBidi" w:cstheme="majorBidi"/>
          <w:sz w:val="24"/>
          <w:szCs w:val="24"/>
        </w:rPr>
      </w:pPr>
      <w:r w:rsidRPr="000A6D10">
        <w:rPr>
          <w:rFonts w:asciiTheme="majorBidi" w:hAnsiTheme="majorBidi" w:cstheme="majorBidi"/>
          <w:color w:val="2E2E2E"/>
          <w:sz w:val="24"/>
          <w:szCs w:val="24"/>
        </w:rPr>
        <w:t>“</w:t>
      </w:r>
      <w:r w:rsidRPr="006C23B4">
        <w:rPr>
          <w:rFonts w:asciiTheme="majorBidi" w:hAnsiTheme="majorBidi" w:cstheme="majorBidi"/>
          <w:i/>
          <w:iCs/>
          <w:sz w:val="24"/>
          <w:szCs w:val="24"/>
        </w:rPr>
        <w:t>I do</w:t>
      </w:r>
      <w:r w:rsidR="00F67257" w:rsidRPr="006C23B4">
        <w:rPr>
          <w:rFonts w:asciiTheme="majorBidi" w:hAnsiTheme="majorBidi" w:cstheme="majorBidi"/>
          <w:i/>
          <w:iCs/>
          <w:sz w:val="24"/>
          <w:szCs w:val="24"/>
        </w:rPr>
        <w:t xml:space="preserve"> </w:t>
      </w:r>
      <w:r w:rsidRPr="006C23B4">
        <w:rPr>
          <w:rFonts w:asciiTheme="majorBidi" w:hAnsiTheme="majorBidi" w:cstheme="majorBidi"/>
          <w:i/>
          <w:iCs/>
          <w:sz w:val="24"/>
          <w:szCs w:val="24"/>
        </w:rPr>
        <w:t>n</w:t>
      </w:r>
      <w:r w:rsidR="00F67257" w:rsidRPr="006C23B4">
        <w:rPr>
          <w:rFonts w:asciiTheme="majorBidi" w:hAnsiTheme="majorBidi" w:cstheme="majorBidi"/>
          <w:i/>
          <w:iCs/>
          <w:sz w:val="24"/>
          <w:szCs w:val="24"/>
        </w:rPr>
        <w:t>o</w:t>
      </w:r>
      <w:r w:rsidRPr="006C23B4">
        <w:rPr>
          <w:rFonts w:asciiTheme="majorBidi" w:hAnsiTheme="majorBidi" w:cstheme="majorBidi"/>
          <w:i/>
          <w:iCs/>
          <w:sz w:val="24"/>
          <w:szCs w:val="24"/>
        </w:rPr>
        <w:t>t feel like its talking about my protection it does</w:t>
      </w:r>
      <w:r w:rsidR="00F67257" w:rsidRPr="006C23B4">
        <w:rPr>
          <w:rFonts w:asciiTheme="majorBidi" w:hAnsiTheme="majorBidi" w:cstheme="majorBidi"/>
          <w:i/>
          <w:iCs/>
          <w:sz w:val="24"/>
          <w:szCs w:val="24"/>
        </w:rPr>
        <w:t xml:space="preserve"> </w:t>
      </w:r>
      <w:r w:rsidRPr="006C23B4">
        <w:rPr>
          <w:rFonts w:asciiTheme="majorBidi" w:hAnsiTheme="majorBidi" w:cstheme="majorBidi"/>
          <w:i/>
          <w:iCs/>
          <w:sz w:val="24"/>
          <w:szCs w:val="24"/>
        </w:rPr>
        <w:t>n</w:t>
      </w:r>
      <w:r w:rsidR="00F67257" w:rsidRPr="006C23B4">
        <w:rPr>
          <w:rFonts w:asciiTheme="majorBidi" w:hAnsiTheme="majorBidi" w:cstheme="majorBidi"/>
          <w:i/>
          <w:iCs/>
          <w:sz w:val="24"/>
          <w:szCs w:val="24"/>
        </w:rPr>
        <w:t>o</w:t>
      </w:r>
      <w:r w:rsidRPr="006C23B4">
        <w:rPr>
          <w:rFonts w:asciiTheme="majorBidi" w:hAnsiTheme="majorBidi" w:cstheme="majorBidi"/>
          <w:i/>
          <w:iCs/>
          <w:sz w:val="24"/>
          <w:szCs w:val="24"/>
        </w:rPr>
        <w:t xml:space="preserve">t have a specific direction. Its scaring me from germs and so and </w:t>
      </w:r>
      <w:r w:rsidR="00F67257" w:rsidRPr="006C23B4">
        <w:rPr>
          <w:rFonts w:asciiTheme="majorBidi" w:hAnsiTheme="majorBidi" w:cstheme="majorBidi"/>
          <w:i/>
          <w:iCs/>
          <w:sz w:val="24"/>
          <w:szCs w:val="24"/>
        </w:rPr>
        <w:t>i</w:t>
      </w:r>
      <w:r w:rsidRPr="006C23B4">
        <w:rPr>
          <w:rFonts w:asciiTheme="majorBidi" w:hAnsiTheme="majorBidi" w:cstheme="majorBidi"/>
          <w:i/>
          <w:iCs/>
          <w:sz w:val="24"/>
          <w:szCs w:val="24"/>
        </w:rPr>
        <w:t>t</w:t>
      </w:r>
      <w:r w:rsidR="00F67257" w:rsidRPr="006C23B4">
        <w:rPr>
          <w:rFonts w:asciiTheme="majorBidi" w:hAnsiTheme="majorBidi" w:cstheme="majorBidi"/>
          <w:i/>
          <w:iCs/>
          <w:sz w:val="24"/>
          <w:szCs w:val="24"/>
        </w:rPr>
        <w:t>’</w:t>
      </w:r>
      <w:r w:rsidRPr="006C23B4">
        <w:rPr>
          <w:rFonts w:asciiTheme="majorBidi" w:hAnsiTheme="majorBidi" w:cstheme="majorBidi"/>
          <w:i/>
          <w:iCs/>
          <w:sz w:val="24"/>
          <w:szCs w:val="24"/>
        </w:rPr>
        <w:t>s showing off its expertise so I can buy Dettol</w:t>
      </w:r>
      <w:r w:rsidR="000A6D10" w:rsidRPr="000A6D10">
        <w:rPr>
          <w:rFonts w:asciiTheme="majorBidi" w:hAnsiTheme="majorBidi" w:cstheme="majorBidi"/>
          <w:sz w:val="24"/>
          <w:szCs w:val="24"/>
        </w:rPr>
        <w:t xml:space="preserve"> (N.N., 2022)</w:t>
      </w:r>
      <w:r w:rsidRPr="000A6D10">
        <w:rPr>
          <w:rFonts w:asciiTheme="majorBidi" w:hAnsiTheme="majorBidi" w:cstheme="majorBidi"/>
          <w:sz w:val="24"/>
          <w:szCs w:val="24"/>
        </w:rPr>
        <w:t>.”</w:t>
      </w:r>
    </w:p>
    <w:p w14:paraId="689F1E3D" w14:textId="4D9F7435" w:rsidR="00ED492B" w:rsidRPr="004B663C" w:rsidRDefault="00ED492B" w:rsidP="006C23B4">
      <w:pPr>
        <w:widowControl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Evidently, participants did not like this ad because of its typical nature talking about the basic functions of the product. </w:t>
      </w:r>
      <w:r w:rsidR="00173596">
        <w:rPr>
          <w:rFonts w:asciiTheme="majorBidi" w:hAnsiTheme="majorBidi" w:cstheme="majorBidi"/>
          <w:sz w:val="24"/>
          <w:szCs w:val="24"/>
        </w:rPr>
        <w:t>Therefore</w:t>
      </w:r>
      <w:r>
        <w:rPr>
          <w:rFonts w:asciiTheme="majorBidi" w:hAnsiTheme="majorBidi" w:cstheme="majorBidi"/>
          <w:sz w:val="24"/>
          <w:szCs w:val="24"/>
        </w:rPr>
        <w:t xml:space="preserve">, the semi-structure format of the interview factored some questions related to the perceived functionality of the product which will be discussed in section 7.4.10. Moreover, the data yielded further information revealing how respondents compared the ads against each other in terms of their preference of message style and content.  </w:t>
      </w:r>
    </w:p>
    <w:p w14:paraId="3B58032C" w14:textId="5BCA837B" w:rsidR="00ED492B" w:rsidRPr="00DA7901"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.4.3 </w:t>
      </w:r>
      <w:r w:rsidRPr="00DA7901">
        <w:rPr>
          <w:rFonts w:asciiTheme="majorBidi" w:hAnsiTheme="majorBidi" w:cstheme="majorBidi"/>
          <w:b/>
          <w:bCs/>
          <w:color w:val="2E2E2E"/>
          <w:sz w:val="24"/>
          <w:szCs w:val="24"/>
        </w:rPr>
        <w:t xml:space="preserve">Ad </w:t>
      </w:r>
      <w:r>
        <w:rPr>
          <w:rFonts w:asciiTheme="majorBidi" w:hAnsiTheme="majorBidi" w:cstheme="majorBidi"/>
          <w:b/>
          <w:bCs/>
          <w:color w:val="2E2E2E"/>
          <w:sz w:val="24"/>
          <w:szCs w:val="24"/>
        </w:rPr>
        <w:t>L</w:t>
      </w:r>
      <w:r w:rsidRPr="00DA7901">
        <w:rPr>
          <w:rFonts w:asciiTheme="majorBidi" w:hAnsiTheme="majorBidi" w:cstheme="majorBidi"/>
          <w:b/>
          <w:bCs/>
          <w:color w:val="2E2E2E"/>
          <w:sz w:val="24"/>
          <w:szCs w:val="24"/>
        </w:rPr>
        <w:t xml:space="preserve">ikeability on social media </w:t>
      </w:r>
    </w:p>
    <w:p w14:paraId="57B731C2" w14:textId="77777777" w:rsidR="006C23B4" w:rsidRDefault="00ED492B" w:rsidP="000A6D10">
      <w:pPr>
        <w:widowControl w:val="0"/>
        <w:spacing w:after="0" w:line="480" w:lineRule="auto"/>
        <w:outlineLvl w:val="2"/>
        <w:rPr>
          <w:rFonts w:asciiTheme="majorBidi" w:hAnsiTheme="majorBidi" w:cstheme="majorBidi"/>
          <w:sz w:val="24"/>
          <w:szCs w:val="24"/>
        </w:rPr>
      </w:pPr>
      <w:r>
        <w:rPr>
          <w:rFonts w:asciiTheme="majorBidi" w:hAnsiTheme="majorBidi" w:cstheme="majorBidi"/>
          <w:color w:val="2E2E2E"/>
          <w:sz w:val="24"/>
          <w:szCs w:val="24"/>
        </w:rPr>
        <w:tab/>
        <w:t xml:space="preserve">This sub theme emerged when </w:t>
      </w:r>
      <w:r w:rsidR="00C4373A">
        <w:rPr>
          <w:rFonts w:asciiTheme="majorBidi" w:hAnsiTheme="majorBidi" w:cstheme="majorBidi"/>
          <w:color w:val="2E2E2E"/>
          <w:sz w:val="24"/>
          <w:szCs w:val="24"/>
        </w:rPr>
        <w:t>the interviewed subjects</w:t>
      </w:r>
      <w:r>
        <w:rPr>
          <w:rFonts w:asciiTheme="majorBidi" w:hAnsiTheme="majorBidi" w:cstheme="majorBidi"/>
          <w:color w:val="2E2E2E"/>
          <w:sz w:val="24"/>
          <w:szCs w:val="24"/>
        </w:rPr>
        <w:t xml:space="preserve"> were asked to give their views on both ads if they appeared as static ads on Facebook. When </w:t>
      </w:r>
      <w:r w:rsidR="00C4373A">
        <w:rPr>
          <w:rFonts w:asciiTheme="majorBidi" w:hAnsiTheme="majorBidi" w:cstheme="majorBidi"/>
          <w:color w:val="2E2E2E"/>
          <w:sz w:val="24"/>
          <w:szCs w:val="24"/>
        </w:rPr>
        <w:t>subjects</w:t>
      </w:r>
      <w:r>
        <w:rPr>
          <w:rFonts w:asciiTheme="majorBidi" w:hAnsiTheme="majorBidi" w:cstheme="majorBidi"/>
          <w:color w:val="2E2E2E"/>
          <w:sz w:val="24"/>
          <w:szCs w:val="24"/>
        </w:rPr>
        <w:t xml:space="preserve"> saw both stimuli as Facebook ads, a lot of the respondents commented on the specific elements in the execution of the ad. For instance, some respondents commented that that the CSR ad has “</w:t>
      </w:r>
      <w:r w:rsidRPr="006C23B4">
        <w:rPr>
          <w:rFonts w:asciiTheme="majorBidi" w:hAnsiTheme="majorBidi" w:cstheme="majorBidi"/>
          <w:i/>
          <w:iCs/>
          <w:color w:val="2E2E2E"/>
          <w:sz w:val="24"/>
          <w:szCs w:val="24"/>
        </w:rPr>
        <w:t>too much text</w:t>
      </w:r>
      <w:r>
        <w:rPr>
          <w:rFonts w:asciiTheme="majorBidi" w:hAnsiTheme="majorBidi" w:cstheme="majorBidi"/>
          <w:color w:val="2E2E2E"/>
          <w:sz w:val="24"/>
          <w:szCs w:val="24"/>
        </w:rPr>
        <w:t>” or “</w:t>
      </w:r>
      <w:r w:rsidRPr="006C23B4">
        <w:rPr>
          <w:rFonts w:asciiTheme="majorBidi" w:hAnsiTheme="majorBidi" w:cstheme="majorBidi"/>
          <w:i/>
          <w:iCs/>
          <w:color w:val="2E2E2E"/>
          <w:sz w:val="24"/>
          <w:szCs w:val="24"/>
        </w:rPr>
        <w:t>it is not clear that it’s a Dettol ad</w:t>
      </w:r>
      <w:r>
        <w:rPr>
          <w:rFonts w:asciiTheme="majorBidi" w:hAnsiTheme="majorBidi" w:cstheme="majorBidi"/>
          <w:color w:val="2E2E2E"/>
          <w:sz w:val="24"/>
          <w:szCs w:val="24"/>
        </w:rPr>
        <w:t xml:space="preserve">.” Similarly, most </w:t>
      </w:r>
      <w:r w:rsidR="00C4373A">
        <w:rPr>
          <w:rFonts w:asciiTheme="majorBidi" w:hAnsiTheme="majorBidi" w:cstheme="majorBidi"/>
          <w:color w:val="2E2E2E"/>
          <w:sz w:val="24"/>
          <w:szCs w:val="24"/>
        </w:rPr>
        <w:t>interviewees</w:t>
      </w:r>
      <w:r>
        <w:rPr>
          <w:rFonts w:asciiTheme="majorBidi" w:hAnsiTheme="majorBidi" w:cstheme="majorBidi"/>
          <w:color w:val="2E2E2E"/>
          <w:sz w:val="24"/>
          <w:szCs w:val="24"/>
        </w:rPr>
        <w:t xml:space="preserve"> preferred the CSR ad over the non-CSR for similar reasons. One respondent mentioned that the CSR ad is “</w:t>
      </w:r>
      <w:r w:rsidRPr="006C23B4">
        <w:rPr>
          <w:rFonts w:asciiTheme="majorBidi" w:hAnsiTheme="majorBidi" w:cstheme="majorBidi"/>
          <w:i/>
          <w:iCs/>
          <w:color w:val="2E2E2E"/>
          <w:sz w:val="24"/>
          <w:szCs w:val="24"/>
        </w:rPr>
        <w:t>catchy</w:t>
      </w:r>
      <w:r>
        <w:rPr>
          <w:rFonts w:asciiTheme="majorBidi" w:hAnsiTheme="majorBidi" w:cstheme="majorBidi"/>
          <w:color w:val="2E2E2E"/>
          <w:sz w:val="24"/>
          <w:szCs w:val="24"/>
        </w:rPr>
        <w:t>” and “</w:t>
      </w:r>
      <w:r w:rsidRPr="006C23B4">
        <w:rPr>
          <w:rFonts w:asciiTheme="majorBidi" w:hAnsiTheme="majorBidi" w:cstheme="majorBidi"/>
          <w:i/>
          <w:iCs/>
          <w:sz w:val="24"/>
          <w:szCs w:val="24"/>
        </w:rPr>
        <w:t>up to date and it shows the brand is aware with what’s happening in society.</w:t>
      </w:r>
      <w:r>
        <w:rPr>
          <w:rFonts w:asciiTheme="majorBidi" w:hAnsiTheme="majorBidi" w:cstheme="majorBidi"/>
          <w:sz w:val="24"/>
          <w:szCs w:val="24"/>
        </w:rPr>
        <w:t xml:space="preserve">” Also, </w:t>
      </w:r>
      <w:r w:rsidR="00F67257">
        <w:rPr>
          <w:rFonts w:asciiTheme="majorBidi" w:hAnsiTheme="majorBidi" w:cstheme="majorBidi"/>
          <w:sz w:val="24"/>
          <w:szCs w:val="24"/>
        </w:rPr>
        <w:t>two</w:t>
      </w:r>
      <w:r>
        <w:rPr>
          <w:rFonts w:asciiTheme="majorBidi" w:hAnsiTheme="majorBidi" w:cstheme="majorBidi"/>
          <w:sz w:val="24"/>
          <w:szCs w:val="24"/>
        </w:rPr>
        <w:t xml:space="preserve"> respondents mentioned that if they see this CSR ad on Facebook they would be intrigued to click on it and read more about the advertised campaign. On the other hand, a lot of the respondents did not like the non-CSR ad and it was obvious as they made the following comments: </w:t>
      </w:r>
    </w:p>
    <w:p w14:paraId="5F35EBE8" w14:textId="77777777" w:rsidR="006C23B4" w:rsidRDefault="00ED492B" w:rsidP="006C23B4">
      <w:pPr>
        <w:widowControl w:val="0"/>
        <w:spacing w:line="240" w:lineRule="auto"/>
        <w:ind w:firstLine="720"/>
        <w:outlineLvl w:val="2"/>
        <w:rPr>
          <w:rFonts w:asciiTheme="majorBidi" w:hAnsiTheme="majorBidi" w:cstheme="majorBidi"/>
          <w:i/>
          <w:iCs/>
          <w:sz w:val="24"/>
          <w:szCs w:val="24"/>
        </w:rPr>
      </w:pPr>
      <w:r w:rsidRPr="000A6D10">
        <w:rPr>
          <w:rFonts w:asciiTheme="majorBidi" w:hAnsiTheme="majorBidi" w:cstheme="majorBidi"/>
          <w:sz w:val="24"/>
          <w:szCs w:val="24"/>
        </w:rPr>
        <w:t>“</w:t>
      </w:r>
      <w:r w:rsidRPr="006C23B4">
        <w:rPr>
          <w:rFonts w:asciiTheme="majorBidi" w:hAnsiTheme="majorBidi" w:cstheme="majorBidi"/>
          <w:i/>
          <w:iCs/>
          <w:sz w:val="24"/>
          <w:szCs w:val="24"/>
        </w:rPr>
        <w:t>the second one is a repeated message that I will ignore on purpose</w:t>
      </w:r>
      <w:r w:rsidR="000A6D10">
        <w:rPr>
          <w:rFonts w:asciiTheme="majorBidi" w:hAnsiTheme="majorBidi" w:cstheme="majorBidi"/>
          <w:sz w:val="24"/>
          <w:szCs w:val="24"/>
        </w:rPr>
        <w:t xml:space="preserve"> </w:t>
      </w:r>
      <w:r w:rsidR="000A6D10" w:rsidRPr="000A6D10">
        <w:rPr>
          <w:rFonts w:asciiTheme="majorBidi" w:hAnsiTheme="majorBidi" w:cstheme="majorBidi"/>
          <w:sz w:val="24"/>
          <w:szCs w:val="24"/>
        </w:rPr>
        <w:t>(N.S., 2022)</w:t>
      </w:r>
      <w:r w:rsidRPr="000A6D10">
        <w:rPr>
          <w:rFonts w:asciiTheme="majorBidi" w:hAnsiTheme="majorBidi" w:cstheme="majorBidi"/>
          <w:sz w:val="24"/>
          <w:szCs w:val="24"/>
        </w:rPr>
        <w:t>,”</w:t>
      </w:r>
      <w:r>
        <w:rPr>
          <w:rFonts w:asciiTheme="majorBidi" w:hAnsiTheme="majorBidi" w:cstheme="majorBidi"/>
          <w:i/>
          <w:iCs/>
          <w:sz w:val="24"/>
          <w:szCs w:val="24"/>
        </w:rPr>
        <w:t xml:space="preserve"> </w:t>
      </w:r>
    </w:p>
    <w:p w14:paraId="7CB86765" w14:textId="77777777" w:rsidR="006C23B4" w:rsidRDefault="00ED492B" w:rsidP="006C23B4">
      <w:pPr>
        <w:widowControl w:val="0"/>
        <w:spacing w:line="240" w:lineRule="auto"/>
        <w:ind w:firstLine="720"/>
        <w:outlineLvl w:val="2"/>
        <w:rPr>
          <w:rFonts w:asciiTheme="majorBidi" w:hAnsiTheme="majorBidi" w:cstheme="majorBidi"/>
          <w:sz w:val="24"/>
          <w:szCs w:val="24"/>
        </w:rPr>
      </w:pPr>
      <w:r w:rsidRPr="000A6D10">
        <w:rPr>
          <w:rFonts w:asciiTheme="majorBidi" w:hAnsiTheme="majorBidi" w:cstheme="majorBidi"/>
          <w:sz w:val="24"/>
          <w:szCs w:val="24"/>
        </w:rPr>
        <w:t>“</w:t>
      </w:r>
      <w:r w:rsidRPr="006C23B4">
        <w:rPr>
          <w:rFonts w:asciiTheme="majorBidi" w:hAnsiTheme="majorBidi" w:cstheme="majorBidi"/>
          <w:i/>
          <w:iCs/>
          <w:sz w:val="24"/>
          <w:szCs w:val="24"/>
        </w:rPr>
        <w:t>its generic and has been repeated over years and years</w:t>
      </w:r>
      <w:r w:rsidR="000A6D10" w:rsidRPr="000A6D10">
        <w:rPr>
          <w:rFonts w:asciiTheme="majorBidi" w:hAnsiTheme="majorBidi" w:cstheme="majorBidi"/>
          <w:sz w:val="24"/>
          <w:szCs w:val="24"/>
        </w:rPr>
        <w:t xml:space="preserve"> (A.I., 2022)</w:t>
      </w:r>
      <w:r w:rsidRPr="000A6D10">
        <w:rPr>
          <w:rFonts w:asciiTheme="majorBidi" w:hAnsiTheme="majorBidi" w:cstheme="majorBidi"/>
          <w:sz w:val="24"/>
          <w:szCs w:val="24"/>
        </w:rPr>
        <w:t>,</w:t>
      </w:r>
      <w:r w:rsidR="006C23B4">
        <w:rPr>
          <w:rFonts w:asciiTheme="majorBidi" w:hAnsiTheme="majorBidi" w:cstheme="majorBidi"/>
          <w:sz w:val="24"/>
          <w:szCs w:val="24"/>
        </w:rPr>
        <w:t xml:space="preserve"> and</w:t>
      </w:r>
      <w:r w:rsidR="000A6D10" w:rsidRPr="000A6D10">
        <w:rPr>
          <w:rFonts w:asciiTheme="majorBidi" w:hAnsiTheme="majorBidi" w:cstheme="majorBidi"/>
          <w:sz w:val="24"/>
          <w:szCs w:val="24"/>
        </w:rPr>
        <w:t xml:space="preserve">” </w:t>
      </w:r>
    </w:p>
    <w:p w14:paraId="3A7E6FDF" w14:textId="3DC65505" w:rsidR="00ED492B" w:rsidRPr="00230C30" w:rsidRDefault="00ED492B" w:rsidP="006C23B4">
      <w:pPr>
        <w:widowControl w:val="0"/>
        <w:spacing w:line="240" w:lineRule="auto"/>
        <w:ind w:left="720"/>
        <w:outlineLvl w:val="2"/>
        <w:rPr>
          <w:rFonts w:asciiTheme="majorBidi" w:hAnsiTheme="majorBidi" w:cstheme="majorBidi"/>
          <w:sz w:val="24"/>
          <w:szCs w:val="24"/>
        </w:rPr>
      </w:pPr>
      <w:r w:rsidRPr="000A6D10">
        <w:rPr>
          <w:rFonts w:asciiTheme="majorBidi" w:hAnsiTheme="majorBidi" w:cstheme="majorBidi"/>
          <w:sz w:val="24"/>
          <w:szCs w:val="24"/>
        </w:rPr>
        <w:t>“</w:t>
      </w:r>
      <w:r w:rsidRPr="006C23B4">
        <w:rPr>
          <w:rFonts w:asciiTheme="majorBidi" w:hAnsiTheme="majorBidi" w:cstheme="majorBidi"/>
          <w:i/>
          <w:iCs/>
          <w:sz w:val="24"/>
          <w:szCs w:val="24"/>
        </w:rPr>
        <w:t>like I would never click on that Dettol ad. Yes, I will see it, but my relationship will end there</w:t>
      </w:r>
      <w:r w:rsidR="000A6D10" w:rsidRPr="006C23B4">
        <w:rPr>
          <w:rFonts w:asciiTheme="majorBidi" w:hAnsiTheme="majorBidi" w:cstheme="majorBidi"/>
          <w:i/>
          <w:iCs/>
          <w:sz w:val="24"/>
          <w:szCs w:val="24"/>
        </w:rPr>
        <w:t xml:space="preserve"> </w:t>
      </w:r>
      <w:r w:rsidR="000A6D10" w:rsidRPr="000A6D10">
        <w:rPr>
          <w:rFonts w:asciiTheme="majorBidi" w:hAnsiTheme="majorBidi" w:cstheme="majorBidi"/>
          <w:sz w:val="24"/>
          <w:szCs w:val="24"/>
        </w:rPr>
        <w:t>(S.A., 2022)</w:t>
      </w:r>
      <w:r w:rsidRPr="000A6D10">
        <w:rPr>
          <w:rFonts w:asciiTheme="majorBidi" w:hAnsiTheme="majorBidi" w:cstheme="majorBidi"/>
          <w:sz w:val="24"/>
          <w:szCs w:val="24"/>
        </w:rPr>
        <w:t>!”</w:t>
      </w:r>
    </w:p>
    <w:p w14:paraId="1F96A364" w14:textId="2E225941" w:rsidR="00ED492B" w:rsidRDefault="00ED492B" w:rsidP="000A6D10">
      <w:pPr>
        <w:widowControl w:val="0"/>
        <w:spacing w:after="0"/>
        <w:rPr>
          <w:rFonts w:asciiTheme="majorBidi" w:hAnsiTheme="majorBidi" w:cstheme="majorBidi"/>
          <w:sz w:val="24"/>
          <w:szCs w:val="24"/>
        </w:rPr>
      </w:pPr>
      <w:r>
        <w:rPr>
          <w:rFonts w:asciiTheme="majorBidi" w:hAnsiTheme="majorBidi" w:cstheme="majorBidi"/>
          <w:sz w:val="24"/>
          <w:szCs w:val="24"/>
        </w:rPr>
        <w:t xml:space="preserve">There was only one </w:t>
      </w:r>
      <w:r w:rsidR="00C4373A">
        <w:rPr>
          <w:rFonts w:asciiTheme="majorBidi" w:hAnsiTheme="majorBidi" w:cstheme="majorBidi"/>
          <w:sz w:val="24"/>
          <w:szCs w:val="24"/>
        </w:rPr>
        <w:t>participant</w:t>
      </w:r>
      <w:r>
        <w:rPr>
          <w:rFonts w:asciiTheme="majorBidi" w:hAnsiTheme="majorBidi" w:cstheme="majorBidi"/>
          <w:sz w:val="24"/>
          <w:szCs w:val="24"/>
        </w:rPr>
        <w:t xml:space="preserve"> that did not like the CSR ad as she said the below: </w:t>
      </w:r>
    </w:p>
    <w:p w14:paraId="41C1A050" w14:textId="77777777" w:rsidR="000A6D10" w:rsidRDefault="000A6D10" w:rsidP="000A6D10">
      <w:pPr>
        <w:widowControl w:val="0"/>
        <w:spacing w:after="0"/>
        <w:rPr>
          <w:rFonts w:asciiTheme="majorBidi" w:hAnsiTheme="majorBidi" w:cstheme="majorBidi"/>
          <w:sz w:val="24"/>
          <w:szCs w:val="24"/>
        </w:rPr>
      </w:pPr>
    </w:p>
    <w:p w14:paraId="710703F3" w14:textId="1A4EE565" w:rsidR="00ED492B" w:rsidRPr="006C23B4" w:rsidRDefault="00ED492B" w:rsidP="00ED492B">
      <w:pPr>
        <w:widowControl w:val="0"/>
        <w:ind w:left="720"/>
        <w:rPr>
          <w:rFonts w:asciiTheme="majorBidi" w:hAnsiTheme="majorBidi" w:cstheme="majorBidi"/>
          <w:i/>
          <w:iCs/>
          <w:sz w:val="24"/>
          <w:szCs w:val="24"/>
        </w:rPr>
      </w:pPr>
      <w:r w:rsidRPr="006C23B4">
        <w:rPr>
          <w:rFonts w:asciiTheme="majorBidi" w:hAnsiTheme="majorBidi" w:cstheme="majorBidi"/>
          <w:i/>
          <w:iCs/>
          <w:sz w:val="24"/>
          <w:szCs w:val="24"/>
        </w:rPr>
        <w:t>I didn’t know that the first one is a Dettol ad, I can easily scroll and I wont even notice that it’s a Dettol ad</w:t>
      </w:r>
      <w:r w:rsidR="00F67257" w:rsidRPr="006C23B4">
        <w:rPr>
          <w:rFonts w:asciiTheme="majorBidi" w:hAnsiTheme="majorBidi" w:cstheme="majorBidi"/>
          <w:i/>
          <w:iCs/>
          <w:sz w:val="24"/>
          <w:szCs w:val="24"/>
        </w:rPr>
        <w:t xml:space="preserve"> u</w:t>
      </w:r>
      <w:r w:rsidRPr="006C23B4">
        <w:rPr>
          <w:rFonts w:asciiTheme="majorBidi" w:hAnsiTheme="majorBidi" w:cstheme="majorBidi"/>
          <w:i/>
          <w:iCs/>
          <w:sz w:val="24"/>
          <w:szCs w:val="24"/>
        </w:rPr>
        <w:t>nless, I put some effort to read more. But the second one is obviously a Dettol ad and it might remind me that I don’t have this item at home and I need to buy it again</w:t>
      </w:r>
      <w:r w:rsidR="000A6D10" w:rsidRPr="006C23B4">
        <w:rPr>
          <w:rFonts w:asciiTheme="majorBidi" w:hAnsiTheme="majorBidi" w:cstheme="majorBidi"/>
          <w:i/>
          <w:iCs/>
          <w:sz w:val="24"/>
          <w:szCs w:val="24"/>
        </w:rPr>
        <w:t xml:space="preserve"> (B.N., 2022)</w:t>
      </w:r>
      <w:r w:rsidRPr="006C23B4">
        <w:rPr>
          <w:rFonts w:asciiTheme="majorBidi" w:hAnsiTheme="majorBidi" w:cstheme="majorBidi"/>
          <w:i/>
          <w:iCs/>
          <w:sz w:val="24"/>
          <w:szCs w:val="24"/>
        </w:rPr>
        <w:t>.</w:t>
      </w:r>
    </w:p>
    <w:p w14:paraId="352F6C33" w14:textId="7094936C" w:rsidR="00ED492B" w:rsidRDefault="00ED492B" w:rsidP="00ED492B">
      <w:pPr>
        <w:widowControl w:val="0"/>
        <w:rPr>
          <w:rFonts w:asciiTheme="majorBidi" w:hAnsiTheme="majorBidi" w:cstheme="majorBidi"/>
          <w:b/>
          <w:bCs/>
          <w:sz w:val="24"/>
          <w:szCs w:val="24"/>
        </w:rPr>
      </w:pPr>
      <w:r>
        <w:rPr>
          <w:rFonts w:asciiTheme="majorBidi" w:hAnsiTheme="majorBidi" w:cstheme="majorBidi"/>
          <w:b/>
          <w:bCs/>
          <w:sz w:val="24"/>
          <w:szCs w:val="24"/>
        </w:rPr>
        <w:t>7.</w:t>
      </w:r>
      <w:r w:rsidR="008900D7">
        <w:rPr>
          <w:rFonts w:asciiTheme="majorBidi" w:hAnsiTheme="majorBidi" w:cstheme="majorBidi"/>
          <w:b/>
          <w:bCs/>
          <w:sz w:val="24"/>
          <w:szCs w:val="24"/>
        </w:rPr>
        <w:t>3</w:t>
      </w:r>
      <w:r>
        <w:rPr>
          <w:rFonts w:asciiTheme="majorBidi" w:hAnsiTheme="majorBidi" w:cstheme="majorBidi"/>
          <w:b/>
          <w:bCs/>
          <w:sz w:val="24"/>
          <w:szCs w:val="24"/>
        </w:rPr>
        <w:t xml:space="preserve">.5 </w:t>
      </w:r>
      <w:r w:rsidRPr="00211618">
        <w:rPr>
          <w:rFonts w:asciiTheme="majorBidi" w:hAnsiTheme="majorBidi" w:cstheme="majorBidi"/>
          <w:b/>
          <w:bCs/>
          <w:sz w:val="24"/>
          <w:szCs w:val="24"/>
        </w:rPr>
        <w:t>Ad Comparisons</w:t>
      </w:r>
    </w:p>
    <w:p w14:paraId="61A7EBD9" w14:textId="77777777" w:rsidR="006C23B4" w:rsidRDefault="00ED492B" w:rsidP="00295214">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r>
      <w:r w:rsidRPr="002D782B">
        <w:rPr>
          <w:rFonts w:asciiTheme="majorBidi" w:hAnsiTheme="majorBidi" w:cstheme="majorBidi"/>
          <w:sz w:val="24"/>
          <w:szCs w:val="24"/>
        </w:rPr>
        <w:t xml:space="preserve">This theme emerged when respondents were asked to compare between both ads. Majority of </w:t>
      </w:r>
      <w:r w:rsidR="00C4373A">
        <w:rPr>
          <w:rFonts w:asciiTheme="majorBidi" w:hAnsiTheme="majorBidi" w:cstheme="majorBidi"/>
          <w:sz w:val="24"/>
          <w:szCs w:val="24"/>
        </w:rPr>
        <w:t>the participants</w:t>
      </w:r>
      <w:r w:rsidRPr="002D782B">
        <w:rPr>
          <w:rFonts w:asciiTheme="majorBidi" w:hAnsiTheme="majorBidi" w:cstheme="majorBidi"/>
          <w:sz w:val="24"/>
          <w:szCs w:val="24"/>
        </w:rPr>
        <w:t xml:space="preserve"> preferred the CSR ad over the non-CSR ad. This is mainly because respondents liked that the CSR ad</w:t>
      </w:r>
      <w:r>
        <w:rPr>
          <w:rFonts w:asciiTheme="majorBidi" w:hAnsiTheme="majorBidi" w:cstheme="majorBidi"/>
          <w:sz w:val="24"/>
          <w:szCs w:val="24"/>
        </w:rPr>
        <w:t xml:space="preserve"> is </w:t>
      </w:r>
      <w:r w:rsidRPr="002D782B">
        <w:rPr>
          <w:rFonts w:asciiTheme="majorBidi" w:hAnsiTheme="majorBidi" w:cstheme="majorBidi"/>
          <w:sz w:val="24"/>
          <w:szCs w:val="24"/>
        </w:rPr>
        <w:t xml:space="preserve">focused </w:t>
      </w:r>
      <w:r>
        <w:rPr>
          <w:rFonts w:asciiTheme="majorBidi" w:hAnsiTheme="majorBidi" w:cstheme="majorBidi"/>
          <w:sz w:val="24"/>
          <w:szCs w:val="24"/>
        </w:rPr>
        <w:t>on</w:t>
      </w:r>
      <w:r w:rsidRPr="002D782B">
        <w:rPr>
          <w:rFonts w:asciiTheme="majorBidi" w:hAnsiTheme="majorBidi" w:cstheme="majorBidi"/>
          <w:sz w:val="24"/>
          <w:szCs w:val="24"/>
        </w:rPr>
        <w:t xml:space="preserve"> society </w:t>
      </w:r>
      <w:r>
        <w:rPr>
          <w:rFonts w:asciiTheme="majorBidi" w:hAnsiTheme="majorBidi" w:cstheme="majorBidi"/>
          <w:sz w:val="24"/>
          <w:szCs w:val="24"/>
        </w:rPr>
        <w:t xml:space="preserve">more than </w:t>
      </w:r>
      <w:r w:rsidRPr="002D782B">
        <w:rPr>
          <w:rFonts w:asciiTheme="majorBidi" w:hAnsiTheme="majorBidi" w:cstheme="majorBidi"/>
          <w:sz w:val="24"/>
          <w:szCs w:val="24"/>
        </w:rPr>
        <w:t xml:space="preserve">attempting to sell the product. For instance, one </w:t>
      </w:r>
      <w:r>
        <w:rPr>
          <w:rFonts w:asciiTheme="majorBidi" w:hAnsiTheme="majorBidi" w:cstheme="majorBidi"/>
          <w:sz w:val="24"/>
          <w:szCs w:val="24"/>
        </w:rPr>
        <w:t>interviewed subject</w:t>
      </w:r>
      <w:r w:rsidR="00127C1E">
        <w:rPr>
          <w:rFonts w:asciiTheme="majorBidi" w:hAnsiTheme="majorBidi" w:cstheme="majorBidi"/>
          <w:sz w:val="24"/>
          <w:szCs w:val="24"/>
        </w:rPr>
        <w:t xml:space="preserve"> said</w:t>
      </w:r>
      <w:r w:rsidRPr="002D782B">
        <w:rPr>
          <w:rFonts w:asciiTheme="majorBidi" w:hAnsiTheme="majorBidi" w:cstheme="majorBidi"/>
          <w:sz w:val="24"/>
          <w:szCs w:val="24"/>
        </w:rPr>
        <w:t xml:space="preserve">: </w:t>
      </w:r>
    </w:p>
    <w:p w14:paraId="7756C228" w14:textId="324D7C57" w:rsidR="00ED492B" w:rsidRPr="00127C1E" w:rsidRDefault="00ED492B" w:rsidP="006C23B4">
      <w:pPr>
        <w:widowControl w:val="0"/>
        <w:spacing w:line="240" w:lineRule="auto"/>
        <w:ind w:left="720"/>
        <w:rPr>
          <w:rFonts w:asciiTheme="majorBidi" w:hAnsiTheme="majorBidi" w:cstheme="majorBidi"/>
          <w:sz w:val="24"/>
          <w:szCs w:val="24"/>
        </w:rPr>
      </w:pPr>
      <w:r w:rsidRPr="00127C1E">
        <w:rPr>
          <w:rFonts w:asciiTheme="majorBidi" w:hAnsiTheme="majorBidi" w:cstheme="majorBidi"/>
          <w:sz w:val="24"/>
          <w:szCs w:val="24"/>
        </w:rPr>
        <w:t>“</w:t>
      </w:r>
      <w:r w:rsidRPr="006C23B4">
        <w:rPr>
          <w:rFonts w:asciiTheme="majorBidi" w:hAnsiTheme="majorBidi" w:cstheme="majorBidi"/>
          <w:i/>
          <w:iCs/>
          <w:sz w:val="24"/>
          <w:szCs w:val="24"/>
        </w:rPr>
        <w:t>I like the CSR ad more. I wont like the ad because it says the products kills germs I will like the ad because of what it does for society</w:t>
      </w:r>
      <w:r w:rsidR="00127C1E">
        <w:rPr>
          <w:rFonts w:asciiTheme="majorBidi" w:hAnsiTheme="majorBidi" w:cstheme="majorBidi"/>
          <w:sz w:val="24"/>
          <w:szCs w:val="24"/>
        </w:rPr>
        <w:t xml:space="preserve"> (A.I., 2022)</w:t>
      </w:r>
      <w:r w:rsidRPr="00127C1E">
        <w:rPr>
          <w:rFonts w:asciiTheme="majorBidi" w:hAnsiTheme="majorBidi" w:cstheme="majorBidi"/>
          <w:sz w:val="24"/>
          <w:szCs w:val="24"/>
        </w:rPr>
        <w:t>.”</w:t>
      </w:r>
    </w:p>
    <w:p w14:paraId="6D603ADF" w14:textId="77777777" w:rsidR="006C23B4" w:rsidRDefault="00ED492B" w:rsidP="00295214">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Another two </w:t>
      </w:r>
      <w:r w:rsidR="00C4373A">
        <w:rPr>
          <w:rFonts w:asciiTheme="majorBidi" w:hAnsiTheme="majorBidi" w:cstheme="majorBidi"/>
          <w:sz w:val="24"/>
          <w:szCs w:val="24"/>
        </w:rPr>
        <w:t>participants</w:t>
      </w:r>
      <w:r>
        <w:rPr>
          <w:rFonts w:asciiTheme="majorBidi" w:hAnsiTheme="majorBidi" w:cstheme="majorBidi"/>
          <w:sz w:val="24"/>
          <w:szCs w:val="24"/>
        </w:rPr>
        <w:t xml:space="preserve"> who also praised the idea that the ad showed that the brand has a role in society said:</w:t>
      </w:r>
      <w:r w:rsidR="00127C1E">
        <w:rPr>
          <w:rFonts w:asciiTheme="majorBidi" w:hAnsiTheme="majorBidi" w:cstheme="majorBidi"/>
          <w:sz w:val="24"/>
          <w:szCs w:val="24"/>
        </w:rPr>
        <w:t xml:space="preserve"> </w:t>
      </w:r>
    </w:p>
    <w:p w14:paraId="0F420398" w14:textId="210621CC" w:rsidR="006C23B4" w:rsidRDefault="00ED492B" w:rsidP="00D37C1D">
      <w:pPr>
        <w:widowControl w:val="0"/>
        <w:spacing w:line="240" w:lineRule="auto"/>
        <w:ind w:left="720"/>
        <w:rPr>
          <w:rFonts w:asciiTheme="majorBidi" w:hAnsiTheme="majorBidi" w:cstheme="majorBidi"/>
          <w:b/>
          <w:bCs/>
          <w:sz w:val="24"/>
          <w:szCs w:val="24"/>
        </w:rPr>
      </w:pPr>
      <w:r w:rsidRPr="006C23B4">
        <w:rPr>
          <w:rFonts w:asciiTheme="majorBidi" w:hAnsiTheme="majorBidi" w:cstheme="majorBidi"/>
          <w:i/>
          <w:iCs/>
          <w:sz w:val="24"/>
          <w:szCs w:val="24"/>
        </w:rPr>
        <w:t xml:space="preserve">“The second one is very selfish talking about the brand and the individual alone. But, the first one is more collective talking about the importance of </w:t>
      </w:r>
      <w:r w:rsidR="00F67257" w:rsidRPr="006C23B4">
        <w:rPr>
          <w:rFonts w:asciiTheme="majorBidi" w:hAnsiTheme="majorBidi" w:cstheme="majorBidi"/>
          <w:i/>
          <w:iCs/>
          <w:sz w:val="24"/>
          <w:szCs w:val="24"/>
        </w:rPr>
        <w:t>‘</w:t>
      </w:r>
      <w:r w:rsidRPr="006C23B4">
        <w:rPr>
          <w:rFonts w:asciiTheme="majorBidi" w:hAnsiTheme="majorBidi" w:cstheme="majorBidi"/>
          <w:i/>
          <w:iCs/>
          <w:sz w:val="24"/>
          <w:szCs w:val="24"/>
        </w:rPr>
        <w:t>social solidarity</w:t>
      </w:r>
      <w:r w:rsidR="00F67257" w:rsidRPr="006C23B4">
        <w:rPr>
          <w:rFonts w:asciiTheme="majorBidi" w:hAnsiTheme="majorBidi" w:cstheme="majorBidi"/>
          <w:i/>
          <w:iCs/>
          <w:sz w:val="24"/>
          <w:szCs w:val="24"/>
        </w:rPr>
        <w:t>’</w:t>
      </w:r>
      <w:r w:rsidRPr="006C23B4">
        <w:rPr>
          <w:rFonts w:asciiTheme="majorBidi" w:hAnsiTheme="majorBidi" w:cstheme="majorBidi"/>
          <w:i/>
          <w:iCs/>
          <w:sz w:val="24"/>
          <w:szCs w:val="24"/>
        </w:rPr>
        <w:t xml:space="preserve"> which I liked</w:t>
      </w:r>
      <w:r w:rsidR="00127C1E" w:rsidRPr="006C23B4">
        <w:rPr>
          <w:rFonts w:asciiTheme="majorBidi" w:hAnsiTheme="majorBidi" w:cstheme="majorBidi"/>
          <w:i/>
          <w:iCs/>
          <w:sz w:val="24"/>
          <w:szCs w:val="24"/>
        </w:rPr>
        <w:t xml:space="preserve"> (N.S., 2022)</w:t>
      </w:r>
      <w:r w:rsidRPr="006C23B4">
        <w:rPr>
          <w:rFonts w:asciiTheme="majorBidi" w:hAnsiTheme="majorBidi" w:cstheme="majorBidi"/>
          <w:i/>
          <w:iCs/>
          <w:sz w:val="24"/>
          <w:szCs w:val="24"/>
        </w:rPr>
        <w:t>,</w:t>
      </w:r>
      <w:r w:rsidR="006C23B4">
        <w:rPr>
          <w:rFonts w:asciiTheme="majorBidi" w:hAnsiTheme="majorBidi" w:cstheme="majorBidi"/>
          <w:sz w:val="24"/>
          <w:szCs w:val="24"/>
        </w:rPr>
        <w:t xml:space="preserve"> and</w:t>
      </w:r>
      <w:r w:rsidRPr="00127C1E">
        <w:rPr>
          <w:rFonts w:asciiTheme="majorBidi" w:hAnsiTheme="majorBidi" w:cstheme="majorBidi"/>
          <w:sz w:val="24"/>
          <w:szCs w:val="24"/>
        </w:rPr>
        <w:t>”</w:t>
      </w:r>
      <w:r>
        <w:rPr>
          <w:rFonts w:asciiTheme="majorBidi" w:hAnsiTheme="majorBidi" w:cstheme="majorBidi"/>
          <w:b/>
          <w:bCs/>
          <w:sz w:val="24"/>
          <w:szCs w:val="24"/>
        </w:rPr>
        <w:t xml:space="preserve"> </w:t>
      </w:r>
    </w:p>
    <w:p w14:paraId="56636C5F" w14:textId="1FBF76EC" w:rsidR="00ED492B" w:rsidRPr="00230C30" w:rsidRDefault="00ED492B" w:rsidP="00D37C1D">
      <w:pPr>
        <w:widowControl w:val="0"/>
        <w:spacing w:line="240" w:lineRule="auto"/>
        <w:ind w:left="720"/>
        <w:rPr>
          <w:rFonts w:asciiTheme="majorBidi" w:hAnsiTheme="majorBidi" w:cstheme="majorBidi"/>
          <w:b/>
          <w:bCs/>
          <w:sz w:val="24"/>
          <w:szCs w:val="24"/>
        </w:rPr>
      </w:pPr>
      <w:r w:rsidRPr="00127C1E">
        <w:rPr>
          <w:rFonts w:asciiTheme="majorBidi" w:hAnsiTheme="majorBidi" w:cstheme="majorBidi"/>
          <w:sz w:val="24"/>
          <w:szCs w:val="24"/>
        </w:rPr>
        <w:t>“</w:t>
      </w:r>
      <w:r w:rsidRPr="006C23B4">
        <w:rPr>
          <w:rFonts w:asciiTheme="majorBidi" w:hAnsiTheme="majorBidi" w:cstheme="majorBidi"/>
          <w:i/>
          <w:iCs/>
          <w:sz w:val="24"/>
          <w:szCs w:val="24"/>
        </w:rPr>
        <w:t>the first one for sure</w:t>
      </w:r>
      <w:r w:rsidR="00F67257" w:rsidRPr="006C23B4">
        <w:rPr>
          <w:rFonts w:asciiTheme="majorBidi" w:hAnsiTheme="majorBidi" w:cstheme="majorBidi"/>
          <w:i/>
          <w:iCs/>
          <w:sz w:val="24"/>
          <w:szCs w:val="24"/>
        </w:rPr>
        <w:t xml:space="preserve"> b</w:t>
      </w:r>
      <w:r w:rsidRPr="006C23B4">
        <w:rPr>
          <w:rFonts w:asciiTheme="majorBidi" w:hAnsiTheme="majorBidi" w:cstheme="majorBidi"/>
          <w:i/>
          <w:iCs/>
          <w:sz w:val="24"/>
          <w:szCs w:val="24"/>
        </w:rPr>
        <w:t>ecause I liked the idea that they have a role in society. There are lots of products and they all look the same. But the one that contributes to society will stand out for me</w:t>
      </w:r>
      <w:r w:rsidR="00127C1E">
        <w:rPr>
          <w:rFonts w:asciiTheme="majorBidi" w:hAnsiTheme="majorBidi" w:cstheme="majorBidi"/>
          <w:sz w:val="24"/>
          <w:szCs w:val="24"/>
        </w:rPr>
        <w:t xml:space="preserve"> (M.H., 2022)</w:t>
      </w:r>
      <w:r w:rsidRPr="00127C1E">
        <w:rPr>
          <w:rFonts w:asciiTheme="majorBidi" w:hAnsiTheme="majorBidi" w:cstheme="majorBidi"/>
          <w:sz w:val="24"/>
          <w:szCs w:val="24"/>
        </w:rPr>
        <w:t>.”</w:t>
      </w:r>
    </w:p>
    <w:p w14:paraId="46F8A444" w14:textId="449FA4D6" w:rsidR="00ED492B" w:rsidRDefault="00ED492B" w:rsidP="006A797D">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One respondent mentioned that they prefer the CSR ad because of its values and the way they feel like they would relate to these values when they buy Dettol. This finding will be further elaborated on in section</w:t>
      </w:r>
      <w:r w:rsidR="00127C1E">
        <w:rPr>
          <w:rFonts w:asciiTheme="majorBidi" w:hAnsiTheme="majorBidi" w:cstheme="majorBidi"/>
          <w:sz w:val="24"/>
          <w:szCs w:val="24"/>
        </w:rPr>
        <w:t xml:space="preserve"> </w:t>
      </w:r>
      <w:r>
        <w:rPr>
          <w:rFonts w:asciiTheme="majorBidi" w:hAnsiTheme="majorBidi" w:cstheme="majorBidi"/>
          <w:sz w:val="24"/>
          <w:szCs w:val="24"/>
        </w:rPr>
        <w:t>7.</w:t>
      </w:r>
      <w:r w:rsidR="00F91D45">
        <w:rPr>
          <w:rFonts w:asciiTheme="majorBidi" w:hAnsiTheme="majorBidi" w:cstheme="majorBidi"/>
          <w:sz w:val="24"/>
          <w:szCs w:val="24"/>
        </w:rPr>
        <w:t>3</w:t>
      </w:r>
      <w:r>
        <w:rPr>
          <w:rFonts w:asciiTheme="majorBidi" w:hAnsiTheme="majorBidi" w:cstheme="majorBidi"/>
          <w:sz w:val="24"/>
          <w:szCs w:val="24"/>
        </w:rPr>
        <w:t xml:space="preserve">.13 when </w:t>
      </w:r>
      <w:r w:rsidR="00F91D45">
        <w:rPr>
          <w:rFonts w:asciiTheme="majorBidi" w:hAnsiTheme="majorBidi" w:cstheme="majorBidi"/>
          <w:sz w:val="24"/>
          <w:szCs w:val="24"/>
        </w:rPr>
        <w:t>the concept of</w:t>
      </w:r>
      <w:r w:rsidR="004C729F">
        <w:rPr>
          <w:rFonts w:asciiTheme="majorBidi" w:hAnsiTheme="majorBidi" w:cstheme="majorBidi"/>
          <w:sz w:val="24"/>
          <w:szCs w:val="24"/>
        </w:rPr>
        <w:t xml:space="preserve"> </w:t>
      </w:r>
      <w:r>
        <w:rPr>
          <w:rFonts w:asciiTheme="majorBidi" w:hAnsiTheme="majorBidi" w:cstheme="majorBidi"/>
          <w:sz w:val="24"/>
          <w:szCs w:val="24"/>
        </w:rPr>
        <w:t>congru</w:t>
      </w:r>
      <w:r w:rsidR="004C729F">
        <w:rPr>
          <w:rFonts w:asciiTheme="majorBidi" w:hAnsiTheme="majorBidi" w:cstheme="majorBidi"/>
          <w:sz w:val="24"/>
          <w:szCs w:val="24"/>
        </w:rPr>
        <w:t>ence</w:t>
      </w:r>
      <w:r>
        <w:rPr>
          <w:rFonts w:asciiTheme="majorBidi" w:hAnsiTheme="majorBidi" w:cstheme="majorBidi"/>
          <w:sz w:val="24"/>
          <w:szCs w:val="24"/>
        </w:rPr>
        <w:t xml:space="preserve"> is examined. Table </w:t>
      </w:r>
      <w:r w:rsidR="006A797D">
        <w:rPr>
          <w:rFonts w:asciiTheme="majorBidi" w:hAnsiTheme="majorBidi" w:cstheme="majorBidi"/>
          <w:sz w:val="24"/>
          <w:szCs w:val="24"/>
        </w:rPr>
        <w:t>5</w:t>
      </w:r>
      <w:r w:rsidR="00635E3C">
        <w:rPr>
          <w:rFonts w:asciiTheme="majorBidi" w:hAnsiTheme="majorBidi" w:cstheme="majorBidi"/>
          <w:sz w:val="24"/>
          <w:szCs w:val="24"/>
        </w:rPr>
        <w:t>7</w:t>
      </w:r>
      <w:r w:rsidR="006A797D">
        <w:rPr>
          <w:rFonts w:asciiTheme="majorBidi" w:hAnsiTheme="majorBidi" w:cstheme="majorBidi"/>
          <w:sz w:val="24"/>
          <w:szCs w:val="24"/>
        </w:rPr>
        <w:t xml:space="preserve"> </w:t>
      </w:r>
      <w:r>
        <w:rPr>
          <w:rFonts w:asciiTheme="majorBidi" w:hAnsiTheme="majorBidi" w:cstheme="majorBidi"/>
          <w:sz w:val="24"/>
          <w:szCs w:val="24"/>
        </w:rPr>
        <w:t xml:space="preserve">summarises some of the key comparisons of their views on the CSR and non-CSR ads.  </w:t>
      </w:r>
      <w:r w:rsidR="00C75D21">
        <w:rPr>
          <w:rFonts w:asciiTheme="majorBidi" w:hAnsiTheme="majorBidi" w:cstheme="majorBidi"/>
          <w:sz w:val="24"/>
          <w:szCs w:val="24"/>
        </w:rPr>
        <w:t>Some on the common phrases mentioned in the table about the CSR ad focused on the idea of “</w:t>
      </w:r>
      <w:r w:rsidR="00C75D21" w:rsidRPr="00D37C1D">
        <w:rPr>
          <w:rFonts w:asciiTheme="majorBidi" w:hAnsiTheme="majorBidi" w:cstheme="majorBidi"/>
          <w:i/>
          <w:iCs/>
          <w:sz w:val="24"/>
          <w:szCs w:val="24"/>
        </w:rPr>
        <w:t>creativity</w:t>
      </w:r>
      <w:r w:rsidR="00C75D21">
        <w:rPr>
          <w:rFonts w:asciiTheme="majorBidi" w:hAnsiTheme="majorBidi" w:cstheme="majorBidi"/>
          <w:sz w:val="24"/>
          <w:szCs w:val="24"/>
        </w:rPr>
        <w:t>” or “</w:t>
      </w:r>
      <w:r w:rsidR="00C75D21" w:rsidRPr="00D37C1D">
        <w:rPr>
          <w:rFonts w:asciiTheme="majorBidi" w:hAnsiTheme="majorBidi" w:cstheme="majorBidi"/>
          <w:i/>
          <w:iCs/>
          <w:sz w:val="24"/>
          <w:szCs w:val="24"/>
        </w:rPr>
        <w:t>novelty</w:t>
      </w:r>
      <w:r w:rsidR="00C75D21">
        <w:rPr>
          <w:rFonts w:asciiTheme="majorBidi" w:hAnsiTheme="majorBidi" w:cstheme="majorBidi"/>
          <w:sz w:val="24"/>
          <w:szCs w:val="24"/>
        </w:rPr>
        <w:t xml:space="preserve">” of the communication. </w:t>
      </w:r>
    </w:p>
    <w:tbl>
      <w:tblPr>
        <w:tblStyle w:val="TableGrid"/>
        <w:tblpPr w:leftFromText="180" w:rightFromText="180" w:vertAnchor="text" w:horzAnchor="margin" w:tblpY="213"/>
        <w:tblW w:w="8221" w:type="dxa"/>
        <w:tblLook w:val="04A0" w:firstRow="1" w:lastRow="0" w:firstColumn="1" w:lastColumn="0" w:noHBand="0" w:noVBand="1"/>
      </w:tblPr>
      <w:tblGrid>
        <w:gridCol w:w="1161"/>
        <w:gridCol w:w="3375"/>
        <w:gridCol w:w="3685"/>
      </w:tblGrid>
      <w:tr w:rsidR="00635E3C" w:rsidRPr="007D5C15" w14:paraId="4CD0BED2" w14:textId="77777777" w:rsidTr="00635E3C">
        <w:tc>
          <w:tcPr>
            <w:tcW w:w="1161" w:type="dxa"/>
          </w:tcPr>
          <w:p w14:paraId="22B89BF3"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Respondent </w:t>
            </w:r>
          </w:p>
        </w:tc>
        <w:tc>
          <w:tcPr>
            <w:tcW w:w="3375" w:type="dxa"/>
          </w:tcPr>
          <w:p w14:paraId="1F43797E"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Description of CSR </w:t>
            </w:r>
          </w:p>
        </w:tc>
        <w:tc>
          <w:tcPr>
            <w:tcW w:w="3685" w:type="dxa"/>
          </w:tcPr>
          <w:p w14:paraId="7A98A3CC"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Description of non-CSR </w:t>
            </w:r>
          </w:p>
        </w:tc>
      </w:tr>
      <w:tr w:rsidR="00635E3C" w:rsidRPr="007D5C15" w14:paraId="0D24214C" w14:textId="77777777" w:rsidTr="00635E3C">
        <w:tc>
          <w:tcPr>
            <w:tcW w:w="1161" w:type="dxa"/>
          </w:tcPr>
          <w:p w14:paraId="7F3565E9"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K.R.</w:t>
            </w:r>
          </w:p>
        </w:tc>
        <w:tc>
          <w:tcPr>
            <w:tcW w:w="3375" w:type="dxa"/>
          </w:tcPr>
          <w:p w14:paraId="3E93A3DD"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Catches my eye  </w:t>
            </w:r>
          </w:p>
        </w:tc>
        <w:tc>
          <w:tcPr>
            <w:tcW w:w="3685" w:type="dxa"/>
          </w:tcPr>
          <w:p w14:paraId="410237D1"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Generic </w:t>
            </w:r>
          </w:p>
        </w:tc>
      </w:tr>
      <w:tr w:rsidR="00635E3C" w:rsidRPr="007D5C15" w14:paraId="1D1366C7" w14:textId="77777777" w:rsidTr="00635E3C">
        <w:trPr>
          <w:trHeight w:val="237"/>
        </w:trPr>
        <w:tc>
          <w:tcPr>
            <w:tcW w:w="1161" w:type="dxa"/>
          </w:tcPr>
          <w:p w14:paraId="3E1E2851"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N.S.</w:t>
            </w:r>
          </w:p>
        </w:tc>
        <w:tc>
          <w:tcPr>
            <w:tcW w:w="3375" w:type="dxa"/>
          </w:tcPr>
          <w:p w14:paraId="25FD7EBF"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Creative</w:t>
            </w:r>
          </w:p>
        </w:tc>
        <w:tc>
          <w:tcPr>
            <w:tcW w:w="3685" w:type="dxa"/>
          </w:tcPr>
          <w:p w14:paraId="08F43EA1"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Like any other ad </w:t>
            </w:r>
          </w:p>
        </w:tc>
      </w:tr>
      <w:tr w:rsidR="00635E3C" w:rsidRPr="007D5C15" w14:paraId="7622FE72" w14:textId="77777777" w:rsidTr="00635E3C">
        <w:tc>
          <w:tcPr>
            <w:tcW w:w="1161" w:type="dxa"/>
          </w:tcPr>
          <w:p w14:paraId="0C5AB44B"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R.G.</w:t>
            </w:r>
          </w:p>
        </w:tc>
        <w:tc>
          <w:tcPr>
            <w:tcW w:w="3375" w:type="dxa"/>
          </w:tcPr>
          <w:p w14:paraId="0EC3461D"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Important if I know the brand </w:t>
            </w:r>
          </w:p>
        </w:tc>
        <w:tc>
          <w:tcPr>
            <w:tcW w:w="3685" w:type="dxa"/>
          </w:tcPr>
          <w:p w14:paraId="74658818"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Important if I don’t know the brand </w:t>
            </w:r>
          </w:p>
        </w:tc>
      </w:tr>
      <w:tr w:rsidR="00635E3C" w:rsidRPr="007D5C15" w14:paraId="75EA4A7C" w14:textId="77777777" w:rsidTr="00635E3C">
        <w:tc>
          <w:tcPr>
            <w:tcW w:w="1161" w:type="dxa"/>
          </w:tcPr>
          <w:p w14:paraId="378853D3"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S.O.</w:t>
            </w:r>
          </w:p>
        </w:tc>
        <w:tc>
          <w:tcPr>
            <w:tcW w:w="3375" w:type="dxa"/>
          </w:tcPr>
          <w:p w14:paraId="04049B99"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This is more important because its about community service </w:t>
            </w:r>
          </w:p>
        </w:tc>
        <w:tc>
          <w:tcPr>
            <w:tcW w:w="3685" w:type="dxa"/>
          </w:tcPr>
          <w:p w14:paraId="3FD1FD2C"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Also, important especially in the time of COVID-19</w:t>
            </w:r>
          </w:p>
        </w:tc>
      </w:tr>
      <w:tr w:rsidR="00635E3C" w:rsidRPr="007D5C15" w14:paraId="161BF385" w14:textId="77777777" w:rsidTr="00635E3C">
        <w:tc>
          <w:tcPr>
            <w:tcW w:w="1161" w:type="dxa"/>
          </w:tcPr>
          <w:p w14:paraId="38387E85"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N.O.</w:t>
            </w:r>
          </w:p>
        </w:tc>
        <w:tc>
          <w:tcPr>
            <w:tcW w:w="3375" w:type="dxa"/>
          </w:tcPr>
          <w:p w14:paraId="6A5A7760"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New message that has a clear benefit to people </w:t>
            </w:r>
          </w:p>
        </w:tc>
        <w:tc>
          <w:tcPr>
            <w:tcW w:w="3685" w:type="dxa"/>
          </w:tcPr>
          <w:p w14:paraId="2BA28D85" w14:textId="77777777" w:rsidR="00635E3C" w:rsidRPr="007D5C15" w:rsidRDefault="00635E3C" w:rsidP="00635E3C">
            <w:pPr>
              <w:widowControl w:val="0"/>
              <w:rPr>
                <w:rFonts w:asciiTheme="majorBidi" w:hAnsiTheme="majorBidi" w:cstheme="majorBidi"/>
                <w:sz w:val="20"/>
                <w:szCs w:val="20"/>
              </w:rPr>
            </w:pPr>
          </w:p>
        </w:tc>
      </w:tr>
      <w:tr w:rsidR="00635E3C" w:rsidRPr="007D5C15" w14:paraId="344F3B33" w14:textId="77777777" w:rsidTr="00635E3C">
        <w:tc>
          <w:tcPr>
            <w:tcW w:w="1161" w:type="dxa"/>
          </w:tcPr>
          <w:p w14:paraId="495A04BD"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B.M.</w:t>
            </w:r>
          </w:p>
        </w:tc>
        <w:tc>
          <w:tcPr>
            <w:tcW w:w="3375" w:type="dxa"/>
          </w:tcPr>
          <w:p w14:paraId="1D74B52F"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More attractive and catchy</w:t>
            </w:r>
          </w:p>
        </w:tc>
        <w:tc>
          <w:tcPr>
            <w:tcW w:w="3685" w:type="dxa"/>
          </w:tcPr>
          <w:p w14:paraId="21577C7B"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very repetitive message</w:t>
            </w:r>
          </w:p>
        </w:tc>
      </w:tr>
      <w:tr w:rsidR="00635E3C" w:rsidRPr="007D5C15" w14:paraId="637DDF60" w14:textId="77777777" w:rsidTr="00635E3C">
        <w:tc>
          <w:tcPr>
            <w:tcW w:w="1161" w:type="dxa"/>
          </w:tcPr>
          <w:p w14:paraId="5E9ED610"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A.Z.</w:t>
            </w:r>
          </w:p>
        </w:tc>
        <w:tc>
          <w:tcPr>
            <w:tcW w:w="3375" w:type="dxa"/>
          </w:tcPr>
          <w:p w14:paraId="0E87090B"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I like the CSR one more</w:t>
            </w:r>
          </w:p>
        </w:tc>
        <w:tc>
          <w:tcPr>
            <w:tcW w:w="3685" w:type="dxa"/>
          </w:tcPr>
          <w:p w14:paraId="6D72ADAE"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Its fine same as before</w:t>
            </w:r>
          </w:p>
        </w:tc>
      </w:tr>
      <w:tr w:rsidR="00635E3C" w:rsidRPr="007D5C15" w14:paraId="387AE54F" w14:textId="77777777" w:rsidTr="00635E3C">
        <w:tc>
          <w:tcPr>
            <w:tcW w:w="1161" w:type="dxa"/>
          </w:tcPr>
          <w:p w14:paraId="6EEF46C1"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N.A.</w:t>
            </w:r>
          </w:p>
        </w:tc>
        <w:tc>
          <w:tcPr>
            <w:tcW w:w="3375" w:type="dxa"/>
          </w:tcPr>
          <w:p w14:paraId="6C7A54FE"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More Collective </w:t>
            </w:r>
          </w:p>
        </w:tc>
        <w:tc>
          <w:tcPr>
            <w:tcW w:w="3685" w:type="dxa"/>
          </w:tcPr>
          <w:p w14:paraId="2C1B9048"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Selfish </w:t>
            </w:r>
          </w:p>
        </w:tc>
      </w:tr>
      <w:tr w:rsidR="00635E3C" w:rsidRPr="007D5C15" w14:paraId="091C3690" w14:textId="77777777" w:rsidTr="00635E3C">
        <w:tc>
          <w:tcPr>
            <w:tcW w:w="1161" w:type="dxa"/>
          </w:tcPr>
          <w:p w14:paraId="5DBBE8A8"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N.N.</w:t>
            </w:r>
          </w:p>
        </w:tc>
        <w:tc>
          <w:tcPr>
            <w:tcW w:w="3375" w:type="dxa"/>
          </w:tcPr>
          <w:p w14:paraId="0CD95086"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I like this one more</w:t>
            </w:r>
          </w:p>
        </w:tc>
        <w:tc>
          <w:tcPr>
            <w:tcW w:w="3685" w:type="dxa"/>
          </w:tcPr>
          <w:p w14:paraId="07F2CFD8"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I like that the product is more clear here</w:t>
            </w:r>
          </w:p>
        </w:tc>
      </w:tr>
      <w:tr w:rsidR="00635E3C" w:rsidRPr="007D5C15" w14:paraId="3EC46F6C" w14:textId="77777777" w:rsidTr="00635E3C">
        <w:tc>
          <w:tcPr>
            <w:tcW w:w="1161" w:type="dxa"/>
          </w:tcPr>
          <w:p w14:paraId="1A65E26B"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A.A.</w:t>
            </w:r>
          </w:p>
        </w:tc>
        <w:tc>
          <w:tcPr>
            <w:tcW w:w="3375" w:type="dxa"/>
          </w:tcPr>
          <w:p w14:paraId="51ABEDE0"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This is a stronger message </w:t>
            </w:r>
          </w:p>
        </w:tc>
        <w:tc>
          <w:tcPr>
            <w:tcW w:w="3685" w:type="dxa"/>
          </w:tcPr>
          <w:p w14:paraId="4BD17D65"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The personality of Dettol is stronger in this ad </w:t>
            </w:r>
          </w:p>
        </w:tc>
      </w:tr>
      <w:tr w:rsidR="00635E3C" w:rsidRPr="007D5C15" w14:paraId="0373F771" w14:textId="77777777" w:rsidTr="00635E3C">
        <w:tc>
          <w:tcPr>
            <w:tcW w:w="1161" w:type="dxa"/>
          </w:tcPr>
          <w:p w14:paraId="10F35303"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S.H.</w:t>
            </w:r>
          </w:p>
        </w:tc>
        <w:tc>
          <w:tcPr>
            <w:tcW w:w="3375" w:type="dxa"/>
          </w:tcPr>
          <w:p w14:paraId="61C44639"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Smart ad that is creating a legacy for the brand </w:t>
            </w:r>
          </w:p>
        </w:tc>
        <w:tc>
          <w:tcPr>
            <w:tcW w:w="3685" w:type="dxa"/>
          </w:tcPr>
          <w:p w14:paraId="41C6D206"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Simple ad that is talking about floor and toilet cleaning </w:t>
            </w:r>
          </w:p>
        </w:tc>
      </w:tr>
      <w:tr w:rsidR="00635E3C" w:rsidRPr="007D5C15" w14:paraId="7167DC44" w14:textId="77777777" w:rsidTr="00635E3C">
        <w:tc>
          <w:tcPr>
            <w:tcW w:w="1161" w:type="dxa"/>
          </w:tcPr>
          <w:p w14:paraId="12E85390"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K.S.</w:t>
            </w:r>
          </w:p>
        </w:tc>
        <w:tc>
          <w:tcPr>
            <w:tcW w:w="3375" w:type="dxa"/>
          </w:tcPr>
          <w:p w14:paraId="75DA86EA"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I prefer this one as its unique</w:t>
            </w:r>
          </w:p>
        </w:tc>
        <w:tc>
          <w:tcPr>
            <w:tcW w:w="3685" w:type="dxa"/>
          </w:tcPr>
          <w:p w14:paraId="5B76A369"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Regular Message seen in all other ads</w:t>
            </w:r>
          </w:p>
        </w:tc>
      </w:tr>
      <w:tr w:rsidR="00635E3C" w:rsidRPr="007D5C15" w14:paraId="5BC47F7D" w14:textId="77777777" w:rsidTr="00635E3C">
        <w:tc>
          <w:tcPr>
            <w:tcW w:w="1161" w:type="dxa"/>
          </w:tcPr>
          <w:p w14:paraId="387A16D6"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L.O.</w:t>
            </w:r>
          </w:p>
        </w:tc>
        <w:tc>
          <w:tcPr>
            <w:tcW w:w="3375" w:type="dxa"/>
          </w:tcPr>
          <w:p w14:paraId="3ECAEC94"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This did not show what I need from Dettol</w:t>
            </w:r>
          </w:p>
        </w:tc>
        <w:tc>
          <w:tcPr>
            <w:tcW w:w="3685" w:type="dxa"/>
          </w:tcPr>
          <w:p w14:paraId="09E2C5A2"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This one showed what I will get from the item </w:t>
            </w:r>
          </w:p>
        </w:tc>
      </w:tr>
      <w:tr w:rsidR="00635E3C" w:rsidRPr="007D5C15" w14:paraId="7D13EDF9" w14:textId="77777777" w:rsidTr="00635E3C">
        <w:tc>
          <w:tcPr>
            <w:tcW w:w="1161" w:type="dxa"/>
          </w:tcPr>
          <w:p w14:paraId="1C5BBBA0"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M.H.</w:t>
            </w:r>
          </w:p>
        </w:tc>
        <w:tc>
          <w:tcPr>
            <w:tcW w:w="3375" w:type="dxa"/>
          </w:tcPr>
          <w:p w14:paraId="06399B1B"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This one actually means something. It is carrying a good message and a good deed. It shows the ethics of the brand.</w:t>
            </w:r>
          </w:p>
        </w:tc>
        <w:tc>
          <w:tcPr>
            <w:tcW w:w="3685" w:type="dxa"/>
          </w:tcPr>
          <w:p w14:paraId="6B001434"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This one is only a commercial that is promoting the product and that we have to clean our houses and so on. </w:t>
            </w:r>
          </w:p>
        </w:tc>
      </w:tr>
      <w:tr w:rsidR="00635E3C" w:rsidRPr="007D5C15" w14:paraId="7EA635C9" w14:textId="77777777" w:rsidTr="00635E3C">
        <w:tc>
          <w:tcPr>
            <w:tcW w:w="1161" w:type="dxa"/>
          </w:tcPr>
          <w:p w14:paraId="009D56A2"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N.O.</w:t>
            </w:r>
          </w:p>
        </w:tc>
        <w:tc>
          <w:tcPr>
            <w:tcW w:w="3375" w:type="dxa"/>
          </w:tcPr>
          <w:p w14:paraId="2F112AFE"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Shows that the brand is up to date and aware of what is happening in society </w:t>
            </w:r>
          </w:p>
        </w:tc>
        <w:tc>
          <w:tcPr>
            <w:tcW w:w="3685" w:type="dxa"/>
          </w:tcPr>
          <w:p w14:paraId="40AB1735"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Generic and has been repeated over years and years </w:t>
            </w:r>
          </w:p>
        </w:tc>
      </w:tr>
      <w:tr w:rsidR="00635E3C" w:rsidRPr="007D5C15" w14:paraId="79204BFA" w14:textId="77777777" w:rsidTr="00635E3C">
        <w:tc>
          <w:tcPr>
            <w:tcW w:w="1161" w:type="dxa"/>
          </w:tcPr>
          <w:p w14:paraId="496A6D56"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A.I.</w:t>
            </w:r>
          </w:p>
        </w:tc>
        <w:tc>
          <w:tcPr>
            <w:tcW w:w="3375" w:type="dxa"/>
          </w:tcPr>
          <w:p w14:paraId="12F145E6" w14:textId="77777777" w:rsidR="00635E3C" w:rsidRPr="007D5C15" w:rsidRDefault="00635E3C" w:rsidP="00635E3C">
            <w:pPr>
              <w:widowControl w:val="0"/>
              <w:rPr>
                <w:rFonts w:asciiTheme="majorBidi" w:hAnsiTheme="majorBidi" w:cstheme="majorBidi"/>
                <w:sz w:val="20"/>
                <w:szCs w:val="20"/>
              </w:rPr>
            </w:pPr>
            <w:r w:rsidRPr="007D5C15">
              <w:rPr>
                <w:rFonts w:asciiTheme="majorBidi" w:hAnsiTheme="majorBidi" w:cstheme="majorBidi"/>
                <w:sz w:val="20"/>
                <w:szCs w:val="20"/>
              </w:rPr>
              <w:t xml:space="preserve">More catchy and new </w:t>
            </w:r>
          </w:p>
        </w:tc>
        <w:tc>
          <w:tcPr>
            <w:tcW w:w="3685" w:type="dxa"/>
          </w:tcPr>
          <w:p w14:paraId="4D13513C" w14:textId="77777777" w:rsidR="00635E3C" w:rsidRPr="007D5C15" w:rsidRDefault="00635E3C" w:rsidP="00635E3C">
            <w:pPr>
              <w:keepNext/>
              <w:widowControl w:val="0"/>
              <w:rPr>
                <w:rFonts w:asciiTheme="majorBidi" w:hAnsiTheme="majorBidi" w:cstheme="majorBidi"/>
                <w:sz w:val="20"/>
                <w:szCs w:val="20"/>
              </w:rPr>
            </w:pPr>
            <w:r w:rsidRPr="007D5C15">
              <w:rPr>
                <w:rFonts w:asciiTheme="majorBidi" w:hAnsiTheme="majorBidi" w:cstheme="majorBidi"/>
                <w:sz w:val="20"/>
                <w:szCs w:val="20"/>
              </w:rPr>
              <w:t>I don’t want to hear it or see it as its repetitive</w:t>
            </w:r>
          </w:p>
        </w:tc>
      </w:tr>
    </w:tbl>
    <w:p w14:paraId="5C4C50BF"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20BB205F"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31FDF52A"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4DB8CD92"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062218B1"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2E93FA05"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48B97E4B"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14406287"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697CC384"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3DD72761"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01FD777F"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23C99F09"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1F31A535"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4649C4E0"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408F915C"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4C74E2B2" w14:textId="77777777" w:rsidR="00635E3C" w:rsidRPr="00635E3C" w:rsidRDefault="00635E3C" w:rsidP="00635E3C">
      <w:pPr>
        <w:framePr w:hSpace="180" w:wrap="around" w:vAnchor="text" w:hAnchor="page" w:x="1386" w:y="70"/>
        <w:rPr>
          <w:rFonts w:cstheme="minorHAnsi"/>
          <w:sz w:val="18"/>
          <w:szCs w:val="18"/>
        </w:rPr>
      </w:pPr>
      <w:r w:rsidRPr="00635E3C">
        <w:rPr>
          <w:rFonts w:cstheme="minorHAnsi"/>
          <w:sz w:val="18"/>
          <w:szCs w:val="18"/>
        </w:rPr>
        <w:br w:type="page"/>
        <w:t xml:space="preserve">Table 57 Summary of some respondents’ description of CSR and non-CSR ads </w:t>
      </w:r>
    </w:p>
    <w:p w14:paraId="453D71B4"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68E65BFC" w14:textId="77777777" w:rsidR="00635E3C" w:rsidRDefault="00635E3C" w:rsidP="00ED492B">
      <w:pPr>
        <w:widowControl w:val="0"/>
        <w:spacing w:after="120"/>
        <w:outlineLvl w:val="2"/>
        <w:rPr>
          <w:rFonts w:asciiTheme="majorBidi" w:hAnsiTheme="majorBidi" w:cstheme="majorBidi"/>
          <w:b/>
          <w:bCs/>
          <w:color w:val="2E2E2E"/>
          <w:sz w:val="24"/>
          <w:szCs w:val="24"/>
        </w:rPr>
      </w:pPr>
    </w:p>
    <w:p w14:paraId="7982CD59" w14:textId="613FD54A"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.6 </w:t>
      </w:r>
      <w:r w:rsidRPr="000818F3">
        <w:rPr>
          <w:rFonts w:asciiTheme="majorBidi" w:hAnsiTheme="majorBidi" w:cstheme="majorBidi"/>
          <w:b/>
          <w:bCs/>
          <w:color w:val="2E2E2E"/>
          <w:sz w:val="24"/>
          <w:szCs w:val="24"/>
        </w:rPr>
        <w:t>Media channel preference</w:t>
      </w:r>
    </w:p>
    <w:p w14:paraId="7EC5FDA3" w14:textId="77777777" w:rsidR="00D37C1D" w:rsidRDefault="00ED492B" w:rsidP="00295214">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461871">
        <w:rPr>
          <w:rFonts w:asciiTheme="majorBidi" w:hAnsiTheme="majorBidi" w:cstheme="majorBidi"/>
          <w:color w:val="2E2E2E"/>
          <w:sz w:val="24"/>
          <w:szCs w:val="24"/>
        </w:rPr>
        <w:t xml:space="preserve">In most of the interviews, before subjecting respondents to the social media stimuli, they were asked a couple of questions related to their </w:t>
      </w:r>
      <w:r>
        <w:rPr>
          <w:rFonts w:asciiTheme="majorBidi" w:hAnsiTheme="majorBidi" w:cstheme="majorBidi"/>
          <w:color w:val="2E2E2E"/>
          <w:sz w:val="24"/>
          <w:szCs w:val="24"/>
        </w:rPr>
        <w:t xml:space="preserve">media channel </w:t>
      </w:r>
      <w:r w:rsidRPr="00461871">
        <w:rPr>
          <w:rFonts w:asciiTheme="majorBidi" w:hAnsiTheme="majorBidi" w:cstheme="majorBidi"/>
          <w:color w:val="2E2E2E"/>
          <w:sz w:val="24"/>
          <w:szCs w:val="24"/>
        </w:rPr>
        <w:t>preference of view</w:t>
      </w:r>
      <w:r>
        <w:rPr>
          <w:rFonts w:asciiTheme="majorBidi" w:hAnsiTheme="majorBidi" w:cstheme="majorBidi"/>
          <w:color w:val="2E2E2E"/>
          <w:sz w:val="24"/>
          <w:szCs w:val="24"/>
        </w:rPr>
        <w:t xml:space="preserve"> the ads. Accordingly, this theme emerged that combined </w:t>
      </w:r>
      <w:r w:rsidR="00C4373A">
        <w:rPr>
          <w:rFonts w:asciiTheme="majorBidi" w:hAnsiTheme="majorBidi" w:cstheme="majorBidi"/>
          <w:color w:val="2E2E2E"/>
          <w:sz w:val="24"/>
          <w:szCs w:val="24"/>
        </w:rPr>
        <w:t>interviewees’</w:t>
      </w:r>
      <w:r>
        <w:rPr>
          <w:rFonts w:asciiTheme="majorBidi" w:hAnsiTheme="majorBidi" w:cstheme="majorBidi"/>
          <w:color w:val="2E2E2E"/>
          <w:sz w:val="24"/>
          <w:szCs w:val="24"/>
        </w:rPr>
        <w:t xml:space="preserve"> answers related to their preferred media channel and which channel they think is more effective. </w:t>
      </w:r>
      <w:bookmarkStart w:id="206" w:name="_Hlk149851670"/>
      <w:r>
        <w:rPr>
          <w:rFonts w:asciiTheme="majorBidi" w:hAnsiTheme="majorBidi" w:cstheme="majorBidi"/>
          <w:color w:val="2E2E2E"/>
          <w:sz w:val="24"/>
          <w:szCs w:val="24"/>
        </w:rPr>
        <w:t xml:space="preserve">A lot of the respondents mentioned they prefer to see the CSR on social media as they use it more often, some preferred to see it on television, and others said that both channels are important. For instance, one subject said: </w:t>
      </w:r>
    </w:p>
    <w:p w14:paraId="25708A4D" w14:textId="77777777" w:rsidR="00D37C1D" w:rsidRDefault="00ED492B" w:rsidP="00D37C1D">
      <w:pPr>
        <w:widowControl w:val="0"/>
        <w:spacing w:line="240" w:lineRule="auto"/>
        <w:ind w:left="720"/>
        <w:outlineLvl w:val="2"/>
        <w:rPr>
          <w:rFonts w:asciiTheme="majorBidi" w:hAnsiTheme="majorBidi" w:cstheme="majorBidi"/>
          <w:sz w:val="24"/>
          <w:szCs w:val="24"/>
        </w:rPr>
      </w:pPr>
      <w:r w:rsidRPr="0084048B">
        <w:rPr>
          <w:rFonts w:asciiTheme="majorBidi" w:hAnsiTheme="majorBidi" w:cstheme="majorBidi"/>
          <w:sz w:val="24"/>
          <w:szCs w:val="24"/>
        </w:rPr>
        <w:t>“</w:t>
      </w:r>
      <w:r w:rsidRPr="00D37C1D">
        <w:rPr>
          <w:rFonts w:asciiTheme="majorBidi" w:hAnsiTheme="majorBidi" w:cstheme="majorBidi"/>
          <w:i/>
          <w:iCs/>
          <w:sz w:val="24"/>
          <w:szCs w:val="24"/>
        </w:rPr>
        <w:t>I feel like it’s a strong message and I would like to see it on both types of media platforms but, social media is more effective</w:t>
      </w:r>
      <w:r w:rsidR="0084048B">
        <w:rPr>
          <w:rFonts w:asciiTheme="majorBidi" w:hAnsiTheme="majorBidi" w:cstheme="majorBidi"/>
          <w:sz w:val="24"/>
          <w:szCs w:val="24"/>
        </w:rPr>
        <w:t xml:space="preserve"> (N.S., 2022)</w:t>
      </w:r>
      <w:r w:rsidRPr="0084048B">
        <w:rPr>
          <w:rFonts w:asciiTheme="majorBidi" w:hAnsiTheme="majorBidi" w:cstheme="majorBidi"/>
          <w:sz w:val="24"/>
          <w:szCs w:val="24"/>
        </w:rPr>
        <w:t>”</w:t>
      </w:r>
    </w:p>
    <w:p w14:paraId="7E5101E1" w14:textId="54CF4652" w:rsidR="00D37C1D" w:rsidRDefault="00ED492B" w:rsidP="00295214">
      <w:pPr>
        <w:widowControl w:val="0"/>
        <w:spacing w:after="0" w:line="480" w:lineRule="auto"/>
        <w:outlineLvl w:val="2"/>
        <w:rPr>
          <w:rFonts w:asciiTheme="majorBidi" w:hAnsiTheme="majorBidi" w:cstheme="majorBidi"/>
          <w:sz w:val="24"/>
          <w:szCs w:val="24"/>
        </w:rPr>
      </w:pPr>
      <w:r>
        <w:rPr>
          <w:rFonts w:asciiTheme="majorBidi" w:hAnsiTheme="majorBidi" w:cstheme="majorBidi"/>
          <w:i/>
          <w:iCs/>
          <w:sz w:val="24"/>
          <w:szCs w:val="24"/>
        </w:rPr>
        <w:t xml:space="preserve"> </w:t>
      </w:r>
      <w:r w:rsidR="00D37C1D">
        <w:rPr>
          <w:rFonts w:asciiTheme="majorBidi" w:hAnsiTheme="majorBidi" w:cstheme="majorBidi"/>
          <w:sz w:val="24"/>
          <w:szCs w:val="24"/>
        </w:rPr>
        <w:t>A</w:t>
      </w:r>
      <w:r w:rsidR="0084048B" w:rsidRPr="0084048B">
        <w:rPr>
          <w:rFonts w:asciiTheme="majorBidi" w:hAnsiTheme="majorBidi" w:cstheme="majorBidi"/>
          <w:sz w:val="24"/>
          <w:szCs w:val="24"/>
        </w:rPr>
        <w:t>nother subject said</w:t>
      </w:r>
      <w:r w:rsidR="00D37C1D">
        <w:rPr>
          <w:rFonts w:asciiTheme="majorBidi" w:hAnsiTheme="majorBidi" w:cstheme="majorBidi"/>
          <w:sz w:val="24"/>
          <w:szCs w:val="24"/>
        </w:rPr>
        <w:t>:</w:t>
      </w:r>
      <w:r w:rsidR="0084048B" w:rsidRPr="0084048B">
        <w:rPr>
          <w:rFonts w:asciiTheme="majorBidi" w:hAnsiTheme="majorBidi" w:cstheme="majorBidi"/>
          <w:sz w:val="24"/>
          <w:szCs w:val="24"/>
        </w:rPr>
        <w:t xml:space="preserve"> </w:t>
      </w:r>
    </w:p>
    <w:p w14:paraId="4F035A46" w14:textId="77777777" w:rsidR="00D37C1D" w:rsidRDefault="00ED492B" w:rsidP="00D37C1D">
      <w:pPr>
        <w:widowControl w:val="0"/>
        <w:spacing w:after="0" w:line="480" w:lineRule="auto"/>
        <w:ind w:firstLine="720"/>
        <w:outlineLvl w:val="2"/>
        <w:rPr>
          <w:rFonts w:asciiTheme="majorBidi" w:hAnsiTheme="majorBidi" w:cstheme="majorBidi"/>
          <w:sz w:val="24"/>
          <w:szCs w:val="24"/>
        </w:rPr>
      </w:pPr>
      <w:r w:rsidRPr="0084048B">
        <w:rPr>
          <w:rFonts w:asciiTheme="majorBidi" w:hAnsiTheme="majorBidi" w:cstheme="majorBidi"/>
          <w:color w:val="2E2E2E"/>
          <w:sz w:val="24"/>
          <w:szCs w:val="24"/>
        </w:rPr>
        <w:t>“</w:t>
      </w:r>
      <w:r w:rsidR="00D37C1D" w:rsidRPr="00D37C1D">
        <w:rPr>
          <w:rFonts w:asciiTheme="majorBidi" w:hAnsiTheme="majorBidi" w:cstheme="majorBidi"/>
          <w:i/>
          <w:iCs/>
          <w:sz w:val="24"/>
          <w:szCs w:val="24"/>
        </w:rPr>
        <w:t>C</w:t>
      </w:r>
      <w:r w:rsidRPr="00D37C1D">
        <w:rPr>
          <w:rFonts w:asciiTheme="majorBidi" w:hAnsiTheme="majorBidi" w:cstheme="majorBidi"/>
          <w:i/>
          <w:iCs/>
          <w:sz w:val="24"/>
          <w:szCs w:val="24"/>
        </w:rPr>
        <w:t>urrently, social media is stronger but, I still think TV is important</w:t>
      </w:r>
      <w:r w:rsidR="0084048B" w:rsidRPr="0084048B">
        <w:rPr>
          <w:rFonts w:asciiTheme="majorBidi" w:hAnsiTheme="majorBidi" w:cstheme="majorBidi"/>
          <w:sz w:val="24"/>
          <w:szCs w:val="24"/>
        </w:rPr>
        <w:t xml:space="preserve"> (M.H., 2022)</w:t>
      </w:r>
      <w:r w:rsidRPr="0084048B">
        <w:rPr>
          <w:rFonts w:asciiTheme="majorBidi" w:hAnsiTheme="majorBidi" w:cstheme="majorBidi"/>
          <w:sz w:val="24"/>
          <w:szCs w:val="24"/>
        </w:rPr>
        <w:t xml:space="preserve">.” </w:t>
      </w:r>
    </w:p>
    <w:p w14:paraId="2A0CC845" w14:textId="401A60E0" w:rsidR="00ED492B" w:rsidRPr="006C2EC5" w:rsidRDefault="00ED492B" w:rsidP="00D37C1D">
      <w:pPr>
        <w:widowControl w:val="0"/>
        <w:spacing w:after="0" w:line="480" w:lineRule="auto"/>
        <w:ind w:firstLine="720"/>
        <w:outlineLvl w:val="2"/>
        <w:rPr>
          <w:rFonts w:asciiTheme="majorBidi" w:hAnsiTheme="majorBidi" w:cstheme="majorBidi"/>
          <w:color w:val="2E2E2E"/>
          <w:sz w:val="24"/>
          <w:szCs w:val="24"/>
        </w:rPr>
      </w:pPr>
      <w:r>
        <w:rPr>
          <w:rFonts w:asciiTheme="majorBidi" w:hAnsiTheme="majorBidi" w:cstheme="majorBidi"/>
          <w:sz w:val="24"/>
          <w:szCs w:val="24"/>
        </w:rPr>
        <w:t xml:space="preserve">Clearly, a number of the interviewed subjects still </w:t>
      </w:r>
      <w:r w:rsidR="002926B2">
        <w:rPr>
          <w:rFonts w:asciiTheme="majorBidi" w:hAnsiTheme="majorBidi" w:cstheme="majorBidi"/>
          <w:sz w:val="24"/>
          <w:szCs w:val="24"/>
        </w:rPr>
        <w:t>valued</w:t>
      </w:r>
      <w:r>
        <w:rPr>
          <w:rFonts w:asciiTheme="majorBidi" w:hAnsiTheme="majorBidi" w:cstheme="majorBidi"/>
          <w:sz w:val="24"/>
          <w:szCs w:val="24"/>
        </w:rPr>
        <w:t xml:space="preserve"> television as a communication medium</w:t>
      </w:r>
      <w:r w:rsidR="00E45B40">
        <w:rPr>
          <w:rFonts w:asciiTheme="majorBidi" w:hAnsiTheme="majorBidi" w:cstheme="majorBidi"/>
          <w:sz w:val="24"/>
          <w:szCs w:val="24"/>
        </w:rPr>
        <w:t xml:space="preserve"> </w:t>
      </w:r>
      <w:r w:rsidR="0084048B">
        <w:rPr>
          <w:rFonts w:asciiTheme="majorBidi" w:hAnsiTheme="majorBidi" w:cstheme="majorBidi"/>
          <w:sz w:val="24"/>
          <w:szCs w:val="24"/>
        </w:rPr>
        <w:t>while other respondents preferred</w:t>
      </w:r>
      <w:r w:rsidR="00E45B40">
        <w:rPr>
          <w:rFonts w:asciiTheme="majorBidi" w:hAnsiTheme="majorBidi" w:cstheme="majorBidi"/>
          <w:sz w:val="24"/>
          <w:szCs w:val="24"/>
        </w:rPr>
        <w:t xml:space="preserve"> social media </w:t>
      </w:r>
      <w:r w:rsidR="002926B2">
        <w:rPr>
          <w:rFonts w:asciiTheme="majorBidi" w:hAnsiTheme="majorBidi" w:cstheme="majorBidi"/>
          <w:sz w:val="24"/>
          <w:szCs w:val="24"/>
        </w:rPr>
        <w:t xml:space="preserve">thought </w:t>
      </w:r>
      <w:r w:rsidR="0084048B">
        <w:rPr>
          <w:rFonts w:asciiTheme="majorBidi" w:hAnsiTheme="majorBidi" w:cstheme="majorBidi"/>
          <w:sz w:val="24"/>
          <w:szCs w:val="24"/>
        </w:rPr>
        <w:t>it is</w:t>
      </w:r>
      <w:r w:rsidR="002926B2">
        <w:rPr>
          <w:rFonts w:asciiTheme="majorBidi" w:hAnsiTheme="majorBidi" w:cstheme="majorBidi"/>
          <w:sz w:val="24"/>
          <w:szCs w:val="24"/>
        </w:rPr>
        <w:t xml:space="preserve"> more effective</w:t>
      </w:r>
      <w:r w:rsidR="00E45B40">
        <w:rPr>
          <w:rFonts w:asciiTheme="majorBidi" w:hAnsiTheme="majorBidi" w:cstheme="majorBidi"/>
          <w:sz w:val="24"/>
          <w:szCs w:val="24"/>
        </w:rPr>
        <w:t>.</w:t>
      </w:r>
    </w:p>
    <w:bookmarkEnd w:id="206"/>
    <w:p w14:paraId="476BB923" w14:textId="6643B23B" w:rsidR="00ED492B" w:rsidRPr="00BB339E" w:rsidRDefault="00ED492B" w:rsidP="00295214">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sz w:val="24"/>
          <w:szCs w:val="24"/>
        </w:rPr>
        <w:tab/>
      </w:r>
      <w:r w:rsidRPr="00BB339E">
        <w:rPr>
          <w:rFonts w:asciiTheme="majorBidi" w:hAnsiTheme="majorBidi" w:cstheme="majorBidi"/>
          <w:sz w:val="24"/>
          <w:szCs w:val="24"/>
        </w:rPr>
        <w:t>The next few section</w:t>
      </w:r>
      <w:r w:rsidR="00951A35">
        <w:rPr>
          <w:rFonts w:asciiTheme="majorBidi" w:hAnsiTheme="majorBidi" w:cstheme="majorBidi"/>
          <w:sz w:val="24"/>
          <w:szCs w:val="24"/>
        </w:rPr>
        <w:t>s</w:t>
      </w:r>
      <w:r w:rsidRPr="00BB339E">
        <w:rPr>
          <w:rFonts w:asciiTheme="majorBidi" w:hAnsiTheme="majorBidi" w:cstheme="majorBidi"/>
          <w:sz w:val="24"/>
          <w:szCs w:val="24"/>
        </w:rPr>
        <w:t xml:space="preserve"> investigate more of the respondents</w:t>
      </w:r>
      <w:r w:rsidR="00F67257">
        <w:rPr>
          <w:rFonts w:asciiTheme="majorBidi" w:hAnsiTheme="majorBidi" w:cstheme="majorBidi"/>
          <w:sz w:val="24"/>
          <w:szCs w:val="24"/>
        </w:rPr>
        <w:t>’</w:t>
      </w:r>
      <w:r w:rsidRPr="00BB339E">
        <w:rPr>
          <w:rFonts w:asciiTheme="majorBidi" w:hAnsiTheme="majorBidi" w:cstheme="majorBidi"/>
          <w:sz w:val="24"/>
          <w:szCs w:val="24"/>
        </w:rPr>
        <w:t xml:space="preserve"> brand attitudes, the reasons behind these attitudes and the way they compare between CSR and non-CSR</w:t>
      </w:r>
      <w:r w:rsidR="0084048B">
        <w:rPr>
          <w:rFonts w:asciiTheme="majorBidi" w:hAnsiTheme="majorBidi" w:cstheme="majorBidi"/>
          <w:sz w:val="24"/>
          <w:szCs w:val="24"/>
        </w:rPr>
        <w:t xml:space="preserve"> communication</w:t>
      </w:r>
      <w:r w:rsidRPr="00BB339E">
        <w:rPr>
          <w:rFonts w:asciiTheme="majorBidi" w:hAnsiTheme="majorBidi" w:cstheme="majorBidi"/>
          <w:sz w:val="24"/>
          <w:szCs w:val="24"/>
        </w:rPr>
        <w:t xml:space="preserve">. </w:t>
      </w:r>
    </w:p>
    <w:p w14:paraId="0AAA44CA" w14:textId="6F29AE5E"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.7 </w:t>
      </w:r>
      <w:bookmarkStart w:id="207" w:name="_Hlk149851750"/>
      <w:r w:rsidRPr="00BB339E">
        <w:rPr>
          <w:rFonts w:asciiTheme="majorBidi" w:hAnsiTheme="majorBidi" w:cstheme="majorBidi"/>
          <w:b/>
          <w:bCs/>
          <w:color w:val="2E2E2E"/>
          <w:sz w:val="24"/>
          <w:szCs w:val="24"/>
        </w:rPr>
        <w:t>Brand likeability</w:t>
      </w:r>
    </w:p>
    <w:bookmarkEnd w:id="207"/>
    <w:p w14:paraId="14445A15" w14:textId="77777777" w:rsidR="00D37C1D" w:rsidRDefault="00ED492B" w:rsidP="00ED492B">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A21681">
        <w:rPr>
          <w:rFonts w:asciiTheme="majorBidi" w:hAnsiTheme="majorBidi" w:cstheme="majorBidi"/>
          <w:color w:val="2E2E2E"/>
          <w:sz w:val="24"/>
          <w:szCs w:val="24"/>
        </w:rPr>
        <w:t>This theme emerged to describe the way consumers</w:t>
      </w:r>
      <w:r>
        <w:rPr>
          <w:rFonts w:asciiTheme="majorBidi" w:hAnsiTheme="majorBidi" w:cstheme="majorBidi"/>
          <w:color w:val="2E2E2E"/>
          <w:sz w:val="24"/>
          <w:szCs w:val="24"/>
        </w:rPr>
        <w:t xml:space="preserve"> </w:t>
      </w:r>
      <w:r w:rsidRPr="00A21681">
        <w:rPr>
          <w:rFonts w:asciiTheme="majorBidi" w:hAnsiTheme="majorBidi" w:cstheme="majorBidi"/>
          <w:color w:val="2E2E2E"/>
          <w:sz w:val="24"/>
          <w:szCs w:val="24"/>
        </w:rPr>
        <w:t xml:space="preserve">perceive the brand. However, this likeability is explained in more details through the </w:t>
      </w:r>
      <w:r w:rsidR="00C4373A">
        <w:rPr>
          <w:rFonts w:asciiTheme="majorBidi" w:hAnsiTheme="majorBidi" w:cstheme="majorBidi"/>
          <w:color w:val="2E2E2E"/>
          <w:sz w:val="24"/>
          <w:szCs w:val="24"/>
        </w:rPr>
        <w:t>interviewees’</w:t>
      </w:r>
      <w:r w:rsidRPr="00A21681">
        <w:rPr>
          <w:rFonts w:asciiTheme="majorBidi" w:hAnsiTheme="majorBidi" w:cstheme="majorBidi"/>
          <w:color w:val="2E2E2E"/>
          <w:sz w:val="24"/>
          <w:szCs w:val="24"/>
        </w:rPr>
        <w:t xml:space="preserve"> reflection on emotional brand attachment and trust. </w:t>
      </w:r>
      <w:bookmarkStart w:id="208" w:name="_Hlk149852518"/>
      <w:r>
        <w:rPr>
          <w:rFonts w:asciiTheme="majorBidi" w:hAnsiTheme="majorBidi" w:cstheme="majorBidi"/>
          <w:color w:val="2E2E2E"/>
          <w:sz w:val="24"/>
          <w:szCs w:val="24"/>
        </w:rPr>
        <w:t>The subjects in the interview expressed or justified their “</w:t>
      </w:r>
      <w:r w:rsidRPr="00D37C1D">
        <w:rPr>
          <w:rFonts w:asciiTheme="majorBidi" w:hAnsiTheme="majorBidi" w:cstheme="majorBidi"/>
          <w:i/>
          <w:iCs/>
          <w:color w:val="2E2E2E"/>
          <w:sz w:val="24"/>
          <w:szCs w:val="24"/>
        </w:rPr>
        <w:t>liking</w:t>
      </w:r>
      <w:r>
        <w:rPr>
          <w:rFonts w:asciiTheme="majorBidi" w:hAnsiTheme="majorBidi" w:cstheme="majorBidi"/>
          <w:color w:val="2E2E2E"/>
          <w:sz w:val="24"/>
          <w:szCs w:val="24"/>
        </w:rPr>
        <w:t xml:space="preserve">” of the brand in several ways. One </w:t>
      </w:r>
      <w:r w:rsidR="00C4373A">
        <w:rPr>
          <w:rFonts w:asciiTheme="majorBidi" w:hAnsiTheme="majorBidi" w:cstheme="majorBidi"/>
          <w:color w:val="2E2E2E"/>
          <w:sz w:val="24"/>
          <w:szCs w:val="24"/>
        </w:rPr>
        <w:t>subject</w:t>
      </w:r>
      <w:r>
        <w:rPr>
          <w:rFonts w:asciiTheme="majorBidi" w:hAnsiTheme="majorBidi" w:cstheme="majorBidi"/>
          <w:color w:val="2E2E2E"/>
          <w:sz w:val="24"/>
          <w:szCs w:val="24"/>
        </w:rPr>
        <w:t xml:space="preserve"> mentioned that he likes the brand because it </w:t>
      </w:r>
    </w:p>
    <w:p w14:paraId="53F0F0C4" w14:textId="77777777" w:rsidR="00D37C1D" w:rsidRDefault="00ED492B" w:rsidP="00D37C1D">
      <w:pPr>
        <w:widowControl w:val="0"/>
        <w:spacing w:after="0" w:line="480" w:lineRule="auto"/>
        <w:ind w:firstLine="720"/>
        <w:outlineLvl w:val="2"/>
        <w:rPr>
          <w:rFonts w:asciiTheme="majorBidi" w:hAnsiTheme="majorBidi" w:cstheme="majorBidi"/>
          <w:sz w:val="24"/>
          <w:szCs w:val="24"/>
        </w:rPr>
      </w:pPr>
      <w:r>
        <w:rPr>
          <w:rFonts w:asciiTheme="majorBidi" w:hAnsiTheme="majorBidi" w:cstheme="majorBidi"/>
          <w:color w:val="2E2E2E"/>
          <w:sz w:val="24"/>
          <w:szCs w:val="24"/>
        </w:rPr>
        <w:t>“</w:t>
      </w:r>
      <w:r w:rsidRPr="00D37C1D">
        <w:rPr>
          <w:rFonts w:asciiTheme="majorBidi" w:hAnsiTheme="majorBidi" w:cstheme="majorBidi"/>
          <w:i/>
          <w:iCs/>
          <w:sz w:val="24"/>
          <w:szCs w:val="24"/>
        </w:rPr>
        <w:t>put social responsibility as a priority and profit is not its main objectives.</w:t>
      </w:r>
      <w:r w:rsidRPr="007D5C15">
        <w:rPr>
          <w:rFonts w:asciiTheme="majorBidi" w:hAnsiTheme="majorBidi" w:cstheme="majorBidi"/>
          <w:sz w:val="24"/>
          <w:szCs w:val="24"/>
        </w:rPr>
        <w:t xml:space="preserve">” </w:t>
      </w:r>
    </w:p>
    <w:p w14:paraId="42934217" w14:textId="77777777" w:rsidR="00D37C1D" w:rsidRDefault="00ED492B" w:rsidP="00ED492B">
      <w:pPr>
        <w:widowControl w:val="0"/>
        <w:spacing w:after="0" w:line="480" w:lineRule="auto"/>
        <w:outlineLvl w:val="2"/>
        <w:rPr>
          <w:rFonts w:asciiTheme="majorBidi" w:hAnsiTheme="majorBidi" w:cstheme="majorBidi"/>
          <w:sz w:val="24"/>
          <w:szCs w:val="24"/>
        </w:rPr>
      </w:pPr>
      <w:r w:rsidRPr="007D5C15">
        <w:rPr>
          <w:rFonts w:asciiTheme="majorBidi" w:hAnsiTheme="majorBidi" w:cstheme="majorBidi"/>
          <w:sz w:val="24"/>
          <w:szCs w:val="24"/>
        </w:rPr>
        <w:t>Another two respondents mentioned that “</w:t>
      </w:r>
      <w:r w:rsidRPr="00D37C1D">
        <w:rPr>
          <w:rFonts w:asciiTheme="majorBidi" w:hAnsiTheme="majorBidi" w:cstheme="majorBidi"/>
          <w:i/>
          <w:iCs/>
          <w:sz w:val="24"/>
          <w:szCs w:val="24"/>
        </w:rPr>
        <w:t>I like what Dettol did for society</w:t>
      </w:r>
      <w:r w:rsidRPr="007D5C15">
        <w:rPr>
          <w:rFonts w:asciiTheme="majorBidi" w:hAnsiTheme="majorBidi" w:cstheme="majorBidi"/>
          <w:sz w:val="24"/>
          <w:szCs w:val="24"/>
        </w:rPr>
        <w:t>” and “</w:t>
      </w:r>
      <w:r w:rsidRPr="00D37C1D">
        <w:rPr>
          <w:rFonts w:asciiTheme="majorBidi" w:hAnsiTheme="majorBidi" w:cstheme="majorBidi"/>
          <w:i/>
          <w:iCs/>
          <w:sz w:val="24"/>
          <w:szCs w:val="24"/>
        </w:rPr>
        <w:t>I liked that Dettol wasn’t trying just to sell</w:t>
      </w:r>
      <w:r w:rsidR="00A9253B">
        <w:rPr>
          <w:rFonts w:asciiTheme="majorBidi" w:hAnsiTheme="majorBidi" w:cstheme="majorBidi"/>
          <w:sz w:val="24"/>
          <w:szCs w:val="24"/>
        </w:rPr>
        <w:t xml:space="preserve"> (A.Z</w:t>
      </w:r>
      <w:r w:rsidR="0063170A">
        <w:rPr>
          <w:rFonts w:asciiTheme="majorBidi" w:hAnsiTheme="majorBidi" w:cstheme="majorBidi"/>
          <w:sz w:val="24"/>
          <w:szCs w:val="24"/>
        </w:rPr>
        <w:t>.</w:t>
      </w:r>
      <w:r w:rsidR="00A9253B">
        <w:rPr>
          <w:rFonts w:asciiTheme="majorBidi" w:hAnsiTheme="majorBidi" w:cstheme="majorBidi"/>
          <w:sz w:val="24"/>
          <w:szCs w:val="24"/>
        </w:rPr>
        <w:t>, 2022)</w:t>
      </w:r>
      <w:r>
        <w:rPr>
          <w:rFonts w:asciiTheme="majorBidi" w:hAnsiTheme="majorBidi" w:cstheme="majorBidi"/>
          <w:sz w:val="24"/>
          <w:szCs w:val="24"/>
        </w:rPr>
        <w:t xml:space="preserve">.” Another respondent mentioned that </w:t>
      </w:r>
    </w:p>
    <w:p w14:paraId="150B7013" w14:textId="77777777" w:rsidR="00D37C1D" w:rsidRDefault="00ED492B" w:rsidP="00D37C1D">
      <w:pPr>
        <w:widowControl w:val="0"/>
        <w:spacing w:line="240" w:lineRule="auto"/>
        <w:ind w:left="720"/>
        <w:outlineLvl w:val="2"/>
        <w:rPr>
          <w:rFonts w:asciiTheme="majorBidi" w:hAnsiTheme="majorBidi" w:cstheme="majorBidi"/>
          <w:sz w:val="24"/>
          <w:szCs w:val="24"/>
        </w:rPr>
      </w:pPr>
      <w:r>
        <w:rPr>
          <w:rFonts w:asciiTheme="majorBidi" w:hAnsiTheme="majorBidi" w:cstheme="majorBidi"/>
          <w:sz w:val="24"/>
          <w:szCs w:val="24"/>
        </w:rPr>
        <w:t>“</w:t>
      </w:r>
      <w:r w:rsidRPr="00D37C1D">
        <w:rPr>
          <w:rFonts w:asciiTheme="majorBidi" w:hAnsiTheme="majorBidi" w:cstheme="majorBidi"/>
          <w:i/>
          <w:iCs/>
          <w:sz w:val="24"/>
          <w:szCs w:val="24"/>
        </w:rPr>
        <w:t xml:space="preserve">I liked that Dettol is not really obliged to do that! But it is a famous brand and </w:t>
      </w:r>
      <w:r w:rsidR="00D37C1D" w:rsidRPr="00D37C1D">
        <w:rPr>
          <w:rFonts w:asciiTheme="majorBidi" w:hAnsiTheme="majorBidi" w:cstheme="majorBidi"/>
          <w:i/>
          <w:iCs/>
          <w:sz w:val="24"/>
          <w:szCs w:val="24"/>
        </w:rPr>
        <w:t>it’s</w:t>
      </w:r>
      <w:r w:rsidRPr="00D37C1D">
        <w:rPr>
          <w:rFonts w:asciiTheme="majorBidi" w:hAnsiTheme="majorBidi" w:cstheme="majorBidi"/>
          <w:i/>
          <w:iCs/>
          <w:sz w:val="24"/>
          <w:szCs w:val="24"/>
        </w:rPr>
        <w:t xml:space="preserve"> using its name for a good cause</w:t>
      </w:r>
      <w:r w:rsidR="00A9253B">
        <w:rPr>
          <w:rFonts w:asciiTheme="majorBidi" w:hAnsiTheme="majorBidi" w:cstheme="majorBidi"/>
          <w:sz w:val="24"/>
          <w:szCs w:val="24"/>
        </w:rPr>
        <w:t xml:space="preserve"> (K.R., 2022)</w:t>
      </w:r>
      <w:r w:rsidRPr="00A9253B">
        <w:rPr>
          <w:rFonts w:asciiTheme="majorBidi" w:hAnsiTheme="majorBidi" w:cstheme="majorBidi"/>
          <w:sz w:val="24"/>
          <w:szCs w:val="24"/>
        </w:rPr>
        <w:t>.”</w:t>
      </w:r>
      <w:bookmarkEnd w:id="208"/>
      <w:r>
        <w:rPr>
          <w:rFonts w:asciiTheme="majorBidi" w:hAnsiTheme="majorBidi" w:cstheme="majorBidi"/>
          <w:sz w:val="24"/>
          <w:szCs w:val="24"/>
        </w:rPr>
        <w:t xml:space="preserve"> </w:t>
      </w:r>
    </w:p>
    <w:p w14:paraId="411DC164" w14:textId="265B3BA2" w:rsidR="00ED492B" w:rsidRDefault="00ED492B" w:rsidP="00D37C1D">
      <w:pPr>
        <w:widowControl w:val="0"/>
        <w:spacing w:after="0" w:line="480" w:lineRule="auto"/>
        <w:ind w:firstLine="720"/>
        <w:outlineLvl w:val="2"/>
        <w:rPr>
          <w:rFonts w:asciiTheme="majorBidi" w:hAnsiTheme="majorBidi" w:cstheme="majorBidi"/>
          <w:sz w:val="24"/>
          <w:szCs w:val="24"/>
        </w:rPr>
      </w:pPr>
      <w:r>
        <w:rPr>
          <w:rFonts w:asciiTheme="majorBidi" w:hAnsiTheme="majorBidi" w:cstheme="majorBidi"/>
          <w:sz w:val="24"/>
          <w:szCs w:val="24"/>
        </w:rPr>
        <w:t>Seemingly, respondents do not explicitly “</w:t>
      </w:r>
      <w:r w:rsidRPr="00D37C1D">
        <w:rPr>
          <w:rFonts w:asciiTheme="majorBidi" w:hAnsiTheme="majorBidi" w:cstheme="majorBidi"/>
          <w:i/>
          <w:iCs/>
          <w:sz w:val="24"/>
          <w:szCs w:val="24"/>
        </w:rPr>
        <w:t>like</w:t>
      </w:r>
      <w:r>
        <w:rPr>
          <w:rFonts w:asciiTheme="majorBidi" w:hAnsiTheme="majorBidi" w:cstheme="majorBidi"/>
          <w:sz w:val="24"/>
          <w:szCs w:val="24"/>
        </w:rPr>
        <w:t xml:space="preserve">” a brand for what it is. Participants clearly mentioned that their motives for liking Dettol, as the most expressed reason from the findings, was the brand’s positive efforts towards society. </w:t>
      </w:r>
    </w:p>
    <w:p w14:paraId="02EC4F0B" w14:textId="77777777" w:rsidR="00D37C1D" w:rsidRDefault="00ED492B" w:rsidP="00ED492B">
      <w:pPr>
        <w:widowControl w:val="0"/>
        <w:spacing w:after="0" w:line="480" w:lineRule="auto"/>
        <w:outlineLvl w:val="2"/>
        <w:rPr>
          <w:rFonts w:asciiTheme="majorBidi" w:hAnsiTheme="majorBidi" w:cstheme="majorBidi"/>
          <w:sz w:val="24"/>
          <w:szCs w:val="24"/>
        </w:rPr>
      </w:pPr>
      <w:r>
        <w:rPr>
          <w:rFonts w:asciiTheme="majorBidi" w:hAnsiTheme="majorBidi" w:cstheme="majorBidi"/>
          <w:sz w:val="24"/>
          <w:szCs w:val="24"/>
        </w:rPr>
        <w:tab/>
        <w:t xml:space="preserve">One interesting finding by one </w:t>
      </w:r>
      <w:r w:rsidR="00D82635">
        <w:rPr>
          <w:rFonts w:asciiTheme="majorBidi" w:hAnsiTheme="majorBidi" w:cstheme="majorBidi"/>
          <w:sz w:val="24"/>
          <w:szCs w:val="24"/>
        </w:rPr>
        <w:t>interviewee</w:t>
      </w:r>
      <w:r>
        <w:rPr>
          <w:rFonts w:asciiTheme="majorBidi" w:hAnsiTheme="majorBidi" w:cstheme="majorBidi"/>
          <w:sz w:val="24"/>
          <w:szCs w:val="24"/>
        </w:rPr>
        <w:t xml:space="preserve"> is that the campaign made her like the brand even though she did not like some of the brands’ features. She stated: </w:t>
      </w:r>
    </w:p>
    <w:p w14:paraId="2D90E229" w14:textId="0FA68941" w:rsidR="00ED492B" w:rsidRPr="00D37C1D" w:rsidRDefault="00ED492B" w:rsidP="00D37C1D">
      <w:pPr>
        <w:widowControl w:val="0"/>
        <w:spacing w:line="240" w:lineRule="auto"/>
        <w:ind w:left="720"/>
        <w:outlineLvl w:val="2"/>
        <w:rPr>
          <w:rFonts w:asciiTheme="majorBidi" w:hAnsiTheme="majorBidi" w:cstheme="majorBidi"/>
          <w:i/>
          <w:iCs/>
          <w:sz w:val="24"/>
          <w:szCs w:val="24"/>
        </w:rPr>
      </w:pPr>
      <w:r w:rsidRPr="00D37C1D">
        <w:rPr>
          <w:rFonts w:asciiTheme="majorBidi" w:hAnsiTheme="majorBidi" w:cstheme="majorBidi"/>
          <w:i/>
          <w:iCs/>
          <w:sz w:val="24"/>
          <w:szCs w:val="24"/>
        </w:rPr>
        <w:t>“If the claim is real, even though I don’t like the smell, I will buy it for sure</w:t>
      </w:r>
      <w:r w:rsidR="00A9253B" w:rsidRPr="00D37C1D">
        <w:rPr>
          <w:rFonts w:asciiTheme="majorBidi" w:hAnsiTheme="majorBidi" w:cstheme="majorBidi"/>
          <w:i/>
          <w:iCs/>
          <w:sz w:val="24"/>
          <w:szCs w:val="24"/>
        </w:rPr>
        <w:t xml:space="preserve"> (K.B., 2022)</w:t>
      </w:r>
      <w:r w:rsidRPr="00D37C1D">
        <w:rPr>
          <w:rFonts w:asciiTheme="majorBidi" w:hAnsiTheme="majorBidi" w:cstheme="majorBidi"/>
          <w:i/>
          <w:iCs/>
          <w:sz w:val="24"/>
          <w:szCs w:val="24"/>
        </w:rPr>
        <w:t xml:space="preserve">.” </w:t>
      </w:r>
    </w:p>
    <w:p w14:paraId="2A4107A7" w14:textId="410C4BC8" w:rsidR="00ED492B" w:rsidRPr="001664AE" w:rsidRDefault="00ED492B" w:rsidP="00ED492B">
      <w:pPr>
        <w:widowControl w:val="0"/>
        <w:spacing w:after="120" w:line="480" w:lineRule="auto"/>
        <w:outlineLvl w:val="2"/>
        <w:rPr>
          <w:rFonts w:asciiTheme="majorBidi" w:hAnsiTheme="majorBidi" w:cstheme="majorBidi"/>
          <w:sz w:val="24"/>
          <w:szCs w:val="24"/>
        </w:rPr>
      </w:pPr>
      <w:r>
        <w:rPr>
          <w:rFonts w:asciiTheme="majorBidi" w:hAnsiTheme="majorBidi" w:cstheme="majorBidi"/>
          <w:sz w:val="24"/>
          <w:szCs w:val="24"/>
        </w:rPr>
        <w:tab/>
        <w:t xml:space="preserve">When </w:t>
      </w:r>
      <w:r w:rsidR="00C4373A">
        <w:rPr>
          <w:rFonts w:asciiTheme="majorBidi" w:hAnsiTheme="majorBidi" w:cstheme="majorBidi"/>
          <w:sz w:val="24"/>
          <w:szCs w:val="24"/>
        </w:rPr>
        <w:t>subjects</w:t>
      </w:r>
      <w:r>
        <w:rPr>
          <w:rFonts w:asciiTheme="majorBidi" w:hAnsiTheme="majorBidi" w:cstheme="majorBidi"/>
          <w:sz w:val="24"/>
          <w:szCs w:val="24"/>
        </w:rPr>
        <w:t xml:space="preserve"> were asked about “</w:t>
      </w:r>
      <w:r w:rsidR="00A9253B">
        <w:rPr>
          <w:rFonts w:asciiTheme="majorBidi" w:hAnsiTheme="majorBidi" w:cstheme="majorBidi"/>
          <w:sz w:val="24"/>
          <w:szCs w:val="24"/>
        </w:rPr>
        <w:t xml:space="preserve">liking the </w:t>
      </w:r>
      <w:r>
        <w:rPr>
          <w:rFonts w:asciiTheme="majorBidi" w:hAnsiTheme="majorBidi" w:cstheme="majorBidi"/>
          <w:sz w:val="24"/>
          <w:szCs w:val="24"/>
        </w:rPr>
        <w:t xml:space="preserve">brand,” it appeared that brand likeability is not absolute. </w:t>
      </w:r>
      <w:bookmarkStart w:id="209" w:name="_Hlk149852547"/>
      <w:r>
        <w:rPr>
          <w:rFonts w:asciiTheme="majorBidi" w:hAnsiTheme="majorBidi" w:cstheme="majorBidi"/>
          <w:sz w:val="24"/>
          <w:szCs w:val="24"/>
        </w:rPr>
        <w:t xml:space="preserve">The comments provided for liking the brands in this theme and the upcoming themes </w:t>
      </w:r>
      <w:r w:rsidRPr="007D5C15">
        <w:rPr>
          <w:rFonts w:asciiTheme="majorBidi" w:hAnsiTheme="majorBidi" w:cstheme="majorBidi"/>
          <w:sz w:val="24"/>
          <w:szCs w:val="24"/>
        </w:rPr>
        <w:t>did not reveal explicit liking for the brand name itself, its legacy, or its functions which were presented in the non-CSR</w:t>
      </w:r>
      <w:r>
        <w:rPr>
          <w:rFonts w:asciiTheme="majorBidi" w:hAnsiTheme="majorBidi" w:cstheme="majorBidi"/>
          <w:sz w:val="24"/>
          <w:szCs w:val="24"/>
        </w:rPr>
        <w:t xml:space="preserve"> ad. However, brand likability was more related to the social and philanthropic activities that Dettol did in the CSR ad.</w:t>
      </w:r>
      <w:bookmarkEnd w:id="209"/>
      <w:r>
        <w:rPr>
          <w:rFonts w:asciiTheme="majorBidi" w:hAnsiTheme="majorBidi" w:cstheme="majorBidi"/>
          <w:sz w:val="24"/>
          <w:szCs w:val="24"/>
        </w:rPr>
        <w:t xml:space="preserve"> </w:t>
      </w:r>
      <w:r w:rsidR="00295214">
        <w:rPr>
          <w:rFonts w:asciiTheme="majorBidi" w:hAnsiTheme="majorBidi" w:cstheme="majorBidi"/>
          <w:sz w:val="24"/>
          <w:szCs w:val="24"/>
        </w:rPr>
        <w:t>Generally</w:t>
      </w:r>
      <w:r>
        <w:rPr>
          <w:rFonts w:asciiTheme="majorBidi" w:hAnsiTheme="majorBidi" w:cstheme="majorBidi"/>
          <w:sz w:val="24"/>
          <w:szCs w:val="24"/>
        </w:rPr>
        <w:t xml:space="preserve">, </w:t>
      </w:r>
      <w:r w:rsidR="00295214">
        <w:rPr>
          <w:rFonts w:asciiTheme="majorBidi" w:hAnsiTheme="majorBidi" w:cstheme="majorBidi"/>
          <w:sz w:val="24"/>
          <w:szCs w:val="24"/>
        </w:rPr>
        <w:t>i</w:t>
      </w:r>
      <w:r>
        <w:rPr>
          <w:rFonts w:asciiTheme="majorBidi" w:hAnsiTheme="majorBidi" w:cstheme="majorBidi"/>
          <w:sz w:val="24"/>
          <w:szCs w:val="24"/>
        </w:rPr>
        <w:t xml:space="preserve">dentifying brand likeability was more obvious in the quantitative study and will be more prominent in the findings discussed in the upcoming sections. </w:t>
      </w:r>
    </w:p>
    <w:p w14:paraId="1BCF5375" w14:textId="55D2A822"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.8 </w:t>
      </w:r>
      <w:bookmarkStart w:id="210" w:name="_Hlk149852562"/>
      <w:r w:rsidRPr="001664AE">
        <w:rPr>
          <w:rFonts w:asciiTheme="majorBidi" w:hAnsiTheme="majorBidi" w:cstheme="majorBidi"/>
          <w:b/>
          <w:bCs/>
          <w:color w:val="2E2E2E"/>
          <w:sz w:val="24"/>
          <w:szCs w:val="24"/>
        </w:rPr>
        <w:t>Emotional brand attachment</w:t>
      </w:r>
    </w:p>
    <w:bookmarkEnd w:id="210"/>
    <w:p w14:paraId="118C7441" w14:textId="77777777" w:rsidR="00D37C1D" w:rsidRDefault="00ED492B" w:rsidP="00ED492B">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921CFB">
        <w:rPr>
          <w:rFonts w:asciiTheme="majorBidi" w:hAnsiTheme="majorBidi" w:cstheme="majorBidi"/>
          <w:color w:val="2E2E2E"/>
          <w:sz w:val="24"/>
          <w:szCs w:val="24"/>
        </w:rPr>
        <w:t xml:space="preserve">This theme </w:t>
      </w:r>
      <w:r>
        <w:rPr>
          <w:rFonts w:asciiTheme="majorBidi" w:hAnsiTheme="majorBidi" w:cstheme="majorBidi"/>
          <w:color w:val="2E2E2E"/>
          <w:sz w:val="24"/>
          <w:szCs w:val="24"/>
        </w:rPr>
        <w:t xml:space="preserve">was </w:t>
      </w:r>
      <w:r w:rsidRPr="00921CFB">
        <w:rPr>
          <w:rFonts w:asciiTheme="majorBidi" w:hAnsiTheme="majorBidi" w:cstheme="majorBidi"/>
          <w:color w:val="2E2E2E"/>
          <w:sz w:val="24"/>
          <w:szCs w:val="24"/>
        </w:rPr>
        <w:t>developed based on the responses that revealed some emotions or feelings towards the brand.</w:t>
      </w:r>
      <w:r>
        <w:rPr>
          <w:rFonts w:asciiTheme="majorBidi" w:hAnsiTheme="majorBidi" w:cstheme="majorBidi"/>
          <w:color w:val="2E2E2E"/>
          <w:sz w:val="24"/>
          <w:szCs w:val="24"/>
        </w:rPr>
        <w:t xml:space="preserve"> </w:t>
      </w:r>
      <w:bookmarkStart w:id="211" w:name="_Hlk149852620"/>
      <w:r>
        <w:rPr>
          <w:rFonts w:asciiTheme="majorBidi" w:hAnsiTheme="majorBidi" w:cstheme="majorBidi"/>
          <w:color w:val="2E2E2E"/>
          <w:sz w:val="24"/>
          <w:szCs w:val="24"/>
        </w:rPr>
        <w:t xml:space="preserve">Majority of the </w:t>
      </w:r>
      <w:r w:rsidR="00C4373A">
        <w:rPr>
          <w:rFonts w:asciiTheme="majorBidi" w:hAnsiTheme="majorBidi" w:cstheme="majorBidi"/>
          <w:color w:val="2E2E2E"/>
          <w:sz w:val="24"/>
          <w:szCs w:val="24"/>
        </w:rPr>
        <w:t>interviewed subjects</w:t>
      </w:r>
      <w:r>
        <w:rPr>
          <w:rFonts w:asciiTheme="majorBidi" w:hAnsiTheme="majorBidi" w:cstheme="majorBidi"/>
          <w:color w:val="2E2E2E"/>
          <w:sz w:val="24"/>
          <w:szCs w:val="24"/>
        </w:rPr>
        <w:t xml:space="preserve"> mentioned that they felt more connected to the CSR ad for different reasons. For instance, a couple of respondents made these comments:</w:t>
      </w:r>
    </w:p>
    <w:p w14:paraId="1162C0C2" w14:textId="77777777" w:rsidR="00D37C1D" w:rsidRDefault="00ED492B" w:rsidP="00D37C1D">
      <w:pPr>
        <w:widowControl w:val="0"/>
        <w:spacing w:after="0" w:line="480" w:lineRule="auto"/>
        <w:ind w:left="720"/>
        <w:outlineLvl w:val="2"/>
        <w:rPr>
          <w:rFonts w:asciiTheme="majorBidi" w:hAnsiTheme="majorBidi" w:cstheme="majorBidi"/>
          <w:sz w:val="24"/>
          <w:szCs w:val="24"/>
        </w:rPr>
      </w:pPr>
      <w:r w:rsidRPr="00A9253B">
        <w:rPr>
          <w:rFonts w:asciiTheme="majorBidi" w:hAnsiTheme="majorBidi" w:cstheme="majorBidi"/>
          <w:color w:val="2E2E2E"/>
          <w:sz w:val="24"/>
          <w:szCs w:val="24"/>
        </w:rPr>
        <w:t>“</w:t>
      </w:r>
      <w:r w:rsidRPr="00A9253B">
        <w:rPr>
          <w:rFonts w:asciiTheme="majorBidi" w:hAnsiTheme="majorBidi" w:cstheme="majorBidi"/>
          <w:sz w:val="24"/>
          <w:szCs w:val="24"/>
        </w:rPr>
        <w:t>the first one that talks about serving the community</w:t>
      </w:r>
      <w:r w:rsidR="00F67257">
        <w:rPr>
          <w:rFonts w:asciiTheme="majorBidi" w:hAnsiTheme="majorBidi" w:cstheme="majorBidi"/>
          <w:sz w:val="24"/>
          <w:szCs w:val="24"/>
        </w:rPr>
        <w:t xml:space="preserve"> </w:t>
      </w:r>
      <w:r w:rsidRPr="00A9253B">
        <w:rPr>
          <w:rFonts w:asciiTheme="majorBidi" w:hAnsiTheme="majorBidi" w:cstheme="majorBidi"/>
          <w:sz w:val="24"/>
          <w:szCs w:val="24"/>
        </w:rPr>
        <w:t xml:space="preserve">makes </w:t>
      </w:r>
      <w:r w:rsidRPr="007D5C15">
        <w:rPr>
          <w:rFonts w:asciiTheme="majorBidi" w:hAnsiTheme="majorBidi" w:cstheme="majorBidi"/>
          <w:sz w:val="24"/>
          <w:szCs w:val="24"/>
        </w:rPr>
        <w:t>me love the brand and respect it</w:t>
      </w:r>
      <w:r w:rsidR="00A9253B" w:rsidRPr="007D5C15">
        <w:rPr>
          <w:rFonts w:asciiTheme="majorBidi" w:hAnsiTheme="majorBidi" w:cstheme="majorBidi"/>
          <w:sz w:val="24"/>
          <w:szCs w:val="24"/>
        </w:rPr>
        <w:t xml:space="preserve"> (N.N., 2022)</w:t>
      </w:r>
      <w:r w:rsidRPr="007D5C15">
        <w:rPr>
          <w:rFonts w:asciiTheme="majorBidi" w:hAnsiTheme="majorBidi" w:cstheme="majorBidi"/>
          <w:sz w:val="24"/>
          <w:szCs w:val="24"/>
        </w:rPr>
        <w:t>,”</w:t>
      </w:r>
    </w:p>
    <w:p w14:paraId="041EEAB5" w14:textId="77777777" w:rsidR="00D37C1D" w:rsidRDefault="00ED492B" w:rsidP="00D37C1D">
      <w:pPr>
        <w:widowControl w:val="0"/>
        <w:spacing w:line="240" w:lineRule="auto"/>
        <w:ind w:left="720" w:firstLine="60"/>
        <w:outlineLvl w:val="2"/>
        <w:rPr>
          <w:rFonts w:asciiTheme="majorBidi" w:hAnsiTheme="majorBidi" w:cstheme="majorBidi"/>
          <w:sz w:val="24"/>
          <w:szCs w:val="24"/>
        </w:rPr>
      </w:pPr>
      <w:r w:rsidRPr="007D5C15">
        <w:rPr>
          <w:rFonts w:asciiTheme="majorBidi" w:hAnsiTheme="majorBidi" w:cstheme="majorBidi"/>
          <w:sz w:val="24"/>
          <w:szCs w:val="24"/>
        </w:rPr>
        <w:t>“</w:t>
      </w:r>
      <w:r w:rsidRPr="00D37C1D">
        <w:rPr>
          <w:rFonts w:asciiTheme="majorBidi" w:hAnsiTheme="majorBidi" w:cstheme="majorBidi"/>
          <w:i/>
          <w:iCs/>
          <w:sz w:val="24"/>
          <w:szCs w:val="24"/>
        </w:rPr>
        <w:t>I feel more connected to the first one. I will feel this is an ethical brand. I will feel</w:t>
      </w:r>
      <w:r w:rsidR="00F67257" w:rsidRPr="00D37C1D">
        <w:rPr>
          <w:rFonts w:asciiTheme="majorBidi" w:hAnsiTheme="majorBidi" w:cstheme="majorBidi"/>
          <w:i/>
          <w:iCs/>
          <w:sz w:val="24"/>
          <w:szCs w:val="24"/>
        </w:rPr>
        <w:t xml:space="preserve"> that</w:t>
      </w:r>
      <w:r w:rsidRPr="00D37C1D">
        <w:rPr>
          <w:rFonts w:asciiTheme="majorBidi" w:hAnsiTheme="majorBidi" w:cstheme="majorBidi"/>
          <w:i/>
          <w:iCs/>
          <w:sz w:val="24"/>
          <w:szCs w:val="24"/>
        </w:rPr>
        <w:t xml:space="preserve"> when I buy this </w:t>
      </w:r>
      <w:r w:rsidR="00A9253B" w:rsidRPr="00D37C1D">
        <w:rPr>
          <w:rFonts w:asciiTheme="majorBidi" w:hAnsiTheme="majorBidi" w:cstheme="majorBidi"/>
          <w:i/>
          <w:iCs/>
          <w:sz w:val="24"/>
          <w:szCs w:val="24"/>
        </w:rPr>
        <w:t>product,</w:t>
      </w:r>
      <w:r w:rsidRPr="00D37C1D">
        <w:rPr>
          <w:rFonts w:asciiTheme="majorBidi" w:hAnsiTheme="majorBidi" w:cstheme="majorBidi"/>
          <w:i/>
          <w:iCs/>
          <w:sz w:val="24"/>
          <w:szCs w:val="24"/>
        </w:rPr>
        <w:t xml:space="preserve"> I am also a good person</w:t>
      </w:r>
      <w:r w:rsidR="00A9253B">
        <w:rPr>
          <w:rFonts w:asciiTheme="majorBidi" w:hAnsiTheme="majorBidi" w:cstheme="majorBidi"/>
          <w:sz w:val="24"/>
          <w:szCs w:val="24"/>
        </w:rPr>
        <w:t xml:space="preserve"> (A.A., 2022)</w:t>
      </w:r>
      <w:r w:rsidRPr="00A9253B">
        <w:rPr>
          <w:rFonts w:asciiTheme="majorBidi" w:hAnsiTheme="majorBidi" w:cstheme="majorBidi"/>
          <w:sz w:val="24"/>
          <w:szCs w:val="24"/>
        </w:rPr>
        <w:t>,</w:t>
      </w:r>
      <w:r w:rsidR="00D37C1D">
        <w:rPr>
          <w:rFonts w:asciiTheme="majorBidi" w:hAnsiTheme="majorBidi" w:cstheme="majorBidi"/>
          <w:sz w:val="24"/>
          <w:szCs w:val="24"/>
        </w:rPr>
        <w:t xml:space="preserve"> and</w:t>
      </w:r>
      <w:r w:rsidRPr="00A9253B">
        <w:rPr>
          <w:rFonts w:asciiTheme="majorBidi" w:hAnsiTheme="majorBidi" w:cstheme="majorBidi"/>
          <w:sz w:val="24"/>
          <w:szCs w:val="24"/>
        </w:rPr>
        <w:t>”</w:t>
      </w:r>
      <w:r>
        <w:rPr>
          <w:rFonts w:asciiTheme="majorBidi" w:hAnsiTheme="majorBidi" w:cstheme="majorBidi"/>
          <w:i/>
          <w:iCs/>
          <w:sz w:val="24"/>
          <w:szCs w:val="24"/>
        </w:rPr>
        <w:t xml:space="preserve"> </w:t>
      </w:r>
    </w:p>
    <w:p w14:paraId="7BC17569" w14:textId="1BBEDC87" w:rsidR="00ED492B" w:rsidRPr="00A9253B" w:rsidRDefault="00ED492B" w:rsidP="00D37C1D">
      <w:pPr>
        <w:widowControl w:val="0"/>
        <w:spacing w:line="240" w:lineRule="auto"/>
        <w:ind w:left="720" w:firstLine="60"/>
        <w:outlineLvl w:val="2"/>
        <w:rPr>
          <w:rFonts w:asciiTheme="majorBidi" w:hAnsiTheme="majorBidi" w:cstheme="majorBidi"/>
          <w:color w:val="2E2E2E"/>
          <w:sz w:val="24"/>
          <w:szCs w:val="24"/>
        </w:rPr>
      </w:pPr>
      <w:r w:rsidRPr="00A9253B">
        <w:rPr>
          <w:rFonts w:asciiTheme="majorBidi" w:hAnsiTheme="majorBidi" w:cstheme="majorBidi"/>
          <w:sz w:val="24"/>
          <w:szCs w:val="24"/>
        </w:rPr>
        <w:t>“</w:t>
      </w:r>
      <w:r w:rsidRPr="00D37C1D">
        <w:rPr>
          <w:rFonts w:asciiTheme="majorBidi" w:hAnsiTheme="majorBidi" w:cstheme="majorBidi"/>
          <w:i/>
          <w:iCs/>
          <w:sz w:val="24"/>
          <w:szCs w:val="24"/>
        </w:rPr>
        <w:t>the CSR will definitely make me try it especially if the cause is highly related and relevant to me and close to my heart</w:t>
      </w:r>
      <w:r w:rsidR="00A9253B" w:rsidRPr="00D37C1D">
        <w:rPr>
          <w:rFonts w:asciiTheme="majorBidi" w:hAnsiTheme="majorBidi" w:cstheme="majorBidi"/>
          <w:i/>
          <w:iCs/>
          <w:sz w:val="24"/>
          <w:szCs w:val="24"/>
        </w:rPr>
        <w:t xml:space="preserve"> </w:t>
      </w:r>
      <w:r w:rsidR="00A9253B">
        <w:rPr>
          <w:rFonts w:asciiTheme="majorBidi" w:hAnsiTheme="majorBidi" w:cstheme="majorBidi"/>
          <w:sz w:val="24"/>
          <w:szCs w:val="24"/>
        </w:rPr>
        <w:t>(L.O., 2022)</w:t>
      </w:r>
      <w:r w:rsidRPr="00A9253B">
        <w:rPr>
          <w:rFonts w:asciiTheme="majorBidi" w:hAnsiTheme="majorBidi" w:cstheme="majorBidi"/>
          <w:sz w:val="24"/>
          <w:szCs w:val="24"/>
        </w:rPr>
        <w:t>.”</w:t>
      </w:r>
    </w:p>
    <w:p w14:paraId="2E33A7E2" w14:textId="77777777" w:rsidR="00D37C1D"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r>
      <w:r w:rsidRPr="003D0946">
        <w:rPr>
          <w:rFonts w:asciiTheme="majorBidi" w:hAnsiTheme="majorBidi" w:cstheme="majorBidi"/>
          <w:sz w:val="24"/>
          <w:szCs w:val="24"/>
        </w:rPr>
        <w:t xml:space="preserve">Similar to the reasons explained in brand likeability, most of the emotions that the participants exposed in the interviews </w:t>
      </w:r>
      <w:r>
        <w:rPr>
          <w:rFonts w:asciiTheme="majorBidi" w:hAnsiTheme="majorBidi" w:cstheme="majorBidi"/>
          <w:sz w:val="24"/>
          <w:szCs w:val="24"/>
        </w:rPr>
        <w:t>were highly linked to the emotions that the brand shows by giving back to community and society. For example, one respondent said:</w:t>
      </w:r>
    </w:p>
    <w:p w14:paraId="17B617B3" w14:textId="3FB7F4AF" w:rsidR="00D37C1D" w:rsidRDefault="00ED492B" w:rsidP="00D37C1D">
      <w:pPr>
        <w:widowControl w:val="0"/>
        <w:spacing w:line="240" w:lineRule="auto"/>
        <w:ind w:left="720"/>
        <w:rPr>
          <w:rFonts w:asciiTheme="majorBidi" w:hAnsiTheme="majorBidi" w:cstheme="majorBidi"/>
          <w:sz w:val="24"/>
          <w:szCs w:val="24"/>
        </w:rPr>
      </w:pPr>
      <w:r w:rsidRPr="00D37C1D">
        <w:rPr>
          <w:rFonts w:asciiTheme="majorBidi" w:hAnsiTheme="majorBidi" w:cstheme="majorBidi"/>
          <w:i/>
          <w:iCs/>
          <w:sz w:val="24"/>
          <w:szCs w:val="24"/>
        </w:rPr>
        <w:t xml:space="preserve">“Dettol is making “effort” to pay back to society. </w:t>
      </w:r>
      <w:r w:rsidR="00F67257" w:rsidRPr="00D37C1D">
        <w:rPr>
          <w:rFonts w:asciiTheme="majorBidi" w:hAnsiTheme="majorBidi" w:cstheme="majorBidi"/>
          <w:i/>
          <w:iCs/>
          <w:sz w:val="24"/>
          <w:szCs w:val="24"/>
        </w:rPr>
        <w:t>It s</w:t>
      </w:r>
      <w:r w:rsidRPr="00D37C1D">
        <w:rPr>
          <w:rFonts w:asciiTheme="majorBidi" w:hAnsiTheme="majorBidi" w:cstheme="majorBidi"/>
          <w:i/>
          <w:iCs/>
          <w:sz w:val="24"/>
          <w:szCs w:val="24"/>
        </w:rPr>
        <w:t>peaks to your heart</w:t>
      </w:r>
      <w:r w:rsidR="00A9253B" w:rsidRPr="00D37C1D">
        <w:rPr>
          <w:rFonts w:asciiTheme="majorBidi" w:hAnsiTheme="majorBidi" w:cstheme="majorBidi"/>
          <w:i/>
          <w:iCs/>
          <w:sz w:val="24"/>
          <w:szCs w:val="24"/>
        </w:rPr>
        <w:t xml:space="preserve"> (K.R., 2022).</w:t>
      </w:r>
      <w:r w:rsidRPr="00D37C1D">
        <w:rPr>
          <w:rFonts w:asciiTheme="majorBidi" w:hAnsiTheme="majorBidi" w:cstheme="majorBidi"/>
          <w:i/>
          <w:iCs/>
          <w:sz w:val="24"/>
          <w:szCs w:val="24"/>
        </w:rPr>
        <w:t>”</w:t>
      </w:r>
      <w:r w:rsidRPr="00A9253B">
        <w:rPr>
          <w:rFonts w:asciiTheme="majorBidi" w:hAnsiTheme="majorBidi" w:cstheme="majorBidi"/>
          <w:sz w:val="24"/>
          <w:szCs w:val="24"/>
        </w:rPr>
        <w:t xml:space="preserve"> </w:t>
      </w:r>
      <w:bookmarkEnd w:id="211"/>
    </w:p>
    <w:p w14:paraId="47C2290B" w14:textId="69A5C652" w:rsidR="00ED492B" w:rsidRPr="0065624D" w:rsidRDefault="00ED492B" w:rsidP="00ED492B">
      <w:pPr>
        <w:widowControl w:val="0"/>
        <w:spacing w:after="0" w:line="480" w:lineRule="auto"/>
        <w:rPr>
          <w:rFonts w:asciiTheme="majorBidi" w:hAnsiTheme="majorBidi" w:cstheme="majorBidi"/>
          <w:sz w:val="24"/>
          <w:szCs w:val="24"/>
        </w:rPr>
      </w:pPr>
      <w:r w:rsidRPr="0065624D">
        <w:rPr>
          <w:rFonts w:asciiTheme="majorBidi" w:hAnsiTheme="majorBidi" w:cstheme="majorBidi"/>
          <w:sz w:val="24"/>
          <w:szCs w:val="24"/>
        </w:rPr>
        <w:t>Another respondent stated the below:</w:t>
      </w:r>
    </w:p>
    <w:p w14:paraId="7EAD540C" w14:textId="597D275F" w:rsidR="00ED492B" w:rsidRPr="0065624D" w:rsidRDefault="00ED492B" w:rsidP="00ED492B">
      <w:pPr>
        <w:widowControl w:val="0"/>
        <w:spacing w:line="240" w:lineRule="auto"/>
        <w:ind w:left="720"/>
        <w:rPr>
          <w:rFonts w:asciiTheme="majorBidi" w:hAnsiTheme="majorBidi" w:cstheme="majorBidi"/>
          <w:sz w:val="24"/>
          <w:szCs w:val="24"/>
        </w:rPr>
      </w:pPr>
      <w:r w:rsidRPr="0065624D">
        <w:rPr>
          <w:rFonts w:asciiTheme="majorBidi" w:hAnsiTheme="majorBidi" w:cstheme="majorBidi"/>
          <w:sz w:val="24"/>
          <w:szCs w:val="24"/>
        </w:rPr>
        <w:t xml:space="preserve"> </w:t>
      </w:r>
      <w:r w:rsidRPr="00D37C1D">
        <w:rPr>
          <w:rFonts w:asciiTheme="majorBidi" w:hAnsiTheme="majorBidi" w:cstheme="majorBidi"/>
          <w:i/>
          <w:iCs/>
          <w:sz w:val="24"/>
          <w:szCs w:val="24"/>
        </w:rPr>
        <w:t>The first one I felt more emotionally connected to because of all the sick people around us and the economic situation in many countries. Its nice to see that a brand like Dettol that is making money regardless has gone out of line to help people, especially the things related to treating sick people</w:t>
      </w:r>
      <w:r w:rsidR="00A9253B">
        <w:rPr>
          <w:rFonts w:asciiTheme="majorBidi" w:hAnsiTheme="majorBidi" w:cstheme="majorBidi"/>
          <w:sz w:val="24"/>
          <w:szCs w:val="24"/>
        </w:rPr>
        <w:t xml:space="preserve"> (R.G., 2022)</w:t>
      </w:r>
      <w:r w:rsidRPr="0065624D">
        <w:rPr>
          <w:rFonts w:asciiTheme="majorBidi" w:hAnsiTheme="majorBidi" w:cstheme="majorBidi"/>
          <w:sz w:val="24"/>
          <w:szCs w:val="24"/>
        </w:rPr>
        <w:t>.</w:t>
      </w:r>
    </w:p>
    <w:p w14:paraId="6291D9CA" w14:textId="77777777" w:rsidR="00D37C1D"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The non-CSR ad also had an emotional tone and a soft background music. </w:t>
      </w:r>
      <w:r w:rsidR="00173596">
        <w:rPr>
          <w:rFonts w:asciiTheme="majorBidi" w:hAnsiTheme="majorBidi" w:cstheme="majorBidi"/>
          <w:sz w:val="24"/>
          <w:szCs w:val="24"/>
        </w:rPr>
        <w:t>Consequently</w:t>
      </w:r>
      <w:r>
        <w:rPr>
          <w:rFonts w:asciiTheme="majorBidi" w:hAnsiTheme="majorBidi" w:cstheme="majorBidi"/>
          <w:sz w:val="24"/>
          <w:szCs w:val="24"/>
        </w:rPr>
        <w:t xml:space="preserve">, some participants felt more emotionally connected to the non-CSR ad than the CSR one. For example, one respondent mentioned: </w:t>
      </w:r>
    </w:p>
    <w:p w14:paraId="5914E040" w14:textId="77777777" w:rsidR="00D37C1D" w:rsidRDefault="00ED492B" w:rsidP="00D37C1D">
      <w:pPr>
        <w:widowControl w:val="0"/>
        <w:spacing w:line="240" w:lineRule="auto"/>
        <w:ind w:left="720"/>
        <w:rPr>
          <w:rFonts w:asciiTheme="majorBidi" w:hAnsiTheme="majorBidi" w:cstheme="majorBidi"/>
          <w:sz w:val="24"/>
          <w:szCs w:val="24"/>
        </w:rPr>
      </w:pPr>
      <w:r w:rsidRPr="00A9253B">
        <w:rPr>
          <w:rFonts w:asciiTheme="majorBidi" w:hAnsiTheme="majorBidi" w:cstheme="majorBidi"/>
          <w:sz w:val="24"/>
          <w:szCs w:val="24"/>
        </w:rPr>
        <w:t>“</w:t>
      </w:r>
      <w:r w:rsidRPr="00D37C1D">
        <w:rPr>
          <w:rFonts w:asciiTheme="majorBidi" w:hAnsiTheme="majorBidi" w:cstheme="majorBidi"/>
          <w:i/>
          <w:iCs/>
          <w:sz w:val="24"/>
          <w:szCs w:val="24"/>
        </w:rPr>
        <w:t>I felt connected to the second ad because I liked seeing babies</w:t>
      </w:r>
      <w:r w:rsidR="00F67257" w:rsidRPr="00D37C1D">
        <w:rPr>
          <w:rFonts w:asciiTheme="majorBidi" w:hAnsiTheme="majorBidi" w:cstheme="majorBidi"/>
          <w:i/>
          <w:iCs/>
          <w:sz w:val="24"/>
          <w:szCs w:val="24"/>
        </w:rPr>
        <w:t xml:space="preserve">; </w:t>
      </w:r>
      <w:r w:rsidRPr="00D37C1D">
        <w:rPr>
          <w:rFonts w:asciiTheme="majorBidi" w:hAnsiTheme="majorBidi" w:cstheme="majorBidi"/>
          <w:i/>
          <w:iCs/>
          <w:sz w:val="24"/>
          <w:szCs w:val="24"/>
        </w:rPr>
        <w:t>it was so cute</w:t>
      </w:r>
      <w:r w:rsidR="00A9253B">
        <w:rPr>
          <w:rFonts w:asciiTheme="majorBidi" w:hAnsiTheme="majorBidi" w:cstheme="majorBidi"/>
          <w:sz w:val="24"/>
          <w:szCs w:val="24"/>
        </w:rPr>
        <w:t xml:space="preserve"> (N.O., 2022)</w:t>
      </w:r>
      <w:r w:rsidRPr="00A9253B">
        <w:rPr>
          <w:rFonts w:asciiTheme="majorBidi" w:hAnsiTheme="majorBidi" w:cstheme="majorBidi"/>
          <w:sz w:val="24"/>
          <w:szCs w:val="24"/>
        </w:rPr>
        <w:t>.”</w:t>
      </w:r>
      <w:r>
        <w:rPr>
          <w:rFonts w:asciiTheme="majorBidi" w:hAnsiTheme="majorBidi" w:cstheme="majorBidi"/>
          <w:sz w:val="24"/>
          <w:szCs w:val="24"/>
        </w:rPr>
        <w:t xml:space="preserve"> </w:t>
      </w:r>
    </w:p>
    <w:p w14:paraId="5A7E5462" w14:textId="105CF44D" w:rsidR="00ED492B" w:rsidRPr="003D0946" w:rsidRDefault="00ED492B" w:rsidP="00D37C1D">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 xml:space="preserve">While brand likeability and emotional brand attachment tackles affection, the following themes focus more on cognition. </w:t>
      </w:r>
    </w:p>
    <w:p w14:paraId="3B780F8A" w14:textId="5AAB1EB4"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.9 </w:t>
      </w:r>
      <w:bookmarkStart w:id="212" w:name="_Hlk149852647"/>
      <w:r w:rsidRPr="00F2188D">
        <w:rPr>
          <w:rFonts w:asciiTheme="majorBidi" w:hAnsiTheme="majorBidi" w:cstheme="majorBidi"/>
          <w:b/>
          <w:bCs/>
          <w:color w:val="2E2E2E"/>
          <w:sz w:val="24"/>
          <w:szCs w:val="24"/>
        </w:rPr>
        <w:t>Brand trust</w:t>
      </w:r>
      <w:bookmarkEnd w:id="212"/>
    </w:p>
    <w:p w14:paraId="07F8F61B" w14:textId="73DED45C" w:rsidR="00ED492B" w:rsidRDefault="00ED492B" w:rsidP="006C479D">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9F3C7C">
        <w:rPr>
          <w:rFonts w:asciiTheme="majorBidi" w:hAnsiTheme="majorBidi" w:cstheme="majorBidi"/>
          <w:color w:val="2E2E2E"/>
          <w:sz w:val="24"/>
          <w:szCs w:val="24"/>
        </w:rPr>
        <w:t xml:space="preserve">This theme </w:t>
      </w:r>
      <w:r>
        <w:rPr>
          <w:rFonts w:asciiTheme="majorBidi" w:hAnsiTheme="majorBidi" w:cstheme="majorBidi"/>
          <w:color w:val="2E2E2E"/>
          <w:sz w:val="24"/>
          <w:szCs w:val="24"/>
        </w:rPr>
        <w:t>reflects the</w:t>
      </w:r>
      <w:r w:rsidRPr="009F3C7C">
        <w:rPr>
          <w:rFonts w:asciiTheme="majorBidi" w:hAnsiTheme="majorBidi" w:cstheme="majorBidi"/>
          <w:color w:val="2E2E2E"/>
          <w:sz w:val="24"/>
          <w:szCs w:val="24"/>
        </w:rPr>
        <w:t xml:space="preserve"> data category that</w:t>
      </w:r>
      <w:r>
        <w:rPr>
          <w:rFonts w:asciiTheme="majorBidi" w:hAnsiTheme="majorBidi" w:cstheme="majorBidi"/>
          <w:color w:val="2E2E2E"/>
          <w:sz w:val="24"/>
          <w:szCs w:val="24"/>
        </w:rPr>
        <w:t xml:space="preserve"> emerged from the</w:t>
      </w:r>
      <w:r w:rsidRPr="009F3C7C">
        <w:rPr>
          <w:rFonts w:asciiTheme="majorBidi" w:hAnsiTheme="majorBidi" w:cstheme="majorBidi"/>
          <w:color w:val="2E2E2E"/>
          <w:sz w:val="24"/>
          <w:szCs w:val="24"/>
        </w:rPr>
        <w:t xml:space="preserve"> </w:t>
      </w:r>
      <w:r>
        <w:rPr>
          <w:rFonts w:asciiTheme="majorBidi" w:hAnsiTheme="majorBidi" w:cstheme="majorBidi"/>
          <w:color w:val="2E2E2E"/>
          <w:sz w:val="24"/>
          <w:szCs w:val="24"/>
        </w:rPr>
        <w:t>participants’</w:t>
      </w:r>
      <w:r w:rsidRPr="009F3C7C">
        <w:rPr>
          <w:rFonts w:asciiTheme="majorBidi" w:hAnsiTheme="majorBidi" w:cstheme="majorBidi"/>
          <w:color w:val="2E2E2E"/>
          <w:sz w:val="24"/>
          <w:szCs w:val="24"/>
        </w:rPr>
        <w:t xml:space="preserve"> comments related to trusting the brand or the ad. </w:t>
      </w:r>
      <w:bookmarkStart w:id="213" w:name="_Hlk149852686"/>
      <w:r w:rsidRPr="009F3C7C">
        <w:rPr>
          <w:rFonts w:asciiTheme="majorBidi" w:hAnsiTheme="majorBidi" w:cstheme="majorBidi"/>
          <w:color w:val="2E2E2E"/>
          <w:sz w:val="24"/>
          <w:szCs w:val="24"/>
        </w:rPr>
        <w:t xml:space="preserve">The interviewees were asked which ad would make them trust the brand more and why. Some respondents commented on trusting the brand based on the CSR ad, others commented on the non-CSR ad, and other compared between both in reference to brand trust. </w:t>
      </w:r>
      <w:r>
        <w:rPr>
          <w:rFonts w:asciiTheme="majorBidi" w:hAnsiTheme="majorBidi" w:cstheme="majorBidi"/>
          <w:color w:val="2E2E2E"/>
          <w:sz w:val="24"/>
          <w:szCs w:val="24"/>
        </w:rPr>
        <w:t xml:space="preserve">There was a considerable number of respondents who mentioned that they </w:t>
      </w:r>
      <w:r w:rsidRPr="009673E4">
        <w:rPr>
          <w:rFonts w:asciiTheme="majorBidi" w:hAnsiTheme="majorBidi" w:cstheme="majorBidi"/>
          <w:color w:val="2E2E2E"/>
          <w:sz w:val="24"/>
          <w:szCs w:val="24"/>
        </w:rPr>
        <w:t>trust Dettol because of the CSR ad</w:t>
      </w:r>
      <w:r>
        <w:rPr>
          <w:rFonts w:asciiTheme="majorBidi" w:hAnsiTheme="majorBidi" w:cstheme="majorBidi"/>
          <w:color w:val="2E2E2E"/>
          <w:sz w:val="24"/>
          <w:szCs w:val="24"/>
        </w:rPr>
        <w:t>. In the answers of the interviews, the phrase “</w:t>
      </w:r>
      <w:r w:rsidRPr="00D37C1D">
        <w:rPr>
          <w:rFonts w:asciiTheme="majorBidi" w:hAnsiTheme="majorBidi" w:cstheme="majorBidi"/>
          <w:i/>
          <w:iCs/>
          <w:color w:val="2E2E2E"/>
          <w:sz w:val="24"/>
          <w:szCs w:val="24"/>
        </w:rPr>
        <w:t>Dettol doesn’t need to sell itself</w:t>
      </w:r>
      <w:r>
        <w:rPr>
          <w:rFonts w:asciiTheme="majorBidi" w:hAnsiTheme="majorBidi" w:cstheme="majorBidi"/>
          <w:color w:val="2E2E2E"/>
          <w:sz w:val="24"/>
          <w:szCs w:val="24"/>
        </w:rPr>
        <w:t xml:space="preserve">” appeared multiple times. This indicates that when the CSR communication is presented by a reputable brand like Dettol, it positively influences trust and other brand attitudes. Below are examples from three </w:t>
      </w:r>
      <w:r w:rsidR="00C4373A">
        <w:rPr>
          <w:rFonts w:asciiTheme="majorBidi" w:hAnsiTheme="majorBidi" w:cstheme="majorBidi"/>
          <w:color w:val="2E2E2E"/>
          <w:sz w:val="24"/>
          <w:szCs w:val="24"/>
        </w:rPr>
        <w:t>participants</w:t>
      </w:r>
      <w:r>
        <w:rPr>
          <w:rFonts w:asciiTheme="majorBidi" w:hAnsiTheme="majorBidi" w:cstheme="majorBidi"/>
          <w:color w:val="2E2E2E"/>
          <w:sz w:val="24"/>
          <w:szCs w:val="24"/>
        </w:rPr>
        <w:t xml:space="preserve"> of what they said about brand trust. </w:t>
      </w:r>
    </w:p>
    <w:p w14:paraId="75061C88" w14:textId="37B92674" w:rsidR="00ED492B" w:rsidRPr="0048342F" w:rsidRDefault="00ED492B" w:rsidP="00D37C1D">
      <w:pPr>
        <w:widowControl w:val="0"/>
        <w:spacing w:after="120"/>
        <w:ind w:left="720"/>
        <w:outlineLvl w:val="2"/>
        <w:rPr>
          <w:rFonts w:asciiTheme="majorBidi" w:hAnsiTheme="majorBidi" w:cstheme="majorBidi"/>
          <w:sz w:val="24"/>
          <w:szCs w:val="24"/>
        </w:rPr>
      </w:pPr>
      <w:r w:rsidRPr="006C479D">
        <w:rPr>
          <w:rFonts w:asciiTheme="majorBidi" w:hAnsiTheme="majorBidi" w:cstheme="majorBidi"/>
          <w:i/>
          <w:iCs/>
          <w:sz w:val="24"/>
          <w:szCs w:val="24"/>
        </w:rPr>
        <w:t>The first one of course. Because, at this point, the brand doesn’t need to talk about itself! It passed this stage of talking about cleaning and disinfection. That shows how good the brand is, so of course I will trust it</w:t>
      </w:r>
      <w:r w:rsidR="00A9253B" w:rsidRPr="0048342F">
        <w:rPr>
          <w:rFonts w:asciiTheme="majorBidi" w:hAnsiTheme="majorBidi" w:cstheme="majorBidi"/>
          <w:sz w:val="24"/>
          <w:szCs w:val="24"/>
        </w:rPr>
        <w:t xml:space="preserve"> (K.R., 2022)</w:t>
      </w:r>
      <w:r w:rsidRPr="0048342F">
        <w:rPr>
          <w:rFonts w:asciiTheme="majorBidi" w:hAnsiTheme="majorBidi" w:cstheme="majorBidi"/>
          <w:sz w:val="24"/>
          <w:szCs w:val="24"/>
        </w:rPr>
        <w:t>.</w:t>
      </w:r>
    </w:p>
    <w:bookmarkEnd w:id="213"/>
    <w:p w14:paraId="06818C7D" w14:textId="56800761" w:rsidR="00ED492B" w:rsidRPr="0065624D" w:rsidRDefault="00ED492B" w:rsidP="00ED492B">
      <w:pPr>
        <w:widowControl w:val="0"/>
        <w:ind w:left="720"/>
        <w:rPr>
          <w:rFonts w:asciiTheme="majorBidi" w:hAnsiTheme="majorBidi" w:cstheme="majorBidi"/>
          <w:sz w:val="24"/>
          <w:szCs w:val="24"/>
        </w:rPr>
      </w:pPr>
      <w:r w:rsidRPr="006C479D">
        <w:rPr>
          <w:rFonts w:asciiTheme="majorBidi" w:hAnsiTheme="majorBidi" w:cstheme="majorBidi"/>
          <w:i/>
          <w:iCs/>
          <w:sz w:val="24"/>
          <w:szCs w:val="24"/>
        </w:rPr>
        <w:t>Let’s admit, that not any company can do campaigns like that! It has to be a big company that has history like Dettol, Pepsi,</w:t>
      </w:r>
      <w:r w:rsidR="00B42B66" w:rsidRPr="006C479D">
        <w:rPr>
          <w:rFonts w:asciiTheme="majorBidi" w:hAnsiTheme="majorBidi" w:cstheme="majorBidi"/>
          <w:i/>
          <w:iCs/>
          <w:sz w:val="24"/>
          <w:szCs w:val="24"/>
        </w:rPr>
        <w:t xml:space="preserve"> and</w:t>
      </w:r>
      <w:r w:rsidRPr="006C479D">
        <w:rPr>
          <w:rFonts w:asciiTheme="majorBidi" w:hAnsiTheme="majorBidi" w:cstheme="majorBidi"/>
          <w:i/>
          <w:iCs/>
          <w:sz w:val="24"/>
          <w:szCs w:val="24"/>
        </w:rPr>
        <w:t xml:space="preserve"> Coca Cola. So, I feel like if a company really does something like that, then it must be a strong company</w:t>
      </w:r>
      <w:r w:rsidR="00A9253B">
        <w:rPr>
          <w:rFonts w:asciiTheme="majorBidi" w:hAnsiTheme="majorBidi" w:cstheme="majorBidi"/>
          <w:sz w:val="24"/>
          <w:szCs w:val="24"/>
        </w:rPr>
        <w:t xml:space="preserve"> (B.M., 2022)</w:t>
      </w:r>
      <w:r w:rsidRPr="0065624D">
        <w:rPr>
          <w:rFonts w:asciiTheme="majorBidi" w:hAnsiTheme="majorBidi" w:cstheme="majorBidi"/>
          <w:sz w:val="24"/>
          <w:szCs w:val="24"/>
        </w:rPr>
        <w:t>!</w:t>
      </w:r>
    </w:p>
    <w:p w14:paraId="32F74D49" w14:textId="44867FA9" w:rsidR="00ED492B" w:rsidRDefault="00ED492B" w:rsidP="006C479D">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r>
      <w:bookmarkStart w:id="214" w:name="_Hlk149852718"/>
      <w:r>
        <w:rPr>
          <w:rFonts w:asciiTheme="majorBidi" w:hAnsiTheme="majorBidi" w:cstheme="majorBidi"/>
          <w:sz w:val="24"/>
          <w:szCs w:val="24"/>
        </w:rPr>
        <w:t xml:space="preserve">Furthermore, there were some </w:t>
      </w:r>
      <w:r w:rsidR="00C4373A">
        <w:rPr>
          <w:rFonts w:asciiTheme="majorBidi" w:hAnsiTheme="majorBidi" w:cstheme="majorBidi"/>
          <w:sz w:val="24"/>
          <w:szCs w:val="24"/>
        </w:rPr>
        <w:t>participants</w:t>
      </w:r>
      <w:r>
        <w:rPr>
          <w:rFonts w:asciiTheme="majorBidi" w:hAnsiTheme="majorBidi" w:cstheme="majorBidi"/>
          <w:sz w:val="24"/>
          <w:szCs w:val="24"/>
        </w:rPr>
        <w:t xml:space="preserve"> who were able to cognitively process the concept of brand trust between both CSR and non-CSR ads. When the two respondents compared between both brands, as they mentioned below, they asserted that the CSR communication made them trust Dettol and its capabilities more. Below are their comments on this topic. </w:t>
      </w:r>
    </w:p>
    <w:p w14:paraId="545CB3FF" w14:textId="48B419D3" w:rsidR="00ED492B" w:rsidRPr="0065624D" w:rsidRDefault="00ED492B" w:rsidP="00ED492B">
      <w:pPr>
        <w:widowControl w:val="0"/>
        <w:ind w:left="720"/>
        <w:rPr>
          <w:rFonts w:asciiTheme="majorBidi" w:hAnsiTheme="majorBidi" w:cstheme="majorBidi"/>
          <w:sz w:val="24"/>
          <w:szCs w:val="24"/>
        </w:rPr>
      </w:pPr>
      <w:r w:rsidRPr="006C479D">
        <w:rPr>
          <w:rFonts w:asciiTheme="majorBidi" w:hAnsiTheme="majorBidi" w:cstheme="majorBidi"/>
          <w:i/>
          <w:iCs/>
          <w:sz w:val="24"/>
          <w:szCs w:val="24"/>
        </w:rPr>
        <w:t>The first one will make me trust that they are a clean brand. (</w:t>
      </w:r>
      <w:r w:rsidR="00A9253B" w:rsidRPr="006C479D">
        <w:rPr>
          <w:rFonts w:asciiTheme="majorBidi" w:hAnsiTheme="majorBidi" w:cstheme="majorBidi"/>
          <w:i/>
          <w:iCs/>
          <w:sz w:val="24"/>
          <w:szCs w:val="24"/>
        </w:rPr>
        <w:t xml:space="preserve">referring to </w:t>
      </w:r>
      <w:r w:rsidRPr="006C479D">
        <w:rPr>
          <w:rFonts w:asciiTheme="majorBidi" w:hAnsiTheme="majorBidi" w:cstheme="majorBidi"/>
          <w:i/>
          <w:iCs/>
          <w:sz w:val="24"/>
          <w:szCs w:val="24"/>
        </w:rPr>
        <w:t>clean reputation with no violations). Yes, I think I would trust because based on the first one and there wasn’t any claims saying that there are violations or so. But, the second one, for me its just words! I will have to first buy the brand first and try using it to decide if I actually trust it as a cleaning product not as a brand</w:t>
      </w:r>
      <w:r w:rsidR="00860A0F">
        <w:rPr>
          <w:rFonts w:asciiTheme="majorBidi" w:hAnsiTheme="majorBidi" w:cstheme="majorBidi"/>
          <w:sz w:val="24"/>
          <w:szCs w:val="24"/>
        </w:rPr>
        <w:t xml:space="preserve"> (N.O., 2022)</w:t>
      </w:r>
      <w:r w:rsidRPr="0065624D">
        <w:rPr>
          <w:rFonts w:asciiTheme="majorBidi" w:hAnsiTheme="majorBidi" w:cstheme="majorBidi"/>
          <w:sz w:val="24"/>
          <w:szCs w:val="24"/>
        </w:rPr>
        <w:t>.</w:t>
      </w:r>
    </w:p>
    <w:bookmarkEnd w:id="214"/>
    <w:p w14:paraId="03722C9C" w14:textId="6B2D9B7D" w:rsidR="00ED492B" w:rsidRPr="0065624D" w:rsidRDefault="00ED492B" w:rsidP="00ED492B">
      <w:pPr>
        <w:widowControl w:val="0"/>
        <w:ind w:left="720"/>
        <w:rPr>
          <w:rFonts w:asciiTheme="majorBidi" w:hAnsiTheme="majorBidi" w:cstheme="majorBidi"/>
          <w:sz w:val="24"/>
          <w:szCs w:val="24"/>
        </w:rPr>
      </w:pPr>
      <w:r w:rsidRPr="006C479D">
        <w:rPr>
          <w:rFonts w:asciiTheme="majorBidi" w:hAnsiTheme="majorBidi" w:cstheme="majorBidi"/>
          <w:i/>
          <w:iCs/>
          <w:sz w:val="24"/>
          <w:szCs w:val="24"/>
        </w:rPr>
        <w:t>These values will make me trust the brand more than a company that is just there for profit. Also I don’t trust the message in the 2</w:t>
      </w:r>
      <w:r w:rsidRPr="006C479D">
        <w:rPr>
          <w:rFonts w:asciiTheme="majorBidi" w:hAnsiTheme="majorBidi" w:cstheme="majorBidi"/>
          <w:i/>
          <w:iCs/>
          <w:sz w:val="24"/>
          <w:szCs w:val="24"/>
          <w:vertAlign w:val="superscript"/>
        </w:rPr>
        <w:t>nd</w:t>
      </w:r>
      <w:r w:rsidRPr="006C479D">
        <w:rPr>
          <w:rFonts w:asciiTheme="majorBidi" w:hAnsiTheme="majorBidi" w:cstheme="majorBidi"/>
          <w:i/>
          <w:iCs/>
          <w:sz w:val="24"/>
          <w:szCs w:val="24"/>
        </w:rPr>
        <w:t xml:space="preserve"> ad as this is not the only brand that does that</w:t>
      </w:r>
      <w:r w:rsidR="00860A0F">
        <w:rPr>
          <w:rFonts w:asciiTheme="majorBidi" w:hAnsiTheme="majorBidi" w:cstheme="majorBidi"/>
          <w:sz w:val="24"/>
          <w:szCs w:val="24"/>
        </w:rPr>
        <w:t xml:space="preserve"> (N.S., 2022)</w:t>
      </w:r>
      <w:r w:rsidRPr="0065624D">
        <w:rPr>
          <w:rFonts w:asciiTheme="majorBidi" w:hAnsiTheme="majorBidi" w:cstheme="majorBidi"/>
          <w:sz w:val="24"/>
          <w:szCs w:val="24"/>
        </w:rPr>
        <w:t>.</w:t>
      </w:r>
    </w:p>
    <w:p w14:paraId="651B1674" w14:textId="77777777" w:rsidR="006C479D" w:rsidRDefault="00ED492B" w:rsidP="006C479D">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r>
      <w:bookmarkStart w:id="215" w:name="_Hlk149852754"/>
      <w:r>
        <w:rPr>
          <w:rFonts w:asciiTheme="majorBidi" w:hAnsiTheme="majorBidi" w:cstheme="majorBidi"/>
          <w:sz w:val="24"/>
          <w:szCs w:val="24"/>
        </w:rPr>
        <w:t>Lastly, there were five participants who expressed “</w:t>
      </w:r>
      <w:r w:rsidRPr="006C479D">
        <w:rPr>
          <w:rFonts w:asciiTheme="majorBidi" w:hAnsiTheme="majorBidi" w:cstheme="majorBidi"/>
          <w:i/>
          <w:iCs/>
          <w:sz w:val="24"/>
          <w:szCs w:val="24"/>
        </w:rPr>
        <w:t>trust issues</w:t>
      </w:r>
      <w:r>
        <w:rPr>
          <w:rFonts w:asciiTheme="majorBidi" w:hAnsiTheme="majorBidi" w:cstheme="majorBidi"/>
          <w:sz w:val="24"/>
          <w:szCs w:val="24"/>
        </w:rPr>
        <w:t xml:space="preserve">” related to the CSR ad. Most of their comments were related to lack of enough validation or proof that this campaign is real. Also, other reasons of lack trust were related to their perception that they </w:t>
      </w:r>
      <w:r w:rsidRPr="0048342F">
        <w:rPr>
          <w:rFonts w:asciiTheme="majorBidi" w:hAnsiTheme="majorBidi" w:cstheme="majorBidi"/>
          <w:sz w:val="24"/>
          <w:szCs w:val="24"/>
        </w:rPr>
        <w:t xml:space="preserve">preferred to receive more information about Dettol’s expertise in cleaning and disinfection. One of the </w:t>
      </w:r>
      <w:r w:rsidR="00C4373A" w:rsidRPr="0048342F">
        <w:rPr>
          <w:rFonts w:asciiTheme="majorBidi" w:hAnsiTheme="majorBidi" w:cstheme="majorBidi"/>
          <w:sz w:val="24"/>
          <w:szCs w:val="24"/>
        </w:rPr>
        <w:t>participants</w:t>
      </w:r>
      <w:r w:rsidRPr="0048342F">
        <w:rPr>
          <w:rFonts w:asciiTheme="majorBidi" w:hAnsiTheme="majorBidi" w:cstheme="majorBidi"/>
          <w:sz w:val="24"/>
          <w:szCs w:val="24"/>
        </w:rPr>
        <w:t xml:space="preserve"> said:</w:t>
      </w:r>
    </w:p>
    <w:p w14:paraId="7C186D8B" w14:textId="77777777" w:rsidR="006C479D" w:rsidRDefault="00ED492B" w:rsidP="006C479D">
      <w:pPr>
        <w:widowControl w:val="0"/>
        <w:spacing w:after="0" w:line="240" w:lineRule="auto"/>
        <w:ind w:left="720"/>
        <w:rPr>
          <w:rFonts w:asciiTheme="majorBidi" w:hAnsiTheme="majorBidi" w:cstheme="majorBidi"/>
          <w:i/>
          <w:iCs/>
          <w:sz w:val="24"/>
          <w:szCs w:val="24"/>
        </w:rPr>
      </w:pPr>
      <w:r w:rsidRPr="006C479D">
        <w:rPr>
          <w:rFonts w:asciiTheme="majorBidi" w:hAnsiTheme="majorBidi" w:cstheme="majorBidi"/>
          <w:i/>
          <w:iCs/>
          <w:sz w:val="24"/>
          <w:szCs w:val="24"/>
        </w:rPr>
        <w:t>“the second one, because I know that what they are saying is true. The first one, I need to see some validation of what they say. Like partnering with trusted organi</w:t>
      </w:r>
      <w:r w:rsidR="00B42B66" w:rsidRPr="006C479D">
        <w:rPr>
          <w:rFonts w:asciiTheme="majorBidi" w:hAnsiTheme="majorBidi" w:cstheme="majorBidi"/>
          <w:i/>
          <w:iCs/>
          <w:sz w:val="24"/>
          <w:szCs w:val="24"/>
        </w:rPr>
        <w:t>s</w:t>
      </w:r>
      <w:r w:rsidRPr="006C479D">
        <w:rPr>
          <w:rFonts w:asciiTheme="majorBidi" w:hAnsiTheme="majorBidi" w:cstheme="majorBidi"/>
          <w:i/>
          <w:iCs/>
          <w:sz w:val="24"/>
          <w:szCs w:val="24"/>
        </w:rPr>
        <w:t>ations</w:t>
      </w:r>
      <w:r w:rsidR="00860A0F" w:rsidRPr="0048342F">
        <w:rPr>
          <w:rFonts w:asciiTheme="majorBidi" w:hAnsiTheme="majorBidi" w:cstheme="majorBidi"/>
          <w:sz w:val="24"/>
          <w:szCs w:val="24"/>
        </w:rPr>
        <w:t xml:space="preserve"> (S.A., 2022)</w:t>
      </w:r>
      <w:r w:rsidRPr="0048342F">
        <w:rPr>
          <w:rFonts w:asciiTheme="majorBidi" w:hAnsiTheme="majorBidi" w:cstheme="majorBidi"/>
          <w:sz w:val="24"/>
          <w:szCs w:val="24"/>
        </w:rPr>
        <w:t>.”</w:t>
      </w:r>
      <w:r w:rsidRPr="0048342F">
        <w:rPr>
          <w:rFonts w:asciiTheme="majorBidi" w:hAnsiTheme="majorBidi" w:cstheme="majorBidi"/>
          <w:i/>
          <w:iCs/>
          <w:sz w:val="24"/>
          <w:szCs w:val="24"/>
        </w:rPr>
        <w:t xml:space="preserve"> </w:t>
      </w:r>
    </w:p>
    <w:p w14:paraId="716BBE9E" w14:textId="77777777" w:rsidR="006C479D" w:rsidRDefault="006C479D" w:rsidP="006C479D">
      <w:pPr>
        <w:widowControl w:val="0"/>
        <w:spacing w:after="0" w:line="240" w:lineRule="auto"/>
        <w:ind w:left="720"/>
        <w:rPr>
          <w:rFonts w:asciiTheme="majorBidi" w:hAnsiTheme="majorBidi" w:cstheme="majorBidi"/>
          <w:i/>
          <w:iCs/>
          <w:sz w:val="24"/>
          <w:szCs w:val="24"/>
        </w:rPr>
      </w:pPr>
    </w:p>
    <w:p w14:paraId="477ED31D" w14:textId="77777777" w:rsidR="006C479D" w:rsidRDefault="00ED492B" w:rsidP="006C479D">
      <w:pPr>
        <w:widowControl w:val="0"/>
        <w:spacing w:after="0" w:line="480" w:lineRule="auto"/>
        <w:ind w:firstLine="720"/>
        <w:rPr>
          <w:rFonts w:asciiTheme="majorBidi" w:hAnsiTheme="majorBidi" w:cstheme="majorBidi"/>
          <w:i/>
          <w:iCs/>
          <w:sz w:val="24"/>
          <w:szCs w:val="24"/>
        </w:rPr>
      </w:pPr>
      <w:r w:rsidRPr="0048342F">
        <w:rPr>
          <w:rFonts w:asciiTheme="majorBidi" w:hAnsiTheme="majorBidi" w:cstheme="majorBidi"/>
          <w:sz w:val="24"/>
          <w:szCs w:val="24"/>
        </w:rPr>
        <w:t xml:space="preserve">Another two </w:t>
      </w:r>
      <w:r w:rsidR="00C4373A" w:rsidRPr="0048342F">
        <w:rPr>
          <w:rFonts w:asciiTheme="majorBidi" w:hAnsiTheme="majorBidi" w:cstheme="majorBidi"/>
          <w:sz w:val="24"/>
          <w:szCs w:val="24"/>
        </w:rPr>
        <w:t>subjects</w:t>
      </w:r>
      <w:r w:rsidRPr="0048342F">
        <w:rPr>
          <w:rFonts w:asciiTheme="majorBidi" w:hAnsiTheme="majorBidi" w:cstheme="majorBidi"/>
          <w:sz w:val="24"/>
          <w:szCs w:val="24"/>
        </w:rPr>
        <w:t xml:space="preserve"> said:</w:t>
      </w:r>
      <w:r w:rsidRPr="0048342F">
        <w:rPr>
          <w:rFonts w:asciiTheme="majorBidi" w:hAnsiTheme="majorBidi" w:cstheme="majorBidi"/>
          <w:i/>
          <w:iCs/>
          <w:sz w:val="24"/>
          <w:szCs w:val="24"/>
        </w:rPr>
        <w:t xml:space="preserve"> </w:t>
      </w:r>
    </w:p>
    <w:p w14:paraId="49600862" w14:textId="77777777" w:rsidR="006C479D" w:rsidRDefault="00ED492B" w:rsidP="006C479D">
      <w:pPr>
        <w:widowControl w:val="0"/>
        <w:spacing w:after="0" w:line="480" w:lineRule="auto"/>
        <w:ind w:left="720"/>
        <w:rPr>
          <w:rFonts w:asciiTheme="majorBidi" w:hAnsiTheme="majorBidi" w:cstheme="majorBidi"/>
          <w:sz w:val="24"/>
          <w:szCs w:val="24"/>
        </w:rPr>
      </w:pPr>
      <w:r w:rsidRPr="0048342F">
        <w:rPr>
          <w:rFonts w:asciiTheme="majorBidi" w:hAnsiTheme="majorBidi" w:cstheme="majorBidi"/>
          <w:sz w:val="24"/>
          <w:szCs w:val="24"/>
        </w:rPr>
        <w:t>“</w:t>
      </w:r>
      <w:r w:rsidRPr="006C479D">
        <w:rPr>
          <w:rFonts w:asciiTheme="majorBidi" w:hAnsiTheme="majorBidi" w:cstheme="majorBidi"/>
          <w:i/>
          <w:iCs/>
          <w:sz w:val="24"/>
          <w:szCs w:val="24"/>
        </w:rPr>
        <w:t>my trust issue comes from the fact that the first ad is missing that they did a collaboration with the ministry of health or a governmental body to be able to trust it</w:t>
      </w:r>
      <w:r w:rsidR="00860A0F" w:rsidRPr="006C479D">
        <w:rPr>
          <w:rFonts w:asciiTheme="majorBidi" w:hAnsiTheme="majorBidi" w:cstheme="majorBidi"/>
          <w:i/>
          <w:iCs/>
          <w:sz w:val="24"/>
          <w:szCs w:val="24"/>
        </w:rPr>
        <w:t xml:space="preserve"> </w:t>
      </w:r>
      <w:r w:rsidR="00860A0F">
        <w:rPr>
          <w:rFonts w:asciiTheme="majorBidi" w:hAnsiTheme="majorBidi" w:cstheme="majorBidi"/>
          <w:sz w:val="24"/>
          <w:szCs w:val="24"/>
        </w:rPr>
        <w:t>(A.I., 2022)</w:t>
      </w:r>
      <w:r w:rsidRPr="00860A0F">
        <w:rPr>
          <w:rFonts w:asciiTheme="majorBidi" w:hAnsiTheme="majorBidi" w:cstheme="majorBidi"/>
          <w:sz w:val="24"/>
          <w:szCs w:val="24"/>
        </w:rPr>
        <w:t>”</w:t>
      </w:r>
      <w:bookmarkEnd w:id="215"/>
      <w:r w:rsidRPr="00860A0F">
        <w:rPr>
          <w:rFonts w:asciiTheme="majorBidi" w:hAnsiTheme="majorBidi" w:cstheme="majorBidi"/>
          <w:sz w:val="24"/>
          <w:szCs w:val="24"/>
        </w:rPr>
        <w:t xml:space="preserve"> </w:t>
      </w:r>
    </w:p>
    <w:p w14:paraId="4E261086" w14:textId="42621F85" w:rsidR="00ED492B" w:rsidRPr="00ED53C2" w:rsidRDefault="00ED492B" w:rsidP="006C479D">
      <w:pPr>
        <w:widowControl w:val="0"/>
        <w:spacing w:after="0" w:line="480" w:lineRule="auto"/>
        <w:ind w:firstLine="720"/>
        <w:rPr>
          <w:rFonts w:asciiTheme="majorBidi" w:hAnsiTheme="majorBidi" w:cstheme="majorBidi"/>
          <w:sz w:val="24"/>
          <w:szCs w:val="24"/>
        </w:rPr>
      </w:pPr>
      <w:r w:rsidRPr="00860A0F">
        <w:rPr>
          <w:rFonts w:asciiTheme="majorBidi" w:hAnsiTheme="majorBidi" w:cstheme="majorBidi"/>
          <w:sz w:val="24"/>
          <w:szCs w:val="24"/>
        </w:rPr>
        <w:t>“</w:t>
      </w:r>
      <w:r w:rsidRPr="006C479D">
        <w:rPr>
          <w:rFonts w:asciiTheme="majorBidi" w:hAnsiTheme="majorBidi" w:cstheme="majorBidi"/>
          <w:i/>
          <w:iCs/>
          <w:sz w:val="24"/>
          <w:szCs w:val="24"/>
        </w:rPr>
        <w:t xml:space="preserve">the second because it stated that they </w:t>
      </w:r>
      <w:r w:rsidR="00B42B66" w:rsidRPr="006C479D">
        <w:rPr>
          <w:rFonts w:asciiTheme="majorBidi" w:hAnsiTheme="majorBidi" w:cstheme="majorBidi"/>
          <w:i/>
          <w:iCs/>
          <w:sz w:val="24"/>
          <w:szCs w:val="24"/>
        </w:rPr>
        <w:t>have been in</w:t>
      </w:r>
      <w:r w:rsidRPr="006C479D">
        <w:rPr>
          <w:rFonts w:asciiTheme="majorBidi" w:hAnsiTheme="majorBidi" w:cstheme="majorBidi"/>
          <w:i/>
          <w:iCs/>
          <w:sz w:val="24"/>
          <w:szCs w:val="24"/>
        </w:rPr>
        <w:t xml:space="preserve"> market for 70 years</w:t>
      </w:r>
      <w:r w:rsidR="00860A0F" w:rsidRPr="00860A0F">
        <w:rPr>
          <w:rFonts w:asciiTheme="majorBidi" w:hAnsiTheme="majorBidi" w:cstheme="majorBidi"/>
          <w:sz w:val="24"/>
          <w:szCs w:val="24"/>
        </w:rPr>
        <w:t xml:space="preserve"> (N.N., 2022)</w:t>
      </w:r>
      <w:r w:rsidRPr="00860A0F">
        <w:rPr>
          <w:rFonts w:asciiTheme="majorBidi" w:hAnsiTheme="majorBidi" w:cstheme="majorBidi"/>
          <w:sz w:val="24"/>
          <w:szCs w:val="24"/>
        </w:rPr>
        <w:t>”</w:t>
      </w:r>
    </w:p>
    <w:p w14:paraId="2554B2D5" w14:textId="77777777" w:rsidR="00ED492B" w:rsidRPr="00092083"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According to</w:t>
      </w:r>
      <w:r w:rsidRPr="00DE6DE6">
        <w:rPr>
          <w:rFonts w:asciiTheme="majorBidi" w:hAnsiTheme="majorBidi" w:cstheme="majorBidi"/>
          <w:sz w:val="24"/>
          <w:szCs w:val="24"/>
        </w:rPr>
        <w:t xml:space="preserve"> the above findings, trust</w:t>
      </w:r>
      <w:r>
        <w:rPr>
          <w:rFonts w:asciiTheme="majorBidi" w:hAnsiTheme="majorBidi" w:cstheme="majorBidi"/>
          <w:sz w:val="24"/>
          <w:szCs w:val="24"/>
        </w:rPr>
        <w:t xml:space="preserve">, especially in CSR campaigns, is built on multiple elements. Based on the above insights, it is clear that brand name, reputation, capabilities to do CSR projects, and providing an abundance of information about the project are key elements that are necessary for the brand to earn the trust of its consumers. </w:t>
      </w:r>
    </w:p>
    <w:p w14:paraId="3D5D5A2A" w14:textId="4D3F917D"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.10 </w:t>
      </w:r>
      <w:bookmarkStart w:id="216" w:name="_Hlk149852773"/>
      <w:r w:rsidRPr="00DD0D8E">
        <w:rPr>
          <w:rFonts w:asciiTheme="majorBidi" w:hAnsiTheme="majorBidi" w:cstheme="majorBidi"/>
          <w:b/>
          <w:bCs/>
          <w:color w:val="2E2E2E"/>
          <w:sz w:val="24"/>
          <w:szCs w:val="24"/>
        </w:rPr>
        <w:t>Perceived brand functionality</w:t>
      </w:r>
      <w:bookmarkEnd w:id="216"/>
    </w:p>
    <w:p w14:paraId="4158CD5B" w14:textId="7B95E5FE" w:rsidR="00ED492B" w:rsidRDefault="00ED492B" w:rsidP="00ED492B">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B23584">
        <w:rPr>
          <w:rFonts w:asciiTheme="majorBidi" w:hAnsiTheme="majorBidi" w:cstheme="majorBidi"/>
          <w:color w:val="2E2E2E"/>
          <w:sz w:val="24"/>
          <w:szCs w:val="24"/>
        </w:rPr>
        <w:t xml:space="preserve">This theme </w:t>
      </w:r>
      <w:r>
        <w:rPr>
          <w:rFonts w:asciiTheme="majorBidi" w:hAnsiTheme="majorBidi" w:cstheme="majorBidi"/>
          <w:color w:val="2E2E2E"/>
          <w:sz w:val="24"/>
          <w:szCs w:val="24"/>
        </w:rPr>
        <w:t>combines</w:t>
      </w:r>
      <w:r w:rsidRPr="00B23584">
        <w:rPr>
          <w:rFonts w:asciiTheme="majorBidi" w:hAnsiTheme="majorBidi" w:cstheme="majorBidi"/>
          <w:color w:val="2E2E2E"/>
          <w:sz w:val="24"/>
          <w:szCs w:val="24"/>
        </w:rPr>
        <w:t xml:space="preserve"> the participants</w:t>
      </w:r>
      <w:r w:rsidR="00B42B66">
        <w:rPr>
          <w:rFonts w:asciiTheme="majorBidi" w:hAnsiTheme="majorBidi" w:cstheme="majorBidi"/>
          <w:color w:val="2E2E2E"/>
          <w:sz w:val="24"/>
          <w:szCs w:val="24"/>
        </w:rPr>
        <w:t>’</w:t>
      </w:r>
      <w:r w:rsidRPr="00B23584">
        <w:rPr>
          <w:rFonts w:asciiTheme="majorBidi" w:hAnsiTheme="majorBidi" w:cstheme="majorBidi"/>
          <w:color w:val="2E2E2E"/>
          <w:sz w:val="24"/>
          <w:szCs w:val="24"/>
        </w:rPr>
        <w:t xml:space="preserve"> comments that addressed the brand or product</w:t>
      </w:r>
      <w:r>
        <w:rPr>
          <w:rFonts w:asciiTheme="majorBidi" w:hAnsiTheme="majorBidi" w:cstheme="majorBidi"/>
          <w:color w:val="2E2E2E"/>
          <w:sz w:val="24"/>
          <w:szCs w:val="24"/>
        </w:rPr>
        <w:t>’s</w:t>
      </w:r>
      <w:r w:rsidRPr="00B23584">
        <w:rPr>
          <w:rFonts w:asciiTheme="majorBidi" w:hAnsiTheme="majorBidi" w:cstheme="majorBidi"/>
          <w:color w:val="2E2E2E"/>
          <w:sz w:val="24"/>
          <w:szCs w:val="24"/>
        </w:rPr>
        <w:t xml:space="preserve"> functions. Across different themes, some respondents indicated the</w:t>
      </w:r>
      <w:r>
        <w:rPr>
          <w:rFonts w:asciiTheme="majorBidi" w:hAnsiTheme="majorBidi" w:cstheme="majorBidi"/>
          <w:color w:val="2E2E2E"/>
          <w:sz w:val="24"/>
          <w:szCs w:val="24"/>
        </w:rPr>
        <w:t>ir perception of the</w:t>
      </w:r>
      <w:r w:rsidRPr="00B23584">
        <w:rPr>
          <w:rFonts w:asciiTheme="majorBidi" w:hAnsiTheme="majorBidi" w:cstheme="majorBidi"/>
          <w:color w:val="2E2E2E"/>
          <w:sz w:val="24"/>
          <w:szCs w:val="24"/>
        </w:rPr>
        <w:t xml:space="preserve"> importance of communicating the products features and functions.</w:t>
      </w:r>
      <w:r>
        <w:rPr>
          <w:rFonts w:asciiTheme="majorBidi" w:hAnsiTheme="majorBidi" w:cstheme="majorBidi"/>
          <w:color w:val="2E2E2E"/>
          <w:sz w:val="24"/>
          <w:szCs w:val="24"/>
        </w:rPr>
        <w:t xml:space="preserve"> However, this perception of the importance of communicating functionality was not reported in the emotional brand attachment</w:t>
      </w:r>
      <w:r w:rsidR="00B42B66">
        <w:rPr>
          <w:rFonts w:asciiTheme="majorBidi" w:hAnsiTheme="majorBidi" w:cstheme="majorBidi"/>
          <w:color w:val="2E2E2E"/>
          <w:sz w:val="24"/>
          <w:szCs w:val="24"/>
        </w:rPr>
        <w:t>,</w:t>
      </w:r>
      <w:r>
        <w:rPr>
          <w:rFonts w:asciiTheme="majorBidi" w:hAnsiTheme="majorBidi" w:cstheme="majorBidi"/>
          <w:color w:val="2E2E2E"/>
          <w:sz w:val="24"/>
          <w:szCs w:val="24"/>
        </w:rPr>
        <w:t xml:space="preserve"> but it was mentioned by few respondents in the purchase intention theme which will be discussed next. </w:t>
      </w:r>
    </w:p>
    <w:p w14:paraId="1DE349D2" w14:textId="77777777" w:rsidR="006C479D" w:rsidRDefault="00ED492B" w:rsidP="00ED492B">
      <w:pPr>
        <w:widowControl w:val="0"/>
        <w:spacing w:after="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t xml:space="preserve">During the semi-structured interviews, </w:t>
      </w:r>
      <w:r w:rsidR="00C4373A">
        <w:rPr>
          <w:rFonts w:asciiTheme="majorBidi" w:hAnsiTheme="majorBidi" w:cstheme="majorBidi"/>
          <w:color w:val="2E2E2E"/>
          <w:sz w:val="24"/>
          <w:szCs w:val="24"/>
        </w:rPr>
        <w:t>subjects</w:t>
      </w:r>
      <w:r>
        <w:rPr>
          <w:rFonts w:asciiTheme="majorBidi" w:hAnsiTheme="majorBidi" w:cstheme="majorBidi"/>
          <w:color w:val="2E2E2E"/>
          <w:sz w:val="24"/>
          <w:szCs w:val="24"/>
        </w:rPr>
        <w:t xml:space="preserve"> were asked about the ideal kind of communication that they would like to receive from their preferred brand and if they would prefer functional or CSR communication. Some </w:t>
      </w:r>
      <w:r w:rsidR="00D82635">
        <w:rPr>
          <w:rFonts w:asciiTheme="majorBidi" w:hAnsiTheme="majorBidi" w:cstheme="majorBidi"/>
          <w:color w:val="2E2E2E"/>
          <w:sz w:val="24"/>
          <w:szCs w:val="24"/>
        </w:rPr>
        <w:t>subjects</w:t>
      </w:r>
      <w:r>
        <w:rPr>
          <w:rFonts w:asciiTheme="majorBidi" w:hAnsiTheme="majorBidi" w:cstheme="majorBidi"/>
          <w:color w:val="2E2E2E"/>
          <w:sz w:val="24"/>
          <w:szCs w:val="24"/>
        </w:rPr>
        <w:t xml:space="preserve"> directly mentioned that they preferred CSR communication, and some others said, “</w:t>
      </w:r>
      <w:r w:rsidR="00B42B66" w:rsidRPr="006C479D">
        <w:rPr>
          <w:rFonts w:asciiTheme="majorBidi" w:hAnsiTheme="majorBidi" w:cstheme="majorBidi"/>
          <w:i/>
          <w:iCs/>
          <w:color w:val="2E2E2E"/>
          <w:sz w:val="24"/>
          <w:szCs w:val="24"/>
        </w:rPr>
        <w:t>I</w:t>
      </w:r>
      <w:r w:rsidRPr="006C479D">
        <w:rPr>
          <w:rFonts w:asciiTheme="majorBidi" w:hAnsiTheme="majorBidi" w:cstheme="majorBidi"/>
          <w:i/>
          <w:iCs/>
          <w:color w:val="2E2E2E"/>
          <w:sz w:val="24"/>
          <w:szCs w:val="24"/>
        </w:rPr>
        <w:t>t depends</w:t>
      </w:r>
      <w:r>
        <w:rPr>
          <w:rFonts w:asciiTheme="majorBidi" w:hAnsiTheme="majorBidi" w:cstheme="majorBidi"/>
          <w:color w:val="2E2E2E"/>
          <w:sz w:val="24"/>
          <w:szCs w:val="24"/>
        </w:rPr>
        <w:t xml:space="preserve">.”  </w:t>
      </w:r>
      <w:bookmarkStart w:id="217" w:name="_Hlk149852843"/>
      <w:r>
        <w:rPr>
          <w:rFonts w:asciiTheme="majorBidi" w:hAnsiTheme="majorBidi" w:cstheme="majorBidi"/>
          <w:color w:val="2E2E2E"/>
          <w:sz w:val="24"/>
          <w:szCs w:val="24"/>
        </w:rPr>
        <w:t xml:space="preserve">Most </w:t>
      </w:r>
      <w:r w:rsidR="00D82635">
        <w:rPr>
          <w:rFonts w:asciiTheme="majorBidi" w:hAnsiTheme="majorBidi" w:cstheme="majorBidi"/>
          <w:color w:val="2E2E2E"/>
          <w:sz w:val="24"/>
          <w:szCs w:val="24"/>
        </w:rPr>
        <w:t>subjects</w:t>
      </w:r>
      <w:r>
        <w:rPr>
          <w:rFonts w:asciiTheme="majorBidi" w:hAnsiTheme="majorBidi" w:cstheme="majorBidi"/>
          <w:color w:val="2E2E2E"/>
          <w:sz w:val="24"/>
          <w:szCs w:val="24"/>
        </w:rPr>
        <w:t xml:space="preserve"> who preferred the CSR communication chose CSR mainly because of illuminating </w:t>
      </w:r>
      <w:r w:rsidRPr="0048342F">
        <w:rPr>
          <w:rFonts w:asciiTheme="majorBidi" w:hAnsiTheme="majorBidi" w:cstheme="majorBidi"/>
          <w:color w:val="2E2E2E"/>
          <w:sz w:val="24"/>
          <w:szCs w:val="24"/>
        </w:rPr>
        <w:t>the brand’s positive contribution to society.</w:t>
      </w:r>
      <w:r>
        <w:rPr>
          <w:rFonts w:asciiTheme="majorBidi" w:hAnsiTheme="majorBidi" w:cstheme="majorBidi"/>
          <w:color w:val="2E2E2E"/>
          <w:sz w:val="24"/>
          <w:szCs w:val="24"/>
        </w:rPr>
        <w:t xml:space="preserve"> For example, a couple of respondents made these statements</w:t>
      </w:r>
      <w:r w:rsidR="009C4B0F">
        <w:rPr>
          <w:rFonts w:asciiTheme="majorBidi" w:hAnsiTheme="majorBidi" w:cstheme="majorBidi"/>
          <w:color w:val="2E2E2E"/>
          <w:sz w:val="24"/>
          <w:szCs w:val="24"/>
        </w:rPr>
        <w:t>:</w:t>
      </w:r>
    </w:p>
    <w:p w14:paraId="54591E5F" w14:textId="77777777" w:rsidR="006C479D" w:rsidRDefault="00ED492B" w:rsidP="006C479D">
      <w:pPr>
        <w:widowControl w:val="0"/>
        <w:spacing w:after="0" w:line="480" w:lineRule="auto"/>
        <w:ind w:firstLine="720"/>
        <w:outlineLvl w:val="2"/>
        <w:rPr>
          <w:rFonts w:asciiTheme="majorBidi" w:hAnsiTheme="majorBidi" w:cstheme="majorBidi"/>
          <w:sz w:val="24"/>
          <w:szCs w:val="24"/>
        </w:rPr>
      </w:pPr>
      <w:r w:rsidRPr="009C4B0F">
        <w:rPr>
          <w:rFonts w:asciiTheme="majorBidi" w:hAnsiTheme="majorBidi" w:cstheme="majorBidi"/>
          <w:color w:val="2E2E2E"/>
          <w:sz w:val="24"/>
          <w:szCs w:val="24"/>
        </w:rPr>
        <w:t>“</w:t>
      </w:r>
      <w:r w:rsidRPr="006C479D">
        <w:rPr>
          <w:rFonts w:asciiTheme="majorBidi" w:hAnsiTheme="majorBidi" w:cstheme="majorBidi"/>
          <w:i/>
          <w:iCs/>
          <w:sz w:val="24"/>
          <w:szCs w:val="24"/>
        </w:rPr>
        <w:t>definitely CSR. We are a third world country, so these things make a big difference f</w:t>
      </w:r>
      <w:r w:rsidR="006C479D" w:rsidRPr="006C479D">
        <w:rPr>
          <w:rFonts w:asciiTheme="majorBidi" w:hAnsiTheme="majorBidi" w:cstheme="majorBidi"/>
          <w:i/>
          <w:iCs/>
          <w:sz w:val="24"/>
          <w:szCs w:val="24"/>
        </w:rPr>
        <w:tab/>
      </w:r>
      <w:r w:rsidRPr="006C479D">
        <w:rPr>
          <w:rFonts w:asciiTheme="majorBidi" w:hAnsiTheme="majorBidi" w:cstheme="majorBidi"/>
          <w:i/>
          <w:iCs/>
          <w:sz w:val="24"/>
          <w:szCs w:val="24"/>
        </w:rPr>
        <w:t>or “us” that they invest in this</w:t>
      </w:r>
      <w:r w:rsidR="009C4B0F" w:rsidRPr="009C4B0F">
        <w:rPr>
          <w:rFonts w:asciiTheme="majorBidi" w:hAnsiTheme="majorBidi" w:cstheme="majorBidi"/>
          <w:sz w:val="24"/>
          <w:szCs w:val="24"/>
        </w:rPr>
        <w:t xml:space="preserve"> (K.B., 2022)</w:t>
      </w:r>
      <w:r w:rsidR="006C479D">
        <w:rPr>
          <w:rFonts w:asciiTheme="majorBidi" w:hAnsiTheme="majorBidi" w:cstheme="majorBidi"/>
          <w:sz w:val="24"/>
          <w:szCs w:val="24"/>
        </w:rPr>
        <w:t>, and</w:t>
      </w:r>
      <w:r w:rsidRPr="009C4B0F">
        <w:rPr>
          <w:rFonts w:asciiTheme="majorBidi" w:hAnsiTheme="majorBidi" w:cstheme="majorBidi"/>
          <w:sz w:val="24"/>
          <w:szCs w:val="24"/>
        </w:rPr>
        <w:t>”</w:t>
      </w:r>
      <w:r w:rsidR="009C4B0F">
        <w:rPr>
          <w:rFonts w:asciiTheme="majorBidi" w:hAnsiTheme="majorBidi" w:cstheme="majorBidi"/>
          <w:i/>
          <w:iCs/>
          <w:sz w:val="24"/>
          <w:szCs w:val="24"/>
        </w:rPr>
        <w:t xml:space="preserve"> </w:t>
      </w:r>
    </w:p>
    <w:p w14:paraId="06CAFC92" w14:textId="2A713709" w:rsidR="00ED492B" w:rsidRPr="00673A16" w:rsidRDefault="00ED492B" w:rsidP="006C479D">
      <w:pPr>
        <w:widowControl w:val="0"/>
        <w:spacing w:after="0" w:line="480" w:lineRule="auto"/>
        <w:ind w:left="720"/>
        <w:outlineLvl w:val="2"/>
        <w:rPr>
          <w:rFonts w:asciiTheme="majorBidi" w:hAnsiTheme="majorBidi" w:cstheme="majorBidi"/>
          <w:color w:val="2E2E2E"/>
          <w:sz w:val="24"/>
          <w:szCs w:val="24"/>
        </w:rPr>
      </w:pPr>
      <w:r w:rsidRPr="009C4B0F">
        <w:rPr>
          <w:rFonts w:asciiTheme="majorBidi" w:hAnsiTheme="majorBidi" w:cstheme="majorBidi"/>
          <w:sz w:val="24"/>
          <w:szCs w:val="24"/>
        </w:rPr>
        <w:t>“</w:t>
      </w:r>
      <w:r w:rsidRPr="006C479D">
        <w:rPr>
          <w:rFonts w:asciiTheme="majorBidi" w:hAnsiTheme="majorBidi" w:cstheme="majorBidi"/>
          <w:i/>
          <w:iCs/>
          <w:sz w:val="24"/>
          <w:szCs w:val="24"/>
        </w:rPr>
        <w:t>you buy the product because of its functions. Lets say, I have two brands that I like, but if one of the brands is taking it a step further and communicating what they do to society, I will prefer this brand</w:t>
      </w:r>
      <w:r w:rsidR="009C4B0F" w:rsidRPr="006C479D">
        <w:rPr>
          <w:rFonts w:asciiTheme="majorBidi" w:hAnsiTheme="majorBidi" w:cstheme="majorBidi"/>
          <w:i/>
          <w:iCs/>
          <w:sz w:val="24"/>
          <w:szCs w:val="24"/>
        </w:rPr>
        <w:t xml:space="preserve"> </w:t>
      </w:r>
      <w:r w:rsidR="009C4B0F" w:rsidRPr="009C4B0F">
        <w:rPr>
          <w:rFonts w:asciiTheme="majorBidi" w:hAnsiTheme="majorBidi" w:cstheme="majorBidi"/>
          <w:sz w:val="24"/>
          <w:szCs w:val="24"/>
        </w:rPr>
        <w:t>(A.I., 2022)</w:t>
      </w:r>
      <w:r w:rsidRPr="009C4B0F">
        <w:rPr>
          <w:rFonts w:asciiTheme="majorBidi" w:hAnsiTheme="majorBidi" w:cstheme="majorBidi"/>
          <w:sz w:val="24"/>
          <w:szCs w:val="24"/>
        </w:rPr>
        <w:t>.”</w:t>
      </w:r>
    </w:p>
    <w:p w14:paraId="34481EB8" w14:textId="222D9B3A" w:rsidR="00ED492B" w:rsidRDefault="00ED492B" w:rsidP="009C4B0F">
      <w:pPr>
        <w:widowControl w:val="0"/>
        <w:spacing w:after="0" w:line="480" w:lineRule="auto"/>
        <w:outlineLvl w:val="2"/>
        <w:rPr>
          <w:rFonts w:asciiTheme="majorBidi" w:hAnsiTheme="majorBidi" w:cstheme="majorBidi"/>
          <w:sz w:val="24"/>
          <w:szCs w:val="24"/>
        </w:rPr>
      </w:pPr>
      <w:r>
        <w:rPr>
          <w:rFonts w:asciiTheme="majorBidi" w:hAnsiTheme="majorBidi" w:cstheme="majorBidi"/>
          <w:color w:val="2E2E2E"/>
          <w:sz w:val="24"/>
          <w:szCs w:val="24"/>
        </w:rPr>
        <w:tab/>
        <w:t xml:space="preserve">Additionally, a lot of </w:t>
      </w:r>
      <w:r w:rsidR="00C4373A">
        <w:rPr>
          <w:rFonts w:asciiTheme="majorBidi" w:hAnsiTheme="majorBidi" w:cstheme="majorBidi"/>
          <w:color w:val="2E2E2E"/>
          <w:sz w:val="24"/>
          <w:szCs w:val="24"/>
        </w:rPr>
        <w:t>interviewees</w:t>
      </w:r>
      <w:r>
        <w:rPr>
          <w:rFonts w:asciiTheme="majorBidi" w:hAnsiTheme="majorBidi" w:cstheme="majorBidi"/>
          <w:color w:val="2E2E2E"/>
          <w:sz w:val="24"/>
          <w:szCs w:val="24"/>
        </w:rPr>
        <w:t xml:space="preserve"> mentioned that they do not need information about Dettol’s performance or functionalities. Similarly, the ones who preferred CSR communication under certain conditions, indicated that these conditions were if they are familiar with the product and do not need information to help them decide to purchase the product or not. The below statements illustrate this argument. </w:t>
      </w:r>
    </w:p>
    <w:p w14:paraId="64058FD1" w14:textId="2ED1F8C0" w:rsidR="006C479D" w:rsidRPr="00673A16" w:rsidRDefault="00ED492B" w:rsidP="006C479D">
      <w:pPr>
        <w:widowControl w:val="0"/>
        <w:ind w:left="720"/>
        <w:rPr>
          <w:rFonts w:asciiTheme="majorBidi" w:hAnsiTheme="majorBidi" w:cstheme="majorBidi"/>
          <w:sz w:val="24"/>
          <w:szCs w:val="24"/>
        </w:rPr>
      </w:pPr>
      <w:r w:rsidRPr="006C479D">
        <w:rPr>
          <w:rFonts w:asciiTheme="majorBidi" w:hAnsiTheme="majorBidi" w:cstheme="majorBidi"/>
          <w:i/>
          <w:iCs/>
          <w:sz w:val="24"/>
          <w:szCs w:val="24"/>
        </w:rPr>
        <w:t>It depends on the product. There are some products that we have been using for years so we know it exactly. For example, like Dettol, I know exactly how to use it and how to dilute so I don’t need an ad that explains how to use it. In this case, it would be great and different to see an ad about Dettol’s social role in Egypt. But, if it’s a new product that I don’t know, I might need information to about what this product does and its benefits</w:t>
      </w:r>
      <w:r w:rsidR="009C4B0F" w:rsidRPr="006C479D">
        <w:rPr>
          <w:rFonts w:asciiTheme="majorBidi" w:hAnsiTheme="majorBidi" w:cstheme="majorBidi"/>
          <w:i/>
          <w:iCs/>
          <w:sz w:val="24"/>
          <w:szCs w:val="24"/>
        </w:rPr>
        <w:t xml:space="preserve"> </w:t>
      </w:r>
      <w:r w:rsidR="009C4B0F">
        <w:rPr>
          <w:rFonts w:asciiTheme="majorBidi" w:hAnsiTheme="majorBidi" w:cstheme="majorBidi"/>
          <w:sz w:val="24"/>
          <w:szCs w:val="24"/>
        </w:rPr>
        <w:t>(B.M., 2022)</w:t>
      </w:r>
      <w:r w:rsidRPr="00673A16">
        <w:rPr>
          <w:rFonts w:asciiTheme="majorBidi" w:hAnsiTheme="majorBidi" w:cstheme="majorBidi"/>
          <w:sz w:val="24"/>
          <w:szCs w:val="24"/>
        </w:rPr>
        <w:t xml:space="preserve">. </w:t>
      </w:r>
    </w:p>
    <w:bookmarkEnd w:id="217"/>
    <w:p w14:paraId="22599B24" w14:textId="5E796507" w:rsidR="00ED492B" w:rsidRPr="00673A16" w:rsidRDefault="00ED492B" w:rsidP="00ED492B">
      <w:pPr>
        <w:widowControl w:val="0"/>
        <w:ind w:left="720"/>
        <w:rPr>
          <w:rFonts w:asciiTheme="majorBidi" w:hAnsiTheme="majorBidi" w:cstheme="majorBidi"/>
          <w:sz w:val="24"/>
          <w:szCs w:val="24"/>
        </w:rPr>
      </w:pPr>
      <w:r w:rsidRPr="006C479D">
        <w:rPr>
          <w:rFonts w:asciiTheme="majorBidi" w:hAnsiTheme="majorBidi" w:cstheme="majorBidi"/>
          <w:i/>
          <w:iCs/>
          <w:sz w:val="24"/>
          <w:szCs w:val="24"/>
        </w:rPr>
        <w:t>It depends. If its an ad about Pepsi or a product that I know, it will be silly as I don’t need much information on the product. But, if it’s a new school, yes, I need more details about the project and the benefit it offers and so</w:t>
      </w:r>
      <w:r w:rsidR="009C4B0F">
        <w:rPr>
          <w:rFonts w:asciiTheme="majorBidi" w:hAnsiTheme="majorBidi" w:cstheme="majorBidi"/>
          <w:sz w:val="24"/>
          <w:szCs w:val="24"/>
        </w:rPr>
        <w:t xml:space="preserve"> (S.O., 2022)</w:t>
      </w:r>
      <w:r w:rsidRPr="00673A16">
        <w:rPr>
          <w:rFonts w:asciiTheme="majorBidi" w:hAnsiTheme="majorBidi" w:cstheme="majorBidi"/>
          <w:sz w:val="24"/>
          <w:szCs w:val="24"/>
        </w:rPr>
        <w:t>.</w:t>
      </w:r>
    </w:p>
    <w:p w14:paraId="62A1794F" w14:textId="77777777" w:rsidR="00ED492B" w:rsidRPr="00FC445F" w:rsidRDefault="00ED492B" w:rsidP="00ED492B">
      <w:pPr>
        <w:widowControl w:val="0"/>
        <w:spacing w:line="480" w:lineRule="auto"/>
        <w:rPr>
          <w:rFonts w:asciiTheme="majorBidi" w:hAnsiTheme="majorBidi" w:cstheme="majorBidi"/>
          <w:sz w:val="24"/>
          <w:szCs w:val="24"/>
        </w:rPr>
      </w:pPr>
      <w:r>
        <w:rPr>
          <w:rFonts w:asciiTheme="majorBidi" w:hAnsiTheme="majorBidi" w:cstheme="majorBidi"/>
          <w:sz w:val="24"/>
          <w:szCs w:val="24"/>
        </w:rPr>
        <w:tab/>
      </w:r>
      <w:bookmarkStart w:id="218" w:name="_Hlk149852870"/>
      <w:r>
        <w:rPr>
          <w:rFonts w:asciiTheme="majorBidi" w:hAnsiTheme="majorBidi" w:cstheme="majorBidi"/>
          <w:sz w:val="24"/>
          <w:szCs w:val="24"/>
        </w:rPr>
        <w:t xml:space="preserve">The above two comments suggest that consumers are more </w:t>
      </w:r>
      <w:r w:rsidRPr="0048342F">
        <w:rPr>
          <w:rFonts w:asciiTheme="majorBidi" w:hAnsiTheme="majorBidi" w:cstheme="majorBidi"/>
          <w:sz w:val="24"/>
          <w:szCs w:val="24"/>
        </w:rPr>
        <w:t>receptive of CSR campaigns in low-involvement products</w:t>
      </w:r>
      <w:r>
        <w:rPr>
          <w:rFonts w:asciiTheme="majorBidi" w:hAnsiTheme="majorBidi" w:cstheme="majorBidi"/>
          <w:sz w:val="24"/>
          <w:szCs w:val="24"/>
        </w:rPr>
        <w:t xml:space="preserve"> that do not require a lot of information prior to making a purchase decision. Similarly, as stated in the brand trust theme, the popularity of the brand name and its presence in the market for long years might make the consumers familiar with it and its products;</w:t>
      </w:r>
      <w:bookmarkEnd w:id="218"/>
      <w:r>
        <w:rPr>
          <w:rFonts w:asciiTheme="majorBidi" w:hAnsiTheme="majorBidi" w:cstheme="majorBidi"/>
          <w:sz w:val="24"/>
          <w:szCs w:val="24"/>
        </w:rPr>
        <w:t xml:space="preserve"> hence, they would not require functional communication and they would prefer CSR communication. </w:t>
      </w:r>
    </w:p>
    <w:p w14:paraId="67B7C59B" w14:textId="11FAB347" w:rsidR="00ED492B" w:rsidRDefault="00ED492B" w:rsidP="00ED492B">
      <w:pPr>
        <w:widowControl w:val="0"/>
        <w:spacing w:after="120"/>
        <w:outlineLvl w:val="2"/>
        <w:rPr>
          <w:rFonts w:asciiTheme="majorBidi" w:hAnsiTheme="majorBidi" w:cstheme="majorBidi"/>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.11 </w:t>
      </w:r>
      <w:bookmarkStart w:id="219" w:name="_Hlk149852936"/>
      <w:r w:rsidRPr="00C64FB3">
        <w:rPr>
          <w:rFonts w:asciiTheme="majorBidi" w:hAnsiTheme="majorBidi" w:cstheme="majorBidi"/>
          <w:b/>
          <w:bCs/>
          <w:color w:val="2E2E2E"/>
          <w:sz w:val="24"/>
          <w:szCs w:val="24"/>
        </w:rPr>
        <w:t>Purchase intention</w:t>
      </w:r>
    </w:p>
    <w:bookmarkEnd w:id="219"/>
    <w:p w14:paraId="1024B975" w14:textId="6394EB71" w:rsidR="00ED492B" w:rsidRPr="00585BF5" w:rsidRDefault="00ED492B" w:rsidP="00ED492B">
      <w:pPr>
        <w:widowControl w:val="0"/>
        <w:spacing w:after="120" w:line="480" w:lineRule="auto"/>
        <w:outlineLvl w:val="2"/>
        <w:rPr>
          <w:rFonts w:asciiTheme="majorBidi" w:hAnsiTheme="majorBidi" w:cstheme="majorBidi"/>
          <w:i/>
          <w:iCs/>
          <w:sz w:val="24"/>
          <w:szCs w:val="24"/>
        </w:rPr>
      </w:pPr>
      <w:r>
        <w:rPr>
          <w:rFonts w:asciiTheme="majorBidi" w:hAnsiTheme="majorBidi" w:cstheme="majorBidi"/>
          <w:color w:val="2E2E2E"/>
          <w:sz w:val="24"/>
          <w:szCs w:val="24"/>
        </w:rPr>
        <w:tab/>
        <w:t xml:space="preserve">This theme emerged from many sections throughout the interview. </w:t>
      </w:r>
      <w:r w:rsidR="00C4373A">
        <w:rPr>
          <w:rFonts w:asciiTheme="majorBidi" w:hAnsiTheme="majorBidi" w:cstheme="majorBidi"/>
          <w:color w:val="2E2E2E"/>
          <w:sz w:val="24"/>
          <w:szCs w:val="24"/>
        </w:rPr>
        <w:t>The interviewed subjects</w:t>
      </w:r>
      <w:r>
        <w:rPr>
          <w:rFonts w:asciiTheme="majorBidi" w:hAnsiTheme="majorBidi" w:cstheme="majorBidi"/>
          <w:color w:val="2E2E2E"/>
          <w:sz w:val="24"/>
          <w:szCs w:val="24"/>
        </w:rPr>
        <w:t xml:space="preserve"> did not require a direct question about their purchase intentions. They immediately felt that this is the expectation or the decision that they needed to consider after watching the ads. Yet, the question was asked directly.</w:t>
      </w:r>
      <w:r w:rsidRPr="00C64FB3">
        <w:rPr>
          <w:rFonts w:asciiTheme="majorBidi" w:hAnsiTheme="majorBidi" w:cstheme="majorBidi"/>
          <w:color w:val="2E2E2E"/>
          <w:sz w:val="24"/>
          <w:szCs w:val="24"/>
        </w:rPr>
        <w:t xml:space="preserve"> </w:t>
      </w:r>
      <w:r>
        <w:rPr>
          <w:rFonts w:asciiTheme="majorBidi" w:hAnsiTheme="majorBidi" w:cstheme="majorBidi"/>
          <w:color w:val="2E2E2E"/>
          <w:sz w:val="24"/>
          <w:szCs w:val="24"/>
        </w:rPr>
        <w:t xml:space="preserve">This theme is subcategorised into three subthemes that included purchase intention after the CSR ad of Dettol, purchase intention after the non-CSR ad of Dettol, and finally purchase intention after the CSR ad of an unknown brand. </w:t>
      </w:r>
    </w:p>
    <w:p w14:paraId="6BEB716D" w14:textId="2D02F183"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.11.1 P</w:t>
      </w:r>
      <w:r w:rsidRPr="00C64FB3">
        <w:rPr>
          <w:rFonts w:asciiTheme="majorBidi" w:hAnsiTheme="majorBidi" w:cstheme="majorBidi"/>
          <w:b/>
          <w:bCs/>
          <w:color w:val="2E2E2E"/>
          <w:sz w:val="24"/>
          <w:szCs w:val="24"/>
        </w:rPr>
        <w:t>urchase intention after the CSR ad</w:t>
      </w:r>
    </w:p>
    <w:p w14:paraId="241B4D8C" w14:textId="77777777" w:rsidR="006C479D" w:rsidRDefault="00ED492B" w:rsidP="00ED492B">
      <w:pPr>
        <w:widowControl w:val="0"/>
        <w:spacing w:after="0" w:line="480" w:lineRule="auto"/>
        <w:rPr>
          <w:rFonts w:asciiTheme="majorBidi" w:hAnsiTheme="majorBidi" w:cstheme="majorBidi"/>
          <w:color w:val="2E2E2E"/>
          <w:sz w:val="24"/>
          <w:szCs w:val="24"/>
        </w:rPr>
      </w:pPr>
      <w:r>
        <w:rPr>
          <w:rFonts w:asciiTheme="majorBidi" w:hAnsiTheme="majorBidi" w:cstheme="majorBidi"/>
          <w:color w:val="2E2E2E"/>
          <w:sz w:val="24"/>
          <w:szCs w:val="24"/>
        </w:rPr>
        <w:tab/>
      </w:r>
      <w:bookmarkStart w:id="220" w:name="_Hlk149852982"/>
      <w:r w:rsidRPr="00103F01">
        <w:rPr>
          <w:rFonts w:asciiTheme="majorBidi" w:hAnsiTheme="majorBidi" w:cstheme="majorBidi"/>
          <w:color w:val="2E2E2E"/>
          <w:sz w:val="24"/>
          <w:szCs w:val="24"/>
        </w:rPr>
        <w:t>While a lot of the participants gave a definitive answer that they will purchase the product based on the CSR ad that they sa</w:t>
      </w:r>
      <w:r>
        <w:rPr>
          <w:rFonts w:asciiTheme="majorBidi" w:hAnsiTheme="majorBidi" w:cstheme="majorBidi"/>
          <w:color w:val="2E2E2E"/>
          <w:sz w:val="24"/>
          <w:szCs w:val="24"/>
        </w:rPr>
        <w:t>w</w:t>
      </w:r>
      <w:r w:rsidR="00B42B66">
        <w:rPr>
          <w:rFonts w:asciiTheme="majorBidi" w:hAnsiTheme="majorBidi" w:cstheme="majorBidi"/>
          <w:color w:val="2E2E2E"/>
          <w:sz w:val="24"/>
          <w:szCs w:val="24"/>
        </w:rPr>
        <w:t>,</w:t>
      </w:r>
      <w:r w:rsidRPr="00103F01">
        <w:rPr>
          <w:rFonts w:asciiTheme="majorBidi" w:hAnsiTheme="majorBidi" w:cstheme="majorBidi"/>
          <w:color w:val="2E2E2E"/>
          <w:sz w:val="24"/>
          <w:szCs w:val="24"/>
        </w:rPr>
        <w:t xml:space="preserve"> a lot other participants gave an indication of their intention to purchase</w:t>
      </w:r>
      <w:r>
        <w:rPr>
          <w:rFonts w:asciiTheme="majorBidi" w:hAnsiTheme="majorBidi" w:cstheme="majorBidi"/>
          <w:color w:val="2E2E2E"/>
          <w:sz w:val="24"/>
          <w:szCs w:val="24"/>
        </w:rPr>
        <w:t xml:space="preserve"> or </w:t>
      </w:r>
      <w:r w:rsidRPr="0048342F">
        <w:rPr>
          <w:rFonts w:asciiTheme="majorBidi" w:hAnsiTheme="majorBidi" w:cstheme="majorBidi"/>
          <w:color w:val="2E2E2E"/>
          <w:sz w:val="24"/>
          <w:szCs w:val="24"/>
        </w:rPr>
        <w:t xml:space="preserve">placed certain conditions on their purchase intentions. For instance, a respondent </w:t>
      </w:r>
      <w:r w:rsidR="009C4B0F" w:rsidRPr="0048342F">
        <w:rPr>
          <w:rFonts w:asciiTheme="majorBidi" w:hAnsiTheme="majorBidi" w:cstheme="majorBidi"/>
          <w:color w:val="2E2E2E"/>
          <w:sz w:val="24"/>
          <w:szCs w:val="24"/>
        </w:rPr>
        <w:t>said,</w:t>
      </w:r>
      <w:r w:rsidRPr="0048342F">
        <w:rPr>
          <w:rFonts w:asciiTheme="majorBidi" w:hAnsiTheme="majorBidi" w:cstheme="majorBidi"/>
          <w:color w:val="2E2E2E"/>
          <w:sz w:val="24"/>
          <w:szCs w:val="24"/>
        </w:rPr>
        <w:t xml:space="preserve"> </w:t>
      </w:r>
    </w:p>
    <w:p w14:paraId="6EBC6E82" w14:textId="77777777" w:rsidR="006C479D" w:rsidRDefault="00ED492B" w:rsidP="006C479D">
      <w:pPr>
        <w:widowControl w:val="0"/>
        <w:spacing w:after="0" w:line="480" w:lineRule="auto"/>
        <w:ind w:firstLine="720"/>
        <w:rPr>
          <w:rFonts w:asciiTheme="majorBidi" w:hAnsiTheme="majorBidi" w:cstheme="majorBidi"/>
          <w:color w:val="2E2E2E"/>
          <w:sz w:val="24"/>
          <w:szCs w:val="24"/>
        </w:rPr>
      </w:pPr>
      <w:r w:rsidRPr="0048342F">
        <w:rPr>
          <w:rFonts w:asciiTheme="majorBidi" w:hAnsiTheme="majorBidi" w:cstheme="majorBidi"/>
          <w:color w:val="2E2E2E"/>
          <w:sz w:val="24"/>
          <w:szCs w:val="24"/>
        </w:rPr>
        <w:t>“</w:t>
      </w:r>
      <w:r w:rsidR="00B42B66" w:rsidRPr="006C479D">
        <w:rPr>
          <w:rFonts w:asciiTheme="majorBidi" w:hAnsiTheme="majorBidi" w:cstheme="majorBidi"/>
          <w:i/>
          <w:iCs/>
          <w:color w:val="2E2E2E"/>
          <w:sz w:val="24"/>
          <w:szCs w:val="24"/>
        </w:rPr>
        <w:t>I</w:t>
      </w:r>
      <w:r w:rsidRPr="006C479D">
        <w:rPr>
          <w:rFonts w:asciiTheme="majorBidi" w:hAnsiTheme="majorBidi" w:cstheme="majorBidi"/>
          <w:i/>
          <w:iCs/>
          <w:color w:val="2E2E2E"/>
          <w:sz w:val="24"/>
          <w:szCs w:val="24"/>
        </w:rPr>
        <w:t>f the campaign is real, I will buy it even if I don’t like the smell</w:t>
      </w:r>
      <w:r w:rsidR="00363458" w:rsidRPr="006C479D">
        <w:rPr>
          <w:rFonts w:asciiTheme="majorBidi" w:hAnsiTheme="majorBidi" w:cstheme="majorBidi"/>
          <w:i/>
          <w:iCs/>
          <w:color w:val="2E2E2E"/>
          <w:sz w:val="24"/>
          <w:szCs w:val="24"/>
        </w:rPr>
        <w:t xml:space="preserve"> </w:t>
      </w:r>
      <w:r w:rsidR="00363458">
        <w:rPr>
          <w:rFonts w:asciiTheme="majorBidi" w:hAnsiTheme="majorBidi" w:cstheme="majorBidi"/>
          <w:color w:val="2E2E2E"/>
          <w:sz w:val="24"/>
          <w:szCs w:val="24"/>
        </w:rPr>
        <w:t>(K.B. 2022)</w:t>
      </w:r>
      <w:r>
        <w:rPr>
          <w:rFonts w:asciiTheme="majorBidi" w:hAnsiTheme="majorBidi" w:cstheme="majorBidi"/>
          <w:color w:val="2E2E2E"/>
          <w:sz w:val="24"/>
          <w:szCs w:val="24"/>
        </w:rPr>
        <w:t xml:space="preserve">.” </w:t>
      </w:r>
      <w:bookmarkEnd w:id="220"/>
    </w:p>
    <w:p w14:paraId="391E47C6" w14:textId="77777777" w:rsidR="006C479D" w:rsidRDefault="00ED492B" w:rsidP="006C479D">
      <w:pPr>
        <w:widowControl w:val="0"/>
        <w:spacing w:after="0" w:line="480" w:lineRule="auto"/>
        <w:rPr>
          <w:rFonts w:asciiTheme="majorBidi" w:hAnsiTheme="majorBidi" w:cstheme="majorBidi"/>
          <w:color w:val="2E2E2E"/>
          <w:sz w:val="24"/>
          <w:szCs w:val="24"/>
        </w:rPr>
      </w:pPr>
      <w:r>
        <w:rPr>
          <w:rFonts w:asciiTheme="majorBidi" w:hAnsiTheme="majorBidi" w:cstheme="majorBidi"/>
          <w:color w:val="2E2E2E"/>
          <w:sz w:val="24"/>
          <w:szCs w:val="24"/>
        </w:rPr>
        <w:t xml:space="preserve">Other respondents said </w:t>
      </w:r>
    </w:p>
    <w:p w14:paraId="52A6A9CF" w14:textId="77777777" w:rsidR="006C479D" w:rsidRDefault="00ED492B" w:rsidP="006C479D">
      <w:pPr>
        <w:widowControl w:val="0"/>
        <w:spacing w:after="0" w:line="480" w:lineRule="auto"/>
        <w:ind w:firstLine="720"/>
        <w:rPr>
          <w:rFonts w:asciiTheme="majorBidi" w:hAnsiTheme="majorBidi" w:cstheme="majorBidi"/>
          <w:color w:val="2E2E2E"/>
          <w:sz w:val="24"/>
          <w:szCs w:val="24"/>
        </w:rPr>
      </w:pPr>
      <w:r>
        <w:rPr>
          <w:rFonts w:asciiTheme="majorBidi" w:hAnsiTheme="majorBidi" w:cstheme="majorBidi"/>
          <w:color w:val="2E2E2E"/>
          <w:sz w:val="24"/>
          <w:szCs w:val="24"/>
        </w:rPr>
        <w:t>“</w:t>
      </w:r>
      <w:r w:rsidRPr="006C479D">
        <w:rPr>
          <w:rFonts w:asciiTheme="majorBidi" w:hAnsiTheme="majorBidi" w:cstheme="majorBidi"/>
          <w:i/>
          <w:iCs/>
          <w:color w:val="2E2E2E"/>
          <w:sz w:val="24"/>
          <w:szCs w:val="24"/>
        </w:rPr>
        <w:t>yes, 70% - 80% I will buy it</w:t>
      </w:r>
      <w:r w:rsidR="006C479D">
        <w:rPr>
          <w:rFonts w:asciiTheme="majorBidi" w:hAnsiTheme="majorBidi" w:cstheme="majorBidi"/>
          <w:i/>
          <w:iCs/>
          <w:color w:val="2E2E2E"/>
          <w:sz w:val="24"/>
          <w:szCs w:val="24"/>
        </w:rPr>
        <w:t>, and</w:t>
      </w:r>
      <w:r w:rsidR="006C479D">
        <w:rPr>
          <w:rFonts w:asciiTheme="majorBidi" w:hAnsiTheme="majorBidi" w:cstheme="majorBidi"/>
          <w:color w:val="2E2E2E"/>
          <w:sz w:val="24"/>
          <w:szCs w:val="24"/>
        </w:rPr>
        <w:t xml:space="preserve"> </w:t>
      </w:r>
      <w:r>
        <w:rPr>
          <w:rFonts w:asciiTheme="majorBidi" w:hAnsiTheme="majorBidi" w:cstheme="majorBidi"/>
          <w:color w:val="2E2E2E"/>
          <w:sz w:val="24"/>
          <w:szCs w:val="24"/>
        </w:rPr>
        <w:t>“</w:t>
      </w:r>
      <w:r w:rsidRPr="006C479D">
        <w:rPr>
          <w:rFonts w:asciiTheme="majorBidi" w:hAnsiTheme="majorBidi" w:cstheme="majorBidi"/>
          <w:i/>
          <w:iCs/>
          <w:color w:val="2E2E2E"/>
          <w:sz w:val="24"/>
          <w:szCs w:val="24"/>
        </w:rPr>
        <w:t>the CSR ad will gear me more towards buying the product</w:t>
      </w:r>
      <w:r>
        <w:rPr>
          <w:rFonts w:asciiTheme="majorBidi" w:hAnsiTheme="majorBidi" w:cstheme="majorBidi"/>
          <w:color w:val="2E2E2E"/>
          <w:sz w:val="24"/>
          <w:szCs w:val="24"/>
        </w:rPr>
        <w:t xml:space="preserve">.” </w:t>
      </w:r>
    </w:p>
    <w:p w14:paraId="5B75F32D" w14:textId="77777777" w:rsidR="006C479D" w:rsidRDefault="00ED492B" w:rsidP="006C479D">
      <w:pPr>
        <w:widowControl w:val="0"/>
        <w:spacing w:after="0" w:line="480" w:lineRule="auto"/>
        <w:ind w:firstLine="720"/>
        <w:rPr>
          <w:rFonts w:asciiTheme="majorBidi" w:hAnsiTheme="majorBidi" w:cstheme="majorBidi"/>
          <w:color w:val="2E2E2E"/>
          <w:sz w:val="24"/>
          <w:szCs w:val="24"/>
        </w:rPr>
      </w:pPr>
      <w:r>
        <w:rPr>
          <w:rFonts w:asciiTheme="majorBidi" w:hAnsiTheme="majorBidi" w:cstheme="majorBidi"/>
          <w:color w:val="2E2E2E"/>
          <w:sz w:val="24"/>
          <w:szCs w:val="24"/>
        </w:rPr>
        <w:t>Respondents who gave definite answers justified their purchase intentions by mentioning different reasons. Some of these reasons included that the purchase intentions were based on the fact that the price paid for the product supports a positive societal cause, the company cares about society, or trusting the product more. For instance, one subject said:</w:t>
      </w:r>
    </w:p>
    <w:p w14:paraId="7C085713" w14:textId="77777777" w:rsidR="006C479D" w:rsidRDefault="00ED492B" w:rsidP="006C479D">
      <w:pPr>
        <w:widowControl w:val="0"/>
        <w:spacing w:after="0" w:line="480" w:lineRule="auto"/>
        <w:ind w:left="720"/>
        <w:rPr>
          <w:rFonts w:asciiTheme="majorBidi" w:hAnsiTheme="majorBidi" w:cstheme="majorBidi"/>
          <w:i/>
          <w:iCs/>
          <w:sz w:val="24"/>
          <w:szCs w:val="24"/>
        </w:rPr>
      </w:pPr>
      <w:r w:rsidRPr="00BB2440">
        <w:rPr>
          <w:rFonts w:asciiTheme="majorBidi" w:hAnsiTheme="majorBidi" w:cstheme="majorBidi"/>
          <w:i/>
          <w:iCs/>
          <w:sz w:val="24"/>
          <w:szCs w:val="24"/>
        </w:rPr>
        <w:t>“</w:t>
      </w:r>
      <w:r w:rsidRPr="006C479D">
        <w:rPr>
          <w:rFonts w:asciiTheme="majorBidi" w:hAnsiTheme="majorBidi" w:cstheme="majorBidi"/>
          <w:i/>
          <w:iCs/>
          <w:sz w:val="24"/>
          <w:szCs w:val="24"/>
        </w:rPr>
        <w:t>yes, definitely will buy it! Because I will feel that the company has some responsibility</w:t>
      </w:r>
      <w:r w:rsidR="00D75BCF">
        <w:rPr>
          <w:rFonts w:asciiTheme="majorBidi" w:hAnsiTheme="majorBidi" w:cstheme="majorBidi"/>
          <w:sz w:val="24"/>
          <w:szCs w:val="24"/>
        </w:rPr>
        <w:t xml:space="preserve"> (N.A., 2022)</w:t>
      </w:r>
      <w:r w:rsidRPr="00D75BCF">
        <w:rPr>
          <w:rFonts w:asciiTheme="majorBidi" w:hAnsiTheme="majorBidi" w:cstheme="majorBidi"/>
          <w:sz w:val="24"/>
          <w:szCs w:val="24"/>
        </w:rPr>
        <w:t>.”</w:t>
      </w:r>
    </w:p>
    <w:p w14:paraId="44B5CE8F" w14:textId="77777777" w:rsidR="006C479D" w:rsidRDefault="00ED492B" w:rsidP="006C479D">
      <w:pPr>
        <w:widowControl w:val="0"/>
        <w:spacing w:after="0" w:line="480" w:lineRule="auto"/>
        <w:rPr>
          <w:rFonts w:asciiTheme="majorBidi" w:hAnsiTheme="majorBidi" w:cstheme="majorBidi"/>
          <w:color w:val="2E2E2E"/>
          <w:sz w:val="24"/>
          <w:szCs w:val="24"/>
        </w:rPr>
      </w:pPr>
      <w:r>
        <w:rPr>
          <w:rFonts w:asciiTheme="majorBidi" w:hAnsiTheme="majorBidi" w:cstheme="majorBidi"/>
          <w:color w:val="2E2E2E"/>
          <w:sz w:val="24"/>
          <w:szCs w:val="24"/>
        </w:rPr>
        <w:t xml:space="preserve">Moreover, some answers in the survey indicated that the interviewed consumers are willing to pay more and buy the product because of the CSR ad. For example, one respondent said: </w:t>
      </w:r>
    </w:p>
    <w:p w14:paraId="3989156B" w14:textId="77777777" w:rsidR="006C479D" w:rsidRDefault="00ED492B" w:rsidP="006C479D">
      <w:pPr>
        <w:widowControl w:val="0"/>
        <w:spacing w:line="240" w:lineRule="auto"/>
        <w:ind w:left="720"/>
        <w:rPr>
          <w:rFonts w:asciiTheme="majorBidi" w:hAnsiTheme="majorBidi" w:cstheme="majorBidi"/>
          <w:sz w:val="24"/>
          <w:szCs w:val="24"/>
        </w:rPr>
      </w:pPr>
      <w:r w:rsidRPr="00363458">
        <w:rPr>
          <w:rFonts w:asciiTheme="majorBidi" w:hAnsiTheme="majorBidi" w:cstheme="majorBidi"/>
          <w:color w:val="2E2E2E"/>
          <w:sz w:val="24"/>
          <w:szCs w:val="24"/>
        </w:rPr>
        <w:t>“</w:t>
      </w:r>
      <w:r w:rsidRPr="006C479D">
        <w:rPr>
          <w:rFonts w:asciiTheme="majorBidi" w:hAnsiTheme="majorBidi" w:cstheme="majorBidi"/>
          <w:i/>
          <w:iCs/>
          <w:sz w:val="24"/>
          <w:szCs w:val="24"/>
        </w:rPr>
        <w:t>I would be more willing to buy the product even if its more expensive. Because I will feel like I am the one who is contributing to this community service by buying the product</w:t>
      </w:r>
      <w:r w:rsidR="00363458" w:rsidRPr="00363458">
        <w:rPr>
          <w:rFonts w:asciiTheme="majorBidi" w:hAnsiTheme="majorBidi" w:cstheme="majorBidi"/>
          <w:sz w:val="24"/>
          <w:szCs w:val="24"/>
        </w:rPr>
        <w:t xml:space="preserve"> (K.M., 2022)</w:t>
      </w:r>
      <w:r w:rsidRPr="00363458">
        <w:rPr>
          <w:rFonts w:asciiTheme="majorBidi" w:hAnsiTheme="majorBidi" w:cstheme="majorBidi"/>
          <w:sz w:val="24"/>
          <w:szCs w:val="24"/>
        </w:rPr>
        <w:t>.”</w:t>
      </w:r>
    </w:p>
    <w:p w14:paraId="4B5DD555" w14:textId="5B94D14F" w:rsidR="006C479D" w:rsidRDefault="00ED492B" w:rsidP="006C479D">
      <w:pPr>
        <w:widowControl w:val="0"/>
        <w:spacing w:after="0" w:line="240" w:lineRule="auto"/>
        <w:rPr>
          <w:rFonts w:asciiTheme="majorBidi" w:hAnsiTheme="majorBidi" w:cstheme="majorBidi"/>
          <w:color w:val="2E2E2E"/>
          <w:sz w:val="24"/>
          <w:szCs w:val="24"/>
        </w:rPr>
      </w:pPr>
      <w:r w:rsidRPr="00673A16">
        <w:rPr>
          <w:rFonts w:asciiTheme="majorBidi" w:hAnsiTheme="majorBidi" w:cstheme="majorBidi"/>
          <w:color w:val="2E2E2E"/>
          <w:sz w:val="24"/>
          <w:szCs w:val="24"/>
        </w:rPr>
        <w:t>Another respondent said:</w:t>
      </w:r>
      <w:r w:rsidRPr="00363458">
        <w:rPr>
          <w:rFonts w:asciiTheme="majorBidi" w:hAnsiTheme="majorBidi" w:cstheme="majorBidi"/>
          <w:color w:val="2E2E2E"/>
          <w:sz w:val="24"/>
          <w:szCs w:val="24"/>
        </w:rPr>
        <w:t xml:space="preserve"> </w:t>
      </w:r>
    </w:p>
    <w:p w14:paraId="426B5E14" w14:textId="5B0780A3" w:rsidR="00ED492B" w:rsidRDefault="00ED492B" w:rsidP="006C479D">
      <w:pPr>
        <w:widowControl w:val="0"/>
        <w:spacing w:after="0" w:line="240" w:lineRule="auto"/>
        <w:ind w:firstLine="720"/>
        <w:rPr>
          <w:rFonts w:asciiTheme="majorBidi" w:hAnsiTheme="majorBidi" w:cstheme="majorBidi"/>
          <w:sz w:val="24"/>
          <w:szCs w:val="24"/>
        </w:rPr>
      </w:pPr>
      <w:r w:rsidRPr="00363458">
        <w:rPr>
          <w:rFonts w:asciiTheme="majorBidi" w:hAnsiTheme="majorBidi" w:cstheme="majorBidi"/>
          <w:sz w:val="24"/>
          <w:szCs w:val="24"/>
        </w:rPr>
        <w:t>“</w:t>
      </w:r>
      <w:r w:rsidRPr="006C479D">
        <w:rPr>
          <w:rFonts w:asciiTheme="majorBidi" w:hAnsiTheme="majorBidi" w:cstheme="majorBidi"/>
          <w:i/>
          <w:iCs/>
          <w:sz w:val="24"/>
          <w:szCs w:val="24"/>
        </w:rPr>
        <w:t>because of this ad, I will buy this product exclusively</w:t>
      </w:r>
      <w:r w:rsidR="00363458" w:rsidRPr="00363458">
        <w:rPr>
          <w:rFonts w:asciiTheme="majorBidi" w:hAnsiTheme="majorBidi" w:cstheme="majorBidi"/>
          <w:sz w:val="24"/>
          <w:szCs w:val="24"/>
        </w:rPr>
        <w:t xml:space="preserve"> (M.H., 2022)</w:t>
      </w:r>
      <w:r w:rsidRPr="00363458">
        <w:rPr>
          <w:rFonts w:asciiTheme="majorBidi" w:hAnsiTheme="majorBidi" w:cstheme="majorBidi"/>
          <w:sz w:val="24"/>
          <w:szCs w:val="24"/>
        </w:rPr>
        <w:t>!”</w:t>
      </w:r>
    </w:p>
    <w:p w14:paraId="0C0225D8" w14:textId="77777777" w:rsidR="006C479D" w:rsidRPr="006C479D" w:rsidRDefault="006C479D" w:rsidP="006C479D">
      <w:pPr>
        <w:widowControl w:val="0"/>
        <w:spacing w:after="0" w:line="240" w:lineRule="auto"/>
        <w:rPr>
          <w:rFonts w:asciiTheme="majorBidi" w:hAnsiTheme="majorBidi" w:cstheme="majorBidi"/>
          <w:color w:val="2E2E2E"/>
          <w:sz w:val="24"/>
          <w:szCs w:val="24"/>
        </w:rPr>
      </w:pPr>
    </w:p>
    <w:p w14:paraId="2C050C4B" w14:textId="10A81D4C" w:rsidR="00ED492B"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There were only a couple of interviewed consumers who mentioned that they do not intend to purchase Dettol after seeing the CSR ad. One </w:t>
      </w:r>
      <w:r w:rsidR="00C4373A">
        <w:rPr>
          <w:rFonts w:asciiTheme="majorBidi" w:hAnsiTheme="majorBidi" w:cstheme="majorBidi"/>
          <w:sz w:val="24"/>
          <w:szCs w:val="24"/>
        </w:rPr>
        <w:t>subject</w:t>
      </w:r>
      <w:r>
        <w:rPr>
          <w:rFonts w:asciiTheme="majorBidi" w:hAnsiTheme="majorBidi" w:cstheme="majorBidi"/>
          <w:sz w:val="24"/>
          <w:szCs w:val="24"/>
        </w:rPr>
        <w:t xml:space="preserve"> said that she prefers ads that will give her information about the functions and usage of the product. The other </w:t>
      </w:r>
      <w:r w:rsidR="00C4373A">
        <w:rPr>
          <w:rFonts w:asciiTheme="majorBidi" w:hAnsiTheme="majorBidi" w:cstheme="majorBidi"/>
          <w:sz w:val="24"/>
          <w:szCs w:val="24"/>
        </w:rPr>
        <w:t>subject</w:t>
      </w:r>
      <w:r>
        <w:rPr>
          <w:rFonts w:asciiTheme="majorBidi" w:hAnsiTheme="majorBidi" w:cstheme="majorBidi"/>
          <w:sz w:val="24"/>
          <w:szCs w:val="24"/>
        </w:rPr>
        <w:t xml:space="preserve"> mentioned the below comment: </w:t>
      </w:r>
    </w:p>
    <w:p w14:paraId="58B569B8" w14:textId="34207267" w:rsidR="00ED492B" w:rsidRPr="006C479D" w:rsidRDefault="00ED492B" w:rsidP="00ED492B">
      <w:pPr>
        <w:widowControl w:val="0"/>
        <w:ind w:left="720"/>
        <w:rPr>
          <w:rFonts w:asciiTheme="majorBidi" w:hAnsiTheme="majorBidi" w:cstheme="majorBidi"/>
          <w:i/>
          <w:iCs/>
          <w:sz w:val="24"/>
          <w:szCs w:val="24"/>
        </w:rPr>
      </w:pPr>
      <w:r w:rsidRPr="006C479D">
        <w:rPr>
          <w:rFonts w:asciiTheme="majorBidi" w:hAnsiTheme="majorBidi" w:cstheme="majorBidi"/>
          <w:i/>
          <w:iCs/>
          <w:sz w:val="24"/>
          <w:szCs w:val="24"/>
        </w:rPr>
        <w:t>The product is reliable and it sells itself, it doesn’t need ads. Then they put that message that they are giving this money to the hospital. So, no I would buy the product because the quality of the product itself not because of the ad</w:t>
      </w:r>
      <w:r w:rsidR="006C479D">
        <w:rPr>
          <w:rFonts w:asciiTheme="majorBidi" w:hAnsiTheme="majorBidi" w:cstheme="majorBidi"/>
          <w:i/>
          <w:iCs/>
          <w:sz w:val="24"/>
          <w:szCs w:val="24"/>
        </w:rPr>
        <w:t xml:space="preserve"> </w:t>
      </w:r>
      <w:r w:rsidR="006C479D" w:rsidRPr="00363458">
        <w:rPr>
          <w:rFonts w:asciiTheme="majorBidi" w:hAnsiTheme="majorBidi" w:cstheme="majorBidi"/>
          <w:sz w:val="24"/>
          <w:szCs w:val="24"/>
        </w:rPr>
        <w:t>(K.M., 2022)</w:t>
      </w:r>
      <w:r w:rsidRPr="006C479D">
        <w:rPr>
          <w:rFonts w:asciiTheme="majorBidi" w:hAnsiTheme="majorBidi" w:cstheme="majorBidi"/>
          <w:i/>
          <w:iCs/>
          <w:sz w:val="24"/>
          <w:szCs w:val="24"/>
        </w:rPr>
        <w:t>.</w:t>
      </w:r>
    </w:p>
    <w:p w14:paraId="42A594D4" w14:textId="77777777" w:rsidR="00ED492B" w:rsidRPr="00026EE0" w:rsidRDefault="00ED492B" w:rsidP="00ED492B">
      <w:pPr>
        <w:widowControl w:val="0"/>
        <w:spacing w:line="480" w:lineRule="auto"/>
        <w:rPr>
          <w:rFonts w:asciiTheme="majorBidi" w:hAnsiTheme="majorBidi" w:cstheme="majorBidi"/>
          <w:sz w:val="24"/>
          <w:szCs w:val="24"/>
        </w:rPr>
      </w:pPr>
      <w:r>
        <w:rPr>
          <w:rFonts w:asciiTheme="majorBidi" w:hAnsiTheme="majorBidi" w:cstheme="majorBidi"/>
          <w:sz w:val="24"/>
          <w:szCs w:val="24"/>
        </w:rPr>
        <w:tab/>
        <w:t xml:space="preserve">Clearly, based on the provided answers in this theme and the ones discussed prior to it, most interviewees had a prior knowledge of Dettol, its products and reputation. Henceforth, it was essential to divert the interview and ask the interviewees about their opinions if the same CSR communication was launched by an unknown brand. The below theme emerged from these answers.  </w:t>
      </w:r>
    </w:p>
    <w:p w14:paraId="654B72D0" w14:textId="18BEC8C7" w:rsidR="00ED492B" w:rsidRDefault="00ED492B" w:rsidP="00ED492B">
      <w:pPr>
        <w:widowControl w:val="0"/>
        <w:rPr>
          <w:rFonts w:asciiTheme="majorBidi" w:hAnsiTheme="majorBidi" w:cstheme="majorBidi"/>
          <w:b/>
          <w:bCs/>
          <w:sz w:val="24"/>
          <w:szCs w:val="24"/>
        </w:rPr>
      </w:pPr>
      <w:r>
        <w:rPr>
          <w:rFonts w:asciiTheme="majorBidi" w:hAnsiTheme="majorBidi" w:cstheme="majorBidi"/>
          <w:b/>
          <w:bCs/>
          <w:sz w:val="24"/>
          <w:szCs w:val="24"/>
        </w:rPr>
        <w:t>7.</w:t>
      </w:r>
      <w:r w:rsidR="008900D7">
        <w:rPr>
          <w:rFonts w:asciiTheme="majorBidi" w:hAnsiTheme="majorBidi" w:cstheme="majorBidi"/>
          <w:b/>
          <w:bCs/>
          <w:sz w:val="24"/>
          <w:szCs w:val="24"/>
        </w:rPr>
        <w:t>3</w:t>
      </w:r>
      <w:r>
        <w:rPr>
          <w:rFonts w:asciiTheme="majorBidi" w:hAnsiTheme="majorBidi" w:cstheme="majorBidi"/>
          <w:b/>
          <w:bCs/>
          <w:sz w:val="24"/>
          <w:szCs w:val="24"/>
        </w:rPr>
        <w:t xml:space="preserve">.11.2 </w:t>
      </w:r>
      <w:r w:rsidRPr="00DD0D8E">
        <w:rPr>
          <w:rFonts w:asciiTheme="majorBidi" w:hAnsiTheme="majorBidi" w:cstheme="majorBidi"/>
          <w:b/>
          <w:bCs/>
          <w:sz w:val="24"/>
          <w:szCs w:val="24"/>
        </w:rPr>
        <w:t xml:space="preserve">Purchase intention </w:t>
      </w:r>
      <w:r>
        <w:rPr>
          <w:rFonts w:asciiTheme="majorBidi" w:hAnsiTheme="majorBidi" w:cstheme="majorBidi"/>
          <w:b/>
          <w:bCs/>
          <w:sz w:val="24"/>
          <w:szCs w:val="24"/>
        </w:rPr>
        <w:t xml:space="preserve">from the </w:t>
      </w:r>
      <w:r w:rsidRPr="00DD0D8E">
        <w:rPr>
          <w:rFonts w:asciiTheme="majorBidi" w:hAnsiTheme="majorBidi" w:cstheme="majorBidi"/>
          <w:b/>
          <w:bCs/>
          <w:sz w:val="24"/>
          <w:szCs w:val="24"/>
        </w:rPr>
        <w:t xml:space="preserve">CSR ad of an unknown product </w:t>
      </w:r>
    </w:p>
    <w:p w14:paraId="17F06FFA" w14:textId="77777777" w:rsidR="006C479D"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r>
      <w:r w:rsidRPr="00AD2A8D">
        <w:rPr>
          <w:rFonts w:asciiTheme="majorBidi" w:hAnsiTheme="majorBidi" w:cstheme="majorBidi"/>
          <w:sz w:val="24"/>
          <w:szCs w:val="24"/>
        </w:rPr>
        <w:t xml:space="preserve">The interviewed people were asked if they would purchase the product if the same CSR communication was launched by a </w:t>
      </w:r>
      <w:r>
        <w:rPr>
          <w:rFonts w:asciiTheme="majorBidi" w:hAnsiTheme="majorBidi" w:cstheme="majorBidi"/>
          <w:sz w:val="24"/>
          <w:szCs w:val="24"/>
        </w:rPr>
        <w:t>new or unknown brand</w:t>
      </w:r>
      <w:r w:rsidRPr="00AD2A8D">
        <w:rPr>
          <w:rFonts w:asciiTheme="majorBidi" w:hAnsiTheme="majorBidi" w:cstheme="majorBidi"/>
          <w:sz w:val="24"/>
          <w:szCs w:val="24"/>
        </w:rPr>
        <w:t xml:space="preserve">. </w:t>
      </w:r>
      <w:r>
        <w:rPr>
          <w:rFonts w:asciiTheme="majorBidi" w:hAnsiTheme="majorBidi" w:cstheme="majorBidi"/>
          <w:sz w:val="24"/>
          <w:szCs w:val="24"/>
        </w:rPr>
        <w:t xml:space="preserve">There were nine </w:t>
      </w:r>
      <w:r w:rsidR="00C4373A">
        <w:rPr>
          <w:rFonts w:asciiTheme="majorBidi" w:hAnsiTheme="majorBidi" w:cstheme="majorBidi"/>
          <w:sz w:val="24"/>
          <w:szCs w:val="24"/>
        </w:rPr>
        <w:t>interviewees</w:t>
      </w:r>
      <w:r>
        <w:rPr>
          <w:rFonts w:asciiTheme="majorBidi" w:hAnsiTheme="majorBidi" w:cstheme="majorBidi"/>
          <w:sz w:val="24"/>
          <w:szCs w:val="24"/>
        </w:rPr>
        <w:t xml:space="preserve"> who mentioned that the ad will make them interested to try the product. However, those </w:t>
      </w:r>
      <w:r w:rsidR="00C4373A">
        <w:rPr>
          <w:rFonts w:asciiTheme="majorBidi" w:hAnsiTheme="majorBidi" w:cstheme="majorBidi"/>
          <w:sz w:val="24"/>
          <w:szCs w:val="24"/>
        </w:rPr>
        <w:t>interviewees</w:t>
      </w:r>
      <w:r>
        <w:rPr>
          <w:rFonts w:asciiTheme="majorBidi" w:hAnsiTheme="majorBidi" w:cstheme="majorBidi"/>
          <w:sz w:val="24"/>
          <w:szCs w:val="24"/>
        </w:rPr>
        <w:t xml:space="preserve"> showed </w:t>
      </w:r>
      <w:r w:rsidRPr="009673E4">
        <w:rPr>
          <w:rFonts w:asciiTheme="majorBidi" w:hAnsiTheme="majorBidi" w:cstheme="majorBidi"/>
          <w:sz w:val="24"/>
          <w:szCs w:val="24"/>
        </w:rPr>
        <w:t>some hesitation</w:t>
      </w:r>
      <w:r>
        <w:rPr>
          <w:rFonts w:asciiTheme="majorBidi" w:hAnsiTheme="majorBidi" w:cstheme="majorBidi"/>
          <w:sz w:val="24"/>
          <w:szCs w:val="24"/>
        </w:rPr>
        <w:t xml:space="preserve"> and some of them mentioned that they are willing to try it for the first time only and then they will judge this new product based on its performance. For instance, one subject said: </w:t>
      </w:r>
    </w:p>
    <w:p w14:paraId="0FEDFFC3" w14:textId="77777777" w:rsidR="006C479D" w:rsidRDefault="00ED492B" w:rsidP="006C479D">
      <w:pPr>
        <w:widowControl w:val="0"/>
        <w:spacing w:line="240" w:lineRule="auto"/>
        <w:ind w:left="720"/>
        <w:rPr>
          <w:rFonts w:asciiTheme="majorBidi" w:hAnsiTheme="majorBidi" w:cstheme="majorBidi"/>
          <w:sz w:val="24"/>
          <w:szCs w:val="24"/>
        </w:rPr>
      </w:pPr>
      <w:r w:rsidRPr="0063170A">
        <w:rPr>
          <w:rFonts w:asciiTheme="majorBidi" w:hAnsiTheme="majorBidi" w:cstheme="majorBidi"/>
          <w:sz w:val="24"/>
          <w:szCs w:val="24"/>
        </w:rPr>
        <w:t>“</w:t>
      </w:r>
      <w:r w:rsidRPr="006C479D">
        <w:rPr>
          <w:rFonts w:asciiTheme="majorBidi" w:hAnsiTheme="majorBidi" w:cstheme="majorBidi"/>
          <w:i/>
          <w:iCs/>
          <w:sz w:val="24"/>
          <w:szCs w:val="24"/>
        </w:rPr>
        <w:t>of course, yes, for the purpose of supporting and trying. Also, even if I lost and I found that the product is bad; I will gain the support of a great campaign</w:t>
      </w:r>
      <w:r w:rsidR="00363458" w:rsidRPr="0063170A">
        <w:rPr>
          <w:rFonts w:asciiTheme="majorBidi" w:hAnsiTheme="majorBidi" w:cstheme="majorBidi"/>
          <w:sz w:val="24"/>
          <w:szCs w:val="24"/>
        </w:rPr>
        <w:t xml:space="preserve"> (N.S., 2022)</w:t>
      </w:r>
      <w:r w:rsidRPr="0063170A">
        <w:rPr>
          <w:rFonts w:asciiTheme="majorBidi" w:hAnsiTheme="majorBidi" w:cstheme="majorBidi"/>
          <w:sz w:val="24"/>
          <w:szCs w:val="24"/>
        </w:rPr>
        <w:t xml:space="preserve">.” </w:t>
      </w:r>
    </w:p>
    <w:p w14:paraId="2E2ABDAE" w14:textId="77777777" w:rsidR="006C479D" w:rsidRDefault="00ED492B" w:rsidP="00ED492B">
      <w:pPr>
        <w:widowControl w:val="0"/>
        <w:spacing w:after="0" w:line="480" w:lineRule="auto"/>
        <w:rPr>
          <w:rFonts w:asciiTheme="majorBidi" w:hAnsiTheme="majorBidi" w:cstheme="majorBidi"/>
          <w:i/>
          <w:iCs/>
          <w:sz w:val="24"/>
          <w:szCs w:val="24"/>
        </w:rPr>
      </w:pPr>
      <w:r w:rsidRPr="003B5D34">
        <w:rPr>
          <w:rFonts w:asciiTheme="majorBidi" w:hAnsiTheme="majorBidi" w:cstheme="majorBidi"/>
          <w:sz w:val="24"/>
          <w:szCs w:val="24"/>
        </w:rPr>
        <w:t>Another subject said:</w:t>
      </w:r>
      <w:r>
        <w:rPr>
          <w:rFonts w:asciiTheme="majorBidi" w:hAnsiTheme="majorBidi" w:cstheme="majorBidi"/>
          <w:i/>
          <w:iCs/>
          <w:sz w:val="24"/>
          <w:szCs w:val="24"/>
        </w:rPr>
        <w:t xml:space="preserve"> </w:t>
      </w:r>
    </w:p>
    <w:p w14:paraId="1A8081B0" w14:textId="3879A7E5" w:rsidR="00ED492B" w:rsidRPr="003B5D34" w:rsidRDefault="00ED492B" w:rsidP="006C479D">
      <w:pPr>
        <w:widowControl w:val="0"/>
        <w:spacing w:line="240" w:lineRule="auto"/>
        <w:ind w:left="720"/>
        <w:rPr>
          <w:rFonts w:asciiTheme="majorBidi" w:hAnsiTheme="majorBidi" w:cstheme="majorBidi"/>
          <w:sz w:val="24"/>
          <w:szCs w:val="24"/>
        </w:rPr>
      </w:pPr>
      <w:r w:rsidRPr="00B75C28">
        <w:rPr>
          <w:rFonts w:asciiTheme="majorBidi" w:hAnsiTheme="majorBidi" w:cstheme="majorBidi"/>
          <w:sz w:val="24"/>
          <w:szCs w:val="24"/>
        </w:rPr>
        <w:t>“</w:t>
      </w:r>
      <w:r w:rsidRPr="006C479D">
        <w:rPr>
          <w:rFonts w:asciiTheme="majorBidi" w:hAnsiTheme="majorBidi" w:cstheme="majorBidi"/>
          <w:i/>
          <w:iCs/>
          <w:sz w:val="24"/>
          <w:szCs w:val="24"/>
        </w:rPr>
        <w:t>I will definitely try it. But, the quality has to be at least satisfactory to me to buy it again and again</w:t>
      </w:r>
      <w:r w:rsidR="00B75C28" w:rsidRPr="00B75C28">
        <w:rPr>
          <w:rFonts w:asciiTheme="majorBidi" w:hAnsiTheme="majorBidi" w:cstheme="majorBidi"/>
          <w:sz w:val="24"/>
          <w:szCs w:val="24"/>
        </w:rPr>
        <w:t xml:space="preserve"> (A.Z., 2022)</w:t>
      </w:r>
      <w:r w:rsidRPr="00B75C28">
        <w:rPr>
          <w:rFonts w:asciiTheme="majorBidi" w:hAnsiTheme="majorBidi" w:cstheme="majorBidi"/>
          <w:sz w:val="24"/>
          <w:szCs w:val="24"/>
        </w:rPr>
        <w:t>.”</w:t>
      </w:r>
    </w:p>
    <w:p w14:paraId="44D5C213" w14:textId="77777777" w:rsidR="006C479D" w:rsidRDefault="00ED492B" w:rsidP="00B42B66">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On the other hand, there were three interviewees who mentioned that the CSR ad would not make them want to buy the product if it’s a new or unknown product. One of these respondents said: </w:t>
      </w:r>
    </w:p>
    <w:p w14:paraId="5C1F204D" w14:textId="77777777" w:rsidR="006C479D" w:rsidRDefault="00B42B66" w:rsidP="006C479D">
      <w:pPr>
        <w:widowControl w:val="0"/>
        <w:spacing w:line="240" w:lineRule="auto"/>
        <w:ind w:left="720"/>
        <w:rPr>
          <w:rFonts w:asciiTheme="majorBidi" w:hAnsiTheme="majorBidi" w:cstheme="majorBidi"/>
          <w:sz w:val="24"/>
          <w:szCs w:val="24"/>
        </w:rPr>
      </w:pPr>
      <w:r w:rsidRPr="00B42B66">
        <w:rPr>
          <w:rFonts w:asciiTheme="majorBidi" w:hAnsiTheme="majorBidi" w:cstheme="majorBidi"/>
          <w:sz w:val="24"/>
          <w:szCs w:val="24"/>
        </w:rPr>
        <w:t>“</w:t>
      </w:r>
      <w:r w:rsidRPr="006C479D">
        <w:rPr>
          <w:rFonts w:asciiTheme="majorBidi" w:hAnsiTheme="majorBidi" w:cstheme="majorBidi"/>
          <w:i/>
          <w:iCs/>
          <w:sz w:val="24"/>
          <w:szCs w:val="24"/>
        </w:rPr>
        <w:t>I</w:t>
      </w:r>
      <w:r w:rsidR="00ED492B" w:rsidRPr="006C479D">
        <w:rPr>
          <w:rFonts w:asciiTheme="majorBidi" w:hAnsiTheme="majorBidi" w:cstheme="majorBidi"/>
          <w:i/>
          <w:iCs/>
          <w:sz w:val="24"/>
          <w:szCs w:val="24"/>
        </w:rPr>
        <w:t>t depends. At the end of the day, I am buying the product to benefit my needs. I still need to hear reviews from people that they tried it and liked it. But, out of nowhere maybe not</w:t>
      </w:r>
      <w:r w:rsidR="00B75C28" w:rsidRPr="00B75C28">
        <w:rPr>
          <w:rFonts w:asciiTheme="majorBidi" w:hAnsiTheme="majorBidi" w:cstheme="majorBidi"/>
          <w:sz w:val="24"/>
          <w:szCs w:val="24"/>
        </w:rPr>
        <w:t xml:space="preserve"> (N.N., 2022)</w:t>
      </w:r>
      <w:r w:rsidR="00ED492B" w:rsidRPr="00B75C28">
        <w:rPr>
          <w:rFonts w:asciiTheme="majorBidi" w:hAnsiTheme="majorBidi" w:cstheme="majorBidi"/>
          <w:sz w:val="24"/>
          <w:szCs w:val="24"/>
        </w:rPr>
        <w:t xml:space="preserve">.” </w:t>
      </w:r>
    </w:p>
    <w:p w14:paraId="4245832A" w14:textId="77777777" w:rsidR="006C479D" w:rsidRDefault="00ED492B" w:rsidP="006C479D">
      <w:pPr>
        <w:widowControl w:val="0"/>
        <w:spacing w:after="0" w:line="480" w:lineRule="auto"/>
        <w:ind w:firstLine="720"/>
        <w:rPr>
          <w:rFonts w:asciiTheme="majorBidi" w:hAnsiTheme="majorBidi" w:cstheme="majorBidi"/>
          <w:i/>
          <w:iCs/>
          <w:sz w:val="24"/>
          <w:szCs w:val="24"/>
        </w:rPr>
      </w:pPr>
      <w:r w:rsidRPr="004E1C8E">
        <w:rPr>
          <w:rFonts w:asciiTheme="majorBidi" w:hAnsiTheme="majorBidi" w:cstheme="majorBidi"/>
          <w:sz w:val="24"/>
          <w:szCs w:val="24"/>
        </w:rPr>
        <w:t>Another respondent said:</w:t>
      </w:r>
      <w:r>
        <w:rPr>
          <w:rFonts w:asciiTheme="majorBidi" w:hAnsiTheme="majorBidi" w:cstheme="majorBidi"/>
          <w:i/>
          <w:iCs/>
          <w:sz w:val="24"/>
          <w:szCs w:val="24"/>
        </w:rPr>
        <w:t xml:space="preserve"> </w:t>
      </w:r>
    </w:p>
    <w:p w14:paraId="4EFBF489" w14:textId="31270DB4" w:rsidR="00ED492B" w:rsidRPr="004E1C8E" w:rsidRDefault="00ED492B" w:rsidP="006C479D">
      <w:pPr>
        <w:widowControl w:val="0"/>
        <w:spacing w:after="0" w:line="480" w:lineRule="auto"/>
        <w:ind w:firstLine="720"/>
        <w:rPr>
          <w:rFonts w:asciiTheme="majorBidi" w:hAnsiTheme="majorBidi" w:cstheme="majorBidi"/>
          <w:sz w:val="24"/>
          <w:szCs w:val="24"/>
        </w:rPr>
      </w:pPr>
      <w:r w:rsidRPr="00B75C28">
        <w:rPr>
          <w:rFonts w:asciiTheme="majorBidi" w:hAnsiTheme="majorBidi" w:cstheme="majorBidi"/>
          <w:sz w:val="24"/>
          <w:szCs w:val="24"/>
        </w:rPr>
        <w:t>“</w:t>
      </w:r>
      <w:r w:rsidRPr="006C479D">
        <w:rPr>
          <w:rFonts w:asciiTheme="majorBidi" w:hAnsiTheme="majorBidi" w:cstheme="majorBidi"/>
          <w:i/>
          <w:iCs/>
          <w:sz w:val="24"/>
          <w:szCs w:val="24"/>
        </w:rPr>
        <w:t>No, I prefer to see ads that talk about the functions of the product</w:t>
      </w:r>
      <w:r w:rsidR="00B75C28" w:rsidRPr="00B75C28">
        <w:rPr>
          <w:rFonts w:asciiTheme="majorBidi" w:hAnsiTheme="majorBidi" w:cstheme="majorBidi"/>
          <w:sz w:val="24"/>
          <w:szCs w:val="24"/>
        </w:rPr>
        <w:t xml:space="preserve"> (L.O., 2022)</w:t>
      </w:r>
      <w:r w:rsidRPr="00B75C28">
        <w:rPr>
          <w:rFonts w:asciiTheme="majorBidi" w:hAnsiTheme="majorBidi" w:cstheme="majorBidi"/>
          <w:sz w:val="24"/>
          <w:szCs w:val="24"/>
        </w:rPr>
        <w:t>.”</w:t>
      </w:r>
    </w:p>
    <w:p w14:paraId="32E0FD11" w14:textId="62461DAC" w:rsidR="00ED492B" w:rsidRPr="002A160E" w:rsidRDefault="00ED492B" w:rsidP="00ED492B">
      <w:pPr>
        <w:widowControl w:val="0"/>
        <w:spacing w:line="480" w:lineRule="auto"/>
        <w:rPr>
          <w:rFonts w:asciiTheme="majorBidi" w:hAnsiTheme="majorBidi" w:cstheme="majorBidi"/>
          <w:sz w:val="24"/>
          <w:szCs w:val="24"/>
        </w:rPr>
      </w:pPr>
      <w:r>
        <w:rPr>
          <w:rFonts w:asciiTheme="majorBidi" w:hAnsiTheme="majorBidi" w:cstheme="majorBidi"/>
          <w:sz w:val="24"/>
          <w:szCs w:val="24"/>
        </w:rPr>
        <w:tab/>
        <w:t>Yet, it is obvious that CSR has a positive effect on product trial even if it</w:t>
      </w:r>
      <w:r w:rsidR="00B42B66">
        <w:rPr>
          <w:rFonts w:asciiTheme="majorBidi" w:hAnsiTheme="majorBidi" w:cstheme="majorBidi"/>
          <w:sz w:val="24"/>
          <w:szCs w:val="24"/>
        </w:rPr>
        <w:t xml:space="preserve"> i</w:t>
      </w:r>
      <w:r>
        <w:rPr>
          <w:rFonts w:asciiTheme="majorBidi" w:hAnsiTheme="majorBidi" w:cstheme="majorBidi"/>
          <w:sz w:val="24"/>
          <w:szCs w:val="24"/>
        </w:rPr>
        <w:t xml:space="preserve">s not a well-known brand. Nevertheless, if the campaign is launched by a famous brand, the impact of the campaign on brand attitudes and purchase intention will be stronger.  </w:t>
      </w:r>
    </w:p>
    <w:p w14:paraId="7C595215" w14:textId="4826F7BD" w:rsidR="00ED492B" w:rsidRPr="00DD0D8E" w:rsidRDefault="00ED492B" w:rsidP="00ED492B">
      <w:pPr>
        <w:widowControl w:val="0"/>
        <w:rPr>
          <w:rFonts w:asciiTheme="majorBidi" w:hAnsiTheme="majorBidi" w:cstheme="majorBidi"/>
          <w:b/>
          <w:bCs/>
          <w:sz w:val="24"/>
          <w:szCs w:val="24"/>
        </w:rPr>
      </w:pPr>
      <w:r>
        <w:rPr>
          <w:rFonts w:asciiTheme="majorBidi" w:hAnsiTheme="majorBidi" w:cstheme="majorBidi"/>
          <w:b/>
          <w:bCs/>
          <w:sz w:val="24"/>
          <w:szCs w:val="24"/>
        </w:rPr>
        <w:t>7.</w:t>
      </w:r>
      <w:r w:rsidR="008900D7">
        <w:rPr>
          <w:rFonts w:asciiTheme="majorBidi" w:hAnsiTheme="majorBidi" w:cstheme="majorBidi"/>
          <w:b/>
          <w:bCs/>
          <w:sz w:val="24"/>
          <w:szCs w:val="24"/>
        </w:rPr>
        <w:t>3</w:t>
      </w:r>
      <w:r>
        <w:rPr>
          <w:rFonts w:asciiTheme="majorBidi" w:hAnsiTheme="majorBidi" w:cstheme="majorBidi"/>
          <w:b/>
          <w:bCs/>
          <w:sz w:val="24"/>
          <w:szCs w:val="24"/>
        </w:rPr>
        <w:t xml:space="preserve">.11.3 </w:t>
      </w:r>
      <w:r w:rsidRPr="00DD0D8E">
        <w:rPr>
          <w:rFonts w:asciiTheme="majorBidi" w:hAnsiTheme="majorBidi" w:cstheme="majorBidi"/>
          <w:b/>
          <w:bCs/>
          <w:sz w:val="24"/>
          <w:szCs w:val="24"/>
        </w:rPr>
        <w:t xml:space="preserve">Purchase intention of non-CSR ad </w:t>
      </w:r>
    </w:p>
    <w:p w14:paraId="27BF89E2" w14:textId="475011E0" w:rsidR="009C7603"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This theme evolved based on the answers of the interviewees after watching the non-CSR Dettol ad. Majority of the responses pointed that it is unlikely that people will buy the Dettol based solely on the non-CSR ad. When the purchase intention was asked, one subject said:</w:t>
      </w:r>
    </w:p>
    <w:p w14:paraId="3CA4B4B3" w14:textId="77777777" w:rsidR="009C7603" w:rsidRPr="009C7603" w:rsidRDefault="00ED492B" w:rsidP="009C7603">
      <w:pPr>
        <w:widowControl w:val="0"/>
        <w:spacing w:after="0" w:line="240" w:lineRule="auto"/>
        <w:ind w:left="720"/>
        <w:rPr>
          <w:rFonts w:asciiTheme="majorBidi" w:hAnsiTheme="majorBidi" w:cstheme="majorBidi"/>
          <w:sz w:val="24"/>
          <w:szCs w:val="24"/>
        </w:rPr>
      </w:pPr>
      <w:r w:rsidRPr="009C7603">
        <w:rPr>
          <w:rFonts w:asciiTheme="majorBidi" w:hAnsiTheme="majorBidi" w:cstheme="majorBidi"/>
          <w:i/>
          <w:iCs/>
          <w:sz w:val="24"/>
          <w:szCs w:val="24"/>
        </w:rPr>
        <w:t>“I don’t think so. For me, Dettol will be just like any of its competing ads. I might still buy Dettol, but not because of the ad</w:t>
      </w:r>
      <w:r w:rsidR="00B75C28" w:rsidRPr="009C7603">
        <w:rPr>
          <w:rFonts w:asciiTheme="majorBidi" w:hAnsiTheme="majorBidi" w:cstheme="majorBidi"/>
          <w:sz w:val="24"/>
          <w:szCs w:val="24"/>
        </w:rPr>
        <w:t xml:space="preserve"> (S.O., 2022)</w:t>
      </w:r>
      <w:r w:rsidRPr="009C7603">
        <w:rPr>
          <w:rFonts w:asciiTheme="majorBidi" w:hAnsiTheme="majorBidi" w:cstheme="majorBidi"/>
          <w:sz w:val="24"/>
          <w:szCs w:val="24"/>
        </w:rPr>
        <w:t xml:space="preserve">” </w:t>
      </w:r>
    </w:p>
    <w:p w14:paraId="5F351C3B" w14:textId="77777777" w:rsidR="009C7603" w:rsidRDefault="00ED492B" w:rsidP="00ED492B">
      <w:pPr>
        <w:widowControl w:val="0"/>
        <w:spacing w:after="0" w:line="480" w:lineRule="auto"/>
        <w:rPr>
          <w:rFonts w:asciiTheme="majorBidi" w:hAnsiTheme="majorBidi" w:cstheme="majorBidi"/>
          <w:sz w:val="24"/>
          <w:szCs w:val="24"/>
        </w:rPr>
      </w:pPr>
      <w:r w:rsidRPr="004E1C8E">
        <w:rPr>
          <w:rFonts w:asciiTheme="majorBidi" w:hAnsiTheme="majorBidi" w:cstheme="majorBidi"/>
          <w:sz w:val="24"/>
          <w:szCs w:val="24"/>
        </w:rPr>
        <w:t xml:space="preserve">and another subject said: </w:t>
      </w:r>
    </w:p>
    <w:p w14:paraId="09AEF8D4" w14:textId="15B516B7" w:rsidR="00ED492B" w:rsidRPr="004E1C8E" w:rsidRDefault="00ED492B" w:rsidP="009C7603">
      <w:pPr>
        <w:widowControl w:val="0"/>
        <w:spacing w:line="240" w:lineRule="auto"/>
        <w:ind w:left="720"/>
        <w:rPr>
          <w:rFonts w:asciiTheme="majorBidi" w:hAnsiTheme="majorBidi" w:cstheme="majorBidi"/>
          <w:sz w:val="24"/>
          <w:szCs w:val="24"/>
        </w:rPr>
      </w:pPr>
      <w:r w:rsidRPr="00B75C28">
        <w:rPr>
          <w:rFonts w:asciiTheme="majorBidi" w:hAnsiTheme="majorBidi" w:cstheme="majorBidi"/>
          <w:sz w:val="24"/>
          <w:szCs w:val="24"/>
        </w:rPr>
        <w:t>“</w:t>
      </w:r>
      <w:r w:rsidRPr="009C7603">
        <w:rPr>
          <w:rFonts w:asciiTheme="majorBidi" w:hAnsiTheme="majorBidi" w:cstheme="majorBidi"/>
          <w:i/>
          <w:iCs/>
          <w:sz w:val="24"/>
          <w:szCs w:val="24"/>
        </w:rPr>
        <w:t>no. It might make me consider other local products and prices because now they all say the same thing</w:t>
      </w:r>
      <w:r w:rsidR="00B75C28" w:rsidRPr="009C7603">
        <w:rPr>
          <w:rFonts w:asciiTheme="majorBidi" w:hAnsiTheme="majorBidi" w:cstheme="majorBidi"/>
          <w:i/>
          <w:iCs/>
          <w:sz w:val="24"/>
          <w:szCs w:val="24"/>
        </w:rPr>
        <w:t xml:space="preserve"> </w:t>
      </w:r>
      <w:r w:rsidR="00B75C28" w:rsidRPr="00B75C28">
        <w:rPr>
          <w:rFonts w:asciiTheme="majorBidi" w:hAnsiTheme="majorBidi" w:cstheme="majorBidi"/>
          <w:sz w:val="24"/>
          <w:szCs w:val="24"/>
        </w:rPr>
        <w:t>(B.M., 2022)</w:t>
      </w:r>
      <w:r w:rsidRPr="00B75C28">
        <w:rPr>
          <w:rFonts w:asciiTheme="majorBidi" w:hAnsiTheme="majorBidi" w:cstheme="majorBidi"/>
          <w:sz w:val="24"/>
          <w:szCs w:val="24"/>
        </w:rPr>
        <w:t>.”</w:t>
      </w:r>
    </w:p>
    <w:p w14:paraId="612E9EDC" w14:textId="24CD67C3" w:rsidR="00ED492B" w:rsidRDefault="00ED492B" w:rsidP="006A797D">
      <w:pPr>
        <w:widowControl w:val="0"/>
        <w:spacing w:line="480" w:lineRule="auto"/>
        <w:rPr>
          <w:rFonts w:asciiTheme="majorBidi" w:hAnsiTheme="majorBidi" w:cstheme="majorBidi"/>
          <w:sz w:val="24"/>
          <w:szCs w:val="24"/>
        </w:rPr>
      </w:pPr>
      <w:r>
        <w:rPr>
          <w:rFonts w:asciiTheme="majorBidi" w:hAnsiTheme="majorBidi" w:cstheme="majorBidi"/>
          <w:sz w:val="24"/>
          <w:szCs w:val="24"/>
        </w:rPr>
        <w:tab/>
        <w:t xml:space="preserve">Most </w:t>
      </w:r>
      <w:r w:rsidR="00C4373A">
        <w:rPr>
          <w:rFonts w:asciiTheme="majorBidi" w:hAnsiTheme="majorBidi" w:cstheme="majorBidi"/>
          <w:sz w:val="24"/>
          <w:szCs w:val="24"/>
        </w:rPr>
        <w:t>participants</w:t>
      </w:r>
      <w:r>
        <w:rPr>
          <w:rFonts w:asciiTheme="majorBidi" w:hAnsiTheme="majorBidi" w:cstheme="majorBidi"/>
          <w:sz w:val="24"/>
          <w:szCs w:val="24"/>
        </w:rPr>
        <w:t xml:space="preserve"> found that the non-CSR ad was like any other ad and it will make them view the product like any other product in the same category. </w:t>
      </w:r>
      <w:r w:rsidR="00C4373A">
        <w:rPr>
          <w:rFonts w:asciiTheme="majorBidi" w:hAnsiTheme="majorBidi" w:cstheme="majorBidi"/>
          <w:sz w:val="24"/>
          <w:szCs w:val="24"/>
        </w:rPr>
        <w:t>Participants</w:t>
      </w:r>
      <w:r>
        <w:rPr>
          <w:rFonts w:asciiTheme="majorBidi" w:hAnsiTheme="majorBidi" w:cstheme="majorBidi"/>
          <w:sz w:val="24"/>
          <w:szCs w:val="24"/>
        </w:rPr>
        <w:t xml:space="preserve"> mentioned that now they will consider other aspects in the purchase decision process such as price. However, after watching the CSR ad, there were some </w:t>
      </w:r>
      <w:r w:rsidR="00C4373A">
        <w:rPr>
          <w:rFonts w:asciiTheme="majorBidi" w:hAnsiTheme="majorBidi" w:cstheme="majorBidi"/>
          <w:sz w:val="24"/>
          <w:szCs w:val="24"/>
        </w:rPr>
        <w:t>participants</w:t>
      </w:r>
      <w:r>
        <w:rPr>
          <w:rFonts w:asciiTheme="majorBidi" w:hAnsiTheme="majorBidi" w:cstheme="majorBidi"/>
          <w:sz w:val="24"/>
          <w:szCs w:val="24"/>
        </w:rPr>
        <w:t xml:space="preserve"> who mentioned that they are willing to pay more to purchase Dettol so that they can indirectly contribute to the cause presented in the CSR stimulus. The table below compares between some of the participants’ answers after watching the CSR and after watching the non-CSR ad in terms of Price. </w:t>
      </w:r>
    </w:p>
    <w:tbl>
      <w:tblPr>
        <w:tblStyle w:val="TableGrid"/>
        <w:tblW w:w="0" w:type="auto"/>
        <w:tblInd w:w="421" w:type="dxa"/>
        <w:tblLook w:val="04A0" w:firstRow="1" w:lastRow="0" w:firstColumn="1" w:lastColumn="0" w:noHBand="0" w:noVBand="1"/>
      </w:tblPr>
      <w:tblGrid>
        <w:gridCol w:w="4087"/>
        <w:gridCol w:w="3851"/>
      </w:tblGrid>
      <w:tr w:rsidR="00ED492B" w:rsidRPr="0048342F" w14:paraId="5AC69D56" w14:textId="77777777" w:rsidTr="009673E4">
        <w:tc>
          <w:tcPr>
            <w:tcW w:w="4087" w:type="dxa"/>
          </w:tcPr>
          <w:p w14:paraId="549154FB" w14:textId="77777777" w:rsidR="00ED492B" w:rsidRPr="0048342F" w:rsidRDefault="00ED492B" w:rsidP="008D0DBB">
            <w:pPr>
              <w:widowControl w:val="0"/>
              <w:rPr>
                <w:rFonts w:asciiTheme="majorBidi" w:hAnsiTheme="majorBidi" w:cstheme="majorBidi"/>
                <w:sz w:val="20"/>
                <w:szCs w:val="20"/>
              </w:rPr>
            </w:pPr>
            <w:r w:rsidRPr="0048342F">
              <w:rPr>
                <w:rFonts w:asciiTheme="majorBidi" w:hAnsiTheme="majorBidi" w:cstheme="majorBidi"/>
                <w:sz w:val="20"/>
                <w:szCs w:val="20"/>
              </w:rPr>
              <w:t>After watching the CSR ad</w:t>
            </w:r>
          </w:p>
        </w:tc>
        <w:tc>
          <w:tcPr>
            <w:tcW w:w="3851" w:type="dxa"/>
          </w:tcPr>
          <w:p w14:paraId="66761313" w14:textId="77777777" w:rsidR="00ED492B" w:rsidRPr="0048342F" w:rsidRDefault="00ED492B" w:rsidP="008D0DBB">
            <w:pPr>
              <w:widowControl w:val="0"/>
              <w:rPr>
                <w:rFonts w:asciiTheme="majorBidi" w:hAnsiTheme="majorBidi" w:cstheme="majorBidi"/>
                <w:sz w:val="20"/>
                <w:szCs w:val="20"/>
              </w:rPr>
            </w:pPr>
            <w:r w:rsidRPr="0048342F">
              <w:rPr>
                <w:rFonts w:asciiTheme="majorBidi" w:hAnsiTheme="majorBidi" w:cstheme="majorBidi"/>
                <w:sz w:val="20"/>
                <w:szCs w:val="20"/>
              </w:rPr>
              <w:t xml:space="preserve">After watching the non-CSR ad </w:t>
            </w:r>
          </w:p>
        </w:tc>
      </w:tr>
      <w:tr w:rsidR="00ED492B" w:rsidRPr="0048342F" w14:paraId="0213B60C" w14:textId="77777777" w:rsidTr="009673E4">
        <w:tc>
          <w:tcPr>
            <w:tcW w:w="4087" w:type="dxa"/>
          </w:tcPr>
          <w:p w14:paraId="108ED97E" w14:textId="3C76D9DF" w:rsidR="00ED492B" w:rsidRPr="0048342F" w:rsidRDefault="00ED492B" w:rsidP="008D0DBB">
            <w:pPr>
              <w:widowControl w:val="0"/>
              <w:rPr>
                <w:rFonts w:asciiTheme="majorBidi" w:hAnsiTheme="majorBidi" w:cstheme="majorBidi"/>
                <w:sz w:val="20"/>
                <w:szCs w:val="20"/>
              </w:rPr>
            </w:pPr>
            <w:r w:rsidRPr="0048342F">
              <w:rPr>
                <w:rFonts w:asciiTheme="majorBidi" w:hAnsiTheme="majorBidi" w:cstheme="majorBidi"/>
                <w:sz w:val="20"/>
                <w:szCs w:val="20"/>
              </w:rPr>
              <w:t>“</w:t>
            </w:r>
            <w:r w:rsidRPr="009C7603">
              <w:rPr>
                <w:rFonts w:asciiTheme="majorBidi" w:hAnsiTheme="majorBidi" w:cstheme="majorBidi"/>
                <w:i/>
                <w:iCs/>
                <w:sz w:val="20"/>
                <w:szCs w:val="20"/>
              </w:rPr>
              <w:t>Of course I will</w:t>
            </w:r>
            <w:r w:rsidR="00B75C28" w:rsidRPr="009C7603">
              <w:rPr>
                <w:rFonts w:asciiTheme="majorBidi" w:hAnsiTheme="majorBidi" w:cstheme="majorBidi"/>
                <w:i/>
                <w:iCs/>
                <w:sz w:val="20"/>
                <w:szCs w:val="20"/>
              </w:rPr>
              <w:t>,</w:t>
            </w:r>
            <w:r w:rsidRPr="009C7603">
              <w:rPr>
                <w:rFonts w:asciiTheme="majorBidi" w:hAnsiTheme="majorBidi" w:cstheme="majorBidi"/>
                <w:i/>
                <w:iCs/>
                <w:sz w:val="20"/>
                <w:szCs w:val="20"/>
              </w:rPr>
              <w:t xml:space="preserve"> even if it’s a bit more expensive. I</w:t>
            </w:r>
            <w:r w:rsidR="00155C39" w:rsidRPr="009C7603">
              <w:rPr>
                <w:rFonts w:asciiTheme="majorBidi" w:hAnsiTheme="majorBidi" w:cstheme="majorBidi"/>
                <w:i/>
                <w:iCs/>
                <w:sz w:val="20"/>
                <w:szCs w:val="20"/>
              </w:rPr>
              <w:t>t</w:t>
            </w:r>
            <w:r w:rsidRPr="009C7603">
              <w:rPr>
                <w:rFonts w:asciiTheme="majorBidi" w:hAnsiTheme="majorBidi" w:cstheme="majorBidi"/>
                <w:i/>
                <w:iCs/>
                <w:sz w:val="20"/>
                <w:szCs w:val="20"/>
              </w:rPr>
              <w:t xml:space="preserve"> will be totally worth it for me</w:t>
            </w:r>
            <w:r w:rsidR="00B75C28" w:rsidRPr="0048342F">
              <w:rPr>
                <w:rFonts w:asciiTheme="majorBidi" w:hAnsiTheme="majorBidi" w:cstheme="majorBidi"/>
                <w:sz w:val="20"/>
                <w:szCs w:val="20"/>
              </w:rPr>
              <w:t xml:space="preserve"> (N.</w:t>
            </w:r>
            <w:r w:rsidR="00155C39" w:rsidRPr="0048342F">
              <w:rPr>
                <w:rFonts w:asciiTheme="majorBidi" w:hAnsiTheme="majorBidi" w:cstheme="majorBidi"/>
                <w:sz w:val="20"/>
                <w:szCs w:val="20"/>
              </w:rPr>
              <w:t>S</w:t>
            </w:r>
            <w:r w:rsidRPr="0048342F">
              <w:rPr>
                <w:rFonts w:asciiTheme="majorBidi" w:hAnsiTheme="majorBidi" w:cstheme="majorBidi"/>
                <w:sz w:val="20"/>
                <w:szCs w:val="20"/>
              </w:rPr>
              <w:t>.</w:t>
            </w:r>
            <w:r w:rsidR="00B75C28" w:rsidRPr="0048342F">
              <w:rPr>
                <w:rFonts w:asciiTheme="majorBidi" w:hAnsiTheme="majorBidi" w:cstheme="majorBidi"/>
                <w:sz w:val="20"/>
                <w:szCs w:val="20"/>
              </w:rPr>
              <w:t>, 2022)</w:t>
            </w:r>
            <w:r w:rsidRPr="0048342F">
              <w:rPr>
                <w:rFonts w:asciiTheme="majorBidi" w:hAnsiTheme="majorBidi" w:cstheme="majorBidi"/>
                <w:sz w:val="20"/>
                <w:szCs w:val="20"/>
              </w:rPr>
              <w:t>”</w:t>
            </w:r>
          </w:p>
        </w:tc>
        <w:tc>
          <w:tcPr>
            <w:tcW w:w="3851" w:type="dxa"/>
          </w:tcPr>
          <w:p w14:paraId="533A63CE" w14:textId="79CB2F02" w:rsidR="00ED492B" w:rsidRPr="0048342F" w:rsidRDefault="009C7603" w:rsidP="008D0DBB">
            <w:pPr>
              <w:widowControl w:val="0"/>
              <w:rPr>
                <w:rFonts w:asciiTheme="majorBidi" w:hAnsiTheme="majorBidi" w:cstheme="majorBidi"/>
                <w:sz w:val="20"/>
                <w:szCs w:val="20"/>
              </w:rPr>
            </w:pPr>
            <w:r>
              <w:rPr>
                <w:rFonts w:asciiTheme="majorBidi" w:hAnsiTheme="majorBidi" w:cstheme="majorBidi"/>
                <w:i/>
                <w:iCs/>
                <w:sz w:val="20"/>
                <w:szCs w:val="20"/>
              </w:rPr>
              <w:t>“</w:t>
            </w:r>
            <w:r w:rsidR="00ED492B" w:rsidRPr="009C7603">
              <w:rPr>
                <w:rFonts w:asciiTheme="majorBidi" w:hAnsiTheme="majorBidi" w:cstheme="majorBidi"/>
                <w:i/>
                <w:iCs/>
                <w:sz w:val="20"/>
                <w:szCs w:val="20"/>
              </w:rPr>
              <w:t>I might but I will still consider other factors like the price and so on</w:t>
            </w:r>
            <w:r w:rsidR="00ED492B" w:rsidRPr="0048342F">
              <w:rPr>
                <w:rFonts w:asciiTheme="majorBidi" w:hAnsiTheme="majorBidi" w:cstheme="majorBidi"/>
                <w:sz w:val="20"/>
                <w:szCs w:val="20"/>
              </w:rPr>
              <w:t xml:space="preserve"> </w:t>
            </w:r>
            <w:r w:rsidR="00155C39" w:rsidRPr="0048342F">
              <w:rPr>
                <w:rFonts w:asciiTheme="majorBidi" w:hAnsiTheme="majorBidi" w:cstheme="majorBidi"/>
                <w:sz w:val="20"/>
                <w:szCs w:val="20"/>
              </w:rPr>
              <w:t>(N.N, 2022).</w:t>
            </w:r>
            <w:r>
              <w:rPr>
                <w:rFonts w:asciiTheme="majorBidi" w:hAnsiTheme="majorBidi" w:cstheme="majorBidi"/>
                <w:sz w:val="20"/>
                <w:szCs w:val="20"/>
              </w:rPr>
              <w:t>”</w:t>
            </w:r>
          </w:p>
        </w:tc>
      </w:tr>
      <w:tr w:rsidR="00ED492B" w:rsidRPr="0048342F" w14:paraId="41BC8A38" w14:textId="77777777" w:rsidTr="009673E4">
        <w:tc>
          <w:tcPr>
            <w:tcW w:w="4087" w:type="dxa"/>
          </w:tcPr>
          <w:p w14:paraId="493BA687" w14:textId="30D6A4F3" w:rsidR="00ED492B" w:rsidRPr="0048342F" w:rsidRDefault="00ED492B" w:rsidP="008D0DBB">
            <w:pPr>
              <w:widowControl w:val="0"/>
              <w:rPr>
                <w:rFonts w:asciiTheme="majorBidi" w:hAnsiTheme="majorBidi" w:cstheme="majorBidi"/>
                <w:sz w:val="20"/>
                <w:szCs w:val="20"/>
              </w:rPr>
            </w:pPr>
            <w:r w:rsidRPr="0048342F">
              <w:rPr>
                <w:rFonts w:asciiTheme="majorBidi" w:hAnsiTheme="majorBidi" w:cstheme="majorBidi"/>
                <w:sz w:val="20"/>
                <w:szCs w:val="20"/>
              </w:rPr>
              <w:t>“</w:t>
            </w:r>
            <w:r w:rsidRPr="009C7603">
              <w:rPr>
                <w:rFonts w:asciiTheme="majorBidi" w:hAnsiTheme="majorBidi" w:cstheme="majorBidi"/>
                <w:i/>
                <w:iCs/>
                <w:sz w:val="20"/>
                <w:szCs w:val="20"/>
              </w:rPr>
              <w:t>I don’t have enough money to do such a huge activity, but I can contribute through the company. Even if this product is slightly more expensive than the rest but I can afford it, I will buy it to support this cause</w:t>
            </w:r>
            <w:r w:rsidR="00155C39" w:rsidRPr="0048342F">
              <w:rPr>
                <w:rFonts w:asciiTheme="majorBidi" w:hAnsiTheme="majorBidi" w:cstheme="majorBidi"/>
                <w:sz w:val="20"/>
                <w:szCs w:val="20"/>
              </w:rPr>
              <w:t xml:space="preserve"> (S.O, 2022)</w:t>
            </w:r>
            <w:r w:rsidRPr="0048342F">
              <w:rPr>
                <w:rFonts w:asciiTheme="majorBidi" w:hAnsiTheme="majorBidi" w:cstheme="majorBidi"/>
                <w:sz w:val="20"/>
                <w:szCs w:val="20"/>
              </w:rPr>
              <w:t>”</w:t>
            </w:r>
          </w:p>
        </w:tc>
        <w:tc>
          <w:tcPr>
            <w:tcW w:w="3851" w:type="dxa"/>
          </w:tcPr>
          <w:p w14:paraId="10705D6B" w14:textId="4AA02034" w:rsidR="00ED492B" w:rsidRPr="0048342F" w:rsidRDefault="009C7603" w:rsidP="008D0DBB">
            <w:pPr>
              <w:widowControl w:val="0"/>
              <w:rPr>
                <w:rFonts w:asciiTheme="majorBidi" w:hAnsiTheme="majorBidi" w:cstheme="majorBidi"/>
                <w:sz w:val="20"/>
                <w:szCs w:val="20"/>
              </w:rPr>
            </w:pPr>
            <w:r>
              <w:rPr>
                <w:rFonts w:asciiTheme="majorBidi" w:hAnsiTheme="majorBidi" w:cstheme="majorBidi"/>
                <w:sz w:val="20"/>
                <w:szCs w:val="20"/>
              </w:rPr>
              <w:t>“</w:t>
            </w:r>
            <w:r w:rsidR="00ED492B" w:rsidRPr="009C7603">
              <w:rPr>
                <w:rFonts w:asciiTheme="majorBidi" w:hAnsiTheme="majorBidi" w:cstheme="majorBidi"/>
                <w:i/>
                <w:iCs/>
                <w:sz w:val="20"/>
                <w:szCs w:val="20"/>
              </w:rPr>
              <w:t>No. It might make me consider other local products and prices because now they all say the same thing</w:t>
            </w:r>
            <w:r w:rsidR="00155C39" w:rsidRPr="0048342F">
              <w:rPr>
                <w:rFonts w:asciiTheme="majorBidi" w:hAnsiTheme="majorBidi" w:cstheme="majorBidi"/>
                <w:sz w:val="20"/>
                <w:szCs w:val="20"/>
              </w:rPr>
              <w:t xml:space="preserve"> (K.M.,2022)</w:t>
            </w:r>
            <w:r>
              <w:rPr>
                <w:rFonts w:asciiTheme="majorBidi" w:hAnsiTheme="majorBidi" w:cstheme="majorBidi"/>
                <w:sz w:val="20"/>
                <w:szCs w:val="20"/>
              </w:rPr>
              <w:t>”</w:t>
            </w:r>
          </w:p>
        </w:tc>
      </w:tr>
      <w:tr w:rsidR="00ED492B" w:rsidRPr="0048342F" w14:paraId="51C4BBAB" w14:textId="77777777" w:rsidTr="009673E4">
        <w:tc>
          <w:tcPr>
            <w:tcW w:w="4087" w:type="dxa"/>
          </w:tcPr>
          <w:p w14:paraId="790F5098" w14:textId="7E0D98C6" w:rsidR="00ED492B" w:rsidRPr="0048342F" w:rsidRDefault="00ED492B" w:rsidP="008D0DBB">
            <w:pPr>
              <w:widowControl w:val="0"/>
              <w:rPr>
                <w:rFonts w:asciiTheme="majorBidi" w:hAnsiTheme="majorBidi" w:cstheme="majorBidi"/>
                <w:sz w:val="20"/>
                <w:szCs w:val="20"/>
              </w:rPr>
            </w:pPr>
            <w:r w:rsidRPr="0048342F">
              <w:rPr>
                <w:rFonts w:asciiTheme="majorBidi" w:hAnsiTheme="majorBidi" w:cstheme="majorBidi"/>
                <w:sz w:val="20"/>
                <w:szCs w:val="20"/>
              </w:rPr>
              <w:t>“</w:t>
            </w:r>
            <w:r w:rsidRPr="009C7603">
              <w:rPr>
                <w:rFonts w:asciiTheme="majorBidi" w:hAnsiTheme="majorBidi" w:cstheme="majorBidi"/>
                <w:i/>
                <w:iCs/>
                <w:sz w:val="20"/>
                <w:szCs w:val="20"/>
              </w:rPr>
              <w:t>I will be willing to even pay more to buy these products; because I know that the money will go back to people</w:t>
            </w:r>
            <w:r w:rsidR="00155C39" w:rsidRPr="0048342F">
              <w:rPr>
                <w:rFonts w:asciiTheme="majorBidi" w:hAnsiTheme="majorBidi" w:cstheme="majorBidi"/>
                <w:sz w:val="20"/>
                <w:szCs w:val="20"/>
              </w:rPr>
              <w:t xml:space="preserve"> (A.Z., 2022)</w:t>
            </w:r>
            <w:r w:rsidRPr="0048342F">
              <w:rPr>
                <w:rFonts w:asciiTheme="majorBidi" w:hAnsiTheme="majorBidi" w:cstheme="majorBidi"/>
                <w:sz w:val="20"/>
                <w:szCs w:val="20"/>
              </w:rPr>
              <w:t>.”</w:t>
            </w:r>
          </w:p>
        </w:tc>
        <w:tc>
          <w:tcPr>
            <w:tcW w:w="3851" w:type="dxa"/>
          </w:tcPr>
          <w:p w14:paraId="5B93D7A5" w14:textId="42E26D27" w:rsidR="00ED492B" w:rsidRPr="0048342F" w:rsidRDefault="009C7603" w:rsidP="006A797D">
            <w:pPr>
              <w:keepNext/>
              <w:widowControl w:val="0"/>
              <w:rPr>
                <w:rFonts w:asciiTheme="majorBidi" w:hAnsiTheme="majorBidi" w:cstheme="majorBidi"/>
                <w:sz w:val="20"/>
                <w:szCs w:val="20"/>
              </w:rPr>
            </w:pPr>
            <w:r>
              <w:rPr>
                <w:rFonts w:asciiTheme="majorBidi" w:hAnsiTheme="majorBidi" w:cstheme="majorBidi"/>
                <w:sz w:val="20"/>
                <w:szCs w:val="20"/>
              </w:rPr>
              <w:t>“</w:t>
            </w:r>
            <w:r w:rsidR="00ED492B" w:rsidRPr="009C7603">
              <w:rPr>
                <w:rFonts w:asciiTheme="majorBidi" w:hAnsiTheme="majorBidi" w:cstheme="majorBidi"/>
                <w:i/>
                <w:iCs/>
                <w:sz w:val="20"/>
                <w:szCs w:val="20"/>
              </w:rPr>
              <w:t>Not necessarily. I will now look for the quality of the product, price, and other aspects but, I will not go buy because of this ad</w:t>
            </w:r>
            <w:r w:rsidR="00155C39" w:rsidRPr="0048342F">
              <w:rPr>
                <w:rFonts w:asciiTheme="majorBidi" w:hAnsiTheme="majorBidi" w:cstheme="majorBidi"/>
                <w:sz w:val="20"/>
                <w:szCs w:val="20"/>
              </w:rPr>
              <w:t xml:space="preserve"> (N.N, 2022)</w:t>
            </w:r>
            <w:r w:rsidR="00ED492B" w:rsidRPr="0048342F">
              <w:rPr>
                <w:rFonts w:asciiTheme="majorBidi" w:hAnsiTheme="majorBidi" w:cstheme="majorBidi"/>
                <w:sz w:val="20"/>
                <w:szCs w:val="20"/>
              </w:rPr>
              <w:t>.</w:t>
            </w:r>
            <w:r>
              <w:rPr>
                <w:rFonts w:asciiTheme="majorBidi" w:hAnsiTheme="majorBidi" w:cstheme="majorBidi"/>
                <w:sz w:val="20"/>
                <w:szCs w:val="20"/>
              </w:rPr>
              <w:t>”</w:t>
            </w:r>
          </w:p>
        </w:tc>
      </w:tr>
    </w:tbl>
    <w:p w14:paraId="03606A17" w14:textId="0D392116" w:rsidR="00ED492B" w:rsidRDefault="006A797D" w:rsidP="006A797D">
      <w:pPr>
        <w:pStyle w:val="Caption"/>
        <w:rPr>
          <w:rFonts w:asciiTheme="majorBidi" w:hAnsiTheme="majorBidi" w:cstheme="majorBidi"/>
          <w:sz w:val="24"/>
          <w:szCs w:val="24"/>
        </w:rPr>
      </w:pPr>
      <w:r>
        <w:t>Table 5</w:t>
      </w:r>
      <w:r w:rsidR="00C461D8">
        <w:t>7</w:t>
      </w:r>
      <w:r>
        <w:t xml:space="preserve"> summarises some of the </w:t>
      </w:r>
      <w:r w:rsidRPr="006A797D">
        <w:t>respondents’ views about purchase intentions in reference to price</w:t>
      </w:r>
    </w:p>
    <w:p w14:paraId="56BB037B" w14:textId="77777777" w:rsidR="009C7603" w:rsidRDefault="00ED492B" w:rsidP="00951A35">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There were some participants who mentioned they intended to purchase Dettol after watching the non-CSR ad. These </w:t>
      </w:r>
      <w:r w:rsidR="00C4373A">
        <w:rPr>
          <w:rFonts w:asciiTheme="majorBidi" w:hAnsiTheme="majorBidi" w:cstheme="majorBidi"/>
          <w:sz w:val="24"/>
          <w:szCs w:val="24"/>
        </w:rPr>
        <w:t>subjects</w:t>
      </w:r>
      <w:r>
        <w:rPr>
          <w:rFonts w:asciiTheme="majorBidi" w:hAnsiTheme="majorBidi" w:cstheme="majorBidi"/>
          <w:sz w:val="24"/>
          <w:szCs w:val="24"/>
        </w:rPr>
        <w:t xml:space="preserve"> were focused on the performance of Dettol as a cleaning and disinfecting product and they claimed, as indicated in previous themes, that this </w:t>
      </w:r>
      <w:r w:rsidR="008D0947">
        <w:rPr>
          <w:rFonts w:asciiTheme="majorBidi" w:hAnsiTheme="majorBidi" w:cstheme="majorBidi"/>
          <w:sz w:val="24"/>
          <w:szCs w:val="24"/>
        </w:rPr>
        <w:t xml:space="preserve">was </w:t>
      </w:r>
      <w:r>
        <w:rPr>
          <w:rFonts w:asciiTheme="majorBidi" w:hAnsiTheme="majorBidi" w:cstheme="majorBidi"/>
          <w:sz w:val="24"/>
          <w:szCs w:val="24"/>
        </w:rPr>
        <w:t xml:space="preserve">what they needed to see from the ad. One of these participants said: </w:t>
      </w:r>
    </w:p>
    <w:p w14:paraId="0381EF1A" w14:textId="77777777" w:rsidR="009C7603" w:rsidRDefault="00ED492B" w:rsidP="009C7603">
      <w:pPr>
        <w:widowControl w:val="0"/>
        <w:spacing w:after="0" w:line="480" w:lineRule="auto"/>
        <w:ind w:left="720"/>
        <w:rPr>
          <w:rFonts w:asciiTheme="majorBidi" w:hAnsiTheme="majorBidi" w:cstheme="majorBidi"/>
          <w:sz w:val="24"/>
          <w:szCs w:val="24"/>
        </w:rPr>
      </w:pPr>
      <w:r w:rsidRPr="00155C39">
        <w:rPr>
          <w:rFonts w:asciiTheme="majorBidi" w:hAnsiTheme="majorBidi" w:cstheme="majorBidi"/>
          <w:sz w:val="24"/>
          <w:szCs w:val="24"/>
        </w:rPr>
        <w:t>“</w:t>
      </w:r>
      <w:r w:rsidRPr="009C7603">
        <w:rPr>
          <w:rFonts w:asciiTheme="majorBidi" w:hAnsiTheme="majorBidi" w:cstheme="majorBidi"/>
          <w:i/>
          <w:iCs/>
          <w:sz w:val="24"/>
          <w:szCs w:val="24"/>
        </w:rPr>
        <w:t>yes, I will buy the product because it ensures that everything about the product is clear</w:t>
      </w:r>
      <w:r w:rsidR="00155C39" w:rsidRPr="00155C39">
        <w:rPr>
          <w:rFonts w:asciiTheme="majorBidi" w:hAnsiTheme="majorBidi" w:cstheme="majorBidi"/>
          <w:sz w:val="24"/>
          <w:szCs w:val="24"/>
        </w:rPr>
        <w:t xml:space="preserve"> (R.G., 2022)</w:t>
      </w:r>
      <w:r w:rsidRPr="00155C39">
        <w:rPr>
          <w:rFonts w:asciiTheme="majorBidi" w:hAnsiTheme="majorBidi" w:cstheme="majorBidi"/>
          <w:sz w:val="24"/>
          <w:szCs w:val="24"/>
        </w:rPr>
        <w:t xml:space="preserve">.” </w:t>
      </w:r>
    </w:p>
    <w:p w14:paraId="24D2951A" w14:textId="5F816EBB" w:rsidR="00ED492B" w:rsidRPr="00EA78D8" w:rsidRDefault="00ED492B" w:rsidP="00951A35">
      <w:pPr>
        <w:widowControl w:val="0"/>
        <w:spacing w:after="0" w:line="480" w:lineRule="auto"/>
        <w:rPr>
          <w:rFonts w:asciiTheme="majorBidi" w:hAnsiTheme="majorBidi" w:cstheme="majorBidi"/>
          <w:sz w:val="24"/>
          <w:szCs w:val="24"/>
        </w:rPr>
      </w:pPr>
      <w:r w:rsidRPr="00EA78D8">
        <w:rPr>
          <w:rFonts w:asciiTheme="majorBidi" w:hAnsiTheme="majorBidi" w:cstheme="majorBidi"/>
          <w:sz w:val="24"/>
          <w:szCs w:val="24"/>
        </w:rPr>
        <w:t xml:space="preserve">Another participant said: </w:t>
      </w:r>
    </w:p>
    <w:p w14:paraId="3DAEC862" w14:textId="5A2F4D60" w:rsidR="00ED492B" w:rsidRPr="00EA78D8" w:rsidRDefault="00ED492B" w:rsidP="00ED492B">
      <w:pPr>
        <w:widowControl w:val="0"/>
        <w:spacing w:after="0"/>
        <w:ind w:left="720"/>
        <w:rPr>
          <w:rFonts w:asciiTheme="majorBidi" w:hAnsiTheme="majorBidi" w:cstheme="majorBidi"/>
          <w:sz w:val="24"/>
          <w:szCs w:val="24"/>
        </w:rPr>
      </w:pPr>
      <w:r w:rsidRPr="009C7603">
        <w:rPr>
          <w:rFonts w:asciiTheme="majorBidi" w:hAnsiTheme="majorBidi" w:cstheme="majorBidi"/>
          <w:i/>
          <w:iCs/>
          <w:sz w:val="24"/>
          <w:szCs w:val="24"/>
        </w:rPr>
        <w:t>Yes, I will buy because my main purpose of buying Dettol is the quality of disinfection and cleaning. The first ad shows a great cause that I will like to see a lot but for me this is a bonus or addition to the functions of Dettol</w:t>
      </w:r>
      <w:r w:rsidR="00155C39">
        <w:rPr>
          <w:rFonts w:asciiTheme="majorBidi" w:hAnsiTheme="majorBidi" w:cstheme="majorBidi"/>
          <w:sz w:val="24"/>
          <w:szCs w:val="24"/>
        </w:rPr>
        <w:t xml:space="preserve"> (N.O.,2022)</w:t>
      </w:r>
      <w:r w:rsidRPr="00EA78D8">
        <w:rPr>
          <w:rFonts w:asciiTheme="majorBidi" w:hAnsiTheme="majorBidi" w:cstheme="majorBidi"/>
          <w:sz w:val="24"/>
          <w:szCs w:val="24"/>
        </w:rPr>
        <w:t>.</w:t>
      </w:r>
    </w:p>
    <w:p w14:paraId="754A2B72" w14:textId="77777777" w:rsidR="00ED492B" w:rsidRPr="00762728" w:rsidRDefault="00ED492B" w:rsidP="00ED492B">
      <w:pPr>
        <w:widowControl w:val="0"/>
        <w:spacing w:before="240" w:line="480" w:lineRule="auto"/>
        <w:rPr>
          <w:rFonts w:asciiTheme="majorBidi" w:hAnsiTheme="majorBidi" w:cstheme="majorBidi"/>
          <w:sz w:val="24"/>
          <w:szCs w:val="24"/>
        </w:rPr>
      </w:pPr>
      <w:r>
        <w:rPr>
          <w:rFonts w:asciiTheme="majorBidi" w:hAnsiTheme="majorBidi" w:cstheme="majorBidi"/>
          <w:sz w:val="24"/>
          <w:szCs w:val="24"/>
        </w:rPr>
        <w:t xml:space="preserve">Based on the findings from this theme, the CSR ad has a better influence on purchase intention for multiple reasons as discussed above. </w:t>
      </w:r>
    </w:p>
    <w:p w14:paraId="39719812" w14:textId="4AD1DCB0" w:rsidR="00ED492B" w:rsidRDefault="00ED492B" w:rsidP="00ED492B">
      <w:pPr>
        <w:widowControl w:val="0"/>
        <w:spacing w:after="120"/>
        <w:outlineLvl w:val="2"/>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.12 </w:t>
      </w:r>
      <w:r w:rsidRPr="00092083">
        <w:rPr>
          <w:rFonts w:asciiTheme="majorBidi" w:hAnsiTheme="majorBidi" w:cstheme="majorBidi"/>
          <w:b/>
          <w:bCs/>
          <w:color w:val="2E2E2E"/>
          <w:sz w:val="24"/>
          <w:szCs w:val="24"/>
        </w:rPr>
        <w:t>CSR strategy</w:t>
      </w:r>
    </w:p>
    <w:p w14:paraId="1B902A54" w14:textId="210C52E6" w:rsidR="00ED492B" w:rsidRPr="006A797D" w:rsidRDefault="00ED492B" w:rsidP="006A797D">
      <w:pPr>
        <w:widowControl w:val="0"/>
        <w:spacing w:after="120" w:line="480" w:lineRule="auto"/>
        <w:outlineLvl w:val="2"/>
        <w:rPr>
          <w:rFonts w:asciiTheme="majorBidi" w:hAnsiTheme="majorBidi" w:cstheme="majorBidi"/>
          <w:color w:val="2E2E2E"/>
          <w:sz w:val="24"/>
          <w:szCs w:val="24"/>
        </w:rPr>
      </w:pPr>
      <w:r>
        <w:rPr>
          <w:rFonts w:asciiTheme="majorBidi" w:hAnsiTheme="majorBidi" w:cstheme="majorBidi"/>
          <w:color w:val="2E2E2E"/>
          <w:sz w:val="24"/>
          <w:szCs w:val="24"/>
        </w:rPr>
        <w:tab/>
      </w:r>
      <w:r w:rsidRPr="00F7111F">
        <w:rPr>
          <w:rFonts w:asciiTheme="majorBidi" w:hAnsiTheme="majorBidi" w:cstheme="majorBidi"/>
          <w:color w:val="2E2E2E"/>
          <w:sz w:val="24"/>
          <w:szCs w:val="24"/>
        </w:rPr>
        <w:t xml:space="preserve">In this category, a </w:t>
      </w:r>
      <w:r w:rsidR="00B00154">
        <w:rPr>
          <w:rFonts w:asciiTheme="majorBidi" w:hAnsiTheme="majorBidi" w:cstheme="majorBidi"/>
          <w:color w:val="2E2E2E"/>
          <w:sz w:val="24"/>
          <w:szCs w:val="24"/>
        </w:rPr>
        <w:t>plenty</w:t>
      </w:r>
      <w:r w:rsidRPr="00F7111F">
        <w:rPr>
          <w:rFonts w:asciiTheme="majorBidi" w:hAnsiTheme="majorBidi" w:cstheme="majorBidi"/>
          <w:color w:val="2E2E2E"/>
          <w:sz w:val="24"/>
          <w:szCs w:val="24"/>
        </w:rPr>
        <w:t xml:space="preserve"> of CSR strategies </w:t>
      </w:r>
      <w:r w:rsidR="00B00154">
        <w:rPr>
          <w:rFonts w:asciiTheme="majorBidi" w:hAnsiTheme="majorBidi" w:cstheme="majorBidi"/>
          <w:color w:val="2E2E2E"/>
          <w:sz w:val="24"/>
          <w:szCs w:val="24"/>
        </w:rPr>
        <w:t>were</w:t>
      </w:r>
      <w:r w:rsidRPr="00F7111F">
        <w:rPr>
          <w:rFonts w:asciiTheme="majorBidi" w:hAnsiTheme="majorBidi" w:cstheme="majorBidi"/>
          <w:color w:val="2E2E2E"/>
          <w:sz w:val="24"/>
          <w:szCs w:val="24"/>
        </w:rPr>
        <w:t xml:space="preserve"> suggested </w:t>
      </w:r>
      <w:r w:rsidR="007E57A4">
        <w:rPr>
          <w:rFonts w:asciiTheme="majorBidi" w:hAnsiTheme="majorBidi" w:cstheme="majorBidi"/>
          <w:color w:val="2E2E2E"/>
          <w:sz w:val="24"/>
          <w:szCs w:val="24"/>
        </w:rPr>
        <w:t xml:space="preserve">by the respondents </w:t>
      </w:r>
      <w:r w:rsidRPr="00F7111F">
        <w:rPr>
          <w:rFonts w:asciiTheme="majorBidi" w:hAnsiTheme="majorBidi" w:cstheme="majorBidi"/>
          <w:color w:val="2E2E2E"/>
          <w:sz w:val="24"/>
          <w:szCs w:val="24"/>
        </w:rPr>
        <w:t xml:space="preserve">in the interview. </w:t>
      </w:r>
      <w:r>
        <w:rPr>
          <w:rFonts w:asciiTheme="majorBidi" w:hAnsiTheme="majorBidi" w:cstheme="majorBidi"/>
          <w:color w:val="2E2E2E"/>
          <w:sz w:val="24"/>
          <w:szCs w:val="24"/>
        </w:rPr>
        <w:t>Some of the</w:t>
      </w:r>
      <w:r w:rsidRPr="00F7111F">
        <w:rPr>
          <w:rFonts w:asciiTheme="majorBidi" w:hAnsiTheme="majorBidi" w:cstheme="majorBidi"/>
          <w:color w:val="2E2E2E"/>
          <w:sz w:val="24"/>
          <w:szCs w:val="24"/>
        </w:rPr>
        <w:t xml:space="preserve"> commonly suggested strategies emphasised on the importance of sharing more information in the communication to increase credibility. </w:t>
      </w:r>
      <w:r>
        <w:rPr>
          <w:rFonts w:asciiTheme="majorBidi" w:hAnsiTheme="majorBidi" w:cstheme="majorBidi"/>
          <w:color w:val="2E2E2E"/>
          <w:sz w:val="24"/>
          <w:szCs w:val="24"/>
        </w:rPr>
        <w:t xml:space="preserve">Additionally, a few </w:t>
      </w:r>
      <w:r w:rsidR="00C4373A">
        <w:rPr>
          <w:rFonts w:asciiTheme="majorBidi" w:hAnsiTheme="majorBidi" w:cstheme="majorBidi"/>
          <w:color w:val="2E2E2E"/>
          <w:sz w:val="24"/>
          <w:szCs w:val="24"/>
        </w:rPr>
        <w:t>interviewees</w:t>
      </w:r>
      <w:r>
        <w:rPr>
          <w:rFonts w:asciiTheme="majorBidi" w:hAnsiTheme="majorBidi" w:cstheme="majorBidi"/>
          <w:color w:val="2E2E2E"/>
          <w:sz w:val="24"/>
          <w:szCs w:val="24"/>
        </w:rPr>
        <w:t xml:space="preserve"> suggested that the campaign should be highly valuable to society. Table </w:t>
      </w:r>
      <w:r w:rsidR="006A797D">
        <w:rPr>
          <w:rFonts w:asciiTheme="majorBidi" w:hAnsiTheme="majorBidi" w:cstheme="majorBidi"/>
          <w:color w:val="2E2E2E"/>
          <w:sz w:val="24"/>
          <w:szCs w:val="24"/>
        </w:rPr>
        <w:t>5</w:t>
      </w:r>
      <w:r w:rsidR="00C461D8">
        <w:rPr>
          <w:rFonts w:asciiTheme="majorBidi" w:hAnsiTheme="majorBidi" w:cstheme="majorBidi"/>
          <w:color w:val="2E2E2E"/>
          <w:sz w:val="24"/>
          <w:szCs w:val="24"/>
        </w:rPr>
        <w:t>8</w:t>
      </w:r>
      <w:r w:rsidR="006A797D">
        <w:rPr>
          <w:rFonts w:asciiTheme="majorBidi" w:hAnsiTheme="majorBidi" w:cstheme="majorBidi"/>
          <w:color w:val="2E2E2E"/>
          <w:sz w:val="24"/>
          <w:szCs w:val="24"/>
        </w:rPr>
        <w:t xml:space="preserve"> </w:t>
      </w:r>
      <w:r>
        <w:rPr>
          <w:rFonts w:asciiTheme="majorBidi" w:hAnsiTheme="majorBidi" w:cstheme="majorBidi"/>
          <w:color w:val="2E2E2E"/>
          <w:sz w:val="24"/>
          <w:szCs w:val="24"/>
        </w:rPr>
        <w:t xml:space="preserve">summarises the main strategies that emerged from the data. </w:t>
      </w:r>
    </w:p>
    <w:p w14:paraId="134C1F0A" w14:textId="77777777" w:rsidR="00511634" w:rsidRDefault="00511634">
      <w:r>
        <w:br w:type="page"/>
      </w:r>
    </w:p>
    <w:tbl>
      <w:tblPr>
        <w:tblStyle w:val="TableGrid"/>
        <w:tblW w:w="7796" w:type="dxa"/>
        <w:tblInd w:w="279" w:type="dxa"/>
        <w:tblLook w:val="04A0" w:firstRow="1" w:lastRow="0" w:firstColumn="1" w:lastColumn="0" w:noHBand="0" w:noVBand="1"/>
      </w:tblPr>
      <w:tblGrid>
        <w:gridCol w:w="1984"/>
        <w:gridCol w:w="2268"/>
        <w:gridCol w:w="3544"/>
      </w:tblGrid>
      <w:tr w:rsidR="00ED492B" w:rsidRPr="0048342F" w14:paraId="4BAE96A4" w14:textId="77777777" w:rsidTr="00635E3C">
        <w:tc>
          <w:tcPr>
            <w:tcW w:w="1984" w:type="dxa"/>
          </w:tcPr>
          <w:p w14:paraId="04B4A938" w14:textId="6003F7F3" w:rsidR="00ED492B" w:rsidRPr="0048342F" w:rsidRDefault="00ED492B" w:rsidP="0063170A">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Suggested Strategy </w:t>
            </w:r>
          </w:p>
        </w:tc>
        <w:tc>
          <w:tcPr>
            <w:tcW w:w="2268" w:type="dxa"/>
          </w:tcPr>
          <w:p w14:paraId="21CC6E83" w14:textId="77777777" w:rsidR="00ED492B" w:rsidRPr="0048342F" w:rsidRDefault="00ED492B" w:rsidP="0063170A">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Number of Respondents </w:t>
            </w:r>
          </w:p>
        </w:tc>
        <w:tc>
          <w:tcPr>
            <w:tcW w:w="3544" w:type="dxa"/>
          </w:tcPr>
          <w:p w14:paraId="3AB84EAA" w14:textId="77777777" w:rsidR="00ED492B" w:rsidRPr="0048342F" w:rsidRDefault="00ED492B" w:rsidP="0063170A">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Further comments </w:t>
            </w:r>
          </w:p>
        </w:tc>
      </w:tr>
      <w:tr w:rsidR="00ED492B" w:rsidRPr="0048342F" w14:paraId="44893478" w14:textId="77777777" w:rsidTr="00635E3C">
        <w:tc>
          <w:tcPr>
            <w:tcW w:w="1984" w:type="dxa"/>
          </w:tcPr>
          <w:p w14:paraId="03D5E4FA" w14:textId="77777777" w:rsidR="00ED492B" w:rsidRPr="0048342F" w:rsidRDefault="00ED492B" w:rsidP="0048342F">
            <w:pPr>
              <w:widowControl w:val="0"/>
              <w:outlineLvl w:val="2"/>
              <w:rPr>
                <w:rFonts w:asciiTheme="majorBidi" w:hAnsiTheme="majorBidi" w:cstheme="majorBidi"/>
                <w:b/>
                <w:bCs/>
                <w:color w:val="2E2E2E"/>
                <w:sz w:val="20"/>
                <w:szCs w:val="20"/>
              </w:rPr>
            </w:pPr>
            <w:r w:rsidRPr="0048342F">
              <w:rPr>
                <w:rFonts w:asciiTheme="majorBidi" w:hAnsiTheme="majorBidi" w:cstheme="majorBidi"/>
                <w:sz w:val="20"/>
                <w:szCs w:val="20"/>
              </w:rPr>
              <w:t xml:space="preserve">Share detailed information about the campaign </w:t>
            </w:r>
          </w:p>
        </w:tc>
        <w:tc>
          <w:tcPr>
            <w:tcW w:w="2268" w:type="dxa"/>
          </w:tcPr>
          <w:p w14:paraId="3FBE04AA" w14:textId="77777777" w:rsidR="00ED492B" w:rsidRPr="0048342F" w:rsidRDefault="00ED492B" w:rsidP="0048342F">
            <w:pPr>
              <w:widowControl w:val="0"/>
              <w:rPr>
                <w:rFonts w:asciiTheme="majorBidi" w:hAnsiTheme="majorBidi" w:cstheme="majorBidi"/>
                <w:sz w:val="20"/>
                <w:szCs w:val="20"/>
              </w:rPr>
            </w:pPr>
            <w:r w:rsidRPr="0048342F">
              <w:rPr>
                <w:rFonts w:asciiTheme="majorBidi" w:hAnsiTheme="majorBidi" w:cstheme="majorBidi"/>
                <w:sz w:val="20"/>
                <w:szCs w:val="20"/>
              </w:rPr>
              <w:t>12</w:t>
            </w:r>
          </w:p>
        </w:tc>
        <w:tc>
          <w:tcPr>
            <w:tcW w:w="3544" w:type="dxa"/>
          </w:tcPr>
          <w:p w14:paraId="77C5D049" w14:textId="34E36956" w:rsidR="00ED492B" w:rsidRPr="0048342F" w:rsidRDefault="00ED492B" w:rsidP="0048342F">
            <w:pPr>
              <w:widowControl w:val="0"/>
              <w:outlineLvl w:val="2"/>
              <w:rPr>
                <w:rFonts w:asciiTheme="majorBidi" w:hAnsiTheme="majorBidi" w:cstheme="majorBidi"/>
                <w:sz w:val="20"/>
                <w:szCs w:val="20"/>
              </w:rPr>
            </w:pPr>
            <w:r w:rsidRPr="0048342F">
              <w:rPr>
                <w:rFonts w:asciiTheme="majorBidi" w:hAnsiTheme="majorBidi" w:cstheme="majorBidi"/>
                <w:b/>
                <w:bCs/>
                <w:color w:val="2E2E2E"/>
                <w:sz w:val="20"/>
                <w:szCs w:val="20"/>
              </w:rPr>
              <w:t>“</w:t>
            </w:r>
            <w:r w:rsidRPr="0048342F">
              <w:rPr>
                <w:rFonts w:asciiTheme="majorBidi" w:hAnsiTheme="majorBidi" w:cstheme="majorBidi"/>
                <w:sz w:val="20"/>
                <w:szCs w:val="20"/>
              </w:rPr>
              <w:t xml:space="preserve">Information about the situation (number and specifications) and how exactly are they </w:t>
            </w:r>
            <w:r w:rsidR="00155C39" w:rsidRPr="0048342F">
              <w:rPr>
                <w:rFonts w:asciiTheme="majorBidi" w:hAnsiTheme="majorBidi" w:cstheme="majorBidi"/>
                <w:sz w:val="20"/>
                <w:szCs w:val="20"/>
              </w:rPr>
              <w:t>helping</w:t>
            </w:r>
            <w:r w:rsidR="0063170A" w:rsidRPr="0048342F">
              <w:rPr>
                <w:rFonts w:asciiTheme="majorBidi" w:hAnsiTheme="majorBidi" w:cstheme="majorBidi"/>
                <w:sz w:val="20"/>
                <w:szCs w:val="20"/>
              </w:rPr>
              <w:t xml:space="preserve"> (S.H., 2022)</w:t>
            </w:r>
            <w:r w:rsidR="00155C39" w:rsidRPr="0048342F">
              <w:rPr>
                <w:rFonts w:asciiTheme="majorBidi" w:hAnsiTheme="majorBidi" w:cstheme="majorBidi"/>
                <w:sz w:val="20"/>
                <w:szCs w:val="20"/>
              </w:rPr>
              <w:t>”</w:t>
            </w:r>
          </w:p>
          <w:p w14:paraId="7AD47B40" w14:textId="653123FB" w:rsidR="00ED492B" w:rsidRPr="0048342F" w:rsidRDefault="00ED492B" w:rsidP="0048342F">
            <w:pPr>
              <w:widowControl w:val="0"/>
              <w:outlineLvl w:val="2"/>
              <w:rPr>
                <w:rFonts w:asciiTheme="majorBidi" w:hAnsiTheme="majorBidi" w:cstheme="majorBidi"/>
                <w:i/>
                <w:iCs/>
                <w:sz w:val="20"/>
                <w:szCs w:val="20"/>
              </w:rPr>
            </w:pPr>
            <w:r w:rsidRPr="0048342F">
              <w:rPr>
                <w:rFonts w:asciiTheme="majorBidi" w:hAnsiTheme="majorBidi" w:cstheme="majorBidi"/>
                <w:sz w:val="20"/>
                <w:szCs w:val="20"/>
              </w:rPr>
              <w:t>“I will make the audience see the exact plan and show them in reality more specific information about the campaign</w:t>
            </w:r>
            <w:r w:rsidR="0063170A" w:rsidRPr="0048342F">
              <w:rPr>
                <w:rFonts w:asciiTheme="majorBidi" w:hAnsiTheme="majorBidi" w:cstheme="majorBidi"/>
                <w:sz w:val="20"/>
                <w:szCs w:val="20"/>
              </w:rPr>
              <w:t xml:space="preserve"> (N.N., 2022)</w:t>
            </w:r>
            <w:r w:rsidRPr="0048342F">
              <w:rPr>
                <w:rFonts w:asciiTheme="majorBidi" w:hAnsiTheme="majorBidi" w:cstheme="majorBidi"/>
                <w:sz w:val="20"/>
                <w:szCs w:val="20"/>
              </w:rPr>
              <w:t>.”</w:t>
            </w:r>
          </w:p>
        </w:tc>
      </w:tr>
      <w:tr w:rsidR="00ED492B" w:rsidRPr="0048342F" w14:paraId="04C1E720" w14:textId="77777777" w:rsidTr="00635E3C">
        <w:tc>
          <w:tcPr>
            <w:tcW w:w="1984" w:type="dxa"/>
          </w:tcPr>
          <w:p w14:paraId="5EAEC0ED"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Provides high value and benefit for people through the campaign </w:t>
            </w:r>
          </w:p>
        </w:tc>
        <w:tc>
          <w:tcPr>
            <w:tcW w:w="2268" w:type="dxa"/>
          </w:tcPr>
          <w:p w14:paraId="712C1C10"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4</w:t>
            </w:r>
          </w:p>
        </w:tc>
        <w:tc>
          <w:tcPr>
            <w:tcW w:w="3544" w:type="dxa"/>
          </w:tcPr>
          <w:p w14:paraId="443D7518" w14:textId="7C6279D6" w:rsidR="00ED492B" w:rsidRPr="0048342F" w:rsidRDefault="00ED492B" w:rsidP="0048342F">
            <w:pPr>
              <w:widowControl w:val="0"/>
              <w:outlineLvl w:val="2"/>
              <w:rPr>
                <w:rFonts w:asciiTheme="majorBidi" w:hAnsiTheme="majorBidi" w:cstheme="majorBidi"/>
                <w:b/>
                <w:bCs/>
                <w:color w:val="2E2E2E"/>
                <w:sz w:val="20"/>
                <w:szCs w:val="20"/>
              </w:rPr>
            </w:pPr>
            <w:r w:rsidRPr="0048342F">
              <w:rPr>
                <w:rFonts w:asciiTheme="majorBidi" w:hAnsiTheme="majorBidi" w:cstheme="majorBidi"/>
                <w:b/>
                <w:bCs/>
                <w:color w:val="2E2E2E"/>
                <w:sz w:val="20"/>
                <w:szCs w:val="20"/>
              </w:rPr>
              <w:t>“</w:t>
            </w:r>
            <w:r w:rsidRPr="0048342F">
              <w:rPr>
                <w:rFonts w:asciiTheme="majorBidi" w:hAnsiTheme="majorBidi" w:cstheme="majorBidi"/>
                <w:sz w:val="20"/>
                <w:szCs w:val="20"/>
              </w:rPr>
              <w:t>Its not about making donations, its about making a real change. A real development even if it’s a small number of people but it’s a real and valuable benefit</w:t>
            </w:r>
            <w:r w:rsidR="0063170A" w:rsidRPr="0048342F">
              <w:rPr>
                <w:rFonts w:asciiTheme="majorBidi" w:hAnsiTheme="majorBidi" w:cstheme="majorBidi"/>
                <w:sz w:val="20"/>
                <w:szCs w:val="20"/>
              </w:rPr>
              <w:t xml:space="preserve"> (S.O., 2022)</w:t>
            </w:r>
            <w:r w:rsidRPr="0048342F">
              <w:rPr>
                <w:rFonts w:asciiTheme="majorBidi" w:hAnsiTheme="majorBidi" w:cstheme="majorBidi"/>
                <w:sz w:val="20"/>
                <w:szCs w:val="20"/>
              </w:rPr>
              <w:t>”</w:t>
            </w:r>
          </w:p>
        </w:tc>
      </w:tr>
      <w:tr w:rsidR="00ED492B" w:rsidRPr="0048342F" w14:paraId="1BAA11ED" w14:textId="77777777" w:rsidTr="00635E3C">
        <w:tc>
          <w:tcPr>
            <w:tcW w:w="1984" w:type="dxa"/>
          </w:tcPr>
          <w:p w14:paraId="1DCC5C17"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Develop the ad to be catchy and cheerful </w:t>
            </w:r>
          </w:p>
        </w:tc>
        <w:tc>
          <w:tcPr>
            <w:tcW w:w="2268" w:type="dxa"/>
          </w:tcPr>
          <w:p w14:paraId="43F5B14D"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5</w:t>
            </w:r>
          </w:p>
        </w:tc>
        <w:tc>
          <w:tcPr>
            <w:tcW w:w="3544" w:type="dxa"/>
          </w:tcPr>
          <w:p w14:paraId="439FB3BC" w14:textId="16A071FF" w:rsidR="00ED492B" w:rsidRPr="0048342F" w:rsidRDefault="00ED492B" w:rsidP="0048342F">
            <w:pPr>
              <w:widowControl w:val="0"/>
              <w:outlineLvl w:val="2"/>
              <w:rPr>
                <w:rFonts w:asciiTheme="majorBidi" w:hAnsiTheme="majorBidi" w:cstheme="majorBidi"/>
                <w:sz w:val="20"/>
                <w:szCs w:val="20"/>
              </w:rPr>
            </w:pPr>
            <w:r w:rsidRPr="0048342F">
              <w:rPr>
                <w:rFonts w:asciiTheme="majorBidi" w:hAnsiTheme="majorBidi" w:cstheme="majorBidi"/>
                <w:b/>
                <w:bCs/>
                <w:color w:val="2E2E2E"/>
                <w:sz w:val="20"/>
                <w:szCs w:val="20"/>
              </w:rPr>
              <w:t>“</w:t>
            </w:r>
            <w:r w:rsidRPr="0048342F">
              <w:rPr>
                <w:rFonts w:asciiTheme="majorBidi" w:hAnsiTheme="majorBidi" w:cstheme="majorBidi"/>
                <w:sz w:val="20"/>
                <w:szCs w:val="20"/>
              </w:rPr>
              <w:t>The ad should be easy and catchy so I can remember it</w:t>
            </w:r>
            <w:r w:rsidR="0063170A" w:rsidRPr="0048342F">
              <w:rPr>
                <w:rFonts w:asciiTheme="majorBidi" w:hAnsiTheme="majorBidi" w:cstheme="majorBidi"/>
                <w:sz w:val="20"/>
                <w:szCs w:val="20"/>
              </w:rPr>
              <w:t xml:space="preserve"> (S.A., 2022)</w:t>
            </w:r>
            <w:r w:rsidRPr="0048342F">
              <w:rPr>
                <w:rFonts w:asciiTheme="majorBidi" w:hAnsiTheme="majorBidi" w:cstheme="majorBidi"/>
                <w:sz w:val="20"/>
                <w:szCs w:val="20"/>
              </w:rPr>
              <w:t>”</w:t>
            </w:r>
          </w:p>
          <w:p w14:paraId="60BF0830" w14:textId="302CA6AE" w:rsidR="00ED492B" w:rsidRPr="0048342F" w:rsidRDefault="00ED492B" w:rsidP="0048342F">
            <w:pPr>
              <w:widowControl w:val="0"/>
              <w:outlineLvl w:val="2"/>
              <w:rPr>
                <w:rFonts w:asciiTheme="majorBidi" w:hAnsiTheme="majorBidi" w:cstheme="majorBidi"/>
                <w:b/>
                <w:bCs/>
                <w:i/>
                <w:iCs/>
                <w:color w:val="2E2E2E"/>
                <w:sz w:val="20"/>
                <w:szCs w:val="20"/>
              </w:rPr>
            </w:pPr>
            <w:r w:rsidRPr="0048342F">
              <w:rPr>
                <w:rFonts w:asciiTheme="majorBidi" w:hAnsiTheme="majorBidi" w:cstheme="majorBidi"/>
                <w:b/>
                <w:bCs/>
                <w:color w:val="2E2E2E"/>
                <w:sz w:val="20"/>
                <w:szCs w:val="20"/>
              </w:rPr>
              <w:t>“</w:t>
            </w:r>
            <w:r w:rsidRPr="0048342F">
              <w:rPr>
                <w:rFonts w:asciiTheme="majorBidi" w:hAnsiTheme="majorBidi" w:cstheme="majorBidi"/>
                <w:sz w:val="20"/>
                <w:szCs w:val="20"/>
              </w:rPr>
              <w:t>Also, it has to be a nice ad to watch with nice music and so on</w:t>
            </w:r>
            <w:r w:rsidR="0063170A" w:rsidRPr="0048342F">
              <w:rPr>
                <w:rFonts w:asciiTheme="majorBidi" w:hAnsiTheme="majorBidi" w:cstheme="majorBidi"/>
                <w:sz w:val="20"/>
                <w:szCs w:val="20"/>
              </w:rPr>
              <w:t xml:space="preserve"> (L.O.,2022)</w:t>
            </w:r>
            <w:r w:rsidRPr="0048342F">
              <w:rPr>
                <w:rFonts w:asciiTheme="majorBidi" w:hAnsiTheme="majorBidi" w:cstheme="majorBidi"/>
                <w:sz w:val="20"/>
                <w:szCs w:val="20"/>
              </w:rPr>
              <w:t>”</w:t>
            </w:r>
          </w:p>
        </w:tc>
      </w:tr>
      <w:tr w:rsidR="00ED492B" w:rsidRPr="0048342F" w14:paraId="624D9295" w14:textId="77777777" w:rsidTr="00635E3C">
        <w:tc>
          <w:tcPr>
            <w:tcW w:w="1984" w:type="dxa"/>
          </w:tcPr>
          <w:p w14:paraId="667E6792" w14:textId="77777777" w:rsidR="00ED492B" w:rsidRPr="0048342F" w:rsidRDefault="00ED492B" w:rsidP="0048342F">
            <w:pPr>
              <w:widowControl w:val="0"/>
              <w:outlineLvl w:val="2"/>
              <w:rPr>
                <w:rFonts w:asciiTheme="majorBidi" w:hAnsiTheme="majorBidi" w:cstheme="majorBidi"/>
                <w:b/>
                <w:bCs/>
                <w:color w:val="2E2E2E"/>
                <w:sz w:val="20"/>
                <w:szCs w:val="20"/>
              </w:rPr>
            </w:pPr>
            <w:r w:rsidRPr="0048342F">
              <w:rPr>
                <w:rFonts w:asciiTheme="majorBidi" w:hAnsiTheme="majorBidi" w:cstheme="majorBidi"/>
                <w:color w:val="2E2E2E"/>
                <w:sz w:val="20"/>
                <w:szCs w:val="20"/>
              </w:rPr>
              <w:t>Collaborate with a trusted entity to endorse the campaign</w:t>
            </w:r>
            <w:r w:rsidRPr="0048342F">
              <w:rPr>
                <w:rFonts w:asciiTheme="majorBidi" w:hAnsiTheme="majorBidi" w:cstheme="majorBidi"/>
                <w:b/>
                <w:bCs/>
                <w:color w:val="2E2E2E"/>
                <w:sz w:val="20"/>
                <w:szCs w:val="20"/>
              </w:rPr>
              <w:t xml:space="preserve"> </w:t>
            </w:r>
          </w:p>
        </w:tc>
        <w:tc>
          <w:tcPr>
            <w:tcW w:w="2268" w:type="dxa"/>
          </w:tcPr>
          <w:p w14:paraId="1A5827E7"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3</w:t>
            </w:r>
          </w:p>
        </w:tc>
        <w:tc>
          <w:tcPr>
            <w:tcW w:w="3544" w:type="dxa"/>
          </w:tcPr>
          <w:p w14:paraId="42FF96EB" w14:textId="2BA5F425" w:rsidR="00ED492B" w:rsidRPr="0048342F" w:rsidRDefault="00ED492B" w:rsidP="0048342F">
            <w:pPr>
              <w:widowControl w:val="0"/>
              <w:outlineLvl w:val="2"/>
              <w:rPr>
                <w:rFonts w:asciiTheme="majorBidi" w:hAnsiTheme="majorBidi" w:cstheme="majorBidi"/>
                <w:b/>
                <w:bCs/>
                <w:color w:val="2E2E2E"/>
                <w:sz w:val="20"/>
                <w:szCs w:val="20"/>
              </w:rPr>
            </w:pPr>
            <w:r w:rsidRPr="0048342F">
              <w:rPr>
                <w:rFonts w:asciiTheme="majorBidi" w:hAnsiTheme="majorBidi" w:cstheme="majorBidi"/>
                <w:b/>
                <w:bCs/>
                <w:color w:val="2E2E2E"/>
                <w:sz w:val="20"/>
                <w:szCs w:val="20"/>
              </w:rPr>
              <w:t>“</w:t>
            </w:r>
            <w:r w:rsidRPr="0048342F">
              <w:rPr>
                <w:rFonts w:asciiTheme="majorBidi" w:hAnsiTheme="majorBidi" w:cstheme="majorBidi"/>
                <w:sz w:val="20"/>
                <w:szCs w:val="20"/>
              </w:rPr>
              <w:t>I would include a trusted source to talk about it especially from the government</w:t>
            </w:r>
            <w:r w:rsidR="0063170A" w:rsidRPr="0048342F">
              <w:rPr>
                <w:rFonts w:asciiTheme="majorBidi" w:hAnsiTheme="majorBidi" w:cstheme="majorBidi"/>
                <w:sz w:val="20"/>
                <w:szCs w:val="20"/>
              </w:rPr>
              <w:t xml:space="preserve"> (N.N., 2022)</w:t>
            </w:r>
            <w:r w:rsidRPr="0048342F">
              <w:rPr>
                <w:rFonts w:asciiTheme="majorBidi" w:hAnsiTheme="majorBidi" w:cstheme="majorBidi"/>
                <w:sz w:val="20"/>
                <w:szCs w:val="20"/>
              </w:rPr>
              <w:t>.”</w:t>
            </w:r>
          </w:p>
        </w:tc>
      </w:tr>
      <w:tr w:rsidR="00ED492B" w:rsidRPr="0048342F" w14:paraId="1B02F4CA" w14:textId="77777777" w:rsidTr="00635E3C">
        <w:tc>
          <w:tcPr>
            <w:tcW w:w="1984" w:type="dxa"/>
          </w:tcPr>
          <w:p w14:paraId="54FD3678"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Advertise the campaign on different media channels </w:t>
            </w:r>
          </w:p>
        </w:tc>
        <w:tc>
          <w:tcPr>
            <w:tcW w:w="2268" w:type="dxa"/>
          </w:tcPr>
          <w:p w14:paraId="111F795B"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4</w:t>
            </w:r>
          </w:p>
        </w:tc>
        <w:tc>
          <w:tcPr>
            <w:tcW w:w="3544" w:type="dxa"/>
          </w:tcPr>
          <w:p w14:paraId="7F7F50C7" w14:textId="553DBC4E" w:rsidR="00ED492B" w:rsidRPr="0048342F" w:rsidRDefault="00ED492B" w:rsidP="0048342F">
            <w:pPr>
              <w:widowControl w:val="0"/>
              <w:outlineLvl w:val="2"/>
              <w:rPr>
                <w:rFonts w:asciiTheme="majorBidi" w:hAnsiTheme="majorBidi" w:cstheme="majorBidi"/>
                <w:sz w:val="20"/>
                <w:szCs w:val="20"/>
              </w:rPr>
            </w:pPr>
            <w:r w:rsidRPr="0048342F">
              <w:rPr>
                <w:rFonts w:asciiTheme="majorBidi" w:hAnsiTheme="majorBidi" w:cstheme="majorBidi"/>
                <w:sz w:val="20"/>
                <w:szCs w:val="20"/>
              </w:rPr>
              <w:t>“I will reach the biggest number of people and decide if its Facebook or TV or flyers to distribute in the streets</w:t>
            </w:r>
            <w:r w:rsidR="0063170A" w:rsidRPr="0048342F">
              <w:rPr>
                <w:rFonts w:asciiTheme="majorBidi" w:hAnsiTheme="majorBidi" w:cstheme="majorBidi"/>
                <w:sz w:val="20"/>
                <w:szCs w:val="20"/>
              </w:rPr>
              <w:t xml:space="preserve"> (N.A., 2022)</w:t>
            </w:r>
            <w:r w:rsidRPr="0048342F">
              <w:rPr>
                <w:rFonts w:asciiTheme="majorBidi" w:hAnsiTheme="majorBidi" w:cstheme="majorBidi"/>
                <w:sz w:val="20"/>
                <w:szCs w:val="20"/>
              </w:rPr>
              <w:t>”</w:t>
            </w:r>
          </w:p>
          <w:p w14:paraId="524ACF63" w14:textId="0DB6CE55" w:rsidR="00ED492B" w:rsidRPr="0048342F" w:rsidRDefault="00ED492B" w:rsidP="0048342F">
            <w:pPr>
              <w:widowControl w:val="0"/>
              <w:outlineLvl w:val="2"/>
              <w:rPr>
                <w:rFonts w:asciiTheme="majorBidi" w:hAnsiTheme="majorBidi" w:cstheme="majorBidi"/>
                <w:sz w:val="20"/>
                <w:szCs w:val="20"/>
              </w:rPr>
            </w:pPr>
            <w:r w:rsidRPr="0048342F">
              <w:rPr>
                <w:rFonts w:asciiTheme="majorBidi" w:hAnsiTheme="majorBidi" w:cstheme="majorBidi"/>
                <w:b/>
                <w:bCs/>
                <w:color w:val="2E2E2E"/>
                <w:sz w:val="20"/>
                <w:szCs w:val="20"/>
              </w:rPr>
              <w:t>“</w:t>
            </w:r>
            <w:r w:rsidRPr="0048342F">
              <w:rPr>
                <w:rFonts w:asciiTheme="majorBidi" w:hAnsiTheme="majorBidi" w:cstheme="majorBidi"/>
                <w:sz w:val="20"/>
                <w:szCs w:val="20"/>
              </w:rPr>
              <w:t>I will put it on TV and social media</w:t>
            </w:r>
            <w:r w:rsidR="0063170A" w:rsidRPr="0048342F">
              <w:rPr>
                <w:rFonts w:asciiTheme="majorBidi" w:hAnsiTheme="majorBidi" w:cstheme="majorBidi"/>
                <w:sz w:val="20"/>
                <w:szCs w:val="20"/>
              </w:rPr>
              <w:t xml:space="preserve"> (N.S., 2022)</w:t>
            </w:r>
            <w:r w:rsidRPr="0048342F">
              <w:rPr>
                <w:rFonts w:asciiTheme="majorBidi" w:hAnsiTheme="majorBidi" w:cstheme="majorBidi"/>
                <w:sz w:val="20"/>
                <w:szCs w:val="20"/>
              </w:rPr>
              <w:t>”</w:t>
            </w:r>
          </w:p>
        </w:tc>
      </w:tr>
      <w:tr w:rsidR="00ED492B" w:rsidRPr="0048342F" w14:paraId="5379EF43" w14:textId="77777777" w:rsidTr="00635E3C">
        <w:tc>
          <w:tcPr>
            <w:tcW w:w="1984" w:type="dxa"/>
          </w:tcPr>
          <w:p w14:paraId="5B75AB78"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Has to be launched by a strong brand </w:t>
            </w:r>
          </w:p>
        </w:tc>
        <w:tc>
          <w:tcPr>
            <w:tcW w:w="2268" w:type="dxa"/>
          </w:tcPr>
          <w:p w14:paraId="4C3FFC60" w14:textId="77777777" w:rsidR="00ED492B" w:rsidRPr="0048342F" w:rsidRDefault="00ED492B" w:rsidP="0048342F">
            <w:pPr>
              <w:widowControl w:val="0"/>
              <w:outlineLvl w:val="2"/>
              <w:rPr>
                <w:rFonts w:asciiTheme="majorBidi" w:hAnsiTheme="majorBidi" w:cstheme="majorBidi"/>
                <w:color w:val="2E2E2E"/>
                <w:sz w:val="20"/>
                <w:szCs w:val="20"/>
              </w:rPr>
            </w:pPr>
            <w:r w:rsidRPr="0048342F">
              <w:rPr>
                <w:rFonts w:asciiTheme="majorBidi" w:hAnsiTheme="majorBidi" w:cstheme="majorBidi"/>
                <w:color w:val="2E2E2E"/>
                <w:sz w:val="20"/>
                <w:szCs w:val="20"/>
              </w:rPr>
              <w:t>4</w:t>
            </w:r>
          </w:p>
        </w:tc>
        <w:tc>
          <w:tcPr>
            <w:tcW w:w="3544" w:type="dxa"/>
          </w:tcPr>
          <w:p w14:paraId="4DC1CA49" w14:textId="23D3C83A" w:rsidR="00ED492B" w:rsidRPr="0048342F" w:rsidRDefault="00ED492B" w:rsidP="0048342F">
            <w:pPr>
              <w:widowControl w:val="0"/>
              <w:outlineLvl w:val="2"/>
              <w:rPr>
                <w:rFonts w:asciiTheme="majorBidi" w:hAnsiTheme="majorBidi" w:cstheme="majorBidi"/>
                <w:sz w:val="20"/>
                <w:szCs w:val="20"/>
              </w:rPr>
            </w:pPr>
            <w:r w:rsidRPr="0048342F">
              <w:rPr>
                <w:rFonts w:asciiTheme="majorBidi" w:hAnsiTheme="majorBidi" w:cstheme="majorBidi"/>
                <w:sz w:val="20"/>
                <w:szCs w:val="20"/>
              </w:rPr>
              <w:t>“Also, the product has to be good at its original functions first</w:t>
            </w:r>
            <w:r w:rsidR="0063170A" w:rsidRPr="0048342F">
              <w:rPr>
                <w:rFonts w:asciiTheme="majorBidi" w:hAnsiTheme="majorBidi" w:cstheme="majorBidi"/>
                <w:sz w:val="20"/>
                <w:szCs w:val="20"/>
              </w:rPr>
              <w:t xml:space="preserve"> (N</w:t>
            </w:r>
            <w:r w:rsidRPr="0048342F">
              <w:rPr>
                <w:rFonts w:asciiTheme="majorBidi" w:hAnsiTheme="majorBidi" w:cstheme="majorBidi"/>
                <w:sz w:val="20"/>
                <w:szCs w:val="20"/>
              </w:rPr>
              <w:t>.</w:t>
            </w:r>
            <w:r w:rsidR="0063170A" w:rsidRPr="0048342F">
              <w:rPr>
                <w:rFonts w:asciiTheme="majorBidi" w:hAnsiTheme="majorBidi" w:cstheme="majorBidi"/>
                <w:sz w:val="20"/>
                <w:szCs w:val="20"/>
              </w:rPr>
              <w:t>O, 2022)</w:t>
            </w:r>
            <w:r w:rsidRPr="0048342F">
              <w:rPr>
                <w:rFonts w:asciiTheme="majorBidi" w:hAnsiTheme="majorBidi" w:cstheme="majorBidi"/>
                <w:sz w:val="20"/>
                <w:szCs w:val="20"/>
              </w:rPr>
              <w:t>”</w:t>
            </w:r>
          </w:p>
          <w:p w14:paraId="1E7A4370" w14:textId="0BE803CC" w:rsidR="00ED492B" w:rsidRPr="0048342F" w:rsidRDefault="00ED492B" w:rsidP="0048342F">
            <w:pPr>
              <w:keepNext/>
              <w:widowControl w:val="0"/>
              <w:outlineLvl w:val="2"/>
              <w:rPr>
                <w:rFonts w:asciiTheme="majorBidi" w:hAnsiTheme="majorBidi" w:cstheme="majorBidi"/>
                <w:sz w:val="20"/>
                <w:szCs w:val="20"/>
              </w:rPr>
            </w:pPr>
            <w:r w:rsidRPr="0048342F">
              <w:rPr>
                <w:rFonts w:asciiTheme="majorBidi" w:hAnsiTheme="majorBidi" w:cstheme="majorBidi"/>
                <w:sz w:val="20"/>
                <w:szCs w:val="20"/>
              </w:rPr>
              <w:t>“The brand and product has to be really good</w:t>
            </w:r>
            <w:r w:rsidR="0063170A" w:rsidRPr="0048342F">
              <w:rPr>
                <w:rFonts w:asciiTheme="majorBidi" w:hAnsiTheme="majorBidi" w:cstheme="majorBidi"/>
                <w:sz w:val="20"/>
                <w:szCs w:val="20"/>
              </w:rPr>
              <w:t xml:space="preserve"> (A.Z., 2022)</w:t>
            </w:r>
            <w:r w:rsidRPr="0048342F">
              <w:rPr>
                <w:rFonts w:asciiTheme="majorBidi" w:hAnsiTheme="majorBidi" w:cstheme="majorBidi"/>
                <w:sz w:val="20"/>
                <w:szCs w:val="20"/>
              </w:rPr>
              <w:t>.”</w:t>
            </w:r>
          </w:p>
        </w:tc>
      </w:tr>
    </w:tbl>
    <w:p w14:paraId="07DCB370" w14:textId="4E974E47" w:rsidR="00ED492B" w:rsidRDefault="006A797D" w:rsidP="006A797D">
      <w:pPr>
        <w:pStyle w:val="Caption"/>
        <w:rPr>
          <w:rFonts w:asciiTheme="majorBidi" w:hAnsiTheme="majorBidi" w:cstheme="majorBidi"/>
          <w:b/>
          <w:bCs/>
          <w:color w:val="2E2E2E"/>
          <w:sz w:val="24"/>
          <w:szCs w:val="24"/>
        </w:rPr>
      </w:pPr>
      <w:r>
        <w:t>Table 5</w:t>
      </w:r>
      <w:r w:rsidR="00C461D8">
        <w:t>8</w:t>
      </w:r>
      <w:r>
        <w:t xml:space="preserve"> A summary of the main suggested </w:t>
      </w:r>
      <w:r w:rsidRPr="006A797D">
        <w:t>CSR strategies along with the number of respondents</w:t>
      </w:r>
    </w:p>
    <w:p w14:paraId="674A6260" w14:textId="77777777" w:rsidR="009C7603" w:rsidRDefault="00ED492B" w:rsidP="00635E3C">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r>
      <w:r w:rsidRPr="00DB5B10">
        <w:rPr>
          <w:rFonts w:asciiTheme="majorBidi" w:hAnsiTheme="majorBidi" w:cstheme="majorBidi"/>
          <w:sz w:val="24"/>
          <w:szCs w:val="24"/>
        </w:rPr>
        <w:t xml:space="preserve">While there were different strategies suggested by the </w:t>
      </w:r>
      <w:r w:rsidR="00C4373A">
        <w:rPr>
          <w:rFonts w:asciiTheme="majorBidi" w:hAnsiTheme="majorBidi" w:cstheme="majorBidi"/>
          <w:sz w:val="24"/>
          <w:szCs w:val="24"/>
        </w:rPr>
        <w:t>interviewed subjects</w:t>
      </w:r>
      <w:r w:rsidRPr="00DB5B10">
        <w:rPr>
          <w:rFonts w:asciiTheme="majorBidi" w:hAnsiTheme="majorBidi" w:cstheme="majorBidi"/>
          <w:sz w:val="24"/>
          <w:szCs w:val="24"/>
        </w:rPr>
        <w:t xml:space="preserve">, most of these suggestions were focused on the importance of increasing </w:t>
      </w:r>
      <w:r w:rsidRPr="0048342F">
        <w:rPr>
          <w:rFonts w:asciiTheme="majorBidi" w:hAnsiTheme="majorBidi" w:cstheme="majorBidi"/>
          <w:sz w:val="24"/>
          <w:szCs w:val="24"/>
        </w:rPr>
        <w:t>credibility</w:t>
      </w:r>
      <w:r w:rsidRPr="00DB5B10">
        <w:rPr>
          <w:rFonts w:asciiTheme="majorBidi" w:hAnsiTheme="majorBidi" w:cstheme="majorBidi"/>
          <w:sz w:val="24"/>
          <w:szCs w:val="24"/>
        </w:rPr>
        <w:t xml:space="preserve">. Even though, it </w:t>
      </w:r>
      <w:r>
        <w:rPr>
          <w:rFonts w:asciiTheme="majorBidi" w:hAnsiTheme="majorBidi" w:cstheme="majorBidi"/>
          <w:sz w:val="24"/>
          <w:szCs w:val="24"/>
        </w:rPr>
        <w:t>did</w:t>
      </w:r>
      <w:r w:rsidRPr="00DB5B10">
        <w:rPr>
          <w:rFonts w:asciiTheme="majorBidi" w:hAnsiTheme="majorBidi" w:cstheme="majorBidi"/>
          <w:sz w:val="24"/>
          <w:szCs w:val="24"/>
        </w:rPr>
        <w:t xml:space="preserve"> not appear as a critical issue </w:t>
      </w:r>
      <w:r>
        <w:rPr>
          <w:rFonts w:asciiTheme="majorBidi" w:hAnsiTheme="majorBidi" w:cstheme="majorBidi"/>
          <w:sz w:val="24"/>
          <w:szCs w:val="24"/>
        </w:rPr>
        <w:t>in the</w:t>
      </w:r>
      <w:r w:rsidRPr="00DB5B10">
        <w:rPr>
          <w:rFonts w:asciiTheme="majorBidi" w:hAnsiTheme="majorBidi" w:cstheme="majorBidi"/>
          <w:sz w:val="24"/>
          <w:szCs w:val="24"/>
        </w:rPr>
        <w:t xml:space="preserve"> presented stimulus, it seems that it is a general concern regarding CSR campaign that the interviewees suggested several approaches. For that reason, a lot of the comments were </w:t>
      </w:r>
    </w:p>
    <w:p w14:paraId="2672DA12" w14:textId="77777777" w:rsidR="009C7603" w:rsidRDefault="00ED492B" w:rsidP="009C7603">
      <w:pPr>
        <w:widowControl w:val="0"/>
        <w:spacing w:line="240" w:lineRule="auto"/>
        <w:ind w:firstLine="720"/>
        <w:rPr>
          <w:rFonts w:asciiTheme="majorBidi" w:hAnsiTheme="majorBidi" w:cstheme="majorBidi"/>
          <w:sz w:val="24"/>
          <w:szCs w:val="24"/>
        </w:rPr>
      </w:pPr>
      <w:r w:rsidRPr="0063170A">
        <w:rPr>
          <w:rFonts w:asciiTheme="majorBidi" w:hAnsiTheme="majorBidi" w:cstheme="majorBidi"/>
          <w:sz w:val="24"/>
          <w:szCs w:val="24"/>
        </w:rPr>
        <w:t>“</w:t>
      </w:r>
      <w:r w:rsidR="0063170A" w:rsidRPr="009C7603">
        <w:rPr>
          <w:rFonts w:asciiTheme="majorBidi" w:hAnsiTheme="majorBidi" w:cstheme="majorBidi"/>
          <w:i/>
          <w:iCs/>
          <w:sz w:val="24"/>
          <w:szCs w:val="24"/>
        </w:rPr>
        <w:t>d</w:t>
      </w:r>
      <w:r w:rsidRPr="009C7603">
        <w:rPr>
          <w:rFonts w:asciiTheme="majorBidi" w:hAnsiTheme="majorBidi" w:cstheme="majorBidi"/>
          <w:i/>
          <w:iCs/>
          <w:sz w:val="24"/>
          <w:szCs w:val="24"/>
        </w:rPr>
        <w:t>eliver what is promised in the ad</w:t>
      </w:r>
      <w:r w:rsidRPr="0063170A">
        <w:rPr>
          <w:rFonts w:asciiTheme="majorBidi" w:hAnsiTheme="majorBidi" w:cstheme="majorBidi"/>
          <w:sz w:val="24"/>
          <w:szCs w:val="24"/>
        </w:rPr>
        <w:t>,”</w:t>
      </w:r>
    </w:p>
    <w:p w14:paraId="5A757CC9" w14:textId="77777777" w:rsidR="009C7603" w:rsidRDefault="00ED492B" w:rsidP="009C7603">
      <w:pPr>
        <w:widowControl w:val="0"/>
        <w:spacing w:line="240" w:lineRule="auto"/>
        <w:ind w:firstLine="720"/>
        <w:rPr>
          <w:rFonts w:asciiTheme="majorBidi" w:hAnsiTheme="majorBidi" w:cstheme="majorBidi"/>
          <w:sz w:val="24"/>
          <w:szCs w:val="24"/>
        </w:rPr>
      </w:pPr>
      <w:r w:rsidRPr="0063170A">
        <w:rPr>
          <w:rFonts w:asciiTheme="majorBidi" w:hAnsiTheme="majorBidi" w:cstheme="majorBidi"/>
          <w:sz w:val="24"/>
          <w:szCs w:val="24"/>
        </w:rPr>
        <w:t xml:space="preserve"> “</w:t>
      </w:r>
      <w:r w:rsidRPr="009C7603">
        <w:rPr>
          <w:rFonts w:asciiTheme="majorBidi" w:hAnsiTheme="majorBidi" w:cstheme="majorBidi"/>
          <w:i/>
          <w:iCs/>
          <w:sz w:val="24"/>
          <w:szCs w:val="24"/>
        </w:rPr>
        <w:t>use people who are trustworthy in society</w:t>
      </w:r>
      <w:r w:rsidRPr="0063170A">
        <w:rPr>
          <w:rFonts w:asciiTheme="majorBidi" w:hAnsiTheme="majorBidi" w:cstheme="majorBidi"/>
          <w:sz w:val="24"/>
          <w:szCs w:val="24"/>
        </w:rPr>
        <w:t>,”</w:t>
      </w:r>
    </w:p>
    <w:p w14:paraId="258EAD9E" w14:textId="77777777" w:rsidR="009C7603" w:rsidRDefault="00ED492B" w:rsidP="009C7603">
      <w:pPr>
        <w:widowControl w:val="0"/>
        <w:spacing w:line="240" w:lineRule="auto"/>
        <w:ind w:left="720"/>
        <w:rPr>
          <w:rFonts w:asciiTheme="majorBidi" w:hAnsiTheme="majorBidi" w:cstheme="majorBidi"/>
          <w:sz w:val="24"/>
          <w:szCs w:val="24"/>
        </w:rPr>
      </w:pPr>
      <w:r w:rsidRPr="0063170A">
        <w:rPr>
          <w:rFonts w:asciiTheme="majorBidi" w:hAnsiTheme="majorBidi" w:cstheme="majorBidi"/>
          <w:sz w:val="24"/>
          <w:szCs w:val="24"/>
        </w:rPr>
        <w:t xml:space="preserve"> “</w:t>
      </w:r>
      <w:r w:rsidR="0063170A" w:rsidRPr="009C7603">
        <w:rPr>
          <w:rFonts w:asciiTheme="majorBidi" w:hAnsiTheme="majorBidi" w:cstheme="majorBidi"/>
          <w:i/>
          <w:iCs/>
          <w:sz w:val="24"/>
          <w:szCs w:val="24"/>
        </w:rPr>
        <w:t>i</w:t>
      </w:r>
      <w:r w:rsidRPr="009C7603">
        <w:rPr>
          <w:rFonts w:asciiTheme="majorBidi" w:hAnsiTheme="majorBidi" w:cstheme="majorBidi"/>
          <w:i/>
          <w:iCs/>
          <w:sz w:val="24"/>
          <w:szCs w:val="24"/>
        </w:rPr>
        <w:t>f it is up to me, I will not advertise anything until the project is done and up and running so I can invite the public to go check it out and show real images of the project</w:t>
      </w:r>
      <w:r w:rsidRPr="0063170A">
        <w:rPr>
          <w:rFonts w:asciiTheme="majorBidi" w:hAnsiTheme="majorBidi" w:cstheme="majorBidi"/>
          <w:sz w:val="24"/>
          <w:szCs w:val="24"/>
        </w:rPr>
        <w:t xml:space="preserve">.” </w:t>
      </w:r>
    </w:p>
    <w:p w14:paraId="38DC77DA" w14:textId="684120A8" w:rsidR="00ED492B" w:rsidRPr="00EC1767" w:rsidRDefault="00ED492B" w:rsidP="009C7603">
      <w:pPr>
        <w:widowControl w:val="0"/>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Additionally, while most suggested strategies were related to gaining the audience’s trust, few comments were concerned with advertising execution and the brand functionality, as indicated above. </w:t>
      </w:r>
    </w:p>
    <w:p w14:paraId="7CEEA774" w14:textId="1CD2D7D0" w:rsidR="00ED492B" w:rsidRDefault="00ED492B" w:rsidP="00ED492B">
      <w:pPr>
        <w:widowControl w:val="0"/>
        <w:rPr>
          <w:rFonts w:asciiTheme="majorBidi" w:hAnsiTheme="majorBidi" w:cstheme="majorBidi"/>
          <w:b/>
          <w:bCs/>
          <w:color w:val="2E2E2E"/>
          <w:sz w:val="24"/>
          <w:szCs w:val="24"/>
        </w:rPr>
      </w:pPr>
      <w:r>
        <w:rPr>
          <w:rFonts w:asciiTheme="majorBidi" w:hAnsiTheme="majorBidi" w:cstheme="majorBidi"/>
          <w:b/>
          <w:bCs/>
          <w:color w:val="2E2E2E"/>
          <w:sz w:val="24"/>
          <w:szCs w:val="24"/>
        </w:rPr>
        <w:t>7.</w:t>
      </w:r>
      <w:r w:rsidR="008900D7">
        <w:rPr>
          <w:rFonts w:asciiTheme="majorBidi" w:hAnsiTheme="majorBidi" w:cstheme="majorBidi"/>
          <w:b/>
          <w:bCs/>
          <w:color w:val="2E2E2E"/>
          <w:sz w:val="24"/>
          <w:szCs w:val="24"/>
        </w:rPr>
        <w:t>3</w:t>
      </w:r>
      <w:r>
        <w:rPr>
          <w:rFonts w:asciiTheme="majorBidi" w:hAnsiTheme="majorBidi" w:cstheme="majorBidi"/>
          <w:b/>
          <w:bCs/>
          <w:color w:val="2E2E2E"/>
          <w:sz w:val="24"/>
          <w:szCs w:val="24"/>
        </w:rPr>
        <w:t xml:space="preserve">.13 </w:t>
      </w:r>
      <w:r w:rsidRPr="00092083">
        <w:rPr>
          <w:rFonts w:asciiTheme="majorBidi" w:hAnsiTheme="majorBidi" w:cstheme="majorBidi"/>
          <w:b/>
          <w:bCs/>
          <w:color w:val="2E2E2E"/>
          <w:sz w:val="24"/>
          <w:szCs w:val="24"/>
        </w:rPr>
        <w:t>Congruity</w:t>
      </w:r>
    </w:p>
    <w:p w14:paraId="557E8AA5" w14:textId="77777777" w:rsidR="009C7603" w:rsidRDefault="00ED492B" w:rsidP="00ED492B">
      <w:pPr>
        <w:widowControl w:val="0"/>
        <w:spacing w:after="0" w:line="480" w:lineRule="auto"/>
        <w:rPr>
          <w:rFonts w:asciiTheme="majorBidi" w:hAnsiTheme="majorBidi" w:cstheme="majorBidi"/>
          <w:color w:val="2E2E2E"/>
          <w:sz w:val="24"/>
          <w:szCs w:val="24"/>
        </w:rPr>
      </w:pPr>
      <w:r>
        <w:rPr>
          <w:rFonts w:asciiTheme="majorBidi" w:hAnsiTheme="majorBidi" w:cstheme="majorBidi"/>
          <w:b/>
          <w:bCs/>
          <w:color w:val="2E2E2E"/>
          <w:sz w:val="24"/>
          <w:szCs w:val="24"/>
        </w:rPr>
        <w:tab/>
      </w:r>
      <w:r w:rsidRPr="002C6A40">
        <w:rPr>
          <w:rFonts w:asciiTheme="majorBidi" w:hAnsiTheme="majorBidi" w:cstheme="majorBidi"/>
          <w:color w:val="2E2E2E"/>
          <w:sz w:val="24"/>
          <w:szCs w:val="24"/>
        </w:rPr>
        <w:t xml:space="preserve">Throughout the interviews, there were some answers that indicated that </w:t>
      </w:r>
      <w:r w:rsidR="00C4373A">
        <w:rPr>
          <w:rFonts w:asciiTheme="majorBidi" w:hAnsiTheme="majorBidi" w:cstheme="majorBidi"/>
          <w:color w:val="2E2E2E"/>
          <w:sz w:val="24"/>
          <w:szCs w:val="24"/>
        </w:rPr>
        <w:t>the interviewees</w:t>
      </w:r>
      <w:r>
        <w:rPr>
          <w:rFonts w:asciiTheme="majorBidi" w:hAnsiTheme="majorBidi" w:cstheme="majorBidi"/>
          <w:color w:val="2E2E2E"/>
          <w:sz w:val="24"/>
          <w:szCs w:val="24"/>
        </w:rPr>
        <w:t xml:space="preserve"> </w:t>
      </w:r>
      <w:r w:rsidRPr="002C6A40">
        <w:rPr>
          <w:rFonts w:asciiTheme="majorBidi" w:hAnsiTheme="majorBidi" w:cstheme="majorBidi"/>
          <w:color w:val="2E2E2E"/>
          <w:sz w:val="24"/>
          <w:szCs w:val="24"/>
        </w:rPr>
        <w:t>consider</w:t>
      </w:r>
      <w:r>
        <w:rPr>
          <w:rFonts w:asciiTheme="majorBidi" w:hAnsiTheme="majorBidi" w:cstheme="majorBidi"/>
          <w:color w:val="2E2E2E"/>
          <w:sz w:val="24"/>
          <w:szCs w:val="24"/>
        </w:rPr>
        <w:t>ed</w:t>
      </w:r>
      <w:r w:rsidRPr="002C6A40">
        <w:rPr>
          <w:rFonts w:asciiTheme="majorBidi" w:hAnsiTheme="majorBidi" w:cstheme="majorBidi"/>
          <w:color w:val="2E2E2E"/>
          <w:sz w:val="24"/>
          <w:szCs w:val="24"/>
        </w:rPr>
        <w:t xml:space="preserve"> their own </w:t>
      </w:r>
      <w:r w:rsidR="00C4373A" w:rsidRPr="002C6A40">
        <w:rPr>
          <w:rFonts w:asciiTheme="majorBidi" w:hAnsiTheme="majorBidi" w:cstheme="majorBidi"/>
          <w:color w:val="2E2E2E"/>
          <w:sz w:val="24"/>
          <w:szCs w:val="24"/>
        </w:rPr>
        <w:t>values,</w:t>
      </w:r>
      <w:r w:rsidRPr="002C6A40">
        <w:rPr>
          <w:rFonts w:asciiTheme="majorBidi" w:hAnsiTheme="majorBidi" w:cstheme="majorBidi"/>
          <w:color w:val="2E2E2E"/>
          <w:sz w:val="24"/>
          <w:szCs w:val="24"/>
        </w:rPr>
        <w:t xml:space="preserve"> and they reflected them on the stimuli or the CSR stimul</w:t>
      </w:r>
      <w:r>
        <w:rPr>
          <w:rFonts w:asciiTheme="majorBidi" w:hAnsiTheme="majorBidi" w:cstheme="majorBidi"/>
          <w:color w:val="2E2E2E"/>
          <w:sz w:val="24"/>
          <w:szCs w:val="24"/>
        </w:rPr>
        <w:t>us</w:t>
      </w:r>
      <w:r w:rsidRPr="002C6A40">
        <w:rPr>
          <w:rFonts w:asciiTheme="majorBidi" w:hAnsiTheme="majorBidi" w:cstheme="majorBidi"/>
          <w:color w:val="2E2E2E"/>
          <w:sz w:val="24"/>
          <w:szCs w:val="24"/>
        </w:rPr>
        <w:t xml:space="preserve"> specifically. This was evident in the participants</w:t>
      </w:r>
      <w:r>
        <w:rPr>
          <w:rFonts w:asciiTheme="majorBidi" w:hAnsiTheme="majorBidi" w:cstheme="majorBidi"/>
          <w:color w:val="2E2E2E"/>
          <w:sz w:val="24"/>
          <w:szCs w:val="24"/>
        </w:rPr>
        <w:t>’</w:t>
      </w:r>
      <w:r w:rsidRPr="002C6A40">
        <w:rPr>
          <w:rFonts w:asciiTheme="majorBidi" w:hAnsiTheme="majorBidi" w:cstheme="majorBidi"/>
          <w:color w:val="2E2E2E"/>
          <w:sz w:val="24"/>
          <w:szCs w:val="24"/>
        </w:rPr>
        <w:t xml:space="preserve"> answers who expressed congruence or similarities between what they believed and what was communicated in the CSR stimulus. </w:t>
      </w:r>
      <w:r>
        <w:rPr>
          <w:rFonts w:asciiTheme="majorBidi" w:hAnsiTheme="majorBidi" w:cstheme="majorBidi"/>
          <w:color w:val="2E2E2E"/>
          <w:sz w:val="24"/>
          <w:szCs w:val="24"/>
        </w:rPr>
        <w:t xml:space="preserve">One of the </w:t>
      </w:r>
      <w:r w:rsidR="00C4373A">
        <w:rPr>
          <w:rFonts w:asciiTheme="majorBidi" w:hAnsiTheme="majorBidi" w:cstheme="majorBidi"/>
          <w:color w:val="2E2E2E"/>
          <w:sz w:val="24"/>
          <w:szCs w:val="24"/>
        </w:rPr>
        <w:t>interviewed subjects</w:t>
      </w:r>
      <w:r>
        <w:rPr>
          <w:rFonts w:asciiTheme="majorBidi" w:hAnsiTheme="majorBidi" w:cstheme="majorBidi"/>
          <w:color w:val="2E2E2E"/>
          <w:sz w:val="24"/>
          <w:szCs w:val="24"/>
        </w:rPr>
        <w:t xml:space="preserve"> said: </w:t>
      </w:r>
    </w:p>
    <w:p w14:paraId="0CEB3653" w14:textId="77777777" w:rsidR="009C7603" w:rsidRDefault="00ED492B" w:rsidP="009C7603">
      <w:pPr>
        <w:widowControl w:val="0"/>
        <w:spacing w:line="240" w:lineRule="auto"/>
        <w:ind w:left="720"/>
        <w:rPr>
          <w:rFonts w:asciiTheme="majorBidi" w:hAnsiTheme="majorBidi" w:cstheme="majorBidi"/>
          <w:i/>
          <w:iCs/>
          <w:sz w:val="24"/>
          <w:szCs w:val="24"/>
        </w:rPr>
      </w:pPr>
      <w:r w:rsidRPr="0063170A">
        <w:rPr>
          <w:rFonts w:asciiTheme="majorBidi" w:hAnsiTheme="majorBidi" w:cstheme="majorBidi"/>
          <w:sz w:val="24"/>
          <w:szCs w:val="24"/>
        </w:rPr>
        <w:t>“</w:t>
      </w:r>
      <w:r w:rsidRPr="009C7603">
        <w:rPr>
          <w:rFonts w:asciiTheme="majorBidi" w:hAnsiTheme="majorBidi" w:cstheme="majorBidi"/>
          <w:i/>
          <w:iCs/>
          <w:sz w:val="24"/>
          <w:szCs w:val="24"/>
        </w:rPr>
        <w:t>this one is generic (nothing spoke to me in the second one)</w:t>
      </w:r>
      <w:r w:rsidR="008D0947" w:rsidRPr="009C7603">
        <w:rPr>
          <w:rFonts w:asciiTheme="majorBidi" w:hAnsiTheme="majorBidi" w:cstheme="majorBidi"/>
          <w:i/>
          <w:iCs/>
          <w:sz w:val="24"/>
          <w:szCs w:val="24"/>
        </w:rPr>
        <w:t>,</w:t>
      </w:r>
      <w:r w:rsidR="0063170A" w:rsidRPr="009C7603">
        <w:rPr>
          <w:rFonts w:asciiTheme="majorBidi" w:hAnsiTheme="majorBidi" w:cstheme="majorBidi"/>
          <w:i/>
          <w:iCs/>
          <w:sz w:val="24"/>
          <w:szCs w:val="24"/>
        </w:rPr>
        <w:t xml:space="preserve"> but t</w:t>
      </w:r>
      <w:r w:rsidRPr="009C7603">
        <w:rPr>
          <w:rFonts w:asciiTheme="majorBidi" w:hAnsiTheme="majorBidi" w:cstheme="majorBidi"/>
          <w:i/>
          <w:iCs/>
          <w:sz w:val="24"/>
          <w:szCs w:val="24"/>
        </w:rPr>
        <w:t>he first one has a lot of values that I support</w:t>
      </w:r>
      <w:r w:rsidR="0063170A" w:rsidRPr="0063170A">
        <w:rPr>
          <w:rFonts w:asciiTheme="majorBidi" w:hAnsiTheme="majorBidi" w:cstheme="majorBidi"/>
          <w:sz w:val="24"/>
          <w:szCs w:val="24"/>
        </w:rPr>
        <w:t xml:space="preserve"> (A.I., 2022)</w:t>
      </w:r>
      <w:r w:rsidRPr="0063170A">
        <w:rPr>
          <w:rFonts w:asciiTheme="majorBidi" w:hAnsiTheme="majorBidi" w:cstheme="majorBidi"/>
          <w:sz w:val="24"/>
          <w:szCs w:val="24"/>
        </w:rPr>
        <w:t>.”</w:t>
      </w:r>
      <w:r>
        <w:rPr>
          <w:rFonts w:asciiTheme="majorBidi" w:hAnsiTheme="majorBidi" w:cstheme="majorBidi"/>
          <w:i/>
          <w:iCs/>
          <w:sz w:val="24"/>
          <w:szCs w:val="24"/>
        </w:rPr>
        <w:t xml:space="preserve"> </w:t>
      </w:r>
    </w:p>
    <w:p w14:paraId="276B633F" w14:textId="77777777" w:rsidR="009C7603" w:rsidRDefault="00ED492B" w:rsidP="00ED492B">
      <w:pPr>
        <w:widowControl w:val="0"/>
        <w:spacing w:after="0" w:line="480" w:lineRule="auto"/>
        <w:rPr>
          <w:rFonts w:asciiTheme="majorBidi" w:hAnsiTheme="majorBidi" w:cstheme="majorBidi"/>
          <w:sz w:val="24"/>
          <w:szCs w:val="24"/>
        </w:rPr>
      </w:pPr>
      <w:r w:rsidRPr="006648BE">
        <w:rPr>
          <w:rFonts w:asciiTheme="majorBidi" w:hAnsiTheme="majorBidi" w:cstheme="majorBidi"/>
          <w:sz w:val="24"/>
          <w:szCs w:val="24"/>
        </w:rPr>
        <w:t>Likewise, another respondent said:</w:t>
      </w:r>
      <w:r>
        <w:rPr>
          <w:rFonts w:asciiTheme="majorBidi" w:hAnsiTheme="majorBidi" w:cstheme="majorBidi"/>
          <w:sz w:val="24"/>
          <w:szCs w:val="24"/>
        </w:rPr>
        <w:t xml:space="preserve"> </w:t>
      </w:r>
    </w:p>
    <w:p w14:paraId="58D6578D" w14:textId="77777777" w:rsidR="009C7603" w:rsidRDefault="00ED492B" w:rsidP="009C7603">
      <w:pPr>
        <w:widowControl w:val="0"/>
        <w:spacing w:line="240" w:lineRule="auto"/>
        <w:ind w:left="720"/>
        <w:rPr>
          <w:rFonts w:asciiTheme="majorBidi" w:hAnsiTheme="majorBidi" w:cstheme="majorBidi"/>
          <w:sz w:val="24"/>
          <w:szCs w:val="24"/>
        </w:rPr>
      </w:pPr>
      <w:r w:rsidRPr="0063170A">
        <w:rPr>
          <w:rFonts w:asciiTheme="majorBidi" w:hAnsiTheme="majorBidi" w:cstheme="majorBidi"/>
          <w:sz w:val="24"/>
          <w:szCs w:val="24"/>
        </w:rPr>
        <w:t>“</w:t>
      </w:r>
      <w:r w:rsidRPr="009C7603">
        <w:rPr>
          <w:rFonts w:asciiTheme="majorBidi" w:hAnsiTheme="majorBidi" w:cstheme="majorBidi"/>
          <w:i/>
          <w:iCs/>
          <w:sz w:val="24"/>
          <w:szCs w:val="24"/>
        </w:rPr>
        <w:t>I am into serving communities and humanitarian acts. I would love the idea ok let’s make profit while at the same time serving people</w:t>
      </w:r>
      <w:r w:rsidR="0063170A" w:rsidRPr="0063170A">
        <w:rPr>
          <w:rFonts w:asciiTheme="majorBidi" w:hAnsiTheme="majorBidi" w:cstheme="majorBidi"/>
          <w:sz w:val="24"/>
          <w:szCs w:val="24"/>
        </w:rPr>
        <w:t xml:space="preserve"> (S.H., 2022)</w:t>
      </w:r>
      <w:r w:rsidRPr="0063170A">
        <w:rPr>
          <w:rFonts w:asciiTheme="majorBidi" w:hAnsiTheme="majorBidi" w:cstheme="majorBidi"/>
          <w:sz w:val="24"/>
          <w:szCs w:val="24"/>
        </w:rPr>
        <w:t>.”</w:t>
      </w:r>
    </w:p>
    <w:p w14:paraId="6569B37D" w14:textId="77777777" w:rsidR="009C7603"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i/>
          <w:iCs/>
          <w:sz w:val="24"/>
          <w:szCs w:val="24"/>
        </w:rPr>
        <w:t xml:space="preserve"> </w:t>
      </w:r>
      <w:r w:rsidRPr="006648BE">
        <w:rPr>
          <w:rFonts w:asciiTheme="majorBidi" w:hAnsiTheme="majorBidi" w:cstheme="majorBidi"/>
          <w:sz w:val="24"/>
          <w:szCs w:val="24"/>
        </w:rPr>
        <w:t>Lastly, one respondent stated:</w:t>
      </w:r>
    </w:p>
    <w:p w14:paraId="6A9B155C" w14:textId="7AAD4CD6" w:rsidR="00ED492B" w:rsidRPr="006648BE" w:rsidRDefault="00ED492B" w:rsidP="009C7603">
      <w:pPr>
        <w:widowControl w:val="0"/>
        <w:spacing w:line="240" w:lineRule="auto"/>
        <w:ind w:left="720"/>
        <w:rPr>
          <w:rFonts w:asciiTheme="majorBidi" w:hAnsiTheme="majorBidi" w:cstheme="majorBidi"/>
          <w:color w:val="2E2E2E"/>
          <w:sz w:val="24"/>
          <w:szCs w:val="24"/>
        </w:rPr>
      </w:pPr>
      <w:r>
        <w:rPr>
          <w:rFonts w:asciiTheme="majorBidi" w:hAnsiTheme="majorBidi" w:cstheme="majorBidi"/>
          <w:sz w:val="24"/>
          <w:szCs w:val="24"/>
        </w:rPr>
        <w:t xml:space="preserve"> </w:t>
      </w:r>
      <w:r w:rsidRPr="0063170A">
        <w:rPr>
          <w:rFonts w:asciiTheme="majorBidi" w:hAnsiTheme="majorBidi" w:cstheme="majorBidi"/>
          <w:sz w:val="24"/>
          <w:szCs w:val="24"/>
        </w:rPr>
        <w:t>“</w:t>
      </w:r>
      <w:r w:rsidRPr="009C7603">
        <w:rPr>
          <w:rFonts w:asciiTheme="majorBidi" w:hAnsiTheme="majorBidi" w:cstheme="majorBidi"/>
          <w:i/>
          <w:iCs/>
          <w:sz w:val="24"/>
          <w:szCs w:val="24"/>
        </w:rPr>
        <w:t>the first one speaks to me because I will feel, as a consumer, I did not do extra effort or go out of my line to make something good. So somehow, in a way or another, my money will reach the people</w:t>
      </w:r>
      <w:r w:rsidR="0063170A" w:rsidRPr="009C7603">
        <w:rPr>
          <w:rFonts w:asciiTheme="majorBidi" w:hAnsiTheme="majorBidi" w:cstheme="majorBidi"/>
          <w:i/>
          <w:iCs/>
          <w:sz w:val="24"/>
          <w:szCs w:val="24"/>
        </w:rPr>
        <w:t xml:space="preserve"> (</w:t>
      </w:r>
      <w:r w:rsidR="0063170A" w:rsidRPr="0063170A">
        <w:rPr>
          <w:rFonts w:asciiTheme="majorBidi" w:hAnsiTheme="majorBidi" w:cstheme="majorBidi"/>
          <w:sz w:val="24"/>
          <w:szCs w:val="24"/>
        </w:rPr>
        <w:t>K.R., 2022)</w:t>
      </w:r>
      <w:r w:rsidRPr="0063170A">
        <w:rPr>
          <w:rFonts w:asciiTheme="majorBidi" w:hAnsiTheme="majorBidi" w:cstheme="majorBidi"/>
          <w:sz w:val="24"/>
          <w:szCs w:val="24"/>
        </w:rPr>
        <w:t>.”</w:t>
      </w:r>
    </w:p>
    <w:p w14:paraId="649A6F9A" w14:textId="77777777" w:rsidR="009C7603"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The subjects’ comments showed signs of the interviewee’s personal values’ congruity with CSR by using first person pronouns like “</w:t>
      </w:r>
      <w:r w:rsidRPr="009C7603">
        <w:rPr>
          <w:rFonts w:asciiTheme="majorBidi" w:hAnsiTheme="majorBidi" w:cstheme="majorBidi"/>
          <w:i/>
          <w:iCs/>
          <w:sz w:val="24"/>
          <w:szCs w:val="24"/>
        </w:rPr>
        <w:t>I am into humanitarian acts</w:t>
      </w:r>
      <w:r>
        <w:rPr>
          <w:rFonts w:asciiTheme="majorBidi" w:hAnsiTheme="majorBidi" w:cstheme="majorBidi"/>
          <w:sz w:val="24"/>
          <w:szCs w:val="24"/>
        </w:rPr>
        <w:t xml:space="preserve">,” </w:t>
      </w:r>
      <w:r w:rsidRPr="00EB33E8">
        <w:rPr>
          <w:rFonts w:asciiTheme="majorBidi" w:hAnsiTheme="majorBidi" w:cstheme="majorBidi"/>
          <w:sz w:val="24"/>
          <w:szCs w:val="24"/>
        </w:rPr>
        <w:t>“</w:t>
      </w:r>
      <w:r w:rsidRPr="009C7603">
        <w:rPr>
          <w:rFonts w:asciiTheme="majorBidi" w:hAnsiTheme="majorBidi" w:cstheme="majorBidi"/>
          <w:i/>
          <w:iCs/>
          <w:sz w:val="24"/>
          <w:szCs w:val="24"/>
        </w:rPr>
        <w:t>I appreciate</w:t>
      </w:r>
      <w:r>
        <w:rPr>
          <w:rFonts w:asciiTheme="majorBidi" w:hAnsiTheme="majorBidi" w:cstheme="majorBidi"/>
          <w:sz w:val="24"/>
          <w:szCs w:val="24"/>
        </w:rPr>
        <w:t>,</w:t>
      </w:r>
      <w:r w:rsidRPr="00EB33E8">
        <w:rPr>
          <w:rFonts w:asciiTheme="majorBidi" w:hAnsiTheme="majorBidi" w:cstheme="majorBidi"/>
          <w:sz w:val="24"/>
          <w:szCs w:val="24"/>
        </w:rPr>
        <w:t>”</w:t>
      </w:r>
      <w:r>
        <w:rPr>
          <w:rFonts w:asciiTheme="majorBidi" w:hAnsiTheme="majorBidi" w:cstheme="majorBidi"/>
          <w:sz w:val="24"/>
          <w:szCs w:val="24"/>
        </w:rPr>
        <w:t xml:space="preserve"> and “</w:t>
      </w:r>
      <w:r w:rsidRPr="009C7603">
        <w:rPr>
          <w:rFonts w:asciiTheme="majorBidi" w:hAnsiTheme="majorBidi" w:cstheme="majorBidi"/>
          <w:i/>
          <w:iCs/>
          <w:sz w:val="24"/>
          <w:szCs w:val="24"/>
        </w:rPr>
        <w:t>I support</w:t>
      </w:r>
      <w:r>
        <w:rPr>
          <w:rFonts w:asciiTheme="majorBidi" w:hAnsiTheme="majorBidi" w:cstheme="majorBidi"/>
          <w:sz w:val="24"/>
          <w:szCs w:val="24"/>
        </w:rPr>
        <w:t xml:space="preserve">.” Other comments revealed a different type of congruity by shedding light on a sense of </w:t>
      </w:r>
      <w:r w:rsidRPr="009673E4">
        <w:rPr>
          <w:rFonts w:asciiTheme="majorBidi" w:hAnsiTheme="majorBidi" w:cstheme="majorBidi"/>
          <w:sz w:val="24"/>
          <w:szCs w:val="24"/>
        </w:rPr>
        <w:t>patriotism</w:t>
      </w:r>
      <w:r>
        <w:rPr>
          <w:rFonts w:asciiTheme="majorBidi" w:hAnsiTheme="majorBidi" w:cstheme="majorBidi"/>
          <w:sz w:val="24"/>
          <w:szCs w:val="24"/>
        </w:rPr>
        <w:t xml:space="preserve"> towards when the subjects were asked about their views on the CSR communication one of them said: </w:t>
      </w:r>
    </w:p>
    <w:p w14:paraId="20605C43" w14:textId="77777777" w:rsidR="009C7603" w:rsidRDefault="00ED492B" w:rsidP="009C7603">
      <w:pPr>
        <w:widowControl w:val="0"/>
        <w:spacing w:line="240" w:lineRule="auto"/>
        <w:ind w:left="720"/>
        <w:rPr>
          <w:rFonts w:asciiTheme="majorBidi" w:hAnsiTheme="majorBidi" w:cstheme="majorBidi"/>
          <w:sz w:val="24"/>
          <w:szCs w:val="24"/>
        </w:rPr>
      </w:pPr>
      <w:r w:rsidRPr="0063170A">
        <w:rPr>
          <w:rFonts w:asciiTheme="majorBidi" w:hAnsiTheme="majorBidi" w:cstheme="majorBidi"/>
          <w:sz w:val="24"/>
          <w:szCs w:val="24"/>
        </w:rPr>
        <w:t>“</w:t>
      </w:r>
      <w:r w:rsidRPr="009C7603">
        <w:rPr>
          <w:rFonts w:asciiTheme="majorBidi" w:hAnsiTheme="majorBidi" w:cstheme="majorBidi"/>
          <w:i/>
          <w:iCs/>
          <w:sz w:val="24"/>
          <w:szCs w:val="24"/>
        </w:rPr>
        <w:t>I have some information that Asyut is the poorest cities in Egypt. The minute I heard Asyut I felt like I am sold</w:t>
      </w:r>
      <w:r w:rsidR="0063170A" w:rsidRPr="009C7603">
        <w:rPr>
          <w:rFonts w:asciiTheme="majorBidi" w:hAnsiTheme="majorBidi" w:cstheme="majorBidi"/>
          <w:i/>
          <w:iCs/>
          <w:sz w:val="24"/>
          <w:szCs w:val="24"/>
        </w:rPr>
        <w:t xml:space="preserve"> </w:t>
      </w:r>
      <w:r w:rsidR="0063170A" w:rsidRPr="0063170A">
        <w:rPr>
          <w:rFonts w:asciiTheme="majorBidi" w:hAnsiTheme="majorBidi" w:cstheme="majorBidi"/>
          <w:sz w:val="24"/>
          <w:szCs w:val="24"/>
        </w:rPr>
        <w:t>(K.B., 2022)</w:t>
      </w:r>
      <w:r w:rsidRPr="0063170A">
        <w:rPr>
          <w:rFonts w:asciiTheme="majorBidi" w:hAnsiTheme="majorBidi" w:cstheme="majorBidi"/>
          <w:sz w:val="24"/>
          <w:szCs w:val="24"/>
        </w:rPr>
        <w:t>!”</w:t>
      </w:r>
    </w:p>
    <w:p w14:paraId="427F240C" w14:textId="77777777" w:rsidR="009C7603" w:rsidRDefault="00ED492B" w:rsidP="009C7603">
      <w:pPr>
        <w:widowControl w:val="0"/>
        <w:spacing w:after="0" w:line="480" w:lineRule="auto"/>
        <w:rPr>
          <w:rFonts w:asciiTheme="majorBidi" w:hAnsiTheme="majorBidi" w:cstheme="majorBidi"/>
          <w:i/>
          <w:iCs/>
          <w:sz w:val="24"/>
          <w:szCs w:val="24"/>
        </w:rPr>
      </w:pPr>
      <w:r>
        <w:rPr>
          <w:rFonts w:asciiTheme="majorBidi" w:hAnsiTheme="majorBidi" w:cstheme="majorBidi"/>
          <w:i/>
          <w:iCs/>
          <w:sz w:val="24"/>
          <w:szCs w:val="24"/>
        </w:rPr>
        <w:t xml:space="preserve"> </w:t>
      </w:r>
      <w:r w:rsidRPr="005B7C09">
        <w:rPr>
          <w:rFonts w:asciiTheme="majorBidi" w:hAnsiTheme="majorBidi" w:cstheme="majorBidi"/>
          <w:sz w:val="24"/>
          <w:szCs w:val="24"/>
        </w:rPr>
        <w:t>Another one said:</w:t>
      </w:r>
      <w:r>
        <w:rPr>
          <w:rFonts w:asciiTheme="majorBidi" w:hAnsiTheme="majorBidi" w:cstheme="majorBidi"/>
          <w:i/>
          <w:iCs/>
          <w:sz w:val="24"/>
          <w:szCs w:val="24"/>
        </w:rPr>
        <w:t xml:space="preserve"> </w:t>
      </w:r>
    </w:p>
    <w:p w14:paraId="5A8F4CF4" w14:textId="12A79801" w:rsidR="00ED492B" w:rsidRPr="009C7603" w:rsidRDefault="00ED492B" w:rsidP="009C7603">
      <w:pPr>
        <w:widowControl w:val="0"/>
        <w:spacing w:line="240" w:lineRule="auto"/>
        <w:ind w:left="720"/>
        <w:rPr>
          <w:rFonts w:asciiTheme="majorBidi" w:hAnsiTheme="majorBidi" w:cstheme="majorBidi"/>
          <w:i/>
          <w:iCs/>
          <w:sz w:val="24"/>
          <w:szCs w:val="24"/>
        </w:rPr>
      </w:pPr>
      <w:r w:rsidRPr="009C7603">
        <w:rPr>
          <w:rFonts w:asciiTheme="majorBidi" w:hAnsiTheme="majorBidi" w:cstheme="majorBidi"/>
          <w:i/>
          <w:iCs/>
          <w:sz w:val="24"/>
          <w:szCs w:val="24"/>
        </w:rPr>
        <w:t xml:space="preserve">“my first impression is Respect. I respect the company and respect the brand. The word </w:t>
      </w:r>
      <w:r w:rsidR="008D0947" w:rsidRPr="009C7603">
        <w:rPr>
          <w:rFonts w:asciiTheme="majorBidi" w:hAnsiTheme="majorBidi" w:cstheme="majorBidi"/>
          <w:i/>
          <w:iCs/>
          <w:sz w:val="24"/>
          <w:szCs w:val="24"/>
        </w:rPr>
        <w:t>‘</w:t>
      </w:r>
      <w:r w:rsidRPr="009C7603">
        <w:rPr>
          <w:rFonts w:asciiTheme="majorBidi" w:hAnsiTheme="majorBidi" w:cstheme="majorBidi"/>
          <w:i/>
          <w:iCs/>
          <w:sz w:val="24"/>
          <w:szCs w:val="24"/>
        </w:rPr>
        <w:t>bal</w:t>
      </w:r>
      <w:r w:rsidR="00C4373A" w:rsidRPr="009C7603">
        <w:rPr>
          <w:rFonts w:asciiTheme="majorBidi" w:hAnsiTheme="majorBidi" w:cstheme="majorBidi"/>
          <w:i/>
          <w:iCs/>
          <w:sz w:val="24"/>
          <w:szCs w:val="24"/>
        </w:rPr>
        <w:t>a</w:t>
      </w:r>
      <w:r w:rsidRPr="009C7603">
        <w:rPr>
          <w:rFonts w:asciiTheme="majorBidi" w:hAnsiTheme="majorBidi" w:cstheme="majorBidi"/>
          <w:i/>
          <w:iCs/>
          <w:sz w:val="24"/>
          <w:szCs w:val="24"/>
        </w:rPr>
        <w:t>dna</w:t>
      </w:r>
      <w:r w:rsidR="008D0947" w:rsidRPr="009C7603">
        <w:rPr>
          <w:rFonts w:asciiTheme="majorBidi" w:hAnsiTheme="majorBidi" w:cstheme="majorBidi"/>
          <w:i/>
          <w:iCs/>
          <w:sz w:val="24"/>
          <w:szCs w:val="24"/>
        </w:rPr>
        <w:t>’</w:t>
      </w:r>
      <w:r w:rsidRPr="009C7603">
        <w:rPr>
          <w:rFonts w:asciiTheme="majorBidi" w:hAnsiTheme="majorBidi" w:cstheme="majorBidi"/>
          <w:i/>
          <w:iCs/>
          <w:sz w:val="24"/>
          <w:szCs w:val="24"/>
        </w:rPr>
        <w:t xml:space="preserve"> (our nation) is very catchy and creates a sense of belonging</w:t>
      </w:r>
      <w:r w:rsidR="00C4373A" w:rsidRPr="009C7603">
        <w:rPr>
          <w:rFonts w:asciiTheme="majorBidi" w:hAnsiTheme="majorBidi" w:cstheme="majorBidi"/>
          <w:i/>
          <w:iCs/>
          <w:sz w:val="24"/>
          <w:szCs w:val="24"/>
        </w:rPr>
        <w:t xml:space="preserve"> </w:t>
      </w:r>
      <w:r w:rsidR="00C4373A" w:rsidRPr="00C4373A">
        <w:rPr>
          <w:rFonts w:asciiTheme="majorBidi" w:hAnsiTheme="majorBidi" w:cstheme="majorBidi"/>
          <w:sz w:val="24"/>
          <w:szCs w:val="24"/>
        </w:rPr>
        <w:t>(N.N., 2022)</w:t>
      </w:r>
      <w:r w:rsidRPr="00C4373A">
        <w:rPr>
          <w:rFonts w:asciiTheme="majorBidi" w:hAnsiTheme="majorBidi" w:cstheme="majorBidi"/>
          <w:sz w:val="24"/>
          <w:szCs w:val="24"/>
        </w:rPr>
        <w:t>.”</w:t>
      </w:r>
    </w:p>
    <w:p w14:paraId="46880103" w14:textId="10807827" w:rsidR="00ED492B" w:rsidRDefault="00ED492B" w:rsidP="00ED492B">
      <w:pPr>
        <w:widowControl w:val="0"/>
        <w:spacing w:after="0" w:line="480" w:lineRule="auto"/>
        <w:rPr>
          <w:rFonts w:asciiTheme="majorBidi" w:hAnsiTheme="majorBidi" w:cstheme="majorBidi"/>
          <w:sz w:val="24"/>
          <w:szCs w:val="24"/>
        </w:rPr>
      </w:pPr>
      <w:r>
        <w:rPr>
          <w:rFonts w:asciiTheme="majorBidi" w:hAnsiTheme="majorBidi" w:cstheme="majorBidi"/>
          <w:sz w:val="24"/>
          <w:szCs w:val="24"/>
        </w:rPr>
        <w:tab/>
        <w:t>Based on the above discoveries, when there is proximity or congruity between people’s values and the communication, there will be positive attitudes towards the product in the communication.</w:t>
      </w:r>
    </w:p>
    <w:p w14:paraId="3DB023CF" w14:textId="77777777" w:rsidR="00593974" w:rsidRDefault="00593974">
      <w:pPr>
        <w:rPr>
          <w:rFonts w:asciiTheme="majorBidi" w:hAnsiTheme="majorBidi" w:cstheme="majorBidi"/>
          <w:b/>
          <w:bCs/>
          <w:sz w:val="24"/>
          <w:szCs w:val="24"/>
        </w:rPr>
      </w:pPr>
      <w:r>
        <w:rPr>
          <w:rFonts w:asciiTheme="majorBidi" w:hAnsiTheme="majorBidi" w:cstheme="majorBidi"/>
          <w:b/>
          <w:bCs/>
          <w:sz w:val="24"/>
          <w:szCs w:val="24"/>
        </w:rPr>
        <w:br w:type="page"/>
      </w:r>
    </w:p>
    <w:p w14:paraId="6A9B97CB" w14:textId="2F828835" w:rsidR="00ED492B" w:rsidRDefault="00ED492B" w:rsidP="00ED492B">
      <w:pPr>
        <w:widowControl w:val="0"/>
        <w:rPr>
          <w:rFonts w:asciiTheme="majorBidi" w:hAnsiTheme="majorBidi" w:cstheme="majorBidi"/>
          <w:b/>
          <w:bCs/>
          <w:sz w:val="24"/>
          <w:szCs w:val="24"/>
        </w:rPr>
      </w:pPr>
      <w:r>
        <w:rPr>
          <w:rFonts w:asciiTheme="majorBidi" w:hAnsiTheme="majorBidi" w:cstheme="majorBidi"/>
          <w:b/>
          <w:bCs/>
          <w:sz w:val="24"/>
          <w:szCs w:val="24"/>
        </w:rPr>
        <w:t>7.</w:t>
      </w:r>
      <w:r w:rsidR="008900D7">
        <w:rPr>
          <w:rFonts w:asciiTheme="majorBidi" w:hAnsiTheme="majorBidi" w:cstheme="majorBidi"/>
          <w:b/>
          <w:bCs/>
          <w:sz w:val="24"/>
          <w:szCs w:val="24"/>
        </w:rPr>
        <w:t>4</w:t>
      </w:r>
      <w:r>
        <w:rPr>
          <w:rFonts w:asciiTheme="majorBidi" w:hAnsiTheme="majorBidi" w:cstheme="majorBidi"/>
          <w:b/>
          <w:bCs/>
          <w:sz w:val="24"/>
          <w:szCs w:val="24"/>
        </w:rPr>
        <w:t xml:space="preserve"> </w:t>
      </w:r>
      <w:r w:rsidRPr="004A3300">
        <w:rPr>
          <w:rFonts w:asciiTheme="majorBidi" w:hAnsiTheme="majorBidi" w:cstheme="majorBidi"/>
          <w:b/>
          <w:bCs/>
          <w:sz w:val="24"/>
          <w:szCs w:val="24"/>
        </w:rPr>
        <w:t>Conclusion</w:t>
      </w:r>
    </w:p>
    <w:p w14:paraId="3C745FA3" w14:textId="5BACCAEA" w:rsidR="007A225E" w:rsidRDefault="00ED492B" w:rsidP="00D65FF6">
      <w:pPr>
        <w:widowControl w:val="0"/>
        <w:spacing w:line="480" w:lineRule="auto"/>
        <w:rPr>
          <w:rFonts w:asciiTheme="majorBidi" w:hAnsiTheme="majorBidi" w:cstheme="majorBidi"/>
          <w:sz w:val="24"/>
          <w:szCs w:val="24"/>
        </w:rPr>
      </w:pPr>
      <w:r>
        <w:rPr>
          <w:rFonts w:asciiTheme="majorBidi" w:hAnsiTheme="majorBidi" w:cstheme="majorBidi"/>
          <w:b/>
          <w:bCs/>
          <w:sz w:val="24"/>
          <w:szCs w:val="24"/>
        </w:rPr>
        <w:tab/>
      </w:r>
      <w:r w:rsidRPr="000C7762">
        <w:rPr>
          <w:rFonts w:asciiTheme="majorBidi" w:hAnsiTheme="majorBidi" w:cstheme="majorBidi"/>
          <w:sz w:val="24"/>
          <w:szCs w:val="24"/>
        </w:rPr>
        <w:t xml:space="preserve">In conclusion, there </w:t>
      </w:r>
      <w:r w:rsidR="008D0947">
        <w:rPr>
          <w:rFonts w:asciiTheme="majorBidi" w:hAnsiTheme="majorBidi" w:cstheme="majorBidi"/>
          <w:sz w:val="24"/>
          <w:szCs w:val="24"/>
        </w:rPr>
        <w:t>are</w:t>
      </w:r>
      <w:r w:rsidRPr="000C7762">
        <w:rPr>
          <w:rFonts w:asciiTheme="majorBidi" w:hAnsiTheme="majorBidi" w:cstheme="majorBidi"/>
          <w:sz w:val="24"/>
          <w:szCs w:val="24"/>
        </w:rPr>
        <w:t xml:space="preserve"> </w:t>
      </w:r>
      <w:r>
        <w:rPr>
          <w:rFonts w:asciiTheme="majorBidi" w:hAnsiTheme="majorBidi" w:cstheme="majorBidi"/>
          <w:sz w:val="24"/>
          <w:szCs w:val="24"/>
        </w:rPr>
        <w:t>q</w:t>
      </w:r>
      <w:r w:rsidRPr="000C7762">
        <w:rPr>
          <w:rFonts w:asciiTheme="majorBidi" w:hAnsiTheme="majorBidi" w:cstheme="majorBidi"/>
          <w:sz w:val="24"/>
          <w:szCs w:val="24"/>
        </w:rPr>
        <w:t xml:space="preserve">uite a few key findings that </w:t>
      </w:r>
      <w:r>
        <w:rPr>
          <w:rFonts w:asciiTheme="majorBidi" w:hAnsiTheme="majorBidi" w:cstheme="majorBidi"/>
          <w:sz w:val="24"/>
          <w:szCs w:val="24"/>
        </w:rPr>
        <w:t>were dominantly present in</w:t>
      </w:r>
      <w:r w:rsidRPr="000C7762">
        <w:rPr>
          <w:rFonts w:asciiTheme="majorBidi" w:hAnsiTheme="majorBidi" w:cstheme="majorBidi"/>
          <w:sz w:val="24"/>
          <w:szCs w:val="24"/>
        </w:rPr>
        <w:t xml:space="preserve"> the qualitative data. </w:t>
      </w:r>
      <w:bookmarkStart w:id="221" w:name="_Hlk157254794"/>
      <w:r w:rsidRPr="000C7762">
        <w:rPr>
          <w:rFonts w:asciiTheme="majorBidi" w:hAnsiTheme="majorBidi" w:cstheme="majorBidi"/>
          <w:sz w:val="24"/>
          <w:szCs w:val="24"/>
        </w:rPr>
        <w:t>It is evident that the interviewed consumers preferred the CSR ad for its creative message and the</w:t>
      </w:r>
      <w:r>
        <w:rPr>
          <w:rFonts w:asciiTheme="majorBidi" w:hAnsiTheme="majorBidi" w:cstheme="majorBidi"/>
          <w:sz w:val="24"/>
          <w:szCs w:val="24"/>
        </w:rPr>
        <w:t>y</w:t>
      </w:r>
      <w:r w:rsidRPr="000C7762">
        <w:rPr>
          <w:rFonts w:asciiTheme="majorBidi" w:hAnsiTheme="majorBidi" w:cstheme="majorBidi"/>
          <w:sz w:val="24"/>
          <w:szCs w:val="24"/>
        </w:rPr>
        <w:t xml:space="preserve"> liked the brand for its humanitarian </w:t>
      </w:r>
      <w:r>
        <w:rPr>
          <w:rFonts w:asciiTheme="majorBidi" w:hAnsiTheme="majorBidi" w:cstheme="majorBidi"/>
          <w:sz w:val="24"/>
          <w:szCs w:val="24"/>
        </w:rPr>
        <w:t>initiative</w:t>
      </w:r>
      <w:r w:rsidRPr="000C7762">
        <w:rPr>
          <w:rFonts w:asciiTheme="majorBidi" w:hAnsiTheme="majorBidi" w:cstheme="majorBidi"/>
          <w:sz w:val="24"/>
          <w:szCs w:val="24"/>
        </w:rPr>
        <w:t>. These attitudes towards the CSR ad and the brand led to the emergence of purchase intentions. However, it is important to highlight that purchase intentions were always expressed by the participants as an intention.</w:t>
      </w:r>
      <w:bookmarkEnd w:id="221"/>
      <w:r w:rsidRPr="000C7762">
        <w:rPr>
          <w:rFonts w:asciiTheme="majorBidi" w:hAnsiTheme="majorBidi" w:cstheme="majorBidi"/>
          <w:sz w:val="24"/>
          <w:szCs w:val="24"/>
        </w:rPr>
        <w:t xml:space="preserve"> Respondents expressed intentions using words that showed that this intention could be interrupted by other unmeasured variables before performing the final behaviour. Also, it is crucial to highlight </w:t>
      </w:r>
      <w:bookmarkStart w:id="222" w:name="_Hlk157254813"/>
      <w:r w:rsidRPr="000C7762">
        <w:rPr>
          <w:rFonts w:asciiTheme="majorBidi" w:hAnsiTheme="majorBidi" w:cstheme="majorBidi"/>
          <w:sz w:val="24"/>
          <w:szCs w:val="24"/>
        </w:rPr>
        <w:t>the interviewee’s expressed concern</w:t>
      </w:r>
      <w:r>
        <w:rPr>
          <w:rFonts w:asciiTheme="majorBidi" w:hAnsiTheme="majorBidi" w:cstheme="majorBidi"/>
          <w:sz w:val="24"/>
          <w:szCs w:val="24"/>
        </w:rPr>
        <w:t xml:space="preserve"> and suggested strategies</w:t>
      </w:r>
      <w:r w:rsidRPr="000C7762">
        <w:rPr>
          <w:rFonts w:asciiTheme="majorBidi" w:hAnsiTheme="majorBidi" w:cstheme="majorBidi"/>
          <w:sz w:val="24"/>
          <w:szCs w:val="24"/>
        </w:rPr>
        <w:t xml:space="preserve"> for trusting the CSR ad that was evident across different themes.</w:t>
      </w:r>
      <w:r>
        <w:rPr>
          <w:rFonts w:asciiTheme="majorBidi" w:hAnsiTheme="majorBidi" w:cstheme="majorBidi"/>
          <w:sz w:val="24"/>
          <w:szCs w:val="24"/>
        </w:rPr>
        <w:t xml:space="preserve"> Lastly, it appeared that a congruity between people’s personal values and the values communicated in the ad has a positive influence on brand attitudes and purchase intention. </w:t>
      </w:r>
      <w:bookmarkEnd w:id="222"/>
      <w:r w:rsidRPr="000C7762">
        <w:rPr>
          <w:rFonts w:asciiTheme="majorBidi" w:hAnsiTheme="majorBidi" w:cstheme="majorBidi"/>
          <w:sz w:val="24"/>
          <w:szCs w:val="24"/>
        </w:rPr>
        <w:t>These</w:t>
      </w:r>
      <w:r>
        <w:rPr>
          <w:rFonts w:asciiTheme="majorBidi" w:hAnsiTheme="majorBidi" w:cstheme="majorBidi"/>
          <w:sz w:val="24"/>
          <w:szCs w:val="24"/>
        </w:rPr>
        <w:t xml:space="preserve"> findings will be further examined under the study’s theoretical frameworks in the next chapter. </w:t>
      </w:r>
    </w:p>
    <w:p w14:paraId="284C27AF" w14:textId="77777777" w:rsidR="003320A4" w:rsidRDefault="003320A4" w:rsidP="00890438">
      <w:pPr>
        <w:jc w:val="center"/>
        <w:rPr>
          <w:rFonts w:asciiTheme="majorBidi" w:hAnsiTheme="majorBidi" w:cstheme="majorBidi"/>
          <w:b/>
          <w:bCs/>
          <w:sz w:val="24"/>
          <w:szCs w:val="24"/>
        </w:rPr>
      </w:pPr>
    </w:p>
    <w:p w14:paraId="1158F2B6" w14:textId="77777777" w:rsidR="00AA155C" w:rsidRDefault="00AA155C" w:rsidP="00890438">
      <w:pPr>
        <w:jc w:val="center"/>
        <w:rPr>
          <w:rFonts w:asciiTheme="majorBidi" w:hAnsiTheme="majorBidi" w:cstheme="majorBidi"/>
          <w:b/>
          <w:bCs/>
          <w:sz w:val="24"/>
          <w:szCs w:val="24"/>
        </w:rPr>
      </w:pPr>
    </w:p>
    <w:p w14:paraId="3F52CD90" w14:textId="77777777" w:rsidR="00AA155C" w:rsidRDefault="00AA155C" w:rsidP="00890438">
      <w:pPr>
        <w:jc w:val="center"/>
        <w:rPr>
          <w:rFonts w:asciiTheme="majorBidi" w:hAnsiTheme="majorBidi" w:cstheme="majorBidi"/>
          <w:b/>
          <w:bCs/>
          <w:sz w:val="24"/>
          <w:szCs w:val="24"/>
        </w:rPr>
      </w:pPr>
    </w:p>
    <w:p w14:paraId="5F951138" w14:textId="77777777" w:rsidR="00AA155C" w:rsidRDefault="00AA155C" w:rsidP="00890438">
      <w:pPr>
        <w:jc w:val="center"/>
        <w:rPr>
          <w:rFonts w:asciiTheme="majorBidi" w:hAnsiTheme="majorBidi" w:cstheme="majorBidi"/>
          <w:b/>
          <w:bCs/>
          <w:sz w:val="24"/>
          <w:szCs w:val="24"/>
        </w:rPr>
      </w:pPr>
    </w:p>
    <w:p w14:paraId="6179FD0A" w14:textId="77777777" w:rsidR="00AA155C" w:rsidRDefault="00AA155C" w:rsidP="00890438">
      <w:pPr>
        <w:jc w:val="center"/>
        <w:rPr>
          <w:rFonts w:asciiTheme="majorBidi" w:hAnsiTheme="majorBidi" w:cstheme="majorBidi"/>
          <w:b/>
          <w:bCs/>
          <w:sz w:val="24"/>
          <w:szCs w:val="24"/>
        </w:rPr>
      </w:pPr>
    </w:p>
    <w:p w14:paraId="6C77E97D" w14:textId="77777777" w:rsidR="00AA155C" w:rsidRDefault="00AA155C" w:rsidP="00890438">
      <w:pPr>
        <w:jc w:val="center"/>
        <w:rPr>
          <w:rFonts w:asciiTheme="majorBidi" w:hAnsiTheme="majorBidi" w:cstheme="majorBidi"/>
          <w:b/>
          <w:bCs/>
          <w:sz w:val="24"/>
          <w:szCs w:val="24"/>
        </w:rPr>
      </w:pPr>
    </w:p>
    <w:p w14:paraId="31031687" w14:textId="77777777" w:rsidR="00AA155C" w:rsidRDefault="00AA155C" w:rsidP="00890438">
      <w:pPr>
        <w:jc w:val="center"/>
        <w:rPr>
          <w:rFonts w:asciiTheme="majorBidi" w:hAnsiTheme="majorBidi" w:cstheme="majorBidi"/>
          <w:b/>
          <w:bCs/>
          <w:sz w:val="24"/>
          <w:szCs w:val="24"/>
        </w:rPr>
      </w:pPr>
    </w:p>
    <w:p w14:paraId="0B2021ED" w14:textId="77777777" w:rsidR="00AA155C" w:rsidRDefault="00AA155C" w:rsidP="00890438">
      <w:pPr>
        <w:jc w:val="center"/>
        <w:rPr>
          <w:rFonts w:asciiTheme="majorBidi" w:hAnsiTheme="majorBidi" w:cstheme="majorBidi"/>
          <w:b/>
          <w:bCs/>
          <w:sz w:val="24"/>
          <w:szCs w:val="24"/>
        </w:rPr>
      </w:pPr>
    </w:p>
    <w:p w14:paraId="36006D3E" w14:textId="77777777" w:rsidR="00AA155C" w:rsidRDefault="00AA155C" w:rsidP="00890438">
      <w:pPr>
        <w:jc w:val="center"/>
        <w:rPr>
          <w:rFonts w:asciiTheme="majorBidi" w:hAnsiTheme="majorBidi" w:cstheme="majorBidi"/>
          <w:b/>
          <w:bCs/>
          <w:sz w:val="24"/>
          <w:szCs w:val="24"/>
        </w:rPr>
      </w:pPr>
    </w:p>
    <w:p w14:paraId="41F0F120" w14:textId="77777777" w:rsidR="00AA155C" w:rsidRDefault="00AA155C" w:rsidP="00890438">
      <w:pPr>
        <w:jc w:val="center"/>
        <w:rPr>
          <w:rFonts w:asciiTheme="majorBidi" w:hAnsiTheme="majorBidi" w:cstheme="majorBidi"/>
          <w:b/>
          <w:bCs/>
          <w:sz w:val="24"/>
          <w:szCs w:val="24"/>
        </w:rPr>
      </w:pPr>
    </w:p>
    <w:p w14:paraId="06BDE9CB" w14:textId="77777777" w:rsidR="00AA155C" w:rsidRDefault="00AA155C" w:rsidP="00890438">
      <w:pPr>
        <w:jc w:val="center"/>
        <w:rPr>
          <w:rFonts w:asciiTheme="majorBidi" w:hAnsiTheme="majorBidi" w:cstheme="majorBidi"/>
          <w:b/>
          <w:bCs/>
          <w:sz w:val="24"/>
          <w:szCs w:val="24"/>
        </w:rPr>
      </w:pPr>
    </w:p>
    <w:p w14:paraId="37F06B14" w14:textId="77777777" w:rsidR="00AA155C" w:rsidRDefault="00AA155C" w:rsidP="00890438">
      <w:pPr>
        <w:jc w:val="center"/>
        <w:rPr>
          <w:rFonts w:asciiTheme="majorBidi" w:hAnsiTheme="majorBidi" w:cstheme="majorBidi"/>
          <w:b/>
          <w:bCs/>
          <w:sz w:val="24"/>
          <w:szCs w:val="24"/>
        </w:rPr>
      </w:pPr>
    </w:p>
    <w:p w14:paraId="3F6807EC" w14:textId="77777777" w:rsidR="00AA155C" w:rsidRDefault="00AA155C" w:rsidP="006605E7">
      <w:pPr>
        <w:rPr>
          <w:rFonts w:asciiTheme="majorBidi" w:hAnsiTheme="majorBidi" w:cstheme="majorBidi"/>
          <w:b/>
          <w:bCs/>
          <w:sz w:val="24"/>
          <w:szCs w:val="24"/>
        </w:rPr>
      </w:pPr>
    </w:p>
    <w:p w14:paraId="066736DB" w14:textId="77777777" w:rsidR="00511634" w:rsidRDefault="00511634">
      <w:pPr>
        <w:rPr>
          <w:rFonts w:asciiTheme="majorBidi" w:hAnsiTheme="majorBidi" w:cstheme="majorBidi"/>
          <w:b/>
          <w:bCs/>
          <w:sz w:val="24"/>
          <w:szCs w:val="24"/>
        </w:rPr>
      </w:pPr>
      <w:r>
        <w:rPr>
          <w:rFonts w:asciiTheme="majorBidi" w:hAnsiTheme="majorBidi" w:cstheme="majorBidi"/>
          <w:b/>
          <w:bCs/>
          <w:sz w:val="24"/>
          <w:szCs w:val="24"/>
        </w:rPr>
        <w:br w:type="page"/>
      </w:r>
    </w:p>
    <w:p w14:paraId="0874A09D" w14:textId="6A4F7C7A" w:rsidR="00890438" w:rsidRPr="00951A35" w:rsidRDefault="00890438" w:rsidP="00890438">
      <w:pPr>
        <w:jc w:val="center"/>
        <w:rPr>
          <w:rFonts w:asciiTheme="majorBidi" w:hAnsiTheme="majorBidi" w:cstheme="majorBidi"/>
          <w:b/>
          <w:bCs/>
          <w:sz w:val="24"/>
          <w:szCs w:val="24"/>
        </w:rPr>
      </w:pPr>
      <w:r w:rsidRPr="00951A35">
        <w:rPr>
          <w:rFonts w:asciiTheme="majorBidi" w:hAnsiTheme="majorBidi" w:cstheme="majorBidi"/>
          <w:b/>
          <w:bCs/>
          <w:sz w:val="24"/>
          <w:szCs w:val="24"/>
        </w:rPr>
        <w:t>Chapter 8</w:t>
      </w:r>
    </w:p>
    <w:p w14:paraId="7D4259D5" w14:textId="77777777" w:rsidR="00890438" w:rsidRPr="00951A35" w:rsidRDefault="00890438" w:rsidP="00890438">
      <w:pPr>
        <w:jc w:val="center"/>
        <w:rPr>
          <w:rFonts w:asciiTheme="majorBidi" w:hAnsiTheme="majorBidi" w:cstheme="majorBidi"/>
          <w:b/>
          <w:bCs/>
          <w:sz w:val="24"/>
          <w:szCs w:val="24"/>
        </w:rPr>
      </w:pPr>
      <w:r w:rsidRPr="00951A35">
        <w:rPr>
          <w:rFonts w:asciiTheme="majorBidi" w:hAnsiTheme="majorBidi" w:cstheme="majorBidi"/>
          <w:b/>
          <w:bCs/>
          <w:sz w:val="24"/>
          <w:szCs w:val="24"/>
        </w:rPr>
        <w:t>Discussion</w:t>
      </w:r>
    </w:p>
    <w:p w14:paraId="757D466C" w14:textId="7FD1524A" w:rsidR="00890438" w:rsidRPr="00C6513E" w:rsidRDefault="00890438" w:rsidP="00890438">
      <w:pPr>
        <w:rPr>
          <w:rFonts w:asciiTheme="majorBidi" w:hAnsiTheme="majorBidi" w:cstheme="majorBidi"/>
          <w:b/>
          <w:bCs/>
          <w:sz w:val="24"/>
          <w:szCs w:val="24"/>
        </w:rPr>
      </w:pPr>
      <w:r>
        <w:rPr>
          <w:rFonts w:asciiTheme="majorBidi" w:hAnsiTheme="majorBidi" w:cstheme="majorBidi"/>
          <w:b/>
          <w:bCs/>
          <w:sz w:val="24"/>
          <w:szCs w:val="24"/>
        </w:rPr>
        <w:t>8</w:t>
      </w:r>
      <w:r w:rsidRPr="00C6513E">
        <w:rPr>
          <w:rFonts w:asciiTheme="majorBidi" w:hAnsiTheme="majorBidi" w:cstheme="majorBidi"/>
          <w:b/>
          <w:bCs/>
          <w:sz w:val="24"/>
          <w:szCs w:val="24"/>
        </w:rPr>
        <w:t>.</w:t>
      </w:r>
      <w:r w:rsidR="008900D7">
        <w:rPr>
          <w:rFonts w:asciiTheme="majorBidi" w:hAnsiTheme="majorBidi" w:cstheme="majorBidi"/>
          <w:b/>
          <w:bCs/>
          <w:sz w:val="24"/>
          <w:szCs w:val="24"/>
        </w:rPr>
        <w:t>0</w:t>
      </w:r>
      <w:r w:rsidRPr="00C6513E">
        <w:rPr>
          <w:rFonts w:asciiTheme="majorBidi" w:hAnsiTheme="majorBidi" w:cstheme="majorBidi"/>
          <w:b/>
          <w:bCs/>
          <w:sz w:val="24"/>
          <w:szCs w:val="24"/>
        </w:rPr>
        <w:t xml:space="preserve"> Introduction</w:t>
      </w:r>
    </w:p>
    <w:p w14:paraId="62039BC9" w14:textId="42BCF024" w:rsidR="00890438" w:rsidRPr="00C6513E" w:rsidRDefault="00890438" w:rsidP="00890438">
      <w:pPr>
        <w:spacing w:after="0" w:line="480" w:lineRule="auto"/>
        <w:rPr>
          <w:rFonts w:asciiTheme="majorBidi" w:hAnsiTheme="majorBidi" w:cstheme="majorBidi"/>
          <w:sz w:val="24"/>
          <w:szCs w:val="24"/>
        </w:rPr>
      </w:pPr>
      <w:r>
        <w:rPr>
          <w:rFonts w:asciiTheme="majorBidi" w:hAnsiTheme="majorBidi" w:cstheme="majorBidi"/>
          <w:sz w:val="24"/>
          <w:szCs w:val="24"/>
        </w:rPr>
        <w:tab/>
      </w:r>
      <w:r w:rsidRPr="00C6513E">
        <w:rPr>
          <w:rFonts w:asciiTheme="majorBidi" w:hAnsiTheme="majorBidi" w:cstheme="majorBidi"/>
          <w:sz w:val="24"/>
          <w:szCs w:val="24"/>
        </w:rPr>
        <w:t>This chapter</w:t>
      </w:r>
      <w:r>
        <w:rPr>
          <w:rFonts w:asciiTheme="majorBidi" w:hAnsiTheme="majorBidi" w:cstheme="majorBidi"/>
          <w:sz w:val="24"/>
          <w:szCs w:val="24"/>
        </w:rPr>
        <w:t xml:space="preserve"> </w:t>
      </w:r>
      <w:r w:rsidR="00951A35">
        <w:rPr>
          <w:rFonts w:asciiTheme="majorBidi" w:hAnsiTheme="majorBidi" w:cstheme="majorBidi"/>
          <w:sz w:val="24"/>
          <w:szCs w:val="24"/>
        </w:rPr>
        <w:t xml:space="preserve">examines the previously reported results </w:t>
      </w:r>
      <w:r w:rsidR="00D82635">
        <w:rPr>
          <w:rFonts w:asciiTheme="majorBidi" w:hAnsiTheme="majorBidi" w:cstheme="majorBidi"/>
          <w:sz w:val="24"/>
          <w:szCs w:val="24"/>
        </w:rPr>
        <w:t xml:space="preserve">in chapters six and seven </w:t>
      </w:r>
      <w:r w:rsidR="00951A35">
        <w:rPr>
          <w:rFonts w:asciiTheme="majorBidi" w:hAnsiTheme="majorBidi" w:cstheme="majorBidi"/>
          <w:sz w:val="24"/>
          <w:szCs w:val="24"/>
        </w:rPr>
        <w:t>while reflecting on the theoretical frameworks</w:t>
      </w:r>
      <w:r w:rsidR="0002174E">
        <w:rPr>
          <w:rFonts w:asciiTheme="majorBidi" w:hAnsiTheme="majorBidi" w:cstheme="majorBidi"/>
          <w:sz w:val="24"/>
          <w:szCs w:val="24"/>
        </w:rPr>
        <w:t xml:space="preserve">, </w:t>
      </w:r>
      <w:r w:rsidR="00951A35">
        <w:rPr>
          <w:rFonts w:asciiTheme="majorBidi" w:hAnsiTheme="majorBidi" w:cstheme="majorBidi"/>
          <w:sz w:val="24"/>
          <w:szCs w:val="24"/>
        </w:rPr>
        <w:t>the study’s hypotheses</w:t>
      </w:r>
      <w:r w:rsidR="0002174E">
        <w:rPr>
          <w:rFonts w:asciiTheme="majorBidi" w:hAnsiTheme="majorBidi" w:cstheme="majorBidi"/>
          <w:sz w:val="24"/>
          <w:szCs w:val="24"/>
        </w:rPr>
        <w:t>,</w:t>
      </w:r>
      <w:r w:rsidR="00951A35">
        <w:rPr>
          <w:rFonts w:asciiTheme="majorBidi" w:hAnsiTheme="majorBidi" w:cstheme="majorBidi"/>
          <w:sz w:val="24"/>
          <w:szCs w:val="24"/>
        </w:rPr>
        <w:t xml:space="preserve"> and research questions.</w:t>
      </w:r>
      <w:r w:rsidRPr="00C6513E">
        <w:rPr>
          <w:rFonts w:asciiTheme="majorBidi" w:hAnsiTheme="majorBidi" w:cstheme="majorBidi"/>
          <w:sz w:val="24"/>
          <w:szCs w:val="24"/>
        </w:rPr>
        <w:t xml:space="preserve"> </w:t>
      </w:r>
      <w:r>
        <w:rPr>
          <w:rFonts w:asciiTheme="majorBidi" w:hAnsiTheme="majorBidi" w:cstheme="majorBidi"/>
          <w:sz w:val="24"/>
          <w:szCs w:val="24"/>
        </w:rPr>
        <w:t xml:space="preserve">Additionally, this chapter focuses on discussing the results yielded from the comparisons between the impact of CSR and non-CSR communications on Egyptian consumers of an FMCG product by reflecting these findings on the conceptual framework of the study. </w:t>
      </w:r>
      <w:r w:rsidRPr="00C6513E">
        <w:rPr>
          <w:rFonts w:asciiTheme="majorBidi" w:hAnsiTheme="majorBidi" w:cstheme="majorBidi"/>
          <w:sz w:val="24"/>
          <w:szCs w:val="24"/>
        </w:rPr>
        <w:t>To better comprehend the data and the way it reflects on the RQs</w:t>
      </w:r>
      <w:r>
        <w:rPr>
          <w:rFonts w:asciiTheme="majorBidi" w:hAnsiTheme="majorBidi" w:cstheme="majorBidi"/>
          <w:sz w:val="24"/>
          <w:szCs w:val="24"/>
        </w:rPr>
        <w:t xml:space="preserve"> and hypotheses</w:t>
      </w:r>
      <w:r w:rsidRPr="00C6513E">
        <w:rPr>
          <w:rFonts w:asciiTheme="majorBidi" w:hAnsiTheme="majorBidi" w:cstheme="majorBidi"/>
          <w:sz w:val="24"/>
          <w:szCs w:val="24"/>
        </w:rPr>
        <w:t xml:space="preserve"> of this study, th</w:t>
      </w:r>
      <w:r w:rsidR="00D82635">
        <w:rPr>
          <w:rFonts w:asciiTheme="majorBidi" w:hAnsiTheme="majorBidi" w:cstheme="majorBidi"/>
          <w:sz w:val="24"/>
          <w:szCs w:val="24"/>
        </w:rPr>
        <w:t xml:space="preserve">is </w:t>
      </w:r>
      <w:r w:rsidRPr="00C6513E">
        <w:rPr>
          <w:rFonts w:asciiTheme="majorBidi" w:hAnsiTheme="majorBidi" w:cstheme="majorBidi"/>
          <w:sz w:val="24"/>
          <w:szCs w:val="24"/>
        </w:rPr>
        <w:t xml:space="preserve">chapter provides a critical synthesis of the key ideas that </w:t>
      </w:r>
      <w:r>
        <w:rPr>
          <w:rFonts w:asciiTheme="majorBidi" w:hAnsiTheme="majorBidi" w:cstheme="majorBidi"/>
          <w:sz w:val="24"/>
          <w:szCs w:val="24"/>
        </w:rPr>
        <w:t xml:space="preserve">emerged </w:t>
      </w:r>
      <w:r w:rsidR="00D86F5E">
        <w:rPr>
          <w:rFonts w:asciiTheme="majorBidi" w:hAnsiTheme="majorBidi" w:cstheme="majorBidi"/>
          <w:sz w:val="24"/>
          <w:szCs w:val="24"/>
        </w:rPr>
        <w:t>from</w:t>
      </w:r>
      <w:r w:rsidRPr="00C6513E">
        <w:rPr>
          <w:rFonts w:asciiTheme="majorBidi" w:hAnsiTheme="majorBidi" w:cstheme="majorBidi"/>
          <w:sz w:val="24"/>
          <w:szCs w:val="24"/>
        </w:rPr>
        <w:t xml:space="preserve"> both studies. The significant findings are further examined throughout the chapter in </w:t>
      </w:r>
      <w:r>
        <w:rPr>
          <w:rFonts w:asciiTheme="majorBidi" w:hAnsiTheme="majorBidi" w:cstheme="majorBidi"/>
          <w:sz w:val="24"/>
          <w:szCs w:val="24"/>
        </w:rPr>
        <w:t>reference</w:t>
      </w:r>
      <w:r w:rsidRPr="00C6513E">
        <w:rPr>
          <w:rFonts w:asciiTheme="majorBidi" w:hAnsiTheme="majorBidi" w:cstheme="majorBidi"/>
          <w:sz w:val="24"/>
          <w:szCs w:val="24"/>
        </w:rPr>
        <w:t xml:space="preserve"> to previous findings in literature that were </w:t>
      </w:r>
      <w:r>
        <w:rPr>
          <w:rFonts w:asciiTheme="majorBidi" w:hAnsiTheme="majorBidi" w:cstheme="majorBidi"/>
          <w:sz w:val="24"/>
          <w:szCs w:val="24"/>
        </w:rPr>
        <w:t>depicted</w:t>
      </w:r>
      <w:r w:rsidRPr="00C6513E">
        <w:rPr>
          <w:rFonts w:asciiTheme="majorBidi" w:hAnsiTheme="majorBidi" w:cstheme="majorBidi"/>
          <w:sz w:val="24"/>
          <w:szCs w:val="24"/>
        </w:rPr>
        <w:t xml:space="preserve"> in chapter </w:t>
      </w:r>
      <w:r w:rsidR="006E42CD">
        <w:rPr>
          <w:rFonts w:asciiTheme="majorBidi" w:hAnsiTheme="majorBidi" w:cstheme="majorBidi"/>
          <w:sz w:val="24"/>
          <w:szCs w:val="24"/>
        </w:rPr>
        <w:t>two</w:t>
      </w:r>
      <w:r w:rsidRPr="00C6513E">
        <w:rPr>
          <w:rFonts w:asciiTheme="majorBidi" w:hAnsiTheme="majorBidi" w:cstheme="majorBidi"/>
          <w:sz w:val="24"/>
          <w:szCs w:val="24"/>
        </w:rPr>
        <w:t xml:space="preserve"> and </w:t>
      </w:r>
      <w:r w:rsidR="006E42CD">
        <w:rPr>
          <w:rFonts w:asciiTheme="majorBidi" w:hAnsiTheme="majorBidi" w:cstheme="majorBidi"/>
          <w:sz w:val="24"/>
          <w:szCs w:val="24"/>
        </w:rPr>
        <w:t>three</w:t>
      </w:r>
      <w:r w:rsidRPr="00C6513E">
        <w:rPr>
          <w:rFonts w:asciiTheme="majorBidi" w:hAnsiTheme="majorBidi" w:cstheme="majorBidi"/>
          <w:sz w:val="24"/>
          <w:szCs w:val="24"/>
        </w:rPr>
        <w:t xml:space="preserve">. </w:t>
      </w:r>
      <w:r w:rsidR="0002174E">
        <w:rPr>
          <w:rFonts w:asciiTheme="majorBidi" w:hAnsiTheme="majorBidi" w:cstheme="majorBidi"/>
          <w:sz w:val="24"/>
          <w:szCs w:val="24"/>
        </w:rPr>
        <w:t xml:space="preserve">Thus, this discussion reflects the findings while making connections to literature and theory. </w:t>
      </w:r>
      <w:r w:rsidR="009666A2">
        <w:rPr>
          <w:rFonts w:asciiTheme="majorBidi" w:hAnsiTheme="majorBidi" w:cstheme="majorBidi"/>
          <w:sz w:val="24"/>
          <w:szCs w:val="24"/>
        </w:rPr>
        <w:t xml:space="preserve">The main gap that </w:t>
      </w:r>
      <w:r w:rsidR="009666A2" w:rsidRPr="009C7603">
        <w:rPr>
          <w:rFonts w:asciiTheme="majorBidi" w:hAnsiTheme="majorBidi" w:cstheme="majorBidi"/>
          <w:sz w:val="24"/>
          <w:szCs w:val="24"/>
        </w:rPr>
        <w:t>emerged from literature was the pressing need to examine the impact of CSR communication in comparison to non-CSR communication as, to the best of my knowledge, it is not clearly examined enough in literature.</w:t>
      </w:r>
      <w:r w:rsidR="009666A2">
        <w:rPr>
          <w:rFonts w:asciiTheme="majorBidi" w:hAnsiTheme="majorBidi" w:cstheme="majorBidi"/>
          <w:sz w:val="24"/>
          <w:szCs w:val="24"/>
        </w:rPr>
        <w:t xml:space="preserve"> Also, this thesis focuses on Egypt as it was clearly identified that CSR communication is not researched enough in the Middle East. </w:t>
      </w:r>
    </w:p>
    <w:p w14:paraId="6ACEF8C0" w14:textId="66844569" w:rsidR="00544567" w:rsidRPr="00ED6234" w:rsidRDefault="00890438" w:rsidP="00ED6234">
      <w:pPr>
        <w:spacing w:after="0" w:line="480" w:lineRule="auto"/>
        <w:rPr>
          <w:rFonts w:asciiTheme="majorBidi" w:hAnsiTheme="majorBidi" w:cstheme="majorBidi"/>
          <w:sz w:val="24"/>
          <w:szCs w:val="24"/>
        </w:rPr>
      </w:pPr>
      <w:r>
        <w:rPr>
          <w:rFonts w:asciiTheme="majorBidi" w:hAnsiTheme="majorBidi" w:cstheme="majorBidi"/>
          <w:sz w:val="24"/>
          <w:szCs w:val="24"/>
        </w:rPr>
        <w:tab/>
      </w:r>
      <w:r w:rsidRPr="00C6513E">
        <w:rPr>
          <w:rFonts w:asciiTheme="majorBidi" w:hAnsiTheme="majorBidi" w:cstheme="majorBidi"/>
          <w:sz w:val="24"/>
          <w:szCs w:val="24"/>
        </w:rPr>
        <w:t>The chapter is</w:t>
      </w:r>
      <w:r w:rsidR="00D82635">
        <w:rPr>
          <w:rFonts w:asciiTheme="majorBidi" w:hAnsiTheme="majorBidi" w:cstheme="majorBidi"/>
          <w:sz w:val="24"/>
          <w:szCs w:val="24"/>
        </w:rPr>
        <w:t xml:space="preserve"> organised </w:t>
      </w:r>
      <w:r w:rsidRPr="00C6513E">
        <w:rPr>
          <w:rFonts w:asciiTheme="majorBidi" w:hAnsiTheme="majorBidi" w:cstheme="majorBidi"/>
          <w:sz w:val="24"/>
          <w:szCs w:val="24"/>
        </w:rPr>
        <w:t>to</w:t>
      </w:r>
      <w:r w:rsidR="00D86F5E">
        <w:rPr>
          <w:rFonts w:asciiTheme="majorBidi" w:hAnsiTheme="majorBidi" w:cstheme="majorBidi"/>
          <w:sz w:val="24"/>
          <w:szCs w:val="24"/>
        </w:rPr>
        <w:t xml:space="preserve"> firstly</w:t>
      </w:r>
      <w:r w:rsidRPr="00C6513E">
        <w:rPr>
          <w:rFonts w:asciiTheme="majorBidi" w:hAnsiTheme="majorBidi" w:cstheme="majorBidi"/>
          <w:sz w:val="24"/>
          <w:szCs w:val="24"/>
        </w:rPr>
        <w:t xml:space="preserve"> highlight the study’s</w:t>
      </w:r>
      <w:r>
        <w:rPr>
          <w:rFonts w:asciiTheme="majorBidi" w:hAnsiTheme="majorBidi" w:cstheme="majorBidi"/>
          <w:sz w:val="24"/>
          <w:szCs w:val="24"/>
        </w:rPr>
        <w:t xml:space="preserve"> applied theories and its main </w:t>
      </w:r>
      <w:r w:rsidRPr="00C6513E">
        <w:rPr>
          <w:rFonts w:asciiTheme="majorBidi" w:hAnsiTheme="majorBidi" w:cstheme="majorBidi"/>
          <w:sz w:val="24"/>
          <w:szCs w:val="24"/>
        </w:rPr>
        <w:t xml:space="preserve">variables. </w:t>
      </w:r>
      <w:r w:rsidR="00D86F5E">
        <w:rPr>
          <w:rFonts w:asciiTheme="majorBidi" w:hAnsiTheme="majorBidi" w:cstheme="majorBidi"/>
          <w:sz w:val="24"/>
          <w:szCs w:val="24"/>
        </w:rPr>
        <w:t>Secondly</w:t>
      </w:r>
      <w:r w:rsidRPr="00C6513E">
        <w:rPr>
          <w:rFonts w:asciiTheme="majorBidi" w:hAnsiTheme="majorBidi" w:cstheme="majorBidi"/>
          <w:sz w:val="24"/>
          <w:szCs w:val="24"/>
        </w:rPr>
        <w:t>, th</w:t>
      </w:r>
      <w:r>
        <w:rPr>
          <w:rFonts w:asciiTheme="majorBidi" w:hAnsiTheme="majorBidi" w:cstheme="majorBidi"/>
          <w:sz w:val="24"/>
          <w:szCs w:val="24"/>
        </w:rPr>
        <w:t>is chapter</w:t>
      </w:r>
      <w:r w:rsidRPr="00C6513E">
        <w:rPr>
          <w:rFonts w:asciiTheme="majorBidi" w:hAnsiTheme="majorBidi" w:cstheme="majorBidi"/>
          <w:sz w:val="24"/>
          <w:szCs w:val="24"/>
        </w:rPr>
        <w:t xml:space="preserve"> discuss</w:t>
      </w:r>
      <w:r>
        <w:rPr>
          <w:rFonts w:asciiTheme="majorBidi" w:hAnsiTheme="majorBidi" w:cstheme="majorBidi"/>
          <w:sz w:val="24"/>
          <w:szCs w:val="24"/>
        </w:rPr>
        <w:t>es</w:t>
      </w:r>
      <w:r w:rsidRPr="00C6513E">
        <w:rPr>
          <w:rFonts w:asciiTheme="majorBidi" w:hAnsiTheme="majorBidi" w:cstheme="majorBidi"/>
          <w:sz w:val="24"/>
          <w:szCs w:val="24"/>
        </w:rPr>
        <w:t xml:space="preserve"> the findings in these variables from both studies </w:t>
      </w:r>
      <w:r w:rsidR="009666A2">
        <w:rPr>
          <w:rFonts w:asciiTheme="majorBidi" w:hAnsiTheme="majorBidi" w:cstheme="majorBidi"/>
          <w:sz w:val="24"/>
          <w:szCs w:val="24"/>
        </w:rPr>
        <w:t>and are mirrored</w:t>
      </w:r>
      <w:r w:rsidRPr="00C6513E">
        <w:rPr>
          <w:rFonts w:asciiTheme="majorBidi" w:hAnsiTheme="majorBidi" w:cstheme="majorBidi"/>
          <w:sz w:val="24"/>
          <w:szCs w:val="24"/>
        </w:rPr>
        <w:t xml:space="preserve"> on </w:t>
      </w:r>
      <w:r w:rsidR="009666A2">
        <w:rPr>
          <w:rFonts w:asciiTheme="majorBidi" w:hAnsiTheme="majorBidi" w:cstheme="majorBidi"/>
          <w:sz w:val="24"/>
          <w:szCs w:val="24"/>
        </w:rPr>
        <w:t xml:space="preserve">the </w:t>
      </w:r>
      <w:r w:rsidR="00D86F5E">
        <w:rPr>
          <w:rFonts w:asciiTheme="majorBidi" w:hAnsiTheme="majorBidi" w:cstheme="majorBidi"/>
          <w:sz w:val="24"/>
          <w:szCs w:val="24"/>
        </w:rPr>
        <w:t>findings from literature</w:t>
      </w:r>
      <w:r w:rsidRPr="00C6513E">
        <w:rPr>
          <w:rFonts w:asciiTheme="majorBidi" w:hAnsiTheme="majorBidi" w:cstheme="majorBidi"/>
          <w:sz w:val="24"/>
          <w:szCs w:val="24"/>
        </w:rPr>
        <w:t xml:space="preserve">. </w:t>
      </w:r>
      <w:r w:rsidR="006E42CD">
        <w:rPr>
          <w:rFonts w:asciiTheme="majorBidi" w:hAnsiTheme="majorBidi" w:cstheme="majorBidi"/>
          <w:sz w:val="24"/>
          <w:szCs w:val="24"/>
        </w:rPr>
        <w:t>T</w:t>
      </w:r>
      <w:r>
        <w:rPr>
          <w:rFonts w:asciiTheme="majorBidi" w:hAnsiTheme="majorBidi" w:cstheme="majorBidi"/>
          <w:sz w:val="24"/>
          <w:szCs w:val="24"/>
        </w:rPr>
        <w:t xml:space="preserve">he </w:t>
      </w:r>
      <w:r w:rsidR="009666A2">
        <w:rPr>
          <w:rFonts w:asciiTheme="majorBidi" w:hAnsiTheme="majorBidi" w:cstheme="majorBidi"/>
          <w:sz w:val="24"/>
          <w:szCs w:val="24"/>
        </w:rPr>
        <w:t>following</w:t>
      </w:r>
      <w:r w:rsidR="006E42CD">
        <w:rPr>
          <w:rFonts w:asciiTheme="majorBidi" w:hAnsiTheme="majorBidi" w:cstheme="majorBidi"/>
          <w:sz w:val="24"/>
          <w:szCs w:val="24"/>
        </w:rPr>
        <w:t xml:space="preserve"> sectio</w:t>
      </w:r>
      <w:r>
        <w:rPr>
          <w:rFonts w:asciiTheme="majorBidi" w:hAnsiTheme="majorBidi" w:cstheme="majorBidi"/>
          <w:sz w:val="24"/>
          <w:szCs w:val="24"/>
        </w:rPr>
        <w:t>n in this chapter reflect</w:t>
      </w:r>
      <w:r w:rsidR="006E42CD">
        <w:rPr>
          <w:rFonts w:asciiTheme="majorBidi" w:hAnsiTheme="majorBidi" w:cstheme="majorBidi"/>
          <w:sz w:val="24"/>
          <w:szCs w:val="24"/>
        </w:rPr>
        <w:t>s</w:t>
      </w:r>
      <w:r>
        <w:rPr>
          <w:rFonts w:asciiTheme="majorBidi" w:hAnsiTheme="majorBidi" w:cstheme="majorBidi"/>
          <w:sz w:val="24"/>
          <w:szCs w:val="24"/>
        </w:rPr>
        <w:t xml:space="preserve"> the</w:t>
      </w:r>
      <w:r w:rsidR="006E42CD">
        <w:rPr>
          <w:rFonts w:asciiTheme="majorBidi" w:hAnsiTheme="majorBidi" w:cstheme="majorBidi"/>
          <w:sz w:val="24"/>
          <w:szCs w:val="24"/>
        </w:rPr>
        <w:t xml:space="preserve"> findings on the</w:t>
      </w:r>
      <w:r>
        <w:rPr>
          <w:rFonts w:asciiTheme="majorBidi" w:hAnsiTheme="majorBidi" w:cstheme="majorBidi"/>
          <w:sz w:val="24"/>
          <w:szCs w:val="24"/>
        </w:rPr>
        <w:t xml:space="preserve"> main determinants of SOR, TRA, halo effect and </w:t>
      </w:r>
      <w:r w:rsidR="00F874B3">
        <w:rPr>
          <w:rFonts w:asciiTheme="majorBidi" w:hAnsiTheme="majorBidi" w:cstheme="majorBidi"/>
          <w:sz w:val="24"/>
          <w:szCs w:val="24"/>
        </w:rPr>
        <w:t xml:space="preserve">value congruence </w:t>
      </w:r>
      <w:r>
        <w:rPr>
          <w:rFonts w:asciiTheme="majorBidi" w:hAnsiTheme="majorBidi" w:cstheme="majorBidi"/>
          <w:sz w:val="24"/>
          <w:szCs w:val="24"/>
        </w:rPr>
        <w:t xml:space="preserve">as indicated in this study’s conceptual framework as shown below in figure </w:t>
      </w:r>
      <w:r w:rsidR="00ED6234">
        <w:rPr>
          <w:rFonts w:asciiTheme="majorBidi" w:hAnsiTheme="majorBidi" w:cstheme="majorBidi"/>
          <w:sz w:val="24"/>
          <w:szCs w:val="24"/>
        </w:rPr>
        <w:t>32</w:t>
      </w:r>
      <w:r>
        <w:rPr>
          <w:rFonts w:asciiTheme="majorBidi" w:hAnsiTheme="majorBidi" w:cstheme="majorBidi"/>
          <w:sz w:val="24"/>
          <w:szCs w:val="24"/>
        </w:rPr>
        <w:t>.</w:t>
      </w:r>
    </w:p>
    <w:p w14:paraId="3C465438" w14:textId="38061520" w:rsidR="00890438" w:rsidRDefault="00544567" w:rsidP="00890438">
      <w:pPr>
        <w:rPr>
          <w:rFonts w:asciiTheme="majorBidi" w:hAnsiTheme="majorBidi" w:cstheme="majorBidi"/>
          <w:sz w:val="24"/>
          <w:szCs w:val="24"/>
        </w:rPr>
      </w:pPr>
      <w:r>
        <w:rPr>
          <w:noProof/>
        </w:rPr>
        <w:drawing>
          <wp:anchor distT="0" distB="0" distL="114300" distR="114300" simplePos="0" relativeHeight="251652608" behindDoc="1" locked="0" layoutInCell="1" allowOverlap="1" wp14:anchorId="26F9F091" wp14:editId="26DF3112">
            <wp:simplePos x="0" y="0"/>
            <wp:positionH relativeFrom="margin">
              <wp:align>left</wp:align>
            </wp:positionH>
            <wp:positionV relativeFrom="paragraph">
              <wp:posOffset>0</wp:posOffset>
            </wp:positionV>
            <wp:extent cx="4635500" cy="3840480"/>
            <wp:effectExtent l="0" t="0" r="0" b="7620"/>
            <wp:wrapSquare wrapText="bothSides"/>
            <wp:docPr id="520401090" name="Picture 52040109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14444" name="Picture 1" descr="A diagram of a diagram&#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37119" cy="3841896"/>
                    </a:xfrm>
                    <a:prstGeom prst="rect">
                      <a:avLst/>
                    </a:prstGeom>
                  </pic:spPr>
                </pic:pic>
              </a:graphicData>
            </a:graphic>
            <wp14:sizeRelH relativeFrom="margin">
              <wp14:pctWidth>0</wp14:pctWidth>
            </wp14:sizeRelH>
            <wp14:sizeRelV relativeFrom="margin">
              <wp14:pctHeight>0</wp14:pctHeight>
            </wp14:sizeRelV>
          </wp:anchor>
        </w:drawing>
      </w:r>
    </w:p>
    <w:p w14:paraId="4E60326D" w14:textId="77777777" w:rsidR="00202557" w:rsidRDefault="00890438" w:rsidP="00890438">
      <w:pPr>
        <w:spacing w:line="480" w:lineRule="auto"/>
        <w:rPr>
          <w:rFonts w:asciiTheme="majorBidi" w:hAnsiTheme="majorBidi" w:cstheme="majorBidi"/>
          <w:sz w:val="24"/>
          <w:szCs w:val="24"/>
        </w:rPr>
      </w:pPr>
      <w:r>
        <w:rPr>
          <w:rFonts w:asciiTheme="majorBidi" w:hAnsiTheme="majorBidi" w:cstheme="majorBidi"/>
          <w:sz w:val="24"/>
          <w:szCs w:val="24"/>
        </w:rPr>
        <w:tab/>
      </w:r>
    </w:p>
    <w:p w14:paraId="290B6DDE" w14:textId="77777777" w:rsidR="00202557" w:rsidRDefault="00202557" w:rsidP="00890438">
      <w:pPr>
        <w:spacing w:line="480" w:lineRule="auto"/>
        <w:rPr>
          <w:rFonts w:asciiTheme="majorBidi" w:hAnsiTheme="majorBidi" w:cstheme="majorBidi"/>
          <w:sz w:val="24"/>
          <w:szCs w:val="24"/>
        </w:rPr>
      </w:pPr>
    </w:p>
    <w:p w14:paraId="4AFA9F4E" w14:textId="77777777" w:rsidR="00202557" w:rsidRDefault="00202557" w:rsidP="00890438">
      <w:pPr>
        <w:spacing w:line="480" w:lineRule="auto"/>
        <w:rPr>
          <w:rFonts w:asciiTheme="majorBidi" w:hAnsiTheme="majorBidi" w:cstheme="majorBidi"/>
          <w:sz w:val="24"/>
          <w:szCs w:val="24"/>
        </w:rPr>
      </w:pPr>
    </w:p>
    <w:p w14:paraId="1DD1B276" w14:textId="77777777" w:rsidR="00202557" w:rsidRDefault="00202557" w:rsidP="00890438">
      <w:pPr>
        <w:spacing w:line="480" w:lineRule="auto"/>
        <w:rPr>
          <w:rFonts w:asciiTheme="majorBidi" w:hAnsiTheme="majorBidi" w:cstheme="majorBidi"/>
          <w:sz w:val="24"/>
          <w:szCs w:val="24"/>
        </w:rPr>
      </w:pPr>
    </w:p>
    <w:p w14:paraId="048406AE" w14:textId="77777777" w:rsidR="00202557" w:rsidRDefault="00202557" w:rsidP="00890438">
      <w:pPr>
        <w:spacing w:line="480" w:lineRule="auto"/>
        <w:rPr>
          <w:rFonts w:asciiTheme="majorBidi" w:hAnsiTheme="majorBidi" w:cstheme="majorBidi"/>
          <w:sz w:val="24"/>
          <w:szCs w:val="24"/>
        </w:rPr>
      </w:pPr>
    </w:p>
    <w:p w14:paraId="7119B538" w14:textId="58D0526E" w:rsidR="00890438" w:rsidRDefault="00890438" w:rsidP="00890438">
      <w:pPr>
        <w:spacing w:line="480" w:lineRule="auto"/>
        <w:rPr>
          <w:rFonts w:asciiTheme="majorBidi" w:hAnsiTheme="majorBidi" w:cstheme="majorBidi"/>
          <w:sz w:val="24"/>
          <w:szCs w:val="24"/>
        </w:rPr>
      </w:pPr>
    </w:p>
    <w:p w14:paraId="43296A8B" w14:textId="4A418A10" w:rsidR="00544567" w:rsidRDefault="00544567" w:rsidP="00890438">
      <w:pPr>
        <w:adjustRightInd w:val="0"/>
        <w:spacing w:after="0" w:line="480" w:lineRule="auto"/>
        <w:rPr>
          <w:rFonts w:asciiTheme="majorBidi" w:hAnsiTheme="majorBidi" w:cstheme="majorBidi"/>
          <w:b/>
          <w:bCs/>
          <w:sz w:val="24"/>
          <w:szCs w:val="24"/>
        </w:rPr>
      </w:pPr>
      <w:bookmarkStart w:id="223" w:name="_Hlk146407136"/>
    </w:p>
    <w:p w14:paraId="00F9B9AB" w14:textId="7BDADF8C" w:rsidR="00ED6234" w:rsidRDefault="00ED6234" w:rsidP="00890438">
      <w:pPr>
        <w:adjustRightInd w:val="0"/>
        <w:spacing w:after="0" w:line="480" w:lineRule="auto"/>
        <w:rPr>
          <w:rFonts w:asciiTheme="majorBidi" w:hAnsiTheme="majorBidi" w:cstheme="majorBidi"/>
          <w:b/>
          <w:bCs/>
          <w:sz w:val="24"/>
          <w:szCs w:val="24"/>
        </w:rPr>
      </w:pPr>
    </w:p>
    <w:p w14:paraId="5114A6BD" w14:textId="16BEFED0" w:rsidR="00ED6234" w:rsidRDefault="00982AB1" w:rsidP="00890438">
      <w:pPr>
        <w:adjustRightInd w:val="0"/>
        <w:spacing w:after="0" w:line="480" w:lineRule="auto"/>
        <w:rPr>
          <w:rFonts w:asciiTheme="majorBidi" w:hAnsiTheme="majorBidi" w:cstheme="majorBidi"/>
          <w:b/>
          <w:bCs/>
          <w:sz w:val="24"/>
          <w:szCs w:val="24"/>
        </w:rPr>
      </w:pPr>
      <w:r>
        <w:rPr>
          <w:noProof/>
        </w:rPr>
        <mc:AlternateContent>
          <mc:Choice Requires="wps">
            <w:drawing>
              <wp:anchor distT="0" distB="0" distL="114300" distR="114300" simplePos="0" relativeHeight="251665920" behindDoc="0" locked="0" layoutInCell="1" allowOverlap="1" wp14:anchorId="178F963B" wp14:editId="717FF5EF">
                <wp:simplePos x="0" y="0"/>
                <wp:positionH relativeFrom="margin">
                  <wp:align>left</wp:align>
                </wp:positionH>
                <wp:positionV relativeFrom="paragraph">
                  <wp:posOffset>255905</wp:posOffset>
                </wp:positionV>
                <wp:extent cx="3723005" cy="241935"/>
                <wp:effectExtent l="0" t="0" r="0" b="5715"/>
                <wp:wrapSquare wrapText="bothSides"/>
                <wp:docPr id="273622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3005" cy="241935"/>
                        </a:xfrm>
                        <a:prstGeom prst="rect">
                          <a:avLst/>
                        </a:prstGeom>
                        <a:solidFill>
                          <a:prstClr val="white"/>
                        </a:solidFill>
                        <a:ln>
                          <a:noFill/>
                        </a:ln>
                      </wps:spPr>
                      <wps:txbx>
                        <w:txbxContent>
                          <w:p w14:paraId="07058AD8" w14:textId="27C11D0F" w:rsidR="00544567" w:rsidRPr="005E49AC" w:rsidRDefault="00544567" w:rsidP="00544567">
                            <w:pPr>
                              <w:pStyle w:val="Caption"/>
                              <w:rPr>
                                <w:noProof/>
                              </w:rPr>
                            </w:pPr>
                            <w:r>
                              <w:t xml:space="preserve">Figure 32 Conceptual Framework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963B" id="Text Box 4" o:spid="_x0000_s1032" type="#_x0000_t202" style="position:absolute;margin-left:0;margin-top:20.15pt;width:293.15pt;height:19.0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" stroked="f">
                <v:textbox inset="0,0,0,0">
                  <w:txbxContent>
                    <w:p w14:paraId="07058AD8" w14:textId="27C11D0F" w:rsidR="00544567" w:rsidRPr="005E49AC" w:rsidRDefault="00544567" w:rsidP="00544567">
                      <w:pPr>
                        <w:pStyle w:val="Caption"/>
                        <w:rPr>
                          <w:noProof/>
                        </w:rPr>
                      </w:pPr>
                      <w:r>
                        <w:t xml:space="preserve">Figure 32 Conceptual Framework </w:t>
                      </w:r>
                    </w:p>
                  </w:txbxContent>
                </v:textbox>
                <w10:wrap type="square" anchorx="margin"/>
              </v:shape>
            </w:pict>
          </mc:Fallback>
        </mc:AlternateContent>
      </w:r>
    </w:p>
    <w:p w14:paraId="34D63DD5" w14:textId="77777777" w:rsidR="00982AB1" w:rsidRDefault="00982AB1" w:rsidP="00890438">
      <w:pPr>
        <w:adjustRightInd w:val="0"/>
        <w:spacing w:after="0" w:line="480" w:lineRule="auto"/>
        <w:rPr>
          <w:rFonts w:asciiTheme="majorBidi" w:hAnsiTheme="majorBidi" w:cstheme="majorBidi"/>
          <w:b/>
          <w:bCs/>
          <w:sz w:val="24"/>
          <w:szCs w:val="24"/>
        </w:rPr>
      </w:pPr>
      <w:bookmarkStart w:id="224" w:name="_Hlk152539922"/>
    </w:p>
    <w:p w14:paraId="024A0D20" w14:textId="600EDA36" w:rsidR="00890438" w:rsidRPr="002C3983" w:rsidRDefault="00890438" w:rsidP="00890438">
      <w:pPr>
        <w:adjustRightInd w:val="0"/>
        <w:spacing w:after="0" w:line="480" w:lineRule="auto"/>
        <w:rPr>
          <w:rFonts w:asciiTheme="majorBidi" w:hAnsiTheme="majorBidi" w:cstheme="majorBidi"/>
          <w:b/>
          <w:bCs/>
          <w:sz w:val="24"/>
          <w:szCs w:val="24"/>
        </w:rPr>
      </w:pPr>
      <w:r w:rsidRPr="002C3983">
        <w:rPr>
          <w:rFonts w:asciiTheme="majorBidi" w:hAnsiTheme="majorBidi" w:cstheme="majorBidi"/>
          <w:b/>
          <w:bCs/>
          <w:sz w:val="24"/>
          <w:szCs w:val="24"/>
        </w:rPr>
        <w:t>8.</w:t>
      </w:r>
      <w:r w:rsidR="00A133C6">
        <w:rPr>
          <w:rFonts w:asciiTheme="majorBidi" w:hAnsiTheme="majorBidi" w:cstheme="majorBidi"/>
          <w:b/>
          <w:bCs/>
          <w:sz w:val="24"/>
          <w:szCs w:val="24"/>
        </w:rPr>
        <w:t>1</w:t>
      </w:r>
      <w:r w:rsidRPr="002C3983">
        <w:rPr>
          <w:rFonts w:asciiTheme="majorBidi" w:hAnsiTheme="majorBidi" w:cstheme="majorBidi"/>
          <w:b/>
          <w:bCs/>
          <w:sz w:val="24"/>
          <w:szCs w:val="24"/>
        </w:rPr>
        <w:t xml:space="preserve"> Theoretical Discussion </w:t>
      </w:r>
    </w:p>
    <w:bookmarkEnd w:id="223"/>
    <w:p w14:paraId="6DE627C4" w14:textId="721F937E" w:rsidR="00890438" w:rsidRPr="005950BF" w:rsidRDefault="00890438" w:rsidP="00890438">
      <w:pPr>
        <w:adjustRightInd w:val="0"/>
        <w:spacing w:after="0" w:line="480" w:lineRule="auto"/>
        <w:rPr>
          <w:rFonts w:asciiTheme="majorBidi" w:hAnsiTheme="majorBidi" w:cstheme="majorBidi"/>
          <w:b/>
          <w:bCs/>
          <w:sz w:val="24"/>
          <w:szCs w:val="24"/>
        </w:rPr>
      </w:pPr>
      <w:r>
        <w:rPr>
          <w:rFonts w:asciiTheme="majorBidi" w:hAnsiTheme="majorBidi" w:cstheme="majorBidi"/>
          <w:sz w:val="24"/>
          <w:szCs w:val="24"/>
        </w:rPr>
        <w:tab/>
        <w:t xml:space="preserve">The theoretical framework of this study </w:t>
      </w:r>
      <w:r w:rsidR="003907A2">
        <w:rPr>
          <w:rFonts w:asciiTheme="majorBidi" w:hAnsiTheme="majorBidi" w:cstheme="majorBidi"/>
          <w:sz w:val="24"/>
          <w:szCs w:val="24"/>
        </w:rPr>
        <w:t xml:space="preserve">drew on </w:t>
      </w:r>
      <w:r>
        <w:rPr>
          <w:rFonts w:asciiTheme="majorBidi" w:hAnsiTheme="majorBidi" w:cstheme="majorBidi"/>
          <w:sz w:val="24"/>
          <w:szCs w:val="24"/>
        </w:rPr>
        <w:t>significant theories</w:t>
      </w:r>
      <w:r w:rsidR="00F874B3">
        <w:rPr>
          <w:rFonts w:asciiTheme="majorBidi" w:hAnsiTheme="majorBidi" w:cstheme="majorBidi"/>
          <w:sz w:val="24"/>
          <w:szCs w:val="24"/>
        </w:rPr>
        <w:t xml:space="preserve"> and concepts</w:t>
      </w:r>
      <w:r>
        <w:rPr>
          <w:rFonts w:asciiTheme="majorBidi" w:hAnsiTheme="majorBidi" w:cstheme="majorBidi"/>
          <w:sz w:val="24"/>
          <w:szCs w:val="24"/>
        </w:rPr>
        <w:t xml:space="preserve"> that are commonly used in the consumer behaviour literature and were deemed most appropriate for the objectives of this study. As explained in chapter four, the theories were meticulously selected to be applied as a framework for this study to focus and measure purchase intentions, the relationship between certain stimuli (CSR and non-CSR communication</w:t>
      </w:r>
      <w:r w:rsidR="006E42CD">
        <w:rPr>
          <w:rFonts w:asciiTheme="majorBidi" w:hAnsiTheme="majorBidi" w:cstheme="majorBidi"/>
          <w:sz w:val="24"/>
          <w:szCs w:val="24"/>
        </w:rPr>
        <w:t xml:space="preserve"> and social media and television</w:t>
      </w:r>
      <w:r>
        <w:rPr>
          <w:rFonts w:asciiTheme="majorBidi" w:hAnsiTheme="majorBidi" w:cstheme="majorBidi"/>
          <w:sz w:val="24"/>
          <w:szCs w:val="24"/>
        </w:rPr>
        <w:t xml:space="preserve">) on consumers’ responses, the consumers’ self-portrayal of CSR, cognitive and affective attitudes, and direct and indirect effects of CSR. Most importantly, </w:t>
      </w:r>
      <w:r w:rsidR="006E42CD">
        <w:rPr>
          <w:rFonts w:asciiTheme="majorBidi" w:hAnsiTheme="majorBidi" w:cstheme="majorBidi"/>
          <w:sz w:val="24"/>
          <w:szCs w:val="24"/>
        </w:rPr>
        <w:t>analysis</w:t>
      </w:r>
      <w:r>
        <w:rPr>
          <w:rFonts w:asciiTheme="majorBidi" w:hAnsiTheme="majorBidi" w:cstheme="majorBidi"/>
          <w:sz w:val="24"/>
          <w:szCs w:val="24"/>
        </w:rPr>
        <w:t xml:space="preserve"> </w:t>
      </w:r>
      <w:r w:rsidR="006E42CD">
        <w:rPr>
          <w:rFonts w:asciiTheme="majorBidi" w:hAnsiTheme="majorBidi" w:cstheme="majorBidi"/>
          <w:sz w:val="24"/>
          <w:szCs w:val="24"/>
        </w:rPr>
        <w:t xml:space="preserve">was </w:t>
      </w:r>
      <w:r>
        <w:rPr>
          <w:rFonts w:asciiTheme="majorBidi" w:hAnsiTheme="majorBidi" w:cstheme="majorBidi"/>
          <w:sz w:val="24"/>
          <w:szCs w:val="24"/>
        </w:rPr>
        <w:t xml:space="preserve">done in a comparative manner between the impact of CSR and non-CSR communication and </w:t>
      </w:r>
      <w:r w:rsidR="006E42CD">
        <w:rPr>
          <w:rFonts w:asciiTheme="majorBidi" w:hAnsiTheme="majorBidi" w:cstheme="majorBidi"/>
          <w:sz w:val="24"/>
          <w:szCs w:val="24"/>
        </w:rPr>
        <w:t xml:space="preserve">between </w:t>
      </w:r>
      <w:r>
        <w:rPr>
          <w:rFonts w:asciiTheme="majorBidi" w:hAnsiTheme="majorBidi" w:cstheme="majorBidi"/>
          <w:sz w:val="24"/>
          <w:szCs w:val="24"/>
        </w:rPr>
        <w:t xml:space="preserve">the impact of </w:t>
      </w:r>
      <w:r w:rsidR="00935FBD">
        <w:rPr>
          <w:rFonts w:asciiTheme="majorBidi" w:hAnsiTheme="majorBidi" w:cstheme="majorBidi"/>
          <w:sz w:val="24"/>
          <w:szCs w:val="24"/>
        </w:rPr>
        <w:t>t</w:t>
      </w:r>
      <w:r>
        <w:rPr>
          <w:rFonts w:asciiTheme="majorBidi" w:hAnsiTheme="majorBidi" w:cstheme="majorBidi"/>
          <w:sz w:val="24"/>
          <w:szCs w:val="24"/>
        </w:rPr>
        <w:t>elevision and social media</w:t>
      </w:r>
      <w:r w:rsidR="006E42CD">
        <w:rPr>
          <w:rFonts w:asciiTheme="majorBidi" w:hAnsiTheme="majorBidi" w:cstheme="majorBidi"/>
          <w:sz w:val="24"/>
          <w:szCs w:val="24"/>
        </w:rPr>
        <w:t xml:space="preserve"> on different attitudes were examined</w:t>
      </w:r>
      <w:r>
        <w:rPr>
          <w:rFonts w:asciiTheme="majorBidi" w:hAnsiTheme="majorBidi" w:cstheme="majorBidi"/>
          <w:sz w:val="24"/>
          <w:szCs w:val="24"/>
        </w:rPr>
        <w:t xml:space="preserve"> </w:t>
      </w:r>
      <w:r w:rsidR="0002174E">
        <w:rPr>
          <w:rFonts w:asciiTheme="majorBidi" w:hAnsiTheme="majorBidi" w:cstheme="majorBidi"/>
          <w:sz w:val="24"/>
          <w:szCs w:val="24"/>
        </w:rPr>
        <w:t>as</w:t>
      </w:r>
      <w:r>
        <w:rPr>
          <w:rFonts w:asciiTheme="majorBidi" w:hAnsiTheme="majorBidi" w:cstheme="majorBidi"/>
          <w:sz w:val="24"/>
          <w:szCs w:val="24"/>
        </w:rPr>
        <w:t xml:space="preserve"> </w:t>
      </w:r>
      <w:r w:rsidR="0002174E">
        <w:rPr>
          <w:rFonts w:asciiTheme="majorBidi" w:hAnsiTheme="majorBidi" w:cstheme="majorBidi"/>
          <w:sz w:val="24"/>
          <w:szCs w:val="24"/>
        </w:rPr>
        <w:t>utilised in the study</w:t>
      </w:r>
      <w:r>
        <w:rPr>
          <w:rFonts w:asciiTheme="majorBidi" w:hAnsiTheme="majorBidi" w:cstheme="majorBidi"/>
          <w:sz w:val="24"/>
          <w:szCs w:val="24"/>
        </w:rPr>
        <w:t xml:space="preserve">. The discussion will begin with shedding light on TRA. </w:t>
      </w:r>
    </w:p>
    <w:p w14:paraId="18BB443A" w14:textId="77777777" w:rsidR="00982AB1" w:rsidRDefault="00982AB1">
      <w:pPr>
        <w:rPr>
          <w:rFonts w:asciiTheme="majorBidi" w:hAnsiTheme="majorBidi" w:cstheme="majorBidi"/>
          <w:b/>
          <w:bCs/>
          <w:sz w:val="24"/>
          <w:szCs w:val="24"/>
        </w:rPr>
      </w:pPr>
      <w:r>
        <w:rPr>
          <w:rFonts w:asciiTheme="majorBidi" w:hAnsiTheme="majorBidi" w:cstheme="majorBidi"/>
          <w:b/>
          <w:bCs/>
          <w:sz w:val="24"/>
          <w:szCs w:val="24"/>
        </w:rPr>
        <w:br w:type="page"/>
      </w:r>
    </w:p>
    <w:p w14:paraId="31906B50" w14:textId="550AC1D7" w:rsidR="00890438" w:rsidRDefault="00890438" w:rsidP="00890438">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8.</w:t>
      </w:r>
      <w:r w:rsidR="00A133C6">
        <w:rPr>
          <w:rFonts w:asciiTheme="majorBidi" w:hAnsiTheme="majorBidi" w:cstheme="majorBidi"/>
          <w:b/>
          <w:bCs/>
          <w:sz w:val="24"/>
          <w:szCs w:val="24"/>
        </w:rPr>
        <w:t>1</w:t>
      </w:r>
      <w:r>
        <w:rPr>
          <w:rFonts w:asciiTheme="majorBidi" w:hAnsiTheme="majorBidi" w:cstheme="majorBidi"/>
          <w:b/>
          <w:bCs/>
          <w:sz w:val="24"/>
          <w:szCs w:val="24"/>
        </w:rPr>
        <w:t xml:space="preserve">.1 </w:t>
      </w:r>
      <w:r w:rsidRPr="006D3D22">
        <w:rPr>
          <w:rFonts w:asciiTheme="majorBidi" w:hAnsiTheme="majorBidi" w:cstheme="majorBidi"/>
          <w:b/>
          <w:bCs/>
          <w:sz w:val="24"/>
          <w:szCs w:val="24"/>
        </w:rPr>
        <w:t>TRA</w:t>
      </w:r>
    </w:p>
    <w:p w14:paraId="0F10C2FF" w14:textId="416A6248" w:rsidR="00ED6234" w:rsidRDefault="00890438" w:rsidP="00316A00">
      <w:pPr>
        <w:spacing w:after="0" w:line="480" w:lineRule="auto"/>
        <w:rPr>
          <w:rFonts w:asciiTheme="majorBidi" w:hAnsiTheme="majorBidi" w:cstheme="majorBidi"/>
          <w:sz w:val="24"/>
          <w:szCs w:val="24"/>
        </w:rPr>
      </w:pPr>
      <w:r>
        <w:rPr>
          <w:rFonts w:asciiTheme="majorBidi" w:hAnsiTheme="majorBidi" w:cstheme="majorBidi"/>
          <w:b/>
          <w:bCs/>
          <w:sz w:val="24"/>
          <w:szCs w:val="24"/>
        </w:rPr>
        <w:tab/>
      </w:r>
      <w:r w:rsidRPr="00805930">
        <w:rPr>
          <w:rFonts w:asciiTheme="majorBidi" w:hAnsiTheme="majorBidi" w:cstheme="majorBidi"/>
          <w:sz w:val="24"/>
          <w:szCs w:val="24"/>
        </w:rPr>
        <w:t xml:space="preserve">As </w:t>
      </w:r>
      <w:r>
        <w:rPr>
          <w:rFonts w:asciiTheme="majorBidi" w:hAnsiTheme="majorBidi" w:cstheme="majorBidi"/>
          <w:sz w:val="24"/>
          <w:szCs w:val="24"/>
        </w:rPr>
        <w:t>explained</w:t>
      </w:r>
      <w:r w:rsidRPr="00805930">
        <w:rPr>
          <w:rFonts w:asciiTheme="majorBidi" w:hAnsiTheme="majorBidi" w:cstheme="majorBidi"/>
          <w:sz w:val="24"/>
          <w:szCs w:val="24"/>
        </w:rPr>
        <w:t xml:space="preserve"> previously, </w:t>
      </w:r>
      <w:r>
        <w:rPr>
          <w:rFonts w:asciiTheme="majorBidi" w:hAnsiTheme="majorBidi" w:cstheme="majorBidi"/>
          <w:sz w:val="24"/>
          <w:szCs w:val="24"/>
        </w:rPr>
        <w:t>TRA</w:t>
      </w:r>
      <w:r w:rsidRPr="00805930">
        <w:rPr>
          <w:rFonts w:asciiTheme="majorBidi" w:hAnsiTheme="majorBidi" w:cstheme="majorBidi"/>
          <w:sz w:val="24"/>
          <w:szCs w:val="24"/>
        </w:rPr>
        <w:t xml:space="preserve"> was deemed to be the most suitable theory in predicting behaviour</w:t>
      </w:r>
      <w:sdt>
        <w:sdtPr>
          <w:rPr>
            <w:rFonts w:asciiTheme="majorBidi" w:hAnsiTheme="majorBidi" w:cstheme="majorBidi"/>
            <w:sz w:val="24"/>
            <w:szCs w:val="24"/>
          </w:rPr>
          <w:id w:val="-1123616415"/>
          <w:citation/>
        </w:sdtPr>
        <w:sdtContent>
          <w:r w:rsidRPr="00805930">
            <w:rPr>
              <w:rFonts w:asciiTheme="majorBidi" w:hAnsiTheme="majorBidi" w:cstheme="majorBidi"/>
              <w:sz w:val="24"/>
              <w:szCs w:val="24"/>
            </w:rPr>
            <w:fldChar w:fldCharType="begin"/>
          </w:r>
          <w:r w:rsidRPr="00805930">
            <w:rPr>
              <w:rFonts w:asciiTheme="majorBidi" w:hAnsiTheme="majorBidi" w:cstheme="majorBidi"/>
              <w:sz w:val="24"/>
              <w:szCs w:val="24"/>
            </w:rPr>
            <w:instrText xml:space="preserve"> CITATION Cas20 \l 2057  \m Chu16</w:instrText>
          </w:r>
          <w:r w:rsidRPr="00805930">
            <w:rPr>
              <w:rFonts w:asciiTheme="majorBidi" w:hAnsiTheme="majorBidi" w:cstheme="majorBidi"/>
              <w:sz w:val="24"/>
              <w:szCs w:val="24"/>
            </w:rPr>
            <w:fldChar w:fldCharType="separate"/>
          </w:r>
          <w:r w:rsidRPr="00805930">
            <w:rPr>
              <w:rFonts w:asciiTheme="majorBidi" w:hAnsiTheme="majorBidi" w:cstheme="majorBidi"/>
              <w:noProof/>
              <w:sz w:val="24"/>
              <w:szCs w:val="24"/>
            </w:rPr>
            <w:t xml:space="preserve"> (Caspers, 2020; Chuah, et al., 2016)</w:t>
          </w:r>
          <w:r w:rsidRPr="00805930">
            <w:rPr>
              <w:rFonts w:asciiTheme="majorBidi" w:hAnsiTheme="majorBidi" w:cstheme="majorBidi"/>
              <w:sz w:val="24"/>
              <w:szCs w:val="24"/>
            </w:rPr>
            <w:fldChar w:fldCharType="end"/>
          </w:r>
        </w:sdtContent>
      </w:sdt>
      <w:r w:rsidRPr="00805930">
        <w:rPr>
          <w:rFonts w:asciiTheme="majorBidi" w:hAnsiTheme="majorBidi" w:cstheme="majorBidi"/>
          <w:sz w:val="24"/>
          <w:szCs w:val="24"/>
        </w:rPr>
        <w:t xml:space="preserve">. </w:t>
      </w:r>
      <w:bookmarkStart w:id="225" w:name="_Hlk133755546"/>
      <w:r w:rsidR="00F74030">
        <w:rPr>
          <w:rFonts w:asciiTheme="majorBidi" w:hAnsiTheme="majorBidi" w:cstheme="majorBidi"/>
          <w:sz w:val="24"/>
          <w:szCs w:val="24"/>
        </w:rPr>
        <w:t xml:space="preserve">Since </w:t>
      </w:r>
      <w:r w:rsidRPr="00805930">
        <w:rPr>
          <w:rFonts w:asciiTheme="majorBidi" w:hAnsiTheme="majorBidi" w:cstheme="majorBidi"/>
          <w:sz w:val="24"/>
          <w:szCs w:val="24"/>
        </w:rPr>
        <w:t xml:space="preserve">TRA was developed to predict the type of behaviour that is easily </w:t>
      </w:r>
      <w:r w:rsidR="00F74030">
        <w:rPr>
          <w:rFonts w:asciiTheme="majorBidi" w:hAnsiTheme="majorBidi" w:cstheme="majorBidi"/>
          <w:sz w:val="24"/>
          <w:szCs w:val="24"/>
        </w:rPr>
        <w:t>performed</w:t>
      </w:r>
      <w:r w:rsidRPr="00805930">
        <w:rPr>
          <w:rFonts w:asciiTheme="majorBidi" w:hAnsiTheme="majorBidi" w:cstheme="majorBidi"/>
          <w:sz w:val="24"/>
          <w:szCs w:val="24"/>
        </w:rPr>
        <w:t xml:space="preserve"> by individual</w:t>
      </w:r>
      <w:r w:rsidR="00F74030">
        <w:rPr>
          <w:rFonts w:asciiTheme="majorBidi" w:hAnsiTheme="majorBidi" w:cstheme="majorBidi"/>
          <w:sz w:val="24"/>
          <w:szCs w:val="24"/>
        </w:rPr>
        <w:t>s</w:t>
      </w:r>
      <w:r>
        <w:rPr>
          <w:rFonts w:asciiTheme="majorBidi" w:hAnsiTheme="majorBidi" w:cstheme="majorBidi"/>
          <w:sz w:val="24"/>
          <w:szCs w:val="24"/>
        </w:rPr>
        <w:t xml:space="preserve"> </w:t>
      </w:r>
      <w:sdt>
        <w:sdtPr>
          <w:rPr>
            <w:rFonts w:asciiTheme="majorBidi" w:hAnsiTheme="majorBidi" w:cstheme="majorBidi"/>
            <w:sz w:val="24"/>
            <w:szCs w:val="24"/>
          </w:rPr>
          <w:id w:val="36387939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Lia07 \l 2057  \m Web06</w:instrText>
          </w:r>
          <w:r>
            <w:rPr>
              <w:rFonts w:asciiTheme="majorBidi" w:hAnsiTheme="majorBidi" w:cstheme="majorBidi"/>
              <w:sz w:val="24"/>
              <w:szCs w:val="24"/>
            </w:rPr>
            <w:fldChar w:fldCharType="separate"/>
          </w:r>
          <w:r w:rsidRPr="003D5C5E">
            <w:rPr>
              <w:rFonts w:asciiTheme="majorBidi" w:hAnsiTheme="majorBidi" w:cstheme="majorBidi"/>
              <w:noProof/>
              <w:sz w:val="24"/>
              <w:szCs w:val="24"/>
            </w:rPr>
            <w:t>(Liao, Chen, &amp; Yen, 2007; Webb &amp; Sheeran, 2006)</w:t>
          </w:r>
          <w:r>
            <w:rPr>
              <w:rFonts w:asciiTheme="majorBidi" w:hAnsiTheme="majorBidi" w:cstheme="majorBidi"/>
              <w:sz w:val="24"/>
              <w:szCs w:val="24"/>
            </w:rPr>
            <w:fldChar w:fldCharType="end"/>
          </w:r>
        </w:sdtContent>
      </w:sdt>
      <w:r w:rsidR="00F74030">
        <w:rPr>
          <w:rFonts w:asciiTheme="majorBidi" w:hAnsiTheme="majorBidi" w:cstheme="majorBidi"/>
          <w:sz w:val="24"/>
          <w:szCs w:val="24"/>
        </w:rPr>
        <w:t>, t</w:t>
      </w:r>
      <w:r>
        <w:rPr>
          <w:rFonts w:asciiTheme="majorBidi" w:hAnsiTheme="majorBidi" w:cstheme="majorBidi"/>
          <w:sz w:val="24"/>
          <w:szCs w:val="24"/>
        </w:rPr>
        <w:t>his research examines an FMCG product as an example of low involvement product that</w:t>
      </w:r>
      <w:r w:rsidRPr="008E18E3">
        <w:rPr>
          <w:rFonts w:asciiTheme="majorBidi" w:hAnsiTheme="majorBidi" w:cstheme="majorBidi"/>
          <w:sz w:val="24"/>
          <w:szCs w:val="24"/>
        </w:rPr>
        <w:t xml:space="preserve"> consumers do not </w:t>
      </w:r>
      <w:r>
        <w:rPr>
          <w:rFonts w:asciiTheme="majorBidi" w:hAnsiTheme="majorBidi" w:cstheme="majorBidi"/>
          <w:sz w:val="24"/>
          <w:szCs w:val="24"/>
        </w:rPr>
        <w:t xml:space="preserve">usually </w:t>
      </w:r>
      <w:r w:rsidRPr="008E18E3">
        <w:rPr>
          <w:rFonts w:asciiTheme="majorBidi" w:hAnsiTheme="majorBidi" w:cstheme="majorBidi"/>
          <w:sz w:val="24"/>
          <w:szCs w:val="24"/>
        </w:rPr>
        <w:t xml:space="preserve">perceive </w:t>
      </w:r>
      <w:r w:rsidR="00F74030">
        <w:rPr>
          <w:rFonts w:asciiTheme="majorBidi" w:hAnsiTheme="majorBidi" w:cstheme="majorBidi"/>
          <w:sz w:val="24"/>
          <w:szCs w:val="24"/>
        </w:rPr>
        <w:t xml:space="preserve">as </w:t>
      </w:r>
      <w:r>
        <w:rPr>
          <w:rFonts w:asciiTheme="majorBidi" w:hAnsiTheme="majorBidi" w:cstheme="majorBidi"/>
          <w:sz w:val="24"/>
          <w:szCs w:val="24"/>
        </w:rPr>
        <w:t xml:space="preserve">a </w:t>
      </w:r>
      <w:r w:rsidRPr="008E18E3">
        <w:rPr>
          <w:rFonts w:asciiTheme="majorBidi" w:hAnsiTheme="majorBidi" w:cstheme="majorBidi"/>
          <w:sz w:val="24"/>
          <w:szCs w:val="24"/>
        </w:rPr>
        <w:t>risk</w:t>
      </w:r>
      <w:r>
        <w:rPr>
          <w:rFonts w:asciiTheme="majorBidi" w:hAnsiTheme="majorBidi" w:cstheme="majorBidi"/>
          <w:sz w:val="24"/>
          <w:szCs w:val="24"/>
        </w:rPr>
        <w:t>y</w:t>
      </w:r>
      <w:r w:rsidRPr="008E18E3">
        <w:rPr>
          <w:rFonts w:asciiTheme="majorBidi" w:hAnsiTheme="majorBidi" w:cstheme="majorBidi"/>
          <w:sz w:val="24"/>
          <w:szCs w:val="24"/>
        </w:rPr>
        <w:t xml:space="preserve"> </w:t>
      </w:r>
      <w:r w:rsidR="00F74030">
        <w:rPr>
          <w:rFonts w:asciiTheme="majorBidi" w:hAnsiTheme="majorBidi" w:cstheme="majorBidi"/>
          <w:sz w:val="24"/>
          <w:szCs w:val="24"/>
        </w:rPr>
        <w:t>purchase</w:t>
      </w:r>
      <w:sdt>
        <w:sdtPr>
          <w:rPr>
            <w:rFonts w:asciiTheme="majorBidi" w:hAnsiTheme="majorBidi" w:cstheme="majorBidi"/>
            <w:sz w:val="24"/>
            <w:szCs w:val="24"/>
          </w:rPr>
          <w:id w:val="991529239"/>
          <w:citation/>
        </w:sdtPr>
        <w:sdtContent>
          <w:r w:rsidRPr="008E18E3">
            <w:rPr>
              <w:rFonts w:asciiTheme="majorBidi" w:hAnsiTheme="majorBidi" w:cstheme="majorBidi"/>
              <w:sz w:val="24"/>
              <w:szCs w:val="24"/>
            </w:rPr>
            <w:fldChar w:fldCharType="begin"/>
          </w:r>
          <w:r w:rsidRPr="008E18E3">
            <w:rPr>
              <w:rFonts w:asciiTheme="majorBidi" w:hAnsiTheme="majorBidi" w:cstheme="majorBidi"/>
              <w:sz w:val="24"/>
              <w:szCs w:val="24"/>
            </w:rPr>
            <w:instrText xml:space="preserve"> CITATION Adh19 \l 2057  \m Bha19</w:instrText>
          </w:r>
          <w:r w:rsidRPr="008E18E3">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(Adhikari, 2019; Bhasin, 2019)</w:t>
          </w:r>
          <w:r w:rsidRPr="008E18E3">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bookmarkStart w:id="226" w:name="_Hlk133757718"/>
      <w:r>
        <w:rPr>
          <w:rFonts w:asciiTheme="majorBidi" w:hAnsiTheme="majorBidi" w:cstheme="majorBidi"/>
          <w:sz w:val="24"/>
          <w:szCs w:val="24"/>
        </w:rPr>
        <w:t xml:space="preserve">Early authors claimed that individuals’ </w:t>
      </w:r>
      <w:r w:rsidR="006E42CD">
        <w:rPr>
          <w:rFonts w:asciiTheme="majorBidi" w:hAnsiTheme="majorBidi" w:cstheme="majorBidi"/>
          <w:sz w:val="24"/>
          <w:szCs w:val="24"/>
        </w:rPr>
        <w:t xml:space="preserve">behavioural </w:t>
      </w:r>
      <w:r>
        <w:rPr>
          <w:rFonts w:asciiTheme="majorBidi" w:hAnsiTheme="majorBidi" w:cstheme="majorBidi"/>
          <w:sz w:val="24"/>
          <w:szCs w:val="24"/>
        </w:rPr>
        <w:t>attitudes</w:t>
      </w:r>
      <w:r w:rsidR="006E42CD">
        <w:rPr>
          <w:rFonts w:asciiTheme="majorBidi" w:hAnsiTheme="majorBidi" w:cstheme="majorBidi"/>
          <w:sz w:val="24"/>
          <w:szCs w:val="24"/>
        </w:rPr>
        <w:t xml:space="preserve"> </w:t>
      </w:r>
      <w:r>
        <w:rPr>
          <w:rFonts w:asciiTheme="majorBidi" w:hAnsiTheme="majorBidi" w:cstheme="majorBidi"/>
          <w:sz w:val="24"/>
          <w:szCs w:val="24"/>
        </w:rPr>
        <w:t>only weakly predict purchase intention</w:t>
      </w:r>
      <w:sdt>
        <w:sdtPr>
          <w:rPr>
            <w:rFonts w:asciiTheme="majorBidi" w:hAnsiTheme="majorBidi" w:cstheme="majorBidi"/>
            <w:sz w:val="24"/>
            <w:szCs w:val="24"/>
          </w:rPr>
          <w:id w:val="-66886010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LaP34 \l 2057  \m Wic69</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7A22D4">
            <w:rPr>
              <w:rFonts w:asciiTheme="majorBidi" w:hAnsiTheme="majorBidi" w:cstheme="majorBidi"/>
              <w:noProof/>
              <w:sz w:val="24"/>
              <w:szCs w:val="24"/>
            </w:rPr>
            <w:t>(LaPiere, 1934; Wicker, 1969)</w:t>
          </w:r>
          <w:r>
            <w:rPr>
              <w:rFonts w:asciiTheme="majorBidi" w:hAnsiTheme="majorBidi" w:cstheme="majorBidi"/>
              <w:sz w:val="24"/>
              <w:szCs w:val="24"/>
            </w:rPr>
            <w:fldChar w:fldCharType="end"/>
          </w:r>
        </w:sdtContent>
      </w:sdt>
      <w:r>
        <w:rPr>
          <w:rFonts w:asciiTheme="majorBidi" w:hAnsiTheme="majorBidi" w:cstheme="majorBidi"/>
          <w:sz w:val="24"/>
          <w:szCs w:val="24"/>
        </w:rPr>
        <w:t>.</w:t>
      </w:r>
      <w:bookmarkEnd w:id="226"/>
      <w:r w:rsidR="006E42CD">
        <w:rPr>
          <w:rFonts w:asciiTheme="majorBidi" w:hAnsiTheme="majorBidi" w:cstheme="majorBidi"/>
          <w:sz w:val="24"/>
          <w:szCs w:val="24"/>
        </w:rPr>
        <w:t xml:space="preserve"> G</w:t>
      </w:r>
      <w:r>
        <w:rPr>
          <w:rFonts w:asciiTheme="majorBidi" w:hAnsiTheme="majorBidi" w:cstheme="majorBidi"/>
          <w:sz w:val="24"/>
          <w:szCs w:val="24"/>
        </w:rPr>
        <w:t>iven the nature of decision-making for low-involvement products, this study</w:t>
      </w:r>
      <w:r w:rsidR="0060763A">
        <w:rPr>
          <w:rFonts w:asciiTheme="majorBidi" w:hAnsiTheme="majorBidi" w:cstheme="majorBidi"/>
          <w:sz w:val="24"/>
          <w:szCs w:val="24"/>
        </w:rPr>
        <w:t xml:space="preserve"> examined brand attitudes instead of behavioural attitudes.</w:t>
      </w:r>
      <w:r>
        <w:rPr>
          <w:rFonts w:asciiTheme="majorBidi" w:hAnsiTheme="majorBidi" w:cstheme="majorBidi"/>
          <w:sz w:val="24"/>
          <w:szCs w:val="24"/>
        </w:rPr>
        <w:t xml:space="preserve"> </w:t>
      </w:r>
      <w:r w:rsidR="0060763A">
        <w:rPr>
          <w:rFonts w:asciiTheme="majorBidi" w:hAnsiTheme="majorBidi" w:cstheme="majorBidi"/>
          <w:sz w:val="24"/>
          <w:szCs w:val="24"/>
        </w:rPr>
        <w:t xml:space="preserve">Remarkably, the study </w:t>
      </w:r>
      <w:r>
        <w:rPr>
          <w:rFonts w:asciiTheme="majorBidi" w:hAnsiTheme="majorBidi" w:cstheme="majorBidi"/>
          <w:sz w:val="24"/>
          <w:szCs w:val="24"/>
        </w:rPr>
        <w:t>uncovered that brand attitudes towards</w:t>
      </w:r>
      <w:r w:rsidR="00316A00">
        <w:rPr>
          <w:rFonts w:asciiTheme="majorBidi" w:hAnsiTheme="majorBidi" w:cstheme="majorBidi"/>
          <w:sz w:val="24"/>
          <w:szCs w:val="24"/>
        </w:rPr>
        <w:t xml:space="preserve"> FMCG </w:t>
      </w:r>
      <w:r>
        <w:rPr>
          <w:rFonts w:asciiTheme="majorBidi" w:hAnsiTheme="majorBidi" w:cstheme="majorBidi"/>
          <w:sz w:val="24"/>
          <w:szCs w:val="24"/>
        </w:rPr>
        <w:t>product</w:t>
      </w:r>
      <w:r w:rsidR="0060763A">
        <w:rPr>
          <w:rFonts w:asciiTheme="majorBidi" w:hAnsiTheme="majorBidi" w:cstheme="majorBidi"/>
          <w:sz w:val="24"/>
          <w:szCs w:val="24"/>
        </w:rPr>
        <w:t>s</w:t>
      </w:r>
      <w:r>
        <w:rPr>
          <w:rFonts w:asciiTheme="majorBidi" w:hAnsiTheme="majorBidi" w:cstheme="majorBidi"/>
          <w:sz w:val="24"/>
          <w:szCs w:val="24"/>
        </w:rPr>
        <w:t xml:space="preserve"> are highly influential on purchase intention; thus, providing the theory with a substantial contribution </w:t>
      </w:r>
      <w:r w:rsidR="0060763A">
        <w:rPr>
          <w:rFonts w:asciiTheme="majorBidi" w:hAnsiTheme="majorBidi" w:cstheme="majorBidi"/>
          <w:sz w:val="24"/>
          <w:szCs w:val="24"/>
        </w:rPr>
        <w:t>by</w:t>
      </w:r>
      <w:r>
        <w:rPr>
          <w:rFonts w:asciiTheme="majorBidi" w:hAnsiTheme="majorBidi" w:cstheme="majorBidi"/>
          <w:sz w:val="24"/>
          <w:szCs w:val="24"/>
        </w:rPr>
        <w:t xml:space="preserve"> examining</w:t>
      </w:r>
      <w:r w:rsidR="00EB1AA3">
        <w:rPr>
          <w:rFonts w:asciiTheme="majorBidi" w:hAnsiTheme="majorBidi" w:cstheme="majorBidi"/>
          <w:sz w:val="24"/>
          <w:szCs w:val="24"/>
        </w:rPr>
        <w:t xml:space="preserve"> different</w:t>
      </w:r>
      <w:r>
        <w:rPr>
          <w:rFonts w:asciiTheme="majorBidi" w:hAnsiTheme="majorBidi" w:cstheme="majorBidi"/>
          <w:sz w:val="24"/>
          <w:szCs w:val="24"/>
        </w:rPr>
        <w:t xml:space="preserve"> brand attitudes </w:t>
      </w:r>
      <w:r w:rsidR="0060763A">
        <w:rPr>
          <w:rFonts w:asciiTheme="majorBidi" w:hAnsiTheme="majorBidi" w:cstheme="majorBidi"/>
          <w:sz w:val="24"/>
          <w:szCs w:val="24"/>
        </w:rPr>
        <w:t xml:space="preserve">to predict </w:t>
      </w:r>
      <w:r w:rsidR="00316A00">
        <w:rPr>
          <w:rFonts w:asciiTheme="majorBidi" w:hAnsiTheme="majorBidi" w:cstheme="majorBidi"/>
          <w:sz w:val="24"/>
          <w:szCs w:val="24"/>
        </w:rPr>
        <w:t>purchase</w:t>
      </w:r>
      <w:r w:rsidR="0060763A">
        <w:rPr>
          <w:rFonts w:asciiTheme="majorBidi" w:hAnsiTheme="majorBidi" w:cstheme="majorBidi"/>
          <w:sz w:val="24"/>
          <w:szCs w:val="24"/>
        </w:rPr>
        <w:t xml:space="preserve"> intention in the context of FMCG. </w:t>
      </w:r>
      <w:r w:rsidR="00EB1AA3">
        <w:rPr>
          <w:rFonts w:asciiTheme="majorBidi" w:hAnsiTheme="majorBidi" w:cstheme="majorBidi"/>
          <w:sz w:val="24"/>
          <w:szCs w:val="24"/>
        </w:rPr>
        <w:t>Especially that brand attitudes affect</w:t>
      </w:r>
      <w:r w:rsidR="00316A00">
        <w:rPr>
          <w:rFonts w:asciiTheme="majorBidi" w:hAnsiTheme="majorBidi" w:cstheme="majorBidi"/>
          <w:sz w:val="24"/>
          <w:szCs w:val="24"/>
        </w:rPr>
        <w:t xml:space="preserve"> </w:t>
      </w:r>
      <w:r w:rsidR="00EB1AA3">
        <w:rPr>
          <w:rFonts w:asciiTheme="majorBidi" w:hAnsiTheme="majorBidi" w:cstheme="majorBidi"/>
          <w:noProof/>
          <w:sz w:val="24"/>
          <w:szCs w:val="24"/>
        </w:rPr>
        <w:t>both low and high involvement products</w:t>
      </w:r>
      <w:r w:rsidR="00316A00">
        <w:rPr>
          <w:rFonts w:asciiTheme="majorBidi" w:hAnsiTheme="majorBidi" w:cstheme="majorBidi"/>
          <w:sz w:val="24"/>
          <w:szCs w:val="24"/>
        </w:rPr>
        <w:t xml:space="preserve"> </w:t>
      </w:r>
      <w:sdt>
        <w:sdtPr>
          <w:rPr>
            <w:rFonts w:asciiTheme="majorBidi" w:hAnsiTheme="majorBidi" w:cstheme="majorBidi"/>
            <w:sz w:val="24"/>
            <w:szCs w:val="24"/>
          </w:rPr>
          <w:id w:val="-77443994"/>
          <w:citation/>
        </w:sdtPr>
        <w:sdtContent>
          <w:r w:rsidR="00EB1AA3" w:rsidRPr="004C3D18">
            <w:rPr>
              <w:rFonts w:asciiTheme="majorBidi" w:hAnsiTheme="majorBidi" w:cstheme="majorBidi"/>
              <w:sz w:val="24"/>
              <w:szCs w:val="24"/>
            </w:rPr>
            <w:fldChar w:fldCharType="begin"/>
          </w:r>
          <w:r w:rsidR="00EB1AA3" w:rsidRPr="004C3D18">
            <w:rPr>
              <w:rFonts w:asciiTheme="majorBidi" w:hAnsiTheme="majorBidi" w:cstheme="majorBidi"/>
              <w:b/>
              <w:bCs/>
              <w:sz w:val="24"/>
              <w:szCs w:val="24"/>
            </w:rPr>
            <w:instrText xml:space="preserve"> CITATION Gon201 \l 2057  \m Vas18</w:instrText>
          </w:r>
          <w:r w:rsidR="00EB1AA3" w:rsidRPr="004C3D18">
            <w:rPr>
              <w:rFonts w:asciiTheme="majorBidi" w:hAnsiTheme="majorBidi" w:cstheme="majorBidi"/>
              <w:sz w:val="24"/>
              <w:szCs w:val="24"/>
            </w:rPr>
            <w:fldChar w:fldCharType="separate"/>
          </w:r>
          <w:r w:rsidR="00EB1AA3" w:rsidRPr="004C3D18">
            <w:rPr>
              <w:rFonts w:asciiTheme="majorBidi" w:hAnsiTheme="majorBidi" w:cstheme="majorBidi"/>
              <w:noProof/>
              <w:sz w:val="24"/>
              <w:szCs w:val="24"/>
            </w:rPr>
            <w:t>(Gong, 2020; Vashist , 2018)</w:t>
          </w:r>
          <w:r w:rsidR="00EB1AA3" w:rsidRPr="004C3D18">
            <w:rPr>
              <w:rFonts w:asciiTheme="majorBidi" w:hAnsiTheme="majorBidi" w:cstheme="majorBidi"/>
              <w:sz w:val="24"/>
              <w:szCs w:val="24"/>
            </w:rPr>
            <w:fldChar w:fldCharType="end"/>
          </w:r>
        </w:sdtContent>
      </w:sdt>
      <w:r w:rsidR="00EB1AA3">
        <w:rPr>
          <w:rFonts w:asciiTheme="majorBidi" w:hAnsiTheme="majorBidi" w:cstheme="majorBidi"/>
          <w:sz w:val="24"/>
          <w:szCs w:val="24"/>
        </w:rPr>
        <w:t>.</w:t>
      </w:r>
      <w:r w:rsidR="00C67A06">
        <w:rPr>
          <w:rFonts w:asciiTheme="majorBidi" w:hAnsiTheme="majorBidi" w:cstheme="majorBidi"/>
          <w:sz w:val="24"/>
          <w:szCs w:val="24"/>
        </w:rPr>
        <w:t xml:space="preserve"> </w:t>
      </w:r>
      <w:r w:rsidR="00B85626">
        <w:rPr>
          <w:rFonts w:asciiTheme="majorBidi" w:hAnsiTheme="majorBidi" w:cstheme="majorBidi"/>
          <w:sz w:val="24"/>
          <w:szCs w:val="24"/>
        </w:rPr>
        <w:t xml:space="preserve">This was demonstrated through the results that showed that there are direct and indirect effects of brand likeability, ad likeability, brand trust, emotional brand attachment, and perceived brand functionality on purchase intention. </w:t>
      </w:r>
      <w:r>
        <w:rPr>
          <w:rFonts w:asciiTheme="majorBidi" w:hAnsiTheme="majorBidi" w:cstheme="majorBidi"/>
          <w:sz w:val="24"/>
          <w:szCs w:val="24"/>
        </w:rPr>
        <w:t>The results confirmed that CSR perception</w:t>
      </w:r>
      <w:r w:rsidR="0060763A">
        <w:rPr>
          <w:rFonts w:asciiTheme="majorBidi" w:hAnsiTheme="majorBidi" w:cstheme="majorBidi"/>
          <w:sz w:val="24"/>
          <w:szCs w:val="24"/>
        </w:rPr>
        <w:t xml:space="preserve"> </w:t>
      </w:r>
      <w:r>
        <w:rPr>
          <w:rFonts w:asciiTheme="majorBidi" w:hAnsiTheme="majorBidi" w:cstheme="majorBidi"/>
          <w:sz w:val="24"/>
          <w:szCs w:val="24"/>
        </w:rPr>
        <w:t xml:space="preserve">and brand attitudes have a strong positive effect on behavioural intention (purchase intention). The below discussion bolsters this theoretical contribution that </w:t>
      </w:r>
      <w:r w:rsidRPr="009C7603">
        <w:rPr>
          <w:rFonts w:asciiTheme="majorBidi" w:hAnsiTheme="majorBidi" w:cstheme="majorBidi"/>
          <w:sz w:val="24"/>
          <w:szCs w:val="24"/>
        </w:rPr>
        <w:t>brand attitudes in low involvement products ha</w:t>
      </w:r>
      <w:r w:rsidR="00316A00" w:rsidRPr="009C7603">
        <w:rPr>
          <w:rFonts w:asciiTheme="majorBidi" w:hAnsiTheme="majorBidi" w:cstheme="majorBidi"/>
          <w:sz w:val="24"/>
          <w:szCs w:val="24"/>
        </w:rPr>
        <w:t>ve</w:t>
      </w:r>
      <w:r w:rsidRPr="009C7603">
        <w:rPr>
          <w:rFonts w:asciiTheme="majorBidi" w:hAnsiTheme="majorBidi" w:cstheme="majorBidi"/>
          <w:sz w:val="24"/>
          <w:szCs w:val="24"/>
        </w:rPr>
        <w:t xml:space="preserve"> a strong impact on purchase intention. </w:t>
      </w:r>
      <w:bookmarkStart w:id="227" w:name="_Hlk146409191"/>
      <w:r w:rsidRPr="009C7603">
        <w:rPr>
          <w:rFonts w:asciiTheme="majorBidi" w:hAnsiTheme="majorBidi" w:cstheme="majorBidi"/>
          <w:sz w:val="24"/>
          <w:szCs w:val="24"/>
        </w:rPr>
        <w:t>Furthermore</w:t>
      </w:r>
      <w:r w:rsidRPr="00BA44EE">
        <w:rPr>
          <w:rFonts w:asciiTheme="majorBidi" w:hAnsiTheme="majorBidi" w:cstheme="majorBidi"/>
          <w:sz w:val="24"/>
          <w:szCs w:val="24"/>
        </w:rPr>
        <w:t xml:space="preserve">, the study showed that these different </w:t>
      </w:r>
      <w:r w:rsidR="00962339" w:rsidRPr="00BA44EE">
        <w:rPr>
          <w:rFonts w:asciiTheme="majorBidi" w:hAnsiTheme="majorBidi" w:cstheme="majorBidi"/>
          <w:sz w:val="24"/>
          <w:szCs w:val="24"/>
        </w:rPr>
        <w:t xml:space="preserve">brand </w:t>
      </w:r>
      <w:r w:rsidRPr="00BA44EE">
        <w:rPr>
          <w:rFonts w:asciiTheme="majorBidi" w:hAnsiTheme="majorBidi" w:cstheme="majorBidi"/>
          <w:sz w:val="24"/>
          <w:szCs w:val="24"/>
        </w:rPr>
        <w:t>attitudes ha</w:t>
      </w:r>
      <w:r w:rsidR="00316A00">
        <w:rPr>
          <w:rFonts w:asciiTheme="majorBidi" w:hAnsiTheme="majorBidi" w:cstheme="majorBidi"/>
          <w:sz w:val="24"/>
          <w:szCs w:val="24"/>
        </w:rPr>
        <w:t>ve</w:t>
      </w:r>
      <w:r w:rsidRPr="00BA44EE">
        <w:rPr>
          <w:rFonts w:asciiTheme="majorBidi" w:hAnsiTheme="majorBidi" w:cstheme="majorBidi"/>
          <w:sz w:val="24"/>
          <w:szCs w:val="24"/>
        </w:rPr>
        <w:t xml:space="preserve"> different direct and indirect effects on purchase intention.</w:t>
      </w:r>
      <w:r>
        <w:rPr>
          <w:rFonts w:asciiTheme="majorBidi" w:hAnsiTheme="majorBidi" w:cstheme="majorBidi"/>
          <w:sz w:val="24"/>
          <w:szCs w:val="24"/>
        </w:rPr>
        <w:t xml:space="preserve"> </w:t>
      </w:r>
      <w:bookmarkEnd w:id="227"/>
      <w:r>
        <w:rPr>
          <w:rFonts w:asciiTheme="majorBidi" w:hAnsiTheme="majorBidi" w:cstheme="majorBidi"/>
          <w:sz w:val="24"/>
          <w:szCs w:val="24"/>
        </w:rPr>
        <w:t>This finding opposes one of the original theory’s criticisms</w:t>
      </w:r>
      <w:r w:rsidR="00BA44EE">
        <w:rPr>
          <w:rFonts w:asciiTheme="majorBidi" w:hAnsiTheme="majorBidi" w:cstheme="majorBidi"/>
          <w:sz w:val="24"/>
          <w:szCs w:val="24"/>
        </w:rPr>
        <w:t xml:space="preserve"> </w:t>
      </w:r>
      <w:r>
        <w:rPr>
          <w:rFonts w:asciiTheme="majorBidi" w:hAnsiTheme="majorBidi" w:cstheme="majorBidi"/>
          <w:sz w:val="24"/>
          <w:szCs w:val="24"/>
        </w:rPr>
        <w:t xml:space="preserve">about the theory’s predictors and the </w:t>
      </w:r>
      <w:r w:rsidRPr="00BA44EE">
        <w:rPr>
          <w:rFonts w:asciiTheme="majorBidi" w:hAnsiTheme="majorBidi" w:cstheme="majorBidi"/>
          <w:sz w:val="24"/>
          <w:szCs w:val="24"/>
        </w:rPr>
        <w:t>linearity</w:t>
      </w:r>
      <w:r>
        <w:rPr>
          <w:rFonts w:asciiTheme="majorBidi" w:hAnsiTheme="majorBidi" w:cstheme="majorBidi"/>
          <w:sz w:val="24"/>
          <w:szCs w:val="24"/>
        </w:rPr>
        <w:t xml:space="preserve"> of their impact on purchase intention</w:t>
      </w:r>
      <w:r w:rsidR="00BA44EE">
        <w:rPr>
          <w:rFonts w:asciiTheme="majorBidi" w:hAnsiTheme="majorBidi" w:cstheme="majorBidi"/>
          <w:sz w:val="24"/>
          <w:szCs w:val="24"/>
        </w:rPr>
        <w:t xml:space="preserve"> </w:t>
      </w:r>
      <w:sdt>
        <w:sdtPr>
          <w:rPr>
            <w:rFonts w:asciiTheme="majorBidi" w:hAnsiTheme="majorBidi" w:cstheme="majorBidi"/>
            <w:sz w:val="24"/>
            <w:szCs w:val="24"/>
          </w:rPr>
          <w:id w:val="-2049911943"/>
          <w:citation/>
        </w:sdtPr>
        <w:sdtContent>
          <w:r w:rsidR="00BA44EE" w:rsidRPr="00BF1307">
            <w:rPr>
              <w:rFonts w:asciiTheme="majorBidi" w:hAnsiTheme="majorBidi" w:cstheme="majorBidi"/>
              <w:sz w:val="24"/>
              <w:szCs w:val="24"/>
            </w:rPr>
            <w:fldChar w:fldCharType="begin"/>
          </w:r>
          <w:r w:rsidR="00BA44EE" w:rsidRPr="00BF1307">
            <w:rPr>
              <w:rFonts w:asciiTheme="majorBidi" w:hAnsiTheme="majorBidi" w:cstheme="majorBidi"/>
              <w:sz w:val="24"/>
              <w:szCs w:val="24"/>
            </w:rPr>
            <w:instrText xml:space="preserve"> CITATION Wei98 \l 2057 </w:instrText>
          </w:r>
          <w:r w:rsidR="00BA44EE" w:rsidRPr="00BF1307">
            <w:rPr>
              <w:rFonts w:asciiTheme="majorBidi" w:hAnsiTheme="majorBidi" w:cstheme="majorBidi"/>
              <w:sz w:val="24"/>
              <w:szCs w:val="24"/>
            </w:rPr>
            <w:fldChar w:fldCharType="separate"/>
          </w:r>
          <w:r w:rsidR="00BA44EE">
            <w:rPr>
              <w:rFonts w:asciiTheme="majorBidi" w:hAnsiTheme="majorBidi" w:cstheme="majorBidi"/>
              <w:noProof/>
              <w:sz w:val="24"/>
              <w:szCs w:val="24"/>
            </w:rPr>
            <w:t xml:space="preserve"> </w:t>
          </w:r>
          <w:r w:rsidR="00BA44EE" w:rsidRPr="000F60CD">
            <w:rPr>
              <w:rFonts w:asciiTheme="majorBidi" w:hAnsiTheme="majorBidi" w:cstheme="majorBidi"/>
              <w:noProof/>
              <w:sz w:val="24"/>
              <w:szCs w:val="24"/>
            </w:rPr>
            <w:t>(Weinstein, Rothman, &amp; Sutton, 1998)</w:t>
          </w:r>
          <w:r w:rsidR="00BA44EE" w:rsidRPr="00BF1307">
            <w:rPr>
              <w:rFonts w:asciiTheme="majorBidi" w:hAnsiTheme="majorBidi" w:cstheme="majorBidi"/>
              <w:sz w:val="24"/>
              <w:szCs w:val="24"/>
            </w:rPr>
            <w:fldChar w:fldCharType="end"/>
          </w:r>
        </w:sdtContent>
      </w:sdt>
      <w:r>
        <w:rPr>
          <w:rFonts w:asciiTheme="majorBidi" w:hAnsiTheme="majorBidi" w:cstheme="majorBidi"/>
          <w:sz w:val="24"/>
          <w:szCs w:val="24"/>
        </w:rPr>
        <w:t xml:space="preserve">. Section 6.11.2.1 provides evidence that </w:t>
      </w:r>
      <w:r w:rsidRPr="009C7603">
        <w:rPr>
          <w:rFonts w:asciiTheme="majorBidi" w:hAnsiTheme="majorBidi" w:cstheme="majorBidi"/>
          <w:sz w:val="24"/>
          <w:szCs w:val="24"/>
        </w:rPr>
        <w:t xml:space="preserve">the predictors of purchase intention do not all have equal effects on purchase intentions. </w:t>
      </w:r>
      <w:r w:rsidR="00962339" w:rsidRPr="009C7603">
        <w:rPr>
          <w:rFonts w:asciiTheme="majorBidi" w:hAnsiTheme="majorBidi" w:cstheme="majorBidi"/>
          <w:sz w:val="24"/>
          <w:szCs w:val="24"/>
        </w:rPr>
        <w:t xml:space="preserve">Breaking down the effect of a single “attitude” into several brand attitudes also contributes empirically to this study. This is because, while other researchers examined brand attitude instead of behavioural attitudes, </w:t>
      </w:r>
      <w:bookmarkStart w:id="228" w:name="_Hlk146409014"/>
      <w:r w:rsidR="00962339" w:rsidRPr="009C7603">
        <w:rPr>
          <w:rFonts w:asciiTheme="majorBidi" w:hAnsiTheme="majorBidi" w:cstheme="majorBidi"/>
          <w:sz w:val="24"/>
          <w:szCs w:val="24"/>
        </w:rPr>
        <w:t>they examined it as a single construct</w:t>
      </w:r>
      <w:r w:rsidR="00962339" w:rsidRPr="00962339">
        <w:rPr>
          <w:rFonts w:asciiTheme="majorBidi" w:hAnsiTheme="majorBidi" w:cstheme="majorBidi"/>
          <w:sz w:val="24"/>
          <w:szCs w:val="24"/>
        </w:rPr>
        <w:t xml:space="preserve"> </w:t>
      </w:r>
      <w:sdt>
        <w:sdtPr>
          <w:rPr>
            <w:rFonts w:asciiTheme="majorBidi" w:hAnsiTheme="majorBidi" w:cstheme="majorBidi"/>
            <w:sz w:val="24"/>
            <w:szCs w:val="24"/>
          </w:rPr>
          <w:id w:val="-258906251"/>
          <w:citation/>
        </w:sdtPr>
        <w:sdtContent>
          <w:r w:rsidR="00962339" w:rsidRPr="00962339">
            <w:rPr>
              <w:rFonts w:asciiTheme="majorBidi" w:hAnsiTheme="majorBidi" w:cstheme="majorBidi"/>
              <w:sz w:val="24"/>
              <w:szCs w:val="24"/>
            </w:rPr>
            <w:fldChar w:fldCharType="begin"/>
          </w:r>
          <w:r w:rsidR="00962339" w:rsidRPr="00962339">
            <w:rPr>
              <w:rFonts w:asciiTheme="majorBidi" w:hAnsiTheme="majorBidi" w:cstheme="majorBidi"/>
              <w:sz w:val="24"/>
              <w:szCs w:val="24"/>
            </w:rPr>
            <w:instrText xml:space="preserve"> CITATION Faz22 \l 2057  \m Machi</w:instrText>
          </w:r>
          <w:r w:rsidR="00962339" w:rsidRPr="00962339">
            <w:rPr>
              <w:rFonts w:asciiTheme="majorBidi" w:hAnsiTheme="majorBidi" w:cstheme="majorBidi"/>
              <w:sz w:val="24"/>
              <w:szCs w:val="24"/>
            </w:rPr>
            <w:fldChar w:fldCharType="separate"/>
          </w:r>
          <w:r w:rsidR="00962339" w:rsidRPr="00962339">
            <w:rPr>
              <w:rFonts w:asciiTheme="majorBidi" w:hAnsiTheme="majorBidi" w:cstheme="majorBidi"/>
              <w:noProof/>
              <w:sz w:val="24"/>
              <w:szCs w:val="24"/>
            </w:rPr>
            <w:t xml:space="preserve"> (Fazli-Salehi, Torres, Madadi, &amp; Zúñiga, 2022; Machi, Nemavhidi, Chuchu, Nyagadza, &amp; Venter de Villiers, 2022)</w:t>
          </w:r>
          <w:r w:rsidR="00962339" w:rsidRPr="00962339">
            <w:rPr>
              <w:rFonts w:asciiTheme="majorBidi" w:hAnsiTheme="majorBidi" w:cstheme="majorBidi"/>
              <w:sz w:val="24"/>
              <w:szCs w:val="24"/>
            </w:rPr>
            <w:fldChar w:fldCharType="end"/>
          </w:r>
        </w:sdtContent>
      </w:sdt>
      <w:r w:rsidR="00962339" w:rsidRPr="00962339">
        <w:rPr>
          <w:rFonts w:asciiTheme="majorBidi" w:hAnsiTheme="majorBidi" w:cstheme="majorBidi"/>
          <w:sz w:val="24"/>
          <w:szCs w:val="24"/>
        </w:rPr>
        <w:t>.</w:t>
      </w:r>
      <w:bookmarkEnd w:id="228"/>
      <w:r w:rsidR="00BA44EE">
        <w:t xml:space="preserve"> </w:t>
      </w:r>
      <w:r w:rsidR="00063655">
        <w:rPr>
          <w:rFonts w:asciiTheme="majorBidi" w:hAnsiTheme="majorBidi" w:cstheme="majorBidi"/>
          <w:sz w:val="24"/>
          <w:szCs w:val="24"/>
        </w:rPr>
        <w:t>Different attitudes were</w:t>
      </w:r>
      <w:r w:rsidR="00962339">
        <w:rPr>
          <w:rFonts w:asciiTheme="majorBidi" w:hAnsiTheme="majorBidi" w:cstheme="majorBidi"/>
          <w:sz w:val="24"/>
          <w:szCs w:val="24"/>
        </w:rPr>
        <w:t xml:space="preserve"> necessary to examine in this study because CSR communication is relatively </w:t>
      </w:r>
      <w:r w:rsidR="00BA44EE">
        <w:rPr>
          <w:rFonts w:asciiTheme="majorBidi" w:hAnsiTheme="majorBidi" w:cstheme="majorBidi"/>
          <w:sz w:val="24"/>
          <w:szCs w:val="24"/>
        </w:rPr>
        <w:t>understudied in the Middle East</w:t>
      </w:r>
      <w:r w:rsidR="00BA44EE" w:rsidRPr="00BA44EE">
        <w:rPr>
          <w:rFonts w:asciiTheme="majorBidi" w:hAnsiTheme="majorBidi" w:cstheme="majorBidi"/>
          <w:sz w:val="24"/>
          <w:szCs w:val="24"/>
        </w:rPr>
        <w:t xml:space="preserve"> </w:t>
      </w:r>
      <w:sdt>
        <w:sdtPr>
          <w:rPr>
            <w:rFonts w:asciiTheme="majorBidi" w:hAnsiTheme="majorBidi" w:cstheme="majorBidi"/>
            <w:sz w:val="24"/>
            <w:szCs w:val="24"/>
          </w:rPr>
          <w:id w:val="-161397928"/>
          <w:citation/>
        </w:sdtPr>
        <w:sdtContent>
          <w:r w:rsidR="00BA44EE">
            <w:rPr>
              <w:rFonts w:asciiTheme="majorBidi" w:hAnsiTheme="majorBidi" w:cstheme="majorBidi"/>
              <w:sz w:val="24"/>
              <w:szCs w:val="24"/>
            </w:rPr>
            <w:fldChar w:fldCharType="begin"/>
          </w:r>
          <w:r w:rsidR="0072561B">
            <w:rPr>
              <w:rFonts w:asciiTheme="majorBidi" w:hAnsiTheme="majorBidi" w:cstheme="majorBidi"/>
              <w:sz w:val="24"/>
              <w:szCs w:val="24"/>
            </w:rPr>
            <w:instrText xml:space="preserve">CITATION Elh21 \m Nur20 \l 2057 </w:instrText>
          </w:r>
          <w:r w:rsidR="00BA44EE">
            <w:rPr>
              <w:rFonts w:asciiTheme="majorBidi" w:hAnsiTheme="majorBidi" w:cstheme="majorBidi"/>
              <w:sz w:val="24"/>
              <w:szCs w:val="24"/>
            </w:rPr>
            <w:fldChar w:fldCharType="separate"/>
          </w:r>
          <w:r w:rsidR="0072561B" w:rsidRPr="0072561B">
            <w:rPr>
              <w:rFonts w:asciiTheme="majorBidi" w:hAnsiTheme="majorBidi" w:cstheme="majorBidi"/>
              <w:noProof/>
              <w:sz w:val="24"/>
              <w:szCs w:val="24"/>
            </w:rPr>
            <w:t>(Elhoushy &amp; Lanzini, 2021; Nurunnabi, Alfakhri, &amp; Alfakhri, 2020)</w:t>
          </w:r>
          <w:r w:rsidR="00BA44EE">
            <w:rPr>
              <w:rFonts w:asciiTheme="majorBidi" w:hAnsiTheme="majorBidi" w:cstheme="majorBidi"/>
              <w:sz w:val="24"/>
              <w:szCs w:val="24"/>
            </w:rPr>
            <w:fldChar w:fldCharType="end"/>
          </w:r>
        </w:sdtContent>
      </w:sdt>
      <w:r w:rsidR="00962339">
        <w:rPr>
          <w:rFonts w:asciiTheme="majorBidi" w:hAnsiTheme="majorBidi" w:cstheme="majorBidi"/>
          <w:sz w:val="24"/>
          <w:szCs w:val="24"/>
        </w:rPr>
        <w:t xml:space="preserve">. </w:t>
      </w:r>
      <w:r w:rsidR="00962339" w:rsidRPr="00BA44EE">
        <w:rPr>
          <w:rFonts w:asciiTheme="majorBidi" w:hAnsiTheme="majorBidi" w:cstheme="majorBidi"/>
          <w:sz w:val="24"/>
          <w:szCs w:val="24"/>
        </w:rPr>
        <w:t>Hence,</w:t>
      </w:r>
      <w:r w:rsidR="00BA44EE" w:rsidRPr="00BA44EE">
        <w:rPr>
          <w:rFonts w:asciiTheme="majorBidi" w:hAnsiTheme="majorBidi" w:cstheme="majorBidi"/>
          <w:sz w:val="24"/>
          <w:szCs w:val="24"/>
        </w:rPr>
        <w:t xml:space="preserve"> as discussed in section 8.2,</w:t>
      </w:r>
      <w:r w:rsidR="00962339" w:rsidRPr="00BA44EE">
        <w:rPr>
          <w:rFonts w:asciiTheme="majorBidi" w:hAnsiTheme="majorBidi" w:cstheme="majorBidi"/>
          <w:sz w:val="24"/>
          <w:szCs w:val="24"/>
        </w:rPr>
        <w:t xml:space="preserve"> it is necessary to examine </w:t>
      </w:r>
      <w:r w:rsidR="00BA44EE" w:rsidRPr="00BA44EE">
        <w:rPr>
          <w:rFonts w:asciiTheme="majorBidi" w:hAnsiTheme="majorBidi" w:cstheme="majorBidi"/>
          <w:sz w:val="24"/>
          <w:szCs w:val="24"/>
        </w:rPr>
        <w:t xml:space="preserve">the impact </w:t>
      </w:r>
      <w:r w:rsidR="00063655">
        <w:rPr>
          <w:rFonts w:asciiTheme="majorBidi" w:hAnsiTheme="majorBidi" w:cstheme="majorBidi"/>
          <w:sz w:val="24"/>
          <w:szCs w:val="24"/>
        </w:rPr>
        <w:t xml:space="preserve">of </w:t>
      </w:r>
      <w:r w:rsidR="00BA44EE" w:rsidRPr="00BA44EE">
        <w:rPr>
          <w:rFonts w:asciiTheme="majorBidi" w:hAnsiTheme="majorBidi" w:cstheme="majorBidi"/>
          <w:sz w:val="24"/>
          <w:szCs w:val="24"/>
        </w:rPr>
        <w:t>different</w:t>
      </w:r>
      <w:r w:rsidR="00962339" w:rsidRPr="00BA44EE">
        <w:rPr>
          <w:rFonts w:asciiTheme="majorBidi" w:hAnsiTheme="majorBidi" w:cstheme="majorBidi"/>
          <w:sz w:val="24"/>
          <w:szCs w:val="24"/>
        </w:rPr>
        <w:t xml:space="preserve"> brand attitude</w:t>
      </w:r>
      <w:r w:rsidR="00BA44EE" w:rsidRPr="00BA44EE">
        <w:rPr>
          <w:rFonts w:asciiTheme="majorBidi" w:hAnsiTheme="majorBidi" w:cstheme="majorBidi"/>
          <w:sz w:val="24"/>
          <w:szCs w:val="24"/>
        </w:rPr>
        <w:t>s</w:t>
      </w:r>
      <w:r w:rsidR="00962339" w:rsidRPr="00BA44EE">
        <w:rPr>
          <w:rFonts w:asciiTheme="majorBidi" w:hAnsiTheme="majorBidi" w:cstheme="majorBidi"/>
          <w:sz w:val="24"/>
          <w:szCs w:val="24"/>
        </w:rPr>
        <w:t xml:space="preserve"> and </w:t>
      </w:r>
      <w:r w:rsidR="00BA44EE" w:rsidRPr="00BA44EE">
        <w:rPr>
          <w:rFonts w:asciiTheme="majorBidi" w:hAnsiTheme="majorBidi" w:cstheme="majorBidi"/>
          <w:sz w:val="24"/>
          <w:szCs w:val="24"/>
        </w:rPr>
        <w:t xml:space="preserve">identify </w:t>
      </w:r>
      <w:r w:rsidR="00962339" w:rsidRPr="00BA44EE">
        <w:rPr>
          <w:rFonts w:asciiTheme="majorBidi" w:hAnsiTheme="majorBidi" w:cstheme="majorBidi"/>
          <w:sz w:val="24"/>
          <w:szCs w:val="24"/>
        </w:rPr>
        <w:t>which brand attitude (resulting from the communication strategy</w:t>
      </w:r>
      <w:r w:rsidR="00316A00">
        <w:rPr>
          <w:rFonts w:asciiTheme="majorBidi" w:hAnsiTheme="majorBidi" w:cstheme="majorBidi"/>
          <w:sz w:val="24"/>
          <w:szCs w:val="24"/>
        </w:rPr>
        <w:t xml:space="preserve"> and media vehicle</w:t>
      </w:r>
      <w:r w:rsidR="00962339" w:rsidRPr="00BA44EE">
        <w:rPr>
          <w:rFonts w:asciiTheme="majorBidi" w:hAnsiTheme="majorBidi" w:cstheme="majorBidi"/>
          <w:sz w:val="24"/>
          <w:szCs w:val="24"/>
        </w:rPr>
        <w:t xml:space="preserve">) has the </w:t>
      </w:r>
      <w:r w:rsidR="00BA44EE" w:rsidRPr="00BA44EE">
        <w:rPr>
          <w:rFonts w:asciiTheme="majorBidi" w:hAnsiTheme="majorBidi" w:cstheme="majorBidi"/>
          <w:sz w:val="24"/>
          <w:szCs w:val="24"/>
        </w:rPr>
        <w:t>highest</w:t>
      </w:r>
      <w:r w:rsidR="00962339" w:rsidRPr="00BA44EE">
        <w:rPr>
          <w:rFonts w:asciiTheme="majorBidi" w:hAnsiTheme="majorBidi" w:cstheme="majorBidi"/>
          <w:sz w:val="24"/>
          <w:szCs w:val="24"/>
        </w:rPr>
        <w:t xml:space="preserve"> impact on purchase intention.</w:t>
      </w:r>
      <w:r w:rsidR="00962339">
        <w:rPr>
          <w:rFonts w:asciiTheme="majorBidi" w:hAnsiTheme="majorBidi" w:cstheme="majorBidi"/>
          <w:sz w:val="24"/>
          <w:szCs w:val="24"/>
        </w:rPr>
        <w:t xml:space="preserve"> </w:t>
      </w:r>
      <w:r>
        <w:rPr>
          <w:rFonts w:asciiTheme="majorBidi" w:hAnsiTheme="majorBidi" w:cstheme="majorBidi"/>
          <w:sz w:val="24"/>
          <w:szCs w:val="24"/>
        </w:rPr>
        <w:t xml:space="preserve">Basically, this study asserts that applying TRA should capture the essence of </w:t>
      </w:r>
      <w:r w:rsidR="00B85626">
        <w:rPr>
          <w:rFonts w:asciiTheme="majorBidi" w:hAnsiTheme="majorBidi" w:cstheme="majorBidi"/>
          <w:sz w:val="24"/>
          <w:szCs w:val="24"/>
        </w:rPr>
        <w:t>the theory</w:t>
      </w:r>
      <w:r>
        <w:rPr>
          <w:rFonts w:asciiTheme="majorBidi" w:hAnsiTheme="majorBidi" w:cstheme="majorBidi"/>
          <w:sz w:val="24"/>
          <w:szCs w:val="24"/>
        </w:rPr>
        <w:t xml:space="preserve">, which </w:t>
      </w:r>
      <w:r w:rsidR="0072561B">
        <w:rPr>
          <w:rFonts w:asciiTheme="majorBidi" w:hAnsiTheme="majorBidi" w:cstheme="majorBidi"/>
          <w:sz w:val="24"/>
          <w:szCs w:val="24"/>
        </w:rPr>
        <w:t>focuses on measuring</w:t>
      </w:r>
      <w:r>
        <w:rPr>
          <w:rFonts w:asciiTheme="majorBidi" w:hAnsiTheme="majorBidi" w:cstheme="majorBidi"/>
          <w:sz w:val="24"/>
          <w:szCs w:val="24"/>
        </w:rPr>
        <w:t xml:space="preserve"> the impact of </w:t>
      </w:r>
      <w:r w:rsidR="00063655">
        <w:rPr>
          <w:rFonts w:asciiTheme="majorBidi" w:hAnsiTheme="majorBidi" w:cstheme="majorBidi"/>
          <w:sz w:val="24"/>
          <w:szCs w:val="24"/>
        </w:rPr>
        <w:t xml:space="preserve">norms and </w:t>
      </w:r>
      <w:r>
        <w:rPr>
          <w:rFonts w:asciiTheme="majorBidi" w:hAnsiTheme="majorBidi" w:cstheme="majorBidi"/>
          <w:sz w:val="24"/>
          <w:szCs w:val="24"/>
        </w:rPr>
        <w:t xml:space="preserve">attitudes on purchase intention, while making the necessary amendments to the theory’s predictors to be a better fit to each study’s </w:t>
      </w:r>
      <w:r w:rsidR="0072561B">
        <w:rPr>
          <w:rFonts w:asciiTheme="majorBidi" w:hAnsiTheme="majorBidi" w:cstheme="majorBidi"/>
          <w:sz w:val="24"/>
          <w:szCs w:val="24"/>
        </w:rPr>
        <w:t>context or product type</w:t>
      </w:r>
      <w:r>
        <w:rPr>
          <w:rFonts w:asciiTheme="majorBidi" w:hAnsiTheme="majorBidi" w:cstheme="majorBidi"/>
          <w:sz w:val="24"/>
          <w:szCs w:val="24"/>
        </w:rPr>
        <w:t>. This proposal of making amendments when necessary was advised by one of the original founders of the theory</w:t>
      </w:r>
      <w:sdt>
        <w:sdtPr>
          <w:rPr>
            <w:rFonts w:asciiTheme="majorBidi" w:hAnsiTheme="majorBidi" w:cstheme="majorBidi"/>
            <w:sz w:val="24"/>
            <w:szCs w:val="24"/>
          </w:rPr>
          <w:id w:val="78979030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Ajz91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3E7573">
            <w:rPr>
              <w:rFonts w:asciiTheme="majorBidi" w:hAnsiTheme="majorBidi" w:cstheme="majorBidi"/>
              <w:noProof/>
              <w:sz w:val="24"/>
              <w:szCs w:val="24"/>
            </w:rPr>
            <w:t>(Ajzen I. , 1991)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The below </w:t>
      </w:r>
      <w:r w:rsidRPr="008832B5">
        <w:rPr>
          <w:rFonts w:asciiTheme="majorBidi" w:hAnsiTheme="majorBidi" w:cstheme="majorBidi"/>
          <w:sz w:val="24"/>
          <w:szCs w:val="24"/>
        </w:rPr>
        <w:t>figure</w:t>
      </w:r>
      <w:r>
        <w:rPr>
          <w:rFonts w:asciiTheme="majorBidi" w:hAnsiTheme="majorBidi" w:cstheme="majorBidi"/>
          <w:sz w:val="24"/>
          <w:szCs w:val="24"/>
        </w:rPr>
        <w:t xml:space="preserve"> summarises the newly proposed theoretical model of TRA along with the </w:t>
      </w:r>
      <w:r w:rsidRPr="00605CA8">
        <w:rPr>
          <w:rFonts w:asciiTheme="majorBidi" w:hAnsiTheme="majorBidi" w:cstheme="majorBidi"/>
          <w:sz w:val="24"/>
          <w:szCs w:val="24"/>
        </w:rPr>
        <w:t xml:space="preserve">different effect sizes of norms and attitudes on </w:t>
      </w:r>
      <w:r w:rsidR="004F3495">
        <w:rPr>
          <w:rFonts w:asciiTheme="majorBidi" w:hAnsiTheme="majorBidi" w:cstheme="majorBidi"/>
          <w:sz w:val="24"/>
          <w:szCs w:val="24"/>
        </w:rPr>
        <w:t xml:space="preserve">purchase </w:t>
      </w:r>
      <w:r w:rsidRPr="00605CA8">
        <w:rPr>
          <w:rFonts w:asciiTheme="majorBidi" w:hAnsiTheme="majorBidi" w:cstheme="majorBidi"/>
          <w:sz w:val="24"/>
          <w:szCs w:val="24"/>
        </w:rPr>
        <w:t>intention.</w:t>
      </w:r>
      <w:r>
        <w:rPr>
          <w:rFonts w:asciiTheme="majorBidi" w:hAnsiTheme="majorBidi" w:cstheme="majorBidi"/>
          <w:sz w:val="24"/>
          <w:szCs w:val="24"/>
        </w:rPr>
        <w:t xml:space="preserve"> The brand attitudes in figure </w:t>
      </w:r>
      <w:r w:rsidR="00ED6234">
        <w:rPr>
          <w:rFonts w:asciiTheme="majorBidi" w:hAnsiTheme="majorBidi" w:cstheme="majorBidi"/>
          <w:sz w:val="24"/>
          <w:szCs w:val="24"/>
        </w:rPr>
        <w:t>33</w:t>
      </w:r>
      <w:r>
        <w:rPr>
          <w:rFonts w:asciiTheme="majorBidi" w:hAnsiTheme="majorBidi" w:cstheme="majorBidi"/>
          <w:sz w:val="24"/>
          <w:szCs w:val="24"/>
        </w:rPr>
        <w:t xml:space="preserve"> are arranged in terms of effect size starting with the largest effect size. </w:t>
      </w:r>
      <w:r w:rsidR="0072561B">
        <w:rPr>
          <w:rFonts w:asciiTheme="majorBidi" w:hAnsiTheme="majorBidi" w:cstheme="majorBidi"/>
          <w:sz w:val="24"/>
          <w:szCs w:val="24"/>
        </w:rPr>
        <w:t>I</w:t>
      </w:r>
      <w:r>
        <w:rPr>
          <w:rFonts w:asciiTheme="majorBidi" w:hAnsiTheme="majorBidi" w:cstheme="majorBidi"/>
          <w:sz w:val="24"/>
          <w:szCs w:val="24"/>
        </w:rPr>
        <w:t>n this study’s context,</w:t>
      </w:r>
      <w:r w:rsidR="00FF364A">
        <w:rPr>
          <w:rFonts w:asciiTheme="majorBidi" w:hAnsiTheme="majorBidi" w:cstheme="majorBidi"/>
          <w:sz w:val="24"/>
          <w:szCs w:val="24"/>
        </w:rPr>
        <w:t xml:space="preserve"> by examining the separate impact of different brand attitudes,</w:t>
      </w:r>
      <w:r>
        <w:rPr>
          <w:rFonts w:asciiTheme="majorBidi" w:hAnsiTheme="majorBidi" w:cstheme="majorBidi"/>
          <w:sz w:val="24"/>
          <w:szCs w:val="24"/>
        </w:rPr>
        <w:t xml:space="preserve"> the results revealed that brand trust had the strongest impact on purchase intention</w:t>
      </w:r>
      <w:r w:rsidR="0072561B">
        <w:rPr>
          <w:rFonts w:asciiTheme="majorBidi" w:hAnsiTheme="majorBidi" w:cstheme="majorBidi"/>
          <w:sz w:val="24"/>
          <w:szCs w:val="24"/>
        </w:rPr>
        <w:t xml:space="preserve"> in this study’s context</w:t>
      </w:r>
      <w:r>
        <w:rPr>
          <w:rFonts w:asciiTheme="majorBidi" w:hAnsiTheme="majorBidi" w:cstheme="majorBidi"/>
          <w:sz w:val="24"/>
          <w:szCs w:val="24"/>
        </w:rPr>
        <w:t>.</w:t>
      </w:r>
      <w:r w:rsidR="0072561B">
        <w:rPr>
          <w:rFonts w:asciiTheme="majorBidi" w:hAnsiTheme="majorBidi" w:cstheme="majorBidi"/>
          <w:sz w:val="24"/>
          <w:szCs w:val="24"/>
        </w:rPr>
        <w:t xml:space="preserve"> </w:t>
      </w:r>
      <w:r w:rsidR="00FF364A">
        <w:rPr>
          <w:rFonts w:asciiTheme="majorBidi" w:hAnsiTheme="majorBidi" w:cstheme="majorBidi"/>
          <w:sz w:val="24"/>
          <w:szCs w:val="24"/>
        </w:rPr>
        <w:t xml:space="preserve">Hence, brand trust is a major brand attitude that need to be </w:t>
      </w:r>
      <w:r w:rsidR="005E6463">
        <w:rPr>
          <w:rFonts w:asciiTheme="majorBidi" w:hAnsiTheme="majorBidi" w:cstheme="majorBidi"/>
          <w:sz w:val="24"/>
          <w:szCs w:val="24"/>
        </w:rPr>
        <w:t>considered</w:t>
      </w:r>
      <w:r w:rsidR="00FF364A">
        <w:rPr>
          <w:rFonts w:asciiTheme="majorBidi" w:hAnsiTheme="majorBidi" w:cstheme="majorBidi"/>
          <w:sz w:val="24"/>
          <w:szCs w:val="24"/>
        </w:rPr>
        <w:t xml:space="preserve"> carefully </w:t>
      </w:r>
      <w:r w:rsidR="005E6463">
        <w:rPr>
          <w:rFonts w:asciiTheme="majorBidi" w:hAnsiTheme="majorBidi" w:cstheme="majorBidi"/>
          <w:sz w:val="24"/>
          <w:szCs w:val="24"/>
        </w:rPr>
        <w:t xml:space="preserve">when launching CSR communication from FMCG brands in Egypt. </w:t>
      </w:r>
      <w:r w:rsidR="0072561B">
        <w:rPr>
          <w:rFonts w:asciiTheme="majorBidi" w:hAnsiTheme="majorBidi" w:cstheme="majorBidi"/>
          <w:sz w:val="24"/>
          <w:szCs w:val="24"/>
        </w:rPr>
        <w:t>Interpretations of the impact of each brand attitude and variable on purchase intention is further discussed in section 8.2.</w:t>
      </w:r>
      <w:r>
        <w:rPr>
          <w:rFonts w:asciiTheme="majorBidi" w:hAnsiTheme="majorBidi" w:cstheme="majorBidi"/>
          <w:sz w:val="24"/>
          <w:szCs w:val="24"/>
        </w:rPr>
        <w:t xml:space="preserve"> </w:t>
      </w:r>
      <w:r w:rsidR="004F3495">
        <w:rPr>
          <w:rFonts w:asciiTheme="majorBidi" w:hAnsiTheme="majorBidi" w:cstheme="majorBidi"/>
          <w:sz w:val="24"/>
          <w:szCs w:val="24"/>
        </w:rPr>
        <w:t xml:space="preserve">Thus, the key </w:t>
      </w:r>
      <w:r w:rsidR="00FF364A">
        <w:rPr>
          <w:rFonts w:asciiTheme="majorBidi" w:hAnsiTheme="majorBidi" w:cstheme="majorBidi"/>
          <w:sz w:val="24"/>
          <w:szCs w:val="24"/>
        </w:rPr>
        <w:t>takeaway</w:t>
      </w:r>
      <w:r w:rsidR="004F3495">
        <w:rPr>
          <w:rFonts w:asciiTheme="majorBidi" w:hAnsiTheme="majorBidi" w:cstheme="majorBidi"/>
          <w:sz w:val="24"/>
          <w:szCs w:val="24"/>
        </w:rPr>
        <w:t xml:space="preserve"> from this section </w:t>
      </w:r>
      <w:r w:rsidR="00FF364A">
        <w:rPr>
          <w:rFonts w:asciiTheme="majorBidi" w:hAnsiTheme="majorBidi" w:cstheme="majorBidi"/>
          <w:sz w:val="24"/>
          <w:szCs w:val="24"/>
        </w:rPr>
        <w:t>is</w:t>
      </w:r>
      <w:r w:rsidR="004F3495">
        <w:rPr>
          <w:rFonts w:asciiTheme="majorBidi" w:hAnsiTheme="majorBidi" w:cstheme="majorBidi"/>
          <w:sz w:val="24"/>
          <w:szCs w:val="24"/>
        </w:rPr>
        <w:t xml:space="preserve"> that brand attitudes have </w:t>
      </w:r>
      <w:r w:rsidR="00FF364A">
        <w:rPr>
          <w:rFonts w:asciiTheme="majorBidi" w:hAnsiTheme="majorBidi" w:cstheme="majorBidi"/>
          <w:sz w:val="24"/>
          <w:szCs w:val="24"/>
        </w:rPr>
        <w:t>significant</w:t>
      </w:r>
      <w:r w:rsidR="004F3495">
        <w:rPr>
          <w:rFonts w:asciiTheme="majorBidi" w:hAnsiTheme="majorBidi" w:cstheme="majorBidi"/>
          <w:sz w:val="24"/>
          <w:szCs w:val="24"/>
        </w:rPr>
        <w:t xml:space="preserve"> impact</w:t>
      </w:r>
      <w:r w:rsidR="00FF364A">
        <w:rPr>
          <w:rFonts w:asciiTheme="majorBidi" w:hAnsiTheme="majorBidi" w:cstheme="majorBidi"/>
          <w:sz w:val="24"/>
          <w:szCs w:val="24"/>
        </w:rPr>
        <w:t>s</w:t>
      </w:r>
      <w:r w:rsidR="004F3495">
        <w:rPr>
          <w:rFonts w:asciiTheme="majorBidi" w:hAnsiTheme="majorBidi" w:cstheme="majorBidi"/>
          <w:sz w:val="24"/>
          <w:szCs w:val="24"/>
        </w:rPr>
        <w:t xml:space="preserve"> on behavioural </w:t>
      </w:r>
      <w:r w:rsidR="00FF364A">
        <w:rPr>
          <w:rFonts w:asciiTheme="majorBidi" w:hAnsiTheme="majorBidi" w:cstheme="majorBidi"/>
          <w:sz w:val="24"/>
          <w:szCs w:val="24"/>
        </w:rPr>
        <w:t>intention</w:t>
      </w:r>
      <w:r w:rsidR="005E6463">
        <w:rPr>
          <w:rFonts w:asciiTheme="majorBidi" w:hAnsiTheme="majorBidi" w:cstheme="majorBidi"/>
          <w:sz w:val="24"/>
          <w:szCs w:val="24"/>
        </w:rPr>
        <w:t xml:space="preserve"> and</w:t>
      </w:r>
      <w:r w:rsidR="004F3495">
        <w:rPr>
          <w:rFonts w:asciiTheme="majorBidi" w:hAnsiTheme="majorBidi" w:cstheme="majorBidi"/>
          <w:sz w:val="24"/>
          <w:szCs w:val="24"/>
        </w:rPr>
        <w:t xml:space="preserve"> should be </w:t>
      </w:r>
      <w:r w:rsidR="00FF364A">
        <w:rPr>
          <w:rFonts w:asciiTheme="majorBidi" w:hAnsiTheme="majorBidi" w:cstheme="majorBidi"/>
          <w:sz w:val="24"/>
          <w:szCs w:val="24"/>
        </w:rPr>
        <w:t>included</w:t>
      </w:r>
      <w:r w:rsidR="004F3495">
        <w:rPr>
          <w:rFonts w:asciiTheme="majorBidi" w:hAnsiTheme="majorBidi" w:cstheme="majorBidi"/>
          <w:sz w:val="24"/>
          <w:szCs w:val="24"/>
        </w:rPr>
        <w:t xml:space="preserve"> in TRA to predict behavioural intention. </w:t>
      </w:r>
      <w:r w:rsidR="00FF364A" w:rsidRPr="00FF364A">
        <w:rPr>
          <w:rFonts w:asciiTheme="majorBidi" w:hAnsiTheme="majorBidi" w:cstheme="majorBidi"/>
          <w:sz w:val="24"/>
          <w:szCs w:val="24"/>
        </w:rPr>
        <w:t xml:space="preserve">In addition, linear application of the </w:t>
      </w:r>
      <w:r w:rsidR="00FF364A">
        <w:rPr>
          <w:rFonts w:asciiTheme="majorBidi" w:hAnsiTheme="majorBidi" w:cstheme="majorBidi"/>
          <w:sz w:val="24"/>
          <w:szCs w:val="24"/>
        </w:rPr>
        <w:t>main</w:t>
      </w:r>
      <w:r w:rsidR="00FF364A" w:rsidRPr="00FF364A">
        <w:rPr>
          <w:rFonts w:asciiTheme="majorBidi" w:hAnsiTheme="majorBidi" w:cstheme="majorBidi"/>
          <w:sz w:val="24"/>
          <w:szCs w:val="24"/>
        </w:rPr>
        <w:t xml:space="preserve"> determinants of TRA should be </w:t>
      </w:r>
      <w:r w:rsidR="005E6463" w:rsidRPr="00FF364A">
        <w:rPr>
          <w:rFonts w:asciiTheme="majorBidi" w:hAnsiTheme="majorBidi" w:cstheme="majorBidi"/>
          <w:sz w:val="24"/>
          <w:szCs w:val="24"/>
        </w:rPr>
        <w:t>lessened</w:t>
      </w:r>
      <w:r w:rsidR="00FF364A" w:rsidRPr="00FF364A">
        <w:rPr>
          <w:rFonts w:asciiTheme="majorBidi" w:hAnsiTheme="majorBidi" w:cstheme="majorBidi"/>
          <w:sz w:val="24"/>
          <w:szCs w:val="24"/>
        </w:rPr>
        <w:t xml:space="preserve">. </w:t>
      </w:r>
      <w:r w:rsidR="004F3495">
        <w:rPr>
          <w:rFonts w:asciiTheme="majorBidi" w:hAnsiTheme="majorBidi" w:cstheme="majorBidi"/>
          <w:sz w:val="24"/>
          <w:szCs w:val="24"/>
        </w:rPr>
        <w:t>This is demonstrated in this study by breaking down brand attitude into several</w:t>
      </w:r>
      <w:r w:rsidR="005E6463">
        <w:rPr>
          <w:rFonts w:asciiTheme="majorBidi" w:hAnsiTheme="majorBidi" w:cstheme="majorBidi"/>
          <w:sz w:val="24"/>
          <w:szCs w:val="24"/>
        </w:rPr>
        <w:t xml:space="preserve"> </w:t>
      </w:r>
      <w:r w:rsidR="004F3495">
        <w:rPr>
          <w:rFonts w:asciiTheme="majorBidi" w:hAnsiTheme="majorBidi" w:cstheme="majorBidi"/>
          <w:sz w:val="24"/>
          <w:szCs w:val="24"/>
        </w:rPr>
        <w:t>brand attitudes</w:t>
      </w:r>
      <w:r w:rsidR="005E6463">
        <w:rPr>
          <w:rFonts w:asciiTheme="majorBidi" w:hAnsiTheme="majorBidi" w:cstheme="majorBidi"/>
          <w:sz w:val="24"/>
          <w:szCs w:val="24"/>
        </w:rPr>
        <w:t xml:space="preserve"> that are relevant to they study’s context</w:t>
      </w:r>
      <w:r w:rsidR="004F3495">
        <w:rPr>
          <w:rFonts w:asciiTheme="majorBidi" w:hAnsiTheme="majorBidi" w:cstheme="majorBidi"/>
          <w:sz w:val="24"/>
          <w:szCs w:val="24"/>
        </w:rPr>
        <w:t xml:space="preserve"> and examining the effect of each </w:t>
      </w:r>
      <w:r w:rsidR="00FF364A">
        <w:rPr>
          <w:rFonts w:asciiTheme="majorBidi" w:hAnsiTheme="majorBidi" w:cstheme="majorBidi"/>
          <w:sz w:val="24"/>
          <w:szCs w:val="24"/>
        </w:rPr>
        <w:t>one.</w:t>
      </w:r>
      <w:r>
        <w:rPr>
          <w:rFonts w:asciiTheme="majorBidi" w:hAnsiTheme="majorBidi" w:cstheme="majorBidi"/>
          <w:sz w:val="24"/>
          <w:szCs w:val="24"/>
        </w:rPr>
        <w:t xml:space="preserve"> </w:t>
      </w:r>
      <w:r w:rsidR="00FF364A">
        <w:rPr>
          <w:rFonts w:asciiTheme="majorBidi" w:hAnsiTheme="majorBidi" w:cstheme="majorBidi"/>
          <w:sz w:val="24"/>
          <w:szCs w:val="24"/>
        </w:rPr>
        <w:t>B</w:t>
      </w:r>
      <w:r>
        <w:rPr>
          <w:rFonts w:asciiTheme="majorBidi" w:hAnsiTheme="majorBidi" w:cstheme="majorBidi"/>
          <w:sz w:val="24"/>
          <w:szCs w:val="24"/>
        </w:rPr>
        <w:t>ased on literature review, the inclusion of cognitive and affective mediators in the relationship between a stimulus and behavioural intention is necessary.</w:t>
      </w:r>
      <w:r w:rsidR="00AA7F79">
        <w:rPr>
          <w:rFonts w:asciiTheme="majorBidi" w:hAnsiTheme="majorBidi" w:cstheme="majorBidi"/>
          <w:sz w:val="24"/>
          <w:szCs w:val="24"/>
        </w:rPr>
        <w:t xml:space="preserve"> Additionally, the main purpose of the study is to examine the impact of CSR communication and different media vehicles on consumers’ brand attitudes and purchase intention.</w:t>
      </w:r>
      <w:r>
        <w:rPr>
          <w:rFonts w:asciiTheme="majorBidi" w:hAnsiTheme="majorBidi" w:cstheme="majorBidi"/>
          <w:sz w:val="24"/>
          <w:szCs w:val="24"/>
        </w:rPr>
        <w:t xml:space="preserve"> For that reason, SOR </w:t>
      </w:r>
      <w:r w:rsidR="00AA7F79">
        <w:rPr>
          <w:rFonts w:asciiTheme="majorBidi" w:hAnsiTheme="majorBidi" w:cstheme="majorBidi"/>
          <w:sz w:val="24"/>
          <w:szCs w:val="24"/>
        </w:rPr>
        <w:t>framework</w:t>
      </w:r>
      <w:r>
        <w:rPr>
          <w:rFonts w:asciiTheme="majorBidi" w:hAnsiTheme="majorBidi" w:cstheme="majorBidi"/>
          <w:sz w:val="24"/>
          <w:szCs w:val="24"/>
        </w:rPr>
        <w:t xml:space="preserve"> was also applied in this study’s theoretical framework</w:t>
      </w:r>
      <w:r w:rsidR="0072561B">
        <w:rPr>
          <w:rFonts w:asciiTheme="majorBidi" w:hAnsiTheme="majorBidi" w:cstheme="majorBidi"/>
          <w:sz w:val="24"/>
          <w:szCs w:val="24"/>
        </w:rPr>
        <w:t xml:space="preserve"> </w:t>
      </w:r>
      <w:r w:rsidR="00AA7F79">
        <w:rPr>
          <w:rFonts w:asciiTheme="majorBidi" w:hAnsiTheme="majorBidi" w:cstheme="majorBidi"/>
          <w:sz w:val="24"/>
          <w:szCs w:val="24"/>
        </w:rPr>
        <w:t xml:space="preserve">to address the effect of the stimuli (CSR and non-CSR communication and social media and television) on cognitive and affective attitudes </w:t>
      </w:r>
      <w:r w:rsidR="0072561B">
        <w:rPr>
          <w:rFonts w:asciiTheme="majorBidi" w:hAnsiTheme="majorBidi" w:cstheme="majorBidi"/>
          <w:sz w:val="24"/>
          <w:szCs w:val="24"/>
        </w:rPr>
        <w:t xml:space="preserve">and </w:t>
      </w:r>
      <w:r w:rsidR="00AA7F79">
        <w:rPr>
          <w:rFonts w:asciiTheme="majorBidi" w:hAnsiTheme="majorBidi" w:cstheme="majorBidi"/>
          <w:sz w:val="24"/>
          <w:szCs w:val="24"/>
        </w:rPr>
        <w:t xml:space="preserve">purchase intention. The SOR framework </w:t>
      </w:r>
      <w:r w:rsidR="0072561B">
        <w:rPr>
          <w:rFonts w:asciiTheme="majorBidi" w:hAnsiTheme="majorBidi" w:cstheme="majorBidi"/>
          <w:sz w:val="24"/>
          <w:szCs w:val="24"/>
        </w:rPr>
        <w:t xml:space="preserve">is discussed in the following section. </w:t>
      </w:r>
    </w:p>
    <w:p w14:paraId="5CBC9D07" w14:textId="79060B9B" w:rsidR="000B0FD3" w:rsidRPr="000B0FD3" w:rsidRDefault="000B0FD3" w:rsidP="000B0FD3">
      <w:pPr>
        <w:spacing w:after="0" w:line="240" w:lineRule="auto"/>
        <w:rPr>
          <w:rFonts w:ascii="Times New Roman" w:eastAsia="Times New Roman" w:hAnsi="Times New Roman" w:cs="Times New Roman"/>
          <w:kern w:val="0"/>
          <w:sz w:val="24"/>
          <w:szCs w:val="24"/>
          <w:lang w:eastAsia="en-GB"/>
          <w14:ligatures w14:val="none"/>
        </w:rPr>
      </w:pPr>
      <w:r w:rsidRPr="000B0FD3">
        <w:rPr>
          <w:rFonts w:ascii="Times New Roman" w:eastAsia="Times New Roman" w:hAnsi="Times New Roman" w:cs="Times New Roman"/>
          <w:noProof/>
          <w:kern w:val="0"/>
          <w:sz w:val="24"/>
          <w:szCs w:val="24"/>
          <w:lang w:eastAsia="en-GB"/>
          <w14:ligatures w14:val="none"/>
        </w:rPr>
        <w:drawing>
          <wp:inline distT="0" distB="0" distL="0" distR="0" wp14:anchorId="5CC3C07F" wp14:editId="655A1F05">
            <wp:extent cx="1948548" cy="2779159"/>
            <wp:effectExtent l="0" t="0" r="0" b="2540"/>
            <wp:docPr id="1657336833" name="Picture 2"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36833" name="Picture 2" descr="A screenshot of a black scree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92816" cy="2842298"/>
                    </a:xfrm>
                    <a:prstGeom prst="rect">
                      <a:avLst/>
                    </a:prstGeom>
                    <a:noFill/>
                    <a:ln>
                      <a:noFill/>
                    </a:ln>
                  </pic:spPr>
                </pic:pic>
              </a:graphicData>
            </a:graphic>
          </wp:inline>
        </w:drawing>
      </w:r>
    </w:p>
    <w:p w14:paraId="01DA91D0" w14:textId="16D16A95" w:rsidR="00890438" w:rsidRDefault="00ED6234" w:rsidP="00ED6234">
      <w:pPr>
        <w:pStyle w:val="Caption"/>
        <w:rPr>
          <w:rFonts w:asciiTheme="majorBidi" w:hAnsiTheme="majorBidi" w:cstheme="majorBidi"/>
          <w:sz w:val="24"/>
          <w:szCs w:val="24"/>
        </w:rPr>
      </w:pPr>
      <w:r>
        <w:t xml:space="preserve">Figure 33 The application of TRA  </w:t>
      </w:r>
    </w:p>
    <w:p w14:paraId="391881ED" w14:textId="7DF26527" w:rsidR="00890438" w:rsidRDefault="00890438" w:rsidP="00890438">
      <w:pPr>
        <w:adjustRightInd w:val="0"/>
        <w:spacing w:after="0" w:line="480" w:lineRule="auto"/>
        <w:rPr>
          <w:rFonts w:asciiTheme="majorBidi" w:hAnsiTheme="majorBidi" w:cstheme="majorBidi"/>
          <w:b/>
          <w:bCs/>
          <w:sz w:val="24"/>
          <w:szCs w:val="24"/>
        </w:rPr>
      </w:pPr>
      <w:bookmarkStart w:id="229" w:name="_Hlk146410068"/>
      <w:r>
        <w:rPr>
          <w:rFonts w:asciiTheme="majorBidi" w:hAnsiTheme="majorBidi" w:cstheme="majorBidi"/>
          <w:b/>
          <w:bCs/>
          <w:sz w:val="24"/>
          <w:szCs w:val="24"/>
        </w:rPr>
        <w:t>8.</w:t>
      </w:r>
      <w:r w:rsidR="00A133C6">
        <w:rPr>
          <w:rFonts w:asciiTheme="majorBidi" w:hAnsiTheme="majorBidi" w:cstheme="majorBidi"/>
          <w:b/>
          <w:bCs/>
          <w:sz w:val="24"/>
          <w:szCs w:val="24"/>
        </w:rPr>
        <w:t>1</w:t>
      </w:r>
      <w:r>
        <w:rPr>
          <w:rFonts w:asciiTheme="majorBidi" w:hAnsiTheme="majorBidi" w:cstheme="majorBidi"/>
          <w:b/>
          <w:bCs/>
          <w:sz w:val="24"/>
          <w:szCs w:val="24"/>
        </w:rPr>
        <w:t xml:space="preserve">.2 </w:t>
      </w:r>
      <w:r w:rsidRPr="00067D24">
        <w:rPr>
          <w:rFonts w:asciiTheme="majorBidi" w:hAnsiTheme="majorBidi" w:cstheme="majorBidi"/>
          <w:b/>
          <w:bCs/>
          <w:sz w:val="24"/>
          <w:szCs w:val="24"/>
        </w:rPr>
        <w:t xml:space="preserve">SOR Theory </w:t>
      </w:r>
    </w:p>
    <w:bookmarkEnd w:id="229"/>
    <w:p w14:paraId="2861EA9C" w14:textId="60C76182" w:rsidR="00E660E0" w:rsidRPr="001B4962" w:rsidRDefault="00890438" w:rsidP="00E660E0">
      <w:pPr>
        <w:spacing w:line="480" w:lineRule="auto"/>
        <w:rPr>
          <w:rFonts w:asciiTheme="majorBidi" w:hAnsiTheme="majorBidi" w:cstheme="majorBidi"/>
          <w:sz w:val="24"/>
          <w:szCs w:val="24"/>
        </w:rPr>
      </w:pPr>
      <w:r>
        <w:rPr>
          <w:rFonts w:asciiTheme="majorBidi" w:hAnsiTheme="majorBidi" w:cstheme="majorBidi"/>
          <w:sz w:val="24"/>
          <w:szCs w:val="24"/>
        </w:rPr>
        <w:tab/>
      </w:r>
      <w:r w:rsidRPr="001B4962">
        <w:rPr>
          <w:rFonts w:asciiTheme="majorBidi" w:hAnsiTheme="majorBidi" w:cstheme="majorBidi"/>
          <w:sz w:val="24"/>
          <w:szCs w:val="24"/>
        </w:rPr>
        <w:t xml:space="preserve">While the SOR theory explains the relationship </w:t>
      </w:r>
      <w:r w:rsidR="001C44E0">
        <w:rPr>
          <w:rFonts w:asciiTheme="majorBidi" w:hAnsiTheme="majorBidi" w:cstheme="majorBidi"/>
          <w:sz w:val="24"/>
          <w:szCs w:val="24"/>
        </w:rPr>
        <w:t>from</w:t>
      </w:r>
      <w:r w:rsidRPr="001B4962">
        <w:rPr>
          <w:rFonts w:asciiTheme="majorBidi" w:hAnsiTheme="majorBidi" w:cstheme="majorBidi"/>
          <w:sz w:val="24"/>
          <w:szCs w:val="24"/>
        </w:rPr>
        <w:t xml:space="preserve"> stimuli</w:t>
      </w:r>
      <w:r w:rsidR="001C44E0">
        <w:rPr>
          <w:rFonts w:asciiTheme="majorBidi" w:hAnsiTheme="majorBidi" w:cstheme="majorBidi"/>
          <w:sz w:val="24"/>
          <w:szCs w:val="24"/>
        </w:rPr>
        <w:t xml:space="preserve"> to </w:t>
      </w:r>
      <w:r w:rsidRPr="001B4962">
        <w:rPr>
          <w:rFonts w:asciiTheme="majorBidi" w:hAnsiTheme="majorBidi" w:cstheme="majorBidi"/>
          <w:sz w:val="24"/>
          <w:szCs w:val="24"/>
        </w:rPr>
        <w:t xml:space="preserve">organisms, and </w:t>
      </w:r>
      <w:r w:rsidR="001C44E0">
        <w:rPr>
          <w:rFonts w:asciiTheme="majorBidi" w:hAnsiTheme="majorBidi" w:cstheme="majorBidi"/>
          <w:sz w:val="24"/>
          <w:szCs w:val="24"/>
        </w:rPr>
        <w:t xml:space="preserve">from organisms to </w:t>
      </w:r>
      <w:r w:rsidRPr="001B4962">
        <w:rPr>
          <w:rFonts w:asciiTheme="majorBidi" w:hAnsiTheme="majorBidi" w:cstheme="majorBidi"/>
          <w:sz w:val="24"/>
          <w:szCs w:val="24"/>
        </w:rPr>
        <w:t>responses</w:t>
      </w:r>
      <w:r w:rsidR="00063655">
        <w:rPr>
          <w:rFonts w:asciiTheme="majorBidi" w:hAnsiTheme="majorBidi" w:cstheme="majorBidi"/>
          <w:sz w:val="24"/>
          <w:szCs w:val="24"/>
        </w:rPr>
        <w:t>, t</w:t>
      </w:r>
      <w:r w:rsidRPr="001B4962">
        <w:rPr>
          <w:rFonts w:asciiTheme="majorBidi" w:hAnsiTheme="majorBidi" w:cstheme="majorBidi"/>
          <w:sz w:val="24"/>
          <w:szCs w:val="24"/>
        </w:rPr>
        <w:t xml:space="preserve">he organisms in SOR include </w:t>
      </w:r>
      <w:bookmarkStart w:id="230" w:name="_Hlk146410081"/>
      <w:r w:rsidRPr="001B4962">
        <w:rPr>
          <w:rFonts w:asciiTheme="majorBidi" w:hAnsiTheme="majorBidi" w:cstheme="majorBidi"/>
          <w:sz w:val="24"/>
          <w:szCs w:val="24"/>
        </w:rPr>
        <w:t>cognitive and affective attitudes</w:t>
      </w:r>
      <w:bookmarkEnd w:id="230"/>
      <w:r w:rsidR="0072561B">
        <w:rPr>
          <w:rFonts w:asciiTheme="majorBidi" w:hAnsiTheme="majorBidi" w:cstheme="majorBidi"/>
          <w:sz w:val="24"/>
          <w:szCs w:val="24"/>
        </w:rPr>
        <w:t xml:space="preserve"> </w:t>
      </w:r>
      <w:sdt>
        <w:sdtPr>
          <w:rPr>
            <w:rFonts w:asciiTheme="majorBidi" w:hAnsiTheme="majorBidi" w:cstheme="majorBidi"/>
            <w:sz w:val="24"/>
            <w:szCs w:val="24"/>
          </w:rPr>
          <w:id w:val="-1649194105"/>
          <w:citation/>
        </w:sdtPr>
        <w:sdtContent>
          <w:r w:rsidR="0072561B">
            <w:rPr>
              <w:rFonts w:asciiTheme="majorBidi" w:hAnsiTheme="majorBidi" w:cstheme="majorBidi"/>
              <w:sz w:val="24"/>
              <w:szCs w:val="24"/>
            </w:rPr>
            <w:fldChar w:fldCharType="begin"/>
          </w:r>
          <w:r w:rsidR="0072561B">
            <w:rPr>
              <w:rFonts w:asciiTheme="majorBidi" w:hAnsiTheme="majorBidi" w:cstheme="majorBidi"/>
              <w:sz w:val="24"/>
              <w:szCs w:val="24"/>
            </w:rPr>
            <w:instrText xml:space="preserve">CITATION Att22 \m Jac021 \t  \l 2057 </w:instrText>
          </w:r>
          <w:r w:rsidR="0072561B">
            <w:rPr>
              <w:rFonts w:asciiTheme="majorBidi" w:hAnsiTheme="majorBidi" w:cstheme="majorBidi"/>
              <w:sz w:val="24"/>
              <w:szCs w:val="24"/>
            </w:rPr>
            <w:fldChar w:fldCharType="separate"/>
          </w:r>
          <w:r w:rsidR="0072561B" w:rsidRPr="00180B02">
            <w:rPr>
              <w:rFonts w:asciiTheme="majorBidi" w:hAnsiTheme="majorBidi" w:cstheme="majorBidi"/>
              <w:noProof/>
              <w:sz w:val="24"/>
              <w:szCs w:val="24"/>
            </w:rPr>
            <w:t>(Attiq, Hamid, Khokhar, Shah, &amp; Shahzad, 2022; Jacoby, 2002)</w:t>
          </w:r>
          <w:r w:rsidR="0072561B">
            <w:rPr>
              <w:rFonts w:asciiTheme="majorBidi" w:hAnsiTheme="majorBidi" w:cstheme="majorBidi"/>
              <w:sz w:val="24"/>
              <w:szCs w:val="24"/>
            </w:rPr>
            <w:fldChar w:fldCharType="end"/>
          </w:r>
        </w:sdtContent>
      </w:sdt>
      <w:r w:rsidRPr="001B4962">
        <w:rPr>
          <w:rFonts w:asciiTheme="majorBidi" w:hAnsiTheme="majorBidi" w:cstheme="majorBidi"/>
          <w:sz w:val="24"/>
          <w:szCs w:val="24"/>
        </w:rPr>
        <w:t>.</w:t>
      </w:r>
      <w:r w:rsidR="00B85626">
        <w:rPr>
          <w:rFonts w:asciiTheme="majorBidi" w:hAnsiTheme="majorBidi" w:cstheme="majorBidi"/>
          <w:sz w:val="24"/>
          <w:szCs w:val="24"/>
        </w:rPr>
        <w:t xml:space="preserve"> To accurately address the research question, SOR had to be included this study’s theoretical framework to examine the impact of the CSR and non-CSR communication and social media and television as stimuli.</w:t>
      </w:r>
      <w:r w:rsidRPr="001B4962">
        <w:rPr>
          <w:rFonts w:asciiTheme="majorBidi" w:hAnsiTheme="majorBidi" w:cstheme="majorBidi"/>
          <w:sz w:val="24"/>
          <w:szCs w:val="24"/>
        </w:rPr>
        <w:t xml:space="preserve"> </w:t>
      </w:r>
      <w:r>
        <w:rPr>
          <w:rFonts w:asciiTheme="majorBidi" w:hAnsiTheme="majorBidi" w:cstheme="majorBidi"/>
          <w:sz w:val="24"/>
          <w:szCs w:val="24"/>
        </w:rPr>
        <w:t>The below table explains the presented stimuli in the study along with the cognitive and affective attitudes</w:t>
      </w:r>
      <w:r w:rsidR="0072561B">
        <w:rPr>
          <w:rFonts w:asciiTheme="majorBidi" w:hAnsiTheme="majorBidi" w:cstheme="majorBidi"/>
          <w:sz w:val="24"/>
          <w:szCs w:val="24"/>
        </w:rPr>
        <w:t xml:space="preserve"> as identified from literature in section</w:t>
      </w:r>
      <w:r w:rsidR="00B35F10">
        <w:rPr>
          <w:rFonts w:asciiTheme="majorBidi" w:hAnsiTheme="majorBidi" w:cstheme="majorBidi"/>
          <w:sz w:val="24"/>
          <w:szCs w:val="24"/>
        </w:rPr>
        <w:t>s 3.7.2 – 3.7.7</w:t>
      </w:r>
      <w:r>
        <w:rPr>
          <w:rFonts w:asciiTheme="majorBidi" w:hAnsiTheme="majorBidi" w:cstheme="majorBidi"/>
          <w:sz w:val="24"/>
          <w:szCs w:val="24"/>
        </w:rPr>
        <w:t xml:space="preserve">. </w:t>
      </w:r>
      <w:r w:rsidRPr="001B4962">
        <w:rPr>
          <w:rFonts w:asciiTheme="majorBidi" w:hAnsiTheme="majorBidi" w:cstheme="majorBidi"/>
          <w:sz w:val="24"/>
          <w:szCs w:val="24"/>
        </w:rPr>
        <w:t xml:space="preserve">This chapter </w:t>
      </w:r>
      <w:r>
        <w:rPr>
          <w:rFonts w:asciiTheme="majorBidi" w:hAnsiTheme="majorBidi" w:cstheme="majorBidi"/>
          <w:sz w:val="24"/>
          <w:szCs w:val="24"/>
        </w:rPr>
        <w:t>examines</w:t>
      </w:r>
      <w:r w:rsidRPr="001B4962">
        <w:rPr>
          <w:rFonts w:asciiTheme="majorBidi" w:hAnsiTheme="majorBidi" w:cstheme="majorBidi"/>
          <w:sz w:val="24"/>
          <w:szCs w:val="24"/>
        </w:rPr>
        <w:t xml:space="preserve"> every attitude’s </w:t>
      </w:r>
      <w:r w:rsidR="00B85626">
        <w:rPr>
          <w:rFonts w:asciiTheme="majorBidi" w:hAnsiTheme="majorBidi" w:cstheme="majorBidi"/>
          <w:sz w:val="24"/>
          <w:szCs w:val="24"/>
        </w:rPr>
        <w:t>effect</w:t>
      </w:r>
      <w:r w:rsidRPr="001B4962">
        <w:rPr>
          <w:rFonts w:asciiTheme="majorBidi" w:hAnsiTheme="majorBidi" w:cstheme="majorBidi"/>
          <w:sz w:val="24"/>
          <w:szCs w:val="24"/>
        </w:rPr>
        <w:t xml:space="preserve"> on purchase intention.</w:t>
      </w:r>
      <w:r>
        <w:rPr>
          <w:rFonts w:asciiTheme="majorBidi" w:hAnsiTheme="majorBidi" w:cstheme="majorBidi"/>
          <w:sz w:val="24"/>
          <w:szCs w:val="24"/>
        </w:rPr>
        <w:t xml:space="preserve"> </w:t>
      </w:r>
      <w:r w:rsidRPr="001B4962">
        <w:rPr>
          <w:rFonts w:asciiTheme="majorBidi" w:hAnsiTheme="majorBidi" w:cstheme="majorBidi"/>
          <w:sz w:val="24"/>
          <w:szCs w:val="24"/>
        </w:rPr>
        <w:t>However, as discussed above, not all the effects of attitudes had similar sizes.</w:t>
      </w:r>
      <w:bookmarkStart w:id="231" w:name="_Hlk146410375"/>
    </w:p>
    <w:bookmarkEnd w:id="231"/>
    <w:tbl>
      <w:tblPr>
        <w:tblStyle w:val="TableGrid"/>
        <w:tblW w:w="0" w:type="auto"/>
        <w:tblInd w:w="421" w:type="dxa"/>
        <w:tblLook w:val="04A0" w:firstRow="1" w:lastRow="0" w:firstColumn="1" w:lastColumn="0" w:noHBand="0" w:noVBand="1"/>
      </w:tblPr>
      <w:tblGrid>
        <w:gridCol w:w="2381"/>
        <w:gridCol w:w="3572"/>
        <w:gridCol w:w="1559"/>
      </w:tblGrid>
      <w:tr w:rsidR="00890438" w:rsidRPr="0048342F" w14:paraId="7F4D141C" w14:textId="77777777" w:rsidTr="009C7603">
        <w:tc>
          <w:tcPr>
            <w:tcW w:w="2381" w:type="dxa"/>
          </w:tcPr>
          <w:p w14:paraId="63D6F25A" w14:textId="13FC36BB" w:rsidR="00890438" w:rsidRPr="0048342F" w:rsidRDefault="00890438" w:rsidP="00B35F10">
            <w:pPr>
              <w:adjustRightInd w:val="0"/>
              <w:rPr>
                <w:rFonts w:asciiTheme="majorBidi" w:hAnsiTheme="majorBidi" w:cstheme="majorBidi"/>
                <w:color w:val="2E2E2E"/>
                <w:sz w:val="20"/>
                <w:szCs w:val="20"/>
              </w:rPr>
            </w:pPr>
          </w:p>
        </w:tc>
        <w:tc>
          <w:tcPr>
            <w:tcW w:w="3572" w:type="dxa"/>
          </w:tcPr>
          <w:p w14:paraId="481C458E"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Organisms </w:t>
            </w:r>
          </w:p>
        </w:tc>
        <w:tc>
          <w:tcPr>
            <w:tcW w:w="1559" w:type="dxa"/>
          </w:tcPr>
          <w:p w14:paraId="7FA530C6"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Response </w:t>
            </w:r>
          </w:p>
        </w:tc>
      </w:tr>
      <w:tr w:rsidR="00890438" w:rsidRPr="0048342F" w14:paraId="1BBC2C62" w14:textId="77777777" w:rsidTr="009C7603">
        <w:trPr>
          <w:trHeight w:val="274"/>
        </w:trPr>
        <w:tc>
          <w:tcPr>
            <w:tcW w:w="2381" w:type="dxa"/>
            <w:vMerge w:val="restart"/>
          </w:tcPr>
          <w:p w14:paraId="4B0983DC" w14:textId="77777777" w:rsidR="00890438" w:rsidRPr="0048342F" w:rsidRDefault="00890438" w:rsidP="00B35F10">
            <w:pPr>
              <w:adjustRightInd w:val="0"/>
              <w:rPr>
                <w:rFonts w:asciiTheme="majorBidi" w:hAnsiTheme="majorBidi" w:cstheme="majorBidi"/>
                <w:color w:val="2E2E2E"/>
                <w:sz w:val="20"/>
                <w:szCs w:val="20"/>
              </w:rPr>
            </w:pPr>
          </w:p>
          <w:p w14:paraId="47147B58" w14:textId="77777777" w:rsidR="00890438" w:rsidRPr="0048342F" w:rsidRDefault="00890438" w:rsidP="00B35F10">
            <w:pPr>
              <w:adjustRightInd w:val="0"/>
              <w:rPr>
                <w:rFonts w:asciiTheme="majorBidi" w:hAnsiTheme="majorBidi" w:cstheme="majorBidi"/>
                <w:color w:val="2E2E2E"/>
                <w:sz w:val="20"/>
                <w:szCs w:val="20"/>
              </w:rPr>
            </w:pPr>
          </w:p>
          <w:p w14:paraId="77CCB270" w14:textId="146861E5"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 Communication </w:t>
            </w:r>
            <w:r w:rsidR="00391D20" w:rsidRPr="0048342F">
              <w:rPr>
                <w:rFonts w:asciiTheme="majorBidi" w:hAnsiTheme="majorBidi" w:cstheme="majorBidi"/>
                <w:color w:val="2E2E2E"/>
                <w:sz w:val="20"/>
                <w:szCs w:val="20"/>
              </w:rPr>
              <w:t>strategy</w:t>
            </w:r>
          </w:p>
          <w:p w14:paraId="02E659DE"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CSR Communication</w:t>
            </w:r>
          </w:p>
          <w:p w14:paraId="5A1251C5"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Non-CSR Communication </w:t>
            </w:r>
          </w:p>
          <w:p w14:paraId="0BD7CE49" w14:textId="77777777" w:rsidR="00890438" w:rsidRPr="0048342F" w:rsidRDefault="00890438" w:rsidP="00B35F10">
            <w:pPr>
              <w:adjustRightInd w:val="0"/>
              <w:rPr>
                <w:rFonts w:asciiTheme="majorBidi" w:hAnsiTheme="majorBidi" w:cstheme="majorBidi"/>
                <w:color w:val="2E2E2E"/>
                <w:sz w:val="20"/>
                <w:szCs w:val="20"/>
              </w:rPr>
            </w:pPr>
          </w:p>
          <w:p w14:paraId="71117738" w14:textId="0E047BEA"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 Media </w:t>
            </w:r>
            <w:r w:rsidR="00D74555" w:rsidRPr="0048342F">
              <w:rPr>
                <w:rFonts w:asciiTheme="majorBidi" w:hAnsiTheme="majorBidi" w:cstheme="majorBidi"/>
                <w:color w:val="2E2E2E"/>
                <w:sz w:val="20"/>
                <w:szCs w:val="20"/>
              </w:rPr>
              <w:t xml:space="preserve">Vehicle </w:t>
            </w:r>
          </w:p>
          <w:p w14:paraId="4617A218"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Television</w:t>
            </w:r>
          </w:p>
          <w:p w14:paraId="13B24B36"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Social media </w:t>
            </w:r>
          </w:p>
        </w:tc>
        <w:tc>
          <w:tcPr>
            <w:tcW w:w="3572" w:type="dxa"/>
          </w:tcPr>
          <w:p w14:paraId="39FC1DF3" w14:textId="5D7EC784"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Cognitive Attitudes</w:t>
            </w:r>
            <w:r w:rsidR="001C44E0" w:rsidRPr="0048342F">
              <w:rPr>
                <w:rFonts w:asciiTheme="majorBidi" w:hAnsiTheme="majorBidi" w:cstheme="majorBidi"/>
                <w:color w:val="2E2E2E"/>
                <w:sz w:val="20"/>
                <w:szCs w:val="20"/>
              </w:rPr>
              <w:t>:</w:t>
            </w:r>
            <w:r w:rsidRPr="0048342F">
              <w:rPr>
                <w:rFonts w:asciiTheme="majorBidi" w:hAnsiTheme="majorBidi" w:cstheme="majorBidi"/>
                <w:color w:val="2E2E2E"/>
                <w:sz w:val="20"/>
                <w:szCs w:val="20"/>
              </w:rPr>
              <w:t xml:space="preserve"> </w:t>
            </w:r>
          </w:p>
          <w:p w14:paraId="1815CA1F" w14:textId="2C2791CA"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 Brand likeability </w:t>
            </w:r>
            <w:r w:rsidRPr="0048342F">
              <w:rPr>
                <w:rFonts w:asciiTheme="majorBidi" w:hAnsiTheme="majorBidi" w:cstheme="majorBidi"/>
                <w:sz w:val="20"/>
                <w:szCs w:val="20"/>
              </w:rPr>
              <w:t>0.367</w:t>
            </w:r>
            <w:r w:rsidR="00AB5BF4" w:rsidRPr="0048342F">
              <w:rPr>
                <w:rFonts w:asciiTheme="majorBidi" w:hAnsiTheme="majorBidi" w:cstheme="majorBidi"/>
                <w:sz w:val="20"/>
                <w:szCs w:val="20"/>
              </w:rPr>
              <w:t xml:space="preserve">  </w:t>
            </w:r>
          </w:p>
          <w:p w14:paraId="16F7CEBF"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Perception of CSR 0.19</w:t>
            </w:r>
          </w:p>
          <w:p w14:paraId="3BC333CD"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 Brand trust </w:t>
            </w:r>
            <w:r w:rsidRPr="0048342F">
              <w:rPr>
                <w:rFonts w:asciiTheme="majorBidi" w:hAnsiTheme="majorBidi" w:cstheme="majorBidi"/>
                <w:sz w:val="20"/>
                <w:szCs w:val="20"/>
              </w:rPr>
              <w:t>0.373</w:t>
            </w:r>
          </w:p>
          <w:p w14:paraId="4AA72513"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 Perceived brand functionality </w:t>
            </w:r>
            <w:r w:rsidRPr="0048342F">
              <w:rPr>
                <w:rFonts w:asciiTheme="majorBidi" w:hAnsiTheme="majorBidi" w:cstheme="majorBidi"/>
                <w:sz w:val="20"/>
                <w:szCs w:val="20"/>
              </w:rPr>
              <w:t>0.152</w:t>
            </w:r>
          </w:p>
        </w:tc>
        <w:tc>
          <w:tcPr>
            <w:tcW w:w="1559" w:type="dxa"/>
            <w:vMerge w:val="restart"/>
          </w:tcPr>
          <w:p w14:paraId="09462F6F" w14:textId="77777777" w:rsidR="00890438" w:rsidRPr="0048342F" w:rsidRDefault="00890438" w:rsidP="00B35F10">
            <w:pPr>
              <w:adjustRightInd w:val="0"/>
              <w:rPr>
                <w:rFonts w:asciiTheme="majorBidi" w:hAnsiTheme="majorBidi" w:cstheme="majorBidi"/>
                <w:color w:val="2E2E2E"/>
                <w:sz w:val="20"/>
                <w:szCs w:val="20"/>
              </w:rPr>
            </w:pPr>
          </w:p>
          <w:p w14:paraId="64966D85" w14:textId="77777777" w:rsidR="00890438" w:rsidRPr="0048342F" w:rsidRDefault="00890438" w:rsidP="00B35F10">
            <w:pPr>
              <w:adjustRightInd w:val="0"/>
              <w:rPr>
                <w:rFonts w:asciiTheme="majorBidi" w:hAnsiTheme="majorBidi" w:cstheme="majorBidi"/>
                <w:color w:val="2E2E2E"/>
                <w:sz w:val="20"/>
                <w:szCs w:val="20"/>
              </w:rPr>
            </w:pPr>
          </w:p>
          <w:p w14:paraId="79F469FE" w14:textId="77777777" w:rsidR="00890438" w:rsidRPr="0048342F" w:rsidRDefault="00890438" w:rsidP="00B35F10">
            <w:pPr>
              <w:adjustRightInd w:val="0"/>
              <w:rPr>
                <w:rFonts w:asciiTheme="majorBidi" w:hAnsiTheme="majorBidi" w:cstheme="majorBidi"/>
                <w:color w:val="2E2E2E"/>
                <w:sz w:val="20"/>
                <w:szCs w:val="20"/>
              </w:rPr>
            </w:pPr>
          </w:p>
          <w:p w14:paraId="30933DF2" w14:textId="77777777"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br/>
              <w:t xml:space="preserve">Purchase Intention </w:t>
            </w:r>
          </w:p>
        </w:tc>
      </w:tr>
      <w:tr w:rsidR="00890438" w:rsidRPr="0048342F" w14:paraId="2C6F8ABA" w14:textId="77777777" w:rsidTr="009C7603">
        <w:trPr>
          <w:trHeight w:val="872"/>
        </w:trPr>
        <w:tc>
          <w:tcPr>
            <w:tcW w:w="2381" w:type="dxa"/>
            <w:vMerge/>
          </w:tcPr>
          <w:p w14:paraId="1CFF594F" w14:textId="77777777" w:rsidR="00890438" w:rsidRPr="0048342F" w:rsidRDefault="00890438" w:rsidP="00B35F10">
            <w:pPr>
              <w:adjustRightInd w:val="0"/>
              <w:rPr>
                <w:rFonts w:asciiTheme="majorBidi" w:hAnsiTheme="majorBidi" w:cstheme="majorBidi"/>
                <w:color w:val="2E2E2E"/>
                <w:sz w:val="20"/>
                <w:szCs w:val="20"/>
              </w:rPr>
            </w:pPr>
          </w:p>
        </w:tc>
        <w:tc>
          <w:tcPr>
            <w:tcW w:w="3572" w:type="dxa"/>
          </w:tcPr>
          <w:p w14:paraId="0B11FDE6" w14:textId="4D3221F0"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Affective Attitudes</w:t>
            </w:r>
            <w:r w:rsidR="001C44E0" w:rsidRPr="0048342F">
              <w:rPr>
                <w:rFonts w:asciiTheme="majorBidi" w:hAnsiTheme="majorBidi" w:cstheme="majorBidi"/>
                <w:color w:val="2E2E2E"/>
                <w:sz w:val="20"/>
                <w:szCs w:val="20"/>
              </w:rPr>
              <w:t>:</w:t>
            </w:r>
          </w:p>
          <w:p w14:paraId="4C461DFF" w14:textId="2A742F78" w:rsidR="00890438" w:rsidRPr="0048342F" w:rsidRDefault="00890438" w:rsidP="00B35F10">
            <w:pPr>
              <w:adjustRightInd w:val="0"/>
              <w:rPr>
                <w:rFonts w:asciiTheme="majorBidi" w:hAnsiTheme="majorBidi" w:cstheme="majorBidi"/>
                <w:color w:val="2E2E2E"/>
                <w:sz w:val="20"/>
                <w:szCs w:val="20"/>
                <w:u w:val="single"/>
              </w:rPr>
            </w:pPr>
            <w:r w:rsidRPr="0048342F">
              <w:rPr>
                <w:rFonts w:asciiTheme="majorBidi" w:hAnsiTheme="majorBidi" w:cstheme="majorBidi"/>
                <w:color w:val="2E2E2E"/>
                <w:sz w:val="20"/>
                <w:szCs w:val="20"/>
              </w:rPr>
              <w:t xml:space="preserve">- Ad likeability </w:t>
            </w:r>
            <w:r w:rsidRPr="0048342F">
              <w:rPr>
                <w:rFonts w:asciiTheme="majorBidi" w:hAnsiTheme="majorBidi" w:cstheme="majorBidi"/>
                <w:sz w:val="20"/>
                <w:szCs w:val="20"/>
              </w:rPr>
              <w:t>0.107</w:t>
            </w:r>
          </w:p>
          <w:p w14:paraId="38F99761" w14:textId="6DC5976A" w:rsidR="00890438" w:rsidRPr="0048342F" w:rsidRDefault="00890438" w:rsidP="00B35F10">
            <w:pPr>
              <w:adjustRightInd w:val="0"/>
              <w:rPr>
                <w:rFonts w:asciiTheme="majorBidi" w:hAnsiTheme="majorBidi" w:cstheme="majorBidi"/>
                <w:color w:val="2E2E2E"/>
                <w:sz w:val="20"/>
                <w:szCs w:val="20"/>
              </w:rPr>
            </w:pPr>
            <w:r w:rsidRPr="0048342F">
              <w:rPr>
                <w:rFonts w:asciiTheme="majorBidi" w:hAnsiTheme="majorBidi" w:cstheme="majorBidi"/>
                <w:color w:val="2E2E2E"/>
                <w:sz w:val="20"/>
                <w:szCs w:val="20"/>
              </w:rPr>
              <w:t xml:space="preserve">- Emotional brand attachment </w:t>
            </w:r>
            <w:r w:rsidRPr="0048342F">
              <w:rPr>
                <w:rFonts w:asciiTheme="majorBidi" w:hAnsiTheme="majorBidi" w:cstheme="majorBidi"/>
                <w:sz w:val="20"/>
                <w:szCs w:val="20"/>
              </w:rPr>
              <w:t>0.088</w:t>
            </w:r>
            <w:r w:rsidR="00AB5BF4" w:rsidRPr="0048342F">
              <w:rPr>
                <w:rFonts w:asciiTheme="majorBidi" w:hAnsiTheme="majorBidi" w:cstheme="majorBidi"/>
                <w:sz w:val="20"/>
                <w:szCs w:val="20"/>
              </w:rPr>
              <w:t xml:space="preserve">  </w:t>
            </w:r>
          </w:p>
        </w:tc>
        <w:tc>
          <w:tcPr>
            <w:tcW w:w="1559" w:type="dxa"/>
            <w:vMerge/>
          </w:tcPr>
          <w:p w14:paraId="5A31329D" w14:textId="77777777" w:rsidR="00890438" w:rsidRPr="0048342F" w:rsidRDefault="00890438" w:rsidP="006A797D">
            <w:pPr>
              <w:keepNext/>
              <w:adjustRightInd w:val="0"/>
              <w:rPr>
                <w:rFonts w:asciiTheme="majorBidi" w:hAnsiTheme="majorBidi" w:cstheme="majorBidi"/>
                <w:color w:val="2E2E2E"/>
                <w:sz w:val="20"/>
                <w:szCs w:val="20"/>
              </w:rPr>
            </w:pPr>
          </w:p>
        </w:tc>
      </w:tr>
    </w:tbl>
    <w:p w14:paraId="4E29C54E" w14:textId="4AEA1263" w:rsidR="00890438" w:rsidRDefault="006A797D" w:rsidP="006A797D">
      <w:pPr>
        <w:pStyle w:val="Caption"/>
        <w:rPr>
          <w:rFonts w:asciiTheme="majorBidi" w:hAnsiTheme="majorBidi" w:cstheme="majorBidi"/>
          <w:sz w:val="24"/>
          <w:szCs w:val="24"/>
        </w:rPr>
      </w:pPr>
      <w:r>
        <w:t>Table 5</w:t>
      </w:r>
      <w:r w:rsidR="0048342F">
        <w:t>8</w:t>
      </w:r>
      <w:r>
        <w:t xml:space="preserve"> </w:t>
      </w:r>
      <w:r w:rsidR="00862109">
        <w:t>T</w:t>
      </w:r>
      <w:r>
        <w:t>he cognitive and affective attitudes applied as organisms in SOR</w:t>
      </w:r>
    </w:p>
    <w:p w14:paraId="338322F8" w14:textId="032C2992" w:rsidR="00890438" w:rsidRDefault="00890438" w:rsidP="00890438">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r>
      <w:r w:rsidRPr="001B4962">
        <w:rPr>
          <w:rFonts w:asciiTheme="majorBidi" w:hAnsiTheme="majorBidi" w:cstheme="majorBidi"/>
          <w:sz w:val="24"/>
          <w:szCs w:val="24"/>
        </w:rPr>
        <w:t xml:space="preserve"> </w:t>
      </w:r>
      <w:r w:rsidRPr="001C44E0">
        <w:rPr>
          <w:rFonts w:asciiTheme="majorBidi" w:hAnsiTheme="majorBidi" w:cstheme="majorBidi"/>
          <w:sz w:val="24"/>
          <w:szCs w:val="24"/>
        </w:rPr>
        <w:t xml:space="preserve">Identifying attitudes as either cognitive or affective was </w:t>
      </w:r>
      <w:r w:rsidR="001C44E0" w:rsidRPr="001C44E0">
        <w:rPr>
          <w:rFonts w:asciiTheme="majorBidi" w:hAnsiTheme="majorBidi" w:cstheme="majorBidi"/>
          <w:sz w:val="24"/>
          <w:szCs w:val="24"/>
        </w:rPr>
        <w:t>originally based on literature and was further confirmed</w:t>
      </w:r>
      <w:r w:rsidRPr="001C44E0">
        <w:rPr>
          <w:rFonts w:asciiTheme="majorBidi" w:hAnsiTheme="majorBidi" w:cstheme="majorBidi"/>
          <w:sz w:val="24"/>
          <w:szCs w:val="24"/>
        </w:rPr>
        <w:t xml:space="preserve"> </w:t>
      </w:r>
      <w:r w:rsidR="001C44E0" w:rsidRPr="001C44E0">
        <w:rPr>
          <w:rFonts w:asciiTheme="majorBidi" w:hAnsiTheme="majorBidi" w:cstheme="majorBidi"/>
          <w:sz w:val="24"/>
          <w:szCs w:val="24"/>
        </w:rPr>
        <w:t xml:space="preserve">in study two </w:t>
      </w:r>
      <w:r w:rsidRPr="001C44E0">
        <w:rPr>
          <w:rFonts w:asciiTheme="majorBidi" w:hAnsiTheme="majorBidi" w:cstheme="majorBidi"/>
          <w:sz w:val="24"/>
          <w:szCs w:val="24"/>
        </w:rPr>
        <w:t xml:space="preserve">by the interviewees and the way they expressed their opinions in reference to these attitudes. </w:t>
      </w:r>
      <w:r w:rsidRPr="001C44E0">
        <w:rPr>
          <w:rFonts w:ascii="Georgia" w:hAnsi="Georgia"/>
          <w:color w:val="2E2E2E"/>
        </w:rPr>
        <w:t xml:space="preserve">Brand likeability, perception of CSR, brand trust, and perceived brand </w:t>
      </w:r>
      <w:r w:rsidRPr="001C44E0">
        <w:rPr>
          <w:rFonts w:ascii="Georgia" w:hAnsi="Georgia"/>
        </w:rPr>
        <w:t>functionality were considered cognitive attitudes.</w:t>
      </w:r>
      <w:r w:rsidRPr="00475DB2">
        <w:rPr>
          <w:rFonts w:ascii="Georgia" w:hAnsi="Georgia"/>
        </w:rPr>
        <w:t xml:space="preserve"> As discussed in chapter seven, the respondents were rationalising </w:t>
      </w:r>
      <w:r>
        <w:rPr>
          <w:rFonts w:ascii="Georgia" w:hAnsi="Georgia"/>
          <w:color w:val="2E2E2E"/>
        </w:rPr>
        <w:t>their answers to questions related to these attitudes by giving reasons on their</w:t>
      </w:r>
      <w:r w:rsidR="001C44E0">
        <w:rPr>
          <w:rFonts w:ascii="Georgia" w:hAnsi="Georgia"/>
          <w:color w:val="2E2E2E"/>
        </w:rPr>
        <w:t xml:space="preserve"> perceptions of these attitudes</w:t>
      </w:r>
      <w:r>
        <w:rPr>
          <w:rFonts w:ascii="Georgia" w:hAnsi="Georgia"/>
          <w:color w:val="2E2E2E"/>
        </w:rPr>
        <w:t>.</w:t>
      </w:r>
      <w:r w:rsidRPr="001B4962">
        <w:rPr>
          <w:rFonts w:asciiTheme="majorBidi" w:hAnsiTheme="majorBidi" w:cstheme="majorBidi"/>
          <w:sz w:val="24"/>
          <w:szCs w:val="24"/>
        </w:rPr>
        <w:t xml:space="preserve"> </w:t>
      </w:r>
      <w:r>
        <w:rPr>
          <w:rFonts w:asciiTheme="majorBidi" w:hAnsiTheme="majorBidi" w:cstheme="majorBidi"/>
          <w:sz w:val="24"/>
          <w:szCs w:val="24"/>
        </w:rPr>
        <w:t xml:space="preserve">As for affective attitudes, these were </w:t>
      </w:r>
      <w:r w:rsidR="001C44E0">
        <w:rPr>
          <w:rFonts w:asciiTheme="majorBidi" w:hAnsiTheme="majorBidi" w:cstheme="majorBidi"/>
          <w:sz w:val="24"/>
          <w:szCs w:val="24"/>
        </w:rPr>
        <w:t>further clarified in study two</w:t>
      </w:r>
      <w:r>
        <w:rPr>
          <w:rFonts w:asciiTheme="majorBidi" w:hAnsiTheme="majorBidi" w:cstheme="majorBidi"/>
          <w:sz w:val="24"/>
          <w:szCs w:val="24"/>
        </w:rPr>
        <w:t xml:space="preserve"> when respondents </w:t>
      </w:r>
      <w:r w:rsidR="001C44E0">
        <w:rPr>
          <w:rFonts w:asciiTheme="majorBidi" w:hAnsiTheme="majorBidi" w:cstheme="majorBidi"/>
          <w:sz w:val="24"/>
          <w:szCs w:val="24"/>
        </w:rPr>
        <w:t>mentioned phrases like</w:t>
      </w:r>
      <w:r>
        <w:rPr>
          <w:rFonts w:asciiTheme="majorBidi" w:hAnsiTheme="majorBidi" w:cstheme="majorBidi"/>
          <w:sz w:val="24"/>
          <w:szCs w:val="24"/>
        </w:rPr>
        <w:t xml:space="preserve"> “</w:t>
      </w:r>
      <w:r w:rsidRPr="009C7603">
        <w:rPr>
          <w:rFonts w:asciiTheme="majorBidi" w:hAnsiTheme="majorBidi" w:cstheme="majorBidi"/>
          <w:i/>
          <w:iCs/>
          <w:sz w:val="24"/>
          <w:szCs w:val="24"/>
        </w:rPr>
        <w:t>I felt</w:t>
      </w:r>
      <w:r>
        <w:rPr>
          <w:rFonts w:asciiTheme="majorBidi" w:hAnsiTheme="majorBidi" w:cstheme="majorBidi"/>
          <w:sz w:val="24"/>
          <w:szCs w:val="24"/>
        </w:rPr>
        <w:t>,” “</w:t>
      </w:r>
      <w:r w:rsidRPr="00D76461">
        <w:rPr>
          <w:rFonts w:asciiTheme="majorBidi" w:hAnsiTheme="majorBidi" w:cstheme="majorBidi"/>
          <w:i/>
          <w:iCs/>
          <w:sz w:val="24"/>
          <w:szCs w:val="24"/>
        </w:rPr>
        <w:t>lovely</w:t>
      </w:r>
      <w:r>
        <w:rPr>
          <w:rFonts w:asciiTheme="majorBidi" w:hAnsiTheme="majorBidi" w:cstheme="majorBidi"/>
          <w:sz w:val="24"/>
          <w:szCs w:val="24"/>
        </w:rPr>
        <w:t>,” or “</w:t>
      </w:r>
      <w:r w:rsidRPr="00D76461">
        <w:rPr>
          <w:rFonts w:asciiTheme="majorBidi" w:hAnsiTheme="majorBidi" w:cstheme="majorBidi"/>
          <w:i/>
          <w:iCs/>
          <w:sz w:val="24"/>
          <w:szCs w:val="24"/>
        </w:rPr>
        <w:t>speaks to your heart</w:t>
      </w:r>
      <w:r>
        <w:rPr>
          <w:rFonts w:asciiTheme="majorBidi" w:hAnsiTheme="majorBidi" w:cstheme="majorBidi"/>
          <w:sz w:val="24"/>
          <w:szCs w:val="24"/>
        </w:rPr>
        <w:t xml:space="preserve">.” Correspondingly, the affective attitudes were ad likeability and emotional brand attachment. Although the interviewees in study two expressed positive emotions towards the CSR communication, study one showed that cognitive attitudes have a stronger direct effect on the response which is purchase intention. Thus, it is apparent that both cognitive and affective attitudes in CSR communication have influential effects on purchase intention. This thesis identified an apparent path between the study’s stimuli (CSR and non-CSR communication </w:t>
      </w:r>
      <w:r w:rsidR="006946CE">
        <w:rPr>
          <w:rFonts w:asciiTheme="majorBidi" w:hAnsiTheme="majorBidi" w:cstheme="majorBidi"/>
          <w:sz w:val="24"/>
          <w:szCs w:val="24"/>
        </w:rPr>
        <w:t xml:space="preserve">and </w:t>
      </w:r>
      <w:r>
        <w:rPr>
          <w:rFonts w:asciiTheme="majorBidi" w:hAnsiTheme="majorBidi" w:cstheme="majorBidi"/>
          <w:sz w:val="24"/>
          <w:szCs w:val="24"/>
        </w:rPr>
        <w:t>social media and television) and organisms (brand attitudes); and between organisms and response (purchase intention)</w:t>
      </w:r>
      <w:r w:rsidR="00267252">
        <w:rPr>
          <w:rFonts w:asciiTheme="majorBidi" w:hAnsiTheme="majorBidi" w:cstheme="majorBidi"/>
          <w:sz w:val="24"/>
          <w:szCs w:val="24"/>
        </w:rPr>
        <w:t xml:space="preserve"> as the SOR framework indicates</w:t>
      </w:r>
      <w:r>
        <w:rPr>
          <w:rFonts w:asciiTheme="majorBidi" w:hAnsiTheme="majorBidi" w:cstheme="majorBidi"/>
          <w:sz w:val="24"/>
          <w:szCs w:val="24"/>
        </w:rPr>
        <w:t xml:space="preserve">. Most importantly, the results revealed a contribution to the SOR theory. It appeared that </w:t>
      </w:r>
      <w:r w:rsidR="00D84A46">
        <w:rPr>
          <w:rFonts w:asciiTheme="majorBidi" w:hAnsiTheme="majorBidi" w:cstheme="majorBidi"/>
          <w:sz w:val="24"/>
          <w:szCs w:val="24"/>
        </w:rPr>
        <w:t>the</w:t>
      </w:r>
      <w:r>
        <w:rPr>
          <w:rFonts w:asciiTheme="majorBidi" w:hAnsiTheme="majorBidi" w:cstheme="majorBidi"/>
          <w:sz w:val="24"/>
          <w:szCs w:val="24"/>
        </w:rPr>
        <w:t xml:space="preserve"> communication</w:t>
      </w:r>
      <w:r w:rsidR="00D84A46">
        <w:rPr>
          <w:rFonts w:asciiTheme="majorBidi" w:hAnsiTheme="majorBidi" w:cstheme="majorBidi"/>
          <w:sz w:val="24"/>
          <w:szCs w:val="24"/>
        </w:rPr>
        <w:t xml:space="preserve"> type has a </w:t>
      </w:r>
      <w:r>
        <w:rPr>
          <w:rFonts w:asciiTheme="majorBidi" w:hAnsiTheme="majorBidi" w:cstheme="majorBidi"/>
          <w:sz w:val="24"/>
          <w:szCs w:val="24"/>
        </w:rPr>
        <w:t xml:space="preserve">direct impact on </w:t>
      </w:r>
      <w:r w:rsidR="00D84A46">
        <w:rPr>
          <w:rFonts w:asciiTheme="majorBidi" w:hAnsiTheme="majorBidi" w:cstheme="majorBidi"/>
          <w:sz w:val="24"/>
          <w:szCs w:val="24"/>
        </w:rPr>
        <w:t>purchase intention</w:t>
      </w:r>
      <w:r>
        <w:rPr>
          <w:rFonts w:asciiTheme="majorBidi" w:hAnsiTheme="majorBidi" w:cstheme="majorBidi"/>
          <w:sz w:val="24"/>
          <w:szCs w:val="24"/>
        </w:rPr>
        <w:t xml:space="preserve">. Figure </w:t>
      </w:r>
      <w:r w:rsidR="00ED6234">
        <w:rPr>
          <w:rFonts w:asciiTheme="majorBidi" w:hAnsiTheme="majorBidi" w:cstheme="majorBidi"/>
          <w:sz w:val="24"/>
          <w:szCs w:val="24"/>
        </w:rPr>
        <w:t xml:space="preserve">34 </w:t>
      </w:r>
      <w:r>
        <w:rPr>
          <w:rFonts w:asciiTheme="majorBidi" w:hAnsiTheme="majorBidi" w:cstheme="majorBidi"/>
          <w:sz w:val="24"/>
          <w:szCs w:val="24"/>
        </w:rPr>
        <w:t xml:space="preserve">a) outlines the original SOR theory and figure </w:t>
      </w:r>
      <w:r w:rsidR="00ED6234">
        <w:rPr>
          <w:rFonts w:asciiTheme="majorBidi" w:hAnsiTheme="majorBidi" w:cstheme="majorBidi"/>
          <w:sz w:val="24"/>
          <w:szCs w:val="24"/>
        </w:rPr>
        <w:t xml:space="preserve">34 </w:t>
      </w:r>
      <w:r>
        <w:rPr>
          <w:rFonts w:asciiTheme="majorBidi" w:hAnsiTheme="majorBidi" w:cstheme="majorBidi"/>
          <w:sz w:val="24"/>
          <w:szCs w:val="24"/>
        </w:rPr>
        <w:t>b) identifies the SOR theoretical contribution that shows a direct effect from stimulus to response.</w:t>
      </w:r>
      <w:r w:rsidR="00267252">
        <w:rPr>
          <w:rFonts w:asciiTheme="majorBidi" w:hAnsiTheme="majorBidi" w:cstheme="majorBidi"/>
          <w:sz w:val="24"/>
          <w:szCs w:val="24"/>
        </w:rPr>
        <w:t xml:space="preserve"> </w:t>
      </w:r>
      <w:bookmarkStart w:id="232" w:name="_Hlk146412018"/>
      <w:r w:rsidR="00267252" w:rsidRPr="00D84A46">
        <w:rPr>
          <w:rFonts w:asciiTheme="majorBidi" w:hAnsiTheme="majorBidi" w:cstheme="majorBidi"/>
          <w:sz w:val="24"/>
          <w:szCs w:val="24"/>
        </w:rPr>
        <w:t>Assuming that, in this study, organisms are brand attitudes and response is purchase intention, there is a direct positive effect from communication strategy on the outcome</w:t>
      </w:r>
      <w:bookmarkEnd w:id="232"/>
      <w:r w:rsidR="00D84A46" w:rsidRPr="00D84A46">
        <w:rPr>
          <w:rFonts w:asciiTheme="majorBidi" w:hAnsiTheme="majorBidi" w:cstheme="majorBidi"/>
          <w:sz w:val="24"/>
          <w:szCs w:val="24"/>
        </w:rPr>
        <w:t>.</w:t>
      </w:r>
      <w:r>
        <w:rPr>
          <w:rFonts w:asciiTheme="majorBidi" w:hAnsiTheme="majorBidi" w:cstheme="majorBidi"/>
          <w:sz w:val="24"/>
          <w:szCs w:val="24"/>
        </w:rPr>
        <w:t xml:space="preserve"> </w:t>
      </w:r>
      <w:r w:rsidR="00D84A46">
        <w:rPr>
          <w:rFonts w:asciiTheme="majorBidi" w:hAnsiTheme="majorBidi" w:cstheme="majorBidi"/>
          <w:sz w:val="24"/>
          <w:szCs w:val="24"/>
        </w:rPr>
        <w:t>H</w:t>
      </w:r>
      <w:r>
        <w:rPr>
          <w:rFonts w:asciiTheme="majorBidi" w:hAnsiTheme="majorBidi" w:cstheme="majorBidi"/>
          <w:sz w:val="24"/>
          <w:szCs w:val="24"/>
        </w:rPr>
        <w:t xml:space="preserve">owever, CSR communication’s direct response on purchase intention (response) was </w:t>
      </w:r>
      <w:r w:rsidR="00355951">
        <w:rPr>
          <w:rFonts w:asciiTheme="majorBidi" w:hAnsiTheme="majorBidi" w:cstheme="majorBidi"/>
          <w:sz w:val="24"/>
          <w:szCs w:val="24"/>
        </w:rPr>
        <w:t>higher</w:t>
      </w:r>
      <w:r>
        <w:rPr>
          <w:rFonts w:asciiTheme="majorBidi" w:hAnsiTheme="majorBidi" w:cstheme="majorBidi"/>
          <w:sz w:val="24"/>
          <w:szCs w:val="24"/>
        </w:rPr>
        <w:t xml:space="preserve"> than non-CSR communication and television as a media channel had a stronger effect than social media. </w:t>
      </w:r>
    </w:p>
    <w:p w14:paraId="24712B18" w14:textId="77777777" w:rsidR="00ED6234" w:rsidRDefault="00890438" w:rsidP="00ED6234">
      <w:pPr>
        <w:keepNext/>
        <w:adjustRightInd w:val="0"/>
        <w:spacing w:after="0" w:line="480" w:lineRule="auto"/>
        <w:ind w:left="720"/>
      </w:pPr>
      <w:r>
        <w:rPr>
          <w:rFonts w:asciiTheme="majorBidi" w:hAnsiTheme="majorBidi" w:cstheme="majorBidi"/>
          <w:noProof/>
        </w:rPr>
        <w:drawing>
          <wp:inline distT="0" distB="0" distL="0" distR="0" wp14:anchorId="0E66B82A" wp14:editId="15B3EBA4">
            <wp:extent cx="4313273" cy="854785"/>
            <wp:effectExtent l="0" t="0" r="0" b="2540"/>
            <wp:docPr id="1478279679" name="Picture 147827967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13273" cy="854785"/>
                    </a:xfrm>
                    <a:prstGeom prst="rect">
                      <a:avLst/>
                    </a:prstGeom>
                    <a:noFill/>
                    <a:ln>
                      <a:noFill/>
                    </a:ln>
                  </pic:spPr>
                </pic:pic>
              </a:graphicData>
            </a:graphic>
          </wp:inline>
        </w:drawing>
      </w:r>
    </w:p>
    <w:p w14:paraId="1E0F8092" w14:textId="0D544955" w:rsidR="00890438" w:rsidRDefault="00ED6234" w:rsidP="00ED6234">
      <w:pPr>
        <w:pStyle w:val="Caption"/>
        <w:rPr>
          <w:rFonts w:asciiTheme="majorBidi" w:hAnsiTheme="majorBidi" w:cstheme="majorBidi"/>
          <w:sz w:val="24"/>
          <w:szCs w:val="24"/>
        </w:rPr>
      </w:pPr>
      <w:r>
        <w:t>Figure 34</w:t>
      </w:r>
      <w:r w:rsidR="00F91D45">
        <w:t xml:space="preserve"> </w:t>
      </w:r>
      <w:r>
        <w:t>a) The original SOR theory (Mehrabian &amp; Russell, 1974)</w:t>
      </w:r>
    </w:p>
    <w:p w14:paraId="3BB4C35C" w14:textId="758E01B7" w:rsidR="00D84A46" w:rsidRPr="00F00C23" w:rsidRDefault="00F00C23" w:rsidP="00F00C23">
      <w:pPr>
        <w:spacing w:after="0" w:line="240" w:lineRule="auto"/>
        <w:rPr>
          <w:rFonts w:ascii="Times New Roman" w:eastAsia="Times New Roman" w:hAnsi="Times New Roman" w:cs="Times New Roman"/>
          <w:kern w:val="0"/>
          <w:sz w:val="24"/>
          <w:szCs w:val="24"/>
          <w:lang w:eastAsia="en-GB"/>
          <w14:ligatures w14:val="none"/>
        </w:rPr>
      </w:pPr>
      <w:r w:rsidRPr="00F00C23">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55680" behindDoc="1" locked="0" layoutInCell="1" allowOverlap="1" wp14:anchorId="07D29606" wp14:editId="457FD9D0">
            <wp:simplePos x="0" y="0"/>
            <wp:positionH relativeFrom="column">
              <wp:posOffset>312420</wp:posOffset>
            </wp:positionH>
            <wp:positionV relativeFrom="paragraph">
              <wp:posOffset>5715</wp:posOffset>
            </wp:positionV>
            <wp:extent cx="4664075" cy="1463675"/>
            <wp:effectExtent l="0" t="0" r="3175" b="3175"/>
            <wp:wrapTight wrapText="bothSides">
              <wp:wrapPolygon edited="0">
                <wp:start x="2382" y="843"/>
                <wp:lineTo x="529" y="4217"/>
                <wp:lineTo x="176" y="5060"/>
                <wp:lineTo x="176" y="14619"/>
                <wp:lineTo x="441" y="14900"/>
                <wp:lineTo x="3176" y="14900"/>
                <wp:lineTo x="3264" y="21366"/>
                <wp:lineTo x="3352" y="21366"/>
                <wp:lineTo x="19233" y="21366"/>
                <wp:lineTo x="19321" y="19398"/>
                <wp:lineTo x="19674" y="15181"/>
                <wp:lineTo x="20909" y="14900"/>
                <wp:lineTo x="21526" y="14619"/>
                <wp:lineTo x="21438" y="3936"/>
                <wp:lineTo x="19850" y="1406"/>
                <wp:lineTo x="18527" y="843"/>
                <wp:lineTo x="2382" y="843"/>
              </wp:wrapPolygon>
            </wp:wrapTight>
            <wp:docPr id="476070076" name="Picture 5" descr="A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70076" name="Picture 5" descr="A white rectangle with black 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4075" cy="1463675"/>
                    </a:xfrm>
                    <a:prstGeom prst="rect">
                      <a:avLst/>
                    </a:prstGeom>
                    <a:noFill/>
                    <a:ln>
                      <a:noFill/>
                    </a:ln>
                  </pic:spPr>
                </pic:pic>
              </a:graphicData>
            </a:graphic>
            <wp14:sizeRelH relativeFrom="margin">
              <wp14:pctWidth>0</wp14:pctWidth>
            </wp14:sizeRelH>
          </wp:anchor>
        </w:drawing>
      </w:r>
    </w:p>
    <w:p w14:paraId="25B7F11C" w14:textId="77777777" w:rsidR="00F00C23" w:rsidRDefault="00F00C23" w:rsidP="00D84A46">
      <w:pPr>
        <w:pStyle w:val="Caption"/>
      </w:pPr>
    </w:p>
    <w:p w14:paraId="2E467D75" w14:textId="77777777" w:rsidR="00F00C23" w:rsidRDefault="00F00C23" w:rsidP="00D84A46">
      <w:pPr>
        <w:pStyle w:val="Caption"/>
      </w:pPr>
    </w:p>
    <w:p w14:paraId="183A18B3" w14:textId="77777777" w:rsidR="00F00C23" w:rsidRDefault="00F00C23" w:rsidP="00D84A46">
      <w:pPr>
        <w:pStyle w:val="Caption"/>
      </w:pPr>
    </w:p>
    <w:p w14:paraId="2786AE9B" w14:textId="77777777" w:rsidR="00F00C23" w:rsidRDefault="00F00C23" w:rsidP="00D84A46">
      <w:pPr>
        <w:pStyle w:val="Caption"/>
      </w:pPr>
    </w:p>
    <w:p w14:paraId="19AB38E1" w14:textId="77777777" w:rsidR="00F00C23" w:rsidRDefault="00F00C23" w:rsidP="00D84A46">
      <w:pPr>
        <w:pStyle w:val="Caption"/>
      </w:pPr>
    </w:p>
    <w:p w14:paraId="25EA4F08" w14:textId="58B1C71C" w:rsidR="00ED6234" w:rsidRPr="00D84A46" w:rsidRDefault="00ED6234" w:rsidP="00D84A46">
      <w:pPr>
        <w:pStyle w:val="Caption"/>
      </w:pPr>
      <w:r>
        <w:t>Figure</w:t>
      </w:r>
      <w:r w:rsidR="00F91D45">
        <w:t>34</w:t>
      </w:r>
      <w:r>
        <w:t xml:space="preserve"> b) SOR</w:t>
      </w:r>
      <w:r w:rsidR="00D84A46">
        <w:t xml:space="preserve"> </w:t>
      </w:r>
      <w:r>
        <w:t>Theoretical contributions as presented by this study</w:t>
      </w:r>
    </w:p>
    <w:p w14:paraId="34844FB4" w14:textId="082C489C" w:rsidR="00890438" w:rsidRDefault="00890438" w:rsidP="00890438">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8.</w:t>
      </w:r>
      <w:r w:rsidR="00A133C6">
        <w:rPr>
          <w:rFonts w:asciiTheme="majorBidi" w:hAnsiTheme="majorBidi" w:cstheme="majorBidi"/>
          <w:b/>
          <w:bCs/>
          <w:sz w:val="24"/>
          <w:szCs w:val="24"/>
        </w:rPr>
        <w:t>1</w:t>
      </w:r>
      <w:r>
        <w:rPr>
          <w:rFonts w:asciiTheme="majorBidi" w:hAnsiTheme="majorBidi" w:cstheme="majorBidi"/>
          <w:b/>
          <w:bCs/>
          <w:sz w:val="24"/>
          <w:szCs w:val="24"/>
        </w:rPr>
        <w:t>.3 Halo Effect</w:t>
      </w:r>
    </w:p>
    <w:p w14:paraId="5F78164D" w14:textId="551610E6" w:rsidR="00F00C23" w:rsidRDefault="00890438" w:rsidP="00996CEF">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t>The halo effects of the independent variables</w:t>
      </w:r>
      <w:r w:rsidR="00D84A46">
        <w:rPr>
          <w:rFonts w:asciiTheme="majorBidi" w:hAnsiTheme="majorBidi" w:cstheme="majorBidi"/>
          <w:sz w:val="24"/>
          <w:szCs w:val="24"/>
        </w:rPr>
        <w:t xml:space="preserve"> (communication type and media vehicle)</w:t>
      </w:r>
      <w:r>
        <w:rPr>
          <w:rFonts w:asciiTheme="majorBidi" w:hAnsiTheme="majorBidi" w:cstheme="majorBidi"/>
          <w:sz w:val="24"/>
          <w:szCs w:val="24"/>
        </w:rPr>
        <w:t xml:space="preserve"> were mainly investigated in the quantitative study by measuring the confidence intervals. Within the limited research on CSR in the Middle East, a couple of authors identified that </w:t>
      </w:r>
      <w:r w:rsidRPr="00D76461">
        <w:rPr>
          <w:rFonts w:asciiTheme="majorBidi" w:hAnsiTheme="majorBidi" w:cstheme="majorBidi"/>
          <w:sz w:val="24"/>
          <w:szCs w:val="24"/>
        </w:rPr>
        <w:t xml:space="preserve">CSR has some positive impact on purchase intention through mediators </w:t>
      </w:r>
      <w:sdt>
        <w:sdtPr>
          <w:rPr>
            <w:rFonts w:asciiTheme="majorBidi" w:hAnsiTheme="majorBidi" w:cstheme="majorBidi"/>
            <w:sz w:val="24"/>
            <w:szCs w:val="24"/>
          </w:rPr>
          <w:id w:val="-1778870261"/>
          <w:citation/>
        </w:sdtPr>
        <w:sdtContent>
          <w:r w:rsidRPr="00D76461">
            <w:rPr>
              <w:rFonts w:asciiTheme="majorBidi" w:hAnsiTheme="majorBidi" w:cstheme="majorBidi"/>
              <w:sz w:val="24"/>
              <w:szCs w:val="24"/>
            </w:rPr>
            <w:fldChar w:fldCharType="begin"/>
          </w:r>
          <w:r w:rsidRPr="00D76461">
            <w:rPr>
              <w:rFonts w:asciiTheme="majorBidi" w:hAnsiTheme="majorBidi" w:cstheme="majorBidi"/>
              <w:sz w:val="24"/>
              <w:szCs w:val="24"/>
            </w:rPr>
            <w:instrText xml:space="preserve"> CITATION Ala20 \l 2057  \m AlM19</w:instrText>
          </w:r>
          <w:r w:rsidRPr="00D76461">
            <w:rPr>
              <w:rFonts w:asciiTheme="majorBidi" w:hAnsiTheme="majorBidi" w:cstheme="majorBidi"/>
              <w:sz w:val="24"/>
              <w:szCs w:val="24"/>
            </w:rPr>
            <w:fldChar w:fldCharType="separate"/>
          </w:r>
          <w:r w:rsidRPr="00D76461">
            <w:rPr>
              <w:rFonts w:asciiTheme="majorBidi" w:hAnsiTheme="majorBidi" w:cstheme="majorBidi"/>
              <w:noProof/>
              <w:sz w:val="24"/>
              <w:szCs w:val="24"/>
            </w:rPr>
            <w:t>(Alawamleh &amp; Giacaman, 2020; Al Mubarak, Ben Hamed, &amp; Al Mubarak , 2019)</w:t>
          </w:r>
          <w:r w:rsidRPr="00D76461">
            <w:rPr>
              <w:rFonts w:asciiTheme="majorBidi" w:hAnsiTheme="majorBidi" w:cstheme="majorBidi"/>
              <w:sz w:val="24"/>
              <w:szCs w:val="24"/>
            </w:rPr>
            <w:fldChar w:fldCharType="end"/>
          </w:r>
        </w:sdtContent>
      </w:sdt>
      <w:r w:rsidRPr="00D76461">
        <w:rPr>
          <w:rFonts w:asciiTheme="majorBidi" w:hAnsiTheme="majorBidi" w:cstheme="majorBidi"/>
          <w:sz w:val="24"/>
          <w:szCs w:val="24"/>
        </w:rPr>
        <w:t>.</w:t>
      </w:r>
      <w:r>
        <w:rPr>
          <w:rFonts w:asciiTheme="majorBidi" w:hAnsiTheme="majorBidi" w:cstheme="majorBidi"/>
          <w:sz w:val="24"/>
          <w:szCs w:val="24"/>
        </w:rPr>
        <w:t xml:space="preserve"> While this study shows that CSR communication has direct effects on purchase intention that is larger than the direct effect of non-CSR communication, both communication </w:t>
      </w:r>
      <w:r w:rsidR="00391D20">
        <w:rPr>
          <w:rFonts w:asciiTheme="majorBidi" w:hAnsiTheme="majorBidi" w:cstheme="majorBidi"/>
          <w:sz w:val="24"/>
          <w:szCs w:val="24"/>
        </w:rPr>
        <w:t xml:space="preserve">strategies </w:t>
      </w:r>
      <w:r>
        <w:rPr>
          <w:rFonts w:asciiTheme="majorBidi" w:hAnsiTheme="majorBidi" w:cstheme="majorBidi"/>
          <w:sz w:val="24"/>
          <w:szCs w:val="24"/>
        </w:rPr>
        <w:t>and media vehicles tested in the study have a spill-over impact on purchase intention.</w:t>
      </w:r>
      <w:r w:rsidR="00355951">
        <w:rPr>
          <w:rFonts w:asciiTheme="majorBidi" w:hAnsiTheme="majorBidi" w:cstheme="majorBidi"/>
          <w:sz w:val="24"/>
          <w:szCs w:val="24"/>
        </w:rPr>
        <w:t xml:space="preserve"> </w:t>
      </w:r>
      <w:r w:rsidR="00355951" w:rsidRPr="00774C32">
        <w:rPr>
          <w:rFonts w:asciiTheme="majorBidi" w:hAnsiTheme="majorBidi" w:cstheme="majorBidi"/>
          <w:sz w:val="24"/>
          <w:szCs w:val="24"/>
        </w:rPr>
        <w:t xml:space="preserve">This chapter further discusses each brand attitude and the way they facilitate the halo effect from </w:t>
      </w:r>
      <w:r w:rsidR="00D84A46">
        <w:rPr>
          <w:rFonts w:asciiTheme="majorBidi" w:hAnsiTheme="majorBidi" w:cstheme="majorBidi"/>
          <w:sz w:val="24"/>
          <w:szCs w:val="24"/>
        </w:rPr>
        <w:t xml:space="preserve">the </w:t>
      </w:r>
      <w:r w:rsidR="00355951" w:rsidRPr="00774C32">
        <w:rPr>
          <w:rFonts w:asciiTheme="majorBidi" w:hAnsiTheme="majorBidi" w:cstheme="majorBidi"/>
          <w:sz w:val="24"/>
          <w:szCs w:val="24"/>
        </w:rPr>
        <w:t>communication</w:t>
      </w:r>
      <w:r w:rsidR="00D84A46">
        <w:rPr>
          <w:rFonts w:asciiTheme="majorBidi" w:hAnsiTheme="majorBidi" w:cstheme="majorBidi"/>
          <w:sz w:val="24"/>
          <w:szCs w:val="24"/>
        </w:rPr>
        <w:t xml:space="preserve"> type</w:t>
      </w:r>
      <w:r w:rsidR="00355951" w:rsidRPr="00774C32">
        <w:rPr>
          <w:rFonts w:asciiTheme="majorBidi" w:hAnsiTheme="majorBidi" w:cstheme="majorBidi"/>
          <w:sz w:val="24"/>
          <w:szCs w:val="24"/>
        </w:rPr>
        <w:t xml:space="preserve"> and media vehicle to purchase intention.</w:t>
      </w:r>
      <w:r w:rsidR="00355951">
        <w:rPr>
          <w:rFonts w:asciiTheme="majorBidi" w:hAnsiTheme="majorBidi" w:cstheme="majorBidi"/>
          <w:sz w:val="24"/>
          <w:szCs w:val="24"/>
        </w:rPr>
        <w:t xml:space="preserve"> This important to understand that, while CSR communication has a direct effect on purchase intention in this study, it is necessary to understand how the indirect effect takes place.</w:t>
      </w:r>
      <w:r w:rsidR="00F00C23">
        <w:rPr>
          <w:rFonts w:asciiTheme="majorBidi" w:hAnsiTheme="majorBidi" w:cstheme="majorBidi"/>
          <w:sz w:val="24"/>
          <w:szCs w:val="24"/>
        </w:rPr>
        <w:t xml:space="preserve"> As shown in figure 35,</w:t>
      </w:r>
      <w:r>
        <w:rPr>
          <w:rFonts w:asciiTheme="majorBidi" w:hAnsiTheme="majorBidi" w:cstheme="majorBidi"/>
          <w:sz w:val="24"/>
          <w:szCs w:val="24"/>
        </w:rPr>
        <w:t xml:space="preserve"> </w:t>
      </w:r>
      <w:r w:rsidR="00F00C23">
        <w:rPr>
          <w:rFonts w:asciiTheme="majorBidi" w:hAnsiTheme="majorBidi" w:cstheme="majorBidi"/>
          <w:sz w:val="24"/>
          <w:szCs w:val="24"/>
        </w:rPr>
        <w:t xml:space="preserve">results of this study revealed that there is a halo effect of the communication strategy on purchase intention that is mediated through perceived brand functionality, brand likeability, ad likeability, emotional brand attachment, and brand trust. However, it is crucial to mention that the spill over (in-direct) effect of CSR was larger than non-CSR communication. </w:t>
      </w:r>
      <w:r>
        <w:rPr>
          <w:rFonts w:asciiTheme="majorBidi" w:hAnsiTheme="majorBidi" w:cstheme="majorBidi"/>
          <w:sz w:val="24"/>
          <w:szCs w:val="24"/>
        </w:rPr>
        <w:t xml:space="preserve">This confirms some of the findings in literature showing that </w:t>
      </w:r>
      <w:r w:rsidRPr="00DF1B7A">
        <w:rPr>
          <w:rFonts w:asciiTheme="majorBidi" w:hAnsiTheme="majorBidi" w:cstheme="majorBidi"/>
          <w:sz w:val="24"/>
          <w:szCs w:val="24"/>
        </w:rPr>
        <w:t xml:space="preserve">the overall social strategy of a company </w:t>
      </w:r>
      <w:r>
        <w:rPr>
          <w:rFonts w:asciiTheme="majorBidi" w:hAnsiTheme="majorBidi" w:cstheme="majorBidi"/>
          <w:sz w:val="24"/>
          <w:szCs w:val="24"/>
        </w:rPr>
        <w:t xml:space="preserve">has a </w:t>
      </w:r>
      <w:r w:rsidRPr="00DF1B7A">
        <w:rPr>
          <w:rFonts w:asciiTheme="majorBidi" w:hAnsiTheme="majorBidi" w:cstheme="majorBidi"/>
          <w:sz w:val="24"/>
          <w:szCs w:val="24"/>
        </w:rPr>
        <w:t>positive</w:t>
      </w:r>
      <w:r>
        <w:rPr>
          <w:rFonts w:asciiTheme="majorBidi" w:hAnsiTheme="majorBidi" w:cstheme="majorBidi"/>
          <w:sz w:val="24"/>
          <w:szCs w:val="24"/>
        </w:rPr>
        <w:t xml:space="preserve"> spill-over</w:t>
      </w:r>
      <w:r w:rsidRPr="00DF1B7A">
        <w:rPr>
          <w:rFonts w:asciiTheme="majorBidi" w:hAnsiTheme="majorBidi" w:cstheme="majorBidi"/>
          <w:sz w:val="24"/>
          <w:szCs w:val="24"/>
        </w:rPr>
        <w:t xml:space="preserve"> </w:t>
      </w:r>
      <w:r>
        <w:rPr>
          <w:rFonts w:asciiTheme="majorBidi" w:hAnsiTheme="majorBidi" w:cstheme="majorBidi"/>
          <w:sz w:val="24"/>
          <w:szCs w:val="24"/>
        </w:rPr>
        <w:t>e</w:t>
      </w:r>
      <w:r w:rsidRPr="00DF1B7A">
        <w:rPr>
          <w:rFonts w:asciiTheme="majorBidi" w:hAnsiTheme="majorBidi" w:cstheme="majorBidi"/>
          <w:sz w:val="24"/>
          <w:szCs w:val="24"/>
        </w:rPr>
        <w:t>ffect</w:t>
      </w:r>
      <w:r>
        <w:rPr>
          <w:rFonts w:asciiTheme="majorBidi" w:hAnsiTheme="majorBidi" w:cstheme="majorBidi"/>
          <w:sz w:val="24"/>
          <w:szCs w:val="24"/>
        </w:rPr>
        <w:t xml:space="preserve"> on</w:t>
      </w:r>
      <w:r w:rsidRPr="00DF1B7A">
        <w:rPr>
          <w:rFonts w:asciiTheme="majorBidi" w:hAnsiTheme="majorBidi" w:cstheme="majorBidi"/>
          <w:sz w:val="24"/>
          <w:szCs w:val="24"/>
        </w:rPr>
        <w:t xml:space="preserve"> consumers’ perceptions of the functionality of the company’s products </w:t>
      </w:r>
      <w:sdt>
        <w:sdtPr>
          <w:rPr>
            <w:rFonts w:asciiTheme="majorBidi" w:hAnsiTheme="majorBidi" w:cstheme="majorBidi"/>
            <w:sz w:val="24"/>
            <w:szCs w:val="24"/>
          </w:rPr>
          <w:id w:val="1171681649"/>
          <w:citation/>
        </w:sdtPr>
        <w:sdtContent>
          <w:r w:rsidRPr="00DF1B7A">
            <w:rPr>
              <w:rFonts w:asciiTheme="majorBidi" w:hAnsiTheme="majorBidi" w:cstheme="majorBidi"/>
              <w:sz w:val="24"/>
              <w:szCs w:val="24"/>
            </w:rPr>
            <w:fldChar w:fldCharType="begin"/>
          </w:r>
          <w:r w:rsidRPr="00DF1B7A">
            <w:rPr>
              <w:rFonts w:asciiTheme="majorBidi" w:hAnsiTheme="majorBidi" w:cstheme="majorBidi"/>
              <w:sz w:val="24"/>
              <w:szCs w:val="24"/>
            </w:rPr>
            <w:instrText xml:space="preserve"> CITATION CHE15 \l 2057 </w:instrText>
          </w:r>
          <w:r w:rsidRPr="00DF1B7A">
            <w:rPr>
              <w:rFonts w:asciiTheme="majorBidi" w:hAnsiTheme="majorBidi" w:cstheme="majorBidi"/>
              <w:sz w:val="24"/>
              <w:szCs w:val="24"/>
            </w:rPr>
            <w:fldChar w:fldCharType="separate"/>
          </w:r>
          <w:r w:rsidRPr="0002256A">
            <w:rPr>
              <w:rFonts w:asciiTheme="majorBidi" w:hAnsiTheme="majorBidi" w:cstheme="majorBidi"/>
              <w:noProof/>
              <w:sz w:val="24"/>
              <w:szCs w:val="24"/>
            </w:rPr>
            <w:t>(Chernev &amp; Blair, 2015)</w:t>
          </w:r>
          <w:r w:rsidRPr="00DF1B7A">
            <w:rPr>
              <w:rFonts w:asciiTheme="majorBidi" w:hAnsiTheme="majorBidi" w:cstheme="majorBidi"/>
              <w:sz w:val="24"/>
              <w:szCs w:val="24"/>
            </w:rPr>
            <w:fldChar w:fldCharType="end"/>
          </w:r>
        </w:sdtContent>
      </w:sdt>
      <w:r w:rsidRPr="00DF1B7A">
        <w:rPr>
          <w:rFonts w:asciiTheme="majorBidi" w:hAnsiTheme="majorBidi" w:cstheme="majorBidi"/>
          <w:sz w:val="24"/>
          <w:szCs w:val="24"/>
        </w:rPr>
        <w:t xml:space="preserve">. </w:t>
      </w:r>
      <w:r w:rsidR="00F00C23">
        <w:rPr>
          <w:rFonts w:asciiTheme="majorBidi" w:hAnsiTheme="majorBidi" w:cstheme="majorBidi"/>
          <w:sz w:val="24"/>
          <w:szCs w:val="24"/>
        </w:rPr>
        <w:t>In addition, media vehicle has a halo effect on purchase intention mediated through ad likeability, brand likeability, emotional brand attachment, perceived brand functionality, and brand trust.</w:t>
      </w:r>
      <w:r w:rsidR="00D9515A">
        <w:rPr>
          <w:rFonts w:asciiTheme="majorBidi" w:hAnsiTheme="majorBidi" w:cstheme="majorBidi"/>
          <w:sz w:val="24"/>
          <w:szCs w:val="24"/>
        </w:rPr>
        <w:t xml:space="preserve"> The below figure merges the SOR framework with the halo effect through mediators which is indicated with the dotted line. Figure 35 outlines the indirect spillover effect of the communication type and media vehicle on purchase intention through the mediating variables. Evidently, the strongest mediator of the indirect effect of the communication type on purchase intention was brand likeability and the strongest mediator of the indirect effect of the media vehicle on purchase intention was brand trust. These results were further confirmed and analysed through the qualitative interviews. The variables in the below figure are arranged in order from largest to smallest effect size.</w:t>
      </w:r>
    </w:p>
    <w:p w14:paraId="34FC925D" w14:textId="2ECFF43E" w:rsidR="00F00C23" w:rsidRDefault="003F61F9" w:rsidP="00F00C23">
      <w:pPr>
        <w:spacing w:after="0" w:line="240" w:lineRule="auto"/>
        <w:rPr>
          <w:rFonts w:ascii="Times New Roman" w:eastAsia="Times New Roman" w:hAnsi="Times New Roman" w:cs="Times New Roman"/>
          <w:kern w:val="0"/>
          <w:sz w:val="24"/>
          <w:szCs w:val="24"/>
          <w:lang w:eastAsia="en-GB"/>
          <w14:ligatures w14:val="none"/>
        </w:rPr>
      </w:pPr>
      <w:r>
        <w:rPr>
          <w:noProof/>
        </w:rPr>
        <mc:AlternateContent>
          <mc:Choice Requires="wps">
            <w:drawing>
              <wp:anchor distT="0" distB="0" distL="114300" distR="114300" simplePos="0" relativeHeight="251668992" behindDoc="0" locked="0" layoutInCell="1" allowOverlap="1" wp14:anchorId="2F4F98FD" wp14:editId="0D55C76A">
                <wp:simplePos x="0" y="0"/>
                <wp:positionH relativeFrom="column">
                  <wp:posOffset>-119380</wp:posOffset>
                </wp:positionH>
                <wp:positionV relativeFrom="paragraph">
                  <wp:posOffset>2708910</wp:posOffset>
                </wp:positionV>
                <wp:extent cx="3700145" cy="266700"/>
                <wp:effectExtent l="0" t="0" r="0" b="0"/>
                <wp:wrapThrough wrapText="bothSides">
                  <wp:wrapPolygon edited="0">
                    <wp:start x="0" y="0"/>
                    <wp:lineTo x="0" y="20057"/>
                    <wp:lineTo x="21463" y="20057"/>
                    <wp:lineTo x="21463" y="0"/>
                    <wp:lineTo x="0" y="0"/>
                  </wp:wrapPolygon>
                </wp:wrapThrough>
                <wp:docPr id="20389106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266700"/>
                        </a:xfrm>
                        <a:prstGeom prst="rect">
                          <a:avLst/>
                        </a:prstGeom>
                        <a:solidFill>
                          <a:srgbClr val="FFFFFF"/>
                        </a:solidFill>
                        <a:ln>
                          <a:noFill/>
                        </a:ln>
                      </wps:spPr>
                      <wps:txbx>
                        <w:txbxContent>
                          <w:p w14:paraId="5A0280BB" w14:textId="7E6A20FF" w:rsidR="00F91C6A" w:rsidRPr="00732924" w:rsidRDefault="00F91C6A" w:rsidP="00F91C6A">
                            <w:pPr>
                              <w:pStyle w:val="Caption"/>
                              <w:rPr>
                                <w:noProof/>
                              </w:rPr>
                            </w:pPr>
                            <w:r>
                              <w:t>Figure 35 Halo effect appearing in the SOR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4F98FD" id="Text Box 3" o:spid="_x0000_s1033" type="#_x0000_t202" style="position:absolute;margin-left:-9.4pt;margin-top:213.3pt;width:291.3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" stroked="f">
                <v:textbox style="mso-fit-shape-to-text:t" inset="0,0,0,0">
                  <w:txbxContent>
                    <w:p w14:paraId="5A0280BB" w14:textId="7E6A20FF" w:rsidR="00F91C6A" w:rsidRPr="00732924" w:rsidRDefault="00F91C6A" w:rsidP="00F91C6A">
                      <w:pPr>
                        <w:pStyle w:val="Caption"/>
                        <w:rPr>
                          <w:noProof/>
                        </w:rPr>
                      </w:pPr>
                      <w:r>
                        <w:t>Figure 35 Halo effect appearing in the SOR Model</w:t>
                      </w:r>
                    </w:p>
                  </w:txbxContent>
                </v:textbox>
                <w10:wrap type="through"/>
              </v:shape>
            </w:pict>
          </mc:Fallback>
        </mc:AlternateContent>
      </w:r>
      <w:r w:rsidR="00F91C6A">
        <w:rPr>
          <w:noProof/>
        </w:rPr>
        <w:drawing>
          <wp:anchor distT="0" distB="0" distL="114300" distR="114300" simplePos="0" relativeHeight="251647488" behindDoc="0" locked="0" layoutInCell="1" allowOverlap="1" wp14:anchorId="19AA4B7F" wp14:editId="1787865C">
            <wp:simplePos x="0" y="0"/>
            <wp:positionH relativeFrom="column">
              <wp:posOffset>-119380</wp:posOffset>
            </wp:positionH>
            <wp:positionV relativeFrom="paragraph">
              <wp:posOffset>1274532</wp:posOffset>
            </wp:positionV>
            <wp:extent cx="3700145" cy="1377315"/>
            <wp:effectExtent l="0" t="0" r="0" b="0"/>
            <wp:wrapThrough wrapText="bothSides">
              <wp:wrapPolygon edited="0">
                <wp:start x="0" y="0"/>
                <wp:lineTo x="0" y="21212"/>
                <wp:lineTo x="21463" y="21212"/>
                <wp:lineTo x="21463" y="0"/>
                <wp:lineTo x="0" y="0"/>
              </wp:wrapPolygon>
            </wp:wrapThrough>
            <wp:docPr id="859857539" name="Picture 1" descr="A diagram of br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57539" name="Picture 1" descr="A diagram of brand&#10;&#10;Description automatically generated with low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00145" cy="1377315"/>
                    </a:xfrm>
                    <a:prstGeom prst="rect">
                      <a:avLst/>
                    </a:prstGeom>
                  </pic:spPr>
                </pic:pic>
              </a:graphicData>
            </a:graphic>
            <wp14:sizeRelH relativeFrom="margin">
              <wp14:pctWidth>0</wp14:pctWidth>
            </wp14:sizeRelH>
            <wp14:sizeRelV relativeFrom="margin">
              <wp14:pctHeight>0</wp14:pctHeight>
            </wp14:sizeRelV>
          </wp:anchor>
        </w:drawing>
      </w:r>
      <w:r w:rsidR="00F00C23">
        <w:rPr>
          <w:noProof/>
        </w:rPr>
        <w:drawing>
          <wp:inline distT="0" distB="0" distL="0" distR="0" wp14:anchorId="77308A69" wp14:editId="7D42A331">
            <wp:extent cx="3670300" cy="1246340"/>
            <wp:effectExtent l="0" t="0" r="0" b="0"/>
            <wp:docPr id="231981691" name="Picture 1" descr="A diagram of brand ident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81691" name="Picture 1" descr="A diagram of brand identity&#10;&#10;Description automatically generated with low confidence"/>
                    <pic:cNvPicPr/>
                  </pic:nvPicPr>
                  <pic:blipFill>
                    <a:blip r:embed="rId65"/>
                    <a:stretch>
                      <a:fillRect/>
                    </a:stretch>
                  </pic:blipFill>
                  <pic:spPr>
                    <a:xfrm>
                      <a:off x="0" y="0"/>
                      <a:ext cx="3753220" cy="1274498"/>
                    </a:xfrm>
                    <a:prstGeom prst="rect">
                      <a:avLst/>
                    </a:prstGeom>
                  </pic:spPr>
                </pic:pic>
              </a:graphicData>
            </a:graphic>
          </wp:inline>
        </w:drawing>
      </w:r>
    </w:p>
    <w:p w14:paraId="5887CC21" w14:textId="37270B55" w:rsidR="00F00C23" w:rsidRDefault="00F00C23" w:rsidP="00F00C23">
      <w:pPr>
        <w:keepNext/>
        <w:spacing w:after="0" w:line="240" w:lineRule="auto"/>
      </w:pPr>
    </w:p>
    <w:p w14:paraId="54EEF2ED" w14:textId="77777777" w:rsidR="00F91C6A" w:rsidRDefault="00F00C23" w:rsidP="00F91C6A">
      <w:pPr>
        <w:pStyle w:val="Caption"/>
      </w:pPr>
      <w:r>
        <w:t xml:space="preserve"> </w:t>
      </w:r>
    </w:p>
    <w:p w14:paraId="242D659D" w14:textId="77777777" w:rsidR="00D76461" w:rsidRDefault="00D76461" w:rsidP="005D026E">
      <w:pPr>
        <w:adjustRightInd w:val="0"/>
        <w:spacing w:after="0" w:line="480" w:lineRule="auto"/>
        <w:ind w:firstLine="720"/>
        <w:rPr>
          <w:rFonts w:asciiTheme="majorBidi" w:hAnsiTheme="majorBidi" w:cstheme="majorBidi"/>
          <w:sz w:val="24"/>
          <w:szCs w:val="24"/>
        </w:rPr>
      </w:pPr>
    </w:p>
    <w:p w14:paraId="22875F4F" w14:textId="77777777" w:rsidR="00D76461" w:rsidRDefault="00D76461" w:rsidP="005D026E">
      <w:pPr>
        <w:adjustRightInd w:val="0"/>
        <w:spacing w:after="0" w:line="480" w:lineRule="auto"/>
        <w:ind w:firstLine="720"/>
        <w:rPr>
          <w:rFonts w:asciiTheme="majorBidi" w:hAnsiTheme="majorBidi" w:cstheme="majorBidi"/>
          <w:sz w:val="24"/>
          <w:szCs w:val="24"/>
        </w:rPr>
      </w:pPr>
    </w:p>
    <w:p w14:paraId="09B79D0D" w14:textId="77777777" w:rsidR="00D76461" w:rsidRDefault="00D76461" w:rsidP="005D026E">
      <w:pPr>
        <w:adjustRightInd w:val="0"/>
        <w:spacing w:after="0" w:line="480" w:lineRule="auto"/>
        <w:ind w:firstLine="720"/>
        <w:rPr>
          <w:rFonts w:asciiTheme="majorBidi" w:hAnsiTheme="majorBidi" w:cstheme="majorBidi"/>
          <w:sz w:val="24"/>
          <w:szCs w:val="24"/>
        </w:rPr>
      </w:pPr>
    </w:p>
    <w:p w14:paraId="71CA2A6B" w14:textId="77777777" w:rsidR="00D76461" w:rsidRDefault="00D76461" w:rsidP="005D026E">
      <w:pPr>
        <w:adjustRightInd w:val="0"/>
        <w:spacing w:after="0" w:line="480" w:lineRule="auto"/>
        <w:ind w:firstLine="720"/>
        <w:rPr>
          <w:rFonts w:asciiTheme="majorBidi" w:hAnsiTheme="majorBidi" w:cstheme="majorBidi"/>
          <w:sz w:val="24"/>
          <w:szCs w:val="24"/>
        </w:rPr>
      </w:pPr>
    </w:p>
    <w:p w14:paraId="3DCF2EB3" w14:textId="6410C108" w:rsidR="00890438" w:rsidRDefault="00F00C23" w:rsidP="005D026E">
      <w:pPr>
        <w:adjustRightInd w:val="0"/>
        <w:spacing w:after="0" w:line="480" w:lineRule="auto"/>
        <w:ind w:firstLine="720"/>
        <w:rPr>
          <w:rFonts w:asciiTheme="majorBidi" w:hAnsiTheme="majorBidi" w:cstheme="majorBidi"/>
          <w:sz w:val="24"/>
          <w:szCs w:val="24"/>
        </w:rPr>
      </w:pPr>
      <w:r>
        <w:rPr>
          <w:rFonts w:asciiTheme="majorBidi" w:hAnsiTheme="majorBidi" w:cstheme="majorBidi"/>
          <w:sz w:val="24"/>
          <w:szCs w:val="24"/>
        </w:rPr>
        <w:t>Moreover</w:t>
      </w:r>
      <w:r w:rsidR="00890438">
        <w:rPr>
          <w:rFonts w:asciiTheme="majorBidi" w:hAnsiTheme="majorBidi" w:cstheme="majorBidi"/>
          <w:sz w:val="24"/>
          <w:szCs w:val="24"/>
        </w:rPr>
        <w:t xml:space="preserve">, the halo effect also appeared in the respondents’ </w:t>
      </w:r>
      <w:r w:rsidR="00D9515A">
        <w:rPr>
          <w:rFonts w:asciiTheme="majorBidi" w:hAnsiTheme="majorBidi" w:cstheme="majorBidi"/>
          <w:sz w:val="24"/>
          <w:szCs w:val="24"/>
        </w:rPr>
        <w:t>answers</w:t>
      </w:r>
      <w:r w:rsidR="00890438">
        <w:rPr>
          <w:rFonts w:asciiTheme="majorBidi" w:hAnsiTheme="majorBidi" w:cstheme="majorBidi"/>
          <w:sz w:val="24"/>
          <w:szCs w:val="24"/>
        </w:rPr>
        <w:t xml:space="preserve"> in study two. In the qualitative study, most of the respondents said that they like the CSR </w:t>
      </w:r>
      <w:r>
        <w:rPr>
          <w:rFonts w:asciiTheme="majorBidi" w:hAnsiTheme="majorBidi" w:cstheme="majorBidi"/>
          <w:sz w:val="24"/>
          <w:szCs w:val="24"/>
        </w:rPr>
        <w:t>communication,</w:t>
      </w:r>
      <w:r w:rsidR="00890438">
        <w:rPr>
          <w:rFonts w:asciiTheme="majorBidi" w:hAnsiTheme="majorBidi" w:cstheme="majorBidi"/>
          <w:sz w:val="24"/>
          <w:szCs w:val="24"/>
        </w:rPr>
        <w:t xml:space="preserve"> and they would purchase the brand for</w:t>
      </w:r>
      <w:r w:rsidR="005D026E">
        <w:rPr>
          <w:rFonts w:asciiTheme="majorBidi" w:hAnsiTheme="majorBidi" w:cstheme="majorBidi"/>
          <w:sz w:val="24"/>
          <w:szCs w:val="24"/>
        </w:rPr>
        <w:t xml:space="preserve"> certain</w:t>
      </w:r>
      <w:r w:rsidR="00890438">
        <w:rPr>
          <w:rFonts w:asciiTheme="majorBidi" w:hAnsiTheme="majorBidi" w:cstheme="majorBidi"/>
          <w:sz w:val="24"/>
          <w:szCs w:val="24"/>
        </w:rPr>
        <w:t xml:space="preserve"> reasons. </w:t>
      </w:r>
      <w:r w:rsidR="00D9515A">
        <w:rPr>
          <w:rFonts w:asciiTheme="majorBidi" w:hAnsiTheme="majorBidi" w:cstheme="majorBidi"/>
          <w:sz w:val="24"/>
          <w:szCs w:val="24"/>
        </w:rPr>
        <w:t>For instance, some respondents mentioned that they</w:t>
      </w:r>
      <w:r w:rsidR="00890438">
        <w:rPr>
          <w:rFonts w:asciiTheme="majorBidi" w:hAnsiTheme="majorBidi" w:cstheme="majorBidi"/>
          <w:sz w:val="24"/>
          <w:szCs w:val="24"/>
        </w:rPr>
        <w:t xml:space="preserve"> would purchase the product because the CSR communication made them trust the company more or </w:t>
      </w:r>
      <w:r>
        <w:rPr>
          <w:rFonts w:asciiTheme="majorBidi" w:hAnsiTheme="majorBidi" w:cstheme="majorBidi"/>
          <w:sz w:val="24"/>
          <w:szCs w:val="24"/>
        </w:rPr>
        <w:t xml:space="preserve">it made them </w:t>
      </w:r>
      <w:r w:rsidR="00890438">
        <w:rPr>
          <w:rFonts w:asciiTheme="majorBidi" w:hAnsiTheme="majorBidi" w:cstheme="majorBidi"/>
          <w:sz w:val="24"/>
          <w:szCs w:val="24"/>
        </w:rPr>
        <w:t xml:space="preserve">feel emotionally connected to </w:t>
      </w:r>
      <w:r>
        <w:rPr>
          <w:rFonts w:asciiTheme="majorBidi" w:hAnsiTheme="majorBidi" w:cstheme="majorBidi"/>
          <w:sz w:val="24"/>
          <w:szCs w:val="24"/>
        </w:rPr>
        <w:t>the brand</w:t>
      </w:r>
      <w:r w:rsidR="00890438">
        <w:rPr>
          <w:rFonts w:asciiTheme="majorBidi" w:hAnsiTheme="majorBidi" w:cstheme="majorBidi"/>
          <w:sz w:val="24"/>
          <w:szCs w:val="24"/>
        </w:rPr>
        <w:t xml:space="preserve">. These findings also confirm the findings from literature that the halo effect occurs </w:t>
      </w:r>
      <w:r w:rsidR="00890438" w:rsidRPr="006054E2">
        <w:rPr>
          <w:rFonts w:asciiTheme="majorBidi" w:hAnsiTheme="majorBidi" w:cstheme="majorBidi"/>
          <w:sz w:val="24"/>
          <w:szCs w:val="24"/>
        </w:rPr>
        <w:t xml:space="preserve">by evaluating a person or an object based on one attribute and then comparing that evaluation to other attributes related to the same person or object </w:t>
      </w:r>
      <w:sdt>
        <w:sdtPr>
          <w:rPr>
            <w:rFonts w:asciiTheme="majorBidi" w:hAnsiTheme="majorBidi" w:cstheme="majorBidi"/>
            <w:sz w:val="24"/>
            <w:szCs w:val="24"/>
          </w:rPr>
          <w:id w:val="1659117312"/>
          <w:citation/>
        </w:sdtPr>
        <w:sdtContent>
          <w:r w:rsidR="00890438" w:rsidRPr="006054E2">
            <w:rPr>
              <w:rFonts w:asciiTheme="majorBidi" w:hAnsiTheme="majorBidi" w:cstheme="majorBidi"/>
              <w:sz w:val="24"/>
              <w:szCs w:val="24"/>
            </w:rPr>
            <w:fldChar w:fldCharType="begin"/>
          </w:r>
          <w:r w:rsidR="00890438" w:rsidRPr="006054E2">
            <w:rPr>
              <w:rFonts w:asciiTheme="majorBidi" w:hAnsiTheme="majorBidi" w:cstheme="majorBidi"/>
              <w:sz w:val="24"/>
              <w:szCs w:val="24"/>
            </w:rPr>
            <w:instrText>CITATION Cho12Kim \t  \l 2057  \m Smi10</w:instrText>
          </w:r>
          <w:r w:rsidR="00890438" w:rsidRPr="006054E2">
            <w:rPr>
              <w:rFonts w:asciiTheme="majorBidi" w:hAnsiTheme="majorBidi" w:cstheme="majorBidi"/>
              <w:sz w:val="24"/>
              <w:szCs w:val="24"/>
            </w:rPr>
            <w:fldChar w:fldCharType="separate"/>
          </w:r>
          <w:r w:rsidR="00890438" w:rsidRPr="006054E2">
            <w:rPr>
              <w:rFonts w:asciiTheme="majorBidi" w:hAnsiTheme="majorBidi" w:cstheme="majorBidi"/>
              <w:noProof/>
              <w:sz w:val="24"/>
              <w:szCs w:val="24"/>
            </w:rPr>
            <w:t>(Cho &amp; Kim , 2012; Smith, Read, &amp; López-Rodríguez, 2010)</w:t>
          </w:r>
          <w:r w:rsidR="00890438" w:rsidRPr="006054E2">
            <w:rPr>
              <w:rFonts w:asciiTheme="majorBidi" w:hAnsiTheme="majorBidi" w:cstheme="majorBidi"/>
              <w:sz w:val="24"/>
              <w:szCs w:val="24"/>
            </w:rPr>
            <w:fldChar w:fldCharType="end"/>
          </w:r>
        </w:sdtContent>
      </w:sdt>
      <w:r w:rsidR="00890438" w:rsidRPr="006054E2">
        <w:rPr>
          <w:rFonts w:asciiTheme="majorBidi" w:hAnsiTheme="majorBidi" w:cstheme="majorBidi"/>
          <w:sz w:val="24"/>
          <w:szCs w:val="24"/>
        </w:rPr>
        <w:t xml:space="preserve">. </w:t>
      </w:r>
      <w:r w:rsidR="00890438">
        <w:rPr>
          <w:rFonts w:asciiTheme="majorBidi" w:hAnsiTheme="majorBidi" w:cstheme="majorBidi"/>
          <w:sz w:val="24"/>
          <w:szCs w:val="24"/>
        </w:rPr>
        <w:t>There has been some evidence in</w:t>
      </w:r>
      <w:r w:rsidR="00774C32">
        <w:rPr>
          <w:rFonts w:asciiTheme="majorBidi" w:hAnsiTheme="majorBidi" w:cstheme="majorBidi"/>
          <w:sz w:val="24"/>
          <w:szCs w:val="24"/>
        </w:rPr>
        <w:t xml:space="preserve"> the CSR</w:t>
      </w:r>
      <w:r w:rsidR="00890438">
        <w:rPr>
          <w:rFonts w:asciiTheme="majorBidi" w:hAnsiTheme="majorBidi" w:cstheme="majorBidi"/>
          <w:sz w:val="24"/>
          <w:szCs w:val="24"/>
        </w:rPr>
        <w:t xml:space="preserve"> </w:t>
      </w:r>
      <w:r w:rsidR="00890438" w:rsidRPr="00774C32">
        <w:rPr>
          <w:rFonts w:asciiTheme="majorBidi" w:hAnsiTheme="majorBidi" w:cstheme="majorBidi"/>
          <w:sz w:val="24"/>
          <w:szCs w:val="24"/>
        </w:rPr>
        <w:t>literature</w:t>
      </w:r>
      <w:r w:rsidR="00890438">
        <w:rPr>
          <w:rFonts w:asciiTheme="majorBidi" w:hAnsiTheme="majorBidi" w:cstheme="majorBidi"/>
          <w:sz w:val="24"/>
          <w:szCs w:val="24"/>
        </w:rPr>
        <w:t xml:space="preserve"> that in the halo effect concept, emotions serve as a mediator between perception of product function quality and the final usage or interaction with the product </w:t>
      </w:r>
      <w:sdt>
        <w:sdtPr>
          <w:rPr>
            <w:rFonts w:asciiTheme="majorBidi" w:hAnsiTheme="majorBidi" w:cstheme="majorBidi"/>
            <w:sz w:val="24"/>
            <w:szCs w:val="24"/>
          </w:rPr>
          <w:id w:val="-1549367855"/>
          <w:citation/>
        </w:sdtPr>
        <w:sdtContent>
          <w:r w:rsidR="00890438">
            <w:rPr>
              <w:rFonts w:asciiTheme="majorBidi" w:hAnsiTheme="majorBidi" w:cstheme="majorBidi"/>
              <w:sz w:val="24"/>
              <w:szCs w:val="24"/>
            </w:rPr>
            <w:fldChar w:fldCharType="begin"/>
          </w:r>
          <w:r w:rsidR="00890438">
            <w:rPr>
              <w:rFonts w:asciiTheme="majorBidi" w:hAnsiTheme="majorBidi" w:cstheme="majorBidi"/>
              <w:sz w:val="24"/>
              <w:szCs w:val="24"/>
            </w:rPr>
            <w:instrText xml:space="preserve">CITATION Min18 \t  \m Tuc12 \l 2057 </w:instrText>
          </w:r>
          <w:r w:rsidR="00890438">
            <w:rPr>
              <w:rFonts w:asciiTheme="majorBidi" w:hAnsiTheme="majorBidi" w:cstheme="majorBidi"/>
              <w:sz w:val="24"/>
              <w:szCs w:val="24"/>
            </w:rPr>
            <w:fldChar w:fldCharType="separate"/>
          </w:r>
          <w:r w:rsidR="00890438" w:rsidRPr="00677036">
            <w:rPr>
              <w:rFonts w:asciiTheme="majorBidi" w:hAnsiTheme="majorBidi" w:cstheme="majorBidi"/>
              <w:noProof/>
              <w:sz w:val="24"/>
              <w:szCs w:val="24"/>
            </w:rPr>
            <w:t>(Minge &amp; Thüring, 2018; Tuch, Roth, Hornbæk, Opwis, &amp; Bargas-Avila, 2012)</w:t>
          </w:r>
          <w:r w:rsidR="00890438">
            <w:rPr>
              <w:rFonts w:asciiTheme="majorBidi" w:hAnsiTheme="majorBidi" w:cstheme="majorBidi"/>
              <w:sz w:val="24"/>
              <w:szCs w:val="24"/>
            </w:rPr>
            <w:fldChar w:fldCharType="end"/>
          </w:r>
        </w:sdtContent>
      </w:sdt>
      <w:r w:rsidR="00890438">
        <w:rPr>
          <w:rFonts w:asciiTheme="majorBidi" w:hAnsiTheme="majorBidi" w:cstheme="majorBidi"/>
          <w:sz w:val="24"/>
          <w:szCs w:val="24"/>
        </w:rPr>
        <w:t>. It is important to confirm that the halo effect happens through mediators that facilitate this spill over evaluative effect from one activity to another as appeared in literature</w:t>
      </w:r>
      <w:r w:rsidR="00774C32">
        <w:rPr>
          <w:rFonts w:asciiTheme="majorBidi" w:hAnsiTheme="majorBidi" w:cstheme="majorBidi"/>
          <w:sz w:val="24"/>
          <w:szCs w:val="24"/>
        </w:rPr>
        <w:t xml:space="preserve">. </w:t>
      </w:r>
      <w:r w:rsidR="00890438">
        <w:rPr>
          <w:rFonts w:asciiTheme="majorBidi" w:hAnsiTheme="majorBidi" w:cstheme="majorBidi"/>
          <w:sz w:val="24"/>
          <w:szCs w:val="24"/>
        </w:rPr>
        <w:t xml:space="preserve">Thus, the communication </w:t>
      </w:r>
      <w:r w:rsidR="00391D20">
        <w:rPr>
          <w:rFonts w:asciiTheme="majorBidi" w:hAnsiTheme="majorBidi" w:cstheme="majorBidi"/>
          <w:sz w:val="24"/>
          <w:szCs w:val="24"/>
        </w:rPr>
        <w:t xml:space="preserve">strategies </w:t>
      </w:r>
      <w:r w:rsidR="00890438">
        <w:rPr>
          <w:rFonts w:asciiTheme="majorBidi" w:hAnsiTheme="majorBidi" w:cstheme="majorBidi"/>
          <w:sz w:val="24"/>
          <w:szCs w:val="24"/>
        </w:rPr>
        <w:t xml:space="preserve">and media vehicles examined in this study can have direct and indirect halo effect on purchase intention in which the effects of CSR communication and television as a media channel were stronger than non-CSR communication and social media. The next section discusses the results reflecting the </w:t>
      </w:r>
      <w:r w:rsidR="007D4348">
        <w:rPr>
          <w:rFonts w:asciiTheme="majorBidi" w:hAnsiTheme="majorBidi" w:cstheme="majorBidi"/>
          <w:sz w:val="24"/>
          <w:szCs w:val="24"/>
        </w:rPr>
        <w:t>concept of value congruence</w:t>
      </w:r>
      <w:r w:rsidR="00890438">
        <w:rPr>
          <w:rFonts w:asciiTheme="majorBidi" w:hAnsiTheme="majorBidi" w:cstheme="majorBidi"/>
          <w:sz w:val="24"/>
          <w:szCs w:val="24"/>
        </w:rPr>
        <w:t xml:space="preserve">. </w:t>
      </w:r>
    </w:p>
    <w:p w14:paraId="537DDE0C" w14:textId="51DC1604" w:rsidR="00890438" w:rsidRDefault="00890438" w:rsidP="00890438">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8.</w:t>
      </w:r>
      <w:r w:rsidR="00A133C6">
        <w:rPr>
          <w:rFonts w:asciiTheme="majorBidi" w:hAnsiTheme="majorBidi" w:cstheme="majorBidi"/>
          <w:b/>
          <w:bCs/>
          <w:sz w:val="24"/>
          <w:szCs w:val="24"/>
        </w:rPr>
        <w:t>1</w:t>
      </w:r>
      <w:r>
        <w:rPr>
          <w:rFonts w:asciiTheme="majorBidi" w:hAnsiTheme="majorBidi" w:cstheme="majorBidi"/>
          <w:b/>
          <w:bCs/>
          <w:sz w:val="24"/>
          <w:szCs w:val="24"/>
        </w:rPr>
        <w:t xml:space="preserve">.4 </w:t>
      </w:r>
      <w:r w:rsidR="007D4348">
        <w:rPr>
          <w:rFonts w:asciiTheme="majorBidi" w:hAnsiTheme="majorBidi" w:cstheme="majorBidi"/>
          <w:b/>
          <w:bCs/>
          <w:sz w:val="24"/>
          <w:szCs w:val="24"/>
        </w:rPr>
        <w:t xml:space="preserve">Value Congruence </w:t>
      </w:r>
    </w:p>
    <w:p w14:paraId="38EC5064" w14:textId="64F672B5" w:rsidR="00890438" w:rsidRDefault="00890438" w:rsidP="00721833">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It appeared in </w:t>
      </w:r>
      <w:r w:rsidR="005D026E">
        <w:rPr>
          <w:rFonts w:asciiTheme="majorBidi" w:hAnsiTheme="majorBidi" w:cstheme="majorBidi"/>
          <w:sz w:val="24"/>
          <w:szCs w:val="24"/>
        </w:rPr>
        <w:t>the literature</w:t>
      </w:r>
      <w:r>
        <w:rPr>
          <w:rFonts w:asciiTheme="majorBidi" w:hAnsiTheme="majorBidi" w:cstheme="majorBidi"/>
          <w:sz w:val="24"/>
          <w:szCs w:val="24"/>
        </w:rPr>
        <w:t xml:space="preserve"> that when there is congruence between </w:t>
      </w:r>
      <w:r w:rsidR="00C50E36">
        <w:rPr>
          <w:rFonts w:asciiTheme="majorBidi" w:hAnsiTheme="majorBidi" w:cstheme="majorBidi"/>
          <w:sz w:val="24"/>
          <w:szCs w:val="24"/>
        </w:rPr>
        <w:t xml:space="preserve">consumers’ </w:t>
      </w:r>
      <w:r>
        <w:rPr>
          <w:rFonts w:asciiTheme="majorBidi" w:hAnsiTheme="majorBidi" w:cstheme="majorBidi"/>
          <w:sz w:val="24"/>
          <w:szCs w:val="24"/>
        </w:rPr>
        <w:t xml:space="preserve">attitudes </w:t>
      </w:r>
      <w:r w:rsidR="00C50E36">
        <w:rPr>
          <w:rFonts w:asciiTheme="majorBidi" w:hAnsiTheme="majorBidi" w:cstheme="majorBidi"/>
          <w:sz w:val="24"/>
          <w:szCs w:val="24"/>
        </w:rPr>
        <w:t>and</w:t>
      </w:r>
      <w:r>
        <w:rPr>
          <w:rFonts w:asciiTheme="majorBidi" w:hAnsiTheme="majorBidi" w:cstheme="majorBidi"/>
          <w:sz w:val="24"/>
          <w:szCs w:val="24"/>
        </w:rPr>
        <w:t xml:space="preserve"> the beliefs </w:t>
      </w:r>
      <w:r w:rsidR="00C50E36">
        <w:rPr>
          <w:rFonts w:asciiTheme="majorBidi" w:hAnsiTheme="majorBidi" w:cstheme="majorBidi"/>
          <w:sz w:val="24"/>
          <w:szCs w:val="24"/>
        </w:rPr>
        <w:t>depicted in</w:t>
      </w:r>
      <w:r>
        <w:rPr>
          <w:rFonts w:asciiTheme="majorBidi" w:hAnsiTheme="majorBidi" w:cstheme="majorBidi"/>
          <w:sz w:val="24"/>
          <w:szCs w:val="24"/>
        </w:rPr>
        <w:t xml:space="preserve"> the advertisement, </w:t>
      </w:r>
      <w:r w:rsidR="00DF574F">
        <w:rPr>
          <w:rFonts w:asciiTheme="majorBidi" w:hAnsiTheme="majorBidi" w:cstheme="majorBidi"/>
          <w:sz w:val="24"/>
          <w:szCs w:val="24"/>
        </w:rPr>
        <w:t xml:space="preserve">it is likely that </w:t>
      </w:r>
      <w:r>
        <w:rPr>
          <w:rFonts w:asciiTheme="majorBidi" w:hAnsiTheme="majorBidi" w:cstheme="majorBidi"/>
          <w:sz w:val="24"/>
          <w:szCs w:val="24"/>
        </w:rPr>
        <w:t>consumers will form behaviours that are congruent to their attitudes towards the advertisement</w:t>
      </w:r>
      <w:sdt>
        <w:sdtPr>
          <w:rPr>
            <w:rFonts w:asciiTheme="majorBidi" w:hAnsiTheme="majorBidi" w:cstheme="majorBidi"/>
            <w:sz w:val="24"/>
            <w:szCs w:val="24"/>
          </w:rPr>
          <w:id w:val="245075642"/>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Cza19 \t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(Czarnecka &amp; Schivinski, 2019)</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DF574F">
        <w:rPr>
          <w:rFonts w:asciiTheme="majorBidi" w:hAnsiTheme="majorBidi" w:cstheme="majorBidi"/>
          <w:sz w:val="24"/>
          <w:szCs w:val="24"/>
        </w:rPr>
        <w:t xml:space="preserve">In this research, </w:t>
      </w:r>
      <w:r>
        <w:rPr>
          <w:rFonts w:asciiTheme="majorBidi" w:hAnsiTheme="majorBidi" w:cstheme="majorBidi"/>
          <w:sz w:val="24"/>
          <w:szCs w:val="24"/>
        </w:rPr>
        <w:t>results revealed that</w:t>
      </w:r>
      <w:r w:rsidR="003227FF">
        <w:rPr>
          <w:rFonts w:asciiTheme="majorBidi" w:hAnsiTheme="majorBidi" w:cstheme="majorBidi"/>
          <w:sz w:val="24"/>
          <w:szCs w:val="24"/>
        </w:rPr>
        <w:t xml:space="preserve"> </w:t>
      </w:r>
      <w:r w:rsidR="00F15C82">
        <w:rPr>
          <w:rFonts w:asciiTheme="majorBidi" w:hAnsiTheme="majorBidi" w:cstheme="majorBidi"/>
          <w:sz w:val="24"/>
          <w:szCs w:val="24"/>
        </w:rPr>
        <w:t xml:space="preserve">consumers with </w:t>
      </w:r>
      <w:r w:rsidR="003227FF">
        <w:rPr>
          <w:rFonts w:asciiTheme="majorBidi" w:hAnsiTheme="majorBidi" w:cstheme="majorBidi"/>
          <w:sz w:val="24"/>
          <w:szCs w:val="24"/>
        </w:rPr>
        <w:t xml:space="preserve">high CSR perception </w:t>
      </w:r>
      <w:r w:rsidR="00A26AA3">
        <w:rPr>
          <w:rFonts w:asciiTheme="majorBidi" w:hAnsiTheme="majorBidi" w:cstheme="majorBidi"/>
          <w:sz w:val="24"/>
          <w:szCs w:val="24"/>
        </w:rPr>
        <w:t xml:space="preserve">rated the CSR </w:t>
      </w:r>
      <w:r w:rsidR="00CD445D">
        <w:rPr>
          <w:rFonts w:asciiTheme="majorBidi" w:hAnsiTheme="majorBidi" w:cstheme="majorBidi"/>
          <w:sz w:val="24"/>
          <w:szCs w:val="24"/>
        </w:rPr>
        <w:t xml:space="preserve">advert more positively than those with low CSR perceptions. </w:t>
      </w:r>
      <w:r w:rsidR="003227FF">
        <w:rPr>
          <w:rFonts w:asciiTheme="majorBidi" w:hAnsiTheme="majorBidi" w:cstheme="majorBidi"/>
          <w:sz w:val="24"/>
          <w:szCs w:val="24"/>
        </w:rPr>
        <w:t xml:space="preserve">had higher congruity </w:t>
      </w:r>
      <w:r w:rsidR="003227FF" w:rsidRPr="0018290F">
        <w:rPr>
          <w:rFonts w:asciiTheme="majorBidi" w:hAnsiTheme="majorBidi" w:cstheme="majorBidi"/>
          <w:sz w:val="24"/>
          <w:szCs w:val="24"/>
        </w:rPr>
        <w:t xml:space="preserve">between </w:t>
      </w:r>
      <w:r w:rsidR="002C5277" w:rsidRPr="0018290F">
        <w:rPr>
          <w:rFonts w:asciiTheme="majorBidi" w:hAnsiTheme="majorBidi" w:cstheme="majorBidi"/>
          <w:sz w:val="24"/>
          <w:szCs w:val="24"/>
        </w:rPr>
        <w:t>their</w:t>
      </w:r>
      <w:r w:rsidR="003227FF" w:rsidRPr="0018290F">
        <w:rPr>
          <w:rFonts w:asciiTheme="majorBidi" w:hAnsiTheme="majorBidi" w:cstheme="majorBidi"/>
          <w:sz w:val="24"/>
          <w:szCs w:val="24"/>
        </w:rPr>
        <w:t xml:space="preserve"> CSR perception and brand attitudes than </w:t>
      </w:r>
      <w:r w:rsidR="00F15C82" w:rsidRPr="0018290F">
        <w:rPr>
          <w:rFonts w:asciiTheme="majorBidi" w:hAnsiTheme="majorBidi" w:cstheme="majorBidi"/>
          <w:sz w:val="24"/>
          <w:szCs w:val="24"/>
        </w:rPr>
        <w:t xml:space="preserve">consumers with </w:t>
      </w:r>
      <w:r w:rsidR="003227FF" w:rsidRPr="0018290F">
        <w:rPr>
          <w:rFonts w:asciiTheme="majorBidi" w:hAnsiTheme="majorBidi" w:cstheme="majorBidi"/>
          <w:sz w:val="24"/>
          <w:szCs w:val="24"/>
        </w:rPr>
        <w:t>low CSR perception.</w:t>
      </w:r>
      <w:r w:rsidRPr="0018290F">
        <w:rPr>
          <w:rFonts w:asciiTheme="majorBidi" w:hAnsiTheme="majorBidi" w:cstheme="majorBidi"/>
          <w:sz w:val="24"/>
          <w:szCs w:val="24"/>
        </w:rPr>
        <w:t xml:space="preserve"> Evidently, </w:t>
      </w:r>
      <w:r w:rsidR="00B0224A" w:rsidRPr="0018290F">
        <w:rPr>
          <w:rFonts w:asciiTheme="majorBidi" w:hAnsiTheme="majorBidi" w:cstheme="majorBidi"/>
          <w:sz w:val="24"/>
          <w:szCs w:val="24"/>
        </w:rPr>
        <w:t xml:space="preserve">high </w:t>
      </w:r>
      <w:r w:rsidRPr="0018290F">
        <w:rPr>
          <w:rFonts w:asciiTheme="majorBidi" w:hAnsiTheme="majorBidi" w:cstheme="majorBidi"/>
          <w:sz w:val="24"/>
          <w:szCs w:val="24"/>
        </w:rPr>
        <w:t>CSR perception ha</w:t>
      </w:r>
      <w:r w:rsidR="00F15C82" w:rsidRPr="0018290F">
        <w:rPr>
          <w:rFonts w:asciiTheme="majorBidi" w:hAnsiTheme="majorBidi" w:cstheme="majorBidi"/>
          <w:sz w:val="24"/>
          <w:szCs w:val="24"/>
        </w:rPr>
        <w:t>s</w:t>
      </w:r>
      <w:r w:rsidRPr="0018290F">
        <w:rPr>
          <w:rFonts w:asciiTheme="majorBidi" w:hAnsiTheme="majorBidi" w:cstheme="majorBidi"/>
          <w:sz w:val="24"/>
          <w:szCs w:val="24"/>
        </w:rPr>
        <w:t xml:space="preserve"> a congruent </w:t>
      </w:r>
      <w:r w:rsidR="00F15C82" w:rsidRPr="0018290F">
        <w:rPr>
          <w:rFonts w:asciiTheme="majorBidi" w:hAnsiTheme="majorBidi" w:cstheme="majorBidi"/>
          <w:sz w:val="24"/>
          <w:szCs w:val="24"/>
        </w:rPr>
        <w:t xml:space="preserve">direct </w:t>
      </w:r>
      <w:r w:rsidRPr="0018290F">
        <w:rPr>
          <w:rFonts w:asciiTheme="majorBidi" w:hAnsiTheme="majorBidi" w:cstheme="majorBidi"/>
          <w:sz w:val="24"/>
          <w:szCs w:val="24"/>
        </w:rPr>
        <w:t xml:space="preserve">effect on </w:t>
      </w:r>
      <w:r w:rsidR="00F15C82" w:rsidRPr="0018290F">
        <w:rPr>
          <w:rFonts w:asciiTheme="majorBidi" w:hAnsiTheme="majorBidi" w:cstheme="majorBidi"/>
          <w:sz w:val="24"/>
          <w:szCs w:val="24"/>
        </w:rPr>
        <w:t>the majority of</w:t>
      </w:r>
      <w:r w:rsidRPr="0018290F">
        <w:rPr>
          <w:rFonts w:asciiTheme="majorBidi" w:hAnsiTheme="majorBidi" w:cstheme="majorBidi"/>
          <w:sz w:val="24"/>
          <w:szCs w:val="24"/>
        </w:rPr>
        <w:t xml:space="preserve"> respondents’</w:t>
      </w:r>
      <w:r w:rsidR="00F15C82" w:rsidRPr="0018290F">
        <w:rPr>
          <w:rFonts w:asciiTheme="majorBidi" w:hAnsiTheme="majorBidi" w:cstheme="majorBidi"/>
          <w:sz w:val="24"/>
          <w:szCs w:val="24"/>
        </w:rPr>
        <w:t xml:space="preserve"> brand</w:t>
      </w:r>
      <w:r w:rsidRPr="0018290F">
        <w:rPr>
          <w:rFonts w:asciiTheme="majorBidi" w:hAnsiTheme="majorBidi" w:cstheme="majorBidi"/>
          <w:sz w:val="24"/>
          <w:szCs w:val="24"/>
        </w:rPr>
        <w:t xml:space="preserve"> attitudes</w:t>
      </w:r>
      <w:r w:rsidR="00F15C82" w:rsidRPr="0018290F">
        <w:rPr>
          <w:rFonts w:asciiTheme="majorBidi" w:hAnsiTheme="majorBidi" w:cstheme="majorBidi"/>
          <w:sz w:val="24"/>
          <w:szCs w:val="24"/>
        </w:rPr>
        <w:t xml:space="preserve"> and purchase intention</w:t>
      </w:r>
      <w:r w:rsidRPr="0018290F">
        <w:rPr>
          <w:rFonts w:asciiTheme="majorBidi" w:hAnsiTheme="majorBidi" w:cstheme="majorBidi"/>
          <w:sz w:val="24"/>
          <w:szCs w:val="24"/>
        </w:rPr>
        <w:t>.</w:t>
      </w:r>
      <w:r w:rsidR="00B0224A" w:rsidRPr="0018290F">
        <w:rPr>
          <w:rFonts w:asciiTheme="majorBidi" w:hAnsiTheme="majorBidi" w:cstheme="majorBidi"/>
          <w:sz w:val="24"/>
          <w:szCs w:val="24"/>
        </w:rPr>
        <w:t xml:space="preserve"> As discussed in section 5.</w:t>
      </w:r>
      <w:r w:rsidR="00F91D45" w:rsidRPr="0018290F">
        <w:rPr>
          <w:rFonts w:asciiTheme="majorBidi" w:hAnsiTheme="majorBidi" w:cstheme="majorBidi"/>
          <w:sz w:val="24"/>
          <w:szCs w:val="24"/>
        </w:rPr>
        <w:t>4</w:t>
      </w:r>
      <w:r w:rsidR="00B0224A" w:rsidRPr="0018290F">
        <w:rPr>
          <w:rFonts w:asciiTheme="majorBidi" w:hAnsiTheme="majorBidi" w:cstheme="majorBidi"/>
          <w:sz w:val="24"/>
          <w:szCs w:val="24"/>
        </w:rPr>
        <w:t xml:space="preserve">.6, CSR perception was measured using constructs that asked about </w:t>
      </w:r>
      <w:r w:rsidR="00B0224A">
        <w:rPr>
          <w:rFonts w:asciiTheme="majorBidi" w:hAnsiTheme="majorBidi" w:cstheme="majorBidi"/>
          <w:sz w:val="24"/>
          <w:szCs w:val="24"/>
        </w:rPr>
        <w:t>the respondents’ beliefs towards the</w:t>
      </w:r>
      <w:r w:rsidR="0018391A">
        <w:rPr>
          <w:rFonts w:asciiTheme="majorBidi" w:hAnsiTheme="majorBidi" w:cstheme="majorBidi"/>
          <w:sz w:val="24"/>
          <w:szCs w:val="24"/>
        </w:rPr>
        <w:t>ir ideal</w:t>
      </w:r>
      <w:r w:rsidR="00B0224A">
        <w:rPr>
          <w:rFonts w:asciiTheme="majorBidi" w:hAnsiTheme="majorBidi" w:cstheme="majorBidi"/>
          <w:sz w:val="24"/>
          <w:szCs w:val="24"/>
        </w:rPr>
        <w:t xml:space="preserve"> brand that it helps solve social problems, improves the well-being of society, engages in philanthropy and social services, etc. </w:t>
      </w:r>
      <w:sdt>
        <w:sdtPr>
          <w:rPr>
            <w:rFonts w:asciiTheme="majorBidi" w:hAnsiTheme="majorBidi" w:cstheme="majorBidi"/>
            <w:sz w:val="24"/>
            <w:szCs w:val="24"/>
          </w:rPr>
          <w:id w:val="658889477"/>
          <w:citation/>
        </w:sdtPr>
        <w:sdtContent>
          <w:r w:rsidR="00B0224A" w:rsidRPr="00B0224A">
            <w:rPr>
              <w:rFonts w:asciiTheme="majorBidi" w:hAnsiTheme="majorBidi" w:cstheme="majorBidi"/>
              <w:sz w:val="24"/>
              <w:szCs w:val="24"/>
            </w:rPr>
            <w:fldChar w:fldCharType="begin"/>
          </w:r>
          <w:r w:rsidR="00B0224A" w:rsidRPr="00B0224A">
            <w:rPr>
              <w:rFonts w:asciiTheme="majorBidi" w:hAnsiTheme="majorBidi" w:cstheme="majorBidi"/>
              <w:sz w:val="24"/>
              <w:szCs w:val="24"/>
            </w:rPr>
            <w:instrText xml:space="preserve"> CITATION Lee132 \l 2057 </w:instrText>
          </w:r>
          <w:r w:rsidR="00B0224A" w:rsidRPr="00B0224A">
            <w:rPr>
              <w:rFonts w:asciiTheme="majorBidi" w:hAnsiTheme="majorBidi" w:cstheme="majorBidi"/>
              <w:sz w:val="24"/>
              <w:szCs w:val="24"/>
            </w:rPr>
            <w:fldChar w:fldCharType="separate"/>
          </w:r>
          <w:r w:rsidR="00B0224A" w:rsidRPr="00B0224A">
            <w:rPr>
              <w:rFonts w:asciiTheme="majorBidi" w:hAnsiTheme="majorBidi" w:cstheme="majorBidi"/>
              <w:noProof/>
              <w:sz w:val="24"/>
              <w:szCs w:val="24"/>
            </w:rPr>
            <w:t>(Lee, Song, Lee, Lee, &amp; Bernhard, 2013)</w:t>
          </w:r>
          <w:r w:rsidR="00B0224A" w:rsidRPr="00B0224A">
            <w:rPr>
              <w:rFonts w:asciiTheme="majorBidi" w:hAnsiTheme="majorBidi" w:cstheme="majorBidi"/>
              <w:sz w:val="24"/>
              <w:szCs w:val="24"/>
            </w:rPr>
            <w:fldChar w:fldCharType="end"/>
          </w:r>
        </w:sdtContent>
      </w:sdt>
      <w:r w:rsidR="00B0224A" w:rsidRPr="00B0224A">
        <w:rPr>
          <w:rFonts w:asciiTheme="majorBidi" w:hAnsiTheme="majorBidi" w:cstheme="majorBidi"/>
          <w:sz w:val="24"/>
          <w:szCs w:val="24"/>
        </w:rPr>
        <w:t>.</w:t>
      </w:r>
      <w:r w:rsidR="008401B9">
        <w:rPr>
          <w:rFonts w:asciiTheme="majorBidi" w:hAnsiTheme="majorBidi" w:cstheme="majorBidi"/>
          <w:sz w:val="24"/>
          <w:szCs w:val="24"/>
        </w:rPr>
        <w:t xml:space="preserve"> Accordingly, the high or low CSR perception refers to the scores of subjects</w:t>
      </w:r>
      <w:r w:rsidR="0018391A">
        <w:rPr>
          <w:rFonts w:asciiTheme="majorBidi" w:hAnsiTheme="majorBidi" w:cstheme="majorBidi"/>
          <w:sz w:val="24"/>
          <w:szCs w:val="24"/>
        </w:rPr>
        <w:t xml:space="preserve"> who</w:t>
      </w:r>
      <w:r w:rsidR="008401B9">
        <w:rPr>
          <w:rFonts w:asciiTheme="majorBidi" w:hAnsiTheme="majorBidi" w:cstheme="majorBidi"/>
          <w:sz w:val="24"/>
          <w:szCs w:val="24"/>
        </w:rPr>
        <w:t xml:space="preserve"> </w:t>
      </w:r>
      <w:r w:rsidR="0018391A">
        <w:rPr>
          <w:rFonts w:asciiTheme="majorBidi" w:hAnsiTheme="majorBidi" w:cstheme="majorBidi"/>
          <w:sz w:val="24"/>
          <w:szCs w:val="24"/>
        </w:rPr>
        <w:t>scored high</w:t>
      </w:r>
      <w:r w:rsidR="008401B9">
        <w:rPr>
          <w:rFonts w:asciiTheme="majorBidi" w:hAnsiTheme="majorBidi" w:cstheme="majorBidi"/>
          <w:sz w:val="24"/>
          <w:szCs w:val="24"/>
        </w:rPr>
        <w:t xml:space="preserve"> or low in these </w:t>
      </w:r>
      <w:r w:rsidR="0018391A">
        <w:rPr>
          <w:rFonts w:asciiTheme="majorBidi" w:hAnsiTheme="majorBidi" w:cstheme="majorBidi"/>
          <w:sz w:val="24"/>
          <w:szCs w:val="24"/>
        </w:rPr>
        <w:t>items</w:t>
      </w:r>
      <w:r w:rsidR="008401B9">
        <w:rPr>
          <w:rFonts w:asciiTheme="majorBidi" w:hAnsiTheme="majorBidi" w:cstheme="majorBidi"/>
          <w:sz w:val="24"/>
          <w:szCs w:val="24"/>
        </w:rPr>
        <w:t>.</w:t>
      </w:r>
      <w:r>
        <w:rPr>
          <w:rFonts w:asciiTheme="majorBidi" w:hAnsiTheme="majorBidi" w:cstheme="majorBidi"/>
          <w:sz w:val="24"/>
          <w:szCs w:val="24"/>
        </w:rPr>
        <w:t xml:space="preserve"> </w:t>
      </w:r>
      <w:r w:rsidR="008401B9">
        <w:rPr>
          <w:rFonts w:asciiTheme="majorBidi" w:hAnsiTheme="majorBidi" w:cstheme="majorBidi"/>
          <w:sz w:val="24"/>
          <w:szCs w:val="24"/>
        </w:rPr>
        <w:t>As</w:t>
      </w:r>
      <w:r>
        <w:rPr>
          <w:rFonts w:asciiTheme="majorBidi" w:hAnsiTheme="majorBidi" w:cstheme="majorBidi"/>
          <w:sz w:val="24"/>
          <w:szCs w:val="24"/>
        </w:rPr>
        <w:t xml:space="preserve"> shown in table </w:t>
      </w:r>
      <w:r w:rsidR="00F91D45">
        <w:rPr>
          <w:rFonts w:asciiTheme="majorBidi" w:hAnsiTheme="majorBidi" w:cstheme="majorBidi"/>
          <w:sz w:val="24"/>
          <w:szCs w:val="24"/>
        </w:rPr>
        <w:t>5</w:t>
      </w:r>
      <w:r w:rsidR="0048342F">
        <w:rPr>
          <w:rFonts w:asciiTheme="majorBidi" w:hAnsiTheme="majorBidi" w:cstheme="majorBidi"/>
          <w:sz w:val="24"/>
          <w:szCs w:val="24"/>
        </w:rPr>
        <w:t>9</w:t>
      </w:r>
      <w:r>
        <w:rPr>
          <w:rFonts w:asciiTheme="majorBidi" w:hAnsiTheme="majorBidi" w:cstheme="majorBidi"/>
          <w:sz w:val="24"/>
          <w:szCs w:val="24"/>
        </w:rPr>
        <w:t xml:space="preserve">, it is important to mention that within the CSR groups, CSR perception directly and indirectly </w:t>
      </w:r>
      <w:r w:rsidR="005F3068">
        <w:rPr>
          <w:rFonts w:asciiTheme="majorBidi" w:hAnsiTheme="majorBidi" w:cstheme="majorBidi"/>
          <w:sz w:val="24"/>
          <w:szCs w:val="24"/>
        </w:rPr>
        <w:t>had a higher impact on</w:t>
      </w:r>
      <w:r>
        <w:rPr>
          <w:rFonts w:asciiTheme="majorBidi" w:hAnsiTheme="majorBidi" w:cstheme="majorBidi"/>
          <w:sz w:val="24"/>
          <w:szCs w:val="24"/>
        </w:rPr>
        <w:t xml:space="preserve"> more attitudes than</w:t>
      </w:r>
      <w:r w:rsidR="00F15C82">
        <w:rPr>
          <w:rFonts w:asciiTheme="majorBidi" w:hAnsiTheme="majorBidi" w:cstheme="majorBidi"/>
          <w:sz w:val="24"/>
          <w:szCs w:val="24"/>
        </w:rPr>
        <w:t xml:space="preserve"> in</w:t>
      </w:r>
      <w:r>
        <w:rPr>
          <w:rFonts w:asciiTheme="majorBidi" w:hAnsiTheme="majorBidi" w:cstheme="majorBidi"/>
          <w:sz w:val="24"/>
          <w:szCs w:val="24"/>
        </w:rPr>
        <w:t xml:space="preserve"> the non-CSR groups. </w:t>
      </w:r>
      <w:r w:rsidR="00C50E36">
        <w:rPr>
          <w:rFonts w:asciiTheme="majorBidi" w:hAnsiTheme="majorBidi" w:cstheme="majorBidi"/>
          <w:sz w:val="24"/>
          <w:szCs w:val="24"/>
        </w:rPr>
        <w:t xml:space="preserve">As indicated in literature, </w:t>
      </w:r>
      <w:bookmarkStart w:id="233" w:name="_Hlk146414688"/>
      <w:r w:rsidR="00C50E36">
        <w:rPr>
          <w:rFonts w:asciiTheme="majorBidi" w:hAnsiTheme="majorBidi" w:cstheme="majorBidi"/>
          <w:sz w:val="24"/>
          <w:szCs w:val="24"/>
        </w:rPr>
        <w:t>CSR communication can be used as a strategy to give the brand a competitive edge</w:t>
      </w:r>
      <w:bookmarkEnd w:id="233"/>
      <w:r w:rsidR="00C50E36">
        <w:rPr>
          <w:rFonts w:asciiTheme="majorBidi" w:hAnsiTheme="majorBidi" w:cstheme="majorBidi"/>
          <w:sz w:val="24"/>
          <w:szCs w:val="24"/>
        </w:rPr>
        <w:t xml:space="preserve"> </w:t>
      </w:r>
      <w:sdt>
        <w:sdtPr>
          <w:rPr>
            <w:rFonts w:asciiTheme="majorBidi" w:hAnsiTheme="majorBidi" w:cstheme="majorBidi"/>
            <w:sz w:val="24"/>
            <w:szCs w:val="24"/>
          </w:rPr>
          <w:id w:val="-1380393191"/>
          <w:citation/>
        </w:sdtPr>
        <w:sdtContent>
          <w:r w:rsidR="009C6861" w:rsidRPr="00645A29">
            <w:rPr>
              <w:rFonts w:asciiTheme="majorBidi" w:hAnsiTheme="majorBidi" w:cstheme="majorBidi"/>
              <w:sz w:val="24"/>
              <w:szCs w:val="24"/>
            </w:rPr>
            <w:fldChar w:fldCharType="begin"/>
          </w:r>
          <w:r w:rsidR="009C6861" w:rsidRPr="00645A29">
            <w:rPr>
              <w:rFonts w:asciiTheme="majorBidi" w:hAnsiTheme="majorBidi" w:cstheme="majorBidi"/>
              <w:sz w:val="24"/>
              <w:szCs w:val="24"/>
            </w:rPr>
            <w:instrText xml:space="preserve"> CITATION Ass17 \l 2057 </w:instrText>
          </w:r>
          <w:r w:rsidR="009C6861">
            <w:rPr>
              <w:rFonts w:asciiTheme="majorBidi" w:hAnsiTheme="majorBidi" w:cstheme="majorBidi"/>
              <w:sz w:val="24"/>
              <w:szCs w:val="24"/>
            </w:rPr>
            <w:instrText xml:space="preserve"> \m Bha04 \m Kim17</w:instrText>
          </w:r>
          <w:r w:rsidR="009C6861" w:rsidRPr="00645A29">
            <w:rPr>
              <w:rFonts w:asciiTheme="majorBidi" w:hAnsiTheme="majorBidi" w:cstheme="majorBidi"/>
              <w:sz w:val="24"/>
              <w:szCs w:val="24"/>
            </w:rPr>
            <w:fldChar w:fldCharType="separate"/>
          </w:r>
          <w:r w:rsidR="009C6861" w:rsidRPr="0078176C">
            <w:rPr>
              <w:rFonts w:asciiTheme="majorBidi" w:hAnsiTheme="majorBidi" w:cstheme="majorBidi"/>
              <w:noProof/>
              <w:sz w:val="24"/>
              <w:szCs w:val="24"/>
            </w:rPr>
            <w:t>(Assaf, Josiassen, Ahn, &amp; Mattila, 2017; Bhattacharya &amp; Sen, 2004; Kim &amp; Ji, 2017)</w:t>
          </w:r>
          <w:r w:rsidR="009C6861" w:rsidRPr="00645A29">
            <w:rPr>
              <w:rFonts w:asciiTheme="majorBidi" w:hAnsiTheme="majorBidi" w:cstheme="majorBidi"/>
              <w:sz w:val="24"/>
              <w:szCs w:val="24"/>
            </w:rPr>
            <w:fldChar w:fldCharType="end"/>
          </w:r>
        </w:sdtContent>
      </w:sdt>
      <w:r w:rsidR="009C6861">
        <w:rPr>
          <w:rFonts w:asciiTheme="majorBidi" w:hAnsiTheme="majorBidi" w:cstheme="majorBidi"/>
          <w:sz w:val="24"/>
          <w:szCs w:val="24"/>
        </w:rPr>
        <w:t xml:space="preserve"> </w:t>
      </w:r>
      <w:r w:rsidR="00C50E36">
        <w:rPr>
          <w:rFonts w:asciiTheme="majorBidi" w:hAnsiTheme="majorBidi" w:cstheme="majorBidi"/>
          <w:sz w:val="24"/>
          <w:szCs w:val="24"/>
        </w:rPr>
        <w:t>especially in low involvement product category in which products have a lot of similarities</w:t>
      </w:r>
      <w:r w:rsidR="00F05A82" w:rsidRPr="00F05A82">
        <w:rPr>
          <w:rFonts w:asciiTheme="majorBidi" w:hAnsiTheme="majorBidi" w:cstheme="majorBidi"/>
          <w:sz w:val="24"/>
          <w:szCs w:val="24"/>
        </w:rPr>
        <w:t xml:space="preserve"> </w:t>
      </w:r>
      <w:sdt>
        <w:sdtPr>
          <w:rPr>
            <w:rFonts w:asciiTheme="majorBidi" w:hAnsiTheme="majorBidi" w:cstheme="majorBidi"/>
            <w:sz w:val="24"/>
            <w:szCs w:val="24"/>
          </w:rPr>
          <w:id w:val="150182927"/>
          <w:citation/>
        </w:sdtPr>
        <w:sdtContent>
          <w:r w:rsidR="00F05A82">
            <w:rPr>
              <w:rFonts w:asciiTheme="majorBidi" w:hAnsiTheme="majorBidi" w:cstheme="majorBidi"/>
              <w:sz w:val="24"/>
              <w:szCs w:val="24"/>
            </w:rPr>
            <w:fldChar w:fldCharType="begin"/>
          </w:r>
          <w:r w:rsidR="00F05A82">
            <w:rPr>
              <w:rFonts w:asciiTheme="majorBidi" w:hAnsiTheme="majorBidi" w:cstheme="majorBidi"/>
              <w:sz w:val="24"/>
              <w:szCs w:val="24"/>
            </w:rPr>
            <w:instrText xml:space="preserve">CITATION Wil201 \l 2057 </w:instrText>
          </w:r>
          <w:r w:rsidR="00F05A82">
            <w:rPr>
              <w:rFonts w:asciiTheme="majorBidi" w:hAnsiTheme="majorBidi" w:cstheme="majorBidi"/>
              <w:sz w:val="24"/>
              <w:szCs w:val="24"/>
            </w:rPr>
            <w:fldChar w:fldCharType="separate"/>
          </w:r>
          <w:r w:rsidR="00F05A82" w:rsidRPr="00F05A82">
            <w:rPr>
              <w:rFonts w:asciiTheme="majorBidi" w:hAnsiTheme="majorBidi" w:cstheme="majorBidi"/>
              <w:noProof/>
              <w:sz w:val="24"/>
              <w:szCs w:val="24"/>
            </w:rPr>
            <w:t>(Wilkins &amp; Ireland, 2020)</w:t>
          </w:r>
          <w:r w:rsidR="00F05A82">
            <w:rPr>
              <w:rFonts w:asciiTheme="majorBidi" w:hAnsiTheme="majorBidi" w:cstheme="majorBidi"/>
              <w:sz w:val="24"/>
              <w:szCs w:val="24"/>
            </w:rPr>
            <w:fldChar w:fldCharType="end"/>
          </w:r>
        </w:sdtContent>
      </w:sdt>
      <w:r w:rsidR="00C50E36">
        <w:rPr>
          <w:rFonts w:asciiTheme="majorBidi" w:hAnsiTheme="majorBidi" w:cstheme="majorBidi"/>
          <w:sz w:val="24"/>
          <w:szCs w:val="24"/>
        </w:rPr>
        <w:t xml:space="preserve">. </w:t>
      </w:r>
      <w:r w:rsidR="00F05A82">
        <w:rPr>
          <w:rFonts w:asciiTheme="majorBidi" w:hAnsiTheme="majorBidi" w:cstheme="majorBidi"/>
          <w:sz w:val="24"/>
          <w:szCs w:val="24"/>
        </w:rPr>
        <w:t>This finding indicate</w:t>
      </w:r>
      <w:r w:rsidR="00DF574F">
        <w:rPr>
          <w:rFonts w:asciiTheme="majorBidi" w:hAnsiTheme="majorBidi" w:cstheme="majorBidi"/>
          <w:sz w:val="24"/>
          <w:szCs w:val="24"/>
        </w:rPr>
        <w:t>s</w:t>
      </w:r>
      <w:r w:rsidR="00F05A82">
        <w:rPr>
          <w:rFonts w:asciiTheme="majorBidi" w:hAnsiTheme="majorBidi" w:cstheme="majorBidi"/>
          <w:sz w:val="24"/>
          <w:szCs w:val="24"/>
        </w:rPr>
        <w:t xml:space="preserve"> that CSR communication as a strategy will be more successful and </w:t>
      </w:r>
      <w:r w:rsidR="00DF574F">
        <w:rPr>
          <w:rFonts w:asciiTheme="majorBidi" w:hAnsiTheme="majorBidi" w:cstheme="majorBidi"/>
          <w:sz w:val="24"/>
          <w:szCs w:val="24"/>
        </w:rPr>
        <w:t>prominent</w:t>
      </w:r>
      <w:r w:rsidR="00F05A82">
        <w:rPr>
          <w:rFonts w:asciiTheme="majorBidi" w:hAnsiTheme="majorBidi" w:cstheme="majorBidi"/>
          <w:sz w:val="24"/>
          <w:szCs w:val="24"/>
        </w:rPr>
        <w:t xml:space="preserve"> among FMCG consumers</w:t>
      </w:r>
      <w:r w:rsidR="00DF574F">
        <w:rPr>
          <w:rFonts w:asciiTheme="majorBidi" w:hAnsiTheme="majorBidi" w:cstheme="majorBidi"/>
          <w:sz w:val="24"/>
          <w:szCs w:val="24"/>
        </w:rPr>
        <w:t xml:space="preserve"> with high CSR perception.</w:t>
      </w:r>
      <w:r w:rsidR="00F05A82">
        <w:rPr>
          <w:rFonts w:asciiTheme="majorBidi" w:hAnsiTheme="majorBidi" w:cstheme="majorBidi"/>
          <w:sz w:val="24"/>
          <w:szCs w:val="24"/>
        </w:rPr>
        <w:t xml:space="preserve"> </w:t>
      </w:r>
      <w:r w:rsidR="00DF574F" w:rsidRPr="00F15C82">
        <w:rPr>
          <w:rFonts w:asciiTheme="majorBidi" w:hAnsiTheme="majorBidi" w:cstheme="majorBidi"/>
          <w:sz w:val="24"/>
          <w:szCs w:val="24"/>
        </w:rPr>
        <w:t xml:space="preserve">This is </w:t>
      </w:r>
      <w:r w:rsidR="00DF574F" w:rsidRPr="002C5277">
        <w:rPr>
          <w:rFonts w:asciiTheme="majorBidi" w:hAnsiTheme="majorBidi" w:cstheme="majorBidi"/>
          <w:sz w:val="24"/>
          <w:szCs w:val="24"/>
        </w:rPr>
        <w:t>because t</w:t>
      </w:r>
      <w:r w:rsidR="00FC77E6" w:rsidRPr="002C5277">
        <w:rPr>
          <w:rFonts w:asciiTheme="majorBidi" w:hAnsiTheme="majorBidi" w:cstheme="majorBidi"/>
          <w:sz w:val="24"/>
          <w:szCs w:val="24"/>
        </w:rPr>
        <w:t xml:space="preserve">he presence of value congruency </w:t>
      </w:r>
      <w:r w:rsidR="00FC77E6" w:rsidRPr="002C5277">
        <w:rPr>
          <w:rFonts w:asciiTheme="majorBidi" w:hAnsiTheme="majorBidi" w:cstheme="majorBidi"/>
          <w:sz w:val="24"/>
          <w:szCs w:val="24"/>
          <w:shd w:val="clear" w:color="auto" w:fill="FFFFFF"/>
        </w:rPr>
        <w:t>reduce</w:t>
      </w:r>
      <w:r w:rsidR="00DF574F" w:rsidRPr="002C5277">
        <w:rPr>
          <w:rFonts w:asciiTheme="majorBidi" w:hAnsiTheme="majorBidi" w:cstheme="majorBidi"/>
          <w:sz w:val="24"/>
          <w:szCs w:val="24"/>
          <w:shd w:val="clear" w:color="auto" w:fill="FFFFFF"/>
        </w:rPr>
        <w:t>s</w:t>
      </w:r>
      <w:r w:rsidR="00FC77E6" w:rsidRPr="002C5277">
        <w:rPr>
          <w:rFonts w:asciiTheme="majorBidi" w:hAnsiTheme="majorBidi" w:cstheme="majorBidi"/>
          <w:sz w:val="24"/>
          <w:szCs w:val="24"/>
          <w:shd w:val="clear" w:color="auto" w:fill="FFFFFF"/>
        </w:rPr>
        <w:t xml:space="preserve"> uncertainty towards company’s communication</w:t>
      </w:r>
      <w:r w:rsidR="00FC77E6" w:rsidRPr="002C5277">
        <w:rPr>
          <w:rFonts w:asciiTheme="majorBidi" w:hAnsiTheme="majorBidi" w:cstheme="majorBidi"/>
          <w:sz w:val="24"/>
          <w:szCs w:val="24"/>
        </w:rPr>
        <w:t xml:space="preserve"> </w:t>
      </w:r>
      <w:sdt>
        <w:sdtPr>
          <w:rPr>
            <w:rFonts w:asciiTheme="majorBidi" w:hAnsiTheme="majorBidi" w:cstheme="majorBidi"/>
            <w:sz w:val="24"/>
            <w:szCs w:val="24"/>
          </w:rPr>
          <w:id w:val="1317080904"/>
          <w:citation/>
        </w:sdtPr>
        <w:sdtContent>
          <w:r w:rsidR="00FC77E6" w:rsidRPr="002C5277">
            <w:rPr>
              <w:rFonts w:asciiTheme="majorBidi" w:hAnsiTheme="majorBidi" w:cstheme="majorBidi"/>
              <w:sz w:val="24"/>
              <w:szCs w:val="24"/>
            </w:rPr>
            <w:fldChar w:fldCharType="begin"/>
          </w:r>
          <w:r w:rsidR="00FC77E6" w:rsidRPr="002C5277">
            <w:rPr>
              <w:rFonts w:asciiTheme="majorBidi" w:hAnsiTheme="majorBidi" w:cstheme="majorBidi"/>
              <w:sz w:val="24"/>
              <w:szCs w:val="24"/>
            </w:rPr>
            <w:instrText xml:space="preserve"> CITATION Cab04 \l 2057  \m Fis17 \m You21</w:instrText>
          </w:r>
          <w:r w:rsidR="00FC77E6" w:rsidRPr="002C5277">
            <w:rPr>
              <w:rFonts w:asciiTheme="majorBidi" w:hAnsiTheme="majorBidi" w:cstheme="majorBidi"/>
              <w:sz w:val="24"/>
              <w:szCs w:val="24"/>
            </w:rPr>
            <w:fldChar w:fldCharType="separate"/>
          </w:r>
          <w:r w:rsidR="00FC77E6" w:rsidRPr="002C5277">
            <w:rPr>
              <w:rFonts w:asciiTheme="majorBidi" w:hAnsiTheme="majorBidi" w:cstheme="majorBidi"/>
              <w:noProof/>
              <w:sz w:val="24"/>
              <w:szCs w:val="24"/>
            </w:rPr>
            <w:t>(Cable &amp; Edwards, 2004; Fischer, 2017; You &amp; Hon, 2021)</w:t>
          </w:r>
          <w:r w:rsidR="00FC77E6" w:rsidRPr="002C5277">
            <w:rPr>
              <w:rFonts w:asciiTheme="majorBidi" w:hAnsiTheme="majorBidi" w:cstheme="majorBidi"/>
              <w:sz w:val="24"/>
              <w:szCs w:val="24"/>
            </w:rPr>
            <w:fldChar w:fldCharType="end"/>
          </w:r>
        </w:sdtContent>
      </w:sdt>
      <w:r w:rsidR="00DF574F" w:rsidRPr="002C5277">
        <w:rPr>
          <w:rFonts w:asciiTheme="majorBidi" w:hAnsiTheme="majorBidi" w:cstheme="majorBidi"/>
          <w:sz w:val="24"/>
          <w:szCs w:val="24"/>
        </w:rPr>
        <w:t xml:space="preserve"> </w:t>
      </w:r>
      <w:r w:rsidR="00F15C82" w:rsidRPr="002C5277">
        <w:rPr>
          <w:rFonts w:asciiTheme="majorBidi" w:hAnsiTheme="majorBidi" w:cstheme="majorBidi"/>
          <w:sz w:val="24"/>
          <w:szCs w:val="24"/>
        </w:rPr>
        <w:t>that</w:t>
      </w:r>
      <w:r w:rsidR="005D026E">
        <w:rPr>
          <w:rFonts w:asciiTheme="majorBidi" w:hAnsiTheme="majorBidi" w:cstheme="majorBidi"/>
          <w:sz w:val="24"/>
          <w:szCs w:val="24"/>
        </w:rPr>
        <w:t xml:space="preserve"> i</w:t>
      </w:r>
      <w:r w:rsidR="00F15C82" w:rsidRPr="002C5277">
        <w:rPr>
          <w:rFonts w:asciiTheme="majorBidi" w:hAnsiTheme="majorBidi" w:cstheme="majorBidi"/>
          <w:sz w:val="24"/>
          <w:szCs w:val="24"/>
        </w:rPr>
        <w:t>s why</w:t>
      </w:r>
      <w:r w:rsidR="00DF574F" w:rsidRPr="002C5277">
        <w:rPr>
          <w:rFonts w:asciiTheme="majorBidi" w:hAnsiTheme="majorBidi" w:cstheme="majorBidi"/>
          <w:sz w:val="24"/>
          <w:szCs w:val="24"/>
        </w:rPr>
        <w:t xml:space="preserve">, the direct effects of CSR communication on attitudes and purchase intention were </w:t>
      </w:r>
      <w:r w:rsidR="0041183E">
        <w:rPr>
          <w:rFonts w:asciiTheme="majorBidi" w:hAnsiTheme="majorBidi" w:cstheme="majorBidi"/>
          <w:sz w:val="24"/>
          <w:szCs w:val="24"/>
        </w:rPr>
        <w:t>more and stronger</w:t>
      </w:r>
      <w:r w:rsidR="00DF574F" w:rsidRPr="002C5277">
        <w:rPr>
          <w:rFonts w:asciiTheme="majorBidi" w:hAnsiTheme="majorBidi" w:cstheme="majorBidi"/>
          <w:sz w:val="24"/>
          <w:szCs w:val="24"/>
        </w:rPr>
        <w:t xml:space="preserve"> among responders with </w:t>
      </w:r>
      <w:r w:rsidR="00F15C82" w:rsidRPr="002C5277">
        <w:rPr>
          <w:rFonts w:asciiTheme="majorBidi" w:hAnsiTheme="majorBidi" w:cstheme="majorBidi"/>
          <w:sz w:val="24"/>
          <w:szCs w:val="24"/>
        </w:rPr>
        <w:t>high CSR perception.</w:t>
      </w:r>
      <w:r w:rsidR="0041183E">
        <w:rPr>
          <w:rFonts w:asciiTheme="majorBidi" w:hAnsiTheme="majorBidi" w:cstheme="majorBidi"/>
          <w:sz w:val="24"/>
          <w:szCs w:val="24"/>
        </w:rPr>
        <w:t xml:space="preserve"> </w:t>
      </w:r>
    </w:p>
    <w:tbl>
      <w:tblPr>
        <w:tblStyle w:val="TableGrid"/>
        <w:tblW w:w="0" w:type="auto"/>
        <w:tblInd w:w="279" w:type="dxa"/>
        <w:tblLook w:val="04A0" w:firstRow="1" w:lastRow="0" w:firstColumn="1" w:lastColumn="0" w:noHBand="0" w:noVBand="1"/>
      </w:tblPr>
      <w:tblGrid>
        <w:gridCol w:w="1984"/>
        <w:gridCol w:w="3100"/>
        <w:gridCol w:w="2996"/>
      </w:tblGrid>
      <w:tr w:rsidR="00890438" w:rsidRPr="0048342F" w14:paraId="4CE59CFC" w14:textId="77777777" w:rsidTr="00D76461">
        <w:tc>
          <w:tcPr>
            <w:tcW w:w="1984" w:type="dxa"/>
          </w:tcPr>
          <w:p w14:paraId="5CD4D262" w14:textId="77777777" w:rsidR="00890438" w:rsidRPr="0048342F" w:rsidRDefault="00890438" w:rsidP="008D0DBB">
            <w:pPr>
              <w:adjustRightInd w:val="0"/>
              <w:rPr>
                <w:rFonts w:asciiTheme="majorBidi" w:hAnsiTheme="majorBidi" w:cstheme="majorBidi"/>
                <w:sz w:val="20"/>
                <w:szCs w:val="20"/>
              </w:rPr>
            </w:pPr>
          </w:p>
        </w:tc>
        <w:tc>
          <w:tcPr>
            <w:tcW w:w="3100" w:type="dxa"/>
          </w:tcPr>
          <w:p w14:paraId="6B97F36F"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CSR Communication Groups</w:t>
            </w:r>
          </w:p>
        </w:tc>
        <w:tc>
          <w:tcPr>
            <w:tcW w:w="2996" w:type="dxa"/>
          </w:tcPr>
          <w:p w14:paraId="3F62D080"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Non-CSR Communication Groups </w:t>
            </w:r>
          </w:p>
        </w:tc>
      </w:tr>
      <w:tr w:rsidR="00890438" w:rsidRPr="0048342F" w14:paraId="023F2252" w14:textId="77777777" w:rsidTr="00D76461">
        <w:tc>
          <w:tcPr>
            <w:tcW w:w="1984" w:type="dxa"/>
            <w:vMerge w:val="restart"/>
          </w:tcPr>
          <w:p w14:paraId="1FC44B43" w14:textId="77777777" w:rsidR="00890438" w:rsidRPr="0048342F" w:rsidRDefault="00890438" w:rsidP="008D0DBB">
            <w:pPr>
              <w:adjustRightInd w:val="0"/>
              <w:rPr>
                <w:rFonts w:asciiTheme="majorBidi" w:hAnsiTheme="majorBidi" w:cstheme="majorBidi"/>
                <w:sz w:val="20"/>
                <w:szCs w:val="20"/>
              </w:rPr>
            </w:pPr>
          </w:p>
          <w:p w14:paraId="48880967" w14:textId="77777777" w:rsidR="00890438" w:rsidRPr="0048342F" w:rsidRDefault="00890438" w:rsidP="008D0DBB">
            <w:pPr>
              <w:adjustRightInd w:val="0"/>
              <w:rPr>
                <w:rFonts w:asciiTheme="majorBidi" w:hAnsiTheme="majorBidi" w:cstheme="majorBidi"/>
                <w:sz w:val="20"/>
                <w:szCs w:val="20"/>
              </w:rPr>
            </w:pPr>
          </w:p>
          <w:p w14:paraId="25DD99DF"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Direct Effects </w:t>
            </w:r>
          </w:p>
        </w:tc>
        <w:tc>
          <w:tcPr>
            <w:tcW w:w="3100" w:type="dxa"/>
          </w:tcPr>
          <w:p w14:paraId="4164D79A"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Ad Likeability </w:t>
            </w:r>
          </w:p>
        </w:tc>
        <w:tc>
          <w:tcPr>
            <w:tcW w:w="2996" w:type="dxa"/>
          </w:tcPr>
          <w:p w14:paraId="54B015BF"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Brand Likeability</w:t>
            </w:r>
          </w:p>
        </w:tc>
      </w:tr>
      <w:tr w:rsidR="00890438" w:rsidRPr="0048342F" w14:paraId="7CF36232" w14:textId="77777777" w:rsidTr="00D76461">
        <w:tc>
          <w:tcPr>
            <w:tcW w:w="1984" w:type="dxa"/>
            <w:vMerge/>
          </w:tcPr>
          <w:p w14:paraId="4B1466C6" w14:textId="77777777" w:rsidR="00890438" w:rsidRPr="0048342F" w:rsidRDefault="00890438" w:rsidP="008D0DBB">
            <w:pPr>
              <w:adjustRightInd w:val="0"/>
              <w:rPr>
                <w:rFonts w:asciiTheme="majorBidi" w:hAnsiTheme="majorBidi" w:cstheme="majorBidi"/>
                <w:sz w:val="20"/>
                <w:szCs w:val="20"/>
              </w:rPr>
            </w:pPr>
          </w:p>
        </w:tc>
        <w:tc>
          <w:tcPr>
            <w:tcW w:w="3100" w:type="dxa"/>
          </w:tcPr>
          <w:p w14:paraId="68B7A29B"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Brand Likeability </w:t>
            </w:r>
          </w:p>
        </w:tc>
        <w:tc>
          <w:tcPr>
            <w:tcW w:w="2996" w:type="dxa"/>
          </w:tcPr>
          <w:p w14:paraId="67E5FBA2" w14:textId="77777777" w:rsidR="00890438" w:rsidRPr="0048342F" w:rsidRDefault="00890438" w:rsidP="008D0DBB">
            <w:pPr>
              <w:adjustRightInd w:val="0"/>
              <w:rPr>
                <w:rFonts w:asciiTheme="majorBidi" w:hAnsiTheme="majorBidi" w:cstheme="majorBidi"/>
                <w:sz w:val="20"/>
                <w:szCs w:val="20"/>
              </w:rPr>
            </w:pPr>
          </w:p>
        </w:tc>
      </w:tr>
      <w:tr w:rsidR="00890438" w:rsidRPr="0048342F" w14:paraId="421ECB3C" w14:textId="77777777" w:rsidTr="00D76461">
        <w:tc>
          <w:tcPr>
            <w:tcW w:w="1984" w:type="dxa"/>
            <w:vMerge/>
          </w:tcPr>
          <w:p w14:paraId="200B0B08" w14:textId="77777777" w:rsidR="00890438" w:rsidRPr="0048342F" w:rsidRDefault="00890438" w:rsidP="008D0DBB">
            <w:pPr>
              <w:adjustRightInd w:val="0"/>
              <w:rPr>
                <w:rFonts w:asciiTheme="majorBidi" w:hAnsiTheme="majorBidi" w:cstheme="majorBidi"/>
                <w:sz w:val="20"/>
                <w:szCs w:val="20"/>
              </w:rPr>
            </w:pPr>
          </w:p>
        </w:tc>
        <w:tc>
          <w:tcPr>
            <w:tcW w:w="3100" w:type="dxa"/>
          </w:tcPr>
          <w:p w14:paraId="62B2F6EA"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Emotional Brand Attachment </w:t>
            </w:r>
          </w:p>
        </w:tc>
        <w:tc>
          <w:tcPr>
            <w:tcW w:w="2996" w:type="dxa"/>
          </w:tcPr>
          <w:p w14:paraId="06B75404" w14:textId="77777777" w:rsidR="00890438" w:rsidRPr="0048342F" w:rsidRDefault="00890438" w:rsidP="008D0DBB">
            <w:pPr>
              <w:adjustRightInd w:val="0"/>
              <w:rPr>
                <w:rFonts w:asciiTheme="majorBidi" w:hAnsiTheme="majorBidi" w:cstheme="majorBidi"/>
                <w:sz w:val="20"/>
                <w:szCs w:val="20"/>
              </w:rPr>
            </w:pPr>
          </w:p>
        </w:tc>
      </w:tr>
      <w:tr w:rsidR="00890438" w:rsidRPr="0048342F" w14:paraId="6E8CB2F5" w14:textId="77777777" w:rsidTr="00D76461">
        <w:tc>
          <w:tcPr>
            <w:tcW w:w="1984" w:type="dxa"/>
            <w:vMerge/>
          </w:tcPr>
          <w:p w14:paraId="326795F6" w14:textId="77777777" w:rsidR="00890438" w:rsidRPr="0048342F" w:rsidRDefault="00890438" w:rsidP="008D0DBB">
            <w:pPr>
              <w:adjustRightInd w:val="0"/>
              <w:rPr>
                <w:rFonts w:asciiTheme="majorBidi" w:hAnsiTheme="majorBidi" w:cstheme="majorBidi"/>
                <w:sz w:val="20"/>
                <w:szCs w:val="20"/>
              </w:rPr>
            </w:pPr>
          </w:p>
        </w:tc>
        <w:tc>
          <w:tcPr>
            <w:tcW w:w="3100" w:type="dxa"/>
          </w:tcPr>
          <w:p w14:paraId="4AF0DE0D"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Brand Trust </w:t>
            </w:r>
          </w:p>
        </w:tc>
        <w:tc>
          <w:tcPr>
            <w:tcW w:w="2996" w:type="dxa"/>
          </w:tcPr>
          <w:p w14:paraId="158370D7" w14:textId="77777777" w:rsidR="00890438" w:rsidRPr="0048342F" w:rsidRDefault="00890438" w:rsidP="008D0DBB">
            <w:pPr>
              <w:adjustRightInd w:val="0"/>
              <w:rPr>
                <w:rFonts w:asciiTheme="majorBidi" w:hAnsiTheme="majorBidi" w:cstheme="majorBidi"/>
                <w:sz w:val="20"/>
                <w:szCs w:val="20"/>
              </w:rPr>
            </w:pPr>
          </w:p>
        </w:tc>
      </w:tr>
      <w:tr w:rsidR="00890438" w:rsidRPr="0048342F" w14:paraId="196B9541" w14:textId="77777777" w:rsidTr="00D76461">
        <w:tc>
          <w:tcPr>
            <w:tcW w:w="1984" w:type="dxa"/>
            <w:vMerge/>
          </w:tcPr>
          <w:p w14:paraId="26BA4C74" w14:textId="77777777" w:rsidR="00890438" w:rsidRPr="0048342F" w:rsidRDefault="00890438" w:rsidP="008D0DBB">
            <w:pPr>
              <w:adjustRightInd w:val="0"/>
              <w:rPr>
                <w:rFonts w:asciiTheme="majorBidi" w:hAnsiTheme="majorBidi" w:cstheme="majorBidi"/>
                <w:sz w:val="20"/>
                <w:szCs w:val="20"/>
              </w:rPr>
            </w:pPr>
          </w:p>
        </w:tc>
        <w:tc>
          <w:tcPr>
            <w:tcW w:w="3100" w:type="dxa"/>
          </w:tcPr>
          <w:p w14:paraId="5413C3E6"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Purchase Intention </w:t>
            </w:r>
          </w:p>
        </w:tc>
        <w:tc>
          <w:tcPr>
            <w:tcW w:w="2996" w:type="dxa"/>
          </w:tcPr>
          <w:p w14:paraId="154F2C85" w14:textId="77777777" w:rsidR="00890438" w:rsidRPr="0048342F" w:rsidRDefault="00890438" w:rsidP="008D0DBB">
            <w:pPr>
              <w:adjustRightInd w:val="0"/>
              <w:rPr>
                <w:rFonts w:asciiTheme="majorBidi" w:hAnsiTheme="majorBidi" w:cstheme="majorBidi"/>
                <w:sz w:val="20"/>
                <w:szCs w:val="20"/>
              </w:rPr>
            </w:pPr>
          </w:p>
        </w:tc>
      </w:tr>
      <w:tr w:rsidR="00890438" w:rsidRPr="0048342F" w14:paraId="7B4E529A" w14:textId="77777777" w:rsidTr="00D76461">
        <w:tc>
          <w:tcPr>
            <w:tcW w:w="1984" w:type="dxa"/>
            <w:vMerge w:val="restart"/>
          </w:tcPr>
          <w:p w14:paraId="4F499529" w14:textId="77777777" w:rsidR="00890438" w:rsidRPr="0048342F" w:rsidRDefault="00890438" w:rsidP="008D0DBB">
            <w:pPr>
              <w:adjustRightInd w:val="0"/>
              <w:rPr>
                <w:rFonts w:asciiTheme="majorBidi" w:hAnsiTheme="majorBidi" w:cstheme="majorBidi"/>
                <w:sz w:val="20"/>
                <w:szCs w:val="20"/>
              </w:rPr>
            </w:pPr>
          </w:p>
          <w:p w14:paraId="54EC28B9"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Indirect Effects </w:t>
            </w:r>
          </w:p>
        </w:tc>
        <w:tc>
          <w:tcPr>
            <w:tcW w:w="3100" w:type="dxa"/>
          </w:tcPr>
          <w:p w14:paraId="02E33174"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Ad Likeability </w:t>
            </w:r>
          </w:p>
        </w:tc>
        <w:tc>
          <w:tcPr>
            <w:tcW w:w="2996" w:type="dxa"/>
          </w:tcPr>
          <w:p w14:paraId="60ECE65C"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Brand Likeability </w:t>
            </w:r>
          </w:p>
        </w:tc>
      </w:tr>
      <w:tr w:rsidR="00890438" w:rsidRPr="0048342F" w14:paraId="2983DCA2" w14:textId="77777777" w:rsidTr="00D76461">
        <w:tc>
          <w:tcPr>
            <w:tcW w:w="1984" w:type="dxa"/>
            <w:vMerge/>
          </w:tcPr>
          <w:p w14:paraId="06C3E678" w14:textId="77777777" w:rsidR="00890438" w:rsidRPr="0048342F" w:rsidRDefault="00890438" w:rsidP="008D0DBB">
            <w:pPr>
              <w:adjustRightInd w:val="0"/>
              <w:rPr>
                <w:rFonts w:asciiTheme="majorBidi" w:hAnsiTheme="majorBidi" w:cstheme="majorBidi"/>
                <w:sz w:val="20"/>
                <w:szCs w:val="20"/>
              </w:rPr>
            </w:pPr>
          </w:p>
        </w:tc>
        <w:tc>
          <w:tcPr>
            <w:tcW w:w="3100" w:type="dxa"/>
          </w:tcPr>
          <w:p w14:paraId="246D3B46"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Emotional Brand Attachment </w:t>
            </w:r>
          </w:p>
        </w:tc>
        <w:tc>
          <w:tcPr>
            <w:tcW w:w="2996" w:type="dxa"/>
          </w:tcPr>
          <w:p w14:paraId="0D87B051" w14:textId="77777777" w:rsidR="00890438" w:rsidRPr="0048342F" w:rsidRDefault="00890438" w:rsidP="008D0DBB">
            <w:pPr>
              <w:adjustRightInd w:val="0"/>
              <w:rPr>
                <w:rFonts w:asciiTheme="majorBidi" w:hAnsiTheme="majorBidi" w:cstheme="majorBidi"/>
                <w:sz w:val="20"/>
                <w:szCs w:val="20"/>
              </w:rPr>
            </w:pPr>
          </w:p>
        </w:tc>
      </w:tr>
      <w:tr w:rsidR="00890438" w:rsidRPr="0048342F" w14:paraId="04849B4D" w14:textId="77777777" w:rsidTr="00D76461">
        <w:tc>
          <w:tcPr>
            <w:tcW w:w="1984" w:type="dxa"/>
            <w:vMerge/>
          </w:tcPr>
          <w:p w14:paraId="42B3F816" w14:textId="77777777" w:rsidR="00890438" w:rsidRPr="0048342F" w:rsidRDefault="00890438" w:rsidP="008D0DBB">
            <w:pPr>
              <w:adjustRightInd w:val="0"/>
              <w:rPr>
                <w:rFonts w:asciiTheme="majorBidi" w:hAnsiTheme="majorBidi" w:cstheme="majorBidi"/>
                <w:sz w:val="20"/>
                <w:szCs w:val="20"/>
              </w:rPr>
            </w:pPr>
          </w:p>
        </w:tc>
        <w:tc>
          <w:tcPr>
            <w:tcW w:w="3100" w:type="dxa"/>
          </w:tcPr>
          <w:p w14:paraId="0D41378A" w14:textId="77777777" w:rsidR="00890438" w:rsidRPr="0048342F" w:rsidRDefault="00890438" w:rsidP="008D0DBB">
            <w:pPr>
              <w:adjustRightInd w:val="0"/>
              <w:rPr>
                <w:rFonts w:asciiTheme="majorBidi" w:hAnsiTheme="majorBidi" w:cstheme="majorBidi"/>
                <w:sz w:val="20"/>
                <w:szCs w:val="20"/>
              </w:rPr>
            </w:pPr>
            <w:r w:rsidRPr="0048342F">
              <w:rPr>
                <w:rFonts w:asciiTheme="majorBidi" w:hAnsiTheme="majorBidi" w:cstheme="majorBidi"/>
                <w:sz w:val="20"/>
                <w:szCs w:val="20"/>
              </w:rPr>
              <w:t xml:space="preserve">Brand Trust </w:t>
            </w:r>
          </w:p>
        </w:tc>
        <w:tc>
          <w:tcPr>
            <w:tcW w:w="2996" w:type="dxa"/>
          </w:tcPr>
          <w:p w14:paraId="19FC70EB" w14:textId="77777777" w:rsidR="00890438" w:rsidRPr="0048342F" w:rsidRDefault="00890438" w:rsidP="006A797D">
            <w:pPr>
              <w:keepNext/>
              <w:adjustRightInd w:val="0"/>
              <w:rPr>
                <w:rFonts w:asciiTheme="majorBidi" w:hAnsiTheme="majorBidi" w:cstheme="majorBidi"/>
                <w:sz w:val="20"/>
                <w:szCs w:val="20"/>
              </w:rPr>
            </w:pPr>
          </w:p>
        </w:tc>
      </w:tr>
    </w:tbl>
    <w:p w14:paraId="7155E229" w14:textId="71ED2902" w:rsidR="00721833" w:rsidRDefault="006A797D" w:rsidP="00721833">
      <w:pPr>
        <w:pStyle w:val="Caption"/>
        <w:spacing w:line="480" w:lineRule="auto"/>
      </w:pPr>
      <w:r>
        <w:t>Table 5</w:t>
      </w:r>
      <w:r w:rsidR="0048342F">
        <w:t>9</w:t>
      </w:r>
      <w:r>
        <w:t xml:space="preserve"> The impact of CSR perception on brand attitudes </w:t>
      </w:r>
    </w:p>
    <w:p w14:paraId="06D24073" w14:textId="752BEAF0" w:rsidR="00721833" w:rsidRPr="00D4440A" w:rsidRDefault="00F569A5" w:rsidP="0018290F">
      <w:pPr>
        <w:pStyle w:val="Caption"/>
        <w:spacing w:line="480" w:lineRule="auto"/>
        <w:ind w:firstLine="720"/>
        <w:rPr>
          <w:rFonts w:asciiTheme="majorBidi" w:hAnsiTheme="majorBidi" w:cstheme="majorBidi"/>
          <w:i w:val="0"/>
          <w:iCs w:val="0"/>
        </w:rPr>
      </w:pPr>
      <w:r>
        <w:rPr>
          <w:rFonts w:asciiTheme="majorBidi" w:eastAsia="Times New Roman" w:hAnsiTheme="majorBidi" w:cstheme="majorBidi"/>
          <w:i w:val="0"/>
          <w:iCs w:val="0"/>
          <w:sz w:val="24"/>
          <w:szCs w:val="24"/>
          <w:lang w:eastAsia="en-GB"/>
        </w:rPr>
        <w:t>Within the CSR group, f</w:t>
      </w:r>
      <w:r w:rsidR="00721833" w:rsidRPr="00D4440A">
        <w:rPr>
          <w:rFonts w:asciiTheme="majorBidi" w:eastAsia="Times New Roman" w:hAnsiTheme="majorBidi" w:cstheme="majorBidi"/>
          <w:i w:val="0"/>
          <w:iCs w:val="0"/>
          <w:sz w:val="24"/>
          <w:szCs w:val="24"/>
          <w:lang w:eastAsia="en-GB"/>
        </w:rPr>
        <w:t xml:space="preserve">igure 36 presents the degree in which high CSR perception of some respondents outperformed other respondents with low CSR perception in terms of the direct effects of CSR perception on brand attitudes and purchase intention. </w:t>
      </w:r>
      <w:r w:rsidR="0018290F">
        <w:rPr>
          <w:rFonts w:asciiTheme="majorBidi" w:eastAsia="Times New Roman" w:hAnsiTheme="majorBidi" w:cstheme="majorBidi"/>
          <w:i w:val="0"/>
          <w:iCs w:val="0"/>
          <w:sz w:val="24"/>
          <w:szCs w:val="24"/>
          <w:lang w:eastAsia="en-GB"/>
        </w:rPr>
        <w:t xml:space="preserve">After ad likeability, consumers with high CSR perception appear to have the strongest effect on emotional brand attachment which is stronger than consumers with low CSR perception. This was also evident in literature as the concept of congruence plays a positive role in emotional brand attachment </w:t>
      </w:r>
      <w:bookmarkStart w:id="234" w:name="_Hlk121247215"/>
      <w:sdt>
        <w:sdtPr>
          <w:rPr>
            <w:rFonts w:asciiTheme="majorBidi" w:eastAsia="Times New Roman" w:hAnsiTheme="majorBidi" w:cstheme="majorBidi"/>
            <w:i w:val="0"/>
            <w:iCs w:val="0"/>
            <w:sz w:val="22"/>
            <w:szCs w:val="22"/>
            <w:lang w:eastAsia="en-GB"/>
          </w:rPr>
          <w:id w:val="1169905840"/>
          <w:citation/>
        </w:sdtPr>
        <w:sdtContent>
          <w:r w:rsidR="0018290F" w:rsidRPr="0018290F">
            <w:rPr>
              <w:rFonts w:asciiTheme="majorBidi" w:eastAsia="Times New Roman" w:hAnsiTheme="majorBidi" w:cstheme="majorBidi"/>
              <w:i w:val="0"/>
              <w:iCs w:val="0"/>
              <w:sz w:val="22"/>
              <w:szCs w:val="22"/>
              <w:lang w:eastAsia="en-GB"/>
            </w:rPr>
            <w:fldChar w:fldCharType="begin"/>
          </w:r>
          <w:r w:rsidR="0018290F" w:rsidRPr="0018290F">
            <w:rPr>
              <w:rFonts w:asciiTheme="majorBidi" w:eastAsia="Times New Roman" w:hAnsiTheme="majorBidi" w:cstheme="majorBidi"/>
              <w:i w:val="0"/>
              <w:iCs w:val="0"/>
              <w:sz w:val="22"/>
              <w:szCs w:val="22"/>
              <w:lang w:eastAsia="en-GB"/>
            </w:rPr>
            <w:instrText xml:space="preserve"> CITATION Kla20 \l 2057 </w:instrText>
          </w:r>
          <w:r w:rsidR="0018290F" w:rsidRPr="0018290F">
            <w:rPr>
              <w:rFonts w:asciiTheme="majorBidi" w:eastAsia="Times New Roman" w:hAnsiTheme="majorBidi" w:cstheme="majorBidi"/>
              <w:i w:val="0"/>
              <w:iCs w:val="0"/>
              <w:sz w:val="22"/>
              <w:szCs w:val="22"/>
              <w:lang w:eastAsia="en-GB"/>
            </w:rPr>
            <w:fldChar w:fldCharType="separate"/>
          </w:r>
          <w:r w:rsidR="0018290F" w:rsidRPr="0018290F">
            <w:rPr>
              <w:rFonts w:asciiTheme="majorBidi" w:eastAsia="Times New Roman" w:hAnsiTheme="majorBidi" w:cstheme="majorBidi"/>
              <w:i w:val="0"/>
              <w:iCs w:val="0"/>
              <w:noProof/>
              <w:sz w:val="22"/>
              <w:szCs w:val="22"/>
              <w:lang w:eastAsia="en-GB"/>
            </w:rPr>
            <w:t>(Klabi, 2020)</w:t>
          </w:r>
          <w:r w:rsidR="0018290F" w:rsidRPr="0018290F">
            <w:rPr>
              <w:rFonts w:asciiTheme="majorBidi" w:eastAsia="Times New Roman" w:hAnsiTheme="majorBidi" w:cstheme="majorBidi"/>
              <w:i w:val="0"/>
              <w:iCs w:val="0"/>
              <w:sz w:val="22"/>
              <w:szCs w:val="22"/>
              <w:lang w:eastAsia="en-GB"/>
            </w:rPr>
            <w:fldChar w:fldCharType="end"/>
          </w:r>
        </w:sdtContent>
      </w:sdt>
      <w:bookmarkEnd w:id="234"/>
      <w:r w:rsidR="0018290F" w:rsidRPr="0018290F">
        <w:rPr>
          <w:rFonts w:asciiTheme="majorBidi" w:eastAsia="Times New Roman" w:hAnsiTheme="majorBidi" w:cstheme="majorBidi"/>
          <w:i w:val="0"/>
          <w:iCs w:val="0"/>
          <w:sz w:val="24"/>
          <w:szCs w:val="24"/>
          <w:lang w:eastAsia="en-GB"/>
        </w:rPr>
        <w:t xml:space="preserve">.  </w:t>
      </w:r>
    </w:p>
    <w:p w14:paraId="4AFF3180" w14:textId="77777777" w:rsidR="00721833" w:rsidRDefault="00721833" w:rsidP="00721833">
      <w:pPr>
        <w:keepNext/>
        <w:spacing w:after="0" w:line="240" w:lineRule="auto"/>
      </w:pPr>
      <w:r w:rsidRPr="00AC1BF9">
        <w:rPr>
          <w:rFonts w:ascii="Times New Roman" w:eastAsia="Times New Roman" w:hAnsi="Times New Roman" w:cs="Times New Roman"/>
          <w:noProof/>
          <w:kern w:val="0"/>
          <w:sz w:val="24"/>
          <w:szCs w:val="24"/>
          <w:lang w:eastAsia="en-GB"/>
          <w14:ligatures w14:val="none"/>
        </w:rPr>
        <w:drawing>
          <wp:inline distT="0" distB="0" distL="0" distR="0" wp14:anchorId="10D30CA2" wp14:editId="0B9855F5">
            <wp:extent cx="3373862" cy="2120534"/>
            <wp:effectExtent l="0" t="0" r="0" b="0"/>
            <wp:docPr id="119916874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68746" name="Picture 2" descr="A screenshot of a compute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15722" cy="2209695"/>
                    </a:xfrm>
                    <a:prstGeom prst="rect">
                      <a:avLst/>
                    </a:prstGeom>
                    <a:noFill/>
                    <a:ln>
                      <a:noFill/>
                    </a:ln>
                  </pic:spPr>
                </pic:pic>
              </a:graphicData>
            </a:graphic>
          </wp:inline>
        </w:drawing>
      </w:r>
    </w:p>
    <w:p w14:paraId="5B9A36B9" w14:textId="3DCC3837" w:rsidR="00A25F76" w:rsidRPr="002A387C" w:rsidRDefault="00721833" w:rsidP="00F569A5">
      <w:pPr>
        <w:pStyle w:val="Caption"/>
        <w:spacing w:line="480" w:lineRule="auto"/>
      </w:pPr>
      <w:r>
        <w:t>Figure 36 Congruity between high CSR perception and brand attitudes and purchase intention</w:t>
      </w:r>
      <w:r w:rsidR="002A387C">
        <w:rPr>
          <w:rFonts w:asciiTheme="majorBidi" w:hAnsiTheme="majorBidi" w:cstheme="majorBidi"/>
          <w:sz w:val="24"/>
          <w:szCs w:val="24"/>
        </w:rPr>
        <w:br/>
      </w:r>
      <w:r w:rsidR="00890438">
        <w:rPr>
          <w:rFonts w:asciiTheme="majorBidi" w:hAnsiTheme="majorBidi" w:cstheme="majorBidi"/>
          <w:sz w:val="24"/>
          <w:szCs w:val="24"/>
        </w:rPr>
        <w:tab/>
      </w:r>
      <w:r w:rsidR="00890438" w:rsidRPr="00D4440A">
        <w:rPr>
          <w:rFonts w:asciiTheme="majorBidi" w:hAnsiTheme="majorBidi" w:cstheme="majorBidi"/>
          <w:i w:val="0"/>
          <w:iCs w:val="0"/>
          <w:sz w:val="24"/>
          <w:szCs w:val="24"/>
        </w:rPr>
        <w:t>Additionally, the importance of CSR perception and its congruity with some respondents’ beliefs appeared in study two as well (section 7.</w:t>
      </w:r>
      <w:r w:rsidR="00F91D45">
        <w:rPr>
          <w:rFonts w:asciiTheme="majorBidi" w:hAnsiTheme="majorBidi" w:cstheme="majorBidi"/>
          <w:i w:val="0"/>
          <w:iCs w:val="0"/>
          <w:sz w:val="24"/>
          <w:szCs w:val="24"/>
        </w:rPr>
        <w:t>3</w:t>
      </w:r>
      <w:r w:rsidR="00890438" w:rsidRPr="00D4440A">
        <w:rPr>
          <w:rFonts w:asciiTheme="majorBidi" w:hAnsiTheme="majorBidi" w:cstheme="majorBidi"/>
          <w:i w:val="0"/>
          <w:iCs w:val="0"/>
          <w:sz w:val="24"/>
          <w:szCs w:val="24"/>
        </w:rPr>
        <w:t xml:space="preserve">.13). This was apparent as some </w:t>
      </w:r>
      <w:r w:rsidR="0002174E" w:rsidRPr="00D4440A">
        <w:rPr>
          <w:rFonts w:asciiTheme="majorBidi" w:hAnsiTheme="majorBidi" w:cstheme="majorBidi"/>
          <w:i w:val="0"/>
          <w:iCs w:val="0"/>
          <w:sz w:val="24"/>
          <w:szCs w:val="24"/>
        </w:rPr>
        <w:t>interviewees</w:t>
      </w:r>
      <w:r w:rsidR="00890438" w:rsidRPr="00D4440A">
        <w:rPr>
          <w:rFonts w:asciiTheme="majorBidi" w:hAnsiTheme="majorBidi" w:cstheme="majorBidi"/>
          <w:i w:val="0"/>
          <w:iCs w:val="0"/>
          <w:sz w:val="24"/>
          <w:szCs w:val="24"/>
        </w:rPr>
        <w:t xml:space="preserve"> explained how they perceived CSR as an important concept that made the company to be more appealing in general. These results confirm some of the findings in literature that showed that </w:t>
      </w:r>
      <w:r w:rsidR="008401B9" w:rsidRPr="00D4440A">
        <w:rPr>
          <w:rFonts w:asciiTheme="majorBidi" w:hAnsiTheme="majorBidi" w:cstheme="majorBidi"/>
          <w:i w:val="0"/>
          <w:iCs w:val="0"/>
          <w:sz w:val="24"/>
          <w:szCs w:val="24"/>
        </w:rPr>
        <w:t>congruity between the person’s and the brand’s values</w:t>
      </w:r>
      <w:r w:rsidR="00890438" w:rsidRPr="00D4440A">
        <w:rPr>
          <w:rFonts w:asciiTheme="majorBidi" w:hAnsiTheme="majorBidi" w:cstheme="majorBidi"/>
          <w:i w:val="0"/>
          <w:iCs w:val="0"/>
          <w:sz w:val="24"/>
          <w:szCs w:val="24"/>
        </w:rPr>
        <w:t xml:space="preserve"> positively influences consumers’ choices </w:t>
      </w:r>
      <w:sdt>
        <w:sdtPr>
          <w:rPr>
            <w:rFonts w:asciiTheme="majorBidi" w:hAnsiTheme="majorBidi" w:cstheme="majorBidi"/>
            <w:i w:val="0"/>
            <w:iCs w:val="0"/>
            <w:sz w:val="24"/>
            <w:szCs w:val="24"/>
          </w:rPr>
          <w:id w:val="-867914347"/>
          <w:citation/>
        </w:sdtPr>
        <w:sdtContent>
          <w:r w:rsidR="00890438" w:rsidRPr="00D4440A">
            <w:rPr>
              <w:rFonts w:asciiTheme="majorBidi" w:hAnsiTheme="majorBidi" w:cstheme="majorBidi"/>
              <w:i w:val="0"/>
              <w:iCs w:val="0"/>
              <w:sz w:val="24"/>
              <w:szCs w:val="24"/>
            </w:rPr>
            <w:fldChar w:fldCharType="begin"/>
          </w:r>
          <w:r w:rsidR="00890438" w:rsidRPr="00D4440A">
            <w:rPr>
              <w:rFonts w:asciiTheme="majorBidi" w:hAnsiTheme="majorBidi" w:cstheme="majorBidi"/>
              <w:i w:val="0"/>
              <w:iCs w:val="0"/>
              <w:sz w:val="24"/>
              <w:szCs w:val="24"/>
            </w:rPr>
            <w:instrText xml:space="preserve"> CITATION Das15 \l 2057 </w:instrText>
          </w:r>
          <w:r w:rsidR="00890438" w:rsidRPr="00D4440A">
            <w:rPr>
              <w:rFonts w:asciiTheme="majorBidi" w:hAnsiTheme="majorBidi" w:cstheme="majorBidi"/>
              <w:i w:val="0"/>
              <w:iCs w:val="0"/>
              <w:sz w:val="24"/>
              <w:szCs w:val="24"/>
            </w:rPr>
            <w:fldChar w:fldCharType="separate"/>
          </w:r>
          <w:r w:rsidR="00890438" w:rsidRPr="00D4440A">
            <w:rPr>
              <w:rFonts w:asciiTheme="majorBidi" w:hAnsiTheme="majorBidi" w:cstheme="majorBidi"/>
              <w:i w:val="0"/>
              <w:iCs w:val="0"/>
              <w:noProof/>
              <w:sz w:val="24"/>
              <w:szCs w:val="24"/>
            </w:rPr>
            <w:t>(Das, 2015)</w:t>
          </w:r>
          <w:r w:rsidR="00890438" w:rsidRPr="00D4440A">
            <w:rPr>
              <w:rFonts w:asciiTheme="majorBidi" w:hAnsiTheme="majorBidi" w:cstheme="majorBidi"/>
              <w:i w:val="0"/>
              <w:iCs w:val="0"/>
              <w:sz w:val="24"/>
              <w:szCs w:val="24"/>
            </w:rPr>
            <w:fldChar w:fldCharType="end"/>
          </w:r>
        </w:sdtContent>
      </w:sdt>
      <w:r w:rsidR="00890438" w:rsidRPr="00D4440A">
        <w:rPr>
          <w:rFonts w:asciiTheme="majorBidi" w:hAnsiTheme="majorBidi" w:cstheme="majorBidi"/>
          <w:i w:val="0"/>
          <w:iCs w:val="0"/>
          <w:sz w:val="24"/>
          <w:szCs w:val="24"/>
        </w:rPr>
        <w:t>, perceived quality of the brand</w:t>
      </w:r>
      <w:sdt>
        <w:sdtPr>
          <w:rPr>
            <w:rFonts w:asciiTheme="majorBidi" w:hAnsiTheme="majorBidi" w:cstheme="majorBidi"/>
            <w:i w:val="0"/>
            <w:iCs w:val="0"/>
            <w:sz w:val="24"/>
            <w:szCs w:val="24"/>
          </w:rPr>
          <w:id w:val="-2085597388"/>
          <w:citation/>
        </w:sdtPr>
        <w:sdtContent>
          <w:r w:rsidR="00890438" w:rsidRPr="00D4440A">
            <w:rPr>
              <w:rFonts w:asciiTheme="majorBidi" w:hAnsiTheme="majorBidi" w:cstheme="majorBidi"/>
              <w:i w:val="0"/>
              <w:iCs w:val="0"/>
              <w:sz w:val="24"/>
              <w:szCs w:val="24"/>
            </w:rPr>
            <w:fldChar w:fldCharType="begin"/>
          </w:r>
          <w:r w:rsidR="00890438" w:rsidRPr="00D4440A">
            <w:rPr>
              <w:rFonts w:asciiTheme="majorBidi" w:hAnsiTheme="majorBidi" w:cstheme="majorBidi"/>
              <w:i w:val="0"/>
              <w:iCs w:val="0"/>
              <w:sz w:val="24"/>
              <w:szCs w:val="24"/>
            </w:rPr>
            <w:instrText xml:space="preserve"> CITATION Kwa09 \l 2057 </w:instrText>
          </w:r>
          <w:r w:rsidR="00890438" w:rsidRPr="00D4440A">
            <w:rPr>
              <w:rFonts w:asciiTheme="majorBidi" w:hAnsiTheme="majorBidi" w:cstheme="majorBidi"/>
              <w:i w:val="0"/>
              <w:iCs w:val="0"/>
              <w:sz w:val="24"/>
              <w:szCs w:val="24"/>
            </w:rPr>
            <w:fldChar w:fldCharType="separate"/>
          </w:r>
          <w:r w:rsidR="00890438" w:rsidRPr="00D4440A">
            <w:rPr>
              <w:rFonts w:asciiTheme="majorBidi" w:hAnsiTheme="majorBidi" w:cstheme="majorBidi"/>
              <w:i w:val="0"/>
              <w:iCs w:val="0"/>
              <w:noProof/>
              <w:sz w:val="24"/>
              <w:szCs w:val="24"/>
            </w:rPr>
            <w:t xml:space="preserve"> (Kwak &amp; Kang, 2009)</w:t>
          </w:r>
          <w:r w:rsidR="00890438" w:rsidRPr="00D4440A">
            <w:rPr>
              <w:rFonts w:asciiTheme="majorBidi" w:hAnsiTheme="majorBidi" w:cstheme="majorBidi"/>
              <w:i w:val="0"/>
              <w:iCs w:val="0"/>
              <w:sz w:val="24"/>
              <w:szCs w:val="24"/>
            </w:rPr>
            <w:fldChar w:fldCharType="end"/>
          </w:r>
        </w:sdtContent>
      </w:sdt>
      <w:r w:rsidR="00890438" w:rsidRPr="00D4440A">
        <w:rPr>
          <w:rFonts w:asciiTheme="majorBidi" w:hAnsiTheme="majorBidi" w:cstheme="majorBidi"/>
          <w:i w:val="0"/>
          <w:iCs w:val="0"/>
          <w:sz w:val="24"/>
          <w:szCs w:val="24"/>
        </w:rPr>
        <w:t>, conspicuous consumption</w:t>
      </w:r>
      <w:sdt>
        <w:sdtPr>
          <w:rPr>
            <w:rFonts w:asciiTheme="majorBidi" w:hAnsiTheme="majorBidi" w:cstheme="majorBidi"/>
            <w:i w:val="0"/>
            <w:iCs w:val="0"/>
            <w:sz w:val="24"/>
            <w:szCs w:val="24"/>
          </w:rPr>
          <w:id w:val="-539351705"/>
          <w:citation/>
        </w:sdtPr>
        <w:sdtContent>
          <w:r w:rsidR="00890438" w:rsidRPr="00D4440A">
            <w:rPr>
              <w:rFonts w:asciiTheme="majorBidi" w:hAnsiTheme="majorBidi" w:cstheme="majorBidi"/>
              <w:i w:val="0"/>
              <w:iCs w:val="0"/>
              <w:sz w:val="24"/>
              <w:szCs w:val="24"/>
            </w:rPr>
            <w:fldChar w:fldCharType="begin"/>
          </w:r>
          <w:r w:rsidR="00890438" w:rsidRPr="00D4440A">
            <w:rPr>
              <w:rFonts w:asciiTheme="majorBidi" w:hAnsiTheme="majorBidi" w:cstheme="majorBidi"/>
              <w:i w:val="0"/>
              <w:iCs w:val="0"/>
              <w:sz w:val="24"/>
              <w:szCs w:val="24"/>
            </w:rPr>
            <w:instrText xml:space="preserve"> CITATION Top18 \l 2057  \m Wid18</w:instrText>
          </w:r>
          <w:r w:rsidR="00890438" w:rsidRPr="00D4440A">
            <w:rPr>
              <w:rFonts w:asciiTheme="majorBidi" w:hAnsiTheme="majorBidi" w:cstheme="majorBidi"/>
              <w:i w:val="0"/>
              <w:iCs w:val="0"/>
              <w:sz w:val="24"/>
              <w:szCs w:val="24"/>
            </w:rPr>
            <w:fldChar w:fldCharType="separate"/>
          </w:r>
          <w:r w:rsidR="00890438" w:rsidRPr="00D4440A">
            <w:rPr>
              <w:rFonts w:asciiTheme="majorBidi" w:hAnsiTheme="majorBidi" w:cstheme="majorBidi"/>
              <w:i w:val="0"/>
              <w:iCs w:val="0"/>
              <w:noProof/>
              <w:sz w:val="24"/>
              <w:szCs w:val="24"/>
            </w:rPr>
            <w:t xml:space="preserve"> (Topçu, 2018; Widjajanta , Senen, Masharyono, Lisnawati , &amp; Anggraeni, 2018)</w:t>
          </w:r>
          <w:r w:rsidR="00890438" w:rsidRPr="00D4440A">
            <w:rPr>
              <w:rFonts w:asciiTheme="majorBidi" w:hAnsiTheme="majorBidi" w:cstheme="majorBidi"/>
              <w:i w:val="0"/>
              <w:iCs w:val="0"/>
              <w:sz w:val="24"/>
              <w:szCs w:val="24"/>
            </w:rPr>
            <w:fldChar w:fldCharType="end"/>
          </w:r>
        </w:sdtContent>
      </w:sdt>
      <w:r w:rsidR="00890438" w:rsidRPr="00D4440A">
        <w:rPr>
          <w:rFonts w:asciiTheme="majorBidi" w:hAnsiTheme="majorBidi" w:cstheme="majorBidi"/>
          <w:i w:val="0"/>
          <w:iCs w:val="0"/>
          <w:sz w:val="24"/>
          <w:szCs w:val="24"/>
        </w:rPr>
        <w:t xml:space="preserve"> and purchase intention </w:t>
      </w:r>
      <w:sdt>
        <w:sdtPr>
          <w:rPr>
            <w:rFonts w:asciiTheme="majorBidi" w:hAnsiTheme="majorBidi" w:cstheme="majorBidi"/>
            <w:i w:val="0"/>
            <w:iCs w:val="0"/>
            <w:sz w:val="24"/>
            <w:szCs w:val="24"/>
          </w:rPr>
          <w:id w:val="1067151051"/>
          <w:citation/>
        </w:sdtPr>
        <w:sdtContent>
          <w:r w:rsidR="00890438" w:rsidRPr="00D4440A">
            <w:rPr>
              <w:rFonts w:asciiTheme="majorBidi" w:hAnsiTheme="majorBidi" w:cstheme="majorBidi"/>
              <w:i w:val="0"/>
              <w:iCs w:val="0"/>
              <w:sz w:val="24"/>
              <w:szCs w:val="24"/>
            </w:rPr>
            <w:fldChar w:fldCharType="begin"/>
          </w:r>
          <w:r w:rsidR="00890438" w:rsidRPr="00D4440A">
            <w:rPr>
              <w:rFonts w:asciiTheme="majorBidi" w:hAnsiTheme="majorBidi" w:cstheme="majorBidi"/>
              <w:i w:val="0"/>
              <w:iCs w:val="0"/>
              <w:sz w:val="24"/>
              <w:szCs w:val="24"/>
            </w:rPr>
            <w:instrText xml:space="preserve"> CITATION Ngu20 \l 2057 </w:instrText>
          </w:r>
          <w:r w:rsidR="00890438" w:rsidRPr="00D4440A">
            <w:rPr>
              <w:rFonts w:asciiTheme="majorBidi" w:hAnsiTheme="majorBidi" w:cstheme="majorBidi"/>
              <w:i w:val="0"/>
              <w:iCs w:val="0"/>
              <w:sz w:val="24"/>
              <w:szCs w:val="24"/>
            </w:rPr>
            <w:fldChar w:fldCharType="separate"/>
          </w:r>
          <w:r w:rsidR="00890438" w:rsidRPr="00D4440A">
            <w:rPr>
              <w:rFonts w:asciiTheme="majorBidi" w:hAnsiTheme="majorBidi" w:cstheme="majorBidi"/>
              <w:i w:val="0"/>
              <w:iCs w:val="0"/>
              <w:noProof/>
              <w:sz w:val="24"/>
              <w:szCs w:val="24"/>
            </w:rPr>
            <w:t>(Nguyen &amp; Nguyen, 2020)</w:t>
          </w:r>
          <w:r w:rsidR="00890438" w:rsidRPr="00D4440A">
            <w:rPr>
              <w:rFonts w:asciiTheme="majorBidi" w:hAnsiTheme="majorBidi" w:cstheme="majorBidi"/>
              <w:i w:val="0"/>
              <w:iCs w:val="0"/>
              <w:sz w:val="24"/>
              <w:szCs w:val="24"/>
            </w:rPr>
            <w:fldChar w:fldCharType="end"/>
          </w:r>
        </w:sdtContent>
      </w:sdt>
      <w:r w:rsidR="00890438" w:rsidRPr="00D4440A">
        <w:rPr>
          <w:rFonts w:asciiTheme="majorBidi" w:hAnsiTheme="majorBidi" w:cstheme="majorBidi"/>
          <w:i w:val="0"/>
          <w:iCs w:val="0"/>
          <w:sz w:val="24"/>
          <w:szCs w:val="24"/>
        </w:rPr>
        <w:t xml:space="preserve">. The investigation of the qualitative data showed that one respondent implied that there is a congruence between his patriotic believes and the concept that the brand is supporting the country with a good cause. </w:t>
      </w:r>
      <w:bookmarkStart w:id="235" w:name="_Hlk137394193"/>
      <w:r w:rsidR="00890438" w:rsidRPr="00D4440A">
        <w:rPr>
          <w:rFonts w:asciiTheme="majorBidi" w:hAnsiTheme="majorBidi" w:cstheme="majorBidi"/>
          <w:i w:val="0"/>
          <w:iCs w:val="0"/>
          <w:sz w:val="24"/>
          <w:szCs w:val="24"/>
        </w:rPr>
        <w:t xml:space="preserve">Even though this finding came from a single respondent, it opens an opportunity for future research to </w:t>
      </w:r>
      <w:r w:rsidR="0002174E" w:rsidRPr="00D4440A">
        <w:rPr>
          <w:rFonts w:asciiTheme="majorBidi" w:hAnsiTheme="majorBidi" w:cstheme="majorBidi"/>
          <w:i w:val="0"/>
          <w:iCs w:val="0"/>
          <w:sz w:val="24"/>
          <w:szCs w:val="24"/>
        </w:rPr>
        <w:t xml:space="preserve">further </w:t>
      </w:r>
      <w:r w:rsidR="00890438" w:rsidRPr="00D4440A">
        <w:rPr>
          <w:rFonts w:asciiTheme="majorBidi" w:hAnsiTheme="majorBidi" w:cstheme="majorBidi"/>
          <w:i w:val="0"/>
          <w:iCs w:val="0"/>
          <w:sz w:val="24"/>
          <w:szCs w:val="24"/>
        </w:rPr>
        <w:t xml:space="preserve">investigate this concept. </w:t>
      </w:r>
      <w:r w:rsidR="00890438" w:rsidRPr="00D4440A">
        <w:rPr>
          <w:rFonts w:asciiTheme="majorBidi" w:eastAsia="Times New Roman" w:hAnsiTheme="majorBidi" w:cstheme="majorBidi"/>
          <w:i w:val="0"/>
          <w:iCs w:val="0"/>
          <w:sz w:val="24"/>
          <w:szCs w:val="24"/>
          <w:lang w:eastAsia="en-GB"/>
        </w:rPr>
        <w:t xml:space="preserve">In addition, it was identified in the literature review in chapter </w:t>
      </w:r>
      <w:r w:rsidR="007B5968">
        <w:rPr>
          <w:rFonts w:asciiTheme="majorBidi" w:eastAsia="Times New Roman" w:hAnsiTheme="majorBidi" w:cstheme="majorBidi"/>
          <w:i w:val="0"/>
          <w:iCs w:val="0"/>
          <w:sz w:val="24"/>
          <w:szCs w:val="24"/>
          <w:lang w:eastAsia="en-GB"/>
        </w:rPr>
        <w:t>two</w:t>
      </w:r>
      <w:r w:rsidR="00890438" w:rsidRPr="00D4440A">
        <w:rPr>
          <w:rFonts w:asciiTheme="majorBidi" w:eastAsia="Times New Roman" w:hAnsiTheme="majorBidi" w:cstheme="majorBidi"/>
          <w:i w:val="0"/>
          <w:iCs w:val="0"/>
          <w:sz w:val="24"/>
          <w:szCs w:val="24"/>
          <w:lang w:eastAsia="en-GB"/>
        </w:rPr>
        <w:t xml:space="preserve">, </w:t>
      </w:r>
      <w:r w:rsidR="00890438" w:rsidRPr="00D4440A">
        <w:rPr>
          <w:rFonts w:asciiTheme="majorBidi" w:hAnsiTheme="majorBidi" w:cstheme="majorBidi"/>
          <w:i w:val="0"/>
          <w:iCs w:val="0"/>
          <w:sz w:val="24"/>
          <w:szCs w:val="24"/>
        </w:rPr>
        <w:t>that the collective or individualist nature of the society has a congruent effect of the individual’s preference and impulsive buying behaviour</w:t>
      </w:r>
      <w:sdt>
        <w:sdtPr>
          <w:rPr>
            <w:rFonts w:asciiTheme="majorBidi" w:hAnsiTheme="majorBidi" w:cstheme="majorBidi"/>
            <w:i w:val="0"/>
            <w:iCs w:val="0"/>
            <w:sz w:val="24"/>
            <w:szCs w:val="24"/>
          </w:rPr>
          <w:id w:val="-1146731139"/>
          <w:citation/>
        </w:sdtPr>
        <w:sdtContent>
          <w:r w:rsidR="00890438" w:rsidRPr="00D4440A">
            <w:rPr>
              <w:rFonts w:asciiTheme="majorBidi" w:hAnsiTheme="majorBidi" w:cstheme="majorBidi"/>
              <w:i w:val="0"/>
              <w:iCs w:val="0"/>
              <w:sz w:val="24"/>
              <w:szCs w:val="24"/>
            </w:rPr>
            <w:fldChar w:fldCharType="begin"/>
          </w:r>
          <w:r w:rsidR="00890438" w:rsidRPr="00D4440A">
            <w:rPr>
              <w:rFonts w:asciiTheme="majorBidi" w:hAnsiTheme="majorBidi" w:cstheme="majorBidi"/>
              <w:i w:val="0"/>
              <w:iCs w:val="0"/>
              <w:sz w:val="24"/>
              <w:szCs w:val="24"/>
            </w:rPr>
            <w:instrText xml:space="preserve">CITATION Cza20 \t  \l 2057 </w:instrText>
          </w:r>
          <w:r w:rsidR="00890438" w:rsidRPr="00D4440A">
            <w:rPr>
              <w:rFonts w:asciiTheme="majorBidi" w:hAnsiTheme="majorBidi" w:cstheme="majorBidi"/>
              <w:i w:val="0"/>
              <w:iCs w:val="0"/>
              <w:sz w:val="24"/>
              <w:szCs w:val="24"/>
            </w:rPr>
            <w:fldChar w:fldCharType="separate"/>
          </w:r>
          <w:r w:rsidR="00890438" w:rsidRPr="00D4440A">
            <w:rPr>
              <w:rFonts w:asciiTheme="majorBidi" w:hAnsiTheme="majorBidi" w:cstheme="majorBidi"/>
              <w:i w:val="0"/>
              <w:iCs w:val="0"/>
              <w:noProof/>
              <w:sz w:val="24"/>
              <w:szCs w:val="24"/>
            </w:rPr>
            <w:t xml:space="preserve"> (Czarnecka, Schivinski, &amp; Keles, 2020)</w:t>
          </w:r>
          <w:r w:rsidR="00890438" w:rsidRPr="00D4440A">
            <w:rPr>
              <w:rFonts w:asciiTheme="majorBidi" w:hAnsiTheme="majorBidi" w:cstheme="majorBidi"/>
              <w:i w:val="0"/>
              <w:iCs w:val="0"/>
              <w:sz w:val="24"/>
              <w:szCs w:val="24"/>
            </w:rPr>
            <w:fldChar w:fldCharType="end"/>
          </w:r>
        </w:sdtContent>
      </w:sdt>
      <w:r w:rsidR="00890438" w:rsidRPr="00D4440A">
        <w:rPr>
          <w:rFonts w:asciiTheme="majorBidi" w:hAnsiTheme="majorBidi" w:cstheme="majorBidi"/>
          <w:i w:val="0"/>
          <w:iCs w:val="0"/>
          <w:sz w:val="24"/>
          <w:szCs w:val="24"/>
        </w:rPr>
        <w:t>.</w:t>
      </w:r>
      <w:r w:rsidR="00890438" w:rsidRPr="00D4440A">
        <w:rPr>
          <w:rFonts w:asciiTheme="majorBidi" w:hAnsiTheme="majorBidi" w:cstheme="majorBidi"/>
          <w:b/>
          <w:bCs/>
          <w:i w:val="0"/>
          <w:iCs w:val="0"/>
          <w:sz w:val="24"/>
          <w:szCs w:val="24"/>
        </w:rPr>
        <w:t xml:space="preserve"> </w:t>
      </w:r>
      <w:bookmarkEnd w:id="225"/>
      <w:bookmarkEnd w:id="235"/>
    </w:p>
    <w:p w14:paraId="724BF4F1" w14:textId="211BCED7" w:rsidR="00890438" w:rsidRDefault="00890438" w:rsidP="00890438">
      <w:pPr>
        <w:adjustRightInd w:val="0"/>
        <w:spacing w:after="0" w:line="480" w:lineRule="auto"/>
        <w:rPr>
          <w:rFonts w:ascii="Times New Roman" w:hAnsi="Times New Roman" w:cs="Times New Roman"/>
          <w:b/>
          <w:bCs/>
          <w:sz w:val="24"/>
          <w:szCs w:val="24"/>
        </w:rPr>
      </w:pPr>
      <w:bookmarkStart w:id="236" w:name="_Hlk152538832"/>
      <w:bookmarkEnd w:id="224"/>
      <w:r w:rsidRPr="00CD5250">
        <w:rPr>
          <w:rFonts w:ascii="Times New Roman" w:hAnsi="Times New Roman" w:cs="Times New Roman"/>
          <w:b/>
          <w:bCs/>
          <w:sz w:val="24"/>
          <w:szCs w:val="24"/>
        </w:rPr>
        <w:t>8.</w:t>
      </w:r>
      <w:r w:rsidR="00A133C6" w:rsidRPr="00CD5250">
        <w:rPr>
          <w:rFonts w:ascii="Times New Roman" w:hAnsi="Times New Roman" w:cs="Times New Roman"/>
          <w:b/>
          <w:bCs/>
          <w:sz w:val="24"/>
          <w:szCs w:val="24"/>
        </w:rPr>
        <w:t>2</w:t>
      </w:r>
      <w:r w:rsidRPr="00CD5250">
        <w:rPr>
          <w:rFonts w:ascii="Times New Roman" w:hAnsi="Times New Roman" w:cs="Times New Roman"/>
          <w:b/>
          <w:bCs/>
          <w:sz w:val="24"/>
          <w:szCs w:val="24"/>
        </w:rPr>
        <w:t xml:space="preserve"> Main findings</w:t>
      </w:r>
    </w:p>
    <w:p w14:paraId="6700A73A" w14:textId="06414D5D" w:rsidR="00890438"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Pr="000B5BA0">
        <w:rPr>
          <w:rFonts w:ascii="Times New Roman" w:hAnsi="Times New Roman" w:cs="Times New Roman"/>
          <w:sz w:val="24"/>
          <w:szCs w:val="24"/>
        </w:rPr>
        <w:t xml:space="preserve">The </w:t>
      </w:r>
      <w:r>
        <w:rPr>
          <w:rFonts w:ascii="Times New Roman" w:hAnsi="Times New Roman" w:cs="Times New Roman"/>
          <w:sz w:val="24"/>
          <w:szCs w:val="24"/>
        </w:rPr>
        <w:t>upcoming</w:t>
      </w:r>
      <w:r w:rsidRPr="000B5BA0">
        <w:rPr>
          <w:rFonts w:ascii="Times New Roman" w:hAnsi="Times New Roman" w:cs="Times New Roman"/>
          <w:sz w:val="24"/>
          <w:szCs w:val="24"/>
        </w:rPr>
        <w:t xml:space="preserve"> </w:t>
      </w:r>
      <w:r>
        <w:rPr>
          <w:rFonts w:ascii="Times New Roman" w:hAnsi="Times New Roman" w:cs="Times New Roman"/>
          <w:sz w:val="24"/>
          <w:szCs w:val="24"/>
        </w:rPr>
        <w:t>sections</w:t>
      </w:r>
      <w:r w:rsidRPr="000B5BA0">
        <w:rPr>
          <w:rFonts w:ascii="Times New Roman" w:hAnsi="Times New Roman" w:cs="Times New Roman"/>
          <w:sz w:val="24"/>
          <w:szCs w:val="24"/>
        </w:rPr>
        <w:t xml:space="preserve"> </w:t>
      </w:r>
      <w:r w:rsidR="00F569A5">
        <w:rPr>
          <w:rFonts w:ascii="Times New Roman" w:hAnsi="Times New Roman" w:cs="Times New Roman"/>
          <w:sz w:val="24"/>
          <w:szCs w:val="24"/>
        </w:rPr>
        <w:t>discusses</w:t>
      </w:r>
      <w:r w:rsidRPr="000B5BA0">
        <w:rPr>
          <w:rFonts w:ascii="Times New Roman" w:hAnsi="Times New Roman" w:cs="Times New Roman"/>
          <w:sz w:val="24"/>
          <w:szCs w:val="24"/>
        </w:rPr>
        <w:t xml:space="preserve"> the results of every variable that was </w:t>
      </w:r>
      <w:r w:rsidR="00F569A5">
        <w:rPr>
          <w:rFonts w:ascii="Times New Roman" w:hAnsi="Times New Roman" w:cs="Times New Roman"/>
          <w:sz w:val="24"/>
          <w:szCs w:val="24"/>
        </w:rPr>
        <w:t xml:space="preserve">examined </w:t>
      </w:r>
      <w:r w:rsidRPr="000B5BA0">
        <w:rPr>
          <w:rFonts w:ascii="Times New Roman" w:hAnsi="Times New Roman" w:cs="Times New Roman"/>
          <w:sz w:val="24"/>
          <w:szCs w:val="24"/>
        </w:rPr>
        <w:t>in study one and two. The discussion also reflect</w:t>
      </w:r>
      <w:r w:rsidR="00F569A5">
        <w:rPr>
          <w:rFonts w:ascii="Times New Roman" w:hAnsi="Times New Roman" w:cs="Times New Roman"/>
          <w:sz w:val="24"/>
          <w:szCs w:val="24"/>
        </w:rPr>
        <w:t>s</w:t>
      </w:r>
      <w:r w:rsidRPr="000B5BA0">
        <w:rPr>
          <w:rFonts w:ascii="Times New Roman" w:hAnsi="Times New Roman" w:cs="Times New Roman"/>
          <w:sz w:val="24"/>
          <w:szCs w:val="24"/>
        </w:rPr>
        <w:t xml:space="preserve"> on literature and the theoretical frameworks whenever necessary. </w:t>
      </w:r>
      <w:r>
        <w:rPr>
          <w:rFonts w:ascii="Times New Roman" w:hAnsi="Times New Roman" w:cs="Times New Roman"/>
          <w:sz w:val="24"/>
          <w:szCs w:val="24"/>
        </w:rPr>
        <w:t xml:space="preserve">Since the main goal of this study is to compare the </w:t>
      </w:r>
      <w:r w:rsidR="007438F3">
        <w:rPr>
          <w:rFonts w:ascii="Times New Roman" w:hAnsi="Times New Roman" w:cs="Times New Roman"/>
          <w:sz w:val="24"/>
          <w:szCs w:val="24"/>
        </w:rPr>
        <w:t>impact</w:t>
      </w:r>
      <w:r>
        <w:rPr>
          <w:rFonts w:ascii="Times New Roman" w:hAnsi="Times New Roman" w:cs="Times New Roman"/>
          <w:sz w:val="24"/>
          <w:szCs w:val="24"/>
        </w:rPr>
        <w:t xml:space="preserve"> of CSR against non-CSR communication </w:t>
      </w:r>
      <w:r w:rsidR="00F569A5">
        <w:rPr>
          <w:rFonts w:ascii="Times New Roman" w:hAnsi="Times New Roman" w:cs="Times New Roman"/>
          <w:sz w:val="24"/>
          <w:szCs w:val="24"/>
        </w:rPr>
        <w:t>communicated on</w:t>
      </w:r>
      <w:r>
        <w:rPr>
          <w:rFonts w:ascii="Times New Roman" w:hAnsi="Times New Roman" w:cs="Times New Roman"/>
          <w:sz w:val="24"/>
          <w:szCs w:val="24"/>
        </w:rPr>
        <w:t xml:space="preserve"> </w:t>
      </w:r>
      <w:r w:rsidR="00935FBD">
        <w:rPr>
          <w:rFonts w:ascii="Times New Roman" w:hAnsi="Times New Roman" w:cs="Times New Roman"/>
          <w:sz w:val="24"/>
          <w:szCs w:val="24"/>
        </w:rPr>
        <w:t>t</w:t>
      </w:r>
      <w:r>
        <w:rPr>
          <w:rFonts w:ascii="Times New Roman" w:hAnsi="Times New Roman" w:cs="Times New Roman"/>
          <w:sz w:val="24"/>
          <w:szCs w:val="24"/>
        </w:rPr>
        <w:t xml:space="preserve">elevision against social media in Egypt, it is necessary to </w:t>
      </w:r>
      <w:r w:rsidR="00CD5250">
        <w:rPr>
          <w:rFonts w:ascii="Times New Roman" w:hAnsi="Times New Roman" w:cs="Times New Roman"/>
          <w:sz w:val="24"/>
          <w:szCs w:val="24"/>
        </w:rPr>
        <w:t>mention</w:t>
      </w:r>
      <w:r>
        <w:rPr>
          <w:rFonts w:ascii="Times New Roman" w:hAnsi="Times New Roman" w:cs="Times New Roman"/>
          <w:sz w:val="24"/>
          <w:szCs w:val="24"/>
        </w:rPr>
        <w:t xml:space="preserve"> that CSR</w:t>
      </w:r>
      <w:r w:rsidR="00CD5250">
        <w:rPr>
          <w:rFonts w:ascii="Times New Roman" w:hAnsi="Times New Roman" w:cs="Times New Roman"/>
          <w:sz w:val="24"/>
          <w:szCs w:val="24"/>
        </w:rPr>
        <w:t xml:space="preserve"> communication</w:t>
      </w:r>
      <w:r>
        <w:rPr>
          <w:rFonts w:ascii="Times New Roman" w:hAnsi="Times New Roman" w:cs="Times New Roman"/>
          <w:sz w:val="24"/>
          <w:szCs w:val="24"/>
        </w:rPr>
        <w:t xml:space="preserve"> had a stronger effect on brand attitudes</w:t>
      </w:r>
      <w:r w:rsidR="00CD5250">
        <w:rPr>
          <w:rFonts w:ascii="Times New Roman" w:hAnsi="Times New Roman" w:cs="Times New Roman"/>
          <w:sz w:val="24"/>
          <w:szCs w:val="24"/>
        </w:rPr>
        <w:t xml:space="preserve"> and purchase intention</w:t>
      </w:r>
      <w:r>
        <w:rPr>
          <w:rFonts w:ascii="Times New Roman" w:hAnsi="Times New Roman" w:cs="Times New Roman"/>
          <w:sz w:val="24"/>
          <w:szCs w:val="24"/>
        </w:rPr>
        <w:t xml:space="preserve"> than non-CSR and </w:t>
      </w:r>
      <w:r w:rsidR="00935FBD">
        <w:rPr>
          <w:rFonts w:ascii="Times New Roman" w:hAnsi="Times New Roman" w:cs="Times New Roman"/>
          <w:sz w:val="24"/>
          <w:szCs w:val="24"/>
        </w:rPr>
        <w:t xml:space="preserve">television </w:t>
      </w:r>
      <w:r>
        <w:rPr>
          <w:rFonts w:ascii="Times New Roman" w:hAnsi="Times New Roman" w:cs="Times New Roman"/>
          <w:sz w:val="24"/>
          <w:szCs w:val="24"/>
        </w:rPr>
        <w:t xml:space="preserve">had a stronger effect on brand attitudes than social media. </w:t>
      </w:r>
      <w:r w:rsidRPr="002A387C">
        <w:rPr>
          <w:rFonts w:ascii="Times New Roman" w:hAnsi="Times New Roman" w:cs="Times New Roman"/>
          <w:sz w:val="24"/>
          <w:szCs w:val="24"/>
        </w:rPr>
        <w:t xml:space="preserve">Thus, the below figure summarises the main variables that CSR communication and </w:t>
      </w:r>
      <w:r w:rsidR="00F569A5">
        <w:rPr>
          <w:rFonts w:ascii="Times New Roman" w:hAnsi="Times New Roman" w:cs="Times New Roman"/>
          <w:sz w:val="24"/>
          <w:szCs w:val="24"/>
        </w:rPr>
        <w:t>t</w:t>
      </w:r>
      <w:r w:rsidRPr="002A387C">
        <w:rPr>
          <w:rFonts w:ascii="Times New Roman" w:hAnsi="Times New Roman" w:cs="Times New Roman"/>
          <w:sz w:val="24"/>
          <w:szCs w:val="24"/>
        </w:rPr>
        <w:t>elevision directly and indirectly affect</w:t>
      </w:r>
      <w:r>
        <w:rPr>
          <w:rFonts w:ascii="Times New Roman" w:hAnsi="Times New Roman" w:cs="Times New Roman"/>
          <w:sz w:val="24"/>
          <w:szCs w:val="24"/>
        </w:rPr>
        <w:t xml:space="preserve">. In the figure, the solid lines represent the direct </w:t>
      </w:r>
      <w:r w:rsidR="00CD5250">
        <w:rPr>
          <w:rFonts w:ascii="Times New Roman" w:hAnsi="Times New Roman" w:cs="Times New Roman"/>
          <w:sz w:val="24"/>
          <w:szCs w:val="24"/>
        </w:rPr>
        <w:t>e</w:t>
      </w:r>
      <w:r>
        <w:rPr>
          <w:rFonts w:ascii="Times New Roman" w:hAnsi="Times New Roman" w:cs="Times New Roman"/>
          <w:sz w:val="24"/>
          <w:szCs w:val="24"/>
        </w:rPr>
        <w:t>ffects from the variable that is mostly affected to the least and the dotted line represents the indirect effects</w:t>
      </w:r>
      <w:r w:rsidR="00A735F0">
        <w:rPr>
          <w:rFonts w:ascii="Times New Roman" w:hAnsi="Times New Roman" w:cs="Times New Roman"/>
          <w:sz w:val="24"/>
          <w:szCs w:val="24"/>
        </w:rPr>
        <w:t xml:space="preserve"> from the main stimuli to purchase intention</w:t>
      </w:r>
      <w:r>
        <w:rPr>
          <w:rFonts w:ascii="Times New Roman" w:hAnsi="Times New Roman" w:cs="Times New Roman"/>
          <w:sz w:val="24"/>
          <w:szCs w:val="24"/>
        </w:rPr>
        <w:t xml:space="preserve">. While both communication </w:t>
      </w:r>
      <w:r w:rsidR="00391D20">
        <w:rPr>
          <w:rFonts w:ascii="Times New Roman" w:hAnsi="Times New Roman" w:cs="Times New Roman"/>
          <w:sz w:val="24"/>
          <w:szCs w:val="24"/>
        </w:rPr>
        <w:t xml:space="preserve">strategies </w:t>
      </w:r>
      <w:r>
        <w:rPr>
          <w:rFonts w:ascii="Times New Roman" w:hAnsi="Times New Roman" w:cs="Times New Roman"/>
          <w:sz w:val="24"/>
          <w:szCs w:val="24"/>
        </w:rPr>
        <w:t xml:space="preserve">and media channels </w:t>
      </w:r>
      <w:r w:rsidR="00391D20">
        <w:rPr>
          <w:rFonts w:ascii="Times New Roman" w:hAnsi="Times New Roman" w:cs="Times New Roman"/>
          <w:sz w:val="24"/>
          <w:szCs w:val="24"/>
        </w:rPr>
        <w:t>had effects</w:t>
      </w:r>
      <w:r>
        <w:rPr>
          <w:rFonts w:ascii="Times New Roman" w:hAnsi="Times New Roman" w:cs="Times New Roman"/>
          <w:sz w:val="24"/>
          <w:szCs w:val="24"/>
        </w:rPr>
        <w:t xml:space="preserve"> on these brand attitudes, the below figure only shows CSR communication and </w:t>
      </w:r>
      <w:r w:rsidR="00935FBD">
        <w:rPr>
          <w:rFonts w:ascii="Times New Roman" w:hAnsi="Times New Roman" w:cs="Times New Roman"/>
          <w:sz w:val="24"/>
          <w:szCs w:val="24"/>
        </w:rPr>
        <w:t>t</w:t>
      </w:r>
      <w:r>
        <w:rPr>
          <w:rFonts w:ascii="Times New Roman" w:hAnsi="Times New Roman" w:cs="Times New Roman"/>
          <w:sz w:val="24"/>
          <w:szCs w:val="24"/>
        </w:rPr>
        <w:t>elevision as they appeared to have a stronger effect.  Afterwards, the next few sections describe the findings related to every variable</w:t>
      </w:r>
      <w:r w:rsidRPr="004E1D2D">
        <w:rPr>
          <w:rFonts w:ascii="Times New Roman" w:hAnsi="Times New Roman" w:cs="Times New Roman"/>
          <w:sz w:val="24"/>
          <w:szCs w:val="24"/>
        </w:rPr>
        <w:t xml:space="preserve"> </w:t>
      </w:r>
      <w:r>
        <w:rPr>
          <w:rFonts w:ascii="Times New Roman" w:hAnsi="Times New Roman" w:cs="Times New Roman"/>
          <w:sz w:val="24"/>
          <w:szCs w:val="24"/>
        </w:rPr>
        <w:t xml:space="preserve">in </w:t>
      </w:r>
      <w:bookmarkStart w:id="237" w:name="_Hlk147602502"/>
      <w:r>
        <w:rPr>
          <w:rFonts w:ascii="Times New Roman" w:hAnsi="Times New Roman" w:cs="Times New Roman"/>
          <w:sz w:val="24"/>
          <w:szCs w:val="24"/>
        </w:rPr>
        <w:t xml:space="preserve">more details. </w:t>
      </w:r>
    </w:p>
    <w:p w14:paraId="09208BD5" w14:textId="77777777" w:rsidR="00982AB1" w:rsidRDefault="00982AB1" w:rsidP="00890438">
      <w:pPr>
        <w:adjustRightInd w:val="0"/>
        <w:spacing w:after="0" w:line="480" w:lineRule="auto"/>
        <w:rPr>
          <w:rFonts w:ascii="Times New Roman" w:hAnsi="Times New Roman" w:cs="Times New Roman"/>
          <w:sz w:val="24"/>
          <w:szCs w:val="24"/>
        </w:rPr>
      </w:pPr>
    </w:p>
    <w:p w14:paraId="1602E194" w14:textId="77777777" w:rsidR="00982AB1" w:rsidRDefault="00982AB1" w:rsidP="00890438">
      <w:pPr>
        <w:adjustRightInd w:val="0"/>
        <w:spacing w:after="0" w:line="480" w:lineRule="auto"/>
        <w:rPr>
          <w:rFonts w:ascii="Times New Roman" w:hAnsi="Times New Roman" w:cs="Times New Roman"/>
          <w:sz w:val="24"/>
          <w:szCs w:val="24"/>
        </w:rPr>
      </w:pPr>
    </w:p>
    <w:p w14:paraId="6C6A97FA" w14:textId="77777777" w:rsidR="00982AB1" w:rsidRDefault="00982AB1" w:rsidP="00890438">
      <w:pPr>
        <w:adjustRightInd w:val="0"/>
        <w:spacing w:after="0" w:line="480" w:lineRule="auto"/>
        <w:rPr>
          <w:rFonts w:ascii="Times New Roman" w:hAnsi="Times New Roman" w:cs="Times New Roman"/>
          <w:sz w:val="24"/>
          <w:szCs w:val="24"/>
        </w:rPr>
      </w:pPr>
    </w:p>
    <w:p w14:paraId="1B1B9CFD" w14:textId="62212D48" w:rsidR="00890438" w:rsidRPr="00273433" w:rsidRDefault="00890438" w:rsidP="00890438">
      <w:pPr>
        <w:spacing w:after="0" w:line="240" w:lineRule="auto"/>
        <w:rPr>
          <w:rFonts w:ascii="Times New Roman" w:eastAsia="Times New Roman" w:hAnsi="Times New Roman" w:cs="Times New Roman"/>
          <w:kern w:val="0"/>
          <w:sz w:val="24"/>
          <w:szCs w:val="24"/>
          <w:lang w:eastAsia="en-GB"/>
          <w14:ligatures w14:val="none"/>
        </w:rPr>
      </w:pPr>
    </w:p>
    <w:p w14:paraId="23CA252B" w14:textId="630E0FF7" w:rsidR="008B5818" w:rsidRPr="008B5818" w:rsidRDefault="0080227E" w:rsidP="008B5818">
      <w:pPr>
        <w:spacing w:after="0" w:line="240" w:lineRule="auto"/>
        <w:rPr>
          <w:rFonts w:ascii="Times New Roman" w:eastAsia="Times New Roman" w:hAnsi="Times New Roman" w:cs="Times New Roman"/>
          <w:kern w:val="0"/>
          <w:sz w:val="24"/>
          <w:szCs w:val="24"/>
          <w:lang w:eastAsia="en-GB"/>
          <w14:ligatures w14:val="none"/>
        </w:rPr>
      </w:pPr>
      <w:r w:rsidRPr="00273433">
        <w:rPr>
          <w:rFonts w:ascii="Times New Roman" w:eastAsia="Times New Roman" w:hAnsi="Times New Roman" w:cs="Times New Roman"/>
          <w:noProof/>
          <w:kern w:val="0"/>
          <w:sz w:val="24"/>
          <w:szCs w:val="24"/>
          <w:lang w:eastAsia="en-GB"/>
          <w14:ligatures w14:val="none"/>
        </w:rPr>
        <w:drawing>
          <wp:inline distT="0" distB="0" distL="0" distR="0" wp14:anchorId="2D875C2F" wp14:editId="3CE84EAA">
            <wp:extent cx="2683683" cy="1690310"/>
            <wp:effectExtent l="0" t="0" r="0" b="0"/>
            <wp:docPr id="1464753320"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53320" name="Picture 2" descr="A screenshot of a computer&#10;&#10;Description automatically generated with low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14325" cy="1709610"/>
                    </a:xfrm>
                    <a:prstGeom prst="rect">
                      <a:avLst/>
                    </a:prstGeom>
                    <a:noFill/>
                    <a:ln>
                      <a:noFill/>
                    </a:ln>
                  </pic:spPr>
                </pic:pic>
              </a:graphicData>
            </a:graphic>
          </wp:inline>
        </w:drawing>
      </w:r>
    </w:p>
    <w:p w14:paraId="0D624E7C" w14:textId="1BEA5B37" w:rsidR="00890438" w:rsidRPr="00273433" w:rsidRDefault="0080227E" w:rsidP="00890438">
      <w:pPr>
        <w:spacing w:after="0" w:line="240" w:lineRule="auto"/>
        <w:rPr>
          <w:rFonts w:ascii="Times New Roman" w:eastAsia="Times New Roman" w:hAnsi="Times New Roman" w:cs="Times New Roman"/>
          <w:kern w:val="0"/>
          <w:sz w:val="24"/>
          <w:szCs w:val="24"/>
          <w:lang w:eastAsia="en-GB"/>
          <w14:ligatures w14:val="none"/>
        </w:rPr>
      </w:pPr>
      <w:r w:rsidRPr="008B5818">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46464" behindDoc="0" locked="0" layoutInCell="1" allowOverlap="1" wp14:anchorId="369240BB" wp14:editId="0F7B22C3">
            <wp:simplePos x="0" y="0"/>
            <wp:positionH relativeFrom="column">
              <wp:posOffset>-131271</wp:posOffset>
            </wp:positionH>
            <wp:positionV relativeFrom="paragraph">
              <wp:posOffset>89214</wp:posOffset>
            </wp:positionV>
            <wp:extent cx="2918757" cy="1455821"/>
            <wp:effectExtent l="0" t="0" r="0" b="0"/>
            <wp:wrapNone/>
            <wp:docPr id="185890606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06063" name="Picture 2" descr="A screenshot of a computer&#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18757" cy="1455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69A3D9" w14:textId="09E30D28" w:rsidR="00890438" w:rsidRPr="00D93989" w:rsidRDefault="00890438" w:rsidP="00890438">
      <w:pPr>
        <w:spacing w:after="0" w:line="240" w:lineRule="auto"/>
        <w:rPr>
          <w:rFonts w:ascii="Times New Roman" w:eastAsia="Times New Roman" w:hAnsi="Times New Roman" w:cs="Times New Roman"/>
          <w:kern w:val="0"/>
          <w:sz w:val="24"/>
          <w:szCs w:val="24"/>
          <w:lang w:eastAsia="en-GB"/>
          <w14:ligatures w14:val="none"/>
        </w:rPr>
      </w:pPr>
    </w:p>
    <w:p w14:paraId="62BF632B" w14:textId="3565C2AE" w:rsidR="00890438" w:rsidRPr="000B5BA0" w:rsidRDefault="00890438" w:rsidP="00890438">
      <w:pPr>
        <w:adjustRightInd w:val="0"/>
        <w:spacing w:after="0" w:line="480" w:lineRule="auto"/>
        <w:rPr>
          <w:rFonts w:ascii="Times New Roman" w:hAnsi="Times New Roman" w:cs="Times New Roman"/>
          <w:sz w:val="24"/>
          <w:szCs w:val="24"/>
        </w:rPr>
      </w:pPr>
    </w:p>
    <w:p w14:paraId="02F39504" w14:textId="77777777" w:rsidR="00C876D5" w:rsidRDefault="00C876D5" w:rsidP="0080227E">
      <w:pPr>
        <w:adjustRightInd w:val="0"/>
        <w:spacing w:after="0" w:line="480" w:lineRule="auto"/>
        <w:rPr>
          <w:rFonts w:ascii="Times New Roman" w:hAnsi="Times New Roman" w:cs="Times New Roman"/>
          <w:b/>
          <w:bCs/>
          <w:sz w:val="24"/>
          <w:szCs w:val="24"/>
        </w:rPr>
      </w:pPr>
    </w:p>
    <w:p w14:paraId="3B34A220" w14:textId="77777777" w:rsidR="00C876D5" w:rsidRDefault="00C876D5" w:rsidP="0080227E">
      <w:pPr>
        <w:adjustRightInd w:val="0"/>
        <w:spacing w:after="0" w:line="480" w:lineRule="auto"/>
        <w:rPr>
          <w:rFonts w:ascii="Times New Roman" w:hAnsi="Times New Roman" w:cs="Times New Roman"/>
          <w:b/>
          <w:bCs/>
          <w:sz w:val="24"/>
          <w:szCs w:val="24"/>
        </w:rPr>
      </w:pPr>
    </w:p>
    <w:p w14:paraId="43C7D75A" w14:textId="4C8D6D0B" w:rsidR="00C876D5" w:rsidRDefault="003F61F9" w:rsidP="0080227E">
      <w:pPr>
        <w:adjustRightInd w:val="0"/>
        <w:spacing w:after="0" w:line="480" w:lineRule="auto"/>
        <w:rPr>
          <w:rFonts w:ascii="Times New Roman" w:hAnsi="Times New Roman" w:cs="Times New Roman"/>
          <w:b/>
          <w:bCs/>
          <w:sz w:val="24"/>
          <w:szCs w:val="24"/>
        </w:rPr>
      </w:pPr>
      <w:r>
        <w:rPr>
          <w:noProof/>
        </w:rPr>
        <mc:AlternateContent>
          <mc:Choice Requires="wps">
            <w:drawing>
              <wp:anchor distT="0" distB="0" distL="114300" distR="114300" simplePos="0" relativeHeight="251666944" behindDoc="0" locked="0" layoutInCell="1" allowOverlap="1" wp14:anchorId="5C011C9C" wp14:editId="1A79C529">
                <wp:simplePos x="0" y="0"/>
                <wp:positionH relativeFrom="column">
                  <wp:posOffset>-775970</wp:posOffset>
                </wp:positionH>
                <wp:positionV relativeFrom="paragraph">
                  <wp:posOffset>291465</wp:posOffset>
                </wp:positionV>
                <wp:extent cx="5147945" cy="258445"/>
                <wp:effectExtent l="0" t="0" r="0" b="0"/>
                <wp:wrapNone/>
                <wp:docPr id="116611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7945" cy="258445"/>
                        </a:xfrm>
                        <a:prstGeom prst="rect">
                          <a:avLst/>
                        </a:prstGeom>
                        <a:solidFill>
                          <a:prstClr val="white"/>
                        </a:solidFill>
                        <a:ln>
                          <a:noFill/>
                        </a:ln>
                      </wps:spPr>
                      <wps:txbx>
                        <w:txbxContent>
                          <w:p w14:paraId="299659CE" w14:textId="705C988D" w:rsidR="00ED6234" w:rsidRPr="00BA7AEB" w:rsidRDefault="00ED6234" w:rsidP="00ED6234">
                            <w:pPr>
                              <w:pStyle w:val="Caption"/>
                              <w:rPr>
                                <w:rFonts w:asciiTheme="majorBidi" w:eastAsia="Times New Roman" w:hAnsiTheme="majorBidi" w:cstheme="majorBidi"/>
                                <w:noProof/>
                                <w:kern w:val="0"/>
                                <w14:ligatures w14:val="none"/>
                              </w:rPr>
                            </w:pPr>
                            <w:r w:rsidRPr="00BA7AEB">
                              <w:rPr>
                                <w:rFonts w:asciiTheme="majorBidi" w:hAnsiTheme="majorBidi" w:cstheme="majorBidi"/>
                              </w:rPr>
                              <w:t xml:space="preserve">Figure 37 The main direct and indirect </w:t>
                            </w:r>
                            <w:r w:rsidR="00BA7AEB" w:rsidRPr="00BA7AEB">
                              <w:rPr>
                                <w:rFonts w:asciiTheme="majorBidi" w:hAnsiTheme="majorBidi" w:cstheme="majorBidi"/>
                              </w:rPr>
                              <w:t>effects of CSR communication and television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C011C9C" id="Text Box 2" o:spid="_x0000_s1034" type="#_x0000_t202" style="position:absolute;margin-left:-61.1pt;margin-top:22.95pt;width:405.35pt;height:2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" stroked="f">
                <v:textbox style="mso-fit-shape-to-text:t" inset="0,0,0,0">
                  <w:txbxContent>
                    <w:p w14:paraId="299659CE" w14:textId="705C988D" w:rsidR="00ED6234" w:rsidRPr="00BA7AEB" w:rsidRDefault="00ED6234" w:rsidP="00ED6234">
                      <w:pPr>
                        <w:pStyle w:val="Caption"/>
                        <w:rPr>
                          <w:rFonts w:asciiTheme="majorBidi" w:eastAsia="Times New Roman" w:hAnsiTheme="majorBidi" w:cstheme="majorBidi"/>
                          <w:noProof/>
                          <w:kern w:val="0"/>
                          <w14:ligatures w14:val="none"/>
                        </w:rPr>
                      </w:pPr>
                      <w:r w:rsidRPr="00BA7AEB">
                        <w:rPr>
                          <w:rFonts w:asciiTheme="majorBidi" w:hAnsiTheme="majorBidi" w:cstheme="majorBidi"/>
                        </w:rPr>
                        <w:t xml:space="preserve">Figure 37 The main direct and indirect </w:t>
                      </w:r>
                      <w:r w:rsidR="00BA7AEB" w:rsidRPr="00BA7AEB">
                        <w:rPr>
                          <w:rFonts w:asciiTheme="majorBidi" w:hAnsiTheme="majorBidi" w:cstheme="majorBidi"/>
                        </w:rPr>
                        <w:t>effects of CSR communication and television</w:t>
                      </w:r>
                    </w:p>
                  </w:txbxContent>
                </v:textbox>
              </v:shape>
            </w:pict>
          </mc:Fallback>
        </mc:AlternateContent>
      </w:r>
    </w:p>
    <w:bookmarkEnd w:id="237"/>
    <w:p w14:paraId="0BFEAD6C" w14:textId="172A3482" w:rsidR="00890438" w:rsidRDefault="00890438" w:rsidP="0080227E">
      <w:pPr>
        <w:adjustRightInd w:val="0"/>
        <w:spacing w:after="0" w:line="480" w:lineRule="auto"/>
        <w:rPr>
          <w:rFonts w:ascii="Times New Roman" w:hAnsi="Times New Roman" w:cs="Times New Roman"/>
          <w:b/>
          <w:bCs/>
          <w:sz w:val="24"/>
          <w:szCs w:val="24"/>
        </w:rPr>
      </w:pPr>
    </w:p>
    <w:p w14:paraId="444FC54D" w14:textId="6099DC43" w:rsidR="00890438" w:rsidRDefault="00890438" w:rsidP="00890438">
      <w:pPr>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8.</w:t>
      </w:r>
      <w:r w:rsidR="00A133C6">
        <w:rPr>
          <w:rFonts w:ascii="Times New Roman" w:hAnsi="Times New Roman" w:cs="Times New Roman"/>
          <w:b/>
          <w:bCs/>
          <w:sz w:val="24"/>
          <w:szCs w:val="24"/>
        </w:rPr>
        <w:t>2</w:t>
      </w:r>
      <w:r>
        <w:rPr>
          <w:rFonts w:ascii="Times New Roman" w:hAnsi="Times New Roman" w:cs="Times New Roman"/>
          <w:b/>
          <w:bCs/>
          <w:sz w:val="24"/>
          <w:szCs w:val="24"/>
        </w:rPr>
        <w:t>.1 CSR Perception</w:t>
      </w:r>
    </w:p>
    <w:p w14:paraId="5B8C301C" w14:textId="66B4A49B" w:rsidR="00890438" w:rsidRDefault="00890438" w:rsidP="00C17612">
      <w:pPr>
        <w:adjustRightInd w:val="0"/>
        <w:spacing w:after="0" w:line="480" w:lineRule="auto"/>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ab/>
      </w:r>
      <w:r w:rsidRPr="001D7FAF">
        <w:rPr>
          <w:rFonts w:asciiTheme="majorBidi" w:eastAsia="Times New Roman" w:hAnsiTheme="majorBidi" w:cstheme="majorBidi"/>
          <w:sz w:val="24"/>
          <w:szCs w:val="24"/>
          <w:lang w:eastAsia="en-GB"/>
        </w:rPr>
        <w:t xml:space="preserve">Based on </w:t>
      </w:r>
      <w:r w:rsidR="00EB5FDF">
        <w:rPr>
          <w:rFonts w:asciiTheme="majorBidi" w:eastAsia="Times New Roman" w:hAnsiTheme="majorBidi" w:cstheme="majorBidi"/>
          <w:sz w:val="24"/>
          <w:szCs w:val="24"/>
          <w:lang w:eastAsia="en-GB"/>
        </w:rPr>
        <w:t>the</w:t>
      </w:r>
      <w:r w:rsidRPr="001D7FAF">
        <w:rPr>
          <w:rFonts w:asciiTheme="majorBidi" w:eastAsia="Times New Roman" w:hAnsiTheme="majorBidi" w:cstheme="majorBidi"/>
          <w:sz w:val="24"/>
          <w:szCs w:val="24"/>
          <w:lang w:eastAsia="en-GB"/>
        </w:rPr>
        <w:t xml:space="preserve"> systematic literature review, Egyptian consumers’ value </w:t>
      </w:r>
      <w:r w:rsidR="00EB5FDF">
        <w:rPr>
          <w:rFonts w:asciiTheme="majorBidi" w:eastAsia="Times New Roman" w:hAnsiTheme="majorBidi" w:cstheme="majorBidi"/>
          <w:sz w:val="24"/>
          <w:szCs w:val="24"/>
          <w:lang w:eastAsia="en-GB"/>
        </w:rPr>
        <w:t>congruence</w:t>
      </w:r>
      <w:r w:rsidRPr="001D7FAF">
        <w:rPr>
          <w:rFonts w:asciiTheme="majorBidi" w:eastAsia="Times New Roman" w:hAnsiTheme="majorBidi" w:cstheme="majorBidi"/>
          <w:sz w:val="24"/>
          <w:szCs w:val="24"/>
          <w:lang w:eastAsia="en-GB"/>
        </w:rPr>
        <w:t xml:space="preserve"> (alignment of their personal values with CSR), </w:t>
      </w:r>
      <w:r w:rsidRPr="00D76461">
        <w:rPr>
          <w:rFonts w:asciiTheme="majorBidi" w:eastAsia="Times New Roman" w:hAnsiTheme="majorBidi" w:cstheme="majorBidi"/>
          <w:sz w:val="24"/>
          <w:szCs w:val="24"/>
          <w:lang w:eastAsia="en-GB"/>
        </w:rPr>
        <w:t xml:space="preserve">ethical standards, and the perceptions of companies’ CSR strategies have a strong correlation with citizenship behaviour more than British consumers </w:t>
      </w:r>
      <w:sdt>
        <w:sdtPr>
          <w:rPr>
            <w:rFonts w:asciiTheme="majorBidi" w:eastAsia="Times New Roman" w:hAnsiTheme="majorBidi" w:cstheme="majorBidi"/>
            <w:sz w:val="24"/>
            <w:szCs w:val="24"/>
            <w:lang w:eastAsia="en-GB"/>
          </w:rPr>
          <w:id w:val="472878707"/>
          <w:citation/>
        </w:sdtPr>
        <w:sdtContent>
          <w:r w:rsidRPr="00D76461">
            <w:rPr>
              <w:rFonts w:asciiTheme="majorBidi" w:eastAsia="Times New Roman" w:hAnsiTheme="majorBidi" w:cstheme="majorBidi"/>
              <w:sz w:val="24"/>
              <w:szCs w:val="24"/>
              <w:lang w:eastAsia="en-GB"/>
            </w:rPr>
            <w:fldChar w:fldCharType="begin"/>
          </w:r>
          <w:r w:rsidRPr="00D76461">
            <w:rPr>
              <w:rFonts w:asciiTheme="majorBidi" w:eastAsia="Times New Roman" w:hAnsiTheme="majorBidi" w:cstheme="majorBidi"/>
              <w:sz w:val="24"/>
              <w:szCs w:val="24"/>
              <w:lang w:eastAsia="en-GB"/>
            </w:rPr>
            <w:instrText xml:space="preserve"> CITATION Abd223 \l 2057 </w:instrText>
          </w:r>
          <w:r w:rsidRPr="00D76461">
            <w:rPr>
              <w:rFonts w:asciiTheme="majorBidi" w:eastAsia="Times New Roman" w:hAnsiTheme="majorBidi" w:cstheme="majorBidi"/>
              <w:sz w:val="24"/>
              <w:szCs w:val="24"/>
              <w:lang w:eastAsia="en-GB"/>
            </w:rPr>
            <w:fldChar w:fldCharType="separate"/>
          </w:r>
          <w:r w:rsidRPr="00D76461">
            <w:rPr>
              <w:rFonts w:asciiTheme="majorBidi" w:eastAsia="Times New Roman" w:hAnsiTheme="majorBidi" w:cstheme="majorBidi"/>
              <w:noProof/>
              <w:sz w:val="24"/>
              <w:szCs w:val="24"/>
              <w:lang w:eastAsia="en-GB"/>
            </w:rPr>
            <w:t>(Abdelmoety, Aboul-Dahab, &amp; Agag, 2022)</w:t>
          </w:r>
          <w:r w:rsidRPr="00D76461">
            <w:rPr>
              <w:rFonts w:asciiTheme="majorBidi" w:eastAsia="Times New Roman" w:hAnsiTheme="majorBidi" w:cstheme="majorBidi"/>
              <w:sz w:val="24"/>
              <w:szCs w:val="24"/>
              <w:lang w:eastAsia="en-GB"/>
            </w:rPr>
            <w:fldChar w:fldCharType="end"/>
          </w:r>
        </w:sdtContent>
      </w:sdt>
      <w:r w:rsidRPr="00D76461">
        <w:rPr>
          <w:rFonts w:asciiTheme="majorBidi" w:eastAsia="Times New Roman" w:hAnsiTheme="majorBidi" w:cstheme="majorBidi"/>
          <w:sz w:val="24"/>
          <w:szCs w:val="24"/>
          <w:lang w:eastAsia="en-GB"/>
        </w:rPr>
        <w:t>.</w:t>
      </w:r>
      <w:r w:rsidRPr="001D7FAF">
        <w:rPr>
          <w:rFonts w:asciiTheme="majorBidi" w:eastAsia="Times New Roman" w:hAnsiTheme="majorBidi" w:cstheme="majorBidi"/>
          <w:sz w:val="24"/>
          <w:szCs w:val="24"/>
          <w:lang w:eastAsia="en-GB"/>
        </w:rPr>
        <w:t xml:space="preserve"> </w:t>
      </w:r>
      <w:bookmarkStart w:id="238" w:name="_Hlk137467861"/>
      <w:r>
        <w:rPr>
          <w:rFonts w:asciiTheme="majorBidi" w:eastAsia="Times New Roman" w:hAnsiTheme="majorBidi" w:cstheme="majorBidi"/>
          <w:sz w:val="24"/>
          <w:szCs w:val="24"/>
          <w:lang w:eastAsia="en-GB"/>
        </w:rPr>
        <w:t>In this study, it was confirmed that CSR perception has a moderating effect on some relationships</w:t>
      </w:r>
      <w:r w:rsidR="00EB5FDF">
        <w:rPr>
          <w:rFonts w:asciiTheme="majorBidi" w:eastAsia="Times New Roman" w:hAnsiTheme="majorBidi" w:cstheme="majorBidi"/>
          <w:sz w:val="24"/>
          <w:szCs w:val="24"/>
          <w:lang w:eastAsia="en-GB"/>
        </w:rPr>
        <w:t xml:space="preserve"> in the conceptual model</w:t>
      </w:r>
      <w:r>
        <w:rPr>
          <w:rFonts w:asciiTheme="majorBidi" w:eastAsia="Times New Roman" w:hAnsiTheme="majorBidi" w:cstheme="majorBidi"/>
          <w:sz w:val="24"/>
          <w:szCs w:val="24"/>
          <w:lang w:eastAsia="en-GB"/>
        </w:rPr>
        <w:t xml:space="preserve">. </w:t>
      </w:r>
      <w:bookmarkStart w:id="239" w:name="_Hlk151561280"/>
      <w:r>
        <w:rPr>
          <w:rFonts w:asciiTheme="majorBidi" w:eastAsia="Times New Roman" w:hAnsiTheme="majorBidi" w:cstheme="majorBidi"/>
          <w:sz w:val="24"/>
          <w:szCs w:val="24"/>
          <w:lang w:eastAsia="en-GB"/>
        </w:rPr>
        <w:t>Figure</w:t>
      </w:r>
      <w:r w:rsidR="00DA380D">
        <w:rPr>
          <w:rFonts w:asciiTheme="majorBidi" w:eastAsia="Times New Roman" w:hAnsiTheme="majorBidi" w:cstheme="majorBidi"/>
          <w:sz w:val="24"/>
          <w:szCs w:val="24"/>
          <w:lang w:eastAsia="en-GB"/>
        </w:rPr>
        <w:t xml:space="preserve"> 38</w:t>
      </w:r>
      <w:r>
        <w:rPr>
          <w:rFonts w:asciiTheme="majorBidi" w:eastAsia="Times New Roman" w:hAnsiTheme="majorBidi" w:cstheme="majorBidi"/>
          <w:sz w:val="24"/>
          <w:szCs w:val="24"/>
          <w:lang w:eastAsia="en-GB"/>
        </w:rPr>
        <w:t xml:space="preserve"> summarises the relationships that CSR perception moderates. This means that CSR perception has an influence on the relationship between the communication and ad likeability. In other words, respondents </w:t>
      </w:r>
      <w:r w:rsidR="007438F3">
        <w:rPr>
          <w:rFonts w:asciiTheme="majorBidi" w:eastAsia="Times New Roman" w:hAnsiTheme="majorBidi" w:cstheme="majorBidi"/>
          <w:sz w:val="24"/>
          <w:szCs w:val="24"/>
          <w:lang w:eastAsia="en-GB"/>
        </w:rPr>
        <w:t>with</w:t>
      </w:r>
      <w:r>
        <w:rPr>
          <w:rFonts w:asciiTheme="majorBidi" w:eastAsia="Times New Roman" w:hAnsiTheme="majorBidi" w:cstheme="majorBidi"/>
          <w:sz w:val="24"/>
          <w:szCs w:val="24"/>
          <w:lang w:eastAsia="en-GB"/>
        </w:rPr>
        <w:t xml:space="preserve"> CSR perception are more likely to like the CSR ad. Similarly, CSR perception moderates the relationship between emotional brand attachment, brand likeability and purchase intention. </w:t>
      </w:r>
      <w:r w:rsidR="007A52D4">
        <w:rPr>
          <w:rFonts w:asciiTheme="majorBidi" w:eastAsia="Times New Roman" w:hAnsiTheme="majorBidi" w:cstheme="majorBidi"/>
          <w:sz w:val="24"/>
          <w:szCs w:val="24"/>
          <w:lang w:eastAsia="en-GB"/>
        </w:rPr>
        <w:t xml:space="preserve">This means that the emotional brand attachment and brand likeability attitudes that result from the stimuli positively impact purchase intention while being moderated </w:t>
      </w:r>
      <w:r w:rsidR="007438F3">
        <w:rPr>
          <w:rFonts w:asciiTheme="majorBidi" w:eastAsia="Times New Roman" w:hAnsiTheme="majorBidi" w:cstheme="majorBidi"/>
          <w:sz w:val="24"/>
          <w:szCs w:val="24"/>
          <w:lang w:eastAsia="en-GB"/>
        </w:rPr>
        <w:t>by</w:t>
      </w:r>
      <w:r w:rsidR="007A52D4">
        <w:rPr>
          <w:rFonts w:asciiTheme="majorBidi" w:eastAsia="Times New Roman" w:hAnsiTheme="majorBidi" w:cstheme="majorBidi"/>
          <w:sz w:val="24"/>
          <w:szCs w:val="24"/>
          <w:lang w:eastAsia="en-GB"/>
        </w:rPr>
        <w:t xml:space="preserve"> respondents’ CSR perception. </w:t>
      </w:r>
    </w:p>
    <w:bookmarkEnd w:id="239"/>
    <w:p w14:paraId="36A2042D" w14:textId="77777777" w:rsidR="00DA380D" w:rsidRDefault="007A52D4" w:rsidP="00DA380D">
      <w:pPr>
        <w:keepNext/>
        <w:spacing w:after="0" w:line="240" w:lineRule="auto"/>
      </w:pPr>
      <w:r w:rsidRPr="007A52D4">
        <w:rPr>
          <w:rFonts w:ascii="Times New Roman" w:eastAsia="Times New Roman" w:hAnsi="Times New Roman" w:cs="Times New Roman"/>
          <w:noProof/>
          <w:kern w:val="0"/>
          <w:sz w:val="24"/>
          <w:szCs w:val="24"/>
          <w:lang w:eastAsia="en-GB"/>
          <w14:ligatures w14:val="none"/>
        </w:rPr>
        <w:drawing>
          <wp:inline distT="0" distB="0" distL="0" distR="0" wp14:anchorId="695C1ABC" wp14:editId="52B8373A">
            <wp:extent cx="3623452" cy="1400244"/>
            <wp:effectExtent l="0" t="0" r="0" b="9525"/>
            <wp:docPr id="1074425163" name="Picture 1" descr="A black and white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25163" name="Picture 1" descr="A black and white screen with white square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59840" cy="1414306"/>
                    </a:xfrm>
                    <a:prstGeom prst="rect">
                      <a:avLst/>
                    </a:prstGeom>
                    <a:noFill/>
                    <a:ln>
                      <a:noFill/>
                    </a:ln>
                  </pic:spPr>
                </pic:pic>
              </a:graphicData>
            </a:graphic>
          </wp:inline>
        </w:drawing>
      </w:r>
    </w:p>
    <w:p w14:paraId="0D7A968F" w14:textId="520F214A" w:rsidR="007A52D4" w:rsidRPr="007A52D4" w:rsidRDefault="00DA380D" w:rsidP="00DA380D">
      <w:pPr>
        <w:pStyle w:val="Caption"/>
        <w:rPr>
          <w:rFonts w:ascii="Times New Roman" w:eastAsia="Times New Roman" w:hAnsi="Times New Roman" w:cs="Times New Roman"/>
          <w:kern w:val="0"/>
          <w:sz w:val="24"/>
          <w:szCs w:val="24"/>
          <w:lang w:eastAsia="en-GB"/>
          <w14:ligatures w14:val="none"/>
        </w:rPr>
      </w:pPr>
      <w:r>
        <w:t>Figure 38 The moderating effect of CSR perception</w:t>
      </w:r>
    </w:p>
    <w:p w14:paraId="380E50CA" w14:textId="77777777" w:rsidR="00890438" w:rsidRPr="003B07E8" w:rsidRDefault="00890438" w:rsidP="00890438">
      <w:pPr>
        <w:spacing w:after="0" w:line="240" w:lineRule="auto"/>
        <w:rPr>
          <w:rFonts w:ascii="Times New Roman" w:eastAsia="Times New Roman" w:hAnsi="Times New Roman" w:cs="Times New Roman"/>
          <w:kern w:val="0"/>
          <w:sz w:val="24"/>
          <w:szCs w:val="24"/>
          <w:lang w:eastAsia="en-GB"/>
          <w14:ligatures w14:val="none"/>
        </w:rPr>
      </w:pPr>
    </w:p>
    <w:p w14:paraId="01D8E056" w14:textId="7B63EC9F" w:rsidR="00667700" w:rsidRPr="00E9252B" w:rsidRDefault="00890438" w:rsidP="00E9252B">
      <w:pPr>
        <w:adjustRightInd w:val="0"/>
        <w:spacing w:after="0" w:line="480" w:lineRule="auto"/>
        <w:rPr>
          <w:rFonts w:asciiTheme="majorBidi" w:eastAsia="Times New Roman" w:hAnsiTheme="majorBidi" w:cstheme="majorBidi"/>
          <w:sz w:val="24"/>
          <w:szCs w:val="24"/>
          <w:lang w:eastAsia="en-GB"/>
        </w:rPr>
      </w:pPr>
      <w:r>
        <w:rPr>
          <w:rFonts w:asciiTheme="majorBidi" w:eastAsia="Times New Roman" w:hAnsiTheme="majorBidi" w:cstheme="majorBidi"/>
          <w:sz w:val="24"/>
          <w:szCs w:val="24"/>
          <w:lang w:eastAsia="en-GB"/>
        </w:rPr>
        <w:tab/>
      </w:r>
      <w:bookmarkEnd w:id="238"/>
      <w:r w:rsidRPr="00D76461">
        <w:rPr>
          <w:rFonts w:asciiTheme="majorBidi" w:eastAsia="Times New Roman" w:hAnsiTheme="majorBidi" w:cstheme="majorBidi"/>
          <w:sz w:val="24"/>
          <w:szCs w:val="24"/>
          <w:lang w:eastAsia="en-GB"/>
        </w:rPr>
        <w:t>This study substantially contributed to literature as it</w:t>
      </w:r>
      <w:r w:rsidR="005D026E" w:rsidRPr="00D76461">
        <w:rPr>
          <w:rFonts w:asciiTheme="majorBidi" w:eastAsia="Times New Roman" w:hAnsiTheme="majorBidi" w:cstheme="majorBidi"/>
          <w:sz w:val="24"/>
          <w:szCs w:val="24"/>
          <w:lang w:eastAsia="en-GB"/>
        </w:rPr>
        <w:t xml:space="preserve"> has</w:t>
      </w:r>
      <w:r w:rsidRPr="00D76461">
        <w:rPr>
          <w:rFonts w:asciiTheme="majorBidi" w:eastAsia="Times New Roman" w:hAnsiTheme="majorBidi" w:cstheme="majorBidi"/>
          <w:sz w:val="24"/>
          <w:szCs w:val="24"/>
          <w:lang w:eastAsia="en-GB"/>
        </w:rPr>
        <w:t xml:space="preserve"> uncovered the influence of respondents’ CSR perception on brand attitudes and purchase intentions.</w:t>
      </w:r>
      <w:r>
        <w:rPr>
          <w:rFonts w:asciiTheme="majorBidi" w:eastAsia="Times New Roman" w:hAnsiTheme="majorBidi" w:cstheme="majorBidi"/>
          <w:sz w:val="24"/>
          <w:szCs w:val="24"/>
          <w:lang w:eastAsia="en-GB"/>
        </w:rPr>
        <w:t xml:space="preserve"> This sheds light on the importance of focusing on CSR in the Middle East in general. Moreover, as discussed above</w:t>
      </w:r>
      <w:r w:rsidR="007438F3">
        <w:rPr>
          <w:rFonts w:asciiTheme="majorBidi" w:eastAsia="Times New Roman" w:hAnsiTheme="majorBidi" w:cstheme="majorBidi"/>
          <w:sz w:val="24"/>
          <w:szCs w:val="24"/>
          <w:lang w:eastAsia="en-GB"/>
        </w:rPr>
        <w:t xml:space="preserve"> in section 8.1.4</w:t>
      </w:r>
      <w:r>
        <w:rPr>
          <w:rFonts w:asciiTheme="majorBidi" w:eastAsia="Times New Roman" w:hAnsiTheme="majorBidi" w:cstheme="majorBidi"/>
          <w:sz w:val="24"/>
          <w:szCs w:val="24"/>
          <w:lang w:eastAsia="en-GB"/>
        </w:rPr>
        <w:t xml:space="preserve">, CSR perception had a positive congruent effect on consumers’ attitudes towards the brands. The following sections discuss the results on each brand attitude examined the study.   </w:t>
      </w:r>
    </w:p>
    <w:p w14:paraId="254A4802" w14:textId="484B0A59" w:rsidR="00890438" w:rsidRPr="00BF59C5" w:rsidRDefault="00890438" w:rsidP="00890438">
      <w:pPr>
        <w:adjustRightInd w:val="0"/>
        <w:spacing w:after="0" w:line="480" w:lineRule="auto"/>
        <w:rPr>
          <w:rFonts w:asciiTheme="majorBidi" w:hAnsiTheme="majorBidi" w:cstheme="majorBidi"/>
          <w:b/>
          <w:bCs/>
          <w:sz w:val="24"/>
          <w:szCs w:val="24"/>
        </w:rPr>
      </w:pPr>
      <w:r>
        <w:rPr>
          <w:rFonts w:asciiTheme="majorBidi" w:hAnsiTheme="majorBidi" w:cstheme="majorBidi"/>
          <w:b/>
          <w:bCs/>
          <w:sz w:val="24"/>
          <w:szCs w:val="24"/>
        </w:rPr>
        <w:t>8.</w:t>
      </w:r>
      <w:r w:rsidR="00A133C6">
        <w:rPr>
          <w:rFonts w:asciiTheme="majorBidi" w:hAnsiTheme="majorBidi" w:cstheme="majorBidi"/>
          <w:b/>
          <w:bCs/>
          <w:sz w:val="24"/>
          <w:szCs w:val="24"/>
        </w:rPr>
        <w:t>2</w:t>
      </w:r>
      <w:r>
        <w:rPr>
          <w:rFonts w:asciiTheme="majorBidi" w:hAnsiTheme="majorBidi" w:cstheme="majorBidi"/>
          <w:b/>
          <w:bCs/>
          <w:sz w:val="24"/>
          <w:szCs w:val="24"/>
        </w:rPr>
        <w:t xml:space="preserve">.2 </w:t>
      </w:r>
      <w:r w:rsidRPr="00BF59C5">
        <w:rPr>
          <w:rFonts w:asciiTheme="majorBidi" w:hAnsiTheme="majorBidi" w:cstheme="majorBidi"/>
          <w:b/>
          <w:bCs/>
          <w:sz w:val="24"/>
          <w:szCs w:val="24"/>
        </w:rPr>
        <w:t xml:space="preserve">Ad Likeability </w:t>
      </w:r>
    </w:p>
    <w:p w14:paraId="2DB94966" w14:textId="6798EE56" w:rsidR="00890438" w:rsidRPr="008E1674" w:rsidRDefault="00890438" w:rsidP="00890438">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Ad likeability represents one of the “attitudes” in TRA and one of “organism” variables in the SOR theory as applied in this </w:t>
      </w:r>
      <w:r w:rsidR="00A735F0">
        <w:rPr>
          <w:rFonts w:asciiTheme="majorBidi" w:hAnsiTheme="majorBidi" w:cstheme="majorBidi"/>
          <w:sz w:val="24"/>
          <w:szCs w:val="24"/>
        </w:rPr>
        <w:t>research</w:t>
      </w:r>
      <w:r>
        <w:rPr>
          <w:rFonts w:asciiTheme="majorBidi" w:hAnsiTheme="majorBidi" w:cstheme="majorBidi"/>
          <w:sz w:val="24"/>
          <w:szCs w:val="24"/>
        </w:rPr>
        <w:t xml:space="preserve">. </w:t>
      </w:r>
      <w:r w:rsidR="00A735F0">
        <w:rPr>
          <w:rFonts w:asciiTheme="majorBidi" w:hAnsiTheme="majorBidi" w:cstheme="majorBidi"/>
          <w:sz w:val="24"/>
          <w:szCs w:val="24"/>
        </w:rPr>
        <w:t>The effect of CSR communication on ad likeability was examined and then</w:t>
      </w:r>
      <w:r>
        <w:rPr>
          <w:rFonts w:asciiTheme="majorBidi" w:hAnsiTheme="majorBidi" w:cstheme="majorBidi"/>
          <w:sz w:val="24"/>
          <w:szCs w:val="24"/>
        </w:rPr>
        <w:t>, th</w:t>
      </w:r>
      <w:r w:rsidR="007438F3">
        <w:rPr>
          <w:rFonts w:asciiTheme="majorBidi" w:hAnsiTheme="majorBidi" w:cstheme="majorBidi"/>
          <w:sz w:val="24"/>
          <w:szCs w:val="24"/>
        </w:rPr>
        <w:t>e</w:t>
      </w:r>
      <w:r>
        <w:rPr>
          <w:rFonts w:asciiTheme="majorBidi" w:hAnsiTheme="majorBidi" w:cstheme="majorBidi"/>
          <w:sz w:val="24"/>
          <w:szCs w:val="24"/>
        </w:rPr>
        <w:t xml:space="preserve"> effect </w:t>
      </w:r>
      <w:r w:rsidR="007438F3">
        <w:rPr>
          <w:rFonts w:asciiTheme="majorBidi" w:hAnsiTheme="majorBidi" w:cstheme="majorBidi"/>
          <w:sz w:val="24"/>
          <w:szCs w:val="24"/>
        </w:rPr>
        <w:t xml:space="preserve">of ad likeability </w:t>
      </w:r>
      <w:r>
        <w:rPr>
          <w:rFonts w:asciiTheme="majorBidi" w:hAnsiTheme="majorBidi" w:cstheme="majorBidi"/>
          <w:sz w:val="24"/>
          <w:szCs w:val="24"/>
        </w:rPr>
        <w:t xml:space="preserve">on purchase intention </w:t>
      </w:r>
      <w:r w:rsidR="007438F3">
        <w:rPr>
          <w:rFonts w:asciiTheme="majorBidi" w:hAnsiTheme="majorBidi" w:cstheme="majorBidi"/>
          <w:sz w:val="24"/>
          <w:szCs w:val="24"/>
        </w:rPr>
        <w:t>was</w:t>
      </w:r>
      <w:r>
        <w:rPr>
          <w:rFonts w:asciiTheme="majorBidi" w:hAnsiTheme="majorBidi" w:cstheme="majorBidi"/>
          <w:sz w:val="24"/>
          <w:szCs w:val="24"/>
        </w:rPr>
        <w:t xml:space="preserve"> analysed in a comparative matter between CSR and non-CSR communication</w:t>
      </w:r>
      <w:r w:rsidR="005C05BB">
        <w:rPr>
          <w:rFonts w:asciiTheme="majorBidi" w:hAnsiTheme="majorBidi" w:cstheme="majorBidi"/>
          <w:sz w:val="24"/>
          <w:szCs w:val="24"/>
        </w:rPr>
        <w:t xml:space="preserve">. </w:t>
      </w:r>
      <w:r>
        <w:rPr>
          <w:rFonts w:asciiTheme="majorBidi" w:hAnsiTheme="majorBidi" w:cstheme="majorBidi"/>
          <w:sz w:val="24"/>
          <w:szCs w:val="24"/>
        </w:rPr>
        <w:t xml:space="preserve">As shown in figure </w:t>
      </w:r>
      <w:r w:rsidR="00DA380D">
        <w:rPr>
          <w:rFonts w:asciiTheme="majorBidi" w:hAnsiTheme="majorBidi" w:cstheme="majorBidi"/>
          <w:sz w:val="24"/>
          <w:szCs w:val="24"/>
        </w:rPr>
        <w:t>37</w:t>
      </w:r>
      <w:r>
        <w:rPr>
          <w:rFonts w:asciiTheme="majorBidi" w:hAnsiTheme="majorBidi" w:cstheme="majorBidi"/>
          <w:sz w:val="24"/>
          <w:szCs w:val="24"/>
        </w:rPr>
        <w:t xml:space="preserve">, </w:t>
      </w:r>
      <w:r w:rsidRPr="00D76461">
        <w:rPr>
          <w:rFonts w:asciiTheme="majorBidi" w:hAnsiTheme="majorBidi" w:cstheme="majorBidi"/>
          <w:sz w:val="24"/>
          <w:szCs w:val="24"/>
        </w:rPr>
        <w:t xml:space="preserve">CSR communication had the strongest </w:t>
      </w:r>
      <w:r w:rsidR="001E7057" w:rsidRPr="00D76461">
        <w:rPr>
          <w:rFonts w:asciiTheme="majorBidi" w:hAnsiTheme="majorBidi" w:cstheme="majorBidi"/>
          <w:sz w:val="24"/>
          <w:szCs w:val="24"/>
        </w:rPr>
        <w:t xml:space="preserve">direct </w:t>
      </w:r>
      <w:r w:rsidRPr="00D76461">
        <w:rPr>
          <w:rFonts w:asciiTheme="majorBidi" w:hAnsiTheme="majorBidi" w:cstheme="majorBidi"/>
          <w:sz w:val="24"/>
          <w:szCs w:val="24"/>
        </w:rPr>
        <w:t>effect on ad likeability</w:t>
      </w:r>
      <w:r w:rsidR="002E33CB" w:rsidRPr="00D76461">
        <w:rPr>
          <w:rFonts w:asciiTheme="majorBidi" w:hAnsiTheme="majorBidi" w:cstheme="majorBidi"/>
          <w:sz w:val="24"/>
          <w:szCs w:val="24"/>
        </w:rPr>
        <w:t xml:space="preserve"> that was larger than non-CSR communication</w:t>
      </w:r>
      <w:r w:rsidR="005C05BB" w:rsidRPr="00D76461">
        <w:rPr>
          <w:rFonts w:asciiTheme="majorBidi" w:hAnsiTheme="majorBidi" w:cstheme="majorBidi"/>
          <w:sz w:val="24"/>
          <w:szCs w:val="24"/>
        </w:rPr>
        <w:t xml:space="preserve"> which led to accepting H1b</w:t>
      </w:r>
      <w:r w:rsidR="002E33CB" w:rsidRPr="00D76461">
        <w:rPr>
          <w:rFonts w:asciiTheme="majorBidi" w:hAnsiTheme="majorBidi" w:cstheme="majorBidi"/>
          <w:sz w:val="24"/>
          <w:szCs w:val="24"/>
        </w:rPr>
        <w:t>.</w:t>
      </w:r>
      <w:r w:rsidR="00A37EF6">
        <w:rPr>
          <w:rFonts w:asciiTheme="majorBidi" w:hAnsiTheme="majorBidi" w:cstheme="majorBidi"/>
          <w:sz w:val="24"/>
          <w:szCs w:val="24"/>
        </w:rPr>
        <w:t xml:space="preserve"> Clearly, a lot of the study’s participants liked the ad because of the CSR communication.</w:t>
      </w:r>
      <w:r>
        <w:rPr>
          <w:rFonts w:asciiTheme="majorBidi" w:hAnsiTheme="majorBidi" w:cstheme="majorBidi"/>
          <w:sz w:val="24"/>
          <w:szCs w:val="24"/>
        </w:rPr>
        <w:t xml:space="preserve"> </w:t>
      </w:r>
      <w:r w:rsidR="002E33CB">
        <w:rPr>
          <w:rFonts w:asciiTheme="majorBidi" w:hAnsiTheme="majorBidi" w:cstheme="majorBidi"/>
          <w:sz w:val="24"/>
          <w:szCs w:val="24"/>
        </w:rPr>
        <w:t>Moreover,</w:t>
      </w:r>
      <w:r>
        <w:rPr>
          <w:rFonts w:asciiTheme="majorBidi" w:hAnsiTheme="majorBidi" w:cstheme="majorBidi"/>
          <w:sz w:val="24"/>
          <w:szCs w:val="24"/>
        </w:rPr>
        <w:t xml:space="preserve"> </w:t>
      </w:r>
      <w:r w:rsidR="002E33CB">
        <w:rPr>
          <w:rFonts w:asciiTheme="majorBidi" w:hAnsiTheme="majorBidi" w:cstheme="majorBidi"/>
          <w:sz w:val="24"/>
          <w:szCs w:val="24"/>
        </w:rPr>
        <w:t>t</w:t>
      </w:r>
      <w:r>
        <w:rPr>
          <w:rFonts w:asciiTheme="majorBidi" w:hAnsiTheme="majorBidi" w:cstheme="majorBidi"/>
          <w:sz w:val="24"/>
          <w:szCs w:val="24"/>
        </w:rPr>
        <w:t xml:space="preserve">he </w:t>
      </w:r>
      <w:r w:rsidR="002E33CB">
        <w:rPr>
          <w:rFonts w:asciiTheme="majorBidi" w:hAnsiTheme="majorBidi" w:cstheme="majorBidi"/>
          <w:sz w:val="24"/>
          <w:szCs w:val="24"/>
        </w:rPr>
        <w:t xml:space="preserve">results </w:t>
      </w:r>
      <w:r>
        <w:rPr>
          <w:rFonts w:asciiTheme="majorBidi" w:hAnsiTheme="majorBidi" w:cstheme="majorBidi"/>
          <w:sz w:val="24"/>
          <w:szCs w:val="24"/>
        </w:rPr>
        <w:t>from the first study</w:t>
      </w:r>
      <w:r w:rsidR="002E33CB">
        <w:rPr>
          <w:rFonts w:asciiTheme="majorBidi" w:hAnsiTheme="majorBidi" w:cstheme="majorBidi"/>
          <w:sz w:val="24"/>
          <w:szCs w:val="24"/>
        </w:rPr>
        <w:t xml:space="preserve"> showed that</w:t>
      </w:r>
      <w:r>
        <w:rPr>
          <w:rFonts w:asciiTheme="majorBidi" w:hAnsiTheme="majorBidi" w:cstheme="majorBidi"/>
          <w:sz w:val="24"/>
          <w:szCs w:val="24"/>
        </w:rPr>
        <w:t xml:space="preserve"> t</w:t>
      </w:r>
      <w:r w:rsidRPr="008D75D3">
        <w:rPr>
          <w:rFonts w:asciiTheme="majorBidi" w:hAnsiTheme="majorBidi" w:cstheme="majorBidi"/>
          <w:sz w:val="24"/>
          <w:szCs w:val="24"/>
        </w:rPr>
        <w:t xml:space="preserve">he </w:t>
      </w:r>
      <w:r w:rsidRPr="00CB07F2">
        <w:rPr>
          <w:rFonts w:asciiTheme="majorBidi" w:hAnsiTheme="majorBidi" w:cstheme="majorBidi"/>
          <w:sz w:val="24"/>
          <w:szCs w:val="24"/>
        </w:rPr>
        <w:t>average</w:t>
      </w:r>
      <w:r w:rsidRPr="008D75D3">
        <w:rPr>
          <w:rFonts w:asciiTheme="majorBidi" w:hAnsiTheme="majorBidi" w:cstheme="majorBidi"/>
          <w:sz w:val="24"/>
          <w:szCs w:val="24"/>
        </w:rPr>
        <w:t xml:space="preserve"> of </w:t>
      </w:r>
      <w:r>
        <w:rPr>
          <w:rFonts w:asciiTheme="majorBidi" w:hAnsiTheme="majorBidi" w:cstheme="majorBidi"/>
          <w:sz w:val="24"/>
          <w:szCs w:val="24"/>
        </w:rPr>
        <w:t>ad</w:t>
      </w:r>
      <w:r w:rsidRPr="008D75D3">
        <w:rPr>
          <w:rFonts w:asciiTheme="majorBidi" w:hAnsiTheme="majorBidi" w:cstheme="majorBidi"/>
          <w:sz w:val="24"/>
          <w:szCs w:val="24"/>
        </w:rPr>
        <w:t xml:space="preserve"> likeability for</w:t>
      </w:r>
      <w:r>
        <w:rPr>
          <w:rFonts w:asciiTheme="majorBidi" w:hAnsiTheme="majorBidi" w:cstheme="majorBidi"/>
          <w:sz w:val="24"/>
          <w:szCs w:val="24"/>
        </w:rPr>
        <w:t xml:space="preserve"> n</w:t>
      </w:r>
      <w:r w:rsidRPr="008D75D3">
        <w:rPr>
          <w:rFonts w:asciiTheme="majorBidi" w:hAnsiTheme="majorBidi" w:cstheme="majorBidi"/>
          <w:sz w:val="24"/>
          <w:szCs w:val="24"/>
        </w:rPr>
        <w:t>on</w:t>
      </w:r>
      <w:r>
        <w:rPr>
          <w:rFonts w:asciiTheme="majorBidi" w:hAnsiTheme="majorBidi" w:cstheme="majorBidi"/>
          <w:sz w:val="24"/>
          <w:szCs w:val="24"/>
        </w:rPr>
        <w:t>-</w:t>
      </w:r>
      <w:r w:rsidRPr="008D75D3">
        <w:rPr>
          <w:rFonts w:asciiTheme="majorBidi" w:hAnsiTheme="majorBidi" w:cstheme="majorBidi"/>
          <w:sz w:val="24"/>
          <w:szCs w:val="24"/>
        </w:rPr>
        <w:t>CSR</w:t>
      </w:r>
      <w:r w:rsidRPr="00482F34">
        <w:rPr>
          <w:rFonts w:asciiTheme="majorBidi" w:hAnsiTheme="majorBidi" w:cstheme="majorBidi"/>
          <w:sz w:val="24"/>
          <w:szCs w:val="24"/>
        </w:rPr>
        <w:t xml:space="preserve"> </w:t>
      </w:r>
      <w:r>
        <w:rPr>
          <w:rFonts w:asciiTheme="majorBidi" w:hAnsiTheme="majorBidi" w:cstheme="majorBidi"/>
          <w:sz w:val="24"/>
          <w:szCs w:val="24"/>
        </w:rPr>
        <w:t>communication wa</w:t>
      </w:r>
      <w:r w:rsidRPr="008D75D3">
        <w:rPr>
          <w:rFonts w:asciiTheme="majorBidi" w:hAnsiTheme="majorBidi" w:cstheme="majorBidi"/>
          <w:sz w:val="24"/>
          <w:szCs w:val="24"/>
        </w:rPr>
        <w:t>s significantly lower than the average of CSR</w:t>
      </w:r>
      <w:r>
        <w:rPr>
          <w:rFonts w:asciiTheme="majorBidi" w:hAnsiTheme="majorBidi" w:cstheme="majorBidi"/>
          <w:sz w:val="24"/>
          <w:szCs w:val="24"/>
        </w:rPr>
        <w:t xml:space="preserve"> communication on television and social media. Additionally, study one showed that ad likeability has a </w:t>
      </w:r>
      <w:r w:rsidRPr="008D75D3">
        <w:rPr>
          <w:rFonts w:asciiTheme="majorBidi" w:hAnsiTheme="majorBidi" w:cstheme="majorBidi"/>
          <w:sz w:val="24"/>
          <w:szCs w:val="24"/>
        </w:rPr>
        <w:t>direct positive effect</w:t>
      </w:r>
      <w:r>
        <w:rPr>
          <w:rFonts w:asciiTheme="majorBidi" w:hAnsiTheme="majorBidi" w:cstheme="majorBidi"/>
          <w:sz w:val="24"/>
          <w:szCs w:val="24"/>
        </w:rPr>
        <w:t xml:space="preserve"> on purchase intentions among the sample of Egyptian consumers. This </w:t>
      </w:r>
      <w:r w:rsidR="001E7057">
        <w:rPr>
          <w:rFonts w:asciiTheme="majorBidi" w:hAnsiTheme="majorBidi" w:cstheme="majorBidi"/>
          <w:sz w:val="24"/>
          <w:szCs w:val="24"/>
        </w:rPr>
        <w:t>confirms</w:t>
      </w:r>
      <w:r>
        <w:rPr>
          <w:rFonts w:asciiTheme="majorBidi" w:hAnsiTheme="majorBidi" w:cstheme="majorBidi"/>
          <w:sz w:val="24"/>
          <w:szCs w:val="24"/>
        </w:rPr>
        <w:t xml:space="preserve"> previous findings in literatures that indicate that </w:t>
      </w:r>
      <w:r w:rsidRPr="00E17CEC">
        <w:rPr>
          <w:rFonts w:ascii="Times New Roman" w:hAnsi="Times New Roman" w:cs="Times New Roman"/>
          <w:sz w:val="24"/>
          <w:szCs w:val="24"/>
        </w:rPr>
        <w:t xml:space="preserve">ad likeability predicts consumers’ purchase intentions </w:t>
      </w:r>
      <w:sdt>
        <w:sdtPr>
          <w:rPr>
            <w:rFonts w:ascii="Times New Roman" w:hAnsi="Times New Roman" w:cs="Times New Roman"/>
            <w:sz w:val="24"/>
            <w:szCs w:val="24"/>
          </w:rPr>
          <w:id w:val="705692928"/>
          <w:citation/>
        </w:sdtPr>
        <w:sdtContent>
          <w:r w:rsidRPr="00E17CEC">
            <w:rPr>
              <w:rFonts w:ascii="Times New Roman" w:hAnsi="Times New Roman" w:cs="Times New Roman"/>
              <w:sz w:val="24"/>
              <w:szCs w:val="24"/>
            </w:rPr>
            <w:fldChar w:fldCharType="begin"/>
          </w:r>
          <w:r w:rsidRPr="00E17CEC">
            <w:rPr>
              <w:rFonts w:ascii="Times New Roman" w:hAnsi="Times New Roman" w:cs="Times New Roman"/>
              <w:sz w:val="24"/>
              <w:szCs w:val="24"/>
            </w:rPr>
            <w:instrText xml:space="preserve"> CITATION Afi22 \l 2057  \m Kau22</w:instrText>
          </w:r>
          <w:r w:rsidRPr="00E17CEC">
            <w:rPr>
              <w:rFonts w:ascii="Times New Roman" w:hAnsi="Times New Roman" w:cs="Times New Roman"/>
              <w:sz w:val="24"/>
              <w:szCs w:val="24"/>
            </w:rPr>
            <w:fldChar w:fldCharType="separate"/>
          </w:r>
          <w:r w:rsidRPr="00E17CEC">
            <w:rPr>
              <w:rFonts w:ascii="Times New Roman" w:hAnsi="Times New Roman" w:cs="Times New Roman"/>
              <w:noProof/>
              <w:sz w:val="24"/>
              <w:szCs w:val="24"/>
            </w:rPr>
            <w:t>(Afifah, 2022; Kaur, Paul, &amp; Sharma, 2022)</w:t>
          </w:r>
          <w:r w:rsidRPr="00E17CEC">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53A8E09D" w14:textId="79F4362A" w:rsidR="00364686"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00110EFE">
        <w:rPr>
          <w:rFonts w:ascii="Times New Roman" w:hAnsi="Times New Roman" w:cs="Times New Roman"/>
          <w:sz w:val="24"/>
          <w:szCs w:val="24"/>
        </w:rPr>
        <w:t xml:space="preserve"> This research focused on the overall perceptions and attitudes towards the ad message</w:t>
      </w:r>
      <w:sdt>
        <w:sdtPr>
          <w:rPr>
            <w:rFonts w:ascii="Times New Roman" w:hAnsi="Times New Roman" w:cs="Times New Roman"/>
            <w:sz w:val="24"/>
            <w:szCs w:val="24"/>
          </w:rPr>
          <w:id w:val="590129087"/>
          <w:citation/>
        </w:sdtPr>
        <w:sdtContent>
          <w:r w:rsidR="00110EFE" w:rsidRPr="00E17CEC">
            <w:rPr>
              <w:rFonts w:ascii="Times New Roman" w:hAnsi="Times New Roman" w:cs="Times New Roman"/>
              <w:sz w:val="24"/>
              <w:szCs w:val="24"/>
            </w:rPr>
            <w:fldChar w:fldCharType="begin"/>
          </w:r>
          <w:r w:rsidR="00110EFE" w:rsidRPr="00E17CEC">
            <w:rPr>
              <w:rFonts w:ascii="Times New Roman" w:hAnsi="Times New Roman" w:cs="Times New Roman"/>
              <w:sz w:val="24"/>
              <w:szCs w:val="24"/>
            </w:rPr>
            <w:instrText xml:space="preserve"> CITATION Ars21 \l 2057 </w:instrText>
          </w:r>
          <w:r w:rsidR="00110EFE">
            <w:rPr>
              <w:rFonts w:ascii="Times New Roman" w:hAnsi="Times New Roman" w:cs="Times New Roman"/>
              <w:sz w:val="24"/>
              <w:szCs w:val="24"/>
            </w:rPr>
            <w:instrText xml:space="preserve"> \m Dio21 \m Han18</w:instrText>
          </w:r>
          <w:r w:rsidR="00110EFE" w:rsidRPr="00E17CEC">
            <w:rPr>
              <w:rFonts w:ascii="Times New Roman" w:hAnsi="Times New Roman" w:cs="Times New Roman"/>
              <w:sz w:val="24"/>
              <w:szCs w:val="24"/>
            </w:rPr>
            <w:fldChar w:fldCharType="separate"/>
          </w:r>
          <w:r w:rsidR="00110EFE">
            <w:rPr>
              <w:rFonts w:ascii="Times New Roman" w:hAnsi="Times New Roman" w:cs="Times New Roman"/>
              <w:noProof/>
              <w:sz w:val="24"/>
              <w:szCs w:val="24"/>
            </w:rPr>
            <w:t xml:space="preserve"> </w:t>
          </w:r>
          <w:r w:rsidR="00110EFE" w:rsidRPr="00143A77">
            <w:rPr>
              <w:rFonts w:ascii="Times New Roman" w:hAnsi="Times New Roman" w:cs="Times New Roman"/>
              <w:noProof/>
              <w:sz w:val="24"/>
              <w:szCs w:val="24"/>
            </w:rPr>
            <w:t>(Arshad, 2021; Dion , 2021; Hanssens D. M., 2018)</w:t>
          </w:r>
          <w:r w:rsidR="00110EFE" w:rsidRPr="00E17CEC">
            <w:rPr>
              <w:rFonts w:ascii="Times New Roman" w:hAnsi="Times New Roman" w:cs="Times New Roman"/>
              <w:sz w:val="24"/>
              <w:szCs w:val="24"/>
            </w:rPr>
            <w:fldChar w:fldCharType="end"/>
          </w:r>
        </w:sdtContent>
      </w:sdt>
      <w:r w:rsidR="00110EFE">
        <w:rPr>
          <w:rFonts w:ascii="Times New Roman" w:hAnsi="Times New Roman" w:cs="Times New Roman"/>
          <w:sz w:val="24"/>
          <w:szCs w:val="24"/>
        </w:rPr>
        <w:t>. While</w:t>
      </w:r>
      <w:r>
        <w:rPr>
          <w:rFonts w:ascii="Times New Roman" w:hAnsi="Times New Roman" w:cs="Times New Roman"/>
          <w:sz w:val="24"/>
          <w:szCs w:val="24"/>
        </w:rPr>
        <w:t xml:space="preserve"> </w:t>
      </w:r>
      <w:r w:rsidR="00110EFE">
        <w:rPr>
          <w:rFonts w:ascii="Times New Roman" w:hAnsi="Times New Roman" w:cs="Times New Roman"/>
          <w:sz w:val="24"/>
          <w:szCs w:val="24"/>
        </w:rPr>
        <w:t>a few respondents from</w:t>
      </w:r>
      <w:r>
        <w:rPr>
          <w:rFonts w:ascii="Times New Roman" w:hAnsi="Times New Roman" w:cs="Times New Roman"/>
          <w:sz w:val="24"/>
          <w:szCs w:val="24"/>
        </w:rPr>
        <w:t xml:space="preserve"> study two </w:t>
      </w:r>
      <w:r w:rsidR="00110EFE">
        <w:rPr>
          <w:rFonts w:ascii="Times New Roman" w:hAnsi="Times New Roman" w:cs="Times New Roman"/>
          <w:sz w:val="24"/>
          <w:szCs w:val="24"/>
        </w:rPr>
        <w:t>liked s</w:t>
      </w:r>
      <w:r>
        <w:rPr>
          <w:rFonts w:ascii="Times New Roman" w:hAnsi="Times New Roman" w:cs="Times New Roman"/>
          <w:sz w:val="24"/>
          <w:szCs w:val="24"/>
        </w:rPr>
        <w:t>pecific elements in the ad such as the models</w:t>
      </w:r>
      <w:r w:rsidR="00110EFE">
        <w:rPr>
          <w:rFonts w:ascii="Times New Roman" w:hAnsi="Times New Roman" w:cs="Times New Roman"/>
          <w:sz w:val="24"/>
          <w:szCs w:val="24"/>
        </w:rPr>
        <w:t xml:space="preserve"> or the</w:t>
      </w:r>
      <w:r>
        <w:rPr>
          <w:rFonts w:ascii="Times New Roman" w:hAnsi="Times New Roman" w:cs="Times New Roman"/>
          <w:sz w:val="24"/>
          <w:szCs w:val="24"/>
        </w:rPr>
        <w:t xml:space="preserve"> music, </w:t>
      </w:r>
      <w:r w:rsidR="001307A0">
        <w:rPr>
          <w:rFonts w:ascii="Times New Roman" w:hAnsi="Times New Roman" w:cs="Times New Roman"/>
          <w:sz w:val="24"/>
          <w:szCs w:val="24"/>
        </w:rPr>
        <w:t xml:space="preserve">majority of respondents expressed that they liked the CSR ad more than non-CSR ad as they found it to be </w:t>
      </w:r>
      <w:r w:rsidR="00110EFE">
        <w:rPr>
          <w:rFonts w:ascii="Times New Roman" w:hAnsi="Times New Roman" w:cs="Times New Roman"/>
          <w:sz w:val="24"/>
          <w:szCs w:val="24"/>
        </w:rPr>
        <w:t xml:space="preserve">a </w:t>
      </w:r>
      <w:r w:rsidR="001307A0">
        <w:rPr>
          <w:rFonts w:ascii="Times New Roman" w:hAnsi="Times New Roman" w:cs="Times New Roman"/>
          <w:sz w:val="24"/>
          <w:szCs w:val="24"/>
        </w:rPr>
        <w:t xml:space="preserve">creative idea </w:t>
      </w:r>
      <w:r w:rsidR="00110EFE">
        <w:rPr>
          <w:rFonts w:ascii="Times New Roman" w:hAnsi="Times New Roman" w:cs="Times New Roman"/>
          <w:sz w:val="24"/>
          <w:szCs w:val="24"/>
        </w:rPr>
        <w:t>that</w:t>
      </w:r>
      <w:r w:rsidR="001307A0">
        <w:rPr>
          <w:rFonts w:ascii="Times New Roman" w:hAnsi="Times New Roman" w:cs="Times New Roman"/>
          <w:sz w:val="24"/>
          <w:szCs w:val="24"/>
        </w:rPr>
        <w:t xml:space="preserve"> presented a social campaign that is much needed in the Egyptian society</w:t>
      </w:r>
      <w:r w:rsidR="00110EFE">
        <w:rPr>
          <w:rFonts w:ascii="Times New Roman" w:hAnsi="Times New Roman" w:cs="Times New Roman"/>
          <w:sz w:val="24"/>
          <w:szCs w:val="24"/>
        </w:rPr>
        <w:t xml:space="preserve">. </w:t>
      </w:r>
      <w:r w:rsidR="002A387C">
        <w:rPr>
          <w:rFonts w:ascii="Times New Roman" w:hAnsi="Times New Roman" w:cs="Times New Roman"/>
          <w:sz w:val="24"/>
          <w:szCs w:val="24"/>
        </w:rPr>
        <w:t xml:space="preserve">This finding confirms </w:t>
      </w:r>
      <w:r w:rsidR="00110EFE">
        <w:rPr>
          <w:rFonts w:ascii="Times New Roman" w:hAnsi="Times New Roman" w:cs="Times New Roman"/>
          <w:sz w:val="24"/>
          <w:szCs w:val="24"/>
        </w:rPr>
        <w:t>the discussion</w:t>
      </w:r>
      <w:r w:rsidR="002A387C">
        <w:rPr>
          <w:rFonts w:ascii="Times New Roman" w:hAnsi="Times New Roman" w:cs="Times New Roman"/>
          <w:sz w:val="24"/>
          <w:szCs w:val="24"/>
        </w:rPr>
        <w:t xml:space="preserve"> in literature </w:t>
      </w:r>
      <w:r w:rsidR="00110EFE">
        <w:rPr>
          <w:rFonts w:ascii="Times New Roman" w:hAnsi="Times New Roman" w:cs="Times New Roman"/>
          <w:sz w:val="24"/>
          <w:szCs w:val="24"/>
        </w:rPr>
        <w:t xml:space="preserve">that there is a link between </w:t>
      </w:r>
    </w:p>
    <w:p w14:paraId="38418B46" w14:textId="43B01FCB" w:rsidR="00890438" w:rsidRDefault="00364686" w:rsidP="00364686">
      <w:pPr>
        <w:adjustRightInd w:val="0"/>
        <w:spacing w:after="0" w:line="480" w:lineRule="auto"/>
        <w:rPr>
          <w:rFonts w:ascii="Times New Roman" w:hAnsi="Times New Roman" w:cs="Times New Roman"/>
          <w:sz w:val="24"/>
          <w:szCs w:val="24"/>
        </w:rPr>
      </w:pPr>
      <w:r w:rsidRPr="00D04716">
        <w:rPr>
          <w:rFonts w:ascii="Times New Roman" w:hAnsi="Times New Roman" w:cs="Times New Roman"/>
          <w:sz w:val="24"/>
          <w:szCs w:val="24"/>
        </w:rPr>
        <w:t xml:space="preserve">consumers’ needs and their ad </w:t>
      </w:r>
      <w:r>
        <w:rPr>
          <w:rFonts w:ascii="Times New Roman" w:hAnsi="Times New Roman" w:cs="Times New Roman"/>
          <w:sz w:val="24"/>
          <w:szCs w:val="24"/>
        </w:rPr>
        <w:t xml:space="preserve">likeability </w:t>
      </w:r>
      <w:sdt>
        <w:sdtPr>
          <w:rPr>
            <w:rFonts w:ascii="Times New Roman" w:hAnsi="Times New Roman" w:cs="Times New Roman"/>
            <w:sz w:val="24"/>
            <w:szCs w:val="24"/>
          </w:rPr>
          <w:id w:val="1477262015"/>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Lea21 \l 2057 </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(Leary, 2021)</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r>
        <w:rPr>
          <w:rFonts w:ascii="Times New Roman" w:hAnsi="Times New Roman" w:cs="Times New Roman"/>
          <w:sz w:val="24"/>
          <w:szCs w:val="24"/>
        </w:rPr>
        <w:t xml:space="preserve"> Additionally, this finding expands the discussion </w:t>
      </w:r>
      <w:r w:rsidR="00890438">
        <w:rPr>
          <w:rFonts w:ascii="Times New Roman" w:hAnsi="Times New Roman" w:cs="Times New Roman"/>
          <w:sz w:val="24"/>
          <w:szCs w:val="24"/>
        </w:rPr>
        <w:t xml:space="preserve">of CSR communication in </w:t>
      </w:r>
      <w:r>
        <w:rPr>
          <w:rFonts w:ascii="Times New Roman" w:hAnsi="Times New Roman" w:cs="Times New Roman"/>
          <w:sz w:val="24"/>
          <w:szCs w:val="24"/>
        </w:rPr>
        <w:t xml:space="preserve">the Middle East which is crucial as CSR is vastly </w:t>
      </w:r>
      <w:r w:rsidR="005D026E">
        <w:rPr>
          <w:rFonts w:ascii="Times New Roman" w:hAnsi="Times New Roman" w:cs="Times New Roman"/>
          <w:sz w:val="24"/>
          <w:szCs w:val="24"/>
        </w:rPr>
        <w:t>under-researched</w:t>
      </w:r>
      <w:r w:rsidR="00890438">
        <w:rPr>
          <w:rFonts w:ascii="Times New Roman" w:hAnsi="Times New Roman" w:cs="Times New Roman"/>
          <w:sz w:val="24"/>
          <w:szCs w:val="24"/>
        </w:rPr>
        <w:t xml:space="preserve"> </w:t>
      </w:r>
      <w:r>
        <w:rPr>
          <w:rFonts w:ascii="Times New Roman" w:hAnsi="Times New Roman" w:cs="Times New Roman"/>
          <w:sz w:val="24"/>
          <w:szCs w:val="24"/>
        </w:rPr>
        <w:t xml:space="preserve">in the </w:t>
      </w:r>
      <w:r w:rsidR="00890438">
        <w:rPr>
          <w:rFonts w:ascii="Times New Roman" w:hAnsi="Times New Roman" w:cs="Times New Roman"/>
          <w:sz w:val="24"/>
          <w:szCs w:val="24"/>
        </w:rPr>
        <w:t xml:space="preserve">Middle East </w:t>
      </w:r>
      <w:sdt>
        <w:sdtPr>
          <w:rPr>
            <w:rFonts w:asciiTheme="majorBidi" w:hAnsiTheme="majorBidi" w:cstheme="majorBidi"/>
            <w:sz w:val="24"/>
            <w:szCs w:val="24"/>
          </w:rPr>
          <w:id w:val="-1390256951"/>
          <w:citation/>
        </w:sdtPr>
        <w:sdtContent>
          <w:r w:rsidR="00890438">
            <w:rPr>
              <w:rFonts w:asciiTheme="majorBidi" w:hAnsiTheme="majorBidi" w:cstheme="majorBidi"/>
              <w:sz w:val="24"/>
              <w:szCs w:val="24"/>
            </w:rPr>
            <w:fldChar w:fldCharType="begin"/>
          </w:r>
          <w:r>
            <w:rPr>
              <w:rFonts w:asciiTheme="majorBidi" w:hAnsiTheme="majorBidi" w:cstheme="majorBidi"/>
              <w:sz w:val="24"/>
              <w:szCs w:val="24"/>
            </w:rPr>
            <w:instrText xml:space="preserve">CITATION Aji20 \m Dia201 \m ElH21 \m Elh21 \l 2057 </w:instrText>
          </w:r>
          <w:r w:rsidR="00890438">
            <w:rPr>
              <w:rFonts w:asciiTheme="majorBidi" w:hAnsiTheme="majorBidi" w:cstheme="majorBidi"/>
              <w:sz w:val="24"/>
              <w:szCs w:val="24"/>
            </w:rPr>
            <w:fldChar w:fldCharType="separate"/>
          </w:r>
          <w:r w:rsidRPr="00364686">
            <w:rPr>
              <w:rFonts w:asciiTheme="majorBidi" w:hAnsiTheme="majorBidi" w:cstheme="majorBidi"/>
              <w:noProof/>
              <w:sz w:val="24"/>
              <w:szCs w:val="24"/>
            </w:rPr>
            <w:t>(Ajina, Roy, Nguyen, Japutra, &amp; Al-Hajla, 2020; Diab &amp; Metwally, 2020; El Haddad, Bachkirov, &amp; Grishina, 2021; Elhoushy &amp; Lanzini, 2021)</w:t>
          </w:r>
          <w:r w:rsidR="00890438">
            <w:rPr>
              <w:rFonts w:asciiTheme="majorBidi" w:hAnsiTheme="majorBidi" w:cstheme="majorBidi"/>
              <w:sz w:val="24"/>
              <w:szCs w:val="24"/>
            </w:rPr>
            <w:fldChar w:fldCharType="end"/>
          </w:r>
        </w:sdtContent>
      </w:sdt>
      <w:r w:rsidR="00A37EF6">
        <w:rPr>
          <w:rFonts w:asciiTheme="majorBidi" w:hAnsiTheme="majorBidi" w:cstheme="majorBidi"/>
          <w:sz w:val="24"/>
          <w:szCs w:val="24"/>
        </w:rPr>
        <w:t>. Therefore, it is an important academic contribution that CSR communication has a stronger impact on ad likeability than non-CSR communication. This study considered ad likeability is an initial and essential indicator for the success of the communication campaign</w:t>
      </w:r>
      <w:r w:rsidR="00544FFF" w:rsidRPr="00544FFF">
        <w:rPr>
          <w:rFonts w:ascii="Times New Roman" w:hAnsi="Times New Roman" w:cs="Times New Roman"/>
          <w:b/>
          <w:bCs/>
          <w:sz w:val="24"/>
          <w:szCs w:val="24"/>
        </w:rPr>
        <w:t xml:space="preserve"> </w:t>
      </w:r>
      <w:sdt>
        <w:sdtPr>
          <w:rPr>
            <w:rFonts w:ascii="Times New Roman" w:hAnsi="Times New Roman" w:cs="Times New Roman"/>
            <w:b/>
            <w:bCs/>
            <w:sz w:val="24"/>
            <w:szCs w:val="24"/>
          </w:rPr>
          <w:id w:val="496696604"/>
          <w:citation/>
        </w:sdtPr>
        <w:sdtContent>
          <w:r w:rsidR="00544FFF">
            <w:rPr>
              <w:rFonts w:ascii="Times New Roman" w:hAnsi="Times New Roman" w:cs="Times New Roman"/>
              <w:b/>
              <w:bCs/>
              <w:sz w:val="24"/>
              <w:szCs w:val="24"/>
            </w:rPr>
            <w:fldChar w:fldCharType="begin"/>
          </w:r>
          <w:r w:rsidR="00544FFF">
            <w:rPr>
              <w:rFonts w:ascii="Times New Roman" w:hAnsi="Times New Roman" w:cs="Times New Roman"/>
              <w:b/>
              <w:bCs/>
              <w:sz w:val="24"/>
              <w:szCs w:val="24"/>
            </w:rPr>
            <w:instrText xml:space="preserve"> CITATION Aus17 \l 2057  \m Mad18</w:instrText>
          </w:r>
          <w:r w:rsidR="00544FFF">
            <w:rPr>
              <w:rFonts w:ascii="Times New Roman" w:hAnsi="Times New Roman" w:cs="Times New Roman"/>
              <w:b/>
              <w:bCs/>
              <w:sz w:val="24"/>
              <w:szCs w:val="24"/>
            </w:rPr>
            <w:fldChar w:fldCharType="separate"/>
          </w:r>
          <w:r w:rsidR="00544FFF" w:rsidRPr="003970B6">
            <w:rPr>
              <w:rFonts w:ascii="Times New Roman" w:hAnsi="Times New Roman" w:cs="Times New Roman"/>
              <w:noProof/>
              <w:sz w:val="24"/>
              <w:szCs w:val="24"/>
            </w:rPr>
            <w:t>(Ausin, Guixeres, Bigné, &amp; Alcañiz , 2017; Madupu , Ranganathan, &amp; Sen , 2018)</w:t>
          </w:r>
          <w:r w:rsidR="00544FFF">
            <w:rPr>
              <w:rFonts w:ascii="Times New Roman" w:hAnsi="Times New Roman" w:cs="Times New Roman"/>
              <w:b/>
              <w:bCs/>
              <w:sz w:val="24"/>
              <w:szCs w:val="24"/>
            </w:rPr>
            <w:fldChar w:fldCharType="end"/>
          </w:r>
        </w:sdtContent>
      </w:sdt>
      <w:r w:rsidR="00A37EF6">
        <w:rPr>
          <w:rFonts w:asciiTheme="majorBidi" w:hAnsiTheme="majorBidi" w:cstheme="majorBidi"/>
          <w:sz w:val="24"/>
          <w:szCs w:val="24"/>
        </w:rPr>
        <w:t xml:space="preserve">. Since the CSR communication had a stronger impact on likeability than non-CSR communication, this studied investigated the impact of communication strategies on more brand attitudes. </w:t>
      </w:r>
    </w:p>
    <w:p w14:paraId="4588BF44" w14:textId="175A7A25" w:rsidR="00890438" w:rsidRPr="00142DC0" w:rsidRDefault="00890438" w:rsidP="00890438">
      <w:pPr>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8.</w:t>
      </w:r>
      <w:r w:rsidR="00A133C6">
        <w:rPr>
          <w:rFonts w:ascii="Times New Roman" w:hAnsi="Times New Roman" w:cs="Times New Roman"/>
          <w:b/>
          <w:bCs/>
          <w:sz w:val="24"/>
          <w:szCs w:val="24"/>
        </w:rPr>
        <w:t>2</w:t>
      </w:r>
      <w:r>
        <w:rPr>
          <w:rFonts w:ascii="Times New Roman" w:hAnsi="Times New Roman" w:cs="Times New Roman"/>
          <w:b/>
          <w:bCs/>
          <w:sz w:val="24"/>
          <w:szCs w:val="24"/>
        </w:rPr>
        <w:t xml:space="preserve">.3 </w:t>
      </w:r>
      <w:r w:rsidRPr="00142DC0">
        <w:rPr>
          <w:rFonts w:ascii="Times New Roman" w:hAnsi="Times New Roman" w:cs="Times New Roman"/>
          <w:b/>
          <w:bCs/>
          <w:sz w:val="24"/>
          <w:szCs w:val="24"/>
        </w:rPr>
        <w:t>Emotion</w:t>
      </w:r>
      <w:r>
        <w:rPr>
          <w:rFonts w:ascii="Times New Roman" w:hAnsi="Times New Roman" w:cs="Times New Roman"/>
          <w:b/>
          <w:bCs/>
          <w:sz w:val="24"/>
          <w:szCs w:val="24"/>
        </w:rPr>
        <w:t xml:space="preserve">al Brand Attachment </w:t>
      </w:r>
    </w:p>
    <w:p w14:paraId="2A1E6E71" w14:textId="5D6E9B65" w:rsidR="00890438"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presence of emotional appeals in CSR communication was deemed to be highly important in this study </w:t>
      </w:r>
      <w:r w:rsidR="00FF4D03">
        <w:rPr>
          <w:rFonts w:ascii="Times New Roman" w:hAnsi="Times New Roman" w:cs="Times New Roman"/>
          <w:sz w:val="24"/>
          <w:szCs w:val="24"/>
        </w:rPr>
        <w:t>which is also confirmed from</w:t>
      </w:r>
      <w:r w:rsidR="005D026E">
        <w:rPr>
          <w:rFonts w:ascii="Times New Roman" w:hAnsi="Times New Roman" w:cs="Times New Roman"/>
          <w:sz w:val="24"/>
          <w:szCs w:val="24"/>
        </w:rPr>
        <w:t xml:space="preserve"> the</w:t>
      </w:r>
      <w:r>
        <w:rPr>
          <w:rFonts w:ascii="Times New Roman" w:hAnsi="Times New Roman" w:cs="Times New Roman"/>
          <w:sz w:val="24"/>
          <w:szCs w:val="24"/>
        </w:rPr>
        <w:t xml:space="preserve"> literature </w:t>
      </w:r>
      <w:sdt>
        <w:sdtPr>
          <w:rPr>
            <w:rFonts w:ascii="Times New Roman" w:hAnsi="Times New Roman" w:cs="Times New Roman"/>
            <w:sz w:val="24"/>
            <w:szCs w:val="24"/>
          </w:rPr>
          <w:id w:val="-62006886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DuS101 \t  \m Fer211 \t  \l 2057 </w:instrText>
          </w:r>
          <w:r>
            <w:rPr>
              <w:rFonts w:ascii="Times New Roman" w:hAnsi="Times New Roman" w:cs="Times New Roman"/>
              <w:sz w:val="24"/>
              <w:szCs w:val="24"/>
            </w:rPr>
            <w:fldChar w:fldCharType="separate"/>
          </w:r>
          <w:r w:rsidRPr="00B611D4">
            <w:rPr>
              <w:rFonts w:ascii="Times New Roman" w:hAnsi="Times New Roman" w:cs="Times New Roman"/>
              <w:noProof/>
              <w:sz w:val="24"/>
              <w:szCs w:val="24"/>
            </w:rPr>
            <w:t>(Du, Bhattacharya, &amp; Sen, 2010; Fernández, Hartmann, &amp; Apaolaza, 2021)</w:t>
          </w:r>
          <w:r>
            <w:rPr>
              <w:rFonts w:ascii="Times New Roman" w:hAnsi="Times New Roman" w:cs="Times New Roman"/>
              <w:sz w:val="24"/>
              <w:szCs w:val="24"/>
            </w:rPr>
            <w:fldChar w:fldCharType="end"/>
          </w:r>
        </w:sdtContent>
      </w:sdt>
      <w:r>
        <w:rPr>
          <w:rFonts w:ascii="Times New Roman" w:hAnsi="Times New Roman" w:cs="Times New Roman"/>
          <w:sz w:val="24"/>
          <w:szCs w:val="24"/>
        </w:rPr>
        <w:t>. Accordingly, this was measured in this study to provide wholesome overview of CSR communication in terms of cognitive and affective influences</w:t>
      </w:r>
      <w:r w:rsidR="00820321">
        <w:rPr>
          <w:rFonts w:ascii="Times New Roman" w:hAnsi="Times New Roman" w:cs="Times New Roman"/>
          <w:sz w:val="24"/>
          <w:szCs w:val="24"/>
        </w:rPr>
        <w:t xml:space="preserve"> on consumers</w:t>
      </w:r>
      <w:r>
        <w:rPr>
          <w:rFonts w:ascii="Times New Roman" w:hAnsi="Times New Roman" w:cs="Times New Roman"/>
          <w:sz w:val="24"/>
          <w:szCs w:val="24"/>
        </w:rPr>
        <w:t>.</w:t>
      </w:r>
      <w:r w:rsidR="00C17612">
        <w:rPr>
          <w:rFonts w:ascii="Times New Roman" w:hAnsi="Times New Roman" w:cs="Times New Roman"/>
          <w:sz w:val="24"/>
          <w:szCs w:val="24"/>
        </w:rPr>
        <w:t xml:space="preserve"> </w:t>
      </w:r>
      <w:r>
        <w:rPr>
          <w:rFonts w:ascii="Times New Roman" w:hAnsi="Times New Roman" w:cs="Times New Roman"/>
          <w:sz w:val="24"/>
          <w:szCs w:val="24"/>
        </w:rPr>
        <w:t>Thus, this research shed</w:t>
      </w:r>
      <w:r w:rsidR="00820321">
        <w:rPr>
          <w:rFonts w:ascii="Times New Roman" w:hAnsi="Times New Roman" w:cs="Times New Roman"/>
          <w:sz w:val="24"/>
          <w:szCs w:val="24"/>
        </w:rPr>
        <w:t>s</w:t>
      </w:r>
      <w:r>
        <w:rPr>
          <w:rFonts w:ascii="Times New Roman" w:hAnsi="Times New Roman" w:cs="Times New Roman"/>
          <w:sz w:val="24"/>
          <w:szCs w:val="24"/>
        </w:rPr>
        <w:t xml:space="preserve"> light on the significance of including cognitive and affective influences in the TRA and differentiating between both of their effects on consumers. The questions related to emotional brand attachment included asking about “feeling a natural fit between the respondent and the brand” and “feeling an emotional connection and bond with Dettol.”</w:t>
      </w:r>
    </w:p>
    <w:p w14:paraId="6C7FBD9D" w14:textId="1F89F874" w:rsidR="00890438"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Comparing between the impact of CSR and non-CSR communication on consumers, results showed that the averages for the emotional brand attachment variable </w:t>
      </w:r>
      <w:r w:rsidR="00364686">
        <w:rPr>
          <w:rFonts w:ascii="Times New Roman" w:hAnsi="Times New Roman" w:cs="Times New Roman"/>
          <w:sz w:val="24"/>
          <w:szCs w:val="24"/>
        </w:rPr>
        <w:t>were</w:t>
      </w:r>
      <w:r>
        <w:rPr>
          <w:rFonts w:ascii="Times New Roman" w:hAnsi="Times New Roman" w:cs="Times New Roman"/>
          <w:sz w:val="24"/>
          <w:szCs w:val="24"/>
        </w:rPr>
        <w:t xml:space="preserve"> higher for CSR than non-CSR</w:t>
      </w:r>
      <w:r w:rsidR="00364686">
        <w:rPr>
          <w:rFonts w:ascii="Times New Roman" w:hAnsi="Times New Roman" w:cs="Times New Roman"/>
          <w:sz w:val="24"/>
          <w:szCs w:val="24"/>
        </w:rPr>
        <w:t xml:space="preserve"> communication</w:t>
      </w:r>
      <w:r w:rsidRPr="00D76461">
        <w:rPr>
          <w:rFonts w:ascii="Times New Roman" w:hAnsi="Times New Roman" w:cs="Times New Roman"/>
          <w:sz w:val="24"/>
          <w:szCs w:val="24"/>
        </w:rPr>
        <w:t>. This is because there was a positive direct effect of CSR</w:t>
      </w:r>
      <w:r w:rsidR="00364686" w:rsidRPr="00D76461">
        <w:rPr>
          <w:rFonts w:ascii="Times New Roman" w:hAnsi="Times New Roman" w:cs="Times New Roman"/>
          <w:sz w:val="24"/>
          <w:szCs w:val="24"/>
        </w:rPr>
        <w:t xml:space="preserve"> </w:t>
      </w:r>
      <w:r w:rsidRPr="00D76461">
        <w:rPr>
          <w:rFonts w:ascii="Times New Roman" w:hAnsi="Times New Roman" w:cs="Times New Roman"/>
          <w:sz w:val="24"/>
          <w:szCs w:val="24"/>
        </w:rPr>
        <w:t>on emotional brand attachment that was larger than non-CSR communication.</w:t>
      </w:r>
      <w:r>
        <w:rPr>
          <w:rFonts w:ascii="Times New Roman" w:hAnsi="Times New Roman" w:cs="Times New Roman"/>
          <w:sz w:val="24"/>
          <w:szCs w:val="24"/>
        </w:rPr>
        <w:t xml:space="preserve"> This is supported by findings of other studies in literature</w:t>
      </w:r>
      <w:r w:rsidR="00820321" w:rsidRPr="00820321">
        <w:rPr>
          <w:rFonts w:ascii="Times New Roman" w:hAnsi="Times New Roman" w:cs="Times New Roman"/>
          <w:sz w:val="24"/>
          <w:szCs w:val="24"/>
        </w:rPr>
        <w:t xml:space="preserve"> </w:t>
      </w:r>
      <w:r w:rsidR="00820321">
        <w:rPr>
          <w:rFonts w:ascii="Times New Roman" w:hAnsi="Times New Roman" w:cs="Times New Roman"/>
          <w:sz w:val="24"/>
          <w:szCs w:val="24"/>
        </w:rPr>
        <w:t xml:space="preserve">that </w:t>
      </w:r>
      <w:r w:rsidR="00B87B8E">
        <w:rPr>
          <w:rFonts w:ascii="Times New Roman" w:hAnsi="Times New Roman" w:cs="Times New Roman"/>
          <w:sz w:val="24"/>
          <w:szCs w:val="24"/>
        </w:rPr>
        <w:t xml:space="preserve">asserts that </w:t>
      </w:r>
      <w:r w:rsidR="00820321">
        <w:rPr>
          <w:rFonts w:ascii="Times New Roman" w:hAnsi="Times New Roman" w:cs="Times New Roman"/>
          <w:sz w:val="24"/>
          <w:szCs w:val="24"/>
        </w:rPr>
        <w:t xml:space="preserve">communicating </w:t>
      </w:r>
      <w:r w:rsidR="00820321" w:rsidRPr="00B82F6C">
        <w:rPr>
          <w:rFonts w:ascii="Times New Roman" w:hAnsi="Times New Roman" w:cs="Times New Roman"/>
          <w:sz w:val="24"/>
          <w:szCs w:val="24"/>
        </w:rPr>
        <w:t>altruistic motives</w:t>
      </w:r>
      <w:r w:rsidR="00820321">
        <w:rPr>
          <w:rFonts w:ascii="Times New Roman" w:hAnsi="Times New Roman" w:cs="Times New Roman"/>
          <w:sz w:val="24"/>
          <w:szCs w:val="24"/>
        </w:rPr>
        <w:t xml:space="preserve"> in ads trigger consumers’ positive emotions towards the ad </w:t>
      </w:r>
      <w:sdt>
        <w:sdtPr>
          <w:rPr>
            <w:rFonts w:ascii="Times New Roman" w:hAnsi="Times New Roman" w:cs="Times New Roman"/>
            <w:sz w:val="24"/>
            <w:szCs w:val="24"/>
          </w:rPr>
          <w:id w:val="625046808"/>
          <w:citation/>
        </w:sdtPr>
        <w:sdtContent>
          <w:r w:rsidR="00820321">
            <w:rPr>
              <w:rFonts w:ascii="Times New Roman" w:hAnsi="Times New Roman" w:cs="Times New Roman"/>
              <w:sz w:val="24"/>
              <w:szCs w:val="24"/>
            </w:rPr>
            <w:fldChar w:fldCharType="begin"/>
          </w:r>
          <w:r w:rsidR="00820321">
            <w:rPr>
              <w:rFonts w:ascii="Times New Roman" w:hAnsi="Times New Roman" w:cs="Times New Roman"/>
              <w:sz w:val="24"/>
              <w:szCs w:val="24"/>
            </w:rPr>
            <w:instrText>CITATION DuS101 \t  \l 2057  \m LuH16 \m Nab18</w:instrText>
          </w:r>
          <w:r w:rsidR="00820321">
            <w:rPr>
              <w:rFonts w:ascii="Times New Roman" w:hAnsi="Times New Roman" w:cs="Times New Roman"/>
              <w:sz w:val="24"/>
              <w:szCs w:val="24"/>
            </w:rPr>
            <w:fldChar w:fldCharType="separate"/>
          </w:r>
          <w:r w:rsidR="00820321" w:rsidRPr="00660E31">
            <w:rPr>
              <w:rFonts w:ascii="Times New Roman" w:hAnsi="Times New Roman" w:cs="Times New Roman"/>
              <w:noProof/>
              <w:sz w:val="24"/>
              <w:szCs w:val="24"/>
            </w:rPr>
            <w:t>(Du, Bhattacharya, &amp; Sen, 2010; Lu H. , 2016; Nabi, Gustafson, &amp; Jensen, 2018)</w:t>
          </w:r>
          <w:r w:rsidR="00820321">
            <w:rPr>
              <w:rFonts w:ascii="Times New Roman" w:hAnsi="Times New Roman" w:cs="Times New Roman"/>
              <w:sz w:val="24"/>
              <w:szCs w:val="24"/>
            </w:rPr>
            <w:fldChar w:fldCharType="end"/>
          </w:r>
        </w:sdtContent>
      </w:sdt>
      <w:r w:rsidR="00820321">
        <w:rPr>
          <w:rFonts w:ascii="Times New Roman" w:hAnsi="Times New Roman" w:cs="Times New Roman"/>
          <w:sz w:val="24"/>
          <w:szCs w:val="24"/>
        </w:rPr>
        <w:t>.</w:t>
      </w:r>
      <w:r>
        <w:rPr>
          <w:rFonts w:ascii="Times New Roman" w:hAnsi="Times New Roman" w:cs="Times New Roman"/>
          <w:sz w:val="24"/>
          <w:szCs w:val="24"/>
        </w:rPr>
        <w:t xml:space="preserve"> </w:t>
      </w:r>
      <w:r w:rsidR="00B87B8E">
        <w:rPr>
          <w:rFonts w:ascii="Times New Roman" w:hAnsi="Times New Roman" w:cs="Times New Roman"/>
          <w:sz w:val="24"/>
          <w:szCs w:val="24"/>
        </w:rPr>
        <w:t>Also, in study two</w:t>
      </w:r>
      <w:r>
        <w:rPr>
          <w:rFonts w:ascii="Times New Roman" w:hAnsi="Times New Roman" w:cs="Times New Roman"/>
          <w:sz w:val="24"/>
          <w:szCs w:val="24"/>
        </w:rPr>
        <w:t xml:space="preserve">, the participants in the interviews said they liked the ad because of the humanitarian message it presented. This was confirmed by the findings of study one as there was </w:t>
      </w:r>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 xml:space="preserve">positive correlation between </w:t>
      </w:r>
      <w:r>
        <w:rPr>
          <w:rFonts w:asciiTheme="majorBidi" w:hAnsiTheme="majorBidi" w:cstheme="majorBidi"/>
          <w:sz w:val="24"/>
          <w:szCs w:val="24"/>
          <w:lang w:bidi="ar-EG"/>
        </w:rPr>
        <w:t>ad</w:t>
      </w:r>
      <w:r w:rsidRPr="008D75D3">
        <w:rPr>
          <w:rFonts w:asciiTheme="majorBidi" w:hAnsiTheme="majorBidi" w:cstheme="majorBidi"/>
          <w:sz w:val="24"/>
          <w:szCs w:val="24"/>
          <w:lang w:bidi="ar-EG"/>
        </w:rPr>
        <w:t xml:space="preserve"> </w:t>
      </w:r>
      <w:r w:rsidR="00364686">
        <w:rPr>
          <w:rFonts w:asciiTheme="majorBidi" w:hAnsiTheme="majorBidi" w:cstheme="majorBidi"/>
          <w:sz w:val="24"/>
          <w:szCs w:val="24"/>
          <w:lang w:bidi="ar-EG"/>
        </w:rPr>
        <w:t>l</w:t>
      </w:r>
      <w:r w:rsidRPr="008D75D3">
        <w:rPr>
          <w:rFonts w:asciiTheme="majorBidi" w:hAnsiTheme="majorBidi" w:cstheme="majorBidi"/>
          <w:sz w:val="24"/>
          <w:szCs w:val="24"/>
          <w:lang w:bidi="ar-EG"/>
        </w:rPr>
        <w:t>ikeability and emotional brand</w:t>
      </w:r>
      <w:r>
        <w:rPr>
          <w:rFonts w:asciiTheme="majorBidi" w:hAnsiTheme="majorBidi" w:cstheme="majorBidi"/>
          <w:sz w:val="24"/>
          <w:szCs w:val="24"/>
          <w:lang w:bidi="ar-EG"/>
        </w:rPr>
        <w:t xml:space="preserve"> attachment. </w:t>
      </w:r>
      <w:r>
        <w:rPr>
          <w:rFonts w:ascii="Times New Roman" w:hAnsi="Times New Roman" w:cs="Times New Roman"/>
          <w:sz w:val="24"/>
          <w:szCs w:val="24"/>
        </w:rPr>
        <w:t xml:space="preserve">Even though, both stimuli had similar emotional music and overall affective tone, respondents felt more emotionally connected to the brand from the CSR stimulus because of the social campaign communicated in the ad. </w:t>
      </w:r>
    </w:p>
    <w:p w14:paraId="7B9A24B2" w14:textId="2D4C15D9" w:rsidR="00890438" w:rsidRDefault="00890438" w:rsidP="00890438">
      <w:pPr>
        <w:adjustRightInd w:val="0"/>
        <w:spacing w:after="0" w:line="480" w:lineRule="auto"/>
        <w:rPr>
          <w:rFonts w:asciiTheme="majorBidi" w:hAnsiTheme="majorBidi" w:cstheme="majorBidi"/>
          <w:sz w:val="24"/>
          <w:szCs w:val="24"/>
        </w:rPr>
      </w:pPr>
      <w:r>
        <w:rPr>
          <w:rFonts w:ascii="Times New Roman" w:hAnsi="Times New Roman" w:cs="Times New Roman"/>
          <w:sz w:val="24"/>
          <w:szCs w:val="24"/>
        </w:rPr>
        <w:tab/>
        <w:t xml:space="preserve">Furthermore, </w:t>
      </w:r>
      <w:r>
        <w:rPr>
          <w:rFonts w:asciiTheme="majorBidi" w:hAnsiTheme="majorBidi" w:cstheme="majorBidi"/>
          <w:sz w:val="24"/>
          <w:szCs w:val="24"/>
        </w:rPr>
        <w:t>the study showed that t</w:t>
      </w:r>
      <w:r w:rsidRPr="008D75D3">
        <w:rPr>
          <w:rFonts w:asciiTheme="majorBidi" w:hAnsiTheme="majorBidi" w:cstheme="majorBidi"/>
          <w:sz w:val="24"/>
          <w:szCs w:val="24"/>
        </w:rPr>
        <w:t xml:space="preserve">here is </w:t>
      </w:r>
      <w:r>
        <w:rPr>
          <w:rFonts w:asciiTheme="majorBidi" w:hAnsiTheme="majorBidi" w:cstheme="majorBidi"/>
          <w:sz w:val="24"/>
          <w:szCs w:val="24"/>
        </w:rPr>
        <w:t xml:space="preserve">a </w:t>
      </w:r>
      <w:r w:rsidRPr="008D75D3">
        <w:rPr>
          <w:rFonts w:asciiTheme="majorBidi" w:hAnsiTheme="majorBidi" w:cstheme="majorBidi"/>
          <w:sz w:val="24"/>
          <w:szCs w:val="24"/>
        </w:rPr>
        <w:t xml:space="preserve">direct positive effect </w:t>
      </w:r>
      <w:r w:rsidRPr="00F56928">
        <w:rPr>
          <w:rFonts w:asciiTheme="majorBidi" w:hAnsiTheme="majorBidi" w:cstheme="majorBidi"/>
          <w:sz w:val="24"/>
          <w:szCs w:val="24"/>
        </w:rPr>
        <w:t>of emotional brand</w:t>
      </w:r>
      <w:r w:rsidRPr="008D75D3">
        <w:rPr>
          <w:rFonts w:asciiTheme="majorBidi" w:hAnsiTheme="majorBidi" w:cstheme="majorBidi"/>
          <w:sz w:val="24"/>
          <w:szCs w:val="24"/>
        </w:rPr>
        <w:t xml:space="preserve"> </w:t>
      </w:r>
      <w:r>
        <w:rPr>
          <w:rFonts w:asciiTheme="majorBidi" w:hAnsiTheme="majorBidi" w:cstheme="majorBidi"/>
          <w:sz w:val="24"/>
          <w:szCs w:val="24"/>
        </w:rPr>
        <w:t xml:space="preserve">attachment </w:t>
      </w:r>
      <w:r w:rsidRPr="008D75D3">
        <w:rPr>
          <w:rFonts w:asciiTheme="majorBidi" w:hAnsiTheme="majorBidi" w:cstheme="majorBidi"/>
          <w:sz w:val="24"/>
          <w:szCs w:val="24"/>
        </w:rPr>
        <w:t>on purchase intention</w:t>
      </w:r>
      <w:r>
        <w:rPr>
          <w:rFonts w:asciiTheme="majorBidi" w:hAnsiTheme="majorBidi" w:cstheme="majorBidi"/>
          <w:sz w:val="24"/>
          <w:szCs w:val="24"/>
        </w:rPr>
        <w:t xml:space="preserve">. Also, emotional brand attachment mediates the halo effect of CSR communication on purchase intention. Based on these results </w:t>
      </w:r>
      <w:r w:rsidR="00B87B8E">
        <w:rPr>
          <w:rFonts w:asciiTheme="majorBidi" w:hAnsiTheme="majorBidi" w:cstheme="majorBidi"/>
          <w:sz w:val="24"/>
          <w:szCs w:val="24"/>
        </w:rPr>
        <w:t xml:space="preserve">that were also confirmed in </w:t>
      </w:r>
      <w:r>
        <w:rPr>
          <w:rFonts w:asciiTheme="majorBidi" w:hAnsiTheme="majorBidi" w:cstheme="majorBidi"/>
          <w:sz w:val="24"/>
          <w:szCs w:val="24"/>
        </w:rPr>
        <w:t xml:space="preserve">literature, emotions mediate the relationship between different aspects (such as CSR perception and perception of product functionality </w:t>
      </w:r>
      <w:sdt>
        <w:sdtPr>
          <w:rPr>
            <w:rFonts w:asciiTheme="majorBidi" w:hAnsiTheme="majorBidi" w:cstheme="majorBidi"/>
            <w:sz w:val="24"/>
            <w:szCs w:val="24"/>
          </w:rPr>
          <w:id w:val="986750727"/>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CITATION Min181 \t  \l 2057  \m Tuc12</w:instrText>
          </w:r>
          <w:r>
            <w:rPr>
              <w:rFonts w:asciiTheme="majorBidi" w:hAnsiTheme="majorBidi" w:cstheme="majorBidi"/>
              <w:sz w:val="24"/>
              <w:szCs w:val="24"/>
            </w:rPr>
            <w:fldChar w:fldCharType="separate"/>
          </w:r>
          <w:r w:rsidRPr="00622C0A">
            <w:rPr>
              <w:rFonts w:asciiTheme="majorBidi" w:hAnsiTheme="majorBidi" w:cstheme="majorBidi"/>
              <w:noProof/>
              <w:sz w:val="24"/>
              <w:szCs w:val="24"/>
            </w:rPr>
            <w:t>(Minge &amp; Thüring, 2018; Tuch, Roth, Hornbæk, Opwis, &amp; Bargas-Avila, 2012)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and the </w:t>
      </w:r>
      <w:r w:rsidR="00565469">
        <w:rPr>
          <w:rFonts w:asciiTheme="majorBidi" w:hAnsiTheme="majorBidi" w:cstheme="majorBidi"/>
          <w:sz w:val="24"/>
          <w:szCs w:val="24"/>
        </w:rPr>
        <w:t xml:space="preserve">possible </w:t>
      </w:r>
      <w:r>
        <w:rPr>
          <w:rFonts w:asciiTheme="majorBidi" w:hAnsiTheme="majorBidi" w:cstheme="majorBidi"/>
          <w:sz w:val="24"/>
          <w:szCs w:val="24"/>
        </w:rPr>
        <w:t>final interaction with the product</w:t>
      </w:r>
      <w:r w:rsidR="00565469">
        <w:rPr>
          <w:rFonts w:asciiTheme="majorBidi" w:hAnsiTheme="majorBidi" w:cstheme="majorBidi"/>
          <w:sz w:val="24"/>
          <w:szCs w:val="24"/>
        </w:rPr>
        <w:t xml:space="preserve"> which purchase intention</w:t>
      </w:r>
      <w:r>
        <w:rPr>
          <w:rFonts w:asciiTheme="majorBidi" w:hAnsiTheme="majorBidi" w:cstheme="majorBidi"/>
          <w:sz w:val="24"/>
          <w:szCs w:val="24"/>
        </w:rPr>
        <w:t xml:space="preserve">. Likewise, in this study, results showed that there is </w:t>
      </w:r>
      <w:r>
        <w:rPr>
          <w:rFonts w:asciiTheme="majorBidi" w:hAnsiTheme="majorBidi" w:cstheme="majorBidi"/>
          <w:sz w:val="24"/>
          <w:szCs w:val="24"/>
          <w:lang w:bidi="ar-EG"/>
        </w:rPr>
        <w:t xml:space="preserve">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positive correlation between brand functionality</w:t>
      </w:r>
      <w:r>
        <w:rPr>
          <w:rFonts w:asciiTheme="majorBidi" w:hAnsiTheme="majorBidi" w:cstheme="majorBidi"/>
          <w:sz w:val="24"/>
          <w:szCs w:val="24"/>
          <w:lang w:bidi="ar-EG"/>
        </w:rPr>
        <w:t xml:space="preserve"> </w:t>
      </w:r>
      <w:r w:rsidRPr="008D75D3">
        <w:rPr>
          <w:rFonts w:asciiTheme="majorBidi" w:hAnsiTheme="majorBidi" w:cstheme="majorBidi"/>
          <w:sz w:val="24"/>
          <w:szCs w:val="24"/>
          <w:lang w:bidi="ar-EG"/>
        </w:rPr>
        <w:t>and emotional brand</w:t>
      </w:r>
      <w:r>
        <w:rPr>
          <w:rFonts w:asciiTheme="majorBidi" w:hAnsiTheme="majorBidi" w:cstheme="majorBidi"/>
          <w:sz w:val="24"/>
          <w:szCs w:val="24"/>
          <w:lang w:bidi="ar-EG"/>
        </w:rPr>
        <w:t xml:space="preserve"> attachment. </w:t>
      </w:r>
      <w:r>
        <w:rPr>
          <w:rFonts w:asciiTheme="majorBidi" w:hAnsiTheme="majorBidi" w:cstheme="majorBidi"/>
          <w:sz w:val="24"/>
          <w:szCs w:val="24"/>
        </w:rPr>
        <w:t>Halo effect is highly swayed by the attachment styles of the participants which are formed based on a mix of deep inner emotions</w:t>
      </w:r>
      <w:r w:rsidRPr="00D67AE7">
        <w:rPr>
          <w:rFonts w:asciiTheme="majorBidi" w:hAnsiTheme="majorBidi" w:cstheme="majorBidi"/>
          <w:sz w:val="24"/>
          <w:szCs w:val="24"/>
        </w:rPr>
        <w:t xml:space="preserve"> </w:t>
      </w:r>
      <w:sdt>
        <w:sdtPr>
          <w:rPr>
            <w:rFonts w:asciiTheme="majorBidi" w:hAnsiTheme="majorBidi" w:cstheme="majorBidi"/>
            <w:sz w:val="24"/>
            <w:szCs w:val="24"/>
          </w:rPr>
          <w:id w:val="-210456403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Gab21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(Gabrieli, Lee, Setoh, &amp; Esposito,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This specific finding can be further expanded on in future research by examining further details and exact types of emotions that consumers reveal towards CSR ads that makes them intend to purchase the communicated product. </w:t>
      </w:r>
    </w:p>
    <w:p w14:paraId="637EB9D2" w14:textId="05B3C43B" w:rsidR="00890438" w:rsidRDefault="00890438" w:rsidP="00890438">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Clearly, it is </w:t>
      </w:r>
      <w:r w:rsidR="00364686">
        <w:rPr>
          <w:rFonts w:asciiTheme="majorBidi" w:hAnsiTheme="majorBidi" w:cstheme="majorBidi"/>
          <w:sz w:val="24"/>
          <w:szCs w:val="24"/>
        </w:rPr>
        <w:t>evident</w:t>
      </w:r>
      <w:r>
        <w:rPr>
          <w:rFonts w:asciiTheme="majorBidi" w:hAnsiTheme="majorBidi" w:cstheme="majorBidi"/>
          <w:sz w:val="24"/>
          <w:szCs w:val="24"/>
        </w:rPr>
        <w:t xml:space="preserve"> </w:t>
      </w:r>
      <w:r w:rsidR="00364686">
        <w:rPr>
          <w:rFonts w:asciiTheme="majorBidi" w:hAnsiTheme="majorBidi" w:cstheme="majorBidi"/>
          <w:sz w:val="24"/>
          <w:szCs w:val="24"/>
        </w:rPr>
        <w:t>from</w:t>
      </w:r>
      <w:r>
        <w:rPr>
          <w:rFonts w:asciiTheme="majorBidi" w:hAnsiTheme="majorBidi" w:cstheme="majorBidi"/>
          <w:sz w:val="24"/>
          <w:szCs w:val="24"/>
        </w:rPr>
        <w:t xml:space="preserve"> the quantitative and qualitative studies that emotional brand attachment has a direct effect on purchase intention among FMCG consumers in Egypt. While many authors expanded the SOR theory to</w:t>
      </w:r>
      <w:r w:rsidRPr="00E55742">
        <w:t xml:space="preserve"> </w:t>
      </w:r>
      <w:r w:rsidRPr="00E55742">
        <w:rPr>
          <w:rFonts w:asciiTheme="majorBidi" w:hAnsiTheme="majorBidi" w:cstheme="majorBidi"/>
          <w:sz w:val="24"/>
          <w:szCs w:val="24"/>
        </w:rPr>
        <w:t>consider cognition</w:t>
      </w:r>
      <w:r>
        <w:rPr>
          <w:rFonts w:asciiTheme="majorBidi" w:hAnsiTheme="majorBidi" w:cstheme="majorBidi"/>
          <w:sz w:val="24"/>
          <w:szCs w:val="24"/>
        </w:rPr>
        <w:t>s</w:t>
      </w:r>
      <w:r w:rsidRPr="00E55742">
        <w:rPr>
          <w:rFonts w:asciiTheme="majorBidi" w:hAnsiTheme="majorBidi" w:cstheme="majorBidi"/>
          <w:sz w:val="24"/>
          <w:szCs w:val="24"/>
        </w:rPr>
        <w:t xml:space="preserve"> and emotion</w:t>
      </w:r>
      <w:r>
        <w:rPr>
          <w:rFonts w:asciiTheme="majorBidi" w:hAnsiTheme="majorBidi" w:cstheme="majorBidi"/>
          <w:sz w:val="24"/>
          <w:szCs w:val="24"/>
        </w:rPr>
        <w:t xml:space="preserve">s in organisms </w:t>
      </w:r>
      <w:sdt>
        <w:sdtPr>
          <w:rPr>
            <w:rFonts w:asciiTheme="majorBidi" w:hAnsiTheme="majorBidi" w:cstheme="majorBidi"/>
            <w:sz w:val="24"/>
            <w:szCs w:val="24"/>
          </w:rPr>
          <w:id w:val="163128480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Bar191 \m Cha14 \m Kim20 \l 2057 </w:instrText>
          </w:r>
          <w:r>
            <w:rPr>
              <w:rFonts w:asciiTheme="majorBidi" w:hAnsiTheme="majorBidi" w:cstheme="majorBidi"/>
              <w:sz w:val="24"/>
              <w:szCs w:val="24"/>
            </w:rPr>
            <w:fldChar w:fldCharType="separate"/>
          </w:r>
          <w:r w:rsidRPr="00C52C42">
            <w:rPr>
              <w:rFonts w:asciiTheme="majorBidi" w:hAnsiTheme="majorBidi" w:cstheme="majorBidi"/>
              <w:noProof/>
              <w:sz w:val="24"/>
              <w:szCs w:val="24"/>
            </w:rPr>
            <w:t>(Barros, Petroll, Damacena, &amp; Kanoppe, 2019; Chang, Shu, &amp; King, 2014; Kim, Lee, &amp; Jung, 2020)</w:t>
          </w:r>
          <w:r>
            <w:rPr>
              <w:rFonts w:asciiTheme="majorBidi" w:hAnsiTheme="majorBidi" w:cstheme="majorBidi"/>
              <w:sz w:val="24"/>
              <w:szCs w:val="24"/>
            </w:rPr>
            <w:fldChar w:fldCharType="end"/>
          </w:r>
        </w:sdtContent>
      </w:sdt>
      <w:r>
        <w:rPr>
          <w:rFonts w:asciiTheme="majorBidi" w:hAnsiTheme="majorBidi" w:cstheme="majorBidi"/>
          <w:sz w:val="24"/>
          <w:szCs w:val="24"/>
        </w:rPr>
        <w:t>, TRA does not consider emotional and unconscious aspects as predictors of the final outcome</w:t>
      </w:r>
      <w:r w:rsidRPr="000F60CD">
        <w:rPr>
          <w:rFonts w:asciiTheme="majorBidi" w:hAnsiTheme="majorBidi" w:cstheme="majorBidi"/>
          <w:sz w:val="24"/>
          <w:szCs w:val="24"/>
        </w:rPr>
        <w:t xml:space="preserve"> </w:t>
      </w:r>
      <w:sdt>
        <w:sdtPr>
          <w:rPr>
            <w:rFonts w:asciiTheme="majorBidi" w:hAnsiTheme="majorBidi" w:cstheme="majorBidi"/>
            <w:sz w:val="24"/>
            <w:szCs w:val="24"/>
          </w:rPr>
          <w:id w:val="-185078575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Ash2022 \m Kan13 \m Sni141 \t  \l 2057 </w:instrText>
          </w:r>
          <w:r>
            <w:rPr>
              <w:rFonts w:asciiTheme="majorBidi" w:hAnsiTheme="majorBidi" w:cstheme="majorBidi"/>
              <w:sz w:val="24"/>
              <w:szCs w:val="24"/>
            </w:rPr>
            <w:fldChar w:fldCharType="separate"/>
          </w:r>
          <w:r w:rsidRPr="00E655E6">
            <w:rPr>
              <w:rFonts w:asciiTheme="majorBidi" w:hAnsiTheme="majorBidi" w:cstheme="majorBidi"/>
              <w:noProof/>
              <w:sz w:val="24"/>
              <w:szCs w:val="24"/>
            </w:rPr>
            <w:t>(Ashaduzzaman, et al., 2022; Kang &amp; Kim, 2013; Sniehotta, Presseau, &amp; Araújo-Soares, 2014)</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in the main determinant attitudes of the theory. Although previous authors developed a modified version of TPB that includes emotions as a predictor of the outcome</w:t>
      </w:r>
      <w:sdt>
        <w:sdtPr>
          <w:rPr>
            <w:rFonts w:asciiTheme="majorBidi" w:hAnsiTheme="majorBidi" w:cstheme="majorBidi"/>
            <w:sz w:val="24"/>
            <w:szCs w:val="24"/>
          </w:rPr>
          <w:id w:val="-584849334"/>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Ash2022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9E55E6">
            <w:rPr>
              <w:rFonts w:asciiTheme="majorBidi" w:hAnsiTheme="majorBidi" w:cstheme="majorBidi"/>
              <w:noProof/>
              <w:sz w:val="24"/>
              <w:szCs w:val="24"/>
            </w:rPr>
            <w:t>(Ashaduzzaman M. , et al., 2022)</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this model was developed based on a meta-analysis and the direct impact of emotional attachment on purchase intention was not explicitly measured. </w:t>
      </w:r>
      <w:r w:rsidRPr="00D76461">
        <w:rPr>
          <w:rFonts w:asciiTheme="majorBidi" w:hAnsiTheme="majorBidi" w:cstheme="majorBidi"/>
          <w:sz w:val="24"/>
          <w:szCs w:val="24"/>
        </w:rPr>
        <w:t xml:space="preserve">Thus, </w:t>
      </w:r>
      <w:bookmarkStart w:id="240" w:name="_Hlk137472376"/>
      <w:r w:rsidRPr="00D76461">
        <w:rPr>
          <w:rFonts w:asciiTheme="majorBidi" w:hAnsiTheme="majorBidi" w:cstheme="majorBidi"/>
          <w:sz w:val="24"/>
          <w:szCs w:val="24"/>
        </w:rPr>
        <w:t xml:space="preserve">this study contributes to theory by proving that measuring affective </w:t>
      </w:r>
      <w:r w:rsidR="00B87B8E" w:rsidRPr="00D76461">
        <w:rPr>
          <w:rFonts w:asciiTheme="majorBidi" w:hAnsiTheme="majorBidi" w:cstheme="majorBidi"/>
          <w:sz w:val="24"/>
          <w:szCs w:val="24"/>
        </w:rPr>
        <w:t xml:space="preserve">brand </w:t>
      </w:r>
      <w:r w:rsidRPr="00D76461">
        <w:rPr>
          <w:rFonts w:asciiTheme="majorBidi" w:hAnsiTheme="majorBidi" w:cstheme="majorBidi"/>
          <w:sz w:val="24"/>
          <w:szCs w:val="24"/>
        </w:rPr>
        <w:t>attitudes towards purchase intention especially towards low-involvement products is necessary to predict purchase intention.</w:t>
      </w:r>
      <w:r>
        <w:rPr>
          <w:rFonts w:asciiTheme="majorBidi" w:hAnsiTheme="majorBidi" w:cstheme="majorBidi"/>
          <w:sz w:val="24"/>
          <w:szCs w:val="24"/>
        </w:rPr>
        <w:t xml:space="preserve"> </w:t>
      </w:r>
      <w:bookmarkEnd w:id="240"/>
      <w:r>
        <w:rPr>
          <w:rFonts w:asciiTheme="majorBidi" w:hAnsiTheme="majorBidi" w:cstheme="majorBidi"/>
          <w:sz w:val="24"/>
          <w:szCs w:val="24"/>
        </w:rPr>
        <w:t xml:space="preserve">Moreover, by examining the impact of emotional brand attachment, this study asserts the importance of measuring attitudes towards the brands in TRA </w:t>
      </w:r>
      <w:r w:rsidR="00565469">
        <w:rPr>
          <w:rFonts w:asciiTheme="majorBidi" w:hAnsiTheme="majorBidi" w:cstheme="majorBidi"/>
          <w:sz w:val="24"/>
          <w:szCs w:val="24"/>
        </w:rPr>
        <w:t xml:space="preserve">in </w:t>
      </w:r>
      <w:r>
        <w:rPr>
          <w:rFonts w:asciiTheme="majorBidi" w:hAnsiTheme="majorBidi" w:cstheme="majorBidi"/>
          <w:sz w:val="24"/>
          <w:szCs w:val="24"/>
        </w:rPr>
        <w:t>predicting the final behavioural intention.</w:t>
      </w:r>
    </w:p>
    <w:p w14:paraId="0FABA28E" w14:textId="173FC96E" w:rsidR="00890438" w:rsidRDefault="00890438" w:rsidP="00890438">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t xml:space="preserve">Yet, it is necessary to explain that the concept of emotions is usually discussed concurrently with the concept of utilitarian attitudes towards ads or brands. There is an ongoing debate in literature on the comparative importance of cognitive and affective attitudes towards brands and their influence on consumer behaviour </w:t>
      </w:r>
      <w:sdt>
        <w:sdtPr>
          <w:rPr>
            <w:rFonts w:asciiTheme="majorBidi" w:hAnsiTheme="majorBidi" w:cstheme="majorBidi"/>
            <w:sz w:val="24"/>
            <w:szCs w:val="24"/>
          </w:rPr>
          <w:id w:val="11241225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Aak10 \l 2057  \m Dew20 \m Gen17</w:instrText>
          </w:r>
          <w:r>
            <w:rPr>
              <w:rFonts w:asciiTheme="majorBidi" w:hAnsiTheme="majorBidi" w:cstheme="majorBidi"/>
              <w:sz w:val="24"/>
              <w:szCs w:val="24"/>
            </w:rPr>
            <w:fldChar w:fldCharType="separate"/>
          </w:r>
          <w:r w:rsidRPr="00F80267">
            <w:rPr>
              <w:rFonts w:asciiTheme="majorBidi" w:hAnsiTheme="majorBidi" w:cstheme="majorBidi"/>
              <w:noProof/>
              <w:sz w:val="24"/>
              <w:szCs w:val="24"/>
            </w:rPr>
            <w:t>(Aaker, Vohs, &amp; Mogilner, 2010; Dewi &amp; Ang, 2020; Gendel Guterman &amp; Levy, 2017)</w:t>
          </w:r>
          <w:r>
            <w:rPr>
              <w:rFonts w:asciiTheme="majorBidi" w:hAnsiTheme="majorBidi" w:cstheme="majorBidi"/>
              <w:sz w:val="24"/>
              <w:szCs w:val="24"/>
            </w:rPr>
            <w:fldChar w:fldCharType="end"/>
          </w:r>
        </w:sdtContent>
      </w:sdt>
      <w:r>
        <w:rPr>
          <w:rFonts w:asciiTheme="majorBidi" w:hAnsiTheme="majorBidi" w:cstheme="majorBidi"/>
          <w:sz w:val="24"/>
          <w:szCs w:val="24"/>
        </w:rPr>
        <w:t>.</w:t>
      </w:r>
      <w:r w:rsidRPr="00F80267">
        <w:rPr>
          <w:rFonts w:ascii="Times New Roman" w:hAnsi="Times New Roman" w:cs="Times New Roman"/>
          <w:sz w:val="24"/>
          <w:szCs w:val="24"/>
        </w:rPr>
        <w:t xml:space="preserve"> </w:t>
      </w:r>
      <w:r>
        <w:rPr>
          <w:rFonts w:ascii="Times New Roman" w:hAnsi="Times New Roman" w:cs="Times New Roman"/>
          <w:sz w:val="24"/>
          <w:szCs w:val="24"/>
        </w:rPr>
        <w:t xml:space="preserve">In this study, </w:t>
      </w:r>
      <w:r w:rsidR="00B87B8E">
        <w:rPr>
          <w:rFonts w:ascii="Times New Roman" w:hAnsi="Times New Roman" w:cs="Times New Roman"/>
          <w:sz w:val="24"/>
          <w:szCs w:val="24"/>
        </w:rPr>
        <w:t xml:space="preserve">among other variables, </w:t>
      </w:r>
      <w:r>
        <w:rPr>
          <w:rFonts w:ascii="Times New Roman" w:hAnsi="Times New Roman" w:cs="Times New Roman"/>
          <w:sz w:val="24"/>
          <w:szCs w:val="24"/>
        </w:rPr>
        <w:t xml:space="preserve">the affective attitudes were depicted in emotional brand attachment and cognitive attitudes were resembled in perceived brand functionality. </w:t>
      </w:r>
      <w:r w:rsidRPr="00473678">
        <w:rPr>
          <w:rFonts w:ascii="Times New Roman" w:hAnsi="Times New Roman" w:cs="Times New Roman"/>
          <w:sz w:val="24"/>
          <w:szCs w:val="24"/>
        </w:rPr>
        <w:t>The importance of emotional brand attachment in CSR communication is undeniable because, unlike perceived brand functionality, it was directly affected by CSR communication.</w:t>
      </w:r>
      <w:r w:rsidR="00473678" w:rsidRPr="00473678">
        <w:rPr>
          <w:rFonts w:ascii="Times New Roman" w:hAnsi="Times New Roman" w:cs="Times New Roman"/>
          <w:sz w:val="24"/>
          <w:szCs w:val="24"/>
        </w:rPr>
        <w:t xml:space="preserve"> Additionally, unlike perceived brand functionality, emotional brand attachment mediated the indirect effect between CSR and purchase intention. </w:t>
      </w:r>
      <w:r w:rsidRPr="00473678">
        <w:rPr>
          <w:rFonts w:ascii="Times New Roman" w:hAnsi="Times New Roman" w:cs="Times New Roman"/>
          <w:sz w:val="24"/>
          <w:szCs w:val="24"/>
        </w:rPr>
        <w:t xml:space="preserve">Nonetheless, the effect of perceived brand functionality on purchase intention was slightly larger than </w:t>
      </w:r>
      <w:r w:rsidR="00473678" w:rsidRPr="00473678">
        <w:rPr>
          <w:rFonts w:ascii="Times New Roman" w:hAnsi="Times New Roman" w:cs="Times New Roman"/>
          <w:sz w:val="24"/>
          <w:szCs w:val="24"/>
        </w:rPr>
        <w:t xml:space="preserve">the effect of </w:t>
      </w:r>
      <w:r w:rsidRPr="00473678">
        <w:rPr>
          <w:rFonts w:ascii="Times New Roman" w:hAnsi="Times New Roman" w:cs="Times New Roman"/>
          <w:sz w:val="24"/>
          <w:szCs w:val="24"/>
        </w:rPr>
        <w:t>emotional brand attachmen</w:t>
      </w:r>
      <w:r w:rsidR="000A43AD" w:rsidRPr="00473678">
        <w:rPr>
          <w:rFonts w:ascii="Times New Roman" w:hAnsi="Times New Roman" w:cs="Times New Roman"/>
          <w:sz w:val="24"/>
          <w:szCs w:val="24"/>
        </w:rPr>
        <w:t>t</w:t>
      </w:r>
      <w:r w:rsidR="00473678" w:rsidRPr="00473678">
        <w:rPr>
          <w:rFonts w:ascii="Times New Roman" w:hAnsi="Times New Roman" w:cs="Times New Roman"/>
          <w:sz w:val="24"/>
          <w:szCs w:val="24"/>
        </w:rPr>
        <w:t xml:space="preserve"> on purchase intention</w:t>
      </w:r>
      <w:r w:rsidR="000A43AD" w:rsidRPr="00473678">
        <w:rPr>
          <w:rFonts w:ascii="Times New Roman" w:hAnsi="Times New Roman" w:cs="Times New Roman"/>
          <w:sz w:val="24"/>
          <w:szCs w:val="24"/>
        </w:rPr>
        <w:t xml:space="preserve"> thus, accepting H4 and rejecting H5. </w:t>
      </w:r>
      <w:r w:rsidRPr="00473678">
        <w:rPr>
          <w:rFonts w:ascii="Times New Roman" w:hAnsi="Times New Roman" w:cs="Times New Roman"/>
          <w:sz w:val="24"/>
          <w:szCs w:val="24"/>
        </w:rPr>
        <w:t>The following section explores perceived brand functionality in more details.</w:t>
      </w:r>
      <w:r>
        <w:rPr>
          <w:rFonts w:ascii="Times New Roman" w:hAnsi="Times New Roman" w:cs="Times New Roman"/>
          <w:sz w:val="24"/>
          <w:szCs w:val="24"/>
        </w:rPr>
        <w:t xml:space="preserve"> </w:t>
      </w:r>
    </w:p>
    <w:p w14:paraId="4687DF54" w14:textId="4DA4BE9A" w:rsidR="00890438" w:rsidRPr="003E794A" w:rsidRDefault="00890438" w:rsidP="00890438">
      <w:pPr>
        <w:adjustRightInd w:val="0"/>
        <w:spacing w:after="0" w:line="480" w:lineRule="auto"/>
        <w:rPr>
          <w:rFonts w:asciiTheme="majorBidi" w:hAnsiTheme="majorBidi" w:cstheme="majorBidi"/>
          <w:b/>
          <w:bCs/>
          <w:sz w:val="24"/>
          <w:szCs w:val="24"/>
        </w:rPr>
      </w:pPr>
      <w:r w:rsidRPr="0062204D">
        <w:rPr>
          <w:rFonts w:ascii="Times New Roman" w:hAnsi="Times New Roman" w:cs="Times New Roman"/>
          <w:b/>
          <w:bCs/>
          <w:sz w:val="24"/>
          <w:szCs w:val="24"/>
        </w:rPr>
        <w:t>8.</w:t>
      </w:r>
      <w:r w:rsidR="00A133C6" w:rsidRPr="0062204D">
        <w:rPr>
          <w:rFonts w:ascii="Times New Roman" w:hAnsi="Times New Roman" w:cs="Times New Roman"/>
          <w:b/>
          <w:bCs/>
          <w:sz w:val="24"/>
          <w:szCs w:val="24"/>
        </w:rPr>
        <w:t>2</w:t>
      </w:r>
      <w:r w:rsidRPr="0062204D">
        <w:rPr>
          <w:rFonts w:ascii="Times New Roman" w:hAnsi="Times New Roman" w:cs="Times New Roman"/>
          <w:b/>
          <w:bCs/>
          <w:sz w:val="24"/>
          <w:szCs w:val="24"/>
        </w:rPr>
        <w:t xml:space="preserve">.4 </w:t>
      </w:r>
      <w:r w:rsidRPr="0062204D">
        <w:rPr>
          <w:rFonts w:asciiTheme="majorBidi" w:hAnsiTheme="majorBidi" w:cstheme="majorBidi"/>
          <w:b/>
          <w:bCs/>
          <w:sz w:val="24"/>
          <w:szCs w:val="24"/>
        </w:rPr>
        <w:t>Perceived Brand Functionality</w:t>
      </w:r>
      <w:r w:rsidRPr="003E794A">
        <w:rPr>
          <w:rFonts w:asciiTheme="majorBidi" w:hAnsiTheme="majorBidi" w:cstheme="majorBidi"/>
          <w:b/>
          <w:bCs/>
          <w:sz w:val="24"/>
          <w:szCs w:val="24"/>
        </w:rPr>
        <w:t xml:space="preserve"> </w:t>
      </w:r>
    </w:p>
    <w:p w14:paraId="658F66C4" w14:textId="05951F73" w:rsidR="00890438" w:rsidRPr="00363E8E"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E06F73">
        <w:rPr>
          <w:rFonts w:ascii="Times New Roman" w:hAnsi="Times New Roman" w:cs="Times New Roman"/>
          <w:sz w:val="24"/>
          <w:szCs w:val="24"/>
        </w:rPr>
        <w:t xml:space="preserve">Even though CSR communication does not focus on the functions and benefits of the products, it appears in literature that </w:t>
      </w:r>
      <w:r w:rsidR="0062204D">
        <w:rPr>
          <w:rFonts w:ascii="Times New Roman" w:hAnsi="Times New Roman" w:cs="Times New Roman"/>
          <w:sz w:val="24"/>
          <w:szCs w:val="24"/>
        </w:rPr>
        <w:t>CSR</w:t>
      </w:r>
      <w:r w:rsidRPr="00E06F73">
        <w:rPr>
          <w:rFonts w:ascii="Times New Roman" w:hAnsi="Times New Roman" w:cs="Times New Roman"/>
          <w:sz w:val="24"/>
          <w:szCs w:val="24"/>
        </w:rPr>
        <w:t xml:space="preserve"> has a positive spillover effect on perceived brand functionality </w:t>
      </w:r>
      <w:sdt>
        <w:sdtPr>
          <w:rPr>
            <w:rFonts w:ascii="Times New Roman" w:hAnsi="Times New Roman" w:cs="Times New Roman"/>
            <w:sz w:val="24"/>
            <w:szCs w:val="24"/>
          </w:rPr>
          <w:id w:val="1999756541"/>
          <w:citation/>
        </w:sdtPr>
        <w:sdtContent>
          <w:r w:rsidRPr="00E06F73">
            <w:rPr>
              <w:rFonts w:ascii="Times New Roman" w:hAnsi="Times New Roman" w:cs="Times New Roman"/>
              <w:sz w:val="24"/>
              <w:szCs w:val="24"/>
            </w:rPr>
            <w:fldChar w:fldCharType="begin"/>
          </w:r>
          <w:r w:rsidRPr="00E06F73">
            <w:rPr>
              <w:rFonts w:ascii="Times New Roman" w:hAnsi="Times New Roman" w:cs="Times New Roman"/>
              <w:sz w:val="24"/>
              <w:szCs w:val="24"/>
            </w:rPr>
            <w:instrText xml:space="preserve"> CITATION Moh171 \l 2057 </w:instrText>
          </w:r>
          <w:r w:rsidRPr="00E06F73">
            <w:rPr>
              <w:rFonts w:ascii="Times New Roman" w:hAnsi="Times New Roman" w:cs="Times New Roman"/>
              <w:sz w:val="24"/>
              <w:szCs w:val="24"/>
            </w:rPr>
            <w:fldChar w:fldCharType="separate"/>
          </w:r>
          <w:r w:rsidRPr="00E06F73">
            <w:rPr>
              <w:rFonts w:ascii="Times New Roman" w:hAnsi="Times New Roman" w:cs="Times New Roman"/>
              <w:noProof/>
              <w:sz w:val="24"/>
              <w:szCs w:val="24"/>
            </w:rPr>
            <w:t>(Mohan, Jiménez, Brown, &amp; Cantrell, 2017)</w:t>
          </w:r>
          <w:r w:rsidRPr="00E06F73">
            <w:rPr>
              <w:rFonts w:ascii="Times New Roman" w:hAnsi="Times New Roman" w:cs="Times New Roman"/>
              <w:sz w:val="24"/>
              <w:szCs w:val="24"/>
            </w:rPr>
            <w:fldChar w:fldCharType="end"/>
          </w:r>
        </w:sdtContent>
      </w:sdt>
      <w:r w:rsidRPr="00E06F73">
        <w:rPr>
          <w:rFonts w:ascii="Times New Roman" w:hAnsi="Times New Roman" w:cs="Times New Roman"/>
          <w:sz w:val="24"/>
          <w:szCs w:val="24"/>
        </w:rPr>
        <w:t>.</w:t>
      </w:r>
      <w:r>
        <w:rPr>
          <w:rFonts w:ascii="Times New Roman" w:hAnsi="Times New Roman" w:cs="Times New Roman"/>
          <w:sz w:val="24"/>
          <w:szCs w:val="24"/>
        </w:rPr>
        <w:t xml:space="preserve"> This was negated in this study as both investigated communication </w:t>
      </w:r>
      <w:r w:rsidR="00391D20">
        <w:rPr>
          <w:rFonts w:ascii="Times New Roman" w:hAnsi="Times New Roman" w:cs="Times New Roman"/>
          <w:sz w:val="24"/>
          <w:szCs w:val="24"/>
        </w:rPr>
        <w:t xml:space="preserve">strategies </w:t>
      </w:r>
      <w:r>
        <w:rPr>
          <w:rFonts w:ascii="Times New Roman" w:hAnsi="Times New Roman" w:cs="Times New Roman"/>
          <w:sz w:val="24"/>
          <w:szCs w:val="24"/>
        </w:rPr>
        <w:t>did not affect perceived brand functionality</w:t>
      </w:r>
      <w:r w:rsidR="003145C8">
        <w:rPr>
          <w:rFonts w:ascii="Times New Roman" w:hAnsi="Times New Roman" w:cs="Times New Roman"/>
          <w:sz w:val="24"/>
          <w:szCs w:val="24"/>
        </w:rPr>
        <w:t xml:space="preserve"> which led to rejecting H3.</w:t>
      </w:r>
      <w:r w:rsidR="00565469">
        <w:rPr>
          <w:rFonts w:ascii="Times New Roman" w:hAnsi="Times New Roman" w:cs="Times New Roman"/>
          <w:sz w:val="24"/>
          <w:szCs w:val="24"/>
        </w:rPr>
        <w:t xml:space="preserve"> This is </w:t>
      </w:r>
      <w:r w:rsidR="00565469" w:rsidRPr="00341607">
        <w:rPr>
          <w:rFonts w:ascii="Times New Roman" w:hAnsi="Times New Roman" w:cs="Times New Roman"/>
          <w:sz w:val="24"/>
          <w:szCs w:val="24"/>
        </w:rPr>
        <w:t>because there was no significant direct effect of the communication strategy on perceived brand functionality in this product type.</w:t>
      </w:r>
      <w:r>
        <w:rPr>
          <w:rFonts w:ascii="Times New Roman" w:hAnsi="Times New Roman" w:cs="Times New Roman"/>
          <w:sz w:val="24"/>
          <w:szCs w:val="24"/>
        </w:rPr>
        <w:t xml:space="preserve"> In fact, </w:t>
      </w:r>
      <w:r w:rsidRPr="00B942D8">
        <w:rPr>
          <w:rFonts w:ascii="Times New Roman" w:hAnsi="Times New Roman" w:cs="Times New Roman"/>
          <w:sz w:val="24"/>
          <w:szCs w:val="24"/>
        </w:rPr>
        <w:t xml:space="preserve">the only direct effect on perceived brand functionality happened from the media </w:t>
      </w:r>
      <w:r w:rsidR="00AC4A9E">
        <w:rPr>
          <w:rFonts w:ascii="Times New Roman" w:hAnsi="Times New Roman" w:cs="Times New Roman"/>
          <w:sz w:val="24"/>
          <w:szCs w:val="24"/>
        </w:rPr>
        <w:t>vehicle</w:t>
      </w:r>
      <w:r w:rsidRPr="00B942D8">
        <w:rPr>
          <w:rFonts w:ascii="Times New Roman" w:hAnsi="Times New Roman" w:cs="Times New Roman"/>
          <w:sz w:val="24"/>
          <w:szCs w:val="24"/>
        </w:rPr>
        <w:t>. This means that the respondents’ evaluations</w:t>
      </w:r>
      <w:r w:rsidR="00431510">
        <w:rPr>
          <w:rFonts w:ascii="Times New Roman" w:hAnsi="Times New Roman" w:cs="Times New Roman"/>
          <w:sz w:val="24"/>
          <w:szCs w:val="24"/>
        </w:rPr>
        <w:t xml:space="preserve"> or preference</w:t>
      </w:r>
      <w:r w:rsidRPr="00B942D8">
        <w:rPr>
          <w:rFonts w:ascii="Times New Roman" w:hAnsi="Times New Roman" w:cs="Times New Roman"/>
          <w:sz w:val="24"/>
          <w:szCs w:val="24"/>
        </w:rPr>
        <w:t xml:space="preserve"> of media channel will impact their perceived brand functionality.</w:t>
      </w:r>
      <w:r>
        <w:rPr>
          <w:rFonts w:ascii="Times New Roman" w:hAnsi="Times New Roman" w:cs="Times New Roman"/>
          <w:sz w:val="24"/>
          <w:szCs w:val="24"/>
        </w:rPr>
        <w:t xml:space="preserve"> This study proved that </w:t>
      </w:r>
      <w:r w:rsidR="00AC0AFA">
        <w:rPr>
          <w:rFonts w:ascii="Times New Roman" w:hAnsi="Times New Roman" w:cs="Times New Roman"/>
          <w:sz w:val="24"/>
          <w:szCs w:val="24"/>
        </w:rPr>
        <w:t xml:space="preserve">the impact </w:t>
      </w:r>
      <w:bookmarkStart w:id="241" w:name="_Hlk157272229"/>
      <w:r w:rsidR="00AC0AFA">
        <w:rPr>
          <w:rFonts w:ascii="Times New Roman" w:hAnsi="Times New Roman" w:cs="Times New Roman"/>
          <w:sz w:val="24"/>
          <w:szCs w:val="24"/>
        </w:rPr>
        <w:t>of</w:t>
      </w:r>
      <w:r w:rsidR="00431510">
        <w:rPr>
          <w:rFonts w:ascii="Times New Roman" w:hAnsi="Times New Roman" w:cs="Times New Roman"/>
          <w:sz w:val="24"/>
          <w:szCs w:val="24"/>
        </w:rPr>
        <w:t xml:space="preserve"> CSR or non-CSR</w:t>
      </w:r>
      <w:r>
        <w:rPr>
          <w:rFonts w:ascii="Times New Roman" w:hAnsi="Times New Roman" w:cs="Times New Roman"/>
          <w:sz w:val="24"/>
          <w:szCs w:val="24"/>
        </w:rPr>
        <w:t xml:space="preserve"> communication </w:t>
      </w:r>
      <w:r w:rsidR="00391D20">
        <w:rPr>
          <w:rFonts w:ascii="Times New Roman" w:hAnsi="Times New Roman" w:cs="Times New Roman"/>
          <w:sz w:val="24"/>
          <w:szCs w:val="24"/>
        </w:rPr>
        <w:t xml:space="preserve">strategies </w:t>
      </w:r>
      <w:r>
        <w:rPr>
          <w:rFonts w:ascii="Times New Roman" w:hAnsi="Times New Roman" w:cs="Times New Roman"/>
          <w:sz w:val="24"/>
          <w:szCs w:val="24"/>
        </w:rPr>
        <w:t>in Egypt on perceived brand functionality</w:t>
      </w:r>
      <w:r w:rsidR="00AC0AFA">
        <w:rPr>
          <w:rFonts w:ascii="Times New Roman" w:hAnsi="Times New Roman" w:cs="Times New Roman"/>
          <w:sz w:val="24"/>
          <w:szCs w:val="24"/>
        </w:rPr>
        <w:t xml:space="preserve"> was insignificant</w:t>
      </w:r>
      <w:r>
        <w:rPr>
          <w:rFonts w:ascii="Times New Roman" w:hAnsi="Times New Roman" w:cs="Times New Roman"/>
          <w:sz w:val="24"/>
          <w:szCs w:val="24"/>
        </w:rPr>
        <w:t xml:space="preserve">, but perceived brand functionality </w:t>
      </w:r>
      <w:r w:rsidR="00AC0AFA">
        <w:rPr>
          <w:rFonts w:ascii="Times New Roman" w:hAnsi="Times New Roman" w:cs="Times New Roman"/>
          <w:sz w:val="24"/>
          <w:szCs w:val="24"/>
        </w:rPr>
        <w:t>had</w:t>
      </w:r>
      <w:r>
        <w:rPr>
          <w:rFonts w:ascii="Times New Roman" w:hAnsi="Times New Roman" w:cs="Times New Roman"/>
          <w:sz w:val="24"/>
          <w:szCs w:val="24"/>
        </w:rPr>
        <w:t xml:space="preserve"> a direct effect on purchase intention</w:t>
      </w:r>
      <w:bookmarkEnd w:id="241"/>
      <w:r>
        <w:rPr>
          <w:rFonts w:ascii="Times New Roman" w:hAnsi="Times New Roman" w:cs="Times New Roman"/>
          <w:sz w:val="24"/>
          <w:szCs w:val="24"/>
        </w:rPr>
        <w:t>. Hence, confirming the reasons behind the debate between cognitive and affective attitudes. This indicates</w:t>
      </w:r>
      <w:r w:rsidR="00431510">
        <w:rPr>
          <w:rFonts w:ascii="Times New Roman" w:hAnsi="Times New Roman" w:cs="Times New Roman"/>
          <w:sz w:val="24"/>
          <w:szCs w:val="24"/>
        </w:rPr>
        <w:t xml:space="preserve"> that </w:t>
      </w:r>
      <w:r>
        <w:rPr>
          <w:rFonts w:ascii="Times New Roman" w:hAnsi="Times New Roman" w:cs="Times New Roman"/>
          <w:sz w:val="24"/>
          <w:szCs w:val="24"/>
        </w:rPr>
        <w:t xml:space="preserve">communicating the brand’s functions is somewhat important to influence purchase intention. Other aspects such as brand likeability and emotional reaction towards the brand and the ad positively influence perceived brand functionality </w:t>
      </w:r>
      <w:sdt>
        <w:sdtPr>
          <w:rPr>
            <w:rFonts w:ascii="Times New Roman" w:hAnsi="Times New Roman" w:cs="Times New Roman"/>
            <w:sz w:val="24"/>
            <w:szCs w:val="24"/>
          </w:rPr>
          <w:id w:val="782156729"/>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Alw21 \l 2057 </w:instrText>
          </w:r>
          <w:r>
            <w:rPr>
              <w:rFonts w:ascii="Times New Roman" w:hAnsi="Times New Roman" w:cs="Times New Roman"/>
              <w:sz w:val="24"/>
              <w:szCs w:val="24"/>
            </w:rPr>
            <w:instrText xml:space="preserve"> \m Gum20 \m Par20</w:instrText>
          </w:r>
          <w:r w:rsidRPr="00D04716">
            <w:rPr>
              <w:rFonts w:ascii="Times New Roman" w:hAnsi="Times New Roman" w:cs="Times New Roman"/>
              <w:sz w:val="24"/>
              <w:szCs w:val="24"/>
            </w:rPr>
            <w:fldChar w:fldCharType="separate"/>
          </w:r>
          <w:r w:rsidRPr="002A4E5E">
            <w:rPr>
              <w:rFonts w:ascii="Times New Roman" w:hAnsi="Times New Roman" w:cs="Times New Roman"/>
              <w:noProof/>
              <w:sz w:val="24"/>
              <w:szCs w:val="24"/>
            </w:rPr>
            <w:t>(Alwitt &amp; Mitchell, 2021; Gumparthi &amp; Patra, 2020; Park, Lalwani, &amp; Silvera, 2020)</w:t>
          </w:r>
          <w:r w:rsidRPr="00D04716">
            <w:rPr>
              <w:rFonts w:ascii="Times New Roman" w:hAnsi="Times New Roman" w:cs="Times New Roman"/>
              <w:sz w:val="24"/>
              <w:szCs w:val="24"/>
            </w:rPr>
            <w:fldChar w:fldCharType="end"/>
          </w:r>
        </w:sdtContent>
      </w:sdt>
      <w:r w:rsidRPr="00D04716">
        <w:rPr>
          <w:rFonts w:ascii="Times New Roman" w:hAnsi="Times New Roman" w:cs="Times New Roman"/>
          <w:sz w:val="24"/>
          <w:szCs w:val="24"/>
        </w:rPr>
        <w:t>.</w:t>
      </w:r>
      <w:r>
        <w:rPr>
          <w:rFonts w:ascii="Times New Roman" w:hAnsi="Times New Roman" w:cs="Times New Roman"/>
          <w:sz w:val="24"/>
          <w:szCs w:val="24"/>
        </w:rPr>
        <w:t xml:space="preserve"> This was also established in this study as there was a </w:t>
      </w:r>
      <w:r w:rsidRPr="00E95919">
        <w:rPr>
          <w:rFonts w:asciiTheme="majorBidi" w:hAnsiTheme="majorBidi" w:cstheme="majorBidi"/>
          <w:sz w:val="24"/>
          <w:szCs w:val="24"/>
          <w:lang w:bidi="ar-EG"/>
        </w:rPr>
        <w:t>statistical</w:t>
      </w:r>
      <w:r>
        <w:rPr>
          <w:rFonts w:asciiTheme="majorBidi" w:hAnsiTheme="majorBidi" w:cstheme="majorBidi"/>
          <w:sz w:val="24"/>
          <w:szCs w:val="24"/>
          <w:lang w:bidi="ar-EG"/>
        </w:rPr>
        <w:t xml:space="preserve">ly significant </w:t>
      </w:r>
      <w:r w:rsidRPr="008D75D3">
        <w:rPr>
          <w:rFonts w:asciiTheme="majorBidi" w:hAnsiTheme="majorBidi" w:cstheme="majorBidi"/>
          <w:sz w:val="24"/>
          <w:szCs w:val="24"/>
          <w:lang w:bidi="ar-EG"/>
        </w:rPr>
        <w:t>positive correlation between brand functionality, and each of brand likeability, emotional brand</w:t>
      </w:r>
      <w:r>
        <w:rPr>
          <w:rFonts w:asciiTheme="majorBidi" w:hAnsiTheme="majorBidi" w:cstheme="majorBidi"/>
          <w:sz w:val="24"/>
          <w:szCs w:val="24"/>
          <w:lang w:bidi="ar-EG"/>
        </w:rPr>
        <w:t xml:space="preserve"> attachment</w:t>
      </w:r>
      <w:r w:rsidRPr="008D75D3">
        <w:rPr>
          <w:rFonts w:asciiTheme="majorBidi" w:hAnsiTheme="majorBidi" w:cstheme="majorBidi"/>
          <w:sz w:val="24"/>
          <w:szCs w:val="24"/>
          <w:lang w:bidi="ar-EG"/>
        </w:rPr>
        <w:t>, and brand trust</w:t>
      </w:r>
      <w:r>
        <w:rPr>
          <w:rFonts w:asciiTheme="majorBidi" w:hAnsiTheme="majorBidi" w:cstheme="majorBidi"/>
          <w:sz w:val="24"/>
          <w:szCs w:val="24"/>
          <w:lang w:bidi="ar-EG"/>
        </w:rPr>
        <w:t>.</w:t>
      </w:r>
    </w:p>
    <w:p w14:paraId="49665175" w14:textId="541AC595" w:rsidR="00890438" w:rsidRPr="00150D07" w:rsidRDefault="00890438" w:rsidP="00890438">
      <w:pPr>
        <w:adjustRightInd w:val="0"/>
        <w:spacing w:after="0" w:line="480" w:lineRule="auto"/>
        <w:rPr>
          <w:rFonts w:asciiTheme="majorBidi" w:hAnsiTheme="majorBidi" w:cstheme="majorBidi"/>
          <w:sz w:val="24"/>
          <w:szCs w:val="24"/>
        </w:rPr>
      </w:pPr>
      <w:r>
        <w:rPr>
          <w:rFonts w:ascii="Times New Roman" w:hAnsi="Times New Roman" w:cs="Times New Roman"/>
          <w:sz w:val="24"/>
          <w:szCs w:val="24"/>
        </w:rPr>
        <w:tab/>
        <w:t xml:space="preserve">On the other hand, the results of study two showed that </w:t>
      </w:r>
      <w:r w:rsidRPr="00341607">
        <w:rPr>
          <w:rFonts w:ascii="Times New Roman" w:hAnsi="Times New Roman" w:cs="Times New Roman"/>
          <w:sz w:val="24"/>
          <w:szCs w:val="24"/>
        </w:rPr>
        <w:t xml:space="preserve">majority of respondents don’t need functional communication from a well-known brand like Dettol and only few respondents needed information about the </w:t>
      </w:r>
      <w:r w:rsidR="00C17612" w:rsidRPr="00341607">
        <w:rPr>
          <w:rFonts w:ascii="Times New Roman" w:hAnsi="Times New Roman" w:cs="Times New Roman"/>
          <w:sz w:val="24"/>
          <w:szCs w:val="24"/>
        </w:rPr>
        <w:t>functions</w:t>
      </w:r>
      <w:r w:rsidRPr="00341607">
        <w:rPr>
          <w:rFonts w:ascii="Times New Roman" w:hAnsi="Times New Roman" w:cs="Times New Roman"/>
          <w:sz w:val="24"/>
          <w:szCs w:val="24"/>
        </w:rPr>
        <w:t xml:space="preserve"> of the </w:t>
      </w:r>
      <w:r w:rsidR="00431510" w:rsidRPr="00341607">
        <w:rPr>
          <w:rFonts w:ascii="Times New Roman" w:hAnsi="Times New Roman" w:cs="Times New Roman"/>
          <w:sz w:val="24"/>
          <w:szCs w:val="24"/>
        </w:rPr>
        <w:t>product</w:t>
      </w:r>
      <w:r w:rsidRPr="00341607">
        <w:rPr>
          <w:rFonts w:ascii="Times New Roman" w:hAnsi="Times New Roman" w:cs="Times New Roman"/>
          <w:sz w:val="24"/>
          <w:szCs w:val="24"/>
        </w:rPr>
        <w:t xml:space="preserve">. This finding reverts back to the fact that </w:t>
      </w:r>
      <w:r w:rsidRPr="00341607">
        <w:rPr>
          <w:rFonts w:asciiTheme="majorBidi" w:hAnsiTheme="majorBidi" w:cstheme="majorBidi"/>
          <w:sz w:val="24"/>
          <w:szCs w:val="24"/>
        </w:rPr>
        <w:t xml:space="preserve">FMCGs products do not usually require a lot of information processing and decision-making process to make a </w:t>
      </w:r>
      <w:r w:rsidR="00BD1D5E" w:rsidRPr="00341607">
        <w:rPr>
          <w:rFonts w:asciiTheme="majorBidi" w:hAnsiTheme="majorBidi" w:cstheme="majorBidi"/>
          <w:sz w:val="24"/>
          <w:szCs w:val="24"/>
        </w:rPr>
        <w:t>purchase</w:t>
      </w:r>
      <w:sdt>
        <w:sdtPr>
          <w:rPr>
            <w:rFonts w:asciiTheme="majorBidi" w:hAnsiTheme="majorBidi" w:cstheme="majorBidi"/>
            <w:sz w:val="24"/>
            <w:szCs w:val="24"/>
          </w:rPr>
          <w:id w:val="-13228611"/>
          <w:citation/>
        </w:sdtPr>
        <w:sdtContent>
          <w:r w:rsidRPr="00341607">
            <w:rPr>
              <w:rFonts w:asciiTheme="majorBidi" w:hAnsiTheme="majorBidi" w:cstheme="majorBidi"/>
              <w:sz w:val="24"/>
              <w:szCs w:val="24"/>
            </w:rPr>
            <w:fldChar w:fldCharType="begin"/>
          </w:r>
          <w:r w:rsidRPr="00341607">
            <w:rPr>
              <w:rFonts w:asciiTheme="majorBidi" w:hAnsiTheme="majorBidi" w:cstheme="majorBidi"/>
              <w:sz w:val="24"/>
              <w:szCs w:val="24"/>
            </w:rPr>
            <w:instrText xml:space="preserve"> CITATION Man18 \l 2057  \m Ver23</w:instrText>
          </w:r>
          <w:r w:rsidRPr="00341607">
            <w:rPr>
              <w:rFonts w:asciiTheme="majorBidi" w:hAnsiTheme="majorBidi" w:cstheme="majorBidi"/>
              <w:sz w:val="24"/>
              <w:szCs w:val="24"/>
            </w:rPr>
            <w:fldChar w:fldCharType="separate"/>
          </w:r>
          <w:r w:rsidRPr="00341607">
            <w:rPr>
              <w:rFonts w:asciiTheme="majorBidi" w:hAnsiTheme="majorBidi" w:cstheme="majorBidi"/>
              <w:noProof/>
              <w:sz w:val="24"/>
              <w:szCs w:val="24"/>
            </w:rPr>
            <w:t xml:space="preserve"> (Mann &amp; Ghuman, 2018; Verma, Rojhe, Horská , Sharma, &amp; Šedík , 2023)</w:t>
          </w:r>
          <w:r w:rsidRPr="00341607">
            <w:rPr>
              <w:rFonts w:asciiTheme="majorBidi" w:hAnsiTheme="majorBidi" w:cstheme="majorBidi"/>
              <w:sz w:val="24"/>
              <w:szCs w:val="24"/>
            </w:rPr>
            <w:fldChar w:fldCharType="end"/>
          </w:r>
        </w:sdtContent>
      </w:sdt>
      <w:r w:rsidRPr="00341607">
        <w:rPr>
          <w:rFonts w:asciiTheme="majorBidi" w:hAnsiTheme="majorBidi" w:cstheme="majorBidi"/>
          <w:sz w:val="24"/>
          <w:szCs w:val="24"/>
        </w:rPr>
        <w:t>.</w:t>
      </w:r>
      <w:r>
        <w:rPr>
          <w:rFonts w:asciiTheme="majorBidi" w:hAnsiTheme="majorBidi" w:cstheme="majorBidi"/>
          <w:sz w:val="24"/>
          <w:szCs w:val="24"/>
        </w:rPr>
        <w:t xml:space="preserve"> </w:t>
      </w:r>
      <w:r w:rsidR="00AE05AD">
        <w:rPr>
          <w:rFonts w:asciiTheme="majorBidi" w:hAnsiTheme="majorBidi" w:cstheme="majorBidi"/>
          <w:sz w:val="24"/>
          <w:szCs w:val="24"/>
        </w:rPr>
        <w:t>This justifies the fact that there was no direct effect of the communication strategy on perceived brand functionality as appeared in study one</w:t>
      </w:r>
      <w:r>
        <w:rPr>
          <w:rFonts w:asciiTheme="majorBidi" w:hAnsiTheme="majorBidi" w:cstheme="majorBidi"/>
          <w:sz w:val="24"/>
          <w:szCs w:val="24"/>
        </w:rPr>
        <w:t>.</w:t>
      </w:r>
      <w:r w:rsidR="00AE05AD">
        <w:rPr>
          <w:rFonts w:asciiTheme="majorBidi" w:hAnsiTheme="majorBidi" w:cstheme="majorBidi"/>
          <w:sz w:val="24"/>
          <w:szCs w:val="24"/>
        </w:rPr>
        <w:t xml:space="preserve"> </w:t>
      </w:r>
      <w:r w:rsidR="00AC0AFA">
        <w:rPr>
          <w:rFonts w:asciiTheme="majorBidi" w:hAnsiTheme="majorBidi" w:cstheme="majorBidi"/>
          <w:sz w:val="24"/>
          <w:szCs w:val="24"/>
        </w:rPr>
        <w:t xml:space="preserve">Clearly, even though CSR communication does not directly impact perceived brand functionality, it still needs to be examined as it has an impact on purchase intention. Yet, as discussed in the previous section, CSR communication had more prominent impact on emotional brand attachment </w:t>
      </w:r>
      <w:r w:rsidR="00AE05AD">
        <w:rPr>
          <w:rFonts w:asciiTheme="majorBidi" w:hAnsiTheme="majorBidi" w:cstheme="majorBidi"/>
          <w:sz w:val="24"/>
          <w:szCs w:val="24"/>
        </w:rPr>
        <w:t xml:space="preserve">and other brand attitudes </w:t>
      </w:r>
      <w:r w:rsidR="00AC0AFA">
        <w:rPr>
          <w:rFonts w:asciiTheme="majorBidi" w:hAnsiTheme="majorBidi" w:cstheme="majorBidi"/>
          <w:sz w:val="24"/>
          <w:szCs w:val="24"/>
        </w:rPr>
        <w:t xml:space="preserve">which also lead to purchase intention. </w:t>
      </w:r>
    </w:p>
    <w:p w14:paraId="754FD0B0" w14:textId="28832F79" w:rsidR="00890438" w:rsidRDefault="00890438" w:rsidP="00890438">
      <w:pPr>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8.</w:t>
      </w:r>
      <w:r w:rsidR="00A133C6">
        <w:rPr>
          <w:rFonts w:ascii="Times New Roman" w:hAnsi="Times New Roman" w:cs="Times New Roman"/>
          <w:b/>
          <w:bCs/>
          <w:sz w:val="24"/>
          <w:szCs w:val="24"/>
        </w:rPr>
        <w:t>2</w:t>
      </w:r>
      <w:r>
        <w:rPr>
          <w:rFonts w:ascii="Times New Roman" w:hAnsi="Times New Roman" w:cs="Times New Roman"/>
          <w:b/>
          <w:bCs/>
          <w:sz w:val="24"/>
          <w:szCs w:val="24"/>
        </w:rPr>
        <w:t xml:space="preserve">.5 </w:t>
      </w:r>
      <w:r w:rsidRPr="00142DC0">
        <w:rPr>
          <w:rFonts w:ascii="Times New Roman" w:hAnsi="Times New Roman" w:cs="Times New Roman"/>
          <w:b/>
          <w:bCs/>
          <w:sz w:val="24"/>
          <w:szCs w:val="24"/>
        </w:rPr>
        <w:t xml:space="preserve">Brand </w:t>
      </w:r>
      <w:r>
        <w:rPr>
          <w:rFonts w:ascii="Times New Roman" w:hAnsi="Times New Roman" w:cs="Times New Roman"/>
          <w:b/>
          <w:bCs/>
          <w:sz w:val="24"/>
          <w:szCs w:val="24"/>
        </w:rPr>
        <w:t>Likeability</w:t>
      </w:r>
    </w:p>
    <w:p w14:paraId="1205F251" w14:textId="6589ADD8" w:rsidR="00890438" w:rsidRPr="00D64F2A"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120C42">
        <w:rPr>
          <w:rFonts w:ascii="Times New Roman" w:hAnsi="Times New Roman" w:cs="Times New Roman"/>
          <w:sz w:val="24"/>
          <w:szCs w:val="24"/>
        </w:rPr>
        <w:t xml:space="preserve">It appeared </w:t>
      </w:r>
      <w:r w:rsidR="00BD1D5E">
        <w:rPr>
          <w:rFonts w:ascii="Times New Roman" w:hAnsi="Times New Roman" w:cs="Times New Roman"/>
          <w:sz w:val="24"/>
          <w:szCs w:val="24"/>
        </w:rPr>
        <w:t>from the analysis</w:t>
      </w:r>
      <w:r w:rsidRPr="00120C42">
        <w:rPr>
          <w:rFonts w:ascii="Times New Roman" w:hAnsi="Times New Roman" w:cs="Times New Roman"/>
          <w:sz w:val="24"/>
          <w:szCs w:val="24"/>
        </w:rPr>
        <w:t xml:space="preserve"> that</w:t>
      </w:r>
      <w:r w:rsidR="00C17612">
        <w:rPr>
          <w:rFonts w:ascii="Times New Roman" w:hAnsi="Times New Roman" w:cs="Times New Roman"/>
          <w:sz w:val="24"/>
          <w:szCs w:val="24"/>
        </w:rPr>
        <w:t xml:space="preserve"> there is a</w:t>
      </w:r>
      <w:r w:rsidR="00AE05AD">
        <w:rPr>
          <w:rFonts w:ascii="Times New Roman" w:hAnsi="Times New Roman" w:cs="Times New Roman"/>
          <w:sz w:val="24"/>
          <w:szCs w:val="24"/>
        </w:rPr>
        <w:t xml:space="preserve"> </w:t>
      </w:r>
      <w:r w:rsidR="00AE05AD" w:rsidRPr="00041ACA">
        <w:rPr>
          <w:rFonts w:ascii="Times New Roman" w:hAnsi="Times New Roman" w:cs="Times New Roman"/>
          <w:sz w:val="24"/>
          <w:szCs w:val="24"/>
        </w:rPr>
        <w:t xml:space="preserve">direct </w:t>
      </w:r>
      <w:r w:rsidR="00C17612" w:rsidRPr="00041ACA">
        <w:rPr>
          <w:rFonts w:ascii="Times New Roman" w:hAnsi="Times New Roman" w:cs="Times New Roman"/>
          <w:sz w:val="24"/>
          <w:szCs w:val="24"/>
        </w:rPr>
        <w:t xml:space="preserve">effect of </w:t>
      </w:r>
      <w:r w:rsidR="00AE05AD" w:rsidRPr="00041ACA">
        <w:rPr>
          <w:rFonts w:ascii="Times New Roman" w:hAnsi="Times New Roman" w:cs="Times New Roman"/>
          <w:sz w:val="24"/>
          <w:szCs w:val="24"/>
        </w:rPr>
        <w:t xml:space="preserve">the </w:t>
      </w:r>
      <w:r w:rsidR="00C17612" w:rsidRPr="00041ACA">
        <w:rPr>
          <w:rFonts w:ascii="Times New Roman" w:hAnsi="Times New Roman" w:cs="Times New Roman"/>
          <w:sz w:val="24"/>
          <w:szCs w:val="24"/>
        </w:rPr>
        <w:t>communication</w:t>
      </w:r>
      <w:r w:rsidR="00AE05AD" w:rsidRPr="00041ACA">
        <w:rPr>
          <w:rFonts w:ascii="Times New Roman" w:hAnsi="Times New Roman" w:cs="Times New Roman"/>
          <w:sz w:val="24"/>
          <w:szCs w:val="24"/>
        </w:rPr>
        <w:t xml:space="preserve"> strategy</w:t>
      </w:r>
      <w:r w:rsidR="00C17612" w:rsidRPr="00041ACA">
        <w:rPr>
          <w:rFonts w:ascii="Times New Roman" w:hAnsi="Times New Roman" w:cs="Times New Roman"/>
          <w:sz w:val="24"/>
          <w:szCs w:val="24"/>
        </w:rPr>
        <w:t xml:space="preserve"> on respondents’</w:t>
      </w:r>
      <w:r w:rsidRPr="00041ACA">
        <w:rPr>
          <w:rFonts w:ascii="Times New Roman" w:hAnsi="Times New Roman" w:cs="Times New Roman"/>
          <w:sz w:val="24"/>
          <w:szCs w:val="24"/>
        </w:rPr>
        <w:t xml:space="preserve"> brand likeability</w:t>
      </w:r>
      <w:r w:rsidR="00AE05AD" w:rsidRPr="00041ACA">
        <w:rPr>
          <w:rFonts w:ascii="Times New Roman" w:hAnsi="Times New Roman" w:cs="Times New Roman"/>
          <w:sz w:val="24"/>
          <w:szCs w:val="24"/>
        </w:rPr>
        <w:t xml:space="preserve"> in which it was higher from CSR than non-CSR communication</w:t>
      </w:r>
      <w:r w:rsidR="00AE05AD">
        <w:rPr>
          <w:rFonts w:ascii="Times New Roman" w:hAnsi="Times New Roman" w:cs="Times New Roman"/>
          <w:sz w:val="24"/>
          <w:szCs w:val="24"/>
        </w:rPr>
        <w:t>.</w:t>
      </w:r>
      <w:r>
        <w:rPr>
          <w:rFonts w:ascii="Times New Roman" w:hAnsi="Times New Roman" w:cs="Times New Roman"/>
          <w:sz w:val="24"/>
          <w:szCs w:val="24"/>
        </w:rPr>
        <w:t xml:space="preserve"> </w:t>
      </w:r>
      <w:r w:rsidR="00AE05AD">
        <w:rPr>
          <w:rFonts w:ascii="Times New Roman" w:hAnsi="Times New Roman" w:cs="Times New Roman"/>
          <w:sz w:val="24"/>
          <w:szCs w:val="24"/>
        </w:rPr>
        <w:t>Brand likeability is an important variable as</w:t>
      </w:r>
      <w:r>
        <w:rPr>
          <w:rFonts w:ascii="Times New Roman" w:hAnsi="Times New Roman" w:cs="Times New Roman"/>
          <w:sz w:val="24"/>
          <w:szCs w:val="24"/>
        </w:rPr>
        <w:t xml:space="preserve">, the results of study one demonstrated statistically positive correlation between </w:t>
      </w:r>
      <w:r w:rsidRPr="008D75D3">
        <w:rPr>
          <w:rFonts w:asciiTheme="majorBidi" w:hAnsiTheme="majorBidi" w:cstheme="majorBidi"/>
          <w:sz w:val="24"/>
          <w:szCs w:val="24"/>
          <w:lang w:bidi="ar-EG"/>
        </w:rPr>
        <w:t>brand likeability, emotional brand</w:t>
      </w:r>
      <w:r>
        <w:rPr>
          <w:rFonts w:asciiTheme="majorBidi" w:hAnsiTheme="majorBidi" w:cstheme="majorBidi"/>
          <w:sz w:val="24"/>
          <w:szCs w:val="24"/>
          <w:lang w:bidi="ar-EG"/>
        </w:rPr>
        <w:t xml:space="preserve"> attachment</w:t>
      </w:r>
      <w:r w:rsidRPr="008D75D3">
        <w:rPr>
          <w:rFonts w:asciiTheme="majorBidi" w:hAnsiTheme="majorBidi" w:cstheme="majorBidi"/>
          <w:sz w:val="24"/>
          <w:szCs w:val="24"/>
          <w:lang w:bidi="ar-EG"/>
        </w:rPr>
        <w:t xml:space="preserve">, and brand trust. </w:t>
      </w:r>
      <w:r>
        <w:rPr>
          <w:rFonts w:asciiTheme="majorBidi" w:hAnsiTheme="majorBidi" w:cstheme="majorBidi"/>
          <w:sz w:val="24"/>
          <w:szCs w:val="24"/>
          <w:lang w:bidi="ar-EG"/>
        </w:rPr>
        <w:t xml:space="preserve">Clearly, brand likeability is strongly correlated to other variables; hence, </w:t>
      </w:r>
      <w:r>
        <w:rPr>
          <w:rFonts w:ascii="Times New Roman" w:hAnsi="Times New Roman" w:cs="Times New Roman"/>
          <w:sz w:val="24"/>
          <w:szCs w:val="24"/>
        </w:rPr>
        <w:t xml:space="preserve">consumers do not naturally like a brand without having valid reasons. </w:t>
      </w:r>
      <w:r>
        <w:rPr>
          <w:rFonts w:asciiTheme="majorBidi" w:hAnsiTheme="majorBidi" w:cstheme="majorBidi"/>
          <w:sz w:val="24"/>
          <w:szCs w:val="24"/>
        </w:rPr>
        <w:t>This was confirmed by the findings of study two as the interviewed respondents claimed that they liked the brand for its years of experience</w:t>
      </w:r>
      <w:r w:rsidR="005C05BB">
        <w:rPr>
          <w:rFonts w:asciiTheme="majorBidi" w:hAnsiTheme="majorBidi" w:cstheme="majorBidi"/>
          <w:sz w:val="24"/>
          <w:szCs w:val="24"/>
        </w:rPr>
        <w:t xml:space="preserve"> or </w:t>
      </w:r>
      <w:r>
        <w:rPr>
          <w:rFonts w:asciiTheme="majorBidi" w:hAnsiTheme="majorBidi" w:cstheme="majorBidi"/>
          <w:sz w:val="24"/>
          <w:szCs w:val="24"/>
        </w:rPr>
        <w:t>humanitarian projects. A couple of respondents from the qualitative study indicated that based on the CSR communication, their brand likeability was high that they were willing to pay more for the advertised product or buy it exclusively. This confirms the finding in literature that</w:t>
      </w:r>
      <w:bookmarkStart w:id="242" w:name="_Hlk157192101"/>
      <w:r>
        <w:rPr>
          <w:rFonts w:asciiTheme="majorBidi" w:hAnsiTheme="majorBidi" w:cstheme="majorBidi"/>
          <w:sz w:val="24"/>
          <w:szCs w:val="24"/>
        </w:rPr>
        <w:t xml:space="preserve"> </w:t>
      </w:r>
      <w:r>
        <w:rPr>
          <w:rFonts w:ascii="Times New Roman" w:hAnsi="Times New Roman" w:cs="Times New Roman"/>
          <w:sz w:val="24"/>
          <w:szCs w:val="24"/>
        </w:rPr>
        <w:t>b</w:t>
      </w:r>
      <w:r w:rsidRPr="00D04716">
        <w:rPr>
          <w:rFonts w:ascii="Times New Roman" w:hAnsi="Times New Roman" w:cs="Times New Roman"/>
          <w:sz w:val="24"/>
          <w:szCs w:val="24"/>
        </w:rPr>
        <w:t>rand likeability</w:t>
      </w:r>
      <w:r>
        <w:rPr>
          <w:rFonts w:ascii="Times New Roman" w:hAnsi="Times New Roman" w:cs="Times New Roman"/>
          <w:sz w:val="24"/>
          <w:szCs w:val="24"/>
        </w:rPr>
        <w:t xml:space="preserve"> </w:t>
      </w:r>
      <w:r w:rsidRPr="00D04716">
        <w:rPr>
          <w:rFonts w:ascii="Times New Roman" w:hAnsi="Times New Roman" w:cs="Times New Roman"/>
          <w:sz w:val="24"/>
          <w:szCs w:val="24"/>
        </w:rPr>
        <w:t>has an important impact on consumers</w:t>
      </w:r>
      <w:r>
        <w:rPr>
          <w:rFonts w:ascii="Times New Roman" w:hAnsi="Times New Roman" w:cs="Times New Roman"/>
          <w:sz w:val="24"/>
          <w:szCs w:val="24"/>
        </w:rPr>
        <w:t>’</w:t>
      </w:r>
      <w:r w:rsidRPr="00D04716">
        <w:rPr>
          <w:rFonts w:ascii="Times New Roman" w:hAnsi="Times New Roman" w:cs="Times New Roman"/>
          <w:sz w:val="24"/>
          <w:szCs w:val="24"/>
        </w:rPr>
        <w:t xml:space="preserve"> loyalty and willingness to accept a high price and overlook any inadequacies in the products’ features</w:t>
      </w:r>
      <w:sdt>
        <w:sdtPr>
          <w:rPr>
            <w:rFonts w:ascii="Times New Roman" w:hAnsi="Times New Roman" w:cs="Times New Roman"/>
            <w:sz w:val="24"/>
            <w:szCs w:val="24"/>
          </w:rPr>
          <w:id w:val="227744011"/>
          <w:citation/>
        </w:sdtPr>
        <w:sdtContent>
          <w:r w:rsidRPr="00D04716">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Ohl21 \t  \l 2057 </w:instrText>
          </w:r>
          <w:r w:rsidRPr="00D04716">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2256A">
            <w:rPr>
              <w:rFonts w:ascii="Times New Roman" w:hAnsi="Times New Roman" w:cs="Times New Roman"/>
              <w:noProof/>
              <w:sz w:val="24"/>
              <w:szCs w:val="24"/>
            </w:rPr>
            <w:t>(Ohlwein &amp; Bruno, 2021)</w:t>
          </w:r>
          <w:r w:rsidRPr="00D04716">
            <w:rPr>
              <w:rFonts w:ascii="Times New Roman" w:hAnsi="Times New Roman" w:cs="Times New Roman"/>
              <w:sz w:val="24"/>
              <w:szCs w:val="24"/>
            </w:rPr>
            <w:fldChar w:fldCharType="end"/>
          </w:r>
        </w:sdtContent>
      </w:sdt>
      <w:bookmarkEnd w:id="242"/>
      <w:r>
        <w:rPr>
          <w:rFonts w:ascii="Times New Roman" w:hAnsi="Times New Roman" w:cs="Times New Roman"/>
          <w:sz w:val="24"/>
          <w:szCs w:val="24"/>
        </w:rPr>
        <w:t>.</w:t>
      </w:r>
      <w:r w:rsidR="005C05BB">
        <w:rPr>
          <w:rFonts w:ascii="Times New Roman" w:hAnsi="Times New Roman" w:cs="Times New Roman"/>
          <w:sz w:val="24"/>
          <w:szCs w:val="24"/>
        </w:rPr>
        <w:t xml:space="preserve"> </w:t>
      </w:r>
      <w:r w:rsidRPr="00F11AFB">
        <w:rPr>
          <w:rFonts w:ascii="Times New Roman" w:hAnsi="Times New Roman" w:cs="Times New Roman"/>
          <w:sz w:val="24"/>
          <w:szCs w:val="24"/>
        </w:rPr>
        <w:t xml:space="preserve">In this study, the main reason of brand likeability was CSR perception of respondents of the understudied brand as </w:t>
      </w:r>
      <w:r w:rsidRPr="00F11AFB">
        <w:rPr>
          <w:rFonts w:asciiTheme="majorBidi" w:hAnsiTheme="majorBidi" w:cstheme="majorBidi"/>
          <w:sz w:val="24"/>
          <w:szCs w:val="24"/>
        </w:rPr>
        <w:t>CSR perception moderates the relationship between brand likeability and purchase intention.</w:t>
      </w:r>
      <w:r w:rsidRPr="00256E10">
        <w:rPr>
          <w:rFonts w:asciiTheme="majorBidi" w:hAnsiTheme="majorBidi" w:cstheme="majorBidi"/>
          <w:sz w:val="24"/>
          <w:szCs w:val="24"/>
        </w:rPr>
        <w:t xml:space="preserve"> </w:t>
      </w:r>
      <w:r w:rsidR="005C05BB">
        <w:rPr>
          <w:rFonts w:asciiTheme="majorBidi" w:hAnsiTheme="majorBidi" w:cstheme="majorBidi"/>
          <w:sz w:val="24"/>
          <w:szCs w:val="24"/>
        </w:rPr>
        <w:t xml:space="preserve">In fact, </w:t>
      </w:r>
      <w:r w:rsidRPr="00256E10">
        <w:rPr>
          <w:rFonts w:asciiTheme="majorBidi" w:hAnsiTheme="majorBidi" w:cstheme="majorBidi"/>
          <w:sz w:val="24"/>
          <w:szCs w:val="24"/>
        </w:rPr>
        <w:t xml:space="preserve">the effect of brand likeability on </w:t>
      </w:r>
      <w:r>
        <w:rPr>
          <w:rFonts w:asciiTheme="majorBidi" w:hAnsiTheme="majorBidi" w:cstheme="majorBidi"/>
          <w:sz w:val="24"/>
          <w:szCs w:val="24"/>
        </w:rPr>
        <w:t xml:space="preserve">purchase </w:t>
      </w:r>
      <w:r w:rsidRPr="00256E10">
        <w:rPr>
          <w:rFonts w:asciiTheme="majorBidi" w:hAnsiTheme="majorBidi" w:cstheme="majorBidi"/>
          <w:sz w:val="24"/>
          <w:szCs w:val="24"/>
        </w:rPr>
        <w:t xml:space="preserve">intention for those who have high </w:t>
      </w:r>
      <w:r>
        <w:rPr>
          <w:rFonts w:asciiTheme="majorBidi" w:hAnsiTheme="majorBidi" w:cstheme="majorBidi"/>
          <w:sz w:val="24"/>
          <w:szCs w:val="24"/>
        </w:rPr>
        <w:t xml:space="preserve">CSR </w:t>
      </w:r>
      <w:r w:rsidRPr="00256E10">
        <w:rPr>
          <w:rFonts w:asciiTheme="majorBidi" w:hAnsiTheme="majorBidi" w:cstheme="majorBidi"/>
          <w:sz w:val="24"/>
          <w:szCs w:val="24"/>
        </w:rPr>
        <w:t xml:space="preserve">perception is </w:t>
      </w:r>
      <w:r w:rsidR="00880C57">
        <w:rPr>
          <w:rFonts w:asciiTheme="majorBidi" w:hAnsiTheme="majorBidi" w:cstheme="majorBidi"/>
          <w:sz w:val="24"/>
          <w:szCs w:val="24"/>
        </w:rPr>
        <w:t>higher</w:t>
      </w:r>
      <w:r w:rsidRPr="00256E10">
        <w:rPr>
          <w:rFonts w:asciiTheme="majorBidi" w:hAnsiTheme="majorBidi" w:cstheme="majorBidi"/>
          <w:sz w:val="24"/>
          <w:szCs w:val="24"/>
        </w:rPr>
        <w:t xml:space="preserve"> than the same effect for</w:t>
      </w:r>
      <w:r>
        <w:rPr>
          <w:rFonts w:asciiTheme="majorBidi" w:hAnsiTheme="majorBidi" w:cstheme="majorBidi"/>
          <w:sz w:val="24"/>
          <w:szCs w:val="24"/>
        </w:rPr>
        <w:t xml:space="preserve"> those</w:t>
      </w:r>
      <w:r w:rsidRPr="00256E10">
        <w:rPr>
          <w:rFonts w:asciiTheme="majorBidi" w:hAnsiTheme="majorBidi" w:cstheme="majorBidi"/>
          <w:sz w:val="24"/>
          <w:szCs w:val="24"/>
        </w:rPr>
        <w:t xml:space="preserve"> who have low </w:t>
      </w:r>
      <w:r>
        <w:rPr>
          <w:rFonts w:asciiTheme="majorBidi" w:hAnsiTheme="majorBidi" w:cstheme="majorBidi"/>
          <w:sz w:val="24"/>
          <w:szCs w:val="24"/>
        </w:rPr>
        <w:t xml:space="preserve">CSR </w:t>
      </w:r>
      <w:r w:rsidRPr="00256E10">
        <w:rPr>
          <w:rFonts w:asciiTheme="majorBidi" w:hAnsiTheme="majorBidi" w:cstheme="majorBidi"/>
          <w:sz w:val="24"/>
          <w:szCs w:val="24"/>
        </w:rPr>
        <w:t>perception.</w:t>
      </w:r>
      <w:r w:rsidR="005C05BB">
        <w:rPr>
          <w:rFonts w:asciiTheme="majorBidi" w:hAnsiTheme="majorBidi" w:cstheme="majorBidi"/>
          <w:sz w:val="24"/>
          <w:szCs w:val="24"/>
        </w:rPr>
        <w:t xml:space="preserve"> </w:t>
      </w:r>
      <w:r w:rsidR="005C05BB">
        <w:rPr>
          <w:rFonts w:ascii="Times New Roman" w:hAnsi="Times New Roman" w:cs="Times New Roman"/>
          <w:sz w:val="24"/>
          <w:szCs w:val="24"/>
        </w:rPr>
        <w:t>In this specific study context, likeability was driven mainly from the social initiative that appeared in campaign. This is related to the discussion on perceived brand functionality (section</w:t>
      </w:r>
      <w:r w:rsidR="00BD1D5E">
        <w:rPr>
          <w:rFonts w:ascii="Times New Roman" w:hAnsi="Times New Roman" w:cs="Times New Roman"/>
          <w:sz w:val="24"/>
          <w:szCs w:val="24"/>
        </w:rPr>
        <w:t xml:space="preserve"> </w:t>
      </w:r>
      <w:r w:rsidR="005C05BB">
        <w:rPr>
          <w:rFonts w:ascii="Times New Roman" w:hAnsi="Times New Roman" w:cs="Times New Roman"/>
          <w:sz w:val="24"/>
          <w:szCs w:val="24"/>
        </w:rPr>
        <w:t>8.</w:t>
      </w:r>
      <w:r w:rsidR="0016744E">
        <w:rPr>
          <w:rFonts w:ascii="Times New Roman" w:hAnsi="Times New Roman" w:cs="Times New Roman"/>
          <w:sz w:val="24"/>
          <w:szCs w:val="24"/>
        </w:rPr>
        <w:t>2</w:t>
      </w:r>
      <w:r w:rsidR="005C05BB">
        <w:rPr>
          <w:rFonts w:ascii="Times New Roman" w:hAnsi="Times New Roman" w:cs="Times New Roman"/>
          <w:sz w:val="24"/>
          <w:szCs w:val="24"/>
        </w:rPr>
        <w:t>.4)</w:t>
      </w:r>
      <w:r w:rsidR="000A43AD">
        <w:rPr>
          <w:rFonts w:ascii="Times New Roman" w:hAnsi="Times New Roman" w:cs="Times New Roman"/>
          <w:sz w:val="24"/>
          <w:szCs w:val="24"/>
        </w:rPr>
        <w:t xml:space="preserve"> as respondents of study two were not concerned about the lack of functional information in the ad as much as they liked the social campaign presented in the ad. Hence, it is necessary to indicate that the reasons of likeability and perception of functionality appeared in this result were based on consumers’ perception of a CSR communication from an FMCG ad. These perceptions could differ in a different product category. </w:t>
      </w:r>
    </w:p>
    <w:p w14:paraId="092DC301" w14:textId="37C72964" w:rsidR="00890438" w:rsidRPr="00B03FFD" w:rsidRDefault="00890438" w:rsidP="00C13AC8">
      <w:pPr>
        <w:adjustRightInd w:val="0"/>
        <w:spacing w:after="0" w:line="480" w:lineRule="auto"/>
        <w:rPr>
          <w:rFonts w:asciiTheme="majorBidi" w:hAnsiTheme="majorBidi" w:cstheme="majorBid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Moreover, t</w:t>
      </w:r>
      <w:r w:rsidRPr="00120C42">
        <w:rPr>
          <w:rFonts w:ascii="Times New Roman" w:hAnsi="Times New Roman" w:cs="Times New Roman"/>
          <w:sz w:val="24"/>
          <w:szCs w:val="24"/>
        </w:rPr>
        <w:t xml:space="preserve">he averages for brand likeability of CSR communication were higher than non-CSR communication. </w:t>
      </w:r>
      <w:r>
        <w:rPr>
          <w:rFonts w:asciiTheme="majorBidi" w:hAnsiTheme="majorBidi" w:cstheme="majorBidi"/>
          <w:sz w:val="24"/>
          <w:szCs w:val="24"/>
        </w:rPr>
        <w:t xml:space="preserve">Also, </w:t>
      </w:r>
      <w:r>
        <w:rPr>
          <w:rFonts w:ascii="Times New Roman" w:hAnsi="Times New Roman" w:cs="Times New Roman"/>
          <w:sz w:val="24"/>
          <w:szCs w:val="24"/>
        </w:rPr>
        <w:t>results of the first study showed that t</w:t>
      </w:r>
      <w:r w:rsidRPr="00120C42">
        <w:rPr>
          <w:rFonts w:ascii="Times New Roman" w:hAnsi="Times New Roman" w:cs="Times New Roman"/>
          <w:sz w:val="24"/>
          <w:szCs w:val="24"/>
        </w:rPr>
        <w:t xml:space="preserve">here is a direct positive effect of </w:t>
      </w:r>
      <w:r w:rsidR="000A43AD">
        <w:rPr>
          <w:rFonts w:ascii="Times New Roman" w:hAnsi="Times New Roman" w:cs="Times New Roman"/>
          <w:sz w:val="24"/>
          <w:szCs w:val="24"/>
        </w:rPr>
        <w:t xml:space="preserve">CSR communication on </w:t>
      </w:r>
      <w:r w:rsidRPr="00120C42">
        <w:rPr>
          <w:rFonts w:ascii="Times New Roman" w:hAnsi="Times New Roman" w:cs="Times New Roman"/>
          <w:sz w:val="24"/>
          <w:szCs w:val="24"/>
        </w:rPr>
        <w:t xml:space="preserve">brand likeability </w:t>
      </w:r>
      <w:r w:rsidR="000A43AD">
        <w:rPr>
          <w:rFonts w:ascii="Times New Roman" w:hAnsi="Times New Roman" w:cs="Times New Roman"/>
          <w:sz w:val="24"/>
          <w:szCs w:val="24"/>
        </w:rPr>
        <w:t xml:space="preserve">that was higher than non-CSR. Accordingly, H1a was accepted. Also, </w:t>
      </w:r>
      <w:r w:rsidR="000A43AD" w:rsidRPr="00D76461">
        <w:rPr>
          <w:rFonts w:ascii="Times New Roman" w:hAnsi="Times New Roman" w:cs="Times New Roman"/>
          <w:sz w:val="24"/>
          <w:szCs w:val="24"/>
        </w:rPr>
        <w:t>brand likeability had a direct impact on</w:t>
      </w:r>
      <w:r w:rsidRPr="00D76461">
        <w:rPr>
          <w:rFonts w:ascii="Times New Roman" w:hAnsi="Times New Roman" w:cs="Times New Roman"/>
          <w:sz w:val="24"/>
          <w:szCs w:val="24"/>
        </w:rPr>
        <w:t xml:space="preserve"> purchase intentions of consumers of FMCG in Egypt.</w:t>
      </w:r>
      <w:r w:rsidRPr="00120C42">
        <w:rPr>
          <w:rFonts w:ascii="Times New Roman" w:hAnsi="Times New Roman" w:cs="Times New Roman"/>
          <w:sz w:val="24"/>
          <w:szCs w:val="24"/>
        </w:rPr>
        <w:t xml:space="preserve"> </w:t>
      </w:r>
      <w:r>
        <w:rPr>
          <w:rFonts w:asciiTheme="majorBidi" w:hAnsiTheme="majorBidi" w:cstheme="majorBidi"/>
          <w:sz w:val="24"/>
          <w:szCs w:val="24"/>
        </w:rPr>
        <w:t xml:space="preserve">This finding points towards the importance of including brand attitudes in the TRA as brand likeability has a direct positive effect on purchase intention among Egyptian consumers. </w:t>
      </w:r>
      <w:r w:rsidR="00C13AC8">
        <w:rPr>
          <w:rFonts w:asciiTheme="majorBidi" w:hAnsiTheme="majorBidi" w:cstheme="majorBidi"/>
          <w:sz w:val="24"/>
          <w:szCs w:val="24"/>
        </w:rPr>
        <w:t>T</w:t>
      </w:r>
      <w:r w:rsidR="00BD1D5E">
        <w:rPr>
          <w:rFonts w:asciiTheme="majorBidi" w:hAnsiTheme="majorBidi" w:cstheme="majorBidi"/>
          <w:sz w:val="24"/>
          <w:szCs w:val="24"/>
        </w:rPr>
        <w:t xml:space="preserve">o my knowledge, the effect of CSR communication on brand likeability is not examined enough in literature. </w:t>
      </w:r>
      <w:r w:rsidR="00C13AC8">
        <w:rPr>
          <w:rFonts w:asciiTheme="majorBidi" w:hAnsiTheme="majorBidi" w:cstheme="majorBidi"/>
          <w:sz w:val="24"/>
          <w:szCs w:val="24"/>
        </w:rPr>
        <w:t xml:space="preserve">This means that the positive impact of CSR communication towards brand likeability is an important academic contribution because </w:t>
      </w:r>
      <w:r w:rsidR="00C13AC8">
        <w:rPr>
          <w:rFonts w:ascii="Times New Roman" w:hAnsi="Times New Roman" w:cs="Times New Roman"/>
          <w:sz w:val="24"/>
          <w:szCs w:val="24"/>
        </w:rPr>
        <w:t xml:space="preserve">brand likeability is a main determinant of success of brand communications </w:t>
      </w:r>
      <w:sdt>
        <w:sdtPr>
          <w:rPr>
            <w:rFonts w:asciiTheme="majorBidi" w:hAnsiTheme="majorBidi" w:cstheme="majorBidi"/>
            <w:sz w:val="24"/>
            <w:szCs w:val="24"/>
          </w:rPr>
          <w:id w:val="-1749106714"/>
          <w:citation/>
        </w:sdtPr>
        <w:sdtContent>
          <w:r w:rsidR="00C13AC8">
            <w:rPr>
              <w:rFonts w:asciiTheme="majorBidi" w:hAnsiTheme="majorBidi" w:cstheme="majorBidi"/>
              <w:sz w:val="24"/>
              <w:szCs w:val="24"/>
            </w:rPr>
            <w:fldChar w:fldCharType="begin"/>
          </w:r>
          <w:r w:rsidR="00C13AC8">
            <w:rPr>
              <w:rFonts w:asciiTheme="majorBidi" w:hAnsiTheme="majorBidi" w:cstheme="majorBidi"/>
              <w:sz w:val="24"/>
              <w:szCs w:val="24"/>
            </w:rPr>
            <w:instrText xml:space="preserve"> CITATION Lam13 \l 2057  \m Ngu13</w:instrText>
          </w:r>
          <w:r w:rsidR="00C13AC8">
            <w:rPr>
              <w:rFonts w:asciiTheme="majorBidi" w:hAnsiTheme="majorBidi" w:cstheme="majorBidi"/>
              <w:sz w:val="24"/>
              <w:szCs w:val="24"/>
            </w:rPr>
            <w:fldChar w:fldCharType="separate"/>
          </w:r>
          <w:r w:rsidR="00C13AC8" w:rsidRPr="0088479E">
            <w:rPr>
              <w:rFonts w:asciiTheme="majorBidi" w:hAnsiTheme="majorBidi" w:cstheme="majorBidi"/>
              <w:noProof/>
              <w:sz w:val="24"/>
              <w:szCs w:val="24"/>
            </w:rPr>
            <w:t>(Lam, Ahearne, Mullins, Hayati, &amp; Schillewaert , 2013; Nguyen, Melewar, &amp; Chen, 2013)</w:t>
          </w:r>
          <w:r w:rsidR="00C13AC8">
            <w:rPr>
              <w:rFonts w:asciiTheme="majorBidi" w:hAnsiTheme="majorBidi" w:cstheme="majorBidi"/>
              <w:sz w:val="24"/>
              <w:szCs w:val="24"/>
            </w:rPr>
            <w:fldChar w:fldCharType="end"/>
          </w:r>
        </w:sdtContent>
      </w:sdt>
      <w:r w:rsidR="00C13AC8">
        <w:rPr>
          <w:rFonts w:asciiTheme="majorBidi" w:hAnsiTheme="majorBidi" w:cstheme="majorBidi"/>
          <w:sz w:val="24"/>
          <w:szCs w:val="24"/>
        </w:rPr>
        <w:t xml:space="preserve">. </w:t>
      </w:r>
      <w:r>
        <w:rPr>
          <w:rFonts w:asciiTheme="majorBidi" w:hAnsiTheme="majorBidi" w:cstheme="majorBidi"/>
          <w:sz w:val="24"/>
          <w:szCs w:val="24"/>
        </w:rPr>
        <w:t>Since TRA is one of the most popular theories that focus on behavioural intention</w:t>
      </w:r>
      <w:sdt>
        <w:sdtPr>
          <w:rPr>
            <w:rFonts w:asciiTheme="majorBidi" w:hAnsiTheme="majorBidi" w:cstheme="majorBidi"/>
            <w:sz w:val="24"/>
            <w:szCs w:val="24"/>
          </w:rPr>
          <w:id w:val="-197173813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Chu16 \l 2057  \m Law11</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F60CD">
            <w:rPr>
              <w:rFonts w:asciiTheme="majorBidi" w:hAnsiTheme="majorBidi" w:cstheme="majorBidi"/>
              <w:noProof/>
              <w:sz w:val="24"/>
              <w:szCs w:val="24"/>
            </w:rPr>
            <w:t>(Chuah, et al., 2016; Law, 2010)</w:t>
          </w:r>
          <w:r>
            <w:rPr>
              <w:rFonts w:asciiTheme="majorBidi" w:hAnsiTheme="majorBidi" w:cstheme="majorBidi"/>
              <w:sz w:val="24"/>
              <w:szCs w:val="24"/>
            </w:rPr>
            <w:fldChar w:fldCharType="end"/>
          </w:r>
        </w:sdtContent>
      </w:sdt>
      <w:r>
        <w:rPr>
          <w:rFonts w:asciiTheme="majorBidi" w:hAnsiTheme="majorBidi" w:cstheme="majorBidi"/>
          <w:sz w:val="24"/>
          <w:szCs w:val="24"/>
        </w:rPr>
        <w:t>, discovering that brand likeability, among other brand attitudes, has a direct influence on purchase intention makes a significant theoretical contribution for TRA. This encounters one of TRA’s criticism</w:t>
      </w:r>
      <w:r w:rsidR="002B3403">
        <w:rPr>
          <w:rFonts w:asciiTheme="majorBidi" w:hAnsiTheme="majorBidi" w:cstheme="majorBidi"/>
          <w:sz w:val="24"/>
          <w:szCs w:val="24"/>
        </w:rPr>
        <w:t>s</w:t>
      </w:r>
      <w:r>
        <w:rPr>
          <w:rFonts w:asciiTheme="majorBidi" w:hAnsiTheme="majorBidi" w:cstheme="majorBidi"/>
          <w:sz w:val="24"/>
          <w:szCs w:val="24"/>
        </w:rPr>
        <w:t xml:space="preserve"> that claims that TRA measures behavioural </w:t>
      </w:r>
      <w:r w:rsidRPr="00BF1307">
        <w:rPr>
          <w:rFonts w:asciiTheme="majorBidi" w:hAnsiTheme="majorBidi" w:cstheme="majorBidi"/>
          <w:sz w:val="24"/>
          <w:szCs w:val="24"/>
        </w:rPr>
        <w:t xml:space="preserve">attitudes </w:t>
      </w:r>
      <w:r>
        <w:rPr>
          <w:rFonts w:asciiTheme="majorBidi" w:hAnsiTheme="majorBidi" w:cstheme="majorBidi"/>
          <w:sz w:val="24"/>
          <w:szCs w:val="24"/>
        </w:rPr>
        <w:t>which suggests that people will</w:t>
      </w:r>
      <w:r w:rsidRPr="00BF1307">
        <w:rPr>
          <w:rFonts w:asciiTheme="majorBidi" w:hAnsiTheme="majorBidi" w:cstheme="majorBidi"/>
          <w:sz w:val="24"/>
          <w:szCs w:val="24"/>
        </w:rPr>
        <w:t xml:space="preserve"> </w:t>
      </w:r>
      <w:r>
        <w:rPr>
          <w:rFonts w:asciiTheme="majorBidi" w:hAnsiTheme="majorBidi" w:cstheme="majorBidi"/>
          <w:sz w:val="24"/>
          <w:szCs w:val="24"/>
        </w:rPr>
        <w:t>only</w:t>
      </w:r>
      <w:r w:rsidRPr="00BF1307">
        <w:rPr>
          <w:rFonts w:asciiTheme="majorBidi" w:hAnsiTheme="majorBidi" w:cstheme="majorBidi"/>
          <w:sz w:val="24"/>
          <w:szCs w:val="24"/>
        </w:rPr>
        <w:t xml:space="preserve"> think of the </w:t>
      </w:r>
      <w:r>
        <w:rPr>
          <w:rFonts w:asciiTheme="majorBidi" w:hAnsiTheme="majorBidi" w:cstheme="majorBidi"/>
          <w:sz w:val="24"/>
          <w:szCs w:val="24"/>
        </w:rPr>
        <w:t xml:space="preserve">intended </w:t>
      </w:r>
      <w:r w:rsidRPr="00BF1307">
        <w:rPr>
          <w:rFonts w:asciiTheme="majorBidi" w:hAnsiTheme="majorBidi" w:cstheme="majorBidi"/>
          <w:sz w:val="24"/>
          <w:szCs w:val="24"/>
        </w:rPr>
        <w:t xml:space="preserve">behaviour in terms of its </w:t>
      </w:r>
      <w:r w:rsidRPr="00B85374">
        <w:rPr>
          <w:rFonts w:asciiTheme="majorBidi" w:hAnsiTheme="majorBidi" w:cstheme="majorBidi"/>
          <w:sz w:val="24"/>
          <w:szCs w:val="24"/>
        </w:rPr>
        <w:t>costs and benefits and accordingly decide on their attitudes towards this action</w:t>
      </w:r>
      <w:sdt>
        <w:sdtPr>
          <w:rPr>
            <w:rFonts w:asciiTheme="majorBidi" w:hAnsiTheme="majorBidi" w:cstheme="majorBidi"/>
            <w:sz w:val="24"/>
            <w:szCs w:val="24"/>
          </w:rPr>
          <w:id w:val="771827517"/>
          <w:citation/>
        </w:sdtPr>
        <w:sdtContent>
          <w:r w:rsidRPr="00B85374">
            <w:rPr>
              <w:rFonts w:asciiTheme="majorBidi" w:hAnsiTheme="majorBidi" w:cstheme="majorBidi"/>
              <w:sz w:val="24"/>
              <w:szCs w:val="24"/>
            </w:rPr>
            <w:fldChar w:fldCharType="begin"/>
          </w:r>
          <w:r w:rsidRPr="00B85374">
            <w:rPr>
              <w:rFonts w:asciiTheme="majorBidi" w:hAnsiTheme="majorBidi" w:cstheme="majorBidi"/>
              <w:sz w:val="24"/>
              <w:szCs w:val="24"/>
            </w:rPr>
            <w:instrText xml:space="preserve"> CITATION Man11 \l 2057 </w:instrText>
          </w:r>
          <w:r w:rsidRPr="00B85374">
            <w:rPr>
              <w:rFonts w:asciiTheme="majorBidi" w:hAnsiTheme="majorBidi" w:cstheme="majorBidi"/>
              <w:sz w:val="24"/>
              <w:szCs w:val="24"/>
            </w:rPr>
            <w:fldChar w:fldCharType="separate"/>
          </w:r>
          <w:r w:rsidRPr="00B85374">
            <w:rPr>
              <w:rFonts w:asciiTheme="majorBidi" w:hAnsiTheme="majorBidi" w:cstheme="majorBidi"/>
              <w:noProof/>
              <w:sz w:val="24"/>
              <w:szCs w:val="24"/>
            </w:rPr>
            <w:t xml:space="preserve"> (Manstead, 2011)</w:t>
          </w:r>
          <w:r w:rsidRPr="00B85374">
            <w:rPr>
              <w:rFonts w:asciiTheme="majorBidi" w:hAnsiTheme="majorBidi" w:cstheme="majorBidi"/>
              <w:sz w:val="24"/>
              <w:szCs w:val="24"/>
            </w:rPr>
            <w:fldChar w:fldCharType="end"/>
          </w:r>
        </w:sdtContent>
      </w:sdt>
      <w:r w:rsidRPr="00B85374">
        <w:rPr>
          <w:rFonts w:asciiTheme="majorBidi" w:hAnsiTheme="majorBidi" w:cstheme="majorBidi"/>
          <w:sz w:val="24"/>
          <w:szCs w:val="24"/>
        </w:rPr>
        <w:t>. This is restricting especially in categories of low involvement products in which the behaviour is considered habitual</w:t>
      </w:r>
      <w:sdt>
        <w:sdtPr>
          <w:rPr>
            <w:rFonts w:asciiTheme="majorBidi" w:hAnsiTheme="majorBidi" w:cstheme="majorBidi"/>
            <w:sz w:val="24"/>
            <w:szCs w:val="24"/>
          </w:rPr>
          <w:id w:val="1260951601"/>
          <w:citation/>
        </w:sdtPr>
        <w:sdtContent>
          <w:r w:rsidRPr="00B85374">
            <w:rPr>
              <w:rFonts w:asciiTheme="majorBidi" w:hAnsiTheme="majorBidi" w:cstheme="majorBidi"/>
              <w:sz w:val="24"/>
              <w:szCs w:val="24"/>
            </w:rPr>
            <w:fldChar w:fldCharType="begin"/>
          </w:r>
          <w:r w:rsidRPr="00B85374">
            <w:rPr>
              <w:rFonts w:asciiTheme="majorBidi" w:hAnsiTheme="majorBidi" w:cstheme="majorBidi"/>
              <w:sz w:val="24"/>
              <w:szCs w:val="24"/>
            </w:rPr>
            <w:instrText xml:space="preserve"> CITATION Pet08 \l 2057 </w:instrText>
          </w:r>
          <w:r w:rsidRPr="00B85374">
            <w:rPr>
              <w:rFonts w:asciiTheme="majorBidi" w:hAnsiTheme="majorBidi" w:cstheme="majorBidi"/>
              <w:sz w:val="24"/>
              <w:szCs w:val="24"/>
            </w:rPr>
            <w:fldChar w:fldCharType="separate"/>
          </w:r>
          <w:r w:rsidRPr="00B85374">
            <w:rPr>
              <w:rFonts w:asciiTheme="majorBidi" w:hAnsiTheme="majorBidi" w:cstheme="majorBidi"/>
              <w:noProof/>
              <w:sz w:val="24"/>
              <w:szCs w:val="24"/>
            </w:rPr>
            <w:t xml:space="preserve"> (Petrovici, Ritson, &amp; Ness, 2008)</w:t>
          </w:r>
          <w:r w:rsidRPr="00B85374">
            <w:rPr>
              <w:rFonts w:asciiTheme="majorBidi" w:hAnsiTheme="majorBidi" w:cstheme="majorBidi"/>
              <w:sz w:val="24"/>
              <w:szCs w:val="24"/>
            </w:rPr>
            <w:fldChar w:fldCharType="end"/>
          </w:r>
        </w:sdtContent>
      </w:sdt>
      <w:r w:rsidRPr="00B85374">
        <w:rPr>
          <w:rFonts w:asciiTheme="majorBidi" w:hAnsiTheme="majorBidi" w:cstheme="majorBidi"/>
          <w:sz w:val="24"/>
          <w:szCs w:val="24"/>
        </w:rPr>
        <w:t>.</w:t>
      </w:r>
      <w:r>
        <w:rPr>
          <w:rFonts w:asciiTheme="majorBidi" w:hAnsiTheme="majorBidi" w:cstheme="majorBidi"/>
          <w:sz w:val="24"/>
          <w:szCs w:val="24"/>
        </w:rPr>
        <w:t xml:space="preserve"> Hence, consumers will base their purchase intention on other brand attitudes other than evaluating the act of buying the product. This further shed light on the importance of the theoretical contribution provided by this study to include </w:t>
      </w:r>
      <w:r w:rsidR="00C13AC8">
        <w:rPr>
          <w:rFonts w:asciiTheme="majorBidi" w:hAnsiTheme="majorBidi" w:cstheme="majorBidi"/>
          <w:sz w:val="24"/>
          <w:szCs w:val="24"/>
        </w:rPr>
        <w:t>brand</w:t>
      </w:r>
      <w:r>
        <w:rPr>
          <w:rFonts w:asciiTheme="majorBidi" w:hAnsiTheme="majorBidi" w:cstheme="majorBidi"/>
          <w:sz w:val="24"/>
          <w:szCs w:val="24"/>
        </w:rPr>
        <w:t xml:space="preserve"> attitudes in TRA. </w:t>
      </w:r>
      <w:r>
        <w:rPr>
          <w:rFonts w:ascii="Times New Roman" w:hAnsi="Times New Roman" w:cs="Times New Roman"/>
          <w:b/>
          <w:bCs/>
          <w:sz w:val="24"/>
          <w:szCs w:val="24"/>
        </w:rPr>
        <w:t xml:space="preserve"> </w:t>
      </w:r>
      <w:r w:rsidRPr="00142DC0">
        <w:rPr>
          <w:rFonts w:ascii="Times New Roman" w:hAnsi="Times New Roman" w:cs="Times New Roman"/>
          <w:b/>
          <w:bCs/>
          <w:sz w:val="24"/>
          <w:szCs w:val="24"/>
        </w:rPr>
        <w:t xml:space="preserve"> </w:t>
      </w:r>
    </w:p>
    <w:p w14:paraId="3B9EABF8" w14:textId="45F77596" w:rsidR="00890438" w:rsidRPr="00142DC0" w:rsidRDefault="00890438" w:rsidP="00890438">
      <w:pPr>
        <w:adjustRightInd w:val="0"/>
        <w:spacing w:after="0" w:line="480" w:lineRule="auto"/>
        <w:rPr>
          <w:rFonts w:ascii="Times New Roman" w:hAnsi="Times New Roman" w:cs="Times New Roman"/>
          <w:b/>
          <w:bCs/>
          <w:sz w:val="24"/>
          <w:szCs w:val="24"/>
        </w:rPr>
      </w:pPr>
      <w:r w:rsidRPr="006C571B">
        <w:rPr>
          <w:rFonts w:ascii="Times New Roman" w:hAnsi="Times New Roman" w:cs="Times New Roman"/>
          <w:b/>
          <w:bCs/>
          <w:sz w:val="24"/>
          <w:szCs w:val="24"/>
        </w:rPr>
        <w:t>8.</w:t>
      </w:r>
      <w:r w:rsidR="00A133C6" w:rsidRPr="006C571B">
        <w:rPr>
          <w:rFonts w:ascii="Times New Roman" w:hAnsi="Times New Roman" w:cs="Times New Roman"/>
          <w:b/>
          <w:bCs/>
          <w:sz w:val="24"/>
          <w:szCs w:val="24"/>
        </w:rPr>
        <w:t>2</w:t>
      </w:r>
      <w:r w:rsidRPr="006C571B">
        <w:rPr>
          <w:rFonts w:ascii="Times New Roman" w:hAnsi="Times New Roman" w:cs="Times New Roman"/>
          <w:b/>
          <w:bCs/>
          <w:sz w:val="24"/>
          <w:szCs w:val="24"/>
        </w:rPr>
        <w:t>.6 Brand Trust</w:t>
      </w:r>
      <w:r w:rsidRPr="00142DC0">
        <w:rPr>
          <w:rFonts w:ascii="Times New Roman" w:hAnsi="Times New Roman" w:cs="Times New Roman"/>
          <w:b/>
          <w:bCs/>
          <w:sz w:val="24"/>
          <w:szCs w:val="24"/>
        </w:rPr>
        <w:t xml:space="preserve"> </w:t>
      </w:r>
    </w:p>
    <w:p w14:paraId="5138222F" w14:textId="3AD52234" w:rsidR="00890438"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findings of this research demonstrate that brand trust </w:t>
      </w:r>
      <w:r w:rsidR="00C17612">
        <w:rPr>
          <w:rFonts w:ascii="Times New Roman" w:hAnsi="Times New Roman" w:cs="Times New Roman"/>
          <w:sz w:val="24"/>
          <w:szCs w:val="24"/>
        </w:rPr>
        <w:t>has an ensuing effect that CSR communication had on Egyptian consumers</w:t>
      </w:r>
      <w:r w:rsidR="00E14FDA">
        <w:rPr>
          <w:rFonts w:ascii="Times New Roman" w:hAnsi="Times New Roman" w:cs="Times New Roman"/>
          <w:sz w:val="24"/>
          <w:szCs w:val="24"/>
        </w:rPr>
        <w:t xml:space="preserve"> that was larger than non-CSR communication. Hence, H2 was accepted.</w:t>
      </w:r>
      <w:r>
        <w:rPr>
          <w:rFonts w:ascii="Times New Roman" w:hAnsi="Times New Roman" w:cs="Times New Roman"/>
          <w:sz w:val="24"/>
          <w:szCs w:val="24"/>
        </w:rPr>
        <w:t xml:space="preserve"> </w:t>
      </w:r>
      <w:r w:rsidR="00C17612">
        <w:rPr>
          <w:rFonts w:ascii="Times New Roman" w:hAnsi="Times New Roman" w:cs="Times New Roman"/>
          <w:sz w:val="24"/>
          <w:szCs w:val="24"/>
        </w:rPr>
        <w:t xml:space="preserve">Brand trust is an important variable indeed as it had the strongest </w:t>
      </w:r>
      <w:r w:rsidR="0079360B">
        <w:rPr>
          <w:rFonts w:ascii="Times New Roman" w:hAnsi="Times New Roman" w:cs="Times New Roman"/>
          <w:sz w:val="24"/>
          <w:szCs w:val="24"/>
        </w:rPr>
        <w:t xml:space="preserve">direct positive </w:t>
      </w:r>
      <w:r w:rsidR="00C17612">
        <w:rPr>
          <w:rFonts w:ascii="Times New Roman" w:hAnsi="Times New Roman" w:cs="Times New Roman"/>
          <w:sz w:val="24"/>
          <w:szCs w:val="24"/>
        </w:rPr>
        <w:t xml:space="preserve">effect on respondents’ purchase </w:t>
      </w:r>
      <w:r>
        <w:rPr>
          <w:rFonts w:ascii="Times New Roman" w:hAnsi="Times New Roman" w:cs="Times New Roman"/>
          <w:sz w:val="24"/>
          <w:szCs w:val="24"/>
        </w:rPr>
        <w:t xml:space="preserve">intentions. This confirms the findings in literature that provide indication that </w:t>
      </w:r>
      <w:r w:rsidRPr="00B85374">
        <w:rPr>
          <w:rFonts w:ascii="Times New Roman" w:hAnsi="Times New Roman" w:cs="Times New Roman"/>
          <w:sz w:val="24"/>
          <w:szCs w:val="24"/>
        </w:rPr>
        <w:t>brand trust helps increase consumers’</w:t>
      </w:r>
      <w:r w:rsidR="0079360B" w:rsidRPr="00B85374">
        <w:rPr>
          <w:rFonts w:ascii="Times New Roman" w:hAnsi="Times New Roman" w:cs="Times New Roman"/>
          <w:sz w:val="24"/>
          <w:szCs w:val="24"/>
        </w:rPr>
        <w:t xml:space="preserve"> </w:t>
      </w:r>
      <w:r w:rsidRPr="00B85374">
        <w:rPr>
          <w:rFonts w:ascii="Times New Roman" w:hAnsi="Times New Roman" w:cs="Times New Roman"/>
          <w:sz w:val="24"/>
          <w:szCs w:val="24"/>
        </w:rPr>
        <w:t>willingness to buy</w:t>
      </w:r>
      <w:r w:rsidRPr="00D04716">
        <w:rPr>
          <w:rFonts w:ascii="Times New Roman" w:hAnsi="Times New Roman" w:cs="Times New Roman"/>
          <w:sz w:val="24"/>
          <w:szCs w:val="24"/>
        </w:rPr>
        <w:t xml:space="preserve"> </w:t>
      </w:r>
      <w:sdt>
        <w:sdtPr>
          <w:rPr>
            <w:rFonts w:ascii="Times New Roman" w:hAnsi="Times New Roman" w:cs="Times New Roman"/>
            <w:sz w:val="24"/>
            <w:szCs w:val="24"/>
          </w:rPr>
          <w:id w:val="344363985"/>
          <w:citation/>
        </w:sdtPr>
        <w:sdtContent>
          <w:r w:rsidRPr="00D04716">
            <w:rPr>
              <w:rFonts w:ascii="Times New Roman" w:hAnsi="Times New Roman" w:cs="Times New Roman"/>
              <w:sz w:val="24"/>
              <w:szCs w:val="24"/>
            </w:rPr>
            <w:fldChar w:fldCharType="begin"/>
          </w:r>
          <w:r w:rsidRPr="00D04716">
            <w:rPr>
              <w:rFonts w:ascii="Times New Roman" w:hAnsi="Times New Roman" w:cs="Times New Roman"/>
              <w:sz w:val="24"/>
              <w:szCs w:val="24"/>
            </w:rPr>
            <w:instrText xml:space="preserve"> CITATION Las15 \l 2057  \m Pun14 \m Tsa15</w:instrText>
          </w:r>
          <w:r w:rsidRPr="00D04716">
            <w:rPr>
              <w:rFonts w:ascii="Times New Roman" w:hAnsi="Times New Roman" w:cs="Times New Roman"/>
              <w:sz w:val="24"/>
              <w:szCs w:val="24"/>
            </w:rPr>
            <w:fldChar w:fldCharType="separate"/>
          </w:r>
          <w:r w:rsidRPr="0002256A">
            <w:rPr>
              <w:rFonts w:ascii="Times New Roman" w:hAnsi="Times New Roman" w:cs="Times New Roman"/>
              <w:noProof/>
              <w:sz w:val="24"/>
              <w:szCs w:val="24"/>
            </w:rPr>
            <w:t>(Lassoued &amp; Hobbs, 2015; Punyatoya, 2014; Tsai, Joe, Lin, Chiu, &amp; Shen, 2015)</w:t>
          </w:r>
          <w:r w:rsidRPr="00D04716">
            <w:rPr>
              <w:rFonts w:ascii="Times New Roman" w:hAnsi="Times New Roman" w:cs="Times New Roman"/>
              <w:sz w:val="24"/>
              <w:szCs w:val="24"/>
            </w:rPr>
            <w:fldChar w:fldCharType="end"/>
          </w:r>
        </w:sdtContent>
      </w:sdt>
      <w:r>
        <w:rPr>
          <w:rFonts w:ascii="Times New Roman" w:hAnsi="Times New Roman" w:cs="Times New Roman"/>
          <w:sz w:val="24"/>
          <w:szCs w:val="24"/>
        </w:rPr>
        <w:t xml:space="preserve">.  Again, this is another brand attitude that had a direct positive impact on purchase intention, confirming the </w:t>
      </w:r>
      <w:r w:rsidR="0079360B">
        <w:rPr>
          <w:rFonts w:ascii="Times New Roman" w:hAnsi="Times New Roman" w:cs="Times New Roman"/>
          <w:sz w:val="24"/>
          <w:szCs w:val="24"/>
        </w:rPr>
        <w:t>significance</w:t>
      </w:r>
      <w:r>
        <w:rPr>
          <w:rFonts w:ascii="Times New Roman" w:hAnsi="Times New Roman" w:cs="Times New Roman"/>
          <w:sz w:val="24"/>
          <w:szCs w:val="24"/>
        </w:rPr>
        <w:t xml:space="preserve"> of including brand attitudes in TRA in certain contexts. Moreover, brand trust is considered a cognitive attitude. This is because brand trust resulting from an ad is driven from processing the information presented in the ad</w:t>
      </w:r>
      <w:sdt>
        <w:sdtPr>
          <w:rPr>
            <w:rFonts w:ascii="Times New Roman" w:hAnsi="Times New Roman" w:cs="Times New Roman"/>
            <w:sz w:val="24"/>
            <w:szCs w:val="24"/>
          </w:rPr>
          <w:id w:val="325101459"/>
          <w:citation/>
        </w:sdtPr>
        <w:sdtContent>
          <w:r w:rsidRPr="00BB72D7">
            <w:rPr>
              <w:rFonts w:ascii="Times New Roman" w:hAnsi="Times New Roman" w:cs="Times New Roman"/>
              <w:sz w:val="24"/>
              <w:szCs w:val="24"/>
            </w:rPr>
            <w:fldChar w:fldCharType="begin"/>
          </w:r>
          <w:r w:rsidRPr="00BB72D7">
            <w:rPr>
              <w:rFonts w:ascii="Times New Roman" w:hAnsi="Times New Roman" w:cs="Times New Roman"/>
              <w:sz w:val="24"/>
              <w:szCs w:val="24"/>
            </w:rPr>
            <w:instrText xml:space="preserve"> CITATION Ism201 \l 2057  \m Sal17 \m Sha171</w:instrText>
          </w:r>
          <w:r w:rsidRPr="00BB72D7">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2256A">
            <w:rPr>
              <w:rFonts w:ascii="Times New Roman" w:hAnsi="Times New Roman" w:cs="Times New Roman"/>
              <w:noProof/>
              <w:sz w:val="24"/>
              <w:szCs w:val="24"/>
            </w:rPr>
            <w:t>(Ismagilova E. , Slade , Rana, &amp; Dwivedi, 2020; Saleem &amp; Ellahi, 2017; Shang, Wu, &amp; Sie, 2017)</w:t>
          </w:r>
          <w:r w:rsidRPr="00BB72D7">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71843DC9" w14:textId="569CC63D" w:rsidR="00890438" w:rsidRPr="00D7231C" w:rsidRDefault="00890438" w:rsidP="00890438">
      <w:pPr>
        <w:adjustRightInd w:val="0"/>
        <w:spacing w:after="0" w:line="480" w:lineRule="auto"/>
        <w:rPr>
          <w:rFonts w:asciiTheme="majorBidi" w:hAnsiTheme="majorBidi" w:cstheme="majorBidi"/>
          <w:sz w:val="24"/>
          <w:szCs w:val="24"/>
        </w:rPr>
      </w:pPr>
      <w:r>
        <w:rPr>
          <w:rFonts w:ascii="Times New Roman" w:hAnsi="Times New Roman" w:cs="Times New Roman"/>
          <w:sz w:val="24"/>
          <w:szCs w:val="24"/>
        </w:rPr>
        <w:tab/>
        <w:t>Other than that, in this study, brand trust as a brand attitude is necessary to examine because the presented brand in the experiment, Dettol, had long years of experience in its field. It was highlighted in the analysis of the interviewee’s answers in the qualitative study that trust was sourced from the brand’s name, reputation, history, and experience. Previous r</w:t>
      </w:r>
      <w:r w:rsidRPr="00E17CEC">
        <w:rPr>
          <w:rFonts w:ascii="Times New Roman" w:hAnsi="Times New Roman" w:cs="Times New Roman"/>
          <w:sz w:val="24"/>
          <w:szCs w:val="24"/>
        </w:rPr>
        <w:t xml:space="preserve">esearchers argued that </w:t>
      </w:r>
      <w:bookmarkStart w:id="243" w:name="_Hlk157271990"/>
      <w:r w:rsidRPr="00B85374">
        <w:rPr>
          <w:rFonts w:ascii="Times New Roman" w:hAnsi="Times New Roman" w:cs="Times New Roman"/>
          <w:sz w:val="24"/>
          <w:szCs w:val="24"/>
        </w:rPr>
        <w:t xml:space="preserve">brands with “heritage” have a positive influence on </w:t>
      </w:r>
      <w:r w:rsidR="006C571B" w:rsidRPr="00B85374">
        <w:rPr>
          <w:rFonts w:ascii="Times New Roman" w:hAnsi="Times New Roman" w:cs="Times New Roman"/>
          <w:sz w:val="24"/>
          <w:szCs w:val="24"/>
        </w:rPr>
        <w:t>consumers’</w:t>
      </w:r>
      <w:r w:rsidRPr="00B85374">
        <w:rPr>
          <w:rFonts w:ascii="Times New Roman" w:hAnsi="Times New Roman" w:cs="Times New Roman"/>
          <w:sz w:val="24"/>
          <w:szCs w:val="24"/>
        </w:rPr>
        <w:t xml:space="preserve"> trust in the ad</w:t>
      </w:r>
      <w:sdt>
        <w:sdtPr>
          <w:rPr>
            <w:rFonts w:ascii="Times New Roman" w:hAnsi="Times New Roman" w:cs="Times New Roman"/>
            <w:sz w:val="24"/>
            <w:szCs w:val="24"/>
          </w:rPr>
          <w:id w:val="608250163"/>
          <w:citation/>
        </w:sdtPr>
        <w:sdtContent>
          <w:r w:rsidRPr="00B85374">
            <w:rPr>
              <w:rFonts w:ascii="Times New Roman" w:hAnsi="Times New Roman" w:cs="Times New Roman"/>
              <w:sz w:val="24"/>
              <w:szCs w:val="24"/>
            </w:rPr>
            <w:fldChar w:fldCharType="begin"/>
          </w:r>
          <w:r w:rsidRPr="00B85374">
            <w:rPr>
              <w:rFonts w:ascii="Times New Roman" w:hAnsi="Times New Roman" w:cs="Times New Roman"/>
              <w:sz w:val="24"/>
              <w:szCs w:val="24"/>
            </w:rPr>
            <w:instrText xml:space="preserve"> CITATION Han18 \l 2057 </w:instrText>
          </w:r>
          <w:r w:rsidRPr="00B85374">
            <w:rPr>
              <w:rFonts w:ascii="Times New Roman" w:hAnsi="Times New Roman" w:cs="Times New Roman"/>
              <w:sz w:val="24"/>
              <w:szCs w:val="24"/>
            </w:rPr>
            <w:fldChar w:fldCharType="separate"/>
          </w:r>
          <w:r w:rsidRPr="00B85374">
            <w:rPr>
              <w:rFonts w:ascii="Times New Roman" w:hAnsi="Times New Roman" w:cs="Times New Roman"/>
              <w:noProof/>
              <w:sz w:val="24"/>
              <w:szCs w:val="24"/>
            </w:rPr>
            <w:t xml:space="preserve"> (Hanssens D. M., 2018)</w:t>
          </w:r>
          <w:r w:rsidRPr="00B85374">
            <w:rPr>
              <w:rFonts w:ascii="Times New Roman" w:hAnsi="Times New Roman" w:cs="Times New Roman"/>
              <w:sz w:val="24"/>
              <w:szCs w:val="24"/>
            </w:rPr>
            <w:fldChar w:fldCharType="end"/>
          </w:r>
        </w:sdtContent>
      </w:sdt>
      <w:r w:rsidRPr="00B85374">
        <w:rPr>
          <w:rFonts w:ascii="Times New Roman" w:hAnsi="Times New Roman" w:cs="Times New Roman"/>
          <w:sz w:val="24"/>
          <w:szCs w:val="24"/>
        </w:rPr>
        <w:t>.</w:t>
      </w:r>
      <w:r>
        <w:rPr>
          <w:rFonts w:ascii="Times New Roman" w:hAnsi="Times New Roman" w:cs="Times New Roman"/>
          <w:sz w:val="24"/>
          <w:szCs w:val="24"/>
        </w:rPr>
        <w:t xml:space="preserve"> </w:t>
      </w:r>
      <w:bookmarkEnd w:id="243"/>
      <w:r>
        <w:rPr>
          <w:rFonts w:ascii="Times New Roman" w:hAnsi="Times New Roman" w:cs="Times New Roman"/>
          <w:sz w:val="24"/>
          <w:szCs w:val="24"/>
        </w:rPr>
        <w:t xml:space="preserve">Moreover, results of study one showed that averages of brand trust for respondents who were subjected to the CSR stimulus were higher than for respondents who were subjected to the non-CSR stimulus. Correspondingly, findings from study two revealed that consumers would trust the brand because of the CSR communication that they saw, and they believed that launching a significant campaign like the one presented in the stimulus indicated that Dettol is a capable and experienced brand. Hence, trusting the brand in all </w:t>
      </w:r>
      <w:r w:rsidR="006C571B">
        <w:rPr>
          <w:rFonts w:ascii="Times New Roman" w:hAnsi="Times New Roman" w:cs="Times New Roman"/>
          <w:sz w:val="24"/>
          <w:szCs w:val="24"/>
        </w:rPr>
        <w:t>of its</w:t>
      </w:r>
      <w:r>
        <w:rPr>
          <w:rFonts w:ascii="Times New Roman" w:hAnsi="Times New Roman" w:cs="Times New Roman"/>
          <w:sz w:val="24"/>
          <w:szCs w:val="24"/>
        </w:rPr>
        <w:t xml:space="preserve"> aspects. This finding is bolstered by the results of study one as there was a </w:t>
      </w:r>
      <w:r w:rsidRPr="00C23A1D">
        <w:rPr>
          <w:rFonts w:ascii="Times New Roman" w:hAnsi="Times New Roman" w:cs="Times New Roman"/>
          <w:sz w:val="24"/>
          <w:szCs w:val="24"/>
        </w:rPr>
        <w:t>strong statistical correlation</w:t>
      </w:r>
      <w:r>
        <w:rPr>
          <w:rFonts w:ascii="Times New Roman" w:hAnsi="Times New Roman" w:cs="Times New Roman"/>
          <w:sz w:val="24"/>
          <w:szCs w:val="24"/>
        </w:rPr>
        <w:t xml:space="preserve"> between perceived brand functionality and brand trust. This is in line with multiple findings in CSR literature that showed that </w:t>
      </w:r>
      <w:r>
        <w:rPr>
          <w:rFonts w:asciiTheme="majorBidi" w:hAnsiTheme="majorBidi" w:cstheme="majorBidi"/>
          <w:sz w:val="24"/>
          <w:szCs w:val="24"/>
        </w:rPr>
        <w:t>trust allows consumers to believe in the company’s expertise without requiring constant evidence</w:t>
      </w:r>
      <w:sdt>
        <w:sdtPr>
          <w:rPr>
            <w:rFonts w:asciiTheme="majorBidi" w:hAnsiTheme="majorBidi" w:cstheme="majorBidi"/>
            <w:sz w:val="24"/>
            <w:szCs w:val="24"/>
          </w:rPr>
          <w:id w:val="-504127853"/>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Prz18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(Przepiorka &amp; Horne, 2018)</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This is because consumers assess greater levels of company credibility through the company’s CSR communication </w:t>
      </w:r>
      <w:sdt>
        <w:sdtPr>
          <w:rPr>
            <w:rFonts w:asciiTheme="majorBidi" w:hAnsiTheme="majorBidi" w:cstheme="majorBidi"/>
            <w:sz w:val="24"/>
            <w:szCs w:val="24"/>
          </w:rPr>
          <w:id w:val="-78110865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GoE17 \l 2057  \m Pet21</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(Go &amp; Bortree, 2017; Peterson, Minton, Liu, &amp; Bartholomew, 2021)</w:t>
          </w:r>
          <w:r>
            <w:rPr>
              <w:rFonts w:asciiTheme="majorBidi" w:hAnsiTheme="majorBidi" w:cstheme="majorBidi"/>
              <w:sz w:val="24"/>
              <w:szCs w:val="24"/>
            </w:rPr>
            <w:fldChar w:fldCharType="end"/>
          </w:r>
        </w:sdtContent>
      </w:sdt>
      <w:r>
        <w:rPr>
          <w:rFonts w:asciiTheme="majorBidi" w:hAnsiTheme="majorBidi" w:cstheme="majorBidi"/>
          <w:sz w:val="24"/>
          <w:szCs w:val="24"/>
        </w:rPr>
        <w:t>.</w:t>
      </w:r>
    </w:p>
    <w:p w14:paraId="79434A9E" w14:textId="1C1CBE69" w:rsidR="00890438" w:rsidRDefault="00890438" w:rsidP="00890438">
      <w:pPr>
        <w:adjustRightInd w:val="0"/>
        <w:spacing w:after="0" w:line="480" w:lineRule="auto"/>
        <w:rPr>
          <w:rFonts w:asciiTheme="majorBidi" w:hAnsiTheme="majorBidi" w:cstheme="majorBid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Moreover, in the field of CSR, examining </w:t>
      </w:r>
      <w:r w:rsidRPr="00B85374">
        <w:rPr>
          <w:rFonts w:ascii="Times New Roman" w:hAnsi="Times New Roman" w:cs="Times New Roman"/>
          <w:sz w:val="24"/>
          <w:szCs w:val="24"/>
        </w:rPr>
        <w:t xml:space="preserve">brand trust is fundamental because CSR communication in general is usually opposed </w:t>
      </w:r>
      <w:r w:rsidRPr="00B85374">
        <w:rPr>
          <w:rFonts w:asciiTheme="majorBidi" w:hAnsiTheme="majorBidi" w:cstheme="majorBidi"/>
          <w:sz w:val="24"/>
          <w:szCs w:val="24"/>
        </w:rPr>
        <w:t xml:space="preserve">with a lot of scepticism </w:t>
      </w:r>
      <w:sdt>
        <w:sdtPr>
          <w:rPr>
            <w:rFonts w:asciiTheme="majorBidi" w:hAnsiTheme="majorBidi" w:cstheme="majorBidi"/>
            <w:sz w:val="24"/>
            <w:szCs w:val="24"/>
          </w:rPr>
          <w:id w:val="-2031567395"/>
          <w:citation/>
        </w:sdtPr>
        <w:sdtContent>
          <w:r w:rsidRPr="00B85374">
            <w:rPr>
              <w:rFonts w:asciiTheme="majorBidi" w:hAnsiTheme="majorBidi" w:cstheme="majorBidi"/>
              <w:sz w:val="24"/>
              <w:szCs w:val="24"/>
            </w:rPr>
            <w:fldChar w:fldCharType="begin"/>
          </w:r>
          <w:r w:rsidRPr="00B85374">
            <w:rPr>
              <w:rFonts w:asciiTheme="majorBidi" w:hAnsiTheme="majorBidi" w:cstheme="majorBidi"/>
              <w:sz w:val="24"/>
              <w:szCs w:val="24"/>
            </w:rPr>
            <w:instrText xml:space="preserve">CITATION Kim18 \m Loc16 \t  \l 2057 </w:instrText>
          </w:r>
          <w:r w:rsidRPr="00B85374">
            <w:rPr>
              <w:rFonts w:asciiTheme="majorBidi" w:hAnsiTheme="majorBidi" w:cstheme="majorBidi"/>
              <w:sz w:val="24"/>
              <w:szCs w:val="24"/>
            </w:rPr>
            <w:fldChar w:fldCharType="separate"/>
          </w:r>
          <w:r w:rsidRPr="00B85374">
            <w:rPr>
              <w:rFonts w:asciiTheme="majorBidi" w:hAnsiTheme="majorBidi" w:cstheme="majorBidi"/>
              <w:noProof/>
              <w:sz w:val="24"/>
              <w:szCs w:val="24"/>
            </w:rPr>
            <w:t>(Kim J. K., Overton , Hull, &amp; Choi, 2018; Lock &amp; Seele, 2016)</w:t>
          </w:r>
          <w:r w:rsidRPr="00B85374">
            <w:rPr>
              <w:rFonts w:asciiTheme="majorBidi" w:hAnsiTheme="majorBidi" w:cstheme="majorBidi"/>
              <w:sz w:val="24"/>
              <w:szCs w:val="24"/>
            </w:rPr>
            <w:fldChar w:fldCharType="end"/>
          </w:r>
        </w:sdtContent>
      </w:sdt>
      <w:r w:rsidRPr="00B85374">
        <w:rPr>
          <w:rFonts w:asciiTheme="majorBidi" w:hAnsiTheme="majorBidi" w:cstheme="majorBidi"/>
          <w:sz w:val="24"/>
          <w:szCs w:val="24"/>
        </w:rPr>
        <w:t>.</w:t>
      </w:r>
      <w:r>
        <w:rPr>
          <w:rFonts w:asciiTheme="majorBidi" w:hAnsiTheme="majorBidi" w:cstheme="majorBidi"/>
          <w:sz w:val="24"/>
          <w:szCs w:val="24"/>
        </w:rPr>
        <w:t xml:space="preserve"> Similarly, some respondents of the qualitative studies shared their concerns regarding trust issues that arouse from previous incidents in which they knew about companies in the past that communicated CSR campaigns that were not real. Also, other trust issues arouse from the fact that the CSR stimulus did not show any collaboration with a governmental entity or an influential character in Egypt. Additionally, a lot of the suggestions that respondents made to improve the quality of CSR communication in Egypt were centred </w:t>
      </w:r>
      <w:r w:rsidR="002B3403">
        <w:rPr>
          <w:rFonts w:asciiTheme="majorBidi" w:hAnsiTheme="majorBidi" w:cstheme="majorBidi"/>
          <w:sz w:val="24"/>
          <w:szCs w:val="24"/>
        </w:rPr>
        <w:t>on</w:t>
      </w:r>
      <w:r>
        <w:rPr>
          <w:rFonts w:asciiTheme="majorBidi" w:hAnsiTheme="majorBidi" w:cstheme="majorBidi"/>
          <w:sz w:val="24"/>
          <w:szCs w:val="24"/>
        </w:rPr>
        <w:t xml:space="preserve"> strengthening trust in the CSR communication and the brand.</w:t>
      </w:r>
      <w:r w:rsidR="00C646CA">
        <w:rPr>
          <w:rFonts w:asciiTheme="majorBidi" w:hAnsiTheme="majorBidi" w:cstheme="majorBidi"/>
          <w:sz w:val="24"/>
          <w:szCs w:val="24"/>
        </w:rPr>
        <w:t xml:space="preserve"> Thus, other than collaborating with a governmental entity, respondents suggested the importance of sharing a plenty of details and information about the CSR campaign.</w:t>
      </w:r>
      <w:r>
        <w:rPr>
          <w:rFonts w:asciiTheme="majorBidi" w:hAnsiTheme="majorBidi" w:cstheme="majorBidi"/>
          <w:sz w:val="24"/>
          <w:szCs w:val="24"/>
        </w:rPr>
        <w:t xml:space="preserve"> This concept will be further examined in section 8.</w:t>
      </w:r>
      <w:r w:rsidR="006C571B">
        <w:rPr>
          <w:rFonts w:asciiTheme="majorBidi" w:hAnsiTheme="majorBidi" w:cstheme="majorBidi"/>
          <w:sz w:val="24"/>
          <w:szCs w:val="24"/>
        </w:rPr>
        <w:t>2</w:t>
      </w:r>
      <w:r>
        <w:rPr>
          <w:rFonts w:asciiTheme="majorBidi" w:hAnsiTheme="majorBidi" w:cstheme="majorBidi"/>
          <w:sz w:val="24"/>
          <w:szCs w:val="24"/>
        </w:rPr>
        <w:t>.9.</w:t>
      </w:r>
      <w:r w:rsidR="006C571B">
        <w:rPr>
          <w:rFonts w:asciiTheme="majorBidi" w:hAnsiTheme="majorBidi" w:cstheme="majorBidi"/>
          <w:sz w:val="24"/>
          <w:szCs w:val="24"/>
        </w:rPr>
        <w:t xml:space="preserve"> The following section discusses the effects of media vehicles as presented in the study. </w:t>
      </w:r>
      <w:r>
        <w:rPr>
          <w:rFonts w:asciiTheme="majorBidi" w:hAnsiTheme="majorBidi" w:cstheme="majorBidi"/>
          <w:sz w:val="24"/>
          <w:szCs w:val="24"/>
        </w:rPr>
        <w:t xml:space="preserve"> </w:t>
      </w:r>
    </w:p>
    <w:p w14:paraId="25928051" w14:textId="218E89FE" w:rsidR="00890438" w:rsidRPr="00DA3F7A" w:rsidRDefault="00890438" w:rsidP="00890438">
      <w:pPr>
        <w:adjustRightInd w:val="0"/>
        <w:spacing w:after="0" w:line="480" w:lineRule="auto"/>
        <w:rPr>
          <w:rFonts w:ascii="Times New Roman" w:hAnsi="Times New Roman" w:cs="Times New Roman"/>
          <w:b/>
          <w:bCs/>
          <w:sz w:val="24"/>
          <w:szCs w:val="24"/>
        </w:rPr>
      </w:pPr>
      <w:bookmarkStart w:id="244" w:name="_Hlk146632091"/>
      <w:r>
        <w:rPr>
          <w:rFonts w:ascii="Times New Roman" w:hAnsi="Times New Roman" w:cs="Times New Roman"/>
          <w:b/>
          <w:bCs/>
          <w:sz w:val="24"/>
          <w:szCs w:val="24"/>
        </w:rPr>
        <w:t>8.</w:t>
      </w:r>
      <w:r w:rsidR="00A133C6">
        <w:rPr>
          <w:rFonts w:ascii="Times New Roman" w:hAnsi="Times New Roman" w:cs="Times New Roman"/>
          <w:b/>
          <w:bCs/>
          <w:sz w:val="24"/>
          <w:szCs w:val="24"/>
        </w:rPr>
        <w:t>2</w:t>
      </w:r>
      <w:r>
        <w:rPr>
          <w:rFonts w:ascii="Times New Roman" w:hAnsi="Times New Roman" w:cs="Times New Roman"/>
          <w:b/>
          <w:bCs/>
          <w:sz w:val="24"/>
          <w:szCs w:val="24"/>
        </w:rPr>
        <w:t xml:space="preserve">.7 </w:t>
      </w:r>
      <w:r w:rsidRPr="00DA3F7A">
        <w:rPr>
          <w:rFonts w:ascii="Times New Roman" w:hAnsi="Times New Roman" w:cs="Times New Roman"/>
          <w:b/>
          <w:bCs/>
          <w:sz w:val="24"/>
          <w:szCs w:val="24"/>
        </w:rPr>
        <w:t xml:space="preserve">Media </w:t>
      </w:r>
      <w:r w:rsidR="00515A31">
        <w:rPr>
          <w:rFonts w:ascii="Times New Roman" w:hAnsi="Times New Roman" w:cs="Times New Roman"/>
          <w:b/>
          <w:bCs/>
          <w:sz w:val="24"/>
          <w:szCs w:val="24"/>
        </w:rPr>
        <w:t>Vehicle</w:t>
      </w:r>
      <w:r w:rsidRPr="00DA3F7A">
        <w:rPr>
          <w:rFonts w:ascii="Times New Roman" w:hAnsi="Times New Roman" w:cs="Times New Roman"/>
          <w:b/>
          <w:bCs/>
          <w:sz w:val="24"/>
          <w:szCs w:val="24"/>
        </w:rPr>
        <w:t xml:space="preserve"> </w:t>
      </w:r>
    </w:p>
    <w:bookmarkEnd w:id="244"/>
    <w:p w14:paraId="00517314" w14:textId="6B7323C2" w:rsidR="00890438" w:rsidRDefault="00890438" w:rsidP="00890438">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r>
      <w:r w:rsidR="00E10851">
        <w:rPr>
          <w:rFonts w:asciiTheme="majorBidi" w:hAnsiTheme="majorBidi" w:cstheme="majorBidi"/>
          <w:sz w:val="24"/>
          <w:szCs w:val="24"/>
        </w:rPr>
        <w:t xml:space="preserve">One of the study’s main goals and RQs is to examine how consumers’ responses towards the brand’s CSR communication different based on different media </w:t>
      </w:r>
      <w:r w:rsidR="00E059ED">
        <w:rPr>
          <w:rFonts w:asciiTheme="majorBidi" w:hAnsiTheme="majorBidi" w:cstheme="majorBidi"/>
          <w:sz w:val="24"/>
          <w:szCs w:val="24"/>
        </w:rPr>
        <w:t>vehicles</w:t>
      </w:r>
      <w:r w:rsidR="00E10851">
        <w:rPr>
          <w:rFonts w:asciiTheme="majorBidi" w:hAnsiTheme="majorBidi" w:cstheme="majorBidi"/>
          <w:sz w:val="24"/>
          <w:szCs w:val="24"/>
        </w:rPr>
        <w:t xml:space="preserve">. </w:t>
      </w:r>
      <w:r>
        <w:rPr>
          <w:rFonts w:asciiTheme="majorBidi" w:hAnsiTheme="majorBidi" w:cstheme="majorBidi"/>
          <w:sz w:val="24"/>
          <w:szCs w:val="24"/>
        </w:rPr>
        <w:t xml:space="preserve">Although this thesis hypothesised that social media has a stronger influence on consumers’ responses </w:t>
      </w:r>
      <w:sdt>
        <w:sdtPr>
          <w:rPr>
            <w:rFonts w:asciiTheme="majorBidi" w:hAnsiTheme="majorBidi" w:cstheme="majorBidi"/>
            <w:sz w:val="24"/>
            <w:szCs w:val="24"/>
          </w:rPr>
          <w:id w:val="765812321"/>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Jeo21 \m Cab22 \l 2057 </w:instrText>
          </w:r>
          <w:r>
            <w:rPr>
              <w:rFonts w:asciiTheme="majorBidi" w:hAnsiTheme="majorBidi" w:cstheme="majorBidi"/>
              <w:sz w:val="24"/>
              <w:szCs w:val="24"/>
            </w:rPr>
            <w:fldChar w:fldCharType="separate"/>
          </w:r>
          <w:r w:rsidRPr="007F3BF7">
            <w:rPr>
              <w:rFonts w:asciiTheme="majorBidi" w:hAnsiTheme="majorBidi" w:cstheme="majorBidi"/>
              <w:noProof/>
              <w:sz w:val="24"/>
              <w:szCs w:val="24"/>
            </w:rPr>
            <w:t>(Jeon, 2021; Cabigting, Marallag, Mariano, &amp; Grimaldo, 2022)</w:t>
          </w:r>
          <w:r>
            <w:rPr>
              <w:rFonts w:asciiTheme="majorBidi" w:hAnsiTheme="majorBidi" w:cstheme="majorBidi"/>
              <w:sz w:val="24"/>
              <w:szCs w:val="24"/>
            </w:rPr>
            <w:fldChar w:fldCharType="end"/>
          </w:r>
        </w:sdtContent>
      </w:sdt>
      <w:r>
        <w:rPr>
          <w:rFonts w:asciiTheme="majorBidi" w:hAnsiTheme="majorBidi" w:cstheme="majorBidi"/>
          <w:noProof/>
          <w:sz w:val="24"/>
          <w:szCs w:val="24"/>
        </w:rPr>
        <w:t xml:space="preserve">, the study </w:t>
      </w:r>
      <w:r w:rsidRPr="00D76461">
        <w:rPr>
          <w:rFonts w:asciiTheme="majorBidi" w:hAnsiTheme="majorBidi" w:cstheme="majorBidi"/>
          <w:noProof/>
          <w:sz w:val="24"/>
          <w:szCs w:val="24"/>
        </w:rPr>
        <w:t>confirmed that TV is more influential in Egypt</w:t>
      </w:r>
      <w:r>
        <w:rPr>
          <w:rFonts w:asciiTheme="majorBidi" w:hAnsiTheme="majorBidi" w:cstheme="majorBidi"/>
          <w:noProof/>
          <w:sz w:val="24"/>
          <w:szCs w:val="24"/>
        </w:rPr>
        <w:t xml:space="preserve"> as </w:t>
      </w:r>
      <w:r w:rsidR="00295FE7">
        <w:rPr>
          <w:rFonts w:asciiTheme="majorBidi" w:hAnsiTheme="majorBidi" w:cstheme="majorBidi"/>
          <w:noProof/>
          <w:sz w:val="24"/>
          <w:szCs w:val="24"/>
        </w:rPr>
        <w:t>asserted</w:t>
      </w:r>
      <w:r>
        <w:rPr>
          <w:rFonts w:asciiTheme="majorBidi" w:hAnsiTheme="majorBidi" w:cstheme="majorBidi"/>
          <w:noProof/>
          <w:sz w:val="24"/>
          <w:szCs w:val="24"/>
        </w:rPr>
        <w:t xml:space="preserve"> by some researchers in literature</w:t>
      </w:r>
      <w:sdt>
        <w:sdtPr>
          <w:rPr>
            <w:rFonts w:asciiTheme="majorBidi" w:hAnsiTheme="majorBidi" w:cstheme="majorBidi"/>
            <w:sz w:val="24"/>
            <w:szCs w:val="24"/>
          </w:rPr>
          <w:id w:val="40195872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Den16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(Dennis, Papagiannidis, Alamanos, &amp; Bourlakis, 2016)</w:t>
          </w:r>
          <w:r>
            <w:rPr>
              <w:rFonts w:asciiTheme="majorBidi" w:hAnsiTheme="majorBidi" w:cstheme="majorBidi"/>
              <w:sz w:val="24"/>
              <w:szCs w:val="24"/>
            </w:rPr>
            <w:fldChar w:fldCharType="end"/>
          </w:r>
        </w:sdtContent>
      </w:sdt>
      <w:r>
        <w:rPr>
          <w:rFonts w:asciiTheme="majorBidi" w:hAnsiTheme="majorBidi" w:cstheme="majorBidi"/>
          <w:noProof/>
          <w:sz w:val="24"/>
          <w:szCs w:val="24"/>
        </w:rPr>
        <w:t>.</w:t>
      </w:r>
      <w:r>
        <w:rPr>
          <w:rFonts w:asciiTheme="majorBidi" w:hAnsiTheme="majorBidi" w:cstheme="majorBidi"/>
          <w:sz w:val="24"/>
          <w:szCs w:val="24"/>
        </w:rPr>
        <w:t xml:space="preserve"> </w:t>
      </w:r>
      <w:r w:rsidR="005A07CA">
        <w:rPr>
          <w:rFonts w:asciiTheme="majorBidi" w:hAnsiTheme="majorBidi" w:cstheme="majorBidi"/>
          <w:sz w:val="24"/>
          <w:szCs w:val="24"/>
        </w:rPr>
        <w:t xml:space="preserve">Thus, when CSR communication is communicated on TV it will have stronger positive effects on attitudes and purchase intention. </w:t>
      </w:r>
      <w:r>
        <w:rPr>
          <w:rFonts w:asciiTheme="majorBidi" w:hAnsiTheme="majorBidi" w:cstheme="majorBidi"/>
          <w:sz w:val="24"/>
          <w:szCs w:val="24"/>
        </w:rPr>
        <w:t>While a study on US consumers suggested social media to be a new addition to TRA as it had an impact on purchase intention</w:t>
      </w:r>
      <w:r w:rsidRPr="00C64DA3">
        <w:rPr>
          <w:rFonts w:asciiTheme="majorBidi" w:hAnsiTheme="majorBidi" w:cstheme="majorBidi"/>
          <w:sz w:val="24"/>
          <w:szCs w:val="24"/>
        </w:rPr>
        <w:t xml:space="preserve"> </w:t>
      </w:r>
      <w:sdt>
        <w:sdtPr>
          <w:rPr>
            <w:rFonts w:asciiTheme="majorBidi" w:hAnsiTheme="majorBidi" w:cstheme="majorBidi"/>
            <w:sz w:val="24"/>
            <w:szCs w:val="24"/>
          </w:rPr>
          <w:id w:val="150994431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Cop20 \t  \l 2057 </w:instrText>
          </w:r>
          <w:r>
            <w:rPr>
              <w:rFonts w:asciiTheme="majorBidi" w:hAnsiTheme="majorBidi" w:cstheme="majorBidi"/>
              <w:sz w:val="24"/>
              <w:szCs w:val="24"/>
            </w:rPr>
            <w:fldChar w:fldCharType="separate"/>
          </w:r>
          <w:r w:rsidRPr="000F60CD">
            <w:rPr>
              <w:rFonts w:asciiTheme="majorBidi" w:hAnsiTheme="majorBidi" w:cstheme="majorBidi"/>
              <w:noProof/>
              <w:sz w:val="24"/>
              <w:szCs w:val="24"/>
            </w:rPr>
            <w:t>(Copeland &amp; Zhao, 2020)</w:t>
          </w:r>
          <w:r>
            <w:rPr>
              <w:rFonts w:asciiTheme="majorBidi" w:hAnsiTheme="majorBidi" w:cstheme="majorBidi"/>
              <w:sz w:val="24"/>
              <w:szCs w:val="24"/>
            </w:rPr>
            <w:fldChar w:fldCharType="end"/>
          </w:r>
        </w:sdtContent>
      </w:sdt>
      <w:r>
        <w:rPr>
          <w:rFonts w:asciiTheme="majorBidi" w:hAnsiTheme="majorBidi" w:cstheme="majorBidi"/>
          <w:sz w:val="24"/>
          <w:szCs w:val="24"/>
        </w:rPr>
        <w:t>, TV is a preferred media channel in the Middle East</w:t>
      </w:r>
      <w:sdt>
        <w:sdtPr>
          <w:rPr>
            <w:rFonts w:asciiTheme="majorBidi" w:hAnsiTheme="majorBidi" w:cstheme="majorBidi"/>
            <w:sz w:val="24"/>
            <w:szCs w:val="24"/>
          </w:rPr>
          <w:id w:val="673227396"/>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Den16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(Dennis, Papagiannidis, Alamanos, &amp; Bourlakis, 2016)</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Media </w:t>
      </w:r>
      <w:r w:rsidR="00E059ED">
        <w:rPr>
          <w:rFonts w:asciiTheme="majorBidi" w:hAnsiTheme="majorBidi" w:cstheme="majorBidi"/>
          <w:sz w:val="24"/>
          <w:szCs w:val="24"/>
        </w:rPr>
        <w:t>vehicle</w:t>
      </w:r>
      <w:r>
        <w:rPr>
          <w:rFonts w:asciiTheme="majorBidi" w:hAnsiTheme="majorBidi" w:cstheme="majorBidi"/>
          <w:sz w:val="24"/>
          <w:szCs w:val="24"/>
        </w:rPr>
        <w:t xml:space="preserve"> did not have a</w:t>
      </w:r>
      <w:r w:rsidR="00AC0AFA">
        <w:rPr>
          <w:rFonts w:asciiTheme="majorBidi" w:hAnsiTheme="majorBidi" w:cstheme="majorBidi"/>
          <w:sz w:val="24"/>
          <w:szCs w:val="24"/>
        </w:rPr>
        <w:t xml:space="preserve"> </w:t>
      </w:r>
      <w:r w:rsidR="00E059ED">
        <w:rPr>
          <w:rFonts w:asciiTheme="majorBidi" w:hAnsiTheme="majorBidi" w:cstheme="majorBidi"/>
          <w:sz w:val="24"/>
          <w:szCs w:val="24"/>
        </w:rPr>
        <w:t>significant</w:t>
      </w:r>
      <w:r>
        <w:rPr>
          <w:rFonts w:asciiTheme="majorBidi" w:hAnsiTheme="majorBidi" w:cstheme="majorBidi"/>
          <w:sz w:val="24"/>
          <w:szCs w:val="24"/>
        </w:rPr>
        <w:t xml:space="preserve"> direct impact on purchase intention; however, it had a direct influence on </w:t>
      </w:r>
      <w:r w:rsidR="003A1E9B">
        <w:rPr>
          <w:rFonts w:asciiTheme="majorBidi" w:hAnsiTheme="majorBidi" w:cstheme="majorBidi"/>
          <w:sz w:val="24"/>
          <w:szCs w:val="24"/>
        </w:rPr>
        <w:t xml:space="preserve">brand likeability, emotional brand attachment, brand trust, and </w:t>
      </w:r>
      <w:r>
        <w:rPr>
          <w:rFonts w:asciiTheme="majorBidi" w:hAnsiTheme="majorBidi" w:cstheme="majorBidi"/>
          <w:sz w:val="24"/>
          <w:szCs w:val="24"/>
        </w:rPr>
        <w:t xml:space="preserve">perceived brand functionality. </w:t>
      </w:r>
      <w:r w:rsidR="00021937">
        <w:rPr>
          <w:rFonts w:asciiTheme="majorBidi" w:hAnsiTheme="majorBidi" w:cstheme="majorBidi"/>
          <w:sz w:val="24"/>
          <w:szCs w:val="24"/>
        </w:rPr>
        <w:t>T</w:t>
      </w:r>
      <w:r>
        <w:rPr>
          <w:rFonts w:asciiTheme="majorBidi" w:hAnsiTheme="majorBidi" w:cstheme="majorBidi"/>
          <w:sz w:val="24"/>
          <w:szCs w:val="24"/>
        </w:rPr>
        <w:t xml:space="preserve">he results showed that TV had stronger direct and indirect effects on </w:t>
      </w:r>
      <w:r w:rsidR="00AC0AFA">
        <w:rPr>
          <w:rFonts w:asciiTheme="majorBidi" w:hAnsiTheme="majorBidi" w:cstheme="majorBidi"/>
          <w:sz w:val="24"/>
          <w:szCs w:val="24"/>
        </w:rPr>
        <w:t>these</w:t>
      </w:r>
      <w:r>
        <w:rPr>
          <w:rFonts w:asciiTheme="majorBidi" w:hAnsiTheme="majorBidi" w:cstheme="majorBidi"/>
          <w:sz w:val="24"/>
          <w:szCs w:val="24"/>
        </w:rPr>
        <w:t xml:space="preserve"> brand attitudes than social media did. </w:t>
      </w:r>
    </w:p>
    <w:p w14:paraId="4FB87CF6" w14:textId="3048F114" w:rsidR="00890438" w:rsidRPr="00746E58" w:rsidRDefault="00890438" w:rsidP="00BC27CE">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On the other hand, the results of study two provided </w:t>
      </w:r>
      <w:r w:rsidR="005A07CA">
        <w:rPr>
          <w:rFonts w:ascii="Times New Roman" w:hAnsi="Times New Roman" w:cs="Times New Roman"/>
          <w:sz w:val="24"/>
          <w:szCs w:val="24"/>
        </w:rPr>
        <w:t>varied</w:t>
      </w:r>
      <w:r>
        <w:rPr>
          <w:rFonts w:ascii="Times New Roman" w:hAnsi="Times New Roman" w:cs="Times New Roman"/>
          <w:sz w:val="24"/>
          <w:szCs w:val="24"/>
        </w:rPr>
        <w:t xml:space="preserve"> opinions on the preferred media </w:t>
      </w:r>
      <w:r w:rsidR="00E059ED">
        <w:rPr>
          <w:rFonts w:ascii="Times New Roman" w:hAnsi="Times New Roman" w:cs="Times New Roman"/>
          <w:sz w:val="24"/>
          <w:szCs w:val="24"/>
        </w:rPr>
        <w:t>vehicle</w:t>
      </w:r>
      <w:r>
        <w:rPr>
          <w:rFonts w:ascii="Times New Roman" w:hAnsi="Times New Roman" w:cs="Times New Roman"/>
          <w:sz w:val="24"/>
          <w:szCs w:val="24"/>
        </w:rPr>
        <w:t xml:space="preserve">. While a plenty of respondents preferred social media for its virality, other stated that </w:t>
      </w:r>
      <w:r w:rsidR="00935FBD">
        <w:rPr>
          <w:rFonts w:ascii="Times New Roman" w:hAnsi="Times New Roman" w:cs="Times New Roman"/>
          <w:sz w:val="24"/>
          <w:szCs w:val="24"/>
        </w:rPr>
        <w:t>t</w:t>
      </w:r>
      <w:r>
        <w:rPr>
          <w:rFonts w:ascii="Times New Roman" w:hAnsi="Times New Roman" w:cs="Times New Roman"/>
          <w:sz w:val="24"/>
          <w:szCs w:val="24"/>
        </w:rPr>
        <w:t>elevision is still important as they recogni</w:t>
      </w:r>
      <w:r w:rsidR="00E059ED">
        <w:rPr>
          <w:rFonts w:ascii="Times New Roman" w:hAnsi="Times New Roman" w:cs="Times New Roman"/>
          <w:sz w:val="24"/>
          <w:szCs w:val="24"/>
        </w:rPr>
        <w:t>s</w:t>
      </w:r>
      <w:r>
        <w:rPr>
          <w:rFonts w:ascii="Times New Roman" w:hAnsi="Times New Roman" w:cs="Times New Roman"/>
          <w:sz w:val="24"/>
          <w:szCs w:val="24"/>
        </w:rPr>
        <w:t>ed it as a credible source of information.</w:t>
      </w:r>
      <w:r w:rsidR="005A07CA">
        <w:rPr>
          <w:rFonts w:ascii="Times New Roman" w:hAnsi="Times New Roman" w:cs="Times New Roman"/>
          <w:sz w:val="24"/>
          <w:szCs w:val="24"/>
        </w:rPr>
        <w:t xml:space="preserve"> Merging these insights with the findings</w:t>
      </w:r>
      <w:r w:rsidR="0011349A">
        <w:rPr>
          <w:rFonts w:ascii="Times New Roman" w:hAnsi="Times New Roman" w:cs="Times New Roman"/>
          <w:sz w:val="24"/>
          <w:szCs w:val="24"/>
        </w:rPr>
        <w:t xml:space="preserve"> from study one, </w:t>
      </w:r>
      <w:r w:rsidR="0011349A" w:rsidRPr="00B85374">
        <w:rPr>
          <w:rFonts w:ascii="Times New Roman" w:hAnsi="Times New Roman" w:cs="Times New Roman"/>
          <w:sz w:val="24"/>
          <w:szCs w:val="24"/>
        </w:rPr>
        <w:t>the credibility that television conveys is more important to this study’s context than social media’s virality as mentioned in the qualitative results.</w:t>
      </w:r>
      <w:r w:rsidR="0011349A">
        <w:rPr>
          <w:rFonts w:ascii="Times New Roman" w:hAnsi="Times New Roman" w:cs="Times New Roman"/>
          <w:sz w:val="24"/>
          <w:szCs w:val="24"/>
        </w:rPr>
        <w:t xml:space="preserve"> This is because, in this study, brand trust appeared to be the variable that had the strongest impact on purchase intention. </w:t>
      </w:r>
      <w:r>
        <w:rPr>
          <w:rFonts w:ascii="Times New Roman" w:hAnsi="Times New Roman" w:cs="Times New Roman"/>
          <w:sz w:val="24"/>
          <w:szCs w:val="24"/>
        </w:rPr>
        <w:t>Even though study one showed that TV had a stronger effect</w:t>
      </w:r>
      <w:r w:rsidR="0016744E">
        <w:rPr>
          <w:rFonts w:ascii="Times New Roman" w:hAnsi="Times New Roman" w:cs="Times New Roman"/>
          <w:sz w:val="24"/>
          <w:szCs w:val="24"/>
        </w:rPr>
        <w:t xml:space="preserve"> than social media</w:t>
      </w:r>
      <w:r>
        <w:rPr>
          <w:rFonts w:ascii="Times New Roman" w:hAnsi="Times New Roman" w:cs="Times New Roman"/>
          <w:sz w:val="24"/>
          <w:szCs w:val="24"/>
        </w:rPr>
        <w:t xml:space="preserve"> on brand attitudes, I would argue for the importance of both media </w:t>
      </w:r>
      <w:r w:rsidR="0016744E">
        <w:rPr>
          <w:rFonts w:ascii="Times New Roman" w:hAnsi="Times New Roman" w:cs="Times New Roman"/>
          <w:sz w:val="24"/>
          <w:szCs w:val="24"/>
        </w:rPr>
        <w:t>vehicles</w:t>
      </w:r>
      <w:r>
        <w:rPr>
          <w:rFonts w:ascii="Times New Roman" w:hAnsi="Times New Roman" w:cs="Times New Roman"/>
          <w:sz w:val="24"/>
          <w:szCs w:val="24"/>
        </w:rPr>
        <w:t xml:space="preserve"> based on the insights that emerged from the qualitative study</w:t>
      </w:r>
      <w:r w:rsidR="007E57A4">
        <w:rPr>
          <w:rFonts w:ascii="Times New Roman" w:hAnsi="Times New Roman" w:cs="Times New Roman"/>
          <w:sz w:val="24"/>
          <w:szCs w:val="24"/>
        </w:rPr>
        <w:t xml:space="preserve"> (section </w:t>
      </w:r>
      <w:r w:rsidR="0016744E">
        <w:rPr>
          <w:rFonts w:ascii="Times New Roman" w:hAnsi="Times New Roman" w:cs="Times New Roman"/>
          <w:sz w:val="24"/>
          <w:szCs w:val="24"/>
        </w:rPr>
        <w:t>7</w:t>
      </w:r>
      <w:r w:rsidR="007E57A4">
        <w:rPr>
          <w:rFonts w:ascii="Times New Roman" w:hAnsi="Times New Roman" w:cs="Times New Roman"/>
          <w:sz w:val="24"/>
          <w:szCs w:val="24"/>
        </w:rPr>
        <w:t>.3.</w:t>
      </w:r>
      <w:r w:rsidR="0016744E">
        <w:rPr>
          <w:rFonts w:ascii="Times New Roman" w:hAnsi="Times New Roman" w:cs="Times New Roman"/>
          <w:sz w:val="24"/>
          <w:szCs w:val="24"/>
        </w:rPr>
        <w:t>6</w:t>
      </w:r>
      <w:r w:rsidR="007E57A4">
        <w:rPr>
          <w:rFonts w:ascii="Times New Roman" w:hAnsi="Times New Roman" w:cs="Times New Roman"/>
          <w:sz w:val="24"/>
          <w:szCs w:val="24"/>
        </w:rPr>
        <w:t>)</w:t>
      </w:r>
      <w:r w:rsidR="0011349A">
        <w:rPr>
          <w:rFonts w:ascii="Times New Roman" w:hAnsi="Times New Roman" w:cs="Times New Roman"/>
          <w:sz w:val="24"/>
          <w:szCs w:val="24"/>
        </w:rPr>
        <w:t>.</w:t>
      </w:r>
    </w:p>
    <w:p w14:paraId="739EDA22" w14:textId="52BA46FA" w:rsidR="00890438" w:rsidRDefault="00890438" w:rsidP="00890438">
      <w:pPr>
        <w:adjustRightInd w:val="0"/>
        <w:spacing w:after="0" w:line="480" w:lineRule="auto"/>
        <w:rPr>
          <w:rFonts w:ascii="Times New Roman" w:hAnsi="Times New Roman" w:cs="Times New Roman"/>
          <w:b/>
          <w:bCs/>
          <w:sz w:val="24"/>
          <w:szCs w:val="24"/>
        </w:rPr>
      </w:pPr>
      <w:bookmarkStart w:id="245" w:name="_Hlk146633570"/>
      <w:r>
        <w:rPr>
          <w:rFonts w:ascii="Times New Roman" w:hAnsi="Times New Roman" w:cs="Times New Roman"/>
          <w:b/>
          <w:bCs/>
          <w:sz w:val="24"/>
          <w:szCs w:val="24"/>
        </w:rPr>
        <w:t>8.</w:t>
      </w:r>
      <w:r w:rsidR="00A133C6">
        <w:rPr>
          <w:rFonts w:ascii="Times New Roman" w:hAnsi="Times New Roman" w:cs="Times New Roman"/>
          <w:b/>
          <w:bCs/>
          <w:sz w:val="24"/>
          <w:szCs w:val="24"/>
        </w:rPr>
        <w:t>2</w:t>
      </w:r>
      <w:r>
        <w:rPr>
          <w:rFonts w:ascii="Times New Roman" w:hAnsi="Times New Roman" w:cs="Times New Roman"/>
          <w:b/>
          <w:bCs/>
          <w:sz w:val="24"/>
          <w:szCs w:val="24"/>
        </w:rPr>
        <w:t xml:space="preserve">.8 Purchase Intention </w:t>
      </w:r>
    </w:p>
    <w:bookmarkEnd w:id="245"/>
    <w:p w14:paraId="302340BD" w14:textId="280F7B92" w:rsidR="00890438" w:rsidRDefault="00890438" w:rsidP="00890438">
      <w:pPr>
        <w:adjustRightInd w:val="0"/>
        <w:spacing w:after="0" w:line="480" w:lineRule="auto"/>
        <w:rPr>
          <w:rFonts w:asciiTheme="majorBidi" w:hAnsiTheme="majorBidi" w:cstheme="majorBidi"/>
          <w:sz w:val="24"/>
          <w:szCs w:val="24"/>
        </w:rPr>
      </w:pPr>
      <w:r w:rsidRPr="00137332">
        <w:rPr>
          <w:rFonts w:asciiTheme="majorBidi" w:hAnsiTheme="majorBidi" w:cstheme="majorBidi"/>
          <w:sz w:val="24"/>
          <w:szCs w:val="24"/>
        </w:rPr>
        <w:tab/>
        <w:t xml:space="preserve">Lastly, purchase intention was the main examined outcome of this study. As discussed previously, this study focused on examining purchase intention because it is </w:t>
      </w:r>
      <w:r w:rsidRPr="00B85374">
        <w:rPr>
          <w:rFonts w:asciiTheme="majorBidi" w:hAnsiTheme="majorBidi" w:cstheme="majorBidi"/>
          <w:sz w:val="24"/>
          <w:szCs w:val="24"/>
        </w:rPr>
        <w:t xml:space="preserve">the basis of predicting actual purchase </w:t>
      </w:r>
      <w:sdt>
        <w:sdtPr>
          <w:rPr>
            <w:rFonts w:asciiTheme="majorBidi" w:hAnsiTheme="majorBidi" w:cstheme="majorBidi"/>
            <w:sz w:val="24"/>
            <w:szCs w:val="24"/>
          </w:rPr>
          <w:id w:val="1697964739"/>
          <w:citation/>
        </w:sdtPr>
        <w:sdtContent>
          <w:r w:rsidRPr="00B85374">
            <w:rPr>
              <w:rFonts w:asciiTheme="majorBidi" w:hAnsiTheme="majorBidi" w:cstheme="majorBidi"/>
              <w:sz w:val="24"/>
              <w:szCs w:val="24"/>
            </w:rPr>
            <w:fldChar w:fldCharType="begin"/>
          </w:r>
          <w:r w:rsidRPr="00B85374">
            <w:rPr>
              <w:rFonts w:asciiTheme="majorBidi" w:hAnsiTheme="majorBidi" w:cstheme="majorBidi"/>
              <w:sz w:val="24"/>
              <w:szCs w:val="24"/>
            </w:rPr>
            <w:instrText xml:space="preserve">CITATION Mar181 \m Par21 \l 2057 </w:instrText>
          </w:r>
          <w:r w:rsidRPr="00B85374">
            <w:rPr>
              <w:rFonts w:asciiTheme="majorBidi" w:hAnsiTheme="majorBidi" w:cstheme="majorBidi"/>
              <w:sz w:val="24"/>
              <w:szCs w:val="24"/>
            </w:rPr>
            <w:fldChar w:fldCharType="separate"/>
          </w:r>
          <w:r w:rsidRPr="00B85374">
            <w:rPr>
              <w:rFonts w:asciiTheme="majorBidi" w:hAnsiTheme="majorBidi" w:cstheme="majorBidi"/>
              <w:noProof/>
              <w:sz w:val="24"/>
              <w:szCs w:val="24"/>
            </w:rPr>
            <w:t>(Martins, Costa, Oliveira, Gonçalves, &amp; Branco, 2018; Parkularasa &amp; Andrew, 2021)</w:t>
          </w:r>
          <w:r w:rsidRPr="00B85374">
            <w:rPr>
              <w:rFonts w:asciiTheme="majorBidi" w:hAnsiTheme="majorBidi" w:cstheme="majorBidi"/>
              <w:sz w:val="24"/>
              <w:szCs w:val="24"/>
            </w:rPr>
            <w:fldChar w:fldCharType="end"/>
          </w:r>
        </w:sdtContent>
      </w:sdt>
      <w:r w:rsidRPr="00137332">
        <w:rPr>
          <w:rFonts w:asciiTheme="majorBidi" w:hAnsiTheme="majorBidi" w:cstheme="majorBidi"/>
          <w:sz w:val="24"/>
          <w:szCs w:val="24"/>
        </w:rPr>
        <w:t xml:space="preserve"> and avoid</w:t>
      </w:r>
      <w:r w:rsidR="002B3403">
        <w:rPr>
          <w:rFonts w:asciiTheme="majorBidi" w:hAnsiTheme="majorBidi" w:cstheme="majorBidi"/>
          <w:sz w:val="24"/>
          <w:szCs w:val="24"/>
        </w:rPr>
        <w:t>ing</w:t>
      </w:r>
      <w:r w:rsidRPr="00137332">
        <w:rPr>
          <w:rFonts w:asciiTheme="majorBidi" w:hAnsiTheme="majorBidi" w:cstheme="majorBidi"/>
          <w:sz w:val="24"/>
          <w:szCs w:val="24"/>
        </w:rPr>
        <w:t xml:space="preserve"> other external factors that might influence actual purchase </w:t>
      </w:r>
      <w:sdt>
        <w:sdtPr>
          <w:rPr>
            <w:rFonts w:asciiTheme="majorBidi" w:hAnsiTheme="majorBidi" w:cstheme="majorBidi"/>
            <w:sz w:val="24"/>
            <w:szCs w:val="24"/>
          </w:rPr>
          <w:id w:val="-1236083582"/>
          <w:citation/>
        </w:sdtPr>
        <w:sdtContent>
          <w:r w:rsidRPr="00137332">
            <w:rPr>
              <w:rFonts w:asciiTheme="majorBidi" w:hAnsiTheme="majorBidi" w:cstheme="majorBidi"/>
              <w:sz w:val="24"/>
              <w:szCs w:val="24"/>
            </w:rPr>
            <w:fldChar w:fldCharType="begin"/>
          </w:r>
          <w:r w:rsidRPr="00137332">
            <w:rPr>
              <w:rFonts w:asciiTheme="majorBidi" w:hAnsiTheme="majorBidi" w:cstheme="majorBidi"/>
              <w:sz w:val="24"/>
              <w:szCs w:val="24"/>
            </w:rPr>
            <w:instrText xml:space="preserve"> CITATION Jos15 \l 2057 </w:instrText>
          </w:r>
          <w:r w:rsidRPr="00137332">
            <w:rPr>
              <w:rFonts w:asciiTheme="majorBidi" w:hAnsiTheme="majorBidi" w:cstheme="majorBidi"/>
              <w:sz w:val="24"/>
              <w:szCs w:val="24"/>
            </w:rPr>
            <w:fldChar w:fldCharType="separate"/>
          </w:r>
          <w:r w:rsidRPr="00137332">
            <w:rPr>
              <w:rFonts w:asciiTheme="majorBidi" w:hAnsiTheme="majorBidi" w:cstheme="majorBidi"/>
              <w:noProof/>
              <w:sz w:val="24"/>
              <w:szCs w:val="24"/>
            </w:rPr>
            <w:t>(Joshi &amp; Rahman, 2015)</w:t>
          </w:r>
          <w:r w:rsidRPr="00137332">
            <w:rPr>
              <w:rFonts w:asciiTheme="majorBidi" w:hAnsiTheme="majorBidi" w:cstheme="majorBidi"/>
              <w:sz w:val="24"/>
              <w:szCs w:val="24"/>
            </w:rPr>
            <w:fldChar w:fldCharType="end"/>
          </w:r>
        </w:sdtContent>
      </w:sdt>
      <w:r w:rsidRPr="00137332">
        <w:rPr>
          <w:rFonts w:asciiTheme="majorBidi" w:hAnsiTheme="majorBidi" w:cstheme="majorBidi"/>
          <w:sz w:val="24"/>
          <w:szCs w:val="24"/>
        </w:rPr>
        <w:t xml:space="preserve">. Therefore, examining purchase intention as </w:t>
      </w:r>
      <w:r>
        <w:rPr>
          <w:rFonts w:asciiTheme="majorBidi" w:hAnsiTheme="majorBidi" w:cstheme="majorBidi"/>
          <w:sz w:val="24"/>
          <w:szCs w:val="24"/>
        </w:rPr>
        <w:t xml:space="preserve">an </w:t>
      </w:r>
      <w:r w:rsidRPr="00137332">
        <w:rPr>
          <w:rFonts w:asciiTheme="majorBidi" w:hAnsiTheme="majorBidi" w:cstheme="majorBidi"/>
          <w:sz w:val="24"/>
          <w:szCs w:val="24"/>
        </w:rPr>
        <w:t xml:space="preserve">outcome allows this study to </w:t>
      </w:r>
      <w:r w:rsidR="00A16FB5">
        <w:rPr>
          <w:rFonts w:asciiTheme="majorBidi" w:hAnsiTheme="majorBidi" w:cstheme="majorBidi"/>
          <w:sz w:val="24"/>
          <w:szCs w:val="24"/>
        </w:rPr>
        <w:t>focus on the</w:t>
      </w:r>
      <w:r w:rsidRPr="00137332">
        <w:rPr>
          <w:rFonts w:asciiTheme="majorBidi" w:hAnsiTheme="majorBidi" w:cstheme="majorBidi"/>
          <w:sz w:val="24"/>
          <w:szCs w:val="24"/>
        </w:rPr>
        <w:t xml:space="preserve"> </w:t>
      </w:r>
      <w:r w:rsidR="00A16FB5">
        <w:rPr>
          <w:rFonts w:asciiTheme="majorBidi" w:hAnsiTheme="majorBidi" w:cstheme="majorBidi"/>
          <w:sz w:val="24"/>
          <w:szCs w:val="24"/>
        </w:rPr>
        <w:t>sole</w:t>
      </w:r>
      <w:r w:rsidRPr="00137332">
        <w:rPr>
          <w:rFonts w:asciiTheme="majorBidi" w:hAnsiTheme="majorBidi" w:cstheme="majorBidi"/>
          <w:sz w:val="24"/>
          <w:szCs w:val="24"/>
        </w:rPr>
        <w:t xml:space="preserve"> effect of CSR communication and the attitudes that result from it</w:t>
      </w:r>
      <w:r w:rsidR="00A16FB5">
        <w:rPr>
          <w:rFonts w:asciiTheme="majorBidi" w:hAnsiTheme="majorBidi" w:cstheme="majorBidi"/>
          <w:sz w:val="24"/>
          <w:szCs w:val="24"/>
        </w:rPr>
        <w:t xml:space="preserve"> as much as possible</w:t>
      </w:r>
      <w:r w:rsidRPr="00137332">
        <w:rPr>
          <w:rFonts w:asciiTheme="majorBidi" w:hAnsiTheme="majorBidi" w:cstheme="majorBidi"/>
          <w:sz w:val="24"/>
          <w:szCs w:val="24"/>
        </w:rPr>
        <w:t xml:space="preserve">. </w:t>
      </w:r>
    </w:p>
    <w:p w14:paraId="53776C33" w14:textId="2E71974B" w:rsidR="00890438"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Like the previously discussed variables, the averages of purchase intention of respondents after being exposed to the CSR ad were higher than </w:t>
      </w:r>
      <w:r w:rsidR="003C0511">
        <w:rPr>
          <w:rFonts w:ascii="Times New Roman" w:hAnsi="Times New Roman" w:cs="Times New Roman"/>
          <w:sz w:val="24"/>
          <w:szCs w:val="24"/>
        </w:rPr>
        <w:t>respondents who were</w:t>
      </w:r>
      <w:r>
        <w:rPr>
          <w:rFonts w:ascii="Times New Roman" w:hAnsi="Times New Roman" w:cs="Times New Roman"/>
          <w:sz w:val="24"/>
          <w:szCs w:val="24"/>
        </w:rPr>
        <w:t xml:space="preserve"> exposed to the non-CSR ad on both media </w:t>
      </w:r>
      <w:r w:rsidR="003C0511">
        <w:rPr>
          <w:rFonts w:ascii="Times New Roman" w:hAnsi="Times New Roman" w:cs="Times New Roman"/>
          <w:sz w:val="24"/>
          <w:szCs w:val="24"/>
        </w:rPr>
        <w:t>vehicles</w:t>
      </w:r>
      <w:r>
        <w:rPr>
          <w:rFonts w:ascii="Times New Roman" w:hAnsi="Times New Roman" w:cs="Times New Roman"/>
          <w:sz w:val="24"/>
          <w:szCs w:val="24"/>
        </w:rPr>
        <w:t>. Ad likeability, brand likeability, emotional brand attachment, CSR perception, and brand trust directly affect purchase intention.</w:t>
      </w:r>
      <w:r w:rsidR="00AC0AFA">
        <w:rPr>
          <w:rFonts w:ascii="Times New Roman" w:hAnsi="Times New Roman" w:cs="Times New Roman"/>
          <w:sz w:val="24"/>
          <w:szCs w:val="24"/>
        </w:rPr>
        <w:t xml:space="preserve"> As shown in figure 39,</w:t>
      </w:r>
      <w:r>
        <w:rPr>
          <w:rFonts w:ascii="Times New Roman" w:hAnsi="Times New Roman" w:cs="Times New Roman"/>
          <w:sz w:val="24"/>
          <w:szCs w:val="24"/>
        </w:rPr>
        <w:t xml:space="preserve"> </w:t>
      </w:r>
      <w:r w:rsidR="00AC0AFA">
        <w:rPr>
          <w:rFonts w:ascii="Times New Roman" w:hAnsi="Times New Roman" w:cs="Times New Roman"/>
          <w:sz w:val="24"/>
          <w:szCs w:val="24"/>
        </w:rPr>
        <w:t>t</w:t>
      </w:r>
      <w:r>
        <w:rPr>
          <w:rFonts w:ascii="Times New Roman" w:hAnsi="Times New Roman" w:cs="Times New Roman"/>
          <w:sz w:val="24"/>
          <w:szCs w:val="24"/>
        </w:rPr>
        <w:t xml:space="preserve">he strongest direct impact on purchase intention came from </w:t>
      </w:r>
      <w:r w:rsidRPr="00B85374">
        <w:rPr>
          <w:rFonts w:ascii="Times New Roman" w:hAnsi="Times New Roman" w:cs="Times New Roman"/>
          <w:sz w:val="24"/>
          <w:szCs w:val="24"/>
        </w:rPr>
        <w:t>brand trust. This</w:t>
      </w:r>
      <w:r>
        <w:rPr>
          <w:rFonts w:ascii="Times New Roman" w:hAnsi="Times New Roman" w:cs="Times New Roman"/>
          <w:sz w:val="24"/>
          <w:szCs w:val="24"/>
        </w:rPr>
        <w:t xml:space="preserve"> reiterates the importance of carefully considering the concept of trust in CSR contexts in general. As mentioned above, the averages for ad likeability, brand likeability, emotional brand attachment, CSR perception, and brand trust for the CSR communication groups were higher than non-CSR communication</w:t>
      </w:r>
      <w:r w:rsidR="000F71A8">
        <w:rPr>
          <w:rFonts w:ascii="Times New Roman" w:hAnsi="Times New Roman" w:cs="Times New Roman"/>
          <w:sz w:val="24"/>
          <w:szCs w:val="24"/>
        </w:rPr>
        <w:t xml:space="preserve"> which accepts H6.</w:t>
      </w:r>
      <w:r>
        <w:rPr>
          <w:rFonts w:ascii="Times New Roman" w:hAnsi="Times New Roman" w:cs="Times New Roman"/>
          <w:sz w:val="24"/>
          <w:szCs w:val="24"/>
        </w:rPr>
        <w:t xml:space="preserve"> Henceforth, in the context of CSR communication in Egypt from low involvement product, brand attitudes have a remarkable impact on purchase intention. Also, not all brand attitudes have the same impact on purchase intention. </w:t>
      </w:r>
      <w:r w:rsidRPr="00B97ABD">
        <w:rPr>
          <w:rFonts w:ascii="Times New Roman" w:hAnsi="Times New Roman" w:cs="Times New Roman"/>
          <w:sz w:val="24"/>
          <w:szCs w:val="24"/>
        </w:rPr>
        <w:t>As indicated</w:t>
      </w:r>
      <w:r w:rsidR="008D3259">
        <w:rPr>
          <w:rFonts w:ascii="Times New Roman" w:hAnsi="Times New Roman" w:cs="Times New Roman"/>
          <w:sz w:val="24"/>
          <w:szCs w:val="24"/>
        </w:rPr>
        <w:t xml:space="preserve"> above</w:t>
      </w:r>
      <w:r w:rsidRPr="00B97ABD">
        <w:rPr>
          <w:rFonts w:ascii="Times New Roman" w:hAnsi="Times New Roman" w:cs="Times New Roman"/>
          <w:sz w:val="24"/>
          <w:szCs w:val="24"/>
        </w:rPr>
        <w:t xml:space="preserve"> in figure </w:t>
      </w:r>
      <w:r w:rsidR="00BE04D1">
        <w:rPr>
          <w:rFonts w:ascii="Times New Roman" w:hAnsi="Times New Roman" w:cs="Times New Roman"/>
          <w:sz w:val="24"/>
          <w:szCs w:val="24"/>
        </w:rPr>
        <w:t>3</w:t>
      </w:r>
      <w:r w:rsidR="008D3259">
        <w:rPr>
          <w:rFonts w:ascii="Times New Roman" w:hAnsi="Times New Roman" w:cs="Times New Roman"/>
          <w:sz w:val="24"/>
          <w:szCs w:val="24"/>
        </w:rPr>
        <w:t>7</w:t>
      </w:r>
      <w:r w:rsidRPr="00B97ABD">
        <w:rPr>
          <w:rFonts w:ascii="Times New Roman" w:hAnsi="Times New Roman" w:cs="Times New Roman"/>
          <w:sz w:val="24"/>
          <w:szCs w:val="24"/>
        </w:rPr>
        <w:t xml:space="preserve">, </w:t>
      </w:r>
      <w:r w:rsidR="00930BC8">
        <w:rPr>
          <w:rFonts w:ascii="Times New Roman" w:hAnsi="Times New Roman" w:cs="Times New Roman"/>
          <w:sz w:val="24"/>
          <w:szCs w:val="24"/>
        </w:rPr>
        <w:t>the strongest indirect effect of CSR</w:t>
      </w:r>
      <w:r w:rsidR="001E7057">
        <w:rPr>
          <w:rFonts w:ascii="Times New Roman" w:hAnsi="Times New Roman" w:cs="Times New Roman"/>
          <w:sz w:val="24"/>
          <w:szCs w:val="24"/>
        </w:rPr>
        <w:t xml:space="preserve"> communication</w:t>
      </w:r>
      <w:r w:rsidR="00930BC8">
        <w:rPr>
          <w:rFonts w:ascii="Times New Roman" w:hAnsi="Times New Roman" w:cs="Times New Roman"/>
          <w:sz w:val="24"/>
          <w:szCs w:val="24"/>
        </w:rPr>
        <w:t xml:space="preserve"> on purchase intention was mediated through </w:t>
      </w:r>
      <w:r w:rsidRPr="00B97ABD">
        <w:rPr>
          <w:rFonts w:ascii="Times New Roman" w:hAnsi="Times New Roman" w:cs="Times New Roman"/>
          <w:sz w:val="24"/>
          <w:szCs w:val="24"/>
        </w:rPr>
        <w:t xml:space="preserve">brand </w:t>
      </w:r>
      <w:r w:rsidR="00930BC8">
        <w:rPr>
          <w:rFonts w:ascii="Times New Roman" w:hAnsi="Times New Roman" w:cs="Times New Roman"/>
          <w:sz w:val="24"/>
          <w:szCs w:val="24"/>
        </w:rPr>
        <w:t>likeability</w:t>
      </w:r>
      <w:r w:rsidRPr="00B97ABD">
        <w:rPr>
          <w:rFonts w:ascii="Times New Roman" w:hAnsi="Times New Roman" w:cs="Times New Roman"/>
          <w:sz w:val="24"/>
          <w:szCs w:val="24"/>
        </w:rPr>
        <w:t>.</w:t>
      </w:r>
      <w:r>
        <w:rPr>
          <w:rFonts w:ascii="Times New Roman" w:hAnsi="Times New Roman" w:cs="Times New Roman"/>
          <w:sz w:val="24"/>
          <w:szCs w:val="24"/>
        </w:rPr>
        <w:t xml:space="preserve"> </w:t>
      </w:r>
    </w:p>
    <w:p w14:paraId="65921F86" w14:textId="77777777" w:rsidR="00AC0AFA" w:rsidRDefault="00AC0AFA" w:rsidP="00AC0AFA">
      <w:pPr>
        <w:keepNext/>
        <w:spacing w:after="0" w:line="240" w:lineRule="auto"/>
      </w:pPr>
      <w:r w:rsidRPr="00BC27CE">
        <w:rPr>
          <w:rFonts w:asciiTheme="majorBidi" w:hAnsiTheme="majorBidi" w:cstheme="majorBidi"/>
          <w:noProof/>
          <w:sz w:val="24"/>
          <w:szCs w:val="24"/>
        </w:rPr>
        <w:drawing>
          <wp:inline distT="0" distB="0" distL="0" distR="0" wp14:anchorId="1B81478F" wp14:editId="49A2FEB5">
            <wp:extent cx="1914525" cy="2357921"/>
            <wp:effectExtent l="0" t="0" r="0" b="4445"/>
            <wp:docPr id="1551380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25974" cy="2372022"/>
                    </a:xfrm>
                    <a:prstGeom prst="rect">
                      <a:avLst/>
                    </a:prstGeom>
                    <a:noFill/>
                    <a:ln>
                      <a:noFill/>
                    </a:ln>
                  </pic:spPr>
                </pic:pic>
              </a:graphicData>
            </a:graphic>
          </wp:inline>
        </w:drawing>
      </w:r>
    </w:p>
    <w:p w14:paraId="183FE071" w14:textId="0D1243B8" w:rsidR="00AC0AFA" w:rsidRPr="00AC0AFA" w:rsidRDefault="00AC0AFA" w:rsidP="00AC0AFA">
      <w:pPr>
        <w:pStyle w:val="Caption"/>
        <w:rPr>
          <w:rFonts w:ascii="Times New Roman" w:eastAsia="Times New Roman" w:hAnsi="Times New Roman" w:cs="Times New Roman"/>
          <w:kern w:val="0"/>
          <w:sz w:val="24"/>
          <w:szCs w:val="24"/>
          <w:lang w:eastAsia="en-GB"/>
          <w14:ligatures w14:val="none"/>
        </w:rPr>
      </w:pPr>
      <w:r>
        <w:t xml:space="preserve">Figure 39 Direct Effects of brand attitudes on purchase intention </w:t>
      </w:r>
    </w:p>
    <w:p w14:paraId="277EBCB1" w14:textId="30764B22" w:rsidR="00890438"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As discussed above, CSR communication has a direct effect and a halo</w:t>
      </w:r>
      <w:r w:rsidR="000F71A8">
        <w:rPr>
          <w:rFonts w:ascii="Times New Roman" w:hAnsi="Times New Roman" w:cs="Times New Roman"/>
          <w:sz w:val="24"/>
          <w:szCs w:val="24"/>
        </w:rPr>
        <w:t xml:space="preserve"> indirect</w:t>
      </w:r>
      <w:r>
        <w:rPr>
          <w:rFonts w:ascii="Times New Roman" w:hAnsi="Times New Roman" w:cs="Times New Roman"/>
          <w:sz w:val="24"/>
          <w:szCs w:val="24"/>
        </w:rPr>
        <w:t xml:space="preserve"> effect on purchase intention that occurs through the above discuss variables that have a direct effect on purchase intention. Also, it is interesting to point out that the media </w:t>
      </w:r>
      <w:r w:rsidR="003C0511">
        <w:rPr>
          <w:rFonts w:ascii="Times New Roman" w:hAnsi="Times New Roman" w:cs="Times New Roman"/>
          <w:sz w:val="24"/>
          <w:szCs w:val="24"/>
        </w:rPr>
        <w:t>vehicle</w:t>
      </w:r>
      <w:r>
        <w:rPr>
          <w:rFonts w:ascii="Times New Roman" w:hAnsi="Times New Roman" w:cs="Times New Roman"/>
          <w:sz w:val="24"/>
          <w:szCs w:val="24"/>
        </w:rPr>
        <w:t xml:space="preserve"> has a halo or indirect effect on purchase intention that is mediated through perceived brand functionality, ad likeability, brand likeability, emotional brand attachment, and brand trust. The averages of the indirect effects of media vehicle on purchase intention </w:t>
      </w:r>
      <w:r w:rsidR="00A73833">
        <w:rPr>
          <w:rFonts w:ascii="Times New Roman" w:hAnsi="Times New Roman" w:cs="Times New Roman"/>
          <w:sz w:val="24"/>
          <w:szCs w:val="24"/>
        </w:rPr>
        <w:t>were</w:t>
      </w:r>
      <w:r>
        <w:rPr>
          <w:rFonts w:ascii="Times New Roman" w:hAnsi="Times New Roman" w:cs="Times New Roman"/>
          <w:sz w:val="24"/>
          <w:szCs w:val="24"/>
        </w:rPr>
        <w:t xml:space="preserve"> higher for </w:t>
      </w:r>
      <w:r w:rsidR="00935FBD">
        <w:rPr>
          <w:rFonts w:ascii="Times New Roman" w:hAnsi="Times New Roman" w:cs="Times New Roman"/>
          <w:sz w:val="24"/>
          <w:szCs w:val="24"/>
        </w:rPr>
        <w:t>t</w:t>
      </w:r>
      <w:r>
        <w:rPr>
          <w:rFonts w:ascii="Times New Roman" w:hAnsi="Times New Roman" w:cs="Times New Roman"/>
          <w:sz w:val="24"/>
          <w:szCs w:val="24"/>
        </w:rPr>
        <w:t xml:space="preserve">elevision than social media. This finding indicates that the halo or spill-over effect of CSR communication is larger than non-CSR communication and is more likely to positively influence their purchase intention through the above examined mediators. </w:t>
      </w:r>
    </w:p>
    <w:p w14:paraId="441995D0" w14:textId="2A3C50A3" w:rsidR="00890438" w:rsidRPr="00053F3F" w:rsidRDefault="00890438" w:rsidP="00890438">
      <w:pPr>
        <w:adjustRightInd w:val="0"/>
        <w:spacing w:line="480" w:lineRule="auto"/>
        <w:rPr>
          <w:rFonts w:ascii="Times New Roman" w:hAnsi="Times New Roman" w:cs="Times New Roman"/>
          <w:sz w:val="24"/>
          <w:szCs w:val="24"/>
        </w:rPr>
      </w:pPr>
      <w:r>
        <w:rPr>
          <w:rFonts w:ascii="Times New Roman" w:hAnsi="Times New Roman" w:cs="Times New Roman"/>
          <w:sz w:val="24"/>
          <w:szCs w:val="24"/>
        </w:rPr>
        <w:tab/>
        <w:t>To gain deeper insights for the fact that the direct and indirect effects of CSR communication on purchase intention were higher than non-CSR communication, respondents of the qualitative study were asked throughout the interviews about their purchase intention</w:t>
      </w:r>
      <w:r w:rsidR="00514FB3">
        <w:rPr>
          <w:rFonts w:ascii="Times New Roman" w:hAnsi="Times New Roman" w:cs="Times New Roman"/>
          <w:sz w:val="24"/>
          <w:szCs w:val="24"/>
        </w:rPr>
        <w:t>s</w:t>
      </w:r>
      <w:r>
        <w:rPr>
          <w:rFonts w:ascii="Times New Roman" w:hAnsi="Times New Roman" w:cs="Times New Roman"/>
          <w:sz w:val="24"/>
          <w:szCs w:val="24"/>
        </w:rPr>
        <w:t xml:space="preserve">. </w:t>
      </w:r>
      <w:r w:rsidR="00A73833">
        <w:rPr>
          <w:rFonts w:ascii="Times New Roman" w:hAnsi="Times New Roman" w:cs="Times New Roman"/>
          <w:sz w:val="24"/>
          <w:szCs w:val="24"/>
        </w:rPr>
        <w:t>F</w:t>
      </w:r>
      <w:r>
        <w:rPr>
          <w:rFonts w:ascii="Times New Roman" w:hAnsi="Times New Roman" w:cs="Times New Roman"/>
          <w:sz w:val="24"/>
          <w:szCs w:val="24"/>
        </w:rPr>
        <w:t>indings</w:t>
      </w:r>
      <w:r w:rsidR="00A73833">
        <w:rPr>
          <w:rFonts w:ascii="Times New Roman" w:hAnsi="Times New Roman" w:cs="Times New Roman"/>
          <w:sz w:val="24"/>
          <w:szCs w:val="24"/>
        </w:rPr>
        <w:t xml:space="preserve"> of study two</w:t>
      </w:r>
      <w:r>
        <w:rPr>
          <w:rFonts w:ascii="Times New Roman" w:hAnsi="Times New Roman" w:cs="Times New Roman"/>
          <w:sz w:val="24"/>
          <w:szCs w:val="24"/>
        </w:rPr>
        <w:t xml:space="preserve"> showed that the popularity of the brand had an impact on the majority of the respondents’ </w:t>
      </w:r>
      <w:r w:rsidR="00514FB3">
        <w:rPr>
          <w:rFonts w:ascii="Times New Roman" w:hAnsi="Times New Roman" w:cs="Times New Roman"/>
          <w:sz w:val="24"/>
          <w:szCs w:val="24"/>
        </w:rPr>
        <w:t xml:space="preserve">relationship between the communication strategy and </w:t>
      </w:r>
      <w:r>
        <w:rPr>
          <w:rFonts w:ascii="Times New Roman" w:hAnsi="Times New Roman" w:cs="Times New Roman"/>
          <w:sz w:val="24"/>
          <w:szCs w:val="24"/>
        </w:rPr>
        <w:t xml:space="preserve">purchase intention in which they believed that they already know the brand and they do not need to learn more about </w:t>
      </w:r>
      <w:r w:rsidR="00514FB3">
        <w:rPr>
          <w:rFonts w:ascii="Times New Roman" w:hAnsi="Times New Roman" w:cs="Times New Roman"/>
          <w:sz w:val="24"/>
          <w:szCs w:val="24"/>
        </w:rPr>
        <w:t>its</w:t>
      </w:r>
      <w:r>
        <w:rPr>
          <w:rFonts w:ascii="Times New Roman" w:hAnsi="Times New Roman" w:cs="Times New Roman"/>
          <w:sz w:val="24"/>
          <w:szCs w:val="24"/>
        </w:rPr>
        <w:t xml:space="preserve"> </w:t>
      </w:r>
      <w:r w:rsidR="00514FB3">
        <w:rPr>
          <w:rFonts w:ascii="Times New Roman" w:hAnsi="Times New Roman" w:cs="Times New Roman"/>
          <w:sz w:val="24"/>
          <w:szCs w:val="24"/>
        </w:rPr>
        <w:t>benefits</w:t>
      </w:r>
      <w:r>
        <w:rPr>
          <w:rFonts w:ascii="Times New Roman" w:hAnsi="Times New Roman" w:cs="Times New Roman"/>
          <w:sz w:val="24"/>
          <w:szCs w:val="24"/>
        </w:rPr>
        <w:t>. This differed to fewer respondents who claimed that</w:t>
      </w:r>
      <w:r w:rsidR="00514FB3">
        <w:rPr>
          <w:rFonts w:ascii="Times New Roman" w:hAnsi="Times New Roman" w:cs="Times New Roman"/>
          <w:sz w:val="24"/>
          <w:szCs w:val="24"/>
        </w:rPr>
        <w:t xml:space="preserve"> </w:t>
      </w:r>
      <w:r>
        <w:rPr>
          <w:rFonts w:ascii="Times New Roman" w:hAnsi="Times New Roman" w:cs="Times New Roman"/>
          <w:sz w:val="24"/>
          <w:szCs w:val="24"/>
        </w:rPr>
        <w:t xml:space="preserve">learning about the functions of the product whether the brand was new or well-known was essential for them to intend to purchase the product. Yet, majority of the respondents asserted that CSR made them more enthused to try and buy the product even if </w:t>
      </w:r>
      <w:r w:rsidR="00A73833">
        <w:rPr>
          <w:rFonts w:ascii="Times New Roman" w:hAnsi="Times New Roman" w:cs="Times New Roman"/>
          <w:sz w:val="24"/>
          <w:szCs w:val="24"/>
        </w:rPr>
        <w:t>it’s</w:t>
      </w:r>
      <w:r>
        <w:rPr>
          <w:rFonts w:ascii="Times New Roman" w:hAnsi="Times New Roman" w:cs="Times New Roman"/>
          <w:sz w:val="24"/>
          <w:szCs w:val="24"/>
        </w:rPr>
        <w:t xml:space="preserve"> an unknown brand. Yet, it is necessary to explain that CSR communication will have a positive effect on the purchase intention of Egyptian consumers of consumer goods if certain factors were carefully considered.</w:t>
      </w:r>
      <w:r w:rsidR="00514FB3">
        <w:rPr>
          <w:rFonts w:ascii="Times New Roman" w:hAnsi="Times New Roman" w:cs="Times New Roman"/>
          <w:sz w:val="24"/>
          <w:szCs w:val="24"/>
        </w:rPr>
        <w:t xml:space="preserve"> T</w:t>
      </w:r>
      <w:r>
        <w:rPr>
          <w:rFonts w:ascii="Times New Roman" w:hAnsi="Times New Roman" w:cs="Times New Roman"/>
          <w:sz w:val="24"/>
          <w:szCs w:val="24"/>
        </w:rPr>
        <w:t xml:space="preserve">he qualitative study was conducted mainly to gain insights on </w:t>
      </w:r>
      <w:r w:rsidR="00514FB3">
        <w:rPr>
          <w:rFonts w:ascii="Times New Roman" w:hAnsi="Times New Roman" w:cs="Times New Roman"/>
          <w:sz w:val="24"/>
          <w:szCs w:val="24"/>
        </w:rPr>
        <w:t xml:space="preserve">consumers’ perspectives and learn about </w:t>
      </w:r>
      <w:r>
        <w:rPr>
          <w:rFonts w:ascii="Times New Roman" w:hAnsi="Times New Roman" w:cs="Times New Roman"/>
          <w:sz w:val="24"/>
          <w:szCs w:val="24"/>
        </w:rPr>
        <w:t xml:space="preserve">strategies that will increase the likelihood of purchase intention to occur and what might be the issues that CSR communication would create. These suggested strategies mainly emerged from study two and is discussed in the next section. </w:t>
      </w:r>
    </w:p>
    <w:p w14:paraId="2495194B" w14:textId="2C2FFD8C" w:rsidR="00890438" w:rsidRDefault="00890438" w:rsidP="00890438">
      <w:pPr>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8.</w:t>
      </w:r>
      <w:r w:rsidR="00A133C6">
        <w:rPr>
          <w:rFonts w:ascii="Times New Roman" w:hAnsi="Times New Roman" w:cs="Times New Roman"/>
          <w:b/>
          <w:bCs/>
          <w:sz w:val="24"/>
          <w:szCs w:val="24"/>
        </w:rPr>
        <w:t>2</w:t>
      </w:r>
      <w:r>
        <w:rPr>
          <w:rFonts w:ascii="Times New Roman" w:hAnsi="Times New Roman" w:cs="Times New Roman"/>
          <w:b/>
          <w:bCs/>
          <w:sz w:val="24"/>
          <w:szCs w:val="24"/>
        </w:rPr>
        <w:t xml:space="preserve">.9 CSR Strategies </w:t>
      </w:r>
    </w:p>
    <w:p w14:paraId="06F805BA" w14:textId="1B79FB06" w:rsidR="00890438"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B301F4">
        <w:rPr>
          <w:rFonts w:ascii="Times New Roman" w:hAnsi="Times New Roman" w:cs="Times New Roman"/>
          <w:sz w:val="24"/>
          <w:szCs w:val="24"/>
        </w:rPr>
        <w:t xml:space="preserve">While this study confirm that benefits of CSR communication can be abundant, </w:t>
      </w:r>
      <w:r w:rsidR="000F71A8">
        <w:rPr>
          <w:rFonts w:ascii="Times New Roman" w:hAnsi="Times New Roman" w:cs="Times New Roman"/>
          <w:sz w:val="24"/>
          <w:szCs w:val="24"/>
        </w:rPr>
        <w:t xml:space="preserve">a </w:t>
      </w:r>
      <w:r w:rsidR="007E57A4">
        <w:rPr>
          <w:rFonts w:ascii="Times New Roman" w:hAnsi="Times New Roman" w:cs="Times New Roman"/>
          <w:sz w:val="24"/>
          <w:szCs w:val="24"/>
        </w:rPr>
        <w:t>significant</w:t>
      </w:r>
      <w:r w:rsidR="000F71A8">
        <w:rPr>
          <w:rFonts w:ascii="Times New Roman" w:hAnsi="Times New Roman" w:cs="Times New Roman"/>
          <w:sz w:val="24"/>
          <w:szCs w:val="24"/>
        </w:rPr>
        <w:t xml:space="preserve"> discussion on </w:t>
      </w:r>
      <w:r w:rsidRPr="00B301F4">
        <w:rPr>
          <w:rFonts w:ascii="Times New Roman" w:hAnsi="Times New Roman" w:cs="Times New Roman"/>
          <w:sz w:val="24"/>
          <w:szCs w:val="24"/>
        </w:rPr>
        <w:t xml:space="preserve">CSR strategies </w:t>
      </w:r>
      <w:r w:rsidR="00D11258">
        <w:rPr>
          <w:rFonts w:ascii="Times New Roman" w:hAnsi="Times New Roman" w:cs="Times New Roman"/>
          <w:sz w:val="24"/>
          <w:szCs w:val="24"/>
        </w:rPr>
        <w:t xml:space="preserve">emerged during the interviews. </w:t>
      </w:r>
      <w:r>
        <w:rPr>
          <w:rFonts w:ascii="Times New Roman" w:hAnsi="Times New Roman" w:cs="Times New Roman"/>
          <w:sz w:val="24"/>
          <w:szCs w:val="24"/>
        </w:rPr>
        <w:t>In fact, utili</w:t>
      </w:r>
      <w:r w:rsidR="00514FB3">
        <w:rPr>
          <w:rFonts w:ascii="Times New Roman" w:hAnsi="Times New Roman" w:cs="Times New Roman"/>
          <w:sz w:val="24"/>
          <w:szCs w:val="24"/>
        </w:rPr>
        <w:t>s</w:t>
      </w:r>
      <w:r>
        <w:rPr>
          <w:rFonts w:ascii="Times New Roman" w:hAnsi="Times New Roman" w:cs="Times New Roman"/>
          <w:sz w:val="24"/>
          <w:szCs w:val="24"/>
        </w:rPr>
        <w:t>ing specific strategies in the CSR communication ensures the occurrence of the expected benefits of CSR communication and further strengthen them</w:t>
      </w:r>
      <w:r w:rsidRPr="00B301F4">
        <w:rPr>
          <w:rFonts w:asciiTheme="majorBidi" w:hAnsiTheme="majorBidi" w:cstheme="majorBidi"/>
          <w:sz w:val="24"/>
          <w:szCs w:val="24"/>
        </w:rPr>
        <w:t xml:space="preserve"> </w:t>
      </w:r>
      <w:bookmarkStart w:id="246" w:name="_Hlk144301298"/>
      <w:sdt>
        <w:sdtPr>
          <w:rPr>
            <w:rFonts w:asciiTheme="majorBidi" w:hAnsiTheme="majorBidi" w:cstheme="majorBidi"/>
            <w:sz w:val="24"/>
            <w:szCs w:val="24"/>
          </w:rPr>
          <w:id w:val="1600752098"/>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GoE17 \l 2057  \m Pet21</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(Go &amp; Bortree, 2017; Peterson, Minton, Liu, &amp; Bartholomew, 2021)</w:t>
          </w:r>
          <w:r>
            <w:rPr>
              <w:rFonts w:asciiTheme="majorBidi" w:hAnsiTheme="majorBidi" w:cstheme="majorBidi"/>
              <w:sz w:val="24"/>
              <w:szCs w:val="24"/>
            </w:rPr>
            <w:fldChar w:fldCharType="end"/>
          </w:r>
        </w:sdtContent>
      </w:sdt>
      <w:r>
        <w:rPr>
          <w:rFonts w:ascii="Times New Roman" w:hAnsi="Times New Roman" w:cs="Times New Roman"/>
          <w:sz w:val="24"/>
          <w:szCs w:val="24"/>
        </w:rPr>
        <w:t xml:space="preserve">. </w:t>
      </w:r>
      <w:bookmarkEnd w:id="246"/>
      <w:r>
        <w:rPr>
          <w:rFonts w:ascii="Times New Roman" w:hAnsi="Times New Roman" w:cs="Times New Roman"/>
          <w:sz w:val="24"/>
          <w:szCs w:val="24"/>
        </w:rPr>
        <w:t xml:space="preserve">It was essential to </w:t>
      </w:r>
      <w:r w:rsidR="00D11258">
        <w:rPr>
          <w:rFonts w:ascii="Times New Roman" w:hAnsi="Times New Roman" w:cs="Times New Roman"/>
          <w:sz w:val="24"/>
          <w:szCs w:val="24"/>
        </w:rPr>
        <w:t>outline</w:t>
      </w:r>
      <w:r>
        <w:rPr>
          <w:rFonts w:ascii="Times New Roman" w:hAnsi="Times New Roman" w:cs="Times New Roman"/>
          <w:sz w:val="24"/>
          <w:szCs w:val="24"/>
        </w:rPr>
        <w:t xml:space="preserve"> these successful strategies </w:t>
      </w:r>
      <w:r w:rsidR="00D11258">
        <w:rPr>
          <w:rFonts w:ascii="Times New Roman" w:hAnsi="Times New Roman" w:cs="Times New Roman"/>
          <w:sz w:val="24"/>
          <w:szCs w:val="24"/>
        </w:rPr>
        <w:t xml:space="preserve">that emerged from </w:t>
      </w:r>
      <w:r>
        <w:rPr>
          <w:rFonts w:ascii="Times New Roman" w:hAnsi="Times New Roman" w:cs="Times New Roman"/>
          <w:sz w:val="24"/>
          <w:szCs w:val="24"/>
        </w:rPr>
        <w:t xml:space="preserve">consumers’ perspective. Therefore, through the qualitative study, the findings presented insights on the important strategies and tactics that should be implemented to ensure the success of the CSR communication. </w:t>
      </w:r>
      <w:r w:rsidR="00D11258">
        <w:rPr>
          <w:rFonts w:ascii="Times New Roman" w:hAnsi="Times New Roman" w:cs="Times New Roman"/>
          <w:sz w:val="24"/>
          <w:szCs w:val="24"/>
        </w:rPr>
        <w:t xml:space="preserve">These findings are beneficial as they suggest strategies pronounced by consumers who </w:t>
      </w:r>
      <w:r w:rsidR="00C946F5">
        <w:rPr>
          <w:rFonts w:ascii="Times New Roman" w:hAnsi="Times New Roman" w:cs="Times New Roman"/>
          <w:sz w:val="24"/>
          <w:szCs w:val="24"/>
        </w:rPr>
        <w:t>are</w:t>
      </w:r>
      <w:r w:rsidR="00D11258">
        <w:rPr>
          <w:rFonts w:ascii="Times New Roman" w:hAnsi="Times New Roman" w:cs="Times New Roman"/>
          <w:sz w:val="24"/>
          <w:szCs w:val="24"/>
        </w:rPr>
        <w:t xml:space="preserve"> the target audience of the brand. </w:t>
      </w:r>
    </w:p>
    <w:p w14:paraId="74005BE0" w14:textId="77777777" w:rsidR="00890438" w:rsidRDefault="00890438" w:rsidP="00890438">
      <w:pPr>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Most of the suggested strategies by the respondents were related to the importance of </w:t>
      </w:r>
      <w:r w:rsidRPr="00D76461">
        <w:rPr>
          <w:rFonts w:ascii="Times New Roman" w:hAnsi="Times New Roman" w:cs="Times New Roman"/>
          <w:sz w:val="24"/>
          <w:szCs w:val="24"/>
        </w:rPr>
        <w:t xml:space="preserve">transparency and gaining credibility in the eyes of consumers. For instance, a lot of the interviewed subjects evoked the importance of sharing a plenty of information about the specifications on the CSR campaign. This was also confirmed in literature by showing that the more information about the CSR campaign is communicated the more effective it is and positively influence consumer trust </w:t>
      </w:r>
      <w:sdt>
        <w:sdtPr>
          <w:rPr>
            <w:rFonts w:ascii="Times New Roman" w:hAnsi="Times New Roman" w:cs="Times New Roman"/>
            <w:sz w:val="24"/>
            <w:szCs w:val="24"/>
          </w:rPr>
          <w:id w:val="-837609490"/>
          <w:citation/>
        </w:sdtPr>
        <w:sdtContent>
          <w:r w:rsidRPr="00D76461">
            <w:rPr>
              <w:rFonts w:ascii="Times New Roman" w:hAnsi="Times New Roman" w:cs="Times New Roman"/>
              <w:sz w:val="24"/>
              <w:szCs w:val="24"/>
            </w:rPr>
            <w:fldChar w:fldCharType="begin"/>
          </w:r>
          <w:r w:rsidRPr="00D76461">
            <w:rPr>
              <w:rFonts w:ascii="Times New Roman" w:hAnsi="Times New Roman" w:cs="Times New Roman"/>
              <w:sz w:val="24"/>
              <w:szCs w:val="24"/>
            </w:rPr>
            <w:instrText xml:space="preserve"> CITATION Jav19 \l 2057  \m Sun20 \m Zha191</w:instrText>
          </w:r>
          <w:r w:rsidRPr="00D76461">
            <w:rPr>
              <w:rFonts w:ascii="Times New Roman" w:hAnsi="Times New Roman" w:cs="Times New Roman"/>
              <w:sz w:val="24"/>
              <w:szCs w:val="24"/>
            </w:rPr>
            <w:fldChar w:fldCharType="separate"/>
          </w:r>
          <w:r w:rsidRPr="00D76461">
            <w:rPr>
              <w:rFonts w:ascii="Times New Roman" w:hAnsi="Times New Roman" w:cs="Times New Roman"/>
              <w:noProof/>
              <w:sz w:val="24"/>
              <w:szCs w:val="24"/>
            </w:rPr>
            <w:t>(Javed, Degong, &amp; Qadeer, 2019; Sun &amp; Wang, 2020; Zhao, Lee, &amp; Copeland , 2019)</w:t>
          </w:r>
          <w:r w:rsidRPr="00D76461">
            <w:rPr>
              <w:rFonts w:ascii="Times New Roman" w:hAnsi="Times New Roman" w:cs="Times New Roman"/>
              <w:sz w:val="24"/>
              <w:szCs w:val="24"/>
            </w:rPr>
            <w:fldChar w:fldCharType="end"/>
          </w:r>
        </w:sdtContent>
      </w:sdt>
      <w:r w:rsidRPr="00D76461">
        <w:rPr>
          <w:rFonts w:ascii="Times New Roman" w:hAnsi="Times New Roman" w:cs="Times New Roman"/>
          <w:sz w:val="24"/>
          <w:szCs w:val="24"/>
        </w:rPr>
        <w:t>. Another strategy suggested by the interviewees related to increasing trust was the idea of collaborating with a trusted governmental source</w:t>
      </w:r>
      <w:r>
        <w:rPr>
          <w:rFonts w:ascii="Times New Roman" w:hAnsi="Times New Roman" w:cs="Times New Roman"/>
          <w:sz w:val="24"/>
          <w:szCs w:val="24"/>
        </w:rPr>
        <w:t xml:space="preserve"> to launch and communicate the CSR campaign. Similarly, as found in literature, three of the six essential factors that consumers expect to be included in the CSR communication were</w:t>
      </w:r>
      <w:r w:rsidRPr="0067539D">
        <w:rPr>
          <w:rFonts w:asciiTheme="majorBidi" w:hAnsiTheme="majorBidi" w:cstheme="majorBidi"/>
          <w:sz w:val="24"/>
          <w:szCs w:val="24"/>
        </w:rPr>
        <w:t xml:space="preserve"> </w:t>
      </w:r>
      <w:r>
        <w:rPr>
          <w:rFonts w:asciiTheme="majorBidi" w:hAnsiTheme="majorBidi" w:cstheme="majorBidi"/>
          <w:sz w:val="24"/>
          <w:szCs w:val="24"/>
        </w:rPr>
        <w:t>third-party endorsement, CSR information, and transparency</w:t>
      </w:r>
      <w:r w:rsidRPr="00AC02AD">
        <w:rPr>
          <w:rFonts w:asciiTheme="majorBidi" w:hAnsiTheme="majorBidi" w:cstheme="majorBidi"/>
          <w:sz w:val="24"/>
          <w:szCs w:val="24"/>
        </w:rPr>
        <w:t xml:space="preserve"> </w:t>
      </w:r>
      <w:sdt>
        <w:sdtPr>
          <w:rPr>
            <w:rFonts w:asciiTheme="majorBidi" w:hAnsiTheme="majorBidi" w:cstheme="majorBidi"/>
            <w:sz w:val="24"/>
            <w:szCs w:val="24"/>
          </w:rPr>
          <w:id w:val="1314755095"/>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Kim \t  \m Kim18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(Kim &amp; Ferguson, 2014; Kim, Overton , Hull, &amp; Choi, 2018)</w:t>
          </w:r>
          <w:r>
            <w:rPr>
              <w:rFonts w:asciiTheme="majorBidi" w:hAnsiTheme="majorBidi" w:cstheme="majorBidi"/>
              <w:sz w:val="24"/>
              <w:szCs w:val="24"/>
            </w:rPr>
            <w:fldChar w:fldCharType="end"/>
          </w:r>
        </w:sdtContent>
      </w:sdt>
      <w:r>
        <w:rPr>
          <w:rFonts w:asciiTheme="majorBidi" w:hAnsiTheme="majorBidi" w:cstheme="majorBidi"/>
          <w:sz w:val="24"/>
          <w:szCs w:val="24"/>
        </w:rPr>
        <w:t>.</w:t>
      </w:r>
    </w:p>
    <w:p w14:paraId="4CD1A021" w14:textId="79194A9F" w:rsidR="00890438" w:rsidRDefault="00890438" w:rsidP="00890438">
      <w:pPr>
        <w:adjustRightInd w:val="0"/>
        <w:spacing w:after="0" w:line="480" w:lineRule="auto"/>
        <w:rPr>
          <w:rFonts w:asciiTheme="majorBidi" w:hAnsiTheme="majorBidi" w:cstheme="majorBidi"/>
          <w:sz w:val="24"/>
          <w:szCs w:val="24"/>
        </w:rPr>
      </w:pPr>
      <w:r>
        <w:rPr>
          <w:rFonts w:ascii="Times New Roman" w:hAnsi="Times New Roman" w:cs="Times New Roman"/>
          <w:sz w:val="24"/>
          <w:szCs w:val="24"/>
        </w:rPr>
        <w:tab/>
        <w:t xml:space="preserve">Furthermore, a few respondents suggested that the CSR campaign has to provide a real and genuine benefit to the people and to society as seen in some studies in literature </w:t>
      </w:r>
      <w:sdt>
        <w:sdtPr>
          <w:rPr>
            <w:rFonts w:asciiTheme="majorBidi" w:hAnsiTheme="majorBidi" w:cstheme="majorBidi"/>
            <w:sz w:val="24"/>
            <w:szCs w:val="24"/>
          </w:rPr>
          <w:id w:val="-489256990"/>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CITATION Mam21 \t  \l 2057 </w:instrText>
          </w:r>
          <w:r>
            <w:rPr>
              <w:rFonts w:asciiTheme="majorBidi" w:hAnsiTheme="majorBidi" w:cstheme="majorBidi"/>
              <w:sz w:val="24"/>
              <w:szCs w:val="24"/>
            </w:rPr>
            <w:fldChar w:fldCharType="separate"/>
          </w:r>
          <w:r w:rsidRPr="0002256A">
            <w:rPr>
              <w:rFonts w:asciiTheme="majorBidi" w:hAnsiTheme="majorBidi" w:cstheme="majorBidi"/>
              <w:noProof/>
              <w:sz w:val="24"/>
              <w:szCs w:val="24"/>
            </w:rPr>
            <w:t>(Mamo, Agyemang, &amp; Andrew, 2021)</w:t>
          </w:r>
          <w:r>
            <w:rPr>
              <w:rFonts w:asciiTheme="majorBidi" w:hAnsiTheme="majorBidi" w:cstheme="majorBidi"/>
              <w:sz w:val="24"/>
              <w:szCs w:val="24"/>
            </w:rPr>
            <w:fldChar w:fldCharType="end"/>
          </w:r>
        </w:sdtContent>
      </w:sdt>
      <w:r>
        <w:rPr>
          <w:rFonts w:asciiTheme="majorBidi" w:hAnsiTheme="majorBidi" w:cstheme="majorBidi"/>
          <w:sz w:val="24"/>
          <w:szCs w:val="24"/>
        </w:rPr>
        <w:t xml:space="preserve">. Especially that, as appeared in the systematic literature review, </w:t>
      </w:r>
      <w:r w:rsidRPr="00241A5E">
        <w:rPr>
          <w:rFonts w:asciiTheme="majorBidi" w:eastAsia="Times New Roman" w:hAnsiTheme="majorBidi" w:cstheme="majorBidi"/>
          <w:sz w:val="24"/>
          <w:szCs w:val="24"/>
          <w:lang w:eastAsia="en-GB"/>
        </w:rPr>
        <w:t xml:space="preserve">CSR </w:t>
      </w:r>
      <w:r>
        <w:rPr>
          <w:rFonts w:asciiTheme="majorBidi" w:eastAsia="Times New Roman" w:hAnsiTheme="majorBidi" w:cstheme="majorBidi"/>
          <w:sz w:val="24"/>
          <w:szCs w:val="24"/>
          <w:lang w:eastAsia="en-GB"/>
        </w:rPr>
        <w:t xml:space="preserve">in Egypt </w:t>
      </w:r>
      <w:r w:rsidRPr="00241A5E">
        <w:rPr>
          <w:rFonts w:asciiTheme="majorBidi" w:eastAsia="Times New Roman" w:hAnsiTheme="majorBidi" w:cstheme="majorBidi"/>
          <w:sz w:val="24"/>
          <w:szCs w:val="24"/>
          <w:lang w:eastAsia="en-GB"/>
        </w:rPr>
        <w:t xml:space="preserve">may be </w:t>
      </w:r>
      <w:r>
        <w:rPr>
          <w:rFonts w:asciiTheme="majorBidi" w:eastAsia="Times New Roman" w:hAnsiTheme="majorBidi" w:cstheme="majorBidi"/>
          <w:sz w:val="24"/>
          <w:szCs w:val="24"/>
          <w:lang w:eastAsia="en-GB"/>
        </w:rPr>
        <w:t>perceived</w:t>
      </w:r>
      <w:r w:rsidRPr="00241A5E">
        <w:rPr>
          <w:rFonts w:asciiTheme="majorBidi" w:eastAsia="Times New Roman" w:hAnsiTheme="majorBidi" w:cstheme="majorBidi"/>
          <w:sz w:val="24"/>
          <w:szCs w:val="24"/>
          <w:lang w:eastAsia="en-GB"/>
        </w:rPr>
        <w:t xml:space="preserve"> </w:t>
      </w:r>
      <w:r>
        <w:rPr>
          <w:rFonts w:asciiTheme="majorBidi" w:eastAsia="Times New Roman" w:hAnsiTheme="majorBidi" w:cstheme="majorBidi"/>
          <w:sz w:val="24"/>
          <w:szCs w:val="24"/>
          <w:lang w:eastAsia="en-GB"/>
        </w:rPr>
        <w:t>as a way to</w:t>
      </w:r>
      <w:r w:rsidRPr="00241A5E">
        <w:rPr>
          <w:rFonts w:asciiTheme="majorBidi" w:eastAsia="Times New Roman" w:hAnsiTheme="majorBidi" w:cstheme="majorBidi"/>
          <w:sz w:val="24"/>
          <w:szCs w:val="24"/>
          <w:lang w:eastAsia="en-GB"/>
        </w:rPr>
        <w:t xml:space="preserve"> </w:t>
      </w:r>
      <w:r>
        <w:rPr>
          <w:rFonts w:asciiTheme="majorBidi" w:eastAsia="Times New Roman" w:hAnsiTheme="majorBidi" w:cstheme="majorBidi"/>
          <w:sz w:val="24"/>
          <w:szCs w:val="24"/>
          <w:lang w:eastAsia="en-GB"/>
        </w:rPr>
        <w:t xml:space="preserve">achieve </w:t>
      </w:r>
      <w:r w:rsidRPr="00241A5E">
        <w:rPr>
          <w:rFonts w:asciiTheme="majorBidi" w:eastAsia="Times New Roman" w:hAnsiTheme="majorBidi" w:cstheme="majorBidi"/>
          <w:sz w:val="24"/>
          <w:szCs w:val="24"/>
          <w:lang w:eastAsia="en-GB"/>
        </w:rPr>
        <w:t xml:space="preserve">temporary goals </w:t>
      </w:r>
      <w:r>
        <w:rPr>
          <w:rFonts w:asciiTheme="majorBidi" w:eastAsia="Times New Roman" w:hAnsiTheme="majorBidi" w:cstheme="majorBidi"/>
          <w:sz w:val="24"/>
          <w:szCs w:val="24"/>
          <w:lang w:eastAsia="en-GB"/>
        </w:rPr>
        <w:t xml:space="preserve">of some specific corporate interest </w:t>
      </w:r>
      <w:sdt>
        <w:sdtPr>
          <w:rPr>
            <w:rFonts w:asciiTheme="majorBidi" w:eastAsia="Times New Roman" w:hAnsiTheme="majorBidi" w:cstheme="majorBidi"/>
            <w:sz w:val="24"/>
            <w:szCs w:val="24"/>
            <w:lang w:eastAsia="en-GB"/>
          </w:rPr>
          <w:id w:val="1046261512"/>
          <w:citation/>
        </w:sdtPr>
        <w:sdtContent>
          <w:r w:rsidRPr="001545AB">
            <w:rPr>
              <w:rFonts w:asciiTheme="majorBidi" w:eastAsia="Times New Roman" w:hAnsiTheme="majorBidi" w:cstheme="majorBidi"/>
              <w:sz w:val="24"/>
              <w:szCs w:val="24"/>
              <w:lang w:eastAsia="en-GB"/>
            </w:rPr>
            <w:fldChar w:fldCharType="begin"/>
          </w:r>
          <w:r>
            <w:rPr>
              <w:rFonts w:asciiTheme="majorBidi" w:eastAsia="Times New Roman" w:hAnsiTheme="majorBidi" w:cstheme="majorBidi"/>
              <w:sz w:val="24"/>
              <w:szCs w:val="24"/>
              <w:lang w:eastAsia="en-GB"/>
            </w:rPr>
            <w:instrText xml:space="preserve">CITATION ElB18 \t  \l 2057 </w:instrText>
          </w:r>
          <w:r w:rsidRPr="001545AB">
            <w:rPr>
              <w:rFonts w:asciiTheme="majorBidi" w:eastAsia="Times New Roman" w:hAnsiTheme="majorBidi" w:cstheme="majorBidi"/>
              <w:sz w:val="24"/>
              <w:szCs w:val="24"/>
              <w:lang w:eastAsia="en-GB"/>
            </w:rPr>
            <w:fldChar w:fldCharType="separate"/>
          </w:r>
          <w:r w:rsidRPr="00E067D2">
            <w:rPr>
              <w:rFonts w:asciiTheme="majorBidi" w:eastAsia="Times New Roman" w:hAnsiTheme="majorBidi" w:cstheme="majorBidi"/>
              <w:noProof/>
              <w:sz w:val="24"/>
              <w:szCs w:val="24"/>
              <w:lang w:eastAsia="en-GB"/>
            </w:rPr>
            <w:t>(El-Bassiouny &amp; Letmathe, 2018)</w:t>
          </w:r>
          <w:r w:rsidRPr="001545AB">
            <w:rPr>
              <w:rFonts w:asciiTheme="majorBidi" w:eastAsia="Times New Roman" w:hAnsiTheme="majorBidi" w:cstheme="majorBidi"/>
              <w:sz w:val="24"/>
              <w:szCs w:val="24"/>
              <w:lang w:eastAsia="en-GB"/>
            </w:rPr>
            <w:fldChar w:fldCharType="end"/>
          </w:r>
        </w:sdtContent>
      </w:sdt>
      <w:r>
        <w:rPr>
          <w:rFonts w:asciiTheme="majorBidi" w:eastAsia="Times New Roman" w:hAnsiTheme="majorBidi" w:cstheme="majorBidi"/>
          <w:sz w:val="24"/>
          <w:szCs w:val="24"/>
          <w:lang w:eastAsia="en-GB"/>
        </w:rPr>
        <w:t>.</w:t>
      </w:r>
      <w:r>
        <w:rPr>
          <w:rFonts w:asciiTheme="majorBidi" w:hAnsiTheme="majorBidi" w:cstheme="majorBidi"/>
          <w:sz w:val="24"/>
          <w:szCs w:val="24"/>
        </w:rPr>
        <w:t xml:space="preserve"> Lastly, few subject</w:t>
      </w:r>
      <w:r w:rsidR="00C946F5">
        <w:rPr>
          <w:rFonts w:asciiTheme="majorBidi" w:hAnsiTheme="majorBidi" w:cstheme="majorBidi"/>
          <w:sz w:val="24"/>
          <w:szCs w:val="24"/>
        </w:rPr>
        <w:t xml:space="preserve">s </w:t>
      </w:r>
      <w:r>
        <w:rPr>
          <w:rFonts w:asciiTheme="majorBidi" w:hAnsiTheme="majorBidi" w:cstheme="majorBidi"/>
          <w:sz w:val="24"/>
          <w:szCs w:val="24"/>
        </w:rPr>
        <w:t xml:space="preserve">suggested that when the CSR campaign is launched by a </w:t>
      </w:r>
      <w:r w:rsidRPr="00D76461">
        <w:rPr>
          <w:rFonts w:asciiTheme="majorBidi" w:hAnsiTheme="majorBidi" w:cstheme="majorBidi"/>
          <w:sz w:val="24"/>
          <w:szCs w:val="24"/>
        </w:rPr>
        <w:t>well-known brand,</w:t>
      </w:r>
      <w:r>
        <w:rPr>
          <w:rFonts w:asciiTheme="majorBidi" w:hAnsiTheme="majorBidi" w:cstheme="majorBidi"/>
          <w:sz w:val="24"/>
          <w:szCs w:val="24"/>
        </w:rPr>
        <w:t xml:space="preserve"> it is more likely to be more appreciated and well-received by the audience</w:t>
      </w:r>
      <w:r w:rsidR="00C946F5">
        <w:rPr>
          <w:rFonts w:asciiTheme="majorBidi" w:hAnsiTheme="majorBidi" w:cstheme="majorBidi"/>
          <w:sz w:val="24"/>
          <w:szCs w:val="24"/>
        </w:rPr>
        <w:t xml:space="preserve"> as it will aid in increasing trust</w:t>
      </w:r>
      <w:r>
        <w:rPr>
          <w:rFonts w:asciiTheme="majorBidi" w:hAnsiTheme="majorBidi" w:cstheme="majorBidi"/>
          <w:sz w:val="24"/>
          <w:szCs w:val="24"/>
        </w:rPr>
        <w:t>. Also, it was presented in literature that consumers have expectations from large corporates and famous brands to have societal responsibilities as they do not need to heavily invest in marketing and brand awareness strategies the way new brands do</w:t>
      </w:r>
      <w:sdt>
        <w:sdtPr>
          <w:rPr>
            <w:rFonts w:asciiTheme="majorBidi" w:hAnsiTheme="majorBidi" w:cstheme="majorBidi"/>
            <w:sz w:val="24"/>
            <w:szCs w:val="24"/>
          </w:rPr>
          <w:id w:val="460468960"/>
          <w:citation/>
        </w:sdtPr>
        <w:sdtContent>
          <w:r w:rsidRPr="0066107A">
            <w:rPr>
              <w:rFonts w:asciiTheme="majorBidi" w:hAnsiTheme="majorBidi" w:cstheme="majorBidi"/>
              <w:sz w:val="24"/>
              <w:szCs w:val="24"/>
            </w:rPr>
            <w:fldChar w:fldCharType="begin"/>
          </w:r>
          <w:r w:rsidRPr="0066107A">
            <w:rPr>
              <w:rFonts w:asciiTheme="majorBidi" w:hAnsiTheme="majorBidi" w:cstheme="majorBidi"/>
              <w:sz w:val="24"/>
              <w:szCs w:val="24"/>
            </w:rPr>
            <w:instrText xml:space="preserve"> CITATION Baw16 \l 2057 </w:instrText>
          </w:r>
          <w:r w:rsidRPr="0066107A">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02256A">
            <w:rPr>
              <w:rFonts w:asciiTheme="majorBidi" w:hAnsiTheme="majorBidi" w:cstheme="majorBidi"/>
              <w:noProof/>
              <w:sz w:val="24"/>
              <w:szCs w:val="24"/>
            </w:rPr>
            <w:t>(Bawa &amp; Saha, 2016)</w:t>
          </w:r>
          <w:r w:rsidRPr="0066107A">
            <w:rPr>
              <w:rFonts w:asciiTheme="majorBidi" w:hAnsiTheme="majorBidi" w:cstheme="majorBidi"/>
              <w:sz w:val="24"/>
              <w:szCs w:val="24"/>
            </w:rPr>
            <w:fldChar w:fldCharType="end"/>
          </w:r>
        </w:sdtContent>
      </w:sdt>
      <w:r w:rsidRPr="0066107A">
        <w:rPr>
          <w:rFonts w:asciiTheme="majorBidi" w:hAnsiTheme="majorBidi" w:cstheme="majorBidi"/>
          <w:sz w:val="24"/>
          <w:szCs w:val="24"/>
        </w:rPr>
        <w:t>.</w:t>
      </w:r>
      <w:r>
        <w:rPr>
          <w:rFonts w:asciiTheme="majorBidi" w:hAnsiTheme="majorBidi" w:cstheme="majorBidi"/>
          <w:sz w:val="24"/>
          <w:szCs w:val="24"/>
        </w:rPr>
        <w:t xml:space="preserve"> This was confirmed in this study in which some respondents indicated that “Dettol doesn’t need to sell itself” and accordingly the impact of CSR communication on consumers’ attitudes and purchase intention will be high. </w:t>
      </w:r>
      <w:r w:rsidR="00874EA4">
        <w:rPr>
          <w:rFonts w:asciiTheme="majorBidi" w:hAnsiTheme="majorBidi" w:cstheme="majorBidi"/>
          <w:sz w:val="24"/>
          <w:szCs w:val="24"/>
        </w:rPr>
        <w:t xml:space="preserve">Thus, it is essential to conclude that the positive impact of CSR will be most noticeable when its launched by a well-known brand and enough information about the CSR campaign is communicated to the audience. </w:t>
      </w:r>
    </w:p>
    <w:p w14:paraId="20F8E04A" w14:textId="59A34446" w:rsidR="00890438" w:rsidRDefault="00890438" w:rsidP="00890438">
      <w:pPr>
        <w:adjustRightInd w:val="0"/>
        <w:spacing w:after="0" w:line="480" w:lineRule="auto"/>
        <w:rPr>
          <w:rFonts w:asciiTheme="majorBidi" w:hAnsiTheme="majorBidi" w:cstheme="majorBidi"/>
          <w:b/>
          <w:bCs/>
          <w:sz w:val="24"/>
          <w:szCs w:val="24"/>
        </w:rPr>
      </w:pPr>
      <w:r w:rsidRPr="002C3983">
        <w:rPr>
          <w:rFonts w:asciiTheme="majorBidi" w:hAnsiTheme="majorBidi" w:cstheme="majorBidi"/>
          <w:b/>
          <w:bCs/>
          <w:sz w:val="24"/>
          <w:szCs w:val="24"/>
        </w:rPr>
        <w:t>8.</w:t>
      </w:r>
      <w:r w:rsidR="00A133C6">
        <w:rPr>
          <w:rFonts w:asciiTheme="majorBidi" w:hAnsiTheme="majorBidi" w:cstheme="majorBidi"/>
          <w:b/>
          <w:bCs/>
          <w:sz w:val="24"/>
          <w:szCs w:val="24"/>
        </w:rPr>
        <w:t>3</w:t>
      </w:r>
      <w:r w:rsidRPr="002C3983">
        <w:rPr>
          <w:rFonts w:asciiTheme="majorBidi" w:hAnsiTheme="majorBidi" w:cstheme="majorBidi"/>
          <w:b/>
          <w:bCs/>
          <w:sz w:val="24"/>
          <w:szCs w:val="24"/>
        </w:rPr>
        <w:t xml:space="preserve"> </w:t>
      </w:r>
      <w:r>
        <w:rPr>
          <w:rFonts w:asciiTheme="majorBidi" w:hAnsiTheme="majorBidi" w:cstheme="majorBidi"/>
          <w:b/>
          <w:bCs/>
          <w:sz w:val="24"/>
          <w:szCs w:val="24"/>
        </w:rPr>
        <w:t xml:space="preserve">Chapter Summary </w:t>
      </w:r>
    </w:p>
    <w:p w14:paraId="6AC551A9" w14:textId="48C211B4" w:rsidR="004810B3" w:rsidRPr="00D76461" w:rsidRDefault="00890438" w:rsidP="00D76461">
      <w:pPr>
        <w:adjustRightInd w:val="0"/>
        <w:spacing w:after="0" w:line="480" w:lineRule="auto"/>
        <w:rPr>
          <w:rFonts w:asciiTheme="majorBidi" w:hAnsiTheme="majorBidi" w:cstheme="majorBidi"/>
          <w:sz w:val="24"/>
          <w:szCs w:val="24"/>
        </w:rPr>
      </w:pPr>
      <w:r>
        <w:rPr>
          <w:rFonts w:asciiTheme="majorBidi" w:hAnsiTheme="majorBidi" w:cstheme="majorBidi"/>
          <w:sz w:val="24"/>
          <w:szCs w:val="24"/>
        </w:rPr>
        <w:tab/>
      </w:r>
      <w:r w:rsidRPr="00117D48">
        <w:rPr>
          <w:rFonts w:asciiTheme="majorBidi" w:hAnsiTheme="majorBidi" w:cstheme="majorBidi"/>
          <w:sz w:val="24"/>
          <w:szCs w:val="24"/>
        </w:rPr>
        <w:t xml:space="preserve">To conclude, this chapter provides substantial evidence that CSR can be a more successful communication strategy than non-CSR for </w:t>
      </w:r>
      <w:r w:rsidR="00874EA4">
        <w:rPr>
          <w:rFonts w:asciiTheme="majorBidi" w:hAnsiTheme="majorBidi" w:cstheme="majorBidi"/>
          <w:sz w:val="24"/>
          <w:szCs w:val="24"/>
        </w:rPr>
        <w:t>FMCG</w:t>
      </w:r>
      <w:r w:rsidRPr="00117D48">
        <w:rPr>
          <w:rFonts w:asciiTheme="majorBidi" w:hAnsiTheme="majorBidi" w:cstheme="majorBidi"/>
          <w:sz w:val="24"/>
          <w:szCs w:val="24"/>
        </w:rPr>
        <w:t xml:space="preserve"> products in Egypt.</w:t>
      </w:r>
      <w:r>
        <w:rPr>
          <w:rFonts w:asciiTheme="majorBidi" w:hAnsiTheme="majorBidi" w:cstheme="majorBidi"/>
          <w:sz w:val="24"/>
          <w:szCs w:val="24"/>
        </w:rPr>
        <w:t xml:space="preserve"> </w:t>
      </w:r>
      <w:r w:rsidR="00E14FDA">
        <w:rPr>
          <w:rFonts w:asciiTheme="majorBidi" w:hAnsiTheme="majorBidi" w:cstheme="majorBidi"/>
          <w:sz w:val="24"/>
          <w:szCs w:val="24"/>
        </w:rPr>
        <w:t xml:space="preserve">This </w:t>
      </w:r>
      <w:r w:rsidR="00874EA4">
        <w:rPr>
          <w:rFonts w:asciiTheme="majorBidi" w:hAnsiTheme="majorBidi" w:cstheme="majorBidi"/>
          <w:sz w:val="24"/>
          <w:szCs w:val="24"/>
        </w:rPr>
        <w:t xml:space="preserve">is </w:t>
      </w:r>
      <w:r w:rsidR="00E14FDA">
        <w:rPr>
          <w:rFonts w:asciiTheme="majorBidi" w:hAnsiTheme="majorBidi" w:cstheme="majorBidi"/>
          <w:sz w:val="24"/>
          <w:szCs w:val="24"/>
        </w:rPr>
        <w:t xml:space="preserve">depicted from the results that showed that CSR communication had larger positive effects than non-CSR communication on consumers’ </w:t>
      </w:r>
      <w:r w:rsidR="00874EA4">
        <w:rPr>
          <w:rFonts w:asciiTheme="majorBidi" w:hAnsiTheme="majorBidi" w:cstheme="majorBidi"/>
          <w:sz w:val="24"/>
          <w:szCs w:val="24"/>
        </w:rPr>
        <w:t xml:space="preserve">brand </w:t>
      </w:r>
      <w:r w:rsidR="00E14FDA">
        <w:rPr>
          <w:rFonts w:asciiTheme="majorBidi" w:hAnsiTheme="majorBidi" w:cstheme="majorBidi"/>
          <w:sz w:val="24"/>
          <w:szCs w:val="24"/>
        </w:rPr>
        <w:t>attitudes</w:t>
      </w:r>
      <w:r w:rsidR="0011349A">
        <w:rPr>
          <w:rFonts w:asciiTheme="majorBidi" w:hAnsiTheme="majorBidi" w:cstheme="majorBidi"/>
          <w:sz w:val="24"/>
          <w:szCs w:val="24"/>
        </w:rPr>
        <w:t xml:space="preserve"> and purchase intention</w:t>
      </w:r>
      <w:r w:rsidR="00E14FDA">
        <w:rPr>
          <w:rFonts w:asciiTheme="majorBidi" w:hAnsiTheme="majorBidi" w:cstheme="majorBidi"/>
          <w:sz w:val="24"/>
          <w:szCs w:val="24"/>
        </w:rPr>
        <w:t xml:space="preserve">. Thus, the discussion confidently answers the study’s first research question as it determined that there are multiple positive effects of CSR communication on consumers’ brand attitudes and purchase intentions. </w:t>
      </w:r>
      <w:r w:rsidR="0011349A">
        <w:rPr>
          <w:rFonts w:asciiTheme="majorBidi" w:hAnsiTheme="majorBidi" w:cstheme="majorBidi"/>
          <w:sz w:val="24"/>
          <w:szCs w:val="24"/>
        </w:rPr>
        <w:t xml:space="preserve">Furthermore, examining the second </w:t>
      </w:r>
      <w:r w:rsidR="004F68AE">
        <w:rPr>
          <w:rFonts w:asciiTheme="majorBidi" w:hAnsiTheme="majorBidi" w:cstheme="majorBidi"/>
          <w:sz w:val="24"/>
          <w:szCs w:val="24"/>
        </w:rPr>
        <w:t xml:space="preserve">research question, results showed that different media </w:t>
      </w:r>
      <w:r w:rsidR="00874EA4">
        <w:rPr>
          <w:rFonts w:asciiTheme="majorBidi" w:hAnsiTheme="majorBidi" w:cstheme="majorBidi"/>
          <w:sz w:val="24"/>
          <w:szCs w:val="24"/>
        </w:rPr>
        <w:t>vehicles</w:t>
      </w:r>
      <w:r w:rsidR="004F68AE">
        <w:rPr>
          <w:rFonts w:asciiTheme="majorBidi" w:hAnsiTheme="majorBidi" w:cstheme="majorBidi"/>
          <w:sz w:val="24"/>
          <w:szCs w:val="24"/>
        </w:rPr>
        <w:t xml:space="preserve"> have </w:t>
      </w:r>
      <w:r w:rsidR="00874EA4">
        <w:rPr>
          <w:rFonts w:asciiTheme="majorBidi" w:hAnsiTheme="majorBidi" w:cstheme="majorBidi"/>
          <w:sz w:val="24"/>
          <w:szCs w:val="24"/>
        </w:rPr>
        <w:t>differing</w:t>
      </w:r>
      <w:r w:rsidR="004F68AE">
        <w:rPr>
          <w:rFonts w:asciiTheme="majorBidi" w:hAnsiTheme="majorBidi" w:cstheme="majorBidi"/>
          <w:sz w:val="24"/>
          <w:szCs w:val="24"/>
        </w:rPr>
        <w:t xml:space="preserve"> impact on consumers’ brand attitudes towards the brand. This is because, based on the results,</w:t>
      </w:r>
      <w:r w:rsidR="0011349A">
        <w:rPr>
          <w:rFonts w:asciiTheme="majorBidi" w:hAnsiTheme="majorBidi" w:cstheme="majorBidi"/>
          <w:sz w:val="24"/>
          <w:szCs w:val="24"/>
        </w:rPr>
        <w:t xml:space="preserve"> when CSR is communicated on TV it will have stronger positive effects on attitudes and purchase intention</w:t>
      </w:r>
      <w:r w:rsidR="004F68AE">
        <w:rPr>
          <w:rFonts w:asciiTheme="majorBidi" w:hAnsiTheme="majorBidi" w:cstheme="majorBidi"/>
          <w:sz w:val="24"/>
          <w:szCs w:val="24"/>
        </w:rPr>
        <w:t xml:space="preserve"> than social media</w:t>
      </w:r>
      <w:r w:rsidR="0011349A">
        <w:rPr>
          <w:rFonts w:asciiTheme="majorBidi" w:hAnsiTheme="majorBidi" w:cstheme="majorBidi"/>
          <w:sz w:val="24"/>
          <w:szCs w:val="24"/>
        </w:rPr>
        <w:t xml:space="preserve">. </w:t>
      </w:r>
      <w:r>
        <w:rPr>
          <w:rFonts w:asciiTheme="majorBidi" w:hAnsiTheme="majorBidi" w:cstheme="majorBidi"/>
          <w:sz w:val="24"/>
          <w:szCs w:val="24"/>
        </w:rPr>
        <w:t xml:space="preserve">Yet, multiple considerations and factors need to be considered to guarantee the </w:t>
      </w:r>
      <w:r w:rsidRPr="00D11258">
        <w:rPr>
          <w:rFonts w:asciiTheme="majorBidi" w:hAnsiTheme="majorBidi" w:cstheme="majorBidi"/>
          <w:sz w:val="24"/>
          <w:szCs w:val="24"/>
        </w:rPr>
        <w:t>success of CSR as a communication strategy.</w:t>
      </w:r>
      <w:r>
        <w:rPr>
          <w:rFonts w:asciiTheme="majorBidi" w:hAnsiTheme="majorBidi" w:cstheme="majorBidi"/>
          <w:sz w:val="24"/>
          <w:szCs w:val="24"/>
        </w:rPr>
        <w:t xml:space="preserve"> </w:t>
      </w:r>
      <w:r w:rsidR="00D11258">
        <w:rPr>
          <w:rFonts w:asciiTheme="majorBidi" w:hAnsiTheme="majorBidi" w:cstheme="majorBidi"/>
          <w:sz w:val="24"/>
          <w:szCs w:val="24"/>
        </w:rPr>
        <w:t xml:space="preserve">These strategies pointed towards the prominence of incorporating a plenty of detailed information about the CSR campaign in the communication as this will increase the credibility of the campaign and the brand. Additionally, consumers </w:t>
      </w:r>
      <w:r w:rsidR="00391C46">
        <w:rPr>
          <w:rFonts w:asciiTheme="majorBidi" w:hAnsiTheme="majorBidi" w:cstheme="majorBidi"/>
          <w:sz w:val="24"/>
          <w:szCs w:val="24"/>
        </w:rPr>
        <w:t>mentioned</w:t>
      </w:r>
      <w:r w:rsidR="00D11258">
        <w:rPr>
          <w:rFonts w:asciiTheme="majorBidi" w:hAnsiTheme="majorBidi" w:cstheme="majorBidi"/>
          <w:sz w:val="24"/>
          <w:szCs w:val="24"/>
        </w:rPr>
        <w:t xml:space="preserve"> few other strategies related to the brand such as the level of the brand’s awareness. This indicates that the information that consumers needed to receive from the communication were related to the campaign itself as the brand does not need information about its functionality because it’s a popular brand. </w:t>
      </w:r>
      <w:r w:rsidR="007E57A4">
        <w:rPr>
          <w:rFonts w:asciiTheme="majorBidi" w:hAnsiTheme="majorBidi" w:cstheme="majorBidi"/>
          <w:sz w:val="24"/>
          <w:szCs w:val="24"/>
        </w:rPr>
        <w:t>This could be specifically relevant to an FMCG brand as it</w:t>
      </w:r>
      <w:r w:rsidR="002B3403">
        <w:rPr>
          <w:rFonts w:asciiTheme="majorBidi" w:hAnsiTheme="majorBidi" w:cstheme="majorBidi"/>
          <w:sz w:val="24"/>
          <w:szCs w:val="24"/>
        </w:rPr>
        <w:t>’</w:t>
      </w:r>
      <w:r w:rsidR="007E57A4">
        <w:rPr>
          <w:rFonts w:asciiTheme="majorBidi" w:hAnsiTheme="majorBidi" w:cstheme="majorBidi"/>
          <w:sz w:val="24"/>
          <w:szCs w:val="24"/>
        </w:rPr>
        <w:t xml:space="preserve">s </w:t>
      </w:r>
      <w:r w:rsidR="00391C46">
        <w:rPr>
          <w:rFonts w:asciiTheme="majorBidi" w:hAnsiTheme="majorBidi" w:cstheme="majorBidi"/>
          <w:sz w:val="24"/>
          <w:szCs w:val="24"/>
        </w:rPr>
        <w:t>a</w:t>
      </w:r>
      <w:r w:rsidR="007E57A4">
        <w:rPr>
          <w:rFonts w:asciiTheme="majorBidi" w:hAnsiTheme="majorBidi" w:cstheme="majorBidi"/>
          <w:sz w:val="24"/>
          <w:szCs w:val="24"/>
        </w:rPr>
        <w:t xml:space="preserve"> low-involvement product. </w:t>
      </w:r>
      <w:r>
        <w:rPr>
          <w:rFonts w:asciiTheme="majorBidi" w:hAnsiTheme="majorBidi" w:cstheme="majorBidi"/>
          <w:sz w:val="24"/>
          <w:szCs w:val="24"/>
        </w:rPr>
        <w:t xml:space="preserve">Most importantly, the above discussion revealed significant literature and theoretical contributions and numerous opportunities for future research. The next chapter concludes the thesis and outlines the way the study’s bridged a significant research gap, highlights a plethora of </w:t>
      </w:r>
      <w:r w:rsidR="00391C46">
        <w:rPr>
          <w:rFonts w:asciiTheme="majorBidi" w:hAnsiTheme="majorBidi" w:cstheme="majorBidi"/>
          <w:sz w:val="24"/>
          <w:szCs w:val="24"/>
        </w:rPr>
        <w:t xml:space="preserve">future </w:t>
      </w:r>
      <w:r>
        <w:rPr>
          <w:rFonts w:asciiTheme="majorBidi" w:hAnsiTheme="majorBidi" w:cstheme="majorBidi"/>
          <w:sz w:val="24"/>
          <w:szCs w:val="24"/>
        </w:rPr>
        <w:t xml:space="preserve">research opportunities, and concludes the thesis while reflecting on the study’s main objectives. </w:t>
      </w:r>
      <w:bookmarkEnd w:id="236"/>
    </w:p>
    <w:p w14:paraId="0ACBC4AD" w14:textId="77777777" w:rsidR="00D76461" w:rsidRDefault="00D76461">
      <w:pPr>
        <w:rPr>
          <w:rFonts w:asciiTheme="majorBidi" w:hAnsiTheme="majorBidi" w:cstheme="majorBidi"/>
          <w:b/>
          <w:bCs/>
          <w:sz w:val="24"/>
          <w:szCs w:val="24"/>
        </w:rPr>
      </w:pPr>
      <w:r>
        <w:rPr>
          <w:rFonts w:asciiTheme="majorBidi" w:hAnsiTheme="majorBidi" w:cstheme="majorBidi"/>
          <w:b/>
          <w:bCs/>
          <w:sz w:val="24"/>
          <w:szCs w:val="24"/>
        </w:rPr>
        <w:br w:type="page"/>
      </w:r>
    </w:p>
    <w:p w14:paraId="3341E7FA" w14:textId="25A6CB23" w:rsidR="00E42549" w:rsidRDefault="00E42549" w:rsidP="005E3607">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Chapter 9</w:t>
      </w:r>
    </w:p>
    <w:p w14:paraId="026D35F8" w14:textId="77777777" w:rsidR="00E42549" w:rsidRDefault="00E42549" w:rsidP="005E3607">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t>Conclusions</w:t>
      </w:r>
    </w:p>
    <w:p w14:paraId="4426E894" w14:textId="6BB90E0D" w:rsidR="00A133C6" w:rsidRPr="00A133C6" w:rsidRDefault="00A133C6" w:rsidP="005E3607">
      <w:pPr>
        <w:spacing w:after="0" w:line="480" w:lineRule="auto"/>
        <w:rPr>
          <w:rFonts w:asciiTheme="majorBidi" w:hAnsiTheme="majorBidi" w:cstheme="majorBidi"/>
          <w:b/>
          <w:bCs/>
          <w:sz w:val="24"/>
          <w:szCs w:val="24"/>
        </w:rPr>
      </w:pPr>
      <w:r w:rsidRPr="00A133C6">
        <w:rPr>
          <w:rFonts w:asciiTheme="majorBidi" w:hAnsiTheme="majorBidi" w:cstheme="majorBidi"/>
          <w:b/>
          <w:bCs/>
          <w:sz w:val="24"/>
          <w:szCs w:val="24"/>
        </w:rPr>
        <w:t xml:space="preserve">9.0 Chapter Overview </w:t>
      </w:r>
    </w:p>
    <w:p w14:paraId="32BC1DE5" w14:textId="76E56AA3" w:rsidR="00E42549" w:rsidRDefault="00E42549" w:rsidP="00E61261">
      <w:pPr>
        <w:spacing w:after="0" w:line="480" w:lineRule="auto"/>
        <w:ind w:firstLine="720"/>
        <w:rPr>
          <w:rFonts w:asciiTheme="majorBidi" w:hAnsiTheme="majorBidi" w:cstheme="majorBidi"/>
          <w:sz w:val="24"/>
          <w:szCs w:val="24"/>
        </w:rPr>
      </w:pPr>
      <w:r>
        <w:rPr>
          <w:rFonts w:asciiTheme="majorBidi" w:hAnsiTheme="majorBidi" w:cstheme="majorBidi"/>
          <w:sz w:val="24"/>
          <w:szCs w:val="24"/>
        </w:rPr>
        <w:t>Although CSR communication is the primary focus of this study, the goal of this thesis was to answer a deeper question about the consumers’ preferred communication strategy that will have a more favourable impact on consumers’ attitudes towards the brand. In a successful attempt to crack the mind of consumers and their motives behind their purchase intentions, this study addressed the influence of CSR communication with a specific scope, type of product, and selected media vehicles. Hence, the study’s literature reviews, research questions, developed hypotheses, and selected theoretical framework answer</w:t>
      </w:r>
      <w:r w:rsidR="00391C46">
        <w:rPr>
          <w:rFonts w:asciiTheme="majorBidi" w:hAnsiTheme="majorBidi" w:cstheme="majorBidi"/>
          <w:sz w:val="24"/>
          <w:szCs w:val="24"/>
        </w:rPr>
        <w:t>ed</w:t>
      </w:r>
      <w:r>
        <w:rPr>
          <w:rFonts w:asciiTheme="majorBidi" w:hAnsiTheme="majorBidi" w:cstheme="majorBidi"/>
          <w:sz w:val="24"/>
          <w:szCs w:val="24"/>
        </w:rPr>
        <w:t xml:space="preserve"> the overarching question of </w:t>
      </w:r>
      <w:r w:rsidRPr="00AC44E9">
        <w:rPr>
          <w:rFonts w:asciiTheme="majorBidi" w:hAnsiTheme="majorBidi" w:cstheme="majorBidi"/>
          <w:sz w:val="24"/>
          <w:szCs w:val="24"/>
        </w:rPr>
        <w:t xml:space="preserve">which </w:t>
      </w:r>
      <w:r>
        <w:rPr>
          <w:rFonts w:asciiTheme="majorBidi" w:hAnsiTheme="majorBidi" w:cstheme="majorBidi"/>
          <w:sz w:val="24"/>
          <w:szCs w:val="24"/>
        </w:rPr>
        <w:t xml:space="preserve">of the CSR and non-CSR </w:t>
      </w:r>
      <w:r w:rsidRPr="00AC44E9">
        <w:rPr>
          <w:rFonts w:asciiTheme="majorBidi" w:hAnsiTheme="majorBidi" w:cstheme="majorBidi"/>
          <w:sz w:val="24"/>
          <w:szCs w:val="24"/>
        </w:rPr>
        <w:t>communication</w:t>
      </w:r>
      <w:r>
        <w:rPr>
          <w:rFonts w:asciiTheme="majorBidi" w:hAnsiTheme="majorBidi" w:cstheme="majorBidi"/>
          <w:sz w:val="24"/>
          <w:szCs w:val="24"/>
        </w:rPr>
        <w:t xml:space="preserve"> strategies</w:t>
      </w:r>
      <w:r w:rsidRPr="00AC44E9">
        <w:rPr>
          <w:rFonts w:asciiTheme="majorBidi" w:hAnsiTheme="majorBidi" w:cstheme="majorBidi"/>
          <w:sz w:val="24"/>
          <w:szCs w:val="24"/>
        </w:rPr>
        <w:t xml:space="preserve"> </w:t>
      </w:r>
      <w:r>
        <w:rPr>
          <w:rFonts w:asciiTheme="majorBidi" w:hAnsiTheme="majorBidi" w:cstheme="majorBidi"/>
          <w:sz w:val="24"/>
          <w:szCs w:val="24"/>
        </w:rPr>
        <w:t>and</w:t>
      </w:r>
      <w:r w:rsidRPr="00AC44E9">
        <w:rPr>
          <w:rFonts w:asciiTheme="majorBidi" w:hAnsiTheme="majorBidi" w:cstheme="majorBidi"/>
          <w:sz w:val="24"/>
          <w:szCs w:val="24"/>
        </w:rPr>
        <w:t xml:space="preserve"> media </w:t>
      </w:r>
      <w:r>
        <w:rPr>
          <w:rFonts w:asciiTheme="majorBidi" w:hAnsiTheme="majorBidi" w:cstheme="majorBidi"/>
          <w:sz w:val="24"/>
          <w:szCs w:val="24"/>
        </w:rPr>
        <w:t>vehicles</w:t>
      </w:r>
      <w:r w:rsidRPr="00AC44E9">
        <w:rPr>
          <w:rFonts w:asciiTheme="majorBidi" w:hAnsiTheme="majorBidi" w:cstheme="majorBidi"/>
          <w:sz w:val="24"/>
          <w:szCs w:val="24"/>
        </w:rPr>
        <w:t xml:space="preserve"> has the greatest influence on consumer</w:t>
      </w:r>
      <w:r>
        <w:rPr>
          <w:rFonts w:asciiTheme="majorBidi" w:hAnsiTheme="majorBidi" w:cstheme="majorBidi"/>
          <w:sz w:val="24"/>
          <w:szCs w:val="24"/>
        </w:rPr>
        <w:t>s’</w:t>
      </w:r>
      <w:r w:rsidRPr="00AC44E9">
        <w:rPr>
          <w:rFonts w:asciiTheme="majorBidi" w:hAnsiTheme="majorBidi" w:cstheme="majorBidi"/>
          <w:sz w:val="24"/>
          <w:szCs w:val="24"/>
        </w:rPr>
        <w:t xml:space="preserve"> behavioural intention in Egypt</w:t>
      </w:r>
      <w:r>
        <w:rPr>
          <w:rFonts w:asciiTheme="majorBidi" w:hAnsiTheme="majorBidi" w:cstheme="majorBidi"/>
          <w:sz w:val="24"/>
          <w:szCs w:val="24"/>
        </w:rPr>
        <w:t>. As explained in section</w:t>
      </w:r>
      <w:r w:rsidR="00391C46">
        <w:rPr>
          <w:rFonts w:asciiTheme="majorBidi" w:hAnsiTheme="majorBidi" w:cstheme="majorBidi"/>
          <w:sz w:val="24"/>
          <w:szCs w:val="24"/>
        </w:rPr>
        <w:t xml:space="preserve"> </w:t>
      </w:r>
      <w:r>
        <w:rPr>
          <w:rFonts w:asciiTheme="majorBidi" w:hAnsiTheme="majorBidi" w:cstheme="majorBidi"/>
          <w:sz w:val="24"/>
          <w:szCs w:val="24"/>
        </w:rPr>
        <w:t xml:space="preserve">3.10, FMCG was the selected product category and Dettol was the selected product to represent this category in Egypt in this research. </w:t>
      </w:r>
    </w:p>
    <w:p w14:paraId="568EB57E" w14:textId="024D088A" w:rsidR="00E42549" w:rsidRDefault="00E42549" w:rsidP="00D4440A">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The main goal of this thesis was to compare between the impact of CSR and non-CSR communication through different media vehicles on consumers’ attitudes and purchase intentions of FMCG products in Egypt. The below table revisits the study’s main objectives outlined in the first chapter by also identifying the methods in which these objectives were attained. After conducting a systematic and </w:t>
      </w:r>
      <w:r w:rsidR="008364BA">
        <w:rPr>
          <w:rFonts w:asciiTheme="majorBidi" w:hAnsiTheme="majorBidi" w:cstheme="majorBidi"/>
          <w:sz w:val="24"/>
          <w:szCs w:val="24"/>
        </w:rPr>
        <w:t>a narrative</w:t>
      </w:r>
      <w:r>
        <w:rPr>
          <w:rFonts w:asciiTheme="majorBidi" w:hAnsiTheme="majorBidi" w:cstheme="majorBidi"/>
          <w:sz w:val="24"/>
          <w:szCs w:val="24"/>
        </w:rPr>
        <w:t xml:space="preserve"> literature review, this research conducted a quantitative study with 2x2 survey experiments on 474 Egyptian consumers followed by a qualitative study using semi-structured interviews on 18 respondents. The subsequent section summarises the main findings that surfaced from both studies. </w:t>
      </w:r>
      <w:bookmarkStart w:id="247" w:name="_Hlk146637468"/>
    </w:p>
    <w:bookmarkEnd w:id="247"/>
    <w:p w14:paraId="2D127369" w14:textId="77777777" w:rsidR="00D76461" w:rsidRDefault="00D76461">
      <w:r>
        <w:br w:type="page"/>
      </w:r>
    </w:p>
    <w:tbl>
      <w:tblPr>
        <w:tblStyle w:val="TableGrid"/>
        <w:tblW w:w="7683" w:type="dxa"/>
        <w:tblInd w:w="392" w:type="dxa"/>
        <w:tblLook w:val="04A0" w:firstRow="1" w:lastRow="0" w:firstColumn="1" w:lastColumn="0" w:noHBand="0" w:noVBand="1"/>
      </w:tblPr>
      <w:tblGrid>
        <w:gridCol w:w="425"/>
        <w:gridCol w:w="4848"/>
        <w:gridCol w:w="2410"/>
      </w:tblGrid>
      <w:tr w:rsidR="00E42549" w:rsidRPr="0048342F" w14:paraId="55567999" w14:textId="77777777" w:rsidTr="00D76461">
        <w:tc>
          <w:tcPr>
            <w:tcW w:w="425" w:type="dxa"/>
          </w:tcPr>
          <w:p w14:paraId="3BD58B00" w14:textId="1F482079" w:rsidR="00E42549" w:rsidRPr="0048342F" w:rsidRDefault="00E42549" w:rsidP="008D0DBB">
            <w:pPr>
              <w:rPr>
                <w:rFonts w:asciiTheme="majorBidi" w:hAnsiTheme="majorBidi" w:cstheme="majorBidi"/>
                <w:sz w:val="20"/>
                <w:szCs w:val="20"/>
              </w:rPr>
            </w:pPr>
          </w:p>
        </w:tc>
        <w:tc>
          <w:tcPr>
            <w:tcW w:w="4848" w:type="dxa"/>
          </w:tcPr>
          <w:p w14:paraId="0A424BE1" w14:textId="77777777" w:rsidR="00E42549" w:rsidRPr="0048342F" w:rsidRDefault="00E42549" w:rsidP="008D0DBB">
            <w:pPr>
              <w:rPr>
                <w:rFonts w:asciiTheme="majorBidi" w:hAnsiTheme="majorBidi" w:cstheme="majorBidi"/>
                <w:sz w:val="20"/>
                <w:szCs w:val="20"/>
              </w:rPr>
            </w:pPr>
            <w:r w:rsidRPr="0048342F">
              <w:rPr>
                <w:rFonts w:asciiTheme="majorBidi" w:hAnsiTheme="majorBidi" w:cstheme="majorBidi"/>
                <w:sz w:val="20"/>
                <w:szCs w:val="20"/>
              </w:rPr>
              <w:t>Research Objectives</w:t>
            </w:r>
          </w:p>
        </w:tc>
        <w:tc>
          <w:tcPr>
            <w:tcW w:w="2410" w:type="dxa"/>
          </w:tcPr>
          <w:p w14:paraId="2C65B827" w14:textId="77777777" w:rsidR="00E42549" w:rsidRPr="0048342F" w:rsidRDefault="00E42549" w:rsidP="008D0DBB">
            <w:pPr>
              <w:rPr>
                <w:rFonts w:asciiTheme="majorBidi" w:hAnsiTheme="majorBidi" w:cstheme="majorBidi"/>
                <w:sz w:val="20"/>
                <w:szCs w:val="20"/>
              </w:rPr>
            </w:pPr>
            <w:r w:rsidRPr="0048342F">
              <w:rPr>
                <w:rFonts w:asciiTheme="majorBidi" w:hAnsiTheme="majorBidi" w:cstheme="majorBidi"/>
                <w:sz w:val="20"/>
                <w:szCs w:val="20"/>
              </w:rPr>
              <w:t xml:space="preserve">Achievement Strategy </w:t>
            </w:r>
          </w:p>
        </w:tc>
      </w:tr>
      <w:tr w:rsidR="00E42549" w:rsidRPr="0048342F" w14:paraId="632F4A43" w14:textId="77777777" w:rsidTr="00D76461">
        <w:tc>
          <w:tcPr>
            <w:tcW w:w="425" w:type="dxa"/>
          </w:tcPr>
          <w:p w14:paraId="7183BCB8" w14:textId="77777777" w:rsidR="00E42549" w:rsidRPr="0048342F" w:rsidRDefault="00E42549" w:rsidP="008D0DBB">
            <w:pPr>
              <w:rPr>
                <w:rFonts w:asciiTheme="majorBidi" w:hAnsiTheme="majorBidi" w:cstheme="majorBidi"/>
                <w:sz w:val="20"/>
                <w:szCs w:val="20"/>
              </w:rPr>
            </w:pPr>
            <w:bookmarkStart w:id="248" w:name="_Hlk136795754"/>
            <w:r w:rsidRPr="0048342F">
              <w:rPr>
                <w:rFonts w:asciiTheme="majorBidi" w:hAnsiTheme="majorBidi" w:cstheme="majorBidi"/>
                <w:sz w:val="20"/>
                <w:szCs w:val="20"/>
              </w:rPr>
              <w:t>1</w:t>
            </w:r>
          </w:p>
        </w:tc>
        <w:tc>
          <w:tcPr>
            <w:tcW w:w="4848" w:type="dxa"/>
          </w:tcPr>
          <w:p w14:paraId="65EBCC63" w14:textId="77777777" w:rsidR="00E42549" w:rsidRPr="0048342F" w:rsidRDefault="00E42549" w:rsidP="008D0DBB">
            <w:pPr>
              <w:pStyle w:val="ListParagraph"/>
              <w:shd w:val="clear" w:color="auto" w:fill="FFFFFF"/>
              <w:ind w:left="0"/>
              <w:rPr>
                <w:rFonts w:asciiTheme="majorBidi" w:hAnsiTheme="majorBidi" w:cstheme="majorBidi"/>
                <w:sz w:val="20"/>
                <w:szCs w:val="20"/>
              </w:rPr>
            </w:pPr>
            <w:r w:rsidRPr="0048342F">
              <w:rPr>
                <w:rFonts w:asciiTheme="majorBidi" w:hAnsiTheme="majorBidi" w:cstheme="majorBidi"/>
                <w:sz w:val="20"/>
                <w:szCs w:val="20"/>
              </w:rPr>
              <w:t xml:space="preserve">To examine the effectiveness of communication strategy of CSR communication and non-CSR communication strategies among FMCG Egyptian consumers </w:t>
            </w:r>
          </w:p>
        </w:tc>
        <w:tc>
          <w:tcPr>
            <w:tcW w:w="2410" w:type="dxa"/>
          </w:tcPr>
          <w:p w14:paraId="220CE163" w14:textId="77777777" w:rsidR="00E42549" w:rsidRPr="0048342F" w:rsidRDefault="00E42549" w:rsidP="008D0DBB">
            <w:pPr>
              <w:rPr>
                <w:rFonts w:asciiTheme="majorBidi" w:hAnsiTheme="majorBidi" w:cstheme="majorBidi"/>
                <w:sz w:val="20"/>
                <w:szCs w:val="20"/>
              </w:rPr>
            </w:pPr>
            <w:r w:rsidRPr="0048342F">
              <w:rPr>
                <w:rFonts w:asciiTheme="majorBidi" w:hAnsiTheme="majorBidi" w:cstheme="majorBidi"/>
                <w:sz w:val="20"/>
                <w:szCs w:val="20"/>
              </w:rPr>
              <w:t>2x2 Survey Experiments</w:t>
            </w:r>
          </w:p>
        </w:tc>
      </w:tr>
      <w:bookmarkEnd w:id="248"/>
      <w:tr w:rsidR="00E42549" w:rsidRPr="0048342F" w14:paraId="0FEF2FC6" w14:textId="77777777" w:rsidTr="00D76461">
        <w:tc>
          <w:tcPr>
            <w:tcW w:w="425" w:type="dxa"/>
          </w:tcPr>
          <w:p w14:paraId="2840C821" w14:textId="77777777" w:rsidR="00E42549" w:rsidRPr="0048342F" w:rsidRDefault="00E42549" w:rsidP="008D0DBB">
            <w:pPr>
              <w:rPr>
                <w:rFonts w:asciiTheme="majorBidi" w:hAnsiTheme="majorBidi" w:cstheme="majorBidi"/>
                <w:sz w:val="20"/>
                <w:szCs w:val="20"/>
              </w:rPr>
            </w:pPr>
            <w:r w:rsidRPr="0048342F">
              <w:rPr>
                <w:rFonts w:asciiTheme="majorBidi" w:hAnsiTheme="majorBidi" w:cstheme="majorBidi"/>
                <w:sz w:val="20"/>
                <w:szCs w:val="20"/>
              </w:rPr>
              <w:t>2</w:t>
            </w:r>
          </w:p>
        </w:tc>
        <w:tc>
          <w:tcPr>
            <w:tcW w:w="4848" w:type="dxa"/>
          </w:tcPr>
          <w:p w14:paraId="584A6105" w14:textId="4665F377" w:rsidR="00E42549" w:rsidRPr="0048342F" w:rsidRDefault="00E42549" w:rsidP="008D0DBB">
            <w:pPr>
              <w:pStyle w:val="ListParagraph"/>
              <w:shd w:val="clear" w:color="auto" w:fill="FFFFFF"/>
              <w:ind w:left="0"/>
              <w:rPr>
                <w:rFonts w:asciiTheme="majorBidi" w:hAnsiTheme="majorBidi" w:cstheme="majorBidi"/>
                <w:sz w:val="20"/>
                <w:szCs w:val="20"/>
              </w:rPr>
            </w:pPr>
            <w:bookmarkStart w:id="249" w:name="_Hlk142229677"/>
            <w:r w:rsidRPr="0048342F">
              <w:rPr>
                <w:rFonts w:asciiTheme="majorBidi" w:hAnsiTheme="majorBidi" w:cstheme="majorBidi"/>
                <w:sz w:val="20"/>
                <w:szCs w:val="20"/>
              </w:rPr>
              <w:t>To explore the effects of different media vehicles (</w:t>
            </w:r>
            <w:r w:rsidR="00935FBD" w:rsidRPr="0048342F">
              <w:rPr>
                <w:rFonts w:asciiTheme="majorBidi" w:hAnsiTheme="majorBidi" w:cstheme="majorBidi"/>
                <w:sz w:val="20"/>
                <w:szCs w:val="20"/>
              </w:rPr>
              <w:t>t</w:t>
            </w:r>
            <w:r w:rsidRPr="0048342F">
              <w:rPr>
                <w:rFonts w:asciiTheme="majorBidi" w:hAnsiTheme="majorBidi" w:cstheme="majorBidi"/>
                <w:sz w:val="20"/>
                <w:szCs w:val="20"/>
              </w:rPr>
              <w:t>elevision and social media) on FMCG Egyptian consumers.</w:t>
            </w:r>
            <w:bookmarkEnd w:id="249"/>
          </w:p>
        </w:tc>
        <w:tc>
          <w:tcPr>
            <w:tcW w:w="2410" w:type="dxa"/>
          </w:tcPr>
          <w:p w14:paraId="3878DE26" w14:textId="77777777" w:rsidR="00E42549" w:rsidRPr="0048342F" w:rsidRDefault="00E42549" w:rsidP="008D0DBB">
            <w:pPr>
              <w:rPr>
                <w:rFonts w:asciiTheme="majorBidi" w:hAnsiTheme="majorBidi" w:cstheme="majorBidi"/>
                <w:sz w:val="20"/>
                <w:szCs w:val="20"/>
              </w:rPr>
            </w:pPr>
            <w:r w:rsidRPr="0048342F">
              <w:rPr>
                <w:rFonts w:asciiTheme="majorBidi" w:hAnsiTheme="majorBidi" w:cstheme="majorBidi"/>
                <w:sz w:val="20"/>
                <w:szCs w:val="20"/>
              </w:rPr>
              <w:t>2x2 Survey Experiments</w:t>
            </w:r>
          </w:p>
        </w:tc>
      </w:tr>
      <w:tr w:rsidR="00E42549" w:rsidRPr="0048342F" w14:paraId="39003141" w14:textId="77777777" w:rsidTr="00D76461">
        <w:tc>
          <w:tcPr>
            <w:tcW w:w="425" w:type="dxa"/>
          </w:tcPr>
          <w:p w14:paraId="66087BD8" w14:textId="77777777" w:rsidR="00E42549" w:rsidRPr="0048342F" w:rsidRDefault="00E42549" w:rsidP="008D0DBB">
            <w:pPr>
              <w:rPr>
                <w:rFonts w:asciiTheme="majorBidi" w:hAnsiTheme="majorBidi" w:cstheme="majorBidi"/>
                <w:sz w:val="20"/>
                <w:szCs w:val="20"/>
              </w:rPr>
            </w:pPr>
            <w:bookmarkStart w:id="250" w:name="_Hlk142230152"/>
            <w:r w:rsidRPr="0048342F">
              <w:rPr>
                <w:rFonts w:asciiTheme="majorBidi" w:hAnsiTheme="majorBidi" w:cstheme="majorBidi"/>
                <w:sz w:val="20"/>
                <w:szCs w:val="20"/>
              </w:rPr>
              <w:t>3</w:t>
            </w:r>
          </w:p>
        </w:tc>
        <w:tc>
          <w:tcPr>
            <w:tcW w:w="4848" w:type="dxa"/>
          </w:tcPr>
          <w:p w14:paraId="6E840128" w14:textId="77777777" w:rsidR="00E42549" w:rsidRPr="0048342F" w:rsidRDefault="00E42549" w:rsidP="008D0DBB">
            <w:pPr>
              <w:pStyle w:val="ListParagraph"/>
              <w:shd w:val="clear" w:color="auto" w:fill="FFFFFF"/>
              <w:ind w:left="0"/>
              <w:rPr>
                <w:rFonts w:asciiTheme="majorBidi" w:hAnsiTheme="majorBidi" w:cstheme="majorBidi"/>
                <w:sz w:val="20"/>
                <w:szCs w:val="20"/>
              </w:rPr>
            </w:pPr>
            <w:bookmarkStart w:id="251" w:name="_Hlk142230174"/>
            <w:r w:rsidRPr="0048342F">
              <w:rPr>
                <w:rFonts w:asciiTheme="majorBidi" w:hAnsiTheme="majorBidi" w:cstheme="majorBidi"/>
                <w:sz w:val="20"/>
                <w:szCs w:val="20"/>
              </w:rPr>
              <w:t>To examine consumers’ perception of CSR as a communication strategy in the FMCG category in Egypt</w:t>
            </w:r>
            <w:bookmarkEnd w:id="251"/>
          </w:p>
        </w:tc>
        <w:tc>
          <w:tcPr>
            <w:tcW w:w="2410" w:type="dxa"/>
          </w:tcPr>
          <w:p w14:paraId="592D46C1" w14:textId="77777777" w:rsidR="00E42549" w:rsidRPr="0048342F" w:rsidRDefault="00E42549" w:rsidP="008D0DBB">
            <w:pPr>
              <w:rPr>
                <w:rFonts w:asciiTheme="majorBidi" w:hAnsiTheme="majorBidi" w:cstheme="majorBidi"/>
                <w:sz w:val="20"/>
                <w:szCs w:val="20"/>
              </w:rPr>
            </w:pPr>
            <w:r w:rsidRPr="0048342F">
              <w:rPr>
                <w:rFonts w:asciiTheme="majorBidi" w:hAnsiTheme="majorBidi" w:cstheme="majorBidi"/>
                <w:sz w:val="20"/>
                <w:szCs w:val="20"/>
              </w:rPr>
              <w:t xml:space="preserve">Semi-structured interviews </w:t>
            </w:r>
          </w:p>
        </w:tc>
      </w:tr>
      <w:bookmarkEnd w:id="250"/>
      <w:tr w:rsidR="00E42549" w:rsidRPr="0048342F" w14:paraId="28479B9E" w14:textId="77777777" w:rsidTr="00D76461">
        <w:tc>
          <w:tcPr>
            <w:tcW w:w="425" w:type="dxa"/>
          </w:tcPr>
          <w:p w14:paraId="576E6DF8" w14:textId="77777777" w:rsidR="00E42549" w:rsidRPr="0048342F" w:rsidRDefault="00E42549" w:rsidP="008D0DBB">
            <w:pPr>
              <w:rPr>
                <w:rFonts w:asciiTheme="majorBidi" w:hAnsiTheme="majorBidi" w:cstheme="majorBidi"/>
                <w:sz w:val="20"/>
                <w:szCs w:val="20"/>
              </w:rPr>
            </w:pPr>
            <w:r w:rsidRPr="0048342F">
              <w:rPr>
                <w:rFonts w:asciiTheme="majorBidi" w:hAnsiTheme="majorBidi" w:cstheme="majorBidi"/>
                <w:sz w:val="20"/>
                <w:szCs w:val="20"/>
              </w:rPr>
              <w:t>4</w:t>
            </w:r>
          </w:p>
        </w:tc>
        <w:tc>
          <w:tcPr>
            <w:tcW w:w="4848" w:type="dxa"/>
          </w:tcPr>
          <w:p w14:paraId="427D9763" w14:textId="77777777" w:rsidR="00E42549" w:rsidRPr="0048342F" w:rsidRDefault="00E42549" w:rsidP="008D0DBB">
            <w:pPr>
              <w:pStyle w:val="ListParagraph"/>
              <w:shd w:val="clear" w:color="auto" w:fill="FFFFFF"/>
              <w:ind w:left="0"/>
              <w:rPr>
                <w:rFonts w:asciiTheme="majorBidi" w:hAnsiTheme="majorBidi" w:cstheme="majorBidi"/>
                <w:sz w:val="20"/>
                <w:szCs w:val="20"/>
              </w:rPr>
            </w:pPr>
            <w:r w:rsidRPr="0048342F">
              <w:rPr>
                <w:rFonts w:asciiTheme="majorBidi" w:hAnsiTheme="majorBidi" w:cstheme="majorBidi"/>
                <w:sz w:val="20"/>
                <w:szCs w:val="20"/>
              </w:rPr>
              <w:t xml:space="preserve">To further contribute to academic literature by uncovering theoretical, and managerial contributions from the findings. </w:t>
            </w:r>
          </w:p>
        </w:tc>
        <w:tc>
          <w:tcPr>
            <w:tcW w:w="2410" w:type="dxa"/>
          </w:tcPr>
          <w:p w14:paraId="67259810" w14:textId="77777777" w:rsidR="00E42549" w:rsidRPr="0048342F" w:rsidRDefault="00E42549" w:rsidP="00D4440A">
            <w:pPr>
              <w:keepNext/>
              <w:rPr>
                <w:rFonts w:asciiTheme="majorBidi" w:hAnsiTheme="majorBidi" w:cstheme="majorBidi"/>
                <w:sz w:val="20"/>
                <w:szCs w:val="20"/>
              </w:rPr>
            </w:pPr>
            <w:r w:rsidRPr="0048342F">
              <w:rPr>
                <w:rFonts w:asciiTheme="majorBidi" w:hAnsiTheme="majorBidi" w:cstheme="majorBidi"/>
                <w:sz w:val="20"/>
                <w:szCs w:val="20"/>
              </w:rPr>
              <w:t xml:space="preserve">Mixed research methods employing theoretical framework entailing TRA, SOR, halo effect, and congruity theory </w:t>
            </w:r>
          </w:p>
        </w:tc>
      </w:tr>
    </w:tbl>
    <w:p w14:paraId="5E29D543" w14:textId="5CB4786E" w:rsidR="00E42549" w:rsidRDefault="00D4440A" w:rsidP="00D4440A">
      <w:pPr>
        <w:pStyle w:val="Caption"/>
        <w:rPr>
          <w:rFonts w:asciiTheme="majorBidi" w:hAnsiTheme="majorBidi" w:cstheme="majorBidi"/>
          <w:b/>
          <w:bCs/>
          <w:sz w:val="24"/>
          <w:szCs w:val="24"/>
        </w:rPr>
      </w:pPr>
      <w:r>
        <w:t xml:space="preserve">Table </w:t>
      </w:r>
      <w:r w:rsidR="0048342F">
        <w:t>60</w:t>
      </w:r>
      <w:r>
        <w:t xml:space="preserve"> Summary of this thesis research objectives </w:t>
      </w:r>
    </w:p>
    <w:p w14:paraId="05E75584" w14:textId="77777777" w:rsidR="00E42549" w:rsidRDefault="00E42549" w:rsidP="005E3607">
      <w:pPr>
        <w:spacing w:after="0" w:line="480" w:lineRule="auto"/>
        <w:rPr>
          <w:rFonts w:asciiTheme="majorBidi" w:hAnsiTheme="majorBidi" w:cstheme="majorBidi"/>
          <w:b/>
          <w:bCs/>
          <w:sz w:val="24"/>
          <w:szCs w:val="24"/>
        </w:rPr>
      </w:pPr>
      <w:bookmarkStart w:id="252" w:name="_Hlk152538896"/>
      <w:r>
        <w:rPr>
          <w:rFonts w:asciiTheme="majorBidi" w:hAnsiTheme="majorBidi" w:cstheme="majorBidi"/>
          <w:b/>
          <w:bCs/>
          <w:sz w:val="24"/>
          <w:szCs w:val="24"/>
        </w:rPr>
        <w:t xml:space="preserve">9.1 </w:t>
      </w:r>
      <w:r w:rsidRPr="00F74FA0">
        <w:rPr>
          <w:rFonts w:asciiTheme="majorBidi" w:hAnsiTheme="majorBidi" w:cstheme="majorBidi"/>
          <w:b/>
          <w:bCs/>
          <w:sz w:val="24"/>
          <w:szCs w:val="24"/>
        </w:rPr>
        <w:t>Main Findings</w:t>
      </w:r>
      <w:r>
        <w:rPr>
          <w:rFonts w:asciiTheme="majorBidi" w:hAnsiTheme="majorBidi" w:cstheme="majorBidi"/>
          <w:b/>
          <w:bCs/>
          <w:sz w:val="24"/>
          <w:szCs w:val="24"/>
        </w:rPr>
        <w:t xml:space="preserve"> </w:t>
      </w:r>
    </w:p>
    <w:p w14:paraId="373CCEBE" w14:textId="5D4E680F" w:rsidR="00CD351C" w:rsidRDefault="00E42549" w:rsidP="00CD351C">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Given that CSR communication is understudied in the Middle East, it was essential to set the scope of the study to be in a Middle Eastern country which was Egypt. </w:t>
      </w:r>
      <w:r w:rsidRPr="004B48BB">
        <w:rPr>
          <w:rFonts w:asciiTheme="majorBidi" w:hAnsiTheme="majorBidi" w:cstheme="majorBidi"/>
          <w:sz w:val="24"/>
          <w:szCs w:val="24"/>
        </w:rPr>
        <w:t xml:space="preserve">The overall main finding is that </w:t>
      </w:r>
      <w:r w:rsidRPr="00041ACA">
        <w:rPr>
          <w:rFonts w:asciiTheme="majorBidi" w:hAnsiTheme="majorBidi" w:cstheme="majorBidi"/>
          <w:sz w:val="24"/>
          <w:szCs w:val="24"/>
        </w:rPr>
        <w:t>CSR communication has been shown to be more effective on consumers’ brand attitudes and purchase intentions of Egyptian consumers of FMCG than non-CSR communication</w:t>
      </w:r>
      <w:r w:rsidRPr="004B48BB">
        <w:rPr>
          <w:rFonts w:asciiTheme="majorBidi" w:hAnsiTheme="majorBidi" w:cstheme="majorBidi"/>
          <w:sz w:val="24"/>
          <w:szCs w:val="24"/>
        </w:rPr>
        <w:t xml:space="preserve"> </w:t>
      </w:r>
      <w:r>
        <w:rPr>
          <w:rFonts w:asciiTheme="majorBidi" w:hAnsiTheme="majorBidi" w:cstheme="majorBidi"/>
          <w:sz w:val="24"/>
          <w:szCs w:val="24"/>
        </w:rPr>
        <w:t>which</w:t>
      </w:r>
      <w:r w:rsidRPr="004B48BB">
        <w:rPr>
          <w:rFonts w:asciiTheme="majorBidi" w:hAnsiTheme="majorBidi" w:cstheme="majorBidi"/>
          <w:sz w:val="24"/>
          <w:szCs w:val="24"/>
        </w:rPr>
        <w:t xml:space="preserve"> was proven from multiple </w:t>
      </w:r>
      <w:r>
        <w:rPr>
          <w:rFonts w:asciiTheme="majorBidi" w:hAnsiTheme="majorBidi" w:cstheme="majorBidi"/>
          <w:sz w:val="24"/>
          <w:szCs w:val="24"/>
        </w:rPr>
        <w:t>approaches</w:t>
      </w:r>
      <w:r w:rsidRPr="004B48BB">
        <w:rPr>
          <w:rFonts w:asciiTheme="majorBidi" w:hAnsiTheme="majorBidi" w:cstheme="majorBidi"/>
          <w:sz w:val="24"/>
          <w:szCs w:val="24"/>
        </w:rPr>
        <w:t xml:space="preserve"> throughout the </w:t>
      </w:r>
      <w:r>
        <w:rPr>
          <w:rFonts w:asciiTheme="majorBidi" w:hAnsiTheme="majorBidi" w:cstheme="majorBidi"/>
          <w:sz w:val="24"/>
          <w:szCs w:val="24"/>
        </w:rPr>
        <w:t>thesis</w:t>
      </w:r>
      <w:r w:rsidRPr="004B48BB">
        <w:rPr>
          <w:rFonts w:asciiTheme="majorBidi" w:hAnsiTheme="majorBidi" w:cstheme="majorBidi"/>
          <w:sz w:val="24"/>
          <w:szCs w:val="24"/>
        </w:rPr>
        <w:t>. The quantitative study proved that CSR communication has a more positive effect on brand likeability, ad likeability, brand trust, emotional brand attachment, and purchase intention than non-CSR communication on Egyptian consumers of FMCG.</w:t>
      </w:r>
      <w:r w:rsidR="0084647D">
        <w:rPr>
          <w:rFonts w:asciiTheme="majorBidi" w:hAnsiTheme="majorBidi" w:cstheme="majorBidi"/>
          <w:sz w:val="24"/>
          <w:szCs w:val="24"/>
        </w:rPr>
        <w:t xml:space="preserve"> </w:t>
      </w:r>
      <w:r>
        <w:rPr>
          <w:rFonts w:asciiTheme="majorBidi" w:hAnsiTheme="majorBidi" w:cstheme="majorBidi"/>
          <w:sz w:val="24"/>
          <w:szCs w:val="24"/>
        </w:rPr>
        <w:t xml:space="preserve">The impact of CSR communication in reference to non-CSR communication was tested through the hypotheses that are demonstrated in the below table </w:t>
      </w:r>
      <w:r w:rsidR="0016744E">
        <w:rPr>
          <w:rFonts w:asciiTheme="majorBidi" w:hAnsiTheme="majorBidi" w:cstheme="majorBidi"/>
          <w:sz w:val="24"/>
          <w:szCs w:val="24"/>
        </w:rPr>
        <w:t>6</w:t>
      </w:r>
      <w:r w:rsidR="0048342F">
        <w:rPr>
          <w:rFonts w:asciiTheme="majorBidi" w:hAnsiTheme="majorBidi" w:cstheme="majorBidi"/>
          <w:sz w:val="24"/>
          <w:szCs w:val="24"/>
        </w:rPr>
        <w:t>1</w:t>
      </w:r>
      <w:r>
        <w:rPr>
          <w:rFonts w:asciiTheme="majorBidi" w:hAnsiTheme="majorBidi" w:cstheme="majorBidi"/>
          <w:sz w:val="24"/>
          <w:szCs w:val="24"/>
        </w:rPr>
        <w:t xml:space="preserve">. </w:t>
      </w:r>
      <w:r w:rsidRPr="004B48BB">
        <w:rPr>
          <w:rFonts w:asciiTheme="majorBidi" w:hAnsiTheme="majorBidi" w:cstheme="majorBidi"/>
          <w:sz w:val="24"/>
          <w:szCs w:val="24"/>
        </w:rPr>
        <w:t xml:space="preserve"> Another important finding that emerged from study one was that </w:t>
      </w:r>
      <w:r w:rsidRPr="00C461D8">
        <w:rPr>
          <w:rFonts w:asciiTheme="majorBidi" w:hAnsiTheme="majorBidi" w:cstheme="majorBidi"/>
          <w:sz w:val="24"/>
          <w:szCs w:val="24"/>
        </w:rPr>
        <w:t xml:space="preserve">television has a stronger impact on consumers’ attitudes than social media. This study’s chosen main behavioural outcome was purchase intention. Thus, it appeared from the study’s results that brand trust had the highest impact on purchase intention. In addition, mirroring the </w:t>
      </w:r>
      <w:r w:rsidR="00CD351C" w:rsidRPr="00C461D8">
        <w:rPr>
          <w:rFonts w:asciiTheme="majorBidi" w:hAnsiTheme="majorBidi" w:cstheme="majorBidi"/>
          <w:sz w:val="24"/>
          <w:szCs w:val="24"/>
        </w:rPr>
        <w:t>value congruence concept</w:t>
      </w:r>
      <w:r w:rsidRPr="00C461D8">
        <w:rPr>
          <w:rFonts w:asciiTheme="majorBidi" w:hAnsiTheme="majorBidi" w:cstheme="majorBidi"/>
          <w:sz w:val="24"/>
          <w:szCs w:val="24"/>
        </w:rPr>
        <w:t xml:space="preserve">, the study revealed that there is a high degree of congruency between respondents’ </w:t>
      </w:r>
      <w:r w:rsidR="00CD351C" w:rsidRPr="00C461D8">
        <w:rPr>
          <w:rFonts w:asciiTheme="majorBidi" w:hAnsiTheme="majorBidi" w:cstheme="majorBidi"/>
          <w:sz w:val="24"/>
          <w:szCs w:val="24"/>
        </w:rPr>
        <w:t xml:space="preserve">high </w:t>
      </w:r>
      <w:r w:rsidRPr="00C461D8">
        <w:rPr>
          <w:rFonts w:asciiTheme="majorBidi" w:hAnsiTheme="majorBidi" w:cstheme="majorBidi"/>
          <w:sz w:val="24"/>
          <w:szCs w:val="24"/>
        </w:rPr>
        <w:t>CSR perceptions and</w:t>
      </w:r>
      <w:r w:rsidR="00CD351C" w:rsidRPr="00C461D8">
        <w:rPr>
          <w:rFonts w:asciiTheme="majorBidi" w:hAnsiTheme="majorBidi" w:cstheme="majorBidi"/>
          <w:sz w:val="24"/>
          <w:szCs w:val="24"/>
        </w:rPr>
        <w:t xml:space="preserve"> positive impact on</w:t>
      </w:r>
      <w:r w:rsidRPr="00C461D8">
        <w:rPr>
          <w:rFonts w:asciiTheme="majorBidi" w:hAnsiTheme="majorBidi" w:cstheme="majorBidi"/>
          <w:sz w:val="24"/>
          <w:szCs w:val="24"/>
        </w:rPr>
        <w:t xml:space="preserve"> attitudes towards the brand. In fact, this congruency was higher among the respondents in the CSR group in which CSR perception had a more positive direct and indirect congruency effect on the attitudes of </w:t>
      </w:r>
      <w:r w:rsidR="00CD351C" w:rsidRPr="00C461D8">
        <w:rPr>
          <w:rFonts w:asciiTheme="majorBidi" w:hAnsiTheme="majorBidi" w:cstheme="majorBidi"/>
          <w:sz w:val="24"/>
          <w:szCs w:val="24"/>
        </w:rPr>
        <w:t xml:space="preserve">the </w:t>
      </w:r>
      <w:r w:rsidRPr="00C461D8">
        <w:rPr>
          <w:rFonts w:asciiTheme="majorBidi" w:hAnsiTheme="majorBidi" w:cstheme="majorBidi"/>
          <w:sz w:val="24"/>
          <w:szCs w:val="24"/>
        </w:rPr>
        <w:t>respondents. This finding was also confirmed in the qualitative study in which few respondents asserted that</w:t>
      </w:r>
      <w:r>
        <w:rPr>
          <w:rFonts w:asciiTheme="majorBidi" w:hAnsiTheme="majorBidi" w:cstheme="majorBidi"/>
          <w:sz w:val="24"/>
          <w:szCs w:val="24"/>
        </w:rPr>
        <w:t xml:space="preserve"> they felt that the values communicated in the </w:t>
      </w:r>
    </w:p>
    <w:p w14:paraId="21C50028" w14:textId="43556E08" w:rsidR="00E42549" w:rsidRDefault="00E42549" w:rsidP="0074101C">
      <w:pPr>
        <w:spacing w:after="0" w:line="480" w:lineRule="auto"/>
        <w:jc w:val="both"/>
        <w:rPr>
          <w:rFonts w:asciiTheme="majorBidi" w:hAnsiTheme="majorBidi" w:cstheme="majorBidi"/>
          <w:sz w:val="24"/>
          <w:szCs w:val="24"/>
        </w:rPr>
      </w:pPr>
      <w:r>
        <w:rPr>
          <w:rFonts w:asciiTheme="majorBidi" w:hAnsiTheme="majorBidi" w:cstheme="majorBidi"/>
          <w:sz w:val="24"/>
          <w:szCs w:val="24"/>
        </w:rPr>
        <w:t>CSR ads were aligned with their personal values.</w:t>
      </w:r>
    </w:p>
    <w:p w14:paraId="54D2154E" w14:textId="372C3704" w:rsidR="00635E3C" w:rsidRPr="00635E3C" w:rsidRDefault="00A104CB" w:rsidP="0074101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Also, the qualitative study confirmed that CSR communication has a more positive influence on the brand attitudes of most of the interviewed respondents. However, study two asserted that for CSR communication strategy to have a successful impact on consumers’ brand attitudes a few strategies that emerged from the findings of study two needs to be considered. Some of these strategies includes transparency in communication, information sharing, and partnering with governmental entities. Additionally, some of the results of study two showed that respondents believed that both television and social media advertising are important for different objectives in which television has a positive impact on trust and social media has a positive impact on the virality of the communication campaign. Based on these discoveries, numerous contributions that are important for academia, theory and practice emerged and discussed in the below section. </w:t>
      </w:r>
    </w:p>
    <w:p w14:paraId="223DEA11" w14:textId="1A884002" w:rsidR="00E42549" w:rsidRDefault="00E42549" w:rsidP="0074101C">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 xml:space="preserve">9.2 The Study’s </w:t>
      </w:r>
      <w:r w:rsidRPr="00F74FA0">
        <w:rPr>
          <w:rFonts w:asciiTheme="majorBidi" w:hAnsiTheme="majorBidi" w:cstheme="majorBidi"/>
          <w:b/>
          <w:bCs/>
          <w:sz w:val="24"/>
          <w:szCs w:val="24"/>
        </w:rPr>
        <w:t xml:space="preserve">Contributions </w:t>
      </w:r>
      <w:r>
        <w:rPr>
          <w:rFonts w:asciiTheme="majorBidi" w:hAnsiTheme="majorBidi" w:cstheme="majorBidi"/>
          <w:sz w:val="24"/>
          <w:szCs w:val="24"/>
        </w:rPr>
        <w:t xml:space="preserve"> </w:t>
      </w:r>
    </w:p>
    <w:p w14:paraId="4DC949F5" w14:textId="3933006D" w:rsidR="00E130CD" w:rsidRDefault="00E42549" w:rsidP="0074101C">
      <w:pPr>
        <w:spacing w:after="0" w:line="480" w:lineRule="auto"/>
        <w:jc w:val="both"/>
        <w:rPr>
          <w:rFonts w:asciiTheme="majorBidi" w:hAnsiTheme="majorBidi" w:cstheme="majorBidi"/>
          <w:sz w:val="24"/>
          <w:szCs w:val="24"/>
        </w:rPr>
      </w:pPr>
      <w:r>
        <w:rPr>
          <w:rFonts w:asciiTheme="majorBidi" w:hAnsiTheme="majorBidi" w:cstheme="majorBidi"/>
          <w:sz w:val="24"/>
          <w:szCs w:val="24"/>
        </w:rPr>
        <w:tab/>
      </w:r>
      <w:r w:rsidR="00E61261">
        <w:rPr>
          <w:rFonts w:asciiTheme="majorBidi" w:hAnsiTheme="majorBidi" w:cstheme="majorBidi"/>
          <w:sz w:val="24"/>
          <w:szCs w:val="24"/>
        </w:rPr>
        <w:t>Within this research domain,</w:t>
      </w:r>
      <w:r>
        <w:rPr>
          <w:rFonts w:asciiTheme="majorBidi" w:hAnsiTheme="majorBidi" w:cstheme="majorBidi"/>
          <w:sz w:val="24"/>
          <w:szCs w:val="24"/>
        </w:rPr>
        <w:t xml:space="preserve"> this study convey</w:t>
      </w:r>
      <w:r w:rsidR="00E61261">
        <w:rPr>
          <w:rFonts w:asciiTheme="majorBidi" w:hAnsiTheme="majorBidi" w:cstheme="majorBidi"/>
          <w:sz w:val="24"/>
          <w:szCs w:val="24"/>
        </w:rPr>
        <w:t>s</w:t>
      </w:r>
      <w:r>
        <w:rPr>
          <w:rFonts w:asciiTheme="majorBidi" w:hAnsiTheme="majorBidi" w:cstheme="majorBidi"/>
          <w:sz w:val="24"/>
          <w:szCs w:val="24"/>
        </w:rPr>
        <w:t xml:space="preserve"> significant contributions to academic literature, theory an</w:t>
      </w:r>
      <w:r w:rsidR="00A104CB">
        <w:rPr>
          <w:rFonts w:asciiTheme="majorBidi" w:hAnsiTheme="majorBidi" w:cstheme="majorBidi"/>
          <w:sz w:val="24"/>
          <w:szCs w:val="24"/>
        </w:rPr>
        <w:t>d</w:t>
      </w:r>
      <w:r>
        <w:rPr>
          <w:rFonts w:asciiTheme="majorBidi" w:hAnsiTheme="majorBidi" w:cstheme="majorBidi"/>
          <w:sz w:val="24"/>
          <w:szCs w:val="24"/>
        </w:rPr>
        <w:t xml:space="preserve"> managerial practices. Firstly, this thesis’s main contribution to literature is the investigation of </w:t>
      </w:r>
      <w:r w:rsidRPr="00C461D8">
        <w:rPr>
          <w:rFonts w:asciiTheme="majorBidi" w:hAnsiTheme="majorBidi" w:cstheme="majorBidi"/>
          <w:sz w:val="24"/>
          <w:szCs w:val="24"/>
        </w:rPr>
        <w:t>CSR communication in reference to non-CSR communication</w:t>
      </w:r>
      <w:r>
        <w:rPr>
          <w:rFonts w:asciiTheme="majorBidi" w:hAnsiTheme="majorBidi" w:cstheme="majorBidi"/>
          <w:sz w:val="24"/>
          <w:szCs w:val="24"/>
        </w:rPr>
        <w:t>. This is a substantial finding because the concept of communication and advertising, or even CSR communication,</w:t>
      </w:r>
      <w:r w:rsidR="00E130CD">
        <w:rPr>
          <w:rFonts w:asciiTheme="majorBidi" w:hAnsiTheme="majorBidi" w:cstheme="majorBidi"/>
          <w:sz w:val="24"/>
          <w:szCs w:val="24"/>
        </w:rPr>
        <w:t xml:space="preserve"> is excessively researched </w:t>
      </w:r>
      <w:r>
        <w:rPr>
          <w:rFonts w:asciiTheme="majorBidi" w:hAnsiTheme="majorBidi" w:cstheme="majorBidi"/>
          <w:sz w:val="24"/>
          <w:szCs w:val="24"/>
        </w:rPr>
        <w:t>in literature. However,</w:t>
      </w:r>
      <w:r w:rsidR="00A104CB">
        <w:rPr>
          <w:rFonts w:asciiTheme="majorBidi" w:hAnsiTheme="majorBidi" w:cstheme="majorBidi"/>
          <w:sz w:val="24"/>
          <w:szCs w:val="24"/>
        </w:rPr>
        <w:t xml:space="preserve"> the</w:t>
      </w:r>
      <w:r>
        <w:rPr>
          <w:rFonts w:asciiTheme="majorBidi" w:hAnsiTheme="majorBidi" w:cstheme="majorBidi"/>
          <w:sz w:val="24"/>
          <w:szCs w:val="24"/>
        </w:rPr>
        <w:t xml:space="preserve"> literature lacks enough studies that provide compelling evidence of the influence or benefits of CSR communication</w:t>
      </w:r>
      <w:r w:rsidR="00AC3FEB">
        <w:rPr>
          <w:rFonts w:asciiTheme="majorBidi" w:hAnsiTheme="majorBidi" w:cstheme="majorBidi"/>
          <w:sz w:val="24"/>
          <w:szCs w:val="24"/>
        </w:rPr>
        <w:t xml:space="preserve"> as a strategy</w:t>
      </w:r>
      <w:r>
        <w:rPr>
          <w:rFonts w:asciiTheme="majorBidi" w:hAnsiTheme="majorBidi" w:cstheme="majorBidi"/>
          <w:sz w:val="24"/>
          <w:szCs w:val="24"/>
        </w:rPr>
        <w:t xml:space="preserve"> in comparison to non-CSR communication.</w:t>
      </w:r>
      <w:r w:rsidR="00E61261">
        <w:rPr>
          <w:rFonts w:asciiTheme="majorBidi" w:hAnsiTheme="majorBidi" w:cstheme="majorBidi"/>
          <w:sz w:val="24"/>
          <w:szCs w:val="24"/>
        </w:rPr>
        <w:t xml:space="preserve"> </w:t>
      </w:r>
      <w:r w:rsidR="00AC3FEB">
        <w:rPr>
          <w:rFonts w:asciiTheme="majorBidi" w:hAnsiTheme="majorBidi" w:cstheme="majorBidi"/>
          <w:sz w:val="24"/>
          <w:szCs w:val="24"/>
        </w:rPr>
        <w:t xml:space="preserve"> Evidently, the study proved that in this research context, CSR communication has a more positive effect on brand attitudes than non-CSR communication</w:t>
      </w:r>
      <w:r w:rsidR="00E130CD">
        <w:rPr>
          <w:rFonts w:asciiTheme="majorBidi" w:hAnsiTheme="majorBidi" w:cstheme="majorBidi"/>
          <w:sz w:val="24"/>
          <w:szCs w:val="24"/>
        </w:rPr>
        <w:t xml:space="preserve"> did especially, on brand likeability. The positive impact that CSR communication had on brand likeability that was higher than non-CSR communication is an imperative contribution as brand likeability is perceived to be a key attitude to measure the success of communication campaigns.</w:t>
      </w:r>
      <w:r>
        <w:rPr>
          <w:rFonts w:asciiTheme="majorBidi" w:hAnsiTheme="majorBidi" w:cstheme="majorBidi"/>
          <w:sz w:val="24"/>
          <w:szCs w:val="24"/>
        </w:rPr>
        <w:t xml:space="preserve"> </w:t>
      </w:r>
      <w:r w:rsidR="00E130CD">
        <w:rPr>
          <w:rFonts w:asciiTheme="majorBidi" w:hAnsiTheme="majorBidi" w:cstheme="majorBidi"/>
          <w:sz w:val="24"/>
          <w:szCs w:val="24"/>
        </w:rPr>
        <w:t xml:space="preserve">Also, the results of the study confirm the fact that the concept of “likeability” is usually not explicit. For example, ad likeability in this study was higher for CSR communication than non-CSR communication as it was mainly driven by </w:t>
      </w:r>
      <w:r w:rsidR="00E130CD">
        <w:rPr>
          <w:rFonts w:ascii="Times New Roman" w:hAnsi="Times New Roman" w:cs="Times New Roman"/>
          <w:sz w:val="24"/>
          <w:szCs w:val="24"/>
        </w:rPr>
        <w:t>the idea and the beneficial social campaign that was presented in the ad as appeared in study two</w:t>
      </w:r>
      <w:r w:rsidR="00E130CD">
        <w:rPr>
          <w:rFonts w:asciiTheme="majorBidi" w:hAnsiTheme="majorBidi" w:cstheme="majorBidi"/>
          <w:sz w:val="24"/>
          <w:szCs w:val="24"/>
        </w:rPr>
        <w:t xml:space="preserve">. </w:t>
      </w:r>
    </w:p>
    <w:p w14:paraId="3C495462" w14:textId="45B20EBE" w:rsidR="00E42549" w:rsidRDefault="00E130CD" w:rsidP="0074101C">
      <w:pPr>
        <w:spacing w:after="0" w:line="480" w:lineRule="auto"/>
        <w:jc w:val="both"/>
        <w:rPr>
          <w:rFonts w:asciiTheme="majorBidi" w:hAnsiTheme="majorBidi" w:cstheme="majorBidi"/>
          <w:sz w:val="24"/>
          <w:szCs w:val="24"/>
        </w:rPr>
      </w:pPr>
      <w:r>
        <w:rPr>
          <w:rFonts w:asciiTheme="majorBidi" w:hAnsiTheme="majorBidi" w:cstheme="majorBidi"/>
          <w:sz w:val="24"/>
          <w:szCs w:val="24"/>
        </w:rPr>
        <w:t>Furthermore</w:t>
      </w:r>
      <w:r w:rsidR="00E42549">
        <w:rPr>
          <w:rFonts w:asciiTheme="majorBidi" w:hAnsiTheme="majorBidi" w:cstheme="majorBidi"/>
          <w:sz w:val="24"/>
          <w:szCs w:val="24"/>
        </w:rPr>
        <w:t xml:space="preserve">, as clearly identified in earlier chapters, CSR in </w:t>
      </w:r>
      <w:r w:rsidR="00E42549" w:rsidRPr="00D76461">
        <w:rPr>
          <w:rFonts w:asciiTheme="majorBidi" w:hAnsiTheme="majorBidi" w:cstheme="majorBidi"/>
          <w:sz w:val="24"/>
          <w:szCs w:val="24"/>
        </w:rPr>
        <w:t>the Middle East</w:t>
      </w:r>
      <w:r w:rsidR="00E42549">
        <w:rPr>
          <w:rFonts w:asciiTheme="majorBidi" w:hAnsiTheme="majorBidi" w:cstheme="majorBidi"/>
          <w:sz w:val="24"/>
          <w:szCs w:val="24"/>
        </w:rPr>
        <w:t xml:space="preserve"> is understudied in literature. Hence, this thesis contributes to literature </w:t>
      </w:r>
      <w:r w:rsidR="00AC3FEB">
        <w:rPr>
          <w:rFonts w:asciiTheme="majorBidi" w:hAnsiTheme="majorBidi" w:cstheme="majorBidi"/>
          <w:sz w:val="24"/>
          <w:szCs w:val="24"/>
        </w:rPr>
        <w:t>b</w:t>
      </w:r>
      <w:r w:rsidR="00E42549">
        <w:rPr>
          <w:rFonts w:asciiTheme="majorBidi" w:hAnsiTheme="majorBidi" w:cstheme="majorBidi"/>
          <w:sz w:val="24"/>
          <w:szCs w:val="24"/>
        </w:rPr>
        <w:t xml:space="preserve">y examining the effectiveness of CSR communication on Egyptian consumers of the FMCG product category. </w:t>
      </w:r>
      <w:r w:rsidR="0032038A">
        <w:rPr>
          <w:rFonts w:asciiTheme="majorBidi" w:hAnsiTheme="majorBidi" w:cstheme="majorBidi"/>
          <w:sz w:val="24"/>
          <w:szCs w:val="24"/>
        </w:rPr>
        <w:t>Even though, CSR communication is present in</w:t>
      </w:r>
      <w:r>
        <w:rPr>
          <w:rFonts w:asciiTheme="majorBidi" w:hAnsiTheme="majorBidi" w:cstheme="majorBidi"/>
          <w:sz w:val="24"/>
          <w:szCs w:val="24"/>
        </w:rPr>
        <w:t xml:space="preserve"> the Middle Eastern</w:t>
      </w:r>
      <w:r w:rsidR="0032038A">
        <w:rPr>
          <w:rFonts w:asciiTheme="majorBidi" w:hAnsiTheme="majorBidi" w:cstheme="majorBidi"/>
          <w:sz w:val="24"/>
          <w:szCs w:val="24"/>
        </w:rPr>
        <w:t xml:space="preserve"> literature, still, there </w:t>
      </w:r>
      <w:r>
        <w:rPr>
          <w:rFonts w:asciiTheme="majorBidi" w:hAnsiTheme="majorBidi" w:cstheme="majorBidi"/>
          <w:sz w:val="24"/>
          <w:szCs w:val="24"/>
        </w:rPr>
        <w:t>aren’t</w:t>
      </w:r>
      <w:r w:rsidR="0032038A">
        <w:rPr>
          <w:rFonts w:asciiTheme="majorBidi" w:hAnsiTheme="majorBidi" w:cstheme="majorBidi"/>
          <w:sz w:val="24"/>
          <w:szCs w:val="24"/>
        </w:rPr>
        <w:t xml:space="preserve"> many publications that examined the impact of CSR communication on</w:t>
      </w:r>
      <w:r>
        <w:rPr>
          <w:rFonts w:asciiTheme="majorBidi" w:hAnsiTheme="majorBidi" w:cstheme="majorBidi"/>
          <w:sz w:val="24"/>
          <w:szCs w:val="24"/>
        </w:rPr>
        <w:t xml:space="preserve"> consumers</w:t>
      </w:r>
      <w:r w:rsidR="0032038A">
        <w:rPr>
          <w:rFonts w:asciiTheme="majorBidi" w:hAnsiTheme="majorBidi" w:cstheme="majorBidi"/>
          <w:sz w:val="24"/>
          <w:szCs w:val="24"/>
        </w:rPr>
        <w:t>.</w:t>
      </w:r>
      <w:r>
        <w:rPr>
          <w:rFonts w:asciiTheme="majorBidi" w:hAnsiTheme="majorBidi" w:cstheme="majorBidi"/>
          <w:sz w:val="24"/>
          <w:szCs w:val="24"/>
        </w:rPr>
        <w:t xml:space="preserve"> In addition, the study does not confirm previous evidence that CSR has a halo effect that positively impact attitudes that are not related to the </w:t>
      </w:r>
      <w:r w:rsidR="000C0BA3">
        <w:rPr>
          <w:rFonts w:asciiTheme="majorBidi" w:hAnsiTheme="majorBidi" w:cstheme="majorBidi"/>
          <w:sz w:val="24"/>
          <w:szCs w:val="24"/>
        </w:rPr>
        <w:t>to the CSR communication message such as brand functionality. The results of the study showed that CSR communication does not significantly affect brand functionality.</w:t>
      </w:r>
    </w:p>
    <w:p w14:paraId="64371502" w14:textId="2FF00BFF" w:rsidR="00E42549" w:rsidRDefault="00E42549" w:rsidP="0074101C">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Secondly, the objectives of the study and the provided results shed light on the applied theories and provided crucial suggestions that would improve the applicability of these theories across different contexts. To begin with, this study made </w:t>
      </w:r>
      <w:r w:rsidR="0032038A">
        <w:rPr>
          <w:rFonts w:asciiTheme="majorBidi" w:hAnsiTheme="majorBidi" w:cstheme="majorBidi"/>
          <w:sz w:val="24"/>
          <w:szCs w:val="24"/>
        </w:rPr>
        <w:t>a</w:t>
      </w:r>
      <w:r w:rsidR="000C0BA3">
        <w:rPr>
          <w:rFonts w:asciiTheme="majorBidi" w:hAnsiTheme="majorBidi" w:cstheme="majorBidi"/>
          <w:sz w:val="24"/>
          <w:szCs w:val="24"/>
        </w:rPr>
        <w:t xml:space="preserve"> valuable</w:t>
      </w:r>
      <w:r>
        <w:rPr>
          <w:rFonts w:asciiTheme="majorBidi" w:hAnsiTheme="majorBidi" w:cstheme="majorBidi"/>
          <w:sz w:val="24"/>
          <w:szCs w:val="24"/>
        </w:rPr>
        <w:t xml:space="preserve"> contribution</w:t>
      </w:r>
      <w:r w:rsidR="0032038A">
        <w:rPr>
          <w:rFonts w:asciiTheme="majorBidi" w:hAnsiTheme="majorBidi" w:cstheme="majorBidi"/>
          <w:sz w:val="24"/>
          <w:szCs w:val="24"/>
        </w:rPr>
        <w:t xml:space="preserve"> </w:t>
      </w:r>
      <w:r>
        <w:rPr>
          <w:rFonts w:asciiTheme="majorBidi" w:hAnsiTheme="majorBidi" w:cstheme="majorBidi"/>
          <w:sz w:val="24"/>
          <w:szCs w:val="24"/>
        </w:rPr>
        <w:t xml:space="preserve">to TRA. TRA focuses on examining behavioural attitudes. Nonetheless, this study upheld that, in order for TRA to be more applicable to measure behaviours towards different product categories such as FMCG, the theory needs to measure </w:t>
      </w:r>
      <w:r w:rsidRPr="00D76461">
        <w:rPr>
          <w:rFonts w:asciiTheme="majorBidi" w:hAnsiTheme="majorBidi" w:cstheme="majorBidi"/>
          <w:sz w:val="24"/>
          <w:szCs w:val="24"/>
        </w:rPr>
        <w:t>attitudes towards the brand and not just attitudes towards the behaviour. This was deemed essential not just because of the nature of FMCGs being low-involvement products, but also, because the study showed that</w:t>
      </w:r>
      <w:r w:rsidR="00D83C5C">
        <w:rPr>
          <w:rFonts w:asciiTheme="majorBidi" w:hAnsiTheme="majorBidi" w:cstheme="majorBidi"/>
          <w:sz w:val="24"/>
          <w:szCs w:val="24"/>
        </w:rPr>
        <w:t xml:space="preserve"> brand attitudes have a strong impact on behavioural intention towards the brand which was </w:t>
      </w:r>
      <w:r w:rsidRPr="00D76461">
        <w:rPr>
          <w:rFonts w:asciiTheme="majorBidi" w:hAnsiTheme="majorBidi" w:cstheme="majorBidi"/>
          <w:sz w:val="24"/>
          <w:szCs w:val="24"/>
        </w:rPr>
        <w:t>purchase intention</w:t>
      </w:r>
      <w:r>
        <w:rPr>
          <w:rFonts w:asciiTheme="majorBidi" w:hAnsiTheme="majorBidi" w:cstheme="majorBidi"/>
          <w:sz w:val="24"/>
          <w:szCs w:val="24"/>
        </w:rPr>
        <w:t xml:space="preserve"> in this study. Thus, measuring different brand attitudes such as affective and cognitive attitudes towards the brand are key measures in TRA especially for low-involvement products. Another theoretical contribution that this study suggested was related to the SOR theory. While the core concept of SOR is that stimuli </w:t>
      </w:r>
      <w:r w:rsidR="005E3607">
        <w:rPr>
          <w:rFonts w:asciiTheme="majorBidi" w:hAnsiTheme="majorBidi" w:cstheme="majorBidi"/>
          <w:sz w:val="24"/>
          <w:szCs w:val="24"/>
        </w:rPr>
        <w:t>affect</w:t>
      </w:r>
      <w:r>
        <w:rPr>
          <w:rFonts w:asciiTheme="majorBidi" w:hAnsiTheme="majorBidi" w:cstheme="majorBidi"/>
          <w:sz w:val="24"/>
          <w:szCs w:val="24"/>
        </w:rPr>
        <w:t xml:space="preserve"> responses through organisms, this study </w:t>
      </w:r>
      <w:r w:rsidR="0032038A">
        <w:rPr>
          <w:rFonts w:asciiTheme="majorBidi" w:hAnsiTheme="majorBidi" w:cstheme="majorBidi"/>
          <w:sz w:val="24"/>
          <w:szCs w:val="24"/>
        </w:rPr>
        <w:t>confirmed</w:t>
      </w:r>
      <w:r>
        <w:rPr>
          <w:rFonts w:asciiTheme="majorBidi" w:hAnsiTheme="majorBidi" w:cstheme="majorBidi"/>
          <w:sz w:val="24"/>
          <w:szCs w:val="24"/>
        </w:rPr>
        <w:t xml:space="preserve"> this relationship but also, it showed that there can be a </w:t>
      </w:r>
      <w:r w:rsidRPr="00D76461">
        <w:rPr>
          <w:rFonts w:asciiTheme="majorBidi" w:hAnsiTheme="majorBidi" w:cstheme="majorBidi"/>
          <w:sz w:val="24"/>
          <w:szCs w:val="24"/>
        </w:rPr>
        <w:t>direct effect from the stimuli on the response.</w:t>
      </w:r>
      <w:r>
        <w:rPr>
          <w:rFonts w:asciiTheme="majorBidi" w:hAnsiTheme="majorBidi" w:cstheme="majorBidi"/>
          <w:sz w:val="24"/>
          <w:szCs w:val="24"/>
        </w:rPr>
        <w:t xml:space="preserve"> </w:t>
      </w:r>
      <w:r w:rsidR="00D83C5C">
        <w:rPr>
          <w:rFonts w:asciiTheme="majorBidi" w:hAnsiTheme="majorBidi" w:cstheme="majorBidi"/>
          <w:sz w:val="24"/>
          <w:szCs w:val="24"/>
        </w:rPr>
        <w:t xml:space="preserve">This contribution emerged from the results as it appeared that CSR communication has a stronger impact on purchase intention than non-CSR communication. Hence, the stimulus </w:t>
      </w:r>
      <w:r w:rsidR="00131016">
        <w:rPr>
          <w:rFonts w:asciiTheme="majorBidi" w:hAnsiTheme="majorBidi" w:cstheme="majorBidi"/>
          <w:sz w:val="24"/>
          <w:szCs w:val="24"/>
        </w:rPr>
        <w:t>has</w:t>
      </w:r>
      <w:r w:rsidR="00D83C5C">
        <w:rPr>
          <w:rFonts w:asciiTheme="majorBidi" w:hAnsiTheme="majorBidi" w:cstheme="majorBidi"/>
          <w:sz w:val="24"/>
          <w:szCs w:val="24"/>
        </w:rPr>
        <w:t xml:space="preserve"> direct effects on the response. </w:t>
      </w:r>
      <w:r w:rsidR="00131016">
        <w:rPr>
          <w:rFonts w:asciiTheme="majorBidi" w:hAnsiTheme="majorBidi" w:cstheme="majorBidi"/>
          <w:sz w:val="24"/>
          <w:szCs w:val="24"/>
        </w:rPr>
        <w:t>Other than t</w:t>
      </w:r>
      <w:r w:rsidR="00D83C5C">
        <w:rPr>
          <w:rFonts w:asciiTheme="majorBidi" w:hAnsiTheme="majorBidi" w:cstheme="majorBidi"/>
          <w:sz w:val="24"/>
          <w:szCs w:val="24"/>
        </w:rPr>
        <w:t xml:space="preserve">he </w:t>
      </w:r>
      <w:r w:rsidR="00131016">
        <w:rPr>
          <w:rFonts w:asciiTheme="majorBidi" w:hAnsiTheme="majorBidi" w:cstheme="majorBidi"/>
          <w:sz w:val="24"/>
          <w:szCs w:val="24"/>
        </w:rPr>
        <w:t xml:space="preserve">direct effects that the </w:t>
      </w:r>
      <w:r w:rsidR="00D83C5C">
        <w:rPr>
          <w:rFonts w:asciiTheme="majorBidi" w:hAnsiTheme="majorBidi" w:cstheme="majorBidi"/>
          <w:sz w:val="24"/>
          <w:szCs w:val="24"/>
        </w:rPr>
        <w:t>stimulus or the CSR</w:t>
      </w:r>
      <w:r w:rsidR="00131016">
        <w:rPr>
          <w:rFonts w:asciiTheme="majorBidi" w:hAnsiTheme="majorBidi" w:cstheme="majorBidi"/>
          <w:sz w:val="24"/>
          <w:szCs w:val="24"/>
        </w:rPr>
        <w:t xml:space="preserve"> had </w:t>
      </w:r>
      <w:r w:rsidR="00C97FF2">
        <w:rPr>
          <w:rFonts w:asciiTheme="majorBidi" w:hAnsiTheme="majorBidi" w:cstheme="majorBidi"/>
          <w:sz w:val="24"/>
          <w:szCs w:val="24"/>
        </w:rPr>
        <w:t xml:space="preserve">on </w:t>
      </w:r>
      <w:r w:rsidR="00131016">
        <w:rPr>
          <w:rFonts w:asciiTheme="majorBidi" w:hAnsiTheme="majorBidi" w:cstheme="majorBidi"/>
          <w:sz w:val="24"/>
          <w:szCs w:val="24"/>
        </w:rPr>
        <w:t xml:space="preserve">purchase intentions, the study showed that </w:t>
      </w:r>
      <w:r w:rsidR="00C97FF2">
        <w:rPr>
          <w:rFonts w:asciiTheme="majorBidi" w:hAnsiTheme="majorBidi" w:cstheme="majorBidi"/>
          <w:sz w:val="24"/>
          <w:szCs w:val="24"/>
        </w:rPr>
        <w:t xml:space="preserve">CSR has an indirect effect as well on purchase intention. Hence, confirming the halo effect concept. </w:t>
      </w:r>
    </w:p>
    <w:p w14:paraId="134C0E81" w14:textId="3C02A24A" w:rsidR="00962D7F" w:rsidRDefault="00E42549" w:rsidP="0074101C">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Lastly, this study presented some important practical and managerial contributions. The findings presented in results and discussions give prodigious insights for marketers and decision-makers on consumers’ perception of CSR communication and the way </w:t>
      </w:r>
      <w:r w:rsidR="000E6EBB">
        <w:rPr>
          <w:rFonts w:asciiTheme="majorBidi" w:hAnsiTheme="majorBidi" w:cstheme="majorBidi"/>
          <w:sz w:val="24"/>
          <w:szCs w:val="24"/>
        </w:rPr>
        <w:t xml:space="preserve">they develop relationships </w:t>
      </w:r>
      <w:r>
        <w:rPr>
          <w:rFonts w:asciiTheme="majorBidi" w:hAnsiTheme="majorBidi" w:cstheme="majorBidi"/>
          <w:sz w:val="24"/>
          <w:szCs w:val="24"/>
        </w:rPr>
        <w:t xml:space="preserve">with the brand. </w:t>
      </w:r>
      <w:r w:rsidR="000E6EBB">
        <w:rPr>
          <w:rFonts w:asciiTheme="majorBidi" w:hAnsiTheme="majorBidi" w:cstheme="majorBidi"/>
          <w:sz w:val="24"/>
          <w:szCs w:val="24"/>
        </w:rPr>
        <w:t xml:space="preserve">As stated earlier this research provides managers with a starting point that shows that </w:t>
      </w:r>
      <w:r w:rsidR="000E6EBB" w:rsidRPr="00D76461">
        <w:rPr>
          <w:rFonts w:asciiTheme="majorBidi" w:hAnsiTheme="majorBidi" w:cstheme="majorBidi"/>
          <w:sz w:val="24"/>
          <w:szCs w:val="24"/>
        </w:rPr>
        <w:t>consumers will develop favourable brand attitudes resulting from CSR communication more than they would from non-CSR communication.</w:t>
      </w:r>
      <w:r w:rsidR="00C97FF2">
        <w:rPr>
          <w:rFonts w:asciiTheme="majorBidi" w:hAnsiTheme="majorBidi" w:cstheme="majorBidi"/>
          <w:sz w:val="24"/>
          <w:szCs w:val="24"/>
        </w:rPr>
        <w:t xml:space="preserve"> However, a common finding that appeared in literature and was confirmed in th</w:t>
      </w:r>
      <w:r w:rsidR="00962D7F">
        <w:rPr>
          <w:rFonts w:asciiTheme="majorBidi" w:hAnsiTheme="majorBidi" w:cstheme="majorBidi"/>
          <w:sz w:val="24"/>
          <w:szCs w:val="24"/>
        </w:rPr>
        <w:t xml:space="preserve">e results of this study is that CSR as a concept is faced with many doubts from consumers and the public. For that reason, the strategies of implementing CSR communication that this study provides count as crucial managerial contributions. From the results, the study grants few suggestions to increase trust towards CSR communications such as partnering with a governmental body and providing detailed information about the CSR campaign. </w:t>
      </w:r>
      <w:r>
        <w:rPr>
          <w:rFonts w:asciiTheme="majorBidi" w:hAnsiTheme="majorBidi" w:cstheme="majorBidi"/>
          <w:sz w:val="24"/>
          <w:szCs w:val="24"/>
        </w:rPr>
        <w:t xml:space="preserve">Given the considerable size of the FMCG category, these strategies are insightful for managers as they shed light on the way CSR can help brands achieve the desired marketing objectives. </w:t>
      </w:r>
      <w:r w:rsidR="00962D7F">
        <w:rPr>
          <w:rFonts w:asciiTheme="majorBidi" w:hAnsiTheme="majorBidi" w:cstheme="majorBidi"/>
          <w:sz w:val="24"/>
          <w:szCs w:val="24"/>
        </w:rPr>
        <w:t xml:space="preserve">Last of all, another practical contribution sheds light on the importance of the humanitarian project communicated in the CSR message. This is because the results of this study showed that respondents liked the brand communicating CSR because of the philanthropic message in the ad. </w:t>
      </w:r>
      <w:r w:rsidR="00EB7581">
        <w:rPr>
          <w:rFonts w:asciiTheme="majorBidi" w:hAnsiTheme="majorBidi" w:cstheme="majorBidi"/>
          <w:sz w:val="24"/>
          <w:szCs w:val="24"/>
        </w:rPr>
        <w:t>The below table provides a summary of the study’s main contributions. Evidently, t</w:t>
      </w:r>
      <w:r w:rsidR="00EB7581" w:rsidRPr="00EB7581">
        <w:rPr>
          <w:rFonts w:asciiTheme="majorBidi" w:hAnsiTheme="majorBidi" w:cstheme="majorBidi"/>
          <w:sz w:val="24"/>
          <w:szCs w:val="24"/>
        </w:rPr>
        <w:t>he findings of this research make valuable contribution</w:t>
      </w:r>
      <w:r w:rsidR="00EB7581">
        <w:rPr>
          <w:rFonts w:asciiTheme="majorBidi" w:hAnsiTheme="majorBidi" w:cstheme="majorBidi"/>
          <w:sz w:val="24"/>
          <w:szCs w:val="24"/>
        </w:rPr>
        <w:t>s</w:t>
      </w:r>
      <w:r w:rsidR="00EB7581" w:rsidRPr="00EB7581">
        <w:rPr>
          <w:rFonts w:asciiTheme="majorBidi" w:hAnsiTheme="majorBidi" w:cstheme="majorBidi"/>
          <w:sz w:val="24"/>
          <w:szCs w:val="24"/>
        </w:rPr>
        <w:t xml:space="preserve"> to the existing body of knowledge</w:t>
      </w:r>
      <w:r w:rsidR="00EB7581">
        <w:rPr>
          <w:rFonts w:asciiTheme="majorBidi" w:hAnsiTheme="majorBidi" w:cstheme="majorBidi"/>
          <w:sz w:val="24"/>
          <w:szCs w:val="24"/>
        </w:rPr>
        <w:t xml:space="preserve"> on CSR communication. Even though the study examined the impact of CSR communication on Egyptian consumers, some of the contributions to theory apply to CSR communication in general. </w:t>
      </w:r>
      <w:r w:rsidR="00962D7F">
        <w:rPr>
          <w:rFonts w:asciiTheme="majorBidi" w:hAnsiTheme="majorBidi" w:cstheme="majorBidi"/>
          <w:sz w:val="24"/>
          <w:szCs w:val="24"/>
        </w:rPr>
        <w:t>The next section identifies th</w:t>
      </w:r>
      <w:r w:rsidR="00EB7581">
        <w:rPr>
          <w:rFonts w:asciiTheme="majorBidi" w:hAnsiTheme="majorBidi" w:cstheme="majorBidi"/>
          <w:sz w:val="24"/>
          <w:szCs w:val="24"/>
        </w:rPr>
        <w:t xml:space="preserve">e </w:t>
      </w:r>
      <w:r w:rsidR="00962D7F">
        <w:rPr>
          <w:rFonts w:asciiTheme="majorBidi" w:hAnsiTheme="majorBidi" w:cstheme="majorBidi"/>
          <w:sz w:val="24"/>
          <w:szCs w:val="24"/>
        </w:rPr>
        <w:t>stud</w:t>
      </w:r>
      <w:r w:rsidR="00EB7581">
        <w:rPr>
          <w:rFonts w:asciiTheme="majorBidi" w:hAnsiTheme="majorBidi" w:cstheme="majorBidi"/>
          <w:sz w:val="24"/>
          <w:szCs w:val="24"/>
        </w:rPr>
        <w:t>y’s</w:t>
      </w:r>
      <w:r w:rsidR="00962D7F">
        <w:rPr>
          <w:rFonts w:asciiTheme="majorBidi" w:hAnsiTheme="majorBidi" w:cstheme="majorBidi"/>
          <w:sz w:val="24"/>
          <w:szCs w:val="24"/>
        </w:rPr>
        <w:t xml:space="preserve"> limitations</w:t>
      </w:r>
      <w:r w:rsidR="00EB7581">
        <w:rPr>
          <w:rFonts w:asciiTheme="majorBidi" w:hAnsiTheme="majorBidi" w:cstheme="majorBidi"/>
          <w:sz w:val="24"/>
          <w:szCs w:val="24"/>
        </w:rPr>
        <w:t xml:space="preserve">. </w:t>
      </w:r>
    </w:p>
    <w:tbl>
      <w:tblPr>
        <w:tblStyle w:val="TableGrid"/>
        <w:tblW w:w="0" w:type="auto"/>
        <w:jc w:val="center"/>
        <w:tblLook w:val="04A0" w:firstRow="1" w:lastRow="0" w:firstColumn="1" w:lastColumn="0" w:noHBand="0" w:noVBand="1"/>
      </w:tblPr>
      <w:tblGrid>
        <w:gridCol w:w="2547"/>
        <w:gridCol w:w="2693"/>
        <w:gridCol w:w="2977"/>
      </w:tblGrid>
      <w:tr w:rsidR="00EB7581" w14:paraId="7252CEEB" w14:textId="77777777" w:rsidTr="00F34490">
        <w:trPr>
          <w:jc w:val="center"/>
        </w:trPr>
        <w:tc>
          <w:tcPr>
            <w:tcW w:w="2547" w:type="dxa"/>
          </w:tcPr>
          <w:p w14:paraId="30CA0BE8" w14:textId="77777777" w:rsidR="00EB7581" w:rsidRDefault="00EB7581" w:rsidP="00F34490">
            <w:pPr>
              <w:rPr>
                <w:rFonts w:asciiTheme="majorBidi" w:hAnsiTheme="majorBidi" w:cstheme="majorBidi"/>
                <w:sz w:val="24"/>
                <w:szCs w:val="24"/>
              </w:rPr>
            </w:pPr>
            <w:r>
              <w:rPr>
                <w:rFonts w:asciiTheme="majorBidi" w:hAnsiTheme="majorBidi" w:cstheme="majorBidi"/>
                <w:sz w:val="24"/>
                <w:szCs w:val="24"/>
              </w:rPr>
              <w:t>Contribution to Knowledge (5)</w:t>
            </w:r>
          </w:p>
        </w:tc>
        <w:tc>
          <w:tcPr>
            <w:tcW w:w="2693" w:type="dxa"/>
          </w:tcPr>
          <w:p w14:paraId="52379ACC" w14:textId="77777777" w:rsidR="00EB7581" w:rsidRDefault="00EB7581" w:rsidP="00F34490">
            <w:pPr>
              <w:rPr>
                <w:rFonts w:asciiTheme="majorBidi" w:hAnsiTheme="majorBidi" w:cstheme="majorBidi"/>
                <w:sz w:val="24"/>
                <w:szCs w:val="24"/>
              </w:rPr>
            </w:pPr>
            <w:r>
              <w:rPr>
                <w:rFonts w:asciiTheme="majorBidi" w:hAnsiTheme="majorBidi" w:cstheme="majorBidi"/>
                <w:sz w:val="24"/>
                <w:szCs w:val="24"/>
              </w:rPr>
              <w:t xml:space="preserve">Contribution to Theory (3) </w:t>
            </w:r>
          </w:p>
        </w:tc>
        <w:tc>
          <w:tcPr>
            <w:tcW w:w="2977" w:type="dxa"/>
          </w:tcPr>
          <w:p w14:paraId="3A3A63F1" w14:textId="77777777" w:rsidR="00EB7581" w:rsidRDefault="00EB7581" w:rsidP="00F34490">
            <w:pPr>
              <w:rPr>
                <w:rFonts w:asciiTheme="majorBidi" w:hAnsiTheme="majorBidi" w:cstheme="majorBidi"/>
                <w:sz w:val="24"/>
                <w:szCs w:val="24"/>
              </w:rPr>
            </w:pPr>
            <w:r>
              <w:rPr>
                <w:rFonts w:asciiTheme="majorBidi" w:hAnsiTheme="majorBidi" w:cstheme="majorBidi"/>
                <w:sz w:val="24"/>
                <w:szCs w:val="24"/>
              </w:rPr>
              <w:t xml:space="preserve">Contribution to Practice </w:t>
            </w:r>
          </w:p>
          <w:p w14:paraId="6D18FA9A" w14:textId="77777777" w:rsidR="00EB7581" w:rsidRDefault="00EB7581" w:rsidP="00F34490">
            <w:pPr>
              <w:rPr>
                <w:rFonts w:asciiTheme="majorBidi" w:hAnsiTheme="majorBidi" w:cstheme="majorBidi"/>
                <w:sz w:val="24"/>
                <w:szCs w:val="24"/>
              </w:rPr>
            </w:pPr>
            <w:r>
              <w:rPr>
                <w:rFonts w:asciiTheme="majorBidi" w:hAnsiTheme="majorBidi" w:cstheme="majorBidi"/>
                <w:sz w:val="24"/>
                <w:szCs w:val="24"/>
              </w:rPr>
              <w:t xml:space="preserve">(3) </w:t>
            </w:r>
          </w:p>
        </w:tc>
      </w:tr>
      <w:tr w:rsidR="00EB7581" w14:paraId="5AB03A04" w14:textId="77777777" w:rsidTr="00F34490">
        <w:trPr>
          <w:jc w:val="center"/>
        </w:trPr>
        <w:tc>
          <w:tcPr>
            <w:tcW w:w="2547" w:type="dxa"/>
          </w:tcPr>
          <w:p w14:paraId="6DD8F9A4" w14:textId="77777777" w:rsidR="00EB7581" w:rsidRPr="00D943CC" w:rsidRDefault="00EB7581" w:rsidP="00F34490">
            <w:pPr>
              <w:jc w:val="both"/>
              <w:rPr>
                <w:rFonts w:asciiTheme="majorBidi" w:hAnsiTheme="majorBidi" w:cstheme="majorBidi"/>
                <w:sz w:val="24"/>
                <w:szCs w:val="24"/>
              </w:rPr>
            </w:pPr>
            <w:r w:rsidRPr="00D943CC">
              <w:rPr>
                <w:rFonts w:asciiTheme="majorBidi" w:hAnsiTheme="majorBidi" w:cstheme="majorBidi"/>
                <w:sz w:val="24"/>
                <w:szCs w:val="24"/>
              </w:rPr>
              <w:t xml:space="preserve">- The impact of CSR communication on Egyptian consumers </w:t>
            </w:r>
          </w:p>
          <w:p w14:paraId="37EDF48D" w14:textId="77777777" w:rsidR="00EB7581" w:rsidRPr="00D943CC" w:rsidRDefault="00EB7581" w:rsidP="00F34490">
            <w:pPr>
              <w:jc w:val="both"/>
              <w:rPr>
                <w:rFonts w:asciiTheme="majorBidi" w:hAnsiTheme="majorBidi" w:cstheme="majorBidi"/>
                <w:sz w:val="24"/>
                <w:szCs w:val="24"/>
              </w:rPr>
            </w:pPr>
          </w:p>
          <w:p w14:paraId="3ECB9552" w14:textId="77777777" w:rsidR="00EB7581" w:rsidRPr="00D943CC" w:rsidRDefault="00EB7581" w:rsidP="00F34490">
            <w:pPr>
              <w:jc w:val="both"/>
              <w:rPr>
                <w:rFonts w:asciiTheme="majorBidi" w:hAnsiTheme="majorBidi" w:cstheme="majorBidi"/>
                <w:sz w:val="24"/>
                <w:szCs w:val="24"/>
              </w:rPr>
            </w:pPr>
            <w:r w:rsidRPr="00D943CC">
              <w:rPr>
                <w:rFonts w:asciiTheme="majorBidi" w:hAnsiTheme="majorBidi" w:cstheme="majorBidi"/>
                <w:sz w:val="24"/>
                <w:szCs w:val="24"/>
              </w:rPr>
              <w:t xml:space="preserve">-  CSR communication is more effective than non-CSR communication </w:t>
            </w:r>
          </w:p>
          <w:p w14:paraId="232C4B4C" w14:textId="77777777" w:rsidR="00EB7581" w:rsidRPr="00D943CC" w:rsidRDefault="00EB7581" w:rsidP="00F34490">
            <w:pPr>
              <w:jc w:val="both"/>
              <w:rPr>
                <w:rFonts w:asciiTheme="majorBidi" w:hAnsiTheme="majorBidi" w:cstheme="majorBidi"/>
                <w:sz w:val="24"/>
                <w:szCs w:val="24"/>
              </w:rPr>
            </w:pPr>
          </w:p>
          <w:p w14:paraId="75517AA6" w14:textId="77777777" w:rsidR="00EB7581" w:rsidRPr="00D943CC" w:rsidRDefault="00EB7581" w:rsidP="00F34490">
            <w:pPr>
              <w:jc w:val="both"/>
              <w:rPr>
                <w:rFonts w:asciiTheme="majorBidi" w:hAnsiTheme="majorBidi" w:cstheme="majorBidi"/>
                <w:sz w:val="24"/>
                <w:szCs w:val="24"/>
              </w:rPr>
            </w:pPr>
            <w:r w:rsidRPr="00D943CC">
              <w:rPr>
                <w:rFonts w:asciiTheme="majorBidi" w:hAnsiTheme="majorBidi" w:cstheme="majorBidi"/>
                <w:sz w:val="24"/>
                <w:szCs w:val="24"/>
              </w:rPr>
              <w:t xml:space="preserve">-  CSR communication has a positive impact on brand likeability </w:t>
            </w:r>
          </w:p>
          <w:p w14:paraId="51DB1C8D" w14:textId="77777777" w:rsidR="00EB7581" w:rsidRPr="00D943CC" w:rsidRDefault="00EB7581" w:rsidP="00F34490">
            <w:pPr>
              <w:jc w:val="both"/>
              <w:rPr>
                <w:rFonts w:asciiTheme="majorBidi" w:hAnsiTheme="majorBidi" w:cstheme="majorBidi"/>
                <w:sz w:val="24"/>
                <w:szCs w:val="24"/>
              </w:rPr>
            </w:pPr>
          </w:p>
          <w:p w14:paraId="5DE33CF0" w14:textId="77777777" w:rsidR="00EB7581" w:rsidRPr="00D943CC" w:rsidRDefault="00EB7581" w:rsidP="00F34490">
            <w:pPr>
              <w:jc w:val="both"/>
              <w:rPr>
                <w:rFonts w:ascii="Times New Roman" w:hAnsi="Times New Roman" w:cs="Times New Roman"/>
                <w:sz w:val="24"/>
                <w:szCs w:val="24"/>
              </w:rPr>
            </w:pPr>
            <w:r w:rsidRPr="00D943CC">
              <w:rPr>
                <w:rFonts w:ascii="Times New Roman" w:hAnsi="Times New Roman" w:cs="Times New Roman"/>
                <w:sz w:val="24"/>
                <w:szCs w:val="24"/>
              </w:rPr>
              <w:t>- CSR and non-CSR communication do not significantly impact brand functionality</w:t>
            </w:r>
          </w:p>
          <w:p w14:paraId="71A5BCB8" w14:textId="77777777" w:rsidR="00EB7581" w:rsidRPr="00D943CC" w:rsidRDefault="00EB7581" w:rsidP="00F34490">
            <w:pPr>
              <w:jc w:val="both"/>
              <w:rPr>
                <w:rFonts w:ascii="Times New Roman" w:hAnsi="Times New Roman" w:cs="Times New Roman"/>
                <w:sz w:val="24"/>
                <w:szCs w:val="24"/>
              </w:rPr>
            </w:pPr>
          </w:p>
          <w:p w14:paraId="2CF348C8" w14:textId="6D954BDD" w:rsidR="00001CBD" w:rsidRDefault="00EB7581" w:rsidP="00F34490">
            <w:pPr>
              <w:jc w:val="both"/>
              <w:rPr>
                <w:rFonts w:asciiTheme="majorBidi" w:hAnsiTheme="majorBidi" w:cstheme="majorBidi"/>
                <w:sz w:val="24"/>
                <w:szCs w:val="24"/>
              </w:rPr>
            </w:pPr>
            <w:r w:rsidRPr="00D943CC">
              <w:rPr>
                <w:rFonts w:asciiTheme="majorBidi" w:hAnsiTheme="majorBidi" w:cstheme="majorBidi"/>
                <w:sz w:val="24"/>
                <w:szCs w:val="24"/>
              </w:rPr>
              <w:t xml:space="preserve">-  Congruence between </w:t>
            </w:r>
          </w:p>
          <w:p w14:paraId="7E45D082" w14:textId="51D498E6" w:rsidR="00EB7581" w:rsidRPr="00D943CC" w:rsidRDefault="00001CBD" w:rsidP="00F34490">
            <w:pPr>
              <w:jc w:val="both"/>
              <w:rPr>
                <w:rFonts w:asciiTheme="majorBidi" w:hAnsiTheme="majorBidi" w:cstheme="majorBidi"/>
                <w:sz w:val="24"/>
                <w:szCs w:val="24"/>
              </w:rPr>
            </w:pPr>
            <w:r>
              <w:rPr>
                <w:rFonts w:asciiTheme="majorBidi" w:hAnsiTheme="majorBidi" w:cstheme="majorBidi"/>
                <w:sz w:val="24"/>
                <w:szCs w:val="24"/>
              </w:rPr>
              <w:t>p</w:t>
            </w:r>
            <w:r w:rsidR="00EB7581" w:rsidRPr="00D943CC">
              <w:rPr>
                <w:rFonts w:asciiTheme="majorBidi" w:hAnsiTheme="majorBidi" w:cstheme="majorBidi"/>
                <w:sz w:val="24"/>
                <w:szCs w:val="24"/>
              </w:rPr>
              <w:t xml:space="preserve">ersonal values and brand’s CSR positively affects brand attitudes </w:t>
            </w:r>
          </w:p>
        </w:tc>
        <w:tc>
          <w:tcPr>
            <w:tcW w:w="2693" w:type="dxa"/>
          </w:tcPr>
          <w:p w14:paraId="575CFA32" w14:textId="77777777" w:rsidR="00EB7581" w:rsidRPr="00D943CC" w:rsidRDefault="00EB7581" w:rsidP="00F34490">
            <w:pPr>
              <w:rPr>
                <w:rFonts w:asciiTheme="majorBidi" w:hAnsiTheme="majorBidi" w:cstheme="majorBidi"/>
                <w:sz w:val="24"/>
                <w:szCs w:val="24"/>
              </w:rPr>
            </w:pPr>
            <w:r w:rsidRPr="00D943CC">
              <w:rPr>
                <w:rFonts w:asciiTheme="majorBidi" w:hAnsiTheme="majorBidi" w:cstheme="majorBidi"/>
                <w:sz w:val="24"/>
                <w:szCs w:val="24"/>
              </w:rPr>
              <w:t xml:space="preserve">-  Brand attitudes examined in the theory of reasoned action instead of behavioural attitudes </w:t>
            </w:r>
          </w:p>
          <w:p w14:paraId="24F72A74" w14:textId="77777777" w:rsidR="00EB7581" w:rsidRPr="00D943CC" w:rsidRDefault="00EB7581" w:rsidP="00F34490">
            <w:pPr>
              <w:rPr>
                <w:rFonts w:asciiTheme="majorBidi" w:hAnsiTheme="majorBidi" w:cstheme="majorBidi"/>
                <w:sz w:val="24"/>
                <w:szCs w:val="24"/>
              </w:rPr>
            </w:pPr>
          </w:p>
          <w:p w14:paraId="39247943" w14:textId="77777777" w:rsidR="00EB7581" w:rsidRPr="00D943CC" w:rsidRDefault="00EB7581" w:rsidP="00F34490">
            <w:pPr>
              <w:rPr>
                <w:rFonts w:asciiTheme="majorBidi" w:hAnsiTheme="majorBidi" w:cstheme="majorBidi"/>
                <w:sz w:val="24"/>
                <w:szCs w:val="24"/>
              </w:rPr>
            </w:pPr>
            <w:r w:rsidRPr="00D943CC">
              <w:rPr>
                <w:rFonts w:asciiTheme="majorBidi" w:hAnsiTheme="majorBidi" w:cstheme="majorBidi"/>
                <w:sz w:val="24"/>
                <w:szCs w:val="24"/>
              </w:rPr>
              <w:t xml:space="preserve">-  CSR communication has a halo effect on brand attitudes and purchase intention </w:t>
            </w:r>
          </w:p>
          <w:p w14:paraId="474CC001" w14:textId="77777777" w:rsidR="00EB7581" w:rsidRPr="00D943CC" w:rsidRDefault="00EB7581" w:rsidP="00F34490">
            <w:pPr>
              <w:rPr>
                <w:rFonts w:asciiTheme="majorBidi" w:hAnsiTheme="majorBidi" w:cstheme="majorBidi"/>
                <w:sz w:val="24"/>
                <w:szCs w:val="24"/>
              </w:rPr>
            </w:pPr>
          </w:p>
          <w:p w14:paraId="666EB6D6" w14:textId="77777777" w:rsidR="00EB7581" w:rsidRPr="00D943CC" w:rsidRDefault="00EB7581" w:rsidP="00F34490">
            <w:pPr>
              <w:rPr>
                <w:rFonts w:asciiTheme="majorBidi" w:hAnsiTheme="majorBidi" w:cstheme="majorBidi"/>
                <w:sz w:val="24"/>
                <w:szCs w:val="24"/>
              </w:rPr>
            </w:pPr>
            <w:r w:rsidRPr="00D943CC">
              <w:rPr>
                <w:rFonts w:asciiTheme="majorBidi" w:hAnsiTheme="majorBidi" w:cstheme="majorBidi"/>
                <w:sz w:val="24"/>
                <w:szCs w:val="24"/>
              </w:rPr>
              <w:t xml:space="preserve">-  Direct effect from stimuli to response withing the stimuli-organism-response framework </w:t>
            </w:r>
          </w:p>
        </w:tc>
        <w:tc>
          <w:tcPr>
            <w:tcW w:w="2977" w:type="dxa"/>
          </w:tcPr>
          <w:p w14:paraId="40690CBA" w14:textId="77777777" w:rsidR="00EB7581" w:rsidRPr="00D943CC" w:rsidRDefault="00EB7581" w:rsidP="00F34490">
            <w:pPr>
              <w:rPr>
                <w:rFonts w:asciiTheme="majorBidi" w:hAnsiTheme="majorBidi" w:cstheme="majorBidi"/>
                <w:sz w:val="24"/>
                <w:szCs w:val="24"/>
              </w:rPr>
            </w:pPr>
            <w:r w:rsidRPr="00D943CC">
              <w:rPr>
                <w:rFonts w:asciiTheme="majorBidi" w:hAnsiTheme="majorBidi" w:cstheme="majorBidi"/>
                <w:sz w:val="24"/>
                <w:szCs w:val="24"/>
              </w:rPr>
              <w:t>-  CSR has a more positive impact on consumers’ attitudes and purchase intention than non-CSR communication</w:t>
            </w:r>
          </w:p>
          <w:p w14:paraId="191A255F" w14:textId="77777777" w:rsidR="00EB7581" w:rsidRPr="00D943CC" w:rsidRDefault="00EB7581" w:rsidP="00F34490">
            <w:pPr>
              <w:rPr>
                <w:rFonts w:asciiTheme="majorBidi" w:hAnsiTheme="majorBidi" w:cstheme="majorBidi"/>
                <w:sz w:val="24"/>
                <w:szCs w:val="24"/>
              </w:rPr>
            </w:pPr>
          </w:p>
          <w:p w14:paraId="1B187346" w14:textId="77777777" w:rsidR="00EB7581" w:rsidRPr="00D943CC" w:rsidRDefault="00EB7581" w:rsidP="00F34490">
            <w:pPr>
              <w:rPr>
                <w:rFonts w:asciiTheme="majorBidi" w:hAnsiTheme="majorBidi" w:cstheme="majorBidi"/>
                <w:sz w:val="24"/>
                <w:szCs w:val="24"/>
              </w:rPr>
            </w:pPr>
            <w:r w:rsidRPr="00D943CC">
              <w:rPr>
                <w:rFonts w:asciiTheme="majorBidi" w:hAnsiTheme="majorBidi" w:cstheme="majorBidi"/>
                <w:sz w:val="24"/>
                <w:szCs w:val="24"/>
              </w:rPr>
              <w:t xml:space="preserve">-  CSR had a higher impact on brand likeability than non-CSR communication because respondents liked the humanitarian message in the ad. </w:t>
            </w:r>
          </w:p>
          <w:p w14:paraId="140AFC08" w14:textId="77777777" w:rsidR="00EB7581" w:rsidRPr="00D943CC" w:rsidRDefault="00EB7581" w:rsidP="00F34490">
            <w:pPr>
              <w:rPr>
                <w:rFonts w:asciiTheme="majorBidi" w:hAnsiTheme="majorBidi" w:cstheme="majorBidi"/>
                <w:sz w:val="24"/>
                <w:szCs w:val="24"/>
              </w:rPr>
            </w:pPr>
          </w:p>
          <w:p w14:paraId="047369D8" w14:textId="77777777" w:rsidR="00EB7581" w:rsidRPr="00D943CC" w:rsidRDefault="00EB7581" w:rsidP="00EB7581">
            <w:pPr>
              <w:keepNext/>
              <w:rPr>
                <w:rFonts w:asciiTheme="majorBidi" w:hAnsiTheme="majorBidi" w:cstheme="majorBidi"/>
                <w:sz w:val="24"/>
                <w:szCs w:val="24"/>
              </w:rPr>
            </w:pPr>
            <w:r w:rsidRPr="00D943CC">
              <w:rPr>
                <w:rFonts w:asciiTheme="majorBidi" w:hAnsiTheme="majorBidi" w:cstheme="majorBidi"/>
                <w:sz w:val="24"/>
                <w:szCs w:val="24"/>
              </w:rPr>
              <w:t>-  CSR campaign will drive higher brand trust if the campaign has a real value to people or society, provides enough information about the campaign, and communicates that the brand partnered with a governmental body.</w:t>
            </w:r>
          </w:p>
        </w:tc>
      </w:tr>
    </w:tbl>
    <w:p w14:paraId="79E3FF41" w14:textId="650FDA14" w:rsidR="00EB7581" w:rsidRDefault="00EB7581" w:rsidP="00EB7581">
      <w:pPr>
        <w:pStyle w:val="Caption"/>
        <w:rPr>
          <w:rFonts w:asciiTheme="majorBidi" w:hAnsiTheme="majorBidi" w:cstheme="majorBidi"/>
          <w:sz w:val="24"/>
          <w:szCs w:val="24"/>
        </w:rPr>
      </w:pPr>
      <w:r>
        <w:t xml:space="preserve">Table 61 A summary of the study’s main contributions </w:t>
      </w:r>
    </w:p>
    <w:bookmarkEnd w:id="252"/>
    <w:p w14:paraId="68114E8D" w14:textId="77777777" w:rsidR="00E42549" w:rsidRPr="00A41F9F" w:rsidRDefault="00E42549" w:rsidP="000E6EBB">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9.3 </w:t>
      </w:r>
      <w:r w:rsidRPr="00A41F9F">
        <w:rPr>
          <w:rFonts w:asciiTheme="majorBidi" w:hAnsiTheme="majorBidi" w:cstheme="majorBidi"/>
          <w:b/>
          <w:bCs/>
          <w:sz w:val="24"/>
          <w:szCs w:val="24"/>
        </w:rPr>
        <w:t>Limitations</w:t>
      </w:r>
    </w:p>
    <w:p w14:paraId="7AFF6B49" w14:textId="03592DC3" w:rsidR="00E42549" w:rsidRPr="00A41F9F" w:rsidRDefault="00E42549" w:rsidP="00840259">
      <w:pPr>
        <w:spacing w:after="0" w:line="480" w:lineRule="auto"/>
        <w:ind w:firstLine="720"/>
        <w:rPr>
          <w:rFonts w:asciiTheme="majorBidi" w:hAnsiTheme="majorBidi" w:cstheme="majorBidi"/>
          <w:sz w:val="24"/>
          <w:szCs w:val="24"/>
        </w:rPr>
      </w:pPr>
      <w:r w:rsidRPr="00A41F9F">
        <w:rPr>
          <w:rFonts w:asciiTheme="majorBidi" w:hAnsiTheme="majorBidi" w:cstheme="majorBidi"/>
          <w:sz w:val="24"/>
          <w:szCs w:val="24"/>
        </w:rPr>
        <w:t xml:space="preserve">Like any study, this study has some limitations. </w:t>
      </w:r>
      <w:bookmarkStart w:id="253" w:name="_Hlk150885026"/>
      <w:r>
        <w:rPr>
          <w:rFonts w:asciiTheme="majorBidi" w:hAnsiTheme="majorBidi" w:cstheme="majorBidi"/>
          <w:sz w:val="24"/>
          <w:szCs w:val="24"/>
        </w:rPr>
        <w:t xml:space="preserve">Generally, </w:t>
      </w:r>
      <w:r w:rsidRPr="00A41F9F">
        <w:rPr>
          <w:rFonts w:asciiTheme="majorBidi" w:hAnsiTheme="majorBidi" w:cstheme="majorBidi"/>
          <w:sz w:val="24"/>
          <w:szCs w:val="24"/>
        </w:rPr>
        <w:t xml:space="preserve">survey experiments that measures </w:t>
      </w:r>
      <w:r>
        <w:rPr>
          <w:rFonts w:asciiTheme="majorBidi" w:hAnsiTheme="majorBidi" w:cstheme="majorBidi"/>
          <w:sz w:val="24"/>
          <w:szCs w:val="24"/>
        </w:rPr>
        <w:t>a hypothetical situation are usually associated with</w:t>
      </w:r>
      <w:r w:rsidRPr="00A41F9F">
        <w:rPr>
          <w:rFonts w:asciiTheme="majorBidi" w:hAnsiTheme="majorBidi" w:cstheme="majorBidi"/>
          <w:sz w:val="24"/>
          <w:szCs w:val="24"/>
        </w:rPr>
        <w:t xml:space="preserve"> co</w:t>
      </w:r>
      <w:r>
        <w:rPr>
          <w:rFonts w:asciiTheme="majorBidi" w:hAnsiTheme="majorBidi" w:cstheme="majorBidi"/>
          <w:sz w:val="24"/>
          <w:szCs w:val="24"/>
        </w:rPr>
        <w:t>n</w:t>
      </w:r>
      <w:r w:rsidRPr="00A41F9F">
        <w:rPr>
          <w:rFonts w:asciiTheme="majorBidi" w:hAnsiTheme="majorBidi" w:cstheme="majorBidi"/>
          <w:sz w:val="24"/>
          <w:szCs w:val="24"/>
        </w:rPr>
        <w:t>founding variables</w:t>
      </w:r>
      <w:sdt>
        <w:sdtPr>
          <w:rPr>
            <w:rFonts w:asciiTheme="majorBidi" w:hAnsiTheme="majorBidi" w:cstheme="majorBidi"/>
            <w:sz w:val="24"/>
            <w:szCs w:val="24"/>
          </w:rPr>
          <w:id w:val="-871218699"/>
          <w:citation/>
        </w:sdtPr>
        <w:sdtContent>
          <w:r>
            <w:rPr>
              <w:rFonts w:asciiTheme="majorBidi" w:hAnsiTheme="majorBidi" w:cstheme="majorBidi"/>
              <w:sz w:val="24"/>
              <w:szCs w:val="24"/>
            </w:rPr>
            <w:fldChar w:fldCharType="begin"/>
          </w:r>
          <w:r>
            <w:rPr>
              <w:rFonts w:asciiTheme="majorBidi" w:hAnsiTheme="majorBidi" w:cstheme="majorBidi"/>
              <w:sz w:val="24"/>
              <w:szCs w:val="24"/>
            </w:rPr>
            <w:instrText xml:space="preserve"> CITATION Daf15 \l 2057 </w:instrText>
          </w:r>
          <w:r>
            <w:rPr>
              <w:rFonts w:asciiTheme="majorBidi" w:hAnsiTheme="majorBidi" w:cstheme="majorBidi"/>
              <w:sz w:val="24"/>
              <w:szCs w:val="24"/>
            </w:rPr>
            <w:fldChar w:fldCharType="separate"/>
          </w:r>
          <w:r>
            <w:rPr>
              <w:rFonts w:asciiTheme="majorBidi" w:hAnsiTheme="majorBidi" w:cstheme="majorBidi"/>
              <w:noProof/>
              <w:sz w:val="24"/>
              <w:szCs w:val="24"/>
            </w:rPr>
            <w:t xml:space="preserve"> </w:t>
          </w:r>
          <w:r w:rsidRPr="008F7B23">
            <w:rPr>
              <w:rFonts w:asciiTheme="majorBidi" w:hAnsiTheme="majorBidi" w:cstheme="majorBidi"/>
              <w:noProof/>
              <w:sz w:val="24"/>
              <w:szCs w:val="24"/>
            </w:rPr>
            <w:t>(Dafoe, Zhang, &amp; Caughey, 2015)</w:t>
          </w:r>
          <w:r>
            <w:rPr>
              <w:rFonts w:asciiTheme="majorBidi" w:hAnsiTheme="majorBidi" w:cstheme="majorBidi"/>
              <w:sz w:val="24"/>
              <w:szCs w:val="24"/>
            </w:rPr>
            <w:fldChar w:fldCharType="end"/>
          </w:r>
        </w:sdtContent>
      </w:sdt>
      <w:r w:rsidRPr="00A41F9F">
        <w:rPr>
          <w:rFonts w:asciiTheme="majorBidi" w:hAnsiTheme="majorBidi" w:cstheme="majorBidi"/>
          <w:sz w:val="24"/>
          <w:szCs w:val="24"/>
        </w:rPr>
        <w:t xml:space="preserve">. </w:t>
      </w:r>
      <w:bookmarkEnd w:id="253"/>
      <w:r w:rsidRPr="00A41F9F">
        <w:rPr>
          <w:rFonts w:asciiTheme="majorBidi" w:hAnsiTheme="majorBidi" w:cstheme="majorBidi"/>
          <w:sz w:val="24"/>
          <w:szCs w:val="24"/>
        </w:rPr>
        <w:t xml:space="preserve">In this study, </w:t>
      </w:r>
      <w:bookmarkStart w:id="254" w:name="_Hlk150720930"/>
      <w:r w:rsidRPr="00A41F9F">
        <w:rPr>
          <w:rFonts w:asciiTheme="majorBidi" w:hAnsiTheme="majorBidi" w:cstheme="majorBidi"/>
          <w:sz w:val="24"/>
          <w:szCs w:val="24"/>
        </w:rPr>
        <w:t>some</w:t>
      </w:r>
      <w:r>
        <w:rPr>
          <w:rFonts w:asciiTheme="majorBidi" w:hAnsiTheme="majorBidi" w:cstheme="majorBidi"/>
          <w:sz w:val="24"/>
          <w:szCs w:val="24"/>
        </w:rPr>
        <w:t xml:space="preserve"> of the</w:t>
      </w:r>
      <w:r w:rsidRPr="00A41F9F">
        <w:rPr>
          <w:rFonts w:asciiTheme="majorBidi" w:hAnsiTheme="majorBidi" w:cstheme="majorBidi"/>
          <w:sz w:val="24"/>
          <w:szCs w:val="24"/>
        </w:rPr>
        <w:t xml:space="preserve"> </w:t>
      </w:r>
      <w:r w:rsidRPr="00D76461">
        <w:rPr>
          <w:rFonts w:asciiTheme="majorBidi" w:hAnsiTheme="majorBidi" w:cstheme="majorBidi"/>
          <w:sz w:val="24"/>
          <w:szCs w:val="24"/>
        </w:rPr>
        <w:t>confounding variables that c</w:t>
      </w:r>
      <w:r w:rsidR="00840259" w:rsidRPr="00D76461">
        <w:rPr>
          <w:rFonts w:asciiTheme="majorBidi" w:hAnsiTheme="majorBidi" w:cstheme="majorBidi"/>
          <w:sz w:val="24"/>
          <w:szCs w:val="24"/>
        </w:rPr>
        <w:t>o</w:t>
      </w:r>
      <w:r w:rsidRPr="00D76461">
        <w:rPr>
          <w:rFonts w:asciiTheme="majorBidi" w:hAnsiTheme="majorBidi" w:cstheme="majorBidi"/>
          <w:sz w:val="24"/>
          <w:szCs w:val="24"/>
        </w:rPr>
        <w:t>uld affect</w:t>
      </w:r>
      <w:r w:rsidR="00840259" w:rsidRPr="00D76461">
        <w:rPr>
          <w:rFonts w:asciiTheme="majorBidi" w:hAnsiTheme="majorBidi" w:cstheme="majorBidi"/>
          <w:sz w:val="24"/>
          <w:szCs w:val="24"/>
        </w:rPr>
        <w:t xml:space="preserve"> the relationship</w:t>
      </w:r>
      <w:r w:rsidRPr="00D76461">
        <w:rPr>
          <w:rFonts w:asciiTheme="majorBidi" w:hAnsiTheme="majorBidi" w:cstheme="majorBidi"/>
          <w:sz w:val="24"/>
          <w:szCs w:val="24"/>
        </w:rPr>
        <w:t xml:space="preserve"> </w:t>
      </w:r>
      <w:r w:rsidR="00840259" w:rsidRPr="00D76461">
        <w:rPr>
          <w:rFonts w:asciiTheme="majorBidi" w:hAnsiTheme="majorBidi" w:cstheme="majorBidi"/>
          <w:sz w:val="24"/>
          <w:szCs w:val="24"/>
        </w:rPr>
        <w:t xml:space="preserve">on the </w:t>
      </w:r>
      <w:r w:rsidRPr="00D76461">
        <w:rPr>
          <w:rFonts w:asciiTheme="majorBidi" w:hAnsiTheme="majorBidi" w:cstheme="majorBidi"/>
          <w:sz w:val="24"/>
          <w:szCs w:val="24"/>
        </w:rPr>
        <w:t>dependent variable</w:t>
      </w:r>
      <w:r w:rsidR="00840259" w:rsidRPr="00D76461">
        <w:rPr>
          <w:rFonts w:asciiTheme="majorBidi" w:hAnsiTheme="majorBidi" w:cstheme="majorBidi"/>
          <w:sz w:val="24"/>
          <w:szCs w:val="24"/>
        </w:rPr>
        <w:t xml:space="preserve"> which was </w:t>
      </w:r>
      <w:r w:rsidRPr="00D76461">
        <w:rPr>
          <w:rFonts w:asciiTheme="majorBidi" w:hAnsiTheme="majorBidi" w:cstheme="majorBidi"/>
          <w:sz w:val="24"/>
          <w:szCs w:val="24"/>
        </w:rPr>
        <w:t>purchase intention would be prior consumer perception of the brand, price perception, p</w:t>
      </w:r>
      <w:r w:rsidRPr="00A41F9F">
        <w:rPr>
          <w:rFonts w:asciiTheme="majorBidi" w:hAnsiTheme="majorBidi" w:cstheme="majorBidi"/>
          <w:sz w:val="24"/>
          <w:szCs w:val="24"/>
        </w:rPr>
        <w:t>roduct features and functions, and possibly the level of the respondent’s education.</w:t>
      </w:r>
      <w:bookmarkEnd w:id="254"/>
      <w:r w:rsidRPr="00A41F9F">
        <w:rPr>
          <w:rFonts w:asciiTheme="majorBidi" w:hAnsiTheme="majorBidi" w:cstheme="majorBidi"/>
          <w:sz w:val="24"/>
          <w:szCs w:val="24"/>
        </w:rPr>
        <w:t xml:space="preserve"> Even though these co</w:t>
      </w:r>
      <w:r>
        <w:rPr>
          <w:rFonts w:asciiTheme="majorBidi" w:hAnsiTheme="majorBidi" w:cstheme="majorBidi"/>
          <w:sz w:val="24"/>
          <w:szCs w:val="24"/>
        </w:rPr>
        <w:t>n</w:t>
      </w:r>
      <w:r w:rsidRPr="00A41F9F">
        <w:rPr>
          <w:rFonts w:asciiTheme="majorBidi" w:hAnsiTheme="majorBidi" w:cstheme="majorBidi"/>
          <w:sz w:val="24"/>
          <w:szCs w:val="24"/>
        </w:rPr>
        <w:t>founding variables may interfere with the study affecting the dependent variables, I appl</w:t>
      </w:r>
      <w:r>
        <w:rPr>
          <w:rFonts w:asciiTheme="majorBidi" w:hAnsiTheme="majorBidi" w:cstheme="majorBidi"/>
          <w:sz w:val="24"/>
          <w:szCs w:val="24"/>
        </w:rPr>
        <w:t xml:space="preserve">ied some </w:t>
      </w:r>
      <w:r w:rsidRPr="00A41F9F">
        <w:rPr>
          <w:rFonts w:asciiTheme="majorBidi" w:hAnsiTheme="majorBidi" w:cstheme="majorBidi"/>
          <w:sz w:val="24"/>
          <w:szCs w:val="24"/>
        </w:rPr>
        <w:t>measures to minimi</w:t>
      </w:r>
      <w:r w:rsidR="00D76461">
        <w:rPr>
          <w:rFonts w:asciiTheme="majorBidi" w:hAnsiTheme="majorBidi" w:cstheme="majorBidi"/>
          <w:sz w:val="24"/>
          <w:szCs w:val="24"/>
        </w:rPr>
        <w:t>s</w:t>
      </w:r>
      <w:r w:rsidRPr="00A41F9F">
        <w:rPr>
          <w:rFonts w:asciiTheme="majorBidi" w:hAnsiTheme="majorBidi" w:cstheme="majorBidi"/>
          <w:sz w:val="24"/>
          <w:szCs w:val="24"/>
        </w:rPr>
        <w:t>e the effects of co</w:t>
      </w:r>
      <w:r>
        <w:rPr>
          <w:rFonts w:asciiTheme="majorBidi" w:hAnsiTheme="majorBidi" w:cstheme="majorBidi"/>
          <w:sz w:val="24"/>
          <w:szCs w:val="24"/>
        </w:rPr>
        <w:t>n</w:t>
      </w:r>
      <w:r w:rsidRPr="00A41F9F">
        <w:rPr>
          <w:rFonts w:asciiTheme="majorBidi" w:hAnsiTheme="majorBidi" w:cstheme="majorBidi"/>
          <w:sz w:val="24"/>
          <w:szCs w:val="24"/>
        </w:rPr>
        <w:t xml:space="preserve">founding variables and increase internal validity. </w:t>
      </w:r>
      <w:bookmarkStart w:id="255" w:name="_Hlk150720961"/>
      <w:r>
        <w:rPr>
          <w:rFonts w:asciiTheme="majorBidi" w:hAnsiTheme="majorBidi" w:cstheme="majorBidi"/>
          <w:sz w:val="24"/>
          <w:szCs w:val="24"/>
        </w:rPr>
        <w:t xml:space="preserve">To </w:t>
      </w:r>
      <w:r w:rsidRPr="00A41F9F">
        <w:rPr>
          <w:rFonts w:asciiTheme="majorBidi" w:hAnsiTheme="majorBidi" w:cstheme="majorBidi"/>
          <w:sz w:val="24"/>
          <w:szCs w:val="24"/>
        </w:rPr>
        <w:t>statistical</w:t>
      </w:r>
      <w:r>
        <w:rPr>
          <w:rFonts w:asciiTheme="majorBidi" w:hAnsiTheme="majorBidi" w:cstheme="majorBidi"/>
          <w:sz w:val="24"/>
          <w:szCs w:val="24"/>
        </w:rPr>
        <w:t>ly</w:t>
      </w:r>
      <w:r w:rsidRPr="00A41F9F">
        <w:rPr>
          <w:rFonts w:asciiTheme="majorBidi" w:hAnsiTheme="majorBidi" w:cstheme="majorBidi"/>
          <w:sz w:val="24"/>
          <w:szCs w:val="24"/>
        </w:rPr>
        <w:t xml:space="preserve"> control </w:t>
      </w:r>
      <w:r>
        <w:rPr>
          <w:rFonts w:asciiTheme="majorBidi" w:hAnsiTheme="majorBidi" w:cstheme="majorBidi"/>
          <w:sz w:val="24"/>
          <w:szCs w:val="24"/>
        </w:rPr>
        <w:t xml:space="preserve">the </w:t>
      </w:r>
      <w:r w:rsidRPr="00A41F9F">
        <w:rPr>
          <w:rFonts w:asciiTheme="majorBidi" w:hAnsiTheme="majorBidi" w:cstheme="majorBidi"/>
          <w:sz w:val="24"/>
          <w:szCs w:val="24"/>
        </w:rPr>
        <w:t>measures</w:t>
      </w:r>
      <w:r>
        <w:rPr>
          <w:rFonts w:asciiTheme="majorBidi" w:hAnsiTheme="majorBidi" w:cstheme="majorBidi"/>
          <w:sz w:val="24"/>
          <w:szCs w:val="24"/>
        </w:rPr>
        <w:t>,</w:t>
      </w:r>
      <w:r w:rsidRPr="00A41F9F">
        <w:rPr>
          <w:rFonts w:asciiTheme="majorBidi" w:hAnsiTheme="majorBidi" w:cstheme="majorBidi"/>
          <w:sz w:val="24"/>
          <w:szCs w:val="24"/>
        </w:rPr>
        <w:t xml:space="preserve"> </w:t>
      </w:r>
      <w:r>
        <w:rPr>
          <w:rFonts w:asciiTheme="majorBidi" w:hAnsiTheme="majorBidi" w:cstheme="majorBidi"/>
          <w:sz w:val="24"/>
          <w:szCs w:val="24"/>
        </w:rPr>
        <w:t>some of these</w:t>
      </w:r>
      <w:r w:rsidRPr="00A41F9F">
        <w:rPr>
          <w:rFonts w:asciiTheme="majorBidi" w:hAnsiTheme="majorBidi" w:cstheme="majorBidi"/>
          <w:sz w:val="24"/>
          <w:szCs w:val="24"/>
        </w:rPr>
        <w:t xml:space="preserve"> potential co</w:t>
      </w:r>
      <w:r>
        <w:rPr>
          <w:rFonts w:asciiTheme="majorBidi" w:hAnsiTheme="majorBidi" w:cstheme="majorBidi"/>
          <w:sz w:val="24"/>
          <w:szCs w:val="24"/>
        </w:rPr>
        <w:t>n</w:t>
      </w:r>
      <w:r w:rsidRPr="00A41F9F">
        <w:rPr>
          <w:rFonts w:asciiTheme="majorBidi" w:hAnsiTheme="majorBidi" w:cstheme="majorBidi"/>
          <w:sz w:val="24"/>
          <w:szCs w:val="24"/>
        </w:rPr>
        <w:t xml:space="preserve">founding variables mentioned above </w:t>
      </w:r>
      <w:r>
        <w:rPr>
          <w:rFonts w:asciiTheme="majorBidi" w:hAnsiTheme="majorBidi" w:cstheme="majorBidi"/>
          <w:sz w:val="24"/>
          <w:szCs w:val="24"/>
        </w:rPr>
        <w:t>were</w:t>
      </w:r>
      <w:r w:rsidRPr="00A41F9F">
        <w:rPr>
          <w:rFonts w:asciiTheme="majorBidi" w:hAnsiTheme="majorBidi" w:cstheme="majorBidi"/>
          <w:sz w:val="24"/>
          <w:szCs w:val="24"/>
        </w:rPr>
        <w:t xml:space="preserve"> added as control variables to control their impact. </w:t>
      </w:r>
      <w:bookmarkEnd w:id="255"/>
      <w:r w:rsidRPr="0048027F">
        <w:rPr>
          <w:rFonts w:asciiTheme="majorBidi" w:hAnsiTheme="majorBidi" w:cstheme="majorBidi"/>
          <w:sz w:val="24"/>
          <w:szCs w:val="24"/>
        </w:rPr>
        <w:t xml:space="preserve">Accordingly, the effect of these potential confounding variables on the dependent variables showed up in the results allowing me to </w:t>
      </w:r>
      <w:r w:rsidRPr="00421F33">
        <w:rPr>
          <w:rFonts w:asciiTheme="majorBidi" w:hAnsiTheme="majorBidi" w:cstheme="majorBidi"/>
          <w:sz w:val="24"/>
          <w:szCs w:val="24"/>
        </w:rPr>
        <w:t>separate their impact from the impact of the examined independent variables.</w:t>
      </w:r>
      <w:r w:rsidRPr="00A41F9F">
        <w:rPr>
          <w:rFonts w:asciiTheme="majorBidi" w:hAnsiTheme="majorBidi" w:cstheme="majorBidi"/>
          <w:sz w:val="24"/>
          <w:szCs w:val="24"/>
        </w:rPr>
        <w:t xml:space="preserve"> Questions </w:t>
      </w:r>
      <w:r>
        <w:rPr>
          <w:rFonts w:asciiTheme="majorBidi" w:hAnsiTheme="majorBidi" w:cstheme="majorBidi"/>
          <w:sz w:val="24"/>
          <w:szCs w:val="24"/>
        </w:rPr>
        <w:t xml:space="preserve">that were added to </w:t>
      </w:r>
      <w:r w:rsidRPr="00A41F9F">
        <w:rPr>
          <w:rFonts w:asciiTheme="majorBidi" w:hAnsiTheme="majorBidi" w:cstheme="majorBidi"/>
          <w:sz w:val="24"/>
          <w:szCs w:val="24"/>
        </w:rPr>
        <w:t>control</w:t>
      </w:r>
      <w:r>
        <w:rPr>
          <w:rFonts w:asciiTheme="majorBidi" w:hAnsiTheme="majorBidi" w:cstheme="majorBidi"/>
          <w:sz w:val="24"/>
          <w:szCs w:val="24"/>
        </w:rPr>
        <w:t xml:space="preserve"> the data</w:t>
      </w:r>
      <w:r w:rsidRPr="00A41F9F">
        <w:rPr>
          <w:rFonts w:asciiTheme="majorBidi" w:hAnsiTheme="majorBidi" w:cstheme="majorBidi"/>
          <w:sz w:val="24"/>
          <w:szCs w:val="24"/>
        </w:rPr>
        <w:t xml:space="preserve"> post collection</w:t>
      </w:r>
      <w:r>
        <w:rPr>
          <w:rFonts w:asciiTheme="majorBidi" w:hAnsiTheme="majorBidi" w:cstheme="majorBidi"/>
          <w:sz w:val="24"/>
          <w:szCs w:val="24"/>
        </w:rPr>
        <w:t>, were about the respondents</w:t>
      </w:r>
      <w:r w:rsidR="00840259">
        <w:rPr>
          <w:rFonts w:asciiTheme="majorBidi" w:hAnsiTheme="majorBidi" w:cstheme="majorBidi"/>
          <w:sz w:val="24"/>
          <w:szCs w:val="24"/>
        </w:rPr>
        <w:t>’ demographics</w:t>
      </w:r>
      <w:r>
        <w:rPr>
          <w:rFonts w:asciiTheme="majorBidi" w:hAnsiTheme="majorBidi" w:cstheme="majorBidi"/>
          <w:sz w:val="24"/>
          <w:szCs w:val="24"/>
        </w:rPr>
        <w:t>, their preferred brand, and the things they consider when they purchase a home disinfectant product.</w:t>
      </w:r>
      <w:r w:rsidRPr="00A41F9F">
        <w:rPr>
          <w:rFonts w:asciiTheme="majorBidi" w:hAnsiTheme="majorBidi" w:cstheme="majorBidi"/>
          <w:sz w:val="24"/>
          <w:szCs w:val="24"/>
        </w:rPr>
        <w:t xml:space="preserve"> Still, even while minimi</w:t>
      </w:r>
      <w:r w:rsidR="00840259">
        <w:rPr>
          <w:rFonts w:asciiTheme="majorBidi" w:hAnsiTheme="majorBidi" w:cstheme="majorBidi"/>
          <w:sz w:val="24"/>
          <w:szCs w:val="24"/>
        </w:rPr>
        <w:t>s</w:t>
      </w:r>
      <w:r w:rsidRPr="00A41F9F">
        <w:rPr>
          <w:rFonts w:asciiTheme="majorBidi" w:hAnsiTheme="majorBidi" w:cstheme="majorBidi"/>
          <w:sz w:val="24"/>
          <w:szCs w:val="24"/>
        </w:rPr>
        <w:t xml:space="preserve">ing the impact of </w:t>
      </w:r>
      <w:r>
        <w:rPr>
          <w:rFonts w:asciiTheme="majorBidi" w:hAnsiTheme="majorBidi" w:cstheme="majorBidi"/>
          <w:sz w:val="24"/>
          <w:szCs w:val="24"/>
        </w:rPr>
        <w:t xml:space="preserve">the </w:t>
      </w:r>
      <w:r w:rsidRPr="00A41F9F">
        <w:rPr>
          <w:rFonts w:asciiTheme="majorBidi" w:hAnsiTheme="majorBidi" w:cstheme="majorBidi"/>
          <w:sz w:val="24"/>
          <w:szCs w:val="24"/>
        </w:rPr>
        <w:t>major co</w:t>
      </w:r>
      <w:r>
        <w:rPr>
          <w:rFonts w:asciiTheme="majorBidi" w:hAnsiTheme="majorBidi" w:cstheme="majorBidi"/>
          <w:sz w:val="24"/>
          <w:szCs w:val="24"/>
        </w:rPr>
        <w:t>n</w:t>
      </w:r>
      <w:r w:rsidRPr="00A41F9F">
        <w:rPr>
          <w:rFonts w:asciiTheme="majorBidi" w:hAnsiTheme="majorBidi" w:cstheme="majorBidi"/>
          <w:sz w:val="24"/>
          <w:szCs w:val="24"/>
        </w:rPr>
        <w:t xml:space="preserve">founding variables, there </w:t>
      </w:r>
      <w:r>
        <w:rPr>
          <w:rFonts w:asciiTheme="majorBidi" w:hAnsiTheme="majorBidi" w:cstheme="majorBidi"/>
          <w:sz w:val="24"/>
          <w:szCs w:val="24"/>
        </w:rPr>
        <w:t xml:space="preserve">are </w:t>
      </w:r>
      <w:r w:rsidRPr="00A41F9F">
        <w:rPr>
          <w:rFonts w:asciiTheme="majorBidi" w:hAnsiTheme="majorBidi" w:cstheme="majorBidi"/>
          <w:sz w:val="24"/>
          <w:szCs w:val="24"/>
        </w:rPr>
        <w:t xml:space="preserve">still </w:t>
      </w:r>
      <w:r>
        <w:rPr>
          <w:rFonts w:asciiTheme="majorBidi" w:hAnsiTheme="majorBidi" w:cstheme="majorBidi"/>
          <w:sz w:val="24"/>
          <w:szCs w:val="24"/>
        </w:rPr>
        <w:t>other</w:t>
      </w:r>
      <w:r w:rsidRPr="00A41F9F">
        <w:rPr>
          <w:rFonts w:asciiTheme="majorBidi" w:hAnsiTheme="majorBidi" w:cstheme="majorBidi"/>
          <w:sz w:val="24"/>
          <w:szCs w:val="24"/>
        </w:rPr>
        <w:t xml:space="preserve"> minor unpredictable co</w:t>
      </w:r>
      <w:r>
        <w:rPr>
          <w:rFonts w:asciiTheme="majorBidi" w:hAnsiTheme="majorBidi" w:cstheme="majorBidi"/>
          <w:sz w:val="24"/>
          <w:szCs w:val="24"/>
        </w:rPr>
        <w:t>n</w:t>
      </w:r>
      <w:r w:rsidRPr="00A41F9F">
        <w:rPr>
          <w:rFonts w:asciiTheme="majorBidi" w:hAnsiTheme="majorBidi" w:cstheme="majorBidi"/>
          <w:sz w:val="24"/>
          <w:szCs w:val="24"/>
        </w:rPr>
        <w:t>founding variables that might affect the results</w:t>
      </w:r>
      <w:r>
        <w:rPr>
          <w:rFonts w:asciiTheme="majorBidi" w:hAnsiTheme="majorBidi" w:cstheme="majorBidi"/>
          <w:sz w:val="24"/>
          <w:szCs w:val="24"/>
        </w:rPr>
        <w:t xml:space="preserve"> such as their personal attitudes</w:t>
      </w:r>
      <w:r w:rsidR="00840259">
        <w:rPr>
          <w:rFonts w:asciiTheme="majorBidi" w:hAnsiTheme="majorBidi" w:cstheme="majorBidi"/>
          <w:sz w:val="24"/>
          <w:szCs w:val="24"/>
        </w:rPr>
        <w:t xml:space="preserve"> </w:t>
      </w:r>
      <w:r>
        <w:rPr>
          <w:rFonts w:asciiTheme="majorBidi" w:hAnsiTheme="majorBidi" w:cstheme="majorBidi"/>
          <w:sz w:val="24"/>
          <w:szCs w:val="24"/>
        </w:rPr>
        <w:t>and past experiences with the brand.</w:t>
      </w:r>
    </w:p>
    <w:p w14:paraId="33C3B739" w14:textId="77777777" w:rsidR="00E42549" w:rsidRDefault="00E42549" w:rsidP="00840259">
      <w:pPr>
        <w:spacing w:after="0" w:line="480" w:lineRule="auto"/>
        <w:ind w:firstLine="720"/>
        <w:rPr>
          <w:rFonts w:asciiTheme="majorBidi" w:hAnsiTheme="majorBidi" w:cstheme="majorBidi"/>
          <w:sz w:val="24"/>
          <w:szCs w:val="24"/>
        </w:rPr>
      </w:pPr>
      <w:bookmarkStart w:id="256" w:name="_Hlk150885235"/>
      <w:r w:rsidRPr="00A41F9F">
        <w:rPr>
          <w:rFonts w:asciiTheme="majorBidi" w:hAnsiTheme="majorBidi" w:cstheme="majorBidi"/>
          <w:sz w:val="24"/>
          <w:szCs w:val="24"/>
        </w:rPr>
        <w:t>Another possible limitation of survey experiment</w:t>
      </w:r>
      <w:r>
        <w:rPr>
          <w:rFonts w:asciiTheme="majorBidi" w:hAnsiTheme="majorBidi" w:cstheme="majorBidi"/>
          <w:sz w:val="24"/>
          <w:szCs w:val="24"/>
        </w:rPr>
        <w:t>s in general</w:t>
      </w:r>
      <w:r w:rsidRPr="00A41F9F">
        <w:rPr>
          <w:rFonts w:asciiTheme="majorBidi" w:hAnsiTheme="majorBidi" w:cstheme="majorBidi"/>
          <w:sz w:val="24"/>
          <w:szCs w:val="24"/>
        </w:rPr>
        <w:t xml:space="preserve"> is the </w:t>
      </w:r>
      <w:r w:rsidRPr="00421F33">
        <w:rPr>
          <w:rFonts w:asciiTheme="majorBidi" w:hAnsiTheme="majorBidi" w:cstheme="majorBidi"/>
          <w:sz w:val="24"/>
          <w:szCs w:val="24"/>
        </w:rPr>
        <w:t>lack of depth</w:t>
      </w:r>
      <w:bookmarkEnd w:id="256"/>
      <w:r w:rsidRPr="00A41F9F">
        <w:rPr>
          <w:rFonts w:asciiTheme="majorBidi" w:hAnsiTheme="majorBidi" w:cstheme="majorBidi"/>
          <w:sz w:val="24"/>
          <w:szCs w:val="24"/>
        </w:rPr>
        <w:t xml:space="preserve">. As we might get as statistically </w:t>
      </w:r>
      <w:r>
        <w:rPr>
          <w:rFonts w:asciiTheme="majorBidi" w:hAnsiTheme="majorBidi" w:cstheme="majorBidi"/>
          <w:sz w:val="24"/>
          <w:szCs w:val="24"/>
        </w:rPr>
        <w:t>close to reality</w:t>
      </w:r>
      <w:r w:rsidRPr="00A41F9F">
        <w:rPr>
          <w:rFonts w:asciiTheme="majorBidi" w:hAnsiTheme="majorBidi" w:cstheme="majorBidi"/>
          <w:sz w:val="24"/>
          <w:szCs w:val="24"/>
        </w:rPr>
        <w:t xml:space="preserve"> results as possible, the results of survey experiments lack depth on consumers insights addressing “why” the respondents provided these answers on a set of preselected questions. In order to </w:t>
      </w:r>
      <w:r>
        <w:rPr>
          <w:rFonts w:asciiTheme="majorBidi" w:hAnsiTheme="majorBidi" w:cstheme="majorBidi"/>
          <w:sz w:val="24"/>
          <w:szCs w:val="24"/>
        </w:rPr>
        <w:t>mitigate</w:t>
      </w:r>
      <w:r w:rsidRPr="00A41F9F">
        <w:rPr>
          <w:rFonts w:asciiTheme="majorBidi" w:hAnsiTheme="majorBidi" w:cstheme="majorBidi"/>
          <w:sz w:val="24"/>
          <w:szCs w:val="24"/>
        </w:rPr>
        <w:t xml:space="preserve"> this weakness, I</w:t>
      </w:r>
      <w:r>
        <w:rPr>
          <w:rFonts w:asciiTheme="majorBidi" w:hAnsiTheme="majorBidi" w:cstheme="majorBidi"/>
          <w:sz w:val="24"/>
          <w:szCs w:val="24"/>
        </w:rPr>
        <w:t xml:space="preserve"> conducted another </w:t>
      </w:r>
      <w:r w:rsidRPr="00A41F9F">
        <w:rPr>
          <w:rFonts w:asciiTheme="majorBidi" w:hAnsiTheme="majorBidi" w:cstheme="majorBidi"/>
          <w:sz w:val="24"/>
          <w:szCs w:val="24"/>
        </w:rPr>
        <w:t xml:space="preserve">qualitative research </w:t>
      </w:r>
      <w:r>
        <w:rPr>
          <w:rFonts w:asciiTheme="majorBidi" w:hAnsiTheme="majorBidi" w:cstheme="majorBidi"/>
          <w:sz w:val="24"/>
          <w:szCs w:val="24"/>
        </w:rPr>
        <w:t>study addressing the same research questions</w:t>
      </w:r>
      <w:r w:rsidRPr="00A41F9F">
        <w:rPr>
          <w:rFonts w:asciiTheme="majorBidi" w:hAnsiTheme="majorBidi" w:cstheme="majorBidi"/>
          <w:sz w:val="24"/>
          <w:szCs w:val="24"/>
        </w:rPr>
        <w:t>. Employing the grounded theory approach on a smaller subset of the respondents, qualitative methods provide</w:t>
      </w:r>
      <w:r>
        <w:rPr>
          <w:rFonts w:asciiTheme="majorBidi" w:hAnsiTheme="majorBidi" w:cstheme="majorBidi"/>
          <w:sz w:val="24"/>
          <w:szCs w:val="24"/>
        </w:rPr>
        <w:t>d</w:t>
      </w:r>
      <w:r w:rsidRPr="00A41F9F">
        <w:rPr>
          <w:rFonts w:asciiTheme="majorBidi" w:hAnsiTheme="majorBidi" w:cstheme="majorBidi"/>
          <w:sz w:val="24"/>
          <w:szCs w:val="24"/>
        </w:rPr>
        <w:t xml:space="preserve"> deeper insights </w:t>
      </w:r>
      <w:r>
        <w:rPr>
          <w:rFonts w:asciiTheme="majorBidi" w:hAnsiTheme="majorBidi" w:cstheme="majorBidi"/>
          <w:sz w:val="24"/>
          <w:szCs w:val="24"/>
        </w:rPr>
        <w:t>that</w:t>
      </w:r>
      <w:r w:rsidRPr="00A41F9F">
        <w:rPr>
          <w:rFonts w:asciiTheme="majorBidi" w:hAnsiTheme="majorBidi" w:cstheme="majorBidi"/>
          <w:sz w:val="24"/>
          <w:szCs w:val="24"/>
        </w:rPr>
        <w:t xml:space="preserve"> </w:t>
      </w:r>
      <w:r>
        <w:rPr>
          <w:rFonts w:asciiTheme="majorBidi" w:hAnsiTheme="majorBidi" w:cstheme="majorBidi"/>
          <w:sz w:val="24"/>
          <w:szCs w:val="24"/>
        </w:rPr>
        <w:t>exposed</w:t>
      </w:r>
      <w:r w:rsidRPr="00A41F9F">
        <w:rPr>
          <w:rFonts w:asciiTheme="majorBidi" w:hAnsiTheme="majorBidi" w:cstheme="majorBidi"/>
          <w:sz w:val="24"/>
          <w:szCs w:val="24"/>
        </w:rPr>
        <w:t xml:space="preserve"> common themes pertaining to respondents</w:t>
      </w:r>
      <w:r>
        <w:rPr>
          <w:rFonts w:asciiTheme="majorBidi" w:hAnsiTheme="majorBidi" w:cstheme="majorBidi"/>
          <w:sz w:val="24"/>
          <w:szCs w:val="24"/>
        </w:rPr>
        <w:t>’</w:t>
      </w:r>
      <w:r w:rsidRPr="00A41F9F">
        <w:rPr>
          <w:rFonts w:asciiTheme="majorBidi" w:hAnsiTheme="majorBidi" w:cstheme="majorBidi"/>
          <w:sz w:val="24"/>
          <w:szCs w:val="24"/>
        </w:rPr>
        <w:t xml:space="preserve"> perceived effects of CSR communication. </w:t>
      </w:r>
    </w:p>
    <w:p w14:paraId="7658C82A" w14:textId="541675CA" w:rsidR="00E42549" w:rsidRDefault="00E42549" w:rsidP="00840259">
      <w:pPr>
        <w:spacing w:after="0" w:line="480" w:lineRule="auto"/>
        <w:ind w:firstLine="720"/>
        <w:rPr>
          <w:rFonts w:asciiTheme="majorBidi" w:hAnsiTheme="majorBidi" w:cstheme="majorBidi"/>
          <w:sz w:val="24"/>
          <w:szCs w:val="24"/>
        </w:rPr>
      </w:pPr>
      <w:r>
        <w:rPr>
          <w:rFonts w:asciiTheme="majorBidi" w:hAnsiTheme="majorBidi" w:cstheme="majorBidi"/>
          <w:sz w:val="24"/>
          <w:szCs w:val="24"/>
        </w:rPr>
        <w:t>The purpose of this study has been clearly identified at the beginning of this thesis</w:t>
      </w:r>
      <w:r w:rsidRPr="00A41F9F">
        <w:rPr>
          <w:rFonts w:asciiTheme="majorBidi" w:hAnsiTheme="majorBidi" w:cstheme="majorBidi"/>
          <w:sz w:val="24"/>
          <w:szCs w:val="24"/>
        </w:rPr>
        <w:t xml:space="preserve">. </w:t>
      </w:r>
      <w:r w:rsidR="0040301C">
        <w:rPr>
          <w:rFonts w:asciiTheme="majorBidi" w:hAnsiTheme="majorBidi" w:cstheme="majorBidi"/>
          <w:sz w:val="24"/>
          <w:szCs w:val="24"/>
        </w:rPr>
        <w:t>T</w:t>
      </w:r>
      <w:r w:rsidRPr="00A41F9F">
        <w:rPr>
          <w:rFonts w:asciiTheme="majorBidi" w:hAnsiTheme="majorBidi" w:cstheme="majorBidi"/>
          <w:sz w:val="24"/>
          <w:szCs w:val="24"/>
        </w:rPr>
        <w:t xml:space="preserve">his study </w:t>
      </w:r>
      <w:r w:rsidR="0040301C">
        <w:rPr>
          <w:rFonts w:asciiTheme="majorBidi" w:hAnsiTheme="majorBidi" w:cstheme="majorBidi"/>
          <w:sz w:val="24"/>
          <w:szCs w:val="24"/>
        </w:rPr>
        <w:t>significantly contributes to literature by examining</w:t>
      </w:r>
      <w:r w:rsidRPr="00A41F9F">
        <w:rPr>
          <w:rFonts w:asciiTheme="majorBidi" w:hAnsiTheme="majorBidi" w:cstheme="majorBidi"/>
          <w:sz w:val="24"/>
          <w:szCs w:val="24"/>
        </w:rPr>
        <w:t xml:space="preserve"> the </w:t>
      </w:r>
      <w:r>
        <w:rPr>
          <w:rFonts w:asciiTheme="majorBidi" w:hAnsiTheme="majorBidi" w:cstheme="majorBidi"/>
          <w:sz w:val="24"/>
          <w:szCs w:val="24"/>
        </w:rPr>
        <w:t>effectiveness</w:t>
      </w:r>
      <w:r w:rsidRPr="00A41F9F">
        <w:rPr>
          <w:rFonts w:asciiTheme="majorBidi" w:hAnsiTheme="majorBidi" w:cstheme="majorBidi"/>
          <w:sz w:val="24"/>
          <w:szCs w:val="24"/>
        </w:rPr>
        <w:t xml:space="preserve"> of CSR communication</w:t>
      </w:r>
      <w:r w:rsidR="0040301C">
        <w:rPr>
          <w:rFonts w:asciiTheme="majorBidi" w:hAnsiTheme="majorBidi" w:cstheme="majorBidi"/>
          <w:sz w:val="24"/>
          <w:szCs w:val="24"/>
        </w:rPr>
        <w:t xml:space="preserve"> in a country in the Middle East as CSR was largely understudied in the Middle East. Thus, it was essential that t</w:t>
      </w:r>
      <w:r w:rsidRPr="00A41F9F">
        <w:rPr>
          <w:rFonts w:asciiTheme="majorBidi" w:hAnsiTheme="majorBidi" w:cstheme="majorBidi"/>
          <w:sz w:val="24"/>
          <w:szCs w:val="24"/>
        </w:rPr>
        <w:t>he study</w:t>
      </w:r>
      <w:r w:rsidR="0040301C">
        <w:rPr>
          <w:rFonts w:asciiTheme="majorBidi" w:hAnsiTheme="majorBidi" w:cstheme="majorBidi"/>
          <w:sz w:val="24"/>
          <w:szCs w:val="24"/>
        </w:rPr>
        <w:t xml:space="preserve"> examines if CSR communication has an impact and how does it compare to non-CSR communication.</w:t>
      </w:r>
      <w:r w:rsidRPr="00A41F9F">
        <w:rPr>
          <w:rFonts w:asciiTheme="majorBidi" w:hAnsiTheme="majorBidi" w:cstheme="majorBidi"/>
          <w:sz w:val="24"/>
          <w:szCs w:val="24"/>
        </w:rPr>
        <w:t xml:space="preserve"> </w:t>
      </w:r>
      <w:bookmarkStart w:id="257" w:name="_Hlk150721153"/>
      <w:r w:rsidR="0040301C">
        <w:rPr>
          <w:rFonts w:asciiTheme="majorBidi" w:hAnsiTheme="majorBidi" w:cstheme="majorBidi"/>
          <w:sz w:val="24"/>
          <w:szCs w:val="24"/>
        </w:rPr>
        <w:t xml:space="preserve">Yet, the study </w:t>
      </w:r>
      <w:r w:rsidRPr="00A41F9F">
        <w:rPr>
          <w:rFonts w:asciiTheme="majorBidi" w:hAnsiTheme="majorBidi" w:cstheme="majorBidi"/>
          <w:sz w:val="24"/>
          <w:szCs w:val="24"/>
        </w:rPr>
        <w:t xml:space="preserve">does not consider </w:t>
      </w:r>
      <w:r w:rsidRPr="00421F33">
        <w:rPr>
          <w:rFonts w:asciiTheme="majorBidi" w:hAnsiTheme="majorBidi" w:cstheme="majorBidi"/>
          <w:sz w:val="24"/>
          <w:szCs w:val="24"/>
        </w:rPr>
        <w:t>the average cost and the frequency of advertising both types of communication.</w:t>
      </w:r>
      <w:r w:rsidR="0040301C">
        <w:rPr>
          <w:rFonts w:asciiTheme="majorBidi" w:hAnsiTheme="majorBidi" w:cstheme="majorBidi"/>
          <w:sz w:val="24"/>
          <w:szCs w:val="24"/>
        </w:rPr>
        <w:t xml:space="preserve"> </w:t>
      </w:r>
      <w:bookmarkEnd w:id="257"/>
      <w:r w:rsidRPr="00A41F9F">
        <w:rPr>
          <w:rFonts w:asciiTheme="majorBidi" w:hAnsiTheme="majorBidi" w:cstheme="majorBidi"/>
          <w:sz w:val="24"/>
          <w:szCs w:val="24"/>
        </w:rPr>
        <w:t xml:space="preserve">Definitely, this </w:t>
      </w:r>
      <w:r>
        <w:rPr>
          <w:rFonts w:asciiTheme="majorBidi" w:hAnsiTheme="majorBidi" w:cstheme="majorBidi"/>
          <w:sz w:val="24"/>
          <w:szCs w:val="24"/>
        </w:rPr>
        <w:t xml:space="preserve">is </w:t>
      </w:r>
      <w:r w:rsidRPr="00A41F9F">
        <w:rPr>
          <w:rFonts w:asciiTheme="majorBidi" w:hAnsiTheme="majorBidi" w:cstheme="majorBidi"/>
          <w:sz w:val="24"/>
          <w:szCs w:val="24"/>
        </w:rPr>
        <w:t xml:space="preserve">essential information especially for managerial implications to be able to make a decision when comparing both communication </w:t>
      </w:r>
      <w:r>
        <w:rPr>
          <w:rFonts w:asciiTheme="majorBidi" w:hAnsiTheme="majorBidi" w:cstheme="majorBidi"/>
          <w:sz w:val="24"/>
          <w:szCs w:val="24"/>
        </w:rPr>
        <w:t>strategies</w:t>
      </w:r>
      <w:r w:rsidRPr="00A41F9F">
        <w:rPr>
          <w:rFonts w:asciiTheme="majorBidi" w:hAnsiTheme="majorBidi" w:cstheme="majorBidi"/>
          <w:sz w:val="24"/>
          <w:szCs w:val="24"/>
        </w:rPr>
        <w:t>. Yet, it is</w:t>
      </w:r>
      <w:r>
        <w:rPr>
          <w:rFonts w:asciiTheme="majorBidi" w:hAnsiTheme="majorBidi" w:cstheme="majorBidi"/>
          <w:sz w:val="24"/>
          <w:szCs w:val="24"/>
        </w:rPr>
        <w:t xml:space="preserve"> not considered a limitation as it is</w:t>
      </w:r>
      <w:r w:rsidRPr="00A41F9F">
        <w:rPr>
          <w:rFonts w:asciiTheme="majorBidi" w:hAnsiTheme="majorBidi" w:cstheme="majorBidi"/>
          <w:sz w:val="24"/>
          <w:szCs w:val="24"/>
        </w:rPr>
        <w:t xml:space="preserve"> beyond the scope of this research</w:t>
      </w:r>
      <w:r>
        <w:rPr>
          <w:rFonts w:asciiTheme="majorBidi" w:hAnsiTheme="majorBidi" w:cstheme="majorBidi"/>
          <w:sz w:val="24"/>
          <w:szCs w:val="24"/>
        </w:rPr>
        <w:t xml:space="preserve"> but, it presents ideas for </w:t>
      </w:r>
      <w:r w:rsidRPr="00A41F9F">
        <w:rPr>
          <w:rFonts w:asciiTheme="majorBidi" w:hAnsiTheme="majorBidi" w:cstheme="majorBidi"/>
          <w:sz w:val="24"/>
          <w:szCs w:val="24"/>
        </w:rPr>
        <w:t xml:space="preserve">future research </w:t>
      </w:r>
      <w:r>
        <w:rPr>
          <w:rFonts w:asciiTheme="majorBidi" w:hAnsiTheme="majorBidi" w:cstheme="majorBidi"/>
          <w:sz w:val="24"/>
          <w:szCs w:val="24"/>
        </w:rPr>
        <w:t>which are discussed in the below section</w:t>
      </w:r>
      <w:r w:rsidRPr="00A41F9F">
        <w:rPr>
          <w:rFonts w:asciiTheme="majorBidi" w:hAnsiTheme="majorBidi" w:cstheme="majorBidi"/>
          <w:sz w:val="24"/>
          <w:szCs w:val="24"/>
        </w:rPr>
        <w:t>.</w:t>
      </w:r>
    </w:p>
    <w:p w14:paraId="4703F7E1" w14:textId="781B3283" w:rsidR="00E42549" w:rsidRDefault="00E42549" w:rsidP="00135C3C">
      <w:pPr>
        <w:spacing w:after="0" w:line="480" w:lineRule="auto"/>
        <w:rPr>
          <w:rFonts w:asciiTheme="majorBidi" w:hAnsiTheme="majorBidi" w:cstheme="majorBidi"/>
          <w:b/>
          <w:bCs/>
          <w:sz w:val="24"/>
          <w:szCs w:val="24"/>
        </w:rPr>
      </w:pPr>
      <w:bookmarkStart w:id="258" w:name="_Hlk146659584"/>
      <w:r>
        <w:rPr>
          <w:rFonts w:asciiTheme="majorBidi" w:hAnsiTheme="majorBidi" w:cstheme="majorBidi"/>
          <w:b/>
          <w:bCs/>
          <w:sz w:val="24"/>
          <w:szCs w:val="24"/>
        </w:rPr>
        <w:t xml:space="preserve">9.4 </w:t>
      </w:r>
      <w:r w:rsidRPr="00E011C4">
        <w:rPr>
          <w:rFonts w:asciiTheme="majorBidi" w:hAnsiTheme="majorBidi" w:cstheme="majorBidi"/>
          <w:b/>
          <w:bCs/>
          <w:sz w:val="24"/>
          <w:szCs w:val="24"/>
        </w:rPr>
        <w:t>Future Research</w:t>
      </w:r>
      <w:r w:rsidR="00822107">
        <w:rPr>
          <w:rFonts w:asciiTheme="majorBidi" w:hAnsiTheme="majorBidi" w:cstheme="majorBidi"/>
          <w:b/>
          <w:bCs/>
          <w:sz w:val="24"/>
          <w:szCs w:val="24"/>
        </w:rPr>
        <w:t xml:space="preserve"> </w:t>
      </w:r>
      <w:bookmarkEnd w:id="258"/>
    </w:p>
    <w:p w14:paraId="7E49600E" w14:textId="77777777" w:rsidR="00E42549" w:rsidRPr="00B07DFA" w:rsidRDefault="00E42549" w:rsidP="00024000">
      <w:pPr>
        <w:spacing w:after="0" w:line="480" w:lineRule="auto"/>
        <w:rPr>
          <w:rFonts w:asciiTheme="majorBidi" w:eastAsia="Times New Roman" w:hAnsiTheme="majorBidi" w:cstheme="majorBidi"/>
          <w:sz w:val="24"/>
          <w:szCs w:val="24"/>
          <w:lang w:eastAsia="en-GB"/>
        </w:rPr>
      </w:pPr>
      <w:r>
        <w:rPr>
          <w:rFonts w:asciiTheme="majorBidi" w:hAnsiTheme="majorBidi" w:cstheme="majorBidi"/>
          <w:sz w:val="24"/>
          <w:szCs w:val="24"/>
        </w:rPr>
        <w:tab/>
        <w:t xml:space="preserve">In order to increase the credibility of the results, the topic of this thesis is focused on a specific geographical scope (Egypt) and product category (FMCG). Yet, the nature of the topic opens multiple opportunities for further research. Firstly, as indicated in the early chapters of this thesis, CSR communication in the Middle East is overlooked in literature and accordingly, the scope of this study was set to be in Egypt. Nonetheless, due to the specific cultural nature of Egypt, </w:t>
      </w:r>
      <w:r w:rsidRPr="00421F33">
        <w:rPr>
          <w:rFonts w:asciiTheme="majorBidi" w:hAnsiTheme="majorBidi" w:cstheme="majorBidi"/>
          <w:sz w:val="24"/>
          <w:szCs w:val="24"/>
        </w:rPr>
        <w:t xml:space="preserve">the results are unlikely to be generalised to other countries, especially Western countries. </w:t>
      </w:r>
      <w:bookmarkStart w:id="259" w:name="_Hlk150716724"/>
      <w:r w:rsidRPr="00421F33">
        <w:rPr>
          <w:rFonts w:asciiTheme="majorBidi" w:hAnsiTheme="majorBidi" w:cstheme="majorBidi"/>
          <w:sz w:val="24"/>
          <w:szCs w:val="24"/>
        </w:rPr>
        <w:t xml:space="preserve">Multiple researchers emphasised the importance of considering the individualistic or collective nature of societies as this might impact people’s perception of CSR and attitudes towards the companies. </w:t>
      </w:r>
      <w:bookmarkEnd w:id="259"/>
      <w:r w:rsidRPr="00421F33">
        <w:rPr>
          <w:rFonts w:asciiTheme="majorBidi" w:hAnsiTheme="majorBidi" w:cstheme="majorBidi"/>
          <w:sz w:val="24"/>
          <w:szCs w:val="24"/>
        </w:rPr>
        <w:t>In fact, examining the impact of congruity among respondents in different cultures can provide potential novel findings.</w:t>
      </w:r>
      <w:r>
        <w:rPr>
          <w:rFonts w:asciiTheme="majorBidi" w:hAnsiTheme="majorBidi" w:cstheme="majorBidi"/>
          <w:sz w:val="24"/>
          <w:szCs w:val="24"/>
        </w:rPr>
        <w:t xml:space="preserve"> This is because this study revealed high congruency between respondents’ CSR perceptions and attitudes towards the brand and the interviews provided insights that some of the respondents’ patriotic believes were aligned with the brand’s CSR towards the country. </w:t>
      </w:r>
      <w:bookmarkStart w:id="260" w:name="_Hlk150716763"/>
      <w:r>
        <w:rPr>
          <w:rFonts w:asciiTheme="majorBidi" w:hAnsiTheme="majorBidi" w:cstheme="majorBidi"/>
          <w:sz w:val="24"/>
          <w:szCs w:val="24"/>
        </w:rPr>
        <w:t>Hence, it would be beneficial for future research to explore if the same type of CSR perception or even patriotic beliefs that appeared among Egyptian respondents and influenced their brand attitudes would also appear among consumers in Western cultures.</w:t>
      </w:r>
      <w:bookmarkEnd w:id="260"/>
      <w:r>
        <w:rPr>
          <w:rFonts w:asciiTheme="majorBidi" w:hAnsiTheme="majorBidi" w:cstheme="majorBidi"/>
          <w:sz w:val="24"/>
          <w:szCs w:val="24"/>
        </w:rPr>
        <w:t xml:space="preserve"> </w:t>
      </w:r>
      <w:r>
        <w:rPr>
          <w:rFonts w:asciiTheme="majorBidi" w:eastAsia="Times New Roman" w:hAnsiTheme="majorBidi" w:cstheme="majorBidi"/>
          <w:sz w:val="24"/>
          <w:szCs w:val="24"/>
          <w:lang w:eastAsia="en-GB"/>
        </w:rPr>
        <w:t xml:space="preserve">In general, </w:t>
      </w:r>
      <w:r>
        <w:rPr>
          <w:rFonts w:asciiTheme="majorBidi" w:hAnsiTheme="majorBidi" w:cstheme="majorBidi"/>
          <w:sz w:val="24"/>
          <w:szCs w:val="24"/>
        </w:rPr>
        <w:t xml:space="preserve">the results provided compelling arguments about the benefits of CSR communication which makes it worth investigating in more </w:t>
      </w:r>
      <w:r w:rsidRPr="00421F33">
        <w:rPr>
          <w:rFonts w:asciiTheme="majorBidi" w:hAnsiTheme="majorBidi" w:cstheme="majorBidi"/>
          <w:sz w:val="24"/>
          <w:szCs w:val="24"/>
        </w:rPr>
        <w:t>developed countries.</w:t>
      </w:r>
      <w:r>
        <w:rPr>
          <w:rFonts w:asciiTheme="majorBidi" w:hAnsiTheme="majorBidi" w:cstheme="majorBidi"/>
          <w:sz w:val="24"/>
          <w:szCs w:val="24"/>
        </w:rPr>
        <w:t xml:space="preserve"> </w:t>
      </w:r>
      <w:bookmarkStart w:id="261" w:name="_Hlk150716844"/>
      <w:r>
        <w:rPr>
          <w:rFonts w:asciiTheme="majorBidi" w:hAnsiTheme="majorBidi" w:cstheme="majorBidi"/>
          <w:sz w:val="24"/>
          <w:szCs w:val="24"/>
        </w:rPr>
        <w:t xml:space="preserve">Thus, replicating the study in a western country while amending some </w:t>
      </w:r>
      <w:r w:rsidRPr="00421F33">
        <w:rPr>
          <w:rFonts w:asciiTheme="majorBidi" w:hAnsiTheme="majorBidi" w:cstheme="majorBidi"/>
          <w:sz w:val="24"/>
          <w:szCs w:val="24"/>
        </w:rPr>
        <w:t>of the elements in this study’s research model, can be quite promising.</w:t>
      </w:r>
      <w:bookmarkEnd w:id="261"/>
      <w:r>
        <w:rPr>
          <w:rFonts w:asciiTheme="majorBidi" w:hAnsiTheme="majorBidi" w:cstheme="majorBidi"/>
          <w:sz w:val="24"/>
          <w:szCs w:val="24"/>
        </w:rPr>
        <w:t xml:space="preserve"> Moreover, as explained earlier, this thesis considered Dettol, as the FMCG product due to the relatively easy purchase decision-making of FMCG products. Hence, </w:t>
      </w:r>
      <w:bookmarkStart w:id="262" w:name="_Hlk150717096"/>
      <w:r>
        <w:rPr>
          <w:rFonts w:asciiTheme="majorBidi" w:hAnsiTheme="majorBidi" w:cstheme="majorBidi"/>
          <w:sz w:val="24"/>
          <w:szCs w:val="24"/>
        </w:rPr>
        <w:t xml:space="preserve">there is potential for future research to examine the impact of CSR communication and compare it to non-CSR communication in more complex product types. </w:t>
      </w:r>
      <w:bookmarkEnd w:id="262"/>
      <w:r>
        <w:rPr>
          <w:rFonts w:asciiTheme="majorBidi" w:hAnsiTheme="majorBidi" w:cstheme="majorBidi"/>
          <w:sz w:val="24"/>
          <w:szCs w:val="24"/>
        </w:rPr>
        <w:t xml:space="preserve">This can be eye-opening research that will present ideas and further reinforce or question the sole effectiveness of CSR communication in other product categories. This is because, </w:t>
      </w:r>
      <w:bookmarkStart w:id="263" w:name="_Hlk150717163"/>
      <w:r>
        <w:rPr>
          <w:rFonts w:asciiTheme="majorBidi" w:hAnsiTheme="majorBidi" w:cstheme="majorBidi"/>
          <w:sz w:val="24"/>
          <w:szCs w:val="24"/>
        </w:rPr>
        <w:t xml:space="preserve">this idea of future study will contribute to literature by showing whether the positive impact that CSR communication had in this study was because of the nature of the CSR communication or the nature of the product.  </w:t>
      </w:r>
    </w:p>
    <w:bookmarkEnd w:id="263"/>
    <w:p w14:paraId="5FF6F9D0" w14:textId="77777777" w:rsidR="00E42549" w:rsidRDefault="00E42549" w:rsidP="00024000">
      <w:pPr>
        <w:spacing w:after="0" w:line="480" w:lineRule="auto"/>
        <w:rPr>
          <w:rFonts w:asciiTheme="majorBidi" w:hAnsiTheme="majorBidi" w:cstheme="majorBidi"/>
          <w:sz w:val="24"/>
          <w:szCs w:val="24"/>
        </w:rPr>
      </w:pPr>
      <w:r>
        <w:rPr>
          <w:rFonts w:asciiTheme="majorBidi" w:hAnsiTheme="majorBidi" w:cstheme="majorBidi"/>
          <w:sz w:val="24"/>
          <w:szCs w:val="24"/>
        </w:rPr>
        <w:tab/>
      </w:r>
      <w:bookmarkStart w:id="264" w:name="_Hlk150717145"/>
      <w:r w:rsidRPr="00E579E0">
        <w:rPr>
          <w:rFonts w:asciiTheme="majorBidi" w:hAnsiTheme="majorBidi" w:cstheme="majorBidi"/>
          <w:sz w:val="24"/>
          <w:szCs w:val="24"/>
        </w:rPr>
        <w:t>While this study focused on examining the benefits of CSR communication in reference to the benefits of non-CSR communication, this comparison should also consider the cost of executing</w:t>
      </w:r>
      <w:r>
        <w:rPr>
          <w:rFonts w:asciiTheme="majorBidi" w:hAnsiTheme="majorBidi" w:cstheme="majorBidi"/>
          <w:sz w:val="24"/>
          <w:szCs w:val="24"/>
        </w:rPr>
        <w:t xml:space="preserve"> and the frequency of launching</w:t>
      </w:r>
      <w:r w:rsidRPr="00E579E0">
        <w:rPr>
          <w:rFonts w:asciiTheme="majorBidi" w:hAnsiTheme="majorBidi" w:cstheme="majorBidi"/>
          <w:sz w:val="24"/>
          <w:szCs w:val="24"/>
        </w:rPr>
        <w:t xml:space="preserve"> both types of communication.</w:t>
      </w:r>
      <w:r>
        <w:rPr>
          <w:rFonts w:asciiTheme="majorBidi" w:hAnsiTheme="majorBidi" w:cstheme="majorBidi"/>
          <w:sz w:val="24"/>
          <w:szCs w:val="24"/>
        </w:rPr>
        <w:t xml:space="preserve"> </w:t>
      </w:r>
      <w:bookmarkEnd w:id="264"/>
      <w:r w:rsidRPr="00E579E0">
        <w:rPr>
          <w:rFonts w:asciiTheme="majorBidi" w:hAnsiTheme="majorBidi" w:cstheme="majorBidi"/>
          <w:sz w:val="24"/>
          <w:szCs w:val="24"/>
        </w:rPr>
        <w:t>Considering the various success strategies that emerged from the result</w:t>
      </w:r>
      <w:r>
        <w:rPr>
          <w:rFonts w:asciiTheme="majorBidi" w:hAnsiTheme="majorBidi" w:cstheme="majorBidi"/>
          <w:sz w:val="24"/>
          <w:szCs w:val="24"/>
        </w:rPr>
        <w:t>s</w:t>
      </w:r>
      <w:r w:rsidRPr="00E579E0">
        <w:rPr>
          <w:rFonts w:asciiTheme="majorBidi" w:hAnsiTheme="majorBidi" w:cstheme="majorBidi"/>
          <w:sz w:val="24"/>
          <w:szCs w:val="24"/>
        </w:rPr>
        <w:t xml:space="preserve">, the communicated CSR campaign </w:t>
      </w:r>
      <w:r>
        <w:rPr>
          <w:rFonts w:asciiTheme="majorBidi" w:hAnsiTheme="majorBidi" w:cstheme="majorBidi"/>
          <w:sz w:val="24"/>
          <w:szCs w:val="24"/>
        </w:rPr>
        <w:t xml:space="preserve">should be genuinely beneficial to society which might require a considerable budget. Yet, this study also, does not consider the amount of money that corporates invest in non-CSR communication campaigns. Hence, a study that compares the cost of both communication strategies would be highly valuable to provide a wholesome comparison between both communication strategies. Also, since this study measured the impact of different television and social media, another study should also explore the frequency of advertising CSR communication on television and communicating it on social media in reference to non-CSR communication. Such a study can present findings that further solidify the positive impact of CSR communication in a sense that, the study will present if the frequency of advertising both campaigns in reference to the cost will affect consumers’ brand attitudes. </w:t>
      </w:r>
    </w:p>
    <w:p w14:paraId="38235789" w14:textId="7F486986" w:rsidR="00135C3C" w:rsidRPr="00421F33" w:rsidRDefault="00E42549" w:rsidP="00024000">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Furthermore, CSR as a concept is vast and has different types. The literature review of this thesis discusses different types of CSR campaigns such as environmental and social CSR. Based on the initial interview conducted before launching the survey experiment, this research focused on a social CSR campaign in the </w:t>
      </w:r>
      <w:r w:rsidRPr="00421F33">
        <w:rPr>
          <w:rFonts w:asciiTheme="majorBidi" w:hAnsiTheme="majorBidi" w:cstheme="majorBidi"/>
          <w:sz w:val="24"/>
          <w:szCs w:val="24"/>
        </w:rPr>
        <w:t>healthcare field in Egypt. Based on the results of the initial interviews, this type of CSR campaign was deemed valuable by the respondents of this study. Thus, other types of CSR, like environmental CSR, need to be examined in reference to the context and the types of consumers examined in the future.</w:t>
      </w:r>
      <w:r w:rsidR="00024000">
        <w:rPr>
          <w:rFonts w:asciiTheme="majorBidi" w:hAnsiTheme="majorBidi" w:cstheme="majorBidi"/>
          <w:sz w:val="24"/>
          <w:szCs w:val="24"/>
        </w:rPr>
        <w:t xml:space="preserve"> </w:t>
      </w:r>
      <w:r w:rsidR="00024000" w:rsidRPr="00D4440A">
        <w:rPr>
          <w:rFonts w:asciiTheme="majorBidi" w:hAnsiTheme="majorBidi" w:cstheme="majorBidi"/>
          <w:sz w:val="24"/>
          <w:szCs w:val="24"/>
        </w:rPr>
        <w:t>Additionally,</w:t>
      </w:r>
      <w:r w:rsidR="00024000">
        <w:rPr>
          <w:rFonts w:asciiTheme="majorBidi" w:hAnsiTheme="majorBidi" w:cstheme="majorBidi"/>
          <w:sz w:val="24"/>
          <w:szCs w:val="24"/>
        </w:rPr>
        <w:t xml:space="preserve"> </w:t>
      </w:r>
      <w:r w:rsidR="00170BD7">
        <w:rPr>
          <w:rFonts w:asciiTheme="majorBidi" w:hAnsiTheme="majorBidi" w:cstheme="majorBidi"/>
          <w:sz w:val="24"/>
          <w:szCs w:val="24"/>
        </w:rPr>
        <w:t xml:space="preserve">future research should also examine </w:t>
      </w:r>
      <w:bookmarkStart w:id="265" w:name="_Hlk150717578"/>
      <w:r w:rsidR="00170BD7">
        <w:rPr>
          <w:rFonts w:asciiTheme="majorBidi" w:hAnsiTheme="majorBidi" w:cstheme="majorBidi"/>
          <w:sz w:val="24"/>
          <w:szCs w:val="24"/>
        </w:rPr>
        <w:t>the influence of CSR communication on different gender and age groups.</w:t>
      </w:r>
      <w:bookmarkEnd w:id="265"/>
      <w:r w:rsidR="00170BD7">
        <w:rPr>
          <w:rFonts w:asciiTheme="majorBidi" w:hAnsiTheme="majorBidi" w:cstheme="majorBidi"/>
          <w:sz w:val="24"/>
          <w:szCs w:val="24"/>
        </w:rPr>
        <w:t xml:space="preserve"> Such research can provide considerable managerial contributions that will aid </w:t>
      </w:r>
      <w:r w:rsidR="008E734D">
        <w:rPr>
          <w:rFonts w:asciiTheme="majorBidi" w:hAnsiTheme="majorBidi" w:cstheme="majorBidi"/>
          <w:sz w:val="24"/>
          <w:szCs w:val="24"/>
        </w:rPr>
        <w:t xml:space="preserve">decision-makers </w:t>
      </w:r>
      <w:r w:rsidR="00D4440A">
        <w:rPr>
          <w:rFonts w:asciiTheme="majorBidi" w:hAnsiTheme="majorBidi" w:cstheme="majorBidi"/>
          <w:sz w:val="24"/>
          <w:szCs w:val="24"/>
        </w:rPr>
        <w:t xml:space="preserve">to further segment and specify </w:t>
      </w:r>
      <w:r w:rsidR="008E734D">
        <w:rPr>
          <w:rFonts w:asciiTheme="majorBidi" w:hAnsiTheme="majorBidi" w:cstheme="majorBidi"/>
          <w:sz w:val="24"/>
          <w:szCs w:val="24"/>
        </w:rPr>
        <w:t xml:space="preserve">the right </w:t>
      </w:r>
      <w:r w:rsidR="00D4440A">
        <w:rPr>
          <w:rFonts w:asciiTheme="majorBidi" w:hAnsiTheme="majorBidi" w:cstheme="majorBidi"/>
          <w:sz w:val="24"/>
          <w:szCs w:val="24"/>
        </w:rPr>
        <w:t>target audience for CSR communication</w:t>
      </w:r>
      <w:r w:rsidR="008E734D">
        <w:rPr>
          <w:rFonts w:asciiTheme="majorBidi" w:hAnsiTheme="majorBidi" w:cstheme="majorBidi"/>
          <w:sz w:val="24"/>
          <w:szCs w:val="24"/>
        </w:rPr>
        <w:t>.</w:t>
      </w:r>
      <w:r w:rsidR="00D4440A">
        <w:rPr>
          <w:rFonts w:asciiTheme="majorBidi" w:hAnsiTheme="majorBidi" w:cstheme="majorBidi"/>
          <w:sz w:val="24"/>
          <w:szCs w:val="24"/>
        </w:rPr>
        <w:t xml:space="preserve"> Also, this study examined some brand attitudes that emerged from literature and were deemed most important to measure in this study. For future research</w:t>
      </w:r>
      <w:r w:rsidR="00D4440A" w:rsidRPr="00421F33">
        <w:rPr>
          <w:rFonts w:asciiTheme="majorBidi" w:hAnsiTheme="majorBidi" w:cstheme="majorBidi"/>
          <w:sz w:val="24"/>
          <w:szCs w:val="24"/>
        </w:rPr>
        <w:t xml:space="preserve">, it might be insightful to examine different brand attitudes. </w:t>
      </w:r>
    </w:p>
    <w:p w14:paraId="78F28EF3" w14:textId="77777777" w:rsidR="00E42549" w:rsidRDefault="00E42549" w:rsidP="00024000">
      <w:pPr>
        <w:spacing w:after="0" w:line="480" w:lineRule="auto"/>
        <w:rPr>
          <w:rFonts w:asciiTheme="majorBidi" w:hAnsiTheme="majorBidi" w:cstheme="majorBidi"/>
          <w:sz w:val="24"/>
          <w:szCs w:val="24"/>
        </w:rPr>
      </w:pPr>
      <w:r w:rsidRPr="00421F33">
        <w:rPr>
          <w:rFonts w:asciiTheme="majorBidi" w:hAnsiTheme="majorBidi" w:cstheme="majorBidi"/>
          <w:sz w:val="24"/>
          <w:szCs w:val="24"/>
        </w:rPr>
        <w:tab/>
        <w:t>Lastly, this study provides an opportunity to further examine the theory of reasoned action (TRA).</w:t>
      </w:r>
      <w:r>
        <w:rPr>
          <w:rFonts w:asciiTheme="majorBidi" w:hAnsiTheme="majorBidi" w:cstheme="majorBidi"/>
          <w:sz w:val="24"/>
          <w:szCs w:val="24"/>
        </w:rPr>
        <w:t xml:space="preserve"> Since this thesis examines a low involvement product, I proposed some amendments to the main determinants of the theory that, according to the results and the theory, were deemed successful. The study examined brand attitudes that consumers develop towards the brand instead of behavioural attitudes towards purchasing the brand. Examining consumers’ attitudes towards purchasing a low involvement product (like a household cleaning disinfectant) was not the main goal of this study. However, this invites future research to focus solely on the application of TRA in different contexts. This study focused on examining the impact of CSR communication and different media vehicles on consumers’ attitudes and their purchase intention. However, in the case of </w:t>
      </w:r>
      <w:r w:rsidRPr="00421F33">
        <w:rPr>
          <w:rFonts w:asciiTheme="majorBidi" w:hAnsiTheme="majorBidi" w:cstheme="majorBidi"/>
          <w:sz w:val="24"/>
          <w:szCs w:val="24"/>
        </w:rPr>
        <w:t>different product types</w:t>
      </w:r>
      <w:r>
        <w:rPr>
          <w:rFonts w:asciiTheme="majorBidi" w:hAnsiTheme="majorBidi" w:cstheme="majorBidi"/>
          <w:sz w:val="24"/>
          <w:szCs w:val="24"/>
        </w:rPr>
        <w:t xml:space="preserve"> (like high involvement products), the attitudes towards purchase might be a key interfering factor between CSR communication and consumers’ brand attitudes or purchase intentions. In addition, there is potential for future research to compare between the impact of behavioural attitudes and brand attitudes among different types of products. </w:t>
      </w:r>
    </w:p>
    <w:p w14:paraId="63EC8785" w14:textId="77777777" w:rsidR="002C69A1" w:rsidRDefault="002C69A1" w:rsidP="00024000">
      <w:pPr>
        <w:spacing w:after="0" w:line="480" w:lineRule="auto"/>
        <w:rPr>
          <w:rFonts w:asciiTheme="majorBidi" w:hAnsiTheme="majorBidi" w:cstheme="majorBidi"/>
          <w:sz w:val="24"/>
          <w:szCs w:val="24"/>
        </w:rPr>
      </w:pPr>
    </w:p>
    <w:p w14:paraId="0C62EF40" w14:textId="7D91B818" w:rsidR="00E42549" w:rsidRPr="00F74FA0" w:rsidRDefault="00E42549" w:rsidP="00024000">
      <w:pPr>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9.5 </w:t>
      </w:r>
      <w:r w:rsidRPr="00F74FA0">
        <w:rPr>
          <w:rFonts w:asciiTheme="majorBidi" w:hAnsiTheme="majorBidi" w:cstheme="majorBidi"/>
          <w:b/>
          <w:bCs/>
          <w:sz w:val="24"/>
          <w:szCs w:val="24"/>
        </w:rPr>
        <w:t xml:space="preserve">Summary </w:t>
      </w:r>
      <w:r>
        <w:rPr>
          <w:rFonts w:asciiTheme="majorBidi" w:hAnsiTheme="majorBidi" w:cstheme="majorBidi"/>
          <w:b/>
          <w:bCs/>
          <w:sz w:val="24"/>
          <w:szCs w:val="24"/>
        </w:rPr>
        <w:t xml:space="preserve">and </w:t>
      </w:r>
      <w:r w:rsidRPr="00F74FA0">
        <w:rPr>
          <w:rFonts w:asciiTheme="majorBidi" w:hAnsiTheme="majorBidi" w:cstheme="majorBidi"/>
          <w:b/>
          <w:bCs/>
          <w:sz w:val="24"/>
          <w:szCs w:val="24"/>
        </w:rPr>
        <w:t>closing remarks</w:t>
      </w:r>
    </w:p>
    <w:p w14:paraId="4A811E2D" w14:textId="77777777" w:rsidR="00E42549" w:rsidRDefault="00E42549" w:rsidP="00024000">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significance of this study’s findings and contributions were driven from the results of the literature reviews presented in this thesis’s earlier chapters which established the thesis’s first objective. Furthermore, to contribute to the global body of literature on CSR communication, this thesis successfully provided a novel comparison between the effectiveness of CSR communication and non-CSR communication. Additionally, the study highlighted the importance of media vehicle selection depending on various factors related to the scope of the campaign, type of the campaign, and nature of the product. Hence, this study successfully provided great contributions to some of </w:t>
      </w:r>
      <w:r w:rsidRPr="00421F33">
        <w:rPr>
          <w:rFonts w:asciiTheme="majorBidi" w:hAnsiTheme="majorBidi" w:cstheme="majorBidi"/>
          <w:sz w:val="24"/>
          <w:szCs w:val="24"/>
        </w:rPr>
        <w:t>the most popular theories in consumer behaviour that measure purchase intention</w:t>
      </w:r>
      <w:r>
        <w:rPr>
          <w:rFonts w:asciiTheme="majorBidi" w:hAnsiTheme="majorBidi" w:cstheme="majorBidi"/>
          <w:sz w:val="24"/>
          <w:szCs w:val="24"/>
        </w:rPr>
        <w:t xml:space="preserve">. In addition, with the meticulous application of these theories the study provided a plethora of academic and managerial contributions that gave opportunities for multiple future studies. </w:t>
      </w:r>
    </w:p>
    <w:p w14:paraId="2D97D7FB" w14:textId="2066849A" w:rsidR="007E048C" w:rsidRDefault="00E42549" w:rsidP="00421F33">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Last of all, with the change in consumers’ preferences and moving far away from the notion of traditional selling, the concept of CSR communication has a wide potential to prosper and further grow in multiple countries and multiple industries. Striving to constantly explore the novel ways of directly influencing consumers’ intentions by promoting good cause, this study proved that CSR communication can be more promising in influencing buying behaviour of current and future generations of consumers.  </w:t>
      </w:r>
    </w:p>
    <w:p w14:paraId="64D759D0" w14:textId="77777777" w:rsidR="002C69A1" w:rsidRDefault="002C69A1">
      <w:pPr>
        <w:rPr>
          <w:rFonts w:asciiTheme="majorBidi" w:hAnsiTheme="majorBidi" w:cstheme="majorBidi"/>
          <w:b/>
          <w:bCs/>
          <w:sz w:val="24"/>
          <w:szCs w:val="24"/>
        </w:rPr>
      </w:pPr>
      <w:r>
        <w:rPr>
          <w:rFonts w:asciiTheme="majorBidi" w:hAnsiTheme="majorBidi" w:cstheme="majorBidi"/>
          <w:b/>
          <w:bCs/>
          <w:sz w:val="24"/>
          <w:szCs w:val="24"/>
        </w:rPr>
        <w:br w:type="page"/>
      </w:r>
    </w:p>
    <w:p w14:paraId="6F3BEF28" w14:textId="1B42983F" w:rsidR="006E2490" w:rsidRDefault="006E2490" w:rsidP="006E2490">
      <w:pPr>
        <w:spacing w:line="480" w:lineRule="auto"/>
        <w:ind w:firstLine="720"/>
        <w:jc w:val="center"/>
        <w:rPr>
          <w:rFonts w:asciiTheme="majorBidi" w:hAnsiTheme="majorBidi" w:cstheme="majorBidi"/>
          <w:b/>
          <w:bCs/>
          <w:sz w:val="24"/>
          <w:szCs w:val="24"/>
        </w:rPr>
      </w:pPr>
      <w:r w:rsidRPr="007E048C">
        <w:rPr>
          <w:rFonts w:asciiTheme="majorBidi" w:hAnsiTheme="majorBidi" w:cstheme="majorBidi"/>
          <w:b/>
          <w:bCs/>
          <w:sz w:val="24"/>
          <w:szCs w:val="24"/>
        </w:rPr>
        <w:t>List of References</w:t>
      </w:r>
    </w:p>
    <w:bookmarkStart w:id="266" w:name="_Hlk148202865" w:displacedByCustomXml="next"/>
    <w:sdt>
      <w:sdtPr>
        <w:rPr>
          <w:rFonts w:asciiTheme="majorBidi" w:hAnsiTheme="majorBidi" w:cstheme="majorBidi"/>
          <w:sz w:val="24"/>
          <w:szCs w:val="24"/>
        </w:rPr>
        <w:id w:val="-238102283"/>
        <w:docPartObj>
          <w:docPartGallery w:val="Bibliographies"/>
          <w:docPartUnique/>
        </w:docPartObj>
      </w:sdtPr>
      <w:sdtEndPr>
        <w:rPr>
          <w:b/>
          <w:bCs/>
        </w:rPr>
      </w:sdtEndPr>
      <w:sdtContent>
        <w:p w14:paraId="6952B269" w14:textId="5101314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Aaker, J., Vohs, K. D., &amp; Mogilner, C. (2010). </w:t>
          </w:r>
          <w:r w:rsidRPr="009C6DC2">
            <w:rPr>
              <w:rFonts w:asciiTheme="majorBidi" w:hAnsiTheme="majorBidi" w:cstheme="majorBidi"/>
              <w:noProof/>
              <w:sz w:val="24"/>
              <w:szCs w:val="24"/>
              <w:lang w:val="en-US"/>
            </w:rPr>
            <w:t xml:space="preserve">Nonprofits Are Seen as Warm and For-Profits as Competent: Firm Stereotypes Matter. </w:t>
          </w:r>
          <w:r w:rsidRPr="009C6DC2">
            <w:rPr>
              <w:rFonts w:asciiTheme="majorBidi" w:hAnsiTheme="majorBidi" w:cstheme="majorBidi"/>
              <w:i/>
              <w:iCs/>
              <w:noProof/>
              <w:sz w:val="24"/>
              <w:szCs w:val="24"/>
              <w:lang w:val="en-US"/>
            </w:rPr>
            <w:t>Journal of Consumer Research, 37</w:t>
          </w:r>
          <w:r w:rsidRPr="009C6DC2">
            <w:rPr>
              <w:rFonts w:asciiTheme="majorBidi" w:hAnsiTheme="majorBidi" w:cstheme="majorBidi"/>
              <w:noProof/>
              <w:sz w:val="24"/>
              <w:szCs w:val="24"/>
              <w:lang w:val="en-US"/>
            </w:rPr>
            <w:t>(02), 224-237. doi:https://doi.org/10.1086/651566</w:t>
          </w:r>
        </w:p>
        <w:p w14:paraId="2493611B" w14:textId="2AE479D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Abba, I. V. (2023). </w:t>
          </w:r>
          <w:r w:rsidRPr="009C6DC2">
            <w:rPr>
              <w:rFonts w:asciiTheme="majorBidi" w:hAnsiTheme="majorBidi" w:cstheme="majorBidi"/>
              <w:i/>
              <w:iCs/>
              <w:noProof/>
              <w:sz w:val="24"/>
              <w:szCs w:val="24"/>
              <w:lang w:val="en-US"/>
            </w:rPr>
            <w:t>What is R Squared? R2 Value Meaning and Definition</w:t>
          </w:r>
          <w:r w:rsidRPr="009C6DC2">
            <w:rPr>
              <w:rFonts w:asciiTheme="majorBidi" w:hAnsiTheme="majorBidi" w:cstheme="majorBidi"/>
              <w:noProof/>
              <w:sz w:val="24"/>
              <w:szCs w:val="24"/>
              <w:lang w:val="en-US"/>
            </w:rPr>
            <w:t>. Retrieved from Freecodecamp: https://www.freecodecamp.org/news/what-is-r-squared-r2-value-meaning-and-definition/</w:t>
          </w:r>
        </w:p>
        <w:p w14:paraId="4500FF0F" w14:textId="77777777" w:rsidR="006E2490" w:rsidRPr="009C6DC2" w:rsidRDefault="006E2490" w:rsidP="006E2490">
          <w:pPr>
            <w:ind w:left="720" w:hanging="720"/>
            <w:rPr>
              <w:rFonts w:asciiTheme="majorBidi" w:hAnsiTheme="majorBidi" w:cstheme="majorBidi"/>
              <w:noProof/>
              <w:sz w:val="24"/>
              <w:szCs w:val="24"/>
              <w:lang w:val="en-US"/>
            </w:rPr>
          </w:pPr>
          <w:r w:rsidRPr="00423E5E">
            <w:rPr>
              <w:rFonts w:asciiTheme="majorBidi" w:hAnsiTheme="majorBidi" w:cstheme="majorBidi"/>
              <w:noProof/>
              <w:sz w:val="24"/>
              <w:szCs w:val="24"/>
              <w:lang w:val="en-US"/>
            </w:rPr>
            <w:t xml:space="preserve">Abberger, K., Graff, M., Müller, O., &amp; Sturm, J.-E. (2022, 02 04). </w:t>
          </w:r>
          <w:r w:rsidRPr="009C6DC2">
            <w:rPr>
              <w:rFonts w:asciiTheme="majorBidi" w:hAnsiTheme="majorBidi" w:cstheme="majorBidi"/>
              <w:noProof/>
              <w:sz w:val="24"/>
              <w:szCs w:val="24"/>
              <w:lang w:val="en-US"/>
            </w:rPr>
            <w:t xml:space="preserve">Composite global indicators from survey data: the Global Economic Barometers. </w:t>
          </w:r>
          <w:r w:rsidRPr="00423E5E">
            <w:rPr>
              <w:rFonts w:asciiTheme="majorBidi" w:hAnsiTheme="majorBidi" w:cstheme="majorBidi"/>
              <w:noProof/>
              <w:sz w:val="24"/>
              <w:szCs w:val="24"/>
              <w:lang w:val="en-US"/>
            </w:rPr>
            <w:t>Review of World Economics volume, 158</w:t>
          </w:r>
          <w:r w:rsidRPr="009C6DC2">
            <w:rPr>
              <w:rFonts w:asciiTheme="majorBidi" w:hAnsiTheme="majorBidi" w:cstheme="majorBidi"/>
              <w:noProof/>
              <w:sz w:val="24"/>
              <w:szCs w:val="24"/>
              <w:lang w:val="en-US"/>
            </w:rPr>
            <w:t>, 917–945. doi:https://doi.org/10.1007/s10290-021-00449-8</w:t>
          </w:r>
        </w:p>
        <w:p w14:paraId="5245A968" w14:textId="281166D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Abd El Gawad , K. (2017). The Role of Women in Egyptian Agriculture. Retrieved 08 16, 2023, from https://www.researchgate.net/publication/316854259_The_Role_of_Women_in_Egyptian_Agriculture</w:t>
          </w:r>
        </w:p>
        <w:p w14:paraId="5580D525" w14:textId="7DBAA36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Abdel Magid, A., Hussainey, K., Andrés, J. D., &amp; Lorca, P. (2023). The Moderating Role of Online Social Media in the Relationship between Corporate Social Responsibility Disclosure and Investment Decisions: Evidence from Egypt. </w:t>
          </w:r>
          <w:r w:rsidRPr="009C6DC2">
            <w:rPr>
              <w:rFonts w:asciiTheme="majorBidi" w:hAnsiTheme="majorBidi" w:cstheme="majorBidi"/>
              <w:i/>
              <w:iCs/>
              <w:noProof/>
              <w:sz w:val="24"/>
              <w:szCs w:val="24"/>
              <w:lang w:val="en-US"/>
            </w:rPr>
            <w:t>International Journal of Financial Studies, 11</w:t>
          </w:r>
          <w:r w:rsidRPr="009C6DC2">
            <w:rPr>
              <w:rFonts w:asciiTheme="majorBidi" w:hAnsiTheme="majorBidi" w:cstheme="majorBidi"/>
              <w:noProof/>
              <w:sz w:val="24"/>
              <w:szCs w:val="24"/>
              <w:lang w:val="en-US"/>
            </w:rPr>
            <w:t>(2). doi:https://doi.org/10.3390/ijfs11020060</w:t>
          </w:r>
        </w:p>
        <w:p w14:paraId="4A7DC887" w14:textId="397A6AE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Abdelhalim, K., &amp; Gamal Eldin , A. (2019). Can CSR help achieve sustainable development? Applying a new assessment model to CSR cases from Egypt. </w:t>
          </w:r>
          <w:r w:rsidRPr="009C6DC2">
            <w:rPr>
              <w:rFonts w:asciiTheme="majorBidi" w:hAnsiTheme="majorBidi" w:cstheme="majorBidi"/>
              <w:i/>
              <w:iCs/>
              <w:noProof/>
              <w:sz w:val="24"/>
              <w:szCs w:val="24"/>
              <w:lang w:val="en-US"/>
            </w:rPr>
            <w:t>International Journal of Sociology and Social Policy, 39</w:t>
          </w:r>
          <w:r w:rsidRPr="009C6DC2">
            <w:rPr>
              <w:rFonts w:asciiTheme="majorBidi" w:hAnsiTheme="majorBidi" w:cstheme="majorBidi"/>
              <w:noProof/>
              <w:sz w:val="24"/>
              <w:szCs w:val="24"/>
              <w:lang w:val="en-US"/>
            </w:rPr>
            <w:t>(10), 773-795. doi:https://doi.org/10.1108/IJSSP-06-2019-0120</w:t>
          </w:r>
        </w:p>
        <w:p w14:paraId="5682C5F2" w14:textId="6308614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Abdel-Magied, Y. (2022). </w:t>
          </w:r>
          <w:r w:rsidRPr="009C6DC2">
            <w:rPr>
              <w:rFonts w:asciiTheme="majorBidi" w:hAnsiTheme="majorBidi" w:cstheme="majorBidi"/>
              <w:i/>
              <w:iCs/>
              <w:noProof/>
              <w:sz w:val="24"/>
              <w:szCs w:val="24"/>
              <w:lang w:val="en-US"/>
            </w:rPr>
            <w:t>Romance, drama, propaganda: The subliminal messages of Ramadan TV entertainment</w:t>
          </w:r>
          <w:r w:rsidRPr="009C6DC2">
            <w:rPr>
              <w:rFonts w:asciiTheme="majorBidi" w:hAnsiTheme="majorBidi" w:cstheme="majorBidi"/>
              <w:noProof/>
              <w:sz w:val="24"/>
              <w:szCs w:val="24"/>
              <w:lang w:val="en-US"/>
            </w:rPr>
            <w:t>. Retrieved from The New Arab: https://english.alaraby.co.uk/opinion/romance-drama-propaganda-ramadan-tvs-subliminal-messages</w:t>
          </w:r>
        </w:p>
        <w:p w14:paraId="71F0CC1F" w14:textId="44B990F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Abdelmoety, Z. H., Aboul-Dahab, S., &amp; Agag, G. (2022). A cross cultural investigation of retailers commitment to CSR and customer citizenship behaviour: The role of ethical standard and value relevance. </w:t>
          </w:r>
          <w:r w:rsidRPr="009C6DC2">
            <w:rPr>
              <w:rFonts w:asciiTheme="majorBidi" w:hAnsiTheme="majorBidi" w:cstheme="majorBidi"/>
              <w:i/>
              <w:iCs/>
              <w:noProof/>
              <w:sz w:val="24"/>
              <w:szCs w:val="24"/>
              <w:lang w:val="en-US"/>
            </w:rPr>
            <w:t>Journal of Retailing and Consumer Services, 64</w:t>
          </w:r>
          <w:r w:rsidRPr="009C6DC2">
            <w:rPr>
              <w:rFonts w:asciiTheme="majorBidi" w:hAnsiTheme="majorBidi" w:cstheme="majorBidi"/>
              <w:noProof/>
              <w:sz w:val="24"/>
              <w:szCs w:val="24"/>
              <w:lang w:val="en-US"/>
            </w:rPr>
            <w:t>. doi:10.1016/j.jretconser.2021.102796</w:t>
          </w:r>
        </w:p>
        <w:p w14:paraId="3DD3C117" w14:textId="5AD99C0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Abdelmotaleb, M., Metwally, M., Bahy Eldin, A., &amp; Saha, S. K. (2018). Exploring the impact of being perceived as a socially responsible organization on employee creativity. </w:t>
          </w:r>
          <w:r w:rsidRPr="009C6DC2">
            <w:rPr>
              <w:rFonts w:asciiTheme="majorBidi" w:hAnsiTheme="majorBidi" w:cstheme="majorBidi"/>
              <w:i/>
              <w:iCs/>
              <w:noProof/>
              <w:sz w:val="24"/>
              <w:szCs w:val="24"/>
              <w:lang w:val="en-US"/>
            </w:rPr>
            <w:t>Management Decision, 56</w:t>
          </w:r>
          <w:r w:rsidRPr="009C6DC2">
            <w:rPr>
              <w:rFonts w:asciiTheme="majorBidi" w:hAnsiTheme="majorBidi" w:cstheme="majorBidi"/>
              <w:noProof/>
              <w:sz w:val="24"/>
              <w:szCs w:val="24"/>
              <w:lang w:val="en-US"/>
            </w:rPr>
            <w:t>(11), 2325-2340. doi:10.1108/MD-06-2017-0552</w:t>
          </w:r>
        </w:p>
        <w:p w14:paraId="7FA364B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Abdelwahab, M. (2013). </w:t>
          </w:r>
          <w:r w:rsidRPr="009C6DC2">
            <w:rPr>
              <w:rFonts w:asciiTheme="majorBidi" w:hAnsiTheme="majorBidi" w:cstheme="majorBidi"/>
              <w:i/>
              <w:iCs/>
              <w:noProof/>
              <w:sz w:val="24"/>
              <w:szCs w:val="24"/>
              <w:lang w:val="en-US"/>
            </w:rPr>
            <w:t>Emergency and Resilience</w:t>
          </w:r>
          <w:r w:rsidRPr="009C6DC2">
            <w:rPr>
              <w:rFonts w:asciiTheme="majorBidi" w:hAnsiTheme="majorBidi" w:cstheme="majorBidi"/>
              <w:noProof/>
              <w:sz w:val="24"/>
              <w:szCs w:val="24"/>
              <w:lang w:val="en-US"/>
            </w:rPr>
            <w:t>. Retrieved from Unicef: https://www.unicef.org/egypt/emergency-and-resilience</w:t>
          </w:r>
        </w:p>
        <w:p w14:paraId="3A5AFC99" w14:textId="0653F29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Abdul Majid, M. A., Othman, M., Mohamad, S. F., Lim, S., &amp; Yusof, A. (2017). Piloting for Interviews in Qualitative Research: Operationalization and Lessons Learnt. </w:t>
          </w:r>
          <w:r w:rsidRPr="009C6DC2">
            <w:rPr>
              <w:rFonts w:asciiTheme="majorBidi" w:hAnsiTheme="majorBidi" w:cstheme="majorBidi"/>
              <w:i/>
              <w:iCs/>
              <w:noProof/>
              <w:sz w:val="24"/>
              <w:szCs w:val="24"/>
              <w:lang w:val="en-US"/>
            </w:rPr>
            <w:t>International Journal of Academic Research in Business and Social Sciences., 07</w:t>
          </w:r>
          <w:r w:rsidRPr="009C6DC2">
            <w:rPr>
              <w:rFonts w:asciiTheme="majorBidi" w:hAnsiTheme="majorBidi" w:cstheme="majorBidi"/>
              <w:noProof/>
              <w:sz w:val="24"/>
              <w:szCs w:val="24"/>
              <w:lang w:val="en-US"/>
            </w:rPr>
            <w:t>(4), 1073-1080. doi:10.6007/IJARBSS/v7-i4/2916</w:t>
          </w:r>
        </w:p>
        <w:p w14:paraId="4F993DD7" w14:textId="6B901B04"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Abowitz, D. A., &amp; Toole, T. M. (2010). </w:t>
          </w:r>
          <w:r w:rsidRPr="009C6DC2">
            <w:rPr>
              <w:rFonts w:asciiTheme="majorBidi" w:hAnsiTheme="majorBidi" w:cstheme="majorBidi"/>
              <w:noProof/>
              <w:sz w:val="24"/>
              <w:szCs w:val="24"/>
              <w:lang w:val="en-US"/>
            </w:rPr>
            <w:t xml:space="preserve">Mixed Method Research: Fundamental Issues of Design, Validity, and Reliability in Construction Research. </w:t>
          </w:r>
          <w:r w:rsidRPr="009C6DC2">
            <w:rPr>
              <w:rFonts w:asciiTheme="majorBidi" w:hAnsiTheme="majorBidi" w:cstheme="majorBidi"/>
              <w:i/>
              <w:iCs/>
              <w:noProof/>
              <w:sz w:val="24"/>
              <w:szCs w:val="24"/>
              <w:lang w:val="en-US"/>
            </w:rPr>
            <w:t>Journal of Construction Engineering and Management, 136</w:t>
          </w:r>
          <w:r w:rsidRPr="009C6DC2">
            <w:rPr>
              <w:rFonts w:asciiTheme="majorBidi" w:hAnsiTheme="majorBidi" w:cstheme="majorBidi"/>
              <w:noProof/>
              <w:sz w:val="24"/>
              <w:szCs w:val="24"/>
              <w:lang w:val="en-US"/>
            </w:rPr>
            <w:t>(1). doi:10.1061/(ASCE)CO.1943-7862.0000026</w:t>
          </w:r>
        </w:p>
        <w:p w14:paraId="44E64D27" w14:textId="4A3819C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Abu Al-Haija, E., Kolsi, M. C., &amp; Kolsi, M. C. (2021). Corporate social responsibility in Islamic banks: to which extent does Abu Dhabi Islamic bank comply with the global reporting initiative standards? </w:t>
          </w:r>
          <w:r w:rsidRPr="009C6DC2">
            <w:rPr>
              <w:rFonts w:asciiTheme="majorBidi" w:hAnsiTheme="majorBidi" w:cstheme="majorBidi"/>
              <w:i/>
              <w:iCs/>
              <w:noProof/>
              <w:sz w:val="24"/>
              <w:szCs w:val="24"/>
              <w:lang w:val="en-US"/>
            </w:rPr>
            <w:t>Journal of Islamic Accounting and Business Research, 12</w:t>
          </w:r>
          <w:r w:rsidRPr="009C6DC2">
            <w:rPr>
              <w:rFonts w:asciiTheme="majorBidi" w:hAnsiTheme="majorBidi" w:cstheme="majorBidi"/>
              <w:noProof/>
              <w:sz w:val="24"/>
              <w:szCs w:val="24"/>
              <w:lang w:val="en-US"/>
            </w:rPr>
            <w:t>(8), 1200-1223. doi:https://doi.org/10.1108/JIABR-11-2020-0346</w:t>
          </w:r>
        </w:p>
        <w:p w14:paraId="522AA829" w14:textId="508D7A4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Abu Zayyad, M. H., Obeidat, M. Z., Alshurideh, T. M., Abuhashesh, M., Maqableh, M., &amp; Masa'deh, R. (202</w:t>
          </w:r>
          <w:r w:rsidR="0074101C">
            <w:rPr>
              <w:rFonts w:asciiTheme="majorBidi" w:hAnsiTheme="majorBidi" w:cstheme="majorBidi"/>
              <w:noProof/>
              <w:sz w:val="24"/>
              <w:szCs w:val="24"/>
              <w:lang w:val="en-US"/>
            </w:rPr>
            <w:t>1</w:t>
          </w:r>
          <w:r w:rsidRPr="009C6DC2">
            <w:rPr>
              <w:rFonts w:asciiTheme="majorBidi" w:hAnsiTheme="majorBidi" w:cstheme="majorBidi"/>
              <w:noProof/>
              <w:sz w:val="24"/>
              <w:szCs w:val="24"/>
              <w:lang w:val="en-US"/>
            </w:rPr>
            <w:t xml:space="preserve">). Corporate social responsibility and patronage intentions: The mediating effect of brand credibility. </w:t>
          </w:r>
          <w:r w:rsidRPr="009C6DC2">
            <w:rPr>
              <w:rFonts w:asciiTheme="majorBidi" w:hAnsiTheme="majorBidi" w:cstheme="majorBidi"/>
              <w:i/>
              <w:iCs/>
              <w:noProof/>
              <w:sz w:val="24"/>
              <w:szCs w:val="24"/>
              <w:lang w:val="en-US"/>
            </w:rPr>
            <w:t>Journal of Marketing Communications, 27</w:t>
          </w:r>
          <w:r w:rsidRPr="009C6DC2">
            <w:rPr>
              <w:rFonts w:asciiTheme="majorBidi" w:hAnsiTheme="majorBidi" w:cstheme="majorBidi"/>
              <w:noProof/>
              <w:sz w:val="24"/>
              <w:szCs w:val="24"/>
              <w:lang w:val="en-US"/>
            </w:rPr>
            <w:t>(5), 510-533. doi:10.1080/13527266.2020.1728565</w:t>
          </w:r>
        </w:p>
        <w:p w14:paraId="49820250" w14:textId="6655062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Adhikari, A. (2019). Consumer Behavior in Low Involvement Product Purchase: A Stochastic Model. </w:t>
          </w:r>
          <w:r w:rsidRPr="009C6DC2">
            <w:rPr>
              <w:rFonts w:asciiTheme="majorBidi" w:hAnsiTheme="majorBidi" w:cstheme="majorBidi"/>
              <w:i/>
              <w:iCs/>
              <w:noProof/>
              <w:sz w:val="24"/>
              <w:szCs w:val="24"/>
              <w:lang w:val="en-US"/>
            </w:rPr>
            <w:t>Theoretical Economics Letters, 9</w:t>
          </w:r>
          <w:r w:rsidRPr="009C6DC2">
            <w:rPr>
              <w:rFonts w:asciiTheme="majorBidi" w:hAnsiTheme="majorBidi" w:cstheme="majorBidi"/>
              <w:noProof/>
              <w:sz w:val="24"/>
              <w:szCs w:val="24"/>
              <w:lang w:val="en-US"/>
            </w:rPr>
            <w:t xml:space="preserve">(2), 424-430. doi: 10.4236/tel.2019.92030 </w:t>
          </w:r>
        </w:p>
        <w:p w14:paraId="1B9F939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Adib, H., El-Bassiouny, N., &amp; Roosen, J. (2018). Consumers' salient beliefs about green solar innovations: An elicitation study of Egyptian consumers. </w:t>
          </w:r>
          <w:r w:rsidRPr="009C6DC2">
            <w:rPr>
              <w:rFonts w:asciiTheme="majorBidi" w:hAnsiTheme="majorBidi" w:cstheme="majorBidi"/>
              <w:i/>
              <w:iCs/>
              <w:noProof/>
              <w:sz w:val="24"/>
              <w:szCs w:val="24"/>
              <w:lang w:val="en-US"/>
            </w:rPr>
            <w:t>08</w:t>
          </w:r>
          <w:r w:rsidRPr="009C6DC2">
            <w:rPr>
              <w:rFonts w:asciiTheme="majorBidi" w:hAnsiTheme="majorBidi" w:cstheme="majorBidi"/>
              <w:noProof/>
              <w:sz w:val="24"/>
              <w:szCs w:val="24"/>
              <w:lang w:val="en-US"/>
            </w:rPr>
            <w:t>(02), 167-185. doi:https://doi-org.lsbu.idm.oclc.org/10.1362/204440818X15208755610883</w:t>
          </w:r>
        </w:p>
        <w:p w14:paraId="53EE3AEF" w14:textId="7D177BA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Afifah, I. F. (2022). Expertise, Trustworthiness, Similarity, Familiarity, Likeability, Product-Match Up of Celebrity Endorsement to Purchase Intention. </w:t>
          </w:r>
          <w:r w:rsidRPr="009C6DC2">
            <w:rPr>
              <w:rFonts w:asciiTheme="majorBidi" w:hAnsiTheme="majorBidi" w:cstheme="majorBidi"/>
              <w:i/>
              <w:iCs/>
              <w:noProof/>
              <w:sz w:val="24"/>
              <w:szCs w:val="24"/>
              <w:lang w:val="en-US"/>
            </w:rPr>
            <w:t>Journal of Communication &amp; Public Relations, 01</w:t>
          </w:r>
          <w:r w:rsidRPr="009C6DC2">
            <w:rPr>
              <w:rFonts w:asciiTheme="majorBidi" w:hAnsiTheme="majorBidi" w:cstheme="majorBidi"/>
              <w:noProof/>
              <w:sz w:val="24"/>
              <w:szCs w:val="24"/>
              <w:lang w:val="en-US"/>
            </w:rPr>
            <w:t>(02). doi:https://doi.org/10.37535/105001220223</w:t>
          </w:r>
        </w:p>
        <w:p w14:paraId="7557C14E" w14:textId="62BDDD2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AFP. (2020</w:t>
          </w:r>
          <w:r w:rsidR="0074101C">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w:t>
          </w:r>
          <w:r w:rsidRPr="009C6DC2">
            <w:rPr>
              <w:rFonts w:asciiTheme="majorBidi" w:hAnsiTheme="majorBidi" w:cstheme="majorBidi"/>
              <w:i/>
              <w:iCs/>
              <w:noProof/>
              <w:sz w:val="24"/>
              <w:szCs w:val="24"/>
              <w:lang w:val="en-US"/>
            </w:rPr>
            <w:t>Egypt's GDP grows despite pandemic, but so does poverty</w:t>
          </w:r>
          <w:r w:rsidRPr="009C6DC2">
            <w:rPr>
              <w:rFonts w:asciiTheme="majorBidi" w:hAnsiTheme="majorBidi" w:cstheme="majorBidi"/>
              <w:noProof/>
              <w:sz w:val="24"/>
              <w:szCs w:val="24"/>
              <w:lang w:val="en-US"/>
            </w:rPr>
            <w:t>. Retrieved from France24: https://www.france24.com/en/live-news/20201108-egypt-s-gdp-grows-despite-pandemic-but-so-does-poverty</w:t>
          </w:r>
        </w:p>
        <w:p w14:paraId="429FCF69" w14:textId="1A01F55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Aguirre-Urreta, M., &amp; Hu, J. (2019). </w:t>
          </w:r>
          <w:r w:rsidRPr="009C6DC2">
            <w:rPr>
              <w:rFonts w:asciiTheme="majorBidi" w:hAnsiTheme="majorBidi" w:cstheme="majorBidi"/>
              <w:noProof/>
              <w:sz w:val="24"/>
              <w:szCs w:val="24"/>
              <w:lang w:val="en-US"/>
            </w:rPr>
            <w:t xml:space="preserve">Detecting Common Method Bias: Performance of the Harman's Single-Factor Test. </w:t>
          </w:r>
          <w:r w:rsidRPr="009C6DC2">
            <w:rPr>
              <w:rFonts w:asciiTheme="majorBidi" w:hAnsiTheme="majorBidi" w:cstheme="majorBidi"/>
              <w:i/>
              <w:iCs/>
              <w:noProof/>
              <w:sz w:val="24"/>
              <w:szCs w:val="24"/>
              <w:lang w:val="en-US"/>
            </w:rPr>
            <w:t>Data Base for Advances in Information Systems, 50</w:t>
          </w:r>
          <w:r w:rsidRPr="009C6DC2">
            <w:rPr>
              <w:rFonts w:asciiTheme="majorBidi" w:hAnsiTheme="majorBidi" w:cstheme="majorBidi"/>
              <w:noProof/>
              <w:sz w:val="24"/>
              <w:szCs w:val="24"/>
              <w:lang w:val="en-US"/>
            </w:rPr>
            <w:t>(2), 45-70. doi:10.1145/3330472.3330477</w:t>
          </w:r>
        </w:p>
        <w:p w14:paraId="07E4D593" w14:textId="77777777" w:rsidR="006E2490" w:rsidRPr="007E3AAA" w:rsidRDefault="006E2490" w:rsidP="006E2490">
          <w:pPr>
            <w:ind w:left="720" w:hanging="720"/>
            <w:rPr>
              <w:rFonts w:asciiTheme="majorBidi" w:hAnsiTheme="majorBidi" w:cstheme="majorBidi"/>
              <w:noProof/>
              <w:sz w:val="24"/>
              <w:szCs w:val="24"/>
              <w:lang w:val="pl-PL"/>
            </w:rPr>
          </w:pPr>
          <w:r w:rsidRPr="009C6DC2">
            <w:rPr>
              <w:rFonts w:asciiTheme="majorBidi" w:hAnsiTheme="majorBidi" w:cstheme="majorBidi"/>
              <w:noProof/>
              <w:sz w:val="24"/>
              <w:szCs w:val="24"/>
              <w:lang w:val="en-US"/>
            </w:rPr>
            <w:t xml:space="preserve">Ahmed, G. K., Ramadan, H. K.-A., Refay, S. M., &amp; Khashbah, M. A. (2021). Comparison of knowledge, attitude, socioeconomic burden, and mental health disorders of COVID-19 pandemic between general population and health care workers in Egypt. </w:t>
          </w:r>
          <w:r w:rsidRPr="007E3AAA">
            <w:rPr>
              <w:rFonts w:asciiTheme="majorBidi" w:hAnsiTheme="majorBidi" w:cstheme="majorBidi"/>
              <w:i/>
              <w:iCs/>
              <w:noProof/>
              <w:sz w:val="24"/>
              <w:szCs w:val="24"/>
              <w:lang w:val="pl-PL"/>
            </w:rPr>
            <w:t>Egypt J Neurol Psychiatr Neurosurg, 57</w:t>
          </w:r>
          <w:r w:rsidRPr="007E3AAA">
            <w:rPr>
              <w:rFonts w:asciiTheme="majorBidi" w:hAnsiTheme="majorBidi" w:cstheme="majorBidi"/>
              <w:noProof/>
              <w:sz w:val="24"/>
              <w:szCs w:val="24"/>
              <w:lang w:val="pl-PL"/>
            </w:rPr>
            <w:t>(1), 25. doi:10.1186/s41983-021-00280-w. Epub 2021</w:t>
          </w:r>
        </w:p>
        <w:p w14:paraId="70E2277D" w14:textId="160D35FC"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Ajina, A. S., Roy, S., Nguyen, B., Japutra, A., &amp; Al-Hajla, A. H. (2020). </w:t>
          </w:r>
          <w:r w:rsidRPr="009C6DC2">
            <w:rPr>
              <w:rFonts w:asciiTheme="majorBidi" w:hAnsiTheme="majorBidi" w:cstheme="majorBidi"/>
              <w:noProof/>
              <w:sz w:val="24"/>
              <w:szCs w:val="24"/>
              <w:lang w:val="en-US"/>
            </w:rPr>
            <w:t xml:space="preserve">Enhancing brand value using corporate social responsibility initiatives: Evidence from financial services brands in Saudi Arabia. </w:t>
          </w:r>
          <w:r w:rsidRPr="009C6DC2">
            <w:rPr>
              <w:rFonts w:asciiTheme="majorBidi" w:hAnsiTheme="majorBidi" w:cstheme="majorBidi"/>
              <w:i/>
              <w:iCs/>
              <w:noProof/>
              <w:sz w:val="24"/>
              <w:szCs w:val="24"/>
              <w:lang w:val="en-US"/>
            </w:rPr>
            <w:t>Qualitative Market Research, 23</w:t>
          </w:r>
          <w:r w:rsidRPr="009C6DC2">
            <w:rPr>
              <w:rFonts w:asciiTheme="majorBidi" w:hAnsiTheme="majorBidi" w:cstheme="majorBidi"/>
              <w:noProof/>
              <w:sz w:val="24"/>
              <w:szCs w:val="24"/>
              <w:lang w:val="en-US"/>
            </w:rPr>
            <w:t>(4), 575-602. Retrieved 12 02, 2022, from https://doi-org.lsbu.idm.oclc.org/10.1108/QMR-11-2017-0145</w:t>
          </w:r>
        </w:p>
        <w:p w14:paraId="2F11E45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Ajzen, I. (1988). </w:t>
          </w:r>
          <w:r w:rsidRPr="009C6DC2">
            <w:rPr>
              <w:rFonts w:asciiTheme="majorBidi" w:hAnsiTheme="majorBidi" w:cstheme="majorBidi"/>
              <w:i/>
              <w:iCs/>
              <w:noProof/>
              <w:sz w:val="24"/>
              <w:szCs w:val="24"/>
              <w:lang w:val="en-US"/>
            </w:rPr>
            <w:t>Attitudes, personality, and behavior.</w:t>
          </w:r>
          <w:r w:rsidRPr="009C6DC2">
            <w:rPr>
              <w:rFonts w:asciiTheme="majorBidi" w:hAnsiTheme="majorBidi" w:cstheme="majorBidi"/>
              <w:noProof/>
              <w:sz w:val="24"/>
              <w:szCs w:val="24"/>
              <w:lang w:val="en-US"/>
            </w:rPr>
            <w:t xml:space="preserve"> </w:t>
          </w:r>
        </w:p>
        <w:p w14:paraId="5C72AAA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Ajzen, I. (1991). The theory of planned behaviour. </w:t>
          </w:r>
          <w:r w:rsidRPr="009C6DC2">
            <w:rPr>
              <w:rFonts w:asciiTheme="majorBidi" w:hAnsiTheme="majorBidi" w:cstheme="majorBidi"/>
              <w:i/>
              <w:iCs/>
              <w:noProof/>
              <w:sz w:val="24"/>
              <w:szCs w:val="24"/>
              <w:lang w:val="en-US"/>
            </w:rPr>
            <w:t>Organizational Behavior and Human Decision Processes, 50</w:t>
          </w:r>
          <w:r w:rsidRPr="009C6DC2">
            <w:rPr>
              <w:rFonts w:asciiTheme="majorBidi" w:hAnsiTheme="majorBidi" w:cstheme="majorBidi"/>
              <w:noProof/>
              <w:sz w:val="24"/>
              <w:szCs w:val="24"/>
              <w:lang w:val="en-US"/>
            </w:rPr>
            <w:t>(02), 179-211.</w:t>
          </w:r>
        </w:p>
        <w:p w14:paraId="3609FE4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Ajzen, I. (2015). The theory of planned behaviour is alive and well, and not ready to retire: a commentary on Sniehotta, Presseau, and Araújo-Soares. </w:t>
          </w:r>
          <w:r w:rsidRPr="009C6DC2">
            <w:rPr>
              <w:rFonts w:asciiTheme="majorBidi" w:hAnsiTheme="majorBidi" w:cstheme="majorBidi"/>
              <w:i/>
              <w:iCs/>
              <w:noProof/>
              <w:sz w:val="24"/>
              <w:szCs w:val="24"/>
              <w:lang w:val="en-US"/>
            </w:rPr>
            <w:t>Health Psychology Review, 9</w:t>
          </w:r>
          <w:r w:rsidRPr="009C6DC2">
            <w:rPr>
              <w:rFonts w:asciiTheme="majorBidi" w:hAnsiTheme="majorBidi" w:cstheme="majorBidi"/>
              <w:noProof/>
              <w:sz w:val="24"/>
              <w:szCs w:val="24"/>
              <w:lang w:val="en-US"/>
            </w:rPr>
            <w:t>(2), 131-137. doi:https://doi.org/10.1080/17437199.2014.883474</w:t>
          </w:r>
        </w:p>
        <w:p w14:paraId="386D687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Ajzen, I., &amp; Fishbein, M. (1980). Understanding attitudes and predicting social behaviour.</w:t>
          </w:r>
        </w:p>
        <w:p w14:paraId="584DD301" w14:textId="183B1B3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Ajzen, I., &amp; Madden, T. J. (1986). Prediction of goal-directed behavior: Attitudes, intentions, and perceived behavioral control. </w:t>
          </w:r>
          <w:r w:rsidRPr="009C6DC2">
            <w:rPr>
              <w:rFonts w:asciiTheme="majorBidi" w:hAnsiTheme="majorBidi" w:cstheme="majorBidi"/>
              <w:i/>
              <w:iCs/>
              <w:noProof/>
              <w:sz w:val="24"/>
              <w:szCs w:val="24"/>
              <w:lang w:val="en-US"/>
            </w:rPr>
            <w:t>Journal of Experimental Social Psychology, 22</w:t>
          </w:r>
          <w:r w:rsidRPr="009C6DC2">
            <w:rPr>
              <w:rFonts w:asciiTheme="majorBidi" w:hAnsiTheme="majorBidi" w:cstheme="majorBidi"/>
              <w:noProof/>
              <w:sz w:val="24"/>
              <w:szCs w:val="24"/>
              <w:lang w:val="en-US"/>
            </w:rPr>
            <w:t>(5), 453-474. doi:https://doi.org/10.1016/0022-1031(86)90045-4</w:t>
          </w:r>
        </w:p>
        <w:p w14:paraId="3CA4C087" w14:textId="6A191E0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Akash, E. O., Ferguson, M., &amp; Duman, S. A. (2016). Corporate social responsibility and CSR fit as predictors of corporate reputation: A global perspective. </w:t>
          </w:r>
          <w:r w:rsidRPr="009C6DC2">
            <w:rPr>
              <w:rFonts w:asciiTheme="majorBidi" w:hAnsiTheme="majorBidi" w:cstheme="majorBidi"/>
              <w:i/>
              <w:iCs/>
              <w:noProof/>
              <w:sz w:val="24"/>
              <w:szCs w:val="24"/>
              <w:lang w:val="en-US"/>
            </w:rPr>
            <w:t>Public Relations Review, 42</w:t>
          </w:r>
          <w:r w:rsidRPr="009C6DC2">
            <w:rPr>
              <w:rFonts w:asciiTheme="majorBidi" w:hAnsiTheme="majorBidi" w:cstheme="majorBidi"/>
              <w:noProof/>
              <w:sz w:val="24"/>
              <w:szCs w:val="24"/>
              <w:lang w:val="en-US"/>
            </w:rPr>
            <w:t>(1), 79-81. doi:https://doi.org/10.1016/j.pubrev.2015.11.004</w:t>
          </w:r>
        </w:p>
        <w:p w14:paraId="177ADBDA" w14:textId="77777777" w:rsidR="006E2490" w:rsidRPr="009C6DC2" w:rsidRDefault="006E2490" w:rsidP="006E2490">
          <w:pPr>
            <w:ind w:left="720" w:hanging="720"/>
            <w:rPr>
              <w:rFonts w:asciiTheme="majorBidi" w:hAnsiTheme="majorBidi" w:cstheme="majorBidi"/>
              <w:noProof/>
              <w:sz w:val="24"/>
              <w:szCs w:val="24"/>
              <w:lang w:val="sv-SE"/>
            </w:rPr>
          </w:pPr>
          <w:r w:rsidRPr="009C6DC2">
            <w:rPr>
              <w:rFonts w:asciiTheme="majorBidi" w:hAnsiTheme="majorBidi" w:cstheme="majorBidi"/>
              <w:noProof/>
              <w:sz w:val="24"/>
              <w:szCs w:val="24"/>
              <w:lang w:val="en-US"/>
            </w:rPr>
            <w:t xml:space="preserve">Akram , U., Hui, P., Khan, M. K., Hashim, M., Qiu, Y., &amp; Zhang, Y. (2017). Online Impulse Buying on “Double Eleven” Shopping Festival: An Empirical Investigation of Utilitarian and Hedonic Motivations. </w:t>
          </w:r>
          <w:r w:rsidRPr="009C6DC2">
            <w:rPr>
              <w:rFonts w:asciiTheme="majorBidi" w:hAnsiTheme="majorBidi" w:cstheme="majorBidi"/>
              <w:i/>
              <w:iCs/>
              <w:noProof/>
              <w:sz w:val="24"/>
              <w:szCs w:val="24"/>
              <w:lang w:val="en-US"/>
            </w:rPr>
            <w:t>Proceedings of the Eleventh International Conference on Management Science and Engineering Management</w:t>
          </w:r>
          <w:r w:rsidRPr="009C6DC2">
            <w:rPr>
              <w:rFonts w:asciiTheme="majorBidi" w:hAnsiTheme="majorBidi" w:cstheme="majorBidi"/>
              <w:noProof/>
              <w:sz w:val="24"/>
              <w:szCs w:val="24"/>
              <w:lang w:val="en-US"/>
            </w:rPr>
            <w:t xml:space="preserve">, 680-692. </w:t>
          </w:r>
          <w:r w:rsidRPr="009C6DC2">
            <w:rPr>
              <w:rFonts w:asciiTheme="majorBidi" w:hAnsiTheme="majorBidi" w:cstheme="majorBidi"/>
              <w:noProof/>
              <w:sz w:val="24"/>
              <w:szCs w:val="24"/>
              <w:lang w:val="sv-SE"/>
            </w:rPr>
            <w:t>Retrieved 03 05, 2023</w:t>
          </w:r>
        </w:p>
        <w:p w14:paraId="5F5107BF" w14:textId="38BB7EF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Al Bara, Affandi, F., Farid, A. S., &amp; Marzuki, D. I. (2021). </w:t>
          </w:r>
          <w:r w:rsidRPr="009C6DC2">
            <w:rPr>
              <w:rFonts w:asciiTheme="majorBidi" w:hAnsiTheme="majorBidi" w:cstheme="majorBidi"/>
              <w:noProof/>
              <w:sz w:val="24"/>
              <w:szCs w:val="24"/>
              <w:lang w:val="en-US"/>
            </w:rPr>
            <w:t xml:space="preserve">The Effectiveness of Advertising Marketing in Print Media during the Covid 19 Pandemic in the Mandailing Natal Region. </w:t>
          </w:r>
          <w:r w:rsidRPr="009C6DC2">
            <w:rPr>
              <w:rFonts w:asciiTheme="majorBidi" w:hAnsiTheme="majorBidi" w:cstheme="majorBidi"/>
              <w:i/>
              <w:iCs/>
              <w:noProof/>
              <w:sz w:val="24"/>
              <w:szCs w:val="24"/>
              <w:lang w:val="en-US"/>
            </w:rPr>
            <w:t>Budapest International Research and Critics Institute-Journal (BIRCI-Journal), 4</w:t>
          </w:r>
          <w:r w:rsidRPr="009C6DC2">
            <w:rPr>
              <w:rFonts w:asciiTheme="majorBidi" w:hAnsiTheme="majorBidi" w:cstheme="majorBidi"/>
              <w:noProof/>
              <w:sz w:val="24"/>
              <w:szCs w:val="24"/>
              <w:lang w:val="en-US"/>
            </w:rPr>
            <w:t>(1), 879-886. doi:https://doi.org/10.33258/birci.v4i1.1688</w:t>
          </w:r>
        </w:p>
        <w:p w14:paraId="42A30427" w14:textId="4217275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Al Mubarak, Z., Ben Hamed, A., &amp; Al Mubarak , M. (2019). </w:t>
          </w:r>
          <w:r w:rsidRPr="009C6DC2">
            <w:rPr>
              <w:rFonts w:asciiTheme="majorBidi" w:hAnsiTheme="majorBidi" w:cstheme="majorBidi"/>
              <w:noProof/>
              <w:sz w:val="24"/>
              <w:szCs w:val="24"/>
              <w:lang w:val="en-US"/>
            </w:rPr>
            <w:t xml:space="preserve">Impact of corporate social responsibility on bank’s corporate image. </w:t>
          </w:r>
          <w:r w:rsidRPr="009C6DC2">
            <w:rPr>
              <w:rFonts w:asciiTheme="majorBidi" w:hAnsiTheme="majorBidi" w:cstheme="majorBidi"/>
              <w:i/>
              <w:iCs/>
              <w:noProof/>
              <w:sz w:val="24"/>
              <w:szCs w:val="24"/>
              <w:lang w:val="en-US"/>
            </w:rPr>
            <w:t>Social Responsibility Journal, 15</w:t>
          </w:r>
          <w:r w:rsidRPr="009C6DC2">
            <w:rPr>
              <w:rFonts w:asciiTheme="majorBidi" w:hAnsiTheme="majorBidi" w:cstheme="majorBidi"/>
              <w:noProof/>
              <w:sz w:val="24"/>
              <w:szCs w:val="24"/>
              <w:lang w:val="en-US"/>
            </w:rPr>
            <w:t>(5), 710-722. Retrieved 12 02, 2022, from https://doi.org/10.1108/SRJ-01-2018-0015</w:t>
          </w:r>
        </w:p>
        <w:p w14:paraId="02E316E0" w14:textId="795009E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Al-Abdin, A., Roy, T., &amp; Nicholson, J. D. (2018). Researching Corporate Social Responsibility in the Middle East: The Current State and Future Directions. </w:t>
          </w:r>
          <w:r w:rsidRPr="009C6DC2">
            <w:rPr>
              <w:rFonts w:asciiTheme="majorBidi" w:hAnsiTheme="majorBidi" w:cstheme="majorBidi"/>
              <w:i/>
              <w:iCs/>
              <w:noProof/>
              <w:sz w:val="24"/>
              <w:szCs w:val="24"/>
              <w:lang w:val="en-US"/>
            </w:rPr>
            <w:t>Corporate Social Responsibility and Environmental Management., 25</w:t>
          </w:r>
          <w:r w:rsidRPr="009C6DC2">
            <w:rPr>
              <w:rFonts w:asciiTheme="majorBidi" w:hAnsiTheme="majorBidi" w:cstheme="majorBidi"/>
              <w:noProof/>
              <w:sz w:val="24"/>
              <w:szCs w:val="24"/>
              <w:lang w:val="en-US"/>
            </w:rPr>
            <w:t>(1), 47-65. doi:10.1002/csr.1439</w:t>
          </w:r>
        </w:p>
        <w:p w14:paraId="5CF1468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Ala-Fossi, M., Grönvall, J., Karppinen, K., &amp; Nieminen, H. (2021). Chapter 4. Finland: Sustaining professional norms with fewer journalists and declining resources. In M. Ala-Fossi, J. Grönvall, K. Karppinen, &amp; H. Nieminen, </w:t>
          </w:r>
          <w:r w:rsidRPr="009C6DC2">
            <w:rPr>
              <w:rFonts w:asciiTheme="majorBidi" w:hAnsiTheme="majorBidi" w:cstheme="majorBidi"/>
              <w:i/>
              <w:iCs/>
              <w:noProof/>
              <w:sz w:val="24"/>
              <w:szCs w:val="24"/>
              <w:lang w:val="en-US"/>
            </w:rPr>
            <w:t>The Media for Democracy Monitor</w:t>
          </w:r>
          <w:r w:rsidRPr="009C6DC2">
            <w:rPr>
              <w:rFonts w:asciiTheme="majorBidi" w:hAnsiTheme="majorBidi" w:cstheme="majorBidi"/>
              <w:noProof/>
              <w:sz w:val="24"/>
              <w:szCs w:val="24"/>
              <w:lang w:val="en-US"/>
            </w:rPr>
            <w:t xml:space="preserve"> (pp. 153-196). Nordicom. doi:10.48335/9789188855404-4</w:t>
          </w:r>
        </w:p>
        <w:p w14:paraId="2F2B5089" w14:textId="09E3B12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Alavi, M., Visentin, D. C., Thapa, D. K., Hunt, G. E., Watson, R., &amp; Clearly, M. (2020). Chi-square for model fit in confirmatory factor analysis. </w:t>
          </w:r>
          <w:r w:rsidRPr="009C6DC2">
            <w:rPr>
              <w:rFonts w:asciiTheme="majorBidi" w:hAnsiTheme="majorBidi" w:cstheme="majorBidi"/>
              <w:i/>
              <w:iCs/>
              <w:noProof/>
              <w:sz w:val="24"/>
              <w:szCs w:val="24"/>
              <w:lang w:val="en-US"/>
            </w:rPr>
            <w:t>Leading Global Nursing Research, 76</w:t>
          </w:r>
          <w:r w:rsidRPr="009C6DC2">
            <w:rPr>
              <w:rFonts w:asciiTheme="majorBidi" w:hAnsiTheme="majorBidi" w:cstheme="majorBidi"/>
              <w:noProof/>
              <w:sz w:val="24"/>
              <w:szCs w:val="24"/>
              <w:lang w:val="en-US"/>
            </w:rPr>
            <w:t>(9), 2209-2211. doi:https://doi.org/10.1111/jan.14399</w:t>
          </w:r>
        </w:p>
        <w:p w14:paraId="2BBD57AF" w14:textId="62A2E4D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Alawamleh, M., &amp; Giacaman, S. (2020). Corporate social responsibility impacts on Palestinian and Jordanian consumer purchasing. </w:t>
          </w:r>
          <w:r w:rsidRPr="009C6DC2">
            <w:rPr>
              <w:rFonts w:asciiTheme="majorBidi" w:hAnsiTheme="majorBidi" w:cstheme="majorBidi"/>
              <w:i/>
              <w:iCs/>
              <w:noProof/>
              <w:sz w:val="24"/>
              <w:szCs w:val="24"/>
              <w:lang w:val="en-US"/>
            </w:rPr>
            <w:t>International Journal of Organizational Analysis, 29</w:t>
          </w:r>
          <w:r w:rsidRPr="009C6DC2">
            <w:rPr>
              <w:rFonts w:asciiTheme="majorBidi" w:hAnsiTheme="majorBidi" w:cstheme="majorBidi"/>
              <w:noProof/>
              <w:sz w:val="24"/>
              <w:szCs w:val="24"/>
              <w:lang w:val="en-US"/>
            </w:rPr>
            <w:t>(4), 891-919. Retrieved 12 02, 2022, from https://doi.org/10.1108/IJOA-03-2020-2109</w:t>
          </w:r>
        </w:p>
        <w:p w14:paraId="19D9AC18" w14:textId="1025B1C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Alberti-Alhtaybat, L. v., Alhatabat, Z., &amp; Al-Htaybat, K. (2020). Investigating the sustainability habitus: insights from Aramex’s sustainability practices and reports. </w:t>
          </w:r>
          <w:r w:rsidRPr="009C6DC2">
            <w:rPr>
              <w:rFonts w:asciiTheme="majorBidi" w:hAnsiTheme="majorBidi" w:cstheme="majorBidi"/>
              <w:i/>
              <w:iCs/>
              <w:noProof/>
              <w:sz w:val="24"/>
              <w:szCs w:val="24"/>
              <w:lang w:val="en-US"/>
            </w:rPr>
            <w:t>Meditari Accountancy Research, 29</w:t>
          </w:r>
          <w:r w:rsidRPr="009C6DC2">
            <w:rPr>
              <w:rFonts w:asciiTheme="majorBidi" w:hAnsiTheme="majorBidi" w:cstheme="majorBidi"/>
              <w:noProof/>
              <w:sz w:val="24"/>
              <w:szCs w:val="24"/>
              <w:lang w:val="en-US"/>
            </w:rPr>
            <w:t>(3), 477-501. Retrieved 12 07, 2022, from https://doi.org/10.1108/MEDAR-08-2019-0545</w:t>
          </w:r>
        </w:p>
        <w:p w14:paraId="4EABCE3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Albus, H., &amp; Ro, H. (2017). Corporate Social Responsibility: The Effect Of Green Practices In A Service Recovery. </w:t>
          </w:r>
          <w:r w:rsidRPr="009C6DC2">
            <w:rPr>
              <w:rFonts w:asciiTheme="majorBidi" w:hAnsiTheme="majorBidi" w:cstheme="majorBidi"/>
              <w:i/>
              <w:iCs/>
              <w:noProof/>
              <w:sz w:val="24"/>
              <w:szCs w:val="24"/>
              <w:lang w:val="en-US"/>
            </w:rPr>
            <w:t>Journal of Hospitality &amp; Tourism Research, 41</w:t>
          </w:r>
          <w:r w:rsidRPr="009C6DC2">
            <w:rPr>
              <w:rFonts w:asciiTheme="majorBidi" w:hAnsiTheme="majorBidi" w:cstheme="majorBidi"/>
              <w:noProof/>
              <w:sz w:val="24"/>
              <w:szCs w:val="24"/>
              <w:lang w:val="en-US"/>
            </w:rPr>
            <w:t>(1), 41-65. doi:https://doi.org/10.1177/1096348013515915</w:t>
          </w:r>
        </w:p>
        <w:p w14:paraId="3011ED7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Alcorn, N., Buchanan, L., Smith, J., &amp; Gregory , L. (2015). Media Consumer Survey 2015. </w:t>
          </w:r>
          <w:r w:rsidRPr="009C6DC2">
            <w:rPr>
              <w:rFonts w:asciiTheme="majorBidi" w:hAnsiTheme="majorBidi" w:cstheme="majorBidi"/>
              <w:i/>
              <w:iCs/>
              <w:noProof/>
              <w:sz w:val="24"/>
              <w:szCs w:val="24"/>
              <w:lang w:val="en-US"/>
            </w:rPr>
            <w:t>Australian media and digital preferences, 4th</w:t>
          </w:r>
          <w:r w:rsidRPr="009C6DC2">
            <w:rPr>
              <w:rFonts w:asciiTheme="majorBidi" w:hAnsiTheme="majorBidi" w:cstheme="majorBidi"/>
              <w:noProof/>
              <w:sz w:val="24"/>
              <w:szCs w:val="24"/>
              <w:lang w:val="en-US"/>
            </w:rPr>
            <w:t>. Retrieved 02 21, 2023, from https://www2.deloitte.com/content/dam/Deloitte/au/Documents/technology-media-telecommunications/deloitte-au-tmt-media-consumer-survey-2015-100815.pdf</w:t>
          </w:r>
        </w:p>
        <w:p w14:paraId="3AD0BD63" w14:textId="465772C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Alfakhri, Y., Nurunnabi, M., &amp; Alfakhri , D. (2018). Young Saudi consumers and corporate social responsibility: an Islamic “CSR tree” model. </w:t>
          </w:r>
          <w:r w:rsidRPr="009C6DC2">
            <w:rPr>
              <w:rFonts w:asciiTheme="majorBidi" w:hAnsiTheme="majorBidi" w:cstheme="majorBidi"/>
              <w:i/>
              <w:iCs/>
              <w:noProof/>
              <w:sz w:val="24"/>
              <w:szCs w:val="24"/>
              <w:lang w:val="en-US"/>
            </w:rPr>
            <w:t>International Journal of Social Economics, 45</w:t>
          </w:r>
          <w:r w:rsidRPr="009C6DC2">
            <w:rPr>
              <w:rFonts w:asciiTheme="majorBidi" w:hAnsiTheme="majorBidi" w:cstheme="majorBidi"/>
              <w:noProof/>
              <w:sz w:val="24"/>
              <w:szCs w:val="24"/>
              <w:lang w:val="en-US"/>
            </w:rPr>
            <w:t>(12), 1570-1589. Retrieved 12 3, 2022, from https://doi-org.lsbu.idm.oclc.org/10.1108/IJSE-09-2017-0395</w:t>
          </w:r>
        </w:p>
        <w:p w14:paraId="74FE44C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Alharahsheh, H. H., &amp; Pius, A. (2020). A Review of key paradigms: positivism VS interpretivism. </w:t>
          </w:r>
          <w:r w:rsidRPr="009C6DC2">
            <w:rPr>
              <w:rFonts w:asciiTheme="majorBidi" w:hAnsiTheme="majorBidi" w:cstheme="majorBidi"/>
              <w:i/>
              <w:iCs/>
              <w:noProof/>
              <w:sz w:val="24"/>
              <w:szCs w:val="24"/>
              <w:lang w:val="en-US"/>
            </w:rPr>
            <w:t>Global Academic Journal of Humanities and Social Sciences, 2</w:t>
          </w:r>
          <w:r w:rsidRPr="009C6DC2">
            <w:rPr>
              <w:rFonts w:asciiTheme="majorBidi" w:hAnsiTheme="majorBidi" w:cstheme="majorBidi"/>
              <w:noProof/>
              <w:sz w:val="24"/>
              <w:szCs w:val="24"/>
              <w:lang w:val="en-US"/>
            </w:rPr>
            <w:t>(3), 39-43. doi:10.36348/gajhss.2020.v02i03.001</w:t>
          </w:r>
        </w:p>
        <w:p w14:paraId="59A22B09" w14:textId="5685247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Aljarah, A. (2020). The nexus between corporate social responsibility and target-based customer citizenship behavior. </w:t>
          </w:r>
          <w:r w:rsidRPr="009C6DC2">
            <w:rPr>
              <w:rFonts w:asciiTheme="majorBidi" w:hAnsiTheme="majorBidi" w:cstheme="majorBidi"/>
              <w:i/>
              <w:iCs/>
              <w:noProof/>
              <w:sz w:val="24"/>
              <w:szCs w:val="24"/>
              <w:lang w:val="en-US"/>
            </w:rPr>
            <w:t>Journal Of Sustainable Tourism, 28</w:t>
          </w:r>
          <w:r w:rsidRPr="009C6DC2">
            <w:rPr>
              <w:rFonts w:asciiTheme="majorBidi" w:hAnsiTheme="majorBidi" w:cstheme="majorBidi"/>
              <w:noProof/>
              <w:sz w:val="24"/>
              <w:szCs w:val="24"/>
              <w:lang w:val="en-US"/>
            </w:rPr>
            <w:t>(12), 2044-2063. doi:https://doi.org/10.1080/09669582.2020.1789155</w:t>
          </w:r>
        </w:p>
        <w:p w14:paraId="3D59EBE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Alkasmi, A. J., El Hamamsy, O., Khoury, L., &amp; Syed, A.-R. (2018). </w:t>
          </w:r>
          <w:r w:rsidRPr="009C6DC2">
            <w:rPr>
              <w:rFonts w:asciiTheme="majorBidi" w:hAnsiTheme="majorBidi" w:cstheme="majorBidi"/>
              <w:i/>
              <w:iCs/>
              <w:noProof/>
              <w:sz w:val="24"/>
              <w:szCs w:val="24"/>
              <w:lang w:val="en-US"/>
            </w:rPr>
            <w:t>Entrepreneurship in the Middle East and North Africa: how investors can support and enable growth.</w:t>
          </w:r>
          <w:r w:rsidRPr="009C6DC2">
            <w:rPr>
              <w:rFonts w:asciiTheme="majorBidi" w:hAnsiTheme="majorBidi" w:cstheme="majorBidi"/>
              <w:noProof/>
              <w:sz w:val="24"/>
              <w:szCs w:val="24"/>
              <w:lang w:val="en-US"/>
            </w:rPr>
            <w:t xml:space="preserve"> Digital Mckinsey. Retrieved 02 18, 2023, from https://www.mckinsey.com/~/media/mckinsey/featured%20insights/middle%20east%20and%20africa/how%20investors%20can%20support%20entrepreneurship%20in%20the%20middle%20east%20and%20north%20africa/mena%20entrepreneurship%20article-final%20version-for%20viewing</w:t>
          </w:r>
        </w:p>
        <w:p w14:paraId="3DBB215B" w14:textId="23BCF38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Alkhafagi, Y. A., &amp; Alsiede, Y. (2022). </w:t>
          </w:r>
          <w:r w:rsidRPr="009C6DC2">
            <w:rPr>
              <w:rFonts w:asciiTheme="majorBidi" w:hAnsiTheme="majorBidi" w:cstheme="majorBidi"/>
              <w:noProof/>
              <w:sz w:val="24"/>
              <w:szCs w:val="24"/>
              <w:lang w:val="en-US"/>
            </w:rPr>
            <w:t xml:space="preserve">Is the Stealth Marketing an Element of Promotion Mix? A Review of the Techniques. </w:t>
          </w:r>
          <w:r w:rsidRPr="009C6DC2">
            <w:rPr>
              <w:rFonts w:asciiTheme="majorBidi" w:hAnsiTheme="majorBidi" w:cstheme="majorBidi"/>
              <w:i/>
              <w:iCs/>
              <w:noProof/>
              <w:sz w:val="24"/>
              <w:szCs w:val="24"/>
              <w:lang w:val="en-US"/>
            </w:rPr>
            <w:t>Webology, 19</w:t>
          </w:r>
          <w:r w:rsidRPr="009C6DC2">
            <w:rPr>
              <w:rFonts w:asciiTheme="majorBidi" w:hAnsiTheme="majorBidi" w:cstheme="majorBidi"/>
              <w:noProof/>
              <w:sz w:val="24"/>
              <w:szCs w:val="24"/>
              <w:lang w:val="en-US"/>
            </w:rPr>
            <w:t>(01). Retrieved 10 01, 2022, from https://www.researchgate.net/publication/358424450_Is_the_Stealth_Marketing_an_Element_of_Promotion_Mix_A_Review_of_the_Techniques</w:t>
          </w:r>
        </w:p>
        <w:p w14:paraId="4EFB7B3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Allam, R. (2018). (European Journalism Centre) Retrieved 06 05, 2022, from Media Landscapes: https://datareportal.com/reports/digital-2022-egypt</w:t>
          </w:r>
        </w:p>
        <w:p w14:paraId="20B3FBE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Allam, R. (2023). </w:t>
          </w:r>
          <w:r w:rsidRPr="009C6DC2">
            <w:rPr>
              <w:rFonts w:asciiTheme="majorBidi" w:hAnsiTheme="majorBidi" w:cstheme="majorBidi"/>
              <w:i/>
              <w:iCs/>
              <w:noProof/>
              <w:sz w:val="24"/>
              <w:szCs w:val="24"/>
              <w:lang w:val="en-US"/>
            </w:rPr>
            <w:t>Media Landscapes</w:t>
          </w:r>
          <w:r w:rsidRPr="009C6DC2">
            <w:rPr>
              <w:rFonts w:asciiTheme="majorBidi" w:hAnsiTheme="majorBidi" w:cstheme="majorBidi"/>
              <w:noProof/>
              <w:sz w:val="24"/>
              <w:szCs w:val="24"/>
              <w:lang w:val="en-US"/>
            </w:rPr>
            <w:t>. Retrieved from Media Landscapes: https://medialandscapes.org/country/egypt</w:t>
          </w:r>
        </w:p>
        <w:p w14:paraId="33D3827E" w14:textId="7B3E7A2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Almeida, M. M., &amp; Coelho , A. F. (2019,). The Antecedents of Corporate Reputation and Image and Their Impacts on Employee Commitment and Performance: The Moderating Role of CSR. </w:t>
          </w:r>
          <w:r w:rsidRPr="009C6DC2">
            <w:rPr>
              <w:rFonts w:asciiTheme="majorBidi" w:hAnsiTheme="majorBidi" w:cstheme="majorBidi"/>
              <w:i/>
              <w:iCs/>
              <w:noProof/>
              <w:sz w:val="24"/>
              <w:szCs w:val="24"/>
              <w:lang w:val="en-US"/>
            </w:rPr>
            <w:t>Corporate Reputation Review, 22</w:t>
          </w:r>
          <w:r w:rsidRPr="009C6DC2">
            <w:rPr>
              <w:rFonts w:asciiTheme="majorBidi" w:hAnsiTheme="majorBidi" w:cstheme="majorBidi"/>
              <w:noProof/>
              <w:sz w:val="24"/>
              <w:szCs w:val="24"/>
              <w:lang w:val="en-US"/>
            </w:rPr>
            <w:t>(1), 10-25. doi:https://doi.org/10.1057/s41299-018-0053-8</w:t>
          </w:r>
        </w:p>
        <w:p w14:paraId="5441F0BE" w14:textId="5B72BC8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Al-Shammari , M., Rasheed, A., &amp; Al-Shammari, H. A. (2019). CEO narcissism and corporate social responsibility: Does CEO narcissism affect CSR focus? </w:t>
          </w:r>
          <w:r w:rsidRPr="009C6DC2">
            <w:rPr>
              <w:rFonts w:asciiTheme="majorBidi" w:hAnsiTheme="majorBidi" w:cstheme="majorBidi"/>
              <w:i/>
              <w:iCs/>
              <w:noProof/>
              <w:sz w:val="24"/>
              <w:szCs w:val="24"/>
              <w:lang w:val="en-US"/>
            </w:rPr>
            <w:t>Journal of Business Research, 104</w:t>
          </w:r>
          <w:r w:rsidRPr="009C6DC2">
            <w:rPr>
              <w:rFonts w:asciiTheme="majorBidi" w:hAnsiTheme="majorBidi" w:cstheme="majorBidi"/>
              <w:noProof/>
              <w:sz w:val="24"/>
              <w:szCs w:val="24"/>
              <w:lang w:val="en-US"/>
            </w:rPr>
            <w:t>, 106-117. doi:https://doi.org/10.1016/j.jbusres.2019.07.005</w:t>
          </w:r>
        </w:p>
        <w:p w14:paraId="00BD821E" w14:textId="311EEAC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Alvarado-Herrera, A., Bigne, E., Aldas-Manzano, J., &amp; Curras-Perez, R. (2017). </w:t>
          </w:r>
          <w:r w:rsidRPr="009C6DC2">
            <w:rPr>
              <w:rFonts w:asciiTheme="majorBidi" w:hAnsiTheme="majorBidi" w:cstheme="majorBidi"/>
              <w:noProof/>
              <w:sz w:val="24"/>
              <w:szCs w:val="24"/>
              <w:lang w:val="en-US"/>
            </w:rPr>
            <w:t xml:space="preserve">A Scale for Measuring Consumer Perceptions of Corporate Social Responsibility Following the Sustainable Development Paradigm. </w:t>
          </w:r>
          <w:r w:rsidRPr="009C6DC2">
            <w:rPr>
              <w:rFonts w:asciiTheme="majorBidi" w:hAnsiTheme="majorBidi" w:cstheme="majorBidi"/>
              <w:i/>
              <w:iCs/>
              <w:noProof/>
              <w:sz w:val="24"/>
              <w:szCs w:val="24"/>
              <w:lang w:val="en-US"/>
            </w:rPr>
            <w:t>Journal of Business Ethics, 140</w:t>
          </w:r>
          <w:r w:rsidRPr="009C6DC2">
            <w:rPr>
              <w:rFonts w:asciiTheme="majorBidi" w:hAnsiTheme="majorBidi" w:cstheme="majorBidi"/>
              <w:noProof/>
              <w:sz w:val="24"/>
              <w:szCs w:val="24"/>
              <w:lang w:val="en-US"/>
            </w:rPr>
            <w:t>(2), 243-262. doi:10.1007/s10551-015-2654-9</w:t>
          </w:r>
        </w:p>
        <w:p w14:paraId="01356B4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Alvesson , M. (2003). Methodology for close up studies – struggling with closeness and closure. </w:t>
          </w:r>
          <w:r w:rsidRPr="009C6DC2">
            <w:rPr>
              <w:rFonts w:asciiTheme="majorBidi" w:hAnsiTheme="majorBidi" w:cstheme="majorBidi"/>
              <w:i/>
              <w:iCs/>
              <w:noProof/>
              <w:sz w:val="24"/>
              <w:szCs w:val="24"/>
              <w:lang w:val="en-US"/>
            </w:rPr>
            <w:t>Higher Education, 46</w:t>
          </w:r>
          <w:r w:rsidRPr="009C6DC2">
            <w:rPr>
              <w:rFonts w:asciiTheme="majorBidi" w:hAnsiTheme="majorBidi" w:cstheme="majorBidi"/>
              <w:noProof/>
              <w:sz w:val="24"/>
              <w:szCs w:val="24"/>
              <w:lang w:val="en-US"/>
            </w:rPr>
            <w:t>, 167-193. doi:https://doi.org/10.1023/A:1024716513774</w:t>
          </w:r>
        </w:p>
        <w:p w14:paraId="7960527C" w14:textId="1B2516E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Alwin, D. F., &amp; Tufiş, P. A. (2015). The Changing Dynamics of Class and Culture in American Politics: A Test of the Polarization Hypothesis. </w:t>
          </w:r>
          <w:r w:rsidRPr="009C6DC2">
            <w:rPr>
              <w:rFonts w:asciiTheme="majorBidi" w:hAnsiTheme="majorBidi" w:cstheme="majorBidi"/>
              <w:i/>
              <w:iCs/>
              <w:noProof/>
              <w:sz w:val="24"/>
              <w:szCs w:val="24"/>
              <w:lang w:val="en-US"/>
            </w:rPr>
            <w:t>The ANNALS of the American Academy of Political and Social Science , 663</w:t>
          </w:r>
          <w:r w:rsidRPr="009C6DC2">
            <w:rPr>
              <w:rFonts w:asciiTheme="majorBidi" w:hAnsiTheme="majorBidi" w:cstheme="majorBidi"/>
              <w:noProof/>
              <w:sz w:val="24"/>
              <w:szCs w:val="24"/>
              <w:lang w:val="en-US"/>
            </w:rPr>
            <w:t>(1). doi:https://doi.org/10.1177/0002716215596974</w:t>
          </w:r>
        </w:p>
        <w:p w14:paraId="7F495B6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Alwitt, L. F., &amp; Mitchell, A. A. (Eds.). (2021). </w:t>
          </w:r>
          <w:r w:rsidRPr="009C6DC2">
            <w:rPr>
              <w:rFonts w:asciiTheme="majorBidi" w:hAnsiTheme="majorBidi" w:cstheme="majorBidi"/>
              <w:i/>
              <w:iCs/>
              <w:noProof/>
              <w:sz w:val="24"/>
              <w:szCs w:val="24"/>
              <w:lang w:val="en-US"/>
            </w:rPr>
            <w:t>Psychological Processes and Advertising Effects. Theory, Research, and Applications</w:t>
          </w:r>
          <w:r w:rsidRPr="009C6DC2">
            <w:rPr>
              <w:rFonts w:asciiTheme="majorBidi" w:hAnsiTheme="majorBidi" w:cstheme="majorBidi"/>
              <w:noProof/>
              <w:sz w:val="24"/>
              <w:szCs w:val="24"/>
              <w:lang w:val="en-US"/>
            </w:rPr>
            <w:t xml:space="preserve"> (1st ed.). London: Routledge. doi:https://www.routledge.com/Psychological-Processes-and-Advertising-Effects-Theory-Research-and-Applications/Alwitt-Mitchell/p/book/9780367498801</w:t>
          </w:r>
        </w:p>
        <w:p w14:paraId="3C43CBB1" w14:textId="4573098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Ames, H., Glenton, C., &amp; Lewin , S. (2019). Purposive sampling in a qualitative evidence synthesis: a worked example from a synthesis on parental perceptions of vaccination communication. </w:t>
          </w:r>
          <w:r w:rsidRPr="009C6DC2">
            <w:rPr>
              <w:rFonts w:asciiTheme="majorBidi" w:hAnsiTheme="majorBidi" w:cstheme="majorBidi"/>
              <w:i/>
              <w:iCs/>
              <w:noProof/>
              <w:sz w:val="24"/>
              <w:szCs w:val="24"/>
              <w:lang w:val="en-US"/>
            </w:rPr>
            <w:t>BMC Medical Research Methodology, 19</w:t>
          </w:r>
          <w:r w:rsidRPr="009C6DC2">
            <w:rPr>
              <w:rFonts w:asciiTheme="majorBidi" w:hAnsiTheme="majorBidi" w:cstheme="majorBidi"/>
              <w:noProof/>
              <w:sz w:val="24"/>
              <w:szCs w:val="24"/>
              <w:lang w:val="en-US"/>
            </w:rPr>
            <w:t>. doi:https://doi.org/10.1186/s12874-019-0665-4</w:t>
          </w:r>
        </w:p>
        <w:p w14:paraId="0FEA2058" w14:textId="3219B8D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Amin, M. H., Mohamed, E. K., &amp; Elragal, A. (202</w:t>
          </w:r>
          <w:r w:rsidR="00B160DB">
            <w:rPr>
              <w:rFonts w:asciiTheme="majorBidi" w:hAnsiTheme="majorBidi" w:cstheme="majorBidi"/>
              <w:noProof/>
              <w:sz w:val="24"/>
              <w:szCs w:val="24"/>
              <w:lang w:val="en-US"/>
            </w:rPr>
            <w:t>1</w:t>
          </w:r>
          <w:r w:rsidRPr="009C6DC2">
            <w:rPr>
              <w:rFonts w:asciiTheme="majorBidi" w:hAnsiTheme="majorBidi" w:cstheme="majorBidi"/>
              <w:noProof/>
              <w:sz w:val="24"/>
              <w:szCs w:val="24"/>
              <w:lang w:val="en-US"/>
            </w:rPr>
            <w:t xml:space="preserve">). CSR disclosure on Twitter: Evidence from the UK. </w:t>
          </w:r>
          <w:r w:rsidRPr="009C6DC2">
            <w:rPr>
              <w:rFonts w:asciiTheme="majorBidi" w:hAnsiTheme="majorBidi" w:cstheme="majorBidi"/>
              <w:i/>
              <w:iCs/>
              <w:noProof/>
              <w:sz w:val="24"/>
              <w:szCs w:val="24"/>
              <w:lang w:val="en-US"/>
            </w:rPr>
            <w:t>International Journal of Accounting Information, 40</w:t>
          </w:r>
          <w:r w:rsidRPr="009C6DC2">
            <w:rPr>
              <w:rFonts w:asciiTheme="majorBidi" w:hAnsiTheme="majorBidi" w:cstheme="majorBidi"/>
              <w:noProof/>
              <w:sz w:val="24"/>
              <w:szCs w:val="24"/>
              <w:lang w:val="en-US"/>
            </w:rPr>
            <w:t>. doi:https://doi.org/10.1016/j.accinf.2021.100500</w:t>
          </w:r>
        </w:p>
        <w:p w14:paraId="23E777AF" w14:textId="5BA7CBA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Andrade , C. (2020). The Inconvenient Truth About Convenience and Purposive Samples. </w:t>
          </w:r>
          <w:r w:rsidRPr="009C6DC2">
            <w:rPr>
              <w:rFonts w:asciiTheme="majorBidi" w:hAnsiTheme="majorBidi" w:cstheme="majorBidi"/>
              <w:i/>
              <w:iCs/>
              <w:noProof/>
              <w:sz w:val="24"/>
              <w:szCs w:val="24"/>
              <w:lang w:val="en-US"/>
            </w:rPr>
            <w:t>Indian Journal of Psychological Medicine, 43</w:t>
          </w:r>
          <w:r w:rsidRPr="009C6DC2">
            <w:rPr>
              <w:rFonts w:asciiTheme="majorBidi" w:hAnsiTheme="majorBidi" w:cstheme="majorBidi"/>
              <w:noProof/>
              <w:sz w:val="24"/>
              <w:szCs w:val="24"/>
              <w:lang w:val="en-US"/>
            </w:rPr>
            <w:t>(1), 86-88. doi:https://doi.org/10.1177/0253717620977000</w:t>
          </w:r>
        </w:p>
        <w:p w14:paraId="01E73265" w14:textId="4DF6A8E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Anisimova, T. (2016). Integrating Multiple Factors Affecting Consumer Behavior Toward Organic Foods: The Role of Healthism, Hedonism, and Trust in Consumer Purchase Intentions of Organic Foods. </w:t>
          </w:r>
          <w:r w:rsidRPr="009C6DC2">
            <w:rPr>
              <w:rFonts w:asciiTheme="majorBidi" w:hAnsiTheme="majorBidi" w:cstheme="majorBidi"/>
              <w:i/>
              <w:iCs/>
              <w:noProof/>
              <w:sz w:val="24"/>
              <w:szCs w:val="24"/>
              <w:lang w:val="en-US"/>
            </w:rPr>
            <w:t>Journal of Food Products Marketing, 22</w:t>
          </w:r>
          <w:r w:rsidRPr="009C6DC2">
            <w:rPr>
              <w:rFonts w:asciiTheme="majorBidi" w:hAnsiTheme="majorBidi" w:cstheme="majorBidi"/>
              <w:noProof/>
              <w:sz w:val="24"/>
              <w:szCs w:val="24"/>
              <w:lang w:val="en-US"/>
            </w:rPr>
            <w:t>(7), 809-823. doi:https://doi.org/10.1080/10454446.2015.1121429</w:t>
          </w:r>
        </w:p>
        <w:p w14:paraId="1D84FA8D" w14:textId="6DD4F4A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Ansary, A., &amp; Hashim , N. H. (2018). Brand image and equity: the mediating role of brand equity drivers and moderating effects of product type and word of mouth. </w:t>
          </w:r>
          <w:r w:rsidRPr="009C6DC2">
            <w:rPr>
              <w:rFonts w:asciiTheme="majorBidi" w:hAnsiTheme="majorBidi" w:cstheme="majorBidi"/>
              <w:i/>
              <w:iCs/>
              <w:noProof/>
              <w:sz w:val="24"/>
              <w:szCs w:val="24"/>
              <w:lang w:val="en-US"/>
            </w:rPr>
            <w:t>Review of Managerial Science</w:t>
          </w:r>
          <w:r w:rsidRPr="009C6DC2">
            <w:rPr>
              <w:rFonts w:asciiTheme="majorBidi" w:hAnsiTheme="majorBidi" w:cstheme="majorBidi"/>
              <w:noProof/>
              <w:sz w:val="24"/>
              <w:szCs w:val="24"/>
              <w:lang w:val="en-US"/>
            </w:rPr>
            <w:t>, 969-1002. doi: https://doi.org/10.1007/s11846-017-0235-2</w:t>
          </w:r>
        </w:p>
        <w:p w14:paraId="118CACFF" w14:textId="0AC8388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Apaolaza, V., Hartmann, P., Echebarria, C., &amp; Barrutia, J. M. (2017). Organic label's halo effect on sensory and hedonic experience of wine: A pilot study. </w:t>
          </w:r>
          <w:r w:rsidRPr="009C6DC2">
            <w:rPr>
              <w:rFonts w:asciiTheme="majorBidi" w:hAnsiTheme="majorBidi" w:cstheme="majorBidi"/>
              <w:i/>
              <w:iCs/>
              <w:noProof/>
              <w:sz w:val="24"/>
              <w:szCs w:val="24"/>
              <w:lang w:val="en-US"/>
            </w:rPr>
            <w:t>Journal of Sensory Studies, 32</w:t>
          </w:r>
          <w:r w:rsidRPr="009C6DC2">
            <w:rPr>
              <w:rFonts w:asciiTheme="majorBidi" w:hAnsiTheme="majorBidi" w:cstheme="majorBidi"/>
              <w:noProof/>
              <w:sz w:val="24"/>
              <w:szCs w:val="24"/>
              <w:lang w:val="en-US"/>
            </w:rPr>
            <w:t>(1). doi:https://doi.org/10.1111/joss.12243</w:t>
          </w:r>
        </w:p>
        <w:p w14:paraId="5CD57ED6" w14:textId="69BC470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Araujo, T., &amp; Kollat, J. (2018). Communicating effectively about CSR on Twitter: The power of engaging strategies and storytelling elements. </w:t>
          </w:r>
          <w:r w:rsidRPr="009C6DC2">
            <w:rPr>
              <w:rFonts w:asciiTheme="majorBidi" w:hAnsiTheme="majorBidi" w:cstheme="majorBidi"/>
              <w:i/>
              <w:iCs/>
              <w:noProof/>
              <w:sz w:val="24"/>
              <w:szCs w:val="24"/>
              <w:lang w:val="en-US"/>
            </w:rPr>
            <w:t>Internet Research, 28</w:t>
          </w:r>
          <w:r w:rsidRPr="009C6DC2">
            <w:rPr>
              <w:rFonts w:asciiTheme="majorBidi" w:hAnsiTheme="majorBidi" w:cstheme="majorBidi"/>
              <w:noProof/>
              <w:sz w:val="24"/>
              <w:szCs w:val="24"/>
              <w:lang w:val="en-US"/>
            </w:rPr>
            <w:t>(2), 419-431. doi:https://doi.org/10.1108/IntR-04-2017-0172</w:t>
          </w:r>
        </w:p>
        <w:p w14:paraId="056FCD89" w14:textId="4203F28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Armitage, C. J., &amp; Conner, M. (2010</w:t>
          </w:r>
          <w:r w:rsidR="00B160DB">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Efficacy of the Theory of Planned Behaviour: A meta-analytic review. </w:t>
          </w:r>
          <w:r w:rsidRPr="009C6DC2">
            <w:rPr>
              <w:rFonts w:asciiTheme="majorBidi" w:hAnsiTheme="majorBidi" w:cstheme="majorBidi"/>
              <w:i/>
              <w:iCs/>
              <w:noProof/>
              <w:sz w:val="24"/>
              <w:szCs w:val="24"/>
              <w:lang w:val="en-US"/>
            </w:rPr>
            <w:t>British Journal of Social Psychology , 40</w:t>
          </w:r>
          <w:r w:rsidRPr="009C6DC2">
            <w:rPr>
              <w:rFonts w:asciiTheme="majorBidi" w:hAnsiTheme="majorBidi" w:cstheme="majorBidi"/>
              <w:noProof/>
              <w:sz w:val="24"/>
              <w:szCs w:val="24"/>
              <w:lang w:val="en-US"/>
            </w:rPr>
            <w:t>(4), 471-499. doi:https://doi.org/10.1348/014466601164939</w:t>
          </w:r>
        </w:p>
        <w:p w14:paraId="2D2CA29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Aronson, E. (1968). Dissonance theory: Progress and problems. In E. Aronson, </w:t>
          </w:r>
          <w:r w:rsidRPr="009C6DC2">
            <w:rPr>
              <w:rFonts w:asciiTheme="majorBidi" w:hAnsiTheme="majorBidi" w:cstheme="majorBidi"/>
              <w:i/>
              <w:iCs/>
              <w:noProof/>
              <w:sz w:val="24"/>
              <w:szCs w:val="24"/>
              <w:lang w:val="en-US"/>
            </w:rPr>
            <w:t>Theories of cognitive consistency: A sourcebook</w:t>
          </w:r>
          <w:r w:rsidRPr="009C6DC2">
            <w:rPr>
              <w:rFonts w:asciiTheme="majorBidi" w:hAnsiTheme="majorBidi" w:cstheme="majorBidi"/>
              <w:noProof/>
              <w:sz w:val="24"/>
              <w:szCs w:val="24"/>
              <w:lang w:val="en-US"/>
            </w:rPr>
            <w:t xml:space="preserve"> (pp. 5-27). Rand McNally, Chicago.</w:t>
          </w:r>
        </w:p>
        <w:p w14:paraId="2465451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Arora, R. (2011). Bundling or unbundling frequently purchased products: a mixed method approach. </w:t>
          </w:r>
          <w:r w:rsidRPr="009C6DC2">
            <w:rPr>
              <w:rFonts w:asciiTheme="majorBidi" w:hAnsiTheme="majorBidi" w:cstheme="majorBidi"/>
              <w:i/>
              <w:iCs/>
              <w:noProof/>
              <w:sz w:val="24"/>
              <w:szCs w:val="24"/>
              <w:lang w:val="en-US"/>
            </w:rPr>
            <w:t>Journal of Consumer Marketing, 28</w:t>
          </w:r>
          <w:r w:rsidRPr="009C6DC2">
            <w:rPr>
              <w:rFonts w:asciiTheme="majorBidi" w:hAnsiTheme="majorBidi" w:cstheme="majorBidi"/>
              <w:noProof/>
              <w:sz w:val="24"/>
              <w:szCs w:val="24"/>
              <w:lang w:val="en-US"/>
            </w:rPr>
            <w:t>(1), 67-75. Retrieved 09 26, 2023, from https://doi-org.lsbu.idm.oclc.org/10.1108/07363761111101967</w:t>
          </w:r>
        </w:p>
        <w:p w14:paraId="5C17F724" w14:textId="65EFFC8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Arora, S. D., &amp; Chakraborty , A. (2021). </w:t>
          </w:r>
          <w:r w:rsidRPr="009C6DC2">
            <w:rPr>
              <w:rFonts w:asciiTheme="majorBidi" w:hAnsiTheme="majorBidi" w:cstheme="majorBidi"/>
              <w:noProof/>
              <w:sz w:val="24"/>
              <w:szCs w:val="24"/>
              <w:lang w:val="en-US"/>
            </w:rPr>
            <w:t xml:space="preserve">Consumer Complaining Behavior: a Paradigmatic Review. </w:t>
          </w:r>
          <w:r w:rsidRPr="009C6DC2">
            <w:rPr>
              <w:rFonts w:asciiTheme="majorBidi" w:hAnsiTheme="majorBidi" w:cstheme="majorBidi"/>
              <w:i/>
              <w:iCs/>
              <w:noProof/>
              <w:sz w:val="24"/>
              <w:szCs w:val="24"/>
              <w:lang w:val="en-US"/>
            </w:rPr>
            <w:t>Philosophy of Management volume, 20</w:t>
          </w:r>
          <w:r w:rsidRPr="009C6DC2">
            <w:rPr>
              <w:rFonts w:asciiTheme="majorBidi" w:hAnsiTheme="majorBidi" w:cstheme="majorBidi"/>
              <w:noProof/>
              <w:sz w:val="24"/>
              <w:szCs w:val="24"/>
              <w:lang w:val="en-US"/>
            </w:rPr>
            <w:t>, 113-134. doi:https://doi.org/10.1007/s40926-020-00148-8</w:t>
          </w:r>
        </w:p>
        <w:p w14:paraId="1E7108FB" w14:textId="3BF4156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Arora, T., &amp; Agarwal, B. (2019). Empirical study on perceived value and attitude of millennials towards social media. </w:t>
          </w:r>
          <w:r w:rsidRPr="009C6DC2">
            <w:rPr>
              <w:rFonts w:asciiTheme="majorBidi" w:hAnsiTheme="majorBidi" w:cstheme="majorBidi"/>
              <w:i/>
              <w:iCs/>
              <w:noProof/>
              <w:sz w:val="24"/>
              <w:szCs w:val="24"/>
              <w:lang w:val="en-US"/>
            </w:rPr>
            <w:t>Vision: The Journal of Business Perspective, 23</w:t>
          </w:r>
          <w:r w:rsidRPr="009C6DC2">
            <w:rPr>
              <w:rFonts w:asciiTheme="majorBidi" w:hAnsiTheme="majorBidi" w:cstheme="majorBidi"/>
              <w:noProof/>
              <w:sz w:val="24"/>
              <w:szCs w:val="24"/>
              <w:lang w:val="en-US"/>
            </w:rPr>
            <w:t>(1), 56-69. doi:https://doi.org/10.1177/0972262918821248</w:t>
          </w:r>
        </w:p>
        <w:p w14:paraId="7172440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Arshad, S. (2021). The impact of advertising controllable elements on consumers' attitude towards the advertisement, brand and purchase intention. Retrieved 08 05, 2022, from http://hdl.handle.net/11427/33631</w:t>
          </w:r>
        </w:p>
        <w:p w14:paraId="47A96969" w14:textId="2A56E1B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Ashaduzzaman, M., Jebarajakirthy, C., Weaven, S. k., Maseeh, H. I., Das, M., &amp; Pentecost , R. (2022</w:t>
          </w:r>
          <w:r w:rsidR="00B160DB">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Predicting collaborative consumption behaviour: a meta-analytic path analysis on the theory of planned behaviour. </w:t>
          </w:r>
          <w:r w:rsidRPr="009C6DC2">
            <w:rPr>
              <w:rFonts w:asciiTheme="majorBidi" w:hAnsiTheme="majorBidi" w:cstheme="majorBidi"/>
              <w:i/>
              <w:iCs/>
              <w:noProof/>
              <w:sz w:val="24"/>
              <w:szCs w:val="24"/>
              <w:lang w:val="en-US"/>
            </w:rPr>
            <w:t>European Journal of Marketing, 56</w:t>
          </w:r>
          <w:r w:rsidRPr="009C6DC2">
            <w:rPr>
              <w:rFonts w:asciiTheme="majorBidi" w:hAnsiTheme="majorBidi" w:cstheme="majorBidi"/>
              <w:noProof/>
              <w:sz w:val="24"/>
              <w:szCs w:val="24"/>
              <w:lang w:val="en-US"/>
            </w:rPr>
            <w:t>(4), 968-1013. doi:https://doi.org/10.1108/EJM-07-2020-0563</w:t>
          </w:r>
        </w:p>
        <w:p w14:paraId="493DAE18" w14:textId="12C03C40"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Assaf, A. G., Josiassen, A., Ahn, J. S., &amp; Mattila, A. S. (2017). </w:t>
          </w:r>
          <w:r w:rsidRPr="009C6DC2">
            <w:rPr>
              <w:rFonts w:asciiTheme="majorBidi" w:hAnsiTheme="majorBidi" w:cstheme="majorBidi"/>
              <w:noProof/>
              <w:sz w:val="24"/>
              <w:szCs w:val="24"/>
              <w:lang w:val="en-US"/>
            </w:rPr>
            <w:t xml:space="preserve">Advertising spending, firm performance, and the moderating impact of CSR. </w:t>
          </w:r>
          <w:r w:rsidRPr="009C6DC2">
            <w:rPr>
              <w:rFonts w:asciiTheme="majorBidi" w:hAnsiTheme="majorBidi" w:cstheme="majorBidi"/>
              <w:i/>
              <w:iCs/>
              <w:noProof/>
              <w:sz w:val="24"/>
              <w:szCs w:val="24"/>
              <w:lang w:val="en-US"/>
            </w:rPr>
            <w:t>Tourism Economics, 23</w:t>
          </w:r>
          <w:r w:rsidRPr="009C6DC2">
            <w:rPr>
              <w:rFonts w:asciiTheme="majorBidi" w:hAnsiTheme="majorBidi" w:cstheme="majorBidi"/>
              <w:noProof/>
              <w:sz w:val="24"/>
              <w:szCs w:val="24"/>
              <w:lang w:val="en-US"/>
            </w:rPr>
            <w:t>(7). doi:10.1177/1354816617704739</w:t>
          </w:r>
        </w:p>
        <w:p w14:paraId="5E4CBD76" w14:textId="4558343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Attiq, S., Hamid, A. A., Khokhar, M. N., Shah, H. J., &amp; Shahzad, A. (2022). Wow! It’s Cool”: how brand coolness affects the customer psychological well-being through brand love and brand engagement. </w:t>
          </w:r>
          <w:r w:rsidRPr="009C6DC2">
            <w:rPr>
              <w:rFonts w:asciiTheme="majorBidi" w:hAnsiTheme="majorBidi" w:cstheme="majorBidi"/>
              <w:i/>
              <w:iCs/>
              <w:noProof/>
              <w:sz w:val="24"/>
              <w:szCs w:val="24"/>
              <w:lang w:val="en-US"/>
            </w:rPr>
            <w:t>Frontiers in Psychology, 13</w:t>
          </w:r>
          <w:r w:rsidRPr="009C6DC2">
            <w:rPr>
              <w:rFonts w:asciiTheme="majorBidi" w:hAnsiTheme="majorBidi" w:cstheme="majorBidi"/>
              <w:noProof/>
              <w:sz w:val="24"/>
              <w:szCs w:val="24"/>
              <w:lang w:val="en-US"/>
            </w:rPr>
            <w:t>. doi:https://doi.org/10.3389/fpsyg.2022.923870</w:t>
          </w:r>
        </w:p>
        <w:p w14:paraId="410D438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Ausin, J. M., Guixeres, J., Bigné, E., &amp; Alcañiz , M. (2017). Facial Expressions to Evaluate Advertising: A Laboratory versus Living Room Study. In </w:t>
          </w:r>
          <w:r w:rsidRPr="009C6DC2">
            <w:rPr>
              <w:rFonts w:asciiTheme="majorBidi" w:hAnsiTheme="majorBidi" w:cstheme="majorBidi"/>
              <w:i/>
              <w:iCs/>
              <w:noProof/>
              <w:sz w:val="24"/>
              <w:szCs w:val="24"/>
              <w:lang w:val="en-US"/>
            </w:rPr>
            <w:t>Advances in Advertising Research VIII</w:t>
          </w:r>
          <w:r w:rsidRPr="009C6DC2">
            <w:rPr>
              <w:rFonts w:asciiTheme="majorBidi" w:hAnsiTheme="majorBidi" w:cstheme="majorBidi"/>
              <w:noProof/>
              <w:sz w:val="24"/>
              <w:szCs w:val="24"/>
              <w:lang w:val="en-US"/>
            </w:rPr>
            <w:t xml:space="preserve"> (pp. 109-122). doi:https://doi.org/10.1007/978-3-658-18731-6_9</w:t>
          </w:r>
        </w:p>
        <w:p w14:paraId="34E4DFA6" w14:textId="5E2EC20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Austin, L., &amp; Gaither , B. M. (2018). Redefining fit: examining CSR company-issue fit in stigmatized industries. </w:t>
          </w:r>
          <w:r w:rsidRPr="009C6DC2">
            <w:rPr>
              <w:rFonts w:asciiTheme="majorBidi" w:hAnsiTheme="majorBidi" w:cstheme="majorBidi"/>
              <w:i/>
              <w:iCs/>
              <w:noProof/>
              <w:sz w:val="24"/>
              <w:szCs w:val="24"/>
              <w:lang w:val="en-US"/>
            </w:rPr>
            <w:t>Journal of Brand Management, 26</w:t>
          </w:r>
          <w:r w:rsidRPr="009C6DC2">
            <w:rPr>
              <w:rFonts w:asciiTheme="majorBidi" w:hAnsiTheme="majorBidi" w:cstheme="majorBidi"/>
              <w:noProof/>
              <w:sz w:val="24"/>
              <w:szCs w:val="24"/>
              <w:lang w:val="en-US"/>
            </w:rPr>
            <w:t>. doi:https://doi.org/10.1057/s41262-018-0107-3</w:t>
          </w:r>
        </w:p>
        <w:p w14:paraId="4B64A6F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Austin, Z., &amp; Sutton, J. (2014). Qualitative research: getting started. </w:t>
          </w:r>
          <w:r w:rsidRPr="009C6DC2">
            <w:rPr>
              <w:rFonts w:asciiTheme="majorBidi" w:hAnsiTheme="majorBidi" w:cstheme="majorBidi"/>
              <w:i/>
              <w:iCs/>
              <w:noProof/>
              <w:sz w:val="24"/>
              <w:szCs w:val="24"/>
              <w:lang w:val="en-US"/>
            </w:rPr>
            <w:t>The Canadaian Journal of Hospital Pharmacy, 67</w:t>
          </w:r>
          <w:r w:rsidRPr="009C6DC2">
            <w:rPr>
              <w:rFonts w:asciiTheme="majorBidi" w:hAnsiTheme="majorBidi" w:cstheme="majorBidi"/>
              <w:noProof/>
              <w:sz w:val="24"/>
              <w:szCs w:val="24"/>
              <w:lang w:val="en-US"/>
            </w:rPr>
            <w:t>(6), 436-440.</w:t>
          </w:r>
        </w:p>
        <w:p w14:paraId="6F662C64" w14:textId="606404A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Awawdeh, A., Ananzeh, M., El-khateeb, A. I., &amp; Aljumah, A. (2021). Role of green financing and corporate social responsibility (CSR) in technological innovation and corporate environmental performance: a COVID-19 perspective. </w:t>
          </w:r>
          <w:r w:rsidRPr="009C6DC2">
            <w:rPr>
              <w:rFonts w:asciiTheme="majorBidi" w:hAnsiTheme="majorBidi" w:cstheme="majorBidi"/>
              <w:i/>
              <w:iCs/>
              <w:noProof/>
              <w:sz w:val="24"/>
              <w:szCs w:val="24"/>
              <w:lang w:val="en-US"/>
            </w:rPr>
            <w:t>China Finance Review International, 12</w:t>
          </w:r>
          <w:r w:rsidRPr="009C6DC2">
            <w:rPr>
              <w:rFonts w:asciiTheme="majorBidi" w:hAnsiTheme="majorBidi" w:cstheme="majorBidi"/>
              <w:noProof/>
              <w:sz w:val="24"/>
              <w:szCs w:val="24"/>
              <w:lang w:val="en-US"/>
            </w:rPr>
            <w:t>(2), 297-316. doi:https://doi.org/10.1108/CFRI-03-2021-0048</w:t>
          </w:r>
        </w:p>
        <w:p w14:paraId="3DC1F04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Ayad, N. (2017). Can offensive advertising strategies survive the perceptions of the millennial muslims in Egypt. </w:t>
          </w:r>
          <w:r w:rsidRPr="009C6DC2">
            <w:rPr>
              <w:rFonts w:asciiTheme="majorBidi" w:hAnsiTheme="majorBidi" w:cstheme="majorBidi"/>
              <w:i/>
              <w:iCs/>
              <w:noProof/>
              <w:sz w:val="24"/>
              <w:szCs w:val="24"/>
              <w:lang w:val="en-US"/>
            </w:rPr>
            <w:t>Repository of Cardiff University</w:t>
          </w:r>
          <w:r w:rsidRPr="009C6DC2">
            <w:rPr>
              <w:rFonts w:asciiTheme="majorBidi" w:hAnsiTheme="majorBidi" w:cstheme="majorBidi"/>
              <w:noProof/>
              <w:sz w:val="24"/>
              <w:szCs w:val="24"/>
              <w:lang w:val="en-US"/>
            </w:rPr>
            <w:t>. Retrieved 09 05, 2022, from file:///C:/Users/Nashwa/Desktop/PhD%20LSBU/Shorouk%20Hamzawi%20docs/Nihal%20Ayad%20Thesis%202018-1.pdf</w:t>
          </w:r>
        </w:p>
        <w:p w14:paraId="542C1961" w14:textId="28BE785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Aydın, D. (2014). The Relation between Positive Brand Emotions and Recall. </w:t>
          </w:r>
          <w:r w:rsidRPr="009C6DC2">
            <w:rPr>
              <w:rFonts w:asciiTheme="majorBidi" w:hAnsiTheme="majorBidi" w:cstheme="majorBidi"/>
              <w:i/>
              <w:iCs/>
              <w:noProof/>
              <w:sz w:val="24"/>
              <w:szCs w:val="24"/>
              <w:lang w:val="en-US"/>
            </w:rPr>
            <w:t>Online Journal of Communication and Media Technologies, 4</w:t>
          </w:r>
          <w:r w:rsidRPr="009C6DC2">
            <w:rPr>
              <w:rFonts w:asciiTheme="majorBidi" w:hAnsiTheme="majorBidi" w:cstheme="majorBidi"/>
              <w:noProof/>
              <w:sz w:val="24"/>
              <w:szCs w:val="24"/>
              <w:lang w:val="en-US"/>
            </w:rPr>
            <w:t>(1). doi:10.29333/ojcmt/2460</w:t>
          </w:r>
        </w:p>
        <w:p w14:paraId="3AD6778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Aytaç, S. E. (2020). Do Voters Respond to Relative Economic Performance? Evidence from Survey Experiments. </w:t>
          </w:r>
          <w:r w:rsidRPr="009C6DC2">
            <w:rPr>
              <w:rFonts w:asciiTheme="majorBidi" w:hAnsiTheme="majorBidi" w:cstheme="majorBidi"/>
              <w:i/>
              <w:iCs/>
              <w:noProof/>
              <w:sz w:val="24"/>
              <w:szCs w:val="24"/>
              <w:lang w:val="en-US"/>
            </w:rPr>
            <w:t>Public Opinion Quarterly, 84</w:t>
          </w:r>
          <w:r w:rsidRPr="009C6DC2">
            <w:rPr>
              <w:rFonts w:asciiTheme="majorBidi" w:hAnsiTheme="majorBidi" w:cstheme="majorBidi"/>
              <w:noProof/>
              <w:sz w:val="24"/>
              <w:szCs w:val="24"/>
              <w:lang w:val="en-US"/>
            </w:rPr>
            <w:t>(02), 493-507. doi:10.1093/poq/nfaa023</w:t>
          </w:r>
        </w:p>
        <w:p w14:paraId="50B549D8" w14:textId="6EC90D7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Babor, T. S., &amp; Robaina , K. (2013). Public Health, Academic Medicine, and the Alcohol Industry’s Corporate Social Responsibility Activities. </w:t>
          </w:r>
          <w:r w:rsidRPr="009C6DC2">
            <w:rPr>
              <w:rFonts w:asciiTheme="majorBidi" w:hAnsiTheme="majorBidi" w:cstheme="majorBidi"/>
              <w:i/>
              <w:iCs/>
              <w:noProof/>
              <w:sz w:val="24"/>
              <w:szCs w:val="24"/>
              <w:lang w:val="en-US"/>
            </w:rPr>
            <w:t>American Journal of Public Health (AJPH)</w:t>
          </w:r>
          <w:r w:rsidRPr="009C6DC2">
            <w:rPr>
              <w:rFonts w:asciiTheme="majorBidi" w:hAnsiTheme="majorBidi" w:cstheme="majorBidi"/>
              <w:noProof/>
              <w:sz w:val="24"/>
              <w:szCs w:val="24"/>
              <w:lang w:val="en-US"/>
            </w:rPr>
            <w:t>. doi:10.2105/AJPH.2012.300847</w:t>
          </w:r>
        </w:p>
        <w:p w14:paraId="55DEB357" w14:textId="2262381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Bachmann, P., &amp; Ingenhoff, D. (2016). Legitimacy through CSR disclosures? The advantage outweighs the disadvantages. </w:t>
          </w:r>
          <w:r w:rsidRPr="009C6DC2">
            <w:rPr>
              <w:rFonts w:asciiTheme="majorBidi" w:hAnsiTheme="majorBidi" w:cstheme="majorBidi"/>
              <w:i/>
              <w:iCs/>
              <w:noProof/>
              <w:sz w:val="24"/>
              <w:szCs w:val="24"/>
              <w:lang w:val="en-US"/>
            </w:rPr>
            <w:t>Public Relations Review, 42</w:t>
          </w:r>
          <w:r w:rsidRPr="009C6DC2">
            <w:rPr>
              <w:rFonts w:asciiTheme="majorBidi" w:hAnsiTheme="majorBidi" w:cstheme="majorBidi"/>
              <w:noProof/>
              <w:sz w:val="24"/>
              <w:szCs w:val="24"/>
              <w:lang w:val="en-US"/>
            </w:rPr>
            <w:t>(3), 386-294. doi:https://doi.org/10.1016/j.pubrev.2016.02.008</w:t>
          </w:r>
        </w:p>
        <w:p w14:paraId="5B93029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Bacig, M., &amp; Young, C. A. (2019). The halo effect created for restaurants that source food locally. </w:t>
          </w:r>
          <w:r w:rsidRPr="009C6DC2">
            <w:rPr>
              <w:rFonts w:asciiTheme="majorBidi" w:hAnsiTheme="majorBidi" w:cstheme="majorBidi"/>
              <w:i/>
              <w:iCs/>
              <w:noProof/>
              <w:sz w:val="24"/>
              <w:szCs w:val="24"/>
              <w:lang w:val="en-US"/>
            </w:rPr>
            <w:t>Journal of FoodService Business Research , 22</w:t>
          </w:r>
          <w:r w:rsidRPr="009C6DC2">
            <w:rPr>
              <w:rFonts w:asciiTheme="majorBidi" w:hAnsiTheme="majorBidi" w:cstheme="majorBidi"/>
              <w:noProof/>
              <w:sz w:val="24"/>
              <w:szCs w:val="24"/>
              <w:lang w:val="en-US"/>
            </w:rPr>
            <w:t>(3), 209-238. doi:https://doi.org/10.1080/15378020.2019.1592654</w:t>
          </w:r>
        </w:p>
        <w:p w14:paraId="31D67F72" w14:textId="19D532A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Bagozzi, R. P., Batra, R., &amp; Ahuvia , A. (2017). Brand love: development and validation of a practical scale. </w:t>
          </w:r>
          <w:r w:rsidRPr="009C6DC2">
            <w:rPr>
              <w:rFonts w:asciiTheme="majorBidi" w:hAnsiTheme="majorBidi" w:cstheme="majorBidi"/>
              <w:i/>
              <w:iCs/>
              <w:noProof/>
              <w:sz w:val="24"/>
              <w:szCs w:val="24"/>
              <w:lang w:val="en-US"/>
            </w:rPr>
            <w:t>Marketing Letters , 28</w:t>
          </w:r>
          <w:r w:rsidRPr="009C6DC2">
            <w:rPr>
              <w:rFonts w:asciiTheme="majorBidi" w:hAnsiTheme="majorBidi" w:cstheme="majorBidi"/>
              <w:noProof/>
              <w:sz w:val="24"/>
              <w:szCs w:val="24"/>
              <w:lang w:val="en-US"/>
            </w:rPr>
            <w:t>, 1-14. doi:https://doi.org/10.1007/s11002-016-9406-1</w:t>
          </w:r>
        </w:p>
        <w:p w14:paraId="0CE3FB2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Baker, J., &amp; Wakefield, K. L. (2012). How consumer shopping orientation influences perceived crowding, excitement, and stress at the mall. </w:t>
          </w:r>
          <w:r w:rsidRPr="009C6DC2">
            <w:rPr>
              <w:rFonts w:asciiTheme="majorBidi" w:hAnsiTheme="majorBidi" w:cstheme="majorBidi"/>
              <w:i/>
              <w:iCs/>
              <w:noProof/>
              <w:sz w:val="24"/>
              <w:szCs w:val="24"/>
              <w:lang w:val="en-US"/>
            </w:rPr>
            <w:t>Journal of the Academy of Marketing Science, 40</w:t>
          </w:r>
          <w:r w:rsidRPr="009C6DC2">
            <w:rPr>
              <w:rFonts w:asciiTheme="majorBidi" w:hAnsiTheme="majorBidi" w:cstheme="majorBidi"/>
              <w:noProof/>
              <w:sz w:val="24"/>
              <w:szCs w:val="24"/>
              <w:lang w:val="en-US"/>
            </w:rPr>
            <w:t>(6), 791-806. doi: https://doi.org/10.1007/s11747-011-0284-z</w:t>
          </w:r>
        </w:p>
        <w:p w14:paraId="2127C11F" w14:textId="393A0B3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Bakry, A. E. (2022). Does intellectual capital efficiency improve the corporate social responsibility of Egyptian firms? </w:t>
          </w:r>
          <w:r w:rsidRPr="009C6DC2">
            <w:rPr>
              <w:rFonts w:asciiTheme="majorBidi" w:hAnsiTheme="majorBidi" w:cstheme="majorBidi"/>
              <w:i/>
              <w:iCs/>
              <w:noProof/>
              <w:sz w:val="24"/>
              <w:szCs w:val="24"/>
              <w:lang w:val="en-US"/>
            </w:rPr>
            <w:t>Journal of Financial Reporting and Accounting, 20</w:t>
          </w:r>
          <w:r w:rsidRPr="009C6DC2">
            <w:rPr>
              <w:rFonts w:asciiTheme="majorBidi" w:hAnsiTheme="majorBidi" w:cstheme="majorBidi"/>
              <w:noProof/>
              <w:sz w:val="24"/>
              <w:szCs w:val="24"/>
              <w:lang w:val="en-US"/>
            </w:rPr>
            <w:t>(3/4), 693-711. doi:https://doi.org/10.1108/JFRA-09-2020-0269</w:t>
          </w:r>
        </w:p>
        <w:p w14:paraId="0D287897" w14:textId="74DEAB8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Bao, Y., Dolan, S. L., &amp; Tzafrir, S. S. (2019). Value Congruence in Organizations: Literature Review, Theoretical Perspectives, and Future Directions. </w:t>
          </w:r>
          <w:r w:rsidRPr="009C6DC2">
            <w:rPr>
              <w:rFonts w:asciiTheme="majorBidi" w:hAnsiTheme="majorBidi" w:cstheme="majorBidi"/>
              <w:i/>
              <w:iCs/>
              <w:noProof/>
              <w:sz w:val="24"/>
              <w:szCs w:val="24"/>
              <w:lang w:val="en-US"/>
            </w:rPr>
            <w:t>ESADE Business School Research</w:t>
          </w:r>
          <w:r w:rsidRPr="009C6DC2">
            <w:rPr>
              <w:rFonts w:asciiTheme="majorBidi" w:hAnsiTheme="majorBidi" w:cstheme="majorBidi"/>
              <w:noProof/>
              <w:sz w:val="24"/>
              <w:szCs w:val="24"/>
              <w:lang w:val="en-US"/>
            </w:rPr>
            <w:t>. doi:http://dx.doi.org/10.2139/ssrn.2154976</w:t>
          </w:r>
        </w:p>
        <w:p w14:paraId="64A6E06A" w14:textId="42CE02F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Barber, N., Kuo, P.‐J., Bishop, M., &amp; Goodman Jr, R. (2012). Measuring psychographics to assess purchase intention and willingness to pay. </w:t>
          </w:r>
          <w:r w:rsidRPr="009C6DC2">
            <w:rPr>
              <w:rFonts w:asciiTheme="majorBidi" w:hAnsiTheme="majorBidi" w:cstheme="majorBidi"/>
              <w:i/>
              <w:iCs/>
              <w:noProof/>
              <w:sz w:val="24"/>
              <w:szCs w:val="24"/>
              <w:lang w:val="en-US"/>
            </w:rPr>
            <w:t>Journal of Consumer Marketing, 29</w:t>
          </w:r>
          <w:r w:rsidRPr="009C6DC2">
            <w:rPr>
              <w:rFonts w:asciiTheme="majorBidi" w:hAnsiTheme="majorBidi" w:cstheme="majorBidi"/>
              <w:noProof/>
              <w:sz w:val="24"/>
              <w:szCs w:val="24"/>
              <w:lang w:val="en-US"/>
            </w:rPr>
            <w:t>(04), 280-292. doi:https://doi-org.lsbu.idm.oclc.org/10.1108/07363761211237353</w:t>
          </w:r>
        </w:p>
        <w:p w14:paraId="70FC3F1C" w14:textId="06C4B7F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Bargain, O., Boutin, D., &amp; Champeaux , H. (2019). Women's political participation and intrahousehold empowerment: Evidence from the Egyptian Arab Spring. </w:t>
          </w:r>
          <w:r w:rsidRPr="009C6DC2">
            <w:rPr>
              <w:rFonts w:asciiTheme="majorBidi" w:hAnsiTheme="majorBidi" w:cstheme="majorBidi"/>
              <w:i/>
              <w:iCs/>
              <w:noProof/>
              <w:sz w:val="24"/>
              <w:szCs w:val="24"/>
              <w:lang w:val="en-US"/>
            </w:rPr>
            <w:t>Journal of Development Economics, 141</w:t>
          </w:r>
          <w:r w:rsidRPr="009C6DC2">
            <w:rPr>
              <w:rFonts w:asciiTheme="majorBidi" w:hAnsiTheme="majorBidi" w:cstheme="majorBidi"/>
              <w:noProof/>
              <w:sz w:val="24"/>
              <w:szCs w:val="24"/>
              <w:lang w:val="en-US"/>
            </w:rPr>
            <w:t>. doi:https://doi.org/10.1016/j.jdeveco.2019.102379</w:t>
          </w:r>
        </w:p>
        <w:p w14:paraId="180E180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Barnes, B. R. (2019). Transformative mixed methods research in South Africa:: Contributions to social justice. In </w:t>
          </w:r>
          <w:r w:rsidRPr="009C6DC2">
            <w:rPr>
              <w:rFonts w:asciiTheme="majorBidi" w:hAnsiTheme="majorBidi" w:cstheme="majorBidi"/>
              <w:i/>
              <w:iCs/>
              <w:noProof/>
              <w:sz w:val="24"/>
              <w:szCs w:val="24"/>
              <w:lang w:val="en-US"/>
            </w:rPr>
            <w:t>Transforming Research Methods in the Social Sciences</w:t>
          </w:r>
          <w:r w:rsidRPr="009C6DC2">
            <w:rPr>
              <w:rFonts w:asciiTheme="majorBidi" w:hAnsiTheme="majorBidi" w:cstheme="majorBidi"/>
              <w:noProof/>
              <w:sz w:val="24"/>
              <w:szCs w:val="24"/>
              <w:lang w:val="en-US"/>
            </w:rPr>
            <w:t xml:space="preserve"> (pp. 303-316). doi:10.18772/22019032750.24</w:t>
          </w:r>
        </w:p>
        <w:p w14:paraId="6FBB712B" w14:textId="607AB32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Barros, L. B., Petroll, M. d., Damacena, C., &amp; Kanoppe, M. (2019</w:t>
          </w:r>
          <w:r w:rsidR="00B160DB">
            <w:rPr>
              <w:rFonts w:asciiTheme="majorBidi" w:hAnsiTheme="majorBidi" w:cstheme="majorBidi"/>
              <w:noProof/>
              <w:sz w:val="24"/>
              <w:szCs w:val="24"/>
              <w:lang w:val="sv-SE"/>
            </w:rPr>
            <w:t>)</w:t>
          </w:r>
          <w:r w:rsidRPr="009C6DC2">
            <w:rPr>
              <w:rFonts w:asciiTheme="majorBidi" w:hAnsiTheme="majorBidi" w:cstheme="majorBidi"/>
              <w:noProof/>
              <w:sz w:val="24"/>
              <w:szCs w:val="24"/>
              <w:lang w:val="sv-SE"/>
            </w:rPr>
            <w:t xml:space="preserve">. </w:t>
          </w:r>
          <w:r w:rsidRPr="009C6DC2">
            <w:rPr>
              <w:rFonts w:asciiTheme="majorBidi" w:hAnsiTheme="majorBidi" w:cstheme="majorBidi"/>
              <w:noProof/>
              <w:sz w:val="24"/>
              <w:szCs w:val="24"/>
              <w:lang w:val="en-US"/>
            </w:rPr>
            <w:t xml:space="preserve">Store atmosphere and impulse: a cross-cultural study. </w:t>
          </w:r>
          <w:r w:rsidRPr="009C6DC2">
            <w:rPr>
              <w:rFonts w:asciiTheme="majorBidi" w:hAnsiTheme="majorBidi" w:cstheme="majorBidi"/>
              <w:i/>
              <w:iCs/>
              <w:noProof/>
              <w:sz w:val="24"/>
              <w:szCs w:val="24"/>
              <w:lang w:val="en-US"/>
            </w:rPr>
            <w:t>International Journal of Retail &amp; Distribution Management, 47</w:t>
          </w:r>
          <w:r w:rsidRPr="009C6DC2">
            <w:rPr>
              <w:rFonts w:asciiTheme="majorBidi" w:hAnsiTheme="majorBidi" w:cstheme="majorBidi"/>
              <w:noProof/>
              <w:sz w:val="24"/>
              <w:szCs w:val="24"/>
              <w:lang w:val="en-US"/>
            </w:rPr>
            <w:t>(08), 817-835. doi:https://doi.org/10.1108/IJRDM-09-2018-0209</w:t>
          </w:r>
        </w:p>
        <w:p w14:paraId="04F16F2B" w14:textId="70A2F4F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Bartikowski, B., &amp; Berens, G. (2021). Attribute framing in CSR communication: Doing good and spreading the word – But how? </w:t>
          </w:r>
          <w:r w:rsidRPr="009C6DC2">
            <w:rPr>
              <w:rFonts w:asciiTheme="majorBidi" w:hAnsiTheme="majorBidi" w:cstheme="majorBidi"/>
              <w:i/>
              <w:iCs/>
              <w:noProof/>
              <w:sz w:val="24"/>
              <w:szCs w:val="24"/>
              <w:lang w:val="en-US"/>
            </w:rPr>
            <w:t>Journal of Business Research, 131</w:t>
          </w:r>
          <w:r w:rsidRPr="009C6DC2">
            <w:rPr>
              <w:rFonts w:asciiTheme="majorBidi" w:hAnsiTheme="majorBidi" w:cstheme="majorBidi"/>
              <w:noProof/>
              <w:sz w:val="24"/>
              <w:szCs w:val="24"/>
              <w:lang w:val="en-US"/>
            </w:rPr>
            <w:t>, 700-708. doi:https://doi.org/10.1016/j.jbusres.2020.12.059</w:t>
          </w:r>
        </w:p>
        <w:p w14:paraId="3D427181" w14:textId="1FE6F9F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Bashir, H., Jørgensen, S., Pedersen, L. J., &amp; Skard, S. (2020). </w:t>
          </w:r>
          <w:r w:rsidRPr="009C6DC2">
            <w:rPr>
              <w:rFonts w:asciiTheme="majorBidi" w:hAnsiTheme="majorBidi" w:cstheme="majorBidi"/>
              <w:noProof/>
              <w:sz w:val="24"/>
              <w:szCs w:val="24"/>
              <w:lang w:val="en-US"/>
            </w:rPr>
            <w:t xml:space="preserve">Experimenting with sustainable business models in fast moving consumer goods. </w:t>
          </w:r>
          <w:r w:rsidRPr="009C6DC2">
            <w:rPr>
              <w:rFonts w:asciiTheme="majorBidi" w:hAnsiTheme="majorBidi" w:cstheme="majorBidi"/>
              <w:i/>
              <w:iCs/>
              <w:noProof/>
              <w:sz w:val="24"/>
              <w:szCs w:val="24"/>
              <w:lang w:val="en-US"/>
            </w:rPr>
            <w:t>Journal of Cleaner Production, 270</w:t>
          </w:r>
          <w:r w:rsidRPr="009C6DC2">
            <w:rPr>
              <w:rFonts w:asciiTheme="majorBidi" w:hAnsiTheme="majorBidi" w:cstheme="majorBidi"/>
              <w:noProof/>
              <w:sz w:val="24"/>
              <w:szCs w:val="24"/>
              <w:lang w:val="en-US"/>
            </w:rPr>
            <w:t>. doi:https://doi.org/10.1016/j.jclepro.2020.122302</w:t>
          </w:r>
        </w:p>
        <w:p w14:paraId="39093423" w14:textId="376C82E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Bassano, C., Gaeta, M., Piciocchi, P., &amp; Spohrer, J. C. (2017). Learning the Models of Customer Behavior: From Television Advertising to Online Marketing. </w:t>
          </w:r>
          <w:r w:rsidRPr="009C6DC2">
            <w:rPr>
              <w:rFonts w:asciiTheme="majorBidi" w:hAnsiTheme="majorBidi" w:cstheme="majorBidi"/>
              <w:i/>
              <w:iCs/>
              <w:noProof/>
              <w:sz w:val="24"/>
              <w:szCs w:val="24"/>
              <w:lang w:val="en-US"/>
            </w:rPr>
            <w:t>International Journal of Electronic Commerce, 21</w:t>
          </w:r>
          <w:r w:rsidRPr="009C6DC2">
            <w:rPr>
              <w:rFonts w:asciiTheme="majorBidi" w:hAnsiTheme="majorBidi" w:cstheme="majorBidi"/>
              <w:noProof/>
              <w:sz w:val="24"/>
              <w:szCs w:val="24"/>
              <w:lang w:val="en-US"/>
            </w:rPr>
            <w:t>(4), 572-604. doi:https://doi.org/10.1080/10864415.2016.1355654</w:t>
          </w:r>
        </w:p>
        <w:p w14:paraId="3121E720" w14:textId="7F86B2A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Batat, W. (2021). A phenomenological exploration into sustainability in the foodservice industry in the MEA region. </w:t>
          </w:r>
          <w:r w:rsidRPr="009C6DC2">
            <w:rPr>
              <w:rFonts w:asciiTheme="majorBidi" w:hAnsiTheme="majorBidi" w:cstheme="majorBidi"/>
              <w:i/>
              <w:iCs/>
              <w:noProof/>
              <w:sz w:val="24"/>
              <w:szCs w:val="24"/>
              <w:lang w:val="en-US"/>
            </w:rPr>
            <w:t>Journal of Services Marketing, 35</w:t>
          </w:r>
          <w:r w:rsidRPr="009C6DC2">
            <w:rPr>
              <w:rFonts w:asciiTheme="majorBidi" w:hAnsiTheme="majorBidi" w:cstheme="majorBidi"/>
              <w:noProof/>
              <w:sz w:val="24"/>
              <w:szCs w:val="24"/>
              <w:lang w:val="en-US"/>
            </w:rPr>
            <w:t>(7), 918-932. doi:10.1108/JSM-06-2020-0243</w:t>
          </w:r>
        </w:p>
        <w:p w14:paraId="7CAC8A3E" w14:textId="448435E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Bateman, I. J., Brouwer, R., Ferrini, S., Schaafsma, M., Barton, D. N., Dubgaard, A., . . . Semėnienė , D. (2011). Making Benefit Transfers Work: Deriving and Testing Principles for Value Transfers for Similar and Dissimilar Sites Using a Case Study of the Non-Market Benefits of Water Quality Improvements Across Europe. </w:t>
          </w:r>
          <w:r w:rsidRPr="009C6DC2">
            <w:rPr>
              <w:rFonts w:asciiTheme="majorBidi" w:hAnsiTheme="majorBidi" w:cstheme="majorBidi"/>
              <w:i/>
              <w:iCs/>
              <w:noProof/>
              <w:sz w:val="24"/>
              <w:szCs w:val="24"/>
              <w:lang w:val="en-US"/>
            </w:rPr>
            <w:t>Environmental and Resource Economics, 50</w:t>
          </w:r>
          <w:r w:rsidRPr="009C6DC2">
            <w:rPr>
              <w:rFonts w:asciiTheme="majorBidi" w:hAnsiTheme="majorBidi" w:cstheme="majorBidi"/>
              <w:noProof/>
              <w:sz w:val="24"/>
              <w:szCs w:val="24"/>
              <w:lang w:val="en-US"/>
            </w:rPr>
            <w:t>, 365-387. doi:https://doi.org/10.1007/s10640-011-9476-8</w:t>
          </w:r>
        </w:p>
        <w:p w14:paraId="024061A4" w14:textId="35C0AE5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Batra, R., &amp; Keller, K. L. (2016). Integrating Marketing Communications: New Findings, New Lessons, and New Ideas. </w:t>
          </w:r>
          <w:r w:rsidRPr="009C6DC2">
            <w:rPr>
              <w:rFonts w:asciiTheme="majorBidi" w:hAnsiTheme="majorBidi" w:cstheme="majorBidi"/>
              <w:i/>
              <w:iCs/>
              <w:noProof/>
              <w:sz w:val="24"/>
              <w:szCs w:val="24"/>
              <w:lang w:val="en-US"/>
            </w:rPr>
            <w:t>Journal of Marketing, 80</w:t>
          </w:r>
          <w:r w:rsidRPr="009C6DC2">
            <w:rPr>
              <w:rFonts w:asciiTheme="majorBidi" w:hAnsiTheme="majorBidi" w:cstheme="majorBidi"/>
              <w:noProof/>
              <w:sz w:val="24"/>
              <w:szCs w:val="24"/>
              <w:lang w:val="en-US"/>
            </w:rPr>
            <w:t>(6). doi:https://doi.org/10.1509/jm.15.0419</w:t>
          </w:r>
        </w:p>
        <w:p w14:paraId="7AEE8074" w14:textId="7C47921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Batra, R., &amp; Ray, M. L. (1986). Affective Responses Mediating Acceptance of Advertising. </w:t>
          </w:r>
          <w:r w:rsidRPr="009C6DC2">
            <w:rPr>
              <w:rFonts w:asciiTheme="majorBidi" w:hAnsiTheme="majorBidi" w:cstheme="majorBidi"/>
              <w:i/>
              <w:iCs/>
              <w:noProof/>
              <w:sz w:val="24"/>
              <w:szCs w:val="24"/>
              <w:lang w:val="en-US"/>
            </w:rPr>
            <w:t>Journal of Consumer Research, 13</w:t>
          </w:r>
          <w:r w:rsidRPr="009C6DC2">
            <w:rPr>
              <w:rFonts w:asciiTheme="majorBidi" w:hAnsiTheme="majorBidi" w:cstheme="majorBidi"/>
              <w:noProof/>
              <w:sz w:val="24"/>
              <w:szCs w:val="24"/>
              <w:lang w:val="en-US"/>
            </w:rPr>
            <w:t>(2), 234-249. doi:https://doi.org/10.1086/209063</w:t>
          </w:r>
        </w:p>
        <w:p w14:paraId="2AC2E4F8" w14:textId="33A7C8C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Batsi, S. (2022). </w:t>
          </w:r>
          <w:r w:rsidRPr="009C6DC2">
            <w:rPr>
              <w:rFonts w:asciiTheme="majorBidi" w:hAnsiTheme="majorBidi" w:cstheme="majorBidi"/>
              <w:i/>
              <w:iCs/>
              <w:noProof/>
              <w:sz w:val="24"/>
              <w:szCs w:val="24"/>
              <w:lang w:val="en-US"/>
            </w:rPr>
            <w:t>More than Window-Dressing: On the Credibility of Public Statistics from Al-Sisi’s Egypt</w:t>
          </w:r>
          <w:r w:rsidRPr="009C6DC2">
            <w:rPr>
              <w:rFonts w:asciiTheme="majorBidi" w:hAnsiTheme="majorBidi" w:cstheme="majorBidi"/>
              <w:noProof/>
              <w:sz w:val="24"/>
              <w:szCs w:val="24"/>
              <w:lang w:val="en-US"/>
            </w:rPr>
            <w:t>. Retrieved from orientxxi: https://orientxxi.info/magazine/more-than-window-dressing-on-the-credibility-of-public-statistics-from-al-sisi,5330</w:t>
          </w:r>
        </w:p>
        <w:p w14:paraId="11D6CE32" w14:textId="3400014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Bawa, A., &amp; Saha, A. (2016). Strength of corporate social responsibility as a corporate brand association: general public perspective. </w:t>
          </w:r>
          <w:r w:rsidRPr="009C6DC2">
            <w:rPr>
              <w:rFonts w:asciiTheme="majorBidi" w:hAnsiTheme="majorBidi" w:cstheme="majorBidi"/>
              <w:i/>
              <w:iCs/>
              <w:noProof/>
              <w:sz w:val="24"/>
              <w:szCs w:val="24"/>
              <w:lang w:val="en-US"/>
            </w:rPr>
            <w:t>Decision, 43</w:t>
          </w:r>
          <w:r w:rsidRPr="009C6DC2">
            <w:rPr>
              <w:rFonts w:asciiTheme="majorBidi" w:hAnsiTheme="majorBidi" w:cstheme="majorBidi"/>
              <w:noProof/>
              <w:sz w:val="24"/>
              <w:szCs w:val="24"/>
              <w:lang w:val="en-US"/>
            </w:rPr>
            <w:t>(4), 313-332. doi:10.1007/s40622-016-0125-5</w:t>
          </w:r>
        </w:p>
        <w:p w14:paraId="78B10E4E" w14:textId="4506B09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BBC. (2023). </w:t>
          </w:r>
          <w:r w:rsidRPr="009C6DC2">
            <w:rPr>
              <w:rFonts w:asciiTheme="majorBidi" w:hAnsiTheme="majorBidi" w:cstheme="majorBidi"/>
              <w:i/>
              <w:iCs/>
              <w:noProof/>
              <w:sz w:val="24"/>
              <w:szCs w:val="24"/>
              <w:lang w:val="en-US"/>
            </w:rPr>
            <w:t>Egypt media guide</w:t>
          </w:r>
          <w:r w:rsidRPr="009C6DC2">
            <w:rPr>
              <w:rFonts w:asciiTheme="majorBidi" w:hAnsiTheme="majorBidi" w:cstheme="majorBidi"/>
              <w:noProof/>
              <w:sz w:val="24"/>
              <w:szCs w:val="24"/>
              <w:lang w:val="en-US"/>
            </w:rPr>
            <w:t>. Retrieved from BBC.com: https://www.bbc.com/news/world-africa-13313373</w:t>
          </w:r>
        </w:p>
        <w:p w14:paraId="3B7EC4BE" w14:textId="19F17CA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Bebbington, J., Larrinaga, C., &amp; Moneva, J. M. (2008). Corporate social reporting and reputation risk management. </w:t>
          </w:r>
          <w:r w:rsidRPr="009C6DC2">
            <w:rPr>
              <w:rFonts w:asciiTheme="majorBidi" w:hAnsiTheme="majorBidi" w:cstheme="majorBidi"/>
              <w:i/>
              <w:iCs/>
              <w:noProof/>
              <w:sz w:val="24"/>
              <w:szCs w:val="24"/>
              <w:lang w:val="en-US"/>
            </w:rPr>
            <w:t>Accounting, Auditing &amp; Accountability Journal, 21</w:t>
          </w:r>
          <w:r w:rsidRPr="009C6DC2">
            <w:rPr>
              <w:rFonts w:asciiTheme="majorBidi" w:hAnsiTheme="majorBidi" w:cstheme="majorBidi"/>
              <w:noProof/>
              <w:sz w:val="24"/>
              <w:szCs w:val="24"/>
              <w:lang w:val="en-US"/>
            </w:rPr>
            <w:t>(3), 337-361. doi:https://doi.org/10.1108/09513570810863932</w:t>
          </w:r>
        </w:p>
        <w:p w14:paraId="094E70FD" w14:textId="3BFBD6B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Becchetti, L., Corrado, G., Pelligra, V., &amp; Rossetti, F. (2020). Satisfaction and preferences in a legality social dilemma: Does corporate social responsibility impact consumers’ behaviour? </w:t>
          </w:r>
          <w:r w:rsidRPr="009C6DC2">
            <w:rPr>
              <w:rFonts w:asciiTheme="majorBidi" w:hAnsiTheme="majorBidi" w:cstheme="majorBidi"/>
              <w:i/>
              <w:iCs/>
              <w:noProof/>
              <w:sz w:val="24"/>
              <w:szCs w:val="24"/>
              <w:lang w:val="en-US"/>
            </w:rPr>
            <w:t>Journal of Policy Modeling, 42</w:t>
          </w:r>
          <w:r w:rsidRPr="009C6DC2">
            <w:rPr>
              <w:rFonts w:asciiTheme="majorBidi" w:hAnsiTheme="majorBidi" w:cstheme="majorBidi"/>
              <w:noProof/>
              <w:sz w:val="24"/>
              <w:szCs w:val="24"/>
              <w:lang w:val="en-US"/>
            </w:rPr>
            <w:t>(2), 483-502. doi:https://doi.org/10.1016/j.jpolmod.2019.07.003</w:t>
          </w:r>
        </w:p>
        <w:p w14:paraId="215143B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Becker, M., Wiegand, N., &amp; Reinartz, W. J. (2019). Does It Pay to Be Real? Understanding Authenticity in TV Advertising. </w:t>
          </w:r>
          <w:r w:rsidRPr="009C6DC2">
            <w:rPr>
              <w:rFonts w:asciiTheme="majorBidi" w:hAnsiTheme="majorBidi" w:cstheme="majorBidi"/>
              <w:i/>
              <w:iCs/>
              <w:noProof/>
              <w:sz w:val="24"/>
              <w:szCs w:val="24"/>
              <w:lang w:val="en-US"/>
            </w:rPr>
            <w:t>Journal of Marketing, 83</w:t>
          </w:r>
          <w:r w:rsidRPr="009C6DC2">
            <w:rPr>
              <w:rFonts w:asciiTheme="majorBidi" w:hAnsiTheme="majorBidi" w:cstheme="majorBidi"/>
              <w:noProof/>
              <w:sz w:val="24"/>
              <w:szCs w:val="24"/>
              <w:lang w:val="en-US"/>
            </w:rPr>
            <w:t>(1), 24-50. doi:10.1177/0022242918815880</w:t>
          </w:r>
        </w:p>
        <w:p w14:paraId="459FD152" w14:textId="329E934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Becker, W., Saisana, M., Paruolo, P., &amp; Vandecasteele, I. (2017). Weights and importance in composite indicators: Closing the gap. </w:t>
          </w:r>
          <w:r w:rsidRPr="009C6DC2">
            <w:rPr>
              <w:rFonts w:asciiTheme="majorBidi" w:hAnsiTheme="majorBidi" w:cstheme="majorBidi"/>
              <w:i/>
              <w:iCs/>
              <w:noProof/>
              <w:sz w:val="24"/>
              <w:szCs w:val="24"/>
              <w:lang w:val="en-US"/>
            </w:rPr>
            <w:t>Ecological Indicators, 80</w:t>
          </w:r>
          <w:r w:rsidRPr="009C6DC2">
            <w:rPr>
              <w:rFonts w:asciiTheme="majorBidi" w:hAnsiTheme="majorBidi" w:cstheme="majorBidi"/>
              <w:noProof/>
              <w:sz w:val="24"/>
              <w:szCs w:val="24"/>
              <w:lang w:val="en-US"/>
            </w:rPr>
            <w:t>, 12-22. doi:https://doi.org/10.1016/j.ecolind.2017.03.056</w:t>
          </w:r>
        </w:p>
        <w:p w14:paraId="1F2E0AB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Becker-Olsen, K. L., Cudmore, A., &amp; Hill, R. P. (2006). The impact of perceived corporate social responsibility on consumer behaviour. </w:t>
          </w:r>
          <w:r w:rsidRPr="009C6DC2">
            <w:rPr>
              <w:rFonts w:asciiTheme="majorBidi" w:hAnsiTheme="majorBidi" w:cstheme="majorBidi"/>
              <w:i/>
              <w:iCs/>
              <w:noProof/>
              <w:sz w:val="24"/>
              <w:szCs w:val="24"/>
              <w:lang w:val="en-US"/>
            </w:rPr>
            <w:t>Journal of Business Research, 59</w:t>
          </w:r>
          <w:r w:rsidRPr="009C6DC2">
            <w:rPr>
              <w:rFonts w:asciiTheme="majorBidi" w:hAnsiTheme="majorBidi" w:cstheme="majorBidi"/>
              <w:noProof/>
              <w:sz w:val="24"/>
              <w:szCs w:val="24"/>
              <w:lang w:val="en-US"/>
            </w:rPr>
            <w:t>(1), 46-53. doi:https://doi.org/10.1016/j.jbusres.2005.01.001</w:t>
          </w:r>
        </w:p>
        <w:p w14:paraId="445DAC60" w14:textId="117EC98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Becker-Olsen, K. L., Taylor, C. R., Hill, R. P., &amp; Yalcinkaya, G. (2011). A Cross-Cultural Examination of Corporate Social Responsibility Marketing Communications in Mexico and the United States: Strategies for Global Brands. </w:t>
          </w:r>
          <w:r w:rsidRPr="009C6DC2">
            <w:rPr>
              <w:rFonts w:asciiTheme="majorBidi" w:hAnsiTheme="majorBidi" w:cstheme="majorBidi"/>
              <w:i/>
              <w:iCs/>
              <w:noProof/>
              <w:sz w:val="24"/>
              <w:szCs w:val="24"/>
              <w:lang w:val="en-US"/>
            </w:rPr>
            <w:t>Journal of International Marketing, 19</w:t>
          </w:r>
          <w:r w:rsidRPr="009C6DC2">
            <w:rPr>
              <w:rFonts w:asciiTheme="majorBidi" w:hAnsiTheme="majorBidi" w:cstheme="majorBidi"/>
              <w:noProof/>
              <w:sz w:val="24"/>
              <w:szCs w:val="24"/>
              <w:lang w:val="en-US"/>
            </w:rPr>
            <w:t>(2), 30-44. doi:10.1509/jimk.19.2.30</w:t>
          </w:r>
        </w:p>
        <w:p w14:paraId="58AACAE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Beckwith, N. E., Kassarjian, H. H., &amp; Lehmann, D. (1978). Halo Effects in Marketing Research: Review and Prognosis. </w:t>
          </w:r>
          <w:r w:rsidRPr="009C6DC2">
            <w:rPr>
              <w:rFonts w:asciiTheme="majorBidi" w:hAnsiTheme="majorBidi" w:cstheme="majorBidi"/>
              <w:i/>
              <w:iCs/>
              <w:noProof/>
              <w:sz w:val="24"/>
              <w:szCs w:val="24"/>
              <w:lang w:val="en-US"/>
            </w:rPr>
            <w:t>ACR North American Advances</w:t>
          </w:r>
          <w:r w:rsidRPr="009C6DC2">
            <w:rPr>
              <w:rFonts w:asciiTheme="majorBidi" w:hAnsiTheme="majorBidi" w:cstheme="majorBidi"/>
              <w:noProof/>
              <w:sz w:val="24"/>
              <w:szCs w:val="24"/>
              <w:lang w:val="en-US"/>
            </w:rPr>
            <w:t>.</w:t>
          </w:r>
        </w:p>
        <w:p w14:paraId="2B3796BA" w14:textId="77777777" w:rsidR="006E2490" w:rsidRPr="009C6DC2" w:rsidRDefault="006E2490" w:rsidP="006E2490">
          <w:pPr>
            <w:ind w:left="720" w:hanging="720"/>
            <w:rPr>
              <w:rFonts w:asciiTheme="majorBidi" w:hAnsiTheme="majorBidi" w:cstheme="majorBidi"/>
              <w:noProof/>
              <w:sz w:val="24"/>
              <w:szCs w:val="24"/>
              <w:lang w:val="sv-SE"/>
            </w:rPr>
          </w:pPr>
          <w:r w:rsidRPr="009C6DC2">
            <w:rPr>
              <w:rFonts w:asciiTheme="majorBidi" w:hAnsiTheme="majorBidi" w:cstheme="majorBidi"/>
              <w:noProof/>
              <w:sz w:val="24"/>
              <w:szCs w:val="24"/>
              <w:lang w:val="en-US"/>
            </w:rPr>
            <w:t xml:space="preserve">Beise-Zee, R. (2013). Cause-Related Marketing. In </w:t>
          </w:r>
          <w:r w:rsidRPr="009C6DC2">
            <w:rPr>
              <w:rFonts w:asciiTheme="majorBidi" w:hAnsiTheme="majorBidi" w:cstheme="majorBidi"/>
              <w:i/>
              <w:iCs/>
              <w:noProof/>
              <w:sz w:val="24"/>
              <w:szCs w:val="24"/>
              <w:lang w:val="en-US"/>
            </w:rPr>
            <w:t>Encyclopedia of Corporate Social Responsibility</w:t>
          </w:r>
          <w:r w:rsidRPr="009C6DC2">
            <w:rPr>
              <w:rFonts w:asciiTheme="majorBidi" w:hAnsiTheme="majorBidi" w:cstheme="majorBidi"/>
              <w:noProof/>
              <w:sz w:val="24"/>
              <w:szCs w:val="24"/>
              <w:lang w:val="en-US"/>
            </w:rPr>
            <w:t xml:space="preserve"> (pp. 321-326). </w:t>
          </w:r>
          <w:r w:rsidRPr="009C6DC2">
            <w:rPr>
              <w:rFonts w:asciiTheme="majorBidi" w:hAnsiTheme="majorBidi" w:cstheme="majorBidi"/>
              <w:noProof/>
              <w:sz w:val="24"/>
              <w:szCs w:val="24"/>
              <w:lang w:val="sv-SE"/>
            </w:rPr>
            <w:t>Berlin, Heidelberg: Springer. doi:https://doi.org/10.1007/978-3-642-28036-8_551</w:t>
          </w:r>
        </w:p>
        <w:p w14:paraId="0E9E32F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Bemis, J. C., Avlasevich, S. L., &amp; Dertinger, S. D. (2016). </w:t>
          </w:r>
          <w:r w:rsidRPr="009C6DC2">
            <w:rPr>
              <w:rFonts w:asciiTheme="majorBidi" w:hAnsiTheme="majorBidi" w:cstheme="majorBidi"/>
              <w:noProof/>
              <w:sz w:val="24"/>
              <w:szCs w:val="24"/>
              <w:lang w:val="en-US"/>
            </w:rPr>
            <w:t xml:space="preserve">Chapter 11 - The Pig-a Endogenous Gene Mutation Assay. In </w:t>
          </w:r>
          <w:r w:rsidRPr="009C6DC2">
            <w:rPr>
              <w:rFonts w:asciiTheme="majorBidi" w:hAnsiTheme="majorBidi" w:cstheme="majorBidi"/>
              <w:i/>
              <w:iCs/>
              <w:noProof/>
              <w:sz w:val="24"/>
              <w:szCs w:val="24"/>
              <w:lang w:val="en-US"/>
            </w:rPr>
            <w:t>Genetic Toxicology Testing. A Laboratory Manual</w:t>
          </w:r>
          <w:r w:rsidRPr="009C6DC2">
            <w:rPr>
              <w:rFonts w:asciiTheme="majorBidi" w:hAnsiTheme="majorBidi" w:cstheme="majorBidi"/>
              <w:noProof/>
              <w:sz w:val="24"/>
              <w:szCs w:val="24"/>
              <w:lang w:val="en-US"/>
            </w:rPr>
            <w:t xml:space="preserve"> (pp. 383-417). Elsevier Inc. doi:https://doi.org/10.1016/B978-0-12-800764-8.00011-2</w:t>
          </w:r>
        </w:p>
        <w:p w14:paraId="6616F07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Berger, I. E., &amp; Mitchell, A. A. (1989). The effect of advertising on attitude accessibility, attitude confidence, and the attitude-behavior relationship. </w:t>
          </w:r>
          <w:r w:rsidRPr="009C6DC2">
            <w:rPr>
              <w:rFonts w:asciiTheme="majorBidi" w:hAnsiTheme="majorBidi" w:cstheme="majorBidi"/>
              <w:i/>
              <w:iCs/>
              <w:noProof/>
              <w:sz w:val="24"/>
              <w:szCs w:val="24"/>
              <w:lang w:val="en-US"/>
            </w:rPr>
            <w:t>Journal of Consumer Research, 16</w:t>
          </w:r>
          <w:r w:rsidRPr="009C6DC2">
            <w:rPr>
              <w:rFonts w:asciiTheme="majorBidi" w:hAnsiTheme="majorBidi" w:cstheme="majorBidi"/>
              <w:noProof/>
              <w:sz w:val="24"/>
              <w:szCs w:val="24"/>
              <w:lang w:val="en-US"/>
            </w:rPr>
            <w:t>(3), 269-279. doi:https://doi.org/10.1086/209213</w:t>
          </w:r>
        </w:p>
        <w:p w14:paraId="19132BC5" w14:textId="1564123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Beuckels, E., De Jans, S., Cauberghe, V., &amp; Hudders, L. (2021). Keeping Up with Media Multitasking: An Eye-Tracking Study among Children and Adults to Investigate the Impact of Media Multitasking Behavior on Switching Frequency, Advertising Attention, and Advertising Effectiveness. </w:t>
          </w:r>
          <w:r w:rsidRPr="009C6DC2">
            <w:rPr>
              <w:rFonts w:asciiTheme="majorBidi" w:hAnsiTheme="majorBidi" w:cstheme="majorBidi"/>
              <w:i/>
              <w:iCs/>
              <w:noProof/>
              <w:sz w:val="24"/>
              <w:szCs w:val="24"/>
              <w:lang w:val="en-US"/>
            </w:rPr>
            <w:t>Journal of Advertising, 50</w:t>
          </w:r>
          <w:r w:rsidRPr="009C6DC2">
            <w:rPr>
              <w:rFonts w:asciiTheme="majorBidi" w:hAnsiTheme="majorBidi" w:cstheme="majorBidi"/>
              <w:noProof/>
              <w:sz w:val="24"/>
              <w:szCs w:val="24"/>
              <w:lang w:val="en-US"/>
            </w:rPr>
            <w:t>(02), 197-206. doi:10.1080/00913367.2020.1867263</w:t>
          </w:r>
        </w:p>
        <w:p w14:paraId="0F82DCB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Bhattacharya, C. B., &amp; Sen, S. (2004). Doing Better at Doing Good: When, Why, and How Consumers Respond to Corporate Social Initiatives. </w:t>
          </w:r>
          <w:r w:rsidRPr="009C6DC2">
            <w:rPr>
              <w:rFonts w:asciiTheme="majorBidi" w:hAnsiTheme="majorBidi" w:cstheme="majorBidi"/>
              <w:i/>
              <w:iCs/>
              <w:noProof/>
              <w:sz w:val="24"/>
              <w:szCs w:val="24"/>
              <w:lang w:val="en-US"/>
            </w:rPr>
            <w:t>California Management Review, 47</w:t>
          </w:r>
          <w:r w:rsidRPr="009C6DC2">
            <w:rPr>
              <w:rFonts w:asciiTheme="majorBidi" w:hAnsiTheme="majorBidi" w:cstheme="majorBidi"/>
              <w:noProof/>
              <w:sz w:val="24"/>
              <w:szCs w:val="24"/>
              <w:lang w:val="en-US"/>
            </w:rPr>
            <w:t>(1). Retrieved 12 26, 2021, from https://journals.sagepub.com/doi/pdf/10.2307/41166284?casa_token=Em-xFCatIrQAAAAA:PcjSiwbFRucR-HAH8h_XVviEoQss0AKb-3a7GHO5OmZpj3bgAP4SY38D1iNZn48DoxxDEjKW_bjFWQ4</w:t>
          </w:r>
        </w:p>
        <w:p w14:paraId="2A5927A7" w14:textId="6D06390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Bhandari, P. (2022). </w:t>
          </w:r>
          <w:r w:rsidRPr="009C6DC2">
            <w:rPr>
              <w:rFonts w:asciiTheme="majorBidi" w:hAnsiTheme="majorBidi" w:cstheme="majorBidi"/>
              <w:i/>
              <w:iCs/>
              <w:noProof/>
              <w:sz w:val="24"/>
              <w:szCs w:val="24"/>
              <w:lang w:val="en-US"/>
            </w:rPr>
            <w:t>Correlation Coefficient | Types, Formulas &amp; Examples</w:t>
          </w:r>
          <w:r w:rsidRPr="009C6DC2">
            <w:rPr>
              <w:rFonts w:asciiTheme="majorBidi" w:hAnsiTheme="majorBidi" w:cstheme="majorBidi"/>
              <w:noProof/>
              <w:sz w:val="24"/>
              <w:szCs w:val="24"/>
              <w:lang w:val="en-US"/>
            </w:rPr>
            <w:t>. Retrieved 01 17, 2023, from Scribbr: https://www.scribbr.com/statistics/correlation-coefficient/</w:t>
          </w:r>
        </w:p>
        <w:p w14:paraId="3952F1BB" w14:textId="6179AE3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Bhasin, H. (2019). </w:t>
          </w:r>
          <w:r w:rsidRPr="009C6DC2">
            <w:rPr>
              <w:rFonts w:asciiTheme="majorBidi" w:hAnsiTheme="majorBidi" w:cstheme="majorBidi"/>
              <w:i/>
              <w:iCs/>
              <w:noProof/>
              <w:sz w:val="24"/>
              <w:szCs w:val="24"/>
              <w:lang w:val="en-US"/>
            </w:rPr>
            <w:t>What is a Low involvement product or Low involvement purchase?</w:t>
          </w:r>
          <w:r w:rsidRPr="009C6DC2">
            <w:rPr>
              <w:rFonts w:asciiTheme="majorBidi" w:hAnsiTheme="majorBidi" w:cstheme="majorBidi"/>
              <w:noProof/>
              <w:sz w:val="24"/>
              <w:szCs w:val="24"/>
              <w:lang w:val="en-US"/>
            </w:rPr>
            <w:t xml:space="preserve"> Retrieved from https://www.marketing91.com/low-involvement-product-low-involvement-purchase/</w:t>
          </w:r>
        </w:p>
        <w:p w14:paraId="3E107863" w14:textId="76EBB4FE" w:rsidR="006E2490" w:rsidRPr="009C6DC2" w:rsidRDefault="006E2490" w:rsidP="006E2490">
          <w:pPr>
            <w:ind w:left="720" w:hanging="720"/>
            <w:rPr>
              <w:rFonts w:asciiTheme="majorBidi" w:hAnsiTheme="majorBidi" w:cstheme="majorBidi"/>
              <w:noProof/>
              <w:sz w:val="24"/>
              <w:szCs w:val="24"/>
              <w:lang w:val="en-US"/>
            </w:rPr>
          </w:pPr>
          <w:r w:rsidRPr="00F80A8B">
            <w:rPr>
              <w:rFonts w:asciiTheme="majorBidi" w:hAnsiTheme="majorBidi" w:cstheme="majorBidi"/>
              <w:noProof/>
              <w:sz w:val="24"/>
              <w:szCs w:val="24"/>
              <w:lang w:val="pl-PL"/>
            </w:rPr>
            <w:t xml:space="preserve">Bianchi, E., Bruno, J. M., &amp; Sarabia-Sanchez , F. J. (2019). </w:t>
          </w:r>
          <w:r w:rsidRPr="009C6DC2">
            <w:rPr>
              <w:rFonts w:asciiTheme="majorBidi" w:hAnsiTheme="majorBidi" w:cstheme="majorBidi"/>
              <w:noProof/>
              <w:sz w:val="24"/>
              <w:szCs w:val="24"/>
              <w:lang w:val="en-US"/>
            </w:rPr>
            <w:t xml:space="preserve">The impact of perceived CSR on corporate reputation and purchase intention. </w:t>
          </w:r>
          <w:r w:rsidRPr="009C6DC2">
            <w:rPr>
              <w:rFonts w:asciiTheme="majorBidi" w:hAnsiTheme="majorBidi" w:cstheme="majorBidi"/>
              <w:i/>
              <w:iCs/>
              <w:noProof/>
              <w:sz w:val="24"/>
              <w:szCs w:val="24"/>
              <w:lang w:val="en-US"/>
            </w:rPr>
            <w:t>European Journal of Management and Business, 28</w:t>
          </w:r>
          <w:r w:rsidRPr="009C6DC2">
            <w:rPr>
              <w:rFonts w:asciiTheme="majorBidi" w:hAnsiTheme="majorBidi" w:cstheme="majorBidi"/>
              <w:noProof/>
              <w:sz w:val="24"/>
              <w:szCs w:val="24"/>
              <w:lang w:val="en-US"/>
            </w:rPr>
            <w:t>(3), 206-221. doi:https://doi.org/10.1108/EJMBE-12-2017-0068</w:t>
          </w:r>
        </w:p>
        <w:p w14:paraId="18E7458F" w14:textId="460E96D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Biltagy, M. (2019). Gender wage disparities in Egypt: Evidence from ELMPS 2006 and 2012. </w:t>
          </w:r>
          <w:r w:rsidRPr="009C6DC2">
            <w:rPr>
              <w:rFonts w:asciiTheme="majorBidi" w:hAnsiTheme="majorBidi" w:cstheme="majorBidi"/>
              <w:i/>
              <w:iCs/>
              <w:noProof/>
              <w:sz w:val="24"/>
              <w:szCs w:val="24"/>
              <w:lang w:val="en-US"/>
            </w:rPr>
            <w:t>The Quarterly Review of Economics and Finance, 73</w:t>
          </w:r>
          <w:r w:rsidRPr="009C6DC2">
            <w:rPr>
              <w:rFonts w:asciiTheme="majorBidi" w:hAnsiTheme="majorBidi" w:cstheme="majorBidi"/>
              <w:noProof/>
              <w:sz w:val="24"/>
              <w:szCs w:val="24"/>
              <w:lang w:val="en-US"/>
            </w:rPr>
            <w:t>, 14-23. doi:https://doi.org/10.1016/j.qref.2018.11.010</w:t>
          </w:r>
        </w:p>
        <w:p w14:paraId="7B643F62" w14:textId="2ACDBF8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Bladt, D., Capelleveen, G., &amp; Yazan, D. M. (2023). The influence of greenwashing practices on brand attitude: A multidimensional consumer analysis in Germany. </w:t>
          </w:r>
          <w:r w:rsidRPr="009C6DC2">
            <w:rPr>
              <w:rFonts w:asciiTheme="majorBidi" w:hAnsiTheme="majorBidi" w:cstheme="majorBidi"/>
              <w:i/>
              <w:iCs/>
              <w:noProof/>
              <w:sz w:val="24"/>
              <w:szCs w:val="24"/>
              <w:lang w:val="en-US"/>
            </w:rPr>
            <w:t>Business Strategy and the Environment, 32</w:t>
          </w:r>
          <w:r w:rsidRPr="009C6DC2">
            <w:rPr>
              <w:rFonts w:asciiTheme="majorBidi" w:hAnsiTheme="majorBidi" w:cstheme="majorBidi"/>
              <w:noProof/>
              <w:sz w:val="24"/>
              <w:szCs w:val="24"/>
              <w:lang w:val="en-US"/>
            </w:rPr>
            <w:t>(5). doi:https://doi.org/10.1002/bse.3496</w:t>
          </w:r>
        </w:p>
        <w:p w14:paraId="4FE09AE5" w14:textId="44A058E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Bloom, P. N., Hoeffler , S., Keller, K. L., &amp; Basurto Meza, C. E. (2006). </w:t>
          </w:r>
          <w:r w:rsidRPr="009C6DC2">
            <w:rPr>
              <w:rFonts w:asciiTheme="majorBidi" w:hAnsiTheme="majorBidi" w:cstheme="majorBidi"/>
              <w:noProof/>
              <w:sz w:val="24"/>
              <w:szCs w:val="24"/>
              <w:lang w:val="en-US"/>
            </w:rPr>
            <w:t xml:space="preserve">How Social-Cause Marketing Affects Consumer Perceptions. </w:t>
          </w:r>
          <w:r w:rsidRPr="009C6DC2">
            <w:rPr>
              <w:rFonts w:asciiTheme="majorBidi" w:hAnsiTheme="majorBidi" w:cstheme="majorBidi"/>
              <w:i/>
              <w:iCs/>
              <w:noProof/>
              <w:sz w:val="24"/>
              <w:szCs w:val="24"/>
              <w:lang w:val="en-US"/>
            </w:rPr>
            <w:t>MIT Sloan Management Review, 47</w:t>
          </w:r>
          <w:r w:rsidRPr="009C6DC2">
            <w:rPr>
              <w:rFonts w:asciiTheme="majorBidi" w:hAnsiTheme="majorBidi" w:cstheme="majorBidi"/>
              <w:noProof/>
              <w:sz w:val="24"/>
              <w:szCs w:val="24"/>
              <w:lang w:val="en-US"/>
            </w:rPr>
            <w:t>(2). Retrieved 02 26, 2021, from http://library.cust.edu.pk/MIT/2006/Winter2006/47212SxW.pdf</w:t>
          </w:r>
        </w:p>
        <w:p w14:paraId="76A32C9D" w14:textId="530AFBD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Bollen, K. A. (2016). A New Incremental Fit Index for General Structural Equation Models. </w:t>
          </w:r>
          <w:r w:rsidRPr="009C6DC2">
            <w:rPr>
              <w:rFonts w:asciiTheme="majorBidi" w:hAnsiTheme="majorBidi" w:cstheme="majorBidi"/>
              <w:i/>
              <w:iCs/>
              <w:noProof/>
              <w:sz w:val="24"/>
              <w:szCs w:val="24"/>
              <w:lang w:val="en-US"/>
            </w:rPr>
            <w:t>Sociological Methods &amp; Research, 17</w:t>
          </w:r>
          <w:r w:rsidRPr="009C6DC2">
            <w:rPr>
              <w:rFonts w:asciiTheme="majorBidi" w:hAnsiTheme="majorBidi" w:cstheme="majorBidi"/>
              <w:noProof/>
              <w:sz w:val="24"/>
              <w:szCs w:val="24"/>
              <w:lang w:val="en-US"/>
            </w:rPr>
            <w:t>(3). doi:https://doi.org/10.1177/0049124189017003004</w:t>
          </w:r>
        </w:p>
        <w:p w14:paraId="6CF372AD" w14:textId="116B97B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Bollen, K. A., &amp; Noble, M. D. (2011). Structural equation models and the quantification of behavior. </w:t>
          </w:r>
          <w:r w:rsidRPr="009C6DC2">
            <w:rPr>
              <w:rFonts w:asciiTheme="majorBidi" w:hAnsiTheme="majorBidi" w:cstheme="majorBidi"/>
              <w:i/>
              <w:iCs/>
              <w:noProof/>
              <w:sz w:val="24"/>
              <w:szCs w:val="24"/>
              <w:lang w:val="en-US"/>
            </w:rPr>
            <w:t>Proceedings of the National Academy of Sciences,</w:t>
          </w:r>
          <w:r w:rsidRPr="009C6DC2">
            <w:rPr>
              <w:rFonts w:asciiTheme="majorBidi" w:hAnsiTheme="majorBidi" w:cstheme="majorBidi"/>
              <w:noProof/>
              <w:sz w:val="24"/>
              <w:szCs w:val="24"/>
              <w:lang w:val="en-US"/>
            </w:rPr>
            <w:t>, 15639-15646. doi:10.1073/pnas.1010661108</w:t>
          </w:r>
        </w:p>
        <w:p w14:paraId="52834990" w14:textId="26612B95" w:rsidR="006E2490"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Bondie, F. (2021). </w:t>
          </w:r>
          <w:r w:rsidRPr="009C6DC2">
            <w:rPr>
              <w:rFonts w:asciiTheme="majorBidi" w:hAnsiTheme="majorBidi" w:cstheme="majorBidi"/>
              <w:i/>
              <w:iCs/>
              <w:noProof/>
              <w:sz w:val="24"/>
              <w:szCs w:val="24"/>
              <w:lang w:val="en-US"/>
            </w:rPr>
            <w:t>Coding Qualitative Data</w:t>
          </w:r>
          <w:r w:rsidRPr="009C6DC2">
            <w:rPr>
              <w:rFonts w:asciiTheme="majorBidi" w:hAnsiTheme="majorBidi" w:cstheme="majorBidi"/>
              <w:noProof/>
              <w:sz w:val="24"/>
              <w:szCs w:val="24"/>
              <w:lang w:val="en-US"/>
            </w:rPr>
            <w:t xml:space="preserve">. Retrieved from Geo Pol: </w:t>
          </w:r>
          <w:hyperlink r:id="rId71" w:history="1">
            <w:r w:rsidRPr="00BB0B7E">
              <w:rPr>
                <w:rStyle w:val="Hyperlink"/>
                <w:rFonts w:asciiTheme="majorBidi" w:hAnsiTheme="majorBidi" w:cstheme="majorBidi"/>
                <w:noProof/>
                <w:sz w:val="24"/>
                <w:szCs w:val="24"/>
                <w:lang w:val="en-US"/>
              </w:rPr>
              <w:t>https://www.geopoll.com/blog/coding-qualitative-data/</w:t>
            </w:r>
          </w:hyperlink>
        </w:p>
        <w:p w14:paraId="11A9F6C0" w14:textId="77777777" w:rsidR="006E2490" w:rsidRPr="009C6DC2" w:rsidRDefault="006E2490" w:rsidP="006E2490">
          <w:pPr>
            <w:ind w:left="720" w:hanging="720"/>
            <w:rPr>
              <w:rFonts w:asciiTheme="majorBidi" w:hAnsiTheme="majorBidi" w:cstheme="majorBidi"/>
              <w:noProof/>
              <w:sz w:val="24"/>
              <w:szCs w:val="24"/>
              <w:lang w:val="en-US"/>
            </w:rPr>
          </w:pPr>
          <w:r w:rsidRPr="002E34E5">
            <w:rPr>
              <w:rFonts w:asciiTheme="majorBidi" w:hAnsiTheme="majorBidi" w:cstheme="majorBidi"/>
              <w:noProof/>
              <w:sz w:val="24"/>
              <w:szCs w:val="24"/>
              <w:lang w:val="en-US"/>
            </w:rPr>
            <w:t>Bonett, D. G. (2012). Replication-extension studies. Current Directions in Psychological Science, 21(6), 409-412.</w:t>
          </w:r>
        </w:p>
        <w:p w14:paraId="406BEAA2" w14:textId="57E7282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Borah, A., &amp; Tellis, G. J. (2016). </w:t>
          </w:r>
          <w:r w:rsidRPr="009C6DC2">
            <w:rPr>
              <w:rFonts w:asciiTheme="majorBidi" w:hAnsiTheme="majorBidi" w:cstheme="majorBidi"/>
              <w:noProof/>
              <w:sz w:val="24"/>
              <w:szCs w:val="24"/>
              <w:lang w:val="en-US"/>
            </w:rPr>
            <w:t xml:space="preserve">Halo (Spillover) Effects in Social Media: Do Product Recalls of One Brand Hurt or Help Rival Brands? </w:t>
          </w:r>
          <w:r w:rsidRPr="009C6DC2">
            <w:rPr>
              <w:rFonts w:asciiTheme="majorBidi" w:hAnsiTheme="majorBidi" w:cstheme="majorBidi"/>
              <w:i/>
              <w:iCs/>
              <w:noProof/>
              <w:sz w:val="24"/>
              <w:szCs w:val="24"/>
              <w:lang w:val="en-US"/>
            </w:rPr>
            <w:t>Journal of Marketing Research, 53</w:t>
          </w:r>
          <w:r w:rsidRPr="009C6DC2">
            <w:rPr>
              <w:rFonts w:asciiTheme="majorBidi" w:hAnsiTheme="majorBidi" w:cstheme="majorBidi"/>
              <w:noProof/>
              <w:sz w:val="24"/>
              <w:szCs w:val="24"/>
              <w:lang w:val="en-US"/>
            </w:rPr>
            <w:t>(2), 143-160. Retrieved 05 31, 2023, from https://www.jstor.org/stable/43832423</w:t>
          </w:r>
        </w:p>
        <w:p w14:paraId="07151C40" w14:textId="0B794D1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Boshers, J. (2022). </w:t>
          </w:r>
          <w:r w:rsidRPr="009C6DC2">
            <w:rPr>
              <w:rFonts w:asciiTheme="majorBidi" w:hAnsiTheme="majorBidi" w:cstheme="majorBidi"/>
              <w:i/>
              <w:iCs/>
              <w:noProof/>
              <w:sz w:val="24"/>
              <w:szCs w:val="24"/>
              <w:lang w:val="en-US"/>
            </w:rPr>
            <w:t>Egypt Online Marketing Guide</w:t>
          </w:r>
          <w:r w:rsidRPr="009C6DC2">
            <w:rPr>
              <w:rFonts w:asciiTheme="majorBidi" w:hAnsiTheme="majorBidi" w:cstheme="majorBidi"/>
              <w:noProof/>
              <w:sz w:val="24"/>
              <w:szCs w:val="24"/>
              <w:lang w:val="en-US"/>
            </w:rPr>
            <w:t>. Retrieved from Istizada: https://istizada.com/egypt-online-marketing/</w:t>
          </w:r>
        </w:p>
        <w:p w14:paraId="4FE97D1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Bourdieu, P. (1977). Outline of a Theory of Practice. In </w:t>
          </w:r>
          <w:r w:rsidRPr="009C6DC2">
            <w:rPr>
              <w:rFonts w:asciiTheme="majorBidi" w:hAnsiTheme="majorBidi" w:cstheme="majorBidi"/>
              <w:i/>
              <w:iCs/>
              <w:noProof/>
              <w:sz w:val="24"/>
              <w:szCs w:val="24"/>
              <w:lang w:val="en-US"/>
            </w:rPr>
            <w:t>Cambridge Studies in Social and Cultural Anthropology</w:t>
          </w:r>
          <w:r w:rsidRPr="009C6DC2">
            <w:rPr>
              <w:rFonts w:asciiTheme="majorBidi" w:hAnsiTheme="majorBidi" w:cstheme="majorBidi"/>
              <w:noProof/>
              <w:sz w:val="24"/>
              <w:szCs w:val="24"/>
              <w:lang w:val="en-US"/>
            </w:rPr>
            <w:t xml:space="preserve"> (Vol. 16). Cambridge University Press.</w:t>
          </w:r>
        </w:p>
        <w:p w14:paraId="4B70E44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Boyatzis, R. (1998). </w:t>
          </w:r>
          <w:r w:rsidRPr="009C6DC2">
            <w:rPr>
              <w:rFonts w:asciiTheme="majorBidi" w:hAnsiTheme="majorBidi" w:cstheme="majorBidi"/>
              <w:i/>
              <w:iCs/>
              <w:noProof/>
              <w:sz w:val="24"/>
              <w:szCs w:val="24"/>
              <w:lang w:val="en-US"/>
            </w:rPr>
            <w:t>Transforming Qualitative Information: Thematic Analysis and Code Development.</w:t>
          </w:r>
          <w:r w:rsidRPr="009C6DC2">
            <w:rPr>
              <w:rFonts w:asciiTheme="majorBidi" w:hAnsiTheme="majorBidi" w:cstheme="majorBidi"/>
              <w:noProof/>
              <w:sz w:val="24"/>
              <w:szCs w:val="24"/>
              <w:lang w:val="en-US"/>
            </w:rPr>
            <w:t xml:space="preserve"> Thousand Oaks, CA: Sage Publications.</w:t>
          </w:r>
        </w:p>
        <w:p w14:paraId="44F13F9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Bozbay, Z., Karami, A., &amp; Arghashi, V. (2018). The Relationship between Brand Love and Brand Attitude. </w:t>
          </w:r>
          <w:r w:rsidRPr="009C6DC2">
            <w:rPr>
              <w:rFonts w:asciiTheme="majorBidi" w:hAnsiTheme="majorBidi" w:cstheme="majorBidi"/>
              <w:i/>
              <w:iCs/>
              <w:noProof/>
              <w:sz w:val="24"/>
              <w:szCs w:val="24"/>
              <w:lang w:val="en-US"/>
            </w:rPr>
            <w:t>The 2nd Conference on Management and Business</w:t>
          </w:r>
          <w:r w:rsidRPr="009C6DC2">
            <w:rPr>
              <w:rFonts w:asciiTheme="majorBidi" w:hAnsiTheme="majorBidi" w:cstheme="majorBidi"/>
              <w:noProof/>
              <w:sz w:val="24"/>
              <w:szCs w:val="24"/>
              <w:lang w:val="en-US"/>
            </w:rPr>
            <w:t>, (pp. 8-9). Retrieved 09 07, 2023, from https://d1wqtxts1xzle7.cloudfront.net/56925842/the_relationship_between_brand_love-libre.pdf?1530709444=&amp;response-content-disposition=inline%3B+filename%3DThe_Relationship_between_Brand_Love_and.pdf&amp;Expires=1694097746&amp;Signature=M7UsWh8HUS3K5krawHXnbJ3y0~z</w:t>
          </w:r>
        </w:p>
        <w:p w14:paraId="76227E77" w14:textId="67007CA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Bradshaw, C., Atkinson, S., &amp; Doody, O. (2017). Employing a Qualitative Description Approach in Health Care Research. </w:t>
          </w:r>
          <w:r w:rsidRPr="009C6DC2">
            <w:rPr>
              <w:rFonts w:asciiTheme="majorBidi" w:hAnsiTheme="majorBidi" w:cstheme="majorBidi"/>
              <w:i/>
              <w:iCs/>
              <w:noProof/>
              <w:sz w:val="24"/>
              <w:szCs w:val="24"/>
              <w:lang w:val="en-US"/>
            </w:rPr>
            <w:t>Global qualitative nursing research, 4</w:t>
          </w:r>
          <w:r w:rsidRPr="009C6DC2">
            <w:rPr>
              <w:rFonts w:asciiTheme="majorBidi" w:hAnsiTheme="majorBidi" w:cstheme="majorBidi"/>
              <w:noProof/>
              <w:sz w:val="24"/>
              <w:szCs w:val="24"/>
              <w:lang w:val="en-US"/>
            </w:rPr>
            <w:t>. doi:10.1177/2333393617742282</w:t>
          </w:r>
        </w:p>
        <w:p w14:paraId="245A94EB" w14:textId="6BCA5AF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Bramer, W. M. (2018). Reference checking for systematic reviews using Endnote. </w:t>
          </w:r>
          <w:r w:rsidRPr="009C6DC2">
            <w:rPr>
              <w:rFonts w:asciiTheme="majorBidi" w:hAnsiTheme="majorBidi" w:cstheme="majorBidi"/>
              <w:i/>
              <w:iCs/>
              <w:noProof/>
              <w:sz w:val="24"/>
              <w:szCs w:val="24"/>
              <w:lang w:val="en-US"/>
            </w:rPr>
            <w:t>Journal of the Medical Library Association JMLA, 106</w:t>
          </w:r>
          <w:r w:rsidRPr="009C6DC2">
            <w:rPr>
              <w:rFonts w:asciiTheme="majorBidi" w:hAnsiTheme="majorBidi" w:cstheme="majorBidi"/>
              <w:noProof/>
              <w:sz w:val="24"/>
              <w:szCs w:val="24"/>
              <w:lang w:val="en-US"/>
            </w:rPr>
            <w:t>(4), 542-546. doi:10.5195/jmla.2018.489</w:t>
          </w:r>
        </w:p>
        <w:p w14:paraId="420FAE3F" w14:textId="2394EC1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Braun, V., &amp; Clarke, V. (2008). Using thematic analysis in psychology. </w:t>
          </w:r>
          <w:r w:rsidRPr="009C6DC2">
            <w:rPr>
              <w:rFonts w:asciiTheme="majorBidi" w:hAnsiTheme="majorBidi" w:cstheme="majorBidi"/>
              <w:i/>
              <w:iCs/>
              <w:noProof/>
              <w:sz w:val="24"/>
              <w:szCs w:val="24"/>
              <w:lang w:val="en-US"/>
            </w:rPr>
            <w:t>Qualitative Research in Psychology, 3</w:t>
          </w:r>
          <w:r w:rsidRPr="009C6DC2">
            <w:rPr>
              <w:rFonts w:asciiTheme="majorBidi" w:hAnsiTheme="majorBidi" w:cstheme="majorBidi"/>
              <w:noProof/>
              <w:sz w:val="24"/>
              <w:szCs w:val="24"/>
              <w:lang w:val="en-US"/>
            </w:rPr>
            <w:t>(2), 77-101.</w:t>
          </w:r>
        </w:p>
        <w:p w14:paraId="6E9C8D8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Bredahl, L. (2001). Determinants of consumer attitudes and purchase intentions with regard to genetically modified foods – results of a cross‐national survey. </w:t>
          </w:r>
          <w:r w:rsidRPr="009C6DC2">
            <w:rPr>
              <w:rFonts w:asciiTheme="majorBidi" w:hAnsiTheme="majorBidi" w:cstheme="majorBidi"/>
              <w:i/>
              <w:iCs/>
              <w:noProof/>
              <w:sz w:val="24"/>
              <w:szCs w:val="24"/>
              <w:lang w:val="en-US"/>
            </w:rPr>
            <w:t>Journal of Consumer Policy, 24</w:t>
          </w:r>
          <w:r w:rsidRPr="009C6DC2">
            <w:rPr>
              <w:rFonts w:asciiTheme="majorBidi" w:hAnsiTheme="majorBidi" w:cstheme="majorBidi"/>
              <w:noProof/>
              <w:sz w:val="24"/>
              <w:szCs w:val="24"/>
              <w:lang w:val="en-US"/>
            </w:rPr>
            <w:t>(1), 23-61.</w:t>
          </w:r>
        </w:p>
        <w:p w14:paraId="06EEBB2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Brewer, J., &amp; Hunter, A. (1989). Multimethod research: A synthesis of styles. </w:t>
          </w:r>
          <w:r w:rsidRPr="009C6DC2">
            <w:rPr>
              <w:rFonts w:asciiTheme="majorBidi" w:hAnsiTheme="majorBidi" w:cstheme="majorBidi"/>
              <w:i/>
              <w:iCs/>
              <w:noProof/>
              <w:sz w:val="24"/>
              <w:szCs w:val="24"/>
              <w:lang w:val="en-US"/>
            </w:rPr>
            <w:t>American Psychology Association</w:t>
          </w:r>
          <w:r w:rsidRPr="009C6DC2">
            <w:rPr>
              <w:rFonts w:asciiTheme="majorBidi" w:hAnsiTheme="majorBidi" w:cstheme="majorBidi"/>
              <w:noProof/>
              <w:sz w:val="24"/>
              <w:szCs w:val="24"/>
              <w:lang w:val="en-US"/>
            </w:rPr>
            <w:t>.</w:t>
          </w:r>
        </w:p>
        <w:p w14:paraId="0F8DAC4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Britannica. (n.d.). </w:t>
          </w:r>
          <w:r w:rsidRPr="009C6DC2">
            <w:rPr>
              <w:rFonts w:asciiTheme="majorBidi" w:hAnsiTheme="majorBidi" w:cstheme="majorBidi"/>
              <w:i/>
              <w:iCs/>
              <w:noProof/>
              <w:sz w:val="24"/>
              <w:szCs w:val="24"/>
              <w:lang w:val="en-US"/>
            </w:rPr>
            <w:t xml:space="preserve">People of Egypt </w:t>
          </w:r>
          <w:r w:rsidRPr="009C6DC2">
            <w:rPr>
              <w:rFonts w:asciiTheme="majorBidi" w:hAnsiTheme="majorBidi" w:cstheme="majorBidi"/>
              <w:noProof/>
              <w:sz w:val="24"/>
              <w:szCs w:val="24"/>
              <w:lang w:val="en-US"/>
            </w:rPr>
            <w:t>. Retrieved from Britannica: https://www.britannica.com/place/Egypt/Return-to-authoritarianism</w:t>
          </w:r>
        </w:p>
        <w:p w14:paraId="491781C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Brown , T. J., &amp; Dacin, P. A. (1997). The Company and the Product: Corporate Associations and Consumer Product Responses. </w:t>
          </w:r>
          <w:r w:rsidRPr="009C6DC2">
            <w:rPr>
              <w:rFonts w:asciiTheme="majorBidi" w:hAnsiTheme="majorBidi" w:cstheme="majorBidi"/>
              <w:i/>
              <w:iCs/>
              <w:noProof/>
              <w:sz w:val="24"/>
              <w:szCs w:val="24"/>
              <w:lang w:val="en-US"/>
            </w:rPr>
            <w:t>Journal of Marketing, 61</w:t>
          </w:r>
          <w:r w:rsidRPr="009C6DC2">
            <w:rPr>
              <w:rFonts w:asciiTheme="majorBidi" w:hAnsiTheme="majorBidi" w:cstheme="majorBidi"/>
              <w:noProof/>
              <w:sz w:val="24"/>
              <w:szCs w:val="24"/>
              <w:lang w:val="en-US"/>
            </w:rPr>
            <w:t>(1), 68-84. doi:https://doi.org/10.2307/1252190</w:t>
          </w:r>
        </w:p>
        <w:p w14:paraId="25DA828A" w14:textId="13FD850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Bruce, N. I., Becker, M., &amp; Reinartz, W. (2020). Communicating Brands in Television Advertising. </w:t>
          </w:r>
          <w:r w:rsidRPr="009C6DC2">
            <w:rPr>
              <w:rFonts w:asciiTheme="majorBidi" w:hAnsiTheme="majorBidi" w:cstheme="majorBidi"/>
              <w:i/>
              <w:iCs/>
              <w:noProof/>
              <w:sz w:val="24"/>
              <w:szCs w:val="24"/>
              <w:lang w:val="en-US"/>
            </w:rPr>
            <w:t>Journal of Marketing Research , 57</w:t>
          </w:r>
          <w:r w:rsidRPr="009C6DC2">
            <w:rPr>
              <w:rFonts w:asciiTheme="majorBidi" w:hAnsiTheme="majorBidi" w:cstheme="majorBidi"/>
              <w:noProof/>
              <w:sz w:val="24"/>
              <w:szCs w:val="24"/>
              <w:lang w:val="en-US"/>
            </w:rPr>
            <w:t>(2). doi:https://doi.org/10.1177/0022243719892576</w:t>
          </w:r>
        </w:p>
        <w:p w14:paraId="4ACEBA6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Bryman, A. (2016). </w:t>
          </w:r>
          <w:r w:rsidRPr="009C6DC2">
            <w:rPr>
              <w:rFonts w:asciiTheme="majorBidi" w:hAnsiTheme="majorBidi" w:cstheme="majorBidi"/>
              <w:i/>
              <w:iCs/>
              <w:noProof/>
              <w:sz w:val="24"/>
              <w:szCs w:val="24"/>
              <w:lang w:val="en-US"/>
            </w:rPr>
            <w:t>Social Research Methods.</w:t>
          </w:r>
          <w:r w:rsidRPr="009C6DC2">
            <w:rPr>
              <w:rFonts w:asciiTheme="majorBidi" w:hAnsiTheme="majorBidi" w:cstheme="majorBidi"/>
              <w:noProof/>
              <w:sz w:val="24"/>
              <w:szCs w:val="24"/>
              <w:lang w:val="en-US"/>
            </w:rPr>
            <w:t xml:space="preserve"> (5th ed.). Oxford University Press. Retrieved 11 11, 2022</w:t>
          </w:r>
        </w:p>
        <w:p w14:paraId="77D1EC30" w14:textId="0D623D7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Bucholtz, M. (2000). The politics of transcription. </w:t>
          </w:r>
          <w:r w:rsidRPr="009C6DC2">
            <w:rPr>
              <w:rFonts w:asciiTheme="majorBidi" w:hAnsiTheme="majorBidi" w:cstheme="majorBidi"/>
              <w:i/>
              <w:iCs/>
              <w:noProof/>
              <w:sz w:val="24"/>
              <w:szCs w:val="24"/>
              <w:lang w:val="en-US"/>
            </w:rPr>
            <w:t>Journal of Pragmatics, 32</w:t>
          </w:r>
          <w:r w:rsidRPr="009C6DC2">
            <w:rPr>
              <w:rFonts w:asciiTheme="majorBidi" w:hAnsiTheme="majorBidi" w:cstheme="majorBidi"/>
              <w:noProof/>
              <w:sz w:val="24"/>
              <w:szCs w:val="24"/>
              <w:lang w:val="en-US"/>
            </w:rPr>
            <w:t>(10), 1439-1465. doi:https://doi.org/10.1016/S0378-2166(99)00094-6</w:t>
          </w:r>
        </w:p>
        <w:p w14:paraId="4B5EE76C" w14:textId="1D2BFA2C"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lang w:val="sv-SE"/>
            </w:rPr>
            <w:t xml:space="preserve">Budhwar, P., Pereira, V., Mellahi, K., &amp; Singh , S. K. (2019). </w:t>
          </w:r>
          <w:r w:rsidRPr="009C6DC2">
            <w:rPr>
              <w:rFonts w:asciiTheme="majorBidi" w:hAnsiTheme="majorBidi" w:cstheme="majorBidi"/>
              <w:noProof/>
              <w:sz w:val="24"/>
              <w:szCs w:val="24"/>
              <w:lang w:val="en-US"/>
            </w:rPr>
            <w:t xml:space="preserve">The state of HRM in the Middle East: Challenges and future research agenda. </w:t>
          </w:r>
          <w:r w:rsidRPr="009C6DC2">
            <w:rPr>
              <w:rFonts w:asciiTheme="majorBidi" w:hAnsiTheme="majorBidi" w:cstheme="majorBidi"/>
              <w:i/>
              <w:iCs/>
              <w:noProof/>
              <w:sz w:val="24"/>
              <w:szCs w:val="24"/>
              <w:lang w:val="en-US"/>
            </w:rPr>
            <w:t>Asia Pacific Journal of Management, 36</w:t>
          </w:r>
          <w:r w:rsidRPr="009C6DC2">
            <w:rPr>
              <w:rFonts w:asciiTheme="majorBidi" w:hAnsiTheme="majorBidi" w:cstheme="majorBidi"/>
              <w:noProof/>
              <w:sz w:val="24"/>
              <w:szCs w:val="24"/>
              <w:lang w:val="en-US"/>
            </w:rPr>
            <w:t>, 905-933. doi:https://doi.org/10.1007/s10490-018-9587-7</w:t>
          </w:r>
        </w:p>
        <w:p w14:paraId="12E0E8FD" w14:textId="7143CE9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Burke, P. F., Dowling, G., &amp; Wei, E. (2018). The relative impact of corporate reputation on consumer choice: beyond a halo effect. </w:t>
          </w:r>
          <w:r w:rsidRPr="009C6DC2">
            <w:rPr>
              <w:rFonts w:asciiTheme="majorBidi" w:hAnsiTheme="majorBidi" w:cstheme="majorBidi"/>
              <w:i/>
              <w:iCs/>
              <w:noProof/>
              <w:sz w:val="24"/>
              <w:szCs w:val="24"/>
              <w:lang w:val="en-US"/>
            </w:rPr>
            <w:t>Journal of Marketing Management, 34</w:t>
          </w:r>
          <w:r w:rsidRPr="009C6DC2">
            <w:rPr>
              <w:rFonts w:asciiTheme="majorBidi" w:hAnsiTheme="majorBidi" w:cstheme="majorBidi"/>
              <w:noProof/>
              <w:sz w:val="24"/>
              <w:szCs w:val="24"/>
              <w:lang w:val="en-US"/>
            </w:rPr>
            <w:t>(13-14), 1227-1257. doi:https://doi.org/10.1080/0267257X.2018.1546765</w:t>
          </w:r>
        </w:p>
        <w:p w14:paraId="5956E1B7" w14:textId="77777777"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Burmeister, E., &amp; Aitken, L. M. (2012). </w:t>
          </w:r>
          <w:r w:rsidRPr="009C6DC2">
            <w:rPr>
              <w:rFonts w:asciiTheme="majorBidi" w:hAnsiTheme="majorBidi" w:cstheme="majorBidi"/>
              <w:noProof/>
              <w:sz w:val="24"/>
              <w:szCs w:val="24"/>
              <w:lang w:val="en-US"/>
            </w:rPr>
            <w:t xml:space="preserve">Sample size: How many is enough? </w:t>
          </w:r>
          <w:r w:rsidRPr="009C6DC2">
            <w:rPr>
              <w:rFonts w:asciiTheme="majorBidi" w:hAnsiTheme="majorBidi" w:cstheme="majorBidi"/>
              <w:i/>
              <w:iCs/>
              <w:noProof/>
              <w:sz w:val="24"/>
              <w:szCs w:val="24"/>
              <w:lang w:val="en-US"/>
            </w:rPr>
            <w:t>Australian Critical Care, 25</w:t>
          </w:r>
          <w:r w:rsidRPr="009C6DC2">
            <w:rPr>
              <w:rFonts w:asciiTheme="majorBidi" w:hAnsiTheme="majorBidi" w:cstheme="majorBidi"/>
              <w:noProof/>
              <w:sz w:val="24"/>
              <w:szCs w:val="24"/>
              <w:lang w:val="en-US"/>
            </w:rPr>
            <w:t>, 271-274. doi:10.1016/j.aucc.2012.07.002</w:t>
          </w:r>
        </w:p>
        <w:p w14:paraId="751DFEF9" w14:textId="09E4D53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Burnam, L. (2022). </w:t>
          </w:r>
          <w:r w:rsidRPr="009C6DC2">
            <w:rPr>
              <w:rFonts w:asciiTheme="majorBidi" w:hAnsiTheme="majorBidi" w:cstheme="majorBidi"/>
              <w:i/>
              <w:iCs/>
              <w:noProof/>
              <w:sz w:val="24"/>
              <w:szCs w:val="24"/>
              <w:lang w:val="en-US"/>
            </w:rPr>
            <w:t>Qualitative Coding: How to Turn Complex Data into Conclusive Insights</w:t>
          </w:r>
          <w:r w:rsidRPr="009C6DC2">
            <w:rPr>
              <w:rFonts w:asciiTheme="majorBidi" w:hAnsiTheme="majorBidi" w:cstheme="majorBidi"/>
              <w:noProof/>
              <w:sz w:val="24"/>
              <w:szCs w:val="24"/>
              <w:lang w:val="en-US"/>
            </w:rPr>
            <w:t>. Retrieved from User Interviews: https://www.userinterviews.com/blog/qualitative-coding-ux-research-analysis</w:t>
          </w:r>
        </w:p>
        <w:p w14:paraId="1ACB79F7" w14:textId="3A726F6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Burnasheva, R., &amp; Suh, Y. G. (2021). </w:t>
          </w:r>
          <w:r w:rsidRPr="009C6DC2">
            <w:rPr>
              <w:rFonts w:asciiTheme="majorBidi" w:hAnsiTheme="majorBidi" w:cstheme="majorBidi"/>
              <w:noProof/>
              <w:sz w:val="24"/>
              <w:szCs w:val="24"/>
              <w:lang w:val="en-US"/>
            </w:rPr>
            <w:t xml:space="preserve">The influence of social media usage, self-image congruity and self-esteem on conspicuous online consumption among millennials. </w:t>
          </w:r>
          <w:r w:rsidRPr="009C6DC2">
            <w:rPr>
              <w:rFonts w:asciiTheme="majorBidi" w:hAnsiTheme="majorBidi" w:cstheme="majorBidi"/>
              <w:i/>
              <w:iCs/>
              <w:noProof/>
              <w:sz w:val="24"/>
              <w:szCs w:val="24"/>
              <w:lang w:val="en-US"/>
            </w:rPr>
            <w:t>Asia Pacific Journal of Marketing and Logistics, 33</w:t>
          </w:r>
          <w:r w:rsidRPr="009C6DC2">
            <w:rPr>
              <w:rFonts w:asciiTheme="majorBidi" w:hAnsiTheme="majorBidi" w:cstheme="majorBidi"/>
              <w:noProof/>
              <w:sz w:val="24"/>
              <w:szCs w:val="24"/>
              <w:lang w:val="en-US"/>
            </w:rPr>
            <w:t>(5), 1255-1269. doi:https://doi.org/10.1108/APJML-03-2020-0180</w:t>
          </w:r>
        </w:p>
        <w:p w14:paraId="0B12B49A" w14:textId="5AB06C7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Cabigting, X. C., Marallag, A. D., Mariano, B. P., &amp; Grimaldo, J. R. (2022). The Impact of Online Advertisement on Building a Brand and on Purchase Intention. </w:t>
          </w:r>
          <w:r w:rsidRPr="009C6DC2">
            <w:rPr>
              <w:rFonts w:asciiTheme="majorBidi" w:hAnsiTheme="majorBidi" w:cstheme="majorBidi"/>
              <w:i/>
              <w:iCs/>
              <w:noProof/>
              <w:sz w:val="24"/>
              <w:szCs w:val="24"/>
              <w:lang w:val="en-US"/>
            </w:rPr>
            <w:t>Journal of Business and Management Studies, 4</w:t>
          </w:r>
          <w:r w:rsidRPr="009C6DC2">
            <w:rPr>
              <w:rFonts w:asciiTheme="majorBidi" w:hAnsiTheme="majorBidi" w:cstheme="majorBidi"/>
              <w:noProof/>
              <w:sz w:val="24"/>
              <w:szCs w:val="24"/>
              <w:lang w:val="en-US"/>
            </w:rPr>
            <w:t>(2), 301-312. doi:DOI:10.32996/jbms.2022.4.2.24</w:t>
          </w:r>
        </w:p>
        <w:p w14:paraId="67A7307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Cable, D. M., &amp; Edwards, J. R. (2004). Complementary and supplementary fit: a theoretical and. </w:t>
          </w:r>
          <w:r w:rsidRPr="009C6DC2">
            <w:rPr>
              <w:rFonts w:asciiTheme="majorBidi" w:hAnsiTheme="majorBidi" w:cstheme="majorBidi"/>
              <w:i/>
              <w:iCs/>
              <w:noProof/>
              <w:sz w:val="24"/>
              <w:szCs w:val="24"/>
              <w:lang w:val="en-US"/>
            </w:rPr>
            <w:t>Journal of Applied Psychology, 89</w:t>
          </w:r>
          <w:r w:rsidRPr="009C6DC2">
            <w:rPr>
              <w:rFonts w:asciiTheme="majorBidi" w:hAnsiTheme="majorBidi" w:cstheme="majorBidi"/>
              <w:noProof/>
              <w:sz w:val="24"/>
              <w:szCs w:val="24"/>
              <w:lang w:val="en-US"/>
            </w:rPr>
            <w:t>, 822-834.</w:t>
          </w:r>
        </w:p>
        <w:p w14:paraId="13FA373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Cacheux, B. (2020). </w:t>
          </w:r>
          <w:r w:rsidRPr="009C6DC2">
            <w:rPr>
              <w:rFonts w:asciiTheme="majorBidi" w:hAnsiTheme="majorBidi" w:cstheme="majorBidi"/>
              <w:i/>
              <w:iCs/>
              <w:noProof/>
              <w:sz w:val="24"/>
              <w:szCs w:val="24"/>
              <w:lang w:val="en-US"/>
            </w:rPr>
            <w:t>Zenith</w:t>
          </w:r>
          <w:r w:rsidRPr="009C6DC2">
            <w:rPr>
              <w:rFonts w:asciiTheme="majorBidi" w:hAnsiTheme="majorBidi" w:cstheme="majorBidi"/>
              <w:noProof/>
              <w:sz w:val="24"/>
              <w:szCs w:val="24"/>
              <w:lang w:val="en-US"/>
            </w:rPr>
            <w:t>. Retrieved 02 01, 2022, from https://www.zenithmedia.com/the-future-of-tv/</w:t>
          </w:r>
        </w:p>
        <w:p w14:paraId="0126175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Cacioppo, J. T., Petty, R. E., Kao, F. C., &amp; Rodriguez, R. (1986). Central and peripheral routes to persuasion: An individual difference perspective. </w:t>
          </w:r>
          <w:r w:rsidRPr="009C6DC2">
            <w:rPr>
              <w:rFonts w:asciiTheme="majorBidi" w:hAnsiTheme="majorBidi" w:cstheme="majorBidi"/>
              <w:i/>
              <w:iCs/>
              <w:noProof/>
              <w:sz w:val="24"/>
              <w:szCs w:val="24"/>
              <w:lang w:val="en-US"/>
            </w:rPr>
            <w:t>Journal of Personality and Social Psychology, 51</w:t>
          </w:r>
          <w:r w:rsidRPr="009C6DC2">
            <w:rPr>
              <w:rFonts w:asciiTheme="majorBidi" w:hAnsiTheme="majorBidi" w:cstheme="majorBidi"/>
              <w:noProof/>
              <w:sz w:val="24"/>
              <w:szCs w:val="24"/>
              <w:lang w:val="en-US"/>
            </w:rPr>
            <w:t>(05), 1032-1043. Retrieved 09 25, 2022, from https://doi.org/10.1037/0022-3514.51.5.1032</w:t>
          </w:r>
        </w:p>
        <w:p w14:paraId="2D5A724C" w14:textId="2C68C83D"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Cai, L., &amp; Chung, S. C. (2021). </w:t>
          </w:r>
          <w:r w:rsidRPr="009C6DC2">
            <w:rPr>
              <w:rFonts w:asciiTheme="majorBidi" w:hAnsiTheme="majorBidi" w:cstheme="majorBidi"/>
              <w:noProof/>
              <w:sz w:val="24"/>
              <w:szCs w:val="24"/>
              <w:lang w:val="en-US"/>
            </w:rPr>
            <w:t>Incremental Model Fit Assessment in the Case of Categorical Data: Tucker-Lewis Index for Item Response Theory Modeling. doi:10.1007/s11121-021-01253-4</w:t>
          </w:r>
        </w:p>
        <w:p w14:paraId="01DF9399" w14:textId="2C9277F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Cain, R. M. (2010). Embedded advertising on television: Disclosure, deception, and free speech rights. </w:t>
          </w:r>
          <w:r w:rsidRPr="009C6DC2">
            <w:rPr>
              <w:rFonts w:asciiTheme="majorBidi" w:hAnsiTheme="majorBidi" w:cstheme="majorBidi"/>
              <w:i/>
              <w:iCs/>
              <w:noProof/>
              <w:sz w:val="24"/>
              <w:szCs w:val="24"/>
              <w:lang w:val="en-US"/>
            </w:rPr>
            <w:t>Journal of Public Policy &amp; Marketing, 30</w:t>
          </w:r>
          <w:r w:rsidRPr="009C6DC2">
            <w:rPr>
              <w:rFonts w:asciiTheme="majorBidi" w:hAnsiTheme="majorBidi" w:cstheme="majorBidi"/>
              <w:noProof/>
              <w:sz w:val="24"/>
              <w:szCs w:val="24"/>
              <w:lang w:val="en-US"/>
            </w:rPr>
            <w:t>(02). doi:10.2307/23209277</w:t>
          </w:r>
        </w:p>
        <w:p w14:paraId="792E0638" w14:textId="0E9BAA2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Calder, B. J., Isaac, M. S., &amp; Malthouse, E. C. (2015). How to Capture Consumer Experiences: A Context-Specific Approach To Measuring Engagement: Predicting Consumer Behavior Across Qualitatively Different Experiences. </w:t>
          </w:r>
          <w:r w:rsidRPr="009C6DC2">
            <w:rPr>
              <w:rFonts w:asciiTheme="majorBidi" w:hAnsiTheme="majorBidi" w:cstheme="majorBidi"/>
              <w:i/>
              <w:iCs/>
              <w:noProof/>
              <w:sz w:val="24"/>
              <w:szCs w:val="24"/>
              <w:lang w:val="en-US"/>
            </w:rPr>
            <w:t>Journal of Advertising Research, 56</w:t>
          </w:r>
          <w:r w:rsidRPr="009C6DC2">
            <w:rPr>
              <w:rFonts w:asciiTheme="majorBidi" w:hAnsiTheme="majorBidi" w:cstheme="majorBidi"/>
              <w:noProof/>
              <w:sz w:val="24"/>
              <w:szCs w:val="24"/>
              <w:lang w:val="en-US"/>
            </w:rPr>
            <w:t>(1). doi:10.2501/JAR-2015-028</w:t>
          </w:r>
        </w:p>
        <w:p w14:paraId="75B18C4A" w14:textId="05CCC33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Campbell, S., Greenwood, M., Prior, S., Shearer, T., Walkem, K., Young, S., . . . Walker, K. (2020). Purposive sampling: complex or simple? Research case examples. </w:t>
          </w:r>
          <w:r w:rsidRPr="009C6DC2">
            <w:rPr>
              <w:rFonts w:asciiTheme="majorBidi" w:hAnsiTheme="majorBidi" w:cstheme="majorBidi"/>
              <w:i/>
              <w:iCs/>
              <w:noProof/>
              <w:sz w:val="24"/>
              <w:szCs w:val="24"/>
              <w:lang w:val="en-US"/>
            </w:rPr>
            <w:t>Journal of Research in Nursing, 25</w:t>
          </w:r>
          <w:r w:rsidRPr="009C6DC2">
            <w:rPr>
              <w:rFonts w:asciiTheme="majorBidi" w:hAnsiTheme="majorBidi" w:cstheme="majorBidi"/>
              <w:noProof/>
              <w:sz w:val="24"/>
              <w:szCs w:val="24"/>
              <w:lang w:val="en-US"/>
            </w:rPr>
            <w:t>(8), 652-661. doi:10.1177/1744987120927206</w:t>
          </w:r>
        </w:p>
        <w:p w14:paraId="375FE87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Canniford, R., &amp; Bajde, D. (2015). </w:t>
          </w:r>
          <w:r w:rsidRPr="009C6DC2">
            <w:rPr>
              <w:rFonts w:asciiTheme="majorBidi" w:hAnsiTheme="majorBidi" w:cstheme="majorBidi"/>
              <w:i/>
              <w:iCs/>
              <w:noProof/>
              <w:sz w:val="24"/>
              <w:szCs w:val="24"/>
              <w:lang w:val="en-US"/>
            </w:rPr>
            <w:t>Assembling Consumption: Researching Actors, Networks and Markets</w:t>
          </w:r>
          <w:r w:rsidRPr="009C6DC2">
            <w:rPr>
              <w:rFonts w:asciiTheme="majorBidi" w:hAnsiTheme="majorBidi" w:cstheme="majorBidi"/>
              <w:noProof/>
              <w:sz w:val="24"/>
              <w:szCs w:val="24"/>
              <w:lang w:val="en-US"/>
            </w:rPr>
            <w:t xml:space="preserve"> (1st ed.). Routledge. doi:https://doi.org/10.4324/9781315743608</w:t>
          </w:r>
        </w:p>
        <w:p w14:paraId="7565371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Carey , M. K., Kassam, K. S., Hsee, C. K., &amp; Caruso, E. M. (2009). Duration sensitivity depends on stimulus familiarity. </w:t>
          </w:r>
          <w:r w:rsidRPr="009C6DC2">
            <w:rPr>
              <w:rFonts w:asciiTheme="majorBidi" w:hAnsiTheme="majorBidi" w:cstheme="majorBidi"/>
              <w:i/>
              <w:iCs/>
              <w:noProof/>
              <w:sz w:val="24"/>
              <w:szCs w:val="24"/>
              <w:lang w:val="en-US"/>
            </w:rPr>
            <w:t>Journal of Experimental Psychology: General,, 138</w:t>
          </w:r>
          <w:r w:rsidRPr="009C6DC2">
            <w:rPr>
              <w:rFonts w:asciiTheme="majorBidi" w:hAnsiTheme="majorBidi" w:cstheme="majorBidi"/>
              <w:noProof/>
              <w:sz w:val="24"/>
              <w:szCs w:val="24"/>
              <w:lang w:val="en-US"/>
            </w:rPr>
            <w:t>(2), 177-186. doi:https://doi.org/10.1037/a0015219</w:t>
          </w:r>
        </w:p>
        <w:p w14:paraId="46FFCA8B" w14:textId="626EC7A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Carmicheal, K. (2020). </w:t>
          </w:r>
          <w:r w:rsidRPr="009C6DC2">
            <w:rPr>
              <w:rFonts w:asciiTheme="majorBidi" w:hAnsiTheme="majorBidi" w:cstheme="majorBidi"/>
              <w:i/>
              <w:iCs/>
              <w:noProof/>
              <w:sz w:val="24"/>
              <w:szCs w:val="24"/>
              <w:lang w:val="en-US"/>
            </w:rPr>
            <w:t>10 Cause-Related Marketing Campaign Examples That Inspire Us</w:t>
          </w:r>
          <w:r w:rsidRPr="009C6DC2">
            <w:rPr>
              <w:rFonts w:asciiTheme="majorBidi" w:hAnsiTheme="majorBidi" w:cstheme="majorBidi"/>
              <w:noProof/>
              <w:sz w:val="24"/>
              <w:szCs w:val="24"/>
              <w:lang w:val="en-US"/>
            </w:rPr>
            <w:t>. Retrieved 06 03, 2023, from HubSpot: https://blog.hubspot.com/agency/5-tips-to-boost-your-next-cause-marketing-campaigns-reach</w:t>
          </w:r>
        </w:p>
        <w:p w14:paraId="5E0A1820" w14:textId="347616E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Carnevale, M., &amp; Kachersky, L. (2022). The influence of interpersonal relationships on brand-related behaviors for gifted brands. </w:t>
          </w:r>
          <w:r w:rsidRPr="009C6DC2">
            <w:rPr>
              <w:rFonts w:asciiTheme="majorBidi" w:hAnsiTheme="majorBidi" w:cstheme="majorBidi"/>
              <w:i/>
              <w:iCs/>
              <w:noProof/>
              <w:sz w:val="24"/>
              <w:szCs w:val="24"/>
              <w:lang w:val="en-US"/>
            </w:rPr>
            <w:t>Journal of Consumer Psychology</w:t>
          </w:r>
          <w:r w:rsidRPr="009C6DC2">
            <w:rPr>
              <w:rFonts w:asciiTheme="majorBidi" w:hAnsiTheme="majorBidi" w:cstheme="majorBidi"/>
              <w:noProof/>
              <w:sz w:val="24"/>
              <w:szCs w:val="24"/>
              <w:lang w:val="en-US"/>
            </w:rPr>
            <w:t>. doi:https://doi.org/10.1002/jcpy.1312</w:t>
          </w:r>
        </w:p>
        <w:p w14:paraId="444C777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Carrillo-Durán, M. V., &amp; Tato-Jiménez , J. L. (2019). Organizational Transformation and Managing Innovation in the Fourth Industrial Revolution. In </w:t>
          </w:r>
          <w:r w:rsidRPr="009C6DC2">
            <w:rPr>
              <w:rFonts w:asciiTheme="majorBidi" w:hAnsiTheme="majorBidi" w:cstheme="majorBidi"/>
              <w:i/>
              <w:iCs/>
              <w:noProof/>
              <w:sz w:val="24"/>
              <w:szCs w:val="24"/>
              <w:lang w:val="en-US"/>
            </w:rPr>
            <w:t>The Benefits of Social Networking Sites in Building Reputation for Enterprises</w:t>
          </w:r>
          <w:r w:rsidRPr="009C6DC2">
            <w:rPr>
              <w:rFonts w:asciiTheme="majorBidi" w:hAnsiTheme="majorBidi" w:cstheme="majorBidi"/>
              <w:noProof/>
              <w:sz w:val="24"/>
              <w:szCs w:val="24"/>
              <w:lang w:val="en-US"/>
            </w:rPr>
            <w:t xml:space="preserve"> (p. 21). IGI Global. doi:10.4018/978-1-5225-7074-5.ch004</w:t>
          </w:r>
        </w:p>
        <w:p w14:paraId="448FE307" w14:textId="3580BF5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Carroll, A. B. (1979</w:t>
          </w:r>
          <w:r w:rsidR="00B160DB">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 A Three-Dimensional Conceptual Model of Corporate Performance. </w:t>
          </w:r>
          <w:r w:rsidRPr="009C6DC2">
            <w:rPr>
              <w:rFonts w:asciiTheme="majorBidi" w:hAnsiTheme="majorBidi" w:cstheme="majorBidi"/>
              <w:i/>
              <w:iCs/>
              <w:noProof/>
              <w:sz w:val="24"/>
              <w:szCs w:val="24"/>
              <w:lang w:val="en-US"/>
            </w:rPr>
            <w:t>Academy of Management Review., 4</w:t>
          </w:r>
          <w:r w:rsidRPr="009C6DC2">
            <w:rPr>
              <w:rFonts w:asciiTheme="majorBidi" w:hAnsiTheme="majorBidi" w:cstheme="majorBidi"/>
              <w:noProof/>
              <w:sz w:val="24"/>
              <w:szCs w:val="24"/>
              <w:lang w:val="en-US"/>
            </w:rPr>
            <w:t>(4), 497-505. doi:10.5465/AMR.1979.4498296</w:t>
          </w:r>
        </w:p>
        <w:p w14:paraId="5F05525E" w14:textId="2984375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Carter-Harris, L. (2016). Facebook targeted advertisement for research recruitment: A primer for nurse researchers. </w:t>
          </w:r>
          <w:r w:rsidRPr="009C6DC2">
            <w:rPr>
              <w:rFonts w:asciiTheme="majorBidi" w:hAnsiTheme="majorBidi" w:cstheme="majorBidi"/>
              <w:i/>
              <w:iCs/>
              <w:noProof/>
              <w:sz w:val="24"/>
              <w:szCs w:val="24"/>
              <w:lang w:val="en-US"/>
            </w:rPr>
            <w:t>Applied Nursing Research, 32</w:t>
          </w:r>
          <w:r w:rsidRPr="009C6DC2">
            <w:rPr>
              <w:rFonts w:asciiTheme="majorBidi" w:hAnsiTheme="majorBidi" w:cstheme="majorBidi"/>
              <w:noProof/>
              <w:sz w:val="24"/>
              <w:szCs w:val="24"/>
              <w:lang w:val="en-US"/>
            </w:rPr>
            <w:t>, 144-147. doi:https://doi.org/10.1177/0193945919828108</w:t>
          </w:r>
        </w:p>
        <w:p w14:paraId="6A35BD48" w14:textId="6F31B28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Caspers, C. G. (2020). Role of Trust in Adopting Consumer Social Responsible Behaviour in the Context of Water Use in Domestic Households. </w:t>
          </w:r>
          <w:r w:rsidRPr="009C6DC2">
            <w:rPr>
              <w:rFonts w:asciiTheme="majorBidi" w:hAnsiTheme="majorBidi" w:cstheme="majorBidi"/>
              <w:i/>
              <w:iCs/>
              <w:noProof/>
              <w:sz w:val="24"/>
              <w:szCs w:val="24"/>
              <w:lang w:val="en-US"/>
            </w:rPr>
            <w:t>South East European Journal of Economics and Business, 15</w:t>
          </w:r>
          <w:r w:rsidRPr="009C6DC2">
            <w:rPr>
              <w:rFonts w:asciiTheme="majorBidi" w:hAnsiTheme="majorBidi" w:cstheme="majorBidi"/>
              <w:noProof/>
              <w:sz w:val="24"/>
              <w:szCs w:val="24"/>
              <w:lang w:val="en-US"/>
            </w:rPr>
            <w:t>(1), 1-13. doi:https://doi.org/10.2478/jeb-2020-0001</w:t>
          </w:r>
        </w:p>
        <w:p w14:paraId="2AAB6AE5" w14:textId="58F02B9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Cass, A. (2017</w:t>
          </w:r>
          <w:r w:rsidR="00B160DB">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w:t>
          </w:r>
          <w:r w:rsidRPr="009C6DC2">
            <w:rPr>
              <w:rFonts w:asciiTheme="majorBidi" w:hAnsiTheme="majorBidi" w:cstheme="majorBidi"/>
              <w:i/>
              <w:iCs/>
              <w:noProof/>
              <w:sz w:val="24"/>
              <w:szCs w:val="24"/>
              <w:lang w:val="en-US"/>
            </w:rPr>
            <w:t>Understanding the Arab male</w:t>
          </w:r>
          <w:r w:rsidRPr="009C6DC2">
            <w:rPr>
              <w:rFonts w:asciiTheme="majorBidi" w:hAnsiTheme="majorBidi" w:cstheme="majorBidi"/>
              <w:noProof/>
              <w:sz w:val="24"/>
              <w:szCs w:val="24"/>
              <w:lang w:val="en-US"/>
            </w:rPr>
            <w:t>. Retrieved from American Chamber of Commerce in Egypt: https://www.amcham.org.eg/publications/business-monthly/issues/258/June-2017/3591/manpower</w:t>
          </w:r>
        </w:p>
        <w:p w14:paraId="0D3090B6" w14:textId="2136868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Castleberry, A., &amp; Nolen, A. (2018). Thematic analysis of qualitative research data: Is it as easy as it sounds? </w:t>
          </w:r>
          <w:r w:rsidRPr="009C6DC2">
            <w:rPr>
              <w:rFonts w:asciiTheme="majorBidi" w:hAnsiTheme="majorBidi" w:cstheme="majorBidi"/>
              <w:i/>
              <w:iCs/>
              <w:noProof/>
              <w:sz w:val="24"/>
              <w:szCs w:val="24"/>
              <w:lang w:val="en-US"/>
            </w:rPr>
            <w:t>Currents in Pharmacy Teaching and Learning, 10</w:t>
          </w:r>
          <w:r w:rsidRPr="009C6DC2">
            <w:rPr>
              <w:rFonts w:asciiTheme="majorBidi" w:hAnsiTheme="majorBidi" w:cstheme="majorBidi"/>
              <w:noProof/>
              <w:sz w:val="24"/>
              <w:szCs w:val="24"/>
              <w:lang w:val="en-US"/>
            </w:rPr>
            <w:t>(6), 807-815. doi:https://doi.org/10.1016/j.cptl.2018.03.019</w:t>
          </w:r>
        </w:p>
        <w:p w14:paraId="1B2C4E7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Cervellon, M.-C., &amp; Lirio, P. (2017). When Employees Don't 'Like' Their Employers on Social Media. </w:t>
          </w:r>
          <w:r w:rsidRPr="009C6DC2">
            <w:rPr>
              <w:rFonts w:asciiTheme="majorBidi" w:hAnsiTheme="majorBidi" w:cstheme="majorBidi"/>
              <w:i/>
              <w:iCs/>
              <w:noProof/>
              <w:sz w:val="24"/>
              <w:szCs w:val="24"/>
              <w:lang w:val="en-US"/>
            </w:rPr>
            <w:t>MIT Sloan Management Review, 58</w:t>
          </w:r>
          <w:r w:rsidRPr="009C6DC2">
            <w:rPr>
              <w:rFonts w:asciiTheme="majorBidi" w:hAnsiTheme="majorBidi" w:cstheme="majorBidi"/>
              <w:noProof/>
              <w:sz w:val="24"/>
              <w:szCs w:val="24"/>
              <w:lang w:val="en-US"/>
            </w:rPr>
            <w:t>(2), 63-70. Retrieved 05 31, 2023, from http://mitsmr.com/2ghz3pk</w:t>
          </w:r>
        </w:p>
        <w:p w14:paraId="0DCAF57D" w14:textId="081B62C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Chan, T. K., K., C. M., &amp; Y., C. W. (2017). The state of online impulse-buying research: A literature. </w:t>
          </w:r>
          <w:r w:rsidRPr="009C6DC2">
            <w:rPr>
              <w:rFonts w:asciiTheme="majorBidi" w:hAnsiTheme="majorBidi" w:cstheme="majorBidi"/>
              <w:i/>
              <w:iCs/>
              <w:noProof/>
              <w:sz w:val="24"/>
              <w:szCs w:val="24"/>
              <w:lang w:val="en-US"/>
            </w:rPr>
            <w:t>Information and Management, 54</w:t>
          </w:r>
          <w:r w:rsidRPr="009C6DC2">
            <w:rPr>
              <w:rFonts w:asciiTheme="majorBidi" w:hAnsiTheme="majorBidi" w:cstheme="majorBidi"/>
              <w:noProof/>
              <w:sz w:val="24"/>
              <w:szCs w:val="24"/>
              <w:lang w:val="en-US"/>
            </w:rPr>
            <w:t>(2), 204-217. doi:http://dx.doi.org/doi:10.1016/j.im.2016.06.001</w:t>
          </w:r>
        </w:p>
        <w:p w14:paraId="3E38701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Chang, C.-H., Shu, S., &amp; King, B. (2014). Novelty in Theme Park Physical Surroundings: An Application of the Stimulus–Organism–Response Paradigm. </w:t>
          </w:r>
          <w:r w:rsidRPr="009C6DC2">
            <w:rPr>
              <w:rFonts w:asciiTheme="majorBidi" w:hAnsiTheme="majorBidi" w:cstheme="majorBidi"/>
              <w:i/>
              <w:iCs/>
              <w:noProof/>
              <w:sz w:val="24"/>
              <w:szCs w:val="24"/>
              <w:lang w:val="en-US"/>
            </w:rPr>
            <w:t>Asia Pacific Journal of Tourism Research, 19</w:t>
          </w:r>
          <w:r w:rsidRPr="009C6DC2">
            <w:rPr>
              <w:rFonts w:asciiTheme="majorBidi" w:hAnsiTheme="majorBidi" w:cstheme="majorBidi"/>
              <w:noProof/>
              <w:sz w:val="24"/>
              <w:szCs w:val="24"/>
              <w:lang w:val="en-US"/>
            </w:rPr>
            <w:t>(6), 680-699. doi:https://doi.org/10.1080/10941665.2013.779589</w:t>
          </w:r>
        </w:p>
        <w:p w14:paraId="1631C8C0" w14:textId="6A9279D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Chang, C.-W., Ko, C.-H., Huang, H.-C., &amp; Wang, S.-J. (2020). </w:t>
          </w:r>
          <w:r w:rsidRPr="009C6DC2">
            <w:rPr>
              <w:rFonts w:asciiTheme="majorBidi" w:hAnsiTheme="majorBidi" w:cstheme="majorBidi"/>
              <w:noProof/>
              <w:sz w:val="24"/>
              <w:szCs w:val="24"/>
              <w:lang w:val="en-US"/>
            </w:rPr>
            <w:t xml:space="preserve">Brand community identification matters: a dual value-creation routes framework. </w:t>
          </w:r>
          <w:r w:rsidRPr="009C6DC2">
            <w:rPr>
              <w:rFonts w:asciiTheme="majorBidi" w:hAnsiTheme="majorBidi" w:cstheme="majorBidi"/>
              <w:i/>
              <w:iCs/>
              <w:noProof/>
              <w:sz w:val="24"/>
              <w:szCs w:val="24"/>
              <w:lang w:val="en-US"/>
            </w:rPr>
            <w:t>Journal of Product &amp; Brand Management, 29</w:t>
          </w:r>
          <w:r w:rsidRPr="009C6DC2">
            <w:rPr>
              <w:rFonts w:asciiTheme="majorBidi" w:hAnsiTheme="majorBidi" w:cstheme="majorBidi"/>
              <w:noProof/>
              <w:sz w:val="24"/>
              <w:szCs w:val="24"/>
              <w:lang w:val="en-US"/>
            </w:rPr>
            <w:t>(03), 289-306. doi:https://doi.org/10.1108/JPBM-02-2018-1747</w:t>
          </w:r>
        </w:p>
        <w:p w14:paraId="0EEF3AC8" w14:textId="02C3D79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Charton-Vachet, F., &amp; Lombart, C. (2018). </w:t>
          </w:r>
          <w:r w:rsidRPr="009C6DC2">
            <w:rPr>
              <w:rFonts w:asciiTheme="majorBidi" w:hAnsiTheme="majorBidi" w:cstheme="majorBidi"/>
              <w:noProof/>
              <w:sz w:val="24"/>
              <w:szCs w:val="24"/>
              <w:lang w:val="en-US"/>
            </w:rPr>
            <w:t xml:space="preserve">Impact of the link between individuals and their region on the customer-regional brand relationship. </w:t>
          </w:r>
          <w:r w:rsidRPr="009C6DC2">
            <w:rPr>
              <w:rFonts w:asciiTheme="majorBidi" w:hAnsiTheme="majorBidi" w:cstheme="majorBidi"/>
              <w:i/>
              <w:iCs/>
              <w:noProof/>
              <w:sz w:val="24"/>
              <w:szCs w:val="24"/>
              <w:lang w:val="en-US"/>
            </w:rPr>
            <w:t>Journal of Retailing and Consumer Services, 43</w:t>
          </w:r>
          <w:r w:rsidRPr="009C6DC2">
            <w:rPr>
              <w:rFonts w:asciiTheme="majorBidi" w:hAnsiTheme="majorBidi" w:cstheme="majorBidi"/>
              <w:noProof/>
              <w:sz w:val="24"/>
              <w:szCs w:val="24"/>
              <w:lang w:val="en-US"/>
            </w:rPr>
            <w:t>, 170-187. doi:https://doi.org/10.1016/j.jretconser.2018.03.016</w:t>
          </w:r>
        </w:p>
        <w:p w14:paraId="0AAEB3A5" w14:textId="77777777"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Chatzopoulou, E., &amp; Kiewiet, A. d. (2021). </w:t>
          </w:r>
          <w:r w:rsidRPr="009C6DC2">
            <w:rPr>
              <w:rFonts w:asciiTheme="majorBidi" w:hAnsiTheme="majorBidi" w:cstheme="majorBidi"/>
              <w:noProof/>
              <w:sz w:val="24"/>
              <w:szCs w:val="24"/>
              <w:lang w:val="en-US"/>
            </w:rPr>
            <w:t xml:space="preserve">Millennials' evaluation of corporate social responsibility: The wants and needs of the largest and most ethical generation. </w:t>
          </w:r>
          <w:r w:rsidRPr="009C6DC2">
            <w:rPr>
              <w:rFonts w:asciiTheme="majorBidi" w:hAnsiTheme="majorBidi" w:cstheme="majorBidi"/>
              <w:i/>
              <w:iCs/>
              <w:noProof/>
              <w:sz w:val="24"/>
              <w:szCs w:val="24"/>
              <w:lang w:val="en-US"/>
            </w:rPr>
            <w:t>Journal of Consumer Behaviour, 20</w:t>
          </w:r>
          <w:r w:rsidRPr="009C6DC2">
            <w:rPr>
              <w:rFonts w:asciiTheme="majorBidi" w:hAnsiTheme="majorBidi" w:cstheme="majorBidi"/>
              <w:noProof/>
              <w:sz w:val="24"/>
              <w:szCs w:val="24"/>
              <w:lang w:val="en-US"/>
            </w:rPr>
            <w:t>(3), 521-534. doi:https://doi.org/10.1002/cb.1882</w:t>
          </w:r>
        </w:p>
        <w:p w14:paraId="6B2E822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Chatzopoulou, E., &amp; Tsogas , M. (2017). The Role of Emotions to Brand Attachment and Brand Attitude in a Retail Environment: An Extended Abstract. In </w:t>
          </w:r>
          <w:r w:rsidRPr="009C6DC2">
            <w:rPr>
              <w:rFonts w:asciiTheme="majorBidi" w:hAnsiTheme="majorBidi" w:cstheme="majorBidi"/>
              <w:i/>
              <w:iCs/>
              <w:noProof/>
              <w:sz w:val="24"/>
              <w:szCs w:val="24"/>
              <w:lang w:val="en-US"/>
            </w:rPr>
            <w:t>Developments in Marketing Science: Proceedings of the Academy of Marketing Science.</w:t>
          </w:r>
          <w:r w:rsidRPr="009C6DC2">
            <w:rPr>
              <w:rFonts w:asciiTheme="majorBidi" w:hAnsiTheme="majorBidi" w:cstheme="majorBidi"/>
              <w:noProof/>
              <w:sz w:val="24"/>
              <w:szCs w:val="24"/>
              <w:lang w:val="en-US"/>
            </w:rPr>
            <w:t xml:space="preserve"> Springer, Cham. doi:https://doi.org/10.1007/978-3-319-45596-9_10</w:t>
          </w:r>
        </w:p>
        <w:p w14:paraId="724306E0" w14:textId="190F6C6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Chavan, Y. B., &amp; Deo, T. V. (2021). Impact of Advertisement on Consumer Demand. </w:t>
          </w:r>
          <w:r w:rsidRPr="009C6DC2">
            <w:rPr>
              <w:rFonts w:asciiTheme="majorBidi" w:hAnsiTheme="majorBidi" w:cstheme="majorBidi"/>
              <w:i/>
              <w:iCs/>
              <w:noProof/>
              <w:sz w:val="24"/>
              <w:szCs w:val="24"/>
              <w:lang w:val="en-US"/>
            </w:rPr>
            <w:t>International Journal of Research Publication and Reviews, 02</w:t>
          </w:r>
          <w:r w:rsidRPr="009C6DC2">
            <w:rPr>
              <w:rFonts w:asciiTheme="majorBidi" w:hAnsiTheme="majorBidi" w:cstheme="majorBidi"/>
              <w:noProof/>
              <w:sz w:val="24"/>
              <w:szCs w:val="24"/>
              <w:lang w:val="en-US"/>
            </w:rPr>
            <w:t>(11), 10-14. Retrieved 10 01, 2022, from https://ijrpr.com/uploads/V2ISSUE11/IJRPR1702.pdf</w:t>
          </w:r>
        </w:p>
        <w:p w14:paraId="106BA5F4" w14:textId="5D47A86F"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Cheah, J.-H., Amaro, S., &amp; Roldán, J. L. (2023). </w:t>
          </w:r>
          <w:r w:rsidRPr="009C6DC2">
            <w:rPr>
              <w:rFonts w:asciiTheme="majorBidi" w:hAnsiTheme="majorBidi" w:cstheme="majorBidi"/>
              <w:noProof/>
              <w:sz w:val="24"/>
              <w:szCs w:val="24"/>
              <w:lang w:val="en-US"/>
            </w:rPr>
            <w:t xml:space="preserve">Multigroup analysis of more than two groups in PLS-SEM: A review, illustration, and recommendations. </w:t>
          </w:r>
          <w:r w:rsidRPr="009C6DC2">
            <w:rPr>
              <w:rFonts w:asciiTheme="majorBidi" w:hAnsiTheme="majorBidi" w:cstheme="majorBidi"/>
              <w:i/>
              <w:iCs/>
              <w:noProof/>
              <w:sz w:val="24"/>
              <w:szCs w:val="24"/>
              <w:lang w:val="en-US"/>
            </w:rPr>
            <w:t>Journal of Business Research, 156</w:t>
          </w:r>
          <w:r w:rsidRPr="009C6DC2">
            <w:rPr>
              <w:rFonts w:asciiTheme="majorBidi" w:hAnsiTheme="majorBidi" w:cstheme="majorBidi"/>
              <w:noProof/>
              <w:sz w:val="24"/>
              <w:szCs w:val="24"/>
              <w:lang w:val="en-US"/>
            </w:rPr>
            <w:t>. doi:https://doi.org/10.1016/j.jbusres.2022.113539</w:t>
          </w:r>
        </w:p>
        <w:p w14:paraId="0CCA4EB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Chebat, J. C., &amp; Michon, R. (2003). Impact of ambient odors on mall shoppers' emotions, cognition, and spending: a test of competitive causal theories. </w:t>
          </w:r>
          <w:r w:rsidRPr="009C6DC2">
            <w:rPr>
              <w:rFonts w:asciiTheme="majorBidi" w:hAnsiTheme="majorBidi" w:cstheme="majorBidi"/>
              <w:i/>
              <w:iCs/>
              <w:noProof/>
              <w:sz w:val="24"/>
              <w:szCs w:val="24"/>
              <w:lang w:val="en-US"/>
            </w:rPr>
            <w:t>Journal of Business Research, 56</w:t>
          </w:r>
          <w:r w:rsidRPr="009C6DC2">
            <w:rPr>
              <w:rFonts w:asciiTheme="majorBidi" w:hAnsiTheme="majorBidi" w:cstheme="majorBidi"/>
              <w:noProof/>
              <w:sz w:val="24"/>
              <w:szCs w:val="24"/>
              <w:lang w:val="en-US"/>
            </w:rPr>
            <w:t>(7), 529-539.</w:t>
          </w:r>
        </w:p>
        <w:p w14:paraId="483BA557" w14:textId="1AE402C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Chen, J. (2022). </w:t>
          </w:r>
          <w:r w:rsidRPr="009C6DC2">
            <w:rPr>
              <w:rFonts w:asciiTheme="majorBidi" w:hAnsiTheme="majorBidi" w:cstheme="majorBidi"/>
              <w:i/>
              <w:iCs/>
              <w:noProof/>
              <w:sz w:val="24"/>
              <w:szCs w:val="24"/>
              <w:lang w:val="en-US"/>
            </w:rPr>
            <w:t>Middle East and North Africa (MENA): Countries and Economy</w:t>
          </w:r>
          <w:r w:rsidRPr="009C6DC2">
            <w:rPr>
              <w:rFonts w:asciiTheme="majorBidi" w:hAnsiTheme="majorBidi" w:cstheme="majorBidi"/>
              <w:noProof/>
              <w:sz w:val="24"/>
              <w:szCs w:val="24"/>
              <w:lang w:val="en-US"/>
            </w:rPr>
            <w:t>. Retrieved from Investopedia: https://www.investopedia.com/terms/m/middle-east-and-north-africa-mena.asp</w:t>
          </w:r>
        </w:p>
        <w:p w14:paraId="3342DE0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Chen, T. B., &amp; Chai, L. T. (2010). Attitude towards the environment and green products: Consumers’ perspective. </w:t>
          </w:r>
          <w:r w:rsidRPr="009C6DC2">
            <w:rPr>
              <w:rFonts w:asciiTheme="majorBidi" w:hAnsiTheme="majorBidi" w:cstheme="majorBidi"/>
              <w:i/>
              <w:iCs/>
              <w:noProof/>
              <w:sz w:val="24"/>
              <w:szCs w:val="24"/>
              <w:lang w:val="en-US"/>
            </w:rPr>
            <w:t>Management science and engineering, 4</w:t>
          </w:r>
          <w:r w:rsidRPr="009C6DC2">
            <w:rPr>
              <w:rFonts w:asciiTheme="majorBidi" w:hAnsiTheme="majorBidi" w:cstheme="majorBidi"/>
              <w:noProof/>
              <w:sz w:val="24"/>
              <w:szCs w:val="24"/>
              <w:lang w:val="en-US"/>
            </w:rPr>
            <w:t>(2), 27-39. Retrieved 04 28, 2023</w:t>
          </w:r>
        </w:p>
        <w:p w14:paraId="274CDA89" w14:textId="45B03D7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Chen, T., Gabrielyan, G., Shimizu, M., &amp; Qing, P. (2021). The halo effect of biofortification claims on taste inference and purchase intention. </w:t>
          </w:r>
          <w:r w:rsidRPr="009C6DC2">
            <w:rPr>
              <w:rFonts w:asciiTheme="majorBidi" w:hAnsiTheme="majorBidi" w:cstheme="majorBidi"/>
              <w:i/>
              <w:iCs/>
              <w:noProof/>
              <w:sz w:val="24"/>
              <w:szCs w:val="24"/>
              <w:lang w:val="en-US"/>
            </w:rPr>
            <w:t>British Food Journal, 123</w:t>
          </w:r>
          <w:r w:rsidRPr="009C6DC2">
            <w:rPr>
              <w:rFonts w:asciiTheme="majorBidi" w:hAnsiTheme="majorBidi" w:cstheme="majorBidi"/>
              <w:noProof/>
              <w:sz w:val="24"/>
              <w:szCs w:val="24"/>
              <w:lang w:val="en-US"/>
            </w:rPr>
            <w:t>(9), 2979-2995. doi: https://doi.org/10.1108/BFJ-07-2020-0614</w:t>
          </w:r>
        </w:p>
        <w:p w14:paraId="4A68766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Chen, T.-Y., Yeh, T.-L., &amp; Chang, C.-I. (2020). How different advertising formats and calls to action on videos affect advertising recognition and consequent behaviours. </w:t>
          </w:r>
          <w:r w:rsidRPr="009C6DC2">
            <w:rPr>
              <w:rFonts w:asciiTheme="majorBidi" w:hAnsiTheme="majorBidi" w:cstheme="majorBidi"/>
              <w:i/>
              <w:iCs/>
              <w:noProof/>
              <w:sz w:val="24"/>
              <w:szCs w:val="24"/>
              <w:lang w:val="en-US"/>
            </w:rPr>
            <w:t>The Service Industries Journal, 40</w:t>
          </w:r>
          <w:r w:rsidRPr="009C6DC2">
            <w:rPr>
              <w:rFonts w:asciiTheme="majorBidi" w:hAnsiTheme="majorBidi" w:cstheme="majorBidi"/>
              <w:noProof/>
              <w:sz w:val="24"/>
              <w:szCs w:val="24"/>
              <w:lang w:val="en-US"/>
            </w:rPr>
            <w:t>(5-6). doi:https://doi.org/10.1080/02642069.2018.1480724</w:t>
          </w:r>
        </w:p>
        <w:p w14:paraId="24928BC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Chen, Y., &amp; Chi, T. (2021). How does channel integration affect consumers’ selection of omni-channel. </w:t>
          </w:r>
          <w:r w:rsidRPr="009C6DC2">
            <w:rPr>
              <w:rFonts w:asciiTheme="majorBidi" w:hAnsiTheme="majorBidi" w:cstheme="majorBidi"/>
              <w:i/>
              <w:iCs/>
              <w:noProof/>
              <w:sz w:val="24"/>
              <w:szCs w:val="24"/>
              <w:lang w:val="en-US"/>
            </w:rPr>
            <w:t>Sustainability, 13</w:t>
          </w:r>
          <w:r w:rsidRPr="009C6DC2">
            <w:rPr>
              <w:rFonts w:asciiTheme="majorBidi" w:hAnsiTheme="majorBidi" w:cstheme="majorBidi"/>
              <w:noProof/>
              <w:sz w:val="24"/>
              <w:szCs w:val="24"/>
              <w:lang w:val="en-US"/>
            </w:rPr>
            <w:t>(16), 1-29.</w:t>
          </w:r>
        </w:p>
        <w:p w14:paraId="25094D00" w14:textId="0C7A1242" w:rsidR="006E2490"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Chen, Y.-R. R., Hung-Baesecke, C.-J. F., &amp; Cheng, Y. (2023). When non-CSR-themed social media influencers endorse corporate CSR initiatives: Effects of publics’ perceived influencer characteristics and leadership. </w:t>
          </w:r>
          <w:r w:rsidRPr="009C6DC2">
            <w:rPr>
              <w:rFonts w:asciiTheme="majorBidi" w:hAnsiTheme="majorBidi" w:cstheme="majorBidi"/>
              <w:i/>
              <w:iCs/>
              <w:noProof/>
              <w:sz w:val="24"/>
              <w:szCs w:val="24"/>
              <w:lang w:val="en-US"/>
            </w:rPr>
            <w:t>Public Relations Review, 49</w:t>
          </w:r>
          <w:r w:rsidRPr="009C6DC2">
            <w:rPr>
              <w:rFonts w:asciiTheme="majorBidi" w:hAnsiTheme="majorBidi" w:cstheme="majorBidi"/>
              <w:noProof/>
              <w:sz w:val="24"/>
              <w:szCs w:val="24"/>
              <w:lang w:val="en-US"/>
            </w:rPr>
            <w:t>(1). doi:https://doi.org/10.1016/j.pubrev.2023.102288</w:t>
          </w:r>
        </w:p>
        <w:p w14:paraId="70DBCE91" w14:textId="77777777" w:rsidR="006E2490" w:rsidRPr="009C6DC2" w:rsidRDefault="006E2490" w:rsidP="006E2490">
          <w:pPr>
            <w:ind w:left="720" w:hanging="720"/>
            <w:rPr>
              <w:rFonts w:asciiTheme="majorBidi" w:hAnsiTheme="majorBidi" w:cstheme="majorBidi"/>
              <w:noProof/>
              <w:sz w:val="24"/>
              <w:szCs w:val="24"/>
              <w:lang w:val="en-US"/>
            </w:rPr>
          </w:pPr>
          <w:r w:rsidRPr="002E34E5">
            <w:rPr>
              <w:rFonts w:asciiTheme="majorBidi" w:hAnsiTheme="majorBidi" w:cstheme="majorBidi"/>
              <w:noProof/>
              <w:sz w:val="24"/>
              <w:szCs w:val="24"/>
              <w:lang w:val="en-US"/>
            </w:rPr>
            <w:t>Cheng, Z. (Aaron), Dimoka, A., &amp; Pavlou, P. A. (2016). Context may be King, but generalizability is the Emperor! Journal of Information Technology, 31(3), 257-264. https://doi.org/10.1057/s41265-016-0005-7</w:t>
          </w:r>
        </w:p>
        <w:p w14:paraId="3B907B26" w14:textId="733090E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Chernev, A., &amp; Blair, S. (2015). Doing Well by Doing Good: The Benevolent Halo of Corporate Social Responsibility. </w:t>
          </w:r>
          <w:r w:rsidRPr="009C6DC2">
            <w:rPr>
              <w:rFonts w:asciiTheme="majorBidi" w:hAnsiTheme="majorBidi" w:cstheme="majorBidi"/>
              <w:i/>
              <w:iCs/>
              <w:noProof/>
              <w:sz w:val="24"/>
              <w:szCs w:val="24"/>
              <w:lang w:val="en-US"/>
            </w:rPr>
            <w:t>Journal of Consumer Research, 41</w:t>
          </w:r>
          <w:r w:rsidRPr="009C6DC2">
            <w:rPr>
              <w:rFonts w:asciiTheme="majorBidi" w:hAnsiTheme="majorBidi" w:cstheme="majorBidi"/>
              <w:noProof/>
              <w:sz w:val="24"/>
              <w:szCs w:val="24"/>
              <w:lang w:val="en-US"/>
            </w:rPr>
            <w:t>(6), 1412-1425. Retrieved December 2020</w:t>
          </w:r>
        </w:p>
        <w:p w14:paraId="30D13EFE" w14:textId="4D02DB9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Chernev, A., &amp; Blair, S. (2021). When Sustainability is Not a Liability: The Halo Effect of Marketplace Morality. </w:t>
          </w:r>
          <w:r w:rsidRPr="009C6DC2">
            <w:rPr>
              <w:rFonts w:asciiTheme="majorBidi" w:hAnsiTheme="majorBidi" w:cstheme="majorBidi"/>
              <w:i/>
              <w:iCs/>
              <w:noProof/>
              <w:sz w:val="24"/>
              <w:szCs w:val="24"/>
              <w:lang w:val="en-US"/>
            </w:rPr>
            <w:t>Society for Consumer Psychology, 31</w:t>
          </w:r>
          <w:r w:rsidRPr="009C6DC2">
            <w:rPr>
              <w:rFonts w:asciiTheme="majorBidi" w:hAnsiTheme="majorBidi" w:cstheme="majorBidi"/>
              <w:noProof/>
              <w:sz w:val="24"/>
              <w:szCs w:val="24"/>
              <w:lang w:val="en-US"/>
            </w:rPr>
            <w:t>(3), 551-569. doi:https://doi.org/10.1002/jcpy.1195</w:t>
          </w:r>
        </w:p>
        <w:p w14:paraId="666A561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Chin, P. N., Isa, S. M., &amp; Alodin, Y. (2020). The impact of endorser and brand credibility on consumers’ purchase intention: the mediating effect of attitude towards brand and brand credibility. </w:t>
          </w:r>
          <w:r w:rsidRPr="009C6DC2">
            <w:rPr>
              <w:rFonts w:asciiTheme="majorBidi" w:hAnsiTheme="majorBidi" w:cstheme="majorBidi"/>
              <w:i/>
              <w:iCs/>
              <w:noProof/>
              <w:sz w:val="24"/>
              <w:szCs w:val="24"/>
              <w:lang w:val="en-US"/>
            </w:rPr>
            <w:t>Journal of Marketing Communications, 26</w:t>
          </w:r>
          <w:r w:rsidRPr="009C6DC2">
            <w:rPr>
              <w:rFonts w:asciiTheme="majorBidi" w:hAnsiTheme="majorBidi" w:cstheme="majorBidi"/>
              <w:noProof/>
              <w:sz w:val="24"/>
              <w:szCs w:val="24"/>
              <w:lang w:val="en-US"/>
            </w:rPr>
            <w:t>(8), 896-912. doi:https://doi.org/10.1080/13527266.2019.1604561</w:t>
          </w:r>
        </w:p>
        <w:p w14:paraId="18766716" w14:textId="00C90D5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Ching, G. S., Lien, W.-C., &amp; Chao, P.-C. (2014). Developing a scale to measure the situational changes in short-term study abroad programs. </w:t>
          </w:r>
          <w:r w:rsidRPr="009C6DC2">
            <w:rPr>
              <w:rFonts w:asciiTheme="majorBidi" w:hAnsiTheme="majorBidi" w:cstheme="majorBidi"/>
              <w:i/>
              <w:iCs/>
              <w:noProof/>
              <w:sz w:val="24"/>
              <w:szCs w:val="24"/>
              <w:lang w:val="en-US"/>
            </w:rPr>
            <w:t>International Journal of Research Studies in Education, 3</w:t>
          </w:r>
          <w:r w:rsidRPr="009C6DC2">
            <w:rPr>
              <w:rFonts w:asciiTheme="majorBidi" w:hAnsiTheme="majorBidi" w:cstheme="majorBidi"/>
              <w:noProof/>
              <w:sz w:val="24"/>
              <w:szCs w:val="24"/>
              <w:lang w:val="en-US"/>
            </w:rPr>
            <w:t>(5). doi:10.5861/ijrse.2014.771</w:t>
          </w:r>
        </w:p>
        <w:p w14:paraId="115D7496" w14:textId="67674018" w:rsidR="006E2490" w:rsidRPr="00B34D89" w:rsidRDefault="006E2490" w:rsidP="006E2490">
          <w:pPr>
            <w:ind w:left="720" w:hanging="720"/>
            <w:rPr>
              <w:rFonts w:asciiTheme="majorBidi" w:hAnsiTheme="majorBidi" w:cstheme="majorBidi"/>
              <w:noProof/>
              <w:sz w:val="24"/>
              <w:szCs w:val="24"/>
              <w:lang w:val="en-US"/>
            </w:rPr>
          </w:pPr>
          <w:r w:rsidRPr="00B34D89">
            <w:rPr>
              <w:rFonts w:asciiTheme="majorBidi" w:hAnsiTheme="majorBidi" w:cstheme="majorBidi"/>
              <w:noProof/>
              <w:sz w:val="24"/>
              <w:szCs w:val="24"/>
              <w:lang w:val="en-US"/>
            </w:rPr>
            <w:t>Cho, M. (2022). Deep Neural Networks Based on Iterative Thresholding and Projection Algorithms for Sparse LQR Control Design. doi:https://doi.org/10.48550/arXiv.2212.02929</w:t>
          </w:r>
        </w:p>
        <w:p w14:paraId="494E5DCE" w14:textId="26574B1F" w:rsidR="006E2490" w:rsidRPr="00B34D89" w:rsidRDefault="006E2490" w:rsidP="006E2490">
          <w:pPr>
            <w:ind w:left="720" w:hanging="720"/>
            <w:rPr>
              <w:rFonts w:asciiTheme="majorBidi" w:hAnsiTheme="majorBidi" w:cstheme="majorBidi"/>
              <w:noProof/>
              <w:sz w:val="24"/>
              <w:szCs w:val="24"/>
              <w:lang w:val="en-US"/>
            </w:rPr>
          </w:pPr>
          <w:r w:rsidRPr="00B34D89">
            <w:rPr>
              <w:rFonts w:asciiTheme="majorBidi" w:hAnsiTheme="majorBidi" w:cstheme="majorBidi"/>
              <w:noProof/>
              <w:sz w:val="24"/>
              <w:szCs w:val="24"/>
              <w:lang w:val="en-US"/>
            </w:rPr>
            <w:t xml:space="preserve">Cho, M., Furey, L. D., &amp; Mohr, T. (2016). Communicating Corporate Social Responsibility on Social Media: Strategies, Stakeholders, and Public Engagement on Corporate Facebook. </w:t>
          </w:r>
          <w:r w:rsidRPr="00B34D89">
            <w:rPr>
              <w:rFonts w:asciiTheme="majorBidi" w:hAnsiTheme="majorBidi" w:cstheme="majorBidi"/>
              <w:i/>
              <w:iCs/>
              <w:noProof/>
              <w:sz w:val="24"/>
              <w:szCs w:val="24"/>
              <w:lang w:val="en-US"/>
            </w:rPr>
            <w:t>Business and Professional Communication Quarterly , 80</w:t>
          </w:r>
          <w:r w:rsidRPr="00B34D89">
            <w:rPr>
              <w:rFonts w:asciiTheme="majorBidi" w:hAnsiTheme="majorBidi" w:cstheme="majorBidi"/>
              <w:noProof/>
              <w:sz w:val="24"/>
              <w:szCs w:val="24"/>
              <w:lang w:val="en-US"/>
            </w:rPr>
            <w:t>(1). doi:https://doi.org/10.1177/2329490616663708</w:t>
          </w:r>
        </w:p>
        <w:p w14:paraId="5E719455" w14:textId="712C8B6B" w:rsidR="006E2490" w:rsidRPr="00B34D89" w:rsidRDefault="006E2490" w:rsidP="006E2490">
          <w:pPr>
            <w:ind w:left="720" w:hanging="720"/>
            <w:rPr>
              <w:rFonts w:asciiTheme="majorBidi" w:hAnsiTheme="majorBidi" w:cstheme="majorBidi"/>
              <w:noProof/>
              <w:sz w:val="24"/>
              <w:szCs w:val="24"/>
              <w:lang w:val="en-US"/>
            </w:rPr>
          </w:pPr>
          <w:r w:rsidRPr="00B34D89">
            <w:rPr>
              <w:rFonts w:asciiTheme="majorBidi" w:hAnsiTheme="majorBidi" w:cstheme="majorBidi"/>
              <w:noProof/>
              <w:sz w:val="24"/>
              <w:szCs w:val="24"/>
              <w:lang w:val="en-US"/>
            </w:rPr>
            <w:t xml:space="preserve">Cho, S., &amp; Kim , Y.-C. (2012). Corporate social responsibility (CSR) as a halo effect in issue management: public response to negative news about pro-social local private companies. </w:t>
          </w:r>
          <w:r w:rsidRPr="00B34D89">
            <w:rPr>
              <w:rFonts w:asciiTheme="majorBidi" w:hAnsiTheme="majorBidi" w:cstheme="majorBidi"/>
              <w:i/>
              <w:iCs/>
              <w:noProof/>
              <w:sz w:val="24"/>
              <w:szCs w:val="24"/>
              <w:lang w:val="en-US"/>
            </w:rPr>
            <w:t>Asian Journal of Communication, 22</w:t>
          </w:r>
          <w:r w:rsidRPr="00B34D89">
            <w:rPr>
              <w:rFonts w:asciiTheme="majorBidi" w:hAnsiTheme="majorBidi" w:cstheme="majorBidi"/>
              <w:noProof/>
              <w:sz w:val="24"/>
              <w:szCs w:val="24"/>
              <w:lang w:val="en-US"/>
            </w:rPr>
            <w:t>(04), 372-385. doi:https://doi.org/10.1080/01292986.2012.681666</w:t>
          </w:r>
        </w:p>
        <w:p w14:paraId="46545B51" w14:textId="4A801F91" w:rsidR="006E2490" w:rsidRPr="009C6DC2" w:rsidRDefault="006E2490" w:rsidP="006E2490">
          <w:pPr>
            <w:ind w:left="720" w:hanging="720"/>
            <w:rPr>
              <w:rFonts w:asciiTheme="majorBidi" w:hAnsiTheme="majorBidi" w:cstheme="majorBidi"/>
              <w:noProof/>
              <w:sz w:val="24"/>
              <w:szCs w:val="24"/>
              <w:lang w:val="en-US"/>
            </w:rPr>
          </w:pPr>
          <w:r w:rsidRPr="00B34D89">
            <w:rPr>
              <w:rFonts w:asciiTheme="majorBidi" w:hAnsiTheme="majorBidi" w:cstheme="majorBidi"/>
              <w:noProof/>
              <w:sz w:val="24"/>
              <w:szCs w:val="24"/>
              <w:lang w:val="en-US"/>
            </w:rPr>
            <w:t xml:space="preserve">Choi, S. M., &amp; Salmon, C. T. (2003). The elaboration likelihood model of persuasion after two decades: a review of criticisms and contributions. </w:t>
          </w:r>
          <w:r w:rsidRPr="00B34D89">
            <w:rPr>
              <w:rFonts w:asciiTheme="majorBidi" w:hAnsiTheme="majorBidi" w:cstheme="majorBidi"/>
              <w:i/>
              <w:iCs/>
              <w:noProof/>
              <w:sz w:val="24"/>
              <w:szCs w:val="24"/>
              <w:lang w:val="en-US"/>
            </w:rPr>
            <w:t>The Kentucky Journal of Communications, 22</w:t>
          </w:r>
          <w:r w:rsidRPr="00B34D89">
            <w:rPr>
              <w:rFonts w:asciiTheme="majorBidi" w:hAnsiTheme="majorBidi" w:cstheme="majorBidi"/>
              <w:noProof/>
              <w:sz w:val="24"/>
              <w:szCs w:val="24"/>
              <w:lang w:val="en-US"/>
            </w:rPr>
            <w:t>(01), 47-77. Retrieved 09 27, 2022, from https://www.researchgate.net/profile/Charles_Salmon/publication/259671780_The_Elaboration_Likelihood_Model_of_Persuasion_After_Two_Decades_A_Review_of_Criticisms_and_Contributions/links/5719779f08ae986b8b7b35d3/The-Elaboration-Likelihood-Model-of-Persuasi</w:t>
          </w:r>
        </w:p>
        <w:p w14:paraId="2D40157C" w14:textId="5939731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Chomvilailuk, R., &amp; Butcher, K. (2021). How hedonic and perceived community benefits from employee CSR involvement drive CSR advocacy behavior to co-workers. </w:t>
          </w:r>
          <w:r w:rsidRPr="009C6DC2">
            <w:rPr>
              <w:rFonts w:asciiTheme="majorBidi" w:hAnsiTheme="majorBidi" w:cstheme="majorBidi"/>
              <w:i/>
              <w:iCs/>
              <w:noProof/>
              <w:sz w:val="24"/>
              <w:szCs w:val="24"/>
              <w:lang w:val="en-US"/>
            </w:rPr>
            <w:t>Business Ethics, the Environment &amp; Responsibility, 31</w:t>
          </w:r>
          <w:r w:rsidRPr="009C6DC2">
            <w:rPr>
              <w:rFonts w:asciiTheme="majorBidi" w:hAnsiTheme="majorBidi" w:cstheme="majorBidi"/>
              <w:noProof/>
              <w:sz w:val="24"/>
              <w:szCs w:val="24"/>
              <w:lang w:val="en-US"/>
            </w:rPr>
            <w:t>(1), 224-238. doi:https://doi.org/10.1111/beer.12404</w:t>
          </w:r>
        </w:p>
        <w:p w14:paraId="0E84EE79" w14:textId="77777777" w:rsidR="006E2490" w:rsidRPr="009C6DC2" w:rsidRDefault="006E2490" w:rsidP="006E2490">
          <w:pPr>
            <w:ind w:left="720" w:hanging="720"/>
            <w:rPr>
              <w:rFonts w:asciiTheme="majorBidi" w:hAnsiTheme="majorBidi" w:cstheme="majorBidi"/>
              <w:noProof/>
              <w:sz w:val="24"/>
              <w:szCs w:val="24"/>
              <w:lang w:val="en-US"/>
            </w:rPr>
          </w:pPr>
          <w:r w:rsidRPr="00B34D89">
            <w:rPr>
              <w:rFonts w:asciiTheme="majorBidi" w:hAnsiTheme="majorBidi" w:cstheme="majorBidi"/>
              <w:noProof/>
              <w:sz w:val="24"/>
              <w:szCs w:val="24"/>
              <w:lang w:val="en-US"/>
            </w:rPr>
            <w:t xml:space="preserve">Choo, C. W. (2015). Chapter 5: Epistemic Virtues and Vices. In </w:t>
          </w:r>
          <w:r w:rsidRPr="00B34D89">
            <w:rPr>
              <w:rFonts w:asciiTheme="majorBidi" w:hAnsiTheme="majorBidi" w:cstheme="majorBidi"/>
              <w:i/>
              <w:iCs/>
              <w:noProof/>
              <w:sz w:val="24"/>
              <w:szCs w:val="24"/>
              <w:lang w:val="en-US"/>
            </w:rPr>
            <w:t xml:space="preserve">The Inquiring Organization: How Organizations Acquire Knowledge and Seek Information </w:t>
          </w:r>
          <w:r w:rsidRPr="00B34D89">
            <w:rPr>
              <w:rFonts w:asciiTheme="majorBidi" w:hAnsiTheme="majorBidi" w:cstheme="majorBidi"/>
              <w:noProof/>
              <w:sz w:val="24"/>
              <w:szCs w:val="24"/>
              <w:lang w:val="en-US"/>
            </w:rPr>
            <w:t>(pp. 91-114). New York : Oxford Academic . doi:https://doi.org/10.1093/acprof:oso/9780199782031.003.0005</w:t>
          </w:r>
        </w:p>
        <w:p w14:paraId="1CBD42D2" w14:textId="3BF514E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Christis, J., &amp; Wang, Y. (2021). Communicating Environmental CSR towards Consumers: The Impact of Message Content, Message Style and Praise Tactics. </w:t>
          </w:r>
          <w:r w:rsidRPr="009C6DC2">
            <w:rPr>
              <w:rFonts w:asciiTheme="majorBidi" w:hAnsiTheme="majorBidi" w:cstheme="majorBidi"/>
              <w:i/>
              <w:iCs/>
              <w:noProof/>
              <w:sz w:val="24"/>
              <w:szCs w:val="24"/>
              <w:lang w:val="en-US"/>
            </w:rPr>
            <w:t>Sustainability, 13</w:t>
          </w:r>
          <w:r w:rsidRPr="009C6DC2">
            <w:rPr>
              <w:rFonts w:asciiTheme="majorBidi" w:hAnsiTheme="majorBidi" w:cstheme="majorBidi"/>
              <w:noProof/>
              <w:sz w:val="24"/>
              <w:szCs w:val="24"/>
              <w:lang w:val="en-US"/>
            </w:rPr>
            <w:t>(7). doi:https://doi.org/10.3390/su13073981</w:t>
          </w:r>
        </w:p>
        <w:p w14:paraId="23B921DF" w14:textId="0747BF6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Chu, S.-C., &amp; Chen, H.-T. (2019). Impact of consumers' corporate social responsibility-related activities in social media on brand attitude, electronic word-of-mouth intention, and purchase intention: A study of Chinese consumer behavior. </w:t>
          </w:r>
          <w:r w:rsidRPr="009C6DC2">
            <w:rPr>
              <w:rFonts w:asciiTheme="majorBidi" w:hAnsiTheme="majorBidi" w:cstheme="majorBidi"/>
              <w:i/>
              <w:iCs/>
              <w:noProof/>
              <w:sz w:val="24"/>
              <w:szCs w:val="24"/>
              <w:lang w:val="en-US"/>
            </w:rPr>
            <w:t>Journal of Consumer Behaviour, 18</w:t>
          </w:r>
          <w:r w:rsidRPr="009C6DC2">
            <w:rPr>
              <w:rFonts w:asciiTheme="majorBidi" w:hAnsiTheme="majorBidi" w:cstheme="majorBidi"/>
              <w:noProof/>
              <w:sz w:val="24"/>
              <w:szCs w:val="24"/>
              <w:lang w:val="en-US"/>
            </w:rPr>
            <w:t>(6), 453-462. doi: https://doi.org/10.1002/cb.1784</w:t>
          </w:r>
        </w:p>
        <w:p w14:paraId="1055289A" w14:textId="14F4015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Chuah, S. H.-W., Rauschnabel, P. A., Krey, N., Nguyen, B., Ramayah, T., &amp; Lade, S. (2016). Wearable technologies: The role of usefulness and visibility in smartwatch adoption. </w:t>
          </w:r>
          <w:r w:rsidRPr="009C6DC2">
            <w:rPr>
              <w:rFonts w:asciiTheme="majorBidi" w:hAnsiTheme="majorBidi" w:cstheme="majorBidi"/>
              <w:i/>
              <w:iCs/>
              <w:noProof/>
              <w:sz w:val="24"/>
              <w:szCs w:val="24"/>
              <w:lang w:val="en-US"/>
            </w:rPr>
            <w:t>Computers in Human Behavior, 65</w:t>
          </w:r>
          <w:r w:rsidRPr="009C6DC2">
            <w:rPr>
              <w:rFonts w:asciiTheme="majorBidi" w:hAnsiTheme="majorBidi" w:cstheme="majorBidi"/>
              <w:noProof/>
              <w:sz w:val="24"/>
              <w:szCs w:val="24"/>
              <w:lang w:val="en-US"/>
            </w:rPr>
            <w:t>, 276-284. doi:https://doi.org/10.1016/j.chb.2016.07.047</w:t>
          </w:r>
        </w:p>
        <w:p w14:paraId="2E036574" w14:textId="1CD249A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Chung, H., &amp; Zhao, X. (2011). The Effects of Humor on Ad Processing: Mediating Role of Brand Familiarity. </w:t>
          </w:r>
          <w:r w:rsidRPr="009C6DC2">
            <w:rPr>
              <w:rFonts w:asciiTheme="majorBidi" w:hAnsiTheme="majorBidi" w:cstheme="majorBidi"/>
              <w:i/>
              <w:iCs/>
              <w:noProof/>
              <w:sz w:val="24"/>
              <w:szCs w:val="24"/>
              <w:lang w:val="en-US"/>
            </w:rPr>
            <w:t>Journal of Promotion Management , 17</w:t>
          </w:r>
          <w:r w:rsidRPr="009C6DC2">
            <w:rPr>
              <w:rFonts w:asciiTheme="majorBidi" w:hAnsiTheme="majorBidi" w:cstheme="majorBidi"/>
              <w:noProof/>
              <w:sz w:val="24"/>
              <w:szCs w:val="24"/>
              <w:lang w:val="en-US"/>
            </w:rPr>
            <w:t>(01), 76-95. doi:https://doi.org/10.1080/10496491.2011.553788</w:t>
          </w:r>
        </w:p>
        <w:p w14:paraId="5357CDE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Clarke, V., &amp; Braun, V. (2017). Thematic Analysis. </w:t>
          </w:r>
          <w:r w:rsidRPr="009C6DC2">
            <w:rPr>
              <w:rFonts w:asciiTheme="majorBidi" w:hAnsiTheme="majorBidi" w:cstheme="majorBidi"/>
              <w:i/>
              <w:iCs/>
              <w:noProof/>
              <w:sz w:val="24"/>
              <w:szCs w:val="24"/>
              <w:lang w:val="en-US"/>
            </w:rPr>
            <w:t>The Journal of Positive Psychology, 12</w:t>
          </w:r>
          <w:r w:rsidRPr="009C6DC2">
            <w:rPr>
              <w:rFonts w:asciiTheme="majorBidi" w:hAnsiTheme="majorBidi" w:cstheme="majorBidi"/>
              <w:noProof/>
              <w:sz w:val="24"/>
              <w:szCs w:val="24"/>
              <w:lang w:val="en-US"/>
            </w:rPr>
            <w:t>(3), 297-298.</w:t>
          </w:r>
        </w:p>
        <w:p w14:paraId="6A824086" w14:textId="77777777" w:rsidR="006E2490" w:rsidRPr="009C6DC2" w:rsidRDefault="006E2490" w:rsidP="006E2490">
          <w:pPr>
            <w:ind w:left="720" w:hanging="720"/>
            <w:rPr>
              <w:rFonts w:asciiTheme="majorBidi" w:hAnsiTheme="majorBidi" w:cstheme="majorBidi"/>
              <w:noProof/>
              <w:sz w:val="24"/>
              <w:szCs w:val="24"/>
              <w:lang w:val="sv-SE"/>
            </w:rPr>
          </w:pPr>
          <w:r w:rsidRPr="009C6DC2">
            <w:rPr>
              <w:rFonts w:asciiTheme="majorBidi" w:hAnsiTheme="majorBidi" w:cstheme="majorBidi"/>
              <w:noProof/>
              <w:sz w:val="24"/>
              <w:szCs w:val="24"/>
              <w:lang w:val="en-US"/>
            </w:rPr>
            <w:t xml:space="preserve">Clef, T. (2019). Factor Analysis. In T. Clef, </w:t>
          </w:r>
          <w:r w:rsidRPr="009C6DC2">
            <w:rPr>
              <w:rFonts w:asciiTheme="majorBidi" w:hAnsiTheme="majorBidi" w:cstheme="majorBidi"/>
              <w:i/>
              <w:iCs/>
              <w:noProof/>
              <w:sz w:val="24"/>
              <w:szCs w:val="24"/>
              <w:lang w:val="en-US"/>
            </w:rPr>
            <w:t>Applied Statistics and Multivariate Data Analysis for Business and Economics</w:t>
          </w:r>
          <w:r w:rsidRPr="009C6DC2">
            <w:rPr>
              <w:rFonts w:asciiTheme="majorBidi" w:hAnsiTheme="majorBidi" w:cstheme="majorBidi"/>
              <w:noProof/>
              <w:sz w:val="24"/>
              <w:szCs w:val="24"/>
              <w:lang w:val="en-US"/>
            </w:rPr>
            <w:t xml:space="preserve"> (pp. 433-446). </w:t>
          </w:r>
          <w:r w:rsidRPr="009C6DC2">
            <w:rPr>
              <w:rFonts w:asciiTheme="majorBidi" w:hAnsiTheme="majorBidi" w:cstheme="majorBidi"/>
              <w:noProof/>
              <w:sz w:val="24"/>
              <w:szCs w:val="24"/>
              <w:lang w:val="sv-SE"/>
            </w:rPr>
            <w:t>Springer, Cham. doi:https://doi.org/10.1007/978-3-030-17767-6_13</w:t>
          </w:r>
        </w:p>
        <w:p w14:paraId="21F24453" w14:textId="27196DA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Cline, T. W., &amp; Kellaris, J. J. (2007). </w:t>
          </w:r>
          <w:r w:rsidRPr="009C6DC2">
            <w:rPr>
              <w:rFonts w:asciiTheme="majorBidi" w:hAnsiTheme="majorBidi" w:cstheme="majorBidi"/>
              <w:noProof/>
              <w:sz w:val="24"/>
              <w:szCs w:val="24"/>
              <w:lang w:val="en-US"/>
            </w:rPr>
            <w:t xml:space="preserve">The Influence of Humor Strength and Humor—Message Relatedness on Ad Memorability: A Dual Process Model. </w:t>
          </w:r>
          <w:r w:rsidRPr="009C6DC2">
            <w:rPr>
              <w:rFonts w:asciiTheme="majorBidi" w:hAnsiTheme="majorBidi" w:cstheme="majorBidi"/>
              <w:i/>
              <w:iCs/>
              <w:noProof/>
              <w:sz w:val="24"/>
              <w:szCs w:val="24"/>
              <w:lang w:val="en-US"/>
            </w:rPr>
            <w:t>Journal of Advertising, 36</w:t>
          </w:r>
          <w:r w:rsidRPr="009C6DC2">
            <w:rPr>
              <w:rFonts w:asciiTheme="majorBidi" w:hAnsiTheme="majorBidi" w:cstheme="majorBidi"/>
              <w:noProof/>
              <w:sz w:val="24"/>
              <w:szCs w:val="24"/>
              <w:lang w:val="en-US"/>
            </w:rPr>
            <w:t>(01), 55-67. doi:10.2753/JOA0091-3367360104</w:t>
          </w:r>
        </w:p>
        <w:p w14:paraId="6633F05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Coenen, M., Stamm, T. A., Stucki, G., &amp; Cieza , A. (2012). Individual interviews and focus groups in patients with rheumatoid arthritis: a comparison of two qualitative methods. </w:t>
          </w:r>
          <w:r w:rsidRPr="009C6DC2">
            <w:rPr>
              <w:rFonts w:asciiTheme="majorBidi" w:hAnsiTheme="majorBidi" w:cstheme="majorBidi"/>
              <w:i/>
              <w:iCs/>
              <w:noProof/>
              <w:sz w:val="24"/>
              <w:szCs w:val="24"/>
              <w:lang w:val="en-US"/>
            </w:rPr>
            <w:t>Quality of Life Research., 21</w:t>
          </w:r>
          <w:r w:rsidRPr="009C6DC2">
            <w:rPr>
              <w:rFonts w:asciiTheme="majorBidi" w:hAnsiTheme="majorBidi" w:cstheme="majorBidi"/>
              <w:noProof/>
              <w:sz w:val="24"/>
              <w:szCs w:val="24"/>
              <w:lang w:val="en-US"/>
            </w:rPr>
            <w:t>, 359-370. doi:https://doi.org/10.1007/s11136-011-9943-2</w:t>
          </w:r>
        </w:p>
        <w:p w14:paraId="7198A27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Cohen, L., Manion, L., &amp; Morrison, K. (2018). </w:t>
          </w:r>
          <w:r w:rsidRPr="009C6DC2">
            <w:rPr>
              <w:rFonts w:asciiTheme="majorBidi" w:hAnsiTheme="majorBidi" w:cstheme="majorBidi"/>
              <w:i/>
              <w:iCs/>
              <w:noProof/>
              <w:sz w:val="24"/>
              <w:szCs w:val="24"/>
              <w:lang w:val="en-US"/>
            </w:rPr>
            <w:t>Research Methods in Education</w:t>
          </w:r>
          <w:r w:rsidRPr="009C6DC2">
            <w:rPr>
              <w:rFonts w:asciiTheme="majorBidi" w:hAnsiTheme="majorBidi" w:cstheme="majorBidi"/>
              <w:noProof/>
              <w:sz w:val="24"/>
              <w:szCs w:val="24"/>
              <w:lang w:val="en-US"/>
            </w:rPr>
            <w:t xml:space="preserve"> (8th ed.). Routledge. Taylor &amp; Francis Group . Retrieved 11 11, 2022, from https://www.routledge.com/Research-Methods-in-Education/Cohen-Manion-Morrison/p/book/9781138209886</w:t>
          </w:r>
        </w:p>
        <w:p w14:paraId="079E3735" w14:textId="54443C0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Coleman, P. (2022). Validity and Reliability within Qualitative Research in the Caring Sciences. </w:t>
          </w:r>
          <w:r w:rsidRPr="009C6DC2">
            <w:rPr>
              <w:rFonts w:asciiTheme="majorBidi" w:hAnsiTheme="majorBidi" w:cstheme="majorBidi"/>
              <w:i/>
              <w:iCs/>
              <w:noProof/>
              <w:sz w:val="24"/>
              <w:szCs w:val="24"/>
              <w:lang w:val="en-US"/>
            </w:rPr>
            <w:t>International Journal of Caring Sciences, 14</w:t>
          </w:r>
          <w:r w:rsidRPr="009C6DC2">
            <w:rPr>
              <w:rFonts w:asciiTheme="majorBidi" w:hAnsiTheme="majorBidi" w:cstheme="majorBidi"/>
              <w:noProof/>
              <w:sz w:val="24"/>
              <w:szCs w:val="24"/>
              <w:lang w:val="en-US"/>
            </w:rPr>
            <w:t>(3), 2041-2045. Retrieved 11 11, 2022, from http://oro.open.ac.uk/81588/</w:t>
          </w:r>
        </w:p>
        <w:p w14:paraId="5BB89CBB" w14:textId="4391762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Colliander, J., &amp; Marder, B. (2018). ‘Snap happy’ brands: Increasing publicity effectiveness through a snapshot aesthetic when marketing a brand on Instagram. </w:t>
          </w:r>
          <w:r w:rsidRPr="009C6DC2">
            <w:rPr>
              <w:rFonts w:asciiTheme="majorBidi" w:hAnsiTheme="majorBidi" w:cstheme="majorBidi"/>
              <w:i/>
              <w:iCs/>
              <w:noProof/>
              <w:sz w:val="24"/>
              <w:szCs w:val="24"/>
              <w:lang w:val="en-US"/>
            </w:rPr>
            <w:t>Computers in Human Behavior, 78</w:t>
          </w:r>
          <w:r w:rsidRPr="009C6DC2">
            <w:rPr>
              <w:rFonts w:asciiTheme="majorBidi" w:hAnsiTheme="majorBidi" w:cstheme="majorBidi"/>
              <w:noProof/>
              <w:sz w:val="24"/>
              <w:szCs w:val="24"/>
              <w:lang w:val="en-US"/>
            </w:rPr>
            <w:t>, 34-43. doi:https://doi.org/10.1016/j.chb.2017.09.015</w:t>
          </w:r>
        </w:p>
        <w:p w14:paraId="54619FC7" w14:textId="7541AF5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Compeau, D., Correia, J., &amp; Bennett , J. T. (2022). WHEN CONSTRUCTS BECOME OBSOLETE: A SYSTEMATIC APPROACH TO EVALUATING AND UPDATING CONSTRUCTS FOR INFORMATION SYSTEMS RESEARCH. </w:t>
          </w:r>
          <w:r w:rsidRPr="009C6DC2">
            <w:rPr>
              <w:rFonts w:asciiTheme="majorBidi" w:hAnsiTheme="majorBidi" w:cstheme="majorBidi"/>
              <w:i/>
              <w:iCs/>
              <w:noProof/>
              <w:sz w:val="24"/>
              <w:szCs w:val="24"/>
              <w:lang w:val="en-US"/>
            </w:rPr>
            <w:t>MIS Quarterly, 46</w:t>
          </w:r>
          <w:r w:rsidRPr="009C6DC2">
            <w:rPr>
              <w:rFonts w:asciiTheme="majorBidi" w:hAnsiTheme="majorBidi" w:cstheme="majorBidi"/>
              <w:noProof/>
              <w:sz w:val="24"/>
              <w:szCs w:val="24"/>
              <w:lang w:val="en-US"/>
            </w:rPr>
            <w:t>(2), 679-711. doi:10.25300/MISQ/2022/15516</w:t>
          </w:r>
        </w:p>
        <w:p w14:paraId="403B7A1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Constantinou, C. S., Georgiou, M., &amp; Perdikogianni, M. (2017). A comparative method for themes saturation in qualitative interviews. </w:t>
          </w:r>
          <w:r w:rsidRPr="009C6DC2">
            <w:rPr>
              <w:rFonts w:asciiTheme="majorBidi" w:hAnsiTheme="majorBidi" w:cstheme="majorBidi"/>
              <w:i/>
              <w:iCs/>
              <w:noProof/>
              <w:sz w:val="24"/>
              <w:szCs w:val="24"/>
              <w:lang w:val="en-US"/>
            </w:rPr>
            <w:t>Qualitative Research, 17</w:t>
          </w:r>
          <w:r w:rsidRPr="009C6DC2">
            <w:rPr>
              <w:rFonts w:asciiTheme="majorBidi" w:hAnsiTheme="majorBidi" w:cstheme="majorBidi"/>
              <w:noProof/>
              <w:sz w:val="24"/>
              <w:szCs w:val="24"/>
              <w:lang w:val="en-US"/>
            </w:rPr>
            <w:t>(5), 571-588. doi:10.1177/1468794116686650</w:t>
          </w:r>
        </w:p>
        <w:p w14:paraId="44C6EA24" w14:textId="42703B9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Cook, A. J., Moore, K., &amp; Steel, G. D. (2004). The Taking of a Position: A Reinterpretation of the Elaboration Likelihood Model. </w:t>
          </w:r>
          <w:r w:rsidRPr="009C6DC2">
            <w:rPr>
              <w:rFonts w:asciiTheme="majorBidi" w:hAnsiTheme="majorBidi" w:cstheme="majorBidi"/>
              <w:i/>
              <w:iCs/>
              <w:noProof/>
              <w:sz w:val="24"/>
              <w:szCs w:val="24"/>
              <w:lang w:val="en-US"/>
            </w:rPr>
            <w:t>Journal of The Theory of Social Behaviour, 34</w:t>
          </w:r>
          <w:r w:rsidRPr="009C6DC2">
            <w:rPr>
              <w:rFonts w:asciiTheme="majorBidi" w:hAnsiTheme="majorBidi" w:cstheme="majorBidi"/>
              <w:noProof/>
              <w:sz w:val="24"/>
              <w:szCs w:val="24"/>
              <w:lang w:val="en-US"/>
            </w:rPr>
            <w:t>(04), 315-331. Retrieved 09 27, 2022, from https://doi.org/10.1111/j.1468-5914.2004.00252.x</w:t>
          </w:r>
        </w:p>
        <w:p w14:paraId="1E114C9C" w14:textId="2E1D722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Cooksey, R. W. (2020). Descriptive Statistics for Summarising Data. </w:t>
          </w:r>
          <w:r w:rsidRPr="009C6DC2">
            <w:rPr>
              <w:rFonts w:asciiTheme="majorBidi" w:hAnsiTheme="majorBidi" w:cstheme="majorBidi"/>
              <w:i/>
              <w:iCs/>
              <w:noProof/>
              <w:sz w:val="24"/>
              <w:szCs w:val="24"/>
              <w:lang w:val="en-US"/>
            </w:rPr>
            <w:t>Nature Public Health Emergency Collection</w:t>
          </w:r>
          <w:r w:rsidRPr="009C6DC2">
            <w:rPr>
              <w:rFonts w:asciiTheme="majorBidi" w:hAnsiTheme="majorBidi" w:cstheme="majorBidi"/>
              <w:noProof/>
              <w:sz w:val="24"/>
              <w:szCs w:val="24"/>
              <w:lang w:val="en-US"/>
            </w:rPr>
            <w:t>. doi:10.1007/978-981-15-2537-7_5</w:t>
          </w:r>
        </w:p>
        <w:p w14:paraId="18B4B4D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Cooper, W. H. (1981). Ubiquitous halo. </w:t>
          </w:r>
          <w:r w:rsidRPr="009C6DC2">
            <w:rPr>
              <w:rFonts w:asciiTheme="majorBidi" w:hAnsiTheme="majorBidi" w:cstheme="majorBidi"/>
              <w:i/>
              <w:iCs/>
              <w:noProof/>
              <w:sz w:val="24"/>
              <w:szCs w:val="24"/>
              <w:lang w:val="en-US"/>
            </w:rPr>
            <w:t>Psychological Bulletin, 90</w:t>
          </w:r>
          <w:r w:rsidRPr="009C6DC2">
            <w:rPr>
              <w:rFonts w:asciiTheme="majorBidi" w:hAnsiTheme="majorBidi" w:cstheme="majorBidi"/>
              <w:noProof/>
              <w:sz w:val="24"/>
              <w:szCs w:val="24"/>
              <w:lang w:val="en-US"/>
            </w:rPr>
            <w:t>(2), 218-244. doi:https://doi.org/10.1037/0033-2909.90.2.218</w:t>
          </w:r>
        </w:p>
        <w:p w14:paraId="678B8B54" w14:textId="763F60E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Copeland , L. R., &amp; Zhao, L. (2020). Instagram and theory of reasoned action: US consumers influence of peers online and purchase intention. </w:t>
          </w:r>
          <w:r w:rsidRPr="009C6DC2">
            <w:rPr>
              <w:rFonts w:asciiTheme="majorBidi" w:hAnsiTheme="majorBidi" w:cstheme="majorBidi"/>
              <w:i/>
              <w:iCs/>
              <w:noProof/>
              <w:sz w:val="24"/>
              <w:szCs w:val="24"/>
              <w:lang w:val="en-US"/>
            </w:rPr>
            <w:t>nternational Journal of Fashion Design, Technology and Education, 13</w:t>
          </w:r>
          <w:r w:rsidRPr="009C6DC2">
            <w:rPr>
              <w:rFonts w:asciiTheme="majorBidi" w:hAnsiTheme="majorBidi" w:cstheme="majorBidi"/>
              <w:noProof/>
              <w:sz w:val="24"/>
              <w:szCs w:val="24"/>
              <w:lang w:val="en-US"/>
            </w:rPr>
            <w:t>, 265-279. doi:https://doi.org/10.1080/17543266.2020.1783374</w:t>
          </w:r>
        </w:p>
        <w:p w14:paraId="6F6CF7D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Corbin, J., &amp; Strauss, A. (2014). </w:t>
          </w:r>
          <w:r w:rsidRPr="009C6DC2">
            <w:rPr>
              <w:rFonts w:asciiTheme="majorBidi" w:hAnsiTheme="majorBidi" w:cstheme="majorBidi"/>
              <w:i/>
              <w:iCs/>
              <w:noProof/>
              <w:sz w:val="24"/>
              <w:szCs w:val="24"/>
              <w:lang w:val="en-US"/>
            </w:rPr>
            <w:t>Basics of Qualitative Research. Techniques and Procedures for Developing Grounded Theory</w:t>
          </w:r>
          <w:r w:rsidRPr="009C6DC2">
            <w:rPr>
              <w:rFonts w:asciiTheme="majorBidi" w:hAnsiTheme="majorBidi" w:cstheme="majorBidi"/>
              <w:noProof/>
              <w:sz w:val="24"/>
              <w:szCs w:val="24"/>
              <w:lang w:val="en-US"/>
            </w:rPr>
            <w:t xml:space="preserve"> (4th ed.). San Jose State University, USA: SAGE Publications, Inc.</w:t>
          </w:r>
        </w:p>
        <w:p w14:paraId="426C191E" w14:textId="64479C5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Coşkun, A., Vocino, A., &amp; Polonsky, M. (2017). Mediating effect of environmental orientation on pro-environmental purchase intentions in a low-involvement product situation. </w:t>
          </w:r>
          <w:r w:rsidRPr="009C6DC2">
            <w:rPr>
              <w:rFonts w:asciiTheme="majorBidi" w:hAnsiTheme="majorBidi" w:cstheme="majorBidi"/>
              <w:i/>
              <w:iCs/>
              <w:noProof/>
              <w:sz w:val="24"/>
              <w:szCs w:val="24"/>
              <w:lang w:val="en-US"/>
            </w:rPr>
            <w:t>Australasian Marketing Journal (AMJ), 25</w:t>
          </w:r>
          <w:r w:rsidRPr="009C6DC2">
            <w:rPr>
              <w:rFonts w:asciiTheme="majorBidi" w:hAnsiTheme="majorBidi" w:cstheme="majorBidi"/>
              <w:noProof/>
              <w:sz w:val="24"/>
              <w:szCs w:val="24"/>
              <w:lang w:val="en-US"/>
            </w:rPr>
            <w:t>(2), 115-125. doi:https://doi.org/10.1016/j.ausmj.2017.04.008</w:t>
          </w:r>
        </w:p>
        <w:p w14:paraId="480C680B" w14:textId="09BC731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Crane, A., &amp; Glozer, S. (2016). Researching Corporate Social Responsibility Communication: Themes, Opportunities and Challenges. </w:t>
          </w:r>
          <w:r w:rsidRPr="009C6DC2">
            <w:rPr>
              <w:rFonts w:asciiTheme="majorBidi" w:hAnsiTheme="majorBidi" w:cstheme="majorBidi"/>
              <w:i/>
              <w:iCs/>
              <w:noProof/>
              <w:sz w:val="24"/>
              <w:szCs w:val="24"/>
              <w:lang w:val="en-US"/>
            </w:rPr>
            <w:t>Journal of Management Studies, 53</w:t>
          </w:r>
          <w:r w:rsidRPr="009C6DC2">
            <w:rPr>
              <w:rFonts w:asciiTheme="majorBidi" w:hAnsiTheme="majorBidi" w:cstheme="majorBidi"/>
              <w:noProof/>
              <w:sz w:val="24"/>
              <w:szCs w:val="24"/>
              <w:lang w:val="en-US"/>
            </w:rPr>
            <w:t>(7). doi: https://doi.org/10.1111/joms.12196</w:t>
          </w:r>
        </w:p>
        <w:p w14:paraId="1F00472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Creamer, E. G. (2017). </w:t>
          </w:r>
          <w:r w:rsidRPr="009C6DC2">
            <w:rPr>
              <w:rFonts w:asciiTheme="majorBidi" w:hAnsiTheme="majorBidi" w:cstheme="majorBidi"/>
              <w:i/>
              <w:iCs/>
              <w:noProof/>
              <w:sz w:val="24"/>
              <w:szCs w:val="24"/>
              <w:lang w:val="en-US"/>
            </w:rPr>
            <w:t>An introduction to fully integrated mixed methods research.</w:t>
          </w:r>
          <w:r w:rsidRPr="009C6DC2">
            <w:rPr>
              <w:rFonts w:asciiTheme="majorBidi" w:hAnsiTheme="majorBidi" w:cstheme="majorBidi"/>
              <w:noProof/>
              <w:sz w:val="24"/>
              <w:szCs w:val="24"/>
              <w:lang w:val="en-US"/>
            </w:rPr>
            <w:t xml:space="preserve"> Sage. doi: https://doi.org/10.4135/9781071802823</w:t>
          </w:r>
        </w:p>
        <w:p w14:paraId="68B6CF93" w14:textId="2AC92C8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Crespo, C. F., &amp; Inacio, N. (2018). The influence of corporate social responsibility associations on consumers’ perceptions towards global brands. </w:t>
          </w:r>
          <w:r w:rsidRPr="009C6DC2">
            <w:rPr>
              <w:rFonts w:asciiTheme="majorBidi" w:hAnsiTheme="majorBidi" w:cstheme="majorBidi"/>
              <w:i/>
              <w:iCs/>
              <w:noProof/>
              <w:sz w:val="24"/>
              <w:szCs w:val="24"/>
              <w:lang w:val="en-US"/>
            </w:rPr>
            <w:t>Journal of Strategic Marketing, 27</w:t>
          </w:r>
          <w:r w:rsidRPr="009C6DC2">
            <w:rPr>
              <w:rFonts w:asciiTheme="majorBidi" w:hAnsiTheme="majorBidi" w:cstheme="majorBidi"/>
              <w:noProof/>
              <w:sz w:val="24"/>
              <w:szCs w:val="24"/>
              <w:lang w:val="en-US"/>
            </w:rPr>
            <w:t>(8), 679-695. doi:https://doi.org/10.1080/0965254X.2018.1464497</w:t>
          </w:r>
        </w:p>
        <w:p w14:paraId="484638E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Creswell, J. W. (2021). </w:t>
          </w:r>
          <w:r w:rsidRPr="009C6DC2">
            <w:rPr>
              <w:rFonts w:asciiTheme="majorBidi" w:hAnsiTheme="majorBidi" w:cstheme="majorBidi"/>
              <w:i/>
              <w:iCs/>
              <w:noProof/>
              <w:sz w:val="24"/>
              <w:szCs w:val="24"/>
              <w:lang w:val="en-US"/>
            </w:rPr>
            <w:t>A Concise Introduction to Mixed Methods Research</w:t>
          </w:r>
          <w:r w:rsidRPr="009C6DC2">
            <w:rPr>
              <w:rFonts w:asciiTheme="majorBidi" w:hAnsiTheme="majorBidi" w:cstheme="majorBidi"/>
              <w:noProof/>
              <w:sz w:val="24"/>
              <w:szCs w:val="24"/>
              <w:lang w:val="en-US"/>
            </w:rPr>
            <w:t xml:space="preserve"> (2nd ed.). SAGE Publications, Inc. Retrieved 11 01, 2022, from https://us.sagepub.com/hi/nam/a-concise-introduction-to-mixed-methods-research/book266037</w:t>
          </w:r>
        </w:p>
        <w:p w14:paraId="490100F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Creswell, J. W., &amp; Clark, V. P. (2017). </w:t>
          </w:r>
          <w:r w:rsidRPr="009C6DC2">
            <w:rPr>
              <w:rFonts w:asciiTheme="majorBidi" w:hAnsiTheme="majorBidi" w:cstheme="majorBidi"/>
              <w:i/>
              <w:iCs/>
              <w:noProof/>
              <w:sz w:val="24"/>
              <w:szCs w:val="24"/>
              <w:lang w:val="en-US"/>
            </w:rPr>
            <w:t>Designing and Conducting Mixed Methods Research</w:t>
          </w:r>
          <w:r w:rsidRPr="009C6DC2">
            <w:rPr>
              <w:rFonts w:asciiTheme="majorBidi" w:hAnsiTheme="majorBidi" w:cstheme="majorBidi"/>
              <w:noProof/>
              <w:sz w:val="24"/>
              <w:szCs w:val="24"/>
              <w:lang w:val="en-US"/>
            </w:rPr>
            <w:t xml:space="preserve"> (3rd ed.). SAGE Publications, Inc.</w:t>
          </w:r>
        </w:p>
        <w:p w14:paraId="468E7C1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Culley, R. (2017). Information and Value: The economics of advertising. In 1st (Ed.), </w:t>
          </w:r>
          <w:r w:rsidRPr="009C6DC2">
            <w:rPr>
              <w:rFonts w:asciiTheme="majorBidi" w:hAnsiTheme="majorBidi" w:cstheme="majorBidi"/>
              <w:i/>
              <w:iCs/>
              <w:noProof/>
              <w:sz w:val="24"/>
              <w:szCs w:val="24"/>
              <w:lang w:val="en-US"/>
            </w:rPr>
            <w:t>Essentials of Advertising</w:t>
          </w:r>
          <w:r w:rsidRPr="009C6DC2">
            <w:rPr>
              <w:rFonts w:asciiTheme="majorBidi" w:hAnsiTheme="majorBidi" w:cstheme="majorBidi"/>
              <w:noProof/>
              <w:sz w:val="24"/>
              <w:szCs w:val="24"/>
              <w:lang w:val="en-US"/>
            </w:rPr>
            <w:t xml:space="preserve"> (pp. 87-96).</w:t>
          </w:r>
        </w:p>
        <w:p w14:paraId="633B43F6" w14:textId="0DCA82D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Currás-Pérez, R., Dolz-Dolz, C., Miquel-Romero, M. J., &amp; Miquel-Romero, I. (2018). How social, environmental, and economic CSR affects consumer-perceived value: Does perceived consumer effectiveness make a difference? </w:t>
          </w:r>
          <w:r w:rsidRPr="009C6DC2">
            <w:rPr>
              <w:rFonts w:asciiTheme="majorBidi" w:hAnsiTheme="majorBidi" w:cstheme="majorBidi"/>
              <w:i/>
              <w:iCs/>
              <w:noProof/>
              <w:sz w:val="24"/>
              <w:szCs w:val="24"/>
              <w:lang w:val="en-US"/>
            </w:rPr>
            <w:t>Corporate Social Responsibility and Environmental Management, 25</w:t>
          </w:r>
          <w:r w:rsidRPr="009C6DC2">
            <w:rPr>
              <w:rFonts w:asciiTheme="majorBidi" w:hAnsiTheme="majorBidi" w:cstheme="majorBidi"/>
              <w:noProof/>
              <w:sz w:val="24"/>
              <w:szCs w:val="24"/>
              <w:lang w:val="en-US"/>
            </w:rPr>
            <w:t>(5), 733-747. doi:https://doi.org/10.1002/csr.1490</w:t>
          </w:r>
        </w:p>
        <w:p w14:paraId="73AB2AC0" w14:textId="682638B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Cusot, G., &amp; Falconi, G. (2012). Agreements and differences between Corporate Social Responsibility, Social Marketing and cause-related Marketing. </w:t>
          </w:r>
          <w:r w:rsidRPr="009C6DC2">
            <w:rPr>
              <w:rFonts w:asciiTheme="majorBidi" w:hAnsiTheme="majorBidi" w:cstheme="majorBidi"/>
              <w:i/>
              <w:iCs/>
              <w:noProof/>
              <w:sz w:val="24"/>
              <w:szCs w:val="24"/>
              <w:lang w:val="en-US"/>
            </w:rPr>
            <w:t>International Journal of Business and Social Research, 2</w:t>
          </w:r>
          <w:r w:rsidRPr="009C6DC2">
            <w:rPr>
              <w:rFonts w:asciiTheme="majorBidi" w:hAnsiTheme="majorBidi" w:cstheme="majorBidi"/>
              <w:noProof/>
              <w:sz w:val="24"/>
              <w:szCs w:val="24"/>
              <w:lang w:val="en-US"/>
            </w:rPr>
            <w:t>(2). doi:https://doi.org/10.18533/ijbsr.v2i2.192</w:t>
          </w:r>
        </w:p>
        <w:p w14:paraId="089407A8" w14:textId="7BC0662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Cuthbertson, L. M., Robb, Y. A., &amp; Blair, S. (2020). Theory and application of research principles and philosophical underpinning for a study utilising interpretative phenomenological analysis. </w:t>
          </w:r>
          <w:r w:rsidRPr="009C6DC2">
            <w:rPr>
              <w:rFonts w:asciiTheme="majorBidi" w:hAnsiTheme="majorBidi" w:cstheme="majorBidi"/>
              <w:i/>
              <w:iCs/>
              <w:noProof/>
              <w:sz w:val="24"/>
              <w:szCs w:val="24"/>
              <w:lang w:val="en-US"/>
            </w:rPr>
            <w:t>Radiography, 26</w:t>
          </w:r>
          <w:r w:rsidRPr="009C6DC2">
            <w:rPr>
              <w:rFonts w:asciiTheme="majorBidi" w:hAnsiTheme="majorBidi" w:cstheme="majorBidi"/>
              <w:noProof/>
              <w:sz w:val="24"/>
              <w:szCs w:val="24"/>
              <w:lang w:val="en-US"/>
            </w:rPr>
            <w:t>(2), 94-102. doi:https://doi.org/10.1016/j.radi.2019.11.092</w:t>
          </w:r>
        </w:p>
        <w:p w14:paraId="31F66DE8" w14:textId="299EFBC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Czajkowski, M., &amp; Ščasný, M. (2010). Study on benefit transfer in an international setting. How to improve welfare estimates in the case of the countries' income heterogeneity? </w:t>
          </w:r>
          <w:r w:rsidRPr="009C6DC2">
            <w:rPr>
              <w:rFonts w:asciiTheme="majorBidi" w:hAnsiTheme="majorBidi" w:cstheme="majorBidi"/>
              <w:i/>
              <w:iCs/>
              <w:noProof/>
              <w:sz w:val="24"/>
              <w:szCs w:val="24"/>
              <w:lang w:val="en-US"/>
            </w:rPr>
            <w:t>Ecological Economics, 69</w:t>
          </w:r>
          <w:r w:rsidRPr="009C6DC2">
            <w:rPr>
              <w:rFonts w:asciiTheme="majorBidi" w:hAnsiTheme="majorBidi" w:cstheme="majorBidi"/>
              <w:noProof/>
              <w:sz w:val="24"/>
              <w:szCs w:val="24"/>
              <w:lang w:val="en-US"/>
            </w:rPr>
            <w:t>(12), 2409-2416. doi:https://doi.org/10.1016/j.ecolecon.2010.07.008</w:t>
          </w:r>
        </w:p>
        <w:p w14:paraId="55E327C2" w14:textId="039E0B6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Czarnecka, B., &amp; Schivinski, B. (2019). Do consumers acculturated to global consumer culture buy more impulsively? The moderating role of attitudes towards, and beliefs about advertising. </w:t>
          </w:r>
          <w:r w:rsidRPr="009C6DC2">
            <w:rPr>
              <w:rFonts w:asciiTheme="majorBidi" w:hAnsiTheme="majorBidi" w:cstheme="majorBidi"/>
              <w:i/>
              <w:iCs/>
              <w:noProof/>
              <w:sz w:val="24"/>
              <w:szCs w:val="24"/>
              <w:lang w:val="en-US"/>
            </w:rPr>
            <w:t>Journal of Global Marketing, 32</w:t>
          </w:r>
          <w:r w:rsidRPr="009C6DC2">
            <w:rPr>
              <w:rFonts w:asciiTheme="majorBidi" w:hAnsiTheme="majorBidi" w:cstheme="majorBidi"/>
              <w:noProof/>
              <w:sz w:val="24"/>
              <w:szCs w:val="24"/>
              <w:lang w:val="en-US"/>
            </w:rPr>
            <w:t>(6). doi:10.1080/08911762.2019.1600094</w:t>
          </w:r>
        </w:p>
        <w:p w14:paraId="06792C73" w14:textId="0AD5CD2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Czarnecka, B., &amp; Schivinski, B. (2021). Individualism/collectivism and perceived consumer effectiveness: The moderating role of global–local identities in a post‐transitional European economy. </w:t>
          </w:r>
          <w:r w:rsidRPr="009C6DC2">
            <w:rPr>
              <w:rFonts w:asciiTheme="majorBidi" w:hAnsiTheme="majorBidi" w:cstheme="majorBidi"/>
              <w:i/>
              <w:iCs/>
              <w:noProof/>
              <w:sz w:val="24"/>
              <w:szCs w:val="24"/>
              <w:lang w:val="en-US"/>
            </w:rPr>
            <w:t>Journal of Consumer Behaviour, 21</w:t>
          </w:r>
          <w:r w:rsidRPr="009C6DC2">
            <w:rPr>
              <w:rFonts w:asciiTheme="majorBidi" w:hAnsiTheme="majorBidi" w:cstheme="majorBidi"/>
              <w:noProof/>
              <w:sz w:val="24"/>
              <w:szCs w:val="24"/>
              <w:lang w:val="en-US"/>
            </w:rPr>
            <w:t>(5). doi:10.1002/cb.1988</w:t>
          </w:r>
        </w:p>
        <w:p w14:paraId="71AAEBA0" w14:textId="142E1C8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Czarnecka, B., Schivinski, B., &amp; Keles, S. (2020). How values of individualism and collectivism influence impulsive buying and money budgeting: the mediating role of acculturation to global consumer culture. </w:t>
          </w:r>
          <w:r w:rsidRPr="009C6DC2">
            <w:rPr>
              <w:rFonts w:asciiTheme="majorBidi" w:hAnsiTheme="majorBidi" w:cstheme="majorBidi"/>
              <w:i/>
              <w:iCs/>
              <w:noProof/>
              <w:sz w:val="24"/>
              <w:szCs w:val="24"/>
              <w:lang w:val="en-US"/>
            </w:rPr>
            <w:t>Journal of Consumer Behaviour, 19</w:t>
          </w:r>
          <w:r w:rsidRPr="009C6DC2">
            <w:rPr>
              <w:rFonts w:asciiTheme="majorBidi" w:hAnsiTheme="majorBidi" w:cstheme="majorBidi"/>
              <w:noProof/>
              <w:sz w:val="24"/>
              <w:szCs w:val="24"/>
              <w:lang w:val="en-US"/>
            </w:rPr>
            <w:t>(5), 505-522. doi:https://doi.org/10.1002/cb.1833</w:t>
          </w:r>
        </w:p>
        <w:p w14:paraId="451E4DA3" w14:textId="2648756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Daas, A., &amp; Alaraj, R. (2019). The complementarity between corporate social responsibility disclosure and institutional investor in Jordan. </w:t>
          </w:r>
          <w:r w:rsidRPr="009C6DC2">
            <w:rPr>
              <w:rFonts w:asciiTheme="majorBidi" w:hAnsiTheme="majorBidi" w:cstheme="majorBidi"/>
              <w:i/>
              <w:iCs/>
              <w:noProof/>
              <w:sz w:val="24"/>
              <w:szCs w:val="24"/>
              <w:lang w:val="en-US"/>
            </w:rPr>
            <w:t>International Journal of Islamic and Middle Eastern Finance and Management, 12</w:t>
          </w:r>
          <w:r w:rsidRPr="009C6DC2">
            <w:rPr>
              <w:rFonts w:asciiTheme="majorBidi" w:hAnsiTheme="majorBidi" w:cstheme="majorBidi"/>
              <w:noProof/>
              <w:sz w:val="24"/>
              <w:szCs w:val="24"/>
              <w:lang w:val="en-US"/>
            </w:rPr>
            <w:t>(2), 191-215. doi:https://doi.org/10.1108/IMEFM-10-2017-0272</w:t>
          </w:r>
        </w:p>
        <w:p w14:paraId="3695517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Dafoe, A., Zhang, B., &amp; Caughey, D. (2015). Confounding in Survey Experiments. </w:t>
          </w:r>
          <w:r w:rsidRPr="009C6DC2">
            <w:rPr>
              <w:rFonts w:asciiTheme="majorBidi" w:hAnsiTheme="majorBidi" w:cstheme="majorBidi"/>
              <w:i/>
              <w:iCs/>
              <w:noProof/>
              <w:sz w:val="24"/>
              <w:szCs w:val="24"/>
              <w:lang w:val="en-US"/>
            </w:rPr>
            <w:t>annual meeting of The Society for Political Methodology.</w:t>
          </w:r>
          <w:r w:rsidRPr="009C6DC2">
            <w:rPr>
              <w:rFonts w:asciiTheme="majorBidi" w:hAnsiTheme="majorBidi" w:cstheme="majorBidi"/>
              <w:noProof/>
              <w:sz w:val="24"/>
              <w:szCs w:val="24"/>
              <w:lang w:val="en-US"/>
            </w:rPr>
            <w:t xml:space="preserve"> Retrieved 08 06, 2023, from https://www.sas.rochester.edu/psc/polmeth/papers/confounding.pdf</w:t>
          </w:r>
        </w:p>
        <w:p w14:paraId="19620CC2" w14:textId="095684A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Dafoe, A., Zhang, B., &amp; Caughey, D. (2018). Information Equivalence in Survey Experiments. </w:t>
          </w:r>
          <w:r w:rsidRPr="009C6DC2">
            <w:rPr>
              <w:rFonts w:asciiTheme="majorBidi" w:hAnsiTheme="majorBidi" w:cstheme="majorBidi"/>
              <w:i/>
              <w:iCs/>
              <w:noProof/>
              <w:sz w:val="24"/>
              <w:szCs w:val="24"/>
              <w:lang w:val="en-US"/>
            </w:rPr>
            <w:t>Political Analysis, 26</w:t>
          </w:r>
          <w:r w:rsidRPr="009C6DC2">
            <w:rPr>
              <w:rFonts w:asciiTheme="majorBidi" w:hAnsiTheme="majorBidi" w:cstheme="majorBidi"/>
              <w:noProof/>
              <w:sz w:val="24"/>
              <w:szCs w:val="24"/>
              <w:lang w:val="en-US"/>
            </w:rPr>
            <w:t>(4), 399-416. doi:https://doi.org/10.1017/pan.2018.9</w:t>
          </w:r>
        </w:p>
        <w:p w14:paraId="61902480" w14:textId="14C49A9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Dai, W., &amp; Reich, A. Z. (2022). The differential impact of monological and dialogical corporate social responsibility communication strategies on brand trust in the credence goods market. </w:t>
          </w:r>
          <w:r w:rsidRPr="009C6DC2">
            <w:rPr>
              <w:rFonts w:asciiTheme="majorBidi" w:hAnsiTheme="majorBidi" w:cstheme="majorBidi"/>
              <w:i/>
              <w:iCs/>
              <w:noProof/>
              <w:sz w:val="24"/>
              <w:szCs w:val="24"/>
              <w:lang w:val="en-US"/>
            </w:rPr>
            <w:t>Asia Pacific Journal of Marketing and Logistics</w:t>
          </w:r>
          <w:r w:rsidRPr="009C6DC2">
            <w:rPr>
              <w:rFonts w:asciiTheme="majorBidi" w:hAnsiTheme="majorBidi" w:cstheme="majorBidi"/>
              <w:noProof/>
              <w:sz w:val="24"/>
              <w:szCs w:val="24"/>
              <w:lang w:val="en-US"/>
            </w:rPr>
            <w:t>. Retrieved 05 19, 2022, from https://www.emerald.com/insight/1355-5855.htm</w:t>
          </w:r>
        </w:p>
        <w:p w14:paraId="71D51AEA" w14:textId="15DD849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Damratoski, K. J., Field, A. R., Mizell, K. N., &amp; Budden, M. C. (2011). An Investigation Into Alternative Television Viewership Habits Of College Students. </w:t>
          </w:r>
          <w:r w:rsidRPr="009C6DC2">
            <w:rPr>
              <w:rFonts w:asciiTheme="majorBidi" w:hAnsiTheme="majorBidi" w:cstheme="majorBidi"/>
              <w:i/>
              <w:iCs/>
              <w:noProof/>
              <w:sz w:val="24"/>
              <w:szCs w:val="24"/>
              <w:lang w:val="en-US"/>
            </w:rPr>
            <w:t>Journal of Applied Business Research, 27</w:t>
          </w:r>
          <w:r w:rsidRPr="009C6DC2">
            <w:rPr>
              <w:rFonts w:asciiTheme="majorBidi" w:hAnsiTheme="majorBidi" w:cstheme="majorBidi"/>
              <w:noProof/>
              <w:sz w:val="24"/>
              <w:szCs w:val="24"/>
              <w:lang w:val="en-US"/>
            </w:rPr>
            <w:t>(1). doi:https://doi.org/10.19030/jabr.v27i1.911</w:t>
          </w:r>
        </w:p>
        <w:p w14:paraId="177669BD" w14:textId="043D354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Dang, V., Nguyen, N., &amp; Pervan, S. (2020). Retailer corporate social responsibility and consumer citizenship behavior: The mediating roles of perceived consumer effectiveness and consumer trust. </w:t>
          </w:r>
          <w:r w:rsidRPr="009C6DC2">
            <w:rPr>
              <w:rFonts w:asciiTheme="majorBidi" w:hAnsiTheme="majorBidi" w:cstheme="majorBidi"/>
              <w:i/>
              <w:iCs/>
              <w:noProof/>
              <w:sz w:val="24"/>
              <w:szCs w:val="24"/>
              <w:lang w:val="en-US"/>
            </w:rPr>
            <w:t>Journal of Retailing and Consumer Services, 55</w:t>
          </w:r>
          <w:r w:rsidRPr="009C6DC2">
            <w:rPr>
              <w:rFonts w:asciiTheme="majorBidi" w:hAnsiTheme="majorBidi" w:cstheme="majorBidi"/>
              <w:noProof/>
              <w:sz w:val="24"/>
              <w:szCs w:val="24"/>
              <w:lang w:val="en-US"/>
            </w:rPr>
            <w:t>. doi:https://doi.org/10.1016/j.jretconser.2020.102082</w:t>
          </w:r>
        </w:p>
        <w:p w14:paraId="34C32C56" w14:textId="5E1145B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Dardis, F. E., Schmierbach, M., Sherrick, B., Waddell, F., Aviles, J., Kumble, S., &amp; Bailey, E. (2016). Adver-Where? Comparing the Effectiveness of Banner Ads and Video Ads in Online Video Games. </w:t>
          </w:r>
          <w:r w:rsidRPr="009C6DC2">
            <w:rPr>
              <w:rFonts w:asciiTheme="majorBidi" w:hAnsiTheme="majorBidi" w:cstheme="majorBidi"/>
              <w:i/>
              <w:iCs/>
              <w:noProof/>
              <w:sz w:val="24"/>
              <w:szCs w:val="24"/>
              <w:lang w:val="en-US"/>
            </w:rPr>
            <w:t>Journal of Interactive Advertising, 16</w:t>
          </w:r>
          <w:r w:rsidRPr="009C6DC2">
            <w:rPr>
              <w:rFonts w:asciiTheme="majorBidi" w:hAnsiTheme="majorBidi" w:cstheme="majorBidi"/>
              <w:noProof/>
              <w:sz w:val="24"/>
              <w:szCs w:val="24"/>
              <w:lang w:val="en-US"/>
            </w:rPr>
            <w:t>(02), 87-100. doi:https://doi.org/10.1080/15252019.2016.1223572</w:t>
          </w:r>
        </w:p>
        <w:p w14:paraId="3E88AD5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Das, G. (2015). Linkages between self-congruity, brand familiarity, perceived quality and purchase intention: A study of fashion retail brands. </w:t>
          </w:r>
          <w:r w:rsidRPr="009C6DC2">
            <w:rPr>
              <w:rFonts w:asciiTheme="majorBidi" w:hAnsiTheme="majorBidi" w:cstheme="majorBidi"/>
              <w:i/>
              <w:iCs/>
              <w:noProof/>
              <w:sz w:val="24"/>
              <w:szCs w:val="24"/>
              <w:lang w:val="en-US"/>
            </w:rPr>
            <w:t>Journal of Global Fashion Marketing, 6</w:t>
          </w:r>
          <w:r w:rsidRPr="009C6DC2">
            <w:rPr>
              <w:rFonts w:asciiTheme="majorBidi" w:hAnsiTheme="majorBidi" w:cstheme="majorBidi"/>
              <w:noProof/>
              <w:sz w:val="24"/>
              <w:szCs w:val="24"/>
              <w:lang w:val="en-US"/>
            </w:rPr>
            <w:t>(3), 180-193. doi:10.1080/20932685.2015.1032316</w:t>
          </w:r>
        </w:p>
        <w:p w14:paraId="1C6DE09B" w14:textId="325CB56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Dash, P. (2020). Analysis of Literature Review in case of of Exploratory Research. doi:http://dx.doi.org/10.2139/ssrn.3555628</w:t>
          </w:r>
        </w:p>
        <w:p w14:paraId="3E4E6E8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Daud, K. M., Khidzir, N. Z., Ismail, A. R., &amp; Abdullah, F. A. (2018). Validity and reliability of instrument to measure social media skills among small and medium entrepreneurs at Pengkalan Datu River. </w:t>
          </w:r>
          <w:r w:rsidRPr="009C6DC2">
            <w:rPr>
              <w:rFonts w:asciiTheme="majorBidi" w:hAnsiTheme="majorBidi" w:cstheme="majorBidi"/>
              <w:i/>
              <w:iCs/>
              <w:noProof/>
              <w:sz w:val="24"/>
              <w:szCs w:val="24"/>
              <w:lang w:val="en-US"/>
            </w:rPr>
            <w:t>International Journal of Development and Sustainability, 7</w:t>
          </w:r>
          <w:r w:rsidRPr="009C6DC2">
            <w:rPr>
              <w:rFonts w:asciiTheme="majorBidi" w:hAnsiTheme="majorBidi" w:cstheme="majorBidi"/>
              <w:noProof/>
              <w:sz w:val="24"/>
              <w:szCs w:val="24"/>
              <w:lang w:val="en-US"/>
            </w:rPr>
            <w:t>(3), 1026-1037. Retrieved 01 20, 2023, from https://isdsnet.com/ijds-v7n3-15.pdf</w:t>
          </w:r>
        </w:p>
        <w:p w14:paraId="61F3112D" w14:textId="1F9D72C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Dautovic, G. (2022). </w:t>
          </w:r>
          <w:r w:rsidRPr="009C6DC2">
            <w:rPr>
              <w:rFonts w:asciiTheme="majorBidi" w:hAnsiTheme="majorBidi" w:cstheme="majorBidi"/>
              <w:i/>
              <w:iCs/>
              <w:noProof/>
              <w:sz w:val="24"/>
              <w:szCs w:val="24"/>
              <w:lang w:val="en-US"/>
            </w:rPr>
            <w:t>The 45 Most Important Advertising Statistics of 2023</w:t>
          </w:r>
          <w:r w:rsidRPr="009C6DC2">
            <w:rPr>
              <w:rFonts w:asciiTheme="majorBidi" w:hAnsiTheme="majorBidi" w:cstheme="majorBidi"/>
              <w:noProof/>
              <w:sz w:val="24"/>
              <w:szCs w:val="24"/>
              <w:lang w:val="en-US"/>
            </w:rPr>
            <w:t>. Retrieved from smallbizgenius: https://www.smallbizgenius.net/by-the-numbers/advertising-statistics/</w:t>
          </w:r>
        </w:p>
        <w:p w14:paraId="44E6C6E9" w14:textId="523485F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Davis, K. (1973</w:t>
          </w:r>
          <w:r w:rsidR="00EC32C9">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The case for and against business assumption of Social Responsibilities. </w:t>
          </w:r>
          <w:r w:rsidRPr="009C6DC2">
            <w:rPr>
              <w:rFonts w:asciiTheme="majorBidi" w:hAnsiTheme="majorBidi" w:cstheme="majorBidi"/>
              <w:i/>
              <w:iCs/>
              <w:noProof/>
              <w:sz w:val="24"/>
              <w:szCs w:val="24"/>
              <w:lang w:val="en-US"/>
            </w:rPr>
            <w:t>The Academy of Management Journal, 16</w:t>
          </w:r>
          <w:r w:rsidRPr="009C6DC2">
            <w:rPr>
              <w:rFonts w:asciiTheme="majorBidi" w:hAnsiTheme="majorBidi" w:cstheme="majorBidi"/>
              <w:noProof/>
              <w:sz w:val="24"/>
              <w:szCs w:val="24"/>
              <w:lang w:val="en-US"/>
            </w:rPr>
            <w:t>(02), 312-322. doi:https://doi.org/10.2307/255331</w:t>
          </w:r>
        </w:p>
        <w:p w14:paraId="6469B122" w14:textId="1FDCBB8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Deegan, C. M. (2019). Legitimacy theory: Despite its enduring popularity and contribution, time is right for a necessary makeover. </w:t>
          </w:r>
          <w:r w:rsidRPr="009C6DC2">
            <w:rPr>
              <w:rFonts w:asciiTheme="majorBidi" w:hAnsiTheme="majorBidi" w:cstheme="majorBidi"/>
              <w:i/>
              <w:iCs/>
              <w:noProof/>
              <w:sz w:val="24"/>
              <w:szCs w:val="24"/>
              <w:lang w:val="en-US"/>
            </w:rPr>
            <w:t>Accounting, Auditing &amp; Accountability Journal, 32</w:t>
          </w:r>
          <w:r w:rsidRPr="009C6DC2">
            <w:rPr>
              <w:rFonts w:asciiTheme="majorBidi" w:hAnsiTheme="majorBidi" w:cstheme="majorBidi"/>
              <w:noProof/>
              <w:sz w:val="24"/>
              <w:szCs w:val="24"/>
              <w:lang w:val="en-US"/>
            </w:rPr>
            <w:t>(8). Retrieved 02 17, 2023, from https://www.emerald.com/insight/content/doi/10.1108/AAAJ-08-2018-3638/full/html?casa_token=qN6-LP0zwdcAAAAA:WY-POs3vMg3B7CXk5R41k6bJ8cAY8O9Powoyue0cdU_Z_3YdSU0V1dyE_Og4fvsDkICoKt-E6fPGJjnONVx0Wg_jWldleq0JcuR2s9wpakeGbW5SWMI</w:t>
          </w:r>
        </w:p>
        <w:p w14:paraId="45BD530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Deegan, C., &amp; Unerman, J. (2011). </w:t>
          </w:r>
          <w:r w:rsidRPr="009C6DC2">
            <w:rPr>
              <w:rFonts w:asciiTheme="majorBidi" w:hAnsiTheme="majorBidi" w:cstheme="majorBidi"/>
              <w:i/>
              <w:iCs/>
              <w:noProof/>
              <w:sz w:val="24"/>
              <w:szCs w:val="24"/>
              <w:lang w:val="en-US"/>
            </w:rPr>
            <w:t>Financial accounting theory: European edition</w:t>
          </w:r>
          <w:r w:rsidRPr="009C6DC2">
            <w:rPr>
              <w:rFonts w:asciiTheme="majorBidi" w:hAnsiTheme="majorBidi" w:cstheme="majorBidi"/>
              <w:noProof/>
              <w:sz w:val="24"/>
              <w:szCs w:val="24"/>
              <w:lang w:val="en-US"/>
            </w:rPr>
            <w:t xml:space="preserve"> (2nd ed.). McGraw Hill. Retrieved 02 17, 2023</w:t>
          </w:r>
        </w:p>
        <w:p w14:paraId="0B27CA3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Demiris, G., Oliver, D. P., &amp; Washington, K. T. (2019). Chapter 3 - Defining and Analyzing the Problem. In </w:t>
          </w:r>
          <w:r w:rsidRPr="009C6DC2">
            <w:rPr>
              <w:rFonts w:asciiTheme="majorBidi" w:hAnsiTheme="majorBidi" w:cstheme="majorBidi"/>
              <w:i/>
              <w:iCs/>
              <w:noProof/>
              <w:sz w:val="24"/>
              <w:szCs w:val="24"/>
              <w:lang w:val="en-US"/>
            </w:rPr>
            <w:t>Behavioral Intervention Research in Hospice and Palliative Care. Building an Evidence Base</w:t>
          </w:r>
          <w:r w:rsidRPr="009C6DC2">
            <w:rPr>
              <w:rFonts w:asciiTheme="majorBidi" w:hAnsiTheme="majorBidi" w:cstheme="majorBidi"/>
              <w:noProof/>
              <w:sz w:val="24"/>
              <w:szCs w:val="24"/>
              <w:lang w:val="en-US"/>
            </w:rPr>
            <w:t xml:space="preserve"> (pp. 27-39). doi:https://doi.org/10.1016/B978-0-12-814449-7.00003-X</w:t>
          </w:r>
        </w:p>
        <w:p w14:paraId="1084F460" w14:textId="47496CB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Deng, X., &amp; Xu, Y. (2017). Consumers’ Responses to Corporate Social Responsibility Initiatives: The Mediating Role of Consumer–Company Identification. </w:t>
          </w:r>
          <w:r w:rsidRPr="009C6DC2">
            <w:rPr>
              <w:rFonts w:asciiTheme="majorBidi" w:hAnsiTheme="majorBidi" w:cstheme="majorBidi"/>
              <w:i/>
              <w:iCs/>
              <w:noProof/>
              <w:sz w:val="24"/>
              <w:szCs w:val="24"/>
              <w:lang w:val="en-US"/>
            </w:rPr>
            <w:t>Journal of Business Ethics, 142</w:t>
          </w:r>
          <w:r w:rsidRPr="009C6DC2">
            <w:rPr>
              <w:rFonts w:asciiTheme="majorBidi" w:hAnsiTheme="majorBidi" w:cstheme="majorBidi"/>
              <w:noProof/>
              <w:sz w:val="24"/>
              <w:szCs w:val="24"/>
              <w:lang w:val="en-US"/>
            </w:rPr>
            <w:t>(3), 1-12. doi:10.1007/s10551-015-2742-x</w:t>
          </w:r>
        </w:p>
        <w:p w14:paraId="579FC54A" w14:textId="6A78E2E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Dennis, C., Papagiannidis, S., Alamanos, E., &amp; Bourlakis, M. (2016). The role of brand attachment strength in higher education. </w:t>
          </w:r>
          <w:r w:rsidRPr="009C6DC2">
            <w:rPr>
              <w:rFonts w:asciiTheme="majorBidi" w:hAnsiTheme="majorBidi" w:cstheme="majorBidi"/>
              <w:i/>
              <w:iCs/>
              <w:noProof/>
              <w:sz w:val="24"/>
              <w:szCs w:val="24"/>
              <w:lang w:val="en-US"/>
            </w:rPr>
            <w:t>Journal of Business Research, 69</w:t>
          </w:r>
          <w:r w:rsidRPr="009C6DC2">
            <w:rPr>
              <w:rFonts w:asciiTheme="majorBidi" w:hAnsiTheme="majorBidi" w:cstheme="majorBidi"/>
              <w:noProof/>
              <w:sz w:val="24"/>
              <w:szCs w:val="24"/>
              <w:lang w:val="en-US"/>
            </w:rPr>
            <w:t>(08), 3049-3057. Retrieved 08 27, 2022, from https://doi.org/10.1016/j.jbusres.2016.01.020</w:t>
          </w:r>
        </w:p>
        <w:p w14:paraId="27608D7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Dennis, E. E., Martin, J. D., Lance, E. A., &amp; Hassan, F. (2019). </w:t>
          </w:r>
          <w:r w:rsidRPr="009C6DC2">
            <w:rPr>
              <w:rFonts w:asciiTheme="majorBidi" w:hAnsiTheme="majorBidi" w:cstheme="majorBidi"/>
              <w:i/>
              <w:iCs/>
              <w:noProof/>
              <w:sz w:val="24"/>
              <w:szCs w:val="24"/>
              <w:lang w:val="en-US"/>
            </w:rPr>
            <w:t>Media Use in the Middle East.</w:t>
          </w:r>
          <w:r w:rsidRPr="009C6DC2">
            <w:rPr>
              <w:rFonts w:asciiTheme="majorBidi" w:hAnsiTheme="majorBidi" w:cstheme="majorBidi"/>
              <w:noProof/>
              <w:sz w:val="24"/>
              <w:szCs w:val="24"/>
              <w:lang w:val="en-US"/>
            </w:rPr>
            <w:t xml:space="preserve"> Northwestern University in Qatar. Retrieved from http://www.mideastmedia.org/survey/2019/uploads/file/NUQ_Media_Use_2019_WebVersion_FNL_051219%5B2%5D(1).pdf</w:t>
          </w:r>
        </w:p>
        <w:p w14:paraId="3E20B39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DePoy, E., &amp; Gitlin, L. N. (2016). Chapter 20 - Statistical Analysis for Experimental-Type Designs. In </w:t>
          </w:r>
          <w:r w:rsidRPr="009C6DC2">
            <w:rPr>
              <w:rFonts w:asciiTheme="majorBidi" w:hAnsiTheme="majorBidi" w:cstheme="majorBidi"/>
              <w:i/>
              <w:iCs/>
              <w:noProof/>
              <w:sz w:val="24"/>
              <w:szCs w:val="24"/>
              <w:lang w:val="en-US"/>
            </w:rPr>
            <w:t>Introduction to Research. Understanding and Applying Multiple Strategies</w:t>
          </w:r>
          <w:r w:rsidRPr="009C6DC2">
            <w:rPr>
              <w:rFonts w:asciiTheme="majorBidi" w:hAnsiTheme="majorBidi" w:cstheme="majorBidi"/>
              <w:noProof/>
              <w:sz w:val="24"/>
              <w:szCs w:val="24"/>
              <w:lang w:val="en-US"/>
            </w:rPr>
            <w:t xml:space="preserve"> (pp. 282-310). doi:https://doi.org/10.1016/B978-0-323-26171-5.00020-3</w:t>
          </w:r>
        </w:p>
        <w:p w14:paraId="0795ECF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Dewey, J. (1938). </w:t>
          </w:r>
          <w:r w:rsidRPr="009C6DC2">
            <w:rPr>
              <w:rFonts w:asciiTheme="majorBidi" w:hAnsiTheme="majorBidi" w:cstheme="majorBidi"/>
              <w:i/>
              <w:iCs/>
              <w:noProof/>
              <w:sz w:val="24"/>
              <w:szCs w:val="24"/>
              <w:lang w:val="en-US"/>
            </w:rPr>
            <w:t>Logic: THE THEORY OF INQUIRY.</w:t>
          </w:r>
          <w:r w:rsidRPr="009C6DC2">
            <w:rPr>
              <w:rFonts w:asciiTheme="majorBidi" w:hAnsiTheme="majorBidi" w:cstheme="majorBidi"/>
              <w:noProof/>
              <w:sz w:val="24"/>
              <w:szCs w:val="24"/>
              <w:lang w:val="en-US"/>
            </w:rPr>
            <w:t xml:space="preserve"> HENRY HOLT AND COMPANY, INC.</w:t>
          </w:r>
        </w:p>
        <w:p w14:paraId="1DB07C0D" w14:textId="7DBE888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Dewi, I. J., &amp; Ang, S. H. (2020). </w:t>
          </w:r>
          <w:r w:rsidRPr="009C6DC2">
            <w:rPr>
              <w:rFonts w:asciiTheme="majorBidi" w:hAnsiTheme="majorBidi" w:cstheme="majorBidi"/>
              <w:i/>
              <w:iCs/>
              <w:noProof/>
              <w:sz w:val="24"/>
              <w:szCs w:val="24"/>
              <w:lang w:val="en-US"/>
            </w:rPr>
            <w:t>Gadjah Mada International Journal of Business, 22</w:t>
          </w:r>
          <w:r w:rsidRPr="009C6DC2">
            <w:rPr>
              <w:rFonts w:asciiTheme="majorBidi" w:hAnsiTheme="majorBidi" w:cstheme="majorBidi"/>
              <w:noProof/>
              <w:sz w:val="24"/>
              <w:szCs w:val="24"/>
              <w:lang w:val="en-US"/>
            </w:rPr>
            <w:t>(02), 118-136. Retrieved 06 19, 2022, from http://journal.ugm.ac.id/gamaijb</w:t>
          </w:r>
        </w:p>
        <w:p w14:paraId="1693BAAB" w14:textId="1673BC9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Dhanesh, G. S., &amp; Nekmat, E. (2018). Facts Over Stories for Involved Publics: Framing Effects in CSR Messaging and the Roles of Issue Involvement, Message Elaboration, Affect, and Skepticism. </w:t>
          </w:r>
          <w:r w:rsidRPr="009C6DC2">
            <w:rPr>
              <w:rFonts w:asciiTheme="majorBidi" w:hAnsiTheme="majorBidi" w:cstheme="majorBidi"/>
              <w:i/>
              <w:iCs/>
              <w:noProof/>
              <w:sz w:val="24"/>
              <w:szCs w:val="24"/>
              <w:lang w:val="en-US"/>
            </w:rPr>
            <w:t>Management Communication Quarterly , 33</w:t>
          </w:r>
          <w:r w:rsidRPr="009C6DC2">
            <w:rPr>
              <w:rFonts w:asciiTheme="majorBidi" w:hAnsiTheme="majorBidi" w:cstheme="majorBidi"/>
              <w:noProof/>
              <w:sz w:val="24"/>
              <w:szCs w:val="24"/>
              <w:lang w:val="en-US"/>
            </w:rPr>
            <w:t>(01). doi:https://doi.org/10.1177/0893318918793941</w:t>
          </w:r>
        </w:p>
        <w:p w14:paraId="3C6CF196" w14:textId="5B660B3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Dharm , B. P. (2017). Individualism and Collectivism. </w:t>
          </w:r>
          <w:r w:rsidRPr="009C6DC2">
            <w:rPr>
              <w:rFonts w:asciiTheme="majorBidi" w:hAnsiTheme="majorBidi" w:cstheme="majorBidi"/>
              <w:i/>
              <w:iCs/>
              <w:noProof/>
              <w:sz w:val="24"/>
              <w:szCs w:val="24"/>
              <w:lang w:val="en-US"/>
            </w:rPr>
            <w:t>The International Encyclopedia of Intercultural Communication</w:t>
          </w:r>
          <w:r w:rsidRPr="009C6DC2">
            <w:rPr>
              <w:rFonts w:asciiTheme="majorBidi" w:hAnsiTheme="majorBidi" w:cstheme="majorBidi"/>
              <w:noProof/>
              <w:sz w:val="24"/>
              <w:szCs w:val="24"/>
              <w:lang w:val="en-US"/>
            </w:rPr>
            <w:t>. Retrieved 09 25, 2022, from https://doi.org/10.1002/9781118783665.ieicc0107</w:t>
          </w:r>
        </w:p>
        <w:p w14:paraId="3A7CDB90" w14:textId="548C16D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Dholakia, N., &amp; Reyes, I. (2018). Media, markets and violence. </w:t>
          </w:r>
          <w:r w:rsidRPr="009C6DC2">
            <w:rPr>
              <w:rFonts w:asciiTheme="majorBidi" w:hAnsiTheme="majorBidi" w:cstheme="majorBidi"/>
              <w:i/>
              <w:iCs/>
              <w:noProof/>
              <w:sz w:val="24"/>
              <w:szCs w:val="24"/>
              <w:lang w:val="en-US"/>
            </w:rPr>
            <w:t>Journal of Marketing Management, 38</w:t>
          </w:r>
          <w:r w:rsidRPr="009C6DC2">
            <w:rPr>
              <w:rFonts w:asciiTheme="majorBidi" w:hAnsiTheme="majorBidi" w:cstheme="majorBidi"/>
              <w:noProof/>
              <w:sz w:val="24"/>
              <w:szCs w:val="24"/>
              <w:lang w:val="en-US"/>
            </w:rPr>
            <w:t>(11-12), 1032-1047. doi:https://doi.org/10.1080/0267257X.2018.1468612</w:t>
          </w:r>
        </w:p>
        <w:p w14:paraId="62FFF582" w14:textId="3FD88A5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Diab, A., &amp; Metwally, A. B. (2020). Institutional complexity and CSR practices: evidence from a developing country. </w:t>
          </w:r>
          <w:r w:rsidRPr="009C6DC2">
            <w:rPr>
              <w:rFonts w:asciiTheme="majorBidi" w:hAnsiTheme="majorBidi" w:cstheme="majorBidi"/>
              <w:i/>
              <w:iCs/>
              <w:noProof/>
              <w:sz w:val="24"/>
              <w:szCs w:val="24"/>
              <w:lang w:val="en-US"/>
            </w:rPr>
            <w:t>Journal of Accounting in Emerging Economies, 10</w:t>
          </w:r>
          <w:r w:rsidRPr="009C6DC2">
            <w:rPr>
              <w:rFonts w:asciiTheme="majorBidi" w:hAnsiTheme="majorBidi" w:cstheme="majorBidi"/>
              <w:noProof/>
              <w:sz w:val="24"/>
              <w:szCs w:val="24"/>
              <w:lang w:val="en-US"/>
            </w:rPr>
            <w:t>(4), 655-680. doi:https://doi.org/10.1108/JAEE-11-2019-0214</w:t>
          </w:r>
        </w:p>
        <w:p w14:paraId="107A6009" w14:textId="48EA9A2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Diallo, M. F., Mouelhi, N. B., Gadekar, M., &amp; Schill , M. (2020). CSR actions, brand value, and Willingness to Pay a Premium Price for Luxury Brands: Does Long-Term Orientation Matter? </w:t>
          </w:r>
          <w:r w:rsidRPr="009C6DC2">
            <w:rPr>
              <w:rFonts w:asciiTheme="majorBidi" w:hAnsiTheme="majorBidi" w:cstheme="majorBidi"/>
              <w:i/>
              <w:iCs/>
              <w:noProof/>
              <w:sz w:val="24"/>
              <w:szCs w:val="24"/>
              <w:lang w:val="en-US"/>
            </w:rPr>
            <w:t>Journal of Business Ethics, 169</w:t>
          </w:r>
          <w:r w:rsidRPr="009C6DC2">
            <w:rPr>
              <w:rFonts w:asciiTheme="majorBidi" w:hAnsiTheme="majorBidi" w:cstheme="majorBidi"/>
              <w:noProof/>
              <w:sz w:val="24"/>
              <w:szCs w:val="24"/>
              <w:lang w:val="en-US"/>
            </w:rPr>
            <w:t>, 241-260. doi:https://doi.org/10.1007/s10551-020-04486-5</w:t>
          </w:r>
        </w:p>
        <w:p w14:paraId="41C2EAA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Dibley , L. (2011). Analyzing narrative data using McCormack’s lenses. </w:t>
          </w:r>
          <w:r w:rsidRPr="009C6DC2">
            <w:rPr>
              <w:rFonts w:asciiTheme="majorBidi" w:hAnsiTheme="majorBidi" w:cstheme="majorBidi"/>
              <w:i/>
              <w:iCs/>
              <w:noProof/>
              <w:sz w:val="24"/>
              <w:szCs w:val="24"/>
              <w:lang w:val="en-US"/>
            </w:rPr>
            <w:t>Nurse Researcher, 18</w:t>
          </w:r>
          <w:r w:rsidRPr="009C6DC2">
            <w:rPr>
              <w:rFonts w:asciiTheme="majorBidi" w:hAnsiTheme="majorBidi" w:cstheme="majorBidi"/>
              <w:noProof/>
              <w:sz w:val="24"/>
              <w:szCs w:val="24"/>
              <w:lang w:val="en-US"/>
            </w:rPr>
            <w:t>(3), 13-19.</w:t>
          </w:r>
        </w:p>
        <w:p w14:paraId="6DB0B0AD" w14:textId="57168B0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Diddi, S., &amp; Niehm, L. S. (2017). Exploring the role of values and norms towards consumers’ intentions to patronize retail apparel brands engaged in corporate social responsibility (CSR). </w:t>
          </w:r>
          <w:r w:rsidRPr="009C6DC2">
            <w:rPr>
              <w:rFonts w:asciiTheme="majorBidi" w:hAnsiTheme="majorBidi" w:cstheme="majorBidi"/>
              <w:i/>
              <w:iCs/>
              <w:noProof/>
              <w:sz w:val="24"/>
              <w:szCs w:val="24"/>
              <w:lang w:val="en-US"/>
            </w:rPr>
            <w:t>Fashion and Textiles, 5</w:t>
          </w:r>
          <w:r w:rsidRPr="009C6DC2">
            <w:rPr>
              <w:rFonts w:asciiTheme="majorBidi" w:hAnsiTheme="majorBidi" w:cstheme="majorBidi"/>
              <w:noProof/>
              <w:sz w:val="24"/>
              <w:szCs w:val="24"/>
              <w:lang w:val="en-US"/>
            </w:rPr>
            <w:t>. doi:https://doi.org/10.1186/s40691-017-0086-0</w:t>
          </w:r>
        </w:p>
        <w:p w14:paraId="2E76DCE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Diehl, S., Terlutter, R., &amp; Mueller, B. (2016). Doing good matters to consumers: the effectiveness of humane-oriented CSR appeals in cross-cultural standardized advertising campaigns. </w:t>
          </w:r>
          <w:r w:rsidRPr="009C6DC2">
            <w:rPr>
              <w:rFonts w:asciiTheme="majorBidi" w:hAnsiTheme="majorBidi" w:cstheme="majorBidi"/>
              <w:i/>
              <w:iCs/>
              <w:noProof/>
              <w:sz w:val="24"/>
              <w:szCs w:val="24"/>
              <w:lang w:val="en-US"/>
            </w:rPr>
            <w:t>International Journal of Advertising, 35</w:t>
          </w:r>
          <w:r w:rsidRPr="009C6DC2">
            <w:rPr>
              <w:rFonts w:asciiTheme="majorBidi" w:hAnsiTheme="majorBidi" w:cstheme="majorBidi"/>
              <w:noProof/>
              <w:sz w:val="24"/>
              <w:szCs w:val="24"/>
              <w:lang w:val="en-US"/>
            </w:rPr>
            <w:t>(4), 730-757. doi:https://doi.org/10.1080/02650487.2015.1077606</w:t>
          </w:r>
        </w:p>
        <w:p w14:paraId="21054DB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Dillion, K. (2009). Friends Watching Friends: American Television in Egypt. In 1st (Ed.). Cambridge Scholars Publishing. Retrieved 11 12, 2022, from https://www.amazon.co.uk/Friends-Watching-American-Television-Egypt/dp/1443814261</w:t>
          </w:r>
        </w:p>
        <w:p w14:paraId="6383C12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DiMaggio, P., &amp; Powell, W. (1983). The iron cage revisited: institutional isomorphism and collective rationality in organizational fields. </w:t>
          </w:r>
          <w:r w:rsidRPr="009C6DC2">
            <w:rPr>
              <w:rFonts w:asciiTheme="majorBidi" w:hAnsiTheme="majorBidi" w:cstheme="majorBidi"/>
              <w:i/>
              <w:iCs/>
              <w:noProof/>
              <w:sz w:val="24"/>
              <w:szCs w:val="24"/>
              <w:lang w:val="en-US"/>
            </w:rPr>
            <w:t>American Sociological Review, 48</w:t>
          </w:r>
          <w:r w:rsidRPr="009C6DC2">
            <w:rPr>
              <w:rFonts w:asciiTheme="majorBidi" w:hAnsiTheme="majorBidi" w:cstheme="majorBidi"/>
              <w:noProof/>
              <w:sz w:val="24"/>
              <w:szCs w:val="24"/>
              <w:lang w:val="en-US"/>
            </w:rPr>
            <w:t>(2), 147-160.</w:t>
          </w:r>
        </w:p>
        <w:p w14:paraId="50967E57" w14:textId="73F8B86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Dion , D. (202</w:t>
          </w:r>
          <w:r w:rsidR="00EC32C9">
            <w:rPr>
              <w:rFonts w:asciiTheme="majorBidi" w:hAnsiTheme="majorBidi" w:cstheme="majorBidi"/>
              <w:noProof/>
              <w:sz w:val="24"/>
              <w:szCs w:val="24"/>
              <w:lang w:val="en-US"/>
            </w:rPr>
            <w:t>1</w:t>
          </w:r>
          <w:r w:rsidRPr="009C6DC2">
            <w:rPr>
              <w:rFonts w:asciiTheme="majorBidi" w:hAnsiTheme="majorBidi" w:cstheme="majorBidi"/>
              <w:noProof/>
              <w:sz w:val="24"/>
              <w:szCs w:val="24"/>
              <w:lang w:val="en-US"/>
            </w:rPr>
            <w:t xml:space="preserve">). </w:t>
          </w:r>
          <w:r w:rsidRPr="009C6DC2">
            <w:rPr>
              <w:rFonts w:asciiTheme="majorBidi" w:hAnsiTheme="majorBidi" w:cstheme="majorBidi"/>
              <w:i/>
              <w:iCs/>
              <w:noProof/>
              <w:sz w:val="24"/>
              <w:szCs w:val="24"/>
              <w:lang w:val="en-US"/>
            </w:rPr>
            <w:t>HERITAGE BRANDS VS. BRANDS WITH HERITAGE</w:t>
          </w:r>
          <w:r w:rsidRPr="009C6DC2">
            <w:rPr>
              <w:rFonts w:asciiTheme="majorBidi" w:hAnsiTheme="majorBidi" w:cstheme="majorBidi"/>
              <w:noProof/>
              <w:sz w:val="24"/>
              <w:szCs w:val="24"/>
              <w:lang w:val="en-US"/>
            </w:rPr>
            <w:t>. Retrieved from Knowledge: https://knowledge.essec.edu/en/video/heritage-brands-vs-brands-heritage.html#:~:text=Being%20a%20heritage%20brand%20means,communicate%20and%20market%20their%20products.</w:t>
          </w:r>
        </w:p>
        <w:p w14:paraId="3879A2C7" w14:textId="44C5804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Dixon, S. J. (2023). </w:t>
          </w:r>
          <w:r w:rsidRPr="009C6DC2">
            <w:rPr>
              <w:rFonts w:asciiTheme="majorBidi" w:hAnsiTheme="majorBidi" w:cstheme="majorBidi"/>
              <w:i/>
              <w:iCs/>
              <w:noProof/>
              <w:sz w:val="24"/>
              <w:szCs w:val="24"/>
              <w:lang w:val="en-US"/>
            </w:rPr>
            <w:t>Countries with the most Facebook users 2023</w:t>
          </w:r>
          <w:r w:rsidRPr="009C6DC2">
            <w:rPr>
              <w:rFonts w:asciiTheme="majorBidi" w:hAnsiTheme="majorBidi" w:cstheme="majorBidi"/>
              <w:noProof/>
              <w:sz w:val="24"/>
              <w:szCs w:val="24"/>
              <w:lang w:val="en-US"/>
            </w:rPr>
            <w:t>. Retrieved from Statista: https://www.statista.com/statistics/268136/top-15-countries-based-on-number-of-facebook-users/</w:t>
          </w:r>
        </w:p>
        <w:p w14:paraId="2D66779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Dkhili, H., &amp; Ansi, H. (2012). The link between corporate social responsibility and financial performance: the case of the Tunisian companies. </w:t>
          </w:r>
          <w:r w:rsidRPr="009C6DC2">
            <w:rPr>
              <w:rFonts w:asciiTheme="majorBidi" w:hAnsiTheme="majorBidi" w:cstheme="majorBidi"/>
              <w:i/>
              <w:iCs/>
              <w:noProof/>
              <w:sz w:val="24"/>
              <w:szCs w:val="24"/>
              <w:lang w:val="en-US"/>
            </w:rPr>
            <w:t>Journal of Organizational Knowledge Management</w:t>
          </w:r>
          <w:r w:rsidRPr="009C6DC2">
            <w:rPr>
              <w:rFonts w:asciiTheme="majorBidi" w:hAnsiTheme="majorBidi" w:cstheme="majorBidi"/>
              <w:noProof/>
              <w:sz w:val="24"/>
              <w:szCs w:val="24"/>
              <w:lang w:val="en-US"/>
            </w:rPr>
            <w:t>. doi:10.5171/2012.640106</w:t>
          </w:r>
        </w:p>
        <w:p w14:paraId="4F06F11D" w14:textId="1571531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Dodd, M. (2018). lobalization, Pluralization, and Erosion: The Impact of Shifting Societal Expectations for Advocacy and Public Good. </w:t>
          </w:r>
          <w:r w:rsidRPr="009C6DC2">
            <w:rPr>
              <w:rFonts w:asciiTheme="majorBidi" w:hAnsiTheme="majorBidi" w:cstheme="majorBidi"/>
              <w:i/>
              <w:iCs/>
              <w:noProof/>
              <w:sz w:val="24"/>
              <w:szCs w:val="24"/>
              <w:lang w:val="en-US"/>
            </w:rPr>
            <w:t>Journal of Public Interest Communication, 2</w:t>
          </w:r>
          <w:r w:rsidRPr="009C6DC2">
            <w:rPr>
              <w:rFonts w:asciiTheme="majorBidi" w:hAnsiTheme="majorBidi" w:cstheme="majorBidi"/>
              <w:noProof/>
              <w:sz w:val="24"/>
              <w:szCs w:val="24"/>
              <w:lang w:val="en-US"/>
            </w:rPr>
            <w:t>(2). doi:https://doi.org/10.32473/jpic.v2.i2.p221</w:t>
          </w:r>
        </w:p>
        <w:p w14:paraId="585CB8C8" w14:textId="2A196FD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Donner, A. (2012). The Relative Effectiveness of Procedures Commonly Used in Multiple Regression Analysis for Dealing with Missing Values. </w:t>
          </w:r>
          <w:r w:rsidRPr="009C6DC2">
            <w:rPr>
              <w:rFonts w:asciiTheme="majorBidi" w:hAnsiTheme="majorBidi" w:cstheme="majorBidi"/>
              <w:i/>
              <w:iCs/>
              <w:noProof/>
              <w:sz w:val="24"/>
              <w:szCs w:val="24"/>
              <w:lang w:val="en-US"/>
            </w:rPr>
            <w:t>The Teacher's Corner, 36</w:t>
          </w:r>
          <w:r w:rsidRPr="009C6DC2">
            <w:rPr>
              <w:rFonts w:asciiTheme="majorBidi" w:hAnsiTheme="majorBidi" w:cstheme="majorBidi"/>
              <w:noProof/>
              <w:sz w:val="24"/>
              <w:szCs w:val="24"/>
              <w:lang w:val="en-US"/>
            </w:rPr>
            <w:t>(4), 378-381. doi:10.1080/00031305.1982.10483055</w:t>
          </w:r>
        </w:p>
        <w:p w14:paraId="7829A2ED" w14:textId="2D4C10A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Douglas, D. (2011). Inductive theory generation: A grounded approach to business inquiry. </w:t>
          </w:r>
          <w:r w:rsidRPr="009C6DC2">
            <w:rPr>
              <w:rFonts w:asciiTheme="majorBidi" w:hAnsiTheme="majorBidi" w:cstheme="majorBidi"/>
              <w:i/>
              <w:iCs/>
              <w:noProof/>
              <w:sz w:val="24"/>
              <w:szCs w:val="24"/>
              <w:lang w:val="en-US"/>
            </w:rPr>
            <w:t>Electronic Journal on Business Research Methods, 2</w:t>
          </w:r>
          <w:r w:rsidRPr="009C6DC2">
            <w:rPr>
              <w:rFonts w:asciiTheme="majorBidi" w:hAnsiTheme="majorBidi" w:cstheme="majorBidi"/>
              <w:noProof/>
              <w:sz w:val="24"/>
              <w:szCs w:val="24"/>
              <w:lang w:val="en-US"/>
            </w:rPr>
            <w:t>(1), 47-54. Retrieved 03 25, 2023, from https://www.researchgate.net/publication/228815666_Inductive_Theory_Generation_A_Grounded_Approach_to_Business_Inquiry</w:t>
          </w:r>
        </w:p>
        <w:p w14:paraId="705C48DE" w14:textId="55894C3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Doustmohammadian, A., &amp; Bazhan, M. (2021). Social marketing-based interventions to promote healthy nutrition behaviors: a systematic review protocol. </w:t>
          </w:r>
          <w:r w:rsidRPr="009C6DC2">
            <w:rPr>
              <w:rFonts w:asciiTheme="majorBidi" w:hAnsiTheme="majorBidi" w:cstheme="majorBidi"/>
              <w:i/>
              <w:iCs/>
              <w:noProof/>
              <w:sz w:val="24"/>
              <w:szCs w:val="24"/>
              <w:lang w:val="en-US"/>
            </w:rPr>
            <w:t>Systematic Reviews, 10</w:t>
          </w:r>
          <w:r w:rsidRPr="009C6DC2">
            <w:rPr>
              <w:rFonts w:asciiTheme="majorBidi" w:hAnsiTheme="majorBidi" w:cstheme="majorBidi"/>
              <w:noProof/>
              <w:sz w:val="24"/>
              <w:szCs w:val="24"/>
              <w:lang w:val="en-US"/>
            </w:rPr>
            <w:t>. doi:https://doi.org/10.1186/s13643-021-01625-5</w:t>
          </w:r>
        </w:p>
        <w:p w14:paraId="1F6466B5" w14:textId="0C4FADB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Drossos, D. A., Kokkinaki, F., Giaglis , G. M., &amp; Fouskas, K. G. (2014). The effects of product involvement and impulse buying on purchase intentions in mobile text advertising. </w:t>
          </w:r>
          <w:r w:rsidRPr="009C6DC2">
            <w:rPr>
              <w:rFonts w:asciiTheme="majorBidi" w:hAnsiTheme="majorBidi" w:cstheme="majorBidi"/>
              <w:i/>
              <w:iCs/>
              <w:noProof/>
              <w:sz w:val="24"/>
              <w:szCs w:val="24"/>
              <w:lang w:val="en-US"/>
            </w:rPr>
            <w:t>Electronic Commerce Research and Applications, 13</w:t>
          </w:r>
          <w:r w:rsidRPr="009C6DC2">
            <w:rPr>
              <w:rFonts w:asciiTheme="majorBidi" w:hAnsiTheme="majorBidi" w:cstheme="majorBidi"/>
              <w:noProof/>
              <w:sz w:val="24"/>
              <w:szCs w:val="24"/>
              <w:lang w:val="en-US"/>
            </w:rPr>
            <w:t>(6), 423-430. doi:https://doi.org/10.1016/j.elerap.2014.08.003</w:t>
          </w:r>
        </w:p>
        <w:p w14:paraId="69C5038B" w14:textId="104EB65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Drost, E. (2011). Validity and Reliability in Social Science Research. </w:t>
          </w:r>
          <w:r w:rsidRPr="009C6DC2">
            <w:rPr>
              <w:rFonts w:asciiTheme="majorBidi" w:hAnsiTheme="majorBidi" w:cstheme="majorBidi"/>
              <w:i/>
              <w:iCs/>
              <w:noProof/>
              <w:sz w:val="24"/>
              <w:szCs w:val="24"/>
              <w:lang w:val="en-US"/>
            </w:rPr>
            <w:t>International Perspectives on Higher Education Research, 38</w:t>
          </w:r>
          <w:r w:rsidRPr="009C6DC2">
            <w:rPr>
              <w:rFonts w:asciiTheme="majorBidi" w:hAnsiTheme="majorBidi" w:cstheme="majorBidi"/>
              <w:noProof/>
              <w:sz w:val="24"/>
              <w:szCs w:val="24"/>
              <w:lang w:val="en-US"/>
            </w:rPr>
            <w:t>(1), 105-124. Retrieved 10 28, 2022, from https://www.researchgate.net/publication/261473819_Validity_and_Reliability_in_Social_Science_Research</w:t>
          </w:r>
        </w:p>
        <w:p w14:paraId="4625EAE0" w14:textId="42FF049F"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Du, S., Bhattacharya, C., &amp; Sen, S. (2010). </w:t>
          </w:r>
          <w:r w:rsidRPr="009C6DC2">
            <w:rPr>
              <w:rFonts w:asciiTheme="majorBidi" w:hAnsiTheme="majorBidi" w:cstheme="majorBidi"/>
              <w:noProof/>
              <w:sz w:val="24"/>
              <w:szCs w:val="24"/>
              <w:lang w:val="en-US"/>
            </w:rPr>
            <w:t xml:space="preserve">Maximizing Business Returns to Corporate Social Responsibility (CSR): The Role of CSR Communication. </w:t>
          </w:r>
          <w:r w:rsidRPr="009C6DC2">
            <w:rPr>
              <w:rFonts w:asciiTheme="majorBidi" w:hAnsiTheme="majorBidi" w:cstheme="majorBidi"/>
              <w:i/>
              <w:iCs/>
              <w:noProof/>
              <w:sz w:val="24"/>
              <w:szCs w:val="24"/>
              <w:lang w:val="en-US"/>
            </w:rPr>
            <w:t>International Journal of Management Reviews, 12</w:t>
          </w:r>
          <w:r w:rsidRPr="009C6DC2">
            <w:rPr>
              <w:rFonts w:asciiTheme="majorBidi" w:hAnsiTheme="majorBidi" w:cstheme="majorBidi"/>
              <w:noProof/>
              <w:sz w:val="24"/>
              <w:szCs w:val="24"/>
              <w:lang w:val="en-US"/>
            </w:rPr>
            <w:t>(1), 8-19. Retrieved 11 17, 2021, from https://doi.org/10.1111/j.1468-2370.2009.00276.x</w:t>
          </w:r>
        </w:p>
        <w:p w14:paraId="37B0651F" w14:textId="35D6C97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Du, Y., Du, J., Liu, X., &amp; Yuan, Z. (2021). </w:t>
          </w:r>
          <w:r w:rsidRPr="009C6DC2">
            <w:rPr>
              <w:rFonts w:asciiTheme="majorBidi" w:hAnsiTheme="majorBidi" w:cstheme="majorBidi"/>
              <w:noProof/>
              <w:sz w:val="24"/>
              <w:szCs w:val="24"/>
              <w:lang w:val="en-US"/>
            </w:rPr>
            <w:t xml:space="preserve">Multiple-to-multiple path analysis model. (M. Hadizadeh, Ed.) </w:t>
          </w:r>
          <w:r w:rsidRPr="009C6DC2">
            <w:rPr>
              <w:rFonts w:asciiTheme="majorBidi" w:hAnsiTheme="majorBidi" w:cstheme="majorBidi"/>
              <w:i/>
              <w:iCs/>
              <w:noProof/>
              <w:sz w:val="24"/>
              <w:szCs w:val="24"/>
              <w:lang w:val="en-US"/>
            </w:rPr>
            <w:t>PLoS One, 16</w:t>
          </w:r>
          <w:r w:rsidRPr="009C6DC2">
            <w:rPr>
              <w:rFonts w:asciiTheme="majorBidi" w:hAnsiTheme="majorBidi" w:cstheme="majorBidi"/>
              <w:noProof/>
              <w:sz w:val="24"/>
              <w:szCs w:val="24"/>
              <w:lang w:val="en-US"/>
            </w:rPr>
            <w:t>(3). doi:https://doi.org/10.1371/journal.pone.0247722</w:t>
          </w:r>
        </w:p>
        <w:p w14:paraId="052436A0" w14:textId="261D349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Duthler, G., &amp; Dhanesh, G. S. (2018). The role of corporate social responsibility (CSR) and internal CSR communication in predicting employee engagement: Perspectives from the United Arab Emirates (UAE). </w:t>
          </w:r>
          <w:r w:rsidRPr="009C6DC2">
            <w:rPr>
              <w:rFonts w:asciiTheme="majorBidi" w:hAnsiTheme="majorBidi" w:cstheme="majorBidi"/>
              <w:i/>
              <w:iCs/>
              <w:noProof/>
              <w:sz w:val="24"/>
              <w:szCs w:val="24"/>
              <w:lang w:val="en-US"/>
            </w:rPr>
            <w:t>Public Relations Review, 44</w:t>
          </w:r>
          <w:r w:rsidRPr="009C6DC2">
            <w:rPr>
              <w:rFonts w:asciiTheme="majorBidi" w:hAnsiTheme="majorBidi" w:cstheme="majorBidi"/>
              <w:noProof/>
              <w:sz w:val="24"/>
              <w:szCs w:val="24"/>
              <w:lang w:val="en-US"/>
            </w:rPr>
            <w:t>(4), 453-462. doi:10.1016/j.pubrev.2018.04.001</w:t>
          </w:r>
        </w:p>
        <w:p w14:paraId="59503BDD" w14:textId="17E66D9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Dutta, K., &amp; Singh, S. (2013). CUSTOMER PERCEPTION OF CSR AND ITS IMPACT ON RETAILER EVALUATION AND PURCHASE INTENTION IN INDIA. </w:t>
          </w:r>
          <w:r w:rsidRPr="009C6DC2">
            <w:rPr>
              <w:rFonts w:asciiTheme="majorBidi" w:hAnsiTheme="majorBidi" w:cstheme="majorBidi"/>
              <w:i/>
              <w:iCs/>
              <w:noProof/>
              <w:sz w:val="24"/>
              <w:szCs w:val="24"/>
              <w:lang w:val="en-US"/>
            </w:rPr>
            <w:t>Journal of Services Research, 13</w:t>
          </w:r>
          <w:r w:rsidRPr="009C6DC2">
            <w:rPr>
              <w:rFonts w:asciiTheme="majorBidi" w:hAnsiTheme="majorBidi" w:cstheme="majorBidi"/>
              <w:noProof/>
              <w:sz w:val="24"/>
              <w:szCs w:val="24"/>
              <w:lang w:val="en-US"/>
            </w:rPr>
            <w:t>(1), 111-134. Retrieved 03 07, 2023, from https://www.proquest.com/openview/875f65ffd0fafbb73b16a59a91424c43/1?cbl=28391&amp;pq-origsite=gscholar</w:t>
          </w:r>
        </w:p>
        <w:p w14:paraId="76157FC6" w14:textId="3690257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Dwivedi, A., Johnson, L. W., &amp; Wilkie, D. C. (2018). Consumer emotional brand attachment with social media brands and social media. </w:t>
          </w:r>
          <w:r w:rsidRPr="009C6DC2">
            <w:rPr>
              <w:rFonts w:asciiTheme="majorBidi" w:hAnsiTheme="majorBidi" w:cstheme="majorBidi"/>
              <w:i/>
              <w:iCs/>
              <w:noProof/>
              <w:sz w:val="24"/>
              <w:szCs w:val="24"/>
              <w:lang w:val="en-US"/>
            </w:rPr>
            <w:t>European Journal of Marketing, 53</w:t>
          </w:r>
          <w:r w:rsidRPr="009C6DC2">
            <w:rPr>
              <w:rFonts w:asciiTheme="majorBidi" w:hAnsiTheme="majorBidi" w:cstheme="majorBidi"/>
              <w:noProof/>
              <w:sz w:val="24"/>
              <w:szCs w:val="24"/>
              <w:lang w:val="en-US"/>
            </w:rPr>
            <w:t>(6), 1176-1204. doi:https://doi.org/10.1108/EJM-09-2016-0511</w:t>
          </w:r>
        </w:p>
        <w:p w14:paraId="31D3BDC0" w14:textId="3C20ADE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Dwivedi, A., Johnson, L. W., Wilkie, D. C., &amp; De Araujo-Gil, L. (2019</w:t>
          </w:r>
          <w:r w:rsidR="008D1D81">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Consumer emotional brand attachment with social media brands and social media brand equity. </w:t>
          </w:r>
          <w:r w:rsidRPr="009C6DC2">
            <w:rPr>
              <w:rFonts w:asciiTheme="majorBidi" w:hAnsiTheme="majorBidi" w:cstheme="majorBidi"/>
              <w:i/>
              <w:iCs/>
              <w:noProof/>
              <w:sz w:val="24"/>
              <w:szCs w:val="24"/>
              <w:lang w:val="en-US"/>
            </w:rPr>
            <w:t>European Journal of Marketing, 53</w:t>
          </w:r>
          <w:r w:rsidRPr="009C6DC2">
            <w:rPr>
              <w:rFonts w:asciiTheme="majorBidi" w:hAnsiTheme="majorBidi" w:cstheme="majorBidi"/>
              <w:noProof/>
              <w:sz w:val="24"/>
              <w:szCs w:val="24"/>
              <w:lang w:val="en-US"/>
            </w:rPr>
            <w:t>(06). Retrieved 08 28, 2022, from https://doi.org/10.1108/EJM-09-2016-0511</w:t>
          </w:r>
        </w:p>
        <w:p w14:paraId="23233B1B" w14:textId="64F77D0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Dwivedi, Y. K., Rana, N. P., Slade, E. L., Singh, N., &amp; Kizgin, H. (2020). </w:t>
          </w:r>
          <w:r w:rsidRPr="009C6DC2">
            <w:rPr>
              <w:rFonts w:asciiTheme="majorBidi" w:hAnsiTheme="majorBidi" w:cstheme="majorBidi"/>
              <w:noProof/>
              <w:sz w:val="24"/>
              <w:szCs w:val="24"/>
              <w:lang w:val="en-US"/>
            </w:rPr>
            <w:t xml:space="preserve">Editorial introduction: advances in theory and practice of digital marketing. </w:t>
          </w:r>
          <w:r w:rsidRPr="009C6DC2">
            <w:rPr>
              <w:rFonts w:asciiTheme="majorBidi" w:hAnsiTheme="majorBidi" w:cstheme="majorBidi"/>
              <w:i/>
              <w:iCs/>
              <w:noProof/>
              <w:sz w:val="24"/>
              <w:szCs w:val="24"/>
              <w:lang w:val="en-US"/>
            </w:rPr>
            <w:t>Journal of Retailing and Consumer Services, 53</w:t>
          </w:r>
          <w:r w:rsidRPr="009C6DC2">
            <w:rPr>
              <w:rFonts w:asciiTheme="majorBidi" w:hAnsiTheme="majorBidi" w:cstheme="majorBidi"/>
              <w:noProof/>
              <w:sz w:val="24"/>
              <w:szCs w:val="24"/>
              <w:lang w:val="en-US"/>
            </w:rPr>
            <w:t>. doi:https://doi.org/10.1016/j.jretconser.2019.101909</w:t>
          </w:r>
        </w:p>
        <w:p w14:paraId="199F31CF" w14:textId="5A38A67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Dymek, M. (2017). Expanding the magic circle – gamification as a marketplace icon. </w:t>
          </w:r>
          <w:r w:rsidRPr="009C6DC2">
            <w:rPr>
              <w:rFonts w:asciiTheme="majorBidi" w:hAnsiTheme="majorBidi" w:cstheme="majorBidi"/>
              <w:i/>
              <w:iCs/>
              <w:noProof/>
              <w:sz w:val="24"/>
              <w:szCs w:val="24"/>
              <w:lang w:val="en-US"/>
            </w:rPr>
            <w:t>Consumptions Markets and Culture, 21</w:t>
          </w:r>
          <w:r w:rsidRPr="009C6DC2">
            <w:rPr>
              <w:rFonts w:asciiTheme="majorBidi" w:hAnsiTheme="majorBidi" w:cstheme="majorBidi"/>
              <w:noProof/>
              <w:sz w:val="24"/>
              <w:szCs w:val="24"/>
              <w:lang w:val="en-US"/>
            </w:rPr>
            <w:t>(04), 1-13. doi:10.1080/10253866.2017.1361153</w:t>
          </w:r>
        </w:p>
        <w:p w14:paraId="0B46921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Dzupina, M., Koprda, T., &amp; Veselei, A. (2019). The Influence of Corporate Social Responsibility (Csr) on Brand Equity, Varazdin: Varazdin Development and Entrepreneurship Agency. </w:t>
          </w:r>
          <w:r w:rsidRPr="009C6DC2">
            <w:rPr>
              <w:rFonts w:asciiTheme="majorBidi" w:hAnsiTheme="majorBidi" w:cstheme="majorBidi"/>
              <w:i/>
              <w:iCs/>
              <w:noProof/>
              <w:sz w:val="24"/>
              <w:szCs w:val="24"/>
              <w:lang w:val="en-US"/>
            </w:rPr>
            <w:t>49th International Scientific Conference on Economic and Social Development –""Building Resilient Society".</w:t>
          </w:r>
          <w:r w:rsidRPr="009C6DC2">
            <w:rPr>
              <w:rFonts w:asciiTheme="majorBidi" w:hAnsiTheme="majorBidi" w:cstheme="majorBidi"/>
              <w:noProof/>
              <w:sz w:val="24"/>
              <w:szCs w:val="24"/>
              <w:lang w:val="en-US"/>
            </w:rPr>
            <w:t xml:space="preserve"> </w:t>
          </w:r>
        </w:p>
        <w:p w14:paraId="2D603A0E" w14:textId="4426C4B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Dzyuban, Y., Ching, G. N., Yik, S. K., Tan, A. J., Banerjee, S., Crank, P. J., &amp; Chow, W. T. (2022). Outdoor thermal comfort research in transient conditions: A narrative literature review. </w:t>
          </w:r>
          <w:r w:rsidRPr="009C6DC2">
            <w:rPr>
              <w:rFonts w:asciiTheme="majorBidi" w:hAnsiTheme="majorBidi" w:cstheme="majorBidi"/>
              <w:i/>
              <w:iCs/>
              <w:noProof/>
              <w:sz w:val="24"/>
              <w:szCs w:val="24"/>
              <w:lang w:val="en-US"/>
            </w:rPr>
            <w:t>Landscape and Urban Planning, 226</w:t>
          </w:r>
          <w:r w:rsidRPr="009C6DC2">
            <w:rPr>
              <w:rFonts w:asciiTheme="majorBidi" w:hAnsiTheme="majorBidi" w:cstheme="majorBidi"/>
              <w:noProof/>
              <w:sz w:val="24"/>
              <w:szCs w:val="24"/>
              <w:lang w:val="en-US"/>
            </w:rPr>
            <w:t>. doi:https://doi.org/10.1016/j.landurbplan.2022.104496</w:t>
          </w:r>
        </w:p>
        <w:p w14:paraId="5F9FE48E" w14:textId="77777777" w:rsidR="006E2490"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Eagely, A. H., &amp; Chaiken, S. (1993). The psychology of attitudes. </w:t>
          </w:r>
          <w:r w:rsidRPr="009C6DC2">
            <w:rPr>
              <w:rFonts w:asciiTheme="majorBidi" w:hAnsiTheme="majorBidi" w:cstheme="majorBidi"/>
              <w:i/>
              <w:iCs/>
              <w:noProof/>
              <w:sz w:val="24"/>
              <w:szCs w:val="24"/>
              <w:lang w:val="en-US"/>
            </w:rPr>
            <w:t>Fort Worth, TX.</w:t>
          </w:r>
          <w:r w:rsidRPr="009C6DC2">
            <w:rPr>
              <w:rFonts w:asciiTheme="majorBidi" w:hAnsiTheme="majorBidi" w:cstheme="majorBidi"/>
              <w:noProof/>
              <w:sz w:val="24"/>
              <w:szCs w:val="24"/>
              <w:lang w:val="en-US"/>
            </w:rPr>
            <w:t xml:space="preserve"> </w:t>
          </w:r>
        </w:p>
        <w:p w14:paraId="141001A4" w14:textId="77777777" w:rsidR="006E2490" w:rsidRPr="009C6DC2" w:rsidRDefault="006E2490" w:rsidP="006E2490">
          <w:pPr>
            <w:ind w:left="720" w:hanging="720"/>
            <w:rPr>
              <w:rFonts w:asciiTheme="majorBidi" w:hAnsiTheme="majorBidi" w:cstheme="majorBidi"/>
              <w:noProof/>
              <w:sz w:val="24"/>
              <w:szCs w:val="24"/>
              <w:lang w:val="en-US"/>
            </w:rPr>
          </w:pPr>
          <w:r w:rsidRPr="002E34E5">
            <w:rPr>
              <w:rFonts w:asciiTheme="majorBidi" w:hAnsiTheme="majorBidi" w:cstheme="majorBidi"/>
              <w:noProof/>
              <w:sz w:val="24"/>
              <w:szCs w:val="24"/>
              <w:lang w:val="en-US"/>
            </w:rPr>
            <w:t>Earp, B. D., &amp; Trafimow, D. (2015). Replication, falsification, and the crisis of confidence in social psychology. Frontiers in psychology, 6, 621.</w:t>
          </w:r>
        </w:p>
        <w:p w14:paraId="451BB330" w14:textId="0B26A3F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Edeling, A., &amp; Fischer, M. (2016). Marketing's Impact on Firm Value: Generalizations from a Meta-Analysis. </w:t>
          </w:r>
          <w:r w:rsidRPr="009C6DC2">
            <w:rPr>
              <w:rFonts w:asciiTheme="majorBidi" w:hAnsiTheme="majorBidi" w:cstheme="majorBidi"/>
              <w:i/>
              <w:iCs/>
              <w:noProof/>
              <w:sz w:val="24"/>
              <w:szCs w:val="24"/>
              <w:lang w:val="en-US"/>
            </w:rPr>
            <w:t>Journal of Marketing Research, 53</w:t>
          </w:r>
          <w:r w:rsidRPr="009C6DC2">
            <w:rPr>
              <w:rFonts w:asciiTheme="majorBidi" w:hAnsiTheme="majorBidi" w:cstheme="majorBidi"/>
              <w:noProof/>
              <w:sz w:val="24"/>
              <w:szCs w:val="24"/>
              <w:lang w:val="en-US"/>
            </w:rPr>
            <w:t>(4). doi:10.1509/jmr.14.0046</w:t>
          </w:r>
        </w:p>
        <w:p w14:paraId="52B624A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Ekman, P. (1971). Universals and cultural differences in facial expressions of emotion. </w:t>
          </w:r>
          <w:r w:rsidRPr="009C6DC2">
            <w:rPr>
              <w:rFonts w:asciiTheme="majorBidi" w:hAnsiTheme="majorBidi" w:cstheme="majorBidi"/>
              <w:i/>
              <w:iCs/>
              <w:noProof/>
              <w:sz w:val="24"/>
              <w:szCs w:val="24"/>
              <w:lang w:val="en-US"/>
            </w:rPr>
            <w:t>Nebraska Symposium on Motivation, 19</w:t>
          </w:r>
          <w:r w:rsidRPr="009C6DC2">
            <w:rPr>
              <w:rFonts w:asciiTheme="majorBidi" w:hAnsiTheme="majorBidi" w:cstheme="majorBidi"/>
              <w:noProof/>
              <w:sz w:val="24"/>
              <w:szCs w:val="24"/>
              <w:lang w:val="en-US"/>
            </w:rPr>
            <w:t>, 207-283. Retrieved 08 27, 2022, from https://1ammce38pkj41n8xkp1iocwe-wpengine.netdna-ssl.com/wp-content/uploads/2013/07/Universals-And-Cultural-Differences-In-Facial-Expressions-Of.pdf</w:t>
          </w:r>
        </w:p>
        <w:p w14:paraId="30A83FC8" w14:textId="21C6F34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 Achhab, Y., El Ammari, A., El Kazdouh, H., Najdi, A., Berraho, M., Tachfouti, N., . . . Nejjari , C. (2016). Health risk behaviours amongst school adolescents: protocol for a mixed methods study. </w:t>
          </w:r>
          <w:r w:rsidRPr="009C6DC2">
            <w:rPr>
              <w:rFonts w:asciiTheme="majorBidi" w:hAnsiTheme="majorBidi" w:cstheme="majorBidi"/>
              <w:i/>
              <w:iCs/>
              <w:noProof/>
              <w:sz w:val="24"/>
              <w:szCs w:val="24"/>
              <w:lang w:val="en-US"/>
            </w:rPr>
            <w:t>BMC Public Health, 16</w:t>
          </w:r>
          <w:r w:rsidRPr="009C6DC2">
            <w:rPr>
              <w:rFonts w:asciiTheme="majorBidi" w:hAnsiTheme="majorBidi" w:cstheme="majorBidi"/>
              <w:noProof/>
              <w:sz w:val="24"/>
              <w:szCs w:val="24"/>
              <w:lang w:val="en-US"/>
            </w:rPr>
            <w:t>. doi:10.1186/s12889-016-3873-4</w:t>
          </w:r>
        </w:p>
        <w:p w14:paraId="41A3A8D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 Ganari, I. (2022). </w:t>
          </w:r>
          <w:r w:rsidRPr="009C6DC2">
            <w:rPr>
              <w:rFonts w:asciiTheme="majorBidi" w:hAnsiTheme="majorBidi" w:cstheme="majorBidi"/>
              <w:i/>
              <w:iCs/>
              <w:noProof/>
              <w:sz w:val="24"/>
              <w:szCs w:val="24"/>
              <w:lang w:val="en-US"/>
            </w:rPr>
            <w:t>Brands battle hard to be chosen in Africa &amp; Middle East.</w:t>
          </w:r>
          <w:r w:rsidRPr="009C6DC2">
            <w:rPr>
              <w:rFonts w:asciiTheme="majorBidi" w:hAnsiTheme="majorBidi" w:cstheme="majorBidi"/>
              <w:noProof/>
              <w:sz w:val="24"/>
              <w:szCs w:val="24"/>
              <w:lang w:val="en-US"/>
            </w:rPr>
            <w:t xml:space="preserve"> Kantar. Retrieved 05 29, 2023, from https://www.kantar.com/inspiration/fmcg/brands-battle-hard-to-be-chosen-in-africa--middle-east</w:t>
          </w:r>
        </w:p>
        <w:p w14:paraId="3E90D0AA" w14:textId="5399C07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 Haddad, P., Bachkirov, A. A., &amp; Grishina, O. (2021). Comparative CSR decision-making in the Middle East: an exploratory study. </w:t>
          </w:r>
          <w:r w:rsidRPr="009C6DC2">
            <w:rPr>
              <w:rFonts w:asciiTheme="majorBidi" w:hAnsiTheme="majorBidi" w:cstheme="majorBidi"/>
              <w:i/>
              <w:iCs/>
              <w:noProof/>
              <w:sz w:val="24"/>
              <w:szCs w:val="24"/>
              <w:lang w:val="en-US"/>
            </w:rPr>
            <w:t>International Journal of Islamic and Middle Eastern Finance and Management, 14</w:t>
          </w:r>
          <w:r w:rsidRPr="009C6DC2">
            <w:rPr>
              <w:rFonts w:asciiTheme="majorBidi" w:hAnsiTheme="majorBidi" w:cstheme="majorBidi"/>
              <w:noProof/>
              <w:sz w:val="24"/>
              <w:szCs w:val="24"/>
              <w:lang w:val="en-US"/>
            </w:rPr>
            <w:t>(4), 792-811. Retrieved 12 04, 2022, from https://doi.org/10.1108/IMEFM-01-2020-0017</w:t>
          </w:r>
        </w:p>
        <w:p w14:paraId="54A1E911" w14:textId="0A5F8AB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 Hajjar, S. T. (2018). STATISTICAL ANALYSIS: INTERNAL-CONSISTENCY RELIABILITY AND CONSTRUCT VALIDITY. </w:t>
          </w:r>
          <w:r w:rsidRPr="009C6DC2">
            <w:rPr>
              <w:rFonts w:asciiTheme="majorBidi" w:hAnsiTheme="majorBidi" w:cstheme="majorBidi"/>
              <w:i/>
              <w:iCs/>
              <w:noProof/>
              <w:sz w:val="24"/>
              <w:szCs w:val="24"/>
              <w:lang w:val="en-US"/>
            </w:rPr>
            <w:t>International Journal of Quantitative and Qualitative Research Methods, 6</w:t>
          </w:r>
          <w:r w:rsidRPr="009C6DC2">
            <w:rPr>
              <w:rFonts w:asciiTheme="majorBidi" w:hAnsiTheme="majorBidi" w:cstheme="majorBidi"/>
              <w:noProof/>
              <w:sz w:val="24"/>
              <w:szCs w:val="24"/>
              <w:lang w:val="en-US"/>
            </w:rPr>
            <w:t>(1), 46-57. Retrieved 11 08, 2022, from https://www.eajournals.org/wp-content/uploads/Statistical-Analysis-Internal-Consistency-Reliability-and-Construct-Validity.pdf</w:t>
          </w:r>
        </w:p>
        <w:p w14:paraId="62770CD0" w14:textId="347B23D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El Santil, Y. (2021</w:t>
          </w:r>
          <w:r w:rsidR="008D1D81">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Antecedents of Green Purchasing Behavior in the Arabic Gulf. </w:t>
          </w:r>
          <w:r w:rsidRPr="009C6DC2">
            <w:rPr>
              <w:rFonts w:asciiTheme="majorBidi" w:hAnsiTheme="majorBidi" w:cstheme="majorBidi"/>
              <w:i/>
              <w:iCs/>
              <w:noProof/>
              <w:sz w:val="24"/>
              <w:szCs w:val="24"/>
              <w:lang w:val="en-US"/>
            </w:rPr>
            <w:t>Social Marketing Quarterly, 27</w:t>
          </w:r>
          <w:r w:rsidRPr="009C6DC2">
            <w:rPr>
              <w:rFonts w:asciiTheme="majorBidi" w:hAnsiTheme="majorBidi" w:cstheme="majorBidi"/>
              <w:noProof/>
              <w:sz w:val="24"/>
              <w:szCs w:val="24"/>
              <w:lang w:val="en-US"/>
            </w:rPr>
            <w:t>(2), 133-149. doi:10.1177/15245004211013467</w:t>
          </w:r>
        </w:p>
        <w:p w14:paraId="0C336706" w14:textId="20596B0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 Tawil, N. (2019). </w:t>
          </w:r>
          <w:r w:rsidRPr="009C6DC2">
            <w:rPr>
              <w:rFonts w:asciiTheme="majorBidi" w:hAnsiTheme="majorBidi" w:cstheme="majorBidi"/>
              <w:i/>
              <w:iCs/>
              <w:noProof/>
              <w:sz w:val="24"/>
              <w:szCs w:val="24"/>
              <w:lang w:val="en-US"/>
            </w:rPr>
            <w:t>Trapped in Poverty</w:t>
          </w:r>
          <w:r w:rsidRPr="009C6DC2">
            <w:rPr>
              <w:rFonts w:asciiTheme="majorBidi" w:hAnsiTheme="majorBidi" w:cstheme="majorBidi"/>
              <w:noProof/>
              <w:sz w:val="24"/>
              <w:szCs w:val="24"/>
              <w:lang w:val="en-US"/>
            </w:rPr>
            <w:t>. Retrieved 02 12, 2023, from Egypt Today: https://www.egypttoday.com/Article/3/71630/Trapped-in-Poverty</w:t>
          </w:r>
        </w:p>
        <w:p w14:paraId="2B04146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El-Bassiouny, D., &amp; El-Bassiouny, N. (2018). Diversity, corporate governance and CSR reporting : A comparative analysis between top-listed firms in Egypt, Germany and the USA. </w:t>
          </w:r>
          <w:r w:rsidRPr="009C6DC2">
            <w:rPr>
              <w:rFonts w:asciiTheme="majorBidi" w:hAnsiTheme="majorBidi" w:cstheme="majorBidi"/>
              <w:i/>
              <w:iCs/>
              <w:noProof/>
              <w:sz w:val="24"/>
              <w:szCs w:val="24"/>
              <w:lang w:val="en-US"/>
            </w:rPr>
            <w:t>Management of Environmental Quality: An International Journal, 30</w:t>
          </w:r>
          <w:r w:rsidRPr="009C6DC2">
            <w:rPr>
              <w:rFonts w:asciiTheme="majorBidi" w:hAnsiTheme="majorBidi" w:cstheme="majorBidi"/>
              <w:noProof/>
              <w:sz w:val="24"/>
              <w:szCs w:val="24"/>
              <w:lang w:val="en-US"/>
            </w:rPr>
            <w:t>(1), 116-136. doi:10.1108/MEQ-12-2017-0150</w:t>
          </w:r>
        </w:p>
        <w:p w14:paraId="568F178B" w14:textId="3F8E409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El-Bassiouny, D., &amp; Letmathe , P. (2019). Political instability and corporate social responsibility: the case of Egypt. </w:t>
          </w:r>
          <w:r w:rsidRPr="009C6DC2">
            <w:rPr>
              <w:rFonts w:asciiTheme="majorBidi" w:hAnsiTheme="majorBidi" w:cstheme="majorBidi"/>
              <w:i/>
              <w:iCs/>
              <w:noProof/>
              <w:sz w:val="24"/>
              <w:szCs w:val="24"/>
              <w:lang w:val="en-US"/>
            </w:rPr>
            <w:t>Social Responsibility Journal, 16</w:t>
          </w:r>
          <w:r w:rsidRPr="009C6DC2">
            <w:rPr>
              <w:rFonts w:asciiTheme="majorBidi" w:hAnsiTheme="majorBidi" w:cstheme="majorBidi"/>
              <w:noProof/>
              <w:sz w:val="24"/>
              <w:szCs w:val="24"/>
              <w:lang w:val="en-US"/>
            </w:rPr>
            <w:t>(5), 745-767. doi:https://doi.org/10.1108/SRJ-11-2018-0289</w:t>
          </w:r>
        </w:p>
        <w:p w14:paraId="4A8719D2" w14:textId="2CB1C23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El-Bassiouny, D., &amp; Letmathe, P. (2018). The adoption of CSR practices in Egypt: internal efficiency or external legitimation? </w:t>
          </w:r>
          <w:r w:rsidRPr="009C6DC2">
            <w:rPr>
              <w:rFonts w:asciiTheme="majorBidi" w:hAnsiTheme="majorBidi" w:cstheme="majorBidi"/>
              <w:i/>
              <w:iCs/>
              <w:noProof/>
              <w:sz w:val="24"/>
              <w:szCs w:val="24"/>
              <w:lang w:val="en-US"/>
            </w:rPr>
            <w:t>Sustainability Accounting, Management and Policy Journal, 9</w:t>
          </w:r>
          <w:r w:rsidRPr="009C6DC2">
            <w:rPr>
              <w:rFonts w:asciiTheme="majorBidi" w:hAnsiTheme="majorBidi" w:cstheme="majorBidi"/>
              <w:noProof/>
              <w:sz w:val="24"/>
              <w:szCs w:val="24"/>
              <w:lang w:val="en-US"/>
            </w:rPr>
            <w:t>(5), 642-665. doi:https://doi.org/10.1108/SAMPJ-10-2017-0126</w:t>
          </w:r>
        </w:p>
        <w:p w14:paraId="3BF65D77" w14:textId="4152BA4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El-Bassiouny, N., Darrag, M., &amp; Zahran, N. (2018). Corporate Social Responsibility (CSR) communication patterns in an emerging market : An exploratory study. </w:t>
          </w:r>
          <w:r w:rsidRPr="009C6DC2">
            <w:rPr>
              <w:rFonts w:asciiTheme="majorBidi" w:hAnsiTheme="majorBidi" w:cstheme="majorBidi"/>
              <w:i/>
              <w:iCs/>
              <w:noProof/>
              <w:sz w:val="24"/>
              <w:szCs w:val="24"/>
              <w:lang w:val="en-US"/>
            </w:rPr>
            <w:t>Journal of Organizational Change Management, 31</w:t>
          </w:r>
          <w:r w:rsidRPr="009C6DC2">
            <w:rPr>
              <w:rFonts w:asciiTheme="majorBidi" w:hAnsiTheme="majorBidi" w:cstheme="majorBidi"/>
              <w:noProof/>
              <w:sz w:val="24"/>
              <w:szCs w:val="24"/>
              <w:lang w:val="en-US"/>
            </w:rPr>
            <w:t>(4), 795-809. doi:10.1108/JOCM-03-2017-0087</w:t>
          </w:r>
        </w:p>
        <w:p w14:paraId="756C5F57" w14:textId="638BD86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Elbedweihy, A. M., Jayawardhena, C., Elsharnouby, M. H., &amp; Elsharnouby, T. H. (2016). Customer relationship building: The role of brand attractiveness and consumer–brand identification. </w:t>
          </w:r>
          <w:r w:rsidRPr="009C6DC2">
            <w:rPr>
              <w:rFonts w:asciiTheme="majorBidi" w:hAnsiTheme="majorBidi" w:cstheme="majorBidi"/>
              <w:i/>
              <w:iCs/>
              <w:noProof/>
              <w:sz w:val="24"/>
              <w:szCs w:val="24"/>
              <w:lang w:val="en-US"/>
            </w:rPr>
            <w:t>Journal of Business Research, 68</w:t>
          </w:r>
          <w:r w:rsidRPr="009C6DC2">
            <w:rPr>
              <w:rFonts w:asciiTheme="majorBidi" w:hAnsiTheme="majorBidi" w:cstheme="majorBidi"/>
              <w:noProof/>
              <w:sz w:val="24"/>
              <w:szCs w:val="24"/>
              <w:lang w:val="en-US"/>
            </w:rPr>
            <w:t>(8), 2901-2910. doi:https://doi.org/10.1016/j.jbusres.2015.12.059</w:t>
          </w:r>
        </w:p>
        <w:p w14:paraId="599286E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El-Erian , M. A., &amp; Fischer , S. (2000). </w:t>
          </w:r>
          <w:r w:rsidRPr="009C6DC2">
            <w:rPr>
              <w:rFonts w:asciiTheme="majorBidi" w:hAnsiTheme="majorBidi" w:cstheme="majorBidi"/>
              <w:i/>
              <w:iCs/>
              <w:noProof/>
              <w:sz w:val="24"/>
              <w:szCs w:val="24"/>
              <w:lang w:val="en-US"/>
            </w:rPr>
            <w:t>Is MENA a Region? The Scope for Regional Integration.</w:t>
          </w:r>
          <w:r w:rsidRPr="009C6DC2">
            <w:rPr>
              <w:rFonts w:asciiTheme="majorBidi" w:hAnsiTheme="majorBidi" w:cstheme="majorBidi"/>
              <w:noProof/>
              <w:sz w:val="24"/>
              <w:szCs w:val="24"/>
              <w:lang w:val="en-US"/>
            </w:rPr>
            <w:t xml:space="preserve"> Palgrave Macmillan, London. Retrieved 12 03, 2022, from https://doi.org/10.1057/9780333994269_5</w:t>
          </w:r>
        </w:p>
        <w:p w14:paraId="654D9D16" w14:textId="23EDB28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Elg, U., &amp; Hultman, J. (2016). CSR: retailer activities vs consumer buying decisions. </w:t>
          </w:r>
          <w:r w:rsidRPr="009C6DC2">
            <w:rPr>
              <w:rFonts w:asciiTheme="majorBidi" w:hAnsiTheme="majorBidi" w:cstheme="majorBidi"/>
              <w:i/>
              <w:iCs/>
              <w:noProof/>
              <w:sz w:val="24"/>
              <w:szCs w:val="24"/>
              <w:lang w:val="en-US"/>
            </w:rPr>
            <w:t>International Journal of Retail &amp; Distribution Management</w:t>
          </w:r>
          <w:r w:rsidRPr="009C6DC2">
            <w:rPr>
              <w:rFonts w:asciiTheme="majorBidi" w:hAnsiTheme="majorBidi" w:cstheme="majorBidi"/>
              <w:noProof/>
              <w:sz w:val="24"/>
              <w:szCs w:val="24"/>
              <w:lang w:val="en-US"/>
            </w:rPr>
            <w:t>, 640-657. doi:https://doi.org/10.1108/IJRDM-10-2015-0155</w:t>
          </w:r>
        </w:p>
        <w:p w14:paraId="6D904109" w14:textId="6A7548D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El-Gundy, Z. (2020). </w:t>
          </w:r>
          <w:r w:rsidRPr="009C6DC2">
            <w:rPr>
              <w:rFonts w:asciiTheme="majorBidi" w:hAnsiTheme="majorBidi" w:cstheme="majorBidi"/>
              <w:i/>
              <w:iCs/>
              <w:noProof/>
              <w:sz w:val="24"/>
              <w:szCs w:val="24"/>
              <w:lang w:val="en-US"/>
            </w:rPr>
            <w:t>Ethyl alcohol prices soar in Cairo as supplies disappear from shelves</w:t>
          </w:r>
          <w:r w:rsidRPr="009C6DC2">
            <w:rPr>
              <w:rFonts w:asciiTheme="majorBidi" w:hAnsiTheme="majorBidi" w:cstheme="majorBidi"/>
              <w:noProof/>
              <w:sz w:val="24"/>
              <w:szCs w:val="24"/>
              <w:lang w:val="en-US"/>
            </w:rPr>
            <w:t>. Retrieved 11 12, 2022, from Ahram Online: https://english.ahram.org.eg/News/365480.aspx</w:t>
          </w:r>
        </w:p>
        <w:p w14:paraId="521BF3A0" w14:textId="514B77D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ElHaffar, G., Durif, F., &amp; Dubé , L. (2020). </w:t>
          </w:r>
          <w:r w:rsidRPr="009C6DC2">
            <w:rPr>
              <w:rFonts w:asciiTheme="majorBidi" w:hAnsiTheme="majorBidi" w:cstheme="majorBidi"/>
              <w:noProof/>
              <w:sz w:val="24"/>
              <w:szCs w:val="24"/>
              <w:lang w:val="en-US"/>
            </w:rPr>
            <w:t xml:space="preserve">Towards closing the attitude-intention-behavior gap in green consumption: A narrative review of the literature and an overview of future research directions. </w:t>
          </w:r>
          <w:r w:rsidRPr="009C6DC2">
            <w:rPr>
              <w:rFonts w:asciiTheme="majorBidi" w:hAnsiTheme="majorBidi" w:cstheme="majorBidi"/>
              <w:i/>
              <w:iCs/>
              <w:noProof/>
              <w:sz w:val="24"/>
              <w:szCs w:val="24"/>
              <w:lang w:val="en-US"/>
            </w:rPr>
            <w:t>Journal of Cleaner Production, 275</w:t>
          </w:r>
          <w:r w:rsidRPr="009C6DC2">
            <w:rPr>
              <w:rFonts w:asciiTheme="majorBidi" w:hAnsiTheme="majorBidi" w:cstheme="majorBidi"/>
              <w:noProof/>
              <w:sz w:val="24"/>
              <w:szCs w:val="24"/>
              <w:lang w:val="en-US"/>
            </w:rPr>
            <w:t>. doi:https://doi.org/10.1016/j.jclepro.2020.122556</w:t>
          </w:r>
        </w:p>
        <w:p w14:paraId="155E169F" w14:textId="7A5E8D0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Elhoushy, S., &amp; Lanzini, P. (2021). Factors affecting sustainable consumer behavior in the MENA region: A systematic review. </w:t>
          </w:r>
          <w:r w:rsidRPr="009C6DC2">
            <w:rPr>
              <w:rFonts w:asciiTheme="majorBidi" w:hAnsiTheme="majorBidi" w:cstheme="majorBidi"/>
              <w:i/>
              <w:iCs/>
              <w:noProof/>
              <w:sz w:val="24"/>
              <w:szCs w:val="24"/>
              <w:lang w:val="en-US"/>
            </w:rPr>
            <w:t>Journal of International Consumer Marketing, 33</w:t>
          </w:r>
          <w:r w:rsidRPr="009C6DC2">
            <w:rPr>
              <w:rFonts w:asciiTheme="majorBidi" w:hAnsiTheme="majorBidi" w:cstheme="majorBidi"/>
              <w:noProof/>
              <w:sz w:val="24"/>
              <w:szCs w:val="24"/>
              <w:lang w:val="en-US"/>
            </w:rPr>
            <w:t xml:space="preserve">(3), 256-279. doi:http://dx.doi.org/10.1080/08961530.2020.1781735 </w:t>
          </w:r>
        </w:p>
        <w:p w14:paraId="55968EE7" w14:textId="7ED3FB4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Elias, B. (2023). </w:t>
          </w:r>
          <w:r w:rsidRPr="009C6DC2">
            <w:rPr>
              <w:rFonts w:asciiTheme="majorBidi" w:hAnsiTheme="majorBidi" w:cstheme="majorBidi"/>
              <w:i/>
              <w:iCs/>
              <w:noProof/>
              <w:sz w:val="24"/>
              <w:szCs w:val="24"/>
              <w:lang w:val="en-US"/>
            </w:rPr>
            <w:t>The 4 Types of Validity in Research Design (+3 More to Consider)</w:t>
          </w:r>
          <w:r w:rsidRPr="009C6DC2">
            <w:rPr>
              <w:rFonts w:asciiTheme="majorBidi" w:hAnsiTheme="majorBidi" w:cstheme="majorBidi"/>
              <w:noProof/>
              <w:sz w:val="24"/>
              <w:szCs w:val="24"/>
              <w:lang w:val="en-US"/>
            </w:rPr>
            <w:t>. Retrieved from ActiveCampaign: https://www.activecampaign.com/blog/validity-in-research-design</w:t>
          </w:r>
        </w:p>
        <w:p w14:paraId="0BF51627" w14:textId="5EC0C81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Ellen, P. S., Webb, D. J., &amp; Mohr , L. A. (2006). Building corporate associations: Consumer attributions for corporate socially responsible programs. </w:t>
          </w:r>
          <w:r w:rsidRPr="009C6DC2">
            <w:rPr>
              <w:rFonts w:asciiTheme="majorBidi" w:hAnsiTheme="majorBidi" w:cstheme="majorBidi"/>
              <w:i/>
              <w:iCs/>
              <w:noProof/>
              <w:sz w:val="24"/>
              <w:szCs w:val="24"/>
              <w:lang w:val="en-US"/>
            </w:rPr>
            <w:t>Journal of the Academy of Marketing Science volume, 34</w:t>
          </w:r>
          <w:r w:rsidRPr="009C6DC2">
            <w:rPr>
              <w:rFonts w:asciiTheme="majorBidi" w:hAnsiTheme="majorBidi" w:cstheme="majorBidi"/>
              <w:noProof/>
              <w:sz w:val="24"/>
              <w:szCs w:val="24"/>
              <w:lang w:val="en-US"/>
            </w:rPr>
            <w:t>(2), 147-157. Retrieved 01 22, 2022, from 10.1177/0092070305284976</w:t>
          </w:r>
        </w:p>
        <w:p w14:paraId="545F8EAA" w14:textId="16644B1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Elliott, R., Jobber, D. &amp; Sharp, J. (1995). Using the theory of reasoned action to understand organizational behaviour: The role of belief salience. </w:t>
          </w:r>
          <w:r w:rsidRPr="009C6DC2">
            <w:rPr>
              <w:rFonts w:asciiTheme="majorBidi" w:hAnsiTheme="majorBidi" w:cstheme="majorBidi"/>
              <w:i/>
              <w:iCs/>
              <w:noProof/>
              <w:sz w:val="24"/>
              <w:szCs w:val="24"/>
              <w:lang w:val="en-US"/>
            </w:rPr>
            <w:t>British Journal of Social Psychology, 34</w:t>
          </w:r>
          <w:r w:rsidRPr="009C6DC2">
            <w:rPr>
              <w:rFonts w:asciiTheme="majorBidi" w:hAnsiTheme="majorBidi" w:cstheme="majorBidi"/>
              <w:noProof/>
              <w:sz w:val="24"/>
              <w:szCs w:val="24"/>
              <w:lang w:val="en-US"/>
            </w:rPr>
            <w:t>(2), 161-172. doi:https://doi.org/10.1111/j.2044-8309.1995.tb01055.x</w:t>
          </w:r>
        </w:p>
        <w:p w14:paraId="70F0E7F2" w14:textId="2DFD12E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Elo, S., Kääriäinen, M., Kanste, O., Pölkki, T., Utriainen, K., &amp; Kyngäs, H. (2014). </w:t>
          </w:r>
          <w:r w:rsidRPr="009C6DC2">
            <w:rPr>
              <w:rFonts w:asciiTheme="majorBidi" w:hAnsiTheme="majorBidi" w:cstheme="majorBidi"/>
              <w:noProof/>
              <w:sz w:val="24"/>
              <w:szCs w:val="24"/>
              <w:lang w:val="en-US"/>
            </w:rPr>
            <w:t xml:space="preserve">Qualitative Content Analysis: A Focus on Trustworthiness. </w:t>
          </w:r>
          <w:r w:rsidRPr="009C6DC2">
            <w:rPr>
              <w:rFonts w:asciiTheme="majorBidi" w:hAnsiTheme="majorBidi" w:cstheme="majorBidi"/>
              <w:i/>
              <w:iCs/>
              <w:noProof/>
              <w:sz w:val="24"/>
              <w:szCs w:val="24"/>
              <w:lang w:val="en-US"/>
            </w:rPr>
            <w:t>4</w:t>
          </w:r>
          <w:r w:rsidRPr="009C6DC2">
            <w:rPr>
              <w:rFonts w:asciiTheme="majorBidi" w:hAnsiTheme="majorBidi" w:cstheme="majorBidi"/>
              <w:noProof/>
              <w:sz w:val="24"/>
              <w:szCs w:val="24"/>
              <w:lang w:val="en-US"/>
            </w:rPr>
            <w:t>(1). doi:https://doi.org/10.1177/2158244014522633</w:t>
          </w:r>
        </w:p>
        <w:p w14:paraId="64FF2719" w14:textId="256440C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El-Shabrawy, H. (2022). </w:t>
          </w:r>
          <w:r w:rsidRPr="009C6DC2">
            <w:rPr>
              <w:rFonts w:asciiTheme="majorBidi" w:hAnsiTheme="majorBidi" w:cstheme="majorBidi"/>
              <w:i/>
              <w:iCs/>
              <w:noProof/>
              <w:sz w:val="24"/>
              <w:szCs w:val="24"/>
              <w:lang w:val="en-US"/>
            </w:rPr>
            <w:t>Egypt one of the best African countries to invest in 2022: Business Insider</w:t>
          </w:r>
          <w:r w:rsidRPr="009C6DC2">
            <w:rPr>
              <w:rFonts w:asciiTheme="majorBidi" w:hAnsiTheme="majorBidi" w:cstheme="majorBidi"/>
              <w:noProof/>
              <w:sz w:val="24"/>
              <w:szCs w:val="24"/>
              <w:lang w:val="en-US"/>
            </w:rPr>
            <w:t>. Retrieved from Ahram Online: https://english.ahram.org.eg/NewsContent/3/12/460800/Business/Economy/Egypt-one-of-the-best-African-countries-to-invest-.aspx</w:t>
          </w:r>
        </w:p>
        <w:p w14:paraId="2B8BD16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Elving, W. (2013). Scepticism and corporate social responsibility communications: the influence of fit and reputation. </w:t>
          </w:r>
          <w:r w:rsidRPr="009C6DC2">
            <w:rPr>
              <w:rFonts w:asciiTheme="majorBidi" w:hAnsiTheme="majorBidi" w:cstheme="majorBidi"/>
              <w:i/>
              <w:iCs/>
              <w:noProof/>
              <w:sz w:val="24"/>
              <w:szCs w:val="24"/>
              <w:lang w:val="en-US"/>
            </w:rPr>
            <w:t>Journal of Marketing Communications, 19</w:t>
          </w:r>
          <w:r w:rsidRPr="009C6DC2">
            <w:rPr>
              <w:rFonts w:asciiTheme="majorBidi" w:hAnsiTheme="majorBidi" w:cstheme="majorBidi"/>
              <w:noProof/>
              <w:sz w:val="24"/>
              <w:szCs w:val="24"/>
              <w:lang w:val="en-US"/>
            </w:rPr>
            <w:t>(4), 1-16. doi:10.1080/13527266.2011.631569</w:t>
          </w:r>
        </w:p>
        <w:p w14:paraId="2DED6F2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Ensminger, M. E., &amp; Kate, F. (2014). A decade of measuring SES: What it tells us and where to go from here. In </w:t>
          </w:r>
          <w:r w:rsidRPr="009C6DC2">
            <w:rPr>
              <w:rFonts w:asciiTheme="majorBidi" w:hAnsiTheme="majorBidi" w:cstheme="majorBidi"/>
              <w:i/>
              <w:iCs/>
              <w:noProof/>
              <w:sz w:val="24"/>
              <w:szCs w:val="24"/>
              <w:lang w:val="en-US"/>
            </w:rPr>
            <w:t>Socioeconomic Status, Parenting, and Child Development</w:t>
          </w:r>
          <w:r w:rsidRPr="009C6DC2">
            <w:rPr>
              <w:rFonts w:asciiTheme="majorBidi" w:hAnsiTheme="majorBidi" w:cstheme="majorBidi"/>
              <w:noProof/>
              <w:sz w:val="24"/>
              <w:szCs w:val="24"/>
              <w:lang w:val="en-US"/>
            </w:rPr>
            <w:t xml:space="preserve"> (pp. 13-27). Taylor and Francis. doi:10.4324/9781410607027-9</w:t>
          </w:r>
        </w:p>
        <w:p w14:paraId="08CD117E" w14:textId="2D88DAB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Eroglu, S. A., Machleit, K. A., &amp; Davis, L. M. (2001). Atmospheric qualities of online retailing: A conceptual model and implications. </w:t>
          </w:r>
          <w:r w:rsidRPr="009C6DC2">
            <w:rPr>
              <w:rFonts w:asciiTheme="majorBidi" w:hAnsiTheme="majorBidi" w:cstheme="majorBidi"/>
              <w:i/>
              <w:iCs/>
              <w:noProof/>
              <w:sz w:val="24"/>
              <w:szCs w:val="24"/>
              <w:lang w:val="en-US"/>
            </w:rPr>
            <w:t>Journal of Business Research</w:t>
          </w:r>
          <w:r w:rsidRPr="009C6DC2">
            <w:rPr>
              <w:rFonts w:asciiTheme="majorBidi" w:hAnsiTheme="majorBidi" w:cstheme="majorBidi"/>
              <w:noProof/>
              <w:sz w:val="24"/>
              <w:szCs w:val="24"/>
              <w:lang w:val="en-US"/>
            </w:rPr>
            <w:t>, 177-184. doi:https://doi.org/10.1016/S0148-2963(99)00087-9</w:t>
          </w:r>
        </w:p>
        <w:p w14:paraId="3E24D3B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Ertz, M., Karakas, F., &amp; Sarigöllü, E. (2016). Exploring pro-environmental behaviors of consumers: an analysis of contextual factors, attitude, and behaviors. </w:t>
          </w:r>
          <w:r w:rsidRPr="009C6DC2">
            <w:rPr>
              <w:rFonts w:asciiTheme="majorBidi" w:hAnsiTheme="majorBidi" w:cstheme="majorBidi"/>
              <w:i/>
              <w:iCs/>
              <w:noProof/>
              <w:sz w:val="24"/>
              <w:szCs w:val="24"/>
              <w:lang w:val="en-US"/>
            </w:rPr>
            <w:t>Journal of Business Research, 69</w:t>
          </w:r>
          <w:r w:rsidRPr="009C6DC2">
            <w:rPr>
              <w:rFonts w:asciiTheme="majorBidi" w:hAnsiTheme="majorBidi" w:cstheme="majorBidi"/>
              <w:noProof/>
              <w:sz w:val="24"/>
              <w:szCs w:val="24"/>
              <w:lang w:val="en-US"/>
            </w:rPr>
            <w:t>(10), 3971-3980. Retrieved 03 05, 2023</w:t>
          </w:r>
        </w:p>
        <w:p w14:paraId="25DAA4C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Etter, M. (2013). Reasons for low levels of interactivity (Non-) interactive CSR communication in twitter. </w:t>
          </w:r>
          <w:r w:rsidRPr="009C6DC2">
            <w:rPr>
              <w:rFonts w:asciiTheme="majorBidi" w:hAnsiTheme="majorBidi" w:cstheme="majorBidi"/>
              <w:i/>
              <w:iCs/>
              <w:noProof/>
              <w:sz w:val="24"/>
              <w:szCs w:val="24"/>
              <w:lang w:val="en-US"/>
            </w:rPr>
            <w:t>Public Relations Review</w:t>
          </w:r>
          <w:r w:rsidRPr="009C6DC2">
            <w:rPr>
              <w:rFonts w:asciiTheme="majorBidi" w:hAnsiTheme="majorBidi" w:cstheme="majorBidi"/>
              <w:noProof/>
              <w:sz w:val="24"/>
              <w:szCs w:val="24"/>
              <w:lang w:val="en-US"/>
            </w:rPr>
            <w:t>, 606-608. doi:http://dx.doi.org/10.1016/j.pubrev.2013.06.003</w:t>
          </w:r>
        </w:p>
        <w:p w14:paraId="4FF0B1A6" w14:textId="661339C6" w:rsidR="006E2490"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Ettinger, A., Grabner-Kräuter, S., &amp; Okazaki, S. (2020). he desirability of CSR communication versus greenhushing in the hospitality industry: The customers' perspective. </w:t>
          </w:r>
          <w:r w:rsidRPr="009C6DC2">
            <w:rPr>
              <w:rFonts w:asciiTheme="majorBidi" w:hAnsiTheme="majorBidi" w:cstheme="majorBidi"/>
              <w:i/>
              <w:iCs/>
              <w:noProof/>
              <w:sz w:val="24"/>
              <w:szCs w:val="24"/>
              <w:lang w:val="en-US"/>
            </w:rPr>
            <w:t>Journal of Travel Research, 60</w:t>
          </w:r>
          <w:r w:rsidRPr="009C6DC2">
            <w:rPr>
              <w:rFonts w:asciiTheme="majorBidi" w:hAnsiTheme="majorBidi" w:cstheme="majorBidi"/>
              <w:noProof/>
              <w:sz w:val="24"/>
              <w:szCs w:val="24"/>
              <w:lang w:val="en-US"/>
            </w:rPr>
            <w:t>(3), 618-638. doi:https://doi.org/10.1177/0047287520930087</w:t>
          </w:r>
        </w:p>
        <w:p w14:paraId="5FDC0618" w14:textId="77777777" w:rsidR="006E2490" w:rsidRPr="009C6DC2" w:rsidRDefault="006E2490" w:rsidP="006E2490">
          <w:pPr>
            <w:ind w:left="720" w:hanging="720"/>
            <w:rPr>
              <w:rFonts w:asciiTheme="majorBidi" w:hAnsiTheme="majorBidi" w:cstheme="majorBidi"/>
              <w:noProof/>
              <w:sz w:val="24"/>
              <w:szCs w:val="24"/>
              <w:lang w:val="en-US"/>
            </w:rPr>
          </w:pPr>
          <w:r w:rsidRPr="002E34E5">
            <w:rPr>
              <w:rFonts w:asciiTheme="majorBidi" w:hAnsiTheme="majorBidi" w:cstheme="majorBidi"/>
              <w:noProof/>
              <w:sz w:val="24"/>
              <w:szCs w:val="24"/>
              <w:lang w:val="en-US"/>
            </w:rPr>
            <w:t>Evanschitzky, H., &amp; Armstrong, J. S. (2013). Research with In-built replications: Comment and further suggestions for replication research. Journal of Business Research, 66(9), 1406-1408</w:t>
          </w:r>
        </w:p>
        <w:p w14:paraId="16E2A9ED" w14:textId="5292A08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Ewing, S. (2018). </w:t>
          </w:r>
          <w:r w:rsidRPr="009C6DC2">
            <w:rPr>
              <w:rFonts w:asciiTheme="majorBidi" w:hAnsiTheme="majorBidi" w:cstheme="majorBidi"/>
              <w:i/>
              <w:iCs/>
              <w:noProof/>
              <w:sz w:val="24"/>
              <w:szCs w:val="24"/>
              <w:lang w:val="en-US"/>
            </w:rPr>
            <w:t>Toyota Super Bowl ads focus on mobility, Olympic partnerships</w:t>
          </w:r>
          <w:r w:rsidRPr="009C6DC2">
            <w:rPr>
              <w:rFonts w:asciiTheme="majorBidi" w:hAnsiTheme="majorBidi" w:cstheme="majorBidi"/>
              <w:noProof/>
              <w:sz w:val="24"/>
              <w:szCs w:val="24"/>
              <w:lang w:val="en-US"/>
            </w:rPr>
            <w:t>. Retrieved from Cnet: https://www.cnet.com/roadshow/news/toyota-super-bowl-commercial-2018-oympics/</w:t>
          </w:r>
        </w:p>
        <w:p w14:paraId="109DAF75" w14:textId="25F35DA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Falck, O., &amp; Heblich, S. (2007). Corporate social responsibility: Doing well by Doing Good. </w:t>
          </w:r>
          <w:r w:rsidRPr="009C6DC2">
            <w:rPr>
              <w:rFonts w:asciiTheme="majorBidi" w:hAnsiTheme="majorBidi" w:cstheme="majorBidi"/>
              <w:i/>
              <w:iCs/>
              <w:noProof/>
              <w:sz w:val="24"/>
              <w:szCs w:val="24"/>
              <w:lang w:val="en-US"/>
            </w:rPr>
            <w:t>Business Horizons, 50</w:t>
          </w:r>
          <w:r w:rsidRPr="009C6DC2">
            <w:rPr>
              <w:rFonts w:asciiTheme="majorBidi" w:hAnsiTheme="majorBidi" w:cstheme="majorBidi"/>
              <w:noProof/>
              <w:sz w:val="24"/>
              <w:szCs w:val="24"/>
              <w:lang w:val="en-US"/>
            </w:rPr>
            <w:t>(3), 247-254. doi:https://doi.org/10.1016/j.bushor.2006.12.002</w:t>
          </w:r>
        </w:p>
        <w:p w14:paraId="0C60E47D" w14:textId="136512C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Fan, Y., Chen, J., Shirkey, G., John, R., Wu, S. R., Park, H., &amp; Shao , C. (2016). Applications of structural equation modeling (SEM) in ecological studies: an updated review. </w:t>
          </w:r>
          <w:r w:rsidRPr="009C6DC2">
            <w:rPr>
              <w:rFonts w:asciiTheme="majorBidi" w:hAnsiTheme="majorBidi" w:cstheme="majorBidi"/>
              <w:i/>
              <w:iCs/>
              <w:noProof/>
              <w:sz w:val="24"/>
              <w:szCs w:val="24"/>
              <w:lang w:val="en-US"/>
            </w:rPr>
            <w:t>Ecological Processes, 5</w:t>
          </w:r>
          <w:r w:rsidRPr="009C6DC2">
            <w:rPr>
              <w:rFonts w:asciiTheme="majorBidi" w:hAnsiTheme="majorBidi" w:cstheme="majorBidi"/>
              <w:noProof/>
              <w:sz w:val="24"/>
              <w:szCs w:val="24"/>
              <w:lang w:val="en-US"/>
            </w:rPr>
            <w:t>. doi:https://doi.org/10.1186/s13717-016-0063-3</w:t>
          </w:r>
        </w:p>
        <w:p w14:paraId="7C2A3FBC" w14:textId="2784D61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Farache, F., Tetchner, I., &amp; Kollat , J. (2017). CSR Communications on Twitter: An Exploration into Stakeholder Reactions. </w:t>
          </w:r>
          <w:r w:rsidRPr="009C6DC2">
            <w:rPr>
              <w:rFonts w:asciiTheme="majorBidi" w:hAnsiTheme="majorBidi" w:cstheme="majorBidi"/>
              <w:i/>
              <w:iCs/>
              <w:noProof/>
              <w:sz w:val="24"/>
              <w:szCs w:val="24"/>
              <w:lang w:val="en-US"/>
            </w:rPr>
            <w:t>Corporate Responsibility and Digital Communities</w:t>
          </w:r>
          <w:r w:rsidRPr="009C6DC2">
            <w:rPr>
              <w:rFonts w:asciiTheme="majorBidi" w:hAnsiTheme="majorBidi" w:cstheme="majorBidi"/>
              <w:noProof/>
              <w:sz w:val="24"/>
              <w:szCs w:val="24"/>
              <w:lang w:val="en-US"/>
            </w:rPr>
            <w:t>, 145-163. doi:https://doi.org/10.1007/978-3-319-63480-7_8</w:t>
          </w:r>
        </w:p>
        <w:p w14:paraId="7BDC1591" w14:textId="208D79C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Faria, J. (2023). </w:t>
          </w:r>
          <w:r w:rsidRPr="009C6DC2">
            <w:rPr>
              <w:rFonts w:asciiTheme="majorBidi" w:hAnsiTheme="majorBidi" w:cstheme="majorBidi"/>
              <w:i/>
              <w:iCs/>
              <w:noProof/>
              <w:sz w:val="24"/>
              <w:szCs w:val="24"/>
              <w:lang w:val="en-US"/>
            </w:rPr>
            <w:t>Largest global advertisers 2021</w:t>
          </w:r>
          <w:r w:rsidRPr="009C6DC2">
            <w:rPr>
              <w:rFonts w:asciiTheme="majorBidi" w:hAnsiTheme="majorBidi" w:cstheme="majorBidi"/>
              <w:noProof/>
              <w:sz w:val="24"/>
              <w:szCs w:val="24"/>
              <w:lang w:val="en-US"/>
            </w:rPr>
            <w:t>. Retrieved from Statista: https://www.statista.com/statistics/286448/largest-global-advertisers/#:~:text=In%202021%2C%20Procter%20%26%20Gamble%20won,spending%20of%204.7%20billion%20dollars.</w:t>
          </w:r>
        </w:p>
        <w:p w14:paraId="453448B2" w14:textId="5D37B59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Farias, L., Rudman, D. L., &amp; Magalhães, L. (2016). </w:t>
          </w:r>
          <w:r w:rsidRPr="009C6DC2">
            <w:rPr>
              <w:rFonts w:asciiTheme="majorBidi" w:hAnsiTheme="majorBidi" w:cstheme="majorBidi"/>
              <w:noProof/>
              <w:sz w:val="24"/>
              <w:szCs w:val="24"/>
              <w:lang w:val="en-US"/>
            </w:rPr>
            <w:t xml:space="preserve">Illustrating the Importance of Critical Epistemology to Realize the Promise of Occupational Justice. </w:t>
          </w:r>
          <w:r w:rsidRPr="009C6DC2">
            <w:rPr>
              <w:rFonts w:asciiTheme="majorBidi" w:hAnsiTheme="majorBidi" w:cstheme="majorBidi"/>
              <w:i/>
              <w:iCs/>
              <w:noProof/>
              <w:sz w:val="24"/>
              <w:szCs w:val="24"/>
              <w:lang w:val="en-US"/>
            </w:rPr>
            <w:t>OTJR: Occupational Therapy Journal of Research., 36</w:t>
          </w:r>
          <w:r w:rsidRPr="009C6DC2">
            <w:rPr>
              <w:rFonts w:asciiTheme="majorBidi" w:hAnsiTheme="majorBidi" w:cstheme="majorBidi"/>
              <w:noProof/>
              <w:sz w:val="24"/>
              <w:szCs w:val="24"/>
              <w:lang w:val="en-US"/>
            </w:rPr>
            <w:t>(4), 234-243. doi:10.1177/1539449216665561</w:t>
          </w:r>
        </w:p>
        <w:p w14:paraId="01D5B999" w14:textId="53F5750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Farouk, S., &amp; Jabeen , F. (2018). Ethical climate, corporate social responsibility and organizational performance: evidence from the UAE public sector. </w:t>
          </w:r>
          <w:r w:rsidRPr="009C6DC2">
            <w:rPr>
              <w:rFonts w:asciiTheme="majorBidi" w:hAnsiTheme="majorBidi" w:cstheme="majorBidi"/>
              <w:i/>
              <w:iCs/>
              <w:noProof/>
              <w:sz w:val="24"/>
              <w:szCs w:val="24"/>
              <w:lang w:val="en-US"/>
            </w:rPr>
            <w:t>Social Responsibility Journal, 14</w:t>
          </w:r>
          <w:r w:rsidRPr="009C6DC2">
            <w:rPr>
              <w:rFonts w:asciiTheme="majorBidi" w:hAnsiTheme="majorBidi" w:cstheme="majorBidi"/>
              <w:noProof/>
              <w:sz w:val="24"/>
              <w:szCs w:val="24"/>
              <w:lang w:val="en-US"/>
            </w:rPr>
            <w:t>(4), 737-752. Retrieved 12 04, 2022, from https://doi.org/10.1108/SRJ-01-2017-0002</w:t>
          </w:r>
        </w:p>
        <w:p w14:paraId="7F3DC964" w14:textId="40456EA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Fatehi, K., Priestley, J. L., &amp; Taasoobshirazi, G. (2020). The expanded view of individualism and collectivism: One, two, or four dimensions? </w:t>
          </w:r>
          <w:r w:rsidRPr="009C6DC2">
            <w:rPr>
              <w:rFonts w:asciiTheme="majorBidi" w:hAnsiTheme="majorBidi" w:cstheme="majorBidi"/>
              <w:i/>
              <w:iCs/>
              <w:noProof/>
              <w:sz w:val="24"/>
              <w:szCs w:val="24"/>
              <w:lang w:val="en-US"/>
            </w:rPr>
            <w:t>International Journal of Cross Cultural Management, 20</w:t>
          </w:r>
          <w:r w:rsidRPr="009C6DC2">
            <w:rPr>
              <w:rFonts w:asciiTheme="majorBidi" w:hAnsiTheme="majorBidi" w:cstheme="majorBidi"/>
              <w:noProof/>
              <w:sz w:val="24"/>
              <w:szCs w:val="24"/>
              <w:lang w:val="en-US"/>
            </w:rPr>
            <w:t>(01). Retrieved 09 25, 2022, from https://doi.org/10.1177/1470595820913077</w:t>
          </w:r>
        </w:p>
        <w:p w14:paraId="006404F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Faulkner, S. L., &amp; Trotter, S. P. (2017). </w:t>
          </w:r>
          <w:r w:rsidRPr="009C6DC2">
            <w:rPr>
              <w:rFonts w:asciiTheme="majorBidi" w:hAnsiTheme="majorBidi" w:cstheme="majorBidi"/>
              <w:noProof/>
              <w:sz w:val="24"/>
              <w:szCs w:val="24"/>
              <w:lang w:val="en-US"/>
            </w:rPr>
            <w:t xml:space="preserve">Data Saturation. In </w:t>
          </w:r>
          <w:r w:rsidRPr="009C6DC2">
            <w:rPr>
              <w:rFonts w:asciiTheme="majorBidi" w:hAnsiTheme="majorBidi" w:cstheme="majorBidi"/>
              <w:i/>
              <w:iCs/>
              <w:noProof/>
              <w:sz w:val="24"/>
              <w:szCs w:val="24"/>
              <w:lang w:val="en-US"/>
            </w:rPr>
            <w:t>The International Encyclopedia of Communication Research Methods.</w:t>
          </w:r>
          <w:r w:rsidRPr="009C6DC2">
            <w:rPr>
              <w:rFonts w:asciiTheme="majorBidi" w:hAnsiTheme="majorBidi" w:cstheme="majorBidi"/>
              <w:noProof/>
              <w:sz w:val="24"/>
              <w:szCs w:val="24"/>
              <w:lang w:val="en-US"/>
            </w:rPr>
            <w:t xml:space="preserve"> John Wiley &amp; Sons, Inc. doi:https://doi.org/10.1002/9781118901731.iecrm0060</w:t>
          </w:r>
        </w:p>
        <w:p w14:paraId="181FE123" w14:textId="77E7527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Fazli-Salehi, R., Torres, I. M., Madadi, R., &amp; Zúñiga, M. Á. (2022). The Impact of Consumers’ Ethnic Disidentification and Cosmopolitanism on Multicultural Advertising. </w:t>
          </w:r>
          <w:r w:rsidRPr="009C6DC2">
            <w:rPr>
              <w:rFonts w:asciiTheme="majorBidi" w:hAnsiTheme="majorBidi" w:cstheme="majorBidi"/>
              <w:i/>
              <w:iCs/>
              <w:noProof/>
              <w:sz w:val="24"/>
              <w:szCs w:val="24"/>
              <w:lang w:val="en-US"/>
            </w:rPr>
            <w:t>Journal of International Consumer Marketing, 35</w:t>
          </w:r>
          <w:r w:rsidRPr="009C6DC2">
            <w:rPr>
              <w:rFonts w:asciiTheme="majorBidi" w:hAnsiTheme="majorBidi" w:cstheme="majorBidi"/>
              <w:noProof/>
              <w:sz w:val="24"/>
              <w:szCs w:val="24"/>
              <w:lang w:val="en-US"/>
            </w:rPr>
            <w:t>(4), 388-403. doi:https://doi-org.lsbu.idm.oclc.org/10.1080/08961530.2022.2117755</w:t>
          </w:r>
        </w:p>
        <w:p w14:paraId="1A0CA7ED" w14:textId="2BD4323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Fearn, M., &amp; Helliker, J. (2017). MORE SCREENS, MORE CHOICE, MORE DIVERSE VIEWING ACTIVITY: Q2 2017 AUSTRALIAN VIDEO VIEWING REPORT. </w:t>
          </w:r>
          <w:r w:rsidRPr="009C6DC2">
            <w:rPr>
              <w:rFonts w:asciiTheme="majorBidi" w:hAnsiTheme="majorBidi" w:cstheme="majorBidi"/>
              <w:i/>
              <w:iCs/>
              <w:noProof/>
              <w:sz w:val="24"/>
              <w:szCs w:val="24"/>
              <w:lang w:val="en-US"/>
            </w:rPr>
            <w:t>Regional TAM, OzTAM, Nielsen</w:t>
          </w:r>
          <w:r w:rsidRPr="009C6DC2">
            <w:rPr>
              <w:rFonts w:asciiTheme="majorBidi" w:hAnsiTheme="majorBidi" w:cstheme="majorBidi"/>
              <w:noProof/>
              <w:sz w:val="24"/>
              <w:szCs w:val="24"/>
              <w:lang w:val="en-US"/>
            </w:rPr>
            <w:t>. Retrieved 02 21, 2023, from https://oztam.com.au/documents/Other/Q2%202017%20AVVR_release.pdf</w:t>
          </w:r>
        </w:p>
        <w:p w14:paraId="7292F762" w14:textId="1F3656F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Fernández, P., Hartmann, P., &amp; Apaolaza, V. (202</w:t>
          </w:r>
          <w:r w:rsidR="008D1D81">
            <w:rPr>
              <w:rFonts w:asciiTheme="majorBidi" w:hAnsiTheme="majorBidi" w:cstheme="majorBidi"/>
              <w:noProof/>
              <w:sz w:val="24"/>
              <w:szCs w:val="24"/>
              <w:lang w:val="en-US"/>
            </w:rPr>
            <w:t>1</w:t>
          </w:r>
          <w:r w:rsidRPr="009C6DC2">
            <w:rPr>
              <w:rFonts w:asciiTheme="majorBidi" w:hAnsiTheme="majorBidi" w:cstheme="majorBidi"/>
              <w:noProof/>
              <w:sz w:val="24"/>
              <w:szCs w:val="24"/>
              <w:lang w:val="en-US"/>
            </w:rPr>
            <w:t xml:space="preserve">). What drives CSR communication effectiveness on social media? A process-based theoretical framework and research agenda. </w:t>
          </w:r>
          <w:r w:rsidRPr="009C6DC2">
            <w:rPr>
              <w:rFonts w:asciiTheme="majorBidi" w:hAnsiTheme="majorBidi" w:cstheme="majorBidi"/>
              <w:i/>
              <w:iCs/>
              <w:noProof/>
              <w:sz w:val="24"/>
              <w:szCs w:val="24"/>
              <w:lang w:val="en-US"/>
            </w:rPr>
            <w:t>International Journal of Advertising, 41</w:t>
          </w:r>
          <w:r w:rsidRPr="009C6DC2">
            <w:rPr>
              <w:rFonts w:asciiTheme="majorBidi" w:hAnsiTheme="majorBidi" w:cstheme="majorBidi"/>
              <w:noProof/>
              <w:sz w:val="24"/>
              <w:szCs w:val="24"/>
              <w:lang w:val="en-US"/>
            </w:rPr>
            <w:t>(3), 385-413. doi:https://doi.org/10.1080/02650487.2021.1947016</w:t>
          </w:r>
        </w:p>
        <w:p w14:paraId="0B295728" w14:textId="6A3204F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Fernando, J., Brock, T., &amp; Munichiello, K. (2023). </w:t>
          </w:r>
          <w:r w:rsidRPr="009C6DC2">
            <w:rPr>
              <w:rFonts w:asciiTheme="majorBidi" w:hAnsiTheme="majorBidi" w:cstheme="majorBidi"/>
              <w:i/>
              <w:iCs/>
              <w:noProof/>
              <w:sz w:val="24"/>
              <w:szCs w:val="24"/>
              <w:lang w:val="en-US"/>
            </w:rPr>
            <w:t>Corporate Social Responsibility (CSR) Explained With Examples</w:t>
          </w:r>
          <w:r w:rsidRPr="009C6DC2">
            <w:rPr>
              <w:rFonts w:asciiTheme="majorBidi" w:hAnsiTheme="majorBidi" w:cstheme="majorBidi"/>
              <w:noProof/>
              <w:sz w:val="24"/>
              <w:szCs w:val="24"/>
              <w:lang w:val="en-US"/>
            </w:rPr>
            <w:t>. Retrieved from Investopia: https://www.investopedia.com/terms/c/corp-social-responsibility.asp</w:t>
          </w:r>
        </w:p>
        <w:p w14:paraId="4C015C71" w14:textId="7EB3855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Fernando, J., Smith, A., &amp; Perez, Y. (2023). </w:t>
          </w:r>
          <w:r w:rsidRPr="009C6DC2">
            <w:rPr>
              <w:rFonts w:asciiTheme="majorBidi" w:hAnsiTheme="majorBidi" w:cstheme="majorBidi"/>
              <w:i/>
              <w:iCs/>
              <w:noProof/>
              <w:sz w:val="24"/>
              <w:szCs w:val="24"/>
              <w:lang w:val="en-US"/>
            </w:rPr>
            <w:t>R-Squared: Definition, Calculation Formula, Uses, and Limitations</w:t>
          </w:r>
          <w:r w:rsidRPr="009C6DC2">
            <w:rPr>
              <w:rFonts w:asciiTheme="majorBidi" w:hAnsiTheme="majorBidi" w:cstheme="majorBidi"/>
              <w:noProof/>
              <w:sz w:val="24"/>
              <w:szCs w:val="24"/>
              <w:lang w:val="en-US"/>
            </w:rPr>
            <w:t>. Retrieved from Investopedia: https://www.investopedia.com/terms/r/r-squared.asp</w:t>
          </w:r>
        </w:p>
        <w:p w14:paraId="6B443CC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Festinger , L. (1962, 10). Cognitive Dissonance. </w:t>
          </w:r>
          <w:r w:rsidRPr="009C6DC2">
            <w:rPr>
              <w:rFonts w:asciiTheme="majorBidi" w:hAnsiTheme="majorBidi" w:cstheme="majorBidi"/>
              <w:i/>
              <w:iCs/>
              <w:noProof/>
              <w:sz w:val="24"/>
              <w:szCs w:val="24"/>
              <w:lang w:val="en-US"/>
            </w:rPr>
            <w:t>Scientific American, 207</w:t>
          </w:r>
          <w:r w:rsidRPr="009C6DC2">
            <w:rPr>
              <w:rFonts w:asciiTheme="majorBidi" w:hAnsiTheme="majorBidi" w:cstheme="majorBidi"/>
              <w:noProof/>
              <w:sz w:val="24"/>
              <w:szCs w:val="24"/>
              <w:lang w:val="en-US"/>
            </w:rPr>
            <w:t>(4), 93-106. Retrieved 09 11, 2023, from https://www.jstor.org/stable/24936719</w:t>
          </w:r>
        </w:p>
        <w:p w14:paraId="33DBB2E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Finger, C. (2016). Institutional constraints and the translation of college aspirations into intentions - evidence from a factorial survey. </w:t>
          </w:r>
          <w:r w:rsidRPr="009C6DC2">
            <w:rPr>
              <w:rFonts w:asciiTheme="majorBidi" w:hAnsiTheme="majorBidi" w:cstheme="majorBidi"/>
              <w:i/>
              <w:iCs/>
              <w:noProof/>
              <w:sz w:val="24"/>
              <w:szCs w:val="24"/>
              <w:lang w:val="en-US"/>
            </w:rPr>
            <w:t>Research in Social Stratification and Mobility , 46</w:t>
          </w:r>
          <w:r w:rsidRPr="009C6DC2">
            <w:rPr>
              <w:rFonts w:asciiTheme="majorBidi" w:hAnsiTheme="majorBidi" w:cstheme="majorBidi"/>
              <w:noProof/>
              <w:sz w:val="24"/>
              <w:szCs w:val="24"/>
              <w:lang w:val="en-US"/>
            </w:rPr>
            <w:t>, 112-128. Retrieved 05 24, 2022, from http://hdl.handle.net/10419/218969</w:t>
          </w:r>
        </w:p>
        <w:p w14:paraId="0E6BD67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Fischer, A. H. (2017). Perception of Product Risks. In G. Emilien, R. Weitkunat, &amp; F. Lüdicke, </w:t>
          </w:r>
          <w:r w:rsidRPr="009C6DC2">
            <w:rPr>
              <w:rFonts w:asciiTheme="majorBidi" w:hAnsiTheme="majorBidi" w:cstheme="majorBidi"/>
              <w:i/>
              <w:iCs/>
              <w:noProof/>
              <w:sz w:val="24"/>
              <w:szCs w:val="24"/>
              <w:lang w:val="en-US"/>
            </w:rPr>
            <w:t>Consumer Perception of Product Risks and Benefits</w:t>
          </w:r>
          <w:r w:rsidRPr="009C6DC2">
            <w:rPr>
              <w:rFonts w:asciiTheme="majorBidi" w:hAnsiTheme="majorBidi" w:cstheme="majorBidi"/>
              <w:noProof/>
              <w:sz w:val="24"/>
              <w:szCs w:val="24"/>
              <w:lang w:val="en-US"/>
            </w:rPr>
            <w:t xml:space="preserve"> (pp. 175-190). Cham: Springer.</w:t>
          </w:r>
        </w:p>
        <w:p w14:paraId="5A102937" w14:textId="63F3346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Fishbein, M. A., &amp; Ajzen, I. (1975). Belief, attitude, intention and behaviour: An introduction to theory and research.</w:t>
          </w:r>
        </w:p>
        <w:p w14:paraId="3909F879" w14:textId="60D85CB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Foley, G., &amp; Timonen, V. (2015). Using Grounded Theory Method to Capture and Analyze Health Care Experiences. </w:t>
          </w:r>
          <w:r w:rsidRPr="009C6DC2">
            <w:rPr>
              <w:rFonts w:asciiTheme="majorBidi" w:hAnsiTheme="majorBidi" w:cstheme="majorBidi"/>
              <w:i/>
              <w:iCs/>
              <w:noProof/>
              <w:sz w:val="24"/>
              <w:szCs w:val="24"/>
              <w:lang w:val="en-US"/>
            </w:rPr>
            <w:t>Health services research, 50</w:t>
          </w:r>
          <w:r w:rsidRPr="009C6DC2">
            <w:rPr>
              <w:rFonts w:asciiTheme="majorBidi" w:hAnsiTheme="majorBidi" w:cstheme="majorBidi"/>
              <w:noProof/>
              <w:sz w:val="24"/>
              <w:szCs w:val="24"/>
              <w:lang w:val="en-US"/>
            </w:rPr>
            <w:t>(4), 1195–1210. doi:https://doi.org/10.1111/1475-6773.12275</w:t>
          </w:r>
        </w:p>
        <w:p w14:paraId="4E8E1D7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Forehand, M. R., &amp; Grier, S. (2003). When Is Honesty the Best Policy? The Effect of Stated Company Intent on Consumer Skeptisim. </w:t>
          </w:r>
          <w:r w:rsidRPr="009C6DC2">
            <w:rPr>
              <w:rFonts w:asciiTheme="majorBidi" w:hAnsiTheme="majorBidi" w:cstheme="majorBidi"/>
              <w:i/>
              <w:iCs/>
              <w:noProof/>
              <w:sz w:val="24"/>
              <w:szCs w:val="24"/>
              <w:lang w:val="en-US"/>
            </w:rPr>
            <w:t>Journal of Consumer Psychology, 13</w:t>
          </w:r>
          <w:r w:rsidRPr="009C6DC2">
            <w:rPr>
              <w:rFonts w:asciiTheme="majorBidi" w:hAnsiTheme="majorBidi" w:cstheme="majorBidi"/>
              <w:noProof/>
              <w:sz w:val="24"/>
              <w:szCs w:val="24"/>
              <w:lang w:val="en-US"/>
            </w:rPr>
            <w:t>(3), 349-356. Retrieved 06 17, 2021, from http://www.jstor.org/stable/1480223</w:t>
          </w:r>
        </w:p>
        <w:p w14:paraId="3D0D1A19" w14:textId="0F9C84F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Foroudi, P. (2019). Influence of brand signature, brand awareness, brand attitude, brand reputation on hotel industry’s brand performance. </w:t>
          </w:r>
          <w:r w:rsidRPr="009C6DC2">
            <w:rPr>
              <w:rFonts w:asciiTheme="majorBidi" w:hAnsiTheme="majorBidi" w:cstheme="majorBidi"/>
              <w:i/>
              <w:iCs/>
              <w:noProof/>
              <w:sz w:val="24"/>
              <w:szCs w:val="24"/>
              <w:lang w:val="en-US"/>
            </w:rPr>
            <w:t>International Journal of Hospitality Management, 76</w:t>
          </w:r>
          <w:r w:rsidRPr="009C6DC2">
            <w:rPr>
              <w:rFonts w:asciiTheme="majorBidi" w:hAnsiTheme="majorBidi" w:cstheme="majorBidi"/>
              <w:noProof/>
              <w:sz w:val="24"/>
              <w:szCs w:val="24"/>
              <w:lang w:val="en-US"/>
            </w:rPr>
            <w:t>, 271-285. doi:https://doi.org/10.1016/j.ijhm.2018.05.016</w:t>
          </w:r>
        </w:p>
        <w:p w14:paraId="3AAF0FF1" w14:textId="0183D13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Fosfuri , A., &amp; Giarratana, M. S. (2009). </w:t>
          </w:r>
          <w:r w:rsidRPr="009C6DC2">
            <w:rPr>
              <w:rFonts w:asciiTheme="majorBidi" w:hAnsiTheme="majorBidi" w:cstheme="majorBidi"/>
              <w:noProof/>
              <w:sz w:val="24"/>
              <w:szCs w:val="24"/>
              <w:lang w:val="en-US"/>
            </w:rPr>
            <w:t xml:space="preserve">Masters of War: Rivals' Product Innovation and New Advertising in Mature Product Markets. </w:t>
          </w:r>
          <w:r w:rsidRPr="009C6DC2">
            <w:rPr>
              <w:rFonts w:asciiTheme="majorBidi" w:hAnsiTheme="majorBidi" w:cstheme="majorBidi"/>
              <w:i/>
              <w:iCs/>
              <w:noProof/>
              <w:sz w:val="24"/>
              <w:szCs w:val="24"/>
              <w:lang w:val="en-US"/>
            </w:rPr>
            <w:t>Management Science, 55</w:t>
          </w:r>
          <w:r w:rsidRPr="009C6DC2">
            <w:rPr>
              <w:rFonts w:asciiTheme="majorBidi" w:hAnsiTheme="majorBidi" w:cstheme="majorBidi"/>
              <w:noProof/>
              <w:sz w:val="24"/>
              <w:szCs w:val="24"/>
              <w:lang w:val="en-US"/>
            </w:rPr>
            <w:t>(2), 181-191. doi:https://doi.org/10.1287/mnsc.1080.0939</w:t>
          </w:r>
        </w:p>
        <w:p w14:paraId="690368B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France, C., Merrilees, B., &amp; Miller , D. (2016). An integrated model of customer-brand engagement: drivers and consequences. </w:t>
          </w:r>
          <w:r w:rsidRPr="009C6DC2">
            <w:rPr>
              <w:rFonts w:asciiTheme="majorBidi" w:hAnsiTheme="majorBidi" w:cstheme="majorBidi"/>
              <w:i/>
              <w:iCs/>
              <w:noProof/>
              <w:sz w:val="24"/>
              <w:szCs w:val="24"/>
              <w:lang w:val="en-US"/>
            </w:rPr>
            <w:t>Journal of Brand Management, 23</w:t>
          </w:r>
          <w:r w:rsidRPr="009C6DC2">
            <w:rPr>
              <w:rFonts w:asciiTheme="majorBidi" w:hAnsiTheme="majorBidi" w:cstheme="majorBidi"/>
              <w:noProof/>
              <w:sz w:val="24"/>
              <w:szCs w:val="24"/>
              <w:lang w:val="en-US"/>
            </w:rPr>
            <w:t>(2), 119-136.</w:t>
          </w:r>
        </w:p>
        <w:p w14:paraId="42D612D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Francis, J. J., Johnston, M., Robertson, C., Glidewell, L., Entwistle, V., Eccles, M. P., &amp; Grimshaw, J. M. (2010). What is an adequate sample size? Operationalising data saturation for theory-driven interview studies. </w:t>
          </w:r>
          <w:r w:rsidRPr="009C6DC2">
            <w:rPr>
              <w:rFonts w:asciiTheme="majorBidi" w:hAnsiTheme="majorBidi" w:cstheme="majorBidi"/>
              <w:i/>
              <w:iCs/>
              <w:noProof/>
              <w:sz w:val="24"/>
              <w:szCs w:val="24"/>
              <w:lang w:val="en-US"/>
            </w:rPr>
            <w:t>Psychology and Health, 25</w:t>
          </w:r>
          <w:r w:rsidRPr="009C6DC2">
            <w:rPr>
              <w:rFonts w:asciiTheme="majorBidi" w:hAnsiTheme="majorBidi" w:cstheme="majorBidi"/>
              <w:noProof/>
              <w:sz w:val="24"/>
              <w:szCs w:val="24"/>
              <w:lang w:val="en-US"/>
            </w:rPr>
            <w:t>(10), 1229-1245. doi:https://doi.org/10.1080/08870440903194015</w:t>
          </w:r>
        </w:p>
        <w:p w14:paraId="299DCFCC" w14:textId="103143C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Frederick, W. C. (2016). Commentary: Corporate Social Responsibility: Deep Roots, Flourishing Growth, Promising Future. </w:t>
          </w:r>
          <w:r w:rsidRPr="009C6DC2">
            <w:rPr>
              <w:rFonts w:asciiTheme="majorBidi" w:hAnsiTheme="majorBidi" w:cstheme="majorBidi"/>
              <w:i/>
              <w:iCs/>
              <w:noProof/>
              <w:sz w:val="24"/>
              <w:szCs w:val="24"/>
              <w:lang w:val="en-US"/>
            </w:rPr>
            <w:t>Fronteirs in Psychology</w:t>
          </w:r>
          <w:r w:rsidRPr="009C6DC2">
            <w:rPr>
              <w:rFonts w:asciiTheme="majorBidi" w:hAnsiTheme="majorBidi" w:cstheme="majorBidi"/>
              <w:noProof/>
              <w:sz w:val="24"/>
              <w:szCs w:val="24"/>
              <w:lang w:val="en-US"/>
            </w:rPr>
            <w:t>. doi:https://doi.org/10.3389/fpsyg.2016.00129</w:t>
          </w:r>
        </w:p>
        <w:p w14:paraId="26398B1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Freeman, R. E., &amp; Dmytriyev, S. (2017). Corporate social responsibility and stakeholder theory: Learning from each other. </w:t>
          </w:r>
          <w:r w:rsidRPr="009C6DC2">
            <w:rPr>
              <w:rFonts w:asciiTheme="majorBidi" w:hAnsiTheme="majorBidi" w:cstheme="majorBidi"/>
              <w:i/>
              <w:iCs/>
              <w:noProof/>
              <w:sz w:val="24"/>
              <w:szCs w:val="24"/>
              <w:lang w:val="en-US"/>
            </w:rPr>
            <w:t>Emerging Issues in Management,</w:t>
          </w:r>
          <w:r w:rsidRPr="009C6DC2">
            <w:rPr>
              <w:rFonts w:asciiTheme="majorBidi" w:hAnsiTheme="majorBidi" w:cstheme="majorBidi"/>
              <w:noProof/>
              <w:sz w:val="24"/>
              <w:szCs w:val="24"/>
              <w:lang w:val="en-US"/>
            </w:rPr>
            <w:t>(1), 7-15. doi:http://dx.doi.org/10.4468/2017.1.02freeman.dmytriyev</w:t>
          </w:r>
        </w:p>
        <w:p w14:paraId="0899E43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Frenda, S., &amp; Banerjee, S. (2018). Deep analysis in aggressive Mexican tweets. </w:t>
          </w:r>
          <w:r w:rsidRPr="009C6DC2">
            <w:rPr>
              <w:rFonts w:asciiTheme="majorBidi" w:hAnsiTheme="majorBidi" w:cstheme="majorBidi"/>
              <w:i/>
              <w:iCs/>
              <w:noProof/>
              <w:sz w:val="24"/>
              <w:szCs w:val="24"/>
              <w:lang w:val="en-US"/>
            </w:rPr>
            <w:t>IberEval 2018 Evaluation of Human Language Technologies for Iberian Languages Workshop 2018.</w:t>
          </w:r>
          <w:r w:rsidRPr="009C6DC2">
            <w:rPr>
              <w:rFonts w:asciiTheme="majorBidi" w:hAnsiTheme="majorBidi" w:cstheme="majorBidi"/>
              <w:noProof/>
              <w:sz w:val="24"/>
              <w:szCs w:val="24"/>
              <w:lang w:val="en-US"/>
            </w:rPr>
            <w:t xml:space="preserve"> Spain.</w:t>
          </w:r>
        </w:p>
        <w:p w14:paraId="12D523A5" w14:textId="515BB52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Furley, P., &amp; Goldschmied, N. (2021). Systematic vs. Narrative Reviews in Sport and Exercise Psychology: Is Either Approach Superior to the Other? </w:t>
          </w:r>
          <w:r w:rsidRPr="009C6DC2">
            <w:rPr>
              <w:rFonts w:asciiTheme="majorBidi" w:hAnsiTheme="majorBidi" w:cstheme="majorBidi"/>
              <w:i/>
              <w:iCs/>
              <w:noProof/>
              <w:sz w:val="24"/>
              <w:szCs w:val="24"/>
              <w:lang w:val="en-US"/>
            </w:rPr>
            <w:t>Frontiers in Psychology, 12</w:t>
          </w:r>
          <w:r w:rsidRPr="009C6DC2">
            <w:rPr>
              <w:rFonts w:asciiTheme="majorBidi" w:hAnsiTheme="majorBidi" w:cstheme="majorBidi"/>
              <w:noProof/>
              <w:sz w:val="24"/>
              <w:szCs w:val="24"/>
              <w:lang w:val="en-US"/>
            </w:rPr>
            <w:t>. Retrieved 09 02, 2023, from https://www.frontiersin.org/articles/10.3389/fpsyg.2021.685082/full</w:t>
          </w:r>
        </w:p>
        <w:p w14:paraId="15C5289E" w14:textId="13F6E5B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Gabrieli, G., Lee, A., Setoh, P., &amp; Esposito, G. (2021). An Analysis of the Generalizability and Stability of the Halo Effect During the COVID-19 Pandemic Outbreak. </w:t>
          </w:r>
          <w:r w:rsidRPr="009C6DC2">
            <w:rPr>
              <w:rFonts w:asciiTheme="majorBidi" w:hAnsiTheme="majorBidi" w:cstheme="majorBidi"/>
              <w:i/>
              <w:iCs/>
              <w:noProof/>
              <w:sz w:val="24"/>
              <w:szCs w:val="24"/>
              <w:lang w:val="en-US"/>
            </w:rPr>
            <w:t>Frontiers in Psychology</w:t>
          </w:r>
          <w:r w:rsidRPr="009C6DC2">
            <w:rPr>
              <w:rFonts w:asciiTheme="majorBidi" w:hAnsiTheme="majorBidi" w:cstheme="majorBidi"/>
              <w:noProof/>
              <w:sz w:val="24"/>
              <w:szCs w:val="24"/>
              <w:lang w:val="en-US"/>
            </w:rPr>
            <w:t>. doi:https://doi.org/10.3389/fpsyg.2021.631871</w:t>
          </w:r>
        </w:p>
        <w:p w14:paraId="47B3E74D" w14:textId="1B9C1B0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Galal, S. (2022). </w:t>
          </w:r>
          <w:r w:rsidRPr="009C6DC2">
            <w:rPr>
              <w:rFonts w:asciiTheme="majorBidi" w:hAnsiTheme="majorBidi" w:cstheme="majorBidi"/>
              <w:i/>
              <w:iCs/>
              <w:noProof/>
              <w:sz w:val="24"/>
              <w:szCs w:val="24"/>
              <w:lang w:val="en-US"/>
            </w:rPr>
            <w:t>Number of social media users in Egypt as of December 2021, by platform</w:t>
          </w:r>
          <w:r w:rsidRPr="009C6DC2">
            <w:rPr>
              <w:rFonts w:asciiTheme="majorBidi" w:hAnsiTheme="majorBidi" w:cstheme="majorBidi"/>
              <w:noProof/>
              <w:sz w:val="24"/>
              <w:szCs w:val="24"/>
              <w:lang w:val="en-US"/>
            </w:rPr>
            <w:t>. Retrieved from Statista: https://www.statista.com/statistics/1263755/social-media-users-by-platform-in-egypt/</w:t>
          </w:r>
        </w:p>
        <w:p w14:paraId="5BBD4DC3" w14:textId="77777777" w:rsidR="006E2490" w:rsidRPr="009C6DC2" w:rsidRDefault="006E2490" w:rsidP="006E2490">
          <w:pPr>
            <w:ind w:left="720" w:hanging="720"/>
            <w:rPr>
              <w:rFonts w:asciiTheme="majorBidi" w:hAnsiTheme="majorBidi" w:cstheme="majorBidi"/>
              <w:noProof/>
              <w:sz w:val="24"/>
              <w:szCs w:val="24"/>
              <w:lang w:val="sv-SE"/>
            </w:rPr>
          </w:pPr>
          <w:r w:rsidRPr="009C6DC2">
            <w:rPr>
              <w:rFonts w:asciiTheme="majorBidi" w:hAnsiTheme="majorBidi" w:cstheme="majorBidi"/>
              <w:noProof/>
              <w:sz w:val="24"/>
              <w:szCs w:val="24"/>
              <w:lang w:val="en-US"/>
            </w:rPr>
            <w:t xml:space="preserve">Galal, S. (2023). </w:t>
          </w:r>
          <w:r w:rsidRPr="009C6DC2">
            <w:rPr>
              <w:rFonts w:asciiTheme="majorBidi" w:hAnsiTheme="majorBidi" w:cstheme="majorBidi"/>
              <w:i/>
              <w:iCs/>
              <w:noProof/>
              <w:sz w:val="24"/>
              <w:szCs w:val="24"/>
              <w:lang w:val="en-US"/>
            </w:rPr>
            <w:t>Male labor force participation rate in Egypt 2012-2022.</w:t>
          </w:r>
          <w:r w:rsidRPr="009C6DC2">
            <w:rPr>
              <w:rFonts w:asciiTheme="majorBidi" w:hAnsiTheme="majorBidi" w:cstheme="majorBidi"/>
              <w:noProof/>
              <w:sz w:val="24"/>
              <w:szCs w:val="24"/>
              <w:lang w:val="en-US"/>
            </w:rPr>
            <w:t xml:space="preserve"> </w:t>
          </w:r>
          <w:r w:rsidRPr="009C6DC2">
            <w:rPr>
              <w:rFonts w:asciiTheme="majorBidi" w:hAnsiTheme="majorBidi" w:cstheme="majorBidi"/>
              <w:noProof/>
              <w:sz w:val="24"/>
              <w:szCs w:val="24"/>
              <w:lang w:val="sv-SE"/>
            </w:rPr>
            <w:t>Statista. doi:https://www.statista.com/statistics/1294939/male-labor-force-participation-rate-in-egypt/</w:t>
          </w:r>
        </w:p>
        <w:p w14:paraId="085D150C" w14:textId="264A429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Gallardo-Vázquez, D., Valdez-Juárez, L. E., &amp; Lizcano-Álvarez, J. L. (2019). </w:t>
          </w:r>
          <w:r w:rsidRPr="009C6DC2">
            <w:rPr>
              <w:rFonts w:asciiTheme="majorBidi" w:hAnsiTheme="majorBidi" w:cstheme="majorBidi"/>
              <w:noProof/>
              <w:sz w:val="24"/>
              <w:szCs w:val="24"/>
              <w:lang w:val="en-US"/>
            </w:rPr>
            <w:t xml:space="preserve">Corporate Social Responsibility and Intellectual Capital: Sources of Competitiveness and Legitimacy in Organizations’ Management Practices. </w:t>
          </w:r>
          <w:r w:rsidRPr="009C6DC2">
            <w:rPr>
              <w:rFonts w:asciiTheme="majorBidi" w:hAnsiTheme="majorBidi" w:cstheme="majorBidi"/>
              <w:i/>
              <w:iCs/>
              <w:noProof/>
              <w:sz w:val="24"/>
              <w:szCs w:val="24"/>
              <w:lang w:val="en-US"/>
            </w:rPr>
            <w:t>Sustainability, 11</w:t>
          </w:r>
          <w:r w:rsidRPr="009C6DC2">
            <w:rPr>
              <w:rFonts w:asciiTheme="majorBidi" w:hAnsiTheme="majorBidi" w:cstheme="majorBidi"/>
              <w:noProof/>
              <w:sz w:val="24"/>
              <w:szCs w:val="24"/>
              <w:lang w:val="en-US"/>
            </w:rPr>
            <w:t>(20). doi:https://doi.org/10.3390/su11205843</w:t>
          </w:r>
        </w:p>
        <w:p w14:paraId="75FD33B7" w14:textId="2F4BA54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Gallbreath, J. (2010). How does corporate social responsibility benefit firms? Evidence from Australia. </w:t>
          </w:r>
          <w:r w:rsidRPr="009C6DC2">
            <w:rPr>
              <w:rFonts w:asciiTheme="majorBidi" w:hAnsiTheme="majorBidi" w:cstheme="majorBidi"/>
              <w:i/>
              <w:iCs/>
              <w:noProof/>
              <w:sz w:val="24"/>
              <w:szCs w:val="24"/>
              <w:lang w:val="en-US"/>
            </w:rPr>
            <w:t>European Business Review, 22</w:t>
          </w:r>
          <w:r w:rsidRPr="009C6DC2">
            <w:rPr>
              <w:rFonts w:asciiTheme="majorBidi" w:hAnsiTheme="majorBidi" w:cstheme="majorBidi"/>
              <w:noProof/>
              <w:sz w:val="24"/>
              <w:szCs w:val="24"/>
              <w:lang w:val="en-US"/>
            </w:rPr>
            <w:t>(4), 411-431. doi: https://doi-org.lsbu.idm.oclc.org/10.1108/09555341011056186</w:t>
          </w:r>
        </w:p>
        <w:p w14:paraId="0DB5E2D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Ganzeboom, H. B., &amp; Treiman, D. J. (2003). Chapter 9: Three Internationally Standardised Measures for Comparative Research on Occupational Status. In J. H. Hoffmeyer-Zlotnik, &amp; C. Wolf, </w:t>
          </w:r>
          <w:r w:rsidRPr="009C6DC2">
            <w:rPr>
              <w:rFonts w:asciiTheme="majorBidi" w:hAnsiTheme="majorBidi" w:cstheme="majorBidi"/>
              <w:i/>
              <w:iCs/>
              <w:noProof/>
              <w:sz w:val="24"/>
              <w:szCs w:val="24"/>
              <w:lang w:val="en-US"/>
            </w:rPr>
            <w:t>Advances in Cross-National Comparison: A European Working Book for Demographic and Socio-Economic Variables</w:t>
          </w:r>
          <w:r w:rsidRPr="009C6DC2">
            <w:rPr>
              <w:rFonts w:asciiTheme="majorBidi" w:hAnsiTheme="majorBidi" w:cstheme="majorBidi"/>
              <w:noProof/>
              <w:sz w:val="24"/>
              <w:szCs w:val="24"/>
              <w:lang w:val="en-US"/>
            </w:rPr>
            <w:t xml:space="preserve"> (pp. 159-193). doi:10.1007/978-1-4419-9186-7</w:t>
          </w:r>
        </w:p>
        <w:p w14:paraId="15CB8F7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García-Avilés, J. A. (2020). Reinventing Television News: Innovative Formats in a Social Media Environment. In </w:t>
          </w:r>
          <w:r w:rsidRPr="009C6DC2">
            <w:rPr>
              <w:rFonts w:asciiTheme="majorBidi" w:hAnsiTheme="majorBidi" w:cstheme="majorBidi"/>
              <w:i/>
              <w:iCs/>
              <w:noProof/>
              <w:sz w:val="24"/>
              <w:szCs w:val="24"/>
              <w:lang w:val="en-US"/>
            </w:rPr>
            <w:t>Journalistic Metamorphis</w:t>
          </w:r>
          <w:r w:rsidRPr="009C6DC2">
            <w:rPr>
              <w:rFonts w:asciiTheme="majorBidi" w:hAnsiTheme="majorBidi" w:cstheme="majorBidi"/>
              <w:noProof/>
              <w:sz w:val="24"/>
              <w:szCs w:val="24"/>
              <w:lang w:val="en-US"/>
            </w:rPr>
            <w:t xml:space="preserve"> (pp. 143-155). Springer Link. Retrieved 01 22, 2022, from https://link.springer.com/chapter/10.1007/978-3-030-36315-4_11</w:t>
          </w:r>
        </w:p>
        <w:p w14:paraId="3D4CC29E" w14:textId="73CCBFF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García-Jiménez, J. V., Ruiz-de-Maya, S., &amp; López-López, I. (2017). The impact of congruence between the CSR activity and the company's core business on consumer response to CSR. </w:t>
          </w:r>
          <w:r w:rsidRPr="009C6DC2">
            <w:rPr>
              <w:rFonts w:asciiTheme="majorBidi" w:hAnsiTheme="majorBidi" w:cstheme="majorBidi"/>
              <w:i/>
              <w:iCs/>
              <w:noProof/>
              <w:sz w:val="24"/>
              <w:szCs w:val="24"/>
              <w:lang w:val="en-US"/>
            </w:rPr>
            <w:t>Spanish Journal of Marketing - ESIC, 21</w:t>
          </w:r>
          <w:r w:rsidRPr="009C6DC2">
            <w:rPr>
              <w:rFonts w:asciiTheme="majorBidi" w:hAnsiTheme="majorBidi" w:cstheme="majorBidi"/>
              <w:noProof/>
              <w:sz w:val="24"/>
              <w:szCs w:val="24"/>
              <w:lang w:val="en-US"/>
            </w:rPr>
            <w:t>(1), 26-38. doi:https://doi.org/10.1016/j.sjme.2017.01.001</w:t>
          </w:r>
        </w:p>
        <w:p w14:paraId="44D30C2D" w14:textId="650A574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García-Sánchez, I.-M., Rodríguez-Ariza, L., Aibar-Guzmán, B., &amp; Aibar-Guzmán, C. (2020). Do institutional investors drive corporate transparency regarding business contribution to the sustainable development goals? </w:t>
          </w:r>
          <w:r w:rsidRPr="009C6DC2">
            <w:rPr>
              <w:rFonts w:asciiTheme="majorBidi" w:hAnsiTheme="majorBidi" w:cstheme="majorBidi"/>
              <w:i/>
              <w:iCs/>
              <w:noProof/>
              <w:sz w:val="24"/>
              <w:szCs w:val="24"/>
              <w:lang w:val="en-US"/>
            </w:rPr>
            <w:t>Business Strategy and Environment, 29</w:t>
          </w:r>
          <w:r w:rsidRPr="009C6DC2">
            <w:rPr>
              <w:rFonts w:asciiTheme="majorBidi" w:hAnsiTheme="majorBidi" w:cstheme="majorBidi"/>
              <w:noProof/>
              <w:sz w:val="24"/>
              <w:szCs w:val="24"/>
              <w:lang w:val="en-US"/>
            </w:rPr>
            <w:t>(5), 2019-2036. Retrieved 02 17, 2023, from https://doi.org/10.1002/bse.2485</w:t>
          </w:r>
        </w:p>
        <w:p w14:paraId="6F86FFF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Garg, S., &amp; Sharma, V. (2017). Green Marketing: An Emerging Approach to Sustainable Development. </w:t>
          </w:r>
          <w:r w:rsidRPr="009C6DC2">
            <w:rPr>
              <w:rFonts w:asciiTheme="majorBidi" w:hAnsiTheme="majorBidi" w:cstheme="majorBidi"/>
              <w:i/>
              <w:iCs/>
              <w:noProof/>
              <w:sz w:val="24"/>
              <w:szCs w:val="24"/>
              <w:lang w:val="en-US"/>
            </w:rPr>
            <w:t>International Journal of Applied Agricultural Research, 12</w:t>
          </w:r>
          <w:r w:rsidRPr="009C6DC2">
            <w:rPr>
              <w:rFonts w:asciiTheme="majorBidi" w:hAnsiTheme="majorBidi" w:cstheme="majorBidi"/>
              <w:noProof/>
              <w:sz w:val="24"/>
              <w:szCs w:val="24"/>
              <w:lang w:val="en-US"/>
            </w:rPr>
            <w:t>(2), 177-184. Retrieved 05 14, 2023, from https://www.ripublication.com/ijaar17/ijaarv12n2_07.pdf</w:t>
          </w:r>
        </w:p>
        <w:p w14:paraId="2915F2C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Gary, D. E. (2018). </w:t>
          </w:r>
          <w:r w:rsidRPr="009C6DC2">
            <w:rPr>
              <w:rFonts w:asciiTheme="majorBidi" w:hAnsiTheme="majorBidi" w:cstheme="majorBidi"/>
              <w:i/>
              <w:iCs/>
              <w:noProof/>
              <w:sz w:val="24"/>
              <w:szCs w:val="24"/>
              <w:lang w:val="en-US"/>
            </w:rPr>
            <w:t>Doing Research in the Real World</w:t>
          </w:r>
          <w:r w:rsidRPr="009C6DC2">
            <w:rPr>
              <w:rFonts w:asciiTheme="majorBidi" w:hAnsiTheme="majorBidi" w:cstheme="majorBidi"/>
              <w:noProof/>
              <w:sz w:val="24"/>
              <w:szCs w:val="24"/>
              <w:lang w:val="en-US"/>
            </w:rPr>
            <w:t xml:space="preserve"> (4th ed.). Sage Publishing. Retrieved 11 11, 2022</w:t>
          </w:r>
        </w:p>
        <w:p w14:paraId="4A10A778" w14:textId="6A62236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Gatti, L., Caruana, A., &amp; Snehota, I. (2012). The role of corporate social responsibility, perceived uality and corporate reputation on purchase intention: Implications for brand management. </w:t>
          </w:r>
          <w:r w:rsidRPr="009C6DC2">
            <w:rPr>
              <w:rFonts w:asciiTheme="majorBidi" w:hAnsiTheme="majorBidi" w:cstheme="majorBidi"/>
              <w:i/>
              <w:iCs/>
              <w:noProof/>
              <w:sz w:val="24"/>
              <w:szCs w:val="24"/>
              <w:lang w:val="en-US"/>
            </w:rPr>
            <w:t>Journal of brand Management, 20</w:t>
          </w:r>
          <w:r w:rsidRPr="009C6DC2">
            <w:rPr>
              <w:rFonts w:asciiTheme="majorBidi" w:hAnsiTheme="majorBidi" w:cstheme="majorBidi"/>
              <w:noProof/>
              <w:sz w:val="24"/>
              <w:szCs w:val="24"/>
              <w:lang w:val="en-US"/>
            </w:rPr>
            <w:t>, 65-76. doi:https://doi.org/10.1057/bm.2012.2</w:t>
          </w:r>
        </w:p>
        <w:p w14:paraId="7BF5903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Gefen, D., &amp; Straub, D. (2005). A Practical Guide To Factorial Validity Using PLS-Graph: Tutorial And Annotated Example. </w:t>
          </w:r>
          <w:r w:rsidRPr="009C6DC2">
            <w:rPr>
              <w:rFonts w:asciiTheme="majorBidi" w:hAnsiTheme="majorBidi" w:cstheme="majorBidi"/>
              <w:i/>
              <w:iCs/>
              <w:noProof/>
              <w:sz w:val="24"/>
              <w:szCs w:val="24"/>
              <w:lang w:val="en-US"/>
            </w:rPr>
            <w:t>Communications of the Association for Information Systems, 16</w:t>
          </w:r>
          <w:r w:rsidRPr="009C6DC2">
            <w:rPr>
              <w:rFonts w:asciiTheme="majorBidi" w:hAnsiTheme="majorBidi" w:cstheme="majorBidi"/>
              <w:noProof/>
              <w:sz w:val="24"/>
              <w:szCs w:val="24"/>
              <w:lang w:val="en-US"/>
            </w:rPr>
            <w:t>. doi:https://doi.org/10.17705/1CAIS.01605</w:t>
          </w:r>
        </w:p>
        <w:p w14:paraId="16AB78B6" w14:textId="7BE02B5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Geiger, I., Dost, F., Schönhoff, A., &amp; Kleinaltenkamp, M. (2015). </w:t>
          </w:r>
          <w:r w:rsidRPr="009C6DC2">
            <w:rPr>
              <w:rFonts w:asciiTheme="majorBidi" w:hAnsiTheme="majorBidi" w:cstheme="majorBidi"/>
              <w:noProof/>
              <w:sz w:val="24"/>
              <w:szCs w:val="24"/>
              <w:lang w:val="en-US"/>
            </w:rPr>
            <w:t xml:space="preserve">Which types of multi-stage marketing increase direct customers' willingness-to-pay? Evidence from a scenario-based experiment in a B2B setting. </w:t>
          </w:r>
          <w:r w:rsidRPr="009C6DC2">
            <w:rPr>
              <w:rFonts w:asciiTheme="majorBidi" w:hAnsiTheme="majorBidi" w:cstheme="majorBidi"/>
              <w:i/>
              <w:iCs/>
              <w:noProof/>
              <w:sz w:val="24"/>
              <w:szCs w:val="24"/>
              <w:lang w:val="en-US"/>
            </w:rPr>
            <w:t>Industrial Marketing Management, 47</w:t>
          </w:r>
          <w:r w:rsidRPr="009C6DC2">
            <w:rPr>
              <w:rFonts w:asciiTheme="majorBidi" w:hAnsiTheme="majorBidi" w:cstheme="majorBidi"/>
              <w:noProof/>
              <w:sz w:val="24"/>
              <w:szCs w:val="24"/>
              <w:lang w:val="en-US"/>
            </w:rPr>
            <w:t>, 175-189. doi:https://doi.org/10.1016/j.indmarman.2015.02.042</w:t>
          </w:r>
        </w:p>
        <w:p w14:paraId="4B429E08" w14:textId="208CA989"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Gendel Guterman, H., &amp; Levy, S. (2017). </w:t>
          </w:r>
          <w:r w:rsidRPr="009C6DC2">
            <w:rPr>
              <w:rFonts w:asciiTheme="majorBidi" w:hAnsiTheme="majorBidi" w:cstheme="majorBidi"/>
              <w:noProof/>
              <w:sz w:val="24"/>
              <w:szCs w:val="24"/>
              <w:lang w:val="en-US"/>
            </w:rPr>
            <w:t xml:space="preserve">Consumer response to private label brands’ negative publicity: a relational effect on retailer’s store image. </w:t>
          </w:r>
          <w:r w:rsidRPr="009C6DC2">
            <w:rPr>
              <w:rFonts w:asciiTheme="majorBidi" w:hAnsiTheme="majorBidi" w:cstheme="majorBidi"/>
              <w:i/>
              <w:iCs/>
              <w:noProof/>
              <w:sz w:val="24"/>
              <w:szCs w:val="24"/>
              <w:lang w:val="en-US"/>
            </w:rPr>
            <w:t>Journal of Product and Brand management, 26</w:t>
          </w:r>
          <w:r w:rsidRPr="009C6DC2">
            <w:rPr>
              <w:rFonts w:asciiTheme="majorBidi" w:hAnsiTheme="majorBidi" w:cstheme="majorBidi"/>
              <w:noProof/>
              <w:sz w:val="24"/>
              <w:szCs w:val="24"/>
              <w:lang w:val="en-US"/>
            </w:rPr>
            <w:t>(02), 204-222. doi:10.1108/JPBM-05-2015-0880</w:t>
          </w:r>
        </w:p>
        <w:p w14:paraId="55B5706C" w14:textId="0F4BD13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George, T. (2022). </w:t>
          </w:r>
          <w:r w:rsidRPr="009C6DC2">
            <w:rPr>
              <w:rFonts w:asciiTheme="majorBidi" w:hAnsiTheme="majorBidi" w:cstheme="majorBidi"/>
              <w:i/>
              <w:iCs/>
              <w:noProof/>
              <w:sz w:val="24"/>
              <w:szCs w:val="24"/>
              <w:lang w:val="en-US"/>
            </w:rPr>
            <w:t>Semi-Structured Interview | Definition, Guide &amp; Examples</w:t>
          </w:r>
          <w:r w:rsidRPr="009C6DC2">
            <w:rPr>
              <w:rFonts w:asciiTheme="majorBidi" w:hAnsiTheme="majorBidi" w:cstheme="majorBidi"/>
              <w:noProof/>
              <w:sz w:val="24"/>
              <w:szCs w:val="24"/>
              <w:lang w:val="en-US"/>
            </w:rPr>
            <w:t>. Retrieved from Scribbr: https://www.scribbr.com/methodology/semi-structured-interview/</w:t>
          </w:r>
        </w:p>
        <w:p w14:paraId="2CA6BF12" w14:textId="38847CD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Georgiadou, E. (2022). Communicating customer-CSR expectations on corporate websites: an analysis of the banking industry in the United Arab Emirates. </w:t>
          </w:r>
          <w:r w:rsidRPr="009C6DC2">
            <w:rPr>
              <w:rFonts w:asciiTheme="majorBidi" w:hAnsiTheme="majorBidi" w:cstheme="majorBidi"/>
              <w:i/>
              <w:iCs/>
              <w:noProof/>
              <w:sz w:val="24"/>
              <w:szCs w:val="24"/>
              <w:lang w:val="en-US"/>
            </w:rPr>
            <w:t>Corporate Communications: An International Journal, 27</w:t>
          </w:r>
          <w:r w:rsidRPr="009C6DC2">
            <w:rPr>
              <w:rFonts w:asciiTheme="majorBidi" w:hAnsiTheme="majorBidi" w:cstheme="majorBidi"/>
              <w:noProof/>
              <w:sz w:val="24"/>
              <w:szCs w:val="24"/>
              <w:lang w:val="en-US"/>
            </w:rPr>
            <w:t>(4), 654-673. doi:10.1108/CCIJ-08-2021-0083</w:t>
          </w:r>
        </w:p>
        <w:p w14:paraId="13FCD53B" w14:textId="433D33A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Georgiadou, E., &amp; Nickerson, C. (2021). Marketing strategies in communicating CSR in the Muslim market of the United Arab Emirates: insights from the banking sector. </w:t>
          </w:r>
          <w:r w:rsidRPr="009C6DC2">
            <w:rPr>
              <w:rFonts w:asciiTheme="majorBidi" w:hAnsiTheme="majorBidi" w:cstheme="majorBidi"/>
              <w:i/>
              <w:iCs/>
              <w:noProof/>
              <w:sz w:val="24"/>
              <w:szCs w:val="24"/>
              <w:lang w:val="en-US"/>
            </w:rPr>
            <w:t>Journal of Islamic Marketing, 13</w:t>
          </w:r>
          <w:r w:rsidRPr="009C6DC2">
            <w:rPr>
              <w:rFonts w:asciiTheme="majorBidi" w:hAnsiTheme="majorBidi" w:cstheme="majorBidi"/>
              <w:noProof/>
              <w:sz w:val="24"/>
              <w:szCs w:val="24"/>
              <w:lang w:val="en-US"/>
            </w:rPr>
            <w:t>(7), 1417-1435. Retrieved 12 06, 2022, from https://doi.org/10.1108/JIMA-09-2020-0274</w:t>
          </w:r>
        </w:p>
        <w:p w14:paraId="658CFB0B" w14:textId="053628D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Gharib, R. K., Philpott, E., &amp; Duan, Y. (201</w:t>
          </w:r>
          <w:r w:rsidR="008D1D81">
            <w:rPr>
              <w:rFonts w:asciiTheme="majorBidi" w:hAnsiTheme="majorBidi" w:cstheme="majorBidi"/>
              <w:noProof/>
              <w:sz w:val="24"/>
              <w:szCs w:val="24"/>
              <w:lang w:val="en-US"/>
            </w:rPr>
            <w:t>7</w:t>
          </w:r>
          <w:r w:rsidRPr="009C6DC2">
            <w:rPr>
              <w:rFonts w:asciiTheme="majorBidi" w:hAnsiTheme="majorBidi" w:cstheme="majorBidi"/>
              <w:noProof/>
              <w:sz w:val="24"/>
              <w:szCs w:val="24"/>
              <w:lang w:val="en-US"/>
            </w:rPr>
            <w:t xml:space="preserve">). Factors affecting active participation in B2B online communities: An empirical investigation. </w:t>
          </w:r>
          <w:r w:rsidRPr="009C6DC2">
            <w:rPr>
              <w:rFonts w:asciiTheme="majorBidi" w:hAnsiTheme="majorBidi" w:cstheme="majorBidi"/>
              <w:i/>
              <w:iCs/>
              <w:noProof/>
              <w:sz w:val="24"/>
              <w:szCs w:val="24"/>
              <w:lang w:val="en-US"/>
            </w:rPr>
            <w:t>Information &amp; Management, 54</w:t>
          </w:r>
          <w:r w:rsidRPr="009C6DC2">
            <w:rPr>
              <w:rFonts w:asciiTheme="majorBidi" w:hAnsiTheme="majorBidi" w:cstheme="majorBidi"/>
              <w:noProof/>
              <w:sz w:val="24"/>
              <w:szCs w:val="24"/>
              <w:lang w:val="en-US"/>
            </w:rPr>
            <w:t>(4), 516-530. doi:https://doi.org/10.1016/j.im.2016.11.004</w:t>
          </w:r>
        </w:p>
        <w:p w14:paraId="6C87C131" w14:textId="3CE4E2E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Ghasemi, A., &amp; Zahediasl, S. (2012). Normality Tests for Statistical Analysis: A Guide for Non-Statisticians. </w:t>
          </w:r>
          <w:r w:rsidRPr="009C6DC2">
            <w:rPr>
              <w:rFonts w:asciiTheme="majorBidi" w:hAnsiTheme="majorBidi" w:cstheme="majorBidi"/>
              <w:i/>
              <w:iCs/>
              <w:noProof/>
              <w:sz w:val="24"/>
              <w:szCs w:val="24"/>
              <w:lang w:val="en-US"/>
            </w:rPr>
            <w:t>International Journal of Endocrinology and Metabolism, 10</w:t>
          </w:r>
          <w:r w:rsidRPr="009C6DC2">
            <w:rPr>
              <w:rFonts w:asciiTheme="majorBidi" w:hAnsiTheme="majorBidi" w:cstheme="majorBidi"/>
              <w:noProof/>
              <w:sz w:val="24"/>
              <w:szCs w:val="24"/>
              <w:lang w:val="en-US"/>
            </w:rPr>
            <w:t>(2), 486-489. doi:10.5812/ijem.3505</w:t>
          </w:r>
        </w:p>
        <w:p w14:paraId="2F0B59B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Ghiara, V. (2020). Disambiguating the Role of Paradigms in Mixed Methods Research. </w:t>
          </w:r>
          <w:r w:rsidRPr="009C6DC2">
            <w:rPr>
              <w:rFonts w:asciiTheme="majorBidi" w:hAnsiTheme="majorBidi" w:cstheme="majorBidi"/>
              <w:i/>
              <w:iCs/>
              <w:noProof/>
              <w:sz w:val="24"/>
              <w:szCs w:val="24"/>
              <w:lang w:val="en-US"/>
            </w:rPr>
            <w:t>Journal of Mixed Methods Research, 14</w:t>
          </w:r>
          <w:r w:rsidRPr="009C6DC2">
            <w:rPr>
              <w:rFonts w:asciiTheme="majorBidi" w:hAnsiTheme="majorBidi" w:cstheme="majorBidi"/>
              <w:noProof/>
              <w:sz w:val="24"/>
              <w:szCs w:val="24"/>
              <w:lang w:val="en-US"/>
            </w:rPr>
            <w:t>(1), 11-25. doi:https://doi.org/10.1177/1558689818819928</w:t>
          </w:r>
        </w:p>
        <w:p w14:paraId="617E282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Given, L. M. (2016). </w:t>
          </w:r>
          <w:r w:rsidRPr="00580ABB">
            <w:rPr>
              <w:rFonts w:asciiTheme="majorBidi" w:hAnsiTheme="majorBidi" w:cstheme="majorBidi"/>
              <w:noProof/>
              <w:sz w:val="24"/>
              <w:szCs w:val="24"/>
              <w:lang w:val="en-US"/>
            </w:rPr>
            <w:t>100 Questions (and Answers) About Qualitative Research.</w:t>
          </w:r>
          <w:r w:rsidRPr="009C6DC2">
            <w:rPr>
              <w:rFonts w:asciiTheme="majorBidi" w:hAnsiTheme="majorBidi" w:cstheme="majorBidi"/>
              <w:noProof/>
              <w:sz w:val="24"/>
              <w:szCs w:val="24"/>
              <w:lang w:val="en-US"/>
            </w:rPr>
            <w:t xml:space="preserve"> Sage Publications.</w:t>
          </w:r>
        </w:p>
        <w:p w14:paraId="3FD87754" w14:textId="10AF683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Go, E., &amp; Bortree, D. S. (2017). What and How to Communicate CSR? The Role of CSR fit, Modality Interactivity, and Message Interactivity on Social Networking Sites. </w:t>
          </w:r>
          <w:r w:rsidRPr="009C6DC2">
            <w:rPr>
              <w:rFonts w:asciiTheme="majorBidi" w:hAnsiTheme="majorBidi" w:cstheme="majorBidi"/>
              <w:i/>
              <w:iCs/>
              <w:noProof/>
              <w:sz w:val="24"/>
              <w:szCs w:val="24"/>
              <w:lang w:val="en-US"/>
            </w:rPr>
            <w:t>Journal of Promotion Management, 23</w:t>
          </w:r>
          <w:r w:rsidRPr="009C6DC2">
            <w:rPr>
              <w:rFonts w:asciiTheme="majorBidi" w:hAnsiTheme="majorBidi" w:cstheme="majorBidi"/>
              <w:noProof/>
              <w:sz w:val="24"/>
              <w:szCs w:val="24"/>
              <w:lang w:val="en-US"/>
            </w:rPr>
            <w:t>(5), 727-747. doi:https://doi.org/10.1080/10496491.2017.1297983</w:t>
          </w:r>
        </w:p>
        <w:p w14:paraId="6E66ACB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Goby, V. P., &amp; Nickerson , C. (2016). Conceptualization of CSR Among Muslim Consumers in Dubai: Evolving from Philanthropy to Ethical and Economic Orientations. </w:t>
          </w:r>
          <w:r w:rsidRPr="009C6DC2">
            <w:rPr>
              <w:rFonts w:asciiTheme="majorBidi" w:hAnsiTheme="majorBidi" w:cstheme="majorBidi"/>
              <w:i/>
              <w:iCs/>
              <w:noProof/>
              <w:sz w:val="24"/>
              <w:szCs w:val="24"/>
              <w:lang w:val="en-US"/>
            </w:rPr>
            <w:t>Journal of Business Ethics, 136</w:t>
          </w:r>
          <w:r w:rsidRPr="009C6DC2">
            <w:rPr>
              <w:rFonts w:asciiTheme="majorBidi" w:hAnsiTheme="majorBidi" w:cstheme="majorBidi"/>
              <w:noProof/>
              <w:sz w:val="24"/>
              <w:szCs w:val="24"/>
              <w:lang w:val="en-US"/>
            </w:rPr>
            <w:t>, 167-179. Retrieved 12 03, 2022, from https://doi.org/10.1007/s10551-014-2521-0</w:t>
          </w:r>
        </w:p>
        <w:p w14:paraId="73FC5166" w14:textId="228C98D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Goel, D., &amp; Upadhyay, R. (2017). Effectiveness of use of Animation in Advertising: A Literature Review. </w:t>
          </w:r>
          <w:r w:rsidRPr="009C6DC2">
            <w:rPr>
              <w:rFonts w:asciiTheme="majorBidi" w:hAnsiTheme="majorBidi" w:cstheme="majorBidi"/>
              <w:i/>
              <w:iCs/>
              <w:noProof/>
              <w:sz w:val="24"/>
              <w:szCs w:val="24"/>
              <w:lang w:val="en-US"/>
            </w:rPr>
            <w:t>IJSRNSC, 05</w:t>
          </w:r>
          <w:r w:rsidRPr="009C6DC2">
            <w:rPr>
              <w:rFonts w:asciiTheme="majorBidi" w:hAnsiTheme="majorBidi" w:cstheme="majorBidi"/>
              <w:noProof/>
              <w:sz w:val="24"/>
              <w:szCs w:val="24"/>
              <w:lang w:val="en-US"/>
            </w:rPr>
            <w:t>(03). Retrieved 02 01, 2022, from https://www.semanticscholar.org/paper/Effectiveness-of-use-of-Animation-in-Advertising%3A-A-Goel-Upadhyay/555b5a942db0a0dc52bfc86a74489be23094c4ed</w:t>
          </w:r>
        </w:p>
        <w:p w14:paraId="31CBB85B" w14:textId="4A42449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Gök, O., Ersoy, P., &amp; Börühan, G. (2019). </w:t>
          </w:r>
          <w:r w:rsidRPr="009C6DC2">
            <w:rPr>
              <w:rFonts w:asciiTheme="majorBidi" w:hAnsiTheme="majorBidi" w:cstheme="majorBidi"/>
              <w:noProof/>
              <w:sz w:val="24"/>
              <w:szCs w:val="24"/>
              <w:lang w:val="en-US"/>
            </w:rPr>
            <w:t xml:space="preserve">The effect of user manual quality on customer satisfaction: The mediating effect of perceived product quality. </w:t>
          </w:r>
          <w:r w:rsidRPr="009C6DC2">
            <w:rPr>
              <w:rFonts w:asciiTheme="majorBidi" w:hAnsiTheme="majorBidi" w:cstheme="majorBidi"/>
              <w:i/>
              <w:iCs/>
              <w:noProof/>
              <w:sz w:val="24"/>
              <w:szCs w:val="24"/>
              <w:lang w:val="en-US"/>
            </w:rPr>
            <w:t>Journal of Product and Brand Management, 28</w:t>
          </w:r>
          <w:r w:rsidRPr="009C6DC2">
            <w:rPr>
              <w:rFonts w:asciiTheme="majorBidi" w:hAnsiTheme="majorBidi" w:cstheme="majorBidi"/>
              <w:noProof/>
              <w:sz w:val="24"/>
              <w:szCs w:val="24"/>
              <w:lang w:val="en-US"/>
            </w:rPr>
            <w:t>(03). doi:10.1108/JPBM-10-2018-2054</w:t>
          </w:r>
        </w:p>
        <w:p w14:paraId="6F6C501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Gómez-Rico, M., Molina-Collado, A., Santos-Vijande, M. L., Molina-Collado, M. V., &amp; Imhoff , B. (2023). The role of novel instruments of brand communication and brand image in building consumers’ brand preference and intention to visit wineries. </w:t>
          </w:r>
          <w:r w:rsidRPr="009C6DC2">
            <w:rPr>
              <w:rFonts w:asciiTheme="majorBidi" w:hAnsiTheme="majorBidi" w:cstheme="majorBidi"/>
              <w:i/>
              <w:iCs/>
              <w:noProof/>
              <w:sz w:val="24"/>
              <w:szCs w:val="24"/>
              <w:lang w:val="en-US"/>
            </w:rPr>
            <w:t>Current Psychology, 42</w:t>
          </w:r>
          <w:r w:rsidRPr="009C6DC2">
            <w:rPr>
              <w:rFonts w:asciiTheme="majorBidi" w:hAnsiTheme="majorBidi" w:cstheme="majorBidi"/>
              <w:noProof/>
              <w:sz w:val="24"/>
              <w:szCs w:val="24"/>
              <w:lang w:val="en-US"/>
            </w:rPr>
            <w:t>(15), 12711–12727. doi:https://doi.org/10.1007/s12144-021-02656-w</w:t>
          </w:r>
        </w:p>
        <w:p w14:paraId="2949D581" w14:textId="0DC787C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Gong, T., Wang, C.-Y., &amp; Lee, K. (2022). Effects of characteristics of in-store retail technology on customer citizenship behavior. </w:t>
          </w:r>
          <w:r w:rsidRPr="009C6DC2">
            <w:rPr>
              <w:rFonts w:asciiTheme="majorBidi" w:hAnsiTheme="majorBidi" w:cstheme="majorBidi"/>
              <w:i/>
              <w:iCs/>
              <w:noProof/>
              <w:sz w:val="24"/>
              <w:szCs w:val="24"/>
              <w:lang w:val="en-US"/>
            </w:rPr>
            <w:t>Journal of Retailing and Consumer Services, 65</w:t>
          </w:r>
          <w:r w:rsidRPr="009C6DC2">
            <w:rPr>
              <w:rFonts w:asciiTheme="majorBidi" w:hAnsiTheme="majorBidi" w:cstheme="majorBidi"/>
              <w:noProof/>
              <w:sz w:val="24"/>
              <w:szCs w:val="24"/>
              <w:lang w:val="en-US"/>
            </w:rPr>
            <w:t>. doi:https://doi.org/10.1016/j.jretconser.2021.102488</w:t>
          </w:r>
        </w:p>
        <w:p w14:paraId="10908A9C" w14:textId="7058103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Gong, W. (2020). Effects of parasocial interaction, brand credibility and product involvement on celebrity endorsement on microblog. </w:t>
          </w:r>
          <w:r w:rsidRPr="009C6DC2">
            <w:rPr>
              <w:rFonts w:asciiTheme="majorBidi" w:hAnsiTheme="majorBidi" w:cstheme="majorBidi"/>
              <w:i/>
              <w:iCs/>
              <w:noProof/>
              <w:sz w:val="24"/>
              <w:szCs w:val="24"/>
              <w:lang w:val="en-US"/>
            </w:rPr>
            <w:t>Asia Pacific Journal of Marketing and Logistics, 33</w:t>
          </w:r>
          <w:r w:rsidRPr="009C6DC2">
            <w:rPr>
              <w:rFonts w:asciiTheme="majorBidi" w:hAnsiTheme="majorBidi" w:cstheme="majorBidi"/>
              <w:noProof/>
              <w:sz w:val="24"/>
              <w:szCs w:val="24"/>
              <w:lang w:val="en-US"/>
            </w:rPr>
            <w:t>(6), 1437-1454. doi:https://doi-org.lsbu.idm.oclc.org/10.1108/APJML-12-2019-0747</w:t>
          </w:r>
        </w:p>
        <w:p w14:paraId="142246D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Gopalan, M., Rosinger, K., &amp; Ahn, J. (n.d.). Use of quasi-experimental research designs in education research: Growth, promise, and challenges. </w:t>
          </w:r>
          <w:r w:rsidRPr="009C6DC2">
            <w:rPr>
              <w:rFonts w:asciiTheme="majorBidi" w:hAnsiTheme="majorBidi" w:cstheme="majorBidi"/>
              <w:i/>
              <w:iCs/>
              <w:noProof/>
              <w:sz w:val="24"/>
              <w:szCs w:val="24"/>
              <w:lang w:val="en-US"/>
            </w:rPr>
            <w:t>Review of Research in Education,, 44</w:t>
          </w:r>
          <w:r w:rsidRPr="009C6DC2">
            <w:rPr>
              <w:rFonts w:asciiTheme="majorBidi" w:hAnsiTheme="majorBidi" w:cstheme="majorBidi"/>
              <w:noProof/>
              <w:sz w:val="24"/>
              <w:szCs w:val="24"/>
              <w:lang w:val="en-US"/>
            </w:rPr>
            <w:t>(1), 218-243. doi:10.3102/0091732X20903302</w:t>
          </w:r>
        </w:p>
        <w:p w14:paraId="020524A4" w14:textId="314A6C3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Grace-Martin, K. (2014). </w:t>
          </w:r>
          <w:r w:rsidRPr="009C6DC2">
            <w:rPr>
              <w:rFonts w:asciiTheme="majorBidi" w:hAnsiTheme="majorBidi" w:cstheme="majorBidi"/>
              <w:i/>
              <w:iCs/>
              <w:noProof/>
              <w:sz w:val="24"/>
              <w:szCs w:val="24"/>
              <w:lang w:val="en-US"/>
            </w:rPr>
            <w:t>when listwise deletion works for missing data</w:t>
          </w:r>
          <w:r w:rsidRPr="009C6DC2">
            <w:rPr>
              <w:rFonts w:asciiTheme="majorBidi" w:hAnsiTheme="majorBidi" w:cstheme="majorBidi"/>
              <w:noProof/>
              <w:sz w:val="24"/>
              <w:szCs w:val="24"/>
              <w:lang w:val="en-US"/>
            </w:rPr>
            <w:t>. Retrieved from The Analysis Factor: https://www.theanalysisfactor.com/when-listwise-deletion-works/</w:t>
          </w:r>
        </w:p>
        <w:p w14:paraId="1A5B5C5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Grassl, W. (1999). The Reality of Brands: Towards an Ontology of Marketing. </w:t>
          </w:r>
          <w:r w:rsidRPr="009C6DC2">
            <w:rPr>
              <w:rFonts w:asciiTheme="majorBidi" w:hAnsiTheme="majorBidi" w:cstheme="majorBidi"/>
              <w:i/>
              <w:iCs/>
              <w:noProof/>
              <w:sz w:val="24"/>
              <w:szCs w:val="24"/>
              <w:lang w:val="en-US"/>
            </w:rPr>
            <w:t>American Journal of Economics and Sociology, 58</w:t>
          </w:r>
          <w:r w:rsidRPr="009C6DC2">
            <w:rPr>
              <w:rFonts w:asciiTheme="majorBidi" w:hAnsiTheme="majorBidi" w:cstheme="majorBidi"/>
              <w:noProof/>
              <w:sz w:val="24"/>
              <w:szCs w:val="24"/>
              <w:lang w:val="en-US"/>
            </w:rPr>
            <w:t>, 313-360. Retrieved 10 09, 2022, from https://www.academia.edu/199012/The_Reality_of_Brands_Toward_an_Ontology_of_Marketing</w:t>
          </w:r>
        </w:p>
        <w:p w14:paraId="3DF1D790" w14:textId="4B88BAB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Green, T., &amp; Peloza , J. (2011). How does corporate social responsibility create value for consumers? </w:t>
          </w:r>
          <w:r w:rsidRPr="009C6DC2">
            <w:rPr>
              <w:rFonts w:asciiTheme="majorBidi" w:hAnsiTheme="majorBidi" w:cstheme="majorBidi"/>
              <w:i/>
              <w:iCs/>
              <w:noProof/>
              <w:sz w:val="24"/>
              <w:szCs w:val="24"/>
              <w:lang w:val="en-US"/>
            </w:rPr>
            <w:t>Journal of Consumer Marketing, 28</w:t>
          </w:r>
          <w:r w:rsidRPr="009C6DC2">
            <w:rPr>
              <w:rFonts w:asciiTheme="majorBidi" w:hAnsiTheme="majorBidi" w:cstheme="majorBidi"/>
              <w:noProof/>
              <w:sz w:val="24"/>
              <w:szCs w:val="24"/>
              <w:lang w:val="en-US"/>
            </w:rPr>
            <w:t>(1), 48-56. doi: https://doi.org/10.1108/07363761111101949</w:t>
          </w:r>
        </w:p>
        <w:p w14:paraId="01E7800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Grimmer, M., Kilburn, A. P., &amp; Miles, M. P. (2016). The effect of purchase situation on realized pro-environmental consumer behavior. </w:t>
          </w:r>
          <w:r w:rsidRPr="009C6DC2">
            <w:rPr>
              <w:rFonts w:asciiTheme="majorBidi" w:hAnsiTheme="majorBidi" w:cstheme="majorBidi"/>
              <w:i/>
              <w:iCs/>
              <w:noProof/>
              <w:sz w:val="24"/>
              <w:szCs w:val="24"/>
              <w:lang w:val="en-US"/>
            </w:rPr>
            <w:t>Journal of Business Research, 69</w:t>
          </w:r>
          <w:r w:rsidRPr="009C6DC2">
            <w:rPr>
              <w:rFonts w:asciiTheme="majorBidi" w:hAnsiTheme="majorBidi" w:cstheme="majorBidi"/>
              <w:noProof/>
              <w:sz w:val="24"/>
              <w:szCs w:val="24"/>
              <w:lang w:val="en-US"/>
            </w:rPr>
            <w:t>(5), 1582-1586. Retrieved 03 05, 2023</w:t>
          </w:r>
        </w:p>
        <w:p w14:paraId="2926BE9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Grinsven, B., &amp; Das, E. (2016). Logo design in marketing communications: Brand logo complexity moderates exposure effects on brand recognition and brand attitude. </w:t>
          </w:r>
          <w:r w:rsidRPr="009C6DC2">
            <w:rPr>
              <w:rFonts w:asciiTheme="majorBidi" w:hAnsiTheme="majorBidi" w:cstheme="majorBidi"/>
              <w:i/>
              <w:iCs/>
              <w:noProof/>
              <w:sz w:val="24"/>
              <w:szCs w:val="24"/>
              <w:lang w:val="en-US"/>
            </w:rPr>
            <w:t>Journal of Marketing Communications, 22</w:t>
          </w:r>
          <w:r w:rsidRPr="009C6DC2">
            <w:rPr>
              <w:rFonts w:asciiTheme="majorBidi" w:hAnsiTheme="majorBidi" w:cstheme="majorBidi"/>
              <w:noProof/>
              <w:sz w:val="24"/>
              <w:szCs w:val="24"/>
              <w:lang w:val="en-US"/>
            </w:rPr>
            <w:t>(3), 256-270. doi:https://doi.org/10.1080/13527266.2013.866593</w:t>
          </w:r>
        </w:p>
        <w:p w14:paraId="4E6B90D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Grohs, R., &amp; Reisinger, H. (2014). Sponsorship effects on brand image: The role of exposure and activity involvement. </w:t>
          </w:r>
          <w:r w:rsidRPr="009C6DC2">
            <w:rPr>
              <w:rFonts w:asciiTheme="majorBidi" w:hAnsiTheme="majorBidi" w:cstheme="majorBidi"/>
              <w:i/>
              <w:iCs/>
              <w:noProof/>
              <w:sz w:val="24"/>
              <w:szCs w:val="24"/>
              <w:lang w:val="en-US"/>
            </w:rPr>
            <w:t>Journal of Business Research, 67</w:t>
          </w:r>
          <w:r w:rsidRPr="009C6DC2">
            <w:rPr>
              <w:rFonts w:asciiTheme="majorBidi" w:hAnsiTheme="majorBidi" w:cstheme="majorBidi"/>
              <w:noProof/>
              <w:sz w:val="24"/>
              <w:szCs w:val="24"/>
              <w:lang w:val="en-US"/>
            </w:rPr>
            <w:t>(5), 1018-1025.</w:t>
          </w:r>
        </w:p>
        <w:p w14:paraId="0FA03FA1" w14:textId="77777777" w:rsidR="006E2490" w:rsidRPr="009C6DC2" w:rsidRDefault="006E2490" w:rsidP="006E2490">
          <w:pPr>
            <w:ind w:left="720" w:hanging="720"/>
            <w:rPr>
              <w:rFonts w:asciiTheme="majorBidi" w:hAnsiTheme="majorBidi" w:cstheme="majorBidi"/>
              <w:noProof/>
              <w:sz w:val="24"/>
              <w:szCs w:val="24"/>
              <w:lang w:val="en-US"/>
            </w:rPr>
          </w:pPr>
          <w:r w:rsidRPr="008D625E">
            <w:rPr>
              <w:rFonts w:asciiTheme="majorBidi" w:hAnsiTheme="majorBidi" w:cstheme="majorBidi"/>
              <w:noProof/>
              <w:sz w:val="24"/>
              <w:szCs w:val="24"/>
            </w:rPr>
            <w:t xml:space="preserve">Grunig, J. E., &amp; Hunt, T. (1984). </w:t>
          </w:r>
          <w:r w:rsidRPr="009C6DC2">
            <w:rPr>
              <w:rFonts w:asciiTheme="majorBidi" w:hAnsiTheme="majorBidi" w:cstheme="majorBidi"/>
              <w:noProof/>
              <w:sz w:val="24"/>
              <w:szCs w:val="24"/>
              <w:lang w:val="en-US"/>
            </w:rPr>
            <w:t>Managing Public Relations.</w:t>
          </w:r>
        </w:p>
        <w:p w14:paraId="11B5CDD2" w14:textId="0DE6A4F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Guagnano, G. A., Stern, P. C., &amp; Dietz, T. (1995). Influences on Attitude-Behavior RelationshipsA Natural Experiment with Curbside Recycling. </w:t>
          </w:r>
          <w:r w:rsidRPr="009C6DC2">
            <w:rPr>
              <w:rFonts w:asciiTheme="majorBidi" w:hAnsiTheme="majorBidi" w:cstheme="majorBidi"/>
              <w:i/>
              <w:iCs/>
              <w:noProof/>
              <w:sz w:val="24"/>
              <w:szCs w:val="24"/>
              <w:lang w:val="en-US"/>
            </w:rPr>
            <w:t>Environment and Behavior, 27</w:t>
          </w:r>
          <w:r w:rsidRPr="009C6DC2">
            <w:rPr>
              <w:rFonts w:asciiTheme="majorBidi" w:hAnsiTheme="majorBidi" w:cstheme="majorBidi"/>
              <w:noProof/>
              <w:sz w:val="24"/>
              <w:szCs w:val="24"/>
              <w:lang w:val="en-US"/>
            </w:rPr>
            <w:t>(5), 699-718. doi:10.1177/0013916595275005</w:t>
          </w:r>
        </w:p>
        <w:p w14:paraId="06A5ABF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Guba, E. G., &amp; Lincoln , Y. S. (1982). Epistemological and methodological bases of naturalistic inquiry. </w:t>
          </w:r>
          <w:r w:rsidRPr="009C6DC2">
            <w:rPr>
              <w:rFonts w:asciiTheme="majorBidi" w:hAnsiTheme="majorBidi" w:cstheme="majorBidi"/>
              <w:i/>
              <w:iCs/>
              <w:noProof/>
              <w:sz w:val="24"/>
              <w:szCs w:val="24"/>
              <w:lang w:val="en-US"/>
            </w:rPr>
            <w:t>Educational technology research and development, 30</w:t>
          </w:r>
          <w:r w:rsidRPr="009C6DC2">
            <w:rPr>
              <w:rFonts w:asciiTheme="majorBidi" w:hAnsiTheme="majorBidi" w:cstheme="majorBidi"/>
              <w:noProof/>
              <w:sz w:val="24"/>
              <w:szCs w:val="24"/>
              <w:lang w:val="en-US"/>
            </w:rPr>
            <w:t>, 233-252. doi:https://doi.org/10.1007/BF02765185</w:t>
          </w:r>
        </w:p>
        <w:p w14:paraId="1CC2B87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Guba, E. G., &amp; Lincoln, Y. S. (2011). Paradigmatic controversies, contradictions, and emerging confluences, revisited. In 4th (Ed.), </w:t>
          </w:r>
          <w:r w:rsidRPr="009C6DC2">
            <w:rPr>
              <w:rFonts w:asciiTheme="majorBidi" w:hAnsiTheme="majorBidi" w:cstheme="majorBidi"/>
              <w:i/>
              <w:iCs/>
              <w:noProof/>
              <w:sz w:val="24"/>
              <w:szCs w:val="24"/>
              <w:lang w:val="en-US"/>
            </w:rPr>
            <w:t>The SAGE handbook of qualitative research</w:t>
          </w:r>
          <w:r w:rsidRPr="009C6DC2">
            <w:rPr>
              <w:rFonts w:asciiTheme="majorBidi" w:hAnsiTheme="majorBidi" w:cstheme="majorBidi"/>
              <w:noProof/>
              <w:sz w:val="24"/>
              <w:szCs w:val="24"/>
              <w:lang w:val="en-US"/>
            </w:rPr>
            <w:t xml:space="preserve"> (pp. 97-128). London, England: Sage.</w:t>
          </w:r>
        </w:p>
        <w:p w14:paraId="752B544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Guest , G., Bunce, A., &amp; Johnson, L. (2006). How many interviews are enough? An An experiment with data saturation and variability. </w:t>
          </w:r>
          <w:r w:rsidRPr="009C6DC2">
            <w:rPr>
              <w:rFonts w:asciiTheme="majorBidi" w:hAnsiTheme="majorBidi" w:cstheme="majorBidi"/>
              <w:i/>
              <w:iCs/>
              <w:noProof/>
              <w:sz w:val="24"/>
              <w:szCs w:val="24"/>
              <w:lang w:val="en-US"/>
            </w:rPr>
            <w:t>Field Methods, 18</w:t>
          </w:r>
          <w:r w:rsidRPr="009C6DC2">
            <w:rPr>
              <w:rFonts w:asciiTheme="majorBidi" w:hAnsiTheme="majorBidi" w:cstheme="majorBidi"/>
              <w:noProof/>
              <w:sz w:val="24"/>
              <w:szCs w:val="24"/>
              <w:lang w:val="en-US"/>
            </w:rPr>
            <w:t>(1), 59-82.</w:t>
          </w:r>
        </w:p>
        <w:p w14:paraId="1A4CA6E5" w14:textId="531FB98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Guest, G., Namey, E., &amp; Chen, M. (2020). A simple method to assess and report thematic saturation in qualitative research. </w:t>
          </w:r>
          <w:r w:rsidRPr="009C6DC2">
            <w:rPr>
              <w:rFonts w:asciiTheme="majorBidi" w:hAnsiTheme="majorBidi" w:cstheme="majorBidi"/>
              <w:i/>
              <w:iCs/>
              <w:noProof/>
              <w:sz w:val="24"/>
              <w:szCs w:val="24"/>
              <w:lang w:val="en-US"/>
            </w:rPr>
            <w:t>Plos One</w:t>
          </w:r>
          <w:r w:rsidRPr="009C6DC2">
            <w:rPr>
              <w:rFonts w:asciiTheme="majorBidi" w:hAnsiTheme="majorBidi" w:cstheme="majorBidi"/>
              <w:noProof/>
              <w:sz w:val="24"/>
              <w:szCs w:val="24"/>
              <w:lang w:val="en-US"/>
            </w:rPr>
            <w:t>. doi:https://doi.org/10.1371/journal.pone.0232076</w:t>
          </w:r>
        </w:p>
        <w:p w14:paraId="09AB722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Gumparthi, V. P., &amp; Patra, S. (2020). The phenomenon of brand love: A systematic literature review. </w:t>
          </w:r>
          <w:r w:rsidRPr="009C6DC2">
            <w:rPr>
              <w:rFonts w:asciiTheme="majorBidi" w:hAnsiTheme="majorBidi" w:cstheme="majorBidi"/>
              <w:i/>
              <w:iCs/>
              <w:noProof/>
              <w:sz w:val="24"/>
              <w:szCs w:val="24"/>
              <w:lang w:val="en-US"/>
            </w:rPr>
            <w:t>Journal of Relationship Marketing, 19</w:t>
          </w:r>
          <w:r w:rsidRPr="009C6DC2">
            <w:rPr>
              <w:rFonts w:asciiTheme="majorBidi" w:hAnsiTheme="majorBidi" w:cstheme="majorBidi"/>
              <w:noProof/>
              <w:sz w:val="24"/>
              <w:szCs w:val="24"/>
              <w:lang w:val="en-US"/>
            </w:rPr>
            <w:t>(02), 93-132. doi:https://doi.org/10.1080/15332667.2019.1664871</w:t>
          </w:r>
        </w:p>
        <w:p w14:paraId="1146857B" w14:textId="04BEBF4E"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Gundala, R. R., Nawaz, N., M, H. R., Boobalan, K., &amp; Gajenderan, V. K. (2022). </w:t>
          </w:r>
          <w:r w:rsidRPr="009C6DC2">
            <w:rPr>
              <w:rFonts w:asciiTheme="majorBidi" w:hAnsiTheme="majorBidi" w:cstheme="majorBidi"/>
              <w:noProof/>
              <w:sz w:val="24"/>
              <w:szCs w:val="24"/>
              <w:lang w:val="en-US"/>
            </w:rPr>
            <w:t xml:space="preserve">Does gender moderate the purchase intention of organic foods? Theory of reasoned action. </w:t>
          </w:r>
          <w:r w:rsidRPr="009C6DC2">
            <w:rPr>
              <w:rFonts w:asciiTheme="majorBidi" w:hAnsiTheme="majorBidi" w:cstheme="majorBidi"/>
              <w:i/>
              <w:iCs/>
              <w:noProof/>
              <w:sz w:val="24"/>
              <w:szCs w:val="24"/>
              <w:lang w:val="en-US"/>
            </w:rPr>
            <w:t>Heliyon, 8</w:t>
          </w:r>
          <w:r w:rsidRPr="009C6DC2">
            <w:rPr>
              <w:rFonts w:asciiTheme="majorBidi" w:hAnsiTheme="majorBidi" w:cstheme="majorBidi"/>
              <w:noProof/>
              <w:sz w:val="24"/>
              <w:szCs w:val="24"/>
              <w:lang w:val="en-US"/>
            </w:rPr>
            <w:t>(9). doi:10.1016/j.heliyon.2022.e10478</w:t>
          </w:r>
        </w:p>
        <w:p w14:paraId="597B6E36" w14:textId="2F5A71E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Guo, G., &amp; Zhou, X. (2017). Consumer ethnocentrism on product judgment and willingness to buy: A meta-analysis. </w:t>
          </w:r>
          <w:r w:rsidRPr="009C6DC2">
            <w:rPr>
              <w:rFonts w:asciiTheme="majorBidi" w:hAnsiTheme="majorBidi" w:cstheme="majorBidi"/>
              <w:i/>
              <w:iCs/>
              <w:noProof/>
              <w:sz w:val="24"/>
              <w:szCs w:val="24"/>
              <w:lang w:val="en-US"/>
            </w:rPr>
            <w:t>Social Behaviour and Personality, 45</w:t>
          </w:r>
          <w:r w:rsidRPr="009C6DC2">
            <w:rPr>
              <w:rFonts w:asciiTheme="majorBidi" w:hAnsiTheme="majorBidi" w:cstheme="majorBidi"/>
              <w:noProof/>
              <w:sz w:val="24"/>
              <w:szCs w:val="24"/>
              <w:lang w:val="en-US"/>
            </w:rPr>
            <w:t>(1), 163-176. doi:10.2224/sbp.5548</w:t>
          </w:r>
        </w:p>
        <w:p w14:paraId="6F400619" w14:textId="6C0F1BC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Haase, J., Wiedmann, K.-P., Bettels, J., &amp; Labenz, F. (2018). How to best promote my product? Comparing the effectiveness of sensory, functional and symbolic advertising content in food marketing. </w:t>
          </w:r>
          <w:r w:rsidRPr="009C6DC2">
            <w:rPr>
              <w:rFonts w:asciiTheme="majorBidi" w:hAnsiTheme="majorBidi" w:cstheme="majorBidi"/>
              <w:i/>
              <w:iCs/>
              <w:noProof/>
              <w:sz w:val="24"/>
              <w:szCs w:val="24"/>
              <w:lang w:val="en-US"/>
            </w:rPr>
            <w:t>British Food Journal, 120</w:t>
          </w:r>
          <w:r w:rsidRPr="009C6DC2">
            <w:rPr>
              <w:rFonts w:asciiTheme="majorBidi" w:hAnsiTheme="majorBidi" w:cstheme="majorBidi"/>
              <w:noProof/>
              <w:sz w:val="24"/>
              <w:szCs w:val="24"/>
              <w:lang w:val="en-US"/>
            </w:rPr>
            <w:t>(08), 1792-1806. doi: https://doi-org.lsbu.idm.oclc.org/10.1108/BFJ-01-2018-0058</w:t>
          </w:r>
        </w:p>
        <w:p w14:paraId="0636F04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Habib, M. D., &amp; Qayyum, A. (2018). Cognitive Emotion Theory and Emotion-Action Tendency in Online. </w:t>
          </w:r>
          <w:r w:rsidRPr="009C6DC2">
            <w:rPr>
              <w:rFonts w:asciiTheme="majorBidi" w:hAnsiTheme="majorBidi" w:cstheme="majorBidi"/>
              <w:i/>
              <w:iCs/>
              <w:noProof/>
              <w:sz w:val="24"/>
              <w:szCs w:val="24"/>
              <w:lang w:val="en-US"/>
            </w:rPr>
            <w:t>Journal of Management Sciences, 5</w:t>
          </w:r>
          <w:r w:rsidRPr="009C6DC2">
            <w:rPr>
              <w:rFonts w:asciiTheme="majorBidi" w:hAnsiTheme="majorBidi" w:cstheme="majorBidi"/>
              <w:noProof/>
              <w:sz w:val="24"/>
              <w:szCs w:val="24"/>
              <w:lang w:val="en-US"/>
            </w:rPr>
            <w:t>(1), 86-99. doi:10.20547/jms.2014.1805105</w:t>
          </w:r>
        </w:p>
        <w:p w14:paraId="04ACD61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Hair Jr , J. F., Black, W. C., Babin, B. J., &amp; Anderson, R. E. (2009). In </w:t>
          </w:r>
          <w:r w:rsidRPr="009C6DC2">
            <w:rPr>
              <w:rFonts w:asciiTheme="majorBidi" w:hAnsiTheme="majorBidi" w:cstheme="majorBidi"/>
              <w:i/>
              <w:iCs/>
              <w:noProof/>
              <w:sz w:val="24"/>
              <w:szCs w:val="24"/>
              <w:lang w:val="en-US"/>
            </w:rPr>
            <w:t>Multivariate Data Analysis.</w:t>
          </w:r>
          <w:r w:rsidRPr="009C6DC2">
            <w:rPr>
              <w:rFonts w:asciiTheme="majorBidi" w:hAnsiTheme="majorBidi" w:cstheme="majorBidi"/>
              <w:noProof/>
              <w:sz w:val="24"/>
              <w:szCs w:val="24"/>
              <w:lang w:val="en-US"/>
            </w:rPr>
            <w:t xml:space="preserve"> </w:t>
          </w:r>
        </w:p>
        <w:p w14:paraId="759E2BA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Hair Jr., J. F., Hult, T. M., Ringle, C. M., Sarstedt, M., Danks, N. P., &amp; Ray, S. (2021). </w:t>
          </w:r>
          <w:r w:rsidRPr="009C6DC2">
            <w:rPr>
              <w:rFonts w:asciiTheme="majorBidi" w:hAnsiTheme="majorBidi" w:cstheme="majorBidi"/>
              <w:i/>
              <w:iCs/>
              <w:noProof/>
              <w:sz w:val="24"/>
              <w:szCs w:val="24"/>
              <w:lang w:val="en-US"/>
            </w:rPr>
            <w:t>Partial Least Squares Structural Equation Modeling (PLS-SEM) Using R.</w:t>
          </w:r>
          <w:r w:rsidRPr="009C6DC2">
            <w:rPr>
              <w:rFonts w:asciiTheme="majorBidi" w:hAnsiTheme="majorBidi" w:cstheme="majorBidi"/>
              <w:noProof/>
              <w:sz w:val="24"/>
              <w:szCs w:val="24"/>
              <w:lang w:val="en-US"/>
            </w:rPr>
            <w:t xml:space="preserve"> Springer Nature. doi:10.1007/978-3-030-80519-7</w:t>
          </w:r>
        </w:p>
        <w:p w14:paraId="4FFED807" w14:textId="5281120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Haldar, S. (2019). Towards a conceptual understanding of sustainability-driven entrepreneurship. </w:t>
          </w:r>
          <w:r w:rsidRPr="009C6DC2">
            <w:rPr>
              <w:rFonts w:asciiTheme="majorBidi" w:hAnsiTheme="majorBidi" w:cstheme="majorBidi"/>
              <w:i/>
              <w:iCs/>
              <w:noProof/>
              <w:sz w:val="24"/>
              <w:szCs w:val="24"/>
              <w:lang w:val="en-US"/>
            </w:rPr>
            <w:t>Corporate Social Responsibility and Environmental Management, 26</w:t>
          </w:r>
          <w:r w:rsidRPr="009C6DC2">
            <w:rPr>
              <w:rFonts w:asciiTheme="majorBidi" w:hAnsiTheme="majorBidi" w:cstheme="majorBidi"/>
              <w:noProof/>
              <w:sz w:val="24"/>
              <w:szCs w:val="24"/>
              <w:lang w:val="en-US"/>
            </w:rPr>
            <w:t>(6), 1157-1170. doi:https://doi.org/10.1002/csr.1763</w:t>
          </w:r>
        </w:p>
        <w:p w14:paraId="7EB25D54" w14:textId="251E78A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Ham, C.-D., &amp; Kim, J. (2020). The effects of CSR communication in corporate crises: Examining the role of dispositional and situational CSR skepticism in context. </w:t>
          </w:r>
          <w:r w:rsidRPr="009C6DC2">
            <w:rPr>
              <w:rFonts w:asciiTheme="majorBidi" w:hAnsiTheme="majorBidi" w:cstheme="majorBidi"/>
              <w:i/>
              <w:iCs/>
              <w:noProof/>
              <w:sz w:val="24"/>
              <w:szCs w:val="24"/>
              <w:lang w:val="en-US"/>
            </w:rPr>
            <w:t>Public Relations Review, 46</w:t>
          </w:r>
          <w:r w:rsidRPr="009C6DC2">
            <w:rPr>
              <w:rFonts w:asciiTheme="majorBidi" w:hAnsiTheme="majorBidi" w:cstheme="majorBidi"/>
              <w:noProof/>
              <w:sz w:val="24"/>
              <w:szCs w:val="24"/>
              <w:lang w:val="en-US"/>
            </w:rPr>
            <w:t>(2). doi:https://doi.org/10.1016/j.pubrev.2019.05.013</w:t>
          </w:r>
        </w:p>
        <w:p w14:paraId="1BB36916" w14:textId="1CD3556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Hamelin, N., El Moujahid, O., &amp; Thaichon, P. (2017). Emotion and advertising effectiveness: A novel facial expression analysis approach. </w:t>
          </w:r>
          <w:r w:rsidRPr="009C6DC2">
            <w:rPr>
              <w:rFonts w:asciiTheme="majorBidi" w:hAnsiTheme="majorBidi" w:cstheme="majorBidi"/>
              <w:i/>
              <w:iCs/>
              <w:noProof/>
              <w:sz w:val="24"/>
              <w:szCs w:val="24"/>
              <w:lang w:val="en-US"/>
            </w:rPr>
            <w:t>Journal of Retailing and Consumer Services, 36</w:t>
          </w:r>
          <w:r w:rsidRPr="009C6DC2">
            <w:rPr>
              <w:rFonts w:asciiTheme="majorBidi" w:hAnsiTheme="majorBidi" w:cstheme="majorBidi"/>
              <w:noProof/>
              <w:sz w:val="24"/>
              <w:szCs w:val="24"/>
              <w:lang w:val="en-US"/>
            </w:rPr>
            <w:t>, 103-111. doi:https://doi.org/10.1016/j.jretconser.2017.01.001.</w:t>
          </w:r>
        </w:p>
        <w:p w14:paraId="4CD33759" w14:textId="6A917D4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Hamilton, J. B. (2020). Rigor in Qualitative Methods: An Evaluation of Strategies Among Underrepresented Rural Communities. </w:t>
          </w:r>
          <w:r w:rsidRPr="009C6DC2">
            <w:rPr>
              <w:rFonts w:asciiTheme="majorBidi" w:hAnsiTheme="majorBidi" w:cstheme="majorBidi"/>
              <w:i/>
              <w:iCs/>
              <w:noProof/>
              <w:sz w:val="24"/>
              <w:szCs w:val="24"/>
              <w:lang w:val="en-US"/>
            </w:rPr>
            <w:t>Qualitative Health Research , 30</w:t>
          </w:r>
          <w:r w:rsidRPr="009C6DC2">
            <w:rPr>
              <w:rFonts w:asciiTheme="majorBidi" w:hAnsiTheme="majorBidi" w:cstheme="majorBidi"/>
              <w:noProof/>
              <w:sz w:val="24"/>
              <w:szCs w:val="24"/>
              <w:lang w:val="en-US"/>
            </w:rPr>
            <w:t>(02), 196-204. doi:10.1177/1049732319860267</w:t>
          </w:r>
        </w:p>
        <w:p w14:paraId="5DFF40A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Hammad, H., El-Bassiouny, N., Pallab, P., &amp; Mukhopadhyay, K. (2014). Antecedents and consequences of consumers’ attitudinal dispositions toward cause-related marketing in Egypt. </w:t>
          </w:r>
          <w:r w:rsidRPr="009C6DC2">
            <w:rPr>
              <w:rFonts w:asciiTheme="majorBidi" w:hAnsiTheme="majorBidi" w:cstheme="majorBidi"/>
              <w:i/>
              <w:iCs/>
              <w:noProof/>
              <w:sz w:val="24"/>
              <w:szCs w:val="24"/>
              <w:lang w:val="en-US"/>
            </w:rPr>
            <w:t>Journal of Islamic Marketing, 5</w:t>
          </w:r>
          <w:r w:rsidRPr="009C6DC2">
            <w:rPr>
              <w:rFonts w:asciiTheme="majorBidi" w:hAnsiTheme="majorBidi" w:cstheme="majorBidi"/>
              <w:noProof/>
              <w:sz w:val="24"/>
              <w:szCs w:val="24"/>
              <w:lang w:val="en-US"/>
            </w:rPr>
            <w:t>(3), 414-445. doi:10.1108/JIMA-10-2013-0076</w:t>
          </w:r>
        </w:p>
        <w:p w14:paraId="2461038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Hamzawi, S. (2022). Cultural capital, self-determination theory, and cigarette warning labels in Egypt: a social marketing empirical study. Retrieved 08 15, 2023, from https://ethos.bl.uk/OrderDetails.do?uin=uk.bl.ethos.877620</w:t>
          </w:r>
        </w:p>
        <w:p w14:paraId="38D1A50B" w14:textId="0EAA23C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Han, H., Nguyen, H. N., Song, H., Chua, B.-L., Lee , S., &amp; Kim, W. (2018). Drivers of brand loyalty in the chain coffee shop industry. </w:t>
          </w:r>
          <w:r w:rsidRPr="009C6DC2">
            <w:rPr>
              <w:rFonts w:asciiTheme="majorBidi" w:hAnsiTheme="majorBidi" w:cstheme="majorBidi"/>
              <w:i/>
              <w:iCs/>
              <w:noProof/>
              <w:sz w:val="24"/>
              <w:szCs w:val="24"/>
              <w:lang w:val="en-US"/>
            </w:rPr>
            <w:t>International Journal of Hospitality Management, 72</w:t>
          </w:r>
          <w:r w:rsidRPr="009C6DC2">
            <w:rPr>
              <w:rFonts w:asciiTheme="majorBidi" w:hAnsiTheme="majorBidi" w:cstheme="majorBidi"/>
              <w:noProof/>
              <w:sz w:val="24"/>
              <w:szCs w:val="24"/>
              <w:lang w:val="en-US"/>
            </w:rPr>
            <w:t>, 86-97. doi:https://doi.org/10.1016/j.ijhm.2017.12.011</w:t>
          </w:r>
        </w:p>
        <w:p w14:paraId="5DB55DA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Hansen, T., Jensen, J. M., &amp; Solgaard, H. (2004). </w:t>
          </w:r>
          <w:r w:rsidRPr="009C6DC2">
            <w:rPr>
              <w:rFonts w:asciiTheme="majorBidi" w:hAnsiTheme="majorBidi" w:cstheme="majorBidi"/>
              <w:noProof/>
              <w:sz w:val="24"/>
              <w:szCs w:val="24"/>
              <w:lang w:val="en-US"/>
            </w:rPr>
            <w:t xml:space="preserve">Predicting online grocery buying intention: a comparison of the theory of reasoned action and the theory of planned behavior. </w:t>
          </w:r>
          <w:r w:rsidRPr="009C6DC2">
            <w:rPr>
              <w:rFonts w:asciiTheme="majorBidi" w:hAnsiTheme="majorBidi" w:cstheme="majorBidi"/>
              <w:i/>
              <w:iCs/>
              <w:noProof/>
              <w:sz w:val="24"/>
              <w:szCs w:val="24"/>
              <w:lang w:val="en-US"/>
            </w:rPr>
            <w:t>International Journal of Information Management, 24</w:t>
          </w:r>
          <w:r w:rsidRPr="009C6DC2">
            <w:rPr>
              <w:rFonts w:asciiTheme="majorBidi" w:hAnsiTheme="majorBidi" w:cstheme="majorBidi"/>
              <w:noProof/>
              <w:sz w:val="24"/>
              <w:szCs w:val="24"/>
              <w:lang w:val="en-US"/>
            </w:rPr>
            <w:t>, 539-550. doi:10.1016/j.ijinfomgt.2004.08.004</w:t>
          </w:r>
        </w:p>
        <w:p w14:paraId="11D6B486" w14:textId="52FC3AB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Hanss, D., &amp; Doran, R. (2020). Perceived Consumer Effectiveness. </w:t>
          </w:r>
          <w:r w:rsidRPr="009C6DC2">
            <w:rPr>
              <w:rFonts w:asciiTheme="majorBidi" w:hAnsiTheme="majorBidi" w:cstheme="majorBidi"/>
              <w:i/>
              <w:iCs/>
              <w:noProof/>
              <w:sz w:val="24"/>
              <w:szCs w:val="24"/>
              <w:lang w:val="en-US"/>
            </w:rPr>
            <w:t>Responsible Consumption and Production</w:t>
          </w:r>
          <w:r w:rsidRPr="009C6DC2">
            <w:rPr>
              <w:rFonts w:asciiTheme="majorBidi" w:hAnsiTheme="majorBidi" w:cstheme="majorBidi"/>
              <w:noProof/>
              <w:sz w:val="24"/>
              <w:szCs w:val="24"/>
              <w:lang w:val="en-US"/>
            </w:rPr>
            <w:t>. doi:https://doi.org/10.1007/978-3-319-95726-5_33</w:t>
          </w:r>
        </w:p>
        <w:p w14:paraId="74D83EE2" w14:textId="2925B9E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Hanssens, D. M. (2018). The value of empirical generalizations in marketing. </w:t>
          </w:r>
          <w:r w:rsidRPr="009C6DC2">
            <w:rPr>
              <w:rFonts w:asciiTheme="majorBidi" w:hAnsiTheme="majorBidi" w:cstheme="majorBidi"/>
              <w:i/>
              <w:iCs/>
              <w:noProof/>
              <w:sz w:val="24"/>
              <w:szCs w:val="24"/>
              <w:lang w:val="en-US"/>
            </w:rPr>
            <w:t>Journal of the Academy of Marketing Science, 8</w:t>
          </w:r>
          <w:r w:rsidRPr="009C6DC2">
            <w:rPr>
              <w:rFonts w:asciiTheme="majorBidi" w:hAnsiTheme="majorBidi" w:cstheme="majorBidi"/>
              <w:noProof/>
              <w:sz w:val="24"/>
              <w:szCs w:val="24"/>
              <w:lang w:val="en-US"/>
            </w:rPr>
            <w:t>. doi:https://doi.org/10.1007/s11747-017-0567-0</w:t>
          </w:r>
        </w:p>
        <w:p w14:paraId="26F16BE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Hanssens, D., Leeflang, P. S., &amp; Wittink, D. R. (2005, 07). Market response models and marketing practice. </w:t>
          </w:r>
          <w:r w:rsidRPr="009C6DC2">
            <w:rPr>
              <w:rFonts w:asciiTheme="majorBidi" w:hAnsiTheme="majorBidi" w:cstheme="majorBidi"/>
              <w:i/>
              <w:iCs/>
              <w:noProof/>
              <w:sz w:val="24"/>
              <w:szCs w:val="24"/>
              <w:lang w:val="en-US"/>
            </w:rPr>
            <w:t>Applied Stochastic Models in Business and Industry, 21</w:t>
          </w:r>
          <w:r w:rsidRPr="009C6DC2">
            <w:rPr>
              <w:rFonts w:asciiTheme="majorBidi" w:hAnsiTheme="majorBidi" w:cstheme="majorBidi"/>
              <w:noProof/>
              <w:sz w:val="24"/>
              <w:szCs w:val="24"/>
              <w:lang w:val="en-US"/>
            </w:rPr>
            <w:t>(4-5), 423-434. doi:10.1002/asmb.584</w:t>
          </w:r>
        </w:p>
        <w:p w14:paraId="16C428F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Haq, M. A., &amp; Abbasi, S. (2016). Indirect impact of hedonic consumption and emotions on Impulse Purchase Behavior: A Double Mediation Model. </w:t>
          </w:r>
          <w:r w:rsidRPr="009C6DC2">
            <w:rPr>
              <w:rFonts w:asciiTheme="majorBidi" w:hAnsiTheme="majorBidi" w:cstheme="majorBidi"/>
              <w:i/>
              <w:iCs/>
              <w:noProof/>
              <w:sz w:val="24"/>
              <w:szCs w:val="24"/>
              <w:lang w:val="en-US"/>
            </w:rPr>
            <w:t>Journal of Management Sciences, 3</w:t>
          </w:r>
          <w:r w:rsidRPr="009C6DC2">
            <w:rPr>
              <w:rFonts w:asciiTheme="majorBidi" w:hAnsiTheme="majorBidi" w:cstheme="majorBidi"/>
              <w:noProof/>
              <w:sz w:val="24"/>
              <w:szCs w:val="24"/>
              <w:lang w:val="en-US"/>
            </w:rPr>
            <w:t>(2), 108-122. doi:10.20547/jms.2014.1603202</w:t>
          </w:r>
        </w:p>
        <w:p w14:paraId="7E63AB1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Harris, L. C., &amp; Goode, M. M. (2004). The four levels of loyalty and the pivotal role of trust: a study of online service dynamics. </w:t>
          </w:r>
          <w:r w:rsidRPr="009C6DC2">
            <w:rPr>
              <w:rFonts w:asciiTheme="majorBidi" w:hAnsiTheme="majorBidi" w:cstheme="majorBidi"/>
              <w:i/>
              <w:iCs/>
              <w:noProof/>
              <w:sz w:val="24"/>
              <w:szCs w:val="24"/>
              <w:lang w:val="en-US"/>
            </w:rPr>
            <w:t>Journal of Retailing, 80</w:t>
          </w:r>
          <w:r w:rsidRPr="009C6DC2">
            <w:rPr>
              <w:rFonts w:asciiTheme="majorBidi" w:hAnsiTheme="majorBidi" w:cstheme="majorBidi"/>
              <w:noProof/>
              <w:sz w:val="24"/>
              <w:szCs w:val="24"/>
              <w:lang w:val="en-US"/>
            </w:rPr>
            <w:t>(02), 139-158. doi:10.1016/j.jretai.2004.04.002</w:t>
          </w:r>
        </w:p>
        <w:p w14:paraId="50A6C59A" w14:textId="6BF285B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Hassan, M. A. (2021). The Insertion of Syrian Refugees in the Egyptian Labor Market: with Special Focus on Food and Resturants Sector. </w:t>
          </w:r>
          <w:r w:rsidRPr="009C6DC2">
            <w:rPr>
              <w:rFonts w:asciiTheme="majorBidi" w:hAnsiTheme="majorBidi" w:cstheme="majorBidi"/>
              <w:i/>
              <w:iCs/>
              <w:noProof/>
              <w:sz w:val="24"/>
              <w:szCs w:val="24"/>
              <w:lang w:val="en-US"/>
            </w:rPr>
            <w:t>AUC knowledge Fountain</w:t>
          </w:r>
          <w:r w:rsidRPr="009C6DC2">
            <w:rPr>
              <w:rFonts w:asciiTheme="majorBidi" w:hAnsiTheme="majorBidi" w:cstheme="majorBidi"/>
              <w:noProof/>
              <w:sz w:val="24"/>
              <w:szCs w:val="24"/>
              <w:lang w:val="en-US"/>
            </w:rPr>
            <w:t>. Retrieved 03 01, 2022, from https://fount.aucegypt.edu/cgi/viewcontent.cgi?article=2658&amp;context=etds</w:t>
          </w:r>
        </w:p>
        <w:p w14:paraId="3BDE5EA3" w14:textId="317CC7C0" w:rsidR="006E2490" w:rsidRPr="009C6DC2" w:rsidRDefault="006E2490" w:rsidP="008D1D81">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Hayashi, P., Abib, G., &amp; Hoppen, N. (2019). Validity in Qualitative Research: A Processual Approach. </w:t>
          </w:r>
          <w:r w:rsidRPr="009C6DC2">
            <w:rPr>
              <w:rFonts w:asciiTheme="majorBidi" w:hAnsiTheme="majorBidi" w:cstheme="majorBidi"/>
              <w:i/>
              <w:iCs/>
              <w:noProof/>
              <w:sz w:val="24"/>
              <w:szCs w:val="24"/>
              <w:lang w:val="en-US"/>
            </w:rPr>
            <w:t>The Qualitative Report, 24</w:t>
          </w:r>
          <w:r w:rsidRPr="009C6DC2">
            <w:rPr>
              <w:rFonts w:asciiTheme="majorBidi" w:hAnsiTheme="majorBidi" w:cstheme="majorBidi"/>
              <w:noProof/>
              <w:sz w:val="24"/>
              <w:szCs w:val="24"/>
              <w:lang w:val="en-US"/>
            </w:rPr>
            <w:t>(1), 98-112. doi:10.46743/2160-3715/2019.3443</w:t>
          </w:r>
        </w:p>
        <w:p w14:paraId="5CE16D5A" w14:textId="0B8F734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Hazel , D., &amp; Kang, J. (2018). The Contributions of Perceived CSR Information Substantiality Toward Consumers’ Cognitive, Affective, and Conative Responses: The Hierarchy of Effects Model Approach. </w:t>
          </w:r>
          <w:r w:rsidRPr="009C6DC2">
            <w:rPr>
              <w:rFonts w:asciiTheme="majorBidi" w:hAnsiTheme="majorBidi" w:cstheme="majorBidi"/>
              <w:i/>
              <w:iCs/>
              <w:noProof/>
              <w:sz w:val="24"/>
              <w:szCs w:val="24"/>
              <w:lang w:val="en-US"/>
            </w:rPr>
            <w:t>Clothing and Textiles Research Journal, 36</w:t>
          </w:r>
          <w:r w:rsidRPr="009C6DC2">
            <w:rPr>
              <w:rFonts w:asciiTheme="majorBidi" w:hAnsiTheme="majorBidi" w:cstheme="majorBidi"/>
              <w:noProof/>
              <w:sz w:val="24"/>
              <w:szCs w:val="24"/>
              <w:lang w:val="en-US"/>
            </w:rPr>
            <w:t>(2), 62–77. doi:https://doi.org/10.1177/0887302X17750747</w:t>
          </w:r>
        </w:p>
        <w:p w14:paraId="4F2D033D" w14:textId="05B1682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He, Q., &amp; Qu, H. (2018). The Impact of Advertising Appeals on Purchase Intention in Social Media Environment——Analysis of Intermediary. </w:t>
          </w:r>
          <w:r w:rsidRPr="009C6DC2">
            <w:rPr>
              <w:rFonts w:asciiTheme="majorBidi" w:hAnsiTheme="majorBidi" w:cstheme="majorBidi"/>
              <w:i/>
              <w:iCs/>
              <w:noProof/>
              <w:sz w:val="24"/>
              <w:szCs w:val="24"/>
              <w:lang w:val="en-US"/>
            </w:rPr>
            <w:t>Journal of Business Administration Research, 7</w:t>
          </w:r>
          <w:r w:rsidRPr="009C6DC2">
            <w:rPr>
              <w:rFonts w:asciiTheme="majorBidi" w:hAnsiTheme="majorBidi" w:cstheme="majorBidi"/>
              <w:noProof/>
              <w:sz w:val="24"/>
              <w:szCs w:val="24"/>
              <w:lang w:val="en-US"/>
            </w:rPr>
            <w:t>(2). doi:https://doi.org/10.5430/jbar.v7n2p17</w:t>
          </w:r>
        </w:p>
        <w:p w14:paraId="0CE22A6F" w14:textId="77777777" w:rsidR="006E2490" w:rsidRPr="009C6DC2" w:rsidRDefault="006E2490" w:rsidP="006E2490">
          <w:pPr>
            <w:ind w:left="720" w:hanging="720"/>
            <w:rPr>
              <w:rFonts w:asciiTheme="majorBidi" w:hAnsiTheme="majorBidi" w:cstheme="majorBidi"/>
              <w:noProof/>
              <w:sz w:val="24"/>
              <w:szCs w:val="24"/>
              <w:lang w:val="sv-SE"/>
            </w:rPr>
          </w:pPr>
          <w:r w:rsidRPr="009C6DC2">
            <w:rPr>
              <w:rFonts w:asciiTheme="majorBidi" w:hAnsiTheme="majorBidi" w:cstheme="majorBidi"/>
              <w:noProof/>
              <w:sz w:val="24"/>
              <w:szCs w:val="24"/>
              <w:lang w:val="en-US"/>
            </w:rPr>
            <w:t xml:space="preserve">Hefny, L. (2021). Factors Influencing Egyptian Consumers’ Online Purchase of Airline Tickets. </w:t>
          </w:r>
          <w:r w:rsidRPr="009C6DC2">
            <w:rPr>
              <w:rFonts w:asciiTheme="majorBidi" w:hAnsiTheme="majorBidi" w:cstheme="majorBidi"/>
              <w:i/>
              <w:iCs/>
              <w:noProof/>
              <w:sz w:val="24"/>
              <w:szCs w:val="24"/>
              <w:lang w:val="en-US"/>
            </w:rPr>
            <w:t>The Scientific Journal of the Faculty of Tourism and Hotels, Alexandria University,, 18</w:t>
          </w:r>
          <w:r w:rsidRPr="009C6DC2">
            <w:rPr>
              <w:rFonts w:asciiTheme="majorBidi" w:hAnsiTheme="majorBidi" w:cstheme="majorBidi"/>
              <w:noProof/>
              <w:sz w:val="24"/>
              <w:szCs w:val="24"/>
              <w:lang w:val="en-US"/>
            </w:rPr>
            <w:t xml:space="preserve">(02), 33-49. </w:t>
          </w:r>
          <w:r w:rsidRPr="009C6DC2">
            <w:rPr>
              <w:rFonts w:asciiTheme="majorBidi" w:hAnsiTheme="majorBidi" w:cstheme="majorBidi"/>
              <w:noProof/>
              <w:sz w:val="24"/>
              <w:szCs w:val="24"/>
              <w:lang w:val="sv-SE"/>
            </w:rPr>
            <w:t>Retrieved 09 05, 2022, from https://thalexu.journals.ekb.eg/article_212168_759e28a982ea140f1b09ffa98ec71df8.pdf</w:t>
          </w:r>
        </w:p>
        <w:p w14:paraId="5B828DAF" w14:textId="6E0ABEF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Heinberg, M., Katsikeas, C. S., Ozkaya, H. E., &amp; Taube, M. (2019). </w:t>
          </w:r>
          <w:r w:rsidRPr="009C6DC2">
            <w:rPr>
              <w:rFonts w:asciiTheme="majorBidi" w:hAnsiTheme="majorBidi" w:cstheme="majorBidi"/>
              <w:noProof/>
              <w:sz w:val="24"/>
              <w:szCs w:val="24"/>
              <w:lang w:val="en-US"/>
            </w:rPr>
            <w:t xml:space="preserve">How nostalgic brand positioning shapes brand equity: differences between emerging and developed markets. </w:t>
          </w:r>
          <w:r w:rsidRPr="009C6DC2">
            <w:rPr>
              <w:rFonts w:asciiTheme="majorBidi" w:hAnsiTheme="majorBidi" w:cstheme="majorBidi"/>
              <w:i/>
              <w:iCs/>
              <w:noProof/>
              <w:sz w:val="24"/>
              <w:szCs w:val="24"/>
              <w:lang w:val="en-US"/>
            </w:rPr>
            <w:t>Journal of the Academy of Marketing Science</w:t>
          </w:r>
          <w:r w:rsidRPr="009C6DC2">
            <w:rPr>
              <w:rFonts w:asciiTheme="majorBidi" w:hAnsiTheme="majorBidi" w:cstheme="majorBidi"/>
              <w:noProof/>
              <w:sz w:val="24"/>
              <w:szCs w:val="24"/>
              <w:lang w:val="en-US"/>
            </w:rPr>
            <w:t>. doi:10.1007/s11747-019-00637-x</w:t>
          </w:r>
        </w:p>
        <w:p w14:paraId="3A82569B" w14:textId="760EAA4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Hemsley-Brown, J., &amp; Alnawas, I. (2016). Service quality and brand loyalty: The mediation effect of brand passion, brand affection and self-brand connection. </w:t>
          </w:r>
          <w:r w:rsidRPr="009C6DC2">
            <w:rPr>
              <w:rFonts w:asciiTheme="majorBidi" w:hAnsiTheme="majorBidi" w:cstheme="majorBidi"/>
              <w:i/>
              <w:iCs/>
              <w:noProof/>
              <w:sz w:val="24"/>
              <w:szCs w:val="24"/>
              <w:lang w:val="en-US"/>
            </w:rPr>
            <w:t>International Journal of Contemporary Hospitality Management, 28</w:t>
          </w:r>
          <w:r w:rsidRPr="009C6DC2">
            <w:rPr>
              <w:rFonts w:asciiTheme="majorBidi" w:hAnsiTheme="majorBidi" w:cstheme="majorBidi"/>
              <w:noProof/>
              <w:sz w:val="24"/>
              <w:szCs w:val="24"/>
              <w:lang w:val="en-US"/>
            </w:rPr>
            <w:t>(12), 2771-2794. Retrieved 08 28, 2022</w:t>
          </w:r>
        </w:p>
        <w:p w14:paraId="35413E9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Hennink, M. M., Kaiser, B. N., &amp; Marconi, V. C. (2017). Code Saturation Versus Meaning Saturation: How Many Interviews Are Enough? </w:t>
          </w:r>
          <w:r w:rsidRPr="009C6DC2">
            <w:rPr>
              <w:rFonts w:asciiTheme="majorBidi" w:hAnsiTheme="majorBidi" w:cstheme="majorBidi"/>
              <w:i/>
              <w:iCs/>
              <w:noProof/>
              <w:sz w:val="24"/>
              <w:szCs w:val="24"/>
              <w:lang w:val="en-US"/>
            </w:rPr>
            <w:t>Qualitative Health Research</w:t>
          </w:r>
          <w:r w:rsidRPr="009C6DC2">
            <w:rPr>
              <w:rFonts w:asciiTheme="majorBidi" w:hAnsiTheme="majorBidi" w:cstheme="majorBidi"/>
              <w:noProof/>
              <w:sz w:val="24"/>
              <w:szCs w:val="24"/>
              <w:lang w:val="en-US"/>
            </w:rPr>
            <w:t>, 591-608. doi:10.1177/1049732316665344</w:t>
          </w:r>
        </w:p>
        <w:p w14:paraId="230B0F3C" w14:textId="20FF4F0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Hennink, M., &amp; Kaiser, B. N. (2022). Sample sizes for saturation in qualitative research: A systematic review of empirical tests. </w:t>
          </w:r>
          <w:r w:rsidRPr="009C6DC2">
            <w:rPr>
              <w:rFonts w:asciiTheme="majorBidi" w:hAnsiTheme="majorBidi" w:cstheme="majorBidi"/>
              <w:i/>
              <w:iCs/>
              <w:noProof/>
              <w:sz w:val="24"/>
              <w:szCs w:val="24"/>
              <w:lang w:val="en-US"/>
            </w:rPr>
            <w:t>Social Science &amp; Medicine, 292</w:t>
          </w:r>
          <w:r w:rsidRPr="009C6DC2">
            <w:rPr>
              <w:rFonts w:asciiTheme="majorBidi" w:hAnsiTheme="majorBidi" w:cstheme="majorBidi"/>
              <w:noProof/>
              <w:sz w:val="24"/>
              <w:szCs w:val="24"/>
              <w:lang w:val="en-US"/>
            </w:rPr>
            <w:t>. doi:https://doi.org/10.1016/j.socscimed.2021.114523</w:t>
          </w:r>
        </w:p>
        <w:p w14:paraId="7A54253E" w14:textId="4CD5E1A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Heo, Y., Choi, C.-W., Overton, H., Kim, J. K., &amp; Zhang, N. (2021). Feeling Connected to the Cause: The Role of Perceived Social Distance on Cause Involvement and Consumer Response to CSR Communication. </w:t>
          </w:r>
          <w:r w:rsidRPr="009C6DC2">
            <w:rPr>
              <w:rFonts w:asciiTheme="majorBidi" w:hAnsiTheme="majorBidi" w:cstheme="majorBidi"/>
              <w:i/>
              <w:iCs/>
              <w:noProof/>
              <w:sz w:val="24"/>
              <w:szCs w:val="24"/>
              <w:lang w:val="en-US"/>
            </w:rPr>
            <w:t>Journalism &amp; Mass Communication Quarterly, 99</w:t>
          </w:r>
          <w:r w:rsidRPr="009C6DC2">
            <w:rPr>
              <w:rFonts w:asciiTheme="majorBidi" w:hAnsiTheme="majorBidi" w:cstheme="majorBidi"/>
              <w:noProof/>
              <w:sz w:val="24"/>
              <w:szCs w:val="24"/>
              <w:lang w:val="en-US"/>
            </w:rPr>
            <w:t>(1), 213–236. doi: https://doi-org.lsbu.idm.oclc.org/10.1177/10776990211041546</w:t>
          </w:r>
        </w:p>
        <w:p w14:paraId="0925C16D" w14:textId="446B927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Hewei, T., &amp; Youngsook, L. (2021). Factors Affecting Continuous Purchase Intention of Fashion Products on Social E-commerce: SOR Model and the Mediating Effect. </w:t>
          </w:r>
          <w:r w:rsidRPr="009C6DC2">
            <w:rPr>
              <w:rFonts w:asciiTheme="majorBidi" w:hAnsiTheme="majorBidi" w:cstheme="majorBidi"/>
              <w:i/>
              <w:iCs/>
              <w:noProof/>
              <w:sz w:val="24"/>
              <w:szCs w:val="24"/>
              <w:lang w:val="en-US"/>
            </w:rPr>
            <w:t>Entertainment Computing, 41</w:t>
          </w:r>
          <w:r w:rsidRPr="009C6DC2">
            <w:rPr>
              <w:rFonts w:asciiTheme="majorBidi" w:hAnsiTheme="majorBidi" w:cstheme="majorBidi"/>
              <w:noProof/>
              <w:sz w:val="24"/>
              <w:szCs w:val="24"/>
              <w:lang w:val="en-US"/>
            </w:rPr>
            <w:t>(4). doi:10.1016/j.entcom.2021.100474</w:t>
          </w:r>
        </w:p>
        <w:p w14:paraId="087A167E" w14:textId="06FF57B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Hilger, N., &amp; Beauducel , A. (2017). Parallel-Forms Reliability. </w:t>
          </w:r>
          <w:r w:rsidRPr="009C6DC2">
            <w:rPr>
              <w:rFonts w:asciiTheme="majorBidi" w:hAnsiTheme="majorBidi" w:cstheme="majorBidi"/>
              <w:i/>
              <w:iCs/>
              <w:noProof/>
              <w:sz w:val="24"/>
              <w:szCs w:val="24"/>
              <w:lang w:val="en-US"/>
            </w:rPr>
            <w:t>Encyclopedia of Personality and Individual Differences</w:t>
          </w:r>
          <w:r w:rsidRPr="009C6DC2">
            <w:rPr>
              <w:rFonts w:asciiTheme="majorBidi" w:hAnsiTheme="majorBidi" w:cstheme="majorBidi"/>
              <w:noProof/>
              <w:sz w:val="24"/>
              <w:szCs w:val="24"/>
              <w:lang w:val="en-US"/>
            </w:rPr>
            <w:t>, 1-3. doi:https://doi.org/10.1007/978-3-319-28099-8_1337-1</w:t>
          </w:r>
        </w:p>
        <w:p w14:paraId="4EBD9379" w14:textId="3147FF1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Hill, K. M., Fombelle, P. M., &amp; Sirianni, N. J. (2016). Shopping under the influence of curiosity: How retailers use mystery to drive purchase motivation. </w:t>
          </w:r>
          <w:r w:rsidRPr="009C6DC2">
            <w:rPr>
              <w:rFonts w:asciiTheme="majorBidi" w:hAnsiTheme="majorBidi" w:cstheme="majorBidi"/>
              <w:i/>
              <w:iCs/>
              <w:noProof/>
              <w:sz w:val="24"/>
              <w:szCs w:val="24"/>
              <w:lang w:val="en-US"/>
            </w:rPr>
            <w:t>Journal of Business Research, 69</w:t>
          </w:r>
          <w:r w:rsidRPr="009C6DC2">
            <w:rPr>
              <w:rFonts w:asciiTheme="majorBidi" w:hAnsiTheme="majorBidi" w:cstheme="majorBidi"/>
              <w:noProof/>
              <w:sz w:val="24"/>
              <w:szCs w:val="24"/>
              <w:lang w:val="en-US"/>
            </w:rPr>
            <w:t>(3), 1028-1034. doi:https://doi.org/10.1016/j.jbusres.2015.08.015</w:t>
          </w:r>
        </w:p>
        <w:p w14:paraId="59CF6F8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Hmoud, H., Nofal, M., Yaseen, H., Al-Masaeed, S., &amp; Al Fawwaz, B. M. (2022). The effects of social media attributes on customer purchase intention: The mediation role of brand. </w:t>
          </w:r>
          <w:r w:rsidRPr="009C6DC2">
            <w:rPr>
              <w:rFonts w:asciiTheme="majorBidi" w:hAnsiTheme="majorBidi" w:cstheme="majorBidi"/>
              <w:i/>
              <w:iCs/>
              <w:noProof/>
              <w:sz w:val="24"/>
              <w:szCs w:val="24"/>
              <w:lang w:val="en-US"/>
            </w:rPr>
            <w:t>International Journal of Data and Network Science</w:t>
          </w:r>
          <w:r w:rsidRPr="009C6DC2">
            <w:rPr>
              <w:rFonts w:asciiTheme="majorBidi" w:hAnsiTheme="majorBidi" w:cstheme="majorBidi"/>
              <w:noProof/>
              <w:sz w:val="24"/>
              <w:szCs w:val="24"/>
              <w:lang w:val="en-US"/>
            </w:rPr>
            <w:t>, 1543–1556. doi:10.5267/j.ijdns.2022.4.022</w:t>
          </w:r>
        </w:p>
        <w:p w14:paraId="05F6A7CD" w14:textId="6FB916D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Hoefller, S., &amp; Keller , K. L. (2002). </w:t>
          </w:r>
          <w:r w:rsidRPr="009C6DC2">
            <w:rPr>
              <w:rFonts w:asciiTheme="majorBidi" w:hAnsiTheme="majorBidi" w:cstheme="majorBidi"/>
              <w:noProof/>
              <w:sz w:val="24"/>
              <w:szCs w:val="24"/>
              <w:lang w:val="en-US"/>
            </w:rPr>
            <w:t xml:space="preserve">Building brand equity through corporate societal marketing. </w:t>
          </w:r>
          <w:r w:rsidRPr="009C6DC2">
            <w:rPr>
              <w:rFonts w:asciiTheme="majorBidi" w:hAnsiTheme="majorBidi" w:cstheme="majorBidi"/>
              <w:i/>
              <w:iCs/>
              <w:noProof/>
              <w:sz w:val="24"/>
              <w:szCs w:val="24"/>
              <w:lang w:val="en-US"/>
            </w:rPr>
            <w:t>Journal of Public Policy &amp; Marketing, 21</w:t>
          </w:r>
          <w:r w:rsidRPr="009C6DC2">
            <w:rPr>
              <w:rFonts w:asciiTheme="majorBidi" w:hAnsiTheme="majorBidi" w:cstheme="majorBidi"/>
              <w:noProof/>
              <w:sz w:val="24"/>
              <w:szCs w:val="24"/>
              <w:lang w:val="en-US"/>
            </w:rPr>
            <w:t xml:space="preserve">(1). </w:t>
          </w:r>
        </w:p>
        <w:p w14:paraId="62900C7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Hofstede, G. (2001). </w:t>
          </w:r>
          <w:r w:rsidRPr="009C6DC2">
            <w:rPr>
              <w:rFonts w:asciiTheme="majorBidi" w:hAnsiTheme="majorBidi" w:cstheme="majorBidi"/>
              <w:i/>
              <w:iCs/>
              <w:noProof/>
              <w:sz w:val="24"/>
              <w:szCs w:val="24"/>
              <w:lang w:val="en-US"/>
            </w:rPr>
            <w:t>Culture’s Consequences: Comparing Values, Behaviors, Institutions, and Organizations Across Nations</w:t>
          </w:r>
          <w:r w:rsidRPr="009C6DC2">
            <w:rPr>
              <w:rFonts w:asciiTheme="majorBidi" w:hAnsiTheme="majorBidi" w:cstheme="majorBidi"/>
              <w:noProof/>
              <w:sz w:val="24"/>
              <w:szCs w:val="24"/>
              <w:lang w:val="en-US"/>
            </w:rPr>
            <w:t xml:space="preserve"> (2nd ed.). Sage Publication. Retrieved 09 25, 2022</w:t>
          </w:r>
        </w:p>
        <w:p w14:paraId="4B3ACC0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Hogg, M. A. (2016). Social identity theory. </w:t>
          </w:r>
          <w:r w:rsidRPr="009C6DC2">
            <w:rPr>
              <w:rFonts w:asciiTheme="majorBidi" w:hAnsiTheme="majorBidi" w:cstheme="majorBidi"/>
              <w:i/>
              <w:iCs/>
              <w:noProof/>
              <w:sz w:val="24"/>
              <w:szCs w:val="24"/>
              <w:lang w:val="en-US"/>
            </w:rPr>
            <w:t>Understanding peace and conflict through social identity theory: Contemporary global perspectives</w:t>
          </w:r>
          <w:r w:rsidRPr="009C6DC2">
            <w:rPr>
              <w:rFonts w:asciiTheme="majorBidi" w:hAnsiTheme="majorBidi" w:cstheme="majorBidi"/>
              <w:noProof/>
              <w:sz w:val="24"/>
              <w:szCs w:val="24"/>
              <w:lang w:val="en-US"/>
            </w:rPr>
            <w:t>, 3-17. doi:https://doi.org/10.1007/978-3-319-29869-6_1</w:t>
          </w:r>
        </w:p>
        <w:p w14:paraId="29B30FF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Holmstrom, A. J., &amp; Burleson, B. R. (2011). An initial test of a cognitive-emotional theory of esteem support messages. </w:t>
          </w:r>
          <w:r w:rsidRPr="009C6DC2">
            <w:rPr>
              <w:rFonts w:asciiTheme="majorBidi" w:hAnsiTheme="majorBidi" w:cstheme="majorBidi"/>
              <w:i/>
              <w:iCs/>
              <w:noProof/>
              <w:sz w:val="24"/>
              <w:szCs w:val="24"/>
              <w:lang w:val="en-US"/>
            </w:rPr>
            <w:t>Communication Research, 38</w:t>
          </w:r>
          <w:r w:rsidRPr="009C6DC2">
            <w:rPr>
              <w:rFonts w:asciiTheme="majorBidi" w:hAnsiTheme="majorBidi" w:cstheme="majorBidi"/>
              <w:noProof/>
              <w:sz w:val="24"/>
              <w:szCs w:val="24"/>
              <w:lang w:val="en-US"/>
            </w:rPr>
            <w:t>(3), 326-355. doi:10.1177/0093650210376191</w:t>
          </w:r>
        </w:p>
        <w:p w14:paraId="5578A9F5" w14:textId="2E3CBE2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Holt, D. (2016). </w:t>
          </w:r>
          <w:r w:rsidRPr="009C6DC2">
            <w:rPr>
              <w:rFonts w:asciiTheme="majorBidi" w:hAnsiTheme="majorBidi" w:cstheme="majorBidi"/>
              <w:i/>
              <w:iCs/>
              <w:noProof/>
              <w:sz w:val="24"/>
              <w:szCs w:val="24"/>
              <w:lang w:val="en-US"/>
            </w:rPr>
            <w:t>Branding in the Age of Social Media</w:t>
          </w:r>
          <w:r w:rsidRPr="009C6DC2">
            <w:rPr>
              <w:rFonts w:asciiTheme="majorBidi" w:hAnsiTheme="majorBidi" w:cstheme="majorBidi"/>
              <w:noProof/>
              <w:sz w:val="24"/>
              <w:szCs w:val="24"/>
              <w:lang w:val="en-US"/>
            </w:rPr>
            <w:t>. Retrieved 10 09, 2022, from Harvard Business Review: https://hbr.org/2016/03/branding-in-the-age-of-social-media</w:t>
          </w:r>
        </w:p>
        <w:p w14:paraId="111D086E" w14:textId="2DA2C27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Hooper, D., Coughlan, J., &amp; Mullen, M. R. (2008). Structural Equation Modelling: Guidelines for Determining Model Fit. </w:t>
          </w:r>
          <w:r w:rsidRPr="009C6DC2">
            <w:rPr>
              <w:rFonts w:asciiTheme="majorBidi" w:hAnsiTheme="majorBidi" w:cstheme="majorBidi"/>
              <w:i/>
              <w:iCs/>
              <w:noProof/>
              <w:sz w:val="24"/>
              <w:szCs w:val="24"/>
              <w:lang w:val="en-US"/>
            </w:rPr>
            <w:t>EJBRM, 6</w:t>
          </w:r>
          <w:r w:rsidRPr="009C6DC2">
            <w:rPr>
              <w:rFonts w:asciiTheme="majorBidi" w:hAnsiTheme="majorBidi" w:cstheme="majorBidi"/>
              <w:noProof/>
              <w:sz w:val="24"/>
              <w:szCs w:val="24"/>
              <w:lang w:val="en-US"/>
            </w:rPr>
            <w:t>(1).</w:t>
          </w:r>
        </w:p>
        <w:p w14:paraId="21D9111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Hopper, J. (2012, 07 12). </w:t>
          </w:r>
          <w:r w:rsidRPr="009C6DC2">
            <w:rPr>
              <w:rFonts w:asciiTheme="majorBidi" w:hAnsiTheme="majorBidi" w:cstheme="majorBidi"/>
              <w:i/>
              <w:iCs/>
              <w:noProof/>
              <w:sz w:val="24"/>
              <w:szCs w:val="24"/>
              <w:lang w:val="en-US"/>
            </w:rPr>
            <w:t>Park Your Demographics at the End</w:t>
          </w:r>
          <w:r w:rsidRPr="009C6DC2">
            <w:rPr>
              <w:rFonts w:asciiTheme="majorBidi" w:hAnsiTheme="majorBidi" w:cstheme="majorBidi"/>
              <w:noProof/>
              <w:sz w:val="24"/>
              <w:szCs w:val="24"/>
              <w:lang w:val="en-US"/>
            </w:rPr>
            <w:t>. Retrieved from Versta: https://verstaresearch.com/blog/park-your-demographics-at-the-end/</w:t>
          </w:r>
        </w:p>
        <w:p w14:paraId="1F70A05B" w14:textId="48862CC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Hossain, M., Yahya, S. B., &amp; Khan, M. J. (2020). The effect of corporate social responsibility (CSR) health-care services on patients’ satisfaction and loyalty – a case of Bangladesh. </w:t>
          </w:r>
          <w:r w:rsidRPr="009C6DC2">
            <w:rPr>
              <w:rFonts w:asciiTheme="majorBidi" w:hAnsiTheme="majorBidi" w:cstheme="majorBidi"/>
              <w:i/>
              <w:iCs/>
              <w:noProof/>
              <w:sz w:val="24"/>
              <w:szCs w:val="24"/>
              <w:lang w:val="en-US"/>
            </w:rPr>
            <w:t>Social Responsibility Journal, 16</w:t>
          </w:r>
          <w:r w:rsidRPr="009C6DC2">
            <w:rPr>
              <w:rFonts w:asciiTheme="majorBidi" w:hAnsiTheme="majorBidi" w:cstheme="majorBidi"/>
              <w:noProof/>
              <w:sz w:val="24"/>
              <w:szCs w:val="24"/>
              <w:lang w:val="en-US"/>
            </w:rPr>
            <w:t>(2), 145-158. doi:https://doi.org/10.1108/SRJ-01-2018-0016</w:t>
          </w:r>
        </w:p>
        <w:p w14:paraId="3EC47B1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Hothersall, S. J. (2019). Epistemology and social work: enhancing the integration of theory, practice and research through philosophical pragmatism. </w:t>
          </w:r>
          <w:r w:rsidRPr="009C6DC2">
            <w:rPr>
              <w:rFonts w:asciiTheme="majorBidi" w:hAnsiTheme="majorBidi" w:cstheme="majorBidi"/>
              <w:i/>
              <w:iCs/>
              <w:noProof/>
              <w:sz w:val="24"/>
              <w:szCs w:val="24"/>
              <w:lang w:val="en-US"/>
            </w:rPr>
            <w:t>European Journal of Social Work, 22</w:t>
          </w:r>
          <w:r w:rsidRPr="009C6DC2">
            <w:rPr>
              <w:rFonts w:asciiTheme="majorBidi" w:hAnsiTheme="majorBidi" w:cstheme="majorBidi"/>
              <w:noProof/>
              <w:sz w:val="24"/>
              <w:szCs w:val="24"/>
              <w:lang w:val="en-US"/>
            </w:rPr>
            <w:t>(5), 860-870 . doi:https://doi-org.lsbu.idm.oclc.org/10.1080/13691457.2018.1499613</w:t>
          </w:r>
        </w:p>
        <w:p w14:paraId="12B38F8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Hovorka, D., &amp; Larsen, K. R. (2017). </w:t>
          </w:r>
          <w:r w:rsidRPr="009C6DC2">
            <w:rPr>
              <w:rFonts w:asciiTheme="majorBidi" w:hAnsiTheme="majorBidi" w:cstheme="majorBidi"/>
              <w:noProof/>
              <w:sz w:val="24"/>
              <w:szCs w:val="24"/>
              <w:lang w:val="en-US"/>
            </w:rPr>
            <w:t xml:space="preserve">Modes of Theory Integration. </w:t>
          </w:r>
          <w:r w:rsidRPr="009C6DC2">
            <w:rPr>
              <w:rFonts w:asciiTheme="majorBidi" w:hAnsiTheme="majorBidi" w:cstheme="majorBidi"/>
              <w:i/>
              <w:iCs/>
              <w:noProof/>
              <w:sz w:val="24"/>
              <w:szCs w:val="24"/>
              <w:lang w:val="en-US"/>
            </w:rPr>
            <w:t>Hawaii International Conference on System Sciences.</w:t>
          </w:r>
          <w:r w:rsidRPr="009C6DC2">
            <w:rPr>
              <w:rFonts w:asciiTheme="majorBidi" w:hAnsiTheme="majorBidi" w:cstheme="majorBidi"/>
              <w:noProof/>
              <w:sz w:val="24"/>
              <w:szCs w:val="24"/>
              <w:lang w:val="en-US"/>
            </w:rPr>
            <w:t xml:space="preserve"> doi:10.24251/HICSS.2017.688</w:t>
          </w:r>
        </w:p>
        <w:p w14:paraId="0D96FEC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Howard, J. A., &amp; Sheth, J. N. (1969). </w:t>
          </w:r>
          <w:r w:rsidRPr="009C6DC2">
            <w:rPr>
              <w:rFonts w:asciiTheme="majorBidi" w:hAnsiTheme="majorBidi" w:cstheme="majorBidi"/>
              <w:i/>
              <w:iCs/>
              <w:noProof/>
              <w:sz w:val="24"/>
              <w:szCs w:val="24"/>
              <w:lang w:val="en-US"/>
            </w:rPr>
            <w:t>The theory of buyer behavior.</w:t>
          </w:r>
          <w:r w:rsidRPr="009C6DC2">
            <w:rPr>
              <w:rFonts w:asciiTheme="majorBidi" w:hAnsiTheme="majorBidi" w:cstheme="majorBidi"/>
              <w:noProof/>
              <w:sz w:val="24"/>
              <w:szCs w:val="24"/>
              <w:lang w:val="en-US"/>
            </w:rPr>
            <w:t xml:space="preserve"> John Wiley &amp; Sons, Inc.</w:t>
          </w:r>
        </w:p>
        <w:p w14:paraId="74B8B0A4" w14:textId="5C7C99E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Howell, E. (2022). </w:t>
          </w:r>
          <w:r w:rsidRPr="009C6DC2">
            <w:rPr>
              <w:rFonts w:asciiTheme="majorBidi" w:hAnsiTheme="majorBidi" w:cstheme="majorBidi"/>
              <w:i/>
              <w:iCs/>
              <w:noProof/>
              <w:sz w:val="24"/>
              <w:szCs w:val="24"/>
              <w:lang w:val="en-US"/>
            </w:rPr>
            <w:t>Z-Test Simply Explained</w:t>
          </w:r>
          <w:r w:rsidRPr="009C6DC2">
            <w:rPr>
              <w:rFonts w:asciiTheme="majorBidi" w:hAnsiTheme="majorBidi" w:cstheme="majorBidi"/>
              <w:noProof/>
              <w:sz w:val="24"/>
              <w:szCs w:val="24"/>
              <w:lang w:val="en-US"/>
            </w:rPr>
            <w:t>. Retrieved 02 05, 2023, from Towards Data Science: https://towardsdatascience.com/z-test-simply-explained-80b346e0e239</w:t>
          </w:r>
        </w:p>
        <w:p w14:paraId="6C5D850D" w14:textId="77777777" w:rsidR="006E2490" w:rsidRPr="009C6DC2" w:rsidRDefault="006E2490" w:rsidP="006E2490">
          <w:pPr>
            <w:ind w:left="720" w:hanging="720"/>
            <w:rPr>
              <w:rFonts w:asciiTheme="majorBidi" w:hAnsiTheme="majorBidi" w:cstheme="majorBidi"/>
              <w:noProof/>
              <w:sz w:val="24"/>
              <w:szCs w:val="24"/>
              <w:lang w:val="en-US"/>
            </w:rPr>
          </w:pPr>
          <w:r w:rsidRPr="00F72834">
            <w:rPr>
              <w:rFonts w:asciiTheme="majorBidi" w:hAnsiTheme="majorBidi" w:cstheme="majorBidi"/>
              <w:noProof/>
              <w:sz w:val="24"/>
              <w:szCs w:val="24"/>
              <w:lang w:val="pl-PL"/>
            </w:rPr>
            <w:t xml:space="preserve">Hu, J., &amp; Liden, R. C. (2015). </w:t>
          </w:r>
          <w:r w:rsidRPr="009C6DC2">
            <w:rPr>
              <w:rFonts w:asciiTheme="majorBidi" w:hAnsiTheme="majorBidi" w:cstheme="majorBidi"/>
              <w:noProof/>
              <w:sz w:val="24"/>
              <w:szCs w:val="24"/>
              <w:lang w:val="en-US"/>
            </w:rPr>
            <w:t xml:space="preserve">Making a difference in the teamwork: Linking team prosocial motivation to team. </w:t>
          </w:r>
          <w:r w:rsidRPr="009C6DC2">
            <w:rPr>
              <w:rFonts w:asciiTheme="majorBidi" w:hAnsiTheme="majorBidi" w:cstheme="majorBidi"/>
              <w:i/>
              <w:iCs/>
              <w:noProof/>
              <w:sz w:val="24"/>
              <w:szCs w:val="24"/>
              <w:lang w:val="en-US"/>
            </w:rPr>
            <w:t>Academy of Management Journal, 58</w:t>
          </w:r>
          <w:r w:rsidRPr="009C6DC2">
            <w:rPr>
              <w:rFonts w:asciiTheme="majorBidi" w:hAnsiTheme="majorBidi" w:cstheme="majorBidi"/>
              <w:noProof/>
              <w:sz w:val="24"/>
              <w:szCs w:val="24"/>
              <w:lang w:val="en-US"/>
            </w:rPr>
            <w:t xml:space="preserve">(4), 1102-1127. doi: </w:t>
          </w:r>
          <w:hyperlink r:id="rId72" w:history="1">
            <w:r w:rsidRPr="009C6DC2">
              <w:rPr>
                <w:rFonts w:asciiTheme="majorBidi" w:hAnsiTheme="majorBidi" w:cstheme="majorBidi"/>
                <w:noProof/>
                <w:color w:val="0000FF"/>
                <w:sz w:val="24"/>
                <w:szCs w:val="24"/>
                <w:u w:val="single"/>
                <w:lang w:val="en-US"/>
              </w:rPr>
              <w:t>https://doi.org/10.5465/</w:t>
            </w:r>
          </w:hyperlink>
        </w:p>
        <w:p w14:paraId="5AC63F21" w14:textId="6889E58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Hu, L.‐t., &amp; Bentler, P. M. (2009). Cutoff criteria for fit indexes in covariance structure analysis: Conventional criteria versus new alternatives. </w:t>
          </w:r>
          <w:r w:rsidRPr="009C6DC2">
            <w:rPr>
              <w:rFonts w:asciiTheme="majorBidi" w:hAnsiTheme="majorBidi" w:cstheme="majorBidi"/>
              <w:i/>
              <w:iCs/>
              <w:noProof/>
              <w:sz w:val="24"/>
              <w:szCs w:val="24"/>
              <w:lang w:val="en-US"/>
            </w:rPr>
            <w:t>Structural Equation Modeling: A Multidisciplinary Journal, 6</w:t>
          </w:r>
          <w:r w:rsidRPr="009C6DC2">
            <w:rPr>
              <w:rFonts w:asciiTheme="majorBidi" w:hAnsiTheme="majorBidi" w:cstheme="majorBidi"/>
              <w:noProof/>
              <w:sz w:val="24"/>
              <w:szCs w:val="24"/>
              <w:lang w:val="en-US"/>
            </w:rPr>
            <w:t>(1), 1-55. doi:https://doi.org/10.1080/10705519909540118</w:t>
          </w:r>
        </w:p>
        <w:p w14:paraId="0270B520" w14:textId="7C86E8C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Huang, L., Wang, M., Chen, Z., Deng, B., &amp; Huang, W. (2020). Brand image and customer loyalty: Transmitting roles of cognitive and affective brand trust. </w:t>
          </w:r>
          <w:r w:rsidRPr="009C6DC2">
            <w:rPr>
              <w:rFonts w:asciiTheme="majorBidi" w:hAnsiTheme="majorBidi" w:cstheme="majorBidi"/>
              <w:i/>
              <w:iCs/>
              <w:noProof/>
              <w:sz w:val="24"/>
              <w:szCs w:val="24"/>
              <w:lang w:val="en-US"/>
            </w:rPr>
            <w:t>Social Behavior &amp; Personality, 48</w:t>
          </w:r>
          <w:r w:rsidRPr="009C6DC2">
            <w:rPr>
              <w:rFonts w:asciiTheme="majorBidi" w:hAnsiTheme="majorBidi" w:cstheme="majorBidi"/>
              <w:noProof/>
              <w:sz w:val="24"/>
              <w:szCs w:val="24"/>
              <w:lang w:val="en-US"/>
            </w:rPr>
            <w:t>(05), 1-12. Retrieved 10 07, 2022, from https://search.ebscohost.com/login.aspx?direct=true&amp;db=s3h&amp;AN=143098303&amp;site=eds-live.</w:t>
          </w:r>
        </w:p>
        <w:p w14:paraId="38E141D3" w14:textId="127C48F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Huhmann, B. A., &amp; Limbu, Y. B. (2020). Creative Advertising Executions Encourage the Processing Advantages of Product Familiarity. </w:t>
          </w:r>
          <w:r w:rsidRPr="009C6DC2">
            <w:rPr>
              <w:rFonts w:asciiTheme="majorBidi" w:hAnsiTheme="majorBidi" w:cstheme="majorBidi"/>
              <w:i/>
              <w:iCs/>
              <w:noProof/>
              <w:sz w:val="24"/>
              <w:szCs w:val="24"/>
              <w:lang w:val="en-US"/>
            </w:rPr>
            <w:t>Journal of Current Issues &amp; Research in Advertising, 41</w:t>
          </w:r>
          <w:r w:rsidRPr="009C6DC2">
            <w:rPr>
              <w:rFonts w:asciiTheme="majorBidi" w:hAnsiTheme="majorBidi" w:cstheme="majorBidi"/>
              <w:noProof/>
              <w:sz w:val="24"/>
              <w:szCs w:val="24"/>
              <w:lang w:val="en-US"/>
            </w:rPr>
            <w:t>(2), 206-228. doi:https://doi.org/10.1080/10641734.2020.1726842</w:t>
          </w:r>
        </w:p>
        <w:p w14:paraId="34A71425" w14:textId="6205971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Hull, C. E., &amp; Rothenberg, S. (2008). Firm Performance: The Interactions of Corporate Social Performance with Innovation and Industry Differentiation. </w:t>
          </w:r>
          <w:r w:rsidRPr="009C6DC2">
            <w:rPr>
              <w:rFonts w:asciiTheme="majorBidi" w:hAnsiTheme="majorBidi" w:cstheme="majorBidi"/>
              <w:i/>
              <w:iCs/>
              <w:noProof/>
              <w:sz w:val="24"/>
              <w:szCs w:val="24"/>
              <w:lang w:val="en-US"/>
            </w:rPr>
            <w:t>Strategic Management Journal, 29</w:t>
          </w:r>
          <w:r w:rsidRPr="009C6DC2">
            <w:rPr>
              <w:rFonts w:asciiTheme="majorBidi" w:hAnsiTheme="majorBidi" w:cstheme="majorBidi"/>
              <w:noProof/>
              <w:sz w:val="24"/>
              <w:szCs w:val="24"/>
              <w:lang w:val="en-US"/>
            </w:rPr>
            <w:t>(7), 781-789. doi:https://doi.org/10.1002/smj.675</w:t>
          </w:r>
        </w:p>
        <w:p w14:paraId="08BCADC8" w14:textId="03D48CF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Hur, W.-M., Moon, T.-W., &amp; Kim, H. (2020). When and how does customer engagement in CSR initiatives lead to greater CSR participation? The role of CSR credibility and customer–company identification. </w:t>
          </w:r>
          <w:r w:rsidRPr="009C6DC2">
            <w:rPr>
              <w:rFonts w:asciiTheme="majorBidi" w:hAnsiTheme="majorBidi" w:cstheme="majorBidi"/>
              <w:i/>
              <w:iCs/>
              <w:noProof/>
              <w:sz w:val="24"/>
              <w:szCs w:val="24"/>
              <w:lang w:val="en-US"/>
            </w:rPr>
            <w:t>Corporate Social Responsibility and Environmental Management , 27</w:t>
          </w:r>
          <w:r w:rsidRPr="009C6DC2">
            <w:rPr>
              <w:rFonts w:asciiTheme="majorBidi" w:hAnsiTheme="majorBidi" w:cstheme="majorBidi"/>
              <w:noProof/>
              <w:sz w:val="24"/>
              <w:szCs w:val="24"/>
              <w:lang w:val="en-US"/>
            </w:rPr>
            <w:t>(4), 1878-1891. doi:https://doi.org/10.1002/csr.1933</w:t>
          </w:r>
        </w:p>
        <w:p w14:paraId="49637911" w14:textId="5381D8A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Hur, W.-M., Moon, T.-W., &amp; Kim, H. (202</w:t>
          </w:r>
          <w:r w:rsidR="008D1D81">
            <w:rPr>
              <w:rFonts w:asciiTheme="majorBidi" w:hAnsiTheme="majorBidi" w:cstheme="majorBidi"/>
              <w:noProof/>
              <w:sz w:val="24"/>
              <w:szCs w:val="24"/>
              <w:lang w:val="sv-SE"/>
            </w:rPr>
            <w:t>0</w:t>
          </w:r>
          <w:r w:rsidRPr="009C6DC2">
            <w:rPr>
              <w:rFonts w:asciiTheme="majorBidi" w:hAnsiTheme="majorBidi" w:cstheme="majorBidi"/>
              <w:noProof/>
              <w:sz w:val="24"/>
              <w:szCs w:val="24"/>
              <w:lang w:val="sv-SE"/>
            </w:rPr>
            <w:t xml:space="preserve">). </w:t>
          </w:r>
          <w:r w:rsidRPr="009C6DC2">
            <w:rPr>
              <w:rFonts w:asciiTheme="majorBidi" w:hAnsiTheme="majorBidi" w:cstheme="majorBidi"/>
              <w:noProof/>
              <w:sz w:val="24"/>
              <w:szCs w:val="24"/>
              <w:lang w:val="en-US"/>
            </w:rPr>
            <w:t xml:space="preserve">When does customer CSR perception lead to customer extra-role behaviors? The roles of customer spirituality and emotional brand attachment. </w:t>
          </w:r>
          <w:r w:rsidRPr="009C6DC2">
            <w:rPr>
              <w:rFonts w:asciiTheme="majorBidi" w:hAnsiTheme="majorBidi" w:cstheme="majorBidi"/>
              <w:i/>
              <w:iCs/>
              <w:noProof/>
              <w:sz w:val="24"/>
              <w:szCs w:val="24"/>
              <w:lang w:val="en-US"/>
            </w:rPr>
            <w:t>Journal of Brand Management, 27</w:t>
          </w:r>
          <w:r w:rsidRPr="009C6DC2">
            <w:rPr>
              <w:rFonts w:asciiTheme="majorBidi" w:hAnsiTheme="majorBidi" w:cstheme="majorBidi"/>
              <w:noProof/>
              <w:sz w:val="24"/>
              <w:szCs w:val="24"/>
              <w:lang w:val="en-US"/>
            </w:rPr>
            <w:t>(4), 421-437. doi:10.1057/s41262-020-00190-x</w:t>
          </w:r>
        </w:p>
        <w:p w14:paraId="08286FD9" w14:textId="7197CD6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Husband, G. (2020). Ethical Data Collection and Recognizing the Impact of Semi-structured Interviews on Research Respondents. </w:t>
          </w:r>
          <w:r w:rsidRPr="009C6DC2">
            <w:rPr>
              <w:rFonts w:asciiTheme="majorBidi" w:hAnsiTheme="majorBidi" w:cstheme="majorBidi"/>
              <w:i/>
              <w:iCs/>
              <w:noProof/>
              <w:sz w:val="24"/>
              <w:szCs w:val="24"/>
              <w:lang w:val="en-US"/>
            </w:rPr>
            <w:t>Education Sciences, 10</w:t>
          </w:r>
          <w:r w:rsidRPr="009C6DC2">
            <w:rPr>
              <w:rFonts w:asciiTheme="majorBidi" w:hAnsiTheme="majorBidi" w:cstheme="majorBidi"/>
              <w:noProof/>
              <w:sz w:val="24"/>
              <w:szCs w:val="24"/>
              <w:lang w:val="en-US"/>
            </w:rPr>
            <w:t>(08). doi:https://doi.org/10.3390/educsci10080206</w:t>
          </w:r>
        </w:p>
        <w:p w14:paraId="1257962D" w14:textId="446037D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Hussain, A., Ting, D. H., &amp; Abbasi, A. Z. (2022). Integrating the S-O-R Model to Examine Purchase Intention Based on Instagram Sponsored Advertising. </w:t>
          </w:r>
          <w:r w:rsidRPr="009C6DC2">
            <w:rPr>
              <w:rFonts w:asciiTheme="majorBidi" w:hAnsiTheme="majorBidi" w:cstheme="majorBidi"/>
              <w:i/>
              <w:iCs/>
              <w:noProof/>
              <w:sz w:val="24"/>
              <w:szCs w:val="24"/>
              <w:lang w:val="en-US"/>
            </w:rPr>
            <w:t>Journal of Promotion Management, 29</w:t>
          </w:r>
          <w:r w:rsidRPr="009C6DC2">
            <w:rPr>
              <w:rFonts w:asciiTheme="majorBidi" w:hAnsiTheme="majorBidi" w:cstheme="majorBidi"/>
              <w:noProof/>
              <w:sz w:val="24"/>
              <w:szCs w:val="24"/>
              <w:lang w:val="en-US"/>
            </w:rPr>
            <w:t>(1), 77-105. doi:https://doi.org/10.1080/10496491.2022.2108185</w:t>
          </w:r>
        </w:p>
        <w:p w14:paraId="4528F49E" w14:textId="1B1FCBA1"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Hwang, E., Baloglu, S., &amp; Tanford, S. (2019). </w:t>
          </w:r>
          <w:r w:rsidRPr="009C6DC2">
            <w:rPr>
              <w:rFonts w:asciiTheme="majorBidi" w:hAnsiTheme="majorBidi" w:cstheme="majorBidi"/>
              <w:noProof/>
              <w:sz w:val="24"/>
              <w:szCs w:val="24"/>
              <w:lang w:val="en-US"/>
            </w:rPr>
            <w:t xml:space="preserve">Building loyalty through reward programs: the influence of perceptions of fairness and brand attachment. </w:t>
          </w:r>
          <w:r w:rsidRPr="009C6DC2">
            <w:rPr>
              <w:rFonts w:asciiTheme="majorBidi" w:hAnsiTheme="majorBidi" w:cstheme="majorBidi"/>
              <w:i/>
              <w:iCs/>
              <w:noProof/>
              <w:sz w:val="24"/>
              <w:szCs w:val="24"/>
              <w:lang w:val="en-US"/>
            </w:rPr>
            <w:t>International Journal of Hospitality Management, 76A</w:t>
          </w:r>
          <w:r w:rsidRPr="009C6DC2">
            <w:rPr>
              <w:rFonts w:asciiTheme="majorBidi" w:hAnsiTheme="majorBidi" w:cstheme="majorBidi"/>
              <w:noProof/>
              <w:sz w:val="24"/>
              <w:szCs w:val="24"/>
              <w:lang w:val="en-US"/>
            </w:rPr>
            <w:t>, 19-28. doi:https://doi.org/10.1016/j.ijhm.2018.03.009</w:t>
          </w:r>
        </w:p>
        <w:p w14:paraId="4F3D3B0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Hwang, J., &amp; Hyun, S. S. (2017). </w:t>
          </w:r>
          <w:r w:rsidRPr="009C6DC2">
            <w:rPr>
              <w:rFonts w:asciiTheme="majorBidi" w:hAnsiTheme="majorBidi" w:cstheme="majorBidi"/>
              <w:noProof/>
              <w:sz w:val="24"/>
              <w:szCs w:val="24"/>
              <w:lang w:val="en-US"/>
            </w:rPr>
            <w:t xml:space="preserve">First-class airline travelers’ tendency to seek uniqueness: how does it influence their purchase of expensive tickets? </w:t>
          </w:r>
          <w:r w:rsidRPr="009C6DC2">
            <w:rPr>
              <w:rFonts w:asciiTheme="majorBidi" w:hAnsiTheme="majorBidi" w:cstheme="majorBidi"/>
              <w:i/>
              <w:iCs/>
              <w:noProof/>
              <w:sz w:val="24"/>
              <w:szCs w:val="24"/>
              <w:lang w:val="en-US"/>
            </w:rPr>
            <w:t>Journal of Travel &amp; Tourism Marketing, 34</w:t>
          </w:r>
          <w:r w:rsidRPr="009C6DC2">
            <w:rPr>
              <w:rFonts w:asciiTheme="majorBidi" w:hAnsiTheme="majorBidi" w:cstheme="majorBidi"/>
              <w:noProof/>
              <w:sz w:val="24"/>
              <w:szCs w:val="24"/>
              <w:lang w:val="en-US"/>
            </w:rPr>
            <w:t>(7), 935-947. doi:https://doi.org/10.1080/10548408.2016.1251376</w:t>
          </w:r>
        </w:p>
        <w:p w14:paraId="7B0F198A" w14:textId="3425C8C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Hwang, J., Choe, J. (., Kim, H. M., &amp; Kim, J. J. (2021). Human baristas and robot baristas: How does brand experience affect brand satisfaction, brand attitude, brand attachment, and brand loyalty? </w:t>
          </w:r>
          <w:r w:rsidRPr="009C6DC2">
            <w:rPr>
              <w:rFonts w:asciiTheme="majorBidi" w:hAnsiTheme="majorBidi" w:cstheme="majorBidi"/>
              <w:i/>
              <w:iCs/>
              <w:noProof/>
              <w:sz w:val="24"/>
              <w:szCs w:val="24"/>
              <w:lang w:val="en-US"/>
            </w:rPr>
            <w:t>International Journal of Hospitality Management, 99</w:t>
          </w:r>
          <w:r w:rsidRPr="009C6DC2">
            <w:rPr>
              <w:rFonts w:asciiTheme="majorBidi" w:hAnsiTheme="majorBidi" w:cstheme="majorBidi"/>
              <w:noProof/>
              <w:sz w:val="24"/>
              <w:szCs w:val="24"/>
              <w:lang w:val="en-US"/>
            </w:rPr>
            <w:t>. doi:https://doi.org/10.1016/j.ijhm.2021.103050</w:t>
          </w:r>
        </w:p>
        <w:p w14:paraId="0D53CFB4" w14:textId="6E416C6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Hyde, B. (2021). Critical Discourse and Critical Reflection in Mezirow’s Theory of Transformative Learning: A Dialectic Between Ontology and Epistemology (and a Subtext of Reflexivity Mirroring My Own Onto-Epistemological Movement). </w:t>
          </w:r>
          <w:r w:rsidRPr="009C6DC2">
            <w:rPr>
              <w:rFonts w:asciiTheme="majorBidi" w:hAnsiTheme="majorBidi" w:cstheme="majorBidi"/>
              <w:i/>
              <w:iCs/>
              <w:noProof/>
              <w:sz w:val="24"/>
              <w:szCs w:val="24"/>
              <w:lang w:val="en-US"/>
            </w:rPr>
            <w:t>Adult Education Quarterly, 71</w:t>
          </w:r>
          <w:r w:rsidRPr="009C6DC2">
            <w:rPr>
              <w:rFonts w:asciiTheme="majorBidi" w:hAnsiTheme="majorBidi" w:cstheme="majorBidi"/>
              <w:noProof/>
              <w:sz w:val="24"/>
              <w:szCs w:val="24"/>
              <w:lang w:val="en-US"/>
            </w:rPr>
            <w:t>(4), 373-388. doi:https://doi.org/10.1177/07417136211003612</w:t>
          </w:r>
        </w:p>
        <w:p w14:paraId="6353D693" w14:textId="30B4AA8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Hyllegard , K. H., Yan, R.-N., Ogle, J. P., &amp; Attmann, J. (2010). The influence of gender, social cause, charitable support, and message appeal on Gen Y's responses to cause-related marketing. </w:t>
          </w:r>
          <w:r w:rsidRPr="009C6DC2">
            <w:rPr>
              <w:rFonts w:asciiTheme="majorBidi" w:hAnsiTheme="majorBidi" w:cstheme="majorBidi"/>
              <w:i/>
              <w:iCs/>
              <w:noProof/>
              <w:sz w:val="24"/>
              <w:szCs w:val="24"/>
              <w:lang w:val="en-US"/>
            </w:rPr>
            <w:t>Journal of Marketing Management, 27</w:t>
          </w:r>
          <w:r w:rsidRPr="009C6DC2">
            <w:rPr>
              <w:rFonts w:asciiTheme="majorBidi" w:hAnsiTheme="majorBidi" w:cstheme="majorBidi"/>
              <w:noProof/>
              <w:sz w:val="24"/>
              <w:szCs w:val="24"/>
              <w:lang w:val="en-US"/>
            </w:rPr>
            <w:t>(2), 100-123. doi:10.1080/02672571003683755</w:t>
          </w:r>
        </w:p>
        <w:p w14:paraId="225BA95C" w14:textId="1DA9282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Ibrahim, A. T., &amp; EL Sherbiny, M. M. (2022). Key drivers of Egyptian social work researchers' low preference for using qualitative research methods in social work studies. </w:t>
          </w:r>
          <w:r w:rsidRPr="009C6DC2">
            <w:rPr>
              <w:rFonts w:asciiTheme="majorBidi" w:hAnsiTheme="majorBidi" w:cstheme="majorBidi"/>
              <w:i/>
              <w:iCs/>
              <w:noProof/>
              <w:sz w:val="24"/>
              <w:szCs w:val="24"/>
              <w:lang w:val="en-US"/>
            </w:rPr>
            <w:t>African Journal of Social Work, 12</w:t>
          </w:r>
          <w:r w:rsidRPr="009C6DC2">
            <w:rPr>
              <w:rFonts w:asciiTheme="majorBidi" w:hAnsiTheme="majorBidi" w:cstheme="majorBidi"/>
              <w:noProof/>
              <w:sz w:val="24"/>
              <w:szCs w:val="24"/>
              <w:lang w:val="en-US"/>
            </w:rPr>
            <w:t>(4), 142-152. doi:https://africasocialwork.net/current-and-past-issues/</w:t>
          </w:r>
        </w:p>
        <w:p w14:paraId="317CEDBD" w14:textId="21BA9067"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Ibrahim, M. N., &amp; Kimbu, A. N. (2022). </w:t>
          </w:r>
          <w:r w:rsidRPr="009C6DC2">
            <w:rPr>
              <w:rFonts w:asciiTheme="majorBidi" w:hAnsiTheme="majorBidi" w:cstheme="majorBidi"/>
              <w:noProof/>
              <w:sz w:val="24"/>
              <w:szCs w:val="24"/>
              <w:lang w:val="en-US"/>
            </w:rPr>
            <w:t xml:space="preserve">Recontextualising the determinants of external CSR in the services industry: A cross-cultural study. </w:t>
          </w:r>
          <w:r w:rsidRPr="009C6DC2">
            <w:rPr>
              <w:rFonts w:asciiTheme="majorBidi" w:hAnsiTheme="majorBidi" w:cstheme="majorBidi"/>
              <w:i/>
              <w:iCs/>
              <w:noProof/>
              <w:sz w:val="24"/>
              <w:szCs w:val="24"/>
              <w:lang w:val="en-US"/>
            </w:rPr>
            <w:t>Tourism Management, 95</w:t>
          </w:r>
          <w:r w:rsidRPr="009C6DC2">
            <w:rPr>
              <w:rFonts w:asciiTheme="majorBidi" w:hAnsiTheme="majorBidi" w:cstheme="majorBidi"/>
              <w:noProof/>
              <w:sz w:val="24"/>
              <w:szCs w:val="24"/>
              <w:lang w:val="en-US"/>
            </w:rPr>
            <w:t>. doi:https://doi.org/10.1016/j.tourman.2022.104690</w:t>
          </w:r>
        </w:p>
        <w:p w14:paraId="20B931C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IPSOS. (2016). </w:t>
          </w:r>
          <w:r w:rsidRPr="009C6DC2">
            <w:rPr>
              <w:rFonts w:asciiTheme="majorBidi" w:hAnsiTheme="majorBidi" w:cstheme="majorBidi"/>
              <w:i/>
              <w:iCs/>
              <w:noProof/>
              <w:sz w:val="24"/>
              <w:szCs w:val="24"/>
              <w:lang w:val="en-US"/>
            </w:rPr>
            <w:t>94% of Egyptian Women Are Responsible for Their Household Shopping, 2016 | Ipsos</w:t>
          </w:r>
          <w:r w:rsidRPr="009C6DC2">
            <w:rPr>
              <w:rFonts w:asciiTheme="majorBidi" w:hAnsiTheme="majorBidi" w:cstheme="majorBidi"/>
              <w:noProof/>
              <w:sz w:val="24"/>
              <w:szCs w:val="24"/>
              <w:lang w:val="en-US"/>
            </w:rPr>
            <w:t>. Retrieved from Digital Marketing Community: https://www.digitalmarketingcommunity.com/indicators/94-egyptian-women-responsible-household-shopping-2016-ipsos/</w:t>
          </w:r>
        </w:p>
        <w:p w14:paraId="7BB8132E" w14:textId="60E3AD7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Ipsos. (2022). </w:t>
          </w:r>
          <w:r w:rsidRPr="009C6DC2">
            <w:rPr>
              <w:rFonts w:asciiTheme="majorBidi" w:hAnsiTheme="majorBidi" w:cstheme="majorBidi"/>
              <w:i/>
              <w:iCs/>
              <w:noProof/>
              <w:sz w:val="24"/>
              <w:szCs w:val="24"/>
              <w:lang w:val="en-US"/>
            </w:rPr>
            <w:t>MENA 2021 Ad Spend</w:t>
          </w:r>
          <w:r w:rsidRPr="009C6DC2">
            <w:rPr>
              <w:rFonts w:asciiTheme="majorBidi" w:hAnsiTheme="majorBidi" w:cstheme="majorBidi"/>
              <w:noProof/>
              <w:sz w:val="24"/>
              <w:szCs w:val="24"/>
              <w:lang w:val="en-US"/>
            </w:rPr>
            <w:t>. Retrieved from Ipsos: https://www.ipsos.com/en-sa/mena-2021-ad-spend</w:t>
          </w:r>
        </w:p>
        <w:p w14:paraId="5FC4D521" w14:textId="5A9F45D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Islam, M. T., Kokubu, K., &amp; Nishitani, K. (2021). </w:t>
          </w:r>
          <w:r w:rsidRPr="009C6DC2">
            <w:rPr>
              <w:rFonts w:asciiTheme="majorBidi" w:hAnsiTheme="majorBidi" w:cstheme="majorBidi"/>
              <w:noProof/>
              <w:sz w:val="24"/>
              <w:szCs w:val="24"/>
              <w:lang w:val="en-US"/>
            </w:rPr>
            <w:t xml:space="preserve">Corporate social reporting in the banking industry of Bangladesh: a test of legitimacy theory. </w:t>
          </w:r>
          <w:r w:rsidRPr="009C6DC2">
            <w:rPr>
              <w:rFonts w:asciiTheme="majorBidi" w:hAnsiTheme="majorBidi" w:cstheme="majorBidi"/>
              <w:i/>
              <w:iCs/>
              <w:noProof/>
              <w:sz w:val="24"/>
              <w:szCs w:val="24"/>
              <w:lang w:val="en-US"/>
            </w:rPr>
            <w:t>Social Responsibility Journal, 17</w:t>
          </w:r>
          <w:r w:rsidRPr="009C6DC2">
            <w:rPr>
              <w:rFonts w:asciiTheme="majorBidi" w:hAnsiTheme="majorBidi" w:cstheme="majorBidi"/>
              <w:noProof/>
              <w:sz w:val="24"/>
              <w:szCs w:val="24"/>
              <w:lang w:val="en-US"/>
            </w:rPr>
            <w:t>(2), 198-225. doi:https://doi.org/10.1108/SRJ-05-2019-0185</w:t>
          </w:r>
        </w:p>
        <w:p w14:paraId="1D3131ED" w14:textId="2D63672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Islam, T., Attiq, S., Hameed, Z., Khokhar, M. N., &amp; Sheikh, Z. (2019). The impact of self-congruity (symbolic and functional) on the brand hate: A study based on self-congruity theory. </w:t>
          </w:r>
          <w:r w:rsidRPr="009C6DC2">
            <w:rPr>
              <w:rFonts w:asciiTheme="majorBidi" w:hAnsiTheme="majorBidi" w:cstheme="majorBidi"/>
              <w:i/>
              <w:iCs/>
              <w:noProof/>
              <w:sz w:val="24"/>
              <w:szCs w:val="24"/>
              <w:lang w:val="en-US"/>
            </w:rPr>
            <w:t>British Food Journal, 121</w:t>
          </w:r>
          <w:r w:rsidRPr="009C6DC2">
            <w:rPr>
              <w:rFonts w:asciiTheme="majorBidi" w:hAnsiTheme="majorBidi" w:cstheme="majorBidi"/>
              <w:noProof/>
              <w:sz w:val="24"/>
              <w:szCs w:val="24"/>
              <w:lang w:val="en-US"/>
            </w:rPr>
            <w:t>(1), 71-88. doi:https://doi.org/10.1108/BFJ-03-2018-0206</w:t>
          </w:r>
        </w:p>
        <w:p w14:paraId="035509E6" w14:textId="7B4B7D8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Ismagilova, E., Slade , E., Rana, N. P., &amp; Dwivedi, Y. K. (2020). The effect of characteristics of source credibility on consumer behaviour: A meta-analysis. </w:t>
          </w:r>
          <w:r w:rsidRPr="009C6DC2">
            <w:rPr>
              <w:rFonts w:asciiTheme="majorBidi" w:hAnsiTheme="majorBidi" w:cstheme="majorBidi"/>
              <w:i/>
              <w:iCs/>
              <w:noProof/>
              <w:sz w:val="24"/>
              <w:szCs w:val="24"/>
              <w:lang w:val="en-US"/>
            </w:rPr>
            <w:t>Journal of Retailing and Consumer Services, 53</w:t>
          </w:r>
          <w:r w:rsidRPr="009C6DC2">
            <w:rPr>
              <w:rFonts w:asciiTheme="majorBidi" w:hAnsiTheme="majorBidi" w:cstheme="majorBidi"/>
              <w:noProof/>
              <w:sz w:val="24"/>
              <w:szCs w:val="24"/>
              <w:lang w:val="en-US"/>
            </w:rPr>
            <w:t>. doi:https://doi.org/10.1016/j.jretconser.2019.01.005</w:t>
          </w:r>
        </w:p>
        <w:p w14:paraId="706963E4" w14:textId="02A9C34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Inekwe, M., Hashim, F., &amp; Yahya , S. B. (2020). CSR in developing countries – the importance of good governance and economic growth: evidence from Africa. </w:t>
          </w:r>
          <w:r w:rsidRPr="009C6DC2">
            <w:rPr>
              <w:rFonts w:asciiTheme="majorBidi" w:hAnsiTheme="majorBidi" w:cstheme="majorBidi"/>
              <w:i/>
              <w:iCs/>
              <w:noProof/>
              <w:sz w:val="24"/>
              <w:szCs w:val="24"/>
              <w:lang w:val="en-US"/>
            </w:rPr>
            <w:t>Social Responsibility Journal, 17</w:t>
          </w:r>
          <w:r w:rsidRPr="009C6DC2">
            <w:rPr>
              <w:rFonts w:asciiTheme="majorBidi" w:hAnsiTheme="majorBidi" w:cstheme="majorBidi"/>
              <w:noProof/>
              <w:sz w:val="24"/>
              <w:szCs w:val="24"/>
              <w:lang w:val="en-US"/>
            </w:rPr>
            <w:t>(02), 226-242. Retrieved 12 06, 2022, from https://doi.org/10.1108/SRJ-10-2019-0336</w:t>
          </w:r>
        </w:p>
        <w:p w14:paraId="162A098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ISO. (2011). ISO 26000 Guidance on Social Responsibility. 3 - 5. Retrieved 10 08, 2021, from https://www.iso.org/files/live/sites/isoorg/files/store/en/PUB100258.pdf</w:t>
          </w:r>
        </w:p>
        <w:p w14:paraId="65BC7FF2" w14:textId="178BDEA3"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Izogo, E. E., Reza, A., Ogba, I.-E., &amp; Oraedu, C. (2017</w:t>
          </w:r>
          <w:r w:rsidR="008D1D81">
            <w:rPr>
              <w:rFonts w:asciiTheme="majorBidi" w:hAnsiTheme="majorBidi" w:cstheme="majorBidi"/>
              <w:noProof/>
              <w:sz w:val="24"/>
              <w:szCs w:val="24"/>
              <w:lang w:val="pl-PL"/>
            </w:rPr>
            <w:t>)</w:t>
          </w:r>
          <w:r w:rsidRPr="007E3AAA">
            <w:rPr>
              <w:rFonts w:asciiTheme="majorBidi" w:hAnsiTheme="majorBidi" w:cstheme="majorBidi"/>
              <w:noProof/>
              <w:sz w:val="24"/>
              <w:szCs w:val="24"/>
              <w:lang w:val="pl-PL"/>
            </w:rPr>
            <w:t xml:space="preserve">. </w:t>
          </w:r>
          <w:r w:rsidRPr="009C6DC2">
            <w:rPr>
              <w:rFonts w:asciiTheme="majorBidi" w:hAnsiTheme="majorBidi" w:cstheme="majorBidi"/>
              <w:noProof/>
              <w:sz w:val="24"/>
              <w:szCs w:val="24"/>
              <w:lang w:val="en-US"/>
            </w:rPr>
            <w:t xml:space="preserve">Determinants of relationship quality and customer loyalty in retail banking: Evidence from Nigeria. </w:t>
          </w:r>
          <w:r w:rsidRPr="009C6DC2">
            <w:rPr>
              <w:rFonts w:asciiTheme="majorBidi" w:hAnsiTheme="majorBidi" w:cstheme="majorBidi"/>
              <w:i/>
              <w:iCs/>
              <w:noProof/>
              <w:sz w:val="24"/>
              <w:szCs w:val="24"/>
              <w:lang w:val="en-US"/>
            </w:rPr>
            <w:t>African Journal of Economic and Management Studies, 8</w:t>
          </w:r>
          <w:r w:rsidRPr="009C6DC2">
            <w:rPr>
              <w:rFonts w:asciiTheme="majorBidi" w:hAnsiTheme="majorBidi" w:cstheme="majorBidi"/>
              <w:noProof/>
              <w:sz w:val="24"/>
              <w:szCs w:val="24"/>
              <w:lang w:val="en-US"/>
            </w:rPr>
            <w:t>(2), 186-204. doi:https://doi.org/10.1108/AJEMS-01-2016-0011</w:t>
          </w:r>
        </w:p>
        <w:p w14:paraId="0B854314" w14:textId="76E8351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Jacob, I., Khanna, M., &amp; Rai, K. A. (2020). Attribution analysis of luxury brands: An investigation into consumer-brand congruence through conspicuous consumption. </w:t>
          </w:r>
          <w:r w:rsidRPr="009C6DC2">
            <w:rPr>
              <w:rFonts w:asciiTheme="majorBidi" w:hAnsiTheme="majorBidi" w:cstheme="majorBidi"/>
              <w:i/>
              <w:iCs/>
              <w:noProof/>
              <w:sz w:val="24"/>
              <w:szCs w:val="24"/>
              <w:lang w:val="en-US"/>
            </w:rPr>
            <w:t>Journal of Business Research, 116</w:t>
          </w:r>
          <w:r w:rsidRPr="009C6DC2">
            <w:rPr>
              <w:rFonts w:asciiTheme="majorBidi" w:hAnsiTheme="majorBidi" w:cstheme="majorBidi"/>
              <w:noProof/>
              <w:sz w:val="24"/>
              <w:szCs w:val="24"/>
              <w:lang w:val="en-US"/>
            </w:rPr>
            <w:t>, 597-607. doi:https://doi.org/10.1016/j.jbusres.2019.07.007</w:t>
          </w:r>
        </w:p>
        <w:p w14:paraId="126B19C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Jacoby, J. (2002). Stimulus-Organism-Response Reconsidered: An Evolutionary Step in Modeling (Consumer) Behavior. </w:t>
          </w:r>
          <w:r w:rsidRPr="009C6DC2">
            <w:rPr>
              <w:rFonts w:asciiTheme="majorBidi" w:hAnsiTheme="majorBidi" w:cstheme="majorBidi"/>
              <w:i/>
              <w:iCs/>
              <w:noProof/>
              <w:sz w:val="24"/>
              <w:szCs w:val="24"/>
              <w:lang w:val="en-US"/>
            </w:rPr>
            <w:t>Journal of Consumer Psychology, 12</w:t>
          </w:r>
          <w:r w:rsidRPr="009C6DC2">
            <w:rPr>
              <w:rFonts w:asciiTheme="majorBidi" w:hAnsiTheme="majorBidi" w:cstheme="majorBidi"/>
              <w:noProof/>
              <w:sz w:val="24"/>
              <w:szCs w:val="24"/>
              <w:lang w:val="en-US"/>
            </w:rPr>
            <w:t>(1), 51-57. doi:https://doi.org/10.1207/S15327663JCP1201_05</w:t>
          </w:r>
        </w:p>
        <w:p w14:paraId="31C8B405" w14:textId="562B862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Jamal</w:t>
          </w:r>
          <w:r>
            <w:rPr>
              <w:rFonts w:asciiTheme="majorBidi" w:hAnsiTheme="majorBidi" w:cstheme="majorBidi"/>
              <w:noProof/>
              <w:sz w:val="24"/>
              <w:szCs w:val="24"/>
              <w:lang w:val="en-US"/>
            </w:rPr>
            <w:t>i</w:t>
          </w:r>
          <w:r w:rsidRPr="009C6DC2">
            <w:rPr>
              <w:rFonts w:asciiTheme="majorBidi" w:hAnsiTheme="majorBidi" w:cstheme="majorBidi"/>
              <w:noProof/>
              <w:sz w:val="24"/>
              <w:szCs w:val="24"/>
              <w:lang w:val="en-US"/>
            </w:rPr>
            <w:t xml:space="preserve">, D., &amp; Karam, C. (2018). Corporate Social Responsibility in Developing Countries as an Emerging Field of Study. </w:t>
          </w:r>
          <w:r w:rsidRPr="009C6DC2">
            <w:rPr>
              <w:rFonts w:asciiTheme="majorBidi" w:hAnsiTheme="majorBidi" w:cstheme="majorBidi"/>
              <w:i/>
              <w:iCs/>
              <w:noProof/>
              <w:sz w:val="24"/>
              <w:szCs w:val="24"/>
              <w:lang w:val="en-US"/>
            </w:rPr>
            <w:t>International Journal of Management Reviews, 20</w:t>
          </w:r>
          <w:r w:rsidRPr="009C6DC2">
            <w:rPr>
              <w:rFonts w:asciiTheme="majorBidi" w:hAnsiTheme="majorBidi" w:cstheme="majorBidi"/>
              <w:noProof/>
              <w:sz w:val="24"/>
              <w:szCs w:val="24"/>
              <w:lang w:val="en-US"/>
            </w:rPr>
            <w:t>(1), 32-61. doi:10.1111/ijmr.12112</w:t>
          </w:r>
        </w:p>
        <w:p w14:paraId="7BAEFDA7" w14:textId="4B763483" w:rsidR="006E2490" w:rsidRPr="009C6DC2" w:rsidRDefault="006E2490" w:rsidP="006E2490">
          <w:pPr>
            <w:ind w:left="720" w:hanging="720"/>
            <w:rPr>
              <w:rFonts w:asciiTheme="majorBidi" w:hAnsiTheme="majorBidi" w:cstheme="majorBidi"/>
              <w:noProof/>
              <w:sz w:val="24"/>
              <w:szCs w:val="24"/>
              <w:lang w:val="en-US"/>
            </w:rPr>
          </w:pPr>
          <w:r w:rsidRPr="00AD0123">
            <w:rPr>
              <w:rFonts w:asciiTheme="majorBidi" w:hAnsiTheme="majorBidi" w:cstheme="majorBidi"/>
              <w:noProof/>
              <w:sz w:val="24"/>
              <w:szCs w:val="24"/>
            </w:rPr>
            <w:t>Jamali, D., Tanusree,</w:t>
          </w:r>
          <w:r w:rsidRPr="008D625E">
            <w:rPr>
              <w:rFonts w:asciiTheme="majorBidi" w:hAnsiTheme="majorBidi" w:cstheme="majorBidi"/>
              <w:noProof/>
              <w:sz w:val="24"/>
              <w:szCs w:val="24"/>
            </w:rPr>
            <w:t xml:space="preserve"> J., Samara, G., &amp; Zoghbi, E. (2020). </w:t>
          </w:r>
          <w:r w:rsidRPr="009C6DC2">
            <w:rPr>
              <w:rFonts w:asciiTheme="majorBidi" w:hAnsiTheme="majorBidi" w:cstheme="majorBidi"/>
              <w:noProof/>
              <w:sz w:val="24"/>
              <w:szCs w:val="24"/>
              <w:lang w:val="en-US"/>
            </w:rPr>
            <w:t xml:space="preserve">How institutions affect CSR practices in the Middle East and North Africa: A critical review. </w:t>
          </w:r>
          <w:r w:rsidRPr="009C6DC2">
            <w:rPr>
              <w:rFonts w:asciiTheme="majorBidi" w:hAnsiTheme="majorBidi" w:cstheme="majorBidi"/>
              <w:i/>
              <w:iCs/>
              <w:noProof/>
              <w:sz w:val="24"/>
              <w:szCs w:val="24"/>
              <w:lang w:val="en-US"/>
            </w:rPr>
            <w:t>Journal of World Business, 55</w:t>
          </w:r>
          <w:r w:rsidRPr="009C6DC2">
            <w:rPr>
              <w:rFonts w:asciiTheme="majorBidi" w:hAnsiTheme="majorBidi" w:cstheme="majorBidi"/>
              <w:noProof/>
              <w:sz w:val="24"/>
              <w:szCs w:val="24"/>
              <w:lang w:val="en-US"/>
            </w:rPr>
            <w:t>(5). doi:https://doi.org/10.1016/j.jwb.2020.101127</w:t>
          </w:r>
        </w:p>
        <w:p w14:paraId="0345E7B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James, W. L., &amp; Carter, F. G. (1977). Halo Effects and Location Preferences. </w:t>
          </w:r>
          <w:r w:rsidRPr="009C6DC2">
            <w:rPr>
              <w:rFonts w:asciiTheme="majorBidi" w:hAnsiTheme="majorBidi" w:cstheme="majorBidi"/>
              <w:i/>
              <w:iCs/>
              <w:noProof/>
              <w:sz w:val="24"/>
              <w:szCs w:val="24"/>
              <w:lang w:val="en-US"/>
            </w:rPr>
            <w:t>Advances in Consumer Research</w:t>
          </w:r>
          <w:r w:rsidRPr="009C6DC2">
            <w:rPr>
              <w:rFonts w:asciiTheme="majorBidi" w:hAnsiTheme="majorBidi" w:cstheme="majorBidi"/>
              <w:noProof/>
              <w:sz w:val="24"/>
              <w:szCs w:val="24"/>
              <w:lang w:val="en-US"/>
            </w:rPr>
            <w:t>.</w:t>
          </w:r>
        </w:p>
        <w:p w14:paraId="2BD6BDEE" w14:textId="50C06D2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Janić, M., Ćirović, M., Dimitriadis, N., Dimitriadis, N. J., &amp; Alevizou, P. (2022). Neuroscience and CSR: Using EEG for Assessing the Effectiveness of Branded Videos Related to Environmental Issues. </w:t>
          </w:r>
          <w:r w:rsidRPr="009C6DC2">
            <w:rPr>
              <w:rFonts w:asciiTheme="majorBidi" w:hAnsiTheme="majorBidi" w:cstheme="majorBidi"/>
              <w:i/>
              <w:iCs/>
              <w:noProof/>
              <w:sz w:val="24"/>
              <w:szCs w:val="24"/>
              <w:lang w:val="en-US"/>
            </w:rPr>
            <w:t>Sustainability, 14</w:t>
          </w:r>
          <w:r w:rsidRPr="009C6DC2">
            <w:rPr>
              <w:rFonts w:asciiTheme="majorBidi" w:hAnsiTheme="majorBidi" w:cstheme="majorBidi"/>
              <w:noProof/>
              <w:sz w:val="24"/>
              <w:szCs w:val="24"/>
              <w:lang w:val="en-US"/>
            </w:rPr>
            <w:t>(3). doi:https://doi.org/10.3390/su14031347</w:t>
          </w:r>
        </w:p>
        <w:p w14:paraId="68412F9F" w14:textId="4A57407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Janssen, L., Fransen, M., Wulff, R., &amp; Reijmersdal, E. A. (2016). Brand placement disclosure effects on persuasion: The moderating role of consumer self-control: Self-control and brand placement disclosure. </w:t>
          </w:r>
          <w:r w:rsidRPr="009C6DC2">
            <w:rPr>
              <w:rFonts w:asciiTheme="majorBidi" w:hAnsiTheme="majorBidi" w:cstheme="majorBidi"/>
              <w:i/>
              <w:iCs/>
              <w:noProof/>
              <w:sz w:val="24"/>
              <w:szCs w:val="24"/>
              <w:lang w:val="en-US"/>
            </w:rPr>
            <w:t>Journal of Consumer Behaviour, 15</w:t>
          </w:r>
          <w:r w:rsidRPr="009C6DC2">
            <w:rPr>
              <w:rFonts w:asciiTheme="majorBidi" w:hAnsiTheme="majorBidi" w:cstheme="majorBidi"/>
              <w:noProof/>
              <w:sz w:val="24"/>
              <w:szCs w:val="24"/>
              <w:lang w:val="en-US"/>
            </w:rPr>
            <w:t>(6). doi:10.1002/cb.1587</w:t>
          </w:r>
        </w:p>
        <w:p w14:paraId="27CCE7A4" w14:textId="5C153C9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Javed, M. K., Degong, M., &amp; Qadeer, T. (2019). Relation between Chinese consumers’ ethical perceptions and purchase intentions: A perspective on ethical company/brand management strategies. </w:t>
          </w:r>
          <w:r w:rsidRPr="009C6DC2">
            <w:rPr>
              <w:rFonts w:asciiTheme="majorBidi" w:hAnsiTheme="majorBidi" w:cstheme="majorBidi"/>
              <w:i/>
              <w:iCs/>
              <w:noProof/>
              <w:sz w:val="24"/>
              <w:szCs w:val="24"/>
              <w:lang w:val="en-US"/>
            </w:rPr>
            <w:t>Asia Pacific Journal of Marketing and Logistics, 31</w:t>
          </w:r>
          <w:r w:rsidRPr="009C6DC2">
            <w:rPr>
              <w:rFonts w:asciiTheme="majorBidi" w:hAnsiTheme="majorBidi" w:cstheme="majorBidi"/>
              <w:noProof/>
              <w:sz w:val="24"/>
              <w:szCs w:val="24"/>
              <w:lang w:val="en-US"/>
            </w:rPr>
            <w:t>(03), 670-690. doi:https://doi.org/10.1108/APJML-10-2017-0254</w:t>
          </w:r>
        </w:p>
        <w:p w14:paraId="7ADF423C" w14:textId="25708F6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Jeon, M. A., &amp; An, D. (2019). A study on the relationship between perceived CSR motives, authenticity and company attitudes: a comparative analysis of cause promotion and cause-related marketing. </w:t>
          </w:r>
          <w:r w:rsidRPr="009C6DC2">
            <w:rPr>
              <w:rFonts w:asciiTheme="majorBidi" w:hAnsiTheme="majorBidi" w:cstheme="majorBidi"/>
              <w:i/>
              <w:iCs/>
              <w:noProof/>
              <w:sz w:val="24"/>
              <w:szCs w:val="24"/>
              <w:lang w:val="en-US"/>
            </w:rPr>
            <w:t>Asian Journal of Sustainability and Social Responsibility volume</w:t>
          </w:r>
          <w:r w:rsidRPr="009C6DC2">
            <w:rPr>
              <w:rFonts w:asciiTheme="majorBidi" w:hAnsiTheme="majorBidi" w:cstheme="majorBidi"/>
              <w:noProof/>
              <w:sz w:val="24"/>
              <w:szCs w:val="24"/>
              <w:lang w:val="en-US"/>
            </w:rPr>
            <w:t>. doi:https://doi.org/10.1186/s41180-019-0028-4</w:t>
          </w:r>
        </w:p>
        <w:p w14:paraId="61FCF8D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Jeon, S. (2021). THE FACTORS OF SOCIAL MEDIA ADVERTISING AFFECTING CONSUMER BUYING DECISION. </w:t>
          </w:r>
          <w:r w:rsidRPr="009C6DC2">
            <w:rPr>
              <w:rFonts w:asciiTheme="majorBidi" w:hAnsiTheme="majorBidi" w:cstheme="majorBidi"/>
              <w:i/>
              <w:iCs/>
              <w:noProof/>
              <w:sz w:val="24"/>
              <w:szCs w:val="24"/>
              <w:lang w:val="en-US"/>
            </w:rPr>
            <w:t>Competition forum, 19</w:t>
          </w:r>
          <w:r w:rsidRPr="009C6DC2">
            <w:rPr>
              <w:rFonts w:asciiTheme="majorBidi" w:hAnsiTheme="majorBidi" w:cstheme="majorBidi"/>
              <w:noProof/>
              <w:sz w:val="24"/>
              <w:szCs w:val="24"/>
              <w:lang w:val="en-US"/>
            </w:rPr>
            <w:t>(2), 69-78. Retrieved 02 21, 2023, from https://web.s.ebscohost.com/ehost/pdfviewer/pdfviewer?vid=0&amp;sid=78cd0e7a-5e43-4668-8012-feb8bb17fa95%40redis</w:t>
          </w:r>
        </w:p>
        <w:p w14:paraId="40E2886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Ji, Y. G., &amp; Yang, A. (2018). Sustainability Alliance Networks on Facebook: A Big Data Network Analysis of S&amp;P 500. </w:t>
          </w:r>
          <w:r w:rsidRPr="009C6DC2">
            <w:rPr>
              <w:rFonts w:asciiTheme="majorBidi" w:hAnsiTheme="majorBidi" w:cstheme="majorBidi"/>
              <w:i/>
              <w:iCs/>
              <w:noProof/>
              <w:sz w:val="24"/>
              <w:szCs w:val="24"/>
              <w:lang w:val="en-US"/>
            </w:rPr>
            <w:t>International Public Relations Research Conference</w:t>
          </w:r>
          <w:r w:rsidRPr="009C6DC2">
            <w:rPr>
              <w:rFonts w:asciiTheme="majorBidi" w:hAnsiTheme="majorBidi" w:cstheme="majorBidi"/>
              <w:noProof/>
              <w:sz w:val="24"/>
              <w:szCs w:val="24"/>
              <w:lang w:val="en-US"/>
            </w:rPr>
            <w:t>, (pp. 140-153). doi:10.3389/fpls.2018.00140</w:t>
          </w:r>
        </w:p>
        <w:p w14:paraId="4D979169" w14:textId="38D3550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Jiang, Z., Chan, J., Tan, B. C., &amp; Chua, W. S. (2010). Effects of Interactivity on Website Involvement and Purchase Intention. </w:t>
          </w:r>
          <w:r w:rsidRPr="009C6DC2">
            <w:rPr>
              <w:rFonts w:asciiTheme="majorBidi" w:hAnsiTheme="majorBidi" w:cstheme="majorBidi"/>
              <w:i/>
              <w:iCs/>
              <w:noProof/>
              <w:sz w:val="24"/>
              <w:szCs w:val="24"/>
              <w:lang w:val="en-US"/>
            </w:rPr>
            <w:t>Journal of the Association for Information Systems, 11</w:t>
          </w:r>
          <w:r w:rsidRPr="009C6DC2">
            <w:rPr>
              <w:rFonts w:asciiTheme="majorBidi" w:hAnsiTheme="majorBidi" w:cstheme="majorBidi"/>
              <w:noProof/>
              <w:sz w:val="24"/>
              <w:szCs w:val="24"/>
              <w:lang w:val="en-US"/>
            </w:rPr>
            <w:t>(1). doi:10.17705/1jais.00218</w:t>
          </w:r>
        </w:p>
        <w:p w14:paraId="4AB2599D" w14:textId="7F28F92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Jiao, J., Levin, I. P., Gaeth, G. J., &amp; Chatterjee, S. (2022). Sincere or exciting? Brand personality and argument quality on brand attitude. </w:t>
          </w:r>
          <w:r w:rsidRPr="009C6DC2">
            <w:rPr>
              <w:rFonts w:asciiTheme="majorBidi" w:hAnsiTheme="majorBidi" w:cstheme="majorBidi"/>
              <w:i/>
              <w:iCs/>
              <w:noProof/>
              <w:sz w:val="24"/>
              <w:szCs w:val="24"/>
              <w:lang w:val="en-US"/>
            </w:rPr>
            <w:t>Journal of Consumer Behaviour, 21</w:t>
          </w:r>
          <w:r w:rsidRPr="009C6DC2">
            <w:rPr>
              <w:rFonts w:asciiTheme="majorBidi" w:hAnsiTheme="majorBidi" w:cstheme="majorBidi"/>
              <w:noProof/>
              <w:sz w:val="24"/>
              <w:szCs w:val="24"/>
              <w:lang w:val="en-US"/>
            </w:rPr>
            <w:t>(6), 1268-1279. doi:https://doi.org/10.1002/cb.2078</w:t>
          </w:r>
        </w:p>
        <w:p w14:paraId="3724A82A" w14:textId="3199A18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Jiménez, A. G., &amp; Vozmediano, M. M. (2019). Subject matter of videos for teens on YouTube. </w:t>
          </w:r>
          <w:r w:rsidRPr="009C6DC2">
            <w:rPr>
              <w:rFonts w:asciiTheme="majorBidi" w:hAnsiTheme="majorBidi" w:cstheme="majorBidi"/>
              <w:i/>
              <w:iCs/>
              <w:noProof/>
              <w:sz w:val="24"/>
              <w:szCs w:val="24"/>
              <w:lang w:val="en-US"/>
            </w:rPr>
            <w:t>International Journal of Adolescence and Youth, 25</w:t>
          </w:r>
          <w:r w:rsidRPr="009C6DC2">
            <w:rPr>
              <w:rFonts w:asciiTheme="majorBidi" w:hAnsiTheme="majorBidi" w:cstheme="majorBidi"/>
              <w:noProof/>
              <w:sz w:val="24"/>
              <w:szCs w:val="24"/>
              <w:lang w:val="en-US"/>
            </w:rPr>
            <w:t>(2), 63-78. doi:I:10.1080/02673843.2019.1590850</w:t>
          </w:r>
        </w:p>
        <w:p w14:paraId="14541BB7" w14:textId="62B5FBD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Jimoh, O. F., Ryan, H., Killett, A., Shiggins, C., Langdon, P. E., Heywood, R., &amp; Bunning, K. (2021). A systematic review and narrative synthesis of the research provisions under the Mental Capacity Act (2005) in England and Wales: Recruitment of adults with capacity and communication difficulties. </w:t>
          </w:r>
          <w:r w:rsidRPr="009C6DC2">
            <w:rPr>
              <w:rFonts w:asciiTheme="majorBidi" w:hAnsiTheme="majorBidi" w:cstheme="majorBidi"/>
              <w:i/>
              <w:iCs/>
              <w:noProof/>
              <w:sz w:val="24"/>
              <w:szCs w:val="24"/>
              <w:lang w:val="en-US"/>
            </w:rPr>
            <w:t>Plos One, 16</w:t>
          </w:r>
          <w:r w:rsidRPr="009C6DC2">
            <w:rPr>
              <w:rFonts w:asciiTheme="majorBidi" w:hAnsiTheme="majorBidi" w:cstheme="majorBidi"/>
              <w:noProof/>
              <w:sz w:val="24"/>
              <w:szCs w:val="24"/>
              <w:lang w:val="en-US"/>
            </w:rPr>
            <w:t>(9). doi:https://doi.org/10.1371/journal.pone.0256697</w:t>
          </w:r>
        </w:p>
        <w:p w14:paraId="79B807C1" w14:textId="729B986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Jin, C. H., &amp; Lee, J. Y. (2019). The halo effect of CSR activity: Types of CSR activity and negative information effects. </w:t>
          </w:r>
          <w:r w:rsidRPr="009C6DC2">
            <w:rPr>
              <w:rFonts w:asciiTheme="majorBidi" w:hAnsiTheme="majorBidi" w:cstheme="majorBidi"/>
              <w:i/>
              <w:iCs/>
              <w:noProof/>
              <w:sz w:val="24"/>
              <w:szCs w:val="24"/>
              <w:lang w:val="en-US"/>
            </w:rPr>
            <w:t>Sustainability, 11</w:t>
          </w:r>
          <w:r w:rsidRPr="009C6DC2">
            <w:rPr>
              <w:rFonts w:asciiTheme="majorBidi" w:hAnsiTheme="majorBidi" w:cstheme="majorBidi"/>
              <w:noProof/>
              <w:sz w:val="24"/>
              <w:szCs w:val="24"/>
              <w:lang w:val="en-US"/>
            </w:rPr>
            <w:t>(07). doi:https://doi.org/10.3390/su11072067</w:t>
          </w:r>
        </w:p>
        <w:p w14:paraId="240E73DF" w14:textId="41F0CCA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Johnston, R. J., &amp; Rosenberger, R. S. (2010,). METHODS, TRENDS AND CONTROVERSIES IN CONTEMPORARY BENEFIT TRANSFER. </w:t>
          </w:r>
          <w:r w:rsidRPr="009C6DC2">
            <w:rPr>
              <w:rFonts w:asciiTheme="majorBidi" w:hAnsiTheme="majorBidi" w:cstheme="majorBidi"/>
              <w:i/>
              <w:iCs/>
              <w:noProof/>
              <w:sz w:val="24"/>
              <w:szCs w:val="24"/>
              <w:lang w:val="en-US"/>
            </w:rPr>
            <w:t>Journal of Economic Surveys, 24</w:t>
          </w:r>
          <w:r w:rsidRPr="009C6DC2">
            <w:rPr>
              <w:rFonts w:asciiTheme="majorBidi" w:hAnsiTheme="majorBidi" w:cstheme="majorBidi"/>
              <w:noProof/>
              <w:sz w:val="24"/>
              <w:szCs w:val="24"/>
              <w:lang w:val="en-US"/>
            </w:rPr>
            <w:t>(3), 479-510. doi:https://doi.org/10.1111/j.1467-6419.2009.00592.x</w:t>
          </w:r>
        </w:p>
        <w:p w14:paraId="597FF61F" w14:textId="744ED6E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Jones, R., Lacroix, L. J., &amp; Nolte, K. (2015). “Is Your Man Stepping Out?” An Online Pilot Study to Evaluate Acceptability of a Guide-Enhanced HIV Prevention Soap Opera Video Series and Feasibility of Recruitment by Facebook Advertising. </w:t>
          </w:r>
          <w:r w:rsidRPr="009C6DC2">
            <w:rPr>
              <w:rFonts w:asciiTheme="majorBidi" w:hAnsiTheme="majorBidi" w:cstheme="majorBidi"/>
              <w:i/>
              <w:iCs/>
              <w:noProof/>
              <w:sz w:val="24"/>
              <w:szCs w:val="24"/>
              <w:lang w:val="en-US"/>
            </w:rPr>
            <w:t>The Journal of the Association of Nurses in AIDS Care: JANAC, 26</w:t>
          </w:r>
          <w:r w:rsidRPr="009C6DC2">
            <w:rPr>
              <w:rFonts w:asciiTheme="majorBidi" w:hAnsiTheme="majorBidi" w:cstheme="majorBidi"/>
              <w:noProof/>
              <w:sz w:val="24"/>
              <w:szCs w:val="24"/>
              <w:lang w:val="en-US"/>
            </w:rPr>
            <w:t>(04). doi:10.1016/j.jana.2015.01.004</w:t>
          </w:r>
        </w:p>
        <w:p w14:paraId="1D11E160" w14:textId="0F5F78E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Joshi, A., &amp; Hanssens, D. (2010). The Direct and Indirect Effects of Advertising Spending on Firm Value. </w:t>
          </w:r>
          <w:r w:rsidRPr="009C6DC2">
            <w:rPr>
              <w:rFonts w:asciiTheme="majorBidi" w:hAnsiTheme="majorBidi" w:cstheme="majorBidi"/>
              <w:i/>
              <w:iCs/>
              <w:noProof/>
              <w:sz w:val="24"/>
              <w:szCs w:val="24"/>
              <w:lang w:val="en-US"/>
            </w:rPr>
            <w:t>Journal of Marketing, 74</w:t>
          </w:r>
          <w:r w:rsidRPr="009C6DC2">
            <w:rPr>
              <w:rFonts w:asciiTheme="majorBidi" w:hAnsiTheme="majorBidi" w:cstheme="majorBidi"/>
              <w:noProof/>
              <w:sz w:val="24"/>
              <w:szCs w:val="24"/>
              <w:lang w:val="en-US"/>
            </w:rPr>
            <w:t>(1), 20-33. doi:10.1509/jmkg.74.1.20</w:t>
          </w:r>
        </w:p>
        <w:p w14:paraId="51FFD8B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Joshi, A., &amp; Hanssens, D. M. (2018). Chapter 13: The Direct and Indirect Effects of Advertising Spending on Firm Value. </w:t>
          </w:r>
          <w:r w:rsidRPr="009C6DC2">
            <w:rPr>
              <w:rFonts w:asciiTheme="majorBidi" w:hAnsiTheme="majorBidi" w:cstheme="majorBidi"/>
              <w:i/>
              <w:iCs/>
              <w:noProof/>
              <w:sz w:val="24"/>
              <w:szCs w:val="24"/>
              <w:lang w:val="en-US"/>
            </w:rPr>
            <w:t>Long-term Impact of Marketing, 74</w:t>
          </w:r>
          <w:r w:rsidRPr="009C6DC2">
            <w:rPr>
              <w:rFonts w:asciiTheme="majorBidi" w:hAnsiTheme="majorBidi" w:cstheme="majorBidi"/>
              <w:noProof/>
              <w:sz w:val="24"/>
              <w:szCs w:val="24"/>
              <w:lang w:val="en-US"/>
            </w:rPr>
            <w:t>, 521-556. doi:https://doi.org/10.1142/9789813229808_0013</w:t>
          </w:r>
        </w:p>
        <w:p w14:paraId="5F2AEC0E" w14:textId="20A459E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Joshi, Y., &amp; Rahman, Z. (2015). Factors Affecting Green Purchase Behaviour and Future Research Directions. </w:t>
          </w:r>
          <w:r w:rsidRPr="009C6DC2">
            <w:rPr>
              <w:rFonts w:asciiTheme="majorBidi" w:hAnsiTheme="majorBidi" w:cstheme="majorBidi"/>
              <w:i/>
              <w:iCs/>
              <w:noProof/>
              <w:sz w:val="24"/>
              <w:szCs w:val="24"/>
              <w:lang w:val="en-US"/>
            </w:rPr>
            <w:t>International Strategic Management Review, 3</w:t>
          </w:r>
          <w:r w:rsidRPr="009C6DC2">
            <w:rPr>
              <w:rFonts w:asciiTheme="majorBidi" w:hAnsiTheme="majorBidi" w:cstheme="majorBidi"/>
              <w:noProof/>
              <w:sz w:val="24"/>
              <w:szCs w:val="24"/>
              <w:lang w:val="en-US"/>
            </w:rPr>
            <w:t>(1-2), 128-143. doi:https://doi.org/10.1016/j.ism.2015.04.001</w:t>
          </w:r>
        </w:p>
        <w:p w14:paraId="0CAEB8AB" w14:textId="46B40A8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Junjie, M., &amp; Yingxin, M. (2022). The Discussions of Positivism and Interpretivism. </w:t>
          </w:r>
          <w:r w:rsidRPr="009C6DC2">
            <w:rPr>
              <w:rFonts w:asciiTheme="majorBidi" w:hAnsiTheme="majorBidi" w:cstheme="majorBidi"/>
              <w:i/>
              <w:iCs/>
              <w:noProof/>
              <w:sz w:val="24"/>
              <w:szCs w:val="24"/>
              <w:lang w:val="en-US"/>
            </w:rPr>
            <w:t>Global Academic Journal of Humanities and Social Sciences, 4</w:t>
          </w:r>
          <w:r w:rsidRPr="009C6DC2">
            <w:rPr>
              <w:rFonts w:asciiTheme="majorBidi" w:hAnsiTheme="majorBidi" w:cstheme="majorBidi"/>
              <w:noProof/>
              <w:sz w:val="24"/>
              <w:szCs w:val="24"/>
              <w:lang w:val="en-US"/>
            </w:rPr>
            <w:t>(1), 10-14. doi:10.36348/gajhss.2022.v04i01.002</w:t>
          </w:r>
        </w:p>
        <w:p w14:paraId="25EF3AF6" w14:textId="2C1551D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Jurietti, E., Mandelli, A., &amp; Fudurić, M. (2017). </w:t>
          </w:r>
          <w:r w:rsidRPr="009C6DC2">
            <w:rPr>
              <w:rFonts w:asciiTheme="majorBidi" w:hAnsiTheme="majorBidi" w:cstheme="majorBidi"/>
              <w:noProof/>
              <w:sz w:val="24"/>
              <w:szCs w:val="24"/>
              <w:lang w:val="en-US"/>
            </w:rPr>
            <w:t xml:space="preserve">How do virtual corporate social responsibility dialogs generate value? A case study of The Unilever Sustainable Living Lab. </w:t>
          </w:r>
          <w:r w:rsidRPr="009C6DC2">
            <w:rPr>
              <w:rFonts w:asciiTheme="majorBidi" w:hAnsiTheme="majorBidi" w:cstheme="majorBidi"/>
              <w:i/>
              <w:iCs/>
              <w:noProof/>
              <w:sz w:val="24"/>
              <w:szCs w:val="24"/>
              <w:lang w:val="en-US"/>
            </w:rPr>
            <w:t>Corporate Social Responsibility and Environmental Management, 24</w:t>
          </w:r>
          <w:r w:rsidRPr="009C6DC2">
            <w:rPr>
              <w:rFonts w:asciiTheme="majorBidi" w:hAnsiTheme="majorBidi" w:cstheme="majorBidi"/>
              <w:noProof/>
              <w:sz w:val="24"/>
              <w:szCs w:val="24"/>
              <w:lang w:val="en-US"/>
            </w:rPr>
            <w:t>(5), 357-367. doi:https://doi.org/10.1002/csr.1407</w:t>
          </w:r>
        </w:p>
        <w:p w14:paraId="65B5A3BD" w14:textId="7187FE0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Kabil, N. (2020). </w:t>
          </w:r>
          <w:r w:rsidRPr="009C6DC2">
            <w:rPr>
              <w:rFonts w:asciiTheme="majorBidi" w:hAnsiTheme="majorBidi" w:cstheme="majorBidi"/>
              <w:i/>
              <w:iCs/>
              <w:noProof/>
              <w:sz w:val="24"/>
              <w:szCs w:val="24"/>
              <w:lang w:val="en-US"/>
            </w:rPr>
            <w:t>Should Men Give Women Pocket Money? Kholoud Ezz Thinks So</w:t>
          </w:r>
          <w:r w:rsidRPr="009C6DC2">
            <w:rPr>
              <w:rFonts w:asciiTheme="majorBidi" w:hAnsiTheme="majorBidi" w:cstheme="majorBidi"/>
              <w:noProof/>
              <w:sz w:val="24"/>
              <w:szCs w:val="24"/>
              <w:lang w:val="en-US"/>
            </w:rPr>
            <w:t>. Retrieved from rahetbally: https://rahetbally.com/en/read/articles/should-men-give-women-pocket-money-kholoud-ezz-thinks-so</w:t>
          </w:r>
        </w:p>
        <w:p w14:paraId="04578898" w14:textId="448D219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Kalliath, T. J., Bluedorn, A. C., &amp; Strube, M. J. (1999). A test of value congruence effects. </w:t>
          </w:r>
          <w:r w:rsidRPr="009C6DC2">
            <w:rPr>
              <w:rFonts w:asciiTheme="majorBidi" w:hAnsiTheme="majorBidi" w:cstheme="majorBidi"/>
              <w:i/>
              <w:iCs/>
              <w:noProof/>
              <w:sz w:val="24"/>
              <w:szCs w:val="24"/>
              <w:lang w:val="en-US"/>
            </w:rPr>
            <w:t>Journal of organizational Behaviour, 7</w:t>
          </w:r>
          <w:r w:rsidRPr="009C6DC2">
            <w:rPr>
              <w:rFonts w:asciiTheme="majorBidi" w:hAnsiTheme="majorBidi" w:cstheme="majorBidi"/>
              <w:noProof/>
              <w:sz w:val="24"/>
              <w:szCs w:val="24"/>
              <w:lang w:val="en-US"/>
            </w:rPr>
            <w:t>, 1175-1198. doi:https://doi.org/10.1002/(SICI)1099-1379(199912)20:7&lt;1175::AID-JOB960&gt;3.0.CO;2-5</w:t>
          </w:r>
        </w:p>
        <w:p w14:paraId="2D1FD728" w14:textId="3F730C1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Kamel, N. A. (2020). Examining the mediating role of celebrity endorsement in green advertisements to improve the intention of Egyptian Millennials towards environmental behaviours in tourist destinations. </w:t>
          </w:r>
          <w:r w:rsidRPr="009C6DC2">
            <w:rPr>
              <w:rFonts w:asciiTheme="majorBidi" w:hAnsiTheme="majorBidi" w:cstheme="majorBidi"/>
              <w:i/>
              <w:iCs/>
              <w:noProof/>
              <w:sz w:val="24"/>
              <w:szCs w:val="24"/>
              <w:lang w:val="en-US"/>
            </w:rPr>
            <w:t>Tourism &amp; Management Studies, 16</w:t>
          </w:r>
          <w:r w:rsidRPr="009C6DC2">
            <w:rPr>
              <w:rFonts w:asciiTheme="majorBidi" w:hAnsiTheme="majorBidi" w:cstheme="majorBidi"/>
              <w:noProof/>
              <w:sz w:val="24"/>
              <w:szCs w:val="24"/>
              <w:lang w:val="en-US"/>
            </w:rPr>
            <w:t>(4), 7-21. doi:https://doi.org/10.18089/tms.2020.160401</w:t>
          </w:r>
        </w:p>
        <w:p w14:paraId="398DEC41" w14:textId="014E61E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Kamp, K., Herbell, K., Magginis, W. H., Berry, D., &amp; Given, B. (2019). Facebook Recruitment and the Protection of Human Subjects. </w:t>
          </w:r>
          <w:r w:rsidRPr="009C6DC2">
            <w:rPr>
              <w:rFonts w:asciiTheme="majorBidi" w:hAnsiTheme="majorBidi" w:cstheme="majorBidi"/>
              <w:i/>
              <w:iCs/>
              <w:noProof/>
              <w:sz w:val="24"/>
              <w:szCs w:val="24"/>
              <w:lang w:val="en-US"/>
            </w:rPr>
            <w:t>Western Journal of Nursing Research, 41</w:t>
          </w:r>
          <w:r w:rsidRPr="009C6DC2">
            <w:rPr>
              <w:rFonts w:asciiTheme="majorBidi" w:hAnsiTheme="majorBidi" w:cstheme="majorBidi"/>
              <w:noProof/>
              <w:sz w:val="24"/>
              <w:szCs w:val="24"/>
              <w:lang w:val="en-US"/>
            </w:rPr>
            <w:t>(09). doi:https://doi.org/10.1177/0193945919828108</w:t>
          </w:r>
        </w:p>
        <w:p w14:paraId="14AD4179" w14:textId="2D6C30A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Kanai, R., Dalmaijer, E. S., Sherman, M. T., Kawakita, G., &amp; Paffen, C. L. (2017). </w:t>
          </w:r>
          <w:r w:rsidRPr="009C6DC2">
            <w:rPr>
              <w:rFonts w:asciiTheme="majorBidi" w:hAnsiTheme="majorBidi" w:cstheme="majorBidi"/>
              <w:noProof/>
              <w:sz w:val="24"/>
              <w:szCs w:val="24"/>
              <w:lang w:val="en-US"/>
            </w:rPr>
            <w:t xml:space="preserve">Larger Stimuli Require Longer Processing Time for Perception. </w:t>
          </w:r>
          <w:r w:rsidRPr="009C6DC2">
            <w:rPr>
              <w:rFonts w:asciiTheme="majorBidi" w:hAnsiTheme="majorBidi" w:cstheme="majorBidi"/>
              <w:i/>
              <w:iCs/>
              <w:noProof/>
              <w:sz w:val="24"/>
              <w:szCs w:val="24"/>
              <w:lang w:val="en-US"/>
            </w:rPr>
            <w:t>46</w:t>
          </w:r>
          <w:r w:rsidRPr="009C6DC2">
            <w:rPr>
              <w:rFonts w:asciiTheme="majorBidi" w:hAnsiTheme="majorBidi" w:cstheme="majorBidi"/>
              <w:noProof/>
              <w:sz w:val="24"/>
              <w:szCs w:val="24"/>
              <w:lang w:val="en-US"/>
            </w:rPr>
            <w:t>(5), 605-623. doi:https://doi.org/10.1177/0301006617695573</w:t>
          </w:r>
        </w:p>
        <w:p w14:paraId="55B579DA" w14:textId="2FE5DC4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Kang, H. (2021). Sample size determination and power analysis using the G*Power software. (S. Huh, Ed.) </w:t>
          </w:r>
          <w:r w:rsidRPr="009C6DC2">
            <w:rPr>
              <w:rFonts w:asciiTheme="majorBidi" w:hAnsiTheme="majorBidi" w:cstheme="majorBidi"/>
              <w:i/>
              <w:iCs/>
              <w:noProof/>
              <w:sz w:val="24"/>
              <w:szCs w:val="24"/>
              <w:lang w:val="en-US"/>
            </w:rPr>
            <w:t>Journal of Educational Evaluation for Health Professions, 18</w:t>
          </w:r>
          <w:r w:rsidRPr="009C6DC2">
            <w:rPr>
              <w:rFonts w:asciiTheme="majorBidi" w:hAnsiTheme="majorBidi" w:cstheme="majorBidi"/>
              <w:noProof/>
              <w:sz w:val="24"/>
              <w:szCs w:val="24"/>
              <w:lang w:val="en-US"/>
            </w:rPr>
            <w:t>. doi:10.3352/jeehp.2021.18.17</w:t>
          </w:r>
        </w:p>
        <w:p w14:paraId="2E10713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Kang, J., &amp; Hustvedt, G. (2014). Building trust between consumers and corporations: The role of consumer perceptions of transparency and social responsibility. </w:t>
          </w:r>
          <w:r w:rsidRPr="009C6DC2">
            <w:rPr>
              <w:rFonts w:asciiTheme="majorBidi" w:hAnsiTheme="majorBidi" w:cstheme="majorBidi"/>
              <w:i/>
              <w:iCs/>
              <w:noProof/>
              <w:sz w:val="24"/>
              <w:szCs w:val="24"/>
              <w:lang w:val="en-US"/>
            </w:rPr>
            <w:t>Journal of Business Ethics, 125</w:t>
          </w:r>
          <w:r w:rsidRPr="009C6DC2">
            <w:rPr>
              <w:rFonts w:asciiTheme="majorBidi" w:hAnsiTheme="majorBidi" w:cstheme="majorBidi"/>
              <w:noProof/>
              <w:sz w:val="24"/>
              <w:szCs w:val="24"/>
              <w:lang w:val="en-US"/>
            </w:rPr>
            <w:t>(2), 253-265. Retrieved 03 05, 2023</w:t>
          </w:r>
        </w:p>
        <w:p w14:paraId="47D34C34" w14:textId="3784CE9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Kang, J., &amp; Kim, S.-H. (2013). What Are Consumers Afraid of? Understanding Perceived Risk toward the Consumption of Environmentally Sustainable Apparel. </w:t>
          </w:r>
          <w:r w:rsidRPr="009C6DC2">
            <w:rPr>
              <w:rFonts w:asciiTheme="majorBidi" w:hAnsiTheme="majorBidi" w:cstheme="majorBidi"/>
              <w:i/>
              <w:iCs/>
              <w:noProof/>
              <w:sz w:val="24"/>
              <w:szCs w:val="24"/>
              <w:lang w:val="en-US"/>
            </w:rPr>
            <w:t>Family and Consumer Sciences, 41</w:t>
          </w:r>
          <w:r w:rsidRPr="009C6DC2">
            <w:rPr>
              <w:rFonts w:asciiTheme="majorBidi" w:hAnsiTheme="majorBidi" w:cstheme="majorBidi"/>
              <w:noProof/>
              <w:sz w:val="24"/>
              <w:szCs w:val="24"/>
              <w:lang w:val="en-US"/>
            </w:rPr>
            <w:t>(3), 267-283. doi:https://doi.org/10.1111/fcsr.12013</w:t>
          </w:r>
        </w:p>
        <w:p w14:paraId="101F33D8" w14:textId="5F5526E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Kang, J., Faria, A. A., Lee, J., &amp; Choi , W. J. (2023). Will consumers give us another chance to bounce back? Effects of precrisis commitments to social and product responsibility on brand resilience. </w:t>
          </w:r>
          <w:r w:rsidRPr="009C6DC2">
            <w:rPr>
              <w:rFonts w:asciiTheme="majorBidi" w:hAnsiTheme="majorBidi" w:cstheme="majorBidi"/>
              <w:i/>
              <w:iCs/>
              <w:noProof/>
              <w:sz w:val="24"/>
              <w:szCs w:val="24"/>
              <w:lang w:val="en-US"/>
            </w:rPr>
            <w:t>Journal of Product &amp; Brand Management, 32</w:t>
          </w:r>
          <w:r w:rsidRPr="009C6DC2">
            <w:rPr>
              <w:rFonts w:asciiTheme="majorBidi" w:hAnsiTheme="majorBidi" w:cstheme="majorBidi"/>
              <w:noProof/>
              <w:sz w:val="24"/>
              <w:szCs w:val="24"/>
              <w:lang w:val="en-US"/>
            </w:rPr>
            <w:t>(6), 927-941. doi:https://doi.org/10.1108/JPBM-03-2022-3899</w:t>
          </w:r>
        </w:p>
        <w:p w14:paraId="1814ADDA" w14:textId="6044E6A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Kao, T.-F., &amp; Du, Y.-Z. (2020). A study on the influence of green advertising design and environmental emotion on advertising effect. </w:t>
          </w:r>
          <w:r w:rsidRPr="009C6DC2">
            <w:rPr>
              <w:rFonts w:asciiTheme="majorBidi" w:hAnsiTheme="majorBidi" w:cstheme="majorBidi"/>
              <w:i/>
              <w:iCs/>
              <w:noProof/>
              <w:sz w:val="24"/>
              <w:szCs w:val="24"/>
              <w:lang w:val="en-US"/>
            </w:rPr>
            <w:t>Journal of Cleaner Production, 242</w:t>
          </w:r>
          <w:r w:rsidRPr="009C6DC2">
            <w:rPr>
              <w:rFonts w:asciiTheme="majorBidi" w:hAnsiTheme="majorBidi" w:cstheme="majorBidi"/>
              <w:noProof/>
              <w:sz w:val="24"/>
              <w:szCs w:val="24"/>
              <w:lang w:val="en-US"/>
            </w:rPr>
            <w:t>. doi:https://doi.org/10.1016/j.jclepro.2019.118294</w:t>
          </w:r>
        </w:p>
        <w:p w14:paraId="6C5E498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Karl, K. L. (2021). Motivating Participation Through Political Ads: Comparing the Efects of Physiology and Self</w:t>
          </w:r>
          <w:r w:rsidRPr="009C6DC2">
            <w:rPr>
              <w:rFonts w:asciiTheme="majorBidi" w:hAnsiTheme="majorBidi" w:cstheme="majorBidi"/>
              <w:noProof/>
              <w:sz w:val="24"/>
              <w:szCs w:val="24"/>
              <w:lang w:val="en-US"/>
            </w:rPr>
            <w:noBreakHyphen/>
            <w:t xml:space="preserve">reported Emotion. </w:t>
          </w:r>
          <w:r w:rsidRPr="009C6DC2">
            <w:rPr>
              <w:rFonts w:asciiTheme="majorBidi" w:hAnsiTheme="majorBidi" w:cstheme="majorBidi"/>
              <w:i/>
              <w:iCs/>
              <w:noProof/>
              <w:sz w:val="24"/>
              <w:szCs w:val="24"/>
              <w:lang w:val="en-US"/>
            </w:rPr>
            <w:t>Political Behavior</w:t>
          </w:r>
          <w:r w:rsidRPr="009C6DC2">
            <w:rPr>
              <w:rFonts w:asciiTheme="majorBidi" w:hAnsiTheme="majorBidi" w:cstheme="majorBidi"/>
              <w:noProof/>
              <w:sz w:val="24"/>
              <w:szCs w:val="24"/>
              <w:lang w:val="en-US"/>
            </w:rPr>
            <w:t>, 687-710. doi:https://doi.org/10.1007/s11109-019-09569-2</w:t>
          </w:r>
        </w:p>
        <w:p w14:paraId="7836B460" w14:textId="079C13E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Kato, T. (2021). Functional value vs emotional value: A comparative study of the values that contribute to a preference for a corporate brand. </w:t>
          </w:r>
          <w:r w:rsidRPr="009C6DC2">
            <w:rPr>
              <w:rFonts w:asciiTheme="majorBidi" w:hAnsiTheme="majorBidi" w:cstheme="majorBidi"/>
              <w:i/>
              <w:iCs/>
              <w:noProof/>
              <w:sz w:val="24"/>
              <w:szCs w:val="24"/>
              <w:lang w:val="en-US"/>
            </w:rPr>
            <w:t>International Journal of Information Management Data Insights, 1</w:t>
          </w:r>
          <w:r w:rsidRPr="009C6DC2">
            <w:rPr>
              <w:rFonts w:asciiTheme="majorBidi" w:hAnsiTheme="majorBidi" w:cstheme="majorBidi"/>
              <w:noProof/>
              <w:sz w:val="24"/>
              <w:szCs w:val="24"/>
              <w:lang w:val="en-US"/>
            </w:rPr>
            <w:t>(2). doi:10.1016/j.jjimei.2021.100024</w:t>
          </w:r>
        </w:p>
        <w:p w14:paraId="65B2B0E6" w14:textId="65A7C35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Kaur, B., Paul, J., &amp; Sharma, R. R. (2022). The virality of advertising content. </w:t>
          </w:r>
          <w:r w:rsidRPr="009C6DC2">
            <w:rPr>
              <w:rFonts w:asciiTheme="majorBidi" w:hAnsiTheme="majorBidi" w:cstheme="majorBidi"/>
              <w:i/>
              <w:iCs/>
              <w:noProof/>
              <w:sz w:val="24"/>
              <w:szCs w:val="24"/>
              <w:lang w:val="en-US"/>
            </w:rPr>
            <w:t>Journal of Research in Interactive Marketing</w:t>
          </w:r>
          <w:r w:rsidRPr="009C6DC2">
            <w:rPr>
              <w:rFonts w:asciiTheme="majorBidi" w:hAnsiTheme="majorBidi" w:cstheme="majorBidi"/>
              <w:noProof/>
              <w:sz w:val="24"/>
              <w:szCs w:val="24"/>
              <w:lang w:val="en-US"/>
            </w:rPr>
            <w:t>. doi:https://doi.org/10.1108/JRIM-10-2021-0268</w:t>
          </w:r>
        </w:p>
        <w:p w14:paraId="1339424C" w14:textId="5CB5706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Kaur, G., &amp; Bahl, K. (2014). Software Reliability, Metrics, Reliability Improvement Using Agile Process. </w:t>
          </w:r>
          <w:r w:rsidRPr="009C6DC2">
            <w:rPr>
              <w:rFonts w:asciiTheme="majorBidi" w:hAnsiTheme="majorBidi" w:cstheme="majorBidi"/>
              <w:i/>
              <w:iCs/>
              <w:noProof/>
              <w:sz w:val="24"/>
              <w:szCs w:val="24"/>
              <w:lang w:val="en-US"/>
            </w:rPr>
            <w:t>International Journal of Innovative Science, Engineering &amp; Technology, 1</w:t>
          </w:r>
          <w:r w:rsidRPr="009C6DC2">
            <w:rPr>
              <w:rFonts w:asciiTheme="majorBidi" w:hAnsiTheme="majorBidi" w:cstheme="majorBidi"/>
              <w:noProof/>
              <w:sz w:val="24"/>
              <w:szCs w:val="24"/>
              <w:lang w:val="en-US"/>
            </w:rPr>
            <w:t>(3), 143-147. Retrieved 09 12, 2023, from https://www.ijiset.com/v1s3/IJISET_V1_I3_24.pdf</w:t>
          </w:r>
        </w:p>
        <w:p w14:paraId="16B10FD0" w14:textId="3A1E3B33"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Kaushik, V., &amp; Walsh, C. A. (2019). </w:t>
          </w:r>
          <w:r w:rsidRPr="009C6DC2">
            <w:rPr>
              <w:rFonts w:asciiTheme="majorBidi" w:hAnsiTheme="majorBidi" w:cstheme="majorBidi"/>
              <w:noProof/>
              <w:sz w:val="24"/>
              <w:szCs w:val="24"/>
              <w:lang w:val="en-US"/>
            </w:rPr>
            <w:t xml:space="preserve">Pragmatism as a Research Paradigm and Its Implications for Social Work Research. </w:t>
          </w:r>
          <w:r w:rsidRPr="009C6DC2">
            <w:rPr>
              <w:rFonts w:asciiTheme="majorBidi" w:hAnsiTheme="majorBidi" w:cstheme="majorBidi"/>
              <w:i/>
              <w:iCs/>
              <w:noProof/>
              <w:sz w:val="24"/>
              <w:szCs w:val="24"/>
              <w:lang w:val="en-US"/>
            </w:rPr>
            <w:t>Social Sciences, 8</w:t>
          </w:r>
          <w:r w:rsidRPr="009C6DC2">
            <w:rPr>
              <w:rFonts w:asciiTheme="majorBidi" w:hAnsiTheme="majorBidi" w:cstheme="majorBidi"/>
              <w:noProof/>
              <w:sz w:val="24"/>
              <w:szCs w:val="24"/>
              <w:lang w:val="en-US"/>
            </w:rPr>
            <w:t>(9), 1-17. doi:https://doi.org/10.3390/socsci8090255</w:t>
          </w:r>
        </w:p>
        <w:p w14:paraId="21B86CDD" w14:textId="4BD9369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Kawahara, T. (2021). Modeling the differential effect of brand strength on the sales effect of advertising. </w:t>
          </w:r>
          <w:r w:rsidRPr="009C6DC2">
            <w:rPr>
              <w:rFonts w:asciiTheme="majorBidi" w:hAnsiTheme="majorBidi" w:cstheme="majorBidi"/>
              <w:i/>
              <w:iCs/>
              <w:noProof/>
              <w:sz w:val="24"/>
              <w:szCs w:val="24"/>
              <w:lang w:val="en-US"/>
            </w:rPr>
            <w:t>Journal of Marketing Theory &amp; Practice, 30</w:t>
          </w:r>
          <w:r w:rsidRPr="009C6DC2">
            <w:rPr>
              <w:rFonts w:asciiTheme="majorBidi" w:hAnsiTheme="majorBidi" w:cstheme="majorBidi"/>
              <w:noProof/>
              <w:sz w:val="24"/>
              <w:szCs w:val="24"/>
              <w:lang w:val="en-US"/>
            </w:rPr>
            <w:t>(03), 341-360. Retrieved 10 01, 2022, from https://doi.org/10.1080/10696679.2021.1948343</w:t>
          </w:r>
        </w:p>
        <w:p w14:paraId="3B352D02" w14:textId="1B6E78A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Kelan, E. K. (2018). Men Doing and Undoing Gender at Work: A Review and Research Agenda. </w:t>
          </w:r>
          <w:r w:rsidRPr="009C6DC2">
            <w:rPr>
              <w:rFonts w:asciiTheme="majorBidi" w:hAnsiTheme="majorBidi" w:cstheme="majorBidi"/>
              <w:i/>
              <w:iCs/>
              <w:noProof/>
              <w:sz w:val="24"/>
              <w:szCs w:val="24"/>
              <w:lang w:val="en-US"/>
            </w:rPr>
            <w:t>International Journal of Management Reviews, 20</w:t>
          </w:r>
          <w:r w:rsidRPr="009C6DC2">
            <w:rPr>
              <w:rFonts w:asciiTheme="majorBidi" w:hAnsiTheme="majorBidi" w:cstheme="majorBidi"/>
              <w:noProof/>
              <w:sz w:val="24"/>
              <w:szCs w:val="24"/>
              <w:lang w:val="en-US"/>
            </w:rPr>
            <w:t>(02), 544-558. doi:https://doi.org/10.1111/ijmr.12146</w:t>
          </w:r>
        </w:p>
        <w:p w14:paraId="020C6D96" w14:textId="5318727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Kemp, S. (2022). </w:t>
          </w:r>
          <w:r w:rsidRPr="009C6DC2">
            <w:rPr>
              <w:rFonts w:asciiTheme="majorBidi" w:hAnsiTheme="majorBidi" w:cstheme="majorBidi"/>
              <w:i/>
              <w:iCs/>
              <w:noProof/>
              <w:sz w:val="24"/>
              <w:szCs w:val="24"/>
              <w:lang w:val="en-US"/>
            </w:rPr>
            <w:t>Digital 2022: Egypt</w:t>
          </w:r>
          <w:r w:rsidRPr="009C6DC2">
            <w:rPr>
              <w:rFonts w:asciiTheme="majorBidi" w:hAnsiTheme="majorBidi" w:cstheme="majorBidi"/>
              <w:noProof/>
              <w:sz w:val="24"/>
              <w:szCs w:val="24"/>
              <w:lang w:val="en-US"/>
            </w:rPr>
            <w:t>. Retrieved 06 05, 2022, from DataReportal: https://datareportal.com/reports/digital-2022-egypt</w:t>
          </w:r>
        </w:p>
        <w:p w14:paraId="31D4CE63" w14:textId="77777777"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Kempf, D. S., &amp; Laczniak, R. K. (2001). </w:t>
          </w:r>
          <w:r w:rsidRPr="009C6DC2">
            <w:rPr>
              <w:rFonts w:asciiTheme="majorBidi" w:hAnsiTheme="majorBidi" w:cstheme="majorBidi"/>
              <w:noProof/>
              <w:sz w:val="24"/>
              <w:szCs w:val="24"/>
              <w:lang w:val="en-US"/>
            </w:rPr>
            <w:t xml:space="preserve">Advertising's Influence on Subsequent Product Trial Processing on Subsequent Product Trial Processing. </w:t>
          </w:r>
          <w:r w:rsidRPr="009C6DC2">
            <w:rPr>
              <w:rFonts w:asciiTheme="majorBidi" w:hAnsiTheme="majorBidi" w:cstheme="majorBidi"/>
              <w:i/>
              <w:iCs/>
              <w:noProof/>
              <w:sz w:val="24"/>
              <w:szCs w:val="24"/>
              <w:lang w:val="en-US"/>
            </w:rPr>
            <w:t>Journal of Advertising, 30</w:t>
          </w:r>
          <w:r w:rsidRPr="009C6DC2">
            <w:rPr>
              <w:rFonts w:asciiTheme="majorBidi" w:hAnsiTheme="majorBidi" w:cstheme="majorBidi"/>
              <w:noProof/>
              <w:sz w:val="24"/>
              <w:szCs w:val="24"/>
              <w:lang w:val="en-US"/>
            </w:rPr>
            <w:t>(3), 27-38. Retrieved 02 03, 2022, from https://www.jstor.org/stable/4189186</w:t>
          </w:r>
        </w:p>
        <w:p w14:paraId="4BFE7CF7" w14:textId="755923D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Kerger, B. D., Bernal, A., Paustenbach , D. J., &amp; Huntley-Fenner , G. (2016). Halo and spillover effect illustrations for selected beneficial medical devices and drugs. </w:t>
          </w:r>
          <w:r w:rsidRPr="009C6DC2">
            <w:rPr>
              <w:rFonts w:asciiTheme="majorBidi" w:hAnsiTheme="majorBidi" w:cstheme="majorBidi"/>
              <w:i/>
              <w:iCs/>
              <w:noProof/>
              <w:sz w:val="24"/>
              <w:szCs w:val="24"/>
              <w:lang w:val="en-US"/>
            </w:rPr>
            <w:t>BMC Public Health, 16</w:t>
          </w:r>
          <w:r w:rsidRPr="009C6DC2">
            <w:rPr>
              <w:rFonts w:asciiTheme="majorBidi" w:hAnsiTheme="majorBidi" w:cstheme="majorBidi"/>
              <w:noProof/>
              <w:sz w:val="24"/>
              <w:szCs w:val="24"/>
              <w:lang w:val="en-US"/>
            </w:rPr>
            <w:t>. doi:https://doi.org/10.1186/s12889-016-3595-7</w:t>
          </w:r>
        </w:p>
        <w:p w14:paraId="7D0CE7C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Kervyn, N., Fiske, S. T., &amp; Malone, C. (2012). Brands as Intentional Agents Framework: How Perceived Intentions and Ability Can Map Brand perception. </w:t>
          </w:r>
          <w:r w:rsidRPr="009C6DC2">
            <w:rPr>
              <w:rFonts w:asciiTheme="majorBidi" w:hAnsiTheme="majorBidi" w:cstheme="majorBidi"/>
              <w:i/>
              <w:iCs/>
              <w:noProof/>
              <w:sz w:val="24"/>
              <w:szCs w:val="24"/>
              <w:lang w:val="en-US"/>
            </w:rPr>
            <w:t>Journal of Consumer Psychology, 22</w:t>
          </w:r>
          <w:r w:rsidRPr="009C6DC2">
            <w:rPr>
              <w:rFonts w:asciiTheme="majorBidi" w:hAnsiTheme="majorBidi" w:cstheme="majorBidi"/>
              <w:noProof/>
              <w:sz w:val="24"/>
              <w:szCs w:val="24"/>
              <w:lang w:val="en-US"/>
            </w:rPr>
            <w:t>(02). doi:10.1016/j.jcps.2011.09.006</w:t>
          </w:r>
        </w:p>
        <w:p w14:paraId="73245AD0" w14:textId="152A38B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Khaldoun, J. (2022). The Slippery Slope of The Egyptian Middle Class. </w:t>
          </w:r>
          <w:r w:rsidRPr="009C6DC2">
            <w:rPr>
              <w:rFonts w:asciiTheme="majorBidi" w:hAnsiTheme="majorBidi" w:cstheme="majorBidi"/>
              <w:i/>
              <w:iCs/>
              <w:noProof/>
              <w:sz w:val="24"/>
              <w:szCs w:val="24"/>
              <w:lang w:val="en-US"/>
            </w:rPr>
            <w:t xml:space="preserve">BUC Center for Global Affairs </w:t>
          </w:r>
          <w:r w:rsidRPr="009C6DC2">
            <w:rPr>
              <w:rFonts w:asciiTheme="majorBidi" w:hAnsiTheme="majorBidi" w:cstheme="majorBidi"/>
              <w:noProof/>
              <w:sz w:val="24"/>
              <w:szCs w:val="24"/>
              <w:lang w:val="en-US"/>
            </w:rPr>
            <w:t>. Retrieved 08 23, 2023, from https://buc.edu.eg/wp-content/uploads/2022/07/The-Slipper-Slope.pdf</w:t>
          </w:r>
        </w:p>
        <w:p w14:paraId="54BCCD48" w14:textId="190021F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Khalil , S., Ismail, A., &amp; Ghalwash, S. (2021). The Rise of Sustainable Consumerism: Evidence from the Egyptian Generation Z. </w:t>
          </w:r>
          <w:r w:rsidRPr="009C6DC2">
            <w:rPr>
              <w:rFonts w:asciiTheme="majorBidi" w:hAnsiTheme="majorBidi" w:cstheme="majorBidi"/>
              <w:i/>
              <w:iCs/>
              <w:noProof/>
              <w:sz w:val="24"/>
              <w:szCs w:val="24"/>
              <w:lang w:val="en-US"/>
            </w:rPr>
            <w:t>Sustainability, 13</w:t>
          </w:r>
          <w:r w:rsidRPr="009C6DC2">
            <w:rPr>
              <w:rFonts w:asciiTheme="majorBidi" w:hAnsiTheme="majorBidi" w:cstheme="majorBidi"/>
              <w:noProof/>
              <w:sz w:val="24"/>
              <w:szCs w:val="24"/>
              <w:lang w:val="en-US"/>
            </w:rPr>
            <w:t>(24). doi:https://doi.org/10.3390/su132413804</w:t>
          </w:r>
        </w:p>
        <w:p w14:paraId="6A1C166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Khalil , T. C., &amp; Farzan, M. (2021). </w:t>
          </w:r>
          <w:r w:rsidRPr="009C6DC2">
            <w:rPr>
              <w:rFonts w:asciiTheme="majorBidi" w:hAnsiTheme="majorBidi" w:cstheme="majorBidi"/>
              <w:noProof/>
              <w:sz w:val="24"/>
              <w:szCs w:val="24"/>
              <w:lang w:val="en-US"/>
            </w:rPr>
            <w:t xml:space="preserve">Guideline for Selecting Types of Reliability and Suitable Intra-Class Correlation Coefficients in Clinical Research. </w:t>
          </w:r>
          <w:r w:rsidRPr="009C6DC2">
            <w:rPr>
              <w:rFonts w:asciiTheme="majorBidi" w:hAnsiTheme="majorBidi" w:cstheme="majorBidi"/>
              <w:i/>
              <w:iCs/>
              <w:noProof/>
              <w:sz w:val="24"/>
              <w:szCs w:val="24"/>
              <w:lang w:val="en-US"/>
            </w:rPr>
            <w:t>JOURNAL OF BIOSTATISTICS AND EPIDEMIOLOGY, 7</w:t>
          </w:r>
          <w:r w:rsidRPr="009C6DC2">
            <w:rPr>
              <w:rFonts w:asciiTheme="majorBidi" w:hAnsiTheme="majorBidi" w:cstheme="majorBidi"/>
              <w:noProof/>
              <w:sz w:val="24"/>
              <w:szCs w:val="24"/>
              <w:lang w:val="en-US"/>
            </w:rPr>
            <w:t>(3), 305-309. Retrieved 02 11, 2023, from https://sid.ir/paper/693795/en</w:t>
          </w:r>
        </w:p>
        <w:p w14:paraId="52943FB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Khamis, N. I., &amp; Ismail, W. K. (2022). The impact of corporate social responsibility on corporate image in the construction industry: A case of SMEs in Egypt. </w:t>
          </w:r>
          <w:r w:rsidRPr="009C6DC2">
            <w:rPr>
              <w:rFonts w:asciiTheme="majorBidi" w:hAnsiTheme="majorBidi" w:cstheme="majorBidi"/>
              <w:i/>
              <w:iCs/>
              <w:noProof/>
              <w:sz w:val="24"/>
              <w:szCs w:val="24"/>
              <w:lang w:val="en-US"/>
            </w:rPr>
            <w:t>Journal of Sustainable Finance &amp; Investment, 12</w:t>
          </w:r>
          <w:r w:rsidRPr="009C6DC2">
            <w:rPr>
              <w:rFonts w:asciiTheme="majorBidi" w:hAnsiTheme="majorBidi" w:cstheme="majorBidi"/>
              <w:noProof/>
              <w:sz w:val="24"/>
              <w:szCs w:val="24"/>
              <w:lang w:val="en-US"/>
            </w:rPr>
            <w:t>(1), 128-146. doi:10.1080/20430795.2021.1930992</w:t>
          </w:r>
        </w:p>
        <w:p w14:paraId="1C5C2DB6" w14:textId="32476EF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Khan, A., Afeef, M., Ilyas, M., &amp; Jan, S. (2023). Does CSR committee drive the association between corporate social responsibility and firm performance? International evidence. </w:t>
          </w:r>
          <w:r w:rsidRPr="009C6DC2">
            <w:rPr>
              <w:rFonts w:asciiTheme="majorBidi" w:hAnsiTheme="majorBidi" w:cstheme="majorBidi"/>
              <w:i/>
              <w:iCs/>
              <w:noProof/>
              <w:sz w:val="24"/>
              <w:szCs w:val="24"/>
              <w:lang w:val="en-US"/>
            </w:rPr>
            <w:t>Managerial Finance</w:t>
          </w:r>
          <w:r w:rsidRPr="009C6DC2">
            <w:rPr>
              <w:rFonts w:asciiTheme="majorBidi" w:hAnsiTheme="majorBidi" w:cstheme="majorBidi"/>
              <w:noProof/>
              <w:sz w:val="24"/>
              <w:szCs w:val="24"/>
              <w:lang w:val="en-US"/>
            </w:rPr>
            <w:t>. doi:https://doi.org/10.1108/MF-10-2022-0508</w:t>
          </w:r>
        </w:p>
        <w:p w14:paraId="175272BD" w14:textId="5CD76B7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Kilby, C. J., Sherman, K. A., &amp; Wuthrich, V. (2018). Towards understanding interindividual differences in stressor appraisals: A systematic review. </w:t>
          </w:r>
          <w:r w:rsidRPr="009C6DC2">
            <w:rPr>
              <w:rFonts w:asciiTheme="majorBidi" w:hAnsiTheme="majorBidi" w:cstheme="majorBidi"/>
              <w:i/>
              <w:iCs/>
              <w:noProof/>
              <w:sz w:val="24"/>
              <w:szCs w:val="24"/>
              <w:lang w:val="en-US"/>
            </w:rPr>
            <w:t>Personality and Individual Differences, 135</w:t>
          </w:r>
          <w:r w:rsidRPr="009C6DC2">
            <w:rPr>
              <w:rFonts w:asciiTheme="majorBidi" w:hAnsiTheme="majorBidi" w:cstheme="majorBidi"/>
              <w:noProof/>
              <w:sz w:val="24"/>
              <w:szCs w:val="24"/>
              <w:lang w:val="en-US"/>
            </w:rPr>
            <w:t>, 92-100. doi:https://doi.org/10.1016/j.paid.2018.07.001</w:t>
          </w:r>
        </w:p>
        <w:p w14:paraId="51088B69" w14:textId="1D4CB5A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Kim, H.-Y. (2014). Analysis of variance (ANOVA) comparing means of more than two groups. </w:t>
          </w:r>
          <w:r w:rsidRPr="009C6DC2">
            <w:rPr>
              <w:rFonts w:asciiTheme="majorBidi" w:hAnsiTheme="majorBidi" w:cstheme="majorBidi"/>
              <w:i/>
              <w:iCs/>
              <w:noProof/>
              <w:sz w:val="24"/>
              <w:szCs w:val="24"/>
              <w:lang w:val="en-US"/>
            </w:rPr>
            <w:t>Restorative Dentistry &amp; Endodontics, 39</w:t>
          </w:r>
          <w:r w:rsidRPr="009C6DC2">
            <w:rPr>
              <w:rFonts w:asciiTheme="majorBidi" w:hAnsiTheme="majorBidi" w:cstheme="majorBidi"/>
              <w:noProof/>
              <w:sz w:val="24"/>
              <w:szCs w:val="24"/>
              <w:lang w:val="en-US"/>
            </w:rPr>
            <w:t>(1), 74-77. doi:10.5395/rde.2014.39.1.74</w:t>
          </w:r>
        </w:p>
        <w:p w14:paraId="4FD91150" w14:textId="7C54C0CD"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J. J., Overton, H., Hull, K., &amp; Choi, M. (2018). Examining public perceptions of CSR in Sport. </w:t>
          </w:r>
          <w:r w:rsidRPr="003B01B2">
            <w:rPr>
              <w:rFonts w:asciiTheme="majorBidi" w:hAnsiTheme="majorBidi" w:cstheme="majorBidi"/>
              <w:i/>
              <w:iCs/>
              <w:noProof/>
              <w:sz w:val="24"/>
              <w:szCs w:val="24"/>
              <w:lang w:val="en-US"/>
            </w:rPr>
            <w:t>Corporate Communications An International Journal, 23</w:t>
          </w:r>
          <w:r w:rsidRPr="003B01B2">
            <w:rPr>
              <w:rFonts w:asciiTheme="majorBidi" w:hAnsiTheme="majorBidi" w:cstheme="majorBidi"/>
              <w:noProof/>
              <w:sz w:val="24"/>
              <w:szCs w:val="24"/>
              <w:lang w:val="en-US"/>
            </w:rPr>
            <w:t>(4). doi:10.1108/CCIJ-05-2018-0060</w:t>
          </w:r>
        </w:p>
        <w:p w14:paraId="5579FF8E" w14:textId="230B72C4" w:rsidR="006E2490" w:rsidRPr="003B01B2" w:rsidRDefault="006E2490" w:rsidP="006E2490">
          <w:pPr>
            <w:ind w:left="720" w:hanging="720"/>
            <w:rPr>
              <w:rFonts w:asciiTheme="majorBidi" w:hAnsiTheme="majorBidi" w:cstheme="majorBidi"/>
              <w:noProof/>
              <w:sz w:val="24"/>
              <w:szCs w:val="24"/>
              <w:lang w:val="en-US"/>
            </w:rPr>
          </w:pPr>
          <w:r w:rsidRPr="00F72834">
            <w:rPr>
              <w:rFonts w:asciiTheme="majorBidi" w:hAnsiTheme="majorBidi" w:cstheme="majorBidi"/>
              <w:noProof/>
              <w:sz w:val="24"/>
              <w:szCs w:val="24"/>
            </w:rPr>
            <w:t xml:space="preserve">Kim, J., &amp; Lennon, S. J. (2013). </w:t>
          </w:r>
          <w:r w:rsidRPr="003B01B2">
            <w:rPr>
              <w:rFonts w:asciiTheme="majorBidi" w:hAnsiTheme="majorBidi" w:cstheme="majorBidi"/>
              <w:noProof/>
              <w:sz w:val="24"/>
              <w:szCs w:val="24"/>
              <w:lang w:val="en-US"/>
            </w:rPr>
            <w:t xml:space="preserve">Effects of reputation and website quality on online consumers' emotion, perceived risk and purchase intention: Based on the stimulus‐organism‐response model. </w:t>
          </w:r>
          <w:r w:rsidRPr="003B01B2">
            <w:rPr>
              <w:rFonts w:asciiTheme="majorBidi" w:hAnsiTheme="majorBidi" w:cstheme="majorBidi"/>
              <w:i/>
              <w:iCs/>
              <w:noProof/>
              <w:sz w:val="24"/>
              <w:szCs w:val="24"/>
              <w:lang w:val="en-US"/>
            </w:rPr>
            <w:t>Journal of Research in Interactive Marketing, 7</w:t>
          </w:r>
          <w:r w:rsidRPr="003B01B2">
            <w:rPr>
              <w:rFonts w:asciiTheme="majorBidi" w:hAnsiTheme="majorBidi" w:cstheme="majorBidi"/>
              <w:noProof/>
              <w:sz w:val="24"/>
              <w:szCs w:val="24"/>
              <w:lang w:val="en-US"/>
            </w:rPr>
            <w:t>(1), 33-56. doi:https://doi.org/10.1108/17505931311316734</w:t>
          </w:r>
        </w:p>
        <w:p w14:paraId="444DCE17" w14:textId="520CBB6E"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J., Schultz, J., Rohe, T., Wallraven, C., Lee, S.-W., &amp; Bulthoff, H. H. (2015). Abstract Representations of Associated Emotions in the Human Brain. </w:t>
          </w:r>
          <w:r w:rsidRPr="003B01B2">
            <w:rPr>
              <w:rFonts w:asciiTheme="majorBidi" w:hAnsiTheme="majorBidi" w:cstheme="majorBidi"/>
              <w:i/>
              <w:iCs/>
              <w:noProof/>
              <w:sz w:val="24"/>
              <w:szCs w:val="24"/>
              <w:lang w:val="en-US"/>
            </w:rPr>
            <w:t>The Journal of Neuroscience, 35</w:t>
          </w:r>
          <w:r w:rsidRPr="003B01B2">
            <w:rPr>
              <w:rFonts w:asciiTheme="majorBidi" w:hAnsiTheme="majorBidi" w:cstheme="majorBidi"/>
              <w:noProof/>
              <w:sz w:val="24"/>
              <w:szCs w:val="24"/>
              <w:lang w:val="en-US"/>
            </w:rPr>
            <w:t>(14). doi:10.1523/jneurosci.4059-14.2015</w:t>
          </w:r>
        </w:p>
        <w:p w14:paraId="77E82A95" w14:textId="77777777"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sv-SE"/>
            </w:rPr>
            <w:t xml:space="preserve">Kim, J.-H., &amp; Jang, S. (2014). </w:t>
          </w:r>
          <w:r w:rsidRPr="003B01B2">
            <w:rPr>
              <w:rFonts w:asciiTheme="majorBidi" w:hAnsiTheme="majorBidi" w:cstheme="majorBidi"/>
              <w:noProof/>
              <w:sz w:val="24"/>
              <w:szCs w:val="24"/>
              <w:lang w:val="en-US"/>
            </w:rPr>
            <w:t xml:space="preserve">A scenario-based experiment and a field study: A comparative examination for service failure and recovery. </w:t>
          </w:r>
          <w:r w:rsidRPr="003B01B2">
            <w:rPr>
              <w:rFonts w:asciiTheme="majorBidi" w:hAnsiTheme="majorBidi" w:cstheme="majorBidi"/>
              <w:i/>
              <w:iCs/>
              <w:noProof/>
              <w:sz w:val="24"/>
              <w:szCs w:val="24"/>
              <w:lang w:val="en-US"/>
            </w:rPr>
            <w:t>International Journal of Hospitality Management, 41</w:t>
          </w:r>
          <w:r w:rsidRPr="003B01B2">
            <w:rPr>
              <w:rFonts w:asciiTheme="majorBidi" w:hAnsiTheme="majorBidi" w:cstheme="majorBidi"/>
              <w:noProof/>
              <w:sz w:val="24"/>
              <w:szCs w:val="24"/>
              <w:lang w:val="en-US"/>
            </w:rPr>
            <w:t>, 125-132. doi:http://dx.doi.org/10.1016/j.ijhm.2014.05.004</w:t>
          </w:r>
        </w:p>
        <w:p w14:paraId="20B69B5B" w14:textId="77777777"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sv-SE"/>
            </w:rPr>
            <w:t xml:space="preserve">Kim, M., Lee, C., &amp; Jung, T. (2020). </w:t>
          </w:r>
          <w:r w:rsidRPr="003B01B2">
            <w:rPr>
              <w:rFonts w:asciiTheme="majorBidi" w:hAnsiTheme="majorBidi" w:cstheme="majorBidi"/>
              <w:noProof/>
              <w:sz w:val="24"/>
              <w:szCs w:val="24"/>
              <w:lang w:val="en-US"/>
            </w:rPr>
            <w:t xml:space="preserve">Exploring consumer behavior in virtual reality tourism using an extended stimulus-organism-response model. </w:t>
          </w:r>
          <w:r w:rsidRPr="003B01B2">
            <w:rPr>
              <w:rFonts w:asciiTheme="majorBidi" w:hAnsiTheme="majorBidi" w:cstheme="majorBidi"/>
              <w:i/>
              <w:iCs/>
              <w:noProof/>
              <w:sz w:val="24"/>
              <w:szCs w:val="24"/>
              <w:lang w:val="en-US"/>
            </w:rPr>
            <w:t>Journal of Travel Research, 59</w:t>
          </w:r>
          <w:r w:rsidRPr="003B01B2">
            <w:rPr>
              <w:rFonts w:asciiTheme="majorBidi" w:hAnsiTheme="majorBidi" w:cstheme="majorBidi"/>
              <w:noProof/>
              <w:sz w:val="24"/>
              <w:szCs w:val="24"/>
              <w:lang w:val="en-US"/>
            </w:rPr>
            <w:t>(1), 69-89.</w:t>
          </w:r>
        </w:p>
        <w:p w14:paraId="1872A40A" w14:textId="5CD9434A"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N., &amp; Lee, K. (2023). Environmental Consciousness, Purchase Intention, and Actual Purchase Behavior of Eco-Friendly Products: The Moderating Impact of Situational Context. </w:t>
          </w:r>
          <w:r w:rsidRPr="003B01B2">
            <w:rPr>
              <w:rFonts w:asciiTheme="majorBidi" w:hAnsiTheme="majorBidi" w:cstheme="majorBidi"/>
              <w:i/>
              <w:iCs/>
              <w:noProof/>
              <w:sz w:val="24"/>
              <w:szCs w:val="24"/>
              <w:lang w:val="en-US"/>
            </w:rPr>
            <w:t>International Journal of Environmental Research and Public Health, 20</w:t>
          </w:r>
          <w:r w:rsidRPr="003B01B2">
            <w:rPr>
              <w:rFonts w:asciiTheme="majorBidi" w:hAnsiTheme="majorBidi" w:cstheme="majorBidi"/>
              <w:noProof/>
              <w:sz w:val="24"/>
              <w:szCs w:val="24"/>
              <w:lang w:val="en-US"/>
            </w:rPr>
            <w:t>(7). doi:https://doi.org/10.3390/ijerph20075312</w:t>
          </w:r>
        </w:p>
        <w:p w14:paraId="010BCD08" w14:textId="52A03A36"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(2019). The Process Model of Corporate Social Responsibility (CSR) Communication: CSR Communication and its Relationship with Consumers’ CSR Knowledge, Trust, and Corporate Reputation Perception. </w:t>
          </w:r>
          <w:r w:rsidRPr="003B01B2">
            <w:rPr>
              <w:rFonts w:asciiTheme="majorBidi" w:hAnsiTheme="majorBidi" w:cstheme="majorBidi"/>
              <w:i/>
              <w:iCs/>
              <w:noProof/>
              <w:sz w:val="24"/>
              <w:szCs w:val="24"/>
              <w:lang w:val="en-US"/>
            </w:rPr>
            <w:t>Journal of Business Ethics volume, 154</w:t>
          </w:r>
          <w:r w:rsidRPr="003B01B2">
            <w:rPr>
              <w:rFonts w:asciiTheme="majorBidi" w:hAnsiTheme="majorBidi" w:cstheme="majorBidi"/>
              <w:noProof/>
              <w:sz w:val="24"/>
              <w:szCs w:val="24"/>
              <w:lang w:val="en-US"/>
            </w:rPr>
            <w:t>, 1143-1159. doi:https://doi.org/10.1007/s10551-017-3433-6</w:t>
          </w:r>
        </w:p>
        <w:p w14:paraId="3CC564A1" w14:textId="493B46AC"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(2022). </w:t>
          </w:r>
          <w:r w:rsidRPr="003B01B2">
            <w:rPr>
              <w:rFonts w:asciiTheme="majorBidi" w:hAnsiTheme="majorBidi" w:cstheme="majorBidi"/>
              <w:i/>
              <w:iCs/>
              <w:noProof/>
              <w:sz w:val="24"/>
              <w:szCs w:val="24"/>
              <w:lang w:val="en-US"/>
            </w:rPr>
            <w:t>ANOVA and Kruskal-Wallis Tests, Explained</w:t>
          </w:r>
          <w:r w:rsidRPr="003B01B2">
            <w:rPr>
              <w:rFonts w:asciiTheme="majorBidi" w:hAnsiTheme="majorBidi" w:cstheme="majorBidi"/>
              <w:noProof/>
              <w:sz w:val="24"/>
              <w:szCs w:val="24"/>
              <w:lang w:val="en-US"/>
            </w:rPr>
            <w:t>. Retrieved 01 17, 2023, from Towards data science: https://towardsdatascience.com/anova-and-kruskal-wallis-tests-explained-2ad828b97125</w:t>
          </w:r>
        </w:p>
        <w:p w14:paraId="7BB23B38" w14:textId="7972C26C"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&amp; Bae, J. (2016). Cross-cultural differences in concrete and abstract corporate social responsibility (CSR) campaigns: perceived message clarity and perceived CSR as mediators. </w:t>
          </w:r>
          <w:r w:rsidRPr="003B01B2">
            <w:rPr>
              <w:rFonts w:asciiTheme="majorBidi" w:hAnsiTheme="majorBidi" w:cstheme="majorBidi"/>
              <w:i/>
              <w:iCs/>
              <w:noProof/>
              <w:sz w:val="24"/>
              <w:szCs w:val="24"/>
              <w:lang w:val="en-US"/>
            </w:rPr>
            <w:t>International Journal of Corporate Social Responsibility , 1</w:t>
          </w:r>
          <w:r w:rsidRPr="003B01B2">
            <w:rPr>
              <w:rFonts w:asciiTheme="majorBidi" w:hAnsiTheme="majorBidi" w:cstheme="majorBidi"/>
              <w:noProof/>
              <w:sz w:val="24"/>
              <w:szCs w:val="24"/>
              <w:lang w:val="en-US"/>
            </w:rPr>
            <w:t>(1). doi:10.1186/s40991-016-0009-1</w:t>
          </w:r>
        </w:p>
        <w:p w14:paraId="7F96CAA0" w14:textId="07A45450"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&amp; Ferguson, M. (2018). Dimensions of effective CSR communication based on public expectations. </w:t>
          </w:r>
          <w:r w:rsidRPr="003B01B2">
            <w:rPr>
              <w:rFonts w:asciiTheme="majorBidi" w:hAnsiTheme="majorBidi" w:cstheme="majorBidi"/>
              <w:i/>
              <w:iCs/>
              <w:noProof/>
              <w:sz w:val="24"/>
              <w:szCs w:val="24"/>
              <w:lang w:val="en-US"/>
            </w:rPr>
            <w:t>Journal of Marketing Communications, 24</w:t>
          </w:r>
          <w:r w:rsidRPr="003B01B2">
            <w:rPr>
              <w:rFonts w:asciiTheme="majorBidi" w:hAnsiTheme="majorBidi" w:cstheme="majorBidi"/>
              <w:noProof/>
              <w:sz w:val="24"/>
              <w:szCs w:val="24"/>
              <w:lang w:val="en-US"/>
            </w:rPr>
            <w:t>(06), 549-567. doi:10.1080/13527266.2015.1118143</w:t>
          </w:r>
        </w:p>
        <w:p w14:paraId="56E862EC" w14:textId="1C76C3C1"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&amp; Ferguson, M. A. (2014). Public Expectations of CSR Communication: What and How to Communicate CSR. </w:t>
          </w:r>
          <w:r w:rsidRPr="003B01B2">
            <w:rPr>
              <w:rFonts w:asciiTheme="majorBidi" w:hAnsiTheme="majorBidi" w:cstheme="majorBidi"/>
              <w:i/>
              <w:iCs/>
              <w:noProof/>
              <w:sz w:val="24"/>
              <w:szCs w:val="24"/>
              <w:lang w:val="en-US"/>
            </w:rPr>
            <w:t>The Public Relations Journal, 08</w:t>
          </w:r>
          <w:r w:rsidRPr="003B01B2">
            <w:rPr>
              <w:rFonts w:asciiTheme="majorBidi" w:hAnsiTheme="majorBidi" w:cstheme="majorBidi"/>
              <w:noProof/>
              <w:sz w:val="24"/>
              <w:szCs w:val="24"/>
              <w:lang w:val="en-US"/>
            </w:rPr>
            <w:t>(03). Retrieved 10 02, 2022, from https://www.researchgate.net/publication/275272287_Public_Expectations_of_CSR_Communication_What_and_How_to_Communicate_CSR</w:t>
          </w:r>
        </w:p>
        <w:p w14:paraId="2C27C8E2" w14:textId="1AC4870A"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&amp; Ji, Y. (2017). Chinese consumers’ expectations of corporate communication on CSR and Sustainability. </w:t>
          </w:r>
          <w:r w:rsidRPr="003B01B2">
            <w:rPr>
              <w:rFonts w:asciiTheme="majorBidi" w:hAnsiTheme="majorBidi" w:cstheme="majorBidi"/>
              <w:i/>
              <w:iCs/>
              <w:noProof/>
              <w:sz w:val="24"/>
              <w:szCs w:val="24"/>
              <w:lang w:val="en-US"/>
            </w:rPr>
            <w:t>Corporate Social Responsibility and Environmental Management, 24</w:t>
          </w:r>
          <w:r w:rsidRPr="003B01B2">
            <w:rPr>
              <w:rFonts w:asciiTheme="majorBidi" w:hAnsiTheme="majorBidi" w:cstheme="majorBidi"/>
              <w:noProof/>
              <w:sz w:val="24"/>
              <w:szCs w:val="24"/>
              <w:lang w:val="en-US"/>
            </w:rPr>
            <w:t>(06), 570-588. doi: https://doi.org/10.1002/csr.1429</w:t>
          </w:r>
        </w:p>
        <w:p w14:paraId="0D525514" w14:textId="4F91BE1C"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&amp; Ji, Y. (2021). Positive ripple effects of corporate leaders’ CSR donations amid COVID-19 on corporate and country reputations: Multi-level reputational benefits of CSR focusing on Bill Gates and Jack Ma. </w:t>
          </w:r>
          <w:r w:rsidRPr="003B01B2">
            <w:rPr>
              <w:rFonts w:asciiTheme="majorBidi" w:hAnsiTheme="majorBidi" w:cstheme="majorBidi"/>
              <w:i/>
              <w:iCs/>
              <w:noProof/>
              <w:sz w:val="24"/>
              <w:szCs w:val="24"/>
              <w:lang w:val="en-US"/>
            </w:rPr>
            <w:t>Public Relations Review, 47</w:t>
          </w:r>
          <w:r w:rsidRPr="003B01B2">
            <w:rPr>
              <w:rFonts w:asciiTheme="majorBidi" w:hAnsiTheme="majorBidi" w:cstheme="majorBidi"/>
              <w:noProof/>
              <w:sz w:val="24"/>
              <w:szCs w:val="24"/>
              <w:lang w:val="en-US"/>
            </w:rPr>
            <w:t>(4). doi:https://doi.org/10.1016/j.pubrev.2021.102073</w:t>
          </w:r>
        </w:p>
        <w:p w14:paraId="2A96A4FA" w14:textId="7D9898F0"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&amp; Rim, H. (2019). The Role of Public Skepticism and Distrust in the Process of CSR Communication. </w:t>
          </w:r>
          <w:r w:rsidRPr="003B01B2">
            <w:rPr>
              <w:rFonts w:asciiTheme="majorBidi" w:hAnsiTheme="majorBidi" w:cstheme="majorBidi"/>
              <w:i/>
              <w:iCs/>
              <w:noProof/>
              <w:sz w:val="24"/>
              <w:szCs w:val="24"/>
              <w:lang w:val="en-US"/>
            </w:rPr>
            <w:t>International Journal of Business Communication</w:t>
          </w:r>
          <w:r w:rsidRPr="003B01B2">
            <w:rPr>
              <w:rFonts w:asciiTheme="majorBidi" w:hAnsiTheme="majorBidi" w:cstheme="majorBidi"/>
              <w:noProof/>
              <w:sz w:val="24"/>
              <w:szCs w:val="24"/>
              <w:lang w:val="en-US"/>
            </w:rPr>
            <w:t>. doi:https://doi.org/10.1177/2329488419866888</w:t>
          </w:r>
        </w:p>
        <w:p w14:paraId="7043D3F3" w14:textId="75B2E15F"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S., Krishna, A., &amp; Dhanesh, G. (2019). Economics or ethics? Exploring the role of CSR expectations in explaining consumers’ perceptions, motivations, and active communication behaviors about corporate misconduct. </w:t>
          </w:r>
          <w:r w:rsidRPr="003B01B2">
            <w:rPr>
              <w:rFonts w:asciiTheme="majorBidi" w:hAnsiTheme="majorBidi" w:cstheme="majorBidi"/>
              <w:i/>
              <w:iCs/>
              <w:noProof/>
              <w:sz w:val="24"/>
              <w:szCs w:val="24"/>
              <w:lang w:val="en-US"/>
            </w:rPr>
            <w:t>Public Relations Review, 45</w:t>
          </w:r>
          <w:r w:rsidRPr="003B01B2">
            <w:rPr>
              <w:rFonts w:asciiTheme="majorBidi" w:hAnsiTheme="majorBidi" w:cstheme="majorBidi"/>
              <w:noProof/>
              <w:sz w:val="24"/>
              <w:szCs w:val="24"/>
              <w:lang w:val="en-US"/>
            </w:rPr>
            <w:t>(1), 76-87. doi:https://doi.org/10.1016/j.pubrev.2018.10.011</w:t>
          </w:r>
        </w:p>
        <w:p w14:paraId="7526F5E7" w14:textId="5F540927"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Y. (2014). “Strategic communication of corporate social responsibility (CSR): effects of stated motives and corporate reputation on stakeholder responses. </w:t>
          </w:r>
          <w:r w:rsidRPr="003B01B2">
            <w:rPr>
              <w:rFonts w:asciiTheme="majorBidi" w:hAnsiTheme="majorBidi" w:cstheme="majorBidi"/>
              <w:i/>
              <w:iCs/>
              <w:noProof/>
              <w:sz w:val="24"/>
              <w:szCs w:val="24"/>
              <w:lang w:val="en-US"/>
            </w:rPr>
            <w:t>Public Relations Review, 40</w:t>
          </w:r>
          <w:r w:rsidRPr="003B01B2">
            <w:rPr>
              <w:rFonts w:asciiTheme="majorBidi" w:hAnsiTheme="majorBidi" w:cstheme="majorBidi"/>
              <w:noProof/>
              <w:sz w:val="24"/>
              <w:szCs w:val="24"/>
              <w:lang w:val="en-US"/>
            </w:rPr>
            <w:t>(5), 838-840. doi:https://doi.org/10.1016/j.pubrev.2014.07.005</w:t>
          </w:r>
        </w:p>
        <w:p w14:paraId="72B49D05" w14:textId="7F58943B" w:rsidR="006E2490" w:rsidRPr="003B01B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en-US"/>
            </w:rPr>
            <w:t xml:space="preserve">Kim, Y., &amp; Ferguson, K. (2019). re high-fit CSR programs always better? The effects of corporate reputation and CSR fit on stakeholder responses. </w:t>
          </w:r>
          <w:r w:rsidRPr="003B01B2">
            <w:rPr>
              <w:rFonts w:asciiTheme="majorBidi" w:hAnsiTheme="majorBidi" w:cstheme="majorBidi"/>
              <w:i/>
              <w:iCs/>
              <w:noProof/>
              <w:sz w:val="24"/>
              <w:szCs w:val="24"/>
              <w:lang w:val="en-US"/>
            </w:rPr>
            <w:t>Corporate Communications: An International Journal, 24</w:t>
          </w:r>
          <w:r w:rsidRPr="003B01B2">
            <w:rPr>
              <w:rFonts w:asciiTheme="majorBidi" w:hAnsiTheme="majorBidi" w:cstheme="majorBidi"/>
              <w:noProof/>
              <w:sz w:val="24"/>
              <w:szCs w:val="24"/>
              <w:lang w:val="en-US"/>
            </w:rPr>
            <w:t>(3), 471-498. doi:https://doi-org.lsbu.idm.oclc.org/10.1108/CCIJ-05-2018-0061</w:t>
          </w:r>
        </w:p>
        <w:p w14:paraId="15F8BDA2" w14:textId="77777777" w:rsidR="006E2490" w:rsidRPr="009C6DC2" w:rsidRDefault="006E2490" w:rsidP="006E2490">
          <w:pPr>
            <w:ind w:left="720" w:hanging="720"/>
            <w:rPr>
              <w:rFonts w:asciiTheme="majorBidi" w:hAnsiTheme="majorBidi" w:cstheme="majorBidi"/>
              <w:noProof/>
              <w:sz w:val="24"/>
              <w:szCs w:val="24"/>
              <w:lang w:val="en-US"/>
            </w:rPr>
          </w:pPr>
          <w:r w:rsidRPr="003B01B2">
            <w:rPr>
              <w:rFonts w:asciiTheme="majorBidi" w:hAnsiTheme="majorBidi" w:cstheme="majorBidi"/>
              <w:noProof/>
              <w:sz w:val="24"/>
              <w:szCs w:val="24"/>
              <w:lang w:val="pl-PL"/>
            </w:rPr>
            <w:t xml:space="preserve">Kim, Y., Park, H., &amp; Kim, J. K. (2019). </w:t>
          </w:r>
          <w:r w:rsidRPr="003B01B2">
            <w:rPr>
              <w:rFonts w:asciiTheme="majorBidi" w:hAnsiTheme="majorBidi" w:cstheme="majorBidi"/>
              <w:noProof/>
              <w:sz w:val="24"/>
              <w:szCs w:val="24"/>
              <w:lang w:val="en-US"/>
            </w:rPr>
            <w:t xml:space="preserve">Corporate association strategies and consumer responses: The relative effectiveness of CA versus CSR communication strategy by industry type. </w:t>
          </w:r>
          <w:r w:rsidRPr="003B01B2">
            <w:rPr>
              <w:rFonts w:asciiTheme="majorBidi" w:hAnsiTheme="majorBidi" w:cstheme="majorBidi"/>
              <w:i/>
              <w:iCs/>
              <w:noProof/>
              <w:sz w:val="24"/>
              <w:szCs w:val="24"/>
              <w:lang w:val="en-US"/>
            </w:rPr>
            <w:t>Journal of Marketing CommuniCations, 25</w:t>
          </w:r>
          <w:r w:rsidRPr="003B01B2">
            <w:rPr>
              <w:rFonts w:asciiTheme="majorBidi" w:hAnsiTheme="majorBidi" w:cstheme="majorBidi"/>
              <w:noProof/>
              <w:sz w:val="24"/>
              <w:szCs w:val="24"/>
              <w:lang w:val="en-US"/>
            </w:rPr>
            <w:t>(2), 204 - 227. doi:https://doi.org/10.1080/13527266.2017.1393766</w:t>
          </w:r>
        </w:p>
        <w:p w14:paraId="028FAA3A" w14:textId="57A9DCA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Kitchen, P. J., Kerr, G., Schultz, D. E., McColl, R., &amp; Pals, H. (2014). The elaboration likelihood model: review, critique and research agenda. </w:t>
          </w:r>
          <w:r w:rsidRPr="009C6DC2">
            <w:rPr>
              <w:rFonts w:asciiTheme="majorBidi" w:hAnsiTheme="majorBidi" w:cstheme="majorBidi"/>
              <w:i/>
              <w:iCs/>
              <w:noProof/>
              <w:sz w:val="24"/>
              <w:szCs w:val="24"/>
              <w:lang w:val="en-US"/>
            </w:rPr>
            <w:t>European Journal of Marketing, 48</w:t>
          </w:r>
          <w:r w:rsidRPr="009C6DC2">
            <w:rPr>
              <w:rFonts w:asciiTheme="majorBidi" w:hAnsiTheme="majorBidi" w:cstheme="majorBidi"/>
              <w:noProof/>
              <w:sz w:val="24"/>
              <w:szCs w:val="24"/>
              <w:lang w:val="en-US"/>
            </w:rPr>
            <w:t>(11), 2033-2050. Retrieved 09 27, 2022, from https://doi.org/10.1108/EJM-12-2011-0776</w:t>
          </w:r>
        </w:p>
        <w:p w14:paraId="5C82134A" w14:textId="0F93161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Kitzmueller, M., &amp; Shimshack, J. (2012). Economic Perspectives on Corporate Social Responsibility. </w:t>
          </w:r>
          <w:r w:rsidRPr="009C6DC2">
            <w:rPr>
              <w:rFonts w:asciiTheme="majorBidi" w:hAnsiTheme="majorBidi" w:cstheme="majorBidi"/>
              <w:i/>
              <w:iCs/>
              <w:noProof/>
              <w:sz w:val="24"/>
              <w:szCs w:val="24"/>
              <w:lang w:val="en-US"/>
            </w:rPr>
            <w:t>Journal of Economic Literature, 50</w:t>
          </w:r>
          <w:r w:rsidRPr="009C6DC2">
            <w:rPr>
              <w:rFonts w:asciiTheme="majorBidi" w:hAnsiTheme="majorBidi" w:cstheme="majorBidi"/>
              <w:noProof/>
              <w:sz w:val="24"/>
              <w:szCs w:val="24"/>
              <w:lang w:val="en-US"/>
            </w:rPr>
            <w:t>(1), 51-84. doi:10.1257/jel.50.1.51</w:t>
          </w:r>
        </w:p>
        <w:p w14:paraId="052ADBC6" w14:textId="0D537DB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Kiwan, A., Sheta, S., &amp; Samaa, M. M. (2021). Challenges and opportunities of applying digital public participation tools in urban development projects in Egypt. </w:t>
          </w:r>
          <w:r w:rsidRPr="009C6DC2">
            <w:rPr>
              <w:rFonts w:asciiTheme="majorBidi" w:hAnsiTheme="majorBidi" w:cstheme="majorBidi"/>
              <w:i/>
              <w:iCs/>
              <w:noProof/>
              <w:sz w:val="24"/>
              <w:szCs w:val="24"/>
              <w:lang w:val="en-US"/>
            </w:rPr>
            <w:t>MANSOURA ENGINEERING JOURNAL, 46</w:t>
          </w:r>
          <w:r w:rsidRPr="009C6DC2">
            <w:rPr>
              <w:rFonts w:asciiTheme="majorBidi" w:hAnsiTheme="majorBidi" w:cstheme="majorBidi"/>
              <w:noProof/>
              <w:sz w:val="24"/>
              <w:szCs w:val="24"/>
              <w:lang w:val="en-US"/>
            </w:rPr>
            <w:t>(02). Retrieved 08 29, 2022, from https://journals.ekb.eg/article_187646_329c79eb24fe4af04186b48e7d1fb736.pdf</w:t>
          </w:r>
        </w:p>
        <w:p w14:paraId="583DF5E6" w14:textId="0E62A96F" w:rsidR="006E2490" w:rsidRPr="009C6DC2" w:rsidRDefault="006E2490" w:rsidP="006E2490">
          <w:pPr>
            <w:ind w:left="720" w:hanging="720"/>
            <w:rPr>
              <w:rFonts w:asciiTheme="majorBidi" w:hAnsiTheme="majorBidi" w:cstheme="majorBidi"/>
              <w:noProof/>
              <w:sz w:val="24"/>
              <w:szCs w:val="24"/>
              <w:lang w:val="en-US"/>
            </w:rPr>
          </w:pPr>
          <w:r w:rsidRPr="00F14845">
            <w:rPr>
              <w:rFonts w:asciiTheme="majorBidi" w:hAnsiTheme="majorBidi" w:cstheme="majorBidi"/>
              <w:noProof/>
              <w:sz w:val="24"/>
              <w:szCs w:val="24"/>
              <w:lang w:val="en-US"/>
            </w:rPr>
            <w:t>Klabi</w:t>
          </w:r>
          <w:r w:rsidRPr="009C6DC2">
            <w:rPr>
              <w:rFonts w:asciiTheme="majorBidi" w:hAnsiTheme="majorBidi" w:cstheme="majorBidi"/>
              <w:noProof/>
              <w:sz w:val="24"/>
              <w:szCs w:val="24"/>
              <w:lang w:val="en-US"/>
            </w:rPr>
            <w:t xml:space="preserve">, F. (2020). To what extent do conspicuous consumption and status consumption reinforce the effect of self-image congruence on emotional brand attachment? Evidence from the Kingdom of Saudi Arabia. </w:t>
          </w:r>
          <w:r w:rsidRPr="009C6DC2">
            <w:rPr>
              <w:rFonts w:asciiTheme="majorBidi" w:hAnsiTheme="majorBidi" w:cstheme="majorBidi"/>
              <w:i/>
              <w:iCs/>
              <w:noProof/>
              <w:sz w:val="24"/>
              <w:szCs w:val="24"/>
              <w:lang w:val="en-US"/>
            </w:rPr>
            <w:t>Journal of Marketing Analytics, 8</w:t>
          </w:r>
          <w:r w:rsidRPr="009C6DC2">
            <w:rPr>
              <w:rFonts w:asciiTheme="majorBidi" w:hAnsiTheme="majorBidi" w:cstheme="majorBidi"/>
              <w:noProof/>
              <w:sz w:val="24"/>
              <w:szCs w:val="24"/>
              <w:lang w:val="en-US"/>
            </w:rPr>
            <w:t>, 99-117. doi:https://doi.org/10.1057/s41270-020-00073-9</w:t>
          </w:r>
        </w:p>
        <w:p w14:paraId="5C0F508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Klein, J., &amp; Dawar , N. (2004). Corporate social responsibility and consumers’ attributions and brand evaluations in a product-harm crisis. </w:t>
          </w:r>
          <w:r w:rsidRPr="009C6DC2">
            <w:rPr>
              <w:rFonts w:asciiTheme="majorBidi" w:hAnsiTheme="majorBidi" w:cstheme="majorBidi"/>
              <w:i/>
              <w:iCs/>
              <w:noProof/>
              <w:sz w:val="24"/>
              <w:szCs w:val="24"/>
              <w:lang w:val="en-US"/>
            </w:rPr>
            <w:t>International Journal of Research in Marketing, 21</w:t>
          </w:r>
          <w:r w:rsidRPr="009C6DC2">
            <w:rPr>
              <w:rFonts w:asciiTheme="majorBidi" w:hAnsiTheme="majorBidi" w:cstheme="majorBidi"/>
              <w:noProof/>
              <w:sz w:val="24"/>
              <w:szCs w:val="24"/>
              <w:lang w:val="en-US"/>
            </w:rPr>
            <w:t>(3), 203-217. doi:https://doi.org/10.1016/j.ijresmar.2003.12.003</w:t>
          </w:r>
        </w:p>
        <w:p w14:paraId="5290E198" w14:textId="67DF1C8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Knudsen, E., &amp; Johannesson, M. P. (2019). </w:t>
          </w:r>
          <w:r w:rsidRPr="009C6DC2">
            <w:rPr>
              <w:rFonts w:asciiTheme="majorBidi" w:hAnsiTheme="majorBidi" w:cstheme="majorBidi"/>
              <w:noProof/>
              <w:sz w:val="24"/>
              <w:szCs w:val="24"/>
              <w:lang w:val="en-US"/>
            </w:rPr>
            <w:t xml:space="preserve">Beyond the Limits of Survey Experiments: How Conjoint Designs Advance Causal Inference in Political Communication Research. </w:t>
          </w:r>
          <w:r w:rsidRPr="009C6DC2">
            <w:rPr>
              <w:rFonts w:asciiTheme="majorBidi" w:hAnsiTheme="majorBidi" w:cstheme="majorBidi"/>
              <w:i/>
              <w:iCs/>
              <w:noProof/>
              <w:sz w:val="24"/>
              <w:szCs w:val="24"/>
              <w:lang w:val="en-US"/>
            </w:rPr>
            <w:t>Political Communication, 36</w:t>
          </w:r>
          <w:r w:rsidRPr="009C6DC2">
            <w:rPr>
              <w:rFonts w:asciiTheme="majorBidi" w:hAnsiTheme="majorBidi" w:cstheme="majorBidi"/>
              <w:noProof/>
              <w:sz w:val="24"/>
              <w:szCs w:val="24"/>
              <w:lang w:val="en-US"/>
            </w:rPr>
            <w:t>(02), 259-271. doi:10.1080/10584609.2018.1493009</w:t>
          </w:r>
        </w:p>
        <w:p w14:paraId="1B2B77E9" w14:textId="594FAAE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Koay, K. Y., Ong, D. L., Khoo, K. L., &amp; Yeoh, H. (2020</w:t>
          </w:r>
          <w:r w:rsidR="00AD0123">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Perceived social media marketing activities and consumer-based brand equity. </w:t>
          </w:r>
          <w:r w:rsidRPr="009C6DC2">
            <w:rPr>
              <w:rFonts w:asciiTheme="majorBidi" w:hAnsiTheme="majorBidi" w:cstheme="majorBidi"/>
              <w:i/>
              <w:iCs/>
              <w:noProof/>
              <w:sz w:val="24"/>
              <w:szCs w:val="24"/>
              <w:lang w:val="en-US"/>
            </w:rPr>
            <w:t>Asia Pacific Journal of Marketing and Logistics, 33</w:t>
          </w:r>
          <w:r w:rsidRPr="009C6DC2">
            <w:rPr>
              <w:rFonts w:asciiTheme="majorBidi" w:hAnsiTheme="majorBidi" w:cstheme="majorBidi"/>
              <w:noProof/>
              <w:sz w:val="24"/>
              <w:szCs w:val="24"/>
              <w:lang w:val="en-US"/>
            </w:rPr>
            <w:t>(1), 53-72. doi:https://doi.org/10.1108/APJML-07-2019-0453</w:t>
          </w:r>
        </w:p>
        <w:p w14:paraId="6DA3EA80" w14:textId="7C6FD6D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Korstanje, J. (2021). </w:t>
          </w:r>
          <w:r w:rsidRPr="009C6DC2">
            <w:rPr>
              <w:rFonts w:asciiTheme="majorBidi" w:hAnsiTheme="majorBidi" w:cstheme="majorBidi"/>
              <w:i/>
              <w:iCs/>
              <w:noProof/>
              <w:sz w:val="24"/>
              <w:szCs w:val="24"/>
              <w:lang w:val="en-US"/>
            </w:rPr>
            <w:t>Towards Data Science</w:t>
          </w:r>
          <w:r w:rsidRPr="009C6DC2">
            <w:rPr>
              <w:rFonts w:asciiTheme="majorBidi" w:hAnsiTheme="majorBidi" w:cstheme="majorBidi"/>
              <w:noProof/>
              <w:sz w:val="24"/>
              <w:szCs w:val="24"/>
              <w:lang w:val="en-US"/>
            </w:rPr>
            <w:t>. Retrieved 01 18, 2023, from Structural Equation Modeling: https://towardsdatascience.com/structural-equation-modeling-dca298798f4d</w:t>
          </w:r>
        </w:p>
        <w:p w14:paraId="44682DEE" w14:textId="5D31B3D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Korzaan, M. L. (2016). Going with the Flow: Predicting Online Purchase Intentions. </w:t>
          </w:r>
          <w:r w:rsidRPr="009C6DC2">
            <w:rPr>
              <w:rFonts w:asciiTheme="majorBidi" w:hAnsiTheme="majorBidi" w:cstheme="majorBidi"/>
              <w:i/>
              <w:iCs/>
              <w:noProof/>
              <w:sz w:val="24"/>
              <w:szCs w:val="24"/>
              <w:lang w:val="en-US"/>
            </w:rPr>
            <w:t>Journal of Computer Information Systems, 43</w:t>
          </w:r>
          <w:r w:rsidRPr="009C6DC2">
            <w:rPr>
              <w:rFonts w:asciiTheme="majorBidi" w:hAnsiTheme="majorBidi" w:cstheme="majorBidi"/>
              <w:noProof/>
              <w:sz w:val="24"/>
              <w:szCs w:val="24"/>
              <w:lang w:val="en-US"/>
            </w:rPr>
            <w:t>(4), 25-31. Retrieved 03 04, 2023, from https://www.tandfonline.com/doi/abs/10.1080/08874417.2003.11647530?casa_token=YZXVSsxON_kAAAAA:PbvI38YqxWfLsMvtTxVC6hQWDwky1xSI3SyVTCr63B9mXOgFeRYTvFAjuA6i0odloQ0-hZpXNA</w:t>
          </w:r>
        </w:p>
        <w:p w14:paraId="6BB6DFF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Kosar, T., Bohra, S., &amp; Mernik, M. (2018). </w:t>
          </w:r>
          <w:r w:rsidRPr="009C6DC2">
            <w:rPr>
              <w:rFonts w:asciiTheme="majorBidi" w:hAnsiTheme="majorBidi" w:cstheme="majorBidi"/>
              <w:noProof/>
              <w:sz w:val="24"/>
              <w:szCs w:val="24"/>
              <w:lang w:val="en-US"/>
            </w:rPr>
            <w:t xml:space="preserve">A Systematic Mapping Study driven by the margin of error. </w:t>
          </w:r>
          <w:r w:rsidRPr="009C6DC2">
            <w:rPr>
              <w:rFonts w:asciiTheme="majorBidi" w:hAnsiTheme="majorBidi" w:cstheme="majorBidi"/>
              <w:i/>
              <w:iCs/>
              <w:noProof/>
              <w:sz w:val="24"/>
              <w:szCs w:val="24"/>
              <w:lang w:val="en-US"/>
            </w:rPr>
            <w:t>Journal of Systems and Software, 144</w:t>
          </w:r>
          <w:r w:rsidRPr="009C6DC2">
            <w:rPr>
              <w:rFonts w:asciiTheme="majorBidi" w:hAnsiTheme="majorBidi" w:cstheme="majorBidi"/>
              <w:noProof/>
              <w:sz w:val="24"/>
              <w:szCs w:val="24"/>
              <w:lang w:val="en-US"/>
            </w:rPr>
            <w:t>, 439-449. doi:https://doi.org/10.1016/j.jss.2018.06.078</w:t>
          </w:r>
        </w:p>
        <w:p w14:paraId="61BC1FF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Kosmidis, S., &amp; Theocharis, Y. (2020). Can Social Media Incivility Induce Enthusiasm? Evidence from Survey Experiments. </w:t>
          </w:r>
          <w:r w:rsidRPr="009C6DC2">
            <w:rPr>
              <w:rFonts w:asciiTheme="majorBidi" w:hAnsiTheme="majorBidi" w:cstheme="majorBidi"/>
              <w:i/>
              <w:iCs/>
              <w:noProof/>
              <w:sz w:val="24"/>
              <w:szCs w:val="24"/>
              <w:lang w:val="en-US"/>
            </w:rPr>
            <w:t>Public Opinion Quarterly, 84</w:t>
          </w:r>
          <w:r w:rsidRPr="009C6DC2">
            <w:rPr>
              <w:rFonts w:asciiTheme="majorBidi" w:hAnsiTheme="majorBidi" w:cstheme="majorBidi"/>
              <w:noProof/>
              <w:sz w:val="24"/>
              <w:szCs w:val="24"/>
              <w:lang w:val="en-US"/>
            </w:rPr>
            <w:t>, 284-308. doi:10.1093/poq/nfaa014</w:t>
          </w:r>
        </w:p>
        <w:p w14:paraId="09240B8C" w14:textId="2FDEF97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Kraus, S. J. (1995). Attitudes and the Prediction of Behavior: A Meta-Analysis of the Empirical Literature. </w:t>
          </w:r>
          <w:r w:rsidRPr="009C6DC2">
            <w:rPr>
              <w:rFonts w:asciiTheme="majorBidi" w:hAnsiTheme="majorBidi" w:cstheme="majorBidi"/>
              <w:i/>
              <w:iCs/>
              <w:noProof/>
              <w:sz w:val="24"/>
              <w:szCs w:val="24"/>
              <w:lang w:val="en-US"/>
            </w:rPr>
            <w:t>Personality and Social Psychology Bulletin, 21</w:t>
          </w:r>
          <w:r w:rsidRPr="009C6DC2">
            <w:rPr>
              <w:rFonts w:asciiTheme="majorBidi" w:hAnsiTheme="majorBidi" w:cstheme="majorBidi"/>
              <w:noProof/>
              <w:sz w:val="24"/>
              <w:szCs w:val="24"/>
              <w:lang w:val="en-US"/>
            </w:rPr>
            <w:t>(1). doi:https://doi.org/10.1177/0146167295211007</w:t>
          </w:r>
        </w:p>
        <w:p w14:paraId="46DBBD2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Krippendorff, K. (2004). </w:t>
          </w:r>
          <w:r w:rsidRPr="009C6DC2">
            <w:rPr>
              <w:rFonts w:asciiTheme="majorBidi" w:hAnsiTheme="majorBidi" w:cstheme="majorBidi"/>
              <w:i/>
              <w:iCs/>
              <w:noProof/>
              <w:sz w:val="24"/>
              <w:szCs w:val="24"/>
              <w:lang w:val="en-US"/>
            </w:rPr>
            <w:t>Content analysis: an introduction to its methodology.</w:t>
          </w:r>
          <w:r w:rsidRPr="009C6DC2">
            <w:rPr>
              <w:rFonts w:asciiTheme="majorBidi" w:hAnsiTheme="majorBidi" w:cstheme="majorBidi"/>
              <w:noProof/>
              <w:sz w:val="24"/>
              <w:szCs w:val="24"/>
              <w:lang w:val="en-US"/>
            </w:rPr>
            <w:t xml:space="preserve"> Thousand Oaks, California: Sage Publications Inc.</w:t>
          </w:r>
        </w:p>
        <w:p w14:paraId="76F412A0" w14:textId="078EE13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Krištofík , P., Medzihorský, J., &amp; Musa, H. (2022). Capital Structure and Its Determinants—A Comparison of European Top-Rated CSR and Other Companies. </w:t>
          </w:r>
          <w:r w:rsidRPr="009C6DC2">
            <w:rPr>
              <w:rFonts w:asciiTheme="majorBidi" w:hAnsiTheme="majorBidi" w:cstheme="majorBidi"/>
              <w:i/>
              <w:iCs/>
              <w:noProof/>
              <w:sz w:val="24"/>
              <w:szCs w:val="24"/>
              <w:lang w:val="en-US"/>
            </w:rPr>
            <w:t>Journal of Risk Management, 15</w:t>
          </w:r>
          <w:r w:rsidRPr="009C6DC2">
            <w:rPr>
              <w:rFonts w:asciiTheme="majorBidi" w:hAnsiTheme="majorBidi" w:cstheme="majorBidi"/>
              <w:noProof/>
              <w:sz w:val="24"/>
              <w:szCs w:val="24"/>
              <w:lang w:val="en-US"/>
            </w:rPr>
            <w:t>(8). doi:https://doi.org/10.3390/jrfm15080325</w:t>
          </w:r>
        </w:p>
        <w:p w14:paraId="0C7B6A55" w14:textId="2C9D99E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Krueger, N., Bogers, M. L., Labaki, R., &amp; Basco, R. (2021</w:t>
          </w:r>
          <w:r w:rsidR="00AD0123">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Advancing family business science through context theorizing: The case of the Arab world. </w:t>
          </w:r>
          <w:r w:rsidRPr="009C6DC2">
            <w:rPr>
              <w:rFonts w:asciiTheme="majorBidi" w:hAnsiTheme="majorBidi" w:cstheme="majorBidi"/>
              <w:i/>
              <w:iCs/>
              <w:noProof/>
              <w:sz w:val="24"/>
              <w:szCs w:val="24"/>
              <w:lang w:val="en-US"/>
            </w:rPr>
            <w:t>Journal of Family Business Strategy, 12</w:t>
          </w:r>
          <w:r w:rsidRPr="009C6DC2">
            <w:rPr>
              <w:rFonts w:asciiTheme="majorBidi" w:hAnsiTheme="majorBidi" w:cstheme="majorBidi"/>
              <w:noProof/>
              <w:sz w:val="24"/>
              <w:szCs w:val="24"/>
              <w:lang w:val="en-US"/>
            </w:rPr>
            <w:t>(1). doi:https://doi.org/10.1016/j.jfbs.2020.100377</w:t>
          </w:r>
        </w:p>
        <w:p w14:paraId="75AAE910" w14:textId="3BC173E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Kultgen, J. H. (1966). Whitehead's Epistemology. </w:t>
          </w:r>
          <w:r w:rsidRPr="009C6DC2">
            <w:rPr>
              <w:rFonts w:asciiTheme="majorBidi" w:hAnsiTheme="majorBidi" w:cstheme="majorBidi"/>
              <w:i/>
              <w:iCs/>
              <w:noProof/>
              <w:sz w:val="24"/>
              <w:szCs w:val="24"/>
              <w:lang w:val="en-US"/>
            </w:rPr>
            <w:t>Journal of the History of Philosophy</w:t>
          </w:r>
          <w:r w:rsidRPr="009C6DC2">
            <w:rPr>
              <w:rFonts w:asciiTheme="majorBidi" w:hAnsiTheme="majorBidi" w:cstheme="majorBidi"/>
              <w:noProof/>
              <w:sz w:val="24"/>
              <w:szCs w:val="24"/>
              <w:lang w:val="en-US"/>
            </w:rPr>
            <w:t>, 43-61. doi:10.1353/hph.2008.1631</w:t>
          </w:r>
        </w:p>
        <w:p w14:paraId="38BBEEC5" w14:textId="5E1ECF2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Kumar , A. (2022). </w:t>
          </w:r>
          <w:r w:rsidRPr="009C6DC2">
            <w:rPr>
              <w:rFonts w:asciiTheme="majorBidi" w:hAnsiTheme="majorBidi" w:cstheme="majorBidi"/>
              <w:i/>
              <w:iCs/>
              <w:noProof/>
              <w:sz w:val="24"/>
              <w:szCs w:val="24"/>
              <w:lang w:val="en-US"/>
            </w:rPr>
            <w:t>Two independent samples t-tests: Formula &amp; Examples</w:t>
          </w:r>
          <w:r w:rsidRPr="009C6DC2">
            <w:rPr>
              <w:rFonts w:asciiTheme="majorBidi" w:hAnsiTheme="majorBidi" w:cstheme="majorBidi"/>
              <w:noProof/>
              <w:sz w:val="24"/>
              <w:szCs w:val="24"/>
              <w:lang w:val="en-US"/>
            </w:rPr>
            <w:t>. Retrieved 01 17, 2023, from Data Analytics: https://vitalflux.com/two-sample-t-test-formula-examples/</w:t>
          </w:r>
        </w:p>
        <w:p w14:paraId="1CC3BB08" w14:textId="698158F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Kumar, S., Dhir, A., Talwar, S., Chakraborty, D., &amp; Kaur, P. (2021). What drives brand love for natural products? The moderating role of household size. </w:t>
          </w:r>
          <w:r w:rsidRPr="009C6DC2">
            <w:rPr>
              <w:rFonts w:asciiTheme="majorBidi" w:hAnsiTheme="majorBidi" w:cstheme="majorBidi"/>
              <w:i/>
              <w:iCs/>
              <w:noProof/>
              <w:sz w:val="24"/>
              <w:szCs w:val="24"/>
              <w:lang w:val="en-US"/>
            </w:rPr>
            <w:t>Journal of Retailing and Consumer Services, 58</w:t>
          </w:r>
          <w:r w:rsidRPr="009C6DC2">
            <w:rPr>
              <w:rFonts w:asciiTheme="majorBidi" w:hAnsiTheme="majorBidi" w:cstheme="majorBidi"/>
              <w:noProof/>
              <w:sz w:val="24"/>
              <w:szCs w:val="24"/>
              <w:lang w:val="en-US"/>
            </w:rPr>
            <w:t>. doi:https://doi.org/10.1016/j.jretconser.2020.102329</w:t>
          </w:r>
        </w:p>
        <w:p w14:paraId="1BEAF5FA" w14:textId="32158D7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Kumar, V., Sunder, S., &amp; Sharma, A. (2015). </w:t>
          </w:r>
          <w:r w:rsidRPr="009C6DC2">
            <w:rPr>
              <w:rFonts w:asciiTheme="majorBidi" w:hAnsiTheme="majorBidi" w:cstheme="majorBidi"/>
              <w:noProof/>
              <w:sz w:val="24"/>
              <w:szCs w:val="24"/>
              <w:lang w:val="en-US"/>
            </w:rPr>
            <w:t xml:space="preserve">Leveraging Distribution to Maximize Firm Performance in Emerging Markets. </w:t>
          </w:r>
          <w:r w:rsidRPr="009C6DC2">
            <w:rPr>
              <w:rFonts w:asciiTheme="majorBidi" w:hAnsiTheme="majorBidi" w:cstheme="majorBidi"/>
              <w:i/>
              <w:iCs/>
              <w:noProof/>
              <w:sz w:val="24"/>
              <w:szCs w:val="24"/>
              <w:lang w:val="en-US"/>
            </w:rPr>
            <w:t>Journal of Retailing, 91</w:t>
          </w:r>
          <w:r w:rsidRPr="009C6DC2">
            <w:rPr>
              <w:rFonts w:asciiTheme="majorBidi" w:hAnsiTheme="majorBidi" w:cstheme="majorBidi"/>
              <w:noProof/>
              <w:sz w:val="24"/>
              <w:szCs w:val="24"/>
              <w:lang w:val="en-US"/>
            </w:rPr>
            <w:t>(4), 627-643. doi:https://doi.org/10.1016/j.jretai.2014.08.005</w:t>
          </w:r>
        </w:p>
        <w:p w14:paraId="1FEB4A05" w14:textId="623C26B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Kuokkanen, H., &amp; Sun, W. (2020). Companies, Meet Ethical Consumers: Strategic CSR Management to Impact Consumer Choice. </w:t>
          </w:r>
          <w:r w:rsidRPr="009C6DC2">
            <w:rPr>
              <w:rFonts w:asciiTheme="majorBidi" w:hAnsiTheme="majorBidi" w:cstheme="majorBidi"/>
              <w:i/>
              <w:iCs/>
              <w:noProof/>
              <w:sz w:val="24"/>
              <w:szCs w:val="24"/>
              <w:lang w:val="en-US"/>
            </w:rPr>
            <w:t>Journal of Business Ethics, 166</w:t>
          </w:r>
          <w:r w:rsidRPr="009C6DC2">
            <w:rPr>
              <w:rFonts w:asciiTheme="majorBidi" w:hAnsiTheme="majorBidi" w:cstheme="majorBidi"/>
              <w:noProof/>
              <w:sz w:val="24"/>
              <w:szCs w:val="24"/>
              <w:lang w:val="en-US"/>
            </w:rPr>
            <w:t>, 403-423. doi:https://doi.org/10.1007/s10551-019-04145-4</w:t>
          </w:r>
        </w:p>
        <w:p w14:paraId="20835F4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Kwak, D. H., &amp; Kang, J. H. (2009). Symbolic purchase in sport: the roles of self-image congruence and perceived quality. </w:t>
          </w:r>
          <w:r w:rsidRPr="009C6DC2">
            <w:rPr>
              <w:rFonts w:asciiTheme="majorBidi" w:hAnsiTheme="majorBidi" w:cstheme="majorBidi"/>
              <w:i/>
              <w:iCs/>
              <w:noProof/>
              <w:sz w:val="24"/>
              <w:szCs w:val="24"/>
              <w:lang w:val="en-US"/>
            </w:rPr>
            <w:t>Management Decision, 47</w:t>
          </w:r>
          <w:r w:rsidRPr="009C6DC2">
            <w:rPr>
              <w:rFonts w:asciiTheme="majorBidi" w:hAnsiTheme="majorBidi" w:cstheme="majorBidi"/>
              <w:noProof/>
              <w:sz w:val="24"/>
              <w:szCs w:val="24"/>
              <w:lang w:val="en-US"/>
            </w:rPr>
            <w:t>(1), 85-99.</w:t>
          </w:r>
        </w:p>
        <w:p w14:paraId="6AEA3EB7" w14:textId="0324F45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Kwon, E., &amp; Mattila, A. S. (2015). The Effect of Self–Brand Connection and Self-Construal on Brand Lovers’ Word of Mouth (WOM). </w:t>
          </w:r>
          <w:r w:rsidRPr="009C6DC2">
            <w:rPr>
              <w:rFonts w:asciiTheme="majorBidi" w:hAnsiTheme="majorBidi" w:cstheme="majorBidi"/>
              <w:i/>
              <w:iCs/>
              <w:noProof/>
              <w:sz w:val="24"/>
              <w:szCs w:val="24"/>
              <w:lang w:val="en-US"/>
            </w:rPr>
            <w:t>Cornell Hospital Quarterly, 56</w:t>
          </w:r>
          <w:r w:rsidRPr="009C6DC2">
            <w:rPr>
              <w:rFonts w:asciiTheme="majorBidi" w:hAnsiTheme="majorBidi" w:cstheme="majorBidi"/>
              <w:noProof/>
              <w:sz w:val="24"/>
              <w:szCs w:val="24"/>
              <w:lang w:val="en-US"/>
            </w:rPr>
            <w:t>(04). doi:https://doi.org/10.1177/1938965514566071</w:t>
          </w:r>
        </w:p>
        <w:p w14:paraId="3774E73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Lam, S. K., Ahearne, M., Mullins, R., Hayati, B., &amp; Schillewaert , N. (2013). Exploring the dynamics of antecedents to consumer–brand identification with a new brand. </w:t>
          </w:r>
          <w:r w:rsidRPr="009C6DC2">
            <w:rPr>
              <w:rFonts w:asciiTheme="majorBidi" w:hAnsiTheme="majorBidi" w:cstheme="majorBidi"/>
              <w:i/>
              <w:iCs/>
              <w:noProof/>
              <w:sz w:val="24"/>
              <w:szCs w:val="24"/>
              <w:lang w:val="en-US"/>
            </w:rPr>
            <w:t>Journal of the Academy of Marketing Science, 41</w:t>
          </w:r>
          <w:r w:rsidRPr="009C6DC2">
            <w:rPr>
              <w:rFonts w:asciiTheme="majorBidi" w:hAnsiTheme="majorBidi" w:cstheme="majorBidi"/>
              <w:noProof/>
              <w:sz w:val="24"/>
              <w:szCs w:val="24"/>
              <w:lang w:val="en-US"/>
            </w:rPr>
            <w:t>, 234–252. doi:https://doi.org/10.1007/s11747-012-0301-x</w:t>
          </w:r>
        </w:p>
        <w:p w14:paraId="1AD7292F" w14:textId="2B9FE8F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Lamy, E. (2023). Epistemic Responsibility in Business: An Integrative Framework for an Epistemic Ethics. </w:t>
          </w:r>
          <w:r w:rsidRPr="009C6DC2">
            <w:rPr>
              <w:rFonts w:asciiTheme="majorBidi" w:hAnsiTheme="majorBidi" w:cstheme="majorBidi"/>
              <w:i/>
              <w:iCs/>
              <w:noProof/>
              <w:sz w:val="24"/>
              <w:szCs w:val="24"/>
              <w:lang w:val="en-US"/>
            </w:rPr>
            <w:t>Journal of Business Ethics, 183</w:t>
          </w:r>
          <w:r w:rsidRPr="009C6DC2">
            <w:rPr>
              <w:rFonts w:asciiTheme="majorBidi" w:hAnsiTheme="majorBidi" w:cstheme="majorBidi"/>
              <w:noProof/>
              <w:sz w:val="24"/>
              <w:szCs w:val="24"/>
              <w:lang w:val="en-US"/>
            </w:rPr>
            <w:t>, 1-14. Retrieved 08 03, 2023, from https://doi-org.lsbu.idm.oclc.org/10.1007/s10551-022-05078-1</w:t>
          </w:r>
        </w:p>
        <w:p w14:paraId="4B53C1BF" w14:textId="60FCF7A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Lang, C., &amp; Wei , B. (2019). Convert one outfit to more looks: factors influencing young female college consumers’ intention to purchase transformable apparel. </w:t>
          </w:r>
          <w:r w:rsidRPr="009C6DC2">
            <w:rPr>
              <w:rFonts w:asciiTheme="majorBidi" w:hAnsiTheme="majorBidi" w:cstheme="majorBidi"/>
              <w:i/>
              <w:iCs/>
              <w:noProof/>
              <w:sz w:val="24"/>
              <w:szCs w:val="24"/>
              <w:lang w:val="en-US"/>
            </w:rPr>
            <w:t>International Journal of Interdisciplinary Research, 26</w:t>
          </w:r>
          <w:r w:rsidRPr="009C6DC2">
            <w:rPr>
              <w:rFonts w:asciiTheme="majorBidi" w:hAnsiTheme="majorBidi" w:cstheme="majorBidi"/>
              <w:noProof/>
              <w:sz w:val="24"/>
              <w:szCs w:val="24"/>
              <w:lang w:val="en-US"/>
            </w:rPr>
            <w:t>. doi:https://doi.org/10.1186/s40691-019-0182-4</w:t>
          </w:r>
        </w:p>
        <w:p w14:paraId="673C95C6" w14:textId="15E92555" w:rsidR="006E2490"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LaPiere, R. T. (1934). Attitudes versus Actions. </w:t>
          </w:r>
          <w:r w:rsidRPr="009C6DC2">
            <w:rPr>
              <w:rFonts w:asciiTheme="majorBidi" w:hAnsiTheme="majorBidi" w:cstheme="majorBidi"/>
              <w:i/>
              <w:iCs/>
              <w:noProof/>
              <w:sz w:val="24"/>
              <w:szCs w:val="24"/>
              <w:lang w:val="en-US"/>
            </w:rPr>
            <w:t>Social Forces, 13</w:t>
          </w:r>
          <w:r w:rsidRPr="009C6DC2">
            <w:rPr>
              <w:rFonts w:asciiTheme="majorBidi" w:hAnsiTheme="majorBidi" w:cstheme="majorBidi"/>
              <w:noProof/>
              <w:sz w:val="24"/>
              <w:szCs w:val="24"/>
              <w:lang w:val="en-US"/>
            </w:rPr>
            <w:t>(2), 230-237. doi:https://doi.org/10.2307/2570339</w:t>
          </w:r>
        </w:p>
        <w:p w14:paraId="1A4AC185" w14:textId="77777777" w:rsidR="006E2490" w:rsidRPr="009C6DC2" w:rsidRDefault="006E2490" w:rsidP="006E2490">
          <w:pPr>
            <w:ind w:left="720" w:hanging="720"/>
            <w:rPr>
              <w:rFonts w:asciiTheme="majorBidi" w:hAnsiTheme="majorBidi" w:cstheme="majorBidi"/>
              <w:noProof/>
              <w:sz w:val="24"/>
              <w:szCs w:val="24"/>
              <w:lang w:val="en-US"/>
            </w:rPr>
          </w:pPr>
          <w:r w:rsidRPr="00D97EC8">
            <w:rPr>
              <w:rFonts w:asciiTheme="majorBidi" w:hAnsiTheme="majorBidi" w:cstheme="majorBidi"/>
              <w:noProof/>
              <w:sz w:val="24"/>
              <w:szCs w:val="24"/>
              <w:lang w:val="en-US"/>
            </w:rPr>
            <w:t>Laroche, M., Vinhal Nepomuceno, M., &amp; Richard, M. O. (2014). Congruency of humour and cultural values in print ads: Cross-cultural differences among the US, France and China. International Journal of Advertising, 33(4), 681-705.</w:t>
          </w:r>
        </w:p>
        <w:p w14:paraId="40EED712" w14:textId="2AED05C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Lassoued, R., &amp; Hobbs, J. E. (2015). Consumer confidence in credence attributes: the role of brand trust. </w:t>
          </w:r>
          <w:r w:rsidRPr="009C6DC2">
            <w:rPr>
              <w:rFonts w:asciiTheme="majorBidi" w:hAnsiTheme="majorBidi" w:cstheme="majorBidi"/>
              <w:i/>
              <w:iCs/>
              <w:noProof/>
              <w:sz w:val="24"/>
              <w:szCs w:val="24"/>
              <w:lang w:val="en-US"/>
            </w:rPr>
            <w:t>Food Policy, 52</w:t>
          </w:r>
          <w:r w:rsidRPr="009C6DC2">
            <w:rPr>
              <w:rFonts w:asciiTheme="majorBidi" w:hAnsiTheme="majorBidi" w:cstheme="majorBidi"/>
              <w:noProof/>
              <w:sz w:val="24"/>
              <w:szCs w:val="24"/>
              <w:lang w:val="en-US"/>
            </w:rPr>
            <w:t>, 99-107. doi:https://doi.org/10.1016/j.foodpol.2014.12.003</w:t>
          </w:r>
        </w:p>
        <w:p w14:paraId="25BD998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Latifa, S., &amp; Calicioglub, C. (2020). Impact of Social Media Advertisement on Consumer Purchase Intention with the Intermediary Effect of Brand Attitude. </w:t>
          </w:r>
          <w:r w:rsidRPr="009C6DC2">
            <w:rPr>
              <w:rFonts w:asciiTheme="majorBidi" w:hAnsiTheme="majorBidi" w:cstheme="majorBidi"/>
              <w:i/>
              <w:iCs/>
              <w:noProof/>
              <w:sz w:val="24"/>
              <w:szCs w:val="24"/>
              <w:lang w:val="en-US"/>
            </w:rPr>
            <w:t>International Journal of Innovation, Creativity and Change., 11</w:t>
          </w:r>
          <w:r w:rsidRPr="009C6DC2">
            <w:rPr>
              <w:rFonts w:asciiTheme="majorBidi" w:hAnsiTheme="majorBidi" w:cstheme="majorBidi"/>
              <w:noProof/>
              <w:sz w:val="24"/>
              <w:szCs w:val="24"/>
              <w:lang w:val="en-US"/>
            </w:rPr>
            <w:t>(12). Retrieved 02 21, 2023, from https://www.semanticscholar.org/paper/Impact-of-Social-Media-Advertisement-on-Consumer-of-Latifa-Calicioglub/a5426eda9e43c4d0173e87ed965a2d41d78d41d4</w:t>
          </w:r>
        </w:p>
        <w:p w14:paraId="75B73DD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Law, P. K. (2010). A theory of reasoned action model of accounting students’ career choice in public accounting practices in the post-Enron. </w:t>
          </w:r>
          <w:r w:rsidRPr="009C6DC2">
            <w:rPr>
              <w:rFonts w:asciiTheme="majorBidi" w:hAnsiTheme="majorBidi" w:cstheme="majorBidi"/>
              <w:i/>
              <w:iCs/>
              <w:noProof/>
              <w:sz w:val="24"/>
              <w:szCs w:val="24"/>
              <w:lang w:val="en-US"/>
            </w:rPr>
            <w:t>Journal of Applied Accounting, 11</w:t>
          </w:r>
          <w:r w:rsidRPr="009C6DC2">
            <w:rPr>
              <w:rFonts w:asciiTheme="majorBidi" w:hAnsiTheme="majorBidi" w:cstheme="majorBidi"/>
              <w:noProof/>
              <w:sz w:val="24"/>
              <w:szCs w:val="24"/>
              <w:lang w:val="en-US"/>
            </w:rPr>
            <w:t>(1), 58-73. doi:https://doi.org/10.1108/09675421011050036</w:t>
          </w:r>
        </w:p>
        <w:p w14:paraId="11CC0F44" w14:textId="2EF609F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Leary, M. R. (2021). Emotional reactions to threats to acceptance and belonging: a retrospective look at the big picture. </w:t>
          </w:r>
          <w:r w:rsidRPr="009C6DC2">
            <w:rPr>
              <w:rFonts w:asciiTheme="majorBidi" w:hAnsiTheme="majorBidi" w:cstheme="majorBidi"/>
              <w:i/>
              <w:iCs/>
              <w:noProof/>
              <w:sz w:val="24"/>
              <w:szCs w:val="24"/>
              <w:lang w:val="en-US"/>
            </w:rPr>
            <w:t>Australian Journal of Psychology, 73</w:t>
          </w:r>
          <w:r w:rsidRPr="009C6DC2">
            <w:rPr>
              <w:rFonts w:asciiTheme="majorBidi" w:hAnsiTheme="majorBidi" w:cstheme="majorBidi"/>
              <w:noProof/>
              <w:sz w:val="24"/>
              <w:szCs w:val="24"/>
              <w:lang w:val="en-US"/>
            </w:rPr>
            <w:t>(01), 4-11. Retrieved 08 23, 2022, from https://doi.org/10.1080/00049530.2021.1883410</w:t>
          </w:r>
        </w:p>
        <w:p w14:paraId="5C7252FB" w14:textId="05EC446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Lechien, J. R., Bobin, F., Muls, V., Thill, M.-P., Horoi, M., Ostermann, K., . . . Saussez, S. (2019</w:t>
          </w:r>
          <w:r w:rsidR="00AD0123">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Validity and reliability of the reflux symptom score. </w:t>
          </w:r>
          <w:r w:rsidRPr="009C6DC2">
            <w:rPr>
              <w:rFonts w:asciiTheme="majorBidi" w:hAnsiTheme="majorBidi" w:cstheme="majorBidi"/>
              <w:i/>
              <w:iCs/>
              <w:noProof/>
              <w:sz w:val="24"/>
              <w:szCs w:val="24"/>
              <w:lang w:val="en-US"/>
            </w:rPr>
            <w:t>The Laryngoscope, 130</w:t>
          </w:r>
          <w:r w:rsidRPr="009C6DC2">
            <w:rPr>
              <w:rFonts w:asciiTheme="majorBidi" w:hAnsiTheme="majorBidi" w:cstheme="majorBidi"/>
              <w:noProof/>
              <w:sz w:val="24"/>
              <w:szCs w:val="24"/>
              <w:lang w:val="en-US"/>
            </w:rPr>
            <w:t>(3), 98-107. doi: https://doi.org/10.1002/lary.28017</w:t>
          </w:r>
        </w:p>
        <w:p w14:paraId="28E658A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Leclerc, F., &amp; Little, J. D. (1997). Can Advertising Copy Make FSI Coupons More Effective? </w:t>
          </w:r>
          <w:r w:rsidRPr="009C6DC2">
            <w:rPr>
              <w:rFonts w:asciiTheme="majorBidi" w:hAnsiTheme="majorBidi" w:cstheme="majorBidi"/>
              <w:i/>
              <w:iCs/>
              <w:noProof/>
              <w:sz w:val="24"/>
              <w:szCs w:val="24"/>
              <w:lang w:val="en-US"/>
            </w:rPr>
            <w:t>Journal of Marketing Research, 34</w:t>
          </w:r>
          <w:r w:rsidRPr="009C6DC2">
            <w:rPr>
              <w:rFonts w:asciiTheme="majorBidi" w:hAnsiTheme="majorBidi" w:cstheme="majorBidi"/>
              <w:noProof/>
              <w:sz w:val="24"/>
              <w:szCs w:val="24"/>
              <w:lang w:val="en-US"/>
            </w:rPr>
            <w:t>(4), 473-483. doi:https://doi.org/10.1177/002224379703400405</w:t>
          </w:r>
        </w:p>
        <w:p w14:paraId="27E2CC1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Lee, C. (1991). Modifying an American Consumer Behavior Model for Consumers in Confucian Culture: Model for Consumers in Confucian Culture: The Case of Fishbein Behavioral Intention Model. </w:t>
          </w:r>
          <w:r w:rsidRPr="009C6DC2">
            <w:rPr>
              <w:rFonts w:asciiTheme="majorBidi" w:hAnsiTheme="majorBidi" w:cstheme="majorBidi"/>
              <w:i/>
              <w:iCs/>
              <w:noProof/>
              <w:sz w:val="24"/>
              <w:szCs w:val="24"/>
              <w:lang w:val="en-US"/>
            </w:rPr>
            <w:t>Journal of International Consumer Marketing, 3</w:t>
          </w:r>
          <w:r w:rsidRPr="009C6DC2">
            <w:rPr>
              <w:rFonts w:asciiTheme="majorBidi" w:hAnsiTheme="majorBidi" w:cstheme="majorBidi"/>
              <w:noProof/>
              <w:sz w:val="24"/>
              <w:szCs w:val="24"/>
              <w:lang w:val="en-US"/>
            </w:rPr>
            <w:t>(1), 27-50.</w:t>
          </w:r>
        </w:p>
        <w:p w14:paraId="42BD5425" w14:textId="77777777"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C.-K., Song, H.-J., Lee, H.-M., Lee, S., &amp; Bernhard, B. J. (2013). The impact of CSR on casino employees’ organizational trust, job satisfaction, and customer orientation: An empirical examination of responsible gambling. </w:t>
          </w:r>
          <w:r w:rsidRPr="00012430">
            <w:rPr>
              <w:rFonts w:asciiTheme="majorBidi" w:hAnsiTheme="majorBidi" w:cstheme="majorBidi"/>
              <w:i/>
              <w:iCs/>
              <w:noProof/>
              <w:sz w:val="24"/>
              <w:szCs w:val="24"/>
              <w:lang w:val="en-US"/>
            </w:rPr>
            <w:t>International Journal of Hospitality and Management</w:t>
          </w:r>
          <w:r w:rsidRPr="00012430">
            <w:rPr>
              <w:rFonts w:asciiTheme="majorBidi" w:hAnsiTheme="majorBidi" w:cstheme="majorBidi"/>
              <w:noProof/>
              <w:sz w:val="24"/>
              <w:szCs w:val="24"/>
              <w:lang w:val="en-US"/>
            </w:rPr>
            <w:t>, 406-415. doi:http://dx.doi.org/10.1016/j.ijhm.2012.10.011</w:t>
          </w:r>
        </w:p>
        <w:p w14:paraId="7451E096" w14:textId="6BA962F9"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sv-SE"/>
            </w:rPr>
            <w:t xml:space="preserve">Lee, E. M., Park, S.-Y., &amp; Lee, H. J. (2013). </w:t>
          </w:r>
          <w:r w:rsidRPr="00012430">
            <w:rPr>
              <w:rFonts w:asciiTheme="majorBidi" w:hAnsiTheme="majorBidi" w:cstheme="majorBidi"/>
              <w:noProof/>
              <w:sz w:val="24"/>
              <w:szCs w:val="24"/>
              <w:lang w:val="en-US"/>
            </w:rPr>
            <w:t xml:space="preserve">Employee perception of CSR activities: Its antecedents and consequences. </w:t>
          </w:r>
          <w:r w:rsidRPr="00012430">
            <w:rPr>
              <w:rFonts w:asciiTheme="majorBidi" w:hAnsiTheme="majorBidi" w:cstheme="majorBidi"/>
              <w:i/>
              <w:iCs/>
              <w:noProof/>
              <w:sz w:val="24"/>
              <w:szCs w:val="24"/>
              <w:lang w:val="en-US"/>
            </w:rPr>
            <w:t>Journal of Business Research, 66</w:t>
          </w:r>
          <w:r w:rsidRPr="00012430">
            <w:rPr>
              <w:rFonts w:asciiTheme="majorBidi" w:hAnsiTheme="majorBidi" w:cstheme="majorBidi"/>
              <w:noProof/>
              <w:sz w:val="24"/>
              <w:szCs w:val="24"/>
              <w:lang w:val="en-US"/>
            </w:rPr>
            <w:t>(10), 1716-1724. doi:https://doi.org/10.1016/j.jbusres.2012.11.008</w:t>
          </w:r>
        </w:p>
        <w:p w14:paraId="0421CFD5" w14:textId="77777777"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J., &amp; Lee, Y. (2015). The interactions of CSR, self-congruity and purchase intention among Chinese consumers. </w:t>
          </w:r>
          <w:r w:rsidRPr="00012430">
            <w:rPr>
              <w:rFonts w:asciiTheme="majorBidi" w:hAnsiTheme="majorBidi" w:cstheme="majorBidi"/>
              <w:i/>
              <w:iCs/>
              <w:noProof/>
              <w:sz w:val="24"/>
              <w:szCs w:val="24"/>
              <w:lang w:val="en-US"/>
            </w:rPr>
            <w:t>Australasian Marketing Journal</w:t>
          </w:r>
          <w:r w:rsidRPr="00012430">
            <w:rPr>
              <w:rFonts w:asciiTheme="majorBidi" w:hAnsiTheme="majorBidi" w:cstheme="majorBidi"/>
              <w:noProof/>
              <w:sz w:val="24"/>
              <w:szCs w:val="24"/>
              <w:lang w:val="en-US"/>
            </w:rPr>
            <w:t>, 19-26. doi:http://dx.doi.org/10.1016/j.ausmj.2015.01.003</w:t>
          </w:r>
        </w:p>
        <w:p w14:paraId="202EE33E" w14:textId="77777777"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N. R., &amp; Kotler, P. (2020). </w:t>
          </w:r>
          <w:r w:rsidRPr="00012430">
            <w:rPr>
              <w:rFonts w:asciiTheme="majorBidi" w:hAnsiTheme="majorBidi" w:cstheme="majorBidi"/>
              <w:i/>
              <w:iCs/>
              <w:noProof/>
              <w:sz w:val="24"/>
              <w:szCs w:val="24"/>
              <w:lang w:val="en-US"/>
            </w:rPr>
            <w:t>Social marketing : behavior change for social good.</w:t>
          </w:r>
          <w:r w:rsidRPr="00012430">
            <w:rPr>
              <w:rFonts w:asciiTheme="majorBidi" w:hAnsiTheme="majorBidi" w:cstheme="majorBidi"/>
              <w:noProof/>
              <w:sz w:val="24"/>
              <w:szCs w:val="24"/>
              <w:lang w:val="en-US"/>
            </w:rPr>
            <w:t xml:space="preserve"> Retrieved 06 03, 2023, from https://search.library.uq.edu.au/permalink/f/l3gdeh/61UQ_ALMA21256418770003131</w:t>
          </w:r>
        </w:p>
        <w:p w14:paraId="41D0723A" w14:textId="77777777"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S. A., &amp; Jeong, M. (2014). Enhancing online brand experiences: an application of congruity theory. </w:t>
          </w:r>
          <w:r w:rsidRPr="00012430">
            <w:rPr>
              <w:rFonts w:asciiTheme="majorBidi" w:hAnsiTheme="majorBidi" w:cstheme="majorBidi"/>
              <w:i/>
              <w:iCs/>
              <w:noProof/>
              <w:sz w:val="24"/>
              <w:szCs w:val="24"/>
              <w:lang w:val="en-US"/>
            </w:rPr>
            <w:t>International Journal of Hospitality Management, 40</w:t>
          </w:r>
          <w:r w:rsidRPr="00012430">
            <w:rPr>
              <w:rFonts w:asciiTheme="majorBidi" w:hAnsiTheme="majorBidi" w:cstheme="majorBidi"/>
              <w:noProof/>
              <w:sz w:val="24"/>
              <w:szCs w:val="24"/>
              <w:lang w:val="en-US"/>
            </w:rPr>
            <w:t>(1), 49-58. Retrieved 03 07, 2023</w:t>
          </w:r>
        </w:p>
        <w:p w14:paraId="74BAF774" w14:textId="05E65E56"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S. Y., Kim, Y., &amp; Kim, Y. (2021). Engaging consumers with corporate social responsibility campaigns: The roles of interactivity, psychological empowerment, and identification. </w:t>
          </w:r>
          <w:r w:rsidRPr="00012430">
            <w:rPr>
              <w:rFonts w:asciiTheme="majorBidi" w:hAnsiTheme="majorBidi" w:cstheme="majorBidi"/>
              <w:i/>
              <w:iCs/>
              <w:noProof/>
              <w:sz w:val="24"/>
              <w:szCs w:val="24"/>
              <w:lang w:val="en-US"/>
            </w:rPr>
            <w:t>Journal of Business Research</w:t>
          </w:r>
          <w:r w:rsidRPr="00012430">
            <w:rPr>
              <w:rFonts w:asciiTheme="majorBidi" w:hAnsiTheme="majorBidi" w:cstheme="majorBidi"/>
              <w:noProof/>
              <w:sz w:val="24"/>
              <w:szCs w:val="24"/>
              <w:lang w:val="en-US"/>
            </w:rPr>
            <w:t>, 507-517. doi:https://doi.org/10.1016/j.jbusres.2021.05.062</w:t>
          </w:r>
        </w:p>
        <w:p w14:paraId="43B41BEB" w14:textId="77777777"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S. Y., Zhang, W., &amp; Abitbol , A. (2019). What Makes CSR Communication Lead to CSR Participation? Testing the Mediating Effects of CSR Associations, CSR Credibility, and Organization–Public Relationships. </w:t>
          </w:r>
          <w:r w:rsidRPr="00012430">
            <w:rPr>
              <w:rFonts w:asciiTheme="majorBidi" w:hAnsiTheme="majorBidi" w:cstheme="majorBidi"/>
              <w:i/>
              <w:iCs/>
              <w:noProof/>
              <w:sz w:val="24"/>
              <w:szCs w:val="24"/>
              <w:lang w:val="en-US"/>
            </w:rPr>
            <w:t>Journal of Business Ethics</w:t>
          </w:r>
          <w:r w:rsidRPr="00012430">
            <w:rPr>
              <w:rFonts w:asciiTheme="majorBidi" w:hAnsiTheme="majorBidi" w:cstheme="majorBidi"/>
              <w:noProof/>
              <w:sz w:val="24"/>
              <w:szCs w:val="24"/>
              <w:lang w:val="en-US"/>
            </w:rPr>
            <w:t>, 413-429. doi:10.1007/s10551-017-3609-0</w:t>
          </w:r>
        </w:p>
        <w:p w14:paraId="6F9FED18" w14:textId="75E2F302"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W. S., Moon, J., &amp; Song, M. (2018). Attributes of the coffee shop business related to customer satisfaction. </w:t>
          </w:r>
          <w:r w:rsidRPr="00012430">
            <w:rPr>
              <w:rFonts w:asciiTheme="majorBidi" w:hAnsiTheme="majorBidi" w:cstheme="majorBidi"/>
              <w:i/>
              <w:iCs/>
              <w:noProof/>
              <w:sz w:val="24"/>
              <w:szCs w:val="24"/>
              <w:lang w:val="en-US"/>
            </w:rPr>
            <w:t>Journal of Foodservice Business Research, 21</w:t>
          </w:r>
          <w:r w:rsidRPr="00012430">
            <w:rPr>
              <w:rFonts w:asciiTheme="majorBidi" w:hAnsiTheme="majorBidi" w:cstheme="majorBidi"/>
              <w:noProof/>
              <w:sz w:val="24"/>
              <w:szCs w:val="24"/>
              <w:lang w:val="en-US"/>
            </w:rPr>
            <w:t>(6), 628-641. doi:https://doi.org/10.1080/15378020.2018.1524227</w:t>
          </w:r>
        </w:p>
        <w:p w14:paraId="6557B30B" w14:textId="37509C90"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W.-C. J., Shimizu, M., Kniffin, K. M., &amp; Wansink, B. (2013). You taste what you see: Do organic labels bias taste perceptions? </w:t>
          </w:r>
          <w:r w:rsidRPr="00012430">
            <w:rPr>
              <w:rFonts w:asciiTheme="majorBidi" w:hAnsiTheme="majorBidi" w:cstheme="majorBidi"/>
              <w:i/>
              <w:iCs/>
              <w:noProof/>
              <w:sz w:val="24"/>
              <w:szCs w:val="24"/>
              <w:lang w:val="en-US"/>
            </w:rPr>
            <w:t>Food Quality and Preference, 39</w:t>
          </w:r>
          <w:r w:rsidRPr="00012430">
            <w:rPr>
              <w:rFonts w:asciiTheme="majorBidi" w:hAnsiTheme="majorBidi" w:cstheme="majorBidi"/>
              <w:noProof/>
              <w:sz w:val="24"/>
              <w:szCs w:val="24"/>
              <w:lang w:val="en-US"/>
            </w:rPr>
            <w:t>(1), 33-39. doi:https://doi.org/10.1016/j.foodqual.2013.01.010</w:t>
          </w:r>
        </w:p>
        <w:p w14:paraId="707C9A9D" w14:textId="0738D1B2"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Y. H. (2013). Manipulating Ad Message Involvement through Information Expectancy: Effects on Attitude Evaluation and Confidence. (T. &amp;. Francis, Ed.) </w:t>
          </w:r>
          <w:r w:rsidRPr="00012430">
            <w:rPr>
              <w:rFonts w:asciiTheme="majorBidi" w:hAnsiTheme="majorBidi" w:cstheme="majorBidi"/>
              <w:i/>
              <w:iCs/>
              <w:noProof/>
              <w:sz w:val="24"/>
              <w:szCs w:val="24"/>
              <w:lang w:val="en-US"/>
            </w:rPr>
            <w:t>Journal of Advertising, 29</w:t>
          </w:r>
          <w:r w:rsidRPr="00012430">
            <w:rPr>
              <w:rFonts w:asciiTheme="majorBidi" w:hAnsiTheme="majorBidi" w:cstheme="majorBidi"/>
              <w:noProof/>
              <w:sz w:val="24"/>
              <w:szCs w:val="24"/>
              <w:lang w:val="en-US"/>
            </w:rPr>
            <w:t>(02), 29-43. doi:https://doi.org/10.1080/00913367.2000.10673607</w:t>
          </w:r>
        </w:p>
        <w:p w14:paraId="77446F45" w14:textId="149F54C7" w:rsidR="006E2490" w:rsidRPr="00012430"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Y., &amp; Lin, C. A. (2021). The effects of a sustainable vs conventional apparel advertisement on consumer perception of CSR image and attitude toward the brand. </w:t>
          </w:r>
          <w:r w:rsidRPr="00012430">
            <w:rPr>
              <w:rFonts w:asciiTheme="majorBidi" w:hAnsiTheme="majorBidi" w:cstheme="majorBidi"/>
              <w:i/>
              <w:iCs/>
              <w:noProof/>
              <w:sz w:val="24"/>
              <w:szCs w:val="24"/>
              <w:lang w:val="en-US"/>
            </w:rPr>
            <w:t>Corporate Communications: An International Journal, 27</w:t>
          </w:r>
          <w:r w:rsidRPr="00012430">
            <w:rPr>
              <w:rFonts w:asciiTheme="majorBidi" w:hAnsiTheme="majorBidi" w:cstheme="majorBidi"/>
              <w:noProof/>
              <w:sz w:val="24"/>
              <w:szCs w:val="24"/>
              <w:lang w:val="en-US"/>
            </w:rPr>
            <w:t>(2), 388-403. doi: https://doi.org/10.1108/CCIJ-05-2021-0051</w:t>
          </w:r>
        </w:p>
        <w:p w14:paraId="176D9C2F" w14:textId="77777777" w:rsidR="006E2490" w:rsidRPr="009C6DC2" w:rsidRDefault="006E2490" w:rsidP="006E2490">
          <w:pPr>
            <w:ind w:left="720" w:hanging="720"/>
            <w:rPr>
              <w:rFonts w:asciiTheme="majorBidi" w:hAnsiTheme="majorBidi" w:cstheme="majorBidi"/>
              <w:noProof/>
              <w:sz w:val="24"/>
              <w:szCs w:val="24"/>
              <w:lang w:val="en-US"/>
            </w:rPr>
          </w:pPr>
          <w:r w:rsidRPr="00012430">
            <w:rPr>
              <w:rFonts w:asciiTheme="majorBidi" w:hAnsiTheme="majorBidi" w:cstheme="majorBidi"/>
              <w:noProof/>
              <w:sz w:val="24"/>
              <w:szCs w:val="24"/>
              <w:lang w:val="en-US"/>
            </w:rPr>
            <w:t xml:space="preserve">Lee, Y.-J., &amp; Haley, E. (2019). Role of variability in cultural dimensions across generations in the context of CSR advertising in an East Asian market. </w:t>
          </w:r>
          <w:r w:rsidRPr="00012430">
            <w:rPr>
              <w:rFonts w:asciiTheme="majorBidi" w:hAnsiTheme="majorBidi" w:cstheme="majorBidi"/>
              <w:i/>
              <w:iCs/>
              <w:noProof/>
              <w:sz w:val="24"/>
              <w:szCs w:val="24"/>
              <w:lang w:val="en-US"/>
            </w:rPr>
            <w:t>International Journal of Advertising, 30</w:t>
          </w:r>
          <w:r w:rsidRPr="00012430">
            <w:rPr>
              <w:rFonts w:asciiTheme="majorBidi" w:hAnsiTheme="majorBidi" w:cstheme="majorBidi"/>
              <w:noProof/>
              <w:sz w:val="24"/>
              <w:szCs w:val="24"/>
              <w:lang w:val="en-US"/>
            </w:rPr>
            <w:t>(1), 116-138. doi:https://doi.org/10.1080/02650487.2017.1405582</w:t>
          </w:r>
        </w:p>
        <w:p w14:paraId="630D832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Levy, S. J. (1959). Symbols for Sale. </w:t>
          </w:r>
          <w:r w:rsidRPr="009C6DC2">
            <w:rPr>
              <w:rFonts w:asciiTheme="majorBidi" w:hAnsiTheme="majorBidi" w:cstheme="majorBidi"/>
              <w:i/>
              <w:iCs/>
              <w:noProof/>
              <w:sz w:val="24"/>
              <w:szCs w:val="24"/>
              <w:lang w:val="en-US"/>
            </w:rPr>
            <w:t>Harvard Business Review, 37</w:t>
          </w:r>
          <w:r w:rsidRPr="009C6DC2">
            <w:rPr>
              <w:rFonts w:asciiTheme="majorBidi" w:hAnsiTheme="majorBidi" w:cstheme="majorBidi"/>
              <w:noProof/>
              <w:sz w:val="24"/>
              <w:szCs w:val="24"/>
              <w:lang w:val="en-US"/>
            </w:rPr>
            <w:t>(4), 117-124.</w:t>
          </w:r>
        </w:p>
        <w:p w14:paraId="186C4A7A" w14:textId="566AB8F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Lewinski, P., Fransen, M., &amp; Tan, E. S. (2014). </w:t>
          </w:r>
          <w:r w:rsidRPr="009C6DC2">
            <w:rPr>
              <w:rFonts w:asciiTheme="majorBidi" w:hAnsiTheme="majorBidi" w:cstheme="majorBidi"/>
              <w:noProof/>
              <w:sz w:val="24"/>
              <w:szCs w:val="24"/>
              <w:lang w:val="en-US"/>
            </w:rPr>
            <w:t xml:space="preserve">Predicting Advertising Effectiveness by Facial Expressions in Response to Amusing Persuasive Stimuli. </w:t>
          </w:r>
          <w:r w:rsidRPr="009C6DC2">
            <w:rPr>
              <w:rFonts w:asciiTheme="majorBidi" w:hAnsiTheme="majorBidi" w:cstheme="majorBidi"/>
              <w:i/>
              <w:iCs/>
              <w:noProof/>
              <w:sz w:val="24"/>
              <w:szCs w:val="24"/>
              <w:lang w:val="en-US"/>
            </w:rPr>
            <w:t>Journal of Neuroscience Psychology and Economics, 07</w:t>
          </w:r>
          <w:r w:rsidRPr="009C6DC2">
            <w:rPr>
              <w:rFonts w:asciiTheme="majorBidi" w:hAnsiTheme="majorBidi" w:cstheme="majorBidi"/>
              <w:noProof/>
              <w:sz w:val="24"/>
              <w:szCs w:val="24"/>
              <w:lang w:val="en-US"/>
            </w:rPr>
            <w:t>(01). doi:10.1037/npe0000012</w:t>
          </w:r>
        </w:p>
        <w:p w14:paraId="0D71FAB9" w14:textId="64A90B1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Lewis , J., &amp; Sauro, J. (2021). Revisiting the Evidence for the Left-Side Bias in Rating Scales. </w:t>
          </w:r>
          <w:r w:rsidRPr="009C6DC2">
            <w:rPr>
              <w:rFonts w:asciiTheme="majorBidi" w:hAnsiTheme="majorBidi" w:cstheme="majorBidi"/>
              <w:i/>
              <w:iCs/>
              <w:noProof/>
              <w:sz w:val="24"/>
              <w:szCs w:val="24"/>
              <w:lang w:val="en-US"/>
            </w:rPr>
            <w:t>MeasuringU</w:t>
          </w:r>
          <w:r w:rsidRPr="009C6DC2">
            <w:rPr>
              <w:rFonts w:asciiTheme="majorBidi" w:hAnsiTheme="majorBidi" w:cstheme="majorBidi"/>
              <w:noProof/>
              <w:sz w:val="24"/>
              <w:szCs w:val="24"/>
              <w:lang w:val="en-US"/>
            </w:rPr>
            <w:t>. Retrieved 07 31, 2022, from https://measuringu.com/revisiting-the-left-side-bias/</w:t>
          </w:r>
        </w:p>
        <w:p w14:paraId="68AC3AD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Lewis, J. R. (2019). Comparison of Four TAM Item Formats: Effect of Response Option Labels and Order. </w:t>
          </w:r>
          <w:r w:rsidRPr="009C6DC2">
            <w:rPr>
              <w:rFonts w:asciiTheme="majorBidi" w:hAnsiTheme="majorBidi" w:cstheme="majorBidi"/>
              <w:i/>
              <w:iCs/>
              <w:noProof/>
              <w:sz w:val="24"/>
              <w:szCs w:val="24"/>
              <w:lang w:val="en-US"/>
            </w:rPr>
            <w:t>Journal of User Experience, 14</w:t>
          </w:r>
          <w:r w:rsidRPr="009C6DC2">
            <w:rPr>
              <w:rFonts w:asciiTheme="majorBidi" w:hAnsiTheme="majorBidi" w:cstheme="majorBidi"/>
              <w:noProof/>
              <w:sz w:val="24"/>
              <w:szCs w:val="24"/>
              <w:lang w:val="en-US"/>
            </w:rPr>
            <w:t>(04), 224-236. Retrieved 07 31, 2022, from https://uxpajournal.org/tam-formats-effect-response-labels-order/</w:t>
          </w:r>
        </w:p>
        <w:p w14:paraId="325AF7D8" w14:textId="08AE5879"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Li, D., &amp; Watanabe, N. M. (2022). </w:t>
          </w:r>
          <w:r w:rsidRPr="009C6DC2">
            <w:rPr>
              <w:rFonts w:asciiTheme="majorBidi" w:hAnsiTheme="majorBidi" w:cstheme="majorBidi"/>
              <w:noProof/>
              <w:sz w:val="24"/>
              <w:szCs w:val="24"/>
              <w:lang w:val="en-US"/>
            </w:rPr>
            <w:t xml:space="preserve">Effects of Super Bowl advertising on online brand search: ten years of insights from 2011 to 2020. </w:t>
          </w:r>
          <w:r w:rsidRPr="009C6DC2">
            <w:rPr>
              <w:rFonts w:asciiTheme="majorBidi" w:hAnsiTheme="majorBidi" w:cstheme="majorBidi"/>
              <w:i/>
              <w:iCs/>
              <w:noProof/>
              <w:sz w:val="24"/>
              <w:szCs w:val="24"/>
              <w:lang w:val="en-US"/>
            </w:rPr>
            <w:t>International Journal of Sports Marketing and Sponsorship, 23</w:t>
          </w:r>
          <w:r w:rsidRPr="009C6DC2">
            <w:rPr>
              <w:rFonts w:asciiTheme="majorBidi" w:hAnsiTheme="majorBidi" w:cstheme="majorBidi"/>
              <w:noProof/>
              <w:sz w:val="24"/>
              <w:szCs w:val="24"/>
              <w:lang w:val="en-US"/>
            </w:rPr>
            <w:t>(4), 841-854. doi:https://doi.org/10.1108/IJSMS-07-2021-0151</w:t>
          </w:r>
        </w:p>
        <w:p w14:paraId="66E2DEDA" w14:textId="254538A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Li, F., Kashyap, R., Zhou, N., &amp; Yang, Z. (2008). </w:t>
          </w:r>
          <w:r w:rsidRPr="009C6DC2">
            <w:rPr>
              <w:rFonts w:asciiTheme="majorBidi" w:hAnsiTheme="majorBidi" w:cstheme="majorBidi"/>
              <w:noProof/>
              <w:sz w:val="24"/>
              <w:szCs w:val="24"/>
              <w:lang w:val="en-US"/>
            </w:rPr>
            <w:t xml:space="preserve">Brand Trust as a Second-order Factor: An Alternative Measurement Model. </w:t>
          </w:r>
          <w:r w:rsidRPr="009C6DC2">
            <w:rPr>
              <w:rFonts w:asciiTheme="majorBidi" w:hAnsiTheme="majorBidi" w:cstheme="majorBidi"/>
              <w:i/>
              <w:iCs/>
              <w:noProof/>
              <w:sz w:val="24"/>
              <w:szCs w:val="24"/>
              <w:lang w:val="en-US"/>
            </w:rPr>
            <w:t>International Journal of Market Research, 50</w:t>
          </w:r>
          <w:r w:rsidRPr="009C6DC2">
            <w:rPr>
              <w:rFonts w:asciiTheme="majorBidi" w:hAnsiTheme="majorBidi" w:cstheme="majorBidi"/>
              <w:noProof/>
              <w:sz w:val="24"/>
              <w:szCs w:val="24"/>
              <w:lang w:val="en-US"/>
            </w:rPr>
            <w:t>(06). doi:https://doi.org/10.2501/S1470785308200225</w:t>
          </w:r>
        </w:p>
        <w:p w14:paraId="288C32AE" w14:textId="7FF8059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Li, S., Liu, P., &amp; Li, W. (2022). </w:t>
          </w:r>
          <w:r w:rsidRPr="009C6DC2">
            <w:rPr>
              <w:rFonts w:asciiTheme="majorBidi" w:hAnsiTheme="majorBidi" w:cstheme="majorBidi"/>
              <w:noProof/>
              <w:sz w:val="24"/>
              <w:szCs w:val="24"/>
              <w:lang w:val="en-US"/>
            </w:rPr>
            <w:t xml:space="preserve">The impact of white space on consumers' perception of and attitude toward advertising. </w:t>
          </w:r>
          <w:r w:rsidRPr="009C6DC2">
            <w:rPr>
              <w:rFonts w:asciiTheme="majorBidi" w:hAnsiTheme="majorBidi" w:cstheme="majorBidi"/>
              <w:i/>
              <w:iCs/>
              <w:noProof/>
              <w:sz w:val="24"/>
              <w:szCs w:val="24"/>
              <w:lang w:val="en-US"/>
            </w:rPr>
            <w:t>Social Behavior and Personality: An International Journal, 50</w:t>
          </w:r>
          <w:r w:rsidRPr="009C6DC2">
            <w:rPr>
              <w:rFonts w:asciiTheme="majorBidi" w:hAnsiTheme="majorBidi" w:cstheme="majorBidi"/>
              <w:noProof/>
              <w:sz w:val="24"/>
              <w:szCs w:val="24"/>
              <w:lang w:val="en-US"/>
            </w:rPr>
            <w:t>(02). Retrieved 08 23, 2022, from link.gale.com/apps/doc/A695507339/AONE?u=anon~5edb27f1&amp;sid=googleScholar&amp;xid=72434c7c.</w:t>
          </w:r>
        </w:p>
        <w:p w14:paraId="2580FCC1" w14:textId="21C1122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Liang, H., &amp; Renneboog, L. (2020). Corporate Social Responsibility and Sustainable Finance: A Review of the Literature. </w:t>
          </w:r>
          <w:r w:rsidRPr="009C6DC2">
            <w:rPr>
              <w:rFonts w:asciiTheme="majorBidi" w:hAnsiTheme="majorBidi" w:cstheme="majorBidi"/>
              <w:i/>
              <w:iCs/>
              <w:noProof/>
              <w:sz w:val="24"/>
              <w:szCs w:val="24"/>
              <w:lang w:val="en-US"/>
            </w:rPr>
            <w:t>European Corporate Governance Institute</w:t>
          </w:r>
          <w:r w:rsidRPr="009C6DC2">
            <w:rPr>
              <w:rFonts w:asciiTheme="majorBidi" w:hAnsiTheme="majorBidi" w:cstheme="majorBidi"/>
              <w:noProof/>
              <w:sz w:val="24"/>
              <w:szCs w:val="24"/>
              <w:lang w:val="en-US"/>
            </w:rPr>
            <w:t>. doi:https://dx.doi.org/10.2139/ssrn.3698631</w:t>
          </w:r>
        </w:p>
        <w:p w14:paraId="606D2CC9" w14:textId="023FB51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Liao, C., Chen, J.-L., &amp; Yen, D. C. (2007). Theory of planning behavior (TPB) and customer satisfaction in the continued use of e-service: An integrated model. </w:t>
          </w:r>
          <w:r w:rsidRPr="009C6DC2">
            <w:rPr>
              <w:rFonts w:asciiTheme="majorBidi" w:hAnsiTheme="majorBidi" w:cstheme="majorBidi"/>
              <w:i/>
              <w:iCs/>
              <w:noProof/>
              <w:sz w:val="24"/>
              <w:szCs w:val="24"/>
              <w:lang w:val="en-US"/>
            </w:rPr>
            <w:t>Computers in Human Behavior, 23</w:t>
          </w:r>
          <w:r w:rsidRPr="009C6DC2">
            <w:rPr>
              <w:rFonts w:asciiTheme="majorBidi" w:hAnsiTheme="majorBidi" w:cstheme="majorBidi"/>
              <w:noProof/>
              <w:sz w:val="24"/>
              <w:szCs w:val="24"/>
              <w:lang w:val="en-US"/>
            </w:rPr>
            <w:t>(6), 2804-2822. doi:https://doi.org/10.1016/j.chb.2006.05.006</w:t>
          </w:r>
        </w:p>
        <w:p w14:paraId="575C0F75" w14:textId="04FB1AF5" w:rsidR="006E2490" w:rsidRPr="007E3AAA" w:rsidRDefault="006E2490" w:rsidP="006E2490">
          <w:pPr>
            <w:ind w:left="720" w:hanging="720"/>
            <w:rPr>
              <w:rFonts w:asciiTheme="majorBidi" w:hAnsiTheme="majorBidi" w:cstheme="majorBidi"/>
              <w:noProof/>
              <w:sz w:val="24"/>
              <w:szCs w:val="24"/>
              <w:lang w:val="pl-PL"/>
            </w:rPr>
          </w:pPr>
          <w:r w:rsidRPr="007E3AAA">
            <w:rPr>
              <w:rFonts w:asciiTheme="majorBidi" w:hAnsiTheme="majorBidi" w:cstheme="majorBidi"/>
              <w:noProof/>
              <w:sz w:val="24"/>
              <w:szCs w:val="24"/>
              <w:lang w:val="pl-PL"/>
            </w:rPr>
            <w:t xml:space="preserve">Liczmańska-Kopcewicz, K., Mizera, K., &amp; Pyplacz, P. (2019). </w:t>
          </w:r>
          <w:r w:rsidRPr="009C6DC2">
            <w:rPr>
              <w:rFonts w:asciiTheme="majorBidi" w:hAnsiTheme="majorBidi" w:cstheme="majorBidi"/>
              <w:noProof/>
              <w:sz w:val="24"/>
              <w:szCs w:val="24"/>
              <w:lang w:val="en-US"/>
            </w:rPr>
            <w:t xml:space="preserve">Corporate Social Responsibility and Sustainable Development for Creating Value for FMCG Sector Enterprises. </w:t>
          </w:r>
          <w:r w:rsidRPr="007E3AAA">
            <w:rPr>
              <w:rFonts w:asciiTheme="majorBidi" w:hAnsiTheme="majorBidi" w:cstheme="majorBidi"/>
              <w:i/>
              <w:iCs/>
              <w:noProof/>
              <w:sz w:val="24"/>
              <w:szCs w:val="24"/>
              <w:lang w:val="pl-PL"/>
            </w:rPr>
            <w:t>Sustainability, 11</w:t>
          </w:r>
          <w:r w:rsidRPr="007E3AAA">
            <w:rPr>
              <w:rFonts w:asciiTheme="majorBidi" w:hAnsiTheme="majorBidi" w:cstheme="majorBidi"/>
              <w:noProof/>
              <w:sz w:val="24"/>
              <w:szCs w:val="24"/>
              <w:lang w:val="pl-PL"/>
            </w:rPr>
            <w:t>(20). doi:https://doi.org/10.3390/su11205808</w:t>
          </w:r>
        </w:p>
        <w:p w14:paraId="01C9DFB0" w14:textId="5D5D0B11"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Ligaraba, N., Chuchu, T., &amp; Nyagadza, B. (2023). </w:t>
          </w:r>
          <w:r w:rsidRPr="009C6DC2">
            <w:rPr>
              <w:rFonts w:asciiTheme="majorBidi" w:hAnsiTheme="majorBidi" w:cstheme="majorBidi"/>
              <w:noProof/>
              <w:sz w:val="24"/>
              <w:szCs w:val="24"/>
              <w:lang w:val="en-US"/>
            </w:rPr>
            <w:t xml:space="preserve">Opt-in e-mail marketing influence on consumer behaviour: A Stimuli–Organism–Response (S–O–R) theory perspective. </w:t>
          </w:r>
          <w:r w:rsidRPr="009C6DC2">
            <w:rPr>
              <w:rFonts w:asciiTheme="majorBidi" w:hAnsiTheme="majorBidi" w:cstheme="majorBidi"/>
              <w:i/>
              <w:iCs/>
              <w:noProof/>
              <w:sz w:val="24"/>
              <w:szCs w:val="24"/>
              <w:lang w:val="en-US"/>
            </w:rPr>
            <w:t>Cogent Business &amp; Management, 10</w:t>
          </w:r>
          <w:r w:rsidRPr="009C6DC2">
            <w:rPr>
              <w:rFonts w:asciiTheme="majorBidi" w:hAnsiTheme="majorBidi" w:cstheme="majorBidi"/>
              <w:noProof/>
              <w:sz w:val="24"/>
              <w:szCs w:val="24"/>
              <w:lang w:val="en-US"/>
            </w:rPr>
            <w:t>(1). doi:https://doi.org/10.1080/23311975.2023.2184244</w:t>
          </w:r>
        </w:p>
        <w:p w14:paraId="389710C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Likert, R. (1932). Technique for the Measurement of Attitudes. </w:t>
          </w:r>
          <w:r w:rsidRPr="009C6DC2">
            <w:rPr>
              <w:rFonts w:asciiTheme="majorBidi" w:hAnsiTheme="majorBidi" w:cstheme="majorBidi"/>
              <w:i/>
              <w:iCs/>
              <w:noProof/>
              <w:sz w:val="24"/>
              <w:szCs w:val="24"/>
              <w:lang w:val="en-US"/>
            </w:rPr>
            <w:t>Archives of Psychology</w:t>
          </w:r>
          <w:r w:rsidRPr="009C6DC2">
            <w:rPr>
              <w:rFonts w:asciiTheme="majorBidi" w:hAnsiTheme="majorBidi" w:cstheme="majorBidi"/>
              <w:noProof/>
              <w:sz w:val="24"/>
              <w:szCs w:val="24"/>
              <w:lang w:val="en-US"/>
            </w:rPr>
            <w:t>.</w:t>
          </w:r>
        </w:p>
        <w:p w14:paraId="166C1BE2" w14:textId="2DB79FA2" w:rsidR="006E2490" w:rsidRPr="001631DF" w:rsidRDefault="006E2490" w:rsidP="006E2490">
          <w:pPr>
            <w:ind w:left="720" w:hanging="720"/>
            <w:rPr>
              <w:rFonts w:asciiTheme="majorBidi" w:hAnsiTheme="majorBidi" w:cstheme="majorBidi"/>
              <w:noProof/>
              <w:sz w:val="24"/>
              <w:szCs w:val="24"/>
              <w:lang w:val="en-US"/>
            </w:rPr>
          </w:pPr>
          <w:r w:rsidRPr="001631DF">
            <w:rPr>
              <w:rFonts w:asciiTheme="majorBidi" w:hAnsiTheme="majorBidi" w:cstheme="majorBidi"/>
              <w:noProof/>
              <w:sz w:val="24"/>
              <w:szCs w:val="24"/>
              <w:lang w:val="en-US"/>
            </w:rPr>
            <w:t xml:space="preserve">Lin, C. A., &amp; Xu , X. (2021). Exploring Bottled Water Purchase Intention via Trust in Advertising, Product Knowledge, Consumer Beliefs and Theory of Reasoned Action. </w:t>
          </w:r>
          <w:r w:rsidRPr="001631DF">
            <w:rPr>
              <w:rFonts w:asciiTheme="majorBidi" w:hAnsiTheme="majorBidi" w:cstheme="majorBidi"/>
              <w:i/>
              <w:iCs/>
              <w:noProof/>
              <w:sz w:val="24"/>
              <w:szCs w:val="24"/>
              <w:lang w:val="en-US"/>
            </w:rPr>
            <w:t>Social Sciences, 10</w:t>
          </w:r>
          <w:r w:rsidRPr="001631DF">
            <w:rPr>
              <w:rFonts w:asciiTheme="majorBidi" w:hAnsiTheme="majorBidi" w:cstheme="majorBidi"/>
              <w:noProof/>
              <w:sz w:val="24"/>
              <w:szCs w:val="24"/>
              <w:lang w:val="en-US"/>
            </w:rPr>
            <w:t>(8). doi:10.3390/socsci10080295</w:t>
          </w:r>
        </w:p>
        <w:p w14:paraId="4C76794E" w14:textId="0FC5E65D" w:rsidR="006E2490" w:rsidRPr="001631DF" w:rsidRDefault="006E2490" w:rsidP="006E2490">
          <w:pPr>
            <w:ind w:left="720" w:hanging="720"/>
            <w:rPr>
              <w:rFonts w:asciiTheme="majorBidi" w:hAnsiTheme="majorBidi" w:cstheme="majorBidi"/>
              <w:noProof/>
              <w:sz w:val="24"/>
              <w:szCs w:val="24"/>
              <w:lang w:val="en-US"/>
            </w:rPr>
          </w:pPr>
          <w:r w:rsidRPr="001631DF">
            <w:rPr>
              <w:rFonts w:asciiTheme="majorBidi" w:hAnsiTheme="majorBidi" w:cstheme="majorBidi"/>
              <w:noProof/>
              <w:sz w:val="24"/>
              <w:szCs w:val="24"/>
              <w:lang w:val="en-US"/>
            </w:rPr>
            <w:t xml:space="preserve">Lin, C.-H., Lii , Y.-S., &amp; Ding, M.-C. (2022). The CSR Spillover Effect on Consumer Responses to Advertised Reference Price Promotion. </w:t>
          </w:r>
          <w:r w:rsidRPr="001631DF">
            <w:rPr>
              <w:rFonts w:asciiTheme="majorBidi" w:hAnsiTheme="majorBidi" w:cstheme="majorBidi"/>
              <w:i/>
              <w:iCs/>
              <w:noProof/>
              <w:sz w:val="24"/>
              <w:szCs w:val="24"/>
              <w:lang w:val="en-US"/>
            </w:rPr>
            <w:t>Adminstrative Sciences, 12</w:t>
          </w:r>
          <w:r w:rsidRPr="001631DF">
            <w:rPr>
              <w:rFonts w:asciiTheme="majorBidi" w:hAnsiTheme="majorBidi" w:cstheme="majorBidi"/>
              <w:noProof/>
              <w:sz w:val="24"/>
              <w:szCs w:val="24"/>
              <w:lang w:val="en-US"/>
            </w:rPr>
            <w:t>(1). doi:https://doi.org/10.3390/admsci12010030</w:t>
          </w:r>
        </w:p>
        <w:p w14:paraId="781874C2" w14:textId="464EFB63" w:rsidR="006E2490" w:rsidRPr="009C6DC2" w:rsidRDefault="006E2490" w:rsidP="006E2490">
          <w:pPr>
            <w:ind w:left="720" w:hanging="720"/>
            <w:rPr>
              <w:rFonts w:asciiTheme="majorBidi" w:hAnsiTheme="majorBidi" w:cstheme="majorBidi"/>
              <w:noProof/>
              <w:sz w:val="24"/>
              <w:szCs w:val="24"/>
              <w:lang w:val="en-US"/>
            </w:rPr>
          </w:pPr>
          <w:r w:rsidRPr="001631DF">
            <w:rPr>
              <w:rFonts w:asciiTheme="majorBidi" w:hAnsiTheme="majorBidi" w:cstheme="majorBidi"/>
              <w:noProof/>
              <w:sz w:val="24"/>
              <w:szCs w:val="24"/>
              <w:lang w:val="en-US"/>
            </w:rPr>
            <w:t xml:space="preserve">Lin, J., Li, T., &amp; Guo, J. (2021). Factors influencing consumers’ continuous purchase intention on fresh food e-commerce platforms: An organic foods-centric empirical investigation. </w:t>
          </w:r>
          <w:r w:rsidRPr="001631DF">
            <w:rPr>
              <w:rFonts w:asciiTheme="majorBidi" w:hAnsiTheme="majorBidi" w:cstheme="majorBidi"/>
              <w:i/>
              <w:iCs/>
              <w:noProof/>
              <w:sz w:val="24"/>
              <w:szCs w:val="24"/>
              <w:lang w:val="en-US"/>
            </w:rPr>
            <w:t>Electronic Commerce Research and Applications, 50</w:t>
          </w:r>
          <w:r w:rsidRPr="001631DF">
            <w:rPr>
              <w:rFonts w:asciiTheme="majorBidi" w:hAnsiTheme="majorBidi" w:cstheme="majorBidi"/>
              <w:noProof/>
              <w:sz w:val="24"/>
              <w:szCs w:val="24"/>
              <w:lang w:val="en-US"/>
            </w:rPr>
            <w:t>. doi:https://doi.org/10.1016/j.elerap.2021.101103</w:t>
          </w:r>
        </w:p>
        <w:p w14:paraId="5D4424F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Lin, S.-W., &amp; Lo, L. Y.-S. (2016). </w:t>
          </w:r>
          <w:r w:rsidRPr="009C6DC2">
            <w:rPr>
              <w:rFonts w:asciiTheme="majorBidi" w:hAnsiTheme="majorBidi" w:cstheme="majorBidi"/>
              <w:noProof/>
              <w:sz w:val="24"/>
              <w:szCs w:val="24"/>
              <w:lang w:val="en-US"/>
            </w:rPr>
            <w:t xml:space="preserve">Evoking online consumer impulse buying through virtual layout schemes. </w:t>
          </w:r>
          <w:r w:rsidRPr="009C6DC2">
            <w:rPr>
              <w:rFonts w:asciiTheme="majorBidi" w:hAnsiTheme="majorBidi" w:cstheme="majorBidi"/>
              <w:i/>
              <w:iCs/>
              <w:noProof/>
              <w:sz w:val="24"/>
              <w:szCs w:val="24"/>
              <w:lang w:val="en-US"/>
            </w:rPr>
            <w:t>Behaviour &amp; Information Technology, 35</w:t>
          </w:r>
          <w:r w:rsidRPr="009C6DC2">
            <w:rPr>
              <w:rFonts w:asciiTheme="majorBidi" w:hAnsiTheme="majorBidi" w:cstheme="majorBidi"/>
              <w:noProof/>
              <w:sz w:val="24"/>
              <w:szCs w:val="24"/>
              <w:lang w:val="en-US"/>
            </w:rPr>
            <w:t>(1), 38-56. doi:https://doi.org/10.1080/0144929X.2015.1056546</w:t>
          </w:r>
        </w:p>
        <w:p w14:paraId="1A4C217B" w14:textId="0648349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Linneberg, M. S., &amp; Korsgaard , S. (2019). Coding qualitative data: a synthesis guiding the novice. </w:t>
          </w:r>
          <w:r w:rsidRPr="009C6DC2">
            <w:rPr>
              <w:rFonts w:asciiTheme="majorBidi" w:hAnsiTheme="majorBidi" w:cstheme="majorBidi"/>
              <w:i/>
              <w:iCs/>
              <w:noProof/>
              <w:sz w:val="24"/>
              <w:szCs w:val="24"/>
              <w:lang w:val="en-US"/>
            </w:rPr>
            <w:t>Qualitative Research Journal, 19</w:t>
          </w:r>
          <w:r w:rsidRPr="009C6DC2">
            <w:rPr>
              <w:rFonts w:asciiTheme="majorBidi" w:hAnsiTheme="majorBidi" w:cstheme="majorBidi"/>
              <w:noProof/>
              <w:sz w:val="24"/>
              <w:szCs w:val="24"/>
              <w:lang w:val="en-US"/>
            </w:rPr>
            <w:t>(3), 259-270. doi:https://doi.org/10.1108/QRJ-12-2018-0012</w:t>
          </w:r>
        </w:p>
        <w:p w14:paraId="75AD332A" w14:textId="26B10E5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Liu, B., &amp; Zhang, R. (2016). Joint decisions on pricing and advertising of dominant manufacturer with different advantage strategies. </w:t>
          </w:r>
          <w:r w:rsidRPr="009C6DC2">
            <w:rPr>
              <w:rFonts w:asciiTheme="majorBidi" w:hAnsiTheme="majorBidi" w:cstheme="majorBidi"/>
              <w:i/>
              <w:iCs/>
              <w:noProof/>
              <w:sz w:val="24"/>
              <w:szCs w:val="24"/>
              <w:lang w:val="en-US"/>
            </w:rPr>
            <w:t>International Journal of Modelling and Simulation</w:t>
          </w:r>
          <w:r w:rsidRPr="009C6DC2">
            <w:rPr>
              <w:rFonts w:asciiTheme="majorBidi" w:hAnsiTheme="majorBidi" w:cstheme="majorBidi"/>
              <w:noProof/>
              <w:sz w:val="24"/>
              <w:szCs w:val="24"/>
              <w:lang w:val="en-US"/>
            </w:rPr>
            <w:t>, 97-105. doi:I: 10.1080/02286203.2016.1194631</w:t>
          </w:r>
        </w:p>
        <w:p w14:paraId="1090B70A" w14:textId="4853A263" w:rsidR="006E2490" w:rsidRPr="001C7478" w:rsidRDefault="006E2490" w:rsidP="006E2490">
          <w:pPr>
            <w:ind w:left="720" w:hanging="720"/>
            <w:rPr>
              <w:rFonts w:asciiTheme="majorBidi" w:hAnsiTheme="majorBidi" w:cstheme="majorBidi"/>
              <w:noProof/>
              <w:sz w:val="24"/>
              <w:szCs w:val="24"/>
              <w:lang w:val="en-US"/>
            </w:rPr>
          </w:pPr>
          <w:r w:rsidRPr="001C7478">
            <w:rPr>
              <w:rFonts w:asciiTheme="majorBidi" w:hAnsiTheme="majorBidi" w:cstheme="majorBidi"/>
              <w:noProof/>
              <w:sz w:val="24"/>
              <w:szCs w:val="24"/>
              <w:lang w:val="en-US"/>
            </w:rPr>
            <w:t xml:space="preserve">Liu, C., &amp; Zheng, Y. (2019). The predictors of consumer behavior in relation to organic food in the context of food safety incidents: advancing hyper attention theory within an stimulus-organism-response model. </w:t>
          </w:r>
          <w:r w:rsidRPr="001C7478">
            <w:rPr>
              <w:rFonts w:asciiTheme="majorBidi" w:hAnsiTheme="majorBidi" w:cstheme="majorBidi"/>
              <w:i/>
              <w:iCs/>
              <w:noProof/>
              <w:sz w:val="24"/>
              <w:szCs w:val="24"/>
              <w:lang w:val="en-US"/>
            </w:rPr>
            <w:t>Frontiers in Psychology, 10</w:t>
          </w:r>
          <w:r w:rsidRPr="001C7478">
            <w:rPr>
              <w:rFonts w:asciiTheme="majorBidi" w:hAnsiTheme="majorBidi" w:cstheme="majorBidi"/>
              <w:noProof/>
              <w:sz w:val="24"/>
              <w:szCs w:val="24"/>
              <w:lang w:val="en-US"/>
            </w:rPr>
            <w:t>. doi:https://doi.org/10.3389/fpsyg.2019.02512</w:t>
          </w:r>
        </w:p>
        <w:p w14:paraId="1ACAB9F3" w14:textId="7BDE2E2E" w:rsidR="006E2490" w:rsidRPr="001C7478" w:rsidRDefault="006E2490" w:rsidP="006E2490">
          <w:pPr>
            <w:ind w:left="720" w:hanging="720"/>
            <w:rPr>
              <w:rFonts w:asciiTheme="majorBidi" w:hAnsiTheme="majorBidi" w:cstheme="majorBidi"/>
              <w:noProof/>
              <w:sz w:val="24"/>
              <w:szCs w:val="24"/>
              <w:lang w:val="en-US"/>
            </w:rPr>
          </w:pPr>
          <w:r w:rsidRPr="001C7478">
            <w:rPr>
              <w:rFonts w:asciiTheme="majorBidi" w:hAnsiTheme="majorBidi" w:cstheme="majorBidi"/>
              <w:noProof/>
              <w:sz w:val="24"/>
              <w:szCs w:val="24"/>
              <w:lang w:val="en-US"/>
            </w:rPr>
            <w:t xml:space="preserve">Liu, C., Zhang, Y., &amp; Zhang, J. (2020). The impact of self-congruity and virtual interactivity on online celebrity brand equity and fans’ purchase intention. </w:t>
          </w:r>
          <w:r w:rsidRPr="001C7478">
            <w:rPr>
              <w:rFonts w:asciiTheme="majorBidi" w:hAnsiTheme="majorBidi" w:cstheme="majorBidi"/>
              <w:i/>
              <w:iCs/>
              <w:noProof/>
              <w:sz w:val="24"/>
              <w:szCs w:val="24"/>
              <w:lang w:val="en-US"/>
            </w:rPr>
            <w:t>Journal of Product &amp; Brand Management, 29</w:t>
          </w:r>
          <w:r w:rsidRPr="001C7478">
            <w:rPr>
              <w:rFonts w:asciiTheme="majorBidi" w:hAnsiTheme="majorBidi" w:cstheme="majorBidi"/>
              <w:noProof/>
              <w:sz w:val="24"/>
              <w:szCs w:val="24"/>
              <w:lang w:val="en-US"/>
            </w:rPr>
            <w:t>(06), 783-802. doi:https://doi-org.lsbu.idm.oclc.org/10.1108/JPBM-11-2018-2106</w:t>
          </w:r>
        </w:p>
        <w:p w14:paraId="6E4C6568" w14:textId="504ED52B" w:rsidR="006E2490" w:rsidRPr="001C7478" w:rsidRDefault="006E2490" w:rsidP="006E2490">
          <w:pPr>
            <w:ind w:left="720" w:hanging="720"/>
            <w:rPr>
              <w:rFonts w:asciiTheme="majorBidi" w:hAnsiTheme="majorBidi" w:cstheme="majorBidi"/>
              <w:noProof/>
              <w:sz w:val="24"/>
              <w:szCs w:val="24"/>
              <w:lang w:val="en-US"/>
            </w:rPr>
          </w:pPr>
          <w:r w:rsidRPr="001C7478">
            <w:rPr>
              <w:rFonts w:asciiTheme="majorBidi" w:hAnsiTheme="majorBidi" w:cstheme="majorBidi"/>
              <w:noProof/>
              <w:sz w:val="24"/>
              <w:szCs w:val="24"/>
              <w:lang w:val="sv-SE"/>
            </w:rPr>
            <w:t xml:space="preserve">Liu, H.-T., &amp; Tsaur, R.-C. (2020). </w:t>
          </w:r>
          <w:r w:rsidRPr="001C7478">
            <w:rPr>
              <w:rFonts w:asciiTheme="majorBidi" w:hAnsiTheme="majorBidi" w:cstheme="majorBidi"/>
              <w:noProof/>
              <w:sz w:val="24"/>
              <w:szCs w:val="24"/>
              <w:lang w:val="en-US"/>
            </w:rPr>
            <w:t xml:space="preserve">The Theory of Reasoned Action Applied to Green Smartphones: Moderating Effect of Government Subsidies. </w:t>
          </w:r>
          <w:r w:rsidRPr="001C7478">
            <w:rPr>
              <w:rFonts w:asciiTheme="majorBidi" w:hAnsiTheme="majorBidi" w:cstheme="majorBidi"/>
              <w:i/>
              <w:iCs/>
              <w:noProof/>
              <w:sz w:val="24"/>
              <w:szCs w:val="24"/>
              <w:lang w:val="en-US"/>
            </w:rPr>
            <w:t>Sustainability, 12</w:t>
          </w:r>
          <w:r w:rsidRPr="001C7478">
            <w:rPr>
              <w:rFonts w:asciiTheme="majorBidi" w:hAnsiTheme="majorBidi" w:cstheme="majorBidi"/>
              <w:noProof/>
              <w:sz w:val="24"/>
              <w:szCs w:val="24"/>
              <w:lang w:val="en-US"/>
            </w:rPr>
            <w:t>(15). doi:10.3390/su12155979</w:t>
          </w:r>
        </w:p>
        <w:p w14:paraId="03DB4796" w14:textId="5134324F" w:rsidR="006E2490" w:rsidRPr="009C6DC2" w:rsidRDefault="006E2490" w:rsidP="006E2490">
          <w:pPr>
            <w:ind w:left="720" w:hanging="720"/>
            <w:rPr>
              <w:rFonts w:asciiTheme="majorBidi" w:hAnsiTheme="majorBidi" w:cstheme="majorBidi"/>
              <w:noProof/>
              <w:sz w:val="24"/>
              <w:szCs w:val="24"/>
              <w:lang w:val="en-US"/>
            </w:rPr>
          </w:pPr>
          <w:r w:rsidRPr="001C7478">
            <w:rPr>
              <w:rFonts w:asciiTheme="majorBidi" w:hAnsiTheme="majorBidi" w:cstheme="majorBidi"/>
              <w:noProof/>
              <w:sz w:val="24"/>
              <w:szCs w:val="24"/>
              <w:lang w:val="en-US"/>
            </w:rPr>
            <w:t xml:space="preserve">Liu-Thompkins, Y. (2019). A Decade of Online Advertising Research: What We Learned and What We Need to Know. </w:t>
          </w:r>
          <w:r w:rsidRPr="001C7478">
            <w:rPr>
              <w:rFonts w:asciiTheme="majorBidi" w:hAnsiTheme="majorBidi" w:cstheme="majorBidi"/>
              <w:i/>
              <w:iCs/>
              <w:noProof/>
              <w:sz w:val="24"/>
              <w:szCs w:val="24"/>
              <w:lang w:val="en-US"/>
            </w:rPr>
            <w:t>Journal of Advertising, 48</w:t>
          </w:r>
          <w:r w:rsidRPr="001C7478">
            <w:rPr>
              <w:rFonts w:asciiTheme="majorBidi" w:hAnsiTheme="majorBidi" w:cstheme="majorBidi"/>
              <w:noProof/>
              <w:sz w:val="24"/>
              <w:szCs w:val="24"/>
              <w:lang w:val="en-US"/>
            </w:rPr>
            <w:t>(1), 1-13. doi:https://doi.org/10.1080/00913367.2018.1556138</w:t>
          </w:r>
        </w:p>
        <w:p w14:paraId="0E560243" w14:textId="5ECF7B6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Loaiza-Ramírez, J. P., Moreno-Mantilla, C. E., &amp; Reimer, T. (2022). Do consumers care about companies’ efforts in greening supply chains? Analyzing the role of protected values and the halo effect in product evaluation. </w:t>
          </w:r>
          <w:r w:rsidRPr="009C6DC2">
            <w:rPr>
              <w:rFonts w:asciiTheme="majorBidi" w:hAnsiTheme="majorBidi" w:cstheme="majorBidi"/>
              <w:i/>
              <w:iCs/>
              <w:noProof/>
              <w:sz w:val="24"/>
              <w:szCs w:val="24"/>
              <w:lang w:val="en-US"/>
            </w:rPr>
            <w:t>Cleaner Logistics and Supply Chain, 3</w:t>
          </w:r>
          <w:r w:rsidRPr="009C6DC2">
            <w:rPr>
              <w:rFonts w:asciiTheme="majorBidi" w:hAnsiTheme="majorBidi" w:cstheme="majorBidi"/>
              <w:noProof/>
              <w:sz w:val="24"/>
              <w:szCs w:val="24"/>
              <w:lang w:val="en-US"/>
            </w:rPr>
            <w:t>. doi:S2772390921000275</w:t>
          </w:r>
        </w:p>
        <w:p w14:paraId="14A183BB" w14:textId="3E9A5D0D" w:rsidR="006E2490" w:rsidRPr="009C6DC2" w:rsidRDefault="006E2490" w:rsidP="006E2490">
          <w:pPr>
            <w:ind w:left="720" w:hanging="720"/>
            <w:rPr>
              <w:rFonts w:asciiTheme="majorBidi" w:hAnsiTheme="majorBidi" w:cstheme="majorBidi"/>
              <w:noProof/>
              <w:sz w:val="24"/>
              <w:szCs w:val="24"/>
              <w:lang w:val="en-US"/>
            </w:rPr>
          </w:pPr>
          <w:r w:rsidRPr="008D625E">
            <w:rPr>
              <w:rFonts w:asciiTheme="majorBidi" w:hAnsiTheme="majorBidi" w:cstheme="majorBidi"/>
              <w:noProof/>
              <w:sz w:val="24"/>
              <w:szCs w:val="24"/>
            </w:rPr>
            <w:t xml:space="preserve">Lock, I., &amp; Schulz-Knappe , C. (2019). </w:t>
          </w:r>
          <w:r w:rsidRPr="009C6DC2">
            <w:rPr>
              <w:rFonts w:asciiTheme="majorBidi" w:hAnsiTheme="majorBidi" w:cstheme="majorBidi"/>
              <w:noProof/>
              <w:sz w:val="24"/>
              <w:szCs w:val="24"/>
              <w:lang w:val="en-US"/>
            </w:rPr>
            <w:t xml:space="preserve">Credible corporate social responsibility (CSR) communication predicts legitimacy: Evidence from an experimental study. </w:t>
          </w:r>
          <w:r w:rsidRPr="009C6DC2">
            <w:rPr>
              <w:rFonts w:asciiTheme="majorBidi" w:hAnsiTheme="majorBidi" w:cstheme="majorBidi"/>
              <w:i/>
              <w:iCs/>
              <w:noProof/>
              <w:sz w:val="24"/>
              <w:szCs w:val="24"/>
              <w:lang w:val="en-US"/>
            </w:rPr>
            <w:t>Corporate Communications: An International Journal, 24</w:t>
          </w:r>
          <w:r w:rsidRPr="009C6DC2">
            <w:rPr>
              <w:rFonts w:asciiTheme="majorBidi" w:hAnsiTheme="majorBidi" w:cstheme="majorBidi"/>
              <w:noProof/>
              <w:sz w:val="24"/>
              <w:szCs w:val="24"/>
              <w:lang w:val="en-US"/>
            </w:rPr>
            <w:t>(1), 2-22. Retrieved 01 22, 2022, from https://doi.org/10.1108/CCIJ-07-2018-0071</w:t>
          </w:r>
        </w:p>
        <w:p w14:paraId="13476A0A" w14:textId="0591344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Lock, I., &amp; Seele, P. (2016). The credibility of CSR (corporate social responsibility) reports in Europe. Evidence from a quantitative content analysis in 11 countries. </w:t>
          </w:r>
          <w:r w:rsidRPr="009C6DC2">
            <w:rPr>
              <w:rFonts w:asciiTheme="majorBidi" w:hAnsiTheme="majorBidi" w:cstheme="majorBidi"/>
              <w:i/>
              <w:iCs/>
              <w:noProof/>
              <w:sz w:val="24"/>
              <w:szCs w:val="24"/>
              <w:lang w:val="en-US"/>
            </w:rPr>
            <w:t>Journal of Cleaner Production, 122</w:t>
          </w:r>
          <w:r w:rsidRPr="009C6DC2">
            <w:rPr>
              <w:rFonts w:asciiTheme="majorBidi" w:hAnsiTheme="majorBidi" w:cstheme="majorBidi"/>
              <w:noProof/>
              <w:sz w:val="24"/>
              <w:szCs w:val="24"/>
              <w:lang w:val="en-US"/>
            </w:rPr>
            <w:t>, 186-200. doi:https://doi.org/10.1016/j.jclepro.2016.02.060</w:t>
          </w:r>
        </w:p>
        <w:p w14:paraId="35BBB196" w14:textId="2C4E19F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Lopez, I. (2023). </w:t>
          </w:r>
          <w:r w:rsidRPr="009C6DC2">
            <w:rPr>
              <w:rFonts w:asciiTheme="majorBidi" w:hAnsiTheme="majorBidi" w:cstheme="majorBidi"/>
              <w:i/>
              <w:iCs/>
              <w:noProof/>
              <w:sz w:val="24"/>
              <w:szCs w:val="24"/>
              <w:lang w:val="en-US"/>
            </w:rPr>
            <w:t>21 Social Media Marketing Campaigns That Show You How It’s Done</w:t>
          </w:r>
          <w:r w:rsidRPr="009C6DC2">
            <w:rPr>
              <w:rFonts w:asciiTheme="majorBidi" w:hAnsiTheme="majorBidi" w:cstheme="majorBidi"/>
              <w:noProof/>
              <w:sz w:val="24"/>
              <w:szCs w:val="24"/>
              <w:lang w:val="en-US"/>
            </w:rPr>
            <w:t>. Retrieved from ReferralRock: https://referralrock.com/blog/social-marketing-campaigns/</w:t>
          </w:r>
        </w:p>
        <w:p w14:paraId="7C98AAEB" w14:textId="194D553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Lopez-Fernandez, O., Williams, A. J., Griffiths, M. D., &amp; Kuss, D. J. (2019). Female Gaming, Gaming Addiction, and the Role of Women Within Gaming Culture: A Narrative Literature Review. </w:t>
          </w:r>
          <w:r w:rsidRPr="009C6DC2">
            <w:rPr>
              <w:rFonts w:asciiTheme="majorBidi" w:hAnsiTheme="majorBidi" w:cstheme="majorBidi"/>
              <w:i/>
              <w:iCs/>
              <w:noProof/>
              <w:sz w:val="24"/>
              <w:szCs w:val="24"/>
              <w:lang w:val="en-US"/>
            </w:rPr>
            <w:t>Frontiers in Psychiatry, 10</w:t>
          </w:r>
          <w:r w:rsidRPr="009C6DC2">
            <w:rPr>
              <w:rFonts w:asciiTheme="majorBidi" w:hAnsiTheme="majorBidi" w:cstheme="majorBidi"/>
              <w:noProof/>
              <w:sz w:val="24"/>
              <w:szCs w:val="24"/>
              <w:lang w:val="en-US"/>
            </w:rPr>
            <w:t>. doi:https://doi.org/10.3389/fpsyt.2019.00454</w:t>
          </w:r>
        </w:p>
        <w:p w14:paraId="07E1FB00" w14:textId="2ADE266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Loseke, D. R. (2016). The Study of Identity As Cultural, Institutional, Organizational, and Personal Narratives: Theoretical and Empirical Integrations. </w:t>
          </w:r>
          <w:r w:rsidRPr="009C6DC2">
            <w:rPr>
              <w:rFonts w:asciiTheme="majorBidi" w:hAnsiTheme="majorBidi" w:cstheme="majorBidi"/>
              <w:i/>
              <w:iCs/>
              <w:noProof/>
              <w:sz w:val="24"/>
              <w:szCs w:val="24"/>
              <w:lang w:val="en-US"/>
            </w:rPr>
            <w:t>The Sociological Quarterly, 48</w:t>
          </w:r>
          <w:r w:rsidRPr="009C6DC2">
            <w:rPr>
              <w:rFonts w:asciiTheme="majorBidi" w:hAnsiTheme="majorBidi" w:cstheme="majorBidi"/>
              <w:noProof/>
              <w:sz w:val="24"/>
              <w:szCs w:val="24"/>
              <w:lang w:val="en-US"/>
            </w:rPr>
            <w:t>(4), 661-688. doi:https://doi.org/10.1111/j.1533-8525.2007.00096.x</w:t>
          </w:r>
        </w:p>
        <w:p w14:paraId="0366EBC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Lou, C., &amp; Xie, Q. (2021). Something Social, Something Entertaining? How Digital Content Marketing Augments Consumer Experience and Brand Loyalty. </w:t>
          </w:r>
          <w:r w:rsidRPr="009C6DC2">
            <w:rPr>
              <w:rFonts w:asciiTheme="majorBidi" w:hAnsiTheme="majorBidi" w:cstheme="majorBidi"/>
              <w:i/>
              <w:iCs/>
              <w:noProof/>
              <w:sz w:val="24"/>
              <w:szCs w:val="24"/>
              <w:lang w:val="en-US"/>
            </w:rPr>
            <w:t>Journal of Advertising, 40</w:t>
          </w:r>
          <w:r w:rsidRPr="009C6DC2">
            <w:rPr>
              <w:rFonts w:asciiTheme="majorBidi" w:hAnsiTheme="majorBidi" w:cstheme="majorBidi"/>
              <w:noProof/>
              <w:sz w:val="24"/>
              <w:szCs w:val="24"/>
              <w:lang w:val="en-US"/>
            </w:rPr>
            <w:t>(3), 376-402. doi: doi:10.1080/02650487.2020.1788311.</w:t>
          </w:r>
        </w:p>
        <w:p w14:paraId="1E6FA3F5" w14:textId="2B33B2A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Ltifi, M., &amp; Hichri, A. (2021). The effects of corporate governance on the customer’s recommendations: a study of the banking sector at the time of COVID-19. </w:t>
          </w:r>
          <w:r w:rsidRPr="009C6DC2">
            <w:rPr>
              <w:rFonts w:asciiTheme="majorBidi" w:hAnsiTheme="majorBidi" w:cstheme="majorBidi"/>
              <w:i/>
              <w:iCs/>
              <w:noProof/>
              <w:sz w:val="24"/>
              <w:szCs w:val="24"/>
              <w:lang w:val="en-US"/>
            </w:rPr>
            <w:t>Journal of Knowledge Management, 26</w:t>
          </w:r>
          <w:r w:rsidRPr="009C6DC2">
            <w:rPr>
              <w:rFonts w:asciiTheme="majorBidi" w:hAnsiTheme="majorBidi" w:cstheme="majorBidi"/>
              <w:noProof/>
              <w:sz w:val="24"/>
              <w:szCs w:val="24"/>
              <w:lang w:val="en-US"/>
            </w:rPr>
            <w:t>(1), 165-191. doi:10.1108/JKM-06-2020-0471</w:t>
          </w:r>
        </w:p>
        <w:p w14:paraId="3BF1BB1B" w14:textId="7AAF9B8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Lu, J., Ren, L., Zhang, C., Wang, C., Shahid, Z., &amp; Streimikis, J. (2020). The influence of a firm’s CSR initiatives on brand loyalty and brand image. </w:t>
          </w:r>
          <w:r w:rsidRPr="009C6DC2">
            <w:rPr>
              <w:rFonts w:asciiTheme="majorBidi" w:hAnsiTheme="majorBidi" w:cstheme="majorBidi"/>
              <w:i/>
              <w:iCs/>
              <w:noProof/>
              <w:sz w:val="24"/>
              <w:szCs w:val="24"/>
              <w:lang w:val="en-US"/>
            </w:rPr>
            <w:t>Journal of Competitiveness, 12</w:t>
          </w:r>
          <w:r w:rsidRPr="009C6DC2">
            <w:rPr>
              <w:rFonts w:asciiTheme="majorBidi" w:hAnsiTheme="majorBidi" w:cstheme="majorBidi"/>
              <w:noProof/>
              <w:sz w:val="24"/>
              <w:szCs w:val="24"/>
              <w:lang w:val="en-US"/>
            </w:rPr>
            <w:t>(2), 106-124. doi: https://doi.org/10.7441/joc.2020.02.07</w:t>
          </w:r>
        </w:p>
        <w:p w14:paraId="43A3D120" w14:textId="1ED0BE2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Lubowiecki-Vikuk, A., Dąbrowska, A., &amp; Machnik, A. (2021). Responsible consumer and lifestyle: Sustainability insights. </w:t>
          </w:r>
          <w:r w:rsidRPr="009C6DC2">
            <w:rPr>
              <w:rFonts w:asciiTheme="majorBidi" w:hAnsiTheme="majorBidi" w:cstheme="majorBidi"/>
              <w:i/>
              <w:iCs/>
              <w:noProof/>
              <w:sz w:val="24"/>
              <w:szCs w:val="24"/>
              <w:lang w:val="en-US"/>
            </w:rPr>
            <w:t>Sustainable Production and Consumption, 25</w:t>
          </w:r>
          <w:r w:rsidRPr="009C6DC2">
            <w:rPr>
              <w:rFonts w:asciiTheme="majorBidi" w:hAnsiTheme="majorBidi" w:cstheme="majorBidi"/>
              <w:noProof/>
              <w:sz w:val="24"/>
              <w:szCs w:val="24"/>
              <w:lang w:val="en-US"/>
            </w:rPr>
            <w:t>, 91-101. doi:https://doi.org/10.1016/j.spc.2020.08.007</w:t>
          </w:r>
        </w:p>
        <w:p w14:paraId="7E9A9C0D" w14:textId="1789ED6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Luo, A. (2022). </w:t>
          </w:r>
          <w:r w:rsidRPr="009C6DC2">
            <w:rPr>
              <w:rFonts w:asciiTheme="majorBidi" w:hAnsiTheme="majorBidi" w:cstheme="majorBidi"/>
              <w:i/>
              <w:iCs/>
              <w:noProof/>
              <w:sz w:val="24"/>
              <w:szCs w:val="24"/>
              <w:lang w:val="en-US"/>
            </w:rPr>
            <w:t>Content Analysis | A Step-by-Step Guide with Examples</w:t>
          </w:r>
          <w:r w:rsidRPr="009C6DC2">
            <w:rPr>
              <w:rFonts w:asciiTheme="majorBidi" w:hAnsiTheme="majorBidi" w:cstheme="majorBidi"/>
              <w:noProof/>
              <w:sz w:val="24"/>
              <w:szCs w:val="24"/>
              <w:lang w:val="en-US"/>
            </w:rPr>
            <w:t>. Retrieved from Scribbr: https://www.scribbr.co.uk/research-methods/content-analysis-explained/</w:t>
          </w:r>
        </w:p>
        <w:p w14:paraId="0C61A05A" w14:textId="5AAF254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Luo, Y., Li, S., He, J., Cai, D., Dai, Y., Feng, L., . . . Zhu, X. (2021). Construct/Factorial Validity. </w:t>
          </w:r>
          <w:r w:rsidRPr="009C6DC2">
            <w:rPr>
              <w:rFonts w:asciiTheme="majorBidi" w:hAnsiTheme="majorBidi" w:cstheme="majorBidi"/>
              <w:i/>
              <w:iCs/>
              <w:noProof/>
              <w:sz w:val="24"/>
              <w:szCs w:val="24"/>
              <w:lang w:val="en-US"/>
            </w:rPr>
            <w:t>J Pain Res</w:t>
          </w:r>
          <w:r w:rsidRPr="009C6DC2">
            <w:rPr>
              <w:rFonts w:asciiTheme="majorBidi" w:hAnsiTheme="majorBidi" w:cstheme="majorBidi"/>
              <w:noProof/>
              <w:sz w:val="24"/>
              <w:szCs w:val="24"/>
              <w:lang w:val="en-US"/>
            </w:rPr>
            <w:t>. doi:10.2147/JPR.S275227</w:t>
          </w:r>
        </w:p>
        <w:p w14:paraId="1851597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Lutz, R. J., MacKenzie, S. B., &amp; Belch, G. E. (1983). Attitude Toward the Ad As a Mediator of Advertising Effectiveness: Determinants and Consequences. </w:t>
          </w:r>
          <w:r w:rsidRPr="009C6DC2">
            <w:rPr>
              <w:rFonts w:asciiTheme="majorBidi" w:hAnsiTheme="majorBidi" w:cstheme="majorBidi"/>
              <w:i/>
              <w:iCs/>
              <w:noProof/>
              <w:sz w:val="24"/>
              <w:szCs w:val="24"/>
              <w:lang w:val="en-US"/>
            </w:rPr>
            <w:t>Advances in Consumer Research, 10</w:t>
          </w:r>
          <w:r w:rsidRPr="009C6DC2">
            <w:rPr>
              <w:rFonts w:asciiTheme="majorBidi" w:hAnsiTheme="majorBidi" w:cstheme="majorBidi"/>
              <w:noProof/>
              <w:sz w:val="24"/>
              <w:szCs w:val="24"/>
              <w:lang w:val="en-US"/>
            </w:rPr>
            <w:t>(1), 532-539. Retrieved 07 28, 2023</w:t>
          </w:r>
        </w:p>
        <w:p w14:paraId="03E1E9A0" w14:textId="3C3C84C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Machi, L., Nemavhidi, P., Chuchu, T., Nyagadza, B., &amp; Venter de Villiers, M. (2022). Exploring the impact of brand awareness, brand loyalty and brand attitude on purchase intention in online shopping. </w:t>
          </w:r>
          <w:r w:rsidRPr="009C6DC2">
            <w:rPr>
              <w:rFonts w:asciiTheme="majorBidi" w:hAnsiTheme="majorBidi" w:cstheme="majorBidi"/>
              <w:i/>
              <w:iCs/>
              <w:noProof/>
              <w:sz w:val="24"/>
              <w:szCs w:val="24"/>
              <w:lang w:val="en-US"/>
            </w:rPr>
            <w:t>INTERNATIONAL JOURNAL OF RESEARCH IN BUSINESS AND SOCIAL SCIENCE, 11</w:t>
          </w:r>
          <w:r w:rsidRPr="009C6DC2">
            <w:rPr>
              <w:rFonts w:asciiTheme="majorBidi" w:hAnsiTheme="majorBidi" w:cstheme="majorBidi"/>
              <w:noProof/>
              <w:sz w:val="24"/>
              <w:szCs w:val="24"/>
              <w:lang w:val="en-US"/>
            </w:rPr>
            <w:t>(5), 176-187. doi:https://doi.org/10.20525/ijrbs.v11i5.1841</w:t>
          </w:r>
        </w:p>
        <w:p w14:paraId="0CCC45D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MacroTrends. (2021). </w:t>
          </w:r>
          <w:r w:rsidRPr="009C6DC2">
            <w:rPr>
              <w:rFonts w:asciiTheme="majorBidi" w:hAnsiTheme="majorBidi" w:cstheme="majorBidi"/>
              <w:i/>
              <w:iCs/>
              <w:noProof/>
              <w:sz w:val="24"/>
              <w:szCs w:val="24"/>
              <w:lang w:val="en-US"/>
            </w:rPr>
            <w:t>Egypt Population 1950-2021</w:t>
          </w:r>
          <w:r w:rsidRPr="009C6DC2">
            <w:rPr>
              <w:rFonts w:asciiTheme="majorBidi" w:hAnsiTheme="majorBidi" w:cstheme="majorBidi"/>
              <w:noProof/>
              <w:sz w:val="24"/>
              <w:szCs w:val="24"/>
              <w:lang w:val="en-US"/>
            </w:rPr>
            <w:t>. Retrieved from MacroTrends: https://www.macrotrends.net/countries/EGY/egypt/population</w:t>
          </w:r>
        </w:p>
        <w:p w14:paraId="13A1059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Macrotrends. (2022). </w:t>
          </w:r>
          <w:r w:rsidRPr="009C6DC2">
            <w:rPr>
              <w:rFonts w:asciiTheme="majorBidi" w:hAnsiTheme="majorBidi" w:cstheme="majorBidi"/>
              <w:i/>
              <w:iCs/>
              <w:noProof/>
              <w:sz w:val="24"/>
              <w:szCs w:val="24"/>
              <w:lang w:val="en-US"/>
            </w:rPr>
            <w:t>MacroTrends</w:t>
          </w:r>
          <w:r w:rsidRPr="009C6DC2">
            <w:rPr>
              <w:rFonts w:asciiTheme="majorBidi" w:hAnsiTheme="majorBidi" w:cstheme="majorBidi"/>
              <w:noProof/>
              <w:sz w:val="24"/>
              <w:szCs w:val="24"/>
              <w:lang w:val="en-US"/>
            </w:rPr>
            <w:t>. Retrieved from Egypt Poverty Rate 1990-2022: https://www.macrotrends.net/countries/EGY/egypt/poverty-rate</w:t>
          </w:r>
        </w:p>
        <w:p w14:paraId="2360C861" w14:textId="236E215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Madden, T. J., Ellen, P. S., &amp; Ajzen, I. (1992). </w:t>
          </w:r>
          <w:r w:rsidRPr="009C6DC2">
            <w:rPr>
              <w:rFonts w:asciiTheme="majorBidi" w:hAnsiTheme="majorBidi" w:cstheme="majorBidi"/>
              <w:noProof/>
              <w:sz w:val="24"/>
              <w:szCs w:val="24"/>
              <w:lang w:val="en-US"/>
            </w:rPr>
            <w:t xml:space="preserve">A Comparison of the Theory of Planned Behavior and the Theory of Reasoned Action. </w:t>
          </w:r>
          <w:r w:rsidRPr="009C6DC2">
            <w:rPr>
              <w:rFonts w:asciiTheme="majorBidi" w:hAnsiTheme="majorBidi" w:cstheme="majorBidi"/>
              <w:i/>
              <w:iCs/>
              <w:noProof/>
              <w:sz w:val="24"/>
              <w:szCs w:val="24"/>
              <w:lang w:val="en-US"/>
            </w:rPr>
            <w:t>Personality and Social Psychology Bulletin, 18</w:t>
          </w:r>
          <w:r w:rsidRPr="009C6DC2">
            <w:rPr>
              <w:rFonts w:asciiTheme="majorBidi" w:hAnsiTheme="majorBidi" w:cstheme="majorBidi"/>
              <w:noProof/>
              <w:sz w:val="24"/>
              <w:szCs w:val="24"/>
              <w:lang w:val="en-US"/>
            </w:rPr>
            <w:t>(1), 3-9. doi:https://doi.org/10.1177/0146167292181001</w:t>
          </w:r>
        </w:p>
        <w:p w14:paraId="52F3E623" w14:textId="46FB523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Madueño, J. H., Jorge, M. L., Conesa, I. M., &amp; Martínez-Martínez, D. (2016). Relationship between corporate social responsibility and competitive performance in Spanish SMEs: Empirical evidence from a stakeholders’ perspective. </w:t>
          </w:r>
          <w:r w:rsidRPr="009C6DC2">
            <w:rPr>
              <w:rFonts w:asciiTheme="majorBidi" w:hAnsiTheme="majorBidi" w:cstheme="majorBidi"/>
              <w:i/>
              <w:iCs/>
              <w:noProof/>
              <w:sz w:val="24"/>
              <w:szCs w:val="24"/>
              <w:lang w:val="en-US"/>
            </w:rPr>
            <w:t>Business Research Quarterly, 19</w:t>
          </w:r>
          <w:r w:rsidRPr="009C6DC2">
            <w:rPr>
              <w:rFonts w:asciiTheme="majorBidi" w:hAnsiTheme="majorBidi" w:cstheme="majorBidi"/>
              <w:noProof/>
              <w:sz w:val="24"/>
              <w:szCs w:val="24"/>
              <w:lang w:val="en-US"/>
            </w:rPr>
            <w:t>(1), 55 - 72. doi:https://doi.org/10.1016/j.brq.2015.06.002</w:t>
          </w:r>
        </w:p>
        <w:p w14:paraId="71D0AFB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Madupu , V., Ranganathan, S., &amp; Sen , S. (2018). The Relationship between Consumer Sentiment towards Advertising and Ad Cr tising and Ad Credibility edibility, Ad Lik , Ad Likeability eability, and A , and Attention t ttention to Ads: The case with visual Metaphors. </w:t>
          </w:r>
          <w:r w:rsidRPr="009C6DC2">
            <w:rPr>
              <w:rFonts w:asciiTheme="majorBidi" w:hAnsiTheme="majorBidi" w:cstheme="majorBidi"/>
              <w:i/>
              <w:iCs/>
              <w:noProof/>
              <w:sz w:val="24"/>
              <w:szCs w:val="24"/>
              <w:lang w:val="en-US"/>
            </w:rPr>
            <w:t>Journal of Applied Marketing Theory, 8</w:t>
          </w:r>
          <w:r w:rsidRPr="009C6DC2">
            <w:rPr>
              <w:rFonts w:asciiTheme="majorBidi" w:hAnsiTheme="majorBidi" w:cstheme="majorBidi"/>
              <w:noProof/>
              <w:sz w:val="24"/>
              <w:szCs w:val="24"/>
              <w:lang w:val="en-US"/>
            </w:rPr>
            <w:t xml:space="preserve">(2), 51-64. Retrieved 10 07, 2023, from https://digitalcommons.georgiasouthern.edu/jamt/vol8/iss2/3 </w:t>
          </w:r>
        </w:p>
        <w:p w14:paraId="6DF1177A" w14:textId="7676216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Magiya, J. (2019). </w:t>
          </w:r>
          <w:r w:rsidRPr="009C6DC2">
            <w:rPr>
              <w:rFonts w:asciiTheme="majorBidi" w:hAnsiTheme="majorBidi" w:cstheme="majorBidi"/>
              <w:i/>
              <w:iCs/>
              <w:noProof/>
              <w:sz w:val="24"/>
              <w:szCs w:val="24"/>
              <w:lang w:val="en-US"/>
            </w:rPr>
            <w:t>Kendall Rank Correlation Explained.</w:t>
          </w:r>
          <w:r w:rsidRPr="009C6DC2">
            <w:rPr>
              <w:rFonts w:asciiTheme="majorBidi" w:hAnsiTheme="majorBidi" w:cstheme="majorBidi"/>
              <w:noProof/>
              <w:sz w:val="24"/>
              <w:szCs w:val="24"/>
              <w:lang w:val="en-US"/>
            </w:rPr>
            <w:t xml:space="preserve"> Retrieved 01 17, 2023, from Towards data science: https://towardsdatascience.com/kendall-rank-correlation-explained-dee01d99c535#:~:text=Kendall%20rank%20correlation%20(non%2Dparametric)%20is%20an%20alternative%20to,and%20has%20many%20tied%20ranks.</w:t>
          </w:r>
        </w:p>
        <w:p w14:paraId="551E9F07" w14:textId="5196249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Magnoni, F., Valette-Florence, P., &amp; De Barniera, V. (2021). </w:t>
          </w:r>
          <w:r w:rsidRPr="009C6DC2">
            <w:rPr>
              <w:rFonts w:asciiTheme="majorBidi" w:hAnsiTheme="majorBidi" w:cstheme="majorBidi"/>
              <w:noProof/>
              <w:sz w:val="24"/>
              <w:szCs w:val="24"/>
              <w:lang w:val="en-US"/>
            </w:rPr>
            <w:t xml:space="preserve">Modeling the effects of place heritage and place experience on residents’ behavioral intentions toward a city: A mediation analysis. </w:t>
          </w:r>
          <w:r w:rsidRPr="009C6DC2">
            <w:rPr>
              <w:rFonts w:asciiTheme="majorBidi" w:hAnsiTheme="majorBidi" w:cstheme="majorBidi"/>
              <w:i/>
              <w:iCs/>
              <w:noProof/>
              <w:sz w:val="24"/>
              <w:szCs w:val="24"/>
              <w:lang w:val="en-US"/>
            </w:rPr>
            <w:t>Journal of Business Research, 134</w:t>
          </w:r>
          <w:r w:rsidRPr="009C6DC2">
            <w:rPr>
              <w:rFonts w:asciiTheme="majorBidi" w:hAnsiTheme="majorBidi" w:cstheme="majorBidi"/>
              <w:noProof/>
              <w:sz w:val="24"/>
              <w:szCs w:val="24"/>
              <w:lang w:val="en-US"/>
            </w:rPr>
            <w:t>, 428-442.</w:t>
          </w:r>
        </w:p>
        <w:p w14:paraId="12C7A530" w14:textId="14D9F47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Mahadeo, J. D., Oogarah-Hanuman, V., &amp; Soobaroyen, T. (2011). A Longitudinal Study of Corporate Social Disclosures in a Developing Economy. </w:t>
          </w:r>
          <w:r w:rsidRPr="009C6DC2">
            <w:rPr>
              <w:rFonts w:asciiTheme="majorBidi" w:hAnsiTheme="majorBidi" w:cstheme="majorBidi"/>
              <w:i/>
              <w:iCs/>
              <w:noProof/>
              <w:sz w:val="24"/>
              <w:szCs w:val="24"/>
              <w:lang w:val="en-US"/>
            </w:rPr>
            <w:t>Journal of Business Ethics, 104</w:t>
          </w:r>
          <w:r w:rsidRPr="009C6DC2">
            <w:rPr>
              <w:rFonts w:asciiTheme="majorBidi" w:hAnsiTheme="majorBidi" w:cstheme="majorBidi"/>
              <w:noProof/>
              <w:sz w:val="24"/>
              <w:szCs w:val="24"/>
              <w:lang w:val="en-US"/>
            </w:rPr>
            <w:t>(4), 545-558. doi:10.1007/s10551-011-0929-3</w:t>
          </w:r>
        </w:p>
        <w:p w14:paraId="1018ED85" w14:textId="05C6BD0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Mahanti, S. (2022). Impact of Social media on TV Journalism: A study with reference to Twitter and Face book. </w:t>
          </w:r>
          <w:r w:rsidRPr="009C6DC2">
            <w:rPr>
              <w:rFonts w:asciiTheme="majorBidi" w:hAnsiTheme="majorBidi" w:cstheme="majorBidi"/>
              <w:i/>
              <w:iCs/>
              <w:noProof/>
              <w:sz w:val="24"/>
              <w:szCs w:val="24"/>
              <w:lang w:val="en-US"/>
            </w:rPr>
            <w:t>International Journal of Economic Perspectives, 16</w:t>
          </w:r>
          <w:r w:rsidRPr="009C6DC2">
            <w:rPr>
              <w:rFonts w:asciiTheme="majorBidi" w:hAnsiTheme="majorBidi" w:cstheme="majorBidi"/>
              <w:noProof/>
              <w:sz w:val="24"/>
              <w:szCs w:val="24"/>
              <w:lang w:val="en-US"/>
            </w:rPr>
            <w:t>(3), 1-9. Retrieved 02 21, 2023, from http://www.ijeponline.org/index.php/journal/article/view/132</w:t>
          </w:r>
        </w:p>
        <w:p w14:paraId="275CBAF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Malhotra, N. K., &amp; McCort, J. D. (2001). </w:t>
          </w:r>
          <w:r w:rsidRPr="009C6DC2">
            <w:rPr>
              <w:rFonts w:asciiTheme="majorBidi" w:hAnsiTheme="majorBidi" w:cstheme="majorBidi"/>
              <w:noProof/>
              <w:sz w:val="24"/>
              <w:szCs w:val="24"/>
              <w:lang w:val="en-US"/>
            </w:rPr>
            <w:t xml:space="preserve">A cross‐cultural comparison of behavioral intention models: theoretical consideration and an empirical investigation. </w:t>
          </w:r>
          <w:r w:rsidRPr="009C6DC2">
            <w:rPr>
              <w:rFonts w:asciiTheme="majorBidi" w:hAnsiTheme="majorBidi" w:cstheme="majorBidi"/>
              <w:i/>
              <w:iCs/>
              <w:noProof/>
              <w:sz w:val="24"/>
              <w:szCs w:val="24"/>
              <w:lang w:val="en-US"/>
            </w:rPr>
            <w:t>International Marketing Review, 18</w:t>
          </w:r>
          <w:r w:rsidRPr="009C6DC2">
            <w:rPr>
              <w:rFonts w:asciiTheme="majorBidi" w:hAnsiTheme="majorBidi" w:cstheme="majorBidi"/>
              <w:noProof/>
              <w:sz w:val="24"/>
              <w:szCs w:val="24"/>
              <w:lang w:val="en-US"/>
            </w:rPr>
            <w:t>(3), 235-269. Retrieved 03 04, 2023</w:t>
          </w:r>
        </w:p>
        <w:p w14:paraId="2B7C8F2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Mamo, Y., Agyemang, K. J., &amp; Andrew, D. P. (2021). Types of CSR Initiatives and Fans’ Social Outcomes: The case of professional Sport Organizations. </w:t>
          </w:r>
          <w:r w:rsidRPr="009C6DC2">
            <w:rPr>
              <w:rFonts w:asciiTheme="majorBidi" w:hAnsiTheme="majorBidi" w:cstheme="majorBidi"/>
              <w:i/>
              <w:iCs/>
              <w:noProof/>
              <w:sz w:val="24"/>
              <w:szCs w:val="24"/>
              <w:lang w:val="en-US"/>
            </w:rPr>
            <w:t>Sports Marketing Quarterly, 30</w:t>
          </w:r>
          <w:r w:rsidRPr="009C6DC2">
            <w:rPr>
              <w:rFonts w:asciiTheme="majorBidi" w:hAnsiTheme="majorBidi" w:cstheme="majorBidi"/>
              <w:noProof/>
              <w:sz w:val="24"/>
              <w:szCs w:val="24"/>
              <w:lang w:val="en-US"/>
            </w:rPr>
            <w:t>(2), 146-160. doi:http://doi.org/10.32731/SMQ.302.062021.06</w:t>
          </w:r>
        </w:p>
        <w:p w14:paraId="648CE90A" w14:textId="31672E1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Manimalar, R. (2018). In order to understand consumer responses to CSR, companies need to consider not only external. </w:t>
          </w:r>
          <w:r w:rsidRPr="009C6DC2">
            <w:rPr>
              <w:rFonts w:asciiTheme="majorBidi" w:hAnsiTheme="majorBidi" w:cstheme="majorBidi"/>
              <w:i/>
              <w:iCs/>
              <w:noProof/>
              <w:sz w:val="24"/>
              <w:szCs w:val="24"/>
              <w:lang w:val="en-US"/>
            </w:rPr>
            <w:t>International Journal in Management and Social Science, 3</w:t>
          </w:r>
          <w:r w:rsidRPr="009C6DC2">
            <w:rPr>
              <w:rFonts w:asciiTheme="majorBidi" w:hAnsiTheme="majorBidi" w:cstheme="majorBidi"/>
              <w:noProof/>
              <w:sz w:val="24"/>
              <w:szCs w:val="24"/>
              <w:lang w:val="en-US"/>
            </w:rPr>
            <w:t>(7), 593 - 603. Retrieved 12 26, 2021, from https://www.academia.edu/38680970/Consumer_Responses_to_CSR_initiatives_with_reference_to_FMCG_Brands_Domex_and_Pampers</w:t>
          </w:r>
        </w:p>
        <w:p w14:paraId="0CD519F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Mann, B. J., &amp; Ghuman, M. K. (2018). </w:t>
          </w:r>
          <w:r w:rsidRPr="009C6DC2">
            <w:rPr>
              <w:rFonts w:asciiTheme="majorBidi" w:hAnsiTheme="majorBidi" w:cstheme="majorBidi"/>
              <w:noProof/>
              <w:sz w:val="24"/>
              <w:szCs w:val="24"/>
              <w:lang w:val="en-US"/>
            </w:rPr>
            <w:t xml:space="preserve">What and how to communicate about a corporate brand with the consumers: An exploratory study. </w:t>
          </w:r>
          <w:r w:rsidRPr="009C6DC2">
            <w:rPr>
              <w:rFonts w:asciiTheme="majorBidi" w:hAnsiTheme="majorBidi" w:cstheme="majorBidi"/>
              <w:i/>
              <w:iCs/>
              <w:noProof/>
              <w:sz w:val="24"/>
              <w:szCs w:val="24"/>
              <w:lang w:val="en-US"/>
            </w:rPr>
            <w:t>Journal of Marketing Communications, 24</w:t>
          </w:r>
          <w:r w:rsidRPr="009C6DC2">
            <w:rPr>
              <w:rFonts w:asciiTheme="majorBidi" w:hAnsiTheme="majorBidi" w:cstheme="majorBidi"/>
              <w:noProof/>
              <w:sz w:val="24"/>
              <w:szCs w:val="24"/>
              <w:lang w:val="en-US"/>
            </w:rPr>
            <w:t>(3), 230-249. doi:https://doi.org/10.1080/13527266.2014.995206</w:t>
          </w:r>
        </w:p>
        <w:p w14:paraId="66522A2A" w14:textId="1604EE2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Manstead, A. S. (2011). The benefits of a critical stance: A reflection on past papers on the theories of reasoned action and planned behaviour. </w:t>
          </w:r>
          <w:r w:rsidRPr="009C6DC2">
            <w:rPr>
              <w:rFonts w:asciiTheme="majorBidi" w:hAnsiTheme="majorBidi" w:cstheme="majorBidi"/>
              <w:i/>
              <w:iCs/>
              <w:noProof/>
              <w:sz w:val="24"/>
              <w:szCs w:val="24"/>
              <w:lang w:val="en-US"/>
            </w:rPr>
            <w:t>British Journal of Social Psychology, 50</w:t>
          </w:r>
          <w:r w:rsidRPr="009C6DC2">
            <w:rPr>
              <w:rFonts w:asciiTheme="majorBidi" w:hAnsiTheme="majorBidi" w:cstheme="majorBidi"/>
              <w:noProof/>
              <w:sz w:val="24"/>
              <w:szCs w:val="24"/>
              <w:lang w:val="en-US"/>
            </w:rPr>
            <w:t>(3), 366-373. doi:https://doi.org/10.1111/j.2044-8309.2011.02043.x</w:t>
          </w:r>
        </w:p>
        <w:p w14:paraId="79287CBF" w14:textId="0B859B0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Marakova, V., Wolak-Tuzimek, A., &amp; Tuckova , Z. (2021). </w:t>
          </w:r>
          <w:r w:rsidRPr="009C6DC2">
            <w:rPr>
              <w:rFonts w:asciiTheme="majorBidi" w:hAnsiTheme="majorBidi" w:cstheme="majorBidi"/>
              <w:noProof/>
              <w:sz w:val="24"/>
              <w:szCs w:val="24"/>
              <w:lang w:val="en-US"/>
            </w:rPr>
            <w:t xml:space="preserve">Corporate Social Responsibility As a Source of Competitive Advantage in Large Enterprise. </w:t>
          </w:r>
          <w:r w:rsidRPr="009C6DC2">
            <w:rPr>
              <w:rFonts w:asciiTheme="majorBidi" w:hAnsiTheme="majorBidi" w:cstheme="majorBidi"/>
              <w:i/>
              <w:iCs/>
              <w:noProof/>
              <w:sz w:val="24"/>
              <w:szCs w:val="24"/>
              <w:lang w:val="en-US"/>
            </w:rPr>
            <w:t>Journal of Competitiveness, 13</w:t>
          </w:r>
          <w:r w:rsidRPr="009C6DC2">
            <w:rPr>
              <w:rFonts w:asciiTheme="majorBidi" w:hAnsiTheme="majorBidi" w:cstheme="majorBidi"/>
              <w:noProof/>
              <w:sz w:val="24"/>
              <w:szCs w:val="24"/>
              <w:lang w:val="en-US"/>
            </w:rPr>
            <w:t>(1), 113-128. doi:https://doi.org/10.7441/joc.2021.01.07</w:t>
          </w:r>
        </w:p>
        <w:p w14:paraId="2146B662" w14:textId="7E834E8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Marcketti, S. B., &amp; Shelley, M. C. (2009</w:t>
          </w:r>
          <w:r w:rsidR="003402FD">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Consumer concern, knowledge and attitude towards counterfeit apparel products. </w:t>
          </w:r>
          <w:r w:rsidRPr="009C6DC2">
            <w:rPr>
              <w:rFonts w:asciiTheme="majorBidi" w:hAnsiTheme="majorBidi" w:cstheme="majorBidi"/>
              <w:i/>
              <w:iCs/>
              <w:noProof/>
              <w:sz w:val="24"/>
              <w:szCs w:val="24"/>
              <w:lang w:val="en-US"/>
            </w:rPr>
            <w:t>International IJC, 33</w:t>
          </w:r>
          <w:r w:rsidRPr="009C6DC2">
            <w:rPr>
              <w:rFonts w:asciiTheme="majorBidi" w:hAnsiTheme="majorBidi" w:cstheme="majorBidi"/>
              <w:noProof/>
              <w:sz w:val="24"/>
              <w:szCs w:val="24"/>
              <w:lang w:val="en-US"/>
            </w:rPr>
            <w:t>(3), 327-337. doi:10.1111/j.1470-6431.2009.00748.x</w:t>
          </w:r>
        </w:p>
        <w:p w14:paraId="30CF7EFB" w14:textId="41EC99C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Martig , N., &amp; Bernauer, J. (2018). The Halo Effect: Perceptions of Diffuse Threat and SVP Vote Share. </w:t>
          </w:r>
          <w:r w:rsidRPr="009C6DC2">
            <w:rPr>
              <w:rFonts w:asciiTheme="majorBidi" w:hAnsiTheme="majorBidi" w:cstheme="majorBidi"/>
              <w:i/>
              <w:iCs/>
              <w:noProof/>
              <w:sz w:val="24"/>
              <w:szCs w:val="24"/>
              <w:lang w:val="en-US"/>
            </w:rPr>
            <w:t>World Political Science, 14</w:t>
          </w:r>
          <w:r w:rsidRPr="009C6DC2">
            <w:rPr>
              <w:rFonts w:asciiTheme="majorBidi" w:hAnsiTheme="majorBidi" w:cstheme="majorBidi"/>
              <w:noProof/>
              <w:sz w:val="24"/>
              <w:szCs w:val="24"/>
              <w:lang w:val="en-US"/>
            </w:rPr>
            <w:t>(1). doi:https://doi.org/10.1515/wps-2018-0002</w:t>
          </w:r>
        </w:p>
        <w:p w14:paraId="23473190" w14:textId="2ECDDD1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Martínez, A., Schmuck, C., Pereverzyev Jr., S., Pirker, C., &amp; Haltmeier, M. (2020). A machine learning framework for customer purchase prediction in the non-contractual setting. </w:t>
          </w:r>
          <w:r w:rsidRPr="009C6DC2">
            <w:rPr>
              <w:rFonts w:asciiTheme="majorBidi" w:hAnsiTheme="majorBidi" w:cstheme="majorBidi"/>
              <w:i/>
              <w:iCs/>
              <w:noProof/>
              <w:sz w:val="24"/>
              <w:szCs w:val="24"/>
              <w:lang w:val="en-US"/>
            </w:rPr>
            <w:t>European Journal of Operational Research, 281</w:t>
          </w:r>
          <w:r w:rsidRPr="009C6DC2">
            <w:rPr>
              <w:rFonts w:asciiTheme="majorBidi" w:hAnsiTheme="majorBidi" w:cstheme="majorBidi"/>
              <w:noProof/>
              <w:sz w:val="24"/>
              <w:szCs w:val="24"/>
              <w:lang w:val="en-US"/>
            </w:rPr>
            <w:t>(03), 588-596. doi:https://doi.org/10.1016/j.ejor.2018.04.034</w:t>
          </w:r>
        </w:p>
        <w:p w14:paraId="7D4514A3" w14:textId="33D33E7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Martinho , G., Pires, A., Portela, G., &amp; Fonseca, M. (2015). Factors affecting consumers’ choices concerning sustainable packaging during product purchase and recycling. </w:t>
          </w:r>
          <w:r w:rsidRPr="009C6DC2">
            <w:rPr>
              <w:rFonts w:asciiTheme="majorBidi" w:hAnsiTheme="majorBidi" w:cstheme="majorBidi"/>
              <w:i/>
              <w:iCs/>
              <w:noProof/>
              <w:sz w:val="24"/>
              <w:szCs w:val="24"/>
              <w:lang w:val="en-US"/>
            </w:rPr>
            <w:t>Martinho, Graça; Pires, Ana; Portela, Gonçalo; Fonseca, Miguel (2015). Factors affecting consumers’Resources, Conservation and Recycling, 103</w:t>
          </w:r>
          <w:r w:rsidRPr="009C6DC2">
            <w:rPr>
              <w:rFonts w:asciiTheme="majorBidi" w:hAnsiTheme="majorBidi" w:cstheme="majorBidi"/>
              <w:noProof/>
              <w:sz w:val="24"/>
              <w:szCs w:val="24"/>
              <w:lang w:val="en-US"/>
            </w:rPr>
            <w:t>, 58-68. doi:https://doi.org/10.1016/j.resconrec.2015.07.012</w:t>
          </w:r>
        </w:p>
        <w:p w14:paraId="5E359B50" w14:textId="53BCA53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Martins, J. B., Costa, C., Oliveira, T., Gonçalves, R., &amp; Branco, F. (2018). How smartphone advertising influences consumers' purchase intention. </w:t>
          </w:r>
          <w:r w:rsidRPr="009C6DC2">
            <w:rPr>
              <w:rFonts w:asciiTheme="majorBidi" w:hAnsiTheme="majorBidi" w:cstheme="majorBidi"/>
              <w:i/>
              <w:iCs/>
              <w:noProof/>
              <w:sz w:val="24"/>
              <w:szCs w:val="24"/>
              <w:lang w:val="en-US"/>
            </w:rPr>
            <w:t>Journal of Business Research, 94</w:t>
          </w:r>
          <w:r w:rsidRPr="009C6DC2">
            <w:rPr>
              <w:rFonts w:asciiTheme="majorBidi" w:hAnsiTheme="majorBidi" w:cstheme="majorBidi"/>
              <w:noProof/>
              <w:sz w:val="24"/>
              <w:szCs w:val="24"/>
              <w:lang w:val="en-US"/>
            </w:rPr>
            <w:t>(2). doi:10.1016/j.jbusres.2017.12.047</w:t>
          </w:r>
        </w:p>
        <w:p w14:paraId="49942DB2" w14:textId="25D11E9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Mashuri, S., Sarib, M., Alhabsyi, F., Syam, H., &amp; Ruslin, R. (2022). Semi-structured Interview: A Methodological Reflection on the Development of a Qualitative Research Instrument in Educational Studies. </w:t>
          </w:r>
          <w:r w:rsidRPr="009C6DC2">
            <w:rPr>
              <w:rFonts w:asciiTheme="majorBidi" w:hAnsiTheme="majorBidi" w:cstheme="majorBidi"/>
              <w:i/>
              <w:iCs/>
              <w:noProof/>
              <w:sz w:val="24"/>
              <w:szCs w:val="24"/>
              <w:lang w:val="en-US"/>
            </w:rPr>
            <w:t>Journal of Research &amp; Method in Education, 12</w:t>
          </w:r>
          <w:r w:rsidRPr="009C6DC2">
            <w:rPr>
              <w:rFonts w:asciiTheme="majorBidi" w:hAnsiTheme="majorBidi" w:cstheme="majorBidi"/>
              <w:noProof/>
              <w:sz w:val="24"/>
              <w:szCs w:val="24"/>
              <w:lang w:val="en-US"/>
            </w:rPr>
            <w:t>(01), 22-29. doi:10.9790/7388-1201052229</w:t>
          </w:r>
        </w:p>
        <w:p w14:paraId="54A9D324" w14:textId="49F5AC0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Matthes, J., Wonneberger, A., &amp; Schmuck, D. (2014). Consumers' green involvement and the persuasive effects of emotional versus functional ads. </w:t>
          </w:r>
          <w:r w:rsidRPr="009C6DC2">
            <w:rPr>
              <w:rFonts w:asciiTheme="majorBidi" w:hAnsiTheme="majorBidi" w:cstheme="majorBidi"/>
              <w:i/>
              <w:iCs/>
              <w:noProof/>
              <w:sz w:val="24"/>
              <w:szCs w:val="24"/>
              <w:lang w:val="en-US"/>
            </w:rPr>
            <w:t>Journal of Business Research, 67</w:t>
          </w:r>
          <w:r w:rsidRPr="009C6DC2">
            <w:rPr>
              <w:rFonts w:asciiTheme="majorBidi" w:hAnsiTheme="majorBidi" w:cstheme="majorBidi"/>
              <w:noProof/>
              <w:sz w:val="24"/>
              <w:szCs w:val="24"/>
              <w:lang w:val="en-US"/>
            </w:rPr>
            <w:t>(9), 1885-1893. doi:https://doi.org/10.1016/j.jbusres.2013.11.054</w:t>
          </w:r>
        </w:p>
        <w:p w14:paraId="1215DEE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Mattila, A. S., &amp; Wirtz, J. (2001). </w:t>
          </w:r>
          <w:r w:rsidRPr="009C6DC2">
            <w:rPr>
              <w:rFonts w:asciiTheme="majorBidi" w:hAnsiTheme="majorBidi" w:cstheme="majorBidi"/>
              <w:noProof/>
              <w:sz w:val="24"/>
              <w:szCs w:val="24"/>
              <w:lang w:val="en-US"/>
            </w:rPr>
            <w:t xml:space="preserve">Congruency of scent and music as a driver of in-store evaluations and behavior. </w:t>
          </w:r>
          <w:r w:rsidRPr="009C6DC2">
            <w:rPr>
              <w:rFonts w:asciiTheme="majorBidi" w:hAnsiTheme="majorBidi" w:cstheme="majorBidi"/>
              <w:i/>
              <w:iCs/>
              <w:noProof/>
              <w:sz w:val="24"/>
              <w:szCs w:val="24"/>
              <w:lang w:val="en-US"/>
            </w:rPr>
            <w:t>Journal of Retailing, 77</w:t>
          </w:r>
          <w:r w:rsidRPr="009C6DC2">
            <w:rPr>
              <w:rFonts w:asciiTheme="majorBidi" w:hAnsiTheme="majorBidi" w:cstheme="majorBidi"/>
              <w:noProof/>
              <w:sz w:val="24"/>
              <w:szCs w:val="24"/>
              <w:lang w:val="en-US"/>
            </w:rPr>
            <w:t>(2), 273-289.</w:t>
          </w:r>
        </w:p>
        <w:p w14:paraId="6C140632" w14:textId="6BB9B83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Mattila, A. S., Hanks, L., &amp; Kim, E. E. (2010). The impact of company type and corporate social responsibility messaging on consumer perceptions. </w:t>
          </w:r>
          <w:r w:rsidRPr="009C6DC2">
            <w:rPr>
              <w:rFonts w:asciiTheme="majorBidi" w:hAnsiTheme="majorBidi" w:cstheme="majorBidi"/>
              <w:i/>
              <w:iCs/>
              <w:noProof/>
              <w:sz w:val="24"/>
              <w:szCs w:val="24"/>
              <w:lang w:val="en-US"/>
            </w:rPr>
            <w:t>Journal of Financial Services Marketing</w:t>
          </w:r>
          <w:r w:rsidRPr="009C6DC2">
            <w:rPr>
              <w:rFonts w:asciiTheme="majorBidi" w:hAnsiTheme="majorBidi" w:cstheme="majorBidi"/>
              <w:noProof/>
              <w:sz w:val="24"/>
              <w:szCs w:val="24"/>
              <w:lang w:val="en-US"/>
            </w:rPr>
            <w:t>, 126-135. doi:10.1057/fsm.2010.10</w:t>
          </w:r>
        </w:p>
        <w:p w14:paraId="573EAFA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May, A. (2017). Simple Descriptive Statistics. In </w:t>
          </w:r>
          <w:r w:rsidRPr="009C6DC2">
            <w:rPr>
              <w:rFonts w:asciiTheme="majorBidi" w:hAnsiTheme="majorBidi" w:cstheme="majorBidi"/>
              <w:i/>
              <w:iCs/>
              <w:noProof/>
              <w:sz w:val="24"/>
              <w:szCs w:val="24"/>
              <w:lang w:val="en-US"/>
            </w:rPr>
            <w:t>The SAGE Encyclopedia of Communication Research Methods</w:t>
          </w:r>
          <w:r w:rsidRPr="009C6DC2">
            <w:rPr>
              <w:rFonts w:asciiTheme="majorBidi" w:hAnsiTheme="majorBidi" w:cstheme="majorBidi"/>
              <w:noProof/>
              <w:sz w:val="24"/>
              <w:szCs w:val="24"/>
              <w:lang w:val="en-US"/>
            </w:rPr>
            <w:t xml:space="preserve"> (Vols. 1-4). Sage Publications. doi:https://doi.org/10.4135/9781483381411</w:t>
          </w:r>
        </w:p>
        <w:p w14:paraId="1AE5DE3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May, D. R., Gilson, R. L., &amp; Harter, L. M. (2004). The psychological conditions of meaningfulness, safety and availability and the engagement of the human spirit at work. </w:t>
          </w:r>
          <w:r w:rsidRPr="009C6DC2">
            <w:rPr>
              <w:rFonts w:asciiTheme="majorBidi" w:hAnsiTheme="majorBidi" w:cstheme="majorBidi"/>
              <w:i/>
              <w:iCs/>
              <w:noProof/>
              <w:sz w:val="24"/>
              <w:szCs w:val="24"/>
              <w:lang w:val="en-US"/>
            </w:rPr>
            <w:t>Journal of Occupational and Organizational Psychology, 77</w:t>
          </w:r>
          <w:r w:rsidRPr="009C6DC2">
            <w:rPr>
              <w:rFonts w:asciiTheme="majorBidi" w:hAnsiTheme="majorBidi" w:cstheme="majorBidi"/>
              <w:noProof/>
              <w:sz w:val="24"/>
              <w:szCs w:val="24"/>
              <w:lang w:val="en-US"/>
            </w:rPr>
            <w:t>(01), 11-37. doi:https://doi.org/10.1348/096317904322915892</w:t>
          </w:r>
        </w:p>
        <w:p w14:paraId="7F8A5BBC" w14:textId="086107F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Mazbouh-Moussa, R., &amp; Ohtsuka, K. (2017). </w:t>
          </w:r>
          <w:r w:rsidRPr="009C6DC2">
            <w:rPr>
              <w:rFonts w:asciiTheme="majorBidi" w:hAnsiTheme="majorBidi" w:cstheme="majorBidi"/>
              <w:noProof/>
              <w:sz w:val="24"/>
              <w:szCs w:val="24"/>
              <w:lang w:val="en-US"/>
            </w:rPr>
            <w:t xml:space="preserve">Cultural competence in working with the Arab Australian community: a conceptual review and the experience of the Arab Council Australia (ACA) gambling help counselling service. </w:t>
          </w:r>
          <w:r w:rsidRPr="009C6DC2">
            <w:rPr>
              <w:rFonts w:asciiTheme="majorBidi" w:hAnsiTheme="majorBidi" w:cstheme="majorBidi"/>
              <w:i/>
              <w:iCs/>
              <w:noProof/>
              <w:sz w:val="24"/>
              <w:szCs w:val="24"/>
              <w:lang w:val="en-US"/>
            </w:rPr>
            <w:t>Asian Journal of Gambling Issues and Public Health, 7</w:t>
          </w:r>
          <w:r w:rsidRPr="009C6DC2">
            <w:rPr>
              <w:rFonts w:asciiTheme="majorBidi" w:hAnsiTheme="majorBidi" w:cstheme="majorBidi"/>
              <w:noProof/>
              <w:sz w:val="24"/>
              <w:szCs w:val="24"/>
              <w:lang w:val="en-US"/>
            </w:rPr>
            <w:t>(1). doi:10.1186/s40405-017-0029-0</w:t>
          </w:r>
        </w:p>
        <w:p w14:paraId="79EE3C3F" w14:textId="57928B5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McCrae, R. R., Kurtz, J. E., Yamagata, S., &amp; Terracciano, A. (201</w:t>
          </w:r>
          <w:r w:rsidR="00731EE2">
            <w:rPr>
              <w:rFonts w:asciiTheme="majorBidi" w:hAnsiTheme="majorBidi" w:cstheme="majorBidi"/>
              <w:noProof/>
              <w:sz w:val="24"/>
              <w:szCs w:val="24"/>
              <w:lang w:val="sv-SE"/>
            </w:rPr>
            <w:t>1</w:t>
          </w:r>
          <w:r w:rsidRPr="009C6DC2">
            <w:rPr>
              <w:rFonts w:asciiTheme="majorBidi" w:hAnsiTheme="majorBidi" w:cstheme="majorBidi"/>
              <w:noProof/>
              <w:sz w:val="24"/>
              <w:szCs w:val="24"/>
              <w:lang w:val="sv-SE"/>
            </w:rPr>
            <w:t xml:space="preserve">). </w:t>
          </w:r>
          <w:r w:rsidRPr="009C6DC2">
            <w:rPr>
              <w:rFonts w:asciiTheme="majorBidi" w:hAnsiTheme="majorBidi" w:cstheme="majorBidi"/>
              <w:noProof/>
              <w:sz w:val="24"/>
              <w:szCs w:val="24"/>
              <w:lang w:val="en-US"/>
            </w:rPr>
            <w:t xml:space="preserve">Internal Consistency, Retest Reliability, and their Implications For Personality Scale Validity. </w:t>
          </w:r>
          <w:r w:rsidRPr="009C6DC2">
            <w:rPr>
              <w:rFonts w:asciiTheme="majorBidi" w:hAnsiTheme="majorBidi" w:cstheme="majorBidi"/>
              <w:i/>
              <w:iCs/>
              <w:noProof/>
              <w:sz w:val="24"/>
              <w:szCs w:val="24"/>
              <w:lang w:val="en-US"/>
            </w:rPr>
            <w:t>Personality and Social Psychology Review, 15</w:t>
          </w:r>
          <w:r w:rsidRPr="009C6DC2">
            <w:rPr>
              <w:rFonts w:asciiTheme="majorBidi" w:hAnsiTheme="majorBidi" w:cstheme="majorBidi"/>
              <w:noProof/>
              <w:sz w:val="24"/>
              <w:szCs w:val="24"/>
              <w:lang w:val="en-US"/>
            </w:rPr>
            <w:t>(1), 28-50. doi:10.1177/1088868310366253</w:t>
          </w:r>
        </w:p>
        <w:p w14:paraId="438A2DF4" w14:textId="355D962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McDonald, P. (2019). How Factorial Survey Analysis Improves Our Understanding of Employer Preferences. </w:t>
          </w:r>
          <w:r w:rsidRPr="009C6DC2">
            <w:rPr>
              <w:rFonts w:asciiTheme="majorBidi" w:hAnsiTheme="majorBidi" w:cstheme="majorBidi"/>
              <w:i/>
              <w:iCs/>
              <w:noProof/>
              <w:sz w:val="24"/>
              <w:szCs w:val="24"/>
              <w:lang w:val="en-US"/>
            </w:rPr>
            <w:t>Swiss Journal of Sociology, 45</w:t>
          </w:r>
          <w:r w:rsidRPr="009C6DC2">
            <w:rPr>
              <w:rFonts w:asciiTheme="majorBidi" w:hAnsiTheme="majorBidi" w:cstheme="majorBidi"/>
              <w:noProof/>
              <w:sz w:val="24"/>
              <w:szCs w:val="24"/>
              <w:lang w:val="en-US"/>
            </w:rPr>
            <w:t>(02), 237-260. doi:10.2478/sjs-2019-0011</w:t>
          </w:r>
        </w:p>
        <w:p w14:paraId="2711C73A" w14:textId="444E206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McGrath, C., Palmgren, P. J., &amp; Liljedahl, M. (2018). Twelve tips for conducting qualitative research. </w:t>
          </w:r>
          <w:r w:rsidRPr="009C6DC2">
            <w:rPr>
              <w:rFonts w:asciiTheme="majorBidi" w:hAnsiTheme="majorBidi" w:cstheme="majorBidi"/>
              <w:i/>
              <w:iCs/>
              <w:noProof/>
              <w:sz w:val="24"/>
              <w:szCs w:val="24"/>
              <w:lang w:val="en-US"/>
            </w:rPr>
            <w:t>Medical Teacher, 41</w:t>
          </w:r>
          <w:r w:rsidRPr="009C6DC2">
            <w:rPr>
              <w:rFonts w:asciiTheme="majorBidi" w:hAnsiTheme="majorBidi" w:cstheme="majorBidi"/>
              <w:noProof/>
              <w:sz w:val="24"/>
              <w:szCs w:val="24"/>
              <w:lang w:val="en-US"/>
            </w:rPr>
            <w:t>(09), 1002-1006. Retrieved 08 21, 2022, from https://doi.org/10.1080/0142159X.2018.1497149</w:t>
          </w:r>
        </w:p>
        <w:p w14:paraId="7014D0E3" w14:textId="4F69C14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McLeod, S. (2014). </w:t>
          </w:r>
          <w:r w:rsidRPr="009C6DC2">
            <w:rPr>
              <w:rFonts w:asciiTheme="majorBidi" w:hAnsiTheme="majorBidi" w:cstheme="majorBidi"/>
              <w:i/>
              <w:iCs/>
              <w:noProof/>
              <w:sz w:val="24"/>
              <w:szCs w:val="24"/>
              <w:lang w:val="en-US"/>
            </w:rPr>
            <w:t>The Interview Research Method</w:t>
          </w:r>
          <w:r w:rsidRPr="009C6DC2">
            <w:rPr>
              <w:rFonts w:asciiTheme="majorBidi" w:hAnsiTheme="majorBidi" w:cstheme="majorBidi"/>
              <w:noProof/>
              <w:sz w:val="24"/>
              <w:szCs w:val="24"/>
              <w:lang w:val="en-US"/>
            </w:rPr>
            <w:t>. Retrieved from Simply Psychology: https://www.simplypsychology.org/interviews.html</w:t>
          </w:r>
        </w:p>
        <w:p w14:paraId="699E85FB" w14:textId="2CFAC31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McNamara, C. (2022). General Guidelines for Conducting Research Interviews. </w:t>
          </w:r>
          <w:r w:rsidRPr="009C6DC2">
            <w:rPr>
              <w:rFonts w:asciiTheme="majorBidi" w:hAnsiTheme="majorBidi" w:cstheme="majorBidi"/>
              <w:i/>
              <w:iCs/>
              <w:noProof/>
              <w:sz w:val="24"/>
              <w:szCs w:val="24"/>
              <w:lang w:val="en-US"/>
            </w:rPr>
            <w:t>Management Library</w:t>
          </w:r>
          <w:r w:rsidRPr="009C6DC2">
            <w:rPr>
              <w:rFonts w:asciiTheme="majorBidi" w:hAnsiTheme="majorBidi" w:cstheme="majorBidi"/>
              <w:noProof/>
              <w:sz w:val="24"/>
              <w:szCs w:val="24"/>
              <w:lang w:val="en-US"/>
            </w:rPr>
            <w:t>. Retrieved 08 17, 2022, from https://managementhelp.org/businessresearch/interviews.htm</w:t>
          </w:r>
        </w:p>
        <w:p w14:paraId="0186CF3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Mehrabian, A., &amp; Russell, J. A. (1974). </w:t>
          </w:r>
          <w:r w:rsidRPr="009C6DC2">
            <w:rPr>
              <w:rFonts w:asciiTheme="majorBidi" w:hAnsiTheme="majorBidi" w:cstheme="majorBidi"/>
              <w:i/>
              <w:iCs/>
              <w:noProof/>
              <w:sz w:val="24"/>
              <w:szCs w:val="24"/>
              <w:lang w:val="en-US"/>
            </w:rPr>
            <w:t>An Approach to Environmental Psychology.</w:t>
          </w:r>
          <w:r w:rsidRPr="009C6DC2">
            <w:rPr>
              <w:rFonts w:asciiTheme="majorBidi" w:hAnsiTheme="majorBidi" w:cstheme="majorBidi"/>
              <w:noProof/>
              <w:sz w:val="24"/>
              <w:szCs w:val="24"/>
              <w:lang w:val="en-US"/>
            </w:rPr>
            <w:t xml:space="preserve"> The MIT Press.</w:t>
          </w:r>
        </w:p>
        <w:p w14:paraId="2BC85370" w14:textId="0FA75CC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Mele, V., &amp; Belardinelli, P. (2019). Mixed Methods in Public Administration Research: Selecting, Sequencing, and Connecting. </w:t>
          </w:r>
          <w:r w:rsidRPr="009C6DC2">
            <w:rPr>
              <w:rFonts w:asciiTheme="majorBidi" w:hAnsiTheme="majorBidi" w:cstheme="majorBidi"/>
              <w:i/>
              <w:iCs/>
              <w:noProof/>
              <w:sz w:val="24"/>
              <w:szCs w:val="24"/>
              <w:lang w:val="en-US"/>
            </w:rPr>
            <w:t>Journal of Public Administration Research and Theory, 29</w:t>
          </w:r>
          <w:r w:rsidRPr="009C6DC2">
            <w:rPr>
              <w:rFonts w:asciiTheme="majorBidi" w:hAnsiTheme="majorBidi" w:cstheme="majorBidi"/>
              <w:noProof/>
              <w:sz w:val="24"/>
              <w:szCs w:val="24"/>
              <w:lang w:val="en-US"/>
            </w:rPr>
            <w:t>(02), 334-347. doi:https://doi.org/10.1093/jopart/muy046</w:t>
          </w:r>
        </w:p>
        <w:p w14:paraId="3F35BD17" w14:textId="1AD7695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Mengist, W., Soromessa, T., &amp; Legese, G. (2020). Method for conducting systematic literature review and meta-analysis for environmental science research. </w:t>
          </w:r>
          <w:r w:rsidRPr="009C6DC2">
            <w:rPr>
              <w:rFonts w:asciiTheme="majorBidi" w:hAnsiTheme="majorBidi" w:cstheme="majorBidi"/>
              <w:i/>
              <w:iCs/>
              <w:noProof/>
              <w:sz w:val="24"/>
              <w:szCs w:val="24"/>
              <w:lang w:val="en-US"/>
            </w:rPr>
            <w:t>MethodsX, 7</w:t>
          </w:r>
          <w:r w:rsidRPr="009C6DC2">
            <w:rPr>
              <w:rFonts w:asciiTheme="majorBidi" w:hAnsiTheme="majorBidi" w:cstheme="majorBidi"/>
              <w:noProof/>
              <w:sz w:val="24"/>
              <w:szCs w:val="24"/>
              <w:lang w:val="en-US"/>
            </w:rPr>
            <w:t>. doi:https://doi.org/10.1016/j.mex.2019.100777</w:t>
          </w:r>
        </w:p>
        <w:p w14:paraId="0BA3F2B0" w14:textId="677AE5E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Middleton, F. (2022). </w:t>
          </w:r>
          <w:r w:rsidRPr="009C6DC2">
            <w:rPr>
              <w:rFonts w:asciiTheme="majorBidi" w:hAnsiTheme="majorBidi" w:cstheme="majorBidi"/>
              <w:i/>
              <w:iCs/>
              <w:noProof/>
              <w:sz w:val="24"/>
              <w:szCs w:val="24"/>
              <w:lang w:val="en-US"/>
            </w:rPr>
            <w:t>Reliability vs Validity in Research | Differences, Types &amp; Examples</w:t>
          </w:r>
          <w:r w:rsidRPr="009C6DC2">
            <w:rPr>
              <w:rFonts w:asciiTheme="majorBidi" w:hAnsiTheme="majorBidi" w:cstheme="majorBidi"/>
              <w:noProof/>
              <w:sz w:val="24"/>
              <w:szCs w:val="24"/>
              <w:lang w:val="en-US"/>
            </w:rPr>
            <w:t>. Retrieved from Scribbr: https://www.scribbr.co.uk/research-methods/reliability-or-validity/</w:t>
          </w:r>
        </w:p>
        <w:p w14:paraId="2BA2052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Miles, B., Huberman, A., &amp; Saldana, J. (2014). </w:t>
          </w:r>
          <w:r w:rsidRPr="009C6DC2">
            <w:rPr>
              <w:rFonts w:asciiTheme="majorBidi" w:hAnsiTheme="majorBidi" w:cstheme="majorBidi"/>
              <w:i/>
              <w:iCs/>
              <w:noProof/>
              <w:sz w:val="24"/>
              <w:szCs w:val="24"/>
              <w:lang w:val="en-US"/>
            </w:rPr>
            <w:t>Qualitative Data Analysis</w:t>
          </w:r>
          <w:r w:rsidRPr="009C6DC2">
            <w:rPr>
              <w:rFonts w:asciiTheme="majorBidi" w:hAnsiTheme="majorBidi" w:cstheme="majorBidi"/>
              <w:noProof/>
              <w:sz w:val="24"/>
              <w:szCs w:val="24"/>
              <w:lang w:val="en-US"/>
            </w:rPr>
            <w:t xml:space="preserve"> (3rd ed.). Thousand Oaks, CA: Sage Publications.</w:t>
          </w:r>
        </w:p>
        <w:p w14:paraId="01ABAFDD" w14:textId="77777777"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Miller, J. A., &amp; Grubesic, T. H. (2021). </w:t>
          </w:r>
          <w:r w:rsidRPr="009C6DC2">
            <w:rPr>
              <w:rFonts w:asciiTheme="majorBidi" w:hAnsiTheme="majorBidi" w:cstheme="majorBidi"/>
              <w:noProof/>
              <w:sz w:val="24"/>
              <w:szCs w:val="24"/>
              <w:lang w:val="en-US"/>
            </w:rPr>
            <w:t xml:space="preserve">A Spatial Exploration of the Halo Effect in the 2016 U.S. Presidential Election. </w:t>
          </w:r>
          <w:r w:rsidRPr="009C6DC2">
            <w:rPr>
              <w:rFonts w:asciiTheme="majorBidi" w:hAnsiTheme="majorBidi" w:cstheme="majorBidi"/>
              <w:i/>
              <w:iCs/>
              <w:noProof/>
              <w:sz w:val="24"/>
              <w:szCs w:val="24"/>
              <w:lang w:val="en-US"/>
            </w:rPr>
            <w:t>Annals of the American Association of Geographers, 111</w:t>
          </w:r>
          <w:r w:rsidRPr="009C6DC2">
            <w:rPr>
              <w:rFonts w:asciiTheme="majorBidi" w:hAnsiTheme="majorBidi" w:cstheme="majorBidi"/>
              <w:noProof/>
              <w:sz w:val="24"/>
              <w:szCs w:val="24"/>
              <w:lang w:val="en-US"/>
            </w:rPr>
            <w:t>(4), 1094-1109. doi:https://doi.org/10.1080/24694452.2020.1785271</w:t>
          </w:r>
        </w:p>
        <w:p w14:paraId="328661D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Miller, S. R., Eden, L., &amp; Li, D. (2020). </w:t>
          </w:r>
          <w:r w:rsidRPr="009C6DC2">
            <w:rPr>
              <w:rFonts w:asciiTheme="majorBidi" w:hAnsiTheme="majorBidi" w:cstheme="majorBidi"/>
              <w:noProof/>
              <w:sz w:val="24"/>
              <w:szCs w:val="24"/>
              <w:lang w:val="en-US"/>
            </w:rPr>
            <w:t xml:space="preserve">CSR Reputation and Firm Performance: A Dynamic Approach. </w:t>
          </w:r>
          <w:r w:rsidRPr="009C6DC2">
            <w:rPr>
              <w:rFonts w:asciiTheme="majorBidi" w:hAnsiTheme="majorBidi" w:cstheme="majorBidi"/>
              <w:i/>
              <w:iCs/>
              <w:noProof/>
              <w:sz w:val="24"/>
              <w:szCs w:val="24"/>
              <w:lang w:val="en-US"/>
            </w:rPr>
            <w:t>Journal of Business Ethics, 163</w:t>
          </w:r>
          <w:r w:rsidRPr="009C6DC2">
            <w:rPr>
              <w:rFonts w:asciiTheme="majorBidi" w:hAnsiTheme="majorBidi" w:cstheme="majorBidi"/>
              <w:noProof/>
              <w:sz w:val="24"/>
              <w:szCs w:val="24"/>
              <w:lang w:val="en-US"/>
            </w:rPr>
            <w:t>, 619-636. doi:https://link.springer.com/article/10.1007/s10551-018-4057-1</w:t>
          </w:r>
        </w:p>
        <w:p w14:paraId="6864438E" w14:textId="196BF44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Minge, M., &amp; Thüring, M. (2018). Hedonic and pragmatic halo effects at early stages of User Experience. </w:t>
          </w:r>
          <w:r w:rsidRPr="009C6DC2">
            <w:rPr>
              <w:rFonts w:asciiTheme="majorBidi" w:hAnsiTheme="majorBidi" w:cstheme="majorBidi"/>
              <w:i/>
              <w:iCs/>
              <w:noProof/>
              <w:sz w:val="24"/>
              <w:szCs w:val="24"/>
              <w:lang w:val="en-US"/>
            </w:rPr>
            <w:t>International Journal of Human - Computer Studies, 109</w:t>
          </w:r>
          <w:r w:rsidRPr="009C6DC2">
            <w:rPr>
              <w:rFonts w:asciiTheme="majorBidi" w:hAnsiTheme="majorBidi" w:cstheme="majorBidi"/>
              <w:noProof/>
              <w:sz w:val="24"/>
              <w:szCs w:val="24"/>
              <w:lang w:val="en-US"/>
            </w:rPr>
            <w:t>, 13-25. doi:10.1016/j.ijhcs.2017.07.007.</w:t>
          </w:r>
        </w:p>
        <w:p w14:paraId="6980963F" w14:textId="4300CA8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Mishra, P., Pandey, C. M., Singh, U., Gupta, A., Sahu, C., &amp; Keshri, A. (2019). Descriptive Statistics and Normality Tests for Statistical Data. </w:t>
          </w:r>
          <w:r w:rsidRPr="009C6DC2">
            <w:rPr>
              <w:rFonts w:asciiTheme="majorBidi" w:hAnsiTheme="majorBidi" w:cstheme="majorBidi"/>
              <w:i/>
              <w:iCs/>
              <w:noProof/>
              <w:sz w:val="24"/>
              <w:szCs w:val="24"/>
              <w:lang w:val="en-US"/>
            </w:rPr>
            <w:t>Annals of Cardiac Anaesthesia, 22</w:t>
          </w:r>
          <w:r w:rsidRPr="009C6DC2">
            <w:rPr>
              <w:rFonts w:asciiTheme="majorBidi" w:hAnsiTheme="majorBidi" w:cstheme="majorBidi"/>
              <w:noProof/>
              <w:sz w:val="24"/>
              <w:szCs w:val="24"/>
              <w:lang w:val="en-US"/>
            </w:rPr>
            <w:t>(1), 67-72. doi:10.4103/aca.ACA_157_18</w:t>
          </w:r>
        </w:p>
        <w:p w14:paraId="0510CBC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Mitchell , A. A., &amp; Olson, J. C. (1981). Are Product Attribute Beliefs the Only Mediator of Advertising Effects on Brand Attitude? </w:t>
          </w:r>
          <w:r w:rsidRPr="009C6DC2">
            <w:rPr>
              <w:rFonts w:asciiTheme="majorBidi" w:hAnsiTheme="majorBidi" w:cstheme="majorBidi"/>
              <w:i/>
              <w:iCs/>
              <w:noProof/>
              <w:sz w:val="24"/>
              <w:szCs w:val="24"/>
              <w:lang w:val="en-US"/>
            </w:rPr>
            <w:t>Journal of Marketing Research, 18</w:t>
          </w:r>
          <w:r w:rsidRPr="009C6DC2">
            <w:rPr>
              <w:rFonts w:asciiTheme="majorBidi" w:hAnsiTheme="majorBidi" w:cstheme="majorBidi"/>
              <w:noProof/>
              <w:sz w:val="24"/>
              <w:szCs w:val="24"/>
              <w:lang w:val="en-US"/>
            </w:rPr>
            <w:t>(3), 318–332. doi:10.1177/002224378101800306 </w:t>
          </w:r>
        </w:p>
        <w:p w14:paraId="706733F0" w14:textId="086114B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Mohan, M., Jiménez, F. R., Brown, B. P., &amp; Cantrell, C. (2017). Brand Skill: linking brand functionality with consumer-based brand equity. </w:t>
          </w:r>
          <w:r w:rsidRPr="009C6DC2">
            <w:rPr>
              <w:rFonts w:asciiTheme="majorBidi" w:hAnsiTheme="majorBidi" w:cstheme="majorBidi"/>
              <w:i/>
              <w:iCs/>
              <w:noProof/>
              <w:sz w:val="24"/>
              <w:szCs w:val="24"/>
              <w:lang w:val="en-US"/>
            </w:rPr>
            <w:t>Journal of Product &amp; Brand Management, 26</w:t>
          </w:r>
          <w:r w:rsidRPr="009C6DC2">
            <w:rPr>
              <w:rFonts w:asciiTheme="majorBidi" w:hAnsiTheme="majorBidi" w:cstheme="majorBidi"/>
              <w:noProof/>
              <w:sz w:val="24"/>
              <w:szCs w:val="24"/>
              <w:lang w:val="en-US"/>
            </w:rPr>
            <w:t>(05), 477-491. doi:https://doi-org.lsbu.idm.oclc.org/10.1108/JPBM-06-2016-1247</w:t>
          </w:r>
        </w:p>
        <w:p w14:paraId="42406E6E" w14:textId="78BCD7DC" w:rsidR="006E2490" w:rsidRPr="009C6DC2" w:rsidRDefault="006E2490" w:rsidP="006E2490">
          <w:pPr>
            <w:ind w:left="720" w:hanging="720"/>
            <w:rPr>
              <w:rFonts w:asciiTheme="majorBidi" w:hAnsiTheme="majorBidi" w:cstheme="majorBidi"/>
              <w:noProof/>
              <w:sz w:val="24"/>
              <w:szCs w:val="24"/>
              <w:lang w:val="en-US"/>
            </w:rPr>
          </w:pPr>
          <w:r w:rsidRPr="00870EC5">
            <w:rPr>
              <w:rFonts w:asciiTheme="majorBidi" w:hAnsiTheme="majorBidi" w:cstheme="majorBidi"/>
              <w:noProof/>
              <w:sz w:val="24"/>
              <w:szCs w:val="24"/>
              <w:lang w:val="en-US"/>
            </w:rPr>
            <w:t>Moneim</w:t>
          </w:r>
          <w:r w:rsidRPr="009C6DC2">
            <w:rPr>
              <w:rFonts w:asciiTheme="majorBidi" w:hAnsiTheme="majorBidi" w:cstheme="majorBidi"/>
              <w:noProof/>
              <w:sz w:val="24"/>
              <w:szCs w:val="24"/>
              <w:lang w:val="en-US"/>
            </w:rPr>
            <w:t xml:space="preserve">, D. A. (2023). </w:t>
          </w:r>
          <w:r w:rsidRPr="009C6DC2">
            <w:rPr>
              <w:rFonts w:asciiTheme="majorBidi" w:hAnsiTheme="majorBidi" w:cstheme="majorBidi"/>
              <w:i/>
              <w:iCs/>
              <w:noProof/>
              <w:sz w:val="24"/>
              <w:szCs w:val="24"/>
              <w:lang w:val="en-US"/>
            </w:rPr>
            <w:t>Egypt Leads North Africa in 2022 FDI Inflows with $11.4 bln: UNCTAD</w:t>
          </w:r>
          <w:r w:rsidRPr="009C6DC2">
            <w:rPr>
              <w:rFonts w:asciiTheme="majorBidi" w:hAnsiTheme="majorBidi" w:cstheme="majorBidi"/>
              <w:noProof/>
              <w:sz w:val="24"/>
              <w:szCs w:val="24"/>
              <w:lang w:val="en-US"/>
            </w:rPr>
            <w:t>. Retrieved from Ahram Online: https://english.ahram.org.eg/NewsContent/3/12/504223/Business/Economy/Egypt-Leads-North-Africa-in--FDI-Inflows-with--bln.aspx</w:t>
          </w:r>
        </w:p>
        <w:p w14:paraId="3CD94FB2" w14:textId="0CFEECA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Moon, B.-J., Lee, L. W., &amp; Oh, C. H. (201</w:t>
          </w:r>
          <w:r w:rsidR="00731EE2">
            <w:rPr>
              <w:rFonts w:asciiTheme="majorBidi" w:hAnsiTheme="majorBidi" w:cstheme="majorBidi"/>
              <w:noProof/>
              <w:sz w:val="24"/>
              <w:szCs w:val="24"/>
              <w:lang w:val="en-US"/>
            </w:rPr>
            <w:t>5</w:t>
          </w:r>
          <w:r w:rsidRPr="009C6DC2">
            <w:rPr>
              <w:rFonts w:asciiTheme="majorBidi" w:hAnsiTheme="majorBidi" w:cstheme="majorBidi"/>
              <w:noProof/>
              <w:sz w:val="24"/>
              <w:szCs w:val="24"/>
              <w:lang w:val="en-US"/>
            </w:rPr>
            <w:t xml:space="preserve">). The impact of CSR on consumer-corporate connection and brand loyalty. </w:t>
          </w:r>
          <w:r w:rsidRPr="009C6DC2">
            <w:rPr>
              <w:rFonts w:asciiTheme="majorBidi" w:hAnsiTheme="majorBidi" w:cstheme="majorBidi"/>
              <w:i/>
              <w:iCs/>
              <w:noProof/>
              <w:sz w:val="24"/>
              <w:szCs w:val="24"/>
              <w:lang w:val="en-US"/>
            </w:rPr>
            <w:t>International Marketing Review, 32</w:t>
          </w:r>
          <w:r w:rsidRPr="009C6DC2">
            <w:rPr>
              <w:rFonts w:asciiTheme="majorBidi" w:hAnsiTheme="majorBidi" w:cstheme="majorBidi"/>
              <w:noProof/>
              <w:sz w:val="24"/>
              <w:szCs w:val="24"/>
              <w:lang w:val="en-US"/>
            </w:rPr>
            <w:t>(5), 518-539. doi:10.1108/IMR-03-2014-0089</w:t>
          </w:r>
        </w:p>
        <w:p w14:paraId="77D3426B" w14:textId="0C47763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Moon, K., &amp; Blackman, D. (2017). </w:t>
          </w:r>
          <w:r w:rsidRPr="009C6DC2">
            <w:rPr>
              <w:rFonts w:asciiTheme="majorBidi" w:hAnsiTheme="majorBidi" w:cstheme="majorBidi"/>
              <w:i/>
              <w:iCs/>
              <w:noProof/>
              <w:sz w:val="24"/>
              <w:szCs w:val="24"/>
              <w:lang w:val="en-US"/>
            </w:rPr>
            <w:t>A guide to ontology, epistemology, and philosophical perspectives for interdisciplinary researchers</w:t>
          </w:r>
          <w:r w:rsidRPr="009C6DC2">
            <w:rPr>
              <w:rFonts w:asciiTheme="majorBidi" w:hAnsiTheme="majorBidi" w:cstheme="majorBidi"/>
              <w:noProof/>
              <w:sz w:val="24"/>
              <w:szCs w:val="24"/>
              <w:lang w:val="en-US"/>
            </w:rPr>
            <w:t>. Retrieved 10 09, 2022, from Integration and Implementation Insights: https://i2insights.org/2017/05/02/philosophy-for-interdisciplinarity/</w:t>
          </w:r>
        </w:p>
        <w:p w14:paraId="7EA7EC24" w14:textId="289C3B6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Mørkbak, M. R., &amp; Olsen, S. B. (2014). </w:t>
          </w:r>
          <w:r w:rsidRPr="009C6DC2">
            <w:rPr>
              <w:rFonts w:asciiTheme="majorBidi" w:hAnsiTheme="majorBidi" w:cstheme="majorBidi"/>
              <w:noProof/>
              <w:sz w:val="24"/>
              <w:szCs w:val="24"/>
              <w:lang w:val="en-US"/>
            </w:rPr>
            <w:t xml:space="preserve">A within-sample investigation of test–retest reliability in choice experiment surveys with real economic incentives. </w:t>
          </w:r>
          <w:r w:rsidRPr="009C6DC2">
            <w:rPr>
              <w:rFonts w:asciiTheme="majorBidi" w:hAnsiTheme="majorBidi" w:cstheme="majorBidi"/>
              <w:i/>
              <w:iCs/>
              <w:noProof/>
              <w:sz w:val="24"/>
              <w:szCs w:val="24"/>
              <w:lang w:val="en-US"/>
            </w:rPr>
            <w:t>The Australian Journal of Agriculture and Resource Economics, 59</w:t>
          </w:r>
          <w:r w:rsidRPr="009C6DC2">
            <w:rPr>
              <w:rFonts w:asciiTheme="majorBidi" w:hAnsiTheme="majorBidi" w:cstheme="majorBidi"/>
              <w:noProof/>
              <w:sz w:val="24"/>
              <w:szCs w:val="24"/>
              <w:lang w:val="en-US"/>
            </w:rPr>
            <w:t>(3), 375-392. doi:https://doi.org/10.1111/1467-8489.12067</w:t>
          </w:r>
        </w:p>
        <w:p w14:paraId="0B1B293A" w14:textId="3B1C18A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Morse, J. (2020). The Changing Face of Qualitative Inquiry. </w:t>
          </w:r>
          <w:r w:rsidRPr="009C6DC2">
            <w:rPr>
              <w:rFonts w:asciiTheme="majorBidi" w:hAnsiTheme="majorBidi" w:cstheme="majorBidi"/>
              <w:i/>
              <w:iCs/>
              <w:noProof/>
              <w:sz w:val="24"/>
              <w:szCs w:val="24"/>
              <w:lang w:val="en-US"/>
            </w:rPr>
            <w:t>The International Journal of Qualitative Methods, 19</w:t>
          </w:r>
          <w:r w:rsidRPr="009C6DC2">
            <w:rPr>
              <w:rFonts w:asciiTheme="majorBidi" w:hAnsiTheme="majorBidi" w:cstheme="majorBidi"/>
              <w:noProof/>
              <w:sz w:val="24"/>
              <w:szCs w:val="24"/>
              <w:lang w:val="en-US"/>
            </w:rPr>
            <w:t>(1-7). doi:10.1177/1609406920909938</w:t>
          </w:r>
        </w:p>
        <w:p w14:paraId="2C094B32" w14:textId="4F504FA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Morse, J. M. (1995). The significance of saturation. </w:t>
          </w:r>
          <w:r w:rsidRPr="009C6DC2">
            <w:rPr>
              <w:rFonts w:asciiTheme="majorBidi" w:hAnsiTheme="majorBidi" w:cstheme="majorBidi"/>
              <w:i/>
              <w:iCs/>
              <w:noProof/>
              <w:sz w:val="24"/>
              <w:szCs w:val="24"/>
              <w:lang w:val="en-US"/>
            </w:rPr>
            <w:t>Qualitative Health Research, 5</w:t>
          </w:r>
          <w:r w:rsidRPr="009C6DC2">
            <w:rPr>
              <w:rFonts w:asciiTheme="majorBidi" w:hAnsiTheme="majorBidi" w:cstheme="majorBidi"/>
              <w:noProof/>
              <w:sz w:val="24"/>
              <w:szCs w:val="24"/>
              <w:lang w:val="en-US"/>
            </w:rPr>
            <w:t>(2), 147-149. doi:10.1177/104973239500500201</w:t>
          </w:r>
        </w:p>
        <w:p w14:paraId="7B968EA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Morsing , M. (2006). Strategic CSR communication: telling others how good you are. In </w:t>
          </w:r>
          <w:r w:rsidRPr="009C6DC2">
            <w:rPr>
              <w:rFonts w:asciiTheme="majorBidi" w:hAnsiTheme="majorBidi" w:cstheme="majorBidi"/>
              <w:i/>
              <w:iCs/>
              <w:noProof/>
              <w:sz w:val="24"/>
              <w:szCs w:val="24"/>
              <w:lang w:val="en-US"/>
            </w:rPr>
            <w:t>Management Models for Corporate Social Responsibilit</w:t>
          </w:r>
          <w:r w:rsidRPr="009C6DC2">
            <w:rPr>
              <w:rFonts w:asciiTheme="majorBidi" w:hAnsiTheme="majorBidi" w:cstheme="majorBidi"/>
              <w:noProof/>
              <w:sz w:val="24"/>
              <w:szCs w:val="24"/>
              <w:lang w:val="en-US"/>
            </w:rPr>
            <w:t xml:space="preserve"> (pp. 238-246). Springerlink. doi:https://doi.org/10.1007/3-540-33247-2_29</w:t>
          </w:r>
        </w:p>
        <w:p w14:paraId="59ECC16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Morwitz, V. (2012). Consumers’ Purchase Intentions. </w:t>
          </w:r>
          <w:r w:rsidRPr="009C6DC2">
            <w:rPr>
              <w:rFonts w:asciiTheme="majorBidi" w:hAnsiTheme="majorBidi" w:cstheme="majorBidi"/>
              <w:i/>
              <w:iCs/>
              <w:noProof/>
              <w:sz w:val="24"/>
              <w:szCs w:val="24"/>
              <w:lang w:val="en-US"/>
            </w:rPr>
            <w:t>Foundations and Trends in Marketing, 7</w:t>
          </w:r>
          <w:r w:rsidRPr="009C6DC2">
            <w:rPr>
              <w:rFonts w:asciiTheme="majorBidi" w:hAnsiTheme="majorBidi" w:cstheme="majorBidi"/>
              <w:noProof/>
              <w:sz w:val="24"/>
              <w:szCs w:val="24"/>
              <w:lang w:val="en-US"/>
            </w:rPr>
            <w:t>(3), 181-230. doi:10.1561/1700000036</w:t>
          </w:r>
        </w:p>
        <w:p w14:paraId="6AC3EFD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Morwitz, V. (2014). Consumers’ purchase intentions and their behaviour. </w:t>
          </w:r>
          <w:r w:rsidRPr="009C6DC2">
            <w:rPr>
              <w:rFonts w:asciiTheme="majorBidi" w:hAnsiTheme="majorBidi" w:cstheme="majorBidi"/>
              <w:i/>
              <w:iCs/>
              <w:noProof/>
              <w:sz w:val="24"/>
              <w:szCs w:val="24"/>
              <w:lang w:val="en-US"/>
            </w:rPr>
            <w:t>Foundations and Trends® in Marketing, 7</w:t>
          </w:r>
          <w:r w:rsidRPr="009C6DC2">
            <w:rPr>
              <w:rFonts w:asciiTheme="majorBidi" w:hAnsiTheme="majorBidi" w:cstheme="majorBidi"/>
              <w:noProof/>
              <w:sz w:val="24"/>
              <w:szCs w:val="24"/>
              <w:lang w:val="en-US"/>
            </w:rPr>
            <w:t>(3), 181-230. doi:http://dx.doi.org/10.1561/1700000036</w:t>
          </w:r>
        </w:p>
        <w:p w14:paraId="79D60FFB" w14:textId="5EDED16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Möser, S., Glauser, D., &amp; Becker, R. (2019). </w:t>
          </w:r>
          <w:r w:rsidRPr="009C6DC2">
            <w:rPr>
              <w:rFonts w:asciiTheme="majorBidi" w:hAnsiTheme="majorBidi" w:cstheme="majorBidi"/>
              <w:noProof/>
              <w:sz w:val="24"/>
              <w:szCs w:val="24"/>
              <w:lang w:val="en-US"/>
            </w:rPr>
            <w:t xml:space="preserve">Valuation of Labour Market Entrance Positions among (future) apprentices - Results from two discrete choice experiments. </w:t>
          </w:r>
          <w:r w:rsidRPr="009C6DC2">
            <w:rPr>
              <w:rFonts w:asciiTheme="majorBidi" w:hAnsiTheme="majorBidi" w:cstheme="majorBidi"/>
              <w:i/>
              <w:iCs/>
              <w:noProof/>
              <w:sz w:val="24"/>
              <w:szCs w:val="24"/>
              <w:lang w:val="en-US"/>
            </w:rPr>
            <w:t>Journal of Choice Modelling, 33</w:t>
          </w:r>
          <w:r w:rsidRPr="009C6DC2">
            <w:rPr>
              <w:rFonts w:asciiTheme="majorBidi" w:hAnsiTheme="majorBidi" w:cstheme="majorBidi"/>
              <w:noProof/>
              <w:sz w:val="24"/>
              <w:szCs w:val="24"/>
              <w:lang w:val="en-US"/>
            </w:rPr>
            <w:t>. doi:https://doi.org/10.1016/j.jocm.2019.100180</w:t>
          </w:r>
        </w:p>
        <w:p w14:paraId="2430057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Mosharafa, E. (2019, 06). New Tendencies in Media Consumption Behavior: A Quantitative Study on the Media Habits of Egyptian Affluent Youth. </w:t>
          </w:r>
          <w:r w:rsidRPr="009C6DC2">
            <w:rPr>
              <w:rFonts w:asciiTheme="majorBidi" w:hAnsiTheme="majorBidi" w:cstheme="majorBidi"/>
              <w:i/>
              <w:iCs/>
              <w:noProof/>
              <w:sz w:val="24"/>
              <w:szCs w:val="24"/>
              <w:lang w:val="en-US"/>
            </w:rPr>
            <w:t>The Scientific Journal of Radio and Television Research</w:t>
          </w:r>
          <w:r w:rsidRPr="009C6DC2">
            <w:rPr>
              <w:rFonts w:asciiTheme="majorBidi" w:hAnsiTheme="majorBidi" w:cstheme="majorBidi"/>
              <w:noProof/>
              <w:sz w:val="24"/>
              <w:szCs w:val="24"/>
              <w:lang w:val="en-US"/>
            </w:rPr>
            <w:t>, 29-58. Retrieved 08 23, 2023, from https://ejsrt.journals.ekb.eg/article_145550_9f4e3334f1d0d46e8201dab08158b8d1.pdf</w:t>
          </w:r>
        </w:p>
        <w:p w14:paraId="614DCA9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Mosleh , M., Pennycook, G., &amp; Rand,, D. G. (2021). Field Experiments on Social Media. </w:t>
          </w:r>
          <w:r w:rsidRPr="009C6DC2">
            <w:rPr>
              <w:rFonts w:asciiTheme="majorBidi" w:hAnsiTheme="majorBidi" w:cstheme="majorBidi"/>
              <w:i/>
              <w:iCs/>
              <w:noProof/>
              <w:sz w:val="24"/>
              <w:szCs w:val="24"/>
              <w:lang w:val="en-US"/>
            </w:rPr>
            <w:t xml:space="preserve">CURRENT DIRECTIONS IN PSYCHOLOGICAL SCIENCE, </w:t>
          </w:r>
          <w:r w:rsidRPr="009C6DC2">
            <w:rPr>
              <w:rFonts w:asciiTheme="majorBidi" w:hAnsiTheme="majorBidi" w:cstheme="majorBidi"/>
              <w:noProof/>
              <w:sz w:val="24"/>
              <w:szCs w:val="24"/>
              <w:lang w:val="en-US"/>
            </w:rPr>
            <w:t>. doi:10.1177/09637214211054761</w:t>
          </w:r>
        </w:p>
        <w:p w14:paraId="0061FD71" w14:textId="125C51C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Moss, S. (2016). </w:t>
          </w:r>
          <w:r w:rsidRPr="009C6DC2">
            <w:rPr>
              <w:rFonts w:asciiTheme="majorBidi" w:hAnsiTheme="majorBidi" w:cstheme="majorBidi"/>
              <w:i/>
              <w:iCs/>
              <w:noProof/>
              <w:sz w:val="24"/>
              <w:szCs w:val="24"/>
              <w:lang w:val="en-US"/>
            </w:rPr>
            <w:t>Fit indices for structural equation modeling</w:t>
          </w:r>
          <w:r w:rsidRPr="009C6DC2">
            <w:rPr>
              <w:rFonts w:asciiTheme="majorBidi" w:hAnsiTheme="majorBidi" w:cstheme="majorBidi"/>
              <w:noProof/>
              <w:sz w:val="24"/>
              <w:szCs w:val="24"/>
              <w:lang w:val="en-US"/>
            </w:rPr>
            <w:t>. Retrieved 01 18, 2023, from sicotests: https://www.sicotests.com/newpsyarticle/Fit-indices-for-structural-equation-modeling</w:t>
          </w:r>
        </w:p>
        <w:p w14:paraId="4A4491D2" w14:textId="69CEA3A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Mostafa, M. M. (2016). Egyptian consumers' willingness to pay for carbon-labeled products: A contingent valuation analysis of socio-economic factors. </w:t>
          </w:r>
          <w:r w:rsidRPr="009C6DC2">
            <w:rPr>
              <w:rFonts w:asciiTheme="majorBidi" w:hAnsiTheme="majorBidi" w:cstheme="majorBidi"/>
              <w:i/>
              <w:iCs/>
              <w:noProof/>
              <w:sz w:val="24"/>
              <w:szCs w:val="24"/>
              <w:lang w:val="en-US"/>
            </w:rPr>
            <w:t>Journal of Cleaner Production, 135</w:t>
          </w:r>
          <w:r w:rsidRPr="009C6DC2">
            <w:rPr>
              <w:rFonts w:asciiTheme="majorBidi" w:hAnsiTheme="majorBidi" w:cstheme="majorBidi"/>
              <w:noProof/>
              <w:sz w:val="24"/>
              <w:szCs w:val="24"/>
              <w:lang w:val="en-US"/>
            </w:rPr>
            <w:t>, 821-828. doi:https://doi.org/10.1016/j.jclepro.2016.06.168</w:t>
          </w:r>
        </w:p>
        <w:p w14:paraId="439B00DA" w14:textId="04CF9CE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Mostafa, S. M. (2019). Imputing missing values using cumulative linear regression. </w:t>
          </w:r>
          <w:r w:rsidRPr="009C6DC2">
            <w:rPr>
              <w:rFonts w:asciiTheme="majorBidi" w:hAnsiTheme="majorBidi" w:cstheme="majorBidi"/>
              <w:i/>
              <w:iCs/>
              <w:noProof/>
              <w:sz w:val="24"/>
              <w:szCs w:val="24"/>
              <w:lang w:val="en-US"/>
            </w:rPr>
            <w:t>CAAI Transactions on Intelligence Technology</w:t>
          </w:r>
          <w:r w:rsidRPr="009C6DC2">
            <w:rPr>
              <w:rFonts w:asciiTheme="majorBidi" w:hAnsiTheme="majorBidi" w:cstheme="majorBidi"/>
              <w:noProof/>
              <w:sz w:val="24"/>
              <w:szCs w:val="24"/>
              <w:lang w:val="en-US"/>
            </w:rPr>
            <w:t>, 182-200. doi: https://doi.org/10.1049/trit.2019.0032</w:t>
          </w:r>
        </w:p>
        <w:p w14:paraId="2C7C9213" w14:textId="2348184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Moyo, T., Duffett, R., &amp; Knott, B. (2022). An Analysis of Cause-Related and Social Marketing Strategies in the South African Sport Management. </w:t>
          </w:r>
          <w:r w:rsidRPr="009C6DC2">
            <w:rPr>
              <w:rFonts w:asciiTheme="majorBidi" w:hAnsiTheme="majorBidi" w:cstheme="majorBidi"/>
              <w:i/>
              <w:iCs/>
              <w:noProof/>
              <w:sz w:val="24"/>
              <w:szCs w:val="24"/>
              <w:lang w:val="en-US"/>
            </w:rPr>
            <w:t>SAGE Open, 12</w:t>
          </w:r>
          <w:r w:rsidRPr="009C6DC2">
            <w:rPr>
              <w:rFonts w:asciiTheme="majorBidi" w:hAnsiTheme="majorBidi" w:cstheme="majorBidi"/>
              <w:noProof/>
              <w:sz w:val="24"/>
              <w:szCs w:val="24"/>
              <w:lang w:val="en-US"/>
            </w:rPr>
            <w:t>(2). doi:https://doi.org/10.1177/21582440221108181</w:t>
          </w:r>
        </w:p>
        <w:p w14:paraId="41FCA57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Mueller, C. W., &amp; Parcel, T. L. (1981). Measures of socioeconomic status: Alternatives and recommendations. </w:t>
          </w:r>
          <w:r w:rsidRPr="009C6DC2">
            <w:rPr>
              <w:rFonts w:asciiTheme="majorBidi" w:hAnsiTheme="majorBidi" w:cstheme="majorBidi"/>
              <w:i/>
              <w:iCs/>
              <w:noProof/>
              <w:sz w:val="24"/>
              <w:szCs w:val="24"/>
              <w:lang w:val="en-US"/>
            </w:rPr>
            <w:t>Child Development, 52</w:t>
          </w:r>
          <w:r w:rsidRPr="009C6DC2">
            <w:rPr>
              <w:rFonts w:asciiTheme="majorBidi" w:hAnsiTheme="majorBidi" w:cstheme="majorBidi"/>
              <w:noProof/>
              <w:sz w:val="24"/>
              <w:szCs w:val="24"/>
              <w:lang w:val="en-US"/>
            </w:rPr>
            <w:t>(01), 13-20. doi:https://doi.org/10.2307/1129211</w:t>
          </w:r>
        </w:p>
        <w:p w14:paraId="14639EEB" w14:textId="7982096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Muflih, M. (2021). The link between corporate social responsibility and customer loyalty: Empirical evidence from the Islamic banking industry. </w:t>
          </w:r>
          <w:r w:rsidRPr="009C6DC2">
            <w:rPr>
              <w:rFonts w:asciiTheme="majorBidi" w:hAnsiTheme="majorBidi" w:cstheme="majorBidi"/>
              <w:i/>
              <w:iCs/>
              <w:noProof/>
              <w:sz w:val="24"/>
              <w:szCs w:val="24"/>
              <w:lang w:val="en-US"/>
            </w:rPr>
            <w:t>61</w:t>
          </w:r>
          <w:r w:rsidRPr="009C6DC2">
            <w:rPr>
              <w:rFonts w:asciiTheme="majorBidi" w:hAnsiTheme="majorBidi" w:cstheme="majorBidi"/>
              <w:noProof/>
              <w:sz w:val="24"/>
              <w:szCs w:val="24"/>
              <w:lang w:val="en-US"/>
            </w:rPr>
            <w:t>. doi:https://doi.org/10.1016/j.jretconser.2021.102558</w:t>
          </w:r>
        </w:p>
        <w:p w14:paraId="4CD4600F" w14:textId="52407B0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Mukherjee, S., &amp; Althuizen, N. (2020). Brand activism: Does courting controversy help or hurt a brand? </w:t>
          </w:r>
          <w:r w:rsidRPr="009C6DC2">
            <w:rPr>
              <w:rFonts w:asciiTheme="majorBidi" w:hAnsiTheme="majorBidi" w:cstheme="majorBidi"/>
              <w:i/>
              <w:iCs/>
              <w:noProof/>
              <w:sz w:val="24"/>
              <w:szCs w:val="24"/>
              <w:lang w:val="en-US"/>
            </w:rPr>
            <w:t>International Journal of Research in Marketing, 37</w:t>
          </w:r>
          <w:r w:rsidRPr="009C6DC2">
            <w:rPr>
              <w:rFonts w:asciiTheme="majorBidi" w:hAnsiTheme="majorBidi" w:cstheme="majorBidi"/>
              <w:noProof/>
              <w:sz w:val="24"/>
              <w:szCs w:val="24"/>
              <w:lang w:val="en-US"/>
            </w:rPr>
            <w:t>(4), 772-788. doi:https://doi.org/10.1016/j.ijresmar.2020.02.008</w:t>
          </w:r>
        </w:p>
        <w:p w14:paraId="0A75EC41" w14:textId="5DB6141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Mukhtar, S.-M., &amp; Bahormoz, A. (2022). </w:t>
          </w:r>
          <w:r w:rsidRPr="009C6DC2">
            <w:rPr>
              <w:rFonts w:asciiTheme="majorBidi" w:hAnsiTheme="majorBidi" w:cstheme="majorBidi"/>
              <w:noProof/>
              <w:sz w:val="24"/>
              <w:szCs w:val="24"/>
              <w:lang w:val="en-US"/>
            </w:rPr>
            <w:t xml:space="preserve">An integrative framework for stakeholder engagement: reconciling and integrating stakeholders' conflicting CSR priorities in management decision-making. </w:t>
          </w:r>
          <w:r w:rsidRPr="009C6DC2">
            <w:rPr>
              <w:rFonts w:asciiTheme="majorBidi" w:hAnsiTheme="majorBidi" w:cstheme="majorBidi"/>
              <w:i/>
              <w:iCs/>
              <w:noProof/>
              <w:sz w:val="24"/>
              <w:szCs w:val="24"/>
              <w:lang w:val="en-US"/>
            </w:rPr>
            <w:t>Journal of Decision Systems, 31</w:t>
          </w:r>
          <w:r w:rsidRPr="009C6DC2">
            <w:rPr>
              <w:rFonts w:asciiTheme="majorBidi" w:hAnsiTheme="majorBidi" w:cstheme="majorBidi"/>
              <w:noProof/>
              <w:sz w:val="24"/>
              <w:szCs w:val="24"/>
              <w:lang w:val="en-US"/>
            </w:rPr>
            <w:t>(4), 407-432. doi:10.1080/12460125.2021.1950115</w:t>
          </w:r>
        </w:p>
        <w:p w14:paraId="68F5340E" w14:textId="783BD6F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Mummalaneni, V. (2005). An empirical investigation of Web site characteristics, consumer emotional states and on-line shopping behaviors. </w:t>
          </w:r>
          <w:r w:rsidRPr="009C6DC2">
            <w:rPr>
              <w:rFonts w:asciiTheme="majorBidi" w:hAnsiTheme="majorBidi" w:cstheme="majorBidi"/>
              <w:i/>
              <w:iCs/>
              <w:noProof/>
              <w:sz w:val="24"/>
              <w:szCs w:val="24"/>
              <w:lang w:val="en-US"/>
            </w:rPr>
            <w:t>Journal of Business Research, 58</w:t>
          </w:r>
          <w:r w:rsidRPr="009C6DC2">
            <w:rPr>
              <w:rFonts w:asciiTheme="majorBidi" w:hAnsiTheme="majorBidi" w:cstheme="majorBidi"/>
              <w:noProof/>
              <w:sz w:val="24"/>
              <w:szCs w:val="24"/>
              <w:lang w:val="en-US"/>
            </w:rPr>
            <w:t>(4), 526-532. doi:https://doi.org/10.1016/S0148-2963(03)00143-7</w:t>
          </w:r>
        </w:p>
        <w:p w14:paraId="21DAF101" w14:textId="6DF2118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Munn, Z., Pollock, D., Khalil, H., Alexander, L., Mclnerney , P., Godfrey, C. M., . . . Tricco, A. C. (2022). What are scoping reviews? Providing a formal definition of scoping reviews as a type of evidence synthesis. </w:t>
          </w:r>
          <w:r w:rsidRPr="009C6DC2">
            <w:rPr>
              <w:rFonts w:asciiTheme="majorBidi" w:hAnsiTheme="majorBidi" w:cstheme="majorBidi"/>
              <w:i/>
              <w:iCs/>
              <w:noProof/>
              <w:sz w:val="24"/>
              <w:szCs w:val="24"/>
              <w:lang w:val="en-US"/>
            </w:rPr>
            <w:t>JBI Evidence Synthesis, 20</w:t>
          </w:r>
          <w:r w:rsidRPr="009C6DC2">
            <w:rPr>
              <w:rFonts w:asciiTheme="majorBidi" w:hAnsiTheme="majorBidi" w:cstheme="majorBidi"/>
              <w:noProof/>
              <w:sz w:val="24"/>
              <w:szCs w:val="24"/>
              <w:lang w:val="en-US"/>
            </w:rPr>
            <w:t>(4), 950-952. doi:10.11124/JBIES-21-00483</w:t>
          </w:r>
        </w:p>
        <w:p w14:paraId="675C66C3" w14:textId="24B0309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Mya, K. S., Zaw, K. K., &amp; Mya, K. M. (2021). Developing and validating a questionnaire to assess an individual's perceived risk of four major non-communicable diseases in Myanmar. </w:t>
          </w:r>
          <w:r w:rsidRPr="009C6DC2">
            <w:rPr>
              <w:rFonts w:asciiTheme="majorBidi" w:hAnsiTheme="majorBidi" w:cstheme="majorBidi"/>
              <w:i/>
              <w:iCs/>
              <w:noProof/>
              <w:sz w:val="24"/>
              <w:szCs w:val="24"/>
              <w:lang w:val="en-US"/>
            </w:rPr>
            <w:t>Plos One, 16</w:t>
          </w:r>
          <w:r w:rsidRPr="009C6DC2">
            <w:rPr>
              <w:rFonts w:asciiTheme="majorBidi" w:hAnsiTheme="majorBidi" w:cstheme="majorBidi"/>
              <w:noProof/>
              <w:sz w:val="24"/>
              <w:szCs w:val="24"/>
              <w:lang w:val="en-US"/>
            </w:rPr>
            <w:t>(4). doi:10.1371/journal.pone.0234281</w:t>
          </w:r>
        </w:p>
        <w:p w14:paraId="5EDF37E8" w14:textId="41D2A10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 Z. (2022). </w:t>
          </w:r>
          <w:r w:rsidRPr="009C6DC2">
            <w:rPr>
              <w:rFonts w:asciiTheme="majorBidi" w:hAnsiTheme="majorBidi" w:cstheme="majorBidi"/>
              <w:i/>
              <w:iCs/>
              <w:noProof/>
              <w:sz w:val="24"/>
              <w:szCs w:val="24"/>
              <w:lang w:val="en-US"/>
            </w:rPr>
            <w:t>More than meets the eye: The functional components underlying influencer marketing</w:t>
          </w:r>
          <w:r w:rsidRPr="009C6DC2">
            <w:rPr>
              <w:rFonts w:asciiTheme="majorBidi" w:hAnsiTheme="majorBidi" w:cstheme="majorBidi"/>
              <w:noProof/>
              <w:sz w:val="24"/>
              <w:szCs w:val="24"/>
              <w:lang w:val="en-US"/>
            </w:rPr>
            <w:t>. Retrieved from Straits Research: https://straitsresearch.com/blog/cpg-industry-spends-on-digital-advertising#:~:text=Consumer%20packaged%20goods%20(CPG)%20companies,advertisers%2C%20food%20and%20beverage%20brands.</w:t>
          </w:r>
        </w:p>
        <w:p w14:paraId="34709CCB" w14:textId="1270D72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Nabi, R. L., Gustafson, A., &amp; Jensen, R. (2018). Framing climate change: Exploring the role of emotion in generating advocacy behavior. </w:t>
          </w:r>
          <w:r w:rsidRPr="009C6DC2">
            <w:rPr>
              <w:rFonts w:asciiTheme="majorBidi" w:hAnsiTheme="majorBidi" w:cstheme="majorBidi"/>
              <w:i/>
              <w:iCs/>
              <w:noProof/>
              <w:sz w:val="24"/>
              <w:szCs w:val="24"/>
              <w:lang w:val="en-US"/>
            </w:rPr>
            <w:t>Science Communication, 40</w:t>
          </w:r>
          <w:r w:rsidRPr="009C6DC2">
            <w:rPr>
              <w:rFonts w:asciiTheme="majorBidi" w:hAnsiTheme="majorBidi" w:cstheme="majorBidi"/>
              <w:noProof/>
              <w:sz w:val="24"/>
              <w:szCs w:val="24"/>
              <w:lang w:val="en-US"/>
            </w:rPr>
            <w:t>(4). doi:https://doi.org/10.1177/1075547018776019</w:t>
          </w:r>
        </w:p>
        <w:p w14:paraId="5F3BE59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Nadler, D. A., &amp; Tushman, M. L. (1980). A model for diagnosing organizational behavior. </w:t>
          </w:r>
          <w:r w:rsidRPr="009C6DC2">
            <w:rPr>
              <w:rFonts w:asciiTheme="majorBidi" w:hAnsiTheme="majorBidi" w:cstheme="majorBidi"/>
              <w:i/>
              <w:iCs/>
              <w:noProof/>
              <w:sz w:val="24"/>
              <w:szCs w:val="24"/>
              <w:lang w:val="en-US"/>
            </w:rPr>
            <w:t>Organizational Dynamics, 9</w:t>
          </w:r>
          <w:r w:rsidRPr="009C6DC2">
            <w:rPr>
              <w:rFonts w:asciiTheme="majorBidi" w:hAnsiTheme="majorBidi" w:cstheme="majorBidi"/>
              <w:noProof/>
              <w:sz w:val="24"/>
              <w:szCs w:val="24"/>
              <w:lang w:val="en-US"/>
            </w:rPr>
            <w:t>(2), 35-51. Retrieved 12 09, 2021, from https://doi.org/10.1016/0090-2616(80)90039-X</w:t>
          </w:r>
        </w:p>
        <w:p w14:paraId="17E3EDDC" w14:textId="336570E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Naeeni, H. S., Sahin, F., &amp; Robinson Jr., E. P. (2023). Socially responsible product-positioning: Impact of halo/horns spillover on product image. </w:t>
          </w:r>
          <w:r w:rsidRPr="009C6DC2">
            <w:rPr>
              <w:rFonts w:asciiTheme="majorBidi" w:hAnsiTheme="majorBidi" w:cstheme="majorBidi"/>
              <w:i/>
              <w:iCs/>
              <w:noProof/>
              <w:sz w:val="24"/>
              <w:szCs w:val="24"/>
              <w:lang w:val="en-US"/>
            </w:rPr>
            <w:t>European Journal of Operation Research, 308</w:t>
          </w:r>
          <w:r w:rsidRPr="009C6DC2">
            <w:rPr>
              <w:rFonts w:asciiTheme="majorBidi" w:hAnsiTheme="majorBidi" w:cstheme="majorBidi"/>
              <w:noProof/>
              <w:sz w:val="24"/>
              <w:szCs w:val="24"/>
              <w:lang w:val="en-US"/>
            </w:rPr>
            <w:t>(02), 852-863. Retrieved 2023, from https://doi.org/10.1016/j.ejor.2022.11.045</w:t>
          </w:r>
        </w:p>
        <w:p w14:paraId="1E28CB25" w14:textId="49AA17F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Nair, A. (2021</w:t>
          </w:r>
          <w:r w:rsidR="00731EE2">
            <w:rPr>
              <w:rFonts w:asciiTheme="majorBidi" w:hAnsiTheme="majorBidi" w:cstheme="majorBidi"/>
              <w:noProof/>
              <w:sz w:val="24"/>
              <w:szCs w:val="24"/>
              <w:lang w:val="en-US"/>
            </w:rPr>
            <w:t>)</w:t>
          </w:r>
          <w:r w:rsidRPr="009C6DC2">
            <w:rPr>
              <w:rFonts w:asciiTheme="majorBidi" w:hAnsiTheme="majorBidi" w:cstheme="majorBidi"/>
              <w:noProof/>
              <w:sz w:val="24"/>
              <w:szCs w:val="24"/>
              <w:lang w:val="en-US"/>
            </w:rPr>
            <w:t xml:space="preserve">. Ethics in Advertising. </w:t>
          </w:r>
          <w:r w:rsidRPr="009C6DC2">
            <w:rPr>
              <w:rFonts w:asciiTheme="majorBidi" w:hAnsiTheme="majorBidi" w:cstheme="majorBidi"/>
              <w:i/>
              <w:iCs/>
              <w:noProof/>
              <w:sz w:val="24"/>
              <w:szCs w:val="24"/>
              <w:lang w:val="en-US"/>
            </w:rPr>
            <w:t>International Journal of Research in Engineering Technology, 6</w:t>
          </w:r>
          <w:r w:rsidRPr="009C6DC2">
            <w:rPr>
              <w:rFonts w:asciiTheme="majorBidi" w:hAnsiTheme="majorBidi" w:cstheme="majorBidi"/>
              <w:noProof/>
              <w:sz w:val="24"/>
              <w:szCs w:val="24"/>
              <w:lang w:val="en-US"/>
            </w:rPr>
            <w:t>(2). Retrieved 01 24, 2022, from http://www.internationaljournalisar.org/IJRE/Volume6/Issue2/IJORE-V6I2P16.pdf</w:t>
          </w:r>
        </w:p>
        <w:p w14:paraId="1E060317" w14:textId="6B709B3B"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Nam, C., Cho, K., &amp; Kim, Y. D. (2020). </w:t>
          </w:r>
          <w:r w:rsidRPr="009C6DC2">
            <w:rPr>
              <w:rFonts w:asciiTheme="majorBidi" w:hAnsiTheme="majorBidi" w:cstheme="majorBidi"/>
              <w:noProof/>
              <w:sz w:val="24"/>
              <w:szCs w:val="24"/>
              <w:lang w:val="en-US"/>
            </w:rPr>
            <w:t xml:space="preserve">Cross-cultural examination of apparel online purchase intention: S-O-R paradigm. </w:t>
          </w:r>
          <w:r w:rsidRPr="009C6DC2">
            <w:rPr>
              <w:rFonts w:asciiTheme="majorBidi" w:hAnsiTheme="majorBidi" w:cstheme="majorBidi"/>
              <w:i/>
              <w:iCs/>
              <w:noProof/>
              <w:sz w:val="24"/>
              <w:szCs w:val="24"/>
              <w:lang w:val="en-US"/>
            </w:rPr>
            <w:t>Journal of Global Fashion Marketing, 12</w:t>
          </w:r>
          <w:r w:rsidRPr="009C6DC2">
            <w:rPr>
              <w:rFonts w:asciiTheme="majorBidi" w:hAnsiTheme="majorBidi" w:cstheme="majorBidi"/>
              <w:noProof/>
              <w:sz w:val="24"/>
              <w:szCs w:val="24"/>
              <w:lang w:val="en-US"/>
            </w:rPr>
            <w:t>(1), 62-76. doi:https://doi.org/10.1080/20932685.2020.1845766</w:t>
          </w:r>
        </w:p>
        <w:p w14:paraId="67B1491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Nanjundeswaraswamy, T. S., &amp; Divakar , S. (2021). DETERMINATION OF SAMPLE SIZE AND SAMPLING METHODS IN APPLIED RESEARCH. </w:t>
          </w:r>
          <w:r w:rsidRPr="009C6DC2">
            <w:rPr>
              <w:rFonts w:asciiTheme="majorBidi" w:hAnsiTheme="majorBidi" w:cstheme="majorBidi"/>
              <w:i/>
              <w:iCs/>
              <w:noProof/>
              <w:sz w:val="24"/>
              <w:szCs w:val="24"/>
              <w:lang w:val="en-US"/>
            </w:rPr>
            <w:t>Proceedings on Engineering Sciences, 3</w:t>
          </w:r>
          <w:r w:rsidRPr="009C6DC2">
            <w:rPr>
              <w:rFonts w:asciiTheme="majorBidi" w:hAnsiTheme="majorBidi" w:cstheme="majorBidi"/>
              <w:noProof/>
              <w:sz w:val="24"/>
              <w:szCs w:val="24"/>
              <w:lang w:val="en-US"/>
            </w:rPr>
            <w:t>(1), 25-32. doi:10.24874/PES03.01.003</w:t>
          </w:r>
        </w:p>
        <w:p w14:paraId="174EF3D8" w14:textId="03E4434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Nascimento, L., &amp; Steinbruch, F. K. (2019). The interviews were transcribed”, but how? Reflections on management research. </w:t>
          </w:r>
          <w:r w:rsidRPr="009C6DC2">
            <w:rPr>
              <w:rFonts w:asciiTheme="majorBidi" w:hAnsiTheme="majorBidi" w:cstheme="majorBidi"/>
              <w:i/>
              <w:iCs/>
              <w:noProof/>
              <w:sz w:val="24"/>
              <w:szCs w:val="24"/>
              <w:lang w:val="en-US"/>
            </w:rPr>
            <w:t>RAUSP Management Journal, 54</w:t>
          </w:r>
          <w:r w:rsidRPr="009C6DC2">
            <w:rPr>
              <w:rFonts w:asciiTheme="majorBidi" w:hAnsiTheme="majorBidi" w:cstheme="majorBidi"/>
              <w:noProof/>
              <w:sz w:val="24"/>
              <w:szCs w:val="24"/>
              <w:lang w:val="en-US"/>
            </w:rPr>
            <w:t>(4), 413-429. doi:https://doi.org/10.1108/RAUSP-05-2019-0092</w:t>
          </w:r>
        </w:p>
        <w:p w14:paraId="4AED672E" w14:textId="64ACB21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Navarro, J. G. (2023). </w:t>
          </w:r>
          <w:r w:rsidRPr="009C6DC2">
            <w:rPr>
              <w:rFonts w:asciiTheme="majorBidi" w:hAnsiTheme="majorBidi" w:cstheme="majorBidi"/>
              <w:i/>
              <w:iCs/>
              <w:noProof/>
              <w:sz w:val="24"/>
              <w:szCs w:val="24"/>
              <w:lang w:val="en-US"/>
            </w:rPr>
            <w:t>Growth of advertising spending worldwide from 2000 to 2024</w:t>
          </w:r>
          <w:r w:rsidRPr="009C6DC2">
            <w:rPr>
              <w:rFonts w:asciiTheme="majorBidi" w:hAnsiTheme="majorBidi" w:cstheme="majorBidi"/>
              <w:noProof/>
              <w:sz w:val="24"/>
              <w:szCs w:val="24"/>
              <w:lang w:val="en-US"/>
            </w:rPr>
            <w:t>. Retrieved from Statista: https://www.statista.com/statistics/272443/growth-of-advertising-spending-worldwide/</w:t>
          </w:r>
        </w:p>
        <w:p w14:paraId="109C350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Newcomb, T. (1931). An experiment designed to test the validity of a rating technique. </w:t>
          </w:r>
          <w:r w:rsidRPr="009C6DC2">
            <w:rPr>
              <w:rFonts w:asciiTheme="majorBidi" w:hAnsiTheme="majorBidi" w:cstheme="majorBidi"/>
              <w:i/>
              <w:iCs/>
              <w:noProof/>
              <w:sz w:val="24"/>
              <w:szCs w:val="24"/>
              <w:lang w:val="en-US"/>
            </w:rPr>
            <w:t>Journal of Educational Psychology, 22</w:t>
          </w:r>
          <w:r w:rsidRPr="009C6DC2">
            <w:rPr>
              <w:rFonts w:asciiTheme="majorBidi" w:hAnsiTheme="majorBidi" w:cstheme="majorBidi"/>
              <w:noProof/>
              <w:sz w:val="24"/>
              <w:szCs w:val="24"/>
              <w:lang w:val="en-US"/>
            </w:rPr>
            <w:t>(4), 279-289. doi:https://doi.org/10.1037/h0070737</w:t>
          </w:r>
        </w:p>
        <w:p w14:paraId="53AAA41B" w14:textId="50ED515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Newman, G. E., Gorlin, M., &amp; Dhar, R. (2014). When Going Green Backfires: How Firm Intentions Shape the Evaluation of Socially Beneficial Product Enhancements. </w:t>
          </w:r>
          <w:r w:rsidRPr="009C6DC2">
            <w:rPr>
              <w:rFonts w:asciiTheme="majorBidi" w:hAnsiTheme="majorBidi" w:cstheme="majorBidi"/>
              <w:i/>
              <w:iCs/>
              <w:noProof/>
              <w:sz w:val="24"/>
              <w:szCs w:val="24"/>
              <w:lang w:val="en-US"/>
            </w:rPr>
            <w:t>Journal of Consumer Research, 41</w:t>
          </w:r>
          <w:r w:rsidRPr="009C6DC2">
            <w:rPr>
              <w:rFonts w:asciiTheme="majorBidi" w:hAnsiTheme="majorBidi" w:cstheme="majorBidi"/>
              <w:noProof/>
              <w:sz w:val="24"/>
              <w:szCs w:val="24"/>
              <w:lang w:val="en-US"/>
            </w:rPr>
            <w:t>(03), 823-839. Retrieved 05 26, 2022, from http://www.jstor.org/stable/10.1086/677841 .</w:t>
          </w:r>
        </w:p>
        <w:p w14:paraId="54668ED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Ng, S. L., Baker, L., Cristancho, S., Kennedy, T. J., &amp; Lingard, L. (2018). Chapter 29 Qualitative Research in Medical Education. In T. Swanwick, K. Forrest, &amp; B. C. O'Brien, </w:t>
          </w:r>
          <w:r w:rsidRPr="009C6DC2">
            <w:rPr>
              <w:rFonts w:asciiTheme="majorBidi" w:hAnsiTheme="majorBidi" w:cstheme="majorBidi"/>
              <w:i/>
              <w:iCs/>
              <w:noProof/>
              <w:sz w:val="24"/>
              <w:szCs w:val="24"/>
              <w:lang w:val="en-US"/>
            </w:rPr>
            <w:t>Understanding Medical Education: Evidence, Theory, and Practice, Third Edition.</w:t>
          </w:r>
          <w:r w:rsidRPr="009C6DC2">
            <w:rPr>
              <w:rFonts w:asciiTheme="majorBidi" w:hAnsiTheme="majorBidi" w:cstheme="majorBidi"/>
              <w:noProof/>
              <w:sz w:val="24"/>
              <w:szCs w:val="24"/>
              <w:lang w:val="en-US"/>
            </w:rPr>
            <w:t xml:space="preserve"> doi: https://doi.org/10.1002/9781119373780.ch29</w:t>
          </w:r>
        </w:p>
        <w:p w14:paraId="7D832260" w14:textId="7706F74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Ng, S., &amp; Batra, R. (2017). Regulatory goals in a globalized world. </w:t>
          </w:r>
          <w:r w:rsidRPr="009C6DC2">
            <w:rPr>
              <w:rFonts w:asciiTheme="majorBidi" w:hAnsiTheme="majorBidi" w:cstheme="majorBidi"/>
              <w:i/>
              <w:iCs/>
              <w:noProof/>
              <w:sz w:val="24"/>
              <w:szCs w:val="24"/>
              <w:lang w:val="en-US"/>
            </w:rPr>
            <w:t>Journal of Consumer Psychology., 27</w:t>
          </w:r>
          <w:r w:rsidRPr="009C6DC2">
            <w:rPr>
              <w:rFonts w:asciiTheme="majorBidi" w:hAnsiTheme="majorBidi" w:cstheme="majorBidi"/>
              <w:noProof/>
              <w:sz w:val="24"/>
              <w:szCs w:val="24"/>
              <w:lang w:val="en-US"/>
            </w:rPr>
            <w:t>(2), 270-277. doi:10.1016/j.jcps.2016.08.003</w:t>
          </w:r>
        </w:p>
        <w:p w14:paraId="2ACAAD45" w14:textId="0D9F96E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Nguyen, B., Ekinci, Y., Simkin, L., &amp; Melewar, T. (2015). The Brand Likeability Scale: An Exploratory Study of Likeability in Firm-Level Brands. </w:t>
          </w:r>
          <w:r w:rsidRPr="009C6DC2">
            <w:rPr>
              <w:rFonts w:asciiTheme="majorBidi" w:hAnsiTheme="majorBidi" w:cstheme="majorBidi"/>
              <w:i/>
              <w:iCs/>
              <w:noProof/>
              <w:sz w:val="24"/>
              <w:szCs w:val="24"/>
              <w:lang w:val="en-US"/>
            </w:rPr>
            <w:t>International Journal of Market Research, 57</w:t>
          </w:r>
          <w:r w:rsidRPr="009C6DC2">
            <w:rPr>
              <w:rFonts w:asciiTheme="majorBidi" w:hAnsiTheme="majorBidi" w:cstheme="majorBidi"/>
              <w:noProof/>
              <w:sz w:val="24"/>
              <w:szCs w:val="24"/>
              <w:lang w:val="en-US"/>
            </w:rPr>
            <w:t>(5), 777–800. doi:https://doi.org/10.2501/IJMR-2015-063</w:t>
          </w:r>
        </w:p>
        <w:p w14:paraId="3C65F53A" w14:textId="36B41D9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Nguyen, B., Melewar, T. C., &amp; Chen, J. (2013). A framework of brand likeability: An exploratory study of likeability in firm-level brands. </w:t>
          </w:r>
          <w:r w:rsidRPr="009C6DC2">
            <w:rPr>
              <w:rFonts w:asciiTheme="majorBidi" w:hAnsiTheme="majorBidi" w:cstheme="majorBidi"/>
              <w:i/>
              <w:iCs/>
              <w:noProof/>
              <w:sz w:val="24"/>
              <w:szCs w:val="24"/>
              <w:lang w:val="en-US"/>
            </w:rPr>
            <w:t>Journal of Strategic Marketing, 21</w:t>
          </w:r>
          <w:r w:rsidRPr="009C6DC2">
            <w:rPr>
              <w:rFonts w:asciiTheme="majorBidi" w:hAnsiTheme="majorBidi" w:cstheme="majorBidi"/>
              <w:noProof/>
              <w:sz w:val="24"/>
              <w:szCs w:val="24"/>
              <w:lang w:val="en-US"/>
            </w:rPr>
            <w:t>(04), 368-390. doi:10.1080/0965254X.2013.790472</w:t>
          </w:r>
        </w:p>
        <w:p w14:paraId="2E7D7EA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Nguyen, Y. T., &amp; Nguyen, H. V. (2020). An alternative view of the millennial green product purchase: the roles of online product review and self-image congruence”. </w:t>
          </w:r>
          <w:r w:rsidRPr="009C6DC2">
            <w:rPr>
              <w:rFonts w:asciiTheme="majorBidi" w:hAnsiTheme="majorBidi" w:cstheme="majorBidi"/>
              <w:i/>
              <w:iCs/>
              <w:noProof/>
              <w:sz w:val="24"/>
              <w:szCs w:val="24"/>
              <w:lang w:val="en-US"/>
            </w:rPr>
            <w:t>Asia Pacific Journal of Marketing and Logistics</w:t>
          </w:r>
          <w:r w:rsidRPr="009C6DC2">
            <w:rPr>
              <w:rFonts w:asciiTheme="majorBidi" w:hAnsiTheme="majorBidi" w:cstheme="majorBidi"/>
              <w:noProof/>
              <w:sz w:val="24"/>
              <w:szCs w:val="24"/>
              <w:lang w:val="en-US"/>
            </w:rPr>
            <w:t>. doi:10.1108/APJML-10-2019-0612.</w:t>
          </w:r>
        </w:p>
        <w:p w14:paraId="1F70723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Nickels, W. G. (1980). Marketing Communication and Promotion. In </w:t>
          </w:r>
          <w:r w:rsidRPr="009C6DC2">
            <w:rPr>
              <w:rFonts w:asciiTheme="majorBidi" w:hAnsiTheme="majorBidi" w:cstheme="majorBidi"/>
              <w:i/>
              <w:iCs/>
              <w:noProof/>
              <w:sz w:val="24"/>
              <w:szCs w:val="24"/>
              <w:lang w:val="en-US"/>
            </w:rPr>
            <w:t>Comminication in marketing .</w:t>
          </w:r>
          <w:r w:rsidRPr="009C6DC2">
            <w:rPr>
              <w:rFonts w:asciiTheme="majorBidi" w:hAnsiTheme="majorBidi" w:cstheme="majorBidi"/>
              <w:noProof/>
              <w:sz w:val="24"/>
              <w:szCs w:val="24"/>
              <w:lang w:val="en-US"/>
            </w:rPr>
            <w:t xml:space="preserve"> </w:t>
          </w:r>
        </w:p>
        <w:p w14:paraId="37DA352B" w14:textId="28945F7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Nickerson, C. (2021). </w:t>
          </w:r>
          <w:r w:rsidRPr="009C6DC2">
            <w:rPr>
              <w:rFonts w:asciiTheme="majorBidi" w:hAnsiTheme="majorBidi" w:cstheme="majorBidi"/>
              <w:i/>
              <w:iCs/>
              <w:noProof/>
              <w:sz w:val="24"/>
              <w:szCs w:val="24"/>
              <w:lang w:val="en-US"/>
            </w:rPr>
            <w:t>Understanding Collectivist Cultures</w:t>
          </w:r>
          <w:r w:rsidRPr="009C6DC2">
            <w:rPr>
              <w:rFonts w:asciiTheme="majorBidi" w:hAnsiTheme="majorBidi" w:cstheme="majorBidi"/>
              <w:noProof/>
              <w:sz w:val="24"/>
              <w:szCs w:val="24"/>
              <w:lang w:val="en-US"/>
            </w:rPr>
            <w:t>. Retrieved from Simply Psychology: https://www.simplypsychology.org/what-are-collectivistic-cultures.html</w:t>
          </w:r>
        </w:p>
        <w:p w14:paraId="49368B43" w14:textId="78B3B48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Niederdeppe, J., Avery, R. J., Tabor, E., Lee, N. W., Welch, B., &amp; Skurka, C. (2021). Estimated televised alcohol advertising exposure in the past year and associations with past 30-day drinking behavior among American adults: results from a secondary analysis of large-scale advertising and survey data. </w:t>
          </w:r>
          <w:r w:rsidRPr="009C6DC2">
            <w:rPr>
              <w:rFonts w:asciiTheme="majorBidi" w:hAnsiTheme="majorBidi" w:cstheme="majorBidi"/>
              <w:i/>
              <w:iCs/>
              <w:noProof/>
              <w:sz w:val="24"/>
              <w:szCs w:val="24"/>
              <w:lang w:val="en-US"/>
            </w:rPr>
            <w:t>Addiction, 116</w:t>
          </w:r>
          <w:r w:rsidRPr="009C6DC2">
            <w:rPr>
              <w:rFonts w:asciiTheme="majorBidi" w:hAnsiTheme="majorBidi" w:cstheme="majorBidi"/>
              <w:noProof/>
              <w:sz w:val="24"/>
              <w:szCs w:val="24"/>
              <w:lang w:val="en-US"/>
            </w:rPr>
            <w:t>(2), 280-289. doi:https://doi.org/10.1111/add.15088</w:t>
          </w:r>
        </w:p>
        <w:p w14:paraId="4C895E9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Nisbett, R. E., &amp; Wilson, T. D. (1977). The Halo Effect: Evidence for Unconscious Alteration of Judgments. </w:t>
          </w:r>
          <w:r w:rsidRPr="009C6DC2">
            <w:rPr>
              <w:rFonts w:asciiTheme="majorBidi" w:hAnsiTheme="majorBidi" w:cstheme="majorBidi"/>
              <w:i/>
              <w:iCs/>
              <w:noProof/>
              <w:sz w:val="24"/>
              <w:szCs w:val="24"/>
              <w:lang w:val="en-US"/>
            </w:rPr>
            <w:t>Journal of Personality and Social Psychology, 35</w:t>
          </w:r>
          <w:r w:rsidRPr="009C6DC2">
            <w:rPr>
              <w:rFonts w:asciiTheme="majorBidi" w:hAnsiTheme="majorBidi" w:cstheme="majorBidi"/>
              <w:noProof/>
              <w:sz w:val="24"/>
              <w:szCs w:val="24"/>
              <w:lang w:val="en-US"/>
            </w:rPr>
            <w:t>(04), 250-256. doi:https://doi.org/10.1037/0022-3514.35.4.250</w:t>
          </w:r>
        </w:p>
        <w:p w14:paraId="4CFF5545" w14:textId="3FEE85B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Noble, C. H., &amp; Kumar, M. (2008). </w:t>
          </w:r>
          <w:r w:rsidRPr="009C6DC2">
            <w:rPr>
              <w:rFonts w:asciiTheme="majorBidi" w:hAnsiTheme="majorBidi" w:cstheme="majorBidi"/>
              <w:noProof/>
              <w:sz w:val="24"/>
              <w:szCs w:val="24"/>
              <w:lang w:val="en-US"/>
            </w:rPr>
            <w:t xml:space="preserve">Using product design strategically to create deeper consumer connections. </w:t>
          </w:r>
          <w:r w:rsidRPr="009C6DC2">
            <w:rPr>
              <w:rFonts w:asciiTheme="majorBidi" w:hAnsiTheme="majorBidi" w:cstheme="majorBidi"/>
              <w:i/>
              <w:iCs/>
              <w:noProof/>
              <w:sz w:val="24"/>
              <w:szCs w:val="24"/>
              <w:lang w:val="en-US"/>
            </w:rPr>
            <w:t>Business Horizons, 51</w:t>
          </w:r>
          <w:r w:rsidRPr="009C6DC2">
            <w:rPr>
              <w:rFonts w:asciiTheme="majorBidi" w:hAnsiTheme="majorBidi" w:cstheme="majorBidi"/>
              <w:noProof/>
              <w:sz w:val="24"/>
              <w:szCs w:val="24"/>
              <w:lang w:val="en-US"/>
            </w:rPr>
            <w:t>(5), 441-450. doi:https://doi.org/10.1016/j.bushor.2008.03.006</w:t>
          </w:r>
        </w:p>
        <w:p w14:paraId="7A7726A8" w14:textId="249E1B1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Nomi, M., &amp; Sabbir, M. (2020). INVESTIGATING THE FACTORS OF CONSUMERS’ PURCHASE INTENTION TOWARDS LIFE INSURANCE IN BANGLADESH: AN APPLICATION OF THE THEORY OF Reasoned Action. </w:t>
          </w:r>
          <w:r w:rsidRPr="009C6DC2">
            <w:rPr>
              <w:rFonts w:asciiTheme="majorBidi" w:hAnsiTheme="majorBidi" w:cstheme="majorBidi"/>
              <w:i/>
              <w:iCs/>
              <w:noProof/>
              <w:sz w:val="24"/>
              <w:szCs w:val="24"/>
              <w:lang w:val="en-US"/>
            </w:rPr>
            <w:t>Asian Academy of Management Journal, 25</w:t>
          </w:r>
          <w:r w:rsidRPr="009C6DC2">
            <w:rPr>
              <w:rFonts w:asciiTheme="majorBidi" w:hAnsiTheme="majorBidi" w:cstheme="majorBidi"/>
              <w:noProof/>
              <w:sz w:val="24"/>
              <w:szCs w:val="24"/>
              <w:lang w:val="en-US"/>
            </w:rPr>
            <w:t>(2), 135-165. doi:https://doi.org/10.21315/aamj2020.25.2.6</w:t>
          </w:r>
        </w:p>
        <w:p w14:paraId="4812FF21" w14:textId="390C911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Nurunnabi, M., Alfakhri, Y., &amp; Alfakhri, D. H. (2020). </w:t>
          </w:r>
          <w:r w:rsidRPr="009C6DC2">
            <w:rPr>
              <w:rFonts w:asciiTheme="majorBidi" w:hAnsiTheme="majorBidi" w:cstheme="majorBidi"/>
              <w:noProof/>
              <w:sz w:val="24"/>
              <w:szCs w:val="24"/>
              <w:lang w:val="en-US"/>
            </w:rPr>
            <w:t xml:space="preserve">CSR in Saudi Arabia and Carroll's Pyramid: what is 'known' and 'unknown'? </w:t>
          </w:r>
          <w:r w:rsidRPr="009C6DC2">
            <w:rPr>
              <w:rFonts w:asciiTheme="majorBidi" w:hAnsiTheme="majorBidi" w:cstheme="majorBidi"/>
              <w:i/>
              <w:iCs/>
              <w:noProof/>
              <w:sz w:val="24"/>
              <w:szCs w:val="24"/>
              <w:lang w:val="en-US"/>
            </w:rPr>
            <w:t>Journal of Marketing Communications, 26</w:t>
          </w:r>
          <w:r w:rsidRPr="009C6DC2">
            <w:rPr>
              <w:rFonts w:asciiTheme="majorBidi" w:hAnsiTheme="majorBidi" w:cstheme="majorBidi"/>
              <w:noProof/>
              <w:sz w:val="24"/>
              <w:szCs w:val="24"/>
              <w:lang w:val="en-US"/>
            </w:rPr>
            <w:t>(8), 874-895. doi:10.1080/13527266.2019.1604560</w:t>
          </w:r>
        </w:p>
        <w:p w14:paraId="1BD277D2" w14:textId="3DD91F7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Ntloko, K. (2020). </w:t>
          </w:r>
          <w:r w:rsidRPr="009C6DC2">
            <w:rPr>
              <w:rFonts w:asciiTheme="majorBidi" w:hAnsiTheme="majorBidi" w:cstheme="majorBidi"/>
              <w:i/>
              <w:iCs/>
              <w:noProof/>
              <w:sz w:val="24"/>
              <w:szCs w:val="24"/>
              <w:lang w:val="en-US"/>
            </w:rPr>
            <w:t>Why You Need a Marketing Communication Strategy</w:t>
          </w:r>
          <w:r w:rsidRPr="009C6DC2">
            <w:rPr>
              <w:rFonts w:asciiTheme="majorBidi" w:hAnsiTheme="majorBidi" w:cstheme="majorBidi"/>
              <w:noProof/>
              <w:sz w:val="24"/>
              <w:szCs w:val="24"/>
              <w:lang w:val="en-US"/>
            </w:rPr>
            <w:t>. Retrieved from Meltware: https://www.meltwater.com/en/blog/why-you-need-a-marketing-communication-strategy</w:t>
          </w:r>
        </w:p>
        <w:p w14:paraId="744B7D2A" w14:textId="528FDA7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Nyirenda, L., Kumar, M. B., Theobald, S., Sarker, M., Simwing, M., Kumwenda, M., . . . </w:t>
          </w:r>
          <w:r w:rsidRPr="009C6DC2">
            <w:rPr>
              <w:rFonts w:asciiTheme="majorBidi" w:hAnsiTheme="majorBidi" w:cstheme="majorBidi"/>
              <w:noProof/>
              <w:sz w:val="24"/>
              <w:szCs w:val="24"/>
              <w:lang w:val="en-US"/>
            </w:rPr>
            <w:t xml:space="preserve">Taegtmeyer , M. (2020). Using research networks to generate trustworthy qualitative public health research findings from multiple contexts. </w:t>
          </w:r>
          <w:r w:rsidRPr="009C6DC2">
            <w:rPr>
              <w:rFonts w:asciiTheme="majorBidi" w:hAnsiTheme="majorBidi" w:cstheme="majorBidi"/>
              <w:i/>
              <w:iCs/>
              <w:noProof/>
              <w:sz w:val="24"/>
              <w:szCs w:val="24"/>
              <w:lang w:val="en-US"/>
            </w:rPr>
            <w:t>BMC Medical Research Methodology, 20</w:t>
          </w:r>
          <w:r w:rsidRPr="009C6DC2">
            <w:rPr>
              <w:rFonts w:asciiTheme="majorBidi" w:hAnsiTheme="majorBidi" w:cstheme="majorBidi"/>
              <w:noProof/>
              <w:sz w:val="24"/>
              <w:szCs w:val="24"/>
              <w:lang w:val="en-US"/>
            </w:rPr>
            <w:t>. doi:https://doi.org/10.1186/s12874-019-0895-5</w:t>
          </w:r>
        </w:p>
        <w:p w14:paraId="0F0DB836" w14:textId="0D16F1C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O’Reilly, M., &amp; Parker , N. (2012). Unsatisfactory saturation: A critical exploration of the notion of saturated sample sizes in qualitative research. </w:t>
          </w:r>
          <w:r w:rsidRPr="009C6DC2">
            <w:rPr>
              <w:rFonts w:asciiTheme="majorBidi" w:hAnsiTheme="majorBidi" w:cstheme="majorBidi"/>
              <w:i/>
              <w:iCs/>
              <w:noProof/>
              <w:sz w:val="24"/>
              <w:szCs w:val="24"/>
              <w:lang w:val="en-US"/>
            </w:rPr>
            <w:t>Qualitative Research Journal</w:t>
          </w:r>
          <w:r w:rsidRPr="009C6DC2">
            <w:rPr>
              <w:rFonts w:asciiTheme="majorBidi" w:hAnsiTheme="majorBidi" w:cstheme="majorBidi"/>
              <w:noProof/>
              <w:sz w:val="24"/>
              <w:szCs w:val="24"/>
              <w:lang w:val="en-US"/>
            </w:rPr>
            <w:t>, 1-8.</w:t>
          </w:r>
        </w:p>
        <w:p w14:paraId="1C609E2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Ogden, J. (2003). Some problems with social cognition models: A pragmatic and conceptual analysis. </w:t>
          </w:r>
          <w:r w:rsidRPr="009C6DC2">
            <w:rPr>
              <w:rFonts w:asciiTheme="majorBidi" w:hAnsiTheme="majorBidi" w:cstheme="majorBidi"/>
              <w:i/>
              <w:iCs/>
              <w:noProof/>
              <w:sz w:val="24"/>
              <w:szCs w:val="24"/>
              <w:lang w:val="en-US"/>
            </w:rPr>
            <w:t>Health Psychology, 22</w:t>
          </w:r>
          <w:r w:rsidRPr="009C6DC2">
            <w:rPr>
              <w:rFonts w:asciiTheme="majorBidi" w:hAnsiTheme="majorBidi" w:cstheme="majorBidi"/>
              <w:noProof/>
              <w:sz w:val="24"/>
              <w:szCs w:val="24"/>
              <w:lang w:val="en-US"/>
            </w:rPr>
            <w:t>(4), 424-428. doi:https://doi.org/10.1037/0278-6133.22.4.424</w:t>
          </w:r>
        </w:p>
        <w:p w14:paraId="419FE9E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Oh, H., Bae, J., &amp; Kim, S.-J. (2017). Can Sinful Firms Benefit from Advertising Their CSR Efforts? Adverse Effect of Advertising Sinful Firms’ CSR Engagements on Firm Performance. </w:t>
          </w:r>
          <w:r w:rsidRPr="009C6DC2">
            <w:rPr>
              <w:rFonts w:asciiTheme="majorBidi" w:hAnsiTheme="majorBidi" w:cstheme="majorBidi"/>
              <w:i/>
              <w:iCs/>
              <w:noProof/>
              <w:sz w:val="24"/>
              <w:szCs w:val="24"/>
              <w:lang w:val="en-US"/>
            </w:rPr>
            <w:t>Journal of Business Ethics, 143</w:t>
          </w:r>
          <w:r w:rsidRPr="009C6DC2">
            <w:rPr>
              <w:rFonts w:asciiTheme="majorBidi" w:hAnsiTheme="majorBidi" w:cstheme="majorBidi"/>
              <w:noProof/>
              <w:sz w:val="24"/>
              <w:szCs w:val="24"/>
              <w:lang w:val="en-US"/>
            </w:rPr>
            <w:t>, 643–663. doi:https://doi.org/10.1007/s10551-016-3072-3</w:t>
          </w:r>
        </w:p>
        <w:p w14:paraId="2EDE05EF" w14:textId="56B8D21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Ohlwein, M., &amp; Bruno, P. (2021). A Brand Like a Friend—How Brand Likeability Influences Brand Perception. </w:t>
          </w:r>
          <w:r w:rsidRPr="009C6DC2">
            <w:rPr>
              <w:rFonts w:asciiTheme="majorBidi" w:hAnsiTheme="majorBidi" w:cstheme="majorBidi"/>
              <w:i/>
              <w:iCs/>
              <w:noProof/>
              <w:sz w:val="24"/>
              <w:szCs w:val="24"/>
              <w:lang w:val="en-US"/>
            </w:rPr>
            <w:t>International Journal of Market Research</w:t>
          </w:r>
          <w:r w:rsidRPr="009C6DC2">
            <w:rPr>
              <w:rFonts w:asciiTheme="majorBidi" w:hAnsiTheme="majorBidi" w:cstheme="majorBidi"/>
              <w:noProof/>
              <w:sz w:val="24"/>
              <w:szCs w:val="24"/>
              <w:lang w:val="en-US"/>
            </w:rPr>
            <w:t>. doi:https://doi-org.lsbu.idm.oclc.org/10.1177/14707853211039190</w:t>
          </w:r>
        </w:p>
        <w:p w14:paraId="16967DB0" w14:textId="7D6DCA9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Ohme, J., &amp; Mothes, C. (2020). What Affects First- and Second-Level Selective Exposure to Journalistic News? A Social Media Online Experiment. </w:t>
          </w:r>
          <w:r w:rsidRPr="009C6DC2">
            <w:rPr>
              <w:rFonts w:asciiTheme="majorBidi" w:hAnsiTheme="majorBidi" w:cstheme="majorBidi"/>
              <w:i/>
              <w:iCs/>
              <w:noProof/>
              <w:sz w:val="24"/>
              <w:szCs w:val="24"/>
              <w:lang w:val="en-US"/>
            </w:rPr>
            <w:t>Journalism Studies, 21</w:t>
          </w:r>
          <w:r w:rsidRPr="009C6DC2">
            <w:rPr>
              <w:rFonts w:asciiTheme="majorBidi" w:hAnsiTheme="majorBidi" w:cstheme="majorBidi"/>
              <w:noProof/>
              <w:sz w:val="24"/>
              <w:szCs w:val="24"/>
              <w:lang w:val="en-US"/>
            </w:rPr>
            <w:t>(09), 1220-1242. doi:10.1080/1461670X.2020.1735490</w:t>
          </w:r>
        </w:p>
        <w:p w14:paraId="266096F1" w14:textId="116AC72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Oliver , D. G., Serovich, J. M., &amp; Mason, T. L. (200</w:t>
          </w:r>
          <w:r w:rsidR="00731EE2">
            <w:rPr>
              <w:rFonts w:asciiTheme="majorBidi" w:hAnsiTheme="majorBidi" w:cstheme="majorBidi"/>
              <w:noProof/>
              <w:sz w:val="24"/>
              <w:szCs w:val="24"/>
              <w:lang w:val="en-US"/>
            </w:rPr>
            <w:t>5</w:t>
          </w:r>
          <w:r w:rsidRPr="009C6DC2">
            <w:rPr>
              <w:rFonts w:asciiTheme="majorBidi" w:hAnsiTheme="majorBidi" w:cstheme="majorBidi"/>
              <w:noProof/>
              <w:sz w:val="24"/>
              <w:szCs w:val="24"/>
              <w:lang w:val="en-US"/>
            </w:rPr>
            <w:t xml:space="preserve">). Constraints and Opportunities with Interview Transcription: Towards Reflection in Qualitative Research. </w:t>
          </w:r>
          <w:r w:rsidRPr="009C6DC2">
            <w:rPr>
              <w:rFonts w:asciiTheme="majorBidi" w:hAnsiTheme="majorBidi" w:cstheme="majorBidi"/>
              <w:i/>
              <w:iCs/>
              <w:noProof/>
              <w:sz w:val="24"/>
              <w:szCs w:val="24"/>
              <w:lang w:val="en-US"/>
            </w:rPr>
            <w:t>Social Forces, 84</w:t>
          </w:r>
          <w:r w:rsidRPr="009C6DC2">
            <w:rPr>
              <w:rFonts w:asciiTheme="majorBidi" w:hAnsiTheme="majorBidi" w:cstheme="majorBidi"/>
              <w:noProof/>
              <w:sz w:val="24"/>
              <w:szCs w:val="24"/>
              <w:lang w:val="en-US"/>
            </w:rPr>
            <w:t>(2), 1273–1289. doi:https://doi.org/10.1353/sof.2006.0023</w:t>
          </w:r>
        </w:p>
        <w:p w14:paraId="628B5266" w14:textId="12554B8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Olsen, W., &amp; Morgan, J. (2005). A Critical Epistemology of Analytical Statistics: Addressing the Sceptical Realist. </w:t>
          </w:r>
          <w:r w:rsidRPr="009C6DC2">
            <w:rPr>
              <w:rFonts w:asciiTheme="majorBidi" w:hAnsiTheme="majorBidi" w:cstheme="majorBidi"/>
              <w:i/>
              <w:iCs/>
              <w:noProof/>
              <w:sz w:val="24"/>
              <w:szCs w:val="24"/>
              <w:lang w:val="en-US"/>
            </w:rPr>
            <w:t>Journal for The Theory of Social Behaviour, 35</w:t>
          </w:r>
          <w:r w:rsidRPr="009C6DC2">
            <w:rPr>
              <w:rFonts w:asciiTheme="majorBidi" w:hAnsiTheme="majorBidi" w:cstheme="majorBidi"/>
              <w:noProof/>
              <w:sz w:val="24"/>
              <w:szCs w:val="24"/>
              <w:lang w:val="en-US"/>
            </w:rPr>
            <w:t>(3), 255-284. doi: https://doi.org/10.1111/j.1468-5914.2005.00279.x</w:t>
          </w:r>
        </w:p>
        <w:p w14:paraId="15E4EB66" w14:textId="04DAD98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Olson, E. L., &amp; Thjømøe, H. M. (2013). Explaining and Articulating the Fit Construct in Sponsorship. </w:t>
          </w:r>
          <w:r w:rsidRPr="009C6DC2">
            <w:rPr>
              <w:rFonts w:asciiTheme="majorBidi" w:hAnsiTheme="majorBidi" w:cstheme="majorBidi"/>
              <w:i/>
              <w:iCs/>
              <w:noProof/>
              <w:sz w:val="24"/>
              <w:szCs w:val="24"/>
              <w:lang w:val="en-US"/>
            </w:rPr>
            <w:t>Journal of Advertising, 40</w:t>
          </w:r>
          <w:r w:rsidRPr="009C6DC2">
            <w:rPr>
              <w:rFonts w:asciiTheme="majorBidi" w:hAnsiTheme="majorBidi" w:cstheme="majorBidi"/>
              <w:noProof/>
              <w:sz w:val="24"/>
              <w:szCs w:val="24"/>
              <w:lang w:val="en-US"/>
            </w:rPr>
            <w:t>(1), 57-70. doi:https://doi.org/10.2753/JOA0091-3367400104</w:t>
          </w:r>
        </w:p>
        <w:p w14:paraId="0A276174" w14:textId="3CE6CBA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Olson, J. C., &amp; Dover, P. A. (1978). Cognitive Effects of Deceptive Advertising. </w:t>
          </w:r>
          <w:r w:rsidRPr="009C6DC2">
            <w:rPr>
              <w:rFonts w:asciiTheme="majorBidi" w:hAnsiTheme="majorBidi" w:cstheme="majorBidi"/>
              <w:i/>
              <w:iCs/>
              <w:noProof/>
              <w:sz w:val="24"/>
              <w:szCs w:val="24"/>
              <w:lang w:val="en-US"/>
            </w:rPr>
            <w:t>Journal of Marketing Research, 15</w:t>
          </w:r>
          <w:r w:rsidRPr="009C6DC2">
            <w:rPr>
              <w:rFonts w:asciiTheme="majorBidi" w:hAnsiTheme="majorBidi" w:cstheme="majorBidi"/>
              <w:noProof/>
              <w:sz w:val="24"/>
              <w:szCs w:val="24"/>
              <w:lang w:val="en-US"/>
            </w:rPr>
            <w:t>(1), 29-38. doi:https://doi.org/10.1177/002224377801500105</w:t>
          </w:r>
        </w:p>
        <w:p w14:paraId="23D257DD" w14:textId="501A832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Onel, N. (2016). Pro-environmental Purchasing Behavior of Consumers: The Role of Norms. </w:t>
          </w:r>
          <w:r w:rsidRPr="009C6DC2">
            <w:rPr>
              <w:rFonts w:asciiTheme="majorBidi" w:hAnsiTheme="majorBidi" w:cstheme="majorBidi"/>
              <w:i/>
              <w:iCs/>
              <w:noProof/>
              <w:sz w:val="24"/>
              <w:szCs w:val="24"/>
              <w:lang w:val="en-US"/>
            </w:rPr>
            <w:t>Social Marketing Quarterly, 23</w:t>
          </w:r>
          <w:r w:rsidRPr="009C6DC2">
            <w:rPr>
              <w:rFonts w:asciiTheme="majorBidi" w:hAnsiTheme="majorBidi" w:cstheme="majorBidi"/>
              <w:noProof/>
              <w:sz w:val="24"/>
              <w:szCs w:val="24"/>
              <w:lang w:val="en-US"/>
            </w:rPr>
            <w:t>(2). doi:https://doi.org/10.1177/1524500416672440</w:t>
          </w:r>
        </w:p>
        <w:p w14:paraId="57818004" w14:textId="7F86224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Onyango, S. (2021). </w:t>
          </w:r>
          <w:r w:rsidRPr="009C6DC2">
            <w:rPr>
              <w:rFonts w:asciiTheme="majorBidi" w:hAnsiTheme="majorBidi" w:cstheme="majorBidi"/>
              <w:i/>
              <w:iCs/>
              <w:noProof/>
              <w:sz w:val="24"/>
              <w:szCs w:val="24"/>
              <w:lang w:val="en-US"/>
            </w:rPr>
            <w:t>Africa: Egypt leads as most attractive investment market</w:t>
          </w:r>
          <w:r w:rsidRPr="009C6DC2">
            <w:rPr>
              <w:rFonts w:asciiTheme="majorBidi" w:hAnsiTheme="majorBidi" w:cstheme="majorBidi"/>
              <w:noProof/>
              <w:sz w:val="24"/>
              <w:szCs w:val="24"/>
              <w:lang w:val="en-US"/>
            </w:rPr>
            <w:t>. Retrieved from The Africa Report: https://www.theafricareport.com/145465/africa-egypt-leads-as-most-attractive-investment-market/</w:t>
          </w:r>
        </w:p>
        <w:p w14:paraId="1E190547" w14:textId="77777777"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Orazi, D. C., &amp; Chan , E. Y. (2020). </w:t>
          </w:r>
          <w:r w:rsidRPr="009C6DC2">
            <w:rPr>
              <w:rFonts w:asciiTheme="majorBidi" w:hAnsiTheme="majorBidi" w:cstheme="majorBidi"/>
              <w:noProof/>
              <w:sz w:val="24"/>
              <w:szCs w:val="24"/>
              <w:lang w:val="en-US"/>
            </w:rPr>
            <w:t xml:space="preserve">“They Did Not Walk the Green Talk!:” How Information Specificity Influences Consumer Evaluations of Disconfirmed Environmental Claims. </w:t>
          </w:r>
          <w:r w:rsidRPr="009C6DC2">
            <w:rPr>
              <w:rFonts w:asciiTheme="majorBidi" w:hAnsiTheme="majorBidi" w:cstheme="majorBidi"/>
              <w:i/>
              <w:iCs/>
              <w:noProof/>
              <w:sz w:val="24"/>
              <w:szCs w:val="24"/>
              <w:lang w:val="en-US"/>
            </w:rPr>
            <w:t>Journal of Business Ethics</w:t>
          </w:r>
          <w:r w:rsidRPr="009C6DC2">
            <w:rPr>
              <w:rFonts w:asciiTheme="majorBidi" w:hAnsiTheme="majorBidi" w:cstheme="majorBidi"/>
              <w:noProof/>
              <w:sz w:val="24"/>
              <w:szCs w:val="24"/>
              <w:lang w:val="en-US"/>
            </w:rPr>
            <w:t>, 107-123. doi:10.1007/s10551-018-4028-6</w:t>
          </w:r>
        </w:p>
        <w:p w14:paraId="40EC36E1" w14:textId="788075C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Orcan, F. (2020). Parametric or Non-parametric: Skewness to Test Normality for Mean Comparison. </w:t>
          </w:r>
          <w:r w:rsidRPr="009C6DC2">
            <w:rPr>
              <w:rFonts w:asciiTheme="majorBidi" w:hAnsiTheme="majorBidi" w:cstheme="majorBidi"/>
              <w:i/>
              <w:iCs/>
              <w:noProof/>
              <w:sz w:val="24"/>
              <w:szCs w:val="24"/>
              <w:lang w:val="en-US"/>
            </w:rPr>
            <w:t>International Journal of Assessment Tools in Education, 7</w:t>
          </w:r>
          <w:r w:rsidRPr="009C6DC2">
            <w:rPr>
              <w:rFonts w:asciiTheme="majorBidi" w:hAnsiTheme="majorBidi" w:cstheme="majorBidi"/>
              <w:noProof/>
              <w:sz w:val="24"/>
              <w:szCs w:val="24"/>
              <w:lang w:val="en-US"/>
            </w:rPr>
            <w:t>(2), 255-265. doi:https://doi.org/10.21449/ijate.656077</w:t>
          </w:r>
        </w:p>
        <w:p w14:paraId="4102378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Osgood, C. E., &amp; Tannenbaum, P. H. (1955). </w:t>
          </w:r>
          <w:r w:rsidRPr="009C6DC2">
            <w:rPr>
              <w:rFonts w:asciiTheme="majorBidi" w:hAnsiTheme="majorBidi" w:cstheme="majorBidi"/>
              <w:noProof/>
              <w:sz w:val="24"/>
              <w:szCs w:val="24"/>
              <w:lang w:val="en-US"/>
            </w:rPr>
            <w:t xml:space="preserve">The principle of congruity in the prediction of attitude change. </w:t>
          </w:r>
          <w:r w:rsidRPr="009C6DC2">
            <w:rPr>
              <w:rFonts w:asciiTheme="majorBidi" w:hAnsiTheme="majorBidi" w:cstheme="majorBidi"/>
              <w:i/>
              <w:iCs/>
              <w:noProof/>
              <w:sz w:val="24"/>
              <w:szCs w:val="24"/>
              <w:lang w:val="en-US"/>
            </w:rPr>
            <w:t>Psychological Review, 62</w:t>
          </w:r>
          <w:r w:rsidRPr="009C6DC2">
            <w:rPr>
              <w:rFonts w:asciiTheme="majorBidi" w:hAnsiTheme="majorBidi" w:cstheme="majorBidi"/>
              <w:noProof/>
              <w:sz w:val="24"/>
              <w:szCs w:val="24"/>
              <w:lang w:val="en-US"/>
            </w:rPr>
            <w:t>(1), 42-55. doi:https://doi.org/10.1037/h0048153</w:t>
          </w:r>
        </w:p>
        <w:p w14:paraId="0D18C4BB" w14:textId="674474A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Osman, M., Gallhofer, S., &amp; Haslam, J. (2021). Contextualising and critically theorising corporate social responsibility reporting: Dynamics of the late Mubarak Era in Egypt. </w:t>
          </w:r>
          <w:r w:rsidRPr="009C6DC2">
            <w:rPr>
              <w:rFonts w:asciiTheme="majorBidi" w:hAnsiTheme="majorBidi" w:cstheme="majorBidi"/>
              <w:i/>
              <w:iCs/>
              <w:noProof/>
              <w:sz w:val="24"/>
              <w:szCs w:val="24"/>
              <w:lang w:val="en-US"/>
            </w:rPr>
            <w:t>74</w:t>
          </w:r>
          <w:r w:rsidRPr="009C6DC2">
            <w:rPr>
              <w:rFonts w:asciiTheme="majorBidi" w:hAnsiTheme="majorBidi" w:cstheme="majorBidi"/>
              <w:noProof/>
              <w:sz w:val="24"/>
              <w:szCs w:val="24"/>
              <w:lang w:val="en-US"/>
            </w:rPr>
            <w:t>. doi:https://doi.org/10.1016/j.cpa.2020.102166</w:t>
          </w:r>
        </w:p>
        <w:p w14:paraId="0A40047E" w14:textId="0A90AE6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Otamendi, F. J., &amp; Martín, D. L. (2020). The Emotional Effectiveness of Advertisement. </w:t>
          </w:r>
          <w:r w:rsidRPr="009C6DC2">
            <w:rPr>
              <w:rFonts w:asciiTheme="majorBidi" w:hAnsiTheme="majorBidi" w:cstheme="majorBidi"/>
              <w:i/>
              <w:iCs/>
              <w:noProof/>
              <w:sz w:val="24"/>
              <w:szCs w:val="24"/>
              <w:lang w:val="en-US"/>
            </w:rPr>
            <w:t xml:space="preserve">Frontiers in Psychology </w:t>
          </w:r>
          <w:r w:rsidRPr="009C6DC2">
            <w:rPr>
              <w:rFonts w:asciiTheme="majorBidi" w:hAnsiTheme="majorBidi" w:cstheme="majorBidi"/>
              <w:noProof/>
              <w:sz w:val="24"/>
              <w:szCs w:val="24"/>
              <w:lang w:val="en-US"/>
            </w:rPr>
            <w:t>. Retrieved 08 27, 2022, from doi: 10.3389/fpsyg.2020.02088</w:t>
          </w:r>
        </w:p>
        <w:p w14:paraId="54F8FEFC" w14:textId="4146013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Othman, A. A., &amp; Hafez, M. G. (2019). A framework integrating corporate social responsibility for marketing architectural design firms in developing countries. </w:t>
          </w:r>
          <w:r w:rsidRPr="009C6DC2">
            <w:rPr>
              <w:rFonts w:asciiTheme="majorBidi" w:hAnsiTheme="majorBidi" w:cstheme="majorBidi"/>
              <w:i/>
              <w:iCs/>
              <w:noProof/>
              <w:sz w:val="24"/>
              <w:szCs w:val="24"/>
              <w:lang w:val="en-US"/>
            </w:rPr>
            <w:t>Journal of Engineering, Design and Technology, 17</w:t>
          </w:r>
          <w:r w:rsidRPr="009C6DC2">
            <w:rPr>
              <w:rFonts w:asciiTheme="majorBidi" w:hAnsiTheme="majorBidi" w:cstheme="majorBidi"/>
              <w:noProof/>
              <w:sz w:val="24"/>
              <w:szCs w:val="24"/>
              <w:lang w:val="en-US"/>
            </w:rPr>
            <w:t>(6), 1174-1191. Retrieved 12 07, 2022, from https://doi-org.lsbu.idm.oclc.org/10.1108/JEDT-11-2018-0202</w:t>
          </w:r>
        </w:p>
        <w:p w14:paraId="6F5ADFA3" w14:textId="5EE6CB3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Ott, H. K., Vafeiadis, M., Kumble, S., &amp; Waddell, T. F. (2016). </w:t>
          </w:r>
          <w:r w:rsidRPr="009C6DC2">
            <w:rPr>
              <w:rFonts w:asciiTheme="majorBidi" w:hAnsiTheme="majorBidi" w:cstheme="majorBidi"/>
              <w:noProof/>
              <w:sz w:val="24"/>
              <w:szCs w:val="24"/>
              <w:lang w:val="en-US"/>
            </w:rPr>
            <w:t xml:space="preserve">Effect of Message Interactivity on Product Attitudes and Purchase Intentions. </w:t>
          </w:r>
          <w:r w:rsidRPr="009C6DC2">
            <w:rPr>
              <w:rFonts w:asciiTheme="majorBidi" w:hAnsiTheme="majorBidi" w:cstheme="majorBidi"/>
              <w:i/>
              <w:iCs/>
              <w:noProof/>
              <w:sz w:val="24"/>
              <w:szCs w:val="24"/>
              <w:lang w:val="en-US"/>
            </w:rPr>
            <w:t>Journal of Promotion Management, 22</w:t>
          </w:r>
          <w:r w:rsidRPr="009C6DC2">
            <w:rPr>
              <w:rFonts w:asciiTheme="majorBidi" w:hAnsiTheme="majorBidi" w:cstheme="majorBidi"/>
              <w:noProof/>
              <w:sz w:val="24"/>
              <w:szCs w:val="24"/>
              <w:lang w:val="en-US"/>
            </w:rPr>
            <w:t>(1), 89-106. doi:https://doi-org.lsbu.idm.oclc.org/10.1080/10496491.2015.1107011</w:t>
          </w:r>
        </w:p>
        <w:p w14:paraId="0C42651B" w14:textId="4194B30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Ou, Y.-C., &amp; Verhoef, P. C. (2017). </w:t>
          </w:r>
          <w:r w:rsidRPr="009C6DC2">
            <w:rPr>
              <w:rFonts w:asciiTheme="majorBidi" w:hAnsiTheme="majorBidi" w:cstheme="majorBidi"/>
              <w:noProof/>
              <w:sz w:val="24"/>
              <w:szCs w:val="24"/>
              <w:lang w:val="en-US"/>
            </w:rPr>
            <w:t xml:space="preserve">The impact of positive and negative emotions on loyalty intentions and their interactions with customer equity drivers. </w:t>
          </w:r>
          <w:r w:rsidRPr="009C6DC2">
            <w:rPr>
              <w:rFonts w:asciiTheme="majorBidi" w:hAnsiTheme="majorBidi" w:cstheme="majorBidi"/>
              <w:i/>
              <w:iCs/>
              <w:noProof/>
              <w:sz w:val="24"/>
              <w:szCs w:val="24"/>
              <w:lang w:val="en-US"/>
            </w:rPr>
            <w:t>Journal of Business Research, 80</w:t>
          </w:r>
          <w:r w:rsidRPr="009C6DC2">
            <w:rPr>
              <w:rFonts w:asciiTheme="majorBidi" w:hAnsiTheme="majorBidi" w:cstheme="majorBidi"/>
              <w:noProof/>
              <w:sz w:val="24"/>
              <w:szCs w:val="24"/>
              <w:lang w:val="en-US"/>
            </w:rPr>
            <w:t>, 106-115. doi:https://doi.org/10.1016/j.jbusres.2017.07.011</w:t>
          </w:r>
        </w:p>
        <w:p w14:paraId="6A2D7E12" w14:textId="3C2FEB7A"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Ouakouak, M. L., Arya, B., &amp; Zaitouni, M. (2019). </w:t>
          </w:r>
          <w:r w:rsidRPr="009C6DC2">
            <w:rPr>
              <w:rFonts w:asciiTheme="majorBidi" w:hAnsiTheme="majorBidi" w:cstheme="majorBidi"/>
              <w:noProof/>
              <w:sz w:val="24"/>
              <w:szCs w:val="24"/>
              <w:lang w:val="en-US"/>
            </w:rPr>
            <w:t xml:space="preserve">Corporate social responsibility and intention to quit : Mediating role of organizational citizenship behavior. </w:t>
          </w:r>
          <w:r w:rsidRPr="009C6DC2">
            <w:rPr>
              <w:rFonts w:asciiTheme="majorBidi" w:hAnsiTheme="majorBidi" w:cstheme="majorBidi"/>
              <w:i/>
              <w:iCs/>
              <w:noProof/>
              <w:sz w:val="24"/>
              <w:szCs w:val="24"/>
              <w:lang w:val="en-US"/>
            </w:rPr>
            <w:t>International Journal of Productivity and Performance Management, 69</w:t>
          </w:r>
          <w:r w:rsidRPr="009C6DC2">
            <w:rPr>
              <w:rFonts w:asciiTheme="majorBidi" w:hAnsiTheme="majorBidi" w:cstheme="majorBidi"/>
              <w:noProof/>
              <w:sz w:val="24"/>
              <w:szCs w:val="24"/>
              <w:lang w:val="en-US"/>
            </w:rPr>
            <w:t>(3), 447-465. doi:10.1108/IJPPM-02-2019-0087</w:t>
          </w:r>
        </w:p>
        <w:p w14:paraId="6E4A5A65" w14:textId="01BE889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Overton, H., Kim, J. K., Zhang, N., &amp; Huang, S. (2021). Examining consumer attitudes toward CSR and CSA messages. </w:t>
          </w:r>
          <w:r w:rsidRPr="009C6DC2">
            <w:rPr>
              <w:rFonts w:asciiTheme="majorBidi" w:hAnsiTheme="majorBidi" w:cstheme="majorBidi"/>
              <w:i/>
              <w:iCs/>
              <w:noProof/>
              <w:sz w:val="24"/>
              <w:szCs w:val="24"/>
              <w:lang w:val="en-US"/>
            </w:rPr>
            <w:t>Public Relations Review, 47</w:t>
          </w:r>
          <w:r w:rsidRPr="009C6DC2">
            <w:rPr>
              <w:rFonts w:asciiTheme="majorBidi" w:hAnsiTheme="majorBidi" w:cstheme="majorBidi"/>
              <w:noProof/>
              <w:sz w:val="24"/>
              <w:szCs w:val="24"/>
              <w:lang w:val="en-US"/>
            </w:rPr>
            <w:t>(4). doi:https://doi.org/10.1016/j.pubrev.2021.102095</w:t>
          </w:r>
        </w:p>
        <w:p w14:paraId="357AB713" w14:textId="4DDF58E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Oxford Business Group. (2022). </w:t>
          </w:r>
          <w:r w:rsidRPr="009C6DC2">
            <w:rPr>
              <w:rFonts w:asciiTheme="majorBidi" w:hAnsiTheme="majorBidi" w:cstheme="majorBidi"/>
              <w:i/>
              <w:iCs/>
              <w:noProof/>
              <w:sz w:val="24"/>
              <w:szCs w:val="24"/>
              <w:lang w:val="en-US"/>
            </w:rPr>
            <w:t>Will increased middle class spending fuel the Egyptian economy?</w:t>
          </w:r>
          <w:r w:rsidRPr="009C6DC2">
            <w:rPr>
              <w:rFonts w:asciiTheme="majorBidi" w:hAnsiTheme="majorBidi" w:cstheme="majorBidi"/>
              <w:noProof/>
              <w:sz w:val="24"/>
              <w:szCs w:val="24"/>
              <w:lang w:val="en-US"/>
            </w:rPr>
            <w:t xml:space="preserve"> Retrieved from Oxford Business Group : https://oxfordbusinessgroup.com/reports/egypt/2022-report/economy/spending-power-household-consumption-patterns-are-expected-to-be-a-driver-of-growth-supported-by-a-burgeoning-middle-class</w:t>
          </w:r>
        </w:p>
        <w:p w14:paraId="3FCE1A69" w14:textId="7FE6473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Ozanne, M., Liu, S. Q., &amp; Mattila , A. S. (2019). </w:t>
          </w:r>
          <w:r w:rsidRPr="009C6DC2">
            <w:rPr>
              <w:rFonts w:asciiTheme="majorBidi" w:hAnsiTheme="majorBidi" w:cstheme="majorBidi"/>
              <w:noProof/>
              <w:sz w:val="24"/>
              <w:szCs w:val="24"/>
              <w:lang w:val="en-US"/>
            </w:rPr>
            <w:t xml:space="preserve">Are attractive reviewers more persuasive? Examining the role of physical attractiveness in online reviews. </w:t>
          </w:r>
          <w:r w:rsidRPr="009C6DC2">
            <w:rPr>
              <w:rFonts w:asciiTheme="majorBidi" w:hAnsiTheme="majorBidi" w:cstheme="majorBidi"/>
              <w:i/>
              <w:iCs/>
              <w:noProof/>
              <w:sz w:val="24"/>
              <w:szCs w:val="24"/>
              <w:lang w:val="en-US"/>
            </w:rPr>
            <w:t>Journal of Consumer Marketing, 36</w:t>
          </w:r>
          <w:r w:rsidRPr="009C6DC2">
            <w:rPr>
              <w:rFonts w:asciiTheme="majorBidi" w:hAnsiTheme="majorBidi" w:cstheme="majorBidi"/>
              <w:noProof/>
              <w:sz w:val="24"/>
              <w:szCs w:val="24"/>
              <w:lang w:val="en-US"/>
            </w:rPr>
            <w:t>(6), 728-739. doi:https://doi.org/10.1108/JCM-02-2017-2096</w:t>
          </w:r>
        </w:p>
        <w:p w14:paraId="60D8050F" w14:textId="59D01E6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Özer, M., Özer, A., Ekinci, Y., &amp; Koçak, A. (2022). Health risk behaviours amongst school adolescents: protocol for a mixed methods study. </w:t>
          </w:r>
          <w:r w:rsidRPr="009C6DC2">
            <w:rPr>
              <w:rFonts w:asciiTheme="majorBidi" w:hAnsiTheme="majorBidi" w:cstheme="majorBidi"/>
              <w:i/>
              <w:iCs/>
              <w:noProof/>
              <w:sz w:val="24"/>
              <w:szCs w:val="24"/>
              <w:lang w:val="en-US"/>
            </w:rPr>
            <w:t>Psychology and Marketing, 39</w:t>
          </w:r>
          <w:r w:rsidRPr="009C6DC2">
            <w:rPr>
              <w:rFonts w:asciiTheme="majorBidi" w:hAnsiTheme="majorBidi" w:cstheme="majorBidi"/>
              <w:noProof/>
              <w:sz w:val="24"/>
              <w:szCs w:val="24"/>
              <w:lang w:val="en-US"/>
            </w:rPr>
            <w:t>(12), 2384-2400. doi:https://doi-org.lsbu.idm.oclc.org/10.1002/mar.21742</w:t>
          </w:r>
        </w:p>
        <w:p w14:paraId="5A470543" w14:textId="1AE4DBC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Paço , A. d., Shiel , C., &amp; Alves, H. (2019). A new model for testing green consumer behaviour. </w:t>
          </w:r>
          <w:r w:rsidRPr="009C6DC2">
            <w:rPr>
              <w:rFonts w:asciiTheme="majorBidi" w:hAnsiTheme="majorBidi" w:cstheme="majorBidi"/>
              <w:i/>
              <w:iCs/>
              <w:noProof/>
              <w:sz w:val="24"/>
              <w:szCs w:val="24"/>
              <w:lang w:val="en-US"/>
            </w:rPr>
            <w:t>Journal of Cleaner Production, 207</w:t>
          </w:r>
          <w:r w:rsidRPr="009C6DC2">
            <w:rPr>
              <w:rFonts w:asciiTheme="majorBidi" w:hAnsiTheme="majorBidi" w:cstheme="majorBidi"/>
              <w:noProof/>
              <w:sz w:val="24"/>
              <w:szCs w:val="24"/>
              <w:lang w:val="en-US"/>
            </w:rPr>
            <w:t>, 998-1006. doi:https://doi.org/10.1016/j.jclepro.2018.10.105</w:t>
          </w:r>
        </w:p>
        <w:p w14:paraId="71A1BBFF" w14:textId="6F1C2E5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Panda, D., Masani, S., &amp; Dasgupta , T. (2022). </w:t>
          </w:r>
          <w:r w:rsidRPr="009C6DC2">
            <w:rPr>
              <w:rFonts w:asciiTheme="majorBidi" w:hAnsiTheme="majorBidi" w:cstheme="majorBidi"/>
              <w:noProof/>
              <w:sz w:val="24"/>
              <w:szCs w:val="24"/>
              <w:lang w:val="en-US"/>
            </w:rPr>
            <w:t xml:space="preserve">Packaging-influenced-purchase decision segment the bottom of the pyramid consumer marketplace? Evidence from West Bengal, India. </w:t>
          </w:r>
          <w:r w:rsidRPr="009C6DC2">
            <w:rPr>
              <w:rFonts w:asciiTheme="majorBidi" w:hAnsiTheme="majorBidi" w:cstheme="majorBidi"/>
              <w:i/>
              <w:iCs/>
              <w:noProof/>
              <w:sz w:val="24"/>
              <w:szCs w:val="24"/>
              <w:lang w:val="en-US"/>
            </w:rPr>
            <w:t>Asia Pacific Management Review, 27</w:t>
          </w:r>
          <w:r w:rsidRPr="009C6DC2">
            <w:rPr>
              <w:rFonts w:asciiTheme="majorBidi" w:hAnsiTheme="majorBidi" w:cstheme="majorBidi"/>
              <w:noProof/>
              <w:sz w:val="24"/>
              <w:szCs w:val="24"/>
              <w:lang w:val="en-US"/>
            </w:rPr>
            <w:t>(2), 145-153. doi:https://doi.org/10.1016/j.apmrv.2021.06.004</w:t>
          </w:r>
        </w:p>
        <w:p w14:paraId="64B60B9D" w14:textId="2A528A3F" w:rsidR="006E2490" w:rsidRPr="009C6DC2" w:rsidRDefault="006E2490" w:rsidP="006E2490">
          <w:pPr>
            <w:ind w:left="720" w:hanging="720"/>
            <w:rPr>
              <w:rFonts w:asciiTheme="majorBidi" w:hAnsiTheme="majorBidi" w:cstheme="majorBidi"/>
              <w:noProof/>
              <w:sz w:val="24"/>
              <w:szCs w:val="24"/>
              <w:lang w:val="en-US"/>
            </w:rPr>
          </w:pPr>
          <w:r w:rsidRPr="00014960">
            <w:rPr>
              <w:rFonts w:asciiTheme="majorBidi" w:hAnsiTheme="majorBidi" w:cstheme="majorBidi"/>
              <w:noProof/>
              <w:sz w:val="24"/>
              <w:szCs w:val="24"/>
              <w:lang w:val="sv-SE"/>
            </w:rPr>
            <w:t xml:space="preserve">Pandya, P. R., &amp; Pandya, K. (2018). </w:t>
          </w:r>
          <w:r w:rsidRPr="009C6DC2">
            <w:rPr>
              <w:rFonts w:asciiTheme="majorBidi" w:hAnsiTheme="majorBidi" w:cstheme="majorBidi"/>
              <w:noProof/>
              <w:sz w:val="24"/>
              <w:szCs w:val="24"/>
              <w:lang w:val="en-US"/>
            </w:rPr>
            <w:t xml:space="preserve">The Impact of Demonetization on the Impulse Buying Behavior of FMCG Consumers. </w:t>
          </w:r>
          <w:r w:rsidRPr="009C6DC2">
            <w:rPr>
              <w:rFonts w:asciiTheme="majorBidi" w:hAnsiTheme="majorBidi" w:cstheme="majorBidi"/>
              <w:i/>
              <w:iCs/>
              <w:noProof/>
              <w:sz w:val="24"/>
              <w:szCs w:val="24"/>
              <w:lang w:val="en-US"/>
            </w:rPr>
            <w:t>IUP Journal of Management Research, 17</w:t>
          </w:r>
          <w:r w:rsidRPr="009C6DC2">
            <w:rPr>
              <w:rFonts w:asciiTheme="majorBidi" w:hAnsiTheme="majorBidi" w:cstheme="majorBidi"/>
              <w:noProof/>
              <w:sz w:val="24"/>
              <w:szCs w:val="24"/>
              <w:lang w:val="en-US"/>
            </w:rPr>
            <w:t>(4), 45-62. Retrieved 03 08, 2023</w:t>
          </w:r>
        </w:p>
        <w:p w14:paraId="36E8681E" w14:textId="10F21B5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Panhwar, R., Pathan, S. K., &amp; Gilal, M. A. (2022). The Impact of Multinationalism and Solvency on Profitability of Fast-Moving Consumer Goods (FMCG) Multinational Enterprises. </w:t>
          </w:r>
          <w:r w:rsidRPr="009C6DC2">
            <w:rPr>
              <w:rFonts w:asciiTheme="majorBidi" w:hAnsiTheme="majorBidi" w:cstheme="majorBidi"/>
              <w:i/>
              <w:iCs/>
              <w:noProof/>
              <w:sz w:val="24"/>
              <w:szCs w:val="24"/>
              <w:lang w:val="en-US"/>
            </w:rPr>
            <w:t>International Research Journal of Management and Social Sciences, 3</w:t>
          </w:r>
          <w:r w:rsidRPr="009C6DC2">
            <w:rPr>
              <w:rFonts w:asciiTheme="majorBidi" w:hAnsiTheme="majorBidi" w:cstheme="majorBidi"/>
              <w:noProof/>
              <w:sz w:val="24"/>
              <w:szCs w:val="24"/>
              <w:lang w:val="en-US"/>
            </w:rPr>
            <w:t>(1). doi: https://doi.org/10.53575/irjmss.v3.1(22)8.67-84</w:t>
          </w:r>
        </w:p>
        <w:p w14:paraId="0CEF17D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Paquette , E., &amp; Clacy, K. (2013). </w:t>
          </w:r>
          <w:r w:rsidRPr="009C6DC2">
            <w:rPr>
              <w:rFonts w:asciiTheme="majorBidi" w:hAnsiTheme="majorBidi" w:cstheme="majorBidi"/>
              <w:i/>
              <w:iCs/>
              <w:noProof/>
              <w:sz w:val="24"/>
              <w:szCs w:val="24"/>
              <w:lang w:val="en-US"/>
            </w:rPr>
            <w:t>Measuring and Motivating Brand Advocates: The State of the Science.</w:t>
          </w:r>
          <w:r w:rsidRPr="009C6DC2">
            <w:rPr>
              <w:rFonts w:asciiTheme="majorBidi" w:hAnsiTheme="majorBidi" w:cstheme="majorBidi"/>
              <w:noProof/>
              <w:sz w:val="24"/>
              <w:szCs w:val="24"/>
              <w:lang w:val="en-US"/>
            </w:rPr>
            <w:t xml:space="preserve"> Copernicus Marketing Consulting &amp; Research. Retrieved from https://www.slideshare.net/afbowen/measuring-and-motivating-brand-advocates-the-state-of-the-science</w:t>
          </w:r>
        </w:p>
        <w:p w14:paraId="4B71B3B9" w14:textId="780CD4B6" w:rsidR="006E2490" w:rsidRPr="00584CC6" w:rsidRDefault="006E2490" w:rsidP="006E2490">
          <w:pPr>
            <w:ind w:left="720" w:hanging="720"/>
            <w:rPr>
              <w:rFonts w:asciiTheme="majorBidi" w:hAnsiTheme="majorBidi" w:cstheme="majorBidi"/>
              <w:noProof/>
              <w:sz w:val="24"/>
              <w:szCs w:val="24"/>
              <w:lang w:val="en-US"/>
            </w:rPr>
          </w:pPr>
          <w:r w:rsidRPr="00584CC6">
            <w:rPr>
              <w:rFonts w:asciiTheme="majorBidi" w:hAnsiTheme="majorBidi" w:cstheme="majorBidi"/>
              <w:noProof/>
              <w:sz w:val="24"/>
              <w:szCs w:val="24"/>
              <w:lang w:val="sv-SE"/>
            </w:rPr>
            <w:t xml:space="preserve">Park , Y. S., Konge, L., &amp; Artino, A. R. (2020). </w:t>
          </w:r>
          <w:r w:rsidRPr="00584CC6">
            <w:rPr>
              <w:rFonts w:asciiTheme="majorBidi" w:hAnsiTheme="majorBidi" w:cstheme="majorBidi"/>
              <w:noProof/>
              <w:sz w:val="24"/>
              <w:szCs w:val="24"/>
              <w:lang w:val="en-US"/>
            </w:rPr>
            <w:t xml:space="preserve">The Positivism Paradigm of Research. </w:t>
          </w:r>
          <w:r w:rsidRPr="00584CC6">
            <w:rPr>
              <w:rFonts w:asciiTheme="majorBidi" w:hAnsiTheme="majorBidi" w:cstheme="majorBidi"/>
              <w:i/>
              <w:iCs/>
              <w:noProof/>
              <w:sz w:val="24"/>
              <w:szCs w:val="24"/>
              <w:lang w:val="en-US"/>
            </w:rPr>
            <w:t>Academic Medicine, 95</w:t>
          </w:r>
          <w:r w:rsidRPr="00584CC6">
            <w:rPr>
              <w:rFonts w:asciiTheme="majorBidi" w:hAnsiTheme="majorBidi" w:cstheme="majorBidi"/>
              <w:noProof/>
              <w:sz w:val="24"/>
              <w:szCs w:val="24"/>
              <w:lang w:val="en-US"/>
            </w:rPr>
            <w:t>(5), 690-694. doi:https://doi.org/10.1097/ACM.0000000000003093</w:t>
          </w:r>
        </w:p>
        <w:p w14:paraId="64089147" w14:textId="06577D5F" w:rsidR="006E2490" w:rsidRPr="00584CC6" w:rsidRDefault="006E2490" w:rsidP="006E2490">
          <w:pPr>
            <w:ind w:left="720" w:hanging="720"/>
            <w:rPr>
              <w:rFonts w:asciiTheme="majorBidi" w:hAnsiTheme="majorBidi" w:cstheme="majorBidi"/>
              <w:noProof/>
              <w:sz w:val="24"/>
              <w:szCs w:val="24"/>
              <w:lang w:val="en-US"/>
            </w:rPr>
          </w:pPr>
          <w:r w:rsidRPr="00584CC6">
            <w:rPr>
              <w:rFonts w:asciiTheme="majorBidi" w:hAnsiTheme="majorBidi" w:cstheme="majorBidi"/>
              <w:noProof/>
              <w:sz w:val="24"/>
              <w:szCs w:val="24"/>
              <w:lang w:val="en-US"/>
            </w:rPr>
            <w:t xml:space="preserve">Park, E., Kim, K. J., &amp; Kwon, S. J. (2017). Corporate social responsibility as a determinant of consumer loyalty: An examination of ethical standard, satisfaction, and trust. </w:t>
          </w:r>
          <w:r w:rsidRPr="00584CC6">
            <w:rPr>
              <w:rFonts w:asciiTheme="majorBidi" w:hAnsiTheme="majorBidi" w:cstheme="majorBidi"/>
              <w:i/>
              <w:iCs/>
              <w:noProof/>
              <w:sz w:val="24"/>
              <w:szCs w:val="24"/>
              <w:lang w:val="en-US"/>
            </w:rPr>
            <w:t>Journal of Business Research, 76</w:t>
          </w:r>
          <w:r w:rsidRPr="00584CC6">
            <w:rPr>
              <w:rFonts w:asciiTheme="majorBidi" w:hAnsiTheme="majorBidi" w:cstheme="majorBidi"/>
              <w:noProof/>
              <w:sz w:val="24"/>
              <w:szCs w:val="24"/>
              <w:lang w:val="en-US"/>
            </w:rPr>
            <w:t>, 8-13. doi:https://doi.org/10.1016/j.jbusres.2017.02.017</w:t>
          </w:r>
        </w:p>
        <w:p w14:paraId="37BA3F2A" w14:textId="2116E099" w:rsidR="006E2490" w:rsidRPr="00584CC6" w:rsidRDefault="006E2490" w:rsidP="006E2490">
          <w:pPr>
            <w:ind w:left="720" w:hanging="720"/>
            <w:rPr>
              <w:rFonts w:asciiTheme="majorBidi" w:hAnsiTheme="majorBidi" w:cstheme="majorBidi"/>
              <w:noProof/>
              <w:sz w:val="24"/>
              <w:szCs w:val="24"/>
              <w:lang w:val="en-US"/>
            </w:rPr>
          </w:pPr>
          <w:r w:rsidRPr="00584CC6">
            <w:rPr>
              <w:rFonts w:asciiTheme="majorBidi" w:hAnsiTheme="majorBidi" w:cstheme="majorBidi"/>
              <w:noProof/>
              <w:sz w:val="24"/>
              <w:szCs w:val="24"/>
              <w:lang w:val="sv-SE"/>
            </w:rPr>
            <w:t xml:space="preserve">Park, H., Lalwani, A. K., &amp; Silvera, D. H. (2020). </w:t>
          </w:r>
          <w:r w:rsidRPr="00584CC6">
            <w:rPr>
              <w:rFonts w:asciiTheme="majorBidi" w:hAnsiTheme="majorBidi" w:cstheme="majorBidi"/>
              <w:noProof/>
              <w:sz w:val="24"/>
              <w:szCs w:val="24"/>
              <w:lang w:val="en-US"/>
            </w:rPr>
            <w:t xml:space="preserve">The Impact of Resource Scarcity on Price-Quality Judgments. </w:t>
          </w:r>
          <w:r w:rsidRPr="00584CC6">
            <w:rPr>
              <w:rFonts w:asciiTheme="majorBidi" w:hAnsiTheme="majorBidi" w:cstheme="majorBidi"/>
              <w:i/>
              <w:iCs/>
              <w:noProof/>
              <w:sz w:val="24"/>
              <w:szCs w:val="24"/>
              <w:lang w:val="en-US"/>
            </w:rPr>
            <w:t>Journal of Consumer Research, 46</w:t>
          </w:r>
          <w:r w:rsidRPr="00584CC6">
            <w:rPr>
              <w:rFonts w:asciiTheme="majorBidi" w:hAnsiTheme="majorBidi" w:cstheme="majorBidi"/>
              <w:noProof/>
              <w:sz w:val="24"/>
              <w:szCs w:val="24"/>
              <w:lang w:val="en-US"/>
            </w:rPr>
            <w:t>(06), 1110-1124. doi:https://doi.org/10.1093/jcr/ucz031</w:t>
          </w:r>
        </w:p>
        <w:p w14:paraId="7F15F716" w14:textId="79A0C1F3" w:rsidR="006E2490" w:rsidRPr="009C6DC2" w:rsidRDefault="006E2490" w:rsidP="006E2490">
          <w:pPr>
            <w:ind w:left="720" w:hanging="720"/>
            <w:rPr>
              <w:rFonts w:asciiTheme="majorBidi" w:hAnsiTheme="majorBidi" w:cstheme="majorBidi"/>
              <w:noProof/>
              <w:sz w:val="24"/>
              <w:szCs w:val="24"/>
              <w:lang w:val="en-US"/>
            </w:rPr>
          </w:pPr>
          <w:r w:rsidRPr="00584CC6">
            <w:rPr>
              <w:rFonts w:asciiTheme="majorBidi" w:hAnsiTheme="majorBidi" w:cstheme="majorBidi"/>
              <w:noProof/>
              <w:sz w:val="24"/>
              <w:szCs w:val="24"/>
              <w:lang w:val="en-US"/>
            </w:rPr>
            <w:t xml:space="preserve">Park, J. E., Yu, J., &amp; Zhou, J. X. (2010). Consumer innovativeness and shopping styles. </w:t>
          </w:r>
          <w:r w:rsidRPr="00584CC6">
            <w:rPr>
              <w:rFonts w:asciiTheme="majorBidi" w:hAnsiTheme="majorBidi" w:cstheme="majorBidi"/>
              <w:i/>
              <w:iCs/>
              <w:noProof/>
              <w:sz w:val="24"/>
              <w:szCs w:val="24"/>
              <w:lang w:val="en-US"/>
            </w:rPr>
            <w:t>Journal of Consumer Marketing, 27</w:t>
          </w:r>
          <w:r w:rsidRPr="00584CC6">
            <w:rPr>
              <w:rFonts w:asciiTheme="majorBidi" w:hAnsiTheme="majorBidi" w:cstheme="majorBidi"/>
              <w:noProof/>
              <w:sz w:val="24"/>
              <w:szCs w:val="24"/>
              <w:lang w:val="en-US"/>
            </w:rPr>
            <w:t>(5), 437-446. doi:https://doi.org/10.1108/07363761011063330</w:t>
          </w:r>
        </w:p>
        <w:p w14:paraId="08B4F61D" w14:textId="082ADD9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Parkularasa, N., &amp; Andrew, A. (2021). Consumers' Purchase Intention on actual Purchase Behaviour Of Organic Food Products in Batticaloa Manmunai West divisional Secretariat Area. </w:t>
          </w:r>
          <w:r w:rsidRPr="009C6DC2">
            <w:rPr>
              <w:rFonts w:asciiTheme="majorBidi" w:hAnsiTheme="majorBidi" w:cstheme="majorBidi"/>
              <w:i/>
              <w:iCs/>
              <w:noProof/>
              <w:sz w:val="24"/>
              <w:szCs w:val="24"/>
              <w:lang w:val="en-US"/>
            </w:rPr>
            <w:t>International Journal of Research, 8</w:t>
          </w:r>
          <w:r w:rsidRPr="009C6DC2">
            <w:rPr>
              <w:rFonts w:asciiTheme="majorBidi" w:hAnsiTheme="majorBidi" w:cstheme="majorBidi"/>
              <w:noProof/>
              <w:sz w:val="24"/>
              <w:szCs w:val="24"/>
              <w:lang w:val="en-US"/>
            </w:rPr>
            <w:t>(1), 57-69. doi:10.13140/RG.2.2.19104.10244</w:t>
          </w:r>
        </w:p>
        <w:p w14:paraId="2152786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Parsons, K., McCormac, A., Pattinson, M., Butavicius, M., &amp; Jerram, C. (2013). Phishing for the Truth: A Scenario-Based Experiment of Users’ Behavioural Response to Emails. </w:t>
          </w:r>
          <w:r w:rsidRPr="009C6DC2">
            <w:rPr>
              <w:rFonts w:asciiTheme="majorBidi" w:hAnsiTheme="majorBidi" w:cstheme="majorBidi"/>
              <w:i/>
              <w:iCs/>
              <w:noProof/>
              <w:sz w:val="24"/>
              <w:szCs w:val="24"/>
              <w:lang w:val="en-US"/>
            </w:rPr>
            <w:t>IFIP Advances in Information and Communication Technolog, 405</w:t>
          </w:r>
          <w:r w:rsidRPr="009C6DC2">
            <w:rPr>
              <w:rFonts w:asciiTheme="majorBidi" w:hAnsiTheme="majorBidi" w:cstheme="majorBidi"/>
              <w:noProof/>
              <w:sz w:val="24"/>
              <w:szCs w:val="24"/>
              <w:lang w:val="en-US"/>
            </w:rPr>
            <w:t>, 366-378. doi:https://doi.org/10.1007/978-3-642-39218-4_27</w:t>
          </w:r>
        </w:p>
        <w:p w14:paraId="73E1ADEE" w14:textId="2F19657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Patanasiri, A., &amp; Krairit, D. (2019). A Comparative Study of Consumers’ Purchase Intention on Different Internet Platforms. </w:t>
          </w:r>
          <w:r w:rsidRPr="009C6DC2">
            <w:rPr>
              <w:rFonts w:asciiTheme="majorBidi" w:hAnsiTheme="majorBidi" w:cstheme="majorBidi"/>
              <w:i/>
              <w:iCs/>
              <w:noProof/>
              <w:sz w:val="24"/>
              <w:szCs w:val="24"/>
              <w:lang w:val="en-US"/>
            </w:rPr>
            <w:t>Mobile Networks and Applications, 24</w:t>
          </w:r>
          <w:r w:rsidRPr="009C6DC2">
            <w:rPr>
              <w:rFonts w:asciiTheme="majorBidi" w:hAnsiTheme="majorBidi" w:cstheme="majorBidi"/>
              <w:noProof/>
              <w:sz w:val="24"/>
              <w:szCs w:val="24"/>
              <w:lang w:val="en-US"/>
            </w:rPr>
            <w:t>(3), 145-159. doi:10.1007/s11036-018-1139-3</w:t>
          </w:r>
        </w:p>
        <w:p w14:paraId="33DA6B3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Paul, M. (2021, 05). Study on Impulse Buying Behaviour on Consumer goods. </w:t>
          </w:r>
          <w:r w:rsidRPr="009C6DC2">
            <w:rPr>
              <w:rFonts w:asciiTheme="majorBidi" w:hAnsiTheme="majorBidi" w:cstheme="majorBidi"/>
              <w:i/>
              <w:iCs/>
              <w:noProof/>
              <w:sz w:val="24"/>
              <w:szCs w:val="24"/>
              <w:lang w:val="en-US"/>
            </w:rPr>
            <w:t>International Journal of Multidisciplinary, 6</w:t>
          </w:r>
          <w:r w:rsidRPr="009C6DC2">
            <w:rPr>
              <w:rFonts w:asciiTheme="majorBidi" w:hAnsiTheme="majorBidi" w:cstheme="majorBidi"/>
              <w:noProof/>
              <w:sz w:val="24"/>
              <w:szCs w:val="24"/>
              <w:lang w:val="en-US"/>
            </w:rPr>
            <w:t>(5), 33-36. doi:10.31305/rrijm.2021.v06.i05.004</w:t>
          </w:r>
        </w:p>
        <w:p w14:paraId="5D50CCA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Pedersen, E. R., Gwozdz, W., &amp; Hvass, K. K. (2018, 05). Exploring the relationship between business model innovation, corporate sustainability, and organisational values within the fashion industry. </w:t>
          </w:r>
          <w:r w:rsidRPr="009C6DC2">
            <w:rPr>
              <w:rFonts w:asciiTheme="majorBidi" w:hAnsiTheme="majorBidi" w:cstheme="majorBidi"/>
              <w:i/>
              <w:iCs/>
              <w:noProof/>
              <w:sz w:val="24"/>
              <w:szCs w:val="24"/>
              <w:lang w:val="en-US"/>
            </w:rPr>
            <w:t>Journal of Business Ethics, 142</w:t>
          </w:r>
          <w:r w:rsidRPr="009C6DC2">
            <w:rPr>
              <w:rFonts w:asciiTheme="majorBidi" w:hAnsiTheme="majorBidi" w:cstheme="majorBidi"/>
              <w:noProof/>
              <w:sz w:val="24"/>
              <w:szCs w:val="24"/>
              <w:lang w:val="en-US"/>
            </w:rPr>
            <w:t>(2), 267-284. doi:10.1007/s10551-016-3044-7</w:t>
          </w:r>
        </w:p>
        <w:p w14:paraId="7FC876DC" w14:textId="1895050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Pellikan, L. (2017). </w:t>
          </w:r>
          <w:r w:rsidRPr="009C6DC2">
            <w:rPr>
              <w:rFonts w:asciiTheme="majorBidi" w:hAnsiTheme="majorBidi" w:cstheme="majorBidi"/>
              <w:i/>
              <w:iCs/>
              <w:noProof/>
              <w:sz w:val="24"/>
              <w:szCs w:val="24"/>
              <w:lang w:val="en-US"/>
            </w:rPr>
            <w:t>Procter &amp; Gamble pumpt TV-Budget auf</w:t>
          </w:r>
          <w:r w:rsidRPr="009C6DC2">
            <w:rPr>
              <w:rFonts w:asciiTheme="majorBidi" w:hAnsiTheme="majorBidi" w:cstheme="majorBidi"/>
              <w:noProof/>
              <w:sz w:val="24"/>
              <w:szCs w:val="24"/>
              <w:lang w:val="en-US"/>
            </w:rPr>
            <w:t>. Retrieved 02 21, 2023, from WUV: https://www.wuv.de/Archiv/Procter-Gamble-pumpt-TV-Budget-auf</w:t>
          </w:r>
        </w:p>
        <w:p w14:paraId="4884E5B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Peloza, J., &amp; Shang, J. (2011). How can corporate social responsibility activities create value for stakeholders? A systematic review. </w:t>
          </w:r>
          <w:r w:rsidRPr="009C6DC2">
            <w:rPr>
              <w:rFonts w:asciiTheme="majorBidi" w:hAnsiTheme="majorBidi" w:cstheme="majorBidi"/>
              <w:i/>
              <w:iCs/>
              <w:noProof/>
              <w:sz w:val="24"/>
              <w:szCs w:val="24"/>
              <w:lang w:val="en-US"/>
            </w:rPr>
            <w:t>Journal of the Academy of Marketiing Services, 39</w:t>
          </w:r>
          <w:r w:rsidRPr="009C6DC2">
            <w:rPr>
              <w:rFonts w:asciiTheme="majorBidi" w:hAnsiTheme="majorBidi" w:cstheme="majorBidi"/>
              <w:noProof/>
              <w:sz w:val="24"/>
              <w:szCs w:val="24"/>
              <w:lang w:val="en-US"/>
            </w:rPr>
            <w:t>(1), 117-135. doi:10.1007/s11747-010-0213-6</w:t>
          </w:r>
        </w:p>
        <w:p w14:paraId="2D6D4079" w14:textId="0828FD4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Peña-García, N., Gil-Saura, I., Rodríguez-Orejuela, A., &amp; Siqueira-Junior, J. R. (2020). Purchase intention and purchase behavior online: A cross-cultural approach. </w:t>
          </w:r>
          <w:r w:rsidRPr="009C6DC2">
            <w:rPr>
              <w:rFonts w:asciiTheme="majorBidi" w:hAnsiTheme="majorBidi" w:cstheme="majorBidi"/>
              <w:i/>
              <w:iCs/>
              <w:noProof/>
              <w:sz w:val="24"/>
              <w:szCs w:val="24"/>
              <w:lang w:val="en-US"/>
            </w:rPr>
            <w:t>Heliyon, 6</w:t>
          </w:r>
          <w:r w:rsidRPr="009C6DC2">
            <w:rPr>
              <w:rFonts w:asciiTheme="majorBidi" w:hAnsiTheme="majorBidi" w:cstheme="majorBidi"/>
              <w:noProof/>
              <w:sz w:val="24"/>
              <w:szCs w:val="24"/>
              <w:lang w:val="en-US"/>
            </w:rPr>
            <w:t>(6). Retrieved 02 25, 2023, from https://doi.org/10.1016/j.heliyon.2020.e04284</w:t>
          </w:r>
        </w:p>
        <w:p w14:paraId="534F3520" w14:textId="3FA5021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Peng, C., &amp; Kim , Y. G. (2014). Application of the Stimuli-Organism-Response (S-O-R) Framework to Online Shopping Behavior. </w:t>
          </w:r>
          <w:r w:rsidRPr="009C6DC2">
            <w:rPr>
              <w:rFonts w:asciiTheme="majorBidi" w:hAnsiTheme="majorBidi" w:cstheme="majorBidi"/>
              <w:i/>
              <w:iCs/>
              <w:noProof/>
              <w:sz w:val="24"/>
              <w:szCs w:val="24"/>
              <w:lang w:val="en-US"/>
            </w:rPr>
            <w:t>Journal of Internet Commerce, 13</w:t>
          </w:r>
          <w:r w:rsidRPr="009C6DC2">
            <w:rPr>
              <w:rFonts w:asciiTheme="majorBidi" w:hAnsiTheme="majorBidi" w:cstheme="majorBidi"/>
              <w:noProof/>
              <w:sz w:val="24"/>
              <w:szCs w:val="24"/>
              <w:lang w:val="en-US"/>
            </w:rPr>
            <w:t>(3-4), 159-176. doi:https://doi.org/10.1080/15332861.2014.944437</w:t>
          </w:r>
        </w:p>
        <w:p w14:paraId="20B5FE4B" w14:textId="2F2F89E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Pepinsky, T. B. (2018). A Note on Listwise Deletion versus Multiple Imputation. </w:t>
          </w:r>
          <w:r w:rsidRPr="009C6DC2">
            <w:rPr>
              <w:rFonts w:asciiTheme="majorBidi" w:hAnsiTheme="majorBidi" w:cstheme="majorBidi"/>
              <w:i/>
              <w:iCs/>
              <w:noProof/>
              <w:sz w:val="24"/>
              <w:szCs w:val="24"/>
              <w:lang w:val="en-US"/>
            </w:rPr>
            <w:t>Cambridge University Press, 26</w:t>
          </w:r>
          <w:r w:rsidRPr="009C6DC2">
            <w:rPr>
              <w:rFonts w:asciiTheme="majorBidi" w:hAnsiTheme="majorBidi" w:cstheme="majorBidi"/>
              <w:noProof/>
              <w:sz w:val="24"/>
              <w:szCs w:val="24"/>
              <w:lang w:val="en-US"/>
            </w:rPr>
            <w:t>(4), 480-488. doi:10.1017/pan.2018.18</w:t>
          </w:r>
        </w:p>
        <w:p w14:paraId="00E94BC8" w14:textId="40C16B1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Percival, T. (2018). </w:t>
          </w:r>
          <w:r w:rsidRPr="009C6DC2">
            <w:rPr>
              <w:rFonts w:asciiTheme="majorBidi" w:hAnsiTheme="majorBidi" w:cstheme="majorBidi"/>
              <w:i/>
              <w:iCs/>
              <w:noProof/>
              <w:sz w:val="24"/>
              <w:szCs w:val="24"/>
              <w:lang w:val="en-US"/>
            </w:rPr>
            <w:t>Using Stimuli Effectively in B2B Market Research</w:t>
          </w:r>
          <w:r w:rsidRPr="009C6DC2">
            <w:rPr>
              <w:rFonts w:asciiTheme="majorBidi" w:hAnsiTheme="majorBidi" w:cstheme="majorBidi"/>
              <w:noProof/>
              <w:sz w:val="24"/>
              <w:szCs w:val="24"/>
              <w:lang w:val="en-US"/>
            </w:rPr>
            <w:t>. Retrieved 11 12, 2022, from B2B International: https://www.b2binternational.com/2018/01/25/using-stimuli-effectively-in-b2b-market-research/</w:t>
          </w:r>
        </w:p>
        <w:p w14:paraId="110CE48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Percy, L., &amp; Rossiter, J. (1992). A model of brand awareness and brand attitude advertising strategies. </w:t>
          </w:r>
          <w:r w:rsidRPr="009C6DC2">
            <w:rPr>
              <w:rFonts w:asciiTheme="majorBidi" w:hAnsiTheme="majorBidi" w:cstheme="majorBidi"/>
              <w:i/>
              <w:iCs/>
              <w:noProof/>
              <w:sz w:val="24"/>
              <w:szCs w:val="24"/>
              <w:lang w:val="en-US"/>
            </w:rPr>
            <w:t>Psychology &amp; Marketing, 9</w:t>
          </w:r>
          <w:r w:rsidRPr="009C6DC2">
            <w:rPr>
              <w:rFonts w:asciiTheme="majorBidi" w:hAnsiTheme="majorBidi" w:cstheme="majorBidi"/>
              <w:noProof/>
              <w:sz w:val="24"/>
              <w:szCs w:val="24"/>
              <w:lang w:val="en-US"/>
            </w:rPr>
            <w:t>, 263-274. doi:10.1002/mar.4220090402</w:t>
          </w:r>
        </w:p>
        <w:p w14:paraId="36A85468" w14:textId="48CC913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Pereira, M. L., Petroll, M. d., Soares, J. C., Augusto de Matos, C., &amp; Hernani-Merino , M. (2023). Impulse buying behaviour in omnichannel retail: an approach through the stimulus-organism-response theory. </w:t>
          </w:r>
          <w:r w:rsidRPr="009C6DC2">
            <w:rPr>
              <w:rFonts w:asciiTheme="majorBidi" w:hAnsiTheme="majorBidi" w:cstheme="majorBidi"/>
              <w:i/>
              <w:iCs/>
              <w:noProof/>
              <w:sz w:val="24"/>
              <w:szCs w:val="24"/>
              <w:lang w:val="en-US"/>
            </w:rPr>
            <w:t>International Journal of Retail &amp; Distribution Management, 51</w:t>
          </w:r>
          <w:r w:rsidRPr="009C6DC2">
            <w:rPr>
              <w:rFonts w:asciiTheme="majorBidi" w:hAnsiTheme="majorBidi" w:cstheme="majorBidi"/>
              <w:noProof/>
              <w:sz w:val="24"/>
              <w:szCs w:val="24"/>
              <w:lang w:val="en-US"/>
            </w:rPr>
            <w:t>(1), 39-58. doi:https://doi.org/10.1108/IJRDM-09-2021-0394</w:t>
          </w:r>
        </w:p>
        <w:p w14:paraId="72BAE9B1" w14:textId="2F11546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Pérez, A., los Salmones, M. M., &amp; Baraibar-Diez, E. (2020). Effects of the Type of CSR Discourse for Utilitarian and Hedonic Services. </w:t>
          </w:r>
          <w:r w:rsidRPr="009C6DC2">
            <w:rPr>
              <w:rFonts w:asciiTheme="majorBidi" w:hAnsiTheme="majorBidi" w:cstheme="majorBidi"/>
              <w:i/>
              <w:iCs/>
              <w:noProof/>
              <w:sz w:val="24"/>
              <w:szCs w:val="24"/>
              <w:lang w:val="en-US"/>
            </w:rPr>
            <w:t>Sustainability, 12</w:t>
          </w:r>
          <w:r w:rsidRPr="009C6DC2">
            <w:rPr>
              <w:rFonts w:asciiTheme="majorBidi" w:hAnsiTheme="majorBidi" w:cstheme="majorBidi"/>
              <w:noProof/>
              <w:sz w:val="24"/>
              <w:szCs w:val="24"/>
              <w:lang w:val="en-US"/>
            </w:rPr>
            <w:t>(12). doi:https://doi.org/10.3390/su12124821</w:t>
          </w:r>
        </w:p>
        <w:p w14:paraId="07A40D9C" w14:textId="4677232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Pérez, A., &amp; Rodríguez del Bosque, I. (2017). Personal traits and customer responses to CSR perceptions in the banking sector. </w:t>
          </w:r>
          <w:r w:rsidRPr="009C6DC2">
            <w:rPr>
              <w:rFonts w:asciiTheme="majorBidi" w:hAnsiTheme="majorBidi" w:cstheme="majorBidi"/>
              <w:i/>
              <w:iCs/>
              <w:noProof/>
              <w:sz w:val="24"/>
              <w:szCs w:val="24"/>
              <w:lang w:val="en-US"/>
            </w:rPr>
            <w:t>International Journal of Bank Marketing, 35</w:t>
          </w:r>
          <w:r w:rsidRPr="009C6DC2">
            <w:rPr>
              <w:rFonts w:asciiTheme="majorBidi" w:hAnsiTheme="majorBidi" w:cstheme="majorBidi"/>
              <w:noProof/>
              <w:sz w:val="24"/>
              <w:szCs w:val="24"/>
              <w:lang w:val="en-US"/>
            </w:rPr>
            <w:t>(1), 128-146. doi: https://doi.org/10.1108/IJBM-02-2016-0023</w:t>
          </w:r>
        </w:p>
        <w:p w14:paraId="3BAAD923" w14:textId="39B4ADC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Perkins, R., Khoo-Lattimore, C., &amp; Arcodia, C. (2020). Understanding the contribution of stakeholder collaboration towards regional destination branding: A systematic narrative literature review. </w:t>
          </w:r>
          <w:r w:rsidRPr="009C6DC2">
            <w:rPr>
              <w:rFonts w:asciiTheme="majorBidi" w:hAnsiTheme="majorBidi" w:cstheme="majorBidi"/>
              <w:i/>
              <w:iCs/>
              <w:noProof/>
              <w:sz w:val="24"/>
              <w:szCs w:val="24"/>
              <w:lang w:val="en-US"/>
            </w:rPr>
            <w:t>Journal of Hospitality and Tourism Management, 43</w:t>
          </w:r>
          <w:r w:rsidRPr="009C6DC2">
            <w:rPr>
              <w:rFonts w:asciiTheme="majorBidi" w:hAnsiTheme="majorBidi" w:cstheme="majorBidi"/>
              <w:noProof/>
              <w:sz w:val="24"/>
              <w:szCs w:val="24"/>
              <w:lang w:val="en-US"/>
            </w:rPr>
            <w:t>, 250-258. doi:https://doi.org/10.1016/j.jhtm.2020.04.008</w:t>
          </w:r>
        </w:p>
        <w:p w14:paraId="2458E7C9" w14:textId="40F1A3D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Perumal, A. M., &amp; Ragul, M. (2019). ADVERTISING: FEATURES AND TYPES. </w:t>
          </w:r>
          <w:r w:rsidRPr="009C6DC2">
            <w:rPr>
              <w:rFonts w:asciiTheme="majorBidi" w:hAnsiTheme="majorBidi" w:cstheme="majorBidi"/>
              <w:i/>
              <w:iCs/>
              <w:noProof/>
              <w:sz w:val="24"/>
              <w:szCs w:val="24"/>
              <w:lang w:val="en-US"/>
            </w:rPr>
            <w:t>International Journal of Research and Development, 04</w:t>
          </w:r>
          <w:r w:rsidRPr="009C6DC2">
            <w:rPr>
              <w:rFonts w:asciiTheme="majorBidi" w:hAnsiTheme="majorBidi" w:cstheme="majorBidi"/>
              <w:noProof/>
              <w:sz w:val="24"/>
              <w:szCs w:val="24"/>
              <w:lang w:val="en-US"/>
            </w:rPr>
            <w:t>(02). Retrieved 01 31, 2022, from https://eprajournals.com/jpanel/upload/529pm_2.Arul%20Perumal%20M-2900-1.pdf</w:t>
          </w:r>
        </w:p>
        <w:p w14:paraId="01C0DC38" w14:textId="3F04050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Pervin, N., &amp; Mokhtar, M. (2022). The Interpretivist Research Paradigm: A Subjective Notion of a Social Context. </w:t>
          </w:r>
          <w:r w:rsidRPr="009C6DC2">
            <w:rPr>
              <w:rFonts w:asciiTheme="majorBidi" w:hAnsiTheme="majorBidi" w:cstheme="majorBidi"/>
              <w:i/>
              <w:iCs/>
              <w:noProof/>
              <w:sz w:val="24"/>
              <w:szCs w:val="24"/>
              <w:lang w:val="en-US"/>
            </w:rPr>
            <w:t>International Journal of Academic Research in Progressive Education and Development, 11</w:t>
          </w:r>
          <w:r w:rsidRPr="009C6DC2">
            <w:rPr>
              <w:rFonts w:asciiTheme="majorBidi" w:hAnsiTheme="majorBidi" w:cstheme="majorBidi"/>
              <w:noProof/>
              <w:sz w:val="24"/>
              <w:szCs w:val="24"/>
              <w:lang w:val="en-US"/>
            </w:rPr>
            <w:t>(2), 419-428. doi:10.6007/IJARPED/v11-i2/12938</w:t>
          </w:r>
        </w:p>
        <w:p w14:paraId="5ECD0DC9" w14:textId="240F1A6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Peterson, M., Minton, E., Liu, R., &amp; Bartholomew, D. E. (2021). Sustainable Marketing and Consumer Support for Sustainable Businsses. </w:t>
          </w:r>
          <w:r w:rsidRPr="009C6DC2">
            <w:rPr>
              <w:rFonts w:asciiTheme="majorBidi" w:hAnsiTheme="majorBidi" w:cstheme="majorBidi"/>
              <w:i/>
              <w:iCs/>
              <w:noProof/>
              <w:sz w:val="24"/>
              <w:szCs w:val="24"/>
              <w:lang w:val="en-US"/>
            </w:rPr>
            <w:t>Sustainable Production and Consumption, 27</w:t>
          </w:r>
          <w:r w:rsidRPr="009C6DC2">
            <w:rPr>
              <w:rFonts w:asciiTheme="majorBidi" w:hAnsiTheme="majorBidi" w:cstheme="majorBidi"/>
              <w:noProof/>
              <w:sz w:val="24"/>
              <w:szCs w:val="24"/>
              <w:lang w:val="en-US"/>
            </w:rPr>
            <w:t>(2), 157-168. doi:10.1016/j.spc.2020.10.018</w:t>
          </w:r>
        </w:p>
        <w:p w14:paraId="7B96AFC2" w14:textId="34A1873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Petrescu, M., &amp; Lauer, B. (2017). Qualitative Marketing Research: The State of Journal Publications. </w:t>
          </w:r>
          <w:r w:rsidRPr="009C6DC2">
            <w:rPr>
              <w:rFonts w:asciiTheme="majorBidi" w:hAnsiTheme="majorBidi" w:cstheme="majorBidi"/>
              <w:i/>
              <w:iCs/>
              <w:noProof/>
              <w:sz w:val="24"/>
              <w:szCs w:val="24"/>
              <w:lang w:val="en-US"/>
            </w:rPr>
            <w:t>The Qualitative Report , 22</w:t>
          </w:r>
          <w:r w:rsidRPr="009C6DC2">
            <w:rPr>
              <w:rFonts w:asciiTheme="majorBidi" w:hAnsiTheme="majorBidi" w:cstheme="majorBidi"/>
              <w:noProof/>
              <w:sz w:val="24"/>
              <w:szCs w:val="24"/>
              <w:lang w:val="en-US"/>
            </w:rPr>
            <w:t>(9), 2248-2287. doi:10.46743/2160-3715/2017.2481</w:t>
          </w:r>
        </w:p>
        <w:p w14:paraId="5EE1B137" w14:textId="5534FFF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Petrovici, D. A., Ritson, C., &amp; Ness, M. (2008). The Theory of Reasoned Action and Food Choice. </w:t>
          </w:r>
          <w:r w:rsidRPr="009C6DC2">
            <w:rPr>
              <w:rFonts w:asciiTheme="majorBidi" w:hAnsiTheme="majorBidi" w:cstheme="majorBidi"/>
              <w:i/>
              <w:iCs/>
              <w:noProof/>
              <w:sz w:val="24"/>
              <w:szCs w:val="24"/>
              <w:lang w:val="en-US"/>
            </w:rPr>
            <w:t>Journal of International Food &amp; Agribusiness Marketing, 16</w:t>
          </w:r>
          <w:r w:rsidRPr="009C6DC2">
            <w:rPr>
              <w:rFonts w:asciiTheme="majorBidi" w:hAnsiTheme="majorBidi" w:cstheme="majorBidi"/>
              <w:noProof/>
              <w:sz w:val="24"/>
              <w:szCs w:val="24"/>
              <w:lang w:val="en-US"/>
            </w:rPr>
            <w:t>(1), 59-87. doi:https://doi.org/10.1300/J047v16n01_05</w:t>
          </w:r>
        </w:p>
        <w:p w14:paraId="1358820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Petty, R. E., &amp; Cacioppo, J. T. (1986). The elaboration likelihood model of Persuasion. </w:t>
          </w:r>
          <w:r w:rsidRPr="009C6DC2">
            <w:rPr>
              <w:rFonts w:asciiTheme="majorBidi" w:hAnsiTheme="majorBidi" w:cstheme="majorBidi"/>
              <w:i/>
              <w:iCs/>
              <w:noProof/>
              <w:sz w:val="24"/>
              <w:szCs w:val="24"/>
              <w:lang w:val="en-US"/>
            </w:rPr>
            <w:t>Advances in Experimental Social Psychology, 19</w:t>
          </w:r>
          <w:r w:rsidRPr="009C6DC2">
            <w:rPr>
              <w:rFonts w:asciiTheme="majorBidi" w:hAnsiTheme="majorBidi" w:cstheme="majorBidi"/>
              <w:noProof/>
              <w:sz w:val="24"/>
              <w:szCs w:val="24"/>
              <w:lang w:val="en-US"/>
            </w:rPr>
            <w:t>, 123-205. doi:https://doi.org/10.1016/S0065-2601(08)60214-2</w:t>
          </w:r>
        </w:p>
        <w:p w14:paraId="4581AB86" w14:textId="6854C83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Petty, R. E., Cacioppo, J. T., &amp; Schumann, D. (1983). Central and Peripheral Routes to Advertising Effectiveness: The Moderating Role of Involvement. </w:t>
          </w:r>
          <w:r w:rsidRPr="009C6DC2">
            <w:rPr>
              <w:rFonts w:asciiTheme="majorBidi" w:hAnsiTheme="majorBidi" w:cstheme="majorBidi"/>
              <w:i/>
              <w:iCs/>
              <w:noProof/>
              <w:sz w:val="24"/>
              <w:szCs w:val="24"/>
              <w:lang w:val="en-US"/>
            </w:rPr>
            <w:t>Journal of Consumer Research, 10</w:t>
          </w:r>
          <w:r w:rsidRPr="009C6DC2">
            <w:rPr>
              <w:rFonts w:asciiTheme="majorBidi" w:hAnsiTheme="majorBidi" w:cstheme="majorBidi"/>
              <w:noProof/>
              <w:sz w:val="24"/>
              <w:szCs w:val="24"/>
              <w:lang w:val="en-US"/>
            </w:rPr>
            <w:t>(02), 135-146. Retrieved 09 27, 2022, from https://www.jstor.org/stable/2488919</w:t>
          </w:r>
        </w:p>
        <w:p w14:paraId="1A9E111E" w14:textId="5593948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Petzold, K. (2022). Factorial Survey Experiments in the Sociology of Education. </w:t>
          </w:r>
          <w:r w:rsidRPr="009C6DC2">
            <w:rPr>
              <w:rFonts w:asciiTheme="majorBidi" w:hAnsiTheme="majorBidi" w:cstheme="majorBidi"/>
              <w:i/>
              <w:iCs/>
              <w:noProof/>
              <w:sz w:val="24"/>
              <w:szCs w:val="24"/>
              <w:lang w:val="en-US"/>
            </w:rPr>
            <w:t>Swiss Journal of Sociology, 48</w:t>
          </w:r>
          <w:r w:rsidRPr="009C6DC2">
            <w:rPr>
              <w:rFonts w:asciiTheme="majorBidi" w:hAnsiTheme="majorBidi" w:cstheme="majorBidi"/>
              <w:noProof/>
              <w:sz w:val="24"/>
              <w:szCs w:val="24"/>
              <w:lang w:val="en-US"/>
            </w:rPr>
            <w:t>(01). doi:10.2478/sjs-2022-0001</w:t>
          </w:r>
        </w:p>
        <w:p w14:paraId="3D0372C8" w14:textId="51E2CB2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Pfeffer, J., Zorbach, T., &amp; Carley, K. M. (2013). Understanding online firestorms: Negative word-of-mouth dynamics in social media networks. </w:t>
          </w:r>
          <w:r w:rsidRPr="009C6DC2">
            <w:rPr>
              <w:rFonts w:asciiTheme="majorBidi" w:hAnsiTheme="majorBidi" w:cstheme="majorBidi"/>
              <w:i/>
              <w:iCs/>
              <w:noProof/>
              <w:sz w:val="24"/>
              <w:szCs w:val="24"/>
              <w:lang w:val="en-US"/>
            </w:rPr>
            <w:t>Journal of Marketing Communications, 20</w:t>
          </w:r>
          <w:r w:rsidRPr="009C6DC2">
            <w:rPr>
              <w:rFonts w:asciiTheme="majorBidi" w:hAnsiTheme="majorBidi" w:cstheme="majorBidi"/>
              <w:noProof/>
              <w:sz w:val="24"/>
              <w:szCs w:val="24"/>
              <w:lang w:val="en-US"/>
            </w:rPr>
            <w:t>(1-2), 117-128. doi:https://doi.org/10.1080/13527266.2013.797778</w:t>
          </w:r>
        </w:p>
        <w:p w14:paraId="4857360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Pfizer. (2023). </w:t>
          </w:r>
          <w:r w:rsidRPr="009C6DC2">
            <w:rPr>
              <w:rFonts w:asciiTheme="majorBidi" w:hAnsiTheme="majorBidi" w:cstheme="majorBidi"/>
              <w:i/>
              <w:iCs/>
              <w:noProof/>
              <w:sz w:val="24"/>
              <w:szCs w:val="24"/>
              <w:lang w:val="en-US"/>
            </w:rPr>
            <w:t>Pfizer Disaster and Humanitarian Relief</w:t>
          </w:r>
          <w:r w:rsidRPr="009C6DC2">
            <w:rPr>
              <w:rFonts w:asciiTheme="majorBidi" w:hAnsiTheme="majorBidi" w:cstheme="majorBidi"/>
              <w:noProof/>
              <w:sz w:val="24"/>
              <w:szCs w:val="24"/>
              <w:lang w:val="en-US"/>
            </w:rPr>
            <w:t>. Retrieved from Pfizer: https://www.pfizer.com/about/responsibility/global-impact/disaster-and-humanitarian-relief</w:t>
          </w:r>
        </w:p>
        <w:p w14:paraId="54C170E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Pham, P., &amp; Wang, J. (2017). Understanding Emotional Responses to Mobile Video Advertisements via Physiological Signal Sensing and Facial Expression Analysis. </w:t>
          </w:r>
          <w:r w:rsidRPr="009C6DC2">
            <w:rPr>
              <w:rFonts w:asciiTheme="majorBidi" w:hAnsiTheme="majorBidi" w:cstheme="majorBidi"/>
              <w:i/>
              <w:iCs/>
              <w:noProof/>
              <w:sz w:val="24"/>
              <w:szCs w:val="24"/>
              <w:lang w:val="en-US"/>
            </w:rPr>
            <w:t>Proceedings of the 22nd International Conference on Intelligent User Interfaces</w:t>
          </w:r>
          <w:r w:rsidRPr="009C6DC2">
            <w:rPr>
              <w:rFonts w:asciiTheme="majorBidi" w:hAnsiTheme="majorBidi" w:cstheme="majorBidi"/>
              <w:noProof/>
              <w:sz w:val="24"/>
              <w:szCs w:val="24"/>
              <w:lang w:val="en-US"/>
            </w:rPr>
            <w:t>, (pp. 67-78). doi:10.1145/3025171.3025186</w:t>
          </w:r>
        </w:p>
        <w:p w14:paraId="1C163CF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Pickens, J. (2005). Attitudes and perceptions. In </w:t>
          </w:r>
          <w:r w:rsidRPr="009C6DC2">
            <w:rPr>
              <w:rFonts w:asciiTheme="majorBidi" w:hAnsiTheme="majorBidi" w:cstheme="majorBidi"/>
              <w:i/>
              <w:iCs/>
              <w:noProof/>
              <w:sz w:val="24"/>
              <w:szCs w:val="24"/>
              <w:lang w:val="en-US"/>
            </w:rPr>
            <w:t>Organizational behavior in Health Care</w:t>
          </w:r>
          <w:r w:rsidRPr="009C6DC2">
            <w:rPr>
              <w:rFonts w:asciiTheme="majorBidi" w:hAnsiTheme="majorBidi" w:cstheme="majorBidi"/>
              <w:noProof/>
              <w:sz w:val="24"/>
              <w:szCs w:val="24"/>
              <w:lang w:val="en-US"/>
            </w:rPr>
            <w:t xml:space="preserve"> (pp. 43-76). Jones and Bartlett Publishers.</w:t>
          </w:r>
        </w:p>
        <w:p w14:paraId="1C2EB0A5" w14:textId="7F79125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Pieters, R., Wedel, M., &amp; Batra, R. (2010). The Stopping Power of Advertising: Measures and Effects of Visual Complexity. </w:t>
          </w:r>
          <w:r w:rsidRPr="009C6DC2">
            <w:rPr>
              <w:rFonts w:asciiTheme="majorBidi" w:hAnsiTheme="majorBidi" w:cstheme="majorBidi"/>
              <w:i/>
              <w:iCs/>
              <w:noProof/>
              <w:sz w:val="24"/>
              <w:szCs w:val="24"/>
              <w:lang w:val="en-US"/>
            </w:rPr>
            <w:t>Journal of Marketing, 74</w:t>
          </w:r>
          <w:r w:rsidRPr="009C6DC2">
            <w:rPr>
              <w:rFonts w:asciiTheme="majorBidi" w:hAnsiTheme="majorBidi" w:cstheme="majorBidi"/>
              <w:noProof/>
              <w:sz w:val="24"/>
              <w:szCs w:val="24"/>
              <w:lang w:val="en-US"/>
            </w:rPr>
            <w:t>(05), 48-60. doi:10.1509/jmkg.74.5.48</w:t>
          </w:r>
        </w:p>
        <w:p w14:paraId="463B71A6" w14:textId="21FE102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Pino, G., Amatulli, C., De Angelis, M., &amp; Peluso, A. M. (2016). The influence of corporate social responsibility on consumers' attitudes and intentions toward genetically modified foods: evidence from Italy. </w:t>
          </w:r>
          <w:r w:rsidRPr="009C6DC2">
            <w:rPr>
              <w:rFonts w:asciiTheme="majorBidi" w:hAnsiTheme="majorBidi" w:cstheme="majorBidi"/>
              <w:i/>
              <w:iCs/>
              <w:noProof/>
              <w:sz w:val="24"/>
              <w:szCs w:val="24"/>
              <w:lang w:val="en-US"/>
            </w:rPr>
            <w:t>Journal of Cleaner Production, 112</w:t>
          </w:r>
          <w:r w:rsidRPr="009C6DC2">
            <w:rPr>
              <w:rFonts w:asciiTheme="majorBidi" w:hAnsiTheme="majorBidi" w:cstheme="majorBidi"/>
              <w:noProof/>
              <w:sz w:val="24"/>
              <w:szCs w:val="24"/>
              <w:lang w:val="en-US"/>
            </w:rPr>
            <w:t>, 2861-2869. doi:https://doi.org/10.1016/j.jclepro.2015.10.008</w:t>
          </w:r>
        </w:p>
        <w:p w14:paraId="7183C09F" w14:textId="0172A43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Pinochet, L. H., Lopes, E. L., Srulzon, C. H., &amp; Onusic , L. M. (2018). The influence of the attributes of “Internet of Things” products on functional and emotional experiences of purchase intention. </w:t>
          </w:r>
          <w:r w:rsidRPr="009C6DC2">
            <w:rPr>
              <w:rFonts w:asciiTheme="majorBidi" w:hAnsiTheme="majorBidi" w:cstheme="majorBidi"/>
              <w:i/>
              <w:iCs/>
              <w:noProof/>
              <w:sz w:val="24"/>
              <w:szCs w:val="24"/>
              <w:lang w:val="en-US"/>
            </w:rPr>
            <w:t>Innovation and Management Review, 15</w:t>
          </w:r>
          <w:r w:rsidRPr="009C6DC2">
            <w:rPr>
              <w:rFonts w:asciiTheme="majorBidi" w:hAnsiTheme="majorBidi" w:cstheme="majorBidi"/>
              <w:noProof/>
              <w:sz w:val="24"/>
              <w:szCs w:val="24"/>
              <w:lang w:val="en-US"/>
            </w:rPr>
            <w:t>(3), 303-320. doi:https://doi.org/10.1108/INMR-05-2018-0028</w:t>
          </w:r>
        </w:p>
        <w:p w14:paraId="6681935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Plan International. (2017). Community-based psychosocial support. For Syrian and Egyptian children in urban areas: A Case Study from Egypt. </w:t>
          </w:r>
          <w:r w:rsidRPr="009C6DC2">
            <w:rPr>
              <w:rFonts w:asciiTheme="majorBidi" w:hAnsiTheme="majorBidi" w:cstheme="majorBidi"/>
              <w:i/>
              <w:iCs/>
              <w:noProof/>
              <w:sz w:val="24"/>
              <w:szCs w:val="24"/>
              <w:lang w:val="en-US"/>
            </w:rPr>
            <w:t>Plan International</w:t>
          </w:r>
          <w:r w:rsidRPr="009C6DC2">
            <w:rPr>
              <w:rFonts w:asciiTheme="majorBidi" w:hAnsiTheme="majorBidi" w:cstheme="majorBidi"/>
              <w:noProof/>
              <w:sz w:val="24"/>
              <w:szCs w:val="24"/>
              <w:lang w:val="en-US"/>
            </w:rPr>
            <w:t>. Retrieved 03 01, 2022, from https://resourcecentre.savethechildren.net/pdf/pyschosocial_support_for_syrian_and_egyptian_children_in_urban_areas.pdf/</w:t>
          </w:r>
        </w:p>
        <w:p w14:paraId="13FF3D8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Podsakoff, P. M., MacKenzie, S. B., Lee, J. Y., &amp; Podsakoff, N. P. (2003). Common method biases in behavioral research: A critical review of the literature and recommended remedies. </w:t>
          </w:r>
          <w:r w:rsidRPr="009C6DC2">
            <w:rPr>
              <w:rFonts w:asciiTheme="majorBidi" w:hAnsiTheme="majorBidi" w:cstheme="majorBidi"/>
              <w:i/>
              <w:iCs/>
              <w:noProof/>
              <w:sz w:val="24"/>
              <w:szCs w:val="24"/>
              <w:lang w:val="en-US"/>
            </w:rPr>
            <w:t>Journal of Applied Psychology, 88</w:t>
          </w:r>
          <w:r w:rsidRPr="009C6DC2">
            <w:rPr>
              <w:rFonts w:asciiTheme="majorBidi" w:hAnsiTheme="majorBidi" w:cstheme="majorBidi"/>
              <w:noProof/>
              <w:sz w:val="24"/>
              <w:szCs w:val="24"/>
              <w:lang w:val="en-US"/>
            </w:rPr>
            <w:t>(5), 879-903. doi:https://doi.org/10.1037/0021-9010.88.5.879</w:t>
          </w:r>
        </w:p>
        <w:p w14:paraId="41E7A58E" w14:textId="4ADFB79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Poels, K., &amp; Dewitte, S. (2019). The Role of Emotions in Advertising: A Call to Action. </w:t>
          </w:r>
          <w:r w:rsidRPr="009C6DC2">
            <w:rPr>
              <w:rFonts w:asciiTheme="majorBidi" w:hAnsiTheme="majorBidi" w:cstheme="majorBidi"/>
              <w:i/>
              <w:iCs/>
              <w:noProof/>
              <w:sz w:val="24"/>
              <w:szCs w:val="24"/>
              <w:lang w:val="en-US"/>
            </w:rPr>
            <w:t>Journal of Advertising, 48</w:t>
          </w:r>
          <w:r w:rsidRPr="009C6DC2">
            <w:rPr>
              <w:rFonts w:asciiTheme="majorBidi" w:hAnsiTheme="majorBidi" w:cstheme="majorBidi"/>
              <w:noProof/>
              <w:sz w:val="24"/>
              <w:szCs w:val="24"/>
              <w:lang w:val="en-US"/>
            </w:rPr>
            <w:t>(1), 81-90. doi:https://doi.org/10.1080/00913367.2019.1579688</w:t>
          </w:r>
        </w:p>
        <w:p w14:paraId="6EC6FFB1" w14:textId="386982A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Poulis, K. (2020). Punctuated epistemology in international marketing strategy: A Whiteheadian remedy. </w:t>
          </w:r>
          <w:r w:rsidRPr="009C6DC2">
            <w:rPr>
              <w:rFonts w:asciiTheme="majorBidi" w:hAnsiTheme="majorBidi" w:cstheme="majorBidi"/>
              <w:i/>
              <w:iCs/>
              <w:noProof/>
              <w:sz w:val="24"/>
              <w:szCs w:val="24"/>
              <w:lang w:val="en-US"/>
            </w:rPr>
            <w:t>Marketing Theory, 20</w:t>
          </w:r>
          <w:r w:rsidRPr="009C6DC2">
            <w:rPr>
              <w:rFonts w:asciiTheme="majorBidi" w:hAnsiTheme="majorBidi" w:cstheme="majorBidi"/>
              <w:noProof/>
              <w:sz w:val="24"/>
              <w:szCs w:val="24"/>
              <w:lang w:val="en-US"/>
            </w:rPr>
            <w:t>(3), 363-384. doi:https://doi.org/10.1177/1470593119897938</w:t>
          </w:r>
        </w:p>
        <w:p w14:paraId="634C119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Price, P. C., Jhangiani, R. S., Chiang, I.-C. A., Leighton, D. C., &amp; Cuttler, C. (2018). 4.2 RELIABILITY AND VALIDITY OF MEASUREMENT. In </w:t>
          </w:r>
          <w:r w:rsidRPr="009C6DC2">
            <w:rPr>
              <w:rFonts w:asciiTheme="majorBidi" w:hAnsiTheme="majorBidi" w:cstheme="majorBidi"/>
              <w:i/>
              <w:iCs/>
              <w:noProof/>
              <w:sz w:val="24"/>
              <w:szCs w:val="24"/>
              <w:lang w:val="en-US"/>
            </w:rPr>
            <w:t>Research Methods in Psychology.</w:t>
          </w:r>
          <w:r w:rsidRPr="009C6DC2">
            <w:rPr>
              <w:rFonts w:asciiTheme="majorBidi" w:hAnsiTheme="majorBidi" w:cstheme="majorBidi"/>
              <w:noProof/>
              <w:sz w:val="24"/>
              <w:szCs w:val="24"/>
              <w:lang w:val="en-US"/>
            </w:rPr>
            <w:t xml:space="preserve"> PressBooks. Retrieved 11 08, 2022, from https://opentext.wsu.edu/carriecuttler/</w:t>
          </w:r>
        </w:p>
        <w:p w14:paraId="784C14C9" w14:textId="0C39E10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Primecz , H. (2020). Positivist, constructivist and critical approaches to international human resource management and some future directions. </w:t>
          </w:r>
          <w:r w:rsidRPr="009C6DC2">
            <w:rPr>
              <w:rFonts w:asciiTheme="majorBidi" w:hAnsiTheme="majorBidi" w:cstheme="majorBidi"/>
              <w:i/>
              <w:iCs/>
              <w:noProof/>
              <w:sz w:val="24"/>
              <w:szCs w:val="24"/>
              <w:lang w:val="en-US"/>
            </w:rPr>
            <w:t>German Journal of Human Resource Management: Zeitschrift für Personalforschung, 34</w:t>
          </w:r>
          <w:r w:rsidRPr="009C6DC2">
            <w:rPr>
              <w:rFonts w:asciiTheme="majorBidi" w:hAnsiTheme="majorBidi" w:cstheme="majorBidi"/>
              <w:noProof/>
              <w:sz w:val="24"/>
              <w:szCs w:val="24"/>
              <w:lang w:val="en-US"/>
            </w:rPr>
            <w:t>(2), 124-147. doi:https://doi.org/10.1177/2397002220909069</w:t>
          </w:r>
        </w:p>
        <w:p w14:paraId="19C66D0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Procter &amp; Gamble. (2019). </w:t>
          </w:r>
          <w:r w:rsidRPr="009C6DC2">
            <w:rPr>
              <w:rFonts w:asciiTheme="majorBidi" w:hAnsiTheme="majorBidi" w:cstheme="majorBidi"/>
              <w:i/>
              <w:iCs/>
              <w:noProof/>
              <w:sz w:val="24"/>
              <w:szCs w:val="24"/>
              <w:lang w:val="en-US"/>
            </w:rPr>
            <w:t>2018 Annual Report</w:t>
          </w:r>
          <w:r w:rsidRPr="009C6DC2">
            <w:rPr>
              <w:rFonts w:asciiTheme="majorBidi" w:hAnsiTheme="majorBidi" w:cstheme="majorBidi"/>
              <w:noProof/>
              <w:sz w:val="24"/>
              <w:szCs w:val="24"/>
              <w:lang w:val="en-US"/>
            </w:rPr>
            <w:t>. Retrieved 04 01, 2022, from https://www.pg.com/annualreport2018/static/PG-2018-</w:t>
          </w:r>
        </w:p>
        <w:p w14:paraId="6C51E296" w14:textId="5F3DAC5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Proksch, M., Orth, U. R., &amp; Cornwell, T. B. (2015). Competence Enhancement and Anticipated Emotion as Motivational Drivers of Brand Attachment. </w:t>
          </w:r>
          <w:r w:rsidRPr="009C6DC2">
            <w:rPr>
              <w:rFonts w:asciiTheme="majorBidi" w:hAnsiTheme="majorBidi" w:cstheme="majorBidi"/>
              <w:i/>
              <w:iCs/>
              <w:noProof/>
              <w:sz w:val="24"/>
              <w:szCs w:val="24"/>
              <w:lang w:val="en-US"/>
            </w:rPr>
            <w:t>Psychology and Marketing , 32</w:t>
          </w:r>
          <w:r w:rsidRPr="009C6DC2">
            <w:rPr>
              <w:rFonts w:asciiTheme="majorBidi" w:hAnsiTheme="majorBidi" w:cstheme="majorBidi"/>
              <w:noProof/>
              <w:sz w:val="24"/>
              <w:szCs w:val="24"/>
              <w:lang w:val="en-US"/>
            </w:rPr>
            <w:t>(9), 934-949. doi:https://doi.org/10.1002/mar.20828</w:t>
          </w:r>
        </w:p>
        <w:p w14:paraId="1C6E790C" w14:textId="77777777"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Proskurnova, P. L. (2020). The reasons for the decline in popularity and prospects for the development of linear television. </w:t>
          </w:r>
          <w:r w:rsidRPr="009C6DC2">
            <w:rPr>
              <w:rFonts w:asciiTheme="majorBidi" w:hAnsiTheme="majorBidi" w:cstheme="majorBidi"/>
              <w:i/>
              <w:iCs/>
              <w:noProof/>
              <w:sz w:val="24"/>
              <w:szCs w:val="24"/>
              <w:lang w:val="en-US"/>
            </w:rPr>
            <w:t>RUDN JOURNAL OF STUDIES IN LITERATURE AND JOURNALISM, 25</w:t>
          </w:r>
          <w:r w:rsidRPr="009C6DC2">
            <w:rPr>
              <w:rFonts w:asciiTheme="majorBidi" w:hAnsiTheme="majorBidi" w:cstheme="majorBidi"/>
              <w:noProof/>
              <w:sz w:val="24"/>
              <w:szCs w:val="24"/>
              <w:lang w:val="en-US"/>
            </w:rPr>
            <w:t>(1), 146-154. doi:https://doi.org/10.22363/2312-9220-2020-25-1-146-154</w:t>
          </w:r>
        </w:p>
        <w:p w14:paraId="55269235" w14:textId="090120F9"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Proudfoot, K. (2022). Inductive/Deductive Hybrid Thematic Analysis in Mixed Methods Research. </w:t>
          </w:r>
          <w:r w:rsidRPr="009C6DC2">
            <w:rPr>
              <w:rFonts w:asciiTheme="majorBidi" w:hAnsiTheme="majorBidi" w:cstheme="majorBidi"/>
              <w:i/>
              <w:iCs/>
              <w:noProof/>
              <w:sz w:val="24"/>
              <w:szCs w:val="24"/>
              <w:lang w:val="en-US"/>
            </w:rPr>
            <w:t>Journal of Mixed Methods Research</w:t>
          </w:r>
          <w:r w:rsidRPr="009C6DC2">
            <w:rPr>
              <w:rFonts w:asciiTheme="majorBidi" w:hAnsiTheme="majorBidi" w:cstheme="majorBidi"/>
              <w:noProof/>
              <w:sz w:val="24"/>
              <w:szCs w:val="24"/>
              <w:lang w:val="en-US"/>
            </w:rPr>
            <w:t>. doi:https://doi.org/10.1177/1558689822112681</w:t>
          </w:r>
        </w:p>
        <w:p w14:paraId="43C3D4B8" w14:textId="06E7F2B6"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Przepiorka, W., &amp; Horne, C. (2018). How Can Consumer Trust in Energy Utilities be Increased? The Effectiveness of Prosocial, Proenvironmental, and Service-Oriented Investments as Signals of Trustworthiness. </w:t>
          </w:r>
          <w:r w:rsidRPr="009C6DC2">
            <w:rPr>
              <w:rFonts w:asciiTheme="majorBidi" w:hAnsiTheme="majorBidi" w:cstheme="majorBidi"/>
              <w:i/>
              <w:iCs/>
              <w:noProof/>
              <w:sz w:val="24"/>
              <w:szCs w:val="24"/>
              <w:lang w:val="en-US"/>
            </w:rPr>
            <w:t>Organization and Environment, 33</w:t>
          </w:r>
          <w:r w:rsidRPr="009C6DC2">
            <w:rPr>
              <w:rFonts w:asciiTheme="majorBidi" w:hAnsiTheme="majorBidi" w:cstheme="majorBidi"/>
              <w:noProof/>
              <w:sz w:val="24"/>
              <w:szCs w:val="24"/>
              <w:lang w:val="en-US"/>
            </w:rPr>
            <w:t>(2). doi:https://doi.org/10.1177/1086026618803729</w:t>
          </w:r>
        </w:p>
        <w:p w14:paraId="4AC46C09" w14:textId="17653747"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Punyatoya, P. (2014). Linking environmental awareness and perceived brand eco-friendliness to Brand Trust and Purchase Intention. </w:t>
          </w:r>
          <w:r w:rsidRPr="009C6DC2">
            <w:rPr>
              <w:rFonts w:asciiTheme="majorBidi" w:hAnsiTheme="majorBidi" w:cstheme="majorBidi"/>
              <w:i/>
              <w:iCs/>
              <w:noProof/>
              <w:sz w:val="24"/>
              <w:szCs w:val="24"/>
              <w:lang w:val="en-US"/>
            </w:rPr>
            <w:t>Global Business Review, 15</w:t>
          </w:r>
          <w:r w:rsidRPr="009C6DC2">
            <w:rPr>
              <w:rFonts w:asciiTheme="majorBidi" w:hAnsiTheme="majorBidi" w:cstheme="majorBidi"/>
              <w:noProof/>
              <w:sz w:val="24"/>
              <w:szCs w:val="24"/>
              <w:lang w:val="en-US"/>
            </w:rPr>
            <w:t>(02). doi:https://doi.org/10.1177/0972150914523572</w:t>
          </w:r>
        </w:p>
        <w:p w14:paraId="6C718343" w14:textId="31A429EF"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Purwanto, A., &amp; Sudargini, Y. (2021). Partial Least Squares Structural Squation Modeling (PLS-SEM) Analysis for Social and Management Research : A Literature Review. </w:t>
          </w:r>
          <w:r w:rsidRPr="009C6DC2">
            <w:rPr>
              <w:rFonts w:asciiTheme="majorBidi" w:hAnsiTheme="majorBidi" w:cstheme="majorBidi"/>
              <w:i/>
              <w:iCs/>
              <w:noProof/>
              <w:sz w:val="24"/>
              <w:szCs w:val="24"/>
              <w:lang w:val="en-US"/>
            </w:rPr>
            <w:t>Journal of Industrial engineering and management research, 2</w:t>
          </w:r>
          <w:r w:rsidRPr="009C6DC2">
            <w:rPr>
              <w:rFonts w:asciiTheme="majorBidi" w:hAnsiTheme="majorBidi" w:cstheme="majorBidi"/>
              <w:noProof/>
              <w:sz w:val="24"/>
              <w:szCs w:val="24"/>
              <w:lang w:val="en-US"/>
            </w:rPr>
            <w:t>(4), 114-123. doi:https://doi.org/10.7777/jiemar.v2i4.168</w:t>
          </w:r>
        </w:p>
        <w:p w14:paraId="59C5940E" w14:textId="77777777"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Putra, N. R., Lestari, M. T., &amp; Nasionalita, K. (2017). </w:t>
          </w:r>
          <w:r w:rsidRPr="009C6DC2">
            <w:rPr>
              <w:rFonts w:asciiTheme="majorBidi" w:hAnsiTheme="majorBidi" w:cstheme="majorBidi"/>
              <w:noProof/>
              <w:sz w:val="24"/>
              <w:szCs w:val="24"/>
              <w:lang w:val="en-US"/>
            </w:rPr>
            <w:t xml:space="preserve">Cyber CSR Communication Strategic of the Body Shop Indonesia (Literature Study Through Official Website Of The Body Shop Indonesia). </w:t>
          </w:r>
          <w:r w:rsidRPr="009C6DC2">
            <w:rPr>
              <w:rFonts w:asciiTheme="majorBidi" w:hAnsiTheme="majorBidi" w:cstheme="majorBidi"/>
              <w:i/>
              <w:iCs/>
              <w:noProof/>
              <w:sz w:val="24"/>
              <w:szCs w:val="24"/>
              <w:lang w:val="en-US"/>
            </w:rPr>
            <w:t>Proceedings of the 3rd International Conference on Transformation in Communications 2017 (IcoTiC 2017).</w:t>
          </w:r>
          <w:r w:rsidRPr="009C6DC2">
            <w:rPr>
              <w:rFonts w:asciiTheme="majorBidi" w:hAnsiTheme="majorBidi" w:cstheme="majorBidi"/>
              <w:noProof/>
              <w:sz w:val="24"/>
              <w:szCs w:val="24"/>
              <w:lang w:val="en-US"/>
            </w:rPr>
            <w:t xml:space="preserve"> Atlantis Press. Retrieved 09 07, 2023, from http://creativecommons.org/licenses/by-nc/4.0/</w:t>
          </w:r>
        </w:p>
        <w:p w14:paraId="0BCDBA86" w14:textId="7F546BAF"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Pyo, N. L., &amp; Luang, M. F. (2022). The application of stimulus-organism-response (SOR) theory for studying workforce contributions in the pineapple factories in Chiang Rai. </w:t>
          </w:r>
          <w:r w:rsidRPr="009C6DC2">
            <w:rPr>
              <w:rFonts w:asciiTheme="majorBidi" w:hAnsiTheme="majorBidi" w:cstheme="majorBidi"/>
              <w:i/>
              <w:iCs/>
              <w:noProof/>
              <w:sz w:val="24"/>
              <w:szCs w:val="24"/>
              <w:lang w:val="en-US"/>
            </w:rPr>
            <w:t>International Journal of Multidisciplinary in Management and Tourism, 4</w:t>
          </w:r>
          <w:r w:rsidRPr="009C6DC2">
            <w:rPr>
              <w:rFonts w:asciiTheme="majorBidi" w:hAnsiTheme="majorBidi" w:cstheme="majorBidi"/>
              <w:noProof/>
              <w:sz w:val="24"/>
              <w:szCs w:val="24"/>
              <w:lang w:val="en-US"/>
            </w:rPr>
            <w:t>(2).</w:t>
          </w:r>
        </w:p>
        <w:p w14:paraId="6E796D8F" w14:textId="1776F78A"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Qiu, H., Wang, X., Wu, M.-Y., Wei, W., Morrison, A. M., &amp; Kelly, C. (2022). The Effect of Destination Source Credibility on Tourist Environmentally Responsible Behavior: An Application of Stimulus-Organism-Response Theory. </w:t>
          </w:r>
          <w:r w:rsidRPr="009C6DC2">
            <w:rPr>
              <w:rFonts w:asciiTheme="majorBidi" w:hAnsiTheme="majorBidi" w:cstheme="majorBidi"/>
              <w:i/>
              <w:iCs/>
              <w:noProof/>
              <w:sz w:val="24"/>
              <w:szCs w:val="24"/>
              <w:lang w:val="en-US"/>
            </w:rPr>
            <w:t>Journal of Sustainable Tourism</w:t>
          </w:r>
          <w:r w:rsidRPr="009C6DC2">
            <w:rPr>
              <w:rFonts w:asciiTheme="majorBidi" w:hAnsiTheme="majorBidi" w:cstheme="majorBidi"/>
              <w:noProof/>
              <w:sz w:val="24"/>
              <w:szCs w:val="24"/>
              <w:lang w:val="en-US"/>
            </w:rPr>
            <w:t>, 1-21. doi:10.1080/09669582.2022.2067167</w:t>
          </w:r>
        </w:p>
        <w:p w14:paraId="436D00B5" w14:textId="773A050B"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Quach, T. N., Jebarajakirthy, C., &amp; Thaichon, P. (2016). The effects of service quality on internet service provider customers’ behaviour: A mixed methods study. </w:t>
          </w:r>
          <w:r w:rsidRPr="009C6DC2">
            <w:rPr>
              <w:rFonts w:asciiTheme="majorBidi" w:hAnsiTheme="majorBidi" w:cstheme="majorBidi"/>
              <w:i/>
              <w:iCs/>
              <w:noProof/>
              <w:sz w:val="24"/>
              <w:szCs w:val="24"/>
              <w:lang w:val="en-US"/>
            </w:rPr>
            <w:t>Asia Pacific Journal of Marketing and Logistics, 28</w:t>
          </w:r>
          <w:r w:rsidRPr="009C6DC2">
            <w:rPr>
              <w:rFonts w:asciiTheme="majorBidi" w:hAnsiTheme="majorBidi" w:cstheme="majorBidi"/>
              <w:noProof/>
              <w:sz w:val="24"/>
              <w:szCs w:val="24"/>
              <w:lang w:val="en-US"/>
            </w:rPr>
            <w:t>(3), 435-463. doi:https://doi-org.lsbu.idm.oclc.org/10.1108/APJML-03-2015-0039</w:t>
          </w:r>
        </w:p>
        <w:p w14:paraId="47C10009" w14:textId="795B4AF5" w:rsidR="006E2490" w:rsidRPr="009C6DC2" w:rsidRDefault="006E2490" w:rsidP="0074101C">
          <w:pPr>
            <w:ind w:left="720" w:hanging="720"/>
            <w:jc w:val="both"/>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Quester, P., Plewa, C., Palmer, K., &amp; Mazodier, M. (2013). Determinants of Community-Based Sponsorship Impact on Self-Congruity. </w:t>
          </w:r>
          <w:r w:rsidRPr="009C6DC2">
            <w:rPr>
              <w:rFonts w:asciiTheme="majorBidi" w:hAnsiTheme="majorBidi" w:cstheme="majorBidi"/>
              <w:i/>
              <w:iCs/>
              <w:noProof/>
              <w:sz w:val="24"/>
              <w:szCs w:val="24"/>
              <w:lang w:val="en-US"/>
            </w:rPr>
            <w:t>psychology &amp; Marketing, 30</w:t>
          </w:r>
          <w:r w:rsidRPr="009C6DC2">
            <w:rPr>
              <w:rFonts w:asciiTheme="majorBidi" w:hAnsiTheme="majorBidi" w:cstheme="majorBidi"/>
              <w:noProof/>
              <w:sz w:val="24"/>
              <w:szCs w:val="24"/>
              <w:lang w:val="en-US"/>
            </w:rPr>
            <w:t>(11), 996-1007. doi:https://doi.org/10.1002/mar.20662</w:t>
          </w:r>
        </w:p>
        <w:p w14:paraId="522B42C5" w14:textId="00ADDAE1" w:rsidR="006E2490" w:rsidRPr="009C6DC2" w:rsidRDefault="006E2490" w:rsidP="0074101C">
          <w:pPr>
            <w:ind w:left="720" w:hanging="720"/>
            <w:jc w:val="both"/>
            <w:rPr>
              <w:rFonts w:asciiTheme="majorBidi" w:hAnsiTheme="majorBidi" w:cstheme="majorBidi"/>
              <w:noProof/>
              <w:sz w:val="24"/>
              <w:szCs w:val="24"/>
              <w:lang w:val="sv-SE"/>
            </w:rPr>
          </w:pPr>
          <w:r w:rsidRPr="009C6DC2">
            <w:rPr>
              <w:rFonts w:asciiTheme="majorBidi" w:hAnsiTheme="majorBidi" w:cstheme="majorBidi"/>
              <w:noProof/>
              <w:sz w:val="24"/>
              <w:szCs w:val="24"/>
              <w:lang w:val="en-US"/>
            </w:rPr>
            <w:t xml:space="preserve">Rădulescu, C., &amp; Hudea, O. (2018). Econometric modelling of the consumer’s behaviour in order to develop brand management policies. </w:t>
          </w:r>
          <w:r w:rsidRPr="009C6DC2">
            <w:rPr>
              <w:rFonts w:asciiTheme="majorBidi" w:hAnsiTheme="majorBidi" w:cstheme="majorBidi"/>
              <w:i/>
              <w:iCs/>
              <w:noProof/>
              <w:sz w:val="24"/>
              <w:szCs w:val="24"/>
              <w:lang w:val="sv-SE"/>
            </w:rPr>
            <w:t>Economic Research-Ekonomska Istraživanja, 31</w:t>
          </w:r>
          <w:r w:rsidRPr="009C6DC2">
            <w:rPr>
              <w:rFonts w:asciiTheme="majorBidi" w:hAnsiTheme="majorBidi" w:cstheme="majorBidi"/>
              <w:noProof/>
              <w:sz w:val="24"/>
              <w:szCs w:val="24"/>
              <w:lang w:val="sv-SE"/>
            </w:rPr>
            <w:t>(1), 576-591. doi:https://doi.org/10.1080/1331677X.2018.1442232</w:t>
          </w:r>
        </w:p>
        <w:p w14:paraId="60AD4FD0" w14:textId="4E8738F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Ramesh, K., Saha, R., Goswami, S., Sekar , &amp; Dahiya, R. (2019). </w:t>
          </w:r>
          <w:r w:rsidRPr="009C6DC2">
            <w:rPr>
              <w:rFonts w:asciiTheme="majorBidi" w:hAnsiTheme="majorBidi" w:cstheme="majorBidi"/>
              <w:noProof/>
              <w:sz w:val="24"/>
              <w:szCs w:val="24"/>
              <w:lang w:val="en-US"/>
            </w:rPr>
            <w:t xml:space="preserve">Consumer's response to CSR activities: Mediating role of brand image and brand attitude. </w:t>
          </w:r>
          <w:r w:rsidRPr="009C6DC2">
            <w:rPr>
              <w:rFonts w:asciiTheme="majorBidi" w:hAnsiTheme="majorBidi" w:cstheme="majorBidi"/>
              <w:i/>
              <w:iCs/>
              <w:noProof/>
              <w:sz w:val="24"/>
              <w:szCs w:val="24"/>
              <w:lang w:val="en-US"/>
            </w:rPr>
            <w:t>Corporate Social Responsibility and Environmental Management, 26</w:t>
          </w:r>
          <w:r w:rsidRPr="009C6DC2">
            <w:rPr>
              <w:rFonts w:asciiTheme="majorBidi" w:hAnsiTheme="majorBidi" w:cstheme="majorBidi"/>
              <w:noProof/>
              <w:sz w:val="24"/>
              <w:szCs w:val="24"/>
              <w:lang w:val="en-US"/>
            </w:rPr>
            <w:t>(2), 377-387. Retrieved 12 25, 2021, from https://doi.org/10.1002/csr.1689</w:t>
          </w:r>
        </w:p>
        <w:p w14:paraId="73DBCD01" w14:textId="38E23E8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Rao, X., Qiu , H., Morrison , A. M., &amp; Wei, W. (2022). Extending the Theory of Planned Behavior with the Self-Congruity Theory to Predict Tourists’ Pro-Environmental Behavioral Intentions: A Two-Case Study of Heritage Tourism. </w:t>
          </w:r>
          <w:r w:rsidRPr="009C6DC2">
            <w:rPr>
              <w:rFonts w:asciiTheme="majorBidi" w:hAnsiTheme="majorBidi" w:cstheme="majorBidi"/>
              <w:i/>
              <w:iCs/>
              <w:noProof/>
              <w:sz w:val="24"/>
              <w:szCs w:val="24"/>
              <w:lang w:val="en-US"/>
            </w:rPr>
            <w:t>Land, 11</w:t>
          </w:r>
          <w:r w:rsidRPr="009C6DC2">
            <w:rPr>
              <w:rFonts w:asciiTheme="majorBidi" w:hAnsiTheme="majorBidi" w:cstheme="majorBidi"/>
              <w:noProof/>
              <w:sz w:val="24"/>
              <w:szCs w:val="24"/>
              <w:lang w:val="en-US"/>
            </w:rPr>
            <w:t>(11), 1-19. doi:https://doi.org/10.3390/land11112069</w:t>
          </w:r>
        </w:p>
        <w:p w14:paraId="5254958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Rasche, A., Morsing , M., &amp; Moon, J. (2017). The changing role of business in global society: CSR and beyond. </w:t>
          </w:r>
          <w:r w:rsidRPr="009C6DC2">
            <w:rPr>
              <w:rFonts w:asciiTheme="majorBidi" w:hAnsiTheme="majorBidi" w:cstheme="majorBidi"/>
              <w:i/>
              <w:iCs/>
              <w:noProof/>
              <w:sz w:val="24"/>
              <w:szCs w:val="24"/>
              <w:lang w:val="en-US"/>
            </w:rPr>
            <w:t>Corporate Social Responsibility: Strategy, Communication, Governance,</w:t>
          </w:r>
          <w:r w:rsidRPr="009C6DC2">
            <w:rPr>
              <w:rFonts w:asciiTheme="majorBidi" w:hAnsiTheme="majorBidi" w:cstheme="majorBidi"/>
              <w:noProof/>
              <w:sz w:val="24"/>
              <w:szCs w:val="24"/>
              <w:lang w:val="en-US"/>
            </w:rPr>
            <w:t>, 1-28. Retrieved 02 24, 2023, from https://assets.cambridge.org/97811071/14876/excerpt/9781107114876_excerpt.pdf</w:t>
          </w:r>
        </w:p>
        <w:p w14:paraId="11F920C1" w14:textId="3B997B1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Rather, R. A., &amp; Camilleri, M. A. (2019). The effects of service quality and consumer-brand value congruity on hospitality brand loyalty. </w:t>
          </w:r>
          <w:r w:rsidRPr="009C6DC2">
            <w:rPr>
              <w:rFonts w:asciiTheme="majorBidi" w:hAnsiTheme="majorBidi" w:cstheme="majorBidi"/>
              <w:i/>
              <w:iCs/>
              <w:noProof/>
              <w:sz w:val="24"/>
              <w:szCs w:val="24"/>
              <w:lang w:val="en-US"/>
            </w:rPr>
            <w:t>Anatolia, 30</w:t>
          </w:r>
          <w:r w:rsidRPr="009C6DC2">
            <w:rPr>
              <w:rFonts w:asciiTheme="majorBidi" w:hAnsiTheme="majorBidi" w:cstheme="majorBidi"/>
              <w:noProof/>
              <w:sz w:val="24"/>
              <w:szCs w:val="24"/>
              <w:lang w:val="en-US"/>
            </w:rPr>
            <w:t>(4), 547-559. doi:https://doi.org/10.1080/13032917.2019.1650289</w:t>
          </w:r>
        </w:p>
        <w:p w14:paraId="1D6A553F" w14:textId="435A807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Rather, R. A., &amp; Hollebeek, L. D. (2019). Exploring and validating social identification and social exchange-based drivers of hospitality customer loyalty. </w:t>
          </w:r>
          <w:r w:rsidRPr="009C6DC2">
            <w:rPr>
              <w:rFonts w:asciiTheme="majorBidi" w:hAnsiTheme="majorBidi" w:cstheme="majorBidi"/>
              <w:i/>
              <w:iCs/>
              <w:noProof/>
              <w:sz w:val="24"/>
              <w:szCs w:val="24"/>
              <w:lang w:val="en-US"/>
            </w:rPr>
            <w:t>International Journal of Contemporary Hospitality Management, 31</w:t>
          </w:r>
          <w:r w:rsidRPr="009C6DC2">
            <w:rPr>
              <w:rFonts w:asciiTheme="majorBidi" w:hAnsiTheme="majorBidi" w:cstheme="majorBidi"/>
              <w:noProof/>
              <w:sz w:val="24"/>
              <w:szCs w:val="24"/>
              <w:lang w:val="en-US"/>
            </w:rPr>
            <w:t>(49), 1432-1451. doi:10.1108/IJCHM-10-2017-0627</w:t>
          </w:r>
        </w:p>
        <w:p w14:paraId="1355102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Rather, R. A., Hollebeek, L. D., Vo-Thanh, T., Ramkissoon, H., Leppiman, A., &amp; Smith, D. (2022). Shaping customer brand loyalty during the pandemic: The role of brand credibility, value congruence, experience, identification, and engagement. </w:t>
          </w:r>
          <w:r w:rsidRPr="009C6DC2">
            <w:rPr>
              <w:rFonts w:asciiTheme="majorBidi" w:hAnsiTheme="majorBidi" w:cstheme="majorBidi"/>
              <w:i/>
              <w:iCs/>
              <w:noProof/>
              <w:sz w:val="24"/>
              <w:szCs w:val="24"/>
              <w:lang w:val="en-US"/>
            </w:rPr>
            <w:t>Journal of Consumer Behaviour, 21</w:t>
          </w:r>
          <w:r w:rsidRPr="009C6DC2">
            <w:rPr>
              <w:rFonts w:asciiTheme="majorBidi" w:hAnsiTheme="majorBidi" w:cstheme="majorBidi"/>
              <w:noProof/>
              <w:sz w:val="24"/>
              <w:szCs w:val="24"/>
              <w:lang w:val="en-US"/>
            </w:rPr>
            <w:t>(5), 1175-1189. doi:https://doi.org/10.1002/cb.2070</w:t>
          </w:r>
        </w:p>
        <w:p w14:paraId="41597FD6" w14:textId="1F15E19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Rausch, T. M., &amp; Kopplin, C. S. (2021). Bridge the gap: Consumers’ purchase intention and behavior regarding sustainable clothing. </w:t>
          </w:r>
          <w:r w:rsidRPr="009C6DC2">
            <w:rPr>
              <w:rFonts w:asciiTheme="majorBidi" w:hAnsiTheme="majorBidi" w:cstheme="majorBidi"/>
              <w:i/>
              <w:iCs/>
              <w:noProof/>
              <w:sz w:val="24"/>
              <w:szCs w:val="24"/>
              <w:lang w:val="en-US"/>
            </w:rPr>
            <w:t>Journal of Cleaner Production, 278</w:t>
          </w:r>
          <w:r w:rsidRPr="009C6DC2">
            <w:rPr>
              <w:rFonts w:asciiTheme="majorBidi" w:hAnsiTheme="majorBidi" w:cstheme="majorBidi"/>
              <w:noProof/>
              <w:sz w:val="24"/>
              <w:szCs w:val="24"/>
              <w:lang w:val="en-US"/>
            </w:rPr>
            <w:t>. Retrieved 04 30, 2023, from https://doi.org/10.1016/j.jclepro.2020.123882</w:t>
          </w:r>
        </w:p>
        <w:p w14:paraId="2189FC27" w14:textId="36942CA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Ravichandran, M., &amp; Chandilyan , S. G. (2016). </w:t>
          </w:r>
          <w:r w:rsidRPr="009C6DC2">
            <w:rPr>
              <w:rFonts w:asciiTheme="majorBidi" w:hAnsiTheme="majorBidi" w:cstheme="majorBidi"/>
              <w:noProof/>
              <w:sz w:val="24"/>
              <w:szCs w:val="24"/>
              <w:lang w:val="en-US"/>
            </w:rPr>
            <w:t xml:space="preserve">The Impact of Corporate Social (CSR) on Consumer Satisfaction with Reference to FMCG product. </w:t>
          </w:r>
          <w:r w:rsidRPr="009C6DC2">
            <w:rPr>
              <w:rFonts w:asciiTheme="majorBidi" w:hAnsiTheme="majorBidi" w:cstheme="majorBidi"/>
              <w:i/>
              <w:iCs/>
              <w:noProof/>
              <w:sz w:val="24"/>
              <w:szCs w:val="24"/>
              <w:lang w:val="en-US"/>
            </w:rPr>
            <w:t>International Journal for Innovative Research in Science &amp; Technology, 2</w:t>
          </w:r>
          <w:r w:rsidRPr="009C6DC2">
            <w:rPr>
              <w:rFonts w:asciiTheme="majorBidi" w:hAnsiTheme="majorBidi" w:cstheme="majorBidi"/>
              <w:noProof/>
              <w:sz w:val="24"/>
              <w:szCs w:val="24"/>
              <w:lang w:val="en-US"/>
            </w:rPr>
            <w:t>(11). Retrieved 12 26, 2021</w:t>
          </w:r>
        </w:p>
        <w:p w14:paraId="459B1B9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Rawwas, M. Y., Arjoon, S., &amp; Sidani, Y. (2013). An Introduction of Epistemology to Business Ethics: A Study of Marketing Middle-Managers. </w:t>
          </w:r>
          <w:r w:rsidRPr="009C6DC2">
            <w:rPr>
              <w:rFonts w:asciiTheme="majorBidi" w:hAnsiTheme="majorBidi" w:cstheme="majorBidi"/>
              <w:i/>
              <w:iCs/>
              <w:noProof/>
              <w:sz w:val="24"/>
              <w:szCs w:val="24"/>
              <w:lang w:val="en-US"/>
            </w:rPr>
            <w:t>Journal of Business Ethics, 117</w:t>
          </w:r>
          <w:r w:rsidRPr="009C6DC2">
            <w:rPr>
              <w:rFonts w:asciiTheme="majorBidi" w:hAnsiTheme="majorBidi" w:cstheme="majorBidi"/>
              <w:noProof/>
              <w:sz w:val="24"/>
              <w:szCs w:val="24"/>
              <w:lang w:val="en-US"/>
            </w:rPr>
            <w:t>(3), 525-539. doi:10.1007/s10551-012-1537-6.</w:t>
          </w:r>
        </w:p>
        <w:p w14:paraId="6A7F3FC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Raymond, M., Wu, S., &amp; Serenko, A. (2020). </w:t>
          </w:r>
          <w:r w:rsidRPr="009C6DC2">
            <w:rPr>
              <w:rFonts w:asciiTheme="majorBidi" w:hAnsiTheme="majorBidi" w:cstheme="majorBidi"/>
              <w:i/>
              <w:iCs/>
              <w:noProof/>
              <w:sz w:val="24"/>
              <w:szCs w:val="24"/>
              <w:lang w:val="en-US"/>
            </w:rPr>
            <w:t>Information Technology Issues in Egypt.</w:t>
          </w:r>
          <w:r w:rsidRPr="009C6DC2">
            <w:rPr>
              <w:rFonts w:asciiTheme="majorBidi" w:hAnsiTheme="majorBidi" w:cstheme="majorBidi"/>
              <w:noProof/>
              <w:sz w:val="24"/>
              <w:szCs w:val="24"/>
              <w:lang w:val="en-US"/>
            </w:rPr>
            <w:t xml:space="preserve"> The World IT Project: Global Issues in Information Technology, World Scientific Publishing Co Pte Ltd. doi:ff10.1142/9789811208645_0007ff.</w:t>
          </w:r>
        </w:p>
        <w:p w14:paraId="2EBDDAA2" w14:textId="63B0E3A1" w:rsidR="006E2490"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Razak, N., Themba, O. S., &amp; Sjahruddin, H. (2019). Brand awareness as predictors of repurchase intention: Brand. </w:t>
          </w:r>
          <w:r w:rsidRPr="009C6DC2">
            <w:rPr>
              <w:rFonts w:asciiTheme="majorBidi" w:hAnsiTheme="majorBidi" w:cstheme="majorBidi"/>
              <w:i/>
              <w:iCs/>
              <w:noProof/>
              <w:sz w:val="24"/>
              <w:szCs w:val="24"/>
              <w:lang w:val="en-US"/>
            </w:rPr>
            <w:t>Advances in Social Sciences Research Journal, 6</w:t>
          </w:r>
          <w:r w:rsidRPr="009C6DC2">
            <w:rPr>
              <w:rFonts w:asciiTheme="majorBidi" w:hAnsiTheme="majorBidi" w:cstheme="majorBidi"/>
              <w:noProof/>
              <w:sz w:val="24"/>
              <w:szCs w:val="24"/>
              <w:lang w:val="en-US"/>
            </w:rPr>
            <w:t>(2), 541-554. doi:10.14738/assrj.62.6264.</w:t>
          </w:r>
        </w:p>
        <w:p w14:paraId="44793492" w14:textId="098A414C" w:rsidR="006E2490" w:rsidRPr="00710E43" w:rsidRDefault="006E2490" w:rsidP="006E2490">
          <w:pPr>
            <w:spacing w:before="100" w:beforeAutospacing="1" w:after="100" w:afterAutospacing="1" w:line="240" w:lineRule="auto"/>
            <w:ind w:left="567" w:hanging="567"/>
            <w:rPr>
              <w:rFonts w:ascii="Times New Roman" w:eastAsia="Times New Roman" w:hAnsi="Times New Roman" w:cs="Times New Roman"/>
              <w:kern w:val="0"/>
              <w:sz w:val="24"/>
              <w:szCs w:val="24"/>
              <w:lang w:eastAsia="en-GB"/>
              <w14:ligatures w14:val="none"/>
            </w:rPr>
          </w:pPr>
          <w:r w:rsidRPr="00710E43">
            <w:rPr>
              <w:rFonts w:ascii="Times New Roman" w:eastAsia="Times New Roman" w:hAnsi="Times New Roman" w:cs="Times New Roman"/>
              <w:kern w:val="0"/>
              <w:sz w:val="24"/>
              <w:szCs w:val="24"/>
              <w:lang w:eastAsia="en-GB"/>
              <w14:ligatures w14:val="none"/>
            </w:rPr>
            <w:t xml:space="preserve">Rehman, Z. (2023). </w:t>
          </w:r>
          <w:r w:rsidRPr="00710E43">
            <w:rPr>
              <w:rFonts w:ascii="Times New Roman" w:eastAsia="Times New Roman" w:hAnsi="Times New Roman" w:cs="Times New Roman"/>
              <w:i/>
              <w:iCs/>
              <w:kern w:val="0"/>
              <w:sz w:val="24"/>
              <w:szCs w:val="24"/>
              <w:lang w:eastAsia="en-GB"/>
              <w14:ligatures w14:val="none"/>
            </w:rPr>
            <w:t>25 most homogeneous countries in the world</w:t>
          </w:r>
          <w:r w:rsidRPr="00710E43">
            <w:rPr>
              <w:rFonts w:ascii="Times New Roman" w:eastAsia="Times New Roman" w:hAnsi="Times New Roman" w:cs="Times New Roman"/>
              <w:kern w:val="0"/>
              <w:sz w:val="24"/>
              <w:szCs w:val="24"/>
              <w:lang w:eastAsia="en-GB"/>
              <w14:ligatures w14:val="none"/>
            </w:rPr>
            <w:t xml:space="preserve">. Yahoo! Finance. https://finance.yahoo.com/news/25-most-homogeneous-countries-world-231532887.html?guccounter=1&amp;guce_referrer=aHR0cHM6Ly93d3cuZ29vZ2xlLmNvbS8&amp;guce_referrer_sig=AQAAALY46TEOOd--p2rO0PiTjILfuM-0F4fN_yJH0jhFsSriV6Zb-kGglNLERHv-5kUzJrJrqI-uywU_xDiTTGtQSx7NdQ6xXte1RGr-2DL2yzm0ft9-8zBrM7cMNFSSz0yCBYvKPFl55JPgDtO6CEiIfe4FfKVoYu4PLs4SaZ-xM3Es </w:t>
          </w:r>
        </w:p>
        <w:p w14:paraId="78E295F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Reed, M. I. (1997). In praise of duality and dualism: Rethinking agency and structure in organizational analysis. </w:t>
          </w:r>
          <w:r w:rsidRPr="009C6DC2">
            <w:rPr>
              <w:rFonts w:asciiTheme="majorBidi" w:hAnsiTheme="majorBidi" w:cstheme="majorBidi"/>
              <w:i/>
              <w:iCs/>
              <w:noProof/>
              <w:sz w:val="24"/>
              <w:szCs w:val="24"/>
              <w:lang w:val="en-US"/>
            </w:rPr>
            <w:t>Organization Studies</w:t>
          </w:r>
          <w:r w:rsidRPr="009C6DC2">
            <w:rPr>
              <w:rFonts w:asciiTheme="majorBidi" w:hAnsiTheme="majorBidi" w:cstheme="majorBidi"/>
              <w:noProof/>
              <w:sz w:val="24"/>
              <w:szCs w:val="24"/>
              <w:lang w:val="en-US"/>
            </w:rPr>
            <w:t>, 21-42.</w:t>
          </w:r>
        </w:p>
        <w:p w14:paraId="279FDEC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Reeves, R. (2017). </w:t>
          </w:r>
          <w:r w:rsidRPr="009C6DC2">
            <w:rPr>
              <w:rFonts w:asciiTheme="majorBidi" w:hAnsiTheme="majorBidi" w:cstheme="majorBidi"/>
              <w:i/>
              <w:iCs/>
              <w:noProof/>
              <w:sz w:val="24"/>
              <w:szCs w:val="24"/>
              <w:lang w:val="en-US"/>
            </w:rPr>
            <w:t>Reality in Advertising.</w:t>
          </w:r>
          <w:r w:rsidRPr="009C6DC2">
            <w:rPr>
              <w:rFonts w:asciiTheme="majorBidi" w:hAnsiTheme="majorBidi" w:cstheme="majorBidi"/>
              <w:noProof/>
              <w:sz w:val="24"/>
              <w:szCs w:val="24"/>
              <w:lang w:val="en-US"/>
            </w:rPr>
            <w:t xml:space="preserve"> Knopf.</w:t>
          </w:r>
        </w:p>
        <w:p w14:paraId="3B332F9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Revicki, D. (2014). Internal Consistency Reliability. </w:t>
          </w:r>
          <w:r w:rsidRPr="009C6DC2">
            <w:rPr>
              <w:rFonts w:asciiTheme="majorBidi" w:hAnsiTheme="majorBidi" w:cstheme="majorBidi"/>
              <w:i/>
              <w:iCs/>
              <w:noProof/>
              <w:sz w:val="24"/>
              <w:szCs w:val="24"/>
              <w:lang w:val="en-US"/>
            </w:rPr>
            <w:t>Encyclopedia of Quality of Life and Well-Being Research</w:t>
          </w:r>
          <w:r w:rsidRPr="009C6DC2">
            <w:rPr>
              <w:rFonts w:asciiTheme="majorBidi" w:hAnsiTheme="majorBidi" w:cstheme="majorBidi"/>
              <w:noProof/>
              <w:sz w:val="24"/>
              <w:szCs w:val="24"/>
              <w:lang w:val="en-US"/>
            </w:rPr>
            <w:t>, 3305-3306. doi:https://doi.org/10.1007/978-94-007-0753-5_1494</w:t>
          </w:r>
        </w:p>
        <w:p w14:paraId="35B6B5B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Riccucci, N. M. (2010). </w:t>
          </w:r>
          <w:r w:rsidRPr="009C6DC2">
            <w:rPr>
              <w:rFonts w:asciiTheme="majorBidi" w:hAnsiTheme="majorBidi" w:cstheme="majorBidi"/>
              <w:i/>
              <w:iCs/>
              <w:noProof/>
              <w:sz w:val="24"/>
              <w:szCs w:val="24"/>
              <w:lang w:val="en-US"/>
            </w:rPr>
            <w:t>Public administration: Traditions of inquiry and philosophies of knowledge.</w:t>
          </w:r>
          <w:r w:rsidRPr="009C6DC2">
            <w:rPr>
              <w:rFonts w:asciiTheme="majorBidi" w:hAnsiTheme="majorBidi" w:cstheme="majorBidi"/>
              <w:noProof/>
              <w:sz w:val="24"/>
              <w:szCs w:val="24"/>
              <w:lang w:val="en-US"/>
            </w:rPr>
            <w:t xml:space="preserve"> Georgetown University Press.</w:t>
          </w:r>
        </w:p>
        <w:p w14:paraId="3D66D85F" w14:textId="77777777"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Riha, C., Güntensperger, D., Oschwald, J., Kleinjung, T., &amp; Meyer, M. (2021). </w:t>
          </w:r>
          <w:r w:rsidRPr="009C6DC2">
            <w:rPr>
              <w:rFonts w:asciiTheme="majorBidi" w:hAnsiTheme="majorBidi" w:cstheme="majorBidi"/>
              <w:noProof/>
              <w:sz w:val="24"/>
              <w:szCs w:val="24"/>
              <w:lang w:val="en-US"/>
            </w:rPr>
            <w:t xml:space="preserve">Chapter 6 - Application of Latent Growth Curve modeling to predict individual trajectories during neurofeedback treatment for tinnitus. </w:t>
          </w:r>
          <w:r w:rsidRPr="009C6DC2">
            <w:rPr>
              <w:rFonts w:asciiTheme="majorBidi" w:hAnsiTheme="majorBidi" w:cstheme="majorBidi"/>
              <w:i/>
              <w:iCs/>
              <w:noProof/>
              <w:sz w:val="24"/>
              <w:szCs w:val="24"/>
              <w:lang w:val="en-US"/>
            </w:rPr>
            <w:t>Progress in Brain Research, 263</w:t>
          </w:r>
          <w:r w:rsidRPr="009C6DC2">
            <w:rPr>
              <w:rFonts w:asciiTheme="majorBidi" w:hAnsiTheme="majorBidi" w:cstheme="majorBidi"/>
              <w:noProof/>
              <w:sz w:val="24"/>
              <w:szCs w:val="24"/>
              <w:lang w:val="en-US"/>
            </w:rPr>
            <w:t>, 109-136. doi:https://doi.org/10.1016/bs.pbr.2021.04.013</w:t>
          </w:r>
        </w:p>
        <w:p w14:paraId="2D877DA5" w14:textId="048B8D6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Rijnsoever, F. J. (2017). (I Can’t Get No) Saturation: A simulation and guidelines for sample sizes in qualitative research. </w:t>
          </w:r>
          <w:r w:rsidRPr="009C6DC2">
            <w:rPr>
              <w:rFonts w:asciiTheme="majorBidi" w:hAnsiTheme="majorBidi" w:cstheme="majorBidi"/>
              <w:i/>
              <w:iCs/>
              <w:noProof/>
              <w:sz w:val="24"/>
              <w:szCs w:val="24"/>
              <w:lang w:val="en-US"/>
            </w:rPr>
            <w:t>Plos One</w:t>
          </w:r>
          <w:r w:rsidRPr="009C6DC2">
            <w:rPr>
              <w:rFonts w:asciiTheme="majorBidi" w:hAnsiTheme="majorBidi" w:cstheme="majorBidi"/>
              <w:noProof/>
              <w:sz w:val="24"/>
              <w:szCs w:val="24"/>
              <w:lang w:val="en-US"/>
            </w:rPr>
            <w:t>. doi:https://doi.org/10.1371/journal.pone.0181689</w:t>
          </w:r>
        </w:p>
        <w:p w14:paraId="41EBE135" w14:textId="06B40C3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Rim, H., Park, Y. E., &amp; Song, D. (2018). Watch out when expectancy is violated: An experiment of inconsistent CSR message cueing. </w:t>
          </w:r>
          <w:r w:rsidRPr="009C6DC2">
            <w:rPr>
              <w:rFonts w:asciiTheme="majorBidi" w:hAnsiTheme="majorBidi" w:cstheme="majorBidi"/>
              <w:i/>
              <w:iCs/>
              <w:noProof/>
              <w:sz w:val="24"/>
              <w:szCs w:val="24"/>
              <w:lang w:val="en-US"/>
            </w:rPr>
            <w:t>Journal of Marketing Communications, 26</w:t>
          </w:r>
          <w:r w:rsidRPr="009C6DC2">
            <w:rPr>
              <w:rFonts w:asciiTheme="majorBidi" w:hAnsiTheme="majorBidi" w:cstheme="majorBidi"/>
              <w:noProof/>
              <w:sz w:val="24"/>
              <w:szCs w:val="24"/>
              <w:lang w:val="en-US"/>
            </w:rPr>
            <w:t>(4), 343 -361. doi:ttps://doi.org/10.1080/13527266.2018.1523216</w:t>
          </w:r>
        </w:p>
        <w:p w14:paraId="112B85EC" w14:textId="5764081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Rim, H., &amp; Dong, C. (2018). Trust and distrust in society and public perception of CSR: a cross-cultural study. </w:t>
          </w:r>
          <w:r w:rsidRPr="009C6DC2">
            <w:rPr>
              <w:rFonts w:asciiTheme="majorBidi" w:hAnsiTheme="majorBidi" w:cstheme="majorBidi"/>
              <w:i/>
              <w:iCs/>
              <w:noProof/>
              <w:sz w:val="24"/>
              <w:szCs w:val="24"/>
              <w:lang w:val="en-US"/>
            </w:rPr>
            <w:t>Social Responsibility Journal, 14</w:t>
          </w:r>
          <w:r w:rsidRPr="009C6DC2">
            <w:rPr>
              <w:rFonts w:asciiTheme="majorBidi" w:hAnsiTheme="majorBidi" w:cstheme="majorBidi"/>
              <w:noProof/>
              <w:sz w:val="24"/>
              <w:szCs w:val="24"/>
              <w:lang w:val="en-US"/>
            </w:rPr>
            <w:t>(1), 1-19. Retrieved 12 07, 2022, from https://doi.org/10.1108/SRJ-01-2017-0016</w:t>
          </w:r>
        </w:p>
        <w:p w14:paraId="4DBD7624" w14:textId="3BA76F5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Risitano, M., Romano, R., Rusciano, V., Civero, G., &amp; Scarpato, D. (2021). The impact of sustainability on marketing strategy and business performance: The case of Italian fisheries. </w:t>
          </w:r>
          <w:r w:rsidRPr="009C6DC2">
            <w:rPr>
              <w:rFonts w:asciiTheme="majorBidi" w:hAnsiTheme="majorBidi" w:cstheme="majorBidi"/>
              <w:i/>
              <w:iCs/>
              <w:noProof/>
              <w:sz w:val="24"/>
              <w:szCs w:val="24"/>
              <w:lang w:val="en-US"/>
            </w:rPr>
            <w:t>Business Strategy and the Environment, 31</w:t>
          </w:r>
          <w:r w:rsidRPr="009C6DC2">
            <w:rPr>
              <w:rFonts w:asciiTheme="majorBidi" w:hAnsiTheme="majorBidi" w:cstheme="majorBidi"/>
              <w:noProof/>
              <w:sz w:val="24"/>
              <w:szCs w:val="24"/>
              <w:lang w:val="en-US"/>
            </w:rPr>
            <w:t>(4), 1538-1551. doi:https://doi.org/10.1002/bse.2968</w:t>
          </w:r>
        </w:p>
        <w:p w14:paraId="786A20E3" w14:textId="0E1F86D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Rismanbaf, A. (2020). Potential Treatments for COVID-19; a Narrative Literature Review. </w:t>
          </w:r>
          <w:r w:rsidRPr="009C6DC2">
            <w:rPr>
              <w:rFonts w:asciiTheme="majorBidi" w:hAnsiTheme="majorBidi" w:cstheme="majorBidi"/>
              <w:i/>
              <w:iCs/>
              <w:noProof/>
              <w:sz w:val="24"/>
              <w:szCs w:val="24"/>
              <w:lang w:val="en-US"/>
            </w:rPr>
            <w:t>Archives of Academic Emergency Medicine, 8</w:t>
          </w:r>
          <w:r w:rsidRPr="009C6DC2">
            <w:rPr>
              <w:rFonts w:asciiTheme="majorBidi" w:hAnsiTheme="majorBidi" w:cstheme="majorBidi"/>
              <w:noProof/>
              <w:sz w:val="24"/>
              <w:szCs w:val="24"/>
              <w:lang w:val="en-US"/>
            </w:rPr>
            <w:t>(1). Retrieved 09 02, 2023, from https://www.ncbi.nlm.nih.gov/pmc/articles/PMC7085862/</w:t>
          </w:r>
        </w:p>
        <w:p w14:paraId="1A7C8E31" w14:textId="4AB3A47D" w:rsidR="006E2490" w:rsidRPr="009C6DC2" w:rsidRDefault="006E2490" w:rsidP="006E2490">
          <w:pPr>
            <w:ind w:left="720" w:hanging="720"/>
            <w:rPr>
              <w:rFonts w:asciiTheme="majorBidi" w:hAnsiTheme="majorBidi" w:cstheme="majorBidi"/>
              <w:noProof/>
              <w:sz w:val="24"/>
              <w:szCs w:val="24"/>
              <w:lang w:val="sv-SE"/>
            </w:rPr>
          </w:pPr>
          <w:r w:rsidRPr="009C6DC2">
            <w:rPr>
              <w:rFonts w:asciiTheme="majorBidi" w:hAnsiTheme="majorBidi" w:cstheme="majorBidi"/>
              <w:noProof/>
              <w:sz w:val="24"/>
              <w:szCs w:val="24"/>
              <w:lang w:val="en-US"/>
            </w:rPr>
            <w:t xml:space="preserve">Rivera, J. J., Bigne, E., &amp; Curras-Perez, R. (2019). Effects of Corporate Social Responsibility on consumer brand loyalty. </w:t>
          </w:r>
          <w:r w:rsidRPr="009C6DC2">
            <w:rPr>
              <w:rFonts w:asciiTheme="majorBidi" w:hAnsiTheme="majorBidi" w:cstheme="majorBidi"/>
              <w:i/>
              <w:iCs/>
              <w:noProof/>
              <w:sz w:val="24"/>
              <w:szCs w:val="24"/>
              <w:lang w:val="sv-SE"/>
            </w:rPr>
            <w:t>Revista Brasileira de Gestão de Negócios, 21</w:t>
          </w:r>
          <w:r w:rsidRPr="009C6DC2">
            <w:rPr>
              <w:rFonts w:asciiTheme="majorBidi" w:hAnsiTheme="majorBidi" w:cstheme="majorBidi"/>
              <w:noProof/>
              <w:sz w:val="24"/>
              <w:szCs w:val="24"/>
              <w:lang w:val="sv-SE"/>
            </w:rPr>
            <w:t xml:space="preserve">(3). doi:https://doi.org/10.7819/rbgn.v21i3.4003 </w:t>
          </w:r>
        </w:p>
        <w:p w14:paraId="3767ACAB" w14:textId="1AB04F5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Rizvi, W. H., Memon, S., &amp; Dahri, A. S. (2020). Brand Experience Clustering and Depiction of Brand Satisfaction, Brand Loyalty and Emotional Confidence. </w:t>
          </w:r>
          <w:r w:rsidRPr="009C6DC2">
            <w:rPr>
              <w:rFonts w:asciiTheme="majorBidi" w:hAnsiTheme="majorBidi" w:cstheme="majorBidi"/>
              <w:i/>
              <w:iCs/>
              <w:noProof/>
              <w:sz w:val="24"/>
              <w:szCs w:val="24"/>
              <w:lang w:val="en-US"/>
            </w:rPr>
            <w:t>Foundations of Management, 12</w:t>
          </w:r>
          <w:r w:rsidRPr="009C6DC2">
            <w:rPr>
              <w:rFonts w:asciiTheme="majorBidi" w:hAnsiTheme="majorBidi" w:cstheme="majorBidi"/>
              <w:noProof/>
              <w:sz w:val="24"/>
              <w:szCs w:val="24"/>
              <w:lang w:val="en-US"/>
            </w:rPr>
            <w:t>(1), 111 - 124. doi:https://doi.org/10.2478/fman-2020-0009</w:t>
          </w:r>
        </w:p>
        <w:p w14:paraId="1F57DEC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Robinson, R. S. (2014). Purposive Sampling. In A. C. Michalos, </w:t>
          </w:r>
          <w:r w:rsidRPr="009C6DC2">
            <w:rPr>
              <w:rFonts w:asciiTheme="majorBidi" w:hAnsiTheme="majorBidi" w:cstheme="majorBidi"/>
              <w:i/>
              <w:iCs/>
              <w:noProof/>
              <w:sz w:val="24"/>
              <w:szCs w:val="24"/>
              <w:lang w:val="en-US"/>
            </w:rPr>
            <w:t>Encyclopedia of Quality of Life and Well-Being Research</w:t>
          </w:r>
          <w:r w:rsidRPr="009C6DC2">
            <w:rPr>
              <w:rFonts w:asciiTheme="majorBidi" w:hAnsiTheme="majorBidi" w:cstheme="majorBidi"/>
              <w:noProof/>
              <w:sz w:val="24"/>
              <w:szCs w:val="24"/>
              <w:lang w:val="en-US"/>
            </w:rPr>
            <w:t xml:space="preserve"> (pp. 5243–5245). Springer. doi:https://doi.org/10.1007/978-94-007-0753-5_2337</w:t>
          </w:r>
        </w:p>
        <w:p w14:paraId="090B7801" w14:textId="1CF85CD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Rodríguez Chatruc, M., Stein, E., &amp; Vlaicu, R. (2021). How issue framing shapes trade attitudes: Evidence from a multi-country survey experiment. </w:t>
          </w:r>
          <w:r w:rsidRPr="009C6DC2">
            <w:rPr>
              <w:rFonts w:asciiTheme="majorBidi" w:hAnsiTheme="majorBidi" w:cstheme="majorBidi"/>
              <w:i/>
              <w:iCs/>
              <w:noProof/>
              <w:sz w:val="24"/>
              <w:szCs w:val="24"/>
              <w:lang w:val="en-US"/>
            </w:rPr>
            <w:t>Journal of International Economics</w:t>
          </w:r>
          <w:r w:rsidRPr="009C6DC2">
            <w:rPr>
              <w:rFonts w:asciiTheme="majorBidi" w:hAnsiTheme="majorBidi" w:cstheme="majorBidi"/>
              <w:noProof/>
              <w:sz w:val="24"/>
              <w:szCs w:val="24"/>
              <w:lang w:val="en-US"/>
            </w:rPr>
            <w:t>. doi:10.1016/j.jinteco.2021.103428</w:t>
          </w:r>
        </w:p>
        <w:p w14:paraId="180778CF" w14:textId="34A0FFF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Rodríguez-Ardura, I., &amp; Meseguer-Artola, A. (2020). Editorial: How to Prevent, Detect and Control Common Method Variance in Electronic Commerce Research. </w:t>
          </w:r>
          <w:r w:rsidRPr="009C6DC2">
            <w:rPr>
              <w:rFonts w:asciiTheme="majorBidi" w:hAnsiTheme="majorBidi" w:cstheme="majorBidi"/>
              <w:i/>
              <w:iCs/>
              <w:noProof/>
              <w:sz w:val="24"/>
              <w:szCs w:val="24"/>
              <w:lang w:val="en-US"/>
            </w:rPr>
            <w:t>Journal of theoretical and applied electronic commerce research, 15</w:t>
          </w:r>
          <w:r w:rsidRPr="009C6DC2">
            <w:rPr>
              <w:rFonts w:asciiTheme="majorBidi" w:hAnsiTheme="majorBidi" w:cstheme="majorBidi"/>
              <w:noProof/>
              <w:sz w:val="24"/>
              <w:szCs w:val="24"/>
              <w:lang w:val="en-US"/>
            </w:rPr>
            <w:t>(2). doi:http://dx.doi.org/10.4067/S0718-18762020000200101</w:t>
          </w:r>
        </w:p>
        <w:p w14:paraId="71B26ABF" w14:textId="7AA6448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Rose, J., &amp; Johnson, C. W. (2020). Contextualizing reliability and validity in qualitative research: toward more rigorous and trustworthy qualitative social science in leisure research. </w:t>
          </w:r>
          <w:r w:rsidRPr="009C6DC2">
            <w:rPr>
              <w:rFonts w:asciiTheme="majorBidi" w:hAnsiTheme="majorBidi" w:cstheme="majorBidi"/>
              <w:i/>
              <w:iCs/>
              <w:noProof/>
              <w:sz w:val="24"/>
              <w:szCs w:val="24"/>
              <w:lang w:val="en-US"/>
            </w:rPr>
            <w:t>Journal of Leisure Research, 51</w:t>
          </w:r>
          <w:r w:rsidRPr="009C6DC2">
            <w:rPr>
              <w:rFonts w:asciiTheme="majorBidi" w:hAnsiTheme="majorBidi" w:cstheme="majorBidi"/>
              <w:noProof/>
              <w:sz w:val="24"/>
              <w:szCs w:val="24"/>
              <w:lang w:val="en-US"/>
            </w:rPr>
            <w:t>(4), 432-451. doi:https://doi.org/10.1080/00222216.2020.1722042</w:t>
          </w:r>
        </w:p>
        <w:p w14:paraId="64B62183" w14:textId="77777777"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Rosenberg, M. J., &amp; Hovland, C. I. (1960). </w:t>
          </w:r>
          <w:r w:rsidRPr="009C6DC2">
            <w:rPr>
              <w:rFonts w:asciiTheme="majorBidi" w:hAnsiTheme="majorBidi" w:cstheme="majorBidi"/>
              <w:noProof/>
              <w:sz w:val="24"/>
              <w:szCs w:val="24"/>
              <w:lang w:val="en-US"/>
            </w:rPr>
            <w:t xml:space="preserve">Cognitive, affective, and behavioral components of attitude. In </w:t>
          </w:r>
          <w:r w:rsidRPr="009C6DC2">
            <w:rPr>
              <w:rFonts w:asciiTheme="majorBidi" w:hAnsiTheme="majorBidi" w:cstheme="majorBidi"/>
              <w:i/>
              <w:iCs/>
              <w:noProof/>
              <w:sz w:val="24"/>
              <w:szCs w:val="24"/>
              <w:lang w:val="en-US"/>
            </w:rPr>
            <w:t>Attitude Organization and Change: An Analysis of Consistency among Attitude Components</w:t>
          </w:r>
          <w:r w:rsidRPr="009C6DC2">
            <w:rPr>
              <w:rFonts w:asciiTheme="majorBidi" w:hAnsiTheme="majorBidi" w:cstheme="majorBidi"/>
              <w:noProof/>
              <w:sz w:val="24"/>
              <w:szCs w:val="24"/>
              <w:lang w:val="en-US"/>
            </w:rPr>
            <w:t xml:space="preserve"> (pp. 1-14). Yale University Press.</w:t>
          </w:r>
        </w:p>
        <w:p w14:paraId="3A308FC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Ross, A., &amp; Willson , V. L. (2017). Independent Samples T-Test. In </w:t>
          </w:r>
          <w:r w:rsidRPr="009C6DC2">
            <w:rPr>
              <w:rFonts w:asciiTheme="majorBidi" w:hAnsiTheme="majorBidi" w:cstheme="majorBidi"/>
              <w:i/>
              <w:iCs/>
              <w:noProof/>
              <w:sz w:val="24"/>
              <w:szCs w:val="24"/>
              <w:lang w:val="en-US"/>
            </w:rPr>
            <w:t>Basic and Advanced Statistical Tests</w:t>
          </w:r>
          <w:r w:rsidRPr="009C6DC2">
            <w:rPr>
              <w:rFonts w:asciiTheme="majorBidi" w:hAnsiTheme="majorBidi" w:cstheme="majorBidi"/>
              <w:noProof/>
              <w:sz w:val="24"/>
              <w:szCs w:val="24"/>
              <w:lang w:val="en-US"/>
            </w:rPr>
            <w:t xml:space="preserve"> (pp. 13-16). Rotterdam: Sense Publishers. doi:https://doi.org/10.1007/978-94-6351-086-8_3</w:t>
          </w:r>
        </w:p>
        <w:p w14:paraId="7409BD4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Rossiter, J. R. (2014). Branding’ explained: Defining and measuring brand awareness and brand attitude. </w:t>
          </w:r>
          <w:r w:rsidRPr="009C6DC2">
            <w:rPr>
              <w:rFonts w:asciiTheme="majorBidi" w:hAnsiTheme="majorBidi" w:cstheme="majorBidi"/>
              <w:i/>
              <w:iCs/>
              <w:noProof/>
              <w:sz w:val="24"/>
              <w:szCs w:val="24"/>
              <w:lang w:val="en-US"/>
            </w:rPr>
            <w:t>Journal of Brand Management volume</w:t>
          </w:r>
          <w:r w:rsidRPr="009C6DC2">
            <w:rPr>
              <w:rFonts w:asciiTheme="majorBidi" w:hAnsiTheme="majorBidi" w:cstheme="majorBidi"/>
              <w:noProof/>
              <w:sz w:val="24"/>
              <w:szCs w:val="24"/>
              <w:lang w:val="en-US"/>
            </w:rPr>
            <w:t>, 533–540. doi:https://doi.org/10.1057/bm.2014.33</w:t>
          </w:r>
        </w:p>
        <w:p w14:paraId="34AF5F21" w14:textId="4B9E853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Rust, R. T., Ambler , T., Carpenter, G. S., &amp; Srivastava, R. K. (2004). </w:t>
          </w:r>
          <w:r w:rsidRPr="009C6DC2">
            <w:rPr>
              <w:rFonts w:asciiTheme="majorBidi" w:hAnsiTheme="majorBidi" w:cstheme="majorBidi"/>
              <w:noProof/>
              <w:sz w:val="24"/>
              <w:szCs w:val="24"/>
              <w:lang w:val="en-US"/>
            </w:rPr>
            <w:t xml:space="preserve">Measuring Marketing Productivity: Current Knowledge and Future Directions. </w:t>
          </w:r>
          <w:r w:rsidRPr="009C6DC2">
            <w:rPr>
              <w:rFonts w:asciiTheme="majorBidi" w:hAnsiTheme="majorBidi" w:cstheme="majorBidi"/>
              <w:i/>
              <w:iCs/>
              <w:noProof/>
              <w:sz w:val="24"/>
              <w:szCs w:val="24"/>
              <w:lang w:val="en-US"/>
            </w:rPr>
            <w:t>Journal of Marketing , 68</w:t>
          </w:r>
          <w:r w:rsidRPr="009C6DC2">
            <w:rPr>
              <w:rFonts w:asciiTheme="majorBidi" w:hAnsiTheme="majorBidi" w:cstheme="majorBidi"/>
              <w:noProof/>
              <w:sz w:val="24"/>
              <w:szCs w:val="24"/>
              <w:lang w:val="en-US"/>
            </w:rPr>
            <w:t>(4), Sage Journals. doi:https://doi.org/10.1509/jmkg.68.4.76.42721</w:t>
          </w:r>
        </w:p>
        <w:p w14:paraId="46E14516" w14:textId="626B598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Rydgren, J., &amp; Tyrberg, M. (2021). Social Marginalization, Ethnic Threat, and Radical Right-wing Support in Sweden: A Multilevel Analysis. </w:t>
          </w:r>
          <w:r w:rsidRPr="009C6DC2">
            <w:rPr>
              <w:rFonts w:asciiTheme="majorBidi" w:hAnsiTheme="majorBidi" w:cstheme="majorBidi"/>
              <w:i/>
              <w:iCs/>
              <w:noProof/>
              <w:sz w:val="24"/>
              <w:szCs w:val="24"/>
              <w:lang w:val="en-US"/>
            </w:rPr>
            <w:t>The Department of Sociology Working Paper Series</w:t>
          </w:r>
          <w:r w:rsidRPr="009C6DC2">
            <w:rPr>
              <w:rFonts w:asciiTheme="majorBidi" w:hAnsiTheme="majorBidi" w:cstheme="majorBidi"/>
              <w:noProof/>
              <w:sz w:val="24"/>
              <w:szCs w:val="24"/>
              <w:lang w:val="en-US"/>
            </w:rPr>
            <w:t>. doi:https://doi.org/10.17045/sthlmuni.14040056.v1</w:t>
          </w:r>
        </w:p>
        <w:p w14:paraId="4B243D80" w14:textId="3C4ADEC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Sadania, C. (2017). Working and Women’s Empowerment in the Egyptian Household: The Type of Work and Location Matter. </w:t>
          </w:r>
          <w:r w:rsidRPr="009C6DC2">
            <w:rPr>
              <w:rFonts w:asciiTheme="majorBidi" w:hAnsiTheme="majorBidi" w:cstheme="majorBidi"/>
              <w:i/>
              <w:iCs/>
              <w:noProof/>
              <w:sz w:val="24"/>
              <w:szCs w:val="24"/>
              <w:lang w:val="en-US"/>
            </w:rPr>
            <w:t>Working Papers</w:t>
          </w:r>
          <w:r w:rsidRPr="009C6DC2">
            <w:rPr>
              <w:rFonts w:asciiTheme="majorBidi" w:hAnsiTheme="majorBidi" w:cstheme="majorBidi"/>
              <w:noProof/>
              <w:sz w:val="24"/>
              <w:szCs w:val="24"/>
              <w:lang w:val="en-US"/>
            </w:rPr>
            <w:t>. Retrieved 02 11, 2023, from RePEc:hal:wpaper:halshs-01525220</w:t>
          </w:r>
        </w:p>
        <w:p w14:paraId="48582F8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Sahin, A., Zehir, C., &amp; Kitapçı, H. (2011). The Effects of Brand Experiences, Trust and Satisfaction on Building Brand Loyalty; An Empirical Research On Global Brands. </w:t>
          </w:r>
          <w:r w:rsidRPr="009C6DC2">
            <w:rPr>
              <w:rFonts w:asciiTheme="majorBidi" w:hAnsiTheme="majorBidi" w:cstheme="majorBidi"/>
              <w:i/>
              <w:iCs/>
              <w:noProof/>
              <w:sz w:val="24"/>
              <w:szCs w:val="24"/>
              <w:lang w:val="en-US"/>
            </w:rPr>
            <w:t>Procedia Social and Behavioral Sciences, 24</w:t>
          </w:r>
          <w:r w:rsidRPr="009C6DC2">
            <w:rPr>
              <w:rFonts w:asciiTheme="majorBidi" w:hAnsiTheme="majorBidi" w:cstheme="majorBidi"/>
              <w:noProof/>
              <w:sz w:val="24"/>
              <w:szCs w:val="24"/>
              <w:lang w:val="en-US"/>
            </w:rPr>
            <w:t>, 1288-1301. Retrieved 07 18, 2022, from https://pdf.sciencedirectassets.com/277811/1-s2.0-S1877042811X00174/1-s2.0-S1877042811016715/main.pdf?X-Amz-Security-Token=IQoJb3JpZ2luX2VjELX%2F%2F%2F%2F%2F%2F%2F%2F%2F%2FwEaCXVzLWVhc3QtMSJGMEQCICFVBKk49bQSULP9ldyIrPLKuSZ1tVUhw%2BlCVCtYJXMqAiBlpRmpsZm7Sc</w:t>
          </w:r>
        </w:p>
        <w:p w14:paraId="7A24AB61" w14:textId="2B18C71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Salam, M. A., Jahed, M. A., &amp; Palmer, T. (2022). CSR orientation and firm performance in the Middle Eastern and African B2B markets: The role of customer satisfaction and customer loyalty. </w:t>
          </w:r>
          <w:r w:rsidRPr="009C6DC2">
            <w:rPr>
              <w:rFonts w:asciiTheme="majorBidi" w:hAnsiTheme="majorBidi" w:cstheme="majorBidi"/>
              <w:i/>
              <w:iCs/>
              <w:noProof/>
              <w:sz w:val="24"/>
              <w:szCs w:val="24"/>
              <w:lang w:val="en-US"/>
            </w:rPr>
            <w:t>Industrial Marketing Management, 107</w:t>
          </w:r>
          <w:r w:rsidRPr="009C6DC2">
            <w:rPr>
              <w:rFonts w:asciiTheme="majorBidi" w:hAnsiTheme="majorBidi" w:cstheme="majorBidi"/>
              <w:noProof/>
              <w:sz w:val="24"/>
              <w:szCs w:val="24"/>
              <w:lang w:val="en-US"/>
            </w:rPr>
            <w:t>, 1-13. doi:10.1016/j.indmarman.2022.09.013</w:t>
          </w:r>
        </w:p>
        <w:p w14:paraId="6BCF97C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Salama, A. (2009). Egypt: Social Responsibility Disclosure Practices. </w:t>
          </w:r>
          <w:r w:rsidRPr="009C6DC2">
            <w:rPr>
              <w:rFonts w:asciiTheme="majorBidi" w:hAnsiTheme="majorBidi" w:cstheme="majorBidi"/>
              <w:i/>
              <w:iCs/>
              <w:noProof/>
              <w:sz w:val="24"/>
              <w:szCs w:val="24"/>
              <w:lang w:val="en-US"/>
            </w:rPr>
            <w:t>Global Practices of Corporate Social Responsibility.</w:t>
          </w:r>
          <w:r w:rsidRPr="009C6DC2">
            <w:rPr>
              <w:rFonts w:asciiTheme="majorBidi" w:hAnsiTheme="majorBidi" w:cstheme="majorBidi"/>
              <w:noProof/>
              <w:sz w:val="24"/>
              <w:szCs w:val="24"/>
              <w:lang w:val="en-US"/>
            </w:rPr>
            <w:t>, 325-342. doi:https://doi.org/10.1007/978-3-540-68815-0_16</w:t>
          </w:r>
        </w:p>
        <w:p w14:paraId="15FFA58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Saldana, J. (2021). </w:t>
          </w:r>
          <w:r w:rsidRPr="009C6DC2">
            <w:rPr>
              <w:rFonts w:asciiTheme="majorBidi" w:hAnsiTheme="majorBidi" w:cstheme="majorBidi"/>
              <w:i/>
              <w:iCs/>
              <w:noProof/>
              <w:sz w:val="24"/>
              <w:szCs w:val="24"/>
              <w:lang w:val="en-US"/>
            </w:rPr>
            <w:t>The Coding Manual for Qualitative Researchers.</w:t>
          </w:r>
          <w:r w:rsidRPr="009C6DC2">
            <w:rPr>
              <w:rFonts w:asciiTheme="majorBidi" w:hAnsiTheme="majorBidi" w:cstheme="majorBidi"/>
              <w:noProof/>
              <w:sz w:val="24"/>
              <w:szCs w:val="24"/>
              <w:lang w:val="en-US"/>
            </w:rPr>
            <w:t xml:space="preserve"> SAGE Publication.</w:t>
          </w:r>
        </w:p>
        <w:p w14:paraId="0B7D46D2" w14:textId="0BAC415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Saleem, A., &amp; Ellahi, A. (2017). Influence of Electronic Word of Mouth on Purchase Intention of Fashion Products on Social Networking Websites. </w:t>
          </w:r>
          <w:r w:rsidRPr="009C6DC2">
            <w:rPr>
              <w:rFonts w:asciiTheme="majorBidi" w:hAnsiTheme="majorBidi" w:cstheme="majorBidi"/>
              <w:i/>
              <w:iCs/>
              <w:noProof/>
              <w:sz w:val="24"/>
              <w:szCs w:val="24"/>
              <w:lang w:val="en-US"/>
            </w:rPr>
            <w:t>Pakistan Journal of Commerce and Social Sciences, 11</w:t>
          </w:r>
          <w:r w:rsidRPr="009C6DC2">
            <w:rPr>
              <w:rFonts w:asciiTheme="majorBidi" w:hAnsiTheme="majorBidi" w:cstheme="majorBidi"/>
              <w:noProof/>
              <w:sz w:val="24"/>
              <w:szCs w:val="24"/>
              <w:lang w:val="en-US"/>
            </w:rPr>
            <w:t>(2), 597-622. Retrieved 02 05, 2023, from https://www.researchgate.net/publication/319236209_Influence_of_Electronic_Word_of_Mouth_on_Purchase_Intention_of_Fashion_Products_on_Social_Networking_Websites</w:t>
          </w:r>
        </w:p>
        <w:p w14:paraId="60128A8D" w14:textId="73D4372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Saleem, S. M. (2019). Modified Kuppuswamy socioeconomic scale updated for the year 2019. </w:t>
          </w:r>
          <w:r w:rsidRPr="009C6DC2">
            <w:rPr>
              <w:rFonts w:asciiTheme="majorBidi" w:hAnsiTheme="majorBidi" w:cstheme="majorBidi"/>
              <w:i/>
              <w:iCs/>
              <w:noProof/>
              <w:sz w:val="24"/>
              <w:szCs w:val="24"/>
              <w:lang w:val="en-US"/>
            </w:rPr>
            <w:t>Indian Journal of Forensic and Community Medicine, 06</w:t>
          </w:r>
          <w:r w:rsidRPr="009C6DC2">
            <w:rPr>
              <w:rFonts w:asciiTheme="majorBidi" w:hAnsiTheme="majorBidi" w:cstheme="majorBidi"/>
              <w:noProof/>
              <w:sz w:val="24"/>
              <w:szCs w:val="24"/>
              <w:lang w:val="en-US"/>
            </w:rPr>
            <w:t>(01). doi:0.18231/2394-6776.2019.0001</w:t>
          </w:r>
        </w:p>
        <w:p w14:paraId="425A402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Saleem, S. M., &amp; Jan, S. S. (2021). Modified Kuppuswamy socioeconomic scale updated for the year 2021. </w:t>
          </w:r>
          <w:r w:rsidRPr="009C6DC2">
            <w:rPr>
              <w:rFonts w:asciiTheme="majorBidi" w:hAnsiTheme="majorBidi" w:cstheme="majorBidi"/>
              <w:i/>
              <w:iCs/>
              <w:noProof/>
              <w:sz w:val="24"/>
              <w:szCs w:val="24"/>
              <w:lang w:val="en-US"/>
            </w:rPr>
            <w:t>Indian Journal of Forensic and Community Medicine, 8</w:t>
          </w:r>
          <w:r w:rsidRPr="009C6DC2">
            <w:rPr>
              <w:rFonts w:asciiTheme="majorBidi" w:hAnsiTheme="majorBidi" w:cstheme="majorBidi"/>
              <w:noProof/>
              <w:sz w:val="24"/>
              <w:szCs w:val="24"/>
              <w:lang w:val="en-US"/>
            </w:rPr>
            <w:t>(1), 1-3. doi:https://doi.org/10.18231/j.ijfcm.2021.001</w:t>
          </w:r>
        </w:p>
        <w:p w14:paraId="1B5B03F6" w14:textId="3D84611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Salmones, M. G.-D., &amp; Perez, A. (2018). Effectiveness of CSR Advertising: The Role of Reputation, Consumer Attributions, and Emotions. </w:t>
          </w:r>
          <w:r w:rsidRPr="009C6DC2">
            <w:rPr>
              <w:rFonts w:asciiTheme="majorBidi" w:hAnsiTheme="majorBidi" w:cstheme="majorBidi"/>
              <w:i/>
              <w:iCs/>
              <w:noProof/>
              <w:sz w:val="24"/>
              <w:szCs w:val="24"/>
              <w:lang w:val="en-US"/>
            </w:rPr>
            <w:t>Corporate Social Responsibility and Environmental Management, 25</w:t>
          </w:r>
          <w:r w:rsidRPr="009C6DC2">
            <w:rPr>
              <w:rFonts w:asciiTheme="majorBidi" w:hAnsiTheme="majorBidi" w:cstheme="majorBidi"/>
              <w:noProof/>
              <w:sz w:val="24"/>
              <w:szCs w:val="24"/>
              <w:lang w:val="en-US"/>
            </w:rPr>
            <w:t>(2), 194-208. doi:https://doi.org/10.1002/csr.1453</w:t>
          </w:r>
        </w:p>
        <w:p w14:paraId="0DB3C345" w14:textId="19C1F66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Samari, G., &amp; Pebley, A. R. (2019). </w:t>
          </w:r>
          <w:r w:rsidRPr="009C6DC2">
            <w:rPr>
              <w:rFonts w:asciiTheme="majorBidi" w:hAnsiTheme="majorBidi" w:cstheme="majorBidi"/>
              <w:noProof/>
              <w:sz w:val="24"/>
              <w:szCs w:val="24"/>
              <w:lang w:val="en-US"/>
            </w:rPr>
            <w:t xml:space="preserve">Longitudinal Determinants of Married Women’s Autonomy in Egypt. </w:t>
          </w:r>
          <w:r w:rsidRPr="009C6DC2">
            <w:rPr>
              <w:rFonts w:asciiTheme="majorBidi" w:hAnsiTheme="majorBidi" w:cstheme="majorBidi"/>
              <w:i/>
              <w:iCs/>
              <w:noProof/>
              <w:sz w:val="24"/>
              <w:szCs w:val="24"/>
              <w:lang w:val="en-US"/>
            </w:rPr>
            <w:t>Gend Place Cult., 25</w:t>
          </w:r>
          <w:r w:rsidRPr="009C6DC2">
            <w:rPr>
              <w:rFonts w:asciiTheme="majorBidi" w:hAnsiTheme="majorBidi" w:cstheme="majorBidi"/>
              <w:noProof/>
              <w:sz w:val="24"/>
              <w:szCs w:val="24"/>
              <w:lang w:val="en-US"/>
            </w:rPr>
            <w:t>(6), 799-820. doi:10.1080/0966369X.2018.1473346</w:t>
          </w:r>
        </w:p>
        <w:p w14:paraId="4456EBC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Sanchez, T., Ordóñez, A., Gilar, R., &amp; Castejon, J.-L. (2020). Confirmatory Factor Analysis of the Assessment Instrument Teacher of the Escuela Politécnica National. </w:t>
          </w:r>
          <w:r w:rsidRPr="009C6DC2">
            <w:rPr>
              <w:rFonts w:asciiTheme="majorBidi" w:hAnsiTheme="majorBidi" w:cstheme="majorBidi"/>
              <w:i/>
              <w:iCs/>
              <w:noProof/>
              <w:sz w:val="24"/>
              <w:szCs w:val="24"/>
              <w:lang w:val="en-US"/>
            </w:rPr>
            <w:t>18th LACCEI International Multi-Conference for Engineering, Education, and Technology Virtual Edition.</w:t>
          </w:r>
          <w:r w:rsidRPr="009C6DC2">
            <w:rPr>
              <w:rFonts w:asciiTheme="majorBidi" w:hAnsiTheme="majorBidi" w:cstheme="majorBidi"/>
              <w:noProof/>
              <w:sz w:val="24"/>
              <w:szCs w:val="24"/>
              <w:lang w:val="en-US"/>
            </w:rPr>
            <w:t xml:space="preserve"> doi:10.18687/LACCEI2020.1.1.110</w:t>
          </w:r>
        </w:p>
        <w:p w14:paraId="55A13173" w14:textId="6D096B7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Sarılgan, A. E., Akan, Ş., Bakır, M., &amp; Süleç, H. (2021). </w:t>
          </w:r>
          <w:r w:rsidRPr="009C6DC2">
            <w:rPr>
              <w:rFonts w:asciiTheme="majorBidi" w:hAnsiTheme="majorBidi" w:cstheme="majorBidi"/>
              <w:noProof/>
              <w:sz w:val="24"/>
              <w:szCs w:val="24"/>
              <w:lang w:val="en-US"/>
            </w:rPr>
            <w:t xml:space="preserve">The impact of advertising creativity on purchase intention in the airline industry: A stimulus-organism-response (S-O-R) perspective. </w:t>
          </w:r>
          <w:r w:rsidRPr="009C6DC2">
            <w:rPr>
              <w:rFonts w:asciiTheme="majorBidi" w:hAnsiTheme="majorBidi" w:cstheme="majorBidi"/>
              <w:i/>
              <w:iCs/>
              <w:noProof/>
              <w:sz w:val="24"/>
              <w:szCs w:val="24"/>
              <w:lang w:val="en-US"/>
            </w:rPr>
            <w:t>European Journal of Tourism Research, 30</w:t>
          </w:r>
          <w:r w:rsidRPr="009C6DC2">
            <w:rPr>
              <w:rFonts w:asciiTheme="majorBidi" w:hAnsiTheme="majorBidi" w:cstheme="majorBidi"/>
              <w:noProof/>
              <w:sz w:val="24"/>
              <w:szCs w:val="24"/>
              <w:lang w:val="en-US"/>
            </w:rPr>
            <w:t>. doi:https://doi.org/10.54055/ejtr.v30i.2169</w:t>
          </w:r>
        </w:p>
        <w:p w14:paraId="23F2ED0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Sauer, C., Auspurg, K., &amp; Hinz, T. (2020). Designing Multi-Factorial Survey Experiments: Effects of Presentation Style (Text or Table), Answering Scales, and Vignette Order. </w:t>
          </w:r>
          <w:r w:rsidRPr="009C6DC2">
            <w:rPr>
              <w:rFonts w:asciiTheme="majorBidi" w:hAnsiTheme="majorBidi" w:cstheme="majorBidi"/>
              <w:i/>
              <w:iCs/>
              <w:noProof/>
              <w:sz w:val="24"/>
              <w:szCs w:val="24"/>
              <w:lang w:val="en-US"/>
            </w:rPr>
            <w:t>Methods, data, analyses, 14</w:t>
          </w:r>
          <w:r w:rsidRPr="009C6DC2">
            <w:rPr>
              <w:rFonts w:asciiTheme="majorBidi" w:hAnsiTheme="majorBidi" w:cstheme="majorBidi"/>
              <w:noProof/>
              <w:sz w:val="24"/>
              <w:szCs w:val="24"/>
              <w:lang w:val="en-US"/>
            </w:rPr>
            <w:t>(02), 195-214. doi: https://doi.org/10.12758/mda.2020.06</w:t>
          </w:r>
        </w:p>
        <w:p w14:paraId="397C271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Saunders, M., Lewis, P., &amp; Thornhill , A. (2015). </w:t>
          </w:r>
          <w:r w:rsidRPr="009C6DC2">
            <w:rPr>
              <w:rFonts w:asciiTheme="majorBidi" w:hAnsiTheme="majorBidi" w:cstheme="majorBidi"/>
              <w:i/>
              <w:iCs/>
              <w:noProof/>
              <w:sz w:val="24"/>
              <w:szCs w:val="24"/>
              <w:lang w:val="en-US"/>
            </w:rPr>
            <w:t>Research Methods for Business Students</w:t>
          </w:r>
          <w:r w:rsidRPr="009C6DC2">
            <w:rPr>
              <w:rFonts w:asciiTheme="majorBidi" w:hAnsiTheme="majorBidi" w:cstheme="majorBidi"/>
              <w:noProof/>
              <w:sz w:val="24"/>
              <w:szCs w:val="24"/>
              <w:lang w:val="en-US"/>
            </w:rPr>
            <w:t xml:space="preserve"> (7th ed.). Retrieved 02 09, 2023</w:t>
          </w:r>
        </w:p>
        <w:p w14:paraId="6AF49FBA" w14:textId="2C9F90D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Sauro, J. (2010). </w:t>
          </w:r>
          <w:r w:rsidRPr="009C6DC2">
            <w:rPr>
              <w:rFonts w:asciiTheme="majorBidi" w:hAnsiTheme="majorBidi" w:cstheme="majorBidi"/>
              <w:i/>
              <w:iCs/>
              <w:noProof/>
              <w:sz w:val="24"/>
              <w:szCs w:val="24"/>
              <w:lang w:val="en-US"/>
            </w:rPr>
            <w:t>Survey Respondents Prefer the Left Side of a Rating Scale</w:t>
          </w:r>
          <w:r w:rsidRPr="009C6DC2">
            <w:rPr>
              <w:rFonts w:asciiTheme="majorBidi" w:hAnsiTheme="majorBidi" w:cstheme="majorBidi"/>
              <w:noProof/>
              <w:sz w:val="24"/>
              <w:szCs w:val="24"/>
              <w:lang w:val="en-US"/>
            </w:rPr>
            <w:t>. Retrieved 07 31, 2022, from MeasuringU: https://measuringu.com/left-side-bias/</w:t>
          </w:r>
        </w:p>
        <w:p w14:paraId="45A0A4DF" w14:textId="4DCCA2B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Sawad, A., &amp; Andrews, K. (2022). Marketing training strategies that pharmaceutical sales managers use to reduce unethical behavior. </w:t>
          </w:r>
          <w:r w:rsidRPr="009C6DC2">
            <w:rPr>
              <w:rFonts w:asciiTheme="majorBidi" w:hAnsiTheme="majorBidi" w:cstheme="majorBidi"/>
              <w:i/>
              <w:iCs/>
              <w:noProof/>
              <w:sz w:val="24"/>
              <w:szCs w:val="24"/>
              <w:lang w:val="en-US"/>
            </w:rPr>
            <w:t>Journal of Education and Health Promotion, 11</w:t>
          </w:r>
          <w:r w:rsidRPr="009C6DC2">
            <w:rPr>
              <w:rFonts w:asciiTheme="majorBidi" w:hAnsiTheme="majorBidi" w:cstheme="majorBidi"/>
              <w:noProof/>
              <w:sz w:val="24"/>
              <w:szCs w:val="24"/>
              <w:lang w:val="en-US"/>
            </w:rPr>
            <w:t>. doi: 10.4103/jehp.jehp_1081_21</w:t>
          </w:r>
        </w:p>
        <w:p w14:paraId="3EE1D40E" w14:textId="06D05C1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Schaefer, S. D., Terlutter, R., &amp; Diehl, S. (2020). Talking about CSR matters: employees’ perception of and reaction to their company’s CSR communication in four different CSR domains. (T. &amp;. Francis, Ed.) </w:t>
          </w:r>
          <w:r w:rsidRPr="009C6DC2">
            <w:rPr>
              <w:rFonts w:asciiTheme="majorBidi" w:hAnsiTheme="majorBidi" w:cstheme="majorBidi"/>
              <w:i/>
              <w:iCs/>
              <w:noProof/>
              <w:sz w:val="24"/>
              <w:szCs w:val="24"/>
              <w:lang w:val="en-US"/>
            </w:rPr>
            <w:t>INTERNATIONAL JOURNAL OF ADVERTISING, 39</w:t>
          </w:r>
          <w:r w:rsidRPr="009C6DC2">
            <w:rPr>
              <w:rFonts w:asciiTheme="majorBidi" w:hAnsiTheme="majorBidi" w:cstheme="majorBidi"/>
              <w:noProof/>
              <w:sz w:val="24"/>
              <w:szCs w:val="24"/>
              <w:lang w:val="en-US"/>
            </w:rPr>
            <w:t>(2), 191-212. doi:https://doi.org/10.1080/02650487.2019.1593736</w:t>
          </w:r>
        </w:p>
        <w:p w14:paraId="7890FD24" w14:textId="373A1FC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Schaufeli , W. B., Desart , S., &amp; De Witte , H. (2020). </w:t>
          </w:r>
          <w:r w:rsidRPr="009C6DC2">
            <w:rPr>
              <w:rFonts w:asciiTheme="majorBidi" w:hAnsiTheme="majorBidi" w:cstheme="majorBidi"/>
              <w:noProof/>
              <w:sz w:val="24"/>
              <w:szCs w:val="24"/>
              <w:lang w:val="en-US"/>
            </w:rPr>
            <w:t xml:space="preserve">Burnout Assessment Tool (BAT)—Development, Validity, and Reliability. </w:t>
          </w:r>
          <w:r w:rsidRPr="009C6DC2">
            <w:rPr>
              <w:rFonts w:asciiTheme="majorBidi" w:hAnsiTheme="majorBidi" w:cstheme="majorBidi"/>
              <w:i/>
              <w:iCs/>
              <w:noProof/>
              <w:sz w:val="24"/>
              <w:szCs w:val="24"/>
              <w:lang w:val="en-US"/>
            </w:rPr>
            <w:t>International Journal of Environmental Research and Public Health, 14</w:t>
          </w:r>
          <w:r w:rsidRPr="009C6DC2">
            <w:rPr>
              <w:rFonts w:asciiTheme="majorBidi" w:hAnsiTheme="majorBidi" w:cstheme="majorBidi"/>
              <w:noProof/>
              <w:sz w:val="24"/>
              <w:szCs w:val="24"/>
              <w:lang w:val="en-US"/>
            </w:rPr>
            <w:t>(24). doi:https://doi.org/10.3390/ijerph17249495</w:t>
          </w:r>
        </w:p>
        <w:p w14:paraId="6D4C490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Schauster, E. E., Ferrucci, P., &amp; Neill, M. S. (2016). Native Advertising Is the New Journalism: How Deception Affects Social Responsibility. </w:t>
          </w:r>
          <w:r w:rsidRPr="009C6DC2">
            <w:rPr>
              <w:rFonts w:asciiTheme="majorBidi" w:hAnsiTheme="majorBidi" w:cstheme="majorBidi"/>
              <w:i/>
              <w:iCs/>
              <w:noProof/>
              <w:sz w:val="24"/>
              <w:szCs w:val="24"/>
              <w:lang w:val="en-US"/>
            </w:rPr>
            <w:t>American Behavioral Scientist, 60</w:t>
          </w:r>
          <w:r w:rsidRPr="009C6DC2">
            <w:rPr>
              <w:rFonts w:asciiTheme="majorBidi" w:hAnsiTheme="majorBidi" w:cstheme="majorBidi"/>
              <w:noProof/>
              <w:sz w:val="24"/>
              <w:szCs w:val="24"/>
              <w:lang w:val="en-US"/>
            </w:rPr>
            <w:t>(12), 1408-1424. doi:10.1177/0002764216660135</w:t>
          </w:r>
        </w:p>
        <w:p w14:paraId="229ABAF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Schnabel, L. (2021). SURVEY EXPERIMENTS. In S. Engler, M. Stausberg, &amp; 2nd (Ed.), </w:t>
          </w:r>
          <w:r w:rsidRPr="009C6DC2">
            <w:rPr>
              <w:rFonts w:asciiTheme="majorBidi" w:hAnsiTheme="majorBidi" w:cstheme="majorBidi"/>
              <w:i/>
              <w:iCs/>
              <w:noProof/>
              <w:sz w:val="24"/>
              <w:szCs w:val="24"/>
              <w:lang w:val="en-US"/>
            </w:rPr>
            <w:t>The Routledge Handbook of Research Methods in the Study of Religion.</w:t>
          </w:r>
          <w:r w:rsidRPr="009C6DC2">
            <w:rPr>
              <w:rFonts w:asciiTheme="majorBidi" w:hAnsiTheme="majorBidi" w:cstheme="majorBidi"/>
              <w:noProof/>
              <w:sz w:val="24"/>
              <w:szCs w:val="24"/>
              <w:lang w:val="en-US"/>
            </w:rPr>
            <w:t xml:space="preserve"> Routledge. doi:https://doi.org/10.4324/9781003222491</w:t>
          </w:r>
        </w:p>
        <w:p w14:paraId="25031702" w14:textId="298A6E4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Schoeneborn, D., Morsing, M., &amp; Crane, A. (2019). Formative Perspectives on the Relation Between CSR Communication and CSR Practices: Pathways for Walking, Talking, and T(w)alking. </w:t>
          </w:r>
          <w:r w:rsidRPr="009C6DC2">
            <w:rPr>
              <w:rFonts w:asciiTheme="majorBidi" w:hAnsiTheme="majorBidi" w:cstheme="majorBidi"/>
              <w:i/>
              <w:iCs/>
              <w:noProof/>
              <w:sz w:val="24"/>
              <w:szCs w:val="24"/>
              <w:lang w:val="en-US"/>
            </w:rPr>
            <w:t>Business &amp; Society, 59</w:t>
          </w:r>
          <w:r w:rsidRPr="009C6DC2">
            <w:rPr>
              <w:rFonts w:asciiTheme="majorBidi" w:hAnsiTheme="majorBidi" w:cstheme="majorBidi"/>
              <w:noProof/>
              <w:sz w:val="24"/>
              <w:szCs w:val="24"/>
              <w:lang w:val="en-US"/>
            </w:rPr>
            <w:t>(1), 5-33. doi:https://doi.org/10.1177/0007650319845091</w:t>
          </w:r>
        </w:p>
        <w:p w14:paraId="02965E9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Scholderer, J. (2011). Attitude Theory. In D. Southerton (Ed.). Thousand Oaks, CA: SAGE Publications. Retrieved 07 27, 2023</w:t>
          </w:r>
        </w:p>
        <w:p w14:paraId="5DB705BE" w14:textId="6890352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Schreiner, T., Rese, A., &amp; Baier, D. (2019). Multichannel personalization: Identifying consumer preferences for product recommendations in advertisements across different media channels. </w:t>
          </w:r>
          <w:r w:rsidRPr="009C6DC2">
            <w:rPr>
              <w:rFonts w:asciiTheme="majorBidi" w:hAnsiTheme="majorBidi" w:cstheme="majorBidi"/>
              <w:i/>
              <w:iCs/>
              <w:noProof/>
              <w:sz w:val="24"/>
              <w:szCs w:val="24"/>
              <w:lang w:val="en-US"/>
            </w:rPr>
            <w:t>Journal of Retailing and Consumer Services, 48</w:t>
          </w:r>
          <w:r w:rsidRPr="009C6DC2">
            <w:rPr>
              <w:rFonts w:asciiTheme="majorBidi" w:hAnsiTheme="majorBidi" w:cstheme="majorBidi"/>
              <w:noProof/>
              <w:sz w:val="24"/>
              <w:szCs w:val="24"/>
              <w:lang w:val="en-US"/>
            </w:rPr>
            <w:t>, 87-99. doi:https://doi.org/10.1016/j.jretconser.2019.02.010</w:t>
          </w:r>
        </w:p>
        <w:p w14:paraId="516429C9" w14:textId="1D9C06E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Schrepp, M. (2020). On the Usage of Cronbach’s Alpha to Measure Reliability of UX Scale. </w:t>
          </w:r>
          <w:r w:rsidRPr="009C6DC2">
            <w:rPr>
              <w:rFonts w:asciiTheme="majorBidi" w:hAnsiTheme="majorBidi" w:cstheme="majorBidi"/>
              <w:i/>
              <w:iCs/>
              <w:noProof/>
              <w:sz w:val="24"/>
              <w:szCs w:val="24"/>
              <w:lang w:val="en-US"/>
            </w:rPr>
            <w:t>Journal of Usability Studies, 15</w:t>
          </w:r>
          <w:r w:rsidRPr="009C6DC2">
            <w:rPr>
              <w:rFonts w:asciiTheme="majorBidi" w:hAnsiTheme="majorBidi" w:cstheme="majorBidi"/>
              <w:noProof/>
              <w:sz w:val="24"/>
              <w:szCs w:val="24"/>
              <w:lang w:val="en-US"/>
            </w:rPr>
            <w:t>(4), 247-258. Retrieved 12 23, 2022, from https://uxpajournal.org/wp-content/uploads/sites/7/pdf/JUS_Schrepp_Aug2020.pdf</w:t>
          </w:r>
        </w:p>
        <w:p w14:paraId="0AA3D3BF" w14:textId="1E36E6C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Schultz , E. J. (2018). </w:t>
          </w:r>
          <w:r w:rsidRPr="009C6DC2">
            <w:rPr>
              <w:rFonts w:asciiTheme="majorBidi" w:hAnsiTheme="majorBidi" w:cstheme="majorBidi"/>
              <w:i/>
              <w:iCs/>
              <w:noProof/>
              <w:sz w:val="24"/>
              <w:szCs w:val="24"/>
              <w:lang w:val="en-US"/>
            </w:rPr>
            <w:t xml:space="preserve">Coca-Cola - The Wonder of Us </w:t>
          </w:r>
          <w:r w:rsidRPr="009C6DC2">
            <w:rPr>
              <w:rFonts w:asciiTheme="majorBidi" w:hAnsiTheme="majorBidi" w:cstheme="majorBidi"/>
              <w:noProof/>
              <w:sz w:val="24"/>
              <w:szCs w:val="24"/>
              <w:lang w:val="en-US"/>
            </w:rPr>
            <w:t>. Retrieved from AdAge: https://adage.com/videos/cocacola-the-wonder-of-us/1444</w:t>
          </w:r>
        </w:p>
        <w:p w14:paraId="49FF040D" w14:textId="2BDB524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Schwartz, A. (2021). </w:t>
          </w:r>
          <w:r w:rsidRPr="009C6DC2">
            <w:rPr>
              <w:rFonts w:asciiTheme="majorBidi" w:hAnsiTheme="majorBidi" w:cstheme="majorBidi"/>
              <w:i/>
              <w:iCs/>
              <w:noProof/>
              <w:sz w:val="24"/>
              <w:szCs w:val="24"/>
              <w:lang w:val="en-US"/>
            </w:rPr>
            <w:t>Coding in Qualitative Research</w:t>
          </w:r>
          <w:r w:rsidRPr="009C6DC2">
            <w:rPr>
              <w:rFonts w:asciiTheme="majorBidi" w:hAnsiTheme="majorBidi" w:cstheme="majorBidi"/>
              <w:noProof/>
              <w:sz w:val="24"/>
              <w:szCs w:val="24"/>
              <w:lang w:val="en-US"/>
            </w:rPr>
            <w:t>. Retrieved from https://ofe.ecu.edu/wp-content/pv-uploads/sites/277/2021/06/Coding-in-Qual-research-6.3.211.pdf</w:t>
          </w:r>
        </w:p>
        <w:p w14:paraId="574B535E" w14:textId="77A1A2B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Sebaiee, N. (2019). </w:t>
          </w:r>
          <w:r w:rsidRPr="009C6DC2">
            <w:rPr>
              <w:rFonts w:asciiTheme="majorBidi" w:hAnsiTheme="majorBidi" w:cstheme="majorBidi"/>
              <w:i/>
              <w:iCs/>
              <w:noProof/>
              <w:sz w:val="24"/>
              <w:szCs w:val="24"/>
              <w:lang w:val="en-US"/>
            </w:rPr>
            <w:t>Strengthening Egypt’s Refugee Programs</w:t>
          </w:r>
          <w:r w:rsidRPr="009C6DC2">
            <w:rPr>
              <w:rFonts w:asciiTheme="majorBidi" w:hAnsiTheme="majorBidi" w:cstheme="majorBidi"/>
              <w:noProof/>
              <w:sz w:val="24"/>
              <w:szCs w:val="24"/>
              <w:lang w:val="en-US"/>
            </w:rPr>
            <w:t>. Retrieved from Wilson Center: https://www.wilsoncenter.org/blog-post/strengthening-egypts-refugee-programs-0</w:t>
          </w:r>
        </w:p>
        <w:p w14:paraId="7FCA258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Sekaran, U. (2003). </w:t>
          </w:r>
          <w:r w:rsidRPr="009C6DC2">
            <w:rPr>
              <w:rFonts w:asciiTheme="majorBidi" w:hAnsiTheme="majorBidi" w:cstheme="majorBidi"/>
              <w:i/>
              <w:iCs/>
              <w:noProof/>
              <w:sz w:val="24"/>
              <w:szCs w:val="24"/>
              <w:lang w:val="en-US"/>
            </w:rPr>
            <w:t>Research Methods for Business</w:t>
          </w:r>
          <w:r w:rsidRPr="009C6DC2">
            <w:rPr>
              <w:rFonts w:asciiTheme="majorBidi" w:hAnsiTheme="majorBidi" w:cstheme="majorBidi"/>
              <w:noProof/>
              <w:sz w:val="24"/>
              <w:szCs w:val="24"/>
              <w:lang w:val="en-US"/>
            </w:rPr>
            <w:t xml:space="preserve"> (4th ed.). John Wiley &amp; Sons, Inc. Retrieved 06 05, 2023, from http://196.188.170.250:8080/</w:t>
          </w:r>
        </w:p>
        <w:p w14:paraId="090E607F" w14:textId="17386D2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Semrad, M., Scott-Parker, B., &amp; Nagele, M. (2019). Personality traits of a good liar: A systematic review of the literature. </w:t>
          </w:r>
          <w:r w:rsidRPr="009C6DC2">
            <w:rPr>
              <w:rFonts w:asciiTheme="majorBidi" w:hAnsiTheme="majorBidi" w:cstheme="majorBidi"/>
              <w:i/>
              <w:iCs/>
              <w:noProof/>
              <w:sz w:val="24"/>
              <w:szCs w:val="24"/>
              <w:lang w:val="en-US"/>
            </w:rPr>
            <w:t>Personality and Individual Differences, 147</w:t>
          </w:r>
          <w:r w:rsidRPr="009C6DC2">
            <w:rPr>
              <w:rFonts w:asciiTheme="majorBidi" w:hAnsiTheme="majorBidi" w:cstheme="majorBidi"/>
              <w:noProof/>
              <w:sz w:val="24"/>
              <w:szCs w:val="24"/>
              <w:lang w:val="en-US"/>
            </w:rPr>
            <w:t>, 306-316. doi:https://doi.org/10.1016/j.paid.2019.05.007</w:t>
          </w:r>
        </w:p>
        <w:p w14:paraId="0798A150" w14:textId="1B08B92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Sen, S., &amp; Bhattacharya, C. (200</w:t>
          </w:r>
          <w:r w:rsidR="009613F1">
            <w:rPr>
              <w:rFonts w:asciiTheme="majorBidi" w:hAnsiTheme="majorBidi" w:cstheme="majorBidi"/>
              <w:noProof/>
              <w:sz w:val="24"/>
              <w:szCs w:val="24"/>
              <w:lang w:val="en-US"/>
            </w:rPr>
            <w:t>1</w:t>
          </w:r>
          <w:r w:rsidRPr="009C6DC2">
            <w:rPr>
              <w:rFonts w:asciiTheme="majorBidi" w:hAnsiTheme="majorBidi" w:cstheme="majorBidi"/>
              <w:noProof/>
              <w:sz w:val="24"/>
              <w:szCs w:val="24"/>
              <w:lang w:val="en-US"/>
            </w:rPr>
            <w:t xml:space="preserve">). Does Doing Good Always Lead to Doing Better? Consumer Reactions to Corporate Social Responsibility. </w:t>
          </w:r>
          <w:r w:rsidRPr="009C6DC2">
            <w:rPr>
              <w:rFonts w:asciiTheme="majorBidi" w:hAnsiTheme="majorBidi" w:cstheme="majorBidi"/>
              <w:i/>
              <w:iCs/>
              <w:noProof/>
              <w:sz w:val="24"/>
              <w:szCs w:val="24"/>
              <w:lang w:val="en-US"/>
            </w:rPr>
            <w:t>Journal of Marketing Research, 38</w:t>
          </w:r>
          <w:r w:rsidRPr="009C6DC2">
            <w:rPr>
              <w:rFonts w:asciiTheme="majorBidi" w:hAnsiTheme="majorBidi" w:cstheme="majorBidi"/>
              <w:noProof/>
              <w:sz w:val="24"/>
              <w:szCs w:val="24"/>
              <w:lang w:val="en-US"/>
            </w:rPr>
            <w:t>(2), 225-243. doi:10.1509/jmkr.38.2.225.18838</w:t>
          </w:r>
        </w:p>
        <w:p w14:paraId="05711DE2" w14:textId="7AE142F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Serrano, S. (2021). </w:t>
          </w:r>
          <w:r w:rsidRPr="009C6DC2">
            <w:rPr>
              <w:rFonts w:asciiTheme="majorBidi" w:hAnsiTheme="majorBidi" w:cstheme="majorBidi"/>
              <w:i/>
              <w:iCs/>
              <w:noProof/>
              <w:sz w:val="24"/>
              <w:szCs w:val="24"/>
              <w:lang w:val="en-US"/>
            </w:rPr>
            <w:t>YouGov reveals FMCG/CPG brand rankings 2021 in UAE, KSA and Egypt</w:t>
          </w:r>
          <w:r w:rsidRPr="009C6DC2">
            <w:rPr>
              <w:rFonts w:asciiTheme="majorBidi" w:hAnsiTheme="majorBidi" w:cstheme="majorBidi"/>
              <w:noProof/>
              <w:sz w:val="24"/>
              <w:szCs w:val="24"/>
              <w:lang w:val="en-US"/>
            </w:rPr>
            <w:t>. Retrieved 10 01, 2022, from Campaign Middle East: https://campaignme.com/yougov-reveals-fmcg-cpg-brand-rankings-2021-in-uae-ksa-and-egypt/</w:t>
          </w:r>
        </w:p>
        <w:p w14:paraId="5F9413D5" w14:textId="26D4A27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Servera-Francés, D., &amp; Piqueras-Tomás, L. (2019). The effects of corporate social responsibility on consumer loyalty through consumer perceived value. </w:t>
          </w:r>
          <w:r w:rsidRPr="009C6DC2">
            <w:rPr>
              <w:rFonts w:asciiTheme="majorBidi" w:hAnsiTheme="majorBidi" w:cstheme="majorBidi"/>
              <w:i/>
              <w:iCs/>
              <w:noProof/>
              <w:sz w:val="24"/>
              <w:szCs w:val="24"/>
              <w:lang w:val="en-US"/>
            </w:rPr>
            <w:t>Economic Research-Ekonomska Istraživanja, 32</w:t>
          </w:r>
          <w:r w:rsidRPr="009C6DC2">
            <w:rPr>
              <w:rFonts w:asciiTheme="majorBidi" w:hAnsiTheme="majorBidi" w:cstheme="majorBidi"/>
              <w:noProof/>
              <w:sz w:val="24"/>
              <w:szCs w:val="24"/>
              <w:lang w:val="en-US"/>
            </w:rPr>
            <w:t>(1). doi:https://doi.org/10.1080/1331677X.2018.1547202</w:t>
          </w:r>
        </w:p>
        <w:p w14:paraId="4EC9BD1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Sha, M., &amp; Gabel, T. (2020). </w:t>
          </w:r>
          <w:r w:rsidRPr="009C6DC2">
            <w:rPr>
              <w:rFonts w:asciiTheme="majorBidi" w:hAnsiTheme="majorBidi" w:cstheme="majorBidi"/>
              <w:i/>
              <w:iCs/>
              <w:noProof/>
              <w:sz w:val="24"/>
              <w:szCs w:val="24"/>
              <w:lang w:val="en-US"/>
            </w:rPr>
            <w:t>The Essential Role of Language in Survey Research.</w:t>
          </w:r>
          <w:r w:rsidRPr="009C6DC2">
            <w:rPr>
              <w:rFonts w:asciiTheme="majorBidi" w:hAnsiTheme="majorBidi" w:cstheme="majorBidi"/>
              <w:noProof/>
              <w:sz w:val="24"/>
              <w:szCs w:val="24"/>
              <w:lang w:val="en-US"/>
            </w:rPr>
            <w:t xml:space="preserve"> RTI International. Retrieved from https://www.rti.org/rti-press-publication/language-survey-research/fulltext.pdf</w:t>
          </w:r>
        </w:p>
        <w:p w14:paraId="2C6774E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Shamma, H. M. (2022). From Corporate Social Responsibility to Consumer Social Responsibility: Evolution, Implications and Future Directions. </w:t>
          </w:r>
          <w:r w:rsidRPr="009C6DC2">
            <w:rPr>
              <w:rFonts w:asciiTheme="majorBidi" w:hAnsiTheme="majorBidi" w:cstheme="majorBidi"/>
              <w:i/>
              <w:iCs/>
              <w:noProof/>
              <w:sz w:val="24"/>
              <w:szCs w:val="24"/>
              <w:lang w:val="en-US"/>
            </w:rPr>
            <w:t>International Journal of Business and Economics, 7</w:t>
          </w:r>
          <w:r w:rsidRPr="009C6DC2">
            <w:rPr>
              <w:rFonts w:asciiTheme="majorBidi" w:hAnsiTheme="majorBidi" w:cstheme="majorBidi"/>
              <w:noProof/>
              <w:sz w:val="24"/>
              <w:szCs w:val="24"/>
              <w:lang w:val="en-US"/>
            </w:rPr>
            <w:t>(1), 245-269. Retrieved 12 10, 2022, from https://ijbe.ielas.org/index.php/ijbe/article/view/345</w:t>
          </w:r>
        </w:p>
        <w:p w14:paraId="17FD2E3F" w14:textId="2B6674A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Shang, S. S., Wu, Y.-L., &amp; Sie, Y.-J. (2017). </w:t>
          </w:r>
          <w:r w:rsidRPr="009C6DC2">
            <w:rPr>
              <w:rFonts w:asciiTheme="majorBidi" w:hAnsiTheme="majorBidi" w:cstheme="majorBidi"/>
              <w:noProof/>
              <w:sz w:val="24"/>
              <w:szCs w:val="24"/>
              <w:lang w:val="en-US"/>
            </w:rPr>
            <w:t xml:space="preserve">Generating consumer resonance for purchase intention on social network sites. </w:t>
          </w:r>
          <w:r w:rsidRPr="009C6DC2">
            <w:rPr>
              <w:rFonts w:asciiTheme="majorBidi" w:hAnsiTheme="majorBidi" w:cstheme="majorBidi"/>
              <w:i/>
              <w:iCs/>
              <w:noProof/>
              <w:sz w:val="24"/>
              <w:szCs w:val="24"/>
              <w:lang w:val="en-US"/>
            </w:rPr>
            <w:t>Computers in Human Behavior, 69</w:t>
          </w:r>
          <w:r w:rsidRPr="009C6DC2">
            <w:rPr>
              <w:rFonts w:asciiTheme="majorBidi" w:hAnsiTheme="majorBidi" w:cstheme="majorBidi"/>
              <w:noProof/>
              <w:sz w:val="24"/>
              <w:szCs w:val="24"/>
              <w:lang w:val="en-US"/>
            </w:rPr>
            <w:t>, 18-28. doi:https://doi.org/10.1016/j.chb.2016.12.014</w:t>
          </w:r>
        </w:p>
        <w:p w14:paraId="66E3D65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Sheeran, P. (2002). Intention-behavior relations: A conceptual and empirical review. </w:t>
          </w:r>
          <w:r w:rsidRPr="009C6DC2">
            <w:rPr>
              <w:rFonts w:asciiTheme="majorBidi" w:hAnsiTheme="majorBidi" w:cstheme="majorBidi"/>
              <w:i/>
              <w:iCs/>
              <w:noProof/>
              <w:sz w:val="24"/>
              <w:szCs w:val="24"/>
              <w:lang w:val="en-US"/>
            </w:rPr>
            <w:t>European Review of Social Psychology, 12</w:t>
          </w:r>
          <w:r w:rsidRPr="009C6DC2">
            <w:rPr>
              <w:rFonts w:asciiTheme="majorBidi" w:hAnsiTheme="majorBidi" w:cstheme="majorBidi"/>
              <w:noProof/>
              <w:sz w:val="24"/>
              <w:szCs w:val="24"/>
              <w:lang w:val="en-US"/>
            </w:rPr>
            <w:t>(1), 1-36. doi:https://doi.org/10.1080/14792772143000003</w:t>
          </w:r>
        </w:p>
        <w:p w14:paraId="4DA1BA71" w14:textId="2D7FC50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Sheeran, P., &amp; Webb, T. L. (2016). The Intention–Behavior Gap. </w:t>
          </w:r>
          <w:r w:rsidRPr="009C6DC2">
            <w:rPr>
              <w:rFonts w:asciiTheme="majorBidi" w:hAnsiTheme="majorBidi" w:cstheme="majorBidi"/>
              <w:i/>
              <w:iCs/>
              <w:noProof/>
              <w:sz w:val="24"/>
              <w:szCs w:val="24"/>
              <w:lang w:val="en-US"/>
            </w:rPr>
            <w:t>Social and Personality Psychology Compass, 10</w:t>
          </w:r>
          <w:r w:rsidRPr="009C6DC2">
            <w:rPr>
              <w:rFonts w:asciiTheme="majorBidi" w:hAnsiTheme="majorBidi" w:cstheme="majorBidi"/>
              <w:noProof/>
              <w:sz w:val="24"/>
              <w:szCs w:val="24"/>
              <w:lang w:val="en-US"/>
            </w:rPr>
            <w:t>(9), 503-518. doi:https://doi.org/10.1111/spc3.12265</w:t>
          </w:r>
        </w:p>
        <w:p w14:paraId="507A52CC" w14:textId="2671EF2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Shehu, E., Bijmolt, T. H., &amp; Clement, M. (2016). Effects of likeability dynamics on Consumers' Intention to Share Online Video Advertisements. </w:t>
          </w:r>
          <w:r w:rsidRPr="009C6DC2">
            <w:rPr>
              <w:rFonts w:asciiTheme="majorBidi" w:hAnsiTheme="majorBidi" w:cstheme="majorBidi"/>
              <w:i/>
              <w:iCs/>
              <w:noProof/>
              <w:sz w:val="24"/>
              <w:szCs w:val="24"/>
              <w:lang w:val="en-US"/>
            </w:rPr>
            <w:t>Journal of Interactive Marketing, 35</w:t>
          </w:r>
          <w:r w:rsidRPr="009C6DC2">
            <w:rPr>
              <w:rFonts w:asciiTheme="majorBidi" w:hAnsiTheme="majorBidi" w:cstheme="majorBidi"/>
              <w:noProof/>
              <w:sz w:val="24"/>
              <w:szCs w:val="24"/>
              <w:lang w:val="en-US"/>
            </w:rPr>
            <w:t>, 27-43. doi:0.1016/j.intmar.2016.01.001</w:t>
          </w:r>
        </w:p>
        <w:p w14:paraId="7FC73C7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Shen, D., Dickson, M. A., Lennon, S., Montalto, C., &amp; Zhang, L. (2003). Cultural influences on Chinese consumers' intentions to purchase apparel: test and extension of the Fishbein behavioral intentional model. </w:t>
          </w:r>
          <w:r w:rsidRPr="009C6DC2">
            <w:rPr>
              <w:rFonts w:asciiTheme="majorBidi" w:hAnsiTheme="majorBidi" w:cstheme="majorBidi"/>
              <w:i/>
              <w:iCs/>
              <w:noProof/>
              <w:sz w:val="24"/>
              <w:szCs w:val="24"/>
              <w:lang w:val="en-US"/>
            </w:rPr>
            <w:t>Clothing and Textile Research Journal, 21</w:t>
          </w:r>
          <w:r w:rsidRPr="009C6DC2">
            <w:rPr>
              <w:rFonts w:asciiTheme="majorBidi" w:hAnsiTheme="majorBidi" w:cstheme="majorBidi"/>
              <w:noProof/>
              <w:sz w:val="24"/>
              <w:szCs w:val="24"/>
              <w:lang w:val="en-US"/>
            </w:rPr>
            <w:t>(2), 89-99.</w:t>
          </w:r>
        </w:p>
        <w:p w14:paraId="196791B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Sheppard, B. H., Hartwick, J., &amp; Warshaw, P. R. (1988). The theory of reasoned action: a meta-analysis of past research with recommendations for modifications and future research. </w:t>
          </w:r>
          <w:r w:rsidRPr="009C6DC2">
            <w:rPr>
              <w:rFonts w:asciiTheme="majorBidi" w:hAnsiTheme="majorBidi" w:cstheme="majorBidi"/>
              <w:i/>
              <w:iCs/>
              <w:noProof/>
              <w:sz w:val="24"/>
              <w:szCs w:val="24"/>
              <w:lang w:val="en-US"/>
            </w:rPr>
            <w:t>Journal of Consumer Research, 15</w:t>
          </w:r>
          <w:r w:rsidRPr="009C6DC2">
            <w:rPr>
              <w:rFonts w:asciiTheme="majorBidi" w:hAnsiTheme="majorBidi" w:cstheme="majorBidi"/>
              <w:noProof/>
              <w:sz w:val="24"/>
              <w:szCs w:val="24"/>
              <w:lang w:val="en-US"/>
            </w:rPr>
            <w:t>, 325-343.</w:t>
          </w:r>
        </w:p>
        <w:p w14:paraId="354D4C3B" w14:textId="42BF011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Shi, D., Lee, T., &amp; Maydeu-Olivare, A. (2018). Understanding the Model Size Effect on SEM Fit Indices. </w:t>
          </w:r>
          <w:r w:rsidRPr="009C6DC2">
            <w:rPr>
              <w:rFonts w:asciiTheme="majorBidi" w:hAnsiTheme="majorBidi" w:cstheme="majorBidi"/>
              <w:i/>
              <w:iCs/>
              <w:noProof/>
              <w:sz w:val="24"/>
              <w:szCs w:val="24"/>
              <w:lang w:val="en-US"/>
            </w:rPr>
            <w:t>Educational and Psychological Measurement, 79</w:t>
          </w:r>
          <w:r w:rsidRPr="009C6DC2">
            <w:rPr>
              <w:rFonts w:asciiTheme="majorBidi" w:hAnsiTheme="majorBidi" w:cstheme="majorBidi"/>
              <w:noProof/>
              <w:sz w:val="24"/>
              <w:szCs w:val="24"/>
              <w:lang w:val="en-US"/>
            </w:rPr>
            <w:t>(2), 310–334. doi:https://doi.org/10.1177/0013164418783530</w:t>
          </w:r>
        </w:p>
        <w:p w14:paraId="717242D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Shim , S., Eastlick, M., Lotz , S. L., &amp; Warrington, P. (2001). An online prepurchase intentions model: The role of intention to search. </w:t>
          </w:r>
          <w:r w:rsidRPr="009C6DC2">
            <w:rPr>
              <w:rFonts w:asciiTheme="majorBidi" w:hAnsiTheme="majorBidi" w:cstheme="majorBidi"/>
              <w:i/>
              <w:iCs/>
              <w:noProof/>
              <w:sz w:val="24"/>
              <w:szCs w:val="24"/>
              <w:lang w:val="en-US"/>
            </w:rPr>
            <w:t>Journal of Retailing, 77</w:t>
          </w:r>
          <w:r w:rsidRPr="009C6DC2">
            <w:rPr>
              <w:rFonts w:asciiTheme="majorBidi" w:hAnsiTheme="majorBidi" w:cstheme="majorBidi"/>
              <w:noProof/>
              <w:sz w:val="24"/>
              <w:szCs w:val="24"/>
              <w:lang w:val="en-US"/>
            </w:rPr>
            <w:t>(3), 397-416. doi:https://doi.org/10.1016/S0022-4359(01)00051-3</w:t>
          </w:r>
        </w:p>
        <w:p w14:paraId="477BBA14" w14:textId="0A24323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Shirodkar, V., Beddewela, E., &amp; Richter, U. H. (2018). Firm-Level Determinants of Political CSR in Emerging Economies: Evidence from India. </w:t>
          </w:r>
          <w:r w:rsidRPr="009C6DC2">
            <w:rPr>
              <w:rFonts w:asciiTheme="majorBidi" w:hAnsiTheme="majorBidi" w:cstheme="majorBidi"/>
              <w:i/>
              <w:iCs/>
              <w:noProof/>
              <w:sz w:val="24"/>
              <w:szCs w:val="24"/>
              <w:lang w:val="en-US"/>
            </w:rPr>
            <w:t>Journal of Business Ethics, 148</w:t>
          </w:r>
          <w:r w:rsidRPr="009C6DC2">
            <w:rPr>
              <w:rFonts w:asciiTheme="majorBidi" w:hAnsiTheme="majorBidi" w:cstheme="majorBidi"/>
              <w:noProof/>
              <w:sz w:val="24"/>
              <w:szCs w:val="24"/>
              <w:lang w:val="en-US"/>
            </w:rPr>
            <w:t>, 673-688. doi:https://doi.org/10.1007/s10551-016-3022-0</w:t>
          </w:r>
        </w:p>
        <w:p w14:paraId="709E681B" w14:textId="2B04130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Shou, Y., Sellbom, M., &amp; Chen, H.-F. (2022). 4.02 - Fundamentals of Measurement in Clinical Psychology. </w:t>
          </w:r>
          <w:r w:rsidRPr="009C6DC2">
            <w:rPr>
              <w:rFonts w:asciiTheme="majorBidi" w:hAnsiTheme="majorBidi" w:cstheme="majorBidi"/>
              <w:i/>
              <w:iCs/>
              <w:noProof/>
              <w:sz w:val="24"/>
              <w:szCs w:val="24"/>
              <w:lang w:val="en-US"/>
            </w:rPr>
            <w:t>Comprehensive Clinical Psychology (Second Edition), 4</w:t>
          </w:r>
          <w:r w:rsidRPr="009C6DC2">
            <w:rPr>
              <w:rFonts w:asciiTheme="majorBidi" w:hAnsiTheme="majorBidi" w:cstheme="majorBidi"/>
              <w:noProof/>
              <w:sz w:val="24"/>
              <w:szCs w:val="24"/>
              <w:lang w:val="en-US"/>
            </w:rPr>
            <w:t>, 13-35. doi:https://doi.org/10.1016/B978-0-12-818697-8.00110-2</w:t>
          </w:r>
        </w:p>
        <w:p w14:paraId="080CC1A8" w14:textId="5A5E94A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Shukrallah, S. (2016). </w:t>
          </w:r>
          <w:r w:rsidRPr="009C6DC2">
            <w:rPr>
              <w:rFonts w:asciiTheme="majorBidi" w:hAnsiTheme="majorBidi" w:cstheme="majorBidi"/>
              <w:i/>
              <w:iCs/>
              <w:noProof/>
              <w:sz w:val="24"/>
              <w:szCs w:val="24"/>
              <w:lang w:val="en-US"/>
            </w:rPr>
            <w:t>High inflation takes its toll on Egypt's shrinking middle class</w:t>
          </w:r>
          <w:r w:rsidRPr="009C6DC2">
            <w:rPr>
              <w:rFonts w:asciiTheme="majorBidi" w:hAnsiTheme="majorBidi" w:cstheme="majorBidi"/>
              <w:noProof/>
              <w:sz w:val="24"/>
              <w:szCs w:val="24"/>
              <w:lang w:val="en-US"/>
            </w:rPr>
            <w:t>. Retrieved from Ahram Online: https://english.ahram.org.eg/NewsContent/1/0/246377/Egypt/0/High-inflation-takes-its-toll-on-Egypts-shrinking-.aspx</w:t>
          </w:r>
        </w:p>
        <w:p w14:paraId="6C6E089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Siegert, G., Rimscha, M. B., &amp; Grubenmann, S. (2017). </w:t>
          </w:r>
          <w:r w:rsidRPr="009C6DC2">
            <w:rPr>
              <w:rFonts w:asciiTheme="majorBidi" w:hAnsiTheme="majorBidi" w:cstheme="majorBidi"/>
              <w:noProof/>
              <w:sz w:val="24"/>
              <w:szCs w:val="24"/>
              <w:lang w:val="en-US"/>
            </w:rPr>
            <w:t xml:space="preserve">In </w:t>
          </w:r>
          <w:r w:rsidRPr="009C6DC2">
            <w:rPr>
              <w:rFonts w:asciiTheme="majorBidi" w:hAnsiTheme="majorBidi" w:cstheme="majorBidi"/>
              <w:i/>
              <w:iCs/>
              <w:noProof/>
              <w:sz w:val="24"/>
              <w:szCs w:val="24"/>
              <w:lang w:val="en-US"/>
            </w:rPr>
            <w:t>Commercial Communication in the Digital Age. Information or Disinformation.</w:t>
          </w:r>
          <w:r w:rsidRPr="009C6DC2">
            <w:rPr>
              <w:rFonts w:asciiTheme="majorBidi" w:hAnsiTheme="majorBidi" w:cstheme="majorBidi"/>
              <w:noProof/>
              <w:sz w:val="24"/>
              <w:szCs w:val="24"/>
              <w:lang w:val="en-US"/>
            </w:rPr>
            <w:t xml:space="preserve"> (Vol. 07). Retrieved 10 01, 2022, from 10.26530/oapen_628402</w:t>
          </w:r>
        </w:p>
        <w:p w14:paraId="544CA2C2" w14:textId="530483E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Sikorska, J. (2023). </w:t>
          </w:r>
          <w:r w:rsidRPr="009C6DC2">
            <w:rPr>
              <w:rFonts w:asciiTheme="majorBidi" w:hAnsiTheme="majorBidi" w:cstheme="majorBidi"/>
              <w:i/>
              <w:iCs/>
              <w:noProof/>
              <w:sz w:val="24"/>
              <w:szCs w:val="24"/>
              <w:lang w:val="en-US"/>
            </w:rPr>
            <w:t>What is the FMCG industry and which Big Brands belong to it?</w:t>
          </w:r>
          <w:r w:rsidRPr="009C6DC2">
            <w:rPr>
              <w:rFonts w:asciiTheme="majorBidi" w:hAnsiTheme="majorBidi" w:cstheme="majorBidi"/>
              <w:noProof/>
              <w:sz w:val="24"/>
              <w:szCs w:val="24"/>
              <w:lang w:val="en-US"/>
            </w:rPr>
            <w:t xml:space="preserve"> Retrieved from Foodcom: https://foodcom.pl/en/what-is-the-fmcg-industry-and-which-big-brands-belong-to-it/</w:t>
          </w:r>
        </w:p>
        <w:p w14:paraId="1B0CC9EA" w14:textId="1789146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Silber, I., Israeli , A., Bustin, A., &amp; Ben Zvi, O. (2009). </w:t>
          </w:r>
          <w:r w:rsidRPr="009C6DC2">
            <w:rPr>
              <w:rFonts w:asciiTheme="majorBidi" w:hAnsiTheme="majorBidi" w:cstheme="majorBidi"/>
              <w:noProof/>
              <w:sz w:val="24"/>
              <w:szCs w:val="24"/>
              <w:lang w:val="en-US"/>
            </w:rPr>
            <w:t xml:space="preserve">Recovery Strategies for Service Failures: The Case of Restaurants. </w:t>
          </w:r>
          <w:r w:rsidRPr="009C6DC2">
            <w:rPr>
              <w:rFonts w:asciiTheme="majorBidi" w:hAnsiTheme="majorBidi" w:cstheme="majorBidi"/>
              <w:i/>
              <w:iCs/>
              <w:noProof/>
              <w:sz w:val="24"/>
              <w:szCs w:val="24"/>
              <w:lang w:val="en-US"/>
            </w:rPr>
            <w:t>Journal of Hospitality Marketing &amp; Management, 18</w:t>
          </w:r>
          <w:r w:rsidRPr="009C6DC2">
            <w:rPr>
              <w:rFonts w:asciiTheme="majorBidi" w:hAnsiTheme="majorBidi" w:cstheme="majorBidi"/>
              <w:noProof/>
              <w:sz w:val="24"/>
              <w:szCs w:val="24"/>
              <w:lang w:val="en-US"/>
            </w:rPr>
            <w:t>(07), 130-140. doi:https://doi.org/10.1080/19368620903170273</w:t>
          </w:r>
        </w:p>
        <w:p w14:paraId="54AADCE4" w14:textId="26140DD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Silva, S. C., Duarte, P. A., &amp; Almeida , S. R. (2020). </w:t>
          </w:r>
          <w:r w:rsidRPr="009C6DC2">
            <w:rPr>
              <w:rFonts w:asciiTheme="majorBidi" w:hAnsiTheme="majorBidi" w:cstheme="majorBidi"/>
              <w:noProof/>
              <w:sz w:val="24"/>
              <w:szCs w:val="24"/>
              <w:lang w:val="en-US"/>
            </w:rPr>
            <w:t xml:space="preserve">How companies evaluate the ROI of social media marketing programmes: insights from B2B and B2C. </w:t>
          </w:r>
          <w:r w:rsidRPr="009C6DC2">
            <w:rPr>
              <w:rFonts w:asciiTheme="majorBidi" w:hAnsiTheme="majorBidi" w:cstheme="majorBidi"/>
              <w:i/>
              <w:iCs/>
              <w:noProof/>
              <w:sz w:val="24"/>
              <w:szCs w:val="24"/>
              <w:lang w:val="en-US"/>
            </w:rPr>
            <w:t>Journal of Business &amp; Industrial Marketing, 35</w:t>
          </w:r>
          <w:r w:rsidRPr="009C6DC2">
            <w:rPr>
              <w:rFonts w:asciiTheme="majorBidi" w:hAnsiTheme="majorBidi" w:cstheme="majorBidi"/>
              <w:noProof/>
              <w:sz w:val="24"/>
              <w:szCs w:val="24"/>
              <w:lang w:val="en-US"/>
            </w:rPr>
            <w:t>(12), 2097-2110. doi:https://doi.org/10.1108/JBIM-06-2019-0291</w:t>
          </w:r>
        </w:p>
        <w:p w14:paraId="39E8EA39" w14:textId="5678AE3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Simkus, J. (2022). </w:t>
          </w:r>
          <w:r w:rsidRPr="009C6DC2">
            <w:rPr>
              <w:rFonts w:asciiTheme="majorBidi" w:hAnsiTheme="majorBidi" w:cstheme="majorBidi"/>
              <w:i/>
              <w:iCs/>
              <w:noProof/>
              <w:sz w:val="24"/>
              <w:szCs w:val="24"/>
              <w:lang w:val="en-US"/>
            </w:rPr>
            <w:t>ANOVA (Analysis Of Variance): Definition, Types, and Examples</w:t>
          </w:r>
          <w:r w:rsidRPr="009C6DC2">
            <w:rPr>
              <w:rFonts w:asciiTheme="majorBidi" w:hAnsiTheme="majorBidi" w:cstheme="majorBidi"/>
              <w:noProof/>
              <w:sz w:val="24"/>
              <w:szCs w:val="24"/>
              <w:lang w:val="en-US"/>
            </w:rPr>
            <w:t>. Retrieved 1 17, 2023, from Simply Psychology: https://www.simplypsychology.org/anova.html</w:t>
          </w:r>
        </w:p>
        <w:p w14:paraId="376E6CEA" w14:textId="31EEF10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Simms, L. J., Zelazny, K., Williams, T. F., &amp; Bernstein, L. (2019). Does the number of response options matter? Psychometric perspectives using personality questionnaire data. </w:t>
          </w:r>
          <w:r w:rsidRPr="009C6DC2">
            <w:rPr>
              <w:rFonts w:asciiTheme="majorBidi" w:hAnsiTheme="majorBidi" w:cstheme="majorBidi"/>
              <w:i/>
              <w:iCs/>
              <w:noProof/>
              <w:sz w:val="24"/>
              <w:szCs w:val="24"/>
              <w:lang w:val="en-US"/>
            </w:rPr>
            <w:t>Psychol Assess., 31</w:t>
          </w:r>
          <w:r w:rsidRPr="009C6DC2">
            <w:rPr>
              <w:rFonts w:asciiTheme="majorBidi" w:hAnsiTheme="majorBidi" w:cstheme="majorBidi"/>
              <w:noProof/>
              <w:sz w:val="24"/>
              <w:szCs w:val="24"/>
              <w:lang w:val="en-US"/>
            </w:rPr>
            <w:t>(04), 557-566. doi:10.1037/pas0000648</w:t>
          </w:r>
        </w:p>
        <w:p w14:paraId="22552F8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Sindakis, S., &amp; Aggarwal, S. (2022). </w:t>
          </w:r>
          <w:r w:rsidRPr="009C6DC2">
            <w:rPr>
              <w:rFonts w:asciiTheme="majorBidi" w:hAnsiTheme="majorBidi" w:cstheme="majorBidi"/>
              <w:i/>
              <w:iCs/>
              <w:noProof/>
              <w:sz w:val="24"/>
              <w:szCs w:val="24"/>
              <w:lang w:val="en-US"/>
            </w:rPr>
            <w:t>Entrepreneurial Rise in the Middle East and North Africa.</w:t>
          </w:r>
          <w:r w:rsidRPr="009C6DC2">
            <w:rPr>
              <w:rFonts w:asciiTheme="majorBidi" w:hAnsiTheme="majorBidi" w:cstheme="majorBidi"/>
              <w:noProof/>
              <w:sz w:val="24"/>
              <w:szCs w:val="24"/>
              <w:lang w:val="en-US"/>
            </w:rPr>
            <w:t xml:space="preserve"> Emerald Publishing Limited. doi:https://www.emerald.com/insight/content/doi/10.1108/978-1-80071-517-220221019/full/pdf</w:t>
          </w:r>
        </w:p>
        <w:p w14:paraId="390D9581" w14:textId="6EB55F9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Singh, V., Kathuria, S., Puri, D., &amp; Kapoor, B. (2023). Corporate social responsibility and behavioral intentions: A mediating mechanism of Brand Recognition. </w:t>
          </w:r>
          <w:r w:rsidRPr="009C6DC2">
            <w:rPr>
              <w:rFonts w:asciiTheme="majorBidi" w:hAnsiTheme="majorBidi" w:cstheme="majorBidi"/>
              <w:i/>
              <w:iCs/>
              <w:noProof/>
              <w:sz w:val="24"/>
              <w:szCs w:val="24"/>
              <w:lang w:val="en-US"/>
            </w:rPr>
            <w:t>Corporate social responsibility and Environmental Management</w:t>
          </w:r>
          <w:r w:rsidRPr="009C6DC2">
            <w:rPr>
              <w:rFonts w:asciiTheme="majorBidi" w:hAnsiTheme="majorBidi" w:cstheme="majorBidi"/>
              <w:noProof/>
              <w:sz w:val="24"/>
              <w:szCs w:val="24"/>
              <w:lang w:val="en-US"/>
            </w:rPr>
            <w:t>, 1698-1711. doi: https://doi.org/10.1002/csr.2445</w:t>
          </w:r>
        </w:p>
        <w:p w14:paraId="592D3D92" w14:textId="20C657C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Singhal, D., Jena, S. K., &amp; Tripathy, S. (2019). Factors influencing the purchase intention of consumers towards remanufactured products: a systematic review and meta-analysis. </w:t>
          </w:r>
          <w:r w:rsidRPr="009C6DC2">
            <w:rPr>
              <w:rFonts w:asciiTheme="majorBidi" w:hAnsiTheme="majorBidi" w:cstheme="majorBidi"/>
              <w:i/>
              <w:iCs/>
              <w:noProof/>
              <w:sz w:val="24"/>
              <w:szCs w:val="24"/>
              <w:lang w:val="en-US"/>
            </w:rPr>
            <w:t>International Journal of Production Research, 57</w:t>
          </w:r>
          <w:r w:rsidRPr="009C6DC2">
            <w:rPr>
              <w:rFonts w:asciiTheme="majorBidi" w:hAnsiTheme="majorBidi" w:cstheme="majorBidi"/>
              <w:noProof/>
              <w:sz w:val="24"/>
              <w:szCs w:val="24"/>
              <w:lang w:val="en-US"/>
            </w:rPr>
            <w:t>(23), 7289-7299. doi:https://doi.org/10.1080/00207543.2019.1598590</w:t>
          </w:r>
        </w:p>
        <w:p w14:paraId="379FDD5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Smalheiser, N. R. (2017). Chapter 12 - Nonparametric Tests. In </w:t>
          </w:r>
          <w:r w:rsidRPr="009C6DC2">
            <w:rPr>
              <w:rFonts w:asciiTheme="majorBidi" w:hAnsiTheme="majorBidi" w:cstheme="majorBidi"/>
              <w:i/>
              <w:iCs/>
              <w:noProof/>
              <w:sz w:val="24"/>
              <w:szCs w:val="24"/>
              <w:lang w:val="en-US"/>
            </w:rPr>
            <w:t>Data Literacy. How to Make your Experiments Robust and Reproducible</w:t>
          </w:r>
          <w:r w:rsidRPr="009C6DC2">
            <w:rPr>
              <w:rFonts w:asciiTheme="majorBidi" w:hAnsiTheme="majorBidi" w:cstheme="majorBidi"/>
              <w:noProof/>
              <w:sz w:val="24"/>
              <w:szCs w:val="24"/>
              <w:lang w:val="en-US"/>
            </w:rPr>
            <w:t xml:space="preserve"> (pp. 157-167). Elsevier Inc. doi:https://doi.org/10.1016/B978-0-12-811306-6.00012-9</w:t>
          </w:r>
        </w:p>
        <w:p w14:paraId="0AFBEBAA" w14:textId="0C9F428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Smeulders, B., Crama, Y., &amp; Spieksma, F. C. (2019). Revealed preference theory: An algorithmic outlook. </w:t>
          </w:r>
          <w:r w:rsidRPr="009C6DC2">
            <w:rPr>
              <w:rFonts w:asciiTheme="majorBidi" w:hAnsiTheme="majorBidi" w:cstheme="majorBidi"/>
              <w:i/>
              <w:iCs/>
              <w:noProof/>
              <w:sz w:val="24"/>
              <w:szCs w:val="24"/>
              <w:lang w:val="en-US"/>
            </w:rPr>
            <w:t>European Journal of Operational Research, 272</w:t>
          </w:r>
          <w:r w:rsidRPr="009C6DC2">
            <w:rPr>
              <w:rFonts w:asciiTheme="majorBidi" w:hAnsiTheme="majorBidi" w:cstheme="majorBidi"/>
              <w:noProof/>
              <w:sz w:val="24"/>
              <w:szCs w:val="24"/>
              <w:lang w:val="en-US"/>
            </w:rPr>
            <w:t>(3), 803-815. doi:https://doi.org/10.1016/j.ejor.2018.04.026</w:t>
          </w:r>
        </w:p>
        <w:p w14:paraId="7D8C990B" w14:textId="79AB227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Smith, D. M., Bansal-Travers, M., O'Connor, R. J., Goniewicz, M. L., &amp; Hyland, A. (2015). Associations between perceptions of e-cigarette advertising and interest in product trial amongst US adult smokers and non-smokers: results from an internet-based pilot survey. </w:t>
          </w:r>
          <w:r w:rsidRPr="009C6DC2">
            <w:rPr>
              <w:rFonts w:asciiTheme="majorBidi" w:hAnsiTheme="majorBidi" w:cstheme="majorBidi"/>
              <w:i/>
              <w:iCs/>
              <w:noProof/>
              <w:sz w:val="24"/>
              <w:szCs w:val="24"/>
              <w:lang w:val="en-US"/>
            </w:rPr>
            <w:t>Tobacco Induced Diseases , 14</w:t>
          </w:r>
          <w:r w:rsidRPr="009C6DC2">
            <w:rPr>
              <w:rFonts w:asciiTheme="majorBidi" w:hAnsiTheme="majorBidi" w:cstheme="majorBidi"/>
              <w:noProof/>
              <w:sz w:val="24"/>
              <w:szCs w:val="24"/>
              <w:lang w:val="en-US"/>
            </w:rPr>
            <w:t>(1). doi:10.1186/s12971-015-0039-6.</w:t>
          </w:r>
        </w:p>
        <w:p w14:paraId="15D8355B" w14:textId="2F7B372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Smith, N. C., Kimmel , A. J., &amp; Klein, J. G. (2009). Social contract theory and the ethics of deception in consumer research. </w:t>
          </w:r>
          <w:r w:rsidRPr="009C6DC2">
            <w:rPr>
              <w:rFonts w:asciiTheme="majorBidi" w:hAnsiTheme="majorBidi" w:cstheme="majorBidi"/>
              <w:i/>
              <w:iCs/>
              <w:noProof/>
              <w:sz w:val="24"/>
              <w:szCs w:val="24"/>
              <w:lang w:val="en-US"/>
            </w:rPr>
            <w:t>Journal of Consumer Psychology, 19</w:t>
          </w:r>
          <w:r w:rsidRPr="009C6DC2">
            <w:rPr>
              <w:rFonts w:asciiTheme="majorBidi" w:hAnsiTheme="majorBidi" w:cstheme="majorBidi"/>
              <w:noProof/>
              <w:sz w:val="24"/>
              <w:szCs w:val="24"/>
              <w:lang w:val="en-US"/>
            </w:rPr>
            <w:t>(3), 486-496. doi:https://doi.org/10.1016/j.jcps.2009.04.007</w:t>
          </w:r>
        </w:p>
        <w:p w14:paraId="2283AF5D" w14:textId="4494326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Smith, N. C., Read, D., &amp; López-Rodríguez, S. (2010). Consumer Perceptions of Corporate Social Responsibility: The CSR Halo Effect. </w:t>
          </w:r>
          <w:r w:rsidRPr="009C6DC2">
            <w:rPr>
              <w:rFonts w:asciiTheme="majorBidi" w:hAnsiTheme="majorBidi" w:cstheme="majorBidi"/>
              <w:i/>
              <w:iCs/>
              <w:noProof/>
              <w:sz w:val="24"/>
              <w:szCs w:val="24"/>
              <w:lang w:val="en-US"/>
            </w:rPr>
            <w:t>SSRN Electronic Journal</w:t>
          </w:r>
          <w:r w:rsidRPr="009C6DC2">
            <w:rPr>
              <w:rFonts w:asciiTheme="majorBidi" w:hAnsiTheme="majorBidi" w:cstheme="majorBidi"/>
              <w:noProof/>
              <w:sz w:val="24"/>
              <w:szCs w:val="24"/>
              <w:lang w:val="en-US"/>
            </w:rPr>
            <w:t>. doi:10.2139/ssrn.1577000</w:t>
          </w:r>
        </w:p>
        <w:p w14:paraId="30EB4B51" w14:textId="456CE75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Sniehotta, F. F., Presseau, J., &amp; Araújo-Soares, V. (2014). Time to retire the theory of planned. </w:t>
          </w:r>
          <w:r w:rsidRPr="009C6DC2">
            <w:rPr>
              <w:rFonts w:asciiTheme="majorBidi" w:hAnsiTheme="majorBidi" w:cstheme="majorBidi"/>
              <w:i/>
              <w:iCs/>
              <w:noProof/>
              <w:sz w:val="24"/>
              <w:szCs w:val="24"/>
              <w:lang w:val="en-US"/>
            </w:rPr>
            <w:t>Health Psychology Review, 8</w:t>
          </w:r>
          <w:r w:rsidRPr="009C6DC2">
            <w:rPr>
              <w:rFonts w:asciiTheme="majorBidi" w:hAnsiTheme="majorBidi" w:cstheme="majorBidi"/>
              <w:noProof/>
              <w:sz w:val="24"/>
              <w:szCs w:val="24"/>
              <w:lang w:val="en-US"/>
            </w:rPr>
            <w:t xml:space="preserve">(1), 1-7. doi:10.1080/17437199.2013.869710 </w:t>
          </w:r>
        </w:p>
        <w:p w14:paraId="4DB535AC" w14:textId="144AC19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Sohaib, M., Safeer, A. A., &amp; Majeed, A. (2022). Role of social media marketing activities in China’s e-commerce industry: A stimulus organism response theory context. </w:t>
          </w:r>
          <w:r w:rsidRPr="009C6DC2">
            <w:rPr>
              <w:rFonts w:asciiTheme="majorBidi" w:hAnsiTheme="majorBidi" w:cstheme="majorBidi"/>
              <w:i/>
              <w:iCs/>
              <w:noProof/>
              <w:sz w:val="24"/>
              <w:szCs w:val="24"/>
              <w:lang w:val="en-US"/>
            </w:rPr>
            <w:t>Frontiers in Psychology, 13</w:t>
          </w:r>
          <w:r w:rsidRPr="009C6DC2">
            <w:rPr>
              <w:rFonts w:asciiTheme="majorBidi" w:hAnsiTheme="majorBidi" w:cstheme="majorBidi"/>
              <w:noProof/>
              <w:sz w:val="24"/>
              <w:szCs w:val="24"/>
              <w:lang w:val="en-US"/>
            </w:rPr>
            <w:t>. Retrieved 03 10, 2023, from https://www.ncbi.nlm.nih.gov/pmc/articles/PMC9389151/#</w:t>
          </w:r>
        </w:p>
        <w:p w14:paraId="3BD8D9C2" w14:textId="0EB9647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Son, J., Jin, B., &amp; George, B. (2013). Consumers' purchase intention toward foreign brand goods. </w:t>
          </w:r>
          <w:r w:rsidRPr="009C6DC2">
            <w:rPr>
              <w:rFonts w:asciiTheme="majorBidi" w:hAnsiTheme="majorBidi" w:cstheme="majorBidi"/>
              <w:i/>
              <w:iCs/>
              <w:noProof/>
              <w:sz w:val="24"/>
              <w:szCs w:val="24"/>
              <w:lang w:val="en-US"/>
            </w:rPr>
            <w:t>Management Decision, 51</w:t>
          </w:r>
          <w:r w:rsidRPr="009C6DC2">
            <w:rPr>
              <w:rFonts w:asciiTheme="majorBidi" w:hAnsiTheme="majorBidi" w:cstheme="majorBidi"/>
              <w:noProof/>
              <w:sz w:val="24"/>
              <w:szCs w:val="24"/>
              <w:lang w:val="en-US"/>
            </w:rPr>
            <w:t>(2). Retrieved 03 04, 2023, from https://doi.org/10.1108/00251741311301902</w:t>
          </w:r>
        </w:p>
        <w:p w14:paraId="0926ABE4" w14:textId="7ED33DB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Spears, N., &amp; Singh, S. N. (2004). Measuring Attitude Toward the Brand and Purchase Intentions. </w:t>
          </w:r>
          <w:r w:rsidRPr="009C6DC2">
            <w:rPr>
              <w:rFonts w:asciiTheme="majorBidi" w:hAnsiTheme="majorBidi" w:cstheme="majorBidi"/>
              <w:i/>
              <w:iCs/>
              <w:noProof/>
              <w:sz w:val="24"/>
              <w:szCs w:val="24"/>
              <w:lang w:val="en-US"/>
            </w:rPr>
            <w:t>Journal of Current Issues &amp; Research in Advertising, 26</w:t>
          </w:r>
          <w:r w:rsidRPr="009C6DC2">
            <w:rPr>
              <w:rFonts w:asciiTheme="majorBidi" w:hAnsiTheme="majorBidi" w:cstheme="majorBidi"/>
              <w:noProof/>
              <w:sz w:val="24"/>
              <w:szCs w:val="24"/>
              <w:lang w:val="en-US"/>
            </w:rPr>
            <w:t>(2), 53-66. doi:10.1080/10641734.2004.10505164</w:t>
          </w:r>
        </w:p>
        <w:p w14:paraId="2B9CF716" w14:textId="4E32EF9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Spence , M. (1973). Job Market Signaling. </w:t>
          </w:r>
          <w:r w:rsidRPr="009C6DC2">
            <w:rPr>
              <w:rFonts w:asciiTheme="majorBidi" w:hAnsiTheme="majorBidi" w:cstheme="majorBidi"/>
              <w:i/>
              <w:iCs/>
              <w:noProof/>
              <w:sz w:val="24"/>
              <w:szCs w:val="24"/>
              <w:lang w:val="en-US"/>
            </w:rPr>
            <w:t>The Quarterly Journal of Economics, 87</w:t>
          </w:r>
          <w:r w:rsidRPr="009C6DC2">
            <w:rPr>
              <w:rFonts w:asciiTheme="majorBidi" w:hAnsiTheme="majorBidi" w:cstheme="majorBidi"/>
              <w:noProof/>
              <w:sz w:val="24"/>
              <w:szCs w:val="24"/>
              <w:lang w:val="en-US"/>
            </w:rPr>
            <w:t>(3), 355-374. Retrieved 01 11, 2021, from http://www.jstor.org/stable/1882010</w:t>
          </w:r>
        </w:p>
        <w:p w14:paraId="3FBFD5B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Srivastav, A. K., &amp; Vaidya, D. (2023). </w:t>
          </w:r>
          <w:r w:rsidRPr="009C6DC2">
            <w:rPr>
              <w:rFonts w:asciiTheme="majorBidi" w:hAnsiTheme="majorBidi" w:cstheme="majorBidi"/>
              <w:i/>
              <w:iCs/>
              <w:noProof/>
              <w:sz w:val="24"/>
              <w:szCs w:val="24"/>
              <w:lang w:val="en-US"/>
            </w:rPr>
            <w:t>Sample Size Formula.</w:t>
          </w:r>
          <w:r w:rsidRPr="009C6DC2">
            <w:rPr>
              <w:rFonts w:asciiTheme="majorBidi" w:hAnsiTheme="majorBidi" w:cstheme="majorBidi"/>
              <w:noProof/>
              <w:sz w:val="24"/>
              <w:szCs w:val="24"/>
              <w:lang w:val="en-US"/>
            </w:rPr>
            <w:t xml:space="preserve"> Retrieved 12 22, 2022, from https://www.wallstreetmojo.com/sample-size-formula/</w:t>
          </w:r>
        </w:p>
        <w:p w14:paraId="3D77B031" w14:textId="505CE72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Stahl, F., Heitmann, M., Lehmann, D. R., &amp; Neslin, S. A. (2012). </w:t>
          </w:r>
          <w:r w:rsidRPr="009C6DC2">
            <w:rPr>
              <w:rFonts w:asciiTheme="majorBidi" w:hAnsiTheme="majorBidi" w:cstheme="majorBidi"/>
              <w:noProof/>
              <w:sz w:val="24"/>
              <w:szCs w:val="24"/>
              <w:lang w:val="en-US"/>
            </w:rPr>
            <w:t xml:space="preserve">The Impact of Brand Equity on Customer Acquisition, Retention, and Profit Margin. </w:t>
          </w:r>
          <w:r w:rsidRPr="009C6DC2">
            <w:rPr>
              <w:rFonts w:asciiTheme="majorBidi" w:hAnsiTheme="majorBidi" w:cstheme="majorBidi"/>
              <w:i/>
              <w:iCs/>
              <w:noProof/>
              <w:sz w:val="24"/>
              <w:szCs w:val="24"/>
              <w:lang w:val="en-US"/>
            </w:rPr>
            <w:t>Journal of Marketing , 4</w:t>
          </w:r>
          <w:r w:rsidRPr="009C6DC2">
            <w:rPr>
              <w:rFonts w:asciiTheme="majorBidi" w:hAnsiTheme="majorBidi" w:cstheme="majorBidi"/>
              <w:noProof/>
              <w:sz w:val="24"/>
              <w:szCs w:val="24"/>
              <w:lang w:val="en-US"/>
            </w:rPr>
            <w:t>. doi:https://doi.org/10.1509/jm.10.0522</w:t>
          </w:r>
        </w:p>
        <w:p w14:paraId="33AF1D4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Statista . (2022). </w:t>
          </w:r>
          <w:r w:rsidRPr="009C6DC2">
            <w:rPr>
              <w:rFonts w:asciiTheme="majorBidi" w:hAnsiTheme="majorBidi" w:cstheme="majorBidi"/>
              <w:i/>
              <w:iCs/>
              <w:noProof/>
              <w:sz w:val="24"/>
              <w:szCs w:val="24"/>
              <w:lang w:val="en-US"/>
            </w:rPr>
            <w:t>Social media advertising and marketing worldwide.</w:t>
          </w:r>
          <w:r w:rsidRPr="009C6DC2">
            <w:rPr>
              <w:rFonts w:asciiTheme="majorBidi" w:hAnsiTheme="majorBidi" w:cstheme="majorBidi"/>
              <w:noProof/>
              <w:sz w:val="24"/>
              <w:szCs w:val="24"/>
              <w:lang w:val="en-US"/>
            </w:rPr>
            <w:t xml:space="preserve"> Statista. Retrieved 02 21, 2023, from file:///C:/Users/sadekn4/Downloads/study_id15449_social-media-marketing-worldwide.pdf</w:t>
          </w:r>
        </w:p>
        <w:p w14:paraId="6003A9C0" w14:textId="4657AD6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Statler, M., &amp; Salovaara , P. (2017). Pragmatic Truths in Organization Studies. </w:t>
          </w:r>
          <w:r w:rsidRPr="009C6DC2">
            <w:rPr>
              <w:rFonts w:asciiTheme="majorBidi" w:hAnsiTheme="majorBidi" w:cstheme="majorBidi"/>
              <w:i/>
              <w:iCs/>
              <w:noProof/>
              <w:sz w:val="24"/>
              <w:szCs w:val="24"/>
              <w:lang w:val="en-US"/>
            </w:rPr>
            <w:t>Philosophy of Management, 16</w:t>
          </w:r>
          <w:r w:rsidRPr="009C6DC2">
            <w:rPr>
              <w:rFonts w:asciiTheme="majorBidi" w:hAnsiTheme="majorBidi" w:cstheme="majorBidi"/>
              <w:noProof/>
              <w:sz w:val="24"/>
              <w:szCs w:val="24"/>
              <w:lang w:val="en-US"/>
            </w:rPr>
            <w:t>, 265-278. doi:https://doi.org/10.1007/s40926-017-0068-8</w:t>
          </w:r>
        </w:p>
        <w:p w14:paraId="07940CFC" w14:textId="12154A6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Stephenson , M. T., Benoit, W. L., &amp; Tschida, D. A. (2009). Testing the mediating role of cognitive responses in the elaboration likelihood model. </w:t>
          </w:r>
          <w:r w:rsidRPr="009C6DC2">
            <w:rPr>
              <w:rFonts w:asciiTheme="majorBidi" w:hAnsiTheme="majorBidi" w:cstheme="majorBidi"/>
              <w:i/>
              <w:iCs/>
              <w:noProof/>
              <w:sz w:val="24"/>
              <w:szCs w:val="24"/>
              <w:lang w:val="en-US"/>
            </w:rPr>
            <w:t>Communication Studies, 52</w:t>
          </w:r>
          <w:r w:rsidRPr="009C6DC2">
            <w:rPr>
              <w:rFonts w:asciiTheme="majorBidi" w:hAnsiTheme="majorBidi" w:cstheme="majorBidi"/>
              <w:noProof/>
              <w:sz w:val="24"/>
              <w:szCs w:val="24"/>
              <w:lang w:val="en-US"/>
            </w:rPr>
            <w:t>(01), 324-337. Retrieved 09 27, 2022, from https://doi.org/10.1080/10510970109388567</w:t>
          </w:r>
        </w:p>
        <w:p w14:paraId="55C2D80B"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Stern, C., Lizarondo, L., Carrier, J., Godfrey, C., Rieger, K., Salmond, S., . . . Loveday, H. (2020). Methodological guidance for the conduct of mixed methods systematic reviews. </w:t>
          </w:r>
          <w:r w:rsidRPr="009C6DC2">
            <w:rPr>
              <w:rFonts w:asciiTheme="majorBidi" w:hAnsiTheme="majorBidi" w:cstheme="majorBidi"/>
              <w:i/>
              <w:iCs/>
              <w:noProof/>
              <w:sz w:val="24"/>
              <w:szCs w:val="24"/>
              <w:lang w:val="en-US"/>
            </w:rPr>
            <w:t>JBI Evidence Synthesis, 18</w:t>
          </w:r>
          <w:r w:rsidRPr="009C6DC2">
            <w:rPr>
              <w:rFonts w:asciiTheme="majorBidi" w:hAnsiTheme="majorBidi" w:cstheme="majorBidi"/>
              <w:noProof/>
              <w:sz w:val="24"/>
              <w:szCs w:val="24"/>
              <w:lang w:val="en-US"/>
            </w:rPr>
            <w:t>(10), 2108-2118. doi:10.11124/JBISRIR-D-19-00169</w:t>
          </w:r>
        </w:p>
        <w:p w14:paraId="2EE6F630" w14:textId="5B3768C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Stohy, A. (2021). </w:t>
          </w:r>
          <w:r w:rsidRPr="009C6DC2">
            <w:rPr>
              <w:rFonts w:asciiTheme="majorBidi" w:hAnsiTheme="majorBidi" w:cstheme="majorBidi"/>
              <w:i/>
              <w:iCs/>
              <w:noProof/>
              <w:sz w:val="24"/>
              <w:szCs w:val="24"/>
              <w:lang w:val="en-US"/>
            </w:rPr>
            <w:t>Average Egyptian family to make annual income of EGP 109k by 2025: Fitch Solutions</w:t>
          </w:r>
          <w:r w:rsidRPr="009C6DC2">
            <w:rPr>
              <w:rFonts w:asciiTheme="majorBidi" w:hAnsiTheme="majorBidi" w:cstheme="majorBidi"/>
              <w:noProof/>
              <w:sz w:val="24"/>
              <w:szCs w:val="24"/>
              <w:lang w:val="en-US"/>
            </w:rPr>
            <w:t>. Retrieved from Daily News: https://www.dailynewsegypt.com/2021/04/14/average-egyptian-family-to-make-annual-income-of-egp-109k-by-2025-fitch-solutions/</w:t>
          </w:r>
        </w:p>
        <w:p w14:paraId="6D7F6142" w14:textId="7629D06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Stoltze, F. M., Busey, E., Taillie, L. S., &amp; Carpentier, F. R. (2021). Impact of warning labels on reducing health halo effects of nutrient content claims on breakfast cereal packages: A mixed-measures experiment. </w:t>
          </w:r>
          <w:r w:rsidRPr="009C6DC2">
            <w:rPr>
              <w:rFonts w:asciiTheme="majorBidi" w:hAnsiTheme="majorBidi" w:cstheme="majorBidi"/>
              <w:i/>
              <w:iCs/>
              <w:noProof/>
              <w:sz w:val="24"/>
              <w:szCs w:val="24"/>
              <w:lang w:val="en-US"/>
            </w:rPr>
            <w:t>Apetite , 163</w:t>
          </w:r>
          <w:r w:rsidRPr="009C6DC2">
            <w:rPr>
              <w:rFonts w:asciiTheme="majorBidi" w:hAnsiTheme="majorBidi" w:cstheme="majorBidi"/>
              <w:noProof/>
              <w:sz w:val="24"/>
              <w:szCs w:val="24"/>
              <w:lang w:val="en-US"/>
            </w:rPr>
            <w:t>. doi:https://doi.org/10.1016/j.appet.2021.105229</w:t>
          </w:r>
        </w:p>
        <w:p w14:paraId="4AC3084D" w14:textId="7929137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 L., Lian, Q., &amp; Huan, Y. (2020). How do tourists' attribution of destination social responsibility motives impact trust and intention to visit? The moderating role of destination reputation. </w:t>
          </w:r>
          <w:r w:rsidRPr="009C6DC2">
            <w:rPr>
              <w:rFonts w:asciiTheme="majorBidi" w:hAnsiTheme="majorBidi" w:cstheme="majorBidi"/>
              <w:i/>
              <w:iCs/>
              <w:noProof/>
              <w:sz w:val="24"/>
              <w:szCs w:val="24"/>
              <w:lang w:val="en-US"/>
            </w:rPr>
            <w:t>Tourist Management, 77</w:t>
          </w:r>
          <w:r w:rsidRPr="009C6DC2">
            <w:rPr>
              <w:rFonts w:asciiTheme="majorBidi" w:hAnsiTheme="majorBidi" w:cstheme="majorBidi"/>
              <w:noProof/>
              <w:sz w:val="24"/>
              <w:szCs w:val="24"/>
              <w:lang w:val="en-US"/>
            </w:rPr>
            <w:t>. doi:https://doi.org/10.1016/j.tourman.2019.103970</w:t>
          </w:r>
        </w:p>
        <w:p w14:paraId="37225E65" w14:textId="4661199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Suganthi, L. (2019). Examining the relationship between corporate social responsibility, performance, employees’ pro-environmental behavior at work with green practices as mediator. </w:t>
          </w:r>
          <w:r w:rsidRPr="009C6DC2">
            <w:rPr>
              <w:rFonts w:asciiTheme="majorBidi" w:hAnsiTheme="majorBidi" w:cstheme="majorBidi"/>
              <w:i/>
              <w:iCs/>
              <w:noProof/>
              <w:sz w:val="24"/>
              <w:szCs w:val="24"/>
              <w:lang w:val="en-US"/>
            </w:rPr>
            <w:t>Journal of Cleaner Production, 232</w:t>
          </w:r>
          <w:r w:rsidRPr="009C6DC2">
            <w:rPr>
              <w:rFonts w:asciiTheme="majorBidi" w:hAnsiTheme="majorBidi" w:cstheme="majorBidi"/>
              <w:noProof/>
              <w:sz w:val="24"/>
              <w:szCs w:val="24"/>
              <w:lang w:val="en-US"/>
            </w:rPr>
            <w:t>, 739-750. doi:https://doi.org/10.1016/j.jclepro.2019.05.295</w:t>
          </w:r>
        </w:p>
        <w:p w14:paraId="3C8C1C29" w14:textId="4057368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Sultan, P., Wong, H., &amp; Azam, M. (2021). How perceived communication source and food value stimulate purchase intention of organic food: An examination of the stimulus-organism-response (SOR) model. </w:t>
          </w:r>
          <w:r w:rsidRPr="009C6DC2">
            <w:rPr>
              <w:rFonts w:asciiTheme="majorBidi" w:hAnsiTheme="majorBidi" w:cstheme="majorBidi"/>
              <w:i/>
              <w:iCs/>
              <w:noProof/>
              <w:sz w:val="24"/>
              <w:szCs w:val="24"/>
              <w:lang w:val="en-US"/>
            </w:rPr>
            <w:t>Journal of Cleaner Production, 312</w:t>
          </w:r>
          <w:r w:rsidRPr="009C6DC2">
            <w:rPr>
              <w:rFonts w:asciiTheme="majorBidi" w:hAnsiTheme="majorBidi" w:cstheme="majorBidi"/>
              <w:noProof/>
              <w:sz w:val="24"/>
              <w:szCs w:val="24"/>
              <w:lang w:val="en-US"/>
            </w:rPr>
            <w:t>. doi:https://doi.org/10.1016/j.jclepro.2021.127807</w:t>
          </w:r>
        </w:p>
        <w:p w14:paraId="66213812" w14:textId="1D1D9E4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Sumeracki, M. (2018). </w:t>
          </w:r>
          <w:r w:rsidRPr="009C6DC2">
            <w:rPr>
              <w:rFonts w:asciiTheme="majorBidi" w:hAnsiTheme="majorBidi" w:cstheme="majorBidi"/>
              <w:i/>
              <w:iCs/>
              <w:noProof/>
              <w:sz w:val="24"/>
              <w:szCs w:val="24"/>
              <w:lang w:val="en-US"/>
            </w:rPr>
            <w:t>Different Research Methods: Strengths and Weaknesses</w:t>
          </w:r>
          <w:r w:rsidRPr="009C6DC2">
            <w:rPr>
              <w:rFonts w:asciiTheme="majorBidi" w:hAnsiTheme="majorBidi" w:cstheme="majorBidi"/>
              <w:noProof/>
              <w:sz w:val="24"/>
              <w:szCs w:val="24"/>
              <w:lang w:val="en-US"/>
            </w:rPr>
            <w:t>. Retrieved from The Learning Scientist: https://www.learningscientists.org/blog/2018/3/8-1</w:t>
          </w:r>
        </w:p>
        <w:p w14:paraId="2370E8F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Summers, T. A., Belleau, B. D., &amp; Y, X. (2006). Predicting purchase intention of a controversial luxury apparel product. </w:t>
          </w:r>
          <w:r w:rsidRPr="009C6DC2">
            <w:rPr>
              <w:rFonts w:asciiTheme="majorBidi" w:hAnsiTheme="majorBidi" w:cstheme="majorBidi"/>
              <w:i/>
              <w:iCs/>
              <w:noProof/>
              <w:sz w:val="24"/>
              <w:szCs w:val="24"/>
              <w:lang w:val="en-US"/>
            </w:rPr>
            <w:t>Journal of Fashion Marketing and Management, 10</w:t>
          </w:r>
          <w:r w:rsidRPr="009C6DC2">
            <w:rPr>
              <w:rFonts w:asciiTheme="majorBidi" w:hAnsiTheme="majorBidi" w:cstheme="majorBidi"/>
              <w:noProof/>
              <w:sz w:val="24"/>
              <w:szCs w:val="24"/>
              <w:lang w:val="en-US"/>
            </w:rPr>
            <w:t>(4), 405-419. Retrieved 03 04, 2023</w:t>
          </w:r>
        </w:p>
        <w:p w14:paraId="3DA58706" w14:textId="1C5FB80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Sun, Y., &amp; Wang, S. (2020). Understanding consumers’ intentions to purchase green products in the social media marketing context. </w:t>
          </w:r>
          <w:r w:rsidRPr="009C6DC2">
            <w:rPr>
              <w:rFonts w:asciiTheme="majorBidi" w:hAnsiTheme="majorBidi" w:cstheme="majorBidi"/>
              <w:i/>
              <w:iCs/>
              <w:noProof/>
              <w:sz w:val="24"/>
              <w:szCs w:val="24"/>
              <w:lang w:val="en-US"/>
            </w:rPr>
            <w:t>Asia Pacific Journal of Marketing and Logistics, 32</w:t>
          </w:r>
          <w:r w:rsidRPr="009C6DC2">
            <w:rPr>
              <w:rFonts w:asciiTheme="majorBidi" w:hAnsiTheme="majorBidi" w:cstheme="majorBidi"/>
              <w:noProof/>
              <w:sz w:val="24"/>
              <w:szCs w:val="24"/>
              <w:lang w:val="en-US"/>
            </w:rPr>
            <w:t>(04), 860-878. doi:https://doi.org/10.1108/APJML-03-2019-0178</w:t>
          </w:r>
        </w:p>
        <w:p w14:paraId="1239B55E" w14:textId="5F551AB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Sundar, A., Cao, E., Wu, R., &amp; Kardes, F. R. (2021). </w:t>
          </w:r>
          <w:r w:rsidRPr="009C6DC2">
            <w:rPr>
              <w:rFonts w:asciiTheme="majorBidi" w:hAnsiTheme="majorBidi" w:cstheme="majorBidi"/>
              <w:noProof/>
              <w:sz w:val="24"/>
              <w:szCs w:val="24"/>
              <w:lang w:val="en-US"/>
            </w:rPr>
            <w:t xml:space="preserve">Is unnatural unhealthy? Think about it: Overcoming negative halo effects from food labels. </w:t>
          </w:r>
          <w:r w:rsidRPr="009C6DC2">
            <w:rPr>
              <w:rFonts w:asciiTheme="majorBidi" w:hAnsiTheme="majorBidi" w:cstheme="majorBidi"/>
              <w:i/>
              <w:iCs/>
              <w:noProof/>
              <w:sz w:val="24"/>
              <w:szCs w:val="24"/>
              <w:lang w:val="en-US"/>
            </w:rPr>
            <w:t>Psychology &amp; Marketing, 38</w:t>
          </w:r>
          <w:r w:rsidRPr="009C6DC2">
            <w:rPr>
              <w:rFonts w:asciiTheme="majorBidi" w:hAnsiTheme="majorBidi" w:cstheme="majorBidi"/>
              <w:noProof/>
              <w:sz w:val="24"/>
              <w:szCs w:val="24"/>
              <w:lang w:val="en-US"/>
            </w:rPr>
            <w:t>(8), 1280-1292. doi:https://doi.org/10.1002/mar.21485</w:t>
          </w:r>
        </w:p>
        <w:p w14:paraId="4AEF95DD" w14:textId="28E0488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Surucu , L., &amp; Maslakci , A. (2020). VALIDITY AND RELIABILITY IN QUANTITATIVE RESEARCH. </w:t>
          </w:r>
          <w:r w:rsidRPr="009C6DC2">
            <w:rPr>
              <w:rFonts w:asciiTheme="majorBidi" w:hAnsiTheme="majorBidi" w:cstheme="majorBidi"/>
              <w:i/>
              <w:iCs/>
              <w:noProof/>
              <w:sz w:val="24"/>
              <w:szCs w:val="24"/>
              <w:lang w:val="en-US"/>
            </w:rPr>
            <w:t>Business &amp; Management Studies: An International Journal, 8</w:t>
          </w:r>
          <w:r w:rsidRPr="009C6DC2">
            <w:rPr>
              <w:rFonts w:asciiTheme="majorBidi" w:hAnsiTheme="majorBidi" w:cstheme="majorBidi"/>
              <w:noProof/>
              <w:sz w:val="24"/>
              <w:szCs w:val="24"/>
              <w:lang w:val="en-US"/>
            </w:rPr>
            <w:t>(3), 2694–2726. doi:https://doi.org/10.15295/bmij.v8i3.1540</w:t>
          </w:r>
        </w:p>
        <w:p w14:paraId="64551A65" w14:textId="2C10E2D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Sussman, R., &amp; Gifford, R. (2018). Causality in the Theory of Planned Behavior. </w:t>
          </w:r>
          <w:r w:rsidRPr="009C6DC2">
            <w:rPr>
              <w:rFonts w:asciiTheme="majorBidi" w:hAnsiTheme="majorBidi" w:cstheme="majorBidi"/>
              <w:i/>
              <w:iCs/>
              <w:noProof/>
              <w:sz w:val="24"/>
              <w:szCs w:val="24"/>
              <w:lang w:val="en-US"/>
            </w:rPr>
            <w:t>Personality and Social Psychology Bulletin, 45</w:t>
          </w:r>
          <w:r w:rsidRPr="009C6DC2">
            <w:rPr>
              <w:rFonts w:asciiTheme="majorBidi" w:hAnsiTheme="majorBidi" w:cstheme="majorBidi"/>
              <w:noProof/>
              <w:sz w:val="24"/>
              <w:szCs w:val="24"/>
              <w:lang w:val="en-US"/>
            </w:rPr>
            <w:t>(6), 922-933. doi:https://doi.org/10.1177/0146167218801363</w:t>
          </w:r>
        </w:p>
        <w:p w14:paraId="2FE29019" w14:textId="02EA45B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Sutton, A. W., Baldwin, S. P., Wood, L., &amp; Hoffman, B. J. (2013). A meta-analysis of the relationship between Rater Liking and Performance Ratings. </w:t>
          </w:r>
          <w:r w:rsidRPr="009C6DC2">
            <w:rPr>
              <w:rFonts w:asciiTheme="majorBidi" w:hAnsiTheme="majorBidi" w:cstheme="majorBidi"/>
              <w:i/>
              <w:iCs/>
              <w:noProof/>
              <w:sz w:val="24"/>
              <w:szCs w:val="24"/>
              <w:lang w:val="en-US"/>
            </w:rPr>
            <w:t>Human Performance, 26</w:t>
          </w:r>
          <w:r w:rsidRPr="009C6DC2">
            <w:rPr>
              <w:rFonts w:asciiTheme="majorBidi" w:hAnsiTheme="majorBidi" w:cstheme="majorBidi"/>
              <w:noProof/>
              <w:sz w:val="24"/>
              <w:szCs w:val="24"/>
              <w:lang w:val="en-US"/>
            </w:rPr>
            <w:t>(05), 409-429. doi:10.1080/08959285.2013.836523</w:t>
          </w:r>
        </w:p>
        <w:p w14:paraId="21BEEF24" w14:textId="1692869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Sutton, J., &amp; Austin, Z. (2015). Qualitative Research: Data Collection, Analysis, and Management. </w:t>
          </w:r>
          <w:r w:rsidRPr="009C6DC2">
            <w:rPr>
              <w:rFonts w:asciiTheme="majorBidi" w:hAnsiTheme="majorBidi" w:cstheme="majorBidi"/>
              <w:i/>
              <w:iCs/>
              <w:noProof/>
              <w:sz w:val="24"/>
              <w:szCs w:val="24"/>
              <w:lang w:val="en-US"/>
            </w:rPr>
            <w:t>The Canadian Journal of Hospital Pharmacy, 68</w:t>
          </w:r>
          <w:r w:rsidRPr="009C6DC2">
            <w:rPr>
              <w:rFonts w:asciiTheme="majorBidi" w:hAnsiTheme="majorBidi" w:cstheme="majorBidi"/>
              <w:noProof/>
              <w:sz w:val="24"/>
              <w:szCs w:val="24"/>
              <w:lang w:val="en-US"/>
            </w:rPr>
            <w:t>(3), 226-231. doi:10.4212/cjhp.v68i3.1456</w:t>
          </w:r>
        </w:p>
        <w:p w14:paraId="34E90CAC" w14:textId="5386FBE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Sutton, S. (1998). Predicting and Explaining Intentions and Behavior: How Well Are We Doing? </w:t>
          </w:r>
          <w:r w:rsidRPr="009C6DC2">
            <w:rPr>
              <w:rFonts w:asciiTheme="majorBidi" w:hAnsiTheme="majorBidi" w:cstheme="majorBidi"/>
              <w:i/>
              <w:iCs/>
              <w:noProof/>
              <w:sz w:val="24"/>
              <w:szCs w:val="24"/>
              <w:lang w:val="en-US"/>
            </w:rPr>
            <w:t>Journal of Applied Social Psychology, 28</w:t>
          </w:r>
          <w:r w:rsidRPr="009C6DC2">
            <w:rPr>
              <w:rFonts w:asciiTheme="majorBidi" w:hAnsiTheme="majorBidi" w:cstheme="majorBidi"/>
              <w:noProof/>
              <w:sz w:val="24"/>
              <w:szCs w:val="24"/>
              <w:lang w:val="en-US"/>
            </w:rPr>
            <w:t>(15), 1317-1338. doi:https://doi.org/10.1111/j.1559-1816.1998.tb01679.x</w:t>
          </w:r>
        </w:p>
        <w:p w14:paraId="6B97FF18" w14:textId="030490D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Swaen, V., Demoulin, N., &amp; Pauwels-Delassus, V. (2021). Impact of customers’ perceptions regarding corporate social responsibility and irresponsibility in the grocery retailing industry: The role of corporate reputation. </w:t>
          </w:r>
          <w:r w:rsidRPr="009C6DC2">
            <w:rPr>
              <w:rFonts w:asciiTheme="majorBidi" w:hAnsiTheme="majorBidi" w:cstheme="majorBidi"/>
              <w:i/>
              <w:iCs/>
              <w:noProof/>
              <w:sz w:val="24"/>
              <w:szCs w:val="24"/>
              <w:lang w:val="en-US"/>
            </w:rPr>
            <w:t>Journal of Business Research, 131</w:t>
          </w:r>
          <w:r w:rsidRPr="009C6DC2">
            <w:rPr>
              <w:rFonts w:asciiTheme="majorBidi" w:hAnsiTheme="majorBidi" w:cstheme="majorBidi"/>
              <w:noProof/>
              <w:sz w:val="24"/>
              <w:szCs w:val="24"/>
              <w:lang w:val="en-US"/>
            </w:rPr>
            <w:t>, 709-721. doi:https://doi.org/10.1016/j.jbusres.2020.12.016</w:t>
          </w:r>
        </w:p>
        <w:p w14:paraId="4122290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Szarková, X., Kozáková, J., &amp; Savov, R. (2022). How to target millennials as beer consumers through social responsibility? The case of Plzenský Prazdroj. </w:t>
          </w:r>
          <w:r w:rsidRPr="009C6DC2">
            <w:rPr>
              <w:rFonts w:asciiTheme="majorBidi" w:hAnsiTheme="majorBidi" w:cstheme="majorBidi"/>
              <w:i/>
              <w:iCs/>
              <w:noProof/>
              <w:sz w:val="24"/>
              <w:szCs w:val="24"/>
              <w:lang w:val="en-US"/>
            </w:rPr>
            <w:t>Slovak Journal of Food Sciences, 16</w:t>
          </w:r>
          <w:r w:rsidRPr="009C6DC2">
            <w:rPr>
              <w:rFonts w:asciiTheme="majorBidi" w:hAnsiTheme="majorBidi" w:cstheme="majorBidi"/>
              <w:noProof/>
              <w:sz w:val="24"/>
              <w:szCs w:val="24"/>
              <w:lang w:val="en-US"/>
            </w:rPr>
            <w:t>, 670-687. Retrieved 08 19, 2023, from https://web.s.ebscohost.com/abstract?site=ehost&amp;scope=site&amp;jrnl=13389971&amp;AN=161778133&amp;h=27aGVIRv%2bacaP4rYP%2fyQSqplfxq9zV%2bF5qL9h%2fiEjkF5HRQZDcfKx8ATiNZh3rDrg1ScIXG2nbOa6NFIJbJWEg%3d%3d&amp;crl=c&amp;resultLocal=ErrCrlNoResults&amp;resultNs=Ehost&amp;crlhashurl=login.</w:t>
          </w:r>
        </w:p>
        <w:p w14:paraId="568D3F12" w14:textId="66F857A3" w:rsidR="006E2490" w:rsidRPr="009C6DC2" w:rsidRDefault="006E2490" w:rsidP="006E2490">
          <w:pPr>
            <w:ind w:left="720" w:hanging="720"/>
            <w:rPr>
              <w:rFonts w:asciiTheme="majorBidi" w:hAnsiTheme="majorBidi" w:cstheme="majorBidi"/>
              <w:noProof/>
              <w:sz w:val="24"/>
              <w:szCs w:val="24"/>
              <w:lang w:val="en-US"/>
            </w:rPr>
          </w:pPr>
          <w:r w:rsidRPr="007E3AAA">
            <w:rPr>
              <w:rFonts w:asciiTheme="majorBidi" w:hAnsiTheme="majorBidi" w:cstheme="majorBidi"/>
              <w:noProof/>
              <w:sz w:val="24"/>
              <w:szCs w:val="24"/>
              <w:lang w:val="pl-PL"/>
            </w:rPr>
            <w:t xml:space="preserve">Szymkowiak, A., Gaczek, P., &amp; Padma, P. (2021). </w:t>
          </w:r>
          <w:r w:rsidRPr="009C6DC2">
            <w:rPr>
              <w:rFonts w:asciiTheme="majorBidi" w:hAnsiTheme="majorBidi" w:cstheme="majorBidi"/>
              <w:noProof/>
              <w:sz w:val="24"/>
              <w:szCs w:val="24"/>
              <w:lang w:val="en-US"/>
            </w:rPr>
            <w:t xml:space="preserve">Impulse buying in hospitality: The role of content posted by social media influencers. </w:t>
          </w:r>
          <w:r w:rsidRPr="009C6DC2">
            <w:rPr>
              <w:rFonts w:asciiTheme="majorBidi" w:hAnsiTheme="majorBidi" w:cstheme="majorBidi"/>
              <w:i/>
              <w:iCs/>
              <w:noProof/>
              <w:sz w:val="24"/>
              <w:szCs w:val="24"/>
              <w:lang w:val="en-US"/>
            </w:rPr>
            <w:t>Journal of Vacation Marketing, 27</w:t>
          </w:r>
          <w:r w:rsidRPr="009C6DC2">
            <w:rPr>
              <w:rFonts w:asciiTheme="majorBidi" w:hAnsiTheme="majorBidi" w:cstheme="majorBidi"/>
              <w:noProof/>
              <w:sz w:val="24"/>
              <w:szCs w:val="24"/>
              <w:lang w:val="en-US"/>
            </w:rPr>
            <w:t>(4), 385-399. doi:https://doi.org/10.1177/13567667211003216</w:t>
          </w:r>
        </w:p>
        <w:p w14:paraId="03B9789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Taber, K. S. (2018). The Use of Cronbach’s Alpha When Developing and Reporting Research Instruments in Science Education. </w:t>
          </w:r>
          <w:r w:rsidRPr="009C6DC2">
            <w:rPr>
              <w:rFonts w:asciiTheme="majorBidi" w:hAnsiTheme="majorBidi" w:cstheme="majorBidi"/>
              <w:i/>
              <w:iCs/>
              <w:noProof/>
              <w:sz w:val="24"/>
              <w:szCs w:val="24"/>
              <w:lang w:val="en-US"/>
            </w:rPr>
            <w:t>Research in Science Education, 48</w:t>
          </w:r>
          <w:r w:rsidRPr="009C6DC2">
            <w:rPr>
              <w:rFonts w:asciiTheme="majorBidi" w:hAnsiTheme="majorBidi" w:cstheme="majorBidi"/>
              <w:noProof/>
              <w:sz w:val="24"/>
              <w:szCs w:val="24"/>
              <w:lang w:val="en-US"/>
            </w:rPr>
            <w:t>, 1273-1296. doi:10.1007/s11165-016-9602-2</w:t>
          </w:r>
        </w:p>
        <w:p w14:paraId="7D543E00" w14:textId="649D6A2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Tackx, K., Rothenberger, S., &amp; Verdin, P. (2017). Is advertising for losers? An empirical study from a value creation and value capturing perspective. </w:t>
          </w:r>
          <w:r w:rsidRPr="009C6DC2">
            <w:rPr>
              <w:rFonts w:asciiTheme="majorBidi" w:hAnsiTheme="majorBidi" w:cstheme="majorBidi"/>
              <w:i/>
              <w:iCs/>
              <w:noProof/>
              <w:sz w:val="24"/>
              <w:szCs w:val="24"/>
              <w:lang w:val="en-US"/>
            </w:rPr>
            <w:t>European Management Journal, 35</w:t>
          </w:r>
          <w:r w:rsidRPr="009C6DC2">
            <w:rPr>
              <w:rFonts w:asciiTheme="majorBidi" w:hAnsiTheme="majorBidi" w:cstheme="majorBidi"/>
              <w:noProof/>
              <w:sz w:val="24"/>
              <w:szCs w:val="24"/>
              <w:lang w:val="en-US"/>
            </w:rPr>
            <w:t>(3), 327-335. doi:https://doi.org/10.1016/j.emj.2016.07.008</w:t>
          </w:r>
        </w:p>
        <w:p w14:paraId="23DB7D96" w14:textId="0A4F50B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Tajfel, H., Billig, M. G., Flament, C., &amp; Bundy, R. P. (1971). Social categorization and intergorup behavior. </w:t>
          </w:r>
          <w:r w:rsidRPr="009C6DC2">
            <w:rPr>
              <w:rFonts w:asciiTheme="majorBidi" w:hAnsiTheme="majorBidi" w:cstheme="majorBidi"/>
              <w:i/>
              <w:iCs/>
              <w:noProof/>
              <w:sz w:val="24"/>
              <w:szCs w:val="24"/>
              <w:lang w:val="en-US"/>
            </w:rPr>
            <w:t>European Journal of Social Psychology, 1</w:t>
          </w:r>
          <w:r w:rsidRPr="009C6DC2">
            <w:rPr>
              <w:rFonts w:asciiTheme="majorBidi" w:hAnsiTheme="majorBidi" w:cstheme="majorBidi"/>
              <w:noProof/>
              <w:sz w:val="24"/>
              <w:szCs w:val="24"/>
              <w:lang w:val="en-US"/>
            </w:rPr>
            <w:t>(2), 149-178. doi:https://doi.org/10.1002/ejsp.2420010202</w:t>
          </w:r>
        </w:p>
        <w:p w14:paraId="366DB970" w14:textId="2D02E26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Taman, G. (2022). </w:t>
          </w:r>
          <w:r w:rsidRPr="009C6DC2">
            <w:rPr>
              <w:rFonts w:asciiTheme="majorBidi" w:hAnsiTheme="majorBidi" w:cstheme="majorBidi"/>
              <w:i/>
              <w:iCs/>
              <w:noProof/>
              <w:sz w:val="24"/>
              <w:szCs w:val="24"/>
              <w:lang w:val="en-US"/>
            </w:rPr>
            <w:t>The Arab Compound Utopia: Are We Moving Towards A Residential Bubble?</w:t>
          </w:r>
          <w:r w:rsidRPr="009C6DC2">
            <w:rPr>
              <w:rFonts w:asciiTheme="majorBidi" w:hAnsiTheme="majorBidi" w:cstheme="majorBidi"/>
              <w:noProof/>
              <w:sz w:val="24"/>
              <w:szCs w:val="24"/>
              <w:lang w:val="en-US"/>
            </w:rPr>
            <w:t xml:space="preserve"> Retrieved from Scoop Empire: https://scoopempire.com/the-arab-compound-utopia-are-we-moving-towards-a-residential-bubble/</w:t>
          </w:r>
        </w:p>
        <w:p w14:paraId="2A6FBE47" w14:textId="0CDF239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Tandon, A., Jabeen , F., Talwar, S., Sakashita, M., &amp; Dhir, A. (2021). </w:t>
          </w:r>
          <w:r w:rsidRPr="009C6DC2">
            <w:rPr>
              <w:rFonts w:asciiTheme="majorBidi" w:hAnsiTheme="majorBidi" w:cstheme="majorBidi"/>
              <w:noProof/>
              <w:sz w:val="24"/>
              <w:szCs w:val="24"/>
              <w:lang w:val="en-US"/>
            </w:rPr>
            <w:t xml:space="preserve">Facilitators and Inhibitors of Organic Food Buying Behavior. </w:t>
          </w:r>
          <w:r w:rsidRPr="009C6DC2">
            <w:rPr>
              <w:rFonts w:asciiTheme="majorBidi" w:hAnsiTheme="majorBidi" w:cstheme="majorBidi"/>
              <w:i/>
              <w:iCs/>
              <w:noProof/>
              <w:sz w:val="24"/>
              <w:szCs w:val="24"/>
              <w:lang w:val="en-US"/>
            </w:rPr>
            <w:t>Food Quality and Preference, 88</w:t>
          </w:r>
          <w:r w:rsidRPr="009C6DC2">
            <w:rPr>
              <w:rFonts w:asciiTheme="majorBidi" w:hAnsiTheme="majorBidi" w:cstheme="majorBidi"/>
              <w:noProof/>
              <w:sz w:val="24"/>
              <w:szCs w:val="24"/>
              <w:lang w:val="en-US"/>
            </w:rPr>
            <w:t>. doi:https://doi.org/10.1016/j.foodqual.2020.104077</w:t>
          </w:r>
        </w:p>
        <w:p w14:paraId="1BE3734D" w14:textId="238E15C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Tang, Z., Hull, C. E., &amp; Rothenberg, S. (2012). How Corporate Social Responsibility Engagement Strategy Moderates the CSR–Financial Performance Relationship. </w:t>
          </w:r>
          <w:r w:rsidRPr="009C6DC2">
            <w:rPr>
              <w:rFonts w:asciiTheme="majorBidi" w:hAnsiTheme="majorBidi" w:cstheme="majorBidi"/>
              <w:i/>
              <w:iCs/>
              <w:noProof/>
              <w:sz w:val="24"/>
              <w:szCs w:val="24"/>
              <w:lang w:val="en-US"/>
            </w:rPr>
            <w:t>Journal of Management Studies</w:t>
          </w:r>
          <w:r w:rsidRPr="009C6DC2">
            <w:rPr>
              <w:rFonts w:asciiTheme="majorBidi" w:hAnsiTheme="majorBidi" w:cstheme="majorBidi"/>
              <w:noProof/>
              <w:sz w:val="24"/>
              <w:szCs w:val="24"/>
              <w:lang w:val="en-US"/>
            </w:rPr>
            <w:t>. doi:https://doi.org/10.1111/j.1467-6486.2012.01068.x</w:t>
          </w:r>
        </w:p>
        <w:p w14:paraId="7FCB0BB6" w14:textId="61F0372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Tarabashkina, L., Tarabashkina, O., Quester, P., &amp; Soutar, G. N. (2020). Does corporate social responsibility improve brands’ responsible and active personality dimensions? An experimental investigation. </w:t>
          </w:r>
          <w:r w:rsidRPr="009C6DC2">
            <w:rPr>
              <w:rFonts w:asciiTheme="majorBidi" w:hAnsiTheme="majorBidi" w:cstheme="majorBidi"/>
              <w:i/>
              <w:iCs/>
              <w:noProof/>
              <w:sz w:val="24"/>
              <w:szCs w:val="24"/>
              <w:lang w:val="en-US"/>
            </w:rPr>
            <w:t>Journal of Product &amp; Brand Management, 30</w:t>
          </w:r>
          <w:r w:rsidRPr="009C6DC2">
            <w:rPr>
              <w:rFonts w:asciiTheme="majorBidi" w:hAnsiTheme="majorBidi" w:cstheme="majorBidi"/>
              <w:noProof/>
              <w:sz w:val="24"/>
              <w:szCs w:val="24"/>
              <w:lang w:val="en-US"/>
            </w:rPr>
            <w:t>(7), 1016-1032. doi:https://doi.org/10.1108/JPBM-01-2020-2720</w:t>
          </w:r>
        </w:p>
        <w:p w14:paraId="2B8D54E8" w14:textId="485E973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Tavakol, M., &amp; Wetzel, A. (2020). Factor Analysis: a means for theory and instrument development in support of construct validity. </w:t>
          </w:r>
          <w:r w:rsidRPr="009C6DC2">
            <w:rPr>
              <w:rFonts w:asciiTheme="majorBidi" w:hAnsiTheme="majorBidi" w:cstheme="majorBidi"/>
              <w:i/>
              <w:iCs/>
              <w:noProof/>
              <w:sz w:val="24"/>
              <w:szCs w:val="24"/>
              <w:lang w:val="en-US"/>
            </w:rPr>
            <w:t>International Journal of Medical Education</w:t>
          </w:r>
          <w:r w:rsidRPr="009C6DC2">
            <w:rPr>
              <w:rFonts w:asciiTheme="majorBidi" w:hAnsiTheme="majorBidi" w:cstheme="majorBidi"/>
              <w:noProof/>
              <w:sz w:val="24"/>
              <w:szCs w:val="24"/>
              <w:lang w:val="en-US"/>
            </w:rPr>
            <w:t>, 245-247. doi:10.5116/ijme.5f96.0f4a</w:t>
          </w:r>
        </w:p>
        <w:p w14:paraId="67FF11A2" w14:textId="51CE2DB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Taylor, C. R. (2018). Red Alert: On The Need for More Research on Corporate Social Responsibility Appeals in Advertising. </w:t>
          </w:r>
          <w:r w:rsidRPr="009C6DC2">
            <w:rPr>
              <w:rFonts w:asciiTheme="majorBidi" w:hAnsiTheme="majorBidi" w:cstheme="majorBidi"/>
              <w:i/>
              <w:iCs/>
              <w:noProof/>
              <w:sz w:val="24"/>
              <w:szCs w:val="24"/>
              <w:lang w:val="en-US"/>
            </w:rPr>
            <w:t>International Journal of Advertising, 37</w:t>
          </w:r>
          <w:r w:rsidRPr="009C6DC2">
            <w:rPr>
              <w:rFonts w:asciiTheme="majorBidi" w:hAnsiTheme="majorBidi" w:cstheme="majorBidi"/>
              <w:noProof/>
              <w:sz w:val="24"/>
              <w:szCs w:val="24"/>
              <w:lang w:val="en-US"/>
            </w:rPr>
            <w:t>(3), 337-339. doi:https://doi.org/10.1080/02650487.2018.1458493</w:t>
          </w:r>
        </w:p>
        <w:p w14:paraId="3F546D63" w14:textId="7C03BC2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Taylor, E. (2023). </w:t>
          </w:r>
          <w:r w:rsidRPr="009C6DC2">
            <w:rPr>
              <w:rFonts w:asciiTheme="majorBidi" w:hAnsiTheme="majorBidi" w:cstheme="majorBidi"/>
              <w:i/>
              <w:iCs/>
              <w:noProof/>
              <w:sz w:val="24"/>
              <w:szCs w:val="24"/>
              <w:lang w:val="en-US"/>
            </w:rPr>
            <w:t>18 Demographic Survey Questions (With Examples)</w:t>
          </w:r>
          <w:r w:rsidRPr="009C6DC2">
            <w:rPr>
              <w:rFonts w:asciiTheme="majorBidi" w:hAnsiTheme="majorBidi" w:cstheme="majorBidi"/>
              <w:noProof/>
              <w:sz w:val="24"/>
              <w:szCs w:val="24"/>
              <w:lang w:val="en-US"/>
            </w:rPr>
            <w:t>. Retrieved from Driveresearch: https://www.driveresearch.com/market-research-company-blog/7-types-of-demographic-questions-to-include-in-a-market-research-survey/#DemoSQ5</w:t>
          </w:r>
        </w:p>
        <w:p w14:paraId="24F53A45" w14:textId="11774B8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Teah, K., Sung, B., &amp; Phau, I. (2021). CSR motives on situational scepticism towards luxury brands. </w:t>
          </w:r>
          <w:r w:rsidRPr="009C6DC2">
            <w:rPr>
              <w:rFonts w:asciiTheme="majorBidi" w:hAnsiTheme="majorBidi" w:cstheme="majorBidi"/>
              <w:i/>
              <w:iCs/>
              <w:noProof/>
              <w:sz w:val="24"/>
              <w:szCs w:val="24"/>
              <w:lang w:val="en-US"/>
            </w:rPr>
            <w:t>Marketing Intelligence &amp; Planning, 40</w:t>
          </w:r>
          <w:r w:rsidRPr="009C6DC2">
            <w:rPr>
              <w:rFonts w:asciiTheme="majorBidi" w:hAnsiTheme="majorBidi" w:cstheme="majorBidi"/>
              <w:noProof/>
              <w:sz w:val="24"/>
              <w:szCs w:val="24"/>
              <w:lang w:val="en-US"/>
            </w:rPr>
            <w:t>(1), 1-17. doi:https://doi.org/10.1108/MIP-05-2021-0143</w:t>
          </w:r>
        </w:p>
        <w:p w14:paraId="6EC9319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Tehseen, S., Ramayah, T., &amp; Sajilan, S. (2017). Testing and Controlling for Common Method Variance: A Review of Available Methods. </w:t>
          </w:r>
          <w:r w:rsidRPr="009C6DC2">
            <w:rPr>
              <w:rFonts w:asciiTheme="majorBidi" w:hAnsiTheme="majorBidi" w:cstheme="majorBidi"/>
              <w:i/>
              <w:iCs/>
              <w:noProof/>
              <w:sz w:val="24"/>
              <w:szCs w:val="24"/>
              <w:lang w:val="en-US"/>
            </w:rPr>
            <w:t>Journal of Management Sciences, 4</w:t>
          </w:r>
          <w:r w:rsidRPr="009C6DC2">
            <w:rPr>
              <w:rFonts w:asciiTheme="majorBidi" w:hAnsiTheme="majorBidi" w:cstheme="majorBidi"/>
              <w:noProof/>
              <w:sz w:val="24"/>
              <w:szCs w:val="24"/>
              <w:lang w:val="en-US"/>
            </w:rPr>
            <w:t>(2), 146-175. doi:10.20547/jms.2014.1704202</w:t>
          </w:r>
        </w:p>
        <w:p w14:paraId="37808DD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Tellis, G. J., MacInnis, D. J., Tirunillai, S., &amp; Zhang, Y. (2019). What Drives Virality (Sharing) of OnlineDigital Content? The Critical Role of Information, Emotion, Brand Prominence. </w:t>
          </w:r>
          <w:r w:rsidRPr="009C6DC2">
            <w:rPr>
              <w:rFonts w:asciiTheme="majorBidi" w:hAnsiTheme="majorBidi" w:cstheme="majorBidi"/>
              <w:i/>
              <w:iCs/>
              <w:noProof/>
              <w:sz w:val="24"/>
              <w:szCs w:val="24"/>
              <w:lang w:val="en-US"/>
            </w:rPr>
            <w:t>Journal of Marketing, 83</w:t>
          </w:r>
          <w:r w:rsidRPr="009C6DC2">
            <w:rPr>
              <w:rFonts w:asciiTheme="majorBidi" w:hAnsiTheme="majorBidi" w:cstheme="majorBidi"/>
              <w:noProof/>
              <w:sz w:val="24"/>
              <w:szCs w:val="24"/>
              <w:lang w:val="en-US"/>
            </w:rPr>
            <w:t>(4), 1-20. doi:https://doi.org/10.1177/0022242919841034</w:t>
          </w:r>
        </w:p>
        <w:p w14:paraId="59CDD05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Teneva, E. V. (2020). THE HALO EFFECT IN THE POLITICAL DISCOURSE OF THE ENGLISH-LANGUAGE ONLINE MEDIA. </w:t>
          </w:r>
          <w:r w:rsidRPr="009C6DC2">
            <w:rPr>
              <w:rFonts w:asciiTheme="majorBidi" w:hAnsiTheme="majorBidi" w:cstheme="majorBidi"/>
              <w:i/>
              <w:iCs/>
              <w:noProof/>
              <w:sz w:val="24"/>
              <w:szCs w:val="24"/>
              <w:lang w:val="en-US"/>
            </w:rPr>
            <w:t>Russian linguistic bulletin</w:t>
          </w:r>
          <w:r w:rsidRPr="009C6DC2">
            <w:rPr>
              <w:rFonts w:asciiTheme="majorBidi" w:hAnsiTheme="majorBidi" w:cstheme="majorBidi"/>
              <w:noProof/>
              <w:sz w:val="24"/>
              <w:szCs w:val="24"/>
              <w:lang w:val="en-US"/>
            </w:rPr>
            <w:t>, 106-109. Retrieved 06 02, 2023, from https://rulb.org/media/legacy_articles/rulb_1137.pdf</w:t>
          </w:r>
        </w:p>
        <w:p w14:paraId="47BF4B2A" w14:textId="6CF19EA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Teng, X., Teng, Y.-M., Wu, K.-S., &amp; Chang, B.-G. (2021). Corporate Social Responsibility in Public Health During the COVID-19 Pandemic: Quarantine Hotel in China. </w:t>
          </w:r>
          <w:r w:rsidRPr="009C6DC2">
            <w:rPr>
              <w:rFonts w:asciiTheme="majorBidi" w:hAnsiTheme="majorBidi" w:cstheme="majorBidi"/>
              <w:i/>
              <w:iCs/>
              <w:noProof/>
              <w:sz w:val="24"/>
              <w:szCs w:val="24"/>
              <w:lang w:val="en-US"/>
            </w:rPr>
            <w:t>Frontiers in Public Health, 9</w:t>
          </w:r>
          <w:r w:rsidRPr="009C6DC2">
            <w:rPr>
              <w:rFonts w:asciiTheme="majorBidi" w:hAnsiTheme="majorBidi" w:cstheme="majorBidi"/>
              <w:noProof/>
              <w:sz w:val="24"/>
              <w:szCs w:val="24"/>
              <w:lang w:val="en-US"/>
            </w:rPr>
            <w:t>. doi:https://doi.org/10.3389/fpubh.2021.620930</w:t>
          </w:r>
        </w:p>
        <w:p w14:paraId="10B359C3"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Teo, T. (2016). Modelling Facebook usage among university students in Thailand: the role of emotional attachment in an extended technology acceptance model. </w:t>
          </w:r>
          <w:r w:rsidRPr="009C6DC2">
            <w:rPr>
              <w:rFonts w:asciiTheme="majorBidi" w:hAnsiTheme="majorBidi" w:cstheme="majorBidi"/>
              <w:i/>
              <w:iCs/>
              <w:noProof/>
              <w:sz w:val="24"/>
              <w:szCs w:val="24"/>
              <w:lang w:val="en-US"/>
            </w:rPr>
            <w:t>Interactive Learning Environments , 24</w:t>
          </w:r>
          <w:r w:rsidRPr="009C6DC2">
            <w:rPr>
              <w:rFonts w:asciiTheme="majorBidi" w:hAnsiTheme="majorBidi" w:cstheme="majorBidi"/>
              <w:noProof/>
              <w:sz w:val="24"/>
              <w:szCs w:val="24"/>
              <w:lang w:val="en-US"/>
            </w:rPr>
            <w:t>(4), 745-757. doi:https://doi.org/10.1080/10494820.2014.917110</w:t>
          </w:r>
        </w:p>
        <w:p w14:paraId="4B87369A" w14:textId="51A8193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Tezer, A., &amp; Tofighi, M. (2021). CSR spillover effect: the influence of a brand's corporate social responsibility activity on competing brands. </w:t>
          </w:r>
          <w:r w:rsidRPr="009C6DC2">
            <w:rPr>
              <w:rFonts w:asciiTheme="majorBidi" w:hAnsiTheme="majorBidi" w:cstheme="majorBidi"/>
              <w:i/>
              <w:iCs/>
              <w:noProof/>
              <w:sz w:val="24"/>
              <w:szCs w:val="24"/>
              <w:lang w:val="en-US"/>
            </w:rPr>
            <w:t>JOURNAL OF MARKETING MANAGEMENT, 37</w:t>
          </w:r>
          <w:r w:rsidRPr="009C6DC2">
            <w:rPr>
              <w:rFonts w:asciiTheme="majorBidi" w:hAnsiTheme="majorBidi" w:cstheme="majorBidi"/>
              <w:noProof/>
              <w:sz w:val="24"/>
              <w:szCs w:val="24"/>
              <w:lang w:val="en-US"/>
            </w:rPr>
            <w:t>(7-8), 651-670. Retrieved 12 12, 2021</w:t>
          </w:r>
        </w:p>
        <w:p w14:paraId="1D468498"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Thain, Greg, Bradley, &amp; John. (2014). </w:t>
          </w:r>
          <w:r w:rsidRPr="009C6DC2">
            <w:rPr>
              <w:rFonts w:asciiTheme="majorBidi" w:hAnsiTheme="majorBidi" w:cstheme="majorBidi"/>
              <w:i/>
              <w:iCs/>
              <w:noProof/>
              <w:sz w:val="24"/>
              <w:szCs w:val="24"/>
              <w:lang w:val="en-US"/>
            </w:rPr>
            <w:t>FMCG : The Power of Fast-Moving Consumer Goods.</w:t>
          </w:r>
          <w:r w:rsidRPr="009C6DC2">
            <w:rPr>
              <w:rFonts w:asciiTheme="majorBidi" w:hAnsiTheme="majorBidi" w:cstheme="majorBidi"/>
              <w:noProof/>
              <w:sz w:val="24"/>
              <w:szCs w:val="24"/>
              <w:lang w:val="en-US"/>
            </w:rPr>
            <w:t xml:space="preserve"> First Edition Design Publishing. Retrieved 02 22, 2023</w:t>
          </w:r>
        </w:p>
        <w:p w14:paraId="35597C1C" w14:textId="35B8DFD3"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Thapa, D., Gabrhel, V., &amp; Mishra, S. (202</w:t>
          </w:r>
          <w:r w:rsidR="009613F1">
            <w:rPr>
              <w:rFonts w:asciiTheme="majorBidi" w:hAnsiTheme="majorBidi" w:cstheme="majorBidi"/>
              <w:noProof/>
              <w:sz w:val="24"/>
              <w:szCs w:val="24"/>
            </w:rPr>
            <w:t>1</w:t>
          </w:r>
          <w:r w:rsidRPr="002D684C">
            <w:rPr>
              <w:rFonts w:asciiTheme="majorBidi" w:hAnsiTheme="majorBidi" w:cstheme="majorBidi"/>
              <w:noProof/>
              <w:sz w:val="24"/>
              <w:szCs w:val="24"/>
            </w:rPr>
            <w:t xml:space="preserve">). </w:t>
          </w:r>
          <w:r w:rsidRPr="009C6DC2">
            <w:rPr>
              <w:rFonts w:asciiTheme="majorBidi" w:hAnsiTheme="majorBidi" w:cstheme="majorBidi"/>
              <w:noProof/>
              <w:sz w:val="24"/>
              <w:szCs w:val="24"/>
              <w:lang w:val="en-US"/>
            </w:rPr>
            <w:t xml:space="preserve">What are the factors determining user intentions to use AV while impaired? </w:t>
          </w:r>
          <w:r w:rsidRPr="009C6DC2">
            <w:rPr>
              <w:rFonts w:asciiTheme="majorBidi" w:hAnsiTheme="majorBidi" w:cstheme="majorBidi"/>
              <w:i/>
              <w:iCs/>
              <w:noProof/>
              <w:sz w:val="24"/>
              <w:szCs w:val="24"/>
              <w:lang w:val="en-US"/>
            </w:rPr>
            <w:t>Transportation Research Part F: Traffic Psychology and Behaviour, 82</w:t>
          </w:r>
          <w:r w:rsidRPr="009C6DC2">
            <w:rPr>
              <w:rFonts w:asciiTheme="majorBidi" w:hAnsiTheme="majorBidi" w:cstheme="majorBidi"/>
              <w:noProof/>
              <w:sz w:val="24"/>
              <w:szCs w:val="24"/>
              <w:lang w:val="en-US"/>
            </w:rPr>
            <w:t>, 238-255. doi:https://doi.org/10.1016/j.trf.2021.08.008</w:t>
          </w:r>
        </w:p>
        <w:p w14:paraId="44FAFD30" w14:textId="211BE7B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Thomas, S., Jadeja, A., Vaghela , K., &amp; Shreevastava , R. (2022). </w:t>
          </w:r>
          <w:r w:rsidRPr="009C6DC2">
            <w:rPr>
              <w:rFonts w:asciiTheme="majorBidi" w:hAnsiTheme="majorBidi" w:cstheme="majorBidi"/>
              <w:noProof/>
              <w:sz w:val="24"/>
              <w:szCs w:val="24"/>
              <w:lang w:val="en-US"/>
            </w:rPr>
            <w:t xml:space="preserve">Investigating the consumers attitude toward brand and purchase intention within the context of cause-related marketing campaign for a pharmacy product. </w:t>
          </w:r>
          <w:r w:rsidRPr="009C6DC2">
            <w:rPr>
              <w:rFonts w:asciiTheme="majorBidi" w:hAnsiTheme="majorBidi" w:cstheme="majorBidi"/>
              <w:i/>
              <w:iCs/>
              <w:noProof/>
              <w:sz w:val="24"/>
              <w:szCs w:val="24"/>
              <w:lang w:val="en-US"/>
            </w:rPr>
            <w:t>International Review on Public and Nonprofit Marketing, 19</w:t>
          </w:r>
          <w:r w:rsidRPr="009C6DC2">
            <w:rPr>
              <w:rFonts w:asciiTheme="majorBidi" w:hAnsiTheme="majorBidi" w:cstheme="majorBidi"/>
              <w:noProof/>
              <w:sz w:val="24"/>
              <w:szCs w:val="24"/>
              <w:lang w:val="en-US"/>
            </w:rPr>
            <w:t>, 691-708. doi:https://doi.org/10.1007/s12208-021-00327</w:t>
          </w:r>
        </w:p>
        <w:p w14:paraId="6BCFEB0F" w14:textId="00D355A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Thomas, T., &amp; S, S. T. (2018). A STUDY TO ASSESS THE KNOWLEDGE ON DIGITAL FINANCIAL INCLUSION AMONG SCHEDULED CASTES AND SCHEDULED TRIBES. </w:t>
          </w:r>
          <w:r w:rsidRPr="009C6DC2">
            <w:rPr>
              <w:rFonts w:asciiTheme="majorBidi" w:hAnsiTheme="majorBidi" w:cstheme="majorBidi"/>
              <w:i/>
              <w:iCs/>
              <w:noProof/>
              <w:sz w:val="24"/>
              <w:szCs w:val="24"/>
              <w:lang w:val="en-US"/>
            </w:rPr>
            <w:t>International Journal of Research in Humanities, 6</w:t>
          </w:r>
          <w:r w:rsidRPr="009C6DC2">
            <w:rPr>
              <w:rFonts w:asciiTheme="majorBidi" w:hAnsiTheme="majorBidi" w:cstheme="majorBidi"/>
              <w:noProof/>
              <w:sz w:val="24"/>
              <w:szCs w:val="24"/>
              <w:lang w:val="en-US"/>
            </w:rPr>
            <w:t>(8), 367-378. Retrieved 01 23, 2023</w:t>
          </w:r>
        </w:p>
        <w:p w14:paraId="22798960" w14:textId="7DB7738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Thompson, C. J. (2019). The ‘big data’ myth and the pitfalls of ‘thick data’ opportunism: on the need for a different ontology of markets and consumption. </w:t>
          </w:r>
          <w:r w:rsidRPr="009C6DC2">
            <w:rPr>
              <w:rFonts w:asciiTheme="majorBidi" w:hAnsiTheme="majorBidi" w:cstheme="majorBidi"/>
              <w:i/>
              <w:iCs/>
              <w:noProof/>
              <w:sz w:val="24"/>
              <w:szCs w:val="24"/>
              <w:lang w:val="en-US"/>
            </w:rPr>
            <w:t>Journal of Marketing Management, 35</w:t>
          </w:r>
          <w:r w:rsidRPr="009C6DC2">
            <w:rPr>
              <w:rFonts w:asciiTheme="majorBidi" w:hAnsiTheme="majorBidi" w:cstheme="majorBidi"/>
              <w:noProof/>
              <w:sz w:val="24"/>
              <w:szCs w:val="24"/>
              <w:lang w:val="en-US"/>
            </w:rPr>
            <w:t>(3-4), 207-230. doi:https://doi.org/10.1080/0267257X.2019.1579751</w:t>
          </w:r>
        </w:p>
        <w:p w14:paraId="2B97E32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Thomson, M., MacInnis, D. J., &amp; Park, W. C. (2005). he Ties That Bind: Measuring the Strength of Consumers' Emotional Attachments to Brands. </w:t>
          </w:r>
          <w:r w:rsidRPr="009C6DC2">
            <w:rPr>
              <w:rFonts w:asciiTheme="majorBidi" w:hAnsiTheme="majorBidi" w:cstheme="majorBidi"/>
              <w:i/>
              <w:iCs/>
              <w:noProof/>
              <w:sz w:val="24"/>
              <w:szCs w:val="24"/>
              <w:lang w:val="en-US"/>
            </w:rPr>
            <w:t>Journal of Consumer Psychology, 15</w:t>
          </w:r>
          <w:r w:rsidRPr="009C6DC2">
            <w:rPr>
              <w:rFonts w:asciiTheme="majorBidi" w:hAnsiTheme="majorBidi" w:cstheme="majorBidi"/>
              <w:noProof/>
              <w:sz w:val="24"/>
              <w:szCs w:val="24"/>
              <w:lang w:val="en-US"/>
            </w:rPr>
            <w:t>(01), 77-91. doi:https://doi.org/10.1207/s15327663jcp1501_10</w:t>
          </w:r>
        </w:p>
        <w:p w14:paraId="7CF1CFEA" w14:textId="3DE4177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Tiep Le, T., Ngo, H. Q., &amp; Aureliano-Silva, L. (2021). Contribution of corporate social responsibility on SMEs' performance in an emerging market – the mediating roles of brand trust and brand loyalty. </w:t>
          </w:r>
          <w:r w:rsidRPr="009C6DC2">
            <w:rPr>
              <w:rFonts w:asciiTheme="majorBidi" w:hAnsiTheme="majorBidi" w:cstheme="majorBidi"/>
              <w:i/>
              <w:iCs/>
              <w:noProof/>
              <w:sz w:val="24"/>
              <w:szCs w:val="24"/>
              <w:lang w:val="en-US"/>
            </w:rPr>
            <w:t>International Journal of Emerging Markets</w:t>
          </w:r>
          <w:r w:rsidRPr="009C6DC2">
            <w:rPr>
              <w:rFonts w:asciiTheme="majorBidi" w:hAnsiTheme="majorBidi" w:cstheme="majorBidi"/>
              <w:noProof/>
              <w:sz w:val="24"/>
              <w:szCs w:val="24"/>
              <w:lang w:val="en-US"/>
            </w:rPr>
            <w:t>. doi:https://doi.org/10.1108/IJOEM-12-2020-1516</w:t>
          </w:r>
        </w:p>
        <w:p w14:paraId="63C23D2A" w14:textId="4E5D53C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Timonen, V., Foley, G., &amp; Conlon, C. (2018). Challenges When Using Grounded Theory: A Pragmatic Introduction to Doing GT Research. </w:t>
          </w:r>
          <w:r w:rsidRPr="009C6DC2">
            <w:rPr>
              <w:rFonts w:asciiTheme="majorBidi" w:hAnsiTheme="majorBidi" w:cstheme="majorBidi"/>
              <w:i/>
              <w:iCs/>
              <w:noProof/>
              <w:sz w:val="24"/>
              <w:szCs w:val="24"/>
              <w:lang w:val="en-US"/>
            </w:rPr>
            <w:t>International Journal of Qualitative Methods, 17</w:t>
          </w:r>
          <w:r w:rsidRPr="009C6DC2">
            <w:rPr>
              <w:rFonts w:asciiTheme="majorBidi" w:hAnsiTheme="majorBidi" w:cstheme="majorBidi"/>
              <w:noProof/>
              <w:sz w:val="24"/>
              <w:szCs w:val="24"/>
              <w:lang w:val="en-US"/>
            </w:rPr>
            <w:t>(1). doi:https://doi.org/10.1177/1609406918758086</w:t>
          </w:r>
        </w:p>
        <w:p w14:paraId="2DB16986" w14:textId="7469C88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Tolmie, C. R., Lehnert, K., &amp; Zhao, H. (2020). Formal and informal institutional pressures on corporate social responsibility: A cross-country analysis. </w:t>
          </w:r>
          <w:r w:rsidRPr="009C6DC2">
            <w:rPr>
              <w:rFonts w:asciiTheme="majorBidi" w:hAnsiTheme="majorBidi" w:cstheme="majorBidi"/>
              <w:i/>
              <w:iCs/>
              <w:noProof/>
              <w:sz w:val="24"/>
              <w:szCs w:val="24"/>
              <w:lang w:val="en-US"/>
            </w:rPr>
            <w:t>Corporate Social Responsibility and Environmental Management, 27</w:t>
          </w:r>
          <w:r w:rsidRPr="009C6DC2">
            <w:rPr>
              <w:rFonts w:asciiTheme="majorBidi" w:hAnsiTheme="majorBidi" w:cstheme="majorBidi"/>
              <w:noProof/>
              <w:sz w:val="24"/>
              <w:szCs w:val="24"/>
              <w:lang w:val="en-US"/>
            </w:rPr>
            <w:t>(2), 786-802. doi:https://doi.org/10.1002/csr.1844</w:t>
          </w:r>
        </w:p>
        <w:p w14:paraId="0A29F76D" w14:textId="4EFDCB9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Tomkovick, C., Yelkur, R., &amp; Christians, L. (2010). The USA's biggest marketing event keeps getting bigger: an in-depth look at Super Bowl advertising in the 1990s. </w:t>
          </w:r>
          <w:r w:rsidRPr="009C6DC2">
            <w:rPr>
              <w:rFonts w:asciiTheme="majorBidi" w:hAnsiTheme="majorBidi" w:cstheme="majorBidi"/>
              <w:i/>
              <w:iCs/>
              <w:noProof/>
              <w:sz w:val="24"/>
              <w:szCs w:val="24"/>
              <w:lang w:val="en-US"/>
            </w:rPr>
            <w:t>Journal of Marketing Communications, 07</w:t>
          </w:r>
          <w:r w:rsidRPr="009C6DC2">
            <w:rPr>
              <w:rFonts w:asciiTheme="majorBidi" w:hAnsiTheme="majorBidi" w:cstheme="majorBidi"/>
              <w:noProof/>
              <w:sz w:val="24"/>
              <w:szCs w:val="24"/>
              <w:lang w:val="en-US"/>
            </w:rPr>
            <w:t>(02), 89-108. doi:https://doi.org/10.1080/13527260121725</w:t>
          </w:r>
        </w:p>
        <w:p w14:paraId="0705B77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Topçu, U. C. (2018). Conspicuous consumption in relation to self-esteem, self-image and social status: an empirical study. In </w:t>
          </w:r>
          <w:r w:rsidRPr="009C6DC2">
            <w:rPr>
              <w:rFonts w:asciiTheme="majorBidi" w:hAnsiTheme="majorBidi" w:cstheme="majorBidi"/>
              <w:i/>
              <w:iCs/>
              <w:noProof/>
              <w:sz w:val="24"/>
              <w:szCs w:val="24"/>
              <w:lang w:val="en-US"/>
            </w:rPr>
            <w:t>Economy, Finance and Business in Southeastern and Central Europe</w:t>
          </w:r>
          <w:r w:rsidRPr="009C6DC2">
            <w:rPr>
              <w:rFonts w:asciiTheme="majorBidi" w:hAnsiTheme="majorBidi" w:cstheme="majorBidi"/>
              <w:noProof/>
              <w:sz w:val="24"/>
              <w:szCs w:val="24"/>
              <w:lang w:val="en-US"/>
            </w:rPr>
            <w:t xml:space="preserve"> (pp. 697-709). doi:10.1007/978-3-319-70377-0_48</w:t>
          </w:r>
        </w:p>
        <w:p w14:paraId="015CF44E" w14:textId="1D75BA5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TradeArabia. (2021). </w:t>
          </w:r>
          <w:r w:rsidRPr="009C6DC2">
            <w:rPr>
              <w:rFonts w:asciiTheme="majorBidi" w:hAnsiTheme="majorBidi" w:cstheme="majorBidi"/>
              <w:i/>
              <w:iCs/>
              <w:noProof/>
              <w:sz w:val="24"/>
              <w:szCs w:val="24"/>
              <w:lang w:val="en-US"/>
            </w:rPr>
            <w:t>Dettol, Galaxy, Nescafe &amp; Juhayna top Egypt FMCG rankings</w:t>
          </w:r>
          <w:r w:rsidRPr="009C6DC2">
            <w:rPr>
              <w:rFonts w:asciiTheme="majorBidi" w:hAnsiTheme="majorBidi" w:cstheme="majorBidi"/>
              <w:noProof/>
              <w:sz w:val="24"/>
              <w:szCs w:val="24"/>
              <w:lang w:val="en-US"/>
            </w:rPr>
            <w:t>. Retrieved from TradeArabia: http://tradearabia.com/news/RET_387545.html#:~:text=In%20the%20%27Home%20Care%27%20category,and%20fifth%20(26.4)%20respectively.</w:t>
          </w:r>
        </w:p>
        <w:p w14:paraId="66150929" w14:textId="0E3D2B5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Trenholm, R., Lantz, V., Haider, W., &amp; Knowler, D. (2018). Transfers of landowner willingness to accept: A convergent validity and reliability test using choice experiments in two Canadian watersheds. </w:t>
          </w:r>
          <w:r w:rsidRPr="009C6DC2">
            <w:rPr>
              <w:rFonts w:asciiTheme="majorBidi" w:hAnsiTheme="majorBidi" w:cstheme="majorBidi"/>
              <w:i/>
              <w:iCs/>
              <w:noProof/>
              <w:sz w:val="24"/>
              <w:szCs w:val="24"/>
              <w:lang w:val="en-US"/>
            </w:rPr>
            <w:t>Canadian Journal of Agricultural Economics</w:t>
          </w:r>
          <w:r w:rsidRPr="009C6DC2">
            <w:rPr>
              <w:rFonts w:asciiTheme="majorBidi" w:hAnsiTheme="majorBidi" w:cstheme="majorBidi"/>
              <w:noProof/>
              <w:sz w:val="24"/>
              <w:szCs w:val="24"/>
              <w:lang w:val="en-US"/>
            </w:rPr>
            <w:t>, 171-192. doi:https://doi-org.lsbu.idm.oclc.org/10.1111/cjag.12191</w:t>
          </w:r>
        </w:p>
        <w:p w14:paraId="500D45E8" w14:textId="25ADF74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Tsai, Y. H., Joe, S.-W., Lin, C.-P., Chiu, C.-K., &amp; Shen, K.-T. (2015). Exploring corporate citizenship and purchase intention: mediating effects of brand trust and corporate identification. </w:t>
          </w:r>
          <w:r w:rsidRPr="009C6DC2">
            <w:rPr>
              <w:rFonts w:asciiTheme="majorBidi" w:hAnsiTheme="majorBidi" w:cstheme="majorBidi"/>
              <w:i/>
              <w:iCs/>
              <w:noProof/>
              <w:sz w:val="24"/>
              <w:szCs w:val="24"/>
              <w:lang w:val="en-US"/>
            </w:rPr>
            <w:t>Business Ethics, the Environment and Responsibility, 24</w:t>
          </w:r>
          <w:r w:rsidRPr="009C6DC2">
            <w:rPr>
              <w:rFonts w:asciiTheme="majorBidi" w:hAnsiTheme="majorBidi" w:cstheme="majorBidi"/>
              <w:noProof/>
              <w:sz w:val="24"/>
              <w:szCs w:val="24"/>
              <w:lang w:val="en-US"/>
            </w:rPr>
            <w:t>(04), 361-377. doi:https://doi.org/10.1111/beer.12073</w:t>
          </w:r>
        </w:p>
        <w:p w14:paraId="283FBCAF" w14:textId="37B23EC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Tu, L., Khare, A., &amp; Zhanga, Y. (2012). </w:t>
          </w:r>
          <w:r w:rsidRPr="009C6DC2">
            <w:rPr>
              <w:rFonts w:asciiTheme="majorBidi" w:hAnsiTheme="majorBidi" w:cstheme="majorBidi"/>
              <w:noProof/>
              <w:sz w:val="24"/>
              <w:szCs w:val="24"/>
              <w:lang w:val="en-US"/>
            </w:rPr>
            <w:t xml:space="preserve">A short 8-item scale for measuring consumers’ local–global identity. </w:t>
          </w:r>
          <w:r w:rsidRPr="009C6DC2">
            <w:rPr>
              <w:rFonts w:asciiTheme="majorBidi" w:hAnsiTheme="majorBidi" w:cstheme="majorBidi"/>
              <w:i/>
              <w:iCs/>
              <w:noProof/>
              <w:sz w:val="24"/>
              <w:szCs w:val="24"/>
              <w:lang w:val="en-US"/>
            </w:rPr>
            <w:t>International Journal of Research in Marketing, 29</w:t>
          </w:r>
          <w:r w:rsidRPr="009C6DC2">
            <w:rPr>
              <w:rFonts w:asciiTheme="majorBidi" w:hAnsiTheme="majorBidi" w:cstheme="majorBidi"/>
              <w:noProof/>
              <w:sz w:val="24"/>
              <w:szCs w:val="24"/>
              <w:lang w:val="en-US"/>
            </w:rPr>
            <w:t>(01), 35-42. doi:https://doi.org/10.1016/j.ijresmar.2011.07.003</w:t>
          </w:r>
        </w:p>
        <w:p w14:paraId="30365287" w14:textId="6E4262A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Tuch, A. N., Roth, S. P., Hornbæk, K., Opwis, K., &amp; Bargas-Avila, J. A. (2012). Is beautiful really usable? Toward understanding the relation between usability, aesthetics, and affect in HCI. </w:t>
          </w:r>
          <w:r w:rsidRPr="009C6DC2">
            <w:rPr>
              <w:rFonts w:asciiTheme="majorBidi" w:hAnsiTheme="majorBidi" w:cstheme="majorBidi"/>
              <w:i/>
              <w:iCs/>
              <w:noProof/>
              <w:sz w:val="24"/>
              <w:szCs w:val="24"/>
              <w:lang w:val="en-US"/>
            </w:rPr>
            <w:t>Computers in Human Behavior, 28</w:t>
          </w:r>
          <w:r w:rsidRPr="009C6DC2">
            <w:rPr>
              <w:rFonts w:asciiTheme="majorBidi" w:hAnsiTheme="majorBidi" w:cstheme="majorBidi"/>
              <w:noProof/>
              <w:sz w:val="24"/>
              <w:szCs w:val="24"/>
              <w:lang w:val="en-US"/>
            </w:rPr>
            <w:t>(05), 1596-1607. doi:https://doi.org/10.1016/j.chb.2012.03.024</w:t>
          </w:r>
        </w:p>
        <w:p w14:paraId="2F08CD6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Tuckett, A. G. (2005). Applying thematic analysis theory to practice: a researcher’s experience. </w:t>
          </w:r>
          <w:r w:rsidRPr="009C6DC2">
            <w:rPr>
              <w:rFonts w:asciiTheme="majorBidi" w:hAnsiTheme="majorBidi" w:cstheme="majorBidi"/>
              <w:i/>
              <w:iCs/>
              <w:noProof/>
              <w:sz w:val="24"/>
              <w:szCs w:val="24"/>
              <w:lang w:val="en-US"/>
            </w:rPr>
            <w:t>Contemporary Nurse, 19</w:t>
          </w:r>
          <w:r w:rsidRPr="009C6DC2">
            <w:rPr>
              <w:rFonts w:asciiTheme="majorBidi" w:hAnsiTheme="majorBidi" w:cstheme="majorBidi"/>
              <w:noProof/>
              <w:sz w:val="24"/>
              <w:szCs w:val="24"/>
              <w:lang w:val="en-US"/>
            </w:rPr>
            <w:t>, 75-87.</w:t>
          </w:r>
        </w:p>
        <w:p w14:paraId="7FBD93E7" w14:textId="5DEECAF0"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Turner, D. (2016). </w:t>
          </w:r>
          <w:r w:rsidRPr="009C6DC2">
            <w:rPr>
              <w:rFonts w:asciiTheme="majorBidi" w:hAnsiTheme="majorBidi" w:cstheme="majorBidi"/>
              <w:i/>
              <w:iCs/>
              <w:noProof/>
              <w:sz w:val="24"/>
              <w:szCs w:val="24"/>
              <w:lang w:val="en-US"/>
            </w:rPr>
            <w:t>Designing a semi-structured interview guide for qualitative interviews</w:t>
          </w:r>
          <w:r w:rsidRPr="009C6DC2">
            <w:rPr>
              <w:rFonts w:asciiTheme="majorBidi" w:hAnsiTheme="majorBidi" w:cstheme="majorBidi"/>
              <w:noProof/>
              <w:sz w:val="24"/>
              <w:szCs w:val="24"/>
              <w:lang w:val="en-US"/>
            </w:rPr>
            <w:t>. Retrieved from Quirkos: https://www.quirkos.com/blog/post/semi-structured-interview-guide-qualitative-interviews/</w:t>
          </w:r>
        </w:p>
        <w:p w14:paraId="26E005CC" w14:textId="624731D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Turney, S. (2022). </w:t>
          </w:r>
          <w:r w:rsidRPr="009C6DC2">
            <w:rPr>
              <w:rFonts w:asciiTheme="majorBidi" w:hAnsiTheme="majorBidi" w:cstheme="majorBidi"/>
              <w:i/>
              <w:iCs/>
              <w:noProof/>
              <w:sz w:val="24"/>
              <w:szCs w:val="24"/>
              <w:lang w:val="en-US"/>
            </w:rPr>
            <w:t>Pearson Correlation Coefficient (r) | Guide &amp; Examples</w:t>
          </w:r>
          <w:r w:rsidRPr="009C6DC2">
            <w:rPr>
              <w:rFonts w:asciiTheme="majorBidi" w:hAnsiTheme="majorBidi" w:cstheme="majorBidi"/>
              <w:noProof/>
              <w:sz w:val="24"/>
              <w:szCs w:val="24"/>
              <w:lang w:val="en-US"/>
            </w:rPr>
            <w:t>. Retrieved 01 17, 2023, from Scribbr: https://www.scribbr.com/statistics/pearson-correlation-coefficient/#:~:text=The%20Pearson%20correlation%20coefficient%20(r,the%20relationship%20between%20two%20variables.</w:t>
          </w:r>
        </w:p>
        <w:p w14:paraId="7B4B26C4" w14:textId="0344D40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Ugalde, C., Vila-Lopez, N., &amp; Kuster-Boluda, I. (2023). </w:t>
          </w:r>
          <w:r w:rsidRPr="009C6DC2">
            <w:rPr>
              <w:rFonts w:asciiTheme="majorBidi" w:hAnsiTheme="majorBidi" w:cstheme="majorBidi"/>
              <w:noProof/>
              <w:sz w:val="24"/>
              <w:szCs w:val="24"/>
              <w:lang w:val="en-US"/>
            </w:rPr>
            <w:t xml:space="preserve">Brand attachment toward functional, symbolic and hedonic brands. </w:t>
          </w:r>
          <w:r w:rsidRPr="009C6DC2">
            <w:rPr>
              <w:rFonts w:asciiTheme="majorBidi" w:hAnsiTheme="majorBidi" w:cstheme="majorBidi"/>
              <w:i/>
              <w:iCs/>
              <w:noProof/>
              <w:sz w:val="24"/>
              <w:szCs w:val="24"/>
              <w:lang w:val="en-US"/>
            </w:rPr>
            <w:t>Journal of Fashion Marketing and Management, 27</w:t>
          </w:r>
          <w:r w:rsidRPr="009C6DC2">
            <w:rPr>
              <w:rFonts w:asciiTheme="majorBidi" w:hAnsiTheme="majorBidi" w:cstheme="majorBidi"/>
              <w:noProof/>
              <w:sz w:val="24"/>
              <w:szCs w:val="24"/>
              <w:lang w:val="en-US"/>
            </w:rPr>
            <w:t>(3), 470-488. doi:https://doi.org/10.1108/JFMM-09-2021-0228</w:t>
          </w:r>
        </w:p>
        <w:p w14:paraId="0D1B2E3C" w14:textId="3803C78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Ukaegbu, R. C. (2020). Deceptive Advertising and Consumer Reaction: A Study of Delta Soap Advertisement. </w:t>
          </w:r>
          <w:r w:rsidRPr="009C6DC2">
            <w:rPr>
              <w:rFonts w:asciiTheme="majorBidi" w:hAnsiTheme="majorBidi" w:cstheme="majorBidi"/>
              <w:i/>
              <w:iCs/>
              <w:noProof/>
              <w:sz w:val="24"/>
              <w:szCs w:val="24"/>
              <w:lang w:val="en-US"/>
            </w:rPr>
            <w:t>Open Access Library Journal, 07</w:t>
          </w:r>
          <w:r w:rsidRPr="009C6DC2">
            <w:rPr>
              <w:rFonts w:asciiTheme="majorBidi" w:hAnsiTheme="majorBidi" w:cstheme="majorBidi"/>
              <w:noProof/>
              <w:sz w:val="24"/>
              <w:szCs w:val="24"/>
              <w:lang w:val="en-US"/>
            </w:rPr>
            <w:t>(03). doi:10.4236/oalib.1105865</w:t>
          </w:r>
        </w:p>
        <w:p w14:paraId="66C95F2E" w14:textId="6B15EB1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Ul Islam, J., &amp; Rahman, Z. (2017). The impact of online brand community characteristics on customer engagement: an application of stimulus-organism-response paradigm. </w:t>
          </w:r>
          <w:r w:rsidRPr="009C6DC2">
            <w:rPr>
              <w:rFonts w:asciiTheme="majorBidi" w:hAnsiTheme="majorBidi" w:cstheme="majorBidi"/>
              <w:i/>
              <w:iCs/>
              <w:noProof/>
              <w:sz w:val="24"/>
              <w:szCs w:val="24"/>
              <w:lang w:val="en-US"/>
            </w:rPr>
            <w:t>Telematics and Informatics, 34</w:t>
          </w:r>
          <w:r w:rsidRPr="009C6DC2">
            <w:rPr>
              <w:rFonts w:asciiTheme="majorBidi" w:hAnsiTheme="majorBidi" w:cstheme="majorBidi"/>
              <w:noProof/>
              <w:sz w:val="24"/>
              <w:szCs w:val="24"/>
              <w:lang w:val="en-US"/>
            </w:rPr>
            <w:t>(4), 96-109. doi:https://doi.org/10.1016/j.tele.2017.01.004</w:t>
          </w:r>
        </w:p>
        <w:p w14:paraId="56554811" w14:textId="08312FE1" w:rsidR="006E2490"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Ul Islam, J., Rahman, Z., &amp; Hollebeek , L. D. (2018). Consumer engagement in online brand communities: a solicitation of congruity theory. </w:t>
          </w:r>
          <w:r w:rsidRPr="009C6DC2">
            <w:rPr>
              <w:rFonts w:asciiTheme="majorBidi" w:hAnsiTheme="majorBidi" w:cstheme="majorBidi"/>
              <w:i/>
              <w:iCs/>
              <w:noProof/>
              <w:sz w:val="24"/>
              <w:szCs w:val="24"/>
              <w:lang w:val="en-US"/>
            </w:rPr>
            <w:t>Internet Research, 28</w:t>
          </w:r>
          <w:r w:rsidRPr="009C6DC2">
            <w:rPr>
              <w:rFonts w:asciiTheme="majorBidi" w:hAnsiTheme="majorBidi" w:cstheme="majorBidi"/>
              <w:noProof/>
              <w:sz w:val="24"/>
              <w:szCs w:val="24"/>
              <w:lang w:val="en-US"/>
            </w:rPr>
            <w:t xml:space="preserve">(1), 23-45. doi: </w:t>
          </w:r>
          <w:hyperlink r:id="rId73" w:history="1">
            <w:r w:rsidRPr="00BB0B7E">
              <w:rPr>
                <w:rStyle w:val="Hyperlink"/>
                <w:rFonts w:asciiTheme="majorBidi" w:hAnsiTheme="majorBidi" w:cstheme="majorBidi"/>
                <w:noProof/>
                <w:sz w:val="24"/>
                <w:szCs w:val="24"/>
                <w:lang w:val="en-US"/>
              </w:rPr>
              <w:t>https://doi.org/10.1108/IntR-09-2016-0279</w:t>
            </w:r>
          </w:hyperlink>
        </w:p>
        <w:p w14:paraId="20BAA4A5" w14:textId="77777777" w:rsidR="006E2490" w:rsidRPr="009C6DC2" w:rsidRDefault="006E2490" w:rsidP="006E2490">
          <w:pPr>
            <w:ind w:left="720" w:hanging="720"/>
            <w:rPr>
              <w:rFonts w:asciiTheme="majorBidi" w:hAnsiTheme="majorBidi" w:cstheme="majorBidi"/>
              <w:noProof/>
              <w:sz w:val="24"/>
              <w:szCs w:val="24"/>
              <w:lang w:val="en-US"/>
            </w:rPr>
          </w:pPr>
          <w:r w:rsidRPr="002E34E5">
            <w:rPr>
              <w:rFonts w:asciiTheme="majorBidi" w:hAnsiTheme="majorBidi" w:cstheme="majorBidi"/>
              <w:noProof/>
              <w:sz w:val="24"/>
              <w:szCs w:val="24"/>
              <w:lang w:val="en-US"/>
            </w:rPr>
            <w:t>Uncles, M. D., &amp; Kwok, S. (2013). Designing research with in-built differentiated replication. Journal of Business Research, 66(9), 1398-1405</w:t>
          </w:r>
        </w:p>
        <w:p w14:paraId="334B1A12"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Unicef. (2017). Retrieved from Unicef: https://www.unicef.org/egypt/country-background#:~:text=The%20Egyptian%20government%20has%20a,Nile%20Valley%20south%20of%20Cairo.</w:t>
          </w:r>
        </w:p>
        <w:p w14:paraId="6333ECF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Unilever. (2019). </w:t>
          </w:r>
          <w:r w:rsidRPr="009C6DC2">
            <w:rPr>
              <w:rFonts w:asciiTheme="majorBidi" w:hAnsiTheme="majorBidi" w:cstheme="majorBidi"/>
              <w:i/>
              <w:iCs/>
              <w:noProof/>
              <w:sz w:val="24"/>
              <w:szCs w:val="24"/>
              <w:lang w:val="en-US"/>
            </w:rPr>
            <w:t>Annual Report and Accounts 2018</w:t>
          </w:r>
          <w:r w:rsidRPr="009C6DC2">
            <w:rPr>
              <w:rFonts w:asciiTheme="majorBidi" w:hAnsiTheme="majorBidi" w:cstheme="majorBidi"/>
              <w:noProof/>
              <w:sz w:val="24"/>
              <w:szCs w:val="24"/>
              <w:lang w:val="en-US"/>
            </w:rPr>
            <w:t>. Retrieved 04 01, 2022, from https://assets.unilever.com/files/92ui5egz/production/9fbb2cb4402c390d78734e74baa53603223abd8c.pdf/unilever-annual-report-and-accounts-2018.pdf</w:t>
          </w:r>
        </w:p>
        <w:p w14:paraId="5A17BEEA" w14:textId="47EA580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Upadhyay, A. K., &amp; Shukla, S. (2021). </w:t>
          </w:r>
          <w:r w:rsidRPr="009C6DC2">
            <w:rPr>
              <w:rFonts w:asciiTheme="majorBidi" w:hAnsiTheme="majorBidi" w:cstheme="majorBidi"/>
              <w:noProof/>
              <w:sz w:val="24"/>
              <w:szCs w:val="24"/>
              <w:lang w:val="en-US"/>
            </w:rPr>
            <w:t xml:space="preserve">Correlation study to identify the factors affecting COVID-19 case fatality rates in India. </w:t>
          </w:r>
          <w:r w:rsidRPr="009C6DC2">
            <w:rPr>
              <w:rFonts w:asciiTheme="majorBidi" w:hAnsiTheme="majorBidi" w:cstheme="majorBidi"/>
              <w:i/>
              <w:iCs/>
              <w:noProof/>
              <w:sz w:val="24"/>
              <w:szCs w:val="24"/>
              <w:lang w:val="en-US"/>
            </w:rPr>
            <w:t>Diabetes &amp; Metabolic Syndrome: Clinical Research &amp; Reviews, 15</w:t>
          </w:r>
          <w:r w:rsidRPr="009C6DC2">
            <w:rPr>
              <w:rFonts w:asciiTheme="majorBidi" w:hAnsiTheme="majorBidi" w:cstheme="majorBidi"/>
              <w:noProof/>
              <w:sz w:val="24"/>
              <w:szCs w:val="24"/>
              <w:lang w:val="en-US"/>
            </w:rPr>
            <w:t>(3), 993-999. doi:https://doi.org/10.1016/j.dsx.2021.04.025</w:t>
          </w:r>
        </w:p>
        <w:p w14:paraId="5C03ED66" w14:textId="180036C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Uttley, J. (2019). Power Analysis, Sample Size, and Assessment of Statistical Assumptions—Improving the Evidential Value of Lighting Research. </w:t>
          </w:r>
          <w:r w:rsidRPr="009C6DC2">
            <w:rPr>
              <w:rFonts w:asciiTheme="majorBidi" w:hAnsiTheme="majorBidi" w:cstheme="majorBidi"/>
              <w:i/>
              <w:iCs/>
              <w:noProof/>
              <w:sz w:val="24"/>
              <w:szCs w:val="24"/>
              <w:lang w:val="en-US"/>
            </w:rPr>
            <w:t>The Journal of the Illuminating Engineering Society, 15</w:t>
          </w:r>
          <w:r w:rsidRPr="009C6DC2">
            <w:rPr>
              <w:rFonts w:asciiTheme="majorBidi" w:hAnsiTheme="majorBidi" w:cstheme="majorBidi"/>
              <w:noProof/>
              <w:sz w:val="24"/>
              <w:szCs w:val="24"/>
              <w:lang w:val="en-US"/>
            </w:rPr>
            <w:t>(2-3), 143-162. doi:https://doi.org/10.1080/15502724.2018.1533851</w:t>
          </w:r>
        </w:p>
        <w:p w14:paraId="1DB74C75" w14:textId="2A3F250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Uzunoğlu, E., Türkel, S., &amp; Akyar, B. Y. (2017). </w:t>
          </w:r>
          <w:r w:rsidRPr="009C6DC2">
            <w:rPr>
              <w:rFonts w:asciiTheme="majorBidi" w:hAnsiTheme="majorBidi" w:cstheme="majorBidi"/>
              <w:noProof/>
              <w:sz w:val="24"/>
              <w:szCs w:val="24"/>
              <w:lang w:val="en-US"/>
            </w:rPr>
            <w:t xml:space="preserve">Engaging consumers through corporate social responsibility messages on social media: An experimental study. </w:t>
          </w:r>
          <w:r w:rsidRPr="009C6DC2">
            <w:rPr>
              <w:rFonts w:asciiTheme="majorBidi" w:hAnsiTheme="majorBidi" w:cstheme="majorBidi"/>
              <w:i/>
              <w:iCs/>
              <w:noProof/>
              <w:sz w:val="24"/>
              <w:szCs w:val="24"/>
              <w:lang w:val="en-US"/>
            </w:rPr>
            <w:t>Public Relations Review, 43</w:t>
          </w:r>
          <w:r w:rsidRPr="009C6DC2">
            <w:rPr>
              <w:rFonts w:asciiTheme="majorBidi" w:hAnsiTheme="majorBidi" w:cstheme="majorBidi"/>
              <w:noProof/>
              <w:sz w:val="24"/>
              <w:szCs w:val="24"/>
              <w:lang w:val="en-US"/>
            </w:rPr>
            <w:t>(5), 989-997. doi:https://doi.org/10.1016/j.pubrev.2017.03.013</w:t>
          </w:r>
        </w:p>
        <w:p w14:paraId="1BFCD549" w14:textId="5188236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Vaismoradi, M., Turunen, H., &amp; Bondas, T. (2013). Content analysis and thematic analysis: Implications for conducting a qualitative descriptive study. </w:t>
          </w:r>
          <w:r w:rsidRPr="009C6DC2">
            <w:rPr>
              <w:rFonts w:asciiTheme="majorBidi" w:hAnsiTheme="majorBidi" w:cstheme="majorBidi"/>
              <w:i/>
              <w:iCs/>
              <w:noProof/>
              <w:sz w:val="24"/>
              <w:szCs w:val="24"/>
              <w:lang w:val="en-US"/>
            </w:rPr>
            <w:t>Nursing and Health Sciences , 15</w:t>
          </w:r>
          <w:r w:rsidRPr="009C6DC2">
            <w:rPr>
              <w:rFonts w:asciiTheme="majorBidi" w:hAnsiTheme="majorBidi" w:cstheme="majorBidi"/>
              <w:noProof/>
              <w:sz w:val="24"/>
              <w:szCs w:val="24"/>
              <w:lang w:val="en-US"/>
            </w:rPr>
            <w:t>(3), 398-405. doi:https://doi.org/10.1111/nhs.12048</w:t>
          </w:r>
        </w:p>
        <w:p w14:paraId="4D8F0E83" w14:textId="77777777" w:rsidR="006E2490" w:rsidRPr="009C6DC2" w:rsidRDefault="006E2490" w:rsidP="006E2490">
          <w:pPr>
            <w:ind w:left="720" w:hanging="720"/>
            <w:rPr>
              <w:rFonts w:asciiTheme="majorBidi" w:hAnsiTheme="majorBidi" w:cstheme="majorBidi"/>
              <w:noProof/>
              <w:sz w:val="24"/>
              <w:szCs w:val="24"/>
              <w:lang w:val="sv-SE"/>
            </w:rPr>
          </w:pPr>
          <w:r w:rsidRPr="009C6DC2">
            <w:rPr>
              <w:rFonts w:asciiTheme="majorBidi" w:hAnsiTheme="majorBidi" w:cstheme="majorBidi"/>
              <w:noProof/>
              <w:sz w:val="24"/>
              <w:szCs w:val="24"/>
              <w:lang w:val="en-US"/>
            </w:rPr>
            <w:t xml:space="preserve">van Buuren, S. (2018). </w:t>
          </w:r>
          <w:r w:rsidRPr="009C6DC2">
            <w:rPr>
              <w:rFonts w:asciiTheme="majorBidi" w:hAnsiTheme="majorBidi" w:cstheme="majorBidi"/>
              <w:i/>
              <w:iCs/>
              <w:noProof/>
              <w:sz w:val="24"/>
              <w:szCs w:val="24"/>
              <w:lang w:val="en-US"/>
            </w:rPr>
            <w:t>Flexible Imputation of Missing Data</w:t>
          </w:r>
          <w:r w:rsidRPr="009C6DC2">
            <w:rPr>
              <w:rFonts w:asciiTheme="majorBidi" w:hAnsiTheme="majorBidi" w:cstheme="majorBidi"/>
              <w:noProof/>
              <w:sz w:val="24"/>
              <w:szCs w:val="24"/>
              <w:lang w:val="en-US"/>
            </w:rPr>
            <w:t xml:space="preserve"> (2nd ed.). </w:t>
          </w:r>
          <w:r w:rsidRPr="009C6DC2">
            <w:rPr>
              <w:rFonts w:asciiTheme="majorBidi" w:hAnsiTheme="majorBidi" w:cstheme="majorBidi"/>
              <w:noProof/>
              <w:sz w:val="24"/>
              <w:szCs w:val="24"/>
              <w:lang w:val="sv-SE"/>
            </w:rPr>
            <w:t>Boca Raton. doi:https://doi.org/10.1201/9780429492259</w:t>
          </w:r>
        </w:p>
        <w:p w14:paraId="042C8BE3" w14:textId="449BE58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van der Meer, M., &amp; de Jong, M. D. (2017). </w:t>
          </w:r>
          <w:r w:rsidRPr="009C6DC2">
            <w:rPr>
              <w:rFonts w:asciiTheme="majorBidi" w:hAnsiTheme="majorBidi" w:cstheme="majorBidi"/>
              <w:noProof/>
              <w:sz w:val="24"/>
              <w:szCs w:val="24"/>
              <w:lang w:val="en-US"/>
            </w:rPr>
            <w:t xml:space="preserve">How Does It Fit? Exploring the Congruence Between Organizations and Their Corporate Social Responsibility (CSR) Activities. </w:t>
          </w:r>
          <w:r w:rsidRPr="009C6DC2">
            <w:rPr>
              <w:rFonts w:asciiTheme="majorBidi" w:hAnsiTheme="majorBidi" w:cstheme="majorBidi"/>
              <w:i/>
              <w:iCs/>
              <w:noProof/>
              <w:sz w:val="24"/>
              <w:szCs w:val="24"/>
              <w:lang w:val="en-US"/>
            </w:rPr>
            <w:t>Journal of Business Ethics</w:t>
          </w:r>
          <w:r w:rsidRPr="009C6DC2">
            <w:rPr>
              <w:rFonts w:asciiTheme="majorBidi" w:hAnsiTheme="majorBidi" w:cstheme="majorBidi"/>
              <w:noProof/>
              <w:sz w:val="24"/>
              <w:szCs w:val="24"/>
              <w:lang w:val="en-US"/>
            </w:rPr>
            <w:t>, 71-83. doi:10.1007/s10551-015-2782-2</w:t>
          </w:r>
        </w:p>
        <w:p w14:paraId="3BFF4434" w14:textId="0399D5B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Vanhamme, J., Swaen, V., Berens, G., &amp; Janssen, C. (2015). Playing with fire: aggravating and buffering effects of ex ante CSR communication campaigns for companies facing allegations of social irresponsibility. </w:t>
          </w:r>
          <w:r w:rsidRPr="009C6DC2">
            <w:rPr>
              <w:rFonts w:asciiTheme="majorBidi" w:hAnsiTheme="majorBidi" w:cstheme="majorBidi"/>
              <w:i/>
              <w:iCs/>
              <w:noProof/>
              <w:sz w:val="24"/>
              <w:szCs w:val="24"/>
              <w:lang w:val="en-US"/>
            </w:rPr>
            <w:t>Marketing Letters</w:t>
          </w:r>
          <w:r w:rsidRPr="009C6DC2">
            <w:rPr>
              <w:rFonts w:asciiTheme="majorBidi" w:hAnsiTheme="majorBidi" w:cstheme="majorBidi"/>
              <w:noProof/>
              <w:sz w:val="24"/>
              <w:szCs w:val="24"/>
              <w:lang w:val="en-US"/>
            </w:rPr>
            <w:t>, 565–578. doi:https://doi.org/10.1007/s11002-014-9290-5</w:t>
          </w:r>
        </w:p>
        <w:p w14:paraId="4AE85655"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Varadarajan, P. R., &amp; Menon, A. (1988). Cause-related marketing: A coalignment of marketing strategy and corporate philanthropy. </w:t>
          </w:r>
          <w:r w:rsidRPr="009C6DC2">
            <w:rPr>
              <w:rFonts w:asciiTheme="majorBidi" w:hAnsiTheme="majorBidi" w:cstheme="majorBidi"/>
              <w:i/>
              <w:iCs/>
              <w:noProof/>
              <w:sz w:val="24"/>
              <w:szCs w:val="24"/>
              <w:lang w:val="en-US"/>
            </w:rPr>
            <w:t>Journal of marketing,, 52</w:t>
          </w:r>
          <w:r w:rsidRPr="009C6DC2">
            <w:rPr>
              <w:rFonts w:asciiTheme="majorBidi" w:hAnsiTheme="majorBidi" w:cstheme="majorBidi"/>
              <w:noProof/>
              <w:sz w:val="24"/>
              <w:szCs w:val="24"/>
              <w:lang w:val="en-US"/>
            </w:rPr>
            <w:t>(3), 58-74. doi:10.1177/002224298805200306</w:t>
          </w:r>
        </w:p>
        <w:p w14:paraId="4E44D3BE" w14:textId="0C57FB2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Vashist , D. (2018). Effect of product involvement and brand prominence on advergamers’ brand recall and brand attitude in an emerging market context. </w:t>
          </w:r>
          <w:r w:rsidRPr="009C6DC2">
            <w:rPr>
              <w:rFonts w:asciiTheme="majorBidi" w:hAnsiTheme="majorBidi" w:cstheme="majorBidi"/>
              <w:i/>
              <w:iCs/>
              <w:noProof/>
              <w:sz w:val="24"/>
              <w:szCs w:val="24"/>
              <w:lang w:val="en-US"/>
            </w:rPr>
            <w:t>Asia Pacific Journal of Marketing and Logistics, 30</w:t>
          </w:r>
          <w:r w:rsidRPr="009C6DC2">
            <w:rPr>
              <w:rFonts w:asciiTheme="majorBidi" w:hAnsiTheme="majorBidi" w:cstheme="majorBidi"/>
              <w:noProof/>
              <w:sz w:val="24"/>
              <w:szCs w:val="24"/>
              <w:lang w:val="en-US"/>
            </w:rPr>
            <w:t>(1), 43-61. doi:https://doi-org.lsbu.idm.oclc.org/10.1108/APJML-01-2016-0014</w:t>
          </w:r>
        </w:p>
        <w:p w14:paraId="417C0A32" w14:textId="2BD9935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sv-SE"/>
            </w:rPr>
            <w:t xml:space="preserve">Verhagen, T., &amp; van Dolen, W. (2011). </w:t>
          </w:r>
          <w:r w:rsidRPr="009C6DC2">
            <w:rPr>
              <w:rFonts w:asciiTheme="majorBidi" w:hAnsiTheme="majorBidi" w:cstheme="majorBidi"/>
              <w:noProof/>
              <w:sz w:val="24"/>
              <w:szCs w:val="24"/>
              <w:lang w:val="en-US"/>
            </w:rPr>
            <w:t xml:space="preserve">The influence of online store beliefs on consumer online impulse buying: A model and empirical application. </w:t>
          </w:r>
          <w:r w:rsidRPr="009C6DC2">
            <w:rPr>
              <w:rFonts w:asciiTheme="majorBidi" w:hAnsiTheme="majorBidi" w:cstheme="majorBidi"/>
              <w:i/>
              <w:iCs/>
              <w:noProof/>
              <w:sz w:val="24"/>
              <w:szCs w:val="24"/>
              <w:lang w:val="en-US"/>
            </w:rPr>
            <w:t>Information &amp; Management, 48</w:t>
          </w:r>
          <w:r w:rsidRPr="009C6DC2">
            <w:rPr>
              <w:rFonts w:asciiTheme="majorBidi" w:hAnsiTheme="majorBidi" w:cstheme="majorBidi"/>
              <w:noProof/>
              <w:sz w:val="24"/>
              <w:szCs w:val="24"/>
              <w:lang w:val="en-US"/>
            </w:rPr>
            <w:t>(8), 320-327. doi:https://doi.org/10.1016/j.im.2011.08.001</w:t>
          </w:r>
        </w:p>
        <w:p w14:paraId="4EA008C3" w14:textId="38ACCE2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Verk, N., Golob, U., &amp; Podnar , K. (2021). A Dynamic Review of the Emergence of Corporate Social Responsibility Communication. </w:t>
          </w:r>
          <w:r w:rsidRPr="009C6DC2">
            <w:rPr>
              <w:rFonts w:asciiTheme="majorBidi" w:hAnsiTheme="majorBidi" w:cstheme="majorBidi"/>
              <w:i/>
              <w:iCs/>
              <w:noProof/>
              <w:sz w:val="24"/>
              <w:szCs w:val="24"/>
              <w:lang w:val="en-US"/>
            </w:rPr>
            <w:t>Journal of Business Ethics</w:t>
          </w:r>
          <w:r w:rsidRPr="009C6DC2">
            <w:rPr>
              <w:rFonts w:asciiTheme="majorBidi" w:hAnsiTheme="majorBidi" w:cstheme="majorBidi"/>
              <w:noProof/>
              <w:sz w:val="24"/>
              <w:szCs w:val="24"/>
              <w:lang w:val="en-US"/>
            </w:rPr>
            <w:t>, 491-515. doi:https://doi.org/10.1007/s10551-019-04232-6</w:t>
          </w:r>
        </w:p>
        <w:p w14:paraId="6C7D108E" w14:textId="424A65D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Verma, S., Rojhe, K. C., Horská , E., Sharma, S., &amp; Šedík , P. (2023). Consumer Decision-Making Rules for FMCG Products—Study of Rural in North India. </w:t>
          </w:r>
          <w:r w:rsidRPr="009C6DC2">
            <w:rPr>
              <w:rFonts w:asciiTheme="majorBidi" w:hAnsiTheme="majorBidi" w:cstheme="majorBidi"/>
              <w:i/>
              <w:iCs/>
              <w:noProof/>
              <w:sz w:val="24"/>
              <w:szCs w:val="24"/>
              <w:lang w:val="en-US"/>
            </w:rPr>
            <w:t>Economies, 11</w:t>
          </w:r>
          <w:r w:rsidRPr="009C6DC2">
            <w:rPr>
              <w:rFonts w:asciiTheme="majorBidi" w:hAnsiTheme="majorBidi" w:cstheme="majorBidi"/>
              <w:noProof/>
              <w:sz w:val="24"/>
              <w:szCs w:val="24"/>
              <w:lang w:val="en-US"/>
            </w:rPr>
            <w:t>(1). doi:https://doi.org/10.3390/economies11010026</w:t>
          </w:r>
        </w:p>
        <w:p w14:paraId="14F1111F" w14:textId="3C4DE59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Vermeir, I., &amp; Verbeke, W. (2008). Sustainable food consumption among young adults in Belgium: Theory of planned behaviour and the role of confidence and values. </w:t>
          </w:r>
          <w:r w:rsidRPr="009C6DC2">
            <w:rPr>
              <w:rFonts w:asciiTheme="majorBidi" w:hAnsiTheme="majorBidi" w:cstheme="majorBidi"/>
              <w:i/>
              <w:iCs/>
              <w:noProof/>
              <w:sz w:val="24"/>
              <w:szCs w:val="24"/>
              <w:lang w:val="en-US"/>
            </w:rPr>
            <w:t>Ecological Economics, 64</w:t>
          </w:r>
          <w:r w:rsidRPr="009C6DC2">
            <w:rPr>
              <w:rFonts w:asciiTheme="majorBidi" w:hAnsiTheme="majorBidi" w:cstheme="majorBidi"/>
              <w:noProof/>
              <w:sz w:val="24"/>
              <w:szCs w:val="24"/>
              <w:lang w:val="en-US"/>
            </w:rPr>
            <w:t>(3), 542-553. doi:https://doi.org/10.1016/j.ecolecon.2007.03.007</w:t>
          </w:r>
        </w:p>
        <w:p w14:paraId="7F2A9DB6" w14:textId="402EC46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Vethirajan, C., &amp; Ramu, C. (2019). IMPACT OF CSR ON FMCG COMPANIES – CONSUMERS’ PERSPECTIVE. </w:t>
          </w:r>
          <w:r w:rsidRPr="009C6DC2">
            <w:rPr>
              <w:rFonts w:asciiTheme="majorBidi" w:hAnsiTheme="majorBidi" w:cstheme="majorBidi"/>
              <w:i/>
              <w:iCs/>
              <w:noProof/>
              <w:sz w:val="24"/>
              <w:szCs w:val="24"/>
              <w:lang w:val="en-US"/>
            </w:rPr>
            <w:t>Journal of Interdisciplinary and Multidisciplinary Research, 12</w:t>
          </w:r>
          <w:r w:rsidRPr="009C6DC2">
            <w:rPr>
              <w:rFonts w:asciiTheme="majorBidi" w:hAnsiTheme="majorBidi" w:cstheme="majorBidi"/>
              <w:noProof/>
              <w:sz w:val="24"/>
              <w:szCs w:val="24"/>
              <w:lang w:val="en-US"/>
            </w:rPr>
            <w:t>(11), 454-475. Retrieved 12 25, 2021, from https://www.researchgate.net/profile/Vethirajan-c/publication/338503166_IMPACT_OF_CSR_ON_FMCG_COMPANIES_-CONSUMERS'_PERSPECTIVE/links/5e185bee4585159aa4c35883/IMPACT-OF-CSR-ON-FMCG-COMPANIES-CONSUMERS-PERSPECTIVE.pdf</w:t>
          </w:r>
        </w:p>
        <w:p w14:paraId="20F14BF3" w14:textId="76746D4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Vieira, V. A. (2013). Stimuli–organism-response framework: A meta-analytic review in the store environment. </w:t>
          </w:r>
          <w:r w:rsidRPr="009C6DC2">
            <w:rPr>
              <w:rFonts w:asciiTheme="majorBidi" w:hAnsiTheme="majorBidi" w:cstheme="majorBidi"/>
              <w:i/>
              <w:iCs/>
              <w:noProof/>
              <w:sz w:val="24"/>
              <w:szCs w:val="24"/>
              <w:lang w:val="en-US"/>
            </w:rPr>
            <w:t>Journal of Business Research, 66</w:t>
          </w:r>
          <w:r w:rsidRPr="009C6DC2">
            <w:rPr>
              <w:rFonts w:asciiTheme="majorBidi" w:hAnsiTheme="majorBidi" w:cstheme="majorBidi"/>
              <w:noProof/>
              <w:sz w:val="24"/>
              <w:szCs w:val="24"/>
              <w:lang w:val="en-US"/>
            </w:rPr>
            <w:t>(9), 1420-1426. doi:https://doi.org/10.1016/j.jbusres.2012.05.009</w:t>
          </w:r>
        </w:p>
        <w:p w14:paraId="63FB746E" w14:textId="5D375A6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Viererbl, B., &amp; Koch, T. (2022). The paradoxical effects of communicating CSR activities: Why CSR communication has both positive and negative effects on the perception of a company’s social responsibility. </w:t>
          </w:r>
          <w:r w:rsidRPr="009C6DC2">
            <w:rPr>
              <w:rFonts w:asciiTheme="majorBidi" w:hAnsiTheme="majorBidi" w:cstheme="majorBidi"/>
              <w:i/>
              <w:iCs/>
              <w:noProof/>
              <w:sz w:val="24"/>
              <w:szCs w:val="24"/>
              <w:lang w:val="en-US"/>
            </w:rPr>
            <w:t>Public Relations Review, 48</w:t>
          </w:r>
          <w:r w:rsidRPr="009C6DC2">
            <w:rPr>
              <w:rFonts w:asciiTheme="majorBidi" w:hAnsiTheme="majorBidi" w:cstheme="majorBidi"/>
              <w:noProof/>
              <w:sz w:val="24"/>
              <w:szCs w:val="24"/>
              <w:lang w:val="en-US"/>
            </w:rPr>
            <w:t>(1). doi:https://doi.org/10.1016/j.pubrev.2021.102134</w:t>
          </w:r>
        </w:p>
        <w:p w14:paraId="40AE80EB" w14:textId="5B7E8B7E"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Vlachos, P. A., Krepapa, A., Panagopoulos, N. G., &amp; Tsamakos, A. (2013). </w:t>
          </w:r>
          <w:r w:rsidRPr="009C6DC2">
            <w:rPr>
              <w:rFonts w:asciiTheme="majorBidi" w:hAnsiTheme="majorBidi" w:cstheme="majorBidi"/>
              <w:noProof/>
              <w:sz w:val="24"/>
              <w:szCs w:val="24"/>
              <w:lang w:val="en-US"/>
            </w:rPr>
            <w:t xml:space="preserve">Curvilinear Effects of Corporate Social Responsibility and Benevolence on Loyalty. </w:t>
          </w:r>
          <w:r w:rsidRPr="009C6DC2">
            <w:rPr>
              <w:rFonts w:asciiTheme="majorBidi" w:hAnsiTheme="majorBidi" w:cstheme="majorBidi"/>
              <w:i/>
              <w:iCs/>
              <w:noProof/>
              <w:sz w:val="24"/>
              <w:szCs w:val="24"/>
              <w:lang w:val="en-US"/>
            </w:rPr>
            <w:t>Corporate Reputation Review volume, 16</w:t>
          </w:r>
          <w:r w:rsidRPr="009C6DC2">
            <w:rPr>
              <w:rFonts w:asciiTheme="majorBidi" w:hAnsiTheme="majorBidi" w:cstheme="majorBidi"/>
              <w:noProof/>
              <w:sz w:val="24"/>
              <w:szCs w:val="24"/>
              <w:lang w:val="en-US"/>
            </w:rPr>
            <w:t>(4), 248-262. doi:10.1057/crr.2013.15</w:t>
          </w:r>
        </w:p>
        <w:p w14:paraId="019492DD" w14:textId="7132E44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Vlachos, P. A., Tsamakos, A., Vrechopoulos, A. P., &amp; Avramidis , P. K. (2009). Corporate social responsibility: attributions, loyalty, and the mediating role of trust. </w:t>
          </w:r>
          <w:r w:rsidRPr="009C6DC2">
            <w:rPr>
              <w:rFonts w:asciiTheme="majorBidi" w:hAnsiTheme="majorBidi" w:cstheme="majorBidi"/>
              <w:i/>
              <w:iCs/>
              <w:noProof/>
              <w:sz w:val="24"/>
              <w:szCs w:val="24"/>
              <w:lang w:val="en-US"/>
            </w:rPr>
            <w:t>Journal of the Academy of Marketing Science volume, 37</w:t>
          </w:r>
          <w:r w:rsidRPr="009C6DC2">
            <w:rPr>
              <w:rFonts w:asciiTheme="majorBidi" w:hAnsiTheme="majorBidi" w:cstheme="majorBidi"/>
              <w:noProof/>
              <w:sz w:val="24"/>
              <w:szCs w:val="24"/>
              <w:lang w:val="en-US"/>
            </w:rPr>
            <w:t>, 170-180. doi:https://doi.org/10.1007/s11747-008-0117-x</w:t>
          </w:r>
        </w:p>
        <w:p w14:paraId="3BD2D372" w14:textId="44371DB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Vo, T. T., Xiao, X., &amp; Ho, S. Y. (2019). How does corporate social Responsibility Engagement Influence Word of Mouth on Twitter? Evidence from the Airline Industry. </w:t>
          </w:r>
          <w:r w:rsidRPr="009C6DC2">
            <w:rPr>
              <w:rFonts w:asciiTheme="majorBidi" w:hAnsiTheme="majorBidi" w:cstheme="majorBidi"/>
              <w:i/>
              <w:iCs/>
              <w:noProof/>
              <w:sz w:val="24"/>
              <w:szCs w:val="24"/>
              <w:lang w:val="en-US"/>
            </w:rPr>
            <w:t>Journal of Business Ethics, 157</w:t>
          </w:r>
          <w:r w:rsidRPr="009C6DC2">
            <w:rPr>
              <w:rFonts w:asciiTheme="majorBidi" w:hAnsiTheme="majorBidi" w:cstheme="majorBidi"/>
              <w:noProof/>
              <w:sz w:val="24"/>
              <w:szCs w:val="24"/>
              <w:lang w:val="en-US"/>
            </w:rPr>
            <w:t>(01). doi:10.1007/s10551-017-3679-z</w:t>
          </w:r>
        </w:p>
        <w:p w14:paraId="220687DF" w14:textId="01B5A08F"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Voorveld, H. A. (2019). Brand Communication in Social Media: A Research Agenda. </w:t>
          </w:r>
          <w:r w:rsidRPr="009C6DC2">
            <w:rPr>
              <w:rFonts w:asciiTheme="majorBidi" w:hAnsiTheme="majorBidi" w:cstheme="majorBidi"/>
              <w:i/>
              <w:iCs/>
              <w:noProof/>
              <w:sz w:val="24"/>
              <w:szCs w:val="24"/>
              <w:lang w:val="en-US"/>
            </w:rPr>
            <w:t>Journal of Advertising, 48</w:t>
          </w:r>
          <w:r w:rsidRPr="009C6DC2">
            <w:rPr>
              <w:rFonts w:asciiTheme="majorBidi" w:hAnsiTheme="majorBidi" w:cstheme="majorBidi"/>
              <w:noProof/>
              <w:sz w:val="24"/>
              <w:szCs w:val="24"/>
              <w:lang w:val="en-US"/>
            </w:rPr>
            <w:t>(1), 14-26. doi:https://doi.org/10.1080/00913367.2019.1588808</w:t>
          </w:r>
        </w:p>
        <w:p w14:paraId="6F973194" w14:textId="170498E1"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Voorveld, H. A., Noort, G. v., Muntinga, D. G., &amp; Bronner, F. (2018). Engagement with Social Media and Social Media Advertising: The Differentiating Role of Platform Type. </w:t>
          </w:r>
          <w:r w:rsidRPr="009C6DC2">
            <w:rPr>
              <w:rFonts w:asciiTheme="majorBidi" w:hAnsiTheme="majorBidi" w:cstheme="majorBidi"/>
              <w:i/>
              <w:iCs/>
              <w:noProof/>
              <w:sz w:val="24"/>
              <w:szCs w:val="24"/>
              <w:lang w:val="en-US"/>
            </w:rPr>
            <w:t>Journal of Advertising, 47</w:t>
          </w:r>
          <w:r w:rsidRPr="009C6DC2">
            <w:rPr>
              <w:rFonts w:asciiTheme="majorBidi" w:hAnsiTheme="majorBidi" w:cstheme="majorBidi"/>
              <w:noProof/>
              <w:sz w:val="24"/>
              <w:szCs w:val="24"/>
              <w:lang w:val="en-US"/>
            </w:rPr>
            <w:t>(1), 38-54. doi:ttps://doi.org/10.1080/00913367.2017.1405754</w:t>
          </w:r>
        </w:p>
        <w:p w14:paraId="1655E41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Vraga, E. K., &amp; Tully, M. (2021). News literacy, social media behaviors, and skepticism toward information on social media. </w:t>
          </w:r>
          <w:r w:rsidRPr="009C6DC2">
            <w:rPr>
              <w:rFonts w:asciiTheme="majorBidi" w:hAnsiTheme="majorBidi" w:cstheme="majorBidi"/>
              <w:i/>
              <w:iCs/>
              <w:noProof/>
              <w:sz w:val="24"/>
              <w:szCs w:val="24"/>
              <w:lang w:val="en-US"/>
            </w:rPr>
            <w:t>Information, Communication &amp; Society, 24</w:t>
          </w:r>
          <w:r w:rsidRPr="009C6DC2">
            <w:rPr>
              <w:rFonts w:asciiTheme="majorBidi" w:hAnsiTheme="majorBidi" w:cstheme="majorBidi"/>
              <w:noProof/>
              <w:sz w:val="24"/>
              <w:szCs w:val="24"/>
              <w:lang w:val="en-US"/>
            </w:rPr>
            <w:t>(2), 150-166. doi:https://doi.org/10.1080/1369118X.2019.1637445</w:t>
          </w:r>
        </w:p>
        <w:p w14:paraId="781D155B" w14:textId="79FF1B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Wah, N. K., Fitriana, M., &amp; Arumugam, T. (2023). Assumptions for Structure Equation Modeling (SEM), Normality of Data Distribution Analysis &amp; Model Fit Measures. </w:t>
          </w:r>
          <w:r w:rsidRPr="009C6DC2">
            <w:rPr>
              <w:rFonts w:asciiTheme="majorBidi" w:hAnsiTheme="majorBidi" w:cstheme="majorBidi"/>
              <w:i/>
              <w:iCs/>
              <w:noProof/>
              <w:sz w:val="24"/>
              <w:szCs w:val="24"/>
              <w:lang w:val="en-US"/>
            </w:rPr>
            <w:t>Journal of Clinical Epidemiology &amp; Toxicology, 4</w:t>
          </w:r>
          <w:r w:rsidRPr="009C6DC2">
            <w:rPr>
              <w:rFonts w:asciiTheme="majorBidi" w:hAnsiTheme="majorBidi" w:cstheme="majorBidi"/>
              <w:noProof/>
              <w:sz w:val="24"/>
              <w:szCs w:val="24"/>
              <w:lang w:val="en-US"/>
            </w:rPr>
            <w:t>(1). Retrieved 06 05, 2023, from https://www.onlinescientificresearch.com/articles/assumptions-for-structure-equation-modeling-sem-normality-of-data-distribution-analysis-amp-model-fit-measures.pdf</w:t>
          </w:r>
        </w:p>
        <w:p w14:paraId="0EC948AF" w14:textId="440BE86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Walker, S. (2018). </w:t>
          </w:r>
          <w:r w:rsidRPr="009C6DC2">
            <w:rPr>
              <w:rFonts w:asciiTheme="majorBidi" w:hAnsiTheme="majorBidi" w:cstheme="majorBidi"/>
              <w:i/>
              <w:iCs/>
              <w:noProof/>
              <w:sz w:val="24"/>
              <w:szCs w:val="24"/>
              <w:lang w:val="en-US"/>
            </w:rPr>
            <w:t>3 Types Of Transcription: Edited, Verbatim, And Intelligent</w:t>
          </w:r>
          <w:r w:rsidRPr="009C6DC2">
            <w:rPr>
              <w:rFonts w:asciiTheme="majorBidi" w:hAnsiTheme="majorBidi" w:cstheme="majorBidi"/>
              <w:noProof/>
              <w:sz w:val="24"/>
              <w:szCs w:val="24"/>
              <w:lang w:val="en-US"/>
            </w:rPr>
            <w:t>. Retrieved from New Media Services: https://newmediaservices.com.au/types-of-transcription/</w:t>
          </w:r>
        </w:p>
        <w:p w14:paraId="5AF62888" w14:textId="4647C138" w:rsidR="006E2490" w:rsidRPr="00C51AE3" w:rsidRDefault="006E2490" w:rsidP="006E2490">
          <w:pPr>
            <w:ind w:left="720" w:hanging="720"/>
            <w:rPr>
              <w:rFonts w:asciiTheme="majorBidi" w:hAnsiTheme="majorBidi" w:cstheme="majorBidi"/>
              <w:noProof/>
              <w:sz w:val="24"/>
              <w:szCs w:val="24"/>
              <w:lang w:val="en-US"/>
            </w:rPr>
          </w:pPr>
          <w:r w:rsidRPr="00C51AE3">
            <w:rPr>
              <w:rFonts w:asciiTheme="majorBidi" w:hAnsiTheme="majorBidi" w:cstheme="majorBidi"/>
              <w:noProof/>
              <w:sz w:val="24"/>
              <w:szCs w:val="24"/>
              <w:lang w:val="en-US"/>
            </w:rPr>
            <w:t xml:space="preserve">Wang, R., &amp; Huang , Y. (2018). Communicating corporate social responsibility (CSR) on social media: How do message source and types of CSR messages influence stakeholders’ perceptions? </w:t>
          </w:r>
          <w:r w:rsidRPr="00C51AE3">
            <w:rPr>
              <w:rFonts w:asciiTheme="majorBidi" w:hAnsiTheme="majorBidi" w:cstheme="majorBidi"/>
              <w:i/>
              <w:iCs/>
              <w:noProof/>
              <w:sz w:val="24"/>
              <w:szCs w:val="24"/>
              <w:lang w:val="en-US"/>
            </w:rPr>
            <w:t>Corporate Communications: An International Journal, 23</w:t>
          </w:r>
          <w:r w:rsidRPr="00C51AE3">
            <w:rPr>
              <w:rFonts w:asciiTheme="majorBidi" w:hAnsiTheme="majorBidi" w:cstheme="majorBidi"/>
              <w:noProof/>
              <w:sz w:val="24"/>
              <w:szCs w:val="24"/>
              <w:lang w:val="en-US"/>
            </w:rPr>
            <w:t>(3), 326-341. doi:https://doi.org/10.1108/CCIJ-07-2017-0067</w:t>
          </w:r>
        </w:p>
        <w:p w14:paraId="307DC3C5" w14:textId="77777777" w:rsidR="006E2490" w:rsidRPr="00C51AE3" w:rsidRDefault="006E2490" w:rsidP="006E2490">
          <w:pPr>
            <w:ind w:left="720" w:hanging="720"/>
            <w:rPr>
              <w:rFonts w:asciiTheme="majorBidi" w:hAnsiTheme="majorBidi" w:cstheme="majorBidi"/>
              <w:noProof/>
              <w:sz w:val="24"/>
              <w:szCs w:val="24"/>
              <w:lang w:val="en-US"/>
            </w:rPr>
          </w:pPr>
          <w:r w:rsidRPr="00C51AE3">
            <w:rPr>
              <w:rFonts w:asciiTheme="majorBidi" w:hAnsiTheme="majorBidi" w:cstheme="majorBidi"/>
              <w:noProof/>
              <w:sz w:val="24"/>
              <w:szCs w:val="24"/>
              <w:lang w:val="en-US"/>
            </w:rPr>
            <w:t xml:space="preserve">Wang, T., Yeh, R. K.-J., Yen, D. C., &amp; Sandoya, M. G. (2016). Antecedents of emotional attachment of social media users. </w:t>
          </w:r>
          <w:r w:rsidRPr="00C51AE3">
            <w:rPr>
              <w:rFonts w:asciiTheme="majorBidi" w:hAnsiTheme="majorBidi" w:cstheme="majorBidi"/>
              <w:i/>
              <w:iCs/>
              <w:noProof/>
              <w:sz w:val="24"/>
              <w:szCs w:val="24"/>
              <w:lang w:val="en-US"/>
            </w:rPr>
            <w:t>THE SERVICE INDUSTRIES JOURNAL, 36</w:t>
          </w:r>
          <w:r w:rsidRPr="00C51AE3">
            <w:rPr>
              <w:rFonts w:asciiTheme="majorBidi" w:hAnsiTheme="majorBidi" w:cstheme="majorBidi"/>
              <w:noProof/>
              <w:sz w:val="24"/>
              <w:szCs w:val="24"/>
              <w:lang w:val="en-US"/>
            </w:rPr>
            <w:t>(9), 438-451. doi:10.1080/02642069.2016.1248419</w:t>
          </w:r>
        </w:p>
        <w:p w14:paraId="63CC38A7" w14:textId="77777777" w:rsidR="006E2490" w:rsidRPr="00C51AE3" w:rsidRDefault="006E2490" w:rsidP="006E2490">
          <w:pPr>
            <w:ind w:left="720" w:hanging="720"/>
            <w:rPr>
              <w:rFonts w:asciiTheme="majorBidi" w:hAnsiTheme="majorBidi" w:cstheme="majorBidi"/>
              <w:noProof/>
              <w:sz w:val="24"/>
              <w:szCs w:val="24"/>
              <w:lang w:val="en-US"/>
            </w:rPr>
          </w:pPr>
          <w:r w:rsidRPr="00C51AE3">
            <w:rPr>
              <w:rFonts w:asciiTheme="majorBidi" w:hAnsiTheme="majorBidi" w:cstheme="majorBidi"/>
              <w:noProof/>
              <w:sz w:val="24"/>
              <w:szCs w:val="24"/>
              <w:lang w:val="en-US"/>
            </w:rPr>
            <w:t xml:space="preserve">Wang, X.-W., Cao, Y.-M., &amp; Park, C. (2019). The relationships among community experience, community commitment, brand attitude, and purchase intention in social media. </w:t>
          </w:r>
          <w:r w:rsidRPr="00C51AE3">
            <w:rPr>
              <w:rFonts w:asciiTheme="majorBidi" w:hAnsiTheme="majorBidi" w:cstheme="majorBidi"/>
              <w:i/>
              <w:iCs/>
              <w:noProof/>
              <w:sz w:val="24"/>
              <w:szCs w:val="24"/>
              <w:lang w:val="en-US"/>
            </w:rPr>
            <w:t>International Journal of Information Management, 49</w:t>
          </w:r>
          <w:r w:rsidRPr="00C51AE3">
            <w:rPr>
              <w:rFonts w:asciiTheme="majorBidi" w:hAnsiTheme="majorBidi" w:cstheme="majorBidi"/>
              <w:noProof/>
              <w:sz w:val="24"/>
              <w:szCs w:val="24"/>
              <w:lang w:val="en-US"/>
            </w:rPr>
            <w:t>, 475-488. doi:https://doi.org/10.1016/j.ijinfomgt.2019.07.018</w:t>
          </w:r>
        </w:p>
        <w:p w14:paraId="2CA64193" w14:textId="3CAAD8A6" w:rsidR="006E2490" w:rsidRPr="009C6DC2" w:rsidRDefault="006E2490" w:rsidP="006E2490">
          <w:pPr>
            <w:ind w:left="720" w:hanging="720"/>
            <w:rPr>
              <w:rFonts w:asciiTheme="majorBidi" w:hAnsiTheme="majorBidi" w:cstheme="majorBidi"/>
              <w:noProof/>
              <w:sz w:val="24"/>
              <w:szCs w:val="24"/>
              <w:lang w:val="en-US"/>
            </w:rPr>
          </w:pPr>
          <w:r w:rsidRPr="00C51AE3">
            <w:rPr>
              <w:rFonts w:asciiTheme="majorBidi" w:hAnsiTheme="majorBidi" w:cstheme="majorBidi"/>
              <w:noProof/>
              <w:sz w:val="24"/>
              <w:szCs w:val="24"/>
              <w:lang w:val="en-US"/>
            </w:rPr>
            <w:t xml:space="preserve">Wang, Y., &amp; Li, C. (2022). Differences between the formation of tourism purchase intention and the formation of actual behavior: A meta-analytic review. </w:t>
          </w:r>
          <w:r w:rsidRPr="00C51AE3">
            <w:rPr>
              <w:rFonts w:asciiTheme="majorBidi" w:hAnsiTheme="majorBidi" w:cstheme="majorBidi"/>
              <w:i/>
              <w:iCs/>
              <w:noProof/>
              <w:sz w:val="24"/>
              <w:szCs w:val="24"/>
              <w:lang w:val="en-US"/>
            </w:rPr>
            <w:t>Tourism Management, 91</w:t>
          </w:r>
          <w:r w:rsidRPr="00C51AE3">
            <w:rPr>
              <w:rFonts w:asciiTheme="majorBidi" w:hAnsiTheme="majorBidi" w:cstheme="majorBidi"/>
              <w:noProof/>
              <w:sz w:val="24"/>
              <w:szCs w:val="24"/>
              <w:lang w:val="en-US"/>
            </w:rPr>
            <w:t>. doi:https://doi.org/10.1016/j.tourman.2022.104527</w:t>
          </w:r>
        </w:p>
        <w:p w14:paraId="012E7541" w14:textId="01462676"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Warner, B. R., Jennings, F. J., Bramlett, J. C., Coker, C. R., Reed, J. L., &amp; Bolton, J. P. (2018). A Multimedia Analysis of Persuasion in the 2016 Presidential Election: Comparing the Unique and Complementary Effects of Political Comedy and Political Advertising. </w:t>
          </w:r>
          <w:r w:rsidRPr="009C6DC2">
            <w:rPr>
              <w:rFonts w:asciiTheme="majorBidi" w:hAnsiTheme="majorBidi" w:cstheme="majorBidi"/>
              <w:i/>
              <w:iCs/>
              <w:noProof/>
              <w:sz w:val="24"/>
              <w:szCs w:val="24"/>
              <w:lang w:val="en-US"/>
            </w:rPr>
            <w:t>Mass Communication &amp; Society, 21</w:t>
          </w:r>
          <w:r w:rsidRPr="009C6DC2">
            <w:rPr>
              <w:rFonts w:asciiTheme="majorBidi" w:hAnsiTheme="majorBidi" w:cstheme="majorBidi"/>
              <w:noProof/>
              <w:sz w:val="24"/>
              <w:szCs w:val="24"/>
              <w:lang w:val="en-US"/>
            </w:rPr>
            <w:t>(06), 720-741. doi:https://doi.org/10.1080/15205436.2018.1472283</w:t>
          </w:r>
        </w:p>
        <w:p w14:paraId="6E54F1B6" w14:textId="7B3E1B4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Warren, K. (2020). </w:t>
          </w:r>
          <w:r w:rsidRPr="009C6DC2">
            <w:rPr>
              <w:rFonts w:asciiTheme="majorBidi" w:hAnsiTheme="majorBidi" w:cstheme="majorBidi"/>
              <w:i/>
              <w:iCs/>
              <w:noProof/>
              <w:sz w:val="24"/>
              <w:szCs w:val="24"/>
              <w:lang w:val="en-US"/>
            </w:rPr>
            <w:t>Qualitative Data Analysis Methods 101: The Big 6 Methods and Examples</w:t>
          </w:r>
          <w:r w:rsidRPr="009C6DC2">
            <w:rPr>
              <w:rFonts w:asciiTheme="majorBidi" w:hAnsiTheme="majorBidi" w:cstheme="majorBidi"/>
              <w:noProof/>
              <w:sz w:val="24"/>
              <w:szCs w:val="24"/>
              <w:lang w:val="en-US"/>
            </w:rPr>
            <w:t>. Retrieved from GradCoach: https://gradcoach.com/qualitative-data-analysis-methods/#method1</w:t>
          </w:r>
        </w:p>
        <w:p w14:paraId="4BC9CEAD" w14:textId="18A9B5F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Watson, N. E., Huebner, G. M., Fell, M. J., &amp; Shipworth, D. (2020). Two energy suppliers are better than one: Survey experiments on consumer engagement with local energy in GB. </w:t>
          </w:r>
          <w:r w:rsidRPr="009C6DC2">
            <w:rPr>
              <w:rFonts w:asciiTheme="majorBidi" w:hAnsiTheme="majorBidi" w:cstheme="majorBidi"/>
              <w:i/>
              <w:iCs/>
              <w:noProof/>
              <w:sz w:val="24"/>
              <w:szCs w:val="24"/>
              <w:lang w:val="en-US"/>
            </w:rPr>
            <w:t>Energy Policy, 147</w:t>
          </w:r>
          <w:r w:rsidRPr="009C6DC2">
            <w:rPr>
              <w:rFonts w:asciiTheme="majorBidi" w:hAnsiTheme="majorBidi" w:cstheme="majorBidi"/>
              <w:noProof/>
              <w:sz w:val="24"/>
              <w:szCs w:val="24"/>
              <w:lang w:val="en-US"/>
            </w:rPr>
            <w:t>. doi:https://doi.org/10.1016/j.enpol.2020.111891</w:t>
          </w:r>
        </w:p>
        <w:p w14:paraId="180A9619" w14:textId="41B74A4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Webb, T. L., &amp; Sheeran, P. (2006). Does changing behavioral intentions engender behavior change? A meta-analysis of the experimental evidence. </w:t>
          </w:r>
          <w:r w:rsidRPr="009C6DC2">
            <w:rPr>
              <w:rFonts w:asciiTheme="majorBidi" w:hAnsiTheme="majorBidi" w:cstheme="majorBidi"/>
              <w:i/>
              <w:iCs/>
              <w:noProof/>
              <w:sz w:val="24"/>
              <w:szCs w:val="24"/>
              <w:lang w:val="en-US"/>
            </w:rPr>
            <w:t>Psychol Bull, 132</w:t>
          </w:r>
          <w:r w:rsidRPr="009C6DC2">
            <w:rPr>
              <w:rFonts w:asciiTheme="majorBidi" w:hAnsiTheme="majorBidi" w:cstheme="majorBidi"/>
              <w:noProof/>
              <w:sz w:val="24"/>
              <w:szCs w:val="24"/>
              <w:lang w:val="en-US"/>
            </w:rPr>
            <w:t>(2), 249-268. Retrieved 04 28, 2023, from 10.1037/0033-2909.132.2.249</w:t>
          </w:r>
        </w:p>
        <w:p w14:paraId="692CE8FD" w14:textId="28FE60D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Wei, W., Kim, G., Miao, L., Behnke, C., &amp; Almanza, B. (2018). Consumer inferences of corporate social responsibility (CSR) claims on packaged foods. </w:t>
          </w:r>
          <w:r w:rsidRPr="009C6DC2">
            <w:rPr>
              <w:rFonts w:asciiTheme="majorBidi" w:hAnsiTheme="majorBidi" w:cstheme="majorBidi"/>
              <w:i/>
              <w:iCs/>
              <w:noProof/>
              <w:sz w:val="24"/>
              <w:szCs w:val="24"/>
              <w:lang w:val="en-US"/>
            </w:rPr>
            <w:t>Journal of Business Research, 83</w:t>
          </w:r>
          <w:r w:rsidRPr="009C6DC2">
            <w:rPr>
              <w:rFonts w:asciiTheme="majorBidi" w:hAnsiTheme="majorBidi" w:cstheme="majorBidi"/>
              <w:noProof/>
              <w:sz w:val="24"/>
              <w:szCs w:val="24"/>
              <w:lang w:val="en-US"/>
            </w:rPr>
            <w:t>, 186-201. doi:https://doi.org/10.1016/j.jbusres.2017.10.046</w:t>
          </w:r>
        </w:p>
        <w:p w14:paraId="7AF31CA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Weinberg, B. D. (2001). Research in exploring the online consumer experience. In Advances in consumer research. </w:t>
          </w:r>
          <w:r w:rsidRPr="009C6DC2">
            <w:rPr>
              <w:rFonts w:asciiTheme="majorBidi" w:hAnsiTheme="majorBidi" w:cstheme="majorBidi"/>
              <w:i/>
              <w:iCs/>
              <w:noProof/>
              <w:sz w:val="24"/>
              <w:szCs w:val="24"/>
              <w:lang w:val="en-US"/>
            </w:rPr>
            <w:t>Advances in Consumer Research, 28</w:t>
          </w:r>
          <w:r w:rsidRPr="009C6DC2">
            <w:rPr>
              <w:rFonts w:asciiTheme="majorBidi" w:hAnsiTheme="majorBidi" w:cstheme="majorBidi"/>
              <w:noProof/>
              <w:sz w:val="24"/>
              <w:szCs w:val="24"/>
              <w:lang w:val="en-US"/>
            </w:rPr>
            <w:t>, 227-232.</w:t>
          </w:r>
        </w:p>
        <w:p w14:paraId="5BA03931" w14:textId="099B731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Weiner, M. D., Orin, T., Siracusa, P. C., &amp; Crowley, J. E. (2017). Recruiting Hard-to-Reach Populations: The Utility of Facebook for Recruiting Qualitative In-Depth Interviewees. </w:t>
          </w:r>
          <w:r w:rsidRPr="009C6DC2">
            <w:rPr>
              <w:rFonts w:asciiTheme="majorBidi" w:hAnsiTheme="majorBidi" w:cstheme="majorBidi"/>
              <w:i/>
              <w:iCs/>
              <w:noProof/>
              <w:sz w:val="24"/>
              <w:szCs w:val="24"/>
              <w:lang w:val="en-US"/>
            </w:rPr>
            <w:t>Survey Practice, 10</w:t>
          </w:r>
          <w:r w:rsidRPr="009C6DC2">
            <w:rPr>
              <w:rFonts w:asciiTheme="majorBidi" w:hAnsiTheme="majorBidi" w:cstheme="majorBidi"/>
              <w:noProof/>
              <w:sz w:val="24"/>
              <w:szCs w:val="24"/>
              <w:lang w:val="en-US"/>
            </w:rPr>
            <w:t>(04), 1-13. doi:10.29115/SP-2017-0021</w:t>
          </w:r>
        </w:p>
        <w:p w14:paraId="2CBF01EA"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Weinstein, N. D., Rothman, A. J., &amp; Sutton, S. R. (1998). Stage theories of health behavior: Conceptual and methodological issues. </w:t>
          </w:r>
          <w:r w:rsidRPr="009C6DC2">
            <w:rPr>
              <w:rFonts w:asciiTheme="majorBidi" w:hAnsiTheme="majorBidi" w:cstheme="majorBidi"/>
              <w:i/>
              <w:iCs/>
              <w:noProof/>
              <w:sz w:val="24"/>
              <w:szCs w:val="24"/>
              <w:lang w:val="en-US"/>
            </w:rPr>
            <w:t>Health Psychology, 17</w:t>
          </w:r>
          <w:r w:rsidRPr="009C6DC2">
            <w:rPr>
              <w:rFonts w:asciiTheme="majorBidi" w:hAnsiTheme="majorBidi" w:cstheme="majorBidi"/>
              <w:noProof/>
              <w:sz w:val="24"/>
              <w:szCs w:val="24"/>
              <w:lang w:val="en-US"/>
            </w:rPr>
            <w:t>, 290-299. doi:10.1037/0278-6133.17.3.290</w:t>
          </w:r>
        </w:p>
        <w:p w14:paraId="36B9442D" w14:textId="6F04008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Weng, L.-J., &amp; Cheng, C.-P. (2000). Effects of Response Order on Likert-Type Scales. </w:t>
          </w:r>
          <w:r w:rsidRPr="009C6DC2">
            <w:rPr>
              <w:rFonts w:asciiTheme="majorBidi" w:hAnsiTheme="majorBidi" w:cstheme="majorBidi"/>
              <w:i/>
              <w:iCs/>
              <w:noProof/>
              <w:sz w:val="24"/>
              <w:szCs w:val="24"/>
              <w:lang w:val="en-US"/>
            </w:rPr>
            <w:t>Educational and Psychological Measurement, 60</w:t>
          </w:r>
          <w:r w:rsidRPr="009C6DC2">
            <w:rPr>
              <w:rFonts w:asciiTheme="majorBidi" w:hAnsiTheme="majorBidi" w:cstheme="majorBidi"/>
              <w:noProof/>
              <w:sz w:val="24"/>
              <w:szCs w:val="24"/>
              <w:lang w:val="en-US"/>
            </w:rPr>
            <w:t>(06), 908-924. doi:DOI:10.1177/00131640021970989</w:t>
          </w:r>
        </w:p>
        <w:p w14:paraId="7C7947D6" w14:textId="33A515B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Whitaker , B. (2010). </w:t>
          </w:r>
          <w:r w:rsidRPr="009C6DC2">
            <w:rPr>
              <w:rFonts w:asciiTheme="majorBidi" w:hAnsiTheme="majorBidi" w:cstheme="majorBidi"/>
              <w:i/>
              <w:iCs/>
              <w:noProof/>
              <w:sz w:val="24"/>
              <w:szCs w:val="24"/>
              <w:lang w:val="en-US"/>
            </w:rPr>
            <w:t>The politics of Egypt's feeble statistics</w:t>
          </w:r>
          <w:r w:rsidRPr="009C6DC2">
            <w:rPr>
              <w:rFonts w:asciiTheme="majorBidi" w:hAnsiTheme="majorBidi" w:cstheme="majorBidi"/>
              <w:noProof/>
              <w:sz w:val="24"/>
              <w:szCs w:val="24"/>
              <w:lang w:val="en-US"/>
            </w:rPr>
            <w:t>. Retrieved from The Guardian: https://www.theguardian.com/commentisfree/2010/oct/25/egypt-statistics-state-control</w:t>
          </w:r>
        </w:p>
        <w:p w14:paraId="53C5E69C" w14:textId="61CC073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Whitaker, C., Stevelink, S., &amp; Fear, N. (2017). The Use of Facebook in Recruiting Participants for Health Research Purposes: A Systematic Review. </w:t>
          </w:r>
          <w:r w:rsidRPr="009C6DC2">
            <w:rPr>
              <w:rFonts w:asciiTheme="majorBidi" w:hAnsiTheme="majorBidi" w:cstheme="majorBidi"/>
              <w:i/>
              <w:iCs/>
              <w:noProof/>
              <w:sz w:val="24"/>
              <w:szCs w:val="24"/>
              <w:lang w:val="en-US"/>
            </w:rPr>
            <w:t>Journal of Medical Internet Research, 19</w:t>
          </w:r>
          <w:r w:rsidRPr="009C6DC2">
            <w:rPr>
              <w:rFonts w:asciiTheme="majorBidi" w:hAnsiTheme="majorBidi" w:cstheme="majorBidi"/>
              <w:noProof/>
              <w:sz w:val="24"/>
              <w:szCs w:val="24"/>
              <w:lang w:val="en-US"/>
            </w:rPr>
            <w:t>(08). doi:doi: 10.2196/jmir.7071.</w:t>
          </w:r>
        </w:p>
        <w:p w14:paraId="6A2CD0E7" w14:textId="21D03B7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White, C. L., &amp; Alkandari, K. (2019). The influence of culture and infrastructure on CSR and country image: The case of Kuwait. </w:t>
          </w:r>
          <w:r w:rsidRPr="009C6DC2">
            <w:rPr>
              <w:rFonts w:asciiTheme="majorBidi" w:hAnsiTheme="majorBidi" w:cstheme="majorBidi"/>
              <w:i/>
              <w:iCs/>
              <w:noProof/>
              <w:sz w:val="24"/>
              <w:szCs w:val="24"/>
              <w:lang w:val="en-US"/>
            </w:rPr>
            <w:t>Public Relations Review, 45</w:t>
          </w:r>
          <w:r w:rsidRPr="009C6DC2">
            <w:rPr>
              <w:rFonts w:asciiTheme="majorBidi" w:hAnsiTheme="majorBidi" w:cstheme="majorBidi"/>
              <w:noProof/>
              <w:sz w:val="24"/>
              <w:szCs w:val="24"/>
              <w:lang w:val="en-US"/>
            </w:rPr>
            <w:t>(3). doi:https://doi.org/10.1016/j.pubrev.2019.05.004</w:t>
          </w:r>
        </w:p>
        <w:p w14:paraId="54570CC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Whitehead, A. N. (1927). </w:t>
          </w:r>
          <w:r w:rsidRPr="009C6DC2">
            <w:rPr>
              <w:rFonts w:asciiTheme="majorBidi" w:hAnsiTheme="majorBidi" w:cstheme="majorBidi"/>
              <w:i/>
              <w:iCs/>
              <w:noProof/>
              <w:sz w:val="24"/>
              <w:szCs w:val="24"/>
              <w:lang w:val="en-US"/>
            </w:rPr>
            <w:t>Symbolism Its Meaning And Effect.</w:t>
          </w:r>
          <w:r w:rsidRPr="009C6DC2">
            <w:rPr>
              <w:rFonts w:asciiTheme="majorBidi" w:hAnsiTheme="majorBidi" w:cstheme="majorBidi"/>
              <w:noProof/>
              <w:sz w:val="24"/>
              <w:szCs w:val="24"/>
              <w:lang w:val="en-US"/>
            </w:rPr>
            <w:t xml:space="preserve"> New York: Macmillan.</w:t>
          </w:r>
        </w:p>
        <w:p w14:paraId="2A92067C"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Whitehead, A. N. (1964). </w:t>
          </w:r>
          <w:r w:rsidRPr="009C6DC2">
            <w:rPr>
              <w:rFonts w:asciiTheme="majorBidi" w:hAnsiTheme="majorBidi" w:cstheme="majorBidi"/>
              <w:i/>
              <w:iCs/>
              <w:noProof/>
              <w:sz w:val="24"/>
              <w:szCs w:val="24"/>
              <w:lang w:val="en-US"/>
            </w:rPr>
            <w:t>The concept of nature.</w:t>
          </w:r>
          <w:r w:rsidRPr="009C6DC2">
            <w:rPr>
              <w:rFonts w:asciiTheme="majorBidi" w:hAnsiTheme="majorBidi" w:cstheme="majorBidi"/>
              <w:noProof/>
              <w:sz w:val="24"/>
              <w:szCs w:val="24"/>
              <w:lang w:val="en-US"/>
            </w:rPr>
            <w:t xml:space="preserve"> Cambridge University Press.</w:t>
          </w:r>
        </w:p>
        <w:p w14:paraId="3F0F94D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Wicker, A. W. (1969). Attitudes versus Actions: The Relationship of Verbal and Overt Behavioral Responses to Attitude Objects. </w:t>
          </w:r>
          <w:r w:rsidRPr="009C6DC2">
            <w:rPr>
              <w:rFonts w:asciiTheme="majorBidi" w:hAnsiTheme="majorBidi" w:cstheme="majorBidi"/>
              <w:i/>
              <w:iCs/>
              <w:noProof/>
              <w:sz w:val="24"/>
              <w:szCs w:val="24"/>
              <w:lang w:val="en-US"/>
            </w:rPr>
            <w:t>Social Issue, 25</w:t>
          </w:r>
          <w:r w:rsidRPr="009C6DC2">
            <w:rPr>
              <w:rFonts w:asciiTheme="majorBidi" w:hAnsiTheme="majorBidi" w:cstheme="majorBidi"/>
              <w:noProof/>
              <w:sz w:val="24"/>
              <w:szCs w:val="24"/>
              <w:lang w:val="en-US"/>
            </w:rPr>
            <w:t>(4), 41-78. doi:https://doi.org/10.1111/j.1540-4560.1969.tb00619.x</w:t>
          </w:r>
        </w:p>
        <w:p w14:paraId="53CEEFF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Widjajanta , B., Senen, S. H., Masharyono, M., Lisnawati , L., &amp; Anggraeni, C. P. (2018). THE IMPACT OF SOCIAL MEDIA USAGE AND SELF-ESTEEM ON CONSPICUOUS CONSUMPTION: INSTAGRAM USER OF HIJABERS COMMUNITY BANDUNG MEMBER. </w:t>
          </w:r>
          <w:r w:rsidRPr="009C6DC2">
            <w:rPr>
              <w:rFonts w:asciiTheme="majorBidi" w:hAnsiTheme="majorBidi" w:cstheme="majorBidi"/>
              <w:i/>
              <w:iCs/>
              <w:noProof/>
              <w:sz w:val="24"/>
              <w:szCs w:val="24"/>
              <w:lang w:val="en-US"/>
            </w:rPr>
            <w:t>International Journal of eBusiness and eGovernment Studies, 10</w:t>
          </w:r>
          <w:r w:rsidRPr="009C6DC2">
            <w:rPr>
              <w:rFonts w:asciiTheme="majorBidi" w:hAnsiTheme="majorBidi" w:cstheme="majorBidi"/>
              <w:noProof/>
              <w:sz w:val="24"/>
              <w:szCs w:val="24"/>
              <w:lang w:val="en-US"/>
            </w:rPr>
            <w:t>(2), 1-13. Retrieved 03 07, 2023, from https://dergipark.org.tr/en/pub/ijebeg/issue/43700/536103</w:t>
          </w:r>
        </w:p>
        <w:p w14:paraId="44D90FCE" w14:textId="3E427BF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Wilkins, S., &amp; Ireland, J. J. (2020). FMCG firms’ margin management: consumer trade-offs among product price, quantity and quality. </w:t>
          </w:r>
          <w:r w:rsidRPr="009C6DC2">
            <w:rPr>
              <w:rFonts w:asciiTheme="majorBidi" w:hAnsiTheme="majorBidi" w:cstheme="majorBidi"/>
              <w:i/>
              <w:iCs/>
              <w:noProof/>
              <w:sz w:val="24"/>
              <w:szCs w:val="24"/>
              <w:lang w:val="en-US"/>
            </w:rPr>
            <w:t>Journal of Strategic Marketing, 30</w:t>
          </w:r>
          <w:r w:rsidRPr="009C6DC2">
            <w:rPr>
              <w:rFonts w:asciiTheme="majorBidi" w:hAnsiTheme="majorBidi" w:cstheme="majorBidi"/>
              <w:noProof/>
              <w:sz w:val="24"/>
              <w:szCs w:val="24"/>
              <w:lang w:val="en-US"/>
            </w:rPr>
            <w:t>(8), 764-781. doi:10.1080/0965254X.2020.1849362</w:t>
          </w:r>
        </w:p>
        <w:p w14:paraId="56401E56"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Williams, M., &amp; Moser, T. (2019). The Art of Coding and Thematic Exploration in Qualitative Research. </w:t>
          </w:r>
          <w:r w:rsidRPr="009C6DC2">
            <w:rPr>
              <w:rFonts w:asciiTheme="majorBidi" w:hAnsiTheme="majorBidi" w:cstheme="majorBidi"/>
              <w:i/>
              <w:iCs/>
              <w:noProof/>
              <w:sz w:val="24"/>
              <w:szCs w:val="24"/>
              <w:lang w:val="en-US"/>
            </w:rPr>
            <w:t>International Management Review, 15</w:t>
          </w:r>
          <w:r w:rsidRPr="009C6DC2">
            <w:rPr>
              <w:rFonts w:asciiTheme="majorBidi" w:hAnsiTheme="majorBidi" w:cstheme="majorBidi"/>
              <w:noProof/>
              <w:sz w:val="24"/>
              <w:szCs w:val="24"/>
              <w:lang w:val="en-US"/>
            </w:rPr>
            <w:t>(1), 45-55.</w:t>
          </w:r>
        </w:p>
        <w:p w14:paraId="74D8B48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Willms, J., &amp; Tramonte, L. (2019). The Measurement and Use of Socioeconomic Status in Educational Research. In </w:t>
          </w:r>
          <w:r w:rsidRPr="009C6DC2">
            <w:rPr>
              <w:rFonts w:asciiTheme="majorBidi" w:hAnsiTheme="majorBidi" w:cstheme="majorBidi"/>
              <w:i/>
              <w:iCs/>
              <w:noProof/>
              <w:sz w:val="24"/>
              <w:szCs w:val="24"/>
              <w:lang w:val="en-US"/>
            </w:rPr>
            <w:t>The SAGE Handbook of Comparative Studies in Education.</w:t>
          </w:r>
          <w:r w:rsidRPr="009C6DC2">
            <w:rPr>
              <w:rFonts w:asciiTheme="majorBidi" w:hAnsiTheme="majorBidi" w:cstheme="majorBidi"/>
              <w:noProof/>
              <w:sz w:val="24"/>
              <w:szCs w:val="24"/>
              <w:lang w:val="en-US"/>
            </w:rPr>
            <w:t xml:space="preserve"> doi:10.4135/9781526470379.N17</w:t>
          </w:r>
        </w:p>
        <w:p w14:paraId="3892F02B" w14:textId="0A03C777" w:rsidR="006E2490" w:rsidRPr="009C6DC2" w:rsidRDefault="006E2490" w:rsidP="001D55B3">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Winkleby, M. A., Jatulis, D. E., Frank, E., &amp; Fortmann, S. P. (1992). Socioeconomic status and health: how education, income, and occupation contribute to risk factors for cardiovascular disease. </w:t>
          </w:r>
          <w:r w:rsidRPr="009C6DC2">
            <w:rPr>
              <w:rFonts w:asciiTheme="majorBidi" w:hAnsiTheme="majorBidi" w:cstheme="majorBidi"/>
              <w:i/>
              <w:iCs/>
              <w:noProof/>
              <w:sz w:val="24"/>
              <w:szCs w:val="24"/>
              <w:lang w:val="en-US"/>
            </w:rPr>
            <w:t>American Journal of Public Health, 82</w:t>
          </w:r>
          <w:r w:rsidRPr="009C6DC2">
            <w:rPr>
              <w:rFonts w:asciiTheme="majorBidi" w:hAnsiTheme="majorBidi" w:cstheme="majorBidi"/>
              <w:noProof/>
              <w:sz w:val="24"/>
              <w:szCs w:val="24"/>
              <w:lang w:val="en-US"/>
            </w:rPr>
            <w:t>(6), 816–820. doi:10.2105/ajph.82.6.816</w:t>
          </w:r>
        </w:p>
        <w:p w14:paraId="781479F5" w14:textId="164DD70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Woermann , N. (2016). Back to the roots! Methodological situationalism and the postmodern lesson for studying tribes, practices, and assemblages. </w:t>
          </w:r>
          <w:r w:rsidRPr="009C6DC2">
            <w:rPr>
              <w:rFonts w:asciiTheme="majorBidi" w:hAnsiTheme="majorBidi" w:cstheme="majorBidi"/>
              <w:i/>
              <w:iCs/>
              <w:noProof/>
              <w:sz w:val="24"/>
              <w:szCs w:val="24"/>
              <w:lang w:val="en-US"/>
            </w:rPr>
            <w:t>Marketing Theory , 17</w:t>
          </w:r>
          <w:r w:rsidRPr="009C6DC2">
            <w:rPr>
              <w:rFonts w:asciiTheme="majorBidi" w:hAnsiTheme="majorBidi" w:cstheme="majorBidi"/>
              <w:noProof/>
              <w:sz w:val="24"/>
              <w:szCs w:val="24"/>
              <w:lang w:val="en-US"/>
            </w:rPr>
            <w:t>(2), 149-163. doi:https://doi.org/10.1177/147059311667986</w:t>
          </w:r>
        </w:p>
        <w:p w14:paraId="4497B220"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Wolcott, H. (1994). </w:t>
          </w:r>
          <w:r w:rsidRPr="009C6DC2">
            <w:rPr>
              <w:rFonts w:asciiTheme="majorBidi" w:hAnsiTheme="majorBidi" w:cstheme="majorBidi"/>
              <w:i/>
              <w:iCs/>
              <w:noProof/>
              <w:sz w:val="24"/>
              <w:szCs w:val="24"/>
              <w:lang w:val="en-US"/>
            </w:rPr>
            <w:t>Transforming qualitative data: Descriptions, analysis and interpretation.</w:t>
          </w:r>
          <w:r w:rsidRPr="009C6DC2">
            <w:rPr>
              <w:rFonts w:asciiTheme="majorBidi" w:hAnsiTheme="majorBidi" w:cstheme="majorBidi"/>
              <w:noProof/>
              <w:sz w:val="24"/>
              <w:szCs w:val="24"/>
              <w:lang w:val="en-US"/>
            </w:rPr>
            <w:t xml:space="preserve"> London, England: SAGE.</w:t>
          </w:r>
        </w:p>
        <w:p w14:paraId="0A9954D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World Bank Group . (2021). </w:t>
          </w:r>
          <w:r w:rsidRPr="009C6DC2">
            <w:rPr>
              <w:rFonts w:asciiTheme="majorBidi" w:hAnsiTheme="majorBidi" w:cstheme="majorBidi"/>
              <w:i/>
              <w:iCs/>
              <w:noProof/>
              <w:sz w:val="24"/>
              <w:szCs w:val="24"/>
              <w:lang w:val="en-US"/>
            </w:rPr>
            <w:t>Middle East and North Africa.</w:t>
          </w:r>
          <w:r w:rsidRPr="009C6DC2">
            <w:rPr>
              <w:rFonts w:asciiTheme="majorBidi" w:hAnsiTheme="majorBidi" w:cstheme="majorBidi"/>
              <w:noProof/>
              <w:sz w:val="24"/>
              <w:szCs w:val="24"/>
              <w:lang w:val="en-US"/>
            </w:rPr>
            <w:t xml:space="preserve"> Retrieved 09 04, 2023, from https://thedocs.worldbank.org/en/doc/e1ee32f3549c5283c46ca44047843890-0280012021/original/World-Bank-2021-MENA-Regional-Update.pdf</w:t>
          </w:r>
        </w:p>
        <w:p w14:paraId="37595097"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World Population Review . (2021). </w:t>
          </w:r>
          <w:r w:rsidRPr="009C6DC2">
            <w:rPr>
              <w:rFonts w:asciiTheme="majorBidi" w:hAnsiTheme="majorBidi" w:cstheme="majorBidi"/>
              <w:i/>
              <w:iCs/>
              <w:noProof/>
              <w:sz w:val="24"/>
              <w:szCs w:val="24"/>
              <w:lang w:val="en-US"/>
            </w:rPr>
            <w:t>World Population Review</w:t>
          </w:r>
          <w:r w:rsidRPr="009C6DC2">
            <w:rPr>
              <w:rFonts w:asciiTheme="majorBidi" w:hAnsiTheme="majorBidi" w:cstheme="majorBidi"/>
              <w:noProof/>
              <w:sz w:val="24"/>
              <w:szCs w:val="24"/>
              <w:lang w:val="en-US"/>
            </w:rPr>
            <w:t>. Retrieved from Population of Cities in Egypt: https://worldpopulationreview.com/en/countries/cities/egypt</w:t>
          </w:r>
        </w:p>
        <w:p w14:paraId="7875946F" w14:textId="2273D98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Wosińska, K. (2023). </w:t>
          </w:r>
          <w:r w:rsidRPr="009C6DC2">
            <w:rPr>
              <w:rFonts w:asciiTheme="majorBidi" w:hAnsiTheme="majorBidi" w:cstheme="majorBidi"/>
              <w:i/>
              <w:iCs/>
              <w:noProof/>
              <w:sz w:val="24"/>
              <w:szCs w:val="24"/>
              <w:lang w:val="en-US"/>
            </w:rPr>
            <w:t>What is the difference between sustainability, CSR and ESG in business context?</w:t>
          </w:r>
          <w:r w:rsidRPr="009C6DC2">
            <w:rPr>
              <w:rFonts w:asciiTheme="majorBidi" w:hAnsiTheme="majorBidi" w:cstheme="majorBidi"/>
              <w:noProof/>
              <w:sz w:val="24"/>
              <w:szCs w:val="24"/>
              <w:lang w:val="en-US"/>
            </w:rPr>
            <w:t xml:space="preserve"> Retrieved from LinkedIn: https://www.linkedin.com/pulse/what-difference-between-sustainability-csr-esg-context-wosi%C5%84ska/</w:t>
          </w:r>
        </w:p>
        <w:p w14:paraId="51CC4F86" w14:textId="06AA0F18"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Wright, S. A., Clarkson, J. J., &amp; Kardes , F. R. (2018). Circumventing resistance to novel information: Piquing curiosity through strategic information revelation. </w:t>
          </w:r>
          <w:r w:rsidRPr="009C6DC2">
            <w:rPr>
              <w:rFonts w:asciiTheme="majorBidi" w:hAnsiTheme="majorBidi" w:cstheme="majorBidi"/>
              <w:i/>
              <w:iCs/>
              <w:noProof/>
              <w:sz w:val="24"/>
              <w:szCs w:val="24"/>
              <w:lang w:val="en-US"/>
            </w:rPr>
            <w:t>Journal of Experimental Social Psychology</w:t>
          </w:r>
          <w:r w:rsidRPr="009C6DC2">
            <w:rPr>
              <w:rFonts w:asciiTheme="majorBidi" w:hAnsiTheme="majorBidi" w:cstheme="majorBidi"/>
              <w:noProof/>
              <w:sz w:val="24"/>
              <w:szCs w:val="24"/>
              <w:lang w:val="en-US"/>
            </w:rPr>
            <w:t>. doi:10.1016/j.jesp.2017.12.010</w:t>
          </w:r>
        </w:p>
        <w:p w14:paraId="2613A26B" w14:textId="1592455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Wu, L., &amp; Overton, H. (202</w:t>
          </w:r>
          <w:r w:rsidR="001D55B3">
            <w:rPr>
              <w:rFonts w:asciiTheme="majorBidi" w:hAnsiTheme="majorBidi" w:cstheme="majorBidi"/>
              <w:noProof/>
              <w:sz w:val="24"/>
              <w:szCs w:val="24"/>
              <w:lang w:val="en-US"/>
            </w:rPr>
            <w:t>0</w:t>
          </w:r>
          <w:r w:rsidRPr="009C6DC2">
            <w:rPr>
              <w:rFonts w:asciiTheme="majorBidi" w:hAnsiTheme="majorBidi" w:cstheme="majorBidi"/>
              <w:noProof/>
              <w:sz w:val="24"/>
              <w:szCs w:val="24"/>
              <w:lang w:val="en-US"/>
            </w:rPr>
            <w:t xml:space="preserve">). Is Native Advertising Effective for Corporate Social Responsibility Messaging? </w:t>
          </w:r>
          <w:r w:rsidRPr="009C6DC2">
            <w:rPr>
              <w:rFonts w:asciiTheme="majorBidi" w:hAnsiTheme="majorBidi" w:cstheme="majorBidi"/>
              <w:i/>
              <w:iCs/>
              <w:noProof/>
              <w:sz w:val="24"/>
              <w:szCs w:val="24"/>
              <w:lang w:val="en-US"/>
            </w:rPr>
            <w:t>Journal of Advertising Research</w:t>
          </w:r>
          <w:r w:rsidRPr="009C6DC2">
            <w:rPr>
              <w:rFonts w:asciiTheme="majorBidi" w:hAnsiTheme="majorBidi" w:cstheme="majorBidi"/>
              <w:noProof/>
              <w:sz w:val="24"/>
              <w:szCs w:val="24"/>
              <w:lang w:val="en-US"/>
            </w:rPr>
            <w:t>. doi: 10.2501/JAR-2020-019</w:t>
          </w:r>
        </w:p>
        <w:p w14:paraId="5A4ABB6F"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Xia, Y., &amp; Yang, Y. (2019). RMSEA, CFI, and TLI in structural equation modeling with ordered categorical data: The story they tell depends on the estimation methods. </w:t>
          </w:r>
          <w:r w:rsidRPr="009C6DC2">
            <w:rPr>
              <w:rFonts w:asciiTheme="majorBidi" w:hAnsiTheme="majorBidi" w:cstheme="majorBidi"/>
              <w:i/>
              <w:iCs/>
              <w:noProof/>
              <w:sz w:val="24"/>
              <w:szCs w:val="24"/>
              <w:lang w:val="en-US"/>
            </w:rPr>
            <w:t>Behavior Research Methods, 51</w:t>
          </w:r>
          <w:r w:rsidRPr="009C6DC2">
            <w:rPr>
              <w:rFonts w:asciiTheme="majorBidi" w:hAnsiTheme="majorBidi" w:cstheme="majorBidi"/>
              <w:noProof/>
              <w:sz w:val="24"/>
              <w:szCs w:val="24"/>
              <w:lang w:val="en-US"/>
            </w:rPr>
            <w:t>, 409-428. doi:https://doi.org/10.3758/s13428-018-1055-2</w:t>
          </w:r>
        </w:p>
        <w:p w14:paraId="000585FE" w14:textId="1D4B0FBC"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Xiao, L., Guo, F., Yu, F., &amp; Liu, S. (2019). The Effects of Online Shopping Context Cues on Consumers’ Purchase Intention for Cross-Border E-Commerce Sustainability. </w:t>
          </w:r>
          <w:r w:rsidRPr="009C6DC2">
            <w:rPr>
              <w:rFonts w:asciiTheme="majorBidi" w:hAnsiTheme="majorBidi" w:cstheme="majorBidi"/>
              <w:i/>
              <w:iCs/>
              <w:noProof/>
              <w:sz w:val="24"/>
              <w:szCs w:val="24"/>
              <w:lang w:val="en-US"/>
            </w:rPr>
            <w:t>Sustainability, 11</w:t>
          </w:r>
          <w:r w:rsidRPr="009C6DC2">
            <w:rPr>
              <w:rFonts w:asciiTheme="majorBidi" w:hAnsiTheme="majorBidi" w:cstheme="majorBidi"/>
              <w:noProof/>
              <w:sz w:val="24"/>
              <w:szCs w:val="24"/>
              <w:lang w:val="en-US"/>
            </w:rPr>
            <w:t>(10). doi:https://doi.org/10.3390/su11102777</w:t>
          </w:r>
        </w:p>
        <w:p w14:paraId="6EF20DA1" w14:textId="062F60D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Xiao, M., Cooke, F. L., Xu, J., &amp; Bian, H. (2020). To what extent is corporate social responsibility part of human resource management in the Chinese context? A review of literature and future research directions. </w:t>
          </w:r>
          <w:r w:rsidRPr="009C6DC2">
            <w:rPr>
              <w:rFonts w:asciiTheme="majorBidi" w:hAnsiTheme="majorBidi" w:cstheme="majorBidi"/>
              <w:i/>
              <w:iCs/>
              <w:noProof/>
              <w:sz w:val="24"/>
              <w:szCs w:val="24"/>
              <w:lang w:val="en-US"/>
            </w:rPr>
            <w:t>Human Resource Management Review, 30</w:t>
          </w:r>
          <w:r w:rsidRPr="009C6DC2">
            <w:rPr>
              <w:rFonts w:asciiTheme="majorBidi" w:hAnsiTheme="majorBidi" w:cstheme="majorBidi"/>
              <w:noProof/>
              <w:sz w:val="24"/>
              <w:szCs w:val="24"/>
              <w:lang w:val="en-US"/>
            </w:rPr>
            <w:t>(4). doi:https://doi.org/10.1016/j.hrmr.2019.100726</w:t>
          </w:r>
        </w:p>
        <w:p w14:paraId="5701C7B5" w14:textId="3246975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Xiao, Y., &amp; Watson, M. (2017). Guidance on Conducting a Systematic Literature Review. </w:t>
          </w:r>
          <w:r w:rsidRPr="009C6DC2">
            <w:rPr>
              <w:rFonts w:asciiTheme="majorBidi" w:hAnsiTheme="majorBidi" w:cstheme="majorBidi"/>
              <w:i/>
              <w:iCs/>
              <w:noProof/>
              <w:sz w:val="24"/>
              <w:szCs w:val="24"/>
              <w:lang w:val="en-US"/>
            </w:rPr>
            <w:t>Journal of Planning Education and Research, 39</w:t>
          </w:r>
          <w:r w:rsidRPr="009C6DC2">
            <w:rPr>
              <w:rFonts w:asciiTheme="majorBidi" w:hAnsiTheme="majorBidi" w:cstheme="majorBidi"/>
              <w:noProof/>
              <w:sz w:val="24"/>
              <w:szCs w:val="24"/>
              <w:lang w:val="en-US"/>
            </w:rPr>
            <w:t>(1), 93-112. doi:https://doi.org/10.1177/0739456X17723971</w:t>
          </w:r>
        </w:p>
        <w:p w14:paraId="7A5759DF" w14:textId="1BE90A6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Xu, J., Wang, J., Tian, Y., Li, X., &amp; Gao, X. (2020). SE-stacking: Improving user purchase behavior prediction by information fusion and ensemble learning. </w:t>
          </w:r>
          <w:r w:rsidRPr="009C6DC2">
            <w:rPr>
              <w:rFonts w:asciiTheme="majorBidi" w:hAnsiTheme="majorBidi" w:cstheme="majorBidi"/>
              <w:i/>
              <w:iCs/>
              <w:noProof/>
              <w:sz w:val="24"/>
              <w:szCs w:val="24"/>
              <w:lang w:val="en-US"/>
            </w:rPr>
            <w:t>Plos One, 15</w:t>
          </w:r>
          <w:r w:rsidRPr="009C6DC2">
            <w:rPr>
              <w:rFonts w:asciiTheme="majorBidi" w:hAnsiTheme="majorBidi" w:cstheme="majorBidi"/>
              <w:noProof/>
              <w:sz w:val="24"/>
              <w:szCs w:val="24"/>
              <w:lang w:val="en-US"/>
            </w:rPr>
            <w:t>(11). doi:https://doi.org/10.1371/journal.pone.0242629</w:t>
          </w:r>
        </w:p>
        <w:p w14:paraId="041FA82B" w14:textId="44A86B3E"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Xu, P., Chen, L., &amp; Santhanam, R. (2015). Will video be the next generation of e-commerce product reviews? Presentation format and the role of product type. </w:t>
          </w:r>
          <w:r w:rsidRPr="009C6DC2">
            <w:rPr>
              <w:rFonts w:asciiTheme="majorBidi" w:hAnsiTheme="majorBidi" w:cstheme="majorBidi"/>
              <w:i/>
              <w:iCs/>
              <w:noProof/>
              <w:sz w:val="24"/>
              <w:szCs w:val="24"/>
              <w:lang w:val="en-US"/>
            </w:rPr>
            <w:t>Decision Support Systems, 73</w:t>
          </w:r>
          <w:r w:rsidRPr="009C6DC2">
            <w:rPr>
              <w:rFonts w:asciiTheme="majorBidi" w:hAnsiTheme="majorBidi" w:cstheme="majorBidi"/>
              <w:noProof/>
              <w:sz w:val="24"/>
              <w:szCs w:val="24"/>
              <w:lang w:val="en-US"/>
            </w:rPr>
            <w:t>, 85-96. doi:https://doi.org/10.1016/j.dss.2015.03.001</w:t>
          </w:r>
        </w:p>
        <w:p w14:paraId="4D831951"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Yan, R. N., Ogle, J. P., &amp; Hyllegard, K. H. (2010). The impact of message appeal and message source on Gen Y consumers' attitudes and purchase intentions toward American apparel. </w:t>
          </w:r>
          <w:r w:rsidRPr="009C6DC2">
            <w:rPr>
              <w:rFonts w:asciiTheme="majorBidi" w:hAnsiTheme="majorBidi" w:cstheme="majorBidi"/>
              <w:i/>
              <w:iCs/>
              <w:noProof/>
              <w:sz w:val="24"/>
              <w:szCs w:val="24"/>
              <w:lang w:val="en-US"/>
            </w:rPr>
            <w:t>Journal of Marketing Communications, 16</w:t>
          </w:r>
          <w:r w:rsidRPr="009C6DC2">
            <w:rPr>
              <w:rFonts w:asciiTheme="majorBidi" w:hAnsiTheme="majorBidi" w:cstheme="majorBidi"/>
              <w:noProof/>
              <w:sz w:val="24"/>
              <w:szCs w:val="24"/>
              <w:lang w:val="en-US"/>
            </w:rPr>
            <w:t>(4), 203-224. Retrieved 03 5, 2023</w:t>
          </w:r>
        </w:p>
        <w:p w14:paraId="396F0BE6" w14:textId="77777777" w:rsidR="006E2490" w:rsidRPr="009C6DC2" w:rsidRDefault="006E2490" w:rsidP="006E2490">
          <w:pPr>
            <w:ind w:left="720" w:hanging="720"/>
            <w:rPr>
              <w:rFonts w:asciiTheme="majorBidi" w:hAnsiTheme="majorBidi" w:cstheme="majorBidi"/>
              <w:noProof/>
              <w:sz w:val="24"/>
              <w:szCs w:val="24"/>
              <w:lang w:val="en-US"/>
            </w:rPr>
          </w:pPr>
          <w:r w:rsidRPr="002D684C">
            <w:rPr>
              <w:rFonts w:asciiTheme="majorBidi" w:hAnsiTheme="majorBidi" w:cstheme="majorBidi"/>
              <w:noProof/>
              <w:sz w:val="24"/>
              <w:szCs w:val="24"/>
            </w:rPr>
            <w:t xml:space="preserve">Yang, C.-M., &amp; Hsu, T.-f. (2017). </w:t>
          </w:r>
          <w:r w:rsidRPr="009C6DC2">
            <w:rPr>
              <w:rFonts w:asciiTheme="majorBidi" w:hAnsiTheme="majorBidi" w:cstheme="majorBidi"/>
              <w:noProof/>
              <w:sz w:val="24"/>
              <w:szCs w:val="24"/>
              <w:lang w:val="en-US"/>
            </w:rPr>
            <w:t xml:space="preserve">EFFECTS OF SKEPTICISM ABOUT CORPORATE SOCIAL RESPONSIBILITY ADVERTISING ON CONSUMER ATTITUDE. </w:t>
          </w:r>
          <w:r w:rsidRPr="009C6DC2">
            <w:rPr>
              <w:rFonts w:asciiTheme="majorBidi" w:hAnsiTheme="majorBidi" w:cstheme="majorBidi"/>
              <w:i/>
              <w:iCs/>
              <w:noProof/>
              <w:sz w:val="24"/>
              <w:szCs w:val="24"/>
              <w:lang w:val="en-US"/>
            </w:rPr>
            <w:t>Journal of Social Behaviour and Personality, 45</w:t>
          </w:r>
          <w:r w:rsidRPr="009C6DC2">
            <w:rPr>
              <w:rFonts w:asciiTheme="majorBidi" w:hAnsiTheme="majorBidi" w:cstheme="majorBidi"/>
              <w:noProof/>
              <w:sz w:val="24"/>
              <w:szCs w:val="24"/>
              <w:lang w:val="en-US"/>
            </w:rPr>
            <w:t>(3), 453-468. doi:https://doi.org/10.2224/sbp.5788</w:t>
          </w:r>
        </w:p>
        <w:p w14:paraId="7428375D"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Yin, R. (2011). </w:t>
          </w:r>
          <w:r w:rsidRPr="009C6DC2">
            <w:rPr>
              <w:rFonts w:asciiTheme="majorBidi" w:hAnsiTheme="majorBidi" w:cstheme="majorBidi"/>
              <w:i/>
              <w:iCs/>
              <w:noProof/>
              <w:sz w:val="24"/>
              <w:szCs w:val="24"/>
              <w:lang w:val="en-US"/>
            </w:rPr>
            <w:t>Qualitative Research from Start to Finish.</w:t>
          </w:r>
          <w:r w:rsidRPr="009C6DC2">
            <w:rPr>
              <w:rFonts w:asciiTheme="majorBidi" w:hAnsiTheme="majorBidi" w:cstheme="majorBidi"/>
              <w:noProof/>
              <w:sz w:val="24"/>
              <w:szCs w:val="24"/>
              <w:lang w:val="en-US"/>
            </w:rPr>
            <w:t xml:space="preserve"> New York: The Guilford Press.</w:t>
          </w:r>
        </w:p>
        <w:p w14:paraId="45E0EF8F" w14:textId="23D9CA59"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Yoo, D., &amp; Lee, J. (2018). The Effects of Corporate Social Responsibility (CSR) Fit and CSR Consistency on Company Evaluation:The Role of CSR Support. </w:t>
          </w:r>
          <w:r w:rsidRPr="009C6DC2">
            <w:rPr>
              <w:rFonts w:asciiTheme="majorBidi" w:hAnsiTheme="majorBidi" w:cstheme="majorBidi"/>
              <w:i/>
              <w:iCs/>
              <w:noProof/>
              <w:sz w:val="24"/>
              <w:szCs w:val="24"/>
              <w:lang w:val="en-US"/>
            </w:rPr>
            <w:t>Sustainability, 10</w:t>
          </w:r>
          <w:r w:rsidRPr="009C6DC2">
            <w:rPr>
              <w:rFonts w:asciiTheme="majorBidi" w:hAnsiTheme="majorBidi" w:cstheme="majorBidi"/>
              <w:noProof/>
              <w:sz w:val="24"/>
              <w:szCs w:val="24"/>
              <w:lang w:val="en-US"/>
            </w:rPr>
            <w:t>(8). doi:https://doi.org/10.3390/su10082956</w:t>
          </w:r>
        </w:p>
        <w:p w14:paraId="615315B1" w14:textId="6C3BD21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Yoon, S.-H., &amp; Lee, S.-H. (2022). What Likeability Attributes Attract People to Watch Online Video Advertisements? </w:t>
          </w:r>
          <w:r w:rsidRPr="009C6DC2">
            <w:rPr>
              <w:rFonts w:asciiTheme="majorBidi" w:hAnsiTheme="majorBidi" w:cstheme="majorBidi"/>
              <w:i/>
              <w:iCs/>
              <w:noProof/>
              <w:sz w:val="24"/>
              <w:szCs w:val="24"/>
              <w:lang w:val="en-US"/>
            </w:rPr>
            <w:t>Electronics, 11</w:t>
          </w:r>
          <w:r w:rsidRPr="009C6DC2">
            <w:rPr>
              <w:rFonts w:asciiTheme="majorBidi" w:hAnsiTheme="majorBidi" w:cstheme="majorBidi"/>
              <w:noProof/>
              <w:sz w:val="24"/>
              <w:szCs w:val="24"/>
              <w:lang w:val="en-US"/>
            </w:rPr>
            <w:t>(13). doi:https://doi.org/10.3390/electronics11131960</w:t>
          </w:r>
        </w:p>
        <w:p w14:paraId="4B7411D9"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Yoon, Y., Giirhan-Canli, Z., &amp; Schwarz, N. (2006). The Effect of Corporate Social Responsibility (CSR) Activites on Companies with Bad Reputation. </w:t>
          </w:r>
          <w:r w:rsidRPr="009C6DC2">
            <w:rPr>
              <w:rFonts w:asciiTheme="majorBidi" w:hAnsiTheme="majorBidi" w:cstheme="majorBidi"/>
              <w:i/>
              <w:iCs/>
              <w:noProof/>
              <w:sz w:val="24"/>
              <w:szCs w:val="24"/>
              <w:lang w:val="en-US"/>
            </w:rPr>
            <w:t>Journal of Consumer Psychology</w:t>
          </w:r>
          <w:r w:rsidRPr="009C6DC2">
            <w:rPr>
              <w:rFonts w:asciiTheme="majorBidi" w:hAnsiTheme="majorBidi" w:cstheme="majorBidi"/>
              <w:noProof/>
              <w:sz w:val="24"/>
              <w:szCs w:val="24"/>
              <w:lang w:val="en-US"/>
            </w:rPr>
            <w:t>, 377-390. Retrieved 02 04, 2021</w:t>
          </w:r>
        </w:p>
        <w:p w14:paraId="3EDD96E9" w14:textId="3EF69732"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You, L., &amp; Hon, L. (2022). Measuring consumer digital engagement and political consumerism as outcomes of corporate political advocacy. </w:t>
          </w:r>
          <w:r w:rsidRPr="009C6DC2">
            <w:rPr>
              <w:rFonts w:asciiTheme="majorBidi" w:hAnsiTheme="majorBidi" w:cstheme="majorBidi"/>
              <w:i/>
              <w:iCs/>
              <w:noProof/>
              <w:sz w:val="24"/>
              <w:szCs w:val="24"/>
              <w:lang w:val="en-US"/>
            </w:rPr>
            <w:t>Public Relations Review, 48</w:t>
          </w:r>
          <w:r w:rsidRPr="009C6DC2">
            <w:rPr>
              <w:rFonts w:asciiTheme="majorBidi" w:hAnsiTheme="majorBidi" w:cstheme="majorBidi"/>
              <w:noProof/>
              <w:sz w:val="24"/>
              <w:szCs w:val="24"/>
              <w:lang w:val="en-US"/>
            </w:rPr>
            <w:t>(5). doi:https://doi.org/10.1016/j.pubrev.2022.102233</w:t>
          </w:r>
        </w:p>
        <w:p w14:paraId="55F343C2" w14:textId="0FEF6FA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You, L., &amp; Hon, L. C. (2021). Testing the effects of reputation, value congruence and brand identity on word-of-mouth intentions. </w:t>
          </w:r>
          <w:r w:rsidRPr="009C6DC2">
            <w:rPr>
              <w:rFonts w:asciiTheme="majorBidi" w:hAnsiTheme="majorBidi" w:cstheme="majorBidi"/>
              <w:i/>
              <w:iCs/>
              <w:noProof/>
              <w:sz w:val="24"/>
              <w:szCs w:val="24"/>
              <w:lang w:val="en-US"/>
            </w:rPr>
            <w:t>Journal of Communication Management, 25</w:t>
          </w:r>
          <w:r w:rsidRPr="009C6DC2">
            <w:rPr>
              <w:rFonts w:asciiTheme="majorBidi" w:hAnsiTheme="majorBidi" w:cstheme="majorBidi"/>
              <w:noProof/>
              <w:sz w:val="24"/>
              <w:szCs w:val="24"/>
              <w:lang w:val="en-US"/>
            </w:rPr>
            <w:t>(2), 160-181. doi:https://doi.org/10.1108/JCOM-10-2020-0119</w:t>
          </w:r>
        </w:p>
        <w:p w14:paraId="707B3E84"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Youssef, M. H. (2022). Assessment of Poverty Alleviation Policies in Assiut Governorate, Egypt. In </w:t>
          </w:r>
          <w:r w:rsidRPr="009C6DC2">
            <w:rPr>
              <w:rFonts w:asciiTheme="majorBidi" w:hAnsiTheme="majorBidi" w:cstheme="majorBidi"/>
              <w:i/>
              <w:iCs/>
              <w:noProof/>
              <w:sz w:val="24"/>
              <w:szCs w:val="24"/>
              <w:lang w:val="en-US"/>
            </w:rPr>
            <w:t>Institutional Reforms, Governance, and Services Delivery in the Global South</w:t>
          </w:r>
          <w:r w:rsidRPr="009C6DC2">
            <w:rPr>
              <w:rFonts w:asciiTheme="majorBidi" w:hAnsiTheme="majorBidi" w:cstheme="majorBidi"/>
              <w:noProof/>
              <w:sz w:val="24"/>
              <w:szCs w:val="24"/>
              <w:lang w:val="en-US"/>
            </w:rPr>
            <w:t xml:space="preserve"> (pp. 265-287). Palgrave Macmillan, Cham. doi:10.1007/978-3-030-82257-6_12</w:t>
          </w:r>
        </w:p>
        <w:p w14:paraId="431A5460" w14:textId="202C143B"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Yu, J., Lho, L. H., &amp; Han, H. (2022). Corporate social responsibility (environment, product, diversity, employee, and community) and the hotel employees' job performance: Exploring the role of the employment types. </w:t>
          </w:r>
          <w:r w:rsidRPr="009C6DC2">
            <w:rPr>
              <w:rFonts w:asciiTheme="majorBidi" w:hAnsiTheme="majorBidi" w:cstheme="majorBidi"/>
              <w:i/>
              <w:iCs/>
              <w:noProof/>
              <w:sz w:val="24"/>
              <w:szCs w:val="24"/>
              <w:lang w:val="en-US"/>
            </w:rPr>
            <w:t>Corporate Social Responsibility and Environmental Management, 29</w:t>
          </w:r>
          <w:r w:rsidRPr="009C6DC2">
            <w:rPr>
              <w:rFonts w:asciiTheme="majorBidi" w:hAnsiTheme="majorBidi" w:cstheme="majorBidi"/>
              <w:noProof/>
              <w:sz w:val="24"/>
              <w:szCs w:val="24"/>
              <w:lang w:val="en-US"/>
            </w:rPr>
            <w:t>(5), 1825-1838. doi:https://doi.org/10.1002/csr.2330</w:t>
          </w:r>
        </w:p>
        <w:p w14:paraId="6423BB9E" w14:textId="7777777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Zajonc, R. B. (1960). The process of cognitive tuning in communication. </w:t>
          </w:r>
          <w:r w:rsidRPr="009C6DC2">
            <w:rPr>
              <w:rFonts w:asciiTheme="majorBidi" w:hAnsiTheme="majorBidi" w:cstheme="majorBidi"/>
              <w:i/>
              <w:iCs/>
              <w:noProof/>
              <w:sz w:val="24"/>
              <w:szCs w:val="24"/>
              <w:lang w:val="en-US"/>
            </w:rPr>
            <w:t>The Journal of Abnormal and Social Psychology, 61</w:t>
          </w:r>
          <w:r w:rsidRPr="009C6DC2">
            <w:rPr>
              <w:rFonts w:asciiTheme="majorBidi" w:hAnsiTheme="majorBidi" w:cstheme="majorBidi"/>
              <w:noProof/>
              <w:sz w:val="24"/>
              <w:szCs w:val="24"/>
              <w:lang w:val="en-US"/>
            </w:rPr>
            <w:t>(2), 159-167. doi: https://doi.org/10.1037/h0047987</w:t>
          </w:r>
        </w:p>
        <w:p w14:paraId="49E186F2" w14:textId="27A6F32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Zasuwa, G. (2017). The Role of Company-Cause Fit and Company Involvement in Consumer Responses to CSR Initiatives: A Meta-Analytic Review. </w:t>
          </w:r>
          <w:r w:rsidRPr="009C6DC2">
            <w:rPr>
              <w:rFonts w:asciiTheme="majorBidi" w:hAnsiTheme="majorBidi" w:cstheme="majorBidi"/>
              <w:i/>
              <w:iCs/>
              <w:noProof/>
              <w:sz w:val="24"/>
              <w:szCs w:val="24"/>
              <w:lang w:val="en-US"/>
            </w:rPr>
            <w:t>Sustainability, 06</w:t>
          </w:r>
          <w:r w:rsidRPr="009C6DC2">
            <w:rPr>
              <w:rFonts w:asciiTheme="majorBidi" w:hAnsiTheme="majorBidi" w:cstheme="majorBidi"/>
              <w:noProof/>
              <w:sz w:val="24"/>
              <w:szCs w:val="24"/>
              <w:lang w:val="en-US"/>
            </w:rPr>
            <w:t>. doi:https://doi.org/10.3390/su9061016</w:t>
          </w:r>
        </w:p>
        <w:p w14:paraId="6C02D6FD" w14:textId="77777777" w:rsidR="006E2490" w:rsidRPr="00B94EF6" w:rsidRDefault="006E2490" w:rsidP="006E2490">
          <w:pPr>
            <w:ind w:left="720" w:hanging="720"/>
            <w:rPr>
              <w:rFonts w:asciiTheme="majorBidi" w:hAnsiTheme="majorBidi" w:cstheme="majorBidi"/>
              <w:noProof/>
              <w:sz w:val="24"/>
              <w:szCs w:val="24"/>
              <w:lang w:val="en-US"/>
            </w:rPr>
          </w:pPr>
          <w:r w:rsidRPr="00B94EF6">
            <w:rPr>
              <w:rFonts w:asciiTheme="majorBidi" w:hAnsiTheme="majorBidi" w:cstheme="majorBidi"/>
              <w:noProof/>
              <w:sz w:val="24"/>
              <w:szCs w:val="24"/>
              <w:lang w:val="en-US"/>
            </w:rPr>
            <w:t xml:space="preserve">Zhang, A., Saleme, P., Pang, B., Durl, J., &amp; Xu, Z. (2020). A Systematic Review of Experimental Studies Investigating the Effect of Cause-Related Marketing on Consumer Purchase Intention. </w:t>
          </w:r>
          <w:r w:rsidRPr="00B94EF6">
            <w:rPr>
              <w:rFonts w:asciiTheme="majorBidi" w:hAnsiTheme="majorBidi" w:cstheme="majorBidi"/>
              <w:i/>
              <w:iCs/>
              <w:noProof/>
              <w:sz w:val="24"/>
              <w:szCs w:val="24"/>
              <w:lang w:val="en-US"/>
            </w:rPr>
            <w:t>Sustainability, 12</w:t>
          </w:r>
          <w:r w:rsidRPr="00B94EF6">
            <w:rPr>
              <w:rFonts w:asciiTheme="majorBidi" w:hAnsiTheme="majorBidi" w:cstheme="majorBidi"/>
              <w:noProof/>
              <w:sz w:val="24"/>
              <w:szCs w:val="24"/>
              <w:lang w:val="en-US"/>
            </w:rPr>
            <w:t>(22). doi:https://doi.org/10.3390/su12229609</w:t>
          </w:r>
        </w:p>
        <w:p w14:paraId="43FEA963" w14:textId="58EDD16E" w:rsidR="006E2490" w:rsidRPr="00B94EF6" w:rsidRDefault="006E2490" w:rsidP="006E2490">
          <w:pPr>
            <w:ind w:left="720" w:hanging="720"/>
            <w:rPr>
              <w:rFonts w:asciiTheme="majorBidi" w:hAnsiTheme="majorBidi" w:cstheme="majorBidi"/>
              <w:noProof/>
              <w:sz w:val="24"/>
              <w:szCs w:val="24"/>
              <w:lang w:val="en-US"/>
            </w:rPr>
          </w:pPr>
          <w:r w:rsidRPr="00B94EF6">
            <w:rPr>
              <w:rFonts w:asciiTheme="majorBidi" w:hAnsiTheme="majorBidi" w:cstheme="majorBidi"/>
              <w:noProof/>
              <w:sz w:val="24"/>
              <w:szCs w:val="24"/>
              <w:lang w:val="en-US"/>
            </w:rPr>
            <w:t xml:space="preserve">Zhang, J., &amp; Wang , Y. (2022). Effectiveness of corporate social responsibility activities in the COVID-19 pandemic. </w:t>
          </w:r>
          <w:r w:rsidRPr="00B94EF6">
            <w:rPr>
              <w:rFonts w:asciiTheme="majorBidi" w:hAnsiTheme="majorBidi" w:cstheme="majorBidi"/>
              <w:i/>
              <w:iCs/>
              <w:noProof/>
              <w:sz w:val="24"/>
              <w:szCs w:val="24"/>
              <w:lang w:val="en-US"/>
            </w:rPr>
            <w:t>Journal of Product &amp; Brand Management, 31</w:t>
          </w:r>
          <w:r w:rsidRPr="00B94EF6">
            <w:rPr>
              <w:rFonts w:asciiTheme="majorBidi" w:hAnsiTheme="majorBidi" w:cstheme="majorBidi"/>
              <w:noProof/>
              <w:sz w:val="24"/>
              <w:szCs w:val="24"/>
              <w:lang w:val="en-US"/>
            </w:rPr>
            <w:t>(7), 1063-1076. doi:https://doi.org/10.1108/JPBM-07-2021-3551</w:t>
          </w:r>
        </w:p>
        <w:p w14:paraId="1BB51003" w14:textId="77777777" w:rsidR="006E2490" w:rsidRPr="00B94EF6" w:rsidRDefault="006E2490" w:rsidP="006E2490">
          <w:pPr>
            <w:ind w:left="720" w:hanging="720"/>
            <w:rPr>
              <w:rFonts w:asciiTheme="majorBidi" w:hAnsiTheme="majorBidi" w:cstheme="majorBidi"/>
              <w:noProof/>
              <w:sz w:val="24"/>
              <w:szCs w:val="24"/>
              <w:lang w:val="en-US"/>
            </w:rPr>
          </w:pPr>
          <w:r w:rsidRPr="00B94EF6">
            <w:rPr>
              <w:rFonts w:asciiTheme="majorBidi" w:hAnsiTheme="majorBidi" w:cstheme="majorBidi"/>
              <w:noProof/>
              <w:sz w:val="24"/>
              <w:szCs w:val="24"/>
              <w:lang w:val="sv-SE"/>
            </w:rPr>
            <w:t xml:space="preserve">Zhang, J., &amp; Bloemer, J. M. (2008). </w:t>
          </w:r>
          <w:r w:rsidRPr="00B94EF6">
            <w:rPr>
              <w:rFonts w:asciiTheme="majorBidi" w:hAnsiTheme="majorBidi" w:cstheme="majorBidi"/>
              <w:noProof/>
              <w:sz w:val="24"/>
              <w:szCs w:val="24"/>
              <w:lang w:val="en-US"/>
            </w:rPr>
            <w:t xml:space="preserve">The impact of value congruence on consumer-service brand relationships. </w:t>
          </w:r>
          <w:r w:rsidRPr="00B94EF6">
            <w:rPr>
              <w:rFonts w:asciiTheme="majorBidi" w:hAnsiTheme="majorBidi" w:cstheme="majorBidi"/>
              <w:i/>
              <w:iCs/>
              <w:noProof/>
              <w:sz w:val="24"/>
              <w:szCs w:val="24"/>
              <w:lang w:val="en-US"/>
            </w:rPr>
            <w:t>Journal of Service Research, 11</w:t>
          </w:r>
          <w:r w:rsidRPr="00B94EF6">
            <w:rPr>
              <w:rFonts w:asciiTheme="majorBidi" w:hAnsiTheme="majorBidi" w:cstheme="majorBidi"/>
              <w:noProof/>
              <w:sz w:val="24"/>
              <w:szCs w:val="24"/>
              <w:lang w:val="en-US"/>
            </w:rPr>
            <w:t>, 161-178. Retrieved 09 13, 2023</w:t>
          </w:r>
        </w:p>
        <w:p w14:paraId="0C33FCCA" w14:textId="388B9BCC" w:rsidR="006E2490" w:rsidRPr="00B94EF6" w:rsidRDefault="006E2490" w:rsidP="006E2490">
          <w:pPr>
            <w:ind w:left="720" w:hanging="720"/>
            <w:rPr>
              <w:rFonts w:asciiTheme="majorBidi" w:hAnsiTheme="majorBidi" w:cstheme="majorBidi"/>
              <w:noProof/>
              <w:sz w:val="24"/>
              <w:szCs w:val="24"/>
              <w:lang w:val="en-US"/>
            </w:rPr>
          </w:pPr>
          <w:r w:rsidRPr="00B94EF6">
            <w:rPr>
              <w:rFonts w:asciiTheme="majorBidi" w:hAnsiTheme="majorBidi" w:cstheme="majorBidi"/>
              <w:noProof/>
              <w:sz w:val="24"/>
              <w:szCs w:val="24"/>
              <w:lang w:val="en-US"/>
            </w:rPr>
            <w:t xml:space="preserve">Zhang, J., &amp; He, X. (2019). Targeted advertising by asymmetric firms. </w:t>
          </w:r>
          <w:r w:rsidRPr="00B94EF6">
            <w:rPr>
              <w:rFonts w:asciiTheme="majorBidi" w:hAnsiTheme="majorBidi" w:cstheme="majorBidi"/>
              <w:i/>
              <w:iCs/>
              <w:noProof/>
              <w:sz w:val="24"/>
              <w:szCs w:val="24"/>
              <w:lang w:val="en-US"/>
            </w:rPr>
            <w:t>89</w:t>
          </w:r>
          <w:r w:rsidRPr="00B94EF6">
            <w:rPr>
              <w:rFonts w:asciiTheme="majorBidi" w:hAnsiTheme="majorBidi" w:cstheme="majorBidi"/>
              <w:noProof/>
              <w:sz w:val="24"/>
              <w:szCs w:val="24"/>
              <w:lang w:val="en-US"/>
            </w:rPr>
            <w:t>, 136-150. doi:Xiuli</w:t>
          </w:r>
        </w:p>
        <w:p w14:paraId="41757F9D" w14:textId="41CDC827" w:rsidR="006E2490" w:rsidRPr="00B94EF6" w:rsidRDefault="006E2490" w:rsidP="006E2490">
          <w:pPr>
            <w:ind w:left="720" w:hanging="720"/>
            <w:rPr>
              <w:rFonts w:asciiTheme="majorBidi" w:hAnsiTheme="majorBidi" w:cstheme="majorBidi"/>
              <w:noProof/>
              <w:sz w:val="24"/>
              <w:szCs w:val="24"/>
              <w:lang w:val="en-US"/>
            </w:rPr>
          </w:pPr>
          <w:r w:rsidRPr="00B94EF6">
            <w:rPr>
              <w:rFonts w:asciiTheme="majorBidi" w:hAnsiTheme="majorBidi" w:cstheme="majorBidi"/>
              <w:noProof/>
              <w:sz w:val="24"/>
              <w:szCs w:val="24"/>
              <w:lang w:val="en-US"/>
            </w:rPr>
            <w:t xml:space="preserve">Zhang, M., Ren, C., Wang, G. A., &amp; He, Z. (2018). The impact of channel integration on consumer responses in omni-channel retailing: The mediating effect of consumer empowerment. </w:t>
          </w:r>
          <w:r w:rsidRPr="00B94EF6">
            <w:rPr>
              <w:rFonts w:asciiTheme="majorBidi" w:hAnsiTheme="majorBidi" w:cstheme="majorBidi"/>
              <w:i/>
              <w:iCs/>
              <w:noProof/>
              <w:sz w:val="24"/>
              <w:szCs w:val="24"/>
              <w:lang w:val="en-US"/>
            </w:rPr>
            <w:t>Electronic Commerce Research and Applications, 28</w:t>
          </w:r>
          <w:r w:rsidRPr="00B94EF6">
            <w:rPr>
              <w:rFonts w:asciiTheme="majorBidi" w:hAnsiTheme="majorBidi" w:cstheme="majorBidi"/>
              <w:noProof/>
              <w:sz w:val="24"/>
              <w:szCs w:val="24"/>
              <w:lang w:val="en-US"/>
            </w:rPr>
            <w:t>, 181-193. doi:https://doi.org/10.1016/j.elerap.2018.02.002</w:t>
          </w:r>
        </w:p>
        <w:p w14:paraId="53AD86A5" w14:textId="36E4CC09" w:rsidR="006E2490" w:rsidRPr="00B94EF6" w:rsidRDefault="006E2490" w:rsidP="006E2490">
          <w:pPr>
            <w:ind w:left="720" w:hanging="720"/>
            <w:rPr>
              <w:rFonts w:asciiTheme="majorBidi" w:hAnsiTheme="majorBidi" w:cstheme="majorBidi"/>
              <w:noProof/>
              <w:sz w:val="24"/>
              <w:szCs w:val="24"/>
              <w:lang w:val="en-US"/>
            </w:rPr>
          </w:pPr>
          <w:r w:rsidRPr="00B94EF6">
            <w:rPr>
              <w:rFonts w:asciiTheme="majorBidi" w:hAnsiTheme="majorBidi" w:cstheme="majorBidi"/>
              <w:noProof/>
              <w:sz w:val="24"/>
              <w:szCs w:val="24"/>
              <w:lang w:val="en-US"/>
            </w:rPr>
            <w:t xml:space="preserve">Zhang, T. (2022). Grading Business Journals: A Comparative Analysis of ABS, ABDC and JCR Quartiles and Proposing an Algorithm Based Classification. </w:t>
          </w:r>
          <w:r w:rsidRPr="00B94EF6">
            <w:rPr>
              <w:rFonts w:asciiTheme="majorBidi" w:hAnsiTheme="majorBidi" w:cstheme="majorBidi"/>
              <w:i/>
              <w:iCs/>
              <w:noProof/>
              <w:sz w:val="24"/>
              <w:szCs w:val="24"/>
              <w:lang w:val="en-US"/>
            </w:rPr>
            <w:t>Journal of Scientometric Research, 10</w:t>
          </w:r>
          <w:r w:rsidRPr="00B94EF6">
            <w:rPr>
              <w:rFonts w:asciiTheme="majorBidi" w:hAnsiTheme="majorBidi" w:cstheme="majorBidi"/>
              <w:noProof/>
              <w:sz w:val="24"/>
              <w:szCs w:val="24"/>
              <w:lang w:val="en-US"/>
            </w:rPr>
            <w:t>(03), 297-303. doi:0.5530/jscires.10.3.46</w:t>
          </w:r>
        </w:p>
        <w:p w14:paraId="43135543" w14:textId="06EB3A1E" w:rsidR="006E2490" w:rsidRPr="009C6DC2" w:rsidRDefault="006E2490" w:rsidP="006E2490">
          <w:pPr>
            <w:ind w:left="720" w:hanging="720"/>
            <w:rPr>
              <w:rFonts w:asciiTheme="majorBidi" w:hAnsiTheme="majorBidi" w:cstheme="majorBidi"/>
              <w:noProof/>
              <w:sz w:val="24"/>
              <w:szCs w:val="24"/>
              <w:lang w:val="en-US"/>
            </w:rPr>
          </w:pPr>
          <w:r w:rsidRPr="00B94EF6">
            <w:rPr>
              <w:rFonts w:asciiTheme="majorBidi" w:hAnsiTheme="majorBidi" w:cstheme="majorBidi"/>
              <w:noProof/>
              <w:sz w:val="24"/>
              <w:szCs w:val="24"/>
              <w:lang w:val="en-US"/>
            </w:rPr>
            <w:t xml:space="preserve">Zhang, X., Prybutok, V. R., &amp; Strutton, D. (2007). Modeling Influences on Impulse Purchasing Behaviors During Online Marketing Transactions. </w:t>
          </w:r>
          <w:r w:rsidRPr="00B94EF6">
            <w:rPr>
              <w:rFonts w:asciiTheme="majorBidi" w:hAnsiTheme="majorBidi" w:cstheme="majorBidi"/>
              <w:i/>
              <w:iCs/>
              <w:noProof/>
              <w:sz w:val="24"/>
              <w:szCs w:val="24"/>
              <w:lang w:val="en-US"/>
            </w:rPr>
            <w:t>Journal of Marketing Theory and Practice, 15</w:t>
          </w:r>
          <w:r w:rsidRPr="00B94EF6">
            <w:rPr>
              <w:rFonts w:asciiTheme="majorBidi" w:hAnsiTheme="majorBidi" w:cstheme="majorBidi"/>
              <w:noProof/>
              <w:sz w:val="24"/>
              <w:szCs w:val="24"/>
              <w:lang w:val="en-US"/>
            </w:rPr>
            <w:t>(1), 79-89. doi:https://doi.org/10.2753/MTP1069-6679150106</w:t>
          </w:r>
        </w:p>
        <w:p w14:paraId="57BAC5B4" w14:textId="4EB13413"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Zhao, L., Lee, S. H., &amp; Copeland , L. R. (2019). Social media and Chinese consumers’ environmentally sustainable apparel purchase intentions. </w:t>
          </w:r>
          <w:r w:rsidRPr="009C6DC2">
            <w:rPr>
              <w:rFonts w:asciiTheme="majorBidi" w:hAnsiTheme="majorBidi" w:cstheme="majorBidi"/>
              <w:i/>
              <w:iCs/>
              <w:noProof/>
              <w:sz w:val="24"/>
              <w:szCs w:val="24"/>
              <w:lang w:val="en-US"/>
            </w:rPr>
            <w:t>Asia Pacific Journal of Marketing and Logistics, 31</w:t>
          </w:r>
          <w:r w:rsidRPr="009C6DC2">
            <w:rPr>
              <w:rFonts w:asciiTheme="majorBidi" w:hAnsiTheme="majorBidi" w:cstheme="majorBidi"/>
              <w:noProof/>
              <w:sz w:val="24"/>
              <w:szCs w:val="24"/>
              <w:lang w:val="en-US"/>
            </w:rPr>
            <w:t>(04), 855-874. doi:https://doi.org/10.1108/APJML-08-2017-0183</w:t>
          </w:r>
        </w:p>
        <w:p w14:paraId="333F667B" w14:textId="103B5BD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Zhao, X., Yoon, S., &amp; Park, Y. (2023). Verifying the Effectiveness of Online Cause-Related Advertising: Fosused on Brand Relationship, Attachment, and Ethical Consumption Propensity. </w:t>
          </w:r>
          <w:r w:rsidRPr="009C6DC2">
            <w:rPr>
              <w:rFonts w:asciiTheme="majorBidi" w:hAnsiTheme="majorBidi" w:cstheme="majorBidi"/>
              <w:i/>
              <w:iCs/>
              <w:noProof/>
              <w:sz w:val="24"/>
              <w:szCs w:val="24"/>
              <w:lang w:val="en-US"/>
            </w:rPr>
            <w:t>Preprints</w:t>
          </w:r>
          <w:r w:rsidRPr="009C6DC2">
            <w:rPr>
              <w:rFonts w:asciiTheme="majorBidi" w:hAnsiTheme="majorBidi" w:cstheme="majorBidi"/>
              <w:noProof/>
              <w:sz w:val="24"/>
              <w:szCs w:val="24"/>
              <w:lang w:val="en-US"/>
            </w:rPr>
            <w:t>. doi:https://doi.org/10.20944/preprints202305.0399.v1</w:t>
          </w:r>
        </w:p>
        <w:p w14:paraId="224B393A" w14:textId="38A4C9E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Zheng, B., Liu, H., &amp; Davison, R. (2018). </w:t>
          </w:r>
          <w:r w:rsidRPr="009C6DC2">
            <w:rPr>
              <w:rFonts w:asciiTheme="majorBidi" w:hAnsiTheme="majorBidi" w:cstheme="majorBidi"/>
              <w:i/>
              <w:iCs/>
              <w:noProof/>
              <w:sz w:val="24"/>
              <w:szCs w:val="24"/>
              <w:lang w:val="en-US"/>
            </w:rPr>
            <w:t>Pacific Asia Conference on Information Systems (PACIS)</w:t>
          </w:r>
          <w:r w:rsidRPr="009C6DC2">
            <w:rPr>
              <w:rFonts w:asciiTheme="majorBidi" w:hAnsiTheme="majorBidi" w:cstheme="majorBidi"/>
              <w:noProof/>
              <w:sz w:val="24"/>
              <w:szCs w:val="24"/>
              <w:lang w:val="en-US"/>
            </w:rPr>
            <w:t>. Retrieved 05 31, 2023, from https://aisel.aisnet.org/pacis2018</w:t>
          </w:r>
        </w:p>
        <w:p w14:paraId="3ADF36EB" w14:textId="02084064"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Zhong, X., Ren, G., &amp; Wu , X. (2022). Not all stakeholders are created equal: executive vertical pay disparity and firms’ choice of internal and external CSR. </w:t>
          </w:r>
          <w:r w:rsidRPr="009C6DC2">
            <w:rPr>
              <w:rFonts w:asciiTheme="majorBidi" w:hAnsiTheme="majorBidi" w:cstheme="majorBidi"/>
              <w:i/>
              <w:iCs/>
              <w:noProof/>
              <w:sz w:val="24"/>
              <w:szCs w:val="24"/>
              <w:lang w:val="en-US"/>
            </w:rPr>
            <w:t>Review of Managerial Science, 16</w:t>
          </w:r>
          <w:r w:rsidRPr="009C6DC2">
            <w:rPr>
              <w:rFonts w:asciiTheme="majorBidi" w:hAnsiTheme="majorBidi" w:cstheme="majorBidi"/>
              <w:noProof/>
              <w:sz w:val="24"/>
              <w:szCs w:val="24"/>
              <w:lang w:val="en-US"/>
            </w:rPr>
            <w:t>, 2495-2525. doi:https://doi.org/10.1007/s11846-021-00502-8</w:t>
          </w:r>
        </w:p>
        <w:p w14:paraId="204AAED6" w14:textId="2632804D"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Zhou , Y., &amp; Wu, M. L. (2020). Reported Methodological Challenges in Empirical Mixed Methods Articles: A Review on JMMR and IJMRA. </w:t>
          </w:r>
          <w:r w:rsidRPr="009C6DC2">
            <w:rPr>
              <w:rFonts w:asciiTheme="majorBidi" w:hAnsiTheme="majorBidi" w:cstheme="majorBidi"/>
              <w:i/>
              <w:iCs/>
              <w:noProof/>
              <w:sz w:val="24"/>
              <w:szCs w:val="24"/>
              <w:lang w:val="en-US"/>
            </w:rPr>
            <w:t>Journal of Mixed Methods Research, 16</w:t>
          </w:r>
          <w:r w:rsidRPr="009C6DC2">
            <w:rPr>
              <w:rFonts w:asciiTheme="majorBidi" w:hAnsiTheme="majorBidi" w:cstheme="majorBidi"/>
              <w:noProof/>
              <w:sz w:val="24"/>
              <w:szCs w:val="24"/>
              <w:lang w:val="en-US"/>
            </w:rPr>
            <w:t>(1), 47-63. doi:https://doi.org/10.1177/1558689820980212</w:t>
          </w:r>
        </w:p>
        <w:p w14:paraId="6C221CEF" w14:textId="7707C26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Zhu, B., Kowatthanakul, S., &amp; Satanasavapak , P. (2020). Generation Y consumer online repurchase intention in Bangkok: Based on Stimulus-Organism-Response (SOR) model. </w:t>
          </w:r>
          <w:r w:rsidRPr="009C6DC2">
            <w:rPr>
              <w:rFonts w:asciiTheme="majorBidi" w:hAnsiTheme="majorBidi" w:cstheme="majorBidi"/>
              <w:i/>
              <w:iCs/>
              <w:noProof/>
              <w:sz w:val="24"/>
              <w:szCs w:val="24"/>
              <w:lang w:val="en-US"/>
            </w:rPr>
            <w:t>International Journal of Retail &amp; Distribution Management, 48</w:t>
          </w:r>
          <w:r w:rsidRPr="009C6DC2">
            <w:rPr>
              <w:rFonts w:asciiTheme="majorBidi" w:hAnsiTheme="majorBidi" w:cstheme="majorBidi"/>
              <w:noProof/>
              <w:sz w:val="24"/>
              <w:szCs w:val="24"/>
              <w:lang w:val="en-US"/>
            </w:rPr>
            <w:t>(1), 53-69. doi:https://doi.org/10.1108/IJRDM-04-2018-0071</w:t>
          </w:r>
        </w:p>
        <w:p w14:paraId="73BCEAD1" w14:textId="4A93D855"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Zhu , Q., &amp; Sarkis, J. (2016). Green marketing and consumerism as social change in China: Analyzing the literature. </w:t>
          </w:r>
          <w:r w:rsidRPr="009C6DC2">
            <w:rPr>
              <w:rFonts w:asciiTheme="majorBidi" w:hAnsiTheme="majorBidi" w:cstheme="majorBidi"/>
              <w:i/>
              <w:iCs/>
              <w:noProof/>
              <w:sz w:val="24"/>
              <w:szCs w:val="24"/>
              <w:lang w:val="en-US"/>
            </w:rPr>
            <w:t>International Journal of Production Economics, 181</w:t>
          </w:r>
          <w:r w:rsidRPr="009C6DC2">
            <w:rPr>
              <w:rFonts w:asciiTheme="majorBidi" w:hAnsiTheme="majorBidi" w:cstheme="majorBidi"/>
              <w:noProof/>
              <w:sz w:val="24"/>
              <w:szCs w:val="24"/>
              <w:lang w:val="en-US"/>
            </w:rPr>
            <w:t>, 289-302. doi:https://doi.org/10.1016/j.ijpe.2016.06.00</w:t>
          </w:r>
        </w:p>
        <w:p w14:paraId="318946A4" w14:textId="16820DD7"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Zhu, E. (2022). </w:t>
          </w:r>
          <w:r w:rsidRPr="009C6DC2">
            <w:rPr>
              <w:rFonts w:asciiTheme="majorBidi" w:hAnsiTheme="majorBidi" w:cstheme="majorBidi"/>
              <w:i/>
              <w:iCs/>
              <w:noProof/>
              <w:sz w:val="24"/>
              <w:szCs w:val="24"/>
              <w:lang w:val="en-US"/>
            </w:rPr>
            <w:t>Shrinking the Employment Gap for Egyptian Women</w:t>
          </w:r>
          <w:r w:rsidRPr="009C6DC2">
            <w:rPr>
              <w:rFonts w:asciiTheme="majorBidi" w:hAnsiTheme="majorBidi" w:cstheme="majorBidi"/>
              <w:noProof/>
              <w:sz w:val="24"/>
              <w:szCs w:val="24"/>
              <w:lang w:val="en-US"/>
            </w:rPr>
            <w:t>. Retrieved from BUREAU OF EDUCATIONAL AND CULTURAL AFFAIRS: https://eca.state.gov/highlight/shrinking-employment-gap-egyptian-women</w:t>
          </w:r>
        </w:p>
        <w:p w14:paraId="7A67DF03" w14:textId="6C6DA92A" w:rsidR="006E2490" w:rsidRPr="009C6DC2" w:rsidRDefault="006E2490" w:rsidP="006E2490">
          <w:pPr>
            <w:ind w:left="720" w:hanging="720"/>
            <w:rPr>
              <w:rFonts w:asciiTheme="majorBidi" w:hAnsiTheme="majorBidi" w:cstheme="majorBidi"/>
              <w:noProof/>
              <w:sz w:val="24"/>
              <w:szCs w:val="24"/>
              <w:lang w:val="en-US"/>
            </w:rPr>
          </w:pPr>
          <w:r w:rsidRPr="009C6DC2">
            <w:rPr>
              <w:rFonts w:asciiTheme="majorBidi" w:hAnsiTheme="majorBidi" w:cstheme="majorBidi"/>
              <w:noProof/>
              <w:sz w:val="24"/>
              <w:szCs w:val="24"/>
              <w:lang w:val="en-US"/>
            </w:rPr>
            <w:t xml:space="preserve">Zhu, X., Teng, L., Foti, L., &amp; Yuan, Y. (2019). Using self-congruence theory to explain the interaction effects of brand type and celebrity type on consumer attitude formation. </w:t>
          </w:r>
          <w:r w:rsidRPr="009C6DC2">
            <w:rPr>
              <w:rFonts w:asciiTheme="majorBidi" w:hAnsiTheme="majorBidi" w:cstheme="majorBidi"/>
              <w:i/>
              <w:iCs/>
              <w:noProof/>
              <w:sz w:val="24"/>
              <w:szCs w:val="24"/>
              <w:lang w:val="en-US"/>
            </w:rPr>
            <w:t>Journal of Business Research, 103</w:t>
          </w:r>
          <w:r w:rsidRPr="009C6DC2">
            <w:rPr>
              <w:rFonts w:asciiTheme="majorBidi" w:hAnsiTheme="majorBidi" w:cstheme="majorBidi"/>
              <w:noProof/>
              <w:sz w:val="24"/>
              <w:szCs w:val="24"/>
              <w:lang w:val="en-US"/>
            </w:rPr>
            <w:t>, 301-309. doi:https://doi.org/10.1016/j.jbusres.2019.01.055</w:t>
          </w:r>
        </w:p>
        <w:p w14:paraId="7DE36355" w14:textId="77777777" w:rsidR="006E2490" w:rsidRDefault="00000000" w:rsidP="006E2490"/>
      </w:sdtContent>
    </w:sdt>
    <w:bookmarkEnd w:id="266" w:displacedByCustomXml="prev"/>
    <w:p w14:paraId="6227D4F3" w14:textId="77777777" w:rsidR="00421F33" w:rsidRDefault="00421F33">
      <w:pPr>
        <w:rPr>
          <w:rFonts w:asciiTheme="majorBidi" w:hAnsiTheme="majorBidi" w:cstheme="majorBidi"/>
          <w:b/>
          <w:bCs/>
          <w:sz w:val="24"/>
          <w:szCs w:val="24"/>
        </w:rPr>
      </w:pPr>
      <w:r>
        <w:rPr>
          <w:rFonts w:asciiTheme="majorBidi" w:hAnsiTheme="majorBidi" w:cstheme="majorBidi"/>
          <w:b/>
          <w:bCs/>
          <w:sz w:val="24"/>
          <w:szCs w:val="24"/>
        </w:rPr>
        <w:br w:type="page"/>
      </w:r>
    </w:p>
    <w:p w14:paraId="139F4959" w14:textId="3467D726" w:rsidR="002F4481" w:rsidRDefault="002F4481">
      <w:pPr>
        <w:rPr>
          <w:rFonts w:asciiTheme="majorBidi" w:hAnsiTheme="majorBidi" w:cstheme="majorBidi"/>
          <w:sz w:val="24"/>
          <w:szCs w:val="24"/>
        </w:rPr>
      </w:pPr>
    </w:p>
    <w:p w14:paraId="05E6CDB3" w14:textId="0AFFD51C" w:rsidR="00882F28" w:rsidRDefault="00882F28" w:rsidP="002F4481">
      <w:pPr>
        <w:jc w:val="center"/>
        <w:rPr>
          <w:rFonts w:asciiTheme="majorBidi" w:hAnsiTheme="majorBidi" w:cstheme="majorBidi"/>
          <w:b/>
          <w:bCs/>
          <w:sz w:val="24"/>
          <w:szCs w:val="24"/>
        </w:rPr>
      </w:pPr>
      <w:r w:rsidRPr="00271231">
        <w:rPr>
          <w:rFonts w:asciiTheme="majorBidi" w:hAnsiTheme="majorBidi" w:cstheme="majorBidi"/>
          <w:b/>
          <w:bCs/>
          <w:sz w:val="24"/>
          <w:szCs w:val="24"/>
        </w:rPr>
        <w:t>Appendix A</w:t>
      </w:r>
    </w:p>
    <w:p w14:paraId="026DEEA6" w14:textId="77777777" w:rsidR="00882F28" w:rsidRPr="00801F56" w:rsidRDefault="00882F28" w:rsidP="00882F28">
      <w:pPr>
        <w:jc w:val="center"/>
        <w:rPr>
          <w:rFonts w:asciiTheme="majorBidi" w:hAnsiTheme="majorBidi" w:cstheme="majorBidi"/>
          <w:sz w:val="24"/>
          <w:szCs w:val="24"/>
        </w:rPr>
      </w:pPr>
      <w:r w:rsidRPr="00801F56">
        <w:rPr>
          <w:rFonts w:asciiTheme="majorBidi" w:hAnsiTheme="majorBidi" w:cstheme="majorBidi"/>
          <w:sz w:val="24"/>
          <w:szCs w:val="24"/>
        </w:rPr>
        <w:t>Summary of Publications in the Systematic Literature Review</w:t>
      </w:r>
    </w:p>
    <w:tbl>
      <w:tblPr>
        <w:tblpPr w:leftFromText="180" w:rightFromText="180" w:vertAnchor="text" w:horzAnchor="margin" w:tblpXSpec="center" w:tblpY="1085"/>
        <w:tblW w:w="109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27"/>
        <w:gridCol w:w="2126"/>
        <w:gridCol w:w="1134"/>
        <w:gridCol w:w="1134"/>
        <w:gridCol w:w="1417"/>
        <w:gridCol w:w="993"/>
        <w:gridCol w:w="2984"/>
      </w:tblGrid>
      <w:tr w:rsidR="00882F28" w:rsidRPr="00271231" w14:paraId="20A57031" w14:textId="77777777" w:rsidTr="00257F65">
        <w:trPr>
          <w:trHeight w:val="701"/>
        </w:trPr>
        <w:tc>
          <w:tcPr>
            <w:tcW w:w="1127" w:type="dxa"/>
            <w:tcBorders>
              <w:top w:val="single" w:sz="6" w:space="0" w:color="auto"/>
              <w:left w:val="single" w:sz="6" w:space="0" w:color="auto"/>
              <w:bottom w:val="single" w:sz="6" w:space="0" w:color="auto"/>
              <w:right w:val="single" w:sz="6" w:space="0" w:color="auto"/>
            </w:tcBorders>
            <w:shd w:val="clear" w:color="auto" w:fill="auto"/>
            <w:hideMark/>
          </w:tcPr>
          <w:p w14:paraId="4E6906A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bookmarkStart w:id="267" w:name="_Hlk126700556"/>
            <w:r w:rsidRPr="00271231">
              <w:rPr>
                <w:rFonts w:asciiTheme="majorBidi" w:eastAsia="Times New Roman" w:hAnsiTheme="majorBidi" w:cstheme="majorBidi"/>
                <w:lang w:eastAsia="en-GB"/>
              </w:rPr>
              <w:t>Author &amp; Year</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2E3054C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Summary of RQs and hypotheses</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0F309A81"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Theory and concepts</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6A3FC4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Methods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1269E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Sample (size and type of respondents)</w:t>
            </w:r>
          </w:p>
        </w:tc>
        <w:tc>
          <w:tcPr>
            <w:tcW w:w="993" w:type="dxa"/>
            <w:tcBorders>
              <w:top w:val="single" w:sz="6" w:space="0" w:color="auto"/>
              <w:left w:val="single" w:sz="6" w:space="0" w:color="auto"/>
              <w:bottom w:val="single" w:sz="6" w:space="0" w:color="auto"/>
              <w:right w:val="single" w:sz="6" w:space="0" w:color="auto"/>
            </w:tcBorders>
          </w:tcPr>
          <w:p w14:paraId="1976175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Country of Study</w:t>
            </w:r>
          </w:p>
        </w:tc>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626A3CA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Summary of findings</w:t>
            </w:r>
          </w:p>
        </w:tc>
      </w:tr>
      <w:tr w:rsidR="00882F28" w:rsidRPr="00271231" w14:paraId="621C53BD" w14:textId="77777777" w:rsidTr="00257F65">
        <w:trPr>
          <w:trHeight w:val="677"/>
        </w:trPr>
        <w:tc>
          <w:tcPr>
            <w:tcW w:w="1127" w:type="dxa"/>
            <w:tcBorders>
              <w:top w:val="single" w:sz="6" w:space="0" w:color="auto"/>
              <w:left w:val="single" w:sz="6" w:space="0" w:color="auto"/>
              <w:bottom w:val="single" w:sz="6" w:space="0" w:color="auto"/>
              <w:right w:val="single" w:sz="6" w:space="0" w:color="auto"/>
            </w:tcBorders>
            <w:shd w:val="clear" w:color="auto" w:fill="auto"/>
            <w:hideMark/>
          </w:tcPr>
          <w:p w14:paraId="05CDD102" w14:textId="77777777" w:rsidR="00882F28" w:rsidRPr="002A7CCC" w:rsidRDefault="00882F28" w:rsidP="00257F65">
            <w:pPr>
              <w:spacing w:line="240" w:lineRule="auto"/>
              <w:textAlignment w:val="baseline"/>
              <w:rPr>
                <w:rFonts w:asciiTheme="majorBidi" w:eastAsia="Times New Roman" w:hAnsiTheme="majorBidi" w:cstheme="majorBidi"/>
                <w:lang w:val="sv-SE" w:eastAsia="en-GB"/>
              </w:rPr>
            </w:pPr>
          </w:p>
          <w:p w14:paraId="43D7FEF6" w14:textId="77777777" w:rsidR="00882F28" w:rsidRPr="002A7CCC" w:rsidRDefault="00000000" w:rsidP="00257F65">
            <w:pPr>
              <w:spacing w:line="240" w:lineRule="auto"/>
              <w:textAlignment w:val="baseline"/>
              <w:rPr>
                <w:rFonts w:asciiTheme="majorBidi" w:eastAsia="Times New Roman" w:hAnsiTheme="majorBidi" w:cstheme="majorBidi"/>
                <w:lang w:val="sv-SE" w:eastAsia="en-GB"/>
              </w:rPr>
            </w:pPr>
            <w:sdt>
              <w:sdtPr>
                <w:rPr>
                  <w:rFonts w:asciiTheme="majorBidi" w:eastAsia="Times New Roman" w:hAnsiTheme="majorBidi" w:cstheme="majorBidi"/>
                  <w:lang w:eastAsia="en-GB"/>
                </w:rPr>
                <w:id w:val="1542399812"/>
                <w:citation/>
              </w:sdtPr>
              <w:sdtContent>
                <w:r w:rsidR="00882F28" w:rsidRPr="00271231">
                  <w:rPr>
                    <w:rFonts w:asciiTheme="majorBidi" w:eastAsia="Times New Roman" w:hAnsiTheme="majorBidi" w:cstheme="majorBidi"/>
                    <w:lang w:eastAsia="en-GB"/>
                  </w:rPr>
                  <w:fldChar w:fldCharType="begin"/>
                </w:r>
                <w:r w:rsidR="00882F28" w:rsidRPr="002A7CCC">
                  <w:rPr>
                    <w:rFonts w:asciiTheme="majorBidi" w:eastAsia="Times New Roman" w:hAnsiTheme="majorBidi" w:cstheme="majorBidi"/>
                    <w:lang w:val="sv-SE" w:eastAsia="en-GB"/>
                  </w:rPr>
                  <w:instrText xml:space="preserve"> CITATION Abu21 \l 2057 </w:instrText>
                </w:r>
                <w:r w:rsidR="00882F28" w:rsidRPr="00271231">
                  <w:rPr>
                    <w:rFonts w:asciiTheme="majorBidi" w:eastAsia="Times New Roman" w:hAnsiTheme="majorBidi" w:cstheme="majorBidi"/>
                    <w:lang w:eastAsia="en-GB"/>
                  </w:rPr>
                  <w:fldChar w:fldCharType="separate"/>
                </w:r>
                <w:r w:rsidR="00882F28" w:rsidRPr="002A7CCC">
                  <w:rPr>
                    <w:rFonts w:asciiTheme="majorBidi" w:eastAsia="Times New Roman" w:hAnsiTheme="majorBidi" w:cstheme="majorBidi"/>
                    <w:noProof/>
                    <w:lang w:val="sv-SE" w:eastAsia="en-GB"/>
                  </w:rPr>
                  <w:t>(Abu Al-Haija, Kolsi, &amp; Kolsi, 2021)</w:t>
                </w:r>
                <w:r w:rsidR="00882F28" w:rsidRPr="00271231">
                  <w:rPr>
                    <w:rFonts w:asciiTheme="majorBidi" w:eastAsia="Times New Roman" w:hAnsiTheme="majorBidi" w:cstheme="majorBidi"/>
                    <w:lang w:eastAsia="en-GB"/>
                  </w:rPr>
                  <w:fldChar w:fldCharType="end"/>
                </w:r>
              </w:sdtContent>
            </w:sdt>
          </w:p>
          <w:p w14:paraId="505CF6E9" w14:textId="77777777" w:rsidR="00882F28" w:rsidRPr="002A7CCC" w:rsidRDefault="00882F28" w:rsidP="00257F65">
            <w:pPr>
              <w:spacing w:line="240" w:lineRule="auto"/>
              <w:textAlignment w:val="baseline"/>
              <w:rPr>
                <w:rFonts w:asciiTheme="majorBidi" w:eastAsia="Times New Roman" w:hAnsiTheme="majorBidi" w:cstheme="majorBidi"/>
                <w:lang w:val="sv-SE" w:eastAsia="en-GB"/>
              </w:rPr>
            </w:pPr>
          </w:p>
          <w:p w14:paraId="197936CB" w14:textId="77777777" w:rsidR="00882F28" w:rsidRPr="002A7CCC" w:rsidRDefault="00882F28" w:rsidP="00257F65">
            <w:pPr>
              <w:spacing w:line="240" w:lineRule="auto"/>
              <w:textAlignment w:val="baseline"/>
              <w:rPr>
                <w:rFonts w:asciiTheme="majorBidi" w:eastAsia="Times New Roman" w:hAnsiTheme="majorBidi" w:cstheme="majorBidi"/>
                <w:lang w:val="sv-SE" w:eastAsia="en-GB"/>
              </w:rPr>
            </w:pP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5A37BDAC" w14:textId="77777777" w:rsidR="00882F28" w:rsidRPr="002A7CCC" w:rsidRDefault="00882F28" w:rsidP="00257F65">
            <w:pPr>
              <w:spacing w:line="240" w:lineRule="auto"/>
              <w:textAlignment w:val="baseline"/>
              <w:rPr>
                <w:rFonts w:asciiTheme="majorBidi" w:eastAsia="Times New Roman" w:hAnsiTheme="majorBidi" w:cstheme="majorBidi"/>
                <w:lang w:val="sv-SE"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774449B" w14:textId="77777777" w:rsidR="00882F28" w:rsidRPr="002A7CCC" w:rsidRDefault="00882F28" w:rsidP="00257F65">
            <w:pPr>
              <w:spacing w:line="240" w:lineRule="auto"/>
              <w:textAlignment w:val="baseline"/>
              <w:rPr>
                <w:rFonts w:asciiTheme="majorBidi" w:eastAsia="Times New Roman" w:hAnsiTheme="majorBidi" w:cstheme="majorBidi"/>
                <w:lang w:val="sv-SE"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3278AEF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Qualitative Data through Document analysis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DD56E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993" w:type="dxa"/>
            <w:tcBorders>
              <w:top w:val="single" w:sz="6" w:space="0" w:color="auto"/>
              <w:left w:val="single" w:sz="6" w:space="0" w:color="auto"/>
              <w:bottom w:val="single" w:sz="6" w:space="0" w:color="auto"/>
              <w:right w:val="single" w:sz="6" w:space="0" w:color="auto"/>
            </w:tcBorders>
          </w:tcPr>
          <w:p w14:paraId="785CC57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UAE</w:t>
            </w:r>
          </w:p>
        </w:tc>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1A0F903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shd w:val="clear" w:color="auto" w:fill="FFFFFF"/>
              </w:rPr>
              <w:t>Even though some banks in UAE issue sustainability reports, not all sustainability standards appear on the report. However, the findings concluded that banks focus more on social standards such as community services and trainings.</w:t>
            </w:r>
          </w:p>
        </w:tc>
      </w:tr>
      <w:bookmarkStart w:id="268" w:name="_Hlk123562847"/>
      <w:tr w:rsidR="00882F28" w:rsidRPr="00271231" w14:paraId="4288A9DE" w14:textId="77777777" w:rsidTr="00257F65">
        <w:trPr>
          <w:trHeight w:val="1894"/>
        </w:trPr>
        <w:tc>
          <w:tcPr>
            <w:tcW w:w="1127" w:type="dxa"/>
            <w:tcBorders>
              <w:top w:val="single" w:sz="6" w:space="0" w:color="auto"/>
              <w:left w:val="single" w:sz="6" w:space="0" w:color="auto"/>
              <w:bottom w:val="single" w:sz="6" w:space="0" w:color="auto"/>
              <w:right w:val="single" w:sz="6" w:space="0" w:color="auto"/>
            </w:tcBorders>
            <w:shd w:val="clear" w:color="auto" w:fill="auto"/>
            <w:hideMark/>
          </w:tcPr>
          <w:p w14:paraId="73C5579E"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314632629"/>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Abu211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(Abu Zayyad, et al., 2021)</w:t>
                </w:r>
                <w:r w:rsidR="00882F28" w:rsidRPr="00271231">
                  <w:rPr>
                    <w:rFonts w:asciiTheme="majorBidi" w:eastAsia="Times New Roman" w:hAnsiTheme="majorBidi" w:cstheme="majorBidi"/>
                    <w:lang w:eastAsia="en-GB"/>
                  </w:rPr>
                  <w:fldChar w:fldCharType="end"/>
                </w:r>
              </w:sdtContent>
            </w:sdt>
            <w:bookmarkEnd w:id="268"/>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74BF400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Types of </w:t>
            </w:r>
            <w:r w:rsidRPr="00271231">
              <w:rPr>
                <w:rFonts w:asciiTheme="majorBidi" w:hAnsiTheme="majorBidi" w:cstheme="majorBidi"/>
              </w:rPr>
              <w:t>CSR positively impacts patronage intentions and brand credibility</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8095C6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A2BF83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Surveys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3DD894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315 Respondents</w:t>
            </w:r>
          </w:p>
        </w:tc>
        <w:tc>
          <w:tcPr>
            <w:tcW w:w="993" w:type="dxa"/>
            <w:tcBorders>
              <w:top w:val="single" w:sz="6" w:space="0" w:color="auto"/>
              <w:left w:val="single" w:sz="6" w:space="0" w:color="auto"/>
              <w:bottom w:val="single" w:sz="6" w:space="0" w:color="auto"/>
              <w:right w:val="single" w:sz="6" w:space="0" w:color="auto"/>
            </w:tcBorders>
          </w:tcPr>
          <w:p w14:paraId="34E75C7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Jordan</w:t>
            </w:r>
          </w:p>
        </w:tc>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2AD29FD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 study revealed that CSR campaigns conducted by banks in Jordan positively influenced word of mouth, patronage intentions, brand credibility and trust.</w:t>
            </w:r>
          </w:p>
          <w:p w14:paraId="6D49C7F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CSR communication</w:t>
            </w:r>
          </w:p>
        </w:tc>
      </w:tr>
      <w:bookmarkStart w:id="269" w:name="_Hlk123562917"/>
      <w:tr w:rsidR="00882F28" w:rsidRPr="00271231" w14:paraId="6C142C0B" w14:textId="77777777" w:rsidTr="00257F65">
        <w:trPr>
          <w:trHeight w:val="1913"/>
        </w:trPr>
        <w:tc>
          <w:tcPr>
            <w:tcW w:w="1127" w:type="dxa"/>
            <w:tcBorders>
              <w:top w:val="single" w:sz="6" w:space="0" w:color="auto"/>
              <w:left w:val="single" w:sz="6" w:space="0" w:color="auto"/>
              <w:bottom w:val="single" w:sz="6" w:space="0" w:color="auto"/>
              <w:right w:val="single" w:sz="6" w:space="0" w:color="auto"/>
            </w:tcBorders>
            <w:shd w:val="clear" w:color="auto" w:fill="auto"/>
            <w:hideMark/>
          </w:tcPr>
          <w:p w14:paraId="0FE97567" w14:textId="77777777" w:rsidR="00882F28" w:rsidRPr="002A7CCC" w:rsidRDefault="00000000" w:rsidP="00257F65">
            <w:pPr>
              <w:spacing w:line="240" w:lineRule="auto"/>
              <w:textAlignment w:val="baseline"/>
              <w:rPr>
                <w:rFonts w:asciiTheme="majorBidi" w:eastAsia="Times New Roman" w:hAnsiTheme="majorBidi" w:cstheme="majorBidi"/>
                <w:lang w:val="sv-SE" w:eastAsia="en-GB"/>
              </w:rPr>
            </w:pPr>
            <w:sdt>
              <w:sdtPr>
                <w:rPr>
                  <w:rFonts w:asciiTheme="majorBidi" w:eastAsia="Times New Roman" w:hAnsiTheme="majorBidi" w:cstheme="majorBidi"/>
                  <w:lang w:eastAsia="en-GB"/>
                </w:rPr>
                <w:id w:val="1515422961"/>
                <w:citation/>
              </w:sdtPr>
              <w:sdtContent>
                <w:r w:rsidR="00882F28" w:rsidRPr="00271231">
                  <w:rPr>
                    <w:rFonts w:asciiTheme="majorBidi" w:eastAsia="Times New Roman" w:hAnsiTheme="majorBidi" w:cstheme="majorBidi"/>
                    <w:lang w:eastAsia="en-GB"/>
                  </w:rPr>
                  <w:fldChar w:fldCharType="begin"/>
                </w:r>
                <w:r w:rsidR="00882F28" w:rsidRPr="002A7CCC">
                  <w:rPr>
                    <w:rFonts w:asciiTheme="majorBidi" w:eastAsia="Times New Roman" w:hAnsiTheme="majorBidi" w:cstheme="majorBidi"/>
                    <w:lang w:val="sv-SE" w:eastAsia="en-GB"/>
                  </w:rPr>
                  <w:instrText xml:space="preserve"> CITATION Aji20 \l 2057 </w:instrText>
                </w:r>
                <w:r w:rsidR="00882F28" w:rsidRPr="00271231">
                  <w:rPr>
                    <w:rFonts w:asciiTheme="majorBidi" w:eastAsia="Times New Roman" w:hAnsiTheme="majorBidi" w:cstheme="majorBidi"/>
                    <w:lang w:eastAsia="en-GB"/>
                  </w:rPr>
                  <w:fldChar w:fldCharType="separate"/>
                </w:r>
                <w:r w:rsidR="00882F28" w:rsidRPr="002A7CCC">
                  <w:rPr>
                    <w:rFonts w:asciiTheme="majorBidi" w:eastAsia="Times New Roman" w:hAnsiTheme="majorBidi" w:cstheme="majorBidi"/>
                    <w:noProof/>
                    <w:lang w:val="sv-SE" w:eastAsia="en-GB"/>
                  </w:rPr>
                  <w:t>(Ajina, Roy, Nguyen, Japutra, &amp; Al-Hajla, 2020)</w:t>
                </w:r>
                <w:r w:rsidR="00882F28" w:rsidRPr="00271231">
                  <w:rPr>
                    <w:rFonts w:asciiTheme="majorBidi" w:eastAsia="Times New Roman" w:hAnsiTheme="majorBidi" w:cstheme="majorBidi"/>
                    <w:lang w:eastAsia="en-GB"/>
                  </w:rPr>
                  <w:fldChar w:fldCharType="end"/>
                </w:r>
              </w:sdtContent>
            </w:sdt>
            <w:bookmarkEnd w:id="269"/>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0A49BC66" w14:textId="77777777" w:rsidR="00882F28" w:rsidRPr="002A7CCC" w:rsidRDefault="00882F28" w:rsidP="00257F65">
            <w:pPr>
              <w:spacing w:line="240" w:lineRule="auto"/>
              <w:textAlignment w:val="baseline"/>
              <w:rPr>
                <w:rFonts w:asciiTheme="majorBidi" w:eastAsia="Times New Roman" w:hAnsiTheme="majorBidi" w:cstheme="majorBidi"/>
                <w:lang w:val="sv-SE"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49CD4F93" w14:textId="77777777" w:rsidR="00882F28" w:rsidRPr="002A7CCC" w:rsidRDefault="00882F28" w:rsidP="00257F65">
            <w:pPr>
              <w:spacing w:line="240" w:lineRule="auto"/>
              <w:textAlignment w:val="baseline"/>
              <w:rPr>
                <w:rFonts w:asciiTheme="majorBidi" w:eastAsia="Times New Roman" w:hAnsiTheme="majorBidi" w:cstheme="majorBidi"/>
                <w:lang w:val="sv-SE"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64728EE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Qualitative Data through Interviews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9E1C961"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11 Interviews</w:t>
            </w:r>
          </w:p>
        </w:tc>
        <w:tc>
          <w:tcPr>
            <w:tcW w:w="993" w:type="dxa"/>
            <w:tcBorders>
              <w:top w:val="single" w:sz="6" w:space="0" w:color="auto"/>
              <w:left w:val="single" w:sz="6" w:space="0" w:color="auto"/>
              <w:bottom w:val="single" w:sz="6" w:space="0" w:color="auto"/>
              <w:right w:val="single" w:sz="6" w:space="0" w:color="auto"/>
            </w:tcBorders>
          </w:tcPr>
          <w:p w14:paraId="05F7595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Saudi Arabia</w:t>
            </w:r>
          </w:p>
        </w:tc>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7D2A5269" w14:textId="77777777" w:rsidR="00882F28" w:rsidRPr="00271231" w:rsidRDefault="00882F28" w:rsidP="00257F65">
            <w:pPr>
              <w:rPr>
                <w:rFonts w:asciiTheme="majorBidi" w:hAnsiTheme="majorBidi" w:cstheme="majorBidi"/>
              </w:rPr>
            </w:pPr>
            <w:r w:rsidRPr="00271231">
              <w:rPr>
                <w:rFonts w:asciiTheme="majorBidi" w:hAnsiTheme="majorBidi" w:cstheme="majorBidi"/>
              </w:rPr>
              <w:t>CSR provides business with multiple benefits such as positive brand image promotion, customer satisfaction, loyalty, and word-of-mouth.</w:t>
            </w:r>
          </w:p>
          <w:p w14:paraId="5BA88C1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r>
      <w:tr w:rsidR="00882F28" w:rsidRPr="00271231" w14:paraId="30B7BF67" w14:textId="77777777" w:rsidTr="00257F65">
        <w:trPr>
          <w:trHeight w:val="2293"/>
        </w:trPr>
        <w:tc>
          <w:tcPr>
            <w:tcW w:w="1127" w:type="dxa"/>
            <w:tcBorders>
              <w:top w:val="single" w:sz="6" w:space="0" w:color="auto"/>
              <w:left w:val="single" w:sz="6" w:space="0" w:color="auto"/>
              <w:bottom w:val="single" w:sz="6" w:space="0" w:color="auto"/>
              <w:right w:val="single" w:sz="6" w:space="0" w:color="auto"/>
            </w:tcBorders>
            <w:shd w:val="clear" w:color="auto" w:fill="auto"/>
            <w:hideMark/>
          </w:tcPr>
          <w:p w14:paraId="5CEA9755" w14:textId="77777777" w:rsidR="00882F28" w:rsidRPr="002A7CCC" w:rsidRDefault="00000000" w:rsidP="00257F65">
            <w:pPr>
              <w:spacing w:line="240" w:lineRule="auto"/>
              <w:textAlignment w:val="baseline"/>
              <w:rPr>
                <w:rFonts w:asciiTheme="majorBidi" w:eastAsia="Times New Roman" w:hAnsiTheme="majorBidi" w:cstheme="majorBidi"/>
                <w:lang w:val="sv-SE" w:eastAsia="en-GB"/>
              </w:rPr>
            </w:pPr>
            <w:sdt>
              <w:sdtPr>
                <w:rPr>
                  <w:rFonts w:asciiTheme="majorBidi" w:eastAsia="Times New Roman" w:hAnsiTheme="majorBidi" w:cstheme="majorBidi"/>
                  <w:lang w:eastAsia="en-GB"/>
                </w:rPr>
                <w:id w:val="-2102790259"/>
                <w:citation/>
              </w:sdtPr>
              <w:sdtContent>
                <w:r w:rsidR="00882F28" w:rsidRPr="00271231">
                  <w:rPr>
                    <w:rFonts w:asciiTheme="majorBidi" w:eastAsia="Times New Roman" w:hAnsiTheme="majorBidi" w:cstheme="majorBidi"/>
                    <w:lang w:eastAsia="en-GB"/>
                  </w:rPr>
                  <w:fldChar w:fldCharType="begin"/>
                </w:r>
                <w:r w:rsidR="00882F28" w:rsidRPr="002A7CCC">
                  <w:rPr>
                    <w:rFonts w:asciiTheme="majorBidi" w:eastAsia="Times New Roman" w:hAnsiTheme="majorBidi" w:cstheme="majorBidi"/>
                    <w:lang w:val="sv-SE" w:eastAsia="en-GB"/>
                  </w:rPr>
                  <w:instrText xml:space="preserve"> CITATION AlM19 \l 2057 </w:instrText>
                </w:r>
                <w:r w:rsidR="00882F28" w:rsidRPr="00271231">
                  <w:rPr>
                    <w:rFonts w:asciiTheme="majorBidi" w:eastAsia="Times New Roman" w:hAnsiTheme="majorBidi" w:cstheme="majorBidi"/>
                    <w:lang w:eastAsia="en-GB"/>
                  </w:rPr>
                  <w:fldChar w:fldCharType="separate"/>
                </w:r>
                <w:r w:rsidR="00882F28" w:rsidRPr="002A7CCC">
                  <w:rPr>
                    <w:rFonts w:asciiTheme="majorBidi" w:eastAsia="Times New Roman" w:hAnsiTheme="majorBidi" w:cstheme="majorBidi"/>
                    <w:noProof/>
                    <w:lang w:val="sv-SE" w:eastAsia="en-GB"/>
                  </w:rPr>
                  <w:t>(Al Mubarak, Ben Hamed, &amp; Al Mubarak , 2019)</w:t>
                </w:r>
                <w:r w:rsidR="00882F28" w:rsidRPr="00271231">
                  <w:rPr>
                    <w:rFonts w:asciiTheme="majorBidi" w:eastAsia="Times New Roman" w:hAnsiTheme="majorBidi" w:cstheme="majorBidi"/>
                    <w:lang w:eastAsia="en-GB"/>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2EBC831A" w14:textId="77777777" w:rsidR="00882F28" w:rsidRPr="00271231" w:rsidRDefault="00882F28" w:rsidP="00257F65">
            <w:pPr>
              <w:rPr>
                <w:rFonts w:asciiTheme="majorBidi" w:eastAsia="Times New Roman" w:hAnsiTheme="majorBidi" w:cstheme="majorBidi"/>
                <w:lang w:eastAsia="en-GB"/>
              </w:rPr>
            </w:pPr>
            <w:r w:rsidRPr="00271231">
              <w:rPr>
                <w:rFonts w:asciiTheme="majorBidi" w:eastAsia="Times New Roman" w:hAnsiTheme="majorBidi" w:cstheme="majorBidi"/>
                <w:lang w:eastAsia="en-GB"/>
              </w:rPr>
              <w:t>There is a significant impact of CSR components on corporate image.</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0FE5384" w14:textId="77777777" w:rsidR="00882F28" w:rsidRPr="00271231" w:rsidRDefault="00882F28" w:rsidP="00257F65">
            <w:pPr>
              <w:spacing w:line="240" w:lineRule="auto"/>
              <w:textAlignment w:val="baseline"/>
              <w:rPr>
                <w:rFonts w:asciiTheme="majorBidi" w:hAnsiTheme="majorBidi" w:cstheme="majorBidi"/>
                <w:shd w:val="clear" w:color="auto" w:fill="FFFFFF"/>
              </w:rPr>
            </w:pPr>
            <w:r w:rsidRPr="00271231">
              <w:rPr>
                <w:rFonts w:asciiTheme="majorBidi" w:hAnsiTheme="majorBidi" w:cstheme="majorBidi"/>
                <w:shd w:val="clear" w:color="auto" w:fill="FFFFFF"/>
              </w:rPr>
              <w:t>Caroll’s,</w:t>
            </w:r>
          </w:p>
          <w:p w14:paraId="07D6A4FB" w14:textId="77777777" w:rsidR="00882F28" w:rsidRPr="00271231" w:rsidRDefault="00882F28" w:rsidP="00257F65">
            <w:pPr>
              <w:spacing w:line="240" w:lineRule="auto"/>
              <w:textAlignment w:val="baseline"/>
              <w:rPr>
                <w:rFonts w:asciiTheme="majorBidi" w:hAnsiTheme="majorBidi" w:cstheme="majorBidi"/>
                <w:shd w:val="clear" w:color="auto" w:fill="FFFFFF"/>
              </w:rPr>
            </w:pPr>
            <w:r w:rsidRPr="00271231">
              <w:rPr>
                <w:rFonts w:asciiTheme="majorBidi" w:hAnsiTheme="majorBidi" w:cstheme="majorBidi"/>
                <w:shd w:val="clear" w:color="auto" w:fill="FFFFFF"/>
              </w:rPr>
              <w:t>four-fold model (economic, legal, ethical and philanthropic angles).</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5083E33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EB15B8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240 respondents</w:t>
            </w:r>
          </w:p>
        </w:tc>
        <w:tc>
          <w:tcPr>
            <w:tcW w:w="993" w:type="dxa"/>
            <w:tcBorders>
              <w:top w:val="single" w:sz="6" w:space="0" w:color="auto"/>
              <w:left w:val="single" w:sz="6" w:space="0" w:color="auto"/>
              <w:bottom w:val="single" w:sz="6" w:space="0" w:color="auto"/>
              <w:right w:val="single" w:sz="6" w:space="0" w:color="auto"/>
            </w:tcBorders>
          </w:tcPr>
          <w:p w14:paraId="2510FEA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Bahrain</w:t>
            </w:r>
          </w:p>
        </w:tc>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1805C73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shd w:val="clear" w:color="auto" w:fill="FFFFFF"/>
              </w:rPr>
              <w:t>CSR campaigns positively influence brand and corporate image and influences consumers’ preferences.</w:t>
            </w:r>
          </w:p>
        </w:tc>
      </w:tr>
      <w:tr w:rsidR="00882F28" w:rsidRPr="00271231" w14:paraId="11C43C59" w14:textId="77777777" w:rsidTr="00257F65">
        <w:trPr>
          <w:trHeight w:val="269"/>
        </w:trPr>
        <w:tc>
          <w:tcPr>
            <w:tcW w:w="1127" w:type="dxa"/>
            <w:tcBorders>
              <w:top w:val="single" w:sz="6" w:space="0" w:color="auto"/>
              <w:left w:val="single" w:sz="6" w:space="0" w:color="auto"/>
              <w:bottom w:val="single" w:sz="6" w:space="0" w:color="auto"/>
              <w:right w:val="single" w:sz="6" w:space="0" w:color="auto"/>
            </w:tcBorders>
            <w:shd w:val="clear" w:color="auto" w:fill="auto"/>
            <w:hideMark/>
          </w:tcPr>
          <w:p w14:paraId="14369E06"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964921470"/>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Ala20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(Alawamleh &amp; Giacaman, 2020)</w:t>
                </w:r>
                <w:r w:rsidR="00882F28" w:rsidRPr="00271231">
                  <w:rPr>
                    <w:rFonts w:asciiTheme="majorBidi" w:eastAsia="Times New Roman" w:hAnsiTheme="majorBidi" w:cstheme="majorBidi"/>
                    <w:lang w:eastAsia="en-GB"/>
                  </w:rPr>
                  <w:fldChar w:fldCharType="end"/>
                </w:r>
              </w:sdtContent>
            </w:sdt>
          </w:p>
          <w:p w14:paraId="0E590A3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08E9EF7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Consumer Perception of CSR affects CPB as mediated by consumer trust.</w:t>
            </w:r>
            <w:r w:rsidRPr="00271231">
              <w:rPr>
                <w:rFonts w:asciiTheme="majorBidi" w:hAnsiTheme="majorBidi" w:cstheme="majorBidi"/>
              </w:rPr>
              <w:br/>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94A25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Information processing theory (IPT)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25A67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Surveys through surveys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703DE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150 respondents</w:t>
            </w:r>
          </w:p>
        </w:tc>
        <w:tc>
          <w:tcPr>
            <w:tcW w:w="993" w:type="dxa"/>
            <w:tcBorders>
              <w:top w:val="single" w:sz="6" w:space="0" w:color="auto"/>
              <w:left w:val="single" w:sz="6" w:space="0" w:color="auto"/>
              <w:bottom w:val="single" w:sz="6" w:space="0" w:color="auto"/>
              <w:right w:val="single" w:sz="6" w:space="0" w:color="auto"/>
            </w:tcBorders>
          </w:tcPr>
          <w:p w14:paraId="4E02DD5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Palestine and Jordan</w:t>
            </w:r>
          </w:p>
        </w:tc>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5EF2556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When the company increases </w:t>
            </w:r>
            <w:r w:rsidRPr="00271231">
              <w:rPr>
                <w:rFonts w:asciiTheme="majorBidi" w:hAnsiTheme="majorBidi" w:cstheme="majorBidi"/>
              </w:rPr>
              <w:t>awareness on its CSR activities, there is likely to be a positive influence on the consumer purchase behaviour (CPB).</w:t>
            </w:r>
          </w:p>
        </w:tc>
      </w:tr>
      <w:tr w:rsidR="00882F28" w:rsidRPr="00271231" w14:paraId="73239163" w14:textId="77777777" w:rsidTr="00257F65">
        <w:trPr>
          <w:trHeight w:val="2112"/>
        </w:trPr>
        <w:tc>
          <w:tcPr>
            <w:tcW w:w="1127" w:type="dxa"/>
            <w:tcBorders>
              <w:top w:val="single" w:sz="6" w:space="0" w:color="auto"/>
              <w:left w:val="single" w:sz="6" w:space="0" w:color="auto"/>
              <w:bottom w:val="single" w:sz="6" w:space="0" w:color="auto"/>
              <w:right w:val="single" w:sz="6" w:space="0" w:color="auto"/>
            </w:tcBorders>
            <w:shd w:val="clear" w:color="auto" w:fill="auto"/>
            <w:hideMark/>
          </w:tcPr>
          <w:p w14:paraId="304BDE93"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455085266"/>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Alf18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(Alfakhri, Nurunnabi, &amp; Alfakhri , 2018)</w:t>
                </w:r>
                <w:r w:rsidR="00882F28" w:rsidRPr="00271231">
                  <w:rPr>
                    <w:rFonts w:asciiTheme="majorBidi" w:eastAsia="Times New Roman" w:hAnsiTheme="majorBidi" w:cstheme="majorBidi"/>
                    <w:lang w:eastAsia="en-GB"/>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69A688B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The meaning of Islamic CSR to young consumers in Saudi Arabia </w:t>
            </w:r>
          </w:p>
          <w:p w14:paraId="34D8A49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p w14:paraId="762FC85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222693D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Social contract theory</w:t>
            </w:r>
          </w:p>
          <w:p w14:paraId="3D037DB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p w14:paraId="49F9EB8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Islamic CSR tree model</w:t>
            </w:r>
          </w:p>
        </w:tc>
        <w:tc>
          <w:tcPr>
            <w:tcW w:w="1134" w:type="dxa"/>
            <w:tcBorders>
              <w:top w:val="single" w:sz="6" w:space="0" w:color="auto"/>
              <w:left w:val="single" w:sz="6" w:space="0" w:color="auto"/>
              <w:bottom w:val="single" w:sz="6" w:space="0" w:color="auto"/>
              <w:right w:val="single" w:sz="6" w:space="0" w:color="auto"/>
            </w:tcBorders>
            <w:shd w:val="clear" w:color="auto" w:fill="auto"/>
            <w:hideMark/>
          </w:tcPr>
          <w:p w14:paraId="13CDA06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Qualitative data through in-depth interviews</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28EE9F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34 interviews</w:t>
            </w:r>
          </w:p>
        </w:tc>
        <w:tc>
          <w:tcPr>
            <w:tcW w:w="993" w:type="dxa"/>
            <w:tcBorders>
              <w:top w:val="single" w:sz="6" w:space="0" w:color="auto"/>
              <w:left w:val="single" w:sz="6" w:space="0" w:color="auto"/>
              <w:bottom w:val="single" w:sz="6" w:space="0" w:color="auto"/>
              <w:right w:val="single" w:sz="6" w:space="0" w:color="auto"/>
            </w:tcBorders>
          </w:tcPr>
          <w:p w14:paraId="4FB2165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Saudi Arabia</w:t>
            </w:r>
          </w:p>
        </w:tc>
        <w:tc>
          <w:tcPr>
            <w:tcW w:w="2984" w:type="dxa"/>
            <w:tcBorders>
              <w:top w:val="single" w:sz="6" w:space="0" w:color="auto"/>
              <w:left w:val="single" w:sz="6" w:space="0" w:color="auto"/>
              <w:bottom w:val="single" w:sz="6" w:space="0" w:color="auto"/>
              <w:right w:val="single" w:sz="6" w:space="0" w:color="auto"/>
            </w:tcBorders>
            <w:shd w:val="clear" w:color="auto" w:fill="auto"/>
            <w:hideMark/>
          </w:tcPr>
          <w:p w14:paraId="7E11277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Findings revealed that young Saudi consumers believed that companies should focus on private CSR that caters to the external society as well as internal stakeholders such as employees.</w:t>
            </w:r>
          </w:p>
        </w:tc>
      </w:tr>
      <w:bookmarkStart w:id="270" w:name="_Hlk123563244"/>
      <w:tr w:rsidR="00882F28" w:rsidRPr="00271231" w14:paraId="0BFDCEEF" w14:textId="77777777" w:rsidTr="00257F65">
        <w:trPr>
          <w:trHeight w:val="168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368D73BC"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248738166"/>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AlA18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(Al-Abdin, Roy, &amp; Nicholson, 2018)</w:t>
                </w:r>
                <w:r w:rsidR="00882F28" w:rsidRPr="00271231">
                  <w:rPr>
                    <w:rFonts w:asciiTheme="majorBidi" w:eastAsia="Times New Roman" w:hAnsiTheme="majorBidi" w:cstheme="majorBidi"/>
                    <w:lang w:eastAsia="en-GB"/>
                  </w:rPr>
                  <w:fldChar w:fldCharType="end"/>
                </w:r>
              </w:sdtContent>
            </w:sdt>
            <w:bookmarkEnd w:id="270"/>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B9DB50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NA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C35F30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NA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B9438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Systematic Review</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A61B3F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38 Studies</w:t>
            </w:r>
          </w:p>
        </w:tc>
        <w:tc>
          <w:tcPr>
            <w:tcW w:w="993" w:type="dxa"/>
            <w:tcBorders>
              <w:top w:val="single" w:sz="6" w:space="0" w:color="auto"/>
              <w:left w:val="single" w:sz="6" w:space="0" w:color="auto"/>
              <w:bottom w:val="single" w:sz="6" w:space="0" w:color="auto"/>
              <w:right w:val="single" w:sz="6" w:space="0" w:color="auto"/>
            </w:tcBorders>
          </w:tcPr>
          <w:p w14:paraId="2142F87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Middle East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21426A89" w14:textId="77777777" w:rsidR="00882F28" w:rsidRPr="00271231" w:rsidRDefault="00882F28" w:rsidP="00257F65">
            <w:pPr>
              <w:spacing w:line="240" w:lineRule="auto"/>
              <w:textAlignment w:val="baseline"/>
              <w:rPr>
                <w:rFonts w:asciiTheme="majorBidi" w:hAnsiTheme="majorBidi" w:cstheme="majorBidi"/>
                <w:color w:val="1C1D1E"/>
                <w:shd w:val="clear" w:color="auto" w:fill="FFFFFF"/>
              </w:rPr>
            </w:pPr>
            <w:r w:rsidRPr="00271231">
              <w:rPr>
                <w:rFonts w:asciiTheme="majorBidi" w:hAnsiTheme="majorBidi" w:cstheme="majorBidi"/>
                <w:color w:val="1C1D1E"/>
                <w:shd w:val="clear" w:color="auto" w:fill="FFFFFF"/>
              </w:rPr>
              <w:t>Most of the studies concentrated on CSR's macro levels, while research on its micro levels (consumers and other societal demographics) remain understudied.</w:t>
            </w:r>
          </w:p>
        </w:tc>
      </w:tr>
      <w:tr w:rsidR="00882F28" w:rsidRPr="00271231" w14:paraId="57F6A4A2" w14:textId="77777777" w:rsidTr="00257F65">
        <w:trPr>
          <w:trHeight w:val="253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22F84D0A"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538699628"/>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Bat21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(Batat, 2021)</w:t>
                </w:r>
                <w:r w:rsidR="00882F28" w:rsidRPr="00271231">
                  <w:rPr>
                    <w:rFonts w:asciiTheme="majorBidi" w:eastAsia="Times New Roman" w:hAnsiTheme="majorBidi" w:cstheme="majorBidi"/>
                    <w:lang w:eastAsia="en-GB"/>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AB0448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 effect of MEA context on the definition of sustainability in the restaurants context.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4215A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NA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46B33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Qualitative data through interviews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C561A4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40 in-depth interviews</w:t>
            </w:r>
          </w:p>
        </w:tc>
        <w:tc>
          <w:tcPr>
            <w:tcW w:w="993" w:type="dxa"/>
            <w:tcBorders>
              <w:top w:val="single" w:sz="6" w:space="0" w:color="auto"/>
              <w:left w:val="single" w:sz="6" w:space="0" w:color="auto"/>
              <w:bottom w:val="single" w:sz="6" w:space="0" w:color="auto"/>
              <w:right w:val="single" w:sz="6" w:space="0" w:color="auto"/>
            </w:tcBorders>
          </w:tcPr>
          <w:p w14:paraId="7E39D7D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Lebanon</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0C1A8E6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All restaurant owners needed  an explanation of environmental sustainability.</w:t>
            </w:r>
          </w:p>
          <w:p w14:paraId="71D6C95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Restaurant owners realize the financial benefits of sustainable practises but, owners of traditional and modern restaurants did not link profit with sustainability.</w:t>
            </w:r>
          </w:p>
        </w:tc>
      </w:tr>
      <w:bookmarkStart w:id="271" w:name="_Hlk123563332"/>
      <w:tr w:rsidR="00882F28" w:rsidRPr="00271231" w14:paraId="5F599D92" w14:textId="77777777" w:rsidTr="00257F65">
        <w:trPr>
          <w:trHeight w:val="2825"/>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2C16C447"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211040145"/>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Dut18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(Duthler &amp; Dhanesh, 2018)</w:t>
                </w:r>
                <w:r w:rsidR="00882F28" w:rsidRPr="00271231">
                  <w:rPr>
                    <w:rFonts w:asciiTheme="majorBidi" w:eastAsia="Times New Roman" w:hAnsiTheme="majorBidi" w:cstheme="majorBidi"/>
                    <w:lang w:eastAsia="en-GB"/>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074A11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There is a positive relationship between two-way CSR communication employee perceptions of CSR and their engagement.</w:t>
            </w:r>
          </w:p>
          <w:p w14:paraId="1554221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7AD353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Three models of CSR Communication: one-way, two-way asymmetrical, and two-way symmetrical model.</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E0127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surveys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130D19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516 respondents</w:t>
            </w:r>
          </w:p>
        </w:tc>
        <w:tc>
          <w:tcPr>
            <w:tcW w:w="993" w:type="dxa"/>
            <w:tcBorders>
              <w:top w:val="single" w:sz="6" w:space="0" w:color="auto"/>
              <w:left w:val="single" w:sz="6" w:space="0" w:color="auto"/>
              <w:bottom w:val="single" w:sz="6" w:space="0" w:color="auto"/>
              <w:right w:val="single" w:sz="6" w:space="0" w:color="auto"/>
            </w:tcBorders>
          </w:tcPr>
          <w:p w14:paraId="78E58BC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United Arab Emirates</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19316B1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Findings showed that employee perceptions of CSR are favourably correlated with internal CSR. Positive CSR impressions were predicted by one-way communication. </w:t>
            </w:r>
          </w:p>
          <w:p w14:paraId="17E5A0E1"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Results concluded that sustainability and social CSR had the strongest associations with engagement.</w:t>
            </w:r>
          </w:p>
        </w:tc>
      </w:tr>
      <w:bookmarkStart w:id="272" w:name="_Hlk123563435"/>
      <w:bookmarkEnd w:id="271"/>
      <w:tr w:rsidR="00882F28" w:rsidRPr="00271231" w14:paraId="2B61A0B2" w14:textId="77777777" w:rsidTr="00257F65">
        <w:trPr>
          <w:trHeight w:val="694"/>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BFECEF9"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200472053"/>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ElH21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(El Haddad, Bachkirov, &amp; Grishina, 2021)</w:t>
                </w:r>
                <w:r w:rsidR="00882F28" w:rsidRPr="00271231">
                  <w:rPr>
                    <w:rFonts w:asciiTheme="majorBidi" w:eastAsia="Times New Roman" w:hAnsiTheme="majorBidi" w:cstheme="majorBidi"/>
                    <w:lang w:eastAsia="en-GB"/>
                  </w:rPr>
                  <w:fldChar w:fldCharType="end"/>
                </w:r>
              </w:sdtContent>
            </w:sdt>
            <w:bookmarkEnd w:id="272"/>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956CD4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Although there are similarities in Omani and Lebanese CSR, there are differences in CSR perceptions.</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20DAD5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Multi-level Theory of Social Change</w:t>
            </w:r>
          </w:p>
          <w:p w14:paraId="01C0350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p w14:paraId="45BE430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Rational Egoism</w:t>
            </w:r>
          </w:p>
          <w:p w14:paraId="2F1D367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p w14:paraId="0EBF271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Theory of Planned Behaviour</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64B1EC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Qualitative data through semi-structured interview</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AE8A371"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39 Respondents</w:t>
            </w:r>
          </w:p>
        </w:tc>
        <w:tc>
          <w:tcPr>
            <w:tcW w:w="993" w:type="dxa"/>
            <w:tcBorders>
              <w:top w:val="single" w:sz="6" w:space="0" w:color="auto"/>
              <w:left w:val="single" w:sz="6" w:space="0" w:color="auto"/>
              <w:bottom w:val="single" w:sz="6" w:space="0" w:color="auto"/>
              <w:right w:val="single" w:sz="6" w:space="0" w:color="auto"/>
            </w:tcBorders>
          </w:tcPr>
          <w:p w14:paraId="69D2F62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Oman and Lebanon</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5D39F05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Business leaders in Oman and Lebanon had similar CSR perception and found a positive correlation between CSR business profitability on the long run. Similarly, they applied similar models in CSR decision-making.</w:t>
            </w:r>
          </w:p>
          <w:p w14:paraId="12C5051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r>
      <w:bookmarkStart w:id="273" w:name="_Hlk121075214"/>
      <w:tr w:rsidR="00882F28" w:rsidRPr="00271231" w14:paraId="25A45CA4" w14:textId="77777777" w:rsidTr="00257F65">
        <w:trPr>
          <w:trHeight w:val="701"/>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5B5E95DE"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241635588"/>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Elh21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(Elhoushy &amp; Lanzini, 2021)</w:t>
                </w:r>
                <w:r w:rsidR="00882F28" w:rsidRPr="00271231">
                  <w:rPr>
                    <w:rFonts w:asciiTheme="majorBidi" w:eastAsia="Times New Roman" w:hAnsiTheme="majorBidi" w:cstheme="majorBidi"/>
                    <w:lang w:eastAsia="en-GB"/>
                  </w:rPr>
                  <w:fldChar w:fldCharType="end"/>
                </w:r>
              </w:sdtContent>
            </w:sdt>
            <w:bookmarkEnd w:id="273"/>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6A8513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41B16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D40B71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Systematic Literature Review</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6BD611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71 Articles</w:t>
            </w:r>
          </w:p>
        </w:tc>
        <w:tc>
          <w:tcPr>
            <w:tcW w:w="993" w:type="dxa"/>
            <w:tcBorders>
              <w:top w:val="single" w:sz="6" w:space="0" w:color="auto"/>
              <w:left w:val="single" w:sz="6" w:space="0" w:color="auto"/>
              <w:bottom w:val="single" w:sz="6" w:space="0" w:color="auto"/>
              <w:right w:val="single" w:sz="6" w:space="0" w:color="auto"/>
            </w:tcBorders>
          </w:tcPr>
          <w:p w14:paraId="1A42D14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1063586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bookmarkStart w:id="274" w:name="_Hlk121075572"/>
            <w:r w:rsidRPr="00271231">
              <w:rPr>
                <w:rFonts w:asciiTheme="majorBidi" w:eastAsia="Times New Roman" w:hAnsiTheme="majorBidi" w:cstheme="majorBidi"/>
                <w:lang w:eastAsia="en-GB"/>
              </w:rPr>
              <w:t>The main predictors of</w:t>
            </w:r>
          </w:p>
          <w:p w14:paraId="4E4419F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individuals’ sustainable behaviour are attitudes, behaviours, brand trust, and knowledge about the campaign.</w:t>
            </w:r>
            <w:bookmarkEnd w:id="274"/>
          </w:p>
        </w:tc>
      </w:tr>
      <w:bookmarkStart w:id="275" w:name="_Hlk121079110"/>
      <w:tr w:rsidR="00882F28" w:rsidRPr="00271231" w14:paraId="62ACF131" w14:textId="77777777" w:rsidTr="00257F65">
        <w:trPr>
          <w:trHeight w:val="229"/>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2D82BF7E"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265757331"/>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ElS21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(El Santil, 2021)</w:t>
                </w:r>
                <w:r w:rsidR="00882F28" w:rsidRPr="00271231">
                  <w:rPr>
                    <w:rFonts w:asciiTheme="majorBidi" w:eastAsia="Times New Roman" w:hAnsiTheme="majorBidi" w:cstheme="majorBidi"/>
                    <w:lang w:eastAsia="en-GB"/>
                  </w:rPr>
                  <w:fldChar w:fldCharType="end"/>
                </w:r>
              </w:sdtContent>
            </w:sdt>
            <w:bookmarkEnd w:id="275"/>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0BF91C4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Perceived environmental attitudes and demographic characteristics positively impact consumers’ green purchasing behaviours.</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EBF22B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Theory of Planned Behaviour </w:t>
            </w:r>
            <w:sdt>
              <w:sdtPr>
                <w:rPr>
                  <w:rFonts w:asciiTheme="majorBidi" w:eastAsia="Times New Roman" w:hAnsiTheme="majorBidi" w:cstheme="majorBidi"/>
                  <w:lang w:eastAsia="en-GB"/>
                </w:rPr>
                <w:id w:val="-238638863"/>
                <w:citation/>
              </w:sdtPr>
              <w:sdtContent>
                <w:r w:rsidRPr="00271231">
                  <w:rPr>
                    <w:rFonts w:asciiTheme="majorBidi" w:eastAsia="Times New Roman" w:hAnsiTheme="majorBidi" w:cstheme="majorBidi"/>
                    <w:lang w:eastAsia="en-GB"/>
                  </w:rPr>
                  <w:fldChar w:fldCharType="begin"/>
                </w:r>
                <w:r w:rsidRPr="00271231">
                  <w:rPr>
                    <w:rFonts w:asciiTheme="majorBidi" w:eastAsia="Times New Roman" w:hAnsiTheme="majorBidi" w:cstheme="majorBidi"/>
                    <w:lang w:eastAsia="en-GB"/>
                  </w:rPr>
                  <w:instrText xml:space="preserve"> CITATION Ajz91 \l 2057 </w:instrText>
                </w:r>
                <w:r w:rsidRPr="00271231">
                  <w:rPr>
                    <w:rFonts w:asciiTheme="majorBidi" w:eastAsia="Times New Roman" w:hAnsiTheme="majorBidi" w:cstheme="majorBidi"/>
                    <w:lang w:eastAsia="en-GB"/>
                  </w:rPr>
                  <w:fldChar w:fldCharType="separate"/>
                </w:r>
                <w:r w:rsidRPr="00271231">
                  <w:rPr>
                    <w:rFonts w:asciiTheme="majorBidi" w:eastAsia="Times New Roman" w:hAnsiTheme="majorBidi" w:cstheme="majorBidi"/>
                    <w:noProof/>
                    <w:lang w:eastAsia="en-GB"/>
                  </w:rPr>
                  <w:t>(Ajzen, 1991)</w:t>
                </w:r>
                <w:r w:rsidRPr="00271231">
                  <w:rPr>
                    <w:rFonts w:asciiTheme="majorBidi" w:eastAsia="Times New Roman" w:hAnsiTheme="majorBidi" w:cstheme="majorBidi"/>
                    <w:lang w:eastAsia="en-GB"/>
                  </w:rPr>
                  <w:fldChar w:fldCharType="end"/>
                </w:r>
              </w:sdtContent>
            </w:sdt>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A3AC8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31EC68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324 respondents</w:t>
            </w:r>
          </w:p>
        </w:tc>
        <w:tc>
          <w:tcPr>
            <w:tcW w:w="993" w:type="dxa"/>
            <w:tcBorders>
              <w:top w:val="single" w:sz="6" w:space="0" w:color="auto"/>
              <w:left w:val="single" w:sz="6" w:space="0" w:color="auto"/>
              <w:bottom w:val="single" w:sz="6" w:space="0" w:color="auto"/>
              <w:right w:val="single" w:sz="6" w:space="0" w:color="auto"/>
            </w:tcBorders>
          </w:tcPr>
          <w:p w14:paraId="2EB3232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 Middle East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2959520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bookmarkStart w:id="276" w:name="_Hlk121079018"/>
            <w:r w:rsidRPr="00271231">
              <w:rPr>
                <w:rFonts w:asciiTheme="majorBidi" w:eastAsia="Times New Roman" w:hAnsiTheme="majorBidi" w:cstheme="majorBidi"/>
                <w:lang w:eastAsia="en-GB"/>
              </w:rPr>
              <w:t>Significant determinants of green purchasing behaviour include participants' environmental concern, self-identity in environmental protection, and social context in environmental protection.</w:t>
            </w:r>
            <w:bookmarkEnd w:id="276"/>
          </w:p>
        </w:tc>
      </w:tr>
      <w:bookmarkStart w:id="277" w:name="_Hlk121084574"/>
      <w:bookmarkStart w:id="278" w:name="_Hlk121084589"/>
      <w:tr w:rsidR="00882F28" w:rsidRPr="00271231" w14:paraId="753B388D" w14:textId="77777777" w:rsidTr="00257F65">
        <w:trPr>
          <w:trHeight w:val="229"/>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1FADE169"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976169074"/>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Far18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(Farouk &amp; Jabeen , 2018)</w:t>
                </w:r>
                <w:r w:rsidR="00882F28" w:rsidRPr="00271231">
                  <w:rPr>
                    <w:rFonts w:asciiTheme="majorBidi" w:eastAsia="Times New Roman" w:hAnsiTheme="majorBidi" w:cstheme="majorBidi"/>
                    <w:lang w:eastAsia="en-GB"/>
                  </w:rPr>
                  <w:fldChar w:fldCharType="end"/>
                </w:r>
              </w:sdtContent>
            </w:sdt>
            <w:bookmarkEnd w:id="277"/>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6CAD2F3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Ethical climate is positively associated with code of ethics and CSR.</w:t>
            </w:r>
          </w:p>
          <w:p w14:paraId="4AFA3CE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CFF72F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Code of Ethics and Organizational Engagement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EEA29A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84D915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425 respondents</w:t>
            </w:r>
          </w:p>
        </w:tc>
        <w:tc>
          <w:tcPr>
            <w:tcW w:w="993" w:type="dxa"/>
            <w:tcBorders>
              <w:top w:val="single" w:sz="6" w:space="0" w:color="auto"/>
              <w:left w:val="single" w:sz="6" w:space="0" w:color="auto"/>
              <w:bottom w:val="single" w:sz="6" w:space="0" w:color="auto"/>
              <w:right w:val="single" w:sz="6" w:space="0" w:color="auto"/>
            </w:tcBorders>
          </w:tcPr>
          <w:p w14:paraId="42CC7E3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United Arab Emirates</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3A12906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CSR and the perceived ethical climate encourage internal positivity in a company, which increases organizational performance. The ethical atmosphere significantly influences the code of ethics and CSR, which in turn affects how employees view OP.</w:t>
            </w:r>
          </w:p>
        </w:tc>
      </w:tr>
      <w:bookmarkStart w:id="279" w:name="_Hlk123563748"/>
      <w:bookmarkEnd w:id="278"/>
      <w:tr w:rsidR="00882F28" w:rsidRPr="00271231" w14:paraId="694FE9E9" w14:textId="77777777" w:rsidTr="00257F65">
        <w:trPr>
          <w:trHeight w:val="2353"/>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7BF577B3"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808507169"/>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Geo22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(Georgiadou, 2022)</w:t>
                </w:r>
                <w:r w:rsidR="00882F28" w:rsidRPr="00271231">
                  <w:rPr>
                    <w:rFonts w:asciiTheme="majorBidi" w:eastAsia="Times New Roman" w:hAnsiTheme="majorBidi" w:cstheme="majorBidi"/>
                    <w:lang w:eastAsia="en-GB"/>
                  </w:rPr>
                  <w:fldChar w:fldCharType="end"/>
                </w:r>
              </w:sdtContent>
            </w:sdt>
            <w:bookmarkEnd w:id="279"/>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2FDFF3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Which customer-CSR expectations are more addressed on the websites of banks operating in the UAE?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35D90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Stakeholder Theory</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D46DE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content analysis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98A5C1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28 banks</w:t>
            </w:r>
          </w:p>
        </w:tc>
        <w:tc>
          <w:tcPr>
            <w:tcW w:w="993" w:type="dxa"/>
            <w:tcBorders>
              <w:top w:val="single" w:sz="6" w:space="0" w:color="auto"/>
              <w:left w:val="single" w:sz="6" w:space="0" w:color="auto"/>
              <w:bottom w:val="single" w:sz="6" w:space="0" w:color="auto"/>
              <w:right w:val="single" w:sz="6" w:space="0" w:color="auto"/>
            </w:tcBorders>
          </w:tcPr>
          <w:p w14:paraId="1BFBB85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United Arab Emirates</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22DBE79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Global banks from developed and emerging markets, as well as, domestic UAE banks, are communicating CSR in a similar way. </w:t>
            </w:r>
          </w:p>
        </w:tc>
      </w:tr>
      <w:bookmarkStart w:id="280" w:name="_Hlk121222715"/>
      <w:tr w:rsidR="00882F28" w:rsidRPr="00271231" w14:paraId="3D1CCB9E" w14:textId="77777777" w:rsidTr="00257F65">
        <w:trPr>
          <w:trHeight w:val="229"/>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39CD84FC"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515539048"/>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Geo21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(Georgiadou &amp; Nickerson, 2021)</w:t>
                </w:r>
                <w:r w:rsidR="00882F28" w:rsidRPr="00271231">
                  <w:rPr>
                    <w:rFonts w:asciiTheme="majorBidi" w:eastAsia="Times New Roman" w:hAnsiTheme="majorBidi" w:cstheme="majorBidi"/>
                    <w:lang w:eastAsia="en-GB"/>
                  </w:rPr>
                  <w:fldChar w:fldCharType="end"/>
                </w:r>
              </w:sdtContent>
            </w:sdt>
            <w:bookmarkEnd w:id="280"/>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C737C4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Which marketing communication strategies related to CSR are used on the UAE bank’s websites?</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72B91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34256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Content Analysis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48D115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Websites of 28 banks</w:t>
            </w:r>
          </w:p>
        </w:tc>
        <w:tc>
          <w:tcPr>
            <w:tcW w:w="993" w:type="dxa"/>
            <w:tcBorders>
              <w:top w:val="single" w:sz="6" w:space="0" w:color="auto"/>
              <w:left w:val="single" w:sz="6" w:space="0" w:color="auto"/>
              <w:bottom w:val="single" w:sz="6" w:space="0" w:color="auto"/>
              <w:right w:val="single" w:sz="6" w:space="0" w:color="auto"/>
            </w:tcBorders>
          </w:tcPr>
          <w:p w14:paraId="32DF979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United Arab Emirates</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46C84DC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Banks focus their CSR on six strategies: cause promotions, cause-related marketing, corporate social marketing, corporate philanthropy, volunteering, and socially responsible practices in which</w:t>
            </w:r>
          </w:p>
          <w:p w14:paraId="0D5CD32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bookmarkStart w:id="281" w:name="_Hlk121222738"/>
            <w:r w:rsidRPr="00271231">
              <w:rPr>
                <w:rFonts w:asciiTheme="majorBidi" w:eastAsia="Times New Roman" w:hAnsiTheme="majorBidi" w:cstheme="majorBidi"/>
                <w:lang w:eastAsia="en-GB"/>
              </w:rPr>
              <w:t>cause-promotions were the most common strategy practiced by local banks.</w:t>
            </w:r>
            <w:bookmarkEnd w:id="281"/>
          </w:p>
        </w:tc>
      </w:tr>
      <w:bookmarkStart w:id="282" w:name="_Hlk152770086"/>
      <w:bookmarkStart w:id="283" w:name="_Hlk121231251"/>
      <w:tr w:rsidR="00882F28" w:rsidRPr="00271231" w14:paraId="1CDCA012" w14:textId="77777777" w:rsidTr="00257F65">
        <w:trPr>
          <w:trHeight w:val="229"/>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14BC4770"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113798203"/>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Ine20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 Inekwe, et al., 2020)</w:t>
                </w:r>
                <w:r w:rsidR="00882F28" w:rsidRPr="00271231">
                  <w:rPr>
                    <w:rFonts w:asciiTheme="majorBidi" w:eastAsia="Times New Roman" w:hAnsiTheme="majorBidi" w:cstheme="majorBidi"/>
                    <w:lang w:eastAsia="en-GB"/>
                  </w:rPr>
                  <w:fldChar w:fldCharType="end"/>
                </w:r>
              </w:sdtContent>
            </w:sdt>
            <w:bookmarkEnd w:id="282"/>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60D61C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What are the effects of good governance and growth on CSR in developing countries?</w:t>
            </w:r>
          </w:p>
          <w:p w14:paraId="1A6C5A0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What is the trend in CSR in developing countries?</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9C6460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p w14:paraId="5679A76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NA</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417F5F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experiments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64476A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471 participants</w:t>
            </w:r>
          </w:p>
        </w:tc>
        <w:tc>
          <w:tcPr>
            <w:tcW w:w="993" w:type="dxa"/>
            <w:tcBorders>
              <w:top w:val="single" w:sz="6" w:space="0" w:color="auto"/>
              <w:left w:val="single" w:sz="6" w:space="0" w:color="auto"/>
              <w:bottom w:val="single" w:sz="6" w:space="0" w:color="auto"/>
              <w:right w:val="single" w:sz="6" w:space="0" w:color="auto"/>
            </w:tcBorders>
          </w:tcPr>
          <w:p w14:paraId="3B89922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Egypt, Morocco, Mauritius, Nigeria and South Africa</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27B9C58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CSR performance is favourably correlated with economic growth. Findings show that CSR advancement is relative to the rate of development in ME. The results of this study suggest further research on CSR performance in Africa.</w:t>
            </w:r>
          </w:p>
        </w:tc>
      </w:tr>
      <w:bookmarkStart w:id="284" w:name="_Hlk121233672"/>
      <w:bookmarkEnd w:id="283"/>
      <w:tr w:rsidR="00882F28" w:rsidRPr="00271231" w14:paraId="3FE67B6C" w14:textId="77777777" w:rsidTr="00257F65">
        <w:trPr>
          <w:trHeight w:val="229"/>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56F590F4"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996424685"/>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Jam201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(Jamali, et al., 2020)</w:t>
                </w:r>
                <w:r w:rsidR="00882F28" w:rsidRPr="00271231">
                  <w:rPr>
                    <w:rFonts w:asciiTheme="majorBidi" w:eastAsia="Times New Roman" w:hAnsiTheme="majorBidi" w:cstheme="majorBidi"/>
                    <w:lang w:eastAsia="en-GB"/>
                  </w:rPr>
                  <w:fldChar w:fldCharType="end"/>
                </w:r>
              </w:sdtContent>
            </w:sdt>
            <w:bookmarkEnd w:id="284"/>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5C6C63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B01E0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07DB74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Systematic Review</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1ED27D6" w14:textId="77777777" w:rsidR="00882F28" w:rsidRPr="00271231" w:rsidRDefault="00882F28" w:rsidP="00257F65">
            <w:pPr>
              <w:spacing w:line="240" w:lineRule="auto"/>
              <w:textAlignment w:val="baseline"/>
              <w:rPr>
                <w:rFonts w:asciiTheme="majorBidi" w:eastAsia="Times New Roman" w:hAnsiTheme="majorBidi" w:cstheme="majorBidi"/>
                <w:caps/>
                <w:lang w:eastAsia="en-GB"/>
              </w:rPr>
            </w:pPr>
            <w:r w:rsidRPr="00271231">
              <w:rPr>
                <w:rFonts w:asciiTheme="majorBidi" w:eastAsia="Times New Roman" w:hAnsiTheme="majorBidi" w:cstheme="majorBidi"/>
                <w:lang w:eastAsia="en-GB"/>
              </w:rPr>
              <w:t>154</w:t>
            </w:r>
          </w:p>
          <w:p w14:paraId="121E1F0D" w14:textId="77777777" w:rsidR="00882F28" w:rsidRPr="00271231" w:rsidRDefault="00882F28" w:rsidP="00257F65">
            <w:pPr>
              <w:spacing w:line="240" w:lineRule="auto"/>
              <w:textAlignment w:val="baseline"/>
              <w:rPr>
                <w:rFonts w:asciiTheme="majorBidi" w:eastAsia="Times New Roman" w:hAnsiTheme="majorBidi" w:cstheme="majorBidi"/>
                <w:caps/>
                <w:lang w:eastAsia="en-GB"/>
              </w:rPr>
            </w:pPr>
            <w:r w:rsidRPr="00271231">
              <w:rPr>
                <w:rFonts w:asciiTheme="majorBidi" w:eastAsia="Times New Roman" w:hAnsiTheme="majorBidi" w:cstheme="majorBidi"/>
                <w:caps/>
                <w:lang w:eastAsia="en-GB"/>
              </w:rPr>
              <w:t>Articles</w:t>
            </w:r>
          </w:p>
        </w:tc>
        <w:tc>
          <w:tcPr>
            <w:tcW w:w="993" w:type="dxa"/>
            <w:tcBorders>
              <w:top w:val="single" w:sz="6" w:space="0" w:color="auto"/>
              <w:left w:val="single" w:sz="6" w:space="0" w:color="auto"/>
              <w:bottom w:val="single" w:sz="6" w:space="0" w:color="auto"/>
              <w:right w:val="single" w:sz="6" w:space="0" w:color="auto"/>
            </w:tcBorders>
          </w:tcPr>
          <w:p w14:paraId="2899F53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 Middle East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3560068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Findings show that generalisations from one country to MENA are problematic because of the uniqueness of every country in MENA.</w:t>
            </w:r>
            <w:bookmarkStart w:id="285" w:name="_Hlk121233608"/>
            <w:r w:rsidRPr="00271231">
              <w:rPr>
                <w:rFonts w:asciiTheme="majorBidi" w:eastAsia="Times New Roman" w:hAnsiTheme="majorBidi" w:cstheme="majorBidi"/>
                <w:lang w:eastAsia="en-GB"/>
              </w:rPr>
              <w:t xml:space="preserve"> CSR communication </w:t>
            </w:r>
            <w:bookmarkStart w:id="286" w:name="_Hlk121233762"/>
            <w:bookmarkEnd w:id="285"/>
            <w:r w:rsidRPr="00271231">
              <w:rPr>
                <w:rFonts w:asciiTheme="majorBidi" w:eastAsia="Times New Roman" w:hAnsiTheme="majorBidi" w:cstheme="majorBidi"/>
                <w:lang w:eastAsia="en-GB"/>
              </w:rPr>
              <w:t>exhibits low level of trust, especially in Egypt where CSR is faced with scepticism.</w:t>
            </w:r>
            <w:bookmarkEnd w:id="286"/>
          </w:p>
        </w:tc>
      </w:tr>
      <w:tr w:rsidR="00882F28" w:rsidRPr="00271231" w14:paraId="3B3AB92F" w14:textId="77777777" w:rsidTr="00257F65">
        <w:trPr>
          <w:trHeight w:val="229"/>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819C20B"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679685740"/>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Kla20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(Klabi, 2020)</w:t>
                </w:r>
                <w:r w:rsidR="00882F28" w:rsidRPr="00271231">
                  <w:rPr>
                    <w:rFonts w:asciiTheme="majorBidi" w:eastAsia="Times New Roman" w:hAnsiTheme="majorBidi" w:cstheme="majorBidi"/>
                    <w:lang w:eastAsia="en-GB"/>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F35D15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Conspicuous consumption has a positive effect on status consumption.</w:t>
            </w:r>
          </w:p>
          <w:p w14:paraId="2EAE1E4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Self-image congruence has a positive effect on emotional brand attachment.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CB56F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Self-image congruence Theory </w:t>
            </w:r>
            <w:sdt>
              <w:sdtPr>
                <w:rPr>
                  <w:rFonts w:asciiTheme="majorBidi" w:eastAsia="Times New Roman" w:hAnsiTheme="majorBidi" w:cstheme="majorBidi"/>
                  <w:lang w:eastAsia="en-GB"/>
                </w:rPr>
                <w:id w:val="-1641186362"/>
                <w:citation/>
              </w:sdtPr>
              <w:sdtContent>
                <w:r w:rsidRPr="00271231">
                  <w:rPr>
                    <w:rFonts w:asciiTheme="majorBidi" w:eastAsia="Times New Roman" w:hAnsiTheme="majorBidi" w:cstheme="majorBidi"/>
                    <w:lang w:eastAsia="en-GB"/>
                  </w:rPr>
                  <w:fldChar w:fldCharType="begin"/>
                </w:r>
                <w:r w:rsidRPr="00271231">
                  <w:rPr>
                    <w:rFonts w:asciiTheme="majorBidi" w:eastAsia="Times New Roman" w:hAnsiTheme="majorBidi" w:cstheme="majorBidi"/>
                    <w:lang w:eastAsia="en-GB"/>
                  </w:rPr>
                  <w:instrText xml:space="preserve"> CITATION Sir85 \l 2057 </w:instrText>
                </w:r>
                <w:r w:rsidRPr="00271231">
                  <w:rPr>
                    <w:rFonts w:asciiTheme="majorBidi" w:eastAsia="Times New Roman" w:hAnsiTheme="majorBidi" w:cstheme="majorBidi"/>
                    <w:lang w:eastAsia="en-GB"/>
                  </w:rPr>
                  <w:fldChar w:fldCharType="separate"/>
                </w:r>
                <w:r w:rsidRPr="00271231">
                  <w:rPr>
                    <w:rFonts w:asciiTheme="majorBidi" w:eastAsia="Times New Roman" w:hAnsiTheme="majorBidi" w:cstheme="majorBidi"/>
                    <w:noProof/>
                    <w:lang w:eastAsia="en-GB"/>
                  </w:rPr>
                  <w:t>(Sirgy, 1985)</w:t>
                </w:r>
                <w:r w:rsidRPr="00271231">
                  <w:rPr>
                    <w:rFonts w:asciiTheme="majorBidi" w:eastAsia="Times New Roman" w:hAnsiTheme="majorBidi" w:cstheme="majorBidi"/>
                    <w:lang w:eastAsia="en-GB"/>
                  </w:rPr>
                  <w:fldChar w:fldCharType="end"/>
                </w:r>
              </w:sdtContent>
            </w:sdt>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D31F4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D64152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840 Responses</w:t>
            </w:r>
          </w:p>
        </w:tc>
        <w:tc>
          <w:tcPr>
            <w:tcW w:w="993" w:type="dxa"/>
            <w:tcBorders>
              <w:top w:val="single" w:sz="6" w:space="0" w:color="auto"/>
              <w:left w:val="single" w:sz="6" w:space="0" w:color="auto"/>
              <w:bottom w:val="single" w:sz="6" w:space="0" w:color="auto"/>
              <w:right w:val="single" w:sz="6" w:space="0" w:color="auto"/>
            </w:tcBorders>
          </w:tcPr>
          <w:p w14:paraId="138C46A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Saudi Arabia</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077EFAB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bookmarkStart w:id="287" w:name="_Hlk121246791"/>
            <w:bookmarkStart w:id="288" w:name="_Hlk121246665"/>
            <w:r w:rsidRPr="00271231">
              <w:rPr>
                <w:rFonts w:asciiTheme="majorBidi" w:eastAsia="Times New Roman" w:hAnsiTheme="majorBidi" w:cstheme="majorBidi"/>
                <w:lang w:eastAsia="en-GB"/>
              </w:rPr>
              <w:t xml:space="preserve">Self-image congruence plays a role </w:t>
            </w:r>
            <w:r>
              <w:rPr>
                <w:rFonts w:asciiTheme="majorBidi" w:eastAsia="Times New Roman" w:hAnsiTheme="majorBidi" w:cstheme="majorBidi"/>
                <w:lang w:eastAsia="en-GB"/>
              </w:rPr>
              <w:t>i</w:t>
            </w:r>
            <w:r w:rsidRPr="00271231">
              <w:rPr>
                <w:rFonts w:asciiTheme="majorBidi" w:eastAsia="Times New Roman" w:hAnsiTheme="majorBidi" w:cstheme="majorBidi"/>
                <w:lang w:eastAsia="en-GB"/>
              </w:rPr>
              <w:t>n enhancing emotional brand attachment.</w:t>
            </w:r>
          </w:p>
          <w:bookmarkEnd w:id="287"/>
          <w:p w14:paraId="2D65F37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Customers who believe that the brand image matches their conception of themselves are more likely to develop an emotional brand attachment.</w:t>
            </w:r>
            <w:bookmarkEnd w:id="288"/>
          </w:p>
        </w:tc>
      </w:tr>
      <w:bookmarkStart w:id="289" w:name="_Hlk121255351"/>
      <w:tr w:rsidR="00882F28" w:rsidRPr="00271231" w14:paraId="59EA75D6" w14:textId="77777777" w:rsidTr="00257F65">
        <w:trPr>
          <w:trHeight w:val="24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56DF1172"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092236137"/>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Lti21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(Ltifi &amp; Hichri, 2021)</w:t>
                </w:r>
                <w:r w:rsidR="00882F28" w:rsidRPr="00271231">
                  <w:rPr>
                    <w:rFonts w:asciiTheme="majorBidi" w:eastAsia="Times New Roman" w:hAnsiTheme="majorBidi" w:cstheme="majorBidi"/>
                    <w:lang w:eastAsia="en-GB"/>
                  </w:rPr>
                  <w:fldChar w:fldCharType="end"/>
                </w:r>
              </w:sdtContent>
            </w:sdt>
            <w:bookmarkEnd w:id="289"/>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6AD264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What is the effect of corporate governance on the company's CSR?</w:t>
            </w:r>
          </w:p>
          <w:p w14:paraId="7BA2E9F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What is the effect of the company's brand image on customer satisfaction?</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F6264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Stakeholder’s theory</w:t>
            </w:r>
          </w:p>
          <w:p w14:paraId="05268C1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p w14:paraId="32DA221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Psychological contract theory</w:t>
            </w:r>
          </w:p>
          <w:p w14:paraId="755A488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p w14:paraId="239D7F7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Social Exchange Theory</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30E8C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B5FED1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600 respondents</w:t>
            </w:r>
          </w:p>
        </w:tc>
        <w:tc>
          <w:tcPr>
            <w:tcW w:w="993" w:type="dxa"/>
            <w:tcBorders>
              <w:top w:val="single" w:sz="6" w:space="0" w:color="auto"/>
              <w:left w:val="single" w:sz="6" w:space="0" w:color="auto"/>
              <w:bottom w:val="single" w:sz="6" w:space="0" w:color="auto"/>
              <w:right w:val="single" w:sz="6" w:space="0" w:color="auto"/>
            </w:tcBorders>
          </w:tcPr>
          <w:p w14:paraId="1A18806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Tunisia</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390397F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 financial institution's social duty is positively impacted by effective governance.</w:t>
            </w:r>
            <w:bookmarkStart w:id="290" w:name="_Hlk121255205"/>
            <w:r w:rsidRPr="00271231">
              <w:rPr>
                <w:rFonts w:asciiTheme="majorBidi" w:eastAsia="Times New Roman" w:hAnsiTheme="majorBidi" w:cstheme="majorBidi"/>
                <w:lang w:eastAsia="en-GB"/>
              </w:rPr>
              <w:t xml:space="preserve"> Customers’ impression of the financial institution's image is positively impacted by its social responsibility. The perception of the brand image of the financial institution has a favourable and significant impact on customer satisfaction</w:t>
            </w:r>
            <w:bookmarkEnd w:id="290"/>
            <w:r w:rsidRPr="00271231">
              <w:rPr>
                <w:rFonts w:asciiTheme="majorBidi" w:eastAsia="Times New Roman" w:hAnsiTheme="majorBidi" w:cstheme="majorBidi"/>
                <w:lang w:eastAsia="en-GB"/>
              </w:rPr>
              <w:t>.</w:t>
            </w:r>
          </w:p>
        </w:tc>
      </w:tr>
      <w:bookmarkStart w:id="291" w:name="_Hlk121257558"/>
      <w:tr w:rsidR="00882F28" w:rsidRPr="00271231" w14:paraId="0F3015E0" w14:textId="77777777" w:rsidTr="00257F65">
        <w:trPr>
          <w:trHeight w:val="24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12B78409"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745923892"/>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muk22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(Mukhtar &amp; Bahormoz, 2022)</w:t>
                </w:r>
                <w:r w:rsidR="00882F28" w:rsidRPr="00271231">
                  <w:rPr>
                    <w:rFonts w:asciiTheme="majorBidi" w:eastAsia="Times New Roman" w:hAnsiTheme="majorBidi" w:cstheme="majorBidi"/>
                    <w:lang w:eastAsia="en-GB"/>
                  </w:rPr>
                  <w:fldChar w:fldCharType="end"/>
                </w:r>
              </w:sdtContent>
            </w:sdt>
            <w:bookmarkEnd w:id="291"/>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551195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What CSR indicators are relevant and prioritized within the Saudi context?</w:t>
            </w:r>
          </w:p>
          <w:p w14:paraId="334546A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B3D1F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‘AHP (Analytic Hierarchy Process) -based integrative framework</w:t>
            </w:r>
          </w:p>
          <w:p w14:paraId="248B39D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for stakeholder engagement’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36B4A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9BDA32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218 respondents</w:t>
            </w:r>
          </w:p>
        </w:tc>
        <w:tc>
          <w:tcPr>
            <w:tcW w:w="993" w:type="dxa"/>
            <w:tcBorders>
              <w:top w:val="single" w:sz="6" w:space="0" w:color="auto"/>
              <w:left w:val="single" w:sz="6" w:space="0" w:color="auto"/>
              <w:bottom w:val="single" w:sz="6" w:space="0" w:color="auto"/>
              <w:right w:val="single" w:sz="6" w:space="0" w:color="auto"/>
            </w:tcBorders>
          </w:tcPr>
          <w:p w14:paraId="6B287D8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Saudi Arabia</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0B65BCD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bookmarkStart w:id="292" w:name="_Hlk121257250"/>
            <w:r w:rsidRPr="00271231">
              <w:rPr>
                <w:rFonts w:asciiTheme="majorBidi" w:eastAsia="Times New Roman" w:hAnsiTheme="majorBidi" w:cstheme="majorBidi"/>
                <w:lang w:eastAsia="en-GB"/>
              </w:rPr>
              <w:t>The CSR priority for business executives is employment, followed by environment.</w:t>
            </w:r>
          </w:p>
          <w:p w14:paraId="590AD23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Using the ‘AHP-based Integrative Framework for Stakeholder Engagement’, Occupational health and safety emerges as the first ‘combined’ CSR priority</w:t>
            </w:r>
            <w:bookmarkEnd w:id="292"/>
          </w:p>
        </w:tc>
      </w:tr>
      <w:bookmarkStart w:id="293" w:name="_Hlk121314991"/>
      <w:bookmarkStart w:id="294" w:name="_Hlk123564387"/>
      <w:bookmarkStart w:id="295" w:name="_Hlk121314965"/>
      <w:tr w:rsidR="00882F28" w:rsidRPr="00271231" w14:paraId="6E582718" w14:textId="77777777" w:rsidTr="00257F65">
        <w:trPr>
          <w:trHeight w:val="24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42C3F031"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892933779"/>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Nur20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 Nurunnabi, et al., 2020)</w:t>
                </w:r>
                <w:r w:rsidR="00882F28" w:rsidRPr="00271231">
                  <w:rPr>
                    <w:rFonts w:asciiTheme="majorBidi" w:eastAsia="Times New Roman" w:hAnsiTheme="majorBidi" w:cstheme="majorBidi"/>
                    <w:lang w:eastAsia="en-GB"/>
                  </w:rPr>
                  <w:fldChar w:fldCharType="end"/>
                </w:r>
              </w:sdtContent>
            </w:sdt>
            <w:bookmarkEnd w:id="293"/>
          </w:p>
          <w:bookmarkEnd w:id="294"/>
          <w:p w14:paraId="71E25C0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(Perception on CSR)</w:t>
            </w:r>
          </w:p>
          <w:p w14:paraId="13F10BF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16444E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EB4A47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Carol’s CSR Pyramid</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1652C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Qualitative Data through Interviews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A73800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34 respondents</w:t>
            </w:r>
          </w:p>
        </w:tc>
        <w:tc>
          <w:tcPr>
            <w:tcW w:w="993" w:type="dxa"/>
            <w:tcBorders>
              <w:top w:val="single" w:sz="6" w:space="0" w:color="auto"/>
              <w:left w:val="single" w:sz="6" w:space="0" w:color="auto"/>
              <w:bottom w:val="single" w:sz="6" w:space="0" w:color="auto"/>
              <w:right w:val="single" w:sz="6" w:space="0" w:color="auto"/>
            </w:tcBorders>
          </w:tcPr>
          <w:p w14:paraId="1C045D0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Saudi Arabia</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6E72658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Most interviewees agreed that organisations in Saudi Arabia could show more CSR by contributing to society.</w:t>
            </w:r>
          </w:p>
          <w:p w14:paraId="35ADF9E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bookmarkStart w:id="296" w:name="_Hlk121316516"/>
            <w:r w:rsidRPr="00271231">
              <w:rPr>
                <w:rFonts w:asciiTheme="majorBidi" w:eastAsia="Times New Roman" w:hAnsiTheme="majorBidi" w:cstheme="majorBidi"/>
                <w:lang w:eastAsia="en-GB"/>
              </w:rPr>
              <w:t>There is no one-size-fits-all CSR approach, which practitioners must be aware of.</w:t>
            </w:r>
            <w:bookmarkEnd w:id="296"/>
          </w:p>
        </w:tc>
      </w:tr>
      <w:bookmarkStart w:id="297" w:name="_Hlk121400509"/>
      <w:bookmarkEnd w:id="295"/>
      <w:tr w:rsidR="00882F28" w:rsidRPr="00271231" w14:paraId="1BE83BB5" w14:textId="77777777" w:rsidTr="00257F65">
        <w:trPr>
          <w:trHeight w:val="24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46E0B54F"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744913355"/>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Oua19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(Ouakouak, et al., 2019)</w:t>
                </w:r>
                <w:r w:rsidR="00882F28" w:rsidRPr="00271231">
                  <w:rPr>
                    <w:rFonts w:asciiTheme="majorBidi" w:eastAsia="Times New Roman" w:hAnsiTheme="majorBidi" w:cstheme="majorBidi"/>
                    <w:lang w:eastAsia="en-GB"/>
                  </w:rPr>
                  <w:fldChar w:fldCharType="end"/>
                </w:r>
              </w:sdtContent>
            </w:sdt>
            <w:bookmarkEnd w:id="297"/>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35987FA0" w14:textId="77777777" w:rsidR="00882F28" w:rsidRPr="00271231" w:rsidRDefault="00882F28" w:rsidP="00257F65">
            <w:pPr>
              <w:spacing w:line="240" w:lineRule="auto"/>
              <w:rPr>
                <w:rFonts w:asciiTheme="majorBidi" w:eastAsia="Times New Roman" w:hAnsiTheme="majorBidi" w:cstheme="majorBidi"/>
                <w:lang w:eastAsia="en-GB"/>
              </w:rPr>
            </w:pPr>
            <w:r w:rsidRPr="00271231">
              <w:rPr>
                <w:rFonts w:asciiTheme="majorBidi" w:eastAsia="Times New Roman" w:hAnsiTheme="majorBidi" w:cstheme="majorBidi"/>
                <w:lang w:eastAsia="en-GB"/>
              </w:rPr>
              <w:t>Do employee perceptions of internal and external CSR influence their behaviours at work?</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64F47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0457A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3A4296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664 Employees</w:t>
            </w:r>
          </w:p>
        </w:tc>
        <w:tc>
          <w:tcPr>
            <w:tcW w:w="993" w:type="dxa"/>
            <w:tcBorders>
              <w:top w:val="single" w:sz="6" w:space="0" w:color="auto"/>
              <w:left w:val="single" w:sz="6" w:space="0" w:color="auto"/>
              <w:bottom w:val="single" w:sz="6" w:space="0" w:color="auto"/>
              <w:right w:val="single" w:sz="6" w:space="0" w:color="auto"/>
            </w:tcBorders>
          </w:tcPr>
          <w:p w14:paraId="7BD5AFB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Kuwait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4FC38C3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Internal and external CSR initiatives have a good relationship with organizational citizenship behaviour (OCB), while OCB has a negative relationship with intention to leave.</w:t>
            </w:r>
          </w:p>
        </w:tc>
      </w:tr>
      <w:bookmarkStart w:id="298" w:name="_Hlk121403460"/>
      <w:tr w:rsidR="00882F28" w:rsidRPr="00271231" w14:paraId="5610BF84" w14:textId="77777777" w:rsidTr="00257F65">
        <w:trPr>
          <w:trHeight w:val="24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37475B08"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349920817"/>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Rim181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(Rim &amp; Dong, 2018)</w:t>
                </w:r>
                <w:r w:rsidR="00882F28" w:rsidRPr="00271231">
                  <w:rPr>
                    <w:rFonts w:asciiTheme="majorBidi" w:eastAsia="Times New Roman" w:hAnsiTheme="majorBidi" w:cstheme="majorBidi"/>
                    <w:lang w:eastAsia="en-GB"/>
                  </w:rPr>
                  <w:fldChar w:fldCharType="end"/>
                </w:r>
              </w:sdtContent>
            </w:sdt>
          </w:p>
          <w:bookmarkEnd w:id="298"/>
          <w:p w14:paraId="477C184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EBD0601"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Evaluating business responsibilities in society influences the public’s trust the individual’s CSR domain.</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49C51D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Hierarchical CSR model</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FD951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A4CFB8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380 respondents from USA</w:t>
            </w:r>
          </w:p>
          <w:p w14:paraId="765A4D2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355 respondents from UAE</w:t>
            </w:r>
          </w:p>
          <w:p w14:paraId="014F76D1"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386 respondents from Korea</w:t>
            </w:r>
          </w:p>
        </w:tc>
        <w:tc>
          <w:tcPr>
            <w:tcW w:w="993" w:type="dxa"/>
            <w:tcBorders>
              <w:top w:val="single" w:sz="6" w:space="0" w:color="auto"/>
              <w:left w:val="single" w:sz="6" w:space="0" w:color="auto"/>
              <w:bottom w:val="single" w:sz="6" w:space="0" w:color="auto"/>
              <w:right w:val="single" w:sz="6" w:space="0" w:color="auto"/>
            </w:tcBorders>
          </w:tcPr>
          <w:p w14:paraId="608DDDB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USA, UAE, Korea</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3D7F41E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UAE respondents claimed that economic responsibility is the most crucial one. It appears that the public in a trusting culture like the UAE places higher value on charitable obligations for business than in other cultures.</w:t>
            </w:r>
          </w:p>
        </w:tc>
      </w:tr>
      <w:bookmarkStart w:id="299" w:name="_Hlk121419460"/>
      <w:tr w:rsidR="00882F28" w:rsidRPr="00271231" w14:paraId="21DAF6DD" w14:textId="77777777" w:rsidTr="00257F65">
        <w:trPr>
          <w:trHeight w:val="24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5B90216A"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231129761"/>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Sal222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(Salam, et al., 2022)</w:t>
                </w:r>
                <w:r w:rsidR="00882F28" w:rsidRPr="00271231">
                  <w:rPr>
                    <w:rFonts w:asciiTheme="majorBidi" w:eastAsia="Times New Roman" w:hAnsiTheme="majorBidi" w:cstheme="majorBidi"/>
                    <w:lang w:eastAsia="en-GB"/>
                  </w:rPr>
                  <w:fldChar w:fldCharType="end"/>
                </w:r>
              </w:sdtContent>
            </w:sdt>
            <w:bookmarkEnd w:id="299"/>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35EC00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CSR orientation has a positive relationship with firm performance.</w:t>
            </w:r>
          </w:p>
          <w:p w14:paraId="24F9317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Customer satisfaction mediate the relationship between CSR and firm performance.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EC990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CSR orientation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B7446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AC74F3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993" w:type="dxa"/>
            <w:tcBorders>
              <w:top w:val="single" w:sz="6" w:space="0" w:color="auto"/>
              <w:left w:val="single" w:sz="6" w:space="0" w:color="auto"/>
              <w:bottom w:val="single" w:sz="6" w:space="0" w:color="auto"/>
              <w:right w:val="single" w:sz="6" w:space="0" w:color="auto"/>
            </w:tcBorders>
          </w:tcPr>
          <w:p w14:paraId="0B362B1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Saudi Arabia</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381F3FA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CSR orientation and company performance are directly correlated in </w:t>
            </w:r>
            <w:r>
              <w:rPr>
                <w:rFonts w:asciiTheme="majorBidi" w:eastAsia="Times New Roman" w:hAnsiTheme="majorBidi" w:cstheme="majorBidi"/>
                <w:lang w:eastAsia="en-GB"/>
              </w:rPr>
              <w:t xml:space="preserve">MENA. </w:t>
            </w:r>
            <w:r w:rsidRPr="00271231">
              <w:rPr>
                <w:rFonts w:asciiTheme="majorBidi" w:eastAsia="Times New Roman" w:hAnsiTheme="majorBidi" w:cstheme="majorBidi"/>
                <w:lang w:eastAsia="en-GB"/>
              </w:rPr>
              <w:t>Investment in CSR in these areas is therefore anticipated to increase the value of the firms. Results showed that customer satisfaction is directly impacted by CSR orientation.</w:t>
            </w:r>
          </w:p>
        </w:tc>
      </w:tr>
      <w:bookmarkStart w:id="300" w:name="_Hlk121421284"/>
      <w:tr w:rsidR="00882F28" w:rsidRPr="00271231" w14:paraId="0BB08FE1" w14:textId="77777777" w:rsidTr="00257F65">
        <w:trPr>
          <w:trHeight w:val="24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683D5167"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468746066"/>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Alb20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(Alberti-Alhtaybat, et al., 2020)</w:t>
                </w:r>
                <w:r w:rsidR="00882F28" w:rsidRPr="00271231">
                  <w:rPr>
                    <w:rFonts w:asciiTheme="majorBidi" w:eastAsia="Times New Roman" w:hAnsiTheme="majorBidi" w:cstheme="majorBidi"/>
                    <w:lang w:eastAsia="en-GB"/>
                  </w:rPr>
                  <w:fldChar w:fldCharType="end"/>
                </w:r>
              </w:sdtContent>
            </w:sdt>
            <w:bookmarkEnd w:id="300"/>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368C37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1EBCE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Bourdieu’s theory of practice </w:t>
            </w:r>
            <w:sdt>
              <w:sdtPr>
                <w:rPr>
                  <w:rFonts w:asciiTheme="majorBidi" w:eastAsia="Times New Roman" w:hAnsiTheme="majorBidi" w:cstheme="majorBidi"/>
                  <w:lang w:eastAsia="en-GB"/>
                </w:rPr>
                <w:id w:val="1421062226"/>
                <w:citation/>
              </w:sdtPr>
              <w:sdtContent>
                <w:r w:rsidRPr="00271231">
                  <w:rPr>
                    <w:rFonts w:asciiTheme="majorBidi" w:eastAsia="Times New Roman" w:hAnsiTheme="majorBidi" w:cstheme="majorBidi"/>
                    <w:lang w:eastAsia="en-GB"/>
                  </w:rPr>
                  <w:fldChar w:fldCharType="begin"/>
                </w:r>
                <w:r w:rsidRPr="00271231">
                  <w:rPr>
                    <w:rFonts w:asciiTheme="majorBidi" w:eastAsia="Times New Roman" w:hAnsiTheme="majorBidi" w:cstheme="majorBidi"/>
                    <w:lang w:eastAsia="en-GB"/>
                  </w:rPr>
                  <w:instrText xml:space="preserve"> CITATION Bou77 \l 2057 </w:instrText>
                </w:r>
                <w:r w:rsidRPr="00271231">
                  <w:rPr>
                    <w:rFonts w:asciiTheme="majorBidi" w:eastAsia="Times New Roman" w:hAnsiTheme="majorBidi" w:cstheme="majorBidi"/>
                    <w:lang w:eastAsia="en-GB"/>
                  </w:rPr>
                  <w:fldChar w:fldCharType="separate"/>
                </w:r>
                <w:r w:rsidRPr="00271231">
                  <w:rPr>
                    <w:rFonts w:asciiTheme="majorBidi" w:eastAsia="Times New Roman" w:hAnsiTheme="majorBidi" w:cstheme="majorBidi"/>
                    <w:noProof/>
                    <w:lang w:eastAsia="en-GB"/>
                  </w:rPr>
                  <w:t>(Bourdieu, 1977)</w:t>
                </w:r>
                <w:r w:rsidRPr="00271231">
                  <w:rPr>
                    <w:rFonts w:asciiTheme="majorBidi" w:eastAsia="Times New Roman" w:hAnsiTheme="majorBidi" w:cstheme="majorBidi"/>
                    <w:lang w:eastAsia="en-GB"/>
                  </w:rPr>
                  <w:fldChar w:fldCharType="end"/>
                </w:r>
              </w:sdtContent>
            </w:sdt>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412D7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Data Analysis of publicised documents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A797E9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993" w:type="dxa"/>
            <w:tcBorders>
              <w:top w:val="single" w:sz="6" w:space="0" w:color="auto"/>
              <w:left w:val="single" w:sz="6" w:space="0" w:color="auto"/>
              <w:bottom w:val="single" w:sz="6" w:space="0" w:color="auto"/>
              <w:right w:val="single" w:sz="6" w:space="0" w:color="auto"/>
            </w:tcBorders>
          </w:tcPr>
          <w:p w14:paraId="41F9B98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 Middle East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244F27A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The study demonstrated how sustainability reporting and cultivating a sustainable mentality in the region got their start with Aramex and have since picked up steam.</w:t>
            </w:r>
          </w:p>
        </w:tc>
      </w:tr>
      <w:bookmarkStart w:id="301" w:name="_Hlk121423015"/>
      <w:tr w:rsidR="00882F28" w:rsidRPr="00271231" w14:paraId="618992EA" w14:textId="77777777" w:rsidTr="00257F65">
        <w:trPr>
          <w:trHeight w:val="24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F8C614A"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551349666"/>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Whi19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(White &amp; Alkandari, 2019)</w:t>
                </w:r>
                <w:r w:rsidR="00882F28" w:rsidRPr="00271231">
                  <w:rPr>
                    <w:rFonts w:asciiTheme="majorBidi" w:eastAsia="Times New Roman" w:hAnsiTheme="majorBidi" w:cstheme="majorBidi"/>
                    <w:lang w:eastAsia="en-GB"/>
                  </w:rPr>
                  <w:fldChar w:fldCharType="end"/>
                </w:r>
              </w:sdtContent>
            </w:sdt>
            <w:bookmarkEnd w:id="301"/>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77D105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To what extent do cultural, political, economic, and societal  variables  influence CSR in Kuwait?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E9169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13E2FE"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Qualitative data using semi-structured interviews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5F7D8B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8 firms</w:t>
            </w:r>
          </w:p>
        </w:tc>
        <w:tc>
          <w:tcPr>
            <w:tcW w:w="993" w:type="dxa"/>
            <w:tcBorders>
              <w:top w:val="single" w:sz="6" w:space="0" w:color="auto"/>
              <w:left w:val="single" w:sz="6" w:space="0" w:color="auto"/>
              <w:bottom w:val="single" w:sz="6" w:space="0" w:color="auto"/>
              <w:right w:val="single" w:sz="6" w:space="0" w:color="auto"/>
            </w:tcBorders>
          </w:tcPr>
          <w:p w14:paraId="7042491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Kuwait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39FAB1F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Participants’ perception of CSR is highly influenced by Kuwaiti cultural values as well as by the country’s infrastructure.</w:t>
            </w:r>
          </w:p>
        </w:tc>
      </w:tr>
      <w:tr w:rsidR="00882F28" w:rsidRPr="00271231" w14:paraId="14EDEBE4" w14:textId="77777777" w:rsidTr="00257F65">
        <w:trPr>
          <w:trHeight w:val="97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75D5FA77"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430486"/>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Daa19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(Daas &amp; Alaraj, 2019)</w:t>
                </w:r>
                <w:r w:rsidR="00882F28" w:rsidRPr="00271231">
                  <w:rPr>
                    <w:rFonts w:asciiTheme="majorBidi" w:eastAsia="Times New Roman" w:hAnsiTheme="majorBidi" w:cstheme="majorBidi"/>
                    <w:lang w:eastAsia="en-GB"/>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CF690CE"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There is a positive association between CSRD and INSV for the PLCs in Jordan.</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A1E0622"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Legitimacy theory</w:t>
            </w:r>
          </w:p>
          <w:p w14:paraId="3CDDEAE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88A056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Content Analysis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1FEE81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159 Companies</w:t>
            </w:r>
          </w:p>
        </w:tc>
        <w:tc>
          <w:tcPr>
            <w:tcW w:w="993" w:type="dxa"/>
            <w:tcBorders>
              <w:top w:val="single" w:sz="6" w:space="0" w:color="auto"/>
              <w:left w:val="single" w:sz="6" w:space="0" w:color="auto"/>
              <w:bottom w:val="single" w:sz="6" w:space="0" w:color="auto"/>
              <w:right w:val="single" w:sz="6" w:space="0" w:color="auto"/>
            </w:tcBorders>
          </w:tcPr>
          <w:p w14:paraId="3B1A646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Jordan</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7E8A265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Pr>
                <w:rFonts w:asciiTheme="majorBidi" w:eastAsia="Times New Roman" w:hAnsiTheme="majorBidi" w:cstheme="majorBidi"/>
                <w:lang w:eastAsia="en-GB"/>
              </w:rPr>
              <w:t>C</w:t>
            </w:r>
            <w:r w:rsidRPr="00271231">
              <w:rPr>
                <w:rFonts w:asciiTheme="majorBidi" w:eastAsia="Times New Roman" w:hAnsiTheme="majorBidi" w:cstheme="majorBidi"/>
                <w:lang w:eastAsia="en-GB"/>
              </w:rPr>
              <w:t>ompared to other factors, economic activities intended to boost employee morale or the company's reputation in the private sector in Jordan.</w:t>
            </w:r>
          </w:p>
        </w:tc>
      </w:tr>
      <w:bookmarkStart w:id="302" w:name="_Hlk121398383"/>
      <w:tr w:rsidR="00882F28" w:rsidRPr="00271231" w14:paraId="558C65BD" w14:textId="77777777" w:rsidTr="00257F65">
        <w:trPr>
          <w:trHeight w:val="552"/>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67F4F4A"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065844866"/>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Oth19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noProof/>
                    <w:lang w:eastAsia="en-GB"/>
                  </w:rPr>
                  <w:t>(Othman &amp; Hafez, 2019)</w:t>
                </w:r>
                <w:r w:rsidR="00882F28" w:rsidRPr="00271231">
                  <w:rPr>
                    <w:rFonts w:asciiTheme="majorBidi" w:eastAsia="Times New Roman" w:hAnsiTheme="majorBidi" w:cstheme="majorBidi"/>
                    <w:lang w:eastAsia="en-GB"/>
                  </w:rPr>
                  <w:fldChar w:fldCharType="end"/>
                </w:r>
              </w:sdtContent>
            </w:sdt>
            <w:bookmarkEnd w:id="302"/>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D118BF8" w14:textId="77777777" w:rsidR="00882F28" w:rsidRPr="00271231" w:rsidRDefault="00882F28" w:rsidP="00257F65">
            <w:pPr>
              <w:spacing w:line="240" w:lineRule="auto"/>
              <w:textAlignment w:val="baseline"/>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5338AE1" w14:textId="77777777" w:rsidR="00882F28" w:rsidRPr="00271231" w:rsidRDefault="00882F28" w:rsidP="00257F65">
            <w:pPr>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Four Marketing functions </w:t>
            </w:r>
            <w:sdt>
              <w:sdtPr>
                <w:rPr>
                  <w:rFonts w:asciiTheme="majorBidi" w:eastAsia="Times New Roman" w:hAnsiTheme="majorBidi" w:cstheme="majorBidi"/>
                  <w:lang w:eastAsia="en-GB"/>
                </w:rPr>
                <w:id w:val="1751542496"/>
                <w:citation/>
              </w:sdtPr>
              <w:sdtContent>
                <w:r w:rsidRPr="00271231">
                  <w:rPr>
                    <w:rFonts w:asciiTheme="majorBidi" w:eastAsia="Times New Roman" w:hAnsiTheme="majorBidi" w:cstheme="majorBidi"/>
                    <w:lang w:eastAsia="en-GB"/>
                  </w:rPr>
                  <w:fldChar w:fldCharType="begin"/>
                </w:r>
                <w:r w:rsidRPr="00271231">
                  <w:rPr>
                    <w:rFonts w:asciiTheme="majorBidi" w:eastAsia="Times New Roman" w:hAnsiTheme="majorBidi" w:cstheme="majorBidi"/>
                    <w:lang w:eastAsia="en-GB"/>
                  </w:rPr>
                  <w:instrText xml:space="preserve"> CITATION Nic80 \l 2057 </w:instrText>
                </w:r>
                <w:r w:rsidRPr="00271231">
                  <w:rPr>
                    <w:rFonts w:asciiTheme="majorBidi" w:eastAsia="Times New Roman" w:hAnsiTheme="majorBidi" w:cstheme="majorBidi"/>
                    <w:lang w:eastAsia="en-GB"/>
                  </w:rPr>
                  <w:fldChar w:fldCharType="separate"/>
                </w:r>
                <w:r w:rsidRPr="00271231">
                  <w:rPr>
                    <w:rFonts w:asciiTheme="majorBidi" w:eastAsia="Times New Roman" w:hAnsiTheme="majorBidi" w:cstheme="majorBidi"/>
                    <w:noProof/>
                    <w:lang w:eastAsia="en-GB"/>
                  </w:rPr>
                  <w:t>(Nickels, 1980)</w:t>
                </w:r>
                <w:r w:rsidRPr="00271231">
                  <w:rPr>
                    <w:rFonts w:asciiTheme="majorBidi" w:eastAsia="Times New Roman" w:hAnsiTheme="majorBidi" w:cstheme="majorBidi"/>
                    <w:lang w:eastAsia="en-GB"/>
                  </w:rPr>
                  <w:fldChar w:fldCharType="end"/>
                </w:r>
              </w:sdtContent>
            </w:sdt>
          </w:p>
          <w:p w14:paraId="25638ECA" w14:textId="77777777" w:rsidR="00882F28" w:rsidRPr="00271231" w:rsidRDefault="00882F28" w:rsidP="00257F65">
            <w:pPr>
              <w:spacing w:line="240" w:lineRule="auto"/>
              <w:textAlignment w:val="baseline"/>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69A5E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Literature Review and 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B0FB7C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32 firms</w:t>
            </w:r>
          </w:p>
        </w:tc>
        <w:tc>
          <w:tcPr>
            <w:tcW w:w="993" w:type="dxa"/>
            <w:tcBorders>
              <w:top w:val="single" w:sz="6" w:space="0" w:color="auto"/>
              <w:left w:val="single" w:sz="6" w:space="0" w:color="auto"/>
              <w:bottom w:val="single" w:sz="6" w:space="0" w:color="auto"/>
              <w:right w:val="single" w:sz="6" w:space="0" w:color="auto"/>
            </w:tcBorders>
          </w:tcPr>
          <w:p w14:paraId="15098A1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Egypt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2A032418" w14:textId="77777777" w:rsidR="00882F28" w:rsidRPr="00271231" w:rsidRDefault="00882F28" w:rsidP="00257F65">
            <w:pPr>
              <w:textAlignment w:val="baseline"/>
              <w:rPr>
                <w:rFonts w:asciiTheme="majorBidi" w:eastAsia="Times New Roman" w:hAnsiTheme="majorBidi" w:cstheme="majorBidi"/>
                <w:lang w:eastAsia="en-GB"/>
              </w:rPr>
            </w:pPr>
            <w:bookmarkStart w:id="303" w:name="_Hlk136378294"/>
            <w:r w:rsidRPr="00271231">
              <w:rPr>
                <w:rFonts w:asciiTheme="majorBidi" w:eastAsia="Times New Roman" w:hAnsiTheme="majorBidi" w:cstheme="majorBidi"/>
                <w:lang w:eastAsia="en-GB"/>
              </w:rPr>
              <w:t xml:space="preserve">Even though most firms </w:t>
            </w:r>
            <w:r>
              <w:rPr>
                <w:rFonts w:asciiTheme="majorBidi" w:eastAsia="Times New Roman" w:hAnsiTheme="majorBidi" w:cstheme="majorBidi"/>
                <w:lang w:eastAsia="en-GB"/>
              </w:rPr>
              <w:t xml:space="preserve">didn’t </w:t>
            </w:r>
            <w:r w:rsidRPr="00271231">
              <w:rPr>
                <w:rFonts w:asciiTheme="majorBidi" w:eastAsia="Times New Roman" w:hAnsiTheme="majorBidi" w:cstheme="majorBidi"/>
                <w:lang w:eastAsia="en-GB"/>
              </w:rPr>
              <w:t xml:space="preserve"> adhere to CSR </w:t>
            </w:r>
            <w:r>
              <w:rPr>
                <w:rFonts w:asciiTheme="majorBidi" w:eastAsia="Times New Roman" w:hAnsiTheme="majorBidi" w:cstheme="majorBidi"/>
                <w:lang w:eastAsia="en-GB"/>
              </w:rPr>
              <w:t>because of</w:t>
            </w:r>
            <w:r w:rsidRPr="00271231">
              <w:rPr>
                <w:rFonts w:asciiTheme="majorBidi" w:eastAsia="Times New Roman" w:hAnsiTheme="majorBidi" w:cstheme="majorBidi"/>
                <w:lang w:eastAsia="en-GB"/>
              </w:rPr>
              <w:t xml:space="preserve">  financial</w:t>
            </w:r>
            <w:r>
              <w:rPr>
                <w:rFonts w:asciiTheme="majorBidi" w:eastAsia="Times New Roman" w:hAnsiTheme="majorBidi" w:cstheme="majorBidi"/>
                <w:lang w:eastAsia="en-GB"/>
              </w:rPr>
              <w:t xml:space="preserve"> </w:t>
            </w:r>
            <w:r w:rsidRPr="00271231">
              <w:rPr>
                <w:rFonts w:asciiTheme="majorBidi" w:eastAsia="Times New Roman" w:hAnsiTheme="majorBidi" w:cstheme="majorBidi"/>
                <w:lang w:eastAsia="en-GB"/>
              </w:rPr>
              <w:t>obstacle</w:t>
            </w:r>
            <w:r>
              <w:rPr>
                <w:rFonts w:asciiTheme="majorBidi" w:eastAsia="Times New Roman" w:hAnsiTheme="majorBidi" w:cstheme="majorBidi"/>
                <w:lang w:eastAsia="en-GB"/>
              </w:rPr>
              <w:t>s</w:t>
            </w:r>
            <w:r w:rsidRPr="00271231">
              <w:rPr>
                <w:rFonts w:asciiTheme="majorBidi" w:eastAsia="Times New Roman" w:hAnsiTheme="majorBidi" w:cstheme="majorBidi"/>
                <w:lang w:eastAsia="en-GB"/>
              </w:rPr>
              <w:t xml:space="preserve">, </w:t>
            </w:r>
            <w:bookmarkEnd w:id="303"/>
            <w:r w:rsidRPr="00271231">
              <w:rPr>
                <w:rFonts w:asciiTheme="majorBidi" w:eastAsia="Times New Roman" w:hAnsiTheme="majorBidi" w:cstheme="majorBidi"/>
                <w:lang w:eastAsia="en-GB"/>
              </w:rPr>
              <w:t>majority showed interest in engaging in CSR.</w:t>
            </w:r>
            <w:r>
              <w:rPr>
                <w:rFonts w:asciiTheme="majorBidi" w:eastAsia="Times New Roman" w:hAnsiTheme="majorBidi" w:cstheme="majorBidi"/>
                <w:lang w:eastAsia="en-GB"/>
              </w:rPr>
              <w:t xml:space="preserve"> </w:t>
            </w:r>
            <w:r w:rsidRPr="00271231">
              <w:rPr>
                <w:rFonts w:asciiTheme="majorBidi" w:eastAsia="Times New Roman" w:hAnsiTheme="majorBidi" w:cstheme="majorBidi"/>
                <w:lang w:eastAsia="en-GB"/>
              </w:rPr>
              <w:t>CSR is a promising marketing strategy for ADFs.</w:t>
            </w:r>
          </w:p>
        </w:tc>
      </w:tr>
      <w:bookmarkStart w:id="304" w:name="_Hlk152770154"/>
      <w:tr w:rsidR="00882F28" w:rsidRPr="00271231" w14:paraId="1D945C5B" w14:textId="77777777" w:rsidTr="00257F65">
        <w:trPr>
          <w:trHeight w:val="97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627E645"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eastAsia="Times New Roman" w:hAnsiTheme="majorBidi" w:cstheme="majorBidi"/>
                  <w:lang w:eastAsia="en-GB"/>
                </w:rPr>
                <w:id w:val="1207600256"/>
                <w:citation/>
              </w:sdtPr>
              <w:sdtContent>
                <w:r w:rsidR="00882F28" w:rsidRPr="00271231">
                  <w:rPr>
                    <w:rFonts w:asciiTheme="majorBidi" w:eastAsia="Times New Roman" w:hAnsiTheme="majorBidi" w:cstheme="majorBidi"/>
                    <w:lang w:eastAsia="en-GB"/>
                  </w:rPr>
                  <w:fldChar w:fldCharType="begin"/>
                </w:r>
                <w:r w:rsidR="00882F28" w:rsidRPr="00271231">
                  <w:rPr>
                    <w:rFonts w:asciiTheme="majorBidi" w:eastAsia="Times New Roman" w:hAnsiTheme="majorBidi" w:cstheme="majorBidi"/>
                    <w:lang w:eastAsia="en-GB"/>
                  </w:rPr>
                  <w:instrText xml:space="preserve"> CITATION Abd223 \l 2057 </w:instrText>
                </w:r>
                <w:r w:rsidR="00882F28" w:rsidRPr="00271231">
                  <w:rPr>
                    <w:rFonts w:asciiTheme="majorBidi" w:eastAsia="Times New Roman" w:hAnsiTheme="majorBidi" w:cstheme="majorBidi"/>
                    <w:lang w:eastAsia="en-GB"/>
                  </w:rPr>
                  <w:fldChar w:fldCharType="separate"/>
                </w:r>
                <w:r w:rsidR="00882F28" w:rsidRPr="00271231">
                  <w:rPr>
                    <w:rFonts w:asciiTheme="majorBidi" w:eastAsia="Times New Roman" w:hAnsiTheme="majorBidi" w:cstheme="majorBidi"/>
                    <w:lang w:eastAsia="en-GB"/>
                  </w:rPr>
                  <w:t>(Abdelmoety, et al., 2022)</w:t>
                </w:r>
                <w:r w:rsidR="00882F28" w:rsidRPr="00271231">
                  <w:rPr>
                    <w:rFonts w:asciiTheme="majorBidi" w:eastAsia="Times New Roman" w:hAnsiTheme="majorBidi" w:cstheme="majorBidi"/>
                    <w:lang w:eastAsia="en-GB"/>
                  </w:rPr>
                  <w:fldChar w:fldCharType="end"/>
                </w:r>
              </w:sdtContent>
            </w:sdt>
            <w:bookmarkEnd w:id="304"/>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3B99A0A" w14:textId="77777777" w:rsidR="00882F28" w:rsidRPr="00271231" w:rsidRDefault="00882F28" w:rsidP="00257F65">
            <w:pPr>
              <w:rPr>
                <w:rFonts w:asciiTheme="majorBidi" w:eastAsia="Times New Roman" w:hAnsiTheme="majorBidi" w:cstheme="majorBidi"/>
                <w:lang w:eastAsia="en-GB"/>
              </w:rPr>
            </w:pPr>
            <w:r w:rsidRPr="00271231">
              <w:rPr>
                <w:rFonts w:asciiTheme="majorBidi" w:eastAsia="Times New Roman" w:hAnsiTheme="majorBidi" w:cstheme="majorBidi"/>
                <w:lang w:eastAsia="en-GB"/>
              </w:rPr>
              <w:t>Retailer CSR has a significant effect on customer citizenship behaviour.</w:t>
            </w:r>
          </w:p>
          <w:p w14:paraId="42575B95" w14:textId="77777777" w:rsidR="00882F28" w:rsidRPr="00271231" w:rsidRDefault="00882F28" w:rsidP="00257F65">
            <w:pPr>
              <w:rPr>
                <w:rFonts w:asciiTheme="majorBidi" w:eastAsia="Times New Roman" w:hAnsiTheme="majorBidi" w:cstheme="majorBidi"/>
                <w:lang w:eastAsia="en-GB"/>
              </w:rPr>
            </w:pPr>
            <w:r w:rsidRPr="00271231">
              <w:rPr>
                <w:rFonts w:asciiTheme="majorBidi" w:eastAsia="Times New Roman" w:hAnsiTheme="majorBidi" w:cstheme="majorBidi"/>
                <w:lang w:eastAsia="en-GB"/>
              </w:rPr>
              <w:t>Ethical standard has a significant effect on the retailers’ commitment to CSR.</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6136D3"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eastAsia="Times New Roman" w:hAnsiTheme="majorBidi" w:cstheme="majorBidi"/>
                <w:lang w:eastAsia="en-GB"/>
              </w:rPr>
              <w:t>Value relevance and ethical standards</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881125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7AAA988E" w14:textId="77777777" w:rsidR="00882F28" w:rsidRPr="00271231" w:rsidRDefault="00882F28" w:rsidP="00257F65">
            <w:pPr>
              <w:rPr>
                <w:rFonts w:asciiTheme="majorBidi" w:hAnsiTheme="majorBidi" w:cstheme="majorBidi"/>
              </w:rPr>
            </w:pPr>
            <w:r w:rsidRPr="00271231">
              <w:rPr>
                <w:rFonts w:asciiTheme="majorBidi" w:hAnsiTheme="majorBidi" w:cstheme="majorBidi"/>
              </w:rPr>
              <w:t>843 respondents from Egypt</w:t>
            </w:r>
          </w:p>
          <w:p w14:paraId="7DAB7BD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914 respondents from the U.K.</w:t>
            </w:r>
          </w:p>
        </w:tc>
        <w:tc>
          <w:tcPr>
            <w:tcW w:w="993" w:type="dxa"/>
            <w:tcBorders>
              <w:top w:val="single" w:sz="6" w:space="0" w:color="auto"/>
              <w:left w:val="single" w:sz="6" w:space="0" w:color="auto"/>
              <w:bottom w:val="single" w:sz="6" w:space="0" w:color="auto"/>
              <w:right w:val="single" w:sz="6" w:space="0" w:color="auto"/>
            </w:tcBorders>
          </w:tcPr>
          <w:p w14:paraId="36B9E10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 and U.K.</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13FBD817" w14:textId="77777777" w:rsidR="00882F28" w:rsidRPr="00271231" w:rsidRDefault="00882F28" w:rsidP="00257F65">
            <w:pPr>
              <w:rPr>
                <w:rFonts w:asciiTheme="majorBidi" w:eastAsia="Times New Roman" w:hAnsiTheme="majorBidi" w:cstheme="majorBidi"/>
                <w:lang w:eastAsia="en-GB"/>
              </w:rPr>
            </w:pPr>
            <w:r w:rsidRPr="00271231">
              <w:rPr>
                <w:rFonts w:asciiTheme="majorBidi" w:eastAsia="Times New Roman" w:hAnsiTheme="majorBidi" w:cstheme="majorBidi"/>
                <w:lang w:eastAsia="en-GB"/>
              </w:rPr>
              <w:t>Results showed that consumers' perceptions of CSR efforts may enhance consumer citizenship behaviour towards the company.</w:t>
            </w:r>
          </w:p>
          <w:p w14:paraId="3F9DA37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 xml:space="preserve">Value relevance has a great influence on CSR perception for Egyptian customers more than for UK consumers. </w:t>
            </w:r>
          </w:p>
        </w:tc>
      </w:tr>
      <w:bookmarkStart w:id="305" w:name="_Hlk152770211"/>
      <w:tr w:rsidR="00882F28" w:rsidRPr="00271231" w14:paraId="6A16C555" w14:textId="77777777" w:rsidTr="00257F65">
        <w:trPr>
          <w:trHeight w:val="97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5FA7BFE9"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2026432083"/>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Abd18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(Abdelmotaleb, et al., 2018)</w:t>
                </w:r>
                <w:r w:rsidR="00882F28" w:rsidRPr="00271231">
                  <w:rPr>
                    <w:rFonts w:asciiTheme="majorBidi" w:hAnsiTheme="majorBidi" w:cstheme="majorBidi"/>
                  </w:rPr>
                  <w:fldChar w:fldCharType="end"/>
                </w:r>
              </w:sdtContent>
            </w:sdt>
            <w:bookmarkEnd w:id="305"/>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417A37F8" w14:textId="77777777" w:rsidR="00882F28" w:rsidRPr="00271231" w:rsidRDefault="00882F28" w:rsidP="00257F65">
            <w:pPr>
              <w:rPr>
                <w:rFonts w:asciiTheme="majorBidi" w:hAnsiTheme="majorBidi" w:cstheme="majorBidi"/>
              </w:rPr>
            </w:pPr>
            <w:r w:rsidRPr="00271231">
              <w:rPr>
                <w:rFonts w:asciiTheme="majorBidi" w:hAnsiTheme="majorBidi" w:cstheme="majorBidi"/>
              </w:rPr>
              <w:t>Internal CSR perceptions are positively related to the development of PA CPE.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8C1F545"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 xml:space="preserve">Affective Events Theory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EB192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eastAsia="Times New Roman" w:hAnsiTheme="majorBidi" w:cstheme="majorBidi"/>
                <w:lang w:eastAsia="en-GB"/>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D31CDA2"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208 respondents</w:t>
            </w:r>
          </w:p>
        </w:tc>
        <w:tc>
          <w:tcPr>
            <w:tcW w:w="993" w:type="dxa"/>
            <w:tcBorders>
              <w:top w:val="single" w:sz="6" w:space="0" w:color="auto"/>
              <w:left w:val="single" w:sz="6" w:space="0" w:color="auto"/>
              <w:bottom w:val="single" w:sz="6" w:space="0" w:color="auto"/>
              <w:right w:val="single" w:sz="6" w:space="0" w:color="auto"/>
            </w:tcBorders>
          </w:tcPr>
          <w:p w14:paraId="3AAA841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3A9B123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CSR perceptions has a positive association on employee creative behaviours and higher level of employee engagement</w:t>
            </w:r>
          </w:p>
        </w:tc>
      </w:tr>
      <w:bookmarkStart w:id="306" w:name="_Hlk121666517"/>
      <w:tr w:rsidR="00882F28" w:rsidRPr="00271231" w14:paraId="0AD335AB" w14:textId="77777777" w:rsidTr="00257F65">
        <w:trPr>
          <w:trHeight w:val="97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69D49AA"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1556348131"/>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Bak22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(Bakry, 2022)</w:t>
                </w:r>
                <w:r w:rsidR="00882F28" w:rsidRPr="00271231">
                  <w:rPr>
                    <w:rFonts w:asciiTheme="majorBidi" w:hAnsiTheme="majorBidi" w:cstheme="majorBidi"/>
                  </w:rPr>
                  <w:fldChar w:fldCharType="end"/>
                </w:r>
              </w:sdtContent>
            </w:sdt>
            <w:bookmarkEnd w:id="306"/>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B1FB4EE" w14:textId="77777777" w:rsidR="00882F28" w:rsidRPr="00271231" w:rsidRDefault="00882F28" w:rsidP="00257F65">
            <w:pPr>
              <w:rPr>
                <w:rFonts w:asciiTheme="majorBidi" w:hAnsiTheme="majorBidi" w:cstheme="majorBidi"/>
              </w:rPr>
            </w:pPr>
            <w:r w:rsidRPr="00271231">
              <w:rPr>
                <w:rFonts w:asciiTheme="majorBidi" w:hAnsiTheme="majorBidi" w:cstheme="majorBidi"/>
              </w:rPr>
              <w:t>There is a positive relationship between intellectual efficiency and CSR engagement.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6CF4D0"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 xml:space="preserve">Resource-based View Theory </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F8AE0B"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Empirical Analysis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F39DE13"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267 Observations</w:t>
            </w:r>
          </w:p>
        </w:tc>
        <w:tc>
          <w:tcPr>
            <w:tcW w:w="993" w:type="dxa"/>
            <w:tcBorders>
              <w:top w:val="single" w:sz="6" w:space="0" w:color="auto"/>
              <w:left w:val="single" w:sz="6" w:space="0" w:color="auto"/>
              <w:bottom w:val="single" w:sz="6" w:space="0" w:color="auto"/>
              <w:right w:val="single" w:sz="6" w:space="0" w:color="auto"/>
            </w:tcBorders>
          </w:tcPr>
          <w:p w14:paraId="3A093EF7"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0FC16F3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 xml:space="preserve">Egyptian businesses that use intellectual capital have a greater propensity to practise CSR. </w:t>
            </w:r>
            <w:r>
              <w:rPr>
                <w:rFonts w:asciiTheme="majorBidi" w:hAnsiTheme="majorBidi" w:cstheme="majorBidi"/>
              </w:rPr>
              <w:t>H</w:t>
            </w:r>
            <w:r w:rsidRPr="00271231">
              <w:rPr>
                <w:rFonts w:asciiTheme="majorBidi" w:hAnsiTheme="majorBidi" w:cstheme="majorBidi"/>
              </w:rPr>
              <w:t>uman capital efficiency has a beneficial impact on CSR, but structural capital has a negative correlation with social initiatives.</w:t>
            </w:r>
          </w:p>
        </w:tc>
      </w:tr>
      <w:bookmarkStart w:id="307" w:name="_Hlk121667945"/>
      <w:tr w:rsidR="00882F28" w:rsidRPr="00271231" w14:paraId="5F885099" w14:textId="77777777" w:rsidTr="00257F65">
        <w:trPr>
          <w:trHeight w:val="694"/>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63BEA18F"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83822534"/>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Awa21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(Awawdeh, et al., 2021)</w:t>
                </w:r>
                <w:r w:rsidR="00882F28" w:rsidRPr="00271231">
                  <w:rPr>
                    <w:rFonts w:asciiTheme="majorBidi" w:hAnsiTheme="majorBidi" w:cstheme="majorBidi"/>
                  </w:rPr>
                  <w:fldChar w:fldCharType="end"/>
                </w:r>
              </w:sdtContent>
            </w:sdt>
            <w:bookmarkEnd w:id="307"/>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348CCE2"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Technology, economic, social, and environmental factors have a positive effect on sustainable practices by energy industries in Egypt.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AE8BD17" w14:textId="77777777" w:rsidR="00882F28" w:rsidRPr="00271231" w:rsidRDefault="00882F28" w:rsidP="00257F65">
            <w:pPr>
              <w:spacing w:line="240" w:lineRule="auto"/>
              <w:textAlignment w:val="baseline"/>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AADDAC"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F06B971"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175 Managers</w:t>
            </w:r>
          </w:p>
        </w:tc>
        <w:tc>
          <w:tcPr>
            <w:tcW w:w="993" w:type="dxa"/>
            <w:tcBorders>
              <w:top w:val="single" w:sz="6" w:space="0" w:color="auto"/>
              <w:left w:val="single" w:sz="6" w:space="0" w:color="auto"/>
              <w:bottom w:val="single" w:sz="6" w:space="0" w:color="auto"/>
              <w:right w:val="single" w:sz="6" w:space="0" w:color="auto"/>
            </w:tcBorders>
          </w:tcPr>
          <w:p w14:paraId="7005197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0EAEB5FC" w14:textId="77777777" w:rsidR="00882F28" w:rsidRPr="006A1455" w:rsidRDefault="00882F28" w:rsidP="00257F65">
            <w:pPr>
              <w:rPr>
                <w:rFonts w:asciiTheme="majorBidi" w:hAnsiTheme="majorBidi" w:cstheme="majorBidi"/>
              </w:rPr>
            </w:pPr>
            <w:r w:rsidRPr="00271231">
              <w:rPr>
                <w:rFonts w:asciiTheme="majorBidi" w:hAnsiTheme="majorBidi" w:cstheme="majorBidi"/>
              </w:rPr>
              <w:t>The value of CSR incentives for energy industry managers and businesses is substantially tied to their CSR actions but does not have an impact on their financial performance.</w:t>
            </w:r>
          </w:p>
        </w:tc>
      </w:tr>
      <w:tr w:rsidR="00882F28" w:rsidRPr="00271231" w14:paraId="39A451AB" w14:textId="77777777" w:rsidTr="00257F65">
        <w:trPr>
          <w:trHeight w:val="97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0B88E570"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1761907069"/>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Dia201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(Diab &amp; Metwally, 2020)</w:t>
                </w:r>
                <w:r w:rsidR="00882F28" w:rsidRPr="00271231">
                  <w:rPr>
                    <w:rFonts w:asciiTheme="majorBidi" w:hAnsiTheme="majorBidi" w:cstheme="majorBidi"/>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DD6A3BA" w14:textId="77777777" w:rsidR="00882F28" w:rsidRPr="00271231" w:rsidRDefault="00882F28" w:rsidP="00257F65">
            <w:pPr>
              <w:spacing w:line="240" w:lineRule="auto"/>
              <w:textAlignment w:val="baseline"/>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E53C639" w14:textId="77777777" w:rsidR="00882F28" w:rsidRPr="00271231" w:rsidRDefault="00882F28" w:rsidP="00257F65">
            <w:pPr>
              <w:spacing w:line="240" w:lineRule="auto"/>
              <w:textAlignment w:val="baseline"/>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E866A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interpretative qualitative data through interviews, observations and document analysis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4B5F3D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21 Interviews</w:t>
            </w:r>
          </w:p>
        </w:tc>
        <w:tc>
          <w:tcPr>
            <w:tcW w:w="993" w:type="dxa"/>
            <w:tcBorders>
              <w:top w:val="single" w:sz="6" w:space="0" w:color="auto"/>
              <w:left w:val="single" w:sz="6" w:space="0" w:color="auto"/>
              <w:bottom w:val="single" w:sz="6" w:space="0" w:color="auto"/>
              <w:right w:val="single" w:sz="6" w:space="0" w:color="auto"/>
            </w:tcBorders>
          </w:tcPr>
          <w:p w14:paraId="435993A5"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5E81EE6A" w14:textId="77777777" w:rsidR="00882F28" w:rsidRPr="00271231" w:rsidRDefault="00882F28" w:rsidP="00257F65">
            <w:pPr>
              <w:rPr>
                <w:rFonts w:asciiTheme="majorBidi" w:hAnsiTheme="majorBidi" w:cstheme="majorBidi"/>
              </w:rPr>
            </w:pPr>
            <w:r>
              <w:rPr>
                <w:rFonts w:asciiTheme="majorBidi" w:hAnsiTheme="majorBidi" w:cstheme="majorBidi"/>
              </w:rPr>
              <w:t>M</w:t>
            </w:r>
            <w:r w:rsidRPr="00271231">
              <w:rPr>
                <w:rFonts w:asciiTheme="majorBidi" w:hAnsiTheme="majorBidi" w:cstheme="majorBidi"/>
              </w:rPr>
              <w:t>anagement prioritie</w:t>
            </w:r>
            <w:r>
              <w:rPr>
                <w:rFonts w:asciiTheme="majorBidi" w:hAnsiTheme="majorBidi" w:cstheme="majorBidi"/>
              </w:rPr>
              <w:t>s</w:t>
            </w:r>
            <w:r w:rsidRPr="00271231">
              <w:rPr>
                <w:rFonts w:asciiTheme="majorBidi" w:hAnsiTheme="majorBidi" w:cstheme="majorBidi"/>
              </w:rPr>
              <w:t xml:space="preserve"> environmental reporting and cascades down these policies to lower management.</w:t>
            </w:r>
            <w:bookmarkStart w:id="308" w:name="_Hlk121686891"/>
            <w:r>
              <w:rPr>
                <w:rFonts w:asciiTheme="majorBidi" w:hAnsiTheme="majorBidi" w:cstheme="majorBidi"/>
              </w:rPr>
              <w:t xml:space="preserve"> </w:t>
            </w:r>
            <w:r w:rsidRPr="00271231">
              <w:rPr>
                <w:rFonts w:asciiTheme="majorBidi" w:hAnsiTheme="majorBidi" w:cstheme="majorBidi"/>
              </w:rPr>
              <w:t>CSER bring about challenges to the company, that if addressed, will bring benefits such as trust and positive corporate image.</w:t>
            </w:r>
            <w:bookmarkEnd w:id="308"/>
          </w:p>
        </w:tc>
      </w:tr>
      <w:bookmarkStart w:id="309" w:name="_Hlk123205985"/>
      <w:tr w:rsidR="00882F28" w:rsidRPr="00271231" w14:paraId="10D000CD" w14:textId="77777777" w:rsidTr="00257F65">
        <w:trPr>
          <w:trHeight w:val="97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6FDDDBF1"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2062438024"/>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ElB18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(El-Bassiouny &amp; Letmathe, 2018)</w:t>
                </w:r>
                <w:r w:rsidR="00882F28" w:rsidRPr="00271231">
                  <w:rPr>
                    <w:rFonts w:asciiTheme="majorBidi" w:hAnsiTheme="majorBidi" w:cstheme="majorBidi"/>
                  </w:rPr>
                  <w:fldChar w:fldCharType="end"/>
                </w:r>
              </w:sdtContent>
            </w:sdt>
            <w:bookmarkEnd w:id="309"/>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D4BB00D"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Legal regulations, stakeholder pressures, and corporate governance influence CSR practices of corporates in Egypt.</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BADB42B"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 xml:space="preserve">Neo-institutional theory </w:t>
            </w:r>
            <w:sdt>
              <w:sdtPr>
                <w:rPr>
                  <w:rFonts w:asciiTheme="majorBidi" w:hAnsiTheme="majorBidi" w:cstheme="majorBidi"/>
                </w:rPr>
                <w:id w:val="1598286746"/>
                <w:citation/>
              </w:sdtPr>
              <w:sdtContent>
                <w:r w:rsidRPr="00271231">
                  <w:rPr>
                    <w:rFonts w:asciiTheme="majorBidi" w:hAnsiTheme="majorBidi" w:cstheme="majorBidi"/>
                  </w:rPr>
                  <w:fldChar w:fldCharType="begin"/>
                </w:r>
                <w:r w:rsidRPr="00271231">
                  <w:rPr>
                    <w:rFonts w:asciiTheme="majorBidi" w:hAnsiTheme="majorBidi" w:cstheme="majorBidi"/>
                  </w:rPr>
                  <w:instrText xml:space="preserve"> CITATION DiM83 \l 2057 </w:instrText>
                </w:r>
                <w:r w:rsidRPr="00271231">
                  <w:rPr>
                    <w:rFonts w:asciiTheme="majorBidi" w:hAnsiTheme="majorBidi" w:cstheme="majorBidi"/>
                  </w:rPr>
                  <w:fldChar w:fldCharType="separate"/>
                </w:r>
                <w:r w:rsidRPr="00271231">
                  <w:rPr>
                    <w:rFonts w:asciiTheme="majorBidi" w:hAnsiTheme="majorBidi" w:cstheme="majorBidi"/>
                    <w:noProof/>
                  </w:rPr>
                  <w:t>(DiMaggio &amp; Powell, 1983)</w:t>
                </w:r>
                <w:r w:rsidRPr="00271231">
                  <w:rPr>
                    <w:rFonts w:asciiTheme="majorBidi" w:hAnsiTheme="majorBidi" w:cstheme="majorBidi"/>
                  </w:rPr>
                  <w:fldChar w:fldCharType="end"/>
                </w:r>
              </w:sdtContent>
            </w:sdt>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1E5C07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615962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110 Companies</w:t>
            </w:r>
          </w:p>
        </w:tc>
        <w:tc>
          <w:tcPr>
            <w:tcW w:w="993" w:type="dxa"/>
            <w:tcBorders>
              <w:top w:val="single" w:sz="6" w:space="0" w:color="auto"/>
              <w:left w:val="single" w:sz="6" w:space="0" w:color="auto"/>
              <w:bottom w:val="single" w:sz="6" w:space="0" w:color="auto"/>
              <w:right w:val="single" w:sz="6" w:space="0" w:color="auto"/>
            </w:tcBorders>
          </w:tcPr>
          <w:p w14:paraId="452F53B4"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43AAF6E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High influence from internal corporate governance on the implementation of CSR whereas external factors had low influence on the implementation of CSR in corporates.</w:t>
            </w:r>
          </w:p>
        </w:tc>
      </w:tr>
      <w:tr w:rsidR="00882F28" w:rsidRPr="00271231" w14:paraId="79C05080" w14:textId="77777777" w:rsidTr="00257F65">
        <w:trPr>
          <w:trHeight w:val="97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16BB6103"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530004889"/>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ElB181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(El-Bassiouny &amp; El-Bassiouny, 2018)</w:t>
                </w:r>
                <w:r w:rsidR="00882F28" w:rsidRPr="00271231">
                  <w:rPr>
                    <w:rFonts w:asciiTheme="majorBidi" w:hAnsiTheme="majorBidi" w:cstheme="majorBidi"/>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2D856DD5" w14:textId="77777777" w:rsidR="00882F28" w:rsidRPr="00271231" w:rsidRDefault="00882F28" w:rsidP="00257F65">
            <w:pPr>
              <w:rPr>
                <w:rFonts w:asciiTheme="majorBidi" w:hAnsiTheme="majorBidi" w:cstheme="majorBidi"/>
              </w:rPr>
            </w:pPr>
            <w:r w:rsidRPr="00271231">
              <w:rPr>
                <w:rFonts w:asciiTheme="majorBidi" w:hAnsiTheme="majorBidi" w:cstheme="majorBidi"/>
              </w:rPr>
              <w:t>Can corporate governance promote CSR reporting practices of firms in developing countries?</w:t>
            </w:r>
          </w:p>
          <w:p w14:paraId="72D351A1"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Do organizational variables significantly influences CSR reporting?</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FEF71BE"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institutional theory</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FEB615D"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Content Analysis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402F05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88 companies</w:t>
            </w:r>
          </w:p>
        </w:tc>
        <w:tc>
          <w:tcPr>
            <w:tcW w:w="993" w:type="dxa"/>
            <w:tcBorders>
              <w:top w:val="single" w:sz="6" w:space="0" w:color="auto"/>
              <w:left w:val="single" w:sz="6" w:space="0" w:color="auto"/>
              <w:bottom w:val="single" w:sz="6" w:space="0" w:color="auto"/>
              <w:right w:val="single" w:sz="6" w:space="0" w:color="auto"/>
            </w:tcBorders>
          </w:tcPr>
          <w:p w14:paraId="0FCC403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 Germany, USA</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29C806F9"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diversity, board independence, and governance structure are significantly influential on the level of CSR reporting in Egyptian companies more than foreign countries.</w:t>
            </w:r>
          </w:p>
        </w:tc>
      </w:tr>
      <w:bookmarkStart w:id="310" w:name="_Hlk123237532"/>
      <w:tr w:rsidR="00882F28" w:rsidRPr="00271231" w14:paraId="23E50C2F" w14:textId="77777777" w:rsidTr="00257F65">
        <w:trPr>
          <w:trHeight w:val="2316"/>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61DD3ABB"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1366671692"/>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ElB19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(El-Bassiouny &amp; Letmathe , 2019)</w:t>
                </w:r>
                <w:r w:rsidR="00882F28" w:rsidRPr="00271231">
                  <w:rPr>
                    <w:rFonts w:asciiTheme="majorBidi" w:hAnsiTheme="majorBidi" w:cstheme="majorBidi"/>
                  </w:rPr>
                  <w:fldChar w:fldCharType="end"/>
                </w:r>
              </w:sdtContent>
            </w:sdt>
            <w:bookmarkEnd w:id="310"/>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7F22F810" w14:textId="77777777" w:rsidR="00882F28" w:rsidRPr="00271231" w:rsidRDefault="00882F28" w:rsidP="00257F65">
            <w:pPr>
              <w:rPr>
                <w:rFonts w:asciiTheme="majorBidi" w:hAnsiTheme="majorBidi" w:cstheme="majorBidi"/>
              </w:rPr>
            </w:pPr>
            <w:r w:rsidRPr="00271231">
              <w:rPr>
                <w:rFonts w:asciiTheme="majorBidi" w:hAnsiTheme="majorBidi" w:cstheme="majorBidi"/>
              </w:rPr>
              <w:t>What are the direct and indirect effects of political uncertainty and instability on CSR in Egypt?</w:t>
            </w:r>
          </w:p>
          <w:p w14:paraId="7B937FBC" w14:textId="77777777" w:rsidR="00882F28" w:rsidRPr="00271231" w:rsidRDefault="00882F28" w:rsidP="00257F65">
            <w:pPr>
              <w:spacing w:line="240" w:lineRule="auto"/>
              <w:textAlignment w:val="baseline"/>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984E4C"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Institutional theory</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200B551"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038B9FF"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99 Firms</w:t>
            </w:r>
          </w:p>
        </w:tc>
        <w:tc>
          <w:tcPr>
            <w:tcW w:w="993" w:type="dxa"/>
            <w:tcBorders>
              <w:top w:val="single" w:sz="6" w:space="0" w:color="auto"/>
              <w:left w:val="single" w:sz="6" w:space="0" w:color="auto"/>
              <w:bottom w:val="single" w:sz="6" w:space="0" w:color="auto"/>
              <w:right w:val="single" w:sz="6" w:space="0" w:color="auto"/>
            </w:tcBorders>
          </w:tcPr>
          <w:p w14:paraId="0B442FC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51E8907F" w14:textId="77777777" w:rsidR="00882F28" w:rsidRPr="00271231" w:rsidRDefault="00882F28" w:rsidP="00257F65">
            <w:pPr>
              <w:rPr>
                <w:rFonts w:asciiTheme="majorBidi" w:hAnsiTheme="majorBidi" w:cstheme="majorBidi"/>
              </w:rPr>
            </w:pPr>
            <w:r w:rsidRPr="00271231">
              <w:rPr>
                <w:rFonts w:asciiTheme="majorBidi" w:hAnsiTheme="majorBidi" w:cstheme="majorBidi"/>
              </w:rPr>
              <w:t>Political instability has a positive impact on Egyptian companies' CSR initiatives.</w:t>
            </w:r>
          </w:p>
          <w:p w14:paraId="61FC375E" w14:textId="77777777" w:rsidR="00882F28" w:rsidRPr="00271231" w:rsidRDefault="00882F28" w:rsidP="00257F65">
            <w:pPr>
              <w:rPr>
                <w:rFonts w:asciiTheme="majorBidi" w:hAnsiTheme="majorBidi" w:cstheme="majorBidi"/>
              </w:rPr>
            </w:pPr>
            <w:r w:rsidRPr="00271231">
              <w:rPr>
                <w:rFonts w:asciiTheme="majorBidi" w:hAnsiTheme="majorBidi" w:cstheme="majorBidi"/>
              </w:rPr>
              <w:t>Also, financial performance and stock market instability have a strong positive impact on Egyptian companies' CSR initiatives.</w:t>
            </w:r>
          </w:p>
        </w:tc>
      </w:tr>
      <w:bookmarkStart w:id="311" w:name="_Hlk123249599"/>
      <w:tr w:rsidR="00882F28" w:rsidRPr="00271231" w14:paraId="17A8D954" w14:textId="77777777" w:rsidTr="00257F65">
        <w:trPr>
          <w:trHeight w:val="2566"/>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2511244B"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942965084"/>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CITATION ElB182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(El-Bassiouny, et al., 2018)</w:t>
                </w:r>
                <w:r w:rsidR="00882F28" w:rsidRPr="00271231">
                  <w:rPr>
                    <w:rFonts w:asciiTheme="majorBidi" w:hAnsiTheme="majorBidi" w:cstheme="majorBidi"/>
                  </w:rPr>
                  <w:fldChar w:fldCharType="end"/>
                </w:r>
              </w:sdtContent>
            </w:sdt>
            <w:bookmarkEnd w:id="311"/>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1DAA1416" w14:textId="77777777" w:rsidR="00882F28" w:rsidRPr="00271231" w:rsidRDefault="00882F28" w:rsidP="00257F65">
            <w:pPr>
              <w:spacing w:line="240" w:lineRule="auto"/>
              <w:textAlignment w:val="baseline"/>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0D1445F" w14:textId="77777777" w:rsidR="00882F28" w:rsidRPr="00271231" w:rsidRDefault="00882F28" w:rsidP="00257F65">
            <w:pPr>
              <w:rPr>
                <w:rFonts w:asciiTheme="majorBidi" w:hAnsiTheme="majorBidi" w:cstheme="majorBidi"/>
              </w:rPr>
            </w:pPr>
            <w:r w:rsidRPr="00271231">
              <w:rPr>
                <w:rFonts w:asciiTheme="majorBidi" w:hAnsiTheme="majorBidi" w:cstheme="majorBidi"/>
              </w:rPr>
              <w:t xml:space="preserve">Stakeholder-information strategy </w:t>
            </w:r>
            <w:sdt>
              <w:sdtPr>
                <w:rPr>
                  <w:rFonts w:asciiTheme="majorBidi" w:hAnsiTheme="majorBidi" w:cstheme="majorBidi"/>
                </w:rPr>
                <w:id w:val="410203853"/>
                <w:citation/>
              </w:sdtPr>
              <w:sdtContent>
                <w:r w:rsidRPr="00271231">
                  <w:rPr>
                    <w:rFonts w:asciiTheme="majorBidi" w:hAnsiTheme="majorBidi" w:cstheme="majorBidi"/>
                  </w:rPr>
                  <w:fldChar w:fldCharType="begin"/>
                </w:r>
                <w:r w:rsidRPr="00271231">
                  <w:rPr>
                    <w:rFonts w:asciiTheme="majorBidi" w:hAnsiTheme="majorBidi" w:cstheme="majorBidi"/>
                  </w:rPr>
                  <w:instrText xml:space="preserve"> CITATION Mor08 \l 2057 </w:instrText>
                </w:r>
                <w:r w:rsidRPr="00271231">
                  <w:rPr>
                    <w:rFonts w:asciiTheme="majorBidi" w:hAnsiTheme="majorBidi" w:cstheme="majorBidi"/>
                  </w:rPr>
                  <w:fldChar w:fldCharType="separate"/>
                </w:r>
                <w:r w:rsidRPr="00271231">
                  <w:rPr>
                    <w:rFonts w:asciiTheme="majorBidi" w:hAnsiTheme="majorBidi" w:cstheme="majorBidi"/>
                    <w:noProof/>
                  </w:rPr>
                  <w:t>(Morsing, et al., 2008)</w:t>
                </w:r>
                <w:r w:rsidRPr="00271231">
                  <w:rPr>
                    <w:rFonts w:asciiTheme="majorBidi" w:hAnsiTheme="majorBidi" w:cstheme="majorBidi"/>
                  </w:rPr>
                  <w:fldChar w:fldCharType="end"/>
                </w:r>
              </w:sdtContent>
            </w:sdt>
          </w:p>
          <w:p w14:paraId="1738A2B7" w14:textId="77777777" w:rsidR="00882F28" w:rsidRPr="00271231" w:rsidRDefault="00882F28" w:rsidP="00257F65">
            <w:pPr>
              <w:rPr>
                <w:rFonts w:asciiTheme="majorBidi" w:hAnsiTheme="majorBidi" w:cstheme="majorBidi"/>
              </w:rPr>
            </w:pPr>
            <w:r w:rsidRPr="00271231">
              <w:rPr>
                <w:rFonts w:asciiTheme="majorBidi" w:hAnsiTheme="majorBidi" w:cstheme="majorBidi"/>
              </w:rPr>
              <w:t>Stakeholder-response strategy</w:t>
            </w:r>
          </w:p>
          <w:p w14:paraId="72C714C7"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Stakeholder</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750F6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Content Analysis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7DBC41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10 Companies</w:t>
            </w:r>
          </w:p>
        </w:tc>
        <w:tc>
          <w:tcPr>
            <w:tcW w:w="993" w:type="dxa"/>
            <w:tcBorders>
              <w:top w:val="single" w:sz="6" w:space="0" w:color="auto"/>
              <w:left w:val="single" w:sz="6" w:space="0" w:color="auto"/>
              <w:bottom w:val="single" w:sz="6" w:space="0" w:color="auto"/>
              <w:right w:val="single" w:sz="6" w:space="0" w:color="auto"/>
            </w:tcBorders>
          </w:tcPr>
          <w:p w14:paraId="24FEADF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596520D1" w14:textId="77777777" w:rsidR="00882F28" w:rsidRPr="00271231" w:rsidRDefault="00882F28" w:rsidP="00257F65">
            <w:pPr>
              <w:rPr>
                <w:rFonts w:asciiTheme="majorBidi" w:hAnsiTheme="majorBidi" w:cstheme="majorBidi"/>
              </w:rPr>
            </w:pPr>
            <w:r w:rsidRPr="00271231">
              <w:rPr>
                <w:rFonts w:asciiTheme="majorBidi" w:hAnsiTheme="majorBidi" w:cstheme="majorBidi"/>
              </w:rPr>
              <w:t>The Findings revealed that all the CSR communication theories were practiced by top firms in Egypt but, stakeholder information strategy was the most common.</w:t>
            </w:r>
            <w:bookmarkStart w:id="312" w:name="_Hlk123250427"/>
            <w:r w:rsidRPr="00271231">
              <w:rPr>
                <w:rFonts w:asciiTheme="majorBidi" w:hAnsiTheme="majorBidi" w:cstheme="majorBidi"/>
              </w:rPr>
              <w:t xml:space="preserve"> Results showed that two-way communication with stakeholders improves credibility</w:t>
            </w:r>
            <w:bookmarkEnd w:id="312"/>
          </w:p>
        </w:tc>
      </w:tr>
      <w:bookmarkStart w:id="313" w:name="_Hlk123311081"/>
      <w:tr w:rsidR="00882F28" w:rsidRPr="00271231" w14:paraId="0759C56F" w14:textId="77777777" w:rsidTr="00257F65">
        <w:trPr>
          <w:trHeight w:val="978"/>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43A63878" w14:textId="77777777" w:rsidR="00882F28" w:rsidRPr="00271231" w:rsidRDefault="00000000" w:rsidP="00257F65">
            <w:pPr>
              <w:spacing w:line="240" w:lineRule="auto"/>
              <w:textAlignment w:val="baseline"/>
              <w:rPr>
                <w:rFonts w:asciiTheme="majorBidi" w:eastAsia="Times New Roman" w:hAnsiTheme="majorBidi" w:cstheme="majorBidi"/>
                <w:lang w:eastAsia="en-GB"/>
              </w:rPr>
            </w:pPr>
            <w:sdt>
              <w:sdtPr>
                <w:rPr>
                  <w:rFonts w:asciiTheme="majorBidi" w:hAnsiTheme="majorBidi" w:cstheme="majorBidi"/>
                </w:rPr>
                <w:id w:val="-598565081"/>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Ibr22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(Ibrahim &amp; Kimbu, 2022)</w:t>
                </w:r>
                <w:r w:rsidR="00882F28" w:rsidRPr="00271231">
                  <w:rPr>
                    <w:rFonts w:asciiTheme="majorBidi" w:hAnsiTheme="majorBidi" w:cstheme="majorBidi"/>
                  </w:rPr>
                  <w:fldChar w:fldCharType="end"/>
                </w:r>
              </w:sdtContent>
            </w:sdt>
            <w:bookmarkEnd w:id="313"/>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AD11BF9" w14:textId="77777777" w:rsidR="00882F28" w:rsidRPr="00271231" w:rsidRDefault="00882F28" w:rsidP="00257F65">
            <w:pPr>
              <w:rPr>
                <w:rFonts w:asciiTheme="majorBidi" w:hAnsiTheme="majorBidi" w:cstheme="majorBidi"/>
              </w:rPr>
            </w:pPr>
            <w:r w:rsidRPr="00271231">
              <w:rPr>
                <w:rFonts w:asciiTheme="majorBidi" w:hAnsiTheme="majorBidi" w:cstheme="majorBidi"/>
              </w:rPr>
              <w:t>Institutional pressures positively influence managerial interpretation, stakeholder salience and discretionary slack. External CSR is negatively influenced by managerial interpretation.</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32B0B22"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Institutional theory</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56CB80"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Quantitative data through questioners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DC9D786"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442 Managers</w:t>
            </w:r>
          </w:p>
        </w:tc>
        <w:tc>
          <w:tcPr>
            <w:tcW w:w="993" w:type="dxa"/>
            <w:tcBorders>
              <w:top w:val="single" w:sz="6" w:space="0" w:color="auto"/>
              <w:left w:val="single" w:sz="6" w:space="0" w:color="auto"/>
              <w:bottom w:val="single" w:sz="6" w:space="0" w:color="auto"/>
              <w:right w:val="single" w:sz="6" w:space="0" w:color="auto"/>
            </w:tcBorders>
          </w:tcPr>
          <w:p w14:paraId="335E0A58"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r w:rsidRPr="00271231">
              <w:rPr>
                <w:rFonts w:asciiTheme="majorBidi" w:hAnsiTheme="majorBidi" w:cstheme="majorBidi"/>
              </w:rPr>
              <w:t>Egypt and UK</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39BFA391" w14:textId="77777777" w:rsidR="00882F28" w:rsidRPr="00271231" w:rsidRDefault="00882F28" w:rsidP="00257F65">
            <w:pPr>
              <w:rPr>
                <w:rFonts w:asciiTheme="majorBidi" w:hAnsiTheme="majorBidi" w:cstheme="majorBidi"/>
              </w:rPr>
            </w:pPr>
            <w:bookmarkStart w:id="314" w:name="_Hlk123311106"/>
            <w:r w:rsidRPr="00271231">
              <w:rPr>
                <w:rFonts w:asciiTheme="majorBidi" w:hAnsiTheme="majorBidi" w:cstheme="majorBidi"/>
              </w:rPr>
              <w:t>Findings revealed a significant effect of institutional pressures on external CSR activities in Egypt; but it was insignificant in the UK. Also, British managers perceived CSR to be threatening to their firms whereas, Egyptian managers perceived them as opportunities.</w:t>
            </w:r>
          </w:p>
          <w:bookmarkEnd w:id="314"/>
          <w:p w14:paraId="07F2C41A" w14:textId="77777777" w:rsidR="00882F28" w:rsidRPr="00271231" w:rsidRDefault="00882F28" w:rsidP="00257F65">
            <w:pPr>
              <w:spacing w:line="240" w:lineRule="auto"/>
              <w:textAlignment w:val="baseline"/>
              <w:rPr>
                <w:rFonts w:asciiTheme="majorBidi" w:eastAsia="Times New Roman" w:hAnsiTheme="majorBidi" w:cstheme="majorBidi"/>
                <w:lang w:eastAsia="en-GB"/>
              </w:rPr>
            </w:pPr>
          </w:p>
        </w:tc>
      </w:tr>
      <w:tr w:rsidR="00882F28" w:rsidRPr="00271231" w14:paraId="202E0111" w14:textId="77777777" w:rsidTr="00257F65">
        <w:trPr>
          <w:trHeight w:val="553"/>
        </w:trPr>
        <w:tc>
          <w:tcPr>
            <w:tcW w:w="1127" w:type="dxa"/>
            <w:tcBorders>
              <w:top w:val="single" w:sz="6" w:space="0" w:color="auto"/>
              <w:left w:val="single" w:sz="6" w:space="0" w:color="auto"/>
              <w:bottom w:val="single" w:sz="6" w:space="0" w:color="auto"/>
              <w:right w:val="single" w:sz="6" w:space="0" w:color="auto"/>
            </w:tcBorders>
            <w:shd w:val="clear" w:color="auto" w:fill="auto"/>
          </w:tcPr>
          <w:p w14:paraId="19F7D857" w14:textId="77777777" w:rsidR="00882F28" w:rsidRPr="00271231" w:rsidRDefault="00000000" w:rsidP="00257F65">
            <w:pPr>
              <w:spacing w:line="240" w:lineRule="auto"/>
              <w:textAlignment w:val="baseline"/>
              <w:rPr>
                <w:rFonts w:asciiTheme="majorBidi" w:hAnsiTheme="majorBidi" w:cstheme="majorBidi"/>
              </w:rPr>
            </w:pPr>
            <w:sdt>
              <w:sdtPr>
                <w:rPr>
                  <w:rFonts w:asciiTheme="majorBidi" w:hAnsiTheme="majorBidi" w:cstheme="majorBidi"/>
                </w:rPr>
                <w:id w:val="-326818378"/>
                <w:citation/>
              </w:sdtPr>
              <w:sdtContent>
                <w:r w:rsidR="00882F28" w:rsidRPr="00271231">
                  <w:rPr>
                    <w:rFonts w:asciiTheme="majorBidi" w:hAnsiTheme="majorBidi" w:cstheme="majorBidi"/>
                  </w:rPr>
                  <w:fldChar w:fldCharType="begin"/>
                </w:r>
                <w:r w:rsidR="00882F28" w:rsidRPr="00271231">
                  <w:rPr>
                    <w:rFonts w:asciiTheme="majorBidi" w:hAnsiTheme="majorBidi" w:cstheme="majorBidi"/>
                  </w:rPr>
                  <w:instrText xml:space="preserve"> CITATION Kha21 \l 2057 </w:instrText>
                </w:r>
                <w:r w:rsidR="00882F28" w:rsidRPr="00271231">
                  <w:rPr>
                    <w:rFonts w:asciiTheme="majorBidi" w:hAnsiTheme="majorBidi" w:cstheme="majorBidi"/>
                  </w:rPr>
                  <w:fldChar w:fldCharType="separate"/>
                </w:r>
                <w:r w:rsidR="00882F28" w:rsidRPr="00271231">
                  <w:rPr>
                    <w:rFonts w:asciiTheme="majorBidi" w:hAnsiTheme="majorBidi" w:cstheme="majorBidi"/>
                    <w:noProof/>
                  </w:rPr>
                  <w:t>(Khalil , et al., 2021)</w:t>
                </w:r>
                <w:r w:rsidR="00882F28" w:rsidRPr="00271231">
                  <w:rPr>
                    <w:rFonts w:asciiTheme="majorBidi" w:hAnsiTheme="majorBidi" w:cstheme="majorBidi"/>
                  </w:rPr>
                  <w:fldChar w:fldCharType="end"/>
                </w:r>
              </w:sdtContent>
            </w:sdt>
          </w:p>
        </w:tc>
        <w:tc>
          <w:tcPr>
            <w:tcW w:w="2126" w:type="dxa"/>
            <w:tcBorders>
              <w:top w:val="single" w:sz="6" w:space="0" w:color="auto"/>
              <w:left w:val="single" w:sz="6" w:space="0" w:color="auto"/>
              <w:bottom w:val="single" w:sz="6" w:space="0" w:color="auto"/>
              <w:right w:val="single" w:sz="6" w:space="0" w:color="auto"/>
            </w:tcBorders>
            <w:shd w:val="clear" w:color="auto" w:fill="auto"/>
          </w:tcPr>
          <w:p w14:paraId="5433511A" w14:textId="77777777" w:rsidR="00882F28" w:rsidRPr="00271231" w:rsidRDefault="00882F28" w:rsidP="00257F65">
            <w:pPr>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BB47EF" w14:textId="77777777" w:rsidR="00882F28" w:rsidRPr="00271231" w:rsidRDefault="00882F28" w:rsidP="00257F65">
            <w:pPr>
              <w:spacing w:line="240" w:lineRule="auto"/>
              <w:textAlignment w:val="baseline"/>
              <w:rPr>
                <w:rFonts w:asciiTheme="majorBidi" w:hAnsiTheme="majorBidi" w:cstheme="majorBidi"/>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C36E78"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color w:val="222222"/>
                <w:shd w:val="clear" w:color="auto" w:fill="FFFFFF"/>
              </w:rPr>
              <w:t>Qualitative data through in-depth semi-structured interviews</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A71D8D9"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 xml:space="preserve">15 participants </w:t>
            </w:r>
          </w:p>
        </w:tc>
        <w:tc>
          <w:tcPr>
            <w:tcW w:w="993" w:type="dxa"/>
            <w:tcBorders>
              <w:top w:val="single" w:sz="6" w:space="0" w:color="auto"/>
              <w:left w:val="single" w:sz="6" w:space="0" w:color="auto"/>
              <w:bottom w:val="single" w:sz="6" w:space="0" w:color="auto"/>
              <w:right w:val="single" w:sz="6" w:space="0" w:color="auto"/>
            </w:tcBorders>
          </w:tcPr>
          <w:p w14:paraId="4C98BBD9" w14:textId="77777777" w:rsidR="00882F28" w:rsidRPr="00271231" w:rsidRDefault="00882F28" w:rsidP="00257F65">
            <w:pPr>
              <w:spacing w:line="240" w:lineRule="auto"/>
              <w:textAlignment w:val="baseline"/>
              <w:rPr>
                <w:rFonts w:asciiTheme="majorBidi" w:hAnsiTheme="majorBidi" w:cstheme="majorBidi"/>
              </w:rPr>
            </w:pPr>
            <w:r w:rsidRPr="00271231">
              <w:rPr>
                <w:rFonts w:asciiTheme="majorBidi" w:hAnsiTheme="majorBidi" w:cstheme="majorBidi"/>
              </w:rPr>
              <w:t xml:space="preserve">Egypt </w:t>
            </w:r>
          </w:p>
        </w:tc>
        <w:tc>
          <w:tcPr>
            <w:tcW w:w="2984" w:type="dxa"/>
            <w:tcBorders>
              <w:top w:val="single" w:sz="6" w:space="0" w:color="auto"/>
              <w:left w:val="single" w:sz="6" w:space="0" w:color="auto"/>
              <w:bottom w:val="single" w:sz="6" w:space="0" w:color="auto"/>
              <w:right w:val="single" w:sz="6" w:space="0" w:color="auto"/>
            </w:tcBorders>
            <w:shd w:val="clear" w:color="auto" w:fill="auto"/>
          </w:tcPr>
          <w:p w14:paraId="1A6B4475" w14:textId="77777777" w:rsidR="00882F28" w:rsidRPr="00271231" w:rsidRDefault="00882F28" w:rsidP="00257F65">
            <w:pPr>
              <w:rPr>
                <w:rFonts w:asciiTheme="majorBidi" w:hAnsiTheme="majorBidi" w:cstheme="majorBidi"/>
                <w:color w:val="222222"/>
                <w:shd w:val="clear" w:color="auto" w:fill="FFFFFF"/>
              </w:rPr>
            </w:pPr>
            <w:r w:rsidRPr="00271231">
              <w:rPr>
                <w:rFonts w:asciiTheme="majorBidi" w:hAnsiTheme="majorBidi" w:cstheme="majorBidi"/>
                <w:color w:val="222222"/>
                <w:shd w:val="clear" w:color="auto" w:fill="FFFFFF"/>
              </w:rPr>
              <w:t xml:space="preserve">Results </w:t>
            </w:r>
            <w:bookmarkStart w:id="315" w:name="_Hlk123314901"/>
            <w:r w:rsidRPr="00271231">
              <w:rPr>
                <w:rFonts w:asciiTheme="majorBidi" w:hAnsiTheme="majorBidi" w:cstheme="majorBidi"/>
                <w:color w:val="222222"/>
                <w:shd w:val="clear" w:color="auto" w:fill="FFFFFF"/>
              </w:rPr>
              <w:t xml:space="preserve">indicate that, among Gen Z in Egypt, high awareness of sustainable consumption is not directly related to sustainable consumption due to poor education. </w:t>
            </w:r>
            <w:bookmarkEnd w:id="315"/>
            <w:r w:rsidRPr="00271231">
              <w:rPr>
                <w:rFonts w:asciiTheme="majorBidi" w:hAnsiTheme="majorBidi" w:cstheme="majorBidi"/>
              </w:rPr>
              <w:t>Findings show that in Egypt, there is little government support for sustainable consumption.</w:t>
            </w:r>
          </w:p>
        </w:tc>
      </w:tr>
      <w:bookmarkEnd w:id="267"/>
    </w:tbl>
    <w:p w14:paraId="1FEBA45F" w14:textId="77777777" w:rsidR="00882F28" w:rsidRPr="00E71B8A" w:rsidRDefault="00882F28" w:rsidP="00882F28">
      <w:pPr>
        <w:rPr>
          <w:rFonts w:asciiTheme="majorBidi" w:hAnsiTheme="majorBidi" w:cstheme="majorBidi"/>
          <w:color w:val="535353"/>
          <w:sz w:val="24"/>
          <w:szCs w:val="24"/>
        </w:rPr>
      </w:pPr>
    </w:p>
    <w:p w14:paraId="58B56F54" w14:textId="77777777" w:rsidR="00F97916" w:rsidRPr="00E71B8A" w:rsidRDefault="00F97916" w:rsidP="00882F28">
      <w:pPr>
        <w:rPr>
          <w:rFonts w:asciiTheme="majorBidi" w:hAnsiTheme="majorBidi" w:cstheme="majorBidi"/>
          <w:sz w:val="24"/>
          <w:szCs w:val="24"/>
        </w:rPr>
      </w:pPr>
    </w:p>
    <w:p w14:paraId="29DAA22A" w14:textId="77777777" w:rsidR="00982AB1" w:rsidRDefault="00982AB1">
      <w:pPr>
        <w:rPr>
          <w:rFonts w:asciiTheme="majorBidi" w:eastAsiaTheme="minorEastAsia" w:hAnsiTheme="majorBidi" w:cstheme="majorBidi"/>
          <w:b/>
          <w:color w:val="000000"/>
          <w:kern w:val="0"/>
          <w:sz w:val="24"/>
          <w:szCs w:val="24"/>
          <w:lang w:val="en-US"/>
        </w:rPr>
      </w:pPr>
      <w:r>
        <w:rPr>
          <w:rFonts w:asciiTheme="majorBidi" w:hAnsiTheme="majorBidi" w:cstheme="majorBidi"/>
          <w:sz w:val="24"/>
          <w:szCs w:val="24"/>
        </w:rPr>
        <w:br w:type="page"/>
      </w:r>
    </w:p>
    <w:p w14:paraId="736A232F" w14:textId="5EB6E777" w:rsidR="00882F28" w:rsidRDefault="00882F28" w:rsidP="00882F28">
      <w:pPr>
        <w:pStyle w:val="H2"/>
        <w:jc w:val="center"/>
        <w:rPr>
          <w:rFonts w:asciiTheme="majorBidi" w:hAnsiTheme="majorBidi" w:cstheme="majorBidi"/>
          <w:sz w:val="24"/>
          <w:szCs w:val="24"/>
        </w:rPr>
      </w:pPr>
      <w:r w:rsidRPr="00E71B8A">
        <w:rPr>
          <w:rFonts w:asciiTheme="majorBidi" w:hAnsiTheme="majorBidi" w:cstheme="majorBidi"/>
          <w:sz w:val="24"/>
          <w:szCs w:val="24"/>
        </w:rPr>
        <w:t>Appendix B</w:t>
      </w:r>
    </w:p>
    <w:p w14:paraId="49D4A6A1" w14:textId="77777777" w:rsidR="00882F28" w:rsidRPr="004B5F09" w:rsidRDefault="00882F28" w:rsidP="00882F28">
      <w:pPr>
        <w:jc w:val="center"/>
      </w:pPr>
      <w:r>
        <w:t>Questionnaire</w:t>
      </w:r>
    </w:p>
    <w:p w14:paraId="7E093F55" w14:textId="77777777" w:rsidR="00882F28"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 xml:space="preserve">Q1 </w:t>
      </w:r>
      <w:r w:rsidRPr="00E71B8A">
        <w:rPr>
          <w:rFonts w:asciiTheme="majorBidi" w:hAnsiTheme="majorBidi" w:cstheme="majorBidi"/>
          <w:sz w:val="24"/>
          <w:szCs w:val="24"/>
        </w:rPr>
        <w:br/>
        <w:t xml:space="preserve">London South Bank University  </w:t>
      </w:r>
      <w:r w:rsidRPr="00E71B8A">
        <w:rPr>
          <w:rFonts w:asciiTheme="majorBidi" w:hAnsiTheme="majorBidi" w:cstheme="majorBidi"/>
          <w:sz w:val="24"/>
          <w:szCs w:val="24"/>
        </w:rPr>
        <w:br/>
        <w:t>  </w:t>
      </w:r>
      <w:r w:rsidRPr="00E71B8A">
        <w:rPr>
          <w:rFonts w:asciiTheme="majorBidi" w:hAnsiTheme="majorBidi" w:cstheme="majorBidi"/>
          <w:sz w:val="24"/>
          <w:szCs w:val="24"/>
        </w:rPr>
        <w:br/>
        <w:t xml:space="preserve"> You are invited to take part in a research study conducted by Nashwa Nader, a student at London South Bank University. The purpose of this research is to identify the best type of social responsibility campaigns that can be launched by big companies that will highly benefit people and societies in Egypt.   </w:t>
      </w:r>
      <w:r w:rsidRPr="00E71B8A">
        <w:rPr>
          <w:rFonts w:asciiTheme="majorBidi" w:hAnsiTheme="majorBidi" w:cstheme="majorBidi"/>
          <w:sz w:val="24"/>
          <w:szCs w:val="24"/>
        </w:rPr>
        <w:br/>
        <w:t xml:space="preserve">   </w:t>
      </w:r>
      <w:r w:rsidRPr="00E71B8A">
        <w:rPr>
          <w:rFonts w:asciiTheme="majorBidi" w:hAnsiTheme="majorBidi" w:cstheme="majorBidi"/>
          <w:sz w:val="24"/>
          <w:szCs w:val="24"/>
        </w:rPr>
        <w:br/>
        <w:t xml:space="preserve">I am looking for your honest and personal input on what you think is the best project that can add value to Egyptian society and the people around you. The survey will take less than 5 minutes. All answers are valid; hence, there is no one right answer.   </w:t>
      </w:r>
      <w:r w:rsidRPr="00E71B8A">
        <w:rPr>
          <w:rFonts w:asciiTheme="majorBidi" w:hAnsiTheme="majorBidi" w:cstheme="majorBidi"/>
          <w:sz w:val="24"/>
          <w:szCs w:val="24"/>
        </w:rPr>
        <w:br/>
        <w:t xml:space="preserve">Participation in this survey is entirely voluntary and you can withdraw at any time. There are no potential risks from your participation as you won’t provide any information that may reveal your identity. All answers are anonymous. Your answers will be anonymous and the information collected from the research will be accessed only by the research investigators.   </w:t>
      </w:r>
      <w:r w:rsidRPr="00E71B8A">
        <w:rPr>
          <w:rFonts w:asciiTheme="majorBidi" w:hAnsiTheme="majorBidi" w:cstheme="majorBidi"/>
          <w:sz w:val="24"/>
          <w:szCs w:val="24"/>
        </w:rPr>
        <w:br/>
        <w:t xml:space="preserve"> If you would like to find out more about the research or if you have any questions, please feel free to contact the researcher. Whether you are willing to participate or not, I thank you for your attention and time to read this.   </w:t>
      </w:r>
    </w:p>
    <w:p w14:paraId="43CF9FB5"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 xml:space="preserve">Researcher contact details: Nashwa Nader – London South Bank University – Email: sadekn2@lsbu.ac.uk  </w:t>
      </w:r>
      <w:r w:rsidRPr="00E71B8A">
        <w:rPr>
          <w:rFonts w:asciiTheme="majorBidi" w:hAnsiTheme="majorBidi" w:cstheme="majorBidi"/>
          <w:sz w:val="24"/>
          <w:szCs w:val="24"/>
        </w:rPr>
        <w:br/>
        <w:t xml:space="preserve"> </w:t>
      </w:r>
      <w:r w:rsidRPr="00E71B8A">
        <w:rPr>
          <w:rFonts w:asciiTheme="majorBidi" w:hAnsiTheme="majorBidi" w:cstheme="majorBidi"/>
          <w:sz w:val="24"/>
          <w:szCs w:val="24"/>
        </w:rPr>
        <w:br/>
        <w:t xml:space="preserve">Are you willing to participate in this study.   </w:t>
      </w:r>
    </w:p>
    <w:p w14:paraId="0F2EB81A"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Yes  (1) </w:t>
      </w:r>
    </w:p>
    <w:p w14:paraId="0E596CA7"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No  (2) </w:t>
      </w:r>
    </w:p>
    <w:p w14:paraId="17AA06C8" w14:textId="77777777" w:rsidR="00882F28" w:rsidRPr="00E71B8A" w:rsidRDefault="00882F28" w:rsidP="00882F28">
      <w:pPr>
        <w:rPr>
          <w:rFonts w:asciiTheme="majorBidi" w:hAnsiTheme="majorBidi" w:cstheme="majorBidi"/>
          <w:sz w:val="24"/>
          <w:szCs w:val="24"/>
        </w:rPr>
      </w:pPr>
    </w:p>
    <w:p w14:paraId="70D2DE66"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Q2 I confirm that I have read and understood the brief information explained about the study and I can ask questions.</w:t>
      </w:r>
    </w:p>
    <w:p w14:paraId="64AAF4A6"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Yes  (1) </w:t>
      </w:r>
    </w:p>
    <w:p w14:paraId="0D787F6A"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No  (2) </w:t>
      </w:r>
    </w:p>
    <w:p w14:paraId="62BCC9B1" w14:textId="77777777" w:rsidR="00882F28" w:rsidRPr="00E71B8A" w:rsidRDefault="00882F28" w:rsidP="00882F28">
      <w:pPr>
        <w:rPr>
          <w:rFonts w:asciiTheme="majorBidi" w:hAnsiTheme="majorBidi" w:cstheme="majorBidi"/>
          <w:sz w:val="24"/>
          <w:szCs w:val="24"/>
        </w:rPr>
      </w:pPr>
    </w:p>
    <w:p w14:paraId="7F927060" w14:textId="77777777" w:rsidR="00882F28" w:rsidRPr="00E71B8A" w:rsidRDefault="00882F28" w:rsidP="00882F28">
      <w:pPr>
        <w:rPr>
          <w:rFonts w:asciiTheme="majorBidi" w:hAnsiTheme="majorBidi" w:cstheme="majorBidi"/>
          <w:sz w:val="24"/>
          <w:szCs w:val="24"/>
        </w:rPr>
      </w:pPr>
      <w:r w:rsidRPr="00E71B8A">
        <w:rPr>
          <w:rFonts w:asciiTheme="majorBidi" w:hAnsiTheme="majorBidi" w:cstheme="majorBidi"/>
          <w:sz w:val="24"/>
          <w:szCs w:val="24"/>
        </w:rPr>
        <w:t>Q3 I understand that my participation is voluntary and that I am free to withdraw at any time, without providing a reason.</w:t>
      </w:r>
    </w:p>
    <w:p w14:paraId="2FEE145A"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Yes  (1) </w:t>
      </w:r>
    </w:p>
    <w:p w14:paraId="5B8F95BD"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No  (2) </w:t>
      </w:r>
    </w:p>
    <w:p w14:paraId="2E7053B8" w14:textId="77777777" w:rsidR="00882F28" w:rsidRPr="00E71B8A" w:rsidRDefault="00882F28" w:rsidP="00882F28">
      <w:pPr>
        <w:rPr>
          <w:rFonts w:asciiTheme="majorBidi" w:hAnsiTheme="majorBidi" w:cstheme="majorBidi"/>
          <w:sz w:val="24"/>
          <w:szCs w:val="24"/>
        </w:rPr>
      </w:pPr>
    </w:p>
    <w:p w14:paraId="26488E71"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Q4 I agree for the data I provide to be stored (after it has been anonymised) in a specialist data centre and I understand it may be used for future research.</w:t>
      </w:r>
    </w:p>
    <w:p w14:paraId="488D3B4C"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Yes  (1) </w:t>
      </w:r>
    </w:p>
    <w:p w14:paraId="6D28BFED"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No  (2) </w:t>
      </w:r>
    </w:p>
    <w:p w14:paraId="4F57E7D3" w14:textId="77777777" w:rsidR="00882F28" w:rsidRPr="00E71B8A" w:rsidRDefault="00882F28" w:rsidP="00882F28">
      <w:pPr>
        <w:rPr>
          <w:rFonts w:asciiTheme="majorBidi" w:hAnsiTheme="majorBidi" w:cstheme="majorBidi"/>
          <w:sz w:val="24"/>
          <w:szCs w:val="24"/>
        </w:rPr>
      </w:pPr>
    </w:p>
    <w:p w14:paraId="7A6565E3" w14:textId="77777777" w:rsidR="00882F28" w:rsidRPr="00E71B8A" w:rsidRDefault="00882F28" w:rsidP="00882F28">
      <w:pPr>
        <w:rPr>
          <w:rFonts w:asciiTheme="majorBidi" w:hAnsiTheme="majorBidi" w:cstheme="majorBidi"/>
          <w:sz w:val="24"/>
          <w:szCs w:val="24"/>
        </w:rPr>
      </w:pPr>
      <w:r w:rsidRPr="00E71B8A">
        <w:rPr>
          <w:rFonts w:asciiTheme="majorBidi" w:hAnsiTheme="majorBidi" w:cstheme="majorBidi"/>
          <w:sz w:val="24"/>
          <w:szCs w:val="24"/>
        </w:rPr>
        <w:t>Qَ5 I understand that my data/words may be quoted in publications, reports, posters, web pages, and other research outputs.</w:t>
      </w:r>
    </w:p>
    <w:p w14:paraId="1F02A64F"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Yes  (1) </w:t>
      </w:r>
    </w:p>
    <w:p w14:paraId="43B2ED74"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No  (2)</w:t>
      </w:r>
    </w:p>
    <w:p w14:paraId="424C634B" w14:textId="77777777" w:rsidR="00882F28" w:rsidRPr="00E71B8A" w:rsidRDefault="00882F28" w:rsidP="00882F28">
      <w:pPr>
        <w:keepNext/>
        <w:spacing w:before="120" w:line="240" w:lineRule="auto"/>
        <w:rPr>
          <w:rFonts w:asciiTheme="majorBidi" w:hAnsiTheme="majorBidi" w:cstheme="majorBidi"/>
          <w:sz w:val="24"/>
          <w:szCs w:val="24"/>
        </w:rPr>
      </w:pPr>
    </w:p>
    <w:p w14:paraId="0789FA28"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Q6 Do you live in Egypt? </w:t>
      </w:r>
    </w:p>
    <w:p w14:paraId="534E9610"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Yes  (1) </w:t>
      </w:r>
    </w:p>
    <w:p w14:paraId="08DFD33C" w14:textId="77777777" w:rsidR="00882F28"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No  (2) </w:t>
      </w:r>
    </w:p>
    <w:p w14:paraId="0DB75C19" w14:textId="77777777" w:rsidR="00882F28" w:rsidRPr="00E71B8A" w:rsidRDefault="00882F28" w:rsidP="00882F28">
      <w:pPr>
        <w:pStyle w:val="ListParagraph"/>
        <w:keepNext/>
        <w:spacing w:before="120"/>
        <w:rPr>
          <w:rFonts w:asciiTheme="majorBidi" w:hAnsiTheme="majorBidi" w:cstheme="majorBidi"/>
          <w:sz w:val="24"/>
          <w:szCs w:val="24"/>
        </w:rPr>
      </w:pPr>
    </w:p>
    <w:p w14:paraId="4E54E081"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Q7 Are you the decision-maker or one of the decision-makers in your house? </w:t>
      </w:r>
    </w:p>
    <w:p w14:paraId="2935A243"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Yes  (1) </w:t>
      </w:r>
    </w:p>
    <w:p w14:paraId="099E9F50"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No  (2) </w:t>
      </w:r>
    </w:p>
    <w:p w14:paraId="255271AB" w14:textId="77777777" w:rsidR="00882F28" w:rsidRPr="00E71B8A" w:rsidRDefault="00882F28" w:rsidP="00882F28">
      <w:pPr>
        <w:keepNext/>
        <w:rPr>
          <w:rFonts w:asciiTheme="majorBidi" w:hAnsiTheme="majorBidi" w:cstheme="majorBidi"/>
          <w:sz w:val="24"/>
          <w:szCs w:val="24"/>
        </w:rPr>
      </w:pPr>
    </w:p>
    <w:p w14:paraId="66DF6A09"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Q8 What is your gender? </w:t>
      </w:r>
    </w:p>
    <w:p w14:paraId="23F3CEF6"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Male  (1) </w:t>
      </w:r>
    </w:p>
    <w:p w14:paraId="5B57783A"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Female  (2) </w:t>
      </w:r>
    </w:p>
    <w:p w14:paraId="45AC2023"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Other  (3) ________________________________________________</w:t>
      </w:r>
    </w:p>
    <w:p w14:paraId="7759BB19"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Q9 To which age group from the below do you belong to?</w:t>
      </w:r>
    </w:p>
    <w:p w14:paraId="486BACDC"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Under 18  (1) </w:t>
      </w:r>
    </w:p>
    <w:p w14:paraId="65D35AA6"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18 - 25  (2) </w:t>
      </w:r>
    </w:p>
    <w:p w14:paraId="78496D44"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26 - 35  (3) </w:t>
      </w:r>
    </w:p>
    <w:p w14:paraId="33F1B72D"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36 - 45  (4) </w:t>
      </w:r>
    </w:p>
    <w:p w14:paraId="5B0CFB5C"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46 - 55  (5) </w:t>
      </w:r>
    </w:p>
    <w:p w14:paraId="1C13D33D" w14:textId="77777777" w:rsidR="00882F28" w:rsidRPr="00E71B8A" w:rsidRDefault="00882F28">
      <w:pPr>
        <w:pStyle w:val="ListParagraph"/>
        <w:keepNext/>
        <w:numPr>
          <w:ilvl w:val="0"/>
          <w:numId w:val="32"/>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above 55  (6) </w:t>
      </w:r>
    </w:p>
    <w:p w14:paraId="3F9B8455" w14:textId="77777777" w:rsidR="00882F28" w:rsidRPr="00E71B8A" w:rsidRDefault="00882F28" w:rsidP="00882F28">
      <w:pPr>
        <w:rPr>
          <w:rFonts w:asciiTheme="majorBidi" w:hAnsiTheme="majorBidi" w:cstheme="majorBidi"/>
          <w:sz w:val="24"/>
          <w:szCs w:val="24"/>
        </w:rPr>
      </w:pPr>
    </w:p>
    <w:p w14:paraId="4C307B0F" w14:textId="77777777" w:rsidR="00882F28" w:rsidRPr="00E71B8A" w:rsidRDefault="00882F28" w:rsidP="00882F28">
      <w:pPr>
        <w:keepNext/>
        <w:spacing w:line="240" w:lineRule="auto"/>
        <w:rPr>
          <w:rFonts w:asciiTheme="majorBidi" w:hAnsiTheme="majorBidi" w:cstheme="majorBidi"/>
          <w:sz w:val="24"/>
          <w:szCs w:val="24"/>
        </w:rPr>
      </w:pPr>
      <w:r w:rsidRPr="00E71B8A">
        <w:rPr>
          <w:rFonts w:asciiTheme="majorBidi" w:hAnsiTheme="majorBidi" w:cstheme="majorBidi"/>
          <w:sz w:val="24"/>
          <w:szCs w:val="24"/>
        </w:rPr>
        <w:t>Q10 What is your level of education? </w:t>
      </w:r>
    </w:p>
    <w:p w14:paraId="7AEDC18B" w14:textId="77777777" w:rsidR="00882F28" w:rsidRPr="00E71B8A" w:rsidRDefault="00882F28">
      <w:pPr>
        <w:pStyle w:val="ListParagraph"/>
        <w:keepNext/>
        <w:numPr>
          <w:ilvl w:val="0"/>
          <w:numId w:val="31"/>
        </w:numPr>
        <w:spacing w:before="120" w:after="0" w:line="240"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Did not receive school education  (1) </w:t>
      </w:r>
    </w:p>
    <w:p w14:paraId="0E26DC33" w14:textId="77777777" w:rsidR="00882F28" w:rsidRPr="00E71B8A" w:rsidRDefault="00882F28">
      <w:pPr>
        <w:pStyle w:val="ListParagraph"/>
        <w:keepNext/>
        <w:numPr>
          <w:ilvl w:val="0"/>
          <w:numId w:val="31"/>
        </w:numPr>
        <w:spacing w:before="120" w:after="0" w:line="240"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Attended School  (2) </w:t>
      </w:r>
    </w:p>
    <w:p w14:paraId="03DA36D2" w14:textId="77777777" w:rsidR="00882F28" w:rsidRPr="00E71B8A" w:rsidRDefault="00882F28">
      <w:pPr>
        <w:pStyle w:val="ListParagraph"/>
        <w:keepNext/>
        <w:numPr>
          <w:ilvl w:val="0"/>
          <w:numId w:val="31"/>
        </w:numPr>
        <w:spacing w:before="120" w:after="0" w:line="240"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High School  (3) </w:t>
      </w:r>
    </w:p>
    <w:p w14:paraId="6575C2CB" w14:textId="77777777" w:rsidR="00882F28" w:rsidRPr="00E71B8A" w:rsidRDefault="00882F28">
      <w:pPr>
        <w:pStyle w:val="ListParagraph"/>
        <w:keepNext/>
        <w:numPr>
          <w:ilvl w:val="0"/>
          <w:numId w:val="31"/>
        </w:numPr>
        <w:spacing w:before="120" w:after="0" w:line="240"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Bachelor's Degree  (4) </w:t>
      </w:r>
    </w:p>
    <w:p w14:paraId="71BEE1E6" w14:textId="77777777" w:rsidR="00882F28" w:rsidRPr="00E71B8A" w:rsidRDefault="00882F28">
      <w:pPr>
        <w:pStyle w:val="ListParagraph"/>
        <w:keepNext/>
        <w:numPr>
          <w:ilvl w:val="0"/>
          <w:numId w:val="31"/>
        </w:numPr>
        <w:spacing w:before="120" w:after="0" w:line="240"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Post graduate Degree  (5) </w:t>
      </w:r>
    </w:p>
    <w:p w14:paraId="42ED33EF" w14:textId="77777777" w:rsidR="00882F28" w:rsidRPr="00E71B8A" w:rsidRDefault="00882F28" w:rsidP="00882F28">
      <w:pPr>
        <w:keepNext/>
        <w:rPr>
          <w:rFonts w:asciiTheme="majorBidi" w:hAnsiTheme="majorBidi" w:cstheme="majorBidi"/>
          <w:sz w:val="24"/>
          <w:szCs w:val="24"/>
        </w:rPr>
      </w:pPr>
    </w:p>
    <w:p w14:paraId="20EE2993"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Q11  If a big consumers goods company that makes products (like Pepsi, Oreo, Persil, Dettol, etc), would make a big social campaign in Egypt, in which field do you think the society in Egypt needs it the most? </w:t>
      </w:r>
    </w:p>
    <w:p w14:paraId="6BBDA665"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Environment  (1) </w:t>
      </w:r>
    </w:p>
    <w:p w14:paraId="65A56128"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Renovation and construction for poor areas  (2) </w:t>
      </w:r>
    </w:p>
    <w:p w14:paraId="148D2E19"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Health and Wellness  (3) </w:t>
      </w:r>
    </w:p>
    <w:p w14:paraId="072E4483"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Children education  (4) </w:t>
      </w:r>
    </w:p>
    <w:p w14:paraId="1506F763"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Other  (5) ________________________________________________</w:t>
      </w:r>
    </w:p>
    <w:p w14:paraId="474D415E" w14:textId="77777777" w:rsidR="00882F28" w:rsidRPr="00E71B8A" w:rsidRDefault="00882F28" w:rsidP="00882F28">
      <w:pPr>
        <w:rPr>
          <w:rFonts w:asciiTheme="majorBidi" w:hAnsiTheme="majorBidi" w:cstheme="majorBidi"/>
          <w:sz w:val="24"/>
          <w:szCs w:val="24"/>
        </w:rPr>
      </w:pPr>
    </w:p>
    <w:p w14:paraId="79D19A06" w14:textId="77777777" w:rsidR="00882F28" w:rsidRPr="00E71B8A" w:rsidRDefault="00882F28" w:rsidP="00882F28">
      <w:pPr>
        <w:rPr>
          <w:rFonts w:asciiTheme="majorBidi" w:hAnsiTheme="majorBidi" w:cstheme="majorBidi"/>
          <w:sz w:val="24"/>
          <w:szCs w:val="24"/>
        </w:rPr>
      </w:pPr>
      <w:r w:rsidRPr="00E71B8A">
        <w:rPr>
          <w:rFonts w:asciiTheme="majorBidi" w:hAnsiTheme="majorBidi" w:cstheme="majorBidi"/>
          <w:sz w:val="24"/>
          <w:szCs w:val="24"/>
        </w:rPr>
        <w:t>Q12 From your point of view, can you rank them in order of importance to society in Egypt? (You can rank the choices by doing a long- click on each choice and dragging it to the position in which top is being most important)</w:t>
      </w:r>
    </w:p>
    <w:p w14:paraId="790EC113"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Health and Wellness (1)</w:t>
      </w:r>
    </w:p>
    <w:p w14:paraId="4612017E"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Residential construction for poor areas (2)</w:t>
      </w:r>
    </w:p>
    <w:p w14:paraId="3BD027E6"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Children Education (3)</w:t>
      </w:r>
    </w:p>
    <w:p w14:paraId="3B977653"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Environment (4)</w:t>
      </w:r>
    </w:p>
    <w:p w14:paraId="3CA32AD7"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Other (5)</w:t>
      </w:r>
    </w:p>
    <w:p w14:paraId="5AAF4808" w14:textId="77777777" w:rsidR="00882F28" w:rsidRPr="00E71B8A" w:rsidRDefault="00882F28" w:rsidP="00882F28">
      <w:pPr>
        <w:rPr>
          <w:rFonts w:asciiTheme="majorBidi" w:hAnsiTheme="majorBidi" w:cstheme="majorBidi"/>
          <w:sz w:val="24"/>
          <w:szCs w:val="24"/>
        </w:rPr>
      </w:pPr>
    </w:p>
    <w:p w14:paraId="116B3127" w14:textId="77777777" w:rsidR="00882F28" w:rsidRPr="00E71B8A" w:rsidRDefault="00882F28" w:rsidP="00882F28">
      <w:pPr>
        <w:rPr>
          <w:rFonts w:asciiTheme="majorBidi" w:hAnsiTheme="majorBidi" w:cstheme="majorBidi"/>
          <w:sz w:val="24"/>
          <w:szCs w:val="24"/>
        </w:rPr>
      </w:pPr>
      <w:r w:rsidRPr="00E71B8A">
        <w:rPr>
          <w:rFonts w:asciiTheme="majorBidi" w:hAnsiTheme="majorBidi" w:cstheme="majorBidi"/>
          <w:sz w:val="24"/>
          <w:szCs w:val="24"/>
        </w:rPr>
        <w:t xml:space="preserve">Q13 If you would like such a company to make a big social campaign in Egypt in the </w:t>
      </w:r>
      <w:r w:rsidRPr="00E71B8A">
        <w:rPr>
          <w:rFonts w:asciiTheme="majorBidi" w:hAnsiTheme="majorBidi" w:cstheme="majorBidi"/>
          <w:b/>
          <w:sz w:val="24"/>
          <w:szCs w:val="24"/>
        </w:rPr>
        <w:t xml:space="preserve">Health </w:t>
      </w:r>
      <w:r w:rsidRPr="00E71B8A">
        <w:rPr>
          <w:rFonts w:asciiTheme="majorBidi" w:hAnsiTheme="majorBidi" w:cstheme="majorBidi"/>
          <w:sz w:val="24"/>
          <w:szCs w:val="24"/>
        </w:rPr>
        <w:t>field, in which field do you think the society in Egypt needs it the most?</w:t>
      </w:r>
    </w:p>
    <w:p w14:paraId="58495B44"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Donate health products to less privileged people  (1) </w:t>
      </w:r>
    </w:p>
    <w:p w14:paraId="113F1F17"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Build quarantine hospitals for free Covid-treatment for the poor  (2) </w:t>
      </w:r>
    </w:p>
    <w:p w14:paraId="3D987199"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Attend to women health issues  (3) </w:t>
      </w:r>
    </w:p>
    <w:p w14:paraId="1C4AD5EC"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Awareness campaigns on safety measures during the pandemic  (4) </w:t>
      </w:r>
    </w:p>
    <w:p w14:paraId="7DFD8251"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 xml:space="preserve">Build General hospitals in underdeveloped areas  (5) </w:t>
      </w:r>
    </w:p>
    <w:p w14:paraId="017D577D" w14:textId="77777777" w:rsidR="00882F28" w:rsidRPr="00E71B8A"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E71B8A">
        <w:rPr>
          <w:rFonts w:asciiTheme="majorBidi" w:hAnsiTheme="majorBidi" w:cstheme="majorBidi"/>
          <w:sz w:val="24"/>
          <w:szCs w:val="24"/>
        </w:rPr>
        <w:t>Other  (6) ________________________________________________</w:t>
      </w:r>
    </w:p>
    <w:p w14:paraId="409205D7" w14:textId="77777777" w:rsidR="00882F28" w:rsidRPr="00E71B8A" w:rsidRDefault="00882F28" w:rsidP="00882F28">
      <w:pPr>
        <w:rPr>
          <w:rFonts w:asciiTheme="majorBidi" w:hAnsiTheme="majorBidi" w:cstheme="majorBidi"/>
          <w:sz w:val="24"/>
          <w:szCs w:val="24"/>
        </w:rPr>
      </w:pPr>
    </w:p>
    <w:p w14:paraId="3CF6E21F" w14:textId="77777777" w:rsidR="00882F28" w:rsidRPr="00E71B8A" w:rsidRDefault="00882F28" w:rsidP="00882F28">
      <w:pPr>
        <w:rPr>
          <w:rFonts w:asciiTheme="majorBidi" w:hAnsiTheme="majorBidi" w:cstheme="majorBidi"/>
          <w:sz w:val="24"/>
          <w:szCs w:val="24"/>
        </w:rPr>
      </w:pPr>
    </w:p>
    <w:p w14:paraId="664D9C78"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Q14 From your point of view, can you rank them in order of importance to society in Egypt? (You can rank the choices by doing a long- click on each choice and dragging it to the position in which top is being most important)</w:t>
      </w:r>
    </w:p>
    <w:p w14:paraId="4A78A64C"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Donate health products to less privileged people (1)</w:t>
      </w:r>
    </w:p>
    <w:p w14:paraId="1190915F"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Build quarantine hospitals for free Covid-treatment for the poor (2)</w:t>
      </w:r>
    </w:p>
    <w:p w14:paraId="7225A23B"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Attend to women health issues (3)</w:t>
      </w:r>
    </w:p>
    <w:p w14:paraId="28CD9E88"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Awareness campaigns on safety measures during the pandemic (4)</w:t>
      </w:r>
    </w:p>
    <w:p w14:paraId="73478CDD" w14:textId="77777777" w:rsidR="00882F28" w:rsidRPr="00E71B8A" w:rsidRDefault="00882F28" w:rsidP="00882F28">
      <w:pPr>
        <w:pStyle w:val="ListParagraph"/>
        <w:keepNext/>
        <w:ind w:left="0"/>
        <w:rPr>
          <w:rFonts w:asciiTheme="majorBidi" w:hAnsiTheme="majorBidi" w:cstheme="majorBidi"/>
          <w:sz w:val="24"/>
          <w:szCs w:val="24"/>
        </w:rPr>
      </w:pPr>
      <w:r w:rsidRPr="00E71B8A">
        <w:rPr>
          <w:rFonts w:asciiTheme="majorBidi" w:hAnsiTheme="majorBidi" w:cstheme="majorBidi"/>
          <w:sz w:val="24"/>
          <w:szCs w:val="24"/>
        </w:rPr>
        <w:t>______ Build General hospitals in underdeveloped areas (5)</w:t>
      </w:r>
    </w:p>
    <w:p w14:paraId="1AF3E2BD" w14:textId="77777777" w:rsidR="00882F28" w:rsidRPr="00E71B8A" w:rsidRDefault="00882F28" w:rsidP="00882F28">
      <w:pPr>
        <w:rPr>
          <w:rFonts w:asciiTheme="majorBidi" w:hAnsiTheme="majorBidi" w:cstheme="majorBidi"/>
          <w:sz w:val="24"/>
          <w:szCs w:val="24"/>
        </w:rPr>
      </w:pPr>
    </w:p>
    <w:p w14:paraId="194E283B"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Q15 Can you suggest any type of a big social campaign that can really benefit society in Egypt? </w:t>
      </w:r>
    </w:p>
    <w:p w14:paraId="666A226B" w14:textId="77777777" w:rsidR="00882F28" w:rsidRPr="00E71B8A" w:rsidRDefault="00882F28" w:rsidP="00882F28">
      <w:pPr>
        <w:rPr>
          <w:rFonts w:asciiTheme="majorBidi" w:hAnsiTheme="majorBidi" w:cstheme="majorBidi"/>
          <w:sz w:val="24"/>
          <w:szCs w:val="24"/>
        </w:rPr>
      </w:pPr>
    </w:p>
    <w:p w14:paraId="10B74B8D" w14:textId="77777777" w:rsidR="00882F28" w:rsidRDefault="00882F28" w:rsidP="00882F28"/>
    <w:p w14:paraId="62DA0A2E" w14:textId="77777777" w:rsidR="00882F28" w:rsidRDefault="00882F28" w:rsidP="00882F28"/>
    <w:p w14:paraId="61C57C1F" w14:textId="77777777" w:rsidR="00882F28" w:rsidRDefault="00882F28" w:rsidP="00882F28"/>
    <w:p w14:paraId="7037A34D" w14:textId="77777777" w:rsidR="00882F28" w:rsidRDefault="00882F28" w:rsidP="00882F28"/>
    <w:p w14:paraId="2180AC59" w14:textId="77777777" w:rsidR="00882F28" w:rsidRDefault="00882F28" w:rsidP="00882F28"/>
    <w:p w14:paraId="6060910C" w14:textId="77777777" w:rsidR="00882F28" w:rsidRDefault="00882F28" w:rsidP="00882F28"/>
    <w:p w14:paraId="73A95478" w14:textId="77777777" w:rsidR="00882F28" w:rsidRDefault="00882F28" w:rsidP="00882F28"/>
    <w:p w14:paraId="421A7B00" w14:textId="77777777" w:rsidR="00882F28" w:rsidRDefault="00882F28" w:rsidP="00882F28"/>
    <w:p w14:paraId="0CED8F23" w14:textId="77777777" w:rsidR="00882F28" w:rsidRDefault="00882F28" w:rsidP="00882F28"/>
    <w:p w14:paraId="1098E6EB" w14:textId="77777777" w:rsidR="00882F28" w:rsidRDefault="00882F28" w:rsidP="00882F28"/>
    <w:p w14:paraId="54DF777F" w14:textId="77777777" w:rsidR="00882F28" w:rsidRDefault="00882F28" w:rsidP="00882F28"/>
    <w:p w14:paraId="1BF830D6" w14:textId="77777777" w:rsidR="00882F28" w:rsidRDefault="00882F28" w:rsidP="00882F28"/>
    <w:p w14:paraId="1B763239" w14:textId="77777777" w:rsidR="00882F28" w:rsidRDefault="00882F28" w:rsidP="00882F28"/>
    <w:p w14:paraId="20717C31" w14:textId="77777777" w:rsidR="00882F28" w:rsidRDefault="00882F28" w:rsidP="00882F28"/>
    <w:p w14:paraId="3CB62237" w14:textId="77777777" w:rsidR="00882F28" w:rsidRDefault="00882F28" w:rsidP="00882F28"/>
    <w:p w14:paraId="324B7D96" w14:textId="77777777" w:rsidR="00882F28" w:rsidRDefault="00882F28" w:rsidP="00882F28"/>
    <w:p w14:paraId="3B4B607E" w14:textId="77777777" w:rsidR="00882F28" w:rsidRDefault="00882F28" w:rsidP="00882F28"/>
    <w:p w14:paraId="3E8D4A27" w14:textId="77777777" w:rsidR="00F97916" w:rsidRDefault="00F97916" w:rsidP="00882F28"/>
    <w:p w14:paraId="55C19B50" w14:textId="77777777" w:rsidR="00882F28" w:rsidRDefault="00882F28" w:rsidP="00882F28"/>
    <w:p w14:paraId="7F702839" w14:textId="77777777" w:rsidR="00882F28" w:rsidRDefault="00882F28" w:rsidP="00882F28"/>
    <w:p w14:paraId="69597B32" w14:textId="77777777" w:rsidR="00982AB1" w:rsidRDefault="00982AB1">
      <w:pPr>
        <w:rPr>
          <w:rFonts w:asciiTheme="majorBidi" w:eastAsiaTheme="minorEastAsia" w:hAnsiTheme="majorBidi" w:cstheme="majorBidi"/>
          <w:b/>
          <w:color w:val="000000"/>
          <w:kern w:val="0"/>
          <w:sz w:val="24"/>
          <w:szCs w:val="24"/>
          <w:lang w:val="en-US"/>
        </w:rPr>
      </w:pPr>
      <w:r>
        <w:rPr>
          <w:rFonts w:asciiTheme="majorBidi" w:hAnsiTheme="majorBidi" w:cstheme="majorBidi"/>
          <w:sz w:val="24"/>
          <w:szCs w:val="24"/>
        </w:rPr>
        <w:br w:type="page"/>
      </w:r>
    </w:p>
    <w:p w14:paraId="55BDACEE" w14:textId="438BE83E" w:rsidR="00882F28" w:rsidRPr="00E71B8A" w:rsidRDefault="00882F28" w:rsidP="00982AB1">
      <w:pPr>
        <w:pStyle w:val="H2"/>
        <w:jc w:val="center"/>
        <w:rPr>
          <w:rFonts w:asciiTheme="majorBidi" w:hAnsiTheme="majorBidi" w:cstheme="majorBidi"/>
          <w:sz w:val="24"/>
          <w:szCs w:val="24"/>
        </w:rPr>
      </w:pPr>
      <w:r w:rsidRPr="00E71B8A">
        <w:rPr>
          <w:rFonts w:asciiTheme="majorBidi" w:hAnsiTheme="majorBidi" w:cstheme="majorBidi"/>
          <w:sz w:val="24"/>
          <w:szCs w:val="24"/>
        </w:rPr>
        <w:t>Appendix C</w:t>
      </w:r>
    </w:p>
    <w:p w14:paraId="68A00744" w14:textId="77777777" w:rsidR="00882F28" w:rsidRPr="00E71B8A" w:rsidRDefault="00882F28" w:rsidP="00882F28">
      <w:pPr>
        <w:jc w:val="center"/>
        <w:rPr>
          <w:rFonts w:asciiTheme="majorBidi" w:hAnsiTheme="majorBidi" w:cstheme="majorBidi"/>
          <w:sz w:val="24"/>
          <w:szCs w:val="24"/>
        </w:rPr>
      </w:pPr>
      <w:r w:rsidRPr="00E71B8A">
        <w:rPr>
          <w:rFonts w:asciiTheme="majorBidi" w:hAnsiTheme="majorBidi" w:cstheme="majorBidi"/>
          <w:sz w:val="24"/>
          <w:szCs w:val="24"/>
        </w:rPr>
        <w:t>Questionnaire</w:t>
      </w:r>
    </w:p>
    <w:p w14:paraId="5E43AF9E"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Q1 London South Bank University </w:t>
      </w:r>
    </w:p>
    <w:p w14:paraId="65B51A29"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You are invited to take part in a research study conducted by Nashwa Nader, a PhD student at London South Bank University. The purpose of this research is to get your opinion about different types of communications campaigns that multinational companies do in Egypt. The results of this study will have academic and business implications.  This survey will take less than 10 minutes to complete. I am looking for your honest answers to the below questions. All answers are valid and there is no one right answer. Participation in this survey is voluntary and you can withdraw at any time. There are no potential risks from your participation as you won’t provide any information that may reveal your identity. Your answers will be anonymous and the data collected will be accessed only by the researcher. If you would like to find out more about the study or if you have questions, please contact the researcher. Whether you are willing to participate or not, I thank you for your time to read this.</w:t>
      </w:r>
    </w:p>
    <w:p w14:paraId="6FB987F5" w14:textId="77777777" w:rsidR="00882F28" w:rsidRPr="00EA009A" w:rsidRDefault="00882F28" w:rsidP="00882F28">
      <w:pPr>
        <w:keepNext/>
        <w:rPr>
          <w:rFonts w:asciiTheme="majorBidi" w:hAnsiTheme="majorBidi" w:cstheme="majorBidi"/>
        </w:rPr>
      </w:pPr>
    </w:p>
    <w:p w14:paraId="3BA1C5E1"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 xml:space="preserve"> Researcher contact details: Nashwa Nader – London South Bank University –</w:t>
      </w:r>
    </w:p>
    <w:p w14:paraId="48311697"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 xml:space="preserve"> Email: </w:t>
      </w:r>
      <w:hyperlink r:id="rId74" w:history="1">
        <w:r w:rsidRPr="00EA009A">
          <w:rPr>
            <w:rStyle w:val="Hyperlink"/>
            <w:rFonts w:asciiTheme="majorBidi" w:hAnsiTheme="majorBidi" w:cstheme="majorBidi"/>
          </w:rPr>
          <w:t>sadekn2@lsbu.ac.uk</w:t>
        </w:r>
      </w:hyperlink>
    </w:p>
    <w:p w14:paraId="1E3C6E22" w14:textId="77777777" w:rsidR="00882F28" w:rsidRPr="00EA009A" w:rsidRDefault="00882F28" w:rsidP="00882F28">
      <w:pPr>
        <w:keepNext/>
        <w:rPr>
          <w:rFonts w:asciiTheme="majorBidi" w:hAnsiTheme="majorBidi" w:cstheme="majorBidi"/>
        </w:rPr>
      </w:pPr>
    </w:p>
    <w:p w14:paraId="0F59C893"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Are you willing to participate in this study?</w:t>
      </w:r>
    </w:p>
    <w:p w14:paraId="0270680D"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Yes</w:t>
      </w:r>
    </w:p>
    <w:p w14:paraId="2D547A7D"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No</w:t>
      </w:r>
    </w:p>
    <w:p w14:paraId="1CEBD6FF" w14:textId="77777777" w:rsidR="00882F28" w:rsidRPr="00EA009A" w:rsidRDefault="00882F28" w:rsidP="00882F28">
      <w:pPr>
        <w:rPr>
          <w:rFonts w:asciiTheme="majorBidi" w:hAnsiTheme="majorBidi" w:cstheme="majorBidi"/>
        </w:rPr>
      </w:pPr>
    </w:p>
    <w:p w14:paraId="1EA3A6FE"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Q2 I understand that my participation is voluntary and that I am free to withdraw at any time, without providing a reason. I agree for the data I provide to be stored (after it has been anonymised) in a specialist data center and I understand it may be used for future research. I understand that my data/words may be quoted in publications, reports, posters, web pages, and other research outputs.</w:t>
      </w:r>
    </w:p>
    <w:p w14:paraId="074A1427"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Yes</w:t>
      </w:r>
    </w:p>
    <w:p w14:paraId="3FF3C049"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No</w:t>
      </w:r>
    </w:p>
    <w:p w14:paraId="05247921" w14:textId="77777777" w:rsidR="00882F28" w:rsidRPr="00EA009A" w:rsidRDefault="00882F28" w:rsidP="00882F28">
      <w:pPr>
        <w:rPr>
          <w:rFonts w:asciiTheme="majorBidi" w:hAnsiTheme="majorBidi" w:cstheme="majorBidi"/>
        </w:rPr>
      </w:pPr>
    </w:p>
    <w:p w14:paraId="63479AD6"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Q3 Do you live in Egypt?  </w:t>
      </w:r>
    </w:p>
    <w:p w14:paraId="4D0BF841"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Yes</w:t>
      </w:r>
    </w:p>
    <w:p w14:paraId="5F3FC0C2"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No</w:t>
      </w:r>
    </w:p>
    <w:p w14:paraId="2BD2C8F1" w14:textId="77777777" w:rsidR="00882F28" w:rsidRPr="00E71B8A" w:rsidRDefault="00882F28" w:rsidP="00882F28">
      <w:pPr>
        <w:rPr>
          <w:rFonts w:asciiTheme="majorBidi" w:hAnsiTheme="majorBidi" w:cstheme="majorBidi"/>
          <w:sz w:val="24"/>
          <w:szCs w:val="24"/>
        </w:rPr>
      </w:pPr>
    </w:p>
    <w:p w14:paraId="50737FB2"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Q4 Are you the person who usually chooses and buys household cleaning products for your house?</w:t>
      </w:r>
    </w:p>
    <w:p w14:paraId="79F6A7B4"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Yes</w:t>
      </w:r>
    </w:p>
    <w:p w14:paraId="068C8EA5"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No</w:t>
      </w:r>
    </w:p>
    <w:p w14:paraId="5948F2EF" w14:textId="77777777" w:rsidR="00882F28" w:rsidRPr="00EA009A" w:rsidRDefault="00882F28" w:rsidP="00882F28">
      <w:pPr>
        <w:rPr>
          <w:rFonts w:asciiTheme="majorBidi" w:hAnsiTheme="majorBidi" w:cstheme="majorBidi"/>
        </w:rPr>
      </w:pPr>
    </w:p>
    <w:p w14:paraId="5E9C8DFE" w14:textId="77777777" w:rsidR="00882F28" w:rsidRPr="00EA009A" w:rsidRDefault="00882F28" w:rsidP="00882F28">
      <w:pPr>
        <w:rPr>
          <w:rFonts w:asciiTheme="majorBidi" w:hAnsiTheme="majorBidi" w:cstheme="majorBidi"/>
        </w:rPr>
      </w:pPr>
      <w:r w:rsidRPr="00EA009A">
        <w:rPr>
          <w:rFonts w:asciiTheme="majorBidi" w:hAnsiTheme="majorBidi" w:cstheme="majorBidi"/>
        </w:rPr>
        <w:t>Q5 How did you receive this survey?</w:t>
      </w:r>
    </w:p>
    <w:p w14:paraId="37003AF1"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From Social Media</w:t>
      </w:r>
    </w:p>
    <w:p w14:paraId="1EE1F815"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From my Company</w:t>
      </w:r>
    </w:p>
    <w:p w14:paraId="5DF710DF"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Someone sent it to me</w:t>
      </w:r>
    </w:p>
    <w:p w14:paraId="6A4F33A5"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Other __________________________________________________</w:t>
      </w:r>
    </w:p>
    <w:p w14:paraId="7B7D2BB6" w14:textId="77777777" w:rsidR="00882F28" w:rsidRPr="00EA009A" w:rsidRDefault="00882F28" w:rsidP="00882F28">
      <w:pPr>
        <w:keepNext/>
        <w:rPr>
          <w:rFonts w:asciiTheme="majorBidi" w:hAnsiTheme="majorBidi" w:cstheme="majorBidi"/>
        </w:rPr>
      </w:pPr>
    </w:p>
    <w:p w14:paraId="0C02DF1B"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Q6 What is your gender? </w:t>
      </w:r>
    </w:p>
    <w:p w14:paraId="6535B731"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Female</w:t>
      </w:r>
    </w:p>
    <w:p w14:paraId="58C1CF55"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Male</w:t>
      </w:r>
    </w:p>
    <w:p w14:paraId="1E3BC560"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Other __________________________________________________</w:t>
      </w:r>
    </w:p>
    <w:p w14:paraId="760FB103" w14:textId="77777777" w:rsidR="00882F28" w:rsidRPr="00EA009A" w:rsidRDefault="00882F28" w:rsidP="00882F28">
      <w:pPr>
        <w:rPr>
          <w:rFonts w:asciiTheme="majorBidi" w:hAnsiTheme="majorBidi" w:cstheme="majorBidi"/>
        </w:rPr>
      </w:pPr>
    </w:p>
    <w:p w14:paraId="5306C8AF" w14:textId="77777777" w:rsidR="00882F28" w:rsidRPr="00EA009A" w:rsidRDefault="00882F28" w:rsidP="00882F28">
      <w:pPr>
        <w:rPr>
          <w:rFonts w:asciiTheme="majorBidi" w:hAnsiTheme="majorBidi" w:cstheme="majorBidi"/>
        </w:rPr>
      </w:pPr>
      <w:r w:rsidRPr="00EA009A">
        <w:rPr>
          <w:rFonts w:asciiTheme="majorBidi" w:hAnsiTheme="majorBidi" w:cstheme="majorBidi"/>
        </w:rPr>
        <w:t>Q7 Which one is your first-choice brand to clean surfaces and floors at your home? Choose one.</w:t>
      </w:r>
    </w:p>
    <w:p w14:paraId="464DC082"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General</w:t>
      </w:r>
    </w:p>
    <w:p w14:paraId="2FDF1A63"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Dettol</w:t>
      </w:r>
    </w:p>
    <w:p w14:paraId="1D0415AB"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Clorox</w:t>
      </w:r>
    </w:p>
    <w:p w14:paraId="40C00275"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Clorox Disinfectant</w:t>
      </w:r>
    </w:p>
    <w:p w14:paraId="212B2B55"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Verox</w:t>
      </w:r>
    </w:p>
    <w:p w14:paraId="102A13C7"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Al Imlaq</w:t>
      </w:r>
    </w:p>
    <w:p w14:paraId="3945801A"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Frida</w:t>
      </w:r>
    </w:p>
    <w:p w14:paraId="3A5031DF"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Mr. Muscle</w:t>
      </w:r>
    </w:p>
    <w:p w14:paraId="31961C58"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Other: __________________________________________________</w:t>
      </w:r>
    </w:p>
    <w:p w14:paraId="66CA17C2" w14:textId="77777777" w:rsidR="00882F28" w:rsidRPr="00EA009A" w:rsidRDefault="00882F28" w:rsidP="00882F28">
      <w:pPr>
        <w:rPr>
          <w:rFonts w:asciiTheme="majorBidi" w:hAnsiTheme="majorBidi" w:cstheme="majorBidi"/>
        </w:rPr>
      </w:pPr>
    </w:p>
    <w:p w14:paraId="71FE6BBA"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Q8 What is the most important thing for you to think about when you buy a home disinfectant product? Choose one.</w:t>
      </w:r>
    </w:p>
    <w:p w14:paraId="4877C13F"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Price</w:t>
      </w:r>
    </w:p>
    <w:p w14:paraId="353D5F56"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Fragrance</w:t>
      </w:r>
    </w:p>
    <w:p w14:paraId="0E7F2ABB"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Effectiveness of cleaning and disinfecting</w:t>
      </w:r>
    </w:p>
    <w:p w14:paraId="3F96FC29"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Brand Name</w:t>
      </w:r>
    </w:p>
    <w:p w14:paraId="1E547B87"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The social and environmental work that the company does</w:t>
      </w:r>
    </w:p>
    <w:p w14:paraId="2A139A39" w14:textId="77777777" w:rsidR="00882F28" w:rsidRPr="00EA009A" w:rsidRDefault="00882F28" w:rsidP="00882F28">
      <w:pPr>
        <w:keepNext/>
        <w:spacing w:before="120"/>
        <w:ind w:left="360"/>
        <w:rPr>
          <w:rFonts w:asciiTheme="majorBidi" w:hAnsiTheme="majorBidi" w:cstheme="majorBidi"/>
        </w:rPr>
      </w:pPr>
    </w:p>
    <w:p w14:paraId="4D104EAE" w14:textId="77777777" w:rsidR="00882F28" w:rsidRPr="00EA009A" w:rsidRDefault="00882F28" w:rsidP="00882F28">
      <w:pPr>
        <w:rPr>
          <w:rFonts w:asciiTheme="majorBidi" w:hAnsiTheme="majorBidi" w:cstheme="majorBidi"/>
        </w:rPr>
      </w:pPr>
      <w:r w:rsidRPr="00EA009A">
        <w:rPr>
          <w:rFonts w:asciiTheme="majorBidi" w:hAnsiTheme="majorBidi" w:cstheme="majorBidi"/>
        </w:rPr>
        <w:t>Q9 Do you watch live television? (Not the paid-for streaming programs like Watchit, Netflix, Shahid, etc.)</w:t>
      </w:r>
    </w:p>
    <w:p w14:paraId="05A7381D"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Yes</w:t>
      </w:r>
    </w:p>
    <w:p w14:paraId="7B206E46"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No</w:t>
      </w:r>
    </w:p>
    <w:p w14:paraId="2633670C" w14:textId="77777777" w:rsidR="00882F28" w:rsidRPr="00EA009A" w:rsidRDefault="00882F28" w:rsidP="00882F28">
      <w:pPr>
        <w:rPr>
          <w:rFonts w:asciiTheme="majorBidi" w:hAnsiTheme="majorBidi" w:cstheme="majorBidi"/>
        </w:rPr>
      </w:pPr>
    </w:p>
    <w:p w14:paraId="1D04F554" w14:textId="77777777" w:rsidR="00882F28" w:rsidRPr="00EA009A" w:rsidRDefault="00882F28" w:rsidP="00882F28">
      <w:pPr>
        <w:rPr>
          <w:rFonts w:asciiTheme="majorBidi" w:hAnsiTheme="majorBidi" w:cstheme="majorBidi"/>
        </w:rPr>
      </w:pPr>
      <w:r w:rsidRPr="00EA009A">
        <w:rPr>
          <w:rFonts w:asciiTheme="majorBidi" w:hAnsiTheme="majorBidi" w:cstheme="majorBidi"/>
        </w:rPr>
        <w:t>Q10 How frequently do you watch live television (not the paid-for online streaming services like Shahid, Watchit, Netflix, etc)?</w:t>
      </w:r>
    </w:p>
    <w:p w14:paraId="6244534E"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Everyday</w:t>
      </w:r>
    </w:p>
    <w:p w14:paraId="723CD596"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Once or twice every week</w:t>
      </w:r>
    </w:p>
    <w:p w14:paraId="22DADE2B"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once or twice every month</w:t>
      </w:r>
    </w:p>
    <w:p w14:paraId="4189E912" w14:textId="77777777" w:rsidR="00882F28" w:rsidRPr="00EA009A" w:rsidRDefault="00882F28">
      <w:pPr>
        <w:pStyle w:val="ListParagraph"/>
        <w:keepNext/>
        <w:numPr>
          <w:ilvl w:val="0"/>
          <w:numId w:val="31"/>
        </w:numPr>
        <w:spacing w:before="120" w:after="0" w:line="276" w:lineRule="auto"/>
        <w:contextualSpacing w:val="0"/>
        <w:rPr>
          <w:rFonts w:asciiTheme="majorBidi" w:hAnsiTheme="majorBidi" w:cstheme="majorBidi"/>
        </w:rPr>
      </w:pPr>
      <w:r w:rsidRPr="00EA009A">
        <w:rPr>
          <w:rFonts w:asciiTheme="majorBidi" w:hAnsiTheme="majorBidi" w:cstheme="majorBidi"/>
        </w:rPr>
        <w:t>Never</w:t>
      </w:r>
    </w:p>
    <w:p w14:paraId="62BF1C06" w14:textId="77777777" w:rsidR="00882F28" w:rsidRPr="00EA009A" w:rsidRDefault="00882F28" w:rsidP="00882F28">
      <w:pPr>
        <w:rPr>
          <w:rFonts w:asciiTheme="majorBidi" w:hAnsiTheme="majorBidi" w:cstheme="majorBidi"/>
        </w:rPr>
      </w:pPr>
    </w:p>
    <w:p w14:paraId="58A2ECC4" w14:textId="77777777" w:rsidR="00882F28" w:rsidRPr="00EA009A" w:rsidRDefault="00882F28" w:rsidP="00882F28">
      <w:pPr>
        <w:rPr>
          <w:rFonts w:asciiTheme="majorBidi" w:hAnsiTheme="majorBidi" w:cstheme="majorBidi"/>
        </w:rPr>
      </w:pPr>
      <w:r w:rsidRPr="00EA009A">
        <w:rPr>
          <w:rFonts w:asciiTheme="majorBidi" w:hAnsiTheme="majorBidi" w:cstheme="majorBidi"/>
        </w:rPr>
        <w:t xml:space="preserve">Q11 You will now watch a small part of a TV show and you will get some questions after that. Please pay attention to the content of the video. Imagine you are at home and about to watch Television, which show would you like to watch? If you want to watch Haj Metwaly, Click on this link:  href="https://drive.google.com/file/d/1HlecXd0CqiCTfFJXj5zRt7VZNQcR4KtH/view?usp=sharing"&gt;Haj Metwally. </w:t>
      </w:r>
    </w:p>
    <w:p w14:paraId="7D620C31" w14:textId="77777777" w:rsidR="00882F28" w:rsidRPr="00EA009A" w:rsidRDefault="00882F28" w:rsidP="00882F28">
      <w:pPr>
        <w:rPr>
          <w:rFonts w:asciiTheme="majorBidi" w:hAnsiTheme="majorBidi" w:cstheme="majorBidi"/>
        </w:rPr>
      </w:pPr>
      <w:r w:rsidRPr="00EA009A">
        <w:rPr>
          <w:rFonts w:asciiTheme="majorBidi" w:hAnsiTheme="majorBidi" w:cstheme="majorBidi"/>
        </w:rPr>
        <w:t>If you want to watch Friends , Click on this link: </w:t>
      </w:r>
    </w:p>
    <w:p w14:paraId="357AB0B5" w14:textId="77777777" w:rsidR="00882F28" w:rsidRPr="00EA009A" w:rsidRDefault="00882F28" w:rsidP="00882F28">
      <w:pPr>
        <w:rPr>
          <w:rFonts w:asciiTheme="majorBidi" w:hAnsiTheme="majorBidi" w:cstheme="majorBidi"/>
        </w:rPr>
      </w:pPr>
      <w:r w:rsidRPr="00EA009A">
        <w:rPr>
          <w:rFonts w:asciiTheme="majorBidi" w:hAnsiTheme="majorBidi" w:cstheme="majorBidi"/>
        </w:rPr>
        <w:t xml:space="preserve"> href="https://drive.google.com/file/d/1Yhom60i9cLuUH9TQiQN1HL5UfM82-</w:t>
      </w:r>
    </w:p>
    <w:p w14:paraId="3ED9E1CD" w14:textId="77777777" w:rsidR="00882F28" w:rsidRPr="00EA009A" w:rsidRDefault="00882F28" w:rsidP="00882F28">
      <w:pPr>
        <w:rPr>
          <w:rFonts w:asciiTheme="majorBidi" w:hAnsiTheme="majorBidi" w:cstheme="majorBidi"/>
        </w:rPr>
      </w:pPr>
    </w:p>
    <w:p w14:paraId="47B84B57" w14:textId="77777777" w:rsidR="00882F28" w:rsidRPr="00EA009A" w:rsidRDefault="00882F28" w:rsidP="00882F28">
      <w:pPr>
        <w:rPr>
          <w:rFonts w:asciiTheme="majorBidi" w:hAnsiTheme="majorBidi" w:cstheme="majorBidi"/>
        </w:rPr>
      </w:pPr>
      <w:r w:rsidRPr="00EA009A">
        <w:rPr>
          <w:rFonts w:asciiTheme="majorBidi" w:hAnsiTheme="majorBidi" w:cstheme="majorBidi"/>
        </w:rPr>
        <w:t>After watching, click Next.  </w:t>
      </w:r>
    </w:p>
    <w:p w14:paraId="042F2898" w14:textId="77777777" w:rsidR="00882F28" w:rsidRPr="00EA009A" w:rsidRDefault="00882F28" w:rsidP="00882F28">
      <w:pPr>
        <w:rPr>
          <w:rFonts w:asciiTheme="majorBidi" w:hAnsiTheme="majorBidi" w:cstheme="majorBidi"/>
        </w:rPr>
      </w:pPr>
    </w:p>
    <w:p w14:paraId="2034F67C" w14:textId="77777777" w:rsidR="00882F28" w:rsidRPr="00EA009A" w:rsidRDefault="00882F28" w:rsidP="00882F28">
      <w:pPr>
        <w:rPr>
          <w:rFonts w:asciiTheme="majorBidi" w:hAnsiTheme="majorBidi" w:cstheme="majorBidi"/>
        </w:rPr>
      </w:pPr>
      <w:r w:rsidRPr="00EA009A">
        <w:rPr>
          <w:rFonts w:asciiTheme="majorBidi" w:hAnsiTheme="majorBidi" w:cstheme="majorBidi"/>
        </w:rPr>
        <w:t>Next</w:t>
      </w:r>
    </w:p>
    <w:p w14:paraId="2AE0AD6B" w14:textId="77777777" w:rsidR="00882F28" w:rsidRPr="00EA009A" w:rsidRDefault="00882F28" w:rsidP="00882F28">
      <w:pPr>
        <w:rPr>
          <w:rFonts w:asciiTheme="majorBidi" w:hAnsiTheme="majorBidi" w:cstheme="majorBidi"/>
        </w:rPr>
      </w:pPr>
    </w:p>
    <w:p w14:paraId="0869A875" w14:textId="77777777" w:rsidR="00882F28" w:rsidRDefault="00882F28" w:rsidP="00882F28">
      <w:pPr>
        <w:rPr>
          <w:rFonts w:asciiTheme="majorBidi" w:hAnsiTheme="majorBidi" w:cstheme="majorBidi"/>
        </w:rPr>
      </w:pPr>
      <w:r w:rsidRPr="00EA009A">
        <w:rPr>
          <w:rFonts w:asciiTheme="majorBidi" w:hAnsiTheme="majorBidi" w:cstheme="majorBidi"/>
        </w:rPr>
        <w:t>Q12 Based on the Dettol ad that you just saw, do you agree or disagree with the below statements?</w:t>
      </w:r>
    </w:p>
    <w:tbl>
      <w:tblPr>
        <w:tblStyle w:val="QQuestionTable"/>
        <w:tblpPr w:leftFromText="180" w:rightFromText="180" w:vertAnchor="text" w:horzAnchor="margin" w:tblpXSpec="center" w:tblpY="263"/>
        <w:tblW w:w="11368" w:type="dxa"/>
        <w:tblLook w:val="07E0" w:firstRow="1" w:lastRow="1" w:firstColumn="1" w:lastColumn="1" w:noHBand="1" w:noVBand="1"/>
      </w:tblPr>
      <w:tblGrid>
        <w:gridCol w:w="2388"/>
        <w:gridCol w:w="1290"/>
        <w:gridCol w:w="1229"/>
        <w:gridCol w:w="1273"/>
        <w:gridCol w:w="1297"/>
        <w:gridCol w:w="1297"/>
        <w:gridCol w:w="1297"/>
        <w:gridCol w:w="1297"/>
      </w:tblGrid>
      <w:tr w:rsidR="00882F28" w:rsidRPr="00EA009A" w14:paraId="70DCC65C" w14:textId="77777777" w:rsidTr="00257F65">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388" w:type="dxa"/>
          </w:tcPr>
          <w:p w14:paraId="58704806" w14:textId="77777777" w:rsidR="00882F28" w:rsidRPr="00EA009A" w:rsidRDefault="00882F28" w:rsidP="00257F65">
            <w:pPr>
              <w:keepNext/>
              <w:rPr>
                <w:rFonts w:asciiTheme="majorBidi" w:hAnsiTheme="majorBidi" w:cstheme="majorBidi"/>
              </w:rPr>
            </w:pPr>
          </w:p>
        </w:tc>
        <w:tc>
          <w:tcPr>
            <w:tcW w:w="1290" w:type="dxa"/>
          </w:tcPr>
          <w:p w14:paraId="6687FEDF"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Strongly Agree</w:t>
            </w:r>
          </w:p>
        </w:tc>
        <w:tc>
          <w:tcPr>
            <w:tcW w:w="1229" w:type="dxa"/>
          </w:tcPr>
          <w:p w14:paraId="0A49920C"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Agree</w:t>
            </w:r>
          </w:p>
        </w:tc>
        <w:tc>
          <w:tcPr>
            <w:tcW w:w="1273" w:type="dxa"/>
          </w:tcPr>
          <w:p w14:paraId="43749274"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Slightly Agree</w:t>
            </w:r>
          </w:p>
        </w:tc>
        <w:tc>
          <w:tcPr>
            <w:tcW w:w="1297" w:type="dxa"/>
          </w:tcPr>
          <w:p w14:paraId="6A23398A"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Neither Agree or Disagree</w:t>
            </w:r>
          </w:p>
        </w:tc>
        <w:tc>
          <w:tcPr>
            <w:tcW w:w="1297" w:type="dxa"/>
          </w:tcPr>
          <w:p w14:paraId="64635552"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Slightly Disagree</w:t>
            </w:r>
          </w:p>
        </w:tc>
        <w:tc>
          <w:tcPr>
            <w:tcW w:w="1297" w:type="dxa"/>
          </w:tcPr>
          <w:p w14:paraId="51CD2419"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Disagree</w:t>
            </w:r>
          </w:p>
        </w:tc>
        <w:tc>
          <w:tcPr>
            <w:tcW w:w="1297" w:type="dxa"/>
          </w:tcPr>
          <w:p w14:paraId="45EEAFD8"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Strongly Disagree</w:t>
            </w:r>
          </w:p>
        </w:tc>
      </w:tr>
      <w:tr w:rsidR="00882F28" w:rsidRPr="00EA009A" w14:paraId="7942821C" w14:textId="77777777" w:rsidTr="00257F65">
        <w:trPr>
          <w:trHeight w:val="32"/>
        </w:trPr>
        <w:tc>
          <w:tcPr>
            <w:cnfStyle w:val="001000000000" w:firstRow="0" w:lastRow="0" w:firstColumn="1" w:lastColumn="0" w:oddVBand="0" w:evenVBand="0" w:oddHBand="0" w:evenHBand="0" w:firstRowFirstColumn="0" w:firstRowLastColumn="0" w:lastRowFirstColumn="0" w:lastRowLastColumn="0"/>
            <w:tcW w:w="2388" w:type="dxa"/>
          </w:tcPr>
          <w:p w14:paraId="60B2AFE8"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dislike the ad</w:t>
            </w:r>
          </w:p>
        </w:tc>
        <w:tc>
          <w:tcPr>
            <w:tcW w:w="1290" w:type="dxa"/>
          </w:tcPr>
          <w:p w14:paraId="4213341E"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29" w:type="dxa"/>
          </w:tcPr>
          <w:p w14:paraId="75C33EC2"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3" w:type="dxa"/>
          </w:tcPr>
          <w:p w14:paraId="5E4B8CD7" w14:textId="77777777" w:rsidR="00882F28" w:rsidRPr="00EA009A" w:rsidRDefault="00882F28" w:rsidP="00257F65">
            <w:pPr>
              <w:keepNext/>
              <w:spacing w:before="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1366F165"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6F4768A2"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218610DB"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2F415ABB"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236DA74A" w14:textId="77777777" w:rsidTr="00257F65">
        <w:trPr>
          <w:trHeight w:val="505"/>
        </w:trPr>
        <w:tc>
          <w:tcPr>
            <w:cnfStyle w:val="001000000000" w:firstRow="0" w:lastRow="0" w:firstColumn="1" w:lastColumn="0" w:oddVBand="0" w:evenVBand="0" w:oddHBand="0" w:evenHBand="0" w:firstRowFirstColumn="0" w:firstRowLastColumn="0" w:lastRowFirstColumn="0" w:lastRowLastColumn="0"/>
            <w:tcW w:w="2388" w:type="dxa"/>
          </w:tcPr>
          <w:p w14:paraId="078665A2"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The ad is appealing to me</w:t>
            </w:r>
          </w:p>
        </w:tc>
        <w:tc>
          <w:tcPr>
            <w:tcW w:w="1290" w:type="dxa"/>
          </w:tcPr>
          <w:p w14:paraId="49F5BC43"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29" w:type="dxa"/>
          </w:tcPr>
          <w:p w14:paraId="734429F5"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3" w:type="dxa"/>
          </w:tcPr>
          <w:p w14:paraId="190A911F"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456E0224"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2854FB8B"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5F42BC84"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1E46F690"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537231D1" w14:textId="77777777" w:rsidTr="00257F65">
        <w:trPr>
          <w:trHeight w:val="505"/>
        </w:trPr>
        <w:tc>
          <w:tcPr>
            <w:cnfStyle w:val="001000000000" w:firstRow="0" w:lastRow="0" w:firstColumn="1" w:lastColumn="0" w:oddVBand="0" w:evenVBand="0" w:oddHBand="0" w:evenHBand="0" w:firstRowFirstColumn="0" w:firstRowLastColumn="0" w:lastRowFirstColumn="0" w:lastRowLastColumn="0"/>
            <w:tcW w:w="2388" w:type="dxa"/>
          </w:tcPr>
          <w:p w14:paraId="40B78578"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The ad is attractive to me</w:t>
            </w:r>
          </w:p>
        </w:tc>
        <w:tc>
          <w:tcPr>
            <w:tcW w:w="1290" w:type="dxa"/>
          </w:tcPr>
          <w:p w14:paraId="5B88204A"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29" w:type="dxa"/>
          </w:tcPr>
          <w:p w14:paraId="104B8C9B"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3" w:type="dxa"/>
          </w:tcPr>
          <w:p w14:paraId="3D5DC1FE"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50E80324"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6FCD5C0F"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34519F70"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3A5E6C6C"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0FBC53AF" w14:textId="77777777" w:rsidTr="00257F65">
        <w:trPr>
          <w:trHeight w:val="505"/>
        </w:trPr>
        <w:tc>
          <w:tcPr>
            <w:cnfStyle w:val="001000000000" w:firstRow="0" w:lastRow="0" w:firstColumn="1" w:lastColumn="0" w:oddVBand="0" w:evenVBand="0" w:oddHBand="0" w:evenHBand="0" w:firstRowFirstColumn="0" w:firstRowLastColumn="0" w:lastRowFirstColumn="0" w:lastRowLastColumn="0"/>
            <w:tcW w:w="2388" w:type="dxa"/>
          </w:tcPr>
          <w:p w14:paraId="5EEDFCCF"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The ad is interesting to me</w:t>
            </w:r>
          </w:p>
        </w:tc>
        <w:tc>
          <w:tcPr>
            <w:tcW w:w="1290" w:type="dxa"/>
          </w:tcPr>
          <w:p w14:paraId="6B0881E4"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29" w:type="dxa"/>
          </w:tcPr>
          <w:p w14:paraId="406BE8DC"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3" w:type="dxa"/>
          </w:tcPr>
          <w:p w14:paraId="06D12275"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20239083"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0F6BB94D"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32B06BEE"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352962B4"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3AFC545F" w14:textId="77777777" w:rsidTr="00257F65">
        <w:trPr>
          <w:trHeight w:val="369"/>
        </w:trPr>
        <w:tc>
          <w:tcPr>
            <w:cnfStyle w:val="001000000000" w:firstRow="0" w:lastRow="0" w:firstColumn="1" w:lastColumn="0" w:oddVBand="0" w:evenVBand="0" w:oddHBand="0" w:evenHBand="0" w:firstRowFirstColumn="0" w:firstRowLastColumn="0" w:lastRowFirstColumn="0" w:lastRowLastColumn="0"/>
            <w:tcW w:w="2388" w:type="dxa"/>
          </w:tcPr>
          <w:p w14:paraId="46E30E35"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think the ad is bad</w:t>
            </w:r>
          </w:p>
        </w:tc>
        <w:tc>
          <w:tcPr>
            <w:tcW w:w="1290" w:type="dxa"/>
          </w:tcPr>
          <w:p w14:paraId="0FA4D27C"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29" w:type="dxa"/>
          </w:tcPr>
          <w:p w14:paraId="412BA09C"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3" w:type="dxa"/>
          </w:tcPr>
          <w:p w14:paraId="41BD580A"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17E74988"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1EFCAE57"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5EB90177"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7" w:type="dxa"/>
          </w:tcPr>
          <w:p w14:paraId="7A7A2578" w14:textId="77777777" w:rsidR="00882F28" w:rsidRPr="00EA009A" w:rsidRDefault="00882F28" w:rsidP="00257F65">
            <w:pPr>
              <w:keepNext/>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14:paraId="7D3D8A03" w14:textId="77777777" w:rsidR="00882F28" w:rsidRPr="00EA009A" w:rsidRDefault="00882F28" w:rsidP="00882F28">
      <w:pPr>
        <w:keepNext/>
        <w:rPr>
          <w:rFonts w:asciiTheme="majorBidi" w:hAnsiTheme="majorBidi" w:cstheme="majorBidi"/>
        </w:rPr>
      </w:pPr>
    </w:p>
    <w:p w14:paraId="3CE49C90"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Q13 Think about your favourite brand in general, how much do you agree or disagree that the below statements best describe your most desired brand? </w:t>
      </w:r>
    </w:p>
    <w:tbl>
      <w:tblPr>
        <w:tblStyle w:val="QQuestionTable"/>
        <w:tblW w:w="10774" w:type="dxa"/>
        <w:tblInd w:w="-856" w:type="dxa"/>
        <w:tblLook w:val="07E0" w:firstRow="1" w:lastRow="1" w:firstColumn="1" w:lastColumn="1" w:noHBand="1" w:noVBand="1"/>
      </w:tblPr>
      <w:tblGrid>
        <w:gridCol w:w="3120"/>
        <w:gridCol w:w="992"/>
        <w:gridCol w:w="846"/>
        <w:gridCol w:w="996"/>
        <w:gridCol w:w="1276"/>
        <w:gridCol w:w="1134"/>
        <w:gridCol w:w="1134"/>
        <w:gridCol w:w="1276"/>
      </w:tblGrid>
      <w:tr w:rsidR="00882F28" w:rsidRPr="00EA009A" w14:paraId="4E213C69" w14:textId="77777777" w:rsidTr="00257F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Borders>
              <w:bottom w:val="none" w:sz="0" w:space="0" w:color="auto"/>
              <w:right w:val="none" w:sz="0" w:space="0" w:color="auto"/>
            </w:tcBorders>
          </w:tcPr>
          <w:p w14:paraId="29570360" w14:textId="77777777" w:rsidR="00882F28" w:rsidRPr="00EA009A" w:rsidRDefault="00882F28" w:rsidP="00257F65">
            <w:pPr>
              <w:keepNext/>
              <w:rPr>
                <w:rFonts w:asciiTheme="majorBidi" w:hAnsiTheme="majorBidi" w:cstheme="majorBidi"/>
              </w:rPr>
            </w:pPr>
          </w:p>
        </w:tc>
        <w:tc>
          <w:tcPr>
            <w:tcW w:w="992" w:type="dxa"/>
            <w:tcBorders>
              <w:bottom w:val="none" w:sz="0" w:space="0" w:color="auto"/>
            </w:tcBorders>
          </w:tcPr>
          <w:p w14:paraId="0A294329"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Strongly Agree</w:t>
            </w:r>
          </w:p>
        </w:tc>
        <w:tc>
          <w:tcPr>
            <w:tcW w:w="846" w:type="dxa"/>
            <w:tcBorders>
              <w:bottom w:val="none" w:sz="0" w:space="0" w:color="auto"/>
            </w:tcBorders>
          </w:tcPr>
          <w:p w14:paraId="6C0221BB"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Agree</w:t>
            </w:r>
          </w:p>
        </w:tc>
        <w:tc>
          <w:tcPr>
            <w:tcW w:w="996" w:type="dxa"/>
            <w:tcBorders>
              <w:bottom w:val="none" w:sz="0" w:space="0" w:color="auto"/>
            </w:tcBorders>
          </w:tcPr>
          <w:p w14:paraId="28D4F8B9"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Slightly Agree</w:t>
            </w:r>
          </w:p>
        </w:tc>
        <w:tc>
          <w:tcPr>
            <w:tcW w:w="1276" w:type="dxa"/>
            <w:tcBorders>
              <w:bottom w:val="none" w:sz="0" w:space="0" w:color="auto"/>
            </w:tcBorders>
          </w:tcPr>
          <w:p w14:paraId="0D56995E"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Neither Agree or Disagree</w:t>
            </w:r>
          </w:p>
        </w:tc>
        <w:tc>
          <w:tcPr>
            <w:tcW w:w="1134" w:type="dxa"/>
            <w:tcBorders>
              <w:bottom w:val="none" w:sz="0" w:space="0" w:color="auto"/>
            </w:tcBorders>
          </w:tcPr>
          <w:p w14:paraId="4E465B8D"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Slightly Disagree</w:t>
            </w:r>
          </w:p>
        </w:tc>
        <w:tc>
          <w:tcPr>
            <w:tcW w:w="1134" w:type="dxa"/>
            <w:tcBorders>
              <w:bottom w:val="none" w:sz="0" w:space="0" w:color="auto"/>
            </w:tcBorders>
          </w:tcPr>
          <w:p w14:paraId="7C331719"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Disagree</w:t>
            </w:r>
          </w:p>
        </w:tc>
        <w:tc>
          <w:tcPr>
            <w:tcW w:w="1276" w:type="dxa"/>
            <w:tcBorders>
              <w:bottom w:val="none" w:sz="0" w:space="0" w:color="auto"/>
            </w:tcBorders>
          </w:tcPr>
          <w:p w14:paraId="4F0A02FB" w14:textId="77777777" w:rsidR="00882F28" w:rsidRPr="00EA009A"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EA009A">
              <w:rPr>
                <w:rFonts w:asciiTheme="majorBidi" w:hAnsiTheme="majorBidi" w:cstheme="majorBidi"/>
              </w:rPr>
              <w:t>Strongly Disagree</w:t>
            </w:r>
          </w:p>
        </w:tc>
      </w:tr>
      <w:tr w:rsidR="00882F28" w:rsidRPr="00EA009A" w14:paraId="04C6FD07" w14:textId="77777777" w:rsidTr="00257F65">
        <w:tc>
          <w:tcPr>
            <w:cnfStyle w:val="001000000000" w:firstRow="0" w:lastRow="0" w:firstColumn="1" w:lastColumn="0" w:oddVBand="0" w:evenVBand="0" w:oddHBand="0" w:evenHBand="0" w:firstRowFirstColumn="0" w:firstRowLastColumn="0" w:lastRowFirstColumn="0" w:lastRowLastColumn="0"/>
            <w:tcW w:w="3120" w:type="dxa"/>
            <w:tcBorders>
              <w:right w:val="none" w:sz="0" w:space="0" w:color="auto"/>
            </w:tcBorders>
          </w:tcPr>
          <w:p w14:paraId="6C177131"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My ideal brand helps solve social problems</w:t>
            </w:r>
          </w:p>
        </w:tc>
        <w:tc>
          <w:tcPr>
            <w:tcW w:w="992" w:type="dxa"/>
          </w:tcPr>
          <w:p w14:paraId="5A5E57F7"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46" w:type="dxa"/>
          </w:tcPr>
          <w:p w14:paraId="70617F9C"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96" w:type="dxa"/>
          </w:tcPr>
          <w:p w14:paraId="67697E8D"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5528E33A"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1CA21984"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11B99095"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16EC5D61" w14:textId="77777777" w:rsidR="00882F28" w:rsidRPr="00EA009A" w:rsidRDefault="00882F28" w:rsidP="00257F65">
            <w:pPr>
              <w:keepNext/>
              <w:ind w:left="85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247B89C7" w14:textId="77777777" w:rsidTr="00257F65">
        <w:tc>
          <w:tcPr>
            <w:cnfStyle w:val="001000000000" w:firstRow="0" w:lastRow="0" w:firstColumn="1" w:lastColumn="0" w:oddVBand="0" w:evenVBand="0" w:oddHBand="0" w:evenHBand="0" w:firstRowFirstColumn="0" w:firstRowLastColumn="0" w:lastRowFirstColumn="0" w:lastRowLastColumn="0"/>
            <w:tcW w:w="3120" w:type="dxa"/>
            <w:tcBorders>
              <w:right w:val="none" w:sz="0" w:space="0" w:color="auto"/>
            </w:tcBorders>
          </w:tcPr>
          <w:p w14:paraId="60E59E27"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My ideal brand has a strong sense of corporate social responsibility</w:t>
            </w:r>
          </w:p>
        </w:tc>
        <w:tc>
          <w:tcPr>
            <w:tcW w:w="992" w:type="dxa"/>
          </w:tcPr>
          <w:p w14:paraId="63F1293D" w14:textId="77777777" w:rsidR="00882F28" w:rsidRPr="00EA009A" w:rsidRDefault="00882F28" w:rsidP="00257F65">
            <w:pPr>
              <w:pStyle w:val="ListParagraph"/>
              <w:keepNext/>
              <w:spacing w:before="120"/>
              <w:ind w:left="850"/>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46" w:type="dxa"/>
          </w:tcPr>
          <w:p w14:paraId="35C7F8A8"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96" w:type="dxa"/>
          </w:tcPr>
          <w:p w14:paraId="539B034C"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7CDA5246" w14:textId="77777777" w:rsidR="00882F28" w:rsidRPr="00EA009A" w:rsidRDefault="00882F28" w:rsidP="00257F65">
            <w:pPr>
              <w:keepNext/>
              <w:ind w:left="11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5E933533"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506CC369"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779183D5"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17E622DF" w14:textId="77777777" w:rsidTr="00257F65">
        <w:tc>
          <w:tcPr>
            <w:cnfStyle w:val="001000000000" w:firstRow="0" w:lastRow="0" w:firstColumn="1" w:lastColumn="0" w:oddVBand="0" w:evenVBand="0" w:oddHBand="0" w:evenHBand="0" w:firstRowFirstColumn="0" w:firstRowLastColumn="0" w:lastRowFirstColumn="0" w:lastRowLastColumn="0"/>
            <w:tcW w:w="3120" w:type="dxa"/>
            <w:tcBorders>
              <w:right w:val="none" w:sz="0" w:space="0" w:color="auto"/>
            </w:tcBorders>
          </w:tcPr>
          <w:p w14:paraId="32615376"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My ideal brand gives adequate contributions to local communities</w:t>
            </w:r>
          </w:p>
        </w:tc>
        <w:tc>
          <w:tcPr>
            <w:tcW w:w="992" w:type="dxa"/>
          </w:tcPr>
          <w:p w14:paraId="5ACBAA3C"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46" w:type="dxa"/>
          </w:tcPr>
          <w:p w14:paraId="524EADDE"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96" w:type="dxa"/>
          </w:tcPr>
          <w:p w14:paraId="2F70F0F8"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1AD93356"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19932A89"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3DD37767"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749875A5"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5C55C9D1" w14:textId="77777777" w:rsidTr="00257F65">
        <w:tc>
          <w:tcPr>
            <w:cnfStyle w:val="001000000000" w:firstRow="0" w:lastRow="0" w:firstColumn="1" w:lastColumn="0" w:oddVBand="0" w:evenVBand="0" w:oddHBand="0" w:evenHBand="0" w:firstRowFirstColumn="0" w:firstRowLastColumn="0" w:lastRowFirstColumn="0" w:lastRowLastColumn="0"/>
            <w:tcW w:w="3120" w:type="dxa"/>
            <w:tcBorders>
              <w:right w:val="none" w:sz="0" w:space="0" w:color="auto"/>
            </w:tcBorders>
          </w:tcPr>
          <w:p w14:paraId="72D47616"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My ideal brand allocates some of its resources to philanthropic activities</w:t>
            </w:r>
          </w:p>
        </w:tc>
        <w:tc>
          <w:tcPr>
            <w:tcW w:w="992" w:type="dxa"/>
          </w:tcPr>
          <w:p w14:paraId="5BC32938"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46" w:type="dxa"/>
          </w:tcPr>
          <w:p w14:paraId="691133AA"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96" w:type="dxa"/>
          </w:tcPr>
          <w:p w14:paraId="53F7F74B"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6AD6DFB8"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50519020"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6413063F"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48E38AEF"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07BB995D" w14:textId="77777777" w:rsidTr="00257F65">
        <w:tc>
          <w:tcPr>
            <w:cnfStyle w:val="001000000000" w:firstRow="0" w:lastRow="0" w:firstColumn="1" w:lastColumn="0" w:oddVBand="0" w:evenVBand="0" w:oddHBand="0" w:evenHBand="0" w:firstRowFirstColumn="0" w:firstRowLastColumn="0" w:lastRowFirstColumn="0" w:lastRowLastColumn="0"/>
            <w:tcW w:w="3120" w:type="dxa"/>
            <w:tcBorders>
              <w:right w:val="none" w:sz="0" w:space="0" w:color="auto"/>
            </w:tcBorders>
          </w:tcPr>
          <w:p w14:paraId="622C2C58"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My ideal brand plays a role in society that goes beyond the mere generation of profits</w:t>
            </w:r>
          </w:p>
        </w:tc>
        <w:tc>
          <w:tcPr>
            <w:tcW w:w="992" w:type="dxa"/>
          </w:tcPr>
          <w:p w14:paraId="53AE0881"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46" w:type="dxa"/>
          </w:tcPr>
          <w:p w14:paraId="56892337"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96" w:type="dxa"/>
          </w:tcPr>
          <w:p w14:paraId="6618D377"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617557F1"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6DBB9EFA"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51CEC246"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03FFCF2D"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882F28" w:rsidRPr="00EA009A" w14:paraId="1E8EE2F8" w14:textId="77777777" w:rsidTr="00257F65">
        <w:tc>
          <w:tcPr>
            <w:cnfStyle w:val="001000000000" w:firstRow="0" w:lastRow="0" w:firstColumn="1" w:lastColumn="0" w:oddVBand="0" w:evenVBand="0" w:oddHBand="0" w:evenHBand="0" w:firstRowFirstColumn="0" w:firstRowLastColumn="0" w:lastRowFirstColumn="0" w:lastRowLastColumn="0"/>
            <w:tcW w:w="3120" w:type="dxa"/>
            <w:tcBorders>
              <w:right w:val="none" w:sz="0" w:space="0" w:color="auto"/>
            </w:tcBorders>
          </w:tcPr>
          <w:p w14:paraId="42F7381C"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My ideal brand encourages its employees to participate in voluntarily activities</w:t>
            </w:r>
          </w:p>
        </w:tc>
        <w:tc>
          <w:tcPr>
            <w:tcW w:w="992" w:type="dxa"/>
          </w:tcPr>
          <w:p w14:paraId="21307446"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46" w:type="dxa"/>
          </w:tcPr>
          <w:p w14:paraId="5AE95CB2"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996" w:type="dxa"/>
          </w:tcPr>
          <w:p w14:paraId="45960C81"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286A83A9"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1949B939"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34" w:type="dxa"/>
          </w:tcPr>
          <w:p w14:paraId="3C53767B"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76" w:type="dxa"/>
          </w:tcPr>
          <w:p w14:paraId="68F51E0E" w14:textId="77777777" w:rsidR="00882F28" w:rsidRPr="00462F85"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14:paraId="6AA5FC70" w14:textId="77777777" w:rsidR="00882F28" w:rsidRPr="00E71B8A" w:rsidRDefault="00882F28" w:rsidP="00882F28">
      <w:pPr>
        <w:rPr>
          <w:rFonts w:asciiTheme="majorBidi" w:hAnsiTheme="majorBidi" w:cstheme="majorBidi"/>
          <w:sz w:val="24"/>
          <w:szCs w:val="24"/>
        </w:rPr>
      </w:pPr>
    </w:p>
    <w:p w14:paraId="7CD2454D" w14:textId="77777777" w:rsidR="00882F28" w:rsidRPr="00E71B8A" w:rsidRDefault="00882F28" w:rsidP="00882F28">
      <w:pPr>
        <w:rPr>
          <w:rFonts w:asciiTheme="majorBidi" w:hAnsiTheme="majorBidi" w:cstheme="majorBidi"/>
          <w:sz w:val="24"/>
          <w:szCs w:val="24"/>
        </w:rPr>
      </w:pPr>
    </w:p>
    <w:p w14:paraId="29B99B67" w14:textId="77777777" w:rsidR="00882F28" w:rsidRPr="00462F85" w:rsidRDefault="00882F28" w:rsidP="00882F28">
      <w:pPr>
        <w:keepNext/>
        <w:rPr>
          <w:rFonts w:asciiTheme="majorBidi" w:hAnsiTheme="majorBidi" w:cstheme="majorBidi"/>
        </w:rPr>
      </w:pPr>
      <w:r w:rsidRPr="00462F85">
        <w:rPr>
          <w:rFonts w:asciiTheme="majorBidi" w:hAnsiTheme="majorBidi" w:cstheme="majorBidi"/>
        </w:rPr>
        <w:t>Q14 Based on the Dettol Ad that you just saw, how much do you agree or diasgree with the below statements? I think…</w:t>
      </w:r>
    </w:p>
    <w:tbl>
      <w:tblPr>
        <w:tblStyle w:val="QQuestionTable"/>
        <w:tblW w:w="10164" w:type="dxa"/>
        <w:tblInd w:w="-557" w:type="dxa"/>
        <w:tblLook w:val="07E0" w:firstRow="1" w:lastRow="1" w:firstColumn="1" w:lastColumn="1" w:noHBand="1" w:noVBand="1"/>
      </w:tblPr>
      <w:tblGrid>
        <w:gridCol w:w="1803"/>
        <w:gridCol w:w="1477"/>
        <w:gridCol w:w="1113"/>
        <w:gridCol w:w="957"/>
        <w:gridCol w:w="864"/>
        <w:gridCol w:w="1003"/>
        <w:gridCol w:w="1003"/>
        <w:gridCol w:w="1003"/>
        <w:gridCol w:w="941"/>
      </w:tblGrid>
      <w:tr w:rsidR="00882F28" w:rsidRPr="00E71B8A" w14:paraId="33194B44" w14:textId="77777777" w:rsidTr="000F1636">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803" w:type="dxa"/>
          </w:tcPr>
          <w:p w14:paraId="508B7EC8" w14:textId="77777777" w:rsidR="00882F28" w:rsidRPr="00E71B8A" w:rsidRDefault="00882F28" w:rsidP="00257F65">
            <w:pPr>
              <w:keepNext/>
              <w:rPr>
                <w:rFonts w:asciiTheme="majorBidi" w:hAnsiTheme="majorBidi" w:cstheme="majorBidi"/>
                <w:sz w:val="24"/>
                <w:szCs w:val="24"/>
              </w:rPr>
            </w:pPr>
          </w:p>
        </w:tc>
        <w:tc>
          <w:tcPr>
            <w:tcW w:w="1477" w:type="dxa"/>
          </w:tcPr>
          <w:p w14:paraId="128B999F" w14:textId="77777777" w:rsidR="00882F28" w:rsidRPr="00462F85"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p>
        </w:tc>
        <w:tc>
          <w:tcPr>
            <w:tcW w:w="1113" w:type="dxa"/>
          </w:tcPr>
          <w:p w14:paraId="10912FDF" w14:textId="77777777" w:rsidR="00882F28" w:rsidRPr="00462F85"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2F85">
              <w:rPr>
                <w:rFonts w:asciiTheme="majorBidi" w:hAnsiTheme="majorBidi" w:cstheme="majorBidi"/>
              </w:rPr>
              <w:t>Strongly Agree</w:t>
            </w:r>
          </w:p>
        </w:tc>
        <w:tc>
          <w:tcPr>
            <w:tcW w:w="957" w:type="dxa"/>
          </w:tcPr>
          <w:p w14:paraId="2CE63FF3" w14:textId="77777777" w:rsidR="00882F28" w:rsidRPr="00462F85"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2F85">
              <w:rPr>
                <w:rFonts w:asciiTheme="majorBidi" w:hAnsiTheme="majorBidi" w:cstheme="majorBidi"/>
              </w:rPr>
              <w:t>Agree</w:t>
            </w:r>
          </w:p>
        </w:tc>
        <w:tc>
          <w:tcPr>
            <w:tcW w:w="864" w:type="dxa"/>
          </w:tcPr>
          <w:p w14:paraId="18302120" w14:textId="77777777" w:rsidR="00882F28" w:rsidRPr="00462F85"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2F85">
              <w:rPr>
                <w:rFonts w:asciiTheme="majorBidi" w:hAnsiTheme="majorBidi" w:cstheme="majorBidi"/>
              </w:rPr>
              <w:t>Slightly Agree</w:t>
            </w:r>
          </w:p>
        </w:tc>
        <w:tc>
          <w:tcPr>
            <w:tcW w:w="1003" w:type="dxa"/>
          </w:tcPr>
          <w:p w14:paraId="097385EC" w14:textId="77777777" w:rsidR="00882F28" w:rsidRPr="00462F85"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2F85">
              <w:rPr>
                <w:rFonts w:asciiTheme="majorBidi" w:hAnsiTheme="majorBidi" w:cstheme="majorBidi"/>
              </w:rPr>
              <w:t>Neither Agree or Disagree</w:t>
            </w:r>
          </w:p>
        </w:tc>
        <w:tc>
          <w:tcPr>
            <w:tcW w:w="1003" w:type="dxa"/>
          </w:tcPr>
          <w:p w14:paraId="2FE5522D" w14:textId="77777777" w:rsidR="00882F28" w:rsidRPr="00462F85"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2F85">
              <w:rPr>
                <w:rFonts w:asciiTheme="majorBidi" w:hAnsiTheme="majorBidi" w:cstheme="majorBidi"/>
              </w:rPr>
              <w:t>Slightly Disagree</w:t>
            </w:r>
          </w:p>
        </w:tc>
        <w:tc>
          <w:tcPr>
            <w:tcW w:w="1003" w:type="dxa"/>
          </w:tcPr>
          <w:p w14:paraId="0B8E5EF8" w14:textId="77777777" w:rsidR="00882F28" w:rsidRPr="00462F85"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2F85">
              <w:rPr>
                <w:rFonts w:asciiTheme="majorBidi" w:hAnsiTheme="majorBidi" w:cstheme="majorBidi"/>
              </w:rPr>
              <w:t>Disagree</w:t>
            </w:r>
          </w:p>
        </w:tc>
        <w:tc>
          <w:tcPr>
            <w:tcW w:w="941" w:type="dxa"/>
          </w:tcPr>
          <w:p w14:paraId="6FDE02AB" w14:textId="77777777" w:rsidR="00882F28" w:rsidRPr="00462F85" w:rsidRDefault="00882F28" w:rsidP="00257F65">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62F85">
              <w:rPr>
                <w:rFonts w:asciiTheme="majorBidi" w:hAnsiTheme="majorBidi" w:cstheme="majorBidi"/>
              </w:rPr>
              <w:t>Strongly Disagree</w:t>
            </w:r>
          </w:p>
        </w:tc>
      </w:tr>
      <w:tr w:rsidR="00882F28" w:rsidRPr="00E71B8A" w14:paraId="6F943084" w14:textId="77777777" w:rsidTr="000F1636">
        <w:trPr>
          <w:trHeight w:val="276"/>
        </w:trPr>
        <w:tc>
          <w:tcPr>
            <w:cnfStyle w:val="001000000000" w:firstRow="0" w:lastRow="0" w:firstColumn="1" w:lastColumn="0" w:oddVBand="0" w:evenVBand="0" w:oddHBand="0" w:evenHBand="0" w:firstRowFirstColumn="0" w:firstRowLastColumn="0" w:lastRowFirstColumn="0" w:lastRowLastColumn="0"/>
            <w:tcW w:w="1803" w:type="dxa"/>
          </w:tcPr>
          <w:p w14:paraId="6C692DF7" w14:textId="77777777" w:rsidR="00882F28" w:rsidRPr="00462F85" w:rsidRDefault="00882F28" w:rsidP="00257F65">
            <w:pPr>
              <w:keepNext/>
              <w:rPr>
                <w:rFonts w:asciiTheme="majorBidi" w:hAnsiTheme="majorBidi" w:cstheme="majorBidi"/>
              </w:rPr>
            </w:pPr>
            <w:r w:rsidRPr="00462F85">
              <w:rPr>
                <w:rFonts w:asciiTheme="majorBidi" w:hAnsiTheme="majorBidi" w:cstheme="majorBidi"/>
              </w:rPr>
              <w:t>Dettol is very reliable</w:t>
            </w:r>
          </w:p>
        </w:tc>
        <w:tc>
          <w:tcPr>
            <w:tcW w:w="1477" w:type="dxa"/>
          </w:tcPr>
          <w:p w14:paraId="1A155AC3"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113" w:type="dxa"/>
          </w:tcPr>
          <w:p w14:paraId="4047B266"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57" w:type="dxa"/>
          </w:tcPr>
          <w:p w14:paraId="1993B871"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864" w:type="dxa"/>
          </w:tcPr>
          <w:p w14:paraId="5317822B"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47E99186"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66809CB7"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6F090CEB"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41" w:type="dxa"/>
          </w:tcPr>
          <w:p w14:paraId="4941778D" w14:textId="77777777" w:rsidR="00882F28" w:rsidRPr="00CD2E77" w:rsidRDefault="00882F28" w:rsidP="00257F65">
            <w:pPr>
              <w:keepNext/>
              <w:ind w:left="11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82F28" w:rsidRPr="00E71B8A" w14:paraId="0466ECF3" w14:textId="77777777" w:rsidTr="000F1636">
        <w:trPr>
          <w:trHeight w:val="453"/>
        </w:trPr>
        <w:tc>
          <w:tcPr>
            <w:cnfStyle w:val="001000000000" w:firstRow="0" w:lastRow="0" w:firstColumn="1" w:lastColumn="0" w:oddVBand="0" w:evenVBand="0" w:oddHBand="0" w:evenHBand="0" w:firstRowFirstColumn="0" w:firstRowLastColumn="0" w:lastRowFirstColumn="0" w:lastRowLastColumn="0"/>
            <w:tcW w:w="1803" w:type="dxa"/>
          </w:tcPr>
          <w:p w14:paraId="23161F0E" w14:textId="77777777" w:rsidR="00882F28" w:rsidRPr="00462F85" w:rsidRDefault="00882F28" w:rsidP="00257F65">
            <w:pPr>
              <w:keepNext/>
              <w:rPr>
                <w:rFonts w:asciiTheme="majorBidi" w:hAnsiTheme="majorBidi" w:cstheme="majorBidi"/>
              </w:rPr>
            </w:pPr>
            <w:r w:rsidRPr="00462F85">
              <w:rPr>
                <w:rFonts w:asciiTheme="majorBidi" w:hAnsiTheme="majorBidi" w:cstheme="majorBidi"/>
              </w:rPr>
              <w:t>Dettol performs better than others</w:t>
            </w:r>
          </w:p>
        </w:tc>
        <w:tc>
          <w:tcPr>
            <w:tcW w:w="1477" w:type="dxa"/>
          </w:tcPr>
          <w:p w14:paraId="22B23388"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113" w:type="dxa"/>
          </w:tcPr>
          <w:p w14:paraId="296F9AE9"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57" w:type="dxa"/>
          </w:tcPr>
          <w:p w14:paraId="3996A075"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864" w:type="dxa"/>
          </w:tcPr>
          <w:p w14:paraId="62966ABD"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3F89C461"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233F9069"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5893D772"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41" w:type="dxa"/>
          </w:tcPr>
          <w:p w14:paraId="3ABD1F4F" w14:textId="77777777" w:rsidR="00882F28" w:rsidRPr="00CD2E77" w:rsidRDefault="00882F28" w:rsidP="00257F65">
            <w:pPr>
              <w:keepNext/>
              <w:ind w:left="11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82F28" w:rsidRPr="00E71B8A" w14:paraId="63A8AAB6" w14:textId="77777777" w:rsidTr="000F1636">
        <w:trPr>
          <w:trHeight w:val="670"/>
        </w:trPr>
        <w:tc>
          <w:tcPr>
            <w:cnfStyle w:val="001000000000" w:firstRow="0" w:lastRow="0" w:firstColumn="1" w:lastColumn="0" w:oddVBand="0" w:evenVBand="0" w:oddHBand="0" w:evenHBand="0" w:firstRowFirstColumn="0" w:firstRowLastColumn="0" w:lastRowFirstColumn="0" w:lastRowLastColumn="0"/>
            <w:tcW w:w="1803" w:type="dxa"/>
          </w:tcPr>
          <w:p w14:paraId="7B9CD22F" w14:textId="77777777" w:rsidR="00882F28" w:rsidRPr="00462F85" w:rsidRDefault="00882F28" w:rsidP="00257F65">
            <w:pPr>
              <w:keepNext/>
              <w:rPr>
                <w:rFonts w:asciiTheme="majorBidi" w:hAnsiTheme="majorBidi" w:cstheme="majorBidi"/>
              </w:rPr>
            </w:pPr>
            <w:r w:rsidRPr="00462F85">
              <w:rPr>
                <w:rFonts w:asciiTheme="majorBidi" w:hAnsiTheme="majorBidi" w:cstheme="majorBidi"/>
              </w:rPr>
              <w:t>Dettol makes better products than its competitors</w:t>
            </w:r>
          </w:p>
        </w:tc>
        <w:tc>
          <w:tcPr>
            <w:tcW w:w="1477" w:type="dxa"/>
          </w:tcPr>
          <w:p w14:paraId="4A383FD9"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113" w:type="dxa"/>
          </w:tcPr>
          <w:p w14:paraId="6AF63B86"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57" w:type="dxa"/>
          </w:tcPr>
          <w:p w14:paraId="03567FC4"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864" w:type="dxa"/>
          </w:tcPr>
          <w:p w14:paraId="28702DE3"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729D3354"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13C723DD"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59B7A2FC"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41" w:type="dxa"/>
          </w:tcPr>
          <w:p w14:paraId="74F4853F" w14:textId="77777777" w:rsidR="00882F28" w:rsidRPr="00CD2E77" w:rsidRDefault="00882F28" w:rsidP="00257F65">
            <w:pPr>
              <w:keepNext/>
              <w:ind w:left="11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82F28" w:rsidRPr="00E71B8A" w14:paraId="674C77B8" w14:textId="77777777" w:rsidTr="000F1636">
        <w:trPr>
          <w:trHeight w:val="690"/>
        </w:trPr>
        <w:tc>
          <w:tcPr>
            <w:cnfStyle w:val="001000000000" w:firstRow="0" w:lastRow="0" w:firstColumn="1" w:lastColumn="0" w:oddVBand="0" w:evenVBand="0" w:oddHBand="0" w:evenHBand="0" w:firstRowFirstColumn="0" w:firstRowLastColumn="0" w:lastRowFirstColumn="0" w:lastRowLastColumn="0"/>
            <w:tcW w:w="1803" w:type="dxa"/>
          </w:tcPr>
          <w:p w14:paraId="58A9E673" w14:textId="77777777" w:rsidR="00882F28" w:rsidRPr="00462F85" w:rsidRDefault="00882F28" w:rsidP="00257F65">
            <w:pPr>
              <w:keepNext/>
              <w:rPr>
                <w:rFonts w:asciiTheme="majorBidi" w:hAnsiTheme="majorBidi" w:cstheme="majorBidi"/>
              </w:rPr>
            </w:pPr>
            <w:r w:rsidRPr="00462F85">
              <w:rPr>
                <w:rFonts w:asciiTheme="majorBidi" w:hAnsiTheme="majorBidi" w:cstheme="majorBidi"/>
              </w:rPr>
              <w:t>Dettol’s products are more functional than others</w:t>
            </w:r>
          </w:p>
        </w:tc>
        <w:tc>
          <w:tcPr>
            <w:tcW w:w="1477" w:type="dxa"/>
          </w:tcPr>
          <w:p w14:paraId="08FABDEB"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113" w:type="dxa"/>
          </w:tcPr>
          <w:p w14:paraId="1654A8AE"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57" w:type="dxa"/>
          </w:tcPr>
          <w:p w14:paraId="48D7D98D"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864" w:type="dxa"/>
          </w:tcPr>
          <w:p w14:paraId="1BC1D4DC"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760FBF34"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55273270"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5BC6D8F7"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41" w:type="dxa"/>
          </w:tcPr>
          <w:p w14:paraId="767E533E" w14:textId="77777777" w:rsidR="00882F28" w:rsidRPr="00CD2E77" w:rsidRDefault="00882F28" w:rsidP="00257F65">
            <w:pPr>
              <w:keepNext/>
              <w:ind w:left="1134"/>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882F28" w:rsidRPr="00E71B8A" w14:paraId="407E4497" w14:textId="77777777" w:rsidTr="000F1636">
        <w:trPr>
          <w:trHeight w:val="252"/>
        </w:trPr>
        <w:tc>
          <w:tcPr>
            <w:cnfStyle w:val="001000000000" w:firstRow="0" w:lastRow="0" w:firstColumn="1" w:lastColumn="0" w:oddVBand="0" w:evenVBand="0" w:oddHBand="0" w:evenHBand="0" w:firstRowFirstColumn="0" w:firstRowLastColumn="0" w:lastRowFirstColumn="0" w:lastRowLastColumn="0"/>
            <w:tcW w:w="1803" w:type="dxa"/>
          </w:tcPr>
          <w:p w14:paraId="7B99B3F8" w14:textId="77777777" w:rsidR="00882F28" w:rsidRPr="00462F85" w:rsidRDefault="00882F28" w:rsidP="00257F65">
            <w:pPr>
              <w:keepNext/>
              <w:rPr>
                <w:rFonts w:asciiTheme="majorBidi" w:hAnsiTheme="majorBidi" w:cstheme="majorBidi"/>
              </w:rPr>
            </w:pPr>
            <w:r w:rsidRPr="00462F85">
              <w:rPr>
                <w:rFonts w:asciiTheme="majorBidi" w:hAnsiTheme="majorBidi" w:cstheme="majorBidi"/>
              </w:rPr>
              <w:t>Dettol’s products are well made</w:t>
            </w:r>
          </w:p>
        </w:tc>
        <w:tc>
          <w:tcPr>
            <w:tcW w:w="1477" w:type="dxa"/>
          </w:tcPr>
          <w:p w14:paraId="529A2109"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113" w:type="dxa"/>
          </w:tcPr>
          <w:p w14:paraId="7DF23E7E"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57" w:type="dxa"/>
          </w:tcPr>
          <w:p w14:paraId="51545B03"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864" w:type="dxa"/>
          </w:tcPr>
          <w:p w14:paraId="2C346A04"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71D3F2D1"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6B17342F"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1003" w:type="dxa"/>
          </w:tcPr>
          <w:p w14:paraId="7439DD71" w14:textId="77777777" w:rsidR="00882F28" w:rsidRPr="00EA009A" w:rsidRDefault="00882F28" w:rsidP="00257F65">
            <w:pPr>
              <w:keepN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941" w:type="dxa"/>
          </w:tcPr>
          <w:p w14:paraId="6AF12751" w14:textId="77777777" w:rsidR="00882F28" w:rsidRPr="00CD2E77" w:rsidRDefault="00882F28" w:rsidP="00257F65">
            <w:pPr>
              <w:keepNext/>
              <w:ind w:left="1134"/>
              <w:jc w:val="lef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bl>
    <w:p w14:paraId="471A1991" w14:textId="77777777" w:rsidR="00882F28" w:rsidRPr="00E71B8A" w:rsidRDefault="00882F28" w:rsidP="00882F28">
      <w:pPr>
        <w:rPr>
          <w:rFonts w:asciiTheme="majorBidi" w:hAnsiTheme="majorBidi" w:cstheme="majorBidi"/>
          <w:sz w:val="24"/>
          <w:szCs w:val="24"/>
        </w:rPr>
      </w:pPr>
    </w:p>
    <w:p w14:paraId="4F5398CE" w14:textId="77777777" w:rsidR="00882F28" w:rsidRPr="00E71B8A" w:rsidRDefault="00882F28" w:rsidP="00882F28">
      <w:pPr>
        <w:rPr>
          <w:rFonts w:asciiTheme="majorBidi" w:hAnsiTheme="majorBidi" w:cstheme="majorBidi"/>
          <w:sz w:val="24"/>
          <w:szCs w:val="24"/>
        </w:rPr>
      </w:pPr>
    </w:p>
    <w:p w14:paraId="5519FB77" w14:textId="77777777" w:rsidR="00882F28" w:rsidRPr="00462F85" w:rsidRDefault="00882F28" w:rsidP="00882F28">
      <w:pPr>
        <w:rPr>
          <w:rFonts w:asciiTheme="majorBidi" w:hAnsiTheme="majorBidi" w:cstheme="majorBidi"/>
        </w:rPr>
      </w:pPr>
      <w:r w:rsidRPr="00462F85">
        <w:rPr>
          <w:rFonts w:asciiTheme="majorBidi" w:hAnsiTheme="majorBidi" w:cstheme="majorBidi"/>
        </w:rPr>
        <w:t>Q15 Based on the Dettol ad that you just saw, how much do you agree or disagree with the below statements?</w:t>
      </w:r>
    </w:p>
    <w:tbl>
      <w:tblPr>
        <w:tblStyle w:val="QQuestionTable1"/>
        <w:tblW w:w="10632" w:type="dxa"/>
        <w:tblInd w:w="-993" w:type="dxa"/>
        <w:tblLayout w:type="fixed"/>
        <w:tblLook w:val="07E0" w:firstRow="1" w:lastRow="1" w:firstColumn="1" w:lastColumn="1" w:noHBand="1" w:noVBand="1"/>
      </w:tblPr>
      <w:tblGrid>
        <w:gridCol w:w="2553"/>
        <w:gridCol w:w="1275"/>
        <w:gridCol w:w="851"/>
        <w:gridCol w:w="1134"/>
        <w:gridCol w:w="1417"/>
        <w:gridCol w:w="1134"/>
        <w:gridCol w:w="1134"/>
        <w:gridCol w:w="1134"/>
      </w:tblGrid>
      <w:tr w:rsidR="00571690" w:rsidRPr="00E71B8A" w14:paraId="1AC7FF80" w14:textId="77777777" w:rsidTr="00571690">
        <w:trPr>
          <w:cnfStyle w:val="100000000000" w:firstRow="1" w:lastRow="0" w:firstColumn="0" w:lastColumn="0" w:oddVBand="0" w:evenVBand="0" w:oddHBand="0" w:evenHBand="0" w:firstRowFirstColumn="0" w:firstRowLastColumn="0" w:lastRowFirstColumn="0" w:lastRowLastColumn="0"/>
        </w:trPr>
        <w:tc>
          <w:tcPr>
            <w:tcW w:w="2553" w:type="dxa"/>
          </w:tcPr>
          <w:p w14:paraId="60D0DBE5" w14:textId="77777777" w:rsidR="00882F28" w:rsidRPr="00E71B8A" w:rsidRDefault="00882F28" w:rsidP="00257F65">
            <w:pPr>
              <w:keepNext/>
              <w:rPr>
                <w:rFonts w:asciiTheme="majorBidi" w:hAnsiTheme="majorBidi" w:cstheme="majorBidi"/>
                <w:sz w:val="24"/>
                <w:szCs w:val="24"/>
              </w:rPr>
            </w:pPr>
          </w:p>
        </w:tc>
        <w:tc>
          <w:tcPr>
            <w:tcW w:w="1275" w:type="dxa"/>
          </w:tcPr>
          <w:p w14:paraId="4790CDF6" w14:textId="77777777" w:rsidR="00882F28" w:rsidRPr="00E71B8A" w:rsidRDefault="00882F28" w:rsidP="00257F65">
            <w:pPr>
              <w:rPr>
                <w:rFonts w:asciiTheme="majorBidi" w:hAnsiTheme="majorBidi" w:cstheme="majorBidi"/>
                <w:sz w:val="24"/>
                <w:szCs w:val="24"/>
              </w:rPr>
            </w:pPr>
            <w:r w:rsidRPr="00E71B8A">
              <w:rPr>
                <w:rFonts w:asciiTheme="majorBidi" w:hAnsiTheme="majorBidi" w:cstheme="majorBidi"/>
                <w:sz w:val="24"/>
                <w:szCs w:val="24"/>
              </w:rPr>
              <w:t>Strongly Agree</w:t>
            </w:r>
          </w:p>
        </w:tc>
        <w:tc>
          <w:tcPr>
            <w:tcW w:w="851" w:type="dxa"/>
          </w:tcPr>
          <w:p w14:paraId="193A342E" w14:textId="77777777" w:rsidR="00882F28" w:rsidRPr="00E71B8A" w:rsidRDefault="00882F28" w:rsidP="00257F65">
            <w:pPr>
              <w:rPr>
                <w:rFonts w:asciiTheme="majorBidi" w:hAnsiTheme="majorBidi" w:cstheme="majorBidi"/>
                <w:sz w:val="24"/>
                <w:szCs w:val="24"/>
              </w:rPr>
            </w:pPr>
            <w:r w:rsidRPr="00E71B8A">
              <w:rPr>
                <w:rFonts w:asciiTheme="majorBidi" w:hAnsiTheme="majorBidi" w:cstheme="majorBidi"/>
                <w:sz w:val="24"/>
                <w:szCs w:val="24"/>
              </w:rPr>
              <w:t>Agree</w:t>
            </w:r>
          </w:p>
        </w:tc>
        <w:tc>
          <w:tcPr>
            <w:tcW w:w="1134" w:type="dxa"/>
          </w:tcPr>
          <w:p w14:paraId="68F08C12" w14:textId="77777777" w:rsidR="00882F28" w:rsidRPr="00E71B8A" w:rsidRDefault="00882F28" w:rsidP="00257F65">
            <w:pPr>
              <w:rPr>
                <w:rFonts w:asciiTheme="majorBidi" w:hAnsiTheme="majorBidi" w:cstheme="majorBidi"/>
                <w:sz w:val="24"/>
                <w:szCs w:val="24"/>
              </w:rPr>
            </w:pPr>
            <w:r w:rsidRPr="00E71B8A">
              <w:rPr>
                <w:rFonts w:asciiTheme="majorBidi" w:hAnsiTheme="majorBidi" w:cstheme="majorBidi"/>
                <w:sz w:val="24"/>
                <w:szCs w:val="24"/>
              </w:rPr>
              <w:t>Slightly Agree</w:t>
            </w:r>
          </w:p>
        </w:tc>
        <w:tc>
          <w:tcPr>
            <w:tcW w:w="1417" w:type="dxa"/>
          </w:tcPr>
          <w:p w14:paraId="6F3A73B1" w14:textId="77777777" w:rsidR="00882F28" w:rsidRPr="00E71B8A" w:rsidRDefault="00882F28" w:rsidP="00257F65">
            <w:pPr>
              <w:rPr>
                <w:rFonts w:asciiTheme="majorBidi" w:hAnsiTheme="majorBidi" w:cstheme="majorBidi"/>
                <w:sz w:val="24"/>
                <w:szCs w:val="24"/>
              </w:rPr>
            </w:pPr>
            <w:r w:rsidRPr="00E71B8A">
              <w:rPr>
                <w:rFonts w:asciiTheme="majorBidi" w:hAnsiTheme="majorBidi" w:cstheme="majorBidi"/>
                <w:sz w:val="24"/>
                <w:szCs w:val="24"/>
              </w:rPr>
              <w:t>Neither Agree or Disagree</w:t>
            </w:r>
          </w:p>
        </w:tc>
        <w:tc>
          <w:tcPr>
            <w:tcW w:w="1134" w:type="dxa"/>
          </w:tcPr>
          <w:p w14:paraId="30752F62" w14:textId="77777777" w:rsidR="00882F28" w:rsidRPr="00E71B8A" w:rsidRDefault="00882F28" w:rsidP="00257F65">
            <w:pPr>
              <w:rPr>
                <w:rFonts w:asciiTheme="majorBidi" w:hAnsiTheme="majorBidi" w:cstheme="majorBidi"/>
                <w:sz w:val="24"/>
                <w:szCs w:val="24"/>
              </w:rPr>
            </w:pPr>
            <w:r w:rsidRPr="00E71B8A">
              <w:rPr>
                <w:rFonts w:asciiTheme="majorBidi" w:hAnsiTheme="majorBidi" w:cstheme="majorBidi"/>
                <w:sz w:val="24"/>
                <w:szCs w:val="24"/>
              </w:rPr>
              <w:t>Slightly Disagree</w:t>
            </w:r>
          </w:p>
        </w:tc>
        <w:tc>
          <w:tcPr>
            <w:tcW w:w="1134" w:type="dxa"/>
          </w:tcPr>
          <w:p w14:paraId="1AA7939A" w14:textId="77777777" w:rsidR="00882F28" w:rsidRPr="00E71B8A" w:rsidRDefault="00882F28" w:rsidP="00257F65">
            <w:pPr>
              <w:rPr>
                <w:rFonts w:asciiTheme="majorBidi" w:hAnsiTheme="majorBidi" w:cstheme="majorBidi"/>
                <w:sz w:val="24"/>
                <w:szCs w:val="24"/>
              </w:rPr>
            </w:pPr>
            <w:r w:rsidRPr="00E71B8A">
              <w:rPr>
                <w:rFonts w:asciiTheme="majorBidi" w:hAnsiTheme="majorBidi" w:cstheme="majorBidi"/>
                <w:sz w:val="24"/>
                <w:szCs w:val="24"/>
              </w:rPr>
              <w:t>Disagree</w:t>
            </w:r>
          </w:p>
        </w:tc>
        <w:tc>
          <w:tcPr>
            <w:cnfStyle w:val="000100000000" w:firstRow="0" w:lastRow="0" w:firstColumn="0" w:lastColumn="1" w:oddVBand="0" w:evenVBand="0" w:oddHBand="0" w:evenHBand="0" w:firstRowFirstColumn="0" w:firstRowLastColumn="0" w:lastRowFirstColumn="0" w:lastRowLastColumn="0"/>
            <w:tcW w:w="1134" w:type="dxa"/>
          </w:tcPr>
          <w:p w14:paraId="29D63BFC" w14:textId="77777777" w:rsidR="00882F28" w:rsidRPr="00E71B8A" w:rsidRDefault="00882F28" w:rsidP="00257F65">
            <w:pPr>
              <w:rPr>
                <w:rFonts w:asciiTheme="majorBidi" w:hAnsiTheme="majorBidi" w:cstheme="majorBidi"/>
                <w:sz w:val="24"/>
                <w:szCs w:val="24"/>
              </w:rPr>
            </w:pPr>
            <w:r w:rsidRPr="00E71B8A">
              <w:rPr>
                <w:rFonts w:asciiTheme="majorBidi" w:hAnsiTheme="majorBidi" w:cstheme="majorBidi"/>
                <w:sz w:val="24"/>
                <w:szCs w:val="24"/>
              </w:rPr>
              <w:t>Strongly Disagree</w:t>
            </w:r>
          </w:p>
        </w:tc>
      </w:tr>
      <w:tr w:rsidR="00882F28" w:rsidRPr="00E71B8A" w14:paraId="3D441102" w14:textId="77777777" w:rsidTr="00571690">
        <w:tc>
          <w:tcPr>
            <w:tcW w:w="2553" w:type="dxa"/>
          </w:tcPr>
          <w:p w14:paraId="05A199E2"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strongly believe that Dettol can keep its promise to me.</w:t>
            </w:r>
          </w:p>
        </w:tc>
        <w:tc>
          <w:tcPr>
            <w:tcW w:w="1275" w:type="dxa"/>
          </w:tcPr>
          <w:p w14:paraId="2399386A" w14:textId="77777777" w:rsidR="00882F28" w:rsidRPr="00EA009A" w:rsidRDefault="00882F28" w:rsidP="00257F65">
            <w:pPr>
              <w:keepNext/>
              <w:rPr>
                <w:rFonts w:asciiTheme="majorBidi" w:hAnsiTheme="majorBidi" w:cstheme="majorBidi"/>
                <w:sz w:val="24"/>
                <w:szCs w:val="24"/>
              </w:rPr>
            </w:pPr>
          </w:p>
        </w:tc>
        <w:tc>
          <w:tcPr>
            <w:tcW w:w="851" w:type="dxa"/>
          </w:tcPr>
          <w:p w14:paraId="4815EEA8" w14:textId="77777777" w:rsidR="00882F28" w:rsidRPr="00EA009A" w:rsidRDefault="00882F28" w:rsidP="00257F65">
            <w:pPr>
              <w:keepNext/>
              <w:rPr>
                <w:rFonts w:asciiTheme="majorBidi" w:hAnsiTheme="majorBidi" w:cstheme="majorBidi"/>
                <w:sz w:val="24"/>
                <w:szCs w:val="24"/>
              </w:rPr>
            </w:pPr>
          </w:p>
        </w:tc>
        <w:tc>
          <w:tcPr>
            <w:tcW w:w="1134" w:type="dxa"/>
          </w:tcPr>
          <w:p w14:paraId="0C718D0F" w14:textId="77777777" w:rsidR="00882F28" w:rsidRPr="00EA009A" w:rsidRDefault="00882F28" w:rsidP="00257F65">
            <w:pPr>
              <w:keepNext/>
              <w:rPr>
                <w:rFonts w:asciiTheme="majorBidi" w:hAnsiTheme="majorBidi" w:cstheme="majorBidi"/>
                <w:sz w:val="24"/>
                <w:szCs w:val="24"/>
              </w:rPr>
            </w:pPr>
          </w:p>
        </w:tc>
        <w:tc>
          <w:tcPr>
            <w:tcW w:w="1417" w:type="dxa"/>
          </w:tcPr>
          <w:p w14:paraId="7B3D2CBF" w14:textId="77777777" w:rsidR="00882F28" w:rsidRPr="00EA009A" w:rsidRDefault="00882F28" w:rsidP="00257F65">
            <w:pPr>
              <w:keepNext/>
              <w:rPr>
                <w:rFonts w:asciiTheme="majorBidi" w:hAnsiTheme="majorBidi" w:cstheme="majorBidi"/>
                <w:sz w:val="24"/>
                <w:szCs w:val="24"/>
              </w:rPr>
            </w:pPr>
          </w:p>
        </w:tc>
        <w:tc>
          <w:tcPr>
            <w:tcW w:w="1134" w:type="dxa"/>
          </w:tcPr>
          <w:p w14:paraId="74EA9358" w14:textId="77777777" w:rsidR="00882F28" w:rsidRPr="00EA009A" w:rsidRDefault="00882F28" w:rsidP="00257F65">
            <w:pPr>
              <w:keepNext/>
              <w:rPr>
                <w:rFonts w:asciiTheme="majorBidi" w:hAnsiTheme="majorBidi" w:cstheme="majorBidi"/>
                <w:sz w:val="24"/>
                <w:szCs w:val="24"/>
              </w:rPr>
            </w:pPr>
          </w:p>
        </w:tc>
        <w:tc>
          <w:tcPr>
            <w:tcW w:w="1134" w:type="dxa"/>
          </w:tcPr>
          <w:p w14:paraId="66238FD3"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7D519167" w14:textId="77777777" w:rsidR="00882F28" w:rsidRPr="00EA009A" w:rsidRDefault="00882F28" w:rsidP="00257F65">
            <w:pPr>
              <w:keepNext/>
              <w:rPr>
                <w:rFonts w:asciiTheme="majorBidi" w:hAnsiTheme="majorBidi" w:cstheme="majorBidi"/>
                <w:sz w:val="24"/>
                <w:szCs w:val="24"/>
              </w:rPr>
            </w:pPr>
          </w:p>
        </w:tc>
      </w:tr>
      <w:tr w:rsidR="00882F28" w:rsidRPr="00E71B8A" w14:paraId="628868EE" w14:textId="77777777" w:rsidTr="00571690">
        <w:trPr>
          <w:trHeight w:val="513"/>
        </w:trPr>
        <w:tc>
          <w:tcPr>
            <w:tcW w:w="2553" w:type="dxa"/>
          </w:tcPr>
          <w:p w14:paraId="774D457A"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Dettol is associated with a positive motive.</w:t>
            </w:r>
          </w:p>
        </w:tc>
        <w:tc>
          <w:tcPr>
            <w:tcW w:w="1275" w:type="dxa"/>
          </w:tcPr>
          <w:p w14:paraId="6A6F4BA9" w14:textId="77777777" w:rsidR="00882F28" w:rsidRPr="00EA009A" w:rsidRDefault="00882F28" w:rsidP="00257F65">
            <w:pPr>
              <w:keepNext/>
              <w:rPr>
                <w:rFonts w:asciiTheme="majorBidi" w:hAnsiTheme="majorBidi" w:cstheme="majorBidi"/>
                <w:sz w:val="24"/>
                <w:szCs w:val="24"/>
              </w:rPr>
            </w:pPr>
          </w:p>
        </w:tc>
        <w:tc>
          <w:tcPr>
            <w:tcW w:w="851" w:type="dxa"/>
          </w:tcPr>
          <w:p w14:paraId="4AB6736D" w14:textId="77777777" w:rsidR="00882F28" w:rsidRPr="00EA009A" w:rsidRDefault="00882F28" w:rsidP="00257F65">
            <w:pPr>
              <w:keepNext/>
              <w:rPr>
                <w:rFonts w:asciiTheme="majorBidi" w:hAnsiTheme="majorBidi" w:cstheme="majorBidi"/>
                <w:sz w:val="24"/>
                <w:szCs w:val="24"/>
              </w:rPr>
            </w:pPr>
          </w:p>
        </w:tc>
        <w:tc>
          <w:tcPr>
            <w:tcW w:w="1134" w:type="dxa"/>
          </w:tcPr>
          <w:p w14:paraId="5476FF0D" w14:textId="77777777" w:rsidR="00882F28" w:rsidRPr="00EA009A" w:rsidRDefault="00882F28" w:rsidP="00257F65">
            <w:pPr>
              <w:keepNext/>
              <w:rPr>
                <w:rFonts w:asciiTheme="majorBidi" w:hAnsiTheme="majorBidi" w:cstheme="majorBidi"/>
                <w:sz w:val="24"/>
                <w:szCs w:val="24"/>
              </w:rPr>
            </w:pPr>
          </w:p>
        </w:tc>
        <w:tc>
          <w:tcPr>
            <w:tcW w:w="1417" w:type="dxa"/>
          </w:tcPr>
          <w:p w14:paraId="7423897C" w14:textId="77777777" w:rsidR="00882F28" w:rsidRPr="00EA009A" w:rsidRDefault="00882F28" w:rsidP="00257F65">
            <w:pPr>
              <w:keepNext/>
              <w:rPr>
                <w:rFonts w:asciiTheme="majorBidi" w:hAnsiTheme="majorBidi" w:cstheme="majorBidi"/>
                <w:sz w:val="24"/>
                <w:szCs w:val="24"/>
              </w:rPr>
            </w:pPr>
          </w:p>
        </w:tc>
        <w:tc>
          <w:tcPr>
            <w:tcW w:w="1134" w:type="dxa"/>
          </w:tcPr>
          <w:p w14:paraId="125E4C3E" w14:textId="77777777" w:rsidR="00882F28" w:rsidRPr="00EA009A" w:rsidRDefault="00882F28" w:rsidP="00257F65">
            <w:pPr>
              <w:keepNext/>
              <w:rPr>
                <w:rFonts w:asciiTheme="majorBidi" w:hAnsiTheme="majorBidi" w:cstheme="majorBidi"/>
                <w:sz w:val="24"/>
                <w:szCs w:val="24"/>
              </w:rPr>
            </w:pPr>
          </w:p>
        </w:tc>
        <w:tc>
          <w:tcPr>
            <w:tcW w:w="1134" w:type="dxa"/>
          </w:tcPr>
          <w:p w14:paraId="469F931B"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72DB4F91" w14:textId="77777777" w:rsidR="00882F28" w:rsidRPr="00EA009A" w:rsidRDefault="00882F28" w:rsidP="00257F65">
            <w:pPr>
              <w:keepNext/>
              <w:rPr>
                <w:rFonts w:asciiTheme="majorBidi" w:hAnsiTheme="majorBidi" w:cstheme="majorBidi"/>
                <w:sz w:val="24"/>
                <w:szCs w:val="24"/>
              </w:rPr>
            </w:pPr>
          </w:p>
        </w:tc>
      </w:tr>
      <w:tr w:rsidR="00882F28" w:rsidRPr="00E71B8A" w14:paraId="6016C1F5" w14:textId="77777777" w:rsidTr="00571690">
        <w:tc>
          <w:tcPr>
            <w:tcW w:w="2553" w:type="dxa"/>
          </w:tcPr>
          <w:p w14:paraId="262E6B06"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feel that I am favoured and given priority by Dettol.</w:t>
            </w:r>
          </w:p>
        </w:tc>
        <w:tc>
          <w:tcPr>
            <w:tcW w:w="1275" w:type="dxa"/>
          </w:tcPr>
          <w:p w14:paraId="5DCC829F" w14:textId="77777777" w:rsidR="00882F28" w:rsidRPr="00EA009A" w:rsidRDefault="00882F28" w:rsidP="00257F65">
            <w:pPr>
              <w:keepNext/>
              <w:rPr>
                <w:rFonts w:asciiTheme="majorBidi" w:hAnsiTheme="majorBidi" w:cstheme="majorBidi"/>
                <w:sz w:val="24"/>
                <w:szCs w:val="24"/>
              </w:rPr>
            </w:pPr>
          </w:p>
        </w:tc>
        <w:tc>
          <w:tcPr>
            <w:tcW w:w="851" w:type="dxa"/>
          </w:tcPr>
          <w:p w14:paraId="09BBE582" w14:textId="77777777" w:rsidR="00882F28" w:rsidRPr="00EA009A" w:rsidRDefault="00882F28" w:rsidP="00257F65">
            <w:pPr>
              <w:keepNext/>
              <w:rPr>
                <w:rFonts w:asciiTheme="majorBidi" w:hAnsiTheme="majorBidi" w:cstheme="majorBidi"/>
                <w:sz w:val="24"/>
                <w:szCs w:val="24"/>
              </w:rPr>
            </w:pPr>
          </w:p>
        </w:tc>
        <w:tc>
          <w:tcPr>
            <w:tcW w:w="1134" w:type="dxa"/>
          </w:tcPr>
          <w:p w14:paraId="0860543E" w14:textId="77777777" w:rsidR="00882F28" w:rsidRPr="00EA009A" w:rsidRDefault="00882F28" w:rsidP="00257F65">
            <w:pPr>
              <w:keepNext/>
              <w:rPr>
                <w:rFonts w:asciiTheme="majorBidi" w:hAnsiTheme="majorBidi" w:cstheme="majorBidi"/>
                <w:sz w:val="24"/>
                <w:szCs w:val="24"/>
              </w:rPr>
            </w:pPr>
          </w:p>
        </w:tc>
        <w:tc>
          <w:tcPr>
            <w:tcW w:w="1417" w:type="dxa"/>
          </w:tcPr>
          <w:p w14:paraId="728C81D9" w14:textId="77777777" w:rsidR="00882F28" w:rsidRPr="00EA009A" w:rsidRDefault="00882F28" w:rsidP="00257F65">
            <w:pPr>
              <w:keepNext/>
              <w:rPr>
                <w:rFonts w:asciiTheme="majorBidi" w:hAnsiTheme="majorBidi" w:cstheme="majorBidi"/>
                <w:sz w:val="24"/>
                <w:szCs w:val="24"/>
              </w:rPr>
            </w:pPr>
          </w:p>
        </w:tc>
        <w:tc>
          <w:tcPr>
            <w:tcW w:w="1134" w:type="dxa"/>
          </w:tcPr>
          <w:p w14:paraId="135E4BEF" w14:textId="77777777" w:rsidR="00882F28" w:rsidRPr="00EA009A" w:rsidRDefault="00882F28" w:rsidP="00257F65">
            <w:pPr>
              <w:keepNext/>
              <w:rPr>
                <w:rFonts w:asciiTheme="majorBidi" w:hAnsiTheme="majorBidi" w:cstheme="majorBidi"/>
                <w:sz w:val="24"/>
                <w:szCs w:val="24"/>
              </w:rPr>
            </w:pPr>
          </w:p>
        </w:tc>
        <w:tc>
          <w:tcPr>
            <w:tcW w:w="1134" w:type="dxa"/>
          </w:tcPr>
          <w:p w14:paraId="2393CB18"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77E32531" w14:textId="77777777" w:rsidR="00882F28" w:rsidRPr="00EA009A" w:rsidRDefault="00882F28" w:rsidP="00257F65">
            <w:pPr>
              <w:keepNext/>
              <w:rPr>
                <w:rFonts w:asciiTheme="majorBidi" w:hAnsiTheme="majorBidi" w:cstheme="majorBidi"/>
                <w:sz w:val="24"/>
                <w:szCs w:val="24"/>
              </w:rPr>
            </w:pPr>
          </w:p>
        </w:tc>
      </w:tr>
      <w:tr w:rsidR="00882F28" w:rsidRPr="00E71B8A" w14:paraId="384B9203" w14:textId="77777777" w:rsidTr="00571690">
        <w:tc>
          <w:tcPr>
            <w:tcW w:w="2553" w:type="dxa"/>
          </w:tcPr>
          <w:p w14:paraId="641BC944"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believe that Dettol continues to get better and better.</w:t>
            </w:r>
          </w:p>
        </w:tc>
        <w:tc>
          <w:tcPr>
            <w:tcW w:w="1275" w:type="dxa"/>
          </w:tcPr>
          <w:p w14:paraId="190519CF" w14:textId="77777777" w:rsidR="00882F28" w:rsidRPr="00EA009A" w:rsidRDefault="00882F28" w:rsidP="00257F65">
            <w:pPr>
              <w:keepNext/>
              <w:rPr>
                <w:rFonts w:asciiTheme="majorBidi" w:hAnsiTheme="majorBidi" w:cstheme="majorBidi"/>
                <w:sz w:val="24"/>
                <w:szCs w:val="24"/>
              </w:rPr>
            </w:pPr>
          </w:p>
        </w:tc>
        <w:tc>
          <w:tcPr>
            <w:tcW w:w="851" w:type="dxa"/>
          </w:tcPr>
          <w:p w14:paraId="73BBE773" w14:textId="77777777" w:rsidR="00882F28" w:rsidRPr="00EA009A" w:rsidRDefault="00882F28" w:rsidP="00257F65">
            <w:pPr>
              <w:keepNext/>
              <w:rPr>
                <w:rFonts w:asciiTheme="majorBidi" w:hAnsiTheme="majorBidi" w:cstheme="majorBidi"/>
                <w:sz w:val="24"/>
                <w:szCs w:val="24"/>
              </w:rPr>
            </w:pPr>
          </w:p>
        </w:tc>
        <w:tc>
          <w:tcPr>
            <w:tcW w:w="1134" w:type="dxa"/>
          </w:tcPr>
          <w:p w14:paraId="0AAB0B09" w14:textId="77777777" w:rsidR="00882F28" w:rsidRPr="00EA009A" w:rsidRDefault="00882F28" w:rsidP="00257F65">
            <w:pPr>
              <w:keepNext/>
              <w:rPr>
                <w:rFonts w:asciiTheme="majorBidi" w:hAnsiTheme="majorBidi" w:cstheme="majorBidi"/>
                <w:sz w:val="24"/>
                <w:szCs w:val="24"/>
              </w:rPr>
            </w:pPr>
          </w:p>
        </w:tc>
        <w:tc>
          <w:tcPr>
            <w:tcW w:w="1417" w:type="dxa"/>
          </w:tcPr>
          <w:p w14:paraId="5ED30D3E" w14:textId="77777777" w:rsidR="00882F28" w:rsidRPr="00EA009A" w:rsidRDefault="00882F28" w:rsidP="00257F65">
            <w:pPr>
              <w:keepNext/>
              <w:rPr>
                <w:rFonts w:asciiTheme="majorBidi" w:hAnsiTheme="majorBidi" w:cstheme="majorBidi"/>
                <w:sz w:val="24"/>
                <w:szCs w:val="24"/>
              </w:rPr>
            </w:pPr>
          </w:p>
        </w:tc>
        <w:tc>
          <w:tcPr>
            <w:tcW w:w="1134" w:type="dxa"/>
          </w:tcPr>
          <w:p w14:paraId="61AFED78" w14:textId="77777777" w:rsidR="00882F28" w:rsidRPr="00EA009A" w:rsidRDefault="00882F28" w:rsidP="00257F65">
            <w:pPr>
              <w:keepNext/>
              <w:rPr>
                <w:rFonts w:asciiTheme="majorBidi" w:hAnsiTheme="majorBidi" w:cstheme="majorBidi"/>
                <w:sz w:val="24"/>
                <w:szCs w:val="24"/>
              </w:rPr>
            </w:pPr>
          </w:p>
        </w:tc>
        <w:tc>
          <w:tcPr>
            <w:tcW w:w="1134" w:type="dxa"/>
          </w:tcPr>
          <w:p w14:paraId="35360EA7"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75DCF262" w14:textId="77777777" w:rsidR="00882F28" w:rsidRPr="00EA009A" w:rsidRDefault="00882F28" w:rsidP="00257F65">
            <w:pPr>
              <w:keepNext/>
              <w:rPr>
                <w:rFonts w:asciiTheme="majorBidi" w:hAnsiTheme="majorBidi" w:cstheme="majorBidi"/>
                <w:sz w:val="24"/>
                <w:szCs w:val="24"/>
              </w:rPr>
            </w:pPr>
          </w:p>
        </w:tc>
      </w:tr>
      <w:tr w:rsidR="00882F28" w:rsidRPr="00E71B8A" w14:paraId="46564645" w14:textId="77777777" w:rsidTr="00571690">
        <w:tc>
          <w:tcPr>
            <w:tcW w:w="2553" w:type="dxa"/>
          </w:tcPr>
          <w:p w14:paraId="462D5308"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stay with Dettol because I am dependent on it.</w:t>
            </w:r>
          </w:p>
        </w:tc>
        <w:tc>
          <w:tcPr>
            <w:tcW w:w="1275" w:type="dxa"/>
          </w:tcPr>
          <w:p w14:paraId="53D740DB" w14:textId="77777777" w:rsidR="00882F28" w:rsidRPr="00EA009A" w:rsidRDefault="00882F28" w:rsidP="00257F65">
            <w:pPr>
              <w:keepNext/>
              <w:rPr>
                <w:rFonts w:asciiTheme="majorBidi" w:hAnsiTheme="majorBidi" w:cstheme="majorBidi"/>
                <w:sz w:val="24"/>
                <w:szCs w:val="24"/>
              </w:rPr>
            </w:pPr>
          </w:p>
        </w:tc>
        <w:tc>
          <w:tcPr>
            <w:tcW w:w="851" w:type="dxa"/>
          </w:tcPr>
          <w:p w14:paraId="03E0016E" w14:textId="77777777" w:rsidR="00882F28" w:rsidRPr="00EA009A" w:rsidRDefault="00882F28" w:rsidP="00257F65">
            <w:pPr>
              <w:keepNext/>
              <w:rPr>
                <w:rFonts w:asciiTheme="majorBidi" w:hAnsiTheme="majorBidi" w:cstheme="majorBidi"/>
                <w:sz w:val="24"/>
                <w:szCs w:val="24"/>
              </w:rPr>
            </w:pPr>
          </w:p>
        </w:tc>
        <w:tc>
          <w:tcPr>
            <w:tcW w:w="1134" w:type="dxa"/>
          </w:tcPr>
          <w:p w14:paraId="43A393B4" w14:textId="77777777" w:rsidR="00882F28" w:rsidRPr="00EA009A" w:rsidRDefault="00882F28" w:rsidP="00257F65">
            <w:pPr>
              <w:keepNext/>
              <w:rPr>
                <w:rFonts w:asciiTheme="majorBidi" w:hAnsiTheme="majorBidi" w:cstheme="majorBidi"/>
                <w:sz w:val="24"/>
                <w:szCs w:val="24"/>
              </w:rPr>
            </w:pPr>
          </w:p>
        </w:tc>
        <w:tc>
          <w:tcPr>
            <w:tcW w:w="1417" w:type="dxa"/>
          </w:tcPr>
          <w:p w14:paraId="756649D0" w14:textId="77777777" w:rsidR="00882F28" w:rsidRPr="00EA009A" w:rsidRDefault="00882F28" w:rsidP="00257F65">
            <w:pPr>
              <w:keepNext/>
              <w:rPr>
                <w:rFonts w:asciiTheme="majorBidi" w:hAnsiTheme="majorBidi" w:cstheme="majorBidi"/>
                <w:sz w:val="24"/>
                <w:szCs w:val="24"/>
              </w:rPr>
            </w:pPr>
          </w:p>
        </w:tc>
        <w:tc>
          <w:tcPr>
            <w:tcW w:w="1134" w:type="dxa"/>
          </w:tcPr>
          <w:p w14:paraId="702AA034" w14:textId="77777777" w:rsidR="00882F28" w:rsidRPr="00EA009A" w:rsidRDefault="00882F28" w:rsidP="00257F65">
            <w:pPr>
              <w:keepNext/>
              <w:rPr>
                <w:rFonts w:asciiTheme="majorBidi" w:hAnsiTheme="majorBidi" w:cstheme="majorBidi"/>
                <w:sz w:val="24"/>
                <w:szCs w:val="24"/>
              </w:rPr>
            </w:pPr>
          </w:p>
        </w:tc>
        <w:tc>
          <w:tcPr>
            <w:tcW w:w="1134" w:type="dxa"/>
          </w:tcPr>
          <w:p w14:paraId="2E50DD9B"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6F5260BE" w14:textId="77777777" w:rsidR="00882F28" w:rsidRPr="00EA009A" w:rsidRDefault="00882F28" w:rsidP="00257F65">
            <w:pPr>
              <w:keepNext/>
              <w:rPr>
                <w:rFonts w:asciiTheme="majorBidi" w:hAnsiTheme="majorBidi" w:cstheme="majorBidi"/>
                <w:sz w:val="24"/>
                <w:szCs w:val="24"/>
              </w:rPr>
            </w:pPr>
          </w:p>
        </w:tc>
      </w:tr>
      <w:tr w:rsidR="00882F28" w:rsidRPr="00E71B8A" w14:paraId="3036DDD4" w14:textId="77777777" w:rsidTr="00571690">
        <w:tc>
          <w:tcPr>
            <w:tcW w:w="2553" w:type="dxa"/>
          </w:tcPr>
          <w:p w14:paraId="76D2989C"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feel attached to Dettol</w:t>
            </w:r>
          </w:p>
        </w:tc>
        <w:tc>
          <w:tcPr>
            <w:tcW w:w="1275" w:type="dxa"/>
          </w:tcPr>
          <w:p w14:paraId="083586D2" w14:textId="77777777" w:rsidR="00882F28" w:rsidRPr="00EA009A" w:rsidRDefault="00882F28" w:rsidP="00257F65">
            <w:pPr>
              <w:keepNext/>
              <w:rPr>
                <w:rFonts w:asciiTheme="majorBidi" w:hAnsiTheme="majorBidi" w:cstheme="majorBidi"/>
                <w:sz w:val="24"/>
                <w:szCs w:val="24"/>
              </w:rPr>
            </w:pPr>
          </w:p>
        </w:tc>
        <w:tc>
          <w:tcPr>
            <w:tcW w:w="851" w:type="dxa"/>
          </w:tcPr>
          <w:p w14:paraId="0881DA5E" w14:textId="77777777" w:rsidR="00882F28" w:rsidRPr="00EA009A" w:rsidRDefault="00882F28" w:rsidP="00257F65">
            <w:pPr>
              <w:keepNext/>
              <w:rPr>
                <w:rFonts w:asciiTheme="majorBidi" w:hAnsiTheme="majorBidi" w:cstheme="majorBidi"/>
                <w:sz w:val="24"/>
                <w:szCs w:val="24"/>
              </w:rPr>
            </w:pPr>
          </w:p>
        </w:tc>
        <w:tc>
          <w:tcPr>
            <w:tcW w:w="1134" w:type="dxa"/>
          </w:tcPr>
          <w:p w14:paraId="78A304D6" w14:textId="77777777" w:rsidR="00882F28" w:rsidRPr="00EA009A" w:rsidRDefault="00882F28" w:rsidP="00257F65">
            <w:pPr>
              <w:keepNext/>
              <w:rPr>
                <w:rFonts w:asciiTheme="majorBidi" w:hAnsiTheme="majorBidi" w:cstheme="majorBidi"/>
                <w:sz w:val="24"/>
                <w:szCs w:val="24"/>
              </w:rPr>
            </w:pPr>
          </w:p>
        </w:tc>
        <w:tc>
          <w:tcPr>
            <w:tcW w:w="1417" w:type="dxa"/>
          </w:tcPr>
          <w:p w14:paraId="20FD8AE4" w14:textId="77777777" w:rsidR="00882F28" w:rsidRPr="00EA009A" w:rsidRDefault="00882F28" w:rsidP="00257F65">
            <w:pPr>
              <w:keepNext/>
              <w:rPr>
                <w:rFonts w:asciiTheme="majorBidi" w:hAnsiTheme="majorBidi" w:cstheme="majorBidi"/>
                <w:sz w:val="24"/>
                <w:szCs w:val="24"/>
              </w:rPr>
            </w:pPr>
          </w:p>
        </w:tc>
        <w:tc>
          <w:tcPr>
            <w:tcW w:w="1134" w:type="dxa"/>
          </w:tcPr>
          <w:p w14:paraId="39C61E20" w14:textId="77777777" w:rsidR="00882F28" w:rsidRPr="00EA009A" w:rsidRDefault="00882F28" w:rsidP="00257F65">
            <w:pPr>
              <w:keepNext/>
              <w:rPr>
                <w:rFonts w:asciiTheme="majorBidi" w:hAnsiTheme="majorBidi" w:cstheme="majorBidi"/>
                <w:sz w:val="24"/>
                <w:szCs w:val="24"/>
              </w:rPr>
            </w:pPr>
          </w:p>
        </w:tc>
        <w:tc>
          <w:tcPr>
            <w:tcW w:w="1134" w:type="dxa"/>
          </w:tcPr>
          <w:p w14:paraId="007E8E8A"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122F009A" w14:textId="77777777" w:rsidR="00882F28" w:rsidRPr="00EA009A" w:rsidRDefault="00882F28" w:rsidP="00257F65">
            <w:pPr>
              <w:keepNext/>
              <w:rPr>
                <w:rFonts w:asciiTheme="majorBidi" w:hAnsiTheme="majorBidi" w:cstheme="majorBidi"/>
                <w:sz w:val="24"/>
                <w:szCs w:val="24"/>
              </w:rPr>
            </w:pPr>
          </w:p>
        </w:tc>
      </w:tr>
      <w:tr w:rsidR="00882F28" w:rsidRPr="00E71B8A" w14:paraId="346EC7B0" w14:textId="77777777" w:rsidTr="00571690">
        <w:tc>
          <w:tcPr>
            <w:tcW w:w="2553" w:type="dxa"/>
          </w:tcPr>
          <w:p w14:paraId="43E8D0BD"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Dettol openly shares information with me.</w:t>
            </w:r>
          </w:p>
        </w:tc>
        <w:tc>
          <w:tcPr>
            <w:tcW w:w="1275" w:type="dxa"/>
          </w:tcPr>
          <w:p w14:paraId="559CC620" w14:textId="77777777" w:rsidR="00882F28" w:rsidRPr="00EA009A" w:rsidRDefault="00882F28" w:rsidP="00257F65">
            <w:pPr>
              <w:keepNext/>
              <w:rPr>
                <w:rFonts w:asciiTheme="majorBidi" w:hAnsiTheme="majorBidi" w:cstheme="majorBidi"/>
                <w:sz w:val="24"/>
                <w:szCs w:val="24"/>
              </w:rPr>
            </w:pPr>
          </w:p>
        </w:tc>
        <w:tc>
          <w:tcPr>
            <w:tcW w:w="851" w:type="dxa"/>
          </w:tcPr>
          <w:p w14:paraId="7A69AB83" w14:textId="77777777" w:rsidR="00882F28" w:rsidRPr="00EA009A" w:rsidRDefault="00882F28" w:rsidP="00257F65">
            <w:pPr>
              <w:keepNext/>
              <w:rPr>
                <w:rFonts w:asciiTheme="majorBidi" w:hAnsiTheme="majorBidi" w:cstheme="majorBidi"/>
                <w:sz w:val="24"/>
                <w:szCs w:val="24"/>
              </w:rPr>
            </w:pPr>
          </w:p>
        </w:tc>
        <w:tc>
          <w:tcPr>
            <w:tcW w:w="1134" w:type="dxa"/>
          </w:tcPr>
          <w:p w14:paraId="42E5C464" w14:textId="77777777" w:rsidR="00882F28" w:rsidRPr="00EA009A" w:rsidRDefault="00882F28" w:rsidP="00257F65">
            <w:pPr>
              <w:keepNext/>
              <w:rPr>
                <w:rFonts w:asciiTheme="majorBidi" w:hAnsiTheme="majorBidi" w:cstheme="majorBidi"/>
                <w:sz w:val="24"/>
                <w:szCs w:val="24"/>
              </w:rPr>
            </w:pPr>
          </w:p>
        </w:tc>
        <w:tc>
          <w:tcPr>
            <w:tcW w:w="1417" w:type="dxa"/>
          </w:tcPr>
          <w:p w14:paraId="03ABF74A" w14:textId="77777777" w:rsidR="00882F28" w:rsidRPr="00EA009A" w:rsidRDefault="00882F28" w:rsidP="00257F65">
            <w:pPr>
              <w:keepNext/>
              <w:rPr>
                <w:rFonts w:asciiTheme="majorBidi" w:hAnsiTheme="majorBidi" w:cstheme="majorBidi"/>
                <w:sz w:val="24"/>
                <w:szCs w:val="24"/>
              </w:rPr>
            </w:pPr>
          </w:p>
        </w:tc>
        <w:tc>
          <w:tcPr>
            <w:tcW w:w="1134" w:type="dxa"/>
          </w:tcPr>
          <w:p w14:paraId="773A85E1" w14:textId="77777777" w:rsidR="00882F28" w:rsidRPr="00EA009A" w:rsidRDefault="00882F28" w:rsidP="00257F65">
            <w:pPr>
              <w:keepNext/>
              <w:rPr>
                <w:rFonts w:asciiTheme="majorBidi" w:hAnsiTheme="majorBidi" w:cstheme="majorBidi"/>
                <w:sz w:val="24"/>
                <w:szCs w:val="24"/>
              </w:rPr>
            </w:pPr>
          </w:p>
        </w:tc>
        <w:tc>
          <w:tcPr>
            <w:tcW w:w="1134" w:type="dxa"/>
          </w:tcPr>
          <w:p w14:paraId="1B2F0B31"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76CD136A" w14:textId="77777777" w:rsidR="00882F28" w:rsidRPr="00EA009A" w:rsidRDefault="00882F28" w:rsidP="00257F65">
            <w:pPr>
              <w:keepNext/>
              <w:rPr>
                <w:rFonts w:asciiTheme="majorBidi" w:hAnsiTheme="majorBidi" w:cstheme="majorBidi"/>
                <w:sz w:val="24"/>
                <w:szCs w:val="24"/>
              </w:rPr>
            </w:pPr>
          </w:p>
        </w:tc>
      </w:tr>
      <w:tr w:rsidR="00882F28" w:rsidRPr="00E71B8A" w14:paraId="32B10BF4" w14:textId="77777777" w:rsidTr="00571690">
        <w:tc>
          <w:tcPr>
            <w:tcW w:w="2553" w:type="dxa"/>
          </w:tcPr>
          <w:p w14:paraId="18EF8049"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have continuous interaction with Dettol.</w:t>
            </w:r>
          </w:p>
        </w:tc>
        <w:tc>
          <w:tcPr>
            <w:tcW w:w="1275" w:type="dxa"/>
          </w:tcPr>
          <w:p w14:paraId="37191FBA" w14:textId="77777777" w:rsidR="00882F28" w:rsidRPr="00EA009A" w:rsidRDefault="00882F28" w:rsidP="00257F65">
            <w:pPr>
              <w:keepNext/>
              <w:rPr>
                <w:rFonts w:asciiTheme="majorBidi" w:hAnsiTheme="majorBidi" w:cstheme="majorBidi"/>
                <w:sz w:val="24"/>
                <w:szCs w:val="24"/>
              </w:rPr>
            </w:pPr>
          </w:p>
        </w:tc>
        <w:tc>
          <w:tcPr>
            <w:tcW w:w="851" w:type="dxa"/>
          </w:tcPr>
          <w:p w14:paraId="59E2E6AE" w14:textId="77777777" w:rsidR="00882F28" w:rsidRPr="00EA009A" w:rsidRDefault="00882F28" w:rsidP="00257F65">
            <w:pPr>
              <w:keepNext/>
              <w:rPr>
                <w:rFonts w:asciiTheme="majorBidi" w:hAnsiTheme="majorBidi" w:cstheme="majorBidi"/>
                <w:sz w:val="24"/>
                <w:szCs w:val="24"/>
              </w:rPr>
            </w:pPr>
          </w:p>
        </w:tc>
        <w:tc>
          <w:tcPr>
            <w:tcW w:w="1134" w:type="dxa"/>
          </w:tcPr>
          <w:p w14:paraId="70B87F51" w14:textId="77777777" w:rsidR="00882F28" w:rsidRPr="00EA009A" w:rsidRDefault="00882F28" w:rsidP="00257F65">
            <w:pPr>
              <w:keepNext/>
              <w:rPr>
                <w:rFonts w:asciiTheme="majorBidi" w:hAnsiTheme="majorBidi" w:cstheme="majorBidi"/>
                <w:sz w:val="24"/>
                <w:szCs w:val="24"/>
              </w:rPr>
            </w:pPr>
          </w:p>
        </w:tc>
        <w:tc>
          <w:tcPr>
            <w:tcW w:w="1417" w:type="dxa"/>
          </w:tcPr>
          <w:p w14:paraId="70F94C05" w14:textId="77777777" w:rsidR="00882F28" w:rsidRPr="00EA009A" w:rsidRDefault="00882F28" w:rsidP="00257F65">
            <w:pPr>
              <w:keepNext/>
              <w:rPr>
                <w:rFonts w:asciiTheme="majorBidi" w:hAnsiTheme="majorBidi" w:cstheme="majorBidi"/>
                <w:sz w:val="24"/>
                <w:szCs w:val="24"/>
              </w:rPr>
            </w:pPr>
          </w:p>
        </w:tc>
        <w:tc>
          <w:tcPr>
            <w:tcW w:w="1134" w:type="dxa"/>
          </w:tcPr>
          <w:p w14:paraId="26E656ED" w14:textId="77777777" w:rsidR="00882F28" w:rsidRPr="00EA009A" w:rsidRDefault="00882F28" w:rsidP="00257F65">
            <w:pPr>
              <w:keepNext/>
              <w:rPr>
                <w:rFonts w:asciiTheme="majorBidi" w:hAnsiTheme="majorBidi" w:cstheme="majorBidi"/>
                <w:sz w:val="24"/>
                <w:szCs w:val="24"/>
              </w:rPr>
            </w:pPr>
          </w:p>
        </w:tc>
        <w:tc>
          <w:tcPr>
            <w:tcW w:w="1134" w:type="dxa"/>
          </w:tcPr>
          <w:p w14:paraId="6DA1865B"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68AC3D1A" w14:textId="77777777" w:rsidR="00882F28" w:rsidRPr="00EA009A" w:rsidRDefault="00882F28" w:rsidP="00257F65">
            <w:pPr>
              <w:keepNext/>
              <w:rPr>
                <w:rFonts w:asciiTheme="majorBidi" w:hAnsiTheme="majorBidi" w:cstheme="majorBidi"/>
                <w:sz w:val="24"/>
                <w:szCs w:val="24"/>
              </w:rPr>
            </w:pPr>
          </w:p>
        </w:tc>
      </w:tr>
      <w:tr w:rsidR="00882F28" w:rsidRPr="00E71B8A" w14:paraId="17FE4A9F" w14:textId="77777777" w:rsidTr="00571690">
        <w:tc>
          <w:tcPr>
            <w:tcW w:w="2553" w:type="dxa"/>
          </w:tcPr>
          <w:p w14:paraId="4D244CA2"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would describe Dettol as a friendly brand</w:t>
            </w:r>
          </w:p>
        </w:tc>
        <w:tc>
          <w:tcPr>
            <w:tcW w:w="1275" w:type="dxa"/>
          </w:tcPr>
          <w:p w14:paraId="049CB726" w14:textId="77777777" w:rsidR="00882F28" w:rsidRPr="00EA009A" w:rsidRDefault="00882F28" w:rsidP="00257F65">
            <w:pPr>
              <w:keepNext/>
              <w:rPr>
                <w:rFonts w:asciiTheme="majorBidi" w:hAnsiTheme="majorBidi" w:cstheme="majorBidi"/>
                <w:sz w:val="24"/>
                <w:szCs w:val="24"/>
              </w:rPr>
            </w:pPr>
          </w:p>
        </w:tc>
        <w:tc>
          <w:tcPr>
            <w:tcW w:w="851" w:type="dxa"/>
          </w:tcPr>
          <w:p w14:paraId="0B2AED8C" w14:textId="77777777" w:rsidR="00882F28" w:rsidRPr="00EA009A" w:rsidRDefault="00882F28" w:rsidP="00257F65">
            <w:pPr>
              <w:keepNext/>
              <w:rPr>
                <w:rFonts w:asciiTheme="majorBidi" w:hAnsiTheme="majorBidi" w:cstheme="majorBidi"/>
                <w:sz w:val="24"/>
                <w:szCs w:val="24"/>
              </w:rPr>
            </w:pPr>
          </w:p>
        </w:tc>
        <w:tc>
          <w:tcPr>
            <w:tcW w:w="1134" w:type="dxa"/>
          </w:tcPr>
          <w:p w14:paraId="08E7C4F1" w14:textId="77777777" w:rsidR="00882F28" w:rsidRPr="00EA009A" w:rsidRDefault="00882F28" w:rsidP="00257F65">
            <w:pPr>
              <w:keepNext/>
              <w:rPr>
                <w:rFonts w:asciiTheme="majorBidi" w:hAnsiTheme="majorBidi" w:cstheme="majorBidi"/>
                <w:sz w:val="24"/>
                <w:szCs w:val="24"/>
              </w:rPr>
            </w:pPr>
          </w:p>
        </w:tc>
        <w:tc>
          <w:tcPr>
            <w:tcW w:w="1417" w:type="dxa"/>
          </w:tcPr>
          <w:p w14:paraId="3E7B040E" w14:textId="77777777" w:rsidR="00882F28" w:rsidRPr="00EA009A" w:rsidRDefault="00882F28" w:rsidP="00257F65">
            <w:pPr>
              <w:keepNext/>
              <w:rPr>
                <w:rFonts w:asciiTheme="majorBidi" w:hAnsiTheme="majorBidi" w:cstheme="majorBidi"/>
                <w:sz w:val="24"/>
                <w:szCs w:val="24"/>
              </w:rPr>
            </w:pPr>
          </w:p>
        </w:tc>
        <w:tc>
          <w:tcPr>
            <w:tcW w:w="1134" w:type="dxa"/>
          </w:tcPr>
          <w:p w14:paraId="105750E6" w14:textId="77777777" w:rsidR="00882F28" w:rsidRPr="00EA009A" w:rsidRDefault="00882F28" w:rsidP="00257F65">
            <w:pPr>
              <w:keepNext/>
              <w:rPr>
                <w:rFonts w:asciiTheme="majorBidi" w:hAnsiTheme="majorBidi" w:cstheme="majorBidi"/>
                <w:sz w:val="24"/>
                <w:szCs w:val="24"/>
              </w:rPr>
            </w:pPr>
          </w:p>
        </w:tc>
        <w:tc>
          <w:tcPr>
            <w:tcW w:w="1134" w:type="dxa"/>
          </w:tcPr>
          <w:p w14:paraId="00C749CC"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7866BA19" w14:textId="77777777" w:rsidR="00882F28" w:rsidRPr="00EA009A" w:rsidRDefault="00882F28" w:rsidP="00257F65">
            <w:pPr>
              <w:keepNext/>
              <w:rPr>
                <w:rFonts w:asciiTheme="majorBidi" w:hAnsiTheme="majorBidi" w:cstheme="majorBidi"/>
                <w:sz w:val="24"/>
                <w:szCs w:val="24"/>
              </w:rPr>
            </w:pPr>
          </w:p>
        </w:tc>
      </w:tr>
      <w:tr w:rsidR="00882F28" w:rsidRPr="00E71B8A" w14:paraId="287757A8" w14:textId="77777777" w:rsidTr="00571690">
        <w:tc>
          <w:tcPr>
            <w:tcW w:w="2553" w:type="dxa"/>
          </w:tcPr>
          <w:p w14:paraId="1181663E"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would say that Dettol is approachable.</w:t>
            </w:r>
          </w:p>
        </w:tc>
        <w:tc>
          <w:tcPr>
            <w:tcW w:w="1275" w:type="dxa"/>
          </w:tcPr>
          <w:p w14:paraId="2C3C2002" w14:textId="77777777" w:rsidR="00882F28" w:rsidRPr="00EA009A" w:rsidRDefault="00882F28" w:rsidP="00257F65">
            <w:pPr>
              <w:keepNext/>
              <w:rPr>
                <w:rFonts w:asciiTheme="majorBidi" w:hAnsiTheme="majorBidi" w:cstheme="majorBidi"/>
                <w:sz w:val="24"/>
                <w:szCs w:val="24"/>
              </w:rPr>
            </w:pPr>
          </w:p>
        </w:tc>
        <w:tc>
          <w:tcPr>
            <w:tcW w:w="851" w:type="dxa"/>
          </w:tcPr>
          <w:p w14:paraId="19A4AB25" w14:textId="77777777" w:rsidR="00882F28" w:rsidRPr="00EA009A" w:rsidRDefault="00882F28" w:rsidP="00257F65">
            <w:pPr>
              <w:keepNext/>
              <w:rPr>
                <w:rFonts w:asciiTheme="majorBidi" w:hAnsiTheme="majorBidi" w:cstheme="majorBidi"/>
                <w:sz w:val="24"/>
                <w:szCs w:val="24"/>
              </w:rPr>
            </w:pPr>
          </w:p>
        </w:tc>
        <w:tc>
          <w:tcPr>
            <w:tcW w:w="1134" w:type="dxa"/>
          </w:tcPr>
          <w:p w14:paraId="5D4669AE" w14:textId="77777777" w:rsidR="00882F28" w:rsidRPr="00EA009A" w:rsidRDefault="00882F28" w:rsidP="00257F65">
            <w:pPr>
              <w:keepNext/>
              <w:rPr>
                <w:rFonts w:asciiTheme="majorBidi" w:hAnsiTheme="majorBidi" w:cstheme="majorBidi"/>
                <w:sz w:val="24"/>
                <w:szCs w:val="24"/>
              </w:rPr>
            </w:pPr>
          </w:p>
        </w:tc>
        <w:tc>
          <w:tcPr>
            <w:tcW w:w="1417" w:type="dxa"/>
          </w:tcPr>
          <w:p w14:paraId="71511DBC" w14:textId="77777777" w:rsidR="00882F28" w:rsidRPr="00EA009A" w:rsidRDefault="00882F28" w:rsidP="00257F65">
            <w:pPr>
              <w:keepNext/>
              <w:rPr>
                <w:rFonts w:asciiTheme="majorBidi" w:hAnsiTheme="majorBidi" w:cstheme="majorBidi"/>
                <w:sz w:val="24"/>
                <w:szCs w:val="24"/>
              </w:rPr>
            </w:pPr>
          </w:p>
        </w:tc>
        <w:tc>
          <w:tcPr>
            <w:tcW w:w="1134" w:type="dxa"/>
          </w:tcPr>
          <w:p w14:paraId="4FEEBA38" w14:textId="77777777" w:rsidR="00882F28" w:rsidRPr="00EA009A" w:rsidRDefault="00882F28" w:rsidP="00257F65">
            <w:pPr>
              <w:keepNext/>
              <w:rPr>
                <w:rFonts w:asciiTheme="majorBidi" w:hAnsiTheme="majorBidi" w:cstheme="majorBidi"/>
                <w:sz w:val="24"/>
                <w:szCs w:val="24"/>
              </w:rPr>
            </w:pPr>
          </w:p>
        </w:tc>
        <w:tc>
          <w:tcPr>
            <w:tcW w:w="1134" w:type="dxa"/>
          </w:tcPr>
          <w:p w14:paraId="146AD92D"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621A5D3A" w14:textId="77777777" w:rsidR="00882F28" w:rsidRPr="00EA009A" w:rsidRDefault="00882F28" w:rsidP="00257F65">
            <w:pPr>
              <w:keepNext/>
              <w:rPr>
                <w:rFonts w:asciiTheme="majorBidi" w:hAnsiTheme="majorBidi" w:cstheme="majorBidi"/>
                <w:sz w:val="24"/>
                <w:szCs w:val="24"/>
              </w:rPr>
            </w:pPr>
          </w:p>
        </w:tc>
      </w:tr>
      <w:tr w:rsidR="00882F28" w:rsidRPr="00E71B8A" w14:paraId="35E5954B" w14:textId="77777777" w:rsidTr="00571690">
        <w:tc>
          <w:tcPr>
            <w:tcW w:w="2553" w:type="dxa"/>
          </w:tcPr>
          <w:p w14:paraId="056A9CDB"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Dettol is a very attractive brand.</w:t>
            </w:r>
          </w:p>
        </w:tc>
        <w:tc>
          <w:tcPr>
            <w:tcW w:w="1275" w:type="dxa"/>
          </w:tcPr>
          <w:p w14:paraId="66102259" w14:textId="77777777" w:rsidR="00882F28" w:rsidRPr="00EA009A" w:rsidRDefault="00882F28" w:rsidP="00257F65">
            <w:pPr>
              <w:keepNext/>
              <w:rPr>
                <w:rFonts w:asciiTheme="majorBidi" w:hAnsiTheme="majorBidi" w:cstheme="majorBidi"/>
                <w:sz w:val="24"/>
                <w:szCs w:val="24"/>
              </w:rPr>
            </w:pPr>
          </w:p>
        </w:tc>
        <w:tc>
          <w:tcPr>
            <w:tcW w:w="851" w:type="dxa"/>
          </w:tcPr>
          <w:p w14:paraId="1402914B" w14:textId="77777777" w:rsidR="00882F28" w:rsidRPr="00EA009A" w:rsidRDefault="00882F28" w:rsidP="00257F65">
            <w:pPr>
              <w:keepNext/>
              <w:rPr>
                <w:rFonts w:asciiTheme="majorBidi" w:hAnsiTheme="majorBidi" w:cstheme="majorBidi"/>
                <w:sz w:val="24"/>
                <w:szCs w:val="24"/>
              </w:rPr>
            </w:pPr>
          </w:p>
        </w:tc>
        <w:tc>
          <w:tcPr>
            <w:tcW w:w="1134" w:type="dxa"/>
          </w:tcPr>
          <w:p w14:paraId="418C9F5F" w14:textId="77777777" w:rsidR="00882F28" w:rsidRPr="00EA009A" w:rsidRDefault="00882F28" w:rsidP="00257F65">
            <w:pPr>
              <w:keepNext/>
              <w:rPr>
                <w:rFonts w:asciiTheme="majorBidi" w:hAnsiTheme="majorBidi" w:cstheme="majorBidi"/>
                <w:sz w:val="24"/>
                <w:szCs w:val="24"/>
              </w:rPr>
            </w:pPr>
          </w:p>
        </w:tc>
        <w:tc>
          <w:tcPr>
            <w:tcW w:w="1417" w:type="dxa"/>
          </w:tcPr>
          <w:p w14:paraId="4ACAD109" w14:textId="77777777" w:rsidR="00882F28" w:rsidRPr="00EA009A" w:rsidRDefault="00882F28" w:rsidP="00257F65">
            <w:pPr>
              <w:keepNext/>
              <w:rPr>
                <w:rFonts w:asciiTheme="majorBidi" w:hAnsiTheme="majorBidi" w:cstheme="majorBidi"/>
                <w:sz w:val="24"/>
                <w:szCs w:val="24"/>
              </w:rPr>
            </w:pPr>
          </w:p>
        </w:tc>
        <w:tc>
          <w:tcPr>
            <w:tcW w:w="1134" w:type="dxa"/>
          </w:tcPr>
          <w:p w14:paraId="61C211B8" w14:textId="77777777" w:rsidR="00882F28" w:rsidRPr="00EA009A" w:rsidRDefault="00882F28" w:rsidP="00257F65">
            <w:pPr>
              <w:keepNext/>
              <w:rPr>
                <w:rFonts w:asciiTheme="majorBidi" w:hAnsiTheme="majorBidi" w:cstheme="majorBidi"/>
                <w:sz w:val="24"/>
                <w:szCs w:val="24"/>
              </w:rPr>
            </w:pPr>
          </w:p>
        </w:tc>
        <w:tc>
          <w:tcPr>
            <w:tcW w:w="1134" w:type="dxa"/>
          </w:tcPr>
          <w:p w14:paraId="6D2EBCAC"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350903DA" w14:textId="77777777" w:rsidR="00882F28" w:rsidRPr="00EA009A" w:rsidRDefault="00882F28" w:rsidP="00257F65">
            <w:pPr>
              <w:keepNext/>
              <w:rPr>
                <w:rFonts w:asciiTheme="majorBidi" w:hAnsiTheme="majorBidi" w:cstheme="majorBidi"/>
                <w:sz w:val="24"/>
                <w:szCs w:val="24"/>
              </w:rPr>
            </w:pPr>
          </w:p>
        </w:tc>
      </w:tr>
      <w:tr w:rsidR="00882F28" w:rsidRPr="00E71B8A" w14:paraId="058A801A" w14:textId="77777777" w:rsidTr="00571690">
        <w:tc>
          <w:tcPr>
            <w:tcW w:w="2553" w:type="dxa"/>
          </w:tcPr>
          <w:p w14:paraId="439D2295"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would ask for advice because Dettol is knowledgeable.</w:t>
            </w:r>
          </w:p>
        </w:tc>
        <w:tc>
          <w:tcPr>
            <w:tcW w:w="1275" w:type="dxa"/>
          </w:tcPr>
          <w:p w14:paraId="7E447AC7" w14:textId="77777777" w:rsidR="00882F28" w:rsidRPr="00EA009A" w:rsidRDefault="00882F28" w:rsidP="00257F65">
            <w:pPr>
              <w:keepNext/>
              <w:rPr>
                <w:rFonts w:asciiTheme="majorBidi" w:hAnsiTheme="majorBidi" w:cstheme="majorBidi"/>
                <w:sz w:val="24"/>
                <w:szCs w:val="24"/>
              </w:rPr>
            </w:pPr>
          </w:p>
        </w:tc>
        <w:tc>
          <w:tcPr>
            <w:tcW w:w="851" w:type="dxa"/>
          </w:tcPr>
          <w:p w14:paraId="24271D87" w14:textId="77777777" w:rsidR="00882F28" w:rsidRPr="00EA009A" w:rsidRDefault="00882F28" w:rsidP="00257F65">
            <w:pPr>
              <w:keepNext/>
              <w:rPr>
                <w:rFonts w:asciiTheme="majorBidi" w:hAnsiTheme="majorBidi" w:cstheme="majorBidi"/>
                <w:sz w:val="24"/>
                <w:szCs w:val="24"/>
              </w:rPr>
            </w:pPr>
          </w:p>
        </w:tc>
        <w:tc>
          <w:tcPr>
            <w:tcW w:w="1134" w:type="dxa"/>
          </w:tcPr>
          <w:p w14:paraId="0BA499FD" w14:textId="77777777" w:rsidR="00882F28" w:rsidRPr="00EA009A" w:rsidRDefault="00882F28" w:rsidP="00257F65">
            <w:pPr>
              <w:keepNext/>
              <w:rPr>
                <w:rFonts w:asciiTheme="majorBidi" w:hAnsiTheme="majorBidi" w:cstheme="majorBidi"/>
                <w:sz w:val="24"/>
                <w:szCs w:val="24"/>
              </w:rPr>
            </w:pPr>
          </w:p>
        </w:tc>
        <w:tc>
          <w:tcPr>
            <w:tcW w:w="1417" w:type="dxa"/>
          </w:tcPr>
          <w:p w14:paraId="44B43F80" w14:textId="77777777" w:rsidR="00882F28" w:rsidRPr="00EA009A" w:rsidRDefault="00882F28" w:rsidP="00257F65">
            <w:pPr>
              <w:keepNext/>
              <w:rPr>
                <w:rFonts w:asciiTheme="majorBidi" w:hAnsiTheme="majorBidi" w:cstheme="majorBidi"/>
                <w:sz w:val="24"/>
                <w:szCs w:val="24"/>
              </w:rPr>
            </w:pPr>
          </w:p>
        </w:tc>
        <w:tc>
          <w:tcPr>
            <w:tcW w:w="1134" w:type="dxa"/>
          </w:tcPr>
          <w:p w14:paraId="51F4DB01" w14:textId="77777777" w:rsidR="00882F28" w:rsidRPr="00EA009A" w:rsidRDefault="00882F28" w:rsidP="00257F65">
            <w:pPr>
              <w:keepNext/>
              <w:rPr>
                <w:rFonts w:asciiTheme="majorBidi" w:hAnsiTheme="majorBidi" w:cstheme="majorBidi"/>
                <w:sz w:val="24"/>
                <w:szCs w:val="24"/>
              </w:rPr>
            </w:pPr>
          </w:p>
        </w:tc>
        <w:tc>
          <w:tcPr>
            <w:tcW w:w="1134" w:type="dxa"/>
          </w:tcPr>
          <w:p w14:paraId="39829679"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61D36304" w14:textId="77777777" w:rsidR="00882F28" w:rsidRPr="00EA009A" w:rsidRDefault="00882F28" w:rsidP="00257F65">
            <w:pPr>
              <w:keepNext/>
              <w:rPr>
                <w:rFonts w:asciiTheme="majorBidi" w:hAnsiTheme="majorBidi" w:cstheme="majorBidi"/>
                <w:sz w:val="24"/>
                <w:szCs w:val="24"/>
              </w:rPr>
            </w:pPr>
          </w:p>
        </w:tc>
      </w:tr>
      <w:tr w:rsidR="00882F28" w:rsidRPr="00E71B8A" w14:paraId="202A5775" w14:textId="77777777" w:rsidTr="00571690">
        <w:tc>
          <w:tcPr>
            <w:tcW w:w="2553" w:type="dxa"/>
          </w:tcPr>
          <w:p w14:paraId="2D610B49"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It is important that Dettol has a high level of integrity.</w:t>
            </w:r>
          </w:p>
        </w:tc>
        <w:tc>
          <w:tcPr>
            <w:tcW w:w="1275" w:type="dxa"/>
          </w:tcPr>
          <w:p w14:paraId="7EFABEF1" w14:textId="77777777" w:rsidR="00882F28" w:rsidRPr="00EA009A" w:rsidRDefault="00882F28" w:rsidP="00257F65">
            <w:pPr>
              <w:keepNext/>
              <w:rPr>
                <w:rFonts w:asciiTheme="majorBidi" w:hAnsiTheme="majorBidi" w:cstheme="majorBidi"/>
                <w:sz w:val="24"/>
                <w:szCs w:val="24"/>
              </w:rPr>
            </w:pPr>
          </w:p>
        </w:tc>
        <w:tc>
          <w:tcPr>
            <w:tcW w:w="851" w:type="dxa"/>
          </w:tcPr>
          <w:p w14:paraId="747C1211" w14:textId="77777777" w:rsidR="00882F28" w:rsidRPr="00EA009A" w:rsidRDefault="00882F28" w:rsidP="00257F65">
            <w:pPr>
              <w:keepNext/>
              <w:rPr>
                <w:rFonts w:asciiTheme="majorBidi" w:hAnsiTheme="majorBidi" w:cstheme="majorBidi"/>
                <w:sz w:val="24"/>
                <w:szCs w:val="24"/>
              </w:rPr>
            </w:pPr>
          </w:p>
        </w:tc>
        <w:tc>
          <w:tcPr>
            <w:tcW w:w="1134" w:type="dxa"/>
          </w:tcPr>
          <w:p w14:paraId="56CE1361" w14:textId="77777777" w:rsidR="00882F28" w:rsidRPr="00EA009A" w:rsidRDefault="00882F28" w:rsidP="00257F65">
            <w:pPr>
              <w:keepNext/>
              <w:rPr>
                <w:rFonts w:asciiTheme="majorBidi" w:hAnsiTheme="majorBidi" w:cstheme="majorBidi"/>
                <w:sz w:val="24"/>
                <w:szCs w:val="24"/>
              </w:rPr>
            </w:pPr>
          </w:p>
        </w:tc>
        <w:tc>
          <w:tcPr>
            <w:tcW w:w="1417" w:type="dxa"/>
          </w:tcPr>
          <w:p w14:paraId="3ACA5E29" w14:textId="77777777" w:rsidR="00882F28" w:rsidRPr="00EA009A" w:rsidRDefault="00882F28" w:rsidP="00257F65">
            <w:pPr>
              <w:keepNext/>
              <w:rPr>
                <w:rFonts w:asciiTheme="majorBidi" w:hAnsiTheme="majorBidi" w:cstheme="majorBidi"/>
                <w:sz w:val="24"/>
                <w:szCs w:val="24"/>
              </w:rPr>
            </w:pPr>
          </w:p>
        </w:tc>
        <w:tc>
          <w:tcPr>
            <w:tcW w:w="1134" w:type="dxa"/>
          </w:tcPr>
          <w:p w14:paraId="008B1048" w14:textId="77777777" w:rsidR="00882F28" w:rsidRPr="00EA009A" w:rsidRDefault="00882F28" w:rsidP="00257F65">
            <w:pPr>
              <w:keepNext/>
              <w:rPr>
                <w:rFonts w:asciiTheme="majorBidi" w:hAnsiTheme="majorBidi" w:cstheme="majorBidi"/>
                <w:sz w:val="24"/>
                <w:szCs w:val="24"/>
              </w:rPr>
            </w:pPr>
          </w:p>
        </w:tc>
        <w:tc>
          <w:tcPr>
            <w:tcW w:w="1134" w:type="dxa"/>
          </w:tcPr>
          <w:p w14:paraId="71FC5546"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78604455" w14:textId="77777777" w:rsidR="00882F28" w:rsidRPr="00EA009A" w:rsidRDefault="00882F28" w:rsidP="00257F65">
            <w:pPr>
              <w:keepNext/>
              <w:rPr>
                <w:rFonts w:asciiTheme="majorBidi" w:hAnsiTheme="majorBidi" w:cstheme="majorBidi"/>
                <w:sz w:val="24"/>
                <w:szCs w:val="24"/>
              </w:rPr>
            </w:pPr>
          </w:p>
        </w:tc>
      </w:tr>
      <w:tr w:rsidR="00882F28" w:rsidRPr="00E71B8A" w14:paraId="1F5CBF24" w14:textId="77777777" w:rsidTr="00571690">
        <w:tc>
          <w:tcPr>
            <w:tcW w:w="2553" w:type="dxa"/>
          </w:tcPr>
          <w:p w14:paraId="1369F09C"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Overall, I approve of Dettol.</w:t>
            </w:r>
          </w:p>
        </w:tc>
        <w:tc>
          <w:tcPr>
            <w:tcW w:w="1275" w:type="dxa"/>
          </w:tcPr>
          <w:p w14:paraId="624040A0" w14:textId="77777777" w:rsidR="00882F28" w:rsidRPr="00EA009A" w:rsidRDefault="00882F28" w:rsidP="00257F65">
            <w:pPr>
              <w:keepNext/>
              <w:rPr>
                <w:rFonts w:asciiTheme="majorBidi" w:hAnsiTheme="majorBidi" w:cstheme="majorBidi"/>
                <w:sz w:val="24"/>
                <w:szCs w:val="24"/>
              </w:rPr>
            </w:pPr>
          </w:p>
        </w:tc>
        <w:tc>
          <w:tcPr>
            <w:tcW w:w="851" w:type="dxa"/>
          </w:tcPr>
          <w:p w14:paraId="55FC1D8E" w14:textId="77777777" w:rsidR="00882F28" w:rsidRPr="00EA009A" w:rsidRDefault="00882F28" w:rsidP="00257F65">
            <w:pPr>
              <w:keepNext/>
              <w:rPr>
                <w:rFonts w:asciiTheme="majorBidi" w:hAnsiTheme="majorBidi" w:cstheme="majorBidi"/>
                <w:sz w:val="24"/>
                <w:szCs w:val="24"/>
              </w:rPr>
            </w:pPr>
          </w:p>
        </w:tc>
        <w:tc>
          <w:tcPr>
            <w:tcW w:w="1134" w:type="dxa"/>
          </w:tcPr>
          <w:p w14:paraId="4406ABD9" w14:textId="77777777" w:rsidR="00882F28" w:rsidRPr="00EA009A" w:rsidRDefault="00882F28" w:rsidP="00257F65">
            <w:pPr>
              <w:keepNext/>
              <w:rPr>
                <w:rFonts w:asciiTheme="majorBidi" w:hAnsiTheme="majorBidi" w:cstheme="majorBidi"/>
                <w:sz w:val="24"/>
                <w:szCs w:val="24"/>
              </w:rPr>
            </w:pPr>
          </w:p>
        </w:tc>
        <w:tc>
          <w:tcPr>
            <w:tcW w:w="1417" w:type="dxa"/>
          </w:tcPr>
          <w:p w14:paraId="4EFB86D0" w14:textId="77777777" w:rsidR="00882F28" w:rsidRPr="00EA009A" w:rsidRDefault="00882F28" w:rsidP="00257F65">
            <w:pPr>
              <w:keepNext/>
              <w:rPr>
                <w:rFonts w:asciiTheme="majorBidi" w:hAnsiTheme="majorBidi" w:cstheme="majorBidi"/>
                <w:sz w:val="24"/>
                <w:szCs w:val="24"/>
              </w:rPr>
            </w:pPr>
          </w:p>
        </w:tc>
        <w:tc>
          <w:tcPr>
            <w:tcW w:w="1134" w:type="dxa"/>
          </w:tcPr>
          <w:p w14:paraId="226FB161" w14:textId="77777777" w:rsidR="00882F28" w:rsidRPr="00EA009A" w:rsidRDefault="00882F28" w:rsidP="00257F65">
            <w:pPr>
              <w:keepNext/>
              <w:rPr>
                <w:rFonts w:asciiTheme="majorBidi" w:hAnsiTheme="majorBidi" w:cstheme="majorBidi"/>
                <w:sz w:val="24"/>
                <w:szCs w:val="24"/>
              </w:rPr>
            </w:pPr>
          </w:p>
        </w:tc>
        <w:tc>
          <w:tcPr>
            <w:tcW w:w="1134" w:type="dxa"/>
          </w:tcPr>
          <w:p w14:paraId="31F4AB95"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126748B3" w14:textId="77777777" w:rsidR="00882F28" w:rsidRPr="00EA009A" w:rsidRDefault="00882F28" w:rsidP="00257F65">
            <w:pPr>
              <w:keepNext/>
              <w:rPr>
                <w:rFonts w:asciiTheme="majorBidi" w:hAnsiTheme="majorBidi" w:cstheme="majorBidi"/>
                <w:sz w:val="24"/>
                <w:szCs w:val="24"/>
              </w:rPr>
            </w:pPr>
          </w:p>
        </w:tc>
      </w:tr>
      <w:tr w:rsidR="00882F28" w:rsidRPr="00E71B8A" w14:paraId="37E27335" w14:textId="77777777" w:rsidTr="00571690">
        <w:tc>
          <w:tcPr>
            <w:tcW w:w="2553" w:type="dxa"/>
          </w:tcPr>
          <w:p w14:paraId="441D7FD3"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feel cheerful when shopping for Dettol.</w:t>
            </w:r>
          </w:p>
        </w:tc>
        <w:tc>
          <w:tcPr>
            <w:tcW w:w="1275" w:type="dxa"/>
          </w:tcPr>
          <w:p w14:paraId="3ABDA0E3" w14:textId="77777777" w:rsidR="00882F28" w:rsidRPr="00EA009A" w:rsidRDefault="00882F28" w:rsidP="00257F65">
            <w:pPr>
              <w:keepNext/>
              <w:rPr>
                <w:rFonts w:asciiTheme="majorBidi" w:hAnsiTheme="majorBidi" w:cstheme="majorBidi"/>
                <w:sz w:val="24"/>
                <w:szCs w:val="24"/>
              </w:rPr>
            </w:pPr>
          </w:p>
        </w:tc>
        <w:tc>
          <w:tcPr>
            <w:tcW w:w="851" w:type="dxa"/>
          </w:tcPr>
          <w:p w14:paraId="17D1F923" w14:textId="77777777" w:rsidR="00882F28" w:rsidRPr="00EA009A" w:rsidRDefault="00882F28" w:rsidP="00257F65">
            <w:pPr>
              <w:keepNext/>
              <w:rPr>
                <w:rFonts w:asciiTheme="majorBidi" w:hAnsiTheme="majorBidi" w:cstheme="majorBidi"/>
                <w:sz w:val="24"/>
                <w:szCs w:val="24"/>
              </w:rPr>
            </w:pPr>
          </w:p>
        </w:tc>
        <w:tc>
          <w:tcPr>
            <w:tcW w:w="1134" w:type="dxa"/>
          </w:tcPr>
          <w:p w14:paraId="6D4F70EE" w14:textId="77777777" w:rsidR="00882F28" w:rsidRPr="00EA009A" w:rsidRDefault="00882F28" w:rsidP="00257F65">
            <w:pPr>
              <w:keepNext/>
              <w:rPr>
                <w:rFonts w:asciiTheme="majorBidi" w:hAnsiTheme="majorBidi" w:cstheme="majorBidi"/>
                <w:sz w:val="24"/>
                <w:szCs w:val="24"/>
              </w:rPr>
            </w:pPr>
          </w:p>
        </w:tc>
        <w:tc>
          <w:tcPr>
            <w:tcW w:w="1417" w:type="dxa"/>
          </w:tcPr>
          <w:p w14:paraId="1BAC43AA" w14:textId="77777777" w:rsidR="00882F28" w:rsidRPr="00EA009A" w:rsidRDefault="00882F28" w:rsidP="00257F65">
            <w:pPr>
              <w:keepNext/>
              <w:rPr>
                <w:rFonts w:asciiTheme="majorBidi" w:hAnsiTheme="majorBidi" w:cstheme="majorBidi"/>
                <w:sz w:val="24"/>
                <w:szCs w:val="24"/>
              </w:rPr>
            </w:pPr>
          </w:p>
        </w:tc>
        <w:tc>
          <w:tcPr>
            <w:tcW w:w="1134" w:type="dxa"/>
          </w:tcPr>
          <w:p w14:paraId="3AAC8522" w14:textId="77777777" w:rsidR="00882F28" w:rsidRPr="00EA009A" w:rsidRDefault="00882F28" w:rsidP="00257F65">
            <w:pPr>
              <w:keepNext/>
              <w:rPr>
                <w:rFonts w:asciiTheme="majorBidi" w:hAnsiTheme="majorBidi" w:cstheme="majorBidi"/>
                <w:sz w:val="24"/>
                <w:szCs w:val="24"/>
              </w:rPr>
            </w:pPr>
          </w:p>
        </w:tc>
        <w:tc>
          <w:tcPr>
            <w:tcW w:w="1134" w:type="dxa"/>
          </w:tcPr>
          <w:p w14:paraId="077C41EC"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44F9A2AC" w14:textId="77777777" w:rsidR="00882F28" w:rsidRPr="00EA009A" w:rsidRDefault="00882F28" w:rsidP="00257F65">
            <w:pPr>
              <w:keepNext/>
              <w:rPr>
                <w:rFonts w:asciiTheme="majorBidi" w:hAnsiTheme="majorBidi" w:cstheme="majorBidi"/>
                <w:sz w:val="24"/>
                <w:szCs w:val="24"/>
              </w:rPr>
            </w:pPr>
          </w:p>
        </w:tc>
      </w:tr>
      <w:tr w:rsidR="00882F28" w:rsidRPr="00E71B8A" w14:paraId="1C95760B" w14:textId="77777777" w:rsidTr="00571690">
        <w:tc>
          <w:tcPr>
            <w:tcW w:w="2553" w:type="dxa"/>
          </w:tcPr>
          <w:p w14:paraId="056A801D"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Dettol takes care of everything for me.</w:t>
            </w:r>
          </w:p>
        </w:tc>
        <w:tc>
          <w:tcPr>
            <w:tcW w:w="1275" w:type="dxa"/>
          </w:tcPr>
          <w:p w14:paraId="61C1936D" w14:textId="77777777" w:rsidR="00882F28" w:rsidRPr="00EA009A" w:rsidRDefault="00882F28" w:rsidP="00257F65">
            <w:pPr>
              <w:keepNext/>
              <w:rPr>
                <w:rFonts w:asciiTheme="majorBidi" w:hAnsiTheme="majorBidi" w:cstheme="majorBidi"/>
                <w:sz w:val="24"/>
                <w:szCs w:val="24"/>
              </w:rPr>
            </w:pPr>
          </w:p>
        </w:tc>
        <w:tc>
          <w:tcPr>
            <w:tcW w:w="851" w:type="dxa"/>
          </w:tcPr>
          <w:p w14:paraId="5A41B3F5" w14:textId="77777777" w:rsidR="00882F28" w:rsidRPr="00EA009A" w:rsidRDefault="00882F28" w:rsidP="00257F65">
            <w:pPr>
              <w:keepNext/>
              <w:rPr>
                <w:rFonts w:asciiTheme="majorBidi" w:hAnsiTheme="majorBidi" w:cstheme="majorBidi"/>
                <w:sz w:val="24"/>
                <w:szCs w:val="24"/>
              </w:rPr>
            </w:pPr>
          </w:p>
        </w:tc>
        <w:tc>
          <w:tcPr>
            <w:tcW w:w="1134" w:type="dxa"/>
          </w:tcPr>
          <w:p w14:paraId="25A1A568" w14:textId="77777777" w:rsidR="00882F28" w:rsidRPr="00EA009A" w:rsidRDefault="00882F28" w:rsidP="00257F65">
            <w:pPr>
              <w:keepNext/>
              <w:rPr>
                <w:rFonts w:asciiTheme="majorBidi" w:hAnsiTheme="majorBidi" w:cstheme="majorBidi"/>
                <w:sz w:val="24"/>
                <w:szCs w:val="24"/>
              </w:rPr>
            </w:pPr>
          </w:p>
        </w:tc>
        <w:tc>
          <w:tcPr>
            <w:tcW w:w="1417" w:type="dxa"/>
          </w:tcPr>
          <w:p w14:paraId="455353BC" w14:textId="77777777" w:rsidR="00882F28" w:rsidRPr="00EA009A" w:rsidRDefault="00882F28" w:rsidP="00257F65">
            <w:pPr>
              <w:keepNext/>
              <w:rPr>
                <w:rFonts w:asciiTheme="majorBidi" w:hAnsiTheme="majorBidi" w:cstheme="majorBidi"/>
                <w:sz w:val="24"/>
                <w:szCs w:val="24"/>
              </w:rPr>
            </w:pPr>
          </w:p>
        </w:tc>
        <w:tc>
          <w:tcPr>
            <w:tcW w:w="1134" w:type="dxa"/>
          </w:tcPr>
          <w:p w14:paraId="28C01BAE" w14:textId="77777777" w:rsidR="00882F28" w:rsidRPr="00EA009A" w:rsidRDefault="00882F28" w:rsidP="00257F65">
            <w:pPr>
              <w:keepNext/>
              <w:rPr>
                <w:rFonts w:asciiTheme="majorBidi" w:hAnsiTheme="majorBidi" w:cstheme="majorBidi"/>
                <w:sz w:val="24"/>
                <w:szCs w:val="24"/>
              </w:rPr>
            </w:pPr>
          </w:p>
        </w:tc>
        <w:tc>
          <w:tcPr>
            <w:tcW w:w="1134" w:type="dxa"/>
          </w:tcPr>
          <w:p w14:paraId="6CF2A784"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341173D5" w14:textId="77777777" w:rsidR="00882F28" w:rsidRPr="00EA009A" w:rsidRDefault="00882F28" w:rsidP="00257F65">
            <w:pPr>
              <w:keepNext/>
              <w:rPr>
                <w:rFonts w:asciiTheme="majorBidi" w:hAnsiTheme="majorBidi" w:cstheme="majorBidi"/>
                <w:sz w:val="24"/>
                <w:szCs w:val="24"/>
              </w:rPr>
            </w:pPr>
          </w:p>
        </w:tc>
      </w:tr>
      <w:tr w:rsidR="00882F28" w:rsidRPr="00E71B8A" w14:paraId="0EEF0931" w14:textId="77777777" w:rsidTr="00571690">
        <w:tc>
          <w:tcPr>
            <w:tcW w:w="2553" w:type="dxa"/>
          </w:tcPr>
          <w:p w14:paraId="2CDE384C"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am grateful for Dettol’s services</w:t>
            </w:r>
          </w:p>
        </w:tc>
        <w:tc>
          <w:tcPr>
            <w:tcW w:w="1275" w:type="dxa"/>
          </w:tcPr>
          <w:p w14:paraId="64228D34" w14:textId="77777777" w:rsidR="00882F28" w:rsidRPr="00EA009A" w:rsidRDefault="00882F28" w:rsidP="00257F65">
            <w:pPr>
              <w:keepNext/>
              <w:rPr>
                <w:rFonts w:asciiTheme="majorBidi" w:hAnsiTheme="majorBidi" w:cstheme="majorBidi"/>
                <w:sz w:val="24"/>
                <w:szCs w:val="24"/>
              </w:rPr>
            </w:pPr>
          </w:p>
        </w:tc>
        <w:tc>
          <w:tcPr>
            <w:tcW w:w="851" w:type="dxa"/>
          </w:tcPr>
          <w:p w14:paraId="1C8FFCAD" w14:textId="77777777" w:rsidR="00882F28" w:rsidRPr="00EA009A" w:rsidRDefault="00882F28" w:rsidP="00257F65">
            <w:pPr>
              <w:keepNext/>
              <w:rPr>
                <w:rFonts w:asciiTheme="majorBidi" w:hAnsiTheme="majorBidi" w:cstheme="majorBidi"/>
                <w:sz w:val="24"/>
                <w:szCs w:val="24"/>
              </w:rPr>
            </w:pPr>
          </w:p>
        </w:tc>
        <w:tc>
          <w:tcPr>
            <w:tcW w:w="1134" w:type="dxa"/>
          </w:tcPr>
          <w:p w14:paraId="5ADD4B31" w14:textId="77777777" w:rsidR="00882F28" w:rsidRPr="00EA009A" w:rsidRDefault="00882F28" w:rsidP="00257F65">
            <w:pPr>
              <w:keepNext/>
              <w:rPr>
                <w:rFonts w:asciiTheme="majorBidi" w:hAnsiTheme="majorBidi" w:cstheme="majorBidi"/>
                <w:sz w:val="24"/>
                <w:szCs w:val="24"/>
              </w:rPr>
            </w:pPr>
          </w:p>
        </w:tc>
        <w:tc>
          <w:tcPr>
            <w:tcW w:w="1417" w:type="dxa"/>
          </w:tcPr>
          <w:p w14:paraId="769A888A" w14:textId="77777777" w:rsidR="00882F28" w:rsidRPr="00EA009A" w:rsidRDefault="00882F28" w:rsidP="00257F65">
            <w:pPr>
              <w:keepNext/>
              <w:rPr>
                <w:rFonts w:asciiTheme="majorBidi" w:hAnsiTheme="majorBidi" w:cstheme="majorBidi"/>
                <w:sz w:val="24"/>
                <w:szCs w:val="24"/>
              </w:rPr>
            </w:pPr>
          </w:p>
        </w:tc>
        <w:tc>
          <w:tcPr>
            <w:tcW w:w="1134" w:type="dxa"/>
          </w:tcPr>
          <w:p w14:paraId="21750BFF" w14:textId="77777777" w:rsidR="00882F28" w:rsidRPr="00EA009A" w:rsidRDefault="00882F28" w:rsidP="00257F65">
            <w:pPr>
              <w:keepNext/>
              <w:rPr>
                <w:rFonts w:asciiTheme="majorBidi" w:hAnsiTheme="majorBidi" w:cstheme="majorBidi"/>
                <w:sz w:val="24"/>
                <w:szCs w:val="24"/>
              </w:rPr>
            </w:pPr>
          </w:p>
        </w:tc>
        <w:tc>
          <w:tcPr>
            <w:tcW w:w="1134" w:type="dxa"/>
          </w:tcPr>
          <w:p w14:paraId="225A04D7"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34" w:type="dxa"/>
            <w:tcBorders>
              <w:left w:val="none" w:sz="0" w:space="0" w:color="auto"/>
            </w:tcBorders>
          </w:tcPr>
          <w:p w14:paraId="72785F5B" w14:textId="77777777" w:rsidR="00882F28" w:rsidRPr="00EA009A" w:rsidRDefault="00882F28" w:rsidP="00257F65">
            <w:pPr>
              <w:keepNext/>
              <w:rPr>
                <w:rFonts w:asciiTheme="majorBidi" w:hAnsiTheme="majorBidi" w:cstheme="majorBidi"/>
                <w:sz w:val="24"/>
                <w:szCs w:val="24"/>
              </w:rPr>
            </w:pPr>
          </w:p>
        </w:tc>
      </w:tr>
    </w:tbl>
    <w:p w14:paraId="03405C45" w14:textId="77777777" w:rsidR="00882F28" w:rsidRPr="00E71B8A" w:rsidRDefault="00882F28" w:rsidP="00882F28">
      <w:pPr>
        <w:keepNext/>
        <w:rPr>
          <w:rFonts w:asciiTheme="majorBidi" w:hAnsiTheme="majorBidi" w:cstheme="majorBidi"/>
          <w:sz w:val="24"/>
          <w:szCs w:val="24"/>
        </w:rPr>
      </w:pPr>
    </w:p>
    <w:p w14:paraId="572070C6" w14:textId="77777777" w:rsidR="00882F28" w:rsidRPr="00E71B8A" w:rsidRDefault="00882F28" w:rsidP="00882F28">
      <w:pPr>
        <w:keepNext/>
        <w:rPr>
          <w:rFonts w:asciiTheme="majorBidi" w:hAnsiTheme="majorBidi" w:cstheme="majorBidi"/>
          <w:sz w:val="24"/>
          <w:szCs w:val="24"/>
        </w:rPr>
      </w:pPr>
    </w:p>
    <w:p w14:paraId="12932E22" w14:textId="77777777" w:rsidR="00882F28" w:rsidRPr="00E71B8A" w:rsidRDefault="00882F28" w:rsidP="00882F28">
      <w:pPr>
        <w:rPr>
          <w:rFonts w:asciiTheme="majorBidi" w:hAnsiTheme="majorBidi" w:cstheme="majorBidi"/>
          <w:sz w:val="24"/>
          <w:szCs w:val="24"/>
        </w:rPr>
      </w:pPr>
      <w:r w:rsidRPr="00E71B8A">
        <w:rPr>
          <w:rFonts w:asciiTheme="majorBidi" w:hAnsiTheme="majorBidi" w:cstheme="majorBidi"/>
          <w:sz w:val="24"/>
          <w:szCs w:val="24"/>
        </w:rPr>
        <w:t xml:space="preserve">Q16 After watching the Dettol ad, how much do you agree or disagree with the below </w:t>
      </w:r>
    </w:p>
    <w:p w14:paraId="335D7C6F" w14:textId="77777777" w:rsidR="00882F28" w:rsidRPr="00E71B8A" w:rsidRDefault="00882F28" w:rsidP="00882F28">
      <w:pPr>
        <w:rPr>
          <w:rFonts w:asciiTheme="majorBidi" w:hAnsiTheme="majorBidi" w:cstheme="majorBidi"/>
          <w:sz w:val="24"/>
          <w:szCs w:val="24"/>
        </w:rPr>
      </w:pPr>
      <w:r w:rsidRPr="00E71B8A">
        <w:rPr>
          <w:rFonts w:asciiTheme="majorBidi" w:hAnsiTheme="majorBidi" w:cstheme="majorBidi"/>
          <w:sz w:val="24"/>
          <w:szCs w:val="24"/>
        </w:rPr>
        <w:t>statements?</w:t>
      </w:r>
    </w:p>
    <w:p w14:paraId="247B7D00" w14:textId="77777777" w:rsidR="00882F28" w:rsidRPr="00E71B8A" w:rsidRDefault="00882F28" w:rsidP="00882F28">
      <w:pPr>
        <w:rPr>
          <w:rFonts w:asciiTheme="majorBidi" w:hAnsiTheme="majorBidi" w:cstheme="majorBidi"/>
          <w:sz w:val="24"/>
          <w:szCs w:val="24"/>
        </w:rPr>
      </w:pPr>
    </w:p>
    <w:p w14:paraId="30773833" w14:textId="77777777" w:rsidR="00882F28" w:rsidRPr="00E71B8A" w:rsidRDefault="00882F28" w:rsidP="00882F28">
      <w:pPr>
        <w:rPr>
          <w:rFonts w:asciiTheme="majorBidi" w:hAnsiTheme="majorBidi" w:cstheme="majorBidi"/>
          <w:sz w:val="24"/>
          <w:szCs w:val="24"/>
        </w:rPr>
      </w:pPr>
    </w:p>
    <w:tbl>
      <w:tblPr>
        <w:tblStyle w:val="QQuestionTable1"/>
        <w:tblW w:w="10462" w:type="dxa"/>
        <w:tblInd w:w="-851" w:type="dxa"/>
        <w:tblLook w:val="07E0" w:firstRow="1" w:lastRow="1" w:firstColumn="1" w:lastColumn="1" w:noHBand="1" w:noVBand="1"/>
      </w:tblPr>
      <w:tblGrid>
        <w:gridCol w:w="2248"/>
        <w:gridCol w:w="206"/>
        <w:gridCol w:w="967"/>
        <w:gridCol w:w="1103"/>
        <w:gridCol w:w="1142"/>
        <w:gridCol w:w="1199"/>
        <w:gridCol w:w="1199"/>
        <w:gridCol w:w="1199"/>
        <w:gridCol w:w="1199"/>
      </w:tblGrid>
      <w:tr w:rsidR="00882F28" w:rsidRPr="00E71B8A" w14:paraId="239B3426" w14:textId="77777777" w:rsidTr="000F1636">
        <w:trPr>
          <w:cnfStyle w:val="100000000000" w:firstRow="1" w:lastRow="0" w:firstColumn="0" w:lastColumn="0" w:oddVBand="0" w:evenVBand="0" w:oddHBand="0" w:evenHBand="0" w:firstRowFirstColumn="0" w:firstRowLastColumn="0" w:lastRowFirstColumn="0" w:lastRowLastColumn="0"/>
          <w:trHeight w:val="801"/>
        </w:trPr>
        <w:tc>
          <w:tcPr>
            <w:tcW w:w="2454" w:type="dxa"/>
            <w:gridSpan w:val="2"/>
            <w:tcBorders>
              <w:bottom w:val="none" w:sz="0" w:space="0" w:color="auto"/>
            </w:tcBorders>
          </w:tcPr>
          <w:p w14:paraId="68B3D624" w14:textId="77777777" w:rsidR="00882F28" w:rsidRPr="00E71B8A" w:rsidRDefault="00882F28" w:rsidP="00257F65">
            <w:pPr>
              <w:keepNext/>
              <w:rPr>
                <w:rFonts w:asciiTheme="majorBidi" w:hAnsiTheme="majorBidi" w:cstheme="majorBidi"/>
                <w:sz w:val="24"/>
                <w:szCs w:val="24"/>
              </w:rPr>
            </w:pPr>
          </w:p>
        </w:tc>
        <w:tc>
          <w:tcPr>
            <w:tcW w:w="967" w:type="dxa"/>
            <w:tcBorders>
              <w:bottom w:val="none" w:sz="0" w:space="0" w:color="auto"/>
            </w:tcBorders>
          </w:tcPr>
          <w:p w14:paraId="562B0635" w14:textId="77777777" w:rsidR="00882F28" w:rsidRPr="00EA009A" w:rsidRDefault="00882F28" w:rsidP="00257F65">
            <w:pPr>
              <w:rPr>
                <w:rFonts w:asciiTheme="majorBidi" w:hAnsiTheme="majorBidi" w:cstheme="majorBidi"/>
              </w:rPr>
            </w:pPr>
            <w:r w:rsidRPr="00EA009A">
              <w:rPr>
                <w:rFonts w:asciiTheme="majorBidi" w:hAnsiTheme="majorBidi" w:cstheme="majorBidi"/>
              </w:rPr>
              <w:t>Strongly Agree</w:t>
            </w:r>
          </w:p>
        </w:tc>
        <w:tc>
          <w:tcPr>
            <w:tcW w:w="1103" w:type="dxa"/>
            <w:tcBorders>
              <w:bottom w:val="none" w:sz="0" w:space="0" w:color="auto"/>
            </w:tcBorders>
          </w:tcPr>
          <w:p w14:paraId="4B9A0502" w14:textId="77777777" w:rsidR="00882F28" w:rsidRPr="00EA009A" w:rsidRDefault="00882F28" w:rsidP="00257F65">
            <w:pPr>
              <w:rPr>
                <w:rFonts w:asciiTheme="majorBidi" w:hAnsiTheme="majorBidi" w:cstheme="majorBidi"/>
              </w:rPr>
            </w:pPr>
            <w:r w:rsidRPr="00EA009A">
              <w:rPr>
                <w:rFonts w:asciiTheme="majorBidi" w:hAnsiTheme="majorBidi" w:cstheme="majorBidi"/>
              </w:rPr>
              <w:t>Agree</w:t>
            </w:r>
          </w:p>
        </w:tc>
        <w:tc>
          <w:tcPr>
            <w:tcW w:w="1142" w:type="dxa"/>
            <w:tcBorders>
              <w:bottom w:val="none" w:sz="0" w:space="0" w:color="auto"/>
            </w:tcBorders>
          </w:tcPr>
          <w:p w14:paraId="6EBEEAD3" w14:textId="77777777" w:rsidR="00882F28" w:rsidRPr="00EA009A" w:rsidRDefault="00882F28" w:rsidP="00257F65">
            <w:pPr>
              <w:rPr>
                <w:rFonts w:asciiTheme="majorBidi" w:hAnsiTheme="majorBidi" w:cstheme="majorBidi"/>
              </w:rPr>
            </w:pPr>
            <w:r w:rsidRPr="00EA009A">
              <w:rPr>
                <w:rFonts w:asciiTheme="majorBidi" w:hAnsiTheme="majorBidi" w:cstheme="majorBidi"/>
              </w:rPr>
              <w:t>Slightly Agree</w:t>
            </w:r>
          </w:p>
        </w:tc>
        <w:tc>
          <w:tcPr>
            <w:tcW w:w="1199" w:type="dxa"/>
            <w:tcBorders>
              <w:bottom w:val="none" w:sz="0" w:space="0" w:color="auto"/>
            </w:tcBorders>
          </w:tcPr>
          <w:p w14:paraId="2D439D56" w14:textId="77777777" w:rsidR="00882F28" w:rsidRPr="00EA009A" w:rsidRDefault="00882F28" w:rsidP="00257F65">
            <w:pPr>
              <w:rPr>
                <w:rFonts w:asciiTheme="majorBidi" w:hAnsiTheme="majorBidi" w:cstheme="majorBidi"/>
              </w:rPr>
            </w:pPr>
            <w:r w:rsidRPr="00EA009A">
              <w:rPr>
                <w:rFonts w:asciiTheme="majorBidi" w:hAnsiTheme="majorBidi" w:cstheme="majorBidi"/>
              </w:rPr>
              <w:t>Neither Agree or Disagree</w:t>
            </w:r>
          </w:p>
        </w:tc>
        <w:tc>
          <w:tcPr>
            <w:tcW w:w="1199" w:type="dxa"/>
            <w:tcBorders>
              <w:bottom w:val="none" w:sz="0" w:space="0" w:color="auto"/>
            </w:tcBorders>
          </w:tcPr>
          <w:p w14:paraId="15F7A950" w14:textId="77777777" w:rsidR="00882F28" w:rsidRPr="00EA009A" w:rsidRDefault="00882F28" w:rsidP="00257F65">
            <w:pPr>
              <w:rPr>
                <w:rFonts w:asciiTheme="majorBidi" w:hAnsiTheme="majorBidi" w:cstheme="majorBidi"/>
              </w:rPr>
            </w:pPr>
            <w:r w:rsidRPr="00EA009A">
              <w:rPr>
                <w:rFonts w:asciiTheme="majorBidi" w:hAnsiTheme="majorBidi" w:cstheme="majorBidi"/>
              </w:rPr>
              <w:t>Slightly Disagree</w:t>
            </w:r>
          </w:p>
        </w:tc>
        <w:tc>
          <w:tcPr>
            <w:tcW w:w="1199" w:type="dxa"/>
            <w:tcBorders>
              <w:bottom w:val="none" w:sz="0" w:space="0" w:color="auto"/>
            </w:tcBorders>
          </w:tcPr>
          <w:p w14:paraId="592716F6" w14:textId="77777777" w:rsidR="00882F28" w:rsidRPr="00EA009A" w:rsidRDefault="00882F28" w:rsidP="00257F65">
            <w:pPr>
              <w:rPr>
                <w:rFonts w:asciiTheme="majorBidi" w:hAnsiTheme="majorBidi" w:cstheme="majorBidi"/>
              </w:rPr>
            </w:pPr>
            <w:r w:rsidRPr="00EA009A">
              <w:rPr>
                <w:rFonts w:asciiTheme="majorBidi" w:hAnsiTheme="majorBidi" w:cstheme="majorBidi"/>
              </w:rPr>
              <w:t>Disagree</w:t>
            </w:r>
          </w:p>
        </w:tc>
        <w:tc>
          <w:tcPr>
            <w:cnfStyle w:val="000100000000" w:firstRow="0" w:lastRow="0" w:firstColumn="0" w:lastColumn="1" w:oddVBand="0" w:evenVBand="0" w:oddHBand="0" w:evenHBand="0" w:firstRowFirstColumn="0" w:firstRowLastColumn="0" w:lastRowFirstColumn="0" w:lastRowLastColumn="0"/>
            <w:tcW w:w="1199" w:type="dxa"/>
            <w:tcBorders>
              <w:left w:val="none" w:sz="0" w:space="0" w:color="auto"/>
              <w:bottom w:val="none" w:sz="0" w:space="0" w:color="auto"/>
            </w:tcBorders>
          </w:tcPr>
          <w:p w14:paraId="4BA8BE59" w14:textId="77777777" w:rsidR="00882F28" w:rsidRPr="00EA009A" w:rsidRDefault="00882F28" w:rsidP="00257F65">
            <w:pPr>
              <w:rPr>
                <w:rFonts w:asciiTheme="majorBidi" w:hAnsiTheme="majorBidi" w:cstheme="majorBidi"/>
              </w:rPr>
            </w:pPr>
            <w:r w:rsidRPr="00EA009A">
              <w:rPr>
                <w:rFonts w:asciiTheme="majorBidi" w:hAnsiTheme="majorBidi" w:cstheme="majorBidi"/>
              </w:rPr>
              <w:t>Strongly Disagree</w:t>
            </w:r>
          </w:p>
        </w:tc>
      </w:tr>
      <w:tr w:rsidR="00882F28" w:rsidRPr="00E71B8A" w14:paraId="35196745" w14:textId="77777777" w:rsidTr="000F1636">
        <w:trPr>
          <w:trHeight w:val="341"/>
        </w:trPr>
        <w:tc>
          <w:tcPr>
            <w:tcW w:w="2248" w:type="dxa"/>
          </w:tcPr>
          <w:p w14:paraId="142C6B27"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feel there is a natural “fit” between you and Dettol</w:t>
            </w:r>
          </w:p>
        </w:tc>
        <w:tc>
          <w:tcPr>
            <w:tcW w:w="1173" w:type="dxa"/>
            <w:gridSpan w:val="2"/>
          </w:tcPr>
          <w:p w14:paraId="07176660" w14:textId="77777777" w:rsidR="00882F28" w:rsidRPr="00CD2E77" w:rsidRDefault="00882F28" w:rsidP="00257F65">
            <w:pPr>
              <w:keepNext/>
              <w:ind w:left="992"/>
              <w:rPr>
                <w:rFonts w:asciiTheme="majorBidi" w:hAnsiTheme="majorBidi" w:cstheme="majorBidi"/>
                <w:sz w:val="24"/>
                <w:szCs w:val="24"/>
              </w:rPr>
            </w:pPr>
          </w:p>
        </w:tc>
        <w:tc>
          <w:tcPr>
            <w:tcW w:w="1103" w:type="dxa"/>
          </w:tcPr>
          <w:p w14:paraId="27BF34FD" w14:textId="77777777" w:rsidR="00882F28" w:rsidRPr="00CD2E77" w:rsidRDefault="00882F28" w:rsidP="00257F65">
            <w:pPr>
              <w:keepNext/>
              <w:ind w:left="992"/>
              <w:rPr>
                <w:rFonts w:asciiTheme="majorBidi" w:hAnsiTheme="majorBidi" w:cstheme="majorBidi"/>
                <w:sz w:val="24"/>
                <w:szCs w:val="24"/>
              </w:rPr>
            </w:pPr>
          </w:p>
        </w:tc>
        <w:tc>
          <w:tcPr>
            <w:tcW w:w="1142" w:type="dxa"/>
          </w:tcPr>
          <w:p w14:paraId="6D6085A8" w14:textId="77777777" w:rsidR="00882F28" w:rsidRPr="00CD2E77" w:rsidRDefault="00882F28" w:rsidP="00257F65">
            <w:pPr>
              <w:keepNext/>
              <w:ind w:left="708"/>
              <w:rPr>
                <w:rFonts w:asciiTheme="majorBidi" w:hAnsiTheme="majorBidi" w:cstheme="majorBidi"/>
                <w:sz w:val="24"/>
                <w:szCs w:val="24"/>
              </w:rPr>
            </w:pPr>
          </w:p>
        </w:tc>
        <w:tc>
          <w:tcPr>
            <w:tcW w:w="1199" w:type="dxa"/>
          </w:tcPr>
          <w:p w14:paraId="2AF45D44" w14:textId="77777777" w:rsidR="00882F28" w:rsidRPr="00CD2E77" w:rsidRDefault="00882F28" w:rsidP="00257F65">
            <w:pPr>
              <w:keepNext/>
              <w:ind w:left="992"/>
              <w:rPr>
                <w:rFonts w:asciiTheme="majorBidi" w:hAnsiTheme="majorBidi" w:cstheme="majorBidi"/>
                <w:sz w:val="24"/>
                <w:szCs w:val="24"/>
              </w:rPr>
            </w:pPr>
          </w:p>
        </w:tc>
        <w:tc>
          <w:tcPr>
            <w:tcW w:w="1199" w:type="dxa"/>
          </w:tcPr>
          <w:p w14:paraId="7BAACE72" w14:textId="77777777" w:rsidR="00882F28" w:rsidRPr="00CD2E77" w:rsidRDefault="00882F28" w:rsidP="00257F65">
            <w:pPr>
              <w:keepNext/>
              <w:ind w:left="992"/>
              <w:rPr>
                <w:rFonts w:asciiTheme="majorBidi" w:hAnsiTheme="majorBidi" w:cstheme="majorBidi"/>
                <w:sz w:val="24"/>
                <w:szCs w:val="24"/>
              </w:rPr>
            </w:pPr>
          </w:p>
        </w:tc>
        <w:tc>
          <w:tcPr>
            <w:tcW w:w="1199" w:type="dxa"/>
          </w:tcPr>
          <w:p w14:paraId="62BED5F6" w14:textId="77777777" w:rsidR="00882F28" w:rsidRPr="00CD2E77" w:rsidRDefault="00882F28" w:rsidP="00257F65">
            <w:pPr>
              <w:keepNext/>
              <w:ind w:left="992"/>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99" w:type="dxa"/>
            <w:tcBorders>
              <w:left w:val="none" w:sz="0" w:space="0" w:color="auto"/>
            </w:tcBorders>
          </w:tcPr>
          <w:p w14:paraId="4E232398" w14:textId="77777777" w:rsidR="00882F28" w:rsidRPr="00CD2E77" w:rsidRDefault="00882F28" w:rsidP="00257F65">
            <w:pPr>
              <w:keepNext/>
              <w:ind w:left="992"/>
              <w:rPr>
                <w:rFonts w:asciiTheme="majorBidi" w:hAnsiTheme="majorBidi" w:cstheme="majorBidi"/>
                <w:sz w:val="24"/>
                <w:szCs w:val="24"/>
              </w:rPr>
            </w:pPr>
          </w:p>
        </w:tc>
      </w:tr>
      <w:tr w:rsidR="00882F28" w:rsidRPr="00E71B8A" w14:paraId="41F760A9" w14:textId="77777777" w:rsidTr="000F1636">
        <w:trPr>
          <w:trHeight w:val="171"/>
        </w:trPr>
        <w:tc>
          <w:tcPr>
            <w:tcW w:w="2248" w:type="dxa"/>
          </w:tcPr>
          <w:p w14:paraId="2A9B8EDF"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Dettol seems to fit my own tastes perfectly.</w:t>
            </w:r>
          </w:p>
        </w:tc>
        <w:tc>
          <w:tcPr>
            <w:tcW w:w="1173" w:type="dxa"/>
            <w:gridSpan w:val="2"/>
          </w:tcPr>
          <w:p w14:paraId="2CC4BB75" w14:textId="77777777" w:rsidR="00882F28" w:rsidRPr="00CD2E77" w:rsidRDefault="00882F28" w:rsidP="00257F65">
            <w:pPr>
              <w:keepNext/>
              <w:ind w:left="708"/>
              <w:rPr>
                <w:rFonts w:asciiTheme="majorBidi" w:hAnsiTheme="majorBidi" w:cstheme="majorBidi"/>
                <w:sz w:val="24"/>
                <w:szCs w:val="24"/>
              </w:rPr>
            </w:pPr>
          </w:p>
        </w:tc>
        <w:tc>
          <w:tcPr>
            <w:tcW w:w="1103" w:type="dxa"/>
          </w:tcPr>
          <w:p w14:paraId="1258450F" w14:textId="77777777" w:rsidR="00882F28" w:rsidRPr="00CD2E77" w:rsidRDefault="00882F28" w:rsidP="00257F65">
            <w:pPr>
              <w:keepNext/>
              <w:ind w:left="708"/>
              <w:rPr>
                <w:rFonts w:asciiTheme="majorBidi" w:hAnsiTheme="majorBidi" w:cstheme="majorBidi"/>
                <w:sz w:val="24"/>
                <w:szCs w:val="24"/>
              </w:rPr>
            </w:pPr>
          </w:p>
        </w:tc>
        <w:tc>
          <w:tcPr>
            <w:tcW w:w="1142" w:type="dxa"/>
          </w:tcPr>
          <w:p w14:paraId="5F5E03D9" w14:textId="77777777" w:rsidR="00882F28" w:rsidRPr="00CD2E77" w:rsidRDefault="00882F28" w:rsidP="00257F65">
            <w:pPr>
              <w:keepNext/>
              <w:ind w:left="708"/>
              <w:rPr>
                <w:rFonts w:asciiTheme="majorBidi" w:hAnsiTheme="majorBidi" w:cstheme="majorBidi"/>
                <w:sz w:val="24"/>
                <w:szCs w:val="24"/>
              </w:rPr>
            </w:pPr>
          </w:p>
        </w:tc>
        <w:tc>
          <w:tcPr>
            <w:tcW w:w="1199" w:type="dxa"/>
          </w:tcPr>
          <w:p w14:paraId="34C68CE6" w14:textId="77777777" w:rsidR="00882F28" w:rsidRPr="00CD2E77" w:rsidRDefault="00882F28" w:rsidP="00257F65">
            <w:pPr>
              <w:keepNext/>
              <w:ind w:left="992"/>
              <w:rPr>
                <w:rFonts w:asciiTheme="majorBidi" w:hAnsiTheme="majorBidi" w:cstheme="majorBidi"/>
                <w:sz w:val="24"/>
                <w:szCs w:val="24"/>
              </w:rPr>
            </w:pPr>
          </w:p>
        </w:tc>
        <w:tc>
          <w:tcPr>
            <w:tcW w:w="1199" w:type="dxa"/>
          </w:tcPr>
          <w:p w14:paraId="40183111" w14:textId="77777777" w:rsidR="00882F28" w:rsidRPr="00CD2E77" w:rsidRDefault="00882F28" w:rsidP="00257F65">
            <w:pPr>
              <w:keepNext/>
              <w:ind w:left="992"/>
              <w:rPr>
                <w:rFonts w:asciiTheme="majorBidi" w:hAnsiTheme="majorBidi" w:cstheme="majorBidi"/>
                <w:sz w:val="24"/>
                <w:szCs w:val="24"/>
              </w:rPr>
            </w:pPr>
          </w:p>
        </w:tc>
        <w:tc>
          <w:tcPr>
            <w:tcW w:w="1199" w:type="dxa"/>
          </w:tcPr>
          <w:p w14:paraId="7B1F2706" w14:textId="77777777" w:rsidR="00882F28" w:rsidRPr="00CD2E77" w:rsidRDefault="00882F28" w:rsidP="00257F65">
            <w:pPr>
              <w:keepNext/>
              <w:ind w:left="992"/>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99" w:type="dxa"/>
            <w:tcBorders>
              <w:left w:val="none" w:sz="0" w:space="0" w:color="auto"/>
            </w:tcBorders>
          </w:tcPr>
          <w:p w14:paraId="752906D0" w14:textId="77777777" w:rsidR="00882F28" w:rsidRPr="00CD2E77" w:rsidRDefault="00882F28" w:rsidP="00257F65">
            <w:pPr>
              <w:keepNext/>
              <w:ind w:left="992"/>
              <w:rPr>
                <w:rFonts w:asciiTheme="majorBidi" w:hAnsiTheme="majorBidi" w:cstheme="majorBidi"/>
                <w:sz w:val="24"/>
                <w:szCs w:val="24"/>
              </w:rPr>
            </w:pPr>
          </w:p>
        </w:tc>
      </w:tr>
      <w:tr w:rsidR="00882F28" w:rsidRPr="00E71B8A" w14:paraId="0EFACACA" w14:textId="77777777" w:rsidTr="000F1636">
        <w:trPr>
          <w:trHeight w:val="586"/>
        </w:trPr>
        <w:tc>
          <w:tcPr>
            <w:tcW w:w="2248" w:type="dxa"/>
          </w:tcPr>
          <w:p w14:paraId="4A43FA0D"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feel emotionally connected to Dettol</w:t>
            </w:r>
          </w:p>
        </w:tc>
        <w:tc>
          <w:tcPr>
            <w:tcW w:w="1173" w:type="dxa"/>
            <w:gridSpan w:val="2"/>
          </w:tcPr>
          <w:p w14:paraId="2CDCA994" w14:textId="77777777" w:rsidR="00882F28" w:rsidRPr="00CD2E77" w:rsidRDefault="00882F28" w:rsidP="00257F65">
            <w:pPr>
              <w:keepNext/>
              <w:ind w:left="708"/>
              <w:rPr>
                <w:rFonts w:asciiTheme="majorBidi" w:hAnsiTheme="majorBidi" w:cstheme="majorBidi"/>
                <w:sz w:val="24"/>
                <w:szCs w:val="24"/>
              </w:rPr>
            </w:pPr>
          </w:p>
        </w:tc>
        <w:tc>
          <w:tcPr>
            <w:tcW w:w="1103" w:type="dxa"/>
          </w:tcPr>
          <w:p w14:paraId="286258FA" w14:textId="77777777" w:rsidR="00882F28" w:rsidRPr="00CD2E77" w:rsidRDefault="00882F28" w:rsidP="00257F65">
            <w:pPr>
              <w:keepNext/>
              <w:ind w:left="708"/>
              <w:rPr>
                <w:rFonts w:asciiTheme="majorBidi" w:hAnsiTheme="majorBidi" w:cstheme="majorBidi"/>
                <w:sz w:val="24"/>
                <w:szCs w:val="24"/>
              </w:rPr>
            </w:pPr>
          </w:p>
        </w:tc>
        <w:tc>
          <w:tcPr>
            <w:tcW w:w="1142" w:type="dxa"/>
          </w:tcPr>
          <w:p w14:paraId="5FFC29DD" w14:textId="77777777" w:rsidR="00882F28" w:rsidRPr="00CD2E77" w:rsidRDefault="00882F28" w:rsidP="00257F65">
            <w:pPr>
              <w:keepNext/>
              <w:ind w:left="708"/>
              <w:rPr>
                <w:rFonts w:asciiTheme="majorBidi" w:hAnsiTheme="majorBidi" w:cstheme="majorBidi"/>
                <w:sz w:val="24"/>
                <w:szCs w:val="24"/>
              </w:rPr>
            </w:pPr>
          </w:p>
        </w:tc>
        <w:tc>
          <w:tcPr>
            <w:tcW w:w="1199" w:type="dxa"/>
          </w:tcPr>
          <w:p w14:paraId="67DEE238" w14:textId="77777777" w:rsidR="00882F28" w:rsidRPr="00CD2E77" w:rsidRDefault="00882F28" w:rsidP="00257F65">
            <w:pPr>
              <w:keepNext/>
              <w:ind w:left="992"/>
              <w:rPr>
                <w:rFonts w:asciiTheme="majorBidi" w:hAnsiTheme="majorBidi" w:cstheme="majorBidi"/>
                <w:sz w:val="24"/>
                <w:szCs w:val="24"/>
              </w:rPr>
            </w:pPr>
          </w:p>
        </w:tc>
        <w:tc>
          <w:tcPr>
            <w:tcW w:w="1199" w:type="dxa"/>
          </w:tcPr>
          <w:p w14:paraId="6C995D80" w14:textId="77777777" w:rsidR="00882F28" w:rsidRPr="00CD2E77" w:rsidRDefault="00882F28" w:rsidP="00257F65">
            <w:pPr>
              <w:keepNext/>
              <w:ind w:left="992"/>
              <w:rPr>
                <w:rFonts w:asciiTheme="majorBidi" w:hAnsiTheme="majorBidi" w:cstheme="majorBidi"/>
                <w:sz w:val="24"/>
                <w:szCs w:val="24"/>
              </w:rPr>
            </w:pPr>
          </w:p>
        </w:tc>
        <w:tc>
          <w:tcPr>
            <w:tcW w:w="1199" w:type="dxa"/>
          </w:tcPr>
          <w:p w14:paraId="52A4EB90" w14:textId="77777777" w:rsidR="00882F28" w:rsidRPr="00CD2E77" w:rsidRDefault="00882F28" w:rsidP="00257F65">
            <w:pPr>
              <w:keepNext/>
              <w:ind w:left="992"/>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99" w:type="dxa"/>
            <w:tcBorders>
              <w:left w:val="none" w:sz="0" w:space="0" w:color="auto"/>
            </w:tcBorders>
          </w:tcPr>
          <w:p w14:paraId="1BEDDB17" w14:textId="77777777" w:rsidR="00882F28" w:rsidRPr="00CD2E77" w:rsidRDefault="00882F28" w:rsidP="00257F65">
            <w:pPr>
              <w:keepNext/>
              <w:ind w:left="992"/>
              <w:rPr>
                <w:rFonts w:asciiTheme="majorBidi" w:hAnsiTheme="majorBidi" w:cstheme="majorBidi"/>
                <w:sz w:val="24"/>
                <w:szCs w:val="24"/>
              </w:rPr>
            </w:pPr>
          </w:p>
        </w:tc>
      </w:tr>
      <w:tr w:rsidR="00882F28" w:rsidRPr="00E71B8A" w14:paraId="7EC562E1" w14:textId="77777777" w:rsidTr="000F1636">
        <w:trPr>
          <w:trHeight w:val="577"/>
        </w:trPr>
        <w:tc>
          <w:tcPr>
            <w:tcW w:w="2248" w:type="dxa"/>
          </w:tcPr>
          <w:p w14:paraId="46425B29"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feel I have a “bond” with Dettol</w:t>
            </w:r>
          </w:p>
        </w:tc>
        <w:tc>
          <w:tcPr>
            <w:tcW w:w="1173" w:type="dxa"/>
            <w:gridSpan w:val="2"/>
          </w:tcPr>
          <w:p w14:paraId="7AAFFB13" w14:textId="77777777" w:rsidR="00882F28" w:rsidRPr="00CD2E77" w:rsidRDefault="00882F28" w:rsidP="00257F65">
            <w:pPr>
              <w:keepNext/>
              <w:ind w:left="708"/>
              <w:rPr>
                <w:rFonts w:asciiTheme="majorBidi" w:hAnsiTheme="majorBidi" w:cstheme="majorBidi"/>
                <w:sz w:val="24"/>
                <w:szCs w:val="24"/>
              </w:rPr>
            </w:pPr>
          </w:p>
        </w:tc>
        <w:tc>
          <w:tcPr>
            <w:tcW w:w="1103" w:type="dxa"/>
          </w:tcPr>
          <w:p w14:paraId="4C3FF72C" w14:textId="77777777" w:rsidR="00882F28" w:rsidRPr="00CD2E77" w:rsidRDefault="00882F28" w:rsidP="00257F65">
            <w:pPr>
              <w:keepNext/>
              <w:ind w:left="708"/>
              <w:rPr>
                <w:rFonts w:asciiTheme="majorBidi" w:hAnsiTheme="majorBidi" w:cstheme="majorBidi"/>
                <w:sz w:val="24"/>
                <w:szCs w:val="24"/>
              </w:rPr>
            </w:pPr>
          </w:p>
        </w:tc>
        <w:tc>
          <w:tcPr>
            <w:tcW w:w="1142" w:type="dxa"/>
          </w:tcPr>
          <w:p w14:paraId="4CFA22C8" w14:textId="77777777" w:rsidR="00882F28" w:rsidRPr="00CD2E77" w:rsidRDefault="00882F28" w:rsidP="00257F65">
            <w:pPr>
              <w:keepNext/>
              <w:ind w:left="708"/>
              <w:rPr>
                <w:rFonts w:asciiTheme="majorBidi" w:hAnsiTheme="majorBidi" w:cstheme="majorBidi"/>
                <w:sz w:val="24"/>
                <w:szCs w:val="24"/>
              </w:rPr>
            </w:pPr>
          </w:p>
        </w:tc>
        <w:tc>
          <w:tcPr>
            <w:tcW w:w="1199" w:type="dxa"/>
          </w:tcPr>
          <w:p w14:paraId="33153DA8" w14:textId="77777777" w:rsidR="00882F28" w:rsidRPr="00CD2E77" w:rsidRDefault="00882F28" w:rsidP="00257F65">
            <w:pPr>
              <w:keepNext/>
              <w:ind w:left="992"/>
              <w:rPr>
                <w:rFonts w:asciiTheme="majorBidi" w:hAnsiTheme="majorBidi" w:cstheme="majorBidi"/>
                <w:sz w:val="24"/>
                <w:szCs w:val="24"/>
              </w:rPr>
            </w:pPr>
          </w:p>
        </w:tc>
        <w:tc>
          <w:tcPr>
            <w:tcW w:w="1199" w:type="dxa"/>
          </w:tcPr>
          <w:p w14:paraId="50EB1831" w14:textId="77777777" w:rsidR="00882F28" w:rsidRPr="00CD2E77" w:rsidRDefault="00882F28" w:rsidP="00257F65">
            <w:pPr>
              <w:keepNext/>
              <w:ind w:left="992"/>
              <w:rPr>
                <w:rFonts w:asciiTheme="majorBidi" w:hAnsiTheme="majorBidi" w:cstheme="majorBidi"/>
                <w:sz w:val="24"/>
                <w:szCs w:val="24"/>
              </w:rPr>
            </w:pPr>
          </w:p>
        </w:tc>
        <w:tc>
          <w:tcPr>
            <w:tcW w:w="1199" w:type="dxa"/>
          </w:tcPr>
          <w:p w14:paraId="660BF88C" w14:textId="77777777" w:rsidR="00882F28" w:rsidRPr="00CD2E77" w:rsidRDefault="00882F28" w:rsidP="00257F65">
            <w:pPr>
              <w:keepNext/>
              <w:ind w:left="992"/>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99" w:type="dxa"/>
            <w:tcBorders>
              <w:left w:val="none" w:sz="0" w:space="0" w:color="auto"/>
            </w:tcBorders>
          </w:tcPr>
          <w:p w14:paraId="744B1083" w14:textId="77777777" w:rsidR="00882F28" w:rsidRPr="00CD2E77" w:rsidRDefault="00882F28" w:rsidP="00257F65">
            <w:pPr>
              <w:keepNext/>
              <w:ind w:left="992"/>
              <w:rPr>
                <w:rFonts w:asciiTheme="majorBidi" w:hAnsiTheme="majorBidi" w:cstheme="majorBidi"/>
                <w:sz w:val="24"/>
                <w:szCs w:val="24"/>
              </w:rPr>
            </w:pPr>
          </w:p>
        </w:tc>
      </w:tr>
    </w:tbl>
    <w:p w14:paraId="756F4427" w14:textId="77777777" w:rsidR="00882F28" w:rsidRPr="00E71B8A" w:rsidRDefault="00882F28" w:rsidP="00882F28">
      <w:pPr>
        <w:rPr>
          <w:rFonts w:asciiTheme="majorBidi" w:hAnsiTheme="majorBidi" w:cstheme="majorBidi"/>
          <w:sz w:val="24"/>
          <w:szCs w:val="24"/>
        </w:rPr>
      </w:pPr>
    </w:p>
    <w:p w14:paraId="48967418"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Q17 After watching the Dettol ad, do you agree with these statements?</w:t>
      </w:r>
    </w:p>
    <w:tbl>
      <w:tblPr>
        <w:tblStyle w:val="QQuestionTable1"/>
        <w:tblW w:w="10567" w:type="dxa"/>
        <w:tblInd w:w="-851" w:type="dxa"/>
        <w:tblLook w:val="07E0" w:firstRow="1" w:lastRow="1" w:firstColumn="1" w:lastColumn="1" w:noHBand="1" w:noVBand="1"/>
      </w:tblPr>
      <w:tblGrid>
        <w:gridCol w:w="2775"/>
        <w:gridCol w:w="920"/>
        <w:gridCol w:w="1065"/>
        <w:gridCol w:w="1115"/>
        <w:gridCol w:w="1173"/>
        <w:gridCol w:w="1173"/>
        <w:gridCol w:w="1173"/>
        <w:gridCol w:w="1173"/>
      </w:tblGrid>
      <w:tr w:rsidR="00882F28" w:rsidRPr="00E71B8A" w14:paraId="77E2A5BB" w14:textId="77777777" w:rsidTr="000F1636">
        <w:trPr>
          <w:cnfStyle w:val="100000000000" w:firstRow="1" w:lastRow="0" w:firstColumn="0" w:lastColumn="0" w:oddVBand="0" w:evenVBand="0" w:oddHBand="0" w:evenHBand="0" w:firstRowFirstColumn="0" w:firstRowLastColumn="0" w:lastRowFirstColumn="0" w:lastRowLastColumn="0"/>
          <w:trHeight w:val="801"/>
        </w:trPr>
        <w:tc>
          <w:tcPr>
            <w:tcW w:w="2813" w:type="dxa"/>
            <w:tcBorders>
              <w:bottom w:val="none" w:sz="0" w:space="0" w:color="auto"/>
            </w:tcBorders>
          </w:tcPr>
          <w:p w14:paraId="4EF09429" w14:textId="77777777" w:rsidR="00882F28" w:rsidRPr="00E71B8A" w:rsidRDefault="00882F28" w:rsidP="00257F65">
            <w:pPr>
              <w:keepNext/>
              <w:rPr>
                <w:rFonts w:asciiTheme="majorBidi" w:hAnsiTheme="majorBidi" w:cstheme="majorBidi"/>
                <w:sz w:val="24"/>
                <w:szCs w:val="24"/>
              </w:rPr>
            </w:pPr>
          </w:p>
        </w:tc>
        <w:tc>
          <w:tcPr>
            <w:tcW w:w="844" w:type="dxa"/>
            <w:tcBorders>
              <w:bottom w:val="none" w:sz="0" w:space="0" w:color="auto"/>
            </w:tcBorders>
          </w:tcPr>
          <w:p w14:paraId="7E70C1C2" w14:textId="77777777" w:rsidR="00882F28" w:rsidRPr="00EA009A" w:rsidRDefault="00882F28" w:rsidP="00257F65">
            <w:pPr>
              <w:rPr>
                <w:rFonts w:asciiTheme="majorBidi" w:hAnsiTheme="majorBidi" w:cstheme="majorBidi"/>
              </w:rPr>
            </w:pPr>
            <w:r w:rsidRPr="00EA009A">
              <w:rPr>
                <w:rFonts w:asciiTheme="majorBidi" w:hAnsiTheme="majorBidi" w:cstheme="majorBidi"/>
              </w:rPr>
              <w:t>Strongly Agree</w:t>
            </w:r>
          </w:p>
        </w:tc>
        <w:tc>
          <w:tcPr>
            <w:tcW w:w="1073" w:type="dxa"/>
            <w:tcBorders>
              <w:bottom w:val="none" w:sz="0" w:space="0" w:color="auto"/>
            </w:tcBorders>
          </w:tcPr>
          <w:p w14:paraId="46C619A6" w14:textId="77777777" w:rsidR="00882F28" w:rsidRPr="00EA009A" w:rsidRDefault="00882F28" w:rsidP="00257F65">
            <w:pPr>
              <w:rPr>
                <w:rFonts w:asciiTheme="majorBidi" w:hAnsiTheme="majorBidi" w:cstheme="majorBidi"/>
              </w:rPr>
            </w:pPr>
            <w:r w:rsidRPr="00EA009A">
              <w:rPr>
                <w:rFonts w:asciiTheme="majorBidi" w:hAnsiTheme="majorBidi" w:cstheme="majorBidi"/>
              </w:rPr>
              <w:t>Agree</w:t>
            </w:r>
          </w:p>
        </w:tc>
        <w:tc>
          <w:tcPr>
            <w:tcW w:w="1121" w:type="dxa"/>
            <w:tcBorders>
              <w:bottom w:val="none" w:sz="0" w:space="0" w:color="auto"/>
            </w:tcBorders>
          </w:tcPr>
          <w:p w14:paraId="38D2DDFB" w14:textId="77777777" w:rsidR="00882F28" w:rsidRPr="00EA009A" w:rsidRDefault="00882F28" w:rsidP="00257F65">
            <w:pPr>
              <w:rPr>
                <w:rFonts w:asciiTheme="majorBidi" w:hAnsiTheme="majorBidi" w:cstheme="majorBidi"/>
              </w:rPr>
            </w:pPr>
            <w:r w:rsidRPr="00EA009A">
              <w:rPr>
                <w:rFonts w:asciiTheme="majorBidi" w:hAnsiTheme="majorBidi" w:cstheme="majorBidi"/>
              </w:rPr>
              <w:t>Slightly Agree</w:t>
            </w:r>
          </w:p>
        </w:tc>
        <w:tc>
          <w:tcPr>
            <w:tcW w:w="1179" w:type="dxa"/>
            <w:tcBorders>
              <w:bottom w:val="none" w:sz="0" w:space="0" w:color="auto"/>
            </w:tcBorders>
          </w:tcPr>
          <w:p w14:paraId="0C9AB683" w14:textId="77777777" w:rsidR="00882F28" w:rsidRPr="00EA009A" w:rsidRDefault="00882F28" w:rsidP="00257F65">
            <w:pPr>
              <w:rPr>
                <w:rFonts w:asciiTheme="majorBidi" w:hAnsiTheme="majorBidi" w:cstheme="majorBidi"/>
              </w:rPr>
            </w:pPr>
            <w:r w:rsidRPr="00EA009A">
              <w:rPr>
                <w:rFonts w:asciiTheme="majorBidi" w:hAnsiTheme="majorBidi" w:cstheme="majorBidi"/>
              </w:rPr>
              <w:t>Neither Agree or Disagree</w:t>
            </w:r>
          </w:p>
        </w:tc>
        <w:tc>
          <w:tcPr>
            <w:tcW w:w="1179" w:type="dxa"/>
            <w:tcBorders>
              <w:bottom w:val="none" w:sz="0" w:space="0" w:color="auto"/>
            </w:tcBorders>
          </w:tcPr>
          <w:p w14:paraId="26586847" w14:textId="77777777" w:rsidR="00882F28" w:rsidRPr="00EA009A" w:rsidRDefault="00882F28" w:rsidP="00257F65">
            <w:pPr>
              <w:rPr>
                <w:rFonts w:asciiTheme="majorBidi" w:hAnsiTheme="majorBidi" w:cstheme="majorBidi"/>
              </w:rPr>
            </w:pPr>
            <w:r w:rsidRPr="00EA009A">
              <w:rPr>
                <w:rFonts w:asciiTheme="majorBidi" w:hAnsiTheme="majorBidi" w:cstheme="majorBidi"/>
              </w:rPr>
              <w:t>Slightly Disagree</w:t>
            </w:r>
          </w:p>
        </w:tc>
        <w:tc>
          <w:tcPr>
            <w:tcW w:w="1179" w:type="dxa"/>
            <w:tcBorders>
              <w:bottom w:val="none" w:sz="0" w:space="0" w:color="auto"/>
            </w:tcBorders>
          </w:tcPr>
          <w:p w14:paraId="28A53779" w14:textId="77777777" w:rsidR="00882F28" w:rsidRPr="00EA009A" w:rsidRDefault="00882F28" w:rsidP="00257F65">
            <w:pPr>
              <w:rPr>
                <w:rFonts w:asciiTheme="majorBidi" w:hAnsiTheme="majorBidi" w:cstheme="majorBidi"/>
              </w:rPr>
            </w:pPr>
            <w:r w:rsidRPr="00EA009A">
              <w:rPr>
                <w:rFonts w:asciiTheme="majorBidi" w:hAnsiTheme="majorBidi" w:cstheme="majorBidi"/>
              </w:rPr>
              <w:t>Disagree</w:t>
            </w:r>
          </w:p>
        </w:tc>
        <w:tc>
          <w:tcPr>
            <w:cnfStyle w:val="000100000000" w:firstRow="0" w:lastRow="0" w:firstColumn="0" w:lastColumn="1" w:oddVBand="0" w:evenVBand="0" w:oddHBand="0" w:evenHBand="0" w:firstRowFirstColumn="0" w:firstRowLastColumn="0" w:lastRowFirstColumn="0" w:lastRowLastColumn="0"/>
            <w:tcW w:w="1179" w:type="dxa"/>
            <w:tcBorders>
              <w:left w:val="none" w:sz="0" w:space="0" w:color="auto"/>
              <w:bottom w:val="none" w:sz="0" w:space="0" w:color="auto"/>
            </w:tcBorders>
          </w:tcPr>
          <w:p w14:paraId="654DE1F7" w14:textId="77777777" w:rsidR="00882F28" w:rsidRPr="00EA009A" w:rsidRDefault="00882F28" w:rsidP="00257F65">
            <w:pPr>
              <w:rPr>
                <w:rFonts w:asciiTheme="majorBidi" w:hAnsiTheme="majorBidi" w:cstheme="majorBidi"/>
              </w:rPr>
            </w:pPr>
            <w:r w:rsidRPr="00EA009A">
              <w:rPr>
                <w:rFonts w:asciiTheme="majorBidi" w:hAnsiTheme="majorBidi" w:cstheme="majorBidi"/>
              </w:rPr>
              <w:t>Strongly Disagree</w:t>
            </w:r>
          </w:p>
        </w:tc>
      </w:tr>
      <w:tr w:rsidR="00882F28" w:rsidRPr="00E71B8A" w14:paraId="014E2DBA" w14:textId="77777777" w:rsidTr="000F1636">
        <w:trPr>
          <w:trHeight w:val="321"/>
        </w:trPr>
        <w:tc>
          <w:tcPr>
            <w:tcW w:w="2813" w:type="dxa"/>
          </w:tcPr>
          <w:p w14:paraId="4CFCF171"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Dettol never disappoints me</w:t>
            </w:r>
          </w:p>
        </w:tc>
        <w:tc>
          <w:tcPr>
            <w:tcW w:w="844" w:type="dxa"/>
          </w:tcPr>
          <w:p w14:paraId="1EC7554B" w14:textId="77777777" w:rsidR="00882F28" w:rsidRPr="00CD2E77" w:rsidRDefault="00882F28" w:rsidP="00257F65">
            <w:pPr>
              <w:keepNext/>
              <w:rPr>
                <w:rFonts w:asciiTheme="majorBidi" w:hAnsiTheme="majorBidi" w:cstheme="majorBidi"/>
                <w:sz w:val="24"/>
                <w:szCs w:val="24"/>
              </w:rPr>
            </w:pPr>
          </w:p>
        </w:tc>
        <w:tc>
          <w:tcPr>
            <w:tcW w:w="1073" w:type="dxa"/>
          </w:tcPr>
          <w:p w14:paraId="601FDE88" w14:textId="77777777" w:rsidR="00882F28" w:rsidRPr="00CD2E77" w:rsidRDefault="00882F28" w:rsidP="00257F65">
            <w:pPr>
              <w:keepNext/>
              <w:rPr>
                <w:rFonts w:asciiTheme="majorBidi" w:hAnsiTheme="majorBidi" w:cstheme="majorBidi"/>
                <w:sz w:val="24"/>
                <w:szCs w:val="24"/>
              </w:rPr>
            </w:pPr>
          </w:p>
        </w:tc>
        <w:tc>
          <w:tcPr>
            <w:tcW w:w="1121" w:type="dxa"/>
          </w:tcPr>
          <w:p w14:paraId="41A901C4" w14:textId="77777777" w:rsidR="00882F28" w:rsidRPr="00CD2E77" w:rsidRDefault="00882F28" w:rsidP="00257F65">
            <w:pPr>
              <w:keepNext/>
              <w:rPr>
                <w:rFonts w:asciiTheme="majorBidi" w:hAnsiTheme="majorBidi" w:cstheme="majorBidi"/>
                <w:sz w:val="24"/>
                <w:szCs w:val="24"/>
              </w:rPr>
            </w:pPr>
          </w:p>
        </w:tc>
        <w:tc>
          <w:tcPr>
            <w:tcW w:w="1179" w:type="dxa"/>
          </w:tcPr>
          <w:p w14:paraId="0BB5876F" w14:textId="77777777" w:rsidR="00882F28" w:rsidRPr="00CD2E77" w:rsidRDefault="00882F28" w:rsidP="00257F65">
            <w:pPr>
              <w:keepNext/>
              <w:rPr>
                <w:rFonts w:asciiTheme="majorBidi" w:hAnsiTheme="majorBidi" w:cstheme="majorBidi"/>
                <w:sz w:val="24"/>
                <w:szCs w:val="24"/>
              </w:rPr>
            </w:pPr>
          </w:p>
        </w:tc>
        <w:tc>
          <w:tcPr>
            <w:tcW w:w="1179" w:type="dxa"/>
          </w:tcPr>
          <w:p w14:paraId="4E196EE3" w14:textId="77777777" w:rsidR="00882F28" w:rsidRPr="00CD2E77" w:rsidRDefault="00882F28" w:rsidP="00257F65">
            <w:pPr>
              <w:keepNext/>
              <w:rPr>
                <w:rFonts w:asciiTheme="majorBidi" w:hAnsiTheme="majorBidi" w:cstheme="majorBidi"/>
                <w:sz w:val="24"/>
                <w:szCs w:val="24"/>
              </w:rPr>
            </w:pPr>
          </w:p>
        </w:tc>
        <w:tc>
          <w:tcPr>
            <w:tcW w:w="1179" w:type="dxa"/>
          </w:tcPr>
          <w:p w14:paraId="40BFD1D5" w14:textId="77777777" w:rsidR="00882F28" w:rsidRPr="00CD2E77"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79" w:type="dxa"/>
            <w:tcBorders>
              <w:left w:val="none" w:sz="0" w:space="0" w:color="auto"/>
            </w:tcBorders>
          </w:tcPr>
          <w:p w14:paraId="19E1AA47" w14:textId="77777777" w:rsidR="00882F28" w:rsidRPr="00CD2E77" w:rsidRDefault="00882F28" w:rsidP="00257F65">
            <w:pPr>
              <w:keepNext/>
              <w:rPr>
                <w:rFonts w:asciiTheme="majorBidi" w:hAnsiTheme="majorBidi" w:cstheme="majorBidi"/>
                <w:sz w:val="24"/>
                <w:szCs w:val="24"/>
              </w:rPr>
            </w:pPr>
          </w:p>
        </w:tc>
      </w:tr>
      <w:tr w:rsidR="00882F28" w:rsidRPr="00E71B8A" w14:paraId="3714C469" w14:textId="77777777" w:rsidTr="000F1636">
        <w:trPr>
          <w:trHeight w:val="419"/>
        </w:trPr>
        <w:tc>
          <w:tcPr>
            <w:tcW w:w="2813" w:type="dxa"/>
          </w:tcPr>
          <w:p w14:paraId="2F3CFA6F"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Dettol guarantees my satisfaction</w:t>
            </w:r>
          </w:p>
        </w:tc>
        <w:tc>
          <w:tcPr>
            <w:tcW w:w="844" w:type="dxa"/>
          </w:tcPr>
          <w:p w14:paraId="51604133" w14:textId="77777777" w:rsidR="00882F28" w:rsidRPr="00CD2E77" w:rsidRDefault="00882F28" w:rsidP="00257F65">
            <w:pPr>
              <w:keepNext/>
              <w:rPr>
                <w:rFonts w:asciiTheme="majorBidi" w:hAnsiTheme="majorBidi" w:cstheme="majorBidi"/>
                <w:sz w:val="24"/>
                <w:szCs w:val="24"/>
              </w:rPr>
            </w:pPr>
          </w:p>
        </w:tc>
        <w:tc>
          <w:tcPr>
            <w:tcW w:w="1073" w:type="dxa"/>
          </w:tcPr>
          <w:p w14:paraId="74B234CD" w14:textId="77777777" w:rsidR="00882F28" w:rsidRPr="00CD2E77" w:rsidRDefault="00882F28" w:rsidP="00257F65">
            <w:pPr>
              <w:keepNext/>
              <w:rPr>
                <w:rFonts w:asciiTheme="majorBidi" w:hAnsiTheme="majorBidi" w:cstheme="majorBidi"/>
                <w:sz w:val="24"/>
                <w:szCs w:val="24"/>
              </w:rPr>
            </w:pPr>
          </w:p>
        </w:tc>
        <w:tc>
          <w:tcPr>
            <w:tcW w:w="1121" w:type="dxa"/>
          </w:tcPr>
          <w:p w14:paraId="73A09AF3" w14:textId="77777777" w:rsidR="00882F28" w:rsidRPr="00CD2E77" w:rsidRDefault="00882F28" w:rsidP="00257F65">
            <w:pPr>
              <w:keepNext/>
              <w:rPr>
                <w:rFonts w:asciiTheme="majorBidi" w:hAnsiTheme="majorBidi" w:cstheme="majorBidi"/>
                <w:sz w:val="24"/>
                <w:szCs w:val="24"/>
              </w:rPr>
            </w:pPr>
          </w:p>
        </w:tc>
        <w:tc>
          <w:tcPr>
            <w:tcW w:w="1179" w:type="dxa"/>
          </w:tcPr>
          <w:p w14:paraId="73654D7E" w14:textId="77777777" w:rsidR="00882F28" w:rsidRPr="00CD2E77" w:rsidRDefault="00882F28" w:rsidP="00257F65">
            <w:pPr>
              <w:keepNext/>
              <w:rPr>
                <w:rFonts w:asciiTheme="majorBidi" w:hAnsiTheme="majorBidi" w:cstheme="majorBidi"/>
                <w:sz w:val="24"/>
                <w:szCs w:val="24"/>
              </w:rPr>
            </w:pPr>
          </w:p>
        </w:tc>
        <w:tc>
          <w:tcPr>
            <w:tcW w:w="1179" w:type="dxa"/>
          </w:tcPr>
          <w:p w14:paraId="105AC64C" w14:textId="77777777" w:rsidR="00882F28" w:rsidRPr="00E71B8A" w:rsidRDefault="00882F28" w:rsidP="00257F65">
            <w:pPr>
              <w:pStyle w:val="ListParagraph"/>
              <w:keepNext/>
              <w:spacing w:before="120"/>
              <w:ind w:left="360"/>
              <w:jc w:val="left"/>
              <w:rPr>
                <w:rFonts w:asciiTheme="majorBidi" w:hAnsiTheme="majorBidi" w:cstheme="majorBidi"/>
                <w:sz w:val="24"/>
                <w:szCs w:val="24"/>
              </w:rPr>
            </w:pPr>
          </w:p>
        </w:tc>
        <w:tc>
          <w:tcPr>
            <w:tcW w:w="1179" w:type="dxa"/>
          </w:tcPr>
          <w:p w14:paraId="05761E44" w14:textId="77777777" w:rsidR="00882F28" w:rsidRPr="00CD2E77"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79" w:type="dxa"/>
            <w:tcBorders>
              <w:left w:val="none" w:sz="0" w:space="0" w:color="auto"/>
            </w:tcBorders>
          </w:tcPr>
          <w:p w14:paraId="1F73C336" w14:textId="77777777" w:rsidR="00882F28" w:rsidRPr="00CD2E77" w:rsidRDefault="00882F28" w:rsidP="00257F65">
            <w:pPr>
              <w:keepNext/>
              <w:rPr>
                <w:rFonts w:asciiTheme="majorBidi" w:hAnsiTheme="majorBidi" w:cstheme="majorBidi"/>
                <w:sz w:val="24"/>
                <w:szCs w:val="24"/>
              </w:rPr>
            </w:pPr>
          </w:p>
        </w:tc>
      </w:tr>
      <w:tr w:rsidR="00882F28" w:rsidRPr="00E71B8A" w14:paraId="4E95D26A" w14:textId="77777777" w:rsidTr="000F1636">
        <w:trPr>
          <w:trHeight w:val="116"/>
        </w:trPr>
        <w:tc>
          <w:tcPr>
            <w:tcW w:w="2813" w:type="dxa"/>
          </w:tcPr>
          <w:p w14:paraId="32BFC929"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feel confident about Dettol</w:t>
            </w:r>
          </w:p>
        </w:tc>
        <w:tc>
          <w:tcPr>
            <w:tcW w:w="844" w:type="dxa"/>
          </w:tcPr>
          <w:p w14:paraId="0294FBA5" w14:textId="77777777" w:rsidR="00882F28" w:rsidRPr="00CD2E77" w:rsidRDefault="00882F28" w:rsidP="00257F65">
            <w:pPr>
              <w:keepNext/>
              <w:rPr>
                <w:rFonts w:asciiTheme="majorBidi" w:hAnsiTheme="majorBidi" w:cstheme="majorBidi"/>
                <w:sz w:val="24"/>
                <w:szCs w:val="24"/>
              </w:rPr>
            </w:pPr>
          </w:p>
        </w:tc>
        <w:tc>
          <w:tcPr>
            <w:tcW w:w="1073" w:type="dxa"/>
          </w:tcPr>
          <w:p w14:paraId="2886A2F0" w14:textId="77777777" w:rsidR="00882F28" w:rsidRPr="00CD2E77" w:rsidRDefault="00882F28" w:rsidP="00257F65">
            <w:pPr>
              <w:keepNext/>
              <w:rPr>
                <w:rFonts w:asciiTheme="majorBidi" w:hAnsiTheme="majorBidi" w:cstheme="majorBidi"/>
                <w:sz w:val="24"/>
                <w:szCs w:val="24"/>
              </w:rPr>
            </w:pPr>
          </w:p>
        </w:tc>
        <w:tc>
          <w:tcPr>
            <w:tcW w:w="1121" w:type="dxa"/>
          </w:tcPr>
          <w:p w14:paraId="50259B4B" w14:textId="77777777" w:rsidR="00882F28" w:rsidRPr="00CD2E77" w:rsidRDefault="00882F28" w:rsidP="00257F65">
            <w:pPr>
              <w:keepNext/>
              <w:jc w:val="left"/>
              <w:rPr>
                <w:rFonts w:asciiTheme="majorBidi" w:hAnsiTheme="majorBidi" w:cstheme="majorBidi"/>
                <w:sz w:val="24"/>
                <w:szCs w:val="24"/>
              </w:rPr>
            </w:pPr>
          </w:p>
        </w:tc>
        <w:tc>
          <w:tcPr>
            <w:tcW w:w="1179" w:type="dxa"/>
          </w:tcPr>
          <w:p w14:paraId="4DC36F60" w14:textId="77777777" w:rsidR="00882F28" w:rsidRPr="00CD2E77" w:rsidRDefault="00882F28" w:rsidP="00257F65">
            <w:pPr>
              <w:keepNext/>
              <w:rPr>
                <w:rFonts w:asciiTheme="majorBidi" w:hAnsiTheme="majorBidi" w:cstheme="majorBidi"/>
                <w:sz w:val="24"/>
                <w:szCs w:val="24"/>
              </w:rPr>
            </w:pPr>
          </w:p>
        </w:tc>
        <w:tc>
          <w:tcPr>
            <w:tcW w:w="1179" w:type="dxa"/>
          </w:tcPr>
          <w:p w14:paraId="5D949BA0" w14:textId="77777777" w:rsidR="00882F28" w:rsidRPr="00CD2E77" w:rsidRDefault="00882F28" w:rsidP="00257F65">
            <w:pPr>
              <w:keepNext/>
              <w:rPr>
                <w:rFonts w:asciiTheme="majorBidi" w:hAnsiTheme="majorBidi" w:cstheme="majorBidi"/>
                <w:sz w:val="24"/>
                <w:szCs w:val="24"/>
              </w:rPr>
            </w:pPr>
          </w:p>
        </w:tc>
        <w:tc>
          <w:tcPr>
            <w:tcW w:w="1179" w:type="dxa"/>
          </w:tcPr>
          <w:p w14:paraId="29233C97" w14:textId="77777777" w:rsidR="00882F28" w:rsidRPr="00CD2E77"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79" w:type="dxa"/>
            <w:tcBorders>
              <w:left w:val="none" w:sz="0" w:space="0" w:color="auto"/>
            </w:tcBorders>
          </w:tcPr>
          <w:p w14:paraId="47D8432C" w14:textId="77777777" w:rsidR="00882F28" w:rsidRPr="00CD2E77" w:rsidRDefault="00882F28" w:rsidP="00257F65">
            <w:pPr>
              <w:keepNext/>
              <w:rPr>
                <w:rFonts w:asciiTheme="majorBidi" w:hAnsiTheme="majorBidi" w:cstheme="majorBidi"/>
                <w:sz w:val="24"/>
                <w:szCs w:val="24"/>
              </w:rPr>
            </w:pPr>
          </w:p>
        </w:tc>
      </w:tr>
      <w:tr w:rsidR="00882F28" w:rsidRPr="00E71B8A" w14:paraId="2B56BFED" w14:textId="77777777" w:rsidTr="000F1636">
        <w:trPr>
          <w:trHeight w:val="801"/>
        </w:trPr>
        <w:tc>
          <w:tcPr>
            <w:tcW w:w="2813" w:type="dxa"/>
          </w:tcPr>
          <w:p w14:paraId="64B607C5"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The quality of Dettol has been very consistent</w:t>
            </w:r>
          </w:p>
        </w:tc>
        <w:tc>
          <w:tcPr>
            <w:tcW w:w="844" w:type="dxa"/>
          </w:tcPr>
          <w:p w14:paraId="3654F38C" w14:textId="77777777" w:rsidR="00882F28" w:rsidRPr="00CD2E77" w:rsidRDefault="00882F28" w:rsidP="00257F65">
            <w:pPr>
              <w:keepNext/>
              <w:rPr>
                <w:rFonts w:asciiTheme="majorBidi" w:hAnsiTheme="majorBidi" w:cstheme="majorBidi"/>
                <w:sz w:val="24"/>
                <w:szCs w:val="24"/>
              </w:rPr>
            </w:pPr>
          </w:p>
        </w:tc>
        <w:tc>
          <w:tcPr>
            <w:tcW w:w="1073" w:type="dxa"/>
          </w:tcPr>
          <w:p w14:paraId="741019AC" w14:textId="77777777" w:rsidR="00882F28" w:rsidRPr="00CD2E77" w:rsidRDefault="00882F28" w:rsidP="00257F65">
            <w:pPr>
              <w:keepNext/>
              <w:rPr>
                <w:rFonts w:asciiTheme="majorBidi" w:hAnsiTheme="majorBidi" w:cstheme="majorBidi"/>
                <w:sz w:val="24"/>
                <w:szCs w:val="24"/>
              </w:rPr>
            </w:pPr>
          </w:p>
        </w:tc>
        <w:tc>
          <w:tcPr>
            <w:tcW w:w="1121" w:type="dxa"/>
          </w:tcPr>
          <w:p w14:paraId="28B5D731" w14:textId="77777777" w:rsidR="00882F28" w:rsidRPr="00CD2E77" w:rsidRDefault="00882F28" w:rsidP="00257F65">
            <w:pPr>
              <w:keepNext/>
              <w:jc w:val="left"/>
              <w:rPr>
                <w:rFonts w:asciiTheme="majorBidi" w:hAnsiTheme="majorBidi" w:cstheme="majorBidi"/>
                <w:sz w:val="24"/>
                <w:szCs w:val="24"/>
              </w:rPr>
            </w:pPr>
          </w:p>
        </w:tc>
        <w:tc>
          <w:tcPr>
            <w:tcW w:w="1179" w:type="dxa"/>
          </w:tcPr>
          <w:p w14:paraId="630D4871" w14:textId="77777777" w:rsidR="00882F28" w:rsidRPr="00CD2E77" w:rsidRDefault="00882F28" w:rsidP="00257F65">
            <w:pPr>
              <w:keepNext/>
              <w:rPr>
                <w:rFonts w:asciiTheme="majorBidi" w:hAnsiTheme="majorBidi" w:cstheme="majorBidi"/>
                <w:sz w:val="24"/>
                <w:szCs w:val="24"/>
              </w:rPr>
            </w:pPr>
          </w:p>
        </w:tc>
        <w:tc>
          <w:tcPr>
            <w:tcW w:w="1179" w:type="dxa"/>
          </w:tcPr>
          <w:p w14:paraId="0FA1087F" w14:textId="77777777" w:rsidR="00882F28" w:rsidRPr="00CD2E77" w:rsidRDefault="00882F28" w:rsidP="00257F65">
            <w:pPr>
              <w:keepNext/>
              <w:rPr>
                <w:rFonts w:asciiTheme="majorBidi" w:hAnsiTheme="majorBidi" w:cstheme="majorBidi"/>
                <w:sz w:val="24"/>
                <w:szCs w:val="24"/>
              </w:rPr>
            </w:pPr>
          </w:p>
        </w:tc>
        <w:tc>
          <w:tcPr>
            <w:tcW w:w="1179" w:type="dxa"/>
          </w:tcPr>
          <w:p w14:paraId="2FCFA3C3" w14:textId="77777777" w:rsidR="00882F28" w:rsidRPr="00CD2E77"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179" w:type="dxa"/>
            <w:tcBorders>
              <w:left w:val="none" w:sz="0" w:space="0" w:color="auto"/>
            </w:tcBorders>
          </w:tcPr>
          <w:p w14:paraId="4BCA4F73" w14:textId="77777777" w:rsidR="00882F28" w:rsidRPr="00CD2E77" w:rsidRDefault="00882F28" w:rsidP="00257F65">
            <w:pPr>
              <w:keepNext/>
              <w:rPr>
                <w:rFonts w:asciiTheme="majorBidi" w:hAnsiTheme="majorBidi" w:cstheme="majorBidi"/>
                <w:sz w:val="24"/>
                <w:szCs w:val="24"/>
              </w:rPr>
            </w:pPr>
          </w:p>
        </w:tc>
      </w:tr>
    </w:tbl>
    <w:p w14:paraId="3A0DB613" w14:textId="77777777" w:rsidR="00882F28" w:rsidRPr="00E71B8A" w:rsidRDefault="00882F28" w:rsidP="00882F28">
      <w:pPr>
        <w:rPr>
          <w:rFonts w:asciiTheme="majorBidi" w:hAnsiTheme="majorBidi" w:cstheme="majorBidi"/>
          <w:sz w:val="24"/>
          <w:szCs w:val="24"/>
        </w:rPr>
      </w:pPr>
    </w:p>
    <w:p w14:paraId="3B0EBB9D" w14:textId="77777777" w:rsidR="00882F28" w:rsidRPr="00EA009A" w:rsidRDefault="00882F28" w:rsidP="00882F28">
      <w:pPr>
        <w:keepNext/>
        <w:rPr>
          <w:rFonts w:asciiTheme="majorBidi" w:hAnsiTheme="majorBidi" w:cstheme="majorBidi"/>
        </w:rPr>
      </w:pPr>
      <w:r w:rsidRPr="00EA009A">
        <w:rPr>
          <w:rFonts w:asciiTheme="majorBidi" w:hAnsiTheme="majorBidi" w:cstheme="majorBidi"/>
        </w:rPr>
        <w:t>Q18 Based on the Dettol ad that you just saw, do you agree or disagree with these statements?</w:t>
      </w:r>
    </w:p>
    <w:tbl>
      <w:tblPr>
        <w:tblStyle w:val="QQuestionTable1"/>
        <w:tblW w:w="10307" w:type="dxa"/>
        <w:tblInd w:w="-878" w:type="dxa"/>
        <w:tblLook w:val="07E0" w:firstRow="1" w:lastRow="1" w:firstColumn="1" w:lastColumn="1" w:noHBand="1" w:noVBand="1"/>
      </w:tblPr>
      <w:tblGrid>
        <w:gridCol w:w="2033"/>
        <w:gridCol w:w="938"/>
        <w:gridCol w:w="938"/>
        <w:gridCol w:w="1030"/>
        <w:gridCol w:w="1056"/>
        <w:gridCol w:w="1078"/>
        <w:gridCol w:w="1078"/>
        <w:gridCol w:w="1078"/>
        <w:gridCol w:w="1078"/>
      </w:tblGrid>
      <w:tr w:rsidR="00882F28" w:rsidRPr="00E71B8A" w14:paraId="3A1B3709" w14:textId="77777777" w:rsidTr="000F1636">
        <w:trPr>
          <w:cnfStyle w:val="100000000000" w:firstRow="1" w:lastRow="0" w:firstColumn="0" w:lastColumn="0" w:oddVBand="0" w:evenVBand="0" w:oddHBand="0" w:evenHBand="0" w:firstRowFirstColumn="0" w:firstRowLastColumn="0" w:lastRowFirstColumn="0" w:lastRowLastColumn="0"/>
          <w:trHeight w:val="764"/>
        </w:trPr>
        <w:tc>
          <w:tcPr>
            <w:tcW w:w="2033" w:type="dxa"/>
          </w:tcPr>
          <w:p w14:paraId="3F403F2A" w14:textId="77777777" w:rsidR="00882F28" w:rsidRPr="00E71B8A" w:rsidRDefault="00882F28" w:rsidP="00257F65">
            <w:pPr>
              <w:keepNext/>
              <w:rPr>
                <w:rFonts w:asciiTheme="majorBidi" w:hAnsiTheme="majorBidi" w:cstheme="majorBidi"/>
                <w:sz w:val="24"/>
                <w:szCs w:val="24"/>
              </w:rPr>
            </w:pPr>
          </w:p>
        </w:tc>
        <w:tc>
          <w:tcPr>
            <w:tcW w:w="938" w:type="dxa"/>
          </w:tcPr>
          <w:p w14:paraId="1EC412E4" w14:textId="77777777" w:rsidR="00882F28" w:rsidRPr="00EA009A" w:rsidRDefault="00882F28" w:rsidP="00257F65">
            <w:pPr>
              <w:rPr>
                <w:rFonts w:asciiTheme="majorBidi" w:hAnsiTheme="majorBidi" w:cstheme="majorBidi"/>
              </w:rPr>
            </w:pPr>
          </w:p>
        </w:tc>
        <w:tc>
          <w:tcPr>
            <w:tcW w:w="938" w:type="dxa"/>
          </w:tcPr>
          <w:p w14:paraId="63156621" w14:textId="77777777" w:rsidR="00882F28" w:rsidRPr="00EA009A" w:rsidRDefault="00882F28" w:rsidP="00257F65">
            <w:pPr>
              <w:rPr>
                <w:rFonts w:asciiTheme="majorBidi" w:hAnsiTheme="majorBidi" w:cstheme="majorBidi"/>
              </w:rPr>
            </w:pPr>
            <w:r w:rsidRPr="00EA009A">
              <w:rPr>
                <w:rFonts w:asciiTheme="majorBidi" w:hAnsiTheme="majorBidi" w:cstheme="majorBidi"/>
              </w:rPr>
              <w:t>Strongly Agree</w:t>
            </w:r>
          </w:p>
        </w:tc>
        <w:tc>
          <w:tcPr>
            <w:tcW w:w="1030" w:type="dxa"/>
          </w:tcPr>
          <w:p w14:paraId="46FBEDC2" w14:textId="77777777" w:rsidR="00882F28" w:rsidRPr="00EA009A" w:rsidRDefault="00882F28" w:rsidP="00257F65">
            <w:pPr>
              <w:rPr>
                <w:rFonts w:asciiTheme="majorBidi" w:hAnsiTheme="majorBidi" w:cstheme="majorBidi"/>
              </w:rPr>
            </w:pPr>
            <w:r w:rsidRPr="00EA009A">
              <w:rPr>
                <w:rFonts w:asciiTheme="majorBidi" w:hAnsiTheme="majorBidi" w:cstheme="majorBidi"/>
              </w:rPr>
              <w:t>Agree</w:t>
            </w:r>
          </w:p>
        </w:tc>
        <w:tc>
          <w:tcPr>
            <w:tcW w:w="1056" w:type="dxa"/>
          </w:tcPr>
          <w:p w14:paraId="49DD0949" w14:textId="77777777" w:rsidR="00882F28" w:rsidRPr="00EA009A" w:rsidRDefault="00882F28" w:rsidP="00257F65">
            <w:pPr>
              <w:rPr>
                <w:rFonts w:asciiTheme="majorBidi" w:hAnsiTheme="majorBidi" w:cstheme="majorBidi"/>
              </w:rPr>
            </w:pPr>
            <w:r w:rsidRPr="00EA009A">
              <w:rPr>
                <w:rFonts w:asciiTheme="majorBidi" w:hAnsiTheme="majorBidi" w:cstheme="majorBidi"/>
              </w:rPr>
              <w:t>Slightly Agree</w:t>
            </w:r>
          </w:p>
        </w:tc>
        <w:tc>
          <w:tcPr>
            <w:tcW w:w="1078" w:type="dxa"/>
          </w:tcPr>
          <w:p w14:paraId="3FBA1F3E" w14:textId="77777777" w:rsidR="00882F28" w:rsidRPr="00EA009A" w:rsidRDefault="00882F28" w:rsidP="00257F65">
            <w:pPr>
              <w:rPr>
                <w:rFonts w:asciiTheme="majorBidi" w:hAnsiTheme="majorBidi" w:cstheme="majorBidi"/>
              </w:rPr>
            </w:pPr>
            <w:r w:rsidRPr="00EA009A">
              <w:rPr>
                <w:rFonts w:asciiTheme="majorBidi" w:hAnsiTheme="majorBidi" w:cstheme="majorBidi"/>
              </w:rPr>
              <w:t>Neither Agree or Disagree</w:t>
            </w:r>
          </w:p>
        </w:tc>
        <w:tc>
          <w:tcPr>
            <w:tcW w:w="1078" w:type="dxa"/>
          </w:tcPr>
          <w:p w14:paraId="624D72AD" w14:textId="77777777" w:rsidR="00882F28" w:rsidRPr="00EA009A" w:rsidRDefault="00882F28" w:rsidP="00257F65">
            <w:pPr>
              <w:rPr>
                <w:rFonts w:asciiTheme="majorBidi" w:hAnsiTheme="majorBidi" w:cstheme="majorBidi"/>
              </w:rPr>
            </w:pPr>
            <w:r w:rsidRPr="00EA009A">
              <w:rPr>
                <w:rFonts w:asciiTheme="majorBidi" w:hAnsiTheme="majorBidi" w:cstheme="majorBidi"/>
              </w:rPr>
              <w:t>Slightly Disagree</w:t>
            </w:r>
          </w:p>
        </w:tc>
        <w:tc>
          <w:tcPr>
            <w:tcW w:w="1078" w:type="dxa"/>
          </w:tcPr>
          <w:p w14:paraId="503538EE" w14:textId="77777777" w:rsidR="00882F28" w:rsidRPr="00EA009A" w:rsidRDefault="00882F28" w:rsidP="00257F65">
            <w:pPr>
              <w:rPr>
                <w:rFonts w:asciiTheme="majorBidi" w:hAnsiTheme="majorBidi" w:cstheme="majorBidi"/>
              </w:rPr>
            </w:pPr>
            <w:r w:rsidRPr="00EA009A">
              <w:rPr>
                <w:rFonts w:asciiTheme="majorBidi" w:hAnsiTheme="majorBidi" w:cstheme="majorBidi"/>
              </w:rPr>
              <w:t>Disagree</w:t>
            </w:r>
          </w:p>
        </w:tc>
        <w:tc>
          <w:tcPr>
            <w:cnfStyle w:val="000100000000" w:firstRow="0" w:lastRow="0" w:firstColumn="0" w:lastColumn="1" w:oddVBand="0" w:evenVBand="0" w:oddHBand="0" w:evenHBand="0" w:firstRowFirstColumn="0" w:firstRowLastColumn="0" w:lastRowFirstColumn="0" w:lastRowLastColumn="0"/>
            <w:tcW w:w="1078" w:type="dxa"/>
          </w:tcPr>
          <w:p w14:paraId="24D5D363" w14:textId="77777777" w:rsidR="00882F28" w:rsidRPr="00EA009A" w:rsidRDefault="00882F28" w:rsidP="00257F65">
            <w:pPr>
              <w:rPr>
                <w:rFonts w:asciiTheme="majorBidi" w:hAnsiTheme="majorBidi" w:cstheme="majorBidi"/>
              </w:rPr>
            </w:pPr>
            <w:r w:rsidRPr="00EA009A">
              <w:rPr>
                <w:rFonts w:asciiTheme="majorBidi" w:hAnsiTheme="majorBidi" w:cstheme="majorBidi"/>
              </w:rPr>
              <w:t>Strongly Disagree</w:t>
            </w:r>
          </w:p>
        </w:tc>
      </w:tr>
      <w:tr w:rsidR="00882F28" w:rsidRPr="00E71B8A" w14:paraId="048404BB" w14:textId="77777777" w:rsidTr="000F1636">
        <w:trPr>
          <w:trHeight w:val="554"/>
        </w:trPr>
        <w:tc>
          <w:tcPr>
            <w:tcW w:w="2033" w:type="dxa"/>
          </w:tcPr>
          <w:p w14:paraId="411B2558"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would consider purchasing Dettol</w:t>
            </w:r>
          </w:p>
        </w:tc>
        <w:tc>
          <w:tcPr>
            <w:tcW w:w="938" w:type="dxa"/>
          </w:tcPr>
          <w:p w14:paraId="497468F9" w14:textId="77777777" w:rsidR="00882F28" w:rsidRPr="00EA009A" w:rsidRDefault="00882F28" w:rsidP="00257F65">
            <w:pPr>
              <w:keepNext/>
              <w:rPr>
                <w:rFonts w:asciiTheme="majorBidi" w:hAnsiTheme="majorBidi" w:cstheme="majorBidi"/>
                <w:sz w:val="24"/>
                <w:szCs w:val="24"/>
              </w:rPr>
            </w:pPr>
          </w:p>
        </w:tc>
        <w:tc>
          <w:tcPr>
            <w:tcW w:w="938" w:type="dxa"/>
          </w:tcPr>
          <w:p w14:paraId="11EC07A7" w14:textId="77777777" w:rsidR="00882F28" w:rsidRPr="00EA009A" w:rsidRDefault="00882F28" w:rsidP="00257F65">
            <w:pPr>
              <w:keepNext/>
              <w:rPr>
                <w:rFonts w:asciiTheme="majorBidi" w:hAnsiTheme="majorBidi" w:cstheme="majorBidi"/>
                <w:sz w:val="24"/>
                <w:szCs w:val="24"/>
              </w:rPr>
            </w:pPr>
          </w:p>
        </w:tc>
        <w:tc>
          <w:tcPr>
            <w:tcW w:w="1030" w:type="dxa"/>
          </w:tcPr>
          <w:p w14:paraId="26EE5A6D" w14:textId="77777777" w:rsidR="00882F28" w:rsidRPr="00EA009A" w:rsidRDefault="00882F28" w:rsidP="00257F65">
            <w:pPr>
              <w:keepNext/>
              <w:rPr>
                <w:rFonts w:asciiTheme="majorBidi" w:hAnsiTheme="majorBidi" w:cstheme="majorBidi"/>
                <w:sz w:val="24"/>
                <w:szCs w:val="24"/>
              </w:rPr>
            </w:pPr>
          </w:p>
        </w:tc>
        <w:tc>
          <w:tcPr>
            <w:tcW w:w="1056" w:type="dxa"/>
          </w:tcPr>
          <w:p w14:paraId="210FC963" w14:textId="77777777" w:rsidR="00882F28" w:rsidRPr="00EA009A" w:rsidRDefault="00882F28" w:rsidP="00257F65">
            <w:pPr>
              <w:keepNext/>
              <w:rPr>
                <w:rFonts w:asciiTheme="majorBidi" w:hAnsiTheme="majorBidi" w:cstheme="majorBidi"/>
                <w:sz w:val="24"/>
                <w:szCs w:val="24"/>
              </w:rPr>
            </w:pPr>
          </w:p>
        </w:tc>
        <w:tc>
          <w:tcPr>
            <w:tcW w:w="1078" w:type="dxa"/>
          </w:tcPr>
          <w:p w14:paraId="75ADA0DF" w14:textId="77777777" w:rsidR="00882F28" w:rsidRPr="00EA009A" w:rsidRDefault="00882F28" w:rsidP="00257F65">
            <w:pPr>
              <w:keepNext/>
              <w:rPr>
                <w:rFonts w:asciiTheme="majorBidi" w:hAnsiTheme="majorBidi" w:cstheme="majorBidi"/>
                <w:sz w:val="24"/>
                <w:szCs w:val="24"/>
              </w:rPr>
            </w:pPr>
          </w:p>
        </w:tc>
        <w:tc>
          <w:tcPr>
            <w:tcW w:w="1078" w:type="dxa"/>
          </w:tcPr>
          <w:p w14:paraId="210176E9" w14:textId="77777777" w:rsidR="00882F28" w:rsidRPr="00EA009A" w:rsidRDefault="00882F28" w:rsidP="00257F65">
            <w:pPr>
              <w:keepNext/>
              <w:rPr>
                <w:rFonts w:asciiTheme="majorBidi" w:hAnsiTheme="majorBidi" w:cstheme="majorBidi"/>
                <w:sz w:val="24"/>
                <w:szCs w:val="24"/>
              </w:rPr>
            </w:pPr>
          </w:p>
        </w:tc>
        <w:tc>
          <w:tcPr>
            <w:tcW w:w="1078" w:type="dxa"/>
          </w:tcPr>
          <w:p w14:paraId="503B91B3"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078" w:type="dxa"/>
          </w:tcPr>
          <w:p w14:paraId="18515DB1" w14:textId="77777777" w:rsidR="00882F28" w:rsidRPr="00EA009A" w:rsidRDefault="00882F28" w:rsidP="00257F65">
            <w:pPr>
              <w:keepNext/>
              <w:rPr>
                <w:rFonts w:asciiTheme="majorBidi" w:hAnsiTheme="majorBidi" w:cstheme="majorBidi"/>
                <w:sz w:val="24"/>
                <w:szCs w:val="24"/>
              </w:rPr>
            </w:pPr>
          </w:p>
        </w:tc>
      </w:tr>
      <w:tr w:rsidR="00882F28" w:rsidRPr="00E71B8A" w14:paraId="7CB4E37B" w14:textId="77777777" w:rsidTr="000F1636">
        <w:trPr>
          <w:trHeight w:val="43"/>
        </w:trPr>
        <w:tc>
          <w:tcPr>
            <w:tcW w:w="2033" w:type="dxa"/>
          </w:tcPr>
          <w:p w14:paraId="57B61A9A"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intend to try Dettol</w:t>
            </w:r>
          </w:p>
        </w:tc>
        <w:tc>
          <w:tcPr>
            <w:tcW w:w="938" w:type="dxa"/>
          </w:tcPr>
          <w:p w14:paraId="00276748" w14:textId="77777777" w:rsidR="00882F28" w:rsidRPr="00EA009A" w:rsidRDefault="00882F28" w:rsidP="00257F65">
            <w:pPr>
              <w:keepNext/>
              <w:rPr>
                <w:rFonts w:asciiTheme="majorBidi" w:hAnsiTheme="majorBidi" w:cstheme="majorBidi"/>
                <w:sz w:val="24"/>
                <w:szCs w:val="24"/>
              </w:rPr>
            </w:pPr>
          </w:p>
        </w:tc>
        <w:tc>
          <w:tcPr>
            <w:tcW w:w="938" w:type="dxa"/>
          </w:tcPr>
          <w:p w14:paraId="02B1E6C3" w14:textId="77777777" w:rsidR="00882F28" w:rsidRPr="00EA009A" w:rsidRDefault="00882F28" w:rsidP="00257F65">
            <w:pPr>
              <w:keepNext/>
              <w:rPr>
                <w:rFonts w:asciiTheme="majorBidi" w:hAnsiTheme="majorBidi" w:cstheme="majorBidi"/>
                <w:sz w:val="24"/>
                <w:szCs w:val="24"/>
              </w:rPr>
            </w:pPr>
          </w:p>
        </w:tc>
        <w:tc>
          <w:tcPr>
            <w:tcW w:w="1030" w:type="dxa"/>
          </w:tcPr>
          <w:p w14:paraId="7DEE83C1" w14:textId="77777777" w:rsidR="00882F28" w:rsidRPr="00EA009A" w:rsidRDefault="00882F28" w:rsidP="00257F65">
            <w:pPr>
              <w:keepNext/>
              <w:rPr>
                <w:rFonts w:asciiTheme="majorBidi" w:hAnsiTheme="majorBidi" w:cstheme="majorBidi"/>
                <w:sz w:val="24"/>
                <w:szCs w:val="24"/>
              </w:rPr>
            </w:pPr>
          </w:p>
        </w:tc>
        <w:tc>
          <w:tcPr>
            <w:tcW w:w="1056" w:type="dxa"/>
          </w:tcPr>
          <w:p w14:paraId="4241852D" w14:textId="77777777" w:rsidR="00882F28" w:rsidRPr="00EA009A" w:rsidRDefault="00882F28" w:rsidP="00257F65">
            <w:pPr>
              <w:keepNext/>
              <w:rPr>
                <w:rFonts w:asciiTheme="majorBidi" w:hAnsiTheme="majorBidi" w:cstheme="majorBidi"/>
                <w:sz w:val="24"/>
                <w:szCs w:val="24"/>
              </w:rPr>
            </w:pPr>
          </w:p>
        </w:tc>
        <w:tc>
          <w:tcPr>
            <w:tcW w:w="1078" w:type="dxa"/>
          </w:tcPr>
          <w:p w14:paraId="669EF5EC" w14:textId="77777777" w:rsidR="00882F28" w:rsidRPr="00EA009A" w:rsidRDefault="00882F28" w:rsidP="00257F65">
            <w:pPr>
              <w:keepNext/>
              <w:rPr>
                <w:rFonts w:asciiTheme="majorBidi" w:hAnsiTheme="majorBidi" w:cstheme="majorBidi"/>
                <w:sz w:val="24"/>
                <w:szCs w:val="24"/>
              </w:rPr>
            </w:pPr>
          </w:p>
        </w:tc>
        <w:tc>
          <w:tcPr>
            <w:tcW w:w="1078" w:type="dxa"/>
          </w:tcPr>
          <w:p w14:paraId="7B4D521F" w14:textId="77777777" w:rsidR="00882F28" w:rsidRPr="00EA009A" w:rsidRDefault="00882F28" w:rsidP="00257F65">
            <w:pPr>
              <w:keepNext/>
              <w:rPr>
                <w:rFonts w:asciiTheme="majorBidi" w:hAnsiTheme="majorBidi" w:cstheme="majorBidi"/>
                <w:sz w:val="24"/>
                <w:szCs w:val="24"/>
              </w:rPr>
            </w:pPr>
          </w:p>
        </w:tc>
        <w:tc>
          <w:tcPr>
            <w:tcW w:w="1078" w:type="dxa"/>
          </w:tcPr>
          <w:p w14:paraId="605464F9" w14:textId="77777777" w:rsidR="00882F28" w:rsidRPr="00EA009A" w:rsidRDefault="00882F28" w:rsidP="00257F65">
            <w:pPr>
              <w:keepNext/>
              <w:jc w:val="lef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078" w:type="dxa"/>
          </w:tcPr>
          <w:p w14:paraId="20B28C16" w14:textId="77777777" w:rsidR="00882F28" w:rsidRPr="00EA009A" w:rsidRDefault="00882F28" w:rsidP="00257F65">
            <w:pPr>
              <w:keepNext/>
              <w:rPr>
                <w:rFonts w:asciiTheme="majorBidi" w:hAnsiTheme="majorBidi" w:cstheme="majorBidi"/>
                <w:sz w:val="24"/>
                <w:szCs w:val="24"/>
              </w:rPr>
            </w:pPr>
          </w:p>
        </w:tc>
      </w:tr>
      <w:tr w:rsidR="00882F28" w:rsidRPr="00E71B8A" w14:paraId="099D937F" w14:textId="77777777" w:rsidTr="000F1636">
        <w:trPr>
          <w:trHeight w:val="554"/>
        </w:trPr>
        <w:tc>
          <w:tcPr>
            <w:tcW w:w="2033" w:type="dxa"/>
          </w:tcPr>
          <w:p w14:paraId="4287EE6E"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plan on buying Dettol</w:t>
            </w:r>
          </w:p>
        </w:tc>
        <w:tc>
          <w:tcPr>
            <w:tcW w:w="938" w:type="dxa"/>
          </w:tcPr>
          <w:p w14:paraId="73D2B877" w14:textId="77777777" w:rsidR="00882F28" w:rsidRPr="00EA009A" w:rsidRDefault="00882F28" w:rsidP="00257F65">
            <w:pPr>
              <w:keepNext/>
              <w:rPr>
                <w:rFonts w:asciiTheme="majorBidi" w:hAnsiTheme="majorBidi" w:cstheme="majorBidi"/>
                <w:sz w:val="24"/>
                <w:szCs w:val="24"/>
              </w:rPr>
            </w:pPr>
          </w:p>
        </w:tc>
        <w:tc>
          <w:tcPr>
            <w:tcW w:w="938" w:type="dxa"/>
          </w:tcPr>
          <w:p w14:paraId="75FBAA82" w14:textId="77777777" w:rsidR="00882F28" w:rsidRPr="00EA009A" w:rsidRDefault="00882F28" w:rsidP="00257F65">
            <w:pPr>
              <w:keepNext/>
              <w:rPr>
                <w:rFonts w:asciiTheme="majorBidi" w:hAnsiTheme="majorBidi" w:cstheme="majorBidi"/>
                <w:sz w:val="24"/>
                <w:szCs w:val="24"/>
              </w:rPr>
            </w:pPr>
          </w:p>
        </w:tc>
        <w:tc>
          <w:tcPr>
            <w:tcW w:w="1030" w:type="dxa"/>
          </w:tcPr>
          <w:p w14:paraId="52C9320A" w14:textId="77777777" w:rsidR="00882F28" w:rsidRPr="00EA009A" w:rsidRDefault="00882F28" w:rsidP="00257F65">
            <w:pPr>
              <w:keepNext/>
              <w:rPr>
                <w:rFonts w:asciiTheme="majorBidi" w:hAnsiTheme="majorBidi" w:cstheme="majorBidi"/>
                <w:sz w:val="24"/>
                <w:szCs w:val="24"/>
              </w:rPr>
            </w:pPr>
          </w:p>
        </w:tc>
        <w:tc>
          <w:tcPr>
            <w:tcW w:w="1056" w:type="dxa"/>
          </w:tcPr>
          <w:p w14:paraId="0B918A5E" w14:textId="77777777" w:rsidR="00882F28" w:rsidRPr="00EA009A" w:rsidRDefault="00882F28" w:rsidP="00257F65">
            <w:pPr>
              <w:keepNext/>
              <w:rPr>
                <w:rFonts w:asciiTheme="majorBidi" w:hAnsiTheme="majorBidi" w:cstheme="majorBidi"/>
                <w:sz w:val="24"/>
                <w:szCs w:val="24"/>
              </w:rPr>
            </w:pPr>
          </w:p>
        </w:tc>
        <w:tc>
          <w:tcPr>
            <w:tcW w:w="1078" w:type="dxa"/>
          </w:tcPr>
          <w:p w14:paraId="6975FEBB" w14:textId="77777777" w:rsidR="00882F28" w:rsidRPr="00EA009A" w:rsidRDefault="00882F28" w:rsidP="00257F65">
            <w:pPr>
              <w:keepNext/>
              <w:rPr>
                <w:rFonts w:asciiTheme="majorBidi" w:hAnsiTheme="majorBidi" w:cstheme="majorBidi"/>
                <w:sz w:val="24"/>
                <w:szCs w:val="24"/>
              </w:rPr>
            </w:pPr>
          </w:p>
        </w:tc>
        <w:tc>
          <w:tcPr>
            <w:tcW w:w="1078" w:type="dxa"/>
          </w:tcPr>
          <w:p w14:paraId="6EBA29D1" w14:textId="77777777" w:rsidR="00882F28" w:rsidRPr="00EA009A" w:rsidRDefault="00882F28" w:rsidP="00257F65">
            <w:pPr>
              <w:keepNext/>
              <w:rPr>
                <w:rFonts w:asciiTheme="majorBidi" w:hAnsiTheme="majorBidi" w:cstheme="majorBidi"/>
                <w:sz w:val="24"/>
                <w:szCs w:val="24"/>
              </w:rPr>
            </w:pPr>
          </w:p>
        </w:tc>
        <w:tc>
          <w:tcPr>
            <w:tcW w:w="1078" w:type="dxa"/>
          </w:tcPr>
          <w:p w14:paraId="76E3279D"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078" w:type="dxa"/>
          </w:tcPr>
          <w:p w14:paraId="0373B96F" w14:textId="77777777" w:rsidR="00882F28" w:rsidRPr="00EA009A" w:rsidRDefault="00882F28" w:rsidP="00257F65">
            <w:pPr>
              <w:keepNext/>
              <w:rPr>
                <w:rFonts w:asciiTheme="majorBidi" w:hAnsiTheme="majorBidi" w:cstheme="majorBidi"/>
                <w:sz w:val="24"/>
                <w:szCs w:val="24"/>
              </w:rPr>
            </w:pPr>
          </w:p>
        </w:tc>
      </w:tr>
      <w:tr w:rsidR="00882F28" w:rsidRPr="00E71B8A" w14:paraId="5C0DD18D" w14:textId="77777777" w:rsidTr="000F1636">
        <w:trPr>
          <w:trHeight w:val="570"/>
        </w:trPr>
        <w:tc>
          <w:tcPr>
            <w:tcW w:w="2033" w:type="dxa"/>
          </w:tcPr>
          <w:p w14:paraId="7D301D24" w14:textId="77777777" w:rsidR="00882F28" w:rsidRPr="00EA009A" w:rsidRDefault="00882F28" w:rsidP="00257F65">
            <w:pPr>
              <w:keepNext/>
              <w:rPr>
                <w:rFonts w:asciiTheme="majorBidi" w:hAnsiTheme="majorBidi" w:cstheme="majorBidi"/>
              </w:rPr>
            </w:pPr>
            <w:r w:rsidRPr="00EA009A">
              <w:rPr>
                <w:rFonts w:asciiTheme="majorBidi" w:hAnsiTheme="majorBidi" w:cstheme="majorBidi"/>
              </w:rPr>
              <w:t>I am interested in testing Dettol</w:t>
            </w:r>
          </w:p>
        </w:tc>
        <w:tc>
          <w:tcPr>
            <w:tcW w:w="938" w:type="dxa"/>
          </w:tcPr>
          <w:p w14:paraId="39DADC26" w14:textId="77777777" w:rsidR="00882F28" w:rsidRPr="00EA009A" w:rsidRDefault="00882F28" w:rsidP="00257F65">
            <w:pPr>
              <w:keepNext/>
              <w:rPr>
                <w:rFonts w:asciiTheme="majorBidi" w:hAnsiTheme="majorBidi" w:cstheme="majorBidi"/>
                <w:sz w:val="24"/>
                <w:szCs w:val="24"/>
              </w:rPr>
            </w:pPr>
          </w:p>
        </w:tc>
        <w:tc>
          <w:tcPr>
            <w:tcW w:w="938" w:type="dxa"/>
          </w:tcPr>
          <w:p w14:paraId="1C3C7134" w14:textId="77777777" w:rsidR="00882F28" w:rsidRPr="00EA009A" w:rsidRDefault="00882F28" w:rsidP="00257F65">
            <w:pPr>
              <w:keepNext/>
              <w:rPr>
                <w:rFonts w:asciiTheme="majorBidi" w:hAnsiTheme="majorBidi" w:cstheme="majorBidi"/>
                <w:sz w:val="24"/>
                <w:szCs w:val="24"/>
              </w:rPr>
            </w:pPr>
          </w:p>
        </w:tc>
        <w:tc>
          <w:tcPr>
            <w:tcW w:w="1030" w:type="dxa"/>
          </w:tcPr>
          <w:p w14:paraId="55CF91BC" w14:textId="77777777" w:rsidR="00882F28" w:rsidRPr="00EA009A" w:rsidRDefault="00882F28" w:rsidP="00257F65">
            <w:pPr>
              <w:keepNext/>
              <w:rPr>
                <w:rFonts w:asciiTheme="majorBidi" w:hAnsiTheme="majorBidi" w:cstheme="majorBidi"/>
                <w:sz w:val="24"/>
                <w:szCs w:val="24"/>
              </w:rPr>
            </w:pPr>
          </w:p>
        </w:tc>
        <w:tc>
          <w:tcPr>
            <w:tcW w:w="1056" w:type="dxa"/>
          </w:tcPr>
          <w:p w14:paraId="1716BBD5" w14:textId="77777777" w:rsidR="00882F28" w:rsidRPr="00EA009A" w:rsidRDefault="00882F28" w:rsidP="00257F65">
            <w:pPr>
              <w:keepNext/>
              <w:rPr>
                <w:rFonts w:asciiTheme="majorBidi" w:hAnsiTheme="majorBidi" w:cstheme="majorBidi"/>
                <w:sz w:val="24"/>
                <w:szCs w:val="24"/>
              </w:rPr>
            </w:pPr>
          </w:p>
        </w:tc>
        <w:tc>
          <w:tcPr>
            <w:tcW w:w="1078" w:type="dxa"/>
          </w:tcPr>
          <w:p w14:paraId="5E308862" w14:textId="77777777" w:rsidR="00882F28" w:rsidRPr="00EA009A" w:rsidRDefault="00882F28" w:rsidP="00257F65">
            <w:pPr>
              <w:keepNext/>
              <w:rPr>
                <w:rFonts w:asciiTheme="majorBidi" w:hAnsiTheme="majorBidi" w:cstheme="majorBidi"/>
                <w:sz w:val="24"/>
                <w:szCs w:val="24"/>
              </w:rPr>
            </w:pPr>
          </w:p>
        </w:tc>
        <w:tc>
          <w:tcPr>
            <w:tcW w:w="1078" w:type="dxa"/>
          </w:tcPr>
          <w:p w14:paraId="06ED05AD" w14:textId="77777777" w:rsidR="00882F28" w:rsidRPr="00EA009A" w:rsidRDefault="00882F28" w:rsidP="00257F65">
            <w:pPr>
              <w:keepNext/>
              <w:rPr>
                <w:rFonts w:asciiTheme="majorBidi" w:hAnsiTheme="majorBidi" w:cstheme="majorBidi"/>
                <w:sz w:val="24"/>
                <w:szCs w:val="24"/>
              </w:rPr>
            </w:pPr>
          </w:p>
        </w:tc>
        <w:tc>
          <w:tcPr>
            <w:tcW w:w="1078" w:type="dxa"/>
          </w:tcPr>
          <w:p w14:paraId="4DFF6ACE" w14:textId="77777777" w:rsidR="00882F28" w:rsidRPr="00EA009A" w:rsidRDefault="00882F28" w:rsidP="00257F65">
            <w:pPr>
              <w:keepNext/>
              <w:rPr>
                <w:rFonts w:asciiTheme="majorBidi" w:hAnsiTheme="majorBidi" w:cstheme="majorBidi"/>
                <w:sz w:val="24"/>
                <w:szCs w:val="24"/>
              </w:rPr>
            </w:pPr>
          </w:p>
        </w:tc>
        <w:tc>
          <w:tcPr>
            <w:cnfStyle w:val="000100000000" w:firstRow="0" w:lastRow="0" w:firstColumn="0" w:lastColumn="1" w:oddVBand="0" w:evenVBand="0" w:oddHBand="0" w:evenHBand="0" w:firstRowFirstColumn="0" w:firstRowLastColumn="0" w:lastRowFirstColumn="0" w:lastRowLastColumn="0"/>
            <w:tcW w:w="1078" w:type="dxa"/>
          </w:tcPr>
          <w:p w14:paraId="5AB13A13" w14:textId="77777777" w:rsidR="00882F28" w:rsidRPr="00EA009A" w:rsidRDefault="00882F28" w:rsidP="00257F65">
            <w:pPr>
              <w:keepNext/>
              <w:jc w:val="left"/>
              <w:rPr>
                <w:rFonts w:asciiTheme="majorBidi" w:hAnsiTheme="majorBidi" w:cstheme="majorBidi"/>
                <w:sz w:val="24"/>
                <w:szCs w:val="24"/>
              </w:rPr>
            </w:pPr>
          </w:p>
        </w:tc>
      </w:tr>
    </w:tbl>
    <w:p w14:paraId="192D0895" w14:textId="77777777" w:rsidR="00882F28" w:rsidRDefault="00882F28" w:rsidP="00882F28">
      <w:pPr>
        <w:rPr>
          <w:rFonts w:asciiTheme="majorBidi" w:hAnsiTheme="majorBidi" w:cstheme="majorBidi"/>
          <w:sz w:val="24"/>
          <w:szCs w:val="24"/>
        </w:rPr>
      </w:pPr>
    </w:p>
    <w:p w14:paraId="6FAF075B" w14:textId="77777777" w:rsidR="00882F28" w:rsidRPr="00462F85" w:rsidRDefault="00882F28" w:rsidP="00882F28">
      <w:pPr>
        <w:keepNext/>
        <w:pBdr>
          <w:bottom w:val="single" w:sz="12" w:space="1" w:color="auto"/>
        </w:pBdr>
        <w:rPr>
          <w:rFonts w:asciiTheme="majorBidi" w:hAnsiTheme="majorBidi" w:cstheme="majorBidi"/>
        </w:rPr>
      </w:pPr>
      <w:r w:rsidRPr="00462F85">
        <w:rPr>
          <w:rFonts w:asciiTheme="majorBidi" w:hAnsiTheme="majorBidi" w:cstheme="majorBidi"/>
        </w:rPr>
        <w:t>Q19 How old are you? Please type below</w:t>
      </w:r>
    </w:p>
    <w:p w14:paraId="28BA15FC" w14:textId="77777777" w:rsidR="00882F28" w:rsidRPr="00E71B8A" w:rsidRDefault="00882F28" w:rsidP="00882F28">
      <w:pPr>
        <w:rPr>
          <w:rFonts w:asciiTheme="majorBidi" w:hAnsiTheme="majorBidi" w:cstheme="majorBidi"/>
          <w:sz w:val="24"/>
          <w:szCs w:val="24"/>
        </w:rPr>
      </w:pPr>
    </w:p>
    <w:p w14:paraId="05EA3BFE" w14:textId="77777777" w:rsidR="00882F28" w:rsidRPr="00462F85" w:rsidRDefault="00882F28" w:rsidP="00882F28">
      <w:pPr>
        <w:keepNext/>
        <w:rPr>
          <w:rFonts w:asciiTheme="majorBidi" w:hAnsiTheme="majorBidi" w:cstheme="majorBidi"/>
        </w:rPr>
      </w:pPr>
      <w:r w:rsidRPr="00462F85">
        <w:rPr>
          <w:rFonts w:asciiTheme="majorBidi" w:hAnsiTheme="majorBidi" w:cstheme="majorBidi"/>
        </w:rPr>
        <w:t>Q20 What is your level of education? </w:t>
      </w:r>
    </w:p>
    <w:p w14:paraId="060C31C7"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Did not receive school education</w:t>
      </w:r>
    </w:p>
    <w:p w14:paraId="1CDE631B"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Attended School</w:t>
      </w:r>
    </w:p>
    <w:p w14:paraId="1A8CC50C"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High School</w:t>
      </w:r>
    </w:p>
    <w:p w14:paraId="257026B7"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Bachelor's Degree</w:t>
      </w:r>
    </w:p>
    <w:p w14:paraId="5A8A0DA6"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462F85">
        <w:rPr>
          <w:rFonts w:asciiTheme="majorBidi" w:hAnsiTheme="majorBidi" w:cstheme="majorBidi"/>
        </w:rPr>
        <w:t>Post graduate Degree</w:t>
      </w:r>
      <w:r>
        <w:rPr>
          <w:rFonts w:asciiTheme="majorBidi" w:hAnsiTheme="majorBidi" w:cstheme="majorBidi"/>
          <w:sz w:val="24"/>
          <w:szCs w:val="24"/>
        </w:rPr>
        <w:br/>
      </w:r>
    </w:p>
    <w:p w14:paraId="7D3A8AF8" w14:textId="77777777" w:rsidR="00882F28" w:rsidRPr="00462F85" w:rsidRDefault="00882F28" w:rsidP="00882F28">
      <w:pPr>
        <w:keepNext/>
        <w:rPr>
          <w:rFonts w:asciiTheme="majorBidi" w:hAnsiTheme="majorBidi" w:cstheme="majorBidi"/>
        </w:rPr>
      </w:pPr>
      <w:r w:rsidRPr="00462F85">
        <w:rPr>
          <w:rFonts w:asciiTheme="majorBidi" w:hAnsiTheme="majorBidi" w:cstheme="majorBidi"/>
        </w:rPr>
        <w:t>Q21 What is your level of monthly income in Egyptian Pounds? </w:t>
      </w:r>
    </w:p>
    <w:p w14:paraId="49F23AFD" w14:textId="77777777" w:rsidR="00882F28" w:rsidRPr="00462F85" w:rsidRDefault="00882F28">
      <w:pPr>
        <w:pStyle w:val="ListParagraph"/>
        <w:keepNext/>
        <w:numPr>
          <w:ilvl w:val="0"/>
          <w:numId w:val="31"/>
        </w:numPr>
        <w:spacing w:after="0" w:line="276" w:lineRule="auto"/>
        <w:contextualSpacing w:val="0"/>
        <w:rPr>
          <w:rFonts w:asciiTheme="majorBidi" w:hAnsiTheme="majorBidi" w:cstheme="majorBidi"/>
        </w:rPr>
      </w:pPr>
      <w:r w:rsidRPr="00462F85">
        <w:rPr>
          <w:rFonts w:asciiTheme="majorBidi" w:hAnsiTheme="majorBidi" w:cstheme="majorBidi"/>
        </w:rPr>
        <w:t>Less than 2,284</w:t>
      </w:r>
    </w:p>
    <w:p w14:paraId="6CCDCF27" w14:textId="77777777" w:rsidR="00882F28" w:rsidRPr="00462F85" w:rsidRDefault="00882F28">
      <w:pPr>
        <w:pStyle w:val="ListParagraph"/>
        <w:keepNext/>
        <w:numPr>
          <w:ilvl w:val="0"/>
          <w:numId w:val="31"/>
        </w:numPr>
        <w:spacing w:after="0" w:line="276" w:lineRule="auto"/>
        <w:contextualSpacing w:val="0"/>
        <w:rPr>
          <w:rFonts w:asciiTheme="majorBidi" w:hAnsiTheme="majorBidi" w:cstheme="majorBidi"/>
        </w:rPr>
      </w:pPr>
      <w:r w:rsidRPr="00462F85">
        <w:rPr>
          <w:rFonts w:asciiTheme="majorBidi" w:hAnsiTheme="majorBidi" w:cstheme="majorBidi"/>
        </w:rPr>
        <w:t>2,285 – 6,333</w:t>
      </w:r>
    </w:p>
    <w:p w14:paraId="2E9103CE" w14:textId="77777777" w:rsidR="00882F28" w:rsidRPr="00462F85" w:rsidRDefault="00882F28">
      <w:pPr>
        <w:pStyle w:val="ListParagraph"/>
        <w:keepNext/>
        <w:numPr>
          <w:ilvl w:val="0"/>
          <w:numId w:val="31"/>
        </w:numPr>
        <w:spacing w:after="0" w:line="276" w:lineRule="auto"/>
        <w:contextualSpacing w:val="0"/>
        <w:rPr>
          <w:rFonts w:asciiTheme="majorBidi" w:hAnsiTheme="majorBidi" w:cstheme="majorBidi"/>
        </w:rPr>
      </w:pPr>
      <w:r w:rsidRPr="00462F85">
        <w:rPr>
          <w:rFonts w:asciiTheme="majorBidi" w:hAnsiTheme="majorBidi" w:cstheme="majorBidi"/>
        </w:rPr>
        <w:t>6,334 – 10,897</w:t>
      </w:r>
    </w:p>
    <w:p w14:paraId="0C4BBA66"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10,898 – 16,558</w:t>
      </w:r>
    </w:p>
    <w:p w14:paraId="503A963F"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6,559 – 22,306</w:t>
      </w:r>
    </w:p>
    <w:p w14:paraId="72A2DBC1"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22,307 – 45,120</w:t>
      </w:r>
    </w:p>
    <w:p w14:paraId="6CD57864"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sz w:val="24"/>
          <w:szCs w:val="24"/>
        </w:rPr>
      </w:pPr>
      <w:r w:rsidRPr="00462F85">
        <w:rPr>
          <w:rFonts w:asciiTheme="majorBidi" w:hAnsiTheme="majorBidi" w:cstheme="majorBidi"/>
        </w:rPr>
        <w:t>Above 45,120</w:t>
      </w:r>
      <w:r>
        <w:rPr>
          <w:rFonts w:asciiTheme="majorBidi" w:hAnsiTheme="majorBidi" w:cstheme="majorBidi"/>
          <w:sz w:val="24"/>
          <w:szCs w:val="24"/>
        </w:rPr>
        <w:br/>
      </w:r>
    </w:p>
    <w:p w14:paraId="54788924" w14:textId="77777777" w:rsidR="00882F28" w:rsidRPr="00462F85" w:rsidRDefault="00882F28" w:rsidP="00882F28">
      <w:pPr>
        <w:keepNext/>
        <w:rPr>
          <w:rFonts w:asciiTheme="majorBidi" w:hAnsiTheme="majorBidi" w:cstheme="majorBidi"/>
        </w:rPr>
      </w:pPr>
      <w:r w:rsidRPr="00462F85">
        <w:rPr>
          <w:rFonts w:asciiTheme="majorBidi" w:hAnsiTheme="majorBidi" w:cstheme="majorBidi"/>
        </w:rPr>
        <w:t>Q22 How would you describe your occupation?</w:t>
      </w:r>
    </w:p>
    <w:p w14:paraId="2F320AD0"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Legislator, senior official, or Manager</w:t>
      </w:r>
    </w:p>
    <w:p w14:paraId="2DD59425"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Professional</w:t>
      </w:r>
    </w:p>
    <w:p w14:paraId="75A12D53"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Technician or associate professional</w:t>
      </w:r>
    </w:p>
    <w:p w14:paraId="4354B9D8"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Clerk</w:t>
      </w:r>
    </w:p>
    <w:p w14:paraId="246A7481"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Skilled Worker, shop, or market sales worker</w:t>
      </w:r>
    </w:p>
    <w:p w14:paraId="230434F5"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Skilled Agriculture or fishery worker</w:t>
      </w:r>
    </w:p>
    <w:p w14:paraId="73706867"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Craft Related Trade worker</w:t>
      </w:r>
    </w:p>
    <w:p w14:paraId="3A62299C"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Plant and Machine operator and assembler</w:t>
      </w:r>
    </w:p>
    <w:p w14:paraId="62E3189E"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Elementary Occupation</w:t>
      </w:r>
    </w:p>
    <w:p w14:paraId="3D344229" w14:textId="77777777" w:rsidR="00882F28" w:rsidRPr="00462F85" w:rsidRDefault="00882F28">
      <w:pPr>
        <w:pStyle w:val="ListParagraph"/>
        <w:keepNext/>
        <w:numPr>
          <w:ilvl w:val="0"/>
          <w:numId w:val="31"/>
        </w:numPr>
        <w:spacing w:before="120" w:after="0" w:line="276" w:lineRule="auto"/>
        <w:contextualSpacing w:val="0"/>
        <w:rPr>
          <w:rFonts w:asciiTheme="majorBidi" w:hAnsiTheme="majorBidi" w:cstheme="majorBidi"/>
        </w:rPr>
      </w:pPr>
      <w:r w:rsidRPr="00462F85">
        <w:rPr>
          <w:rFonts w:asciiTheme="majorBidi" w:hAnsiTheme="majorBidi" w:cstheme="majorBidi"/>
        </w:rPr>
        <w:t>Unemployed</w:t>
      </w:r>
      <w:r>
        <w:rPr>
          <w:rFonts w:asciiTheme="majorBidi" w:hAnsiTheme="majorBidi" w:cstheme="majorBidi"/>
        </w:rPr>
        <w:br/>
      </w:r>
    </w:p>
    <w:p w14:paraId="18DAF3CA" w14:textId="77777777" w:rsidR="00882F28" w:rsidRPr="00462F85" w:rsidRDefault="00882F28" w:rsidP="00882F28">
      <w:pPr>
        <w:keepNext/>
        <w:rPr>
          <w:rFonts w:asciiTheme="majorBidi" w:hAnsiTheme="majorBidi" w:cstheme="majorBidi"/>
        </w:rPr>
      </w:pPr>
      <w:r w:rsidRPr="00462F85">
        <w:rPr>
          <w:rFonts w:asciiTheme="majorBidi" w:hAnsiTheme="majorBidi" w:cstheme="majorBidi"/>
        </w:rPr>
        <w:t>Q23 Thank you for your answers. The next stage of the study will require an interview for 40 minutes maximum. The interview will take place in around two weeks.  I would highly appreciate if you are willing to participate. If you would like to, I will send you an email to arrange a date and time to conduct the interview with you (online or face to face). please type your email below</w:t>
      </w:r>
    </w:p>
    <w:p w14:paraId="22C75E82" w14:textId="77777777" w:rsidR="00882F28" w:rsidRPr="00E71B8A" w:rsidRDefault="00882F28" w:rsidP="00882F28">
      <w:pPr>
        <w:keepNext/>
        <w:rPr>
          <w:rFonts w:asciiTheme="majorBidi" w:hAnsiTheme="majorBidi" w:cstheme="majorBidi"/>
          <w:sz w:val="24"/>
          <w:szCs w:val="24"/>
        </w:rPr>
      </w:pPr>
    </w:p>
    <w:p w14:paraId="485BBD2D" w14:textId="77777777" w:rsidR="00571690" w:rsidRDefault="00571690">
      <w:pPr>
        <w:rPr>
          <w:rFonts w:asciiTheme="majorBidi" w:hAnsiTheme="majorBidi" w:cstheme="majorBidi"/>
          <w:sz w:val="24"/>
          <w:szCs w:val="24"/>
        </w:rPr>
      </w:pPr>
      <w:r>
        <w:rPr>
          <w:rFonts w:asciiTheme="majorBidi" w:hAnsiTheme="majorBidi" w:cstheme="majorBidi"/>
          <w:sz w:val="24"/>
          <w:szCs w:val="24"/>
        </w:rPr>
        <w:br w:type="page"/>
      </w:r>
    </w:p>
    <w:p w14:paraId="3A4A5141" w14:textId="0004847F" w:rsidR="00882F28" w:rsidRPr="004B5F09" w:rsidRDefault="00882F28" w:rsidP="00571690">
      <w:pPr>
        <w:rPr>
          <w:rFonts w:asciiTheme="majorBidi" w:hAnsiTheme="majorBidi" w:cstheme="majorBidi"/>
          <w:b/>
          <w:bCs/>
          <w:sz w:val="24"/>
          <w:szCs w:val="24"/>
        </w:rPr>
      </w:pPr>
      <w:r w:rsidRPr="004B5F09">
        <w:rPr>
          <w:rFonts w:asciiTheme="majorBidi" w:hAnsiTheme="majorBidi" w:cstheme="majorBidi"/>
          <w:b/>
          <w:bCs/>
          <w:sz w:val="24"/>
          <w:szCs w:val="24"/>
        </w:rPr>
        <w:t>Appendix D</w:t>
      </w:r>
    </w:p>
    <w:p w14:paraId="501C0F64" w14:textId="77777777" w:rsidR="00882F28" w:rsidRPr="00E71B8A" w:rsidRDefault="00882F28" w:rsidP="00882F28">
      <w:pPr>
        <w:jc w:val="center"/>
        <w:rPr>
          <w:rFonts w:asciiTheme="majorBidi" w:hAnsiTheme="majorBidi" w:cstheme="majorBidi"/>
          <w:sz w:val="24"/>
          <w:szCs w:val="24"/>
        </w:rPr>
      </w:pPr>
      <w:r w:rsidRPr="00E71B8A">
        <w:rPr>
          <w:rFonts w:asciiTheme="majorBidi" w:hAnsiTheme="majorBidi" w:cstheme="majorBidi"/>
          <w:sz w:val="24"/>
          <w:szCs w:val="24"/>
        </w:rPr>
        <w:t xml:space="preserve">Arabic Questionnaire </w:t>
      </w:r>
    </w:p>
    <w:p w14:paraId="5F8754EE" w14:textId="77777777" w:rsidR="00882F28" w:rsidRPr="00E71B8A" w:rsidRDefault="00882F28" w:rsidP="00882F28">
      <w:pPr>
        <w:jc w:val="center"/>
        <w:rPr>
          <w:rFonts w:asciiTheme="majorBidi" w:hAnsiTheme="majorBidi" w:cstheme="majorBidi"/>
          <w:sz w:val="24"/>
          <w:szCs w:val="24"/>
        </w:rPr>
      </w:pPr>
    </w:p>
    <w:p w14:paraId="65D213FD" w14:textId="77777777" w:rsidR="00882F28" w:rsidRPr="00E71B8A" w:rsidRDefault="00882F28" w:rsidP="00882F28">
      <w:pPr>
        <w:jc w:val="right"/>
        <w:rPr>
          <w:rFonts w:asciiTheme="majorBidi" w:hAnsiTheme="majorBidi" w:cstheme="majorBidi"/>
          <w:sz w:val="24"/>
          <w:szCs w:val="24"/>
          <w:rtl/>
        </w:rPr>
      </w:pPr>
      <w:r w:rsidRPr="00E71B8A">
        <w:rPr>
          <w:rFonts w:asciiTheme="majorBidi" w:hAnsiTheme="majorBidi" w:cstheme="majorBidi"/>
          <w:sz w:val="24"/>
          <w:szCs w:val="24"/>
          <w:rtl/>
        </w:rPr>
        <w:t>أنت مدعو للمشاركة في استبيان يتم إجراؤها من قبل نشوى نادر ، طالبة دكتوراه في جامعة ساوث بانك بلندن. الغرض من هذا البحث هو تحديد أفضل أنواع حملات المسؤولية الاجتماعية التي يمكن أن تطلقها الشركات الكبرى والتي ستفيد الناس والمجتمعات بشكل كبير في مصر.</w:t>
      </w:r>
    </w:p>
    <w:p w14:paraId="4755AF78" w14:textId="77777777" w:rsidR="00882F28" w:rsidRPr="00E71B8A" w:rsidRDefault="00882F28" w:rsidP="00882F28">
      <w:pPr>
        <w:jc w:val="right"/>
        <w:rPr>
          <w:rFonts w:asciiTheme="majorBidi" w:hAnsiTheme="majorBidi" w:cstheme="majorBidi"/>
          <w:sz w:val="24"/>
          <w:szCs w:val="24"/>
          <w:rtl/>
        </w:rPr>
      </w:pPr>
    </w:p>
    <w:p w14:paraId="3D397146" w14:textId="77777777" w:rsidR="00882F28" w:rsidRPr="00E71B8A" w:rsidRDefault="00882F28" w:rsidP="00882F28">
      <w:pPr>
        <w:jc w:val="right"/>
        <w:rPr>
          <w:rFonts w:asciiTheme="majorBidi" w:hAnsiTheme="majorBidi" w:cstheme="majorBidi"/>
          <w:sz w:val="24"/>
          <w:szCs w:val="24"/>
          <w:rtl/>
        </w:rPr>
      </w:pPr>
      <w:r w:rsidRPr="00E71B8A">
        <w:rPr>
          <w:rFonts w:asciiTheme="majorBidi" w:hAnsiTheme="majorBidi" w:cstheme="majorBidi"/>
          <w:sz w:val="24"/>
          <w:szCs w:val="24"/>
          <w:rtl/>
        </w:rPr>
        <w:t>نحن نطمح في مساهمتك الصادقة ورأيك أوالشخصي حول ما تعتقد بأنه أفضل مشروع يمكن أن يضيف قيمة للمجتمع المصري والأشخاص من حولك. سيستغرق الاستبيان أقل من 5 دقائق. جميع الإجابات صحيحة ؛ ومن ثم ، لا توجد إجابة واحدة صحيحة.</w:t>
      </w:r>
    </w:p>
    <w:p w14:paraId="5FBB6CBC" w14:textId="77777777" w:rsidR="00882F28" w:rsidRPr="00E71B8A" w:rsidRDefault="00882F28" w:rsidP="00882F28">
      <w:pPr>
        <w:jc w:val="right"/>
        <w:rPr>
          <w:rFonts w:asciiTheme="majorBidi" w:hAnsiTheme="majorBidi" w:cstheme="majorBidi"/>
          <w:sz w:val="24"/>
          <w:szCs w:val="24"/>
          <w:rtl/>
        </w:rPr>
      </w:pPr>
    </w:p>
    <w:p w14:paraId="34474E20" w14:textId="77777777" w:rsidR="00882F28" w:rsidRPr="00E71B8A" w:rsidRDefault="00882F28" w:rsidP="00882F28">
      <w:pPr>
        <w:jc w:val="right"/>
        <w:rPr>
          <w:rFonts w:asciiTheme="majorBidi" w:hAnsiTheme="majorBidi" w:cstheme="majorBidi"/>
          <w:sz w:val="24"/>
          <w:szCs w:val="24"/>
          <w:shd w:val="clear" w:color="auto" w:fill="FFFFFF"/>
          <w:rtl/>
        </w:rPr>
      </w:pPr>
      <w:r w:rsidRPr="00E71B8A">
        <w:rPr>
          <w:rFonts w:asciiTheme="majorBidi" w:hAnsiTheme="majorBidi" w:cstheme="majorBidi"/>
          <w:sz w:val="24"/>
          <w:szCs w:val="24"/>
          <w:shd w:val="clear" w:color="auto" w:fill="FFFFFF"/>
          <w:rtl/>
        </w:rPr>
        <w:t>المشاركة في هذا الاستطلاع تطوعية و اخيارية تمامًا ويمكنك الانسحاب في أي وقت. لا توجد مخاطر محتملة من مشاركتك لأنك لن تقدم أي معلومات قد تكشف عن هويتك. جميع الإجابات مجهولة الاسم و المصدر.</w:t>
      </w:r>
    </w:p>
    <w:p w14:paraId="2E8CF5B2" w14:textId="77777777" w:rsidR="00882F28" w:rsidRPr="00E71B8A" w:rsidRDefault="00882F28" w:rsidP="00882F28">
      <w:pPr>
        <w:jc w:val="right"/>
        <w:rPr>
          <w:rFonts w:asciiTheme="majorBidi" w:hAnsiTheme="majorBidi" w:cstheme="majorBidi"/>
          <w:sz w:val="24"/>
          <w:szCs w:val="24"/>
          <w:shd w:val="clear" w:color="auto" w:fill="FFFFFF"/>
          <w:rtl/>
        </w:rPr>
      </w:pPr>
    </w:p>
    <w:p w14:paraId="70BA7FDC" w14:textId="77777777" w:rsidR="00882F28" w:rsidRPr="00E71B8A" w:rsidRDefault="00882F28" w:rsidP="00882F28">
      <w:pPr>
        <w:jc w:val="right"/>
        <w:rPr>
          <w:rFonts w:asciiTheme="majorBidi" w:hAnsiTheme="majorBidi" w:cstheme="majorBidi"/>
          <w:sz w:val="24"/>
          <w:szCs w:val="24"/>
          <w:shd w:val="clear" w:color="auto" w:fill="FFFFFF"/>
          <w:rtl/>
        </w:rPr>
      </w:pPr>
      <w:r w:rsidRPr="00E71B8A">
        <w:rPr>
          <w:rFonts w:asciiTheme="majorBidi" w:hAnsiTheme="majorBidi" w:cstheme="majorBidi"/>
          <w:sz w:val="24"/>
          <w:szCs w:val="24"/>
          <w:shd w:val="clear" w:color="auto" w:fill="FFFFFF"/>
          <w:rtl/>
        </w:rPr>
        <w:t xml:space="preserve">ستكون إجاباتك مجهولة ولن يتم الوصول إلى المعلومات التي تم جمعها من البحث إلا من قبل محققي البحث. </w:t>
      </w:r>
    </w:p>
    <w:p w14:paraId="3DC7FEBA" w14:textId="77777777" w:rsidR="00882F28" w:rsidRPr="00E71B8A" w:rsidRDefault="00882F28" w:rsidP="00882F28">
      <w:pPr>
        <w:jc w:val="right"/>
        <w:rPr>
          <w:rFonts w:asciiTheme="majorBidi" w:hAnsiTheme="majorBidi" w:cstheme="majorBidi"/>
          <w:sz w:val="24"/>
          <w:szCs w:val="24"/>
          <w:shd w:val="clear" w:color="auto" w:fill="FFFFFF"/>
          <w:rtl/>
        </w:rPr>
      </w:pPr>
    </w:p>
    <w:p w14:paraId="3C83FD50" w14:textId="77777777" w:rsidR="00882F28" w:rsidRPr="00E71B8A" w:rsidRDefault="00882F28" w:rsidP="00882F28">
      <w:pPr>
        <w:jc w:val="right"/>
        <w:rPr>
          <w:rFonts w:asciiTheme="majorBidi" w:hAnsiTheme="majorBidi" w:cstheme="majorBidi"/>
          <w:sz w:val="24"/>
          <w:szCs w:val="24"/>
          <w:shd w:val="clear" w:color="auto" w:fill="FFFFFF"/>
          <w:rtl/>
        </w:rPr>
      </w:pPr>
      <w:r w:rsidRPr="00E71B8A">
        <w:rPr>
          <w:rFonts w:asciiTheme="majorBidi" w:hAnsiTheme="majorBidi" w:cstheme="majorBidi"/>
          <w:sz w:val="24"/>
          <w:szCs w:val="24"/>
          <w:shd w:val="clear" w:color="auto" w:fill="FFFFFF"/>
          <w:rtl/>
        </w:rPr>
        <w:t xml:space="preserve">إذا كنت ترغب في معرفة المزيد عن البحث أو إذا كان لديك أي أسئلة ، فلا تتردد في الاتصال بالباحث. سواء كنت على استعداد للمشاركة أم لا ، أشكرك على اهتمامك ووقتك لقراءة هذا. </w:t>
      </w:r>
    </w:p>
    <w:p w14:paraId="2E99B470" w14:textId="77777777" w:rsidR="00882F28" w:rsidRPr="00E71B8A" w:rsidRDefault="00882F28" w:rsidP="00882F28">
      <w:pPr>
        <w:jc w:val="right"/>
        <w:rPr>
          <w:rFonts w:asciiTheme="majorBidi" w:hAnsiTheme="majorBidi" w:cstheme="majorBidi"/>
          <w:sz w:val="24"/>
          <w:szCs w:val="24"/>
          <w:shd w:val="clear" w:color="auto" w:fill="FFFFFF"/>
          <w:rtl/>
        </w:rPr>
      </w:pPr>
    </w:p>
    <w:p w14:paraId="59AC0660" w14:textId="77777777" w:rsidR="00882F28" w:rsidRPr="00E71B8A" w:rsidRDefault="00882F28" w:rsidP="00882F28">
      <w:pPr>
        <w:jc w:val="right"/>
        <w:rPr>
          <w:rFonts w:asciiTheme="majorBidi" w:hAnsiTheme="majorBidi" w:cstheme="majorBidi"/>
          <w:sz w:val="24"/>
          <w:szCs w:val="24"/>
          <w:shd w:val="clear" w:color="auto" w:fill="FFFFFF"/>
        </w:rPr>
      </w:pPr>
      <w:r w:rsidRPr="00E71B8A">
        <w:rPr>
          <w:rFonts w:asciiTheme="majorBidi" w:hAnsiTheme="majorBidi" w:cstheme="majorBidi"/>
          <w:sz w:val="24"/>
          <w:szCs w:val="24"/>
          <w:shd w:val="clear" w:color="auto" w:fill="FFFFFF"/>
          <w:rtl/>
        </w:rPr>
        <w:t>تفاصيل الاتصال بالباحث</w:t>
      </w:r>
      <w:r w:rsidRPr="00E71B8A">
        <w:rPr>
          <w:rFonts w:asciiTheme="majorBidi" w:hAnsiTheme="majorBidi" w:cstheme="majorBidi"/>
          <w:sz w:val="24"/>
          <w:szCs w:val="24"/>
          <w:shd w:val="clear" w:color="auto" w:fill="FFFFFF"/>
        </w:rPr>
        <w:t>:</w:t>
      </w:r>
    </w:p>
    <w:p w14:paraId="377D7AF9" w14:textId="77777777" w:rsidR="00882F28" w:rsidRPr="00E71B8A" w:rsidRDefault="00882F28" w:rsidP="00882F28">
      <w:pPr>
        <w:jc w:val="right"/>
        <w:rPr>
          <w:rFonts w:asciiTheme="majorBidi" w:hAnsiTheme="majorBidi" w:cstheme="majorBidi"/>
          <w:sz w:val="24"/>
          <w:szCs w:val="24"/>
          <w:shd w:val="clear" w:color="auto" w:fill="FFFFFF"/>
          <w:rtl/>
        </w:rPr>
      </w:pPr>
      <w:r w:rsidRPr="00E71B8A">
        <w:rPr>
          <w:rFonts w:asciiTheme="majorBidi" w:hAnsiTheme="majorBidi" w:cstheme="majorBidi"/>
          <w:sz w:val="24"/>
          <w:szCs w:val="24"/>
          <w:shd w:val="clear" w:color="auto" w:fill="FFFFFF"/>
          <w:rtl/>
        </w:rPr>
        <w:t xml:space="preserve">نشوى نادر - جامعة لندن ساوث بانك - بريد إلكتروني:     </w:t>
      </w:r>
    </w:p>
    <w:p w14:paraId="63E38416" w14:textId="77777777" w:rsidR="00882F28" w:rsidRPr="00E71B8A" w:rsidRDefault="00000000" w:rsidP="00882F28">
      <w:pPr>
        <w:jc w:val="right"/>
        <w:rPr>
          <w:rFonts w:asciiTheme="majorBidi" w:hAnsiTheme="majorBidi" w:cstheme="majorBidi"/>
          <w:sz w:val="24"/>
          <w:szCs w:val="24"/>
          <w:shd w:val="clear" w:color="auto" w:fill="FFFFFF"/>
          <w:rtl/>
        </w:rPr>
      </w:pPr>
      <w:hyperlink r:id="rId75" w:history="1">
        <w:r w:rsidR="00882F28" w:rsidRPr="00E71B8A">
          <w:rPr>
            <w:rStyle w:val="Hyperlink"/>
            <w:rFonts w:asciiTheme="majorBidi" w:hAnsiTheme="majorBidi" w:cstheme="majorBidi"/>
            <w:sz w:val="24"/>
            <w:szCs w:val="24"/>
            <w:shd w:val="clear" w:color="auto" w:fill="FFFFFF"/>
          </w:rPr>
          <w:t>sadekn2@lsbu.ac.uk</w:t>
        </w:r>
      </w:hyperlink>
    </w:p>
    <w:p w14:paraId="2A4F33D5" w14:textId="77777777" w:rsidR="00882F28" w:rsidRPr="00E71B8A" w:rsidRDefault="00882F28" w:rsidP="00882F28">
      <w:pPr>
        <w:tabs>
          <w:tab w:val="left" w:pos="7448"/>
        </w:tabs>
        <w:jc w:val="right"/>
        <w:rPr>
          <w:rFonts w:asciiTheme="majorBidi" w:hAnsiTheme="majorBidi" w:cstheme="majorBidi"/>
          <w:sz w:val="24"/>
          <w:szCs w:val="24"/>
          <w:lang w:bidi="ar-EG"/>
        </w:rPr>
      </w:pPr>
    </w:p>
    <w:p w14:paraId="3B84452D" w14:textId="77777777" w:rsidR="00882F28" w:rsidRPr="00E71B8A" w:rsidRDefault="00882F28" w:rsidP="00882F28">
      <w:pPr>
        <w:tabs>
          <w:tab w:val="left" w:pos="7448"/>
        </w:tabs>
        <w:jc w:val="right"/>
        <w:rPr>
          <w:rFonts w:asciiTheme="majorBidi" w:hAnsiTheme="majorBidi" w:cstheme="majorBidi"/>
          <w:sz w:val="24"/>
          <w:szCs w:val="24"/>
          <w:lang w:bidi="ar-EG"/>
        </w:rPr>
      </w:pPr>
    </w:p>
    <w:p w14:paraId="5C5E9E2C"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س1 </w:t>
      </w:r>
      <w:r w:rsidRPr="00E71B8A">
        <w:rPr>
          <w:rFonts w:asciiTheme="majorBidi" w:hAnsiTheme="majorBidi" w:cstheme="majorBidi"/>
          <w:sz w:val="24"/>
          <w:szCs w:val="24"/>
          <w:lang w:bidi="ar-EG"/>
        </w:rPr>
        <w:br/>
        <w:t xml:space="preserve">جامعة لندن ساوث بانك   </w:t>
      </w:r>
      <w:r w:rsidRPr="00E71B8A">
        <w:rPr>
          <w:rFonts w:asciiTheme="majorBidi" w:hAnsiTheme="majorBidi" w:cstheme="majorBidi"/>
          <w:sz w:val="24"/>
          <w:szCs w:val="24"/>
          <w:lang w:bidi="ar-EG"/>
        </w:rPr>
        <w:br/>
        <w:t xml:space="preserve">   </w:t>
      </w:r>
      <w:r w:rsidRPr="00E71B8A">
        <w:rPr>
          <w:rFonts w:asciiTheme="majorBidi" w:hAnsiTheme="majorBidi" w:cstheme="majorBidi"/>
          <w:sz w:val="24"/>
          <w:szCs w:val="24"/>
          <w:lang w:bidi="ar-EG"/>
        </w:rPr>
        <w:br/>
        <w:t> .أنت مدعو للمشاركة في استبيان يتم إجراؤها من قبل نشوى نادر، طالبة في جامعة لندن ساوث بانك </w:t>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t>الغرض من هذا البحث هو الحصول على رأيك حول أنواع مختلفة من حملات التسويق التي تقوم بها الشركات العلامية في مصر. سيكون لنتائج هذه الدراسة آثار أكاديمية وعملية</w:t>
      </w:r>
      <w:r w:rsidRPr="00E71B8A">
        <w:rPr>
          <w:rFonts w:asciiTheme="majorBidi" w:hAnsiTheme="majorBidi" w:cstheme="majorBidi"/>
          <w:sz w:val="24"/>
          <w:szCs w:val="24"/>
          <w:lang w:bidi="ar-EG"/>
        </w:rPr>
        <w:br/>
        <w:t> </w:t>
      </w:r>
      <w:r w:rsidRPr="00E71B8A">
        <w:rPr>
          <w:rFonts w:asciiTheme="majorBidi" w:hAnsiTheme="majorBidi" w:cstheme="majorBidi"/>
          <w:sz w:val="24"/>
          <w:szCs w:val="24"/>
          <w:lang w:bidi="ar-EG"/>
        </w:rPr>
        <w:br/>
        <w:t>نحن نطمح في مساهمتك الصادقة ورأيك الشخصي . سيستغرق الاستبيان أقل من 10 دقائق</w:t>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t> جميع الإجابات صحيحة,  و لا توجد إجابة واحدة صحيحة. المشاركة في هذا الاستطلاع تطوعية و اختيارية تمامًا ويمكنك الانسحاب في أي وقت. لا توجد مخاطر محتملة من مشاركتك لأنك لن تقدم أي معلومات قد تكشف عن هويتك. ستكون إجاباتك مجهولة ولن يتم الوصول إلى المعلومات التي تم جمعها من  البحث إلا من قبل محققي البحث. إذا كنت ترغب في معرفة المزيد عن البحث أو إذا كان لديك أي أسئلة ، فلا تتردد في الاتصال بالباحث</w:t>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t>   sadekn2@lsbu.ac.uk:أشكرك على اهتمامك ووقتك لقراءة هذا.</w:t>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t xml:space="preserve"> تفاصيل الاتصال بالباحث: نشوى نادر - جامعة لندن ساوث بانك - بريد إلكتروني  </w:t>
      </w:r>
      <w:r w:rsidRPr="00E71B8A">
        <w:rPr>
          <w:rFonts w:asciiTheme="majorBidi" w:hAnsiTheme="majorBidi" w:cstheme="majorBidi"/>
          <w:sz w:val="24"/>
          <w:szCs w:val="24"/>
          <w:lang w:bidi="ar-EG"/>
        </w:rPr>
        <w:br/>
        <w:t> </w:t>
      </w:r>
    </w:p>
    <w:p w14:paraId="34E6DB1F"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نعم </w:t>
      </w:r>
    </w:p>
    <w:p w14:paraId="177105A3"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لا </w:t>
      </w:r>
    </w:p>
    <w:p w14:paraId="65F1FBBB" w14:textId="77777777" w:rsidR="00882F28" w:rsidRPr="00E71B8A" w:rsidRDefault="00882F28" w:rsidP="00882F28">
      <w:pPr>
        <w:jc w:val="right"/>
        <w:rPr>
          <w:rFonts w:asciiTheme="majorBidi" w:hAnsiTheme="majorBidi" w:cstheme="majorBidi"/>
          <w:sz w:val="24"/>
          <w:szCs w:val="24"/>
          <w:lang w:bidi="ar-EG"/>
        </w:rPr>
      </w:pPr>
    </w:p>
    <w:p w14:paraId="0F5313A5"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س2 </w:t>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t>.أؤكد أنني قد قرأت وفهمت المعلومات الموجزة الموضحة حول الدراسة ويمكنني طرح الأسئلة</w:t>
      </w:r>
      <w:r w:rsidRPr="00E71B8A">
        <w:rPr>
          <w:rFonts w:asciiTheme="majorBidi" w:hAnsiTheme="majorBidi" w:cstheme="majorBidi"/>
          <w:sz w:val="24"/>
          <w:szCs w:val="24"/>
          <w:lang w:bidi="ar-EG"/>
        </w:rPr>
        <w:br/>
        <w:t>.أوكد أني أفهم أن مشاركتي طوعية وأنني حر في الانسحاب في أي وقت دون إبداء أسباب</w:t>
      </w:r>
      <w:r w:rsidRPr="00E71B8A">
        <w:rPr>
          <w:rFonts w:asciiTheme="majorBidi" w:hAnsiTheme="majorBidi" w:cstheme="majorBidi"/>
          <w:sz w:val="24"/>
          <w:szCs w:val="24"/>
          <w:lang w:bidi="ar-EG"/>
        </w:rPr>
        <w:br/>
        <w:t>أوافق على تخزين البيانات التي أقدمها (بعد أن يتم إخفاء هويتها) في مركز بيانات متخصص وأدرك أنه يمكن استخدامها للبحث في المستقبل</w:t>
      </w:r>
      <w:r w:rsidRPr="00E71B8A">
        <w:rPr>
          <w:rFonts w:asciiTheme="majorBidi" w:hAnsiTheme="majorBidi" w:cstheme="majorBidi"/>
          <w:sz w:val="24"/>
          <w:szCs w:val="24"/>
          <w:lang w:bidi="ar-EG"/>
        </w:rPr>
        <w:br/>
        <w:t>أوكد أني أفهم أنه قد يتم اقتباس بياناتي / كلماتي في المنشورات والتقارير والملصقات وصفحات الويب ومخرجات البحث الأخرى</w:t>
      </w:r>
    </w:p>
    <w:p w14:paraId="01256B33"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نعم </w:t>
      </w:r>
    </w:p>
    <w:p w14:paraId="138E373B"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لا </w:t>
      </w:r>
    </w:p>
    <w:p w14:paraId="51E992A6" w14:textId="77777777" w:rsidR="00882F28" w:rsidRPr="00E71B8A" w:rsidRDefault="00882F28" w:rsidP="00882F28">
      <w:pPr>
        <w:rPr>
          <w:rFonts w:asciiTheme="majorBidi" w:hAnsiTheme="majorBidi" w:cstheme="majorBidi"/>
          <w:sz w:val="24"/>
          <w:szCs w:val="24"/>
          <w:lang w:bidi="ar-EG"/>
        </w:rPr>
      </w:pPr>
    </w:p>
    <w:p w14:paraId="08ABC2D6"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س3 </w:t>
      </w:r>
      <w:r w:rsidRPr="00E71B8A">
        <w:rPr>
          <w:rFonts w:asciiTheme="majorBidi" w:hAnsiTheme="majorBidi" w:cstheme="majorBidi"/>
          <w:sz w:val="24"/>
          <w:szCs w:val="24"/>
          <w:lang w:bidi="ar-EG"/>
        </w:rPr>
        <w:br/>
        <w:t>هل تعيش في مصر؟</w:t>
      </w:r>
    </w:p>
    <w:p w14:paraId="405E4357"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نعم </w:t>
      </w:r>
    </w:p>
    <w:p w14:paraId="7B4A31E6"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لا </w:t>
      </w:r>
    </w:p>
    <w:p w14:paraId="686947D4" w14:textId="77777777" w:rsidR="00882F28" w:rsidRPr="00E71B8A" w:rsidRDefault="00882F28" w:rsidP="00882F28">
      <w:pPr>
        <w:rPr>
          <w:rFonts w:asciiTheme="majorBidi" w:hAnsiTheme="majorBidi" w:cstheme="majorBidi"/>
          <w:sz w:val="24"/>
          <w:szCs w:val="24"/>
          <w:lang w:bidi="ar-EG"/>
        </w:rPr>
      </w:pPr>
    </w:p>
    <w:p w14:paraId="29F572D9"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س4 </w:t>
      </w:r>
      <w:r w:rsidRPr="00E71B8A">
        <w:rPr>
          <w:rFonts w:asciiTheme="majorBidi" w:hAnsiTheme="majorBidi" w:cstheme="majorBidi"/>
          <w:sz w:val="24"/>
          <w:szCs w:val="24"/>
          <w:lang w:bidi="ar-EG"/>
        </w:rPr>
        <w:br/>
        <w:t>هل أنت الشخص الذي يقوم بشراء بمنتجات النظافة المنزلية لمنزلك؟</w:t>
      </w:r>
    </w:p>
    <w:p w14:paraId="4843B8B6"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نعم </w:t>
      </w:r>
    </w:p>
    <w:p w14:paraId="181B7FDF" w14:textId="77777777" w:rsidR="00F97916"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لا </w:t>
      </w:r>
    </w:p>
    <w:p w14:paraId="194105D8" w14:textId="77777777" w:rsidR="00F97916" w:rsidRDefault="00F97916" w:rsidP="00F97916">
      <w:pPr>
        <w:keepNext/>
        <w:spacing w:after="0" w:line="276" w:lineRule="auto"/>
        <w:jc w:val="right"/>
        <w:rPr>
          <w:rFonts w:asciiTheme="majorBidi" w:hAnsiTheme="majorBidi" w:cstheme="majorBidi"/>
          <w:sz w:val="24"/>
          <w:szCs w:val="24"/>
          <w:lang w:bidi="ar-EG"/>
        </w:rPr>
      </w:pPr>
    </w:p>
    <w:p w14:paraId="6E89DD06" w14:textId="77777777" w:rsidR="00F97916" w:rsidRPr="00E71B8A" w:rsidRDefault="00F97916" w:rsidP="00F97916">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س5</w:t>
      </w:r>
      <w:r w:rsidRPr="00E71B8A">
        <w:rPr>
          <w:rFonts w:asciiTheme="majorBidi" w:hAnsiTheme="majorBidi" w:cstheme="majorBidi"/>
          <w:sz w:val="24"/>
          <w:szCs w:val="24"/>
          <w:lang w:bidi="ar-EG"/>
        </w:rPr>
        <w:br/>
        <w:t>كيف استلمت هذا الاستبيان؟ </w:t>
      </w:r>
    </w:p>
    <w:p w14:paraId="39F119CE"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من مواقع التواصل الاجتماعي </w:t>
      </w:r>
    </w:p>
    <w:p w14:paraId="7177B997"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من الشركة التي اعمل بها </w:t>
      </w:r>
    </w:p>
    <w:p w14:paraId="1917DA2E"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شخص ارسله  لي </w:t>
      </w:r>
    </w:p>
    <w:p w14:paraId="4319E828"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اخرى __________________________________________________</w:t>
      </w:r>
    </w:p>
    <w:p w14:paraId="1DF8FD75" w14:textId="77777777" w:rsidR="00F97916" w:rsidRDefault="00F97916" w:rsidP="00F97916">
      <w:pPr>
        <w:keepNext/>
        <w:jc w:val="right"/>
        <w:rPr>
          <w:rFonts w:asciiTheme="majorBidi" w:hAnsiTheme="majorBidi" w:cstheme="majorBidi"/>
          <w:sz w:val="24"/>
          <w:szCs w:val="24"/>
          <w:lang w:bidi="ar-EG"/>
        </w:rPr>
      </w:pPr>
    </w:p>
    <w:p w14:paraId="31145E6B" w14:textId="3CFBABC2" w:rsidR="00F97916" w:rsidRPr="00E71B8A" w:rsidRDefault="00F97916" w:rsidP="00F97916">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س6</w:t>
      </w:r>
      <w:r w:rsidRPr="00E71B8A">
        <w:rPr>
          <w:rFonts w:asciiTheme="majorBidi" w:hAnsiTheme="majorBidi" w:cstheme="majorBidi"/>
          <w:sz w:val="24"/>
          <w:szCs w:val="24"/>
          <w:lang w:bidi="ar-EG"/>
        </w:rPr>
        <w:br/>
        <w:t>ما هو جنسك؟</w:t>
      </w:r>
    </w:p>
    <w:p w14:paraId="7576FB72"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انثى </w:t>
      </w:r>
    </w:p>
    <w:p w14:paraId="709936AD"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ذكر </w:t>
      </w:r>
    </w:p>
    <w:p w14:paraId="40D38B33" w14:textId="77777777" w:rsidR="00F97916" w:rsidRDefault="00F97916" w:rsidP="00F97916">
      <w:pPr>
        <w:keepNext/>
        <w:spacing w:after="0" w:line="276" w:lineRule="auto"/>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اخرى __________________________________________________</w:t>
      </w:r>
    </w:p>
    <w:p w14:paraId="0E900337" w14:textId="77777777" w:rsidR="00F97916" w:rsidRDefault="00F97916" w:rsidP="00F97916">
      <w:pPr>
        <w:keepNext/>
        <w:spacing w:after="0" w:line="276" w:lineRule="auto"/>
        <w:jc w:val="right"/>
        <w:rPr>
          <w:rFonts w:asciiTheme="majorBidi" w:hAnsiTheme="majorBidi" w:cstheme="majorBidi"/>
          <w:sz w:val="24"/>
          <w:szCs w:val="24"/>
          <w:lang w:bidi="ar-EG"/>
        </w:rPr>
      </w:pPr>
    </w:p>
    <w:p w14:paraId="45D806BC" w14:textId="77777777" w:rsidR="00F97916" w:rsidRDefault="00F97916" w:rsidP="00F97916">
      <w:pPr>
        <w:keepNext/>
        <w:spacing w:after="0" w:line="276" w:lineRule="auto"/>
        <w:jc w:val="center"/>
        <w:rPr>
          <w:rFonts w:asciiTheme="majorBidi" w:hAnsiTheme="majorBidi" w:cstheme="majorBidi"/>
          <w:sz w:val="24"/>
          <w:szCs w:val="24"/>
          <w:lang w:bidi="ar-EG"/>
        </w:rPr>
      </w:pPr>
    </w:p>
    <w:p w14:paraId="0B872527" w14:textId="77777777" w:rsidR="00F97916" w:rsidRDefault="00F97916" w:rsidP="00F97916">
      <w:pPr>
        <w:keepNext/>
        <w:spacing w:after="0" w:line="276" w:lineRule="auto"/>
        <w:jc w:val="center"/>
        <w:rPr>
          <w:rFonts w:asciiTheme="majorBidi" w:hAnsiTheme="majorBidi" w:cstheme="majorBidi"/>
          <w:sz w:val="24"/>
          <w:szCs w:val="24"/>
          <w:lang w:bidi="ar-EG"/>
        </w:rPr>
      </w:pPr>
    </w:p>
    <w:p w14:paraId="5AA90E40" w14:textId="77777777" w:rsidR="00F97916" w:rsidRPr="00E71B8A" w:rsidRDefault="00F97916" w:rsidP="00F97916">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س7 </w:t>
      </w:r>
      <w:r w:rsidRPr="00E71B8A">
        <w:rPr>
          <w:rFonts w:asciiTheme="majorBidi" w:hAnsiTheme="majorBidi" w:cstheme="majorBidi"/>
          <w:sz w:val="24"/>
          <w:szCs w:val="24"/>
          <w:lang w:bidi="ar-EG"/>
        </w:rPr>
        <w:br/>
        <w:t>ما هو المنتج المفضل لديك لتنظيف الأسطح والأرضيات في منزلك؟ اختر واحدة</w:t>
      </w:r>
    </w:p>
    <w:p w14:paraId="22949939"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جنرال </w:t>
      </w:r>
    </w:p>
    <w:p w14:paraId="39C6EFBB"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ديتول </w:t>
      </w:r>
    </w:p>
    <w:p w14:paraId="1FE7B27A"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كلوروكس </w:t>
      </w:r>
    </w:p>
    <w:p w14:paraId="16B6A81F"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كلوروك المطهر </w:t>
      </w:r>
    </w:p>
    <w:p w14:paraId="785C70C5"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العملاق </w:t>
      </w:r>
    </w:p>
    <w:p w14:paraId="0D5F28A9"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فريدا </w:t>
      </w:r>
    </w:p>
    <w:p w14:paraId="16A78EE0"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مستر مصل </w:t>
      </w:r>
    </w:p>
    <w:p w14:paraId="3D18C95B" w14:textId="77777777" w:rsidR="00F97916" w:rsidRDefault="00F97916" w:rsidP="00F97916">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اخرى __________________________________________________</w:t>
      </w:r>
    </w:p>
    <w:p w14:paraId="1B9BA28D" w14:textId="77777777" w:rsidR="00F97916" w:rsidRDefault="00F97916" w:rsidP="00F97916">
      <w:pPr>
        <w:jc w:val="right"/>
        <w:rPr>
          <w:rFonts w:asciiTheme="majorBidi" w:hAnsiTheme="majorBidi" w:cstheme="majorBidi"/>
          <w:sz w:val="24"/>
          <w:szCs w:val="24"/>
          <w:lang w:bidi="ar-EG"/>
        </w:rPr>
      </w:pPr>
    </w:p>
    <w:p w14:paraId="3CB7C27B" w14:textId="77777777" w:rsidR="00F97916" w:rsidRPr="00E71B8A" w:rsidRDefault="00F97916" w:rsidP="00F97916">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س8</w:t>
      </w:r>
      <w:r w:rsidRPr="00E71B8A">
        <w:rPr>
          <w:rFonts w:asciiTheme="majorBidi" w:hAnsiTheme="majorBidi" w:cstheme="majorBidi"/>
          <w:sz w:val="24"/>
          <w:szCs w:val="24"/>
          <w:lang w:bidi="ar-EG"/>
        </w:rPr>
        <w:br/>
        <w:t>ما هو أهم شيء تفكر فيه عند شراء منتج مطهر و منظف منزلي؟ اختر واحدة</w:t>
      </w:r>
    </w:p>
    <w:p w14:paraId="70ACB88E"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السعر </w:t>
      </w:r>
    </w:p>
    <w:p w14:paraId="2D31118E"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الرائحة </w:t>
      </w:r>
    </w:p>
    <w:p w14:paraId="4E7B32B3"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جودة المنتج </w:t>
      </w:r>
    </w:p>
    <w:p w14:paraId="6754ED1E"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اسم الشركة أو العلامة التجارية </w:t>
      </w:r>
    </w:p>
    <w:p w14:paraId="40198DE9"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إعلانت المنتج </w:t>
      </w:r>
    </w:p>
    <w:p w14:paraId="16E6CF9E" w14:textId="77777777" w:rsidR="00F97916" w:rsidRDefault="00F97916" w:rsidP="00F97916">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العمل الاجتماعي أوالبيئي الذي تقوم به الشركة </w:t>
      </w:r>
    </w:p>
    <w:p w14:paraId="2054F2BB" w14:textId="77777777" w:rsidR="00F97916" w:rsidRPr="00E71B8A" w:rsidRDefault="00F97916" w:rsidP="00F97916">
      <w:pPr>
        <w:rPr>
          <w:rFonts w:asciiTheme="majorBidi" w:hAnsiTheme="majorBidi" w:cstheme="majorBidi"/>
          <w:sz w:val="24"/>
          <w:szCs w:val="24"/>
          <w:lang w:bidi="ar-EG"/>
        </w:rPr>
      </w:pPr>
    </w:p>
    <w:p w14:paraId="75F0BC35" w14:textId="77777777" w:rsidR="00F97916" w:rsidRPr="00E71B8A" w:rsidRDefault="00F97916" w:rsidP="00F97916">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س9</w:t>
      </w:r>
      <w:r w:rsidRPr="00E71B8A">
        <w:rPr>
          <w:rFonts w:asciiTheme="majorBidi" w:hAnsiTheme="majorBidi" w:cstheme="majorBidi"/>
          <w:sz w:val="24"/>
          <w:szCs w:val="24"/>
          <w:lang w:bidi="ar-EG"/>
        </w:rPr>
        <w:br/>
        <w:t> هل تشاهد البث التلفزيوني المباشر (ليس خدمات البث عبرالإنترنت المدفوعة مثل شاهد, واتش ات, نتفلكس)</w:t>
      </w:r>
    </w:p>
    <w:p w14:paraId="2F713A03"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نعم </w:t>
      </w:r>
    </w:p>
    <w:p w14:paraId="25CB4934"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لا </w:t>
      </w:r>
    </w:p>
    <w:p w14:paraId="02C407A4" w14:textId="77777777" w:rsidR="00F97916" w:rsidRPr="00E71B8A" w:rsidRDefault="00F97916" w:rsidP="00F97916">
      <w:pPr>
        <w:jc w:val="right"/>
        <w:rPr>
          <w:rFonts w:asciiTheme="majorBidi" w:hAnsiTheme="majorBidi" w:cstheme="majorBidi"/>
          <w:sz w:val="24"/>
          <w:szCs w:val="24"/>
          <w:lang w:bidi="ar-EG"/>
        </w:rPr>
      </w:pPr>
    </w:p>
    <w:p w14:paraId="3565D773" w14:textId="77777777" w:rsidR="00F97916" w:rsidRPr="00E71B8A" w:rsidRDefault="00F97916" w:rsidP="00F97916">
      <w:pPr>
        <w:jc w:val="right"/>
        <w:rPr>
          <w:rFonts w:asciiTheme="majorBidi" w:hAnsiTheme="majorBidi" w:cstheme="majorBidi"/>
          <w:sz w:val="24"/>
          <w:szCs w:val="24"/>
          <w:lang w:bidi="ar-EG"/>
        </w:rPr>
      </w:pPr>
    </w:p>
    <w:p w14:paraId="1F072B73" w14:textId="77777777" w:rsidR="00F97916" w:rsidRPr="00E71B8A" w:rsidRDefault="00F97916" w:rsidP="00F97916">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س10</w:t>
      </w:r>
      <w:r w:rsidRPr="00E71B8A">
        <w:rPr>
          <w:rFonts w:asciiTheme="majorBidi" w:hAnsiTheme="majorBidi" w:cstheme="majorBidi"/>
          <w:sz w:val="24"/>
          <w:szCs w:val="24"/>
          <w:lang w:bidi="ar-EG"/>
        </w:rPr>
        <w:br/>
        <w:t> كم مرة تشاهد البث التلفزيوني المباشر (ليس خدمات البث عبر الإنترنت المدفوعة مثل شاهد, واتش ات, نتفلكس)</w:t>
      </w:r>
    </w:p>
    <w:p w14:paraId="711AAEFE"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ab/>
        <w:t xml:space="preserve">كل يوم </w:t>
      </w:r>
    </w:p>
    <w:p w14:paraId="27B84CC6"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يوم أو يومين في الأسبوع </w:t>
      </w:r>
    </w:p>
    <w:p w14:paraId="6465FD34"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يوم أو يومين في الشهر </w:t>
      </w:r>
    </w:p>
    <w:p w14:paraId="37AF935A" w14:textId="77777777" w:rsidR="00F97916" w:rsidRPr="00E71B8A" w:rsidRDefault="00F97916">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ab/>
        <w:t xml:space="preserve">لا أشاهد التلفزيون </w:t>
      </w:r>
    </w:p>
    <w:p w14:paraId="1D832469" w14:textId="662B2BFA" w:rsidR="00882F28" w:rsidRPr="00E71B8A" w:rsidRDefault="00882F28" w:rsidP="00F97916">
      <w:pPr>
        <w:rPr>
          <w:rFonts w:asciiTheme="majorBidi" w:hAnsiTheme="majorBidi" w:cstheme="majorBidi"/>
          <w:sz w:val="24"/>
          <w:szCs w:val="24"/>
          <w:lang w:bidi="ar-EG"/>
        </w:rPr>
      </w:pPr>
      <w:r w:rsidRPr="00E71B8A">
        <w:rPr>
          <w:rFonts w:asciiTheme="majorBidi" w:hAnsiTheme="majorBidi" w:cstheme="majorBidi"/>
          <w:sz w:val="24"/>
          <w:szCs w:val="24"/>
          <w:lang w:bidi="ar-EG"/>
        </w:rPr>
        <w:br w:type="page"/>
      </w:r>
    </w:p>
    <w:p w14:paraId="4B189860"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س11 </w:t>
      </w:r>
      <w:r w:rsidRPr="00E71B8A">
        <w:rPr>
          <w:rFonts w:asciiTheme="majorBidi" w:hAnsiTheme="majorBidi" w:cstheme="majorBidi"/>
          <w:sz w:val="24"/>
          <w:szCs w:val="24"/>
          <w:lang w:bidi="ar-EG"/>
        </w:rPr>
        <w:br/>
        <w:t>ستشاهد الآن جزءً من مسلسل تلفزيوني وستجد بعض الأسئلة بعد ذلك. نسألكم الانتباه لألعلانات</w:t>
      </w:r>
      <w:r w:rsidRPr="00E71B8A">
        <w:rPr>
          <w:rFonts w:asciiTheme="majorBidi" w:hAnsiTheme="majorBidi" w:cstheme="majorBidi"/>
          <w:sz w:val="24"/>
          <w:szCs w:val="24"/>
          <w:lang w:bidi="ar-EG"/>
        </w:rPr>
        <w:br/>
      </w:r>
      <w:r w:rsidRPr="00E71B8A">
        <w:rPr>
          <w:rFonts w:asciiTheme="majorBidi" w:hAnsiTheme="majorBidi" w:cstheme="majorBidi"/>
          <w:sz w:val="24"/>
          <w:szCs w:val="24"/>
          <w:lang w:bidi="ar-EG"/>
        </w:rPr>
        <w:br/>
        <w:t xml:space="preserve">  </w:t>
      </w:r>
      <w:r w:rsidRPr="00E71B8A">
        <w:rPr>
          <w:rFonts w:asciiTheme="majorBidi" w:hAnsiTheme="majorBidi" w:cstheme="majorBidi"/>
          <w:sz w:val="24"/>
          <w:szCs w:val="24"/>
          <w:lang w:bidi="ar-EG"/>
        </w:rPr>
        <w:br/>
        <w:t>تخيل أنك في المنزل وعلى وشك مشاهدة التلفزيون ، ما البرنامج الذي ترغب في مشاهدته؟</w:t>
      </w:r>
      <w:r w:rsidRPr="00E71B8A">
        <w:rPr>
          <w:rFonts w:asciiTheme="majorBidi" w:hAnsiTheme="majorBidi" w:cstheme="majorBidi"/>
          <w:sz w:val="24"/>
          <w:szCs w:val="24"/>
          <w:lang w:bidi="ar-EG"/>
        </w:rPr>
        <w:br/>
        <w:t xml:space="preserve">    </w:t>
      </w:r>
      <w:r w:rsidRPr="00E71B8A">
        <w:rPr>
          <w:rFonts w:asciiTheme="majorBidi" w:hAnsiTheme="majorBidi" w:cstheme="majorBidi"/>
          <w:sz w:val="24"/>
          <w:szCs w:val="24"/>
          <w:lang w:bidi="ar-EG"/>
        </w:rPr>
        <w:br/>
        <w:t>    اذا اردت مشاهدة مسلسل عائلة الحاج متولي, اضغط على هذا الرابط </w:t>
      </w:r>
      <w:hyperlink r:id="rId76">
        <w:r w:rsidRPr="00E71B8A">
          <w:rPr>
            <w:rFonts w:asciiTheme="majorBidi" w:hAnsiTheme="majorBidi" w:cstheme="majorBidi"/>
            <w:color w:val="007AC0"/>
            <w:sz w:val="24"/>
            <w:szCs w:val="24"/>
            <w:u w:val="single"/>
            <w:lang w:bidi="ar-EG"/>
          </w:rPr>
          <w:t>عائلة الحاج متولي</w:t>
        </w:r>
      </w:hyperlink>
      <w:r w:rsidRPr="00E71B8A">
        <w:rPr>
          <w:rFonts w:asciiTheme="majorBidi" w:hAnsiTheme="majorBidi" w:cstheme="majorBidi"/>
          <w:sz w:val="24"/>
          <w:szCs w:val="24"/>
          <w:lang w:bidi="ar-EG"/>
        </w:rPr>
        <w:br/>
        <w:t xml:space="preserve"> أو  </w:t>
      </w:r>
      <w:r w:rsidRPr="00E71B8A">
        <w:rPr>
          <w:rFonts w:asciiTheme="majorBidi" w:hAnsiTheme="majorBidi" w:cstheme="majorBidi"/>
          <w:sz w:val="24"/>
          <w:szCs w:val="24"/>
          <w:lang w:bidi="ar-EG"/>
        </w:rPr>
        <w:br/>
        <w:t xml:space="preserve">  </w:t>
      </w:r>
      <w:hyperlink r:id="rId77">
        <w:r w:rsidRPr="00E71B8A">
          <w:rPr>
            <w:rFonts w:asciiTheme="majorBidi" w:hAnsiTheme="majorBidi" w:cstheme="majorBidi"/>
            <w:color w:val="007AC0"/>
            <w:sz w:val="24"/>
            <w:szCs w:val="24"/>
            <w:u w:val="single"/>
            <w:lang w:bidi="ar-EG"/>
          </w:rPr>
          <w:t>Friends</w:t>
        </w:r>
      </w:hyperlink>
      <w:r w:rsidRPr="00E71B8A">
        <w:rPr>
          <w:rFonts w:asciiTheme="majorBidi" w:hAnsiTheme="majorBidi" w:cstheme="majorBidi"/>
          <w:sz w:val="24"/>
          <w:szCs w:val="24"/>
          <w:lang w:bidi="ar-EG"/>
        </w:rPr>
        <w:t> اضغط على هذا الرابط Friends اذا اردت مشاهدة مسلسل</w:t>
      </w:r>
      <w:r w:rsidRPr="00E71B8A">
        <w:rPr>
          <w:rFonts w:asciiTheme="majorBidi" w:hAnsiTheme="majorBidi" w:cstheme="majorBidi"/>
          <w:sz w:val="24"/>
          <w:szCs w:val="24"/>
          <w:lang w:bidi="ar-EG"/>
        </w:rPr>
        <w:br/>
        <w:t xml:space="preserve"> </w:t>
      </w:r>
      <w:r w:rsidRPr="00E71B8A">
        <w:rPr>
          <w:rFonts w:asciiTheme="majorBidi" w:hAnsiTheme="majorBidi" w:cstheme="majorBidi"/>
          <w:sz w:val="24"/>
          <w:szCs w:val="24"/>
          <w:lang w:bidi="ar-EG"/>
        </w:rPr>
        <w:br/>
        <w:t xml:space="preserve"> عند الانتهاء من المشاهدة,انقر على التالي</w:t>
      </w:r>
      <w:r w:rsidRPr="00E71B8A">
        <w:rPr>
          <w:rFonts w:asciiTheme="majorBidi" w:hAnsiTheme="majorBidi" w:cstheme="majorBidi"/>
          <w:sz w:val="24"/>
          <w:szCs w:val="24"/>
          <w:lang w:bidi="ar-EG"/>
        </w:rPr>
        <w:br/>
        <w:t xml:space="preserve"> </w:t>
      </w:r>
      <w:r w:rsidRPr="00E71B8A">
        <w:rPr>
          <w:rFonts w:asciiTheme="majorBidi" w:hAnsiTheme="majorBidi" w:cstheme="majorBidi"/>
          <w:sz w:val="24"/>
          <w:szCs w:val="24"/>
          <w:lang w:bidi="ar-EG"/>
        </w:rPr>
        <w:br/>
        <w:t xml:space="preserve">  </w:t>
      </w:r>
      <w:r w:rsidRPr="00E71B8A">
        <w:rPr>
          <w:rFonts w:asciiTheme="majorBidi" w:hAnsiTheme="majorBidi" w:cstheme="majorBidi"/>
          <w:sz w:val="24"/>
          <w:szCs w:val="24"/>
          <w:lang w:bidi="ar-EG"/>
        </w:rPr>
        <w:br/>
        <w:t> بعض الاعلانات غيرحقيقية و صممت فقط لهدف البحث و الدراسة*</w:t>
      </w:r>
    </w:p>
    <w:p w14:paraId="099A789D"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التالي </w:t>
      </w:r>
    </w:p>
    <w:p w14:paraId="0611DB6E" w14:textId="77777777" w:rsidR="00882F28" w:rsidRPr="00E71B8A" w:rsidRDefault="00882F28" w:rsidP="00882F28">
      <w:pPr>
        <w:rPr>
          <w:rFonts w:asciiTheme="majorBidi" w:hAnsiTheme="majorBidi" w:cstheme="majorBidi"/>
          <w:sz w:val="24"/>
          <w:szCs w:val="24"/>
          <w:lang w:bidi="ar-EG"/>
        </w:rPr>
      </w:pPr>
    </w:p>
    <w:p w14:paraId="761BCDDE" w14:textId="77777777" w:rsidR="00882F28" w:rsidRPr="00E71B8A" w:rsidRDefault="00882F28" w:rsidP="00882F28">
      <w:pPr>
        <w:jc w:val="right"/>
        <w:rPr>
          <w:rFonts w:asciiTheme="majorBidi" w:hAnsiTheme="majorBidi" w:cstheme="majorBidi"/>
          <w:sz w:val="24"/>
          <w:szCs w:val="24"/>
          <w:lang w:bidi="ar-EG"/>
        </w:rPr>
      </w:pPr>
    </w:p>
    <w:p w14:paraId="23B5C5B8"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س12 </w:t>
      </w:r>
      <w:r w:rsidRPr="00E71B8A">
        <w:rPr>
          <w:rFonts w:asciiTheme="majorBidi" w:hAnsiTheme="majorBidi" w:cstheme="majorBidi"/>
          <w:sz w:val="24"/>
          <w:szCs w:val="24"/>
          <w:lang w:bidi="ar-EG"/>
        </w:rPr>
        <w:br/>
        <w:t>بناءً على إعلان ديتول الذي شاهدته للتو ، هل توافق أو ترفض على العبارات التالية؟</w:t>
      </w:r>
    </w:p>
    <w:tbl>
      <w:tblPr>
        <w:tblStyle w:val="QQuestionTable1"/>
        <w:tblW w:w="9576" w:type="auto"/>
        <w:tblLook w:val="07E0" w:firstRow="1" w:lastRow="1" w:firstColumn="1" w:lastColumn="1" w:noHBand="1" w:noVBand="1"/>
      </w:tblPr>
      <w:tblGrid>
        <w:gridCol w:w="1145"/>
        <w:gridCol w:w="1119"/>
        <w:gridCol w:w="1119"/>
        <w:gridCol w:w="1119"/>
        <w:gridCol w:w="1131"/>
        <w:gridCol w:w="1131"/>
        <w:gridCol w:w="1131"/>
        <w:gridCol w:w="1131"/>
      </w:tblGrid>
      <w:tr w:rsidR="00882F28" w:rsidRPr="00E71B8A" w14:paraId="2E2729F9" w14:textId="77777777" w:rsidTr="00257F65">
        <w:trPr>
          <w:cnfStyle w:val="100000000000" w:firstRow="1" w:lastRow="0" w:firstColumn="0" w:lastColumn="0" w:oddVBand="0" w:evenVBand="0" w:oddHBand="0" w:evenHBand="0" w:firstRowFirstColumn="0" w:firstRowLastColumn="0" w:lastRowFirstColumn="0" w:lastRowLastColumn="0"/>
        </w:trPr>
        <w:tc>
          <w:tcPr>
            <w:tcW w:w="1197" w:type="dxa"/>
          </w:tcPr>
          <w:p w14:paraId="0F6EF84B" w14:textId="77777777" w:rsidR="00882F28" w:rsidRPr="00E71B8A" w:rsidRDefault="00882F28" w:rsidP="00257F65">
            <w:pPr>
              <w:keepNext/>
              <w:jc w:val="right"/>
              <w:rPr>
                <w:rFonts w:asciiTheme="majorBidi" w:hAnsiTheme="majorBidi" w:cstheme="majorBidi"/>
                <w:sz w:val="24"/>
                <w:szCs w:val="24"/>
                <w:lang w:bidi="ar-EG"/>
              </w:rPr>
            </w:pPr>
          </w:p>
        </w:tc>
        <w:tc>
          <w:tcPr>
            <w:tcW w:w="1197" w:type="dxa"/>
          </w:tcPr>
          <w:p w14:paraId="2F37FD8F"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أوافق بشدة  </w:t>
            </w:r>
          </w:p>
        </w:tc>
        <w:tc>
          <w:tcPr>
            <w:tcW w:w="1197" w:type="dxa"/>
          </w:tcPr>
          <w:p w14:paraId="12072627"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w:t>
            </w:r>
          </w:p>
        </w:tc>
        <w:tc>
          <w:tcPr>
            <w:tcW w:w="1197" w:type="dxa"/>
          </w:tcPr>
          <w:p w14:paraId="374F596B"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 إلى حد ما</w:t>
            </w:r>
          </w:p>
        </w:tc>
        <w:tc>
          <w:tcPr>
            <w:tcW w:w="1197" w:type="dxa"/>
          </w:tcPr>
          <w:p w14:paraId="7A2640FF"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لا أوافق و لا أرفض</w:t>
            </w:r>
          </w:p>
        </w:tc>
        <w:tc>
          <w:tcPr>
            <w:tcW w:w="1197" w:type="dxa"/>
          </w:tcPr>
          <w:p w14:paraId="289882C1"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 إلى حد ما</w:t>
            </w:r>
          </w:p>
        </w:tc>
        <w:tc>
          <w:tcPr>
            <w:tcW w:w="1197" w:type="dxa"/>
          </w:tcPr>
          <w:p w14:paraId="7DDCF35C"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w:t>
            </w:r>
          </w:p>
        </w:tc>
        <w:tc>
          <w:tcPr>
            <w:cnfStyle w:val="000100000000" w:firstRow="0" w:lastRow="0" w:firstColumn="0" w:lastColumn="1" w:oddVBand="0" w:evenVBand="0" w:oddHBand="0" w:evenHBand="0" w:firstRowFirstColumn="0" w:firstRowLastColumn="0" w:lastRowFirstColumn="0" w:lastRowLastColumn="0"/>
            <w:tcW w:w="1197" w:type="dxa"/>
          </w:tcPr>
          <w:p w14:paraId="20711B0B"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ارفض بشدة</w:t>
            </w:r>
          </w:p>
        </w:tc>
      </w:tr>
      <w:tr w:rsidR="00882F28" w:rsidRPr="00E71B8A" w14:paraId="4D63E944" w14:textId="77777777" w:rsidTr="00257F65">
        <w:tc>
          <w:tcPr>
            <w:tcW w:w="1197" w:type="dxa"/>
          </w:tcPr>
          <w:p w14:paraId="2F81F90B"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لم يعجبني هذا الاعلان   </w:t>
            </w:r>
          </w:p>
        </w:tc>
        <w:tc>
          <w:tcPr>
            <w:tcW w:w="1197" w:type="dxa"/>
          </w:tcPr>
          <w:p w14:paraId="283BEEB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E40D20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7C5DBD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C90832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F044F2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35D58C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1F24447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6A79EC13" w14:textId="77777777" w:rsidTr="00257F65">
        <w:tc>
          <w:tcPr>
            <w:tcW w:w="1197" w:type="dxa"/>
          </w:tcPr>
          <w:p w14:paraId="0CF8B397"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الإعلان يروق لي  </w:t>
            </w:r>
          </w:p>
        </w:tc>
        <w:tc>
          <w:tcPr>
            <w:tcW w:w="1197" w:type="dxa"/>
          </w:tcPr>
          <w:p w14:paraId="3C0E722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13F561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5D72C4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AC9FA1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18CA9A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C54A52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0650F2A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438F3B23" w14:textId="77777777" w:rsidTr="00257F65">
        <w:tc>
          <w:tcPr>
            <w:tcW w:w="1197" w:type="dxa"/>
          </w:tcPr>
          <w:p w14:paraId="626274F5"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الإعلان ملفت بالنسبة لي  </w:t>
            </w:r>
          </w:p>
        </w:tc>
        <w:tc>
          <w:tcPr>
            <w:tcW w:w="1197" w:type="dxa"/>
          </w:tcPr>
          <w:p w14:paraId="762DD5F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7761AF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8F5D62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A24FD7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81BB42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9DA859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6F44F59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4660A5A8" w14:textId="77777777" w:rsidTr="00257F65">
        <w:tc>
          <w:tcPr>
            <w:tcW w:w="1197" w:type="dxa"/>
          </w:tcPr>
          <w:p w14:paraId="68DC830E"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الإعلان مثير للاهتمام بالنسبة لي  </w:t>
            </w:r>
          </w:p>
        </w:tc>
        <w:tc>
          <w:tcPr>
            <w:tcW w:w="1197" w:type="dxa"/>
          </w:tcPr>
          <w:p w14:paraId="6E9CAC0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B7FFFE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88A054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1F9815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BE476F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6B4EC1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5D34DE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668560D7" w14:textId="77777777" w:rsidTr="00257F65">
        <w:tc>
          <w:tcPr>
            <w:tcW w:w="1197" w:type="dxa"/>
          </w:tcPr>
          <w:p w14:paraId="04BFF8EC"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هذا الاعلان سيء  </w:t>
            </w:r>
          </w:p>
        </w:tc>
        <w:tc>
          <w:tcPr>
            <w:tcW w:w="1197" w:type="dxa"/>
          </w:tcPr>
          <w:p w14:paraId="53BD35D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CC8986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68CADC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DF42BE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B45DB2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1F4EF2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3C88C89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bl>
    <w:p w14:paraId="25E0F338" w14:textId="77777777" w:rsidR="00882F28" w:rsidRPr="00E71B8A" w:rsidRDefault="00882F28" w:rsidP="00882F28">
      <w:pPr>
        <w:jc w:val="right"/>
        <w:rPr>
          <w:rFonts w:asciiTheme="majorBidi" w:hAnsiTheme="majorBidi" w:cstheme="majorBidi"/>
          <w:sz w:val="24"/>
          <w:szCs w:val="24"/>
          <w:lang w:bidi="ar-EG"/>
        </w:rPr>
      </w:pPr>
    </w:p>
    <w:p w14:paraId="41DF8063" w14:textId="77777777" w:rsidR="00882F28" w:rsidRPr="00E71B8A" w:rsidRDefault="00882F28" w:rsidP="00882F28">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br w:type="page"/>
      </w:r>
    </w:p>
    <w:p w14:paraId="364D3606"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س13</w:t>
      </w:r>
      <w:r w:rsidRPr="00E71B8A">
        <w:rPr>
          <w:rFonts w:asciiTheme="majorBidi" w:hAnsiTheme="majorBidi" w:cstheme="majorBidi"/>
          <w:sz w:val="24"/>
          <w:szCs w:val="24"/>
          <w:lang w:bidi="ar-EG"/>
        </w:rPr>
        <w:br/>
        <w:t>بناءً على إعلان ديتول الذي شاهدته للتو ، هل توافق أو ترفض على العبارات التالية؟</w:t>
      </w:r>
    </w:p>
    <w:tbl>
      <w:tblPr>
        <w:tblStyle w:val="QQuestionTable1"/>
        <w:tblW w:w="9576" w:type="auto"/>
        <w:tblLook w:val="07E0" w:firstRow="1" w:lastRow="1" w:firstColumn="1" w:lastColumn="1" w:noHBand="1" w:noVBand="1"/>
      </w:tblPr>
      <w:tblGrid>
        <w:gridCol w:w="1170"/>
        <w:gridCol w:w="1114"/>
        <w:gridCol w:w="1115"/>
        <w:gridCol w:w="1115"/>
        <w:gridCol w:w="1128"/>
        <w:gridCol w:w="1128"/>
        <w:gridCol w:w="1128"/>
        <w:gridCol w:w="1128"/>
      </w:tblGrid>
      <w:tr w:rsidR="00882F28" w:rsidRPr="00E71B8A" w14:paraId="6CCE47B8" w14:textId="77777777" w:rsidTr="00257F65">
        <w:trPr>
          <w:cnfStyle w:val="100000000000" w:firstRow="1" w:lastRow="0" w:firstColumn="0" w:lastColumn="0" w:oddVBand="0" w:evenVBand="0" w:oddHBand="0" w:evenHBand="0" w:firstRowFirstColumn="0" w:firstRowLastColumn="0" w:lastRowFirstColumn="0" w:lastRowLastColumn="0"/>
        </w:trPr>
        <w:tc>
          <w:tcPr>
            <w:tcW w:w="1197" w:type="dxa"/>
          </w:tcPr>
          <w:p w14:paraId="4B1E58C6" w14:textId="77777777" w:rsidR="00882F28" w:rsidRPr="00E71B8A" w:rsidRDefault="00882F28" w:rsidP="00257F65">
            <w:pPr>
              <w:keepNext/>
              <w:jc w:val="right"/>
              <w:rPr>
                <w:rFonts w:asciiTheme="majorBidi" w:hAnsiTheme="majorBidi" w:cstheme="majorBidi"/>
                <w:sz w:val="24"/>
                <w:szCs w:val="24"/>
                <w:lang w:bidi="ar-EG"/>
              </w:rPr>
            </w:pPr>
          </w:p>
        </w:tc>
        <w:tc>
          <w:tcPr>
            <w:tcW w:w="1197" w:type="dxa"/>
          </w:tcPr>
          <w:p w14:paraId="6640808A"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أوافق بشدة  </w:t>
            </w:r>
          </w:p>
        </w:tc>
        <w:tc>
          <w:tcPr>
            <w:tcW w:w="1197" w:type="dxa"/>
          </w:tcPr>
          <w:p w14:paraId="53901B74"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w:t>
            </w:r>
          </w:p>
        </w:tc>
        <w:tc>
          <w:tcPr>
            <w:tcW w:w="1197" w:type="dxa"/>
          </w:tcPr>
          <w:p w14:paraId="5A7A0B81"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 إلى حد ما</w:t>
            </w:r>
          </w:p>
        </w:tc>
        <w:tc>
          <w:tcPr>
            <w:tcW w:w="1197" w:type="dxa"/>
          </w:tcPr>
          <w:p w14:paraId="17182FF4"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لا أوافق و لا أرفض</w:t>
            </w:r>
          </w:p>
        </w:tc>
        <w:tc>
          <w:tcPr>
            <w:tcW w:w="1197" w:type="dxa"/>
          </w:tcPr>
          <w:p w14:paraId="15F46030"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 إلى حد ما</w:t>
            </w:r>
          </w:p>
        </w:tc>
        <w:tc>
          <w:tcPr>
            <w:tcW w:w="1197" w:type="dxa"/>
          </w:tcPr>
          <w:p w14:paraId="5B1ABBEC"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w:t>
            </w:r>
          </w:p>
        </w:tc>
        <w:tc>
          <w:tcPr>
            <w:cnfStyle w:val="000100000000" w:firstRow="0" w:lastRow="0" w:firstColumn="0" w:lastColumn="1" w:oddVBand="0" w:evenVBand="0" w:oddHBand="0" w:evenHBand="0" w:firstRowFirstColumn="0" w:firstRowLastColumn="0" w:lastRowFirstColumn="0" w:lastRowLastColumn="0"/>
            <w:tcW w:w="1197" w:type="dxa"/>
          </w:tcPr>
          <w:p w14:paraId="2BA82633"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ارفض بشدة</w:t>
            </w:r>
          </w:p>
        </w:tc>
      </w:tr>
      <w:tr w:rsidR="00882F28" w:rsidRPr="00E71B8A" w14:paraId="197FE92D" w14:textId="77777777" w:rsidTr="00257F65">
        <w:tc>
          <w:tcPr>
            <w:tcW w:w="1197" w:type="dxa"/>
          </w:tcPr>
          <w:p w14:paraId="40A24BD7"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المنتج الامثل بالنسة لي يساعد في حل المشاكل الاجتماعية </w:t>
            </w:r>
          </w:p>
        </w:tc>
        <w:tc>
          <w:tcPr>
            <w:tcW w:w="1197" w:type="dxa"/>
          </w:tcPr>
          <w:p w14:paraId="2D44437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EDCBCD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546508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58D7BD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FD453D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FA191E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466741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2D486233" w14:textId="77777777" w:rsidTr="00257F65">
        <w:tc>
          <w:tcPr>
            <w:tcW w:w="1197" w:type="dxa"/>
          </w:tcPr>
          <w:p w14:paraId="5B2128F4"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المنتج الامثل بالنسة لي  لديه اتجاه قوي بالمسؤولية الاجتماعية </w:t>
            </w:r>
          </w:p>
        </w:tc>
        <w:tc>
          <w:tcPr>
            <w:tcW w:w="1197" w:type="dxa"/>
          </w:tcPr>
          <w:p w14:paraId="222D0F0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5A6591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9B456C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6726D4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ED649B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DD6583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3303A11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0BCAAEC6" w14:textId="77777777" w:rsidTr="00257F65">
        <w:tc>
          <w:tcPr>
            <w:tcW w:w="1197" w:type="dxa"/>
          </w:tcPr>
          <w:p w14:paraId="4CEC0CC1"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المنتج الامثل بالنسة لي  يقدم مساهامات كافية للمجتم المحلي </w:t>
            </w:r>
          </w:p>
        </w:tc>
        <w:tc>
          <w:tcPr>
            <w:tcW w:w="1197" w:type="dxa"/>
          </w:tcPr>
          <w:p w14:paraId="16B213D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8B0F7A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818960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23F9F3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DCD098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DF3719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F585BE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546B7ABD" w14:textId="77777777" w:rsidTr="00257F65">
        <w:tc>
          <w:tcPr>
            <w:tcW w:w="1197" w:type="dxa"/>
          </w:tcPr>
          <w:p w14:paraId="799F8D16"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المنتج الامثل بالنسة لي  يخصص بعض موارده للأنشطة الخيرية </w:t>
            </w:r>
          </w:p>
        </w:tc>
        <w:tc>
          <w:tcPr>
            <w:tcW w:w="1197" w:type="dxa"/>
          </w:tcPr>
          <w:p w14:paraId="78F476C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57EB9B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9A8801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046086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9BD5DE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0C8B59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0EEA7A8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31626B03" w14:textId="77777777" w:rsidTr="00257F65">
        <w:tc>
          <w:tcPr>
            <w:tcW w:w="1197" w:type="dxa"/>
          </w:tcPr>
          <w:p w14:paraId="3A507B81"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المنتج الامثل بالنسة لي  يلعب دورا هام في المجتمع يتجاوز مجرد توليد الارباح </w:t>
            </w:r>
          </w:p>
        </w:tc>
        <w:tc>
          <w:tcPr>
            <w:tcW w:w="1197" w:type="dxa"/>
          </w:tcPr>
          <w:p w14:paraId="3C9ECB5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2EBD3C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C272BF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5CF6E7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1CC9D4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1B95C9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F2108F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6510FC78" w14:textId="77777777" w:rsidTr="00257F65">
        <w:tc>
          <w:tcPr>
            <w:tcW w:w="1197" w:type="dxa"/>
          </w:tcPr>
          <w:p w14:paraId="27B0263C"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المنتج الامثل بالنسة لي  يشجع موظفيه على المشاركة في الانشطة التطوعية </w:t>
            </w:r>
          </w:p>
        </w:tc>
        <w:tc>
          <w:tcPr>
            <w:tcW w:w="1197" w:type="dxa"/>
          </w:tcPr>
          <w:p w14:paraId="2BB7A4F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F40510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17237D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5D4FDF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71F8B7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035A6C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54AE3C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bl>
    <w:p w14:paraId="57B263C1" w14:textId="77777777" w:rsidR="00882F28" w:rsidRPr="00E71B8A" w:rsidRDefault="00882F28" w:rsidP="00882F28">
      <w:pPr>
        <w:rPr>
          <w:rFonts w:asciiTheme="majorBidi" w:hAnsiTheme="majorBidi" w:cstheme="majorBidi"/>
          <w:sz w:val="24"/>
          <w:szCs w:val="24"/>
          <w:lang w:bidi="ar-EG"/>
        </w:rPr>
      </w:pPr>
    </w:p>
    <w:p w14:paraId="71A9CCFC"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س14</w:t>
      </w:r>
      <w:r w:rsidRPr="00E71B8A">
        <w:rPr>
          <w:rFonts w:asciiTheme="majorBidi" w:hAnsiTheme="majorBidi" w:cstheme="majorBidi"/>
          <w:sz w:val="24"/>
          <w:szCs w:val="24"/>
          <w:lang w:bidi="ar-EG"/>
        </w:rPr>
        <w:br/>
        <w:t>بنائا على إعلان ديتول الذي شاهدته للتو ، هل توافق أو ترفض على العبارات التالية؟</w:t>
      </w:r>
    </w:p>
    <w:tbl>
      <w:tblPr>
        <w:tblStyle w:val="QQuestionTable1"/>
        <w:tblW w:w="9576" w:type="auto"/>
        <w:tblLook w:val="07E0" w:firstRow="1" w:lastRow="1" w:firstColumn="1" w:lastColumn="1" w:noHBand="1" w:noVBand="1"/>
      </w:tblPr>
      <w:tblGrid>
        <w:gridCol w:w="1155"/>
        <w:gridCol w:w="1117"/>
        <w:gridCol w:w="1117"/>
        <w:gridCol w:w="1117"/>
        <w:gridCol w:w="1130"/>
        <w:gridCol w:w="1130"/>
        <w:gridCol w:w="1130"/>
        <w:gridCol w:w="1130"/>
      </w:tblGrid>
      <w:tr w:rsidR="00882F28" w:rsidRPr="00E71B8A" w14:paraId="1969658F" w14:textId="77777777" w:rsidTr="00257F65">
        <w:trPr>
          <w:cnfStyle w:val="100000000000" w:firstRow="1" w:lastRow="0" w:firstColumn="0" w:lastColumn="0" w:oddVBand="0" w:evenVBand="0" w:oddHBand="0" w:evenHBand="0" w:firstRowFirstColumn="0" w:firstRowLastColumn="0" w:lastRowFirstColumn="0" w:lastRowLastColumn="0"/>
        </w:trPr>
        <w:tc>
          <w:tcPr>
            <w:tcW w:w="1197" w:type="dxa"/>
          </w:tcPr>
          <w:p w14:paraId="1A29D2A4" w14:textId="77777777" w:rsidR="00882F28" w:rsidRPr="00E71B8A" w:rsidRDefault="00882F28" w:rsidP="00257F65">
            <w:pPr>
              <w:keepNext/>
              <w:jc w:val="right"/>
              <w:rPr>
                <w:rFonts w:asciiTheme="majorBidi" w:hAnsiTheme="majorBidi" w:cstheme="majorBidi"/>
                <w:sz w:val="24"/>
                <w:szCs w:val="24"/>
                <w:lang w:bidi="ar-EG"/>
              </w:rPr>
            </w:pPr>
          </w:p>
        </w:tc>
        <w:tc>
          <w:tcPr>
            <w:tcW w:w="1197" w:type="dxa"/>
          </w:tcPr>
          <w:p w14:paraId="5182910E"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أوافق بشدة  </w:t>
            </w:r>
          </w:p>
        </w:tc>
        <w:tc>
          <w:tcPr>
            <w:tcW w:w="1197" w:type="dxa"/>
          </w:tcPr>
          <w:p w14:paraId="190397C3"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w:t>
            </w:r>
          </w:p>
        </w:tc>
        <w:tc>
          <w:tcPr>
            <w:tcW w:w="1197" w:type="dxa"/>
          </w:tcPr>
          <w:p w14:paraId="39E1C6DE"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 إلى حد ما</w:t>
            </w:r>
          </w:p>
        </w:tc>
        <w:tc>
          <w:tcPr>
            <w:tcW w:w="1197" w:type="dxa"/>
          </w:tcPr>
          <w:p w14:paraId="259700E0"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لا أوافق و لا أرفض</w:t>
            </w:r>
          </w:p>
        </w:tc>
        <w:tc>
          <w:tcPr>
            <w:tcW w:w="1197" w:type="dxa"/>
          </w:tcPr>
          <w:p w14:paraId="2D095D21"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 إلى حد ما</w:t>
            </w:r>
          </w:p>
        </w:tc>
        <w:tc>
          <w:tcPr>
            <w:tcW w:w="1197" w:type="dxa"/>
          </w:tcPr>
          <w:p w14:paraId="5B4686F7"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w:t>
            </w:r>
          </w:p>
        </w:tc>
        <w:tc>
          <w:tcPr>
            <w:cnfStyle w:val="000100000000" w:firstRow="0" w:lastRow="0" w:firstColumn="0" w:lastColumn="1" w:oddVBand="0" w:evenVBand="0" w:oddHBand="0" w:evenHBand="0" w:firstRowFirstColumn="0" w:firstRowLastColumn="0" w:lastRowFirstColumn="0" w:lastRowLastColumn="0"/>
            <w:tcW w:w="1197" w:type="dxa"/>
          </w:tcPr>
          <w:p w14:paraId="3BB4929D"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ارفض بشدة</w:t>
            </w:r>
          </w:p>
        </w:tc>
      </w:tr>
      <w:tr w:rsidR="00882F28" w:rsidRPr="00E71B8A" w14:paraId="51E04E9B" w14:textId="77777777" w:rsidTr="00257F65">
        <w:tc>
          <w:tcPr>
            <w:tcW w:w="1197" w:type="dxa"/>
          </w:tcPr>
          <w:p w14:paraId="7B69CE3A"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ديتول منتج موثوق به للغاية </w:t>
            </w:r>
          </w:p>
        </w:tc>
        <w:tc>
          <w:tcPr>
            <w:tcW w:w="1197" w:type="dxa"/>
          </w:tcPr>
          <w:p w14:paraId="2519788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D3113B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ECEB41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AE0ABC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82BCD8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379CAF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26CC57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672877B1" w14:textId="77777777" w:rsidTr="00257F65">
        <w:tc>
          <w:tcPr>
            <w:tcW w:w="1197" w:type="dxa"/>
          </w:tcPr>
          <w:p w14:paraId="25346B33"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مفعول ديتول أفضل من المنتجات المشابه الاخرى </w:t>
            </w:r>
          </w:p>
        </w:tc>
        <w:tc>
          <w:tcPr>
            <w:tcW w:w="1197" w:type="dxa"/>
          </w:tcPr>
          <w:p w14:paraId="670143A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68DBD2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69F612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B6008E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E41CAF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D13A7F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6207B5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73CD5AC3" w14:textId="77777777" w:rsidTr="00257F65">
        <w:tc>
          <w:tcPr>
            <w:tcW w:w="1197" w:type="dxa"/>
          </w:tcPr>
          <w:p w14:paraId="1684BF42"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منتجات ديتول أفضل من منافسيها </w:t>
            </w:r>
          </w:p>
        </w:tc>
        <w:tc>
          <w:tcPr>
            <w:tcW w:w="1197" w:type="dxa"/>
          </w:tcPr>
          <w:p w14:paraId="7DAA076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EEB4F7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453651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E5AD2E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D5947F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52BF34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5221BFF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16B582CF" w14:textId="77777777" w:rsidTr="00257F65">
        <w:tc>
          <w:tcPr>
            <w:tcW w:w="1197" w:type="dxa"/>
          </w:tcPr>
          <w:p w14:paraId="281FDF5B"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منتجات ديتول أكثر فاعلية من غيرها </w:t>
            </w:r>
          </w:p>
        </w:tc>
        <w:tc>
          <w:tcPr>
            <w:tcW w:w="1197" w:type="dxa"/>
          </w:tcPr>
          <w:p w14:paraId="69C86AE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8BA907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843F51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21DB25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84EB42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E62172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041E3A7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64498B66" w14:textId="77777777" w:rsidTr="00257F65">
        <w:tc>
          <w:tcPr>
            <w:tcW w:w="1197" w:type="dxa"/>
          </w:tcPr>
          <w:p w14:paraId="4C67ECAE"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منتجات ديتول مصنوعة بشكل جيد </w:t>
            </w:r>
          </w:p>
        </w:tc>
        <w:tc>
          <w:tcPr>
            <w:tcW w:w="1197" w:type="dxa"/>
          </w:tcPr>
          <w:p w14:paraId="49EFB2D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BADB87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28A10C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5B1BB6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E6FC2A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08B3EC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8F46EC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bl>
    <w:p w14:paraId="7475A51D" w14:textId="77777777" w:rsidR="00882F28" w:rsidRPr="00E71B8A" w:rsidRDefault="00882F28" w:rsidP="00882F28">
      <w:pPr>
        <w:jc w:val="right"/>
        <w:rPr>
          <w:rFonts w:asciiTheme="majorBidi" w:hAnsiTheme="majorBidi" w:cstheme="majorBidi"/>
          <w:sz w:val="24"/>
          <w:szCs w:val="24"/>
          <w:lang w:bidi="ar-EG"/>
        </w:rPr>
      </w:pPr>
    </w:p>
    <w:p w14:paraId="604C3A4D" w14:textId="77777777" w:rsidR="00882F28" w:rsidRPr="00E71B8A" w:rsidRDefault="00882F28" w:rsidP="00882F28">
      <w:pPr>
        <w:jc w:val="right"/>
        <w:rPr>
          <w:rFonts w:asciiTheme="majorBidi" w:hAnsiTheme="majorBidi" w:cstheme="majorBidi"/>
          <w:sz w:val="24"/>
          <w:szCs w:val="24"/>
          <w:lang w:bidi="ar-EG"/>
        </w:rPr>
      </w:pPr>
    </w:p>
    <w:p w14:paraId="6765840C" w14:textId="77777777" w:rsidR="00882F28" w:rsidRPr="00E71B8A" w:rsidRDefault="00882F28" w:rsidP="00882F28">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س15</w:t>
      </w:r>
      <w:r w:rsidRPr="00E71B8A">
        <w:rPr>
          <w:rFonts w:asciiTheme="majorBidi" w:hAnsiTheme="majorBidi" w:cstheme="majorBidi"/>
          <w:sz w:val="24"/>
          <w:szCs w:val="24"/>
          <w:lang w:bidi="ar-EG"/>
        </w:rPr>
        <w:br/>
        <w:t>بنائا على إعلان ديتول الذي شاهدته للتو ، هل توافق أو ترفض على العبارات التالي</w:t>
      </w:r>
      <w:r w:rsidRPr="00E71B8A">
        <w:rPr>
          <w:rFonts w:asciiTheme="majorBidi" w:hAnsiTheme="majorBidi" w:cstheme="majorBidi"/>
          <w:sz w:val="24"/>
          <w:szCs w:val="24"/>
          <w:lang w:bidi="ar-EG"/>
        </w:rPr>
        <w:br w:type="page"/>
      </w:r>
    </w:p>
    <w:tbl>
      <w:tblPr>
        <w:tblStyle w:val="QQuestionTable1"/>
        <w:tblW w:w="9576" w:type="auto"/>
        <w:tblLook w:val="07E0" w:firstRow="1" w:lastRow="1" w:firstColumn="1" w:lastColumn="1" w:noHBand="1" w:noVBand="1"/>
      </w:tblPr>
      <w:tblGrid>
        <w:gridCol w:w="1184"/>
        <w:gridCol w:w="1112"/>
        <w:gridCol w:w="1113"/>
        <w:gridCol w:w="1113"/>
        <w:gridCol w:w="1126"/>
        <w:gridCol w:w="1126"/>
        <w:gridCol w:w="1126"/>
        <w:gridCol w:w="1126"/>
      </w:tblGrid>
      <w:tr w:rsidR="00882F28" w:rsidRPr="00E71B8A" w14:paraId="484F0BEF" w14:textId="77777777" w:rsidTr="00257F65">
        <w:trPr>
          <w:cnfStyle w:val="100000000000" w:firstRow="1" w:lastRow="0" w:firstColumn="0" w:lastColumn="0" w:oddVBand="0" w:evenVBand="0" w:oddHBand="0" w:evenHBand="0" w:firstRowFirstColumn="0" w:firstRowLastColumn="0" w:lastRowFirstColumn="0" w:lastRowLastColumn="0"/>
        </w:trPr>
        <w:tc>
          <w:tcPr>
            <w:tcW w:w="1197" w:type="dxa"/>
          </w:tcPr>
          <w:p w14:paraId="3C87A5AA" w14:textId="77777777" w:rsidR="00882F28" w:rsidRPr="00E71B8A" w:rsidRDefault="00882F28" w:rsidP="00257F65">
            <w:pPr>
              <w:keepNext/>
              <w:jc w:val="right"/>
              <w:rPr>
                <w:rFonts w:asciiTheme="majorBidi" w:hAnsiTheme="majorBidi" w:cstheme="majorBidi"/>
                <w:sz w:val="24"/>
                <w:szCs w:val="24"/>
                <w:lang w:bidi="ar-EG"/>
              </w:rPr>
            </w:pPr>
          </w:p>
        </w:tc>
        <w:tc>
          <w:tcPr>
            <w:tcW w:w="1197" w:type="dxa"/>
          </w:tcPr>
          <w:p w14:paraId="3AEB346A"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أوافق بشدة  </w:t>
            </w:r>
          </w:p>
        </w:tc>
        <w:tc>
          <w:tcPr>
            <w:tcW w:w="1197" w:type="dxa"/>
          </w:tcPr>
          <w:p w14:paraId="6C468F30"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w:t>
            </w:r>
          </w:p>
        </w:tc>
        <w:tc>
          <w:tcPr>
            <w:tcW w:w="1197" w:type="dxa"/>
          </w:tcPr>
          <w:p w14:paraId="69F0059E"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 إلى حد ما</w:t>
            </w:r>
          </w:p>
        </w:tc>
        <w:tc>
          <w:tcPr>
            <w:tcW w:w="1197" w:type="dxa"/>
          </w:tcPr>
          <w:p w14:paraId="38146EDE"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لا أوافق و لا أرفض</w:t>
            </w:r>
          </w:p>
        </w:tc>
        <w:tc>
          <w:tcPr>
            <w:tcW w:w="1197" w:type="dxa"/>
          </w:tcPr>
          <w:p w14:paraId="02EE06C8"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 إلى حد ما</w:t>
            </w:r>
          </w:p>
        </w:tc>
        <w:tc>
          <w:tcPr>
            <w:tcW w:w="1197" w:type="dxa"/>
          </w:tcPr>
          <w:p w14:paraId="0086C8C1"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w:t>
            </w:r>
          </w:p>
        </w:tc>
        <w:tc>
          <w:tcPr>
            <w:cnfStyle w:val="000100000000" w:firstRow="0" w:lastRow="0" w:firstColumn="0" w:lastColumn="1" w:oddVBand="0" w:evenVBand="0" w:oddHBand="0" w:evenHBand="0" w:firstRowFirstColumn="0" w:firstRowLastColumn="0" w:lastRowFirstColumn="0" w:lastRowLastColumn="0"/>
            <w:tcW w:w="1197" w:type="dxa"/>
          </w:tcPr>
          <w:p w14:paraId="4DD03A07"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ارفض بشدة</w:t>
            </w:r>
          </w:p>
        </w:tc>
      </w:tr>
      <w:tr w:rsidR="00882F28" w:rsidRPr="00E71B8A" w14:paraId="26E72F91" w14:textId="77777777" w:rsidTr="00257F65">
        <w:tc>
          <w:tcPr>
            <w:tcW w:w="1197" w:type="dxa"/>
          </w:tcPr>
          <w:p w14:paraId="1B899E0D"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أنا أؤمن بشدة أن ديتول  تفي بوعده لالمستهلكين </w:t>
            </w:r>
          </w:p>
        </w:tc>
        <w:tc>
          <w:tcPr>
            <w:tcW w:w="1197" w:type="dxa"/>
          </w:tcPr>
          <w:p w14:paraId="0981247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A61284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C53CC7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5D8D24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A085CE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DE061F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341BBB2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417FE67F" w14:textId="77777777" w:rsidTr="00257F65">
        <w:tc>
          <w:tcPr>
            <w:tcW w:w="1197" w:type="dxa"/>
          </w:tcPr>
          <w:p w14:paraId="0E189F33"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اعتقد ان ديتول يرتبط بحس ايجابي </w:t>
            </w:r>
          </w:p>
        </w:tc>
        <w:tc>
          <w:tcPr>
            <w:tcW w:w="1197" w:type="dxa"/>
          </w:tcPr>
          <w:p w14:paraId="61A032F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9D09DA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33CDAA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09DCB8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094F79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DEB52F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7DBACC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0AB9529F" w14:textId="77777777" w:rsidTr="00257F65">
        <w:tc>
          <w:tcPr>
            <w:tcW w:w="1197" w:type="dxa"/>
          </w:tcPr>
          <w:p w14:paraId="62BA6363"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اعتقد أن ديتول هو الأفضل لي ويمنح الأولوية لي </w:t>
            </w:r>
          </w:p>
        </w:tc>
        <w:tc>
          <w:tcPr>
            <w:tcW w:w="1197" w:type="dxa"/>
          </w:tcPr>
          <w:p w14:paraId="2383B13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E328C8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446196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049F9C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1014F2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A46FDB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08007D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62013A3F" w14:textId="77777777" w:rsidTr="00257F65">
        <w:tc>
          <w:tcPr>
            <w:tcW w:w="1197" w:type="dxa"/>
          </w:tcPr>
          <w:p w14:paraId="02A341E2"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أعتقد أن ديتول يواصل التحسن </w:t>
            </w:r>
          </w:p>
        </w:tc>
        <w:tc>
          <w:tcPr>
            <w:tcW w:w="1197" w:type="dxa"/>
          </w:tcPr>
          <w:p w14:paraId="4C231D5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A29932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800573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01F2E4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7401ED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1EBA99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38D517D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5B71BD77" w14:textId="77777777" w:rsidTr="00257F65">
        <w:tc>
          <w:tcPr>
            <w:tcW w:w="1197" w:type="dxa"/>
          </w:tcPr>
          <w:p w14:paraId="64246F3B"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اتا مع ديتول لأنه يمكنني الاعتماد عليه </w:t>
            </w:r>
          </w:p>
        </w:tc>
        <w:tc>
          <w:tcPr>
            <w:tcW w:w="1197" w:type="dxa"/>
          </w:tcPr>
          <w:p w14:paraId="64CC1D4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58CD7E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743BD5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CC2A4B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234F31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45E9C9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5CA906A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7D1FF483" w14:textId="77777777" w:rsidTr="00257F65">
        <w:tc>
          <w:tcPr>
            <w:tcW w:w="1197" w:type="dxa"/>
          </w:tcPr>
          <w:p w14:paraId="357E54EC"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أشعر بالتعلق بديتول </w:t>
            </w:r>
          </w:p>
        </w:tc>
        <w:tc>
          <w:tcPr>
            <w:tcW w:w="1197" w:type="dxa"/>
          </w:tcPr>
          <w:p w14:paraId="4A8CC1A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4ED9D9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AC3DB6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6C61DE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975BBA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4AD9B6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32F000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2E915783" w14:textId="77777777" w:rsidTr="00257F65">
        <w:tc>
          <w:tcPr>
            <w:tcW w:w="1197" w:type="dxa"/>
          </w:tcPr>
          <w:p w14:paraId="4DF430BD"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اعتقد ان ديتول تشارك المعلومات معي بشفافية </w:t>
            </w:r>
          </w:p>
        </w:tc>
        <w:tc>
          <w:tcPr>
            <w:tcW w:w="1197" w:type="dxa"/>
          </w:tcPr>
          <w:p w14:paraId="2BFE92E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056BCB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A92FB5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3C2302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BBDE3F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EDF638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1AFB1CE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64DCF31D" w14:textId="77777777" w:rsidTr="00257F65">
        <w:tc>
          <w:tcPr>
            <w:tcW w:w="1197" w:type="dxa"/>
          </w:tcPr>
          <w:p w14:paraId="18D704E6"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لدي تفاعل متبادل و مستمر مع ديتول </w:t>
            </w:r>
          </w:p>
        </w:tc>
        <w:tc>
          <w:tcPr>
            <w:tcW w:w="1197" w:type="dxa"/>
          </w:tcPr>
          <w:p w14:paraId="0BE3A9E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7F994D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CCF4C4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7AF042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03F58C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93ED4B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6A73505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74346CF5" w14:textId="77777777" w:rsidTr="00257F65">
        <w:tc>
          <w:tcPr>
            <w:tcW w:w="1197" w:type="dxa"/>
          </w:tcPr>
          <w:p w14:paraId="0B678883"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أود أن أصف ديتول بأنه منتج لطيف </w:t>
            </w:r>
          </w:p>
        </w:tc>
        <w:tc>
          <w:tcPr>
            <w:tcW w:w="1197" w:type="dxa"/>
          </w:tcPr>
          <w:p w14:paraId="1DECCF6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0DE472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A5CE37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88DF69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93A9DF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8CB81D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024034C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13321227" w14:textId="77777777" w:rsidTr="00257F65">
        <w:tc>
          <w:tcPr>
            <w:tcW w:w="1197" w:type="dxa"/>
          </w:tcPr>
          <w:p w14:paraId="1A44F097"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أود أن أقول إن ديتول منتج ودود </w:t>
            </w:r>
          </w:p>
        </w:tc>
        <w:tc>
          <w:tcPr>
            <w:tcW w:w="1197" w:type="dxa"/>
          </w:tcPr>
          <w:p w14:paraId="61CE858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AE5807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17ED2D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96C3C8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85A010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FE5123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31F8070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0625ED90" w14:textId="77777777" w:rsidTr="00257F65">
        <w:tc>
          <w:tcPr>
            <w:tcW w:w="1197" w:type="dxa"/>
          </w:tcPr>
          <w:p w14:paraId="02EF12A7"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أود أن أقول إن ديتول منتج جذاب </w:t>
            </w:r>
          </w:p>
        </w:tc>
        <w:tc>
          <w:tcPr>
            <w:tcW w:w="1197" w:type="dxa"/>
          </w:tcPr>
          <w:p w14:paraId="28AB31C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AA1D0C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CD41EB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0AB2EF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234B2F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AC15D6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572A204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7CE1780A" w14:textId="77777777" w:rsidTr="00257F65">
        <w:tc>
          <w:tcPr>
            <w:tcW w:w="1197" w:type="dxa"/>
          </w:tcPr>
          <w:p w14:paraId="78175AA4"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 سأطلب النصيحة من ديتول لأن الشركه لديها معلومات </w:t>
            </w:r>
          </w:p>
        </w:tc>
        <w:tc>
          <w:tcPr>
            <w:tcW w:w="1197" w:type="dxa"/>
          </w:tcPr>
          <w:p w14:paraId="32FD41A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8CCC27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24C3EE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2169D5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89F79B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90C0F4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1EB4104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52BD21E2" w14:textId="77777777" w:rsidTr="00257F65">
        <w:tc>
          <w:tcPr>
            <w:tcW w:w="1197" w:type="dxa"/>
          </w:tcPr>
          <w:p w14:paraId="70C70853"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اعتقد أن يتمتع ديتول بمستوى عالٍ من النزاهة </w:t>
            </w:r>
          </w:p>
        </w:tc>
        <w:tc>
          <w:tcPr>
            <w:tcW w:w="1197" w:type="dxa"/>
          </w:tcPr>
          <w:p w14:paraId="1E97393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A79A29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75FE8A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56E22E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D3E64B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DA9B38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52599BD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5F6D1706" w14:textId="77777777" w:rsidTr="00257F65">
        <w:tc>
          <w:tcPr>
            <w:tcW w:w="1197" w:type="dxa"/>
          </w:tcPr>
          <w:p w14:paraId="3CC9C893"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بشكل عام ، أنا أوافق على ديتول </w:t>
            </w:r>
          </w:p>
        </w:tc>
        <w:tc>
          <w:tcPr>
            <w:tcW w:w="1197" w:type="dxa"/>
          </w:tcPr>
          <w:p w14:paraId="2420715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BA8EA7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A37216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00A692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A6FED9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2FB2C4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8DD5E0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3E36607B" w14:textId="77777777" w:rsidTr="00257F65">
        <w:tc>
          <w:tcPr>
            <w:tcW w:w="1197" w:type="dxa"/>
          </w:tcPr>
          <w:p w14:paraId="771921E9"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أشعر بالبهجة عند التسوق لشراء ديتول </w:t>
            </w:r>
          </w:p>
        </w:tc>
        <w:tc>
          <w:tcPr>
            <w:tcW w:w="1197" w:type="dxa"/>
          </w:tcPr>
          <w:p w14:paraId="1A36D49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48682E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7583D1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F2C9A8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D30508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18D588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268B047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59A0561F" w14:textId="77777777" w:rsidTr="00257F65">
        <w:tc>
          <w:tcPr>
            <w:tcW w:w="1197" w:type="dxa"/>
          </w:tcPr>
          <w:p w14:paraId="47203692"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ديتول يعتني بكل شيء من أجلي </w:t>
            </w:r>
          </w:p>
        </w:tc>
        <w:tc>
          <w:tcPr>
            <w:tcW w:w="1197" w:type="dxa"/>
          </w:tcPr>
          <w:p w14:paraId="39DA662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A8D4A8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970A92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21733E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F2E4DB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E67BBB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C9A61A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0016C2FF" w14:textId="77777777" w:rsidTr="00257F65">
        <w:tc>
          <w:tcPr>
            <w:tcW w:w="1197" w:type="dxa"/>
          </w:tcPr>
          <w:p w14:paraId="7714CE08"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أنا ممتن لخدمات ديتول </w:t>
            </w:r>
          </w:p>
        </w:tc>
        <w:tc>
          <w:tcPr>
            <w:tcW w:w="1197" w:type="dxa"/>
          </w:tcPr>
          <w:p w14:paraId="743102E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748B39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B1E0B0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A99283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0A798D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89E92E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0676368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bl>
    <w:p w14:paraId="04435DF9" w14:textId="77777777" w:rsidR="00882F28" w:rsidRPr="00E71B8A" w:rsidRDefault="00882F28" w:rsidP="00882F28">
      <w:pPr>
        <w:jc w:val="right"/>
        <w:rPr>
          <w:rFonts w:asciiTheme="majorBidi" w:hAnsiTheme="majorBidi" w:cstheme="majorBidi"/>
          <w:sz w:val="24"/>
          <w:szCs w:val="24"/>
          <w:lang w:bidi="ar-EG"/>
        </w:rPr>
      </w:pPr>
    </w:p>
    <w:p w14:paraId="2778C8D1" w14:textId="77777777" w:rsidR="00882F28" w:rsidRPr="00E71B8A" w:rsidRDefault="00882F28" w:rsidP="00882F28">
      <w:pPr>
        <w:jc w:val="right"/>
        <w:rPr>
          <w:rFonts w:asciiTheme="majorBidi" w:hAnsiTheme="majorBidi" w:cstheme="majorBidi"/>
          <w:sz w:val="24"/>
          <w:szCs w:val="24"/>
          <w:lang w:bidi="ar-EG"/>
        </w:rPr>
      </w:pPr>
    </w:p>
    <w:p w14:paraId="5FBCB343" w14:textId="77777777" w:rsidR="00882F28" w:rsidRPr="00E71B8A" w:rsidRDefault="00882F28" w:rsidP="00882F28">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br w:type="page"/>
      </w:r>
    </w:p>
    <w:p w14:paraId="653607F3" w14:textId="77777777" w:rsidR="00882F28" w:rsidRPr="00E71B8A" w:rsidRDefault="00882F28" w:rsidP="00882F28">
      <w:pPr>
        <w:jc w:val="right"/>
        <w:rPr>
          <w:rFonts w:asciiTheme="majorBidi" w:hAnsiTheme="majorBidi" w:cstheme="majorBidi"/>
          <w:sz w:val="24"/>
          <w:szCs w:val="24"/>
          <w:lang w:bidi="ar-EG"/>
        </w:rPr>
      </w:pPr>
    </w:p>
    <w:p w14:paraId="64DBE3B8"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س16 </w:t>
      </w:r>
      <w:r w:rsidRPr="00E71B8A">
        <w:rPr>
          <w:rFonts w:asciiTheme="majorBidi" w:hAnsiTheme="majorBidi" w:cstheme="majorBidi"/>
          <w:sz w:val="24"/>
          <w:szCs w:val="24"/>
          <w:lang w:bidi="ar-EG"/>
        </w:rPr>
        <w:br/>
        <w:t>بنائا على إعلان ديتول الذي شاهدته للتو ، هل توافق أو ترفض على العبارات التالية؟</w:t>
      </w:r>
    </w:p>
    <w:tbl>
      <w:tblPr>
        <w:tblStyle w:val="QQuestionTable1"/>
        <w:tblW w:w="9576" w:type="auto"/>
        <w:tblLook w:val="07E0" w:firstRow="1" w:lastRow="1" w:firstColumn="1" w:lastColumn="1" w:noHBand="1" w:noVBand="1"/>
      </w:tblPr>
      <w:tblGrid>
        <w:gridCol w:w="1155"/>
        <w:gridCol w:w="1117"/>
        <w:gridCol w:w="1117"/>
        <w:gridCol w:w="1117"/>
        <w:gridCol w:w="1130"/>
        <w:gridCol w:w="1130"/>
        <w:gridCol w:w="1130"/>
        <w:gridCol w:w="1130"/>
      </w:tblGrid>
      <w:tr w:rsidR="00882F28" w:rsidRPr="00E71B8A" w14:paraId="6052ED36" w14:textId="77777777" w:rsidTr="00257F65">
        <w:trPr>
          <w:cnfStyle w:val="100000000000" w:firstRow="1" w:lastRow="0" w:firstColumn="0" w:lastColumn="0" w:oddVBand="0" w:evenVBand="0" w:oddHBand="0" w:evenHBand="0" w:firstRowFirstColumn="0" w:firstRowLastColumn="0" w:lastRowFirstColumn="0" w:lastRowLastColumn="0"/>
        </w:trPr>
        <w:tc>
          <w:tcPr>
            <w:tcW w:w="1197" w:type="dxa"/>
          </w:tcPr>
          <w:p w14:paraId="62BC0001" w14:textId="77777777" w:rsidR="00882F28" w:rsidRPr="00E71B8A" w:rsidRDefault="00882F28" w:rsidP="00257F65">
            <w:pPr>
              <w:keepNext/>
              <w:jc w:val="right"/>
              <w:rPr>
                <w:rFonts w:asciiTheme="majorBidi" w:hAnsiTheme="majorBidi" w:cstheme="majorBidi"/>
                <w:sz w:val="24"/>
                <w:szCs w:val="24"/>
                <w:lang w:bidi="ar-EG"/>
              </w:rPr>
            </w:pPr>
          </w:p>
        </w:tc>
        <w:tc>
          <w:tcPr>
            <w:tcW w:w="1197" w:type="dxa"/>
          </w:tcPr>
          <w:p w14:paraId="6159115C"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أوافق بشدة  </w:t>
            </w:r>
          </w:p>
        </w:tc>
        <w:tc>
          <w:tcPr>
            <w:tcW w:w="1197" w:type="dxa"/>
          </w:tcPr>
          <w:p w14:paraId="30FBDEF3"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w:t>
            </w:r>
          </w:p>
        </w:tc>
        <w:tc>
          <w:tcPr>
            <w:tcW w:w="1197" w:type="dxa"/>
          </w:tcPr>
          <w:p w14:paraId="49A4D2AA"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 إلى حد ما</w:t>
            </w:r>
          </w:p>
        </w:tc>
        <w:tc>
          <w:tcPr>
            <w:tcW w:w="1197" w:type="dxa"/>
          </w:tcPr>
          <w:p w14:paraId="53329B0C"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لا أوافق و لا أرفض</w:t>
            </w:r>
          </w:p>
        </w:tc>
        <w:tc>
          <w:tcPr>
            <w:tcW w:w="1197" w:type="dxa"/>
          </w:tcPr>
          <w:p w14:paraId="57730CA6"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 إلى حد ما</w:t>
            </w:r>
          </w:p>
        </w:tc>
        <w:tc>
          <w:tcPr>
            <w:tcW w:w="1197" w:type="dxa"/>
          </w:tcPr>
          <w:p w14:paraId="73B92EB8"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w:t>
            </w:r>
          </w:p>
        </w:tc>
        <w:tc>
          <w:tcPr>
            <w:cnfStyle w:val="000100000000" w:firstRow="0" w:lastRow="0" w:firstColumn="0" w:lastColumn="1" w:oddVBand="0" w:evenVBand="0" w:oddHBand="0" w:evenHBand="0" w:firstRowFirstColumn="0" w:firstRowLastColumn="0" w:lastRowFirstColumn="0" w:lastRowLastColumn="0"/>
            <w:tcW w:w="1197" w:type="dxa"/>
          </w:tcPr>
          <w:p w14:paraId="224230B2"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ارفض بشدة</w:t>
            </w:r>
          </w:p>
        </w:tc>
      </w:tr>
      <w:tr w:rsidR="00882F28" w:rsidRPr="00E71B8A" w14:paraId="4BD13EB6" w14:textId="77777777" w:rsidTr="00257F65">
        <w:tc>
          <w:tcPr>
            <w:tcW w:w="1197" w:type="dxa"/>
          </w:tcPr>
          <w:p w14:paraId="68631492"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اشعر أن هناك "توافق" طبيعي بيني وبين ديتول </w:t>
            </w:r>
          </w:p>
        </w:tc>
        <w:tc>
          <w:tcPr>
            <w:tcW w:w="1197" w:type="dxa"/>
          </w:tcPr>
          <w:p w14:paraId="3C190AB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7BCFAF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7F5234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2567E0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B2DD7B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8B8728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070E54A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0B15C412" w14:textId="77777777" w:rsidTr="00257F65">
        <w:tc>
          <w:tcPr>
            <w:tcW w:w="1197" w:type="dxa"/>
          </w:tcPr>
          <w:p w14:paraId="355FBBFC"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يبدو أن ديتول يناسب ذوقي بشكل مثالي </w:t>
            </w:r>
          </w:p>
        </w:tc>
        <w:tc>
          <w:tcPr>
            <w:tcW w:w="1197" w:type="dxa"/>
          </w:tcPr>
          <w:p w14:paraId="34BB93A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B1C571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945FD0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D07B53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BBF5B5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71EFA9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2A7FFCE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4DC345AC" w14:textId="77777777" w:rsidTr="00257F65">
        <w:tc>
          <w:tcPr>
            <w:tcW w:w="1197" w:type="dxa"/>
          </w:tcPr>
          <w:p w14:paraId="5D0FA913"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أشعر بالارتباط العاطفي بديتول </w:t>
            </w:r>
          </w:p>
        </w:tc>
        <w:tc>
          <w:tcPr>
            <w:tcW w:w="1197" w:type="dxa"/>
          </w:tcPr>
          <w:p w14:paraId="3CD6232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E0E920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005567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7D1C13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4EDE2C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5219B9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655A217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56B8700E" w14:textId="77777777" w:rsidTr="00257F65">
        <w:tc>
          <w:tcPr>
            <w:tcW w:w="1197" w:type="dxa"/>
          </w:tcPr>
          <w:p w14:paraId="5754B717"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أشعر بالارتباط العاطفي بديتول </w:t>
            </w:r>
          </w:p>
        </w:tc>
        <w:tc>
          <w:tcPr>
            <w:tcW w:w="1197" w:type="dxa"/>
          </w:tcPr>
          <w:p w14:paraId="6800E4D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558E7A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EBAA9D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A123FE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92932A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C88953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2ED2594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3B21ADB9" w14:textId="77777777" w:rsidTr="00257F65">
        <w:tc>
          <w:tcPr>
            <w:tcW w:w="1197" w:type="dxa"/>
          </w:tcPr>
          <w:p w14:paraId="7CAFB2CE"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أشعر أن لدي "رابط" مع ديتول </w:t>
            </w:r>
          </w:p>
        </w:tc>
        <w:tc>
          <w:tcPr>
            <w:tcW w:w="1197" w:type="dxa"/>
          </w:tcPr>
          <w:p w14:paraId="7B6B945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92722E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D73BD0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C27BB1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B4048E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C38A12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38B1E9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bl>
    <w:p w14:paraId="16125977" w14:textId="77777777" w:rsidR="00882F28" w:rsidRPr="00E71B8A" w:rsidRDefault="00882F28" w:rsidP="00882F28">
      <w:pPr>
        <w:jc w:val="right"/>
        <w:rPr>
          <w:rFonts w:asciiTheme="majorBidi" w:hAnsiTheme="majorBidi" w:cstheme="majorBidi"/>
          <w:sz w:val="24"/>
          <w:szCs w:val="24"/>
          <w:lang w:bidi="ar-EG"/>
        </w:rPr>
      </w:pPr>
    </w:p>
    <w:p w14:paraId="58FEFA1A" w14:textId="77777777" w:rsidR="00882F28" w:rsidRPr="00E71B8A" w:rsidRDefault="00882F28" w:rsidP="00882F28">
      <w:pPr>
        <w:jc w:val="right"/>
        <w:rPr>
          <w:rFonts w:asciiTheme="majorBidi" w:hAnsiTheme="majorBidi" w:cstheme="majorBidi"/>
          <w:sz w:val="24"/>
          <w:szCs w:val="24"/>
          <w:lang w:bidi="ar-EG"/>
        </w:rPr>
      </w:pPr>
    </w:p>
    <w:p w14:paraId="48CDA969" w14:textId="77777777" w:rsidR="00882F28" w:rsidRPr="00E71B8A" w:rsidRDefault="00882F28" w:rsidP="00882F28">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br w:type="page"/>
      </w:r>
    </w:p>
    <w:p w14:paraId="14E9058D" w14:textId="77777777" w:rsidR="00882F28" w:rsidRPr="00E71B8A" w:rsidRDefault="00882F28" w:rsidP="00882F28">
      <w:pPr>
        <w:jc w:val="right"/>
        <w:rPr>
          <w:rFonts w:asciiTheme="majorBidi" w:hAnsiTheme="majorBidi" w:cstheme="majorBidi"/>
          <w:sz w:val="24"/>
          <w:szCs w:val="24"/>
          <w:lang w:bidi="ar-EG"/>
        </w:rPr>
      </w:pPr>
    </w:p>
    <w:p w14:paraId="4A86B4FC"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س17 </w:t>
      </w:r>
      <w:r w:rsidRPr="00E71B8A">
        <w:rPr>
          <w:rFonts w:asciiTheme="majorBidi" w:hAnsiTheme="majorBidi" w:cstheme="majorBidi"/>
          <w:sz w:val="24"/>
          <w:szCs w:val="24"/>
          <w:lang w:bidi="ar-EG"/>
        </w:rPr>
        <w:br/>
        <w:t>بنائا على إعلان ديتول الذي شاهدته للتو ، هل توافق أو ترفض على العبارات التالية؟</w:t>
      </w:r>
    </w:p>
    <w:tbl>
      <w:tblPr>
        <w:tblStyle w:val="QQuestionTable1"/>
        <w:tblW w:w="9576" w:type="auto"/>
        <w:tblLook w:val="07E0" w:firstRow="1" w:lastRow="1" w:firstColumn="1" w:lastColumn="1" w:noHBand="1" w:noVBand="1"/>
      </w:tblPr>
      <w:tblGrid>
        <w:gridCol w:w="1144"/>
        <w:gridCol w:w="1120"/>
        <w:gridCol w:w="1119"/>
        <w:gridCol w:w="1119"/>
        <w:gridCol w:w="1131"/>
        <w:gridCol w:w="1131"/>
        <w:gridCol w:w="1131"/>
        <w:gridCol w:w="1131"/>
      </w:tblGrid>
      <w:tr w:rsidR="00882F28" w:rsidRPr="00E71B8A" w14:paraId="5AC9EE5C" w14:textId="77777777" w:rsidTr="00257F65">
        <w:trPr>
          <w:cnfStyle w:val="100000000000" w:firstRow="1" w:lastRow="0" w:firstColumn="0" w:lastColumn="0" w:oddVBand="0" w:evenVBand="0" w:oddHBand="0" w:evenHBand="0" w:firstRowFirstColumn="0" w:firstRowLastColumn="0" w:lastRowFirstColumn="0" w:lastRowLastColumn="0"/>
        </w:trPr>
        <w:tc>
          <w:tcPr>
            <w:tcW w:w="1197" w:type="dxa"/>
          </w:tcPr>
          <w:p w14:paraId="2CD9FB51" w14:textId="77777777" w:rsidR="00882F28" w:rsidRPr="00E71B8A" w:rsidRDefault="00882F28" w:rsidP="00257F65">
            <w:pPr>
              <w:keepNext/>
              <w:jc w:val="right"/>
              <w:rPr>
                <w:rFonts w:asciiTheme="majorBidi" w:hAnsiTheme="majorBidi" w:cstheme="majorBidi"/>
                <w:sz w:val="24"/>
                <w:szCs w:val="24"/>
                <w:lang w:bidi="ar-EG"/>
              </w:rPr>
            </w:pPr>
          </w:p>
        </w:tc>
        <w:tc>
          <w:tcPr>
            <w:tcW w:w="1197" w:type="dxa"/>
          </w:tcPr>
          <w:p w14:paraId="418B2F1D"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أوافق بشدة  </w:t>
            </w:r>
          </w:p>
        </w:tc>
        <w:tc>
          <w:tcPr>
            <w:tcW w:w="1197" w:type="dxa"/>
          </w:tcPr>
          <w:p w14:paraId="139B3977"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w:t>
            </w:r>
          </w:p>
        </w:tc>
        <w:tc>
          <w:tcPr>
            <w:tcW w:w="1197" w:type="dxa"/>
          </w:tcPr>
          <w:p w14:paraId="44F83A1C"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 إلى حد ما</w:t>
            </w:r>
          </w:p>
        </w:tc>
        <w:tc>
          <w:tcPr>
            <w:tcW w:w="1197" w:type="dxa"/>
          </w:tcPr>
          <w:p w14:paraId="01DA20A3"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لا أوافق و لا أرفض</w:t>
            </w:r>
          </w:p>
        </w:tc>
        <w:tc>
          <w:tcPr>
            <w:tcW w:w="1197" w:type="dxa"/>
          </w:tcPr>
          <w:p w14:paraId="2822C63D"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 إلى حد ما</w:t>
            </w:r>
          </w:p>
        </w:tc>
        <w:tc>
          <w:tcPr>
            <w:tcW w:w="1197" w:type="dxa"/>
          </w:tcPr>
          <w:p w14:paraId="591BCE67"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w:t>
            </w:r>
          </w:p>
        </w:tc>
        <w:tc>
          <w:tcPr>
            <w:cnfStyle w:val="000100000000" w:firstRow="0" w:lastRow="0" w:firstColumn="0" w:lastColumn="1" w:oddVBand="0" w:evenVBand="0" w:oddHBand="0" w:evenHBand="0" w:firstRowFirstColumn="0" w:firstRowLastColumn="0" w:lastRowFirstColumn="0" w:lastRowLastColumn="0"/>
            <w:tcW w:w="1197" w:type="dxa"/>
          </w:tcPr>
          <w:p w14:paraId="1ACA37C3"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ارفض بشدة</w:t>
            </w:r>
          </w:p>
        </w:tc>
      </w:tr>
      <w:tr w:rsidR="00882F28" w:rsidRPr="00E71B8A" w14:paraId="7980B08C" w14:textId="77777777" w:rsidTr="00257F65">
        <w:tc>
          <w:tcPr>
            <w:tcW w:w="1197" w:type="dxa"/>
          </w:tcPr>
          <w:p w14:paraId="0FCA13F2"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ديتول لا يخيب ظني أبدا </w:t>
            </w:r>
          </w:p>
        </w:tc>
        <w:tc>
          <w:tcPr>
            <w:tcW w:w="1197" w:type="dxa"/>
          </w:tcPr>
          <w:p w14:paraId="566BDA3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29E7B3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4EAD38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FC1283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03014A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F961D1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CE7F3C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088CC7F7" w14:textId="77777777" w:rsidTr="00257F65">
        <w:tc>
          <w:tcPr>
            <w:tcW w:w="1197" w:type="dxa"/>
          </w:tcPr>
          <w:p w14:paraId="5901EA16"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ديتول يضمن رضائي </w:t>
            </w:r>
          </w:p>
        </w:tc>
        <w:tc>
          <w:tcPr>
            <w:tcW w:w="1197" w:type="dxa"/>
          </w:tcPr>
          <w:p w14:paraId="397E385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A434B9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2B8140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AE6575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1B29BC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C0EC09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D001E0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5CAC7362" w14:textId="77777777" w:rsidTr="00257F65">
        <w:tc>
          <w:tcPr>
            <w:tcW w:w="1197" w:type="dxa"/>
          </w:tcPr>
          <w:p w14:paraId="1BE004E8"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أشعر بالثقة تجاه ديتول </w:t>
            </w:r>
          </w:p>
        </w:tc>
        <w:tc>
          <w:tcPr>
            <w:tcW w:w="1197" w:type="dxa"/>
          </w:tcPr>
          <w:p w14:paraId="7C28F84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AC94D8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7B0F603"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ADA981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F0ABE9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A3EA53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7053DF5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66500F03" w14:textId="77777777" w:rsidTr="00257F65">
        <w:tc>
          <w:tcPr>
            <w:tcW w:w="1197" w:type="dxa"/>
          </w:tcPr>
          <w:p w14:paraId="5ED361D3"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جودة ديتول متسقة للغاية </w:t>
            </w:r>
          </w:p>
        </w:tc>
        <w:tc>
          <w:tcPr>
            <w:tcW w:w="1197" w:type="dxa"/>
          </w:tcPr>
          <w:p w14:paraId="6E5CB2B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541193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D71C4E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09C7F8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ED455A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2E79135"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38BA836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bl>
    <w:p w14:paraId="285CC4F3" w14:textId="77777777" w:rsidR="00882F28" w:rsidRPr="00E71B8A" w:rsidRDefault="00882F28" w:rsidP="00882F28">
      <w:pPr>
        <w:jc w:val="right"/>
        <w:rPr>
          <w:rFonts w:asciiTheme="majorBidi" w:hAnsiTheme="majorBidi" w:cstheme="majorBidi"/>
          <w:sz w:val="24"/>
          <w:szCs w:val="24"/>
          <w:lang w:bidi="ar-EG"/>
        </w:rPr>
      </w:pPr>
    </w:p>
    <w:p w14:paraId="09FC7679" w14:textId="77777777" w:rsidR="00882F28" w:rsidRPr="00E71B8A" w:rsidRDefault="00882F28" w:rsidP="00882F28">
      <w:pPr>
        <w:jc w:val="right"/>
        <w:rPr>
          <w:rFonts w:asciiTheme="majorBidi" w:hAnsiTheme="majorBidi" w:cstheme="majorBidi"/>
          <w:sz w:val="24"/>
          <w:szCs w:val="24"/>
          <w:lang w:bidi="ar-EG"/>
        </w:rPr>
      </w:pPr>
    </w:p>
    <w:p w14:paraId="3559AB6B" w14:textId="77777777" w:rsidR="00882F28" w:rsidRPr="00E71B8A" w:rsidRDefault="00882F28" w:rsidP="00882F28">
      <w:pPr>
        <w:rPr>
          <w:rFonts w:asciiTheme="majorBidi" w:hAnsiTheme="majorBidi" w:cstheme="majorBidi"/>
          <w:sz w:val="24"/>
          <w:szCs w:val="24"/>
          <w:lang w:bidi="ar-EG"/>
        </w:rPr>
      </w:pPr>
    </w:p>
    <w:p w14:paraId="4C11E8D5"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س18 </w:t>
      </w:r>
      <w:r w:rsidRPr="00E71B8A">
        <w:rPr>
          <w:rFonts w:asciiTheme="majorBidi" w:hAnsiTheme="majorBidi" w:cstheme="majorBidi"/>
          <w:sz w:val="24"/>
          <w:szCs w:val="24"/>
          <w:lang w:bidi="ar-EG"/>
        </w:rPr>
        <w:br/>
        <w:t>بنائا على إعلان ديتول الذي شاهدته للتو ، هل توافق أو ترفض على العبارات التالية؟</w:t>
      </w:r>
    </w:p>
    <w:tbl>
      <w:tblPr>
        <w:tblStyle w:val="QQuestionTable1"/>
        <w:tblW w:w="9576" w:type="auto"/>
        <w:tblLook w:val="07E0" w:firstRow="1" w:lastRow="1" w:firstColumn="1" w:lastColumn="1" w:noHBand="1" w:noVBand="1"/>
      </w:tblPr>
      <w:tblGrid>
        <w:gridCol w:w="1376"/>
        <w:gridCol w:w="1082"/>
        <w:gridCol w:w="1082"/>
        <w:gridCol w:w="1082"/>
        <w:gridCol w:w="1101"/>
        <w:gridCol w:w="1101"/>
        <w:gridCol w:w="1101"/>
        <w:gridCol w:w="1101"/>
      </w:tblGrid>
      <w:tr w:rsidR="00882F28" w:rsidRPr="00E71B8A" w14:paraId="22A30924" w14:textId="77777777" w:rsidTr="00257F65">
        <w:trPr>
          <w:cnfStyle w:val="100000000000" w:firstRow="1" w:lastRow="0" w:firstColumn="0" w:lastColumn="0" w:oddVBand="0" w:evenVBand="0" w:oddHBand="0" w:evenHBand="0" w:firstRowFirstColumn="0" w:firstRowLastColumn="0" w:lastRowFirstColumn="0" w:lastRowLastColumn="0"/>
        </w:trPr>
        <w:tc>
          <w:tcPr>
            <w:tcW w:w="1197" w:type="dxa"/>
          </w:tcPr>
          <w:p w14:paraId="661E1FB9" w14:textId="77777777" w:rsidR="00882F28" w:rsidRPr="00E71B8A" w:rsidRDefault="00882F28" w:rsidP="00257F65">
            <w:pPr>
              <w:keepNext/>
              <w:jc w:val="right"/>
              <w:rPr>
                <w:rFonts w:asciiTheme="majorBidi" w:hAnsiTheme="majorBidi" w:cstheme="majorBidi"/>
                <w:sz w:val="24"/>
                <w:szCs w:val="24"/>
                <w:lang w:bidi="ar-EG"/>
              </w:rPr>
            </w:pPr>
          </w:p>
        </w:tc>
        <w:tc>
          <w:tcPr>
            <w:tcW w:w="1197" w:type="dxa"/>
          </w:tcPr>
          <w:p w14:paraId="2CB3EF13"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أوافق بشدة  </w:t>
            </w:r>
          </w:p>
        </w:tc>
        <w:tc>
          <w:tcPr>
            <w:tcW w:w="1197" w:type="dxa"/>
          </w:tcPr>
          <w:p w14:paraId="0DE770D7"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w:t>
            </w:r>
          </w:p>
        </w:tc>
        <w:tc>
          <w:tcPr>
            <w:tcW w:w="1197" w:type="dxa"/>
          </w:tcPr>
          <w:p w14:paraId="02E09FC8"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أوافق إلى حد ما</w:t>
            </w:r>
          </w:p>
        </w:tc>
        <w:tc>
          <w:tcPr>
            <w:tcW w:w="1197" w:type="dxa"/>
          </w:tcPr>
          <w:p w14:paraId="7E5E6D8E"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لا أوافق و لا أرفض</w:t>
            </w:r>
          </w:p>
        </w:tc>
        <w:tc>
          <w:tcPr>
            <w:tcW w:w="1197" w:type="dxa"/>
          </w:tcPr>
          <w:p w14:paraId="079DDFBF"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 إلى حد ما</w:t>
            </w:r>
          </w:p>
        </w:tc>
        <w:tc>
          <w:tcPr>
            <w:tcW w:w="1197" w:type="dxa"/>
          </w:tcPr>
          <w:p w14:paraId="4E9D4FDE"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أرفض</w:t>
            </w:r>
          </w:p>
        </w:tc>
        <w:tc>
          <w:tcPr>
            <w:cnfStyle w:val="000100000000" w:firstRow="0" w:lastRow="0" w:firstColumn="0" w:lastColumn="1" w:oddVBand="0" w:evenVBand="0" w:oddHBand="0" w:evenHBand="0" w:firstRowFirstColumn="0" w:firstRowLastColumn="0" w:lastRowFirstColumn="0" w:lastRowLastColumn="0"/>
            <w:tcW w:w="1197" w:type="dxa"/>
          </w:tcPr>
          <w:p w14:paraId="040DDB4F" w14:textId="77777777" w:rsidR="00882F28" w:rsidRPr="00E71B8A" w:rsidRDefault="00882F28" w:rsidP="00257F65">
            <w:pPr>
              <w:jc w:val="right"/>
              <w:rPr>
                <w:rFonts w:asciiTheme="majorBidi" w:hAnsiTheme="majorBidi" w:cstheme="majorBidi"/>
                <w:sz w:val="24"/>
                <w:szCs w:val="24"/>
                <w:lang w:bidi="ar-EG"/>
              </w:rPr>
            </w:pPr>
            <w:r w:rsidRPr="00E71B8A">
              <w:rPr>
                <w:rFonts w:asciiTheme="majorBidi" w:hAnsiTheme="majorBidi" w:cstheme="majorBidi"/>
                <w:sz w:val="24"/>
                <w:szCs w:val="24"/>
                <w:lang w:bidi="ar-EG"/>
              </w:rPr>
              <w:t>ارفض بشدة</w:t>
            </w:r>
          </w:p>
        </w:tc>
      </w:tr>
      <w:tr w:rsidR="00882F28" w:rsidRPr="00E71B8A" w14:paraId="08114FE0" w14:textId="77777777" w:rsidTr="00257F65">
        <w:tc>
          <w:tcPr>
            <w:tcW w:w="1197" w:type="dxa"/>
          </w:tcPr>
          <w:p w14:paraId="63A280B2"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سأفكر في شراء ديتول </w:t>
            </w:r>
          </w:p>
        </w:tc>
        <w:tc>
          <w:tcPr>
            <w:tcW w:w="1197" w:type="dxa"/>
          </w:tcPr>
          <w:p w14:paraId="6C30059A"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953D61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048EE9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8F7216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BCA408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919F3B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13A6FBA9"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50481366" w14:textId="77777777" w:rsidTr="00257F65">
        <w:tc>
          <w:tcPr>
            <w:tcW w:w="1197" w:type="dxa"/>
          </w:tcPr>
          <w:p w14:paraId="1B31F0CF"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ab/>
              <w:t xml:space="preserve">أنوي أن اجرب ديتول </w:t>
            </w:r>
          </w:p>
        </w:tc>
        <w:tc>
          <w:tcPr>
            <w:tcW w:w="1197" w:type="dxa"/>
          </w:tcPr>
          <w:p w14:paraId="65F0040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43D7375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271EFC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80948FD"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741F09E"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7B8CE0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47C4499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4D9FA9B7" w14:textId="77777777" w:rsidTr="00257F65">
        <w:tc>
          <w:tcPr>
            <w:tcW w:w="1197" w:type="dxa"/>
          </w:tcPr>
          <w:p w14:paraId="781D1F52"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انا اخطط لشراء </w:t>
            </w:r>
          </w:p>
        </w:tc>
        <w:tc>
          <w:tcPr>
            <w:tcW w:w="1197" w:type="dxa"/>
          </w:tcPr>
          <w:p w14:paraId="104782E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274AF6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179EF1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6DD5212F"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24670954"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1FDD9BB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13AC21F7"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r w:rsidR="00882F28" w:rsidRPr="00E71B8A" w14:paraId="440CD48E" w14:textId="77777777" w:rsidTr="00257F65">
        <w:tc>
          <w:tcPr>
            <w:tcW w:w="1197" w:type="dxa"/>
          </w:tcPr>
          <w:p w14:paraId="013EB909" w14:textId="77777777" w:rsidR="00882F28" w:rsidRPr="00E71B8A" w:rsidRDefault="00882F28" w:rsidP="00257F65">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أنا مهتم بتجربة ديتول </w:t>
            </w:r>
          </w:p>
        </w:tc>
        <w:tc>
          <w:tcPr>
            <w:tcW w:w="1197" w:type="dxa"/>
          </w:tcPr>
          <w:p w14:paraId="5E4D42CB"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5084C40"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3A6204C6"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5D5DEB62"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771BE511"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tcW w:w="1197" w:type="dxa"/>
          </w:tcPr>
          <w:p w14:paraId="042FAE8C"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c>
          <w:tcPr>
            <w:cnfStyle w:val="000100000000" w:firstRow="0" w:lastRow="0" w:firstColumn="0" w:lastColumn="1" w:oddVBand="0" w:evenVBand="0" w:oddHBand="0" w:evenHBand="0" w:firstRowFirstColumn="0" w:firstRowLastColumn="0" w:lastRowFirstColumn="0" w:lastRowLastColumn="0"/>
            <w:tcW w:w="1197" w:type="dxa"/>
          </w:tcPr>
          <w:p w14:paraId="3447DD98" w14:textId="77777777" w:rsidR="00882F28" w:rsidRPr="00E71B8A" w:rsidRDefault="00882F28">
            <w:pPr>
              <w:pStyle w:val="ListParagraph"/>
              <w:keepNext/>
              <w:numPr>
                <w:ilvl w:val="0"/>
                <w:numId w:val="29"/>
              </w:numPr>
              <w:contextualSpacing w:val="0"/>
              <w:jc w:val="right"/>
              <w:rPr>
                <w:rFonts w:asciiTheme="majorBidi" w:hAnsiTheme="majorBidi" w:cstheme="majorBidi"/>
                <w:sz w:val="24"/>
                <w:szCs w:val="24"/>
                <w:lang w:bidi="ar-EG"/>
              </w:rPr>
            </w:pPr>
          </w:p>
        </w:tc>
      </w:tr>
    </w:tbl>
    <w:p w14:paraId="3B43183D" w14:textId="77777777" w:rsidR="00882F28" w:rsidRPr="00E71B8A" w:rsidRDefault="00882F28" w:rsidP="00882F28">
      <w:pPr>
        <w:jc w:val="right"/>
        <w:rPr>
          <w:rFonts w:asciiTheme="majorBidi" w:hAnsiTheme="majorBidi" w:cstheme="majorBidi"/>
          <w:sz w:val="24"/>
          <w:szCs w:val="24"/>
          <w:lang w:bidi="ar-EG"/>
        </w:rPr>
      </w:pPr>
    </w:p>
    <w:p w14:paraId="1805AF09" w14:textId="77777777" w:rsidR="00882F28" w:rsidRPr="00E71B8A" w:rsidRDefault="00882F28" w:rsidP="00882F28">
      <w:pPr>
        <w:jc w:val="right"/>
        <w:rPr>
          <w:rFonts w:asciiTheme="majorBidi" w:hAnsiTheme="majorBidi" w:cstheme="majorBidi"/>
          <w:sz w:val="24"/>
          <w:szCs w:val="24"/>
          <w:lang w:bidi="ar-EG"/>
        </w:rPr>
      </w:pPr>
    </w:p>
    <w:p w14:paraId="2D189BB3"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س19</w:t>
      </w:r>
    </w:p>
    <w:p w14:paraId="2419FB0B"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br/>
        <w:t>كم عمرك؟ الرجاء الكتابة أدناه</w:t>
      </w:r>
    </w:p>
    <w:p w14:paraId="60C9A761" w14:textId="77777777" w:rsidR="00882F28" w:rsidRPr="00E71B8A" w:rsidRDefault="00882F28" w:rsidP="00882F28">
      <w:pPr>
        <w:jc w:val="right"/>
        <w:rPr>
          <w:rFonts w:asciiTheme="majorBidi" w:hAnsiTheme="majorBidi" w:cstheme="majorBidi"/>
          <w:sz w:val="24"/>
          <w:szCs w:val="24"/>
          <w:lang w:bidi="ar-EG"/>
        </w:rPr>
      </w:pPr>
    </w:p>
    <w:p w14:paraId="332724B5"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س20 </w:t>
      </w:r>
      <w:r w:rsidRPr="00E71B8A">
        <w:rPr>
          <w:rFonts w:asciiTheme="majorBidi" w:hAnsiTheme="majorBidi" w:cstheme="majorBidi"/>
          <w:sz w:val="24"/>
          <w:szCs w:val="24"/>
          <w:lang w:bidi="ar-EG"/>
        </w:rPr>
        <w:br/>
        <w:t>ما هو مستواك التعليمي؟</w:t>
      </w:r>
    </w:p>
    <w:p w14:paraId="7FB7FFE1"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لم اتلق تعليم مدرسي </w:t>
      </w:r>
    </w:p>
    <w:p w14:paraId="50E0498E"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تعليم مدرسي </w:t>
      </w:r>
    </w:p>
    <w:p w14:paraId="4772BF4D"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ثانوية عام </w:t>
      </w:r>
    </w:p>
    <w:p w14:paraId="1821CA56"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بكالوريس </w:t>
      </w:r>
    </w:p>
    <w:p w14:paraId="635C0527" w14:textId="77777777" w:rsidR="00882F28"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شهادة عليا  </w:t>
      </w:r>
    </w:p>
    <w:p w14:paraId="5C3EA70C" w14:textId="77777777" w:rsidR="00882F28" w:rsidRPr="00B23CF0"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p>
    <w:p w14:paraId="6A9B5731"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س21 </w:t>
      </w:r>
      <w:r w:rsidRPr="00E71B8A">
        <w:rPr>
          <w:rFonts w:asciiTheme="majorBidi" w:hAnsiTheme="majorBidi" w:cstheme="majorBidi"/>
          <w:sz w:val="24"/>
          <w:szCs w:val="24"/>
          <w:lang w:bidi="ar-EG"/>
        </w:rPr>
        <w:br/>
        <w:t>ما هو مستوى دخلك الشهري بالجنيه المصري؟</w:t>
      </w:r>
    </w:p>
    <w:p w14:paraId="646CD8DA"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أقل من 2,384 </w:t>
      </w:r>
    </w:p>
    <w:p w14:paraId="3EC80C2C"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2,385 – 6,333</w:t>
      </w:r>
    </w:p>
    <w:p w14:paraId="1B87B9D2"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6,334 – 10,897 </w:t>
      </w:r>
    </w:p>
    <w:p w14:paraId="40F06BDB"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10,898 – 16,558 </w:t>
      </w:r>
    </w:p>
    <w:p w14:paraId="62667DBC"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16,559 – 22,306 </w:t>
      </w:r>
    </w:p>
    <w:p w14:paraId="10F27296"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22,307 – 45,120</w:t>
      </w:r>
    </w:p>
    <w:p w14:paraId="40229D70" w14:textId="77777777" w:rsidR="00882F28" w:rsidRPr="00B23CF0"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اكثر من 45,120 </w:t>
      </w:r>
    </w:p>
    <w:p w14:paraId="0AFEAD54" w14:textId="77777777" w:rsidR="00882F28" w:rsidRPr="00E71B8A" w:rsidRDefault="00882F28" w:rsidP="00882F28">
      <w:pPr>
        <w:keepNext/>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س22 </w:t>
      </w:r>
      <w:r w:rsidRPr="00E71B8A">
        <w:rPr>
          <w:rFonts w:asciiTheme="majorBidi" w:hAnsiTheme="majorBidi" w:cstheme="majorBidi"/>
          <w:sz w:val="24"/>
          <w:szCs w:val="24"/>
          <w:lang w:bidi="ar-EG"/>
        </w:rPr>
        <w:br/>
        <w:t> ما هي مهنتك ؟</w:t>
      </w:r>
    </w:p>
    <w:p w14:paraId="674C289C"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مسؤول كبير أو مدير </w:t>
      </w:r>
    </w:p>
    <w:p w14:paraId="6FBED23E"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احترافي </w:t>
      </w:r>
    </w:p>
    <w:p w14:paraId="0694921B"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فني أو  مساعد محترف </w:t>
      </w:r>
    </w:p>
    <w:p w14:paraId="0CB5D9C6"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موظف ملفات </w:t>
      </w:r>
    </w:p>
    <w:p w14:paraId="37702ABE"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عامل ماهر أو عامل مبيعات في سوق أو متجر </w:t>
      </w:r>
    </w:p>
    <w:p w14:paraId="65247C22"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عامل ماهر في الزراعة وصيد الأسماك </w:t>
      </w:r>
    </w:p>
    <w:p w14:paraId="43BB1EA2"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عامل تجارة حرفية </w:t>
      </w:r>
    </w:p>
    <w:p w14:paraId="7C931779"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مشغل المصنع أو الآلات </w:t>
      </w:r>
    </w:p>
    <w:p w14:paraId="31F86901"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مهنة بدائيه </w:t>
      </w:r>
    </w:p>
    <w:p w14:paraId="21E12282" w14:textId="77777777" w:rsidR="00882F28" w:rsidRPr="00E71B8A" w:rsidRDefault="00882F28">
      <w:pPr>
        <w:pStyle w:val="ListParagraph"/>
        <w:keepNext/>
        <w:numPr>
          <w:ilvl w:val="0"/>
          <w:numId w:val="29"/>
        </w:numPr>
        <w:spacing w:after="0" w:line="276" w:lineRule="auto"/>
        <w:contextualSpacing w:val="0"/>
        <w:jc w:val="right"/>
        <w:rPr>
          <w:rFonts w:asciiTheme="majorBidi" w:hAnsiTheme="majorBidi" w:cstheme="majorBidi"/>
          <w:sz w:val="24"/>
          <w:szCs w:val="24"/>
          <w:lang w:bidi="ar-EG"/>
        </w:rPr>
      </w:pPr>
      <w:r w:rsidRPr="00E71B8A">
        <w:rPr>
          <w:rFonts w:asciiTheme="majorBidi" w:hAnsiTheme="majorBidi" w:cstheme="majorBidi"/>
          <w:sz w:val="24"/>
          <w:szCs w:val="24"/>
          <w:lang w:bidi="ar-EG"/>
        </w:rPr>
        <w:t xml:space="preserve">لا أعمل </w:t>
      </w:r>
    </w:p>
    <w:p w14:paraId="10FD50DF" w14:textId="77777777" w:rsidR="00882F28" w:rsidRPr="00E71B8A" w:rsidRDefault="00882F28" w:rsidP="00F97916">
      <w:pPr>
        <w:rPr>
          <w:rFonts w:asciiTheme="majorBidi" w:hAnsiTheme="majorBidi" w:cstheme="majorBidi"/>
          <w:sz w:val="24"/>
          <w:szCs w:val="24"/>
          <w:lang w:bidi="ar-EG"/>
        </w:rPr>
      </w:pPr>
    </w:p>
    <w:p w14:paraId="61142D83" w14:textId="77777777" w:rsidR="00882F28" w:rsidRPr="00B23CF0" w:rsidRDefault="00882F28" w:rsidP="00882F28">
      <w:pPr>
        <w:jc w:val="right"/>
        <w:rPr>
          <w:rFonts w:asciiTheme="majorBidi" w:hAnsiTheme="majorBidi" w:cstheme="majorBidi"/>
          <w:sz w:val="24"/>
          <w:szCs w:val="24"/>
          <w:lang w:bidi="ar-EG"/>
        </w:rPr>
      </w:pPr>
      <w:r w:rsidRPr="00B23CF0">
        <w:rPr>
          <w:rFonts w:asciiTheme="majorBidi" w:hAnsiTheme="majorBidi" w:cstheme="majorBidi"/>
          <w:sz w:val="24"/>
          <w:szCs w:val="24"/>
          <w:lang w:bidi="ar-EG"/>
        </w:rPr>
        <w:t>س23</w:t>
      </w:r>
    </w:p>
    <w:p w14:paraId="5E22E4C3" w14:textId="77777777" w:rsidR="00882F28" w:rsidRPr="00B23CF0" w:rsidRDefault="00882F28" w:rsidP="00882F28">
      <w:pPr>
        <w:jc w:val="right"/>
        <w:rPr>
          <w:rFonts w:asciiTheme="majorBidi" w:hAnsiTheme="majorBidi" w:cstheme="majorBidi"/>
          <w:sz w:val="24"/>
          <w:szCs w:val="24"/>
          <w:lang w:bidi="ar-EG"/>
        </w:rPr>
      </w:pPr>
      <w:r w:rsidRPr="00B23CF0">
        <w:rPr>
          <w:rFonts w:asciiTheme="majorBidi" w:hAnsiTheme="majorBidi" w:cstheme="majorBidi"/>
          <w:sz w:val="24"/>
          <w:szCs w:val="24"/>
          <w:lang w:bidi="ar-EG"/>
        </w:rPr>
        <w:t>.شكرا لإجاباتك</w:t>
      </w:r>
    </w:p>
    <w:p w14:paraId="7BAEF570" w14:textId="77777777" w:rsidR="00882F28" w:rsidRPr="00B23CF0" w:rsidRDefault="00882F28" w:rsidP="00882F28">
      <w:pPr>
        <w:jc w:val="right"/>
        <w:rPr>
          <w:rFonts w:asciiTheme="majorBidi" w:hAnsiTheme="majorBidi" w:cstheme="majorBidi"/>
          <w:sz w:val="24"/>
          <w:szCs w:val="24"/>
          <w:lang w:bidi="ar-EG"/>
        </w:rPr>
      </w:pPr>
      <w:r w:rsidRPr="00B23CF0">
        <w:rPr>
          <w:rFonts w:asciiTheme="majorBidi" w:hAnsiTheme="majorBidi" w:cstheme="majorBidi"/>
          <w:sz w:val="24"/>
          <w:szCs w:val="24"/>
          <w:lang w:bidi="ar-EG"/>
        </w:rPr>
        <w:t>ستتطلب المرحلة التالية اجراء مقابلة لمدة 40 دقيقة كحد أقصى ستتم المقابلة في غضون أسبوعين تقريبً</w:t>
      </w:r>
    </w:p>
    <w:p w14:paraId="020AB969" w14:textId="77777777" w:rsidR="00882F28" w:rsidRPr="00B23CF0" w:rsidRDefault="00882F28" w:rsidP="00882F28">
      <w:pPr>
        <w:jc w:val="right"/>
        <w:rPr>
          <w:rFonts w:asciiTheme="majorBidi" w:hAnsiTheme="majorBidi" w:cstheme="majorBidi"/>
          <w:sz w:val="24"/>
          <w:szCs w:val="24"/>
          <w:lang w:bidi="ar-EG"/>
        </w:rPr>
      </w:pPr>
      <w:r w:rsidRPr="00B23CF0">
        <w:rPr>
          <w:rFonts w:asciiTheme="majorBidi" w:hAnsiTheme="majorBidi" w:cstheme="majorBidi"/>
          <w:sz w:val="24"/>
          <w:szCs w:val="24"/>
          <w:lang w:bidi="ar-EG"/>
        </w:rPr>
        <w:t>سأكون ممتنه للغاية إذا كنت على استعداد للمشاركة. إذا كنت ترغب في ذلك، سأرسل لك بريدًا إلكترونيًا لترتيب تاريخ ووقت لإجراء</w:t>
      </w:r>
    </w:p>
    <w:p w14:paraId="70779E06" w14:textId="77777777" w:rsidR="00882F28" w:rsidRDefault="00882F28" w:rsidP="00F97916">
      <w:pPr>
        <w:keepNext/>
        <w:jc w:val="center"/>
        <w:rPr>
          <w:rFonts w:asciiTheme="majorBidi" w:hAnsiTheme="majorBidi" w:cstheme="majorBidi"/>
          <w:color w:val="000000" w:themeColor="text1"/>
          <w:sz w:val="24"/>
          <w:szCs w:val="24"/>
        </w:rPr>
      </w:pPr>
    </w:p>
    <w:p w14:paraId="37F644D1" w14:textId="77777777" w:rsidR="00882F28" w:rsidRDefault="00882F28" w:rsidP="00F97916">
      <w:pPr>
        <w:keepNext/>
        <w:jc w:val="center"/>
        <w:rPr>
          <w:rFonts w:asciiTheme="majorBidi" w:hAnsiTheme="majorBidi" w:cstheme="majorBidi"/>
          <w:color w:val="000000" w:themeColor="text1"/>
          <w:sz w:val="24"/>
          <w:szCs w:val="24"/>
        </w:rPr>
      </w:pPr>
    </w:p>
    <w:p w14:paraId="7DBAE169" w14:textId="77777777" w:rsidR="00882F28" w:rsidRDefault="00882F28" w:rsidP="00F97916">
      <w:pPr>
        <w:keepNext/>
        <w:jc w:val="center"/>
        <w:rPr>
          <w:rFonts w:asciiTheme="majorBidi" w:hAnsiTheme="majorBidi" w:cstheme="majorBidi"/>
          <w:color w:val="000000" w:themeColor="text1"/>
          <w:sz w:val="24"/>
          <w:szCs w:val="24"/>
        </w:rPr>
      </w:pPr>
    </w:p>
    <w:p w14:paraId="05667109" w14:textId="77777777" w:rsidR="00882F28" w:rsidRDefault="00882F28" w:rsidP="00F97916">
      <w:pPr>
        <w:keepNext/>
        <w:jc w:val="center"/>
        <w:rPr>
          <w:rFonts w:asciiTheme="majorBidi" w:hAnsiTheme="majorBidi" w:cstheme="majorBidi"/>
          <w:color w:val="000000" w:themeColor="text1"/>
          <w:sz w:val="24"/>
          <w:szCs w:val="24"/>
        </w:rPr>
      </w:pPr>
    </w:p>
    <w:p w14:paraId="460B0B5C" w14:textId="77777777" w:rsidR="00882F28" w:rsidRDefault="00882F28" w:rsidP="00F97916">
      <w:pPr>
        <w:keepNext/>
        <w:jc w:val="center"/>
        <w:rPr>
          <w:rFonts w:asciiTheme="majorBidi" w:hAnsiTheme="majorBidi" w:cstheme="majorBidi"/>
          <w:color w:val="000000" w:themeColor="text1"/>
          <w:sz w:val="24"/>
          <w:szCs w:val="24"/>
        </w:rPr>
      </w:pPr>
    </w:p>
    <w:p w14:paraId="30BF9EE4" w14:textId="77777777" w:rsidR="00882F28" w:rsidRDefault="00882F28" w:rsidP="00F97916">
      <w:pPr>
        <w:keepNext/>
        <w:jc w:val="center"/>
        <w:rPr>
          <w:rFonts w:asciiTheme="majorBidi" w:hAnsiTheme="majorBidi" w:cstheme="majorBidi"/>
          <w:color w:val="000000" w:themeColor="text1"/>
          <w:sz w:val="24"/>
          <w:szCs w:val="24"/>
        </w:rPr>
      </w:pPr>
    </w:p>
    <w:p w14:paraId="423F5BD5" w14:textId="77777777" w:rsidR="00882F28" w:rsidRDefault="00882F28" w:rsidP="00F97916">
      <w:pPr>
        <w:keepNext/>
        <w:jc w:val="center"/>
        <w:rPr>
          <w:rFonts w:asciiTheme="majorBidi" w:hAnsiTheme="majorBidi" w:cstheme="majorBidi"/>
          <w:color w:val="000000" w:themeColor="text1"/>
          <w:sz w:val="24"/>
          <w:szCs w:val="24"/>
        </w:rPr>
      </w:pPr>
    </w:p>
    <w:p w14:paraId="13B2CD67" w14:textId="77777777" w:rsidR="00882F28" w:rsidRDefault="00882F28" w:rsidP="00F97916">
      <w:pPr>
        <w:keepNext/>
        <w:jc w:val="center"/>
        <w:rPr>
          <w:rFonts w:asciiTheme="majorBidi" w:hAnsiTheme="majorBidi" w:cstheme="majorBidi"/>
          <w:color w:val="000000" w:themeColor="text1"/>
          <w:sz w:val="24"/>
          <w:szCs w:val="24"/>
        </w:rPr>
      </w:pPr>
    </w:p>
    <w:p w14:paraId="4D7EA5C9" w14:textId="77777777" w:rsidR="00882F28" w:rsidRDefault="00882F28" w:rsidP="00F97916">
      <w:pPr>
        <w:keepNext/>
        <w:jc w:val="center"/>
        <w:rPr>
          <w:rFonts w:asciiTheme="majorBidi" w:hAnsiTheme="majorBidi" w:cstheme="majorBidi"/>
          <w:color w:val="000000" w:themeColor="text1"/>
          <w:sz w:val="24"/>
          <w:szCs w:val="24"/>
        </w:rPr>
      </w:pPr>
    </w:p>
    <w:p w14:paraId="0EAAE0CC" w14:textId="77777777" w:rsidR="00882F28" w:rsidRDefault="00882F28" w:rsidP="00F97916">
      <w:pPr>
        <w:keepNext/>
        <w:jc w:val="center"/>
        <w:rPr>
          <w:rFonts w:asciiTheme="majorBidi" w:hAnsiTheme="majorBidi" w:cstheme="majorBidi"/>
          <w:color w:val="000000" w:themeColor="text1"/>
          <w:sz w:val="24"/>
          <w:szCs w:val="24"/>
        </w:rPr>
      </w:pPr>
    </w:p>
    <w:p w14:paraId="4C7E9E3E" w14:textId="77777777" w:rsidR="00882F28" w:rsidRDefault="00882F28" w:rsidP="00F97916">
      <w:pPr>
        <w:keepNext/>
        <w:jc w:val="center"/>
        <w:rPr>
          <w:rFonts w:asciiTheme="majorBidi" w:hAnsiTheme="majorBidi" w:cstheme="majorBidi"/>
          <w:color w:val="000000" w:themeColor="text1"/>
          <w:sz w:val="24"/>
          <w:szCs w:val="24"/>
        </w:rPr>
      </w:pPr>
    </w:p>
    <w:p w14:paraId="308989D7" w14:textId="77777777" w:rsidR="00882F28" w:rsidRDefault="00882F28" w:rsidP="00F97916">
      <w:pPr>
        <w:keepNext/>
        <w:rPr>
          <w:rFonts w:asciiTheme="majorBidi" w:hAnsiTheme="majorBidi" w:cstheme="majorBidi"/>
          <w:color w:val="000000" w:themeColor="text1"/>
          <w:sz w:val="24"/>
          <w:szCs w:val="24"/>
        </w:rPr>
      </w:pPr>
    </w:p>
    <w:p w14:paraId="5BF542E2" w14:textId="77777777" w:rsidR="00F97916" w:rsidRDefault="00F97916" w:rsidP="00F97916">
      <w:pPr>
        <w:keepNext/>
        <w:jc w:val="center"/>
        <w:rPr>
          <w:rFonts w:asciiTheme="majorBidi" w:hAnsiTheme="majorBidi" w:cstheme="majorBidi"/>
          <w:color w:val="000000" w:themeColor="text1"/>
          <w:sz w:val="24"/>
          <w:szCs w:val="24"/>
        </w:rPr>
      </w:pPr>
    </w:p>
    <w:p w14:paraId="71C8AC3D" w14:textId="77777777" w:rsidR="00F97916" w:rsidRDefault="00F97916" w:rsidP="00F97916">
      <w:pPr>
        <w:keepNext/>
        <w:jc w:val="center"/>
        <w:rPr>
          <w:rFonts w:asciiTheme="majorBidi" w:hAnsiTheme="majorBidi" w:cstheme="majorBidi"/>
          <w:color w:val="000000" w:themeColor="text1"/>
          <w:sz w:val="24"/>
          <w:szCs w:val="24"/>
        </w:rPr>
      </w:pPr>
    </w:p>
    <w:p w14:paraId="3419B812" w14:textId="5EC812E3" w:rsidR="00882F28" w:rsidRPr="002F4481" w:rsidRDefault="00882F28" w:rsidP="002F4481">
      <w:pPr>
        <w:keepNext/>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r>
      <w:r w:rsidR="00F97916">
        <w:rPr>
          <w:rFonts w:asciiTheme="majorBidi" w:hAnsiTheme="majorBidi" w:cstheme="majorBidi"/>
          <w:color w:val="000000" w:themeColor="text1"/>
          <w:sz w:val="24"/>
          <w:szCs w:val="24"/>
        </w:rPr>
        <w:br/>
      </w:r>
      <w:r w:rsidRPr="00F97916">
        <w:rPr>
          <w:rFonts w:asciiTheme="majorBidi" w:hAnsiTheme="majorBidi" w:cstheme="majorBidi"/>
          <w:b/>
          <w:bCs/>
          <w:color w:val="FFFFFF" w:themeColor="background1"/>
          <w:sz w:val="24"/>
          <w:szCs w:val="24"/>
        </w:rPr>
        <w:t>E</w:t>
      </w:r>
    </w:p>
    <w:p w14:paraId="01D1A337" w14:textId="77777777" w:rsidR="002F4481" w:rsidRDefault="002F4481">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br w:type="page"/>
      </w:r>
    </w:p>
    <w:p w14:paraId="59B7588A" w14:textId="3C897EC8" w:rsidR="00882F28" w:rsidRPr="00B23CF0" w:rsidRDefault="00F97916" w:rsidP="00882F28">
      <w:pPr>
        <w:jc w:val="center"/>
        <w:rPr>
          <w:rFonts w:asciiTheme="majorBidi" w:hAnsiTheme="majorBidi" w:cstheme="majorBidi"/>
          <w:color w:val="000000" w:themeColor="text1"/>
          <w:sz w:val="24"/>
          <w:szCs w:val="24"/>
        </w:rPr>
      </w:pPr>
      <w:r w:rsidRPr="00F97916">
        <w:rPr>
          <w:rFonts w:asciiTheme="majorBidi" w:hAnsiTheme="majorBidi" w:cstheme="majorBidi"/>
          <w:b/>
          <w:bCs/>
          <w:color w:val="000000" w:themeColor="text1"/>
          <w:sz w:val="24"/>
          <w:szCs w:val="24"/>
        </w:rPr>
        <w:t>Appendix E</w:t>
      </w:r>
      <w:r>
        <w:rPr>
          <w:rFonts w:asciiTheme="majorBidi" w:hAnsiTheme="majorBidi" w:cstheme="majorBidi"/>
          <w:color w:val="000000" w:themeColor="text1"/>
          <w:sz w:val="24"/>
          <w:szCs w:val="24"/>
        </w:rPr>
        <w:br/>
      </w:r>
      <w:r w:rsidR="00882F28" w:rsidRPr="00B23CF0">
        <w:rPr>
          <w:rFonts w:asciiTheme="majorBidi" w:hAnsiTheme="majorBidi" w:cstheme="majorBidi"/>
          <w:color w:val="000000" w:themeColor="text1"/>
          <w:sz w:val="24"/>
          <w:szCs w:val="24"/>
        </w:rPr>
        <w:t>Interview Guide</w:t>
      </w:r>
    </w:p>
    <w:p w14:paraId="69CC8357" w14:textId="77777777" w:rsidR="00882F28" w:rsidRPr="00B23CF0" w:rsidRDefault="00882F28" w:rsidP="00882F28">
      <w:pPr>
        <w:rPr>
          <w:rFonts w:asciiTheme="majorBidi" w:hAnsiTheme="majorBidi" w:cstheme="majorBidi"/>
          <w:b/>
          <w:bCs/>
          <w:color w:val="000000" w:themeColor="text1"/>
        </w:rPr>
      </w:pPr>
      <w:r w:rsidRPr="00B23CF0">
        <w:rPr>
          <w:rFonts w:asciiTheme="majorBidi" w:hAnsiTheme="majorBidi" w:cstheme="majorBidi"/>
          <w:b/>
          <w:bCs/>
          <w:color w:val="000000" w:themeColor="text1"/>
        </w:rPr>
        <w:t>Introduction and Consent</w:t>
      </w:r>
    </w:p>
    <w:p w14:paraId="65D79F4F" w14:textId="77777777" w:rsidR="00882F28" w:rsidRPr="00B23CF0" w:rsidRDefault="00882F28" w:rsidP="00882F28">
      <w:pPr>
        <w:rPr>
          <w:rFonts w:asciiTheme="majorBidi" w:hAnsiTheme="majorBidi" w:cstheme="majorBidi"/>
          <w:color w:val="000000" w:themeColor="text1"/>
        </w:rPr>
      </w:pPr>
    </w:p>
    <w:p w14:paraId="1C077976"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Thank you for agreeing to participate in this interview. My name is Nashwa, I am conducting this interview as part of my research for my PhD program at London South Bank University. The main objective of this interview is to learn about your opinion on CSR communication launched by multinational companies for consumer products in Egypt. This interview will take 45 minutes to 1 hour. Please feel free to express your opinion freely as there is no right or wrong answer. Also, please note that you can withdraw at any time and you do not need to answer any of the questions if you are not comfortable with them.</w:t>
      </w:r>
    </w:p>
    <w:p w14:paraId="65CB5C96" w14:textId="77777777" w:rsidR="00882F28" w:rsidRPr="00B23CF0" w:rsidRDefault="00882F28" w:rsidP="00882F28">
      <w:pPr>
        <w:rPr>
          <w:rFonts w:asciiTheme="majorBidi" w:hAnsiTheme="majorBidi" w:cstheme="majorBidi"/>
          <w:color w:val="000000" w:themeColor="text1"/>
        </w:rPr>
      </w:pPr>
    </w:p>
    <w:p w14:paraId="45ABD396"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 xml:space="preserve">With your permission, this interview will be recorded for my reference to listen to the information again later. This recording will be securely stored in a password-protected place and I will be the only person that accesses it. Please note that some of the phrases that you say might be quoted and used anonymously in the final paper that might be published in publicly accessible journals. However, it is not a problem if you don’t want or if you are not comfortable, we can end this interview. </w:t>
      </w:r>
    </w:p>
    <w:p w14:paraId="6BE10D50" w14:textId="77777777" w:rsidR="00882F28" w:rsidRPr="00B23CF0" w:rsidRDefault="00882F28" w:rsidP="00882F28">
      <w:pPr>
        <w:rPr>
          <w:rFonts w:asciiTheme="majorBidi" w:hAnsiTheme="majorBidi" w:cstheme="majorBidi"/>
          <w:color w:val="000000" w:themeColor="text1"/>
        </w:rPr>
      </w:pPr>
    </w:p>
    <w:p w14:paraId="33C89E83" w14:textId="77777777" w:rsidR="00882F28" w:rsidRPr="00B23CF0" w:rsidRDefault="00882F28">
      <w:pPr>
        <w:pStyle w:val="ListParagraph"/>
        <w:widowControl w:val="0"/>
        <w:numPr>
          <w:ilvl w:val="0"/>
          <w:numId w:val="30"/>
        </w:numPr>
        <w:autoSpaceDE w:val="0"/>
        <w:autoSpaceDN w:val="0"/>
        <w:spacing w:before="90" w:after="0" w:line="240"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Do you agree to the above? </w:t>
      </w:r>
    </w:p>
    <w:p w14:paraId="3275E986" w14:textId="77777777" w:rsidR="00882F28" w:rsidRPr="00B23CF0" w:rsidRDefault="00882F28" w:rsidP="00882F28">
      <w:pPr>
        <w:rPr>
          <w:rFonts w:asciiTheme="majorBidi" w:hAnsiTheme="majorBidi" w:cstheme="majorBidi"/>
          <w:color w:val="000000" w:themeColor="text1"/>
        </w:rPr>
      </w:pPr>
    </w:p>
    <w:p w14:paraId="708C7CAA"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 xml:space="preserve">If yes, then let’s proceed. </w:t>
      </w:r>
    </w:p>
    <w:p w14:paraId="58976E6E" w14:textId="77777777" w:rsidR="00882F28" w:rsidRPr="00B23CF0" w:rsidRDefault="00882F28" w:rsidP="00882F28">
      <w:pPr>
        <w:rPr>
          <w:rFonts w:asciiTheme="majorBidi" w:hAnsiTheme="majorBidi" w:cstheme="majorBidi"/>
          <w:color w:val="000000" w:themeColor="text1"/>
        </w:rPr>
      </w:pPr>
    </w:p>
    <w:p w14:paraId="447468B9" w14:textId="77777777" w:rsidR="00882F28" w:rsidRPr="00B23CF0" w:rsidRDefault="00882F28" w:rsidP="00882F28">
      <w:pPr>
        <w:rPr>
          <w:rFonts w:asciiTheme="majorBidi" w:hAnsiTheme="majorBidi" w:cstheme="majorBidi"/>
          <w:b/>
          <w:bCs/>
          <w:color w:val="000000" w:themeColor="text1"/>
          <w:lang w:bidi="ar-EG"/>
        </w:rPr>
      </w:pPr>
      <w:r w:rsidRPr="00B23CF0">
        <w:rPr>
          <w:rFonts w:asciiTheme="majorBidi" w:hAnsiTheme="majorBidi" w:cstheme="majorBidi"/>
          <w:b/>
          <w:bCs/>
          <w:color w:val="000000" w:themeColor="text1"/>
        </w:rPr>
        <w:t xml:space="preserve">Icebreaking </w:t>
      </w:r>
    </w:p>
    <w:p w14:paraId="40E2573A"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What’s your name and what do you do for a living?  Khaled Romeh </w:t>
      </w:r>
    </w:p>
    <w:p w14:paraId="463913A0" w14:textId="77777777" w:rsidR="00882F28" w:rsidRPr="00B23CF0" w:rsidRDefault="00882F28" w:rsidP="00882F28">
      <w:pPr>
        <w:pStyle w:val="ListParagraph"/>
        <w:ind w:left="643"/>
        <w:rPr>
          <w:rFonts w:asciiTheme="majorBidi" w:hAnsiTheme="majorBidi" w:cstheme="majorBidi"/>
          <w:color w:val="000000" w:themeColor="text1"/>
        </w:rPr>
      </w:pPr>
      <w:r w:rsidRPr="00B23CF0">
        <w:rPr>
          <w:rFonts w:asciiTheme="majorBidi" w:hAnsiTheme="majorBidi" w:cstheme="majorBidi"/>
          <w:color w:val="000000" w:themeColor="text1"/>
        </w:rPr>
        <w:br/>
      </w:r>
    </w:p>
    <w:p w14:paraId="16B2CCE0"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What are some of your hobbies or things you do in your free time?  </w:t>
      </w:r>
    </w:p>
    <w:p w14:paraId="646A687E"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How do you learn about brands and products? How do you find out which products and brands are better than others or about new brands and products? </w:t>
      </w:r>
    </w:p>
    <w:p w14:paraId="61378FAD" w14:textId="77777777" w:rsidR="00882F28" w:rsidRPr="00B23CF0" w:rsidRDefault="00882F28">
      <w:pPr>
        <w:pStyle w:val="ListParagraph"/>
        <w:widowControl w:val="0"/>
        <w:numPr>
          <w:ilvl w:val="0"/>
          <w:numId w:val="30"/>
        </w:numPr>
        <w:autoSpaceDE w:val="0"/>
        <w:autoSpaceDN w:val="0"/>
        <w:spacing w:before="90" w:after="0" w:line="240"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CSR, Corporate Social Responsibility, what comes to your mind when you hear this term? </w:t>
      </w:r>
    </w:p>
    <w:p w14:paraId="2B8FBAE3" w14:textId="77777777" w:rsidR="00882F28" w:rsidRPr="00B23CF0" w:rsidRDefault="00882F28" w:rsidP="00882F28">
      <w:pPr>
        <w:ind w:left="283"/>
        <w:rPr>
          <w:rFonts w:asciiTheme="majorBidi" w:hAnsiTheme="majorBidi" w:cstheme="majorBidi"/>
          <w:color w:val="000000" w:themeColor="text1"/>
        </w:rPr>
      </w:pPr>
      <w:r w:rsidRPr="00B23CF0">
        <w:rPr>
          <w:rFonts w:asciiTheme="majorBidi" w:hAnsiTheme="majorBidi" w:cstheme="majorBidi"/>
          <w:color w:val="000000" w:themeColor="text1"/>
        </w:rPr>
        <w:t>Corporate Social Responsibility refers to the strategies and activities that multinational companies do for the benefit of society and the environment. For example, launching environment-friendly products, donating part of the profits to charitable organizations, or building a free clinic for poor people in Egypt.</w:t>
      </w:r>
    </w:p>
    <w:p w14:paraId="4401648A" w14:textId="77777777" w:rsidR="00882F28" w:rsidRPr="00B23CF0" w:rsidRDefault="00882F28" w:rsidP="00882F28">
      <w:pPr>
        <w:pStyle w:val="ListParagraph"/>
        <w:ind w:left="643"/>
        <w:rPr>
          <w:rFonts w:asciiTheme="majorBidi" w:hAnsiTheme="majorBidi" w:cstheme="majorBidi"/>
          <w:color w:val="000000" w:themeColor="text1"/>
        </w:rPr>
      </w:pPr>
    </w:p>
    <w:p w14:paraId="047AE651" w14:textId="77777777" w:rsidR="00882F28" w:rsidRPr="00B23CF0" w:rsidRDefault="00882F28" w:rsidP="00882F28">
      <w:pPr>
        <w:rPr>
          <w:rFonts w:asciiTheme="majorBidi" w:hAnsiTheme="majorBidi" w:cstheme="majorBidi"/>
          <w:color w:val="000000" w:themeColor="text1"/>
        </w:rPr>
      </w:pPr>
    </w:p>
    <w:p w14:paraId="79E25F47"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 xml:space="preserve">Thank you for participating in the earlier questionnaire. I would like to ask you a few questions about the advert that you saw in that questionnaire and some other adverts that other people saw. I will show you now the ad that you saw in the questionnaire. </w:t>
      </w:r>
    </w:p>
    <w:p w14:paraId="7C6E2D49" w14:textId="77777777" w:rsidR="00882F28" w:rsidRPr="00B23CF0" w:rsidRDefault="00882F28" w:rsidP="00882F28">
      <w:pPr>
        <w:rPr>
          <w:rFonts w:asciiTheme="majorBidi" w:hAnsiTheme="majorBidi" w:cstheme="majorBidi"/>
          <w:color w:val="000000" w:themeColor="text1"/>
        </w:rPr>
      </w:pPr>
    </w:p>
    <w:p w14:paraId="29CC4B86"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CSR TV Ad</w:t>
      </w:r>
    </w:p>
    <w:p w14:paraId="1D7A0CDA"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what are your views on this ad? </w:t>
      </w:r>
    </w:p>
    <w:p w14:paraId="6E4BD15F" w14:textId="77777777" w:rsidR="00882F28" w:rsidRPr="00B23CF0" w:rsidRDefault="00882F28" w:rsidP="00882F28">
      <w:pPr>
        <w:ind w:left="283"/>
        <w:rPr>
          <w:rFonts w:asciiTheme="majorBidi" w:hAnsiTheme="majorBidi" w:cstheme="majorBidi"/>
          <w:color w:val="000000" w:themeColor="text1"/>
        </w:rPr>
      </w:pPr>
      <w:r w:rsidRPr="00B23CF0">
        <w:rPr>
          <w:rFonts w:asciiTheme="majorBidi" w:hAnsiTheme="majorBidi" w:cstheme="majorBidi"/>
          <w:color w:val="000000" w:themeColor="text1"/>
        </w:rPr>
        <w:t>What do you like or dislike about it?</w:t>
      </w:r>
    </w:p>
    <w:p w14:paraId="6DAC22F8"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Would that ad make you want to buy the product? Why so?</w:t>
      </w:r>
    </w:p>
    <w:p w14:paraId="7FC66EDD"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Would you prefer to see it on TV or on social media? Why so? </w:t>
      </w:r>
    </w:p>
    <w:p w14:paraId="7A980E57" w14:textId="77777777" w:rsidR="00882F28" w:rsidRPr="00B23CF0" w:rsidRDefault="00882F28" w:rsidP="00882F28">
      <w:pPr>
        <w:pStyle w:val="ListParagraph"/>
        <w:ind w:left="643"/>
        <w:rPr>
          <w:rFonts w:asciiTheme="majorBidi" w:hAnsiTheme="majorBidi" w:cstheme="majorBidi"/>
          <w:color w:val="000000" w:themeColor="text1"/>
        </w:rPr>
      </w:pPr>
    </w:p>
    <w:p w14:paraId="366B1BC3"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 xml:space="preserve">I will now show you another Ad from Dettol and ask you some questions after it. </w:t>
      </w:r>
    </w:p>
    <w:p w14:paraId="4614E0EE" w14:textId="77777777" w:rsidR="00882F28" w:rsidRPr="00B23CF0" w:rsidRDefault="00882F28" w:rsidP="00882F28">
      <w:pPr>
        <w:rPr>
          <w:rFonts w:asciiTheme="majorBidi" w:hAnsiTheme="majorBidi" w:cstheme="majorBidi"/>
          <w:color w:val="000000" w:themeColor="text1"/>
        </w:rPr>
      </w:pPr>
    </w:p>
    <w:p w14:paraId="2A05E32D"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Non-CSR TV Ad</w:t>
      </w:r>
    </w:p>
    <w:p w14:paraId="3EE91196" w14:textId="77777777" w:rsidR="00882F28" w:rsidRPr="00B23CF0" w:rsidRDefault="00882F28" w:rsidP="00882F28">
      <w:pPr>
        <w:rPr>
          <w:rFonts w:asciiTheme="majorBidi" w:hAnsiTheme="majorBidi" w:cstheme="majorBidi"/>
          <w:color w:val="000000" w:themeColor="text1"/>
        </w:rPr>
      </w:pPr>
    </w:p>
    <w:p w14:paraId="0E5471F9"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What about this ad, what are your views about this ad? </w:t>
      </w:r>
    </w:p>
    <w:p w14:paraId="58A52610"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What do you like or dislike about it?</w:t>
      </w:r>
    </w:p>
    <w:p w14:paraId="52B20E06"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Would you buy a product after seeing this ad? Why?</w:t>
      </w:r>
    </w:p>
    <w:p w14:paraId="13D0F0B2"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 xml:space="preserve">How do you compare these two ads to each other? </w:t>
      </w:r>
    </w:p>
    <w:p w14:paraId="51AEA173" w14:textId="77777777" w:rsidR="00882F28" w:rsidRPr="00B23CF0" w:rsidRDefault="00882F28" w:rsidP="00882F28">
      <w:pPr>
        <w:rPr>
          <w:rFonts w:asciiTheme="majorBidi" w:hAnsiTheme="majorBidi" w:cstheme="majorBidi"/>
          <w:color w:val="000000" w:themeColor="text1"/>
        </w:rPr>
      </w:pPr>
      <w:r w:rsidRPr="00B23CF0">
        <w:rPr>
          <w:rFonts w:asciiTheme="majorBidi" w:hAnsiTheme="majorBidi" w:cstheme="majorBidi"/>
          <w:color w:val="000000" w:themeColor="text1"/>
        </w:rPr>
        <w:t xml:space="preserve">Which one do you like more? </w:t>
      </w:r>
    </w:p>
    <w:p w14:paraId="337488E0"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Which one would make you like the brand more? Why?</w:t>
      </w:r>
    </w:p>
    <w:p w14:paraId="18B3D9E3"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Which one would make you trust the brand more? Why?</w:t>
      </w:r>
    </w:p>
    <w:p w14:paraId="46BA8B24"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 xml:space="preserve">What about social media ads, can you tell me about an advert that you recently saw on social media?  </w:t>
      </w:r>
    </w:p>
    <w:p w14:paraId="7D78CE53"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Would you prefer to see CSR adverts on TV or social media?  Why?</w:t>
      </w:r>
    </w:p>
    <w:p w14:paraId="1E9035B9" w14:textId="77777777" w:rsidR="00882F28" w:rsidRPr="00B23CF0" w:rsidRDefault="00882F28" w:rsidP="00882F28">
      <w:pPr>
        <w:pStyle w:val="ListParagraph"/>
        <w:rPr>
          <w:rFonts w:asciiTheme="majorBidi" w:hAnsiTheme="majorBidi" w:cstheme="majorBidi"/>
        </w:rPr>
      </w:pPr>
    </w:p>
    <w:p w14:paraId="1D69BF85" w14:textId="77777777" w:rsidR="00882F28" w:rsidRPr="00B23CF0" w:rsidRDefault="00882F28" w:rsidP="00882F28">
      <w:pPr>
        <w:rPr>
          <w:rFonts w:asciiTheme="majorBidi" w:hAnsiTheme="majorBidi" w:cstheme="majorBidi"/>
        </w:rPr>
      </w:pPr>
      <w:r w:rsidRPr="00B23CF0">
        <w:rPr>
          <w:rFonts w:asciiTheme="majorBidi" w:hAnsiTheme="majorBidi" w:cstheme="majorBidi"/>
        </w:rPr>
        <w:t xml:space="preserve">Speaking of social media, please check out these two ads for Dettol on Facebook. </w:t>
      </w:r>
    </w:p>
    <w:p w14:paraId="7CE50577" w14:textId="77777777" w:rsidR="00882F28" w:rsidRPr="00B23CF0" w:rsidRDefault="00882F28" w:rsidP="00882F28">
      <w:pPr>
        <w:pStyle w:val="ListParagraph"/>
        <w:rPr>
          <w:rFonts w:asciiTheme="majorBidi" w:hAnsiTheme="majorBidi" w:cstheme="majorBidi"/>
        </w:rPr>
      </w:pPr>
      <w:r w:rsidRPr="00B23CF0">
        <w:rPr>
          <w:rFonts w:asciiTheme="majorBidi" w:hAnsiTheme="majorBidi" w:cstheme="majorBidi"/>
          <w:noProof/>
        </w:rPr>
        <w:drawing>
          <wp:anchor distT="0" distB="0" distL="114300" distR="114300" simplePos="0" relativeHeight="251649536" behindDoc="0" locked="0" layoutInCell="1" allowOverlap="1" wp14:anchorId="456B0993" wp14:editId="643343B9">
            <wp:simplePos x="0" y="0"/>
            <wp:positionH relativeFrom="column">
              <wp:posOffset>2758611</wp:posOffset>
            </wp:positionH>
            <wp:positionV relativeFrom="paragraph">
              <wp:posOffset>178984</wp:posOffset>
            </wp:positionV>
            <wp:extent cx="2357755" cy="2988450"/>
            <wp:effectExtent l="0" t="0" r="4445" b="2540"/>
            <wp:wrapNone/>
            <wp:docPr id="2" name="Picture 2"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59888" cy="2991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CF0">
        <w:rPr>
          <w:rFonts w:asciiTheme="majorBidi" w:hAnsiTheme="majorBidi" w:cstheme="majorBidi"/>
          <w:noProof/>
        </w:rPr>
        <w:drawing>
          <wp:anchor distT="0" distB="0" distL="114300" distR="114300" simplePos="0" relativeHeight="251648512" behindDoc="0" locked="0" layoutInCell="1" allowOverlap="1" wp14:anchorId="632FDAAD" wp14:editId="453A2F3E">
            <wp:simplePos x="0" y="0"/>
            <wp:positionH relativeFrom="column">
              <wp:posOffset>30823</wp:posOffset>
            </wp:positionH>
            <wp:positionV relativeFrom="paragraph">
              <wp:posOffset>168068</wp:posOffset>
            </wp:positionV>
            <wp:extent cx="2434976" cy="2994660"/>
            <wp:effectExtent l="0" t="0" r="3810" b="0"/>
            <wp:wrapNone/>
            <wp:docPr id="1"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34976"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F9040" w14:textId="77777777" w:rsidR="00882F28" w:rsidRPr="00B23CF0" w:rsidRDefault="00882F28" w:rsidP="00882F28">
      <w:pPr>
        <w:pStyle w:val="ListParagraph"/>
        <w:ind w:left="643"/>
        <w:rPr>
          <w:rFonts w:asciiTheme="majorBidi" w:hAnsiTheme="majorBidi" w:cstheme="majorBidi"/>
        </w:rPr>
      </w:pPr>
    </w:p>
    <w:p w14:paraId="651DE859" w14:textId="77777777" w:rsidR="00882F28" w:rsidRPr="00B23CF0" w:rsidRDefault="00882F28" w:rsidP="00882F28">
      <w:pPr>
        <w:ind w:left="283"/>
        <w:rPr>
          <w:rFonts w:asciiTheme="majorBidi" w:hAnsiTheme="majorBidi" w:cstheme="majorBidi"/>
        </w:rPr>
      </w:pPr>
    </w:p>
    <w:p w14:paraId="47679D56" w14:textId="77777777" w:rsidR="00882F28" w:rsidRPr="00B23CF0" w:rsidRDefault="00882F28" w:rsidP="00882F28">
      <w:pPr>
        <w:ind w:left="283"/>
        <w:rPr>
          <w:rFonts w:asciiTheme="majorBidi" w:hAnsiTheme="majorBidi" w:cstheme="majorBidi"/>
        </w:rPr>
      </w:pPr>
    </w:p>
    <w:p w14:paraId="6D0BC182" w14:textId="77777777" w:rsidR="00882F28" w:rsidRPr="00B23CF0" w:rsidRDefault="00882F28" w:rsidP="00882F28">
      <w:pPr>
        <w:ind w:left="283"/>
        <w:rPr>
          <w:rFonts w:asciiTheme="majorBidi" w:hAnsiTheme="majorBidi" w:cstheme="majorBidi"/>
        </w:rPr>
      </w:pPr>
    </w:p>
    <w:p w14:paraId="770B8D30" w14:textId="77777777" w:rsidR="00882F28" w:rsidRPr="00B23CF0" w:rsidRDefault="00882F28" w:rsidP="00882F28">
      <w:pPr>
        <w:ind w:left="283"/>
        <w:rPr>
          <w:rFonts w:asciiTheme="majorBidi" w:hAnsiTheme="majorBidi" w:cstheme="majorBidi"/>
        </w:rPr>
      </w:pPr>
    </w:p>
    <w:p w14:paraId="1134591C" w14:textId="77777777" w:rsidR="00882F28" w:rsidRPr="00B23CF0" w:rsidRDefault="00882F28" w:rsidP="00882F28">
      <w:pPr>
        <w:ind w:left="283"/>
        <w:rPr>
          <w:rFonts w:asciiTheme="majorBidi" w:hAnsiTheme="majorBidi" w:cstheme="majorBidi"/>
        </w:rPr>
      </w:pPr>
    </w:p>
    <w:p w14:paraId="204B4597" w14:textId="77777777" w:rsidR="00882F28" w:rsidRPr="00B23CF0" w:rsidRDefault="00882F28" w:rsidP="00882F28">
      <w:pPr>
        <w:ind w:left="283"/>
        <w:rPr>
          <w:rFonts w:asciiTheme="majorBidi" w:hAnsiTheme="majorBidi" w:cstheme="majorBidi"/>
        </w:rPr>
      </w:pPr>
    </w:p>
    <w:p w14:paraId="02B97119" w14:textId="77777777" w:rsidR="00882F28" w:rsidRPr="00B23CF0" w:rsidRDefault="00882F28" w:rsidP="00882F28">
      <w:pPr>
        <w:ind w:left="283"/>
        <w:rPr>
          <w:rFonts w:asciiTheme="majorBidi" w:hAnsiTheme="majorBidi" w:cstheme="majorBidi"/>
        </w:rPr>
      </w:pPr>
    </w:p>
    <w:p w14:paraId="1F348B40" w14:textId="77777777" w:rsidR="00882F28" w:rsidRPr="00B23CF0" w:rsidRDefault="00882F28" w:rsidP="00882F28">
      <w:pPr>
        <w:ind w:left="283"/>
        <w:rPr>
          <w:rFonts w:asciiTheme="majorBidi" w:hAnsiTheme="majorBidi" w:cstheme="majorBidi"/>
        </w:rPr>
      </w:pPr>
    </w:p>
    <w:p w14:paraId="3DCECE73" w14:textId="77777777" w:rsidR="00882F28" w:rsidRPr="00B23CF0" w:rsidRDefault="00882F28" w:rsidP="00882F28">
      <w:pPr>
        <w:ind w:left="283"/>
        <w:rPr>
          <w:rFonts w:asciiTheme="majorBidi" w:hAnsiTheme="majorBidi" w:cstheme="majorBidi"/>
        </w:rPr>
      </w:pPr>
    </w:p>
    <w:p w14:paraId="41D2E519" w14:textId="77777777" w:rsidR="00882F28" w:rsidRPr="00B23CF0" w:rsidRDefault="00882F28" w:rsidP="00882F28">
      <w:pPr>
        <w:ind w:left="283"/>
        <w:rPr>
          <w:rFonts w:asciiTheme="majorBidi" w:hAnsiTheme="majorBidi" w:cstheme="majorBidi"/>
        </w:rPr>
      </w:pPr>
    </w:p>
    <w:p w14:paraId="75E51D3C" w14:textId="77777777" w:rsidR="00882F28" w:rsidRPr="00B23CF0" w:rsidRDefault="00882F28" w:rsidP="00A31F93">
      <w:pPr>
        <w:rPr>
          <w:rFonts w:asciiTheme="majorBidi" w:hAnsiTheme="majorBidi" w:cstheme="majorBidi"/>
        </w:rPr>
      </w:pPr>
    </w:p>
    <w:p w14:paraId="719F7F0E"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 xml:space="preserve">Please check the message of both ads, how would you compare them against each other? </w:t>
      </w:r>
    </w:p>
    <w:p w14:paraId="0EDA2A75"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If we assume that both messages in both ads are 100% real, which one would make you feel more emotionally connected to Dettol? And why?</w:t>
      </w:r>
    </w:p>
    <w:p w14:paraId="629B9368"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Assuming you don’t know Dettol and you never tried it before, which ad would make you more interested to try and buy the product?</w:t>
      </w:r>
    </w:p>
    <w:p w14:paraId="0572F2DF" w14:textId="77777777" w:rsidR="00882F28" w:rsidRPr="00B23CF0" w:rsidRDefault="00882F28" w:rsidP="00882F28">
      <w:pPr>
        <w:rPr>
          <w:rFonts w:asciiTheme="majorBidi" w:hAnsiTheme="majorBidi" w:cstheme="majorBidi"/>
        </w:rPr>
      </w:pPr>
    </w:p>
    <w:p w14:paraId="25DC12AE" w14:textId="77777777" w:rsidR="00882F28" w:rsidRPr="00B23CF0" w:rsidRDefault="00882F28" w:rsidP="00882F28">
      <w:pPr>
        <w:rPr>
          <w:rFonts w:asciiTheme="majorBidi" w:hAnsiTheme="majorBidi" w:cstheme="majorBidi"/>
        </w:rPr>
      </w:pPr>
      <w:r w:rsidRPr="00B23CF0">
        <w:rPr>
          <w:rFonts w:asciiTheme="majorBidi" w:hAnsiTheme="majorBidi" w:cstheme="majorBidi"/>
          <w:b/>
          <w:bCs/>
        </w:rPr>
        <w:t>CSR and purchase intention</w:t>
      </w:r>
    </w:p>
    <w:p w14:paraId="06C5637F" w14:textId="77777777" w:rsidR="00882F28" w:rsidRPr="00B23CF0" w:rsidRDefault="00882F28" w:rsidP="00882F28">
      <w:pPr>
        <w:rPr>
          <w:rFonts w:asciiTheme="majorBidi" w:hAnsiTheme="majorBidi" w:cstheme="majorBidi"/>
        </w:rPr>
      </w:pPr>
    </w:p>
    <w:p w14:paraId="5D86C126" w14:textId="77777777" w:rsidR="00882F28" w:rsidRPr="00B23CF0" w:rsidRDefault="00882F28">
      <w:pPr>
        <w:pStyle w:val="ListParagraph"/>
        <w:widowControl w:val="0"/>
        <w:numPr>
          <w:ilvl w:val="0"/>
          <w:numId w:val="30"/>
        </w:numPr>
        <w:autoSpaceDE w:val="0"/>
        <w:autoSpaceDN w:val="0"/>
        <w:spacing w:before="90" w:after="0" w:line="240" w:lineRule="auto"/>
        <w:contextualSpacing w:val="0"/>
        <w:rPr>
          <w:rFonts w:asciiTheme="majorBidi" w:hAnsiTheme="majorBidi" w:cstheme="majorBidi"/>
        </w:rPr>
      </w:pPr>
      <w:r w:rsidRPr="00B23CF0">
        <w:rPr>
          <w:rFonts w:asciiTheme="majorBidi" w:hAnsiTheme="majorBidi" w:cstheme="majorBidi"/>
        </w:rPr>
        <w:t xml:space="preserve">Between CSR ad and a non-CSR ad, which one would make you support the brand more or consider buying it? Why? </w:t>
      </w:r>
    </w:p>
    <w:p w14:paraId="15ACA99F" w14:textId="77777777" w:rsidR="00882F28" w:rsidRPr="00B23CF0" w:rsidRDefault="00882F28" w:rsidP="00882F28">
      <w:pPr>
        <w:pStyle w:val="ListParagraph"/>
        <w:ind w:left="643"/>
        <w:rPr>
          <w:rFonts w:asciiTheme="majorBidi" w:hAnsiTheme="majorBidi" w:cstheme="majorBidi"/>
        </w:rPr>
      </w:pPr>
    </w:p>
    <w:p w14:paraId="1BF3F1EF" w14:textId="77777777" w:rsidR="00882F28" w:rsidRPr="00B23CF0" w:rsidRDefault="00882F28">
      <w:pPr>
        <w:pStyle w:val="ListParagraph"/>
        <w:widowControl w:val="0"/>
        <w:numPr>
          <w:ilvl w:val="0"/>
          <w:numId w:val="30"/>
        </w:numPr>
        <w:autoSpaceDE w:val="0"/>
        <w:autoSpaceDN w:val="0"/>
        <w:spacing w:before="90" w:after="0" w:line="240" w:lineRule="auto"/>
        <w:contextualSpacing w:val="0"/>
        <w:rPr>
          <w:rFonts w:asciiTheme="majorBidi" w:hAnsiTheme="majorBidi" w:cstheme="majorBidi"/>
        </w:rPr>
      </w:pPr>
      <w:r w:rsidRPr="00B23CF0">
        <w:rPr>
          <w:rFonts w:asciiTheme="majorBidi" w:hAnsiTheme="majorBidi" w:cstheme="majorBidi"/>
        </w:rPr>
        <w:t>If a multinational product that you never tried before is doing advertisements about valuable and big CSR campaigns in Egypt, would that make you curious to buy the product and try it? Why?</w:t>
      </w:r>
    </w:p>
    <w:p w14:paraId="0D2C8176" w14:textId="77777777" w:rsidR="00882F28" w:rsidRPr="00B23CF0" w:rsidRDefault="00882F28" w:rsidP="00882F28">
      <w:pPr>
        <w:rPr>
          <w:rFonts w:asciiTheme="majorBidi" w:hAnsiTheme="majorBidi" w:cstheme="majorBidi"/>
          <w:color w:val="969696" w:themeColor="accent3"/>
        </w:rPr>
      </w:pPr>
    </w:p>
    <w:p w14:paraId="7F6F5046" w14:textId="77777777" w:rsidR="00882F28" w:rsidRPr="00B23CF0" w:rsidRDefault="00882F28" w:rsidP="00882F28">
      <w:pPr>
        <w:rPr>
          <w:rFonts w:asciiTheme="majorBidi" w:hAnsiTheme="majorBidi" w:cstheme="majorBidi"/>
          <w:b/>
          <w:bCs/>
        </w:rPr>
      </w:pPr>
      <w:r w:rsidRPr="00B23CF0">
        <w:rPr>
          <w:rFonts w:asciiTheme="majorBidi" w:hAnsiTheme="majorBidi" w:cstheme="majorBidi"/>
          <w:b/>
          <w:bCs/>
        </w:rPr>
        <w:t>CSR and multinational companies</w:t>
      </w:r>
    </w:p>
    <w:p w14:paraId="6C678769"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color w:val="000000" w:themeColor="text1"/>
        </w:rPr>
      </w:pPr>
      <w:r w:rsidRPr="00B23CF0">
        <w:rPr>
          <w:rFonts w:asciiTheme="majorBidi" w:hAnsiTheme="majorBidi" w:cstheme="majorBidi"/>
          <w:color w:val="000000" w:themeColor="text1"/>
        </w:rPr>
        <w:t>Can you think of any other CSR campaign that was launched by a multinational in Egypt?</w:t>
      </w:r>
    </w:p>
    <w:p w14:paraId="5AC2BC42" w14:textId="77777777" w:rsidR="00882F28" w:rsidRPr="00B23CF0" w:rsidRDefault="00882F28" w:rsidP="00882F28">
      <w:pPr>
        <w:ind w:left="283"/>
        <w:rPr>
          <w:rFonts w:asciiTheme="majorBidi" w:hAnsiTheme="majorBidi" w:cstheme="majorBidi"/>
          <w:color w:val="000000" w:themeColor="text1"/>
        </w:rPr>
      </w:pPr>
      <w:r w:rsidRPr="00B23CF0">
        <w:rPr>
          <w:rFonts w:asciiTheme="majorBidi" w:hAnsiTheme="majorBidi" w:cstheme="majorBidi"/>
          <w:color w:val="000000" w:themeColor="text1"/>
        </w:rPr>
        <w:t xml:space="preserve"> What did you like or not like about it? Why?</w:t>
      </w:r>
    </w:p>
    <w:p w14:paraId="7BBD0637"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Do you think multinational companies should do CSR campaigns? Why do you think so?</w:t>
      </w:r>
    </w:p>
    <w:p w14:paraId="1DA46ECF"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 xml:space="preserve">If yes, what are the ideal CSR campaigns do you wish multinationals to do in Egypt? </w:t>
      </w:r>
    </w:p>
    <w:p w14:paraId="483BB45F"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 xml:space="preserve">Please describe, in your opinion, two or three things that has to be there in order for the CSR campaign to be valuable and successful? </w:t>
      </w:r>
    </w:p>
    <w:p w14:paraId="35836AB1" w14:textId="77777777" w:rsidR="00882F28" w:rsidRPr="00B23CF0" w:rsidRDefault="00882F28" w:rsidP="00882F28">
      <w:pPr>
        <w:pStyle w:val="ListParagraph"/>
        <w:ind w:left="643"/>
        <w:rPr>
          <w:rFonts w:asciiTheme="majorBidi" w:hAnsiTheme="majorBidi" w:cstheme="majorBidi"/>
        </w:rPr>
      </w:pPr>
    </w:p>
    <w:p w14:paraId="0DA0DB66"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If the company launched the campaign just like the way that you just described, how would that make you feel about the product?</w:t>
      </w:r>
    </w:p>
    <w:p w14:paraId="6F0D9C63" w14:textId="77777777" w:rsidR="00882F28" w:rsidRPr="00B23CF0" w:rsidRDefault="00882F28" w:rsidP="00882F28">
      <w:pPr>
        <w:rPr>
          <w:rFonts w:asciiTheme="majorBidi" w:hAnsiTheme="majorBidi" w:cstheme="majorBidi"/>
        </w:rPr>
      </w:pPr>
    </w:p>
    <w:p w14:paraId="783574FA" w14:textId="77777777" w:rsidR="00882F28" w:rsidRPr="00B23CF0" w:rsidRDefault="00882F28" w:rsidP="00882F28">
      <w:pPr>
        <w:rPr>
          <w:rFonts w:asciiTheme="majorBidi" w:hAnsiTheme="majorBidi" w:cstheme="majorBidi"/>
        </w:rPr>
      </w:pPr>
      <w:r w:rsidRPr="00B23CF0">
        <w:rPr>
          <w:rFonts w:asciiTheme="majorBidi" w:hAnsiTheme="majorBidi" w:cstheme="majorBidi"/>
          <w:b/>
          <w:bCs/>
        </w:rPr>
        <w:t xml:space="preserve">CSR versus non-CSR </w:t>
      </w:r>
    </w:p>
    <w:p w14:paraId="35D59421"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In reference to the ideal CSR campaign that you just described; how would you compare regular commercials that companies do on Television now to commercials that focus on CSR campaigns like you just described?</w:t>
      </w:r>
    </w:p>
    <w:p w14:paraId="5DA092D3"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 xml:space="preserve">In reference to consumer products, when you think about the ideal ad, what is more important to you to learn about from the ad, the functions of the product or its social activities? Why? </w:t>
      </w:r>
    </w:p>
    <w:p w14:paraId="742D8483" w14:textId="77777777" w:rsidR="00882F28" w:rsidRPr="00B23CF0" w:rsidRDefault="00882F28">
      <w:pPr>
        <w:pStyle w:val="ListParagraph"/>
        <w:widowControl w:val="0"/>
        <w:numPr>
          <w:ilvl w:val="0"/>
          <w:numId w:val="30"/>
        </w:numPr>
        <w:autoSpaceDE w:val="0"/>
        <w:autoSpaceDN w:val="0"/>
        <w:spacing w:before="90" w:after="0" w:line="276" w:lineRule="auto"/>
        <w:contextualSpacing w:val="0"/>
        <w:rPr>
          <w:rFonts w:asciiTheme="majorBidi" w:hAnsiTheme="majorBidi" w:cstheme="majorBidi"/>
        </w:rPr>
      </w:pPr>
      <w:r w:rsidRPr="00B23CF0">
        <w:rPr>
          <w:rFonts w:asciiTheme="majorBidi" w:hAnsiTheme="majorBidi" w:cstheme="majorBidi"/>
        </w:rPr>
        <w:t xml:space="preserve">What will make you like the brand more, if it advertises the products’ functions and benefits or its social activities? </w:t>
      </w:r>
    </w:p>
    <w:p w14:paraId="114189F5" w14:textId="77777777" w:rsidR="00882F28" w:rsidRPr="00B23CF0" w:rsidRDefault="00882F28" w:rsidP="00882F28">
      <w:pPr>
        <w:rPr>
          <w:rFonts w:asciiTheme="majorBidi" w:hAnsiTheme="majorBidi" w:cstheme="majorBidi"/>
        </w:rPr>
      </w:pPr>
    </w:p>
    <w:p w14:paraId="1A5632EE" w14:textId="77777777" w:rsidR="00882F28" w:rsidRPr="00B23CF0" w:rsidRDefault="00882F28" w:rsidP="00882F28">
      <w:pPr>
        <w:rPr>
          <w:rFonts w:asciiTheme="majorBidi" w:hAnsiTheme="majorBidi" w:cstheme="majorBidi"/>
          <w:b/>
          <w:bCs/>
        </w:rPr>
      </w:pPr>
      <w:r w:rsidRPr="00B23CF0">
        <w:rPr>
          <w:rFonts w:asciiTheme="majorBidi" w:hAnsiTheme="majorBidi" w:cstheme="majorBidi"/>
          <w:b/>
          <w:bCs/>
        </w:rPr>
        <w:t>Closing Remarks</w:t>
      </w:r>
    </w:p>
    <w:p w14:paraId="77EC8D67" w14:textId="77777777" w:rsidR="00882F28" w:rsidRPr="00B23CF0" w:rsidRDefault="00882F28" w:rsidP="00882F28">
      <w:pPr>
        <w:rPr>
          <w:rFonts w:asciiTheme="majorBidi" w:hAnsiTheme="majorBidi" w:cstheme="majorBidi"/>
        </w:rPr>
      </w:pPr>
    </w:p>
    <w:p w14:paraId="2D0BAA68" w14:textId="333B529C" w:rsidR="00882F28" w:rsidRPr="00A31F93" w:rsidRDefault="00882F28">
      <w:pPr>
        <w:pStyle w:val="ListParagraph"/>
        <w:widowControl w:val="0"/>
        <w:numPr>
          <w:ilvl w:val="0"/>
          <w:numId w:val="30"/>
        </w:numPr>
        <w:autoSpaceDE w:val="0"/>
        <w:autoSpaceDN w:val="0"/>
        <w:spacing w:before="90" w:after="0" w:line="240" w:lineRule="auto"/>
        <w:contextualSpacing w:val="0"/>
        <w:rPr>
          <w:rFonts w:asciiTheme="majorBidi" w:hAnsiTheme="majorBidi" w:cstheme="majorBidi"/>
        </w:rPr>
      </w:pPr>
      <w:r w:rsidRPr="00B23CF0">
        <w:rPr>
          <w:rFonts w:asciiTheme="majorBidi" w:hAnsiTheme="majorBidi" w:cstheme="majorBidi"/>
        </w:rPr>
        <w:t>Do you have any final comments on the topic that you would like to add?</w:t>
      </w:r>
    </w:p>
    <w:p w14:paraId="339521F6" w14:textId="77777777" w:rsidR="00882F28" w:rsidRPr="00B23CF0" w:rsidRDefault="00882F28" w:rsidP="00882F28">
      <w:pPr>
        <w:rPr>
          <w:rFonts w:asciiTheme="majorBidi" w:hAnsiTheme="majorBidi" w:cstheme="majorBidi"/>
        </w:rPr>
      </w:pPr>
      <w:r w:rsidRPr="00B23CF0">
        <w:rPr>
          <w:rFonts w:asciiTheme="majorBidi" w:hAnsiTheme="majorBidi" w:cstheme="majorBidi"/>
        </w:rPr>
        <w:t xml:space="preserve">Thank you for your time and the valuable information that you provided. If you would like to ask more questions about this study, I am happy to discuss it with you now or you can send me an email anytime on </w:t>
      </w:r>
      <w:hyperlink r:id="rId80" w:history="1">
        <w:r w:rsidRPr="00B23CF0">
          <w:rPr>
            <w:rStyle w:val="Hyperlink"/>
            <w:rFonts w:asciiTheme="majorBidi" w:hAnsiTheme="majorBidi" w:cstheme="majorBidi"/>
          </w:rPr>
          <w:t>sadekn2@lsbu.ac.uk</w:t>
        </w:r>
      </w:hyperlink>
      <w:r w:rsidRPr="00B23CF0">
        <w:rPr>
          <w:rFonts w:asciiTheme="majorBidi" w:hAnsiTheme="majorBidi" w:cstheme="majorBidi"/>
        </w:rPr>
        <w:t xml:space="preserve">. </w:t>
      </w:r>
    </w:p>
    <w:p w14:paraId="7B44AD76" w14:textId="77777777" w:rsidR="00882F28" w:rsidRPr="00B23CF0" w:rsidRDefault="00882F28" w:rsidP="00882F28">
      <w:pPr>
        <w:keepNext/>
        <w:jc w:val="center"/>
        <w:rPr>
          <w:rFonts w:asciiTheme="majorBidi" w:hAnsiTheme="majorBidi" w:cstheme="majorBidi"/>
          <w:b/>
          <w:bCs/>
          <w:sz w:val="24"/>
          <w:szCs w:val="24"/>
        </w:rPr>
      </w:pPr>
      <w:r w:rsidRPr="00B23CF0">
        <w:rPr>
          <w:rFonts w:asciiTheme="majorBidi" w:hAnsiTheme="majorBidi" w:cstheme="majorBidi"/>
          <w:b/>
          <w:bCs/>
          <w:sz w:val="24"/>
          <w:szCs w:val="24"/>
        </w:rPr>
        <w:t>Appendix F</w:t>
      </w:r>
    </w:p>
    <w:p w14:paraId="14BF7291" w14:textId="77777777" w:rsidR="00882F28" w:rsidRPr="00E71B8A" w:rsidRDefault="00882F28" w:rsidP="00882F28">
      <w:pPr>
        <w:keepNext/>
        <w:jc w:val="center"/>
        <w:rPr>
          <w:rFonts w:asciiTheme="majorBidi" w:hAnsiTheme="majorBidi" w:cstheme="majorBidi"/>
          <w:sz w:val="24"/>
          <w:szCs w:val="24"/>
        </w:rPr>
      </w:pPr>
      <w:r w:rsidRPr="00E71B8A">
        <w:rPr>
          <w:rFonts w:asciiTheme="majorBidi" w:hAnsiTheme="majorBidi" w:cstheme="majorBidi"/>
          <w:sz w:val="24"/>
          <w:szCs w:val="24"/>
        </w:rPr>
        <w:t>Stimuli</w:t>
      </w:r>
    </w:p>
    <w:p w14:paraId="4628F663" w14:textId="77777777" w:rsidR="00882F28" w:rsidRPr="00B23CF0" w:rsidRDefault="00882F28" w:rsidP="00882F28">
      <w:pPr>
        <w:keepNext/>
        <w:rPr>
          <w:rFonts w:asciiTheme="majorBidi" w:hAnsiTheme="majorBidi" w:cstheme="majorBidi"/>
        </w:rPr>
      </w:pPr>
      <w:r w:rsidRPr="00B23CF0">
        <w:rPr>
          <w:rFonts w:asciiTheme="majorBidi" w:hAnsiTheme="majorBidi" w:cstheme="majorBidi"/>
        </w:rPr>
        <w:t>CSR Television Ad</w:t>
      </w:r>
    </w:p>
    <w:p w14:paraId="2874EB12" w14:textId="317B06EE" w:rsidR="00882F28" w:rsidRDefault="00000000" w:rsidP="00F97916">
      <w:pPr>
        <w:keepNext/>
        <w:spacing w:before="240"/>
        <w:rPr>
          <w:rFonts w:asciiTheme="majorBidi" w:hAnsiTheme="majorBidi" w:cstheme="majorBidi"/>
        </w:rPr>
      </w:pPr>
      <w:hyperlink r:id="rId81" w:history="1">
        <w:r w:rsidR="00882F28" w:rsidRPr="00B23CF0">
          <w:rPr>
            <w:rStyle w:val="Hyperlink"/>
            <w:rFonts w:asciiTheme="majorBidi" w:hAnsiTheme="majorBidi" w:cstheme="majorBidi"/>
          </w:rPr>
          <w:t>https://drive.google.com/file/d/1ogsi9D_sOLdhq69AHhB5ljevequFGVut/view?usp=drive_link</w:t>
        </w:r>
      </w:hyperlink>
      <w:r w:rsidR="00F97916">
        <w:rPr>
          <w:rStyle w:val="Hyperlink"/>
          <w:rFonts w:asciiTheme="majorBidi" w:hAnsiTheme="majorBidi" w:cstheme="majorBidi"/>
        </w:rPr>
        <w:br/>
      </w:r>
      <w:r w:rsidR="00882F28" w:rsidRPr="00B23CF0">
        <w:rPr>
          <w:rFonts w:asciiTheme="majorBidi" w:hAnsiTheme="majorBidi" w:cstheme="majorBidi"/>
        </w:rPr>
        <w:br/>
      </w:r>
      <w:hyperlink r:id="rId82" w:history="1">
        <w:r w:rsidR="00882F28" w:rsidRPr="00BD0A23">
          <w:rPr>
            <w:rStyle w:val="Hyperlink"/>
            <w:rFonts w:asciiTheme="majorBidi" w:hAnsiTheme="majorBidi" w:cstheme="majorBidi"/>
          </w:rPr>
          <w:t>https://drive.google.com/file/d/17FPfwrMtOlS-8RUd1T9kkokYDc80ErJo/view?usp=drive_link</w:t>
        </w:r>
      </w:hyperlink>
    </w:p>
    <w:p w14:paraId="5E2C85BF" w14:textId="33ADAA8E" w:rsidR="00882F28" w:rsidRPr="00B23CF0" w:rsidRDefault="00882F28" w:rsidP="00882F28">
      <w:pPr>
        <w:keepNext/>
        <w:rPr>
          <w:rFonts w:asciiTheme="majorBidi" w:hAnsiTheme="majorBidi" w:cstheme="majorBidi"/>
        </w:rPr>
      </w:pPr>
      <w:r w:rsidRPr="00B23CF0">
        <w:rPr>
          <w:rFonts w:asciiTheme="majorBidi" w:hAnsiTheme="majorBidi" w:cstheme="majorBidi"/>
        </w:rPr>
        <w:t>Non-CSR Television Ad</w:t>
      </w:r>
    </w:p>
    <w:p w14:paraId="08395163" w14:textId="77777777" w:rsidR="00882F28" w:rsidRDefault="00000000" w:rsidP="00882F28">
      <w:pPr>
        <w:keepNext/>
        <w:rPr>
          <w:rFonts w:asciiTheme="majorBidi" w:hAnsiTheme="majorBidi" w:cstheme="majorBidi"/>
        </w:rPr>
      </w:pPr>
      <w:hyperlink r:id="rId83" w:history="1">
        <w:r w:rsidR="00882F28" w:rsidRPr="00B23CF0">
          <w:rPr>
            <w:rStyle w:val="Hyperlink"/>
            <w:rFonts w:asciiTheme="majorBidi" w:hAnsiTheme="majorBidi" w:cstheme="majorBidi"/>
          </w:rPr>
          <w:t>https://drive.google.com/file/d/1P7IldRofrPiKWYaCeETAWIhEHfqF4qU1/view?usp=drive_link</w:t>
        </w:r>
      </w:hyperlink>
    </w:p>
    <w:p w14:paraId="6A1E1EB2" w14:textId="57C5AB55" w:rsidR="00882F28" w:rsidRPr="00B23CF0" w:rsidRDefault="00000000" w:rsidP="00F97916">
      <w:pPr>
        <w:keepNext/>
        <w:rPr>
          <w:rFonts w:asciiTheme="majorBidi" w:hAnsiTheme="majorBidi" w:cstheme="majorBidi"/>
        </w:rPr>
      </w:pPr>
      <w:hyperlink r:id="rId84" w:history="1">
        <w:r w:rsidR="00882F28" w:rsidRPr="00BD0A23">
          <w:rPr>
            <w:rStyle w:val="Hyperlink"/>
            <w:rFonts w:asciiTheme="majorBidi" w:hAnsiTheme="majorBidi" w:cstheme="majorBidi"/>
          </w:rPr>
          <w:t>https://drive.google.com/file/d/1T1doFsRQERCCj0YWgqtRQjFDxeLzBgqU/view?usp=drive_link</w:t>
        </w:r>
      </w:hyperlink>
    </w:p>
    <w:p w14:paraId="208C76B2" w14:textId="77777777" w:rsidR="00882F28" w:rsidRPr="00B23CF0" w:rsidRDefault="00882F28" w:rsidP="00882F28">
      <w:pPr>
        <w:keepNext/>
        <w:rPr>
          <w:rFonts w:asciiTheme="majorBidi" w:hAnsiTheme="majorBidi" w:cstheme="majorBidi"/>
        </w:rPr>
      </w:pPr>
      <w:r w:rsidRPr="00B23CF0">
        <w:rPr>
          <w:rFonts w:asciiTheme="majorBidi" w:hAnsiTheme="majorBidi" w:cstheme="majorBidi"/>
        </w:rPr>
        <w:t xml:space="preserve">CSR Facebook ad </w:t>
      </w:r>
    </w:p>
    <w:p w14:paraId="47B250F2"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noProof/>
          <w:sz w:val="24"/>
          <w:szCs w:val="24"/>
        </w:rPr>
        <w:drawing>
          <wp:anchor distT="0" distB="0" distL="114300" distR="114300" simplePos="0" relativeHeight="251650560" behindDoc="0" locked="0" layoutInCell="1" allowOverlap="1" wp14:anchorId="14B50325" wp14:editId="1DBA071F">
            <wp:simplePos x="0" y="0"/>
            <wp:positionH relativeFrom="margin">
              <wp:posOffset>0</wp:posOffset>
            </wp:positionH>
            <wp:positionV relativeFrom="paragraph">
              <wp:posOffset>57150</wp:posOffset>
            </wp:positionV>
            <wp:extent cx="2164715" cy="2823210"/>
            <wp:effectExtent l="0" t="0" r="6985" b="0"/>
            <wp:wrapNone/>
            <wp:docPr id="580636982" name="Picture 58063698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6336" b="3292"/>
                    <a:stretch/>
                  </pic:blipFill>
                  <pic:spPr bwMode="auto">
                    <a:xfrm>
                      <a:off x="0" y="0"/>
                      <a:ext cx="2164715" cy="282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83C4B" w14:textId="77777777" w:rsidR="00882F28" w:rsidRPr="00E71B8A" w:rsidRDefault="00882F28" w:rsidP="00882F28">
      <w:pPr>
        <w:keepNext/>
        <w:rPr>
          <w:rFonts w:asciiTheme="majorBidi" w:hAnsiTheme="majorBidi" w:cstheme="majorBidi"/>
          <w:sz w:val="24"/>
          <w:szCs w:val="24"/>
        </w:rPr>
      </w:pPr>
    </w:p>
    <w:p w14:paraId="688DBDB2" w14:textId="77777777" w:rsidR="00882F28" w:rsidRPr="00E71B8A" w:rsidRDefault="00882F28" w:rsidP="00882F28">
      <w:pPr>
        <w:keepNext/>
        <w:rPr>
          <w:rFonts w:asciiTheme="majorBidi" w:hAnsiTheme="majorBidi" w:cstheme="majorBidi"/>
          <w:sz w:val="24"/>
          <w:szCs w:val="24"/>
        </w:rPr>
      </w:pPr>
    </w:p>
    <w:p w14:paraId="20B33533" w14:textId="77777777" w:rsidR="00882F28" w:rsidRPr="00E71B8A" w:rsidRDefault="00882F28" w:rsidP="00882F28">
      <w:pPr>
        <w:keepNext/>
        <w:rPr>
          <w:rFonts w:asciiTheme="majorBidi" w:hAnsiTheme="majorBidi" w:cstheme="majorBidi"/>
          <w:sz w:val="24"/>
          <w:szCs w:val="24"/>
        </w:rPr>
      </w:pPr>
    </w:p>
    <w:p w14:paraId="160CAFB6" w14:textId="77777777" w:rsidR="00882F28" w:rsidRPr="00E71B8A" w:rsidRDefault="00882F28" w:rsidP="00882F28">
      <w:pPr>
        <w:keepNext/>
        <w:rPr>
          <w:rFonts w:asciiTheme="majorBidi" w:hAnsiTheme="majorBidi" w:cstheme="majorBidi"/>
          <w:sz w:val="24"/>
          <w:szCs w:val="24"/>
        </w:rPr>
      </w:pPr>
    </w:p>
    <w:p w14:paraId="7FBD85D9" w14:textId="77777777" w:rsidR="00882F28" w:rsidRPr="00E71B8A" w:rsidRDefault="00882F28" w:rsidP="00882F28">
      <w:pPr>
        <w:keepNext/>
        <w:rPr>
          <w:rFonts w:asciiTheme="majorBidi" w:hAnsiTheme="majorBidi" w:cstheme="majorBidi"/>
          <w:sz w:val="24"/>
          <w:szCs w:val="24"/>
        </w:rPr>
      </w:pPr>
    </w:p>
    <w:p w14:paraId="24C4C088" w14:textId="77777777" w:rsidR="00882F28" w:rsidRPr="00E71B8A" w:rsidRDefault="00882F28" w:rsidP="00882F28">
      <w:pPr>
        <w:keepNext/>
        <w:rPr>
          <w:rFonts w:asciiTheme="majorBidi" w:hAnsiTheme="majorBidi" w:cstheme="majorBidi"/>
          <w:sz w:val="24"/>
          <w:szCs w:val="24"/>
        </w:rPr>
      </w:pPr>
    </w:p>
    <w:p w14:paraId="2B1AEE0F" w14:textId="77777777" w:rsidR="00882F28" w:rsidRPr="00E71B8A" w:rsidRDefault="00882F28" w:rsidP="00882F28">
      <w:pPr>
        <w:keepNext/>
        <w:rPr>
          <w:rFonts w:asciiTheme="majorBidi" w:hAnsiTheme="majorBidi" w:cstheme="majorBidi"/>
          <w:sz w:val="24"/>
          <w:szCs w:val="24"/>
        </w:rPr>
      </w:pPr>
    </w:p>
    <w:p w14:paraId="432B8852" w14:textId="77777777" w:rsidR="00882F28" w:rsidRPr="00E71B8A" w:rsidRDefault="00882F28" w:rsidP="00882F28">
      <w:pPr>
        <w:keepNext/>
        <w:rPr>
          <w:rFonts w:asciiTheme="majorBidi" w:hAnsiTheme="majorBidi" w:cstheme="majorBidi"/>
          <w:sz w:val="24"/>
          <w:szCs w:val="24"/>
        </w:rPr>
      </w:pPr>
    </w:p>
    <w:p w14:paraId="78198794" w14:textId="77777777" w:rsidR="00882F28" w:rsidRPr="00E71B8A" w:rsidRDefault="00882F28" w:rsidP="00882F28">
      <w:pPr>
        <w:keepNext/>
        <w:rPr>
          <w:rFonts w:asciiTheme="majorBidi" w:hAnsiTheme="majorBidi" w:cstheme="majorBidi"/>
          <w:sz w:val="24"/>
          <w:szCs w:val="24"/>
        </w:rPr>
      </w:pPr>
    </w:p>
    <w:p w14:paraId="5268581B" w14:textId="77777777" w:rsidR="00882F28" w:rsidRPr="00E71B8A" w:rsidRDefault="00882F28" w:rsidP="00882F28">
      <w:pPr>
        <w:keepNext/>
        <w:rPr>
          <w:rFonts w:asciiTheme="majorBidi" w:hAnsiTheme="majorBidi" w:cstheme="majorBidi"/>
          <w:sz w:val="24"/>
          <w:szCs w:val="24"/>
        </w:rPr>
      </w:pPr>
    </w:p>
    <w:p w14:paraId="0808F2A2"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sz w:val="24"/>
          <w:szCs w:val="24"/>
        </w:rPr>
        <w:t xml:space="preserve">Non- CSR Facebook ad </w:t>
      </w:r>
    </w:p>
    <w:p w14:paraId="5A50D6C4" w14:textId="417C3580" w:rsidR="00882F28" w:rsidRPr="00E71B8A" w:rsidRDefault="003F61F9" w:rsidP="00882F28">
      <w:pPr>
        <w:keepNext/>
        <w:rPr>
          <w:rFonts w:asciiTheme="majorBidi" w:hAnsiTheme="majorBidi" w:cstheme="majorBidi"/>
          <w:sz w:val="24"/>
          <w:szCs w:val="24"/>
        </w:rPr>
      </w:pPr>
      <w:r>
        <w:rPr>
          <w:noProof/>
        </w:rPr>
        <mc:AlternateContent>
          <mc:Choice Requires="wpg">
            <w:drawing>
              <wp:anchor distT="0" distB="0" distL="114300" distR="114300" simplePos="0" relativeHeight="251667968" behindDoc="0" locked="0" layoutInCell="1" allowOverlap="1" wp14:anchorId="017CB41C" wp14:editId="0454BA50">
                <wp:simplePos x="0" y="0"/>
                <wp:positionH relativeFrom="margin">
                  <wp:align>left</wp:align>
                </wp:positionH>
                <wp:positionV relativeFrom="paragraph">
                  <wp:posOffset>19050</wp:posOffset>
                </wp:positionV>
                <wp:extent cx="2169795" cy="2837815"/>
                <wp:effectExtent l="0" t="0" r="0" b="0"/>
                <wp:wrapNone/>
                <wp:docPr id="106756696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9795" cy="2837815"/>
                          <a:chOff x="0" y="0"/>
                          <a:chExt cx="2453640" cy="3583305"/>
                        </a:xfrm>
                      </wpg:grpSpPr>
                      <pic:pic xmlns:pic="http://schemas.openxmlformats.org/drawingml/2006/picture">
                        <pic:nvPicPr>
                          <pic:cNvPr id="1665155430" name="Picture 1382624348"/>
                          <pic:cNvPicPr>
                            <a:picLocks noChangeAspect="1"/>
                          </pic:cNvPicPr>
                        </pic:nvPicPr>
                        <pic:blipFill>
                          <a:blip r:embed="rId86" cstate="print"/>
                          <a:srcRect/>
                          <a:stretch>
                            <a:fillRect/>
                          </a:stretch>
                        </pic:blipFill>
                        <pic:spPr bwMode="auto">
                          <a:xfrm>
                            <a:off x="0" y="0"/>
                            <a:ext cx="2453640" cy="3583305"/>
                          </a:xfrm>
                          <a:prstGeom prst="rect">
                            <a:avLst/>
                          </a:prstGeom>
                          <a:noFill/>
                          <a:ln>
                            <a:noFill/>
                          </a:ln>
                        </pic:spPr>
                      </pic:pic>
                      <pic:pic xmlns:pic="http://schemas.openxmlformats.org/drawingml/2006/picture">
                        <pic:nvPicPr>
                          <pic:cNvPr id="1034557220" name="Picture 600686732"/>
                          <pic:cNvPicPr>
                            <a:picLocks noChangeAspect="1"/>
                          </pic:cNvPicPr>
                        </pic:nvPicPr>
                        <pic:blipFill rotWithShape="1">
                          <a:blip r:embed="rId87" cstate="print"/>
                          <a:srcRect b="1892"/>
                          <a:stretch/>
                        </pic:blipFill>
                        <pic:spPr bwMode="auto">
                          <a:xfrm>
                            <a:off x="34433" y="443809"/>
                            <a:ext cx="2396490" cy="23368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09A41E7D" id="Group 1" o:spid="_x0000_s1026" style="position:absolute;margin-left:0;margin-top:1.5pt;width:170.85pt;height:223.45pt;z-index:251667968;mso-position-horizontal:left;mso-position-horizontal-relative:margin;mso-width-relative:margin;mso-height-relative:margin" coordsize="24536,35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2624348" o:spid="_x0000_s1027" type="#_x0000_t75" style="position:absolute;width:24536;height:35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">
                  <v:imagedata r:id="rId88" o:title=""/>
                </v:shape>
                <v:shape id="Picture 600686732" o:spid="_x0000_s1028" type="#_x0000_t75" style="position:absolute;left:344;top:4438;width:23965;height:2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">
                  <v:imagedata r:id="rId89" o:title="" cropbottom="1240f"/>
                </v:shape>
                <w10:wrap anchorx="margin"/>
              </v:group>
            </w:pict>
          </mc:Fallback>
        </mc:AlternateContent>
      </w:r>
    </w:p>
    <w:p w14:paraId="6A4BF398" w14:textId="77777777" w:rsidR="00882F28" w:rsidRPr="00E71B8A" w:rsidRDefault="00882F28" w:rsidP="00882F28">
      <w:pPr>
        <w:keepNext/>
        <w:rPr>
          <w:rFonts w:asciiTheme="majorBidi" w:hAnsiTheme="majorBidi" w:cstheme="majorBidi"/>
          <w:sz w:val="24"/>
          <w:szCs w:val="24"/>
        </w:rPr>
      </w:pPr>
    </w:p>
    <w:p w14:paraId="7ECCF89D" w14:textId="77777777" w:rsidR="00882F28" w:rsidRPr="00E71B8A" w:rsidRDefault="00882F28" w:rsidP="00882F28">
      <w:pPr>
        <w:keepNext/>
        <w:rPr>
          <w:rFonts w:asciiTheme="majorBidi" w:hAnsiTheme="majorBidi" w:cstheme="majorBidi"/>
          <w:sz w:val="24"/>
          <w:szCs w:val="24"/>
        </w:rPr>
      </w:pPr>
    </w:p>
    <w:p w14:paraId="186A9C8B" w14:textId="77777777" w:rsidR="00882F28" w:rsidRPr="00E71B8A" w:rsidRDefault="00882F28" w:rsidP="00882F28">
      <w:pPr>
        <w:keepNext/>
        <w:rPr>
          <w:rFonts w:asciiTheme="majorBidi" w:hAnsiTheme="majorBidi" w:cstheme="majorBidi"/>
          <w:sz w:val="24"/>
          <w:szCs w:val="24"/>
        </w:rPr>
      </w:pPr>
    </w:p>
    <w:p w14:paraId="4D043D90" w14:textId="77777777" w:rsidR="00882F28" w:rsidRPr="00E71B8A" w:rsidRDefault="00882F28" w:rsidP="00882F28">
      <w:pPr>
        <w:keepNext/>
        <w:rPr>
          <w:rFonts w:asciiTheme="majorBidi" w:hAnsiTheme="majorBidi" w:cstheme="majorBidi"/>
          <w:sz w:val="24"/>
          <w:szCs w:val="24"/>
        </w:rPr>
      </w:pPr>
    </w:p>
    <w:p w14:paraId="36BA9893" w14:textId="77777777" w:rsidR="00882F28" w:rsidRPr="00E71B8A" w:rsidRDefault="00882F28" w:rsidP="00882F28">
      <w:pPr>
        <w:keepNext/>
        <w:rPr>
          <w:rFonts w:asciiTheme="majorBidi" w:hAnsiTheme="majorBidi" w:cstheme="majorBidi"/>
          <w:sz w:val="24"/>
          <w:szCs w:val="24"/>
        </w:rPr>
      </w:pPr>
    </w:p>
    <w:p w14:paraId="2F7C2262" w14:textId="77777777" w:rsidR="00882F28" w:rsidRPr="00E71B8A" w:rsidRDefault="00882F28" w:rsidP="00882F28">
      <w:pPr>
        <w:keepNext/>
        <w:rPr>
          <w:rFonts w:asciiTheme="majorBidi" w:hAnsiTheme="majorBidi" w:cstheme="majorBidi"/>
          <w:sz w:val="24"/>
          <w:szCs w:val="24"/>
        </w:rPr>
      </w:pPr>
    </w:p>
    <w:p w14:paraId="483FE16B" w14:textId="77777777" w:rsidR="00882F28" w:rsidRPr="00E71B8A" w:rsidRDefault="00882F28" w:rsidP="00882F28">
      <w:pPr>
        <w:keepNext/>
        <w:rPr>
          <w:rFonts w:asciiTheme="majorBidi" w:hAnsiTheme="majorBidi" w:cstheme="majorBidi"/>
          <w:sz w:val="24"/>
          <w:szCs w:val="24"/>
        </w:rPr>
      </w:pPr>
    </w:p>
    <w:p w14:paraId="12337F56" w14:textId="77777777" w:rsidR="00882F28" w:rsidRPr="00B23CF0" w:rsidRDefault="00882F28" w:rsidP="00882F28">
      <w:pPr>
        <w:keepNext/>
        <w:rPr>
          <w:rFonts w:asciiTheme="majorBidi" w:hAnsiTheme="majorBidi" w:cstheme="majorBidi"/>
          <w:b/>
          <w:bCs/>
          <w:sz w:val="24"/>
          <w:szCs w:val="24"/>
        </w:rPr>
      </w:pPr>
    </w:p>
    <w:p w14:paraId="5CA8BE10" w14:textId="77777777" w:rsidR="00882F28" w:rsidRPr="00B23CF0" w:rsidRDefault="00882F28" w:rsidP="00882F28">
      <w:pPr>
        <w:keepNext/>
        <w:jc w:val="center"/>
        <w:rPr>
          <w:rFonts w:asciiTheme="majorBidi" w:hAnsiTheme="majorBidi" w:cstheme="majorBidi"/>
          <w:b/>
          <w:bCs/>
          <w:sz w:val="24"/>
          <w:szCs w:val="24"/>
        </w:rPr>
      </w:pPr>
      <w:r w:rsidRPr="00B23CF0">
        <w:rPr>
          <w:rFonts w:asciiTheme="majorBidi" w:hAnsiTheme="majorBidi" w:cstheme="majorBidi"/>
          <w:b/>
          <w:bCs/>
          <w:sz w:val="24"/>
          <w:szCs w:val="24"/>
        </w:rPr>
        <w:t>Appendix G</w:t>
      </w:r>
    </w:p>
    <w:p w14:paraId="50905204" w14:textId="77777777" w:rsidR="00882F28" w:rsidRPr="00E71B8A" w:rsidRDefault="00882F28" w:rsidP="00882F28">
      <w:pPr>
        <w:keepNext/>
        <w:jc w:val="center"/>
        <w:rPr>
          <w:rFonts w:asciiTheme="majorBidi" w:hAnsiTheme="majorBidi" w:cstheme="majorBidi"/>
          <w:sz w:val="24"/>
          <w:szCs w:val="24"/>
        </w:rPr>
      </w:pPr>
      <w:r w:rsidRPr="00E71B8A">
        <w:rPr>
          <w:rFonts w:asciiTheme="majorBidi" w:hAnsiTheme="majorBidi" w:cstheme="majorBidi"/>
          <w:sz w:val="24"/>
          <w:szCs w:val="24"/>
        </w:rPr>
        <w:t>Ethical Approval</w:t>
      </w:r>
    </w:p>
    <w:p w14:paraId="4BA73400" w14:textId="77777777" w:rsidR="00882F28" w:rsidRPr="00E71B8A" w:rsidRDefault="00882F28" w:rsidP="00882F28">
      <w:pPr>
        <w:keepNext/>
        <w:rPr>
          <w:rFonts w:asciiTheme="majorBidi" w:hAnsiTheme="majorBidi" w:cstheme="majorBidi"/>
          <w:sz w:val="24"/>
          <w:szCs w:val="24"/>
        </w:rPr>
      </w:pPr>
    </w:p>
    <w:p w14:paraId="6882C7F4"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noProof/>
          <w:sz w:val="24"/>
          <w:szCs w:val="24"/>
        </w:rPr>
        <w:drawing>
          <wp:inline distT="0" distB="0" distL="0" distR="0" wp14:anchorId="4BE7412D" wp14:editId="01BC36FD">
            <wp:extent cx="5911850" cy="3134855"/>
            <wp:effectExtent l="0" t="0" r="0" b="8890"/>
            <wp:docPr id="1140488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88646" name="Picture 1" descr="A screenshot of a computer&#10;&#10;Description automatically generated"/>
                    <pic:cNvPicPr/>
                  </pic:nvPicPr>
                  <pic:blipFill rotWithShape="1">
                    <a:blip r:embed="rId90"/>
                    <a:srcRect l="6623" t="9876" r="5129" b="6933"/>
                    <a:stretch/>
                  </pic:blipFill>
                  <pic:spPr bwMode="auto">
                    <a:xfrm>
                      <a:off x="0" y="0"/>
                      <a:ext cx="5919312" cy="3138812"/>
                    </a:xfrm>
                    <a:prstGeom prst="rect">
                      <a:avLst/>
                    </a:prstGeom>
                    <a:ln>
                      <a:noFill/>
                    </a:ln>
                    <a:extLst>
                      <a:ext uri="{53640926-AAD7-44D8-BBD7-CCE9431645EC}">
                        <a14:shadowObscured xmlns:a14="http://schemas.microsoft.com/office/drawing/2010/main"/>
                      </a:ext>
                    </a:extLst>
                  </pic:spPr>
                </pic:pic>
              </a:graphicData>
            </a:graphic>
          </wp:inline>
        </w:drawing>
      </w:r>
    </w:p>
    <w:p w14:paraId="7C3DC151" w14:textId="77777777" w:rsidR="00882F28" w:rsidRPr="00E71B8A" w:rsidRDefault="00882F28" w:rsidP="00882F28">
      <w:pPr>
        <w:keepNext/>
        <w:rPr>
          <w:rFonts w:asciiTheme="majorBidi" w:hAnsiTheme="majorBidi" w:cstheme="majorBidi"/>
          <w:sz w:val="24"/>
          <w:szCs w:val="24"/>
        </w:rPr>
      </w:pPr>
    </w:p>
    <w:p w14:paraId="682E2CEB" w14:textId="77777777" w:rsidR="00882F28" w:rsidRPr="00E71B8A" w:rsidRDefault="00882F28" w:rsidP="00882F28">
      <w:pPr>
        <w:keepNext/>
        <w:rPr>
          <w:rFonts w:asciiTheme="majorBidi" w:hAnsiTheme="majorBidi" w:cstheme="majorBidi"/>
          <w:sz w:val="24"/>
          <w:szCs w:val="24"/>
        </w:rPr>
      </w:pPr>
    </w:p>
    <w:p w14:paraId="4E7E342C" w14:textId="77777777" w:rsidR="00882F28" w:rsidRPr="00E71B8A" w:rsidRDefault="00882F28" w:rsidP="00882F28">
      <w:pPr>
        <w:keepNext/>
        <w:rPr>
          <w:rFonts w:asciiTheme="majorBidi" w:hAnsiTheme="majorBidi" w:cstheme="majorBidi"/>
          <w:sz w:val="24"/>
          <w:szCs w:val="24"/>
        </w:rPr>
      </w:pPr>
    </w:p>
    <w:p w14:paraId="5AA45F0A" w14:textId="77777777" w:rsidR="00882F28" w:rsidRPr="00E71B8A" w:rsidRDefault="00882F28" w:rsidP="00882F28">
      <w:pPr>
        <w:keepNext/>
        <w:rPr>
          <w:rFonts w:asciiTheme="majorBidi" w:hAnsiTheme="majorBidi" w:cstheme="majorBidi"/>
          <w:sz w:val="24"/>
          <w:szCs w:val="24"/>
        </w:rPr>
      </w:pPr>
    </w:p>
    <w:p w14:paraId="6EDEE16A" w14:textId="77777777" w:rsidR="00882F28" w:rsidRPr="00E71B8A" w:rsidRDefault="00882F28" w:rsidP="00882F28">
      <w:pPr>
        <w:keepNext/>
        <w:rPr>
          <w:rFonts w:asciiTheme="majorBidi" w:hAnsiTheme="majorBidi" w:cstheme="majorBidi"/>
          <w:sz w:val="24"/>
          <w:szCs w:val="24"/>
        </w:rPr>
      </w:pPr>
      <w:r w:rsidRPr="00E71B8A">
        <w:rPr>
          <w:rFonts w:asciiTheme="majorBidi" w:hAnsiTheme="majorBidi" w:cstheme="majorBidi"/>
          <w:noProof/>
          <w:sz w:val="24"/>
          <w:szCs w:val="24"/>
        </w:rPr>
        <w:drawing>
          <wp:inline distT="0" distB="0" distL="0" distR="0" wp14:anchorId="2C964102" wp14:editId="1B48ACF1">
            <wp:extent cx="5664200" cy="3107133"/>
            <wp:effectExtent l="0" t="0" r="0" b="0"/>
            <wp:docPr id="15432291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29197" name="Picture 1" descr="A screenshot of a computer&#10;&#10;Description automatically generated"/>
                    <pic:cNvPicPr/>
                  </pic:nvPicPr>
                  <pic:blipFill rotWithShape="1">
                    <a:blip r:embed="rId91"/>
                    <a:srcRect l="8014" t="11586" r="10576" b="9022"/>
                    <a:stretch/>
                  </pic:blipFill>
                  <pic:spPr bwMode="auto">
                    <a:xfrm>
                      <a:off x="0" y="0"/>
                      <a:ext cx="5676691" cy="3113985"/>
                    </a:xfrm>
                    <a:prstGeom prst="rect">
                      <a:avLst/>
                    </a:prstGeom>
                    <a:ln>
                      <a:noFill/>
                    </a:ln>
                    <a:extLst>
                      <a:ext uri="{53640926-AAD7-44D8-BBD7-CCE9431645EC}">
                        <a14:shadowObscured xmlns:a14="http://schemas.microsoft.com/office/drawing/2010/main"/>
                      </a:ext>
                    </a:extLst>
                  </pic:spPr>
                </pic:pic>
              </a:graphicData>
            </a:graphic>
          </wp:inline>
        </w:drawing>
      </w:r>
    </w:p>
    <w:p w14:paraId="350349AA" w14:textId="77777777" w:rsidR="00882F28" w:rsidRDefault="00882F28" w:rsidP="00A31F93">
      <w:pPr>
        <w:keepNext/>
        <w:rPr>
          <w:rFonts w:asciiTheme="majorBidi" w:hAnsiTheme="majorBidi" w:cstheme="majorBidi"/>
          <w:b/>
          <w:bCs/>
          <w:sz w:val="24"/>
          <w:szCs w:val="24"/>
        </w:rPr>
      </w:pPr>
    </w:p>
    <w:p w14:paraId="5A2DBF6B" w14:textId="77777777" w:rsidR="00882F28" w:rsidRPr="00B23CF0" w:rsidRDefault="00882F28" w:rsidP="00882F28">
      <w:pPr>
        <w:keepNext/>
        <w:jc w:val="center"/>
        <w:rPr>
          <w:rFonts w:asciiTheme="majorBidi" w:hAnsiTheme="majorBidi" w:cstheme="majorBidi"/>
          <w:b/>
          <w:bCs/>
          <w:sz w:val="24"/>
          <w:szCs w:val="24"/>
        </w:rPr>
      </w:pPr>
      <w:r w:rsidRPr="00B23CF0">
        <w:rPr>
          <w:rFonts w:asciiTheme="majorBidi" w:hAnsiTheme="majorBidi" w:cstheme="majorBidi"/>
          <w:b/>
          <w:bCs/>
          <w:sz w:val="24"/>
          <w:szCs w:val="24"/>
        </w:rPr>
        <w:t>Appendix H</w:t>
      </w:r>
    </w:p>
    <w:p w14:paraId="281562B6" w14:textId="77777777" w:rsidR="00882F28" w:rsidRPr="00E71B8A" w:rsidRDefault="00882F28" w:rsidP="00882F28">
      <w:pPr>
        <w:keepNext/>
        <w:jc w:val="center"/>
        <w:rPr>
          <w:rFonts w:asciiTheme="majorBidi" w:hAnsiTheme="majorBidi" w:cstheme="majorBidi"/>
          <w:sz w:val="24"/>
          <w:szCs w:val="24"/>
        </w:rPr>
      </w:pPr>
      <w:r w:rsidRPr="00E71B8A">
        <w:rPr>
          <w:rFonts w:asciiTheme="majorBidi" w:hAnsiTheme="majorBidi" w:cstheme="majorBidi"/>
          <w:sz w:val="24"/>
          <w:szCs w:val="24"/>
        </w:rPr>
        <w:t>Model Fitness for the first Model</w:t>
      </w:r>
    </w:p>
    <w:p w14:paraId="577896BD" w14:textId="77777777" w:rsidR="00882F28" w:rsidRPr="00E71B8A" w:rsidRDefault="00882F28" w:rsidP="00882F28">
      <w:pPr>
        <w:keepNext/>
        <w:jc w:val="center"/>
        <w:rPr>
          <w:rFonts w:asciiTheme="majorBidi" w:hAnsiTheme="majorBidi" w:cstheme="majorBidi"/>
          <w:sz w:val="24"/>
          <w:szCs w:val="24"/>
        </w:rPr>
      </w:pPr>
    </w:p>
    <w:p w14:paraId="483BBA75" w14:textId="77777777" w:rsidR="00882F28" w:rsidRPr="00E71B8A" w:rsidRDefault="00882F28" w:rsidP="00882F28">
      <w:pPr>
        <w:spacing w:before="100" w:beforeAutospacing="1" w:after="100" w:afterAutospacing="1" w:line="240" w:lineRule="auto"/>
        <w:outlineLvl w:val="4"/>
        <w:rPr>
          <w:rFonts w:asciiTheme="majorBidi" w:eastAsia="Times New Roman" w:hAnsiTheme="majorBidi" w:cstheme="majorBidi"/>
          <w:b/>
          <w:bCs/>
          <w:sz w:val="24"/>
          <w:szCs w:val="24"/>
        </w:rPr>
      </w:pPr>
      <w:r w:rsidRPr="00E71B8A">
        <w:rPr>
          <w:rFonts w:asciiTheme="majorBidi" w:eastAsia="Times New Roman" w:hAnsiTheme="majorBidi" w:cstheme="majorBidi"/>
          <w:b/>
          <w:bCs/>
          <w:sz w:val="24"/>
          <w:szCs w:val="24"/>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67"/>
        <w:gridCol w:w="899"/>
        <w:gridCol w:w="940"/>
        <w:gridCol w:w="587"/>
        <w:gridCol w:w="700"/>
        <w:gridCol w:w="1281"/>
      </w:tblGrid>
      <w:tr w:rsidR="00882F28" w:rsidRPr="00E71B8A" w14:paraId="647D8A86" w14:textId="77777777" w:rsidTr="00257F65">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366D06A0"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0FA40617"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NPAR</w:t>
            </w:r>
          </w:p>
        </w:tc>
        <w:tc>
          <w:tcPr>
            <w:tcW w:w="0" w:type="auto"/>
            <w:tcBorders>
              <w:bottom w:val="single" w:sz="6" w:space="0" w:color="auto"/>
            </w:tcBorders>
            <w:tcMar>
              <w:top w:w="15" w:type="dxa"/>
              <w:left w:w="140" w:type="dxa"/>
              <w:bottom w:w="15" w:type="dxa"/>
              <w:right w:w="140" w:type="dxa"/>
            </w:tcMar>
            <w:vAlign w:val="center"/>
            <w:hideMark/>
          </w:tcPr>
          <w:p w14:paraId="228A4B4B"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CMIN</w:t>
            </w:r>
          </w:p>
        </w:tc>
        <w:tc>
          <w:tcPr>
            <w:tcW w:w="0" w:type="auto"/>
            <w:tcBorders>
              <w:bottom w:val="single" w:sz="6" w:space="0" w:color="auto"/>
            </w:tcBorders>
            <w:tcMar>
              <w:top w:w="15" w:type="dxa"/>
              <w:left w:w="140" w:type="dxa"/>
              <w:bottom w:w="15" w:type="dxa"/>
              <w:right w:w="140" w:type="dxa"/>
            </w:tcMar>
            <w:vAlign w:val="center"/>
            <w:hideMark/>
          </w:tcPr>
          <w:p w14:paraId="2E7732CC"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DF</w:t>
            </w:r>
          </w:p>
        </w:tc>
        <w:tc>
          <w:tcPr>
            <w:tcW w:w="0" w:type="auto"/>
            <w:tcBorders>
              <w:bottom w:val="single" w:sz="6" w:space="0" w:color="auto"/>
            </w:tcBorders>
            <w:tcMar>
              <w:top w:w="15" w:type="dxa"/>
              <w:left w:w="140" w:type="dxa"/>
              <w:bottom w:w="15" w:type="dxa"/>
              <w:right w:w="140" w:type="dxa"/>
            </w:tcMar>
            <w:vAlign w:val="center"/>
            <w:hideMark/>
          </w:tcPr>
          <w:p w14:paraId="2DE47894"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P</w:t>
            </w:r>
          </w:p>
        </w:tc>
        <w:tc>
          <w:tcPr>
            <w:tcW w:w="0" w:type="auto"/>
            <w:tcBorders>
              <w:bottom w:val="single" w:sz="6" w:space="0" w:color="auto"/>
            </w:tcBorders>
            <w:tcMar>
              <w:top w:w="15" w:type="dxa"/>
              <w:left w:w="140" w:type="dxa"/>
              <w:bottom w:w="15" w:type="dxa"/>
              <w:right w:w="140" w:type="dxa"/>
            </w:tcMar>
            <w:vAlign w:val="center"/>
            <w:hideMark/>
          </w:tcPr>
          <w:p w14:paraId="30F28FA5"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CMIN/DF</w:t>
            </w:r>
          </w:p>
        </w:tc>
      </w:tr>
      <w:tr w:rsidR="00882F28" w:rsidRPr="00E71B8A" w14:paraId="582D03BA" w14:textId="77777777" w:rsidTr="00257F65">
        <w:tc>
          <w:tcPr>
            <w:tcW w:w="0" w:type="auto"/>
            <w:tcBorders>
              <w:right w:val="single" w:sz="6" w:space="0" w:color="auto"/>
            </w:tcBorders>
            <w:tcMar>
              <w:top w:w="15" w:type="dxa"/>
              <w:left w:w="140" w:type="dxa"/>
              <w:bottom w:w="15" w:type="dxa"/>
              <w:right w:w="140" w:type="dxa"/>
            </w:tcMar>
            <w:vAlign w:val="center"/>
            <w:hideMark/>
          </w:tcPr>
          <w:p w14:paraId="3F3831DD"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 xml:space="preserve"> Model </w:t>
            </w:r>
          </w:p>
        </w:tc>
        <w:tc>
          <w:tcPr>
            <w:tcW w:w="0" w:type="auto"/>
            <w:tcMar>
              <w:top w:w="15" w:type="dxa"/>
              <w:left w:w="140" w:type="dxa"/>
              <w:bottom w:w="15" w:type="dxa"/>
              <w:right w:w="140" w:type="dxa"/>
            </w:tcMar>
            <w:vAlign w:val="center"/>
            <w:hideMark/>
          </w:tcPr>
          <w:p w14:paraId="69DDB670"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8</w:t>
            </w:r>
          </w:p>
        </w:tc>
        <w:tc>
          <w:tcPr>
            <w:tcW w:w="0" w:type="auto"/>
            <w:tcMar>
              <w:top w:w="15" w:type="dxa"/>
              <w:left w:w="140" w:type="dxa"/>
              <w:bottom w:w="15" w:type="dxa"/>
              <w:right w:w="140" w:type="dxa"/>
            </w:tcMar>
            <w:vAlign w:val="center"/>
            <w:hideMark/>
          </w:tcPr>
          <w:p w14:paraId="79ACC7A4"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83.892</w:t>
            </w:r>
          </w:p>
        </w:tc>
        <w:tc>
          <w:tcPr>
            <w:tcW w:w="0" w:type="auto"/>
            <w:tcMar>
              <w:top w:w="15" w:type="dxa"/>
              <w:left w:w="140" w:type="dxa"/>
              <w:bottom w:w="15" w:type="dxa"/>
              <w:right w:w="140" w:type="dxa"/>
            </w:tcMar>
            <w:vAlign w:val="center"/>
            <w:hideMark/>
          </w:tcPr>
          <w:p w14:paraId="7473E06D"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28</w:t>
            </w:r>
          </w:p>
        </w:tc>
        <w:tc>
          <w:tcPr>
            <w:tcW w:w="0" w:type="auto"/>
            <w:tcMar>
              <w:top w:w="15" w:type="dxa"/>
              <w:left w:w="140" w:type="dxa"/>
              <w:bottom w:w="15" w:type="dxa"/>
              <w:right w:w="140" w:type="dxa"/>
            </w:tcMar>
            <w:vAlign w:val="center"/>
            <w:hideMark/>
          </w:tcPr>
          <w:p w14:paraId="1C75AD8F"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.000</w:t>
            </w:r>
          </w:p>
        </w:tc>
        <w:tc>
          <w:tcPr>
            <w:tcW w:w="0" w:type="auto"/>
            <w:tcMar>
              <w:top w:w="15" w:type="dxa"/>
              <w:left w:w="140" w:type="dxa"/>
              <w:bottom w:w="15" w:type="dxa"/>
              <w:right w:w="140" w:type="dxa"/>
            </w:tcMar>
            <w:vAlign w:val="center"/>
            <w:hideMark/>
          </w:tcPr>
          <w:p w14:paraId="69901971"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2.99</w:t>
            </w:r>
          </w:p>
        </w:tc>
      </w:tr>
    </w:tbl>
    <w:p w14:paraId="51F4E431" w14:textId="77777777" w:rsidR="00882F28" w:rsidRPr="00E71B8A" w:rsidRDefault="00882F28" w:rsidP="00882F28">
      <w:pPr>
        <w:spacing w:before="100" w:beforeAutospacing="1" w:after="100" w:afterAutospacing="1" w:line="240" w:lineRule="auto"/>
        <w:outlineLvl w:val="4"/>
        <w:rPr>
          <w:rFonts w:asciiTheme="majorBidi" w:eastAsia="Times New Roman" w:hAnsiTheme="majorBidi" w:cstheme="majorBidi"/>
          <w:b/>
          <w:bCs/>
          <w:sz w:val="24"/>
          <w:szCs w:val="24"/>
        </w:rPr>
      </w:pPr>
      <w:r w:rsidRPr="00E71B8A">
        <w:rPr>
          <w:rFonts w:asciiTheme="majorBidi" w:eastAsia="Times New Roman" w:hAnsiTheme="majorBidi" w:cstheme="majorBidi"/>
          <w:b/>
          <w:bCs/>
          <w:sz w:val="24"/>
          <w:szCs w:val="24"/>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882F28" w:rsidRPr="00E71B8A" w14:paraId="0D05C08A" w14:textId="77777777" w:rsidTr="00257F65">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3AE2FBAD"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30DDE774"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NFI</w:t>
            </w:r>
            <w:r w:rsidRPr="00E71B8A">
              <w:rPr>
                <w:rFonts w:asciiTheme="majorBidi" w:eastAsia="Times New Roman" w:hAnsiTheme="majorBidi" w:cstheme="majorBidi"/>
                <w:sz w:val="24"/>
                <w:szCs w:val="24"/>
              </w:rPr>
              <w:br/>
              <w:t>Delta1</w:t>
            </w:r>
          </w:p>
        </w:tc>
        <w:tc>
          <w:tcPr>
            <w:tcW w:w="0" w:type="auto"/>
            <w:tcBorders>
              <w:bottom w:val="single" w:sz="6" w:space="0" w:color="auto"/>
            </w:tcBorders>
            <w:tcMar>
              <w:top w:w="15" w:type="dxa"/>
              <w:left w:w="140" w:type="dxa"/>
              <w:bottom w:w="15" w:type="dxa"/>
              <w:right w:w="140" w:type="dxa"/>
            </w:tcMar>
            <w:vAlign w:val="center"/>
            <w:hideMark/>
          </w:tcPr>
          <w:p w14:paraId="4C050B2E"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RFI</w:t>
            </w:r>
            <w:r w:rsidRPr="00E71B8A">
              <w:rPr>
                <w:rFonts w:asciiTheme="majorBidi" w:eastAsia="Times New Roman" w:hAnsiTheme="majorBidi" w:cstheme="majorBidi"/>
                <w:sz w:val="24"/>
                <w:szCs w:val="24"/>
              </w:rPr>
              <w:br/>
              <w:t>rho1</w:t>
            </w:r>
          </w:p>
        </w:tc>
        <w:tc>
          <w:tcPr>
            <w:tcW w:w="0" w:type="auto"/>
            <w:tcBorders>
              <w:bottom w:val="single" w:sz="6" w:space="0" w:color="auto"/>
            </w:tcBorders>
            <w:tcMar>
              <w:top w:w="15" w:type="dxa"/>
              <w:left w:w="140" w:type="dxa"/>
              <w:bottom w:w="15" w:type="dxa"/>
              <w:right w:w="140" w:type="dxa"/>
            </w:tcMar>
            <w:vAlign w:val="center"/>
            <w:hideMark/>
          </w:tcPr>
          <w:p w14:paraId="788ACCD5"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IFI</w:t>
            </w:r>
            <w:r w:rsidRPr="00E71B8A">
              <w:rPr>
                <w:rFonts w:asciiTheme="majorBidi" w:eastAsia="Times New Roman" w:hAnsiTheme="majorBidi" w:cstheme="majorBidi"/>
                <w:sz w:val="24"/>
                <w:szCs w:val="24"/>
              </w:rPr>
              <w:br/>
              <w:t>Delta2</w:t>
            </w:r>
          </w:p>
        </w:tc>
        <w:tc>
          <w:tcPr>
            <w:tcW w:w="0" w:type="auto"/>
            <w:tcBorders>
              <w:bottom w:val="single" w:sz="6" w:space="0" w:color="auto"/>
            </w:tcBorders>
            <w:tcMar>
              <w:top w:w="15" w:type="dxa"/>
              <w:left w:w="140" w:type="dxa"/>
              <w:bottom w:w="15" w:type="dxa"/>
              <w:right w:w="140" w:type="dxa"/>
            </w:tcMar>
            <w:vAlign w:val="center"/>
            <w:hideMark/>
          </w:tcPr>
          <w:p w14:paraId="7FE10182"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TLI</w:t>
            </w:r>
            <w:r w:rsidRPr="00E71B8A">
              <w:rPr>
                <w:rFonts w:asciiTheme="majorBidi" w:eastAsia="Times New Roman" w:hAnsiTheme="majorBidi" w:cstheme="majorBidi"/>
                <w:sz w:val="24"/>
                <w:szCs w:val="24"/>
              </w:rPr>
              <w:br/>
              <w:t>rho2</w:t>
            </w:r>
          </w:p>
        </w:tc>
        <w:tc>
          <w:tcPr>
            <w:tcW w:w="0" w:type="auto"/>
            <w:tcBorders>
              <w:bottom w:val="single" w:sz="6" w:space="0" w:color="auto"/>
            </w:tcBorders>
            <w:tcMar>
              <w:top w:w="15" w:type="dxa"/>
              <w:left w:w="140" w:type="dxa"/>
              <w:bottom w:w="15" w:type="dxa"/>
              <w:right w:w="140" w:type="dxa"/>
            </w:tcMar>
            <w:vAlign w:val="center"/>
            <w:hideMark/>
          </w:tcPr>
          <w:p w14:paraId="7603DB6C"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CFI</w:t>
            </w:r>
          </w:p>
        </w:tc>
      </w:tr>
      <w:tr w:rsidR="00882F28" w:rsidRPr="00E71B8A" w14:paraId="09F906C0" w14:textId="77777777" w:rsidTr="00257F65">
        <w:tc>
          <w:tcPr>
            <w:tcW w:w="0" w:type="auto"/>
            <w:tcBorders>
              <w:right w:val="single" w:sz="6" w:space="0" w:color="auto"/>
            </w:tcBorders>
            <w:tcMar>
              <w:top w:w="15" w:type="dxa"/>
              <w:left w:w="140" w:type="dxa"/>
              <w:bottom w:w="15" w:type="dxa"/>
              <w:right w:w="140" w:type="dxa"/>
            </w:tcMar>
            <w:vAlign w:val="center"/>
            <w:hideMark/>
          </w:tcPr>
          <w:p w14:paraId="30B81CD0"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Default model</w:t>
            </w:r>
          </w:p>
        </w:tc>
        <w:tc>
          <w:tcPr>
            <w:tcW w:w="0" w:type="auto"/>
            <w:tcMar>
              <w:top w:w="15" w:type="dxa"/>
              <w:left w:w="140" w:type="dxa"/>
              <w:bottom w:w="15" w:type="dxa"/>
              <w:right w:w="140" w:type="dxa"/>
            </w:tcMar>
            <w:vAlign w:val="center"/>
            <w:hideMark/>
          </w:tcPr>
          <w:p w14:paraId="2236379F"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.948</w:t>
            </w:r>
          </w:p>
        </w:tc>
        <w:tc>
          <w:tcPr>
            <w:tcW w:w="0" w:type="auto"/>
            <w:noWrap/>
            <w:tcMar>
              <w:top w:w="15" w:type="dxa"/>
              <w:left w:w="140" w:type="dxa"/>
              <w:bottom w:w="15" w:type="dxa"/>
              <w:right w:w="140" w:type="dxa"/>
            </w:tcMar>
            <w:vAlign w:val="center"/>
            <w:hideMark/>
          </w:tcPr>
          <w:p w14:paraId="1500A35C"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.941</w:t>
            </w:r>
          </w:p>
        </w:tc>
        <w:tc>
          <w:tcPr>
            <w:tcW w:w="0" w:type="auto"/>
            <w:tcMar>
              <w:top w:w="15" w:type="dxa"/>
              <w:left w:w="140" w:type="dxa"/>
              <w:bottom w:w="15" w:type="dxa"/>
              <w:right w:w="140" w:type="dxa"/>
            </w:tcMar>
            <w:vAlign w:val="center"/>
            <w:hideMark/>
          </w:tcPr>
          <w:p w14:paraId="5487B6AB"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.950</w:t>
            </w:r>
          </w:p>
        </w:tc>
        <w:tc>
          <w:tcPr>
            <w:tcW w:w="0" w:type="auto"/>
            <w:noWrap/>
            <w:tcMar>
              <w:top w:w="15" w:type="dxa"/>
              <w:left w:w="140" w:type="dxa"/>
              <w:bottom w:w="15" w:type="dxa"/>
              <w:right w:w="140" w:type="dxa"/>
            </w:tcMar>
            <w:vAlign w:val="center"/>
            <w:hideMark/>
          </w:tcPr>
          <w:p w14:paraId="7577AB70"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.941</w:t>
            </w:r>
          </w:p>
        </w:tc>
        <w:tc>
          <w:tcPr>
            <w:tcW w:w="0" w:type="auto"/>
            <w:tcMar>
              <w:top w:w="15" w:type="dxa"/>
              <w:left w:w="140" w:type="dxa"/>
              <w:bottom w:w="15" w:type="dxa"/>
              <w:right w:w="140" w:type="dxa"/>
            </w:tcMar>
            <w:vAlign w:val="center"/>
            <w:hideMark/>
          </w:tcPr>
          <w:p w14:paraId="0AF8E86B"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.946</w:t>
            </w:r>
          </w:p>
        </w:tc>
      </w:tr>
      <w:tr w:rsidR="00882F28" w:rsidRPr="00E71B8A" w14:paraId="532A9D3F" w14:textId="77777777" w:rsidTr="00257F65">
        <w:tc>
          <w:tcPr>
            <w:tcW w:w="0" w:type="auto"/>
            <w:tcBorders>
              <w:right w:val="single" w:sz="6" w:space="0" w:color="auto"/>
            </w:tcBorders>
            <w:tcMar>
              <w:top w:w="15" w:type="dxa"/>
              <w:left w:w="140" w:type="dxa"/>
              <w:bottom w:w="15" w:type="dxa"/>
              <w:right w:w="140" w:type="dxa"/>
            </w:tcMar>
            <w:vAlign w:val="center"/>
            <w:hideMark/>
          </w:tcPr>
          <w:p w14:paraId="318497DE"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Saturated model</w:t>
            </w:r>
          </w:p>
        </w:tc>
        <w:tc>
          <w:tcPr>
            <w:tcW w:w="0" w:type="auto"/>
            <w:tcMar>
              <w:top w:w="15" w:type="dxa"/>
              <w:left w:w="140" w:type="dxa"/>
              <w:bottom w:w="15" w:type="dxa"/>
              <w:right w:w="140" w:type="dxa"/>
            </w:tcMar>
            <w:vAlign w:val="center"/>
            <w:hideMark/>
          </w:tcPr>
          <w:p w14:paraId="46C2E841"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1.000</w:t>
            </w:r>
          </w:p>
        </w:tc>
        <w:tc>
          <w:tcPr>
            <w:tcW w:w="0" w:type="auto"/>
            <w:tcMar>
              <w:top w:w="15" w:type="dxa"/>
              <w:left w:w="140" w:type="dxa"/>
              <w:bottom w:w="15" w:type="dxa"/>
              <w:right w:w="140" w:type="dxa"/>
            </w:tcMar>
            <w:vAlign w:val="center"/>
            <w:hideMark/>
          </w:tcPr>
          <w:p w14:paraId="3E54DFD4" w14:textId="77777777" w:rsidR="00882F28" w:rsidRPr="00E71B8A" w:rsidRDefault="00882F28" w:rsidP="00257F65">
            <w:pPr>
              <w:spacing w:line="240" w:lineRule="auto"/>
              <w:jc w:val="right"/>
              <w:rPr>
                <w:rFonts w:asciiTheme="majorBidi" w:eastAsia="Times New Roman" w:hAnsiTheme="majorBidi" w:cstheme="majorBidi"/>
                <w:sz w:val="24"/>
                <w:szCs w:val="24"/>
              </w:rPr>
            </w:pPr>
          </w:p>
        </w:tc>
        <w:tc>
          <w:tcPr>
            <w:tcW w:w="0" w:type="auto"/>
            <w:tcMar>
              <w:top w:w="15" w:type="dxa"/>
              <w:left w:w="140" w:type="dxa"/>
              <w:bottom w:w="15" w:type="dxa"/>
              <w:right w:w="140" w:type="dxa"/>
            </w:tcMar>
            <w:vAlign w:val="center"/>
            <w:hideMark/>
          </w:tcPr>
          <w:p w14:paraId="591B962A"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1.000</w:t>
            </w:r>
          </w:p>
        </w:tc>
        <w:tc>
          <w:tcPr>
            <w:tcW w:w="0" w:type="auto"/>
            <w:tcMar>
              <w:top w:w="15" w:type="dxa"/>
              <w:left w:w="140" w:type="dxa"/>
              <w:bottom w:w="15" w:type="dxa"/>
              <w:right w:w="140" w:type="dxa"/>
            </w:tcMar>
            <w:vAlign w:val="center"/>
            <w:hideMark/>
          </w:tcPr>
          <w:p w14:paraId="125CB469" w14:textId="77777777" w:rsidR="00882F28" w:rsidRPr="00E71B8A" w:rsidRDefault="00882F28" w:rsidP="00257F65">
            <w:pPr>
              <w:spacing w:line="240" w:lineRule="auto"/>
              <w:jc w:val="right"/>
              <w:rPr>
                <w:rFonts w:asciiTheme="majorBidi" w:eastAsia="Times New Roman" w:hAnsiTheme="majorBidi" w:cstheme="majorBidi"/>
                <w:sz w:val="24"/>
                <w:szCs w:val="24"/>
              </w:rPr>
            </w:pPr>
          </w:p>
        </w:tc>
        <w:tc>
          <w:tcPr>
            <w:tcW w:w="0" w:type="auto"/>
            <w:tcMar>
              <w:top w:w="15" w:type="dxa"/>
              <w:left w:w="140" w:type="dxa"/>
              <w:bottom w:w="15" w:type="dxa"/>
              <w:right w:w="140" w:type="dxa"/>
            </w:tcMar>
            <w:vAlign w:val="center"/>
            <w:hideMark/>
          </w:tcPr>
          <w:p w14:paraId="0981C9E2"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1.000</w:t>
            </w:r>
          </w:p>
        </w:tc>
      </w:tr>
      <w:tr w:rsidR="00882F28" w:rsidRPr="00E71B8A" w14:paraId="675C3192" w14:textId="77777777" w:rsidTr="00257F65">
        <w:tc>
          <w:tcPr>
            <w:tcW w:w="0" w:type="auto"/>
            <w:tcBorders>
              <w:right w:val="single" w:sz="6" w:space="0" w:color="auto"/>
            </w:tcBorders>
            <w:tcMar>
              <w:top w:w="15" w:type="dxa"/>
              <w:left w:w="140" w:type="dxa"/>
              <w:bottom w:w="15" w:type="dxa"/>
              <w:right w:w="140" w:type="dxa"/>
            </w:tcMar>
            <w:vAlign w:val="center"/>
            <w:hideMark/>
          </w:tcPr>
          <w:p w14:paraId="24DF51EE"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Independence model</w:t>
            </w:r>
          </w:p>
        </w:tc>
        <w:tc>
          <w:tcPr>
            <w:tcW w:w="0" w:type="auto"/>
            <w:tcMar>
              <w:top w:w="15" w:type="dxa"/>
              <w:left w:w="140" w:type="dxa"/>
              <w:bottom w:w="15" w:type="dxa"/>
              <w:right w:w="140" w:type="dxa"/>
            </w:tcMar>
            <w:vAlign w:val="center"/>
            <w:hideMark/>
          </w:tcPr>
          <w:p w14:paraId="2656DB59"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.000</w:t>
            </w:r>
          </w:p>
        </w:tc>
        <w:tc>
          <w:tcPr>
            <w:tcW w:w="0" w:type="auto"/>
            <w:tcMar>
              <w:top w:w="15" w:type="dxa"/>
              <w:left w:w="140" w:type="dxa"/>
              <w:bottom w:w="15" w:type="dxa"/>
              <w:right w:w="140" w:type="dxa"/>
            </w:tcMar>
            <w:vAlign w:val="center"/>
            <w:hideMark/>
          </w:tcPr>
          <w:p w14:paraId="6D29AE89"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.000</w:t>
            </w:r>
          </w:p>
        </w:tc>
        <w:tc>
          <w:tcPr>
            <w:tcW w:w="0" w:type="auto"/>
            <w:tcMar>
              <w:top w:w="15" w:type="dxa"/>
              <w:left w:w="140" w:type="dxa"/>
              <w:bottom w:w="15" w:type="dxa"/>
              <w:right w:w="140" w:type="dxa"/>
            </w:tcMar>
            <w:vAlign w:val="center"/>
            <w:hideMark/>
          </w:tcPr>
          <w:p w14:paraId="7319A95D"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.000</w:t>
            </w:r>
          </w:p>
        </w:tc>
        <w:tc>
          <w:tcPr>
            <w:tcW w:w="0" w:type="auto"/>
            <w:tcMar>
              <w:top w:w="15" w:type="dxa"/>
              <w:left w:w="140" w:type="dxa"/>
              <w:bottom w:w="15" w:type="dxa"/>
              <w:right w:w="140" w:type="dxa"/>
            </w:tcMar>
            <w:vAlign w:val="center"/>
            <w:hideMark/>
          </w:tcPr>
          <w:p w14:paraId="3A834EB2"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.000</w:t>
            </w:r>
          </w:p>
        </w:tc>
        <w:tc>
          <w:tcPr>
            <w:tcW w:w="0" w:type="auto"/>
            <w:tcMar>
              <w:top w:w="15" w:type="dxa"/>
              <w:left w:w="140" w:type="dxa"/>
              <w:bottom w:w="15" w:type="dxa"/>
              <w:right w:w="140" w:type="dxa"/>
            </w:tcMar>
            <w:vAlign w:val="center"/>
            <w:hideMark/>
          </w:tcPr>
          <w:p w14:paraId="5A6ECA85"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.000</w:t>
            </w:r>
          </w:p>
        </w:tc>
      </w:tr>
    </w:tbl>
    <w:p w14:paraId="56E6A566" w14:textId="77777777" w:rsidR="00882F28" w:rsidRPr="00E71B8A" w:rsidRDefault="00882F28" w:rsidP="00882F28">
      <w:pPr>
        <w:spacing w:before="100" w:beforeAutospacing="1" w:after="100" w:afterAutospacing="1" w:line="240" w:lineRule="auto"/>
        <w:outlineLvl w:val="4"/>
        <w:rPr>
          <w:rFonts w:asciiTheme="majorBidi" w:eastAsia="Times New Roman" w:hAnsiTheme="majorBidi" w:cstheme="majorBidi"/>
          <w:b/>
          <w:bCs/>
          <w:sz w:val="24"/>
          <w:szCs w:val="24"/>
        </w:rPr>
      </w:pPr>
      <w:r w:rsidRPr="00E71B8A">
        <w:rPr>
          <w:rFonts w:asciiTheme="majorBidi" w:eastAsia="Times New Roman" w:hAnsiTheme="majorBidi" w:cstheme="majorBidi"/>
          <w:b/>
          <w:bCs/>
          <w:sz w:val="24"/>
          <w:szCs w:val="24"/>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tblGrid>
      <w:tr w:rsidR="00882F28" w:rsidRPr="00E71B8A" w14:paraId="05E1F572" w14:textId="77777777" w:rsidTr="00257F65">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69642174"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Model</w:t>
            </w:r>
          </w:p>
        </w:tc>
        <w:tc>
          <w:tcPr>
            <w:tcW w:w="0" w:type="auto"/>
            <w:tcBorders>
              <w:bottom w:val="single" w:sz="6" w:space="0" w:color="auto"/>
            </w:tcBorders>
            <w:tcMar>
              <w:top w:w="15" w:type="dxa"/>
              <w:left w:w="140" w:type="dxa"/>
              <w:bottom w:w="15" w:type="dxa"/>
              <w:right w:w="140" w:type="dxa"/>
            </w:tcMar>
            <w:vAlign w:val="center"/>
            <w:hideMark/>
          </w:tcPr>
          <w:p w14:paraId="41645275"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RMSEA</w:t>
            </w:r>
          </w:p>
        </w:tc>
        <w:tc>
          <w:tcPr>
            <w:tcW w:w="0" w:type="auto"/>
            <w:tcBorders>
              <w:bottom w:val="single" w:sz="6" w:space="0" w:color="auto"/>
            </w:tcBorders>
            <w:tcMar>
              <w:top w:w="15" w:type="dxa"/>
              <w:left w:w="140" w:type="dxa"/>
              <w:bottom w:w="15" w:type="dxa"/>
              <w:right w:w="140" w:type="dxa"/>
            </w:tcMar>
            <w:vAlign w:val="center"/>
            <w:hideMark/>
          </w:tcPr>
          <w:p w14:paraId="40BC1AE3"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LO 90</w:t>
            </w:r>
          </w:p>
        </w:tc>
        <w:tc>
          <w:tcPr>
            <w:tcW w:w="0" w:type="auto"/>
            <w:tcBorders>
              <w:bottom w:val="single" w:sz="6" w:space="0" w:color="auto"/>
            </w:tcBorders>
            <w:tcMar>
              <w:top w:w="15" w:type="dxa"/>
              <w:left w:w="140" w:type="dxa"/>
              <w:bottom w:w="15" w:type="dxa"/>
              <w:right w:w="140" w:type="dxa"/>
            </w:tcMar>
            <w:vAlign w:val="center"/>
            <w:hideMark/>
          </w:tcPr>
          <w:p w14:paraId="0B603BC7"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HI 90</w:t>
            </w:r>
          </w:p>
        </w:tc>
      </w:tr>
      <w:tr w:rsidR="00882F28" w:rsidRPr="00E71B8A" w14:paraId="2DCA958B" w14:textId="77777777" w:rsidTr="00257F65">
        <w:tc>
          <w:tcPr>
            <w:tcW w:w="0" w:type="auto"/>
            <w:tcBorders>
              <w:right w:val="single" w:sz="6" w:space="0" w:color="auto"/>
            </w:tcBorders>
            <w:tcMar>
              <w:top w:w="15" w:type="dxa"/>
              <w:left w:w="140" w:type="dxa"/>
              <w:bottom w:w="15" w:type="dxa"/>
              <w:right w:w="140" w:type="dxa"/>
            </w:tcMar>
            <w:vAlign w:val="center"/>
            <w:hideMark/>
          </w:tcPr>
          <w:p w14:paraId="4891DA13"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Default model</w:t>
            </w:r>
          </w:p>
        </w:tc>
        <w:tc>
          <w:tcPr>
            <w:tcW w:w="0" w:type="auto"/>
            <w:tcMar>
              <w:top w:w="15" w:type="dxa"/>
              <w:left w:w="140" w:type="dxa"/>
              <w:bottom w:w="15" w:type="dxa"/>
              <w:right w:w="140" w:type="dxa"/>
            </w:tcMar>
            <w:vAlign w:val="center"/>
            <w:hideMark/>
          </w:tcPr>
          <w:p w14:paraId="1E67E591"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.0497</w:t>
            </w:r>
          </w:p>
        </w:tc>
        <w:tc>
          <w:tcPr>
            <w:tcW w:w="0" w:type="auto"/>
            <w:tcMar>
              <w:top w:w="15" w:type="dxa"/>
              <w:left w:w="140" w:type="dxa"/>
              <w:bottom w:w="15" w:type="dxa"/>
              <w:right w:w="140" w:type="dxa"/>
            </w:tcMar>
            <w:vAlign w:val="center"/>
            <w:hideMark/>
          </w:tcPr>
          <w:p w14:paraId="12DEBD47"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.0476</w:t>
            </w:r>
          </w:p>
        </w:tc>
        <w:tc>
          <w:tcPr>
            <w:tcW w:w="0" w:type="auto"/>
            <w:tcMar>
              <w:top w:w="15" w:type="dxa"/>
              <w:left w:w="140" w:type="dxa"/>
              <w:bottom w:w="15" w:type="dxa"/>
              <w:right w:w="140" w:type="dxa"/>
            </w:tcMar>
            <w:vAlign w:val="center"/>
            <w:hideMark/>
          </w:tcPr>
          <w:p w14:paraId="060FF8DB"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.0518</w:t>
            </w:r>
          </w:p>
        </w:tc>
      </w:tr>
      <w:tr w:rsidR="00882F28" w:rsidRPr="00E71B8A" w14:paraId="4A6DCFB1" w14:textId="77777777" w:rsidTr="00257F65">
        <w:tc>
          <w:tcPr>
            <w:tcW w:w="0" w:type="auto"/>
            <w:tcBorders>
              <w:right w:val="single" w:sz="6" w:space="0" w:color="auto"/>
            </w:tcBorders>
            <w:tcMar>
              <w:top w:w="15" w:type="dxa"/>
              <w:left w:w="140" w:type="dxa"/>
              <w:bottom w:w="15" w:type="dxa"/>
              <w:right w:w="140" w:type="dxa"/>
            </w:tcMar>
            <w:vAlign w:val="center"/>
            <w:hideMark/>
          </w:tcPr>
          <w:p w14:paraId="4FD7C0E0" w14:textId="77777777" w:rsidR="00882F28" w:rsidRPr="00E71B8A" w:rsidRDefault="00882F28" w:rsidP="00257F65">
            <w:pPr>
              <w:spacing w:line="240" w:lineRule="auto"/>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Independence model</w:t>
            </w:r>
          </w:p>
        </w:tc>
        <w:tc>
          <w:tcPr>
            <w:tcW w:w="0" w:type="auto"/>
            <w:tcMar>
              <w:top w:w="15" w:type="dxa"/>
              <w:left w:w="140" w:type="dxa"/>
              <w:bottom w:w="15" w:type="dxa"/>
              <w:right w:w="140" w:type="dxa"/>
            </w:tcMar>
            <w:vAlign w:val="center"/>
            <w:hideMark/>
          </w:tcPr>
          <w:p w14:paraId="230F20E0"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.0419</w:t>
            </w:r>
          </w:p>
        </w:tc>
        <w:tc>
          <w:tcPr>
            <w:tcW w:w="0" w:type="auto"/>
            <w:tcMar>
              <w:top w:w="15" w:type="dxa"/>
              <w:left w:w="140" w:type="dxa"/>
              <w:bottom w:w="15" w:type="dxa"/>
              <w:right w:w="140" w:type="dxa"/>
            </w:tcMar>
            <w:vAlign w:val="center"/>
            <w:hideMark/>
          </w:tcPr>
          <w:p w14:paraId="166D0081"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.0404</w:t>
            </w:r>
          </w:p>
        </w:tc>
        <w:tc>
          <w:tcPr>
            <w:tcW w:w="0" w:type="auto"/>
            <w:tcMar>
              <w:top w:w="15" w:type="dxa"/>
              <w:left w:w="140" w:type="dxa"/>
              <w:bottom w:w="15" w:type="dxa"/>
              <w:right w:w="140" w:type="dxa"/>
            </w:tcMar>
            <w:vAlign w:val="center"/>
            <w:hideMark/>
          </w:tcPr>
          <w:p w14:paraId="6EB90125" w14:textId="77777777" w:rsidR="00882F28" w:rsidRPr="00E71B8A" w:rsidRDefault="00882F28" w:rsidP="00257F65">
            <w:pPr>
              <w:spacing w:line="240" w:lineRule="auto"/>
              <w:jc w:val="right"/>
              <w:rPr>
                <w:rFonts w:asciiTheme="majorBidi" w:eastAsia="Times New Roman" w:hAnsiTheme="majorBidi" w:cstheme="majorBidi"/>
                <w:sz w:val="24"/>
                <w:szCs w:val="24"/>
              </w:rPr>
            </w:pPr>
            <w:r w:rsidRPr="00E71B8A">
              <w:rPr>
                <w:rFonts w:asciiTheme="majorBidi" w:eastAsia="Times New Roman" w:hAnsiTheme="majorBidi" w:cstheme="majorBidi"/>
                <w:sz w:val="24"/>
                <w:szCs w:val="24"/>
              </w:rPr>
              <w:t>.0433</w:t>
            </w:r>
          </w:p>
        </w:tc>
      </w:tr>
    </w:tbl>
    <w:p w14:paraId="71C59ED3" w14:textId="77777777" w:rsidR="00882F28" w:rsidRPr="00E71B8A" w:rsidRDefault="00882F28" w:rsidP="00882F28">
      <w:pPr>
        <w:keepNext/>
        <w:jc w:val="center"/>
        <w:rPr>
          <w:rFonts w:asciiTheme="majorBidi" w:hAnsiTheme="majorBidi" w:cstheme="majorBidi"/>
          <w:sz w:val="24"/>
          <w:szCs w:val="24"/>
        </w:rPr>
      </w:pPr>
    </w:p>
    <w:p w14:paraId="739DAA9E" w14:textId="77777777" w:rsidR="00CC2CE9" w:rsidRDefault="00CC2CE9" w:rsidP="00D65FF6">
      <w:pPr>
        <w:widowControl w:val="0"/>
        <w:spacing w:line="480" w:lineRule="auto"/>
        <w:rPr>
          <w:rFonts w:asciiTheme="majorBidi" w:hAnsiTheme="majorBidi" w:cstheme="majorBidi"/>
          <w:sz w:val="24"/>
          <w:szCs w:val="24"/>
        </w:rPr>
      </w:pPr>
    </w:p>
    <w:p w14:paraId="6E59ED36" w14:textId="77777777" w:rsidR="00CC2CE9" w:rsidRDefault="00CC2CE9" w:rsidP="00D65FF6">
      <w:pPr>
        <w:widowControl w:val="0"/>
        <w:spacing w:line="480" w:lineRule="auto"/>
        <w:rPr>
          <w:rFonts w:asciiTheme="majorBidi" w:hAnsiTheme="majorBidi" w:cstheme="majorBidi"/>
          <w:sz w:val="24"/>
          <w:szCs w:val="24"/>
        </w:rPr>
      </w:pPr>
    </w:p>
    <w:p w14:paraId="051D93A5" w14:textId="77777777" w:rsidR="00CC2CE9" w:rsidRDefault="00CC2CE9" w:rsidP="00D65FF6">
      <w:pPr>
        <w:widowControl w:val="0"/>
        <w:spacing w:line="480" w:lineRule="auto"/>
        <w:rPr>
          <w:rFonts w:asciiTheme="majorBidi" w:hAnsiTheme="majorBidi" w:cstheme="majorBidi"/>
          <w:sz w:val="24"/>
          <w:szCs w:val="24"/>
        </w:rPr>
      </w:pPr>
    </w:p>
    <w:p w14:paraId="5CD4751A" w14:textId="18053E15" w:rsidR="0026387A" w:rsidRPr="00D65FF6" w:rsidRDefault="0026387A" w:rsidP="00D65FF6">
      <w:pPr>
        <w:widowControl w:val="0"/>
        <w:spacing w:line="480" w:lineRule="auto"/>
        <w:rPr>
          <w:rFonts w:asciiTheme="majorBidi" w:hAnsiTheme="majorBidi" w:cstheme="majorBidi"/>
          <w:sz w:val="24"/>
          <w:szCs w:val="24"/>
        </w:rPr>
      </w:pPr>
    </w:p>
    <w:sectPr w:rsidR="0026387A" w:rsidRPr="00D65FF6" w:rsidSect="00B76010">
      <w:headerReference w:type="default" r:id="rId92"/>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845F0" w14:textId="77777777" w:rsidR="00B76010" w:rsidRDefault="00B76010" w:rsidP="001C1B7D">
      <w:pPr>
        <w:spacing w:after="0" w:line="240" w:lineRule="auto"/>
      </w:pPr>
      <w:r>
        <w:separator/>
      </w:r>
    </w:p>
  </w:endnote>
  <w:endnote w:type="continuationSeparator" w:id="0">
    <w:p w14:paraId="38D9D5F6" w14:textId="77777777" w:rsidR="00B76010" w:rsidRDefault="00B76010" w:rsidP="001C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imw">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CD50B" w14:textId="77777777" w:rsidR="00B76010" w:rsidRDefault="00B76010" w:rsidP="001C1B7D">
      <w:pPr>
        <w:spacing w:after="0" w:line="240" w:lineRule="auto"/>
      </w:pPr>
      <w:r>
        <w:separator/>
      </w:r>
    </w:p>
  </w:footnote>
  <w:footnote w:type="continuationSeparator" w:id="0">
    <w:p w14:paraId="14B2C6ED" w14:textId="77777777" w:rsidR="00B76010" w:rsidRDefault="00B76010" w:rsidP="001C1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4992590"/>
      <w:docPartObj>
        <w:docPartGallery w:val="Page Numbers (Top of Page)"/>
        <w:docPartUnique/>
      </w:docPartObj>
    </w:sdtPr>
    <w:sdtEndPr>
      <w:rPr>
        <w:noProof/>
      </w:rPr>
    </w:sdtEndPr>
    <w:sdtContent>
      <w:p w14:paraId="1860E210" w14:textId="5B0EBEF3" w:rsidR="00CC2CE9" w:rsidRDefault="00A243AD" w:rsidP="003247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4F65"/>
    <w:multiLevelType w:val="hybridMultilevel"/>
    <w:tmpl w:val="D3FC1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E934DE"/>
    <w:multiLevelType w:val="hybridMultilevel"/>
    <w:tmpl w:val="71E28B4A"/>
    <w:lvl w:ilvl="0" w:tplc="12267C20">
      <w:start w:val="9"/>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96980"/>
    <w:multiLevelType w:val="hybridMultilevel"/>
    <w:tmpl w:val="F0208B68"/>
    <w:lvl w:ilvl="0" w:tplc="4E1E5C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B0040A0"/>
    <w:multiLevelType w:val="multilevel"/>
    <w:tmpl w:val="13B20FE8"/>
    <w:lvl w:ilvl="0">
      <w:start w:val="6"/>
      <w:numFmt w:val="decimal"/>
      <w:lvlText w:val="%1"/>
      <w:lvlJc w:val="left"/>
      <w:pPr>
        <w:ind w:left="410" w:hanging="410"/>
      </w:pPr>
      <w:rPr>
        <w:rFonts w:hint="default"/>
      </w:rPr>
    </w:lvl>
    <w:lvl w:ilvl="1">
      <w:start w:val="11"/>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AB49A9"/>
    <w:multiLevelType w:val="multilevel"/>
    <w:tmpl w:val="3E56F1C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EA0BF6"/>
    <w:multiLevelType w:val="multilevel"/>
    <w:tmpl w:val="0409001D"/>
    <w:numStyleLink w:val="Singlepunch"/>
  </w:abstractNum>
  <w:abstractNum w:abstractNumId="6" w15:restartNumberingAfterBreak="0">
    <w:nsid w:val="0FBA032F"/>
    <w:multiLevelType w:val="hybridMultilevel"/>
    <w:tmpl w:val="A5A438B0"/>
    <w:lvl w:ilvl="0" w:tplc="25ACC3B6">
      <w:start w:val="1"/>
      <w:numFmt w:val="bullet"/>
      <w:lvlText w:val=""/>
      <w:lvlJc w:val="left"/>
      <w:pPr>
        <w:ind w:left="1080" w:hanging="360"/>
      </w:pPr>
      <w:rPr>
        <w:rFonts w:ascii="Symbol" w:hAnsi="Symbol"/>
      </w:rPr>
    </w:lvl>
    <w:lvl w:ilvl="1" w:tplc="BBC2855A">
      <w:start w:val="1"/>
      <w:numFmt w:val="bullet"/>
      <w:lvlText w:val=""/>
      <w:lvlJc w:val="left"/>
      <w:pPr>
        <w:ind w:left="1080" w:hanging="360"/>
      </w:pPr>
      <w:rPr>
        <w:rFonts w:ascii="Symbol" w:hAnsi="Symbol"/>
      </w:rPr>
    </w:lvl>
    <w:lvl w:ilvl="2" w:tplc="2F866EB8">
      <w:start w:val="1"/>
      <w:numFmt w:val="bullet"/>
      <w:lvlText w:val=""/>
      <w:lvlJc w:val="left"/>
      <w:pPr>
        <w:ind w:left="1080" w:hanging="360"/>
      </w:pPr>
      <w:rPr>
        <w:rFonts w:ascii="Symbol" w:hAnsi="Symbol"/>
      </w:rPr>
    </w:lvl>
    <w:lvl w:ilvl="3" w:tplc="FF12189A">
      <w:start w:val="1"/>
      <w:numFmt w:val="bullet"/>
      <w:lvlText w:val=""/>
      <w:lvlJc w:val="left"/>
      <w:pPr>
        <w:ind w:left="1080" w:hanging="360"/>
      </w:pPr>
      <w:rPr>
        <w:rFonts w:ascii="Symbol" w:hAnsi="Symbol"/>
      </w:rPr>
    </w:lvl>
    <w:lvl w:ilvl="4" w:tplc="131A26A8">
      <w:start w:val="1"/>
      <w:numFmt w:val="bullet"/>
      <w:lvlText w:val=""/>
      <w:lvlJc w:val="left"/>
      <w:pPr>
        <w:ind w:left="1080" w:hanging="360"/>
      </w:pPr>
      <w:rPr>
        <w:rFonts w:ascii="Symbol" w:hAnsi="Symbol"/>
      </w:rPr>
    </w:lvl>
    <w:lvl w:ilvl="5" w:tplc="53DEC0E6">
      <w:start w:val="1"/>
      <w:numFmt w:val="bullet"/>
      <w:lvlText w:val=""/>
      <w:lvlJc w:val="left"/>
      <w:pPr>
        <w:ind w:left="1080" w:hanging="360"/>
      </w:pPr>
      <w:rPr>
        <w:rFonts w:ascii="Symbol" w:hAnsi="Symbol"/>
      </w:rPr>
    </w:lvl>
    <w:lvl w:ilvl="6" w:tplc="D80CF174">
      <w:start w:val="1"/>
      <w:numFmt w:val="bullet"/>
      <w:lvlText w:val=""/>
      <w:lvlJc w:val="left"/>
      <w:pPr>
        <w:ind w:left="1080" w:hanging="360"/>
      </w:pPr>
      <w:rPr>
        <w:rFonts w:ascii="Symbol" w:hAnsi="Symbol"/>
      </w:rPr>
    </w:lvl>
    <w:lvl w:ilvl="7" w:tplc="8B68AF08">
      <w:start w:val="1"/>
      <w:numFmt w:val="bullet"/>
      <w:lvlText w:val=""/>
      <w:lvlJc w:val="left"/>
      <w:pPr>
        <w:ind w:left="1080" w:hanging="360"/>
      </w:pPr>
      <w:rPr>
        <w:rFonts w:ascii="Symbol" w:hAnsi="Symbol"/>
      </w:rPr>
    </w:lvl>
    <w:lvl w:ilvl="8" w:tplc="4A3894F4">
      <w:start w:val="1"/>
      <w:numFmt w:val="bullet"/>
      <w:lvlText w:val=""/>
      <w:lvlJc w:val="left"/>
      <w:pPr>
        <w:ind w:left="1080" w:hanging="360"/>
      </w:pPr>
      <w:rPr>
        <w:rFonts w:ascii="Symbol" w:hAnsi="Symbol"/>
      </w:rPr>
    </w:lvl>
  </w:abstractNum>
  <w:abstractNum w:abstractNumId="7" w15:restartNumberingAfterBreak="0">
    <w:nsid w:val="11935887"/>
    <w:multiLevelType w:val="multilevel"/>
    <w:tmpl w:val="18F4BD92"/>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43B428F"/>
    <w:multiLevelType w:val="multilevel"/>
    <w:tmpl w:val="43765CDA"/>
    <w:lvl w:ilvl="0">
      <w:start w:val="6"/>
      <w:numFmt w:val="decimal"/>
      <w:lvlText w:val="%1"/>
      <w:lvlJc w:val="left"/>
      <w:pPr>
        <w:ind w:left="600" w:hanging="600"/>
      </w:pPr>
      <w:rPr>
        <w:rFonts w:hint="default"/>
        <w:b/>
      </w:rPr>
    </w:lvl>
    <w:lvl w:ilvl="1">
      <w:start w:val="12"/>
      <w:numFmt w:val="decimal"/>
      <w:lvlText w:val="%1.%2"/>
      <w:lvlJc w:val="left"/>
      <w:pPr>
        <w:ind w:left="780" w:hanging="600"/>
      </w:pPr>
      <w:rPr>
        <w:rFonts w:hint="default"/>
        <w:b/>
      </w:rPr>
    </w:lvl>
    <w:lvl w:ilvl="2">
      <w:start w:val="3"/>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9" w15:restartNumberingAfterBreak="0">
    <w:nsid w:val="14B5295C"/>
    <w:multiLevelType w:val="hybridMultilevel"/>
    <w:tmpl w:val="D0249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591D64"/>
    <w:multiLevelType w:val="hybridMultilevel"/>
    <w:tmpl w:val="55F041D4"/>
    <w:lvl w:ilvl="0" w:tplc="A29849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8CF6DA0"/>
    <w:multiLevelType w:val="hybridMultilevel"/>
    <w:tmpl w:val="C518BAD8"/>
    <w:lvl w:ilvl="0" w:tplc="9FF64E30">
      <w:start w:val="1"/>
      <w:numFmt w:val="decimal"/>
      <w:lvlText w:val="%1-"/>
      <w:lvlJc w:val="left"/>
      <w:pPr>
        <w:ind w:left="1080" w:hanging="360"/>
      </w:pPr>
      <w:rPr>
        <w:rFonts w:asciiTheme="majorBidi" w:eastAsiaTheme="minorHAnsi" w:hAnsiTheme="majorBidi" w:cstheme="majorBidi"/>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D707A7C"/>
    <w:multiLevelType w:val="hybridMultilevel"/>
    <w:tmpl w:val="EE06EF26"/>
    <w:lvl w:ilvl="0" w:tplc="65C829E0">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D783FC0"/>
    <w:multiLevelType w:val="hybridMultilevel"/>
    <w:tmpl w:val="01CAFFA8"/>
    <w:lvl w:ilvl="0" w:tplc="DDFEF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B2AC4"/>
    <w:multiLevelType w:val="hybridMultilevel"/>
    <w:tmpl w:val="D0F260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725C6F"/>
    <w:multiLevelType w:val="hybridMultilevel"/>
    <w:tmpl w:val="7C1844B8"/>
    <w:lvl w:ilvl="0" w:tplc="EEC251BE">
      <w:start w:val="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C8F1DCA"/>
    <w:multiLevelType w:val="multilevel"/>
    <w:tmpl w:val="04103D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A50592"/>
    <w:multiLevelType w:val="multilevel"/>
    <w:tmpl w:val="9EDABB68"/>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BD86B19"/>
    <w:multiLevelType w:val="hybridMultilevel"/>
    <w:tmpl w:val="B7747C44"/>
    <w:lvl w:ilvl="0" w:tplc="DDFEF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E39268D"/>
    <w:multiLevelType w:val="hybridMultilevel"/>
    <w:tmpl w:val="610C8B44"/>
    <w:lvl w:ilvl="0" w:tplc="55EA6BDE">
      <w:start w:val="1"/>
      <w:numFmt w:val="decimal"/>
      <w:lvlText w:val="%1)"/>
      <w:lvlJc w:val="left"/>
      <w:pPr>
        <w:ind w:left="1080" w:hanging="360"/>
      </w:pPr>
    </w:lvl>
    <w:lvl w:ilvl="1" w:tplc="BDEA70C6">
      <w:start w:val="1"/>
      <w:numFmt w:val="decimal"/>
      <w:lvlText w:val="%2)"/>
      <w:lvlJc w:val="left"/>
      <w:pPr>
        <w:ind w:left="1080" w:hanging="360"/>
      </w:pPr>
    </w:lvl>
    <w:lvl w:ilvl="2" w:tplc="CA3873E2">
      <w:start w:val="1"/>
      <w:numFmt w:val="decimal"/>
      <w:lvlText w:val="%3)"/>
      <w:lvlJc w:val="left"/>
      <w:pPr>
        <w:ind w:left="1080" w:hanging="360"/>
      </w:pPr>
    </w:lvl>
    <w:lvl w:ilvl="3" w:tplc="404AC27C">
      <w:start w:val="1"/>
      <w:numFmt w:val="decimal"/>
      <w:lvlText w:val="%4)"/>
      <w:lvlJc w:val="left"/>
      <w:pPr>
        <w:ind w:left="1080" w:hanging="360"/>
      </w:pPr>
    </w:lvl>
    <w:lvl w:ilvl="4" w:tplc="A57E521A">
      <w:start w:val="1"/>
      <w:numFmt w:val="decimal"/>
      <w:lvlText w:val="%5)"/>
      <w:lvlJc w:val="left"/>
      <w:pPr>
        <w:ind w:left="1080" w:hanging="360"/>
      </w:pPr>
    </w:lvl>
    <w:lvl w:ilvl="5" w:tplc="44C6C368">
      <w:start w:val="1"/>
      <w:numFmt w:val="decimal"/>
      <w:lvlText w:val="%6)"/>
      <w:lvlJc w:val="left"/>
      <w:pPr>
        <w:ind w:left="1080" w:hanging="360"/>
      </w:pPr>
    </w:lvl>
    <w:lvl w:ilvl="6" w:tplc="10FCD778">
      <w:start w:val="1"/>
      <w:numFmt w:val="decimal"/>
      <w:lvlText w:val="%7)"/>
      <w:lvlJc w:val="left"/>
      <w:pPr>
        <w:ind w:left="1080" w:hanging="360"/>
      </w:pPr>
    </w:lvl>
    <w:lvl w:ilvl="7" w:tplc="C76E4542">
      <w:start w:val="1"/>
      <w:numFmt w:val="decimal"/>
      <w:lvlText w:val="%8)"/>
      <w:lvlJc w:val="left"/>
      <w:pPr>
        <w:ind w:left="1080" w:hanging="360"/>
      </w:pPr>
    </w:lvl>
    <w:lvl w:ilvl="8" w:tplc="7FAA0F42">
      <w:start w:val="1"/>
      <w:numFmt w:val="decimal"/>
      <w:lvlText w:val="%9)"/>
      <w:lvlJc w:val="left"/>
      <w:pPr>
        <w:ind w:left="1080" w:hanging="360"/>
      </w:pPr>
    </w:lvl>
  </w:abstractNum>
  <w:abstractNum w:abstractNumId="22" w15:restartNumberingAfterBreak="0">
    <w:nsid w:val="4EEB628E"/>
    <w:multiLevelType w:val="hybridMultilevel"/>
    <w:tmpl w:val="B322B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220903"/>
    <w:multiLevelType w:val="hybridMultilevel"/>
    <w:tmpl w:val="AC920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6E253F9"/>
    <w:multiLevelType w:val="multilevel"/>
    <w:tmpl w:val="ADA07A5E"/>
    <w:lvl w:ilvl="0">
      <w:start w:val="1"/>
      <w:numFmt w:val="decimal"/>
      <w:lvlText w:val="%1."/>
      <w:lvlJc w:val="left"/>
      <w:pPr>
        <w:ind w:left="643" w:hanging="360"/>
      </w:pPr>
      <w:rPr>
        <w:rFonts w:hint="default"/>
      </w:rPr>
    </w:lvl>
    <w:lvl w:ilvl="1">
      <w:start w:val="8"/>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25" w15:restartNumberingAfterBreak="0">
    <w:nsid w:val="58045050"/>
    <w:multiLevelType w:val="hybridMultilevel"/>
    <w:tmpl w:val="E182E0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8CF5449"/>
    <w:multiLevelType w:val="multilevel"/>
    <w:tmpl w:val="82C08666"/>
    <w:lvl w:ilvl="0">
      <w:start w:val="6"/>
      <w:numFmt w:val="decimal"/>
      <w:lvlText w:val="%1"/>
      <w:lvlJc w:val="left"/>
      <w:pPr>
        <w:ind w:left="600" w:hanging="600"/>
      </w:pPr>
      <w:rPr>
        <w:rFonts w:hint="default"/>
        <w:b/>
      </w:rPr>
    </w:lvl>
    <w:lvl w:ilvl="1">
      <w:start w:val="12"/>
      <w:numFmt w:val="decimal"/>
      <w:lvlText w:val="%1.%2"/>
      <w:lvlJc w:val="left"/>
      <w:pPr>
        <w:ind w:left="990" w:hanging="600"/>
      </w:pPr>
      <w:rPr>
        <w:rFonts w:hint="default"/>
        <w:b/>
      </w:rPr>
    </w:lvl>
    <w:lvl w:ilvl="2">
      <w:start w:val="8"/>
      <w:numFmt w:val="decimal"/>
      <w:lvlText w:val="%1.%2.%3"/>
      <w:lvlJc w:val="left"/>
      <w:pPr>
        <w:ind w:left="1500" w:hanging="720"/>
      </w:pPr>
      <w:rPr>
        <w:rFonts w:hint="default"/>
        <w:b/>
      </w:rPr>
    </w:lvl>
    <w:lvl w:ilvl="3">
      <w:start w:val="1"/>
      <w:numFmt w:val="decimal"/>
      <w:lvlText w:val="%1.%2.%3.%4"/>
      <w:lvlJc w:val="left"/>
      <w:pPr>
        <w:ind w:left="1890" w:hanging="720"/>
      </w:pPr>
      <w:rPr>
        <w:rFonts w:hint="default"/>
        <w:b/>
      </w:rPr>
    </w:lvl>
    <w:lvl w:ilvl="4">
      <w:start w:val="1"/>
      <w:numFmt w:val="decimal"/>
      <w:lvlText w:val="%1.%2.%3.%4.%5"/>
      <w:lvlJc w:val="left"/>
      <w:pPr>
        <w:ind w:left="2640" w:hanging="1080"/>
      </w:pPr>
      <w:rPr>
        <w:rFonts w:hint="default"/>
        <w:b/>
      </w:rPr>
    </w:lvl>
    <w:lvl w:ilvl="5">
      <w:start w:val="1"/>
      <w:numFmt w:val="decimal"/>
      <w:lvlText w:val="%1.%2.%3.%4.%5.%6"/>
      <w:lvlJc w:val="left"/>
      <w:pPr>
        <w:ind w:left="3030" w:hanging="1080"/>
      </w:pPr>
      <w:rPr>
        <w:rFonts w:hint="default"/>
        <w:b/>
      </w:rPr>
    </w:lvl>
    <w:lvl w:ilvl="6">
      <w:start w:val="1"/>
      <w:numFmt w:val="decimal"/>
      <w:lvlText w:val="%1.%2.%3.%4.%5.%6.%7"/>
      <w:lvlJc w:val="left"/>
      <w:pPr>
        <w:ind w:left="3780" w:hanging="1440"/>
      </w:pPr>
      <w:rPr>
        <w:rFonts w:hint="default"/>
        <w:b/>
      </w:rPr>
    </w:lvl>
    <w:lvl w:ilvl="7">
      <w:start w:val="1"/>
      <w:numFmt w:val="decimal"/>
      <w:lvlText w:val="%1.%2.%3.%4.%5.%6.%7.%8"/>
      <w:lvlJc w:val="left"/>
      <w:pPr>
        <w:ind w:left="4170" w:hanging="1440"/>
      </w:pPr>
      <w:rPr>
        <w:rFonts w:hint="default"/>
        <w:b/>
      </w:rPr>
    </w:lvl>
    <w:lvl w:ilvl="8">
      <w:start w:val="1"/>
      <w:numFmt w:val="decimal"/>
      <w:lvlText w:val="%1.%2.%3.%4.%5.%6.%7.%8.%9"/>
      <w:lvlJc w:val="left"/>
      <w:pPr>
        <w:ind w:left="4920" w:hanging="1800"/>
      </w:pPr>
      <w:rPr>
        <w:rFonts w:hint="default"/>
        <w:b/>
      </w:rPr>
    </w:lvl>
  </w:abstractNum>
  <w:abstractNum w:abstractNumId="27" w15:restartNumberingAfterBreak="0">
    <w:nsid w:val="5FDD5C66"/>
    <w:multiLevelType w:val="hybridMultilevel"/>
    <w:tmpl w:val="716A6038"/>
    <w:lvl w:ilvl="0" w:tplc="0EBCB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C8381E"/>
    <w:multiLevelType w:val="hybridMultilevel"/>
    <w:tmpl w:val="2D3A6440"/>
    <w:lvl w:ilvl="0" w:tplc="CFF2EC42">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B7330C"/>
    <w:multiLevelType w:val="hybridMultilevel"/>
    <w:tmpl w:val="0D409E2A"/>
    <w:lvl w:ilvl="0" w:tplc="35C2B7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410D6E"/>
    <w:multiLevelType w:val="hybridMultilevel"/>
    <w:tmpl w:val="E29067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7305A6"/>
    <w:multiLevelType w:val="hybridMultilevel"/>
    <w:tmpl w:val="D5B40090"/>
    <w:lvl w:ilvl="0" w:tplc="4C246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292E6E"/>
    <w:multiLevelType w:val="hybridMultilevel"/>
    <w:tmpl w:val="3A7E7F3C"/>
    <w:lvl w:ilvl="0" w:tplc="C210574C">
      <w:start w:val="1"/>
      <w:numFmt w:val="decimal"/>
      <w:lvlText w:val="%1-"/>
      <w:lvlJc w:val="left"/>
      <w:pPr>
        <w:ind w:left="1080" w:hanging="360"/>
      </w:pPr>
      <w:rPr>
        <w:rFonts w:asciiTheme="majorBidi" w:eastAsiaTheme="minorHAnsi" w:hAnsiTheme="majorBidi" w:cstheme="maj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DA40349"/>
    <w:multiLevelType w:val="multilevel"/>
    <w:tmpl w:val="81AE81A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E2E1FE0"/>
    <w:multiLevelType w:val="hybridMultilevel"/>
    <w:tmpl w:val="B3C05C3C"/>
    <w:lvl w:ilvl="0" w:tplc="E7D2F9DA">
      <w:start w:val="1"/>
      <w:numFmt w:val="decimal"/>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EC531D"/>
    <w:multiLevelType w:val="hybridMultilevel"/>
    <w:tmpl w:val="1F9ACC90"/>
    <w:lvl w:ilvl="0" w:tplc="2A649492">
      <w:start w:val="9"/>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CA658B"/>
    <w:multiLevelType w:val="multilevel"/>
    <w:tmpl w:val="8B92FE0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05022572">
    <w:abstractNumId w:val="24"/>
  </w:num>
  <w:num w:numId="2" w16cid:durableId="1956600705">
    <w:abstractNumId w:val="16"/>
  </w:num>
  <w:num w:numId="3" w16cid:durableId="903837897">
    <w:abstractNumId w:val="19"/>
  </w:num>
  <w:num w:numId="4" w16cid:durableId="1697925260">
    <w:abstractNumId w:val="22"/>
  </w:num>
  <w:num w:numId="5" w16cid:durableId="1464153516">
    <w:abstractNumId w:val="0"/>
  </w:num>
  <w:num w:numId="6" w16cid:durableId="1384864977">
    <w:abstractNumId w:val="25"/>
  </w:num>
  <w:num w:numId="7" w16cid:durableId="2083869300">
    <w:abstractNumId w:val="12"/>
  </w:num>
  <w:num w:numId="8" w16cid:durableId="917137217">
    <w:abstractNumId w:val="31"/>
  </w:num>
  <w:num w:numId="9" w16cid:durableId="1292132123">
    <w:abstractNumId w:val="13"/>
  </w:num>
  <w:num w:numId="10" w16cid:durableId="1259367716">
    <w:abstractNumId w:val="20"/>
  </w:num>
  <w:num w:numId="11" w16cid:durableId="1059018930">
    <w:abstractNumId w:val="14"/>
  </w:num>
  <w:num w:numId="12" w16cid:durableId="1909529793">
    <w:abstractNumId w:val="9"/>
  </w:num>
  <w:num w:numId="13" w16cid:durableId="1200974660">
    <w:abstractNumId w:val="34"/>
  </w:num>
  <w:num w:numId="14" w16cid:durableId="1311985013">
    <w:abstractNumId w:val="18"/>
  </w:num>
  <w:num w:numId="15" w16cid:durableId="1264805398">
    <w:abstractNumId w:val="32"/>
  </w:num>
  <w:num w:numId="16" w16cid:durableId="363408972">
    <w:abstractNumId w:val="23"/>
  </w:num>
  <w:num w:numId="17" w16cid:durableId="1036544846">
    <w:abstractNumId w:val="2"/>
  </w:num>
  <w:num w:numId="18" w16cid:durableId="712383798">
    <w:abstractNumId w:val="29"/>
  </w:num>
  <w:num w:numId="19" w16cid:durableId="1713264335">
    <w:abstractNumId w:val="27"/>
  </w:num>
  <w:num w:numId="20" w16cid:durableId="1524630141">
    <w:abstractNumId w:val="11"/>
  </w:num>
  <w:num w:numId="21" w16cid:durableId="1501774011">
    <w:abstractNumId w:val="10"/>
  </w:num>
  <w:num w:numId="22" w16cid:durableId="1993674732">
    <w:abstractNumId w:val="17"/>
  </w:num>
  <w:num w:numId="23" w16cid:durableId="1996448033">
    <w:abstractNumId w:val="4"/>
  </w:num>
  <w:num w:numId="24" w16cid:durableId="1377120713">
    <w:abstractNumId w:val="3"/>
  </w:num>
  <w:num w:numId="25" w16cid:durableId="1512572987">
    <w:abstractNumId w:val="8"/>
  </w:num>
  <w:num w:numId="26" w16cid:durableId="1334799714">
    <w:abstractNumId w:val="26"/>
  </w:num>
  <w:num w:numId="27" w16cid:durableId="845051009">
    <w:abstractNumId w:val="33"/>
  </w:num>
  <w:num w:numId="28" w16cid:durableId="214388495">
    <w:abstractNumId w:val="7"/>
  </w:num>
  <w:num w:numId="29" w16cid:durableId="856885890">
    <w:abstractNumId w:val="5"/>
  </w:num>
  <w:num w:numId="30" w16cid:durableId="756513143">
    <w:abstractNumId w:val="28"/>
  </w:num>
  <w:num w:numId="31" w16cid:durableId="2147121880">
    <w:abstractNumId w:val="35"/>
  </w:num>
  <w:num w:numId="32" w16cid:durableId="1901281694">
    <w:abstractNumId w:val="1"/>
  </w:num>
  <w:num w:numId="33" w16cid:durableId="1523124754">
    <w:abstractNumId w:val="21"/>
  </w:num>
  <w:num w:numId="34" w16cid:durableId="1644776623">
    <w:abstractNumId w:val="6"/>
  </w:num>
  <w:num w:numId="35" w16cid:durableId="910700483">
    <w:abstractNumId w:val="15"/>
  </w:num>
  <w:num w:numId="36" w16cid:durableId="1806048998">
    <w:abstractNumId w:val="36"/>
  </w:num>
  <w:num w:numId="37" w16cid:durableId="181915228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C5"/>
    <w:rsid w:val="00000223"/>
    <w:rsid w:val="00000A12"/>
    <w:rsid w:val="0000130B"/>
    <w:rsid w:val="00001CBD"/>
    <w:rsid w:val="00002386"/>
    <w:rsid w:val="00002857"/>
    <w:rsid w:val="00003094"/>
    <w:rsid w:val="000045EB"/>
    <w:rsid w:val="00004618"/>
    <w:rsid w:val="00004E03"/>
    <w:rsid w:val="00010DEA"/>
    <w:rsid w:val="000128B7"/>
    <w:rsid w:val="00012973"/>
    <w:rsid w:val="000129F7"/>
    <w:rsid w:val="00014AC4"/>
    <w:rsid w:val="000174D8"/>
    <w:rsid w:val="000177EB"/>
    <w:rsid w:val="0002174E"/>
    <w:rsid w:val="00021937"/>
    <w:rsid w:val="00022A7B"/>
    <w:rsid w:val="00024000"/>
    <w:rsid w:val="00024510"/>
    <w:rsid w:val="00024749"/>
    <w:rsid w:val="00026112"/>
    <w:rsid w:val="00027581"/>
    <w:rsid w:val="00027BE0"/>
    <w:rsid w:val="00027F45"/>
    <w:rsid w:val="00031397"/>
    <w:rsid w:val="0003299D"/>
    <w:rsid w:val="00033786"/>
    <w:rsid w:val="000355F5"/>
    <w:rsid w:val="00036F70"/>
    <w:rsid w:val="00040234"/>
    <w:rsid w:val="00041ACA"/>
    <w:rsid w:val="00042968"/>
    <w:rsid w:val="0004301F"/>
    <w:rsid w:val="000440A7"/>
    <w:rsid w:val="00044DE9"/>
    <w:rsid w:val="000473F4"/>
    <w:rsid w:val="00047F50"/>
    <w:rsid w:val="000506FE"/>
    <w:rsid w:val="00051B54"/>
    <w:rsid w:val="00053611"/>
    <w:rsid w:val="00053A5D"/>
    <w:rsid w:val="00053DA4"/>
    <w:rsid w:val="000549DB"/>
    <w:rsid w:val="00056199"/>
    <w:rsid w:val="00056CA2"/>
    <w:rsid w:val="00056F48"/>
    <w:rsid w:val="000613FC"/>
    <w:rsid w:val="000614D2"/>
    <w:rsid w:val="000626C8"/>
    <w:rsid w:val="00063655"/>
    <w:rsid w:val="00064A53"/>
    <w:rsid w:val="00064F23"/>
    <w:rsid w:val="00065FCC"/>
    <w:rsid w:val="00070D94"/>
    <w:rsid w:val="000728A8"/>
    <w:rsid w:val="0007409B"/>
    <w:rsid w:val="0007451A"/>
    <w:rsid w:val="000760B4"/>
    <w:rsid w:val="00080596"/>
    <w:rsid w:val="00083501"/>
    <w:rsid w:val="00086065"/>
    <w:rsid w:val="00086164"/>
    <w:rsid w:val="00086598"/>
    <w:rsid w:val="00086621"/>
    <w:rsid w:val="00087F49"/>
    <w:rsid w:val="000903C2"/>
    <w:rsid w:val="00090C10"/>
    <w:rsid w:val="0009171F"/>
    <w:rsid w:val="00091831"/>
    <w:rsid w:val="00091917"/>
    <w:rsid w:val="000935B2"/>
    <w:rsid w:val="00094B8B"/>
    <w:rsid w:val="000963F2"/>
    <w:rsid w:val="00096749"/>
    <w:rsid w:val="00096D19"/>
    <w:rsid w:val="00096D57"/>
    <w:rsid w:val="000978AC"/>
    <w:rsid w:val="000A031C"/>
    <w:rsid w:val="000A0EE0"/>
    <w:rsid w:val="000A291B"/>
    <w:rsid w:val="000A43AD"/>
    <w:rsid w:val="000A45A7"/>
    <w:rsid w:val="000A52A9"/>
    <w:rsid w:val="000A6D10"/>
    <w:rsid w:val="000A7B6A"/>
    <w:rsid w:val="000B0FD3"/>
    <w:rsid w:val="000B1644"/>
    <w:rsid w:val="000B20F0"/>
    <w:rsid w:val="000B25E6"/>
    <w:rsid w:val="000B486D"/>
    <w:rsid w:val="000B49C1"/>
    <w:rsid w:val="000B701F"/>
    <w:rsid w:val="000C0BA3"/>
    <w:rsid w:val="000C495A"/>
    <w:rsid w:val="000C5437"/>
    <w:rsid w:val="000C75DC"/>
    <w:rsid w:val="000D1FC2"/>
    <w:rsid w:val="000D2FC6"/>
    <w:rsid w:val="000D3676"/>
    <w:rsid w:val="000D5EC9"/>
    <w:rsid w:val="000D7237"/>
    <w:rsid w:val="000E026B"/>
    <w:rsid w:val="000E0F55"/>
    <w:rsid w:val="000E1345"/>
    <w:rsid w:val="000E546E"/>
    <w:rsid w:val="000E6EBB"/>
    <w:rsid w:val="000F1636"/>
    <w:rsid w:val="000F1A7A"/>
    <w:rsid w:val="000F23A4"/>
    <w:rsid w:val="000F457F"/>
    <w:rsid w:val="000F4CF9"/>
    <w:rsid w:val="000F5745"/>
    <w:rsid w:val="000F67B7"/>
    <w:rsid w:val="000F680D"/>
    <w:rsid w:val="000F71A8"/>
    <w:rsid w:val="000F74CF"/>
    <w:rsid w:val="000F751E"/>
    <w:rsid w:val="0010044F"/>
    <w:rsid w:val="00103C92"/>
    <w:rsid w:val="00110EFE"/>
    <w:rsid w:val="001110ED"/>
    <w:rsid w:val="0011270B"/>
    <w:rsid w:val="00112B90"/>
    <w:rsid w:val="00112EF5"/>
    <w:rsid w:val="001132CF"/>
    <w:rsid w:val="0011349A"/>
    <w:rsid w:val="00113FE3"/>
    <w:rsid w:val="00115B97"/>
    <w:rsid w:val="00116685"/>
    <w:rsid w:val="00116AA3"/>
    <w:rsid w:val="001208EA"/>
    <w:rsid w:val="00122C76"/>
    <w:rsid w:val="001253E8"/>
    <w:rsid w:val="00125BEC"/>
    <w:rsid w:val="00126E70"/>
    <w:rsid w:val="00127273"/>
    <w:rsid w:val="00127C1E"/>
    <w:rsid w:val="001307A0"/>
    <w:rsid w:val="00131016"/>
    <w:rsid w:val="00131699"/>
    <w:rsid w:val="00131FA8"/>
    <w:rsid w:val="001336BC"/>
    <w:rsid w:val="001344D3"/>
    <w:rsid w:val="00134ECA"/>
    <w:rsid w:val="00135B75"/>
    <w:rsid w:val="00135C3C"/>
    <w:rsid w:val="0013692C"/>
    <w:rsid w:val="00136A94"/>
    <w:rsid w:val="00141636"/>
    <w:rsid w:val="00142F03"/>
    <w:rsid w:val="00144CA8"/>
    <w:rsid w:val="00144E0C"/>
    <w:rsid w:val="001463BD"/>
    <w:rsid w:val="00146B5D"/>
    <w:rsid w:val="00147181"/>
    <w:rsid w:val="001474F9"/>
    <w:rsid w:val="00151099"/>
    <w:rsid w:val="00151123"/>
    <w:rsid w:val="0015154A"/>
    <w:rsid w:val="00151ABA"/>
    <w:rsid w:val="00153EE6"/>
    <w:rsid w:val="00155C39"/>
    <w:rsid w:val="0015630D"/>
    <w:rsid w:val="001574D0"/>
    <w:rsid w:val="00157ED1"/>
    <w:rsid w:val="00157F06"/>
    <w:rsid w:val="00164119"/>
    <w:rsid w:val="001641CD"/>
    <w:rsid w:val="0016744E"/>
    <w:rsid w:val="00170BD7"/>
    <w:rsid w:val="00171B50"/>
    <w:rsid w:val="00172781"/>
    <w:rsid w:val="001729C9"/>
    <w:rsid w:val="00172CDC"/>
    <w:rsid w:val="00173020"/>
    <w:rsid w:val="00173596"/>
    <w:rsid w:val="00173614"/>
    <w:rsid w:val="001750E8"/>
    <w:rsid w:val="001757CE"/>
    <w:rsid w:val="001764A3"/>
    <w:rsid w:val="00176BD7"/>
    <w:rsid w:val="001776CA"/>
    <w:rsid w:val="001777CD"/>
    <w:rsid w:val="00177938"/>
    <w:rsid w:val="00180873"/>
    <w:rsid w:val="00180B02"/>
    <w:rsid w:val="00181732"/>
    <w:rsid w:val="00181895"/>
    <w:rsid w:val="0018259B"/>
    <w:rsid w:val="0018290F"/>
    <w:rsid w:val="00183284"/>
    <w:rsid w:val="0018391A"/>
    <w:rsid w:val="00183B00"/>
    <w:rsid w:val="00187E84"/>
    <w:rsid w:val="00191ADF"/>
    <w:rsid w:val="001936DB"/>
    <w:rsid w:val="00195EA6"/>
    <w:rsid w:val="00196EDF"/>
    <w:rsid w:val="001A14FD"/>
    <w:rsid w:val="001A2A48"/>
    <w:rsid w:val="001A4C24"/>
    <w:rsid w:val="001A5051"/>
    <w:rsid w:val="001A5308"/>
    <w:rsid w:val="001A59E9"/>
    <w:rsid w:val="001A65C0"/>
    <w:rsid w:val="001A6A18"/>
    <w:rsid w:val="001A6A59"/>
    <w:rsid w:val="001A6A8D"/>
    <w:rsid w:val="001A74A1"/>
    <w:rsid w:val="001A7D6E"/>
    <w:rsid w:val="001B0940"/>
    <w:rsid w:val="001B24EB"/>
    <w:rsid w:val="001B2A3A"/>
    <w:rsid w:val="001B3AC6"/>
    <w:rsid w:val="001B45CA"/>
    <w:rsid w:val="001B641A"/>
    <w:rsid w:val="001C1B7D"/>
    <w:rsid w:val="001C1E46"/>
    <w:rsid w:val="001C3D9B"/>
    <w:rsid w:val="001C44E0"/>
    <w:rsid w:val="001C47A4"/>
    <w:rsid w:val="001C50AC"/>
    <w:rsid w:val="001C55FA"/>
    <w:rsid w:val="001C7403"/>
    <w:rsid w:val="001C7FC0"/>
    <w:rsid w:val="001D0E57"/>
    <w:rsid w:val="001D14BD"/>
    <w:rsid w:val="001D3CC3"/>
    <w:rsid w:val="001D3CCD"/>
    <w:rsid w:val="001D55B3"/>
    <w:rsid w:val="001D6316"/>
    <w:rsid w:val="001D7149"/>
    <w:rsid w:val="001E005B"/>
    <w:rsid w:val="001E0A90"/>
    <w:rsid w:val="001E0DFD"/>
    <w:rsid w:val="001E518E"/>
    <w:rsid w:val="001E589A"/>
    <w:rsid w:val="001E6B75"/>
    <w:rsid w:val="001E7057"/>
    <w:rsid w:val="001E7FE8"/>
    <w:rsid w:val="001F075B"/>
    <w:rsid w:val="001F09C0"/>
    <w:rsid w:val="001F5514"/>
    <w:rsid w:val="001F5F95"/>
    <w:rsid w:val="001F615A"/>
    <w:rsid w:val="001F71D1"/>
    <w:rsid w:val="001F73FA"/>
    <w:rsid w:val="001F7AA6"/>
    <w:rsid w:val="002001F4"/>
    <w:rsid w:val="00200696"/>
    <w:rsid w:val="00201A1F"/>
    <w:rsid w:val="0020251C"/>
    <w:rsid w:val="00202557"/>
    <w:rsid w:val="00202FE3"/>
    <w:rsid w:val="002050A2"/>
    <w:rsid w:val="00207A37"/>
    <w:rsid w:val="00207C43"/>
    <w:rsid w:val="00210C2E"/>
    <w:rsid w:val="00211E64"/>
    <w:rsid w:val="00215B6A"/>
    <w:rsid w:val="002164B0"/>
    <w:rsid w:val="00216CD1"/>
    <w:rsid w:val="00221E9F"/>
    <w:rsid w:val="002227A2"/>
    <w:rsid w:val="0022349B"/>
    <w:rsid w:val="0022368B"/>
    <w:rsid w:val="002241FB"/>
    <w:rsid w:val="0022443A"/>
    <w:rsid w:val="00224BD1"/>
    <w:rsid w:val="002266E6"/>
    <w:rsid w:val="00226CF0"/>
    <w:rsid w:val="00227FA1"/>
    <w:rsid w:val="002302BF"/>
    <w:rsid w:val="00230C9C"/>
    <w:rsid w:val="0023110C"/>
    <w:rsid w:val="00231D30"/>
    <w:rsid w:val="00232B3F"/>
    <w:rsid w:val="00233F82"/>
    <w:rsid w:val="0023410B"/>
    <w:rsid w:val="0023458B"/>
    <w:rsid w:val="00236B16"/>
    <w:rsid w:val="00241BD8"/>
    <w:rsid w:val="00241E62"/>
    <w:rsid w:val="0024205C"/>
    <w:rsid w:val="00242BE0"/>
    <w:rsid w:val="00243C67"/>
    <w:rsid w:val="0024583A"/>
    <w:rsid w:val="00245841"/>
    <w:rsid w:val="00245F62"/>
    <w:rsid w:val="00246438"/>
    <w:rsid w:val="002467D0"/>
    <w:rsid w:val="00247853"/>
    <w:rsid w:val="00250301"/>
    <w:rsid w:val="00250620"/>
    <w:rsid w:val="00250747"/>
    <w:rsid w:val="00251A87"/>
    <w:rsid w:val="002528D7"/>
    <w:rsid w:val="00256926"/>
    <w:rsid w:val="0025757F"/>
    <w:rsid w:val="00257A6E"/>
    <w:rsid w:val="00257F65"/>
    <w:rsid w:val="00257FC7"/>
    <w:rsid w:val="00260FEA"/>
    <w:rsid w:val="0026183B"/>
    <w:rsid w:val="00261E5D"/>
    <w:rsid w:val="00262F62"/>
    <w:rsid w:val="0026387A"/>
    <w:rsid w:val="0026424D"/>
    <w:rsid w:val="00264F3A"/>
    <w:rsid w:val="00265059"/>
    <w:rsid w:val="00265ACB"/>
    <w:rsid w:val="002670FF"/>
    <w:rsid w:val="00267252"/>
    <w:rsid w:val="00270BC2"/>
    <w:rsid w:val="00270E2E"/>
    <w:rsid w:val="002711E0"/>
    <w:rsid w:val="002720E2"/>
    <w:rsid w:val="00272D8D"/>
    <w:rsid w:val="00272FCC"/>
    <w:rsid w:val="00273254"/>
    <w:rsid w:val="002735F8"/>
    <w:rsid w:val="002758E0"/>
    <w:rsid w:val="00280A21"/>
    <w:rsid w:val="0028221C"/>
    <w:rsid w:val="00282A02"/>
    <w:rsid w:val="00282C0C"/>
    <w:rsid w:val="00283821"/>
    <w:rsid w:val="00285070"/>
    <w:rsid w:val="00285D8C"/>
    <w:rsid w:val="00286198"/>
    <w:rsid w:val="002867E6"/>
    <w:rsid w:val="0028740C"/>
    <w:rsid w:val="00287490"/>
    <w:rsid w:val="002903C6"/>
    <w:rsid w:val="002926B2"/>
    <w:rsid w:val="00292B32"/>
    <w:rsid w:val="00292CFE"/>
    <w:rsid w:val="00292FC9"/>
    <w:rsid w:val="00293F21"/>
    <w:rsid w:val="00294A0C"/>
    <w:rsid w:val="00294CC2"/>
    <w:rsid w:val="00295214"/>
    <w:rsid w:val="00295C1A"/>
    <w:rsid w:val="00295FE7"/>
    <w:rsid w:val="002A0BC9"/>
    <w:rsid w:val="002A387C"/>
    <w:rsid w:val="002A57CF"/>
    <w:rsid w:val="002A5C18"/>
    <w:rsid w:val="002A65A7"/>
    <w:rsid w:val="002A6AA2"/>
    <w:rsid w:val="002A7CCC"/>
    <w:rsid w:val="002B1546"/>
    <w:rsid w:val="002B1A75"/>
    <w:rsid w:val="002B1B59"/>
    <w:rsid w:val="002B3403"/>
    <w:rsid w:val="002B3425"/>
    <w:rsid w:val="002B486E"/>
    <w:rsid w:val="002B4A55"/>
    <w:rsid w:val="002B5C50"/>
    <w:rsid w:val="002C0E64"/>
    <w:rsid w:val="002C4660"/>
    <w:rsid w:val="002C4862"/>
    <w:rsid w:val="002C50EB"/>
    <w:rsid w:val="002C5277"/>
    <w:rsid w:val="002C5F85"/>
    <w:rsid w:val="002C69A1"/>
    <w:rsid w:val="002C7CB3"/>
    <w:rsid w:val="002D156B"/>
    <w:rsid w:val="002D37FB"/>
    <w:rsid w:val="002D6497"/>
    <w:rsid w:val="002D693E"/>
    <w:rsid w:val="002D69EE"/>
    <w:rsid w:val="002D6E4B"/>
    <w:rsid w:val="002D7A6D"/>
    <w:rsid w:val="002E1A03"/>
    <w:rsid w:val="002E2DE2"/>
    <w:rsid w:val="002E33CB"/>
    <w:rsid w:val="002E3425"/>
    <w:rsid w:val="002E38AD"/>
    <w:rsid w:val="002E5169"/>
    <w:rsid w:val="002E5208"/>
    <w:rsid w:val="002E6D83"/>
    <w:rsid w:val="002E73D0"/>
    <w:rsid w:val="002E7D70"/>
    <w:rsid w:val="002F107E"/>
    <w:rsid w:val="002F11E7"/>
    <w:rsid w:val="002F149E"/>
    <w:rsid w:val="002F19BD"/>
    <w:rsid w:val="002F2ACA"/>
    <w:rsid w:val="002F35B0"/>
    <w:rsid w:val="002F4481"/>
    <w:rsid w:val="002F5AA4"/>
    <w:rsid w:val="003013C2"/>
    <w:rsid w:val="00301B27"/>
    <w:rsid w:val="00301C67"/>
    <w:rsid w:val="00302FE8"/>
    <w:rsid w:val="00305061"/>
    <w:rsid w:val="0030530A"/>
    <w:rsid w:val="00307670"/>
    <w:rsid w:val="003079CC"/>
    <w:rsid w:val="00307D4B"/>
    <w:rsid w:val="00311671"/>
    <w:rsid w:val="00312E15"/>
    <w:rsid w:val="00312E66"/>
    <w:rsid w:val="003132E6"/>
    <w:rsid w:val="0031353F"/>
    <w:rsid w:val="00313594"/>
    <w:rsid w:val="003145C8"/>
    <w:rsid w:val="003151C5"/>
    <w:rsid w:val="00315A39"/>
    <w:rsid w:val="003160E4"/>
    <w:rsid w:val="00316A00"/>
    <w:rsid w:val="00316D10"/>
    <w:rsid w:val="003171D5"/>
    <w:rsid w:val="0032038A"/>
    <w:rsid w:val="0032194C"/>
    <w:rsid w:val="00321A6B"/>
    <w:rsid w:val="003227FF"/>
    <w:rsid w:val="0032435A"/>
    <w:rsid w:val="00324445"/>
    <w:rsid w:val="0032474D"/>
    <w:rsid w:val="003265F4"/>
    <w:rsid w:val="0032783A"/>
    <w:rsid w:val="003320A4"/>
    <w:rsid w:val="003324FF"/>
    <w:rsid w:val="003326EC"/>
    <w:rsid w:val="00333AC9"/>
    <w:rsid w:val="003347FB"/>
    <w:rsid w:val="00335E37"/>
    <w:rsid w:val="00336690"/>
    <w:rsid w:val="00337E97"/>
    <w:rsid w:val="003401AE"/>
    <w:rsid w:val="00340222"/>
    <w:rsid w:val="003402FD"/>
    <w:rsid w:val="00341607"/>
    <w:rsid w:val="00341C6B"/>
    <w:rsid w:val="00343AD9"/>
    <w:rsid w:val="003449BD"/>
    <w:rsid w:val="00344C3E"/>
    <w:rsid w:val="00350829"/>
    <w:rsid w:val="00354F07"/>
    <w:rsid w:val="00355004"/>
    <w:rsid w:val="003556BE"/>
    <w:rsid w:val="00355951"/>
    <w:rsid w:val="0035731C"/>
    <w:rsid w:val="003606DE"/>
    <w:rsid w:val="00361713"/>
    <w:rsid w:val="003625B6"/>
    <w:rsid w:val="00363458"/>
    <w:rsid w:val="00364686"/>
    <w:rsid w:val="00364B98"/>
    <w:rsid w:val="00364D47"/>
    <w:rsid w:val="00365358"/>
    <w:rsid w:val="00367123"/>
    <w:rsid w:val="003714C1"/>
    <w:rsid w:val="003723CF"/>
    <w:rsid w:val="00374283"/>
    <w:rsid w:val="00374957"/>
    <w:rsid w:val="00376942"/>
    <w:rsid w:val="00376990"/>
    <w:rsid w:val="0038061A"/>
    <w:rsid w:val="00381E34"/>
    <w:rsid w:val="003847C2"/>
    <w:rsid w:val="003848C6"/>
    <w:rsid w:val="0038520D"/>
    <w:rsid w:val="003864DC"/>
    <w:rsid w:val="003866E2"/>
    <w:rsid w:val="00390532"/>
    <w:rsid w:val="003907A2"/>
    <w:rsid w:val="00391C46"/>
    <w:rsid w:val="00391D20"/>
    <w:rsid w:val="00392365"/>
    <w:rsid w:val="00393BBE"/>
    <w:rsid w:val="00395741"/>
    <w:rsid w:val="00395F8B"/>
    <w:rsid w:val="0039675A"/>
    <w:rsid w:val="00397BAE"/>
    <w:rsid w:val="003A01D0"/>
    <w:rsid w:val="003A14AD"/>
    <w:rsid w:val="003A1E9B"/>
    <w:rsid w:val="003A1FE5"/>
    <w:rsid w:val="003A3245"/>
    <w:rsid w:val="003A33C7"/>
    <w:rsid w:val="003A37DD"/>
    <w:rsid w:val="003A55E7"/>
    <w:rsid w:val="003A584E"/>
    <w:rsid w:val="003A58CE"/>
    <w:rsid w:val="003A5F57"/>
    <w:rsid w:val="003A76FD"/>
    <w:rsid w:val="003A7CDB"/>
    <w:rsid w:val="003B1DF4"/>
    <w:rsid w:val="003B2EC6"/>
    <w:rsid w:val="003B31C2"/>
    <w:rsid w:val="003B3A90"/>
    <w:rsid w:val="003B4CBD"/>
    <w:rsid w:val="003B4E7B"/>
    <w:rsid w:val="003B6619"/>
    <w:rsid w:val="003B7218"/>
    <w:rsid w:val="003B7715"/>
    <w:rsid w:val="003C0420"/>
    <w:rsid w:val="003C0511"/>
    <w:rsid w:val="003C0770"/>
    <w:rsid w:val="003C0A93"/>
    <w:rsid w:val="003C109C"/>
    <w:rsid w:val="003C234A"/>
    <w:rsid w:val="003C4527"/>
    <w:rsid w:val="003C58D1"/>
    <w:rsid w:val="003C6563"/>
    <w:rsid w:val="003C6BB6"/>
    <w:rsid w:val="003D15F2"/>
    <w:rsid w:val="003D247D"/>
    <w:rsid w:val="003D29EE"/>
    <w:rsid w:val="003D385E"/>
    <w:rsid w:val="003D41AB"/>
    <w:rsid w:val="003D4B4A"/>
    <w:rsid w:val="003E0AB3"/>
    <w:rsid w:val="003E21AD"/>
    <w:rsid w:val="003E2EDC"/>
    <w:rsid w:val="003E314E"/>
    <w:rsid w:val="003E40AB"/>
    <w:rsid w:val="003E43D8"/>
    <w:rsid w:val="003E489C"/>
    <w:rsid w:val="003E4CF7"/>
    <w:rsid w:val="003E582C"/>
    <w:rsid w:val="003E59B0"/>
    <w:rsid w:val="003F0073"/>
    <w:rsid w:val="003F04F9"/>
    <w:rsid w:val="003F2603"/>
    <w:rsid w:val="003F39C2"/>
    <w:rsid w:val="003F4AC5"/>
    <w:rsid w:val="003F4BB5"/>
    <w:rsid w:val="003F5714"/>
    <w:rsid w:val="003F58C2"/>
    <w:rsid w:val="003F61F9"/>
    <w:rsid w:val="004004BC"/>
    <w:rsid w:val="0040301C"/>
    <w:rsid w:val="0040437C"/>
    <w:rsid w:val="004045A7"/>
    <w:rsid w:val="00405FC9"/>
    <w:rsid w:val="00406354"/>
    <w:rsid w:val="00406388"/>
    <w:rsid w:val="0040777D"/>
    <w:rsid w:val="004103BC"/>
    <w:rsid w:val="00410CF1"/>
    <w:rsid w:val="0041183E"/>
    <w:rsid w:val="00416AFC"/>
    <w:rsid w:val="004173CF"/>
    <w:rsid w:val="00421F33"/>
    <w:rsid w:val="00421F64"/>
    <w:rsid w:val="004250D8"/>
    <w:rsid w:val="00425D6C"/>
    <w:rsid w:val="00426639"/>
    <w:rsid w:val="00427656"/>
    <w:rsid w:val="00431510"/>
    <w:rsid w:val="004316ED"/>
    <w:rsid w:val="004317D3"/>
    <w:rsid w:val="004334E2"/>
    <w:rsid w:val="00433F40"/>
    <w:rsid w:val="00435067"/>
    <w:rsid w:val="004357B9"/>
    <w:rsid w:val="00435851"/>
    <w:rsid w:val="00436167"/>
    <w:rsid w:val="004368FD"/>
    <w:rsid w:val="0044200F"/>
    <w:rsid w:val="0044298D"/>
    <w:rsid w:val="00442F4C"/>
    <w:rsid w:val="00443049"/>
    <w:rsid w:val="0044456D"/>
    <w:rsid w:val="00445663"/>
    <w:rsid w:val="00446224"/>
    <w:rsid w:val="00451DEA"/>
    <w:rsid w:val="00452B13"/>
    <w:rsid w:val="00452BB0"/>
    <w:rsid w:val="00457833"/>
    <w:rsid w:val="00460517"/>
    <w:rsid w:val="00462376"/>
    <w:rsid w:val="00462D08"/>
    <w:rsid w:val="00463248"/>
    <w:rsid w:val="00463460"/>
    <w:rsid w:val="00463F2E"/>
    <w:rsid w:val="0046460A"/>
    <w:rsid w:val="00464BA0"/>
    <w:rsid w:val="0046555B"/>
    <w:rsid w:val="004655D4"/>
    <w:rsid w:val="004663A6"/>
    <w:rsid w:val="00467190"/>
    <w:rsid w:val="004722DF"/>
    <w:rsid w:val="0047359E"/>
    <w:rsid w:val="00473678"/>
    <w:rsid w:val="00474582"/>
    <w:rsid w:val="00474899"/>
    <w:rsid w:val="004758DC"/>
    <w:rsid w:val="004763B3"/>
    <w:rsid w:val="0048027F"/>
    <w:rsid w:val="00480571"/>
    <w:rsid w:val="004810B3"/>
    <w:rsid w:val="0048342F"/>
    <w:rsid w:val="00485BF8"/>
    <w:rsid w:val="00486D44"/>
    <w:rsid w:val="0049009A"/>
    <w:rsid w:val="00490234"/>
    <w:rsid w:val="004904ED"/>
    <w:rsid w:val="00490905"/>
    <w:rsid w:val="00494340"/>
    <w:rsid w:val="00497D7F"/>
    <w:rsid w:val="004A17B5"/>
    <w:rsid w:val="004A1BDF"/>
    <w:rsid w:val="004A1F91"/>
    <w:rsid w:val="004A2490"/>
    <w:rsid w:val="004A25E7"/>
    <w:rsid w:val="004A37A4"/>
    <w:rsid w:val="004A39EF"/>
    <w:rsid w:val="004A561D"/>
    <w:rsid w:val="004A70D2"/>
    <w:rsid w:val="004A7D4D"/>
    <w:rsid w:val="004A7FA8"/>
    <w:rsid w:val="004B19D4"/>
    <w:rsid w:val="004B2731"/>
    <w:rsid w:val="004B2CB1"/>
    <w:rsid w:val="004B318E"/>
    <w:rsid w:val="004B3698"/>
    <w:rsid w:val="004B3852"/>
    <w:rsid w:val="004B40BA"/>
    <w:rsid w:val="004B44B9"/>
    <w:rsid w:val="004B487B"/>
    <w:rsid w:val="004B4B8A"/>
    <w:rsid w:val="004B55E5"/>
    <w:rsid w:val="004B5B0F"/>
    <w:rsid w:val="004B5B3C"/>
    <w:rsid w:val="004B668B"/>
    <w:rsid w:val="004C00F8"/>
    <w:rsid w:val="004C15C4"/>
    <w:rsid w:val="004C2202"/>
    <w:rsid w:val="004C2D19"/>
    <w:rsid w:val="004C47AE"/>
    <w:rsid w:val="004C4CC9"/>
    <w:rsid w:val="004C6460"/>
    <w:rsid w:val="004C7093"/>
    <w:rsid w:val="004C729F"/>
    <w:rsid w:val="004C76A4"/>
    <w:rsid w:val="004D17D3"/>
    <w:rsid w:val="004D253F"/>
    <w:rsid w:val="004D34B8"/>
    <w:rsid w:val="004D35DA"/>
    <w:rsid w:val="004D4D6A"/>
    <w:rsid w:val="004D5B2A"/>
    <w:rsid w:val="004D7625"/>
    <w:rsid w:val="004E0F32"/>
    <w:rsid w:val="004E119E"/>
    <w:rsid w:val="004E2548"/>
    <w:rsid w:val="004E52B4"/>
    <w:rsid w:val="004E5C66"/>
    <w:rsid w:val="004E5FD3"/>
    <w:rsid w:val="004E75B8"/>
    <w:rsid w:val="004E7B44"/>
    <w:rsid w:val="004F04A7"/>
    <w:rsid w:val="004F0DB8"/>
    <w:rsid w:val="004F0FCA"/>
    <w:rsid w:val="004F2FE6"/>
    <w:rsid w:val="004F32FF"/>
    <w:rsid w:val="004F3495"/>
    <w:rsid w:val="004F4A51"/>
    <w:rsid w:val="004F68AE"/>
    <w:rsid w:val="004F6EA4"/>
    <w:rsid w:val="004F6F51"/>
    <w:rsid w:val="004F780B"/>
    <w:rsid w:val="00500266"/>
    <w:rsid w:val="00501058"/>
    <w:rsid w:val="005033F9"/>
    <w:rsid w:val="005053B1"/>
    <w:rsid w:val="00505C3D"/>
    <w:rsid w:val="00506543"/>
    <w:rsid w:val="00506947"/>
    <w:rsid w:val="00506DCA"/>
    <w:rsid w:val="005073C3"/>
    <w:rsid w:val="00510108"/>
    <w:rsid w:val="00510354"/>
    <w:rsid w:val="00510AB3"/>
    <w:rsid w:val="00511634"/>
    <w:rsid w:val="00512EE0"/>
    <w:rsid w:val="00514A44"/>
    <w:rsid w:val="00514FB3"/>
    <w:rsid w:val="005150F6"/>
    <w:rsid w:val="00515A31"/>
    <w:rsid w:val="00520273"/>
    <w:rsid w:val="0052036F"/>
    <w:rsid w:val="0052091B"/>
    <w:rsid w:val="005213C2"/>
    <w:rsid w:val="00521A98"/>
    <w:rsid w:val="00522DEE"/>
    <w:rsid w:val="00524CA6"/>
    <w:rsid w:val="00524DF0"/>
    <w:rsid w:val="00525D2A"/>
    <w:rsid w:val="00527157"/>
    <w:rsid w:val="00527937"/>
    <w:rsid w:val="00536840"/>
    <w:rsid w:val="0053691D"/>
    <w:rsid w:val="00536C21"/>
    <w:rsid w:val="0054005B"/>
    <w:rsid w:val="00540067"/>
    <w:rsid w:val="0054109A"/>
    <w:rsid w:val="005410DF"/>
    <w:rsid w:val="005428B1"/>
    <w:rsid w:val="00543994"/>
    <w:rsid w:val="00544567"/>
    <w:rsid w:val="00544FFF"/>
    <w:rsid w:val="00551209"/>
    <w:rsid w:val="005518A8"/>
    <w:rsid w:val="0055310C"/>
    <w:rsid w:val="00554988"/>
    <w:rsid w:val="00563BB9"/>
    <w:rsid w:val="00565469"/>
    <w:rsid w:val="00567324"/>
    <w:rsid w:val="00570AD6"/>
    <w:rsid w:val="00570DCC"/>
    <w:rsid w:val="00571614"/>
    <w:rsid w:val="00571690"/>
    <w:rsid w:val="005744A1"/>
    <w:rsid w:val="00574CF8"/>
    <w:rsid w:val="00575AE6"/>
    <w:rsid w:val="00576D4E"/>
    <w:rsid w:val="00577CF7"/>
    <w:rsid w:val="00577EC3"/>
    <w:rsid w:val="005804ED"/>
    <w:rsid w:val="00583017"/>
    <w:rsid w:val="00584840"/>
    <w:rsid w:val="00585F4A"/>
    <w:rsid w:val="0058638D"/>
    <w:rsid w:val="005871E3"/>
    <w:rsid w:val="00587284"/>
    <w:rsid w:val="00587488"/>
    <w:rsid w:val="005918C9"/>
    <w:rsid w:val="00591ACA"/>
    <w:rsid w:val="00593974"/>
    <w:rsid w:val="0059400D"/>
    <w:rsid w:val="00594265"/>
    <w:rsid w:val="0059503E"/>
    <w:rsid w:val="00595049"/>
    <w:rsid w:val="005955FD"/>
    <w:rsid w:val="005A07CA"/>
    <w:rsid w:val="005A0CC9"/>
    <w:rsid w:val="005A2684"/>
    <w:rsid w:val="005A2804"/>
    <w:rsid w:val="005A28CC"/>
    <w:rsid w:val="005A3554"/>
    <w:rsid w:val="005A39ED"/>
    <w:rsid w:val="005A3D1E"/>
    <w:rsid w:val="005A4A6F"/>
    <w:rsid w:val="005A7C40"/>
    <w:rsid w:val="005B163D"/>
    <w:rsid w:val="005B3518"/>
    <w:rsid w:val="005B38F6"/>
    <w:rsid w:val="005B6D7E"/>
    <w:rsid w:val="005B7C74"/>
    <w:rsid w:val="005C04FC"/>
    <w:rsid w:val="005C05BB"/>
    <w:rsid w:val="005C06E0"/>
    <w:rsid w:val="005C0FD6"/>
    <w:rsid w:val="005C5173"/>
    <w:rsid w:val="005C54E7"/>
    <w:rsid w:val="005C66A5"/>
    <w:rsid w:val="005C7108"/>
    <w:rsid w:val="005C7EBB"/>
    <w:rsid w:val="005D026E"/>
    <w:rsid w:val="005D0502"/>
    <w:rsid w:val="005D227A"/>
    <w:rsid w:val="005D2F61"/>
    <w:rsid w:val="005D3B97"/>
    <w:rsid w:val="005D3E4F"/>
    <w:rsid w:val="005D5B74"/>
    <w:rsid w:val="005D6108"/>
    <w:rsid w:val="005E009E"/>
    <w:rsid w:val="005E02F8"/>
    <w:rsid w:val="005E1C85"/>
    <w:rsid w:val="005E2492"/>
    <w:rsid w:val="005E32C8"/>
    <w:rsid w:val="005E3607"/>
    <w:rsid w:val="005E4694"/>
    <w:rsid w:val="005E48EF"/>
    <w:rsid w:val="005E4C99"/>
    <w:rsid w:val="005E50B0"/>
    <w:rsid w:val="005E6463"/>
    <w:rsid w:val="005F0BA1"/>
    <w:rsid w:val="005F0D2D"/>
    <w:rsid w:val="005F25F3"/>
    <w:rsid w:val="005F3068"/>
    <w:rsid w:val="005F35ED"/>
    <w:rsid w:val="005F3782"/>
    <w:rsid w:val="005F44DE"/>
    <w:rsid w:val="005F7D88"/>
    <w:rsid w:val="006021BF"/>
    <w:rsid w:val="00603C51"/>
    <w:rsid w:val="0060763A"/>
    <w:rsid w:val="00610040"/>
    <w:rsid w:val="006115B0"/>
    <w:rsid w:val="00611EA9"/>
    <w:rsid w:val="0061319C"/>
    <w:rsid w:val="00613DE4"/>
    <w:rsid w:val="0061549D"/>
    <w:rsid w:val="00615BD0"/>
    <w:rsid w:val="006163A9"/>
    <w:rsid w:val="006169D8"/>
    <w:rsid w:val="00616E37"/>
    <w:rsid w:val="0062172A"/>
    <w:rsid w:val="00621FBB"/>
    <w:rsid w:val="0062204D"/>
    <w:rsid w:val="006238C8"/>
    <w:rsid w:val="0062501B"/>
    <w:rsid w:val="006258CB"/>
    <w:rsid w:val="00627054"/>
    <w:rsid w:val="00627E1A"/>
    <w:rsid w:val="0063157A"/>
    <w:rsid w:val="0063170A"/>
    <w:rsid w:val="006317F3"/>
    <w:rsid w:val="006322BC"/>
    <w:rsid w:val="006332FA"/>
    <w:rsid w:val="00633888"/>
    <w:rsid w:val="00635226"/>
    <w:rsid w:val="00635E3C"/>
    <w:rsid w:val="0063616E"/>
    <w:rsid w:val="006370D4"/>
    <w:rsid w:val="00642CF1"/>
    <w:rsid w:val="00643118"/>
    <w:rsid w:val="006439B8"/>
    <w:rsid w:val="0064540C"/>
    <w:rsid w:val="006454A7"/>
    <w:rsid w:val="0064553E"/>
    <w:rsid w:val="00645A29"/>
    <w:rsid w:val="00646854"/>
    <w:rsid w:val="006473FA"/>
    <w:rsid w:val="0065014D"/>
    <w:rsid w:val="00650420"/>
    <w:rsid w:val="00650EFD"/>
    <w:rsid w:val="00653C06"/>
    <w:rsid w:val="00654D7B"/>
    <w:rsid w:val="006605E7"/>
    <w:rsid w:val="00660EC9"/>
    <w:rsid w:val="00663452"/>
    <w:rsid w:val="006645B9"/>
    <w:rsid w:val="00665CAF"/>
    <w:rsid w:val="00667700"/>
    <w:rsid w:val="00667CB4"/>
    <w:rsid w:val="006711AE"/>
    <w:rsid w:val="0067604C"/>
    <w:rsid w:val="00676098"/>
    <w:rsid w:val="00677148"/>
    <w:rsid w:val="00683658"/>
    <w:rsid w:val="00684DB5"/>
    <w:rsid w:val="006870FF"/>
    <w:rsid w:val="006879B0"/>
    <w:rsid w:val="00690010"/>
    <w:rsid w:val="0069093B"/>
    <w:rsid w:val="0069110A"/>
    <w:rsid w:val="00691750"/>
    <w:rsid w:val="006946CE"/>
    <w:rsid w:val="00695828"/>
    <w:rsid w:val="00696C1D"/>
    <w:rsid w:val="006A14F7"/>
    <w:rsid w:val="006A223E"/>
    <w:rsid w:val="006A2843"/>
    <w:rsid w:val="006A2949"/>
    <w:rsid w:val="006A30F9"/>
    <w:rsid w:val="006A3B01"/>
    <w:rsid w:val="006A4691"/>
    <w:rsid w:val="006A6D72"/>
    <w:rsid w:val="006A7669"/>
    <w:rsid w:val="006A797D"/>
    <w:rsid w:val="006A7B31"/>
    <w:rsid w:val="006B0980"/>
    <w:rsid w:val="006B0C08"/>
    <w:rsid w:val="006B147A"/>
    <w:rsid w:val="006B561A"/>
    <w:rsid w:val="006B7E52"/>
    <w:rsid w:val="006C23B4"/>
    <w:rsid w:val="006C479D"/>
    <w:rsid w:val="006C571B"/>
    <w:rsid w:val="006C5E15"/>
    <w:rsid w:val="006C5FC8"/>
    <w:rsid w:val="006C6B25"/>
    <w:rsid w:val="006C749E"/>
    <w:rsid w:val="006C765D"/>
    <w:rsid w:val="006C7D91"/>
    <w:rsid w:val="006D0E1F"/>
    <w:rsid w:val="006D1F15"/>
    <w:rsid w:val="006D339D"/>
    <w:rsid w:val="006D3FE1"/>
    <w:rsid w:val="006D486B"/>
    <w:rsid w:val="006D57C1"/>
    <w:rsid w:val="006D6415"/>
    <w:rsid w:val="006D659B"/>
    <w:rsid w:val="006D7B5E"/>
    <w:rsid w:val="006D7BE8"/>
    <w:rsid w:val="006D7E20"/>
    <w:rsid w:val="006D7F7C"/>
    <w:rsid w:val="006E06A7"/>
    <w:rsid w:val="006E073C"/>
    <w:rsid w:val="006E2205"/>
    <w:rsid w:val="006E2490"/>
    <w:rsid w:val="006E3401"/>
    <w:rsid w:val="006E3946"/>
    <w:rsid w:val="006E42CD"/>
    <w:rsid w:val="006E42F9"/>
    <w:rsid w:val="006E435C"/>
    <w:rsid w:val="006E4570"/>
    <w:rsid w:val="006E5001"/>
    <w:rsid w:val="006E545B"/>
    <w:rsid w:val="006E6793"/>
    <w:rsid w:val="006E6EA0"/>
    <w:rsid w:val="006F0B05"/>
    <w:rsid w:val="006F14B6"/>
    <w:rsid w:val="006F3139"/>
    <w:rsid w:val="006F3762"/>
    <w:rsid w:val="006F43F2"/>
    <w:rsid w:val="006F76AD"/>
    <w:rsid w:val="007017DE"/>
    <w:rsid w:val="00701902"/>
    <w:rsid w:val="007046F4"/>
    <w:rsid w:val="00704F8C"/>
    <w:rsid w:val="007059C6"/>
    <w:rsid w:val="00705B0C"/>
    <w:rsid w:val="00705C64"/>
    <w:rsid w:val="00710D28"/>
    <w:rsid w:val="00710FC5"/>
    <w:rsid w:val="00711694"/>
    <w:rsid w:val="00712BF9"/>
    <w:rsid w:val="00713264"/>
    <w:rsid w:val="007174EF"/>
    <w:rsid w:val="00721833"/>
    <w:rsid w:val="0072186A"/>
    <w:rsid w:val="0072298A"/>
    <w:rsid w:val="00724301"/>
    <w:rsid w:val="007246C2"/>
    <w:rsid w:val="00725166"/>
    <w:rsid w:val="0072561B"/>
    <w:rsid w:val="00725DD4"/>
    <w:rsid w:val="00726332"/>
    <w:rsid w:val="00726DFD"/>
    <w:rsid w:val="00727518"/>
    <w:rsid w:val="00727E91"/>
    <w:rsid w:val="00730049"/>
    <w:rsid w:val="00731EE2"/>
    <w:rsid w:val="00732771"/>
    <w:rsid w:val="0073341E"/>
    <w:rsid w:val="007355EA"/>
    <w:rsid w:val="00735DFA"/>
    <w:rsid w:val="00736273"/>
    <w:rsid w:val="0073676F"/>
    <w:rsid w:val="00740D7A"/>
    <w:rsid w:val="0074101C"/>
    <w:rsid w:val="00742165"/>
    <w:rsid w:val="007421C4"/>
    <w:rsid w:val="007438F3"/>
    <w:rsid w:val="00743F28"/>
    <w:rsid w:val="00747831"/>
    <w:rsid w:val="00750B7F"/>
    <w:rsid w:val="00750E7C"/>
    <w:rsid w:val="00752658"/>
    <w:rsid w:val="00752DEB"/>
    <w:rsid w:val="00753FF2"/>
    <w:rsid w:val="00754487"/>
    <w:rsid w:val="00755075"/>
    <w:rsid w:val="0075633F"/>
    <w:rsid w:val="00757612"/>
    <w:rsid w:val="00757F5A"/>
    <w:rsid w:val="00761224"/>
    <w:rsid w:val="00761378"/>
    <w:rsid w:val="00761C2C"/>
    <w:rsid w:val="00761E91"/>
    <w:rsid w:val="007647C8"/>
    <w:rsid w:val="0076688A"/>
    <w:rsid w:val="007672E5"/>
    <w:rsid w:val="00770188"/>
    <w:rsid w:val="00771A6F"/>
    <w:rsid w:val="00772158"/>
    <w:rsid w:val="00773576"/>
    <w:rsid w:val="00774C32"/>
    <w:rsid w:val="007769FF"/>
    <w:rsid w:val="007779FF"/>
    <w:rsid w:val="00783951"/>
    <w:rsid w:val="007840FA"/>
    <w:rsid w:val="00784E88"/>
    <w:rsid w:val="00787216"/>
    <w:rsid w:val="00787788"/>
    <w:rsid w:val="00787C35"/>
    <w:rsid w:val="007905CA"/>
    <w:rsid w:val="00790784"/>
    <w:rsid w:val="00790E3F"/>
    <w:rsid w:val="007927BF"/>
    <w:rsid w:val="0079360B"/>
    <w:rsid w:val="007948F7"/>
    <w:rsid w:val="00794D90"/>
    <w:rsid w:val="007952A3"/>
    <w:rsid w:val="0079567D"/>
    <w:rsid w:val="0079629B"/>
    <w:rsid w:val="00797C90"/>
    <w:rsid w:val="007A225E"/>
    <w:rsid w:val="007A4041"/>
    <w:rsid w:val="007A451B"/>
    <w:rsid w:val="007A52D4"/>
    <w:rsid w:val="007A6844"/>
    <w:rsid w:val="007A78B5"/>
    <w:rsid w:val="007A7D72"/>
    <w:rsid w:val="007B0F6A"/>
    <w:rsid w:val="007B2C6A"/>
    <w:rsid w:val="007B49CA"/>
    <w:rsid w:val="007B4F8F"/>
    <w:rsid w:val="007B5968"/>
    <w:rsid w:val="007C143F"/>
    <w:rsid w:val="007C3CBF"/>
    <w:rsid w:val="007C3E83"/>
    <w:rsid w:val="007C4765"/>
    <w:rsid w:val="007C54A1"/>
    <w:rsid w:val="007D08D3"/>
    <w:rsid w:val="007D2134"/>
    <w:rsid w:val="007D4348"/>
    <w:rsid w:val="007D4A2D"/>
    <w:rsid w:val="007D4B1C"/>
    <w:rsid w:val="007D4B50"/>
    <w:rsid w:val="007D4C56"/>
    <w:rsid w:val="007D50CF"/>
    <w:rsid w:val="007D5C15"/>
    <w:rsid w:val="007E048C"/>
    <w:rsid w:val="007E40A1"/>
    <w:rsid w:val="007E57A4"/>
    <w:rsid w:val="007E667B"/>
    <w:rsid w:val="007E7485"/>
    <w:rsid w:val="007E7990"/>
    <w:rsid w:val="007E7DB8"/>
    <w:rsid w:val="007F11FA"/>
    <w:rsid w:val="007F2044"/>
    <w:rsid w:val="007F2FC9"/>
    <w:rsid w:val="007F4B29"/>
    <w:rsid w:val="007F527B"/>
    <w:rsid w:val="00800417"/>
    <w:rsid w:val="008007A0"/>
    <w:rsid w:val="00801597"/>
    <w:rsid w:val="0080176A"/>
    <w:rsid w:val="00801844"/>
    <w:rsid w:val="00801B78"/>
    <w:rsid w:val="0080227E"/>
    <w:rsid w:val="00803ED4"/>
    <w:rsid w:val="0080456C"/>
    <w:rsid w:val="00805DC9"/>
    <w:rsid w:val="008067DB"/>
    <w:rsid w:val="008103E2"/>
    <w:rsid w:val="008105D4"/>
    <w:rsid w:val="00812504"/>
    <w:rsid w:val="00812984"/>
    <w:rsid w:val="00812AD6"/>
    <w:rsid w:val="00812B3A"/>
    <w:rsid w:val="00812CFD"/>
    <w:rsid w:val="00813355"/>
    <w:rsid w:val="008133C8"/>
    <w:rsid w:val="00815208"/>
    <w:rsid w:val="00815438"/>
    <w:rsid w:val="00815733"/>
    <w:rsid w:val="00820321"/>
    <w:rsid w:val="00820397"/>
    <w:rsid w:val="00822107"/>
    <w:rsid w:val="00822759"/>
    <w:rsid w:val="00823459"/>
    <w:rsid w:val="008247E3"/>
    <w:rsid w:val="00826DDC"/>
    <w:rsid w:val="008312AB"/>
    <w:rsid w:val="00831A3E"/>
    <w:rsid w:val="008321A5"/>
    <w:rsid w:val="00832DF3"/>
    <w:rsid w:val="008344DB"/>
    <w:rsid w:val="008352DB"/>
    <w:rsid w:val="00835C9B"/>
    <w:rsid w:val="00835DE7"/>
    <w:rsid w:val="00836273"/>
    <w:rsid w:val="008362D3"/>
    <w:rsid w:val="008364BA"/>
    <w:rsid w:val="008401B9"/>
    <w:rsid w:val="00840259"/>
    <w:rsid w:val="008403EA"/>
    <w:rsid w:val="0084048B"/>
    <w:rsid w:val="008444F9"/>
    <w:rsid w:val="00845C93"/>
    <w:rsid w:val="00845FB8"/>
    <w:rsid w:val="0084647D"/>
    <w:rsid w:val="00846CA8"/>
    <w:rsid w:val="00850420"/>
    <w:rsid w:val="00851A69"/>
    <w:rsid w:val="00851B18"/>
    <w:rsid w:val="00856B34"/>
    <w:rsid w:val="008573CD"/>
    <w:rsid w:val="00860A0F"/>
    <w:rsid w:val="00861991"/>
    <w:rsid w:val="00862109"/>
    <w:rsid w:val="00863165"/>
    <w:rsid w:val="00864BD9"/>
    <w:rsid w:val="00865007"/>
    <w:rsid w:val="00865420"/>
    <w:rsid w:val="00865B71"/>
    <w:rsid w:val="0086710F"/>
    <w:rsid w:val="00871484"/>
    <w:rsid w:val="00871E30"/>
    <w:rsid w:val="00871F61"/>
    <w:rsid w:val="008720A0"/>
    <w:rsid w:val="00874EA4"/>
    <w:rsid w:val="00875E41"/>
    <w:rsid w:val="00877932"/>
    <w:rsid w:val="0088045D"/>
    <w:rsid w:val="00880C57"/>
    <w:rsid w:val="008823ED"/>
    <w:rsid w:val="00882F28"/>
    <w:rsid w:val="008852DD"/>
    <w:rsid w:val="00885B2A"/>
    <w:rsid w:val="00886FC9"/>
    <w:rsid w:val="008876D0"/>
    <w:rsid w:val="00887CEE"/>
    <w:rsid w:val="008900D7"/>
    <w:rsid w:val="0089022C"/>
    <w:rsid w:val="00890438"/>
    <w:rsid w:val="00890DE4"/>
    <w:rsid w:val="0089194F"/>
    <w:rsid w:val="00891F01"/>
    <w:rsid w:val="00893280"/>
    <w:rsid w:val="008935EB"/>
    <w:rsid w:val="008939E2"/>
    <w:rsid w:val="00897B6E"/>
    <w:rsid w:val="008A28B9"/>
    <w:rsid w:val="008A4E01"/>
    <w:rsid w:val="008A77D9"/>
    <w:rsid w:val="008B081A"/>
    <w:rsid w:val="008B5818"/>
    <w:rsid w:val="008B7520"/>
    <w:rsid w:val="008C0AA6"/>
    <w:rsid w:val="008C0DD4"/>
    <w:rsid w:val="008C3442"/>
    <w:rsid w:val="008C3642"/>
    <w:rsid w:val="008C3B53"/>
    <w:rsid w:val="008C42B8"/>
    <w:rsid w:val="008C6A76"/>
    <w:rsid w:val="008D08B4"/>
    <w:rsid w:val="008D0947"/>
    <w:rsid w:val="008D0DBB"/>
    <w:rsid w:val="008D1034"/>
    <w:rsid w:val="008D109C"/>
    <w:rsid w:val="008D1176"/>
    <w:rsid w:val="008D132A"/>
    <w:rsid w:val="008D1D81"/>
    <w:rsid w:val="008D26D9"/>
    <w:rsid w:val="008D3259"/>
    <w:rsid w:val="008D392E"/>
    <w:rsid w:val="008D3E63"/>
    <w:rsid w:val="008D41B0"/>
    <w:rsid w:val="008D61C2"/>
    <w:rsid w:val="008D7FE7"/>
    <w:rsid w:val="008E1310"/>
    <w:rsid w:val="008E66F6"/>
    <w:rsid w:val="008E734D"/>
    <w:rsid w:val="008F0863"/>
    <w:rsid w:val="008F4596"/>
    <w:rsid w:val="008F4AD0"/>
    <w:rsid w:val="008F5D43"/>
    <w:rsid w:val="008F68B2"/>
    <w:rsid w:val="008F7680"/>
    <w:rsid w:val="00901611"/>
    <w:rsid w:val="00902C53"/>
    <w:rsid w:val="00904777"/>
    <w:rsid w:val="00904837"/>
    <w:rsid w:val="00904B75"/>
    <w:rsid w:val="00904D35"/>
    <w:rsid w:val="00905454"/>
    <w:rsid w:val="00906362"/>
    <w:rsid w:val="00906B15"/>
    <w:rsid w:val="009105CC"/>
    <w:rsid w:val="009135DF"/>
    <w:rsid w:val="009148B0"/>
    <w:rsid w:val="009153BC"/>
    <w:rsid w:val="00915FFB"/>
    <w:rsid w:val="00916FC9"/>
    <w:rsid w:val="009176A0"/>
    <w:rsid w:val="0092049C"/>
    <w:rsid w:val="00920A52"/>
    <w:rsid w:val="00922C20"/>
    <w:rsid w:val="00924106"/>
    <w:rsid w:val="00924334"/>
    <w:rsid w:val="00926B7B"/>
    <w:rsid w:val="00927478"/>
    <w:rsid w:val="00930BC8"/>
    <w:rsid w:val="00932853"/>
    <w:rsid w:val="00932D8E"/>
    <w:rsid w:val="00935FBD"/>
    <w:rsid w:val="009368D8"/>
    <w:rsid w:val="009369BD"/>
    <w:rsid w:val="00936B55"/>
    <w:rsid w:val="0094244D"/>
    <w:rsid w:val="00944CEF"/>
    <w:rsid w:val="009453DF"/>
    <w:rsid w:val="0094551F"/>
    <w:rsid w:val="00945F22"/>
    <w:rsid w:val="00946103"/>
    <w:rsid w:val="00946778"/>
    <w:rsid w:val="009473F3"/>
    <w:rsid w:val="00950766"/>
    <w:rsid w:val="00950F5D"/>
    <w:rsid w:val="00951981"/>
    <w:rsid w:val="00951A35"/>
    <w:rsid w:val="00952085"/>
    <w:rsid w:val="0095238A"/>
    <w:rsid w:val="00952972"/>
    <w:rsid w:val="00953448"/>
    <w:rsid w:val="00954B11"/>
    <w:rsid w:val="0095546F"/>
    <w:rsid w:val="00955BD4"/>
    <w:rsid w:val="009577F3"/>
    <w:rsid w:val="00957B6D"/>
    <w:rsid w:val="00960B1E"/>
    <w:rsid w:val="00960D53"/>
    <w:rsid w:val="00960E6B"/>
    <w:rsid w:val="009610AF"/>
    <w:rsid w:val="009613F1"/>
    <w:rsid w:val="00961D94"/>
    <w:rsid w:val="00962339"/>
    <w:rsid w:val="009626C5"/>
    <w:rsid w:val="00962D7F"/>
    <w:rsid w:val="00962F44"/>
    <w:rsid w:val="00963393"/>
    <w:rsid w:val="00963EE9"/>
    <w:rsid w:val="00964146"/>
    <w:rsid w:val="009660F3"/>
    <w:rsid w:val="009661B6"/>
    <w:rsid w:val="009666A2"/>
    <w:rsid w:val="00966A85"/>
    <w:rsid w:val="009673E4"/>
    <w:rsid w:val="009675EC"/>
    <w:rsid w:val="00970016"/>
    <w:rsid w:val="0097236D"/>
    <w:rsid w:val="00972842"/>
    <w:rsid w:val="00973956"/>
    <w:rsid w:val="009759E5"/>
    <w:rsid w:val="00975A76"/>
    <w:rsid w:val="00981731"/>
    <w:rsid w:val="009819C1"/>
    <w:rsid w:val="00982AB1"/>
    <w:rsid w:val="009837FE"/>
    <w:rsid w:val="00984E8E"/>
    <w:rsid w:val="00985E08"/>
    <w:rsid w:val="00987507"/>
    <w:rsid w:val="00990C70"/>
    <w:rsid w:val="00993321"/>
    <w:rsid w:val="00994971"/>
    <w:rsid w:val="00996CEF"/>
    <w:rsid w:val="00997FEC"/>
    <w:rsid w:val="009A2554"/>
    <w:rsid w:val="009A3043"/>
    <w:rsid w:val="009A324B"/>
    <w:rsid w:val="009A4B0A"/>
    <w:rsid w:val="009A50FE"/>
    <w:rsid w:val="009A555F"/>
    <w:rsid w:val="009A5C0A"/>
    <w:rsid w:val="009A686B"/>
    <w:rsid w:val="009A7121"/>
    <w:rsid w:val="009A73B8"/>
    <w:rsid w:val="009B1841"/>
    <w:rsid w:val="009B2492"/>
    <w:rsid w:val="009B411C"/>
    <w:rsid w:val="009B4396"/>
    <w:rsid w:val="009B4425"/>
    <w:rsid w:val="009B49F6"/>
    <w:rsid w:val="009B4A78"/>
    <w:rsid w:val="009B5106"/>
    <w:rsid w:val="009B62F3"/>
    <w:rsid w:val="009B6891"/>
    <w:rsid w:val="009B6D77"/>
    <w:rsid w:val="009B788D"/>
    <w:rsid w:val="009C0E1C"/>
    <w:rsid w:val="009C4B0F"/>
    <w:rsid w:val="009C5253"/>
    <w:rsid w:val="009C6861"/>
    <w:rsid w:val="009C7603"/>
    <w:rsid w:val="009D2A5E"/>
    <w:rsid w:val="009D2B45"/>
    <w:rsid w:val="009D628C"/>
    <w:rsid w:val="009D6AA3"/>
    <w:rsid w:val="009E0402"/>
    <w:rsid w:val="009E4246"/>
    <w:rsid w:val="009E52A6"/>
    <w:rsid w:val="009E5315"/>
    <w:rsid w:val="009E6AB8"/>
    <w:rsid w:val="009E7DDF"/>
    <w:rsid w:val="009F1589"/>
    <w:rsid w:val="009F1B05"/>
    <w:rsid w:val="009F27CF"/>
    <w:rsid w:val="009F430F"/>
    <w:rsid w:val="009F4405"/>
    <w:rsid w:val="009F4827"/>
    <w:rsid w:val="009F5321"/>
    <w:rsid w:val="009F574A"/>
    <w:rsid w:val="009F7C41"/>
    <w:rsid w:val="00A00247"/>
    <w:rsid w:val="00A01C05"/>
    <w:rsid w:val="00A03577"/>
    <w:rsid w:val="00A03CE5"/>
    <w:rsid w:val="00A04F20"/>
    <w:rsid w:val="00A06AFE"/>
    <w:rsid w:val="00A10294"/>
    <w:rsid w:val="00A102C9"/>
    <w:rsid w:val="00A104CB"/>
    <w:rsid w:val="00A12011"/>
    <w:rsid w:val="00A13009"/>
    <w:rsid w:val="00A133C6"/>
    <w:rsid w:val="00A13443"/>
    <w:rsid w:val="00A16779"/>
    <w:rsid w:val="00A1682B"/>
    <w:rsid w:val="00A16FB5"/>
    <w:rsid w:val="00A17A2D"/>
    <w:rsid w:val="00A20073"/>
    <w:rsid w:val="00A20EB5"/>
    <w:rsid w:val="00A229CD"/>
    <w:rsid w:val="00A23F07"/>
    <w:rsid w:val="00A243AD"/>
    <w:rsid w:val="00A25F76"/>
    <w:rsid w:val="00A263E5"/>
    <w:rsid w:val="00A26AA3"/>
    <w:rsid w:val="00A27B55"/>
    <w:rsid w:val="00A30372"/>
    <w:rsid w:val="00A30E9E"/>
    <w:rsid w:val="00A31CFF"/>
    <w:rsid w:val="00A31EEE"/>
    <w:rsid w:val="00A31F93"/>
    <w:rsid w:val="00A321BD"/>
    <w:rsid w:val="00A329EB"/>
    <w:rsid w:val="00A3384C"/>
    <w:rsid w:val="00A34D0A"/>
    <w:rsid w:val="00A35071"/>
    <w:rsid w:val="00A350CA"/>
    <w:rsid w:val="00A35946"/>
    <w:rsid w:val="00A376CF"/>
    <w:rsid w:val="00A37EF6"/>
    <w:rsid w:val="00A41BEE"/>
    <w:rsid w:val="00A44E12"/>
    <w:rsid w:val="00A45FF3"/>
    <w:rsid w:val="00A46E1D"/>
    <w:rsid w:val="00A47C03"/>
    <w:rsid w:val="00A502E5"/>
    <w:rsid w:val="00A50B21"/>
    <w:rsid w:val="00A515F8"/>
    <w:rsid w:val="00A5241D"/>
    <w:rsid w:val="00A52939"/>
    <w:rsid w:val="00A547B1"/>
    <w:rsid w:val="00A55F2D"/>
    <w:rsid w:val="00A56D28"/>
    <w:rsid w:val="00A56E1D"/>
    <w:rsid w:val="00A5790F"/>
    <w:rsid w:val="00A57A40"/>
    <w:rsid w:val="00A57B02"/>
    <w:rsid w:val="00A57BF4"/>
    <w:rsid w:val="00A57FA0"/>
    <w:rsid w:val="00A6148B"/>
    <w:rsid w:val="00A64A64"/>
    <w:rsid w:val="00A66232"/>
    <w:rsid w:val="00A66859"/>
    <w:rsid w:val="00A6730E"/>
    <w:rsid w:val="00A714A7"/>
    <w:rsid w:val="00A714E1"/>
    <w:rsid w:val="00A71B29"/>
    <w:rsid w:val="00A71B40"/>
    <w:rsid w:val="00A71C5B"/>
    <w:rsid w:val="00A72424"/>
    <w:rsid w:val="00A735F0"/>
    <w:rsid w:val="00A73833"/>
    <w:rsid w:val="00A73DE1"/>
    <w:rsid w:val="00A741B6"/>
    <w:rsid w:val="00A74574"/>
    <w:rsid w:val="00A76B3A"/>
    <w:rsid w:val="00A77810"/>
    <w:rsid w:val="00A85994"/>
    <w:rsid w:val="00A85D94"/>
    <w:rsid w:val="00A9141F"/>
    <w:rsid w:val="00A9253B"/>
    <w:rsid w:val="00A938A0"/>
    <w:rsid w:val="00A95B0D"/>
    <w:rsid w:val="00A96444"/>
    <w:rsid w:val="00A96566"/>
    <w:rsid w:val="00A97D3F"/>
    <w:rsid w:val="00AA0D5E"/>
    <w:rsid w:val="00AA0D81"/>
    <w:rsid w:val="00AA155C"/>
    <w:rsid w:val="00AA2036"/>
    <w:rsid w:val="00AA3079"/>
    <w:rsid w:val="00AA3291"/>
    <w:rsid w:val="00AA3394"/>
    <w:rsid w:val="00AA3A16"/>
    <w:rsid w:val="00AA416A"/>
    <w:rsid w:val="00AA4D6B"/>
    <w:rsid w:val="00AA4F38"/>
    <w:rsid w:val="00AA5027"/>
    <w:rsid w:val="00AA5D94"/>
    <w:rsid w:val="00AA72BD"/>
    <w:rsid w:val="00AA7F79"/>
    <w:rsid w:val="00AB1BFC"/>
    <w:rsid w:val="00AB5BF4"/>
    <w:rsid w:val="00AB6CAA"/>
    <w:rsid w:val="00AB73C3"/>
    <w:rsid w:val="00AC0AFA"/>
    <w:rsid w:val="00AC1BF9"/>
    <w:rsid w:val="00AC2233"/>
    <w:rsid w:val="00AC3FEB"/>
    <w:rsid w:val="00AC44E9"/>
    <w:rsid w:val="00AC49C8"/>
    <w:rsid w:val="00AC4A9E"/>
    <w:rsid w:val="00AD0123"/>
    <w:rsid w:val="00AD01A7"/>
    <w:rsid w:val="00AD04DD"/>
    <w:rsid w:val="00AD0D3B"/>
    <w:rsid w:val="00AD1911"/>
    <w:rsid w:val="00AD23DA"/>
    <w:rsid w:val="00AD351C"/>
    <w:rsid w:val="00AD427C"/>
    <w:rsid w:val="00AD44B6"/>
    <w:rsid w:val="00AD56EA"/>
    <w:rsid w:val="00AD5830"/>
    <w:rsid w:val="00AD6518"/>
    <w:rsid w:val="00AE05AD"/>
    <w:rsid w:val="00AE074E"/>
    <w:rsid w:val="00AE0C06"/>
    <w:rsid w:val="00AE0CDB"/>
    <w:rsid w:val="00AE3BAF"/>
    <w:rsid w:val="00AE5386"/>
    <w:rsid w:val="00AE53E6"/>
    <w:rsid w:val="00AE714B"/>
    <w:rsid w:val="00AE78A1"/>
    <w:rsid w:val="00AF03BF"/>
    <w:rsid w:val="00AF0796"/>
    <w:rsid w:val="00AF08F6"/>
    <w:rsid w:val="00AF2C96"/>
    <w:rsid w:val="00AF316F"/>
    <w:rsid w:val="00AF3AB2"/>
    <w:rsid w:val="00AF3F53"/>
    <w:rsid w:val="00AF5757"/>
    <w:rsid w:val="00AF5A81"/>
    <w:rsid w:val="00AF7892"/>
    <w:rsid w:val="00B000FB"/>
    <w:rsid w:val="00B00154"/>
    <w:rsid w:val="00B00340"/>
    <w:rsid w:val="00B01F74"/>
    <w:rsid w:val="00B0224A"/>
    <w:rsid w:val="00B02ED1"/>
    <w:rsid w:val="00B03D1F"/>
    <w:rsid w:val="00B03EE5"/>
    <w:rsid w:val="00B04611"/>
    <w:rsid w:val="00B050D9"/>
    <w:rsid w:val="00B0524E"/>
    <w:rsid w:val="00B07DCA"/>
    <w:rsid w:val="00B102EB"/>
    <w:rsid w:val="00B105D5"/>
    <w:rsid w:val="00B10AF2"/>
    <w:rsid w:val="00B11155"/>
    <w:rsid w:val="00B11FCB"/>
    <w:rsid w:val="00B12BDB"/>
    <w:rsid w:val="00B15279"/>
    <w:rsid w:val="00B160DB"/>
    <w:rsid w:val="00B2095B"/>
    <w:rsid w:val="00B23922"/>
    <w:rsid w:val="00B2516A"/>
    <w:rsid w:val="00B25622"/>
    <w:rsid w:val="00B2597A"/>
    <w:rsid w:val="00B25A0C"/>
    <w:rsid w:val="00B27ACB"/>
    <w:rsid w:val="00B30B0E"/>
    <w:rsid w:val="00B319BC"/>
    <w:rsid w:val="00B31DAA"/>
    <w:rsid w:val="00B32C70"/>
    <w:rsid w:val="00B335A0"/>
    <w:rsid w:val="00B356D5"/>
    <w:rsid w:val="00B35F10"/>
    <w:rsid w:val="00B36550"/>
    <w:rsid w:val="00B36C72"/>
    <w:rsid w:val="00B36E63"/>
    <w:rsid w:val="00B36E93"/>
    <w:rsid w:val="00B37B37"/>
    <w:rsid w:val="00B40C5E"/>
    <w:rsid w:val="00B429EF"/>
    <w:rsid w:val="00B42B66"/>
    <w:rsid w:val="00B47DD7"/>
    <w:rsid w:val="00B50657"/>
    <w:rsid w:val="00B50C14"/>
    <w:rsid w:val="00B50EE3"/>
    <w:rsid w:val="00B5176A"/>
    <w:rsid w:val="00B51EAD"/>
    <w:rsid w:val="00B520CA"/>
    <w:rsid w:val="00B53545"/>
    <w:rsid w:val="00B5390B"/>
    <w:rsid w:val="00B54B9E"/>
    <w:rsid w:val="00B54F26"/>
    <w:rsid w:val="00B57E01"/>
    <w:rsid w:val="00B624D6"/>
    <w:rsid w:val="00B66578"/>
    <w:rsid w:val="00B67D4A"/>
    <w:rsid w:val="00B7015F"/>
    <w:rsid w:val="00B7024D"/>
    <w:rsid w:val="00B71D3B"/>
    <w:rsid w:val="00B72CBC"/>
    <w:rsid w:val="00B746F9"/>
    <w:rsid w:val="00B75307"/>
    <w:rsid w:val="00B75322"/>
    <w:rsid w:val="00B75C28"/>
    <w:rsid w:val="00B76010"/>
    <w:rsid w:val="00B76357"/>
    <w:rsid w:val="00B766FE"/>
    <w:rsid w:val="00B7680E"/>
    <w:rsid w:val="00B7758C"/>
    <w:rsid w:val="00B80371"/>
    <w:rsid w:val="00B80AA2"/>
    <w:rsid w:val="00B81D5E"/>
    <w:rsid w:val="00B81E6A"/>
    <w:rsid w:val="00B847FA"/>
    <w:rsid w:val="00B84D5C"/>
    <w:rsid w:val="00B84F60"/>
    <w:rsid w:val="00B85374"/>
    <w:rsid w:val="00B85626"/>
    <w:rsid w:val="00B87B8E"/>
    <w:rsid w:val="00B90231"/>
    <w:rsid w:val="00B90233"/>
    <w:rsid w:val="00B90713"/>
    <w:rsid w:val="00B90CC5"/>
    <w:rsid w:val="00B92945"/>
    <w:rsid w:val="00B929C4"/>
    <w:rsid w:val="00B94229"/>
    <w:rsid w:val="00B945DB"/>
    <w:rsid w:val="00B9493F"/>
    <w:rsid w:val="00B96200"/>
    <w:rsid w:val="00BA0EE9"/>
    <w:rsid w:val="00BA2A20"/>
    <w:rsid w:val="00BA2B2C"/>
    <w:rsid w:val="00BA30D2"/>
    <w:rsid w:val="00BA384D"/>
    <w:rsid w:val="00BA3B5A"/>
    <w:rsid w:val="00BA44EE"/>
    <w:rsid w:val="00BA469A"/>
    <w:rsid w:val="00BA669A"/>
    <w:rsid w:val="00BA7AEB"/>
    <w:rsid w:val="00BB04EA"/>
    <w:rsid w:val="00BB233A"/>
    <w:rsid w:val="00BB445E"/>
    <w:rsid w:val="00BB4D0E"/>
    <w:rsid w:val="00BB5AE9"/>
    <w:rsid w:val="00BC18E6"/>
    <w:rsid w:val="00BC27CE"/>
    <w:rsid w:val="00BC3DCC"/>
    <w:rsid w:val="00BC69A2"/>
    <w:rsid w:val="00BC7FEB"/>
    <w:rsid w:val="00BD0BC6"/>
    <w:rsid w:val="00BD1D5E"/>
    <w:rsid w:val="00BD25CF"/>
    <w:rsid w:val="00BD3BD2"/>
    <w:rsid w:val="00BD629C"/>
    <w:rsid w:val="00BD6ED4"/>
    <w:rsid w:val="00BE0107"/>
    <w:rsid w:val="00BE04D1"/>
    <w:rsid w:val="00BE06F9"/>
    <w:rsid w:val="00BE15C9"/>
    <w:rsid w:val="00BE20EA"/>
    <w:rsid w:val="00BE301F"/>
    <w:rsid w:val="00BE4AE5"/>
    <w:rsid w:val="00BE5F45"/>
    <w:rsid w:val="00BE7F49"/>
    <w:rsid w:val="00BF0E28"/>
    <w:rsid w:val="00BF1744"/>
    <w:rsid w:val="00BF299C"/>
    <w:rsid w:val="00BF2E4C"/>
    <w:rsid w:val="00BF49CA"/>
    <w:rsid w:val="00BF799C"/>
    <w:rsid w:val="00BF7A3F"/>
    <w:rsid w:val="00C018F1"/>
    <w:rsid w:val="00C03044"/>
    <w:rsid w:val="00C0315E"/>
    <w:rsid w:val="00C031E4"/>
    <w:rsid w:val="00C03643"/>
    <w:rsid w:val="00C03BA8"/>
    <w:rsid w:val="00C0472D"/>
    <w:rsid w:val="00C05F85"/>
    <w:rsid w:val="00C104BB"/>
    <w:rsid w:val="00C10F79"/>
    <w:rsid w:val="00C12520"/>
    <w:rsid w:val="00C12D64"/>
    <w:rsid w:val="00C13AC8"/>
    <w:rsid w:val="00C13E8C"/>
    <w:rsid w:val="00C1566F"/>
    <w:rsid w:val="00C1594E"/>
    <w:rsid w:val="00C16333"/>
    <w:rsid w:val="00C16E1D"/>
    <w:rsid w:val="00C172DC"/>
    <w:rsid w:val="00C17612"/>
    <w:rsid w:val="00C17905"/>
    <w:rsid w:val="00C17B61"/>
    <w:rsid w:val="00C204C7"/>
    <w:rsid w:val="00C209E9"/>
    <w:rsid w:val="00C20C7A"/>
    <w:rsid w:val="00C21938"/>
    <w:rsid w:val="00C23A1D"/>
    <w:rsid w:val="00C2488C"/>
    <w:rsid w:val="00C248B5"/>
    <w:rsid w:val="00C24B1B"/>
    <w:rsid w:val="00C256E6"/>
    <w:rsid w:val="00C25AF6"/>
    <w:rsid w:val="00C25DE1"/>
    <w:rsid w:val="00C267FB"/>
    <w:rsid w:val="00C27B0F"/>
    <w:rsid w:val="00C3085A"/>
    <w:rsid w:val="00C30994"/>
    <w:rsid w:val="00C33038"/>
    <w:rsid w:val="00C3398E"/>
    <w:rsid w:val="00C35AD7"/>
    <w:rsid w:val="00C37160"/>
    <w:rsid w:val="00C37F1F"/>
    <w:rsid w:val="00C40408"/>
    <w:rsid w:val="00C40A93"/>
    <w:rsid w:val="00C42F79"/>
    <w:rsid w:val="00C4373A"/>
    <w:rsid w:val="00C4527B"/>
    <w:rsid w:val="00C4548E"/>
    <w:rsid w:val="00C461D8"/>
    <w:rsid w:val="00C47A71"/>
    <w:rsid w:val="00C50E36"/>
    <w:rsid w:val="00C52C23"/>
    <w:rsid w:val="00C52CB7"/>
    <w:rsid w:val="00C52EF7"/>
    <w:rsid w:val="00C530FF"/>
    <w:rsid w:val="00C5347F"/>
    <w:rsid w:val="00C55386"/>
    <w:rsid w:val="00C55720"/>
    <w:rsid w:val="00C55DAF"/>
    <w:rsid w:val="00C55DE1"/>
    <w:rsid w:val="00C57504"/>
    <w:rsid w:val="00C62C19"/>
    <w:rsid w:val="00C640C2"/>
    <w:rsid w:val="00C645E6"/>
    <w:rsid w:val="00C646CA"/>
    <w:rsid w:val="00C650BC"/>
    <w:rsid w:val="00C65233"/>
    <w:rsid w:val="00C67A06"/>
    <w:rsid w:val="00C701A9"/>
    <w:rsid w:val="00C71105"/>
    <w:rsid w:val="00C716B0"/>
    <w:rsid w:val="00C72C5C"/>
    <w:rsid w:val="00C73A9F"/>
    <w:rsid w:val="00C73BBB"/>
    <w:rsid w:val="00C75435"/>
    <w:rsid w:val="00C755A2"/>
    <w:rsid w:val="00C75D21"/>
    <w:rsid w:val="00C7799B"/>
    <w:rsid w:val="00C802E3"/>
    <w:rsid w:val="00C80476"/>
    <w:rsid w:val="00C80934"/>
    <w:rsid w:val="00C836CF"/>
    <w:rsid w:val="00C85773"/>
    <w:rsid w:val="00C85D5F"/>
    <w:rsid w:val="00C876D5"/>
    <w:rsid w:val="00C92C67"/>
    <w:rsid w:val="00C94341"/>
    <w:rsid w:val="00C946F5"/>
    <w:rsid w:val="00C9478B"/>
    <w:rsid w:val="00C949A8"/>
    <w:rsid w:val="00C9523C"/>
    <w:rsid w:val="00C95C8A"/>
    <w:rsid w:val="00C9610D"/>
    <w:rsid w:val="00C97514"/>
    <w:rsid w:val="00C97BDB"/>
    <w:rsid w:val="00C97FF2"/>
    <w:rsid w:val="00CA183B"/>
    <w:rsid w:val="00CA1C33"/>
    <w:rsid w:val="00CA1EDB"/>
    <w:rsid w:val="00CA1F11"/>
    <w:rsid w:val="00CA1FCE"/>
    <w:rsid w:val="00CA2229"/>
    <w:rsid w:val="00CA306E"/>
    <w:rsid w:val="00CA3481"/>
    <w:rsid w:val="00CA395C"/>
    <w:rsid w:val="00CA4C0C"/>
    <w:rsid w:val="00CA591D"/>
    <w:rsid w:val="00CB00E0"/>
    <w:rsid w:val="00CB0370"/>
    <w:rsid w:val="00CB15AC"/>
    <w:rsid w:val="00CB2CB4"/>
    <w:rsid w:val="00CB2EA5"/>
    <w:rsid w:val="00CB77C2"/>
    <w:rsid w:val="00CC1092"/>
    <w:rsid w:val="00CC10C2"/>
    <w:rsid w:val="00CC1328"/>
    <w:rsid w:val="00CC1573"/>
    <w:rsid w:val="00CC2CE9"/>
    <w:rsid w:val="00CC59B7"/>
    <w:rsid w:val="00CC7539"/>
    <w:rsid w:val="00CD0E35"/>
    <w:rsid w:val="00CD194E"/>
    <w:rsid w:val="00CD351C"/>
    <w:rsid w:val="00CD392A"/>
    <w:rsid w:val="00CD445D"/>
    <w:rsid w:val="00CD4FD9"/>
    <w:rsid w:val="00CD5250"/>
    <w:rsid w:val="00CD532F"/>
    <w:rsid w:val="00CD7460"/>
    <w:rsid w:val="00CD785F"/>
    <w:rsid w:val="00CE0C42"/>
    <w:rsid w:val="00CE0EC5"/>
    <w:rsid w:val="00CE17F7"/>
    <w:rsid w:val="00CE1B95"/>
    <w:rsid w:val="00CE24A3"/>
    <w:rsid w:val="00CE3675"/>
    <w:rsid w:val="00CE420D"/>
    <w:rsid w:val="00CE464F"/>
    <w:rsid w:val="00CE4C9D"/>
    <w:rsid w:val="00CE4CBC"/>
    <w:rsid w:val="00CE4DEF"/>
    <w:rsid w:val="00CE5120"/>
    <w:rsid w:val="00CE6271"/>
    <w:rsid w:val="00CE6678"/>
    <w:rsid w:val="00CE69D5"/>
    <w:rsid w:val="00CF00C8"/>
    <w:rsid w:val="00CF0D5E"/>
    <w:rsid w:val="00CF16C7"/>
    <w:rsid w:val="00CF18C0"/>
    <w:rsid w:val="00CF1FB4"/>
    <w:rsid w:val="00CF33C3"/>
    <w:rsid w:val="00CF442F"/>
    <w:rsid w:val="00CF67F5"/>
    <w:rsid w:val="00D012B7"/>
    <w:rsid w:val="00D01985"/>
    <w:rsid w:val="00D02D61"/>
    <w:rsid w:val="00D03698"/>
    <w:rsid w:val="00D044A1"/>
    <w:rsid w:val="00D100F1"/>
    <w:rsid w:val="00D11258"/>
    <w:rsid w:val="00D116EF"/>
    <w:rsid w:val="00D128BF"/>
    <w:rsid w:val="00D1301C"/>
    <w:rsid w:val="00D144FB"/>
    <w:rsid w:val="00D14E24"/>
    <w:rsid w:val="00D160DB"/>
    <w:rsid w:val="00D1667E"/>
    <w:rsid w:val="00D16BD0"/>
    <w:rsid w:val="00D20874"/>
    <w:rsid w:val="00D216CD"/>
    <w:rsid w:val="00D238AF"/>
    <w:rsid w:val="00D24785"/>
    <w:rsid w:val="00D25EE3"/>
    <w:rsid w:val="00D26ECD"/>
    <w:rsid w:val="00D27A3B"/>
    <w:rsid w:val="00D30746"/>
    <w:rsid w:val="00D31382"/>
    <w:rsid w:val="00D34C1D"/>
    <w:rsid w:val="00D362AC"/>
    <w:rsid w:val="00D37C1D"/>
    <w:rsid w:val="00D400BA"/>
    <w:rsid w:val="00D419FC"/>
    <w:rsid w:val="00D41D39"/>
    <w:rsid w:val="00D41F0F"/>
    <w:rsid w:val="00D4440A"/>
    <w:rsid w:val="00D4553A"/>
    <w:rsid w:val="00D45CCA"/>
    <w:rsid w:val="00D47DF3"/>
    <w:rsid w:val="00D51116"/>
    <w:rsid w:val="00D52874"/>
    <w:rsid w:val="00D53E24"/>
    <w:rsid w:val="00D61209"/>
    <w:rsid w:val="00D61536"/>
    <w:rsid w:val="00D622A6"/>
    <w:rsid w:val="00D628AC"/>
    <w:rsid w:val="00D63132"/>
    <w:rsid w:val="00D637FF"/>
    <w:rsid w:val="00D65FF6"/>
    <w:rsid w:val="00D665FE"/>
    <w:rsid w:val="00D67D18"/>
    <w:rsid w:val="00D70D52"/>
    <w:rsid w:val="00D724EC"/>
    <w:rsid w:val="00D7441F"/>
    <w:rsid w:val="00D74555"/>
    <w:rsid w:val="00D74D1D"/>
    <w:rsid w:val="00D75541"/>
    <w:rsid w:val="00D75BCF"/>
    <w:rsid w:val="00D76151"/>
    <w:rsid w:val="00D76248"/>
    <w:rsid w:val="00D76461"/>
    <w:rsid w:val="00D76D4F"/>
    <w:rsid w:val="00D811D3"/>
    <w:rsid w:val="00D8181C"/>
    <w:rsid w:val="00D82370"/>
    <w:rsid w:val="00D82635"/>
    <w:rsid w:val="00D82746"/>
    <w:rsid w:val="00D837B5"/>
    <w:rsid w:val="00D83C5C"/>
    <w:rsid w:val="00D84A46"/>
    <w:rsid w:val="00D84BE9"/>
    <w:rsid w:val="00D85961"/>
    <w:rsid w:val="00D86F5E"/>
    <w:rsid w:val="00D877AF"/>
    <w:rsid w:val="00D87942"/>
    <w:rsid w:val="00D92985"/>
    <w:rsid w:val="00D92B29"/>
    <w:rsid w:val="00D92E2F"/>
    <w:rsid w:val="00D92FCD"/>
    <w:rsid w:val="00D93F2D"/>
    <w:rsid w:val="00D94091"/>
    <w:rsid w:val="00D9515A"/>
    <w:rsid w:val="00D95E1D"/>
    <w:rsid w:val="00D96817"/>
    <w:rsid w:val="00D96CDC"/>
    <w:rsid w:val="00D9766D"/>
    <w:rsid w:val="00DA0A2B"/>
    <w:rsid w:val="00DA380D"/>
    <w:rsid w:val="00DA4985"/>
    <w:rsid w:val="00DA54BA"/>
    <w:rsid w:val="00DA5A05"/>
    <w:rsid w:val="00DA7712"/>
    <w:rsid w:val="00DA7C30"/>
    <w:rsid w:val="00DA7FB2"/>
    <w:rsid w:val="00DB01C4"/>
    <w:rsid w:val="00DB0D8E"/>
    <w:rsid w:val="00DB132B"/>
    <w:rsid w:val="00DB18F2"/>
    <w:rsid w:val="00DB1CC0"/>
    <w:rsid w:val="00DB2070"/>
    <w:rsid w:val="00DB2C47"/>
    <w:rsid w:val="00DB2D64"/>
    <w:rsid w:val="00DB3858"/>
    <w:rsid w:val="00DB42A5"/>
    <w:rsid w:val="00DB52B9"/>
    <w:rsid w:val="00DB5951"/>
    <w:rsid w:val="00DB66B7"/>
    <w:rsid w:val="00DB6AC2"/>
    <w:rsid w:val="00DB6C96"/>
    <w:rsid w:val="00DB6CAA"/>
    <w:rsid w:val="00DB7873"/>
    <w:rsid w:val="00DC0690"/>
    <w:rsid w:val="00DC0A60"/>
    <w:rsid w:val="00DC130E"/>
    <w:rsid w:val="00DC30E0"/>
    <w:rsid w:val="00DC3A38"/>
    <w:rsid w:val="00DC600A"/>
    <w:rsid w:val="00DC66BD"/>
    <w:rsid w:val="00DC6B4A"/>
    <w:rsid w:val="00DC768C"/>
    <w:rsid w:val="00DD04DE"/>
    <w:rsid w:val="00DD0FA3"/>
    <w:rsid w:val="00DD1394"/>
    <w:rsid w:val="00DD180D"/>
    <w:rsid w:val="00DD25DB"/>
    <w:rsid w:val="00DD2653"/>
    <w:rsid w:val="00DD28F3"/>
    <w:rsid w:val="00DD362B"/>
    <w:rsid w:val="00DD383A"/>
    <w:rsid w:val="00DD3D6A"/>
    <w:rsid w:val="00DD4F1F"/>
    <w:rsid w:val="00DD53FB"/>
    <w:rsid w:val="00DD64C4"/>
    <w:rsid w:val="00DD69CF"/>
    <w:rsid w:val="00DD730A"/>
    <w:rsid w:val="00DD78F0"/>
    <w:rsid w:val="00DE1EAD"/>
    <w:rsid w:val="00DE2091"/>
    <w:rsid w:val="00DE24D5"/>
    <w:rsid w:val="00DE391A"/>
    <w:rsid w:val="00DE77C1"/>
    <w:rsid w:val="00DF03A3"/>
    <w:rsid w:val="00DF0697"/>
    <w:rsid w:val="00DF486A"/>
    <w:rsid w:val="00DF574F"/>
    <w:rsid w:val="00DF674F"/>
    <w:rsid w:val="00DF6EEF"/>
    <w:rsid w:val="00DF79EF"/>
    <w:rsid w:val="00DF7FF9"/>
    <w:rsid w:val="00E00976"/>
    <w:rsid w:val="00E01799"/>
    <w:rsid w:val="00E01DA4"/>
    <w:rsid w:val="00E02B81"/>
    <w:rsid w:val="00E02B9B"/>
    <w:rsid w:val="00E03154"/>
    <w:rsid w:val="00E039FF"/>
    <w:rsid w:val="00E059ED"/>
    <w:rsid w:val="00E06E14"/>
    <w:rsid w:val="00E07289"/>
    <w:rsid w:val="00E10851"/>
    <w:rsid w:val="00E1147B"/>
    <w:rsid w:val="00E118A4"/>
    <w:rsid w:val="00E11D13"/>
    <w:rsid w:val="00E120F3"/>
    <w:rsid w:val="00E12E97"/>
    <w:rsid w:val="00E130CD"/>
    <w:rsid w:val="00E14C86"/>
    <w:rsid w:val="00E14D1D"/>
    <w:rsid w:val="00E14FDA"/>
    <w:rsid w:val="00E15365"/>
    <w:rsid w:val="00E22C0C"/>
    <w:rsid w:val="00E27067"/>
    <w:rsid w:val="00E27678"/>
    <w:rsid w:val="00E30836"/>
    <w:rsid w:val="00E30AF5"/>
    <w:rsid w:val="00E31920"/>
    <w:rsid w:val="00E340FE"/>
    <w:rsid w:val="00E3423B"/>
    <w:rsid w:val="00E3562A"/>
    <w:rsid w:val="00E37A1D"/>
    <w:rsid w:val="00E37E65"/>
    <w:rsid w:val="00E41B9A"/>
    <w:rsid w:val="00E42549"/>
    <w:rsid w:val="00E43235"/>
    <w:rsid w:val="00E43281"/>
    <w:rsid w:val="00E43774"/>
    <w:rsid w:val="00E43AAC"/>
    <w:rsid w:val="00E45239"/>
    <w:rsid w:val="00E45468"/>
    <w:rsid w:val="00E4594C"/>
    <w:rsid w:val="00E45B40"/>
    <w:rsid w:val="00E47283"/>
    <w:rsid w:val="00E50812"/>
    <w:rsid w:val="00E508F5"/>
    <w:rsid w:val="00E50A2D"/>
    <w:rsid w:val="00E51FBD"/>
    <w:rsid w:val="00E53EFE"/>
    <w:rsid w:val="00E54C30"/>
    <w:rsid w:val="00E54C59"/>
    <w:rsid w:val="00E60DA5"/>
    <w:rsid w:val="00E61261"/>
    <w:rsid w:val="00E61B4F"/>
    <w:rsid w:val="00E6383B"/>
    <w:rsid w:val="00E656F7"/>
    <w:rsid w:val="00E65AFD"/>
    <w:rsid w:val="00E660E0"/>
    <w:rsid w:val="00E71BA2"/>
    <w:rsid w:val="00E74478"/>
    <w:rsid w:val="00E75D8B"/>
    <w:rsid w:val="00E77197"/>
    <w:rsid w:val="00E775D8"/>
    <w:rsid w:val="00E77650"/>
    <w:rsid w:val="00E80FCA"/>
    <w:rsid w:val="00E83E7B"/>
    <w:rsid w:val="00E872E2"/>
    <w:rsid w:val="00E90484"/>
    <w:rsid w:val="00E920F3"/>
    <w:rsid w:val="00E9214B"/>
    <w:rsid w:val="00E9252B"/>
    <w:rsid w:val="00E93869"/>
    <w:rsid w:val="00E94002"/>
    <w:rsid w:val="00E955CB"/>
    <w:rsid w:val="00E96FF6"/>
    <w:rsid w:val="00E978FE"/>
    <w:rsid w:val="00E97F45"/>
    <w:rsid w:val="00EA0069"/>
    <w:rsid w:val="00EA2F7F"/>
    <w:rsid w:val="00EA311D"/>
    <w:rsid w:val="00EA36E9"/>
    <w:rsid w:val="00EA3C8B"/>
    <w:rsid w:val="00EA4821"/>
    <w:rsid w:val="00EA4BED"/>
    <w:rsid w:val="00EA4E01"/>
    <w:rsid w:val="00EB01E6"/>
    <w:rsid w:val="00EB0338"/>
    <w:rsid w:val="00EB1AA3"/>
    <w:rsid w:val="00EB42C9"/>
    <w:rsid w:val="00EB4382"/>
    <w:rsid w:val="00EB45E2"/>
    <w:rsid w:val="00EB4CA0"/>
    <w:rsid w:val="00EB5FDF"/>
    <w:rsid w:val="00EB68C5"/>
    <w:rsid w:val="00EB7581"/>
    <w:rsid w:val="00EC32C9"/>
    <w:rsid w:val="00EC3FC3"/>
    <w:rsid w:val="00EC52E2"/>
    <w:rsid w:val="00ED2459"/>
    <w:rsid w:val="00ED3E8E"/>
    <w:rsid w:val="00ED4037"/>
    <w:rsid w:val="00ED492B"/>
    <w:rsid w:val="00ED49EB"/>
    <w:rsid w:val="00ED50C7"/>
    <w:rsid w:val="00ED6234"/>
    <w:rsid w:val="00ED6963"/>
    <w:rsid w:val="00EE460F"/>
    <w:rsid w:val="00EE4BD6"/>
    <w:rsid w:val="00EE5C9A"/>
    <w:rsid w:val="00EF0138"/>
    <w:rsid w:val="00EF32AA"/>
    <w:rsid w:val="00EF6350"/>
    <w:rsid w:val="00EF6C37"/>
    <w:rsid w:val="00EF70C1"/>
    <w:rsid w:val="00EF74C5"/>
    <w:rsid w:val="00F00A62"/>
    <w:rsid w:val="00F00B77"/>
    <w:rsid w:val="00F00B9B"/>
    <w:rsid w:val="00F00C23"/>
    <w:rsid w:val="00F00CEF"/>
    <w:rsid w:val="00F01E54"/>
    <w:rsid w:val="00F04218"/>
    <w:rsid w:val="00F04A93"/>
    <w:rsid w:val="00F05A82"/>
    <w:rsid w:val="00F0661D"/>
    <w:rsid w:val="00F07902"/>
    <w:rsid w:val="00F100AB"/>
    <w:rsid w:val="00F11AFB"/>
    <w:rsid w:val="00F1224C"/>
    <w:rsid w:val="00F122DF"/>
    <w:rsid w:val="00F12B78"/>
    <w:rsid w:val="00F14DCA"/>
    <w:rsid w:val="00F15613"/>
    <w:rsid w:val="00F15754"/>
    <w:rsid w:val="00F15993"/>
    <w:rsid w:val="00F15B3D"/>
    <w:rsid w:val="00F15C82"/>
    <w:rsid w:val="00F16A72"/>
    <w:rsid w:val="00F177E1"/>
    <w:rsid w:val="00F200FC"/>
    <w:rsid w:val="00F21484"/>
    <w:rsid w:val="00F22281"/>
    <w:rsid w:val="00F22D88"/>
    <w:rsid w:val="00F236CF"/>
    <w:rsid w:val="00F237AB"/>
    <w:rsid w:val="00F24B9A"/>
    <w:rsid w:val="00F24FB9"/>
    <w:rsid w:val="00F26CFE"/>
    <w:rsid w:val="00F27A6D"/>
    <w:rsid w:val="00F30354"/>
    <w:rsid w:val="00F32A37"/>
    <w:rsid w:val="00F33EEE"/>
    <w:rsid w:val="00F35512"/>
    <w:rsid w:val="00F35E42"/>
    <w:rsid w:val="00F367F9"/>
    <w:rsid w:val="00F37707"/>
    <w:rsid w:val="00F40843"/>
    <w:rsid w:val="00F40A13"/>
    <w:rsid w:val="00F40AC7"/>
    <w:rsid w:val="00F40F33"/>
    <w:rsid w:val="00F41666"/>
    <w:rsid w:val="00F42255"/>
    <w:rsid w:val="00F4350B"/>
    <w:rsid w:val="00F43947"/>
    <w:rsid w:val="00F43BB5"/>
    <w:rsid w:val="00F458D9"/>
    <w:rsid w:val="00F467A4"/>
    <w:rsid w:val="00F46B0D"/>
    <w:rsid w:val="00F5085B"/>
    <w:rsid w:val="00F50FCC"/>
    <w:rsid w:val="00F51417"/>
    <w:rsid w:val="00F52E39"/>
    <w:rsid w:val="00F53414"/>
    <w:rsid w:val="00F569A5"/>
    <w:rsid w:val="00F57168"/>
    <w:rsid w:val="00F60616"/>
    <w:rsid w:val="00F62A0B"/>
    <w:rsid w:val="00F62E90"/>
    <w:rsid w:val="00F63212"/>
    <w:rsid w:val="00F63F32"/>
    <w:rsid w:val="00F64A25"/>
    <w:rsid w:val="00F65173"/>
    <w:rsid w:val="00F67257"/>
    <w:rsid w:val="00F7189C"/>
    <w:rsid w:val="00F72834"/>
    <w:rsid w:val="00F72AF6"/>
    <w:rsid w:val="00F74030"/>
    <w:rsid w:val="00F76B73"/>
    <w:rsid w:val="00F7767A"/>
    <w:rsid w:val="00F77742"/>
    <w:rsid w:val="00F80A8B"/>
    <w:rsid w:val="00F84D45"/>
    <w:rsid w:val="00F874B3"/>
    <w:rsid w:val="00F87B21"/>
    <w:rsid w:val="00F9101A"/>
    <w:rsid w:val="00F91C6A"/>
    <w:rsid w:val="00F91C78"/>
    <w:rsid w:val="00F91D45"/>
    <w:rsid w:val="00F93437"/>
    <w:rsid w:val="00F942AB"/>
    <w:rsid w:val="00F94905"/>
    <w:rsid w:val="00F95129"/>
    <w:rsid w:val="00F9756C"/>
    <w:rsid w:val="00F97916"/>
    <w:rsid w:val="00F97D47"/>
    <w:rsid w:val="00FA2DF4"/>
    <w:rsid w:val="00FA4277"/>
    <w:rsid w:val="00FA4A29"/>
    <w:rsid w:val="00FB1100"/>
    <w:rsid w:val="00FB578A"/>
    <w:rsid w:val="00FB6211"/>
    <w:rsid w:val="00FC1DB4"/>
    <w:rsid w:val="00FC2167"/>
    <w:rsid w:val="00FC5BA8"/>
    <w:rsid w:val="00FC5EC4"/>
    <w:rsid w:val="00FC617B"/>
    <w:rsid w:val="00FC697B"/>
    <w:rsid w:val="00FC77E6"/>
    <w:rsid w:val="00FD123D"/>
    <w:rsid w:val="00FD16F3"/>
    <w:rsid w:val="00FD1819"/>
    <w:rsid w:val="00FD746E"/>
    <w:rsid w:val="00FE08A8"/>
    <w:rsid w:val="00FE1BA8"/>
    <w:rsid w:val="00FE335F"/>
    <w:rsid w:val="00FE422B"/>
    <w:rsid w:val="00FE48CD"/>
    <w:rsid w:val="00FE5ADD"/>
    <w:rsid w:val="00FE7FDD"/>
    <w:rsid w:val="00FF02B3"/>
    <w:rsid w:val="00FF1081"/>
    <w:rsid w:val="00FF255C"/>
    <w:rsid w:val="00FF272A"/>
    <w:rsid w:val="00FF364A"/>
    <w:rsid w:val="00FF4B66"/>
    <w:rsid w:val="00FF4D03"/>
    <w:rsid w:val="00FF5035"/>
    <w:rsid w:val="00FF57AB"/>
    <w:rsid w:val="00FF5839"/>
    <w:rsid w:val="00FF5F1D"/>
    <w:rsid w:val="00FF7F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2ABE50"/>
  <w15:docId w15:val="{48B1FBB3-DBA0-4E03-8191-E052A0B1A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7650"/>
    <w:pPr>
      <w:keepNext/>
      <w:keepLines/>
      <w:spacing w:before="240" w:after="0"/>
      <w:outlineLvl w:val="0"/>
    </w:pPr>
    <w:rPr>
      <w:rFonts w:asciiTheme="majorHAnsi" w:eastAsiaTheme="majorEastAsia" w:hAnsiTheme="majorHAnsi" w:cstheme="majorBidi"/>
      <w:color w:val="A5A5A5" w:themeColor="accent1" w:themeShade="BF"/>
      <w:kern w:val="0"/>
      <w:sz w:val="32"/>
      <w:szCs w:val="32"/>
      <w:lang w:val="en-US"/>
    </w:rPr>
  </w:style>
  <w:style w:type="paragraph" w:styleId="Heading2">
    <w:name w:val="heading 2"/>
    <w:basedOn w:val="Normal"/>
    <w:link w:val="Heading2Char"/>
    <w:uiPriority w:val="9"/>
    <w:unhideWhenUsed/>
    <w:qFormat/>
    <w:rsid w:val="00A96566"/>
    <w:pPr>
      <w:widowControl w:val="0"/>
      <w:autoSpaceDE w:val="0"/>
      <w:autoSpaceDN w:val="0"/>
      <w:spacing w:before="88" w:after="0" w:line="240" w:lineRule="auto"/>
      <w:ind w:left="1027"/>
      <w:jc w:val="center"/>
      <w:outlineLvl w:val="1"/>
    </w:pPr>
    <w:rPr>
      <w:rFonts w:ascii="Times New Roman" w:eastAsia="Times New Roman" w:hAnsi="Times New Roman" w:cs="Times New Roman"/>
      <w:b/>
      <w:bCs/>
      <w:kern w:val="0"/>
      <w:sz w:val="28"/>
      <w:szCs w:val="28"/>
    </w:rPr>
  </w:style>
  <w:style w:type="paragraph" w:styleId="Heading3">
    <w:name w:val="heading 3"/>
    <w:basedOn w:val="Normal"/>
    <w:link w:val="Heading3Char"/>
    <w:uiPriority w:val="9"/>
    <w:unhideWhenUsed/>
    <w:qFormat/>
    <w:rsid w:val="00A96566"/>
    <w:pPr>
      <w:widowControl w:val="0"/>
      <w:autoSpaceDE w:val="0"/>
      <w:autoSpaceDN w:val="0"/>
      <w:spacing w:before="47" w:after="0" w:line="240" w:lineRule="auto"/>
      <w:ind w:left="1027"/>
      <w:jc w:val="center"/>
      <w:outlineLvl w:val="2"/>
    </w:pPr>
    <w:rPr>
      <w:rFonts w:ascii="Arial" w:eastAsia="Arial" w:hAnsi="Arial" w:cs="Arial"/>
      <w:kern w:val="0"/>
      <w:sz w:val="28"/>
      <w:szCs w:val="28"/>
    </w:rPr>
  </w:style>
  <w:style w:type="paragraph" w:styleId="Heading4">
    <w:name w:val="heading 4"/>
    <w:basedOn w:val="Normal"/>
    <w:link w:val="Heading4Char"/>
    <w:uiPriority w:val="9"/>
    <w:unhideWhenUsed/>
    <w:qFormat/>
    <w:rsid w:val="00A96566"/>
    <w:pPr>
      <w:widowControl w:val="0"/>
      <w:autoSpaceDE w:val="0"/>
      <w:autoSpaceDN w:val="0"/>
      <w:spacing w:before="90" w:after="0" w:line="240" w:lineRule="auto"/>
      <w:ind w:left="1727" w:hanging="548"/>
      <w:outlineLvl w:val="3"/>
    </w:pPr>
    <w:rPr>
      <w:rFonts w:ascii="Times New Roman" w:eastAsia="Times New Roman" w:hAnsi="Times New Roman" w:cs="Times New Roman"/>
      <w:b/>
      <w:bCs/>
      <w:kern w:val="0"/>
      <w:sz w:val="24"/>
      <w:szCs w:val="24"/>
    </w:rPr>
  </w:style>
  <w:style w:type="paragraph" w:styleId="Heading5">
    <w:name w:val="heading 5"/>
    <w:basedOn w:val="Normal"/>
    <w:link w:val="Heading5Char"/>
    <w:uiPriority w:val="9"/>
    <w:unhideWhenUsed/>
    <w:qFormat/>
    <w:rsid w:val="00A96566"/>
    <w:pPr>
      <w:widowControl w:val="0"/>
      <w:autoSpaceDE w:val="0"/>
      <w:autoSpaceDN w:val="0"/>
      <w:spacing w:after="0" w:line="240" w:lineRule="auto"/>
      <w:ind w:left="1180"/>
      <w:outlineLvl w:val="4"/>
    </w:pPr>
    <w:rPr>
      <w:rFonts w:ascii="Times New Roman" w:eastAsia="Times New Roman" w:hAnsi="Times New Roman" w:cs="Times New Roman"/>
      <w:kern w:val="0"/>
      <w:sz w:val="24"/>
      <w:szCs w:val="24"/>
    </w:rPr>
  </w:style>
  <w:style w:type="paragraph" w:styleId="Heading6">
    <w:name w:val="heading 6"/>
    <w:basedOn w:val="Normal"/>
    <w:link w:val="Heading6Char"/>
    <w:uiPriority w:val="9"/>
    <w:unhideWhenUsed/>
    <w:qFormat/>
    <w:rsid w:val="00A96566"/>
    <w:pPr>
      <w:widowControl w:val="0"/>
      <w:autoSpaceDE w:val="0"/>
      <w:autoSpaceDN w:val="0"/>
      <w:spacing w:after="0" w:line="240" w:lineRule="auto"/>
      <w:ind w:left="1180"/>
      <w:outlineLvl w:val="5"/>
    </w:pPr>
    <w:rPr>
      <w:rFonts w:ascii="Times New Roman" w:eastAsia="Times New Roman" w:hAnsi="Times New Roman" w:cs="Times New Roman"/>
      <w:b/>
      <w:bCs/>
      <w:kern w:val="0"/>
    </w:rPr>
  </w:style>
  <w:style w:type="paragraph" w:styleId="Heading7">
    <w:name w:val="heading 7"/>
    <w:basedOn w:val="Normal"/>
    <w:link w:val="Heading7Char"/>
    <w:uiPriority w:val="1"/>
    <w:qFormat/>
    <w:rsid w:val="00A96566"/>
    <w:pPr>
      <w:widowControl w:val="0"/>
      <w:autoSpaceDE w:val="0"/>
      <w:autoSpaceDN w:val="0"/>
      <w:spacing w:before="175" w:after="0" w:line="240" w:lineRule="auto"/>
      <w:ind w:left="1180"/>
      <w:outlineLvl w:val="6"/>
    </w:pPr>
    <w:rPr>
      <w:rFonts w:ascii="Arial" w:eastAsia="Arial" w:hAnsi="Arial" w:cs="Arial"/>
      <w:b/>
      <w:bCs/>
      <w:kern w:val="0"/>
      <w:sz w:val="20"/>
      <w:szCs w:val="20"/>
    </w:rPr>
  </w:style>
  <w:style w:type="paragraph" w:styleId="Heading8">
    <w:name w:val="heading 8"/>
    <w:basedOn w:val="Normal"/>
    <w:next w:val="Normal"/>
    <w:link w:val="Heading8Char"/>
    <w:uiPriority w:val="9"/>
    <w:semiHidden/>
    <w:unhideWhenUsed/>
    <w:qFormat/>
    <w:rsid w:val="006E24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24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049C"/>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z-TopofForm">
    <w:name w:val="HTML Top of Form"/>
    <w:basedOn w:val="Normal"/>
    <w:next w:val="Normal"/>
    <w:link w:val="z-TopofFormChar"/>
    <w:hidden/>
    <w:uiPriority w:val="99"/>
    <w:semiHidden/>
    <w:unhideWhenUsed/>
    <w:rsid w:val="0092049C"/>
    <w:pPr>
      <w:pBdr>
        <w:bottom w:val="single" w:sz="6" w:space="1" w:color="auto"/>
      </w:pBdr>
      <w:spacing w:after="0" w:line="240" w:lineRule="auto"/>
      <w:jc w:val="center"/>
    </w:pPr>
    <w:rPr>
      <w:rFonts w:ascii="Arial" w:eastAsia="Times New Roman" w:hAnsi="Arial" w:cs="Arial"/>
      <w:vanish/>
      <w:kern w:val="0"/>
      <w:sz w:val="16"/>
      <w:szCs w:val="16"/>
      <w:lang w:eastAsia="en-GB"/>
    </w:rPr>
  </w:style>
  <w:style w:type="character" w:customStyle="1" w:styleId="z-TopofFormChar">
    <w:name w:val="z-Top of Form Char"/>
    <w:basedOn w:val="DefaultParagraphFont"/>
    <w:link w:val="z-TopofForm"/>
    <w:uiPriority w:val="99"/>
    <w:semiHidden/>
    <w:rsid w:val="0092049C"/>
    <w:rPr>
      <w:rFonts w:ascii="Arial" w:eastAsia="Times New Roman" w:hAnsi="Arial" w:cs="Arial"/>
      <w:vanish/>
      <w:kern w:val="0"/>
      <w:sz w:val="16"/>
      <w:szCs w:val="16"/>
      <w:lang w:eastAsia="en-GB"/>
    </w:rPr>
  </w:style>
  <w:style w:type="paragraph" w:styleId="ListParagraph">
    <w:name w:val="List Paragraph"/>
    <w:basedOn w:val="Normal"/>
    <w:link w:val="ListParagraphChar"/>
    <w:uiPriority w:val="34"/>
    <w:qFormat/>
    <w:rsid w:val="00875E41"/>
    <w:pPr>
      <w:ind w:left="720"/>
      <w:contextualSpacing/>
    </w:pPr>
  </w:style>
  <w:style w:type="character" w:customStyle="1" w:styleId="Heading1Char">
    <w:name w:val="Heading 1 Char"/>
    <w:basedOn w:val="DefaultParagraphFont"/>
    <w:link w:val="Heading1"/>
    <w:uiPriority w:val="9"/>
    <w:rsid w:val="00E77650"/>
    <w:rPr>
      <w:rFonts w:asciiTheme="majorHAnsi" w:eastAsiaTheme="majorEastAsia" w:hAnsiTheme="majorHAnsi" w:cstheme="majorBidi"/>
      <w:color w:val="A5A5A5" w:themeColor="accent1" w:themeShade="BF"/>
      <w:kern w:val="0"/>
      <w:sz w:val="32"/>
      <w:szCs w:val="32"/>
      <w:lang w:val="en-US"/>
    </w:rPr>
  </w:style>
  <w:style w:type="table" w:styleId="TableGrid">
    <w:name w:val="Table Grid"/>
    <w:basedOn w:val="TableNormal"/>
    <w:uiPriority w:val="39"/>
    <w:rsid w:val="00E7765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650"/>
    <w:rPr>
      <w:color w:val="0000FF"/>
      <w:u w:val="single"/>
    </w:rPr>
  </w:style>
  <w:style w:type="paragraph" w:customStyle="1" w:styleId="paragraph">
    <w:name w:val="paragraph"/>
    <w:basedOn w:val="Normal"/>
    <w:rsid w:val="00E77650"/>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E77650"/>
  </w:style>
  <w:style w:type="character" w:customStyle="1" w:styleId="eop">
    <w:name w:val="eop"/>
    <w:basedOn w:val="DefaultParagraphFont"/>
    <w:rsid w:val="00E77650"/>
  </w:style>
  <w:style w:type="character" w:styleId="Emphasis">
    <w:name w:val="Emphasis"/>
    <w:basedOn w:val="DefaultParagraphFont"/>
    <w:uiPriority w:val="20"/>
    <w:qFormat/>
    <w:rsid w:val="00E77650"/>
    <w:rPr>
      <w:i/>
      <w:iCs/>
    </w:rPr>
  </w:style>
  <w:style w:type="character" w:styleId="FollowedHyperlink">
    <w:name w:val="FollowedHyperlink"/>
    <w:basedOn w:val="DefaultParagraphFont"/>
    <w:uiPriority w:val="99"/>
    <w:semiHidden/>
    <w:unhideWhenUsed/>
    <w:rsid w:val="00E77650"/>
    <w:rPr>
      <w:color w:val="919191" w:themeColor="followedHyperlink"/>
      <w:u w:val="single"/>
    </w:rPr>
  </w:style>
  <w:style w:type="paragraph" w:styleId="Bibliography">
    <w:name w:val="Bibliography"/>
    <w:basedOn w:val="Normal"/>
    <w:next w:val="Normal"/>
    <w:uiPriority w:val="37"/>
    <w:unhideWhenUsed/>
    <w:rsid w:val="00E77650"/>
    <w:rPr>
      <w:kern w:val="0"/>
    </w:rPr>
  </w:style>
  <w:style w:type="character" w:customStyle="1" w:styleId="Heading2Char">
    <w:name w:val="Heading 2 Char"/>
    <w:basedOn w:val="DefaultParagraphFont"/>
    <w:link w:val="Heading2"/>
    <w:uiPriority w:val="9"/>
    <w:rsid w:val="00A96566"/>
    <w:rPr>
      <w:rFonts w:ascii="Times New Roman" w:eastAsia="Times New Roman" w:hAnsi="Times New Roman" w:cs="Times New Roman"/>
      <w:b/>
      <w:bCs/>
      <w:kern w:val="0"/>
      <w:sz w:val="28"/>
      <w:szCs w:val="28"/>
    </w:rPr>
  </w:style>
  <w:style w:type="character" w:customStyle="1" w:styleId="Heading3Char">
    <w:name w:val="Heading 3 Char"/>
    <w:basedOn w:val="DefaultParagraphFont"/>
    <w:link w:val="Heading3"/>
    <w:uiPriority w:val="9"/>
    <w:rsid w:val="00A96566"/>
    <w:rPr>
      <w:rFonts w:ascii="Arial" w:eastAsia="Arial" w:hAnsi="Arial" w:cs="Arial"/>
      <w:kern w:val="0"/>
      <w:sz w:val="28"/>
      <w:szCs w:val="28"/>
    </w:rPr>
  </w:style>
  <w:style w:type="character" w:customStyle="1" w:styleId="Heading4Char">
    <w:name w:val="Heading 4 Char"/>
    <w:basedOn w:val="DefaultParagraphFont"/>
    <w:link w:val="Heading4"/>
    <w:uiPriority w:val="9"/>
    <w:rsid w:val="00A96566"/>
    <w:rPr>
      <w:rFonts w:ascii="Times New Roman" w:eastAsia="Times New Roman" w:hAnsi="Times New Roman" w:cs="Times New Roman"/>
      <w:b/>
      <w:bCs/>
      <w:kern w:val="0"/>
      <w:sz w:val="24"/>
      <w:szCs w:val="24"/>
    </w:rPr>
  </w:style>
  <w:style w:type="character" w:customStyle="1" w:styleId="Heading5Char">
    <w:name w:val="Heading 5 Char"/>
    <w:basedOn w:val="DefaultParagraphFont"/>
    <w:link w:val="Heading5"/>
    <w:uiPriority w:val="9"/>
    <w:rsid w:val="00A96566"/>
    <w:rPr>
      <w:rFonts w:ascii="Times New Roman" w:eastAsia="Times New Roman" w:hAnsi="Times New Roman" w:cs="Times New Roman"/>
      <w:kern w:val="0"/>
      <w:sz w:val="24"/>
      <w:szCs w:val="24"/>
    </w:rPr>
  </w:style>
  <w:style w:type="character" w:customStyle="1" w:styleId="Heading6Char">
    <w:name w:val="Heading 6 Char"/>
    <w:basedOn w:val="DefaultParagraphFont"/>
    <w:link w:val="Heading6"/>
    <w:uiPriority w:val="9"/>
    <w:rsid w:val="00A96566"/>
    <w:rPr>
      <w:rFonts w:ascii="Times New Roman" w:eastAsia="Times New Roman" w:hAnsi="Times New Roman" w:cs="Times New Roman"/>
      <w:b/>
      <w:bCs/>
      <w:kern w:val="0"/>
    </w:rPr>
  </w:style>
  <w:style w:type="character" w:customStyle="1" w:styleId="Heading7Char">
    <w:name w:val="Heading 7 Char"/>
    <w:basedOn w:val="DefaultParagraphFont"/>
    <w:link w:val="Heading7"/>
    <w:uiPriority w:val="1"/>
    <w:rsid w:val="00A96566"/>
    <w:rPr>
      <w:rFonts w:ascii="Arial" w:eastAsia="Arial" w:hAnsi="Arial" w:cs="Arial"/>
      <w:b/>
      <w:bCs/>
      <w:kern w:val="0"/>
      <w:sz w:val="20"/>
      <w:szCs w:val="20"/>
    </w:rPr>
  </w:style>
  <w:style w:type="paragraph" w:customStyle="1" w:styleId="TableParagraph">
    <w:name w:val="Table Paragraph"/>
    <w:basedOn w:val="Normal"/>
    <w:uiPriority w:val="1"/>
    <w:qFormat/>
    <w:rsid w:val="00A96566"/>
    <w:pPr>
      <w:widowControl w:val="0"/>
      <w:autoSpaceDE w:val="0"/>
      <w:autoSpaceDN w:val="0"/>
      <w:spacing w:before="74" w:after="0" w:line="240" w:lineRule="auto"/>
    </w:pPr>
    <w:rPr>
      <w:rFonts w:ascii="Arial" w:eastAsia="Arial" w:hAnsi="Arial" w:cs="Arial"/>
      <w:kern w:val="0"/>
    </w:rPr>
  </w:style>
  <w:style w:type="paragraph" w:styleId="TOC1">
    <w:name w:val="toc 1"/>
    <w:basedOn w:val="Normal"/>
    <w:uiPriority w:val="39"/>
    <w:qFormat/>
    <w:rsid w:val="00A96566"/>
    <w:pPr>
      <w:widowControl w:val="0"/>
      <w:autoSpaceDE w:val="0"/>
      <w:autoSpaceDN w:val="0"/>
      <w:spacing w:before="311" w:after="0" w:line="240" w:lineRule="auto"/>
      <w:ind w:left="1179"/>
    </w:pPr>
    <w:rPr>
      <w:rFonts w:ascii="Arial" w:eastAsia="Arial" w:hAnsi="Arial" w:cs="Arial"/>
      <w:kern w:val="0"/>
    </w:rPr>
  </w:style>
  <w:style w:type="paragraph" w:styleId="TOC2">
    <w:name w:val="toc 2"/>
    <w:basedOn w:val="Normal"/>
    <w:uiPriority w:val="39"/>
    <w:qFormat/>
    <w:rsid w:val="00A96566"/>
    <w:pPr>
      <w:widowControl w:val="0"/>
      <w:autoSpaceDE w:val="0"/>
      <w:autoSpaceDN w:val="0"/>
      <w:spacing w:before="311" w:after="0" w:line="240" w:lineRule="auto"/>
      <w:ind w:left="1179"/>
    </w:pPr>
    <w:rPr>
      <w:rFonts w:ascii="Arial" w:eastAsia="Arial" w:hAnsi="Arial" w:cs="Arial"/>
      <w:b/>
      <w:bCs/>
      <w:i/>
      <w:iCs/>
      <w:kern w:val="0"/>
    </w:rPr>
  </w:style>
  <w:style w:type="paragraph" w:styleId="Title">
    <w:name w:val="Title"/>
    <w:basedOn w:val="Normal"/>
    <w:link w:val="TitleChar"/>
    <w:uiPriority w:val="10"/>
    <w:qFormat/>
    <w:rsid w:val="00A96566"/>
    <w:pPr>
      <w:widowControl w:val="0"/>
      <w:autoSpaceDE w:val="0"/>
      <w:autoSpaceDN w:val="0"/>
      <w:spacing w:before="61" w:after="0" w:line="240" w:lineRule="auto"/>
      <w:ind w:left="1027" w:right="1288"/>
      <w:jc w:val="center"/>
    </w:pPr>
    <w:rPr>
      <w:rFonts w:ascii="Times New Roman" w:eastAsia="Times New Roman" w:hAnsi="Times New Roman" w:cs="Times New Roman"/>
      <w:kern w:val="0"/>
      <w:sz w:val="40"/>
      <w:szCs w:val="40"/>
    </w:rPr>
  </w:style>
  <w:style w:type="character" w:customStyle="1" w:styleId="TitleChar">
    <w:name w:val="Title Char"/>
    <w:basedOn w:val="DefaultParagraphFont"/>
    <w:link w:val="Title"/>
    <w:uiPriority w:val="10"/>
    <w:rsid w:val="00A96566"/>
    <w:rPr>
      <w:rFonts w:ascii="Times New Roman" w:eastAsia="Times New Roman" w:hAnsi="Times New Roman" w:cs="Times New Roman"/>
      <w:kern w:val="0"/>
      <w:sz w:val="40"/>
      <w:szCs w:val="40"/>
    </w:rPr>
  </w:style>
  <w:style w:type="paragraph" w:styleId="BodyText">
    <w:name w:val="Body Text"/>
    <w:basedOn w:val="Normal"/>
    <w:link w:val="BodyTextChar"/>
    <w:uiPriority w:val="1"/>
    <w:qFormat/>
    <w:rsid w:val="00A96566"/>
    <w:pPr>
      <w:widowControl w:val="0"/>
      <w:autoSpaceDE w:val="0"/>
      <w:autoSpaceDN w:val="0"/>
      <w:spacing w:after="0" w:line="240" w:lineRule="auto"/>
    </w:pPr>
    <w:rPr>
      <w:rFonts w:ascii="Arial" w:eastAsia="Arial" w:hAnsi="Arial" w:cs="Arial"/>
      <w:kern w:val="0"/>
      <w:sz w:val="20"/>
      <w:szCs w:val="20"/>
    </w:rPr>
  </w:style>
  <w:style w:type="character" w:customStyle="1" w:styleId="BodyTextChar">
    <w:name w:val="Body Text Char"/>
    <w:basedOn w:val="DefaultParagraphFont"/>
    <w:link w:val="BodyText"/>
    <w:uiPriority w:val="1"/>
    <w:rsid w:val="00A96566"/>
    <w:rPr>
      <w:rFonts w:ascii="Arial" w:eastAsia="Arial" w:hAnsi="Arial" w:cs="Arial"/>
      <w:kern w:val="0"/>
      <w:sz w:val="20"/>
      <w:szCs w:val="20"/>
    </w:rPr>
  </w:style>
  <w:style w:type="character" w:styleId="CommentReference">
    <w:name w:val="annotation reference"/>
    <w:basedOn w:val="DefaultParagraphFont"/>
    <w:uiPriority w:val="99"/>
    <w:unhideWhenUsed/>
    <w:rsid w:val="00A96566"/>
    <w:rPr>
      <w:sz w:val="16"/>
      <w:szCs w:val="16"/>
    </w:rPr>
  </w:style>
  <w:style w:type="paragraph" w:styleId="CommentText">
    <w:name w:val="annotation text"/>
    <w:basedOn w:val="Normal"/>
    <w:link w:val="CommentTextChar"/>
    <w:uiPriority w:val="99"/>
    <w:unhideWhenUsed/>
    <w:rsid w:val="00A96566"/>
    <w:pPr>
      <w:spacing w:line="240" w:lineRule="auto"/>
    </w:pPr>
    <w:rPr>
      <w:kern w:val="0"/>
      <w:sz w:val="20"/>
      <w:szCs w:val="20"/>
    </w:rPr>
  </w:style>
  <w:style w:type="character" w:customStyle="1" w:styleId="CommentTextChar">
    <w:name w:val="Comment Text Char"/>
    <w:basedOn w:val="DefaultParagraphFont"/>
    <w:link w:val="CommentText"/>
    <w:uiPriority w:val="99"/>
    <w:rsid w:val="00A96566"/>
    <w:rPr>
      <w:kern w:val="0"/>
      <w:sz w:val="20"/>
      <w:szCs w:val="20"/>
    </w:rPr>
  </w:style>
  <w:style w:type="character" w:customStyle="1" w:styleId="title-text">
    <w:name w:val="title-text"/>
    <w:basedOn w:val="DefaultParagraphFont"/>
    <w:rsid w:val="00A96566"/>
  </w:style>
  <w:style w:type="paragraph" w:styleId="Header">
    <w:name w:val="header"/>
    <w:basedOn w:val="Normal"/>
    <w:link w:val="HeaderChar"/>
    <w:uiPriority w:val="99"/>
    <w:unhideWhenUsed/>
    <w:rsid w:val="00A96566"/>
    <w:pPr>
      <w:widowControl w:val="0"/>
      <w:tabs>
        <w:tab w:val="center" w:pos="4513"/>
        <w:tab w:val="right" w:pos="9026"/>
      </w:tabs>
      <w:autoSpaceDE w:val="0"/>
      <w:autoSpaceDN w:val="0"/>
      <w:spacing w:after="0" w:line="240" w:lineRule="auto"/>
    </w:pPr>
    <w:rPr>
      <w:rFonts w:ascii="Arial" w:eastAsia="Arial" w:hAnsi="Arial" w:cs="Arial"/>
      <w:kern w:val="0"/>
    </w:rPr>
  </w:style>
  <w:style w:type="character" w:customStyle="1" w:styleId="HeaderChar">
    <w:name w:val="Header Char"/>
    <w:basedOn w:val="DefaultParagraphFont"/>
    <w:link w:val="Header"/>
    <w:uiPriority w:val="99"/>
    <w:rsid w:val="00A96566"/>
    <w:rPr>
      <w:rFonts w:ascii="Arial" w:eastAsia="Arial" w:hAnsi="Arial" w:cs="Arial"/>
      <w:kern w:val="0"/>
    </w:rPr>
  </w:style>
  <w:style w:type="paragraph" w:styleId="Footer">
    <w:name w:val="footer"/>
    <w:basedOn w:val="Normal"/>
    <w:link w:val="FooterChar"/>
    <w:uiPriority w:val="99"/>
    <w:unhideWhenUsed/>
    <w:rsid w:val="00A96566"/>
    <w:pPr>
      <w:widowControl w:val="0"/>
      <w:tabs>
        <w:tab w:val="center" w:pos="4513"/>
        <w:tab w:val="right" w:pos="9026"/>
      </w:tabs>
      <w:autoSpaceDE w:val="0"/>
      <w:autoSpaceDN w:val="0"/>
      <w:spacing w:after="0" w:line="240" w:lineRule="auto"/>
    </w:pPr>
    <w:rPr>
      <w:rFonts w:ascii="Arial" w:eastAsia="Arial" w:hAnsi="Arial" w:cs="Arial"/>
      <w:kern w:val="0"/>
    </w:rPr>
  </w:style>
  <w:style w:type="character" w:customStyle="1" w:styleId="FooterChar">
    <w:name w:val="Footer Char"/>
    <w:basedOn w:val="DefaultParagraphFont"/>
    <w:link w:val="Footer"/>
    <w:uiPriority w:val="99"/>
    <w:rsid w:val="00A96566"/>
    <w:rPr>
      <w:rFonts w:ascii="Arial" w:eastAsia="Arial" w:hAnsi="Arial" w:cs="Arial"/>
      <w:kern w:val="0"/>
    </w:rPr>
  </w:style>
  <w:style w:type="numbering" w:customStyle="1" w:styleId="Multipunch">
    <w:name w:val="Multi punch"/>
    <w:rsid w:val="00A96566"/>
    <w:pPr>
      <w:numPr>
        <w:numId w:val="2"/>
      </w:numPr>
    </w:pPr>
  </w:style>
  <w:style w:type="numbering" w:customStyle="1" w:styleId="Singlepunch">
    <w:name w:val="Single punch"/>
    <w:rsid w:val="00A96566"/>
    <w:pPr>
      <w:numPr>
        <w:numId w:val="3"/>
      </w:numPr>
    </w:pPr>
  </w:style>
  <w:style w:type="paragraph" w:customStyle="1" w:styleId="QuestionSeparator">
    <w:name w:val="QuestionSeparator"/>
    <w:basedOn w:val="Normal"/>
    <w:qFormat/>
    <w:rsid w:val="00A96566"/>
    <w:pPr>
      <w:pBdr>
        <w:top w:val="dashed" w:sz="8" w:space="0" w:color="CCCCCC"/>
      </w:pBdr>
      <w:spacing w:before="120" w:after="120" w:line="120" w:lineRule="auto"/>
    </w:pPr>
    <w:rPr>
      <w:rFonts w:eastAsiaTheme="minorEastAsia"/>
      <w:kern w:val="0"/>
      <w:lang w:val="en-US"/>
    </w:rPr>
  </w:style>
  <w:style w:type="paragraph" w:customStyle="1" w:styleId="TextEntryLine">
    <w:name w:val="TextEntryLine"/>
    <w:basedOn w:val="Normal"/>
    <w:qFormat/>
    <w:rsid w:val="00A96566"/>
    <w:pPr>
      <w:spacing w:before="240" w:after="0" w:line="240" w:lineRule="auto"/>
    </w:pPr>
    <w:rPr>
      <w:rFonts w:eastAsiaTheme="minorEastAsia"/>
      <w:kern w:val="0"/>
      <w:lang w:val="en-US"/>
    </w:rPr>
  </w:style>
  <w:style w:type="paragraph" w:styleId="Revision">
    <w:name w:val="Revision"/>
    <w:hidden/>
    <w:uiPriority w:val="99"/>
    <w:semiHidden/>
    <w:rsid w:val="00A96566"/>
    <w:pPr>
      <w:spacing w:after="0" w:line="240" w:lineRule="auto"/>
    </w:pPr>
    <w:rPr>
      <w:rFonts w:ascii="Arial" w:eastAsia="Arial" w:hAnsi="Arial" w:cs="Arial"/>
      <w:kern w:val="0"/>
    </w:rPr>
  </w:style>
  <w:style w:type="paragraph" w:styleId="CommentSubject">
    <w:name w:val="annotation subject"/>
    <w:basedOn w:val="CommentText"/>
    <w:next w:val="CommentText"/>
    <w:link w:val="CommentSubjectChar"/>
    <w:uiPriority w:val="99"/>
    <w:semiHidden/>
    <w:unhideWhenUsed/>
    <w:rsid w:val="00A96566"/>
    <w:pPr>
      <w:widowControl w:val="0"/>
      <w:autoSpaceDE w:val="0"/>
      <w:autoSpaceDN w:val="0"/>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A96566"/>
    <w:rPr>
      <w:rFonts w:ascii="Arial" w:eastAsia="Arial" w:hAnsi="Arial" w:cs="Arial"/>
      <w:b/>
      <w:bCs/>
      <w:kern w:val="0"/>
      <w:sz w:val="20"/>
      <w:szCs w:val="20"/>
    </w:rPr>
  </w:style>
  <w:style w:type="paragraph" w:styleId="BalloonText">
    <w:name w:val="Balloon Text"/>
    <w:basedOn w:val="Normal"/>
    <w:link w:val="BalloonTextChar"/>
    <w:uiPriority w:val="99"/>
    <w:semiHidden/>
    <w:unhideWhenUsed/>
    <w:rsid w:val="00A96566"/>
    <w:pPr>
      <w:widowControl w:val="0"/>
      <w:autoSpaceDE w:val="0"/>
      <w:autoSpaceDN w:val="0"/>
      <w:spacing w:after="0" w:line="240" w:lineRule="auto"/>
    </w:pPr>
    <w:rPr>
      <w:rFonts w:ascii="Segoe UI" w:eastAsia="Arial" w:hAnsi="Segoe UI" w:cs="Segoe UI"/>
      <w:kern w:val="0"/>
      <w:sz w:val="18"/>
      <w:szCs w:val="18"/>
    </w:rPr>
  </w:style>
  <w:style w:type="character" w:customStyle="1" w:styleId="BalloonTextChar">
    <w:name w:val="Balloon Text Char"/>
    <w:basedOn w:val="DefaultParagraphFont"/>
    <w:link w:val="BalloonText"/>
    <w:uiPriority w:val="99"/>
    <w:semiHidden/>
    <w:rsid w:val="00A96566"/>
    <w:rPr>
      <w:rFonts w:ascii="Segoe UI" w:eastAsia="Arial" w:hAnsi="Segoe UI" w:cs="Segoe UI"/>
      <w:kern w:val="0"/>
      <w:sz w:val="18"/>
      <w:szCs w:val="18"/>
    </w:rPr>
  </w:style>
  <w:style w:type="character" w:styleId="UnresolvedMention">
    <w:name w:val="Unresolved Mention"/>
    <w:basedOn w:val="DefaultParagraphFont"/>
    <w:uiPriority w:val="99"/>
    <w:semiHidden/>
    <w:unhideWhenUsed/>
    <w:rsid w:val="00A96566"/>
    <w:rPr>
      <w:color w:val="605E5C"/>
      <w:shd w:val="clear" w:color="auto" w:fill="E1DFDD"/>
    </w:rPr>
  </w:style>
  <w:style w:type="paragraph" w:customStyle="1" w:styleId="msonormal0">
    <w:name w:val="msonormal"/>
    <w:basedOn w:val="Normal"/>
    <w:rsid w:val="00A96566"/>
    <w:pPr>
      <w:spacing w:before="100" w:beforeAutospacing="1" w:after="100" w:afterAutospacing="1" w:line="240" w:lineRule="auto"/>
    </w:pPr>
    <w:rPr>
      <w:rFonts w:ascii="Times New Roman" w:eastAsiaTheme="minorEastAsia" w:hAnsi="Times New Roman" w:cs="Times New Roman"/>
      <w:kern w:val="0"/>
      <w:sz w:val="24"/>
      <w:szCs w:val="24"/>
      <w:lang w:eastAsia="en-GB"/>
    </w:rPr>
  </w:style>
  <w:style w:type="character" w:customStyle="1" w:styleId="anchor-text">
    <w:name w:val="anchor-text"/>
    <w:basedOn w:val="DefaultParagraphFont"/>
    <w:rsid w:val="00153EE6"/>
  </w:style>
  <w:style w:type="character" w:customStyle="1" w:styleId="doilabel">
    <w:name w:val="doi__label"/>
    <w:basedOn w:val="DefaultParagraphFont"/>
    <w:rsid w:val="00153EE6"/>
  </w:style>
  <w:style w:type="character" w:customStyle="1" w:styleId="ref-lnk">
    <w:name w:val="ref-lnk"/>
    <w:basedOn w:val="DefaultParagraphFont"/>
    <w:rsid w:val="00153EE6"/>
  </w:style>
  <w:style w:type="character" w:customStyle="1" w:styleId="off-screen">
    <w:name w:val="off-screen"/>
    <w:basedOn w:val="DefaultParagraphFont"/>
    <w:rsid w:val="00153EE6"/>
  </w:style>
  <w:style w:type="character" w:customStyle="1" w:styleId="nlmarticle-title">
    <w:name w:val="nlm_article-title"/>
    <w:basedOn w:val="DefaultParagraphFont"/>
    <w:rsid w:val="007A225E"/>
  </w:style>
  <w:style w:type="character" w:customStyle="1" w:styleId="html-italic">
    <w:name w:val="html-italic"/>
    <w:basedOn w:val="DefaultParagraphFont"/>
    <w:rsid w:val="007A225E"/>
  </w:style>
  <w:style w:type="character" w:styleId="Strong">
    <w:name w:val="Strong"/>
    <w:basedOn w:val="DefaultParagraphFont"/>
    <w:uiPriority w:val="22"/>
    <w:qFormat/>
    <w:rsid w:val="00ED492B"/>
    <w:rPr>
      <w:b/>
      <w:bCs/>
    </w:rPr>
  </w:style>
  <w:style w:type="paragraph" w:customStyle="1" w:styleId="Default">
    <w:name w:val="Default"/>
    <w:rsid w:val="00D65FF6"/>
    <w:pPr>
      <w:autoSpaceDE w:val="0"/>
      <w:autoSpaceDN w:val="0"/>
      <w:adjustRightInd w:val="0"/>
      <w:spacing w:after="0" w:line="240" w:lineRule="auto"/>
    </w:pPr>
    <w:rPr>
      <w:rFonts w:ascii="Garamond" w:hAnsi="Garamond" w:cs="Garamond"/>
      <w:color w:val="000000"/>
      <w:kern w:val="0"/>
      <w:sz w:val="24"/>
      <w:szCs w:val="24"/>
      <w:lang w:val="en-US"/>
    </w:rPr>
  </w:style>
  <w:style w:type="paragraph" w:styleId="TOCHeading">
    <w:name w:val="TOC Heading"/>
    <w:basedOn w:val="Heading1"/>
    <w:next w:val="Normal"/>
    <w:uiPriority w:val="39"/>
    <w:unhideWhenUsed/>
    <w:qFormat/>
    <w:rsid w:val="00D65FF6"/>
    <w:pPr>
      <w:spacing w:before="480" w:line="276" w:lineRule="auto"/>
      <w:outlineLvl w:val="9"/>
    </w:pPr>
    <w:rPr>
      <w:b/>
      <w:bCs/>
      <w:sz w:val="28"/>
      <w:szCs w:val="28"/>
    </w:rPr>
  </w:style>
  <w:style w:type="paragraph" w:styleId="TOC3">
    <w:name w:val="toc 3"/>
    <w:basedOn w:val="Normal"/>
    <w:next w:val="Normal"/>
    <w:autoRedefine/>
    <w:uiPriority w:val="39"/>
    <w:unhideWhenUsed/>
    <w:rsid w:val="00D65FF6"/>
    <w:pPr>
      <w:spacing w:after="0" w:line="240" w:lineRule="auto"/>
      <w:ind w:left="480"/>
    </w:pPr>
    <w:rPr>
      <w:rFonts w:cs="Times New Roman"/>
      <w:kern w:val="0"/>
      <w:lang w:val="en-US"/>
    </w:rPr>
  </w:style>
  <w:style w:type="character" w:customStyle="1" w:styleId="company-profilegeneral-informationtext2">
    <w:name w:val="company-profile__general-information__text2"/>
    <w:basedOn w:val="DefaultParagraphFont"/>
    <w:rsid w:val="00D65FF6"/>
  </w:style>
  <w:style w:type="table" w:customStyle="1" w:styleId="TableGrid1">
    <w:name w:val="Table Grid1"/>
    <w:basedOn w:val="TableNormal"/>
    <w:next w:val="TableGrid"/>
    <w:uiPriority w:val="59"/>
    <w:rsid w:val="00D65FF6"/>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65FF6"/>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65FF6"/>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65FF6"/>
    <w:pPr>
      <w:spacing w:after="0" w:line="240" w:lineRule="auto"/>
    </w:pPr>
    <w:rPr>
      <w:kern w:val="0"/>
      <w:sz w:val="20"/>
      <w:szCs w:val="20"/>
      <w:lang w:val="en-US"/>
    </w:rPr>
  </w:style>
  <w:style w:type="character" w:customStyle="1" w:styleId="FootnoteTextChar">
    <w:name w:val="Footnote Text Char"/>
    <w:basedOn w:val="DefaultParagraphFont"/>
    <w:link w:val="FootnoteText"/>
    <w:uiPriority w:val="99"/>
    <w:semiHidden/>
    <w:rsid w:val="00D65FF6"/>
    <w:rPr>
      <w:kern w:val="0"/>
      <w:sz w:val="20"/>
      <w:szCs w:val="20"/>
      <w:lang w:val="en-US"/>
    </w:rPr>
  </w:style>
  <w:style w:type="character" w:styleId="FootnoteReference">
    <w:name w:val="footnote reference"/>
    <w:basedOn w:val="DefaultParagraphFont"/>
    <w:uiPriority w:val="99"/>
    <w:semiHidden/>
    <w:unhideWhenUsed/>
    <w:rsid w:val="00D65FF6"/>
    <w:rPr>
      <w:vertAlign w:val="superscript"/>
    </w:rPr>
  </w:style>
  <w:style w:type="paragraph" w:customStyle="1" w:styleId="yiv4779768764gmail-msolistparagraph">
    <w:name w:val="yiv4779768764gmail-msolistparagraph"/>
    <w:basedOn w:val="Normal"/>
    <w:rsid w:val="00D65FF6"/>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yiv4779768764msonormal">
    <w:name w:val="yiv4779768764msonormal"/>
    <w:basedOn w:val="Normal"/>
    <w:rsid w:val="00D65FF6"/>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styleId="BodyTextIndent">
    <w:name w:val="Body Text Indent"/>
    <w:basedOn w:val="Normal"/>
    <w:link w:val="BodyTextIndentChar"/>
    <w:unhideWhenUsed/>
    <w:rsid w:val="00D65FF6"/>
    <w:pPr>
      <w:spacing w:after="0" w:line="360" w:lineRule="auto"/>
      <w:ind w:firstLine="720"/>
    </w:pPr>
    <w:rPr>
      <w:rFonts w:ascii="Times New Roman" w:eastAsia="Batang" w:hAnsi="Times New Roman" w:cs="Times New Roman"/>
      <w:kern w:val="0"/>
      <w:sz w:val="24"/>
      <w:szCs w:val="24"/>
      <w:lang w:val="en-US"/>
    </w:rPr>
  </w:style>
  <w:style w:type="character" w:customStyle="1" w:styleId="BodyTextIndentChar">
    <w:name w:val="Body Text Indent Char"/>
    <w:basedOn w:val="DefaultParagraphFont"/>
    <w:link w:val="BodyTextIndent"/>
    <w:rsid w:val="00D65FF6"/>
    <w:rPr>
      <w:rFonts w:ascii="Times New Roman" w:eastAsia="Batang" w:hAnsi="Times New Roman" w:cs="Times New Roman"/>
      <w:kern w:val="0"/>
      <w:sz w:val="24"/>
      <w:szCs w:val="24"/>
      <w:lang w:val="en-US"/>
    </w:rPr>
  </w:style>
  <w:style w:type="paragraph" w:styleId="NoSpacing">
    <w:name w:val="No Spacing"/>
    <w:uiPriority w:val="1"/>
    <w:qFormat/>
    <w:rsid w:val="00D65FF6"/>
    <w:pPr>
      <w:spacing w:after="0" w:line="240" w:lineRule="auto"/>
    </w:pPr>
    <w:rPr>
      <w:kern w:val="0"/>
      <w:lang w:val="en-US"/>
    </w:rPr>
  </w:style>
  <w:style w:type="character" w:customStyle="1" w:styleId="selectable">
    <w:name w:val="selectable"/>
    <w:basedOn w:val="DefaultParagraphFont"/>
    <w:rsid w:val="00D65FF6"/>
  </w:style>
  <w:style w:type="character" w:styleId="PlaceholderText">
    <w:name w:val="Placeholder Text"/>
    <w:basedOn w:val="DefaultParagraphFont"/>
    <w:uiPriority w:val="99"/>
    <w:semiHidden/>
    <w:rsid w:val="00D65FF6"/>
    <w:rPr>
      <w:color w:val="808080"/>
    </w:rPr>
  </w:style>
  <w:style w:type="character" w:customStyle="1" w:styleId="ListParagraphChar">
    <w:name w:val="List Paragraph Char"/>
    <w:basedOn w:val="DefaultParagraphFont"/>
    <w:link w:val="ListParagraph"/>
    <w:uiPriority w:val="34"/>
    <w:rsid w:val="00D65FF6"/>
  </w:style>
  <w:style w:type="paragraph" w:customStyle="1" w:styleId="citation">
    <w:name w:val="citation"/>
    <w:basedOn w:val="Normal"/>
    <w:rsid w:val="00D65FF6"/>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H2">
    <w:name w:val="H2"/>
    <w:next w:val="Normal"/>
    <w:rsid w:val="002720E2"/>
    <w:pPr>
      <w:spacing w:after="240" w:line="240" w:lineRule="auto"/>
    </w:pPr>
    <w:rPr>
      <w:rFonts w:eastAsiaTheme="minorEastAsia"/>
      <w:b/>
      <w:color w:val="000000"/>
      <w:kern w:val="0"/>
      <w:sz w:val="48"/>
      <w:szCs w:val="48"/>
      <w:lang w:val="en-US"/>
    </w:rPr>
  </w:style>
  <w:style w:type="character" w:customStyle="1" w:styleId="label">
    <w:name w:val="label"/>
    <w:basedOn w:val="DefaultParagraphFont"/>
    <w:rsid w:val="00D82746"/>
  </w:style>
  <w:style w:type="character" w:customStyle="1" w:styleId="a">
    <w:name w:val="a"/>
    <w:basedOn w:val="DefaultParagraphFont"/>
    <w:rsid w:val="003866E2"/>
  </w:style>
  <w:style w:type="paragraph" w:styleId="Caption">
    <w:name w:val="caption"/>
    <w:basedOn w:val="Normal"/>
    <w:next w:val="Normal"/>
    <w:uiPriority w:val="35"/>
    <w:unhideWhenUsed/>
    <w:qFormat/>
    <w:rsid w:val="00C55720"/>
    <w:pPr>
      <w:spacing w:after="200" w:line="240" w:lineRule="auto"/>
    </w:pPr>
    <w:rPr>
      <w:i/>
      <w:iCs/>
      <w:color w:val="000000" w:themeColor="text2"/>
      <w:sz w:val="18"/>
      <w:szCs w:val="18"/>
    </w:rPr>
  </w:style>
  <w:style w:type="table" w:customStyle="1" w:styleId="QTable">
    <w:name w:val="QTable"/>
    <w:uiPriority w:val="99"/>
    <w:qFormat/>
    <w:rsid w:val="00882F28"/>
    <w:pPr>
      <w:spacing w:after="0" w:line="240" w:lineRule="auto"/>
    </w:pPr>
    <w:rPr>
      <w:rFonts w:eastAsiaTheme="minorEastAsia"/>
      <w:kern w:val="0"/>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882F28"/>
    <w:pPr>
      <w:spacing w:after="0" w:line="240" w:lineRule="auto"/>
      <w:jc w:val="center"/>
    </w:pPr>
    <w:rPr>
      <w:rFonts w:eastAsiaTheme="minorEastAsia"/>
      <w:kern w:val="0"/>
      <w:sz w:val="20"/>
      <w:szCs w:val="20"/>
      <w:lang w:val="en-US" w:eastAsia="en-GB"/>
      <w14:ligatures w14:val="none"/>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1">
    <w:name w:val="QQuestionTable1"/>
    <w:uiPriority w:val="99"/>
    <w:qFormat/>
    <w:rsid w:val="00882F28"/>
    <w:pPr>
      <w:spacing w:after="0" w:line="240" w:lineRule="auto"/>
      <w:jc w:val="center"/>
    </w:pPr>
    <w:rPr>
      <w:rFonts w:eastAsiaTheme="minorEastAsia"/>
      <w:kern w:val="0"/>
      <w:sz w:val="20"/>
      <w:szCs w:val="20"/>
      <w:lang w:val="en-US" w:eastAsia="en-GB"/>
      <w14:ligatures w14:val="none"/>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882F28"/>
    <w:pPr>
      <w:spacing w:after="0" w:line="240" w:lineRule="auto"/>
      <w:jc w:val="center"/>
    </w:pPr>
    <w:rPr>
      <w:rFonts w:eastAsiaTheme="minorEastAsia"/>
      <w:kern w:val="0"/>
      <w:sz w:val="20"/>
      <w:szCs w:val="20"/>
      <w:lang w:val="en-US" w:eastAsia="en-GB"/>
      <w14:ligatures w14:val="none"/>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882F28"/>
    <w:pPr>
      <w:spacing w:after="0" w:line="240" w:lineRule="auto"/>
      <w:jc w:val="center"/>
    </w:pPr>
    <w:rPr>
      <w:rFonts w:eastAsiaTheme="minorEastAsia"/>
      <w:kern w:val="0"/>
      <w:sz w:val="20"/>
      <w:szCs w:val="20"/>
      <w:lang w:val="en-US" w:eastAsia="en-GB"/>
      <w14:ligatures w14:val="none"/>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1">
    <w:name w:val="QTextTable1"/>
    <w:uiPriority w:val="99"/>
    <w:qFormat/>
    <w:rsid w:val="00882F28"/>
    <w:pPr>
      <w:spacing w:after="0" w:line="240" w:lineRule="auto"/>
      <w:jc w:val="center"/>
    </w:pPr>
    <w:rPr>
      <w:rFonts w:eastAsiaTheme="minorEastAsia"/>
      <w:kern w:val="0"/>
      <w:sz w:val="20"/>
      <w:szCs w:val="20"/>
      <w:lang w:val="en-US" w:eastAsia="en-GB"/>
      <w14:ligatures w14:val="none"/>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882F28"/>
    <w:pPr>
      <w:spacing w:after="0" w:line="240" w:lineRule="auto"/>
    </w:pPr>
    <w:rPr>
      <w:rFonts w:eastAsiaTheme="minorEastAsia"/>
      <w:kern w:val="0"/>
      <w:sz w:val="20"/>
      <w:szCs w:val="20"/>
      <w:lang w:val="en-US" w:eastAsia="en-GB"/>
      <w14:ligatures w14:val="none"/>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1">
    <w:name w:val="QVerticalGraphicSliderTable1"/>
    <w:uiPriority w:val="99"/>
    <w:qFormat/>
    <w:rsid w:val="00882F28"/>
    <w:pPr>
      <w:spacing w:after="0" w:line="240" w:lineRule="auto"/>
    </w:pPr>
    <w:rPr>
      <w:rFonts w:eastAsiaTheme="minorEastAsia"/>
      <w:kern w:val="0"/>
      <w:sz w:val="20"/>
      <w:szCs w:val="20"/>
      <w:lang w:val="en-US" w:eastAsia="en-GB"/>
      <w14:ligatures w14:val="none"/>
    </w:r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882F28"/>
    <w:pPr>
      <w:spacing w:after="120" w:line="240" w:lineRule="auto"/>
      <w:jc w:val="center"/>
    </w:pPr>
    <w:rPr>
      <w:rFonts w:eastAsiaTheme="minorEastAsia"/>
      <w:kern w:val="0"/>
      <w:lang w:val="en-US"/>
    </w:rPr>
    <w:tblPr>
      <w:tblCellMar>
        <w:top w:w="40" w:type="dxa"/>
        <w:left w:w="40" w:type="dxa"/>
        <w:bottom w:w="40" w:type="dxa"/>
        <w:right w:w="40" w:type="dxa"/>
      </w:tblCellMar>
    </w:tblPr>
  </w:style>
  <w:style w:type="table" w:customStyle="1" w:styleId="QStarSliderTable">
    <w:name w:val="QStarSliderTable"/>
    <w:uiPriority w:val="99"/>
    <w:qFormat/>
    <w:rsid w:val="00882F28"/>
    <w:pPr>
      <w:spacing w:after="120" w:line="240" w:lineRule="auto"/>
      <w:jc w:val="center"/>
    </w:pPr>
    <w:rPr>
      <w:rFonts w:eastAsiaTheme="minorEastAsia"/>
      <w:kern w:val="0"/>
      <w:lang w:val="en-US"/>
    </w:rPr>
    <w:tblPr>
      <w:tblCellMar>
        <w:top w:w="0" w:type="dxa"/>
        <w:left w:w="20" w:type="dxa"/>
        <w:bottom w:w="0" w:type="dxa"/>
        <w:right w:w="20" w:type="dxa"/>
      </w:tblCellMar>
    </w:tblPr>
  </w:style>
  <w:style w:type="table" w:customStyle="1" w:styleId="QStandardSliderTable">
    <w:name w:val="QStandardSliderTable"/>
    <w:uiPriority w:val="99"/>
    <w:qFormat/>
    <w:rsid w:val="00882F28"/>
    <w:pPr>
      <w:spacing w:after="0" w:line="240" w:lineRule="auto"/>
      <w:jc w:val="center"/>
    </w:pPr>
    <w:rPr>
      <w:rFonts w:eastAsiaTheme="minorEastAsia"/>
      <w:kern w:val="0"/>
      <w:sz w:val="20"/>
      <w:szCs w:val="20"/>
      <w:lang w:val="en-US" w:eastAsia="en-GB"/>
      <w14:ligatures w14:val="none"/>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1">
    <w:name w:val="QStandardSliderTable1"/>
    <w:uiPriority w:val="99"/>
    <w:qFormat/>
    <w:rsid w:val="00882F28"/>
    <w:pPr>
      <w:spacing w:after="0" w:line="240" w:lineRule="auto"/>
      <w:jc w:val="center"/>
    </w:pPr>
    <w:rPr>
      <w:rFonts w:eastAsiaTheme="minorEastAsia"/>
      <w:kern w:val="0"/>
      <w:sz w:val="20"/>
      <w:szCs w:val="20"/>
      <w:lang w:val="en-US" w:eastAsia="en-GB"/>
      <w14:ligatures w14:val="none"/>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882F28"/>
    <w:pPr>
      <w:spacing w:after="0" w:line="240" w:lineRule="auto"/>
      <w:jc w:val="center"/>
    </w:pPr>
    <w:rPr>
      <w:rFonts w:eastAsiaTheme="minorEastAsia"/>
      <w:kern w:val="0"/>
      <w:lang w:val="en-US"/>
    </w:rPr>
    <w:tblPr>
      <w:tblCellMar>
        <w:top w:w="0" w:type="dxa"/>
        <w:left w:w="0" w:type="dxa"/>
        <w:bottom w:w="0" w:type="dxa"/>
        <w:right w:w="0" w:type="dxa"/>
      </w:tblCellMar>
    </w:tblPr>
  </w:style>
  <w:style w:type="paragraph" w:customStyle="1" w:styleId="BarSlider">
    <w:name w:val="BarSlider"/>
    <w:basedOn w:val="Normal"/>
    <w:qFormat/>
    <w:rsid w:val="00882F28"/>
    <w:pPr>
      <w:pBdr>
        <w:top w:val="single" w:sz="160" w:space="0" w:color="499FD1"/>
      </w:pBdr>
      <w:spacing w:before="80" w:after="0" w:line="240" w:lineRule="auto"/>
    </w:pPr>
    <w:rPr>
      <w:rFonts w:eastAsiaTheme="minorEastAsia"/>
      <w:kern w:val="0"/>
      <w:lang w:val="en-US"/>
    </w:rPr>
  </w:style>
  <w:style w:type="paragraph" w:customStyle="1" w:styleId="QSummary">
    <w:name w:val="QSummary"/>
    <w:basedOn w:val="Normal"/>
    <w:qFormat/>
    <w:rsid w:val="00882F28"/>
    <w:pPr>
      <w:spacing w:after="0" w:line="276" w:lineRule="auto"/>
    </w:pPr>
    <w:rPr>
      <w:rFonts w:eastAsiaTheme="minorEastAsia"/>
      <w:b/>
      <w:kern w:val="0"/>
      <w:lang w:val="en-US"/>
    </w:rPr>
  </w:style>
  <w:style w:type="table" w:customStyle="1" w:styleId="QQuestionIconTable">
    <w:name w:val="QQuestionIconTable"/>
    <w:uiPriority w:val="99"/>
    <w:qFormat/>
    <w:rsid w:val="00882F28"/>
    <w:pPr>
      <w:spacing w:after="0" w:line="240" w:lineRule="auto"/>
      <w:jc w:val="center"/>
    </w:pPr>
    <w:rPr>
      <w:rFonts w:eastAsiaTheme="minorEastAsia"/>
      <w:kern w:val="0"/>
      <w:lang w:val="en-US"/>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882F28"/>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eastAsiaTheme="minorEastAsia"/>
      <w:b/>
      <w:kern w:val="0"/>
      <w:sz w:val="32"/>
      <w:lang w:val="en-US"/>
    </w:rPr>
  </w:style>
  <w:style w:type="table" w:customStyle="1" w:styleId="QBar">
    <w:name w:val="QBar"/>
    <w:uiPriority w:val="99"/>
    <w:qFormat/>
    <w:rsid w:val="00882F28"/>
    <w:pPr>
      <w:spacing w:after="0" w:line="240" w:lineRule="auto"/>
    </w:pPr>
    <w:rPr>
      <w:rFonts w:eastAsiaTheme="minorEastAsia"/>
      <w:kern w:val="0"/>
      <w:sz w:val="18"/>
      <w:szCs w:val="20"/>
      <w:lang w:eastAsia="en-GB"/>
      <w14:ligatures w14:val="none"/>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1">
    <w:name w:val="QBar1"/>
    <w:uiPriority w:val="99"/>
    <w:qFormat/>
    <w:rsid w:val="00882F28"/>
    <w:pPr>
      <w:spacing w:after="0" w:line="240" w:lineRule="auto"/>
    </w:pPr>
    <w:rPr>
      <w:rFonts w:eastAsiaTheme="minorEastAsia"/>
      <w:kern w:val="0"/>
      <w:sz w:val="18"/>
      <w:szCs w:val="20"/>
      <w:lang w:eastAsia="en-GB"/>
      <w14:ligatures w14:val="none"/>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882F28"/>
    <w:pPr>
      <w:spacing w:after="0" w:line="240" w:lineRule="auto"/>
    </w:pPr>
    <w:rPr>
      <w:rFonts w:eastAsiaTheme="minorEastAsia"/>
      <w:b/>
      <w:color w:val="FFFFFF" w:themeColor="background1"/>
      <w:kern w:val="0"/>
      <w:sz w:val="20"/>
      <w:szCs w:val="20"/>
      <w:lang w:eastAsia="en-GB"/>
      <w14:ligatures w14:val="none"/>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882F28"/>
    <w:pPr>
      <w:spacing w:after="0" w:line="240" w:lineRule="auto"/>
    </w:pPr>
    <w:rPr>
      <w:rFonts w:eastAsiaTheme="minorEastAsia"/>
      <w:color w:val="FFFFFF" w:themeColor="background1"/>
      <w:kern w:val="0"/>
      <w:lang w:val="en-US"/>
    </w:rPr>
  </w:style>
  <w:style w:type="paragraph" w:customStyle="1" w:styleId="WhiteCompositeLabel">
    <w:name w:val="WhiteCompositeLabel"/>
    <w:next w:val="Normal"/>
    <w:rsid w:val="00882F28"/>
    <w:pPr>
      <w:spacing w:before="43" w:after="43" w:line="240" w:lineRule="auto"/>
      <w:jc w:val="center"/>
    </w:pPr>
    <w:rPr>
      <w:rFonts w:ascii="Calibri" w:eastAsia="Times New Roman" w:hAnsi="Calibri" w:cs="Times New Roman"/>
      <w:b/>
      <w:color w:val="FFFFFF"/>
      <w:kern w:val="0"/>
      <w:lang w:val="en-US"/>
    </w:rPr>
  </w:style>
  <w:style w:type="paragraph" w:customStyle="1" w:styleId="CompositeLabel">
    <w:name w:val="CompositeLabel"/>
    <w:next w:val="Normal"/>
    <w:rsid w:val="00882F28"/>
    <w:pPr>
      <w:spacing w:before="43" w:after="43" w:line="240" w:lineRule="auto"/>
      <w:jc w:val="center"/>
    </w:pPr>
    <w:rPr>
      <w:rFonts w:ascii="Calibri" w:eastAsia="Times New Roman" w:hAnsi="Calibri" w:cs="Times New Roman"/>
      <w:b/>
      <w:kern w:val="0"/>
      <w:lang w:val="en-US"/>
    </w:rPr>
  </w:style>
  <w:style w:type="paragraph" w:customStyle="1" w:styleId="QDisplayLogic">
    <w:name w:val="QDisplayLogic"/>
    <w:basedOn w:val="Normal"/>
    <w:qFormat/>
    <w:rsid w:val="00882F28"/>
    <w:pPr>
      <w:shd w:val="clear" w:color="auto" w:fill="6898BB"/>
      <w:spacing w:before="120" w:after="120" w:line="240" w:lineRule="auto"/>
    </w:pPr>
    <w:rPr>
      <w:rFonts w:eastAsiaTheme="minorEastAsia"/>
      <w:i/>
      <w:color w:val="FFFFFF"/>
      <w:kern w:val="0"/>
      <w:sz w:val="20"/>
      <w:lang w:val="en-US"/>
    </w:rPr>
  </w:style>
  <w:style w:type="paragraph" w:customStyle="1" w:styleId="QSkipLogic">
    <w:name w:val="QSkipLogic"/>
    <w:basedOn w:val="Normal"/>
    <w:qFormat/>
    <w:rsid w:val="00882F28"/>
    <w:pPr>
      <w:shd w:val="clear" w:color="auto" w:fill="8D8D8D"/>
      <w:spacing w:before="120" w:after="120" w:line="240" w:lineRule="auto"/>
    </w:pPr>
    <w:rPr>
      <w:rFonts w:eastAsiaTheme="minorEastAsia"/>
      <w:i/>
      <w:color w:val="FFFFFF"/>
      <w:kern w:val="0"/>
      <w:sz w:val="20"/>
      <w:lang w:val="en-US"/>
    </w:rPr>
  </w:style>
  <w:style w:type="paragraph" w:customStyle="1" w:styleId="SingleLineText">
    <w:name w:val="SingleLineText"/>
    <w:next w:val="Normal"/>
    <w:rsid w:val="00882F28"/>
    <w:pPr>
      <w:spacing w:after="0" w:line="240" w:lineRule="auto"/>
    </w:pPr>
    <w:rPr>
      <w:rFonts w:eastAsiaTheme="minorEastAsia"/>
      <w:kern w:val="0"/>
      <w:lang w:val="en-US"/>
    </w:rPr>
  </w:style>
  <w:style w:type="paragraph" w:customStyle="1" w:styleId="QDynamicChoices">
    <w:name w:val="QDynamicChoices"/>
    <w:basedOn w:val="Normal"/>
    <w:qFormat/>
    <w:rsid w:val="00882F28"/>
    <w:pPr>
      <w:shd w:val="clear" w:color="auto" w:fill="6FAC3D"/>
      <w:spacing w:before="120" w:after="120" w:line="240" w:lineRule="auto"/>
    </w:pPr>
    <w:rPr>
      <w:rFonts w:eastAsiaTheme="minorEastAsia"/>
      <w:i/>
      <w:color w:val="FFFFFF"/>
      <w:kern w:val="0"/>
      <w:sz w:val="20"/>
      <w:lang w:val="en-US"/>
    </w:rPr>
  </w:style>
  <w:style w:type="paragraph" w:customStyle="1" w:styleId="QReusableChoices">
    <w:name w:val="QReusableChoices"/>
    <w:basedOn w:val="Normal"/>
    <w:qFormat/>
    <w:rsid w:val="00882F28"/>
    <w:pPr>
      <w:shd w:val="clear" w:color="auto" w:fill="3EA18E"/>
      <w:spacing w:before="120" w:after="120" w:line="240" w:lineRule="auto"/>
    </w:pPr>
    <w:rPr>
      <w:rFonts w:eastAsiaTheme="minorEastAsia"/>
      <w:i/>
      <w:color w:val="FFFFFF"/>
      <w:kern w:val="0"/>
      <w:sz w:val="20"/>
      <w:lang w:val="en-US"/>
    </w:rPr>
  </w:style>
  <w:style w:type="paragraph" w:customStyle="1" w:styleId="H1">
    <w:name w:val="H1"/>
    <w:next w:val="Normal"/>
    <w:rsid w:val="00882F28"/>
    <w:pPr>
      <w:spacing w:after="240" w:line="240" w:lineRule="auto"/>
    </w:pPr>
    <w:rPr>
      <w:rFonts w:eastAsiaTheme="minorEastAsia"/>
      <w:b/>
      <w:color w:val="000000"/>
      <w:kern w:val="0"/>
      <w:sz w:val="64"/>
      <w:szCs w:val="64"/>
      <w:lang w:val="en-US"/>
    </w:rPr>
  </w:style>
  <w:style w:type="paragraph" w:customStyle="1" w:styleId="H3">
    <w:name w:val="H3"/>
    <w:next w:val="Normal"/>
    <w:rsid w:val="00882F28"/>
    <w:pPr>
      <w:spacing w:after="120" w:line="240" w:lineRule="auto"/>
    </w:pPr>
    <w:rPr>
      <w:rFonts w:eastAsiaTheme="minorEastAsia"/>
      <w:b/>
      <w:color w:val="000000"/>
      <w:kern w:val="0"/>
      <w:sz w:val="36"/>
      <w:szCs w:val="36"/>
      <w:lang w:val="en-US"/>
    </w:rPr>
  </w:style>
  <w:style w:type="paragraph" w:customStyle="1" w:styleId="BlockStartLabel">
    <w:name w:val="BlockStartLabel"/>
    <w:basedOn w:val="Normal"/>
    <w:qFormat/>
    <w:rsid w:val="00882F28"/>
    <w:pPr>
      <w:spacing w:before="120" w:after="120" w:line="240" w:lineRule="auto"/>
    </w:pPr>
    <w:rPr>
      <w:rFonts w:eastAsiaTheme="minorEastAsia"/>
      <w:b/>
      <w:color w:val="CCCCCC"/>
      <w:kern w:val="0"/>
      <w:lang w:val="en-US"/>
    </w:rPr>
  </w:style>
  <w:style w:type="paragraph" w:customStyle="1" w:styleId="BlockEndLabel">
    <w:name w:val="BlockEndLabel"/>
    <w:basedOn w:val="Normal"/>
    <w:qFormat/>
    <w:rsid w:val="00882F28"/>
    <w:pPr>
      <w:spacing w:before="120" w:after="0" w:line="240" w:lineRule="auto"/>
    </w:pPr>
    <w:rPr>
      <w:rFonts w:eastAsiaTheme="minorEastAsia"/>
      <w:b/>
      <w:color w:val="CCCCCC"/>
      <w:kern w:val="0"/>
      <w:lang w:val="en-US"/>
    </w:rPr>
  </w:style>
  <w:style w:type="paragraph" w:customStyle="1" w:styleId="BlockSeparator">
    <w:name w:val="BlockSeparator"/>
    <w:basedOn w:val="Normal"/>
    <w:qFormat/>
    <w:rsid w:val="00882F28"/>
    <w:pPr>
      <w:pBdr>
        <w:bottom w:val="single" w:sz="8" w:space="0" w:color="CCCCCC"/>
      </w:pBdr>
      <w:spacing w:after="0" w:line="120" w:lineRule="auto"/>
      <w:jc w:val="center"/>
    </w:pPr>
    <w:rPr>
      <w:rFonts w:eastAsiaTheme="minorEastAsia"/>
      <w:b/>
      <w:color w:val="CCCCCC"/>
      <w:kern w:val="0"/>
      <w:lang w:val="en-US"/>
    </w:rPr>
  </w:style>
  <w:style w:type="paragraph" w:customStyle="1" w:styleId="Dropdown">
    <w:name w:val="Dropdown"/>
    <w:basedOn w:val="Normal"/>
    <w:qFormat/>
    <w:rsid w:val="00882F28"/>
    <w:pPr>
      <w:pBdr>
        <w:top w:val="single" w:sz="4" w:space="4" w:color="CCCCCC"/>
        <w:left w:val="single" w:sz="4" w:space="4" w:color="CCCCCC"/>
        <w:bottom w:val="single" w:sz="4" w:space="4" w:color="CCCCCC"/>
        <w:right w:val="single" w:sz="4" w:space="4" w:color="CCCCCC"/>
      </w:pBdr>
      <w:spacing w:before="120" w:after="120" w:line="240" w:lineRule="auto"/>
    </w:pPr>
    <w:rPr>
      <w:rFonts w:eastAsiaTheme="minorEastAsia"/>
      <w:kern w:val="0"/>
      <w:lang w:val="en-US"/>
    </w:rPr>
  </w:style>
  <w:style w:type="character" w:styleId="PageNumber">
    <w:name w:val="page number"/>
    <w:basedOn w:val="DefaultParagraphFont"/>
    <w:uiPriority w:val="99"/>
    <w:semiHidden/>
    <w:unhideWhenUsed/>
    <w:rsid w:val="00882F28"/>
  </w:style>
  <w:style w:type="paragraph" w:customStyle="1" w:styleId="SFGreen">
    <w:name w:val="SFGreen"/>
    <w:basedOn w:val="Normal"/>
    <w:qFormat/>
    <w:rsid w:val="00882F28"/>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eastAsiaTheme="minorEastAsia"/>
      <w:b/>
      <w:color w:val="809163"/>
      <w:kern w:val="0"/>
      <w:lang w:val="en-US"/>
    </w:rPr>
  </w:style>
  <w:style w:type="paragraph" w:customStyle="1" w:styleId="SFBlue">
    <w:name w:val="SFBlue"/>
    <w:basedOn w:val="Normal"/>
    <w:qFormat/>
    <w:rsid w:val="00882F28"/>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eastAsiaTheme="minorEastAsia"/>
      <w:b/>
      <w:color w:val="426092"/>
      <w:kern w:val="0"/>
      <w:lang w:val="en-US"/>
    </w:rPr>
  </w:style>
  <w:style w:type="paragraph" w:customStyle="1" w:styleId="SFPurple">
    <w:name w:val="SFPurple"/>
    <w:basedOn w:val="Normal"/>
    <w:qFormat/>
    <w:rsid w:val="00882F28"/>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eastAsiaTheme="minorEastAsia"/>
      <w:b/>
      <w:color w:val="916391"/>
      <w:kern w:val="0"/>
      <w:lang w:val="en-US"/>
    </w:rPr>
  </w:style>
  <w:style w:type="paragraph" w:customStyle="1" w:styleId="SFGray">
    <w:name w:val="SFGray"/>
    <w:basedOn w:val="Normal"/>
    <w:qFormat/>
    <w:rsid w:val="00882F28"/>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eastAsiaTheme="minorEastAsia"/>
      <w:b/>
      <w:color w:val="555555"/>
      <w:kern w:val="0"/>
      <w:lang w:val="en-US"/>
    </w:rPr>
  </w:style>
  <w:style w:type="paragraph" w:customStyle="1" w:styleId="SFRed">
    <w:name w:val="SFRed"/>
    <w:basedOn w:val="Normal"/>
    <w:qFormat/>
    <w:rsid w:val="00882F28"/>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eastAsiaTheme="minorEastAsia"/>
      <w:b/>
      <w:color w:val="FFFFFF"/>
      <w:kern w:val="0"/>
      <w:lang w:val="en-US"/>
    </w:rPr>
  </w:style>
  <w:style w:type="paragraph" w:customStyle="1" w:styleId="QPlaceholderAlert">
    <w:name w:val="QPlaceholderAlert"/>
    <w:basedOn w:val="Normal"/>
    <w:qFormat/>
    <w:rsid w:val="00882F28"/>
    <w:pPr>
      <w:spacing w:after="0" w:line="276" w:lineRule="auto"/>
    </w:pPr>
    <w:rPr>
      <w:rFonts w:eastAsiaTheme="minorEastAsia"/>
      <w:color w:val="FF0000"/>
      <w:kern w:val="0"/>
      <w:lang w:val="en-US"/>
    </w:rPr>
  </w:style>
  <w:style w:type="character" w:customStyle="1" w:styleId="Heading8Char">
    <w:name w:val="Heading 8 Char"/>
    <w:basedOn w:val="DefaultParagraphFont"/>
    <w:link w:val="Heading8"/>
    <w:uiPriority w:val="9"/>
    <w:semiHidden/>
    <w:rsid w:val="006E24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2490"/>
    <w:rPr>
      <w:rFonts w:eastAsiaTheme="majorEastAsia" w:cstheme="majorBidi"/>
      <w:color w:val="272727" w:themeColor="text1" w:themeTint="D8"/>
    </w:rPr>
  </w:style>
  <w:style w:type="paragraph" w:styleId="Subtitle">
    <w:name w:val="Subtitle"/>
    <w:basedOn w:val="Normal"/>
    <w:next w:val="Normal"/>
    <w:link w:val="SubtitleChar"/>
    <w:uiPriority w:val="11"/>
    <w:qFormat/>
    <w:rsid w:val="006E24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24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2490"/>
    <w:pPr>
      <w:spacing w:before="160"/>
      <w:jc w:val="center"/>
    </w:pPr>
    <w:rPr>
      <w:i/>
      <w:iCs/>
      <w:color w:val="404040" w:themeColor="text1" w:themeTint="BF"/>
    </w:rPr>
  </w:style>
  <w:style w:type="character" w:customStyle="1" w:styleId="QuoteChar">
    <w:name w:val="Quote Char"/>
    <w:basedOn w:val="DefaultParagraphFont"/>
    <w:link w:val="Quote"/>
    <w:uiPriority w:val="29"/>
    <w:rsid w:val="006E2490"/>
    <w:rPr>
      <w:i/>
      <w:iCs/>
      <w:color w:val="404040" w:themeColor="text1" w:themeTint="BF"/>
    </w:rPr>
  </w:style>
  <w:style w:type="character" w:styleId="IntenseEmphasis">
    <w:name w:val="Intense Emphasis"/>
    <w:basedOn w:val="DefaultParagraphFont"/>
    <w:uiPriority w:val="21"/>
    <w:qFormat/>
    <w:rsid w:val="006E2490"/>
    <w:rPr>
      <w:i/>
      <w:iCs/>
      <w:color w:val="A5A5A5" w:themeColor="accent1" w:themeShade="BF"/>
    </w:rPr>
  </w:style>
  <w:style w:type="paragraph" w:styleId="IntenseQuote">
    <w:name w:val="Intense Quote"/>
    <w:basedOn w:val="Normal"/>
    <w:next w:val="Normal"/>
    <w:link w:val="IntenseQuoteChar"/>
    <w:uiPriority w:val="30"/>
    <w:qFormat/>
    <w:rsid w:val="006E2490"/>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6E2490"/>
    <w:rPr>
      <w:i/>
      <w:iCs/>
      <w:color w:val="A5A5A5" w:themeColor="accent1" w:themeShade="BF"/>
    </w:rPr>
  </w:style>
  <w:style w:type="character" w:styleId="IntenseReference">
    <w:name w:val="Intense Reference"/>
    <w:basedOn w:val="DefaultParagraphFont"/>
    <w:uiPriority w:val="32"/>
    <w:qFormat/>
    <w:rsid w:val="006E2490"/>
    <w:rPr>
      <w:b/>
      <w:bCs/>
      <w:smallCaps/>
      <w:color w:val="A5A5A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56458">
      <w:bodyDiv w:val="1"/>
      <w:marLeft w:val="0"/>
      <w:marRight w:val="0"/>
      <w:marTop w:val="0"/>
      <w:marBottom w:val="0"/>
      <w:divBdr>
        <w:top w:val="none" w:sz="0" w:space="0" w:color="auto"/>
        <w:left w:val="none" w:sz="0" w:space="0" w:color="auto"/>
        <w:bottom w:val="none" w:sz="0" w:space="0" w:color="auto"/>
        <w:right w:val="none" w:sz="0" w:space="0" w:color="auto"/>
      </w:divBdr>
    </w:div>
    <w:div w:id="5208230">
      <w:bodyDiv w:val="1"/>
      <w:marLeft w:val="0"/>
      <w:marRight w:val="0"/>
      <w:marTop w:val="0"/>
      <w:marBottom w:val="0"/>
      <w:divBdr>
        <w:top w:val="none" w:sz="0" w:space="0" w:color="auto"/>
        <w:left w:val="none" w:sz="0" w:space="0" w:color="auto"/>
        <w:bottom w:val="none" w:sz="0" w:space="0" w:color="auto"/>
        <w:right w:val="none" w:sz="0" w:space="0" w:color="auto"/>
      </w:divBdr>
      <w:divsChild>
        <w:div w:id="491913446">
          <w:marLeft w:val="0"/>
          <w:marRight w:val="0"/>
          <w:marTop w:val="0"/>
          <w:marBottom w:val="0"/>
          <w:divBdr>
            <w:top w:val="none" w:sz="0" w:space="0" w:color="auto"/>
            <w:left w:val="none" w:sz="0" w:space="0" w:color="auto"/>
            <w:bottom w:val="none" w:sz="0" w:space="0" w:color="auto"/>
            <w:right w:val="none" w:sz="0" w:space="0" w:color="auto"/>
          </w:divBdr>
          <w:divsChild>
            <w:div w:id="1686130264">
              <w:marLeft w:val="0"/>
              <w:marRight w:val="0"/>
              <w:marTop w:val="0"/>
              <w:marBottom w:val="0"/>
              <w:divBdr>
                <w:top w:val="single" w:sz="2" w:space="0" w:color="D9D9E3"/>
                <w:left w:val="single" w:sz="2" w:space="0" w:color="D9D9E3"/>
                <w:bottom w:val="single" w:sz="2" w:space="0" w:color="D9D9E3"/>
                <w:right w:val="single" w:sz="2" w:space="0" w:color="D9D9E3"/>
              </w:divBdr>
              <w:divsChild>
                <w:div w:id="1969239914">
                  <w:marLeft w:val="0"/>
                  <w:marRight w:val="0"/>
                  <w:marTop w:val="0"/>
                  <w:marBottom w:val="0"/>
                  <w:divBdr>
                    <w:top w:val="single" w:sz="2" w:space="0" w:color="D9D9E3"/>
                    <w:left w:val="single" w:sz="2" w:space="0" w:color="D9D9E3"/>
                    <w:bottom w:val="single" w:sz="2" w:space="0" w:color="D9D9E3"/>
                    <w:right w:val="single" w:sz="2" w:space="0" w:color="D9D9E3"/>
                  </w:divBdr>
                  <w:divsChild>
                    <w:div w:id="1378704814">
                      <w:marLeft w:val="0"/>
                      <w:marRight w:val="0"/>
                      <w:marTop w:val="0"/>
                      <w:marBottom w:val="0"/>
                      <w:divBdr>
                        <w:top w:val="single" w:sz="2" w:space="0" w:color="D9D9E3"/>
                        <w:left w:val="single" w:sz="2" w:space="0" w:color="D9D9E3"/>
                        <w:bottom w:val="single" w:sz="2" w:space="0" w:color="D9D9E3"/>
                        <w:right w:val="single" w:sz="2" w:space="0" w:color="D9D9E3"/>
                      </w:divBdr>
                      <w:divsChild>
                        <w:div w:id="6277098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19167014">
          <w:marLeft w:val="0"/>
          <w:marRight w:val="0"/>
          <w:marTop w:val="0"/>
          <w:marBottom w:val="0"/>
          <w:divBdr>
            <w:top w:val="single" w:sz="2" w:space="0" w:color="D9D9E3"/>
            <w:left w:val="single" w:sz="2" w:space="0" w:color="D9D9E3"/>
            <w:bottom w:val="single" w:sz="2" w:space="0" w:color="D9D9E3"/>
            <w:right w:val="single" w:sz="2" w:space="0" w:color="D9D9E3"/>
          </w:divBdr>
          <w:divsChild>
            <w:div w:id="1869370984">
              <w:marLeft w:val="0"/>
              <w:marRight w:val="0"/>
              <w:marTop w:val="0"/>
              <w:marBottom w:val="0"/>
              <w:divBdr>
                <w:top w:val="single" w:sz="2" w:space="0" w:color="D9D9E3"/>
                <w:left w:val="single" w:sz="2" w:space="0" w:color="D9D9E3"/>
                <w:bottom w:val="single" w:sz="2" w:space="0" w:color="D9D9E3"/>
                <w:right w:val="single" w:sz="2" w:space="0" w:color="D9D9E3"/>
              </w:divBdr>
              <w:divsChild>
                <w:div w:id="93744152">
                  <w:marLeft w:val="0"/>
                  <w:marRight w:val="0"/>
                  <w:marTop w:val="0"/>
                  <w:marBottom w:val="0"/>
                  <w:divBdr>
                    <w:top w:val="single" w:sz="2" w:space="0" w:color="D9D9E3"/>
                    <w:left w:val="single" w:sz="2" w:space="0" w:color="D9D9E3"/>
                    <w:bottom w:val="single" w:sz="2" w:space="0" w:color="D9D9E3"/>
                    <w:right w:val="single" w:sz="2" w:space="0" w:color="D9D9E3"/>
                  </w:divBdr>
                  <w:divsChild>
                    <w:div w:id="1745029391">
                      <w:marLeft w:val="0"/>
                      <w:marRight w:val="0"/>
                      <w:marTop w:val="0"/>
                      <w:marBottom w:val="0"/>
                      <w:divBdr>
                        <w:top w:val="single" w:sz="2" w:space="0" w:color="D9D9E3"/>
                        <w:left w:val="single" w:sz="2" w:space="0" w:color="D9D9E3"/>
                        <w:bottom w:val="single" w:sz="2" w:space="0" w:color="D9D9E3"/>
                        <w:right w:val="single" w:sz="2" w:space="0" w:color="D9D9E3"/>
                      </w:divBdr>
                      <w:divsChild>
                        <w:div w:id="1544946411">
                          <w:marLeft w:val="0"/>
                          <w:marRight w:val="0"/>
                          <w:marTop w:val="0"/>
                          <w:marBottom w:val="0"/>
                          <w:divBdr>
                            <w:top w:val="single" w:sz="2" w:space="0" w:color="auto"/>
                            <w:left w:val="single" w:sz="2" w:space="0" w:color="auto"/>
                            <w:bottom w:val="single" w:sz="6" w:space="0" w:color="auto"/>
                            <w:right w:val="single" w:sz="2" w:space="0" w:color="auto"/>
                          </w:divBdr>
                          <w:divsChild>
                            <w:div w:id="2102989661">
                              <w:marLeft w:val="0"/>
                              <w:marRight w:val="0"/>
                              <w:marTop w:val="100"/>
                              <w:marBottom w:val="100"/>
                              <w:divBdr>
                                <w:top w:val="single" w:sz="2" w:space="0" w:color="D9D9E3"/>
                                <w:left w:val="single" w:sz="2" w:space="0" w:color="D9D9E3"/>
                                <w:bottom w:val="single" w:sz="2" w:space="0" w:color="D9D9E3"/>
                                <w:right w:val="single" w:sz="2" w:space="0" w:color="D9D9E3"/>
                              </w:divBdr>
                              <w:divsChild>
                                <w:div w:id="1354107614">
                                  <w:marLeft w:val="0"/>
                                  <w:marRight w:val="0"/>
                                  <w:marTop w:val="0"/>
                                  <w:marBottom w:val="0"/>
                                  <w:divBdr>
                                    <w:top w:val="single" w:sz="2" w:space="0" w:color="D9D9E3"/>
                                    <w:left w:val="single" w:sz="2" w:space="0" w:color="D9D9E3"/>
                                    <w:bottom w:val="single" w:sz="2" w:space="0" w:color="D9D9E3"/>
                                    <w:right w:val="single" w:sz="2" w:space="0" w:color="D9D9E3"/>
                                  </w:divBdr>
                                  <w:divsChild>
                                    <w:div w:id="909341483">
                                      <w:marLeft w:val="0"/>
                                      <w:marRight w:val="0"/>
                                      <w:marTop w:val="0"/>
                                      <w:marBottom w:val="0"/>
                                      <w:divBdr>
                                        <w:top w:val="single" w:sz="2" w:space="0" w:color="D9D9E3"/>
                                        <w:left w:val="single" w:sz="2" w:space="0" w:color="D9D9E3"/>
                                        <w:bottom w:val="single" w:sz="2" w:space="0" w:color="D9D9E3"/>
                                        <w:right w:val="single" w:sz="2" w:space="0" w:color="D9D9E3"/>
                                      </w:divBdr>
                                      <w:divsChild>
                                        <w:div w:id="1269123535">
                                          <w:marLeft w:val="0"/>
                                          <w:marRight w:val="0"/>
                                          <w:marTop w:val="0"/>
                                          <w:marBottom w:val="0"/>
                                          <w:divBdr>
                                            <w:top w:val="single" w:sz="2" w:space="0" w:color="D9D9E3"/>
                                            <w:left w:val="single" w:sz="2" w:space="0" w:color="D9D9E3"/>
                                            <w:bottom w:val="single" w:sz="2" w:space="0" w:color="D9D9E3"/>
                                            <w:right w:val="single" w:sz="2" w:space="0" w:color="D9D9E3"/>
                                          </w:divBdr>
                                          <w:divsChild>
                                            <w:div w:id="56075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035277">
      <w:bodyDiv w:val="1"/>
      <w:marLeft w:val="0"/>
      <w:marRight w:val="0"/>
      <w:marTop w:val="0"/>
      <w:marBottom w:val="0"/>
      <w:divBdr>
        <w:top w:val="none" w:sz="0" w:space="0" w:color="auto"/>
        <w:left w:val="none" w:sz="0" w:space="0" w:color="auto"/>
        <w:bottom w:val="none" w:sz="0" w:space="0" w:color="auto"/>
        <w:right w:val="none" w:sz="0" w:space="0" w:color="auto"/>
      </w:divBdr>
    </w:div>
    <w:div w:id="11147213">
      <w:bodyDiv w:val="1"/>
      <w:marLeft w:val="0"/>
      <w:marRight w:val="0"/>
      <w:marTop w:val="0"/>
      <w:marBottom w:val="0"/>
      <w:divBdr>
        <w:top w:val="none" w:sz="0" w:space="0" w:color="auto"/>
        <w:left w:val="none" w:sz="0" w:space="0" w:color="auto"/>
        <w:bottom w:val="none" w:sz="0" w:space="0" w:color="auto"/>
        <w:right w:val="none" w:sz="0" w:space="0" w:color="auto"/>
      </w:divBdr>
    </w:div>
    <w:div w:id="21133489">
      <w:bodyDiv w:val="1"/>
      <w:marLeft w:val="0"/>
      <w:marRight w:val="0"/>
      <w:marTop w:val="0"/>
      <w:marBottom w:val="0"/>
      <w:divBdr>
        <w:top w:val="none" w:sz="0" w:space="0" w:color="auto"/>
        <w:left w:val="none" w:sz="0" w:space="0" w:color="auto"/>
        <w:bottom w:val="none" w:sz="0" w:space="0" w:color="auto"/>
        <w:right w:val="none" w:sz="0" w:space="0" w:color="auto"/>
      </w:divBdr>
    </w:div>
    <w:div w:id="32581431">
      <w:bodyDiv w:val="1"/>
      <w:marLeft w:val="0"/>
      <w:marRight w:val="0"/>
      <w:marTop w:val="0"/>
      <w:marBottom w:val="0"/>
      <w:divBdr>
        <w:top w:val="none" w:sz="0" w:space="0" w:color="auto"/>
        <w:left w:val="none" w:sz="0" w:space="0" w:color="auto"/>
        <w:bottom w:val="none" w:sz="0" w:space="0" w:color="auto"/>
        <w:right w:val="none" w:sz="0" w:space="0" w:color="auto"/>
      </w:divBdr>
    </w:div>
    <w:div w:id="44449426">
      <w:bodyDiv w:val="1"/>
      <w:marLeft w:val="0"/>
      <w:marRight w:val="0"/>
      <w:marTop w:val="0"/>
      <w:marBottom w:val="0"/>
      <w:divBdr>
        <w:top w:val="none" w:sz="0" w:space="0" w:color="auto"/>
        <w:left w:val="none" w:sz="0" w:space="0" w:color="auto"/>
        <w:bottom w:val="none" w:sz="0" w:space="0" w:color="auto"/>
        <w:right w:val="none" w:sz="0" w:space="0" w:color="auto"/>
      </w:divBdr>
    </w:div>
    <w:div w:id="47581826">
      <w:bodyDiv w:val="1"/>
      <w:marLeft w:val="0"/>
      <w:marRight w:val="0"/>
      <w:marTop w:val="0"/>
      <w:marBottom w:val="0"/>
      <w:divBdr>
        <w:top w:val="none" w:sz="0" w:space="0" w:color="auto"/>
        <w:left w:val="none" w:sz="0" w:space="0" w:color="auto"/>
        <w:bottom w:val="none" w:sz="0" w:space="0" w:color="auto"/>
        <w:right w:val="none" w:sz="0" w:space="0" w:color="auto"/>
      </w:divBdr>
    </w:div>
    <w:div w:id="49038859">
      <w:bodyDiv w:val="1"/>
      <w:marLeft w:val="0"/>
      <w:marRight w:val="0"/>
      <w:marTop w:val="0"/>
      <w:marBottom w:val="0"/>
      <w:divBdr>
        <w:top w:val="none" w:sz="0" w:space="0" w:color="auto"/>
        <w:left w:val="none" w:sz="0" w:space="0" w:color="auto"/>
        <w:bottom w:val="none" w:sz="0" w:space="0" w:color="auto"/>
        <w:right w:val="none" w:sz="0" w:space="0" w:color="auto"/>
      </w:divBdr>
    </w:div>
    <w:div w:id="52780444">
      <w:bodyDiv w:val="1"/>
      <w:marLeft w:val="0"/>
      <w:marRight w:val="0"/>
      <w:marTop w:val="0"/>
      <w:marBottom w:val="0"/>
      <w:divBdr>
        <w:top w:val="none" w:sz="0" w:space="0" w:color="auto"/>
        <w:left w:val="none" w:sz="0" w:space="0" w:color="auto"/>
        <w:bottom w:val="none" w:sz="0" w:space="0" w:color="auto"/>
        <w:right w:val="none" w:sz="0" w:space="0" w:color="auto"/>
      </w:divBdr>
    </w:div>
    <w:div w:id="54592206">
      <w:bodyDiv w:val="1"/>
      <w:marLeft w:val="0"/>
      <w:marRight w:val="0"/>
      <w:marTop w:val="0"/>
      <w:marBottom w:val="0"/>
      <w:divBdr>
        <w:top w:val="none" w:sz="0" w:space="0" w:color="auto"/>
        <w:left w:val="none" w:sz="0" w:space="0" w:color="auto"/>
        <w:bottom w:val="none" w:sz="0" w:space="0" w:color="auto"/>
        <w:right w:val="none" w:sz="0" w:space="0" w:color="auto"/>
      </w:divBdr>
    </w:div>
    <w:div w:id="61754176">
      <w:bodyDiv w:val="1"/>
      <w:marLeft w:val="0"/>
      <w:marRight w:val="0"/>
      <w:marTop w:val="0"/>
      <w:marBottom w:val="0"/>
      <w:divBdr>
        <w:top w:val="none" w:sz="0" w:space="0" w:color="auto"/>
        <w:left w:val="none" w:sz="0" w:space="0" w:color="auto"/>
        <w:bottom w:val="none" w:sz="0" w:space="0" w:color="auto"/>
        <w:right w:val="none" w:sz="0" w:space="0" w:color="auto"/>
      </w:divBdr>
    </w:div>
    <w:div w:id="61832240">
      <w:bodyDiv w:val="1"/>
      <w:marLeft w:val="0"/>
      <w:marRight w:val="0"/>
      <w:marTop w:val="0"/>
      <w:marBottom w:val="0"/>
      <w:divBdr>
        <w:top w:val="none" w:sz="0" w:space="0" w:color="auto"/>
        <w:left w:val="none" w:sz="0" w:space="0" w:color="auto"/>
        <w:bottom w:val="none" w:sz="0" w:space="0" w:color="auto"/>
        <w:right w:val="none" w:sz="0" w:space="0" w:color="auto"/>
      </w:divBdr>
    </w:div>
    <w:div w:id="66541439">
      <w:bodyDiv w:val="1"/>
      <w:marLeft w:val="0"/>
      <w:marRight w:val="0"/>
      <w:marTop w:val="0"/>
      <w:marBottom w:val="0"/>
      <w:divBdr>
        <w:top w:val="none" w:sz="0" w:space="0" w:color="auto"/>
        <w:left w:val="none" w:sz="0" w:space="0" w:color="auto"/>
        <w:bottom w:val="none" w:sz="0" w:space="0" w:color="auto"/>
        <w:right w:val="none" w:sz="0" w:space="0" w:color="auto"/>
      </w:divBdr>
    </w:div>
    <w:div w:id="68237125">
      <w:bodyDiv w:val="1"/>
      <w:marLeft w:val="0"/>
      <w:marRight w:val="0"/>
      <w:marTop w:val="0"/>
      <w:marBottom w:val="0"/>
      <w:divBdr>
        <w:top w:val="none" w:sz="0" w:space="0" w:color="auto"/>
        <w:left w:val="none" w:sz="0" w:space="0" w:color="auto"/>
        <w:bottom w:val="none" w:sz="0" w:space="0" w:color="auto"/>
        <w:right w:val="none" w:sz="0" w:space="0" w:color="auto"/>
      </w:divBdr>
      <w:divsChild>
        <w:div w:id="1030689733">
          <w:marLeft w:val="0"/>
          <w:marRight w:val="0"/>
          <w:marTop w:val="0"/>
          <w:marBottom w:val="0"/>
          <w:divBdr>
            <w:top w:val="none" w:sz="0" w:space="0" w:color="auto"/>
            <w:left w:val="none" w:sz="0" w:space="0" w:color="auto"/>
            <w:bottom w:val="none" w:sz="0" w:space="0" w:color="auto"/>
            <w:right w:val="none" w:sz="0" w:space="0" w:color="auto"/>
          </w:divBdr>
        </w:div>
      </w:divsChild>
    </w:div>
    <w:div w:id="68306410">
      <w:bodyDiv w:val="1"/>
      <w:marLeft w:val="0"/>
      <w:marRight w:val="0"/>
      <w:marTop w:val="0"/>
      <w:marBottom w:val="0"/>
      <w:divBdr>
        <w:top w:val="none" w:sz="0" w:space="0" w:color="auto"/>
        <w:left w:val="none" w:sz="0" w:space="0" w:color="auto"/>
        <w:bottom w:val="none" w:sz="0" w:space="0" w:color="auto"/>
        <w:right w:val="none" w:sz="0" w:space="0" w:color="auto"/>
      </w:divBdr>
    </w:div>
    <w:div w:id="70347259">
      <w:bodyDiv w:val="1"/>
      <w:marLeft w:val="0"/>
      <w:marRight w:val="0"/>
      <w:marTop w:val="0"/>
      <w:marBottom w:val="0"/>
      <w:divBdr>
        <w:top w:val="none" w:sz="0" w:space="0" w:color="auto"/>
        <w:left w:val="none" w:sz="0" w:space="0" w:color="auto"/>
        <w:bottom w:val="none" w:sz="0" w:space="0" w:color="auto"/>
        <w:right w:val="none" w:sz="0" w:space="0" w:color="auto"/>
      </w:divBdr>
    </w:div>
    <w:div w:id="70468024">
      <w:bodyDiv w:val="1"/>
      <w:marLeft w:val="0"/>
      <w:marRight w:val="0"/>
      <w:marTop w:val="0"/>
      <w:marBottom w:val="0"/>
      <w:divBdr>
        <w:top w:val="none" w:sz="0" w:space="0" w:color="auto"/>
        <w:left w:val="none" w:sz="0" w:space="0" w:color="auto"/>
        <w:bottom w:val="none" w:sz="0" w:space="0" w:color="auto"/>
        <w:right w:val="none" w:sz="0" w:space="0" w:color="auto"/>
      </w:divBdr>
    </w:div>
    <w:div w:id="76095418">
      <w:bodyDiv w:val="1"/>
      <w:marLeft w:val="0"/>
      <w:marRight w:val="0"/>
      <w:marTop w:val="0"/>
      <w:marBottom w:val="0"/>
      <w:divBdr>
        <w:top w:val="none" w:sz="0" w:space="0" w:color="auto"/>
        <w:left w:val="none" w:sz="0" w:space="0" w:color="auto"/>
        <w:bottom w:val="none" w:sz="0" w:space="0" w:color="auto"/>
        <w:right w:val="none" w:sz="0" w:space="0" w:color="auto"/>
      </w:divBdr>
    </w:div>
    <w:div w:id="85226890">
      <w:bodyDiv w:val="1"/>
      <w:marLeft w:val="0"/>
      <w:marRight w:val="0"/>
      <w:marTop w:val="0"/>
      <w:marBottom w:val="0"/>
      <w:divBdr>
        <w:top w:val="none" w:sz="0" w:space="0" w:color="auto"/>
        <w:left w:val="none" w:sz="0" w:space="0" w:color="auto"/>
        <w:bottom w:val="none" w:sz="0" w:space="0" w:color="auto"/>
        <w:right w:val="none" w:sz="0" w:space="0" w:color="auto"/>
      </w:divBdr>
    </w:div>
    <w:div w:id="88046462">
      <w:bodyDiv w:val="1"/>
      <w:marLeft w:val="0"/>
      <w:marRight w:val="0"/>
      <w:marTop w:val="0"/>
      <w:marBottom w:val="0"/>
      <w:divBdr>
        <w:top w:val="none" w:sz="0" w:space="0" w:color="auto"/>
        <w:left w:val="none" w:sz="0" w:space="0" w:color="auto"/>
        <w:bottom w:val="none" w:sz="0" w:space="0" w:color="auto"/>
        <w:right w:val="none" w:sz="0" w:space="0" w:color="auto"/>
      </w:divBdr>
    </w:div>
    <w:div w:id="94177617">
      <w:bodyDiv w:val="1"/>
      <w:marLeft w:val="0"/>
      <w:marRight w:val="0"/>
      <w:marTop w:val="0"/>
      <w:marBottom w:val="0"/>
      <w:divBdr>
        <w:top w:val="none" w:sz="0" w:space="0" w:color="auto"/>
        <w:left w:val="none" w:sz="0" w:space="0" w:color="auto"/>
        <w:bottom w:val="none" w:sz="0" w:space="0" w:color="auto"/>
        <w:right w:val="none" w:sz="0" w:space="0" w:color="auto"/>
      </w:divBdr>
    </w:div>
    <w:div w:id="97256411">
      <w:bodyDiv w:val="1"/>
      <w:marLeft w:val="0"/>
      <w:marRight w:val="0"/>
      <w:marTop w:val="0"/>
      <w:marBottom w:val="0"/>
      <w:divBdr>
        <w:top w:val="none" w:sz="0" w:space="0" w:color="auto"/>
        <w:left w:val="none" w:sz="0" w:space="0" w:color="auto"/>
        <w:bottom w:val="none" w:sz="0" w:space="0" w:color="auto"/>
        <w:right w:val="none" w:sz="0" w:space="0" w:color="auto"/>
      </w:divBdr>
    </w:div>
    <w:div w:id="105391335">
      <w:bodyDiv w:val="1"/>
      <w:marLeft w:val="0"/>
      <w:marRight w:val="0"/>
      <w:marTop w:val="0"/>
      <w:marBottom w:val="0"/>
      <w:divBdr>
        <w:top w:val="none" w:sz="0" w:space="0" w:color="auto"/>
        <w:left w:val="none" w:sz="0" w:space="0" w:color="auto"/>
        <w:bottom w:val="none" w:sz="0" w:space="0" w:color="auto"/>
        <w:right w:val="none" w:sz="0" w:space="0" w:color="auto"/>
      </w:divBdr>
    </w:div>
    <w:div w:id="118190718">
      <w:bodyDiv w:val="1"/>
      <w:marLeft w:val="0"/>
      <w:marRight w:val="0"/>
      <w:marTop w:val="0"/>
      <w:marBottom w:val="0"/>
      <w:divBdr>
        <w:top w:val="none" w:sz="0" w:space="0" w:color="auto"/>
        <w:left w:val="none" w:sz="0" w:space="0" w:color="auto"/>
        <w:bottom w:val="none" w:sz="0" w:space="0" w:color="auto"/>
        <w:right w:val="none" w:sz="0" w:space="0" w:color="auto"/>
      </w:divBdr>
    </w:div>
    <w:div w:id="119307206">
      <w:bodyDiv w:val="1"/>
      <w:marLeft w:val="0"/>
      <w:marRight w:val="0"/>
      <w:marTop w:val="0"/>
      <w:marBottom w:val="0"/>
      <w:divBdr>
        <w:top w:val="none" w:sz="0" w:space="0" w:color="auto"/>
        <w:left w:val="none" w:sz="0" w:space="0" w:color="auto"/>
        <w:bottom w:val="none" w:sz="0" w:space="0" w:color="auto"/>
        <w:right w:val="none" w:sz="0" w:space="0" w:color="auto"/>
      </w:divBdr>
    </w:div>
    <w:div w:id="125440243">
      <w:bodyDiv w:val="1"/>
      <w:marLeft w:val="0"/>
      <w:marRight w:val="0"/>
      <w:marTop w:val="0"/>
      <w:marBottom w:val="0"/>
      <w:divBdr>
        <w:top w:val="none" w:sz="0" w:space="0" w:color="auto"/>
        <w:left w:val="none" w:sz="0" w:space="0" w:color="auto"/>
        <w:bottom w:val="none" w:sz="0" w:space="0" w:color="auto"/>
        <w:right w:val="none" w:sz="0" w:space="0" w:color="auto"/>
      </w:divBdr>
    </w:div>
    <w:div w:id="132187149">
      <w:bodyDiv w:val="1"/>
      <w:marLeft w:val="0"/>
      <w:marRight w:val="0"/>
      <w:marTop w:val="0"/>
      <w:marBottom w:val="0"/>
      <w:divBdr>
        <w:top w:val="none" w:sz="0" w:space="0" w:color="auto"/>
        <w:left w:val="none" w:sz="0" w:space="0" w:color="auto"/>
        <w:bottom w:val="none" w:sz="0" w:space="0" w:color="auto"/>
        <w:right w:val="none" w:sz="0" w:space="0" w:color="auto"/>
      </w:divBdr>
    </w:div>
    <w:div w:id="134758951">
      <w:bodyDiv w:val="1"/>
      <w:marLeft w:val="0"/>
      <w:marRight w:val="0"/>
      <w:marTop w:val="0"/>
      <w:marBottom w:val="0"/>
      <w:divBdr>
        <w:top w:val="none" w:sz="0" w:space="0" w:color="auto"/>
        <w:left w:val="none" w:sz="0" w:space="0" w:color="auto"/>
        <w:bottom w:val="none" w:sz="0" w:space="0" w:color="auto"/>
        <w:right w:val="none" w:sz="0" w:space="0" w:color="auto"/>
      </w:divBdr>
    </w:div>
    <w:div w:id="135489111">
      <w:bodyDiv w:val="1"/>
      <w:marLeft w:val="0"/>
      <w:marRight w:val="0"/>
      <w:marTop w:val="0"/>
      <w:marBottom w:val="0"/>
      <w:divBdr>
        <w:top w:val="none" w:sz="0" w:space="0" w:color="auto"/>
        <w:left w:val="none" w:sz="0" w:space="0" w:color="auto"/>
        <w:bottom w:val="none" w:sz="0" w:space="0" w:color="auto"/>
        <w:right w:val="none" w:sz="0" w:space="0" w:color="auto"/>
      </w:divBdr>
    </w:div>
    <w:div w:id="139006568">
      <w:bodyDiv w:val="1"/>
      <w:marLeft w:val="0"/>
      <w:marRight w:val="0"/>
      <w:marTop w:val="0"/>
      <w:marBottom w:val="0"/>
      <w:divBdr>
        <w:top w:val="none" w:sz="0" w:space="0" w:color="auto"/>
        <w:left w:val="none" w:sz="0" w:space="0" w:color="auto"/>
        <w:bottom w:val="none" w:sz="0" w:space="0" w:color="auto"/>
        <w:right w:val="none" w:sz="0" w:space="0" w:color="auto"/>
      </w:divBdr>
    </w:div>
    <w:div w:id="141655449">
      <w:bodyDiv w:val="1"/>
      <w:marLeft w:val="0"/>
      <w:marRight w:val="0"/>
      <w:marTop w:val="0"/>
      <w:marBottom w:val="0"/>
      <w:divBdr>
        <w:top w:val="none" w:sz="0" w:space="0" w:color="auto"/>
        <w:left w:val="none" w:sz="0" w:space="0" w:color="auto"/>
        <w:bottom w:val="none" w:sz="0" w:space="0" w:color="auto"/>
        <w:right w:val="none" w:sz="0" w:space="0" w:color="auto"/>
      </w:divBdr>
    </w:div>
    <w:div w:id="145903294">
      <w:bodyDiv w:val="1"/>
      <w:marLeft w:val="0"/>
      <w:marRight w:val="0"/>
      <w:marTop w:val="0"/>
      <w:marBottom w:val="0"/>
      <w:divBdr>
        <w:top w:val="none" w:sz="0" w:space="0" w:color="auto"/>
        <w:left w:val="none" w:sz="0" w:space="0" w:color="auto"/>
        <w:bottom w:val="none" w:sz="0" w:space="0" w:color="auto"/>
        <w:right w:val="none" w:sz="0" w:space="0" w:color="auto"/>
      </w:divBdr>
    </w:div>
    <w:div w:id="151336405">
      <w:bodyDiv w:val="1"/>
      <w:marLeft w:val="0"/>
      <w:marRight w:val="0"/>
      <w:marTop w:val="0"/>
      <w:marBottom w:val="0"/>
      <w:divBdr>
        <w:top w:val="none" w:sz="0" w:space="0" w:color="auto"/>
        <w:left w:val="none" w:sz="0" w:space="0" w:color="auto"/>
        <w:bottom w:val="none" w:sz="0" w:space="0" w:color="auto"/>
        <w:right w:val="none" w:sz="0" w:space="0" w:color="auto"/>
      </w:divBdr>
    </w:div>
    <w:div w:id="151876111">
      <w:bodyDiv w:val="1"/>
      <w:marLeft w:val="0"/>
      <w:marRight w:val="0"/>
      <w:marTop w:val="0"/>
      <w:marBottom w:val="0"/>
      <w:divBdr>
        <w:top w:val="none" w:sz="0" w:space="0" w:color="auto"/>
        <w:left w:val="none" w:sz="0" w:space="0" w:color="auto"/>
        <w:bottom w:val="none" w:sz="0" w:space="0" w:color="auto"/>
        <w:right w:val="none" w:sz="0" w:space="0" w:color="auto"/>
      </w:divBdr>
    </w:div>
    <w:div w:id="158080719">
      <w:bodyDiv w:val="1"/>
      <w:marLeft w:val="0"/>
      <w:marRight w:val="0"/>
      <w:marTop w:val="0"/>
      <w:marBottom w:val="0"/>
      <w:divBdr>
        <w:top w:val="none" w:sz="0" w:space="0" w:color="auto"/>
        <w:left w:val="none" w:sz="0" w:space="0" w:color="auto"/>
        <w:bottom w:val="none" w:sz="0" w:space="0" w:color="auto"/>
        <w:right w:val="none" w:sz="0" w:space="0" w:color="auto"/>
      </w:divBdr>
    </w:div>
    <w:div w:id="160780517">
      <w:bodyDiv w:val="1"/>
      <w:marLeft w:val="0"/>
      <w:marRight w:val="0"/>
      <w:marTop w:val="0"/>
      <w:marBottom w:val="0"/>
      <w:divBdr>
        <w:top w:val="none" w:sz="0" w:space="0" w:color="auto"/>
        <w:left w:val="none" w:sz="0" w:space="0" w:color="auto"/>
        <w:bottom w:val="none" w:sz="0" w:space="0" w:color="auto"/>
        <w:right w:val="none" w:sz="0" w:space="0" w:color="auto"/>
      </w:divBdr>
    </w:div>
    <w:div w:id="161509639">
      <w:bodyDiv w:val="1"/>
      <w:marLeft w:val="0"/>
      <w:marRight w:val="0"/>
      <w:marTop w:val="0"/>
      <w:marBottom w:val="0"/>
      <w:divBdr>
        <w:top w:val="none" w:sz="0" w:space="0" w:color="auto"/>
        <w:left w:val="none" w:sz="0" w:space="0" w:color="auto"/>
        <w:bottom w:val="none" w:sz="0" w:space="0" w:color="auto"/>
        <w:right w:val="none" w:sz="0" w:space="0" w:color="auto"/>
      </w:divBdr>
    </w:div>
    <w:div w:id="165947751">
      <w:bodyDiv w:val="1"/>
      <w:marLeft w:val="0"/>
      <w:marRight w:val="0"/>
      <w:marTop w:val="0"/>
      <w:marBottom w:val="0"/>
      <w:divBdr>
        <w:top w:val="none" w:sz="0" w:space="0" w:color="auto"/>
        <w:left w:val="none" w:sz="0" w:space="0" w:color="auto"/>
        <w:bottom w:val="none" w:sz="0" w:space="0" w:color="auto"/>
        <w:right w:val="none" w:sz="0" w:space="0" w:color="auto"/>
      </w:divBdr>
    </w:div>
    <w:div w:id="176846602">
      <w:bodyDiv w:val="1"/>
      <w:marLeft w:val="0"/>
      <w:marRight w:val="0"/>
      <w:marTop w:val="0"/>
      <w:marBottom w:val="0"/>
      <w:divBdr>
        <w:top w:val="none" w:sz="0" w:space="0" w:color="auto"/>
        <w:left w:val="none" w:sz="0" w:space="0" w:color="auto"/>
        <w:bottom w:val="none" w:sz="0" w:space="0" w:color="auto"/>
        <w:right w:val="none" w:sz="0" w:space="0" w:color="auto"/>
      </w:divBdr>
    </w:div>
    <w:div w:id="178545772">
      <w:bodyDiv w:val="1"/>
      <w:marLeft w:val="0"/>
      <w:marRight w:val="0"/>
      <w:marTop w:val="0"/>
      <w:marBottom w:val="0"/>
      <w:divBdr>
        <w:top w:val="none" w:sz="0" w:space="0" w:color="auto"/>
        <w:left w:val="none" w:sz="0" w:space="0" w:color="auto"/>
        <w:bottom w:val="none" w:sz="0" w:space="0" w:color="auto"/>
        <w:right w:val="none" w:sz="0" w:space="0" w:color="auto"/>
      </w:divBdr>
    </w:div>
    <w:div w:id="183174839">
      <w:bodyDiv w:val="1"/>
      <w:marLeft w:val="0"/>
      <w:marRight w:val="0"/>
      <w:marTop w:val="0"/>
      <w:marBottom w:val="0"/>
      <w:divBdr>
        <w:top w:val="none" w:sz="0" w:space="0" w:color="auto"/>
        <w:left w:val="none" w:sz="0" w:space="0" w:color="auto"/>
        <w:bottom w:val="none" w:sz="0" w:space="0" w:color="auto"/>
        <w:right w:val="none" w:sz="0" w:space="0" w:color="auto"/>
      </w:divBdr>
    </w:div>
    <w:div w:id="183903254">
      <w:bodyDiv w:val="1"/>
      <w:marLeft w:val="0"/>
      <w:marRight w:val="0"/>
      <w:marTop w:val="0"/>
      <w:marBottom w:val="0"/>
      <w:divBdr>
        <w:top w:val="none" w:sz="0" w:space="0" w:color="auto"/>
        <w:left w:val="none" w:sz="0" w:space="0" w:color="auto"/>
        <w:bottom w:val="none" w:sz="0" w:space="0" w:color="auto"/>
        <w:right w:val="none" w:sz="0" w:space="0" w:color="auto"/>
      </w:divBdr>
    </w:div>
    <w:div w:id="185562496">
      <w:bodyDiv w:val="1"/>
      <w:marLeft w:val="0"/>
      <w:marRight w:val="0"/>
      <w:marTop w:val="0"/>
      <w:marBottom w:val="0"/>
      <w:divBdr>
        <w:top w:val="none" w:sz="0" w:space="0" w:color="auto"/>
        <w:left w:val="none" w:sz="0" w:space="0" w:color="auto"/>
        <w:bottom w:val="none" w:sz="0" w:space="0" w:color="auto"/>
        <w:right w:val="none" w:sz="0" w:space="0" w:color="auto"/>
      </w:divBdr>
    </w:div>
    <w:div w:id="189029525">
      <w:bodyDiv w:val="1"/>
      <w:marLeft w:val="0"/>
      <w:marRight w:val="0"/>
      <w:marTop w:val="0"/>
      <w:marBottom w:val="0"/>
      <w:divBdr>
        <w:top w:val="none" w:sz="0" w:space="0" w:color="auto"/>
        <w:left w:val="none" w:sz="0" w:space="0" w:color="auto"/>
        <w:bottom w:val="none" w:sz="0" w:space="0" w:color="auto"/>
        <w:right w:val="none" w:sz="0" w:space="0" w:color="auto"/>
      </w:divBdr>
    </w:div>
    <w:div w:id="191115943">
      <w:bodyDiv w:val="1"/>
      <w:marLeft w:val="0"/>
      <w:marRight w:val="0"/>
      <w:marTop w:val="0"/>
      <w:marBottom w:val="0"/>
      <w:divBdr>
        <w:top w:val="none" w:sz="0" w:space="0" w:color="auto"/>
        <w:left w:val="none" w:sz="0" w:space="0" w:color="auto"/>
        <w:bottom w:val="none" w:sz="0" w:space="0" w:color="auto"/>
        <w:right w:val="none" w:sz="0" w:space="0" w:color="auto"/>
      </w:divBdr>
    </w:div>
    <w:div w:id="193886555">
      <w:bodyDiv w:val="1"/>
      <w:marLeft w:val="0"/>
      <w:marRight w:val="0"/>
      <w:marTop w:val="0"/>
      <w:marBottom w:val="0"/>
      <w:divBdr>
        <w:top w:val="none" w:sz="0" w:space="0" w:color="auto"/>
        <w:left w:val="none" w:sz="0" w:space="0" w:color="auto"/>
        <w:bottom w:val="none" w:sz="0" w:space="0" w:color="auto"/>
        <w:right w:val="none" w:sz="0" w:space="0" w:color="auto"/>
      </w:divBdr>
    </w:div>
    <w:div w:id="194005662">
      <w:bodyDiv w:val="1"/>
      <w:marLeft w:val="0"/>
      <w:marRight w:val="0"/>
      <w:marTop w:val="0"/>
      <w:marBottom w:val="0"/>
      <w:divBdr>
        <w:top w:val="none" w:sz="0" w:space="0" w:color="auto"/>
        <w:left w:val="none" w:sz="0" w:space="0" w:color="auto"/>
        <w:bottom w:val="none" w:sz="0" w:space="0" w:color="auto"/>
        <w:right w:val="none" w:sz="0" w:space="0" w:color="auto"/>
      </w:divBdr>
    </w:div>
    <w:div w:id="201477078">
      <w:bodyDiv w:val="1"/>
      <w:marLeft w:val="0"/>
      <w:marRight w:val="0"/>
      <w:marTop w:val="0"/>
      <w:marBottom w:val="0"/>
      <w:divBdr>
        <w:top w:val="none" w:sz="0" w:space="0" w:color="auto"/>
        <w:left w:val="none" w:sz="0" w:space="0" w:color="auto"/>
        <w:bottom w:val="none" w:sz="0" w:space="0" w:color="auto"/>
        <w:right w:val="none" w:sz="0" w:space="0" w:color="auto"/>
      </w:divBdr>
    </w:div>
    <w:div w:id="201940548">
      <w:bodyDiv w:val="1"/>
      <w:marLeft w:val="0"/>
      <w:marRight w:val="0"/>
      <w:marTop w:val="0"/>
      <w:marBottom w:val="0"/>
      <w:divBdr>
        <w:top w:val="none" w:sz="0" w:space="0" w:color="auto"/>
        <w:left w:val="none" w:sz="0" w:space="0" w:color="auto"/>
        <w:bottom w:val="none" w:sz="0" w:space="0" w:color="auto"/>
        <w:right w:val="none" w:sz="0" w:space="0" w:color="auto"/>
      </w:divBdr>
    </w:div>
    <w:div w:id="203256160">
      <w:bodyDiv w:val="1"/>
      <w:marLeft w:val="0"/>
      <w:marRight w:val="0"/>
      <w:marTop w:val="0"/>
      <w:marBottom w:val="0"/>
      <w:divBdr>
        <w:top w:val="none" w:sz="0" w:space="0" w:color="auto"/>
        <w:left w:val="none" w:sz="0" w:space="0" w:color="auto"/>
        <w:bottom w:val="none" w:sz="0" w:space="0" w:color="auto"/>
        <w:right w:val="none" w:sz="0" w:space="0" w:color="auto"/>
      </w:divBdr>
    </w:div>
    <w:div w:id="209847857">
      <w:bodyDiv w:val="1"/>
      <w:marLeft w:val="0"/>
      <w:marRight w:val="0"/>
      <w:marTop w:val="0"/>
      <w:marBottom w:val="0"/>
      <w:divBdr>
        <w:top w:val="none" w:sz="0" w:space="0" w:color="auto"/>
        <w:left w:val="none" w:sz="0" w:space="0" w:color="auto"/>
        <w:bottom w:val="none" w:sz="0" w:space="0" w:color="auto"/>
        <w:right w:val="none" w:sz="0" w:space="0" w:color="auto"/>
      </w:divBdr>
    </w:div>
    <w:div w:id="213347630">
      <w:bodyDiv w:val="1"/>
      <w:marLeft w:val="0"/>
      <w:marRight w:val="0"/>
      <w:marTop w:val="0"/>
      <w:marBottom w:val="0"/>
      <w:divBdr>
        <w:top w:val="none" w:sz="0" w:space="0" w:color="auto"/>
        <w:left w:val="none" w:sz="0" w:space="0" w:color="auto"/>
        <w:bottom w:val="none" w:sz="0" w:space="0" w:color="auto"/>
        <w:right w:val="none" w:sz="0" w:space="0" w:color="auto"/>
      </w:divBdr>
    </w:div>
    <w:div w:id="213545791">
      <w:bodyDiv w:val="1"/>
      <w:marLeft w:val="0"/>
      <w:marRight w:val="0"/>
      <w:marTop w:val="0"/>
      <w:marBottom w:val="0"/>
      <w:divBdr>
        <w:top w:val="none" w:sz="0" w:space="0" w:color="auto"/>
        <w:left w:val="none" w:sz="0" w:space="0" w:color="auto"/>
        <w:bottom w:val="none" w:sz="0" w:space="0" w:color="auto"/>
        <w:right w:val="none" w:sz="0" w:space="0" w:color="auto"/>
      </w:divBdr>
    </w:div>
    <w:div w:id="222832798">
      <w:bodyDiv w:val="1"/>
      <w:marLeft w:val="0"/>
      <w:marRight w:val="0"/>
      <w:marTop w:val="0"/>
      <w:marBottom w:val="0"/>
      <w:divBdr>
        <w:top w:val="none" w:sz="0" w:space="0" w:color="auto"/>
        <w:left w:val="none" w:sz="0" w:space="0" w:color="auto"/>
        <w:bottom w:val="none" w:sz="0" w:space="0" w:color="auto"/>
        <w:right w:val="none" w:sz="0" w:space="0" w:color="auto"/>
      </w:divBdr>
    </w:div>
    <w:div w:id="224293662">
      <w:bodyDiv w:val="1"/>
      <w:marLeft w:val="0"/>
      <w:marRight w:val="0"/>
      <w:marTop w:val="0"/>
      <w:marBottom w:val="0"/>
      <w:divBdr>
        <w:top w:val="none" w:sz="0" w:space="0" w:color="auto"/>
        <w:left w:val="none" w:sz="0" w:space="0" w:color="auto"/>
        <w:bottom w:val="none" w:sz="0" w:space="0" w:color="auto"/>
        <w:right w:val="none" w:sz="0" w:space="0" w:color="auto"/>
      </w:divBdr>
    </w:div>
    <w:div w:id="224535332">
      <w:bodyDiv w:val="1"/>
      <w:marLeft w:val="0"/>
      <w:marRight w:val="0"/>
      <w:marTop w:val="0"/>
      <w:marBottom w:val="0"/>
      <w:divBdr>
        <w:top w:val="none" w:sz="0" w:space="0" w:color="auto"/>
        <w:left w:val="none" w:sz="0" w:space="0" w:color="auto"/>
        <w:bottom w:val="none" w:sz="0" w:space="0" w:color="auto"/>
        <w:right w:val="none" w:sz="0" w:space="0" w:color="auto"/>
      </w:divBdr>
    </w:div>
    <w:div w:id="224680770">
      <w:bodyDiv w:val="1"/>
      <w:marLeft w:val="0"/>
      <w:marRight w:val="0"/>
      <w:marTop w:val="0"/>
      <w:marBottom w:val="0"/>
      <w:divBdr>
        <w:top w:val="none" w:sz="0" w:space="0" w:color="auto"/>
        <w:left w:val="none" w:sz="0" w:space="0" w:color="auto"/>
        <w:bottom w:val="none" w:sz="0" w:space="0" w:color="auto"/>
        <w:right w:val="none" w:sz="0" w:space="0" w:color="auto"/>
      </w:divBdr>
    </w:div>
    <w:div w:id="251202274">
      <w:bodyDiv w:val="1"/>
      <w:marLeft w:val="0"/>
      <w:marRight w:val="0"/>
      <w:marTop w:val="0"/>
      <w:marBottom w:val="0"/>
      <w:divBdr>
        <w:top w:val="none" w:sz="0" w:space="0" w:color="auto"/>
        <w:left w:val="none" w:sz="0" w:space="0" w:color="auto"/>
        <w:bottom w:val="none" w:sz="0" w:space="0" w:color="auto"/>
        <w:right w:val="none" w:sz="0" w:space="0" w:color="auto"/>
      </w:divBdr>
    </w:div>
    <w:div w:id="255527341">
      <w:bodyDiv w:val="1"/>
      <w:marLeft w:val="0"/>
      <w:marRight w:val="0"/>
      <w:marTop w:val="0"/>
      <w:marBottom w:val="0"/>
      <w:divBdr>
        <w:top w:val="none" w:sz="0" w:space="0" w:color="auto"/>
        <w:left w:val="none" w:sz="0" w:space="0" w:color="auto"/>
        <w:bottom w:val="none" w:sz="0" w:space="0" w:color="auto"/>
        <w:right w:val="none" w:sz="0" w:space="0" w:color="auto"/>
      </w:divBdr>
    </w:div>
    <w:div w:id="255945863">
      <w:bodyDiv w:val="1"/>
      <w:marLeft w:val="0"/>
      <w:marRight w:val="0"/>
      <w:marTop w:val="0"/>
      <w:marBottom w:val="0"/>
      <w:divBdr>
        <w:top w:val="none" w:sz="0" w:space="0" w:color="auto"/>
        <w:left w:val="none" w:sz="0" w:space="0" w:color="auto"/>
        <w:bottom w:val="none" w:sz="0" w:space="0" w:color="auto"/>
        <w:right w:val="none" w:sz="0" w:space="0" w:color="auto"/>
      </w:divBdr>
    </w:div>
    <w:div w:id="267587741">
      <w:bodyDiv w:val="1"/>
      <w:marLeft w:val="0"/>
      <w:marRight w:val="0"/>
      <w:marTop w:val="0"/>
      <w:marBottom w:val="0"/>
      <w:divBdr>
        <w:top w:val="none" w:sz="0" w:space="0" w:color="auto"/>
        <w:left w:val="none" w:sz="0" w:space="0" w:color="auto"/>
        <w:bottom w:val="none" w:sz="0" w:space="0" w:color="auto"/>
        <w:right w:val="none" w:sz="0" w:space="0" w:color="auto"/>
      </w:divBdr>
    </w:div>
    <w:div w:id="269052622">
      <w:bodyDiv w:val="1"/>
      <w:marLeft w:val="0"/>
      <w:marRight w:val="0"/>
      <w:marTop w:val="0"/>
      <w:marBottom w:val="0"/>
      <w:divBdr>
        <w:top w:val="none" w:sz="0" w:space="0" w:color="auto"/>
        <w:left w:val="none" w:sz="0" w:space="0" w:color="auto"/>
        <w:bottom w:val="none" w:sz="0" w:space="0" w:color="auto"/>
        <w:right w:val="none" w:sz="0" w:space="0" w:color="auto"/>
      </w:divBdr>
    </w:div>
    <w:div w:id="270861542">
      <w:bodyDiv w:val="1"/>
      <w:marLeft w:val="0"/>
      <w:marRight w:val="0"/>
      <w:marTop w:val="0"/>
      <w:marBottom w:val="0"/>
      <w:divBdr>
        <w:top w:val="none" w:sz="0" w:space="0" w:color="auto"/>
        <w:left w:val="none" w:sz="0" w:space="0" w:color="auto"/>
        <w:bottom w:val="none" w:sz="0" w:space="0" w:color="auto"/>
        <w:right w:val="none" w:sz="0" w:space="0" w:color="auto"/>
      </w:divBdr>
    </w:div>
    <w:div w:id="278295487">
      <w:bodyDiv w:val="1"/>
      <w:marLeft w:val="0"/>
      <w:marRight w:val="0"/>
      <w:marTop w:val="0"/>
      <w:marBottom w:val="0"/>
      <w:divBdr>
        <w:top w:val="none" w:sz="0" w:space="0" w:color="auto"/>
        <w:left w:val="none" w:sz="0" w:space="0" w:color="auto"/>
        <w:bottom w:val="none" w:sz="0" w:space="0" w:color="auto"/>
        <w:right w:val="none" w:sz="0" w:space="0" w:color="auto"/>
      </w:divBdr>
    </w:div>
    <w:div w:id="278953205">
      <w:bodyDiv w:val="1"/>
      <w:marLeft w:val="0"/>
      <w:marRight w:val="0"/>
      <w:marTop w:val="0"/>
      <w:marBottom w:val="0"/>
      <w:divBdr>
        <w:top w:val="none" w:sz="0" w:space="0" w:color="auto"/>
        <w:left w:val="none" w:sz="0" w:space="0" w:color="auto"/>
        <w:bottom w:val="none" w:sz="0" w:space="0" w:color="auto"/>
        <w:right w:val="none" w:sz="0" w:space="0" w:color="auto"/>
      </w:divBdr>
    </w:div>
    <w:div w:id="281694540">
      <w:bodyDiv w:val="1"/>
      <w:marLeft w:val="0"/>
      <w:marRight w:val="0"/>
      <w:marTop w:val="0"/>
      <w:marBottom w:val="0"/>
      <w:divBdr>
        <w:top w:val="none" w:sz="0" w:space="0" w:color="auto"/>
        <w:left w:val="none" w:sz="0" w:space="0" w:color="auto"/>
        <w:bottom w:val="none" w:sz="0" w:space="0" w:color="auto"/>
        <w:right w:val="none" w:sz="0" w:space="0" w:color="auto"/>
      </w:divBdr>
    </w:div>
    <w:div w:id="282998788">
      <w:bodyDiv w:val="1"/>
      <w:marLeft w:val="0"/>
      <w:marRight w:val="0"/>
      <w:marTop w:val="0"/>
      <w:marBottom w:val="0"/>
      <w:divBdr>
        <w:top w:val="none" w:sz="0" w:space="0" w:color="auto"/>
        <w:left w:val="none" w:sz="0" w:space="0" w:color="auto"/>
        <w:bottom w:val="none" w:sz="0" w:space="0" w:color="auto"/>
        <w:right w:val="none" w:sz="0" w:space="0" w:color="auto"/>
      </w:divBdr>
    </w:div>
    <w:div w:id="290021574">
      <w:bodyDiv w:val="1"/>
      <w:marLeft w:val="0"/>
      <w:marRight w:val="0"/>
      <w:marTop w:val="0"/>
      <w:marBottom w:val="0"/>
      <w:divBdr>
        <w:top w:val="none" w:sz="0" w:space="0" w:color="auto"/>
        <w:left w:val="none" w:sz="0" w:space="0" w:color="auto"/>
        <w:bottom w:val="none" w:sz="0" w:space="0" w:color="auto"/>
        <w:right w:val="none" w:sz="0" w:space="0" w:color="auto"/>
      </w:divBdr>
    </w:div>
    <w:div w:id="290521895">
      <w:bodyDiv w:val="1"/>
      <w:marLeft w:val="0"/>
      <w:marRight w:val="0"/>
      <w:marTop w:val="0"/>
      <w:marBottom w:val="0"/>
      <w:divBdr>
        <w:top w:val="none" w:sz="0" w:space="0" w:color="auto"/>
        <w:left w:val="none" w:sz="0" w:space="0" w:color="auto"/>
        <w:bottom w:val="none" w:sz="0" w:space="0" w:color="auto"/>
        <w:right w:val="none" w:sz="0" w:space="0" w:color="auto"/>
      </w:divBdr>
    </w:div>
    <w:div w:id="295450392">
      <w:bodyDiv w:val="1"/>
      <w:marLeft w:val="0"/>
      <w:marRight w:val="0"/>
      <w:marTop w:val="0"/>
      <w:marBottom w:val="0"/>
      <w:divBdr>
        <w:top w:val="none" w:sz="0" w:space="0" w:color="auto"/>
        <w:left w:val="none" w:sz="0" w:space="0" w:color="auto"/>
        <w:bottom w:val="none" w:sz="0" w:space="0" w:color="auto"/>
        <w:right w:val="none" w:sz="0" w:space="0" w:color="auto"/>
      </w:divBdr>
    </w:div>
    <w:div w:id="297540589">
      <w:bodyDiv w:val="1"/>
      <w:marLeft w:val="0"/>
      <w:marRight w:val="0"/>
      <w:marTop w:val="0"/>
      <w:marBottom w:val="0"/>
      <w:divBdr>
        <w:top w:val="none" w:sz="0" w:space="0" w:color="auto"/>
        <w:left w:val="none" w:sz="0" w:space="0" w:color="auto"/>
        <w:bottom w:val="none" w:sz="0" w:space="0" w:color="auto"/>
        <w:right w:val="none" w:sz="0" w:space="0" w:color="auto"/>
      </w:divBdr>
    </w:div>
    <w:div w:id="305664986">
      <w:bodyDiv w:val="1"/>
      <w:marLeft w:val="0"/>
      <w:marRight w:val="0"/>
      <w:marTop w:val="0"/>
      <w:marBottom w:val="0"/>
      <w:divBdr>
        <w:top w:val="none" w:sz="0" w:space="0" w:color="auto"/>
        <w:left w:val="none" w:sz="0" w:space="0" w:color="auto"/>
        <w:bottom w:val="none" w:sz="0" w:space="0" w:color="auto"/>
        <w:right w:val="none" w:sz="0" w:space="0" w:color="auto"/>
      </w:divBdr>
    </w:div>
    <w:div w:id="313144673">
      <w:bodyDiv w:val="1"/>
      <w:marLeft w:val="0"/>
      <w:marRight w:val="0"/>
      <w:marTop w:val="0"/>
      <w:marBottom w:val="0"/>
      <w:divBdr>
        <w:top w:val="none" w:sz="0" w:space="0" w:color="auto"/>
        <w:left w:val="none" w:sz="0" w:space="0" w:color="auto"/>
        <w:bottom w:val="none" w:sz="0" w:space="0" w:color="auto"/>
        <w:right w:val="none" w:sz="0" w:space="0" w:color="auto"/>
      </w:divBdr>
    </w:div>
    <w:div w:id="314333680">
      <w:bodyDiv w:val="1"/>
      <w:marLeft w:val="0"/>
      <w:marRight w:val="0"/>
      <w:marTop w:val="0"/>
      <w:marBottom w:val="0"/>
      <w:divBdr>
        <w:top w:val="none" w:sz="0" w:space="0" w:color="auto"/>
        <w:left w:val="none" w:sz="0" w:space="0" w:color="auto"/>
        <w:bottom w:val="none" w:sz="0" w:space="0" w:color="auto"/>
        <w:right w:val="none" w:sz="0" w:space="0" w:color="auto"/>
      </w:divBdr>
    </w:div>
    <w:div w:id="318660216">
      <w:bodyDiv w:val="1"/>
      <w:marLeft w:val="0"/>
      <w:marRight w:val="0"/>
      <w:marTop w:val="0"/>
      <w:marBottom w:val="0"/>
      <w:divBdr>
        <w:top w:val="none" w:sz="0" w:space="0" w:color="auto"/>
        <w:left w:val="none" w:sz="0" w:space="0" w:color="auto"/>
        <w:bottom w:val="none" w:sz="0" w:space="0" w:color="auto"/>
        <w:right w:val="none" w:sz="0" w:space="0" w:color="auto"/>
      </w:divBdr>
    </w:div>
    <w:div w:id="321010395">
      <w:bodyDiv w:val="1"/>
      <w:marLeft w:val="0"/>
      <w:marRight w:val="0"/>
      <w:marTop w:val="0"/>
      <w:marBottom w:val="0"/>
      <w:divBdr>
        <w:top w:val="none" w:sz="0" w:space="0" w:color="auto"/>
        <w:left w:val="none" w:sz="0" w:space="0" w:color="auto"/>
        <w:bottom w:val="none" w:sz="0" w:space="0" w:color="auto"/>
        <w:right w:val="none" w:sz="0" w:space="0" w:color="auto"/>
      </w:divBdr>
    </w:div>
    <w:div w:id="327712441">
      <w:bodyDiv w:val="1"/>
      <w:marLeft w:val="0"/>
      <w:marRight w:val="0"/>
      <w:marTop w:val="0"/>
      <w:marBottom w:val="0"/>
      <w:divBdr>
        <w:top w:val="none" w:sz="0" w:space="0" w:color="auto"/>
        <w:left w:val="none" w:sz="0" w:space="0" w:color="auto"/>
        <w:bottom w:val="none" w:sz="0" w:space="0" w:color="auto"/>
        <w:right w:val="none" w:sz="0" w:space="0" w:color="auto"/>
      </w:divBdr>
    </w:div>
    <w:div w:id="333992106">
      <w:bodyDiv w:val="1"/>
      <w:marLeft w:val="0"/>
      <w:marRight w:val="0"/>
      <w:marTop w:val="0"/>
      <w:marBottom w:val="0"/>
      <w:divBdr>
        <w:top w:val="none" w:sz="0" w:space="0" w:color="auto"/>
        <w:left w:val="none" w:sz="0" w:space="0" w:color="auto"/>
        <w:bottom w:val="none" w:sz="0" w:space="0" w:color="auto"/>
        <w:right w:val="none" w:sz="0" w:space="0" w:color="auto"/>
      </w:divBdr>
    </w:div>
    <w:div w:id="341131473">
      <w:bodyDiv w:val="1"/>
      <w:marLeft w:val="0"/>
      <w:marRight w:val="0"/>
      <w:marTop w:val="0"/>
      <w:marBottom w:val="0"/>
      <w:divBdr>
        <w:top w:val="none" w:sz="0" w:space="0" w:color="auto"/>
        <w:left w:val="none" w:sz="0" w:space="0" w:color="auto"/>
        <w:bottom w:val="none" w:sz="0" w:space="0" w:color="auto"/>
        <w:right w:val="none" w:sz="0" w:space="0" w:color="auto"/>
      </w:divBdr>
    </w:div>
    <w:div w:id="345521469">
      <w:bodyDiv w:val="1"/>
      <w:marLeft w:val="0"/>
      <w:marRight w:val="0"/>
      <w:marTop w:val="0"/>
      <w:marBottom w:val="0"/>
      <w:divBdr>
        <w:top w:val="none" w:sz="0" w:space="0" w:color="auto"/>
        <w:left w:val="none" w:sz="0" w:space="0" w:color="auto"/>
        <w:bottom w:val="none" w:sz="0" w:space="0" w:color="auto"/>
        <w:right w:val="none" w:sz="0" w:space="0" w:color="auto"/>
      </w:divBdr>
    </w:div>
    <w:div w:id="346248526">
      <w:bodyDiv w:val="1"/>
      <w:marLeft w:val="0"/>
      <w:marRight w:val="0"/>
      <w:marTop w:val="0"/>
      <w:marBottom w:val="0"/>
      <w:divBdr>
        <w:top w:val="none" w:sz="0" w:space="0" w:color="auto"/>
        <w:left w:val="none" w:sz="0" w:space="0" w:color="auto"/>
        <w:bottom w:val="none" w:sz="0" w:space="0" w:color="auto"/>
        <w:right w:val="none" w:sz="0" w:space="0" w:color="auto"/>
      </w:divBdr>
    </w:div>
    <w:div w:id="350958450">
      <w:bodyDiv w:val="1"/>
      <w:marLeft w:val="0"/>
      <w:marRight w:val="0"/>
      <w:marTop w:val="0"/>
      <w:marBottom w:val="0"/>
      <w:divBdr>
        <w:top w:val="none" w:sz="0" w:space="0" w:color="auto"/>
        <w:left w:val="none" w:sz="0" w:space="0" w:color="auto"/>
        <w:bottom w:val="none" w:sz="0" w:space="0" w:color="auto"/>
        <w:right w:val="none" w:sz="0" w:space="0" w:color="auto"/>
      </w:divBdr>
    </w:div>
    <w:div w:id="360017700">
      <w:bodyDiv w:val="1"/>
      <w:marLeft w:val="0"/>
      <w:marRight w:val="0"/>
      <w:marTop w:val="0"/>
      <w:marBottom w:val="0"/>
      <w:divBdr>
        <w:top w:val="none" w:sz="0" w:space="0" w:color="auto"/>
        <w:left w:val="none" w:sz="0" w:space="0" w:color="auto"/>
        <w:bottom w:val="none" w:sz="0" w:space="0" w:color="auto"/>
        <w:right w:val="none" w:sz="0" w:space="0" w:color="auto"/>
      </w:divBdr>
    </w:div>
    <w:div w:id="360978252">
      <w:bodyDiv w:val="1"/>
      <w:marLeft w:val="0"/>
      <w:marRight w:val="0"/>
      <w:marTop w:val="0"/>
      <w:marBottom w:val="0"/>
      <w:divBdr>
        <w:top w:val="none" w:sz="0" w:space="0" w:color="auto"/>
        <w:left w:val="none" w:sz="0" w:space="0" w:color="auto"/>
        <w:bottom w:val="none" w:sz="0" w:space="0" w:color="auto"/>
        <w:right w:val="none" w:sz="0" w:space="0" w:color="auto"/>
      </w:divBdr>
    </w:div>
    <w:div w:id="366610933">
      <w:bodyDiv w:val="1"/>
      <w:marLeft w:val="0"/>
      <w:marRight w:val="0"/>
      <w:marTop w:val="0"/>
      <w:marBottom w:val="0"/>
      <w:divBdr>
        <w:top w:val="none" w:sz="0" w:space="0" w:color="auto"/>
        <w:left w:val="none" w:sz="0" w:space="0" w:color="auto"/>
        <w:bottom w:val="none" w:sz="0" w:space="0" w:color="auto"/>
        <w:right w:val="none" w:sz="0" w:space="0" w:color="auto"/>
      </w:divBdr>
    </w:div>
    <w:div w:id="378555788">
      <w:bodyDiv w:val="1"/>
      <w:marLeft w:val="0"/>
      <w:marRight w:val="0"/>
      <w:marTop w:val="0"/>
      <w:marBottom w:val="0"/>
      <w:divBdr>
        <w:top w:val="none" w:sz="0" w:space="0" w:color="auto"/>
        <w:left w:val="none" w:sz="0" w:space="0" w:color="auto"/>
        <w:bottom w:val="none" w:sz="0" w:space="0" w:color="auto"/>
        <w:right w:val="none" w:sz="0" w:space="0" w:color="auto"/>
      </w:divBdr>
    </w:div>
    <w:div w:id="381295554">
      <w:bodyDiv w:val="1"/>
      <w:marLeft w:val="0"/>
      <w:marRight w:val="0"/>
      <w:marTop w:val="0"/>
      <w:marBottom w:val="0"/>
      <w:divBdr>
        <w:top w:val="none" w:sz="0" w:space="0" w:color="auto"/>
        <w:left w:val="none" w:sz="0" w:space="0" w:color="auto"/>
        <w:bottom w:val="none" w:sz="0" w:space="0" w:color="auto"/>
        <w:right w:val="none" w:sz="0" w:space="0" w:color="auto"/>
      </w:divBdr>
    </w:div>
    <w:div w:id="381635829">
      <w:bodyDiv w:val="1"/>
      <w:marLeft w:val="0"/>
      <w:marRight w:val="0"/>
      <w:marTop w:val="0"/>
      <w:marBottom w:val="0"/>
      <w:divBdr>
        <w:top w:val="none" w:sz="0" w:space="0" w:color="auto"/>
        <w:left w:val="none" w:sz="0" w:space="0" w:color="auto"/>
        <w:bottom w:val="none" w:sz="0" w:space="0" w:color="auto"/>
        <w:right w:val="none" w:sz="0" w:space="0" w:color="auto"/>
      </w:divBdr>
    </w:div>
    <w:div w:id="381754082">
      <w:bodyDiv w:val="1"/>
      <w:marLeft w:val="0"/>
      <w:marRight w:val="0"/>
      <w:marTop w:val="0"/>
      <w:marBottom w:val="0"/>
      <w:divBdr>
        <w:top w:val="none" w:sz="0" w:space="0" w:color="auto"/>
        <w:left w:val="none" w:sz="0" w:space="0" w:color="auto"/>
        <w:bottom w:val="none" w:sz="0" w:space="0" w:color="auto"/>
        <w:right w:val="none" w:sz="0" w:space="0" w:color="auto"/>
      </w:divBdr>
    </w:div>
    <w:div w:id="382216281">
      <w:bodyDiv w:val="1"/>
      <w:marLeft w:val="0"/>
      <w:marRight w:val="0"/>
      <w:marTop w:val="0"/>
      <w:marBottom w:val="0"/>
      <w:divBdr>
        <w:top w:val="none" w:sz="0" w:space="0" w:color="auto"/>
        <w:left w:val="none" w:sz="0" w:space="0" w:color="auto"/>
        <w:bottom w:val="none" w:sz="0" w:space="0" w:color="auto"/>
        <w:right w:val="none" w:sz="0" w:space="0" w:color="auto"/>
      </w:divBdr>
    </w:div>
    <w:div w:id="391318823">
      <w:bodyDiv w:val="1"/>
      <w:marLeft w:val="0"/>
      <w:marRight w:val="0"/>
      <w:marTop w:val="0"/>
      <w:marBottom w:val="0"/>
      <w:divBdr>
        <w:top w:val="none" w:sz="0" w:space="0" w:color="auto"/>
        <w:left w:val="none" w:sz="0" w:space="0" w:color="auto"/>
        <w:bottom w:val="none" w:sz="0" w:space="0" w:color="auto"/>
        <w:right w:val="none" w:sz="0" w:space="0" w:color="auto"/>
      </w:divBdr>
    </w:div>
    <w:div w:id="391856181">
      <w:bodyDiv w:val="1"/>
      <w:marLeft w:val="0"/>
      <w:marRight w:val="0"/>
      <w:marTop w:val="0"/>
      <w:marBottom w:val="0"/>
      <w:divBdr>
        <w:top w:val="none" w:sz="0" w:space="0" w:color="auto"/>
        <w:left w:val="none" w:sz="0" w:space="0" w:color="auto"/>
        <w:bottom w:val="none" w:sz="0" w:space="0" w:color="auto"/>
        <w:right w:val="none" w:sz="0" w:space="0" w:color="auto"/>
      </w:divBdr>
    </w:div>
    <w:div w:id="393505068">
      <w:bodyDiv w:val="1"/>
      <w:marLeft w:val="0"/>
      <w:marRight w:val="0"/>
      <w:marTop w:val="0"/>
      <w:marBottom w:val="0"/>
      <w:divBdr>
        <w:top w:val="none" w:sz="0" w:space="0" w:color="auto"/>
        <w:left w:val="none" w:sz="0" w:space="0" w:color="auto"/>
        <w:bottom w:val="none" w:sz="0" w:space="0" w:color="auto"/>
        <w:right w:val="none" w:sz="0" w:space="0" w:color="auto"/>
      </w:divBdr>
    </w:div>
    <w:div w:id="411703972">
      <w:bodyDiv w:val="1"/>
      <w:marLeft w:val="0"/>
      <w:marRight w:val="0"/>
      <w:marTop w:val="0"/>
      <w:marBottom w:val="0"/>
      <w:divBdr>
        <w:top w:val="none" w:sz="0" w:space="0" w:color="auto"/>
        <w:left w:val="none" w:sz="0" w:space="0" w:color="auto"/>
        <w:bottom w:val="none" w:sz="0" w:space="0" w:color="auto"/>
        <w:right w:val="none" w:sz="0" w:space="0" w:color="auto"/>
      </w:divBdr>
    </w:div>
    <w:div w:id="417676003">
      <w:bodyDiv w:val="1"/>
      <w:marLeft w:val="0"/>
      <w:marRight w:val="0"/>
      <w:marTop w:val="0"/>
      <w:marBottom w:val="0"/>
      <w:divBdr>
        <w:top w:val="none" w:sz="0" w:space="0" w:color="auto"/>
        <w:left w:val="none" w:sz="0" w:space="0" w:color="auto"/>
        <w:bottom w:val="none" w:sz="0" w:space="0" w:color="auto"/>
        <w:right w:val="none" w:sz="0" w:space="0" w:color="auto"/>
      </w:divBdr>
    </w:div>
    <w:div w:id="419183860">
      <w:bodyDiv w:val="1"/>
      <w:marLeft w:val="0"/>
      <w:marRight w:val="0"/>
      <w:marTop w:val="0"/>
      <w:marBottom w:val="0"/>
      <w:divBdr>
        <w:top w:val="none" w:sz="0" w:space="0" w:color="auto"/>
        <w:left w:val="none" w:sz="0" w:space="0" w:color="auto"/>
        <w:bottom w:val="none" w:sz="0" w:space="0" w:color="auto"/>
        <w:right w:val="none" w:sz="0" w:space="0" w:color="auto"/>
      </w:divBdr>
    </w:div>
    <w:div w:id="424303823">
      <w:bodyDiv w:val="1"/>
      <w:marLeft w:val="0"/>
      <w:marRight w:val="0"/>
      <w:marTop w:val="0"/>
      <w:marBottom w:val="0"/>
      <w:divBdr>
        <w:top w:val="none" w:sz="0" w:space="0" w:color="auto"/>
        <w:left w:val="none" w:sz="0" w:space="0" w:color="auto"/>
        <w:bottom w:val="none" w:sz="0" w:space="0" w:color="auto"/>
        <w:right w:val="none" w:sz="0" w:space="0" w:color="auto"/>
      </w:divBdr>
    </w:div>
    <w:div w:id="433205530">
      <w:bodyDiv w:val="1"/>
      <w:marLeft w:val="0"/>
      <w:marRight w:val="0"/>
      <w:marTop w:val="0"/>
      <w:marBottom w:val="0"/>
      <w:divBdr>
        <w:top w:val="none" w:sz="0" w:space="0" w:color="auto"/>
        <w:left w:val="none" w:sz="0" w:space="0" w:color="auto"/>
        <w:bottom w:val="none" w:sz="0" w:space="0" w:color="auto"/>
        <w:right w:val="none" w:sz="0" w:space="0" w:color="auto"/>
      </w:divBdr>
    </w:div>
    <w:div w:id="456529637">
      <w:bodyDiv w:val="1"/>
      <w:marLeft w:val="0"/>
      <w:marRight w:val="0"/>
      <w:marTop w:val="0"/>
      <w:marBottom w:val="0"/>
      <w:divBdr>
        <w:top w:val="none" w:sz="0" w:space="0" w:color="auto"/>
        <w:left w:val="none" w:sz="0" w:space="0" w:color="auto"/>
        <w:bottom w:val="none" w:sz="0" w:space="0" w:color="auto"/>
        <w:right w:val="none" w:sz="0" w:space="0" w:color="auto"/>
      </w:divBdr>
    </w:div>
    <w:div w:id="457142152">
      <w:bodyDiv w:val="1"/>
      <w:marLeft w:val="0"/>
      <w:marRight w:val="0"/>
      <w:marTop w:val="0"/>
      <w:marBottom w:val="0"/>
      <w:divBdr>
        <w:top w:val="none" w:sz="0" w:space="0" w:color="auto"/>
        <w:left w:val="none" w:sz="0" w:space="0" w:color="auto"/>
        <w:bottom w:val="none" w:sz="0" w:space="0" w:color="auto"/>
        <w:right w:val="none" w:sz="0" w:space="0" w:color="auto"/>
      </w:divBdr>
    </w:div>
    <w:div w:id="459685809">
      <w:bodyDiv w:val="1"/>
      <w:marLeft w:val="0"/>
      <w:marRight w:val="0"/>
      <w:marTop w:val="0"/>
      <w:marBottom w:val="0"/>
      <w:divBdr>
        <w:top w:val="none" w:sz="0" w:space="0" w:color="auto"/>
        <w:left w:val="none" w:sz="0" w:space="0" w:color="auto"/>
        <w:bottom w:val="none" w:sz="0" w:space="0" w:color="auto"/>
        <w:right w:val="none" w:sz="0" w:space="0" w:color="auto"/>
      </w:divBdr>
    </w:div>
    <w:div w:id="461729600">
      <w:bodyDiv w:val="1"/>
      <w:marLeft w:val="0"/>
      <w:marRight w:val="0"/>
      <w:marTop w:val="0"/>
      <w:marBottom w:val="0"/>
      <w:divBdr>
        <w:top w:val="none" w:sz="0" w:space="0" w:color="auto"/>
        <w:left w:val="none" w:sz="0" w:space="0" w:color="auto"/>
        <w:bottom w:val="none" w:sz="0" w:space="0" w:color="auto"/>
        <w:right w:val="none" w:sz="0" w:space="0" w:color="auto"/>
      </w:divBdr>
    </w:div>
    <w:div w:id="462238643">
      <w:bodyDiv w:val="1"/>
      <w:marLeft w:val="0"/>
      <w:marRight w:val="0"/>
      <w:marTop w:val="0"/>
      <w:marBottom w:val="0"/>
      <w:divBdr>
        <w:top w:val="none" w:sz="0" w:space="0" w:color="auto"/>
        <w:left w:val="none" w:sz="0" w:space="0" w:color="auto"/>
        <w:bottom w:val="none" w:sz="0" w:space="0" w:color="auto"/>
        <w:right w:val="none" w:sz="0" w:space="0" w:color="auto"/>
      </w:divBdr>
    </w:div>
    <w:div w:id="464084166">
      <w:bodyDiv w:val="1"/>
      <w:marLeft w:val="0"/>
      <w:marRight w:val="0"/>
      <w:marTop w:val="0"/>
      <w:marBottom w:val="0"/>
      <w:divBdr>
        <w:top w:val="none" w:sz="0" w:space="0" w:color="auto"/>
        <w:left w:val="none" w:sz="0" w:space="0" w:color="auto"/>
        <w:bottom w:val="none" w:sz="0" w:space="0" w:color="auto"/>
        <w:right w:val="none" w:sz="0" w:space="0" w:color="auto"/>
      </w:divBdr>
    </w:div>
    <w:div w:id="464740236">
      <w:bodyDiv w:val="1"/>
      <w:marLeft w:val="0"/>
      <w:marRight w:val="0"/>
      <w:marTop w:val="0"/>
      <w:marBottom w:val="0"/>
      <w:divBdr>
        <w:top w:val="none" w:sz="0" w:space="0" w:color="auto"/>
        <w:left w:val="none" w:sz="0" w:space="0" w:color="auto"/>
        <w:bottom w:val="none" w:sz="0" w:space="0" w:color="auto"/>
        <w:right w:val="none" w:sz="0" w:space="0" w:color="auto"/>
      </w:divBdr>
    </w:div>
    <w:div w:id="468715227">
      <w:bodyDiv w:val="1"/>
      <w:marLeft w:val="0"/>
      <w:marRight w:val="0"/>
      <w:marTop w:val="0"/>
      <w:marBottom w:val="0"/>
      <w:divBdr>
        <w:top w:val="none" w:sz="0" w:space="0" w:color="auto"/>
        <w:left w:val="none" w:sz="0" w:space="0" w:color="auto"/>
        <w:bottom w:val="none" w:sz="0" w:space="0" w:color="auto"/>
        <w:right w:val="none" w:sz="0" w:space="0" w:color="auto"/>
      </w:divBdr>
    </w:div>
    <w:div w:id="471796362">
      <w:bodyDiv w:val="1"/>
      <w:marLeft w:val="0"/>
      <w:marRight w:val="0"/>
      <w:marTop w:val="0"/>
      <w:marBottom w:val="0"/>
      <w:divBdr>
        <w:top w:val="none" w:sz="0" w:space="0" w:color="auto"/>
        <w:left w:val="none" w:sz="0" w:space="0" w:color="auto"/>
        <w:bottom w:val="none" w:sz="0" w:space="0" w:color="auto"/>
        <w:right w:val="none" w:sz="0" w:space="0" w:color="auto"/>
      </w:divBdr>
    </w:div>
    <w:div w:id="476604119">
      <w:bodyDiv w:val="1"/>
      <w:marLeft w:val="0"/>
      <w:marRight w:val="0"/>
      <w:marTop w:val="0"/>
      <w:marBottom w:val="0"/>
      <w:divBdr>
        <w:top w:val="none" w:sz="0" w:space="0" w:color="auto"/>
        <w:left w:val="none" w:sz="0" w:space="0" w:color="auto"/>
        <w:bottom w:val="none" w:sz="0" w:space="0" w:color="auto"/>
        <w:right w:val="none" w:sz="0" w:space="0" w:color="auto"/>
      </w:divBdr>
    </w:div>
    <w:div w:id="477651749">
      <w:bodyDiv w:val="1"/>
      <w:marLeft w:val="0"/>
      <w:marRight w:val="0"/>
      <w:marTop w:val="0"/>
      <w:marBottom w:val="0"/>
      <w:divBdr>
        <w:top w:val="none" w:sz="0" w:space="0" w:color="auto"/>
        <w:left w:val="none" w:sz="0" w:space="0" w:color="auto"/>
        <w:bottom w:val="none" w:sz="0" w:space="0" w:color="auto"/>
        <w:right w:val="none" w:sz="0" w:space="0" w:color="auto"/>
      </w:divBdr>
    </w:div>
    <w:div w:id="481894407">
      <w:bodyDiv w:val="1"/>
      <w:marLeft w:val="0"/>
      <w:marRight w:val="0"/>
      <w:marTop w:val="0"/>
      <w:marBottom w:val="0"/>
      <w:divBdr>
        <w:top w:val="none" w:sz="0" w:space="0" w:color="auto"/>
        <w:left w:val="none" w:sz="0" w:space="0" w:color="auto"/>
        <w:bottom w:val="none" w:sz="0" w:space="0" w:color="auto"/>
        <w:right w:val="none" w:sz="0" w:space="0" w:color="auto"/>
      </w:divBdr>
    </w:div>
    <w:div w:id="483864026">
      <w:bodyDiv w:val="1"/>
      <w:marLeft w:val="0"/>
      <w:marRight w:val="0"/>
      <w:marTop w:val="0"/>
      <w:marBottom w:val="0"/>
      <w:divBdr>
        <w:top w:val="none" w:sz="0" w:space="0" w:color="auto"/>
        <w:left w:val="none" w:sz="0" w:space="0" w:color="auto"/>
        <w:bottom w:val="none" w:sz="0" w:space="0" w:color="auto"/>
        <w:right w:val="none" w:sz="0" w:space="0" w:color="auto"/>
      </w:divBdr>
    </w:div>
    <w:div w:id="486552031">
      <w:bodyDiv w:val="1"/>
      <w:marLeft w:val="0"/>
      <w:marRight w:val="0"/>
      <w:marTop w:val="0"/>
      <w:marBottom w:val="0"/>
      <w:divBdr>
        <w:top w:val="none" w:sz="0" w:space="0" w:color="auto"/>
        <w:left w:val="none" w:sz="0" w:space="0" w:color="auto"/>
        <w:bottom w:val="none" w:sz="0" w:space="0" w:color="auto"/>
        <w:right w:val="none" w:sz="0" w:space="0" w:color="auto"/>
      </w:divBdr>
    </w:div>
    <w:div w:id="494300499">
      <w:bodyDiv w:val="1"/>
      <w:marLeft w:val="0"/>
      <w:marRight w:val="0"/>
      <w:marTop w:val="0"/>
      <w:marBottom w:val="0"/>
      <w:divBdr>
        <w:top w:val="none" w:sz="0" w:space="0" w:color="auto"/>
        <w:left w:val="none" w:sz="0" w:space="0" w:color="auto"/>
        <w:bottom w:val="none" w:sz="0" w:space="0" w:color="auto"/>
        <w:right w:val="none" w:sz="0" w:space="0" w:color="auto"/>
      </w:divBdr>
      <w:divsChild>
        <w:div w:id="544948373">
          <w:marLeft w:val="0"/>
          <w:marRight w:val="0"/>
          <w:marTop w:val="0"/>
          <w:marBottom w:val="0"/>
          <w:divBdr>
            <w:top w:val="none" w:sz="0" w:space="0" w:color="auto"/>
            <w:left w:val="none" w:sz="0" w:space="0" w:color="auto"/>
            <w:bottom w:val="none" w:sz="0" w:space="0" w:color="auto"/>
            <w:right w:val="none" w:sz="0" w:space="0" w:color="auto"/>
          </w:divBdr>
        </w:div>
      </w:divsChild>
    </w:div>
    <w:div w:id="494879454">
      <w:bodyDiv w:val="1"/>
      <w:marLeft w:val="0"/>
      <w:marRight w:val="0"/>
      <w:marTop w:val="0"/>
      <w:marBottom w:val="0"/>
      <w:divBdr>
        <w:top w:val="none" w:sz="0" w:space="0" w:color="auto"/>
        <w:left w:val="none" w:sz="0" w:space="0" w:color="auto"/>
        <w:bottom w:val="none" w:sz="0" w:space="0" w:color="auto"/>
        <w:right w:val="none" w:sz="0" w:space="0" w:color="auto"/>
      </w:divBdr>
    </w:div>
    <w:div w:id="495191821">
      <w:bodyDiv w:val="1"/>
      <w:marLeft w:val="0"/>
      <w:marRight w:val="0"/>
      <w:marTop w:val="0"/>
      <w:marBottom w:val="0"/>
      <w:divBdr>
        <w:top w:val="none" w:sz="0" w:space="0" w:color="auto"/>
        <w:left w:val="none" w:sz="0" w:space="0" w:color="auto"/>
        <w:bottom w:val="none" w:sz="0" w:space="0" w:color="auto"/>
        <w:right w:val="none" w:sz="0" w:space="0" w:color="auto"/>
      </w:divBdr>
    </w:div>
    <w:div w:id="499777864">
      <w:bodyDiv w:val="1"/>
      <w:marLeft w:val="0"/>
      <w:marRight w:val="0"/>
      <w:marTop w:val="0"/>
      <w:marBottom w:val="0"/>
      <w:divBdr>
        <w:top w:val="none" w:sz="0" w:space="0" w:color="auto"/>
        <w:left w:val="none" w:sz="0" w:space="0" w:color="auto"/>
        <w:bottom w:val="none" w:sz="0" w:space="0" w:color="auto"/>
        <w:right w:val="none" w:sz="0" w:space="0" w:color="auto"/>
      </w:divBdr>
    </w:div>
    <w:div w:id="505100638">
      <w:bodyDiv w:val="1"/>
      <w:marLeft w:val="0"/>
      <w:marRight w:val="0"/>
      <w:marTop w:val="0"/>
      <w:marBottom w:val="0"/>
      <w:divBdr>
        <w:top w:val="none" w:sz="0" w:space="0" w:color="auto"/>
        <w:left w:val="none" w:sz="0" w:space="0" w:color="auto"/>
        <w:bottom w:val="none" w:sz="0" w:space="0" w:color="auto"/>
        <w:right w:val="none" w:sz="0" w:space="0" w:color="auto"/>
      </w:divBdr>
    </w:div>
    <w:div w:id="510803365">
      <w:bodyDiv w:val="1"/>
      <w:marLeft w:val="0"/>
      <w:marRight w:val="0"/>
      <w:marTop w:val="0"/>
      <w:marBottom w:val="0"/>
      <w:divBdr>
        <w:top w:val="none" w:sz="0" w:space="0" w:color="auto"/>
        <w:left w:val="none" w:sz="0" w:space="0" w:color="auto"/>
        <w:bottom w:val="none" w:sz="0" w:space="0" w:color="auto"/>
        <w:right w:val="none" w:sz="0" w:space="0" w:color="auto"/>
      </w:divBdr>
    </w:div>
    <w:div w:id="533614441">
      <w:bodyDiv w:val="1"/>
      <w:marLeft w:val="0"/>
      <w:marRight w:val="0"/>
      <w:marTop w:val="0"/>
      <w:marBottom w:val="0"/>
      <w:divBdr>
        <w:top w:val="none" w:sz="0" w:space="0" w:color="auto"/>
        <w:left w:val="none" w:sz="0" w:space="0" w:color="auto"/>
        <w:bottom w:val="none" w:sz="0" w:space="0" w:color="auto"/>
        <w:right w:val="none" w:sz="0" w:space="0" w:color="auto"/>
      </w:divBdr>
    </w:div>
    <w:div w:id="538711082">
      <w:bodyDiv w:val="1"/>
      <w:marLeft w:val="0"/>
      <w:marRight w:val="0"/>
      <w:marTop w:val="0"/>
      <w:marBottom w:val="0"/>
      <w:divBdr>
        <w:top w:val="none" w:sz="0" w:space="0" w:color="auto"/>
        <w:left w:val="none" w:sz="0" w:space="0" w:color="auto"/>
        <w:bottom w:val="none" w:sz="0" w:space="0" w:color="auto"/>
        <w:right w:val="none" w:sz="0" w:space="0" w:color="auto"/>
      </w:divBdr>
    </w:div>
    <w:div w:id="541554402">
      <w:bodyDiv w:val="1"/>
      <w:marLeft w:val="0"/>
      <w:marRight w:val="0"/>
      <w:marTop w:val="0"/>
      <w:marBottom w:val="0"/>
      <w:divBdr>
        <w:top w:val="none" w:sz="0" w:space="0" w:color="auto"/>
        <w:left w:val="none" w:sz="0" w:space="0" w:color="auto"/>
        <w:bottom w:val="none" w:sz="0" w:space="0" w:color="auto"/>
        <w:right w:val="none" w:sz="0" w:space="0" w:color="auto"/>
      </w:divBdr>
    </w:div>
    <w:div w:id="542861393">
      <w:bodyDiv w:val="1"/>
      <w:marLeft w:val="0"/>
      <w:marRight w:val="0"/>
      <w:marTop w:val="0"/>
      <w:marBottom w:val="0"/>
      <w:divBdr>
        <w:top w:val="none" w:sz="0" w:space="0" w:color="auto"/>
        <w:left w:val="none" w:sz="0" w:space="0" w:color="auto"/>
        <w:bottom w:val="none" w:sz="0" w:space="0" w:color="auto"/>
        <w:right w:val="none" w:sz="0" w:space="0" w:color="auto"/>
      </w:divBdr>
    </w:div>
    <w:div w:id="548691029">
      <w:bodyDiv w:val="1"/>
      <w:marLeft w:val="0"/>
      <w:marRight w:val="0"/>
      <w:marTop w:val="0"/>
      <w:marBottom w:val="0"/>
      <w:divBdr>
        <w:top w:val="none" w:sz="0" w:space="0" w:color="auto"/>
        <w:left w:val="none" w:sz="0" w:space="0" w:color="auto"/>
        <w:bottom w:val="none" w:sz="0" w:space="0" w:color="auto"/>
        <w:right w:val="none" w:sz="0" w:space="0" w:color="auto"/>
      </w:divBdr>
    </w:div>
    <w:div w:id="551041569">
      <w:bodyDiv w:val="1"/>
      <w:marLeft w:val="0"/>
      <w:marRight w:val="0"/>
      <w:marTop w:val="0"/>
      <w:marBottom w:val="0"/>
      <w:divBdr>
        <w:top w:val="none" w:sz="0" w:space="0" w:color="auto"/>
        <w:left w:val="none" w:sz="0" w:space="0" w:color="auto"/>
        <w:bottom w:val="none" w:sz="0" w:space="0" w:color="auto"/>
        <w:right w:val="none" w:sz="0" w:space="0" w:color="auto"/>
      </w:divBdr>
    </w:div>
    <w:div w:id="551576671">
      <w:bodyDiv w:val="1"/>
      <w:marLeft w:val="0"/>
      <w:marRight w:val="0"/>
      <w:marTop w:val="0"/>
      <w:marBottom w:val="0"/>
      <w:divBdr>
        <w:top w:val="none" w:sz="0" w:space="0" w:color="auto"/>
        <w:left w:val="none" w:sz="0" w:space="0" w:color="auto"/>
        <w:bottom w:val="none" w:sz="0" w:space="0" w:color="auto"/>
        <w:right w:val="none" w:sz="0" w:space="0" w:color="auto"/>
      </w:divBdr>
    </w:div>
    <w:div w:id="556283596">
      <w:bodyDiv w:val="1"/>
      <w:marLeft w:val="0"/>
      <w:marRight w:val="0"/>
      <w:marTop w:val="0"/>
      <w:marBottom w:val="0"/>
      <w:divBdr>
        <w:top w:val="none" w:sz="0" w:space="0" w:color="auto"/>
        <w:left w:val="none" w:sz="0" w:space="0" w:color="auto"/>
        <w:bottom w:val="none" w:sz="0" w:space="0" w:color="auto"/>
        <w:right w:val="none" w:sz="0" w:space="0" w:color="auto"/>
      </w:divBdr>
    </w:div>
    <w:div w:id="562523519">
      <w:bodyDiv w:val="1"/>
      <w:marLeft w:val="0"/>
      <w:marRight w:val="0"/>
      <w:marTop w:val="0"/>
      <w:marBottom w:val="0"/>
      <w:divBdr>
        <w:top w:val="none" w:sz="0" w:space="0" w:color="auto"/>
        <w:left w:val="none" w:sz="0" w:space="0" w:color="auto"/>
        <w:bottom w:val="none" w:sz="0" w:space="0" w:color="auto"/>
        <w:right w:val="none" w:sz="0" w:space="0" w:color="auto"/>
      </w:divBdr>
    </w:div>
    <w:div w:id="578058555">
      <w:bodyDiv w:val="1"/>
      <w:marLeft w:val="0"/>
      <w:marRight w:val="0"/>
      <w:marTop w:val="0"/>
      <w:marBottom w:val="0"/>
      <w:divBdr>
        <w:top w:val="none" w:sz="0" w:space="0" w:color="auto"/>
        <w:left w:val="none" w:sz="0" w:space="0" w:color="auto"/>
        <w:bottom w:val="none" w:sz="0" w:space="0" w:color="auto"/>
        <w:right w:val="none" w:sz="0" w:space="0" w:color="auto"/>
      </w:divBdr>
    </w:div>
    <w:div w:id="578559742">
      <w:bodyDiv w:val="1"/>
      <w:marLeft w:val="0"/>
      <w:marRight w:val="0"/>
      <w:marTop w:val="0"/>
      <w:marBottom w:val="0"/>
      <w:divBdr>
        <w:top w:val="none" w:sz="0" w:space="0" w:color="auto"/>
        <w:left w:val="none" w:sz="0" w:space="0" w:color="auto"/>
        <w:bottom w:val="none" w:sz="0" w:space="0" w:color="auto"/>
        <w:right w:val="none" w:sz="0" w:space="0" w:color="auto"/>
      </w:divBdr>
    </w:div>
    <w:div w:id="579217847">
      <w:bodyDiv w:val="1"/>
      <w:marLeft w:val="0"/>
      <w:marRight w:val="0"/>
      <w:marTop w:val="0"/>
      <w:marBottom w:val="0"/>
      <w:divBdr>
        <w:top w:val="none" w:sz="0" w:space="0" w:color="auto"/>
        <w:left w:val="none" w:sz="0" w:space="0" w:color="auto"/>
        <w:bottom w:val="none" w:sz="0" w:space="0" w:color="auto"/>
        <w:right w:val="none" w:sz="0" w:space="0" w:color="auto"/>
      </w:divBdr>
    </w:div>
    <w:div w:id="580216830">
      <w:bodyDiv w:val="1"/>
      <w:marLeft w:val="0"/>
      <w:marRight w:val="0"/>
      <w:marTop w:val="0"/>
      <w:marBottom w:val="0"/>
      <w:divBdr>
        <w:top w:val="none" w:sz="0" w:space="0" w:color="auto"/>
        <w:left w:val="none" w:sz="0" w:space="0" w:color="auto"/>
        <w:bottom w:val="none" w:sz="0" w:space="0" w:color="auto"/>
        <w:right w:val="none" w:sz="0" w:space="0" w:color="auto"/>
      </w:divBdr>
    </w:div>
    <w:div w:id="581180792">
      <w:bodyDiv w:val="1"/>
      <w:marLeft w:val="0"/>
      <w:marRight w:val="0"/>
      <w:marTop w:val="0"/>
      <w:marBottom w:val="0"/>
      <w:divBdr>
        <w:top w:val="none" w:sz="0" w:space="0" w:color="auto"/>
        <w:left w:val="none" w:sz="0" w:space="0" w:color="auto"/>
        <w:bottom w:val="none" w:sz="0" w:space="0" w:color="auto"/>
        <w:right w:val="none" w:sz="0" w:space="0" w:color="auto"/>
      </w:divBdr>
    </w:div>
    <w:div w:id="585380887">
      <w:bodyDiv w:val="1"/>
      <w:marLeft w:val="0"/>
      <w:marRight w:val="0"/>
      <w:marTop w:val="0"/>
      <w:marBottom w:val="0"/>
      <w:divBdr>
        <w:top w:val="none" w:sz="0" w:space="0" w:color="auto"/>
        <w:left w:val="none" w:sz="0" w:space="0" w:color="auto"/>
        <w:bottom w:val="none" w:sz="0" w:space="0" w:color="auto"/>
        <w:right w:val="none" w:sz="0" w:space="0" w:color="auto"/>
      </w:divBdr>
    </w:div>
    <w:div w:id="588125202">
      <w:bodyDiv w:val="1"/>
      <w:marLeft w:val="0"/>
      <w:marRight w:val="0"/>
      <w:marTop w:val="0"/>
      <w:marBottom w:val="0"/>
      <w:divBdr>
        <w:top w:val="none" w:sz="0" w:space="0" w:color="auto"/>
        <w:left w:val="none" w:sz="0" w:space="0" w:color="auto"/>
        <w:bottom w:val="none" w:sz="0" w:space="0" w:color="auto"/>
        <w:right w:val="none" w:sz="0" w:space="0" w:color="auto"/>
      </w:divBdr>
    </w:div>
    <w:div w:id="597063253">
      <w:bodyDiv w:val="1"/>
      <w:marLeft w:val="0"/>
      <w:marRight w:val="0"/>
      <w:marTop w:val="0"/>
      <w:marBottom w:val="0"/>
      <w:divBdr>
        <w:top w:val="none" w:sz="0" w:space="0" w:color="auto"/>
        <w:left w:val="none" w:sz="0" w:space="0" w:color="auto"/>
        <w:bottom w:val="none" w:sz="0" w:space="0" w:color="auto"/>
        <w:right w:val="none" w:sz="0" w:space="0" w:color="auto"/>
      </w:divBdr>
    </w:div>
    <w:div w:id="600914447">
      <w:bodyDiv w:val="1"/>
      <w:marLeft w:val="0"/>
      <w:marRight w:val="0"/>
      <w:marTop w:val="0"/>
      <w:marBottom w:val="0"/>
      <w:divBdr>
        <w:top w:val="none" w:sz="0" w:space="0" w:color="auto"/>
        <w:left w:val="none" w:sz="0" w:space="0" w:color="auto"/>
        <w:bottom w:val="none" w:sz="0" w:space="0" w:color="auto"/>
        <w:right w:val="none" w:sz="0" w:space="0" w:color="auto"/>
      </w:divBdr>
      <w:divsChild>
        <w:div w:id="531039453">
          <w:marLeft w:val="0"/>
          <w:marRight w:val="0"/>
          <w:marTop w:val="0"/>
          <w:marBottom w:val="0"/>
          <w:divBdr>
            <w:top w:val="none" w:sz="0" w:space="0" w:color="auto"/>
            <w:left w:val="none" w:sz="0" w:space="0" w:color="auto"/>
            <w:bottom w:val="none" w:sz="0" w:space="0" w:color="auto"/>
            <w:right w:val="none" w:sz="0" w:space="0" w:color="auto"/>
          </w:divBdr>
        </w:div>
      </w:divsChild>
    </w:div>
    <w:div w:id="602037011">
      <w:bodyDiv w:val="1"/>
      <w:marLeft w:val="0"/>
      <w:marRight w:val="0"/>
      <w:marTop w:val="0"/>
      <w:marBottom w:val="0"/>
      <w:divBdr>
        <w:top w:val="none" w:sz="0" w:space="0" w:color="auto"/>
        <w:left w:val="none" w:sz="0" w:space="0" w:color="auto"/>
        <w:bottom w:val="none" w:sz="0" w:space="0" w:color="auto"/>
        <w:right w:val="none" w:sz="0" w:space="0" w:color="auto"/>
      </w:divBdr>
    </w:div>
    <w:div w:id="603002452">
      <w:bodyDiv w:val="1"/>
      <w:marLeft w:val="0"/>
      <w:marRight w:val="0"/>
      <w:marTop w:val="0"/>
      <w:marBottom w:val="0"/>
      <w:divBdr>
        <w:top w:val="none" w:sz="0" w:space="0" w:color="auto"/>
        <w:left w:val="none" w:sz="0" w:space="0" w:color="auto"/>
        <w:bottom w:val="none" w:sz="0" w:space="0" w:color="auto"/>
        <w:right w:val="none" w:sz="0" w:space="0" w:color="auto"/>
      </w:divBdr>
    </w:div>
    <w:div w:id="610209569">
      <w:bodyDiv w:val="1"/>
      <w:marLeft w:val="0"/>
      <w:marRight w:val="0"/>
      <w:marTop w:val="0"/>
      <w:marBottom w:val="0"/>
      <w:divBdr>
        <w:top w:val="none" w:sz="0" w:space="0" w:color="auto"/>
        <w:left w:val="none" w:sz="0" w:space="0" w:color="auto"/>
        <w:bottom w:val="none" w:sz="0" w:space="0" w:color="auto"/>
        <w:right w:val="none" w:sz="0" w:space="0" w:color="auto"/>
      </w:divBdr>
    </w:div>
    <w:div w:id="612174929">
      <w:bodyDiv w:val="1"/>
      <w:marLeft w:val="0"/>
      <w:marRight w:val="0"/>
      <w:marTop w:val="0"/>
      <w:marBottom w:val="0"/>
      <w:divBdr>
        <w:top w:val="none" w:sz="0" w:space="0" w:color="auto"/>
        <w:left w:val="none" w:sz="0" w:space="0" w:color="auto"/>
        <w:bottom w:val="none" w:sz="0" w:space="0" w:color="auto"/>
        <w:right w:val="none" w:sz="0" w:space="0" w:color="auto"/>
      </w:divBdr>
    </w:div>
    <w:div w:id="613054872">
      <w:bodyDiv w:val="1"/>
      <w:marLeft w:val="0"/>
      <w:marRight w:val="0"/>
      <w:marTop w:val="0"/>
      <w:marBottom w:val="0"/>
      <w:divBdr>
        <w:top w:val="none" w:sz="0" w:space="0" w:color="auto"/>
        <w:left w:val="none" w:sz="0" w:space="0" w:color="auto"/>
        <w:bottom w:val="none" w:sz="0" w:space="0" w:color="auto"/>
        <w:right w:val="none" w:sz="0" w:space="0" w:color="auto"/>
      </w:divBdr>
    </w:div>
    <w:div w:id="613638492">
      <w:bodyDiv w:val="1"/>
      <w:marLeft w:val="0"/>
      <w:marRight w:val="0"/>
      <w:marTop w:val="0"/>
      <w:marBottom w:val="0"/>
      <w:divBdr>
        <w:top w:val="none" w:sz="0" w:space="0" w:color="auto"/>
        <w:left w:val="none" w:sz="0" w:space="0" w:color="auto"/>
        <w:bottom w:val="none" w:sz="0" w:space="0" w:color="auto"/>
        <w:right w:val="none" w:sz="0" w:space="0" w:color="auto"/>
      </w:divBdr>
    </w:div>
    <w:div w:id="621688901">
      <w:bodyDiv w:val="1"/>
      <w:marLeft w:val="0"/>
      <w:marRight w:val="0"/>
      <w:marTop w:val="0"/>
      <w:marBottom w:val="0"/>
      <w:divBdr>
        <w:top w:val="none" w:sz="0" w:space="0" w:color="auto"/>
        <w:left w:val="none" w:sz="0" w:space="0" w:color="auto"/>
        <w:bottom w:val="none" w:sz="0" w:space="0" w:color="auto"/>
        <w:right w:val="none" w:sz="0" w:space="0" w:color="auto"/>
      </w:divBdr>
    </w:div>
    <w:div w:id="624310411">
      <w:bodyDiv w:val="1"/>
      <w:marLeft w:val="0"/>
      <w:marRight w:val="0"/>
      <w:marTop w:val="0"/>
      <w:marBottom w:val="0"/>
      <w:divBdr>
        <w:top w:val="none" w:sz="0" w:space="0" w:color="auto"/>
        <w:left w:val="none" w:sz="0" w:space="0" w:color="auto"/>
        <w:bottom w:val="none" w:sz="0" w:space="0" w:color="auto"/>
        <w:right w:val="none" w:sz="0" w:space="0" w:color="auto"/>
      </w:divBdr>
    </w:div>
    <w:div w:id="625350829">
      <w:bodyDiv w:val="1"/>
      <w:marLeft w:val="0"/>
      <w:marRight w:val="0"/>
      <w:marTop w:val="0"/>
      <w:marBottom w:val="0"/>
      <w:divBdr>
        <w:top w:val="none" w:sz="0" w:space="0" w:color="auto"/>
        <w:left w:val="none" w:sz="0" w:space="0" w:color="auto"/>
        <w:bottom w:val="none" w:sz="0" w:space="0" w:color="auto"/>
        <w:right w:val="none" w:sz="0" w:space="0" w:color="auto"/>
      </w:divBdr>
    </w:div>
    <w:div w:id="644360734">
      <w:bodyDiv w:val="1"/>
      <w:marLeft w:val="0"/>
      <w:marRight w:val="0"/>
      <w:marTop w:val="0"/>
      <w:marBottom w:val="0"/>
      <w:divBdr>
        <w:top w:val="none" w:sz="0" w:space="0" w:color="auto"/>
        <w:left w:val="none" w:sz="0" w:space="0" w:color="auto"/>
        <w:bottom w:val="none" w:sz="0" w:space="0" w:color="auto"/>
        <w:right w:val="none" w:sz="0" w:space="0" w:color="auto"/>
      </w:divBdr>
    </w:div>
    <w:div w:id="651442913">
      <w:bodyDiv w:val="1"/>
      <w:marLeft w:val="0"/>
      <w:marRight w:val="0"/>
      <w:marTop w:val="0"/>
      <w:marBottom w:val="0"/>
      <w:divBdr>
        <w:top w:val="none" w:sz="0" w:space="0" w:color="auto"/>
        <w:left w:val="none" w:sz="0" w:space="0" w:color="auto"/>
        <w:bottom w:val="none" w:sz="0" w:space="0" w:color="auto"/>
        <w:right w:val="none" w:sz="0" w:space="0" w:color="auto"/>
      </w:divBdr>
    </w:div>
    <w:div w:id="660348121">
      <w:bodyDiv w:val="1"/>
      <w:marLeft w:val="0"/>
      <w:marRight w:val="0"/>
      <w:marTop w:val="0"/>
      <w:marBottom w:val="0"/>
      <w:divBdr>
        <w:top w:val="none" w:sz="0" w:space="0" w:color="auto"/>
        <w:left w:val="none" w:sz="0" w:space="0" w:color="auto"/>
        <w:bottom w:val="none" w:sz="0" w:space="0" w:color="auto"/>
        <w:right w:val="none" w:sz="0" w:space="0" w:color="auto"/>
      </w:divBdr>
    </w:div>
    <w:div w:id="662006359">
      <w:bodyDiv w:val="1"/>
      <w:marLeft w:val="0"/>
      <w:marRight w:val="0"/>
      <w:marTop w:val="0"/>
      <w:marBottom w:val="0"/>
      <w:divBdr>
        <w:top w:val="none" w:sz="0" w:space="0" w:color="auto"/>
        <w:left w:val="none" w:sz="0" w:space="0" w:color="auto"/>
        <w:bottom w:val="none" w:sz="0" w:space="0" w:color="auto"/>
        <w:right w:val="none" w:sz="0" w:space="0" w:color="auto"/>
      </w:divBdr>
    </w:div>
    <w:div w:id="663359623">
      <w:bodyDiv w:val="1"/>
      <w:marLeft w:val="0"/>
      <w:marRight w:val="0"/>
      <w:marTop w:val="0"/>
      <w:marBottom w:val="0"/>
      <w:divBdr>
        <w:top w:val="none" w:sz="0" w:space="0" w:color="auto"/>
        <w:left w:val="none" w:sz="0" w:space="0" w:color="auto"/>
        <w:bottom w:val="none" w:sz="0" w:space="0" w:color="auto"/>
        <w:right w:val="none" w:sz="0" w:space="0" w:color="auto"/>
      </w:divBdr>
    </w:div>
    <w:div w:id="665212521">
      <w:bodyDiv w:val="1"/>
      <w:marLeft w:val="0"/>
      <w:marRight w:val="0"/>
      <w:marTop w:val="0"/>
      <w:marBottom w:val="0"/>
      <w:divBdr>
        <w:top w:val="none" w:sz="0" w:space="0" w:color="auto"/>
        <w:left w:val="none" w:sz="0" w:space="0" w:color="auto"/>
        <w:bottom w:val="none" w:sz="0" w:space="0" w:color="auto"/>
        <w:right w:val="none" w:sz="0" w:space="0" w:color="auto"/>
      </w:divBdr>
    </w:div>
    <w:div w:id="669452680">
      <w:bodyDiv w:val="1"/>
      <w:marLeft w:val="0"/>
      <w:marRight w:val="0"/>
      <w:marTop w:val="0"/>
      <w:marBottom w:val="0"/>
      <w:divBdr>
        <w:top w:val="none" w:sz="0" w:space="0" w:color="auto"/>
        <w:left w:val="none" w:sz="0" w:space="0" w:color="auto"/>
        <w:bottom w:val="none" w:sz="0" w:space="0" w:color="auto"/>
        <w:right w:val="none" w:sz="0" w:space="0" w:color="auto"/>
      </w:divBdr>
    </w:div>
    <w:div w:id="669911900">
      <w:bodyDiv w:val="1"/>
      <w:marLeft w:val="0"/>
      <w:marRight w:val="0"/>
      <w:marTop w:val="0"/>
      <w:marBottom w:val="0"/>
      <w:divBdr>
        <w:top w:val="none" w:sz="0" w:space="0" w:color="auto"/>
        <w:left w:val="none" w:sz="0" w:space="0" w:color="auto"/>
        <w:bottom w:val="none" w:sz="0" w:space="0" w:color="auto"/>
        <w:right w:val="none" w:sz="0" w:space="0" w:color="auto"/>
      </w:divBdr>
    </w:div>
    <w:div w:id="674109649">
      <w:bodyDiv w:val="1"/>
      <w:marLeft w:val="0"/>
      <w:marRight w:val="0"/>
      <w:marTop w:val="0"/>
      <w:marBottom w:val="0"/>
      <w:divBdr>
        <w:top w:val="none" w:sz="0" w:space="0" w:color="auto"/>
        <w:left w:val="none" w:sz="0" w:space="0" w:color="auto"/>
        <w:bottom w:val="none" w:sz="0" w:space="0" w:color="auto"/>
        <w:right w:val="none" w:sz="0" w:space="0" w:color="auto"/>
      </w:divBdr>
    </w:div>
    <w:div w:id="684596319">
      <w:bodyDiv w:val="1"/>
      <w:marLeft w:val="0"/>
      <w:marRight w:val="0"/>
      <w:marTop w:val="0"/>
      <w:marBottom w:val="0"/>
      <w:divBdr>
        <w:top w:val="none" w:sz="0" w:space="0" w:color="auto"/>
        <w:left w:val="none" w:sz="0" w:space="0" w:color="auto"/>
        <w:bottom w:val="none" w:sz="0" w:space="0" w:color="auto"/>
        <w:right w:val="none" w:sz="0" w:space="0" w:color="auto"/>
      </w:divBdr>
    </w:div>
    <w:div w:id="685639751">
      <w:bodyDiv w:val="1"/>
      <w:marLeft w:val="0"/>
      <w:marRight w:val="0"/>
      <w:marTop w:val="0"/>
      <w:marBottom w:val="0"/>
      <w:divBdr>
        <w:top w:val="none" w:sz="0" w:space="0" w:color="auto"/>
        <w:left w:val="none" w:sz="0" w:space="0" w:color="auto"/>
        <w:bottom w:val="none" w:sz="0" w:space="0" w:color="auto"/>
        <w:right w:val="none" w:sz="0" w:space="0" w:color="auto"/>
      </w:divBdr>
    </w:div>
    <w:div w:id="688872841">
      <w:bodyDiv w:val="1"/>
      <w:marLeft w:val="0"/>
      <w:marRight w:val="0"/>
      <w:marTop w:val="0"/>
      <w:marBottom w:val="0"/>
      <w:divBdr>
        <w:top w:val="none" w:sz="0" w:space="0" w:color="auto"/>
        <w:left w:val="none" w:sz="0" w:space="0" w:color="auto"/>
        <w:bottom w:val="none" w:sz="0" w:space="0" w:color="auto"/>
        <w:right w:val="none" w:sz="0" w:space="0" w:color="auto"/>
      </w:divBdr>
    </w:div>
    <w:div w:id="691296106">
      <w:bodyDiv w:val="1"/>
      <w:marLeft w:val="0"/>
      <w:marRight w:val="0"/>
      <w:marTop w:val="0"/>
      <w:marBottom w:val="0"/>
      <w:divBdr>
        <w:top w:val="none" w:sz="0" w:space="0" w:color="auto"/>
        <w:left w:val="none" w:sz="0" w:space="0" w:color="auto"/>
        <w:bottom w:val="none" w:sz="0" w:space="0" w:color="auto"/>
        <w:right w:val="none" w:sz="0" w:space="0" w:color="auto"/>
      </w:divBdr>
    </w:div>
    <w:div w:id="693120371">
      <w:bodyDiv w:val="1"/>
      <w:marLeft w:val="0"/>
      <w:marRight w:val="0"/>
      <w:marTop w:val="0"/>
      <w:marBottom w:val="0"/>
      <w:divBdr>
        <w:top w:val="none" w:sz="0" w:space="0" w:color="auto"/>
        <w:left w:val="none" w:sz="0" w:space="0" w:color="auto"/>
        <w:bottom w:val="none" w:sz="0" w:space="0" w:color="auto"/>
        <w:right w:val="none" w:sz="0" w:space="0" w:color="auto"/>
      </w:divBdr>
    </w:div>
    <w:div w:id="696662442">
      <w:bodyDiv w:val="1"/>
      <w:marLeft w:val="0"/>
      <w:marRight w:val="0"/>
      <w:marTop w:val="0"/>
      <w:marBottom w:val="0"/>
      <w:divBdr>
        <w:top w:val="none" w:sz="0" w:space="0" w:color="auto"/>
        <w:left w:val="none" w:sz="0" w:space="0" w:color="auto"/>
        <w:bottom w:val="none" w:sz="0" w:space="0" w:color="auto"/>
        <w:right w:val="none" w:sz="0" w:space="0" w:color="auto"/>
      </w:divBdr>
    </w:div>
    <w:div w:id="698705411">
      <w:bodyDiv w:val="1"/>
      <w:marLeft w:val="0"/>
      <w:marRight w:val="0"/>
      <w:marTop w:val="0"/>
      <w:marBottom w:val="0"/>
      <w:divBdr>
        <w:top w:val="none" w:sz="0" w:space="0" w:color="auto"/>
        <w:left w:val="none" w:sz="0" w:space="0" w:color="auto"/>
        <w:bottom w:val="none" w:sz="0" w:space="0" w:color="auto"/>
        <w:right w:val="none" w:sz="0" w:space="0" w:color="auto"/>
      </w:divBdr>
    </w:div>
    <w:div w:id="704906067">
      <w:bodyDiv w:val="1"/>
      <w:marLeft w:val="0"/>
      <w:marRight w:val="0"/>
      <w:marTop w:val="0"/>
      <w:marBottom w:val="0"/>
      <w:divBdr>
        <w:top w:val="none" w:sz="0" w:space="0" w:color="auto"/>
        <w:left w:val="none" w:sz="0" w:space="0" w:color="auto"/>
        <w:bottom w:val="none" w:sz="0" w:space="0" w:color="auto"/>
        <w:right w:val="none" w:sz="0" w:space="0" w:color="auto"/>
      </w:divBdr>
    </w:div>
    <w:div w:id="705373087">
      <w:bodyDiv w:val="1"/>
      <w:marLeft w:val="0"/>
      <w:marRight w:val="0"/>
      <w:marTop w:val="0"/>
      <w:marBottom w:val="0"/>
      <w:divBdr>
        <w:top w:val="none" w:sz="0" w:space="0" w:color="auto"/>
        <w:left w:val="none" w:sz="0" w:space="0" w:color="auto"/>
        <w:bottom w:val="none" w:sz="0" w:space="0" w:color="auto"/>
        <w:right w:val="none" w:sz="0" w:space="0" w:color="auto"/>
      </w:divBdr>
    </w:div>
    <w:div w:id="706949878">
      <w:bodyDiv w:val="1"/>
      <w:marLeft w:val="0"/>
      <w:marRight w:val="0"/>
      <w:marTop w:val="0"/>
      <w:marBottom w:val="0"/>
      <w:divBdr>
        <w:top w:val="none" w:sz="0" w:space="0" w:color="auto"/>
        <w:left w:val="none" w:sz="0" w:space="0" w:color="auto"/>
        <w:bottom w:val="none" w:sz="0" w:space="0" w:color="auto"/>
        <w:right w:val="none" w:sz="0" w:space="0" w:color="auto"/>
      </w:divBdr>
    </w:div>
    <w:div w:id="712539855">
      <w:bodyDiv w:val="1"/>
      <w:marLeft w:val="0"/>
      <w:marRight w:val="0"/>
      <w:marTop w:val="0"/>
      <w:marBottom w:val="0"/>
      <w:divBdr>
        <w:top w:val="none" w:sz="0" w:space="0" w:color="auto"/>
        <w:left w:val="none" w:sz="0" w:space="0" w:color="auto"/>
        <w:bottom w:val="none" w:sz="0" w:space="0" w:color="auto"/>
        <w:right w:val="none" w:sz="0" w:space="0" w:color="auto"/>
      </w:divBdr>
    </w:div>
    <w:div w:id="717320573">
      <w:bodyDiv w:val="1"/>
      <w:marLeft w:val="0"/>
      <w:marRight w:val="0"/>
      <w:marTop w:val="0"/>
      <w:marBottom w:val="0"/>
      <w:divBdr>
        <w:top w:val="none" w:sz="0" w:space="0" w:color="auto"/>
        <w:left w:val="none" w:sz="0" w:space="0" w:color="auto"/>
        <w:bottom w:val="none" w:sz="0" w:space="0" w:color="auto"/>
        <w:right w:val="none" w:sz="0" w:space="0" w:color="auto"/>
      </w:divBdr>
    </w:div>
    <w:div w:id="723069655">
      <w:bodyDiv w:val="1"/>
      <w:marLeft w:val="0"/>
      <w:marRight w:val="0"/>
      <w:marTop w:val="0"/>
      <w:marBottom w:val="0"/>
      <w:divBdr>
        <w:top w:val="none" w:sz="0" w:space="0" w:color="auto"/>
        <w:left w:val="none" w:sz="0" w:space="0" w:color="auto"/>
        <w:bottom w:val="none" w:sz="0" w:space="0" w:color="auto"/>
        <w:right w:val="none" w:sz="0" w:space="0" w:color="auto"/>
      </w:divBdr>
    </w:div>
    <w:div w:id="723143952">
      <w:bodyDiv w:val="1"/>
      <w:marLeft w:val="0"/>
      <w:marRight w:val="0"/>
      <w:marTop w:val="0"/>
      <w:marBottom w:val="0"/>
      <w:divBdr>
        <w:top w:val="none" w:sz="0" w:space="0" w:color="auto"/>
        <w:left w:val="none" w:sz="0" w:space="0" w:color="auto"/>
        <w:bottom w:val="none" w:sz="0" w:space="0" w:color="auto"/>
        <w:right w:val="none" w:sz="0" w:space="0" w:color="auto"/>
      </w:divBdr>
    </w:div>
    <w:div w:id="731000574">
      <w:bodyDiv w:val="1"/>
      <w:marLeft w:val="0"/>
      <w:marRight w:val="0"/>
      <w:marTop w:val="0"/>
      <w:marBottom w:val="0"/>
      <w:divBdr>
        <w:top w:val="none" w:sz="0" w:space="0" w:color="auto"/>
        <w:left w:val="none" w:sz="0" w:space="0" w:color="auto"/>
        <w:bottom w:val="none" w:sz="0" w:space="0" w:color="auto"/>
        <w:right w:val="none" w:sz="0" w:space="0" w:color="auto"/>
      </w:divBdr>
    </w:div>
    <w:div w:id="735471427">
      <w:bodyDiv w:val="1"/>
      <w:marLeft w:val="0"/>
      <w:marRight w:val="0"/>
      <w:marTop w:val="0"/>
      <w:marBottom w:val="0"/>
      <w:divBdr>
        <w:top w:val="none" w:sz="0" w:space="0" w:color="auto"/>
        <w:left w:val="none" w:sz="0" w:space="0" w:color="auto"/>
        <w:bottom w:val="none" w:sz="0" w:space="0" w:color="auto"/>
        <w:right w:val="none" w:sz="0" w:space="0" w:color="auto"/>
      </w:divBdr>
    </w:div>
    <w:div w:id="736589718">
      <w:bodyDiv w:val="1"/>
      <w:marLeft w:val="0"/>
      <w:marRight w:val="0"/>
      <w:marTop w:val="0"/>
      <w:marBottom w:val="0"/>
      <w:divBdr>
        <w:top w:val="none" w:sz="0" w:space="0" w:color="auto"/>
        <w:left w:val="none" w:sz="0" w:space="0" w:color="auto"/>
        <w:bottom w:val="none" w:sz="0" w:space="0" w:color="auto"/>
        <w:right w:val="none" w:sz="0" w:space="0" w:color="auto"/>
      </w:divBdr>
    </w:div>
    <w:div w:id="740297031">
      <w:bodyDiv w:val="1"/>
      <w:marLeft w:val="0"/>
      <w:marRight w:val="0"/>
      <w:marTop w:val="0"/>
      <w:marBottom w:val="0"/>
      <w:divBdr>
        <w:top w:val="none" w:sz="0" w:space="0" w:color="auto"/>
        <w:left w:val="none" w:sz="0" w:space="0" w:color="auto"/>
        <w:bottom w:val="none" w:sz="0" w:space="0" w:color="auto"/>
        <w:right w:val="none" w:sz="0" w:space="0" w:color="auto"/>
      </w:divBdr>
    </w:div>
    <w:div w:id="740832521">
      <w:bodyDiv w:val="1"/>
      <w:marLeft w:val="0"/>
      <w:marRight w:val="0"/>
      <w:marTop w:val="0"/>
      <w:marBottom w:val="0"/>
      <w:divBdr>
        <w:top w:val="none" w:sz="0" w:space="0" w:color="auto"/>
        <w:left w:val="none" w:sz="0" w:space="0" w:color="auto"/>
        <w:bottom w:val="none" w:sz="0" w:space="0" w:color="auto"/>
        <w:right w:val="none" w:sz="0" w:space="0" w:color="auto"/>
      </w:divBdr>
    </w:div>
    <w:div w:id="743769812">
      <w:bodyDiv w:val="1"/>
      <w:marLeft w:val="0"/>
      <w:marRight w:val="0"/>
      <w:marTop w:val="0"/>
      <w:marBottom w:val="0"/>
      <w:divBdr>
        <w:top w:val="none" w:sz="0" w:space="0" w:color="auto"/>
        <w:left w:val="none" w:sz="0" w:space="0" w:color="auto"/>
        <w:bottom w:val="none" w:sz="0" w:space="0" w:color="auto"/>
        <w:right w:val="none" w:sz="0" w:space="0" w:color="auto"/>
      </w:divBdr>
    </w:div>
    <w:div w:id="748384169">
      <w:bodyDiv w:val="1"/>
      <w:marLeft w:val="0"/>
      <w:marRight w:val="0"/>
      <w:marTop w:val="0"/>
      <w:marBottom w:val="0"/>
      <w:divBdr>
        <w:top w:val="none" w:sz="0" w:space="0" w:color="auto"/>
        <w:left w:val="none" w:sz="0" w:space="0" w:color="auto"/>
        <w:bottom w:val="none" w:sz="0" w:space="0" w:color="auto"/>
        <w:right w:val="none" w:sz="0" w:space="0" w:color="auto"/>
      </w:divBdr>
    </w:div>
    <w:div w:id="749696029">
      <w:bodyDiv w:val="1"/>
      <w:marLeft w:val="0"/>
      <w:marRight w:val="0"/>
      <w:marTop w:val="0"/>
      <w:marBottom w:val="0"/>
      <w:divBdr>
        <w:top w:val="none" w:sz="0" w:space="0" w:color="auto"/>
        <w:left w:val="none" w:sz="0" w:space="0" w:color="auto"/>
        <w:bottom w:val="none" w:sz="0" w:space="0" w:color="auto"/>
        <w:right w:val="none" w:sz="0" w:space="0" w:color="auto"/>
      </w:divBdr>
      <w:divsChild>
        <w:div w:id="1222789089">
          <w:marLeft w:val="0"/>
          <w:marRight w:val="0"/>
          <w:marTop w:val="0"/>
          <w:marBottom w:val="0"/>
          <w:divBdr>
            <w:top w:val="none" w:sz="0" w:space="0" w:color="auto"/>
            <w:left w:val="none" w:sz="0" w:space="0" w:color="auto"/>
            <w:bottom w:val="none" w:sz="0" w:space="0" w:color="auto"/>
            <w:right w:val="none" w:sz="0" w:space="0" w:color="auto"/>
          </w:divBdr>
        </w:div>
      </w:divsChild>
    </w:div>
    <w:div w:id="756898873">
      <w:bodyDiv w:val="1"/>
      <w:marLeft w:val="0"/>
      <w:marRight w:val="0"/>
      <w:marTop w:val="0"/>
      <w:marBottom w:val="0"/>
      <w:divBdr>
        <w:top w:val="none" w:sz="0" w:space="0" w:color="auto"/>
        <w:left w:val="none" w:sz="0" w:space="0" w:color="auto"/>
        <w:bottom w:val="none" w:sz="0" w:space="0" w:color="auto"/>
        <w:right w:val="none" w:sz="0" w:space="0" w:color="auto"/>
      </w:divBdr>
    </w:div>
    <w:div w:id="758449346">
      <w:bodyDiv w:val="1"/>
      <w:marLeft w:val="0"/>
      <w:marRight w:val="0"/>
      <w:marTop w:val="0"/>
      <w:marBottom w:val="0"/>
      <w:divBdr>
        <w:top w:val="none" w:sz="0" w:space="0" w:color="auto"/>
        <w:left w:val="none" w:sz="0" w:space="0" w:color="auto"/>
        <w:bottom w:val="none" w:sz="0" w:space="0" w:color="auto"/>
        <w:right w:val="none" w:sz="0" w:space="0" w:color="auto"/>
      </w:divBdr>
    </w:div>
    <w:div w:id="761992122">
      <w:bodyDiv w:val="1"/>
      <w:marLeft w:val="0"/>
      <w:marRight w:val="0"/>
      <w:marTop w:val="0"/>
      <w:marBottom w:val="0"/>
      <w:divBdr>
        <w:top w:val="none" w:sz="0" w:space="0" w:color="auto"/>
        <w:left w:val="none" w:sz="0" w:space="0" w:color="auto"/>
        <w:bottom w:val="none" w:sz="0" w:space="0" w:color="auto"/>
        <w:right w:val="none" w:sz="0" w:space="0" w:color="auto"/>
      </w:divBdr>
    </w:div>
    <w:div w:id="765273859">
      <w:bodyDiv w:val="1"/>
      <w:marLeft w:val="0"/>
      <w:marRight w:val="0"/>
      <w:marTop w:val="0"/>
      <w:marBottom w:val="0"/>
      <w:divBdr>
        <w:top w:val="none" w:sz="0" w:space="0" w:color="auto"/>
        <w:left w:val="none" w:sz="0" w:space="0" w:color="auto"/>
        <w:bottom w:val="none" w:sz="0" w:space="0" w:color="auto"/>
        <w:right w:val="none" w:sz="0" w:space="0" w:color="auto"/>
      </w:divBdr>
    </w:div>
    <w:div w:id="771315193">
      <w:bodyDiv w:val="1"/>
      <w:marLeft w:val="0"/>
      <w:marRight w:val="0"/>
      <w:marTop w:val="0"/>
      <w:marBottom w:val="0"/>
      <w:divBdr>
        <w:top w:val="none" w:sz="0" w:space="0" w:color="auto"/>
        <w:left w:val="none" w:sz="0" w:space="0" w:color="auto"/>
        <w:bottom w:val="none" w:sz="0" w:space="0" w:color="auto"/>
        <w:right w:val="none" w:sz="0" w:space="0" w:color="auto"/>
      </w:divBdr>
    </w:div>
    <w:div w:id="774833065">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8645020">
      <w:bodyDiv w:val="1"/>
      <w:marLeft w:val="0"/>
      <w:marRight w:val="0"/>
      <w:marTop w:val="0"/>
      <w:marBottom w:val="0"/>
      <w:divBdr>
        <w:top w:val="none" w:sz="0" w:space="0" w:color="auto"/>
        <w:left w:val="none" w:sz="0" w:space="0" w:color="auto"/>
        <w:bottom w:val="none" w:sz="0" w:space="0" w:color="auto"/>
        <w:right w:val="none" w:sz="0" w:space="0" w:color="auto"/>
      </w:divBdr>
    </w:div>
    <w:div w:id="778766712">
      <w:bodyDiv w:val="1"/>
      <w:marLeft w:val="0"/>
      <w:marRight w:val="0"/>
      <w:marTop w:val="0"/>
      <w:marBottom w:val="0"/>
      <w:divBdr>
        <w:top w:val="none" w:sz="0" w:space="0" w:color="auto"/>
        <w:left w:val="none" w:sz="0" w:space="0" w:color="auto"/>
        <w:bottom w:val="none" w:sz="0" w:space="0" w:color="auto"/>
        <w:right w:val="none" w:sz="0" w:space="0" w:color="auto"/>
      </w:divBdr>
    </w:div>
    <w:div w:id="784620060">
      <w:bodyDiv w:val="1"/>
      <w:marLeft w:val="0"/>
      <w:marRight w:val="0"/>
      <w:marTop w:val="0"/>
      <w:marBottom w:val="0"/>
      <w:divBdr>
        <w:top w:val="none" w:sz="0" w:space="0" w:color="auto"/>
        <w:left w:val="none" w:sz="0" w:space="0" w:color="auto"/>
        <w:bottom w:val="none" w:sz="0" w:space="0" w:color="auto"/>
        <w:right w:val="none" w:sz="0" w:space="0" w:color="auto"/>
      </w:divBdr>
    </w:div>
    <w:div w:id="785002668">
      <w:bodyDiv w:val="1"/>
      <w:marLeft w:val="0"/>
      <w:marRight w:val="0"/>
      <w:marTop w:val="0"/>
      <w:marBottom w:val="0"/>
      <w:divBdr>
        <w:top w:val="none" w:sz="0" w:space="0" w:color="auto"/>
        <w:left w:val="none" w:sz="0" w:space="0" w:color="auto"/>
        <w:bottom w:val="none" w:sz="0" w:space="0" w:color="auto"/>
        <w:right w:val="none" w:sz="0" w:space="0" w:color="auto"/>
      </w:divBdr>
      <w:divsChild>
        <w:div w:id="662272763">
          <w:marLeft w:val="0"/>
          <w:marRight w:val="0"/>
          <w:marTop w:val="0"/>
          <w:marBottom w:val="0"/>
          <w:divBdr>
            <w:top w:val="none" w:sz="0" w:space="0" w:color="auto"/>
            <w:left w:val="none" w:sz="0" w:space="0" w:color="auto"/>
            <w:bottom w:val="none" w:sz="0" w:space="0" w:color="auto"/>
            <w:right w:val="none" w:sz="0" w:space="0" w:color="auto"/>
          </w:divBdr>
        </w:div>
      </w:divsChild>
    </w:div>
    <w:div w:id="788816896">
      <w:bodyDiv w:val="1"/>
      <w:marLeft w:val="0"/>
      <w:marRight w:val="0"/>
      <w:marTop w:val="0"/>
      <w:marBottom w:val="0"/>
      <w:divBdr>
        <w:top w:val="none" w:sz="0" w:space="0" w:color="auto"/>
        <w:left w:val="none" w:sz="0" w:space="0" w:color="auto"/>
        <w:bottom w:val="none" w:sz="0" w:space="0" w:color="auto"/>
        <w:right w:val="none" w:sz="0" w:space="0" w:color="auto"/>
      </w:divBdr>
    </w:div>
    <w:div w:id="797797743">
      <w:bodyDiv w:val="1"/>
      <w:marLeft w:val="0"/>
      <w:marRight w:val="0"/>
      <w:marTop w:val="0"/>
      <w:marBottom w:val="0"/>
      <w:divBdr>
        <w:top w:val="none" w:sz="0" w:space="0" w:color="auto"/>
        <w:left w:val="none" w:sz="0" w:space="0" w:color="auto"/>
        <w:bottom w:val="none" w:sz="0" w:space="0" w:color="auto"/>
        <w:right w:val="none" w:sz="0" w:space="0" w:color="auto"/>
      </w:divBdr>
    </w:div>
    <w:div w:id="798915759">
      <w:bodyDiv w:val="1"/>
      <w:marLeft w:val="0"/>
      <w:marRight w:val="0"/>
      <w:marTop w:val="0"/>
      <w:marBottom w:val="0"/>
      <w:divBdr>
        <w:top w:val="none" w:sz="0" w:space="0" w:color="auto"/>
        <w:left w:val="none" w:sz="0" w:space="0" w:color="auto"/>
        <w:bottom w:val="none" w:sz="0" w:space="0" w:color="auto"/>
        <w:right w:val="none" w:sz="0" w:space="0" w:color="auto"/>
      </w:divBdr>
    </w:div>
    <w:div w:id="799765321">
      <w:bodyDiv w:val="1"/>
      <w:marLeft w:val="0"/>
      <w:marRight w:val="0"/>
      <w:marTop w:val="0"/>
      <w:marBottom w:val="0"/>
      <w:divBdr>
        <w:top w:val="none" w:sz="0" w:space="0" w:color="auto"/>
        <w:left w:val="none" w:sz="0" w:space="0" w:color="auto"/>
        <w:bottom w:val="none" w:sz="0" w:space="0" w:color="auto"/>
        <w:right w:val="none" w:sz="0" w:space="0" w:color="auto"/>
      </w:divBdr>
    </w:div>
    <w:div w:id="809397955">
      <w:bodyDiv w:val="1"/>
      <w:marLeft w:val="0"/>
      <w:marRight w:val="0"/>
      <w:marTop w:val="0"/>
      <w:marBottom w:val="0"/>
      <w:divBdr>
        <w:top w:val="none" w:sz="0" w:space="0" w:color="auto"/>
        <w:left w:val="none" w:sz="0" w:space="0" w:color="auto"/>
        <w:bottom w:val="none" w:sz="0" w:space="0" w:color="auto"/>
        <w:right w:val="none" w:sz="0" w:space="0" w:color="auto"/>
      </w:divBdr>
    </w:div>
    <w:div w:id="812913219">
      <w:bodyDiv w:val="1"/>
      <w:marLeft w:val="0"/>
      <w:marRight w:val="0"/>
      <w:marTop w:val="0"/>
      <w:marBottom w:val="0"/>
      <w:divBdr>
        <w:top w:val="none" w:sz="0" w:space="0" w:color="auto"/>
        <w:left w:val="none" w:sz="0" w:space="0" w:color="auto"/>
        <w:bottom w:val="none" w:sz="0" w:space="0" w:color="auto"/>
        <w:right w:val="none" w:sz="0" w:space="0" w:color="auto"/>
      </w:divBdr>
    </w:div>
    <w:div w:id="813831885">
      <w:bodyDiv w:val="1"/>
      <w:marLeft w:val="0"/>
      <w:marRight w:val="0"/>
      <w:marTop w:val="0"/>
      <w:marBottom w:val="0"/>
      <w:divBdr>
        <w:top w:val="none" w:sz="0" w:space="0" w:color="auto"/>
        <w:left w:val="none" w:sz="0" w:space="0" w:color="auto"/>
        <w:bottom w:val="none" w:sz="0" w:space="0" w:color="auto"/>
        <w:right w:val="none" w:sz="0" w:space="0" w:color="auto"/>
      </w:divBdr>
    </w:div>
    <w:div w:id="814220536">
      <w:bodyDiv w:val="1"/>
      <w:marLeft w:val="0"/>
      <w:marRight w:val="0"/>
      <w:marTop w:val="0"/>
      <w:marBottom w:val="0"/>
      <w:divBdr>
        <w:top w:val="none" w:sz="0" w:space="0" w:color="auto"/>
        <w:left w:val="none" w:sz="0" w:space="0" w:color="auto"/>
        <w:bottom w:val="none" w:sz="0" w:space="0" w:color="auto"/>
        <w:right w:val="none" w:sz="0" w:space="0" w:color="auto"/>
      </w:divBdr>
    </w:div>
    <w:div w:id="814298403">
      <w:bodyDiv w:val="1"/>
      <w:marLeft w:val="0"/>
      <w:marRight w:val="0"/>
      <w:marTop w:val="0"/>
      <w:marBottom w:val="0"/>
      <w:divBdr>
        <w:top w:val="none" w:sz="0" w:space="0" w:color="auto"/>
        <w:left w:val="none" w:sz="0" w:space="0" w:color="auto"/>
        <w:bottom w:val="none" w:sz="0" w:space="0" w:color="auto"/>
        <w:right w:val="none" w:sz="0" w:space="0" w:color="auto"/>
      </w:divBdr>
    </w:div>
    <w:div w:id="816605849">
      <w:bodyDiv w:val="1"/>
      <w:marLeft w:val="0"/>
      <w:marRight w:val="0"/>
      <w:marTop w:val="0"/>
      <w:marBottom w:val="0"/>
      <w:divBdr>
        <w:top w:val="none" w:sz="0" w:space="0" w:color="auto"/>
        <w:left w:val="none" w:sz="0" w:space="0" w:color="auto"/>
        <w:bottom w:val="none" w:sz="0" w:space="0" w:color="auto"/>
        <w:right w:val="none" w:sz="0" w:space="0" w:color="auto"/>
      </w:divBdr>
    </w:div>
    <w:div w:id="818499254">
      <w:bodyDiv w:val="1"/>
      <w:marLeft w:val="0"/>
      <w:marRight w:val="0"/>
      <w:marTop w:val="0"/>
      <w:marBottom w:val="0"/>
      <w:divBdr>
        <w:top w:val="none" w:sz="0" w:space="0" w:color="auto"/>
        <w:left w:val="none" w:sz="0" w:space="0" w:color="auto"/>
        <w:bottom w:val="none" w:sz="0" w:space="0" w:color="auto"/>
        <w:right w:val="none" w:sz="0" w:space="0" w:color="auto"/>
      </w:divBdr>
    </w:div>
    <w:div w:id="821507224">
      <w:bodyDiv w:val="1"/>
      <w:marLeft w:val="0"/>
      <w:marRight w:val="0"/>
      <w:marTop w:val="0"/>
      <w:marBottom w:val="0"/>
      <w:divBdr>
        <w:top w:val="none" w:sz="0" w:space="0" w:color="auto"/>
        <w:left w:val="none" w:sz="0" w:space="0" w:color="auto"/>
        <w:bottom w:val="none" w:sz="0" w:space="0" w:color="auto"/>
        <w:right w:val="none" w:sz="0" w:space="0" w:color="auto"/>
      </w:divBdr>
    </w:div>
    <w:div w:id="824317201">
      <w:bodyDiv w:val="1"/>
      <w:marLeft w:val="0"/>
      <w:marRight w:val="0"/>
      <w:marTop w:val="0"/>
      <w:marBottom w:val="0"/>
      <w:divBdr>
        <w:top w:val="none" w:sz="0" w:space="0" w:color="auto"/>
        <w:left w:val="none" w:sz="0" w:space="0" w:color="auto"/>
        <w:bottom w:val="none" w:sz="0" w:space="0" w:color="auto"/>
        <w:right w:val="none" w:sz="0" w:space="0" w:color="auto"/>
      </w:divBdr>
    </w:div>
    <w:div w:id="835413851">
      <w:bodyDiv w:val="1"/>
      <w:marLeft w:val="0"/>
      <w:marRight w:val="0"/>
      <w:marTop w:val="0"/>
      <w:marBottom w:val="0"/>
      <w:divBdr>
        <w:top w:val="none" w:sz="0" w:space="0" w:color="auto"/>
        <w:left w:val="none" w:sz="0" w:space="0" w:color="auto"/>
        <w:bottom w:val="none" w:sz="0" w:space="0" w:color="auto"/>
        <w:right w:val="none" w:sz="0" w:space="0" w:color="auto"/>
      </w:divBdr>
    </w:div>
    <w:div w:id="843591912">
      <w:bodyDiv w:val="1"/>
      <w:marLeft w:val="0"/>
      <w:marRight w:val="0"/>
      <w:marTop w:val="0"/>
      <w:marBottom w:val="0"/>
      <w:divBdr>
        <w:top w:val="none" w:sz="0" w:space="0" w:color="auto"/>
        <w:left w:val="none" w:sz="0" w:space="0" w:color="auto"/>
        <w:bottom w:val="none" w:sz="0" w:space="0" w:color="auto"/>
        <w:right w:val="none" w:sz="0" w:space="0" w:color="auto"/>
      </w:divBdr>
    </w:div>
    <w:div w:id="844172977">
      <w:bodyDiv w:val="1"/>
      <w:marLeft w:val="0"/>
      <w:marRight w:val="0"/>
      <w:marTop w:val="0"/>
      <w:marBottom w:val="0"/>
      <w:divBdr>
        <w:top w:val="none" w:sz="0" w:space="0" w:color="auto"/>
        <w:left w:val="none" w:sz="0" w:space="0" w:color="auto"/>
        <w:bottom w:val="none" w:sz="0" w:space="0" w:color="auto"/>
        <w:right w:val="none" w:sz="0" w:space="0" w:color="auto"/>
      </w:divBdr>
    </w:div>
    <w:div w:id="850878504">
      <w:bodyDiv w:val="1"/>
      <w:marLeft w:val="0"/>
      <w:marRight w:val="0"/>
      <w:marTop w:val="0"/>
      <w:marBottom w:val="0"/>
      <w:divBdr>
        <w:top w:val="none" w:sz="0" w:space="0" w:color="auto"/>
        <w:left w:val="none" w:sz="0" w:space="0" w:color="auto"/>
        <w:bottom w:val="none" w:sz="0" w:space="0" w:color="auto"/>
        <w:right w:val="none" w:sz="0" w:space="0" w:color="auto"/>
      </w:divBdr>
    </w:div>
    <w:div w:id="856116471">
      <w:bodyDiv w:val="1"/>
      <w:marLeft w:val="0"/>
      <w:marRight w:val="0"/>
      <w:marTop w:val="0"/>
      <w:marBottom w:val="0"/>
      <w:divBdr>
        <w:top w:val="none" w:sz="0" w:space="0" w:color="auto"/>
        <w:left w:val="none" w:sz="0" w:space="0" w:color="auto"/>
        <w:bottom w:val="none" w:sz="0" w:space="0" w:color="auto"/>
        <w:right w:val="none" w:sz="0" w:space="0" w:color="auto"/>
      </w:divBdr>
    </w:div>
    <w:div w:id="862085724">
      <w:bodyDiv w:val="1"/>
      <w:marLeft w:val="0"/>
      <w:marRight w:val="0"/>
      <w:marTop w:val="0"/>
      <w:marBottom w:val="0"/>
      <w:divBdr>
        <w:top w:val="none" w:sz="0" w:space="0" w:color="auto"/>
        <w:left w:val="none" w:sz="0" w:space="0" w:color="auto"/>
        <w:bottom w:val="none" w:sz="0" w:space="0" w:color="auto"/>
        <w:right w:val="none" w:sz="0" w:space="0" w:color="auto"/>
      </w:divBdr>
    </w:div>
    <w:div w:id="864557772">
      <w:bodyDiv w:val="1"/>
      <w:marLeft w:val="0"/>
      <w:marRight w:val="0"/>
      <w:marTop w:val="0"/>
      <w:marBottom w:val="0"/>
      <w:divBdr>
        <w:top w:val="none" w:sz="0" w:space="0" w:color="auto"/>
        <w:left w:val="none" w:sz="0" w:space="0" w:color="auto"/>
        <w:bottom w:val="none" w:sz="0" w:space="0" w:color="auto"/>
        <w:right w:val="none" w:sz="0" w:space="0" w:color="auto"/>
      </w:divBdr>
    </w:div>
    <w:div w:id="865098645">
      <w:bodyDiv w:val="1"/>
      <w:marLeft w:val="0"/>
      <w:marRight w:val="0"/>
      <w:marTop w:val="0"/>
      <w:marBottom w:val="0"/>
      <w:divBdr>
        <w:top w:val="none" w:sz="0" w:space="0" w:color="auto"/>
        <w:left w:val="none" w:sz="0" w:space="0" w:color="auto"/>
        <w:bottom w:val="none" w:sz="0" w:space="0" w:color="auto"/>
        <w:right w:val="none" w:sz="0" w:space="0" w:color="auto"/>
      </w:divBdr>
    </w:div>
    <w:div w:id="882061344">
      <w:bodyDiv w:val="1"/>
      <w:marLeft w:val="0"/>
      <w:marRight w:val="0"/>
      <w:marTop w:val="0"/>
      <w:marBottom w:val="0"/>
      <w:divBdr>
        <w:top w:val="none" w:sz="0" w:space="0" w:color="auto"/>
        <w:left w:val="none" w:sz="0" w:space="0" w:color="auto"/>
        <w:bottom w:val="none" w:sz="0" w:space="0" w:color="auto"/>
        <w:right w:val="none" w:sz="0" w:space="0" w:color="auto"/>
      </w:divBdr>
      <w:divsChild>
        <w:div w:id="1450662035">
          <w:marLeft w:val="0"/>
          <w:marRight w:val="0"/>
          <w:marTop w:val="0"/>
          <w:marBottom w:val="0"/>
          <w:divBdr>
            <w:top w:val="none" w:sz="0" w:space="0" w:color="auto"/>
            <w:left w:val="none" w:sz="0" w:space="0" w:color="auto"/>
            <w:bottom w:val="none" w:sz="0" w:space="0" w:color="auto"/>
            <w:right w:val="none" w:sz="0" w:space="0" w:color="auto"/>
          </w:divBdr>
        </w:div>
      </w:divsChild>
    </w:div>
    <w:div w:id="885333808">
      <w:bodyDiv w:val="1"/>
      <w:marLeft w:val="0"/>
      <w:marRight w:val="0"/>
      <w:marTop w:val="0"/>
      <w:marBottom w:val="0"/>
      <w:divBdr>
        <w:top w:val="none" w:sz="0" w:space="0" w:color="auto"/>
        <w:left w:val="none" w:sz="0" w:space="0" w:color="auto"/>
        <w:bottom w:val="none" w:sz="0" w:space="0" w:color="auto"/>
        <w:right w:val="none" w:sz="0" w:space="0" w:color="auto"/>
      </w:divBdr>
      <w:divsChild>
        <w:div w:id="1418599677">
          <w:marLeft w:val="0"/>
          <w:marRight w:val="0"/>
          <w:marTop w:val="0"/>
          <w:marBottom w:val="0"/>
          <w:divBdr>
            <w:top w:val="none" w:sz="0" w:space="0" w:color="auto"/>
            <w:left w:val="none" w:sz="0" w:space="0" w:color="auto"/>
            <w:bottom w:val="none" w:sz="0" w:space="0" w:color="auto"/>
            <w:right w:val="none" w:sz="0" w:space="0" w:color="auto"/>
          </w:divBdr>
        </w:div>
      </w:divsChild>
    </w:div>
    <w:div w:id="885989651">
      <w:bodyDiv w:val="1"/>
      <w:marLeft w:val="0"/>
      <w:marRight w:val="0"/>
      <w:marTop w:val="0"/>
      <w:marBottom w:val="0"/>
      <w:divBdr>
        <w:top w:val="none" w:sz="0" w:space="0" w:color="auto"/>
        <w:left w:val="none" w:sz="0" w:space="0" w:color="auto"/>
        <w:bottom w:val="none" w:sz="0" w:space="0" w:color="auto"/>
        <w:right w:val="none" w:sz="0" w:space="0" w:color="auto"/>
      </w:divBdr>
    </w:div>
    <w:div w:id="886531179">
      <w:bodyDiv w:val="1"/>
      <w:marLeft w:val="0"/>
      <w:marRight w:val="0"/>
      <w:marTop w:val="0"/>
      <w:marBottom w:val="0"/>
      <w:divBdr>
        <w:top w:val="none" w:sz="0" w:space="0" w:color="auto"/>
        <w:left w:val="none" w:sz="0" w:space="0" w:color="auto"/>
        <w:bottom w:val="none" w:sz="0" w:space="0" w:color="auto"/>
        <w:right w:val="none" w:sz="0" w:space="0" w:color="auto"/>
      </w:divBdr>
    </w:div>
    <w:div w:id="890308775">
      <w:bodyDiv w:val="1"/>
      <w:marLeft w:val="0"/>
      <w:marRight w:val="0"/>
      <w:marTop w:val="0"/>
      <w:marBottom w:val="0"/>
      <w:divBdr>
        <w:top w:val="none" w:sz="0" w:space="0" w:color="auto"/>
        <w:left w:val="none" w:sz="0" w:space="0" w:color="auto"/>
        <w:bottom w:val="none" w:sz="0" w:space="0" w:color="auto"/>
        <w:right w:val="none" w:sz="0" w:space="0" w:color="auto"/>
      </w:divBdr>
    </w:div>
    <w:div w:id="891648262">
      <w:bodyDiv w:val="1"/>
      <w:marLeft w:val="0"/>
      <w:marRight w:val="0"/>
      <w:marTop w:val="0"/>
      <w:marBottom w:val="0"/>
      <w:divBdr>
        <w:top w:val="none" w:sz="0" w:space="0" w:color="auto"/>
        <w:left w:val="none" w:sz="0" w:space="0" w:color="auto"/>
        <w:bottom w:val="none" w:sz="0" w:space="0" w:color="auto"/>
        <w:right w:val="none" w:sz="0" w:space="0" w:color="auto"/>
      </w:divBdr>
      <w:divsChild>
        <w:div w:id="1417097074">
          <w:marLeft w:val="0"/>
          <w:marRight w:val="0"/>
          <w:marTop w:val="0"/>
          <w:marBottom w:val="0"/>
          <w:divBdr>
            <w:top w:val="none" w:sz="0" w:space="0" w:color="auto"/>
            <w:left w:val="none" w:sz="0" w:space="0" w:color="auto"/>
            <w:bottom w:val="none" w:sz="0" w:space="0" w:color="auto"/>
            <w:right w:val="none" w:sz="0" w:space="0" w:color="auto"/>
          </w:divBdr>
        </w:div>
      </w:divsChild>
    </w:div>
    <w:div w:id="896430470">
      <w:bodyDiv w:val="1"/>
      <w:marLeft w:val="0"/>
      <w:marRight w:val="0"/>
      <w:marTop w:val="0"/>
      <w:marBottom w:val="0"/>
      <w:divBdr>
        <w:top w:val="none" w:sz="0" w:space="0" w:color="auto"/>
        <w:left w:val="none" w:sz="0" w:space="0" w:color="auto"/>
        <w:bottom w:val="none" w:sz="0" w:space="0" w:color="auto"/>
        <w:right w:val="none" w:sz="0" w:space="0" w:color="auto"/>
      </w:divBdr>
    </w:div>
    <w:div w:id="897328745">
      <w:bodyDiv w:val="1"/>
      <w:marLeft w:val="0"/>
      <w:marRight w:val="0"/>
      <w:marTop w:val="0"/>
      <w:marBottom w:val="0"/>
      <w:divBdr>
        <w:top w:val="none" w:sz="0" w:space="0" w:color="auto"/>
        <w:left w:val="none" w:sz="0" w:space="0" w:color="auto"/>
        <w:bottom w:val="none" w:sz="0" w:space="0" w:color="auto"/>
        <w:right w:val="none" w:sz="0" w:space="0" w:color="auto"/>
      </w:divBdr>
    </w:div>
    <w:div w:id="898132081">
      <w:bodyDiv w:val="1"/>
      <w:marLeft w:val="0"/>
      <w:marRight w:val="0"/>
      <w:marTop w:val="0"/>
      <w:marBottom w:val="0"/>
      <w:divBdr>
        <w:top w:val="none" w:sz="0" w:space="0" w:color="auto"/>
        <w:left w:val="none" w:sz="0" w:space="0" w:color="auto"/>
        <w:bottom w:val="none" w:sz="0" w:space="0" w:color="auto"/>
        <w:right w:val="none" w:sz="0" w:space="0" w:color="auto"/>
      </w:divBdr>
    </w:div>
    <w:div w:id="898589492">
      <w:bodyDiv w:val="1"/>
      <w:marLeft w:val="0"/>
      <w:marRight w:val="0"/>
      <w:marTop w:val="0"/>
      <w:marBottom w:val="0"/>
      <w:divBdr>
        <w:top w:val="none" w:sz="0" w:space="0" w:color="auto"/>
        <w:left w:val="none" w:sz="0" w:space="0" w:color="auto"/>
        <w:bottom w:val="none" w:sz="0" w:space="0" w:color="auto"/>
        <w:right w:val="none" w:sz="0" w:space="0" w:color="auto"/>
      </w:divBdr>
    </w:div>
    <w:div w:id="901065185">
      <w:bodyDiv w:val="1"/>
      <w:marLeft w:val="0"/>
      <w:marRight w:val="0"/>
      <w:marTop w:val="0"/>
      <w:marBottom w:val="0"/>
      <w:divBdr>
        <w:top w:val="none" w:sz="0" w:space="0" w:color="auto"/>
        <w:left w:val="none" w:sz="0" w:space="0" w:color="auto"/>
        <w:bottom w:val="none" w:sz="0" w:space="0" w:color="auto"/>
        <w:right w:val="none" w:sz="0" w:space="0" w:color="auto"/>
      </w:divBdr>
    </w:div>
    <w:div w:id="902838209">
      <w:bodyDiv w:val="1"/>
      <w:marLeft w:val="0"/>
      <w:marRight w:val="0"/>
      <w:marTop w:val="0"/>
      <w:marBottom w:val="0"/>
      <w:divBdr>
        <w:top w:val="none" w:sz="0" w:space="0" w:color="auto"/>
        <w:left w:val="none" w:sz="0" w:space="0" w:color="auto"/>
        <w:bottom w:val="none" w:sz="0" w:space="0" w:color="auto"/>
        <w:right w:val="none" w:sz="0" w:space="0" w:color="auto"/>
      </w:divBdr>
    </w:div>
    <w:div w:id="910820923">
      <w:bodyDiv w:val="1"/>
      <w:marLeft w:val="0"/>
      <w:marRight w:val="0"/>
      <w:marTop w:val="0"/>
      <w:marBottom w:val="0"/>
      <w:divBdr>
        <w:top w:val="none" w:sz="0" w:space="0" w:color="auto"/>
        <w:left w:val="none" w:sz="0" w:space="0" w:color="auto"/>
        <w:bottom w:val="none" w:sz="0" w:space="0" w:color="auto"/>
        <w:right w:val="none" w:sz="0" w:space="0" w:color="auto"/>
      </w:divBdr>
    </w:div>
    <w:div w:id="915045713">
      <w:bodyDiv w:val="1"/>
      <w:marLeft w:val="0"/>
      <w:marRight w:val="0"/>
      <w:marTop w:val="0"/>
      <w:marBottom w:val="0"/>
      <w:divBdr>
        <w:top w:val="none" w:sz="0" w:space="0" w:color="auto"/>
        <w:left w:val="none" w:sz="0" w:space="0" w:color="auto"/>
        <w:bottom w:val="none" w:sz="0" w:space="0" w:color="auto"/>
        <w:right w:val="none" w:sz="0" w:space="0" w:color="auto"/>
      </w:divBdr>
    </w:div>
    <w:div w:id="921842365">
      <w:bodyDiv w:val="1"/>
      <w:marLeft w:val="0"/>
      <w:marRight w:val="0"/>
      <w:marTop w:val="0"/>
      <w:marBottom w:val="0"/>
      <w:divBdr>
        <w:top w:val="none" w:sz="0" w:space="0" w:color="auto"/>
        <w:left w:val="none" w:sz="0" w:space="0" w:color="auto"/>
        <w:bottom w:val="none" w:sz="0" w:space="0" w:color="auto"/>
        <w:right w:val="none" w:sz="0" w:space="0" w:color="auto"/>
      </w:divBdr>
    </w:div>
    <w:div w:id="929192721">
      <w:bodyDiv w:val="1"/>
      <w:marLeft w:val="0"/>
      <w:marRight w:val="0"/>
      <w:marTop w:val="0"/>
      <w:marBottom w:val="0"/>
      <w:divBdr>
        <w:top w:val="none" w:sz="0" w:space="0" w:color="auto"/>
        <w:left w:val="none" w:sz="0" w:space="0" w:color="auto"/>
        <w:bottom w:val="none" w:sz="0" w:space="0" w:color="auto"/>
        <w:right w:val="none" w:sz="0" w:space="0" w:color="auto"/>
      </w:divBdr>
    </w:div>
    <w:div w:id="929655184">
      <w:bodyDiv w:val="1"/>
      <w:marLeft w:val="0"/>
      <w:marRight w:val="0"/>
      <w:marTop w:val="0"/>
      <w:marBottom w:val="0"/>
      <w:divBdr>
        <w:top w:val="none" w:sz="0" w:space="0" w:color="auto"/>
        <w:left w:val="none" w:sz="0" w:space="0" w:color="auto"/>
        <w:bottom w:val="none" w:sz="0" w:space="0" w:color="auto"/>
        <w:right w:val="none" w:sz="0" w:space="0" w:color="auto"/>
      </w:divBdr>
    </w:div>
    <w:div w:id="929704019">
      <w:bodyDiv w:val="1"/>
      <w:marLeft w:val="0"/>
      <w:marRight w:val="0"/>
      <w:marTop w:val="0"/>
      <w:marBottom w:val="0"/>
      <w:divBdr>
        <w:top w:val="none" w:sz="0" w:space="0" w:color="auto"/>
        <w:left w:val="none" w:sz="0" w:space="0" w:color="auto"/>
        <w:bottom w:val="none" w:sz="0" w:space="0" w:color="auto"/>
        <w:right w:val="none" w:sz="0" w:space="0" w:color="auto"/>
      </w:divBdr>
    </w:div>
    <w:div w:id="936715848">
      <w:bodyDiv w:val="1"/>
      <w:marLeft w:val="0"/>
      <w:marRight w:val="0"/>
      <w:marTop w:val="0"/>
      <w:marBottom w:val="0"/>
      <w:divBdr>
        <w:top w:val="none" w:sz="0" w:space="0" w:color="auto"/>
        <w:left w:val="none" w:sz="0" w:space="0" w:color="auto"/>
        <w:bottom w:val="none" w:sz="0" w:space="0" w:color="auto"/>
        <w:right w:val="none" w:sz="0" w:space="0" w:color="auto"/>
      </w:divBdr>
    </w:div>
    <w:div w:id="942495101">
      <w:bodyDiv w:val="1"/>
      <w:marLeft w:val="0"/>
      <w:marRight w:val="0"/>
      <w:marTop w:val="0"/>
      <w:marBottom w:val="0"/>
      <w:divBdr>
        <w:top w:val="none" w:sz="0" w:space="0" w:color="auto"/>
        <w:left w:val="none" w:sz="0" w:space="0" w:color="auto"/>
        <w:bottom w:val="none" w:sz="0" w:space="0" w:color="auto"/>
        <w:right w:val="none" w:sz="0" w:space="0" w:color="auto"/>
      </w:divBdr>
    </w:div>
    <w:div w:id="943616323">
      <w:bodyDiv w:val="1"/>
      <w:marLeft w:val="0"/>
      <w:marRight w:val="0"/>
      <w:marTop w:val="0"/>
      <w:marBottom w:val="0"/>
      <w:divBdr>
        <w:top w:val="none" w:sz="0" w:space="0" w:color="auto"/>
        <w:left w:val="none" w:sz="0" w:space="0" w:color="auto"/>
        <w:bottom w:val="none" w:sz="0" w:space="0" w:color="auto"/>
        <w:right w:val="none" w:sz="0" w:space="0" w:color="auto"/>
      </w:divBdr>
    </w:div>
    <w:div w:id="944580522">
      <w:bodyDiv w:val="1"/>
      <w:marLeft w:val="0"/>
      <w:marRight w:val="0"/>
      <w:marTop w:val="0"/>
      <w:marBottom w:val="0"/>
      <w:divBdr>
        <w:top w:val="none" w:sz="0" w:space="0" w:color="auto"/>
        <w:left w:val="none" w:sz="0" w:space="0" w:color="auto"/>
        <w:bottom w:val="none" w:sz="0" w:space="0" w:color="auto"/>
        <w:right w:val="none" w:sz="0" w:space="0" w:color="auto"/>
      </w:divBdr>
    </w:div>
    <w:div w:id="959074283">
      <w:bodyDiv w:val="1"/>
      <w:marLeft w:val="0"/>
      <w:marRight w:val="0"/>
      <w:marTop w:val="0"/>
      <w:marBottom w:val="0"/>
      <w:divBdr>
        <w:top w:val="none" w:sz="0" w:space="0" w:color="auto"/>
        <w:left w:val="none" w:sz="0" w:space="0" w:color="auto"/>
        <w:bottom w:val="none" w:sz="0" w:space="0" w:color="auto"/>
        <w:right w:val="none" w:sz="0" w:space="0" w:color="auto"/>
      </w:divBdr>
    </w:div>
    <w:div w:id="970987616">
      <w:bodyDiv w:val="1"/>
      <w:marLeft w:val="0"/>
      <w:marRight w:val="0"/>
      <w:marTop w:val="0"/>
      <w:marBottom w:val="0"/>
      <w:divBdr>
        <w:top w:val="none" w:sz="0" w:space="0" w:color="auto"/>
        <w:left w:val="none" w:sz="0" w:space="0" w:color="auto"/>
        <w:bottom w:val="none" w:sz="0" w:space="0" w:color="auto"/>
        <w:right w:val="none" w:sz="0" w:space="0" w:color="auto"/>
      </w:divBdr>
    </w:div>
    <w:div w:id="973094746">
      <w:bodyDiv w:val="1"/>
      <w:marLeft w:val="0"/>
      <w:marRight w:val="0"/>
      <w:marTop w:val="0"/>
      <w:marBottom w:val="0"/>
      <w:divBdr>
        <w:top w:val="none" w:sz="0" w:space="0" w:color="auto"/>
        <w:left w:val="none" w:sz="0" w:space="0" w:color="auto"/>
        <w:bottom w:val="none" w:sz="0" w:space="0" w:color="auto"/>
        <w:right w:val="none" w:sz="0" w:space="0" w:color="auto"/>
      </w:divBdr>
    </w:div>
    <w:div w:id="974144444">
      <w:bodyDiv w:val="1"/>
      <w:marLeft w:val="0"/>
      <w:marRight w:val="0"/>
      <w:marTop w:val="0"/>
      <w:marBottom w:val="0"/>
      <w:divBdr>
        <w:top w:val="none" w:sz="0" w:space="0" w:color="auto"/>
        <w:left w:val="none" w:sz="0" w:space="0" w:color="auto"/>
        <w:bottom w:val="none" w:sz="0" w:space="0" w:color="auto"/>
        <w:right w:val="none" w:sz="0" w:space="0" w:color="auto"/>
      </w:divBdr>
    </w:div>
    <w:div w:id="977492562">
      <w:bodyDiv w:val="1"/>
      <w:marLeft w:val="0"/>
      <w:marRight w:val="0"/>
      <w:marTop w:val="0"/>
      <w:marBottom w:val="0"/>
      <w:divBdr>
        <w:top w:val="none" w:sz="0" w:space="0" w:color="auto"/>
        <w:left w:val="none" w:sz="0" w:space="0" w:color="auto"/>
        <w:bottom w:val="none" w:sz="0" w:space="0" w:color="auto"/>
        <w:right w:val="none" w:sz="0" w:space="0" w:color="auto"/>
      </w:divBdr>
    </w:div>
    <w:div w:id="979772932">
      <w:bodyDiv w:val="1"/>
      <w:marLeft w:val="0"/>
      <w:marRight w:val="0"/>
      <w:marTop w:val="0"/>
      <w:marBottom w:val="0"/>
      <w:divBdr>
        <w:top w:val="none" w:sz="0" w:space="0" w:color="auto"/>
        <w:left w:val="none" w:sz="0" w:space="0" w:color="auto"/>
        <w:bottom w:val="none" w:sz="0" w:space="0" w:color="auto"/>
        <w:right w:val="none" w:sz="0" w:space="0" w:color="auto"/>
      </w:divBdr>
    </w:div>
    <w:div w:id="986319257">
      <w:bodyDiv w:val="1"/>
      <w:marLeft w:val="0"/>
      <w:marRight w:val="0"/>
      <w:marTop w:val="0"/>
      <w:marBottom w:val="0"/>
      <w:divBdr>
        <w:top w:val="none" w:sz="0" w:space="0" w:color="auto"/>
        <w:left w:val="none" w:sz="0" w:space="0" w:color="auto"/>
        <w:bottom w:val="none" w:sz="0" w:space="0" w:color="auto"/>
        <w:right w:val="none" w:sz="0" w:space="0" w:color="auto"/>
      </w:divBdr>
    </w:div>
    <w:div w:id="987368527">
      <w:bodyDiv w:val="1"/>
      <w:marLeft w:val="0"/>
      <w:marRight w:val="0"/>
      <w:marTop w:val="0"/>
      <w:marBottom w:val="0"/>
      <w:divBdr>
        <w:top w:val="none" w:sz="0" w:space="0" w:color="auto"/>
        <w:left w:val="none" w:sz="0" w:space="0" w:color="auto"/>
        <w:bottom w:val="none" w:sz="0" w:space="0" w:color="auto"/>
        <w:right w:val="none" w:sz="0" w:space="0" w:color="auto"/>
      </w:divBdr>
    </w:div>
    <w:div w:id="995379886">
      <w:bodyDiv w:val="1"/>
      <w:marLeft w:val="0"/>
      <w:marRight w:val="0"/>
      <w:marTop w:val="0"/>
      <w:marBottom w:val="0"/>
      <w:divBdr>
        <w:top w:val="none" w:sz="0" w:space="0" w:color="auto"/>
        <w:left w:val="none" w:sz="0" w:space="0" w:color="auto"/>
        <w:bottom w:val="none" w:sz="0" w:space="0" w:color="auto"/>
        <w:right w:val="none" w:sz="0" w:space="0" w:color="auto"/>
      </w:divBdr>
    </w:div>
    <w:div w:id="1004942088">
      <w:bodyDiv w:val="1"/>
      <w:marLeft w:val="0"/>
      <w:marRight w:val="0"/>
      <w:marTop w:val="0"/>
      <w:marBottom w:val="0"/>
      <w:divBdr>
        <w:top w:val="none" w:sz="0" w:space="0" w:color="auto"/>
        <w:left w:val="none" w:sz="0" w:space="0" w:color="auto"/>
        <w:bottom w:val="none" w:sz="0" w:space="0" w:color="auto"/>
        <w:right w:val="none" w:sz="0" w:space="0" w:color="auto"/>
      </w:divBdr>
    </w:div>
    <w:div w:id="1008024001">
      <w:bodyDiv w:val="1"/>
      <w:marLeft w:val="0"/>
      <w:marRight w:val="0"/>
      <w:marTop w:val="0"/>
      <w:marBottom w:val="0"/>
      <w:divBdr>
        <w:top w:val="none" w:sz="0" w:space="0" w:color="auto"/>
        <w:left w:val="none" w:sz="0" w:space="0" w:color="auto"/>
        <w:bottom w:val="none" w:sz="0" w:space="0" w:color="auto"/>
        <w:right w:val="none" w:sz="0" w:space="0" w:color="auto"/>
      </w:divBdr>
    </w:div>
    <w:div w:id="1014455309">
      <w:bodyDiv w:val="1"/>
      <w:marLeft w:val="0"/>
      <w:marRight w:val="0"/>
      <w:marTop w:val="0"/>
      <w:marBottom w:val="0"/>
      <w:divBdr>
        <w:top w:val="none" w:sz="0" w:space="0" w:color="auto"/>
        <w:left w:val="none" w:sz="0" w:space="0" w:color="auto"/>
        <w:bottom w:val="none" w:sz="0" w:space="0" w:color="auto"/>
        <w:right w:val="none" w:sz="0" w:space="0" w:color="auto"/>
      </w:divBdr>
    </w:div>
    <w:div w:id="1017583680">
      <w:bodyDiv w:val="1"/>
      <w:marLeft w:val="0"/>
      <w:marRight w:val="0"/>
      <w:marTop w:val="0"/>
      <w:marBottom w:val="0"/>
      <w:divBdr>
        <w:top w:val="none" w:sz="0" w:space="0" w:color="auto"/>
        <w:left w:val="none" w:sz="0" w:space="0" w:color="auto"/>
        <w:bottom w:val="none" w:sz="0" w:space="0" w:color="auto"/>
        <w:right w:val="none" w:sz="0" w:space="0" w:color="auto"/>
      </w:divBdr>
    </w:div>
    <w:div w:id="1022511861">
      <w:bodyDiv w:val="1"/>
      <w:marLeft w:val="0"/>
      <w:marRight w:val="0"/>
      <w:marTop w:val="0"/>
      <w:marBottom w:val="0"/>
      <w:divBdr>
        <w:top w:val="none" w:sz="0" w:space="0" w:color="auto"/>
        <w:left w:val="none" w:sz="0" w:space="0" w:color="auto"/>
        <w:bottom w:val="none" w:sz="0" w:space="0" w:color="auto"/>
        <w:right w:val="none" w:sz="0" w:space="0" w:color="auto"/>
      </w:divBdr>
    </w:div>
    <w:div w:id="1026910068">
      <w:bodyDiv w:val="1"/>
      <w:marLeft w:val="0"/>
      <w:marRight w:val="0"/>
      <w:marTop w:val="0"/>
      <w:marBottom w:val="0"/>
      <w:divBdr>
        <w:top w:val="none" w:sz="0" w:space="0" w:color="auto"/>
        <w:left w:val="none" w:sz="0" w:space="0" w:color="auto"/>
        <w:bottom w:val="none" w:sz="0" w:space="0" w:color="auto"/>
        <w:right w:val="none" w:sz="0" w:space="0" w:color="auto"/>
      </w:divBdr>
    </w:div>
    <w:div w:id="1028723803">
      <w:bodyDiv w:val="1"/>
      <w:marLeft w:val="0"/>
      <w:marRight w:val="0"/>
      <w:marTop w:val="0"/>
      <w:marBottom w:val="0"/>
      <w:divBdr>
        <w:top w:val="none" w:sz="0" w:space="0" w:color="auto"/>
        <w:left w:val="none" w:sz="0" w:space="0" w:color="auto"/>
        <w:bottom w:val="none" w:sz="0" w:space="0" w:color="auto"/>
        <w:right w:val="none" w:sz="0" w:space="0" w:color="auto"/>
      </w:divBdr>
    </w:div>
    <w:div w:id="1029180460">
      <w:bodyDiv w:val="1"/>
      <w:marLeft w:val="0"/>
      <w:marRight w:val="0"/>
      <w:marTop w:val="0"/>
      <w:marBottom w:val="0"/>
      <w:divBdr>
        <w:top w:val="none" w:sz="0" w:space="0" w:color="auto"/>
        <w:left w:val="none" w:sz="0" w:space="0" w:color="auto"/>
        <w:bottom w:val="none" w:sz="0" w:space="0" w:color="auto"/>
        <w:right w:val="none" w:sz="0" w:space="0" w:color="auto"/>
      </w:divBdr>
    </w:div>
    <w:div w:id="1029842837">
      <w:bodyDiv w:val="1"/>
      <w:marLeft w:val="0"/>
      <w:marRight w:val="0"/>
      <w:marTop w:val="0"/>
      <w:marBottom w:val="0"/>
      <w:divBdr>
        <w:top w:val="none" w:sz="0" w:space="0" w:color="auto"/>
        <w:left w:val="none" w:sz="0" w:space="0" w:color="auto"/>
        <w:bottom w:val="none" w:sz="0" w:space="0" w:color="auto"/>
        <w:right w:val="none" w:sz="0" w:space="0" w:color="auto"/>
      </w:divBdr>
    </w:div>
    <w:div w:id="1031032203">
      <w:bodyDiv w:val="1"/>
      <w:marLeft w:val="0"/>
      <w:marRight w:val="0"/>
      <w:marTop w:val="0"/>
      <w:marBottom w:val="0"/>
      <w:divBdr>
        <w:top w:val="none" w:sz="0" w:space="0" w:color="auto"/>
        <w:left w:val="none" w:sz="0" w:space="0" w:color="auto"/>
        <w:bottom w:val="none" w:sz="0" w:space="0" w:color="auto"/>
        <w:right w:val="none" w:sz="0" w:space="0" w:color="auto"/>
      </w:divBdr>
    </w:div>
    <w:div w:id="1031952525">
      <w:bodyDiv w:val="1"/>
      <w:marLeft w:val="0"/>
      <w:marRight w:val="0"/>
      <w:marTop w:val="0"/>
      <w:marBottom w:val="0"/>
      <w:divBdr>
        <w:top w:val="none" w:sz="0" w:space="0" w:color="auto"/>
        <w:left w:val="none" w:sz="0" w:space="0" w:color="auto"/>
        <w:bottom w:val="none" w:sz="0" w:space="0" w:color="auto"/>
        <w:right w:val="none" w:sz="0" w:space="0" w:color="auto"/>
      </w:divBdr>
    </w:div>
    <w:div w:id="1034042427">
      <w:bodyDiv w:val="1"/>
      <w:marLeft w:val="0"/>
      <w:marRight w:val="0"/>
      <w:marTop w:val="0"/>
      <w:marBottom w:val="0"/>
      <w:divBdr>
        <w:top w:val="none" w:sz="0" w:space="0" w:color="auto"/>
        <w:left w:val="none" w:sz="0" w:space="0" w:color="auto"/>
        <w:bottom w:val="none" w:sz="0" w:space="0" w:color="auto"/>
        <w:right w:val="none" w:sz="0" w:space="0" w:color="auto"/>
      </w:divBdr>
    </w:div>
    <w:div w:id="1034816409">
      <w:bodyDiv w:val="1"/>
      <w:marLeft w:val="0"/>
      <w:marRight w:val="0"/>
      <w:marTop w:val="0"/>
      <w:marBottom w:val="0"/>
      <w:divBdr>
        <w:top w:val="none" w:sz="0" w:space="0" w:color="auto"/>
        <w:left w:val="none" w:sz="0" w:space="0" w:color="auto"/>
        <w:bottom w:val="none" w:sz="0" w:space="0" w:color="auto"/>
        <w:right w:val="none" w:sz="0" w:space="0" w:color="auto"/>
      </w:divBdr>
    </w:div>
    <w:div w:id="1045254630">
      <w:bodyDiv w:val="1"/>
      <w:marLeft w:val="0"/>
      <w:marRight w:val="0"/>
      <w:marTop w:val="0"/>
      <w:marBottom w:val="0"/>
      <w:divBdr>
        <w:top w:val="none" w:sz="0" w:space="0" w:color="auto"/>
        <w:left w:val="none" w:sz="0" w:space="0" w:color="auto"/>
        <w:bottom w:val="none" w:sz="0" w:space="0" w:color="auto"/>
        <w:right w:val="none" w:sz="0" w:space="0" w:color="auto"/>
      </w:divBdr>
    </w:div>
    <w:div w:id="1048992414">
      <w:bodyDiv w:val="1"/>
      <w:marLeft w:val="0"/>
      <w:marRight w:val="0"/>
      <w:marTop w:val="0"/>
      <w:marBottom w:val="0"/>
      <w:divBdr>
        <w:top w:val="none" w:sz="0" w:space="0" w:color="auto"/>
        <w:left w:val="none" w:sz="0" w:space="0" w:color="auto"/>
        <w:bottom w:val="none" w:sz="0" w:space="0" w:color="auto"/>
        <w:right w:val="none" w:sz="0" w:space="0" w:color="auto"/>
      </w:divBdr>
    </w:div>
    <w:div w:id="1052998890">
      <w:bodyDiv w:val="1"/>
      <w:marLeft w:val="0"/>
      <w:marRight w:val="0"/>
      <w:marTop w:val="0"/>
      <w:marBottom w:val="0"/>
      <w:divBdr>
        <w:top w:val="none" w:sz="0" w:space="0" w:color="auto"/>
        <w:left w:val="none" w:sz="0" w:space="0" w:color="auto"/>
        <w:bottom w:val="none" w:sz="0" w:space="0" w:color="auto"/>
        <w:right w:val="none" w:sz="0" w:space="0" w:color="auto"/>
      </w:divBdr>
    </w:div>
    <w:div w:id="1055394748">
      <w:bodyDiv w:val="1"/>
      <w:marLeft w:val="0"/>
      <w:marRight w:val="0"/>
      <w:marTop w:val="0"/>
      <w:marBottom w:val="0"/>
      <w:divBdr>
        <w:top w:val="none" w:sz="0" w:space="0" w:color="auto"/>
        <w:left w:val="none" w:sz="0" w:space="0" w:color="auto"/>
        <w:bottom w:val="none" w:sz="0" w:space="0" w:color="auto"/>
        <w:right w:val="none" w:sz="0" w:space="0" w:color="auto"/>
      </w:divBdr>
    </w:div>
    <w:div w:id="1059473115">
      <w:bodyDiv w:val="1"/>
      <w:marLeft w:val="0"/>
      <w:marRight w:val="0"/>
      <w:marTop w:val="0"/>
      <w:marBottom w:val="0"/>
      <w:divBdr>
        <w:top w:val="none" w:sz="0" w:space="0" w:color="auto"/>
        <w:left w:val="none" w:sz="0" w:space="0" w:color="auto"/>
        <w:bottom w:val="none" w:sz="0" w:space="0" w:color="auto"/>
        <w:right w:val="none" w:sz="0" w:space="0" w:color="auto"/>
      </w:divBdr>
    </w:div>
    <w:div w:id="106105752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sChild>
        <w:div w:id="605356377">
          <w:marLeft w:val="0"/>
          <w:marRight w:val="0"/>
          <w:marTop w:val="0"/>
          <w:marBottom w:val="0"/>
          <w:divBdr>
            <w:top w:val="none" w:sz="0" w:space="0" w:color="auto"/>
            <w:left w:val="none" w:sz="0" w:space="0" w:color="auto"/>
            <w:bottom w:val="none" w:sz="0" w:space="0" w:color="auto"/>
            <w:right w:val="none" w:sz="0" w:space="0" w:color="auto"/>
          </w:divBdr>
        </w:div>
      </w:divsChild>
    </w:div>
    <w:div w:id="1066105278">
      <w:bodyDiv w:val="1"/>
      <w:marLeft w:val="0"/>
      <w:marRight w:val="0"/>
      <w:marTop w:val="0"/>
      <w:marBottom w:val="0"/>
      <w:divBdr>
        <w:top w:val="none" w:sz="0" w:space="0" w:color="auto"/>
        <w:left w:val="none" w:sz="0" w:space="0" w:color="auto"/>
        <w:bottom w:val="none" w:sz="0" w:space="0" w:color="auto"/>
        <w:right w:val="none" w:sz="0" w:space="0" w:color="auto"/>
      </w:divBdr>
    </w:div>
    <w:div w:id="1068189814">
      <w:bodyDiv w:val="1"/>
      <w:marLeft w:val="0"/>
      <w:marRight w:val="0"/>
      <w:marTop w:val="0"/>
      <w:marBottom w:val="0"/>
      <w:divBdr>
        <w:top w:val="none" w:sz="0" w:space="0" w:color="auto"/>
        <w:left w:val="none" w:sz="0" w:space="0" w:color="auto"/>
        <w:bottom w:val="none" w:sz="0" w:space="0" w:color="auto"/>
        <w:right w:val="none" w:sz="0" w:space="0" w:color="auto"/>
      </w:divBdr>
    </w:div>
    <w:div w:id="1069109917">
      <w:bodyDiv w:val="1"/>
      <w:marLeft w:val="0"/>
      <w:marRight w:val="0"/>
      <w:marTop w:val="0"/>
      <w:marBottom w:val="0"/>
      <w:divBdr>
        <w:top w:val="none" w:sz="0" w:space="0" w:color="auto"/>
        <w:left w:val="none" w:sz="0" w:space="0" w:color="auto"/>
        <w:bottom w:val="none" w:sz="0" w:space="0" w:color="auto"/>
        <w:right w:val="none" w:sz="0" w:space="0" w:color="auto"/>
      </w:divBdr>
    </w:div>
    <w:div w:id="1078014066">
      <w:bodyDiv w:val="1"/>
      <w:marLeft w:val="0"/>
      <w:marRight w:val="0"/>
      <w:marTop w:val="0"/>
      <w:marBottom w:val="0"/>
      <w:divBdr>
        <w:top w:val="none" w:sz="0" w:space="0" w:color="auto"/>
        <w:left w:val="none" w:sz="0" w:space="0" w:color="auto"/>
        <w:bottom w:val="none" w:sz="0" w:space="0" w:color="auto"/>
        <w:right w:val="none" w:sz="0" w:space="0" w:color="auto"/>
      </w:divBdr>
    </w:div>
    <w:div w:id="1078985953">
      <w:bodyDiv w:val="1"/>
      <w:marLeft w:val="0"/>
      <w:marRight w:val="0"/>
      <w:marTop w:val="0"/>
      <w:marBottom w:val="0"/>
      <w:divBdr>
        <w:top w:val="none" w:sz="0" w:space="0" w:color="auto"/>
        <w:left w:val="none" w:sz="0" w:space="0" w:color="auto"/>
        <w:bottom w:val="none" w:sz="0" w:space="0" w:color="auto"/>
        <w:right w:val="none" w:sz="0" w:space="0" w:color="auto"/>
      </w:divBdr>
    </w:div>
    <w:div w:id="1079719831">
      <w:bodyDiv w:val="1"/>
      <w:marLeft w:val="0"/>
      <w:marRight w:val="0"/>
      <w:marTop w:val="0"/>
      <w:marBottom w:val="0"/>
      <w:divBdr>
        <w:top w:val="none" w:sz="0" w:space="0" w:color="auto"/>
        <w:left w:val="none" w:sz="0" w:space="0" w:color="auto"/>
        <w:bottom w:val="none" w:sz="0" w:space="0" w:color="auto"/>
        <w:right w:val="none" w:sz="0" w:space="0" w:color="auto"/>
      </w:divBdr>
    </w:div>
    <w:div w:id="1085810047">
      <w:bodyDiv w:val="1"/>
      <w:marLeft w:val="0"/>
      <w:marRight w:val="0"/>
      <w:marTop w:val="0"/>
      <w:marBottom w:val="0"/>
      <w:divBdr>
        <w:top w:val="none" w:sz="0" w:space="0" w:color="auto"/>
        <w:left w:val="none" w:sz="0" w:space="0" w:color="auto"/>
        <w:bottom w:val="none" w:sz="0" w:space="0" w:color="auto"/>
        <w:right w:val="none" w:sz="0" w:space="0" w:color="auto"/>
      </w:divBdr>
    </w:div>
    <w:div w:id="1095588949">
      <w:bodyDiv w:val="1"/>
      <w:marLeft w:val="0"/>
      <w:marRight w:val="0"/>
      <w:marTop w:val="0"/>
      <w:marBottom w:val="0"/>
      <w:divBdr>
        <w:top w:val="none" w:sz="0" w:space="0" w:color="auto"/>
        <w:left w:val="none" w:sz="0" w:space="0" w:color="auto"/>
        <w:bottom w:val="none" w:sz="0" w:space="0" w:color="auto"/>
        <w:right w:val="none" w:sz="0" w:space="0" w:color="auto"/>
      </w:divBdr>
    </w:div>
    <w:div w:id="1104150684">
      <w:bodyDiv w:val="1"/>
      <w:marLeft w:val="0"/>
      <w:marRight w:val="0"/>
      <w:marTop w:val="0"/>
      <w:marBottom w:val="0"/>
      <w:divBdr>
        <w:top w:val="none" w:sz="0" w:space="0" w:color="auto"/>
        <w:left w:val="none" w:sz="0" w:space="0" w:color="auto"/>
        <w:bottom w:val="none" w:sz="0" w:space="0" w:color="auto"/>
        <w:right w:val="none" w:sz="0" w:space="0" w:color="auto"/>
      </w:divBdr>
    </w:div>
    <w:div w:id="1115640226">
      <w:bodyDiv w:val="1"/>
      <w:marLeft w:val="0"/>
      <w:marRight w:val="0"/>
      <w:marTop w:val="0"/>
      <w:marBottom w:val="0"/>
      <w:divBdr>
        <w:top w:val="none" w:sz="0" w:space="0" w:color="auto"/>
        <w:left w:val="none" w:sz="0" w:space="0" w:color="auto"/>
        <w:bottom w:val="none" w:sz="0" w:space="0" w:color="auto"/>
        <w:right w:val="none" w:sz="0" w:space="0" w:color="auto"/>
      </w:divBdr>
    </w:div>
    <w:div w:id="1119493837">
      <w:bodyDiv w:val="1"/>
      <w:marLeft w:val="0"/>
      <w:marRight w:val="0"/>
      <w:marTop w:val="0"/>
      <w:marBottom w:val="0"/>
      <w:divBdr>
        <w:top w:val="none" w:sz="0" w:space="0" w:color="auto"/>
        <w:left w:val="none" w:sz="0" w:space="0" w:color="auto"/>
        <w:bottom w:val="none" w:sz="0" w:space="0" w:color="auto"/>
        <w:right w:val="none" w:sz="0" w:space="0" w:color="auto"/>
      </w:divBdr>
    </w:div>
    <w:div w:id="1130899698">
      <w:bodyDiv w:val="1"/>
      <w:marLeft w:val="0"/>
      <w:marRight w:val="0"/>
      <w:marTop w:val="0"/>
      <w:marBottom w:val="0"/>
      <w:divBdr>
        <w:top w:val="none" w:sz="0" w:space="0" w:color="auto"/>
        <w:left w:val="none" w:sz="0" w:space="0" w:color="auto"/>
        <w:bottom w:val="none" w:sz="0" w:space="0" w:color="auto"/>
        <w:right w:val="none" w:sz="0" w:space="0" w:color="auto"/>
      </w:divBdr>
    </w:div>
    <w:div w:id="1132093865">
      <w:bodyDiv w:val="1"/>
      <w:marLeft w:val="0"/>
      <w:marRight w:val="0"/>
      <w:marTop w:val="0"/>
      <w:marBottom w:val="0"/>
      <w:divBdr>
        <w:top w:val="none" w:sz="0" w:space="0" w:color="auto"/>
        <w:left w:val="none" w:sz="0" w:space="0" w:color="auto"/>
        <w:bottom w:val="none" w:sz="0" w:space="0" w:color="auto"/>
        <w:right w:val="none" w:sz="0" w:space="0" w:color="auto"/>
      </w:divBdr>
    </w:div>
    <w:div w:id="1132941611">
      <w:bodyDiv w:val="1"/>
      <w:marLeft w:val="0"/>
      <w:marRight w:val="0"/>
      <w:marTop w:val="0"/>
      <w:marBottom w:val="0"/>
      <w:divBdr>
        <w:top w:val="none" w:sz="0" w:space="0" w:color="auto"/>
        <w:left w:val="none" w:sz="0" w:space="0" w:color="auto"/>
        <w:bottom w:val="none" w:sz="0" w:space="0" w:color="auto"/>
        <w:right w:val="none" w:sz="0" w:space="0" w:color="auto"/>
      </w:divBdr>
    </w:div>
    <w:div w:id="1140613990">
      <w:bodyDiv w:val="1"/>
      <w:marLeft w:val="0"/>
      <w:marRight w:val="0"/>
      <w:marTop w:val="0"/>
      <w:marBottom w:val="0"/>
      <w:divBdr>
        <w:top w:val="none" w:sz="0" w:space="0" w:color="auto"/>
        <w:left w:val="none" w:sz="0" w:space="0" w:color="auto"/>
        <w:bottom w:val="none" w:sz="0" w:space="0" w:color="auto"/>
        <w:right w:val="none" w:sz="0" w:space="0" w:color="auto"/>
      </w:divBdr>
    </w:div>
    <w:div w:id="1156264558">
      <w:bodyDiv w:val="1"/>
      <w:marLeft w:val="0"/>
      <w:marRight w:val="0"/>
      <w:marTop w:val="0"/>
      <w:marBottom w:val="0"/>
      <w:divBdr>
        <w:top w:val="none" w:sz="0" w:space="0" w:color="auto"/>
        <w:left w:val="none" w:sz="0" w:space="0" w:color="auto"/>
        <w:bottom w:val="none" w:sz="0" w:space="0" w:color="auto"/>
        <w:right w:val="none" w:sz="0" w:space="0" w:color="auto"/>
      </w:divBdr>
    </w:div>
    <w:div w:id="1157262836">
      <w:bodyDiv w:val="1"/>
      <w:marLeft w:val="0"/>
      <w:marRight w:val="0"/>
      <w:marTop w:val="0"/>
      <w:marBottom w:val="0"/>
      <w:divBdr>
        <w:top w:val="none" w:sz="0" w:space="0" w:color="auto"/>
        <w:left w:val="none" w:sz="0" w:space="0" w:color="auto"/>
        <w:bottom w:val="none" w:sz="0" w:space="0" w:color="auto"/>
        <w:right w:val="none" w:sz="0" w:space="0" w:color="auto"/>
      </w:divBdr>
    </w:div>
    <w:div w:id="1157720725">
      <w:bodyDiv w:val="1"/>
      <w:marLeft w:val="0"/>
      <w:marRight w:val="0"/>
      <w:marTop w:val="0"/>
      <w:marBottom w:val="0"/>
      <w:divBdr>
        <w:top w:val="none" w:sz="0" w:space="0" w:color="auto"/>
        <w:left w:val="none" w:sz="0" w:space="0" w:color="auto"/>
        <w:bottom w:val="none" w:sz="0" w:space="0" w:color="auto"/>
        <w:right w:val="none" w:sz="0" w:space="0" w:color="auto"/>
      </w:divBdr>
    </w:div>
    <w:div w:id="1161118990">
      <w:bodyDiv w:val="1"/>
      <w:marLeft w:val="0"/>
      <w:marRight w:val="0"/>
      <w:marTop w:val="0"/>
      <w:marBottom w:val="0"/>
      <w:divBdr>
        <w:top w:val="none" w:sz="0" w:space="0" w:color="auto"/>
        <w:left w:val="none" w:sz="0" w:space="0" w:color="auto"/>
        <w:bottom w:val="none" w:sz="0" w:space="0" w:color="auto"/>
        <w:right w:val="none" w:sz="0" w:space="0" w:color="auto"/>
      </w:divBdr>
    </w:div>
    <w:div w:id="1162046242">
      <w:bodyDiv w:val="1"/>
      <w:marLeft w:val="0"/>
      <w:marRight w:val="0"/>
      <w:marTop w:val="0"/>
      <w:marBottom w:val="0"/>
      <w:divBdr>
        <w:top w:val="none" w:sz="0" w:space="0" w:color="auto"/>
        <w:left w:val="none" w:sz="0" w:space="0" w:color="auto"/>
        <w:bottom w:val="none" w:sz="0" w:space="0" w:color="auto"/>
        <w:right w:val="none" w:sz="0" w:space="0" w:color="auto"/>
      </w:divBdr>
    </w:div>
    <w:div w:id="1163350220">
      <w:bodyDiv w:val="1"/>
      <w:marLeft w:val="0"/>
      <w:marRight w:val="0"/>
      <w:marTop w:val="0"/>
      <w:marBottom w:val="0"/>
      <w:divBdr>
        <w:top w:val="none" w:sz="0" w:space="0" w:color="auto"/>
        <w:left w:val="none" w:sz="0" w:space="0" w:color="auto"/>
        <w:bottom w:val="none" w:sz="0" w:space="0" w:color="auto"/>
        <w:right w:val="none" w:sz="0" w:space="0" w:color="auto"/>
      </w:divBdr>
    </w:div>
    <w:div w:id="1171145116">
      <w:bodyDiv w:val="1"/>
      <w:marLeft w:val="0"/>
      <w:marRight w:val="0"/>
      <w:marTop w:val="0"/>
      <w:marBottom w:val="0"/>
      <w:divBdr>
        <w:top w:val="none" w:sz="0" w:space="0" w:color="auto"/>
        <w:left w:val="none" w:sz="0" w:space="0" w:color="auto"/>
        <w:bottom w:val="none" w:sz="0" w:space="0" w:color="auto"/>
        <w:right w:val="none" w:sz="0" w:space="0" w:color="auto"/>
      </w:divBdr>
    </w:div>
    <w:div w:id="1175416018">
      <w:bodyDiv w:val="1"/>
      <w:marLeft w:val="0"/>
      <w:marRight w:val="0"/>
      <w:marTop w:val="0"/>
      <w:marBottom w:val="0"/>
      <w:divBdr>
        <w:top w:val="none" w:sz="0" w:space="0" w:color="auto"/>
        <w:left w:val="none" w:sz="0" w:space="0" w:color="auto"/>
        <w:bottom w:val="none" w:sz="0" w:space="0" w:color="auto"/>
        <w:right w:val="none" w:sz="0" w:space="0" w:color="auto"/>
      </w:divBdr>
    </w:div>
    <w:div w:id="1177161115">
      <w:bodyDiv w:val="1"/>
      <w:marLeft w:val="0"/>
      <w:marRight w:val="0"/>
      <w:marTop w:val="0"/>
      <w:marBottom w:val="0"/>
      <w:divBdr>
        <w:top w:val="none" w:sz="0" w:space="0" w:color="auto"/>
        <w:left w:val="none" w:sz="0" w:space="0" w:color="auto"/>
        <w:bottom w:val="none" w:sz="0" w:space="0" w:color="auto"/>
        <w:right w:val="none" w:sz="0" w:space="0" w:color="auto"/>
      </w:divBdr>
    </w:div>
    <w:div w:id="1185899161">
      <w:bodyDiv w:val="1"/>
      <w:marLeft w:val="0"/>
      <w:marRight w:val="0"/>
      <w:marTop w:val="0"/>
      <w:marBottom w:val="0"/>
      <w:divBdr>
        <w:top w:val="none" w:sz="0" w:space="0" w:color="auto"/>
        <w:left w:val="none" w:sz="0" w:space="0" w:color="auto"/>
        <w:bottom w:val="none" w:sz="0" w:space="0" w:color="auto"/>
        <w:right w:val="none" w:sz="0" w:space="0" w:color="auto"/>
      </w:divBdr>
    </w:div>
    <w:div w:id="1193881858">
      <w:bodyDiv w:val="1"/>
      <w:marLeft w:val="0"/>
      <w:marRight w:val="0"/>
      <w:marTop w:val="0"/>
      <w:marBottom w:val="0"/>
      <w:divBdr>
        <w:top w:val="none" w:sz="0" w:space="0" w:color="auto"/>
        <w:left w:val="none" w:sz="0" w:space="0" w:color="auto"/>
        <w:bottom w:val="none" w:sz="0" w:space="0" w:color="auto"/>
        <w:right w:val="none" w:sz="0" w:space="0" w:color="auto"/>
      </w:divBdr>
    </w:div>
    <w:div w:id="1194612516">
      <w:bodyDiv w:val="1"/>
      <w:marLeft w:val="0"/>
      <w:marRight w:val="0"/>
      <w:marTop w:val="0"/>
      <w:marBottom w:val="0"/>
      <w:divBdr>
        <w:top w:val="none" w:sz="0" w:space="0" w:color="auto"/>
        <w:left w:val="none" w:sz="0" w:space="0" w:color="auto"/>
        <w:bottom w:val="none" w:sz="0" w:space="0" w:color="auto"/>
        <w:right w:val="none" w:sz="0" w:space="0" w:color="auto"/>
      </w:divBdr>
    </w:div>
    <w:div w:id="1198851341">
      <w:bodyDiv w:val="1"/>
      <w:marLeft w:val="0"/>
      <w:marRight w:val="0"/>
      <w:marTop w:val="0"/>
      <w:marBottom w:val="0"/>
      <w:divBdr>
        <w:top w:val="none" w:sz="0" w:space="0" w:color="auto"/>
        <w:left w:val="none" w:sz="0" w:space="0" w:color="auto"/>
        <w:bottom w:val="none" w:sz="0" w:space="0" w:color="auto"/>
        <w:right w:val="none" w:sz="0" w:space="0" w:color="auto"/>
      </w:divBdr>
    </w:div>
    <w:div w:id="1200631705">
      <w:bodyDiv w:val="1"/>
      <w:marLeft w:val="0"/>
      <w:marRight w:val="0"/>
      <w:marTop w:val="0"/>
      <w:marBottom w:val="0"/>
      <w:divBdr>
        <w:top w:val="none" w:sz="0" w:space="0" w:color="auto"/>
        <w:left w:val="none" w:sz="0" w:space="0" w:color="auto"/>
        <w:bottom w:val="none" w:sz="0" w:space="0" w:color="auto"/>
        <w:right w:val="none" w:sz="0" w:space="0" w:color="auto"/>
      </w:divBdr>
    </w:div>
    <w:div w:id="1201438699">
      <w:bodyDiv w:val="1"/>
      <w:marLeft w:val="0"/>
      <w:marRight w:val="0"/>
      <w:marTop w:val="0"/>
      <w:marBottom w:val="0"/>
      <w:divBdr>
        <w:top w:val="none" w:sz="0" w:space="0" w:color="auto"/>
        <w:left w:val="none" w:sz="0" w:space="0" w:color="auto"/>
        <w:bottom w:val="none" w:sz="0" w:space="0" w:color="auto"/>
        <w:right w:val="none" w:sz="0" w:space="0" w:color="auto"/>
      </w:divBdr>
    </w:div>
    <w:div w:id="1203517533">
      <w:bodyDiv w:val="1"/>
      <w:marLeft w:val="0"/>
      <w:marRight w:val="0"/>
      <w:marTop w:val="0"/>
      <w:marBottom w:val="0"/>
      <w:divBdr>
        <w:top w:val="none" w:sz="0" w:space="0" w:color="auto"/>
        <w:left w:val="none" w:sz="0" w:space="0" w:color="auto"/>
        <w:bottom w:val="none" w:sz="0" w:space="0" w:color="auto"/>
        <w:right w:val="none" w:sz="0" w:space="0" w:color="auto"/>
      </w:divBdr>
    </w:div>
    <w:div w:id="1209073718">
      <w:bodyDiv w:val="1"/>
      <w:marLeft w:val="0"/>
      <w:marRight w:val="0"/>
      <w:marTop w:val="0"/>
      <w:marBottom w:val="0"/>
      <w:divBdr>
        <w:top w:val="none" w:sz="0" w:space="0" w:color="auto"/>
        <w:left w:val="none" w:sz="0" w:space="0" w:color="auto"/>
        <w:bottom w:val="none" w:sz="0" w:space="0" w:color="auto"/>
        <w:right w:val="none" w:sz="0" w:space="0" w:color="auto"/>
      </w:divBdr>
    </w:div>
    <w:div w:id="1212569391">
      <w:bodyDiv w:val="1"/>
      <w:marLeft w:val="0"/>
      <w:marRight w:val="0"/>
      <w:marTop w:val="0"/>
      <w:marBottom w:val="0"/>
      <w:divBdr>
        <w:top w:val="none" w:sz="0" w:space="0" w:color="auto"/>
        <w:left w:val="none" w:sz="0" w:space="0" w:color="auto"/>
        <w:bottom w:val="none" w:sz="0" w:space="0" w:color="auto"/>
        <w:right w:val="none" w:sz="0" w:space="0" w:color="auto"/>
      </w:divBdr>
    </w:div>
    <w:div w:id="1212620094">
      <w:bodyDiv w:val="1"/>
      <w:marLeft w:val="0"/>
      <w:marRight w:val="0"/>
      <w:marTop w:val="0"/>
      <w:marBottom w:val="0"/>
      <w:divBdr>
        <w:top w:val="none" w:sz="0" w:space="0" w:color="auto"/>
        <w:left w:val="none" w:sz="0" w:space="0" w:color="auto"/>
        <w:bottom w:val="none" w:sz="0" w:space="0" w:color="auto"/>
        <w:right w:val="none" w:sz="0" w:space="0" w:color="auto"/>
      </w:divBdr>
    </w:div>
    <w:div w:id="1213270844">
      <w:bodyDiv w:val="1"/>
      <w:marLeft w:val="0"/>
      <w:marRight w:val="0"/>
      <w:marTop w:val="0"/>
      <w:marBottom w:val="0"/>
      <w:divBdr>
        <w:top w:val="none" w:sz="0" w:space="0" w:color="auto"/>
        <w:left w:val="none" w:sz="0" w:space="0" w:color="auto"/>
        <w:bottom w:val="none" w:sz="0" w:space="0" w:color="auto"/>
        <w:right w:val="none" w:sz="0" w:space="0" w:color="auto"/>
      </w:divBdr>
    </w:div>
    <w:div w:id="1221551282">
      <w:bodyDiv w:val="1"/>
      <w:marLeft w:val="0"/>
      <w:marRight w:val="0"/>
      <w:marTop w:val="0"/>
      <w:marBottom w:val="0"/>
      <w:divBdr>
        <w:top w:val="none" w:sz="0" w:space="0" w:color="auto"/>
        <w:left w:val="none" w:sz="0" w:space="0" w:color="auto"/>
        <w:bottom w:val="none" w:sz="0" w:space="0" w:color="auto"/>
        <w:right w:val="none" w:sz="0" w:space="0" w:color="auto"/>
      </w:divBdr>
    </w:div>
    <w:div w:id="1224174348">
      <w:bodyDiv w:val="1"/>
      <w:marLeft w:val="0"/>
      <w:marRight w:val="0"/>
      <w:marTop w:val="0"/>
      <w:marBottom w:val="0"/>
      <w:divBdr>
        <w:top w:val="none" w:sz="0" w:space="0" w:color="auto"/>
        <w:left w:val="none" w:sz="0" w:space="0" w:color="auto"/>
        <w:bottom w:val="none" w:sz="0" w:space="0" w:color="auto"/>
        <w:right w:val="none" w:sz="0" w:space="0" w:color="auto"/>
      </w:divBdr>
    </w:div>
    <w:div w:id="1227764572">
      <w:bodyDiv w:val="1"/>
      <w:marLeft w:val="0"/>
      <w:marRight w:val="0"/>
      <w:marTop w:val="0"/>
      <w:marBottom w:val="0"/>
      <w:divBdr>
        <w:top w:val="none" w:sz="0" w:space="0" w:color="auto"/>
        <w:left w:val="none" w:sz="0" w:space="0" w:color="auto"/>
        <w:bottom w:val="none" w:sz="0" w:space="0" w:color="auto"/>
        <w:right w:val="none" w:sz="0" w:space="0" w:color="auto"/>
      </w:divBdr>
      <w:divsChild>
        <w:div w:id="1994025119">
          <w:marLeft w:val="0"/>
          <w:marRight w:val="0"/>
          <w:marTop w:val="0"/>
          <w:marBottom w:val="0"/>
          <w:divBdr>
            <w:top w:val="none" w:sz="0" w:space="0" w:color="auto"/>
            <w:left w:val="none" w:sz="0" w:space="0" w:color="auto"/>
            <w:bottom w:val="none" w:sz="0" w:space="0" w:color="auto"/>
            <w:right w:val="none" w:sz="0" w:space="0" w:color="auto"/>
          </w:divBdr>
        </w:div>
      </w:divsChild>
    </w:div>
    <w:div w:id="1230921307">
      <w:bodyDiv w:val="1"/>
      <w:marLeft w:val="0"/>
      <w:marRight w:val="0"/>
      <w:marTop w:val="0"/>
      <w:marBottom w:val="0"/>
      <w:divBdr>
        <w:top w:val="none" w:sz="0" w:space="0" w:color="auto"/>
        <w:left w:val="none" w:sz="0" w:space="0" w:color="auto"/>
        <w:bottom w:val="none" w:sz="0" w:space="0" w:color="auto"/>
        <w:right w:val="none" w:sz="0" w:space="0" w:color="auto"/>
      </w:divBdr>
    </w:div>
    <w:div w:id="1240139910">
      <w:bodyDiv w:val="1"/>
      <w:marLeft w:val="0"/>
      <w:marRight w:val="0"/>
      <w:marTop w:val="0"/>
      <w:marBottom w:val="0"/>
      <w:divBdr>
        <w:top w:val="none" w:sz="0" w:space="0" w:color="auto"/>
        <w:left w:val="none" w:sz="0" w:space="0" w:color="auto"/>
        <w:bottom w:val="none" w:sz="0" w:space="0" w:color="auto"/>
        <w:right w:val="none" w:sz="0" w:space="0" w:color="auto"/>
      </w:divBdr>
    </w:div>
    <w:div w:id="1241327642">
      <w:bodyDiv w:val="1"/>
      <w:marLeft w:val="0"/>
      <w:marRight w:val="0"/>
      <w:marTop w:val="0"/>
      <w:marBottom w:val="0"/>
      <w:divBdr>
        <w:top w:val="none" w:sz="0" w:space="0" w:color="auto"/>
        <w:left w:val="none" w:sz="0" w:space="0" w:color="auto"/>
        <w:bottom w:val="none" w:sz="0" w:space="0" w:color="auto"/>
        <w:right w:val="none" w:sz="0" w:space="0" w:color="auto"/>
      </w:divBdr>
    </w:div>
    <w:div w:id="1242955891">
      <w:bodyDiv w:val="1"/>
      <w:marLeft w:val="0"/>
      <w:marRight w:val="0"/>
      <w:marTop w:val="0"/>
      <w:marBottom w:val="0"/>
      <w:divBdr>
        <w:top w:val="none" w:sz="0" w:space="0" w:color="auto"/>
        <w:left w:val="none" w:sz="0" w:space="0" w:color="auto"/>
        <w:bottom w:val="none" w:sz="0" w:space="0" w:color="auto"/>
        <w:right w:val="none" w:sz="0" w:space="0" w:color="auto"/>
      </w:divBdr>
    </w:div>
    <w:div w:id="1248542425">
      <w:bodyDiv w:val="1"/>
      <w:marLeft w:val="0"/>
      <w:marRight w:val="0"/>
      <w:marTop w:val="0"/>
      <w:marBottom w:val="0"/>
      <w:divBdr>
        <w:top w:val="none" w:sz="0" w:space="0" w:color="auto"/>
        <w:left w:val="none" w:sz="0" w:space="0" w:color="auto"/>
        <w:bottom w:val="none" w:sz="0" w:space="0" w:color="auto"/>
        <w:right w:val="none" w:sz="0" w:space="0" w:color="auto"/>
      </w:divBdr>
      <w:divsChild>
        <w:div w:id="885021381">
          <w:marLeft w:val="0"/>
          <w:marRight w:val="0"/>
          <w:marTop w:val="0"/>
          <w:marBottom w:val="0"/>
          <w:divBdr>
            <w:top w:val="none" w:sz="0" w:space="0" w:color="auto"/>
            <w:left w:val="none" w:sz="0" w:space="0" w:color="auto"/>
            <w:bottom w:val="none" w:sz="0" w:space="0" w:color="auto"/>
            <w:right w:val="none" w:sz="0" w:space="0" w:color="auto"/>
          </w:divBdr>
        </w:div>
      </w:divsChild>
    </w:div>
    <w:div w:id="1252158760">
      <w:bodyDiv w:val="1"/>
      <w:marLeft w:val="0"/>
      <w:marRight w:val="0"/>
      <w:marTop w:val="0"/>
      <w:marBottom w:val="0"/>
      <w:divBdr>
        <w:top w:val="none" w:sz="0" w:space="0" w:color="auto"/>
        <w:left w:val="none" w:sz="0" w:space="0" w:color="auto"/>
        <w:bottom w:val="none" w:sz="0" w:space="0" w:color="auto"/>
        <w:right w:val="none" w:sz="0" w:space="0" w:color="auto"/>
      </w:divBdr>
    </w:div>
    <w:div w:id="1257709076">
      <w:bodyDiv w:val="1"/>
      <w:marLeft w:val="0"/>
      <w:marRight w:val="0"/>
      <w:marTop w:val="0"/>
      <w:marBottom w:val="0"/>
      <w:divBdr>
        <w:top w:val="none" w:sz="0" w:space="0" w:color="auto"/>
        <w:left w:val="none" w:sz="0" w:space="0" w:color="auto"/>
        <w:bottom w:val="none" w:sz="0" w:space="0" w:color="auto"/>
        <w:right w:val="none" w:sz="0" w:space="0" w:color="auto"/>
      </w:divBdr>
    </w:div>
    <w:div w:id="1261452094">
      <w:bodyDiv w:val="1"/>
      <w:marLeft w:val="0"/>
      <w:marRight w:val="0"/>
      <w:marTop w:val="0"/>
      <w:marBottom w:val="0"/>
      <w:divBdr>
        <w:top w:val="none" w:sz="0" w:space="0" w:color="auto"/>
        <w:left w:val="none" w:sz="0" w:space="0" w:color="auto"/>
        <w:bottom w:val="none" w:sz="0" w:space="0" w:color="auto"/>
        <w:right w:val="none" w:sz="0" w:space="0" w:color="auto"/>
      </w:divBdr>
    </w:div>
    <w:div w:id="1269848031">
      <w:bodyDiv w:val="1"/>
      <w:marLeft w:val="0"/>
      <w:marRight w:val="0"/>
      <w:marTop w:val="0"/>
      <w:marBottom w:val="0"/>
      <w:divBdr>
        <w:top w:val="none" w:sz="0" w:space="0" w:color="auto"/>
        <w:left w:val="none" w:sz="0" w:space="0" w:color="auto"/>
        <w:bottom w:val="none" w:sz="0" w:space="0" w:color="auto"/>
        <w:right w:val="none" w:sz="0" w:space="0" w:color="auto"/>
      </w:divBdr>
    </w:div>
    <w:div w:id="1269921584">
      <w:bodyDiv w:val="1"/>
      <w:marLeft w:val="0"/>
      <w:marRight w:val="0"/>
      <w:marTop w:val="0"/>
      <w:marBottom w:val="0"/>
      <w:divBdr>
        <w:top w:val="none" w:sz="0" w:space="0" w:color="auto"/>
        <w:left w:val="none" w:sz="0" w:space="0" w:color="auto"/>
        <w:bottom w:val="none" w:sz="0" w:space="0" w:color="auto"/>
        <w:right w:val="none" w:sz="0" w:space="0" w:color="auto"/>
      </w:divBdr>
    </w:div>
    <w:div w:id="1272469481">
      <w:bodyDiv w:val="1"/>
      <w:marLeft w:val="0"/>
      <w:marRight w:val="0"/>
      <w:marTop w:val="0"/>
      <w:marBottom w:val="0"/>
      <w:divBdr>
        <w:top w:val="none" w:sz="0" w:space="0" w:color="auto"/>
        <w:left w:val="none" w:sz="0" w:space="0" w:color="auto"/>
        <w:bottom w:val="none" w:sz="0" w:space="0" w:color="auto"/>
        <w:right w:val="none" w:sz="0" w:space="0" w:color="auto"/>
      </w:divBdr>
    </w:div>
    <w:div w:id="1284996149">
      <w:bodyDiv w:val="1"/>
      <w:marLeft w:val="0"/>
      <w:marRight w:val="0"/>
      <w:marTop w:val="0"/>
      <w:marBottom w:val="0"/>
      <w:divBdr>
        <w:top w:val="none" w:sz="0" w:space="0" w:color="auto"/>
        <w:left w:val="none" w:sz="0" w:space="0" w:color="auto"/>
        <w:bottom w:val="none" w:sz="0" w:space="0" w:color="auto"/>
        <w:right w:val="none" w:sz="0" w:space="0" w:color="auto"/>
      </w:divBdr>
    </w:div>
    <w:div w:id="1287547585">
      <w:bodyDiv w:val="1"/>
      <w:marLeft w:val="0"/>
      <w:marRight w:val="0"/>
      <w:marTop w:val="0"/>
      <w:marBottom w:val="0"/>
      <w:divBdr>
        <w:top w:val="none" w:sz="0" w:space="0" w:color="auto"/>
        <w:left w:val="none" w:sz="0" w:space="0" w:color="auto"/>
        <w:bottom w:val="none" w:sz="0" w:space="0" w:color="auto"/>
        <w:right w:val="none" w:sz="0" w:space="0" w:color="auto"/>
      </w:divBdr>
    </w:div>
    <w:div w:id="1288777517">
      <w:bodyDiv w:val="1"/>
      <w:marLeft w:val="0"/>
      <w:marRight w:val="0"/>
      <w:marTop w:val="0"/>
      <w:marBottom w:val="0"/>
      <w:divBdr>
        <w:top w:val="none" w:sz="0" w:space="0" w:color="auto"/>
        <w:left w:val="none" w:sz="0" w:space="0" w:color="auto"/>
        <w:bottom w:val="none" w:sz="0" w:space="0" w:color="auto"/>
        <w:right w:val="none" w:sz="0" w:space="0" w:color="auto"/>
      </w:divBdr>
    </w:div>
    <w:div w:id="1290669992">
      <w:bodyDiv w:val="1"/>
      <w:marLeft w:val="0"/>
      <w:marRight w:val="0"/>
      <w:marTop w:val="0"/>
      <w:marBottom w:val="0"/>
      <w:divBdr>
        <w:top w:val="none" w:sz="0" w:space="0" w:color="auto"/>
        <w:left w:val="none" w:sz="0" w:space="0" w:color="auto"/>
        <w:bottom w:val="none" w:sz="0" w:space="0" w:color="auto"/>
        <w:right w:val="none" w:sz="0" w:space="0" w:color="auto"/>
      </w:divBdr>
    </w:div>
    <w:div w:id="1294292268">
      <w:bodyDiv w:val="1"/>
      <w:marLeft w:val="0"/>
      <w:marRight w:val="0"/>
      <w:marTop w:val="0"/>
      <w:marBottom w:val="0"/>
      <w:divBdr>
        <w:top w:val="none" w:sz="0" w:space="0" w:color="auto"/>
        <w:left w:val="none" w:sz="0" w:space="0" w:color="auto"/>
        <w:bottom w:val="none" w:sz="0" w:space="0" w:color="auto"/>
        <w:right w:val="none" w:sz="0" w:space="0" w:color="auto"/>
      </w:divBdr>
    </w:div>
    <w:div w:id="1296446147">
      <w:bodyDiv w:val="1"/>
      <w:marLeft w:val="0"/>
      <w:marRight w:val="0"/>
      <w:marTop w:val="0"/>
      <w:marBottom w:val="0"/>
      <w:divBdr>
        <w:top w:val="none" w:sz="0" w:space="0" w:color="auto"/>
        <w:left w:val="none" w:sz="0" w:space="0" w:color="auto"/>
        <w:bottom w:val="none" w:sz="0" w:space="0" w:color="auto"/>
        <w:right w:val="none" w:sz="0" w:space="0" w:color="auto"/>
      </w:divBdr>
    </w:div>
    <w:div w:id="1297297067">
      <w:bodyDiv w:val="1"/>
      <w:marLeft w:val="0"/>
      <w:marRight w:val="0"/>
      <w:marTop w:val="0"/>
      <w:marBottom w:val="0"/>
      <w:divBdr>
        <w:top w:val="none" w:sz="0" w:space="0" w:color="auto"/>
        <w:left w:val="none" w:sz="0" w:space="0" w:color="auto"/>
        <w:bottom w:val="none" w:sz="0" w:space="0" w:color="auto"/>
        <w:right w:val="none" w:sz="0" w:space="0" w:color="auto"/>
      </w:divBdr>
    </w:div>
    <w:div w:id="1302076506">
      <w:bodyDiv w:val="1"/>
      <w:marLeft w:val="0"/>
      <w:marRight w:val="0"/>
      <w:marTop w:val="0"/>
      <w:marBottom w:val="0"/>
      <w:divBdr>
        <w:top w:val="none" w:sz="0" w:space="0" w:color="auto"/>
        <w:left w:val="none" w:sz="0" w:space="0" w:color="auto"/>
        <w:bottom w:val="none" w:sz="0" w:space="0" w:color="auto"/>
        <w:right w:val="none" w:sz="0" w:space="0" w:color="auto"/>
      </w:divBdr>
    </w:div>
    <w:div w:id="1303920459">
      <w:bodyDiv w:val="1"/>
      <w:marLeft w:val="0"/>
      <w:marRight w:val="0"/>
      <w:marTop w:val="0"/>
      <w:marBottom w:val="0"/>
      <w:divBdr>
        <w:top w:val="none" w:sz="0" w:space="0" w:color="auto"/>
        <w:left w:val="none" w:sz="0" w:space="0" w:color="auto"/>
        <w:bottom w:val="none" w:sz="0" w:space="0" w:color="auto"/>
        <w:right w:val="none" w:sz="0" w:space="0" w:color="auto"/>
      </w:divBdr>
    </w:div>
    <w:div w:id="1313749759">
      <w:bodyDiv w:val="1"/>
      <w:marLeft w:val="0"/>
      <w:marRight w:val="0"/>
      <w:marTop w:val="0"/>
      <w:marBottom w:val="0"/>
      <w:divBdr>
        <w:top w:val="none" w:sz="0" w:space="0" w:color="auto"/>
        <w:left w:val="none" w:sz="0" w:space="0" w:color="auto"/>
        <w:bottom w:val="none" w:sz="0" w:space="0" w:color="auto"/>
        <w:right w:val="none" w:sz="0" w:space="0" w:color="auto"/>
      </w:divBdr>
    </w:div>
    <w:div w:id="1313824875">
      <w:bodyDiv w:val="1"/>
      <w:marLeft w:val="0"/>
      <w:marRight w:val="0"/>
      <w:marTop w:val="0"/>
      <w:marBottom w:val="0"/>
      <w:divBdr>
        <w:top w:val="none" w:sz="0" w:space="0" w:color="auto"/>
        <w:left w:val="none" w:sz="0" w:space="0" w:color="auto"/>
        <w:bottom w:val="none" w:sz="0" w:space="0" w:color="auto"/>
        <w:right w:val="none" w:sz="0" w:space="0" w:color="auto"/>
      </w:divBdr>
    </w:div>
    <w:div w:id="1320378812">
      <w:bodyDiv w:val="1"/>
      <w:marLeft w:val="0"/>
      <w:marRight w:val="0"/>
      <w:marTop w:val="0"/>
      <w:marBottom w:val="0"/>
      <w:divBdr>
        <w:top w:val="none" w:sz="0" w:space="0" w:color="auto"/>
        <w:left w:val="none" w:sz="0" w:space="0" w:color="auto"/>
        <w:bottom w:val="none" w:sz="0" w:space="0" w:color="auto"/>
        <w:right w:val="none" w:sz="0" w:space="0" w:color="auto"/>
      </w:divBdr>
    </w:div>
    <w:div w:id="1326127867">
      <w:bodyDiv w:val="1"/>
      <w:marLeft w:val="0"/>
      <w:marRight w:val="0"/>
      <w:marTop w:val="0"/>
      <w:marBottom w:val="0"/>
      <w:divBdr>
        <w:top w:val="none" w:sz="0" w:space="0" w:color="auto"/>
        <w:left w:val="none" w:sz="0" w:space="0" w:color="auto"/>
        <w:bottom w:val="none" w:sz="0" w:space="0" w:color="auto"/>
        <w:right w:val="none" w:sz="0" w:space="0" w:color="auto"/>
      </w:divBdr>
    </w:div>
    <w:div w:id="1331055961">
      <w:bodyDiv w:val="1"/>
      <w:marLeft w:val="0"/>
      <w:marRight w:val="0"/>
      <w:marTop w:val="0"/>
      <w:marBottom w:val="0"/>
      <w:divBdr>
        <w:top w:val="none" w:sz="0" w:space="0" w:color="auto"/>
        <w:left w:val="none" w:sz="0" w:space="0" w:color="auto"/>
        <w:bottom w:val="none" w:sz="0" w:space="0" w:color="auto"/>
        <w:right w:val="none" w:sz="0" w:space="0" w:color="auto"/>
      </w:divBdr>
    </w:div>
    <w:div w:id="1333946065">
      <w:bodyDiv w:val="1"/>
      <w:marLeft w:val="0"/>
      <w:marRight w:val="0"/>
      <w:marTop w:val="0"/>
      <w:marBottom w:val="0"/>
      <w:divBdr>
        <w:top w:val="none" w:sz="0" w:space="0" w:color="auto"/>
        <w:left w:val="none" w:sz="0" w:space="0" w:color="auto"/>
        <w:bottom w:val="none" w:sz="0" w:space="0" w:color="auto"/>
        <w:right w:val="none" w:sz="0" w:space="0" w:color="auto"/>
      </w:divBdr>
    </w:div>
    <w:div w:id="1334184907">
      <w:bodyDiv w:val="1"/>
      <w:marLeft w:val="0"/>
      <w:marRight w:val="0"/>
      <w:marTop w:val="0"/>
      <w:marBottom w:val="0"/>
      <w:divBdr>
        <w:top w:val="none" w:sz="0" w:space="0" w:color="auto"/>
        <w:left w:val="none" w:sz="0" w:space="0" w:color="auto"/>
        <w:bottom w:val="none" w:sz="0" w:space="0" w:color="auto"/>
        <w:right w:val="none" w:sz="0" w:space="0" w:color="auto"/>
      </w:divBdr>
    </w:div>
    <w:div w:id="1335839462">
      <w:bodyDiv w:val="1"/>
      <w:marLeft w:val="0"/>
      <w:marRight w:val="0"/>
      <w:marTop w:val="0"/>
      <w:marBottom w:val="0"/>
      <w:divBdr>
        <w:top w:val="none" w:sz="0" w:space="0" w:color="auto"/>
        <w:left w:val="none" w:sz="0" w:space="0" w:color="auto"/>
        <w:bottom w:val="none" w:sz="0" w:space="0" w:color="auto"/>
        <w:right w:val="none" w:sz="0" w:space="0" w:color="auto"/>
      </w:divBdr>
    </w:div>
    <w:div w:id="1338577518">
      <w:bodyDiv w:val="1"/>
      <w:marLeft w:val="0"/>
      <w:marRight w:val="0"/>
      <w:marTop w:val="0"/>
      <w:marBottom w:val="0"/>
      <w:divBdr>
        <w:top w:val="none" w:sz="0" w:space="0" w:color="auto"/>
        <w:left w:val="none" w:sz="0" w:space="0" w:color="auto"/>
        <w:bottom w:val="none" w:sz="0" w:space="0" w:color="auto"/>
        <w:right w:val="none" w:sz="0" w:space="0" w:color="auto"/>
      </w:divBdr>
      <w:divsChild>
        <w:div w:id="1241865334">
          <w:marLeft w:val="0"/>
          <w:marRight w:val="0"/>
          <w:marTop w:val="0"/>
          <w:marBottom w:val="0"/>
          <w:divBdr>
            <w:top w:val="none" w:sz="0" w:space="0" w:color="auto"/>
            <w:left w:val="none" w:sz="0" w:space="0" w:color="auto"/>
            <w:bottom w:val="none" w:sz="0" w:space="0" w:color="auto"/>
            <w:right w:val="none" w:sz="0" w:space="0" w:color="auto"/>
          </w:divBdr>
        </w:div>
      </w:divsChild>
    </w:div>
    <w:div w:id="1345747326">
      <w:bodyDiv w:val="1"/>
      <w:marLeft w:val="0"/>
      <w:marRight w:val="0"/>
      <w:marTop w:val="0"/>
      <w:marBottom w:val="0"/>
      <w:divBdr>
        <w:top w:val="none" w:sz="0" w:space="0" w:color="auto"/>
        <w:left w:val="none" w:sz="0" w:space="0" w:color="auto"/>
        <w:bottom w:val="none" w:sz="0" w:space="0" w:color="auto"/>
        <w:right w:val="none" w:sz="0" w:space="0" w:color="auto"/>
      </w:divBdr>
      <w:divsChild>
        <w:div w:id="976646044">
          <w:marLeft w:val="0"/>
          <w:marRight w:val="0"/>
          <w:marTop w:val="0"/>
          <w:marBottom w:val="0"/>
          <w:divBdr>
            <w:top w:val="none" w:sz="0" w:space="0" w:color="auto"/>
            <w:left w:val="none" w:sz="0" w:space="0" w:color="auto"/>
            <w:bottom w:val="none" w:sz="0" w:space="0" w:color="auto"/>
            <w:right w:val="none" w:sz="0" w:space="0" w:color="auto"/>
          </w:divBdr>
        </w:div>
      </w:divsChild>
    </w:div>
    <w:div w:id="1348605723">
      <w:bodyDiv w:val="1"/>
      <w:marLeft w:val="0"/>
      <w:marRight w:val="0"/>
      <w:marTop w:val="0"/>
      <w:marBottom w:val="0"/>
      <w:divBdr>
        <w:top w:val="none" w:sz="0" w:space="0" w:color="auto"/>
        <w:left w:val="none" w:sz="0" w:space="0" w:color="auto"/>
        <w:bottom w:val="none" w:sz="0" w:space="0" w:color="auto"/>
        <w:right w:val="none" w:sz="0" w:space="0" w:color="auto"/>
      </w:divBdr>
      <w:divsChild>
        <w:div w:id="2005742851">
          <w:marLeft w:val="0"/>
          <w:marRight w:val="0"/>
          <w:marTop w:val="0"/>
          <w:marBottom w:val="0"/>
          <w:divBdr>
            <w:top w:val="none" w:sz="0" w:space="0" w:color="auto"/>
            <w:left w:val="none" w:sz="0" w:space="0" w:color="auto"/>
            <w:bottom w:val="none" w:sz="0" w:space="0" w:color="auto"/>
            <w:right w:val="none" w:sz="0" w:space="0" w:color="auto"/>
          </w:divBdr>
        </w:div>
      </w:divsChild>
    </w:div>
    <w:div w:id="1349331845">
      <w:bodyDiv w:val="1"/>
      <w:marLeft w:val="0"/>
      <w:marRight w:val="0"/>
      <w:marTop w:val="0"/>
      <w:marBottom w:val="0"/>
      <w:divBdr>
        <w:top w:val="none" w:sz="0" w:space="0" w:color="auto"/>
        <w:left w:val="none" w:sz="0" w:space="0" w:color="auto"/>
        <w:bottom w:val="none" w:sz="0" w:space="0" w:color="auto"/>
        <w:right w:val="none" w:sz="0" w:space="0" w:color="auto"/>
      </w:divBdr>
    </w:div>
    <w:div w:id="1349678523">
      <w:bodyDiv w:val="1"/>
      <w:marLeft w:val="0"/>
      <w:marRight w:val="0"/>
      <w:marTop w:val="0"/>
      <w:marBottom w:val="0"/>
      <w:divBdr>
        <w:top w:val="none" w:sz="0" w:space="0" w:color="auto"/>
        <w:left w:val="none" w:sz="0" w:space="0" w:color="auto"/>
        <w:bottom w:val="none" w:sz="0" w:space="0" w:color="auto"/>
        <w:right w:val="none" w:sz="0" w:space="0" w:color="auto"/>
      </w:divBdr>
      <w:divsChild>
        <w:div w:id="1434980926">
          <w:marLeft w:val="0"/>
          <w:marRight w:val="0"/>
          <w:marTop w:val="0"/>
          <w:marBottom w:val="0"/>
          <w:divBdr>
            <w:top w:val="none" w:sz="0" w:space="0" w:color="auto"/>
            <w:left w:val="none" w:sz="0" w:space="0" w:color="auto"/>
            <w:bottom w:val="none" w:sz="0" w:space="0" w:color="auto"/>
            <w:right w:val="none" w:sz="0" w:space="0" w:color="auto"/>
          </w:divBdr>
        </w:div>
      </w:divsChild>
    </w:div>
    <w:div w:id="1354115026">
      <w:bodyDiv w:val="1"/>
      <w:marLeft w:val="0"/>
      <w:marRight w:val="0"/>
      <w:marTop w:val="0"/>
      <w:marBottom w:val="0"/>
      <w:divBdr>
        <w:top w:val="none" w:sz="0" w:space="0" w:color="auto"/>
        <w:left w:val="none" w:sz="0" w:space="0" w:color="auto"/>
        <w:bottom w:val="none" w:sz="0" w:space="0" w:color="auto"/>
        <w:right w:val="none" w:sz="0" w:space="0" w:color="auto"/>
      </w:divBdr>
    </w:div>
    <w:div w:id="1358238445">
      <w:bodyDiv w:val="1"/>
      <w:marLeft w:val="0"/>
      <w:marRight w:val="0"/>
      <w:marTop w:val="0"/>
      <w:marBottom w:val="0"/>
      <w:divBdr>
        <w:top w:val="none" w:sz="0" w:space="0" w:color="auto"/>
        <w:left w:val="none" w:sz="0" w:space="0" w:color="auto"/>
        <w:bottom w:val="none" w:sz="0" w:space="0" w:color="auto"/>
        <w:right w:val="none" w:sz="0" w:space="0" w:color="auto"/>
      </w:divBdr>
    </w:div>
    <w:div w:id="1361325000">
      <w:bodyDiv w:val="1"/>
      <w:marLeft w:val="0"/>
      <w:marRight w:val="0"/>
      <w:marTop w:val="0"/>
      <w:marBottom w:val="0"/>
      <w:divBdr>
        <w:top w:val="none" w:sz="0" w:space="0" w:color="auto"/>
        <w:left w:val="none" w:sz="0" w:space="0" w:color="auto"/>
        <w:bottom w:val="none" w:sz="0" w:space="0" w:color="auto"/>
        <w:right w:val="none" w:sz="0" w:space="0" w:color="auto"/>
      </w:divBdr>
    </w:div>
    <w:div w:id="1362703515">
      <w:bodyDiv w:val="1"/>
      <w:marLeft w:val="0"/>
      <w:marRight w:val="0"/>
      <w:marTop w:val="0"/>
      <w:marBottom w:val="0"/>
      <w:divBdr>
        <w:top w:val="none" w:sz="0" w:space="0" w:color="auto"/>
        <w:left w:val="none" w:sz="0" w:space="0" w:color="auto"/>
        <w:bottom w:val="none" w:sz="0" w:space="0" w:color="auto"/>
        <w:right w:val="none" w:sz="0" w:space="0" w:color="auto"/>
      </w:divBdr>
    </w:div>
    <w:div w:id="1367488106">
      <w:bodyDiv w:val="1"/>
      <w:marLeft w:val="0"/>
      <w:marRight w:val="0"/>
      <w:marTop w:val="0"/>
      <w:marBottom w:val="0"/>
      <w:divBdr>
        <w:top w:val="none" w:sz="0" w:space="0" w:color="auto"/>
        <w:left w:val="none" w:sz="0" w:space="0" w:color="auto"/>
        <w:bottom w:val="none" w:sz="0" w:space="0" w:color="auto"/>
        <w:right w:val="none" w:sz="0" w:space="0" w:color="auto"/>
      </w:divBdr>
    </w:div>
    <w:div w:id="1372026400">
      <w:bodyDiv w:val="1"/>
      <w:marLeft w:val="0"/>
      <w:marRight w:val="0"/>
      <w:marTop w:val="0"/>
      <w:marBottom w:val="0"/>
      <w:divBdr>
        <w:top w:val="none" w:sz="0" w:space="0" w:color="auto"/>
        <w:left w:val="none" w:sz="0" w:space="0" w:color="auto"/>
        <w:bottom w:val="none" w:sz="0" w:space="0" w:color="auto"/>
        <w:right w:val="none" w:sz="0" w:space="0" w:color="auto"/>
      </w:divBdr>
    </w:div>
    <w:div w:id="1387147774">
      <w:bodyDiv w:val="1"/>
      <w:marLeft w:val="0"/>
      <w:marRight w:val="0"/>
      <w:marTop w:val="0"/>
      <w:marBottom w:val="0"/>
      <w:divBdr>
        <w:top w:val="none" w:sz="0" w:space="0" w:color="auto"/>
        <w:left w:val="none" w:sz="0" w:space="0" w:color="auto"/>
        <w:bottom w:val="none" w:sz="0" w:space="0" w:color="auto"/>
        <w:right w:val="none" w:sz="0" w:space="0" w:color="auto"/>
      </w:divBdr>
    </w:div>
    <w:div w:id="1389374460">
      <w:bodyDiv w:val="1"/>
      <w:marLeft w:val="0"/>
      <w:marRight w:val="0"/>
      <w:marTop w:val="0"/>
      <w:marBottom w:val="0"/>
      <w:divBdr>
        <w:top w:val="none" w:sz="0" w:space="0" w:color="auto"/>
        <w:left w:val="none" w:sz="0" w:space="0" w:color="auto"/>
        <w:bottom w:val="none" w:sz="0" w:space="0" w:color="auto"/>
        <w:right w:val="none" w:sz="0" w:space="0" w:color="auto"/>
      </w:divBdr>
    </w:div>
    <w:div w:id="1394430203">
      <w:bodyDiv w:val="1"/>
      <w:marLeft w:val="0"/>
      <w:marRight w:val="0"/>
      <w:marTop w:val="0"/>
      <w:marBottom w:val="0"/>
      <w:divBdr>
        <w:top w:val="none" w:sz="0" w:space="0" w:color="auto"/>
        <w:left w:val="none" w:sz="0" w:space="0" w:color="auto"/>
        <w:bottom w:val="none" w:sz="0" w:space="0" w:color="auto"/>
        <w:right w:val="none" w:sz="0" w:space="0" w:color="auto"/>
      </w:divBdr>
    </w:div>
    <w:div w:id="1400130106">
      <w:bodyDiv w:val="1"/>
      <w:marLeft w:val="0"/>
      <w:marRight w:val="0"/>
      <w:marTop w:val="0"/>
      <w:marBottom w:val="0"/>
      <w:divBdr>
        <w:top w:val="none" w:sz="0" w:space="0" w:color="auto"/>
        <w:left w:val="none" w:sz="0" w:space="0" w:color="auto"/>
        <w:bottom w:val="none" w:sz="0" w:space="0" w:color="auto"/>
        <w:right w:val="none" w:sz="0" w:space="0" w:color="auto"/>
      </w:divBdr>
    </w:div>
    <w:div w:id="1402020055">
      <w:bodyDiv w:val="1"/>
      <w:marLeft w:val="0"/>
      <w:marRight w:val="0"/>
      <w:marTop w:val="0"/>
      <w:marBottom w:val="0"/>
      <w:divBdr>
        <w:top w:val="none" w:sz="0" w:space="0" w:color="auto"/>
        <w:left w:val="none" w:sz="0" w:space="0" w:color="auto"/>
        <w:bottom w:val="none" w:sz="0" w:space="0" w:color="auto"/>
        <w:right w:val="none" w:sz="0" w:space="0" w:color="auto"/>
      </w:divBdr>
      <w:divsChild>
        <w:div w:id="1566263370">
          <w:marLeft w:val="0"/>
          <w:marRight w:val="0"/>
          <w:marTop w:val="0"/>
          <w:marBottom w:val="0"/>
          <w:divBdr>
            <w:top w:val="none" w:sz="0" w:space="0" w:color="auto"/>
            <w:left w:val="none" w:sz="0" w:space="0" w:color="auto"/>
            <w:bottom w:val="none" w:sz="0" w:space="0" w:color="auto"/>
            <w:right w:val="none" w:sz="0" w:space="0" w:color="auto"/>
          </w:divBdr>
        </w:div>
      </w:divsChild>
    </w:div>
    <w:div w:id="1402750022">
      <w:bodyDiv w:val="1"/>
      <w:marLeft w:val="0"/>
      <w:marRight w:val="0"/>
      <w:marTop w:val="0"/>
      <w:marBottom w:val="0"/>
      <w:divBdr>
        <w:top w:val="none" w:sz="0" w:space="0" w:color="auto"/>
        <w:left w:val="none" w:sz="0" w:space="0" w:color="auto"/>
        <w:bottom w:val="none" w:sz="0" w:space="0" w:color="auto"/>
        <w:right w:val="none" w:sz="0" w:space="0" w:color="auto"/>
      </w:divBdr>
    </w:div>
    <w:div w:id="1405420237">
      <w:bodyDiv w:val="1"/>
      <w:marLeft w:val="0"/>
      <w:marRight w:val="0"/>
      <w:marTop w:val="0"/>
      <w:marBottom w:val="0"/>
      <w:divBdr>
        <w:top w:val="none" w:sz="0" w:space="0" w:color="auto"/>
        <w:left w:val="none" w:sz="0" w:space="0" w:color="auto"/>
        <w:bottom w:val="none" w:sz="0" w:space="0" w:color="auto"/>
        <w:right w:val="none" w:sz="0" w:space="0" w:color="auto"/>
      </w:divBdr>
    </w:div>
    <w:div w:id="1407263669">
      <w:bodyDiv w:val="1"/>
      <w:marLeft w:val="0"/>
      <w:marRight w:val="0"/>
      <w:marTop w:val="0"/>
      <w:marBottom w:val="0"/>
      <w:divBdr>
        <w:top w:val="none" w:sz="0" w:space="0" w:color="auto"/>
        <w:left w:val="none" w:sz="0" w:space="0" w:color="auto"/>
        <w:bottom w:val="none" w:sz="0" w:space="0" w:color="auto"/>
        <w:right w:val="none" w:sz="0" w:space="0" w:color="auto"/>
      </w:divBdr>
    </w:div>
    <w:div w:id="1416318381">
      <w:bodyDiv w:val="1"/>
      <w:marLeft w:val="0"/>
      <w:marRight w:val="0"/>
      <w:marTop w:val="0"/>
      <w:marBottom w:val="0"/>
      <w:divBdr>
        <w:top w:val="none" w:sz="0" w:space="0" w:color="auto"/>
        <w:left w:val="none" w:sz="0" w:space="0" w:color="auto"/>
        <w:bottom w:val="none" w:sz="0" w:space="0" w:color="auto"/>
        <w:right w:val="none" w:sz="0" w:space="0" w:color="auto"/>
      </w:divBdr>
    </w:div>
    <w:div w:id="1416324170">
      <w:bodyDiv w:val="1"/>
      <w:marLeft w:val="0"/>
      <w:marRight w:val="0"/>
      <w:marTop w:val="0"/>
      <w:marBottom w:val="0"/>
      <w:divBdr>
        <w:top w:val="none" w:sz="0" w:space="0" w:color="auto"/>
        <w:left w:val="none" w:sz="0" w:space="0" w:color="auto"/>
        <w:bottom w:val="none" w:sz="0" w:space="0" w:color="auto"/>
        <w:right w:val="none" w:sz="0" w:space="0" w:color="auto"/>
      </w:divBdr>
    </w:div>
    <w:div w:id="1419524115">
      <w:bodyDiv w:val="1"/>
      <w:marLeft w:val="0"/>
      <w:marRight w:val="0"/>
      <w:marTop w:val="0"/>
      <w:marBottom w:val="0"/>
      <w:divBdr>
        <w:top w:val="none" w:sz="0" w:space="0" w:color="auto"/>
        <w:left w:val="none" w:sz="0" w:space="0" w:color="auto"/>
        <w:bottom w:val="none" w:sz="0" w:space="0" w:color="auto"/>
        <w:right w:val="none" w:sz="0" w:space="0" w:color="auto"/>
      </w:divBdr>
    </w:div>
    <w:div w:id="1427576908">
      <w:bodyDiv w:val="1"/>
      <w:marLeft w:val="0"/>
      <w:marRight w:val="0"/>
      <w:marTop w:val="0"/>
      <w:marBottom w:val="0"/>
      <w:divBdr>
        <w:top w:val="none" w:sz="0" w:space="0" w:color="auto"/>
        <w:left w:val="none" w:sz="0" w:space="0" w:color="auto"/>
        <w:bottom w:val="none" w:sz="0" w:space="0" w:color="auto"/>
        <w:right w:val="none" w:sz="0" w:space="0" w:color="auto"/>
      </w:divBdr>
    </w:div>
    <w:div w:id="1431731672">
      <w:bodyDiv w:val="1"/>
      <w:marLeft w:val="0"/>
      <w:marRight w:val="0"/>
      <w:marTop w:val="0"/>
      <w:marBottom w:val="0"/>
      <w:divBdr>
        <w:top w:val="none" w:sz="0" w:space="0" w:color="auto"/>
        <w:left w:val="none" w:sz="0" w:space="0" w:color="auto"/>
        <w:bottom w:val="none" w:sz="0" w:space="0" w:color="auto"/>
        <w:right w:val="none" w:sz="0" w:space="0" w:color="auto"/>
      </w:divBdr>
    </w:div>
    <w:div w:id="1433551544">
      <w:bodyDiv w:val="1"/>
      <w:marLeft w:val="0"/>
      <w:marRight w:val="0"/>
      <w:marTop w:val="0"/>
      <w:marBottom w:val="0"/>
      <w:divBdr>
        <w:top w:val="none" w:sz="0" w:space="0" w:color="auto"/>
        <w:left w:val="none" w:sz="0" w:space="0" w:color="auto"/>
        <w:bottom w:val="none" w:sz="0" w:space="0" w:color="auto"/>
        <w:right w:val="none" w:sz="0" w:space="0" w:color="auto"/>
      </w:divBdr>
    </w:div>
    <w:div w:id="1436368951">
      <w:bodyDiv w:val="1"/>
      <w:marLeft w:val="0"/>
      <w:marRight w:val="0"/>
      <w:marTop w:val="0"/>
      <w:marBottom w:val="0"/>
      <w:divBdr>
        <w:top w:val="none" w:sz="0" w:space="0" w:color="auto"/>
        <w:left w:val="none" w:sz="0" w:space="0" w:color="auto"/>
        <w:bottom w:val="none" w:sz="0" w:space="0" w:color="auto"/>
        <w:right w:val="none" w:sz="0" w:space="0" w:color="auto"/>
      </w:divBdr>
    </w:div>
    <w:div w:id="1437018793">
      <w:bodyDiv w:val="1"/>
      <w:marLeft w:val="0"/>
      <w:marRight w:val="0"/>
      <w:marTop w:val="0"/>
      <w:marBottom w:val="0"/>
      <w:divBdr>
        <w:top w:val="none" w:sz="0" w:space="0" w:color="auto"/>
        <w:left w:val="none" w:sz="0" w:space="0" w:color="auto"/>
        <w:bottom w:val="none" w:sz="0" w:space="0" w:color="auto"/>
        <w:right w:val="none" w:sz="0" w:space="0" w:color="auto"/>
      </w:divBdr>
    </w:div>
    <w:div w:id="1438722035">
      <w:bodyDiv w:val="1"/>
      <w:marLeft w:val="0"/>
      <w:marRight w:val="0"/>
      <w:marTop w:val="0"/>
      <w:marBottom w:val="0"/>
      <w:divBdr>
        <w:top w:val="none" w:sz="0" w:space="0" w:color="auto"/>
        <w:left w:val="none" w:sz="0" w:space="0" w:color="auto"/>
        <w:bottom w:val="none" w:sz="0" w:space="0" w:color="auto"/>
        <w:right w:val="none" w:sz="0" w:space="0" w:color="auto"/>
      </w:divBdr>
    </w:div>
    <w:div w:id="1446465081">
      <w:bodyDiv w:val="1"/>
      <w:marLeft w:val="0"/>
      <w:marRight w:val="0"/>
      <w:marTop w:val="0"/>
      <w:marBottom w:val="0"/>
      <w:divBdr>
        <w:top w:val="none" w:sz="0" w:space="0" w:color="auto"/>
        <w:left w:val="none" w:sz="0" w:space="0" w:color="auto"/>
        <w:bottom w:val="none" w:sz="0" w:space="0" w:color="auto"/>
        <w:right w:val="none" w:sz="0" w:space="0" w:color="auto"/>
      </w:divBdr>
    </w:div>
    <w:div w:id="1452551637">
      <w:bodyDiv w:val="1"/>
      <w:marLeft w:val="0"/>
      <w:marRight w:val="0"/>
      <w:marTop w:val="0"/>
      <w:marBottom w:val="0"/>
      <w:divBdr>
        <w:top w:val="none" w:sz="0" w:space="0" w:color="auto"/>
        <w:left w:val="none" w:sz="0" w:space="0" w:color="auto"/>
        <w:bottom w:val="none" w:sz="0" w:space="0" w:color="auto"/>
        <w:right w:val="none" w:sz="0" w:space="0" w:color="auto"/>
      </w:divBdr>
      <w:divsChild>
        <w:div w:id="826556169">
          <w:marLeft w:val="0"/>
          <w:marRight w:val="0"/>
          <w:marTop w:val="0"/>
          <w:marBottom w:val="0"/>
          <w:divBdr>
            <w:top w:val="none" w:sz="0" w:space="0" w:color="auto"/>
            <w:left w:val="none" w:sz="0" w:space="0" w:color="auto"/>
            <w:bottom w:val="none" w:sz="0" w:space="0" w:color="auto"/>
            <w:right w:val="none" w:sz="0" w:space="0" w:color="auto"/>
          </w:divBdr>
        </w:div>
      </w:divsChild>
    </w:div>
    <w:div w:id="1455489885">
      <w:bodyDiv w:val="1"/>
      <w:marLeft w:val="0"/>
      <w:marRight w:val="0"/>
      <w:marTop w:val="0"/>
      <w:marBottom w:val="0"/>
      <w:divBdr>
        <w:top w:val="none" w:sz="0" w:space="0" w:color="auto"/>
        <w:left w:val="none" w:sz="0" w:space="0" w:color="auto"/>
        <w:bottom w:val="none" w:sz="0" w:space="0" w:color="auto"/>
        <w:right w:val="none" w:sz="0" w:space="0" w:color="auto"/>
      </w:divBdr>
    </w:div>
    <w:div w:id="1455834389">
      <w:bodyDiv w:val="1"/>
      <w:marLeft w:val="0"/>
      <w:marRight w:val="0"/>
      <w:marTop w:val="0"/>
      <w:marBottom w:val="0"/>
      <w:divBdr>
        <w:top w:val="none" w:sz="0" w:space="0" w:color="auto"/>
        <w:left w:val="none" w:sz="0" w:space="0" w:color="auto"/>
        <w:bottom w:val="none" w:sz="0" w:space="0" w:color="auto"/>
        <w:right w:val="none" w:sz="0" w:space="0" w:color="auto"/>
      </w:divBdr>
    </w:div>
    <w:div w:id="1459372444">
      <w:bodyDiv w:val="1"/>
      <w:marLeft w:val="0"/>
      <w:marRight w:val="0"/>
      <w:marTop w:val="0"/>
      <w:marBottom w:val="0"/>
      <w:divBdr>
        <w:top w:val="none" w:sz="0" w:space="0" w:color="auto"/>
        <w:left w:val="none" w:sz="0" w:space="0" w:color="auto"/>
        <w:bottom w:val="none" w:sz="0" w:space="0" w:color="auto"/>
        <w:right w:val="none" w:sz="0" w:space="0" w:color="auto"/>
      </w:divBdr>
    </w:div>
    <w:div w:id="1459759290">
      <w:bodyDiv w:val="1"/>
      <w:marLeft w:val="0"/>
      <w:marRight w:val="0"/>
      <w:marTop w:val="0"/>
      <w:marBottom w:val="0"/>
      <w:divBdr>
        <w:top w:val="none" w:sz="0" w:space="0" w:color="auto"/>
        <w:left w:val="none" w:sz="0" w:space="0" w:color="auto"/>
        <w:bottom w:val="none" w:sz="0" w:space="0" w:color="auto"/>
        <w:right w:val="none" w:sz="0" w:space="0" w:color="auto"/>
      </w:divBdr>
    </w:div>
    <w:div w:id="1465389810">
      <w:bodyDiv w:val="1"/>
      <w:marLeft w:val="0"/>
      <w:marRight w:val="0"/>
      <w:marTop w:val="0"/>
      <w:marBottom w:val="0"/>
      <w:divBdr>
        <w:top w:val="none" w:sz="0" w:space="0" w:color="auto"/>
        <w:left w:val="none" w:sz="0" w:space="0" w:color="auto"/>
        <w:bottom w:val="none" w:sz="0" w:space="0" w:color="auto"/>
        <w:right w:val="none" w:sz="0" w:space="0" w:color="auto"/>
      </w:divBdr>
    </w:div>
    <w:div w:id="1465467722">
      <w:bodyDiv w:val="1"/>
      <w:marLeft w:val="0"/>
      <w:marRight w:val="0"/>
      <w:marTop w:val="0"/>
      <w:marBottom w:val="0"/>
      <w:divBdr>
        <w:top w:val="none" w:sz="0" w:space="0" w:color="auto"/>
        <w:left w:val="none" w:sz="0" w:space="0" w:color="auto"/>
        <w:bottom w:val="none" w:sz="0" w:space="0" w:color="auto"/>
        <w:right w:val="none" w:sz="0" w:space="0" w:color="auto"/>
      </w:divBdr>
    </w:div>
    <w:div w:id="1465656475">
      <w:bodyDiv w:val="1"/>
      <w:marLeft w:val="0"/>
      <w:marRight w:val="0"/>
      <w:marTop w:val="0"/>
      <w:marBottom w:val="0"/>
      <w:divBdr>
        <w:top w:val="none" w:sz="0" w:space="0" w:color="auto"/>
        <w:left w:val="none" w:sz="0" w:space="0" w:color="auto"/>
        <w:bottom w:val="none" w:sz="0" w:space="0" w:color="auto"/>
        <w:right w:val="none" w:sz="0" w:space="0" w:color="auto"/>
      </w:divBdr>
    </w:div>
    <w:div w:id="1467699742">
      <w:bodyDiv w:val="1"/>
      <w:marLeft w:val="0"/>
      <w:marRight w:val="0"/>
      <w:marTop w:val="0"/>
      <w:marBottom w:val="0"/>
      <w:divBdr>
        <w:top w:val="none" w:sz="0" w:space="0" w:color="auto"/>
        <w:left w:val="none" w:sz="0" w:space="0" w:color="auto"/>
        <w:bottom w:val="none" w:sz="0" w:space="0" w:color="auto"/>
        <w:right w:val="none" w:sz="0" w:space="0" w:color="auto"/>
      </w:divBdr>
    </w:div>
    <w:div w:id="1474716322">
      <w:bodyDiv w:val="1"/>
      <w:marLeft w:val="0"/>
      <w:marRight w:val="0"/>
      <w:marTop w:val="0"/>
      <w:marBottom w:val="0"/>
      <w:divBdr>
        <w:top w:val="none" w:sz="0" w:space="0" w:color="auto"/>
        <w:left w:val="none" w:sz="0" w:space="0" w:color="auto"/>
        <w:bottom w:val="none" w:sz="0" w:space="0" w:color="auto"/>
        <w:right w:val="none" w:sz="0" w:space="0" w:color="auto"/>
      </w:divBdr>
    </w:div>
    <w:div w:id="1478575212">
      <w:bodyDiv w:val="1"/>
      <w:marLeft w:val="0"/>
      <w:marRight w:val="0"/>
      <w:marTop w:val="0"/>
      <w:marBottom w:val="0"/>
      <w:divBdr>
        <w:top w:val="none" w:sz="0" w:space="0" w:color="auto"/>
        <w:left w:val="none" w:sz="0" w:space="0" w:color="auto"/>
        <w:bottom w:val="none" w:sz="0" w:space="0" w:color="auto"/>
        <w:right w:val="none" w:sz="0" w:space="0" w:color="auto"/>
      </w:divBdr>
    </w:div>
    <w:div w:id="1478837122">
      <w:bodyDiv w:val="1"/>
      <w:marLeft w:val="0"/>
      <w:marRight w:val="0"/>
      <w:marTop w:val="0"/>
      <w:marBottom w:val="0"/>
      <w:divBdr>
        <w:top w:val="none" w:sz="0" w:space="0" w:color="auto"/>
        <w:left w:val="none" w:sz="0" w:space="0" w:color="auto"/>
        <w:bottom w:val="none" w:sz="0" w:space="0" w:color="auto"/>
        <w:right w:val="none" w:sz="0" w:space="0" w:color="auto"/>
      </w:divBdr>
    </w:div>
    <w:div w:id="1482966068">
      <w:bodyDiv w:val="1"/>
      <w:marLeft w:val="0"/>
      <w:marRight w:val="0"/>
      <w:marTop w:val="0"/>
      <w:marBottom w:val="0"/>
      <w:divBdr>
        <w:top w:val="none" w:sz="0" w:space="0" w:color="auto"/>
        <w:left w:val="none" w:sz="0" w:space="0" w:color="auto"/>
        <w:bottom w:val="none" w:sz="0" w:space="0" w:color="auto"/>
        <w:right w:val="none" w:sz="0" w:space="0" w:color="auto"/>
      </w:divBdr>
    </w:div>
    <w:div w:id="1487550471">
      <w:bodyDiv w:val="1"/>
      <w:marLeft w:val="0"/>
      <w:marRight w:val="0"/>
      <w:marTop w:val="0"/>
      <w:marBottom w:val="0"/>
      <w:divBdr>
        <w:top w:val="none" w:sz="0" w:space="0" w:color="auto"/>
        <w:left w:val="none" w:sz="0" w:space="0" w:color="auto"/>
        <w:bottom w:val="none" w:sz="0" w:space="0" w:color="auto"/>
        <w:right w:val="none" w:sz="0" w:space="0" w:color="auto"/>
      </w:divBdr>
    </w:div>
    <w:div w:id="1499341870">
      <w:bodyDiv w:val="1"/>
      <w:marLeft w:val="0"/>
      <w:marRight w:val="0"/>
      <w:marTop w:val="0"/>
      <w:marBottom w:val="0"/>
      <w:divBdr>
        <w:top w:val="none" w:sz="0" w:space="0" w:color="auto"/>
        <w:left w:val="none" w:sz="0" w:space="0" w:color="auto"/>
        <w:bottom w:val="none" w:sz="0" w:space="0" w:color="auto"/>
        <w:right w:val="none" w:sz="0" w:space="0" w:color="auto"/>
      </w:divBdr>
      <w:divsChild>
        <w:div w:id="560479992">
          <w:marLeft w:val="0"/>
          <w:marRight w:val="0"/>
          <w:marTop w:val="0"/>
          <w:marBottom w:val="0"/>
          <w:divBdr>
            <w:top w:val="none" w:sz="0" w:space="0" w:color="auto"/>
            <w:left w:val="none" w:sz="0" w:space="0" w:color="auto"/>
            <w:bottom w:val="none" w:sz="0" w:space="0" w:color="auto"/>
            <w:right w:val="none" w:sz="0" w:space="0" w:color="auto"/>
          </w:divBdr>
        </w:div>
      </w:divsChild>
    </w:div>
    <w:div w:id="1503815331">
      <w:bodyDiv w:val="1"/>
      <w:marLeft w:val="0"/>
      <w:marRight w:val="0"/>
      <w:marTop w:val="0"/>
      <w:marBottom w:val="0"/>
      <w:divBdr>
        <w:top w:val="none" w:sz="0" w:space="0" w:color="auto"/>
        <w:left w:val="none" w:sz="0" w:space="0" w:color="auto"/>
        <w:bottom w:val="none" w:sz="0" w:space="0" w:color="auto"/>
        <w:right w:val="none" w:sz="0" w:space="0" w:color="auto"/>
      </w:divBdr>
    </w:div>
    <w:div w:id="1504079955">
      <w:bodyDiv w:val="1"/>
      <w:marLeft w:val="0"/>
      <w:marRight w:val="0"/>
      <w:marTop w:val="0"/>
      <w:marBottom w:val="0"/>
      <w:divBdr>
        <w:top w:val="none" w:sz="0" w:space="0" w:color="auto"/>
        <w:left w:val="none" w:sz="0" w:space="0" w:color="auto"/>
        <w:bottom w:val="none" w:sz="0" w:space="0" w:color="auto"/>
        <w:right w:val="none" w:sz="0" w:space="0" w:color="auto"/>
      </w:divBdr>
      <w:divsChild>
        <w:div w:id="275646033">
          <w:marLeft w:val="0"/>
          <w:marRight w:val="0"/>
          <w:marTop w:val="240"/>
          <w:marBottom w:val="240"/>
          <w:divBdr>
            <w:top w:val="none" w:sz="0" w:space="0" w:color="auto"/>
            <w:left w:val="none" w:sz="0" w:space="0" w:color="auto"/>
            <w:bottom w:val="none" w:sz="0" w:space="0" w:color="auto"/>
            <w:right w:val="none" w:sz="0" w:space="0" w:color="auto"/>
          </w:divBdr>
        </w:div>
      </w:divsChild>
    </w:div>
    <w:div w:id="1504856532">
      <w:bodyDiv w:val="1"/>
      <w:marLeft w:val="0"/>
      <w:marRight w:val="0"/>
      <w:marTop w:val="0"/>
      <w:marBottom w:val="0"/>
      <w:divBdr>
        <w:top w:val="none" w:sz="0" w:space="0" w:color="auto"/>
        <w:left w:val="none" w:sz="0" w:space="0" w:color="auto"/>
        <w:bottom w:val="none" w:sz="0" w:space="0" w:color="auto"/>
        <w:right w:val="none" w:sz="0" w:space="0" w:color="auto"/>
      </w:divBdr>
    </w:div>
    <w:div w:id="1507405727">
      <w:bodyDiv w:val="1"/>
      <w:marLeft w:val="0"/>
      <w:marRight w:val="0"/>
      <w:marTop w:val="0"/>
      <w:marBottom w:val="0"/>
      <w:divBdr>
        <w:top w:val="none" w:sz="0" w:space="0" w:color="auto"/>
        <w:left w:val="none" w:sz="0" w:space="0" w:color="auto"/>
        <w:bottom w:val="none" w:sz="0" w:space="0" w:color="auto"/>
        <w:right w:val="none" w:sz="0" w:space="0" w:color="auto"/>
      </w:divBdr>
    </w:div>
    <w:div w:id="1517385526">
      <w:bodyDiv w:val="1"/>
      <w:marLeft w:val="0"/>
      <w:marRight w:val="0"/>
      <w:marTop w:val="0"/>
      <w:marBottom w:val="0"/>
      <w:divBdr>
        <w:top w:val="none" w:sz="0" w:space="0" w:color="auto"/>
        <w:left w:val="none" w:sz="0" w:space="0" w:color="auto"/>
        <w:bottom w:val="none" w:sz="0" w:space="0" w:color="auto"/>
        <w:right w:val="none" w:sz="0" w:space="0" w:color="auto"/>
      </w:divBdr>
    </w:div>
    <w:div w:id="1520503619">
      <w:bodyDiv w:val="1"/>
      <w:marLeft w:val="0"/>
      <w:marRight w:val="0"/>
      <w:marTop w:val="0"/>
      <w:marBottom w:val="0"/>
      <w:divBdr>
        <w:top w:val="none" w:sz="0" w:space="0" w:color="auto"/>
        <w:left w:val="none" w:sz="0" w:space="0" w:color="auto"/>
        <w:bottom w:val="none" w:sz="0" w:space="0" w:color="auto"/>
        <w:right w:val="none" w:sz="0" w:space="0" w:color="auto"/>
      </w:divBdr>
    </w:div>
    <w:div w:id="1520579039">
      <w:bodyDiv w:val="1"/>
      <w:marLeft w:val="0"/>
      <w:marRight w:val="0"/>
      <w:marTop w:val="0"/>
      <w:marBottom w:val="0"/>
      <w:divBdr>
        <w:top w:val="none" w:sz="0" w:space="0" w:color="auto"/>
        <w:left w:val="none" w:sz="0" w:space="0" w:color="auto"/>
        <w:bottom w:val="none" w:sz="0" w:space="0" w:color="auto"/>
        <w:right w:val="none" w:sz="0" w:space="0" w:color="auto"/>
      </w:divBdr>
    </w:div>
    <w:div w:id="1520966349">
      <w:bodyDiv w:val="1"/>
      <w:marLeft w:val="0"/>
      <w:marRight w:val="0"/>
      <w:marTop w:val="0"/>
      <w:marBottom w:val="0"/>
      <w:divBdr>
        <w:top w:val="none" w:sz="0" w:space="0" w:color="auto"/>
        <w:left w:val="none" w:sz="0" w:space="0" w:color="auto"/>
        <w:bottom w:val="none" w:sz="0" w:space="0" w:color="auto"/>
        <w:right w:val="none" w:sz="0" w:space="0" w:color="auto"/>
      </w:divBdr>
    </w:div>
    <w:div w:id="1522548181">
      <w:bodyDiv w:val="1"/>
      <w:marLeft w:val="0"/>
      <w:marRight w:val="0"/>
      <w:marTop w:val="0"/>
      <w:marBottom w:val="0"/>
      <w:divBdr>
        <w:top w:val="none" w:sz="0" w:space="0" w:color="auto"/>
        <w:left w:val="none" w:sz="0" w:space="0" w:color="auto"/>
        <w:bottom w:val="none" w:sz="0" w:space="0" w:color="auto"/>
        <w:right w:val="none" w:sz="0" w:space="0" w:color="auto"/>
      </w:divBdr>
    </w:div>
    <w:div w:id="1535532139">
      <w:bodyDiv w:val="1"/>
      <w:marLeft w:val="0"/>
      <w:marRight w:val="0"/>
      <w:marTop w:val="0"/>
      <w:marBottom w:val="0"/>
      <w:divBdr>
        <w:top w:val="none" w:sz="0" w:space="0" w:color="auto"/>
        <w:left w:val="none" w:sz="0" w:space="0" w:color="auto"/>
        <w:bottom w:val="none" w:sz="0" w:space="0" w:color="auto"/>
        <w:right w:val="none" w:sz="0" w:space="0" w:color="auto"/>
      </w:divBdr>
    </w:div>
    <w:div w:id="1538591226">
      <w:bodyDiv w:val="1"/>
      <w:marLeft w:val="0"/>
      <w:marRight w:val="0"/>
      <w:marTop w:val="0"/>
      <w:marBottom w:val="0"/>
      <w:divBdr>
        <w:top w:val="none" w:sz="0" w:space="0" w:color="auto"/>
        <w:left w:val="none" w:sz="0" w:space="0" w:color="auto"/>
        <w:bottom w:val="none" w:sz="0" w:space="0" w:color="auto"/>
        <w:right w:val="none" w:sz="0" w:space="0" w:color="auto"/>
      </w:divBdr>
    </w:div>
    <w:div w:id="1540510089">
      <w:bodyDiv w:val="1"/>
      <w:marLeft w:val="0"/>
      <w:marRight w:val="0"/>
      <w:marTop w:val="0"/>
      <w:marBottom w:val="0"/>
      <w:divBdr>
        <w:top w:val="none" w:sz="0" w:space="0" w:color="auto"/>
        <w:left w:val="none" w:sz="0" w:space="0" w:color="auto"/>
        <w:bottom w:val="none" w:sz="0" w:space="0" w:color="auto"/>
        <w:right w:val="none" w:sz="0" w:space="0" w:color="auto"/>
      </w:divBdr>
      <w:divsChild>
        <w:div w:id="1484933020">
          <w:marLeft w:val="0"/>
          <w:marRight w:val="0"/>
          <w:marTop w:val="0"/>
          <w:marBottom w:val="0"/>
          <w:divBdr>
            <w:top w:val="none" w:sz="0" w:space="0" w:color="auto"/>
            <w:left w:val="none" w:sz="0" w:space="0" w:color="auto"/>
            <w:bottom w:val="none" w:sz="0" w:space="0" w:color="auto"/>
            <w:right w:val="none" w:sz="0" w:space="0" w:color="auto"/>
          </w:divBdr>
        </w:div>
      </w:divsChild>
    </w:div>
    <w:div w:id="1550871934">
      <w:bodyDiv w:val="1"/>
      <w:marLeft w:val="0"/>
      <w:marRight w:val="0"/>
      <w:marTop w:val="0"/>
      <w:marBottom w:val="0"/>
      <w:divBdr>
        <w:top w:val="none" w:sz="0" w:space="0" w:color="auto"/>
        <w:left w:val="none" w:sz="0" w:space="0" w:color="auto"/>
        <w:bottom w:val="none" w:sz="0" w:space="0" w:color="auto"/>
        <w:right w:val="none" w:sz="0" w:space="0" w:color="auto"/>
      </w:divBdr>
    </w:div>
    <w:div w:id="1551188958">
      <w:bodyDiv w:val="1"/>
      <w:marLeft w:val="0"/>
      <w:marRight w:val="0"/>
      <w:marTop w:val="0"/>
      <w:marBottom w:val="0"/>
      <w:divBdr>
        <w:top w:val="none" w:sz="0" w:space="0" w:color="auto"/>
        <w:left w:val="none" w:sz="0" w:space="0" w:color="auto"/>
        <w:bottom w:val="none" w:sz="0" w:space="0" w:color="auto"/>
        <w:right w:val="none" w:sz="0" w:space="0" w:color="auto"/>
      </w:divBdr>
    </w:div>
    <w:div w:id="1554541263">
      <w:bodyDiv w:val="1"/>
      <w:marLeft w:val="0"/>
      <w:marRight w:val="0"/>
      <w:marTop w:val="0"/>
      <w:marBottom w:val="0"/>
      <w:divBdr>
        <w:top w:val="none" w:sz="0" w:space="0" w:color="auto"/>
        <w:left w:val="none" w:sz="0" w:space="0" w:color="auto"/>
        <w:bottom w:val="none" w:sz="0" w:space="0" w:color="auto"/>
        <w:right w:val="none" w:sz="0" w:space="0" w:color="auto"/>
      </w:divBdr>
    </w:div>
    <w:div w:id="1556970301">
      <w:bodyDiv w:val="1"/>
      <w:marLeft w:val="0"/>
      <w:marRight w:val="0"/>
      <w:marTop w:val="0"/>
      <w:marBottom w:val="0"/>
      <w:divBdr>
        <w:top w:val="none" w:sz="0" w:space="0" w:color="auto"/>
        <w:left w:val="none" w:sz="0" w:space="0" w:color="auto"/>
        <w:bottom w:val="none" w:sz="0" w:space="0" w:color="auto"/>
        <w:right w:val="none" w:sz="0" w:space="0" w:color="auto"/>
      </w:divBdr>
    </w:div>
    <w:div w:id="1565525380">
      <w:bodyDiv w:val="1"/>
      <w:marLeft w:val="0"/>
      <w:marRight w:val="0"/>
      <w:marTop w:val="0"/>
      <w:marBottom w:val="0"/>
      <w:divBdr>
        <w:top w:val="none" w:sz="0" w:space="0" w:color="auto"/>
        <w:left w:val="none" w:sz="0" w:space="0" w:color="auto"/>
        <w:bottom w:val="none" w:sz="0" w:space="0" w:color="auto"/>
        <w:right w:val="none" w:sz="0" w:space="0" w:color="auto"/>
      </w:divBdr>
    </w:div>
    <w:div w:id="1566647411">
      <w:bodyDiv w:val="1"/>
      <w:marLeft w:val="0"/>
      <w:marRight w:val="0"/>
      <w:marTop w:val="0"/>
      <w:marBottom w:val="0"/>
      <w:divBdr>
        <w:top w:val="none" w:sz="0" w:space="0" w:color="auto"/>
        <w:left w:val="none" w:sz="0" w:space="0" w:color="auto"/>
        <w:bottom w:val="none" w:sz="0" w:space="0" w:color="auto"/>
        <w:right w:val="none" w:sz="0" w:space="0" w:color="auto"/>
      </w:divBdr>
    </w:div>
    <w:div w:id="1566988863">
      <w:bodyDiv w:val="1"/>
      <w:marLeft w:val="0"/>
      <w:marRight w:val="0"/>
      <w:marTop w:val="0"/>
      <w:marBottom w:val="0"/>
      <w:divBdr>
        <w:top w:val="none" w:sz="0" w:space="0" w:color="auto"/>
        <w:left w:val="none" w:sz="0" w:space="0" w:color="auto"/>
        <w:bottom w:val="none" w:sz="0" w:space="0" w:color="auto"/>
        <w:right w:val="none" w:sz="0" w:space="0" w:color="auto"/>
      </w:divBdr>
    </w:div>
    <w:div w:id="1575971807">
      <w:bodyDiv w:val="1"/>
      <w:marLeft w:val="0"/>
      <w:marRight w:val="0"/>
      <w:marTop w:val="0"/>
      <w:marBottom w:val="0"/>
      <w:divBdr>
        <w:top w:val="none" w:sz="0" w:space="0" w:color="auto"/>
        <w:left w:val="none" w:sz="0" w:space="0" w:color="auto"/>
        <w:bottom w:val="none" w:sz="0" w:space="0" w:color="auto"/>
        <w:right w:val="none" w:sz="0" w:space="0" w:color="auto"/>
      </w:divBdr>
    </w:div>
    <w:div w:id="1580212328">
      <w:bodyDiv w:val="1"/>
      <w:marLeft w:val="0"/>
      <w:marRight w:val="0"/>
      <w:marTop w:val="0"/>
      <w:marBottom w:val="0"/>
      <w:divBdr>
        <w:top w:val="none" w:sz="0" w:space="0" w:color="auto"/>
        <w:left w:val="none" w:sz="0" w:space="0" w:color="auto"/>
        <w:bottom w:val="none" w:sz="0" w:space="0" w:color="auto"/>
        <w:right w:val="none" w:sz="0" w:space="0" w:color="auto"/>
      </w:divBdr>
    </w:div>
    <w:div w:id="1582178342">
      <w:bodyDiv w:val="1"/>
      <w:marLeft w:val="0"/>
      <w:marRight w:val="0"/>
      <w:marTop w:val="0"/>
      <w:marBottom w:val="0"/>
      <w:divBdr>
        <w:top w:val="none" w:sz="0" w:space="0" w:color="auto"/>
        <w:left w:val="none" w:sz="0" w:space="0" w:color="auto"/>
        <w:bottom w:val="none" w:sz="0" w:space="0" w:color="auto"/>
        <w:right w:val="none" w:sz="0" w:space="0" w:color="auto"/>
      </w:divBdr>
    </w:div>
    <w:div w:id="1607077315">
      <w:bodyDiv w:val="1"/>
      <w:marLeft w:val="0"/>
      <w:marRight w:val="0"/>
      <w:marTop w:val="0"/>
      <w:marBottom w:val="0"/>
      <w:divBdr>
        <w:top w:val="none" w:sz="0" w:space="0" w:color="auto"/>
        <w:left w:val="none" w:sz="0" w:space="0" w:color="auto"/>
        <w:bottom w:val="none" w:sz="0" w:space="0" w:color="auto"/>
        <w:right w:val="none" w:sz="0" w:space="0" w:color="auto"/>
      </w:divBdr>
    </w:div>
    <w:div w:id="1607615992">
      <w:bodyDiv w:val="1"/>
      <w:marLeft w:val="0"/>
      <w:marRight w:val="0"/>
      <w:marTop w:val="0"/>
      <w:marBottom w:val="0"/>
      <w:divBdr>
        <w:top w:val="none" w:sz="0" w:space="0" w:color="auto"/>
        <w:left w:val="none" w:sz="0" w:space="0" w:color="auto"/>
        <w:bottom w:val="none" w:sz="0" w:space="0" w:color="auto"/>
        <w:right w:val="none" w:sz="0" w:space="0" w:color="auto"/>
      </w:divBdr>
    </w:div>
    <w:div w:id="1612668166">
      <w:bodyDiv w:val="1"/>
      <w:marLeft w:val="0"/>
      <w:marRight w:val="0"/>
      <w:marTop w:val="0"/>
      <w:marBottom w:val="0"/>
      <w:divBdr>
        <w:top w:val="none" w:sz="0" w:space="0" w:color="auto"/>
        <w:left w:val="none" w:sz="0" w:space="0" w:color="auto"/>
        <w:bottom w:val="none" w:sz="0" w:space="0" w:color="auto"/>
        <w:right w:val="none" w:sz="0" w:space="0" w:color="auto"/>
      </w:divBdr>
    </w:div>
    <w:div w:id="1614245505">
      <w:bodyDiv w:val="1"/>
      <w:marLeft w:val="0"/>
      <w:marRight w:val="0"/>
      <w:marTop w:val="0"/>
      <w:marBottom w:val="0"/>
      <w:divBdr>
        <w:top w:val="none" w:sz="0" w:space="0" w:color="auto"/>
        <w:left w:val="none" w:sz="0" w:space="0" w:color="auto"/>
        <w:bottom w:val="none" w:sz="0" w:space="0" w:color="auto"/>
        <w:right w:val="none" w:sz="0" w:space="0" w:color="auto"/>
      </w:divBdr>
    </w:div>
    <w:div w:id="1615139549">
      <w:bodyDiv w:val="1"/>
      <w:marLeft w:val="0"/>
      <w:marRight w:val="0"/>
      <w:marTop w:val="0"/>
      <w:marBottom w:val="0"/>
      <w:divBdr>
        <w:top w:val="none" w:sz="0" w:space="0" w:color="auto"/>
        <w:left w:val="none" w:sz="0" w:space="0" w:color="auto"/>
        <w:bottom w:val="none" w:sz="0" w:space="0" w:color="auto"/>
        <w:right w:val="none" w:sz="0" w:space="0" w:color="auto"/>
      </w:divBdr>
      <w:divsChild>
        <w:div w:id="1915511073">
          <w:marLeft w:val="0"/>
          <w:marRight w:val="0"/>
          <w:marTop w:val="0"/>
          <w:marBottom w:val="0"/>
          <w:divBdr>
            <w:top w:val="none" w:sz="0" w:space="0" w:color="auto"/>
            <w:left w:val="none" w:sz="0" w:space="0" w:color="auto"/>
            <w:bottom w:val="none" w:sz="0" w:space="0" w:color="auto"/>
            <w:right w:val="none" w:sz="0" w:space="0" w:color="auto"/>
          </w:divBdr>
        </w:div>
      </w:divsChild>
    </w:div>
    <w:div w:id="1620718561">
      <w:bodyDiv w:val="1"/>
      <w:marLeft w:val="0"/>
      <w:marRight w:val="0"/>
      <w:marTop w:val="0"/>
      <w:marBottom w:val="0"/>
      <w:divBdr>
        <w:top w:val="none" w:sz="0" w:space="0" w:color="auto"/>
        <w:left w:val="none" w:sz="0" w:space="0" w:color="auto"/>
        <w:bottom w:val="none" w:sz="0" w:space="0" w:color="auto"/>
        <w:right w:val="none" w:sz="0" w:space="0" w:color="auto"/>
      </w:divBdr>
    </w:div>
    <w:div w:id="1627732842">
      <w:bodyDiv w:val="1"/>
      <w:marLeft w:val="0"/>
      <w:marRight w:val="0"/>
      <w:marTop w:val="0"/>
      <w:marBottom w:val="0"/>
      <w:divBdr>
        <w:top w:val="none" w:sz="0" w:space="0" w:color="auto"/>
        <w:left w:val="none" w:sz="0" w:space="0" w:color="auto"/>
        <w:bottom w:val="none" w:sz="0" w:space="0" w:color="auto"/>
        <w:right w:val="none" w:sz="0" w:space="0" w:color="auto"/>
      </w:divBdr>
    </w:div>
    <w:div w:id="1629168904">
      <w:bodyDiv w:val="1"/>
      <w:marLeft w:val="0"/>
      <w:marRight w:val="0"/>
      <w:marTop w:val="0"/>
      <w:marBottom w:val="0"/>
      <w:divBdr>
        <w:top w:val="none" w:sz="0" w:space="0" w:color="auto"/>
        <w:left w:val="none" w:sz="0" w:space="0" w:color="auto"/>
        <w:bottom w:val="none" w:sz="0" w:space="0" w:color="auto"/>
        <w:right w:val="none" w:sz="0" w:space="0" w:color="auto"/>
      </w:divBdr>
    </w:div>
    <w:div w:id="1630012411">
      <w:bodyDiv w:val="1"/>
      <w:marLeft w:val="0"/>
      <w:marRight w:val="0"/>
      <w:marTop w:val="0"/>
      <w:marBottom w:val="0"/>
      <w:divBdr>
        <w:top w:val="none" w:sz="0" w:space="0" w:color="auto"/>
        <w:left w:val="none" w:sz="0" w:space="0" w:color="auto"/>
        <w:bottom w:val="none" w:sz="0" w:space="0" w:color="auto"/>
        <w:right w:val="none" w:sz="0" w:space="0" w:color="auto"/>
      </w:divBdr>
    </w:div>
    <w:div w:id="1634678505">
      <w:bodyDiv w:val="1"/>
      <w:marLeft w:val="0"/>
      <w:marRight w:val="0"/>
      <w:marTop w:val="0"/>
      <w:marBottom w:val="0"/>
      <w:divBdr>
        <w:top w:val="none" w:sz="0" w:space="0" w:color="auto"/>
        <w:left w:val="none" w:sz="0" w:space="0" w:color="auto"/>
        <w:bottom w:val="none" w:sz="0" w:space="0" w:color="auto"/>
        <w:right w:val="none" w:sz="0" w:space="0" w:color="auto"/>
      </w:divBdr>
    </w:div>
    <w:div w:id="1637177815">
      <w:bodyDiv w:val="1"/>
      <w:marLeft w:val="0"/>
      <w:marRight w:val="0"/>
      <w:marTop w:val="0"/>
      <w:marBottom w:val="0"/>
      <w:divBdr>
        <w:top w:val="none" w:sz="0" w:space="0" w:color="auto"/>
        <w:left w:val="none" w:sz="0" w:space="0" w:color="auto"/>
        <w:bottom w:val="none" w:sz="0" w:space="0" w:color="auto"/>
        <w:right w:val="none" w:sz="0" w:space="0" w:color="auto"/>
      </w:divBdr>
    </w:div>
    <w:div w:id="1637564027">
      <w:bodyDiv w:val="1"/>
      <w:marLeft w:val="0"/>
      <w:marRight w:val="0"/>
      <w:marTop w:val="0"/>
      <w:marBottom w:val="0"/>
      <w:divBdr>
        <w:top w:val="none" w:sz="0" w:space="0" w:color="auto"/>
        <w:left w:val="none" w:sz="0" w:space="0" w:color="auto"/>
        <w:bottom w:val="none" w:sz="0" w:space="0" w:color="auto"/>
        <w:right w:val="none" w:sz="0" w:space="0" w:color="auto"/>
      </w:divBdr>
    </w:div>
    <w:div w:id="1638101005">
      <w:bodyDiv w:val="1"/>
      <w:marLeft w:val="0"/>
      <w:marRight w:val="0"/>
      <w:marTop w:val="0"/>
      <w:marBottom w:val="0"/>
      <w:divBdr>
        <w:top w:val="none" w:sz="0" w:space="0" w:color="auto"/>
        <w:left w:val="none" w:sz="0" w:space="0" w:color="auto"/>
        <w:bottom w:val="none" w:sz="0" w:space="0" w:color="auto"/>
        <w:right w:val="none" w:sz="0" w:space="0" w:color="auto"/>
      </w:divBdr>
    </w:div>
    <w:div w:id="1643659674">
      <w:bodyDiv w:val="1"/>
      <w:marLeft w:val="0"/>
      <w:marRight w:val="0"/>
      <w:marTop w:val="0"/>
      <w:marBottom w:val="0"/>
      <w:divBdr>
        <w:top w:val="none" w:sz="0" w:space="0" w:color="auto"/>
        <w:left w:val="none" w:sz="0" w:space="0" w:color="auto"/>
        <w:bottom w:val="none" w:sz="0" w:space="0" w:color="auto"/>
        <w:right w:val="none" w:sz="0" w:space="0" w:color="auto"/>
      </w:divBdr>
    </w:div>
    <w:div w:id="1644699077">
      <w:bodyDiv w:val="1"/>
      <w:marLeft w:val="0"/>
      <w:marRight w:val="0"/>
      <w:marTop w:val="0"/>
      <w:marBottom w:val="0"/>
      <w:divBdr>
        <w:top w:val="none" w:sz="0" w:space="0" w:color="auto"/>
        <w:left w:val="none" w:sz="0" w:space="0" w:color="auto"/>
        <w:bottom w:val="none" w:sz="0" w:space="0" w:color="auto"/>
        <w:right w:val="none" w:sz="0" w:space="0" w:color="auto"/>
      </w:divBdr>
    </w:div>
    <w:div w:id="1645619784">
      <w:bodyDiv w:val="1"/>
      <w:marLeft w:val="0"/>
      <w:marRight w:val="0"/>
      <w:marTop w:val="0"/>
      <w:marBottom w:val="0"/>
      <w:divBdr>
        <w:top w:val="none" w:sz="0" w:space="0" w:color="auto"/>
        <w:left w:val="none" w:sz="0" w:space="0" w:color="auto"/>
        <w:bottom w:val="none" w:sz="0" w:space="0" w:color="auto"/>
        <w:right w:val="none" w:sz="0" w:space="0" w:color="auto"/>
      </w:divBdr>
    </w:div>
    <w:div w:id="1648437409">
      <w:bodyDiv w:val="1"/>
      <w:marLeft w:val="0"/>
      <w:marRight w:val="0"/>
      <w:marTop w:val="0"/>
      <w:marBottom w:val="0"/>
      <w:divBdr>
        <w:top w:val="none" w:sz="0" w:space="0" w:color="auto"/>
        <w:left w:val="none" w:sz="0" w:space="0" w:color="auto"/>
        <w:bottom w:val="none" w:sz="0" w:space="0" w:color="auto"/>
        <w:right w:val="none" w:sz="0" w:space="0" w:color="auto"/>
      </w:divBdr>
    </w:div>
    <w:div w:id="1654941807">
      <w:bodyDiv w:val="1"/>
      <w:marLeft w:val="0"/>
      <w:marRight w:val="0"/>
      <w:marTop w:val="0"/>
      <w:marBottom w:val="0"/>
      <w:divBdr>
        <w:top w:val="none" w:sz="0" w:space="0" w:color="auto"/>
        <w:left w:val="none" w:sz="0" w:space="0" w:color="auto"/>
        <w:bottom w:val="none" w:sz="0" w:space="0" w:color="auto"/>
        <w:right w:val="none" w:sz="0" w:space="0" w:color="auto"/>
      </w:divBdr>
    </w:div>
    <w:div w:id="1665620265">
      <w:bodyDiv w:val="1"/>
      <w:marLeft w:val="0"/>
      <w:marRight w:val="0"/>
      <w:marTop w:val="0"/>
      <w:marBottom w:val="0"/>
      <w:divBdr>
        <w:top w:val="none" w:sz="0" w:space="0" w:color="auto"/>
        <w:left w:val="none" w:sz="0" w:space="0" w:color="auto"/>
        <w:bottom w:val="none" w:sz="0" w:space="0" w:color="auto"/>
        <w:right w:val="none" w:sz="0" w:space="0" w:color="auto"/>
      </w:divBdr>
    </w:div>
    <w:div w:id="1668512306">
      <w:bodyDiv w:val="1"/>
      <w:marLeft w:val="0"/>
      <w:marRight w:val="0"/>
      <w:marTop w:val="0"/>
      <w:marBottom w:val="0"/>
      <w:divBdr>
        <w:top w:val="none" w:sz="0" w:space="0" w:color="auto"/>
        <w:left w:val="none" w:sz="0" w:space="0" w:color="auto"/>
        <w:bottom w:val="none" w:sz="0" w:space="0" w:color="auto"/>
        <w:right w:val="none" w:sz="0" w:space="0" w:color="auto"/>
      </w:divBdr>
    </w:div>
    <w:div w:id="1682467228">
      <w:bodyDiv w:val="1"/>
      <w:marLeft w:val="0"/>
      <w:marRight w:val="0"/>
      <w:marTop w:val="0"/>
      <w:marBottom w:val="0"/>
      <w:divBdr>
        <w:top w:val="none" w:sz="0" w:space="0" w:color="auto"/>
        <w:left w:val="none" w:sz="0" w:space="0" w:color="auto"/>
        <w:bottom w:val="none" w:sz="0" w:space="0" w:color="auto"/>
        <w:right w:val="none" w:sz="0" w:space="0" w:color="auto"/>
      </w:divBdr>
    </w:div>
    <w:div w:id="1687094566">
      <w:bodyDiv w:val="1"/>
      <w:marLeft w:val="0"/>
      <w:marRight w:val="0"/>
      <w:marTop w:val="0"/>
      <w:marBottom w:val="0"/>
      <w:divBdr>
        <w:top w:val="none" w:sz="0" w:space="0" w:color="auto"/>
        <w:left w:val="none" w:sz="0" w:space="0" w:color="auto"/>
        <w:bottom w:val="none" w:sz="0" w:space="0" w:color="auto"/>
        <w:right w:val="none" w:sz="0" w:space="0" w:color="auto"/>
      </w:divBdr>
    </w:div>
    <w:div w:id="1687101089">
      <w:bodyDiv w:val="1"/>
      <w:marLeft w:val="0"/>
      <w:marRight w:val="0"/>
      <w:marTop w:val="0"/>
      <w:marBottom w:val="0"/>
      <w:divBdr>
        <w:top w:val="none" w:sz="0" w:space="0" w:color="auto"/>
        <w:left w:val="none" w:sz="0" w:space="0" w:color="auto"/>
        <w:bottom w:val="none" w:sz="0" w:space="0" w:color="auto"/>
        <w:right w:val="none" w:sz="0" w:space="0" w:color="auto"/>
      </w:divBdr>
    </w:div>
    <w:div w:id="1691494980">
      <w:bodyDiv w:val="1"/>
      <w:marLeft w:val="0"/>
      <w:marRight w:val="0"/>
      <w:marTop w:val="0"/>
      <w:marBottom w:val="0"/>
      <w:divBdr>
        <w:top w:val="none" w:sz="0" w:space="0" w:color="auto"/>
        <w:left w:val="none" w:sz="0" w:space="0" w:color="auto"/>
        <w:bottom w:val="none" w:sz="0" w:space="0" w:color="auto"/>
        <w:right w:val="none" w:sz="0" w:space="0" w:color="auto"/>
      </w:divBdr>
    </w:div>
    <w:div w:id="1695417928">
      <w:bodyDiv w:val="1"/>
      <w:marLeft w:val="0"/>
      <w:marRight w:val="0"/>
      <w:marTop w:val="0"/>
      <w:marBottom w:val="0"/>
      <w:divBdr>
        <w:top w:val="none" w:sz="0" w:space="0" w:color="auto"/>
        <w:left w:val="none" w:sz="0" w:space="0" w:color="auto"/>
        <w:bottom w:val="none" w:sz="0" w:space="0" w:color="auto"/>
        <w:right w:val="none" w:sz="0" w:space="0" w:color="auto"/>
      </w:divBdr>
    </w:div>
    <w:div w:id="1702171113">
      <w:bodyDiv w:val="1"/>
      <w:marLeft w:val="0"/>
      <w:marRight w:val="0"/>
      <w:marTop w:val="0"/>
      <w:marBottom w:val="0"/>
      <w:divBdr>
        <w:top w:val="none" w:sz="0" w:space="0" w:color="auto"/>
        <w:left w:val="none" w:sz="0" w:space="0" w:color="auto"/>
        <w:bottom w:val="none" w:sz="0" w:space="0" w:color="auto"/>
        <w:right w:val="none" w:sz="0" w:space="0" w:color="auto"/>
      </w:divBdr>
      <w:divsChild>
        <w:div w:id="234752597">
          <w:marLeft w:val="0"/>
          <w:marRight w:val="0"/>
          <w:marTop w:val="0"/>
          <w:marBottom w:val="0"/>
          <w:divBdr>
            <w:top w:val="none" w:sz="0" w:space="0" w:color="auto"/>
            <w:left w:val="none" w:sz="0" w:space="0" w:color="auto"/>
            <w:bottom w:val="none" w:sz="0" w:space="0" w:color="auto"/>
            <w:right w:val="none" w:sz="0" w:space="0" w:color="auto"/>
          </w:divBdr>
        </w:div>
      </w:divsChild>
    </w:div>
    <w:div w:id="1707217911">
      <w:bodyDiv w:val="1"/>
      <w:marLeft w:val="0"/>
      <w:marRight w:val="0"/>
      <w:marTop w:val="0"/>
      <w:marBottom w:val="0"/>
      <w:divBdr>
        <w:top w:val="none" w:sz="0" w:space="0" w:color="auto"/>
        <w:left w:val="none" w:sz="0" w:space="0" w:color="auto"/>
        <w:bottom w:val="none" w:sz="0" w:space="0" w:color="auto"/>
        <w:right w:val="none" w:sz="0" w:space="0" w:color="auto"/>
      </w:divBdr>
    </w:div>
    <w:div w:id="1710640225">
      <w:bodyDiv w:val="1"/>
      <w:marLeft w:val="0"/>
      <w:marRight w:val="0"/>
      <w:marTop w:val="0"/>
      <w:marBottom w:val="0"/>
      <w:divBdr>
        <w:top w:val="none" w:sz="0" w:space="0" w:color="auto"/>
        <w:left w:val="none" w:sz="0" w:space="0" w:color="auto"/>
        <w:bottom w:val="none" w:sz="0" w:space="0" w:color="auto"/>
        <w:right w:val="none" w:sz="0" w:space="0" w:color="auto"/>
      </w:divBdr>
    </w:div>
    <w:div w:id="1710715497">
      <w:bodyDiv w:val="1"/>
      <w:marLeft w:val="0"/>
      <w:marRight w:val="0"/>
      <w:marTop w:val="0"/>
      <w:marBottom w:val="0"/>
      <w:divBdr>
        <w:top w:val="none" w:sz="0" w:space="0" w:color="auto"/>
        <w:left w:val="none" w:sz="0" w:space="0" w:color="auto"/>
        <w:bottom w:val="none" w:sz="0" w:space="0" w:color="auto"/>
        <w:right w:val="none" w:sz="0" w:space="0" w:color="auto"/>
      </w:divBdr>
    </w:div>
    <w:div w:id="1716271955">
      <w:bodyDiv w:val="1"/>
      <w:marLeft w:val="0"/>
      <w:marRight w:val="0"/>
      <w:marTop w:val="0"/>
      <w:marBottom w:val="0"/>
      <w:divBdr>
        <w:top w:val="none" w:sz="0" w:space="0" w:color="auto"/>
        <w:left w:val="none" w:sz="0" w:space="0" w:color="auto"/>
        <w:bottom w:val="none" w:sz="0" w:space="0" w:color="auto"/>
        <w:right w:val="none" w:sz="0" w:space="0" w:color="auto"/>
      </w:divBdr>
    </w:div>
    <w:div w:id="1722753534">
      <w:bodyDiv w:val="1"/>
      <w:marLeft w:val="0"/>
      <w:marRight w:val="0"/>
      <w:marTop w:val="0"/>
      <w:marBottom w:val="0"/>
      <w:divBdr>
        <w:top w:val="none" w:sz="0" w:space="0" w:color="auto"/>
        <w:left w:val="none" w:sz="0" w:space="0" w:color="auto"/>
        <w:bottom w:val="none" w:sz="0" w:space="0" w:color="auto"/>
        <w:right w:val="none" w:sz="0" w:space="0" w:color="auto"/>
      </w:divBdr>
    </w:div>
    <w:div w:id="1730378871">
      <w:bodyDiv w:val="1"/>
      <w:marLeft w:val="0"/>
      <w:marRight w:val="0"/>
      <w:marTop w:val="0"/>
      <w:marBottom w:val="0"/>
      <w:divBdr>
        <w:top w:val="none" w:sz="0" w:space="0" w:color="auto"/>
        <w:left w:val="none" w:sz="0" w:space="0" w:color="auto"/>
        <w:bottom w:val="none" w:sz="0" w:space="0" w:color="auto"/>
        <w:right w:val="none" w:sz="0" w:space="0" w:color="auto"/>
      </w:divBdr>
    </w:div>
    <w:div w:id="1730877999">
      <w:bodyDiv w:val="1"/>
      <w:marLeft w:val="0"/>
      <w:marRight w:val="0"/>
      <w:marTop w:val="0"/>
      <w:marBottom w:val="0"/>
      <w:divBdr>
        <w:top w:val="none" w:sz="0" w:space="0" w:color="auto"/>
        <w:left w:val="none" w:sz="0" w:space="0" w:color="auto"/>
        <w:bottom w:val="none" w:sz="0" w:space="0" w:color="auto"/>
        <w:right w:val="none" w:sz="0" w:space="0" w:color="auto"/>
      </w:divBdr>
    </w:div>
    <w:div w:id="1739015631">
      <w:bodyDiv w:val="1"/>
      <w:marLeft w:val="0"/>
      <w:marRight w:val="0"/>
      <w:marTop w:val="0"/>
      <w:marBottom w:val="0"/>
      <w:divBdr>
        <w:top w:val="none" w:sz="0" w:space="0" w:color="auto"/>
        <w:left w:val="none" w:sz="0" w:space="0" w:color="auto"/>
        <w:bottom w:val="none" w:sz="0" w:space="0" w:color="auto"/>
        <w:right w:val="none" w:sz="0" w:space="0" w:color="auto"/>
      </w:divBdr>
    </w:div>
    <w:div w:id="1750418816">
      <w:bodyDiv w:val="1"/>
      <w:marLeft w:val="0"/>
      <w:marRight w:val="0"/>
      <w:marTop w:val="0"/>
      <w:marBottom w:val="0"/>
      <w:divBdr>
        <w:top w:val="none" w:sz="0" w:space="0" w:color="auto"/>
        <w:left w:val="none" w:sz="0" w:space="0" w:color="auto"/>
        <w:bottom w:val="none" w:sz="0" w:space="0" w:color="auto"/>
        <w:right w:val="none" w:sz="0" w:space="0" w:color="auto"/>
      </w:divBdr>
    </w:div>
    <w:div w:id="1758210255">
      <w:bodyDiv w:val="1"/>
      <w:marLeft w:val="0"/>
      <w:marRight w:val="0"/>
      <w:marTop w:val="0"/>
      <w:marBottom w:val="0"/>
      <w:divBdr>
        <w:top w:val="none" w:sz="0" w:space="0" w:color="auto"/>
        <w:left w:val="none" w:sz="0" w:space="0" w:color="auto"/>
        <w:bottom w:val="none" w:sz="0" w:space="0" w:color="auto"/>
        <w:right w:val="none" w:sz="0" w:space="0" w:color="auto"/>
      </w:divBdr>
    </w:div>
    <w:div w:id="1759715933">
      <w:bodyDiv w:val="1"/>
      <w:marLeft w:val="0"/>
      <w:marRight w:val="0"/>
      <w:marTop w:val="0"/>
      <w:marBottom w:val="0"/>
      <w:divBdr>
        <w:top w:val="none" w:sz="0" w:space="0" w:color="auto"/>
        <w:left w:val="none" w:sz="0" w:space="0" w:color="auto"/>
        <w:bottom w:val="none" w:sz="0" w:space="0" w:color="auto"/>
        <w:right w:val="none" w:sz="0" w:space="0" w:color="auto"/>
      </w:divBdr>
    </w:div>
    <w:div w:id="1762023286">
      <w:bodyDiv w:val="1"/>
      <w:marLeft w:val="0"/>
      <w:marRight w:val="0"/>
      <w:marTop w:val="0"/>
      <w:marBottom w:val="0"/>
      <w:divBdr>
        <w:top w:val="none" w:sz="0" w:space="0" w:color="auto"/>
        <w:left w:val="none" w:sz="0" w:space="0" w:color="auto"/>
        <w:bottom w:val="none" w:sz="0" w:space="0" w:color="auto"/>
        <w:right w:val="none" w:sz="0" w:space="0" w:color="auto"/>
      </w:divBdr>
    </w:div>
    <w:div w:id="1766342609">
      <w:bodyDiv w:val="1"/>
      <w:marLeft w:val="0"/>
      <w:marRight w:val="0"/>
      <w:marTop w:val="0"/>
      <w:marBottom w:val="0"/>
      <w:divBdr>
        <w:top w:val="none" w:sz="0" w:space="0" w:color="auto"/>
        <w:left w:val="none" w:sz="0" w:space="0" w:color="auto"/>
        <w:bottom w:val="none" w:sz="0" w:space="0" w:color="auto"/>
        <w:right w:val="none" w:sz="0" w:space="0" w:color="auto"/>
      </w:divBdr>
    </w:div>
    <w:div w:id="1767965771">
      <w:bodyDiv w:val="1"/>
      <w:marLeft w:val="0"/>
      <w:marRight w:val="0"/>
      <w:marTop w:val="0"/>
      <w:marBottom w:val="0"/>
      <w:divBdr>
        <w:top w:val="none" w:sz="0" w:space="0" w:color="auto"/>
        <w:left w:val="none" w:sz="0" w:space="0" w:color="auto"/>
        <w:bottom w:val="none" w:sz="0" w:space="0" w:color="auto"/>
        <w:right w:val="none" w:sz="0" w:space="0" w:color="auto"/>
      </w:divBdr>
    </w:div>
    <w:div w:id="1769423034">
      <w:bodyDiv w:val="1"/>
      <w:marLeft w:val="0"/>
      <w:marRight w:val="0"/>
      <w:marTop w:val="0"/>
      <w:marBottom w:val="0"/>
      <w:divBdr>
        <w:top w:val="none" w:sz="0" w:space="0" w:color="auto"/>
        <w:left w:val="none" w:sz="0" w:space="0" w:color="auto"/>
        <w:bottom w:val="none" w:sz="0" w:space="0" w:color="auto"/>
        <w:right w:val="none" w:sz="0" w:space="0" w:color="auto"/>
      </w:divBdr>
    </w:div>
    <w:div w:id="1772165358">
      <w:bodyDiv w:val="1"/>
      <w:marLeft w:val="0"/>
      <w:marRight w:val="0"/>
      <w:marTop w:val="0"/>
      <w:marBottom w:val="0"/>
      <w:divBdr>
        <w:top w:val="none" w:sz="0" w:space="0" w:color="auto"/>
        <w:left w:val="none" w:sz="0" w:space="0" w:color="auto"/>
        <w:bottom w:val="none" w:sz="0" w:space="0" w:color="auto"/>
        <w:right w:val="none" w:sz="0" w:space="0" w:color="auto"/>
      </w:divBdr>
    </w:div>
    <w:div w:id="1779913951">
      <w:bodyDiv w:val="1"/>
      <w:marLeft w:val="0"/>
      <w:marRight w:val="0"/>
      <w:marTop w:val="0"/>
      <w:marBottom w:val="0"/>
      <w:divBdr>
        <w:top w:val="none" w:sz="0" w:space="0" w:color="auto"/>
        <w:left w:val="none" w:sz="0" w:space="0" w:color="auto"/>
        <w:bottom w:val="none" w:sz="0" w:space="0" w:color="auto"/>
        <w:right w:val="none" w:sz="0" w:space="0" w:color="auto"/>
      </w:divBdr>
    </w:div>
    <w:div w:id="1784643519">
      <w:bodyDiv w:val="1"/>
      <w:marLeft w:val="0"/>
      <w:marRight w:val="0"/>
      <w:marTop w:val="0"/>
      <w:marBottom w:val="0"/>
      <w:divBdr>
        <w:top w:val="none" w:sz="0" w:space="0" w:color="auto"/>
        <w:left w:val="none" w:sz="0" w:space="0" w:color="auto"/>
        <w:bottom w:val="none" w:sz="0" w:space="0" w:color="auto"/>
        <w:right w:val="none" w:sz="0" w:space="0" w:color="auto"/>
      </w:divBdr>
    </w:div>
    <w:div w:id="1788548735">
      <w:bodyDiv w:val="1"/>
      <w:marLeft w:val="0"/>
      <w:marRight w:val="0"/>
      <w:marTop w:val="0"/>
      <w:marBottom w:val="0"/>
      <w:divBdr>
        <w:top w:val="none" w:sz="0" w:space="0" w:color="auto"/>
        <w:left w:val="none" w:sz="0" w:space="0" w:color="auto"/>
        <w:bottom w:val="none" w:sz="0" w:space="0" w:color="auto"/>
        <w:right w:val="none" w:sz="0" w:space="0" w:color="auto"/>
      </w:divBdr>
    </w:div>
    <w:div w:id="1792554925">
      <w:bodyDiv w:val="1"/>
      <w:marLeft w:val="0"/>
      <w:marRight w:val="0"/>
      <w:marTop w:val="0"/>
      <w:marBottom w:val="0"/>
      <w:divBdr>
        <w:top w:val="none" w:sz="0" w:space="0" w:color="auto"/>
        <w:left w:val="none" w:sz="0" w:space="0" w:color="auto"/>
        <w:bottom w:val="none" w:sz="0" w:space="0" w:color="auto"/>
        <w:right w:val="none" w:sz="0" w:space="0" w:color="auto"/>
      </w:divBdr>
    </w:div>
    <w:div w:id="1797673404">
      <w:bodyDiv w:val="1"/>
      <w:marLeft w:val="0"/>
      <w:marRight w:val="0"/>
      <w:marTop w:val="0"/>
      <w:marBottom w:val="0"/>
      <w:divBdr>
        <w:top w:val="none" w:sz="0" w:space="0" w:color="auto"/>
        <w:left w:val="none" w:sz="0" w:space="0" w:color="auto"/>
        <w:bottom w:val="none" w:sz="0" w:space="0" w:color="auto"/>
        <w:right w:val="none" w:sz="0" w:space="0" w:color="auto"/>
      </w:divBdr>
    </w:div>
    <w:div w:id="1806116942">
      <w:bodyDiv w:val="1"/>
      <w:marLeft w:val="0"/>
      <w:marRight w:val="0"/>
      <w:marTop w:val="0"/>
      <w:marBottom w:val="0"/>
      <w:divBdr>
        <w:top w:val="none" w:sz="0" w:space="0" w:color="auto"/>
        <w:left w:val="none" w:sz="0" w:space="0" w:color="auto"/>
        <w:bottom w:val="none" w:sz="0" w:space="0" w:color="auto"/>
        <w:right w:val="none" w:sz="0" w:space="0" w:color="auto"/>
      </w:divBdr>
    </w:div>
    <w:div w:id="1807891651">
      <w:bodyDiv w:val="1"/>
      <w:marLeft w:val="0"/>
      <w:marRight w:val="0"/>
      <w:marTop w:val="0"/>
      <w:marBottom w:val="0"/>
      <w:divBdr>
        <w:top w:val="none" w:sz="0" w:space="0" w:color="auto"/>
        <w:left w:val="none" w:sz="0" w:space="0" w:color="auto"/>
        <w:bottom w:val="none" w:sz="0" w:space="0" w:color="auto"/>
        <w:right w:val="none" w:sz="0" w:space="0" w:color="auto"/>
      </w:divBdr>
    </w:div>
    <w:div w:id="1833444273">
      <w:bodyDiv w:val="1"/>
      <w:marLeft w:val="0"/>
      <w:marRight w:val="0"/>
      <w:marTop w:val="0"/>
      <w:marBottom w:val="0"/>
      <w:divBdr>
        <w:top w:val="none" w:sz="0" w:space="0" w:color="auto"/>
        <w:left w:val="none" w:sz="0" w:space="0" w:color="auto"/>
        <w:bottom w:val="none" w:sz="0" w:space="0" w:color="auto"/>
        <w:right w:val="none" w:sz="0" w:space="0" w:color="auto"/>
      </w:divBdr>
    </w:div>
    <w:div w:id="1834446033">
      <w:bodyDiv w:val="1"/>
      <w:marLeft w:val="0"/>
      <w:marRight w:val="0"/>
      <w:marTop w:val="0"/>
      <w:marBottom w:val="0"/>
      <w:divBdr>
        <w:top w:val="none" w:sz="0" w:space="0" w:color="auto"/>
        <w:left w:val="none" w:sz="0" w:space="0" w:color="auto"/>
        <w:bottom w:val="none" w:sz="0" w:space="0" w:color="auto"/>
        <w:right w:val="none" w:sz="0" w:space="0" w:color="auto"/>
      </w:divBdr>
    </w:div>
    <w:div w:id="1843088483">
      <w:bodyDiv w:val="1"/>
      <w:marLeft w:val="0"/>
      <w:marRight w:val="0"/>
      <w:marTop w:val="0"/>
      <w:marBottom w:val="0"/>
      <w:divBdr>
        <w:top w:val="none" w:sz="0" w:space="0" w:color="auto"/>
        <w:left w:val="none" w:sz="0" w:space="0" w:color="auto"/>
        <w:bottom w:val="none" w:sz="0" w:space="0" w:color="auto"/>
        <w:right w:val="none" w:sz="0" w:space="0" w:color="auto"/>
      </w:divBdr>
    </w:div>
    <w:div w:id="1843858613">
      <w:bodyDiv w:val="1"/>
      <w:marLeft w:val="0"/>
      <w:marRight w:val="0"/>
      <w:marTop w:val="0"/>
      <w:marBottom w:val="0"/>
      <w:divBdr>
        <w:top w:val="none" w:sz="0" w:space="0" w:color="auto"/>
        <w:left w:val="none" w:sz="0" w:space="0" w:color="auto"/>
        <w:bottom w:val="none" w:sz="0" w:space="0" w:color="auto"/>
        <w:right w:val="none" w:sz="0" w:space="0" w:color="auto"/>
      </w:divBdr>
    </w:div>
    <w:div w:id="1844052098">
      <w:bodyDiv w:val="1"/>
      <w:marLeft w:val="0"/>
      <w:marRight w:val="0"/>
      <w:marTop w:val="0"/>
      <w:marBottom w:val="0"/>
      <w:divBdr>
        <w:top w:val="none" w:sz="0" w:space="0" w:color="auto"/>
        <w:left w:val="none" w:sz="0" w:space="0" w:color="auto"/>
        <w:bottom w:val="none" w:sz="0" w:space="0" w:color="auto"/>
        <w:right w:val="none" w:sz="0" w:space="0" w:color="auto"/>
      </w:divBdr>
    </w:div>
    <w:div w:id="1845784631">
      <w:bodyDiv w:val="1"/>
      <w:marLeft w:val="0"/>
      <w:marRight w:val="0"/>
      <w:marTop w:val="0"/>
      <w:marBottom w:val="0"/>
      <w:divBdr>
        <w:top w:val="none" w:sz="0" w:space="0" w:color="auto"/>
        <w:left w:val="none" w:sz="0" w:space="0" w:color="auto"/>
        <w:bottom w:val="none" w:sz="0" w:space="0" w:color="auto"/>
        <w:right w:val="none" w:sz="0" w:space="0" w:color="auto"/>
      </w:divBdr>
    </w:div>
    <w:div w:id="1853447711">
      <w:bodyDiv w:val="1"/>
      <w:marLeft w:val="0"/>
      <w:marRight w:val="0"/>
      <w:marTop w:val="0"/>
      <w:marBottom w:val="0"/>
      <w:divBdr>
        <w:top w:val="none" w:sz="0" w:space="0" w:color="auto"/>
        <w:left w:val="none" w:sz="0" w:space="0" w:color="auto"/>
        <w:bottom w:val="none" w:sz="0" w:space="0" w:color="auto"/>
        <w:right w:val="none" w:sz="0" w:space="0" w:color="auto"/>
      </w:divBdr>
    </w:div>
    <w:div w:id="1854345121">
      <w:bodyDiv w:val="1"/>
      <w:marLeft w:val="0"/>
      <w:marRight w:val="0"/>
      <w:marTop w:val="0"/>
      <w:marBottom w:val="0"/>
      <w:divBdr>
        <w:top w:val="none" w:sz="0" w:space="0" w:color="auto"/>
        <w:left w:val="none" w:sz="0" w:space="0" w:color="auto"/>
        <w:bottom w:val="none" w:sz="0" w:space="0" w:color="auto"/>
        <w:right w:val="none" w:sz="0" w:space="0" w:color="auto"/>
      </w:divBdr>
    </w:div>
    <w:div w:id="1861162280">
      <w:bodyDiv w:val="1"/>
      <w:marLeft w:val="0"/>
      <w:marRight w:val="0"/>
      <w:marTop w:val="0"/>
      <w:marBottom w:val="0"/>
      <w:divBdr>
        <w:top w:val="none" w:sz="0" w:space="0" w:color="auto"/>
        <w:left w:val="none" w:sz="0" w:space="0" w:color="auto"/>
        <w:bottom w:val="none" w:sz="0" w:space="0" w:color="auto"/>
        <w:right w:val="none" w:sz="0" w:space="0" w:color="auto"/>
      </w:divBdr>
    </w:div>
    <w:div w:id="1862284653">
      <w:bodyDiv w:val="1"/>
      <w:marLeft w:val="0"/>
      <w:marRight w:val="0"/>
      <w:marTop w:val="0"/>
      <w:marBottom w:val="0"/>
      <w:divBdr>
        <w:top w:val="none" w:sz="0" w:space="0" w:color="auto"/>
        <w:left w:val="none" w:sz="0" w:space="0" w:color="auto"/>
        <w:bottom w:val="none" w:sz="0" w:space="0" w:color="auto"/>
        <w:right w:val="none" w:sz="0" w:space="0" w:color="auto"/>
      </w:divBdr>
    </w:div>
    <w:div w:id="1864853779">
      <w:bodyDiv w:val="1"/>
      <w:marLeft w:val="0"/>
      <w:marRight w:val="0"/>
      <w:marTop w:val="0"/>
      <w:marBottom w:val="0"/>
      <w:divBdr>
        <w:top w:val="none" w:sz="0" w:space="0" w:color="auto"/>
        <w:left w:val="none" w:sz="0" w:space="0" w:color="auto"/>
        <w:bottom w:val="none" w:sz="0" w:space="0" w:color="auto"/>
        <w:right w:val="none" w:sz="0" w:space="0" w:color="auto"/>
      </w:divBdr>
    </w:div>
    <w:div w:id="1866676351">
      <w:bodyDiv w:val="1"/>
      <w:marLeft w:val="0"/>
      <w:marRight w:val="0"/>
      <w:marTop w:val="0"/>
      <w:marBottom w:val="0"/>
      <w:divBdr>
        <w:top w:val="none" w:sz="0" w:space="0" w:color="auto"/>
        <w:left w:val="none" w:sz="0" w:space="0" w:color="auto"/>
        <w:bottom w:val="none" w:sz="0" w:space="0" w:color="auto"/>
        <w:right w:val="none" w:sz="0" w:space="0" w:color="auto"/>
      </w:divBdr>
    </w:div>
    <w:div w:id="1870869903">
      <w:bodyDiv w:val="1"/>
      <w:marLeft w:val="0"/>
      <w:marRight w:val="0"/>
      <w:marTop w:val="0"/>
      <w:marBottom w:val="0"/>
      <w:divBdr>
        <w:top w:val="none" w:sz="0" w:space="0" w:color="auto"/>
        <w:left w:val="none" w:sz="0" w:space="0" w:color="auto"/>
        <w:bottom w:val="none" w:sz="0" w:space="0" w:color="auto"/>
        <w:right w:val="none" w:sz="0" w:space="0" w:color="auto"/>
      </w:divBdr>
    </w:div>
    <w:div w:id="1892383945">
      <w:bodyDiv w:val="1"/>
      <w:marLeft w:val="0"/>
      <w:marRight w:val="0"/>
      <w:marTop w:val="0"/>
      <w:marBottom w:val="0"/>
      <w:divBdr>
        <w:top w:val="none" w:sz="0" w:space="0" w:color="auto"/>
        <w:left w:val="none" w:sz="0" w:space="0" w:color="auto"/>
        <w:bottom w:val="none" w:sz="0" w:space="0" w:color="auto"/>
        <w:right w:val="none" w:sz="0" w:space="0" w:color="auto"/>
      </w:divBdr>
    </w:div>
    <w:div w:id="1893883584">
      <w:bodyDiv w:val="1"/>
      <w:marLeft w:val="0"/>
      <w:marRight w:val="0"/>
      <w:marTop w:val="0"/>
      <w:marBottom w:val="0"/>
      <w:divBdr>
        <w:top w:val="none" w:sz="0" w:space="0" w:color="auto"/>
        <w:left w:val="none" w:sz="0" w:space="0" w:color="auto"/>
        <w:bottom w:val="none" w:sz="0" w:space="0" w:color="auto"/>
        <w:right w:val="none" w:sz="0" w:space="0" w:color="auto"/>
      </w:divBdr>
    </w:div>
    <w:div w:id="1899630563">
      <w:bodyDiv w:val="1"/>
      <w:marLeft w:val="0"/>
      <w:marRight w:val="0"/>
      <w:marTop w:val="0"/>
      <w:marBottom w:val="0"/>
      <w:divBdr>
        <w:top w:val="none" w:sz="0" w:space="0" w:color="auto"/>
        <w:left w:val="none" w:sz="0" w:space="0" w:color="auto"/>
        <w:bottom w:val="none" w:sz="0" w:space="0" w:color="auto"/>
        <w:right w:val="none" w:sz="0" w:space="0" w:color="auto"/>
      </w:divBdr>
    </w:div>
    <w:div w:id="1901358316">
      <w:bodyDiv w:val="1"/>
      <w:marLeft w:val="0"/>
      <w:marRight w:val="0"/>
      <w:marTop w:val="0"/>
      <w:marBottom w:val="0"/>
      <w:divBdr>
        <w:top w:val="none" w:sz="0" w:space="0" w:color="auto"/>
        <w:left w:val="none" w:sz="0" w:space="0" w:color="auto"/>
        <w:bottom w:val="none" w:sz="0" w:space="0" w:color="auto"/>
        <w:right w:val="none" w:sz="0" w:space="0" w:color="auto"/>
      </w:divBdr>
    </w:div>
    <w:div w:id="1903590705">
      <w:bodyDiv w:val="1"/>
      <w:marLeft w:val="0"/>
      <w:marRight w:val="0"/>
      <w:marTop w:val="0"/>
      <w:marBottom w:val="0"/>
      <w:divBdr>
        <w:top w:val="none" w:sz="0" w:space="0" w:color="auto"/>
        <w:left w:val="none" w:sz="0" w:space="0" w:color="auto"/>
        <w:bottom w:val="none" w:sz="0" w:space="0" w:color="auto"/>
        <w:right w:val="none" w:sz="0" w:space="0" w:color="auto"/>
      </w:divBdr>
    </w:div>
    <w:div w:id="1908766010">
      <w:bodyDiv w:val="1"/>
      <w:marLeft w:val="0"/>
      <w:marRight w:val="0"/>
      <w:marTop w:val="0"/>
      <w:marBottom w:val="0"/>
      <w:divBdr>
        <w:top w:val="none" w:sz="0" w:space="0" w:color="auto"/>
        <w:left w:val="none" w:sz="0" w:space="0" w:color="auto"/>
        <w:bottom w:val="none" w:sz="0" w:space="0" w:color="auto"/>
        <w:right w:val="none" w:sz="0" w:space="0" w:color="auto"/>
      </w:divBdr>
    </w:div>
    <w:div w:id="1910967320">
      <w:bodyDiv w:val="1"/>
      <w:marLeft w:val="0"/>
      <w:marRight w:val="0"/>
      <w:marTop w:val="0"/>
      <w:marBottom w:val="0"/>
      <w:divBdr>
        <w:top w:val="none" w:sz="0" w:space="0" w:color="auto"/>
        <w:left w:val="none" w:sz="0" w:space="0" w:color="auto"/>
        <w:bottom w:val="none" w:sz="0" w:space="0" w:color="auto"/>
        <w:right w:val="none" w:sz="0" w:space="0" w:color="auto"/>
      </w:divBdr>
    </w:div>
    <w:div w:id="1921909434">
      <w:bodyDiv w:val="1"/>
      <w:marLeft w:val="0"/>
      <w:marRight w:val="0"/>
      <w:marTop w:val="0"/>
      <w:marBottom w:val="0"/>
      <w:divBdr>
        <w:top w:val="none" w:sz="0" w:space="0" w:color="auto"/>
        <w:left w:val="none" w:sz="0" w:space="0" w:color="auto"/>
        <w:bottom w:val="none" w:sz="0" w:space="0" w:color="auto"/>
        <w:right w:val="none" w:sz="0" w:space="0" w:color="auto"/>
      </w:divBdr>
    </w:div>
    <w:div w:id="1927222259">
      <w:bodyDiv w:val="1"/>
      <w:marLeft w:val="0"/>
      <w:marRight w:val="0"/>
      <w:marTop w:val="0"/>
      <w:marBottom w:val="0"/>
      <w:divBdr>
        <w:top w:val="none" w:sz="0" w:space="0" w:color="auto"/>
        <w:left w:val="none" w:sz="0" w:space="0" w:color="auto"/>
        <w:bottom w:val="none" w:sz="0" w:space="0" w:color="auto"/>
        <w:right w:val="none" w:sz="0" w:space="0" w:color="auto"/>
      </w:divBdr>
    </w:div>
    <w:div w:id="1928155171">
      <w:bodyDiv w:val="1"/>
      <w:marLeft w:val="0"/>
      <w:marRight w:val="0"/>
      <w:marTop w:val="0"/>
      <w:marBottom w:val="0"/>
      <w:divBdr>
        <w:top w:val="none" w:sz="0" w:space="0" w:color="auto"/>
        <w:left w:val="none" w:sz="0" w:space="0" w:color="auto"/>
        <w:bottom w:val="none" w:sz="0" w:space="0" w:color="auto"/>
        <w:right w:val="none" w:sz="0" w:space="0" w:color="auto"/>
      </w:divBdr>
    </w:div>
    <w:div w:id="1929994545">
      <w:bodyDiv w:val="1"/>
      <w:marLeft w:val="0"/>
      <w:marRight w:val="0"/>
      <w:marTop w:val="0"/>
      <w:marBottom w:val="0"/>
      <w:divBdr>
        <w:top w:val="none" w:sz="0" w:space="0" w:color="auto"/>
        <w:left w:val="none" w:sz="0" w:space="0" w:color="auto"/>
        <w:bottom w:val="none" w:sz="0" w:space="0" w:color="auto"/>
        <w:right w:val="none" w:sz="0" w:space="0" w:color="auto"/>
      </w:divBdr>
    </w:div>
    <w:div w:id="1931162622">
      <w:bodyDiv w:val="1"/>
      <w:marLeft w:val="0"/>
      <w:marRight w:val="0"/>
      <w:marTop w:val="0"/>
      <w:marBottom w:val="0"/>
      <w:divBdr>
        <w:top w:val="none" w:sz="0" w:space="0" w:color="auto"/>
        <w:left w:val="none" w:sz="0" w:space="0" w:color="auto"/>
        <w:bottom w:val="none" w:sz="0" w:space="0" w:color="auto"/>
        <w:right w:val="none" w:sz="0" w:space="0" w:color="auto"/>
      </w:divBdr>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
    <w:div w:id="1937783777">
      <w:bodyDiv w:val="1"/>
      <w:marLeft w:val="0"/>
      <w:marRight w:val="0"/>
      <w:marTop w:val="0"/>
      <w:marBottom w:val="0"/>
      <w:divBdr>
        <w:top w:val="none" w:sz="0" w:space="0" w:color="auto"/>
        <w:left w:val="none" w:sz="0" w:space="0" w:color="auto"/>
        <w:bottom w:val="none" w:sz="0" w:space="0" w:color="auto"/>
        <w:right w:val="none" w:sz="0" w:space="0" w:color="auto"/>
      </w:divBdr>
      <w:divsChild>
        <w:div w:id="1845626370">
          <w:marLeft w:val="0"/>
          <w:marRight w:val="0"/>
          <w:marTop w:val="0"/>
          <w:marBottom w:val="0"/>
          <w:divBdr>
            <w:top w:val="none" w:sz="0" w:space="0" w:color="auto"/>
            <w:left w:val="none" w:sz="0" w:space="0" w:color="auto"/>
            <w:bottom w:val="none" w:sz="0" w:space="0" w:color="auto"/>
            <w:right w:val="none" w:sz="0" w:space="0" w:color="auto"/>
          </w:divBdr>
        </w:div>
      </w:divsChild>
    </w:div>
    <w:div w:id="1949654957">
      <w:bodyDiv w:val="1"/>
      <w:marLeft w:val="0"/>
      <w:marRight w:val="0"/>
      <w:marTop w:val="0"/>
      <w:marBottom w:val="0"/>
      <w:divBdr>
        <w:top w:val="none" w:sz="0" w:space="0" w:color="auto"/>
        <w:left w:val="none" w:sz="0" w:space="0" w:color="auto"/>
        <w:bottom w:val="none" w:sz="0" w:space="0" w:color="auto"/>
        <w:right w:val="none" w:sz="0" w:space="0" w:color="auto"/>
      </w:divBdr>
    </w:div>
    <w:div w:id="1953394922">
      <w:bodyDiv w:val="1"/>
      <w:marLeft w:val="0"/>
      <w:marRight w:val="0"/>
      <w:marTop w:val="0"/>
      <w:marBottom w:val="0"/>
      <w:divBdr>
        <w:top w:val="none" w:sz="0" w:space="0" w:color="auto"/>
        <w:left w:val="none" w:sz="0" w:space="0" w:color="auto"/>
        <w:bottom w:val="none" w:sz="0" w:space="0" w:color="auto"/>
        <w:right w:val="none" w:sz="0" w:space="0" w:color="auto"/>
      </w:divBdr>
    </w:div>
    <w:div w:id="1955480563">
      <w:bodyDiv w:val="1"/>
      <w:marLeft w:val="0"/>
      <w:marRight w:val="0"/>
      <w:marTop w:val="0"/>
      <w:marBottom w:val="0"/>
      <w:divBdr>
        <w:top w:val="none" w:sz="0" w:space="0" w:color="auto"/>
        <w:left w:val="none" w:sz="0" w:space="0" w:color="auto"/>
        <w:bottom w:val="none" w:sz="0" w:space="0" w:color="auto"/>
        <w:right w:val="none" w:sz="0" w:space="0" w:color="auto"/>
      </w:divBdr>
    </w:div>
    <w:div w:id="1956399122">
      <w:bodyDiv w:val="1"/>
      <w:marLeft w:val="0"/>
      <w:marRight w:val="0"/>
      <w:marTop w:val="0"/>
      <w:marBottom w:val="0"/>
      <w:divBdr>
        <w:top w:val="none" w:sz="0" w:space="0" w:color="auto"/>
        <w:left w:val="none" w:sz="0" w:space="0" w:color="auto"/>
        <w:bottom w:val="none" w:sz="0" w:space="0" w:color="auto"/>
        <w:right w:val="none" w:sz="0" w:space="0" w:color="auto"/>
      </w:divBdr>
    </w:div>
    <w:div w:id="1957060006">
      <w:bodyDiv w:val="1"/>
      <w:marLeft w:val="0"/>
      <w:marRight w:val="0"/>
      <w:marTop w:val="0"/>
      <w:marBottom w:val="0"/>
      <w:divBdr>
        <w:top w:val="none" w:sz="0" w:space="0" w:color="auto"/>
        <w:left w:val="none" w:sz="0" w:space="0" w:color="auto"/>
        <w:bottom w:val="none" w:sz="0" w:space="0" w:color="auto"/>
        <w:right w:val="none" w:sz="0" w:space="0" w:color="auto"/>
      </w:divBdr>
    </w:div>
    <w:div w:id="1965578635">
      <w:bodyDiv w:val="1"/>
      <w:marLeft w:val="0"/>
      <w:marRight w:val="0"/>
      <w:marTop w:val="0"/>
      <w:marBottom w:val="0"/>
      <w:divBdr>
        <w:top w:val="none" w:sz="0" w:space="0" w:color="auto"/>
        <w:left w:val="none" w:sz="0" w:space="0" w:color="auto"/>
        <w:bottom w:val="none" w:sz="0" w:space="0" w:color="auto"/>
        <w:right w:val="none" w:sz="0" w:space="0" w:color="auto"/>
      </w:divBdr>
    </w:div>
    <w:div w:id="1967351351">
      <w:bodyDiv w:val="1"/>
      <w:marLeft w:val="0"/>
      <w:marRight w:val="0"/>
      <w:marTop w:val="0"/>
      <w:marBottom w:val="0"/>
      <w:divBdr>
        <w:top w:val="none" w:sz="0" w:space="0" w:color="auto"/>
        <w:left w:val="none" w:sz="0" w:space="0" w:color="auto"/>
        <w:bottom w:val="none" w:sz="0" w:space="0" w:color="auto"/>
        <w:right w:val="none" w:sz="0" w:space="0" w:color="auto"/>
      </w:divBdr>
    </w:div>
    <w:div w:id="1972201265">
      <w:bodyDiv w:val="1"/>
      <w:marLeft w:val="0"/>
      <w:marRight w:val="0"/>
      <w:marTop w:val="0"/>
      <w:marBottom w:val="0"/>
      <w:divBdr>
        <w:top w:val="none" w:sz="0" w:space="0" w:color="auto"/>
        <w:left w:val="none" w:sz="0" w:space="0" w:color="auto"/>
        <w:bottom w:val="none" w:sz="0" w:space="0" w:color="auto"/>
        <w:right w:val="none" w:sz="0" w:space="0" w:color="auto"/>
      </w:divBdr>
    </w:div>
    <w:div w:id="1973367471">
      <w:bodyDiv w:val="1"/>
      <w:marLeft w:val="0"/>
      <w:marRight w:val="0"/>
      <w:marTop w:val="0"/>
      <w:marBottom w:val="0"/>
      <w:divBdr>
        <w:top w:val="none" w:sz="0" w:space="0" w:color="auto"/>
        <w:left w:val="none" w:sz="0" w:space="0" w:color="auto"/>
        <w:bottom w:val="none" w:sz="0" w:space="0" w:color="auto"/>
        <w:right w:val="none" w:sz="0" w:space="0" w:color="auto"/>
      </w:divBdr>
    </w:div>
    <w:div w:id="1977877014">
      <w:bodyDiv w:val="1"/>
      <w:marLeft w:val="0"/>
      <w:marRight w:val="0"/>
      <w:marTop w:val="0"/>
      <w:marBottom w:val="0"/>
      <w:divBdr>
        <w:top w:val="none" w:sz="0" w:space="0" w:color="auto"/>
        <w:left w:val="none" w:sz="0" w:space="0" w:color="auto"/>
        <w:bottom w:val="none" w:sz="0" w:space="0" w:color="auto"/>
        <w:right w:val="none" w:sz="0" w:space="0" w:color="auto"/>
      </w:divBdr>
    </w:div>
    <w:div w:id="1978140680">
      <w:bodyDiv w:val="1"/>
      <w:marLeft w:val="0"/>
      <w:marRight w:val="0"/>
      <w:marTop w:val="0"/>
      <w:marBottom w:val="0"/>
      <w:divBdr>
        <w:top w:val="none" w:sz="0" w:space="0" w:color="auto"/>
        <w:left w:val="none" w:sz="0" w:space="0" w:color="auto"/>
        <w:bottom w:val="none" w:sz="0" w:space="0" w:color="auto"/>
        <w:right w:val="none" w:sz="0" w:space="0" w:color="auto"/>
      </w:divBdr>
    </w:div>
    <w:div w:id="1978147788">
      <w:bodyDiv w:val="1"/>
      <w:marLeft w:val="0"/>
      <w:marRight w:val="0"/>
      <w:marTop w:val="0"/>
      <w:marBottom w:val="0"/>
      <w:divBdr>
        <w:top w:val="none" w:sz="0" w:space="0" w:color="auto"/>
        <w:left w:val="none" w:sz="0" w:space="0" w:color="auto"/>
        <w:bottom w:val="none" w:sz="0" w:space="0" w:color="auto"/>
        <w:right w:val="none" w:sz="0" w:space="0" w:color="auto"/>
      </w:divBdr>
    </w:div>
    <w:div w:id="1978610757">
      <w:bodyDiv w:val="1"/>
      <w:marLeft w:val="0"/>
      <w:marRight w:val="0"/>
      <w:marTop w:val="0"/>
      <w:marBottom w:val="0"/>
      <w:divBdr>
        <w:top w:val="none" w:sz="0" w:space="0" w:color="auto"/>
        <w:left w:val="none" w:sz="0" w:space="0" w:color="auto"/>
        <w:bottom w:val="none" w:sz="0" w:space="0" w:color="auto"/>
        <w:right w:val="none" w:sz="0" w:space="0" w:color="auto"/>
      </w:divBdr>
      <w:divsChild>
        <w:div w:id="1468431635">
          <w:marLeft w:val="0"/>
          <w:marRight w:val="0"/>
          <w:marTop w:val="0"/>
          <w:marBottom w:val="0"/>
          <w:divBdr>
            <w:top w:val="none" w:sz="0" w:space="0" w:color="auto"/>
            <w:left w:val="none" w:sz="0" w:space="0" w:color="auto"/>
            <w:bottom w:val="none" w:sz="0" w:space="0" w:color="auto"/>
            <w:right w:val="none" w:sz="0" w:space="0" w:color="auto"/>
          </w:divBdr>
        </w:div>
      </w:divsChild>
    </w:div>
    <w:div w:id="1988317189">
      <w:bodyDiv w:val="1"/>
      <w:marLeft w:val="0"/>
      <w:marRight w:val="0"/>
      <w:marTop w:val="0"/>
      <w:marBottom w:val="0"/>
      <w:divBdr>
        <w:top w:val="none" w:sz="0" w:space="0" w:color="auto"/>
        <w:left w:val="none" w:sz="0" w:space="0" w:color="auto"/>
        <w:bottom w:val="none" w:sz="0" w:space="0" w:color="auto"/>
        <w:right w:val="none" w:sz="0" w:space="0" w:color="auto"/>
      </w:divBdr>
    </w:div>
    <w:div w:id="1990330096">
      <w:bodyDiv w:val="1"/>
      <w:marLeft w:val="0"/>
      <w:marRight w:val="0"/>
      <w:marTop w:val="0"/>
      <w:marBottom w:val="0"/>
      <w:divBdr>
        <w:top w:val="none" w:sz="0" w:space="0" w:color="auto"/>
        <w:left w:val="none" w:sz="0" w:space="0" w:color="auto"/>
        <w:bottom w:val="none" w:sz="0" w:space="0" w:color="auto"/>
        <w:right w:val="none" w:sz="0" w:space="0" w:color="auto"/>
      </w:divBdr>
    </w:div>
    <w:div w:id="1990354422">
      <w:bodyDiv w:val="1"/>
      <w:marLeft w:val="0"/>
      <w:marRight w:val="0"/>
      <w:marTop w:val="0"/>
      <w:marBottom w:val="0"/>
      <w:divBdr>
        <w:top w:val="none" w:sz="0" w:space="0" w:color="auto"/>
        <w:left w:val="none" w:sz="0" w:space="0" w:color="auto"/>
        <w:bottom w:val="none" w:sz="0" w:space="0" w:color="auto"/>
        <w:right w:val="none" w:sz="0" w:space="0" w:color="auto"/>
      </w:divBdr>
    </w:div>
    <w:div w:id="1997804907">
      <w:bodyDiv w:val="1"/>
      <w:marLeft w:val="0"/>
      <w:marRight w:val="0"/>
      <w:marTop w:val="0"/>
      <w:marBottom w:val="0"/>
      <w:divBdr>
        <w:top w:val="none" w:sz="0" w:space="0" w:color="auto"/>
        <w:left w:val="none" w:sz="0" w:space="0" w:color="auto"/>
        <w:bottom w:val="none" w:sz="0" w:space="0" w:color="auto"/>
        <w:right w:val="none" w:sz="0" w:space="0" w:color="auto"/>
      </w:divBdr>
    </w:div>
    <w:div w:id="2003578783">
      <w:bodyDiv w:val="1"/>
      <w:marLeft w:val="0"/>
      <w:marRight w:val="0"/>
      <w:marTop w:val="0"/>
      <w:marBottom w:val="0"/>
      <w:divBdr>
        <w:top w:val="none" w:sz="0" w:space="0" w:color="auto"/>
        <w:left w:val="none" w:sz="0" w:space="0" w:color="auto"/>
        <w:bottom w:val="none" w:sz="0" w:space="0" w:color="auto"/>
        <w:right w:val="none" w:sz="0" w:space="0" w:color="auto"/>
      </w:divBdr>
    </w:div>
    <w:div w:id="2004239801">
      <w:bodyDiv w:val="1"/>
      <w:marLeft w:val="0"/>
      <w:marRight w:val="0"/>
      <w:marTop w:val="0"/>
      <w:marBottom w:val="0"/>
      <w:divBdr>
        <w:top w:val="none" w:sz="0" w:space="0" w:color="auto"/>
        <w:left w:val="none" w:sz="0" w:space="0" w:color="auto"/>
        <w:bottom w:val="none" w:sz="0" w:space="0" w:color="auto"/>
        <w:right w:val="none" w:sz="0" w:space="0" w:color="auto"/>
      </w:divBdr>
    </w:div>
    <w:div w:id="2004552068">
      <w:bodyDiv w:val="1"/>
      <w:marLeft w:val="0"/>
      <w:marRight w:val="0"/>
      <w:marTop w:val="0"/>
      <w:marBottom w:val="0"/>
      <w:divBdr>
        <w:top w:val="none" w:sz="0" w:space="0" w:color="auto"/>
        <w:left w:val="none" w:sz="0" w:space="0" w:color="auto"/>
        <w:bottom w:val="none" w:sz="0" w:space="0" w:color="auto"/>
        <w:right w:val="none" w:sz="0" w:space="0" w:color="auto"/>
      </w:divBdr>
    </w:div>
    <w:div w:id="2011444405">
      <w:bodyDiv w:val="1"/>
      <w:marLeft w:val="0"/>
      <w:marRight w:val="0"/>
      <w:marTop w:val="0"/>
      <w:marBottom w:val="0"/>
      <w:divBdr>
        <w:top w:val="none" w:sz="0" w:space="0" w:color="auto"/>
        <w:left w:val="none" w:sz="0" w:space="0" w:color="auto"/>
        <w:bottom w:val="none" w:sz="0" w:space="0" w:color="auto"/>
        <w:right w:val="none" w:sz="0" w:space="0" w:color="auto"/>
      </w:divBdr>
    </w:div>
    <w:div w:id="2026053751">
      <w:bodyDiv w:val="1"/>
      <w:marLeft w:val="0"/>
      <w:marRight w:val="0"/>
      <w:marTop w:val="0"/>
      <w:marBottom w:val="0"/>
      <w:divBdr>
        <w:top w:val="none" w:sz="0" w:space="0" w:color="auto"/>
        <w:left w:val="none" w:sz="0" w:space="0" w:color="auto"/>
        <w:bottom w:val="none" w:sz="0" w:space="0" w:color="auto"/>
        <w:right w:val="none" w:sz="0" w:space="0" w:color="auto"/>
      </w:divBdr>
    </w:div>
    <w:div w:id="2029677669">
      <w:bodyDiv w:val="1"/>
      <w:marLeft w:val="0"/>
      <w:marRight w:val="0"/>
      <w:marTop w:val="0"/>
      <w:marBottom w:val="0"/>
      <w:divBdr>
        <w:top w:val="none" w:sz="0" w:space="0" w:color="auto"/>
        <w:left w:val="none" w:sz="0" w:space="0" w:color="auto"/>
        <w:bottom w:val="none" w:sz="0" w:space="0" w:color="auto"/>
        <w:right w:val="none" w:sz="0" w:space="0" w:color="auto"/>
      </w:divBdr>
    </w:div>
    <w:div w:id="2030250054">
      <w:bodyDiv w:val="1"/>
      <w:marLeft w:val="0"/>
      <w:marRight w:val="0"/>
      <w:marTop w:val="0"/>
      <w:marBottom w:val="0"/>
      <w:divBdr>
        <w:top w:val="none" w:sz="0" w:space="0" w:color="auto"/>
        <w:left w:val="none" w:sz="0" w:space="0" w:color="auto"/>
        <w:bottom w:val="none" w:sz="0" w:space="0" w:color="auto"/>
        <w:right w:val="none" w:sz="0" w:space="0" w:color="auto"/>
      </w:divBdr>
      <w:divsChild>
        <w:div w:id="1286427250">
          <w:marLeft w:val="0"/>
          <w:marRight w:val="0"/>
          <w:marTop w:val="0"/>
          <w:marBottom w:val="0"/>
          <w:divBdr>
            <w:top w:val="none" w:sz="0" w:space="0" w:color="auto"/>
            <w:left w:val="none" w:sz="0" w:space="0" w:color="auto"/>
            <w:bottom w:val="none" w:sz="0" w:space="0" w:color="auto"/>
            <w:right w:val="none" w:sz="0" w:space="0" w:color="auto"/>
          </w:divBdr>
        </w:div>
      </w:divsChild>
    </w:div>
    <w:div w:id="2032291283">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33989105">
      <w:bodyDiv w:val="1"/>
      <w:marLeft w:val="0"/>
      <w:marRight w:val="0"/>
      <w:marTop w:val="0"/>
      <w:marBottom w:val="0"/>
      <w:divBdr>
        <w:top w:val="none" w:sz="0" w:space="0" w:color="auto"/>
        <w:left w:val="none" w:sz="0" w:space="0" w:color="auto"/>
        <w:bottom w:val="none" w:sz="0" w:space="0" w:color="auto"/>
        <w:right w:val="none" w:sz="0" w:space="0" w:color="auto"/>
      </w:divBdr>
    </w:div>
    <w:div w:id="2036080396">
      <w:bodyDiv w:val="1"/>
      <w:marLeft w:val="0"/>
      <w:marRight w:val="0"/>
      <w:marTop w:val="0"/>
      <w:marBottom w:val="0"/>
      <w:divBdr>
        <w:top w:val="none" w:sz="0" w:space="0" w:color="auto"/>
        <w:left w:val="none" w:sz="0" w:space="0" w:color="auto"/>
        <w:bottom w:val="none" w:sz="0" w:space="0" w:color="auto"/>
        <w:right w:val="none" w:sz="0" w:space="0" w:color="auto"/>
      </w:divBdr>
    </w:div>
    <w:div w:id="2036955329">
      <w:bodyDiv w:val="1"/>
      <w:marLeft w:val="0"/>
      <w:marRight w:val="0"/>
      <w:marTop w:val="0"/>
      <w:marBottom w:val="0"/>
      <w:divBdr>
        <w:top w:val="none" w:sz="0" w:space="0" w:color="auto"/>
        <w:left w:val="none" w:sz="0" w:space="0" w:color="auto"/>
        <w:bottom w:val="none" w:sz="0" w:space="0" w:color="auto"/>
        <w:right w:val="none" w:sz="0" w:space="0" w:color="auto"/>
      </w:divBdr>
    </w:div>
    <w:div w:id="2041204664">
      <w:bodyDiv w:val="1"/>
      <w:marLeft w:val="0"/>
      <w:marRight w:val="0"/>
      <w:marTop w:val="0"/>
      <w:marBottom w:val="0"/>
      <w:divBdr>
        <w:top w:val="none" w:sz="0" w:space="0" w:color="auto"/>
        <w:left w:val="none" w:sz="0" w:space="0" w:color="auto"/>
        <w:bottom w:val="none" w:sz="0" w:space="0" w:color="auto"/>
        <w:right w:val="none" w:sz="0" w:space="0" w:color="auto"/>
      </w:divBdr>
    </w:div>
    <w:div w:id="2045785401">
      <w:bodyDiv w:val="1"/>
      <w:marLeft w:val="0"/>
      <w:marRight w:val="0"/>
      <w:marTop w:val="0"/>
      <w:marBottom w:val="0"/>
      <w:divBdr>
        <w:top w:val="none" w:sz="0" w:space="0" w:color="auto"/>
        <w:left w:val="none" w:sz="0" w:space="0" w:color="auto"/>
        <w:bottom w:val="none" w:sz="0" w:space="0" w:color="auto"/>
        <w:right w:val="none" w:sz="0" w:space="0" w:color="auto"/>
      </w:divBdr>
    </w:div>
    <w:div w:id="2047872469">
      <w:bodyDiv w:val="1"/>
      <w:marLeft w:val="0"/>
      <w:marRight w:val="0"/>
      <w:marTop w:val="0"/>
      <w:marBottom w:val="0"/>
      <w:divBdr>
        <w:top w:val="none" w:sz="0" w:space="0" w:color="auto"/>
        <w:left w:val="none" w:sz="0" w:space="0" w:color="auto"/>
        <w:bottom w:val="none" w:sz="0" w:space="0" w:color="auto"/>
        <w:right w:val="none" w:sz="0" w:space="0" w:color="auto"/>
      </w:divBdr>
    </w:div>
    <w:div w:id="2054229772">
      <w:bodyDiv w:val="1"/>
      <w:marLeft w:val="0"/>
      <w:marRight w:val="0"/>
      <w:marTop w:val="0"/>
      <w:marBottom w:val="0"/>
      <w:divBdr>
        <w:top w:val="none" w:sz="0" w:space="0" w:color="auto"/>
        <w:left w:val="none" w:sz="0" w:space="0" w:color="auto"/>
        <w:bottom w:val="none" w:sz="0" w:space="0" w:color="auto"/>
        <w:right w:val="none" w:sz="0" w:space="0" w:color="auto"/>
      </w:divBdr>
    </w:div>
    <w:div w:id="2057507289">
      <w:bodyDiv w:val="1"/>
      <w:marLeft w:val="0"/>
      <w:marRight w:val="0"/>
      <w:marTop w:val="0"/>
      <w:marBottom w:val="0"/>
      <w:divBdr>
        <w:top w:val="none" w:sz="0" w:space="0" w:color="auto"/>
        <w:left w:val="none" w:sz="0" w:space="0" w:color="auto"/>
        <w:bottom w:val="none" w:sz="0" w:space="0" w:color="auto"/>
        <w:right w:val="none" w:sz="0" w:space="0" w:color="auto"/>
      </w:divBdr>
    </w:div>
    <w:div w:id="2059014885">
      <w:bodyDiv w:val="1"/>
      <w:marLeft w:val="0"/>
      <w:marRight w:val="0"/>
      <w:marTop w:val="0"/>
      <w:marBottom w:val="0"/>
      <w:divBdr>
        <w:top w:val="none" w:sz="0" w:space="0" w:color="auto"/>
        <w:left w:val="none" w:sz="0" w:space="0" w:color="auto"/>
        <w:bottom w:val="none" w:sz="0" w:space="0" w:color="auto"/>
        <w:right w:val="none" w:sz="0" w:space="0" w:color="auto"/>
      </w:divBdr>
    </w:div>
    <w:div w:id="2067100319">
      <w:bodyDiv w:val="1"/>
      <w:marLeft w:val="0"/>
      <w:marRight w:val="0"/>
      <w:marTop w:val="0"/>
      <w:marBottom w:val="0"/>
      <w:divBdr>
        <w:top w:val="none" w:sz="0" w:space="0" w:color="auto"/>
        <w:left w:val="none" w:sz="0" w:space="0" w:color="auto"/>
        <w:bottom w:val="none" w:sz="0" w:space="0" w:color="auto"/>
        <w:right w:val="none" w:sz="0" w:space="0" w:color="auto"/>
      </w:divBdr>
    </w:div>
    <w:div w:id="2069840974">
      <w:bodyDiv w:val="1"/>
      <w:marLeft w:val="0"/>
      <w:marRight w:val="0"/>
      <w:marTop w:val="0"/>
      <w:marBottom w:val="0"/>
      <w:divBdr>
        <w:top w:val="none" w:sz="0" w:space="0" w:color="auto"/>
        <w:left w:val="none" w:sz="0" w:space="0" w:color="auto"/>
        <w:bottom w:val="none" w:sz="0" w:space="0" w:color="auto"/>
        <w:right w:val="none" w:sz="0" w:space="0" w:color="auto"/>
      </w:divBdr>
    </w:div>
    <w:div w:id="2072656324">
      <w:bodyDiv w:val="1"/>
      <w:marLeft w:val="0"/>
      <w:marRight w:val="0"/>
      <w:marTop w:val="0"/>
      <w:marBottom w:val="0"/>
      <w:divBdr>
        <w:top w:val="none" w:sz="0" w:space="0" w:color="auto"/>
        <w:left w:val="none" w:sz="0" w:space="0" w:color="auto"/>
        <w:bottom w:val="none" w:sz="0" w:space="0" w:color="auto"/>
        <w:right w:val="none" w:sz="0" w:space="0" w:color="auto"/>
      </w:divBdr>
    </w:div>
    <w:div w:id="2075352805">
      <w:bodyDiv w:val="1"/>
      <w:marLeft w:val="0"/>
      <w:marRight w:val="0"/>
      <w:marTop w:val="0"/>
      <w:marBottom w:val="0"/>
      <w:divBdr>
        <w:top w:val="none" w:sz="0" w:space="0" w:color="auto"/>
        <w:left w:val="none" w:sz="0" w:space="0" w:color="auto"/>
        <w:bottom w:val="none" w:sz="0" w:space="0" w:color="auto"/>
        <w:right w:val="none" w:sz="0" w:space="0" w:color="auto"/>
      </w:divBdr>
    </w:div>
    <w:div w:id="2076781253">
      <w:bodyDiv w:val="1"/>
      <w:marLeft w:val="0"/>
      <w:marRight w:val="0"/>
      <w:marTop w:val="0"/>
      <w:marBottom w:val="0"/>
      <w:divBdr>
        <w:top w:val="none" w:sz="0" w:space="0" w:color="auto"/>
        <w:left w:val="none" w:sz="0" w:space="0" w:color="auto"/>
        <w:bottom w:val="none" w:sz="0" w:space="0" w:color="auto"/>
        <w:right w:val="none" w:sz="0" w:space="0" w:color="auto"/>
      </w:divBdr>
    </w:div>
    <w:div w:id="2081445494">
      <w:bodyDiv w:val="1"/>
      <w:marLeft w:val="0"/>
      <w:marRight w:val="0"/>
      <w:marTop w:val="0"/>
      <w:marBottom w:val="0"/>
      <w:divBdr>
        <w:top w:val="none" w:sz="0" w:space="0" w:color="auto"/>
        <w:left w:val="none" w:sz="0" w:space="0" w:color="auto"/>
        <w:bottom w:val="none" w:sz="0" w:space="0" w:color="auto"/>
        <w:right w:val="none" w:sz="0" w:space="0" w:color="auto"/>
      </w:divBdr>
    </w:div>
    <w:div w:id="2083796933">
      <w:bodyDiv w:val="1"/>
      <w:marLeft w:val="0"/>
      <w:marRight w:val="0"/>
      <w:marTop w:val="0"/>
      <w:marBottom w:val="0"/>
      <w:divBdr>
        <w:top w:val="none" w:sz="0" w:space="0" w:color="auto"/>
        <w:left w:val="none" w:sz="0" w:space="0" w:color="auto"/>
        <w:bottom w:val="none" w:sz="0" w:space="0" w:color="auto"/>
        <w:right w:val="none" w:sz="0" w:space="0" w:color="auto"/>
      </w:divBdr>
    </w:div>
    <w:div w:id="2084403057">
      <w:bodyDiv w:val="1"/>
      <w:marLeft w:val="0"/>
      <w:marRight w:val="0"/>
      <w:marTop w:val="0"/>
      <w:marBottom w:val="0"/>
      <w:divBdr>
        <w:top w:val="none" w:sz="0" w:space="0" w:color="auto"/>
        <w:left w:val="none" w:sz="0" w:space="0" w:color="auto"/>
        <w:bottom w:val="none" w:sz="0" w:space="0" w:color="auto"/>
        <w:right w:val="none" w:sz="0" w:space="0" w:color="auto"/>
      </w:divBdr>
    </w:div>
    <w:div w:id="2094735367">
      <w:bodyDiv w:val="1"/>
      <w:marLeft w:val="0"/>
      <w:marRight w:val="0"/>
      <w:marTop w:val="0"/>
      <w:marBottom w:val="0"/>
      <w:divBdr>
        <w:top w:val="none" w:sz="0" w:space="0" w:color="auto"/>
        <w:left w:val="none" w:sz="0" w:space="0" w:color="auto"/>
        <w:bottom w:val="none" w:sz="0" w:space="0" w:color="auto"/>
        <w:right w:val="none" w:sz="0" w:space="0" w:color="auto"/>
      </w:divBdr>
    </w:div>
    <w:div w:id="2095740179">
      <w:bodyDiv w:val="1"/>
      <w:marLeft w:val="0"/>
      <w:marRight w:val="0"/>
      <w:marTop w:val="0"/>
      <w:marBottom w:val="0"/>
      <w:divBdr>
        <w:top w:val="none" w:sz="0" w:space="0" w:color="auto"/>
        <w:left w:val="none" w:sz="0" w:space="0" w:color="auto"/>
        <w:bottom w:val="none" w:sz="0" w:space="0" w:color="auto"/>
        <w:right w:val="none" w:sz="0" w:space="0" w:color="auto"/>
      </w:divBdr>
    </w:div>
    <w:div w:id="2098670643">
      <w:bodyDiv w:val="1"/>
      <w:marLeft w:val="0"/>
      <w:marRight w:val="0"/>
      <w:marTop w:val="0"/>
      <w:marBottom w:val="0"/>
      <w:divBdr>
        <w:top w:val="none" w:sz="0" w:space="0" w:color="auto"/>
        <w:left w:val="none" w:sz="0" w:space="0" w:color="auto"/>
        <w:bottom w:val="none" w:sz="0" w:space="0" w:color="auto"/>
        <w:right w:val="none" w:sz="0" w:space="0" w:color="auto"/>
      </w:divBdr>
    </w:div>
    <w:div w:id="2101874818">
      <w:bodyDiv w:val="1"/>
      <w:marLeft w:val="0"/>
      <w:marRight w:val="0"/>
      <w:marTop w:val="0"/>
      <w:marBottom w:val="0"/>
      <w:divBdr>
        <w:top w:val="none" w:sz="0" w:space="0" w:color="auto"/>
        <w:left w:val="none" w:sz="0" w:space="0" w:color="auto"/>
        <w:bottom w:val="none" w:sz="0" w:space="0" w:color="auto"/>
        <w:right w:val="none" w:sz="0" w:space="0" w:color="auto"/>
      </w:divBdr>
    </w:div>
    <w:div w:id="2107923817">
      <w:bodyDiv w:val="1"/>
      <w:marLeft w:val="0"/>
      <w:marRight w:val="0"/>
      <w:marTop w:val="0"/>
      <w:marBottom w:val="0"/>
      <w:divBdr>
        <w:top w:val="none" w:sz="0" w:space="0" w:color="auto"/>
        <w:left w:val="none" w:sz="0" w:space="0" w:color="auto"/>
        <w:bottom w:val="none" w:sz="0" w:space="0" w:color="auto"/>
        <w:right w:val="none" w:sz="0" w:space="0" w:color="auto"/>
      </w:divBdr>
    </w:div>
    <w:div w:id="2113623562">
      <w:bodyDiv w:val="1"/>
      <w:marLeft w:val="0"/>
      <w:marRight w:val="0"/>
      <w:marTop w:val="0"/>
      <w:marBottom w:val="0"/>
      <w:divBdr>
        <w:top w:val="none" w:sz="0" w:space="0" w:color="auto"/>
        <w:left w:val="none" w:sz="0" w:space="0" w:color="auto"/>
        <w:bottom w:val="none" w:sz="0" w:space="0" w:color="auto"/>
        <w:right w:val="none" w:sz="0" w:space="0" w:color="auto"/>
      </w:divBdr>
    </w:div>
    <w:div w:id="2116749453">
      <w:bodyDiv w:val="1"/>
      <w:marLeft w:val="0"/>
      <w:marRight w:val="0"/>
      <w:marTop w:val="0"/>
      <w:marBottom w:val="0"/>
      <w:divBdr>
        <w:top w:val="none" w:sz="0" w:space="0" w:color="auto"/>
        <w:left w:val="none" w:sz="0" w:space="0" w:color="auto"/>
        <w:bottom w:val="none" w:sz="0" w:space="0" w:color="auto"/>
        <w:right w:val="none" w:sz="0" w:space="0" w:color="auto"/>
      </w:divBdr>
    </w:div>
    <w:div w:id="2124760494">
      <w:bodyDiv w:val="1"/>
      <w:marLeft w:val="0"/>
      <w:marRight w:val="0"/>
      <w:marTop w:val="0"/>
      <w:marBottom w:val="0"/>
      <w:divBdr>
        <w:top w:val="none" w:sz="0" w:space="0" w:color="auto"/>
        <w:left w:val="none" w:sz="0" w:space="0" w:color="auto"/>
        <w:bottom w:val="none" w:sz="0" w:space="0" w:color="auto"/>
        <w:right w:val="none" w:sz="0" w:space="0" w:color="auto"/>
      </w:divBdr>
    </w:div>
    <w:div w:id="2127692579">
      <w:bodyDiv w:val="1"/>
      <w:marLeft w:val="0"/>
      <w:marRight w:val="0"/>
      <w:marTop w:val="0"/>
      <w:marBottom w:val="0"/>
      <w:divBdr>
        <w:top w:val="none" w:sz="0" w:space="0" w:color="auto"/>
        <w:left w:val="none" w:sz="0" w:space="0" w:color="auto"/>
        <w:bottom w:val="none" w:sz="0" w:space="0" w:color="auto"/>
        <w:right w:val="none" w:sz="0" w:space="0" w:color="auto"/>
      </w:divBdr>
    </w:div>
    <w:div w:id="2138793580">
      <w:bodyDiv w:val="1"/>
      <w:marLeft w:val="0"/>
      <w:marRight w:val="0"/>
      <w:marTop w:val="0"/>
      <w:marBottom w:val="0"/>
      <w:divBdr>
        <w:top w:val="none" w:sz="0" w:space="0" w:color="auto"/>
        <w:left w:val="none" w:sz="0" w:space="0" w:color="auto"/>
        <w:bottom w:val="none" w:sz="0" w:space="0" w:color="auto"/>
        <w:right w:val="none" w:sz="0" w:space="0" w:color="auto"/>
      </w:divBdr>
    </w:div>
    <w:div w:id="2140107963">
      <w:bodyDiv w:val="1"/>
      <w:marLeft w:val="0"/>
      <w:marRight w:val="0"/>
      <w:marTop w:val="0"/>
      <w:marBottom w:val="0"/>
      <w:divBdr>
        <w:top w:val="none" w:sz="0" w:space="0" w:color="auto"/>
        <w:left w:val="none" w:sz="0" w:space="0" w:color="auto"/>
        <w:bottom w:val="none" w:sz="0" w:space="0" w:color="auto"/>
        <w:right w:val="none" w:sz="0" w:space="0" w:color="auto"/>
      </w:divBdr>
    </w:div>
    <w:div w:id="2140686509">
      <w:bodyDiv w:val="1"/>
      <w:marLeft w:val="0"/>
      <w:marRight w:val="0"/>
      <w:marTop w:val="0"/>
      <w:marBottom w:val="0"/>
      <w:divBdr>
        <w:top w:val="none" w:sz="0" w:space="0" w:color="auto"/>
        <w:left w:val="none" w:sz="0" w:space="0" w:color="auto"/>
        <w:bottom w:val="none" w:sz="0" w:space="0" w:color="auto"/>
        <w:right w:val="none" w:sz="0" w:space="0" w:color="auto"/>
      </w:divBdr>
    </w:div>
    <w:div w:id="2141915704">
      <w:bodyDiv w:val="1"/>
      <w:marLeft w:val="0"/>
      <w:marRight w:val="0"/>
      <w:marTop w:val="0"/>
      <w:marBottom w:val="0"/>
      <w:divBdr>
        <w:top w:val="none" w:sz="0" w:space="0" w:color="auto"/>
        <w:left w:val="none" w:sz="0" w:space="0" w:color="auto"/>
        <w:bottom w:val="none" w:sz="0" w:space="0" w:color="auto"/>
        <w:right w:val="none" w:sz="0" w:space="0" w:color="auto"/>
      </w:divBdr>
    </w:div>
    <w:div w:id="2142460185">
      <w:bodyDiv w:val="1"/>
      <w:marLeft w:val="0"/>
      <w:marRight w:val="0"/>
      <w:marTop w:val="0"/>
      <w:marBottom w:val="0"/>
      <w:divBdr>
        <w:top w:val="none" w:sz="0" w:space="0" w:color="auto"/>
        <w:left w:val="none" w:sz="0" w:space="0" w:color="auto"/>
        <w:bottom w:val="none" w:sz="0" w:space="0" w:color="auto"/>
        <w:right w:val="none" w:sz="0" w:space="0" w:color="auto"/>
      </w:divBdr>
    </w:div>
    <w:div w:id="2144883899">
      <w:bodyDiv w:val="1"/>
      <w:marLeft w:val="0"/>
      <w:marRight w:val="0"/>
      <w:marTop w:val="0"/>
      <w:marBottom w:val="0"/>
      <w:divBdr>
        <w:top w:val="none" w:sz="0" w:space="0" w:color="auto"/>
        <w:left w:val="none" w:sz="0" w:space="0" w:color="auto"/>
        <w:bottom w:val="none" w:sz="0" w:space="0" w:color="auto"/>
        <w:right w:val="none" w:sz="0" w:space="0" w:color="auto"/>
      </w:divBdr>
    </w:div>
    <w:div w:id="2145728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image" Target="media/image5.png"/><Relationship Id="rId42" Type="http://schemas.openxmlformats.org/officeDocument/2006/relationships/chart" Target="charts/chart4.xml"/><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s://drive.google.com/file/d/1T1doFsRQERCCj0YWgqtRQjFDxeLzBgqU/view?usp=drive_link" TargetMode="External"/><Relationship Id="rId89" Type="http://schemas.openxmlformats.org/officeDocument/2006/relationships/image" Target="media/image38.jpeg"/><Relationship Id="rId16" Type="http://schemas.openxmlformats.org/officeDocument/2006/relationships/diagramColors" Target="diagrams/colors1.xml"/><Relationship Id="rId11" Type="http://schemas.openxmlformats.org/officeDocument/2006/relationships/image" Target="media/image1.png"/><Relationship Id="rId32" Type="http://schemas.openxmlformats.org/officeDocument/2006/relationships/diagramLayout" Target="diagrams/layout3.xml"/><Relationship Id="rId37" Type="http://schemas.openxmlformats.org/officeDocument/2006/relationships/image" Target="media/image10.png"/><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hyperlink" Target="mailto:sadekn2@lsbu.ac.uk" TargetMode="External"/><Relationship Id="rId79" Type="http://schemas.openxmlformats.org/officeDocument/2006/relationships/image" Target="media/image33.png"/><Relationship Id="rId5" Type="http://schemas.openxmlformats.org/officeDocument/2006/relationships/numbering" Target="numbering.xml"/><Relationship Id="rId90" Type="http://schemas.openxmlformats.org/officeDocument/2006/relationships/image" Target="media/image37.png"/><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microsoft.com/office/2014/relationships/chartEx" Target="charts/chartEx1.xm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hyperlink" Target="https://drive.google.com/file/d/1Yhom60i9cLuUH9TQiQN1HL5UfM82-Mrr/view?usp=sharing" TargetMode="External"/><Relationship Id="rId8" Type="http://schemas.openxmlformats.org/officeDocument/2006/relationships/webSettings" Target="webSettings.xml"/><Relationship Id="rId51" Type="http://schemas.openxmlformats.org/officeDocument/2006/relationships/chart" Target="charts/chart7.xml"/><Relationship Id="rId72" Type="http://schemas.openxmlformats.org/officeDocument/2006/relationships/hyperlink" Target="https://doi.org/10.5465/" TargetMode="External"/><Relationship Id="rId80" Type="http://schemas.openxmlformats.org/officeDocument/2006/relationships/hyperlink" Target="mailto:sadekn2@lsbu.ac.uk" TargetMode="External"/><Relationship Id="rId85" Type="http://schemas.openxmlformats.org/officeDocument/2006/relationships/image" Target="media/image34.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orcid.org/0000-0003-1430-1130?lang=en" TargetMode="External"/><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diagramQuickStyle" Target="diagrams/quickStyle3.xml"/><Relationship Id="rId38"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image" Target="media/image28.png"/><Relationship Id="rId20" Type="http://schemas.openxmlformats.org/officeDocument/2006/relationships/image" Target="media/image4.png"/><Relationship Id="rId41" Type="http://schemas.openxmlformats.org/officeDocument/2006/relationships/chart" Target="charts/chart3.xml"/><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hyperlink" Target="mailto:sadekn2@lsbu.ac.uk" TargetMode="External"/><Relationship Id="rId83" Type="http://schemas.openxmlformats.org/officeDocument/2006/relationships/hyperlink" Target="https://drive.google.com/file/d/1P7IldRofrPiKWYaCeETAWIhEHfqF4qU1/view?usp=drive_link" TargetMode="External"/><Relationship Id="rId88" Type="http://schemas.openxmlformats.org/officeDocument/2006/relationships/image" Target="media/image37.jpeg"/><Relationship Id="rId9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diagramQuickStyle" Target="diagrams/quickStyle2.xml"/><Relationship Id="rId36" Type="http://schemas.openxmlformats.org/officeDocument/2006/relationships/chart" Target="charts/chart1.xml"/><Relationship Id="rId49" Type="http://schemas.openxmlformats.org/officeDocument/2006/relationships/chart" Target="charts/chart5.xml"/><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diagramData" Target="diagrams/data3.xml"/><Relationship Id="rId52" Type="http://schemas.openxmlformats.org/officeDocument/2006/relationships/chart" Target="charts/chart8.xml"/><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s://doi.org/10.1108/IntR-09-2016-0279" TargetMode="External"/><Relationship Id="rId78" Type="http://schemas.openxmlformats.org/officeDocument/2006/relationships/image" Target="media/image32.jpeg"/><Relationship Id="rId81" Type="http://schemas.openxmlformats.org/officeDocument/2006/relationships/hyperlink" Target="https://drive.google.com/file/d/1ogsi9D_sOLdhq69AHhB5ljevequFGVut/view?usp=drive_link" TargetMode="External"/><Relationship Id="rId86" Type="http://schemas.openxmlformats.org/officeDocument/2006/relationships/image" Target="media/image35.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2.png"/><Relationship Id="rId39" Type="http://schemas.openxmlformats.org/officeDocument/2006/relationships/image" Target="media/image12.png"/><Relationship Id="rId34" Type="http://schemas.openxmlformats.org/officeDocument/2006/relationships/diagramColors" Target="diagrams/colors3.xml"/><Relationship Id="rId50" Type="http://schemas.openxmlformats.org/officeDocument/2006/relationships/chart" Target="charts/chart6.xml"/><Relationship Id="rId55" Type="http://schemas.openxmlformats.org/officeDocument/2006/relationships/image" Target="media/image16.png"/><Relationship Id="rId76" Type="http://schemas.openxmlformats.org/officeDocument/2006/relationships/hyperlink" Target="https://drive.google.com/file/d/1HlecXd0CqiCTfFJXj5zRt7VZNQcR4KtH/view?usp=sharing" TargetMode="External"/><Relationship Id="rId7" Type="http://schemas.openxmlformats.org/officeDocument/2006/relationships/settings" Target="settings.xml"/><Relationship Id="rId71" Type="http://schemas.openxmlformats.org/officeDocument/2006/relationships/hyperlink" Target="https://www.geopoll.com/blog/coding-qualitative-data/"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diagramColors" Target="diagrams/colors2.xml"/><Relationship Id="rId24" Type="http://schemas.openxmlformats.org/officeDocument/2006/relationships/image" Target="media/image8.png"/><Relationship Id="rId40" Type="http://schemas.openxmlformats.org/officeDocument/2006/relationships/chart" Target="charts/chart2.xml"/><Relationship Id="rId66" Type="http://schemas.openxmlformats.org/officeDocument/2006/relationships/image" Target="media/image27.png"/><Relationship Id="rId87" Type="http://schemas.openxmlformats.org/officeDocument/2006/relationships/image" Target="media/image36.jpeg"/><Relationship Id="rId61" Type="http://schemas.openxmlformats.org/officeDocument/2006/relationships/image" Target="media/image22.png"/><Relationship Id="rId82" Type="http://schemas.openxmlformats.org/officeDocument/2006/relationships/hyperlink" Target="https://drive.google.com/file/d/17FPfwrMtOlS-8RUd1T9kkokYDc80ErJo/view?usp=drive_link" TargetMode="External"/><Relationship Id="rId1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368779367425091"/>
          <c:y val="0.12329522446057879"/>
          <c:w val="0.49139257069914488"/>
          <c:h val="0.73219620274738384"/>
        </c:manualLayout>
      </c:layout>
      <c:pieChart>
        <c:varyColors val="1"/>
        <c:ser>
          <c:idx val="0"/>
          <c:order val="0"/>
          <c:tx>
            <c:strRef>
              <c:f>Sheet2!$D$3:$D$4</c:f>
              <c:strCache>
                <c:ptCount val="2"/>
                <c:pt idx="0">
                  <c:v>If a big consumers goods company that makes products (like Pepsi, Oreo, Persil, Dettol, etc), would make a big social campaign in Egypt, in which field do you think the society in Egypt needs it the most? - Selected Choice</c:v>
                </c:pt>
                <c:pt idx="1">
                  <c:v>Frequency</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25F9-42FE-B393-E3A7ACB4F6D3}"/>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25F9-42FE-B393-E3A7ACB4F6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F9-42FE-B393-E3A7ACB4F6D3}"/>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25F9-42FE-B393-E3A7ACB4F6D3}"/>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25F9-42FE-B393-E3A7ACB4F6D3}"/>
              </c:ext>
            </c:extLst>
          </c:dPt>
          <c:dLbls>
            <c:dLbl>
              <c:idx val="0"/>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09AA84BD-8F51-4969-B413-E139BCCE76F0}" type="VALUE">
                      <a:rPr lang="en-US" sz="800" b="1">
                        <a:solidFill>
                          <a:schemeClr val="tx1"/>
                        </a:solidFill>
                      </a:rPr>
                      <a:pPr>
                        <a:defRPr sz="800" b="1">
                          <a:solidFill>
                            <a:schemeClr val="tx1"/>
                          </a:solidFill>
                        </a:defRPr>
                      </a:pPr>
                      <a:t>[VALUE]</a:t>
                    </a:fld>
                    <a:br>
                      <a:rPr lang="en-US" sz="800" b="1">
                        <a:solidFill>
                          <a:schemeClr val="tx1"/>
                        </a:solidFill>
                      </a:rPr>
                    </a:br>
                    <a:r>
                      <a:rPr lang="en-US" sz="800" b="1">
                        <a:solidFill>
                          <a:schemeClr val="tx1"/>
                        </a:solidFill>
                      </a:rPr>
                      <a:t>41%</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5F9-42FE-B393-E3A7ACB4F6D3}"/>
                </c:ext>
              </c:extLst>
            </c:dLbl>
            <c:dLbl>
              <c:idx val="1"/>
              <c:layout>
                <c:manualLayout>
                  <c:x val="-2.4358344760614624E-2"/>
                  <c:y val="-0.19336911745092267"/>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mn-lt"/>
                        <a:ea typeface="+mn-ea"/>
                        <a:cs typeface="+mn-cs"/>
                      </a:defRPr>
                    </a:pPr>
                    <a:fld id="{6CF04419-754A-4630-92EA-621EDF97EBCA}" type="VALUE">
                      <a:rPr lang="en-US" sz="800" b="1">
                        <a:solidFill>
                          <a:schemeClr val="tx1"/>
                        </a:solidFill>
                      </a:rPr>
                      <a:pPr>
                        <a:defRPr sz="800" b="1">
                          <a:solidFill>
                            <a:schemeClr val="tx1"/>
                          </a:solidFill>
                        </a:defRPr>
                      </a:pPr>
                      <a:t>[VALUE]</a:t>
                    </a:fld>
                    <a:br>
                      <a:rPr lang="en-US" sz="800" b="1">
                        <a:solidFill>
                          <a:schemeClr val="tx1"/>
                        </a:solidFill>
                      </a:rPr>
                    </a:br>
                    <a:r>
                      <a:rPr lang="en-US" sz="800" b="1">
                        <a:solidFill>
                          <a:schemeClr val="tx1"/>
                        </a:solidFill>
                      </a:rPr>
                      <a:t>13%</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8.8587166784357504E-2"/>
                      <c:h val="0.1271332694151486"/>
                    </c:manualLayout>
                  </c15:layout>
                  <c15:dlblFieldTable/>
                  <c15:showDataLabelsRange val="0"/>
                </c:ext>
                <c:ext xmlns:c16="http://schemas.microsoft.com/office/drawing/2014/chart" uri="{C3380CC4-5D6E-409C-BE32-E72D297353CC}">
                  <c16:uniqueId val="{00000003-25F9-42FE-B393-E3A7ACB4F6D3}"/>
                </c:ext>
              </c:extLst>
            </c:dLbl>
            <c:dLbl>
              <c:idx val="2"/>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1D79C165-6AE4-47D4-B259-FCD855B202B7}" type="VALUE">
                      <a:rPr lang="en-US" sz="800" b="1">
                        <a:solidFill>
                          <a:schemeClr val="tx1"/>
                        </a:solidFill>
                      </a:rPr>
                      <a:pPr>
                        <a:defRPr sz="800" b="1">
                          <a:solidFill>
                            <a:schemeClr val="tx1"/>
                          </a:solidFill>
                        </a:defRPr>
                      </a:pPr>
                      <a:t>[VALUE]</a:t>
                    </a:fld>
                    <a:br>
                      <a:rPr lang="en-US" sz="800" b="1">
                        <a:solidFill>
                          <a:schemeClr val="tx1"/>
                        </a:solidFill>
                      </a:rPr>
                    </a:br>
                    <a:r>
                      <a:rPr lang="en-US" sz="800" b="1">
                        <a:solidFill>
                          <a:schemeClr val="tx1"/>
                        </a:solidFill>
                      </a:rPr>
                      <a:t>28%</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5F9-42FE-B393-E3A7ACB4F6D3}"/>
                </c:ext>
              </c:extLst>
            </c:dLbl>
            <c:dLbl>
              <c:idx val="3"/>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22EBB3A3-25F4-4A6D-B447-5F50995A8DBA}" type="VALUE">
                      <a:rPr lang="en-US" sz="800" b="1">
                        <a:solidFill>
                          <a:schemeClr val="tx1"/>
                        </a:solidFill>
                      </a:rPr>
                      <a:pPr>
                        <a:defRPr sz="800" b="1">
                          <a:solidFill>
                            <a:schemeClr val="tx1"/>
                          </a:solidFill>
                        </a:defRPr>
                      </a:pPr>
                      <a:t>[VALUE]</a:t>
                    </a:fld>
                    <a:br>
                      <a:rPr lang="en-US" sz="800" b="1">
                        <a:solidFill>
                          <a:schemeClr val="tx1"/>
                        </a:solidFill>
                      </a:rPr>
                    </a:br>
                    <a:r>
                      <a:rPr lang="en-US" sz="800" b="1">
                        <a:solidFill>
                          <a:schemeClr val="tx1"/>
                        </a:solidFill>
                      </a:rPr>
                      <a:t>15%</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5F9-42FE-B393-E3A7ACB4F6D3}"/>
                </c:ext>
              </c:extLst>
            </c:dLbl>
            <c:dLbl>
              <c:idx val="4"/>
              <c:tx>
                <c:rich>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fld id="{A84136E4-28C0-49CD-93B3-6A074DD44AF3}" type="VALUE">
                      <a:rPr lang="en-US" sz="800" b="1">
                        <a:solidFill>
                          <a:schemeClr val="tx1"/>
                        </a:solidFill>
                      </a:rPr>
                      <a:pPr>
                        <a:defRPr sz="800" b="1">
                          <a:solidFill>
                            <a:schemeClr val="tx1"/>
                          </a:solidFill>
                        </a:defRPr>
                      </a:pPr>
                      <a:t>[VALUE]</a:t>
                    </a:fld>
                    <a:br>
                      <a:rPr lang="en-US" sz="800" b="1">
                        <a:solidFill>
                          <a:schemeClr val="tx1"/>
                        </a:solidFill>
                      </a:rPr>
                    </a:br>
                    <a:r>
                      <a:rPr lang="en-US" sz="800" b="1">
                        <a:solidFill>
                          <a:schemeClr val="tx1"/>
                        </a:solidFill>
                      </a:rPr>
                      <a:t>3%</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5F9-42FE-B393-E3A7ACB4F6D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Sheet2!$C$5:$C$9</c:f>
              <c:strCache>
                <c:ptCount val="5"/>
                <c:pt idx="0">
                  <c:v>Health and Wellness</c:v>
                </c:pt>
                <c:pt idx="1">
                  <c:v>Environment</c:v>
                </c:pt>
                <c:pt idx="2">
                  <c:v>Children's Education </c:v>
                </c:pt>
                <c:pt idx="3">
                  <c:v>Renovation and construction for poor areas</c:v>
                </c:pt>
                <c:pt idx="4">
                  <c:v>Other</c:v>
                </c:pt>
              </c:strCache>
            </c:strRef>
          </c:cat>
          <c:val>
            <c:numRef>
              <c:f>Sheet2!$D$5:$D$9</c:f>
              <c:numCache>
                <c:formatCode>General</c:formatCode>
                <c:ptCount val="5"/>
                <c:pt idx="0">
                  <c:v>182</c:v>
                </c:pt>
                <c:pt idx="1">
                  <c:v>59</c:v>
                </c:pt>
                <c:pt idx="2">
                  <c:v>124</c:v>
                </c:pt>
                <c:pt idx="3">
                  <c:v>67</c:v>
                </c:pt>
                <c:pt idx="4">
                  <c:v>13</c:v>
                </c:pt>
              </c:numCache>
            </c:numRef>
          </c:val>
          <c:extLst>
            <c:ext xmlns:c16="http://schemas.microsoft.com/office/drawing/2014/chart" uri="{C3380CC4-5D6E-409C-BE32-E72D297353CC}">
              <c16:uniqueId val="{0000000A-25F9-42FE-B393-E3A7ACB4F6D3}"/>
            </c:ext>
          </c:extLst>
        </c:ser>
        <c:ser>
          <c:idx val="1"/>
          <c:order val="1"/>
          <c:tx>
            <c:strRef>
              <c:f>Sheet2!$E$3:$E$4</c:f>
              <c:strCache>
                <c:ptCount val="2"/>
                <c:pt idx="0">
                  <c:v>If a big consumers goods company that makes products (like Pepsi, Oreo, Persil, Dettol, etc), would make a big social campaign in Egypt, in which field do you think the society in Egypt needs it the most? - Selected Choice</c:v>
                </c:pt>
                <c:pt idx="1">
                  <c:v>Percent</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C-25F9-42FE-B393-E3A7ACB4F6D3}"/>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E-25F9-42FE-B393-E3A7ACB4F6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25F9-42FE-B393-E3A7ACB4F6D3}"/>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2-25F9-42FE-B393-E3A7ACB4F6D3}"/>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4-25F9-42FE-B393-E3A7ACB4F6D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Sheet2!$C$5:$C$9</c:f>
              <c:strCache>
                <c:ptCount val="5"/>
                <c:pt idx="0">
                  <c:v>Health and Wellness</c:v>
                </c:pt>
                <c:pt idx="1">
                  <c:v>Environment</c:v>
                </c:pt>
                <c:pt idx="2">
                  <c:v>Children's Education </c:v>
                </c:pt>
                <c:pt idx="3">
                  <c:v>Renovation and construction for poor areas</c:v>
                </c:pt>
                <c:pt idx="4">
                  <c:v>Other</c:v>
                </c:pt>
              </c:strCache>
            </c:strRef>
          </c:cat>
          <c:val>
            <c:numRef>
              <c:f>Sheet2!$E$5:$E$9</c:f>
              <c:numCache>
                <c:formatCode>0%</c:formatCode>
                <c:ptCount val="5"/>
                <c:pt idx="0">
                  <c:v>0.40898876404494383</c:v>
                </c:pt>
                <c:pt idx="1">
                  <c:v>0.13258426966292136</c:v>
                </c:pt>
                <c:pt idx="2">
                  <c:v>0.27865168539325841</c:v>
                </c:pt>
                <c:pt idx="3">
                  <c:v>0.15056179775280898</c:v>
                </c:pt>
                <c:pt idx="4">
                  <c:v>2.9213483146067417E-2</c:v>
                </c:pt>
              </c:numCache>
            </c:numRef>
          </c:val>
          <c:extLst>
            <c:ext xmlns:c16="http://schemas.microsoft.com/office/drawing/2014/chart" uri="{C3380CC4-5D6E-409C-BE32-E72D297353CC}">
              <c16:uniqueId val="{00000015-25F9-42FE-B393-E3A7ACB4F6D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1-3C10-473C-BC3B-50B89209D1EB}"/>
              </c:ext>
            </c:extLst>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03-3C10-473C-BC3B-50B89209D1EB}"/>
              </c:ext>
            </c:extLst>
          </c:dPt>
          <c:dLbls>
            <c:dLbl>
              <c:idx val="0"/>
              <c:layout>
                <c:manualLayout>
                  <c:x val="-0.10511180240805186"/>
                  <c:y val="0.13573902914511121"/>
                </c:manualLayout>
              </c:layout>
              <c:tx>
                <c:rich>
                  <a:bodyPr/>
                  <a:lstStyle/>
                  <a:p>
                    <a:fld id="{1696E6D2-A562-484D-9F7C-C4734EA6A7CC}" type="PERCENTAGE">
                      <a:rPr lang="en-US"/>
                      <a:pPr/>
                      <a:t>[PERCENTAGE]</a:t>
                    </a:fld>
                    <a:br>
                      <a:rPr lang="en-US"/>
                    </a:br>
                    <a:r>
                      <a:rPr lang="en-US"/>
                      <a:t>358</a:t>
                    </a: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C10-473C-BC3B-50B89209D1EB}"/>
                </c:ext>
              </c:extLst>
            </c:dLbl>
            <c:dLbl>
              <c:idx val="1"/>
              <c:tx>
                <c:rich>
                  <a:bodyPr/>
                  <a:lstStyle/>
                  <a:p>
                    <a:fld id="{BE722F83-A631-4493-9C4B-0341C20A6F2C}" type="PERCENTAGE">
                      <a:rPr lang="en-US"/>
                      <a:pPr/>
                      <a:t>[PERCENTAGE]</a:t>
                    </a:fld>
                    <a:br>
                      <a:rPr lang="en-US"/>
                    </a:br>
                    <a:r>
                      <a:rPr lang="en-US"/>
                      <a:t>116</a:t>
                    </a:r>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C10-473C-BC3B-50B89209D1EB}"/>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Sheet1!$E$5:$E$6</c:f>
              <c:strCache>
                <c:ptCount val="2"/>
                <c:pt idx="0">
                  <c:v>Male</c:v>
                </c:pt>
                <c:pt idx="1">
                  <c:v>Female</c:v>
                </c:pt>
              </c:strCache>
            </c:strRef>
          </c:cat>
          <c:val>
            <c:numRef>
              <c:f>Sheet1!$D$5:$D$6</c:f>
              <c:numCache>
                <c:formatCode>0%</c:formatCode>
                <c:ptCount val="2"/>
                <c:pt idx="0">
                  <c:v>0.24</c:v>
                </c:pt>
                <c:pt idx="1">
                  <c:v>0.76</c:v>
                </c:pt>
              </c:numCache>
            </c:numRef>
          </c:val>
          <c:extLst>
            <c:ext xmlns:c16="http://schemas.microsoft.com/office/drawing/2014/chart" uri="{C3380CC4-5D6E-409C-BE32-E72D297353CC}">
              <c16:uniqueId val="{00000004-3C10-473C-BC3B-50B89209D1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65000"/>
                </a:schemeClr>
              </a:solidFill>
              <a:ln w="19050">
                <a:solidFill>
                  <a:schemeClr val="lt1"/>
                </a:solidFill>
              </a:ln>
              <a:effectLst/>
            </c:spPr>
            <c:extLst>
              <c:ext xmlns:c16="http://schemas.microsoft.com/office/drawing/2014/chart" uri="{C3380CC4-5D6E-409C-BE32-E72D297353CC}">
                <c16:uniqueId val="{00000001-DB00-41EA-AB73-61EFFB568990}"/>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DB00-41EA-AB73-61EFFB568990}"/>
              </c:ext>
            </c:extLst>
          </c:dPt>
          <c:dPt>
            <c:idx val="2"/>
            <c:bubble3D val="0"/>
            <c:spPr>
              <a:solidFill>
                <a:schemeClr val="accent3">
                  <a:tint val="65000"/>
                </a:schemeClr>
              </a:solidFill>
              <a:ln w="19050">
                <a:solidFill>
                  <a:schemeClr val="lt1"/>
                </a:solidFill>
              </a:ln>
              <a:effectLst/>
            </c:spPr>
            <c:extLst>
              <c:ext xmlns:c16="http://schemas.microsoft.com/office/drawing/2014/chart" uri="{C3380CC4-5D6E-409C-BE32-E72D297353CC}">
                <c16:uniqueId val="{00000005-DB00-41EA-AB73-61EFFB568990}"/>
              </c:ext>
            </c:extLst>
          </c:dPt>
          <c:dLbls>
            <c:dLbl>
              <c:idx val="0"/>
              <c:tx>
                <c:rich>
                  <a:bodyPr/>
                  <a:lstStyle/>
                  <a:p>
                    <a:fld id="{8C98EF97-2BFB-43C3-9058-63047E95B590}" type="VALUE">
                      <a:rPr lang="en-US"/>
                      <a:pPr/>
                      <a:t>[VALUE]</a:t>
                    </a:fld>
                    <a:br>
                      <a:rPr lang="en-US"/>
                    </a:br>
                    <a:r>
                      <a:rPr lang="en-US"/>
                      <a:t>7</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B00-41EA-AB73-61EFFB568990}"/>
                </c:ext>
              </c:extLst>
            </c:dLbl>
            <c:dLbl>
              <c:idx val="1"/>
              <c:tx>
                <c:rich>
                  <a:bodyPr/>
                  <a:lstStyle/>
                  <a:p>
                    <a:fld id="{0E67D9C8-F4DE-48DD-B28C-2F1B473E33EF}" type="VALUE">
                      <a:rPr lang="en-US"/>
                      <a:pPr/>
                      <a:t>[VALUE]</a:t>
                    </a:fld>
                    <a:br>
                      <a:rPr lang="en-US"/>
                    </a:br>
                    <a:r>
                      <a:rPr lang="en-US"/>
                      <a:t>305</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00-41EA-AB73-61EFFB568990}"/>
                </c:ext>
              </c:extLst>
            </c:dLbl>
            <c:dLbl>
              <c:idx val="2"/>
              <c:tx>
                <c:rich>
                  <a:bodyPr/>
                  <a:lstStyle/>
                  <a:p>
                    <a:fld id="{22D516CB-DA46-4ED0-A996-78FBD396EF27}" type="VALUE">
                      <a:rPr lang="en-US"/>
                      <a:pPr/>
                      <a:t>[VALUE]</a:t>
                    </a:fld>
                    <a:br>
                      <a:rPr lang="en-US"/>
                    </a:br>
                    <a:r>
                      <a:rPr lang="en-US"/>
                      <a:t>162</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B00-41EA-AB73-61EFFB568990}"/>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Sheet2!$C$4:$C$6</c:f>
              <c:strCache>
                <c:ptCount val="3"/>
                <c:pt idx="0">
                  <c:v>High school</c:v>
                </c:pt>
                <c:pt idx="1">
                  <c:v>Bachelor’s Degree</c:v>
                </c:pt>
                <c:pt idx="2">
                  <c:v>Post Graduate degree</c:v>
                </c:pt>
              </c:strCache>
            </c:strRef>
          </c:cat>
          <c:val>
            <c:numRef>
              <c:f>Sheet2!$D$4:$D$6</c:f>
              <c:numCache>
                <c:formatCode>0%</c:formatCode>
                <c:ptCount val="3"/>
                <c:pt idx="0">
                  <c:v>0.02</c:v>
                </c:pt>
                <c:pt idx="1">
                  <c:v>0.64</c:v>
                </c:pt>
                <c:pt idx="2">
                  <c:v>0.34</c:v>
                </c:pt>
              </c:numCache>
            </c:numRef>
          </c:val>
          <c:extLst>
            <c:ext xmlns:c16="http://schemas.microsoft.com/office/drawing/2014/chart" uri="{C3380CC4-5D6E-409C-BE32-E72D297353CC}">
              <c16:uniqueId val="{00000006-DB00-41EA-AB73-61EFFB56899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1F62-4971-A3AC-017A4851D34C}"/>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1F62-4971-A3AC-017A4851D3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62-4971-A3AC-017A4851D34C}"/>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1F62-4971-A3AC-017A4851D34C}"/>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1F62-4971-A3AC-017A4851D34C}"/>
              </c:ext>
            </c:extLst>
          </c:dPt>
          <c:dLbls>
            <c:dLbl>
              <c:idx val="0"/>
              <c:tx>
                <c:rich>
                  <a:bodyPr/>
                  <a:lstStyle/>
                  <a:p>
                    <a:fld id="{408300AE-0A98-4375-94AC-42B42490971D}" type="PERCENTAGE">
                      <a:rPr lang="en-US"/>
                      <a:pPr/>
                      <a:t>[PERCENTAGE]</a:t>
                    </a:fld>
                    <a:br>
                      <a:rPr lang="en-US"/>
                    </a:br>
                    <a:r>
                      <a:rPr lang="en-US"/>
                      <a:t>130</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F62-4971-A3AC-017A4851D34C}"/>
                </c:ext>
              </c:extLst>
            </c:dLbl>
            <c:dLbl>
              <c:idx val="1"/>
              <c:tx>
                <c:rich>
                  <a:bodyPr/>
                  <a:lstStyle/>
                  <a:p>
                    <a:fld id="{1E1D6D15-A719-4CEB-AFD0-254A7C72DBFD}" type="PERCENTAGE">
                      <a:rPr lang="en-US"/>
                      <a:pPr/>
                      <a:t>[PERCENTAGE]</a:t>
                    </a:fld>
                    <a:br>
                      <a:rPr lang="en-US"/>
                    </a:br>
                    <a:r>
                      <a:rPr lang="en-US"/>
                      <a:t>53</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F62-4971-A3AC-017A4851D34C}"/>
                </c:ext>
              </c:extLst>
            </c:dLbl>
            <c:dLbl>
              <c:idx val="2"/>
              <c:tx>
                <c:rich>
                  <a:bodyPr/>
                  <a:lstStyle/>
                  <a:p>
                    <a:fld id="{FD40DB1D-0A47-422A-98C2-C0C132B35759}" type="PERCENTAGE">
                      <a:rPr lang="en-US"/>
                      <a:pPr/>
                      <a:t>[PERCENTAGE]</a:t>
                    </a:fld>
                    <a:br>
                      <a:rPr lang="en-US"/>
                    </a:br>
                    <a:r>
                      <a:rPr lang="en-US"/>
                      <a:t>53</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F62-4971-A3AC-017A4851D34C}"/>
                </c:ext>
              </c:extLst>
            </c:dLbl>
            <c:dLbl>
              <c:idx val="3"/>
              <c:layout>
                <c:manualLayout>
                  <c:x val="8.5690069991251089E-2"/>
                  <c:y val="-3.2425634295713034E-3"/>
                </c:manualLayout>
              </c:layout>
              <c:tx>
                <c:rich>
                  <a:bodyPr/>
                  <a:lstStyle/>
                  <a:p>
                    <a:fld id="{7ED4869E-2D76-4268-B5DB-CA72064222C5}" type="PERCENTAGE">
                      <a:rPr lang="en-US"/>
                      <a:pPr/>
                      <a:t>[PERCENTAGE]</a:t>
                    </a:fld>
                    <a:br>
                      <a:rPr lang="en-US"/>
                    </a:br>
                    <a:r>
                      <a:rPr lang="en-US"/>
                      <a:t>200</a:t>
                    </a:r>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F62-4971-A3AC-017A4851D34C}"/>
                </c:ext>
              </c:extLst>
            </c:dLbl>
            <c:dLbl>
              <c:idx val="4"/>
              <c:layout>
                <c:manualLayout>
                  <c:x val="7.2222222222222174E-2"/>
                  <c:y val="0.11958005249343832"/>
                </c:manualLayout>
              </c:layout>
              <c:tx>
                <c:rich>
                  <a:bodyPr/>
                  <a:lstStyle/>
                  <a:p>
                    <a:fld id="{A2945045-37CA-498E-BB53-6D5CC9796CC1}" type="PERCENTAGE">
                      <a:rPr lang="en-US"/>
                      <a:pPr/>
                      <a:t>[PERCENTAGE]</a:t>
                    </a:fld>
                    <a:br>
                      <a:rPr lang="en-US"/>
                    </a:br>
                    <a:r>
                      <a:rPr lang="en-US"/>
                      <a:t>38</a:t>
                    </a:r>
                  </a:p>
                </c:rich>
              </c:tx>
              <c:showLegendKey val="0"/>
              <c:showVal val="0"/>
              <c:showCatName val="0"/>
              <c:showSerName val="0"/>
              <c:showPercent val="1"/>
              <c:showBubbleSize val="0"/>
              <c:extLst>
                <c:ext xmlns:c15="http://schemas.microsoft.com/office/drawing/2012/chart" uri="{CE6537A1-D6FC-4f65-9D91-7224C49458BB}">
                  <c15:layout>
                    <c:manualLayout>
                      <c:w val="0.13472222222222222"/>
                      <c:h val="0.20023148148148148"/>
                    </c:manualLayout>
                  </c15:layout>
                  <c15:dlblFieldTable/>
                  <c15:showDataLabelsRange val="0"/>
                </c:ext>
                <c:ext xmlns:c16="http://schemas.microsoft.com/office/drawing/2014/chart" uri="{C3380CC4-5D6E-409C-BE32-E72D297353CC}">
                  <c16:uniqueId val="{00000009-1F62-4971-A3AC-017A4851D34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Sheet1!$D$5:$D$9</c:f>
              <c:strCache>
                <c:ptCount val="5"/>
                <c:pt idx="0">
                  <c:v>6,334 – 10,897</c:v>
                </c:pt>
                <c:pt idx="1">
                  <c:v>10,898 –16,558</c:v>
                </c:pt>
                <c:pt idx="2">
                  <c:v>16,559 – 22,306</c:v>
                </c:pt>
                <c:pt idx="3">
                  <c:v> 22,307 – 45,120</c:v>
                </c:pt>
                <c:pt idx="4">
                  <c:v>Above 45,120</c:v>
                </c:pt>
              </c:strCache>
            </c:strRef>
          </c:cat>
          <c:val>
            <c:numRef>
              <c:f>Sheet1!$E$5:$E$9</c:f>
              <c:numCache>
                <c:formatCode>General</c:formatCode>
                <c:ptCount val="5"/>
                <c:pt idx="0">
                  <c:v>130</c:v>
                </c:pt>
                <c:pt idx="1">
                  <c:v>53</c:v>
                </c:pt>
                <c:pt idx="2">
                  <c:v>53</c:v>
                </c:pt>
                <c:pt idx="3">
                  <c:v>200</c:v>
                </c:pt>
                <c:pt idx="4">
                  <c:v>38</c:v>
                </c:pt>
              </c:numCache>
            </c:numRef>
          </c:val>
          <c:extLst>
            <c:ext xmlns:c16="http://schemas.microsoft.com/office/drawing/2014/chart" uri="{C3380CC4-5D6E-409C-BE32-E72D297353CC}">
              <c16:uniqueId val="{0000000A-1F62-4971-A3AC-017A4851D34C}"/>
            </c:ext>
          </c:extLst>
        </c:ser>
        <c:ser>
          <c:idx val="1"/>
          <c:order val="1"/>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C-1F62-4971-A3AC-017A4851D34C}"/>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E-1F62-4971-A3AC-017A4851D34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1F62-4971-A3AC-017A4851D34C}"/>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2-1F62-4971-A3AC-017A4851D34C}"/>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4-1F62-4971-A3AC-017A4851D34C}"/>
              </c:ext>
            </c:extLst>
          </c:dPt>
          <c:cat>
            <c:strRef>
              <c:f>Sheet1!$D$5:$D$9</c:f>
              <c:strCache>
                <c:ptCount val="5"/>
                <c:pt idx="0">
                  <c:v>6,334 – 10,897</c:v>
                </c:pt>
                <c:pt idx="1">
                  <c:v>10,898 –16,558</c:v>
                </c:pt>
                <c:pt idx="2">
                  <c:v>16,559 – 22,306</c:v>
                </c:pt>
                <c:pt idx="3">
                  <c:v> 22,307 – 45,120</c:v>
                </c:pt>
                <c:pt idx="4">
                  <c:v>Above 45,120</c:v>
                </c:pt>
              </c:strCache>
            </c:strRef>
          </c:cat>
          <c:val>
            <c:numRef>
              <c:f>Sheet1!$F$5:$F$9</c:f>
              <c:numCache>
                <c:formatCode>0.00%</c:formatCode>
                <c:ptCount val="5"/>
                <c:pt idx="0">
                  <c:v>0.27400000000000002</c:v>
                </c:pt>
                <c:pt idx="1">
                  <c:v>0.112</c:v>
                </c:pt>
                <c:pt idx="2">
                  <c:v>0.112</c:v>
                </c:pt>
                <c:pt idx="3">
                  <c:v>0.42199999999999999</c:v>
                </c:pt>
                <c:pt idx="4">
                  <c:v>8.0199999999999994E-2</c:v>
                </c:pt>
              </c:numCache>
            </c:numRef>
          </c:val>
          <c:extLst>
            <c:ext xmlns:c16="http://schemas.microsoft.com/office/drawing/2014/chart" uri="{C3380CC4-5D6E-409C-BE32-E72D297353CC}">
              <c16:uniqueId val="{00000015-1F62-4971-A3AC-017A4851D3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715004374453191E-2"/>
          <c:y val="0.78931904345290171"/>
          <c:w val="0.98928499562554684"/>
          <c:h val="0.18290317876932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'CSR vs non-CSR'!$G$3</c:f>
              <c:strCache>
                <c:ptCount val="1"/>
                <c:pt idx="0">
                  <c:v>CSR</c:v>
                </c:pt>
              </c:strCache>
            </c:strRef>
          </c:tx>
          <c:spPr>
            <a:solidFill>
              <a:schemeClr val="dk1">
                <a:tint val="88500"/>
              </a:schemeClr>
            </a:solidFill>
            <a:ln>
              <a:noFill/>
            </a:ln>
            <a:effectLst/>
          </c:spPr>
          <c:invertIfNegative val="0"/>
          <c:cat>
            <c:strRef>
              <c:f>'CSR vs non-CSR'!$F$4:$F$10</c:f>
              <c:strCache>
                <c:ptCount val="7"/>
                <c:pt idx="0">
                  <c:v>Ad likeability </c:v>
                </c:pt>
                <c:pt idx="1">
                  <c:v>CSR perception</c:v>
                </c:pt>
                <c:pt idx="2">
                  <c:v>Brand functionality</c:v>
                </c:pt>
                <c:pt idx="3">
                  <c:v>Brand Likeability</c:v>
                </c:pt>
                <c:pt idx="4">
                  <c:v>Emotional brand attachment  </c:v>
                </c:pt>
                <c:pt idx="5">
                  <c:v>Brand trust</c:v>
                </c:pt>
                <c:pt idx="6">
                  <c:v>Purchase Intention </c:v>
                </c:pt>
              </c:strCache>
            </c:strRef>
          </c:cat>
          <c:val>
            <c:numRef>
              <c:f>'CSR vs non-CSR'!$G$4:$G$10</c:f>
              <c:numCache>
                <c:formatCode>General</c:formatCode>
                <c:ptCount val="7"/>
                <c:pt idx="0">
                  <c:v>5.2401999999999997</c:v>
                </c:pt>
                <c:pt idx="1">
                  <c:v>5.2812999999999999</c:v>
                </c:pt>
                <c:pt idx="2">
                  <c:v>5.2454999999999998</c:v>
                </c:pt>
                <c:pt idx="3">
                  <c:v>4.8608000000000002</c:v>
                </c:pt>
                <c:pt idx="4">
                  <c:v>4.3429000000000002</c:v>
                </c:pt>
                <c:pt idx="5">
                  <c:v>5.0608000000000004</c:v>
                </c:pt>
                <c:pt idx="6">
                  <c:v>5.4934000000000003</c:v>
                </c:pt>
              </c:numCache>
            </c:numRef>
          </c:val>
          <c:extLst>
            <c:ext xmlns:c16="http://schemas.microsoft.com/office/drawing/2014/chart" uri="{C3380CC4-5D6E-409C-BE32-E72D297353CC}">
              <c16:uniqueId val="{00000000-BB0F-4A57-B333-5A41666E7122}"/>
            </c:ext>
          </c:extLst>
        </c:ser>
        <c:ser>
          <c:idx val="1"/>
          <c:order val="1"/>
          <c:tx>
            <c:strRef>
              <c:f>'CSR vs non-CSR'!$H$3</c:f>
              <c:strCache>
                <c:ptCount val="1"/>
                <c:pt idx="0">
                  <c:v>Non -CSR</c:v>
                </c:pt>
              </c:strCache>
            </c:strRef>
          </c:tx>
          <c:spPr>
            <a:solidFill>
              <a:schemeClr val="dk1">
                <a:tint val="55000"/>
              </a:schemeClr>
            </a:solidFill>
            <a:ln>
              <a:noFill/>
            </a:ln>
            <a:effectLst/>
          </c:spPr>
          <c:invertIfNegative val="0"/>
          <c:cat>
            <c:strRef>
              <c:f>'CSR vs non-CSR'!$F$4:$F$10</c:f>
              <c:strCache>
                <c:ptCount val="7"/>
                <c:pt idx="0">
                  <c:v>Ad likeability </c:v>
                </c:pt>
                <c:pt idx="1">
                  <c:v>CSR perception</c:v>
                </c:pt>
                <c:pt idx="2">
                  <c:v>Brand functionality</c:v>
                </c:pt>
                <c:pt idx="3">
                  <c:v>Brand Likeability</c:v>
                </c:pt>
                <c:pt idx="4">
                  <c:v>Emotional brand attachment  </c:v>
                </c:pt>
                <c:pt idx="5">
                  <c:v>Brand trust</c:v>
                </c:pt>
                <c:pt idx="6">
                  <c:v>Purchase Intention </c:v>
                </c:pt>
              </c:strCache>
            </c:strRef>
          </c:cat>
          <c:val>
            <c:numRef>
              <c:f>'CSR vs non-CSR'!$H$4:$H$10</c:f>
              <c:numCache>
                <c:formatCode>General</c:formatCode>
                <c:ptCount val="7"/>
                <c:pt idx="0">
                  <c:v>4.2702</c:v>
                </c:pt>
                <c:pt idx="1">
                  <c:v>4.6047000000000002</c:v>
                </c:pt>
                <c:pt idx="2">
                  <c:v>4.9866999999999999</c:v>
                </c:pt>
                <c:pt idx="3">
                  <c:v>4.2236000000000002</c:v>
                </c:pt>
                <c:pt idx="4">
                  <c:v>3.64</c:v>
                </c:pt>
                <c:pt idx="5">
                  <c:v>4.6578999999999997</c:v>
                </c:pt>
                <c:pt idx="6">
                  <c:v>4.7141000000000002</c:v>
                </c:pt>
              </c:numCache>
            </c:numRef>
          </c:val>
          <c:extLst>
            <c:ext xmlns:c16="http://schemas.microsoft.com/office/drawing/2014/chart" uri="{C3380CC4-5D6E-409C-BE32-E72D297353CC}">
              <c16:uniqueId val="{00000001-BB0F-4A57-B333-5A41666E7122}"/>
            </c:ext>
          </c:extLst>
        </c:ser>
        <c:dLbls>
          <c:showLegendKey val="0"/>
          <c:showVal val="0"/>
          <c:showCatName val="0"/>
          <c:showSerName val="0"/>
          <c:showPercent val="0"/>
          <c:showBubbleSize val="0"/>
        </c:dLbls>
        <c:gapWidth val="219"/>
        <c:overlap val="-27"/>
        <c:axId val="694573072"/>
        <c:axId val="694571632"/>
      </c:barChart>
      <c:catAx>
        <c:axId val="69457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94571632"/>
        <c:crosses val="autoZero"/>
        <c:auto val="1"/>
        <c:lblAlgn val="ctr"/>
        <c:lblOffset val="100"/>
        <c:noMultiLvlLbl val="0"/>
      </c:catAx>
      <c:valAx>
        <c:axId val="69457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57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'TV or Social Media '!$E$1</c:f>
              <c:strCache>
                <c:ptCount val="1"/>
                <c:pt idx="0">
                  <c:v>TV</c:v>
                </c:pt>
              </c:strCache>
            </c:strRef>
          </c:tx>
          <c:spPr>
            <a:solidFill>
              <a:schemeClr val="dk1">
                <a:tint val="88500"/>
              </a:schemeClr>
            </a:solidFill>
            <a:ln>
              <a:noFill/>
            </a:ln>
            <a:effectLst/>
          </c:spPr>
          <c:invertIfNegative val="0"/>
          <c:cat>
            <c:strRef>
              <c:f>'TV or Social Media '!$D$2:$D$8</c:f>
              <c:strCache>
                <c:ptCount val="7"/>
                <c:pt idx="0">
                  <c:v>Ad likeability </c:v>
                </c:pt>
                <c:pt idx="1">
                  <c:v>CSR perception</c:v>
                </c:pt>
                <c:pt idx="2">
                  <c:v>Brand functionality</c:v>
                </c:pt>
                <c:pt idx="3">
                  <c:v>Brand Likeability</c:v>
                </c:pt>
                <c:pt idx="4">
                  <c:v>Emotional brand attachment  </c:v>
                </c:pt>
                <c:pt idx="5">
                  <c:v>Brand trust</c:v>
                </c:pt>
                <c:pt idx="6">
                  <c:v>Purchase Intention </c:v>
                </c:pt>
              </c:strCache>
            </c:strRef>
          </c:cat>
          <c:val>
            <c:numRef>
              <c:f>'TV or Social Media '!$E$2:$E$8</c:f>
              <c:numCache>
                <c:formatCode>General</c:formatCode>
                <c:ptCount val="7"/>
                <c:pt idx="0">
                  <c:v>4.8259999999999996</c:v>
                </c:pt>
                <c:pt idx="1">
                  <c:v>5.0258000000000003</c:v>
                </c:pt>
                <c:pt idx="2">
                  <c:v>5.4480000000000004</c:v>
                </c:pt>
                <c:pt idx="3">
                  <c:v>4.7988999999999997</c:v>
                </c:pt>
                <c:pt idx="4">
                  <c:v>4.2480000000000002</c:v>
                </c:pt>
                <c:pt idx="5">
                  <c:v>5.1913</c:v>
                </c:pt>
                <c:pt idx="6">
                  <c:v>5.4576000000000002</c:v>
                </c:pt>
              </c:numCache>
            </c:numRef>
          </c:val>
          <c:extLst>
            <c:ext xmlns:c16="http://schemas.microsoft.com/office/drawing/2014/chart" uri="{C3380CC4-5D6E-409C-BE32-E72D297353CC}">
              <c16:uniqueId val="{00000000-9715-4DD2-86DF-EE013EB662B1}"/>
            </c:ext>
          </c:extLst>
        </c:ser>
        <c:ser>
          <c:idx val="1"/>
          <c:order val="1"/>
          <c:tx>
            <c:strRef>
              <c:f>'TV or Social Media '!$F$1</c:f>
              <c:strCache>
                <c:ptCount val="1"/>
                <c:pt idx="0">
                  <c:v>Social Media </c:v>
                </c:pt>
              </c:strCache>
            </c:strRef>
          </c:tx>
          <c:spPr>
            <a:solidFill>
              <a:schemeClr val="dk1">
                <a:tint val="55000"/>
              </a:schemeClr>
            </a:solidFill>
            <a:ln>
              <a:noFill/>
            </a:ln>
            <a:effectLst/>
          </c:spPr>
          <c:invertIfNegative val="0"/>
          <c:cat>
            <c:strRef>
              <c:f>'TV or Social Media '!$D$2:$D$8</c:f>
              <c:strCache>
                <c:ptCount val="7"/>
                <c:pt idx="0">
                  <c:v>Ad likeability </c:v>
                </c:pt>
                <c:pt idx="1">
                  <c:v>CSR perception</c:v>
                </c:pt>
                <c:pt idx="2">
                  <c:v>Brand functionality</c:v>
                </c:pt>
                <c:pt idx="3">
                  <c:v>Brand Likeability</c:v>
                </c:pt>
                <c:pt idx="4">
                  <c:v>Emotional brand attachment  </c:v>
                </c:pt>
                <c:pt idx="5">
                  <c:v>Brand trust</c:v>
                </c:pt>
                <c:pt idx="6">
                  <c:v>Purchase Intention </c:v>
                </c:pt>
              </c:strCache>
            </c:strRef>
          </c:cat>
          <c:val>
            <c:numRef>
              <c:f>'TV or Social Media '!$F$2:$F$8</c:f>
              <c:numCache>
                <c:formatCode>General</c:formatCode>
                <c:ptCount val="7"/>
                <c:pt idx="0">
                  <c:v>4.5335999999999999</c:v>
                </c:pt>
                <c:pt idx="1">
                  <c:v>4.7640000000000002</c:v>
                </c:pt>
                <c:pt idx="2">
                  <c:v>4.8285</c:v>
                </c:pt>
                <c:pt idx="3">
                  <c:v>4.2431999999999999</c:v>
                </c:pt>
                <c:pt idx="4">
                  <c:v>3.681</c:v>
                </c:pt>
                <c:pt idx="5">
                  <c:v>4.5465</c:v>
                </c:pt>
                <c:pt idx="6">
                  <c:v>4.7088999999999999</c:v>
                </c:pt>
              </c:numCache>
            </c:numRef>
          </c:val>
          <c:extLst>
            <c:ext xmlns:c16="http://schemas.microsoft.com/office/drawing/2014/chart" uri="{C3380CC4-5D6E-409C-BE32-E72D297353CC}">
              <c16:uniqueId val="{00000001-9715-4DD2-86DF-EE013EB662B1}"/>
            </c:ext>
          </c:extLst>
        </c:ser>
        <c:dLbls>
          <c:showLegendKey val="0"/>
          <c:showVal val="0"/>
          <c:showCatName val="0"/>
          <c:showSerName val="0"/>
          <c:showPercent val="0"/>
          <c:showBubbleSize val="0"/>
        </c:dLbls>
        <c:gapWidth val="219"/>
        <c:overlap val="-27"/>
        <c:axId val="700476560"/>
        <c:axId val="700475480"/>
      </c:barChart>
      <c:catAx>
        <c:axId val="70047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0475480"/>
        <c:crosses val="autoZero"/>
        <c:auto val="1"/>
        <c:lblAlgn val="ctr"/>
        <c:lblOffset val="100"/>
        <c:noMultiLvlLbl val="0"/>
      </c:catAx>
      <c:valAx>
        <c:axId val="700475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47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'CSR on TV'!$E$3</c:f>
              <c:strCache>
                <c:ptCount val="1"/>
                <c:pt idx="0">
                  <c:v>Non -CSR</c:v>
                </c:pt>
              </c:strCache>
            </c:strRef>
          </c:tx>
          <c:spPr>
            <a:solidFill>
              <a:schemeClr val="bg2">
                <a:lumMod val="75000"/>
              </a:schemeClr>
            </a:solidFill>
            <a:ln>
              <a:noFill/>
            </a:ln>
            <a:effectLst/>
          </c:spPr>
          <c:invertIfNegative val="0"/>
          <c:cat>
            <c:strRef>
              <c:f>'CSR on TV'!$D$4:$D$10</c:f>
              <c:strCache>
                <c:ptCount val="7"/>
                <c:pt idx="0">
                  <c:v>Ad likeability</c:v>
                </c:pt>
                <c:pt idx="1">
                  <c:v>CSR perception</c:v>
                </c:pt>
                <c:pt idx="2">
                  <c:v>Brand functionality</c:v>
                </c:pt>
                <c:pt idx="3">
                  <c:v>Brand likeability</c:v>
                </c:pt>
                <c:pt idx="4">
                  <c:v>Emotional brand attachment</c:v>
                </c:pt>
                <c:pt idx="5">
                  <c:v>Brand trust</c:v>
                </c:pt>
                <c:pt idx="6">
                  <c:v>Purchase intention </c:v>
                </c:pt>
              </c:strCache>
            </c:strRef>
          </c:cat>
          <c:val>
            <c:numRef>
              <c:f>'CSR on TV'!$E$4:$E$10</c:f>
              <c:numCache>
                <c:formatCode>General</c:formatCode>
                <c:ptCount val="7"/>
                <c:pt idx="0">
                  <c:v>4.4061000000000003</c:v>
                </c:pt>
                <c:pt idx="1">
                  <c:v>4.867</c:v>
                </c:pt>
                <c:pt idx="2">
                  <c:v>5.3455000000000004</c:v>
                </c:pt>
                <c:pt idx="3">
                  <c:v>4.5281000000000002</c:v>
                </c:pt>
                <c:pt idx="4">
                  <c:v>3.8969999999999998</c:v>
                </c:pt>
                <c:pt idx="5">
                  <c:v>5.1035000000000004</c:v>
                </c:pt>
                <c:pt idx="6">
                  <c:v>5.1189</c:v>
                </c:pt>
              </c:numCache>
            </c:numRef>
          </c:val>
          <c:extLst>
            <c:ext xmlns:c16="http://schemas.microsoft.com/office/drawing/2014/chart" uri="{C3380CC4-5D6E-409C-BE32-E72D297353CC}">
              <c16:uniqueId val="{00000000-AEFE-43C0-A2BA-10AE865A578E}"/>
            </c:ext>
          </c:extLst>
        </c:ser>
        <c:ser>
          <c:idx val="1"/>
          <c:order val="1"/>
          <c:tx>
            <c:strRef>
              <c:f>'CSR on TV'!$F$3</c:f>
              <c:strCache>
                <c:ptCount val="1"/>
                <c:pt idx="0">
                  <c:v>CSR</c:v>
                </c:pt>
              </c:strCache>
            </c:strRef>
          </c:tx>
          <c:spPr>
            <a:solidFill>
              <a:schemeClr val="tx1">
                <a:lumMod val="65000"/>
                <a:lumOff val="35000"/>
              </a:schemeClr>
            </a:solidFill>
            <a:ln>
              <a:noFill/>
            </a:ln>
            <a:effectLst/>
          </c:spPr>
          <c:invertIfNegative val="0"/>
          <c:cat>
            <c:strRef>
              <c:f>'CSR on TV'!$D$4:$D$10</c:f>
              <c:strCache>
                <c:ptCount val="7"/>
                <c:pt idx="0">
                  <c:v>Ad likeability</c:v>
                </c:pt>
                <c:pt idx="1">
                  <c:v>CSR perception</c:v>
                </c:pt>
                <c:pt idx="2">
                  <c:v>Brand functionality</c:v>
                </c:pt>
                <c:pt idx="3">
                  <c:v>Brand likeability</c:v>
                </c:pt>
                <c:pt idx="4">
                  <c:v>Emotional brand attachment</c:v>
                </c:pt>
                <c:pt idx="5">
                  <c:v>Brand trust</c:v>
                </c:pt>
                <c:pt idx="6">
                  <c:v>Purchase intention </c:v>
                </c:pt>
              </c:strCache>
            </c:strRef>
          </c:cat>
          <c:val>
            <c:numRef>
              <c:f>'CSR on TV'!$F$4:$F$10</c:f>
              <c:numCache>
                <c:formatCode>General</c:formatCode>
                <c:ptCount val="7"/>
                <c:pt idx="0">
                  <c:v>5.2375999999999996</c:v>
                </c:pt>
                <c:pt idx="1">
                  <c:v>5.1814999999999998</c:v>
                </c:pt>
                <c:pt idx="2">
                  <c:v>5.5484999999999998</c:v>
                </c:pt>
                <c:pt idx="3">
                  <c:v>5.0643000000000002</c:v>
                </c:pt>
                <c:pt idx="4">
                  <c:v>4.5921000000000003</c:v>
                </c:pt>
                <c:pt idx="5">
                  <c:v>5.2771999999999997</c:v>
                </c:pt>
                <c:pt idx="6">
                  <c:v>5.7896000000000001</c:v>
                </c:pt>
              </c:numCache>
            </c:numRef>
          </c:val>
          <c:extLst>
            <c:ext xmlns:c16="http://schemas.microsoft.com/office/drawing/2014/chart" uri="{C3380CC4-5D6E-409C-BE32-E72D297353CC}">
              <c16:uniqueId val="{00000001-AEFE-43C0-A2BA-10AE865A578E}"/>
            </c:ext>
          </c:extLst>
        </c:ser>
        <c:dLbls>
          <c:showLegendKey val="0"/>
          <c:showVal val="0"/>
          <c:showCatName val="0"/>
          <c:showSerName val="0"/>
          <c:showPercent val="0"/>
          <c:showBubbleSize val="0"/>
        </c:dLbls>
        <c:gapWidth val="219"/>
        <c:overlap val="-27"/>
        <c:axId val="793802952"/>
        <c:axId val="793802592"/>
      </c:barChart>
      <c:catAx>
        <c:axId val="793802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802592"/>
        <c:crosses val="autoZero"/>
        <c:auto val="1"/>
        <c:lblAlgn val="ctr"/>
        <c:lblOffset val="100"/>
        <c:noMultiLvlLbl val="0"/>
      </c:catAx>
      <c:valAx>
        <c:axId val="79380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802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'CSR on Social Media'!$E$3</c:f>
              <c:strCache>
                <c:ptCount val="1"/>
                <c:pt idx="0">
                  <c:v>CSR</c:v>
                </c:pt>
              </c:strCache>
            </c:strRef>
          </c:tx>
          <c:spPr>
            <a:solidFill>
              <a:schemeClr val="dk1">
                <a:tint val="88500"/>
              </a:schemeClr>
            </a:solidFill>
            <a:ln>
              <a:noFill/>
            </a:ln>
            <a:effectLst/>
          </c:spPr>
          <c:invertIfNegative val="0"/>
          <c:cat>
            <c:strRef>
              <c:f>'CSR on Social Media'!$D$4:$D$10</c:f>
              <c:strCache>
                <c:ptCount val="7"/>
                <c:pt idx="0">
                  <c:v>Ad Likeability</c:v>
                </c:pt>
                <c:pt idx="1">
                  <c:v>CSR perception</c:v>
                </c:pt>
                <c:pt idx="2">
                  <c:v>Brand functionality</c:v>
                </c:pt>
                <c:pt idx="3">
                  <c:v>Brand Likeability</c:v>
                </c:pt>
                <c:pt idx="4">
                  <c:v>emotional brand attachment</c:v>
                </c:pt>
                <c:pt idx="5">
                  <c:v>Brand trust</c:v>
                </c:pt>
                <c:pt idx="6">
                  <c:v>Purchase intention </c:v>
                </c:pt>
              </c:strCache>
            </c:strRef>
          </c:cat>
          <c:val>
            <c:numRef>
              <c:f>'CSR on Social Media'!$E$4:$E$10</c:f>
              <c:numCache>
                <c:formatCode>General</c:formatCode>
                <c:ptCount val="7"/>
                <c:pt idx="0">
                  <c:v>5.2431999999999999</c:v>
                </c:pt>
                <c:pt idx="1">
                  <c:v>5.3958000000000004</c:v>
                </c:pt>
                <c:pt idx="2">
                  <c:v>4.8977000000000004</c:v>
                </c:pt>
                <c:pt idx="3">
                  <c:v>4.6272000000000002</c:v>
                </c:pt>
                <c:pt idx="4">
                  <c:v>4.0568</c:v>
                </c:pt>
                <c:pt idx="5">
                  <c:v>4.8125</c:v>
                </c:pt>
                <c:pt idx="6">
                  <c:v>5.1534000000000004</c:v>
                </c:pt>
              </c:numCache>
            </c:numRef>
          </c:val>
          <c:extLst>
            <c:ext xmlns:c16="http://schemas.microsoft.com/office/drawing/2014/chart" uri="{C3380CC4-5D6E-409C-BE32-E72D297353CC}">
              <c16:uniqueId val="{00000000-4C03-413C-8F11-5A31F5052ECF}"/>
            </c:ext>
          </c:extLst>
        </c:ser>
        <c:ser>
          <c:idx val="1"/>
          <c:order val="1"/>
          <c:tx>
            <c:strRef>
              <c:f>'CSR on Social Media'!$F$3</c:f>
              <c:strCache>
                <c:ptCount val="1"/>
                <c:pt idx="0">
                  <c:v>Non-CSR</c:v>
                </c:pt>
              </c:strCache>
            </c:strRef>
          </c:tx>
          <c:spPr>
            <a:solidFill>
              <a:schemeClr val="dk1">
                <a:tint val="55000"/>
              </a:schemeClr>
            </a:solidFill>
            <a:ln>
              <a:noFill/>
            </a:ln>
            <a:effectLst/>
          </c:spPr>
          <c:invertIfNegative val="0"/>
          <c:cat>
            <c:strRef>
              <c:f>'CSR on Social Media'!$D$4:$D$10</c:f>
              <c:strCache>
                <c:ptCount val="7"/>
                <c:pt idx="0">
                  <c:v>Ad Likeability</c:v>
                </c:pt>
                <c:pt idx="1">
                  <c:v>CSR perception</c:v>
                </c:pt>
                <c:pt idx="2">
                  <c:v>Brand functionality</c:v>
                </c:pt>
                <c:pt idx="3">
                  <c:v>Brand Likeability</c:v>
                </c:pt>
                <c:pt idx="4">
                  <c:v>emotional brand attachment</c:v>
                </c:pt>
                <c:pt idx="5">
                  <c:v>Brand trust</c:v>
                </c:pt>
                <c:pt idx="6">
                  <c:v>Purchase intention </c:v>
                </c:pt>
              </c:strCache>
            </c:strRef>
          </c:cat>
          <c:val>
            <c:numRef>
              <c:f>'CSR on Social Media'!$F$4:$F$10</c:f>
              <c:numCache>
                <c:formatCode>General</c:formatCode>
                <c:ptCount val="7"/>
                <c:pt idx="0">
                  <c:v>4.1978</c:v>
                </c:pt>
                <c:pt idx="1">
                  <c:v>4.4650999999999996</c:v>
                </c:pt>
                <c:pt idx="2">
                  <c:v>4.7957000000000001</c:v>
                </c:pt>
                <c:pt idx="3">
                  <c:v>4.0614999999999997</c:v>
                </c:pt>
                <c:pt idx="4">
                  <c:v>3.5032000000000001</c:v>
                </c:pt>
                <c:pt idx="5">
                  <c:v>4.4207000000000001</c:v>
                </c:pt>
                <c:pt idx="6">
                  <c:v>4.4987000000000004</c:v>
                </c:pt>
              </c:numCache>
            </c:numRef>
          </c:val>
          <c:extLst>
            <c:ext xmlns:c16="http://schemas.microsoft.com/office/drawing/2014/chart" uri="{C3380CC4-5D6E-409C-BE32-E72D297353CC}">
              <c16:uniqueId val="{00000001-4C03-413C-8F11-5A31F5052ECF}"/>
            </c:ext>
          </c:extLst>
        </c:ser>
        <c:dLbls>
          <c:showLegendKey val="0"/>
          <c:showVal val="0"/>
          <c:showCatName val="0"/>
          <c:showSerName val="0"/>
          <c:showPercent val="0"/>
          <c:showBubbleSize val="0"/>
        </c:dLbls>
        <c:gapWidth val="219"/>
        <c:overlap val="-27"/>
        <c:axId val="793804392"/>
        <c:axId val="793800792"/>
      </c:barChart>
      <c:catAx>
        <c:axId val="79380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93800792"/>
        <c:crosses val="autoZero"/>
        <c:auto val="1"/>
        <c:lblAlgn val="ctr"/>
        <c:lblOffset val="100"/>
        <c:noMultiLvlLbl val="0"/>
      </c:catAx>
      <c:valAx>
        <c:axId val="793800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3804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Sheet1!$A$29:$A$37</cx:f>
        <cx:lvl ptCount="9">
          <cx:pt idx="0">General</cx:pt>
          <cx:pt idx="1">Dettol</cx:pt>
          <cx:pt idx="2">Clorox</cx:pt>
          <cx:pt idx="3">Clorox Disinfectant</cx:pt>
          <cx:pt idx="4">Verox</cx:pt>
          <cx:pt idx="5">Al Imlaq</cx:pt>
          <cx:pt idx="6">Frida</cx:pt>
          <cx:pt idx="7">Mr. Muscle</cx:pt>
          <cx:pt idx="8">Other:</cx:pt>
        </cx:lvl>
      </cx:strDim>
      <cx:numDim type="val">
        <cx:f>Sheet1!$C$29:$C$37</cx:f>
        <cx:lvl ptCount="9" formatCode="General">
          <cx:pt idx="0">22.600000000000001</cx:pt>
          <cx:pt idx="1">35.700000000000003</cx:pt>
          <cx:pt idx="2">16.699999999999999</cx:pt>
          <cx:pt idx="3">5.0999999999999996</cx:pt>
          <cx:pt idx="4">1.8999999999999999</cx:pt>
          <cx:pt idx="5">2.2999999999999998</cx:pt>
          <cx:pt idx="6">3</cx:pt>
          <cx:pt idx="7">9.9000000000000004</cx:pt>
          <cx:pt idx="8">3</cx:pt>
        </cx:lvl>
      </cx:numDim>
    </cx:data>
  </cx:chartData>
  <cx:chart>
    <cx:title pos="t" align="ctr" overlay="0">
      <cx:tx>
        <cx:txData>
          <cx:v>Which one is your first-choice brand to clean surfaces and floors at your home? </cx:v>
        </cx:txData>
      </cx:tx>
      <cx:txPr>
        <a:bodyPr spcFirstLastPara="1" vertOverflow="ellipsis" horzOverflow="overflow" wrap="square" lIns="0" tIns="0" rIns="0" bIns="0" anchor="ctr" anchorCtr="1"/>
        <a:lstStyle/>
        <a:p>
          <a:pPr algn="ctr" rtl="0">
            <a:defRPr sz="1000">
              <a:solidFill>
                <a:schemeClr val="tx1"/>
              </a:solidFill>
            </a:defRPr>
          </a:pPr>
          <a:r>
            <a:rPr lang="en-US" sz="1000" b="0" i="0" u="none" strike="noStrike" baseline="0">
              <a:solidFill>
                <a:schemeClr val="tx1"/>
              </a:solidFill>
              <a:latin typeface="Calibri" panose="020F0502020204030204"/>
            </a:rPr>
            <a:t>Which one is your first-choice brand to clean surfaces and floors at your home? </a:t>
          </a:r>
        </a:p>
      </cx:txPr>
    </cx:title>
    <cx:plotArea>
      <cx:plotAreaRegion>
        <cx:series layoutId="funnel" uniqueId="{456B11BF-665D-4F84-86A6-F46AFCF5D07D}">
          <cx:dataLabels>
            <cx:visibility seriesName="0" categoryName="0" value="1"/>
          </cx:dataLabels>
          <cx:dataId val="0"/>
        </cx:series>
      </cx:plotAreaRegion>
      <cx:axis id="0">
        <cx:catScaling gapWidth="0.150000006"/>
        <cx:tickLabels/>
        <cx:txPr>
          <a:bodyPr spcFirstLastPara="1" vertOverflow="ellipsis" horzOverflow="overflow" wrap="square" lIns="0" tIns="0" rIns="0" bIns="0" anchor="ctr" anchorCtr="1"/>
          <a:lstStyle/>
          <a:p>
            <a:pPr algn="ctr" rtl="0">
              <a:defRPr>
                <a:solidFill>
                  <a:schemeClr val="tx1"/>
                </a:solidFill>
              </a:defRPr>
            </a:pPr>
            <a:endParaRPr lang="en-US" sz="900" b="0" i="0" u="none" strike="noStrike" baseline="0">
              <a:solidFill>
                <a:schemeClr val="tx1"/>
              </a:solidFill>
              <a:latin typeface="Calibri" panose="020F0502020204030204"/>
            </a:endParaRPr>
          </a:p>
        </cx:txPr>
      </cx:axis>
    </cx:plotArea>
  </cx:chart>
  <cx:spPr>
    <a:noFill/>
  </cx:spPr>
</cx: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C07ECE-67F0-4360-A4B8-C797B863836D}" type="doc">
      <dgm:prSet loTypeId="urn:microsoft.com/office/officeart/2005/8/layout/radial1" loCatId="cycle" qsTypeId="urn:microsoft.com/office/officeart/2005/8/quickstyle/simple1" qsCatId="simple" csTypeId="urn:microsoft.com/office/officeart/2005/8/colors/accent2_1" csCatId="accent2" phldr="1"/>
      <dgm:spPr/>
      <dgm:t>
        <a:bodyPr/>
        <a:lstStyle/>
        <a:p>
          <a:endParaRPr lang="en-GB"/>
        </a:p>
      </dgm:t>
    </dgm:pt>
    <dgm:pt modelId="{08F3E1A8-F9E2-42A9-BBDB-7C00F9B2DD1C}">
      <dgm:prSet phldrT="[Text]" custT="1"/>
      <dgm:spPr/>
      <dgm:t>
        <a:bodyPr/>
        <a:lstStyle/>
        <a:p>
          <a:pPr algn="ctr"/>
          <a:r>
            <a:rPr lang="en-GB" sz="900">
              <a:latin typeface="Times New Roman" panose="02020603050405020304" pitchFamily="18" charset="0"/>
              <a:cs typeface="Times New Roman" panose="02020603050405020304" pitchFamily="18" charset="0"/>
            </a:rPr>
            <a:t>CSR Communication</a:t>
          </a:r>
        </a:p>
      </dgm:t>
    </dgm:pt>
    <dgm:pt modelId="{403ED995-4764-44A8-96B6-BFBB0396DF7E}" type="parTrans" cxnId="{AE5DF378-4C49-427D-9764-8A386493B2D4}">
      <dgm:prSet/>
      <dgm:spPr/>
      <dgm:t>
        <a:bodyPr/>
        <a:lstStyle/>
        <a:p>
          <a:pPr algn="ctr"/>
          <a:endParaRPr lang="en-GB" sz="1000">
            <a:latin typeface="Times New Roman" panose="02020603050405020304" pitchFamily="18" charset="0"/>
            <a:cs typeface="Times New Roman" panose="02020603050405020304" pitchFamily="18" charset="0"/>
          </a:endParaRPr>
        </a:p>
      </dgm:t>
    </dgm:pt>
    <dgm:pt modelId="{3DE46F78-4BC7-416D-AE2B-42AD630F4A50}" type="sibTrans" cxnId="{AE5DF378-4C49-427D-9764-8A386493B2D4}">
      <dgm:prSet/>
      <dgm:spPr/>
      <dgm:t>
        <a:bodyPr/>
        <a:lstStyle/>
        <a:p>
          <a:pPr algn="ctr"/>
          <a:endParaRPr lang="en-GB" sz="1000">
            <a:latin typeface="Times New Roman" panose="02020603050405020304" pitchFamily="18" charset="0"/>
            <a:cs typeface="Times New Roman" panose="02020603050405020304" pitchFamily="18" charset="0"/>
          </a:endParaRPr>
        </a:p>
      </dgm:t>
    </dgm:pt>
    <dgm:pt modelId="{EC34F7E4-CC65-4EBB-880A-EDB355CF0442}">
      <dgm:prSet phldrT="[Text]" custT="1"/>
      <dgm:spPr/>
      <dgm:t>
        <a:bodyPr/>
        <a:lstStyle/>
        <a:p>
          <a:pPr algn="ctr"/>
          <a:r>
            <a:rPr lang="en-GB" sz="900">
              <a:latin typeface="Times New Roman" panose="02020603050405020304" pitchFamily="18" charset="0"/>
              <a:cs typeface="Times New Roman" panose="02020603050405020304" pitchFamily="18" charset="0"/>
            </a:rPr>
            <a:t>Geographical Scope: </a:t>
          </a:r>
          <a:r>
            <a:rPr lang="en-GB" sz="900" b="1">
              <a:latin typeface="Times New Roman" panose="02020603050405020304" pitchFamily="18" charset="0"/>
              <a:cs typeface="Times New Roman" panose="02020603050405020304" pitchFamily="18" charset="0"/>
            </a:rPr>
            <a:t>Egypt</a:t>
          </a:r>
          <a:r>
            <a:rPr lang="en-GB" sz="900">
              <a:latin typeface="Times New Roman" panose="02020603050405020304" pitchFamily="18" charset="0"/>
              <a:cs typeface="Times New Roman" panose="02020603050405020304" pitchFamily="18" charset="0"/>
            </a:rPr>
            <a:t> </a:t>
          </a:r>
        </a:p>
      </dgm:t>
    </dgm:pt>
    <dgm:pt modelId="{A7485756-A2AC-4F14-9F81-4ADB9178C4FC}" type="parTrans" cxnId="{EBE5737A-2CDD-455A-87F3-7B3B8F064E64}">
      <dgm:prSet custT="1"/>
      <dgm:spPr/>
      <dgm:t>
        <a:bodyPr/>
        <a:lstStyle/>
        <a:p>
          <a:pPr algn="ctr"/>
          <a:endParaRPr lang="en-GB" sz="1000">
            <a:latin typeface="Times New Roman" panose="02020603050405020304" pitchFamily="18" charset="0"/>
            <a:cs typeface="Times New Roman" panose="02020603050405020304" pitchFamily="18" charset="0"/>
          </a:endParaRPr>
        </a:p>
      </dgm:t>
    </dgm:pt>
    <dgm:pt modelId="{5FBC6B54-CE29-4364-82B8-5D26573808F1}" type="sibTrans" cxnId="{EBE5737A-2CDD-455A-87F3-7B3B8F064E64}">
      <dgm:prSet/>
      <dgm:spPr/>
      <dgm:t>
        <a:bodyPr/>
        <a:lstStyle/>
        <a:p>
          <a:pPr algn="ctr"/>
          <a:endParaRPr lang="en-GB" sz="1000">
            <a:latin typeface="Times New Roman" panose="02020603050405020304" pitchFamily="18" charset="0"/>
            <a:cs typeface="Times New Roman" panose="02020603050405020304" pitchFamily="18" charset="0"/>
          </a:endParaRPr>
        </a:p>
      </dgm:t>
    </dgm:pt>
    <dgm:pt modelId="{B44F6D0E-3165-44E8-9CDD-ACD8DD20C7C7}">
      <dgm:prSet phldrT="[Text]" custT="1"/>
      <dgm:spPr/>
      <dgm:t>
        <a:bodyPr/>
        <a:lstStyle/>
        <a:p>
          <a:pPr algn="ctr"/>
          <a:r>
            <a:rPr lang="en-GB" sz="900">
              <a:latin typeface="Times New Roman" panose="02020603050405020304" pitchFamily="18" charset="0"/>
              <a:cs typeface="Times New Roman" panose="02020603050405020304" pitchFamily="18" charset="0"/>
            </a:rPr>
            <a:t>Type of CSR: </a:t>
          </a:r>
          <a:r>
            <a:rPr lang="en-GB" sz="900" b="1">
              <a:solidFill>
                <a:sysClr val="windowText" lastClr="000000"/>
              </a:solidFill>
              <a:latin typeface="Times New Roman" panose="02020603050405020304" pitchFamily="18" charset="0"/>
              <a:cs typeface="Times New Roman" panose="02020603050405020304" pitchFamily="18" charset="0"/>
            </a:rPr>
            <a:t>Healthcare </a:t>
          </a:r>
          <a:r>
            <a:rPr lang="en-GB" sz="900">
              <a:latin typeface="Times New Roman" panose="02020603050405020304" pitchFamily="18" charset="0"/>
              <a:cs typeface="Times New Roman" panose="02020603050405020304" pitchFamily="18" charset="0"/>
            </a:rPr>
            <a:t> </a:t>
          </a:r>
        </a:p>
      </dgm:t>
    </dgm:pt>
    <dgm:pt modelId="{F8F15F30-52AE-4A43-8C52-CF73D987AA55}" type="parTrans" cxnId="{2B116C4F-18E0-46FB-B202-A91ED8ABF4B9}">
      <dgm:prSet custT="1"/>
      <dgm:spPr/>
      <dgm:t>
        <a:bodyPr/>
        <a:lstStyle/>
        <a:p>
          <a:pPr algn="ctr"/>
          <a:endParaRPr lang="en-GB" sz="1000">
            <a:latin typeface="Times New Roman" panose="02020603050405020304" pitchFamily="18" charset="0"/>
            <a:cs typeface="Times New Roman" panose="02020603050405020304" pitchFamily="18" charset="0"/>
          </a:endParaRPr>
        </a:p>
      </dgm:t>
    </dgm:pt>
    <dgm:pt modelId="{90F7A79E-3170-4994-BFE0-EA849D40D93A}" type="sibTrans" cxnId="{2B116C4F-18E0-46FB-B202-A91ED8ABF4B9}">
      <dgm:prSet/>
      <dgm:spPr/>
      <dgm:t>
        <a:bodyPr/>
        <a:lstStyle/>
        <a:p>
          <a:pPr algn="ctr"/>
          <a:endParaRPr lang="en-GB" sz="1000">
            <a:latin typeface="Times New Roman" panose="02020603050405020304" pitchFamily="18" charset="0"/>
            <a:cs typeface="Times New Roman" panose="02020603050405020304" pitchFamily="18" charset="0"/>
          </a:endParaRPr>
        </a:p>
      </dgm:t>
    </dgm:pt>
    <dgm:pt modelId="{5B500136-B510-4113-A950-9001468CA4AC}">
      <dgm:prSet phldrT="[Text]" custT="1"/>
      <dgm:spPr/>
      <dgm:t>
        <a:bodyPr/>
        <a:lstStyle/>
        <a:p>
          <a:pPr algn="ctr"/>
          <a:r>
            <a:rPr lang="en-GB" sz="900">
              <a:latin typeface="Times New Roman" panose="02020603050405020304" pitchFamily="18" charset="0"/>
              <a:cs typeface="Times New Roman" panose="02020603050405020304" pitchFamily="18" charset="0"/>
            </a:rPr>
            <a:t>Media Vehicle: </a:t>
          </a:r>
          <a:r>
            <a:rPr lang="en-GB" sz="900" b="1">
              <a:latin typeface="Times New Roman" panose="02020603050405020304" pitchFamily="18" charset="0"/>
              <a:cs typeface="Times New Roman" panose="02020603050405020304" pitchFamily="18" charset="0"/>
            </a:rPr>
            <a:t>Television and Social Media</a:t>
          </a:r>
        </a:p>
      </dgm:t>
    </dgm:pt>
    <dgm:pt modelId="{53E7CE53-C3F1-4C17-B289-5EE498F8E56E}" type="parTrans" cxnId="{70E08B2F-080D-42AB-90A9-922D138492C4}">
      <dgm:prSet custT="1"/>
      <dgm:spPr/>
      <dgm:t>
        <a:bodyPr/>
        <a:lstStyle/>
        <a:p>
          <a:pPr algn="ctr"/>
          <a:endParaRPr lang="en-GB" sz="1000">
            <a:latin typeface="Times New Roman" panose="02020603050405020304" pitchFamily="18" charset="0"/>
            <a:cs typeface="Times New Roman" panose="02020603050405020304" pitchFamily="18" charset="0"/>
          </a:endParaRPr>
        </a:p>
      </dgm:t>
    </dgm:pt>
    <dgm:pt modelId="{16662923-5ACA-4AC9-8DEB-199BC2CFBC9D}" type="sibTrans" cxnId="{70E08B2F-080D-42AB-90A9-922D138492C4}">
      <dgm:prSet/>
      <dgm:spPr/>
      <dgm:t>
        <a:bodyPr/>
        <a:lstStyle/>
        <a:p>
          <a:pPr algn="ctr"/>
          <a:endParaRPr lang="en-GB" sz="1000">
            <a:latin typeface="Times New Roman" panose="02020603050405020304" pitchFamily="18" charset="0"/>
            <a:cs typeface="Times New Roman" panose="02020603050405020304" pitchFamily="18" charset="0"/>
          </a:endParaRPr>
        </a:p>
      </dgm:t>
    </dgm:pt>
    <dgm:pt modelId="{2E5D8A09-D44F-4A74-BBDC-D427220B23A3}">
      <dgm:prSet phldrT="[Text]" custT="1"/>
      <dgm:spPr/>
      <dgm:t>
        <a:bodyPr/>
        <a:lstStyle/>
        <a:p>
          <a:pPr algn="ctr"/>
          <a:r>
            <a:rPr lang="en-GB" sz="900">
              <a:latin typeface="Times New Roman" panose="02020603050405020304" pitchFamily="18" charset="0"/>
              <a:cs typeface="Times New Roman" panose="02020603050405020304" pitchFamily="18" charset="0"/>
            </a:rPr>
            <a:t>Product Type: </a:t>
          </a:r>
          <a:r>
            <a:rPr lang="en-GB" sz="900" b="1">
              <a:latin typeface="Times New Roman" panose="02020603050405020304" pitchFamily="18" charset="0"/>
              <a:cs typeface="Times New Roman" panose="02020603050405020304" pitchFamily="18" charset="0"/>
            </a:rPr>
            <a:t>FMCG</a:t>
          </a:r>
        </a:p>
      </dgm:t>
    </dgm:pt>
    <dgm:pt modelId="{11214F8A-6433-4A23-81AF-3909F08C81EB}" type="parTrans" cxnId="{C7D3473A-2CAC-4DBF-8D61-1E51DA882F9D}">
      <dgm:prSet custT="1"/>
      <dgm:spPr/>
      <dgm:t>
        <a:bodyPr/>
        <a:lstStyle/>
        <a:p>
          <a:pPr algn="ctr"/>
          <a:endParaRPr lang="en-GB" sz="1000">
            <a:latin typeface="Times New Roman" panose="02020603050405020304" pitchFamily="18" charset="0"/>
            <a:cs typeface="Times New Roman" panose="02020603050405020304" pitchFamily="18" charset="0"/>
          </a:endParaRPr>
        </a:p>
      </dgm:t>
    </dgm:pt>
    <dgm:pt modelId="{73F28A5D-F960-4273-9FDD-CDE559628CD2}" type="sibTrans" cxnId="{C7D3473A-2CAC-4DBF-8D61-1E51DA882F9D}">
      <dgm:prSet/>
      <dgm:spPr/>
      <dgm:t>
        <a:bodyPr/>
        <a:lstStyle/>
        <a:p>
          <a:pPr algn="ctr"/>
          <a:endParaRPr lang="en-GB" sz="1000">
            <a:latin typeface="Times New Roman" panose="02020603050405020304" pitchFamily="18" charset="0"/>
            <a:cs typeface="Times New Roman" panose="02020603050405020304" pitchFamily="18" charset="0"/>
          </a:endParaRPr>
        </a:p>
      </dgm:t>
    </dgm:pt>
    <dgm:pt modelId="{43C6238B-3C64-4D1E-9C14-70B9F6BD5454}" type="pres">
      <dgm:prSet presAssocID="{7BC07ECE-67F0-4360-A4B8-C797B863836D}" presName="cycle" presStyleCnt="0">
        <dgm:presLayoutVars>
          <dgm:chMax val="1"/>
          <dgm:dir/>
          <dgm:animLvl val="ctr"/>
          <dgm:resizeHandles val="exact"/>
        </dgm:presLayoutVars>
      </dgm:prSet>
      <dgm:spPr/>
    </dgm:pt>
    <dgm:pt modelId="{EF90AAEB-A434-41CE-ACB7-517A9DC478BD}" type="pres">
      <dgm:prSet presAssocID="{08F3E1A8-F9E2-42A9-BBDB-7C00F9B2DD1C}" presName="centerShape" presStyleLbl="node0" presStyleIdx="0" presStyleCnt="1" custScaleX="128477" custScaleY="130249"/>
      <dgm:spPr/>
    </dgm:pt>
    <dgm:pt modelId="{D81F2B7C-106C-4D2E-B9F3-B490D566D912}" type="pres">
      <dgm:prSet presAssocID="{A7485756-A2AC-4F14-9F81-4ADB9178C4FC}" presName="Name9" presStyleLbl="parChTrans1D2" presStyleIdx="0" presStyleCnt="4"/>
      <dgm:spPr/>
    </dgm:pt>
    <dgm:pt modelId="{B284C142-C6DC-4A34-BFBF-B06ADF66F34A}" type="pres">
      <dgm:prSet presAssocID="{A7485756-A2AC-4F14-9F81-4ADB9178C4FC}" presName="connTx" presStyleLbl="parChTrans1D2" presStyleIdx="0" presStyleCnt="4"/>
      <dgm:spPr/>
    </dgm:pt>
    <dgm:pt modelId="{BC91CBCD-4B74-45CD-94E1-8E19121C2DA6}" type="pres">
      <dgm:prSet presAssocID="{EC34F7E4-CC65-4EBB-880A-EDB355CF0442}" presName="node" presStyleLbl="node1" presStyleIdx="0" presStyleCnt="4">
        <dgm:presLayoutVars>
          <dgm:bulletEnabled val="1"/>
        </dgm:presLayoutVars>
      </dgm:prSet>
      <dgm:spPr/>
    </dgm:pt>
    <dgm:pt modelId="{52E44726-6D45-4C7A-B978-845E40383316}" type="pres">
      <dgm:prSet presAssocID="{F8F15F30-52AE-4A43-8C52-CF73D987AA55}" presName="Name9" presStyleLbl="parChTrans1D2" presStyleIdx="1" presStyleCnt="4"/>
      <dgm:spPr/>
    </dgm:pt>
    <dgm:pt modelId="{577E6DE9-56D9-4B56-99B8-A333848C9A71}" type="pres">
      <dgm:prSet presAssocID="{F8F15F30-52AE-4A43-8C52-CF73D987AA55}" presName="connTx" presStyleLbl="parChTrans1D2" presStyleIdx="1" presStyleCnt="4"/>
      <dgm:spPr/>
    </dgm:pt>
    <dgm:pt modelId="{87C032DF-81F9-47DF-8E31-F702935E1F7A}" type="pres">
      <dgm:prSet presAssocID="{B44F6D0E-3165-44E8-9CDD-ACD8DD20C7C7}" presName="node" presStyleLbl="node1" presStyleIdx="1" presStyleCnt="4">
        <dgm:presLayoutVars>
          <dgm:bulletEnabled val="1"/>
        </dgm:presLayoutVars>
      </dgm:prSet>
      <dgm:spPr/>
    </dgm:pt>
    <dgm:pt modelId="{BCBF0D73-6233-4BF2-B470-05BCEF567392}" type="pres">
      <dgm:prSet presAssocID="{53E7CE53-C3F1-4C17-B289-5EE498F8E56E}" presName="Name9" presStyleLbl="parChTrans1D2" presStyleIdx="2" presStyleCnt="4"/>
      <dgm:spPr/>
    </dgm:pt>
    <dgm:pt modelId="{92AC3EB1-B357-4A64-B121-7CB502F5C6CB}" type="pres">
      <dgm:prSet presAssocID="{53E7CE53-C3F1-4C17-B289-5EE498F8E56E}" presName="connTx" presStyleLbl="parChTrans1D2" presStyleIdx="2" presStyleCnt="4"/>
      <dgm:spPr/>
    </dgm:pt>
    <dgm:pt modelId="{BF893C31-9671-4742-92B5-580188625B8B}" type="pres">
      <dgm:prSet presAssocID="{5B500136-B510-4113-A950-9001468CA4AC}" presName="node" presStyleLbl="node1" presStyleIdx="2" presStyleCnt="4">
        <dgm:presLayoutVars>
          <dgm:bulletEnabled val="1"/>
        </dgm:presLayoutVars>
      </dgm:prSet>
      <dgm:spPr/>
    </dgm:pt>
    <dgm:pt modelId="{20099413-5221-4B86-BDC6-A1B394E5DACE}" type="pres">
      <dgm:prSet presAssocID="{11214F8A-6433-4A23-81AF-3909F08C81EB}" presName="Name9" presStyleLbl="parChTrans1D2" presStyleIdx="3" presStyleCnt="4"/>
      <dgm:spPr/>
    </dgm:pt>
    <dgm:pt modelId="{BC0FF37B-B95D-4CCC-9366-C529ACBEE8C5}" type="pres">
      <dgm:prSet presAssocID="{11214F8A-6433-4A23-81AF-3909F08C81EB}" presName="connTx" presStyleLbl="parChTrans1D2" presStyleIdx="3" presStyleCnt="4"/>
      <dgm:spPr/>
    </dgm:pt>
    <dgm:pt modelId="{610882F1-22D6-4E3C-ABA3-54F719432854}" type="pres">
      <dgm:prSet presAssocID="{2E5D8A09-D44F-4A74-BBDC-D427220B23A3}" presName="node" presStyleLbl="node1" presStyleIdx="3" presStyleCnt="4">
        <dgm:presLayoutVars>
          <dgm:bulletEnabled val="1"/>
        </dgm:presLayoutVars>
      </dgm:prSet>
      <dgm:spPr/>
    </dgm:pt>
  </dgm:ptLst>
  <dgm:cxnLst>
    <dgm:cxn modelId="{72DBD11A-F726-4B8A-AB58-8B25073AB7C4}" type="presOf" srcId="{11214F8A-6433-4A23-81AF-3909F08C81EB}" destId="{20099413-5221-4B86-BDC6-A1B394E5DACE}" srcOrd="0" destOrd="0" presId="urn:microsoft.com/office/officeart/2005/8/layout/radial1"/>
    <dgm:cxn modelId="{70E08B2F-080D-42AB-90A9-922D138492C4}" srcId="{08F3E1A8-F9E2-42A9-BBDB-7C00F9B2DD1C}" destId="{5B500136-B510-4113-A950-9001468CA4AC}" srcOrd="2" destOrd="0" parTransId="{53E7CE53-C3F1-4C17-B289-5EE498F8E56E}" sibTransId="{16662923-5ACA-4AC9-8DEB-199BC2CFBC9D}"/>
    <dgm:cxn modelId="{F3566E38-3590-409E-ACC7-E2DECE4A0C93}" type="presOf" srcId="{2E5D8A09-D44F-4A74-BBDC-D427220B23A3}" destId="{610882F1-22D6-4E3C-ABA3-54F719432854}" srcOrd="0" destOrd="0" presId="urn:microsoft.com/office/officeart/2005/8/layout/radial1"/>
    <dgm:cxn modelId="{C7D3473A-2CAC-4DBF-8D61-1E51DA882F9D}" srcId="{08F3E1A8-F9E2-42A9-BBDB-7C00F9B2DD1C}" destId="{2E5D8A09-D44F-4A74-BBDC-D427220B23A3}" srcOrd="3" destOrd="0" parTransId="{11214F8A-6433-4A23-81AF-3909F08C81EB}" sibTransId="{73F28A5D-F960-4273-9FDD-CDE559628CD2}"/>
    <dgm:cxn modelId="{2516734E-F7C6-4E77-BF3C-D585D9A6853E}" type="presOf" srcId="{11214F8A-6433-4A23-81AF-3909F08C81EB}" destId="{BC0FF37B-B95D-4CCC-9366-C529ACBEE8C5}" srcOrd="1" destOrd="0" presId="urn:microsoft.com/office/officeart/2005/8/layout/radial1"/>
    <dgm:cxn modelId="{2B116C4F-18E0-46FB-B202-A91ED8ABF4B9}" srcId="{08F3E1A8-F9E2-42A9-BBDB-7C00F9B2DD1C}" destId="{B44F6D0E-3165-44E8-9CDD-ACD8DD20C7C7}" srcOrd="1" destOrd="0" parTransId="{F8F15F30-52AE-4A43-8C52-CF73D987AA55}" sibTransId="{90F7A79E-3170-4994-BFE0-EA849D40D93A}"/>
    <dgm:cxn modelId="{CECC776F-7420-431F-9392-A288E68A45F4}" type="presOf" srcId="{B44F6D0E-3165-44E8-9CDD-ACD8DD20C7C7}" destId="{87C032DF-81F9-47DF-8E31-F702935E1F7A}" srcOrd="0" destOrd="0" presId="urn:microsoft.com/office/officeart/2005/8/layout/radial1"/>
    <dgm:cxn modelId="{E80BBE77-EA7E-4C4C-833C-455FA2695BF6}" type="presOf" srcId="{EC34F7E4-CC65-4EBB-880A-EDB355CF0442}" destId="{BC91CBCD-4B74-45CD-94E1-8E19121C2DA6}" srcOrd="0" destOrd="0" presId="urn:microsoft.com/office/officeart/2005/8/layout/radial1"/>
    <dgm:cxn modelId="{76963958-CD37-4CFD-AEB0-68868B771789}" type="presOf" srcId="{53E7CE53-C3F1-4C17-B289-5EE498F8E56E}" destId="{BCBF0D73-6233-4BF2-B470-05BCEF567392}" srcOrd="0" destOrd="0" presId="urn:microsoft.com/office/officeart/2005/8/layout/radial1"/>
    <dgm:cxn modelId="{622BC078-B064-4FDB-B17F-314E3F49BADA}" type="presOf" srcId="{F8F15F30-52AE-4A43-8C52-CF73D987AA55}" destId="{52E44726-6D45-4C7A-B978-845E40383316}" srcOrd="0" destOrd="0" presId="urn:microsoft.com/office/officeart/2005/8/layout/radial1"/>
    <dgm:cxn modelId="{AE5DF378-4C49-427D-9764-8A386493B2D4}" srcId="{7BC07ECE-67F0-4360-A4B8-C797B863836D}" destId="{08F3E1A8-F9E2-42A9-BBDB-7C00F9B2DD1C}" srcOrd="0" destOrd="0" parTransId="{403ED995-4764-44A8-96B6-BFBB0396DF7E}" sibTransId="{3DE46F78-4BC7-416D-AE2B-42AD630F4A50}"/>
    <dgm:cxn modelId="{EBE5737A-2CDD-455A-87F3-7B3B8F064E64}" srcId="{08F3E1A8-F9E2-42A9-BBDB-7C00F9B2DD1C}" destId="{EC34F7E4-CC65-4EBB-880A-EDB355CF0442}" srcOrd="0" destOrd="0" parTransId="{A7485756-A2AC-4F14-9F81-4ADB9178C4FC}" sibTransId="{5FBC6B54-CE29-4364-82B8-5D26573808F1}"/>
    <dgm:cxn modelId="{BCBF028E-6F6B-46C3-BEB3-DFFCC8888868}" type="presOf" srcId="{5B500136-B510-4113-A950-9001468CA4AC}" destId="{BF893C31-9671-4742-92B5-580188625B8B}" srcOrd="0" destOrd="0" presId="urn:microsoft.com/office/officeart/2005/8/layout/radial1"/>
    <dgm:cxn modelId="{7CBCC1A1-271F-491B-AB4B-86221E1654CC}" type="presOf" srcId="{A7485756-A2AC-4F14-9F81-4ADB9178C4FC}" destId="{B284C142-C6DC-4A34-BFBF-B06ADF66F34A}" srcOrd="1" destOrd="0" presId="urn:microsoft.com/office/officeart/2005/8/layout/radial1"/>
    <dgm:cxn modelId="{9DA1A9BC-B329-477C-A3EB-D1880D951945}" type="presOf" srcId="{53E7CE53-C3F1-4C17-B289-5EE498F8E56E}" destId="{92AC3EB1-B357-4A64-B121-7CB502F5C6CB}" srcOrd="1" destOrd="0" presId="urn:microsoft.com/office/officeart/2005/8/layout/radial1"/>
    <dgm:cxn modelId="{BCF0B5CA-E086-4380-AD70-F0CBA229873E}" type="presOf" srcId="{7BC07ECE-67F0-4360-A4B8-C797B863836D}" destId="{43C6238B-3C64-4D1E-9C14-70B9F6BD5454}" srcOrd="0" destOrd="0" presId="urn:microsoft.com/office/officeart/2005/8/layout/radial1"/>
    <dgm:cxn modelId="{092822CF-43EF-43C6-978C-ECA267B4DB60}" type="presOf" srcId="{A7485756-A2AC-4F14-9F81-4ADB9178C4FC}" destId="{D81F2B7C-106C-4D2E-B9F3-B490D566D912}" srcOrd="0" destOrd="0" presId="urn:microsoft.com/office/officeart/2005/8/layout/radial1"/>
    <dgm:cxn modelId="{43F208D9-33C7-4D39-AAB5-983D8589F9C6}" type="presOf" srcId="{F8F15F30-52AE-4A43-8C52-CF73D987AA55}" destId="{577E6DE9-56D9-4B56-99B8-A333848C9A71}" srcOrd="1" destOrd="0" presId="urn:microsoft.com/office/officeart/2005/8/layout/radial1"/>
    <dgm:cxn modelId="{94CBB5F4-332B-4275-9636-5BC20C70F4C4}" type="presOf" srcId="{08F3E1A8-F9E2-42A9-BBDB-7C00F9B2DD1C}" destId="{EF90AAEB-A434-41CE-ACB7-517A9DC478BD}" srcOrd="0" destOrd="0" presId="urn:microsoft.com/office/officeart/2005/8/layout/radial1"/>
    <dgm:cxn modelId="{73557B47-D378-42DD-8658-9BB405D3E6EF}" type="presParOf" srcId="{43C6238B-3C64-4D1E-9C14-70B9F6BD5454}" destId="{EF90AAEB-A434-41CE-ACB7-517A9DC478BD}" srcOrd="0" destOrd="0" presId="urn:microsoft.com/office/officeart/2005/8/layout/radial1"/>
    <dgm:cxn modelId="{04D46B8A-02AB-44E2-9EB2-F1B84F2F5BA3}" type="presParOf" srcId="{43C6238B-3C64-4D1E-9C14-70B9F6BD5454}" destId="{D81F2B7C-106C-4D2E-B9F3-B490D566D912}" srcOrd="1" destOrd="0" presId="urn:microsoft.com/office/officeart/2005/8/layout/radial1"/>
    <dgm:cxn modelId="{2F018E3F-8284-47FB-8EFA-1476E1683CA8}" type="presParOf" srcId="{D81F2B7C-106C-4D2E-B9F3-B490D566D912}" destId="{B284C142-C6DC-4A34-BFBF-B06ADF66F34A}" srcOrd="0" destOrd="0" presId="urn:microsoft.com/office/officeart/2005/8/layout/radial1"/>
    <dgm:cxn modelId="{66C16407-012D-43C0-A8B0-995F59EFB221}" type="presParOf" srcId="{43C6238B-3C64-4D1E-9C14-70B9F6BD5454}" destId="{BC91CBCD-4B74-45CD-94E1-8E19121C2DA6}" srcOrd="2" destOrd="0" presId="urn:microsoft.com/office/officeart/2005/8/layout/radial1"/>
    <dgm:cxn modelId="{6168427D-E50C-41F7-81A7-C840D99F2682}" type="presParOf" srcId="{43C6238B-3C64-4D1E-9C14-70B9F6BD5454}" destId="{52E44726-6D45-4C7A-B978-845E40383316}" srcOrd="3" destOrd="0" presId="urn:microsoft.com/office/officeart/2005/8/layout/radial1"/>
    <dgm:cxn modelId="{B094C650-0213-4B9C-BED1-DAD8C24601B0}" type="presParOf" srcId="{52E44726-6D45-4C7A-B978-845E40383316}" destId="{577E6DE9-56D9-4B56-99B8-A333848C9A71}" srcOrd="0" destOrd="0" presId="urn:microsoft.com/office/officeart/2005/8/layout/radial1"/>
    <dgm:cxn modelId="{049B7E9B-18FC-416E-8B61-6A8DC374BF06}" type="presParOf" srcId="{43C6238B-3C64-4D1E-9C14-70B9F6BD5454}" destId="{87C032DF-81F9-47DF-8E31-F702935E1F7A}" srcOrd="4" destOrd="0" presId="urn:microsoft.com/office/officeart/2005/8/layout/radial1"/>
    <dgm:cxn modelId="{4038D1AB-5690-45AA-884D-2531C2D535E9}" type="presParOf" srcId="{43C6238B-3C64-4D1E-9C14-70B9F6BD5454}" destId="{BCBF0D73-6233-4BF2-B470-05BCEF567392}" srcOrd="5" destOrd="0" presId="urn:microsoft.com/office/officeart/2005/8/layout/radial1"/>
    <dgm:cxn modelId="{DE16230F-5258-4104-8225-862F17B299E6}" type="presParOf" srcId="{BCBF0D73-6233-4BF2-B470-05BCEF567392}" destId="{92AC3EB1-B357-4A64-B121-7CB502F5C6CB}" srcOrd="0" destOrd="0" presId="urn:microsoft.com/office/officeart/2005/8/layout/radial1"/>
    <dgm:cxn modelId="{8563AEE4-381C-4B06-B887-D5ACD7DE1A17}" type="presParOf" srcId="{43C6238B-3C64-4D1E-9C14-70B9F6BD5454}" destId="{BF893C31-9671-4742-92B5-580188625B8B}" srcOrd="6" destOrd="0" presId="urn:microsoft.com/office/officeart/2005/8/layout/radial1"/>
    <dgm:cxn modelId="{EFC47229-D17E-4946-A3A7-659FF964C5A5}" type="presParOf" srcId="{43C6238B-3C64-4D1E-9C14-70B9F6BD5454}" destId="{20099413-5221-4B86-BDC6-A1B394E5DACE}" srcOrd="7" destOrd="0" presId="urn:microsoft.com/office/officeart/2005/8/layout/radial1"/>
    <dgm:cxn modelId="{F90437E1-03F0-480E-9061-07FA35867C62}" type="presParOf" srcId="{20099413-5221-4B86-BDC6-A1B394E5DACE}" destId="{BC0FF37B-B95D-4CCC-9366-C529ACBEE8C5}" srcOrd="0" destOrd="0" presId="urn:microsoft.com/office/officeart/2005/8/layout/radial1"/>
    <dgm:cxn modelId="{72FDECDF-8A24-45F7-9E43-C8E76793544D}" type="presParOf" srcId="{43C6238B-3C64-4D1E-9C14-70B9F6BD5454}" destId="{610882F1-22D6-4E3C-ABA3-54F719432854}" srcOrd="8"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32F443-CF39-473B-B9D2-4CFDDAAA8032}" type="doc">
      <dgm:prSet loTypeId="urn:microsoft.com/office/officeart/2005/8/layout/StepDownProcess" loCatId="process" qsTypeId="urn:microsoft.com/office/officeart/2005/8/quickstyle/simple3" qsCatId="simple" csTypeId="urn:microsoft.com/office/officeart/2005/8/colors/accent0_1" csCatId="mainScheme" phldr="1"/>
      <dgm:spPr/>
      <dgm:t>
        <a:bodyPr/>
        <a:lstStyle/>
        <a:p>
          <a:endParaRPr lang="en-GB"/>
        </a:p>
      </dgm:t>
    </dgm:pt>
    <dgm:pt modelId="{5DD43490-7FB5-4881-B5A5-1AB3F3979C99}">
      <dgm:prSet phldrT="[Text]" custT="1"/>
      <dgm:spPr/>
      <dgm:t>
        <a:bodyPr/>
        <a:lstStyle/>
        <a:p>
          <a:pPr algn="l"/>
          <a:r>
            <a:rPr lang="en-GB" sz="700" dirty="0"/>
            <a:t>Pre-Experiment survey </a:t>
          </a:r>
        </a:p>
      </dgm:t>
    </dgm:pt>
    <dgm:pt modelId="{53FFFDAC-FD8D-4F82-B50A-E36D875BFCF8}" type="parTrans" cxnId="{7366AE0E-8635-4B53-81AB-DC6CED6B3C89}">
      <dgm:prSet/>
      <dgm:spPr/>
      <dgm:t>
        <a:bodyPr/>
        <a:lstStyle/>
        <a:p>
          <a:pPr algn="l"/>
          <a:endParaRPr lang="en-GB" sz="700"/>
        </a:p>
      </dgm:t>
    </dgm:pt>
    <dgm:pt modelId="{3507A2BC-72D9-4DB2-B650-FF96CBD9C640}" type="sibTrans" cxnId="{7366AE0E-8635-4B53-81AB-DC6CED6B3C89}">
      <dgm:prSet/>
      <dgm:spPr/>
      <dgm:t>
        <a:bodyPr/>
        <a:lstStyle/>
        <a:p>
          <a:pPr algn="l"/>
          <a:endParaRPr lang="en-GB" sz="700"/>
        </a:p>
      </dgm:t>
    </dgm:pt>
    <dgm:pt modelId="{BABD436E-19BD-4BA1-86DC-0EA3199B2D7E}">
      <dgm:prSet phldrT="[Text]" custT="1"/>
      <dgm:spPr/>
      <dgm:t>
        <a:bodyPr/>
        <a:lstStyle/>
        <a:p>
          <a:pPr algn="l"/>
          <a:r>
            <a:rPr lang="en-GB" sz="700" dirty="0"/>
            <a:t>Survey Experiments </a:t>
          </a:r>
        </a:p>
      </dgm:t>
    </dgm:pt>
    <dgm:pt modelId="{C199C1B4-36C6-4CE0-AE7A-D73CEE67456B}" type="parTrans" cxnId="{3B68D3C7-A238-4276-9294-549BEC3AD9BF}">
      <dgm:prSet/>
      <dgm:spPr/>
      <dgm:t>
        <a:bodyPr/>
        <a:lstStyle/>
        <a:p>
          <a:pPr algn="l"/>
          <a:endParaRPr lang="en-GB" sz="700"/>
        </a:p>
      </dgm:t>
    </dgm:pt>
    <dgm:pt modelId="{58401259-AC8D-4BB8-AEE5-C968142ABC6D}" type="sibTrans" cxnId="{3B68D3C7-A238-4276-9294-549BEC3AD9BF}">
      <dgm:prSet/>
      <dgm:spPr/>
      <dgm:t>
        <a:bodyPr/>
        <a:lstStyle/>
        <a:p>
          <a:pPr algn="l"/>
          <a:endParaRPr lang="en-GB" sz="700"/>
        </a:p>
      </dgm:t>
    </dgm:pt>
    <dgm:pt modelId="{D190624A-839D-4BAC-BE30-4E6DB5ADA7EE}">
      <dgm:prSet custT="1"/>
      <dgm:spPr/>
      <dgm:t>
        <a:bodyPr/>
        <a:lstStyle/>
        <a:p>
          <a:pPr algn="l"/>
          <a:r>
            <a:rPr lang="en-GB" sz="700" dirty="0"/>
            <a:t>Semi-structured Interviews</a:t>
          </a:r>
        </a:p>
      </dgm:t>
    </dgm:pt>
    <dgm:pt modelId="{534EE8F0-4B10-4CF4-940A-B3640754867B}" type="parTrans" cxnId="{5247EBF8-4AE6-493E-8858-42FB3711D65C}">
      <dgm:prSet/>
      <dgm:spPr/>
      <dgm:t>
        <a:bodyPr/>
        <a:lstStyle/>
        <a:p>
          <a:pPr algn="l"/>
          <a:endParaRPr lang="en-GB" sz="700"/>
        </a:p>
      </dgm:t>
    </dgm:pt>
    <dgm:pt modelId="{6FDEFEED-0C75-465D-9A11-3A33EF9AA7AA}" type="sibTrans" cxnId="{5247EBF8-4AE6-493E-8858-42FB3711D65C}">
      <dgm:prSet/>
      <dgm:spPr/>
      <dgm:t>
        <a:bodyPr/>
        <a:lstStyle/>
        <a:p>
          <a:pPr algn="l"/>
          <a:endParaRPr lang="en-GB" sz="700"/>
        </a:p>
      </dgm:t>
    </dgm:pt>
    <dgm:pt modelId="{102D4C09-4250-4A01-A2BC-7A2F70295FAA}">
      <dgm:prSet phldrT="[Text]" custT="1"/>
      <dgm:spPr/>
      <dgm:t>
        <a:bodyPr/>
        <a:lstStyle/>
        <a:p>
          <a:pPr algn="l"/>
          <a:r>
            <a:rPr lang="en-GB" sz="700" dirty="0"/>
            <a:t>Pilot Survey Experiment</a:t>
          </a:r>
        </a:p>
      </dgm:t>
    </dgm:pt>
    <dgm:pt modelId="{D112689A-EE92-4EFA-A539-1446752A2647}" type="sibTrans" cxnId="{AA97A7B2-F4D3-49B2-8D8C-68476D1BED82}">
      <dgm:prSet/>
      <dgm:spPr/>
      <dgm:t>
        <a:bodyPr/>
        <a:lstStyle/>
        <a:p>
          <a:pPr algn="l"/>
          <a:endParaRPr lang="en-GB" sz="700"/>
        </a:p>
      </dgm:t>
    </dgm:pt>
    <dgm:pt modelId="{A5AAA2AF-4C2A-4FBE-8E2F-ECA24BAE8877}" type="parTrans" cxnId="{AA97A7B2-F4D3-49B2-8D8C-68476D1BED82}">
      <dgm:prSet/>
      <dgm:spPr/>
      <dgm:t>
        <a:bodyPr/>
        <a:lstStyle/>
        <a:p>
          <a:pPr algn="l"/>
          <a:endParaRPr lang="en-GB" sz="700"/>
        </a:p>
      </dgm:t>
    </dgm:pt>
    <dgm:pt modelId="{3310730D-ADD2-48D2-A5BE-38AFFDED96C9}">
      <dgm:prSet custT="1"/>
      <dgm:spPr/>
      <dgm:t>
        <a:bodyPr/>
        <a:lstStyle/>
        <a:p>
          <a:pPr algn="l"/>
          <a:endParaRPr lang="en-GB" sz="700"/>
        </a:p>
      </dgm:t>
    </dgm:pt>
    <dgm:pt modelId="{D5BD3B60-0FDE-4F33-AF83-B196BB54D746}" type="parTrans" cxnId="{FD5E9E25-672A-4F24-9E98-3564940E828F}">
      <dgm:prSet/>
      <dgm:spPr/>
      <dgm:t>
        <a:bodyPr/>
        <a:lstStyle/>
        <a:p>
          <a:pPr algn="l"/>
          <a:endParaRPr lang="en-GB" sz="700"/>
        </a:p>
      </dgm:t>
    </dgm:pt>
    <dgm:pt modelId="{C9AAB5A2-E792-4A0D-B58D-2184BBCDE752}" type="sibTrans" cxnId="{FD5E9E25-672A-4F24-9E98-3564940E828F}">
      <dgm:prSet/>
      <dgm:spPr/>
      <dgm:t>
        <a:bodyPr/>
        <a:lstStyle/>
        <a:p>
          <a:pPr algn="l"/>
          <a:endParaRPr lang="en-GB" sz="700"/>
        </a:p>
      </dgm:t>
    </dgm:pt>
    <dgm:pt modelId="{15950DFF-5A14-446B-B23A-8960979B5F24}">
      <dgm:prSet custT="1"/>
      <dgm:spPr/>
      <dgm:t>
        <a:bodyPr/>
        <a:lstStyle/>
        <a:p>
          <a:pPr algn="l"/>
          <a:r>
            <a:rPr lang="en-GB" sz="700" dirty="0"/>
            <a:t>Focus Group</a:t>
          </a:r>
        </a:p>
      </dgm:t>
    </dgm:pt>
    <dgm:pt modelId="{805C9D89-82EF-48F1-B17D-3C55CEB5222E}" type="parTrans" cxnId="{665AA145-D8F8-4940-BC8E-18BE16E99B2C}">
      <dgm:prSet/>
      <dgm:spPr/>
      <dgm:t>
        <a:bodyPr/>
        <a:lstStyle/>
        <a:p>
          <a:pPr algn="l"/>
          <a:endParaRPr lang="en-GB" sz="700"/>
        </a:p>
      </dgm:t>
    </dgm:pt>
    <dgm:pt modelId="{194A866A-87E7-4104-9737-F390AC977DA7}" type="sibTrans" cxnId="{665AA145-D8F8-4940-BC8E-18BE16E99B2C}">
      <dgm:prSet/>
      <dgm:spPr/>
      <dgm:t>
        <a:bodyPr/>
        <a:lstStyle/>
        <a:p>
          <a:pPr algn="l"/>
          <a:endParaRPr lang="en-GB" sz="700"/>
        </a:p>
      </dgm:t>
    </dgm:pt>
    <dgm:pt modelId="{0BA1A8EB-7A31-4A4B-A042-16F2F5BB28AD}">
      <dgm:prSet custT="1"/>
      <dgm:spPr/>
      <dgm:t>
        <a:bodyPr/>
        <a:lstStyle/>
        <a:p>
          <a:pPr algn="l"/>
          <a:r>
            <a:rPr lang="en-GB" sz="700"/>
            <a:t>Pilot Interview</a:t>
          </a:r>
        </a:p>
      </dgm:t>
    </dgm:pt>
    <dgm:pt modelId="{6F6D7F19-C180-4A7B-9332-ADC2F087D8EB}" type="parTrans" cxnId="{195FBBCF-C588-48F1-929C-8ADA9CBC89F1}">
      <dgm:prSet/>
      <dgm:spPr/>
      <dgm:t>
        <a:bodyPr/>
        <a:lstStyle/>
        <a:p>
          <a:pPr algn="l"/>
          <a:endParaRPr lang="en-GB" sz="700"/>
        </a:p>
      </dgm:t>
    </dgm:pt>
    <dgm:pt modelId="{72B44EEF-F182-40F1-ABFC-E3C4F6BCFED2}" type="sibTrans" cxnId="{195FBBCF-C588-48F1-929C-8ADA9CBC89F1}">
      <dgm:prSet/>
      <dgm:spPr/>
      <dgm:t>
        <a:bodyPr/>
        <a:lstStyle/>
        <a:p>
          <a:pPr algn="l"/>
          <a:endParaRPr lang="en-GB" sz="700"/>
        </a:p>
      </dgm:t>
    </dgm:pt>
    <dgm:pt modelId="{F563536B-026C-44AA-8AD8-E9237A7CA50F}">
      <dgm:prSet custT="1"/>
      <dgm:spPr/>
      <dgm:t>
        <a:bodyPr/>
        <a:lstStyle/>
        <a:p>
          <a:pPr algn="l"/>
          <a:r>
            <a:rPr lang="en-GB" sz="700" dirty="0"/>
            <a:t>Ethical Approval</a:t>
          </a:r>
        </a:p>
      </dgm:t>
    </dgm:pt>
    <dgm:pt modelId="{DB445A08-C77E-4B24-A988-3F5E052F9674}" type="parTrans" cxnId="{2C294A50-4E3A-45D3-A726-FD57C6E64939}">
      <dgm:prSet/>
      <dgm:spPr/>
      <dgm:t>
        <a:bodyPr/>
        <a:lstStyle/>
        <a:p>
          <a:pPr algn="l"/>
          <a:endParaRPr lang="en-GB" sz="700"/>
        </a:p>
      </dgm:t>
    </dgm:pt>
    <dgm:pt modelId="{A7F8366F-3285-418A-8CF5-4FC61CC41562}" type="sibTrans" cxnId="{2C294A50-4E3A-45D3-A726-FD57C6E64939}">
      <dgm:prSet/>
      <dgm:spPr/>
      <dgm:t>
        <a:bodyPr/>
        <a:lstStyle/>
        <a:p>
          <a:pPr algn="l"/>
          <a:endParaRPr lang="en-GB" sz="700"/>
        </a:p>
      </dgm:t>
    </dgm:pt>
    <dgm:pt modelId="{FC7F9112-FC25-47C7-8E09-3F98F060C825}">
      <dgm:prSet custT="1"/>
      <dgm:spPr/>
      <dgm:t>
        <a:bodyPr/>
        <a:lstStyle/>
        <a:p>
          <a:pPr algn="l"/>
          <a:r>
            <a:rPr lang="en-GB" sz="700"/>
            <a:t>Ethical Approval </a:t>
          </a:r>
          <a:endParaRPr lang="en-GB" sz="700" dirty="0"/>
        </a:p>
      </dgm:t>
    </dgm:pt>
    <dgm:pt modelId="{A08F4CBD-A118-4689-9D7A-7782B3036230}" type="parTrans" cxnId="{1DAF622A-2BCD-468D-A09E-2D123DC6F929}">
      <dgm:prSet/>
      <dgm:spPr/>
      <dgm:t>
        <a:bodyPr/>
        <a:lstStyle/>
        <a:p>
          <a:pPr algn="l"/>
          <a:endParaRPr lang="en-GB" sz="700"/>
        </a:p>
      </dgm:t>
    </dgm:pt>
    <dgm:pt modelId="{C13BB4B4-EF8F-4FF4-926D-AF8A619E949A}" type="sibTrans" cxnId="{1DAF622A-2BCD-468D-A09E-2D123DC6F929}">
      <dgm:prSet/>
      <dgm:spPr/>
      <dgm:t>
        <a:bodyPr/>
        <a:lstStyle/>
        <a:p>
          <a:pPr algn="l"/>
          <a:endParaRPr lang="en-GB" sz="700"/>
        </a:p>
      </dgm:t>
    </dgm:pt>
    <dgm:pt modelId="{E1F02DB9-C794-4090-A01F-E2D667A03909}" type="pres">
      <dgm:prSet presAssocID="{9332F443-CF39-473B-B9D2-4CFDDAAA8032}" presName="rootnode" presStyleCnt="0">
        <dgm:presLayoutVars>
          <dgm:chMax/>
          <dgm:chPref/>
          <dgm:dir/>
          <dgm:animLvl val="lvl"/>
        </dgm:presLayoutVars>
      </dgm:prSet>
      <dgm:spPr/>
    </dgm:pt>
    <dgm:pt modelId="{13BE2332-1EEC-41DD-94C1-FDDAF7C74A29}" type="pres">
      <dgm:prSet presAssocID="{FC7F9112-FC25-47C7-8E09-3F98F060C825}" presName="composite" presStyleCnt="0"/>
      <dgm:spPr/>
    </dgm:pt>
    <dgm:pt modelId="{5A5C8C67-25AD-4928-9000-A3CCED0A9200}" type="pres">
      <dgm:prSet presAssocID="{FC7F9112-FC25-47C7-8E09-3F98F060C825}" presName="bentUpArrow1" presStyleLbl="alignImgPlace1" presStyleIdx="0" presStyleCnt="7"/>
      <dgm:spPr/>
    </dgm:pt>
    <dgm:pt modelId="{7C2C759E-6107-4A9C-BD6C-9C49238774CE}" type="pres">
      <dgm:prSet presAssocID="{FC7F9112-FC25-47C7-8E09-3F98F060C825}" presName="ParentText" presStyleLbl="node1" presStyleIdx="0" presStyleCnt="8">
        <dgm:presLayoutVars>
          <dgm:chMax val="1"/>
          <dgm:chPref val="1"/>
          <dgm:bulletEnabled val="1"/>
        </dgm:presLayoutVars>
      </dgm:prSet>
      <dgm:spPr/>
    </dgm:pt>
    <dgm:pt modelId="{ACE856C2-FF98-4220-A219-D4E2A6B8D30E}" type="pres">
      <dgm:prSet presAssocID="{FC7F9112-FC25-47C7-8E09-3F98F060C825}" presName="ChildText" presStyleLbl="revTx" presStyleIdx="0" presStyleCnt="7">
        <dgm:presLayoutVars>
          <dgm:chMax val="0"/>
          <dgm:chPref val="0"/>
          <dgm:bulletEnabled val="1"/>
        </dgm:presLayoutVars>
      </dgm:prSet>
      <dgm:spPr/>
    </dgm:pt>
    <dgm:pt modelId="{CBF8898F-19CE-4D54-AB3B-1EC7182BCF62}" type="pres">
      <dgm:prSet presAssocID="{C13BB4B4-EF8F-4FF4-926D-AF8A619E949A}" presName="sibTrans" presStyleCnt="0"/>
      <dgm:spPr/>
    </dgm:pt>
    <dgm:pt modelId="{01025830-CAC4-4CC5-BA6B-C6A0589CA671}" type="pres">
      <dgm:prSet presAssocID="{5DD43490-7FB5-4881-B5A5-1AB3F3979C99}" presName="composite" presStyleCnt="0"/>
      <dgm:spPr/>
    </dgm:pt>
    <dgm:pt modelId="{8EEC832B-648C-495A-8D7B-307CA8D5BD7B}" type="pres">
      <dgm:prSet presAssocID="{5DD43490-7FB5-4881-B5A5-1AB3F3979C99}" presName="bentUpArrow1" presStyleLbl="alignImgPlace1" presStyleIdx="1" presStyleCnt="7"/>
      <dgm:spPr/>
    </dgm:pt>
    <dgm:pt modelId="{739E62C9-CEBC-446B-B9AF-F54020409F33}" type="pres">
      <dgm:prSet presAssocID="{5DD43490-7FB5-4881-B5A5-1AB3F3979C99}" presName="ParentText" presStyleLbl="node1" presStyleIdx="1" presStyleCnt="8" custLinFactNeighborX="-942" custLinFactNeighborY="10445">
        <dgm:presLayoutVars>
          <dgm:chMax val="1"/>
          <dgm:chPref val="1"/>
          <dgm:bulletEnabled val="1"/>
        </dgm:presLayoutVars>
      </dgm:prSet>
      <dgm:spPr/>
    </dgm:pt>
    <dgm:pt modelId="{ACFC2281-7CED-4E50-A759-784D681DD17D}" type="pres">
      <dgm:prSet presAssocID="{5DD43490-7FB5-4881-B5A5-1AB3F3979C99}" presName="ChildText" presStyleLbl="revTx" presStyleIdx="1" presStyleCnt="7">
        <dgm:presLayoutVars>
          <dgm:chMax val="0"/>
          <dgm:chPref val="0"/>
          <dgm:bulletEnabled val="1"/>
        </dgm:presLayoutVars>
      </dgm:prSet>
      <dgm:spPr/>
    </dgm:pt>
    <dgm:pt modelId="{AB4B755A-8A20-4AAE-84E6-00BDD858C7A5}" type="pres">
      <dgm:prSet presAssocID="{3507A2BC-72D9-4DB2-B650-FF96CBD9C640}" presName="sibTrans" presStyleCnt="0"/>
      <dgm:spPr/>
    </dgm:pt>
    <dgm:pt modelId="{CE16646D-BB6D-4043-A350-9C6A051DF35B}" type="pres">
      <dgm:prSet presAssocID="{F563536B-026C-44AA-8AD8-E9237A7CA50F}" presName="composite" presStyleCnt="0"/>
      <dgm:spPr/>
    </dgm:pt>
    <dgm:pt modelId="{09EE3C65-871D-422E-8A37-78A3A4845CB2}" type="pres">
      <dgm:prSet presAssocID="{F563536B-026C-44AA-8AD8-E9237A7CA50F}" presName="bentUpArrow1" presStyleLbl="alignImgPlace1" presStyleIdx="2" presStyleCnt="7"/>
      <dgm:spPr/>
    </dgm:pt>
    <dgm:pt modelId="{5820D364-A0D8-42CC-B6EF-F6E5D00FC2BF}" type="pres">
      <dgm:prSet presAssocID="{F563536B-026C-44AA-8AD8-E9237A7CA50F}" presName="ParentText" presStyleLbl="node1" presStyleIdx="2" presStyleCnt="8">
        <dgm:presLayoutVars>
          <dgm:chMax val="1"/>
          <dgm:chPref val="1"/>
          <dgm:bulletEnabled val="1"/>
        </dgm:presLayoutVars>
      </dgm:prSet>
      <dgm:spPr/>
    </dgm:pt>
    <dgm:pt modelId="{18B74268-1656-4063-A846-25BE1063E6EC}" type="pres">
      <dgm:prSet presAssocID="{F563536B-026C-44AA-8AD8-E9237A7CA50F}" presName="ChildText" presStyleLbl="revTx" presStyleIdx="2" presStyleCnt="7">
        <dgm:presLayoutVars>
          <dgm:chMax val="0"/>
          <dgm:chPref val="0"/>
          <dgm:bulletEnabled val="1"/>
        </dgm:presLayoutVars>
      </dgm:prSet>
      <dgm:spPr/>
    </dgm:pt>
    <dgm:pt modelId="{64EC7BE8-17EE-4490-B544-547082075F21}" type="pres">
      <dgm:prSet presAssocID="{A7F8366F-3285-418A-8CF5-4FC61CC41562}" presName="sibTrans" presStyleCnt="0"/>
      <dgm:spPr/>
    </dgm:pt>
    <dgm:pt modelId="{8163D7E5-C6D0-4E43-ADEC-305B2A0069BA}" type="pres">
      <dgm:prSet presAssocID="{102D4C09-4250-4A01-A2BC-7A2F70295FAA}" presName="composite" presStyleCnt="0"/>
      <dgm:spPr/>
    </dgm:pt>
    <dgm:pt modelId="{6FA875B6-7936-45E9-8B1C-C5DBD2534B68}" type="pres">
      <dgm:prSet presAssocID="{102D4C09-4250-4A01-A2BC-7A2F70295FAA}" presName="bentUpArrow1" presStyleLbl="alignImgPlace1" presStyleIdx="3" presStyleCnt="7"/>
      <dgm:spPr/>
    </dgm:pt>
    <dgm:pt modelId="{EDE95FE4-CA96-4276-84FD-F9F65749523A}" type="pres">
      <dgm:prSet presAssocID="{102D4C09-4250-4A01-A2BC-7A2F70295FAA}" presName="ParentText" presStyleLbl="node1" presStyleIdx="3" presStyleCnt="8" custLinFactNeighborY="6854">
        <dgm:presLayoutVars>
          <dgm:chMax val="1"/>
          <dgm:chPref val="1"/>
          <dgm:bulletEnabled val="1"/>
        </dgm:presLayoutVars>
      </dgm:prSet>
      <dgm:spPr/>
    </dgm:pt>
    <dgm:pt modelId="{573FF715-0B93-4AD3-AE00-6EB76254175D}" type="pres">
      <dgm:prSet presAssocID="{102D4C09-4250-4A01-A2BC-7A2F70295FAA}" presName="ChildText" presStyleLbl="revTx" presStyleIdx="3" presStyleCnt="7" custLinFactNeighborX="0" custLinFactNeighborY="-10262">
        <dgm:presLayoutVars>
          <dgm:chMax val="0"/>
          <dgm:chPref val="0"/>
          <dgm:bulletEnabled val="1"/>
        </dgm:presLayoutVars>
      </dgm:prSet>
      <dgm:spPr/>
    </dgm:pt>
    <dgm:pt modelId="{25F853E8-D328-4550-8F18-6AC1DE394A51}" type="pres">
      <dgm:prSet presAssocID="{D112689A-EE92-4EFA-A539-1446752A2647}" presName="sibTrans" presStyleCnt="0"/>
      <dgm:spPr/>
    </dgm:pt>
    <dgm:pt modelId="{7859DAA6-8C08-42F0-A388-15FF6FA53786}" type="pres">
      <dgm:prSet presAssocID="{15950DFF-5A14-446B-B23A-8960979B5F24}" presName="composite" presStyleCnt="0"/>
      <dgm:spPr/>
    </dgm:pt>
    <dgm:pt modelId="{AE021F62-8727-4704-85B0-EF92322DCA79}" type="pres">
      <dgm:prSet presAssocID="{15950DFF-5A14-446B-B23A-8960979B5F24}" presName="bentUpArrow1" presStyleLbl="alignImgPlace1" presStyleIdx="4" presStyleCnt="7"/>
      <dgm:spPr/>
    </dgm:pt>
    <dgm:pt modelId="{3DA74A19-8A10-4B30-9FFC-791433EA116B}" type="pres">
      <dgm:prSet presAssocID="{15950DFF-5A14-446B-B23A-8960979B5F24}" presName="ParentText" presStyleLbl="node1" presStyleIdx="4" presStyleCnt="8">
        <dgm:presLayoutVars>
          <dgm:chMax val="1"/>
          <dgm:chPref val="1"/>
          <dgm:bulletEnabled val="1"/>
        </dgm:presLayoutVars>
      </dgm:prSet>
      <dgm:spPr/>
    </dgm:pt>
    <dgm:pt modelId="{93163A25-E445-4888-BB55-9C48A6E3B3BF}" type="pres">
      <dgm:prSet presAssocID="{15950DFF-5A14-446B-B23A-8960979B5F24}" presName="ChildText" presStyleLbl="revTx" presStyleIdx="4" presStyleCnt="7">
        <dgm:presLayoutVars>
          <dgm:chMax val="0"/>
          <dgm:chPref val="0"/>
          <dgm:bulletEnabled val="1"/>
        </dgm:presLayoutVars>
      </dgm:prSet>
      <dgm:spPr/>
    </dgm:pt>
    <dgm:pt modelId="{5600E930-703F-498E-AD5A-62664F396C80}" type="pres">
      <dgm:prSet presAssocID="{194A866A-87E7-4104-9737-F390AC977DA7}" presName="sibTrans" presStyleCnt="0"/>
      <dgm:spPr/>
    </dgm:pt>
    <dgm:pt modelId="{A2A649E6-3BA3-4AC6-829E-BC30F74DE396}" type="pres">
      <dgm:prSet presAssocID="{BABD436E-19BD-4BA1-86DC-0EA3199B2D7E}" presName="composite" presStyleCnt="0"/>
      <dgm:spPr/>
    </dgm:pt>
    <dgm:pt modelId="{FF9DBF73-2AEA-485A-AD6B-E6C05A77B2D1}" type="pres">
      <dgm:prSet presAssocID="{BABD436E-19BD-4BA1-86DC-0EA3199B2D7E}" presName="bentUpArrow1" presStyleLbl="alignImgPlace1" presStyleIdx="5" presStyleCnt="7"/>
      <dgm:spPr/>
    </dgm:pt>
    <dgm:pt modelId="{8A8ED57B-2A1C-4DDA-BB79-ECFA46745A7C}" type="pres">
      <dgm:prSet presAssocID="{BABD436E-19BD-4BA1-86DC-0EA3199B2D7E}" presName="ParentText" presStyleLbl="node1" presStyleIdx="5" presStyleCnt="8">
        <dgm:presLayoutVars>
          <dgm:chMax val="1"/>
          <dgm:chPref val="1"/>
          <dgm:bulletEnabled val="1"/>
        </dgm:presLayoutVars>
      </dgm:prSet>
      <dgm:spPr/>
    </dgm:pt>
    <dgm:pt modelId="{B305B9A1-9CA4-4F82-B639-ECD3ABB30EA1}" type="pres">
      <dgm:prSet presAssocID="{BABD436E-19BD-4BA1-86DC-0EA3199B2D7E}" presName="ChildText" presStyleLbl="revTx" presStyleIdx="5" presStyleCnt="7" custLinFactX="37369" custLinFactY="54162" custLinFactNeighborX="100000" custLinFactNeighborY="100000">
        <dgm:presLayoutVars>
          <dgm:chMax val="0"/>
          <dgm:chPref val="0"/>
          <dgm:bulletEnabled val="1"/>
        </dgm:presLayoutVars>
      </dgm:prSet>
      <dgm:spPr/>
    </dgm:pt>
    <dgm:pt modelId="{A565E208-64CC-48A8-B329-6586D2BFCF5C}" type="pres">
      <dgm:prSet presAssocID="{58401259-AC8D-4BB8-AEE5-C968142ABC6D}" presName="sibTrans" presStyleCnt="0"/>
      <dgm:spPr/>
    </dgm:pt>
    <dgm:pt modelId="{B667B881-60D7-4D14-829C-FC4EA73B36D7}" type="pres">
      <dgm:prSet presAssocID="{0BA1A8EB-7A31-4A4B-A042-16F2F5BB28AD}" presName="composite" presStyleCnt="0"/>
      <dgm:spPr/>
    </dgm:pt>
    <dgm:pt modelId="{28AD372F-F994-4DA1-BBDB-73C7C010EBAB}" type="pres">
      <dgm:prSet presAssocID="{0BA1A8EB-7A31-4A4B-A042-16F2F5BB28AD}" presName="bentUpArrow1" presStyleLbl="alignImgPlace1" presStyleIdx="6" presStyleCnt="7" custLinFactNeighborY="-4742"/>
      <dgm:spPr/>
    </dgm:pt>
    <dgm:pt modelId="{5BF602AE-9F58-4628-BC61-BB68C8B4CFB7}" type="pres">
      <dgm:prSet presAssocID="{0BA1A8EB-7A31-4A4B-A042-16F2F5BB28AD}" presName="ParentText" presStyleLbl="node1" presStyleIdx="6" presStyleCnt="8">
        <dgm:presLayoutVars>
          <dgm:chMax val="1"/>
          <dgm:chPref val="1"/>
          <dgm:bulletEnabled val="1"/>
        </dgm:presLayoutVars>
      </dgm:prSet>
      <dgm:spPr/>
    </dgm:pt>
    <dgm:pt modelId="{353180DC-3AF9-4303-A9E9-97D504FB27FC}" type="pres">
      <dgm:prSet presAssocID="{0BA1A8EB-7A31-4A4B-A042-16F2F5BB28AD}" presName="ChildText" presStyleLbl="revTx" presStyleIdx="6" presStyleCnt="7">
        <dgm:presLayoutVars>
          <dgm:chMax val="0"/>
          <dgm:chPref val="0"/>
          <dgm:bulletEnabled val="1"/>
        </dgm:presLayoutVars>
      </dgm:prSet>
      <dgm:spPr/>
    </dgm:pt>
    <dgm:pt modelId="{1D2036DA-FF94-43F3-8E02-C3DBB19FCF93}" type="pres">
      <dgm:prSet presAssocID="{72B44EEF-F182-40F1-ABFC-E3C4F6BCFED2}" presName="sibTrans" presStyleCnt="0"/>
      <dgm:spPr/>
    </dgm:pt>
    <dgm:pt modelId="{E85F4639-F019-4E00-9848-3524DF46F3FF}" type="pres">
      <dgm:prSet presAssocID="{D190624A-839D-4BAC-BE30-4E6DB5ADA7EE}" presName="composite" presStyleCnt="0"/>
      <dgm:spPr/>
    </dgm:pt>
    <dgm:pt modelId="{B08641E1-A257-4191-AA44-608371149979}" type="pres">
      <dgm:prSet presAssocID="{D190624A-839D-4BAC-BE30-4E6DB5ADA7EE}" presName="ParentText" presStyleLbl="node1" presStyleIdx="7" presStyleCnt="8">
        <dgm:presLayoutVars>
          <dgm:chMax val="1"/>
          <dgm:chPref val="1"/>
          <dgm:bulletEnabled val="1"/>
        </dgm:presLayoutVars>
      </dgm:prSet>
      <dgm:spPr/>
    </dgm:pt>
  </dgm:ptLst>
  <dgm:cxnLst>
    <dgm:cxn modelId="{7366AE0E-8635-4B53-81AB-DC6CED6B3C89}" srcId="{9332F443-CF39-473B-B9D2-4CFDDAAA8032}" destId="{5DD43490-7FB5-4881-B5A5-1AB3F3979C99}" srcOrd="1" destOrd="0" parTransId="{53FFFDAC-FD8D-4F82-B50A-E36D875BFCF8}" sibTransId="{3507A2BC-72D9-4DB2-B650-FF96CBD9C640}"/>
    <dgm:cxn modelId="{F1889817-1636-467A-8F2F-C30AA34E6D99}" type="presOf" srcId="{FC7F9112-FC25-47C7-8E09-3F98F060C825}" destId="{7C2C759E-6107-4A9C-BD6C-9C49238774CE}" srcOrd="0" destOrd="0" presId="urn:microsoft.com/office/officeart/2005/8/layout/StepDownProcess"/>
    <dgm:cxn modelId="{87CE6F1A-2E01-40B7-AC2C-2D5522FB5E44}" type="presOf" srcId="{D190624A-839D-4BAC-BE30-4E6DB5ADA7EE}" destId="{B08641E1-A257-4191-AA44-608371149979}" srcOrd="0" destOrd="0" presId="urn:microsoft.com/office/officeart/2005/8/layout/StepDownProcess"/>
    <dgm:cxn modelId="{FD5E9E25-672A-4F24-9E98-3564940E828F}" srcId="{102D4C09-4250-4A01-A2BC-7A2F70295FAA}" destId="{3310730D-ADD2-48D2-A5BE-38AFFDED96C9}" srcOrd="0" destOrd="0" parTransId="{D5BD3B60-0FDE-4F33-AF83-B196BB54D746}" sibTransId="{C9AAB5A2-E792-4A0D-B58D-2184BBCDE752}"/>
    <dgm:cxn modelId="{1DAF622A-2BCD-468D-A09E-2D123DC6F929}" srcId="{9332F443-CF39-473B-B9D2-4CFDDAAA8032}" destId="{FC7F9112-FC25-47C7-8E09-3F98F060C825}" srcOrd="0" destOrd="0" parTransId="{A08F4CBD-A118-4689-9D7A-7782B3036230}" sibTransId="{C13BB4B4-EF8F-4FF4-926D-AF8A619E949A}"/>
    <dgm:cxn modelId="{AFB4AB2D-A918-43B0-8C90-866EC7D19E8C}" type="presOf" srcId="{9332F443-CF39-473B-B9D2-4CFDDAAA8032}" destId="{E1F02DB9-C794-4090-A01F-E2D667A03909}" srcOrd="0" destOrd="0" presId="urn:microsoft.com/office/officeart/2005/8/layout/StepDownProcess"/>
    <dgm:cxn modelId="{B95D6C62-01BD-48AE-A07E-867EE5AD4837}" type="presOf" srcId="{15950DFF-5A14-446B-B23A-8960979B5F24}" destId="{3DA74A19-8A10-4B30-9FFC-791433EA116B}" srcOrd="0" destOrd="0" presId="urn:microsoft.com/office/officeart/2005/8/layout/StepDownProcess"/>
    <dgm:cxn modelId="{630AB862-A78C-45C0-BC0B-B3C058094CE7}" type="presOf" srcId="{F563536B-026C-44AA-8AD8-E9237A7CA50F}" destId="{5820D364-A0D8-42CC-B6EF-F6E5D00FC2BF}" srcOrd="0" destOrd="0" presId="urn:microsoft.com/office/officeart/2005/8/layout/StepDownProcess"/>
    <dgm:cxn modelId="{665AA145-D8F8-4940-BC8E-18BE16E99B2C}" srcId="{9332F443-CF39-473B-B9D2-4CFDDAAA8032}" destId="{15950DFF-5A14-446B-B23A-8960979B5F24}" srcOrd="4" destOrd="0" parTransId="{805C9D89-82EF-48F1-B17D-3C55CEB5222E}" sibTransId="{194A866A-87E7-4104-9737-F390AC977DA7}"/>
    <dgm:cxn modelId="{79F3B747-20EE-427C-A3D2-A8B71041B740}" type="presOf" srcId="{0BA1A8EB-7A31-4A4B-A042-16F2F5BB28AD}" destId="{5BF602AE-9F58-4628-BC61-BB68C8B4CFB7}" srcOrd="0" destOrd="0" presId="urn:microsoft.com/office/officeart/2005/8/layout/StepDownProcess"/>
    <dgm:cxn modelId="{2C294A50-4E3A-45D3-A726-FD57C6E64939}" srcId="{9332F443-CF39-473B-B9D2-4CFDDAAA8032}" destId="{F563536B-026C-44AA-8AD8-E9237A7CA50F}" srcOrd="2" destOrd="0" parTransId="{DB445A08-C77E-4B24-A988-3F5E052F9674}" sibTransId="{A7F8366F-3285-418A-8CF5-4FC61CC41562}"/>
    <dgm:cxn modelId="{279AAB8C-589C-433F-B1FC-7037323B8CA8}" type="presOf" srcId="{102D4C09-4250-4A01-A2BC-7A2F70295FAA}" destId="{EDE95FE4-CA96-4276-84FD-F9F65749523A}" srcOrd="0" destOrd="0" presId="urn:microsoft.com/office/officeart/2005/8/layout/StepDownProcess"/>
    <dgm:cxn modelId="{05B2F79C-CFBA-415C-9B73-A725D4AE4EBA}" type="presOf" srcId="{5DD43490-7FB5-4881-B5A5-1AB3F3979C99}" destId="{739E62C9-CEBC-446B-B9AF-F54020409F33}" srcOrd="0" destOrd="0" presId="urn:microsoft.com/office/officeart/2005/8/layout/StepDownProcess"/>
    <dgm:cxn modelId="{9992B5AD-E175-4622-8BF5-218633CA5E94}" type="presOf" srcId="{BABD436E-19BD-4BA1-86DC-0EA3199B2D7E}" destId="{8A8ED57B-2A1C-4DDA-BB79-ECFA46745A7C}" srcOrd="0" destOrd="0" presId="urn:microsoft.com/office/officeart/2005/8/layout/StepDownProcess"/>
    <dgm:cxn modelId="{AA97A7B2-F4D3-49B2-8D8C-68476D1BED82}" srcId="{9332F443-CF39-473B-B9D2-4CFDDAAA8032}" destId="{102D4C09-4250-4A01-A2BC-7A2F70295FAA}" srcOrd="3" destOrd="0" parTransId="{A5AAA2AF-4C2A-4FBE-8E2F-ECA24BAE8877}" sibTransId="{D112689A-EE92-4EFA-A539-1446752A2647}"/>
    <dgm:cxn modelId="{79F3D1BB-A17D-4A13-AFA7-D32FBE3D4281}" type="presOf" srcId="{3310730D-ADD2-48D2-A5BE-38AFFDED96C9}" destId="{573FF715-0B93-4AD3-AE00-6EB76254175D}" srcOrd="0" destOrd="0" presId="urn:microsoft.com/office/officeart/2005/8/layout/StepDownProcess"/>
    <dgm:cxn modelId="{3B68D3C7-A238-4276-9294-549BEC3AD9BF}" srcId="{9332F443-CF39-473B-B9D2-4CFDDAAA8032}" destId="{BABD436E-19BD-4BA1-86DC-0EA3199B2D7E}" srcOrd="5" destOrd="0" parTransId="{C199C1B4-36C6-4CE0-AE7A-D73CEE67456B}" sibTransId="{58401259-AC8D-4BB8-AEE5-C968142ABC6D}"/>
    <dgm:cxn modelId="{195FBBCF-C588-48F1-929C-8ADA9CBC89F1}" srcId="{9332F443-CF39-473B-B9D2-4CFDDAAA8032}" destId="{0BA1A8EB-7A31-4A4B-A042-16F2F5BB28AD}" srcOrd="6" destOrd="0" parTransId="{6F6D7F19-C180-4A7B-9332-ADC2F087D8EB}" sibTransId="{72B44EEF-F182-40F1-ABFC-E3C4F6BCFED2}"/>
    <dgm:cxn modelId="{5247EBF8-4AE6-493E-8858-42FB3711D65C}" srcId="{9332F443-CF39-473B-B9D2-4CFDDAAA8032}" destId="{D190624A-839D-4BAC-BE30-4E6DB5ADA7EE}" srcOrd="7" destOrd="0" parTransId="{534EE8F0-4B10-4CF4-940A-B3640754867B}" sibTransId="{6FDEFEED-0C75-465D-9A11-3A33EF9AA7AA}"/>
    <dgm:cxn modelId="{C36B6D2D-9B4B-4FD3-8B40-703B0D4ED833}" type="presParOf" srcId="{E1F02DB9-C794-4090-A01F-E2D667A03909}" destId="{13BE2332-1EEC-41DD-94C1-FDDAF7C74A29}" srcOrd="0" destOrd="0" presId="urn:microsoft.com/office/officeart/2005/8/layout/StepDownProcess"/>
    <dgm:cxn modelId="{5BEF7EB0-1701-49CE-9B5B-F147CF468EC8}" type="presParOf" srcId="{13BE2332-1EEC-41DD-94C1-FDDAF7C74A29}" destId="{5A5C8C67-25AD-4928-9000-A3CCED0A9200}" srcOrd="0" destOrd="0" presId="urn:microsoft.com/office/officeart/2005/8/layout/StepDownProcess"/>
    <dgm:cxn modelId="{21FA02A3-62CE-45CC-908D-B140DDA5C281}" type="presParOf" srcId="{13BE2332-1EEC-41DD-94C1-FDDAF7C74A29}" destId="{7C2C759E-6107-4A9C-BD6C-9C49238774CE}" srcOrd="1" destOrd="0" presId="urn:microsoft.com/office/officeart/2005/8/layout/StepDownProcess"/>
    <dgm:cxn modelId="{18BC0277-F730-4760-B116-276081CD8457}" type="presParOf" srcId="{13BE2332-1EEC-41DD-94C1-FDDAF7C74A29}" destId="{ACE856C2-FF98-4220-A219-D4E2A6B8D30E}" srcOrd="2" destOrd="0" presId="urn:microsoft.com/office/officeart/2005/8/layout/StepDownProcess"/>
    <dgm:cxn modelId="{98499A7E-93AA-4808-9B43-2BCA3300A3B8}" type="presParOf" srcId="{E1F02DB9-C794-4090-A01F-E2D667A03909}" destId="{CBF8898F-19CE-4D54-AB3B-1EC7182BCF62}" srcOrd="1" destOrd="0" presId="urn:microsoft.com/office/officeart/2005/8/layout/StepDownProcess"/>
    <dgm:cxn modelId="{01C2D359-8FB3-4971-98C4-F374B7DCD934}" type="presParOf" srcId="{E1F02DB9-C794-4090-A01F-E2D667A03909}" destId="{01025830-CAC4-4CC5-BA6B-C6A0589CA671}" srcOrd="2" destOrd="0" presId="urn:microsoft.com/office/officeart/2005/8/layout/StepDownProcess"/>
    <dgm:cxn modelId="{F5D5EA65-BC35-4E9A-AD73-A7C3BFC6A91B}" type="presParOf" srcId="{01025830-CAC4-4CC5-BA6B-C6A0589CA671}" destId="{8EEC832B-648C-495A-8D7B-307CA8D5BD7B}" srcOrd="0" destOrd="0" presId="urn:microsoft.com/office/officeart/2005/8/layout/StepDownProcess"/>
    <dgm:cxn modelId="{4442AA5E-6533-4A8A-83C6-EB780B2FAC5B}" type="presParOf" srcId="{01025830-CAC4-4CC5-BA6B-C6A0589CA671}" destId="{739E62C9-CEBC-446B-B9AF-F54020409F33}" srcOrd="1" destOrd="0" presId="urn:microsoft.com/office/officeart/2005/8/layout/StepDownProcess"/>
    <dgm:cxn modelId="{B8DD9A7E-F39D-4635-822E-15C614DF368B}" type="presParOf" srcId="{01025830-CAC4-4CC5-BA6B-C6A0589CA671}" destId="{ACFC2281-7CED-4E50-A759-784D681DD17D}" srcOrd="2" destOrd="0" presId="urn:microsoft.com/office/officeart/2005/8/layout/StepDownProcess"/>
    <dgm:cxn modelId="{D77AC078-F505-4B51-A71E-6CF782343BE6}" type="presParOf" srcId="{E1F02DB9-C794-4090-A01F-E2D667A03909}" destId="{AB4B755A-8A20-4AAE-84E6-00BDD858C7A5}" srcOrd="3" destOrd="0" presId="urn:microsoft.com/office/officeart/2005/8/layout/StepDownProcess"/>
    <dgm:cxn modelId="{FEE699EE-CA7E-4893-A5DC-B77226298329}" type="presParOf" srcId="{E1F02DB9-C794-4090-A01F-E2D667A03909}" destId="{CE16646D-BB6D-4043-A350-9C6A051DF35B}" srcOrd="4" destOrd="0" presId="urn:microsoft.com/office/officeart/2005/8/layout/StepDownProcess"/>
    <dgm:cxn modelId="{488277B2-877A-46A6-AF8B-3F886C1BE4B2}" type="presParOf" srcId="{CE16646D-BB6D-4043-A350-9C6A051DF35B}" destId="{09EE3C65-871D-422E-8A37-78A3A4845CB2}" srcOrd="0" destOrd="0" presId="urn:microsoft.com/office/officeart/2005/8/layout/StepDownProcess"/>
    <dgm:cxn modelId="{A95E7B0D-85BE-4C34-9EFD-F11CA52C2B65}" type="presParOf" srcId="{CE16646D-BB6D-4043-A350-9C6A051DF35B}" destId="{5820D364-A0D8-42CC-B6EF-F6E5D00FC2BF}" srcOrd="1" destOrd="0" presId="urn:microsoft.com/office/officeart/2005/8/layout/StepDownProcess"/>
    <dgm:cxn modelId="{E4C6B799-3492-49C0-9177-EA2FC7BFB080}" type="presParOf" srcId="{CE16646D-BB6D-4043-A350-9C6A051DF35B}" destId="{18B74268-1656-4063-A846-25BE1063E6EC}" srcOrd="2" destOrd="0" presId="urn:microsoft.com/office/officeart/2005/8/layout/StepDownProcess"/>
    <dgm:cxn modelId="{97A2D80B-B052-41F4-87F2-40721EC72026}" type="presParOf" srcId="{E1F02DB9-C794-4090-A01F-E2D667A03909}" destId="{64EC7BE8-17EE-4490-B544-547082075F21}" srcOrd="5" destOrd="0" presId="urn:microsoft.com/office/officeart/2005/8/layout/StepDownProcess"/>
    <dgm:cxn modelId="{11577474-0723-4CC1-8749-290A72111CBE}" type="presParOf" srcId="{E1F02DB9-C794-4090-A01F-E2D667A03909}" destId="{8163D7E5-C6D0-4E43-ADEC-305B2A0069BA}" srcOrd="6" destOrd="0" presId="urn:microsoft.com/office/officeart/2005/8/layout/StepDownProcess"/>
    <dgm:cxn modelId="{6C0F8B79-A9BB-4112-88D4-9433EF71228D}" type="presParOf" srcId="{8163D7E5-C6D0-4E43-ADEC-305B2A0069BA}" destId="{6FA875B6-7936-45E9-8B1C-C5DBD2534B68}" srcOrd="0" destOrd="0" presId="urn:microsoft.com/office/officeart/2005/8/layout/StepDownProcess"/>
    <dgm:cxn modelId="{51C4ABBD-6362-48EC-B051-C222791AA495}" type="presParOf" srcId="{8163D7E5-C6D0-4E43-ADEC-305B2A0069BA}" destId="{EDE95FE4-CA96-4276-84FD-F9F65749523A}" srcOrd="1" destOrd="0" presId="urn:microsoft.com/office/officeart/2005/8/layout/StepDownProcess"/>
    <dgm:cxn modelId="{966FF678-0757-41F0-A582-A3BF4AE46183}" type="presParOf" srcId="{8163D7E5-C6D0-4E43-ADEC-305B2A0069BA}" destId="{573FF715-0B93-4AD3-AE00-6EB76254175D}" srcOrd="2" destOrd="0" presId="urn:microsoft.com/office/officeart/2005/8/layout/StepDownProcess"/>
    <dgm:cxn modelId="{D8A52DC5-AF6E-4E93-A138-60442212DD7F}" type="presParOf" srcId="{E1F02DB9-C794-4090-A01F-E2D667A03909}" destId="{25F853E8-D328-4550-8F18-6AC1DE394A51}" srcOrd="7" destOrd="0" presId="urn:microsoft.com/office/officeart/2005/8/layout/StepDownProcess"/>
    <dgm:cxn modelId="{EAD97D9B-769F-4356-BB19-8AAD54590052}" type="presParOf" srcId="{E1F02DB9-C794-4090-A01F-E2D667A03909}" destId="{7859DAA6-8C08-42F0-A388-15FF6FA53786}" srcOrd="8" destOrd="0" presId="urn:microsoft.com/office/officeart/2005/8/layout/StepDownProcess"/>
    <dgm:cxn modelId="{E94768A2-D538-4592-AE06-ABFDA4570D14}" type="presParOf" srcId="{7859DAA6-8C08-42F0-A388-15FF6FA53786}" destId="{AE021F62-8727-4704-85B0-EF92322DCA79}" srcOrd="0" destOrd="0" presId="urn:microsoft.com/office/officeart/2005/8/layout/StepDownProcess"/>
    <dgm:cxn modelId="{135C9CCF-F9CD-4AD3-800B-C49FA84EB2CE}" type="presParOf" srcId="{7859DAA6-8C08-42F0-A388-15FF6FA53786}" destId="{3DA74A19-8A10-4B30-9FFC-791433EA116B}" srcOrd="1" destOrd="0" presId="urn:microsoft.com/office/officeart/2005/8/layout/StepDownProcess"/>
    <dgm:cxn modelId="{070FF9E1-DAB1-4C1C-B648-02406DB9FC28}" type="presParOf" srcId="{7859DAA6-8C08-42F0-A388-15FF6FA53786}" destId="{93163A25-E445-4888-BB55-9C48A6E3B3BF}" srcOrd="2" destOrd="0" presId="urn:microsoft.com/office/officeart/2005/8/layout/StepDownProcess"/>
    <dgm:cxn modelId="{E3D5B2A4-14D5-4601-B6EF-3274CCD4E425}" type="presParOf" srcId="{E1F02DB9-C794-4090-A01F-E2D667A03909}" destId="{5600E930-703F-498E-AD5A-62664F396C80}" srcOrd="9" destOrd="0" presId="urn:microsoft.com/office/officeart/2005/8/layout/StepDownProcess"/>
    <dgm:cxn modelId="{295893A7-AD55-414E-AAB9-36104866E5BF}" type="presParOf" srcId="{E1F02DB9-C794-4090-A01F-E2D667A03909}" destId="{A2A649E6-3BA3-4AC6-829E-BC30F74DE396}" srcOrd="10" destOrd="0" presId="urn:microsoft.com/office/officeart/2005/8/layout/StepDownProcess"/>
    <dgm:cxn modelId="{B60201E9-3A33-422C-8A8C-31079CD4A1E5}" type="presParOf" srcId="{A2A649E6-3BA3-4AC6-829E-BC30F74DE396}" destId="{FF9DBF73-2AEA-485A-AD6B-E6C05A77B2D1}" srcOrd="0" destOrd="0" presId="urn:microsoft.com/office/officeart/2005/8/layout/StepDownProcess"/>
    <dgm:cxn modelId="{ABB5EFD3-28F0-413E-AA94-D81D47E3A1A6}" type="presParOf" srcId="{A2A649E6-3BA3-4AC6-829E-BC30F74DE396}" destId="{8A8ED57B-2A1C-4DDA-BB79-ECFA46745A7C}" srcOrd="1" destOrd="0" presId="urn:microsoft.com/office/officeart/2005/8/layout/StepDownProcess"/>
    <dgm:cxn modelId="{01B0A49E-FDDA-4584-9858-B2372730CCD0}" type="presParOf" srcId="{A2A649E6-3BA3-4AC6-829E-BC30F74DE396}" destId="{B305B9A1-9CA4-4F82-B639-ECD3ABB30EA1}" srcOrd="2" destOrd="0" presId="urn:microsoft.com/office/officeart/2005/8/layout/StepDownProcess"/>
    <dgm:cxn modelId="{0784BCAC-737C-402B-82DE-CF2C93C4EDD7}" type="presParOf" srcId="{E1F02DB9-C794-4090-A01F-E2D667A03909}" destId="{A565E208-64CC-48A8-B329-6586D2BFCF5C}" srcOrd="11" destOrd="0" presId="urn:microsoft.com/office/officeart/2005/8/layout/StepDownProcess"/>
    <dgm:cxn modelId="{BD9EE283-05D1-4200-835C-9C2BE6C3757B}" type="presParOf" srcId="{E1F02DB9-C794-4090-A01F-E2D667A03909}" destId="{B667B881-60D7-4D14-829C-FC4EA73B36D7}" srcOrd="12" destOrd="0" presId="urn:microsoft.com/office/officeart/2005/8/layout/StepDownProcess"/>
    <dgm:cxn modelId="{04F56AE3-E6B9-4F3C-8E21-20AA02C002BA}" type="presParOf" srcId="{B667B881-60D7-4D14-829C-FC4EA73B36D7}" destId="{28AD372F-F994-4DA1-BBDB-73C7C010EBAB}" srcOrd="0" destOrd="0" presId="urn:microsoft.com/office/officeart/2005/8/layout/StepDownProcess"/>
    <dgm:cxn modelId="{75CAA8CD-7A20-4D0A-81EA-042260589EC5}" type="presParOf" srcId="{B667B881-60D7-4D14-829C-FC4EA73B36D7}" destId="{5BF602AE-9F58-4628-BC61-BB68C8B4CFB7}" srcOrd="1" destOrd="0" presId="urn:microsoft.com/office/officeart/2005/8/layout/StepDownProcess"/>
    <dgm:cxn modelId="{A65E33DE-FC82-4E81-936F-915A4E877DC9}" type="presParOf" srcId="{B667B881-60D7-4D14-829C-FC4EA73B36D7}" destId="{353180DC-3AF9-4303-A9E9-97D504FB27FC}" srcOrd="2" destOrd="0" presId="urn:microsoft.com/office/officeart/2005/8/layout/StepDownProcess"/>
    <dgm:cxn modelId="{2DE9566E-D4D7-4DAF-A3FA-F3C476C63143}" type="presParOf" srcId="{E1F02DB9-C794-4090-A01F-E2D667A03909}" destId="{1D2036DA-FF94-43F3-8E02-C3DBB19FCF93}" srcOrd="13" destOrd="0" presId="urn:microsoft.com/office/officeart/2005/8/layout/StepDownProcess"/>
    <dgm:cxn modelId="{06E09928-9FC9-46BB-8FE7-8923C3F7BC20}" type="presParOf" srcId="{E1F02DB9-C794-4090-A01F-E2D667A03909}" destId="{E85F4639-F019-4E00-9848-3524DF46F3FF}" srcOrd="14" destOrd="0" presId="urn:microsoft.com/office/officeart/2005/8/layout/StepDownProcess"/>
    <dgm:cxn modelId="{4110FFB7-9710-4B53-AC9A-61D6718226E3}" type="presParOf" srcId="{E85F4639-F019-4E00-9848-3524DF46F3FF}" destId="{B08641E1-A257-4191-AA44-608371149979}" srcOrd="0" destOrd="0" presId="urn:microsoft.com/office/officeart/2005/8/layout/StepDownProcess"/>
  </dgm:cxnLst>
  <dgm:bg>
    <a:solidFill>
      <a:schemeClr val="bg1"/>
    </a:solid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FDF4EC-B847-4AC8-AC87-1415AD49495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16B815EB-E67E-4667-BFAE-167F333A5592}">
      <dgm:prSet phldrT="[Text]" custT="1"/>
      <dgm:spPr>
        <a:solidFill>
          <a:schemeClr val="bg1"/>
        </a:solidFill>
        <a:ln w="9525">
          <a:solidFill>
            <a:schemeClr val="tx1"/>
          </a:solidFill>
        </a:ln>
      </dgm:spPr>
      <dgm:t>
        <a:bodyPr/>
        <a:lstStyle/>
        <a:p>
          <a:r>
            <a:rPr lang="en-GB" sz="800">
              <a:solidFill>
                <a:sysClr val="windowText" lastClr="000000"/>
              </a:solidFill>
              <a:latin typeface="Times New Roman" panose="02020603050405020304" pitchFamily="18" charset="0"/>
              <a:cs typeface="Times New Roman" panose="02020603050405020304" pitchFamily="18" charset="0"/>
            </a:rPr>
            <a:t>Summary of main epistemological paradigms</a:t>
          </a:r>
        </a:p>
      </dgm:t>
    </dgm:pt>
    <dgm:pt modelId="{E1FDF634-F660-42B5-9681-0B774A740AE7}" type="parTrans" cxnId="{A7BD4DFC-687D-4850-90B6-07A539537059}">
      <dgm:prSet/>
      <dgm:spPr/>
      <dgm:t>
        <a:bodyPr/>
        <a:lstStyle/>
        <a:p>
          <a:endParaRPr lang="en-GB" sz="800">
            <a:latin typeface="Times New Roman" panose="02020603050405020304" pitchFamily="18" charset="0"/>
            <a:cs typeface="Times New Roman" panose="02020603050405020304" pitchFamily="18" charset="0"/>
          </a:endParaRPr>
        </a:p>
      </dgm:t>
    </dgm:pt>
    <dgm:pt modelId="{353E9640-6F04-4060-A839-FBFBDA0732DC}" type="sibTrans" cxnId="{A7BD4DFC-687D-4850-90B6-07A539537059}">
      <dgm:prSet/>
      <dgm:spPr/>
      <dgm:t>
        <a:bodyPr/>
        <a:lstStyle/>
        <a:p>
          <a:endParaRPr lang="en-GB" sz="800">
            <a:latin typeface="Times New Roman" panose="02020603050405020304" pitchFamily="18" charset="0"/>
            <a:cs typeface="Times New Roman" panose="02020603050405020304" pitchFamily="18" charset="0"/>
          </a:endParaRPr>
        </a:p>
      </dgm:t>
    </dgm:pt>
    <dgm:pt modelId="{AA9C8F62-326C-40B7-BA73-4C6BBD784CD9}">
      <dgm:prSet phldrT="[Text]" custT="1"/>
      <dgm:spPr>
        <a:solidFill>
          <a:schemeClr val="bg1"/>
        </a:solidFill>
        <a:ln w="9525">
          <a:solidFill>
            <a:schemeClr val="tx1"/>
          </a:solidFill>
        </a:ln>
      </dgm:spPr>
      <dgm:t>
        <a:bodyPr/>
        <a:lstStyle/>
        <a:p>
          <a:br>
            <a:rPr lang="en-GB" sz="800">
              <a:solidFill>
                <a:schemeClr val="tx1"/>
              </a:solidFill>
              <a:latin typeface="Times New Roman" panose="02020603050405020304" pitchFamily="18" charset="0"/>
              <a:cs typeface="Times New Roman" panose="02020603050405020304" pitchFamily="18" charset="0"/>
            </a:rPr>
          </a:br>
          <a:r>
            <a:rPr lang="en-GB" sz="800">
              <a:solidFill>
                <a:schemeClr val="tx1"/>
              </a:solidFill>
              <a:latin typeface="Times New Roman" panose="02020603050405020304" pitchFamily="18" charset="0"/>
              <a:cs typeface="Times New Roman" panose="02020603050405020304" pitchFamily="18" charset="0"/>
            </a:rPr>
            <a:t>Positivist</a:t>
          </a:r>
        </a:p>
        <a:p>
          <a:r>
            <a:rPr lang="en-GB" sz="800">
              <a:solidFill>
                <a:schemeClr val="tx1"/>
              </a:solidFill>
              <a:latin typeface="Times New Roman" panose="02020603050405020304" pitchFamily="18" charset="0"/>
              <a:cs typeface="Times New Roman" panose="02020603050405020304" pitchFamily="18" charset="0"/>
            </a:rPr>
            <a:t>Focuses on pure data and measurable facts without letting personal bias to influence conclusions </a:t>
          </a:r>
          <a:br>
            <a:rPr lang="en-GB" sz="800">
              <a:solidFill>
                <a:schemeClr val="tx1"/>
              </a:solidFill>
              <a:latin typeface="Times New Roman" panose="02020603050405020304" pitchFamily="18" charset="0"/>
              <a:cs typeface="Times New Roman" panose="02020603050405020304" pitchFamily="18" charset="0"/>
            </a:rPr>
          </a:br>
          <a:r>
            <a:rPr lang="en-GB" sz="800">
              <a:solidFill>
                <a:schemeClr val="tx1"/>
              </a:solidFill>
              <a:latin typeface="Times New Roman" panose="02020603050405020304" pitchFamily="18" charset="0"/>
              <a:cs typeface="Times New Roman" panose="02020603050405020304" pitchFamily="18" charset="0"/>
            </a:rPr>
            <a:t>(Junjie &amp; Yingxin, 2022; Park, Konge &amp; Artino 2020)</a:t>
          </a:r>
        </a:p>
      </dgm:t>
    </dgm:pt>
    <dgm:pt modelId="{A62EFCD6-59AE-4C07-9613-822E2BFE6CEB}" type="parTrans" cxnId="{FB1F3E11-EB62-4EAF-9E4A-3C2E64DDEA2B}">
      <dgm:prSet/>
      <dgm:spPr>
        <a:ln w="9525">
          <a:solidFill>
            <a:schemeClr val="tx1"/>
          </a:solidFill>
        </a:ln>
      </dgm:spPr>
      <dgm:t>
        <a:bodyPr/>
        <a:lstStyle/>
        <a:p>
          <a:endParaRPr lang="en-GB" sz="800">
            <a:latin typeface="Times New Roman" panose="02020603050405020304" pitchFamily="18" charset="0"/>
            <a:cs typeface="Times New Roman" panose="02020603050405020304" pitchFamily="18" charset="0"/>
          </a:endParaRPr>
        </a:p>
      </dgm:t>
    </dgm:pt>
    <dgm:pt modelId="{63C18572-1994-4219-A58D-E8086DDEB852}" type="sibTrans" cxnId="{FB1F3E11-EB62-4EAF-9E4A-3C2E64DDEA2B}">
      <dgm:prSet/>
      <dgm:spPr/>
      <dgm:t>
        <a:bodyPr/>
        <a:lstStyle/>
        <a:p>
          <a:endParaRPr lang="en-GB" sz="800">
            <a:latin typeface="Times New Roman" panose="02020603050405020304" pitchFamily="18" charset="0"/>
            <a:cs typeface="Times New Roman" panose="02020603050405020304" pitchFamily="18" charset="0"/>
          </a:endParaRPr>
        </a:p>
      </dgm:t>
    </dgm:pt>
    <dgm:pt modelId="{EA48F20F-7525-4D2E-8107-FEAB226BEF91}">
      <dgm:prSet phldrT="[Text]" custT="1"/>
      <dgm:spPr>
        <a:solidFill>
          <a:schemeClr val="bg1"/>
        </a:solidFill>
        <a:ln w="9525">
          <a:solidFill>
            <a:schemeClr val="tx1"/>
          </a:solidFill>
        </a:ln>
      </dgm:spPr>
      <dgm:t>
        <a:bodyPr/>
        <a:lstStyle/>
        <a:p>
          <a:r>
            <a:rPr lang="en-GB" sz="800">
              <a:solidFill>
                <a:sysClr val="windowText" lastClr="000000"/>
              </a:solidFill>
              <a:latin typeface="Times New Roman" panose="02020603050405020304" pitchFamily="18" charset="0"/>
              <a:cs typeface="Times New Roman" panose="02020603050405020304" pitchFamily="18" charset="0"/>
            </a:rPr>
            <a:t>Interpretive</a:t>
          </a:r>
        </a:p>
        <a:p>
          <a:r>
            <a:rPr lang="en-GB" sz="800">
              <a:solidFill>
                <a:sysClr val="windowText" lastClr="000000"/>
              </a:solidFill>
              <a:latin typeface="Times New Roman" panose="02020603050405020304" pitchFamily="18" charset="0"/>
              <a:cs typeface="Times New Roman" panose="02020603050405020304" pitchFamily="18" charset="0"/>
            </a:rPr>
            <a:t>Focuses on cultural, situational, and attempts to generalise social realities</a:t>
          </a:r>
        </a:p>
        <a:p>
          <a:r>
            <a:rPr lang="en-GB" sz="800"/>
            <a:t>(</a:t>
          </a:r>
          <a:r>
            <a:rPr lang="en-GB" sz="800">
              <a:solidFill>
                <a:schemeClr val="tx1"/>
              </a:solidFill>
              <a:latin typeface="Times New Roman" panose="02020603050405020304" pitchFamily="18" charset="0"/>
              <a:cs typeface="Times New Roman" panose="02020603050405020304" pitchFamily="18" charset="0"/>
            </a:rPr>
            <a:t>Alharahsheh &amp; Pius, 2020; Pervin &amp; Mokhtar, 2022)</a:t>
          </a:r>
        </a:p>
      </dgm:t>
    </dgm:pt>
    <dgm:pt modelId="{2B4095C1-EEBB-4EAF-82DF-D7302B7CD0C1}" type="parTrans" cxnId="{18138F31-FB7E-4E44-A409-FEBC0D8F6080}">
      <dgm:prSet/>
      <dgm:spPr>
        <a:ln w="9525">
          <a:solidFill>
            <a:schemeClr val="tx1"/>
          </a:solidFill>
        </a:ln>
      </dgm:spPr>
      <dgm:t>
        <a:bodyPr/>
        <a:lstStyle/>
        <a:p>
          <a:endParaRPr lang="en-GB" sz="800">
            <a:latin typeface="Times New Roman" panose="02020603050405020304" pitchFamily="18" charset="0"/>
            <a:cs typeface="Times New Roman" panose="02020603050405020304" pitchFamily="18" charset="0"/>
          </a:endParaRPr>
        </a:p>
      </dgm:t>
    </dgm:pt>
    <dgm:pt modelId="{066062CB-072D-4D71-8B22-164FDCED50F4}" type="sibTrans" cxnId="{18138F31-FB7E-4E44-A409-FEBC0D8F6080}">
      <dgm:prSet/>
      <dgm:spPr/>
      <dgm:t>
        <a:bodyPr/>
        <a:lstStyle/>
        <a:p>
          <a:endParaRPr lang="en-GB" sz="800">
            <a:latin typeface="Times New Roman" panose="02020603050405020304" pitchFamily="18" charset="0"/>
            <a:cs typeface="Times New Roman" panose="02020603050405020304" pitchFamily="18" charset="0"/>
          </a:endParaRPr>
        </a:p>
      </dgm:t>
    </dgm:pt>
    <dgm:pt modelId="{09AF6B19-01CF-4CB6-A315-2EBFDC9CE0A4}">
      <dgm:prSet phldrT="[Text]" custT="1"/>
      <dgm:spPr>
        <a:solidFill>
          <a:schemeClr val="bg1"/>
        </a:solidFill>
        <a:ln w="9525">
          <a:solidFill>
            <a:schemeClr val="tx1"/>
          </a:solidFill>
        </a:ln>
      </dgm:spPr>
      <dgm:t>
        <a:bodyPr/>
        <a:lstStyle/>
        <a:p>
          <a:r>
            <a:rPr lang="en-GB" sz="800">
              <a:solidFill>
                <a:sysClr val="windowText" lastClr="000000"/>
              </a:solidFill>
              <a:latin typeface="Times New Roman" panose="02020603050405020304" pitchFamily="18" charset="0"/>
              <a:cs typeface="Times New Roman" panose="02020603050405020304" pitchFamily="18" charset="0"/>
            </a:rPr>
            <a:t>Pragmatic</a:t>
          </a:r>
        </a:p>
        <a:p>
          <a:r>
            <a:rPr lang="en-GB" sz="800">
              <a:solidFill>
                <a:sysClr val="windowText" lastClr="000000"/>
              </a:solidFill>
              <a:latin typeface="Times New Roman" panose="02020603050405020304" pitchFamily="18" charset="0"/>
              <a:cs typeface="Times New Roman" panose="02020603050405020304" pitchFamily="18" charset="0"/>
            </a:rPr>
            <a:t>Focuses on previous experiences and their influence on current and future behaviours </a:t>
          </a:r>
          <a:br>
            <a:rPr lang="en-GB" sz="800">
              <a:solidFill>
                <a:sysClr val="windowText" lastClr="000000"/>
              </a:solidFill>
              <a:latin typeface="Times New Roman" panose="02020603050405020304" pitchFamily="18" charset="0"/>
              <a:cs typeface="Times New Roman" panose="02020603050405020304" pitchFamily="18" charset="0"/>
            </a:rPr>
          </a:br>
          <a:r>
            <a:rPr lang="en-GB" sz="800">
              <a:solidFill>
                <a:sysClr val="windowText" lastClr="000000"/>
              </a:solidFill>
              <a:latin typeface="Times New Roman" panose="02020603050405020304" pitchFamily="18" charset="0"/>
              <a:cs typeface="Times New Roman" panose="02020603050405020304" pitchFamily="18" charset="0"/>
            </a:rPr>
            <a:t>(Dewey, 1938; Kaushik &amp; Walsh 2019) </a:t>
          </a:r>
        </a:p>
      </dgm:t>
    </dgm:pt>
    <dgm:pt modelId="{76EC4EFA-5B7E-4675-BD4E-8D810646D24D}" type="parTrans" cxnId="{7AABD568-0DCE-4726-ACC2-B2E7074075C5}">
      <dgm:prSet/>
      <dgm:spPr>
        <a:ln w="9525">
          <a:solidFill>
            <a:schemeClr val="tx1"/>
          </a:solidFill>
        </a:ln>
      </dgm:spPr>
      <dgm:t>
        <a:bodyPr/>
        <a:lstStyle/>
        <a:p>
          <a:endParaRPr lang="en-GB" sz="800">
            <a:latin typeface="Times New Roman" panose="02020603050405020304" pitchFamily="18" charset="0"/>
            <a:cs typeface="Times New Roman" panose="02020603050405020304" pitchFamily="18" charset="0"/>
          </a:endParaRPr>
        </a:p>
      </dgm:t>
    </dgm:pt>
    <dgm:pt modelId="{EFB1D8F2-4A91-469C-9EAC-650AEFC9E373}" type="sibTrans" cxnId="{7AABD568-0DCE-4726-ACC2-B2E7074075C5}">
      <dgm:prSet/>
      <dgm:spPr/>
      <dgm:t>
        <a:bodyPr/>
        <a:lstStyle/>
        <a:p>
          <a:endParaRPr lang="en-GB" sz="800">
            <a:latin typeface="Times New Roman" panose="02020603050405020304" pitchFamily="18" charset="0"/>
            <a:cs typeface="Times New Roman" panose="02020603050405020304" pitchFamily="18" charset="0"/>
          </a:endParaRPr>
        </a:p>
      </dgm:t>
    </dgm:pt>
    <dgm:pt modelId="{7291D58C-6BE9-4D37-9DB6-A0D38557A2CE}">
      <dgm:prSet custT="1"/>
      <dgm:spPr>
        <a:solidFill>
          <a:schemeClr val="bg1"/>
        </a:solidFill>
        <a:ln w="9525">
          <a:solidFill>
            <a:schemeClr val="tx1"/>
          </a:solidFill>
        </a:ln>
      </dgm:spPr>
      <dgm:t>
        <a:bodyPr/>
        <a:lstStyle/>
        <a:p>
          <a:r>
            <a:rPr lang="en-GB" sz="800">
              <a:solidFill>
                <a:sysClr val="windowText" lastClr="000000"/>
              </a:solidFill>
              <a:latin typeface="Times New Roman" panose="02020603050405020304" pitchFamily="18" charset="0"/>
              <a:cs typeface="Times New Roman" panose="02020603050405020304" pitchFamily="18" charset="0"/>
            </a:rPr>
            <a:t>Critical</a:t>
          </a:r>
        </a:p>
        <a:p>
          <a:r>
            <a:rPr lang="en-GB" sz="800">
              <a:solidFill>
                <a:sysClr val="windowText" lastClr="000000"/>
              </a:solidFill>
              <a:latin typeface="Times New Roman" panose="02020603050405020304" pitchFamily="18" charset="0"/>
              <a:cs typeface="Times New Roman" panose="02020603050405020304" pitchFamily="18" charset="0"/>
            </a:rPr>
            <a:t>Interrogates statistical analysis and focuses on the research process </a:t>
          </a:r>
          <a:r>
            <a:rPr lang="en-GB" sz="800">
              <a:solidFill>
                <a:schemeClr val="tx1"/>
              </a:solidFill>
              <a:latin typeface="Times New Roman" panose="02020603050405020304" pitchFamily="18" charset="0"/>
              <a:cs typeface="Times New Roman" panose="02020603050405020304" pitchFamily="18" charset="0"/>
            </a:rPr>
            <a:t>and subjective knowledge that is based on individual characteristics </a:t>
          </a:r>
          <a:br>
            <a:rPr lang="en-GB" sz="800">
              <a:solidFill>
                <a:sysClr val="windowText" lastClr="000000"/>
              </a:solidFill>
              <a:latin typeface="Times New Roman" panose="02020603050405020304" pitchFamily="18" charset="0"/>
              <a:cs typeface="Times New Roman" panose="02020603050405020304" pitchFamily="18" charset="0"/>
            </a:rPr>
          </a:br>
          <a:r>
            <a:rPr lang="en-GB" sz="800">
              <a:solidFill>
                <a:sysClr val="windowText" lastClr="000000"/>
              </a:solidFill>
              <a:latin typeface="Times New Roman" panose="02020603050405020304" pitchFamily="18" charset="0"/>
              <a:cs typeface="Times New Roman" panose="02020603050405020304" pitchFamily="18" charset="0"/>
            </a:rPr>
            <a:t>(Farias, Rudman, &amp; Magalhaes, 2016) </a:t>
          </a:r>
        </a:p>
      </dgm:t>
    </dgm:pt>
    <dgm:pt modelId="{D97725BF-78DF-4271-AB4B-B4AF6CDDCCD3}" type="parTrans" cxnId="{744CC7ED-4E6A-48B7-AF6F-9A8EDC8A47E3}">
      <dgm:prSet/>
      <dgm:spPr>
        <a:ln w="9525">
          <a:solidFill>
            <a:schemeClr val="tx1"/>
          </a:solidFill>
        </a:ln>
      </dgm:spPr>
      <dgm:t>
        <a:bodyPr/>
        <a:lstStyle/>
        <a:p>
          <a:endParaRPr lang="en-GB" sz="800">
            <a:latin typeface="Times New Roman" panose="02020603050405020304" pitchFamily="18" charset="0"/>
            <a:cs typeface="Times New Roman" panose="02020603050405020304" pitchFamily="18" charset="0"/>
          </a:endParaRPr>
        </a:p>
      </dgm:t>
    </dgm:pt>
    <dgm:pt modelId="{44F673D4-8668-4E5C-90D6-D7DBD4AC227D}" type="sibTrans" cxnId="{744CC7ED-4E6A-48B7-AF6F-9A8EDC8A47E3}">
      <dgm:prSet/>
      <dgm:spPr/>
      <dgm:t>
        <a:bodyPr/>
        <a:lstStyle/>
        <a:p>
          <a:endParaRPr lang="en-GB" sz="800">
            <a:latin typeface="Times New Roman" panose="02020603050405020304" pitchFamily="18" charset="0"/>
            <a:cs typeface="Times New Roman" panose="02020603050405020304" pitchFamily="18" charset="0"/>
          </a:endParaRPr>
        </a:p>
      </dgm:t>
    </dgm:pt>
    <dgm:pt modelId="{8B331CA0-C07B-45BB-A8AF-AAE7115AC8FF}" type="pres">
      <dgm:prSet presAssocID="{30FDF4EC-B847-4AC8-AC87-1415AD494951}" presName="hierChild1" presStyleCnt="0">
        <dgm:presLayoutVars>
          <dgm:orgChart val="1"/>
          <dgm:chPref val="1"/>
          <dgm:dir/>
          <dgm:animOne val="branch"/>
          <dgm:animLvl val="lvl"/>
          <dgm:resizeHandles/>
        </dgm:presLayoutVars>
      </dgm:prSet>
      <dgm:spPr/>
    </dgm:pt>
    <dgm:pt modelId="{64750D02-D2D8-4B0A-9B18-6182A54F4186}" type="pres">
      <dgm:prSet presAssocID="{16B815EB-E67E-4667-BFAE-167F333A5592}" presName="hierRoot1" presStyleCnt="0">
        <dgm:presLayoutVars>
          <dgm:hierBranch val="init"/>
        </dgm:presLayoutVars>
      </dgm:prSet>
      <dgm:spPr/>
    </dgm:pt>
    <dgm:pt modelId="{30D6E1A0-91C2-4837-B8E7-AE11294BA4D2}" type="pres">
      <dgm:prSet presAssocID="{16B815EB-E67E-4667-BFAE-167F333A5592}" presName="rootComposite1" presStyleCnt="0"/>
      <dgm:spPr/>
    </dgm:pt>
    <dgm:pt modelId="{4961517F-8894-41FF-9D56-DA55F09585E0}" type="pres">
      <dgm:prSet presAssocID="{16B815EB-E67E-4667-BFAE-167F333A5592}" presName="rootText1" presStyleLbl="node0" presStyleIdx="0" presStyleCnt="1" custScaleX="105699" custScaleY="183789">
        <dgm:presLayoutVars>
          <dgm:chPref val="3"/>
        </dgm:presLayoutVars>
      </dgm:prSet>
      <dgm:spPr/>
    </dgm:pt>
    <dgm:pt modelId="{CFA1288F-4A1F-4ECC-BD0D-70E7FFA4E502}" type="pres">
      <dgm:prSet presAssocID="{16B815EB-E67E-4667-BFAE-167F333A5592}" presName="rootConnector1" presStyleLbl="node1" presStyleIdx="0" presStyleCnt="0"/>
      <dgm:spPr/>
    </dgm:pt>
    <dgm:pt modelId="{10C0E1DC-FD4E-4DBF-9C05-2FB89F3B5E59}" type="pres">
      <dgm:prSet presAssocID="{16B815EB-E67E-4667-BFAE-167F333A5592}" presName="hierChild2" presStyleCnt="0"/>
      <dgm:spPr/>
    </dgm:pt>
    <dgm:pt modelId="{0BAB532F-A481-4325-9234-E0742E0DF0D6}" type="pres">
      <dgm:prSet presAssocID="{A62EFCD6-59AE-4C07-9613-822E2BFE6CEB}" presName="Name37" presStyleLbl="parChTrans1D2" presStyleIdx="0" presStyleCnt="4"/>
      <dgm:spPr/>
    </dgm:pt>
    <dgm:pt modelId="{837D8FFC-67C2-4278-9DD8-75E57C5E778A}" type="pres">
      <dgm:prSet presAssocID="{AA9C8F62-326C-40B7-BA73-4C6BBD784CD9}" presName="hierRoot2" presStyleCnt="0">
        <dgm:presLayoutVars>
          <dgm:hierBranch val="init"/>
        </dgm:presLayoutVars>
      </dgm:prSet>
      <dgm:spPr/>
    </dgm:pt>
    <dgm:pt modelId="{A596EF9D-11BC-46B8-A4A5-E945F9C776D4}" type="pres">
      <dgm:prSet presAssocID="{AA9C8F62-326C-40B7-BA73-4C6BBD784CD9}" presName="rootComposite" presStyleCnt="0"/>
      <dgm:spPr/>
    </dgm:pt>
    <dgm:pt modelId="{6DBF78F8-6C87-4564-877C-66FC3809873A}" type="pres">
      <dgm:prSet presAssocID="{AA9C8F62-326C-40B7-BA73-4C6BBD784CD9}" presName="rootText" presStyleLbl="node2" presStyleIdx="0" presStyleCnt="4" custScaleX="143008" custScaleY="236530">
        <dgm:presLayoutVars>
          <dgm:chPref val="3"/>
        </dgm:presLayoutVars>
      </dgm:prSet>
      <dgm:spPr/>
    </dgm:pt>
    <dgm:pt modelId="{EAF291B5-07BB-4BCE-9441-BE7CD7040E18}" type="pres">
      <dgm:prSet presAssocID="{AA9C8F62-326C-40B7-BA73-4C6BBD784CD9}" presName="rootConnector" presStyleLbl="node2" presStyleIdx="0" presStyleCnt="4"/>
      <dgm:spPr/>
    </dgm:pt>
    <dgm:pt modelId="{FA61889E-9EA5-4A1A-B4F1-7B7BF7250AFB}" type="pres">
      <dgm:prSet presAssocID="{AA9C8F62-326C-40B7-BA73-4C6BBD784CD9}" presName="hierChild4" presStyleCnt="0"/>
      <dgm:spPr/>
    </dgm:pt>
    <dgm:pt modelId="{B780B25F-41D5-45E3-A4AC-CBCB6F89B70A}" type="pres">
      <dgm:prSet presAssocID="{AA9C8F62-326C-40B7-BA73-4C6BBD784CD9}" presName="hierChild5" presStyleCnt="0"/>
      <dgm:spPr/>
    </dgm:pt>
    <dgm:pt modelId="{BB972FE5-C3BA-427D-ABA4-706C9FB71A29}" type="pres">
      <dgm:prSet presAssocID="{2B4095C1-EEBB-4EAF-82DF-D7302B7CD0C1}" presName="Name37" presStyleLbl="parChTrans1D2" presStyleIdx="1" presStyleCnt="4"/>
      <dgm:spPr/>
    </dgm:pt>
    <dgm:pt modelId="{19119C95-5AAF-4A82-B958-0D883558733A}" type="pres">
      <dgm:prSet presAssocID="{EA48F20F-7525-4D2E-8107-FEAB226BEF91}" presName="hierRoot2" presStyleCnt="0">
        <dgm:presLayoutVars>
          <dgm:hierBranch val="init"/>
        </dgm:presLayoutVars>
      </dgm:prSet>
      <dgm:spPr/>
    </dgm:pt>
    <dgm:pt modelId="{B277AD24-D070-4BF1-8D21-35EA155633A0}" type="pres">
      <dgm:prSet presAssocID="{EA48F20F-7525-4D2E-8107-FEAB226BEF91}" presName="rootComposite" presStyleCnt="0"/>
      <dgm:spPr/>
    </dgm:pt>
    <dgm:pt modelId="{38152802-2A80-4B58-B86C-4FAD36CBEE9F}" type="pres">
      <dgm:prSet presAssocID="{EA48F20F-7525-4D2E-8107-FEAB226BEF91}" presName="rootText" presStyleLbl="node2" presStyleIdx="1" presStyleCnt="4" custScaleX="138511" custScaleY="240582">
        <dgm:presLayoutVars>
          <dgm:chPref val="3"/>
        </dgm:presLayoutVars>
      </dgm:prSet>
      <dgm:spPr/>
    </dgm:pt>
    <dgm:pt modelId="{5B928BE1-54F3-48B9-B465-A25C45732E2D}" type="pres">
      <dgm:prSet presAssocID="{EA48F20F-7525-4D2E-8107-FEAB226BEF91}" presName="rootConnector" presStyleLbl="node2" presStyleIdx="1" presStyleCnt="4"/>
      <dgm:spPr/>
    </dgm:pt>
    <dgm:pt modelId="{E37A12F6-8017-4F48-8F09-DA56FD061924}" type="pres">
      <dgm:prSet presAssocID="{EA48F20F-7525-4D2E-8107-FEAB226BEF91}" presName="hierChild4" presStyleCnt="0"/>
      <dgm:spPr/>
    </dgm:pt>
    <dgm:pt modelId="{F2B72381-1F20-491B-B6A1-2A1F88EE142F}" type="pres">
      <dgm:prSet presAssocID="{EA48F20F-7525-4D2E-8107-FEAB226BEF91}" presName="hierChild5" presStyleCnt="0"/>
      <dgm:spPr/>
    </dgm:pt>
    <dgm:pt modelId="{0BB1FCEC-2238-454B-967D-9F1D84829EF8}" type="pres">
      <dgm:prSet presAssocID="{76EC4EFA-5B7E-4675-BD4E-8D810646D24D}" presName="Name37" presStyleLbl="parChTrans1D2" presStyleIdx="2" presStyleCnt="4"/>
      <dgm:spPr/>
    </dgm:pt>
    <dgm:pt modelId="{41654EC8-5C54-4D93-BBEF-553442AF2B63}" type="pres">
      <dgm:prSet presAssocID="{09AF6B19-01CF-4CB6-A315-2EBFDC9CE0A4}" presName="hierRoot2" presStyleCnt="0">
        <dgm:presLayoutVars>
          <dgm:hierBranch val="init"/>
        </dgm:presLayoutVars>
      </dgm:prSet>
      <dgm:spPr/>
    </dgm:pt>
    <dgm:pt modelId="{CF5DE7DA-932A-48E7-B9BC-487A28C03418}" type="pres">
      <dgm:prSet presAssocID="{09AF6B19-01CF-4CB6-A315-2EBFDC9CE0A4}" presName="rootComposite" presStyleCnt="0"/>
      <dgm:spPr/>
    </dgm:pt>
    <dgm:pt modelId="{EF46D7FF-6377-456D-9ED2-97C577A59185}" type="pres">
      <dgm:prSet presAssocID="{09AF6B19-01CF-4CB6-A315-2EBFDC9CE0A4}" presName="rootText" presStyleLbl="node2" presStyleIdx="2" presStyleCnt="4" custScaleX="138511" custScaleY="238369">
        <dgm:presLayoutVars>
          <dgm:chPref val="3"/>
        </dgm:presLayoutVars>
      </dgm:prSet>
      <dgm:spPr/>
    </dgm:pt>
    <dgm:pt modelId="{CF2584AF-F213-48DE-811B-3719768FD5B7}" type="pres">
      <dgm:prSet presAssocID="{09AF6B19-01CF-4CB6-A315-2EBFDC9CE0A4}" presName="rootConnector" presStyleLbl="node2" presStyleIdx="2" presStyleCnt="4"/>
      <dgm:spPr/>
    </dgm:pt>
    <dgm:pt modelId="{217DE91C-FEED-4D9E-BAFF-DE7CCA62C43A}" type="pres">
      <dgm:prSet presAssocID="{09AF6B19-01CF-4CB6-A315-2EBFDC9CE0A4}" presName="hierChild4" presStyleCnt="0"/>
      <dgm:spPr/>
    </dgm:pt>
    <dgm:pt modelId="{F4771E0B-8B03-4A52-93C2-68C9349086BB}" type="pres">
      <dgm:prSet presAssocID="{09AF6B19-01CF-4CB6-A315-2EBFDC9CE0A4}" presName="hierChild5" presStyleCnt="0"/>
      <dgm:spPr/>
    </dgm:pt>
    <dgm:pt modelId="{864A7559-5461-4017-8425-F49216420418}" type="pres">
      <dgm:prSet presAssocID="{D97725BF-78DF-4271-AB4B-B4AF6CDDCCD3}" presName="Name37" presStyleLbl="parChTrans1D2" presStyleIdx="3" presStyleCnt="4"/>
      <dgm:spPr/>
    </dgm:pt>
    <dgm:pt modelId="{593B6601-0323-4B23-AAD9-CBB7E328D3AC}" type="pres">
      <dgm:prSet presAssocID="{7291D58C-6BE9-4D37-9DB6-A0D38557A2CE}" presName="hierRoot2" presStyleCnt="0">
        <dgm:presLayoutVars>
          <dgm:hierBranch val="init"/>
        </dgm:presLayoutVars>
      </dgm:prSet>
      <dgm:spPr/>
    </dgm:pt>
    <dgm:pt modelId="{F92F89B8-FA8F-40D2-9809-ECB08128457C}" type="pres">
      <dgm:prSet presAssocID="{7291D58C-6BE9-4D37-9DB6-A0D38557A2CE}" presName="rootComposite" presStyleCnt="0"/>
      <dgm:spPr/>
    </dgm:pt>
    <dgm:pt modelId="{B40ECCC0-9AAE-4B17-B8EC-C26B814BD77F}" type="pres">
      <dgm:prSet presAssocID="{7291D58C-6BE9-4D37-9DB6-A0D38557A2CE}" presName="rootText" presStyleLbl="node2" presStyleIdx="3" presStyleCnt="4" custScaleX="138511" custScaleY="239296">
        <dgm:presLayoutVars>
          <dgm:chPref val="3"/>
        </dgm:presLayoutVars>
      </dgm:prSet>
      <dgm:spPr/>
    </dgm:pt>
    <dgm:pt modelId="{F84ABC6C-9FFA-4933-81B2-22007A802914}" type="pres">
      <dgm:prSet presAssocID="{7291D58C-6BE9-4D37-9DB6-A0D38557A2CE}" presName="rootConnector" presStyleLbl="node2" presStyleIdx="3" presStyleCnt="4"/>
      <dgm:spPr/>
    </dgm:pt>
    <dgm:pt modelId="{BB2F0C98-D52D-4DFD-A881-A6E63A5C6EB0}" type="pres">
      <dgm:prSet presAssocID="{7291D58C-6BE9-4D37-9DB6-A0D38557A2CE}" presName="hierChild4" presStyleCnt="0"/>
      <dgm:spPr/>
    </dgm:pt>
    <dgm:pt modelId="{B15009CE-8E45-46DA-97A2-A52A1EF3A0A9}" type="pres">
      <dgm:prSet presAssocID="{7291D58C-6BE9-4D37-9DB6-A0D38557A2CE}" presName="hierChild5" presStyleCnt="0"/>
      <dgm:spPr/>
    </dgm:pt>
    <dgm:pt modelId="{004B47DD-CE01-4913-A6AB-A26ADBF08857}" type="pres">
      <dgm:prSet presAssocID="{16B815EB-E67E-4667-BFAE-167F333A5592}" presName="hierChild3" presStyleCnt="0"/>
      <dgm:spPr/>
    </dgm:pt>
  </dgm:ptLst>
  <dgm:cxnLst>
    <dgm:cxn modelId="{FB1F3E11-EB62-4EAF-9E4A-3C2E64DDEA2B}" srcId="{16B815EB-E67E-4667-BFAE-167F333A5592}" destId="{AA9C8F62-326C-40B7-BA73-4C6BBD784CD9}" srcOrd="0" destOrd="0" parTransId="{A62EFCD6-59AE-4C07-9613-822E2BFE6CEB}" sibTransId="{63C18572-1994-4219-A58D-E8086DDEB852}"/>
    <dgm:cxn modelId="{F46A7B19-4DFB-4832-AB75-A3B8A7098024}" type="presOf" srcId="{09AF6B19-01CF-4CB6-A315-2EBFDC9CE0A4}" destId="{EF46D7FF-6377-456D-9ED2-97C577A59185}" srcOrd="0" destOrd="0" presId="urn:microsoft.com/office/officeart/2005/8/layout/orgChart1"/>
    <dgm:cxn modelId="{C087A619-06FB-44FF-918F-281CEE55F9A5}" type="presOf" srcId="{09AF6B19-01CF-4CB6-A315-2EBFDC9CE0A4}" destId="{CF2584AF-F213-48DE-811B-3719768FD5B7}" srcOrd="1" destOrd="0" presId="urn:microsoft.com/office/officeart/2005/8/layout/orgChart1"/>
    <dgm:cxn modelId="{7080931B-9A79-4020-A5F3-4153E05B2640}" type="presOf" srcId="{7291D58C-6BE9-4D37-9DB6-A0D38557A2CE}" destId="{B40ECCC0-9AAE-4B17-B8EC-C26B814BD77F}" srcOrd="0" destOrd="0" presId="urn:microsoft.com/office/officeart/2005/8/layout/orgChart1"/>
    <dgm:cxn modelId="{72031522-85B4-44E2-9D8B-51E4B01E7317}" type="presOf" srcId="{EA48F20F-7525-4D2E-8107-FEAB226BEF91}" destId="{38152802-2A80-4B58-B86C-4FAD36CBEE9F}" srcOrd="0" destOrd="0" presId="urn:microsoft.com/office/officeart/2005/8/layout/orgChart1"/>
    <dgm:cxn modelId="{18138F31-FB7E-4E44-A409-FEBC0D8F6080}" srcId="{16B815EB-E67E-4667-BFAE-167F333A5592}" destId="{EA48F20F-7525-4D2E-8107-FEAB226BEF91}" srcOrd="1" destOrd="0" parTransId="{2B4095C1-EEBB-4EAF-82DF-D7302B7CD0C1}" sibTransId="{066062CB-072D-4D71-8B22-164FDCED50F4}"/>
    <dgm:cxn modelId="{CBC74D3D-8DFB-4A18-8296-4FE78072F757}" type="presOf" srcId="{D97725BF-78DF-4271-AB4B-B4AF6CDDCCD3}" destId="{864A7559-5461-4017-8425-F49216420418}" srcOrd="0" destOrd="0" presId="urn:microsoft.com/office/officeart/2005/8/layout/orgChart1"/>
    <dgm:cxn modelId="{16BCCB61-9001-490A-9C7A-3C58F9C9F24C}" type="presOf" srcId="{AA9C8F62-326C-40B7-BA73-4C6BBD784CD9}" destId="{EAF291B5-07BB-4BCE-9441-BE7CD7040E18}" srcOrd="1" destOrd="0" presId="urn:microsoft.com/office/officeart/2005/8/layout/orgChart1"/>
    <dgm:cxn modelId="{D2AF4565-70D9-4B78-B706-35B5E0234C2E}" type="presOf" srcId="{16B815EB-E67E-4667-BFAE-167F333A5592}" destId="{CFA1288F-4A1F-4ECC-BD0D-70E7FFA4E502}" srcOrd="1" destOrd="0" presId="urn:microsoft.com/office/officeart/2005/8/layout/orgChart1"/>
    <dgm:cxn modelId="{7AABD568-0DCE-4726-ACC2-B2E7074075C5}" srcId="{16B815EB-E67E-4667-BFAE-167F333A5592}" destId="{09AF6B19-01CF-4CB6-A315-2EBFDC9CE0A4}" srcOrd="2" destOrd="0" parTransId="{76EC4EFA-5B7E-4675-BD4E-8D810646D24D}" sibTransId="{EFB1D8F2-4A91-469C-9EAC-650AEFC9E373}"/>
    <dgm:cxn modelId="{F42E0B6D-90DF-42AA-8F32-F596DBB0304F}" type="presOf" srcId="{76EC4EFA-5B7E-4675-BD4E-8D810646D24D}" destId="{0BB1FCEC-2238-454B-967D-9F1D84829EF8}" srcOrd="0" destOrd="0" presId="urn:microsoft.com/office/officeart/2005/8/layout/orgChart1"/>
    <dgm:cxn modelId="{4A864F50-7DC9-4AAD-B10E-FD357A6FA953}" type="presOf" srcId="{7291D58C-6BE9-4D37-9DB6-A0D38557A2CE}" destId="{F84ABC6C-9FFA-4933-81B2-22007A802914}" srcOrd="1" destOrd="0" presId="urn:microsoft.com/office/officeart/2005/8/layout/orgChart1"/>
    <dgm:cxn modelId="{63A76691-B8D8-420A-9228-12148B5A7CA9}" type="presOf" srcId="{30FDF4EC-B847-4AC8-AC87-1415AD494951}" destId="{8B331CA0-C07B-45BB-A8AF-AAE7115AC8FF}" srcOrd="0" destOrd="0" presId="urn:microsoft.com/office/officeart/2005/8/layout/orgChart1"/>
    <dgm:cxn modelId="{ED48C79F-E20D-490D-A0B5-615659D52E35}" type="presOf" srcId="{A62EFCD6-59AE-4C07-9613-822E2BFE6CEB}" destId="{0BAB532F-A481-4325-9234-E0742E0DF0D6}" srcOrd="0" destOrd="0" presId="urn:microsoft.com/office/officeart/2005/8/layout/orgChart1"/>
    <dgm:cxn modelId="{5D0768BA-0A15-49EB-8613-7714350D283A}" type="presOf" srcId="{16B815EB-E67E-4667-BFAE-167F333A5592}" destId="{4961517F-8894-41FF-9D56-DA55F09585E0}" srcOrd="0" destOrd="0" presId="urn:microsoft.com/office/officeart/2005/8/layout/orgChart1"/>
    <dgm:cxn modelId="{5B4C8CBD-005F-41F7-93B4-FD5E23276764}" type="presOf" srcId="{2B4095C1-EEBB-4EAF-82DF-D7302B7CD0C1}" destId="{BB972FE5-C3BA-427D-ABA4-706C9FB71A29}" srcOrd="0" destOrd="0" presId="urn:microsoft.com/office/officeart/2005/8/layout/orgChart1"/>
    <dgm:cxn modelId="{7F9C96D0-7EE9-41A8-8274-DC30BE060D88}" type="presOf" srcId="{EA48F20F-7525-4D2E-8107-FEAB226BEF91}" destId="{5B928BE1-54F3-48B9-B465-A25C45732E2D}" srcOrd="1" destOrd="0" presId="urn:microsoft.com/office/officeart/2005/8/layout/orgChart1"/>
    <dgm:cxn modelId="{7A9956DB-6CB1-472B-9D56-C7B2F632552E}" type="presOf" srcId="{AA9C8F62-326C-40B7-BA73-4C6BBD784CD9}" destId="{6DBF78F8-6C87-4564-877C-66FC3809873A}" srcOrd="0" destOrd="0" presId="urn:microsoft.com/office/officeart/2005/8/layout/orgChart1"/>
    <dgm:cxn modelId="{744CC7ED-4E6A-48B7-AF6F-9A8EDC8A47E3}" srcId="{16B815EB-E67E-4667-BFAE-167F333A5592}" destId="{7291D58C-6BE9-4D37-9DB6-A0D38557A2CE}" srcOrd="3" destOrd="0" parTransId="{D97725BF-78DF-4271-AB4B-B4AF6CDDCCD3}" sibTransId="{44F673D4-8668-4E5C-90D6-D7DBD4AC227D}"/>
    <dgm:cxn modelId="{A7BD4DFC-687D-4850-90B6-07A539537059}" srcId="{30FDF4EC-B847-4AC8-AC87-1415AD494951}" destId="{16B815EB-E67E-4667-BFAE-167F333A5592}" srcOrd="0" destOrd="0" parTransId="{E1FDF634-F660-42B5-9681-0B774A740AE7}" sibTransId="{353E9640-6F04-4060-A839-FBFBDA0732DC}"/>
    <dgm:cxn modelId="{57DEEC02-2AF4-48CA-AD9E-C4935740AC38}" type="presParOf" srcId="{8B331CA0-C07B-45BB-A8AF-AAE7115AC8FF}" destId="{64750D02-D2D8-4B0A-9B18-6182A54F4186}" srcOrd="0" destOrd="0" presId="urn:microsoft.com/office/officeart/2005/8/layout/orgChart1"/>
    <dgm:cxn modelId="{BAA9A2B3-F3FF-4ACD-A1D3-3A38D12927EF}" type="presParOf" srcId="{64750D02-D2D8-4B0A-9B18-6182A54F4186}" destId="{30D6E1A0-91C2-4837-B8E7-AE11294BA4D2}" srcOrd="0" destOrd="0" presId="urn:microsoft.com/office/officeart/2005/8/layout/orgChart1"/>
    <dgm:cxn modelId="{C03B7DAA-9F38-4F30-82FA-3B10EC1BBD39}" type="presParOf" srcId="{30D6E1A0-91C2-4837-B8E7-AE11294BA4D2}" destId="{4961517F-8894-41FF-9D56-DA55F09585E0}" srcOrd="0" destOrd="0" presId="urn:microsoft.com/office/officeart/2005/8/layout/orgChart1"/>
    <dgm:cxn modelId="{7DFF90B8-0443-447F-B136-E321F1E5D317}" type="presParOf" srcId="{30D6E1A0-91C2-4837-B8E7-AE11294BA4D2}" destId="{CFA1288F-4A1F-4ECC-BD0D-70E7FFA4E502}" srcOrd="1" destOrd="0" presId="urn:microsoft.com/office/officeart/2005/8/layout/orgChart1"/>
    <dgm:cxn modelId="{E370BC61-7B6E-4A44-860B-42D8C3F70291}" type="presParOf" srcId="{64750D02-D2D8-4B0A-9B18-6182A54F4186}" destId="{10C0E1DC-FD4E-4DBF-9C05-2FB89F3B5E59}" srcOrd="1" destOrd="0" presId="urn:microsoft.com/office/officeart/2005/8/layout/orgChart1"/>
    <dgm:cxn modelId="{00037D8B-15CE-481D-A81D-C2D28D20A176}" type="presParOf" srcId="{10C0E1DC-FD4E-4DBF-9C05-2FB89F3B5E59}" destId="{0BAB532F-A481-4325-9234-E0742E0DF0D6}" srcOrd="0" destOrd="0" presId="urn:microsoft.com/office/officeart/2005/8/layout/orgChart1"/>
    <dgm:cxn modelId="{574DD4BE-71A4-4E91-937B-B4D3540B4747}" type="presParOf" srcId="{10C0E1DC-FD4E-4DBF-9C05-2FB89F3B5E59}" destId="{837D8FFC-67C2-4278-9DD8-75E57C5E778A}" srcOrd="1" destOrd="0" presId="urn:microsoft.com/office/officeart/2005/8/layout/orgChart1"/>
    <dgm:cxn modelId="{ED9AEBCD-065A-4016-A9EA-B1A61E91B866}" type="presParOf" srcId="{837D8FFC-67C2-4278-9DD8-75E57C5E778A}" destId="{A596EF9D-11BC-46B8-A4A5-E945F9C776D4}" srcOrd="0" destOrd="0" presId="urn:microsoft.com/office/officeart/2005/8/layout/orgChart1"/>
    <dgm:cxn modelId="{C2E97F14-0EAE-4CED-B090-633CF50951FC}" type="presParOf" srcId="{A596EF9D-11BC-46B8-A4A5-E945F9C776D4}" destId="{6DBF78F8-6C87-4564-877C-66FC3809873A}" srcOrd="0" destOrd="0" presId="urn:microsoft.com/office/officeart/2005/8/layout/orgChart1"/>
    <dgm:cxn modelId="{80EB74CE-9FCB-48B0-91A1-09B9AFCE2758}" type="presParOf" srcId="{A596EF9D-11BC-46B8-A4A5-E945F9C776D4}" destId="{EAF291B5-07BB-4BCE-9441-BE7CD7040E18}" srcOrd="1" destOrd="0" presId="urn:microsoft.com/office/officeart/2005/8/layout/orgChart1"/>
    <dgm:cxn modelId="{373A5E3D-38AE-489B-999D-DDCE12CC1FAC}" type="presParOf" srcId="{837D8FFC-67C2-4278-9DD8-75E57C5E778A}" destId="{FA61889E-9EA5-4A1A-B4F1-7B7BF7250AFB}" srcOrd="1" destOrd="0" presId="urn:microsoft.com/office/officeart/2005/8/layout/orgChart1"/>
    <dgm:cxn modelId="{DE695806-FAB7-4A0B-81AE-A7ACEFF02C89}" type="presParOf" srcId="{837D8FFC-67C2-4278-9DD8-75E57C5E778A}" destId="{B780B25F-41D5-45E3-A4AC-CBCB6F89B70A}" srcOrd="2" destOrd="0" presId="urn:microsoft.com/office/officeart/2005/8/layout/orgChart1"/>
    <dgm:cxn modelId="{46A2EC4B-4A82-40A6-8303-68993EA33247}" type="presParOf" srcId="{10C0E1DC-FD4E-4DBF-9C05-2FB89F3B5E59}" destId="{BB972FE5-C3BA-427D-ABA4-706C9FB71A29}" srcOrd="2" destOrd="0" presId="urn:microsoft.com/office/officeart/2005/8/layout/orgChart1"/>
    <dgm:cxn modelId="{5492F52C-167D-4609-9A15-C6B40DC8E535}" type="presParOf" srcId="{10C0E1DC-FD4E-4DBF-9C05-2FB89F3B5E59}" destId="{19119C95-5AAF-4A82-B958-0D883558733A}" srcOrd="3" destOrd="0" presId="urn:microsoft.com/office/officeart/2005/8/layout/orgChart1"/>
    <dgm:cxn modelId="{8D3FDDBD-B1ED-400D-868C-13DC3B2C2CAF}" type="presParOf" srcId="{19119C95-5AAF-4A82-B958-0D883558733A}" destId="{B277AD24-D070-4BF1-8D21-35EA155633A0}" srcOrd="0" destOrd="0" presId="urn:microsoft.com/office/officeart/2005/8/layout/orgChart1"/>
    <dgm:cxn modelId="{573B7F7D-B649-4C5F-BF96-068D60B2BCE9}" type="presParOf" srcId="{B277AD24-D070-4BF1-8D21-35EA155633A0}" destId="{38152802-2A80-4B58-B86C-4FAD36CBEE9F}" srcOrd="0" destOrd="0" presId="urn:microsoft.com/office/officeart/2005/8/layout/orgChart1"/>
    <dgm:cxn modelId="{00190008-EA0F-4D88-9DB2-A1F9724C3EFD}" type="presParOf" srcId="{B277AD24-D070-4BF1-8D21-35EA155633A0}" destId="{5B928BE1-54F3-48B9-B465-A25C45732E2D}" srcOrd="1" destOrd="0" presId="urn:microsoft.com/office/officeart/2005/8/layout/orgChart1"/>
    <dgm:cxn modelId="{A4AD8B59-EF97-42EA-B80A-6CB41BD831E4}" type="presParOf" srcId="{19119C95-5AAF-4A82-B958-0D883558733A}" destId="{E37A12F6-8017-4F48-8F09-DA56FD061924}" srcOrd="1" destOrd="0" presId="urn:microsoft.com/office/officeart/2005/8/layout/orgChart1"/>
    <dgm:cxn modelId="{BB9D62B2-CD9C-40FC-BC2E-29A5B9F6F943}" type="presParOf" srcId="{19119C95-5AAF-4A82-B958-0D883558733A}" destId="{F2B72381-1F20-491B-B6A1-2A1F88EE142F}" srcOrd="2" destOrd="0" presId="urn:microsoft.com/office/officeart/2005/8/layout/orgChart1"/>
    <dgm:cxn modelId="{9D72B29D-991A-4FE8-AE63-847F0F4FF516}" type="presParOf" srcId="{10C0E1DC-FD4E-4DBF-9C05-2FB89F3B5E59}" destId="{0BB1FCEC-2238-454B-967D-9F1D84829EF8}" srcOrd="4" destOrd="0" presId="urn:microsoft.com/office/officeart/2005/8/layout/orgChart1"/>
    <dgm:cxn modelId="{45D1102C-C5B2-43F6-8FC0-A1D2E59D1384}" type="presParOf" srcId="{10C0E1DC-FD4E-4DBF-9C05-2FB89F3B5E59}" destId="{41654EC8-5C54-4D93-BBEF-553442AF2B63}" srcOrd="5" destOrd="0" presId="urn:microsoft.com/office/officeart/2005/8/layout/orgChart1"/>
    <dgm:cxn modelId="{A7DCC335-281B-49C9-AFB5-46AF0C5F6DEE}" type="presParOf" srcId="{41654EC8-5C54-4D93-BBEF-553442AF2B63}" destId="{CF5DE7DA-932A-48E7-B9BC-487A28C03418}" srcOrd="0" destOrd="0" presId="urn:microsoft.com/office/officeart/2005/8/layout/orgChart1"/>
    <dgm:cxn modelId="{F91B18F2-A184-4CC3-9EAE-78FA7DC01859}" type="presParOf" srcId="{CF5DE7DA-932A-48E7-B9BC-487A28C03418}" destId="{EF46D7FF-6377-456D-9ED2-97C577A59185}" srcOrd="0" destOrd="0" presId="urn:microsoft.com/office/officeart/2005/8/layout/orgChart1"/>
    <dgm:cxn modelId="{F4058662-3992-4D6B-A4D4-F49EBF40F00A}" type="presParOf" srcId="{CF5DE7DA-932A-48E7-B9BC-487A28C03418}" destId="{CF2584AF-F213-48DE-811B-3719768FD5B7}" srcOrd="1" destOrd="0" presId="urn:microsoft.com/office/officeart/2005/8/layout/orgChart1"/>
    <dgm:cxn modelId="{E546A208-C010-4B1E-A609-5EE0EBFB515A}" type="presParOf" srcId="{41654EC8-5C54-4D93-BBEF-553442AF2B63}" destId="{217DE91C-FEED-4D9E-BAFF-DE7CCA62C43A}" srcOrd="1" destOrd="0" presId="urn:microsoft.com/office/officeart/2005/8/layout/orgChart1"/>
    <dgm:cxn modelId="{0143E9DE-12C0-465D-831E-6967BEDCD7CB}" type="presParOf" srcId="{41654EC8-5C54-4D93-BBEF-553442AF2B63}" destId="{F4771E0B-8B03-4A52-93C2-68C9349086BB}" srcOrd="2" destOrd="0" presId="urn:microsoft.com/office/officeart/2005/8/layout/orgChart1"/>
    <dgm:cxn modelId="{5B49619D-CAAB-4CD1-92C4-897554EE5B51}" type="presParOf" srcId="{10C0E1DC-FD4E-4DBF-9C05-2FB89F3B5E59}" destId="{864A7559-5461-4017-8425-F49216420418}" srcOrd="6" destOrd="0" presId="urn:microsoft.com/office/officeart/2005/8/layout/orgChart1"/>
    <dgm:cxn modelId="{48ED8511-1FAB-498B-A76E-5AA9DBB25E23}" type="presParOf" srcId="{10C0E1DC-FD4E-4DBF-9C05-2FB89F3B5E59}" destId="{593B6601-0323-4B23-AAD9-CBB7E328D3AC}" srcOrd="7" destOrd="0" presId="urn:microsoft.com/office/officeart/2005/8/layout/orgChart1"/>
    <dgm:cxn modelId="{EA11E887-CA69-422C-8B80-972BE2E250B5}" type="presParOf" srcId="{593B6601-0323-4B23-AAD9-CBB7E328D3AC}" destId="{F92F89B8-FA8F-40D2-9809-ECB08128457C}" srcOrd="0" destOrd="0" presId="urn:microsoft.com/office/officeart/2005/8/layout/orgChart1"/>
    <dgm:cxn modelId="{BAD74DF1-F578-4C40-A5B1-1E58880F9887}" type="presParOf" srcId="{F92F89B8-FA8F-40D2-9809-ECB08128457C}" destId="{B40ECCC0-9AAE-4B17-B8EC-C26B814BD77F}" srcOrd="0" destOrd="0" presId="urn:microsoft.com/office/officeart/2005/8/layout/orgChart1"/>
    <dgm:cxn modelId="{8E13080B-4C7C-4CE0-8BC2-B664B6CEDB88}" type="presParOf" srcId="{F92F89B8-FA8F-40D2-9809-ECB08128457C}" destId="{F84ABC6C-9FFA-4933-81B2-22007A802914}" srcOrd="1" destOrd="0" presId="urn:microsoft.com/office/officeart/2005/8/layout/orgChart1"/>
    <dgm:cxn modelId="{39FF07C8-D00C-4378-8569-19F48EE31CB3}" type="presParOf" srcId="{593B6601-0323-4B23-AAD9-CBB7E328D3AC}" destId="{BB2F0C98-D52D-4DFD-A881-A6E63A5C6EB0}" srcOrd="1" destOrd="0" presId="urn:microsoft.com/office/officeart/2005/8/layout/orgChart1"/>
    <dgm:cxn modelId="{F2581DA6-9063-41BE-8225-05DD331CF299}" type="presParOf" srcId="{593B6601-0323-4B23-AAD9-CBB7E328D3AC}" destId="{B15009CE-8E45-46DA-97A2-A52A1EF3A0A9}" srcOrd="2" destOrd="0" presId="urn:microsoft.com/office/officeart/2005/8/layout/orgChart1"/>
    <dgm:cxn modelId="{4EAB3C75-F1DB-4472-8AC0-A83C64325774}" type="presParOf" srcId="{64750D02-D2D8-4B0A-9B18-6182A54F4186}" destId="{004B47DD-CE01-4913-A6AB-A26ADBF08857}"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90AAEB-A434-41CE-ACB7-517A9DC478BD}">
      <dsp:nvSpPr>
        <dsp:cNvPr id="0" name=""/>
        <dsp:cNvSpPr/>
      </dsp:nvSpPr>
      <dsp:spPr>
        <a:xfrm>
          <a:off x="2069358" y="858871"/>
          <a:ext cx="946363" cy="959416"/>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CSR Communication</a:t>
          </a:r>
        </a:p>
      </dsp:txBody>
      <dsp:txXfrm>
        <a:off x="2207950" y="999374"/>
        <a:ext cx="669179" cy="678410"/>
      </dsp:txXfrm>
    </dsp:sp>
    <dsp:sp modelId="{D81F2B7C-106C-4D2E-B9F3-B490D566D912}">
      <dsp:nvSpPr>
        <dsp:cNvPr id="0" name=""/>
        <dsp:cNvSpPr/>
      </dsp:nvSpPr>
      <dsp:spPr>
        <a:xfrm rot="16200000">
          <a:off x="2487073" y="790368"/>
          <a:ext cx="110932" cy="26073"/>
        </a:xfrm>
        <a:custGeom>
          <a:avLst/>
          <a:gdLst/>
          <a:ahLst/>
          <a:cxnLst/>
          <a:rect l="0" t="0" r="0" b="0"/>
          <a:pathLst>
            <a:path>
              <a:moveTo>
                <a:pt x="0" y="13036"/>
              </a:moveTo>
              <a:lnTo>
                <a:pt x="110932" y="1303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Times New Roman" panose="02020603050405020304" pitchFamily="18" charset="0"/>
            <a:cs typeface="Times New Roman" panose="02020603050405020304" pitchFamily="18" charset="0"/>
          </a:endParaRPr>
        </a:p>
      </dsp:txBody>
      <dsp:txXfrm>
        <a:off x="2539766" y="800632"/>
        <a:ext cx="5546" cy="5546"/>
      </dsp:txXfrm>
    </dsp:sp>
    <dsp:sp modelId="{BC91CBCD-4B74-45CD-94E1-8E19121C2DA6}">
      <dsp:nvSpPr>
        <dsp:cNvPr id="0" name=""/>
        <dsp:cNvSpPr/>
      </dsp:nvSpPr>
      <dsp:spPr>
        <a:xfrm>
          <a:off x="2174239" y="11337"/>
          <a:ext cx="736601" cy="736601"/>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Geographical Scope: </a:t>
          </a:r>
          <a:r>
            <a:rPr lang="en-GB" sz="900" b="1" kern="1200">
              <a:latin typeface="Times New Roman" panose="02020603050405020304" pitchFamily="18" charset="0"/>
              <a:cs typeface="Times New Roman" panose="02020603050405020304" pitchFamily="18" charset="0"/>
            </a:rPr>
            <a:t>Egypt</a:t>
          </a:r>
          <a:r>
            <a:rPr lang="en-GB" sz="900" kern="1200">
              <a:latin typeface="Times New Roman" panose="02020603050405020304" pitchFamily="18" charset="0"/>
              <a:cs typeface="Times New Roman" panose="02020603050405020304" pitchFamily="18" charset="0"/>
            </a:rPr>
            <a:t> </a:t>
          </a:r>
        </a:p>
      </dsp:txBody>
      <dsp:txXfrm>
        <a:off x="2282112" y="119210"/>
        <a:ext cx="520855" cy="520855"/>
      </dsp:txXfrm>
    </dsp:sp>
    <dsp:sp modelId="{52E44726-6D45-4C7A-B978-845E40383316}">
      <dsp:nvSpPr>
        <dsp:cNvPr id="0" name=""/>
        <dsp:cNvSpPr/>
      </dsp:nvSpPr>
      <dsp:spPr>
        <a:xfrm>
          <a:off x="3015721" y="1325543"/>
          <a:ext cx="117458" cy="26073"/>
        </a:xfrm>
        <a:custGeom>
          <a:avLst/>
          <a:gdLst/>
          <a:ahLst/>
          <a:cxnLst/>
          <a:rect l="0" t="0" r="0" b="0"/>
          <a:pathLst>
            <a:path>
              <a:moveTo>
                <a:pt x="0" y="13036"/>
              </a:moveTo>
              <a:lnTo>
                <a:pt x="117458" y="1303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Times New Roman" panose="02020603050405020304" pitchFamily="18" charset="0"/>
            <a:cs typeface="Times New Roman" panose="02020603050405020304" pitchFamily="18" charset="0"/>
          </a:endParaRPr>
        </a:p>
      </dsp:txBody>
      <dsp:txXfrm>
        <a:off x="3071514" y="1335643"/>
        <a:ext cx="5872" cy="5872"/>
      </dsp:txXfrm>
    </dsp:sp>
    <dsp:sp modelId="{87C032DF-81F9-47DF-8E31-F702935E1F7A}">
      <dsp:nvSpPr>
        <dsp:cNvPr id="0" name=""/>
        <dsp:cNvSpPr/>
      </dsp:nvSpPr>
      <dsp:spPr>
        <a:xfrm>
          <a:off x="3133180" y="970279"/>
          <a:ext cx="736601" cy="736601"/>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Type of CSR: </a:t>
          </a:r>
          <a:r>
            <a:rPr lang="en-GB" sz="900" b="1" kern="1200">
              <a:solidFill>
                <a:sysClr val="windowText" lastClr="000000"/>
              </a:solidFill>
              <a:latin typeface="Times New Roman" panose="02020603050405020304" pitchFamily="18" charset="0"/>
              <a:cs typeface="Times New Roman" panose="02020603050405020304" pitchFamily="18" charset="0"/>
            </a:rPr>
            <a:t>Healthcare </a:t>
          </a:r>
          <a:r>
            <a:rPr lang="en-GB" sz="900" kern="1200">
              <a:latin typeface="Times New Roman" panose="02020603050405020304" pitchFamily="18" charset="0"/>
              <a:cs typeface="Times New Roman" panose="02020603050405020304" pitchFamily="18" charset="0"/>
            </a:rPr>
            <a:t> </a:t>
          </a:r>
        </a:p>
      </dsp:txBody>
      <dsp:txXfrm>
        <a:off x="3241053" y="1078152"/>
        <a:ext cx="520855" cy="520855"/>
      </dsp:txXfrm>
    </dsp:sp>
    <dsp:sp modelId="{BCBF0D73-6233-4BF2-B470-05BCEF567392}">
      <dsp:nvSpPr>
        <dsp:cNvPr id="0" name=""/>
        <dsp:cNvSpPr/>
      </dsp:nvSpPr>
      <dsp:spPr>
        <a:xfrm rot="5400000">
          <a:off x="2487073" y="1860717"/>
          <a:ext cx="110932" cy="26073"/>
        </a:xfrm>
        <a:custGeom>
          <a:avLst/>
          <a:gdLst/>
          <a:ahLst/>
          <a:cxnLst/>
          <a:rect l="0" t="0" r="0" b="0"/>
          <a:pathLst>
            <a:path>
              <a:moveTo>
                <a:pt x="0" y="13036"/>
              </a:moveTo>
              <a:lnTo>
                <a:pt x="110932" y="1303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Times New Roman" panose="02020603050405020304" pitchFamily="18" charset="0"/>
            <a:cs typeface="Times New Roman" panose="02020603050405020304" pitchFamily="18" charset="0"/>
          </a:endParaRPr>
        </a:p>
      </dsp:txBody>
      <dsp:txXfrm>
        <a:off x="2539766" y="1870981"/>
        <a:ext cx="5546" cy="5546"/>
      </dsp:txXfrm>
    </dsp:sp>
    <dsp:sp modelId="{BF893C31-9671-4742-92B5-580188625B8B}">
      <dsp:nvSpPr>
        <dsp:cNvPr id="0" name=""/>
        <dsp:cNvSpPr/>
      </dsp:nvSpPr>
      <dsp:spPr>
        <a:xfrm>
          <a:off x="2174239" y="1929220"/>
          <a:ext cx="736601" cy="736601"/>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Media Vehicle: </a:t>
          </a:r>
          <a:r>
            <a:rPr lang="en-GB" sz="900" b="1" kern="1200">
              <a:latin typeface="Times New Roman" panose="02020603050405020304" pitchFamily="18" charset="0"/>
              <a:cs typeface="Times New Roman" panose="02020603050405020304" pitchFamily="18" charset="0"/>
            </a:rPr>
            <a:t>Television and Social Media</a:t>
          </a:r>
        </a:p>
      </dsp:txBody>
      <dsp:txXfrm>
        <a:off x="2282112" y="2037093"/>
        <a:ext cx="520855" cy="520855"/>
      </dsp:txXfrm>
    </dsp:sp>
    <dsp:sp modelId="{20099413-5221-4B86-BDC6-A1B394E5DACE}">
      <dsp:nvSpPr>
        <dsp:cNvPr id="0" name=""/>
        <dsp:cNvSpPr/>
      </dsp:nvSpPr>
      <dsp:spPr>
        <a:xfrm rot="10800000">
          <a:off x="1951899" y="1325543"/>
          <a:ext cx="117458" cy="26073"/>
        </a:xfrm>
        <a:custGeom>
          <a:avLst/>
          <a:gdLst/>
          <a:ahLst/>
          <a:cxnLst/>
          <a:rect l="0" t="0" r="0" b="0"/>
          <a:pathLst>
            <a:path>
              <a:moveTo>
                <a:pt x="0" y="13036"/>
              </a:moveTo>
              <a:lnTo>
                <a:pt x="117458" y="1303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GB" sz="1000" kern="1200">
            <a:latin typeface="Times New Roman" panose="02020603050405020304" pitchFamily="18" charset="0"/>
            <a:cs typeface="Times New Roman" panose="02020603050405020304" pitchFamily="18" charset="0"/>
          </a:endParaRPr>
        </a:p>
      </dsp:txBody>
      <dsp:txXfrm rot="10800000">
        <a:off x="2007692" y="1335643"/>
        <a:ext cx="5872" cy="5872"/>
      </dsp:txXfrm>
    </dsp:sp>
    <dsp:sp modelId="{610882F1-22D6-4E3C-ABA3-54F719432854}">
      <dsp:nvSpPr>
        <dsp:cNvPr id="0" name=""/>
        <dsp:cNvSpPr/>
      </dsp:nvSpPr>
      <dsp:spPr>
        <a:xfrm>
          <a:off x="1215297" y="970279"/>
          <a:ext cx="736601" cy="736601"/>
        </a:xfrm>
        <a:prstGeom prst="ellipse">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latin typeface="Times New Roman" panose="02020603050405020304" pitchFamily="18" charset="0"/>
              <a:cs typeface="Times New Roman" panose="02020603050405020304" pitchFamily="18" charset="0"/>
            </a:rPr>
            <a:t>Product Type: </a:t>
          </a:r>
          <a:r>
            <a:rPr lang="en-GB" sz="900" b="1" kern="1200">
              <a:latin typeface="Times New Roman" panose="02020603050405020304" pitchFamily="18" charset="0"/>
              <a:cs typeface="Times New Roman" panose="02020603050405020304" pitchFamily="18" charset="0"/>
            </a:rPr>
            <a:t>FMCG</a:t>
          </a:r>
        </a:p>
      </dsp:txBody>
      <dsp:txXfrm>
        <a:off x="1323170" y="1078152"/>
        <a:ext cx="520855" cy="520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C8C67-25AD-4928-9000-A3CCED0A9200}">
      <dsp:nvSpPr>
        <dsp:cNvPr id="0" name=""/>
        <dsp:cNvSpPr/>
      </dsp:nvSpPr>
      <dsp:spPr>
        <a:xfrm rot="5400000">
          <a:off x="1544449" y="337401"/>
          <a:ext cx="285689" cy="325247"/>
        </a:xfrm>
        <a:prstGeom prst="bentUpArrow">
          <a:avLst>
            <a:gd name="adj1" fmla="val 32840"/>
            <a:gd name="adj2" fmla="val 25000"/>
            <a:gd name="adj3" fmla="val 35780"/>
          </a:avLst>
        </a:prstGeom>
        <a:solidFill>
          <a:schemeClr val="dk1">
            <a:tint val="40000"/>
            <a:hueOff val="0"/>
            <a:satOff val="0"/>
            <a:lumOff val="0"/>
            <a:alphaOff val="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7C2C759E-6107-4A9C-BD6C-9C49238774CE}">
      <dsp:nvSpPr>
        <dsp:cNvPr id="0" name=""/>
        <dsp:cNvSpPr/>
      </dsp:nvSpPr>
      <dsp:spPr>
        <a:xfrm>
          <a:off x="1468759" y="20708"/>
          <a:ext cx="480933" cy="33663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Ethical Approval </a:t>
          </a:r>
          <a:endParaRPr lang="en-GB" sz="700" kern="1200" dirty="0"/>
        </a:p>
      </dsp:txBody>
      <dsp:txXfrm>
        <a:off x="1485195" y="37144"/>
        <a:ext cx="448061" cy="303765"/>
      </dsp:txXfrm>
    </dsp:sp>
    <dsp:sp modelId="{ACE856C2-FF98-4220-A219-D4E2A6B8D30E}">
      <dsp:nvSpPr>
        <dsp:cNvPr id="0" name=""/>
        <dsp:cNvSpPr/>
      </dsp:nvSpPr>
      <dsp:spPr>
        <a:xfrm>
          <a:off x="1949692" y="52814"/>
          <a:ext cx="349784" cy="272085"/>
        </a:xfrm>
        <a:prstGeom prst="rect">
          <a:avLst/>
        </a:prstGeom>
        <a:noFill/>
        <a:ln>
          <a:noFill/>
        </a:ln>
        <a:effectLst/>
      </dsp:spPr>
      <dsp:style>
        <a:lnRef idx="0">
          <a:scrgbClr r="0" g="0" b="0"/>
        </a:lnRef>
        <a:fillRef idx="0">
          <a:scrgbClr r="0" g="0" b="0"/>
        </a:fillRef>
        <a:effectRef idx="0">
          <a:scrgbClr r="0" g="0" b="0"/>
        </a:effectRef>
        <a:fontRef idx="minor"/>
      </dsp:style>
    </dsp:sp>
    <dsp:sp modelId="{8EEC832B-648C-495A-8D7B-307CA8D5BD7B}">
      <dsp:nvSpPr>
        <dsp:cNvPr id="0" name=""/>
        <dsp:cNvSpPr/>
      </dsp:nvSpPr>
      <dsp:spPr>
        <a:xfrm rot="5400000">
          <a:off x="1943194" y="715556"/>
          <a:ext cx="285689" cy="325247"/>
        </a:xfrm>
        <a:prstGeom prst="bentUpArrow">
          <a:avLst>
            <a:gd name="adj1" fmla="val 32840"/>
            <a:gd name="adj2" fmla="val 25000"/>
            <a:gd name="adj3" fmla="val 35780"/>
          </a:avLst>
        </a:prstGeom>
        <a:solidFill>
          <a:schemeClr val="dk1">
            <a:tint val="40000"/>
            <a:hueOff val="0"/>
            <a:satOff val="0"/>
            <a:lumOff val="0"/>
            <a:alphaOff val="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739E62C9-CEBC-446B-B9AF-F54020409F33}">
      <dsp:nvSpPr>
        <dsp:cNvPr id="0" name=""/>
        <dsp:cNvSpPr/>
      </dsp:nvSpPr>
      <dsp:spPr>
        <a:xfrm>
          <a:off x="1862973" y="434025"/>
          <a:ext cx="480933" cy="33663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dirty="0"/>
            <a:t>Pre-Experiment survey </a:t>
          </a:r>
        </a:p>
      </dsp:txBody>
      <dsp:txXfrm>
        <a:off x="1879409" y="450461"/>
        <a:ext cx="448061" cy="303765"/>
      </dsp:txXfrm>
    </dsp:sp>
    <dsp:sp modelId="{ACFC2281-7CED-4E50-A759-784D681DD17D}">
      <dsp:nvSpPr>
        <dsp:cNvPr id="0" name=""/>
        <dsp:cNvSpPr/>
      </dsp:nvSpPr>
      <dsp:spPr>
        <a:xfrm>
          <a:off x="2348437" y="430969"/>
          <a:ext cx="349784" cy="272085"/>
        </a:xfrm>
        <a:prstGeom prst="rect">
          <a:avLst/>
        </a:prstGeom>
        <a:noFill/>
        <a:ln>
          <a:noFill/>
        </a:ln>
        <a:effectLst/>
      </dsp:spPr>
      <dsp:style>
        <a:lnRef idx="0">
          <a:scrgbClr r="0" g="0" b="0"/>
        </a:lnRef>
        <a:fillRef idx="0">
          <a:scrgbClr r="0" g="0" b="0"/>
        </a:fillRef>
        <a:effectRef idx="0">
          <a:scrgbClr r="0" g="0" b="0"/>
        </a:effectRef>
        <a:fontRef idx="minor"/>
      </dsp:style>
    </dsp:sp>
    <dsp:sp modelId="{09EE3C65-871D-422E-8A37-78A3A4845CB2}">
      <dsp:nvSpPr>
        <dsp:cNvPr id="0" name=""/>
        <dsp:cNvSpPr/>
      </dsp:nvSpPr>
      <dsp:spPr>
        <a:xfrm rot="5400000">
          <a:off x="2341939" y="1093711"/>
          <a:ext cx="285689" cy="325247"/>
        </a:xfrm>
        <a:prstGeom prst="bentUpArrow">
          <a:avLst>
            <a:gd name="adj1" fmla="val 32840"/>
            <a:gd name="adj2" fmla="val 25000"/>
            <a:gd name="adj3" fmla="val 35780"/>
          </a:avLst>
        </a:prstGeom>
        <a:solidFill>
          <a:schemeClr val="dk1">
            <a:tint val="40000"/>
            <a:hueOff val="0"/>
            <a:satOff val="0"/>
            <a:lumOff val="0"/>
            <a:alphaOff val="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5820D364-A0D8-42CC-B6EF-F6E5D00FC2BF}">
      <dsp:nvSpPr>
        <dsp:cNvPr id="0" name=""/>
        <dsp:cNvSpPr/>
      </dsp:nvSpPr>
      <dsp:spPr>
        <a:xfrm>
          <a:off x="2266248" y="777018"/>
          <a:ext cx="480933" cy="33663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dirty="0"/>
            <a:t>Ethical Approval</a:t>
          </a:r>
        </a:p>
      </dsp:txBody>
      <dsp:txXfrm>
        <a:off x="2282684" y="793454"/>
        <a:ext cx="448061" cy="303765"/>
      </dsp:txXfrm>
    </dsp:sp>
    <dsp:sp modelId="{18B74268-1656-4063-A846-25BE1063E6EC}">
      <dsp:nvSpPr>
        <dsp:cNvPr id="0" name=""/>
        <dsp:cNvSpPr/>
      </dsp:nvSpPr>
      <dsp:spPr>
        <a:xfrm>
          <a:off x="2747182" y="809124"/>
          <a:ext cx="349784" cy="272085"/>
        </a:xfrm>
        <a:prstGeom prst="rect">
          <a:avLst/>
        </a:prstGeom>
        <a:noFill/>
        <a:ln>
          <a:noFill/>
        </a:ln>
        <a:effectLst/>
      </dsp:spPr>
      <dsp:style>
        <a:lnRef idx="0">
          <a:scrgbClr r="0" g="0" b="0"/>
        </a:lnRef>
        <a:fillRef idx="0">
          <a:scrgbClr r="0" g="0" b="0"/>
        </a:fillRef>
        <a:effectRef idx="0">
          <a:scrgbClr r="0" g="0" b="0"/>
        </a:effectRef>
        <a:fontRef idx="minor"/>
      </dsp:style>
    </dsp:sp>
    <dsp:sp modelId="{6FA875B6-7936-45E9-8B1C-C5DBD2534B68}">
      <dsp:nvSpPr>
        <dsp:cNvPr id="0" name=""/>
        <dsp:cNvSpPr/>
      </dsp:nvSpPr>
      <dsp:spPr>
        <a:xfrm rot="5400000">
          <a:off x="2740683" y="1471866"/>
          <a:ext cx="285689" cy="325247"/>
        </a:xfrm>
        <a:prstGeom prst="bentUpArrow">
          <a:avLst>
            <a:gd name="adj1" fmla="val 32840"/>
            <a:gd name="adj2" fmla="val 25000"/>
            <a:gd name="adj3" fmla="val 35780"/>
          </a:avLst>
        </a:prstGeom>
        <a:solidFill>
          <a:schemeClr val="dk1">
            <a:tint val="40000"/>
            <a:hueOff val="0"/>
            <a:satOff val="0"/>
            <a:lumOff val="0"/>
            <a:alphaOff val="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EDE95FE4-CA96-4276-84FD-F9F65749523A}">
      <dsp:nvSpPr>
        <dsp:cNvPr id="0" name=""/>
        <dsp:cNvSpPr/>
      </dsp:nvSpPr>
      <dsp:spPr>
        <a:xfrm>
          <a:off x="2664993" y="1178246"/>
          <a:ext cx="480933" cy="33663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dirty="0"/>
            <a:t>Pilot Survey Experiment</a:t>
          </a:r>
        </a:p>
      </dsp:txBody>
      <dsp:txXfrm>
        <a:off x="2681429" y="1194682"/>
        <a:ext cx="448061" cy="303765"/>
      </dsp:txXfrm>
    </dsp:sp>
    <dsp:sp modelId="{573FF715-0B93-4AD3-AE00-6EB76254175D}">
      <dsp:nvSpPr>
        <dsp:cNvPr id="0" name=""/>
        <dsp:cNvSpPr/>
      </dsp:nvSpPr>
      <dsp:spPr>
        <a:xfrm>
          <a:off x="3145926" y="1159358"/>
          <a:ext cx="349784" cy="272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marL="57150" lvl="1" indent="-57150" algn="l" defTabSz="311150">
            <a:lnSpc>
              <a:spcPct val="90000"/>
            </a:lnSpc>
            <a:spcBef>
              <a:spcPct val="0"/>
            </a:spcBef>
            <a:spcAft>
              <a:spcPct val="15000"/>
            </a:spcAft>
            <a:buChar char="•"/>
          </a:pPr>
          <a:endParaRPr lang="en-GB" sz="700" kern="1200"/>
        </a:p>
      </dsp:txBody>
      <dsp:txXfrm>
        <a:off x="3145926" y="1159358"/>
        <a:ext cx="349784" cy="272085"/>
      </dsp:txXfrm>
    </dsp:sp>
    <dsp:sp modelId="{AE021F62-8727-4704-85B0-EF92322DCA79}">
      <dsp:nvSpPr>
        <dsp:cNvPr id="0" name=""/>
        <dsp:cNvSpPr/>
      </dsp:nvSpPr>
      <dsp:spPr>
        <a:xfrm rot="5400000">
          <a:off x="3139428" y="1850021"/>
          <a:ext cx="285689" cy="325247"/>
        </a:xfrm>
        <a:prstGeom prst="bentUpArrow">
          <a:avLst>
            <a:gd name="adj1" fmla="val 32840"/>
            <a:gd name="adj2" fmla="val 25000"/>
            <a:gd name="adj3" fmla="val 35780"/>
          </a:avLst>
        </a:prstGeom>
        <a:solidFill>
          <a:schemeClr val="dk1">
            <a:tint val="40000"/>
            <a:hueOff val="0"/>
            <a:satOff val="0"/>
            <a:lumOff val="0"/>
            <a:alphaOff val="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3DA74A19-8A10-4B30-9FFC-791433EA116B}">
      <dsp:nvSpPr>
        <dsp:cNvPr id="0" name=""/>
        <dsp:cNvSpPr/>
      </dsp:nvSpPr>
      <dsp:spPr>
        <a:xfrm>
          <a:off x="3063738" y="1533328"/>
          <a:ext cx="480933" cy="33663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dirty="0"/>
            <a:t>Focus Group</a:t>
          </a:r>
        </a:p>
      </dsp:txBody>
      <dsp:txXfrm>
        <a:off x="3080174" y="1549764"/>
        <a:ext cx="448061" cy="303765"/>
      </dsp:txXfrm>
    </dsp:sp>
    <dsp:sp modelId="{93163A25-E445-4888-BB55-9C48A6E3B3BF}">
      <dsp:nvSpPr>
        <dsp:cNvPr id="0" name=""/>
        <dsp:cNvSpPr/>
      </dsp:nvSpPr>
      <dsp:spPr>
        <a:xfrm>
          <a:off x="3544671" y="1565434"/>
          <a:ext cx="349784" cy="272085"/>
        </a:xfrm>
        <a:prstGeom prst="rect">
          <a:avLst/>
        </a:prstGeom>
        <a:noFill/>
        <a:ln>
          <a:noFill/>
        </a:ln>
        <a:effectLst/>
      </dsp:spPr>
      <dsp:style>
        <a:lnRef idx="0">
          <a:scrgbClr r="0" g="0" b="0"/>
        </a:lnRef>
        <a:fillRef idx="0">
          <a:scrgbClr r="0" g="0" b="0"/>
        </a:fillRef>
        <a:effectRef idx="0">
          <a:scrgbClr r="0" g="0" b="0"/>
        </a:effectRef>
        <a:fontRef idx="minor"/>
      </dsp:style>
    </dsp:sp>
    <dsp:sp modelId="{FF9DBF73-2AEA-485A-AD6B-E6C05A77B2D1}">
      <dsp:nvSpPr>
        <dsp:cNvPr id="0" name=""/>
        <dsp:cNvSpPr/>
      </dsp:nvSpPr>
      <dsp:spPr>
        <a:xfrm rot="5400000">
          <a:off x="3538173" y="2228176"/>
          <a:ext cx="285689" cy="325247"/>
        </a:xfrm>
        <a:prstGeom prst="bentUpArrow">
          <a:avLst>
            <a:gd name="adj1" fmla="val 32840"/>
            <a:gd name="adj2" fmla="val 25000"/>
            <a:gd name="adj3" fmla="val 35780"/>
          </a:avLst>
        </a:prstGeom>
        <a:solidFill>
          <a:schemeClr val="dk1">
            <a:tint val="40000"/>
            <a:hueOff val="0"/>
            <a:satOff val="0"/>
            <a:lumOff val="0"/>
            <a:alphaOff val="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A8ED57B-2A1C-4DDA-BB79-ECFA46745A7C}">
      <dsp:nvSpPr>
        <dsp:cNvPr id="0" name=""/>
        <dsp:cNvSpPr/>
      </dsp:nvSpPr>
      <dsp:spPr>
        <a:xfrm>
          <a:off x="3462482" y="1911483"/>
          <a:ext cx="480933" cy="33663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dirty="0"/>
            <a:t>Survey Experiments </a:t>
          </a:r>
        </a:p>
      </dsp:txBody>
      <dsp:txXfrm>
        <a:off x="3478918" y="1927919"/>
        <a:ext cx="448061" cy="303765"/>
      </dsp:txXfrm>
    </dsp:sp>
    <dsp:sp modelId="{B305B9A1-9CA4-4F82-B639-ECD3ABB30EA1}">
      <dsp:nvSpPr>
        <dsp:cNvPr id="0" name=""/>
        <dsp:cNvSpPr/>
      </dsp:nvSpPr>
      <dsp:spPr>
        <a:xfrm>
          <a:off x="4423912" y="2363042"/>
          <a:ext cx="349784" cy="272085"/>
        </a:xfrm>
        <a:prstGeom prst="rect">
          <a:avLst/>
        </a:prstGeom>
        <a:noFill/>
        <a:ln>
          <a:noFill/>
        </a:ln>
        <a:effectLst/>
      </dsp:spPr>
      <dsp:style>
        <a:lnRef idx="0">
          <a:scrgbClr r="0" g="0" b="0"/>
        </a:lnRef>
        <a:fillRef idx="0">
          <a:scrgbClr r="0" g="0" b="0"/>
        </a:fillRef>
        <a:effectRef idx="0">
          <a:scrgbClr r="0" g="0" b="0"/>
        </a:effectRef>
        <a:fontRef idx="minor"/>
      </dsp:style>
    </dsp:sp>
    <dsp:sp modelId="{28AD372F-F994-4DA1-BBDB-73C7C010EBAB}">
      <dsp:nvSpPr>
        <dsp:cNvPr id="0" name=""/>
        <dsp:cNvSpPr/>
      </dsp:nvSpPr>
      <dsp:spPr>
        <a:xfrm rot="5400000">
          <a:off x="3936918" y="2592784"/>
          <a:ext cx="285689" cy="325247"/>
        </a:xfrm>
        <a:prstGeom prst="bentUpArrow">
          <a:avLst>
            <a:gd name="adj1" fmla="val 32840"/>
            <a:gd name="adj2" fmla="val 25000"/>
            <a:gd name="adj3" fmla="val 35780"/>
          </a:avLst>
        </a:prstGeom>
        <a:solidFill>
          <a:schemeClr val="dk1">
            <a:tint val="40000"/>
            <a:hueOff val="0"/>
            <a:satOff val="0"/>
            <a:lumOff val="0"/>
            <a:alphaOff val="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5BF602AE-9F58-4628-BC61-BB68C8B4CFB7}">
      <dsp:nvSpPr>
        <dsp:cNvPr id="0" name=""/>
        <dsp:cNvSpPr/>
      </dsp:nvSpPr>
      <dsp:spPr>
        <a:xfrm>
          <a:off x="3861227" y="2289638"/>
          <a:ext cx="480933" cy="33663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a:t>Pilot Interview</a:t>
          </a:r>
        </a:p>
      </dsp:txBody>
      <dsp:txXfrm>
        <a:off x="3877663" y="2306074"/>
        <a:ext cx="448061" cy="303765"/>
      </dsp:txXfrm>
    </dsp:sp>
    <dsp:sp modelId="{353180DC-3AF9-4303-A9E9-97D504FB27FC}">
      <dsp:nvSpPr>
        <dsp:cNvPr id="0" name=""/>
        <dsp:cNvSpPr/>
      </dsp:nvSpPr>
      <dsp:spPr>
        <a:xfrm>
          <a:off x="4342160" y="2321745"/>
          <a:ext cx="349784" cy="272085"/>
        </a:xfrm>
        <a:prstGeom prst="rect">
          <a:avLst/>
        </a:prstGeom>
        <a:noFill/>
        <a:ln>
          <a:noFill/>
        </a:ln>
        <a:effectLst/>
      </dsp:spPr>
      <dsp:style>
        <a:lnRef idx="0">
          <a:scrgbClr r="0" g="0" b="0"/>
        </a:lnRef>
        <a:fillRef idx="0">
          <a:scrgbClr r="0" g="0" b="0"/>
        </a:fillRef>
        <a:effectRef idx="0">
          <a:scrgbClr r="0" g="0" b="0"/>
        </a:effectRef>
        <a:fontRef idx="minor"/>
      </dsp:style>
    </dsp:sp>
    <dsp:sp modelId="{B08641E1-A257-4191-AA44-608371149979}">
      <dsp:nvSpPr>
        <dsp:cNvPr id="0" name=""/>
        <dsp:cNvSpPr/>
      </dsp:nvSpPr>
      <dsp:spPr>
        <a:xfrm>
          <a:off x="4259972" y="2667794"/>
          <a:ext cx="480933" cy="336637"/>
        </a:xfrm>
        <a:prstGeom prst="roundRect">
          <a:avLst>
            <a:gd name="adj" fmla="val 1667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n-GB" sz="700" kern="1200" dirty="0"/>
            <a:t>Semi-structured Interviews</a:t>
          </a:r>
        </a:p>
      </dsp:txBody>
      <dsp:txXfrm>
        <a:off x="4276408" y="2684230"/>
        <a:ext cx="448061" cy="3037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4A7559-5461-4017-8425-F49216420418}">
      <dsp:nvSpPr>
        <dsp:cNvPr id="0" name=""/>
        <dsp:cNvSpPr/>
      </dsp:nvSpPr>
      <dsp:spPr>
        <a:xfrm>
          <a:off x="3063240" y="836539"/>
          <a:ext cx="2196787" cy="191013"/>
        </a:xfrm>
        <a:custGeom>
          <a:avLst/>
          <a:gdLst/>
          <a:ahLst/>
          <a:cxnLst/>
          <a:rect l="0" t="0" r="0" b="0"/>
          <a:pathLst>
            <a:path>
              <a:moveTo>
                <a:pt x="0" y="0"/>
              </a:moveTo>
              <a:lnTo>
                <a:pt x="0" y="95506"/>
              </a:lnTo>
              <a:lnTo>
                <a:pt x="2196787" y="95506"/>
              </a:lnTo>
              <a:lnTo>
                <a:pt x="2196787" y="191013"/>
              </a:lnTo>
            </a:path>
          </a:pathLst>
        </a:custGeom>
        <a:noFill/>
        <a:ln w="9525"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BB1FCEC-2238-454B-967D-9F1D84829EF8}">
      <dsp:nvSpPr>
        <dsp:cNvPr id="0" name=""/>
        <dsp:cNvSpPr/>
      </dsp:nvSpPr>
      <dsp:spPr>
        <a:xfrm>
          <a:off x="3063240" y="836539"/>
          <a:ext cx="745897" cy="191013"/>
        </a:xfrm>
        <a:custGeom>
          <a:avLst/>
          <a:gdLst/>
          <a:ahLst/>
          <a:cxnLst/>
          <a:rect l="0" t="0" r="0" b="0"/>
          <a:pathLst>
            <a:path>
              <a:moveTo>
                <a:pt x="0" y="0"/>
              </a:moveTo>
              <a:lnTo>
                <a:pt x="0" y="95506"/>
              </a:lnTo>
              <a:lnTo>
                <a:pt x="745897" y="95506"/>
              </a:lnTo>
              <a:lnTo>
                <a:pt x="745897" y="191013"/>
              </a:lnTo>
            </a:path>
          </a:pathLst>
        </a:custGeom>
        <a:noFill/>
        <a:ln w="9525"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B972FE5-C3BA-427D-ABA4-706C9FB71A29}">
      <dsp:nvSpPr>
        <dsp:cNvPr id="0" name=""/>
        <dsp:cNvSpPr/>
      </dsp:nvSpPr>
      <dsp:spPr>
        <a:xfrm>
          <a:off x="2358246" y="836539"/>
          <a:ext cx="704993" cy="191013"/>
        </a:xfrm>
        <a:custGeom>
          <a:avLst/>
          <a:gdLst/>
          <a:ahLst/>
          <a:cxnLst/>
          <a:rect l="0" t="0" r="0" b="0"/>
          <a:pathLst>
            <a:path>
              <a:moveTo>
                <a:pt x="704993" y="0"/>
              </a:moveTo>
              <a:lnTo>
                <a:pt x="704993" y="95506"/>
              </a:lnTo>
              <a:lnTo>
                <a:pt x="0" y="95506"/>
              </a:lnTo>
              <a:lnTo>
                <a:pt x="0" y="191013"/>
              </a:lnTo>
            </a:path>
          </a:pathLst>
        </a:custGeom>
        <a:noFill/>
        <a:ln w="9525"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BAB532F-A481-4325-9234-E0742E0DF0D6}">
      <dsp:nvSpPr>
        <dsp:cNvPr id="0" name=""/>
        <dsp:cNvSpPr/>
      </dsp:nvSpPr>
      <dsp:spPr>
        <a:xfrm>
          <a:off x="886904" y="836539"/>
          <a:ext cx="2176335" cy="191013"/>
        </a:xfrm>
        <a:custGeom>
          <a:avLst/>
          <a:gdLst/>
          <a:ahLst/>
          <a:cxnLst/>
          <a:rect l="0" t="0" r="0" b="0"/>
          <a:pathLst>
            <a:path>
              <a:moveTo>
                <a:pt x="2176335" y="0"/>
              </a:moveTo>
              <a:lnTo>
                <a:pt x="2176335" y="95506"/>
              </a:lnTo>
              <a:lnTo>
                <a:pt x="0" y="95506"/>
              </a:lnTo>
              <a:lnTo>
                <a:pt x="0" y="191013"/>
              </a:lnTo>
            </a:path>
          </a:pathLst>
        </a:custGeom>
        <a:noFill/>
        <a:ln w="9525"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961517F-8894-41FF-9D56-DA55F09585E0}">
      <dsp:nvSpPr>
        <dsp:cNvPr id="0" name=""/>
        <dsp:cNvSpPr/>
      </dsp:nvSpPr>
      <dsp:spPr>
        <a:xfrm>
          <a:off x="2582528" y="679"/>
          <a:ext cx="961423" cy="835859"/>
        </a:xfrm>
        <a:prstGeom prst="rect">
          <a:avLst/>
        </a:prstGeom>
        <a:solidFill>
          <a:schemeClr val="bg1"/>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cs typeface="Times New Roman" panose="02020603050405020304" pitchFamily="18" charset="0"/>
            </a:rPr>
            <a:t>Summary of main epistemological paradigms</a:t>
          </a:r>
        </a:p>
      </dsp:txBody>
      <dsp:txXfrm>
        <a:off x="2582528" y="679"/>
        <a:ext cx="961423" cy="835859"/>
      </dsp:txXfrm>
    </dsp:sp>
    <dsp:sp modelId="{6DBF78F8-6C87-4564-877C-66FC3809873A}">
      <dsp:nvSpPr>
        <dsp:cNvPr id="0" name=""/>
        <dsp:cNvSpPr/>
      </dsp:nvSpPr>
      <dsp:spPr>
        <a:xfrm>
          <a:off x="236513" y="1027552"/>
          <a:ext cx="1300781" cy="1075722"/>
        </a:xfrm>
        <a:prstGeom prst="rect">
          <a:avLst/>
        </a:prstGeom>
        <a:solidFill>
          <a:schemeClr val="bg1"/>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br>
            <a:rPr lang="en-GB" sz="800" kern="1200">
              <a:solidFill>
                <a:schemeClr val="tx1"/>
              </a:solidFill>
              <a:latin typeface="Times New Roman" panose="02020603050405020304" pitchFamily="18" charset="0"/>
              <a:cs typeface="Times New Roman" panose="02020603050405020304" pitchFamily="18" charset="0"/>
            </a:rPr>
          </a:br>
          <a:r>
            <a:rPr lang="en-GB" sz="800" kern="1200">
              <a:solidFill>
                <a:schemeClr val="tx1"/>
              </a:solidFill>
              <a:latin typeface="Times New Roman" panose="02020603050405020304" pitchFamily="18" charset="0"/>
              <a:cs typeface="Times New Roman" panose="02020603050405020304" pitchFamily="18" charset="0"/>
            </a:rPr>
            <a:t>Positivist</a:t>
          </a:r>
        </a:p>
        <a:p>
          <a:pPr marL="0" lvl="0" indent="0" algn="ctr" defTabSz="355600">
            <a:lnSpc>
              <a:spcPct val="90000"/>
            </a:lnSpc>
            <a:spcBef>
              <a:spcPct val="0"/>
            </a:spcBef>
            <a:spcAft>
              <a:spcPct val="35000"/>
            </a:spcAft>
            <a:buNone/>
          </a:pPr>
          <a:r>
            <a:rPr lang="en-GB" sz="800" kern="1200">
              <a:solidFill>
                <a:schemeClr val="tx1"/>
              </a:solidFill>
              <a:latin typeface="Times New Roman" panose="02020603050405020304" pitchFamily="18" charset="0"/>
              <a:cs typeface="Times New Roman" panose="02020603050405020304" pitchFamily="18" charset="0"/>
            </a:rPr>
            <a:t>Focuses on pure data and measurable facts without letting personal bias to influence conclusions </a:t>
          </a:r>
          <a:br>
            <a:rPr lang="en-GB" sz="800" kern="1200">
              <a:solidFill>
                <a:schemeClr val="tx1"/>
              </a:solidFill>
              <a:latin typeface="Times New Roman" panose="02020603050405020304" pitchFamily="18" charset="0"/>
              <a:cs typeface="Times New Roman" panose="02020603050405020304" pitchFamily="18" charset="0"/>
            </a:rPr>
          </a:br>
          <a:r>
            <a:rPr lang="en-GB" sz="800" kern="1200">
              <a:solidFill>
                <a:schemeClr val="tx1"/>
              </a:solidFill>
              <a:latin typeface="Times New Roman" panose="02020603050405020304" pitchFamily="18" charset="0"/>
              <a:cs typeface="Times New Roman" panose="02020603050405020304" pitchFamily="18" charset="0"/>
            </a:rPr>
            <a:t>(Junjie &amp; Yingxin, 2022; Park, Konge &amp; Artino 2020)</a:t>
          </a:r>
        </a:p>
      </dsp:txBody>
      <dsp:txXfrm>
        <a:off x="236513" y="1027552"/>
        <a:ext cx="1300781" cy="1075722"/>
      </dsp:txXfrm>
    </dsp:sp>
    <dsp:sp modelId="{38152802-2A80-4B58-B86C-4FAD36CBEE9F}">
      <dsp:nvSpPr>
        <dsp:cNvPr id="0" name=""/>
        <dsp:cNvSpPr/>
      </dsp:nvSpPr>
      <dsp:spPr>
        <a:xfrm>
          <a:off x="1728308" y="1027552"/>
          <a:ext cx="1259877" cy="1094150"/>
        </a:xfrm>
        <a:prstGeom prst="rect">
          <a:avLst/>
        </a:prstGeom>
        <a:solidFill>
          <a:schemeClr val="bg1"/>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cs typeface="Times New Roman" panose="02020603050405020304" pitchFamily="18" charset="0"/>
            </a:rPr>
            <a:t>Interpretive</a:t>
          </a:r>
        </a:p>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cs typeface="Times New Roman" panose="02020603050405020304" pitchFamily="18" charset="0"/>
            </a:rPr>
            <a:t>Focuses on cultural, situational, and attempts to generalise social realities</a:t>
          </a:r>
        </a:p>
        <a:p>
          <a:pPr marL="0" lvl="0" indent="0" algn="ctr" defTabSz="355600">
            <a:lnSpc>
              <a:spcPct val="90000"/>
            </a:lnSpc>
            <a:spcBef>
              <a:spcPct val="0"/>
            </a:spcBef>
            <a:spcAft>
              <a:spcPct val="35000"/>
            </a:spcAft>
            <a:buNone/>
          </a:pPr>
          <a:r>
            <a:rPr lang="en-GB" sz="800" kern="1200"/>
            <a:t>(</a:t>
          </a:r>
          <a:r>
            <a:rPr lang="en-GB" sz="800" kern="1200">
              <a:solidFill>
                <a:schemeClr val="tx1"/>
              </a:solidFill>
              <a:latin typeface="Times New Roman" panose="02020603050405020304" pitchFamily="18" charset="0"/>
              <a:cs typeface="Times New Roman" panose="02020603050405020304" pitchFamily="18" charset="0"/>
            </a:rPr>
            <a:t>Alharahsheh &amp; Pius, 2020; Pervin &amp; Mokhtar, 2022)</a:t>
          </a:r>
        </a:p>
      </dsp:txBody>
      <dsp:txXfrm>
        <a:off x="1728308" y="1027552"/>
        <a:ext cx="1259877" cy="1094150"/>
      </dsp:txXfrm>
    </dsp:sp>
    <dsp:sp modelId="{EF46D7FF-6377-456D-9ED2-97C577A59185}">
      <dsp:nvSpPr>
        <dsp:cNvPr id="0" name=""/>
        <dsp:cNvSpPr/>
      </dsp:nvSpPr>
      <dsp:spPr>
        <a:xfrm>
          <a:off x="3179198" y="1027552"/>
          <a:ext cx="1259877" cy="1084085"/>
        </a:xfrm>
        <a:prstGeom prst="rect">
          <a:avLst/>
        </a:prstGeom>
        <a:solidFill>
          <a:schemeClr val="bg1"/>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cs typeface="Times New Roman" panose="02020603050405020304" pitchFamily="18" charset="0"/>
            </a:rPr>
            <a:t>Pragmatic</a:t>
          </a:r>
        </a:p>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cs typeface="Times New Roman" panose="02020603050405020304" pitchFamily="18" charset="0"/>
            </a:rPr>
            <a:t>Focuses on previous experiences and their influence on current and future behaviours </a:t>
          </a:r>
          <a:br>
            <a:rPr lang="en-GB" sz="800" kern="1200">
              <a:solidFill>
                <a:sysClr val="windowText" lastClr="000000"/>
              </a:solidFill>
              <a:latin typeface="Times New Roman" panose="02020603050405020304" pitchFamily="18" charset="0"/>
              <a:cs typeface="Times New Roman" panose="02020603050405020304" pitchFamily="18" charset="0"/>
            </a:rPr>
          </a:br>
          <a:r>
            <a:rPr lang="en-GB" sz="800" kern="1200">
              <a:solidFill>
                <a:sysClr val="windowText" lastClr="000000"/>
              </a:solidFill>
              <a:latin typeface="Times New Roman" panose="02020603050405020304" pitchFamily="18" charset="0"/>
              <a:cs typeface="Times New Roman" panose="02020603050405020304" pitchFamily="18" charset="0"/>
            </a:rPr>
            <a:t>(Dewey, 1938; Kaushik &amp; Walsh 2019) </a:t>
          </a:r>
        </a:p>
      </dsp:txBody>
      <dsp:txXfrm>
        <a:off x="3179198" y="1027552"/>
        <a:ext cx="1259877" cy="1084085"/>
      </dsp:txXfrm>
    </dsp:sp>
    <dsp:sp modelId="{B40ECCC0-9AAE-4B17-B8EC-C26B814BD77F}">
      <dsp:nvSpPr>
        <dsp:cNvPr id="0" name=""/>
        <dsp:cNvSpPr/>
      </dsp:nvSpPr>
      <dsp:spPr>
        <a:xfrm>
          <a:off x="4630088" y="1027552"/>
          <a:ext cx="1259877" cy="1088301"/>
        </a:xfrm>
        <a:prstGeom prst="rect">
          <a:avLst/>
        </a:prstGeom>
        <a:solidFill>
          <a:schemeClr val="bg1"/>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cs typeface="Times New Roman" panose="02020603050405020304" pitchFamily="18" charset="0"/>
            </a:rPr>
            <a:t>Critical</a:t>
          </a:r>
        </a:p>
        <a:p>
          <a:pPr marL="0" lvl="0" indent="0" algn="ctr" defTabSz="355600">
            <a:lnSpc>
              <a:spcPct val="90000"/>
            </a:lnSpc>
            <a:spcBef>
              <a:spcPct val="0"/>
            </a:spcBef>
            <a:spcAft>
              <a:spcPct val="35000"/>
            </a:spcAft>
            <a:buNone/>
          </a:pPr>
          <a:r>
            <a:rPr lang="en-GB" sz="800" kern="1200">
              <a:solidFill>
                <a:sysClr val="windowText" lastClr="000000"/>
              </a:solidFill>
              <a:latin typeface="Times New Roman" panose="02020603050405020304" pitchFamily="18" charset="0"/>
              <a:cs typeface="Times New Roman" panose="02020603050405020304" pitchFamily="18" charset="0"/>
            </a:rPr>
            <a:t>Interrogates statistical analysis and focuses on the research process </a:t>
          </a:r>
          <a:r>
            <a:rPr lang="en-GB" sz="800" kern="1200">
              <a:solidFill>
                <a:schemeClr val="tx1"/>
              </a:solidFill>
              <a:latin typeface="Times New Roman" panose="02020603050405020304" pitchFamily="18" charset="0"/>
              <a:cs typeface="Times New Roman" panose="02020603050405020304" pitchFamily="18" charset="0"/>
            </a:rPr>
            <a:t>and subjective knowledge that is based on individual characteristics </a:t>
          </a:r>
          <a:br>
            <a:rPr lang="en-GB" sz="800" kern="1200">
              <a:solidFill>
                <a:sysClr val="windowText" lastClr="000000"/>
              </a:solidFill>
              <a:latin typeface="Times New Roman" panose="02020603050405020304" pitchFamily="18" charset="0"/>
              <a:cs typeface="Times New Roman" panose="02020603050405020304" pitchFamily="18" charset="0"/>
            </a:rPr>
          </a:br>
          <a:r>
            <a:rPr lang="en-GB" sz="800" kern="1200">
              <a:solidFill>
                <a:sysClr val="windowText" lastClr="000000"/>
              </a:solidFill>
              <a:latin typeface="Times New Roman" panose="02020603050405020304" pitchFamily="18" charset="0"/>
              <a:cs typeface="Times New Roman" panose="02020603050405020304" pitchFamily="18" charset="0"/>
            </a:rPr>
            <a:t>(Farias, Rudman, &amp; Magalhaes, 2016) </a:t>
          </a:r>
        </a:p>
      </dsp:txBody>
      <dsp:txXfrm>
        <a:off x="4630088" y="1027552"/>
        <a:ext cx="1259877" cy="10883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01AB813836AA45B5F36D587870D823" ma:contentTypeVersion="13" ma:contentTypeDescription="Create a new document." ma:contentTypeScope="" ma:versionID="ce962c5efa7fec62f99178cd86c1d828">
  <xsd:schema xmlns:xsd="http://www.w3.org/2001/XMLSchema" xmlns:xs="http://www.w3.org/2001/XMLSchema" xmlns:p="http://schemas.microsoft.com/office/2006/metadata/properties" xmlns:ns3="ce2d8457-11e1-4129-a301-acca1585b570" xmlns:ns4="603d5977-7acc-44db-bdfb-458c66f7179f" targetNamespace="http://schemas.microsoft.com/office/2006/metadata/properties" ma:root="true" ma:fieldsID="a3f20de6ceff24ec8d032e3de63b3f41" ns3:_="" ns4:_="">
    <xsd:import namespace="ce2d8457-11e1-4129-a301-acca1585b570"/>
    <xsd:import namespace="603d5977-7acc-44db-bdfb-458c66f7179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d8457-11e1-4129-a301-acca1585b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3d5977-7acc-44db-bdfb-458c66f7179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Cas21</b:Tag>
    <b:SourceType>JournalArticle</b:SourceType>
    <b:Guid>{71BFB691-15AC-4B63-B24E-6DE0740E14C8}</b:Guid>
    <b:Title>Influence of companies ́credibility and trust in corporate social responsibility aspects of consumer food products: The moderating intervention of consumer integrity</b:Title>
    <b:JournalName>Sustainable Production and Consumption</b:JournalName>
    <b:Year>2021</b:Year>
    <b:Pages>129-141</b:Pages>
    <b:Volume>28</b:Volume>
    <b:Month>10</b:Month>
    <b:Publisher>ScienceDirect</b:Publisher>
    <b:YearAccessed>2021</b:YearAccessed>
    <b:MonthAccessed>12</b:MonthAccessed>
    <b:DayAccessed>26</b:DayAccessed>
    <b:DOI>https://doi.org/10.1016/j.spc.2021.03.032</b:DOI>
    <b:Author>
      <b:Author>
        <b:NameList>
          <b:Person>
            <b:Last>Castro-González</b:Last>
            <b:First>Sandra</b:First>
          </b:Person>
          <b:Person>
            <b:Last>Bande</b:Last>
            <b:First>Belén</b:First>
          </b:Person>
          <b:Person>
            <b:Last>Fernández-Ferrín</b:Last>
            <b:First>Pilar</b:First>
          </b:Person>
        </b:NameList>
      </b:Author>
    </b:Author>
    <b:RefOrder>453</b:RefOrder>
  </b:Source>
  <b:Source>
    <b:Tag>Dav73</b:Tag>
    <b:SourceType>JournalArticle</b:SourceType>
    <b:Guid>{2C4D3E9C-8630-4506-972B-E30E04E524BF}</b:Guid>
    <b:Title>The case for and against business assumption of Social Responsibilities</b:Title>
    <b:JournalName>The Academy of Management Journal</b:JournalName>
    <b:Year>1973</b:Year>
    <b:Pages>312-322</b:Pages>
    <b:Author>
      <b:Author>
        <b:NameList>
          <b:Person>
            <b:Last>Davis</b:Last>
            <b:First>Keith</b:First>
          </b:Person>
        </b:NameList>
      </b:Author>
    </b:Author>
    <b:Month>06</b:Month>
    <b:Volume>16</b:Volume>
    <b:Issue>02</b:Issue>
    <b:YearAccessed>2022</b:YearAccessed>
    <b:MonthAccessed>09</b:MonthAccessed>
    <b:DayAccessed>23</b:DayAccessed>
    <b:URL>https://www.jstor.org/stable/255331</b:URL>
    <b:DOI>https://doi.org/10.2307/255331</b:DOI>
    <b:RefOrder>72</b:RefOrder>
  </b:Source>
  <b:Source>
    <b:Tag>AlA17</b:Tag>
    <b:SourceType>JournalArticle</b:SourceType>
    <b:Guid>{0D6EEE53-C942-4E5B-8DA8-12AC61FF5851}</b:Guid>
    <b:Title>Researching Corporate Social Responsibility in the Middle East: The Current State and Future Directions</b:Title>
    <b:JournalName>Corporate Social Responsibility and Environmental Management</b:JournalName>
    <b:Year>2017</b:Year>
    <b:Month>July</b:Month>
    <b:Day>21</b:Day>
    <b:YearAccessed>2020</b:YearAccessed>
    <b:MonthAccessed>December</b:MonthAccessed>
    <b:DayAccessed>09</b:DayAccessed>
    <b:DOI>https://doi.org/10.1002/csr.1439</b:DOI>
    <b:Author>
      <b:Author>
        <b:NameList>
          <b:Person>
            <b:Last>Al‐Abdin</b:Last>
            <b:First>Ahmed </b:First>
          </b:Person>
          <b:Person>
            <b:Last>Roy</b:Last>
            <b:First>Taposh </b:First>
          </b:Person>
          <b:Person>
            <b:Last>Nicholson</b:Last>
            <b:Middle>D</b:Middle>
            <b:First>John</b:First>
          </b:Person>
        </b:NameList>
      </b:Author>
    </b:Author>
    <b:RefOrder>73</b:RefOrder>
  </b:Source>
  <b:Source>
    <b:Tag>Car79</b:Tag>
    <b:SourceType>JournalArticle</b:SourceType>
    <b:Guid>{56C22B7A-9E69-4E4A-AF27-A6A083BB37A9}</b:Guid>
    <b:Title>A Three-Dimensional Conceptual Model of Corporate Performance.</b:Title>
    <b:JournalName>Academy of Management Review.</b:JournalName>
    <b:Year>1979</b:Year>
    <b:Pages>497-505</b:Pages>
    <b:Author>
      <b:Author>
        <b:NameList>
          <b:Person>
            <b:Last>Carroll</b:Last>
            <b:Middle>B</b:Middle>
            <b:First>Archie</b:First>
          </b:Person>
        </b:NameList>
      </b:Author>
    </b:Author>
    <b:Month>October </b:Month>
    <b:Volume>4</b:Volume>
    <b:Issue>4</b:Issue>
    <b:URL>https://eds.b.ebscohost.com/eds/detail/detail?vid=1&amp;sid=634e9112-96f4-4072-a35d-1910eed6f773%40pdc-v-sessmgr04&amp;bdata=JnNpdGU9ZWRzLWxpdmU%3d#AN=4498296&amp;db=buh</b:URL>
    <b:DOI>10.5465/AMR.1979.4498296</b:DOI>
    <b:RefOrder>74</b:RefOrder>
  </b:Source>
  <b:Source>
    <b:Tag>Dan20</b:Tag>
    <b:SourceType>JournalArticle</b:SourceType>
    <b:Guid>{9EF9A8FA-B5C9-4E3A-83E1-AB2CEA33C8E8}</b:Guid>
    <b:Title>Retailer corporate social responsibility and consumer citizenship behavior: The mediating roles of perceived consumer effectiveness and consumer trust</b:Title>
    <b:JournalName>Journal of Retailing and Consumer Services</b:JournalName>
    <b:Year>2020</b:Year>
    <b:Author>
      <b:Author>
        <b:NameList>
          <b:Person>
            <b:Last>Dang</b:Last>
            <b:First>Van Thac</b:First>
          </b:Person>
          <b:Person>
            <b:Last>Nguyen</b:Last>
            <b:First>Ninh</b:First>
          </b:Person>
          <b:Person>
            <b:Last>Pervan</b:Last>
            <b:First>Simon</b:First>
          </b:Person>
        </b:NameList>
      </b:Author>
    </b:Author>
    <b:Month>July</b:Month>
    <b:Volume>55</b:Volume>
    <b:DOI>https://doi.org/10.1016/j.jretconser.2020.102082</b:DOI>
    <b:RefOrder>33</b:RefOrder>
  </b:Source>
  <b:Source>
    <b:Tag>Bac16</b:Tag>
    <b:SourceType>JournalArticle</b:SourceType>
    <b:Guid>{2CE41A03-7322-4E4F-AE31-A0CBD8214B09}</b:Guid>
    <b:Title>Legitimacy through CSR disclosures? The advantage outweighs the disadvantages</b:Title>
    <b:JournalName>Public Relations Review</b:JournalName>
    <b:Year>2016</b:Year>
    <b:Pages>386-294</b:Pages>
    <b:Month>09</b:Month>
    <b:Volume>42</b:Volume>
    <b:Issue>3</b:Issue>
    <b:YearAccessed>2022</b:YearAccessed>
    <b:MonthAccessed>01</b:MonthAccessed>
    <b:DayAccessed>22</b:DayAccessed>
    <b:DOI>https://doi.org/10.1016/j.pubrev.2016.02.008</b:DOI>
    <b:Author>
      <b:Author>
        <b:NameList>
          <b:Person>
            <b:Last>Bachmann</b:Last>
            <b:First>Philipp</b:First>
          </b:Person>
          <b:Person>
            <b:Last>Ingenhoff</b:Last>
            <b:First>Diana </b:First>
          </b:Person>
        </b:NameList>
      </b:Author>
    </b:Author>
    <b:RefOrder>120</b:RefOrder>
  </b:Source>
  <b:Source>
    <b:Tag>Aka16</b:Tag>
    <b:SourceType>JournalArticle</b:SourceType>
    <b:Guid>{BE18D74B-840F-4842-9B66-B2F4F6FB4A35}</b:Guid>
    <b:Title>Corporate social responsibility and CSR fit as predictors of corporate reputation: A global perspective</b:Title>
    <b:JournalName>Public Relations Review</b:JournalName>
    <b:Year>2016</b:Year>
    <b:Pages>79-81</b:Pages>
    <b:Author>
      <b:Author>
        <b:NameList>
          <b:Person>
            <b:Last>Akash</b:Last>
            <b:Middle>Ozdora</b:Middle>
            <b:First>Emel</b:First>
          </b:Person>
          <b:Person>
            <b:Last>Ferguson</b:Last>
            <b:First>Mary Ann</b:First>
          </b:Person>
          <b:Person>
            <b:Last>Duman</b:Last>
            <b:Middle>Atakan</b:Middle>
            <b:First>Sirin</b:First>
          </b:Person>
        </b:NameList>
      </b:Author>
    </b:Author>
    <b:Month>03</b:Month>
    <b:Volume>42</b:Volume>
    <b:Issue>1</b:Issue>
    <b:YearAccessed>2021</b:YearAccessed>
    <b:MonthAccessed>11</b:MonthAccessed>
    <b:DayAccessed>30</b:DayAccessed>
    <b:DOI>https://doi.org/10.1016/j.pubrev.2015.11.004</b:DOI>
    <b:RefOrder>128</b:RefOrder>
  </b:Source>
  <b:Source>
    <b:Tag>CHE15</b:Tag>
    <b:SourceType>JournalArticle</b:SourceType>
    <b:Guid>{7CD92FEF-41F6-4D65-9330-C8467669FC10}</b:Guid>
    <b:Title>Doing Well by Doing Good: The Benevolent Halo of Corporate Social Responsibility.</b:Title>
    <b:JournalName>Journal of Consumer Research</b:JournalName>
    <b:Year>2015</b:Year>
    <b:Pages>1412-1425</b:Pages>
    <b:Month>April</b:Month>
    <b:Volume>41</b:Volume>
    <b:Issue>6</b:Issue>
    <b:YearAccessed>2020</b:YearAccessed>
    <b:MonthAccessed>December</b:MonthAccessed>
    <b:Author>
      <b:Author>
        <b:NameList>
          <b:Person>
            <b:Last>Chernev</b:Last>
            <b:First>Alexander</b:First>
          </b:Person>
          <b:Person>
            <b:Last>Blair</b:Last>
            <b:First>Sean</b:First>
          </b:Person>
        </b:NameList>
      </b:Author>
    </b:Author>
    <b:RefOrder>159</b:RefOrder>
  </b:Source>
  <b:Source>
    <b:Tag>Alj20</b:Tag>
    <b:SourceType>JournalArticle</b:SourceType>
    <b:Guid>{895DF4D8-32AF-4784-B355-776150F89AF3}</b:Guid>
    <b:Title>The nexus between corporate social responsibility and target-based customer citizenship behavior</b:Title>
    <b:JournalName>Journal Of Sustainable Tourism</b:JournalName>
    <b:Year>2020</b:Year>
    <b:Pages>2044-2063</b:Pages>
    <b:Author>
      <b:Author>
        <b:NameList>
          <b:Person>
            <b:Last>Aljarah</b:Last>
            <b:First>Ahmad</b:First>
          </b:Person>
        </b:NameList>
      </b:Author>
    </b:Author>
    <b:Month>07</b:Month>
    <b:Day>02</b:Day>
    <b:Volume>28</b:Volume>
    <b:Issue>12</b:Issue>
    <b:YearAccessed>2022</b:YearAccessed>
    <b:MonthAccessed>02</b:MonthAccessed>
    <b:DayAccessed>22</b:DayAccessed>
    <b:DOI>https://doi.org/10.1080/09669582.2020.1789155</b:DOI>
    <b:RefOrder>137</b:RefOrder>
  </b:Source>
  <b:Source>
    <b:Tag>Cra16</b:Tag>
    <b:SourceType>JournalArticle</b:SourceType>
    <b:Guid>{4E4E5962-1722-4F77-8C7C-B5B88DA754D0}</b:Guid>
    <b:Title>Researching Corporate Social Responsibility Communication: Themes, Opportunities and Challenges</b:Title>
    <b:JournalName>Journal of Management Studies</b:JournalName>
    <b:Year>2016</b:Year>
    <b:Author>
      <b:Author>
        <b:NameList>
          <b:Person>
            <b:Last>Crane</b:Last>
            <b:First>Andrew </b:First>
          </b:Person>
          <b:Person>
            <b:Last>Glozer</b:Last>
            <b:First>Sarah</b:First>
          </b:Person>
        </b:NameList>
      </b:Author>
    </b:Author>
    <b:Month>01</b:Month>
    <b:Day>29</b:Day>
    <b:Volume>53</b:Volume>
    <b:Issue>7</b:Issue>
    <b:YearAccessed>2021</b:YearAccessed>
    <b:MonthAccessed>12</b:MonthAccessed>
    <b:DayAccessed>10</b:DayAccessed>
    <b:DOI> https://doi.org/10.1111/joms.12196</b:DOI>
    <b:RefOrder>138</b:RefOrder>
  </b:Source>
  <b:Source>
    <b:Tag>Hil16</b:Tag>
    <b:SourceType>JournalArticle</b:SourceType>
    <b:Guid>{6B80BE14-2379-4883-A72C-AD2E242D9D89}</b:Guid>
    <b:Title>Shopping under the influence of curiosity: How retailers use mystery to drive purchase motivation</b:Title>
    <b:JournalName>Journal of Business Research</b:JournalName>
    <b:Year>2016</b:Year>
    <b:Pages>1028-1034</b:Pages>
    <b:Volume>69</b:Volume>
    <b:Issue>3</b:Issue>
    <b:Month>03</b:Month>
    <b:YearAccessed>2022</b:YearAccessed>
    <b:MonthAccessed>01</b:MonthAccessed>
    <b:DayAccessed>25</b:DayAccessed>
    <b:DOI>https://doi.org/10.1016/j.jbusres.2015.08.015</b:DOI>
    <b:Author>
      <b:Author>
        <b:NameList>
          <b:Person>
            <b:Last>Hill</b:Last>
            <b:Middle>M</b:Middle>
            <b:First>Krista</b:First>
          </b:Person>
          <b:Person>
            <b:Last>Fombelle</b:Last>
            <b:Middle>M</b:Middle>
            <b:First>Paul</b:First>
          </b:Person>
          <b:Person>
            <b:Last>Sirianni</b:Last>
            <b:Middle>J</b:Middle>
            <b:First>Nancy</b:First>
          </b:Person>
        </b:NameList>
      </b:Author>
    </b:Author>
    <b:RefOrder>145</b:RefOrder>
  </b:Source>
  <b:Source>
    <b:Tag>Wri18</b:Tag>
    <b:SourceType>JournalArticle</b:SourceType>
    <b:Guid>{D64E6D40-89D4-47AA-A7EE-5937F8860C76}</b:Guid>
    <b:Title>Circumventing resistance to novel information: Piquing curiosity through strategic information revelation</b:Title>
    <b:JournalName>Journal of Experimental Social Psychology</b:JournalName>
    <b:Year>2018</b:Year>
    <b:Month>01</b:Month>
    <b:Day>05</b:Day>
    <b:YearAccessed>2022</b:YearAccessed>
    <b:MonthAccessed>01</b:MonthAccessed>
    <b:DayAccessed>25</b:DayAccessed>
    <b:DOI>10.1016/j.jesp.2017.12.010</b:DOI>
    <b:Author>
      <b:Author>
        <b:NameList>
          <b:Person>
            <b:Last>Wright</b:Last>
            <b:Middle>A.</b:Middle>
            <b:First>Scott</b:First>
          </b:Person>
          <b:Person>
            <b:Last>Clarkson</b:Last>
            <b:Middle>J</b:Middle>
            <b:First>Joshua</b:First>
          </b:Person>
          <b:Person>
            <b:Last>Kardes </b:Last>
            <b:Middle>R.</b:Middle>
            <b:First>Frank </b:First>
          </b:Person>
        </b:NameList>
      </b:Author>
    </b:Author>
    <b:RefOrder>146</b:RefOrder>
  </b:Source>
  <b:Source>
    <b:Tag>Cul17</b:Tag>
    <b:SourceType>BookSection</b:SourceType>
    <b:Guid>{59EBA3E8-2C0E-4937-9365-162EF199D787}</b:Guid>
    <b:Title>Information and Value: The economics of advertising</b:Title>
    <b:Year>2017</b:Year>
    <b:Pages>87-96</b:Pages>
    <b:Author>
      <b:Author>
        <b:NameList>
          <b:Person>
            <b:Last>Culley</b:Last>
            <b:First>Robert</b:First>
          </b:Person>
        </b:NameList>
      </b:Author>
      <b:Editor>
        <b:NameList>
          <b:Person>
            <b:Last>1st</b:Last>
          </b:Person>
        </b:NameList>
      </b:Editor>
    </b:Author>
    <b:BookTitle>Essentials of Advertising</b:BookTitle>
    <b:RefOrder>149</b:RefOrder>
  </b:Source>
  <b:Source>
    <b:Tag>Wei01</b:Tag>
    <b:SourceType>JournalArticle</b:SourceType>
    <b:Guid>{211AA277-8214-48FE-9765-FF05C199A932}</b:Guid>
    <b:Title>Research in exploring the online consumer experience. In Advances in consumer research</b:Title>
    <b:JournalName>Advances in Consumer Research</b:JournalName>
    <b:Year>2001</b:Year>
    <b:Pages>227-232</b:Pages>
    <b:Volume>28</b:Volume>
    <b:Author>
      <b:Author>
        <b:NameList>
          <b:Person>
            <b:Last>Weinberg</b:Last>
            <b:Middle>D</b:Middle>
            <b:First>Bruce </b:First>
          </b:Person>
        </b:NameList>
      </b:Author>
    </b:Author>
    <b:RefOrder>151</b:RefOrder>
  </b:Source>
  <b:Source>
    <b:Tag>Zha19</b:Tag>
    <b:SourceType>JournalArticle</b:SourceType>
    <b:Guid>{95009F27-2631-4E0B-BE40-6E899184A111}</b:Guid>
    <b:Title>Targeted advertising by asymmetric firms</b:Title>
    <b:Year>2019</b:Year>
    <b:Pages>136-150</b:Pages>
    <b:Author>
      <b:Author>
        <b:NameList>
          <b:Person>
            <b:Last>Zhang</b:Last>
            <b:First>Jianqiang</b:First>
          </b:Person>
          <b:Person>
            <b:Last>He</b:Last>
            <b:First>Xiuli</b:First>
          </b:Person>
        </b:NameList>
      </b:Author>
    </b:Author>
    <b:Month>12</b:Month>
    <b:Volume>89</b:Volume>
    <b:YearAccessed>2022</b:YearAccessed>
    <b:MonthAccessed>02</b:MonthAccessed>
    <b:DayAccessed>01</b:DayAccessed>
    <b:DOI>Xiuli</b:DOI>
    <b:RefOrder>164</b:RefOrder>
  </b:Source>
  <b:Source>
    <b:Tag>WuL20</b:Tag>
    <b:SourceType>JournalArticle</b:SourceType>
    <b:Guid>{AF07B087-B796-4440-904F-E997DC60F3CC}</b:Guid>
    <b:Title>Is Native Advertising Effective for Corporate Social Responsibility Messaging?</b:Title>
    <b:JournalName>Journal of Advertising Research</b:JournalName>
    <b:Year>2020</b:Year>
    <b:Author>
      <b:Author>
        <b:NameList>
          <b:Person>
            <b:Last>Wu</b:Last>
            <b:First>Linwan</b:First>
          </b:Person>
          <b:Person>
            <b:Last>Overton</b:Last>
            <b:First>Holly</b:First>
          </b:Person>
        </b:NameList>
      </b:Author>
    </b:Author>
    <b:Month>08</b:Month>
    <b:YearAccessed>2021</b:YearAccessed>
    <b:MonthAccessed>02</b:MonthAccessed>
    <b:DayAccessed>15</b:DayAccessed>
    <b:DOI> 10.2501/JAR-2020-019</b:DOI>
    <b:RefOrder>165</b:RefOrder>
  </b:Source>
  <b:Source>
    <b:Tag>Ass17</b:Tag>
    <b:SourceType>JournalArticle</b:SourceType>
    <b:Guid>{897CE719-B030-471C-BBC7-D9C901FB62A3}</b:Guid>
    <b:Title>Advertising spending, firm performance, and the moderating impact of CSR</b:Title>
    <b:JournalName>Tourism Economics</b:JournalName>
    <b:Year>2017</b:Year>
    <b:Month>04</b:Month>
    <b:Day>28</b:Day>
    <b:Volume>23</b:Volume>
    <b:Issue>7</b:Issue>
    <b:YearAccessed>2021</b:YearAccessed>
    <b:MonthAccessed>02</b:MonthAccessed>
    <b:DayAccessed>22</b:DayAccessed>
    <b:DOI>10.1177/1354816617704739</b:DOI>
    <b:Author>
      <b:Author>
        <b:NameList>
          <b:Person>
            <b:Last>Assaf</b:Last>
            <b:Middle>George</b:Middle>
            <b:First>A</b:First>
          </b:Person>
          <b:Person>
            <b:Last>Josiassen</b:Last>
            <b:First>Alexander</b:First>
          </b:Person>
          <b:Person>
            <b:Last>Ahn</b:Last>
            <b:Middle>Sun</b:Middle>
            <b:First>Jin</b:First>
          </b:Person>
          <b:Person>
            <b:Last>Mattila</b:Last>
            <b:Middle>S</b:Middle>
            <b:First>Anna</b:First>
          </b:Person>
        </b:NameList>
      </b:Author>
    </b:Author>
    <b:RefOrder>168</b:RefOrder>
  </b:Source>
  <b:Source>
    <b:Tag>Bha04</b:Tag>
    <b:SourceType>JournalArticle</b:SourceType>
    <b:Guid>{49FE598C-6E4C-43A6-8769-ABD8E3EACB25}</b:Guid>
    <b:Title>Doing Better at Doing Good: When, Why, and How Consumers Respond to Corporate Social Initiatives</b:Title>
    <b:JournalName>California Management Review</b:JournalName>
    <b:Year>2004</b:Year>
    <b:Volume>47</b:Volume>
    <b:Issue>1</b:Issue>
    <b:Author>
      <b:Author>
        <b:NameList>
          <b:Person>
            <b:Last> Bhattacharya</b:Last>
            <b:Middle>B</b:Middle>
            <b:First>C</b:First>
          </b:Person>
          <b:Person>
            <b:Last>Sen</b:Last>
            <b:First>Sankar</b:First>
          </b:Person>
        </b:NameList>
      </b:Author>
    </b:Author>
    <b:YearAccessed>2021</b:YearAccessed>
    <b:MonthAccessed>12</b:MonthAccessed>
    <b:DayAccessed>26</b:DayAccessed>
    <b:URL>https://journals.sagepub.com/doi/pdf/10.2307/41166284?casa_token=Em-xFCatIrQAAAAA:PcjSiwbFRucR-HAH8h_XVviEoQss0AKb-3a7GHO5OmZpj3bgAP4SY38D1iNZn48DoxxDEjKW_bjFWQ4</b:URL>
    <b:RefOrder>169</b:RefOrder>
  </b:Source>
  <b:Source>
    <b:Tag>Kit12</b:Tag>
    <b:SourceType>JournalArticle</b:SourceType>
    <b:Guid>{F9A5A0B2-9DE7-4C3D-8A11-64D973D9EB08}</b:Guid>
    <b:Title>Economic Perspectives on Corporate Social Responsibility</b:Title>
    <b:JournalName>Journal of Economic Literature</b:JournalName>
    <b:Year>2012</b:Year>
    <b:Pages>51-84</b:Pages>
    <b:Month>3</b:Month>
    <b:Volume>50</b:Volume>
    <b:Issue>1</b:Issue>
    <b:YearAccessed>2021</b:YearAccessed>
    <b:MonthAccessed>01</b:MonthAccessed>
    <b:DayAccessed>26</b:DayAccessed>
    <b:URL>http:www.aeaweb.org/articles.php?doi=10.1257/jel.50.1.51</b:URL>
    <b:DOI>10.1257/jel.50.1.51</b:DOI>
    <b:Author>
      <b:Author>
        <b:NameList>
          <b:Person>
            <b:Last>Kitzmueller</b:Last>
            <b:First>Markus</b:First>
          </b:Person>
          <b:Person>
            <b:Last>Shimshack</b:Last>
            <b:First>Jay</b:First>
          </b:Person>
        </b:NameList>
      </b:Author>
    </b:Author>
    <b:RefOrder>173</b:RefOrder>
  </b:Source>
  <b:Source>
    <b:Tag>Beu21</b:Tag>
    <b:SourceType>JournalArticle</b:SourceType>
    <b:Guid>{0CEB00FD-F4CD-4CF5-945F-AF4B45C97639}</b:Guid>
    <b:Title>Keeping Up with Media Multitasking: An Eye-Tracking Study among Children and Adults to Investigate the Impact of Media Multitasking Behavior on Switching Frequency, Advertising Attention, and Advertising Effectiveness.</b:Title>
    <b:JournalName>Journal of Advertising</b:JournalName>
    <b:Year>2021</b:Year>
    <b:Pages>197-206</b:Pages>
    <b:Author>
      <b:Author>
        <b:NameList>
          <b:Person>
            <b:Last>Beuckels</b:Last>
            <b:First>Emma</b:First>
          </b:Person>
          <b:Person>
            <b:Last>De Jans</b:Last>
            <b:First>Steffi</b:First>
          </b:Person>
          <b:Person>
            <b:Last>Cauberghe</b:Last>
            <b:First>Veroline</b:First>
          </b:Person>
          <b:Person>
            <b:Last>Hudders</b:Last>
            <b:First>Liselot</b:First>
          </b:Person>
        </b:NameList>
      </b:Author>
    </b:Author>
    <b:Month>05</b:Month>
    <b:Volume>50</b:Volume>
    <b:Issue>02</b:Issue>
    <b:YearAccessed>2022</b:YearAccessed>
    <b:MonthAccessed>02</b:MonthAccessed>
    <b:DayAccessed>03</b:DayAccessed>
    <b:DOI>10.1080/00913367.2020.1867263</b:DOI>
    <b:RefOrder>174</b:RefOrder>
  </b:Source>
  <b:Source>
    <b:Tag>Chu11</b:Tag>
    <b:SourceType>JournalArticle</b:SourceType>
    <b:Guid>{3F8B9447-9FF2-478F-AB33-76CF3D1196C7}</b:Guid>
    <b:Title>The Effects of Humor on Ad Processing: Mediating Role of Brand Familiarity</b:Title>
    <b:JournalName>Journal of Promotion Management </b:JournalName>
    <b:Year>2011</b:Year>
    <b:Pages>76-95</b:Pages>
    <b:Author>
      <b:Author>
        <b:NameList>
          <b:Person>
            <b:Last>Chung</b:Last>
            <b:First>Hwiman</b:First>
          </b:Person>
          <b:Person>
            <b:Last>Zhao</b:Last>
            <b:First>Xinshu </b:First>
          </b:Person>
        </b:NameList>
      </b:Author>
    </b:Author>
    <b:Month>03</b:Month>
    <b:Day>16</b:Day>
    <b:Volume>17</b:Volume>
    <b:Issue>01</b:Issue>
    <b:YearAccessed>2022</b:YearAccessed>
    <b:MonthAccessed>02</b:MonthAccessed>
    <b:DayAccessed>01</b:DayAccessed>
    <b:DOI>https://doi.org/10.1080/10496491.2011.553788</b:DOI>
    <b:RefOrder>179</b:RefOrder>
  </b:Source>
  <b:Source>
    <b:Tag>Cli07</b:Tag>
    <b:SourceType>JournalArticle</b:SourceType>
    <b:Guid>{80F9B00A-A0F8-419A-A03D-5DB77D063CAC}</b:Guid>
    <b:Title>The Influence of Humor Strength and Humor—Message Relatedness on Ad Memorability: A Dual Process Model</b:Title>
    <b:JournalName>Journal of Advertising</b:JournalName>
    <b:Year>2007</b:Year>
    <b:Pages>55-67</b:Pages>
    <b:Month>04</b:Month>
    <b:Volume>36</b:Volume>
    <b:Issue>01</b:Issue>
    <b:YearAccessed>2022</b:YearAccessed>
    <b:MonthAccessed>02</b:MonthAccessed>
    <b:DayAccessed>01</b:DayAccessed>
    <b:DOI>10.2753/JOA0091-3367360104</b:DOI>
    <b:Author>
      <b:Author>
        <b:NameList>
          <b:Person>
            <b:Last>Cline</b:Last>
            <b:Middle>W</b:Middle>
            <b:First>Thomas</b:First>
          </b:Person>
          <b:Person>
            <b:Last>Kellaris</b:Last>
            <b:Middle>J</b:Middle>
            <b:First>James</b:First>
          </b:Person>
        </b:NameList>
      </b:Author>
    </b:Author>
    <b:RefOrder>180</b:RefOrder>
  </b:Source>
  <b:Source>
    <b:Tag>Gro05</b:Tag>
    <b:SourceType>JournalArticle</b:SourceType>
    <b:Guid>{302348B5-BDB0-4827-842A-E859670F1184}</b:Guid>
    <b:Title>Customers as Good Soldiers: Examining Citizenship Behaviors in Internet Service Deliveries</b:Title>
    <b:JournalName>Journal of Management</b:JournalName>
    <b:Year>2005</b:Year>
    <b:Month>February</b:Month>
    <b:Publisher>Sage</b:Publisher>
    <b:Volume>31</b:Volume>
    <b:Issue>1</b:Issue>
    <b:YearAccessed>2021</b:YearAccessed>
    <b:MonthAccessed>January</b:MonthAccessed>
    <b:DayAccessed>11</b:DayAccessed>
    <b:DOI>10.1177/0149206304271375</b:DOI>
    <b:Author>
      <b:Author>
        <b:NameList>
          <b:Person>
            <b:Last>Groth</b:Last>
            <b:First>Markus </b:First>
          </b:Person>
        </b:NameList>
      </b:Author>
    </b:Author>
    <b:RefOrder>1044</b:RefOrder>
  </b:Source>
  <b:Source>
    <b:Tag>Han20</b:Tag>
    <b:SourceType>JournalArticle</b:SourceType>
    <b:Guid>{BC57384F-16AB-47BC-B268-F58D24CB7215}</b:Guid>
    <b:Title>Perceived Consumer Effectiveness</b:Title>
    <b:JournalName>Responsible Consumption and Production</b:JournalName>
    <b:Year>2020</b:Year>
    <b:Author>
      <b:Author>
        <b:NameList>
          <b:Person>
            <b:Last>Hanss</b:Last>
            <b:First>Daniel</b:First>
          </b:Person>
          <b:Person>
            <b:Last>Doran</b:Last>
            <b:First>Rouven</b:First>
          </b:Person>
        </b:NameList>
      </b:Author>
    </b:Author>
    <b:Month>March</b:Month>
    <b:Day>31</b:Day>
    <b:YearAccessed>2021</b:YearAccessed>
    <b:MonthAccessed>01</b:MonthAccessed>
    <b:DayAccessed>11</b:DayAccessed>
    <b:DOI>https://doi.org/10.1007/978-3-319-95726-5_33</b:DOI>
    <b:RefOrder>183</b:RefOrder>
  </b:Source>
  <b:Source>
    <b:Tag>Spe73</b:Tag>
    <b:SourceType>JournalArticle</b:SourceType>
    <b:Guid>{CAB70433-2968-4574-B50A-C60BC5178688}</b:Guid>
    <b:Title>Job Market Signaling</b:Title>
    <b:JournalName>The Quarterly Journal of Economics</b:JournalName>
    <b:Year>1973</b:Year>
    <b:Pages>355-374</b:Pages>
    <b:Author>
      <b:Author>
        <b:NameList>
          <b:Person>
            <b:Last>Spence </b:Last>
            <b:First>Michael</b:First>
          </b:Person>
        </b:NameList>
      </b:Author>
    </b:Author>
    <b:Month>August</b:Month>
    <b:Publisher>The MIT Press</b:Publisher>
    <b:Volume>87</b:Volume>
    <b:Issue>3</b:Issue>
    <b:YearAccessed>2021</b:YearAccessed>
    <b:MonthAccessed>01</b:MonthAccessed>
    <b:DayAccessed>11</b:DayAccessed>
    <b:URL> http://www.jstor.org/stable/1882010</b:URL>
    <b:RefOrder>184</b:RefOrder>
  </b:Source>
  <b:Source>
    <b:Tag>New14</b:Tag>
    <b:SourceType>JournalArticle</b:SourceType>
    <b:Guid>{B3993134-7C57-43BB-B6B5-2298427090EF}</b:Guid>
    <b:Title>When Going Green Backfires: How Firm Intentions Shape the Evaluation of Socially Beneficial Product Enhancements.</b:Title>
    <b:JournalName>Journal of Consumer Research.</b:JournalName>
    <b:Year>2014</b:Year>
    <b:Pages>823 - 839</b:Pages>
    <b:Author>
      <b:Author>
        <b:NameList>
          <b:Person>
            <b:Last>Newman</b:Last>
            <b:Middle>E</b:Middle>
            <b:First>George</b:First>
          </b:Person>
          <b:Person>
            <b:Last>Gorlin</b:Last>
            <b:First>Margarita</b:First>
          </b:Person>
          <b:Person>
            <b:Last>Dhar</b:Last>
            <b:First>Ravi</b:First>
          </b:Person>
        </b:NameList>
      </b:Author>
    </b:Author>
    <b:Month>October </b:Month>
    <b:Volume>41</b:Volume>
    <b:Issue>3</b:Issue>
    <b:YearAccessed>2020</b:YearAccessed>
    <b:MonthAccessed>December </b:MonthAccessed>
    <b:DayAccessed>4</b:DayAccessed>
    <b:DOI>10.1086/677841</b:DOI>
    <b:RefOrder>185</b:RefOrder>
  </b:Source>
  <b:Source>
    <b:Tag>Alw15</b:Tag>
    <b:SourceType>JournalArticle</b:SourceType>
    <b:Guid>{DA3CD8A2-0BFB-45CE-A231-952CD574FB69}</b:Guid>
    <b:Title>The Changing Dynamics of Class and Culture in American Politics: A Test of the Polarization Hypothesis</b:Title>
    <b:JournalName>The ANNALS of the American Academy of Political and Social Science </b:JournalName>
    <b:Year>2015</b:Year>
    <b:Author>
      <b:Author>
        <b:NameList>
          <b:Person>
            <b:Last>Alwin</b:Last>
            <b:Middle>F.</b:Middle>
            <b:First>Duane</b:First>
          </b:Person>
          <b:Person>
            <b:Last>Tufiş</b:Last>
            <b:Middle>A</b:Middle>
            <b:First>Paula</b:First>
          </b:Person>
        </b:NameList>
      </b:Author>
    </b:Author>
    <b:Month>12</b:Month>
    <b:Day>10</b:Day>
    <b:Volume>663</b:Volume>
    <b:Issue>1</b:Issue>
    <b:YearAccessed>2022</b:YearAccessed>
    <b:MonthAccessed>02</b:MonthAccessed>
    <b:DayAccessed>15</b:DayAccessed>
    <b:DOI>https://doi.org/10.1177/0002716215596974</b:DOI>
    <b:RefOrder>190</b:RefOrder>
  </b:Source>
  <b:Source>
    <b:Tag>Bec11</b:Tag>
    <b:SourceType>JournalArticle</b:SourceType>
    <b:Guid>{C3AA7E24-0358-442B-823A-8127CF8DC145}</b:Guid>
    <b:Title>A Cross-Cultural Examination of Corporate Social Responsibility Marketing Communications in Mexico and the United States: Strategies for Global Brands</b:Title>
    <b:JournalName>Journal of International Marketing</b:JournalName>
    <b:Year>2011</b:Year>
    <b:Pages>30-44</b:Pages>
    <b:Author>
      <b:Author>
        <b:NameList>
          <b:Person>
            <b:Last>Becker-Olsen</b:Last>
            <b:Middle>L</b:Middle>
            <b:First>Karen</b:First>
          </b:Person>
          <b:Person>
            <b:Last>Taylor</b:Last>
            <b:Middle>R</b:Middle>
            <b:First>Charles</b:First>
          </b:Person>
          <b:Person>
            <b:Last>Hill</b:Last>
            <b:Middle>Paul</b:Middle>
            <b:First>Ronald</b:First>
          </b:Person>
          <b:Person>
            <b:Last>Yalcinkaya</b:Last>
            <b:First>Goksel </b:First>
          </b:Person>
        </b:NameList>
      </b:Author>
    </b:Author>
    <b:Month>June</b:Month>
    <b:Day>1</b:Day>
    <b:Volume>19</b:Volume>
    <b:Issue>2</b:Issue>
    <b:YearAccessed>2020</b:YearAccessed>
    <b:MonthAccessed>December</b:MonthAccessed>
    <b:DayAccessed>09</b:DayAccessed>
    <b:DOI>10.1509/jimk.19.2.30</b:DOI>
    <b:RefOrder>194</b:RefOrder>
  </b:Source>
  <b:Source>
    <b:Tag>Bud04</b:Tag>
    <b:SourceType>BookSection</b:SourceType>
    <b:Guid>{42E13E2F-6125-47AF-9D39-B5E98CEB442C}</b:Guid>
    <b:Title>Human Resource Management in Developing Countries</b:Title>
    <b:Year>2004</b:Year>
    <b:BookTitle>Human Resource Management</b:BookTitle>
    <b:Pages>384</b:Pages>
    <b:Publisher>London: Routledge</b:Publisher>
    <b:Author>
      <b:Author>
        <b:NameList>
          <b:Person>
            <b:Last>Budhwar</b:Last>
            <b:Middle>S</b:Middle>
            <b:First>Pawan</b:First>
          </b:Person>
          <b:Person>
            <b:Last>Debrah</b:Last>
            <b:Middle>A</b:Middle>
            <b:First>Yaw</b:First>
          </b:Person>
        </b:NameList>
      </b:Author>
    </b:Author>
    <b:RefOrder>1045</b:RefOrder>
  </b:Source>
  <b:Source>
    <b:Tag>Amr09</b:Tag>
    <b:SourceType>JournalArticle</b:SourceType>
    <b:Guid>{A1A42939-4BBF-45E0-B76D-25542E0221A4}</b:Guid>
    <b:Title>Corporate social reporting in Malaysia: a case of mimicking the West or succumbing to local pressure</b:Title>
    <b:Year>2009</b:Year>
    <b:Pages>358-375</b:Pages>
    <b:JournalName>Social Responsibility Journal</b:JournalName>
    <b:Volume>5</b:Volume>
    <b:Issue>3</b:Issue>
    <b:Author>
      <b:Author>
        <b:NameList>
          <b:Person>
            <b:Last>Amran</b:Last>
            <b:First>Azlan</b:First>
          </b:Person>
          <b:Person>
            <b:Last>Siti‐Nabiha</b:Last>
            <b:First>A.K.</b:First>
          </b:Person>
        </b:NameList>
      </b:Author>
    </b:Author>
    <b:Month>07</b:Month>
    <b:Day>31</b:Day>
    <b:YearAccessed>2021</b:YearAccessed>
    <b:MonthAccessed>12</b:MonthAccessed>
    <b:DayAccessed>30</b:DayAccessed>
    <b:DOI>https://doi.org/10.1108/17471110910977285</b:DOI>
    <b:RefOrder>1046</b:RefOrder>
  </b:Source>
  <b:Source>
    <b:Tag>Dha17</b:Tag>
    <b:SourceType>JournalArticle</b:SourceType>
    <b:Guid>{8A4AA6F2-B51C-4149-BF6C-4610225D7133}</b:Guid>
    <b:Title>Individualism and Collectivism</b:Title>
    <b:Year>2017</b:Year>
    <b:Author>
      <b:Author>
        <b:NameList>
          <b:Person>
            <b:Last>Dharm </b:Last>
            <b:Middle>P. S.</b:Middle>
            <b:First>Bhawuk</b:First>
          </b:Person>
        </b:NameList>
      </b:Author>
    </b:Author>
    <b:Month>06</b:Month>
    <b:Day>27</b:Day>
    <b:YearAccessed>2022</b:YearAccessed>
    <b:MonthAccessed>09</b:MonthAccessed>
    <b:DayAccessed>25</b:DayAccessed>
    <b:URL>https://doi.org/10.1002/9781118783665.ieicc0107</b:URL>
    <b:JournalName>The International Encyclopedia of Intercultural Communication</b:JournalName>
    <b:RefOrder>201</b:RefOrder>
  </b:Source>
  <b:Source>
    <b:Tag>Hof01</b:Tag>
    <b:SourceType>Book</b:SourceType>
    <b:Guid>{65A98A86-ED13-407B-B8BD-F0B4F2B16454}</b:Guid>
    <b:Title>Culture’s Consequences: Comparing Values, Behaviors, Institutions, and Organizations Across Nations</b:Title>
    <b:Year>2001</b:Year>
    <b:Publisher>Sage Publication</b:Publisher>
    <b:YearAccessed>2022</b:YearAccessed>
    <b:MonthAccessed>09</b:MonthAccessed>
    <b:DayAccessed>25</b:DayAccessed>
    <b:Edition>2nd</b:Edition>
    <b:Author>
      <b:Author>
        <b:NameList>
          <b:Person>
            <b:Last>Hofstede</b:Last>
            <b:First>Geert</b:First>
          </b:Person>
        </b:NameList>
      </b:Author>
    </b:Author>
    <b:RefOrder>202</b:RefOrder>
  </b:Source>
  <b:Source>
    <b:Tag>Fat20</b:Tag>
    <b:SourceType>JournalArticle</b:SourceType>
    <b:Guid>{08FAF407-E378-4D99-9D26-05BC153D3052}</b:Guid>
    <b:Title>The expanded view of individualism and collectivism: One, two, or four dimensions?</b:Title>
    <b:Year>2020</b:Year>
    <b:Publisher>Sage Journals</b:Publisher>
    <b:JournalName>International Journal of Cross Cultural Management</b:JournalName>
    <b:Author>
      <b:Author>
        <b:NameList>
          <b:Person>
            <b:Last>Fatehi</b:Last>
            <b:First>Kamal </b:First>
          </b:Person>
          <b:Person>
            <b:Last>Priestley</b:Last>
            <b:Middle>L.</b:Middle>
            <b:First>Jennifer </b:First>
          </b:Person>
          <b:Person>
            <b:Last>Taasoobshirazi</b:Last>
            <b:First>Gita </b:First>
          </b:Person>
        </b:NameList>
      </b:Author>
    </b:Author>
    <b:Month>04</b:Month>
    <b:Day>07</b:Day>
    <b:Volume>20</b:Volume>
    <b:Issue>01</b:Issue>
    <b:YearAccessed>2022</b:YearAccessed>
    <b:MonthAccessed>09</b:MonthAccessed>
    <b:DayAccessed>25</b:DayAccessed>
    <b:URL>https://doi.org/10.1177/1470595820913077</b:URL>
    <b:RefOrder>203</b:RefOrder>
  </b:Source>
  <b:Source>
    <b:Tag>Nic21</b:Tag>
    <b:SourceType>InternetSite</b:SourceType>
    <b:Guid>{88222B30-E986-4E5A-BA25-3F71C88CC08B}</b:Guid>
    <b:Title>Understanding Collectivist Cultures</b:Title>
    <b:Year>2021</b:Year>
    <b:InternetSiteTitle>Simply Psychology</b:InternetSiteTitle>
    <b:Month>09</b:Month>
    <b:Day>22</b:Day>
    <b:URL>https://www.simplypsychology.org/what-are-collectivistic-cultures.html</b:URL>
    <b:Author>
      <b:Author>
        <b:NameList>
          <b:Person>
            <b:Last>Nickerson</b:Last>
            <b:First>Charlotte </b:First>
          </b:Person>
        </b:NameList>
      </b:Author>
    </b:Author>
    <b:RefOrder>205</b:RefOrder>
  </b:Source>
  <b:Source>
    <b:Tag>Placeholder1</b:Tag>
    <b:SourceType>InternetSite</b:SourceType>
    <b:Guid>{5A98DA58-E171-4618-A800-747772F43A09}</b:Guid>
    <b:Title>YouGov reveals FMCG/CPG brand rankings 2021 in UAE, KSA and Egypt</b:Title>
    <b:Year>2021</b:Year>
    <b:InternetSiteTitle>Campaign Middle East</b:InternetSiteTitle>
    <b:Month>09</b:Month>
    <b:Day>27</b:Day>
    <b:URL>https://campaignme.com/yougov-reveals-fmcg-cpg-brand-rankings-2021-in-uae-ksa-and-egypt/</b:URL>
    <b:YearAccessed>2022</b:YearAccessed>
    <b:MonthAccessed>10</b:MonthAccessed>
    <b:DayAccessed>01</b:DayAccessed>
    <b:Author>
      <b:Author>
        <b:NameList>
          <b:Person>
            <b:Last>Serrano</b:Last>
            <b:First>Sofia</b:First>
          </b:Person>
        </b:NameList>
      </b:Author>
    </b:Author>
    <b:RefOrder>46</b:RefOrder>
  </b:Source>
  <b:Source>
    <b:Tag>Adi18</b:Tag>
    <b:SourceType>JournalArticle</b:SourceType>
    <b:Guid>{9FAA39D7-37E9-49C6-BC82-844AEA3DB443}</b:Guid>
    <b:Title>Consumers' salient beliefs about green solar innovations: An elicitation study of Egyptian consumers</b:Title>
    <b:Year>2018</b:Year>
    <b:Pages>167-185</b:Pages>
    <b:Volume>08</b:Volume>
    <b:Issue>02</b:Issue>
    <b:Author>
      <b:Author>
        <b:NameList>
          <b:Person>
            <b:Last>Adib</b:Last>
            <b:First>Hagar</b:First>
          </b:Person>
          <b:Person>
            <b:Last>El-Bassiouny</b:Last>
            <b:First>Noha</b:First>
          </b:Person>
          <b:Person>
            <b:Last>Roosen</b:Last>
            <b:First>Jutta</b:First>
          </b:Person>
        </b:NameList>
      </b:Author>
    </b:Author>
    <b:Publisher>Westburn Publishers Ltd</b:Publisher>
    <b:YearAccessed>2022</b:YearAccessed>
    <b:MonthAccessed>01</b:MonthAccessed>
    <b:DayAccessed>29</b:DayAccessed>
    <b:DOI>https://doi-org.lsbu.idm.oclc.org/10.1362/204440818X15208755610883</b:DOI>
    <b:RefOrder>210</b:RefOrder>
  </b:Source>
  <b:Source>
    <b:Tag>Hoe02</b:Tag>
    <b:SourceType>JournalArticle</b:SourceType>
    <b:Guid>{129E6716-E89B-4CE3-B5C8-2457B11BFB6A}</b:Guid>
    <b:Title>Building brand equity through corporate societal marketing</b:Title>
    <b:JournalName>Journal of Public Policy &amp; Marketing</b:JournalName>
    <b:Year>2002</b:Year>
    <b:Volume>21</b:Volume>
    <b:Issue>1</b:Issue>
    <b:Author>
      <b:Author>
        <b:NameList>
          <b:Person>
            <b:Last>Hoefller</b:Last>
            <b:First>Steve</b:First>
          </b:Person>
          <b:Person>
            <b:Last>Keller </b:Last>
            <b:Middle>Lane</b:Middle>
            <b:First>Kevin</b:First>
          </b:Person>
        </b:NameList>
      </b:Author>
    </b:Author>
    <b:Month>04</b:Month>
    <b:Day>01</b:Day>
    <b:YearAccessed>2022</b:YearAccessed>
    <b:MonthAccessed>01</b:MonthAccessed>
    <b:DayAccessed>30</b:DayAccessed>
    <b:DOI>https://doi.org/10.1509/jppm.21.1.78.17600</b:DOI>
    <b:RefOrder>212</b:RefOrder>
  </b:Source>
  <b:Source>
    <b:Tag>Tay18</b:Tag>
    <b:SourceType>JournalArticle</b:SourceType>
    <b:Guid>{1BA1A6E9-F9EA-4FFB-92EE-52691CAA547B}</b:Guid>
    <b:Title>Red Alert: On The Need for More Research on Corporate Social Responsibility Apeals in Advertising</b:Title>
    <b:JournalName>INTERNATIONAL JOURNAL OF ADVERTISING</b:JournalName>
    <b:Year>2018</b:Year>
    <b:Pages>337-339</b:Pages>
    <b:Author>
      <b:Author>
        <b:NameList>
          <b:Person>
            <b:Last>Taylor </b:Last>
            <b:Middle>R</b:Middle>
            <b:First>Charles</b:First>
          </b:Person>
        </b:NameList>
      </b:Author>
    </b:Author>
    <b:Month>04</b:Month>
    <b:Day>18</b:Day>
    <b:Volume>37</b:Volume>
    <b:Issue>3</b:Issue>
    <b:YearAccessed>2021</b:YearAccessed>
    <b:MonthAccessed>06</b:MonthAccessed>
    <b:DayAccessed>08</b:DayAccessed>
    <b:DOI>https://doi.org/10.1080/02650487.2018.1458493</b:DOI>
    <b:RefOrder>218</b:RefOrder>
  </b:Source>
  <b:Source>
    <b:Tag>Blo06</b:Tag>
    <b:SourceType>JournalArticle</b:SourceType>
    <b:Guid>{AF97026E-09A7-4721-B075-95959361D8E7}</b:Guid>
    <b:Title>How Social-Cause Marketing Affects Consumer Perceptions</b:Title>
    <b:JournalName>MIT Sloan Management Review</b:JournalName>
    <b:Year>2006</b:Year>
    <b:Month>12</b:Month>
    <b:Volume>47</b:Volume>
    <b:Issue>2</b:Issue>
    <b:YearAccessed>2021</b:YearAccessed>
    <b:MonthAccessed>02</b:MonthAccessed>
    <b:DayAccessed>26</b:DayAccessed>
    <b:URL>http://library.cust.edu.pk/MIT/2006/Winter2006/47212SxW.pdf</b:URL>
    <b:Author>
      <b:Author>
        <b:NameList>
          <b:Person>
            <b:Last>Bloom</b:Last>
            <b:Middle>N</b:Middle>
            <b:First>Paul</b:First>
          </b:Person>
          <b:Person>
            <b:Last>Hoeffler </b:Last>
            <b:First>Steve</b:First>
          </b:Person>
          <b:Person>
            <b:Last>Keller</b:Last>
            <b:Middle>Lane</b:Middle>
            <b:First>Kevin</b:First>
          </b:Person>
          <b:Person>
            <b:Last>Basurto Meza</b:Last>
            <b:Middle>E</b:Middle>
            <b:First>Carlos</b:First>
          </b:Person>
        </b:NameList>
      </b:Author>
    </b:Author>
    <b:RefOrder>223</b:RefOrder>
  </b:Source>
  <b:Source>
    <b:Tag>Alw21</b:Tag>
    <b:SourceType>Book</b:SourceType>
    <b:Guid>{64681DE4-7C5A-4832-AECD-D762CF32A234}</b:Guid>
    <b:Title>Psychological Processes and Advertising Effects. Theory, Research, and Applications</b:Title>
    <b:Year>2021</b:Year>
    <b:Pages>318</b:Pages>
    <b:City>London</b:City>
    <b:Publisher>Routledge</b:Publisher>
    <b:Author>
      <b:Editor>
        <b:NameList>
          <b:Person>
            <b:Last>Alwitt</b:Last>
            <b:Middle>F.</b:Middle>
            <b:First>Linda </b:First>
          </b:Person>
          <b:Person>
            <b:Last>Mitchell</b:Last>
            <b:Middle>A.</b:Middle>
            <b:First>Andrew </b:First>
          </b:Person>
        </b:NameList>
      </b:Editor>
    </b:Author>
    <b:Edition>1st</b:Edition>
    <b:YearAccessed>2022</b:YearAccessed>
    <b:MonthAccessed>06</b:MonthAccessed>
    <b:DayAccessed>19</b:DayAccessed>
    <b:DOI>https://www.routledge.com/Psychological-Processes-and-Advertising-Effects-Theory-Research-and-Applications/Alwitt-Mitchell/p/book/9780367498801</b:DOI>
    <b:RefOrder>263</b:RefOrder>
  </b:Source>
  <b:Source>
    <b:Tag>Afi22</b:Tag>
    <b:SourceType>JournalArticle</b:SourceType>
    <b:Guid>{E072B437-A642-47E8-BF6A-4A562A83C74D}</b:Guid>
    <b:Title>Expertise, Trustworthiness, Similarity, Familiarity, Likeability, Product-Match Up of Celebrity Endorsement to Purchase Intention</b:Title>
    <b:JournalName>Journal of Communication &amp; Public Relations</b:JournalName>
    <b:Year>2022</b:Year>
    <b:Month>06</b:Month>
    <b:Day>30</b:Day>
    <b:Volume>01</b:Volume>
    <b:Issue>02</b:Issue>
    <b:YearAccessed>2022</b:YearAccessed>
    <b:MonthAccessed>08</b:MonthAccessed>
    <b:DayAccessed>25</b:DayAccessed>
    <b:DOI>https://doi.org/10.37535/105001220223</b:DOI>
    <b:Author>
      <b:Author>
        <b:NameList>
          <b:Person>
            <b:Last>Afifah</b:Last>
            <b:Middle>Februari </b:Middle>
            <b:First>Isti </b:First>
          </b:Person>
        </b:NameList>
      </b:Author>
    </b:Author>
    <b:RefOrder>261</b:RefOrder>
  </b:Source>
  <b:Source>
    <b:Tag>Ars21</b:Tag>
    <b:SourceType>JournalArticle</b:SourceType>
    <b:Guid>{1C92B8AC-B770-4301-9539-A8F99B9B8D59}</b:Guid>
    <b:Title>The impact of advertising controllable elements on consumers' attitude towards the advertisement, brand and purchase intention.</b:Title>
    <b:Year>2021</b:Year>
    <b:Author>
      <b:Author>
        <b:NameList>
          <b:Person>
            <b:Last>Arshad</b:Last>
            <b:First>Suhaila</b:First>
          </b:Person>
        </b:NameList>
      </b:Author>
    </b:Author>
    <b:Publisher>OpenUCT</b:Publisher>
    <b:YearAccessed>2022</b:YearAccessed>
    <b:MonthAccessed>08</b:MonthAccessed>
    <b:DayAccessed>05</b:DayAccessed>
    <b:URL>http://hdl.handle.net/11427/33631</b:URL>
    <b:RefOrder>1031</b:RefOrder>
  </b:Source>
  <b:Source>
    <b:Tag>Lea21</b:Tag>
    <b:SourceType>JournalArticle</b:SourceType>
    <b:Guid>{609D912D-9B2E-4536-A829-2115F9C472BB}</b:Guid>
    <b:Title>Emotional reactions to threats to acceptance and belonging: a retrospective look at the big picture</b:Title>
    <b:Year>2021</b:Year>
    <b:Month>02</b:Month>
    <b:Day>18</b:Day>
    <b:URL>https://doi.org/10.1080/00049530.2021.1883410</b:URL>
    <b:JournalName>Australian Journal of Psychology</b:JournalName>
    <b:Pages>4-11</b:Pages>
    <b:Author>
      <b:Author>
        <b:NameList>
          <b:Person>
            <b:Last>Leary</b:Last>
            <b:Middle>R</b:Middle>
            <b:First>Mark</b:First>
          </b:Person>
        </b:NameList>
      </b:Author>
    </b:Author>
    <b:Volume>73</b:Volume>
    <b:Issue>01</b:Issue>
    <b:YearAccessed>2022</b:YearAccessed>
    <b:MonthAccessed>08</b:MonthAccessed>
    <b:DayAccessed>23</b:DayAccessed>
    <b:RefOrder>272</b:RefOrder>
  </b:Source>
  <b:Source>
    <b:Tag>LiS22</b:Tag>
    <b:SourceType>JournalArticle</b:SourceType>
    <b:Guid>{2E5AAE99-3028-48B4-BCD2-24420C03B73E}</b:Guid>
    <b:Title>The impact of white space on consumers' perception of and attitude toward advertising.</b:Title>
    <b:JournalName>Social Behavior and Personality: An International Journal</b:JournalName>
    <b:Year>2022</b:Year>
    <b:Month>02</b:Month>
    <b:Publisher>Scientific Journal Publishers, Ltd.</b:Publisher>
    <b:Volume>50</b:Volume>
    <b:Issue>02</b:Issue>
    <b:YearAccessed>2022</b:YearAccessed>
    <b:MonthAccessed>08</b:MonthAccessed>
    <b:DayAccessed>23</b:DayAccessed>
    <b:URL>link.gale.com/apps/doc/A695507339/AONE?u=anon~5edb27f1&amp;sid=googleScholar&amp;xid=72434c7c.</b:URL>
    <b:Author>
      <b:Author>
        <b:NameList>
          <b:Person>
            <b:Last>Li</b:Last>
            <b:First>Shouwei </b:First>
          </b:Person>
          <b:Person>
            <b:Last>Liu</b:Last>
            <b:First>Ping </b:First>
          </b:Person>
          <b:Person>
            <b:Last>Li</b:Last>
            <b:First>Wei </b:First>
          </b:Person>
        </b:NameList>
      </b:Author>
    </b:Author>
    <b:RefOrder>1047</b:RefOrder>
  </b:Source>
  <b:Source>
    <b:Tag>Yoo22</b:Tag>
    <b:SourceType>JournalArticle</b:SourceType>
    <b:Guid>{FFFC8063-255D-4E58-862A-C26A763658E2}</b:Guid>
    <b:Title>What Likeability Attributes Attract People to Watch Online Video Advertisements?</b:Title>
    <b:JournalName>Electronics</b:JournalName>
    <b:Year>2022</b:Year>
    <b:Author>
      <b:Author>
        <b:NameList>
          <b:Person>
            <b:Last>Yoon</b:Last>
            <b:First>Sang-Hyeak</b:First>
          </b:Person>
          <b:Person>
            <b:Last>Lee</b:Last>
            <b:First>So-Hyun </b:First>
          </b:Person>
        </b:NameList>
      </b:Author>
    </b:Author>
    <b:Month>06</b:Month>
    <b:Day>23</b:Day>
    <b:Volume>11</b:Volume>
    <b:Issue>13</b:Issue>
    <b:YearAccessed>2022</b:YearAccessed>
    <b:MonthAccessed>08</b:MonthAccessed>
    <b:DayAccessed>16</b:DayAccessed>
    <b:DOI>https://doi.org/10.3390/electronics11131960</b:DOI>
    <b:RefOrder>273</b:RefOrder>
  </b:Source>
  <b:Source>
    <b:Tag>Tel19</b:Tag>
    <b:SourceType>JournalArticle</b:SourceType>
    <b:Guid>{F63FC334-C7AB-4BA1-8C23-1DA4F1CE97E5}</b:Guid>
    <b:Title>What Drives Virality (Sharing) of Online Digital Content? The Critical Role of Information, Emotion, and Brand Prominence</b:Title>
    <b:Year>2019</b:Year>
    <b:Month>04</b:Month>
    <b:Day>24</b:Day>
    <b:URL>https://doi.org/10.1177/0022242919841034</b:URL>
    <b:JournalName>Journal of Marketing</b:JournalName>
    <b:Author>
      <b:Author>
        <b:NameList>
          <b:Person>
            <b:Last>Tellis</b:Last>
            <b:Middle>J.</b:Middle>
            <b:First>Gerard</b:First>
          </b:Person>
          <b:Person>
            <b:Last>MacInnis</b:Last>
            <b:Middle>J.</b:Middle>
            <b:First>Deborah </b:First>
          </b:Person>
          <b:Person>
            <b:Last>Tirunillai</b:Last>
            <b:First>Seshadri </b:First>
          </b:Person>
          <b:Person>
            <b:Last>Zhang</b:Last>
            <b:First>Yanwei </b:First>
          </b:Person>
        </b:NameList>
      </b:Author>
    </b:Author>
    <b:Volume>83</b:Volume>
    <b:Issue>4</b:Issue>
    <b:YearAccessed>2022</b:YearAccessed>
    <b:MonthAccessed>08</b:MonthAccessed>
    <b:DayAccessed>16</b:DayAccessed>
    <b:RefOrder>274</b:RefOrder>
  </b:Source>
  <b:Source>
    <b:Tag>Yan22</b:Tag>
    <b:SourceType>JournalArticle</b:SourceType>
    <b:Guid>{DF5C66D9-18CA-4C2F-A0EA-B33C21B6FF08}</b:Guid>
    <b:Title>What kinds of online video advertising music do people like? A qualitative study.</b:Title>
    <b:JournalName>Social Behavior &amp; Personality: an international journal</b:JournalName>
    <b:Year>2022</b:Year>
    <b:Pages>1-13</b:Pages>
    <b:Author>
      <b:Author>
        <b:NameList>
          <b:Person>
            <b:Last>Yang</b:Last>
            <b:First>Ruo</b:First>
          </b:Person>
          <b:Person>
            <b:Last>Yang</b:Last>
            <b:First>Yongzhong</b:First>
          </b:Person>
          <b:Person>
            <b:Last>Song</b:Last>
            <b:First>Xiaoting</b:First>
          </b:Person>
          <b:Person>
            <b:Last>Zhang</b:Last>
            <b:First>Yu</b:First>
          </b:Person>
        </b:NameList>
      </b:Author>
    </b:Author>
    <b:Month>02</b:Month>
    <b:Volume>50</b:Volume>
    <b:Issue>02</b:Issue>
    <b:YearAccessed>2022</b:YearAccessed>
    <b:MonthAccessed>08</b:MonthAccessed>
    <b:DayAccessed>25</b:DayAccessed>
    <b:DOI>10.2224/sbp.10961</b:DOI>
    <b:RefOrder>1048</b:RefOrder>
  </b:Source>
  <b:Source>
    <b:Tag>Ngu15</b:Tag>
    <b:SourceType>JournalArticle</b:SourceType>
    <b:Guid>{58C07760-BB7B-40C0-8FD5-7DEA6ABE5BEA}</b:Guid>
    <b:Title>The Brand Likeability Scale: An Exploratory Study of Likeability in Firm-Level Brands</b:Title>
    <b:JournalName>International Journal of Market Research</b:JournalName>
    <b:Year>2015</b:Year>
    <b:Month>09</b:Month>
    <b:Day>01</b:Day>
    <b:Volume>57</b:Volume>
    <b:Issue>05</b:Issue>
    <b:YearAccessed>2022</b:YearAccessed>
    <b:MonthAccessed>03</b:MonthAccessed>
    <b:DayAccessed>06</b:DayAccessed>
    <b:DOI>https://doi.org/10.2501/IJMR-2015-063</b:DOI>
    <b:Author>
      <b:Author>
        <b:NameList>
          <b:Person>
            <b:Last>Nguyen</b:Last>
            <b:First>Bang</b:First>
          </b:Person>
          <b:Person>
            <b:Last>Ekinci</b:Last>
            <b:First>Yuksel</b:First>
          </b:Person>
          <b:Person>
            <b:Last>Simkin</b:Last>
            <b:First>Lyndon</b:First>
          </b:Person>
          <b:Person>
            <b:Last>Melewar</b:Last>
            <b:Middle>C.</b:Middle>
            <b:First>T.</b:First>
          </b:Person>
        </b:NameList>
      </b:Author>
    </b:Author>
    <b:RefOrder>279</b:RefOrder>
  </b:Source>
  <b:Source>
    <b:Tag>Dai22</b:Tag>
    <b:SourceType>JournalArticle</b:SourceType>
    <b:Guid>{02AC8932-F90D-4EF3-A41D-6A49FB774DC0}</b:Guid>
    <b:Title>The differential impact of monological and dialogical corporate social responsibility communication strategies on brand trust in the credence goods market</b:Title>
    <b:JournalName>Asia Pacific Journal of Marketing and Logistics</b:JournalName>
    <b:Year>2022</b:Year>
    <b:Month>02</b:Month>
    <b:Day>17</b:Day>
    <b:YearAccessed>2022</b:YearAccessed>
    <b:MonthAccessed>05</b:MonthAccessed>
    <b:DayAccessed>19</b:DayAccessed>
    <b:URL>https://www.emerald.com/insight/1355-5855.htm</b:URL>
    <b:Author>
      <b:Author>
        <b:NameList>
          <b:Person>
            <b:Last>Dai</b:Last>
            <b:First>Wenbin</b:First>
          </b:Person>
          <b:Person>
            <b:Last>Reich</b:Last>
            <b:Middle>Z.</b:Middle>
            <b:First>Allen</b:First>
          </b:Person>
        </b:NameList>
      </b:Author>
    </b:Author>
    <b:RefOrder>292</b:RefOrder>
  </b:Source>
  <b:Source>
    <b:Tag>Zha191</b:Tag>
    <b:SourceType>JournalArticle</b:SourceType>
    <b:Guid>{F044FBD1-9776-44DB-9897-AEE31B6CB5C8}</b:Guid>
    <b:Title>Social media and Chinese consumers’ environmentally sustainable apparel purchase intentions</b:Title>
    <b:JournalName>Asia Pacific Journal of Marketing and Logistics</b:JournalName>
    <b:Year>2019</b:Year>
    <b:Pages>855-874</b:Pages>
    <b:Author>
      <b:Author>
        <b:NameList>
          <b:Person>
            <b:Last>Zhao</b:Last>
            <b:First>Li</b:First>
          </b:Person>
          <b:Person>
            <b:Last>Lee</b:Last>
            <b:Middle>H.</b:Middle>
            <b:First>Stacy</b:First>
          </b:Person>
          <b:Person>
            <b:Last>Copeland </b:Last>
            <b:Middle>Reiter </b:Middle>
            <b:First>Lauren </b:First>
          </b:Person>
        </b:NameList>
      </b:Author>
    </b:Author>
    <b:Month>08</b:Month>
    <b:Day>21</b:Day>
    <b:Volume>31</b:Volume>
    <b:Issue>04</b:Issue>
    <b:YearAccessed>2022</b:YearAccessed>
    <b:MonthAccessed>05</b:MonthAccessed>
    <b:DayAccessed>18</b:DayAccessed>
    <b:DOI>https://doi.org/10.1108/APJML-08-2017-0183</b:DOI>
    <b:RefOrder>295</b:RefOrder>
  </b:Source>
  <b:Source>
    <b:Tag>Cha18</b:Tag>
    <b:SourceType>JournalArticle</b:SourceType>
    <b:Guid>{110D7898-174A-426C-8B26-A2A903945E4B}</b:Guid>
    <b:Title>Impact of the link between individuals and their region on the customer-regional brand relationship</b:Title>
    <b:Year>2018</b:Year>
    <b:Author>
      <b:Author>
        <b:NameList>
          <b:Person>
            <b:Last>Charton-Vachet</b:Last>
            <b:First>Florence</b:First>
          </b:Person>
          <b:Person>
            <b:Last>Lombart</b:Last>
            <b:First>Cindy</b:First>
          </b:Person>
        </b:NameList>
      </b:Author>
    </b:Author>
    <b:JournalName>Journal of Retailing and Consumer Services</b:JournalName>
    <b:Pages>170-187</b:Pages>
    <b:Month>07</b:Month>
    <b:Volume>43</b:Volume>
    <b:YearAccessed>2022</b:YearAccessed>
    <b:MonthAccessed>08</b:MonthAccessed>
    <b:DayAccessed>27</b:DayAccessed>
    <b:DOI>https://doi.org/10.1016/j.jretconser.2018.03.016</b:DOI>
    <b:RefOrder>309</b:RefOrder>
  </b:Source>
  <b:Source>
    <b:Tag>Den16</b:Tag>
    <b:SourceType>JournalArticle</b:SourceType>
    <b:Guid>{A5FFD149-7B15-4FC8-97C9-F276C6D1F473}</b:Guid>
    <b:Title>The role of brand attachment strength in higher education</b:Title>
    <b:JournalName>Journal of Business Research</b:JournalName>
    <b:Year>2016</b:Year>
    <b:Pages>3049-3057</b:Pages>
    <b:Month>08</b:Month>
    <b:Volume>69</b:Volume>
    <b:Issue>08</b:Issue>
    <b:YearAccessed>2022</b:YearAccessed>
    <b:MonthAccessed>08</b:MonthAccessed>
    <b:DayAccessed>27</b:DayAccessed>
    <b:URL>https://doi.org/10.1016/j.jbusres.2016.01.020</b:URL>
    <b:Author>
      <b:Author>
        <b:NameList>
          <b:Person>
            <b:Last>Dennis</b:Last>
            <b:First>Charles</b:First>
          </b:Person>
          <b:Person>
            <b:Last>Papagiannidis</b:Last>
            <b:First>Savvas</b:First>
          </b:Person>
          <b:Person>
            <b:Last>Alamanos</b:Last>
            <b:First>Eleftherios</b:First>
          </b:Person>
          <b:Person>
            <b:Last>Bourlakis</b:Last>
            <b:First>Michael</b:First>
          </b:Person>
        </b:NameList>
      </b:Author>
    </b:Author>
    <b:RefOrder>310</b:RefOrder>
  </b:Source>
  <b:Source>
    <b:Tag>Kwo15</b:Tag>
    <b:SourceType>JournalArticle</b:SourceType>
    <b:Guid>{87626F68-AF8B-4FE3-9A85-AC3195087AAD}</b:Guid>
    <b:Title>The Effect of Self–Brand Connection and Self-Construal on Brand Lovers’ Word of Mouth (WOM)</b:Title>
    <b:JournalName>Cornell Hospital Quarterly</b:JournalName>
    <b:Year>2015</b:Year>
    <b:Author>
      <b:Author>
        <b:NameList>
          <b:Person>
            <b:Last>Kwon</b:Last>
            <b:First>Eunjin </b:First>
          </b:Person>
          <b:Person>
            <b:Last>Mattila</b:Last>
            <b:Middle>S.</b:Middle>
            <b:First>Anna </b:First>
          </b:Person>
        </b:NameList>
      </b:Author>
    </b:Author>
    <b:Month>03</b:Month>
    <b:Day>02</b:Day>
    <b:Publisher>SAGE Journals </b:Publisher>
    <b:Volume>56</b:Volume>
    <b:Issue>04</b:Issue>
    <b:YearAccessed>2022</b:YearAccessed>
    <b:MonthAccessed>08</b:MonthAccessed>
    <b:DayAccessed>27</b:DayAccessed>
    <b:DOI>https://doi.org/10.1177/1938965514566071</b:DOI>
    <b:RefOrder>311</b:RefOrder>
  </b:Source>
  <b:Source>
    <b:Tag>Mag21</b:Tag>
    <b:SourceType>JournalArticle</b:SourceType>
    <b:Guid>{27C3C859-F110-4F93-9175-F7292AF4696C}</b:Guid>
    <b:Title>Modeling the effects of place heritage and place experience on residents’ behavioral intentions toward a city: A mediation analysis</b:Title>
    <b:JournalName>Journal of Business Research</b:JournalName>
    <b:Year>2021</b:Year>
    <b:Pages>428-442</b:Pages>
    <b:Author>
      <b:Author>
        <b:NameList>
          <b:Person>
            <b:Last>Magnoni</b:Last>
            <b:First>Fanny</b:First>
          </b:Person>
          <b:Person>
            <b:Last>Valette-Florence</b:Last>
            <b:First>Pierre</b:First>
          </b:Person>
          <b:Person>
            <b:Last>De Barniera</b:Last>
            <b:First>Virginie</b:First>
          </b:Person>
        </b:NameList>
      </b:Author>
    </b:Author>
    <b:Month>09</b:Month>
    <b:Publisher>ScienceDirect </b:Publisher>
    <b:Volume>134</b:Volume>
    <b:RefOrder>312</b:RefOrder>
  </b:Source>
  <b:Source>
    <b:Tag>Ham17</b:Tag>
    <b:SourceType>JournalArticle</b:SourceType>
    <b:Guid>{E369A3F4-210D-4A4D-9367-B4152FAB45DA}</b:Guid>
    <b:Title>Emotion and advertising effectiveness: A novel facial expression analysis approach</b:Title>
    <b:JournalName>Journal of Retailing and Consumer Services</b:JournalName>
    <b:Year>2017</b:Year>
    <b:Pages>103-111</b:Pages>
    <b:Month>05</b:Month>
    <b:Volume>36</b:Volume>
    <b:YearAccessed>2022</b:YearAccessed>
    <b:MonthAccessed>08</b:MonthAccessed>
    <b:DayAccessed>24</b:DayAccessed>
    <b:URL>(https://www.sciencedirect.com/science/article/pii/S0969698916303800)</b:URL>
    <b:DOI>https://doi.org/10.1016/j.jretconser.2017.01.001.</b:DOI>
    <b:Author>
      <b:Author>
        <b:NameList>
          <b:Person>
            <b:Last>Hamelin</b:Last>
            <b:First>Nicolas</b:First>
          </b:Person>
          <b:Person>
            <b:Last>El Moujahid</b:Last>
            <b:First>Othmane </b:First>
          </b:Person>
          <b:Person>
            <b:Last>Thaichon</b:Last>
            <b:First>Park</b:First>
          </b:Person>
        </b:NameList>
      </b:Author>
    </b:Author>
    <b:RefOrder>313</b:RefOrder>
  </b:Source>
  <b:Source>
    <b:Tag>Hei19</b:Tag>
    <b:SourceType>JournalArticle</b:SourceType>
    <b:Guid>{2D2D73E4-6E73-4AE1-A204-F8C07B0E6B32}</b:Guid>
    <b:Title>How nostalgic brand positioning shapes brand equity: differences between emerging and developed markets</b:Title>
    <b:JournalName>Journal of the Academy of Marketing Science</b:JournalName>
    <b:Year>2019</b:Year>
    <b:Author>
      <b:Author>
        <b:NameList>
          <b:Person>
            <b:Last>Heinberg</b:Last>
            <b:First>Martin </b:First>
          </b:Person>
          <b:Person>
            <b:Last>Katsikeas</b:Last>
            <b:Middle>S.</b:Middle>
            <b:First>Constantine </b:First>
          </b:Person>
          <b:Person>
            <b:Last>Ozkaya</b:Last>
            <b:Middle>Erkan</b:Middle>
            <b:First>H.</b:First>
          </b:Person>
          <b:Person>
            <b:Last>Taube</b:Last>
            <b:First>Markus </b:First>
          </b:Person>
        </b:NameList>
      </b:Author>
    </b:Author>
    <b:Month>02</b:Month>
    <b:YearAccessed>2022</b:YearAccessed>
    <b:MonthAccessed>08</b:MonthAccessed>
    <b:DayAccessed>27</b:DayAccessed>
    <b:DOI>10.1007/s11747-019-00637-x</b:DOI>
    <b:RefOrder>316</b:RefOrder>
  </b:Source>
  <b:Source>
    <b:Tag>Cha20</b:Tag>
    <b:SourceType>JournalArticle</b:SourceType>
    <b:Guid>{32C1CEC3-A502-40E1-9693-6F6EDAAF175D}</b:Guid>
    <b:Title>Brand community identification matters: a dual value-creation routes framework</b:Title>
    <b:JournalName>Journal of Product &amp; Brand Management</b:JournalName>
    <b:Year>2020</b:Year>
    <b:Pages>289-306</b:Pages>
    <b:Author>
      <b:Author>
        <b:NameList>
          <b:Person>
            <b:Last>Chang</b:Last>
            <b:First>Chia-Wen </b:First>
          </b:Person>
          <b:Person>
            <b:Last>Ko</b:Last>
            <b:First>Chih-Huei </b:First>
          </b:Person>
          <b:Person>
            <b:Last>Huang</b:Last>
            <b:First>Heng-Chiang </b:First>
          </b:Person>
          <b:Person>
            <b:Last>Wang</b:Last>
            <b:First>Shih-Ju </b:First>
          </b:Person>
        </b:NameList>
      </b:Author>
    </b:Author>
    <b:Month>04</b:Month>
    <b:Day>21</b:Day>
    <b:Publisher>Emerald Publishing Limited</b:Publisher>
    <b:Volume>29</b:Volume>
    <b:Issue>03</b:Issue>
    <b:YearAccessed>2022</b:YearAccessed>
    <b:MonthAccessed>08</b:MonthAccessed>
    <b:DayAccessed>27</b:DayAccessed>
    <b:DOI>https://doi.org/10.1108/JPBM-02-2018-1747</b:DOI>
    <b:RefOrder>317</b:RefOrder>
  </b:Source>
  <b:Source>
    <b:Tag>Dwi19</b:Tag>
    <b:SourceType>JournalArticle</b:SourceType>
    <b:Guid>{95B8DB25-E8E9-44DD-B3F5-E9EF4BF4275B}</b:Guid>
    <b:Title>Consumer emotional brand attachment with social media brands and social media brand equity</b:Title>
    <b:Year>2019</b:Year>
    <b:Month>07</b:Month>
    <b:Day>19</b:Day>
    <b:URL>https://doi.org/10.1108/EJM-09-2016-0511</b:URL>
    <b:JournalName>European Journal of Marketing</b:JournalName>
    <b:Author>
      <b:Author>
        <b:NameList>
          <b:Person>
            <b:Last>Dwivedi</b:Last>
            <b:First>Abhishek </b:First>
          </b:Person>
          <b:Person>
            <b:Last>Johnson</b:Last>
            <b:Middle>W. </b:Middle>
            <b:First>Lester </b:First>
          </b:Person>
          <b:Person>
            <b:Last>Wilkie</b:Last>
            <b:Middle>Charles </b:Middle>
            <b:First>Dean </b:First>
          </b:Person>
          <b:Person>
            <b:Last>De Araujo-Gil</b:Last>
            <b:First>Luciana </b:First>
          </b:Person>
        </b:NameList>
      </b:Author>
    </b:Author>
    <b:Volume>53</b:Volume>
    <b:Issue>06</b:Issue>
    <b:YearAccessed>2022</b:YearAccessed>
    <b:MonthAccessed>08</b:MonthAccessed>
    <b:DayAccessed>28</b:DayAccessed>
    <b:RefOrder>318</b:RefOrder>
  </b:Source>
  <b:Source>
    <b:Tag>Hem16</b:Tag>
    <b:SourceType>JournalArticle</b:SourceType>
    <b:Guid>{AA088D16-9930-4D08-9D9E-655D16EC16DF}</b:Guid>
    <b:Title>Service quality and brand loyalty: The mediation effect of brand passion, brand affection and self-brand connection</b:Title>
    <b:JournalName>International Journal of Contemporary Hospitality Management</b:JournalName>
    <b:Year>2016</b:Year>
    <b:Pages>2771-2794</b:Pages>
    <b:Author>
      <b:Author>
        <b:NameList>
          <b:Person>
            <b:Last>Hemsley-Brown</b:Last>
            <b:First>Jane </b:First>
          </b:Person>
          <b:Person>
            <b:Last>Alnawas</b:Last>
            <b:First>Ibrahim </b:First>
          </b:Person>
        </b:NameList>
      </b:Author>
    </b:Author>
    <b:Month>12</b:Month>
    <b:Day>12</b:Day>
    <b:Volume>28</b:Volume>
    <b:Issue>12</b:Issue>
    <b:YearAccessed>2022</b:YearAccessed>
    <b:MonthAccessed>08</b:MonthAccessed>
    <b:DayAccessed>28</b:DayAccessed>
    <b:RefOrder>319</b:RefOrder>
  </b:Source>
  <b:Source>
    <b:Tag>Ekm71</b:Tag>
    <b:SourceType>JournalArticle</b:SourceType>
    <b:Guid>{8F91DD1E-2A1C-4E7D-AD69-D17B6CE058B6}</b:Guid>
    <b:Title>Universals and cultural differences in facial expressions of emotion.</b:Title>
    <b:JournalName>Nebraska Symposium on Motivation</b:JournalName>
    <b:Year>1971</b:Year>
    <b:Pages>207-283</b:Pages>
    <b:Author>
      <b:Author>
        <b:NameList>
          <b:Person>
            <b:Last>Ekman</b:Last>
            <b:First>Paul</b:First>
          </b:Person>
        </b:NameList>
      </b:Author>
    </b:Author>
    <b:Volume>19</b:Volume>
    <b:YearAccessed>2022</b:YearAccessed>
    <b:MonthAccessed>08</b:MonthAccessed>
    <b:DayAccessed>27</b:DayAccessed>
    <b:URL>https://1ammce38pkj41n8xkp1iocwe-wpengine.netdna-ssl.com/wp-content/uploads/2013/07/Universals-And-Cultural-Differences-In-Facial-Expressions-Of.pdf</b:URL>
    <b:RefOrder>323</b:RefOrder>
  </b:Source>
  <b:Source>
    <b:Tag>Lew14</b:Tag>
    <b:SourceType>JournalArticle</b:SourceType>
    <b:Guid>{91475DF6-3493-4E00-93CD-F731FA99325E}</b:Guid>
    <b:Title>Predicting Advertising Effectiveness by Facial Expressions in Response to Amusing Persuasive Stimuli</b:Title>
    <b:JournalName>Journal of Neuroscience Psychology and Economics</b:JournalName>
    <b:Year>2014</b:Year>
    <b:Month>03</b:Month>
    <b:Volume>07</b:Volume>
    <b:Issue>01</b:Issue>
    <b:YearAccessed>2022</b:YearAccessed>
    <b:MonthAccessed>08</b:MonthAccessed>
    <b:DayAccessed>27</b:DayAccessed>
    <b:URL>https://www.researchgate.net/publication/263917600_Predicting_Advertising_Effectiveness_by_Facial_Expressions_in_Response_to_Amusing_Persuasive_Stimuli</b:URL>
    <b:DOI>10.1037/npe0000012</b:DOI>
    <b:Author>
      <b:Author>
        <b:NameList>
          <b:Person>
            <b:Last>Lewinski</b:Last>
            <b:First>Peter </b:First>
          </b:Person>
          <b:Person>
            <b:Last>Fransen</b:Last>
            <b:First>Marieke </b:First>
          </b:Person>
          <b:Person>
            <b:Last>Tan</b:Last>
            <b:Middle>S.</b:Middle>
            <b:First>Ed </b:First>
          </b:Person>
        </b:NameList>
      </b:Author>
    </b:Author>
    <b:RefOrder>324</b:RefOrder>
  </b:Source>
  <b:Source>
    <b:Tag>Ota20</b:Tag>
    <b:SourceType>JournalArticle</b:SourceType>
    <b:Guid>{DA534D67-6573-4CEB-BE25-7F64AC008F14}</b:Guid>
    <b:Title>The Emotional Effectiveness of Advertisement</b:Title>
    <b:JournalName>Frontiers in Psychology </b:JournalName>
    <b:Year>2020</b:Year>
    <b:Author>
      <b:Author>
        <b:NameList>
          <b:Person>
            <b:Last>Otamendi</b:Last>
            <b:Middle>Javier </b:Middle>
            <b:First>F. </b:First>
          </b:Person>
          <b:Person>
            <b:Last>Martín</b:Last>
            <b:Middle>Lucia Sutil </b:Middle>
            <b:First>Dolores </b:First>
          </b:Person>
        </b:NameList>
      </b:Author>
    </b:Author>
    <b:Month>09</b:Month>
    <b:Day>04</b:Day>
    <b:YearAccessed>2022</b:YearAccessed>
    <b:MonthAccessed>08</b:MonthAccessed>
    <b:DayAccessed>27</b:DayAccessed>
    <b:URL>doi: 10.3389/fpsyg.2020.02088</b:URL>
    <b:RefOrder>325</b:RefOrder>
  </b:Source>
  <b:Source>
    <b:Tag>She16</b:Tag>
    <b:SourceType>JournalArticle</b:SourceType>
    <b:Guid>{2419C647-3B79-406A-AF01-56E24DDB297F}</b:Guid>
    <b:Title>Effects of likeability dynamics on Consumers' Intention to Share Online Video Advertisements</b:Title>
    <b:JournalName>Journal of Interactive Marketing</b:JournalName>
    <b:Year>2016</b:Year>
    <b:Pages>27-43</b:Pages>
    <b:Month>08</b:Month>
    <b:Volume>35</b:Volume>
    <b:YearAccessed>2022</b:YearAccessed>
    <b:MonthAccessed>08</b:MonthAccessed>
    <b:DayAccessed>27</b:DayAccessed>
    <b:URL>https://www.researchgate.net/publication/301242268_Effects_of_Likeability_Dynamics_on_Consumers'_Intention_to_Share_Online_Video_Advertisements</b:URL>
    <b:DOI>0.1016/j.intmar.2016.01.001</b:DOI>
    <b:Author>
      <b:Author>
        <b:NameList>
          <b:Person>
            <b:Last>Shehu</b:Last>
            <b:First>Edlira </b:First>
          </b:Person>
          <b:Person>
            <b:Last>Bijmolt</b:Last>
            <b:Middle>H. A. </b:Middle>
            <b:First>Tammo </b:First>
          </b:Person>
          <b:Person>
            <b:Last>Clement</b:Last>
            <b:First>Michel </b:First>
          </b:Person>
        </b:NameList>
      </b:Author>
    </b:Author>
    <b:RefOrder>326</b:RefOrder>
  </b:Source>
  <b:Source>
    <b:Tag>Tom10</b:Tag>
    <b:SourceType>JournalArticle</b:SourceType>
    <b:Guid>{11F9D971-9212-4746-A3E6-5F28CD2F1B45}</b:Guid>
    <b:Title>The USA's biggest marketing event keeps getting bigger: an in-depth look at Super Bowl advertising in the 1990s</b:Title>
    <b:JournalName>Journal of Marketing Communications</b:JournalName>
    <b:Year>2010</b:Year>
    <b:Pages>89-108</b:Pages>
    <b:Author>
      <b:Author>
        <b:NameList>
          <b:Person>
            <b:Last>Tomkovick</b:Last>
            <b:First>Chuck </b:First>
          </b:Person>
          <b:Person>
            <b:Last>Yelkur</b:Last>
            <b:First>Rama </b:First>
          </b:Person>
          <b:Person>
            <b:Last>Christians</b:Last>
            <b:First>Lori </b:First>
          </b:Person>
        </b:NameList>
      </b:Author>
    </b:Author>
    <b:Month>12</b:Month>
    <b:Day>09</b:Day>
    <b:Volume>07</b:Volume>
    <b:Issue>02</b:Issue>
    <b:YearAccessed>2022</b:YearAccessed>
    <b:MonthAccessed>08</b:MonthAccessed>
    <b:DayAccessed>07</b:DayAccessed>
    <b:DOI>https://doi.org/10.1080/13527260121725</b:DOI>
    <b:RefOrder>327</b:RefOrder>
  </b:Source>
  <b:Source>
    <b:Tag>XuJ20</b:Tag>
    <b:SourceType>JournalArticle</b:SourceType>
    <b:Guid>{367AFEE5-6599-4ACD-9C78-5BD1FAD07819}</b:Guid>
    <b:Title>SE-stacking: Improving user purchase behavior prediction by information fusion and ensemble learning</b:Title>
    <b:JournalName>Plos One</b:JournalName>
    <b:Year>2020</b:Year>
    <b:Author>
      <b:Author>
        <b:NameList>
          <b:Person>
            <b:Last>Xu</b:Last>
            <b:First>Jing</b:First>
          </b:Person>
          <b:Person>
            <b:Last>Wang</b:Last>
            <b:First>Jie</b:First>
          </b:Person>
          <b:Person>
            <b:Last>Tian</b:Last>
            <b:First>Ye</b:First>
          </b:Person>
          <b:Person>
            <b:Last>Li</b:Last>
            <b:First>Xiu</b:First>
          </b:Person>
          <b:Person>
            <b:Last>Gao</b:Last>
            <b:First>Xin</b:First>
          </b:Person>
        </b:NameList>
      </b:Author>
    </b:Author>
    <b:Month>11</b:Month>
    <b:Day>25</b:Day>
    <b:Volume>15</b:Volume>
    <b:Issue>11</b:Issue>
    <b:YearAccessed>2022</b:YearAccessed>
    <b:MonthAccessed>02</b:MonthAccessed>
    <b:DayAccessed>26</b:DayAccessed>
    <b:DOI>https://doi.org/10.1371/journal.pone.0242629</b:DOI>
    <b:RefOrder>347</b:RefOrder>
  </b:Source>
  <b:Source>
    <b:Tag>Bec19</b:Tag>
    <b:SourceType>JournalArticle</b:SourceType>
    <b:Guid>{2FD1DD5B-1AE4-40B1-996A-B2A8EBDA396E}</b:Guid>
    <b:Title>Does It Pay to Be Real? Understanding Authenticity in TV Advertising</b:Title>
    <b:Year>2019</b:Year>
    <b:Pages>24-50</b:Pages>
    <b:Publisher>SAGE</b:Publisher>
    <b:JournalName>Journal of Marketing</b:JournalName>
    <b:Author>
      <b:Author>
        <b:NameList>
          <b:Person>
            <b:Last>Becker</b:Last>
            <b:First>Maren</b:First>
          </b:Person>
          <b:Person>
            <b:Last>Wiegand</b:Last>
            <b:First>Nico</b:First>
          </b:Person>
          <b:Person>
            <b:Last>Reinartz</b:Last>
            <b:Middle>J</b:Middle>
            <b:First>Werner</b:First>
          </b:Person>
        </b:NameList>
      </b:Author>
    </b:Author>
    <b:Volume>83</b:Volume>
    <b:Issue>1</b:Issue>
    <b:YearAccessed>2021</b:YearAccessed>
    <b:MonthAccessed>06</b:MonthAccessed>
    <b:DayAccessed>06</b:DayAccessed>
    <b:DOI>10.1177/0022242918815880</b:DOI>
    <b:RefOrder>348</b:RefOrder>
  </b:Source>
  <b:Source>
    <b:Tag>Arm10</b:Tag>
    <b:SourceType>JournalArticle</b:SourceType>
    <b:Guid>{AE1D7140-0ACD-4040-A36B-8F98FE2B63EC}</b:Guid>
    <b:Title>Efficacy of the Theory of Planned Behaviour: A meta-analytic review</b:Title>
    <b:JournalName>British Journal of Social Psychology </b:JournalName>
    <b:Year>2010</b:Year>
    <b:Pages>471-499</b:Pages>
    <b:Author>
      <b:Author>
        <b:NameList>
          <b:Person>
            <b:Last>Armitage</b:Last>
            <b:Middle>J</b:Middle>
            <b:First>Christopher </b:First>
          </b:Person>
          <b:Person>
            <b:Last>Conner</b:Last>
            <b:First>Mark</b:First>
          </b:Person>
        </b:NameList>
      </b:Author>
    </b:Author>
    <b:Month>12</b:Month>
    <b:Day>16</b:Day>
    <b:Volume>40</b:Volume>
    <b:Issue>4</b:Issue>
    <b:DOI>https://doi.org/10.1348/014466601164939</b:DOI>
    <b:RefOrder>361</b:RefOrder>
  </b:Source>
  <b:Source>
    <b:Tag>Mor12</b:Tag>
    <b:SourceType>JournalArticle</b:SourceType>
    <b:Guid>{3571D456-08CA-43E6-9A3B-47C7BD1AACE2}</b:Guid>
    <b:Title>Consumers’ Purchase Intentions</b:Title>
    <b:JournalName>Foundations and Trends in Marketing</b:JournalName>
    <b:Year>2012</b:Year>
    <b:Pages>181-230</b:Pages>
    <b:Author>
      <b:Author>
        <b:NameList>
          <b:Person>
            <b:Last>Morwitz</b:Last>
            <b:First>Vicki</b:First>
          </b:Person>
        </b:NameList>
      </b:Author>
    </b:Author>
    <b:Volume>7</b:Volume>
    <b:Issue>3</b:Issue>
    <b:YearAccessed>2021</b:YearAccessed>
    <b:MonthAccessed>05</b:MonthAccessed>
    <b:DayAccessed>19</b:DayAccessed>
    <b:DOI>10.1561/1700000036</b:DOI>
    <b:RefOrder>362</b:RefOrder>
  </b:Source>
  <b:Source>
    <b:Tag>Tan12</b:Tag>
    <b:SourceType>JournalArticle</b:SourceType>
    <b:Guid>{06EE5A7D-659C-418E-BBB5-87FF59DED578}</b:Guid>
    <b:Title>How Corporate Social Responsibility Engagement Strategy Moderates the CSR–Financial Performance Relationship</b:Title>
    <b:JournalName>Journal of Management Studies</b:JournalName>
    <b:Year>2012</b:Year>
    <b:Month>November</b:Month>
    <b:Publisher>Blackwell Publishing Ltd</b:Publisher>
    <b:YearAccessed>2020</b:YearAccessed>
    <b:MonthAccessed>12</b:MonthAccessed>
    <b:DayAccessed>6</b:DayAccessed>
    <b:DOI>https://doi.org/10.1111/j.1467-6486.2012.01068.x</b:DOI>
    <b:Author>
      <b:Author>
        <b:NameList>
          <b:Person>
            <b:Last>Tang</b:Last>
            <b:First>Zhi</b:First>
          </b:Person>
          <b:Person>
            <b:Last>Hull</b:Last>
            <b:Middle>Eiríkur </b:Middle>
            <b:First>Clyde </b:First>
          </b:Person>
          <b:Person>
            <b:Last>Rothenberg</b:Last>
            <b:First>Sandra </b:First>
          </b:Person>
        </b:NameList>
      </b:Author>
    </b:Author>
    <b:RefOrder>379</b:RefOrder>
  </b:Source>
  <b:Source>
    <b:Tag>Tez21</b:Tag>
    <b:SourceType>JournalArticle</b:SourceType>
    <b:Guid>{A2C54818-D784-4AAB-A46F-E6CBDDACAA48}</b:Guid>
    <b:Title>CSR spillover effect: the influence of a brand's corporate social responsibility activity on competing brands</b:Title>
    <b:JournalName>JOURNAL OF MARKETING MANAGEMENT</b:JournalName>
    <b:Year>2021</b:Year>
    <b:Pages>651-670</b:Pages>
    <b:Month>02</b:Month>
    <b:Day>06</b:Day>
    <b:Volume>37</b:Volume>
    <b:Issue>7-8</b:Issue>
    <b:YearAccessed>2021</b:YearAccessed>
    <b:MonthAccessed>12</b:MonthAccessed>
    <b:DayAccessed>12</b:DayAccessed>
    <b:Author>
      <b:Author>
        <b:NameList>
          <b:Person>
            <b:Last>Tezer</b:Last>
            <b:First>Ali</b:First>
          </b:Person>
          <b:Person>
            <b:Last>Tofighi</b:Last>
            <b:First>Maryam</b:First>
          </b:Person>
        </b:NameList>
      </b:Author>
    </b:Author>
    <b:RefOrder>384</b:RefOrder>
  </b:Source>
  <b:Source>
    <b:Tag>Baw16</b:Tag>
    <b:SourceType>JournalArticle</b:SourceType>
    <b:Guid>{1904FF1E-80F5-432C-BEA5-C2C81AC1C495}</b:Guid>
    <b:Title>Strength of corporate social responsibility as a corporate brand association: general public perspective.</b:Title>
    <b:JournalName>Decision</b:JournalName>
    <b:Year>2016</b:Year>
    <b:Pages>313-332</b:Pages>
    <b:Month>12</b:Month>
    <b:Volume>43</b:Volume>
    <b:Issue>4</b:Issue>
    <b:YearAccessed>2021</b:YearAccessed>
    <b:MonthAccessed>12</b:MonthAccessed>
    <b:DayAccessed>12</b:DayAccessed>
    <b:DOI>10.1007/s40622-016-0125-5</b:DOI>
    <b:Author>
      <b:Author>
        <b:NameList>
          <b:Person>
            <b:Last>Bawa</b:Last>
            <b:First>Anupam</b:First>
          </b:Person>
          <b:Person>
            <b:Last>Saha</b:Last>
            <b:First>Anirban</b:First>
          </b:Person>
        </b:NameList>
      </b:Author>
    </b:Author>
    <b:RefOrder>385</b:RefOrder>
  </b:Source>
  <b:Source>
    <b:Tag>Zas17</b:Tag>
    <b:SourceType>JournalArticle</b:SourceType>
    <b:Guid>{EA0882CF-A954-439E-AAA0-98CDFBC2FC3B}</b:Guid>
    <b:Title>The Role of Company-Cause Fit and Company Involvement in Consumer Responses to CSR Initiatives: A Meta-Analytic Review</b:Title>
    <b:JournalName>Sustainability</b:JournalName>
    <b:Year>2017</b:Year>
    <b:Month>06</b:Month>
    <b:Day>13</b:Day>
    <b:Publisher>06</b:Publisher>
    <b:Volume>06</b:Volume>
    <b:YearAccessed>2022</b:YearAccessed>
    <b:MonthAccessed>02</b:MonthAccessed>
    <b:DayAccessed>17</b:DayAccessed>
    <b:DOI>https://doi.org/10.3390/su9061016</b:DOI>
    <b:Author>
      <b:Author>
        <b:NameList>
          <b:Person>
            <b:Last>Zasuwa</b:Last>
            <b:First>Grzegorz</b:First>
          </b:Person>
        </b:NameList>
      </b:Author>
    </b:Author>
    <b:RefOrder>389</b:RefOrder>
  </b:Source>
  <b:Source>
    <b:Tag>Che14</b:Tag>
    <b:SourceType>JournalArticle</b:SourceType>
    <b:Guid>{DF1DE008-1A85-4840-A3E9-297DB37B2D80}</b:Guid>
    <b:Title>Does cause congruence affect how different corporate associations influence consumer responses to cause-related marketing?</b:Title>
    <b:JournalName>Australian Journal of Management</b:JournalName>
    <b:Year>2014</b:Year>
    <b:Volume>39</b:Volume>
    <b:Issue>2</b:Issue>
    <b:YearAccessed>2021</b:YearAccessed>
    <b:MonthAccessed>12</b:MonthAccessed>
    <b:DayAccessed>08</b:DayAccessed>
    <b:DOI>https://doi.org/10.1177/0312896213502992</b:DOI>
    <b:Author>
      <b:Author>
        <b:NameList>
          <b:Person>
            <b:Last>Chen</b:Last>
            <b:First>Rong</b:First>
          </b:Person>
          <b:Person>
            <b:Last>Su</b:Last>
            <b:First>Song</b:First>
          </b:Person>
          <b:Person>
            <b:Last>He</b:Last>
            <b:First>Feng</b:First>
          </b:Person>
        </b:NameList>
      </b:Author>
    </b:Author>
    <b:RefOrder>1049</b:RefOrder>
  </b:Source>
  <b:Source>
    <b:Tag>Bec21</b:Tag>
    <b:SourceType>JournalArticle</b:SourceType>
    <b:Guid>{46579C62-CAB5-4BB0-8BA0-17FE3B365917}</b:Guid>
    <b:Title>The impact of perceived corporate social responsibility on consumer behaviour</b:Title>
    <b:JournalName>Journal of Business Research</b:JournalName>
    <b:Pages>46-53</b:Pages>
    <b:Author>
      <b:Author>
        <b:NameList>
          <b:Person>
            <b:Last>Becker-Olsen</b:Last>
            <b:Middle>L</b:Middle>
            <b:First>Karen</b:First>
          </b:Person>
          <b:Person>
            <b:Last>Cudmore</b:Last>
            <b:First>Andrew</b:First>
          </b:Person>
          <b:Person>
            <b:Last>Hill</b:Last>
            <b:Middle>Paul</b:Middle>
            <b:First>Ronald</b:First>
          </b:Person>
        </b:NameList>
      </b:Author>
    </b:Author>
    <b:Volume>59</b:Volume>
    <b:Issue>1</b:Issue>
    <b:YearAccessed>2021</b:YearAccessed>
    <b:MonthAccessed>12</b:MonthAccessed>
    <b:DayAccessed>08</b:DayAccessed>
    <b:DOI>https://doi.org/10.1016/j.jbusres.2005.01.001</b:DOI>
    <b:Year>2006</b:Year>
    <b:RefOrder>391</b:RefOrder>
  </b:Source>
  <b:Source>
    <b:Tag>Mam21</b:Tag>
    <b:SourceType>JournalArticle</b:SourceType>
    <b:Guid>{3CB040E4-2DD5-4C83-8851-358AEC2E304F}</b:Guid>
    <b:Title>Types of CSR Initiatives and Fans’ Social Outcomes: The case of professional Sport Organizations</b:Title>
    <b:JournalName>Sports Marketing Quarterly</b:JournalName>
    <b:Pages>146-160</b:Pages>
    <b:Volume>30</b:Volume>
    <b:Issue>2</b:Issue>
    <b:YearAccessed>2021</b:YearAccessed>
    <b:MonthAccessed>10</b:MonthAccessed>
    <b:DayAccessed>10</b:DayAccessed>
    <b:DOI>http://doi.org/10.32731/SMQ.302.062021.06</b:DOI>
    <b:Author>
      <b:Author>
        <b:NameList>
          <b:Person>
            <b:Last>Mamo</b:Last>
            <b:First>Yoseph </b:First>
          </b:Person>
          <b:Person>
            <b:Last>Agyemang</b:Last>
            <b:Middle>J. A.</b:Middle>
            <b:First>Kwame</b:First>
          </b:Person>
          <b:Person>
            <b:Last>Andrew</b:Last>
            <b:Middle>P. S. </b:Middle>
            <b:First>Damon</b:First>
          </b:Person>
        </b:NameList>
      </b:Author>
    </b:Author>
    <b:Year>2021</b:Year>
    <b:RefOrder>392</b:RefOrder>
  </b:Source>
  <b:Source>
    <b:Tag>Mat10</b:Tag>
    <b:SourceType>JournalArticle</b:SourceType>
    <b:Guid>{28A0044A-A007-4E2E-9481-FDE2A18A0A78}</b:Guid>
    <b:Title>The impact of company type and corporate social responsibility messaging on consumer perceptions</b:Title>
    <b:JournalName>Journal of Financial Services Marketing</b:JournalName>
    <b:Year>2010</b:Year>
    <b:Pages>126-135</b:Pages>
    <b:Author>
      <b:Author>
        <b:NameList>
          <b:Person>
            <b:Last>Mattila</b:Last>
            <b:Middle>S</b:Middle>
            <b:First>Anna</b:First>
          </b:Person>
          <b:Person>
            <b:Last>Hanks</b:Last>
            <b:First>Lydia</b:First>
          </b:Person>
          <b:Person>
            <b:Last>Kim</b:Last>
            <b:Middle>Eun Kyoo</b:Middle>
            <b:First>Ellen</b:First>
          </b:Person>
        </b:NameList>
      </b:Author>
    </b:Author>
    <b:Month>05</b:Month>
    <b:Day>23</b:Day>
    <b:YearAccessed>2021</b:YearAccessed>
    <b:MonthAccessed>02</b:MonthAccessed>
    <b:DayAccessed>02</b:DayAccessed>
    <b:DOI>10.1057/fsm.2010.10</b:DOI>
    <b:RefOrder>396</b:RefOrder>
  </b:Source>
  <b:Source>
    <b:Tag>Yoo06</b:Tag>
    <b:SourceType>JournalArticle</b:SourceType>
    <b:Guid>{4BFEC1EA-E0D1-414A-A20F-C1F856F6DAC7}</b:Guid>
    <b:Title>The Effect of Corporate Social Responsibility (CSR) Activites on Companies with Bad Reputation</b:Title>
    <b:JournalName>Journal of Consumer Psychology</b:JournalName>
    <b:Year>2006</b:Year>
    <b:Pages>377-390</b:Pages>
    <b:Author>
      <b:Author>
        <b:NameList>
          <b:Person>
            <b:Last>Yoon</b:Last>
            <b:First>Yeosun</b:First>
          </b:Person>
          <b:Person>
            <b:Last>Giirhan-Canli</b:Last>
            <b:First>Zeynap</b:First>
          </b:Person>
          <b:Person>
            <b:Last>Schwarz</b:Last>
            <b:First>Norbert</b:First>
          </b:Person>
        </b:NameList>
      </b:Author>
    </b:Author>
    <b:YearAccessed>2021</b:YearAccessed>
    <b:MonthAccessed>02</b:MonthAccessed>
    <b:DayAccessed>04</b:DayAccessed>
    <b:RefOrder>397</b:RefOrder>
  </b:Source>
  <b:Source>
    <b:Tag>EEr16</b:Tag>
    <b:SourceType>JournalArticle</b:SourceType>
    <b:Guid>{D8E4C39A-81A2-493F-B46C-977FF9E9C9F2}</b:Guid>
    <b:Title>Native Advertising Is the New Journalism: How Deception Affects Social Responsibility</b:Title>
    <b:Year>2016</b:Year>
    <b:Pages>1408-1424</b:Pages>
    <b:Publisher>SAGE publications</b:Publisher>
    <b:Author>
      <b:Author>
        <b:NameList>
          <b:Person>
            <b:Last>Schauster</b:Last>
            <b:Middle>E</b:Middle>
            <b:First>Erin</b:First>
          </b:Person>
          <b:Person>
            <b:Last>Ferrucci</b:Last>
            <b:First>Patrick</b:First>
          </b:Person>
          <b:Person>
            <b:Last>Neill</b:Last>
            <b:Middle>S</b:Middle>
            <b:First>Marlene</b:First>
          </b:Person>
        </b:NameList>
      </b:Author>
    </b:Author>
    <b:JournalName>American Behavioral Scientist</b:JournalName>
    <b:Volume>60</b:Volume>
    <b:Issue>12</b:Issue>
    <b:YearAccessed>2021</b:YearAccessed>
    <b:MonthAccessed>02</b:MonthAccessed>
    <b:DayAccessed>18</b:DayAccessed>
    <b:DOI>10.1177/0002764216660135</b:DOI>
    <b:RefOrder>399</b:RefOrder>
  </b:Source>
  <b:Source>
    <b:Tag>For03</b:Tag>
    <b:SourceType>JournalArticle</b:SourceType>
    <b:Guid>{213381A5-065E-41ED-B0C9-828672A13E3A}</b:Guid>
    <b:Title>When Is Honesty the Best Policy? The Effect of Stated Company Intent on Consumer Skeptisim</b:Title>
    <b:JournalName>Journal of Consumer Psychology</b:JournalName>
    <b:Year>2003</b:Year>
    <b:Pages>349-356</b:Pages>
    <b:Volume>13</b:Volume>
    <b:Issue>3</b:Issue>
    <b:YearAccessed>2021</b:YearAccessed>
    <b:MonthAccessed>06</b:MonthAccessed>
    <b:DayAccessed>17</b:DayAccessed>
    <b:URL> http://www.jstor.org/stable/1480223</b:URL>
    <b:Author>
      <b:Author>
        <b:NameList>
          <b:Person>
            <b:Last>Forehand</b:Last>
            <b:Middle>R</b:Middle>
            <b:First>Mark</b:First>
          </b:Person>
          <b:Person>
            <b:Last>Grier</b:Last>
            <b:First>Sonya</b:First>
          </b:Person>
        </b:NameList>
      </b:Author>
    </b:Author>
    <b:RefOrder>403</b:RefOrder>
  </b:Source>
  <b:Source>
    <b:Tag>Ala21</b:Tag>
    <b:SourceType>BookSection</b:SourceType>
    <b:Guid>{20FDFB8C-0907-4B28-86A7-B4F4A8EB738B}</b:Guid>
    <b:Title>Chapter 4. Finland: Sustaining professional norms with fewer journalists and declining resources</b:Title>
    <b:Year>2021</b:Year>
    <b:Pages>153-196</b:Pages>
    <b:BookTitle>The Media for Democracy Monitor</b:BookTitle>
    <b:Publisher>Nordicom</b:Publisher>
    <b:YearAccessed>2022</b:YearAccessed>
    <b:MonthAccessed>01</b:MonthAccessed>
    <b:DayAccessed>22</b:DayAccessed>
    <b:DOI>10.48335/9789188855404-4</b:DOI>
    <b:Author>
      <b:BookAuthor>
        <b:NameList>
          <b:Person>
            <b:Last>Ala-Fossi</b:Last>
            <b:First>Marko</b:First>
          </b:Person>
          <b:Person>
            <b:Last>Grönvall</b:Last>
            <b:First>John</b:First>
          </b:Person>
          <b:Person>
            <b:Last>Karppinen</b:Last>
            <b:First>Kari</b:First>
          </b:Person>
          <b:Person>
            <b:Last>Nieminen</b:Last>
            <b:First>Hannu</b:First>
          </b:Person>
        </b:NameList>
      </b:BookAuthor>
      <b:Author>
        <b:NameList>
          <b:Person>
            <b:Last>Ala-Fossi</b:Last>
            <b:First>Marko</b:First>
          </b:Person>
          <b:Person>
            <b:Last>Grönvall</b:Last>
            <b:First>John</b:First>
          </b:Person>
          <b:Person>
            <b:Last>Karppinen</b:Last>
            <b:First>Kari</b:First>
          </b:Person>
          <b:Person>
            <b:Last>Nieminen</b:Last>
            <b:First>Hannu</b:First>
          </b:Person>
        </b:NameList>
      </b:Author>
    </b:Author>
    <b:RefOrder>406</b:RefOrder>
  </b:Source>
  <b:Source>
    <b:Tag>Dam11</b:Tag>
    <b:SourceType>JournalArticle</b:SourceType>
    <b:Guid>{4C0EC701-B02A-48D1-8900-7D1C9BDB1482}</b:Guid>
    <b:Title>An Investigation Into Alternative Television Viewership Habits Of College Students</b:Title>
    <b:JournalName>Journal of Applied Business Research</b:JournalName>
    <b:Year>2011</b:Year>
    <b:Month>02</b:Month>
    <b:Volume>27</b:Volume>
    <b:Issue>1</b:Issue>
    <b:YearAccessed>2021</b:YearAccessed>
    <b:MonthAccessed>02</b:MonthAccessed>
    <b:DayAccessed>28</b:DayAccessed>
    <b:DOI>https://doi.org/10.19030/jabr.v27i1.911</b:DOI>
    <b:Author>
      <b:Author>
        <b:NameList>
          <b:Person>
            <b:Last>Damratoski</b:Last>
            <b:Middle>J</b:Middle>
            <b:First>Katie</b:First>
          </b:Person>
          <b:Person>
            <b:Last>Field</b:Last>
            <b:Middle>R</b:Middle>
            <b:First>April</b:First>
          </b:Person>
          <b:Person>
            <b:Last>Mizell</b:Last>
            <b:Middle>N</b:Middle>
            <b:First>Katie</b:First>
          </b:Person>
          <b:Person>
            <b:Last>Budden</b:Last>
            <b:Middle>C</b:Middle>
            <b:First>Michael</b:First>
          </b:Person>
        </b:NameList>
      </b:Author>
    </b:Author>
    <b:RefOrder>407</b:RefOrder>
  </b:Source>
  <b:Source>
    <b:Tag>Den19</b:Tag>
    <b:SourceType>Report</b:SourceType>
    <b:Guid>{110827DA-5D19-494F-87C0-48484F909DAE}</b:Guid>
    <b:Title>Media Use in the Middle East</b:Title>
    <b:Year>2019</b:Year>
    <b:Institution>Northwestern University in Qatar</b:Institution>
    <b:Pages>32</b:Pages>
    <b:URL>http://www.mideastmedia.org/survey/2019/uploads/file/NUQ_Media_Use_2019_WebVersion_FNL_051219%5B2%5D(1).pdf</b:URL>
    <b:Author>
      <b:Author>
        <b:NameList>
          <b:Person>
            <b:Last>Dennis</b:Last>
            <b:Middle>E</b:Middle>
            <b:First>Everette</b:First>
          </b:Person>
          <b:Person>
            <b:Last>Martin</b:Last>
            <b:Middle>D</b:Middle>
            <b:First>Justin</b:First>
          </b:Person>
          <b:Person>
            <b:Last>Lance</b:Last>
            <b:Middle>A</b:Middle>
            <b:First>Elizabeth</b:First>
          </b:Person>
          <b:Person>
            <b:Last>Hassan</b:Last>
            <b:First>Fouad</b:First>
          </b:Person>
        </b:NameList>
      </b:Author>
    </b:Author>
    <b:RefOrder>410</b:RefOrder>
  </b:Source>
  <b:Source>
    <b:Tag>Cac20</b:Tag>
    <b:SourceType>InternetSite</b:SourceType>
    <b:Guid>{099D41AF-E85C-4968-998C-1794B5187419}</b:Guid>
    <b:Title>Zenith</b:Title>
    <b:Year>2020</b:Year>
    <b:Author>
      <b:Author>
        <b:NameList>
          <b:Person>
            <b:Last>Cacheux</b:Last>
            <b:First>Benoit</b:First>
          </b:Person>
        </b:NameList>
      </b:Author>
    </b:Author>
    <b:YearAccessed>2022</b:YearAccessed>
    <b:MonthAccessed>02</b:MonthAccessed>
    <b:DayAccessed>01</b:DayAccessed>
    <b:URL>https://www.zenithmedia.com/the-future-of-tv/</b:URL>
    <b:RefOrder>411</b:RefOrder>
  </b:Source>
  <b:Source>
    <b:Tag>Yan17</b:Tag>
    <b:SourceType>JournalArticle</b:SourceType>
    <b:Guid>{92BD2D88-BD43-49D3-BE08-AB6C678FC133}</b:Guid>
    <b:Title>EFFECTS OF SKEPTICISM ABOUT CORPORATE SOCIAL RESPONSIBILITY ADVERTISING ON CONSUMER ATTITUDE.</b:Title>
    <b:JournalName>Journal of Social Behaviour and Personality</b:JournalName>
    <b:Year>2017</b:Year>
    <b:Pages>453-468</b:Pages>
    <b:Author>
      <b:Author>
        <b:NameList>
          <b:Person>
            <b:Last>Yang</b:Last>
            <b:First>Chao-Ming</b:First>
          </b:Person>
          <b:Person>
            <b:Last>Hsu</b:Last>
            <b:First>Tzu-fan</b:First>
          </b:Person>
        </b:NameList>
      </b:Author>
    </b:Author>
    <b:Volume>45</b:Volume>
    <b:Issue>3</b:Issue>
    <b:YearAccessed>2021</b:YearAccessed>
    <b:MonthAccessed>06</b:MonthAccessed>
    <b:DayAccessed>17</b:DayAccessed>
    <b:DOI>https://doi.org/10.2224/sbp.5788</b:DOI>
    <b:RefOrder>412</b:RefOrder>
  </b:Source>
  <b:Source>
    <b:Tag>Cho16</b:Tag>
    <b:SourceType>JournalArticle</b:SourceType>
    <b:Guid>{53776CB9-0AE8-4DA0-8BC1-E6382E055263}</b:Guid>
    <b:Title>Communicating Corporate Social Responsibility on Social Media: Strategies, Stakeholders, and Public Engagement on Corporate Facebook</b:Title>
    <b:Year>2016</b:Year>
    <b:Author>
      <b:Author>
        <b:NameList>
          <b:Person>
            <b:Last>Cho</b:Last>
            <b:First>Moonhee</b:First>
          </b:Person>
          <b:Person>
            <b:Last>Furey</b:Last>
            <b:Middle>D</b:Middle>
            <b:First>Lauren</b:First>
          </b:Person>
          <b:Person>
            <b:Last>Mohr</b:Last>
            <b:First>Tiffany</b:First>
          </b:Person>
        </b:NameList>
      </b:Author>
    </b:Author>
    <b:Volume>80</b:Volume>
    <b:YearAccessed>2021</b:YearAccessed>
    <b:MonthAccessed>12</b:MonthAccessed>
    <b:DayAccessed>11</b:DayAccessed>
    <b:DOI>https://doi.org/10.1177/2329490616663708</b:DOI>
    <b:JournalName>Business and Professional Communication Quarterly </b:JournalName>
    <b:Month>09</b:Month>
    <b:Day>11</b:Day>
    <b:Issue>1</b:Issue>
    <b:RefOrder>415</b:RefOrder>
  </b:Source>
  <b:Source>
    <b:Tag>Cur18</b:Tag>
    <b:SourceType>JournalArticle</b:SourceType>
    <b:Guid>{B39C6DD7-92D3-42DC-B3EE-4B3B9170420A}</b:Guid>
    <b:Title>How social, environmental, and economic CSR affects consumer-perceived value: Does perceived consumer effectiveness make a difference?</b:Title>
    <b:JournalName>Corporate Social Responsibility and Environmental Management</b:JournalName>
    <b:Year>2018</b:Year>
    <b:Pages>733-747</b:Pages>
    <b:Volume>25</b:Volume>
    <b:Issue>5</b:Issue>
    <b:Month>10</b:Month>
    <b:YearAccessed>2021</b:YearAccessed>
    <b:MonthAccessed>12</b:MonthAccessed>
    <b:DayAccessed>26</b:DayAccessed>
    <b:DOI>https://doi.org/10.1002/csr.1490</b:DOI>
    <b:Author>
      <b:Author>
        <b:NameList>
          <b:Person>
            <b:Last>Currás-Pérez</b:Last>
            <b:First>Rafael</b:First>
          </b:Person>
          <b:Person>
            <b:Last>Dolz-Dolz</b:Last>
            <b:First>Consuelo</b:First>
          </b:Person>
          <b:Person>
            <b:Last>Miquel-Romero</b:Last>
            <b:Middle>J</b:Middle>
            <b:First>Maria</b:First>
          </b:Person>
          <b:Person>
            <b:Last>Miquel-Romero</b:Last>
            <b:First>Isabel</b:First>
          </b:Person>
        </b:NameList>
      </b:Author>
    </b:Author>
    <b:RefOrder>13</b:RefOrder>
  </b:Source>
  <b:Source>
    <b:Tag>Placeholder2</b:Tag>
    <b:SourceType>JournalArticle</b:SourceType>
    <b:Guid>{6B016C96-20B6-4992-81A9-058BDC98EF0A}</b:Guid>
    <b:Title>Learning the Models of Customer Behavior: From Television Advertising to online Marketing</b:Title>
    <b:JournalName>Journal of Electronic Commerce</b:JournalName>
    <b:Year>2017</b:Year>
    <b:Pages>572-604</b:Pages>
    <b:Month>09</b:Month>
    <b:Volume>21</b:Volume>
    <b:Issue>4</b:Issue>
    <b:YearAccessed>2021</b:YearAccessed>
    <b:MonthAccessed>05</b:MonthAccessed>
    <b:DayAccessed>19</b:DayAccessed>
    <b:DOI>https://doi.org/10.1080/10864415.2016.1355654</b:DOI>
    <b:Author>
      <b:Author>
        <b:NameList>
          <b:Person>
            <b:Last>Bassano</b:Last>
            <b:First>Clara</b:First>
          </b:Person>
          <b:Person>
            <b:Last>Gaeta</b:Last>
            <b:First>Matteo</b:First>
          </b:Person>
          <b:Person>
            <b:Last>Piciocchi</b:Last>
            <b:First>Paolo</b:First>
          </b:Person>
          <b:Person>
            <b:Last>Spohrer</b:Last>
            <b:Middle>C</b:Middle>
            <b:First>James</b:First>
          </b:Person>
        </b:NameList>
      </b:Author>
    </b:Author>
    <b:RefOrder>543</b:RefOrder>
  </b:Source>
  <b:Source>
    <b:Tag>Placeholder3</b:Tag>
    <b:SourceType>JournalArticle</b:SourceType>
    <b:Guid>{03641804-2776-4DA4-9542-C02311087057}</b:Guid>
    <b:Title>Communicating Brands in Television Advertising</b:Title>
    <b:JournalName>Journal of Marketing Research </b:JournalName>
    <b:Year>2020</b:Year>
    <b:Author>
      <b:Author>
        <b:NameList>
          <b:Person>
            <b:Last>Bruce</b:Last>
            <b:Middle>I</b:Middle>
            <b:First>Norris</b:First>
          </b:Person>
          <b:Person>
            <b:Last>Becker</b:Last>
            <b:First>Maren</b:First>
          </b:Person>
          <b:Person>
            <b:Last>Reinartz</b:Last>
            <b:First>Werner</b:First>
          </b:Person>
        </b:NameList>
      </b:Author>
    </b:Author>
    <b:Month>02</b:Month>
    <b:Day>13</b:Day>
    <b:Volume>57</b:Volume>
    <b:Issue>2</b:Issue>
    <b:YearAccessed>2021</b:YearAccessed>
    <b:MonthAccessed>05</b:MonthAccessed>
    <b:DayAccessed>19</b:DayAccessed>
    <b:DOI>https://doi.org/10.1177/0022243719892576</b:DOI>
    <b:RefOrder>544</b:RefOrder>
  </b:Source>
  <b:Source>
    <b:Tag>She02</b:Tag>
    <b:SourceType>JournalArticle</b:SourceType>
    <b:Guid>{82564EC0-8C38-41F6-B208-D15B0F41EFA9}</b:Guid>
    <b:Title>Intention-behavior relations: A conceptual and empirical review</b:Title>
    <b:Year>2002</b:Year>
    <b:JournalName>European Review of Social Psychology</b:JournalName>
    <b:Pages>1-36</b:Pages>
    <b:Author>
      <b:Author>
        <b:NameList>
          <b:Person>
            <b:Last>Sheeran</b:Last>
            <b:First>Paschal </b:First>
          </b:Person>
        </b:NameList>
      </b:Author>
    </b:Author>
    <b:Volume>12</b:Volume>
    <b:Issue>1</b:Issue>
    <b:YearAccessed>2021</b:YearAccessed>
    <b:MonthAccessed>05</b:MonthAccessed>
    <b:DayAccessed>19</b:DayAccessed>
    <b:DOI>https://doi.org/10.1080/14792772143000003</b:DOI>
    <b:RefOrder>545</b:RefOrder>
  </b:Source>
  <b:Source>
    <b:Tag>Bro97</b:Tag>
    <b:SourceType>JournalArticle</b:SourceType>
    <b:Guid>{B5EED11C-68DC-4A5D-B282-94690E2B47B7}</b:Guid>
    <b:Title>The Company and the Product: Corporate Associations and Consumer Product Responses</b:Title>
    <b:JournalName>Journal of Marketing</b:JournalName>
    <b:Year>1997</b:Year>
    <b:Pages>68-84</b:Pages>
    <b:Author>
      <b:Author>
        <b:NameList>
          <b:Person>
            <b:Last>Brown </b:Last>
            <b:Middle>J</b:Middle>
            <b:First>Tom </b:First>
          </b:Person>
          <b:Person>
            <b:Last>Dacin</b:Last>
            <b:Middle>A</b:Middle>
            <b:First>Peter</b:First>
          </b:Person>
        </b:NameList>
      </b:Author>
    </b:Author>
    <b:Publisher>Sage Publications, Inc.</b:Publisher>
    <b:Volume>61</b:Volume>
    <b:Issue>1</b:Issue>
    <b:YearAccessed>2022</b:YearAccessed>
    <b:MonthAccessed>01</b:MonthAccessed>
    <b:DayAccessed>16</b:DayAccessed>
    <b:DOI>https://doi.org/10.2307/1252190</b:DOI>
    <b:RefOrder>661</b:RefOrder>
  </b:Source>
  <b:Source>
    <b:Tag>Mel19</b:Tag>
    <b:SourceType>JournalArticle</b:SourceType>
    <b:Guid>{B8CEA4E1-9B21-48D4-A7F3-126854DB0C60}</b:Guid>
    <b:Title>Mixed Methods in Public Administration Research: Selecting, Sequencing, and Connecting</b:Title>
    <b:JournalName>Journal of Public Administration Research and Theory</b:JournalName>
    <b:Year>2019</b:Year>
    <b:Pages>334-347</b:Pages>
    <b:Author>
      <b:Author>
        <b:NameList>
          <b:Person>
            <b:Last>Mele</b:Last>
            <b:First>Valentina </b:First>
          </b:Person>
          <b:Person>
            <b:Last>Belardinelli</b:Last>
            <b:First>Paolo </b:First>
          </b:Person>
        </b:NameList>
      </b:Author>
    </b:Author>
    <b:Month>04</b:Month>
    <b:Volume>29</b:Volume>
    <b:Issue>02</b:Issue>
    <b:YearAccessed>2022</b:YearAccessed>
    <b:MonthAccessed>05</b:MonthAccessed>
    <b:DayAccessed>25</b:DayAccessed>
    <b:DOI>https://doi.org/10.1093/jopart/muy046</b:DOI>
    <b:RefOrder>719</b:RefOrder>
  </b:Source>
  <b:Source>
    <b:Tag>Ric10</b:Tag>
    <b:SourceType>Book</b:SourceType>
    <b:Guid>{E1E5485A-F9FD-4754-89FE-4421EF4B457F}</b:Guid>
    <b:Title>Public administration: Traditions of inquiry and philosophies of knowledge</b:Title>
    <b:Year>2010</b:Year>
    <b:Publisher>Georgetown University Press.</b:Publisher>
    <b:Author>
      <b:Author>
        <b:NameList>
          <b:Person>
            <b:Last>Riccucci</b:Last>
            <b:Middle>M.</b:Middle>
            <b:First>Norma</b:First>
          </b:Person>
        </b:NameList>
      </b:Author>
    </b:Author>
    <b:RefOrder>720</b:RefOrder>
  </b:Source>
  <b:Source>
    <b:Tag>Kar21</b:Tag>
    <b:SourceType>JournalArticle</b:SourceType>
    <b:Guid>{682B388F-4936-46C9-9666-29F0EE9B0541}</b:Guid>
    <b:Title>Motivating Participation Through Political Ads: Comparing the Efects of Physiology and Self‑reported Emotion</b:Title>
    <b:JournalName>Political Behavior</b:JournalName>
    <b:Year>2021</b:Year>
    <b:Pages>687-710</b:Pages>
    <b:Author>
      <b:Author>
        <b:NameList>
          <b:Person>
            <b:Last>Karl</b:Last>
            <b:Middle>L.</b:Middle>
            <b:First>Kristyn</b:First>
          </b:Person>
        </b:NameList>
      </b:Author>
    </b:Author>
    <b:Publisher>Springer </b:Publisher>
    <b:YearAccessed>2022</b:YearAccessed>
    <b:MonthAccessed>05</b:MonthAccessed>
    <b:DayAccessed>16</b:DayAccessed>
    <b:DOI>https://doi.org/10.1007/s11109-019-09569-2</b:DOI>
    <b:RefOrder>795</b:RefOrder>
  </b:Source>
  <b:Source>
    <b:Tag>Dar16</b:Tag>
    <b:SourceType>JournalArticle</b:SourceType>
    <b:Guid>{D2BEB1BC-4399-4766-8C6E-DAD562533EEA}</b:Guid>
    <b:Title>Adver-Where? Comparing the Effectiveness of Banner Ads and Video Ads in Online Video Games</b:Title>
    <b:JournalName>Journal of Interactive Advertising</b:JournalName>
    <b:Year>2016</b:Year>
    <b:Pages>87-100</b:Pages>
    <b:Author>
      <b:Author>
        <b:NameList>
          <b:Person>
            <b:Last>Dardis</b:Last>
            <b:Middle>E.</b:Middle>
            <b:First>Frank</b:First>
          </b:Person>
          <b:Person>
            <b:Last>Schmierbach</b:Last>
            <b:First>Mike </b:First>
          </b:Person>
          <b:Person>
            <b:Last>Sherrick</b:Last>
            <b:First>Brett </b:First>
          </b:Person>
          <b:Person>
            <b:Last>Waddell</b:Last>
            <b:First>Frank </b:First>
          </b:Person>
          <b:Person>
            <b:Last>Aviles</b:Last>
            <b:First>Jose </b:First>
          </b:Person>
          <b:Person>
            <b:Last>Kumble</b:Last>
            <b:First>Sushma </b:First>
          </b:Person>
          <b:Person>
            <b:Last>Bailey</b:Last>
            <b:First>Erica </b:First>
          </b:Person>
        </b:NameList>
      </b:Author>
    </b:Author>
    <b:Month>09</b:Month>
    <b:Day>13</b:Day>
    <b:Volume>16</b:Volume>
    <b:Issue>02</b:Issue>
    <b:YearAccessed>2022</b:YearAccessed>
    <b:MonthAccessed>05</b:MonthAccessed>
    <b:DayAccessed>16</b:DayAccessed>
    <b:DOI>https://doi.org/10.1080/15252019.2016.1223572</b:DOI>
    <b:RefOrder>796</b:RefOrder>
  </b:Source>
  <b:Source>
    <b:Tag>Che20</b:Tag>
    <b:SourceType>JournalArticle</b:SourceType>
    <b:Guid>{BD89CF71-0958-4CAC-9712-B8959F2C8FA9}</b:Guid>
    <b:Title>How different advertising formats and calls to action on videos affect advertising recognition and consequent behaviours</b:Title>
    <b:JournalName>The Service Industries Journal</b:JournalName>
    <b:Year>2020</b:Year>
    <b:Volume>40</b:Volume>
    <b:Issue>5-6</b:Issue>
    <b:YearAccessed>2022</b:YearAccessed>
    <b:MonthAccessed>05</b:MonthAccessed>
    <b:DayAccessed>16</b:DayAccessed>
    <b:DOI>https://doi.org/10.1080/02642069.2018.1480724</b:DOI>
    <b:Author>
      <b:Author>
        <b:NameList>
          <b:Person>
            <b:Last>Chen</b:Last>
            <b:First>Tser-Yieth </b:First>
          </b:Person>
          <b:Person>
            <b:Last>Yeh</b:Last>
            <b:First>Tsai-Lien</b:First>
          </b:Person>
          <b:Person>
            <b:Last>Chang</b:Last>
            <b:First>Chin-I </b:First>
          </b:Person>
        </b:NameList>
      </b:Author>
    </b:Author>
    <b:RefOrder>797</b:RefOrder>
  </b:Source>
  <b:Source>
    <b:Tag>War18</b:Tag>
    <b:SourceType>JournalArticle</b:SourceType>
    <b:Guid>{05AB2AA0-61F3-4CE3-9C56-4D558D80E305}</b:Guid>
    <b:Title>A Multimedia Analysis of Persuasion in the 2016 Presidential Election: Comparing the Unique and Complementary Effects of Political Comedy and Political Advertising.</b:Title>
    <b:JournalName>Mass Communication &amp; Society</b:JournalName>
    <b:Year>2018</b:Year>
    <b:Pages>720-741</b:Pages>
    <b:Month>12</b:Month>
    <b:Volume>21</b:Volume>
    <b:Issue>06</b:Issue>
    <b:YearAccessed>2022</b:YearAccessed>
    <b:MonthAccessed>05</b:MonthAccessed>
    <b:DayAccessed>17</b:DayAccessed>
    <b:DOI>https://doi.org/10.1080/15205436.2018.1472283</b:DOI>
    <b:Author>
      <b:Author>
        <b:NameList>
          <b:Person>
            <b:Last>Warner</b:Last>
            <b:Middle>R.</b:Middle>
            <b:First>Benjamin</b:First>
          </b:Person>
          <b:Person>
            <b:Last>Jennings</b:Last>
            <b:Middle>J.</b:Middle>
            <b:First>Freddie</b:First>
          </b:Person>
          <b:Person>
            <b:Last>Bramlett</b:Last>
            <b:Middle>C.</b:Middle>
            <b:First>Josh</b:First>
          </b:Person>
          <b:Person>
            <b:Last>Coker</b:Last>
            <b:Middle>R.</b:Middle>
            <b:First>Calvin</b:First>
          </b:Person>
          <b:Person>
            <b:Last>Reed</b:Last>
            <b:Middle>Lansing</b:Middle>
            <b:First>Joel </b:First>
          </b:Person>
          <b:Person>
            <b:Last>Bolton</b:Last>
            <b:Middle>P.</b:Middle>
            <b:First>Joshua</b:First>
          </b:Person>
        </b:NameList>
      </b:Author>
    </b:Author>
    <b:RefOrder>798</b:RefOrder>
  </b:Source>
  <b:Source>
    <b:Tag>Cai10</b:Tag>
    <b:SourceType>JournalArticle</b:SourceType>
    <b:Guid>{75A6CFF5-F79F-4C3F-8656-B2D3F974FDE7}</b:Guid>
    <b:Title>Embedded advertising on television: Disclosure, deception, and free speech rights.</b:Title>
    <b:JournalName>Journal of Public Policy &amp; Marketing</b:JournalName>
    <b:Year>2010</b:Year>
    <b:Author>
      <b:Author>
        <b:NameList>
          <b:Person>
            <b:Last>Cain</b:Last>
            <b:Middle>Marie</b:Middle>
            <b:First>Rita</b:First>
          </b:Person>
        </b:NameList>
      </b:Author>
    </b:Author>
    <b:Month>12</b:Month>
    <b:Volume>30</b:Volume>
    <b:Issue>02</b:Issue>
    <b:YearAccessed>2022</b:YearAccessed>
    <b:MonthAccessed>05</b:MonthAccessed>
    <b:DayAccessed>16</b:DayAccessed>
    <b:DOI>10.2307/23209277</b:DOI>
    <b:RefOrder>799</b:RefOrder>
  </b:Source>
  <b:Source>
    <b:Tag>XuP15</b:Tag>
    <b:SourceType>JournalArticle</b:SourceType>
    <b:Guid>{84EDD05A-BF8A-4B0F-B5C7-725D398DE4E0}</b:Guid>
    <b:Title>Will video be the next generation of e-commerce product reviews? Presentation format and the role of product type</b:Title>
    <b:JournalName>Decision Support Systems</b:JournalName>
    <b:Year>2015</b:Year>
    <b:Pages>85-96</b:Pages>
    <b:Author>
      <b:Author>
        <b:NameList>
          <b:Person>
            <b:Last>Xu</b:Last>
            <b:First>Pei</b:First>
          </b:Person>
          <b:Person>
            <b:Last>Chen</b:Last>
            <b:First>Lian</b:First>
          </b:Person>
          <b:Person>
            <b:Last>Santhanam</b:Last>
            <b:First>Radhika</b:First>
          </b:Person>
        </b:NameList>
      </b:Author>
    </b:Author>
    <b:Month>05</b:Month>
    <b:Volume>73</b:Volume>
    <b:YearAccessed>2022</b:YearAccessed>
    <b:MonthAccessed>05</b:MonthAccessed>
    <b:DayAccessed>16</b:DayAccessed>
    <b:DOI>https://doi.org/10.1016/j.dss.2015.03.001</b:DOI>
    <b:RefOrder>800</b:RefOrder>
  </b:Source>
  <b:Source>
    <b:Tag>All22</b:Tag>
    <b:SourceType>InternetSite</b:SourceType>
    <b:Guid>{A3B61BDB-F59C-4807-A533-B9F4A11710DD}</b:Guid>
    <b:YearAccessed>2022</b:YearAccessed>
    <b:MonthAccessed>06</b:MonthAccessed>
    <b:DayAccessed>05</b:DayAccessed>
    <b:URL>https://datareportal.com/reports/digital-2022-egypt</b:URL>
    <b:InternetSiteTitle>Media Landscapes</b:InternetSiteTitle>
    <b:ProductionCompany>European Journalism Centre</b:ProductionCompany>
    <b:Author>
      <b:Author>
        <b:NameList>
          <b:Person>
            <b:Last>Allam</b:Last>
            <b:First>Rasha</b:First>
          </b:Person>
        </b:NameList>
      </b:Author>
    </b:Author>
    <b:Year>2018</b:Year>
    <b:RefOrder>807</b:RefOrder>
  </b:Source>
  <b:Source>
    <b:Tag>Gal22</b:Tag>
    <b:SourceType>InternetSite</b:SourceType>
    <b:Guid>{8ACC9F7A-5C29-49C3-BF80-2F6F78FCD140}</b:Guid>
    <b:Title>Number of social media users in Egypt as of December 2021, by platform</b:Title>
    <b:InternetSiteTitle>Statista</b:InternetSiteTitle>
    <b:Year>2022</b:Year>
    <b:Month>03</b:Month>
    <b:Day>29</b:Day>
    <b:URL>https://www.statista.com/statistics/1263755/social-media-users-by-platform-in-egypt/</b:URL>
    <b:Author>
      <b:Author>
        <b:NameList>
          <b:Person>
            <b:Last>Galal</b:Last>
            <b:First>Saifaddin</b:First>
          </b:Person>
        </b:NameList>
      </b:Author>
    </b:Author>
    <b:RefOrder>808</b:RefOrder>
  </b:Source>
  <b:Source>
    <b:Tag>ITP18</b:Tag>
    <b:SourceType>InternetSite</b:SourceType>
    <b:Guid>{2A73FF14-8D36-4FC4-8609-F6AF3FE70D5E}</b:Guid>
    <b:Title>INSTAGRAM OR SNAPCHAT: HERE ARE EGYPT’S FAVORITE SOCIAL MEDIA PLATFORMS</b:Title>
    <b:InternetSiteTitle>ITP Live</b:InternetSiteTitle>
    <b:Year>2018</b:Year>
    <b:Month>10</b:Month>
    <b:Day>04</b:Day>
    <b:URL>https://itp.live/news/3467egypt-loves-facebook</b:URL>
    <b:Author>
      <b:Author>
        <b:NameList>
          <b:Person>
            <b:Last>ITP Live</b:Last>
          </b:Person>
        </b:NameList>
      </b:Author>
    </b:Author>
    <b:ProductionCompany>ITP Media Group </b:ProductionCompany>
    <b:YearAccessed>2022</b:YearAccessed>
    <b:MonthAccessed>06</b:MonthAccessed>
    <b:DayAccessed>05</b:DayAccessed>
    <b:RefOrder>1050</b:RefOrder>
  </b:Source>
  <b:Source>
    <b:Tag>Kem22</b:Tag>
    <b:SourceType>InternetSite</b:SourceType>
    <b:Guid>{7EF0F5CD-65B1-4D5A-BF93-37A5ADAC0F02}</b:Guid>
    <b:Title>Digital 2022: Egypt</b:Title>
    <b:InternetSiteTitle>DataReportal</b:InternetSiteTitle>
    <b:Year>2022</b:Year>
    <b:Month>02</b:Month>
    <b:Day>15</b:Day>
    <b:URL>https://datareportal.com/reports/digital-2022-egypt</b:URL>
    <b:Author>
      <b:Author>
        <b:NameList>
          <b:Person>
            <b:Last>Kemp</b:Last>
            <b:First>Simon</b:First>
          </b:Person>
        </b:NameList>
      </b:Author>
    </b:Author>
    <b:YearAccessed>2022</b:YearAccessed>
    <b:MonthAccessed>06</b:MonthAccessed>
    <b:DayAccessed>05</b:DayAccessed>
    <b:RefOrder>811</b:RefOrder>
  </b:Source>
  <b:Source>
    <b:Tag>Sau20</b:Tag>
    <b:SourceType>JournalArticle</b:SourceType>
    <b:Guid>{08B21C00-78AC-49A3-8A4C-AD91E8FF4740}</b:Guid>
    <b:Title>Designing Multi-Factorial Survey Experiments: Effects of Presentation Style (Text or Table), Answering Scales, and Vignette Order</b:Title>
    <b:JournalName>Methods, data, analyses</b:JournalName>
    <b:Year>2020</b:Year>
    <b:Pages>195-214</b:Pages>
    <b:Volume>14</b:Volume>
    <b:Issue>02</b:Issue>
    <b:YearAccessed>2022</b:YearAccessed>
    <b:MonthAccessed>05</b:MonthAccessed>
    <b:DayAccessed>24</b:DayAccessed>
    <b:DOI> https://doi.org/10.12758/mda.2020.06</b:DOI>
    <b:Author>
      <b:Author>
        <b:NameList>
          <b:Person>
            <b:Last>Sauer</b:Last>
            <b:First>Carsten</b:First>
          </b:Person>
          <b:Person>
            <b:Last>Auspurg</b:Last>
            <b:First>Katrin </b:First>
          </b:Person>
          <b:Person>
            <b:Last>Hinz</b:Last>
            <b:First>Thomas </b:First>
          </b:Person>
        </b:NameList>
      </b:Author>
    </b:Author>
    <b:RefOrder>813</b:RefOrder>
  </b:Source>
  <b:Source>
    <b:Tag>Fin16</b:Tag>
    <b:SourceType>JournalArticle</b:SourceType>
    <b:Guid>{0F793FF6-778E-47CF-A0C2-8CE531E2B6CF}</b:Guid>
    <b:Title>Institutional constraints and the translation of college aspirations into intentions - evidence from a factorial survey</b:Title>
    <b:JournalName>Research in Social Stratification and Mobility </b:JournalName>
    <b:Year>2016</b:Year>
    <b:Pages>112-128</b:Pages>
    <b:Author>
      <b:Author>
        <b:NameList>
          <b:Person>
            <b:Last>Finger</b:Last>
            <b:First>Claudia</b:First>
          </b:Person>
        </b:NameList>
      </b:Author>
    </b:Author>
    <b:Volume>46</b:Volume>
    <b:YearAccessed>2022</b:YearAccessed>
    <b:MonthAccessed>05</b:MonthAccessed>
    <b:DayAccessed>24</b:DayAccessed>
    <b:URL>http://hdl.handle.net/10419/218969</b:URL>
    <b:RefOrder>814</b:RefOrder>
  </b:Source>
  <b:Source>
    <b:Tag>McD19</b:Tag>
    <b:SourceType>JournalArticle</b:SourceType>
    <b:Guid>{2A79F783-E1FA-43A9-95E2-C68F30115BB0}</b:Guid>
    <b:Title>How Factorial Survey Analysis Improves Our Understanding of Employer Preferences</b:Title>
    <b:JournalName>Swiss Journal of Sociology</b:JournalName>
    <b:Year>2019</b:Year>
    <b:Pages>237-260</b:Pages>
    <b:Month>07</b:Month>
    <b:Volume>45</b:Volume>
    <b:Issue>02</b:Issue>
    <b:YearAccessed>2022</b:YearAccessed>
    <b:MonthAccessed>05</b:MonthAccessed>
    <b:DayAccessed>24</b:DayAccessed>
    <b:DOI>10.2478/sjs-2019-0011</b:DOI>
    <b:Author>
      <b:Author>
        <b:NameList>
          <b:Person>
            <b:Last>McDonald</b:Last>
            <b:First>Patrick </b:First>
          </b:Person>
        </b:NameList>
      </b:Author>
    </b:Author>
    <b:RefOrder>815</b:RefOrder>
  </b:Source>
  <b:Source>
    <b:Tag>Mös19</b:Tag>
    <b:SourceType>JournalArticle</b:SourceType>
    <b:Guid>{14EF802D-3A7E-491E-8841-BAB1CB9421A8}</b:Guid>
    <b:Title>Valuation of Labour Market Entrance Positions among (future) apprentices - Results from two discrete choice experiments</b:Title>
    <b:JournalName>Journal of Choice Modelling</b:JournalName>
    <b:Year>2019</b:Year>
    <b:Author>
      <b:Author>
        <b:NameList>
          <b:Person>
            <b:Last>Möser</b:Last>
            <b:First>Sara</b:First>
          </b:Person>
          <b:Person>
            <b:Last>Glauser</b:Last>
            <b:First>David</b:First>
          </b:Person>
          <b:Person>
            <b:Last>Becker</b:Last>
            <b:First>Rolf</b:First>
          </b:Person>
        </b:NameList>
      </b:Author>
    </b:Author>
    <b:Month>12</b:Month>
    <b:Volume>33</b:Volume>
    <b:YearAccessed>2022</b:YearAccessed>
    <b:MonthAccessed>05</b:MonthAccessed>
    <b:DayAccessed>24</b:DayAccessed>
    <b:DOI>https://doi.org/10.1016/j.jocm.2019.100180</b:DOI>
    <b:RefOrder>816</b:RefOrder>
  </b:Source>
  <b:Source>
    <b:Tag>Ayt20</b:Tag>
    <b:SourceType>JournalArticle</b:SourceType>
    <b:Guid>{5245406C-38B9-4251-9DA7-03B0FF74923B}</b:Guid>
    <b:Title>Do Voters Respond to Relative Economic Performance? Evidence from Survey Experiments.</b:Title>
    <b:JournalName>Public Opinion Quarterly</b:JournalName>
    <b:Year>2020</b:Year>
    <b:Pages>493-507</b:Pages>
    <b:Author>
      <b:Author>
        <b:NameList>
          <b:Person>
            <b:Last>Aytaç</b:Last>
            <b:Middle>Erdem</b:Middle>
            <b:First>Selim</b:First>
          </b:Person>
        </b:NameList>
      </b:Author>
    </b:Author>
    <b:Volume>84</b:Volume>
    <b:Issue>02</b:Issue>
    <b:YearAccessed>2022</b:YearAccessed>
    <b:MonthAccessed>05</b:MonthAccessed>
    <b:DayAccessed>24</b:DayAccessed>
    <b:DOI>10.1093/poq/nfaa023</b:DOI>
    <b:RefOrder>818</b:RefOrder>
  </b:Source>
  <b:Source>
    <b:Tag>Rod21</b:Tag>
    <b:SourceType>JournalArticle</b:SourceType>
    <b:Guid>{3EAC2886-1840-401A-BFCB-69ECDEFE1CFE}</b:Guid>
    <b:Title>How issue framing shapes trade attitudes: Evidence from a multi-country survey experiment</b:Title>
    <b:JournalName>Journal of International Economics</b:JournalName>
    <b:Year>2021</b:Year>
    <b:Author>
      <b:Author>
        <b:NameList>
          <b:Person>
            <b:Last>Rodríguez Chatruc</b:Last>
            <b:First>Marisol</b:First>
          </b:Person>
          <b:Person>
            <b:Last>Stein</b:Last>
            <b:First>Ernesto</b:First>
          </b:Person>
          <b:Person>
            <b:Last>Vlaicu</b:Last>
            <b:First>Razvan</b:First>
          </b:Person>
        </b:NameList>
      </b:Author>
    </b:Author>
    <b:Month>03</b:Month>
    <b:Publisher>Elsevier B.V.</b:Publisher>
    <b:YearAccessed>2022</b:YearAccessed>
    <b:MonthAccessed>05</b:MonthAccessed>
    <b:DayAccessed>24</b:DayAccessed>
    <b:DOI>10.1016/j.jinteco.2021.103428</b:DOI>
    <b:RefOrder>819</b:RefOrder>
  </b:Source>
  <b:Source>
    <b:Tag>Knu19</b:Tag>
    <b:SourceType>JournalArticle</b:SourceType>
    <b:Guid>{0F57D2CC-89CF-4490-B5E7-74807664A447}</b:Guid>
    <b:Title>Beyond the Limits of Survey Experiments: How Conjoint Designs Advance Causal Inference in Political Communication Research.</b:Title>
    <b:JournalName>Political Communication</b:JournalName>
    <b:Year>2019</b:Year>
    <b:Pages>259-271</b:Pages>
    <b:Author>
      <b:Author>
        <b:NameList>
          <b:Person>
            <b:Last>Knudsen</b:Last>
            <b:First>Erik</b:First>
          </b:Person>
          <b:Person>
            <b:Last>Johannesson</b:Last>
            <b:Middle>Poul</b:Middle>
            <b:First>Mikael </b:First>
          </b:Person>
        </b:NameList>
      </b:Author>
    </b:Author>
    <b:Month>06</b:Month>
    <b:Volume>36</b:Volume>
    <b:Issue>02</b:Issue>
    <b:YearAccessed>2022</b:YearAccessed>
    <b:MonthAccessed>05</b:MonthAccessed>
    <b:DayAccessed>24</b:DayAccessed>
    <b:DOI>10.1080/10584609.2018.1493009</b:DOI>
    <b:RefOrder>820</b:RefOrder>
  </b:Source>
  <b:Source>
    <b:Tag>Ohm20</b:Tag>
    <b:SourceType>JournalArticle</b:SourceType>
    <b:Guid>{4B995E5C-A23F-4DB2-8E5F-BDDDF753BD7C}</b:Guid>
    <b:Title>What Affects First- and Second-Level Selective Exposure to Journalistic News? A Social Media Online Experiment</b:Title>
    <b:JournalName>Journalism Studies</b:JournalName>
    <b:Year>2020</b:Year>
    <b:Pages>1220-1242</b:Pages>
    <b:Author>
      <b:Author>
        <b:NameList>
          <b:Person>
            <b:Last>Ohme</b:Last>
            <b:First>J.</b:First>
          </b:Person>
          <b:Person>
            <b:Last>Mothes</b:Last>
            <b:First>C.</b:First>
          </b:Person>
        </b:NameList>
      </b:Author>
    </b:Author>
    <b:Month>07</b:Month>
    <b:Day>03</b:Day>
    <b:Publisher>Routledge</b:Publisher>
    <b:Volume>21</b:Volume>
    <b:Issue>09</b:Issue>
    <b:YearAccessed>2022</b:YearAccessed>
    <b:MonthAccessed>06</b:MonthAccessed>
    <b:DayAccessed>05</b:DayAccessed>
    <b:DOI>10.1080/1461670X.2020.1735490</b:DOI>
    <b:RefOrder>821</b:RefOrder>
  </b:Source>
  <b:Source>
    <b:Tag>Kos20</b:Tag>
    <b:SourceType>JournalArticle</b:SourceType>
    <b:Guid>{85882408-86C4-439D-8C64-63471F34E306}</b:Guid>
    <b:Title>Can Social Media Incivility Induce Enthusiasm? Evidence from Survey Experiments.</b:Title>
    <b:JournalName>Public Opinion Quarterly</b:JournalName>
    <b:Year>2020</b:Year>
    <b:Pages>284-308</b:Pages>
    <b:Author>
      <b:Author>
        <b:NameList>
          <b:Person>
            <b:Last>Kosmidis</b:Last>
            <b:First>Spyros </b:First>
          </b:Person>
          <b:Person>
            <b:Last>Theocharis</b:Last>
            <b:First>Yannis</b:First>
          </b:Person>
        </b:NameList>
      </b:Author>
    </b:Author>
    <b:Volume>84</b:Volume>
    <b:YearAccessed>2022</b:YearAccessed>
    <b:MonthAccessed>05</b:MonthAccessed>
    <b:DayAccessed>24</b:DayAccessed>
    <b:DOI>10.1093/poq/nfaa014</b:DOI>
    <b:RefOrder>822</b:RefOrder>
  </b:Source>
  <b:Source>
    <b:Tag>Mos21</b:Tag>
    <b:SourceType>JournalArticle</b:SourceType>
    <b:Guid>{0CF56AA8-8374-46E9-A8FF-5C93C1BE00D6}</b:Guid>
    <b:Title>Field Experiments on Social Media</b:Title>
    <b:JournalName>CURRENT DIRECTIONS IN PSYCHOLOGICAL SCIENCE, </b:JournalName>
    <b:Year>2021</b:Year>
    <b:Author>
      <b:Author>
        <b:NameList>
          <b:Person>
            <b:Last>Mosleh </b:Last>
            <b:First>Mohsen</b:First>
          </b:Person>
          <b:Person>
            <b:Last>Pennycook</b:Last>
            <b:First>Gordon</b:First>
          </b:Person>
          <b:Person>
            <b:Last>Rand,</b:Last>
            <b:Middle>G.</b:Middle>
            <b:First>David </b:First>
          </b:Person>
        </b:NameList>
      </b:Author>
    </b:Author>
    <b:Publisher>SAGE PUBLICATIONS INC</b:Publisher>
    <b:YearAccessed>2022</b:YearAccessed>
    <b:MonthAccessed>06</b:MonthAccessed>
    <b:DayAccessed>03</b:DayAccessed>
    <b:DOI>10.1177/09637214211054761</b:DOI>
    <b:RefOrder>823</b:RefOrder>
  </b:Source>
  <b:Source>
    <b:Tag>Wat20</b:Tag>
    <b:SourceType>JournalArticle</b:SourceType>
    <b:Guid>{6F170CBC-AE06-4B67-9AC9-54B1534599D7}</b:Guid>
    <b:Title>Two energy suppliers are better than one: Survey experiments on consumer engagement with local energy in GB</b:Title>
    <b:JournalName>Energy Policy</b:JournalName>
    <b:Year>2020</b:Year>
    <b:Author>
      <b:Author>
        <b:NameList>
          <b:Person>
            <b:Last>Watson</b:Last>
            <b:Middle>E.</b:Middle>
            <b:First>Nicole</b:First>
          </b:Person>
          <b:Person>
            <b:Last>Huebner</b:Last>
            <b:Middle>M.</b:Middle>
            <b:First>Gresche</b:First>
          </b:Person>
          <b:Person>
            <b:Last>Fell</b:Last>
            <b:Middle>J.</b:Middle>
            <b:First>Michael</b:First>
          </b:Person>
          <b:Person>
            <b:Last>Shipworth</b:Last>
            <b:First>David</b:First>
          </b:Person>
        </b:NameList>
      </b:Author>
    </b:Author>
    <b:Month>12</b:Month>
    <b:Volume>147</b:Volume>
    <b:YearAccessed>2022</b:YearAccessed>
    <b:MonthAccessed>05</b:MonthAccessed>
    <b:DayAccessed>25</b:DayAccessed>
    <b:DOI>https://doi.org/10.1016/j.enpol.2020.111891</b:DOI>
    <b:RefOrder>824</b:RefOrder>
  </b:Source>
  <b:Source>
    <b:Tag>Pet22</b:Tag>
    <b:SourceType>JournalArticle</b:SourceType>
    <b:Guid>{36BC55EF-38B4-4ADF-8607-549E0B3FF1FA}</b:Guid>
    <b:Title>Factorial Survey Experiments in the Sociology of Education.</b:Title>
    <b:JournalName>Swiss Journal of Sociology</b:JournalName>
    <b:Year>2022</b:Year>
    <b:Author>
      <b:Author>
        <b:NameList>
          <b:Person>
            <b:Last>Petzold</b:Last>
            <b:First>Knut</b:First>
          </b:Person>
        </b:NameList>
      </b:Author>
    </b:Author>
    <b:Month>01</b:Month>
    <b:Volume>48</b:Volume>
    <b:Issue>01</b:Issue>
    <b:YearAccessed>2022</b:YearAccessed>
    <b:MonthAccessed>05</b:MonthAccessed>
    <b:DayAccessed>24</b:DayAccessed>
    <b:DOI>10.2478/sjs-2022-0001</b:DOI>
    <b:RefOrder>825</b:RefOrder>
  </b:Source>
  <b:Source>
    <b:Tag>Daf18</b:Tag>
    <b:SourceType>JournalArticle</b:SourceType>
    <b:Guid>{F7565BA0-C506-4ED7-84EE-999DBB18D7E6}</b:Guid>
    <b:Title>Information Equivalence in Survey Experiments</b:Title>
    <b:JournalName>Political Analysis</b:JournalName>
    <b:Year>2018</b:Year>
    <b:Pages>399-416</b:Pages>
    <b:Volume>26</b:Volume>
    <b:Issue>4</b:Issue>
    <b:Month>08</b:Month>
    <b:Day>03</b:Day>
    <b:YearAccessed>2022</b:YearAccessed>
    <b:MonthAccessed>01</b:MonthAccessed>
    <b:DayAccessed>05</b:DayAccessed>
    <b:DOI>https://doi.org/10.1017/pan.2018.9</b:DOI>
    <b:Author>
      <b:Author>
        <b:NameList>
          <b:Person>
            <b:Last>Dafoe</b:Last>
            <b:First>Allan</b:First>
          </b:Person>
          <b:Person>
            <b:Last>Zhang</b:Last>
            <b:First>Baobao</b:First>
          </b:Person>
          <b:Person>
            <b:Last>Caughey</b:Last>
            <b:First>Devin</b:First>
          </b:Person>
        </b:NameList>
      </b:Author>
    </b:Author>
    <b:RefOrder>826</b:RefOrder>
  </b:Source>
  <b:Source>
    <b:Tag>Sus18</b:Tag>
    <b:SourceType>JournalArticle</b:SourceType>
    <b:Guid>{96A721BD-7F36-474E-A890-7B4119201D11}</b:Guid>
    <b:Title>Causality in the Theory of Planned Behavior</b:Title>
    <b:JournalName>Personality and Social Psychology Bulletin</b:JournalName>
    <b:Year>2018</b:Year>
    <b:Pages>922-933</b:Pages>
    <b:Month>09</b:Month>
    <b:Day>28</b:Day>
    <b:Publisher>Sage Journals</b:Publisher>
    <b:Volume>45</b:Volume>
    <b:Issue>6</b:Issue>
    <b:YearAccessed>2022</b:YearAccessed>
    <b:MonthAccessed>01</b:MonthAccessed>
    <b:DayAccessed>09</b:DayAccessed>
    <b:DOI>https://doi.org/10.1177/0146167218801363</b:DOI>
    <b:Author>
      <b:Author>
        <b:NameList>
          <b:Person>
            <b:Last>Sussman</b:Last>
            <b:First>Reuven</b:First>
          </b:Person>
          <b:Person>
            <b:Last>Gifford</b:Last>
            <b:First>Robert</b:First>
          </b:Person>
        </b:NameList>
      </b:Author>
    </b:Author>
    <b:RefOrder>828</b:RefOrder>
  </b:Source>
  <b:Source>
    <b:Tag>Sil09</b:Tag>
    <b:SourceType>JournalArticle</b:SourceType>
    <b:Guid>{B60B8443-236D-4151-A4FA-A1935D41A523}</b:Guid>
    <b:Title>Recovery Strategies for Service Failures: The Case of Restaurants</b:Title>
    <b:JournalName>Journal of Hospitality Marketing &amp; Management</b:JournalName>
    <b:Year>2009</b:Year>
    <b:Pages>130-140</b:Pages>
    <b:Month>09</b:Month>
    <b:Day>03</b:Day>
    <b:Volume>18</b:Volume>
    <b:Issue>07</b:Issue>
    <b:YearAccessed>2022</b:YearAccessed>
    <b:MonthAccessed>05</b:MonthAccessed>
    <b:DayAccessed>25</b:DayAccessed>
    <b:DOI>https://doi.org/10.1080/19368620903170273</b:DOI>
    <b:Author>
      <b:Author>
        <b:NameList>
          <b:Person>
            <b:Last>Silber</b:Last>
            <b:First>Ilan </b:First>
          </b:Person>
          <b:Person>
            <b:Last>Israeli </b:Last>
            <b:First>Aviad</b:First>
          </b:Person>
          <b:Person>
            <b:Last>Bustin</b:Last>
            <b:First>Adi </b:First>
          </b:Person>
          <b:Person>
            <b:Last> Ben Zvi</b:Last>
            <b:First>Ofir </b:First>
          </b:Person>
        </b:NameList>
      </b:Author>
    </b:Author>
    <b:RefOrder>830</b:RefOrder>
  </b:Source>
  <b:Source>
    <b:Tag>Gei15</b:Tag>
    <b:SourceType>JournalArticle</b:SourceType>
    <b:Guid>{FB846AC3-50B3-4B2C-96E1-357014042D1D}</b:Guid>
    <b:Title>Which types of multi-stage marketing increase direct customers' willingness-to-pay? Evidence from a scenario-based experiment in a B2B setting</b:Title>
    <b:JournalName>Industrial Marketing Management</b:JournalName>
    <b:Year>2015</b:Year>
    <b:Pages>175-189</b:Pages>
    <b:Month>05</b:Month>
    <b:Volume>47</b:Volume>
    <b:YearAccessed>2022</b:YearAccessed>
    <b:MonthAccessed>05</b:MonthAccessed>
    <b:DayAccessed>25</b:DayAccessed>
    <b:DOI>https://doi.org/10.1016/j.indmarman.2015.02.042</b:DOI>
    <b:Author>
      <b:Author>
        <b:NameList>
          <b:Person>
            <b:Last>Geiger</b:Last>
            <b:First>Ingmar</b:First>
          </b:Person>
          <b:Person>
            <b:Last>Dost</b:Last>
            <b:First>Florian</b:First>
          </b:Person>
          <b:Person>
            <b:Last>Schönhoff</b:Last>
            <b:First>Alejandro</b:First>
          </b:Person>
          <b:Person>
            <b:Last>Kleinaltenkamp</b:Last>
            <b:First>Michael</b:First>
          </b:Person>
        </b:NameList>
      </b:Author>
    </b:Author>
    <b:RefOrder>831</b:RefOrder>
  </b:Source>
  <b:Source>
    <b:Tag>Par22</b:Tag>
    <b:SourceType>JournalArticle</b:SourceType>
    <b:Guid>{9C97D3F9-8382-4C6F-BB80-BAAB3CF6E773}</b:Guid>
    <b:Title>Phishing for the Truth: A Scenario-Based Experiment of Users’ Behavioural Response to Emails</b:Title>
    <b:JournalName>IFIP Advances in Information and Communication Technolog</b:JournalName>
    <b:Pages>366-378</b:Pages>
    <b:Publisher>Springer, Berlin, Heidelberg</b:Publisher>
    <b:Volume>405</b:Volume>
    <b:YearAccessed>2022</b:YearAccessed>
    <b:MonthAccessed>05</b:MonthAccessed>
    <b:DayAccessed>25</b:DayAccessed>
    <b:DOI>https://doi.org/10.1007/978-3-642-39218-4_27</b:DOI>
    <b:Author>
      <b:Author>
        <b:NameList>
          <b:Person>
            <b:Last>Parsons</b:Last>
            <b:First>Kathryn </b:First>
          </b:Person>
          <b:Person>
            <b:Last>McCormac</b:Last>
            <b:First>Agata </b:First>
          </b:Person>
          <b:Person>
            <b:Last>Pattinson</b:Last>
            <b:First>Malcolm </b:First>
          </b:Person>
          <b:Person>
            <b:Last>Butavicius</b:Last>
            <b:First>Marcus</b:First>
          </b:Person>
          <b:Person>
            <b:Last>Jerram</b:Last>
            <b:First>Cate </b:First>
          </b:Person>
        </b:NameList>
      </b:Author>
    </b:Author>
    <b:Year>2013</b:Year>
    <b:RefOrder>832</b:RefOrder>
  </b:Source>
  <b:Source>
    <b:Tag>Lik32</b:Tag>
    <b:SourceType>JournalArticle</b:SourceType>
    <b:Guid>{939BBD8D-86D6-4187-9369-C78DC9621563}</b:Guid>
    <b:Title>Technique for the Measurement of Attitudes</b:Title>
    <b:JournalName>Archives of Psychology</b:JournalName>
    <b:Year>1932</b:Year>
    <b:Author>
      <b:Author>
        <b:NameList>
          <b:Person>
            <b:Last>Likert</b:Last>
            <b:First>R</b:First>
          </b:Person>
        </b:NameList>
      </b:Author>
    </b:Author>
    <b:RefOrder>839</b:RefOrder>
  </b:Source>
  <b:Source>
    <b:Tag>Sim191</b:Tag>
    <b:SourceType>JournalArticle</b:SourceType>
    <b:Guid>{25287C76-B559-489C-AB04-2D0D81BA49F1}</b:Guid>
    <b:Title>Does the number of response options matter? Psychometric perspectives using personality questionnaire data</b:Title>
    <b:JournalName>Psychol Assess.</b:JournalName>
    <b:Year>2019</b:Year>
    <b:Pages>557-566</b:Pages>
    <b:Author>
      <b:Author>
        <b:NameList>
          <b:Person>
            <b:Last>Simms</b:Last>
            <b:Middle>J</b:Middle>
            <b:First>Leonard </b:First>
          </b:Person>
          <b:Person>
            <b:Last>Zelazny</b:Last>
            <b:First>Kerry </b:First>
          </b:Person>
          <b:Person>
            <b:Last>Williams</b:Last>
            <b:Middle>F</b:Middle>
            <b:First>Trevor </b:First>
          </b:Person>
          <b:Person>
            <b:Last>Bernstein</b:Last>
            <b:First>Lee </b:First>
          </b:Person>
        </b:NameList>
      </b:Author>
    </b:Author>
    <b:Month>04</b:Month>
    <b:Volume>31</b:Volume>
    <b:Issue>04</b:Issue>
    <b:YearAccessed>2022</b:YearAccessed>
    <b:MonthAccessed>07</b:MonthAccessed>
    <b:DayAccessed>19</b:DayAccessed>
    <b:DOI>10.1037/pas0000648</b:DOI>
    <b:RefOrder>840</b:RefOrder>
  </b:Source>
  <b:Source>
    <b:Tag>Lew19</b:Tag>
    <b:SourceType>JournalArticle</b:SourceType>
    <b:Guid>{8CAF7344-8556-4240-8F2B-E15F5F582ECF}</b:Guid>
    <b:Title>Comparison of Four TAM Item Formats: Effect of Response Option Labels and Order</b:Title>
    <b:JournalName>Journal of User Experience</b:JournalName>
    <b:Year>2019</b:Year>
    <b:Pages>224-236</b:Pages>
    <b:Author>
      <b:Author>
        <b:NameList>
          <b:Person>
            <b:Last>Lewis</b:Last>
            <b:Middle>R.</b:Middle>
            <b:First>James</b:First>
          </b:Person>
        </b:NameList>
      </b:Author>
    </b:Author>
    <b:Volume>14</b:Volume>
    <b:Issue>04</b:Issue>
    <b:YearAccessed>2022</b:YearAccessed>
    <b:MonthAccessed>07</b:MonthAccessed>
    <b:DayAccessed>31</b:DayAccessed>
    <b:URL>https://uxpajournal.org/tam-formats-effect-response-labels-order/</b:URL>
    <b:RefOrder>841</b:RefOrder>
  </b:Source>
  <b:Source>
    <b:Tag>Lew21</b:Tag>
    <b:SourceType>JournalArticle</b:SourceType>
    <b:Guid>{571D1DE6-F7FD-4991-8B18-C61F5C554006}</b:Guid>
    <b:Title>Revisiting the Evidence for the Left-Side Bias in Rating Scales</b:Title>
    <b:JournalName>MeasuringU</b:JournalName>
    <b:Year>2021</b:Year>
    <b:Author>
      <b:Author>
        <b:NameList>
          <b:Person>
            <b:Last>Lewis </b:Last>
            <b:First>Jim</b:First>
          </b:Person>
          <b:Person>
            <b:Last>Sauro</b:Last>
            <b:First>Jeff</b:First>
          </b:Person>
        </b:NameList>
      </b:Author>
    </b:Author>
    <b:Month>10</b:Month>
    <b:Day>21</b:Day>
    <b:YearAccessed>2022</b:YearAccessed>
    <b:MonthAccessed>07</b:MonthAccessed>
    <b:DayAccessed>31</b:DayAccessed>
    <b:URL>https://measuringu.com/revisiting-the-left-side-bias/</b:URL>
    <b:RefOrder>842</b:RefOrder>
  </b:Source>
  <b:Source>
    <b:Tag>Wen00</b:Tag>
    <b:SourceType>JournalArticle</b:SourceType>
    <b:Guid>{28D50BAD-2647-4B02-9BF9-80426D2B6DF6}</b:Guid>
    <b:Title>Effects of Response Order on Likert-Type Scales</b:Title>
    <b:JournalName>Educational and Psychological Measurement</b:JournalName>
    <b:Year>2000</b:Year>
    <b:Pages>908-924</b:Pages>
    <b:Author>
      <b:Author>
        <b:NameList>
          <b:Person>
            <b:Last>Weng</b:Last>
            <b:First>Li-Jen </b:First>
          </b:Person>
          <b:Person>
            <b:Last>Cheng</b:Last>
            <b:First>Chung-Ping </b:First>
          </b:Person>
        </b:NameList>
      </b:Author>
    </b:Author>
    <b:Month>12</b:Month>
    <b:Volume>60</b:Volume>
    <b:Issue>06</b:Issue>
    <b:YearAccessed>2022</b:YearAccessed>
    <b:MonthAccessed>07</b:MonthAccessed>
    <b:DayAccessed>30</b:DayAccessed>
    <b:DOI>DOI:10.1177/00131640021970989</b:DOI>
    <b:RefOrder>843</b:RefOrder>
  </b:Source>
  <b:Source>
    <b:Tag>Sau10</b:Tag>
    <b:SourceType>InternetSite</b:SourceType>
    <b:Guid>{5064D172-4799-4B01-B361-1243EFAFE1E6}</b:Guid>
    <b:Title>Survey Respondents Prefer the Left Side of a Rating Scale</b:Title>
    <b:Year>2010</b:Year>
    <b:InternetSiteTitle>MeasuringU</b:InternetSiteTitle>
    <b:Month>09</b:Month>
    <b:Day>14</b:Day>
    <b:URL>https://measuringu.com/left-side-bias/</b:URL>
    <b:Author>
      <b:Author>
        <b:NameList>
          <b:Person>
            <b:Last>Sauro</b:Last>
            <b:First>Jeff</b:First>
          </b:Person>
        </b:NameList>
      </b:Author>
    </b:Author>
    <b:YearAccessed>2022</b:YearAccessed>
    <b:MonthAccessed>07</b:MonthAccessed>
    <b:DayAccessed>31</b:DayAccessed>
    <b:RefOrder>844</b:RefOrder>
  </b:Source>
  <b:Source>
    <b:Tag>Hef21</b:Tag>
    <b:SourceType>JournalArticle</b:SourceType>
    <b:Guid>{8F6A6C66-4159-4570-9D8D-7EA3BB8C804E}</b:Guid>
    <b:Title>Factors Influencing Egyptian Consumers’ Online Purchase of Airline Tickets</b:Title>
    <b:JournalName>The Scientific Journal of the Faculty of Tourism and Hotels, Alexandria University,</b:JournalName>
    <b:Year>2021</b:Year>
    <b:Pages>33-49</b:Pages>
    <b:Volume>18</b:Volume>
    <b:Issue>02</b:Issue>
    <b:YearAccessed>2022</b:YearAccessed>
    <b:MonthAccessed>09</b:MonthAccessed>
    <b:DayAccessed>05</b:DayAccessed>
    <b:URL>https://thalexu.journals.ekb.eg/article_212168_759e28a982ea140f1b09ffa98ec71df8.pdf</b:URL>
    <b:Author>
      <b:Author>
        <b:NameList>
          <b:Person>
            <b:Last>Hefny</b:Last>
            <b:First>Lamia</b:First>
          </b:Person>
        </b:NameList>
      </b:Author>
    </b:Author>
    <b:RefOrder>854</b:RefOrder>
  </b:Source>
  <b:Source>
    <b:Tag>Gan03</b:Tag>
    <b:SourceType>BookSection</b:SourceType>
    <b:Guid>{E4593646-696A-4643-BA98-D36F92D41750}</b:Guid>
    <b:Title>Chapter 9: Three Internationally Standardised Measures for Comparative Research on Occupational Status</b:Title>
    <b:Year>2003</b:Year>
    <b:Pages>159-193</b:Pages>
    <b:BookTitle>Advances in Cross-National Comparison: A European Working Book for Demographic and Socio-Economic Variables</b:BookTitle>
    <b:YearAccessed>2022</b:YearAccessed>
    <b:MonthAccessed>09</b:MonthAccessed>
    <b:DayAccessed>05</b:DayAccessed>
    <b:DOI>10.1007/978-1-4419-9186-7</b:DOI>
    <b:Author>
      <b:Author>
        <b:NameList>
          <b:Person>
            <b:Last>Ganzeboom</b:Last>
            <b:Middle>B.G.</b:Middle>
            <b:First>Harry</b:First>
          </b:Person>
          <b:Person>
            <b:Last>Treiman</b:Last>
            <b:Middle>J.</b:Middle>
            <b:First>Donald</b:First>
          </b:Person>
        </b:NameList>
      </b:Author>
      <b:BookAuthor>
        <b:NameList>
          <b:Person>
            <b:Last>Hoffmeyer-Zlotnik</b:Last>
            <b:Middle>H.P.</b:Middle>
            <b:First>Jürgen  </b:First>
          </b:Person>
          <b:Person>
            <b:Last>Wolf</b:Last>
            <b:First>Christof </b:First>
          </b:Person>
        </b:NameList>
      </b:BookAuthor>
    </b:Author>
    <b:RefOrder>865</b:RefOrder>
  </b:Source>
  <b:Source>
    <b:Tag>Sal19</b:Tag>
    <b:SourceType>JournalArticle</b:SourceType>
    <b:Guid>{7D89B6B1-33A8-4C7A-8645-E805CE0AB3EC}</b:Guid>
    <b:Title>Modified Kuppuswamy socioeconomic scale updated for the year 2019</b:Title>
    <b:Year>2019</b:Year>
    <b:JournalName>Indian Journal of Forensic and Community Medicine</b:JournalName>
    <b:Month>03</b:Month>
    <b:Volume>06</b:Volume>
    <b:Issue>01</b:Issue>
    <b:YearAccessed>2022</b:YearAccessed>
    <b:MonthAccessed>09</b:MonthAccessed>
    <b:DayAccessed>05</b:DayAccessed>
    <b:URL>https://www.ipinnovative.com/journal-article-file/8720</b:URL>
    <b:DOI>0.18231/2394-6776.2019.0001</b:DOI>
    <b:Author>
      <b:Author>
        <b:NameList>
          <b:Person>
            <b:Last>Saleem</b:Last>
            <b:Middle>Mohd</b:Middle>
            <b:First>Sheikh</b:First>
          </b:Person>
        </b:NameList>
      </b:Author>
    </b:Author>
    <b:RefOrder>858</b:RefOrder>
  </b:Source>
  <b:Source>
    <b:Tag>Aya17</b:Tag>
    <b:SourceType>JournalArticle</b:SourceType>
    <b:Guid>{FC2AA205-430D-4CE1-8AAB-A6127441ECA7}</b:Guid>
    <b:Title>Can offensive advertising strategies survive the perceptions of the millennial muslims in Egypt</b:Title>
    <b:JournalName>Repository of Cardiff University</b:JournalName>
    <b:Year>2017</b:Year>
    <b:Author>
      <b:Author>
        <b:NameList>
          <b:Person>
            <b:Last>Ayad</b:Last>
            <b:First>Nihal</b:First>
          </b:Person>
        </b:NameList>
      </b:Author>
    </b:Author>
    <b:YearAccessed>2022</b:YearAccessed>
    <b:MonthAccessed>09</b:MonthAccessed>
    <b:DayAccessed>05</b:DayAccessed>
    <b:URL>file:///C:/Users/Nashwa/Desktop/PhD%20LSBU/Shorouk%20Hamzawi%20docs/Nihal%20Ayad%20Thesis%202018-1.pdf</b:URL>
    <b:RefOrder>866</b:RefOrder>
  </b:Source>
  <b:Source>
    <b:Tag>Lee131</b:Tag>
    <b:SourceType>JournalArticle</b:SourceType>
    <b:Guid>{82916550-C55D-4F22-80EE-2A3F80DC82DC}</b:Guid>
    <b:Title>Manipulating Ad Message Involvement through Information Expectancy: Effects on Attitude Evaluation and Confidence</b:Title>
    <b:JournalName>Journal of Advertising</b:JournalName>
    <b:Year>2013</b:Year>
    <b:Pages>29-43</b:Pages>
    <b:Month>05</b:Month>
    <b:Day>31</b:Day>
    <b:Volume>29</b:Volume>
    <b:Issue>02</b:Issue>
    <b:YearAccessed>2022</b:YearAccessed>
    <b:MonthAccessed>06</b:MonthAccessed>
    <b:DayAccessed>12</b:DayAccessed>
    <b:DOI>https://doi.org/10.1080/00913367.2000.10673607</b:DOI>
    <b:Author>
      <b:Author>
        <b:NameList>
          <b:Person>
            <b:Last>Lee</b:Last>
            <b:Middle>Hwai</b:Middle>
            <b:First>Yih</b:First>
          </b:Person>
        </b:NameList>
      </b:Author>
      <b:Editor>
        <b:NameList>
          <b:Person>
            <b:Last>Francis</b:Last>
            <b:First>Taylor</b:First>
            <b:Middle>&amp;</b:Middle>
          </b:Person>
        </b:NameList>
      </b:Editor>
    </b:Author>
    <b:RefOrder>834</b:RefOrder>
  </b:Source>
  <b:Source>
    <b:Tag>Lee132</b:Tag>
    <b:SourceType>JournalArticle</b:SourceType>
    <b:Guid>{D51399E0-A676-49C6-AF87-3549CD0D111F}</b:Guid>
    <b:Title>The impact of CSR on casino employees’ organizational trust, job satisfaction, and customer orientation: An empirical examination of responsible gambling</b:Title>
    <b:JournalName>International Journal of Hospitality and Management</b:JournalName>
    <b:Year>2013</b:Year>
    <b:Pages>406-415</b:Pages>
    <b:YearAccessed>2022</b:YearAccessed>
    <b:MonthAccessed>07</b:MonthAccessed>
    <b:DayAccessed>27</b:DayAccessed>
    <b:DOI>http://dx.doi.org/10.1016/j.ijhm.2012.10.011</b:DOI>
    <b:Author>
      <b:Author>
        <b:NameList>
          <b:Person>
            <b:Last>Lee</b:Last>
            <b:First>Choong-Ki</b:First>
          </b:Person>
          <b:Person>
            <b:Last>Song</b:Last>
            <b:First>Hak-Jun</b:First>
          </b:Person>
          <b:Person>
            <b:Last>Lee</b:Last>
            <b:First>Hye-Mi</b:First>
          </b:Person>
          <b:Person>
            <b:Last>Lee</b:Last>
            <b:First>Seoki </b:First>
          </b:Person>
          <b:Person>
            <b:Last>Bernhard</b:Last>
            <b:Middle>Jason </b:Middle>
            <b:First>Bo </b:First>
          </b:Person>
        </b:NameList>
      </b:Author>
    </b:Author>
    <b:RefOrder>1024</b:RefOrder>
  </b:Source>
  <b:Source>
    <b:Tag>Bag17</b:Tag>
    <b:SourceType>JournalArticle</b:SourceType>
    <b:Guid>{677104AF-28AC-4F73-83EC-9CA8F0461211}</b:Guid>
    <b:Title>Brand love: development and validation of a practical scale</b:Title>
    <b:JournalName>Marketing Letters </b:JournalName>
    <b:Year>2017</b:Year>
    <b:Pages>1-14</b:Pages>
    <b:Author>
      <b:Author>
        <b:NameList>
          <b:Person>
            <b:Last>Bagozzi</b:Last>
            <b:Middle>P.</b:Middle>
            <b:First>Richard </b:First>
          </b:Person>
          <b:Person>
            <b:Last>Batra</b:Last>
            <b:First>Rajeev </b:First>
          </b:Person>
          <b:Person>
            <b:Last>Ahuvia </b:Last>
            <b:First>Aaron </b:First>
          </b:Person>
        </b:NameList>
      </b:Author>
    </b:Author>
    <b:Month>03</b:Month>
    <b:Volume>28</b:Volume>
    <b:YearAccessed>2022</b:YearAccessed>
    <b:MonthAccessed>07</b:MonthAccessed>
    <b:DayAccessed>16</b:DayAccessed>
    <b:DOI>https://doi.org/10.1007/s11002-016-9406-1</b:DOI>
    <b:RefOrder>836</b:RefOrder>
  </b:Source>
  <b:Source>
    <b:Tag>Sah11</b:Tag>
    <b:SourceType>JournalArticle</b:SourceType>
    <b:Guid>{8E06C270-2FD1-4315-8FD1-CFE35AEBE4CE}</b:Guid>
    <b:Title>The Effects of Brand Experiences, Trust and Satisfaction on Building Brand Loyalty; An Empirical Research On Global Brands</b:Title>
    <b:JournalName>Procedia Social and Behavioral Sciences</b:JournalName>
    <b:Year>2011</b:Year>
    <b:Pages>1288-1301</b:Pages>
    <b:Publisher>Science Direct</b:Publisher>
    <b:Volume>24</b:Volume>
    <b:YearAccessed>2022</b:YearAccessed>
    <b:MonthAccessed>07</b:MonthAccessed>
    <b:DayAccessed>18</b:DayAccessed>
    <b:Author>
      <b:Author>
        <b:NameList>
          <b:Person>
            <b:Last>Sahin</b:Last>
            <b:First>Azize</b:First>
          </b:Person>
          <b:Person>
            <b:Last>Zehir</b:Last>
            <b:First>Cemal </b:First>
          </b:Person>
          <b:Person>
            <b:Last>Kitapçı</b:Last>
            <b:First>Hakan </b:First>
          </b:Person>
        </b:NameList>
      </b:Author>
    </b:Author>
    <b:URL>https://pdf.sciencedirectassets.com/277811/1-s2.0-S1877042811X00174/1-s2.0-S1877042811016715/main.pdf?X-Amz-Security-Token=IQoJb3JpZ2luX2VjELX%2F%2F%2F%2F%2F%2F%2F%2F%2F%2FwEaCXVzLWVhc3QtMSJGMEQCICFVBKk49bQSULP9ldyIrPLKuSZ1tVUhw%2BlCVCtYJXMqAiBlpRmpsZm7Sc</b:URL>
    <b:RefOrder>837</b:RefOrder>
  </b:Source>
  <b:Source>
    <b:Tag>Bar12</b:Tag>
    <b:SourceType>JournalArticle</b:SourceType>
    <b:Guid>{7A8816E9-9220-4554-B7B4-0A6AEB51A10E}</b:Guid>
    <b:Title>Measuring psychographics to assess purchase intention and willingness to pay</b:Title>
    <b:JournalName>Journal of Consumer Marketing</b:JournalName>
    <b:Year>2012</b:Year>
    <b:Pages>280-292</b:Pages>
    <b:Author>
      <b:Author>
        <b:NameList>
          <b:Person>
            <b:Last>Barber</b:Last>
            <b:First>Nelson</b:First>
          </b:Person>
          <b:Person>
            <b:Last>Kuo</b:Last>
            <b:First>Pei‐Jou</b:First>
          </b:Person>
          <b:Person>
            <b:Last>Bishop</b:Last>
            <b:First>Melissa</b:First>
          </b:Person>
          <b:Person>
            <b:Last>Goodman Jr</b:Last>
            <b:First>Raymond</b:First>
          </b:Person>
        </b:NameList>
      </b:Author>
    </b:Author>
    <b:Month>06</b:Month>
    <b:Day>22</b:Day>
    <b:Volume>29</b:Volume>
    <b:Issue>04</b:Issue>
    <b:YearAccessed>2022</b:YearAccessed>
    <b:MonthAccessed>03</b:MonthAccessed>
    <b:DayAccessed>26</b:DayAccessed>
    <b:DOI>https://doi-org.lsbu.idm.oclc.org/10.1108/07363761211237353</b:DOI>
    <b:RefOrder>838</b:RefOrder>
  </b:Source>
  <b:Source>
    <b:Tag>The07</b:Tag>
    <b:SourceType>JournalArticle</b:SourceType>
    <b:Guid>{F6FB07FB-8A1D-4772-9E6E-7B5D70004DF2}</b:Guid>
    <b:Title>Measures of socioeconomic status: Alternatives and recommendations.</b:Title>
    <b:JournalName>Child Development</b:JournalName>
    <b:Year>1981</b:Year>
    <b:Pages>13-20</b:Pages>
    <b:Volume>52</b:Volume>
    <b:Issue>01</b:Issue>
    <b:Author>
      <b:Author>
        <b:NameList>
          <b:Person>
            <b:Last>Mueller</b:Last>
            <b:Middle>W.</b:Middle>
            <b:First>Charles </b:First>
          </b:Person>
          <b:Person>
            <b:Last>Parcel</b:Last>
            <b:Middle>L.</b:Middle>
            <b:First>Toby </b:First>
          </b:Person>
        </b:NameList>
      </b:Author>
    </b:Author>
    <b:YearAccessed>2022</b:YearAccessed>
    <b:MonthAccessed>08</b:MonthAccessed>
    <b:DayAccessed>29</b:DayAccessed>
    <b:DOI>https://doi.org/10.2307/1129211</b:DOI>
    <b:RefOrder>872</b:RefOrder>
  </b:Source>
  <b:Source>
    <b:Tag>Ens14</b:Tag>
    <b:SourceType>BookSection</b:SourceType>
    <b:Guid>{80B3C2D1-7DFC-4410-8334-A1402C884E57}</b:Guid>
    <b:Title>A decade of measuring SES: What it tells us and where to go from here.</b:Title>
    <b:Year>2014</b:Year>
    <b:Pages>13-27</b:Pages>
    <b:Author>
      <b:Author>
        <b:NameList>
          <b:Person>
            <b:Last>Ensminger</b:Last>
            <b:Middle>E.</b:Middle>
            <b:First>Margaret </b:First>
          </b:Person>
          <b:Person>
            <b:Last>Kate</b:Last>
            <b:First>Fothergill</b:First>
          </b:Person>
        </b:NameList>
      </b:Author>
    </b:Author>
    <b:Publisher>Taylor and Francis</b:Publisher>
    <b:YearAccessed>2022</b:YearAccessed>
    <b:MonthAccessed>08</b:MonthAccessed>
    <b:DayAccessed>29</b:DayAccessed>
    <b:URL>10.4324/9781410607027-9</b:URL>
    <b:DOI>10.4324/9781410607027-9</b:DOI>
    <b:BookTitle>Socioeconomic Status, Parenting, and Child Development</b:BookTitle>
    <b:RefOrder>873</b:RefOrder>
  </b:Source>
  <b:Source>
    <b:Tag>Mac21</b:Tag>
    <b:SourceType>InternetSite</b:SourceType>
    <b:Guid>{5C269E6C-0AE5-4991-A759-2C5D977A8AAA}</b:Guid>
    <b:Title>Egypt Population 1950-2021</b:Title>
    <b:Year>2021</b:Year>
    <b:Author>
      <b:Author>
        <b:NameList>
          <b:Person>
            <b:Last>MacroTrends</b:Last>
          </b:Person>
        </b:NameList>
      </b:Author>
    </b:Author>
    <b:InternetSiteTitle>MacroTrends</b:InternetSiteTitle>
    <b:URL>https://www.macrotrends.net/countries/EGY/egypt/population</b:URL>
    <b:RefOrder>876</b:RefOrder>
  </b:Source>
  <b:Source>
    <b:Tag>Uni17</b:Tag>
    <b:SourceType>InternetSite</b:SourceType>
    <b:Guid>{C5A57F8F-E433-495E-A739-51A59EE75903}</b:Guid>
    <b:Author>
      <b:Author>
        <b:NameList>
          <b:Person>
            <b:Last>Unicef</b:Last>
          </b:Person>
        </b:NameList>
      </b:Author>
    </b:Author>
    <b:InternetSiteTitle>Unicef</b:InternetSiteTitle>
    <b:Year>2017</b:Year>
    <b:URL>https://www.unicef.org/egypt/country-background#:~:text=The%20Egyptian%20government%20has%20a,Nile%20Valley%20south%20of%20Cairo.</b:URL>
    <b:RefOrder>877</b:RefOrder>
  </b:Source>
  <b:Source>
    <b:Tag>ElS22</b:Tag>
    <b:SourceType>InternetSite</b:SourceType>
    <b:Guid>{85025F1C-D919-4175-9205-820615BB5FC1}</b:Guid>
    <b:Title>Egypt one of the best African countries to invest in 2022: Business Insider</b:Title>
    <b:Year>2022</b:Year>
    <b:InternetSiteTitle>Ahram Online</b:InternetSiteTitle>
    <b:Month>02</b:Month>
    <b:Day>09</b:Day>
    <b:URL>https://english.ahram.org.eg/NewsContent/3/12/460800/Business/Economy/Egypt-one-of-the-best-African-countries-to-invest-.aspx</b:URL>
    <b:Author>
      <b:Author>
        <b:NameList>
          <b:Person>
            <b:Last>El-Shabrawy</b:Last>
            <b:First>Hagar</b:First>
          </b:Person>
        </b:NameList>
      </b:Author>
    </b:Author>
    <b:RefOrder>47</b:RefOrder>
  </b:Source>
  <b:Source>
    <b:Tag>Ony21</b:Tag>
    <b:SourceType>InternetSite</b:SourceType>
    <b:Guid>{25990620-99A5-4F89-8CE7-11A54BF995EA}</b:Guid>
    <b:Title>Africa: Egypt leads as most attractive investment market</b:Title>
    <b:InternetSiteTitle>The Africa Report</b:InternetSiteTitle>
    <b:Year>2021</b:Year>
    <b:Month>11</b:Month>
    <b:Day>11</b:Day>
    <b:URL>https://www.theafricareport.com/145465/africa-egypt-leads-as-most-attractive-investment-market/</b:URL>
    <b:Author>
      <b:Author>
        <b:NameList>
          <b:Person>
            <b:Last>Onyango</b:Last>
            <b:First>Seth</b:First>
          </b:Person>
        </b:NameList>
      </b:Author>
    </b:Author>
    <b:RefOrder>48</b:RefOrder>
  </b:Source>
  <b:Source>
    <b:Tag>Bri</b:Tag>
    <b:SourceType>InternetSite</b:SourceType>
    <b:Guid>{59D70B56-F161-442D-B880-DDFC052BD6FF}</b:Guid>
    <b:Author>
      <b:Author>
        <b:NameList>
          <b:Person>
            <b:Last>Britannica</b:Last>
          </b:Person>
        </b:NameList>
      </b:Author>
    </b:Author>
    <b:Title>People of Egypt </b:Title>
    <b:InternetSiteTitle>Britannica</b:InternetSiteTitle>
    <b:URL>https://www.britannica.com/place/Egypt/Return-to-authoritarianism</b:URL>
    <b:RefOrder>878</b:RefOrder>
  </b:Source>
  <b:Source>
    <b:Tag>Wor21</b:Tag>
    <b:SourceType>InternetSite</b:SourceType>
    <b:Guid>{2505032C-3694-4E69-8F04-1F88248F88E9}</b:Guid>
    <b:Author>
      <b:Author>
        <b:NameList>
          <b:Person>
            <b:First>World Population Review </b:First>
          </b:Person>
        </b:NameList>
      </b:Author>
    </b:Author>
    <b:Title>World Population Review</b:Title>
    <b:InternetSiteTitle>Population of Cities in Egypt</b:InternetSiteTitle>
    <b:Year>2021</b:Year>
    <b:URL>https://worldpopulationreview.com/en/countries/cities/egypt</b:URL>
    <b:RefOrder>879</b:RefOrder>
  </b:Source>
  <b:Source>
    <b:Tag>AFP20</b:Tag>
    <b:SourceType>InternetSite</b:SourceType>
    <b:Guid>{C0E8F90A-FCF7-4DAB-91AE-F04B95BCDE26}</b:Guid>
    <b:Title>Egypt's GDP grows despite pandemic, but so does poverty</b:Title>
    <b:InternetSiteTitle>France24</b:InternetSiteTitle>
    <b:Year>2020</b:Year>
    <b:Month>11</b:Month>
    <b:Day>08</b:Day>
    <b:URL>https://www.france24.com/en/live-news/20201108-egypt-s-gdp-grows-despite-pandemic-but-so-does-poverty</b:URL>
    <b:Author>
      <b:Author>
        <b:NameList>
          <b:Person>
            <b:Last>AFP</b:Last>
          </b:Person>
        </b:NameList>
      </b:Author>
    </b:Author>
    <b:RefOrder>880</b:RefOrder>
  </b:Source>
  <b:Source>
    <b:Tag>Mac22</b:Tag>
    <b:SourceType>InternetSite</b:SourceType>
    <b:Guid>{935BFA3D-757C-4D57-B4B2-B73F181C7293}</b:Guid>
    <b:Title>MacroTrends</b:Title>
    <b:InternetSiteTitle>Egypt Poverty Rate 1990-2022</b:InternetSiteTitle>
    <b:Year>2022</b:Year>
    <b:URL>https://www.macrotrends.net/countries/EGY/egypt/poverty-rate</b:URL>
    <b:Author>
      <b:Author>
        <b:NameList>
          <b:Person>
            <b:Last>Macrotrends</b:Last>
          </b:Person>
        </b:NameList>
      </b:Author>
    </b:Author>
    <b:RefOrder>881</b:RefOrder>
  </b:Source>
  <b:Source>
    <b:Tag>Jon15</b:Tag>
    <b:SourceType>JournalArticle</b:SourceType>
    <b:Guid>{254E833B-A7ED-4599-A3E7-71A93664CBD0}</b:Guid>
    <b:Title>“Is Your Man Stepping Out?” An Online Pilot Study to Evaluate Acceptability of a Guide-Enhanced HIV Prevention Soap Opera Video Series and Feasibility of Recruitment by Facebook Advertising</b:Title>
    <b:JournalName>The Journal of the Association of Nurses in AIDS Care: JANAC</b:JournalName>
    <b:Year>2015</b:Year>
    <b:Month>07</b:Month>
    <b:Volume>26</b:Volume>
    <b:Issue>04</b:Issue>
    <b:YearAccessed>2022</b:YearAccessed>
    <b:MonthAccessed>08</b:MonthAccessed>
    <b:DayAccessed>31</b:DayAccessed>
    <b:URL>https://www.researchgate.net/publication/276327402_Is_Your_Man_Stepping_Out_An_Online_Pilot_Study_to_Evaluate_Acceptability_of_a_Guide-Enhanced_HIV_Prevention_Soap_Opera_Video_Series_and_Feasibility_of_Recruitment_by_Facebook_Advertising</b:URL>
    <b:DOI>10.1016/j.jana.2015.01.004</b:DOI>
    <b:Author>
      <b:Author>
        <b:NameList>
          <b:Person>
            <b:Last>Jones</b:Last>
            <b:First>Rachel </b:First>
          </b:Person>
          <b:Person>
            <b:Last>Lacroix</b:Last>
            <b:Middle>J.</b:Middle>
            <b:First>Lorraine </b:First>
          </b:Person>
          <b:Person>
            <b:Last>Nolte</b:Last>
            <b:First>Kerry </b:First>
          </b:Person>
        </b:NameList>
      </b:Author>
    </b:Author>
    <b:RefOrder>883</b:RefOrder>
  </b:Source>
  <b:Source>
    <b:Tag>Kam19</b:Tag>
    <b:SourceType>JournalArticle</b:SourceType>
    <b:Guid>{1BFB03C0-239E-4467-A634-6346DAEC8323}</b:Guid>
    <b:Title>Facebook Recruitment and the Protection of Human Subjects</b:Title>
    <b:JournalName>Western Journal of Nursing Research</b:JournalName>
    <b:Year>2019</b:Year>
    <b:Month>02</b:Month>
    <b:Day>07</b:Day>
    <b:Volume>41</b:Volume>
    <b:Issue>09</b:Issue>
    <b:YearAccessed>2022</b:YearAccessed>
    <b:MonthAccessed>08</b:MonthAccessed>
    <b:DayAccessed>31</b:DayAccessed>
    <b:URL>https://journals.sagepub.com/doi/full/10.1177/0193945919828108?casa_token=tVvkvOwFbMMAAAAA%3AD3fNBFUsXe5eqpT0DTZ16ZJudngM2EBxh0a6e4yfE6ApU0MIojAq9lIby5mZmPpsOfykgHafkedAHQ#</b:URL>
    <b:DOI>https://doi.org/10.1177/0193945919828108</b:DOI>
    <b:Author>
      <b:Author>
        <b:NameList>
          <b:Person>
            <b:Last>Kamp</b:Last>
            <b:First>Kendra </b:First>
          </b:Person>
          <b:Person>
            <b:Last>Herbell</b:Last>
            <b:First>Kayla </b:First>
          </b:Person>
          <b:Person>
            <b:Last>Magginis</b:Last>
            <b:Middle>H.</b:Middle>
            <b:First>William</b:First>
          </b:Person>
          <b:Person>
            <b:Last>Berry</b:Last>
            <b:First>Donna</b:First>
          </b:Person>
          <b:Person>
            <b:Last>Given</b:Last>
            <b:First>Barbara </b:First>
          </b:Person>
        </b:NameList>
      </b:Author>
    </b:Author>
    <b:RefOrder>884</b:RefOrder>
  </b:Source>
  <b:Source>
    <b:Tag>Car16</b:Tag>
    <b:SourceType>JournalArticle</b:SourceType>
    <b:Guid>{2B1B4790-DC4A-4003-BCA0-32D378ABFD37}</b:Guid>
    <b:Title>Facebook targeted advertisement for research recruitment: A primer for nurse researchers</b:Title>
    <b:JournalName>Applied Nursing Research</b:JournalName>
    <b:Year>2016</b:Year>
    <b:Pages>144-147</b:Pages>
    <b:Author>
      <b:Author>
        <b:NameList>
          <b:Person>
            <b:Last> Carter-Harris</b:Last>
            <b:First>Lisa</b:First>
          </b:Person>
        </b:NameList>
      </b:Author>
    </b:Author>
    <b:Month>07</b:Month>
    <b:Day>16</b:Day>
    <b:Publisher>Elsevier Inc</b:Publisher>
    <b:Volume>32</b:Volume>
    <b:YearAccessed>2022</b:YearAccessed>
    <b:MonthAccessed>08</b:MonthAccessed>
    <b:DayAccessed>31</b:DayAccessed>
    <b:URL>https://pubmed.ncbi.nlm.nih.gov/27969019/</b:URL>
    <b:DOI>https://doi.org/10.1177/0193945919828108</b:DOI>
    <b:RefOrder>885</b:RefOrder>
  </b:Source>
  <b:Source>
    <b:Tag>Wei17</b:Tag>
    <b:SourceType>JournalArticle</b:SourceType>
    <b:Guid>{C35C7257-F02B-4941-B382-0FEB4E0F33A8}</b:Guid>
    <b:Title>Recruiting Hard-to-Reach Populations: The Utility of Facebook for Recruiting Qualitative In-Depth Interviewees</b:Title>
    <b:JournalName>Survey Practice</b:JournalName>
    <b:Year>2017</b:Year>
    <b:Pages>1-13</b:Pages>
    <b:Month>10</b:Month>
    <b:Volume>10</b:Volume>
    <b:Issue>04</b:Issue>
    <b:YearAccessed>2022</b:YearAccessed>
    <b:MonthAccessed>08</b:MonthAccessed>
    <b:DayAccessed>31</b:DayAccessed>
    <b:DOI>10.29115/SP-2017-0021</b:DOI>
    <b:Author>
      <b:Author>
        <b:NameList>
          <b:Person>
            <b:Last>Weiner</b:Last>
            <b:Middle>D.</b:Middle>
            <b:First>Marc</b:First>
          </b:Person>
          <b:Person>
            <b:Last>Orin</b:Last>
            <b:First>Tasfia</b:First>
          </b:Person>
          <b:Person>
            <b:Last>Siracusa</b:Last>
            <b:Middle>C.</b:Middle>
            <b:First>Paul </b:First>
          </b:Person>
          <b:Person>
            <b:Last>Crowley</b:Last>
            <b:Middle>Elise </b:Middle>
            <b:First>Jocelyn </b:First>
          </b:Person>
        </b:NameList>
      </b:Author>
    </b:Author>
    <b:RefOrder>886</b:RefOrder>
  </b:Source>
  <b:Source>
    <b:Tag>Kiw21</b:Tag>
    <b:SourceType>JournalArticle</b:SourceType>
    <b:Guid>{44A24AC1-3D35-49DC-9468-85525C79E8BC}</b:Guid>
    <b:Title>Challenges and opportunities of applying digital public participation tools in urban development projects in Egypt</b:Title>
    <b:Year>2021</b:Year>
    <b:JournalName>MANSOURA ENGINEERING JOURNAL</b:JournalName>
    <b:Author>
      <b:Author>
        <b:NameList>
          <b:Person>
            <b:Last>Kiwan</b:Last>
            <b:First>Areej </b:First>
          </b:Person>
          <b:Person>
            <b:Last>Sheta</b:Last>
            <b:First>Sherif </b:First>
          </b:Person>
          <b:Person>
            <b:Last>Samaa</b:Last>
            <b:Middle>Michel </b:Middle>
            <b:First>Mina </b:First>
          </b:Person>
        </b:NameList>
      </b:Author>
    </b:Author>
    <b:Month>06</b:Month>
    <b:Volume>46</b:Volume>
    <b:Issue>02</b:Issue>
    <b:YearAccessed>2022</b:YearAccessed>
    <b:MonthAccessed>08</b:MonthAccessed>
    <b:DayAccessed>29</b:DayAccessed>
    <b:URL>https://journals.ekb.eg/article_187646_329c79eb24fe4af04186b48e7d1fb736.pdf</b:URL>
    <b:RefOrder>887</b:RefOrder>
  </b:Source>
  <b:Source>
    <b:Tag>Whi</b:Tag>
    <b:SourceType>JournalArticle</b:SourceType>
    <b:Guid>{28FE0FA7-4136-4DD3-B366-E97279B07A8C}</b:Guid>
    <b:Title>The Use of Facebook in Recruiting Participants for Health Research Purposes: A Systematic Review</b:Title>
    <b:JournalName>Journal of Medical Internet Research</b:JournalName>
    <b:Author>
      <b:Author>
        <b:NameList>
          <b:Person>
            <b:Last>Whitaker</b:Last>
            <b:First>Christopher </b:First>
          </b:Person>
          <b:Person>
            <b:Last>Stevelink</b:Last>
            <b:First>Sharon</b:First>
          </b:Person>
          <b:Person>
            <b:Last>Fear</b:Last>
            <b:First>Nicola</b:First>
          </b:Person>
        </b:NameList>
      </b:Author>
    </b:Author>
    <b:Year>2017</b:Year>
    <b:Month>08</b:Month>
    <b:Day>28</b:Day>
    <b:Volume>19</b:Volume>
    <b:Issue>08</b:Issue>
    <b:YearAccessed>2022</b:YearAccessed>
    <b:MonthAccessed>08</b:MonthAccessed>
    <b:DayAccessed>31</b:DayAccessed>
    <b:URL>https://pubmed.ncbi.nlm.nih.gov/28851679/</b:URL>
    <b:DOI>doi: 10.2196/jmir.7071.</b:DOI>
    <b:RefOrder>888</b:RefOrder>
  </b:Source>
  <b:Source>
    <b:Tag>Mas22</b:Tag>
    <b:SourceType>JournalArticle</b:SourceType>
    <b:Guid>{7BA77EC8-C925-461C-9FBA-37F4885A2D93}</b:Guid>
    <b:Title>Semi-structured Interview: A Methodological Reflection on the Development of a Qualitative Research Instrument in Educational Studies</b:Title>
    <b:JournalName>Journal of Research &amp; Method in Education</b:JournalName>
    <b:Year>2022</b:Year>
    <b:Pages>22-29</b:Pages>
    <b:Month>02</b:Month>
    <b:Publisher>ResearchGate</b:Publisher>
    <b:Volume>12</b:Volume>
    <b:Issue>01</b:Issue>
    <b:YearAccessed>2022</b:YearAccessed>
    <b:MonthAccessed>07</b:MonthAccessed>
    <b:DayAccessed>20</b:DayAccessed>
    <b:DOI>10.9790/7388-1201052229</b:DOI>
    <b:Author>
      <b:Author>
        <b:NameList>
          <b:Person>
            <b:Last>Mashuri</b:Last>
            <b:First>Saepudin </b:First>
          </b:Person>
          <b:Person>
            <b:Last>Sarib</b:Last>
            <b:First>Muhammad </b:First>
          </b:Person>
          <b:Person>
            <b:Last>Alhabsyi</b:Last>
            <b:First>Firdiansyah </b:First>
          </b:Person>
          <b:Person>
            <b:Last>Syam</b:Last>
            <b:First>Hijrah </b:First>
          </b:Person>
          <b:Person>
            <b:Last>Ruslin</b:Last>
            <b:First>Ruslin </b:First>
          </b:Person>
        </b:NameList>
      </b:Author>
    </b:Author>
    <b:RefOrder>902</b:RefOrder>
  </b:Source>
  <b:Source>
    <b:Tag>Hus20</b:Tag>
    <b:SourceType>JournalArticle</b:SourceType>
    <b:Guid>{1D67C203-DEC5-4BEE-A6F2-7672D0136025}</b:Guid>
    <b:Title>Ethical Data Collection and Recognizing the Impact of Semi-structured Interviews on Research Respondents</b:Title>
    <b:JournalName>Education Sciences</b:JournalName>
    <b:Year>2020</b:Year>
    <b:Author>
      <b:Author>
        <b:NameList>
          <b:Person>
            <b:Last>Husband</b:Last>
            <b:First>Gary</b:First>
          </b:Person>
        </b:NameList>
      </b:Author>
    </b:Author>
    <b:Month>08</b:Month>
    <b:Day>11</b:Day>
    <b:Volume>10</b:Volume>
    <b:Issue>08</b:Issue>
    <b:YearAccessed>2022</b:YearAccessed>
    <b:MonthAccessed>08</b:MonthAccessed>
    <b:DayAccessed>17</b:DayAccessed>
    <b:DOI>https://doi.org/10.3390/educsci10080206</b:DOI>
    <b:RefOrder>903</b:RefOrder>
  </b:Source>
  <b:Source>
    <b:Tag>Tur16</b:Tag>
    <b:SourceType>InternetSite</b:SourceType>
    <b:Guid>{82EB310C-647D-41A3-A7CE-44BB7EF50803}</b:Guid>
    <b:Title>Designing a semi-structured interview guide for qualitative interviews</b:Title>
    <b:Year>2016</b:Year>
    <b:Author>
      <b:Author>
        <b:NameList>
          <b:Person>
            <b:Last>Turner</b:Last>
            <b:First>Daniel</b:First>
          </b:Person>
        </b:NameList>
      </b:Author>
    </b:Author>
    <b:InternetSiteTitle>Quirkos</b:InternetSiteTitle>
    <b:Month>04</b:Month>
    <b:Day>17</b:Day>
    <b:URL>https://www.quirkos.com/blog/post/semi-structured-interview-guide-qualitative-interviews/</b:URL>
    <b:RefOrder>904</b:RefOrder>
  </b:Source>
  <b:Source>
    <b:Tag>McN22</b:Tag>
    <b:SourceType>JournalArticle</b:SourceType>
    <b:Guid>{A4A0191C-E9C8-4631-B492-2F990F103AC6}</b:Guid>
    <b:Title>General Guidelines for Conducting Research Interviews</b:Title>
    <b:Year>2022</b:Year>
    <b:Month>01</b:Month>
    <b:Day>18</b:Day>
    <b:URL>https://managementhelp.org/businessresearch/interviews.htm</b:URL>
    <b:JournalName>Management Library</b:JournalName>
    <b:Author>
      <b:Author>
        <b:NameList>
          <b:Person>
            <b:Last>McNamara</b:Last>
            <b:First>Carter</b:First>
          </b:Person>
        </b:NameList>
      </b:Author>
    </b:Author>
    <b:YearAccessed>2022</b:YearAccessed>
    <b:MonthAccessed>08</b:MonthAccessed>
    <b:DayAccessed>17</b:DayAccessed>
    <b:RefOrder>905</b:RefOrder>
  </b:Source>
  <b:Source>
    <b:Tag>McG18</b:Tag>
    <b:SourceType>JournalArticle</b:SourceType>
    <b:Guid>{2C4528AB-504A-4673-A1B8-0536E1CF8A46}</b:Guid>
    <b:Title>Twelve tips for conducting qualitative research</b:Title>
    <b:Year>2018</b:Year>
    <b:Month>09</b:Month>
    <b:Day>28</b:Day>
    <b:URL>https://doi.org/10.1080/0142159X.2018.1497149</b:URL>
    <b:JournalName>Medical Teacher</b:JournalName>
    <b:Pages>1002-1006</b:Pages>
    <b:Author>
      <b:Author>
        <b:NameList>
          <b:Person>
            <b:Last>McGrath</b:Last>
            <b:First>Cormac </b:First>
          </b:Person>
          <b:Person>
            <b:Last>Palmgren</b:Last>
            <b:Middle>J.</b:Middle>
            <b:First>Per </b:First>
          </b:Person>
          <b:Person>
            <b:Last>Liljedahl</b:Last>
            <b:First>Matilda </b:First>
          </b:Person>
        </b:NameList>
      </b:Author>
    </b:Author>
    <b:Volume>41</b:Volume>
    <b:Issue>09</b:Issue>
    <b:YearAccessed>2022</b:YearAccessed>
    <b:MonthAccessed>08</b:MonthAccessed>
    <b:DayAccessed>21</b:DayAccessed>
    <b:RefOrder>906</b:RefOrder>
  </b:Source>
  <b:Source>
    <b:Tag>Abd17</b:Tag>
    <b:SourceType>JournalArticle</b:SourceType>
    <b:Guid>{ED6BDD2E-FFAA-4256-857B-4761C98E18E5}</b:Guid>
    <b:Title>Piloting for Interviews in Qualitative Research: Operationalization and Lessons Learnt</b:Title>
    <b:JournalName>International Journal of Academic Research in Business and Social Sciences.</b:JournalName>
    <b:Year>2017</b:Year>
    <b:Pages>1073-1080</b:Pages>
    <b:Month>05</b:Month>
    <b:Volume>07</b:Volume>
    <b:Issue>4</b:Issue>
    <b:YearAccessed>2022</b:YearAccessed>
    <b:MonthAccessed>09</b:MonthAccessed>
    <b:DayAccessed>05</b:DayAccessed>
    <b:DOI>10.6007/IJARBSS/v7-i4/2916</b:DOI>
    <b:Author>
      <b:Author>
        <b:NameList>
          <b:Person>
            <b:Last>Abdul Majid</b:Last>
            <b:Middle>Aliff </b:Middle>
            <b:First>Mohd </b:First>
          </b:Person>
          <b:Person>
            <b:Last>Othman</b:Last>
            <b:First>Mohhidin </b:First>
          </b:Person>
          <b:Person>
            <b:Last>Mohamad</b:Last>
            <b:Middle>Fatimah </b:Middle>
            <b:First>Siti </b:First>
          </b:Person>
          <b:Person>
            <b:Last>Lim</b:Last>
            <b:First>Sarina </b:First>
          </b:Person>
          <b:Person>
            <b:Last>Yusof</b:Last>
            <b:First>Aziz </b:First>
          </b:Person>
        </b:NameList>
      </b:Author>
    </b:Author>
    <b:RefOrder>907</b:RefOrder>
  </b:Source>
  <b:Source>
    <b:Tag>McL14</b:Tag>
    <b:SourceType>InternetSite</b:SourceType>
    <b:Guid>{88E5869B-E823-4C50-9B90-B4DF595B4458}</b:Guid>
    <b:Title>The Interview Research Method</b:Title>
    <b:Year>2014</b:Year>
    <b:InternetSiteTitle>Simply Psychology</b:InternetSiteTitle>
    <b:Month>02</b:Month>
    <b:Day>05</b:Day>
    <b:URL>https://www.simplypsychology.org/interviews.html</b:URL>
    <b:Author>
      <b:Author>
        <b:NameList>
          <b:Person>
            <b:Last>McLeod</b:Last>
            <b:First>Saul </b:First>
          </b:Person>
        </b:NameList>
      </b:Author>
    </b:Author>
    <b:RefOrder>908</b:RefOrder>
  </b:Source>
  <b:Source>
    <b:Tag>Placeholder4</b:Tag>
    <b:SourceType>JournalArticle</b:SourceType>
    <b:Guid>{593D4708-9A9A-4E38-9760-CA98B7084A6C}</b:Guid>
    <b:Title>Analysis of variance (ANOVA) comparing means of more than two groups</b:Title>
    <b:Year>2014</b:Year>
    <b:JournalName>Restorative Dentistry &amp; Endodontics</b:JournalName>
    <b:Pages>74-77</b:Pages>
    <b:Month>01</b:Month>
    <b:Day>20</b:Day>
    <b:Volume>39</b:Volume>
    <b:Issue>1</b:Issue>
    <b:YearAccessed>2023</b:YearAccessed>
    <b:MonthAccessed>06</b:MonthAccessed>
    <b:DayAccessed>05</b:DayAccessed>
    <b:DOI>10.5395/rde.2014.39.1.74</b:DOI>
    <b:Author>
      <b:Author>
        <b:NameList>
          <b:Person>
            <b:Last>Kim</b:Last>
            <b:First>Hae-Young </b:First>
          </b:Person>
        </b:NameList>
      </b:Author>
    </b:Author>
    <b:RefOrder>957</b:RefOrder>
  </b:Source>
  <b:Source>
    <b:Tag>Zhu16</b:Tag>
    <b:SourceType>JournalArticle</b:SourceType>
    <b:Guid>{03BF8EFB-97B2-4112-A241-CEFE0B0361EE}</b:Guid>
    <b:Title>Green marketing and consumerism as social change in China: Analyzing the literature</b:Title>
    <b:JournalName>International Journal of Production Economics</b:JournalName>
    <b:Year>2016</b:Year>
    <b:Pages>289-302</b:Pages>
    <b:Author>
      <b:Author>
        <b:NameList>
          <b:Person>
            <b:Last>Zhu </b:Last>
            <b:First>Qingyun </b:First>
          </b:Person>
          <b:Person>
            <b:Last>Sarkis</b:Last>
            <b:First>Joseph</b:First>
          </b:Person>
        </b:NameList>
      </b:Author>
    </b:Author>
    <b:Month>11</b:Month>
    <b:Volume>181</b:Volume>
    <b:YearAccessed>2023</b:YearAccessed>
    <b:MonthAccessed>05</b:MonthAccessed>
    <b:DayAccessed>14</b:DayAccessed>
    <b:DOI>https://doi.org/10.1016/j.ijpe.2016.06.00</b:DOI>
    <b:RefOrder>5</b:RefOrder>
  </b:Source>
  <b:Source>
    <b:Tag>Zhu22</b:Tag>
    <b:SourceType>InternetSite</b:SourceType>
    <b:Guid>{52D5EB24-AE2F-43E4-ACDC-E3B3A8A4CE91}</b:Guid>
    <b:Title>Shrinking the Employment Gap for Egyptian Women</b:Title>
    <b:Year>2022</b:Year>
    <b:InternetSiteTitle>BUREAU OF EDUCATIONAL AND CULTURAL AFFAIRS</b:InternetSiteTitle>
    <b:Month>09</b:Month>
    <b:Day>08</b:Day>
    <b:URL>https://eca.state.gov/highlight/shrinking-employment-gap-egyptian-women</b:URL>
    <b:Author>
      <b:Author>
        <b:NameList>
          <b:Person>
            <b:Last>Zhu</b:Last>
            <b:First>Emily</b:First>
          </b:Person>
        </b:NameList>
      </b:Author>
    </b:Author>
    <b:RefOrder>859</b:RefOrder>
  </b:Source>
  <b:Source>
    <b:Tag>Zho20</b:Tag>
    <b:SourceType>JournalArticle</b:SourceType>
    <b:Guid>{ABC9B980-5F09-4BD3-B704-E5BB0AAD9830}</b:Guid>
    <b:Title>Reported Methodological Challenges in Empirical Mixed Methods Articles: A Review on JMMR and IJMRA</b:Title>
    <b:JournalName>Journal of Mixed Methods Research</b:JournalName>
    <b:Year>2020</b:Year>
    <b:Pages>47-63</b:Pages>
    <b:Author>
      <b:Author>
        <b:NameList>
          <b:Person>
            <b:Last>Zhou </b:Last>
            <b:First>Yuchun </b:First>
          </b:Person>
          <b:Person>
            <b:Last>Wu</b:Last>
            <b:Middle>Lun </b:Middle>
            <b:First>Min </b:First>
          </b:Person>
        </b:NameList>
      </b:Author>
    </b:Author>
    <b:Month>12</b:Month>
    <b:Day>16</b:Day>
    <b:Volume>16</b:Volume>
    <b:Issue>1</b:Issue>
    <b:YearAccessed>2022</b:YearAccessed>
    <b:MonthAccessed>11</b:MonthAccessed>
    <b:DayAccessed>01</b:DayAccessed>
    <b:DOI>https://doi.org/10.1177/1558689820980212</b:DOI>
    <b:RefOrder>722</b:RefOrder>
  </b:Source>
  <b:Source>
    <b:Tag>Zho201</b:Tag>
    <b:SourceType>JournalArticle</b:SourceType>
    <b:Guid>{AB418A94-38EB-41E0-A2EA-26F11965020F}</b:Guid>
    <b:Title>Corporate social responsibility and innovation: a comparative study</b:Title>
    <b:Year>2020</b:Year>
    <b:Pages>863-882</b:Pages>
    <b:Publisher>Emerald Publishing Limited</b:Publisher>
    <b:JournalName>Industrial Management &amp; Data Systems</b:JournalName>
    <b:Month>03</b:Month>
    <b:Day>17</b:Day>
    <b:Volume>120</b:Volume>
    <b:Issue>5</b:Issue>
    <b:YearAccessed>2023</b:YearAccessed>
    <b:MonthAccessed>05</b:MonthAccessed>
    <b:DayAccessed>14</b:DayAccessed>
    <b:DOI>https://doi.org/10.1108/IMDS-09-2019-0493</b:DOI>
    <b:Author>
      <b:Author>
        <b:NameList>
          <b:Person>
            <b:Last>Zhou</b:Last>
            <b:First>Haidi</b:First>
          </b:Person>
          <b:Person>
            <b:Last>Wang</b:Last>
            <b:First>Qiang </b:First>
          </b:Person>
          <b:Person>
            <b:Last>Zhao</b:Last>
            <b:First>Xiande </b:First>
          </b:Person>
        </b:NameList>
      </b:Author>
    </b:Author>
    <b:RefOrder>1051</b:RefOrder>
  </b:Source>
  <b:Source>
    <b:Tag>Zho22</b:Tag>
    <b:SourceType>JournalArticle</b:SourceType>
    <b:Guid>{3B7BEFC7-3429-4068-88FF-1D9B1E41D0C2}</b:Guid>
    <b:Title>Not all stakeholders are created equal: executive vertical pay disparity and firms’ choice of internal and external CSR</b:Title>
    <b:JournalName>Review of Managerial Science</b:JournalName>
    <b:Year>2022</b:Year>
    <b:Pages>2495-2525</b:Pages>
    <b:Month>11</b:Month>
    <b:Day>29</b:Day>
    <b:Volume>16</b:Volume>
    <b:YearAccessed>2023</b:YearAccessed>
    <b:MonthAccessed>02</b:MonthAccessed>
    <b:DayAccessed>03</b:DayAccessed>
    <b:DOI>https://doi.org/10.1007/s11846-021-00502-8</b:DOI>
    <b:Author>
      <b:Author>
        <b:NameList>
          <b:Person>
            <b:Last>Zhong</b:Last>
            <b:First>Xi </b:First>
          </b:Person>
          <b:Person>
            <b:Last>Ren</b:Last>
            <b:First>Ge</b:First>
          </b:Person>
          <b:Person>
            <b:Last>Wu </b:Last>
            <b:First> XiaoJie </b:First>
          </b:Person>
        </b:NameList>
      </b:Author>
    </b:Author>
    <b:RefOrder>29</b:RefOrder>
  </b:Source>
  <b:Source>
    <b:Tag>Zhe18</b:Tag>
    <b:SourceType>JournalArticle</b:SourceType>
    <b:Guid>{0E230C89-1495-46E4-A3CC-BE7CEB950070}</b:Guid>
    <b:JournalName>Pacific Asia Conference on Information Systems (PACIS)</b:JournalName>
    <b:Year>2018</b:Year>
    <b:Month>26</b:Month>
    <b:Day>6</b:Day>
    <b:YearAccessed>2023</b:YearAccessed>
    <b:MonthAccessed>05</b:MonthAccessed>
    <b:DayAccessed>31</b:DayAccessed>
    <b:URL>https://aisel.aisnet.org/pacis2018</b:URL>
    <b:Author>
      <b:Author>
        <b:NameList>
          <b:Person>
            <b:Last>Zheng</b:Last>
            <b:First>Bowen </b:First>
          </b:Person>
          <b:Person>
            <b:Last>Liu</b:Last>
            <b:First>Hefu </b:First>
          </b:Person>
          <b:Person>
            <b:Last>Davison</b:Last>
            <b:First>Robert </b:First>
          </b:Person>
        </b:NameList>
      </b:Author>
    </b:Author>
    <b:RefOrder>670</b:RefOrder>
  </b:Source>
  <b:Source>
    <b:Tag>Zha23</b:Tag>
    <b:SourceType>JournalArticle</b:SourceType>
    <b:Guid>{10DFEFB8-7382-4066-BABD-75E50ABAF3EA}</b:Guid>
    <b:Title>Modeling Influences on Impulse Purchasing Behaviors During Online Marketing Transactions</b:Title>
    <b:JournalName>Journal of Marketing Theory and Practice</b:JournalName>
    <b:Pages>79-89</b:Pages>
    <b:Volume>15</b:Volume>
    <b:Issue>1</b:Issue>
    <b:YearAccessed>2023</b:YearAccessed>
    <b:MonthAccessed>03</b:MonthAccessed>
    <b:DayAccessed>04</b:DayAccessed>
    <b:DOI>https://doi.org/10.2753/MTP1069-6679150106</b:DOI>
    <b:Author>
      <b:Author>
        <b:NameList>
          <b:Person>
            <b:Last>Zhang</b:Last>
            <b:First>Xiaoni </b:First>
          </b:Person>
          <b:Person>
            <b:Last>Prybutok</b:Last>
            <b:Middle>R.</b:Middle>
            <b:First>Victor</b:First>
          </b:Person>
          <b:Person>
            <b:Last>Strutton</b:Last>
            <b:First>David</b:First>
          </b:Person>
        </b:NameList>
      </b:Author>
    </b:Author>
    <b:Year>2007</b:Year>
    <b:Month>12</b:Month>
    <b:RefOrder>562</b:RefOrder>
  </b:Source>
  <b:Source>
    <b:Tag>Zha21</b:Tag>
    <b:SourceType>JournalArticle</b:SourceType>
    <b:Guid>{6377AE98-194C-4C1C-80E6-2B4DD84B4948}</b:Guid>
    <b:Title>Grading Business Journals: A Comparative Analysis of ABS, ABDC and JCR Quartiles and Proposing an Algorithm Based Classification</b:Title>
    <b:JournalName>Journal of Scientometric Research</b:JournalName>
    <b:Year>2022</b:Year>
    <b:Pages>297-303</b:Pages>
    <b:Month>01</b:Month>
    <b:Volume>10</b:Volume>
    <b:Issue>03</b:Issue>
    <b:YearAccessed>2022</b:YearAccessed>
    <b:MonthAccessed>12</b:MonthAccessed>
    <b:DayAccessed>31</b:DayAccessed>
    <b:URL>https://www.jscires.org/sites/default/files/JScientometRes-10-3-297.pdf</b:URL>
    <b:Author>
      <b:Author>
        <b:NameList>
          <b:Person>
            <b:Last>Zhang</b:Last>
            <b:First>Tenghao </b:First>
          </b:Person>
        </b:NameList>
      </b:Author>
    </b:Author>
    <b:DOI>0.5530/jscires.10.3.46</b:DOI>
    <b:RefOrder>463</b:RefOrder>
  </b:Source>
  <b:Source>
    <b:Tag>Zha181</b:Tag>
    <b:SourceType>JournalArticle</b:SourceType>
    <b:Guid>{FAE01D24-D12F-4C69-8457-3E75E83F18C8}</b:Guid>
    <b:Title>The impact of channel integration on consumer responses in omni-channel retailing: The mediating effect of consumer empowerment</b:Title>
    <b:JournalName>Electronic Commerce Research and Applications</b:JournalName>
    <b:Year>2018</b:Year>
    <b:Pages>181-193</b:Pages>
    <b:Month>04</b:Month>
    <b:Volume>28</b:Volume>
    <b:YearAccessed>2023</b:YearAccessed>
    <b:MonthAccessed>05</b:MonthAccessed>
    <b:DayAccessed>05</b:DayAccessed>
    <b:DOI>https://doi.org/10.1016/j.elerap.2018.02.002</b:DOI>
    <b:Author>
      <b:Author>
        <b:NameList>
          <b:Person>
            <b:Last>Zhang</b:Last>
            <b:First>Min</b:First>
          </b:Person>
          <b:Person>
            <b:Last>Ren</b:Last>
            <b:First>Chengshang </b:First>
          </b:Person>
          <b:Person>
            <b:Last>Wang</b:Last>
            <b:Middle>Alan </b:Middle>
            <b:First> G. </b:First>
          </b:Person>
          <b:Person>
            <b:Last>He</b:Last>
            <b:First>Zhen</b:First>
          </b:Person>
        </b:NameList>
      </b:Author>
    </b:Author>
    <b:RefOrder>629</b:RefOrder>
  </b:Source>
  <b:Source>
    <b:Tag>Zha22</b:Tag>
    <b:SourceType>JournalArticle</b:SourceType>
    <b:Guid>{D7A2BC9E-68DD-45E3-B843-FB403D229D00}</b:Guid>
    <b:Title>Effectiveness of corporate social responsibility activities in the COVID-19 pandemic</b:Title>
    <b:JournalName>Journal of Product &amp; Brand Management</b:JournalName>
    <b:Year>2022</b:Year>
    <b:Pages>1063-1076</b:Pages>
    <b:Month>08</b:Month>
    <b:Day>10</b:Day>
    <b:Volume>31</b:Volume>
    <b:Issue>7</b:Issue>
    <b:YearAccessed>2023</b:YearAccessed>
    <b:MonthAccessed>02</b:MonthAccessed>
    <b:DayAccessed>03</b:DayAccessed>
    <b:DOI>https://doi.org/10.1108/JPBM-07-2021-3551</b:DOI>
    <b:Author>
      <b:Author>
        <b:NameList>
          <b:Person>
            <b:Last>Zhang</b:Last>
            <b:First>Jueman (Mandy) </b:First>
          </b:Person>
          <b:Person>
            <b:Last> Wang </b:Last>
            <b:First>Yi (Jasmine)</b:First>
          </b:Person>
        </b:NameList>
      </b:Author>
    </b:Author>
    <b:RefOrder>101</b:RefOrder>
  </b:Source>
  <b:Source>
    <b:Tag>Zha18</b:Tag>
    <b:SourceType>JournalArticle</b:SourceType>
    <b:Guid>{1459D595-E8DA-43AA-96E5-13C2E4F9554D}</b:Guid>
    <b:Title>Battery electric vehicles in Japan: Human mobile behavior based adoption potential analysis and policy target response</b:Title>
    <b:JournalName>Applied Energy</b:JournalName>
    <b:Year>2018</b:Year>
    <b:Pages>527-535</b:Pages>
    <b:Month>06</b:Month>
    <b:Day>15</b:Day>
    <b:Volume>220</b:Volume>
    <b:YearAccessed>2023</b:YearAccessed>
    <b:MonthAccessed>03</b:MonthAccessed>
    <b:DayAccessed>05</b:DayAccessed>
    <b:DOI>https://doi.org/10.1016/j.apenergy.2018.03.105</b:DOI>
    <b:Author>
      <b:Author>
        <b:NameList>
          <b:Person>
            <b:Last>Zhang</b:Last>
            <b:First>Haoran </b:First>
          </b:Person>
          <b:Person>
            <b:Last>Song</b:Last>
            <b:First>Xuan </b:First>
          </b:Person>
          <b:Person>
            <b:Last>Xia</b:Last>
            <b:First>Tianqi </b:First>
          </b:Person>
          <b:Person>
            <b:Last>Yuan</b:Last>
            <b:First>Meng </b:First>
          </b:Person>
          <b:Person>
            <b:Last>Fan</b:Last>
            <b:First>Zipei </b:First>
          </b:Person>
          <b:Person>
            <b:Last>Shibasaki</b:Last>
            <b:First>Ryosuke </b:First>
          </b:Person>
          <b:Person>
            <b:Last>Liang</b:Last>
            <b:First>Yongtu </b:First>
          </b:Person>
        </b:NameList>
      </b:Author>
    </b:Author>
    <b:RefOrder>512</b:RefOrder>
  </b:Source>
  <b:Source>
    <b:Tag>Zaj60</b:Tag>
    <b:SourceType>JournalArticle</b:SourceType>
    <b:Guid>{789E1D4F-A5F4-4334-AEA5-0695CB2939C6}</b:Guid>
    <b:Title>The process of cognitive tuning in communication.</b:Title>
    <b:JournalName>The Journal of Abnormal and Social Psychology</b:JournalName>
    <b:Year>1960</b:Year>
    <b:Pages>159-167</b:Pages>
    <b:Volume>61</b:Volume>
    <b:Issue>2</b:Issue>
    <b:DOI> https://doi.org/10.1037/h0047987</b:DOI>
    <b:Author>
      <b:Author>
        <b:NameList>
          <b:Person>
            <b:Last>Zajonc</b:Last>
            <b:Middle>B.</b:Middle>
            <b:First>Robert </b:First>
          </b:Person>
        </b:NameList>
      </b:Author>
    </b:Author>
    <b:RefOrder>687</b:RefOrder>
  </b:Source>
  <b:Source>
    <b:Tag>Zaa23</b:Tag>
    <b:SourceType>JournalArticle</b:SourceType>
    <b:Guid>{23CCEDA7-0E02-4D24-B51D-5C62CA28C9B6}</b:Guid>
    <b:Title>The Mediating Role of Customer Satisfaction between Antecedent Factors and Brand Loyalty for the Shopee Application</b:Title>
    <b:JournalName>Behavioral Sciences</b:JournalName>
    <b:Year>2023</b:Year>
    <b:Author>
      <b:Author>
        <b:NameList>
          <b:Person>
            <b:Last>Zaato</b:Last>
            <b:Middle>Gbene </b:Middle>
            <b:First>Solomon </b:First>
          </b:Person>
          <b:Person>
            <b:Last>Zainol</b:Last>
            <b:Middle>Raihani </b:Middle>
            <b:First>Noor </b:First>
          </b:Person>
          <b:Person>
            <b:Last>Khan</b:Last>
            <b:First>Sania</b:First>
          </b:Person>
          <b:Person>
            <b:Last> Ur Rehman</b:Last>
            <b:First>Ateekh</b:First>
          </b:Person>
          <b:Person>
            <b:Last>Faridi</b:Last>
            <b:Middle>Rishad </b:Middle>
            <b:First>Mohammad </b:First>
          </b:Person>
          <b:Person>
            <b:Last>Khan</b:Last>
            <b:Middle>Ahmed</b:Middle>
            <b:First>Ali</b:First>
          </b:Person>
        </b:NameList>
      </b:Author>
    </b:Author>
    <b:Month>07</b:Month>
    <b:Day>06</b:Day>
    <b:Volume>13</b:Volume>
    <b:Issue>7</b:Issue>
    <b:YearAccessed>2023</b:YearAccessed>
    <b:MonthAccessed>07</b:MonthAccessed>
    <b:DayAccessed>29</b:DayAccessed>
    <b:DOI>https://doi.org/10.3390/bs13070563</b:DOI>
    <b:RefOrder>1052</b:RefOrder>
  </b:Source>
  <b:Source>
    <b:Tag>YuJ22</b:Tag>
    <b:SourceType>JournalArticle</b:SourceType>
    <b:Guid>{C7224BE0-10CE-433C-9F6A-E8DB64670077}</b:Guid>
    <b:Title>Corporate social responsibility (environment, product, diversity, employee, and community) and the hotel employees' job performance: Exploring the role of the employment types</b:Title>
    <b:JournalName>Corporate Social Responsibility and Environmental Management</b:JournalName>
    <b:Year>2022</b:Year>
    <b:Pages>1825-1838</b:Pages>
    <b:Month>06</b:Month>
    <b:Day>13</b:Day>
    <b:Volume>29</b:Volume>
    <b:Issue>5</b:Issue>
    <b:YearAccessed>2023</b:YearAccessed>
    <b:MonthAccessed>02</b:MonthAccessed>
    <b:DayAccessed>03</b:DayAccessed>
    <b:URL>https://onlinelibrary.wiley.com/doi/full/10.1002/csr.2330?casa_token=0hf3Ch9D0FkAAAAA%3A-eDp1y-b8HVWM69DkR-Z2EHpN1PB1gL_4nf4-tmBTXzHuOVptK7yKiS70jL2Q9cMt-5eV2xXV2g5nA</b:URL>
    <b:DOI>https://doi.org/10.1002/csr.2330</b:DOI>
    <b:Author>
      <b:Author>
        <b:NameList>
          <b:Person>
            <b:Last>Yu</b:Last>
            <b:First>Jongsik </b:First>
          </b:Person>
          <b:Person>
            <b:Last>Lho</b:Last>
            <b:Middle>Heejung </b:Middle>
            <b:First>Linda </b:First>
          </b:Person>
          <b:Person>
            <b:Last>Han</b:Last>
            <b:First>Heesup </b:First>
          </b:Person>
        </b:NameList>
      </b:Author>
    </b:Author>
    <b:RefOrder>77</b:RefOrder>
  </b:Source>
  <b:Source>
    <b:Tag>You22</b:Tag>
    <b:SourceType>BookSection</b:SourceType>
    <b:Guid>{89B6EFB9-DCD5-4697-8DC7-6260E60613D7}</b:Guid>
    <b:Title>Assessment of Poverty Alleviation Policies in Assiut Governorate, Egypt</b:Title>
    <b:Year>2022</b:Year>
    <b:URL>https://doi.org/10.1007/978-3-030-82257-6_12</b:URL>
    <b:Pages>265-287</b:Pages>
    <b:BookTitle>Institutional Reforms, Governance, and Services Delivery in the Global South</b:BookTitle>
    <b:Publisher>Palgrave Macmillan, Cham</b:Publisher>
    <b:YearAccessed>2022</b:YearAccessed>
    <b:MonthAccessed>11</b:MonthAccessed>
    <b:DayAccessed>12</b:DayAccessed>
    <b:DOI>10.1007/978-3-030-82257-6_12</b:DOI>
    <b:Author>
      <b:Author>
        <b:NameList>
          <b:Person>
            <b:Last>Youssef</b:Last>
            <b:Middle>Hassan</b:Middle>
            <b:First>Mohammed </b:First>
          </b:Person>
        </b:NameList>
      </b:Author>
    </b:Author>
    <b:RefOrder>789</b:RefOrder>
  </b:Source>
  <b:Source>
    <b:Tag>Yin11</b:Tag>
    <b:SourceType>Book</b:SourceType>
    <b:Guid>{F1AE57D8-F285-40B3-9727-6C827E50B466}</b:Guid>
    <b:Title>Qualitative Research from Start to Finish</b:Title>
    <b:Year>2011</b:Year>
    <b:City>New York</b:City>
    <b:Publisher>The Guilford Press</b:Publisher>
    <b:Author>
      <b:Author>
        <b:NameList>
          <b:Person>
            <b:Last>Yin</b:Last>
            <b:First>RK</b:First>
          </b:Person>
        </b:NameList>
      </b:Author>
    </b:Author>
    <b:RefOrder>992</b:RefOrder>
  </b:Source>
  <b:Source>
    <b:Tag>Yan101</b:Tag>
    <b:SourceType>JournalArticle</b:SourceType>
    <b:Guid>{451E86DB-AE96-4974-9E54-366EA3066587}</b:Guid>
    <b:Title>The impact of message appeal and message source on Gen Y consumers’ attitudes and purchase intentions toward American Apparel</b:Title>
    <b:JournalName>Journal of Marketing Communications</b:JournalName>
    <b:Year>2010</b:Year>
    <b:Pages>203-224</b:Pages>
    <b:Month>09</b:Month>
    <b:Publisher>Taylor &amp; Francis</b:Publisher>
    <b:Volume>16</b:Volume>
    <b:Issue>4</b:Issue>
    <b:YearAccessed>2023</b:YearAccessed>
    <b:MonthAccessed>03</b:MonthAccessed>
    <b:DayAccessed>17</b:DayAccessed>
    <b:DOI>10.1080/13527260902863221</b:DOI>
    <b:Author>
      <b:Author>
        <b:NameList>
          <b:Person>
            <b:Last>Yan</b:Last>
            <b:First>Ruoh-Nan </b:First>
          </b:Person>
          <b:Person>
            <b:Last>Ogle</b:Last>
            <b:Middle>Paff </b:Middle>
            <b:First>Jennifer </b:First>
          </b:Person>
          <b:Person>
            <b:Last>Hyllegard</b:Last>
            <b:Middle>H.</b:Middle>
            <b:First>Karen </b:First>
          </b:Person>
        </b:NameList>
      </b:Author>
    </b:Author>
    <b:RefOrder>1053</b:RefOrder>
  </b:Source>
  <b:Source>
    <b:Tag>Yan10</b:Tag>
    <b:SourceType>JournalArticle</b:SourceType>
    <b:Guid>{FCBF91DB-FBEB-4CC0-B6ED-ABCDC69533C1}</b:Guid>
    <b:Title>The impact of message appeal and message source on Gen Y consumers' attitudes and purchase intentions toward American apparel.</b:Title>
    <b:JournalName>Journal of Marketing Communications</b:JournalName>
    <b:Year>2010</b:Year>
    <b:Pages>203-224</b:Pages>
    <b:Volume>16</b:Volume>
    <b:Issue>4</b:Issue>
    <b:YearAccessed>2023</b:YearAccessed>
    <b:MonthAccessed>03</b:MonthAccessed>
    <b:DayAccessed>5</b:DayAccessed>
    <b:Author>
      <b:Author>
        <b:NameList>
          <b:Person>
            <b:Last>Yan</b:Last>
            <b:Middle>N.</b:Middle>
            <b:First>R.</b:First>
          </b:Person>
          <b:Person>
            <b:Last>Ogle</b:Last>
            <b:Middle>P.</b:Middle>
            <b:First>J.</b:First>
          </b:Person>
          <b:Person>
            <b:Last>Hyllegard</b:Last>
            <b:Middle>H.</b:Middle>
            <b:First>K.</b:First>
          </b:Person>
        </b:NameList>
      </b:Author>
    </b:Author>
    <b:RefOrder>590</b:RefOrder>
  </b:Source>
  <b:Source>
    <b:Tag>Xia21</b:Tag>
    <b:SourceType>JournalArticle</b:SourceType>
    <b:Guid>{5EFDA3BF-FD91-45F6-8179-5E396D62291B}</b:Guid>
    <b:Title>Natural resources abundance, economic globalization, and carbon emissions: Advancing sustainable development agenda</b:Title>
    <b:JournalName>Sustainable Development</b:JournalName>
    <b:Year>2021</b:Year>
    <b:Pages>1037-1048</b:Pages>
    <b:Month>05</b:Month>
    <b:Day>06</b:Day>
    <b:Publisher>Wiley Online Library</b:Publisher>
    <b:Volume>29</b:Volume>
    <b:Issue>5</b:Issue>
    <b:YearAccessed>2022</b:YearAccessed>
    <b:MonthAccessed>12</b:MonthAccessed>
    <b:DayAccessed>07</b:DayAccessed>
    <b:URL>https://onlinelibrary.wiley.com/doi/full/10.1002/sd.2192</b:URL>
    <b:Author>
      <b:Author>
        <b:NameList>
          <b:Person>
            <b:Last>Xiaoman</b:Last>
            <b:First>Wu </b:First>
          </b:Person>
          <b:Person>
            <b:Last> Majeed</b:Last>
            <b:First>Abdul</b:First>
          </b:Person>
          <b:Person>
            <b:Last>Vasbieva</b:Last>
            <b:Middle>G.</b:Middle>
            <b:First>Dinara </b:First>
          </b:Person>
          <b:Person>
            <b:Last>Yameogo</b:Last>
            <b:Middle>Emilienne Wati </b:Middle>
            <b:First>Claire </b:First>
          </b:Person>
          <b:Person>
            <b:Last>Hussain</b:Last>
            <b:First>Nazim </b:First>
          </b:Person>
        </b:NameList>
      </b:Author>
    </b:Author>
    <b:RefOrder>1054</b:RefOrder>
  </b:Source>
  <b:Source>
    <b:Tag>Xia20</b:Tag>
    <b:SourceType>JournalArticle</b:SourceType>
    <b:Guid>{01AB0CFE-E4DC-4F28-8206-95771EAC79C0}</b:Guid>
    <b:Title>To what extent is corporate social responsibility part of human resource management in the Chinese context? A review of literature and future research directions</b:Title>
    <b:JournalName>Human Resource Management Review</b:JournalName>
    <b:Year>2020</b:Year>
    <b:Month>12</b:Month>
    <b:Volume>30</b:Volume>
    <b:Issue>4</b:Issue>
    <b:YearAccessed>2022</b:YearAccessed>
    <b:MonthAccessed>12</b:MonthAccessed>
    <b:DayAccessed>31</b:DayAccessed>
    <b:DOI>https://doi.org/10.1016/j.hrmr.2019.100726</b:DOI>
    <b:Author>
      <b:Author>
        <b:NameList>
          <b:Person>
            <b:Last>Xiao</b:Last>
            <b:First>Mengtian</b:First>
          </b:Person>
          <b:Person>
            <b:Last>Cooke</b:Last>
            <b:Middle>Lee</b:Middle>
            <b:First>Fang </b:First>
          </b:Person>
          <b:Person>
            <b:Last>Xu</b:Last>
            <b:First>Jiuping</b:First>
          </b:Person>
          <b:Person>
            <b:Last>Bian</b:Last>
            <b:First>Huimin</b:First>
          </b:Person>
        </b:NameList>
      </b:Author>
    </b:Author>
    <b:RefOrder>467</b:RefOrder>
  </b:Source>
  <b:Source>
    <b:Tag>Xia19</b:Tag>
    <b:SourceType>JournalArticle</b:SourceType>
    <b:Guid>{89C3B708-3E66-4157-8AFB-854DE99BCDC6}</b:Guid>
    <b:Title>RMSEA, CFI, and TLI in structural equation modeling with ordered categorical data: The story they tell depends on the estimation methods</b:Title>
    <b:JournalName>Behavior Research Methods</b:JournalName>
    <b:Year>2019</b:Year>
    <b:Pages>409-428</b:Pages>
    <b:Volume>51</b:Volume>
    <b:Author>
      <b:Author>
        <b:NameList>
          <b:Person>
            <b:Last>Xia</b:Last>
            <b:First>Yan </b:First>
          </b:Person>
          <b:Person>
            <b:Last>Yang</b:Last>
            <b:First>Yanyun  </b:First>
          </b:Person>
        </b:NameList>
      </b:Author>
    </b:Author>
    <b:YearAccessed>2023</b:YearAccessed>
    <b:MonthAccessed>01</b:MonthAccessed>
    <b:DayAccessed>22</b:DayAccessed>
    <b:DOI>https://doi.org/10.3758/s13428-018-1055-2</b:DOI>
    <b:RefOrder>970</b:RefOrder>
  </b:Source>
  <b:Source>
    <b:Tag>Won20</b:Tag>
    <b:SourceType>JournalArticle</b:SourceType>
    <b:Guid>{9E384688-24DE-4954-9680-C30398271C78}</b:Guid>
    <b:Title>The role of live streaming in building consumer trust and engagement with social commerce sellers</b:Title>
    <b:JournalName>Journal of Business Research</b:JournalName>
    <b:Year>2020</b:Year>
    <b:Pages>543-556</b:Pages>
    <b:Author>
      <b:Author>
        <b:NameList>
          <b:Person>
            <b:Last>Wongkitrungrueng</b:Last>
            <b:First>Apiradee</b:First>
          </b:Person>
          <b:Person>
            <b:Last>Assarut</b:Last>
            <b:First>Nuttapol</b:First>
          </b:Person>
        </b:NameList>
      </b:Author>
    </b:Author>
    <b:Month>09</b:Month>
    <b:Publisher>ScienceDirect</b:Publisher>
    <b:Volume>117</b:Volume>
    <b:YearAccessed>2022</b:YearAccessed>
    <b:MonthAccessed>10</b:MonthAccessed>
    <b:DayAccessed>02</b:DayAccessed>
    <b:URL>https://www-sciencedirect-com.lsbu.idm.oclc.org/science/article/pii/S0148296318304168</b:URL>
    <b:DOI>https://doi.org/10.1016/j.jbusres.2018.08.032</b:DOI>
    <b:RefOrder>1055</b:RefOrder>
  </b:Source>
  <b:Source>
    <b:Tag>Wol94</b:Tag>
    <b:SourceType>Book</b:SourceType>
    <b:Guid>{BB54E98C-9FB2-4C81-9AF4-7422205F8B43}</b:Guid>
    <b:Title>Transforming qualitative data: Descriptions, analysis and interpretation.</b:Title>
    <b:Year>1994</b:Year>
    <b:City>London, England</b:City>
    <b:Publisher>SAGE</b:Publisher>
    <b:Author>
      <b:Author>
        <b:NameList>
          <b:Person>
            <b:Last>Wolcott</b:Last>
            <b:First>H.</b:First>
          </b:Person>
        </b:NameList>
      </b:Author>
    </b:Author>
    <b:RefOrder>981</b:RefOrder>
  </b:Source>
  <b:Source>
    <b:Tag>Amo</b:Tag>
    <b:SourceType>JournalArticle</b:SourceType>
    <b:Guid>{CAF86471-3682-4F84-B6FE-3A75E84839CC}</b:Guid>
    <b:Title>A model for ethical decision-making in business: reasoning, intuition, and rational moral principle</b:Title>
    <b:JournalName>Journal of Business Ethics</b:JournalName>
    <b:Year>2011</b:Year>
    <b:Pages>311-323</b:Pages>
    <b:Volume>104</b:Volume>
    <b:Issue>3</b:Issue>
    <b:Author>
      <b:Author>
        <b:NameList>
          <b:Person>
            <b:Last>Woiceshyn</b:Last>
            <b:First>J</b:First>
          </b:Person>
        </b:NameList>
      </b:Author>
    </b:Author>
    <b:RefOrder>1056</b:RefOrder>
  </b:Source>
  <b:Source>
    <b:Tag>Woe16</b:Tag>
    <b:SourceType>JournalArticle</b:SourceType>
    <b:Guid>{BFD1C841-6FC6-4ABD-9FC0-BE0FA331A0E0}</b:Guid>
    <b:Title>Back to the roots! Methodological situationalism and the postmodern lesson for studying tribes, practices, and assemblages</b:Title>
    <b:JournalName>Marketing Theory </b:JournalName>
    <b:Year>2016</b:Year>
    <b:Pages>149-163</b:Pages>
    <b:Author>
      <b:Author>
        <b:NameList>
          <b:Person>
            <b:Last>Woermann </b:Last>
            <b:First>Niklas </b:First>
          </b:Person>
        </b:NameList>
      </b:Author>
    </b:Author>
    <b:Month>12</b:Month>
    <b:Day>19</b:Day>
    <b:Volume>17</b:Volume>
    <b:Issue>2</b:Issue>
    <b:YearAccessed>2022</b:YearAccessed>
    <b:MonthAccessed>10</b:MonthAccessed>
    <b:DayAccessed>09</b:DayAccessed>
    <b:DOI>https://doi.org/10.1177/147059311667986</b:DOI>
    <b:RefOrder>736</b:RefOrder>
  </b:Source>
  <b:Source>
    <b:Tag>Win92</b:Tag>
    <b:SourceType>JournalArticle</b:SourceType>
    <b:Guid>{481763D1-D660-4945-A90B-742486349FF3}</b:Guid>
    <b:Title>Socioeconomic status and health: how education, income, and occupation contribute to risk factors for cardiovascular disease.</b:Title>
    <b:JournalName>American Journal of Public Health</b:JournalName>
    <b:Year>1992</b:Year>
    <b:Pages>816–820</b:Pages>
    <b:Month>06</b:Month>
    <b:Volume>82</b:Volume>
    <b:Issue>6</b:Issue>
    <b:YearAccessed>2023</b:YearAccessed>
    <b:MonthAccessed>08</b:MonthAccessed>
    <b:DayAccessed>21</b:DayAccessed>
    <b:DOI>10.2105/ajph.82.6.816</b:DOI>
    <b:Author>
      <b:Author>
        <b:NameList>
          <b:Person>
            <b:Last>Winkleby</b:Last>
            <b:Middle>A</b:Middle>
            <b:First>M </b:First>
          </b:Person>
          <b:Person>
            <b:Last>Jatulis</b:Last>
            <b:Middle>E</b:Middle>
            <b:First>D </b:First>
          </b:Person>
          <b:Person>
            <b:Last>Frank</b:Last>
            <b:First>E</b:First>
          </b:Person>
          <b:Person>
            <b:Last>Fortmann</b:Last>
            <b:Middle>P</b:Middle>
            <b:First>S </b:First>
          </b:Person>
        </b:NameList>
      </b:Author>
    </b:Author>
    <b:RefOrder>848</b:RefOrder>
  </b:Source>
  <b:Source>
    <b:Tag>Wil191</b:Tag>
    <b:SourceType>BookSection</b:SourceType>
    <b:Guid>{B5AFE948-FF43-4927-ADD3-E51C0C68246E}</b:Guid>
    <b:Title>The Measurement and Use of Socioeconomic Status in Educational Research</b:Title>
    <b:Year>2019</b:Year>
    <b:BookTitle>The SAGE Handbook of Comparative Studies in Education</b:BookTitle>
    <b:Author>
      <b:Author>
        <b:NameList>
          <b:Person>
            <b:Last>Willms</b:Last>
            <b:First>J</b:First>
          </b:Person>
          <b:Person>
            <b:Last>Tramonte</b:Last>
            <b:First>Lucia </b:First>
          </b:Person>
        </b:NameList>
      </b:Author>
    </b:Author>
    <b:DOI>10.4135/9781526470379.N17</b:DOI>
    <b:RefOrder>847</b:RefOrder>
  </b:Source>
  <b:Source>
    <b:Tag>Wil19</b:Tag>
    <b:SourceType>JournalArticle</b:SourceType>
    <b:Guid>{BD481863-9DEB-4EDC-990A-9B4C516F7EA8}</b:Guid>
    <b:Title>The Art of Coding and Thematic Exploration in Qualitative Research</b:Title>
    <b:Year>2019</b:Year>
    <b:JournalName>International Management Review</b:JournalName>
    <b:Pages>45-55</b:Pages>
    <b:Volume>15</b:Volume>
    <b:Issue>1</b:Issue>
    <b:Author>
      <b:Author>
        <b:NameList>
          <b:Person>
            <b:Last>Williams</b:Last>
            <b:First>Michael </b:First>
          </b:Person>
          <b:Person>
            <b:Last>Moser</b:Last>
            <b:First>Tami</b:First>
          </b:Person>
        </b:NameList>
      </b:Author>
    </b:Author>
    <b:RefOrder>875</b:RefOrder>
  </b:Source>
  <b:Source>
    <b:Tag>Wil09</b:Tag>
    <b:SourceType>JournalArticle</b:SourceType>
    <b:Guid>{B7418018-342B-48D9-AB83-65B4FE6CF7B8}</b:Guid>
    <b:Title>Achieving trustworthiness in qualitative research: A pan-paradigmatic perspective</b:Title>
    <b:JournalName>Psychotherapy Research</b:JournalName>
    <b:Year>2009</b:Year>
    <b:Pages>576-582</b:Pages>
    <b:Month>08</b:Month>
    <b:Publisher>PubMed</b:Publisher>
    <b:Volume>19</b:Volume>
    <b:Issue>4-5</b:Issue>
    <b:YearAccessed>2023</b:YearAccessed>
    <b:MonthAccessed>02</b:MonthAccessed>
    <b:DayAccessed>11</b:DayAccessed>
    <b:DOI>10.1080/10503300802702113</b:DOI>
    <b:Author>
      <b:Author>
        <b:NameList>
          <b:Person>
            <b:Last>Williams</b:Last>
            <b:Middle>Nutt </b:Middle>
            <b:First>Elizabeth </b:First>
          </b:Person>
          <b:Person>
            <b:Last>Morrow</b:Last>
            <b:First>Susan </b:First>
          </b:Person>
        </b:NameList>
      </b:Author>
    </b:Author>
    <b:RefOrder>1057</b:RefOrder>
  </b:Source>
  <b:Source>
    <b:Tag>Wil20</b:Tag>
    <b:SourceType>JournalArticle</b:SourceType>
    <b:Guid>{6E285BCA-52DA-44CE-9E4B-E01B25CC9A01}</b:Guid>
    <b:Title>Data-Driven Model Development for Cardiomyocyte Production Experimental Failure Prediction</b:Title>
    <b:Year>2020</b:Year>
    <b:Pages>1639-1644</b:Pages>
    <b:Publisher>Elsevier B.V.</b:Publisher>
    <b:JournalName>Computer Aided Chemical Engineering</b:JournalName>
    <b:Volume>48</b:Volume>
    <b:Author>
      <b:Author>
        <b:NameList>
          <b:Person>
            <b:Last>Williams</b:Last>
            <b:First>Bianca</b:First>
          </b:Person>
          <b:Person>
            <b:Last>Halloin</b:Last>
            <b:First>Caroline</b:First>
          </b:Person>
          <b:Person>
            <b:Last>Löbel</b:Last>
            <b:First>Wiebke</b:First>
          </b:Person>
          <b:Person>
            <b:Last>Finklea</b:Last>
            <b:First>Ferdous</b:First>
          </b:Person>
          <b:Person>
            <b:Last>Lipke</b:Last>
            <b:First>Elizabeth</b:First>
          </b:Person>
          <b:Person>
            <b:Last>Zweigerdt</b:Last>
            <b:First>Robert</b:First>
          </b:Person>
          <b:Person>
            <b:Last>Cremaschi</b:Last>
            <b:First>Selen</b:First>
          </b:Person>
        </b:NameList>
      </b:Author>
    </b:Author>
    <b:YearAccessed>2023</b:YearAccessed>
    <b:MonthAccessed>01</b:MonthAccessed>
    <b:DayAccessed>17</b:DayAccessed>
    <b:DOI>https://doi.org/10.1016/B978-0-12-823377-1.50274-3</b:DOI>
    <b:RefOrder>1058</b:RefOrder>
  </b:Source>
  <b:Source>
    <b:Tag>Wil201</b:Tag>
    <b:SourceType>JournalArticle</b:SourceType>
    <b:Guid>{A5F577D0-0378-46A1-803D-E954270EA84E}</b:Guid>
    <b:Title>FMCG firms’ margin management: consumer trade-offs among product price, quantity and quality</b:Title>
    <b:Year>2020</b:Year>
    <b:Publisher>Taylor &amp; Francis Group</b:Publisher>
    <b:JournalName>Journal of Strategic Marketing</b:JournalName>
    <b:Pages>764-781</b:Pages>
    <b:Month>11</b:Month>
    <b:Day>1</b:Day>
    <b:Volume>30</b:Volume>
    <b:Issue>8</b:Issue>
    <b:YearAccessed>2023</b:YearAccessed>
    <b:MonthAccessed>02</b:MonthAccessed>
    <b:DayAccessed>22</b:DayAccessed>
    <b:DOI>10.1080/0965254X.2020.1849362</b:DOI>
    <b:Author>
      <b:Author>
        <b:NameList>
          <b:Person>
            <b:Last>Wilkins</b:Last>
            <b:First>Stephen </b:First>
          </b:Person>
          <b:Person>
            <b:Last>Ireland</b:Last>
            <b:Middle>J.</b:Middle>
            <b:First>John </b:First>
          </b:Person>
        </b:NameList>
      </b:Author>
    </b:Author>
    <b:RefOrder>447</b:RefOrder>
  </b:Source>
  <b:Source>
    <b:Tag>Wid18</b:Tag>
    <b:SourceType>JournalArticle</b:SourceType>
    <b:Guid>{0A263FF9-C7DD-443B-AB34-290044B7D92D}</b:Guid>
    <b:Title>THE IMPACT OF SOCIAL MEDIA USAGE AND SELF-ESTEEM ON CONSPICUOUS CONSUMPTION: INSTAGRAM USER OF HIJABERS COMMUNITY BANDUNG MEMBER</b:Title>
    <b:Year>2018</b:Year>
    <b:Pages>1-13</b:Pages>
    <b:JournalName>International Journal of eBusiness and eGovernment Studies</b:JournalName>
    <b:Author>
      <b:Author>
        <b:NameList>
          <b:Person>
            <b:Last>Widjajanta  </b:Last>
            <b:First>Bambang </b:First>
          </b:Person>
          <b:Person>
            <b:Last>Senen</b:Last>
            <b:Middle>Hadi</b:Middle>
            <b:First>Syamsul </b:First>
          </b:Person>
          <b:Person>
            <b:Last>Masharyono</b:Last>
            <b:First>Masharyono </b:First>
          </b:Person>
          <b:Person>
            <b:Last>Lisnawati </b:Last>
            <b:First> Lisnawati </b:First>
          </b:Person>
          <b:Person>
            <b:Last>Anggraeni</b:Last>
            <b:Middle>Putri </b:Middle>
            <b:First> Claudita </b:First>
          </b:Person>
        </b:NameList>
      </b:Author>
    </b:Author>
    <b:Volume>10</b:Volume>
    <b:Issue>2</b:Issue>
    <b:YearAccessed>2023</b:YearAccessed>
    <b:MonthAccessed>03</b:MonthAccessed>
    <b:DayAccessed>07</b:DayAccessed>
    <b:URL> https://dergipark.org.tr/en/pub/ijebeg/issue/43700/536103</b:URL>
    <b:RefOrder>1028</b:RefOrder>
  </b:Source>
  <b:Source>
    <b:Tag>Wic69</b:Tag>
    <b:SourceType>JournalArticle</b:SourceType>
    <b:Guid>{B4ED8B4B-AA25-472E-A568-9767327025AD}</b:Guid>
    <b:Title>Attitudes versus Actions: The Relationship of Verbal and Overt Behavioral Responses to Attitude Objects</b:Title>
    <b:JournalName>Social Issue</b:JournalName>
    <b:Year>1969</b:Year>
    <b:Pages>41-78</b:Pages>
    <b:Volume>25</b:Volume>
    <b:Issue>4</b:Issue>
    <b:YearAccessed>2023</b:YearAccessed>
    <b:MonthAccessed>04</b:MonthAccessed>
    <b:DayAccessed>30</b:DayAccessed>
    <b:DOI>https://doi.org/10.1111/j.1540-4560.1969.tb00619.x</b:DOI>
    <b:Author>
      <b:Author>
        <b:NameList>
          <b:Person>
            <b:Last>Wicker</b:Last>
            <b:Middle>W.</b:Middle>
            <b:First>Allan </b:First>
          </b:Person>
        </b:NameList>
      </b:Author>
    </b:Author>
    <b:RefOrder>583</b:RefOrder>
  </b:Source>
  <b:Source>
    <b:Tag>Whi26</b:Tag>
    <b:SourceType>Book</b:SourceType>
    <b:Guid>{8782C1C4-7735-41C5-919C-F8A889805CE7}</b:Guid>
    <b:Title>Symbolism Its Meaning And Effect</b:Title>
    <b:Year>1927</b:Year>
    <b:City>New York</b:City>
    <b:Publisher>Macmillan</b:Publisher>
    <b:Author>
      <b:Author>
        <b:NameList>
          <b:Person>
            <b:Last>Whitehead</b:Last>
            <b:Middle>North</b:Middle>
            <b:First>Alfred </b:First>
          </b:Person>
        </b:NameList>
      </b:Author>
    </b:Author>
    <b:RefOrder>759</b:RefOrder>
  </b:Source>
  <b:Source>
    <b:Tag>Whi64</b:Tag>
    <b:SourceType>Book</b:SourceType>
    <b:Guid>{35788934-3278-47C3-AE9E-AC5EFDF120A9}</b:Guid>
    <b:Title>The concept of nature.</b:Title>
    <b:Year>1964</b:Year>
    <b:Publisher>Cambridge University Press</b:Publisher>
    <b:Author>
      <b:Author>
        <b:NameList>
          <b:Person>
            <b:Last>Whitehead</b:Last>
            <b:Middle>North</b:Middle>
            <b:First>Alfred</b:First>
          </b:Person>
        </b:NameList>
      </b:Author>
    </b:Author>
    <b:RefOrder>758</b:RefOrder>
  </b:Source>
  <b:Source>
    <b:Tag>Whi191</b:Tag>
    <b:SourceType>JournalArticle</b:SourceType>
    <b:Guid>{A01DB236-1D67-4E96-AFE0-EC5110C53CD0}</b:Guid>
    <b:Title>The influence of culture and infrastructure on CSR and country image: The case of Kuwait</b:Title>
    <b:Year>2019</b:Year>
    <b:JournalName>Public Relations Review</b:JournalName>
    <b:Volume>45</b:Volume>
    <b:Issue>3</b:Issue>
    <b:Month>09</b:Month>
    <b:YearAccessed>2022</b:YearAccessed>
    <b:MonthAccessed>12</b:MonthAccessed>
    <b:DayAccessed>08</b:DayAccessed>
    <b:URL>https://www.sciencedirect.com/science/article/pii/S0363811118304533</b:URL>
    <b:DOI>https://doi.org/10.1016/j.pubrev.2019.05.004</b:DOI>
    <b:Author>
      <b:Author>
        <b:NameList>
          <b:Person>
            <b:Last>White</b:Last>
            <b:Middle>L.</b:Middle>
            <b:First>Candace </b:First>
          </b:Person>
          <b:Person>
            <b:Last>Alkandari</b:Last>
            <b:First>Khaled</b:First>
          </b:Person>
        </b:NameList>
      </b:Author>
    </b:Author>
    <b:RefOrder>1059</b:RefOrder>
  </b:Source>
  <b:Source>
    <b:Tag>Whi19</b:Tag>
    <b:SourceType>JournalArticle</b:SourceType>
    <b:Guid>{A12A781A-D316-449D-8F17-87050E4DB0D8}</b:Guid>
    <b:Title>The influence of culture and infrastructure on CSR and country image: The case of Kuwait</b:Title>
    <b:JournalName>Public Relations Review</b:JournalName>
    <b:Year>2019</b:Year>
    <b:Volume>45</b:Volume>
    <b:Issue>3</b:Issue>
    <b:Month>09</b:Month>
    <b:YearAccessed>2022</b:YearAccessed>
    <b:MonthAccessed>12</b:MonthAccessed>
    <b:DayAccessed>07</b:DayAccessed>
    <b:URL>(https://www.sciencedirect.com/science/article/pii/S0363811118304533)</b:URL>
    <b:DOI>https://doi.org/10.1016/j.pubrev.2019.05.004</b:DOI>
    <b:Author>
      <b:Author>
        <b:NameList>
          <b:Person>
            <b:Last>White</b:Last>
            <b:Middle>L.</b:Middle>
            <b:First>Candace </b:First>
          </b:Person>
          <b:Person>
            <b:Last>Alkandari</b:Last>
            <b:First>Khaled</b:First>
          </b:Person>
        </b:NameList>
      </b:Author>
    </b:Author>
    <b:RefOrder>473</b:RefOrder>
  </b:Source>
  <b:Source>
    <b:Tag>Whi10</b:Tag>
    <b:SourceType>InternetSite</b:SourceType>
    <b:Guid>{938F1038-15CB-46BB-B902-6EBECC592374}</b:Guid>
    <b:Title>The politics of Egypt's feeble statistics</b:Title>
    <b:Year>2010</b:Year>
    <b:InternetSiteTitle>The Guardian</b:InternetSiteTitle>
    <b:Month>10</b:Month>
    <b:Day>25</b:Day>
    <b:URL>https://www.theguardian.com/commentisfree/2010/oct/25/egypt-statistics-state-control</b:URL>
    <b:Author>
      <b:Author>
        <b:NameList>
          <b:Person>
            <b:Last>Whitaker </b:Last>
            <b:First>Brian </b:First>
          </b:Person>
        </b:NameList>
      </b:Author>
    </b:Author>
    <b:RefOrder>851</b:RefOrder>
  </b:Source>
  <b:Source>
    <b:Tag>wil14</b:Tag>
    <b:SourceType>Book</b:SourceType>
    <b:Guid>{4DB1B03B-7BEF-4A1C-A735-B3C2076B04F5}</b:Guid>
    <b:Title>Measuring Advertising Effectiveness</b:Title>
    <b:Year>2014</b:Year>
    <b:Author>
      <b:Editor>
        <b:NameList>
          <b:Person>
            <b:Last>Wells</b:Last>
            <b:First>william</b:First>
            <b:Middle>D.</b:Middle>
          </b:Person>
        </b:NameList>
      </b:Editor>
    </b:Author>
    <b:YearAccessed>2022</b:YearAccessed>
    <b:MonthAccessed>03</b:MonthAccessed>
    <b:DayAccessed>05</b:DayAccessed>
    <b:DOI>https://doi.org/10.4324/9781315806099</b:DOI>
    <b:RefOrder>1060</b:RefOrder>
  </b:Source>
  <b:Source>
    <b:Tag>Wei96</b:Tag>
    <b:SourceType>JournalArticle</b:SourceType>
    <b:Guid>{E4A05D92-3C6F-487C-9735-2F9D1B38863B}</b:Guid>
    <b:Title>Affective events theory: a theoretical discussion of the structure, causes and consequences of affective experiences at work</b:Title>
    <b:JournalName>Research in Organizational Behavior</b:JournalName>
    <b:Year>1996</b:Year>
    <b:Pages>1-74</b:Pages>
    <b:Volume>18</b:Volume>
    <b:Issue>1</b:Issue>
    <b:Author>
      <b:Author>
        <b:NameList>
          <b:Person>
            <b:Last>Weiss</b:Last>
            <b:Middle>M.</b:Middle>
            <b:First>Howard </b:First>
          </b:Person>
          <b:Person>
            <b:Last>Cropanzano</b:Last>
            <b:First>Russell</b:First>
          </b:Person>
        </b:NameList>
      </b:Author>
    </b:Author>
    <b:Publisher>Elsevier Science/ JAI Press.</b:Publisher>
    <b:YearAccessed>2022</b:YearAccessed>
    <b:MonthAccessed>12</b:MonthAccessed>
    <b:DayAccessed>11</b:DayAccessed>
    <b:URL>https://psycnet.apa.org/record/1996-98665-001</b:URL>
    <b:RefOrder>1061</b:RefOrder>
  </b:Source>
  <b:Source>
    <b:Tag>Wei11</b:Tag>
    <b:SourceType>JournalArticle</b:SourceType>
    <b:Guid>{46FD248E-92AB-46D9-BB59-CA7F4DC7BF9E}</b:Guid>
    <b:Title>Past purchase and intention to purchase in e‐commerce: The mediation of social presence and trust.</b:Title>
    <b:JournalName>Internet Research </b:JournalName>
    <b:Year>2011</b:Year>
    <b:Pages>82-96</b:Pages>
    <b:Author>
      <b:Author>
        <b:NameList>
          <b:Person>
            <b:Last>Weisberg, </b:Last>
            <b:First>J.</b:First>
          </b:Person>
          <b:Person>
            <b:Last>D.</b:Last>
            <b:First>Te'eni</b:First>
          </b:Person>
          <b:Person>
            <b:Last>Arman</b:Last>
            <b:First>L.</b:First>
          </b:Person>
        </b:NameList>
      </b:Author>
    </b:Author>
    <b:Volume>21</b:Volume>
    <b:Issue>1</b:Issue>
    <b:YearAccessed>2022</b:YearAccessed>
    <b:MonthAccessed>11</b:MonthAccessed>
    <b:DayAccessed>06</b:DayAccessed>
    <b:DOI>https://doi-org.lsbu.idm.oclc.org/10.1108/10662241111104893</b:DOI>
    <b:RefOrder>1062</b:RefOrder>
  </b:Source>
  <b:Source>
    <b:Tag>Wei98</b:Tag>
    <b:SourceType>JournalArticle</b:SourceType>
    <b:Guid>{40CED6CD-EF94-4325-82DF-B03B6F5AA9C1}</b:Guid>
    <b:Title>Stage theories of health behavior: Conceptual and methodological issues.</b:Title>
    <b:JournalName>Health Psychology</b:JournalName>
    <b:Year>1998</b:Year>
    <b:Pages>290-299</b:Pages>
    <b:Volume>17</b:Volume>
    <b:DOI>10.1037/0278-6133.17.3.290</b:DOI>
    <b:Author>
      <b:Author>
        <b:NameList>
          <b:Person>
            <b:Last>Weinstein</b:Last>
            <b:Middle>D.</b:Middle>
            <b:First>N.</b:First>
          </b:Person>
          <b:Person>
            <b:Last>Rothman</b:Last>
            <b:Middle>J.</b:Middle>
            <b:First>A.</b:First>
          </b:Person>
          <b:Person>
            <b:Last>Sutton</b:Last>
            <b:Middle>R.</b:Middle>
            <b:First>S.</b:First>
          </b:Person>
        </b:NameList>
      </b:Author>
    </b:Author>
    <b:RefOrder>577</b:RefOrder>
  </b:Source>
  <b:Source>
    <b:Tag>Wei18</b:Tag>
    <b:SourceType>JournalArticle</b:SourceType>
    <b:Guid>{79FFA2CA-04B5-4D19-A5E0-49CEC43283D6}</b:Guid>
    <b:Title>Consumer inferences of corporate social responsibility (CSR) claims on packaged foods</b:Title>
    <b:JournalName>Journal of Business Research</b:JournalName>
    <b:Year>2018</b:Year>
    <b:Pages>186-201</b:Pages>
    <b:Month>02</b:Month>
    <b:Volume>83</b:Volume>
    <b:YearAccessed>2023</b:YearAccessed>
    <b:MonthAccessed>05</b:MonthAccessed>
    <b:DayAccessed>01</b:DayAccessed>
    <b:DOI>https://doi.org/10.1016/j.jbusres.2017.10.046</b:DOI>
    <b:Author>
      <b:Author>
        <b:NameList>
          <b:Person>
            <b:Last>Wei</b:Last>
            <b:First>Wei</b:First>
          </b:Person>
          <b:Person>
            <b:Last>Kim</b:Last>
            <b:First>Gaeul </b:First>
          </b:Person>
          <b:Person>
            <b:Last>Miao</b:Last>
            <b:First>Li</b:First>
          </b:Person>
          <b:Person>
            <b:Last>Behnke</b:Last>
            <b:First>Carl </b:First>
          </b:Person>
          <b:Person>
            <b:Last>Almanza</b:Last>
            <b:First>Barbara </b:First>
          </b:Person>
        </b:NameList>
      </b:Author>
    </b:Author>
    <b:RefOrder>143</b:RefOrder>
  </b:Source>
  <b:Source>
    <b:Tag>Web06</b:Tag>
    <b:SourceType>JournalArticle</b:SourceType>
    <b:Guid>{961EC68A-9133-446D-9214-9F420F3DD487}</b:Guid>
    <b:Title>Does changing behavioral intentions engender behavior change? A meta-analysis of the experimental evidence</b:Title>
    <b:JournalName>Psychol Bull</b:JournalName>
    <b:Year>2006</b:Year>
    <b:Pages>249-268</b:Pages>
    <b:Month>03</b:Month>
    <b:Volume>132</b:Volume>
    <b:Issue>2</b:Issue>
    <b:YearAccessed>2023</b:YearAccessed>
    <b:MonthAccessed>04</b:MonthAccessed>
    <b:DayAccessed>28</b:DayAccessed>
    <b:URL>10.1037/0033-2909.132.2.249</b:URL>
    <b:Author>
      <b:Author>
        <b:NameList>
          <b:Person>
            <b:Last>Webb</b:Last>
            <b:Middle>L</b:Middle>
            <b:First>T</b:First>
          </b:Person>
          <b:Person>
            <b:Last>Sheeran</b:Last>
            <b:First>P.</b:First>
          </b:Person>
        </b:NameList>
      </b:Author>
    </b:Author>
    <b:RefOrder>553</b:RefOrder>
  </b:Source>
  <b:Source>
    <b:Tag>War20</b:Tag>
    <b:SourceType>InternetSite</b:SourceType>
    <b:Guid>{73975D8A-0656-4DCB-99DA-690D7F11F1C4}</b:Guid>
    <b:Title>Qualitative Data Analysis Methods 101: The Big 6 Methods and Examples</b:Title>
    <b:Year>2020</b:Year>
    <b:InternetSiteTitle>GradCoach</b:InternetSiteTitle>
    <b:Month>05</b:Month>
    <b:URL>https://gradcoach.com/qualitative-data-analysis-methods/#method1</b:URL>
    <b:Author>
      <b:Author>
        <b:NameList>
          <b:Person>
            <b:Last>Warren</b:Last>
            <b:First>Kerryn </b:First>
          </b:Person>
        </b:NameList>
      </b:Author>
    </b:Author>
    <b:RefOrder>982</b:RefOrder>
  </b:Source>
  <b:Source>
    <b:Tag>Wan221</b:Tag>
    <b:SourceType>JournalArticle</b:SourceType>
    <b:Guid>{4703024C-0FDF-488E-88C1-B26F71A59E1A}</b:Guid>
    <b:Title>Differences between the formation of tourism purchase intention and the formation of actual behavior: A meta-analytic review</b:Title>
    <b:JournalName>Tourism Management</b:JournalName>
    <b:Year>2022</b:Year>
    <b:Month>08</b:Month>
    <b:Volume>91</b:Volume>
    <b:YearAccessed>2023</b:YearAccessed>
    <b:MonthAccessed>08</b:MonthAccessed>
    <b:DayAccessed>19</b:DayAccessed>
    <b:DOI>https://doi.org/10.1016/j.tourman.2022.104527</b:DOI>
    <b:Author>
      <b:Author>
        <b:NameList>
          <b:Person>
            <b:Last>Wang</b:Last>
            <b:First>Yuting </b:First>
          </b:Person>
          <b:Person>
            <b:Last>Li</b:Last>
            <b:First>Chunxiao </b:First>
          </b:Person>
        </b:NameList>
      </b:Author>
    </b:Author>
    <b:RefOrder>354</b:RefOrder>
  </b:Source>
  <b:Source>
    <b:Tag>Wan22</b:Tag>
    <b:SourceType>JournalArticle</b:SourceType>
    <b:Guid>{7FD255ED-A84F-42E9-9F30-1594DD705050}</b:Guid>
    <b:Title>An investigation of technology-dependent shopping in the pandemic era: Integrating response efficacy and identity expressiveness into theory of planned behaviour.</b:Title>
    <b:JournalName>Journal of Business Research</b:JournalName>
    <b:Year>2022</b:Year>
    <b:Pages>1053-1067</b:Pages>
    <b:Author>
      <b:Author>
        <b:NameList>
          <b:Person>
            <b:Last>Wang</b:Last>
            <b:First>Xueqin</b:First>
          </b:Person>
          <b:Person>
            <b:Last>Wong</b:Last>
            <b:Middle>Diew</b:Middle>
            <b:First>Yiik </b:First>
          </b:Person>
          <b:Person>
            <b:Last>Chen</b:Last>
            <b:First>Tianyi</b:First>
          </b:Person>
          <b:Person>
            <b:Last>Yuen</b:Last>
            <b:Middle>Fai</b:Middle>
            <b:First>Kum</b:First>
          </b:Person>
        </b:NameList>
      </b:Author>
    </b:Author>
    <b:Month>03</b:Month>
    <b:Volume>142</b:Volume>
    <b:YearAccessed>2022</b:YearAccessed>
    <b:MonthAccessed>05</b:MonthAccessed>
    <b:DayAccessed>27</b:DayAccessed>
    <b:DOI>10.1016/j.jbusres.2022.01.042</b:DOI>
    <b:RefOrder>1063</b:RefOrder>
  </b:Source>
  <b:Source>
    <b:Tag>Wan19</b:Tag>
    <b:SourceType>JournalArticle</b:SourceType>
    <b:Guid>{D5C7A101-0706-49AD-859C-D2B90B3CFAEA}</b:Guid>
    <b:Title>The relationships among community experience, community commitment, brand attitude, and purchase intention in social media</b:Title>
    <b:JournalName>International Journal of Information Management</b:JournalName>
    <b:Year>2019</b:Year>
    <b:Pages>475-488</b:Pages>
    <b:Author>
      <b:Author>
        <b:NameList>
          <b:Person>
            <b:Last>Wang</b:Last>
            <b:First>Xiao-Wu </b:First>
          </b:Person>
          <b:Person>
            <b:Last>Cao</b:Last>
            <b:First>Yu-Mei </b:First>
          </b:Person>
          <b:Person>
            <b:Last>Park</b:Last>
            <b:First>Cheol </b:First>
          </b:Person>
        </b:NameList>
      </b:Author>
    </b:Author>
    <b:Publisher>Elsevier Ltd. All rights reserved.</b:Publisher>
    <b:Volume>49</b:Volume>
    <b:YearAccessed>2023</b:YearAccessed>
    <b:MonthAccessed>03</b:MonthAccessed>
    <b:DayAccessed>17</b:DayAccessed>
    <b:DOI>https://doi.org/10.1016/j.ijinfomgt.2019.07.018</b:DOI>
    <b:RefOrder>593</b:RefOrder>
  </b:Source>
  <b:Source>
    <b:Tag>Wan16</b:Tag>
    <b:SourceType>JournalArticle</b:SourceType>
    <b:Guid>{CC9E661B-31AB-43E1-BF72-D646475B0099}</b:Guid>
    <b:Title>Antecedents of emotional attachment of social media users</b:Title>
    <b:JournalName>THE SERVICE INDUSTRIES JOURNAL</b:JournalName>
    <b:Year>2016</b:Year>
    <b:Pages>438-451</b:Pages>
    <b:Publisher>London: Routledge</b:Publisher>
    <b:Volume>36</b:Volume>
    <b:Issue>9</b:Issue>
    <b:YearAccessed>2023</b:YearAccessed>
    <b:MonthAccessed>02</b:MonthAccessed>
    <b:DayAccessed>22</b:DayAccessed>
    <b:DOI>10.1080/02642069.2016.1248419</b:DOI>
    <b:Author>
      <b:Author>
        <b:NameList>
          <b:Person>
            <b:Last>Wang</b:Last>
            <b:First>Tien</b:First>
          </b:Person>
          <b:Person>
            <b:Last>Yeh</b:Last>
            <b:Middle>Keng-Jung</b:Middle>
            <b:First>Ralph </b:First>
          </b:Person>
          <b:Person>
            <b:Last>Yen</b:Last>
            <b:Middle>C.</b:Middle>
            <b:First>David </b:First>
          </b:Person>
          <b:Person>
            <b:Last>Sandoya</b:Last>
            <b:Middle>Gabrielle </b:Middle>
            <b:First>Mirhanna </b:First>
          </b:Person>
        </b:NameList>
      </b:Author>
    </b:Author>
    <b:RefOrder>428</b:RefOrder>
  </b:Source>
  <b:Source>
    <b:Tag>Wan18</b:Tag>
    <b:SourceType>JournalArticle</b:SourceType>
    <b:Guid>{E6520388-347F-431B-B670-0761ECEA4C38}</b:Guid>
    <b:Title>Communicating corporate social responsibility (CSR) on social media: How do message source and types of CSR messages influence stakeholders’ perceptions?</b:Title>
    <b:JournalName>Corporate Communications: An International Journal</b:JournalName>
    <b:Year>2018</b:Year>
    <b:Pages>326-341</b:Pages>
    <b:Author>
      <b:Author>
        <b:NameList>
          <b:Person>
            <b:Last>Wang</b:Last>
            <b:First>Ruoxu </b:First>
          </b:Person>
          <b:Person>
            <b:Last>Huang </b:Last>
            <b:First>Yan </b:First>
          </b:Person>
        </b:NameList>
      </b:Author>
    </b:Author>
    <b:Month>05</b:Month>
    <b:Day>30</b:Day>
    <b:Publisher>Emerald Publishing Limited</b:Publisher>
    <b:Volume>23</b:Volume>
    <b:Issue>3</b:Issue>
    <b:YearAccessed>2023</b:YearAccessed>
    <b:MonthAccessed>06</b:MonthAccessed>
    <b:DayAccessed>03</b:DayAccessed>
    <b:DOI>https://doi.org/10.1108/CCIJ-07-2017-0067</b:DOI>
    <b:RefOrder>92</b:RefOrder>
  </b:Source>
  <b:Source>
    <b:Tag>Wal18</b:Tag>
    <b:SourceType>InternetSite</b:SourceType>
    <b:Guid>{81706396-A41E-44B0-B82A-312F65116500}</b:Guid>
    <b:Title>3 Types Of Transcription: Edited, Verbatim, And Intelligent</b:Title>
    <b:Year>2018</b:Year>
    <b:InternetSiteTitle>New Media Services</b:InternetSiteTitle>
    <b:Month>06</b:Month>
    <b:Day>01</b:Day>
    <b:URL>https://newmediaservices.com.au/types-of-transcription/</b:URL>
    <b:Author>
      <b:Author>
        <b:NameList>
          <b:Person>
            <b:Last>Walker</b:Last>
            <b:First>Stephanie </b:First>
          </b:Person>
        </b:NameList>
      </b:Author>
    </b:Author>
    <b:RefOrder>997</b:RefOrder>
  </b:Source>
  <b:Source>
    <b:Tag>Wal20</b:Tag>
    <b:SourceType>JournalArticle</b:SourceType>
    <b:Guid>{51D3E4C4-7695-421A-8E6F-787350005461}</b:Guid>
    <b:Title>Judgments of a product’s quality and perceptions of user experience can be mediated by brief messaging that matches the person’s pre-existing attitudes</b:Title>
    <b:JournalName>Sec. Environmental Psychology</b:JournalName>
    <b:Year>2020</b:Year>
    <b:Author>
      <b:Author>
        <b:NameList>
          <b:Person>
            <b:Last>Walker</b:Last>
            <b:First>Ian</b:First>
          </b:Person>
          <b:Person>
            <b:Last>Thomas</b:Last>
            <b:Middle>O.</b:Middle>
            <b:First>Gregory </b:First>
          </b:Person>
          <b:Person>
            <b:Last>Natarajan</b:Last>
            <b:First>Sukumar </b:First>
          </b:Person>
          <b:Person>
            <b:Last>Holt</b:Last>
            <b:First>Nigel </b:First>
          </b:Person>
        </b:NameList>
      </b:Author>
    </b:Author>
    <b:Month>06</b:Month>
    <b:Day>09</b:Day>
    <b:YearAccessed>2022</b:YearAccessed>
    <b:MonthAccessed>11</b:MonthAccessed>
    <b:DayAccessed>05</b:DayAccessed>
    <b:DOI>https://doi.org/10.3389/fpsyg.2020.01261</b:DOI>
    <b:RefOrder>1064</b:RefOrder>
  </b:Source>
  <b:Source>
    <b:Tag>Wah23</b:Tag>
    <b:SourceType>JournalArticle</b:SourceType>
    <b:Guid>{E97C5CC6-524D-4842-BBBA-E84BA5629A96}</b:Guid>
    <b:Title>Assumptions for Structure Equation Modeling (SEM), Normality of Data Distribution Analysis &amp; Model Fit Measures</b:Title>
    <b:JournalName>Journal of Clinical Epidemiology &amp; Toxicology</b:JournalName>
    <b:Year>2023</b:Year>
    <b:Month>03</b:Month>
    <b:Day>20</b:Day>
    <b:Volume>4</b:Volume>
    <b:Issue>1</b:Issue>
    <b:YearAccessed>2023</b:YearAccessed>
    <b:MonthAccessed>06</b:MonthAccessed>
    <b:DayAccessed>05</b:DayAccessed>
    <b:URL>https://www.onlinescientificresearch.com/articles/assumptions-for-structure-equation-modeling-sem-normality-of-data-distribution-analysis-amp-model-fit-measures.pdf</b:URL>
    <b:Author>
      <b:Author>
        <b:NameList>
          <b:Person>
            <b:Last>Wah</b:Last>
            <b:Middle>Kok </b:Middle>
            <b:First>Ng </b:First>
          </b:Person>
          <b:Person>
            <b:Last>Fitriana</b:Last>
            <b:First>Mimi </b:First>
          </b:Person>
          <b:Person>
            <b:Last>Arumugam</b:Last>
            <b:First>Thilageswary </b:First>
          </b:Person>
        </b:NameList>
      </b:Author>
    </b:Author>
    <b:RefOrder>940</b:RefOrder>
  </b:Source>
  <b:Source>
    <b:Tag>Vre18</b:Tag>
    <b:SourceType>JournalArticle</b:SourceType>
    <b:Guid>{6990BC95-C633-4AC0-BE90-BE1EC5C5B75E}</b:Guid>
    <b:Title>Emotional intelligence, external emotional connections and brand attachment</b:Title>
    <b:JournalName>Journal of Product &amp; Brand Management</b:JournalName>
    <b:Year>2018</b:Year>
    <b:Pages>545-556</b:Pages>
    <b:Author>
      <b:Author>
        <b:NameList>
          <b:Person>
            <b:Last>Vredeveld</b:Last>
            <b:Middle>J.</b:Middle>
            <b:First>Anna </b:First>
          </b:Person>
        </b:NameList>
      </b:Author>
    </b:Author>
    <b:Month>11</b:Month>
    <b:Day>15</b:Day>
    <b:Volume>27</b:Volume>
    <b:Issue>05</b:Issue>
    <b:YearAccessed>2022</b:YearAccessed>
    <b:MonthAccessed>04</b:MonthAccessed>
    <b:DayAccessed>07</b:DayAccessed>
    <b:DOI>https://doi.org/10.1108/JPBM-10-2017-1613</b:DOI>
    <b:RefOrder>1065</b:RefOrder>
  </b:Source>
  <b:Source>
    <b:Tag>Vra21</b:Tag>
    <b:SourceType>JournalArticle</b:SourceType>
    <b:Guid>{70485FAC-965D-4CF8-9802-F46C9DC7C70E}</b:Guid>
    <b:Title>News literacy, social media behaviors, and skepticism toward information on social media</b:Title>
    <b:JournalName>Information, Communication &amp; Society</b:JournalName>
    <b:Year>2021</b:Year>
    <b:Pages>150-166</b:Pages>
    <b:Volume>24</b:Volume>
    <b:Issue>2</b:Issue>
    <b:YearAccessed>2023</b:YearAccessed>
    <b:MonthAccessed>02</b:MonthAccessed>
    <b:DayAccessed>22</b:DayAccessed>
    <b:DOI>https://doi.org/10.1080/1369118X.2019.1637445</b:DOI>
    <b:Author>
      <b:Author>
        <b:NameList>
          <b:Person>
            <b:Last>Vraga</b:Last>
            <b:Middle>K.</b:Middle>
            <b:First>Emily </b:First>
          </b:Person>
          <b:Person>
            <b:Last>Tully</b:Last>
            <b:First>Melissa </b:First>
          </b:Person>
        </b:NameList>
      </b:Author>
    </b:Author>
    <b:RefOrder>431</b:RefOrder>
  </b:Source>
  <b:Source>
    <b:Tag>Voo18</b:Tag>
    <b:SourceType>JournalArticle</b:SourceType>
    <b:Guid>{FB728625-509E-46AD-A9DE-077CC801E003}</b:Guid>
    <b:Title>Engagement with Social Media and Social Media Advertising: The Differentiating Role of Platform Type</b:Title>
    <b:JournalName>Journal of Advertising</b:JournalName>
    <b:Year>2018</b:Year>
    <b:Pages>38-54</b:Pages>
    <b:Author>
      <b:Author>
        <b:NameList>
          <b:Person>
            <b:Last>Voorveld</b:Last>
            <b:Middle>A. M.</b:Middle>
            <b:First>Hilde </b:First>
          </b:Person>
          <b:Person>
            <b:Last>Noort</b:Last>
            <b:Middle>van</b:Middle>
            <b:First>Guda </b:First>
          </b:Person>
          <b:Person>
            <b:Last>Muntinga</b:Last>
            <b:Middle>G.</b:Middle>
            <b:First>Daniël </b:First>
          </b:Person>
          <b:Person>
            <b:Last>Bronner</b:Last>
            <b:First>Fred </b:First>
          </b:Person>
        </b:NameList>
      </b:Author>
    </b:Author>
    <b:Month>02</b:Month>
    <b:Day>13</b:Day>
    <b:Volume>47</b:Volume>
    <b:Issue>1</b:Issue>
    <b:YearAccessed>2022</b:YearAccessed>
    <b:MonthAccessed>11</b:MonthAccessed>
    <b:DayAccessed>22</b:DayAccessed>
    <b:DOI>ttps://doi.org/10.1080/00913367.2017.1405754</b:DOI>
    <b:RefOrder>417</b:RefOrder>
  </b:Source>
  <b:Source>
    <b:Tag>Voo19</b:Tag>
    <b:SourceType>JournalArticle</b:SourceType>
    <b:Guid>{AD282E5C-C454-4A3C-83EB-A24EE75CAB74}</b:Guid>
    <b:Title>Brand Communication in Social Media: A Research Agenda</b:Title>
    <b:JournalName>Journal of Advertising</b:JournalName>
    <b:Year>2019</b:Year>
    <b:Pages>14-26</b:Pages>
    <b:Month>04</b:Month>
    <b:Day>09</b:Day>
    <b:Volume>48</b:Volume>
    <b:Issue>1</b:Issue>
    <b:YearAccessed>2023</b:YearAccessed>
    <b:MonthAccessed>02</b:MonthAccessed>
    <b:DayAccessed>28</b:DayAccessed>
    <b:DOI>https://doi.org/10.1080/00913367.2019.1588808</b:DOI>
    <b:Author>
      <b:Author>
        <b:NameList>
          <b:Person>
            <b:Last>Voorveld</b:Last>
            <b:Middle>A.M.</b:Middle>
            <b:First>Hilde </b:First>
          </b:Person>
        </b:NameList>
      </b:Author>
    </b:Author>
    <b:RefOrder>418</b:RefOrder>
  </b:Source>
  <b:Source>
    <b:Tag>VoT19</b:Tag>
    <b:SourceType>JournalArticle</b:SourceType>
    <b:Guid>{1C68DE7E-C4E2-438A-963B-5FFD34ECB0AA}</b:Guid>
    <b:Title>How does corporate social Responsibility Engagement Influence Word of Mouth on Twitter? Evidence from the Airline Industry</b:Title>
    <b:Year>2019</b:Year>
    <b:JournalName>Journal of Business Ethics</b:JournalName>
    <b:Month>06</b:Month>
    <b:Volume>157</b:Volume>
    <b:Issue>01</b:Issue>
    <b:YearAccessed>2022</b:YearAccessed>
    <b:MonthAccessed>10</b:MonthAccessed>
    <b:DayAccessed>06</b:DayAccessed>
    <b:DOI>10.1007/s10551-017-3679-z</b:DOI>
    <b:Author>
      <b:Author>
        <b:NameList>
          <b:Person>
            <b:Last>Vo</b:Last>
            <b:Middle>Thien </b:Middle>
            <b:First>Tam </b:First>
          </b:Person>
          <b:Person>
            <b:Last>Xiao</b:Last>
            <b:First>Xinning </b:First>
          </b:Person>
          <b:Person>
            <b:Last>Ho</b:Last>
            <b:Middle>Ying</b:Middle>
            <b:First>Shuk </b:First>
          </b:Person>
        </b:NameList>
      </b:Author>
    </b:Author>
    <b:RefOrder>141</b:RefOrder>
  </b:Source>
  <b:Source>
    <b:Tag>Vla09</b:Tag>
    <b:SourceType>JournalArticle</b:SourceType>
    <b:Guid>{DC13F8B0-9EB9-488F-AC15-B3D0EB235947}</b:Guid>
    <b:Title>Corporate social responsibility: attributions, loyalty, and the mediating role of trust.</b:Title>
    <b:JournalName>Journal of the Academy of Marketing Science volume</b:JournalName>
    <b:Year>2009</b:Year>
    <b:Pages>170-180</b:Pages>
    <b:Month>06</b:Month>
    <b:Volume>37</b:Volume>
    <b:YearAccessed>2023</b:YearAccessed>
    <b:MonthAccessed>02</b:MonthAccessed>
    <b:DayAccessed>18</b:DayAccessed>
    <b:DOI>https://doi.org/10.1007/s11747-008-0117-x</b:DOI>
    <b:Author>
      <b:Author>
        <b:NameList>
          <b:Person>
            <b:Last>Vlachos</b:Last>
            <b:Middle>A.</b:Middle>
            <b:First>Pavlos </b:First>
          </b:Person>
          <b:Person>
            <b:Last>Tsamakos</b:Last>
            <b:First>Argiris </b:First>
          </b:Person>
          <b:Person>
            <b:Last>Vrechopoulos</b:Last>
            <b:Middle>P.</b:Middle>
            <b:First>Adam </b:First>
          </b:Person>
          <b:Person>
            <b:Last>Avramidis </b:Last>
            <b:Middle>K.</b:Middle>
            <b:First>Panagiotis </b:First>
          </b:Person>
        </b:NameList>
      </b:Author>
    </b:Author>
    <b:RefOrder>328</b:RefOrder>
  </b:Source>
  <b:Source>
    <b:Tag>Vie221</b:Tag>
    <b:SourceType>JournalArticle</b:SourceType>
    <b:Guid>{CCC0FB37-815B-4ED9-BC7D-F5E6F4F2751C}</b:Guid>
    <b:Title>The paradoxical effects of communicating CSR activities: Why CSR communication has both positive and negative effects on the perception of a company’s social responsibility</b:Title>
    <b:JournalName>Public Relations Review</b:JournalName>
    <b:Year>2022</b:Year>
    <b:Month>03</b:Month>
    <b:Publisher>ElSevier</b:Publisher>
    <b:Volume>48</b:Volume>
    <b:Issue>1</b:Issue>
    <b:YearAccessed>2022</b:YearAccessed>
    <b:MonthAccessed>11</b:MonthAccessed>
    <b:DayAccessed>20</b:DayAccessed>
    <b:DOI>https://doi.org/10.1016/j.pubrev.2021.102134</b:DOI>
    <b:Author>
      <b:Author>
        <b:NameList>
          <b:Person>
            <b:Last>Viererbl</b:Last>
            <b:First>Benno</b:First>
          </b:Person>
          <b:Person>
            <b:Last>Koch</b:Last>
            <b:First>Thomas</b:First>
          </b:Person>
        </b:NameList>
      </b:Author>
    </b:Author>
    <b:RefOrder>1066</b:RefOrder>
  </b:Source>
  <b:Source>
    <b:Tag>Vie22</b:Tag>
    <b:SourceType>JournalArticle</b:SourceType>
    <b:Guid>{29CD95B7-BC0D-4098-A81C-1BF4ECAAB3C0}</b:Guid>
    <b:Title>The paradoxical effects of communicating CSR activities: Why CSR communication has both positive and negative effects on the perception of a company’s social responsibility</b:Title>
    <b:JournalName>Public Relations Review</b:JournalName>
    <b:Year>2022</b:Year>
    <b:Volume>48</b:Volume>
    <b:Issue>1</b:Issue>
    <b:Month>03</b:Month>
    <b:YearAccessed>2022</b:YearAccessed>
    <b:MonthAccessed>01</b:MonthAccessed>
    <b:DayAccessed>23</b:DayAccessed>
    <b:DOI>https://doi.org/10.1016/j.pubrev.2021.102134</b:DOI>
    <b:Author>
      <b:Author>
        <b:NameList>
          <b:Person>
            <b:Last>Viererbl</b:Last>
            <b:First>Benno</b:First>
          </b:Person>
          <b:Person>
            <b:Last>Koch</b:Last>
            <b:First>Thomas</b:First>
          </b:Person>
        </b:NameList>
      </b:Author>
    </b:Author>
    <b:RefOrder>404</b:RefOrder>
  </b:Source>
  <b:Source>
    <b:Tag>Vie13</b:Tag>
    <b:SourceType>JournalArticle</b:SourceType>
    <b:Guid>{926BC432-E09E-4C9F-B0A6-526694C3021B}</b:Guid>
    <b:Title>Stimuli–organism-response framework: A meta-analytic review in the store environment</b:Title>
    <b:JournalName>Journal of Business Research</b:JournalName>
    <b:Year>2013</b:Year>
    <b:Pages>1420-1426</b:Pages>
    <b:Month>09</b:Month>
    <b:Volume>66</b:Volume>
    <b:Issue>9</b:Issue>
    <b:YearAccessed>2023</b:YearAccessed>
    <b:MonthAccessed>03</b:MonthAccessed>
    <b:DayAccessed>10</b:DayAccessed>
    <b:DOI>https://doi.org/10.1016/j.jbusres.2012.05.009</b:DOI>
    <b:Author>
      <b:Author>
        <b:NameList>
          <b:Person>
            <b:Last>Vieira</b:Last>
            <b:Middle>Afonso </b:Middle>
            <b:First>Valter </b:First>
          </b:Person>
        </b:NameList>
      </b:Author>
    </b:Author>
    <b:RefOrder>622</b:RefOrder>
  </b:Source>
  <b:Source>
    <b:Tag>Vet19</b:Tag>
    <b:SourceType>JournalArticle</b:SourceType>
    <b:Guid>{26640748-8050-4E23-A92D-C4BAB03267FA}</b:Guid>
    <b:Title>IMPACT OF CSR ON FMCG COMPANIES – CONSUMERS’ PERSPECTIVE</b:Title>
    <b:JournalName>Journal of Interdisciplinary and Multidisciplinary Research</b:JournalName>
    <b:Year>2019</b:Year>
    <b:Pages>454-475</b:Pages>
    <b:Volume>12</b:Volume>
    <b:Issue>11</b:Issue>
    <b:Month>11</b:Month>
    <b:YearAccessed>2021</b:YearAccessed>
    <b:MonthAccessed>12</b:MonthAccessed>
    <b:DayAccessed>25</b:DayAccessed>
    <b:URL>https://www.researchgate.net/profile/Vethirajan-c/publication/338503166_IMPACT_OF_CSR_ON_FMCG_COMPANIES_-CONSUMERS'_PERSPECTIVE/links/5e185bee4585159aa4c35883/IMPACT-OF-CSR-ON-FMCG-COMPANIES-CONSUMERS-PERSPECTIVE.pdf</b:URL>
    <b:Author>
      <b:Author>
        <b:NameList>
          <b:Person>
            <b:Last>Vethirajan</b:Last>
            <b:First>C</b:First>
          </b:Person>
          <b:Person>
            <b:Last>Ramu</b:Last>
            <b:First>C</b:First>
          </b:Person>
        </b:NameList>
      </b:Author>
    </b:Author>
    <b:RefOrder>155</b:RefOrder>
  </b:Source>
  <b:Source>
    <b:Tag>Ver08</b:Tag>
    <b:SourceType>JournalArticle</b:SourceType>
    <b:Guid>{E4DB4723-6DA1-40CE-ACA0-E0C993F54B6B}</b:Guid>
    <b:Title>Sustainable food consumption among young adults in Belgium: Theory of planned behaviour and the role of confidence and values</b:Title>
    <b:JournalName>Ecological Economics</b:JournalName>
    <b:Year>2008</b:Year>
    <b:Pages>542-553</b:Pages>
    <b:Month>01</b:Month>
    <b:Volume>64</b:Volume>
    <b:Issue>3</b:Issue>
    <b:YearAccessed>2023</b:YearAccessed>
    <b:MonthAccessed>04</b:MonthAccessed>
    <b:DayAccessed>28</b:DayAccessed>
    <b:DOI>https://doi.org/10.1016/j.ecolecon.2007.03.007</b:DOI>
    <b:Author>
      <b:Author>
        <b:NameList>
          <b:Person>
            <b:Last>Vermeir</b:Last>
            <b:First>Iris </b:First>
          </b:Person>
          <b:Person>
            <b:Last>Verbeke</b:Last>
            <b:First>Wim </b:First>
          </b:Person>
        </b:NameList>
      </b:Author>
    </b:Author>
    <b:RefOrder>353</b:RefOrder>
  </b:Source>
  <b:Source>
    <b:Tag>Ver14</b:Tag>
    <b:SourceType>Report</b:SourceType>
    <b:Guid>{AB378CFA-1171-431A-ADA5-F8D368054AC6}</b:Guid>
    <b:Title>Inside Inequality in the Arab Republic of Egypt. Facts and Perceptions across People.</b:Title>
    <b:Year>2014</b:Year>
    <b:Publisher> International Bank for Reconstruction and Development / The World Bank</b:Publisher>
    <b:Author>
      <b:Author>
        <b:NameList>
          <b:Person>
            <b:Last>Verme</b:Last>
            <b:First>Paolo </b:First>
          </b:Person>
          <b:Person>
            <b:Last>Milanovic</b:Last>
            <b:First>Branko </b:First>
          </b:Person>
          <b:Person>
            <b:Last>Al-Shawarby</b:Last>
            <b:First>Sherine </b:First>
          </b:Person>
          <b:Person>
            <b:Last> El Tawila</b:Last>
            <b:First>Sahar</b:First>
          </b:Person>
          <b:Person>
            <b:Last>Gadallah</b:Last>
            <b:First>May </b:First>
          </b:Person>
          <b:Person>
            <b:Last>.El-Majeed</b:Last>
            <b:Middle>Ali A.</b:Middle>
            <b:First>Enas </b:First>
          </b:Person>
        </b:NameList>
      </b:Author>
    </b:Author>
    <b:YearAccessed>2023</b:YearAccessed>
    <b:MonthAccessed>08</b:MonthAccessed>
    <b:DayAccessed>13</b:DayAccessed>
    <b:DOI>http://dx.doi.org/10.1596/978-1-4648-0198-3</b:DOI>
    <b:RefOrder>1067</b:RefOrder>
  </b:Source>
  <b:Source>
    <b:Tag>Ver23</b:Tag>
    <b:SourceType>JournalArticle</b:SourceType>
    <b:Guid>{F0F49B19-E7B7-45DE-943F-39148C765763}</b:Guid>
    <b:Title>Consumer Decision-Making Rules for FMCG Products—Study of Rural in North India</b:Title>
    <b:JournalName>Economies</b:JournalName>
    <b:Year>2023</b:Year>
    <b:Month>01</b:Month>
    <b:Day>12</b:Day>
    <b:Volume>11</b:Volume>
    <b:Issue>1</b:Issue>
    <b:YearAccessed>2023</b:YearAccessed>
    <b:MonthAccessed>02</b:MonthAccessed>
    <b:DayAccessed>22</b:DayAccessed>
    <b:DOI>https://doi.org/10.3390/economies11010026</b:DOI>
    <b:Author>
      <b:Author>
        <b:NameList>
          <b:Person>
            <b:Last>Verma</b:Last>
            <b:First>Suraj</b:First>
          </b:Person>
          <b:Person>
            <b:Last>Rojhe</b:Last>
            <b:Middle>Chand </b:Middle>
            <b:First>Kuldeep </b:First>
          </b:Person>
          <b:Person>
            <b:Last>Horská </b:Last>
            <b:First>Elena </b:First>
          </b:Person>
          <b:Person>
            <b:Last>Sharma</b:Last>
            <b:First>Somesh</b:First>
          </b:Person>
          <b:Person>
            <b:Last>Šedík </b:Last>
            <b:First>Peter </b:First>
          </b:Person>
        </b:NameList>
      </b:Author>
    </b:Author>
    <b:RefOrder>16</b:RefOrder>
  </b:Source>
  <b:Source>
    <b:Tag>Ver11</b:Tag>
    <b:SourceType>JournalArticle</b:SourceType>
    <b:Guid>{B96BBFC8-0160-4AA4-9719-002B45240A64}</b:Guid>
    <b:Title>The influence of online store beliefs on consumer online impulse buying: A model and empirical application</b:Title>
    <b:JournalName>Information &amp; Management</b:JournalName>
    <b:Year>2011</b:Year>
    <b:Pages>320-327</b:Pages>
    <b:Month>12</b:Month>
    <b:Volume>48</b:Volume>
    <b:Issue>8</b:Issue>
    <b:YearAccessed>2023</b:YearAccessed>
    <b:MonthAccessed>02</b:MonthAccessed>
    <b:DayAccessed>28</b:DayAccessed>
    <b:DOI>https://doi.org/10.1016/j.im.2011.08.001</b:DOI>
    <b:Author>
      <b:Author>
        <b:NameList>
          <b:Person>
            <b:Last>Verhagen</b:Last>
            <b:First>Tibert </b:First>
          </b:Person>
          <b:Person>
            <b:Last>van Dolen</b:Last>
            <b:First>Willemijn </b:First>
          </b:Person>
        </b:NameList>
      </b:Author>
    </b:Author>
    <b:RefOrder>530</b:RefOrder>
  </b:Source>
  <b:Source>
    <b:Tag>Ver21</b:Tag>
    <b:SourceType>JournalArticle</b:SourceType>
    <b:Guid>{D365AA55-5E5E-4F2A-A4E6-C7BFAFBD0971}</b:Guid>
    <b:Title>Reducing meat consumption at work and at home: facilitators and barriers that influence contextual spillover</b:Title>
    <b:JournalName>Journal of Marketing Management</b:JournalName>
    <b:Year>2021</b:Year>
    <b:Pages>671-702</b:Pages>
    <b:Author>
      <b:Author>
        <b:NameList>
          <b:Person>
            <b:Last>Verfuerth</b:Last>
            <b:First>Caroline </b:First>
          </b:Person>
          <b:Person>
            <b:Last>Gregory-Smith</b:Last>
            <b:First>Diana </b:First>
          </b:Person>
          <b:Person>
            <b:Last>Oates</b:Last>
            <b:Middle>J.</b:Middle>
            <b:First>Caroline </b:First>
          </b:Person>
          <b:Person>
            <b:Last>Jones</b:Last>
            <b:Middle>R.</b:Middle>
            <b:First>Christopher </b:First>
          </b:Person>
          <b:Person>
            <b:Last>Alevizou</b:Last>
            <b:First>Panayiota </b:First>
          </b:Person>
        </b:NameList>
      </b:Author>
    </b:Author>
    <b:Month>03</b:Month>
    <b:Day>02</b:Day>
    <b:Volume>37</b:Volume>
    <b:Issue>7-8</b:Issue>
    <b:YearAccessed>2022</b:YearAccessed>
    <b:MonthAccessed>11</b:MonthAccessed>
    <b:DayAccessed>05</b:DayAccessed>
    <b:DOI>https://doi.org/10.1080/0267257X.2021.1888773</b:DOI>
    <b:RefOrder>1068</b:RefOrder>
  </b:Source>
  <b:Source>
    <b:Tag>Ver211</b:Tag>
    <b:SourceType>JournalArticle</b:SourceType>
    <b:Guid>{B66F764C-8E87-4226-ABC6-4A65EF19C6FE}</b:Guid>
    <b:Title>What you need to know about scoping reviews</b:Title>
    <b:JournalName>Medwave</b:JournalName>
    <b:Year>2021</b:Year>
    <b:Month>03</b:Month>
    <b:Day>20</b:Day>
    <b:Issue>2</b:Issue>
    <b:YearAccessed>2023</b:YearAccessed>
    <b:MonthAccessed>02</b:MonthAccessed>
    <b:DayAccessed>03</b:DayAccessed>
    <b:URL>https://pubmed.ncbi.nlm.nih.gov/33914717/#:~:text=The%20scoping%20review%20is%20a,a%20rigorous%20and%20reproducible%20method.</b:URL>
    <b:DOI>10.5867/medwave.2021.02.8144</b:DOI>
    <b:Author>
      <b:Author>
        <b:NameList>
          <b:Person>
            <b:Last>Verdejo</b:Last>
            <b:First>Catalina </b:First>
          </b:Person>
          <b:Person>
            <b:Last>Tapia-Benavente</b:Last>
            <b:First>Luis </b:First>
          </b:Person>
          <b:Person>
            <b:Last>Schuller-Martínez</b:Last>
            <b:First>Bastián </b:First>
          </b:Person>
          <b:Person>
            <b:Last>Vergara-Merino</b:Last>
            <b:First>Laura </b:First>
          </b:Person>
          <b:Person>
            <b:Last>Vargas-Peirano</b:Last>
            <b:First>Manuel </b:First>
          </b:Person>
          <b:Person>
            <b:Last>Silva-Dreyer</b:Last>
            <b:First>Ana María </b:First>
          </b:Person>
        </b:NameList>
      </b:Author>
    </b:Author>
    <b:RefOrder>1069</b:RefOrder>
  </b:Source>
  <b:Source>
    <b:Tag>Ven15</b:Tag>
    <b:SourceType>JournalArticle</b:SourceType>
    <b:Guid>{8145C572-2B14-47D5-923E-0D0811019196}</b:Guid>
    <b:Title>Predicting Advertising success beyond Traditional Measures: New Insights from Neurophysiological Methods and Market Response Modeling</b:Title>
    <b:JournalName>Journal of Marketing Research</b:JournalName>
    <b:Year>2015</b:Year>
    <b:Month>08</b:Month>
    <b:Day>01</b:Day>
    <b:Publisher>SAGE Journals</b:Publisher>
    <b:Volume>52</b:Volume>
    <b:Issue>04</b:Issue>
    <b:YearAccessed>2022</b:YearAccessed>
    <b:MonthAccessed>10</b:MonthAccessed>
    <b:DayAccessed>01</b:DayAccessed>
    <b:URL>https://doi.org/10.1509/jmr.13.0593</b:URL>
    <b:Author>
      <b:Author>
        <b:NameList>
          <b:Person>
            <b:Last>Venkatraman</b:Last>
            <b:First>Vinod </b:First>
          </b:Person>
          <b:Person>
            <b:Last>Dimoka</b:Last>
            <b:First>Angelika </b:First>
          </b:Person>
          <b:Person>
            <b:Last>Pavlou</b:Last>
            <b:Middle>A.</b:Middle>
            <b:First>Paul </b:First>
          </b:Person>
          <b:Person>
            <b:Last>Vo</b:Last>
            <b:First>Khoi </b:First>
          </b:Person>
          <b:Person>
            <b:Last>Hampton</b:Last>
            <b:First>William </b:First>
          </b:Person>
          <b:Person>
            <b:Last>Bollinger</b:Last>
            <b:First>Bryan </b:First>
          </b:Person>
          <b:Person>
            <b:Last>Hershfield</b:Last>
            <b:Middle>E.</b:Middle>
            <b:First>Hal </b:First>
          </b:Person>
          <b:Person>
            <b:Last>Ishihara</b:Last>
            <b:First>Masakazu </b:First>
          </b:Person>
          <b:Person>
            <b:Last>Winer</b:Last>
            <b:Middle>S.</b:Middle>
            <b:First>Russell </b:First>
          </b:Person>
        </b:NameList>
      </b:Author>
    </b:Author>
    <b:RefOrder>1070</b:RefOrder>
  </b:Source>
  <b:Source>
    <b:Tag>Ven08</b:Tag>
    <b:SourceType>JournalArticle</b:SourceType>
    <b:Guid>{B7F404D5-0706-44DA-9313-F27B09BC197D}</b:Guid>
    <b:Title>Predicting Advertising success beyond Traditional Measures: New Insights from Neurophysiological Methods and Market Response Modeling</b:Title>
    <b:Year>2015</b:Year>
    <b:JournalName>Journal of Marketing Research</b:JournalName>
    <b:Month>08</b:Month>
    <b:Volume>52</b:Volume>
    <b:Issue>04</b:Issue>
    <b:YearAccessed>2022</b:YearAccessed>
    <b:MonthAccessed>03</b:MonthAccessed>
    <b:DayAccessed>05</b:DayAccessed>
    <b:DOI>https://doi.org/10.1509/jmr.13.0593</b:DOI>
    <b:Author>
      <b:Author>
        <b:NameList>
          <b:Person>
            <b:Last>Venkatraman</b:Last>
            <b:First>Vinod</b:First>
          </b:Person>
          <b:Person>
            <b:Last>Dimoka</b:Last>
            <b:First>Angelika</b:First>
          </b:Person>
          <b:Person>
            <b:Last>Pavlou</b:Last>
            <b:Middle>A</b:Middle>
            <b:First>Paul</b:First>
          </b:Person>
          <b:Person>
            <b:Last>Vo</b:Last>
            <b:First>Khoi</b:First>
          </b:Person>
          <b:Person>
            <b:Last>Hampton</b:Last>
            <b:First>William</b:First>
          </b:Person>
          <b:Person>
            <b:Last>Bollinger</b:Last>
            <b:First>Bryan</b:First>
          </b:Person>
          <b:Person>
            <b:Last>Bollinger</b:Last>
            <b:Middle>E</b:Middle>
            <b:First>Hal</b:First>
          </b:Person>
          <b:Person>
            <b:Last>Ishihara</b:Last>
            <b:First>Masakazu </b:First>
          </b:Person>
          <b:Person>
            <b:Last>Masakazu </b:Last>
            <b:Middle>S</b:Middle>
            <b:First>Russell</b:First>
          </b:Person>
        </b:NameList>
      </b:Author>
    </b:Author>
    <b:Day>01</b:Day>
    <b:RefOrder>1071</b:RefOrder>
  </b:Source>
  <b:Source>
    <b:Tag>Ven14</b:Tag>
    <b:SourceType>JournalArticle</b:SourceType>
    <b:Guid>{AC870522-AC58-4B34-9D27-2974A23744BF}</b:Guid>
    <b:Title>An overall probability of winning heuristic for complex risky decisions: Choice and eye fixation evidence</b:Title>
    <b:JournalName>Organizational Behavior and Human Decision Processes</b:JournalName>
    <b:Year>2014</b:Year>
    <b:Pages>73-87</b:Pages>
    <b:Author>
      <b:Author>
        <b:NameList>
          <b:Person>
            <b:Last>Venkatraman</b:Last>
            <b:First>Vinod</b:First>
          </b:Person>
          <b:Person>
            <b:Last>Payne</b:Last>
            <b:Middle>W.</b:Middle>
            <b:First>John</b:First>
          </b:Person>
          <b:Person>
            <b:Last>Huettel</b:Last>
            <b:Middle>A.</b:Middle>
            <b:First>Scott</b:First>
          </b:Person>
        </b:NameList>
      </b:Author>
    </b:Author>
    <b:Month>11</b:Month>
    <b:Volume>125</b:Volume>
    <b:Issue>02</b:Issue>
    <b:YearAccessed>2022</b:YearAccessed>
    <b:MonthAccessed>03</b:MonthAccessed>
    <b:DayAccessed>05</b:DayAccessed>
    <b:DOI>https://doi.org/10.1016/j.obhdp.2014.06.003</b:DOI>
    <b:RefOrder>1072</b:RefOrder>
  </b:Source>
  <b:Source>
    <b:Tag>van17</b:Tag>
    <b:SourceType>JournalArticle</b:SourceType>
    <b:Guid>{32998ED1-D9F9-43E1-89DF-92A8F2E75B7E}</b:Guid>
    <b:Title>How Does It Fit? Exploring the Congruence Between Organizations and Their Corporate Social Responsibility (CSR) Activities</b:Title>
    <b:JournalName>Journal of Business Ethics</b:JournalName>
    <b:Year>2017</b:Year>
    <b:Pages>71-83</b:Pages>
    <b:Author>
      <b:Author>
        <b:NameList>
          <b:Person>
            <b:Last>van der Meer</b:Last>
            <b:First>Mark</b:First>
          </b:Person>
          <b:Person>
            <b:Last>de Jong</b:Last>
            <b:Middle>D.T.</b:Middle>
            <b:First>Menno</b:First>
          </b:Person>
        </b:NameList>
      </b:Author>
    </b:Author>
    <b:Month>06</b:Month>
    <b:YearAccessed>2021</b:YearAccessed>
    <b:MonthAccessed>12</b:MonthAccessed>
    <b:DayAccessed>08</b:DayAccessed>
    <b:DOI>10.1007/s10551-015-2782-2</b:DOI>
    <b:RefOrder>388</b:RefOrder>
  </b:Source>
  <b:Source>
    <b:Tag>van18</b:Tag>
    <b:SourceType>Book</b:SourceType>
    <b:Guid>{295177CC-6BE7-4878-9B4B-E776302A9F5D}</b:Guid>
    <b:Title>Flexible Imputation of Missing Data</b:Title>
    <b:Year>2018</b:Year>
    <b:CountryRegion>Boca Raton</b:CountryRegion>
    <b:Edition>2nd</b:Edition>
    <b:YearAccessed>2023</b:YearAccessed>
    <b:MonthAccessed>06</b:MonthAccessed>
    <b:DayAccessed>05</b:DayAccessed>
    <b:DOI>https://doi.org/10.1201/9780429492259</b:DOI>
    <b:Author>
      <b:Author>
        <b:NameList>
          <b:Person>
            <b:Last>van Buuren</b:Last>
            <b:First>Stef </b:First>
          </b:Person>
        </b:NameList>
      </b:Author>
    </b:Author>
    <b:RefOrder>915</b:RefOrder>
  </b:Source>
  <b:Source>
    <b:Tag>Vai131</b:Tag>
    <b:SourceType>JournalArticle</b:SourceType>
    <b:Guid>{D74236B9-D335-490E-AD7D-357FF60462B0}</b:Guid>
    <b:Title>Content analysis and thematic analysis: Implications for conducting a qualitative descriptive study</b:Title>
    <b:JournalName>Nursing and Health Sciences </b:JournalName>
    <b:Year>2013</b:Year>
    <b:Pages>398-405</b:Pages>
    <b:Author>
      <b:Author>
        <b:NameList>
          <b:Person>
            <b:Last>Vaismoradi</b:Last>
            <b:First>Mojtaba </b:First>
          </b:Person>
          <b:Person>
            <b:Last>Turunen</b:Last>
            <b:First>Hannele </b:First>
          </b:Person>
          <b:Person>
            <b:Last>Bondas</b:Last>
            <b:First>Terese </b:First>
          </b:Person>
        </b:NameList>
      </b:Author>
    </b:Author>
    <b:Month>03</b:Month>
    <b:Day>11</b:Day>
    <b:Volume>15</b:Volume>
    <b:Issue>3</b:Issue>
    <b:DOI>https://doi.org/10.1111/nhs.12048</b:DOI>
    <b:RefOrder>989</b:RefOrder>
  </b:Source>
  <b:Source>
    <b:Tag>Vai13</b:Tag>
    <b:SourceType>JournalArticle</b:SourceType>
    <b:Guid>{3525137A-783B-47DC-B849-DAB1EB127CC9}</b:Guid>
    <b:Title>Content analysis and thematic analysis: Implications for conducting a qualitative descriptive study</b:Title>
    <b:JournalName>Nurs Health Sci</b:JournalName>
    <b:Year>2013</b:Year>
    <b:Pages>398-405</b:Pages>
    <b:Author>
      <b:Author>
        <b:NameList>
          <b:Person>
            <b:Last>Vaismoradi</b:Last>
            <b:First>Mojtaba </b:First>
          </b:Person>
          <b:Person>
            <b:Last>Turunen</b:Last>
            <b:First>Hannele </b:First>
          </b:Person>
          <b:Person>
            <b:Last>Bondas</b:Last>
            <b:First>Terese </b:First>
          </b:Person>
        </b:NameList>
      </b:Author>
    </b:Author>
    <b:Month>09</b:Month>
    <b:Volume>15</b:Volume>
    <b:Issue>3</b:Issue>
    <b:YearAccessed>2022</b:YearAccessed>
    <b:MonthAccessed>12</b:MonthAccessed>
    <b:DayAccessed>31</b:DayAccessed>
    <b:DOI>10.1111/nhs.12048</b:DOI>
    <b:RefOrder>466</b:RefOrder>
  </b:Source>
  <b:Source>
    <b:Tag>Utt19</b:Tag>
    <b:SourceType>JournalArticle</b:SourceType>
    <b:Guid>{86841AB0-550C-4751-A4BF-37564B1B273D}</b:Guid>
    <b:Title>Power Analysis, Sample Size, and Assessment of Statistical Assumptions—Improving the Evidential Value of Lighting Research</b:Title>
    <b:Year>2019</b:Year>
    <b:Pages>143-162</b:Pages>
    <b:JournalName>The Journal of the Illuminating Engineering Society</b:JournalName>
    <b:Volume>15</b:Volume>
    <b:Issue>2-3</b:Issue>
    <b:Month>01</b:Month>
    <b:Day>25</b:Day>
    <b:YearAccessed>2023</b:YearAccessed>
    <b:MonthAccessed>01</b:MonthAccessed>
    <b:DayAccessed>16</b:DayAccessed>
    <b:DOI>https://doi.org/10.1080/15502724.2018.1533851</b:DOI>
    <b:Author>
      <b:Author>
        <b:NameList>
          <b:Person>
            <b:Last>Uttley</b:Last>
            <b:First>J. </b:First>
          </b:Person>
        </b:NameList>
      </b:Author>
    </b:Author>
    <b:RefOrder>948</b:RefOrder>
  </b:Source>
  <b:Source>
    <b:Tag>Upa21</b:Tag>
    <b:SourceType>JournalArticle</b:SourceType>
    <b:Guid>{310EE007-4663-42D9-AEB4-CBEF5D7EA6F8}</b:Guid>
    <b:Title>Rhetoric in Televised FMCG Advertisements and Its Impact on Viewers</b:Title>
    <b:JournalName>South Asian Journal of Management</b:JournalName>
    <b:Year>2021</b:Year>
    <b:Pages>57-67</b:Pages>
    <b:Author>
      <b:Author>
        <b:NameList>
          <b:Person>
            <b:Last>Upadhyaya</b:Last>
            <b:First>Pooja</b:First>
          </b:Person>
          <b:Person>
            <b:Last>Shukla</b:Last>
            <b:First>Amit</b:First>
          </b:Person>
        </b:NameList>
      </b:Author>
    </b:Author>
    <b:Month>12</b:Month>
    <b:Volume>28</b:Volume>
    <b:Issue>04</b:Issue>
    <b:YearAccessed>2022</b:YearAccessed>
    <b:MonthAccessed>03</b:MonthAccessed>
    <b:DayAccessed>27</b:DayAccessed>
    <b:DOI>https://www.proquest.com/openview/aad85a344cfbe0c3afec54cd4ca7853c/1?pq-origsite=gscholar&amp;cbl=46967</b:DOI>
    <b:RefOrder>1073</b:RefOrder>
  </b:Source>
  <b:Source>
    <b:Tag>Upa211</b:Tag>
    <b:SourceType>JournalArticle</b:SourceType>
    <b:Guid>{A3745634-37E2-484A-9D4C-CDE00ECF6C0B}</b:Guid>
    <b:Title>Correlation study to identify the factors affecting COVID-19 case fatality rates in India</b:Title>
    <b:JournalName>Diabetes &amp; Metabolic Syndrome: Clinical Research &amp; Reviews</b:JournalName>
    <b:Year>2021</b:Year>
    <b:Pages>993-999</b:Pages>
    <b:Volume>15</b:Volume>
    <b:Issue>3</b:Issue>
    <b:Month>06</b:Month>
    <b:YearAccessed>2023</b:YearAccessed>
    <b:MonthAccessed>01</b:MonthAccessed>
    <b:DayAccessed>17</b:DayAccessed>
    <b:DOI>https://doi.org/10.1016/j.dsx.2021.04.025</b:DOI>
    <b:Author>
      <b:Author>
        <b:NameList>
          <b:Person>
            <b:Last>Upadhyay</b:Last>
            <b:Middle>Kumar</b:Middle>
            <b:First>Ashwini </b:First>
          </b:Person>
          <b:Person>
            <b:Last>Shukla</b:Last>
            <b:First>Shreyanshi </b:First>
          </b:Person>
        </b:NameList>
      </b:Author>
    </b:Author>
    <b:RefOrder>954</b:RefOrder>
  </b:Source>
  <b:Source>
    <b:Tag>Uni19</b:Tag>
    <b:SourceType>InternetSite</b:SourceType>
    <b:Guid>{A47E35CB-B132-4EB4-9DAA-352BBB9F6535}</b:Guid>
    <b:Title>Annual Report and Accounts 2018</b:Title>
    <b:Year>2019</b:Year>
    <b:URL>https://assets.unilever.com/files/92ui5egz/production/9fbb2cb4402c390d78734e74baa53603223abd8c.pdf/unilever-annual-report-and-accounts-2018.pdf</b:URL>
    <b:Author>
      <b:Author>
        <b:NameList>
          <b:Person>
            <b:Last>Unilever</b:Last>
          </b:Person>
        </b:NameList>
      </b:Author>
    </b:Author>
    <b:YearAccessed>2022</b:YearAccessed>
    <b:MonthAccessed>04</b:MonthAccessed>
    <b:DayAccessed>01</b:DayAccessed>
    <b:RefOrder>434</b:RefOrder>
  </b:Source>
  <b:Source>
    <b:Tag>Uni23</b:Tag>
    <b:SourceType>Report</b:SourceType>
    <b:Guid>{7098E5FB-A616-4F7C-82B7-E4ADA06208F6}</b:Guid>
    <b:Title>ENDING FGM IN EGYPT: INVOLVING MEN AND BOYS IN EGYPT THROUGH A GENDER TRANSFORMATIVE APPROACH</b:Title>
    <b:Year>2023</b:Year>
    <b:Institution>United Nations Children’s Fund</b:Institution>
    <b:Pages>5</b:Pages>
    <b:YearAccessed>2023</b:YearAccessed>
    <b:MonthAccessed>08</b:MonthAccessed>
    <b:DayAccessed>10</b:DayAccessed>
    <b:DOI>https://www.unicef.org/mena/media/20696/file/Ending%20FGM%20in%20Egypt.pdf</b:DOI>
    <b:Author>
      <b:Author>
        <b:NameList>
          <b:Person>
            <b:Last>Unicef</b:Last>
          </b:Person>
        </b:NameList>
      </b:Author>
    </b:Author>
    <b:RefOrder>1074</b:RefOrder>
  </b:Source>
  <b:Source>
    <b:Tag>Unc03</b:Tag>
    <b:SourceType>JournalArticle</b:SourceType>
    <b:Guid>{A0607637-15DD-41B3-8E79-2AEDF38C9259}</b:Guid>
    <b:Title>Customer loyalty and customer loyalty programs</b:Title>
    <b:JournalName>Journal of Consumer Marketing</b:JournalName>
    <b:Year>2003</b:Year>
    <b:Pages>294-316</b:Pages>
    <b:Author>
      <b:Author>
        <b:NameList>
          <b:Person>
            <b:Last>Uncles</b:Last>
            <b:Middle>D.</b:Middle>
            <b:First>Mark</b:First>
          </b:Person>
          <b:Person>
            <b:Last>Dowling</b:Last>
            <b:Middle>R.</b:Middle>
            <b:First>Grahame </b:First>
          </b:Person>
          <b:Person>
            <b:Last>Hammond</b:Last>
            <b:First>Kathy </b:First>
          </b:Person>
        </b:NameList>
      </b:Author>
    </b:Author>
    <b:Month>07</b:Month>
    <b:Day>01</b:Day>
    <b:Publisher>MCB UP Ltd</b:Publisher>
    <b:Volume>20</b:Volume>
    <b:Issue>4</b:Issue>
    <b:YearAccessed>2023</b:YearAccessed>
    <b:MonthAccessed>07</b:MonthAccessed>
    <b:DayAccessed>29</b:DayAccessed>
    <b:DOI>https://doi.org/10.1108/07363760310483676</b:DOI>
    <b:RefOrder>1075</b:RefOrder>
  </b:Source>
  <b:Source>
    <b:Tag>Ula01</b:Tag>
    <b:SourceType>JournalArticle</b:SourceType>
    <b:Guid>{9D350EC4-778E-4C2C-A2C3-5E1C39A730FB}</b:Guid>
    <b:Title>Measuring Customer-Perceived Value in Business Markets: A Prerequisite for Marketing Strategy Development and Implementation</b:Title>
    <b:JournalName>Industrial Marketing Management</b:JournalName>
    <b:Year>2001</b:Year>
    <b:Pages>525-540</b:Pages>
    <b:Month>08</b:Month>
    <b:Volume>30</b:Volume>
    <b:Issue>06</b:Issue>
    <b:YearAccessed>2022</b:YearAccessed>
    <b:MonthAccessed>06</b:MonthAccessed>
    <b:DayAccessed>03</b:DayAccessed>
    <b:DOI>https://doi.org/10.1016/S0019-8501(99)00122-4</b:DOI>
    <b:Author>
      <b:Author>
        <b:NameList>
          <b:Person>
            <b:Last>Ulaga</b:Last>
            <b:First>Wolfgang</b:First>
          </b:Person>
          <b:Person>
            <b:Last>Chacour</b:Last>
            <b:First>Samir</b:First>
          </b:Person>
        </b:NameList>
      </b:Author>
    </b:Author>
    <b:RefOrder>1076</b:RefOrder>
  </b:Source>
  <b:Source>
    <b:Tag>UlI19</b:Tag>
    <b:SourceType>JournalArticle</b:SourceType>
    <b:Guid>{A5DAE605-85EE-4D26-BE21-10B6F1EAA1F9}</b:Guid>
    <b:Title>Customer engagement in the service context: an empirical investigation of the construct, its antecedents and consequences</b:Title>
    <b:JournalName>Journal of Retailing and Consumer Services</b:JournalName>
    <b:Year>2019</b:Year>
    <b:Pages>277-285</b:Pages>
    <b:Month>09</b:Month>
    <b:Volume>50</b:Volume>
    <b:YearAccessed>2023</b:YearAccessed>
    <b:MonthAccessed>03</b:MonthAccessed>
    <b:DayAccessed>10</b:DayAccessed>
    <b:DOI>https://doi.org/10.1016/j.jretconser.2019.05.018</b:DOI>
    <b:Author>
      <b:Author>
        <b:NameList>
          <b:Person>
            <b:Last>Ul Islam</b:Last>
            <b:First>Jamid </b:First>
          </b:Person>
          <b:Person>
            <b:Last>Hollebeek</b:Last>
            <b:Middle>D.</b:Middle>
            <b:First>Linda</b:First>
          </b:Person>
          <b:Person>
            <b:Last>Rahman</b:Last>
            <b:First>Zillur </b:First>
          </b:Person>
          <b:Person>
            <b:Last>Khan</b:Last>
            <b:First>Imran</b:First>
          </b:Person>
          <b:Person>
            <b:Last>Rasool</b:Last>
            <b:First>Aaleya </b:First>
          </b:Person>
        </b:NameList>
      </b:Author>
    </b:Author>
    <b:RefOrder>1077</b:RefOrder>
  </b:Source>
  <b:Source>
    <b:Tag>UlI18</b:Tag>
    <b:SourceType>JournalArticle</b:SourceType>
    <b:Guid>{4F4B05E8-083F-4E75-9EFD-9D0035E9FA0C}</b:Guid>
    <b:Title>Consumer engagement in online brand communities: a solicitation of congruity theory</b:Title>
    <b:JournalName>Internet Research</b:JournalName>
    <b:Year>2018</b:Year>
    <b:Pages>23-45</b:Pages>
    <b:Author>
      <b:Author>
        <b:NameList>
          <b:Person>
            <b:Last>Ul Islam</b:Last>
            <b:First>Jamid </b:First>
          </b:Person>
          <b:Person>
            <b:Last>Rahman</b:Last>
            <b:First>Zillur </b:First>
          </b:Person>
          <b:Person>
            <b:Last>Hollebeek </b:Last>
            <b:Middle>D.</b:Middle>
            <b:First>Linda </b:First>
          </b:Person>
        </b:NameList>
      </b:Author>
    </b:Author>
    <b:Month>02</b:Month>
    <b:Day>06</b:Day>
    <b:Publisher>Emerald Publishing Limited</b:Publisher>
    <b:Volume>28</b:Volume>
    <b:Issue>1</b:Issue>
    <b:YearAccessed>2023</b:YearAccessed>
    <b:MonthAccessed>03</b:MonthAccessed>
    <b:DayAccessed>07</b:DayAccessed>
    <b:DOI> https://doi.org/10.1108/IntR-09-2016-0279</b:DOI>
    <b:RefOrder>57</b:RefOrder>
  </b:Source>
  <b:Source>
    <b:Tag>UlI17</b:Tag>
    <b:SourceType>JournalArticle</b:SourceType>
    <b:Guid>{09DF1A00-40C9-464C-B1B3-F323930BAE21}</b:Guid>
    <b:Title>The impact of online brand community characteristics on customer engagement: an application of stimulus-organism-response paradigm</b:Title>
    <b:JournalName>Telematics and Informatics</b:JournalName>
    <b:Year>2017</b:Year>
    <b:Pages>96-109</b:Pages>
    <b:Month>07</b:Month>
    <b:Publisher>ScienceDirect </b:Publisher>
    <b:Volume>34</b:Volume>
    <b:Issue>4</b:Issue>
    <b:YearAccessed>2023</b:YearAccessed>
    <b:MonthAccessed>03</b:MonthAccessed>
    <b:DayAccessed>11</b:DayAccessed>
    <b:DOI>https://doi.org/10.1016/j.tele.2017.01.004</b:DOI>
    <b:Author>
      <b:Author>
        <b:NameList>
          <b:Person>
            <b:Last>Ul Islam</b:Last>
            <b:First>Jamid</b:First>
          </b:Person>
          <b:Person>
            <b:Last>Rahman</b:Last>
            <b:First>Zillur </b:First>
          </b:Person>
        </b:NameList>
      </b:Author>
    </b:Author>
    <b:RefOrder>639</b:RefOrder>
  </b:Source>
  <b:Source>
    <b:Tag>Uka20</b:Tag>
    <b:SourceType>JournalArticle</b:SourceType>
    <b:Guid>{9E746541-86FB-4F69-92B6-47F27E0346CE}</b:Guid>
    <b:Title>Deceptive Advertising and Consumer Reaction: A Study of Delta Soap Advertisement</b:Title>
    <b:JournalName>Open Access Library Journal</b:JournalName>
    <b:Year>2020</b:Year>
    <b:Volume>07</b:Volume>
    <b:Issue>03</b:Issue>
    <b:Month>03</b:Month>
    <b:YearAccessed>2022</b:YearAccessed>
    <b:MonthAccessed>01</b:MonthAccessed>
    <b:DayAccessed>19</b:DayAccessed>
    <b:DOI>10.4236/oalib.1105865</b:DOI>
    <b:Author>
      <b:Author>
        <b:NameList>
          <b:Person>
            <b:Last>Ukaegbu</b:Last>
            <b:Middle>Chimezie </b:Middle>
            <b:First>Raymond </b:First>
          </b:Person>
        </b:NameList>
      </b:Author>
    </b:Author>
    <b:RefOrder>7</b:RefOrder>
  </b:Source>
  <b:Source>
    <b:Tag>Tur22</b:Tag>
    <b:SourceType>InternetSite</b:SourceType>
    <b:Guid>{7F37027E-E938-44DE-8723-BDC30221925A}</b:Guid>
    <b:Title>Pearson Correlation Coefficient (r) | Guide &amp; Examples</b:Title>
    <b:Year>2022</b:Year>
    <b:YearAccessed>2023</b:YearAccessed>
    <b:MonthAccessed>01</b:MonthAccessed>
    <b:DayAccessed>17</b:DayAccessed>
    <b:URL>https://www.scribbr.com/statistics/pearson-correlation-coefficient/#:~:text=The%20Pearson%20correlation%20coefficient%20(r,the%20relationship%20between%20two%20variables.</b:URL>
    <b:InternetSiteTitle>Scribbr</b:InternetSiteTitle>
    <b:Month>12</b:Month>
    <b:Day>05</b:Day>
    <b:Author>
      <b:Author>
        <b:NameList>
          <b:Person>
            <b:Last>Turney</b:Last>
            <b:First>Shaun </b:First>
          </b:Person>
        </b:NameList>
      </b:Author>
    </b:Author>
    <b:RefOrder>952</b:RefOrder>
  </b:Source>
  <b:Source>
    <b:Tag>Tun23</b:Tag>
    <b:SourceType>JournalArticle</b:SourceType>
    <b:Guid>{82BDD3D0-4AC5-45B5-8221-2A836C3ED607}</b:Guid>
    <b:Title>Nascent entrepreneurs and challenges in the digital market in developing countries</b:Title>
    <b:JournalName>International Journal of Public Sector Performance Management</b:JournalName>
    <b:Year>2023</b:Year>
    <b:Pages>140-153</b:Pages>
    <b:Month>06</b:Month>
    <b:Day>07</b:Day>
    <b:Volume>12</b:Volume>
    <b:Issue>1-2</b:Issue>
    <b:YearAccessed>2023</b:YearAccessed>
    <b:MonthAccessed>08</b:MonthAccessed>
    <b:DayAccessed>01</b:DayAccessed>
    <b:DOI>https://doi.org/10.1504/IJPSPM.2023.132244</b:DOI>
    <b:Author>
      <b:Author>
        <b:NameList>
          <b:Person>
            <b:Last>Tunio</b:Last>
            <b:Middle>Nawaz </b:Middle>
            <b:First>Muhammad </b:First>
          </b:Person>
          <b:Person>
            <b:Last>Shaikh</b:Last>
            <b:First>Erum </b:First>
          </b:Person>
          <b:Person>
            <b:Last>Katper </b:Last>
            <b:Middle>K.</b:Middle>
            <b:First>Naveeda </b:First>
          </b:Person>
          <b:Person>
            <b:Last>Brahmi</b:Last>
            <b:First>Mohsen </b:First>
          </b:Person>
        </b:NameList>
      </b:Author>
    </b:Author>
    <b:RefOrder>1078</b:RefOrder>
  </b:Source>
  <b:Source>
    <b:Tag>Tuc05</b:Tag>
    <b:SourceType>JournalArticle</b:SourceType>
    <b:Guid>{A223A462-424C-4241-BD1A-70763EE0FC50}</b:Guid>
    <b:Title>Applying thematic analysis theory to practice: a researcher’s experience</b:Title>
    <b:JournalName>Contemporary Nurse</b:JournalName>
    <b:Year>2005</b:Year>
    <b:Pages>75-87</b:Pages>
    <b:Volume>19</b:Volume>
    <b:Author>
      <b:Author>
        <b:NameList>
          <b:Person>
            <b:Last>Tuckett</b:Last>
            <b:Middle>G.</b:Middle>
            <b:First>A.</b:First>
          </b:Person>
        </b:NameList>
      </b:Author>
    </b:Author>
    <b:RefOrder>990</b:RefOrder>
  </b:Source>
  <b:Source>
    <b:Tag>Tuc12</b:Tag>
    <b:SourceType>JournalArticle</b:SourceType>
    <b:Guid>{5A81468B-6EC8-4A12-BD6F-649A3B720C69}</b:Guid>
    <b:Title>Is beautiful really usable? Toward understanding the relation between usability, aesthetics, and affect in HCI</b:Title>
    <b:JournalName>Computers in Human Behavior</b:JournalName>
    <b:Year>2012</b:Year>
    <b:Pages>1596-1607</b:Pages>
    <b:Month>09</b:Month>
    <b:Volume>28</b:Volume>
    <b:Issue>05</b:Issue>
    <b:YearAccessed>2022</b:YearAccessed>
    <b:MonthAccessed>05</b:MonthAccessed>
    <b:DayAccessed>30</b:DayAccessed>
    <b:DOI>https://doi.org/10.1016/j.chb.2012.03.024</b:DOI>
    <b:Author>
      <b:Author>
        <b:NameList>
          <b:Person>
            <b:Last>Tuch</b:Last>
            <b:Middle>N.</b:Middle>
            <b:First>Alexandre</b:First>
          </b:Person>
          <b:Person>
            <b:Last>Roth</b:Last>
            <b:Middle>P.</b:Middle>
            <b:First>Sandra </b:First>
          </b:Person>
          <b:Person>
            <b:Last>Hornbæk</b:Last>
            <b:First>Kasper</b:First>
          </b:Person>
          <b:Person>
            <b:Last>Opwis</b:Last>
            <b:First>Klaus</b:First>
          </b:Person>
          <b:Person>
            <b:Last>Bargas-Avila</b:Last>
            <b:Middle>A.</b:Middle>
            <b:First>Javier </b:First>
          </b:Person>
        </b:NameList>
      </b:Author>
    </b:Author>
    <b:RefOrder>653</b:RefOrder>
  </b:Source>
  <b:Source>
    <b:Tag>TuL12</b:Tag>
    <b:SourceType>JournalArticle</b:SourceType>
    <b:Guid>{072158D2-C348-4BEA-BC7C-9043440EB9A8}</b:Guid>
    <b:Title>A short 8-item scale for measuring consumers’ local–global identity</b:Title>
    <b:JournalName>International Journal of Research in Marketing</b:JournalName>
    <b:Year>2012</b:Year>
    <b:Pages>35-42</b:Pages>
    <b:Author>
      <b:Author>
        <b:NameList>
          <b:Person>
            <b:Last>Tu</b:Last>
            <b:First>Lingjiang</b:First>
          </b:Person>
          <b:Person>
            <b:Last>Khare</b:Last>
            <b:First>Adwait</b:First>
          </b:Person>
          <b:Person>
            <b:Last>Zhanga</b:Last>
            <b:First>Yinlong</b:First>
          </b:Person>
        </b:NameList>
      </b:Author>
    </b:Author>
    <b:Month>03</b:Month>
    <b:Volume>29</b:Volume>
    <b:Issue>01</b:Issue>
    <b:YearAccessed>2022</b:YearAccessed>
    <b:MonthAccessed>05</b:MonthAccessed>
    <b:DayAccessed>08</b:DayAccessed>
    <b:DOI>https://doi.org/10.1016/j.ijresmar.2011.07.003</b:DOI>
    <b:RefOrder>1079</b:RefOrder>
  </b:Source>
  <b:Source>
    <b:Tag>Tsa15</b:Tag>
    <b:SourceType>JournalArticle</b:SourceType>
    <b:Guid>{FF7116B0-1A01-439C-86A2-E2D21C222D3B}</b:Guid>
    <b:Title>Exploring corporate citizenship and purchase intention: mediating effects of brand trust and corporate identification</b:Title>
    <b:JournalName>Business Ethics, the Environment and Responsibility</b:JournalName>
    <b:Year>2015</b:Year>
    <b:Pages>361-377</b:Pages>
    <b:Month>10</b:Month>
    <b:Volume>24</b:Volume>
    <b:Issue>04</b:Issue>
    <b:YearAccessed>2022</b:YearAccessed>
    <b:MonthAccessed>05</b:MonthAccessed>
    <b:DayAccessed>18</b:DayAccessed>
    <b:DOI>https://doi.org/10.1111/beer.12073</b:DOI>
    <b:Author>
      <b:Author>
        <b:NameList>
          <b:Person>
            <b:Last>Tsai</b:Last>
            <b:Middle>Hui </b:Middle>
            <b:First>Yuan </b:First>
          </b:Person>
          <b:Person>
            <b:Last>Joe</b:Last>
            <b:First>Sheng-Wuu </b:First>
          </b:Person>
          <b:Person>
            <b:Last>Lin</b:Last>
            <b:First>Chieh-Peng </b:First>
          </b:Person>
          <b:Person>
            <b:Last>Chiu</b:Last>
            <b:First>Chou-Kang </b:First>
          </b:Person>
          <b:Person>
            <b:Last>Shen</b:Last>
            <b:First>Kuei-Tzu </b:First>
          </b:Person>
        </b:NameList>
      </b:Author>
    </b:Author>
    <b:RefOrder>1037</b:RefOrder>
  </b:Source>
  <b:Source>
    <b:Tag>Tsa05</b:Tag>
    <b:SourceType>JournalArticle</b:SourceType>
    <b:Guid>{5E4B7C74-FBE9-425D-B94A-DE297C1FE888}</b:Guid>
    <b:Title>Utility, cultural symbolism and emotion: A comprehensive model of brand purchase value.</b:Title>
    <b:JournalName>International Journal of Research in Marketing,</b:JournalName>
    <b:Year>2005</b:Year>
    <b:Pages>277-291</b:Pages>
    <b:Month>09</b:Month>
    <b:Publisher>Elsevier B.V. </b:Publisher>
    <b:Volume>22</b:Volume>
    <b:Issue>3</b:Issue>
    <b:YearAccessed>2023</b:YearAccessed>
    <b:MonthAccessed>07</b:MonthAccessed>
    <b:DayAccessed>29</b:DayAccessed>
    <b:DOI>https://doi-org.lsbu.idm.oclc.org/10.1016/j.ijresmar.2004.11.002</b:DOI>
    <b:Author>
      <b:Author>
        <b:NameList>
          <b:Person>
            <b:Last>Tsai</b:Last>
            <b:First>Shu-pei </b:First>
          </b:Person>
        </b:NameList>
      </b:Author>
    </b:Author>
    <b:RefOrder>1080</b:RefOrder>
  </b:Source>
  <b:Source>
    <b:Tag>Tro10</b:Tag>
    <b:SourceType>JournalArticle</b:SourceType>
    <b:Guid>{9D2BBF0E-C22F-4BB3-A508-BE773234B81F}</b:Guid>
    <b:Title>Construal-level theory of psychological distance</b:Title>
    <b:Year>2010</b:Year>
    <b:Pages>440-463</b:Pages>
    <b:JournalName>Psychological Review</b:JournalName>
    <b:Volume>117</b:Volume>
    <b:Issue>2</b:Issue>
    <b:Author>
      <b:Author>
        <b:NameList>
          <b:Person>
            <b:Last>Trope</b:Last>
            <b:First>Y.</b:First>
          </b:Person>
          <b:Person>
            <b:Last>Liberman</b:Last>
            <b:First>N.</b:First>
          </b:Person>
        </b:NameList>
      </b:Author>
    </b:Author>
    <b:RefOrder>1081</b:RefOrder>
  </b:Source>
  <b:Source>
    <b:Tag>Tre19</b:Tag>
    <b:SourceType>JournalArticle</b:SourceType>
    <b:Guid>{D7A9C3D1-C791-4855-BA5B-B32DAD0FAD50}</b:Guid>
    <b:Title>Transfers of landowner willingness to accept: A convergent validity and reliability test using choice experiments in two Canadian watersheds</b:Title>
    <b:JournalName>Canadian Journal of Agriculture Economics</b:JournalName>
    <b:Year>2019</b:Year>
    <b:Pages>171-192</b:Pages>
    <b:Author>
      <b:Author>
        <b:NameList>
          <b:Person>
            <b:Last>Trenholm</b:Last>
            <b:First>Ryan </b:First>
          </b:Person>
          <b:Person>
            <b:Last>Lantz</b:Last>
            <b:First>Van </b:First>
          </b:Person>
          <b:Person>
            <b:Last>Haider</b:Last>
            <b:First>Wolfgang </b:First>
          </b:Person>
          <b:Person>
            <b:Last>Knowler</b:Last>
            <b:First>Duncan </b:First>
          </b:Person>
        </b:NameList>
      </b:Author>
    </b:Author>
    <b:Month>06</b:Month>
    <b:Volume>67</b:Volume>
    <b:Issue>2</b:Issue>
    <b:YearAccessed>2022</b:YearAccessed>
    <b:MonthAccessed>10</b:MonthAccessed>
    <b:DayAccessed>28</b:DayAccessed>
    <b:URL>https://onlinelibrary.wiley.com/doi/abs/10.1111/cjag.12191</b:URL>
    <b:RefOrder>1082</b:RefOrder>
  </b:Source>
  <b:Source>
    <b:Tag>Tre18</b:Tag>
    <b:SourceType>JournalArticle</b:SourceType>
    <b:Guid>{74396E83-19EA-4D66-84DD-E4F9CF108764}</b:Guid>
    <b:Title>Transfers of landowner willingness to accept: A convergent validity and reliability test using choice experiments in two Canadian watersheds</b:Title>
    <b:JournalName>Canadian Journal of Agricultural Economics</b:JournalName>
    <b:Year>2018</b:Year>
    <b:Pages>171-192</b:Pages>
    <b:Month>11</b:Month>
    <b:Day>02</b:Day>
    <b:Publisher>Wiley Online Library</b:Publisher>
    <b:YearAccessed>2022</b:YearAccessed>
    <b:MonthAccessed>10</b:MonthAccessed>
    <b:DayAccessed>22</b:DayAccessed>
    <b:DOI>https://doi-org.lsbu.idm.oclc.org/10.1111/cjag.12191</b:DOI>
    <b:Author>
      <b:Author>
        <b:NameList>
          <b:Person>
            <b:Last>Trenholm</b:Last>
            <b:First>Ryan </b:First>
          </b:Person>
          <b:Person>
            <b:Last>Lantz</b:Last>
            <b:First>Van </b:First>
          </b:Person>
          <b:Person>
            <b:Last>Haider</b:Last>
            <b:First>Wolfgang </b:First>
          </b:Person>
          <b:Person>
            <b:Last>Knowler</b:Last>
            <b:First>Duncan </b:First>
          </b:Person>
        </b:NameList>
      </b:Author>
    </b:Author>
    <b:RefOrder>781</b:RefOrder>
  </b:Source>
  <b:Source>
    <b:Tag>Det21</b:Tag>
    <b:SourceType>InternetSite</b:SourceType>
    <b:Guid>{2BDF3019-A1BB-4C10-8138-CFBC8B835E02}</b:Guid>
    <b:Title>Dettol, Galaxy, Nescafe &amp; Juhayna top Egypt FMCG rankings</b:Title>
    <b:Year>2021</b:Year>
    <b:InternetSiteTitle>TradeArabia</b:InternetSiteTitle>
    <b:Month>09</b:Month>
    <b:Day>27</b:Day>
    <b:URL>http://tradearabia.com/news/RET_387545.html#:~:text=In%20the%20%27Home%20Care%27%20category,and%20fifth%20(26.4)%20respectively.</b:URL>
    <b:Author>
      <b:Author>
        <b:NameList>
          <b:Person>
            <b:Last>TradeArabia</b:Last>
          </b:Person>
        </b:NameList>
      </b:Author>
    </b:Author>
    <b:RefOrder>792</b:RefOrder>
  </b:Source>
  <b:Source>
    <b:Tag>Top18</b:Tag>
    <b:SourceType>BookSection</b:SourceType>
    <b:Guid>{86DF2B88-A48F-4D44-AD21-768C9DBAA569}</b:Guid>
    <b:Title>Conspicuous consumption in relation to self-esteem, self-image and social status: an empirical study</b:Title>
    <b:Year>2018</b:Year>
    <b:Pages>697-709</b:Pages>
    <b:BookTitle>Economy, Finance and Business in Southeastern and Central Europe</b:BookTitle>
    <b:Author>
      <b:Author>
        <b:NameList>
          <b:Person>
            <b:Last>Topçu</b:Last>
            <b:Middle>Cenap </b:Middle>
            <b:First>Ulvi </b:First>
          </b:Person>
        </b:NameList>
      </b:Author>
    </b:Author>
    <b:DOI>10.1007/978-3-319-70377-0_48</b:DOI>
    <b:RefOrder>1027</b:RefOrder>
  </b:Source>
  <b:Source>
    <b:Tag>Tim</b:Tag>
    <b:SourceType>JournalArticle</b:SourceType>
    <b:Guid>{EA50D70C-DB13-43DB-A246-510D9A846D32}</b:Guid>
    <b:Title>Challenges When Using Grounded Theory: A Pragmatic Introduction to Doing GT Research</b:Title>
    <b:JournalName>International Journal of Qualitative Methods</b:JournalName>
    <b:Volume>17</b:Volume>
    <b:Issue>1</b:Issue>
    <b:DOI>https://doi.org/10.1177/1609406918758086</b:DOI>
    <b:Author>
      <b:Author>
        <b:NameList>
          <b:Person>
            <b:Last>Timonen</b:Last>
            <b:First>Virpi </b:First>
          </b:Person>
          <b:Person>
            <b:Last>Foley</b:Last>
            <b:First>Geraldine</b:First>
          </b:Person>
          <b:Person>
            <b:Last>Conlon</b:Last>
            <b:First>Catherine </b:First>
          </b:Person>
        </b:NameList>
      </b:Author>
    </b:Author>
    <b:Year>2018</b:Year>
    <b:Month>03</b:Month>
    <b:Day>07</b:Day>
    <b:RefOrder>988</b:RefOrder>
  </b:Source>
  <b:Source>
    <b:Tag>LeT21</b:Tag>
    <b:SourceType>JournalArticle</b:SourceType>
    <b:Guid>{1D530253-CB49-4609-AD46-66A91FFD896B}</b:Guid>
    <b:Title>Contribution of corporate social responsibility on SMEs' performance in an emerging market – the mediating roles of brand trust and brand loyalty</b:Title>
    <b:JournalName>International Journal of Emerging Markets</b:JournalName>
    <b:Year>2021</b:Year>
    <b:Author>
      <b:Author>
        <b:NameList>
          <b:Person>
            <b:Last>Tiep Le</b:Last>
            <b:First>Thanh </b:First>
          </b:Person>
          <b:Person>
            <b:Last>Ngo</b:Last>
            <b:Middle>Quang </b:Middle>
            <b:First>Huan </b:First>
          </b:Person>
          <b:Person>
            <b:Last>Aureliano-Silva</b:Last>
            <b:First>Leonardo </b:First>
          </b:Person>
        </b:NameList>
      </b:Author>
    </b:Author>
    <b:Month>07</b:Month>
    <b:Day>20</b:Day>
    <b:Publisher>Emerald Publishing Limited</b:Publisher>
    <b:YearAccessed>2023</b:YearAccessed>
    <b:MonthAccessed>05</b:MonthAccessed>
    <b:DayAccessed>15</b:DayAccessed>
    <b:DOI>https://doi.org/10.1108/IJOEM-12-2020-1516</b:DOI>
    <b:RefOrder>12</b:RefOrder>
  </b:Source>
  <b:Source>
    <b:Tag>Tia22</b:Tag>
    <b:SourceType>JournalArticle</b:SourceType>
    <b:Guid>{EAF86B8B-787E-42FB-ABC3-2E2C8E168BB1}</b:Guid>
    <b:Title>To read or not to read: An extension of the theory of planned behaviour to food label use.</b:Title>
    <b:JournalName>International Journal of Consumer Studies</b:JournalName>
    <b:Year>2022</b:Year>
    <b:Pages>984-993</b:Pages>
    <b:Month>05</b:Month>
    <b:Volume>46</b:Volume>
    <b:Issue>03</b:Issue>
    <b:YearAccessed>2022</b:YearAccessed>
    <b:MonthAccessed>05</b:MonthAccessed>
    <b:DayAccessed>27</b:DayAccessed>
    <b:DOI>10.1111/ijcs.12741</b:DOI>
    <b:Author>
      <b:Author>
        <b:NameList>
          <b:Person>
            <b:Last>Tian</b:Last>
            <b:First>Yan</b:First>
          </b:Person>
          <b:Person>
            <b:Last>Yoo</b:Last>
            <b:Middle>H.</b:Middle>
            <b:First>Jina</b:First>
          </b:Person>
          <b:Person>
            <b:Last>Zhou</b:Last>
            <b:First>Hui</b:First>
          </b:Person>
        </b:NameList>
      </b:Author>
    </b:Author>
    <b:RefOrder>1083</b:RefOrder>
  </b:Source>
  <b:Source>
    <b:Tag>Tho05</b:Tag>
    <b:SourceType>JournalArticle</b:SourceType>
    <b:Guid>{611DFCE8-577A-4104-B662-B7A313874DF2}</b:Guid>
    <b:Title>he Ties That Bind: Measuring the Strength of Consumers' Emotional Attachments to Brands.</b:Title>
    <b:Year>2005</b:Year>
    <b:JournalName>Journal of Consumer Psychology</b:JournalName>
    <b:Pages>77-91</b:Pages>
    <b:Volume>15</b:Volume>
    <b:Issue>01</b:Issue>
    <b:YearAccessed>2022</b:YearAccessed>
    <b:MonthAccessed>03</b:MonthAccessed>
    <b:DayAccessed>06</b:DayAccessed>
    <b:DOI>https://doi.org/10.1207/s15327663jcp1501_10</b:DOI>
    <b:Author>
      <b:Author>
        <b:NameList>
          <b:Person>
            <b:Last>Thomson</b:Last>
            <b:First>Matthew</b:First>
          </b:Person>
          <b:Person>
            <b:Last>MacInnis</b:Last>
            <b:Middle>J</b:Middle>
            <b:First>Deborah </b:First>
          </b:Person>
          <b:Person>
            <b:Last>Park</b:Last>
            <b:Middle>C.</b:Middle>
            <b:First>Whan</b:First>
          </b:Person>
        </b:NameList>
      </b:Author>
    </b:Author>
    <b:RefOrder>510</b:RefOrder>
  </b:Source>
  <b:Source>
    <b:Tag>Tho19</b:Tag>
    <b:SourceType>JournalArticle</b:SourceType>
    <b:Guid>{5DFADAE1-5FC6-44DD-A476-3C2784C94502}</b:Guid>
    <b:Title>The ‘big data’ myth and the pitfalls of ‘thick data’ opportunism: on the need for a different ontology of markets and consumption</b:Title>
    <b:Year>2019</b:Year>
    <b:Publisher>Taylor &amp; Francis Online</b:Publisher>
    <b:JournalName>Journal of Marketing Management</b:JournalName>
    <b:Pages>207-230</b:Pages>
    <b:Month>03</b:Month>
    <b:Day>01</b:Day>
    <b:Volume>35</b:Volume>
    <b:Issue>3-4</b:Issue>
    <b:YearAccessed>2022</b:YearAccessed>
    <b:MonthAccessed>10</b:MonthAccessed>
    <b:DayAccessed>09</b:DayAccessed>
    <b:DOI>https://doi.org/10.1080/0267257X.2019.1579751</b:DOI>
    <b:Author>
      <b:Author>
        <b:NameList>
          <b:Person>
            <b:Last>Thompson</b:Last>
            <b:Middle>J.</b:Middle>
            <b:First>Craig </b:First>
          </b:Person>
        </b:NameList>
      </b:Author>
    </b:Author>
    <b:RefOrder>731</b:RefOrder>
  </b:Source>
  <b:Source>
    <b:Tag>Tho18</b:Tag>
    <b:SourceType>JournalArticle</b:SourceType>
    <b:Guid>{CEFA0DE4-55A0-4FBF-BD25-03E70BA8EE73}</b:Guid>
    <b:Title>A STUDY TO ASSESS THE KNOWLEDGE ON DIGITAL FINANCIAL INCLUSION AMONG SCHEDULED CASTES AND SCHEDULED TRIBES</b:Title>
    <b:JournalName>International Journal of Research in Humanities</b:JournalName>
    <b:Year>2018</b:Year>
    <b:Pages>367-378</b:Pages>
    <b:Volume>6</b:Volume>
    <b:Issue>8</b:Issue>
    <b:Month>05</b:Month>
    <b:YearAccessed>2023</b:YearAccessed>
    <b:MonthAccessed>01</b:MonthAccessed>
    <b:DayAccessed>23</b:DayAccessed>
    <b:Author>
      <b:Author>
        <b:NameList>
          <b:Person>
            <b:Last>Thomas</b:Last>
            <b:First>Tejil </b:First>
          </b:Person>
          <b:Person>
            <b:Last>S</b:Last>
            <b:Middle>T </b:Middle>
            <b:First>Suresh </b:First>
          </b:Person>
        </b:NameList>
      </b:Author>
    </b:Author>
    <b:RefOrder>968</b:RefOrder>
  </b:Source>
  <b:Source>
    <b:Tag>Tho22</b:Tag>
    <b:SourceType>JournalArticle</b:SourceType>
    <b:Guid>{E57F6768-DC3A-44B1-92C9-1801D8605612}</b:Guid>
    <b:Title>Investigating the consumers attitude toward brand and purchase intention within the context of cause-related marketing campaign for a pharmacy product</b:Title>
    <b:JournalName>International Review on Public and Nonprofit Marketing</b:JournalName>
    <b:Year>2022</b:Year>
    <b:Pages>691-708</b:Pages>
    <b:Month>12</b:Month>
    <b:Volume>19</b:Volume>
    <b:YearAccessed>2023</b:YearAccessed>
    <b:MonthAccessed>08</b:MonthAccessed>
    <b:DayAccessed>19</b:DayAccessed>
    <b:DOI>https://doi.org/10.1007/s12208-021-00327</b:DOI>
    <b:Author>
      <b:Author>
        <b:NameList>
          <b:Person>
            <b:Last>Thomas</b:Last>
            <b:First>Sujo </b:First>
          </b:Person>
          <b:Person>
            <b:Last>Jadeja</b:Last>
            <b:First>Ashwin </b:First>
          </b:Person>
          <b:Person>
            <b:Last>Vaghela </b:Last>
            <b:First>Krishnaba </b:First>
          </b:Person>
          <b:Person>
            <b:Last>Shreevastava </b:Last>
            <b:First>Richa </b:First>
          </b:Person>
        </b:NameList>
      </b:Author>
    </b:Author>
    <b:RefOrder>591</b:RefOrder>
  </b:Source>
  <b:Source>
    <b:Tag>Tha21</b:Tag>
    <b:SourceType>JournalArticle</b:SourceType>
    <b:Guid>{EC0AD1BA-8405-440F-8A0F-DDA966EBD03F}</b:Guid>
    <b:Title>What are the factors determining user intentions to use AV while impaired?</b:Title>
    <b:JournalName>Transportation Research Part F: Traffic Psychology and Behaviour</b:JournalName>
    <b:Year>2021</b:Year>
    <b:Pages>238-255</b:Pages>
    <b:Month>10</b:Month>
    <b:Volume>82</b:Volume>
    <b:YearAccessed>2023</b:YearAccessed>
    <b:MonthAccessed>03</b:MonthAccessed>
    <b:DayAccessed>03</b:DayAccessed>
    <b:DOI>https://doi.org/10.1016/j.trf.2021.08.008</b:DOI>
    <b:Author>
      <b:Author>
        <b:NameList>
          <b:Person>
            <b:Last>Thapa</b:Last>
            <b:First>Diwas </b:First>
          </b:Person>
          <b:Person>
            <b:Last>Gabrhel</b:Last>
            <b:First>Vít </b:First>
          </b:Person>
          <b:Person>
            <b:Last>Mishra</b:Last>
            <b:First>Sabyasachee </b:First>
          </b:Person>
        </b:NameList>
      </b:Author>
    </b:Author>
    <b:RefOrder>551</b:RefOrder>
  </b:Source>
  <b:Source>
    <b:Tag>Tha22</b:Tag>
    <b:SourceType>JournalArticle</b:SourceType>
    <b:Guid>{519E58A5-4105-4C2D-9C35-245EBDDF72FF}</b:Guid>
    <b:Title>The Relationship of Corporate Social Responsibility, Brand Trust and Electronic Word of Mouth</b:Title>
    <b:JournalName>2022 2nd International Conference on Information Technology and Education (ICIT&amp;E)</b:JournalName>
    <b:Year>2022</b:Year>
    <b:Pages>43-48</b:Pages>
    <b:Publisher>IEEE</b:Publisher>
    <b:YearAccessed>2022</b:YearAccessed>
    <b:MonthAccessed>10</b:MonthAccessed>
    <b:DayAccessed>06</b:DayAccessed>
    <b:DOI>10.1109/ICITE54466.2022.9759898.</b:DOI>
    <b:Author>
      <b:Author>
        <b:NameList>
          <b:Person>
            <b:Last>Thao</b:Last>
            <b:Middle>Thi Phuong </b:Middle>
            <b:First>Nguyen </b:First>
          </b:Person>
          <b:Person>
            <b:Last>Oanh</b:Last>
            <b:Middle>Thi Kieu </b:Middle>
            <b:First>Lung </b:First>
          </b:Person>
          <b:Person>
            <b:Last>Khoa</b:Last>
            <b:Middle>Thanh </b:Middle>
            <b:First>Bui </b:First>
          </b:Person>
        </b:NameList>
      </b:Author>
    </b:Author>
    <b:RefOrder>1084</b:RefOrder>
  </b:Source>
  <b:Source>
    <b:Tag>Tha14</b:Tag>
    <b:SourceType>Book</b:SourceType>
    <b:Guid>{BDF3C3F8-B081-48A2-9339-0CFC2F73FD73}</b:Guid>
    <b:Title>FMCG : The Power of Fast-Moving Consumer Goods</b:Title>
    <b:Year>2014</b:Year>
    <b:Publisher>First Edition Design Publishing</b:Publisher>
    <b:Author>
      <b:Author>
        <b:NameList>
          <b:Person>
            <b:Last>Thain</b:Last>
          </b:Person>
          <b:Person>
            <b:Last>Greg</b:Last>
          </b:Person>
          <b:Person>
            <b:Last>Bradley</b:Last>
          </b:Person>
          <b:Person>
            <b:Last>John</b:Last>
          </b:Person>
        </b:NameList>
      </b:Author>
    </b:Author>
    <b:YearAccessed>2023</b:YearAccessed>
    <b:MonthAccessed>02</b:MonthAccessed>
    <b:DayAccessed>22</b:DayAccessed>
    <b:RefOrder>791</b:RefOrder>
  </b:Source>
  <b:Source>
    <b:Tag>Ter23</b:Tag>
    <b:SourceType>JournalArticle</b:SourceType>
    <b:Guid>{948BD909-D5D7-407B-AF6F-0979B581E0EF}</b:Guid>
    <b:Title>The influence of cause-related marketing campaign structural elements on consumers' cognitive and affective attitudes and purchase intention</b:Title>
    <b:JournalName>International Review on Public and Nonprofit Marketing</b:JournalName>
    <b:Year>2023</b:Year>
    <b:Pages>193-223</b:Pages>
    <b:Author>
      <b:Author>
        <b:NameList>
          <b:Person>
            <b:Last>Terblanche </b:Last>
            <b:Middle>S</b:Middle>
            <b:First>Nic </b:First>
          </b:Person>
          <b:Person>
            <b:Last>Boshoff</b:Last>
            <b:First>Christo </b:First>
          </b:Person>
          <b:Person>
            <b:Last>Eck</b:Last>
            <b:Middle> Human- Van </b:Middle>
            <b:First>Debbie</b:First>
          </b:Person>
        </b:NameList>
      </b:Author>
    </b:Author>
    <b:Volume>20</b:Volume>
    <b:Issue>1</b:Issue>
    <b:YearAccessed>2023</b:YearAccessed>
    <b:MonthAccessed>08</b:MonthAccessed>
    <b:DayAccessed>01</b:DayAccessed>
    <b:DOI>10.1007/s12208-022-00338-2</b:DOI>
    <b:RefOrder>1085</b:RefOrder>
  </b:Source>
  <b:Source>
    <b:Tag>Teo16</b:Tag>
    <b:SourceType>JournalArticle</b:SourceType>
    <b:Guid>{769D3B4E-10C2-46AB-B29D-7C997DF93BCC}</b:Guid>
    <b:Title>Modelling Facebook usage among university students in Thailand: the role of emotional attachment in an extended technology acceptance model</b:Title>
    <b:JournalName>Interactive Learning Environments </b:JournalName>
    <b:Year>2016</b:Year>
    <b:Pages>745-757</b:Pages>
    <b:Author>
      <b:Author>
        <b:NameList>
          <b:Person>
            <b:Last>Teo</b:Last>
            <b:First>Timothy</b:First>
          </b:Person>
        </b:NameList>
      </b:Author>
    </b:Author>
    <b:Volume>24</b:Volume>
    <b:Issue>4</b:Issue>
    <b:YearAccessed>2023</b:YearAccessed>
    <b:MonthAccessed>02</b:MonthAccessed>
    <b:DayAccessed>22</b:DayAccessed>
    <b:DOI>https://doi.org/10.1080/10494820.2014.917110</b:DOI>
    <b:RefOrder>43</b:RefOrder>
  </b:Source>
  <b:Source>
    <b:Tag>Ten20</b:Tag>
    <b:SourceType>JournalArticle</b:SourceType>
    <b:Guid>{EBE07894-2537-4913-8F4E-549E5C80A84A}</b:Guid>
    <b:Title>THE HALO EFFECT IN THE POLITICAL DISCOURSE OF THE ENGLISH-LANGUAGE ONLINE MEDIA</b:Title>
    <b:JournalName>Russian linguistic bulletin</b:JournalName>
    <b:Year>2020</b:Year>
    <b:Pages>106-109</b:Pages>
    <b:Author>
      <b:Author>
        <b:NameList>
          <b:Person>
            <b:Last>Teneva</b:Last>
            <b:Middle>V.</b:Middle>
            <b:First>E.</b:First>
          </b:Person>
        </b:NameList>
      </b:Author>
    </b:Author>
    <b:YearAccessed>2023</b:YearAccessed>
    <b:MonthAccessed>06</b:MonthAccessed>
    <b:DayAccessed>02</b:DayAccessed>
    <b:URL>https://rulb.org/media/legacy_articles/rulb_1137.pdf</b:URL>
    <b:RefOrder>673</b:RefOrder>
  </b:Source>
  <b:Source>
    <b:Tag>Tell19</b:Tag>
    <b:SourceType>JournalArticle</b:SourceType>
    <b:Guid>{CAFD12CB-BD9E-4465-8EDD-CA2CFAC2C3B4}</b:Guid>
    <b:Title>What Drives Virality (Sharing) of OnlineDigital Content? The Critical Role of Information, Emotion, Brand Prominence</b:Title>
    <b:JournalName>Journal of Marketing</b:JournalName>
    <b:Year>2019</b:Year>
    <b:Pages>1-20</b:Pages>
    <b:Volume>83</b:Volume>
    <b:Issue>4</b:Issue>
    <b:YearAccessed>2023</b:YearAccessed>
    <b:MonthAccessed>06</b:MonthAccessed>
    <b:DayAccessed>08</b:DayAccessed>
    <b:DOI>https://doi.org/10.1177/0022242919841034</b:DOI>
    <b:Author>
      <b:Author>
        <b:NameList>
          <b:Person>
            <b:Last>Tellis</b:Last>
            <b:Middle>J.</b:Middle>
            <b:First>Gerard </b:First>
          </b:Person>
          <b:Person>
            <b:Last>MacInnis</b:Last>
            <b:Middle>J.</b:Middle>
            <b:First>Deborah </b:First>
          </b:Person>
          <b:Person>
            <b:Last>Tirunillai</b:Last>
            <b:First>Seshadri </b:First>
          </b:Person>
          <b:Person>
            <b:Last>Zhang</b:Last>
            <b:First>Yanwei </b:First>
          </b:Person>
        </b:NameList>
      </b:Author>
    </b:Author>
    <b:RefOrder>268</b:RefOrder>
  </b:Source>
  <b:Source>
    <b:Tag>Teh17</b:Tag>
    <b:SourceType>JournalArticle</b:SourceType>
    <b:Guid>{55F62FFB-B97E-48CA-AD78-561FD9223B27}</b:Guid>
    <b:Title>Testing and Controlling for Common Method Variance: A Review of Available Methods</b:Title>
    <b:JournalName>Journal of Management Sciences</b:JournalName>
    <b:Year>2017</b:Year>
    <b:Pages>146-175</b:Pages>
    <b:Author>
      <b:Author>
        <b:NameList>
          <b:Person>
            <b:Last>Tehseen</b:Last>
            <b:First>Shehnaz </b:First>
          </b:Person>
          <b:Person>
            <b:Last>Ramayah</b:Last>
            <b:First>T. </b:First>
          </b:Person>
          <b:Person>
            <b:Last>Sajilan</b:Last>
            <b:First>Sulaiman </b:First>
          </b:Person>
        </b:NameList>
      </b:Author>
    </b:Author>
    <b:Volume>4</b:Volume>
    <b:Issue>2</b:Issue>
    <b:YearAccessed>2023</b:YearAccessed>
    <b:MonthAccessed>08</b:MonthAccessed>
    <b:DayAccessed>20</b:DayAccessed>
    <b:DOI>10.20547/jms.2014.1704202</b:DOI>
    <b:RefOrder>933</b:RefOrder>
  </b:Source>
  <b:Source>
    <b:Tag>Tea23</b:Tag>
    <b:SourceType>JournalArticle</b:SourceType>
    <b:Guid>{7F1A6477-2568-4377-9177-3BB9582A7284}</b:Guid>
    <b:Title>Examining the moderating role of principle-based entity of luxury brands and its effects on perceived CSR motives, consumer situational scepticism and brand resonance</b:Title>
    <b:JournalName>Journal of Fashion Marketing and Management</b:JournalName>
    <b:Year>2023</b:Year>
    <b:Month>02</b:Month>
    <b:Day>24</b:Day>
    <b:Publisher>Emerald Publishing Limited</b:Publisher>
    <b:YearAccessed>2023</b:YearAccessed>
    <b:MonthAccessed>07</b:MonthAccessed>
    <b:DayAccessed>03</b:DayAccessed>
    <b:DOI>https://doi.org/10.1108/JFMM-03-2022-0066</b:DOI>
    <b:Author>
      <b:Author>
        <b:NameList>
          <b:Person>
            <b:Last>Teah</b:Last>
            <b:First>Kevin </b:First>
          </b:Person>
          <b:Person>
            <b:Last>Sung</b:Last>
            <b:First>Billy </b:First>
          </b:Person>
          <b:Person>
            <b:Last>Phau</b:Last>
            <b:First>Ian </b:First>
          </b:Person>
        </b:NameList>
      </b:Author>
    </b:Author>
    <b:RefOrder>1086</b:RefOrder>
  </b:Source>
  <b:Source>
    <b:Tag>Tar20</b:Tag>
    <b:SourceType>JournalArticle</b:SourceType>
    <b:Guid>{5D92208C-920F-41B2-AB7A-C4300839B3C9}</b:Guid>
    <b:Title>Does corporate social responsibility improve brands’ responsible and active personality dimensions? An experimental investigation</b:Title>
    <b:JournalName>Journal of Product &amp; Brand Management</b:JournalName>
    <b:Year>2020</b:Year>
    <b:Pages>1016-1032</b:Pages>
    <b:Month>09</b:Month>
    <b:Day>18</b:Day>
    <b:Publisher>Emerald Publishing Limited</b:Publisher>
    <b:Volume>30</b:Volume>
    <b:Issue>7</b:Issue>
    <b:YearAccessed>2023</b:YearAccessed>
    <b:MonthAccessed>06</b:MonthAccessed>
    <b:DayAccessed>03</b:DayAccessed>
    <b:DOI>https://doi.org/10.1108/JPBM-01-2020-2720</b:DOI>
    <b:Author>
      <b:Author>
        <b:NameList>
          <b:Person>
            <b:Last>Tarabashkina</b:Last>
            <b:First>Liudmila </b:First>
          </b:Person>
          <b:Person>
            <b:Last>Tarabashkina</b:Last>
            <b:First>Olga </b:First>
          </b:Person>
          <b:Person>
            <b:Last>Quester</b:Last>
            <b:First>Pascale </b:First>
          </b:Person>
          <b:Person>
            <b:Last>Soutar</b:Last>
            <b:Middle>N.</b:Middle>
            <b:First>Geoffrey </b:First>
          </b:Person>
        </b:NameList>
      </b:Author>
    </b:Author>
    <b:RefOrder>93</b:RefOrder>
  </b:Source>
  <b:Source>
    <b:Tag>Tap22</b:Tag>
    <b:SourceType>JournalArticle</b:SourceType>
    <b:Guid>{3D9761D8-53BA-479C-A49C-E1BC0DA5FF2F}</b:Guid>
    <b:Title>Quantifying spillover and halo effects: an illustration on tourists’ consumption of sustainable and healthy food in hotels</b:Title>
    <b:JournalName>Current Issues in Tourism</b:JournalName>
    <b:Year>2022</b:Year>
    <b:Pages>2552-2556</b:Pages>
    <b:Month>03</b:Month>
    <b:Day>01</b:Day>
    <b:Volume>25</b:Volume>
    <b:Issue>16</b:Issue>
    <b:YearAccessed>2022</b:YearAccessed>
    <b:MonthAccessed>11</b:MonthAccessed>
    <b:DayAccessed>08</b:DayAccessed>
    <b:DOI>https://doi.org/10.1080/13683500.2022.2042496</b:DOI>
    <b:Author>
      <b:Author>
        <b:NameList>
          <b:Person>
            <b:Last>Taplin</b:Last>
            <b:First>Ross </b:First>
          </b:Person>
          <b:Person>
            <b:Last>Volgger</b:Last>
            <b:First>Michael </b:First>
          </b:Person>
          <b:Person>
            <b:Last>Cozzio</b:Last>
            <b:First>Claudia </b:First>
          </b:Person>
        </b:NameList>
      </b:Author>
    </b:Author>
    <b:RefOrder>1087</b:RefOrder>
  </b:Source>
  <b:Source>
    <b:Tag>Tan21</b:Tag>
    <b:SourceType>JournalArticle</b:SourceType>
    <b:Guid>{CFB9FE2A-6882-40FB-8D9C-41A4C06C69DC}</b:Guid>
    <b:Title>Facilitators and Inhibitors of Organic Food Buying Behavior</b:Title>
    <b:JournalName>Food Quality and Preference</b:JournalName>
    <b:Year>2021</b:Year>
    <b:Month>03</b:Month>
    <b:Volume>88</b:Volume>
    <b:YearAccessed>2023</b:YearAccessed>
    <b:MonthAccessed>03</b:MonthAccessed>
    <b:DayAccessed>11</b:DayAccessed>
    <b:DOI>https://doi.org/10.1016/j.foodqual.2020.104077</b:DOI>
    <b:Author>
      <b:Author>
        <b:NameList>
          <b:Person>
            <b:Last>Tandon</b:Last>
            <b:First>Anushree </b:First>
          </b:Person>
          <b:Person>
            <b:Last>Jabeen </b:Last>
            <b:First>Fauzia </b:First>
          </b:Person>
          <b:Person>
            <b:Last>Talwar</b:Last>
            <b:First>Shalini</b:First>
          </b:Person>
          <b:Person>
            <b:Last>Sakashita</b:Last>
            <b:First>Mototaka </b:First>
          </b:Person>
          <b:Person>
            <b:Last>Dhir</b:Last>
            <b:First>Amandeep</b:First>
          </b:Person>
        </b:NameList>
      </b:Author>
    </b:Author>
    <b:RefOrder>640</b:RefOrder>
  </b:Source>
  <b:Source>
    <b:Tag>Taj71</b:Tag>
    <b:SourceType>JournalArticle</b:SourceType>
    <b:Guid>{7C428C0A-9754-43E1-B730-521D51D808F5}</b:Guid>
    <b:Title>Social categorization and intergorup behavior.</b:Title>
    <b:JournalName>European Journal of Social Psychology</b:JournalName>
    <b:Year>1971</b:Year>
    <b:Pages>149-178</b:Pages>
    <b:Author>
      <b:Author>
        <b:NameList>
          <b:Person>
            <b:Last>Tajfel</b:Last>
            <b:First>Henri </b:First>
          </b:Person>
          <b:Person>
            <b:Last>Billig</b:Last>
            <b:Middle>G.</b:Middle>
            <b:First>M. </b:First>
          </b:Person>
          <b:Person>
            <b:Last>Flament</b:Last>
            <b:First>Claude </b:First>
          </b:Person>
          <b:Person>
            <b:Last>Bundy</b:Last>
            <b:Middle>P.</b:Middle>
            <b:First>R.</b:First>
          </b:Person>
        </b:NameList>
      </b:Author>
    </b:Author>
    <b:Month>06</b:Month>
    <b:Volume>1</b:Volume>
    <b:Issue>2</b:Issue>
    <b:YearAccessed>2023</b:YearAccessed>
    <b:MonthAccessed>03</b:MonthAccessed>
    <b:DayAccessed>20</b:DayAccessed>
    <b:DOI>https://doi.org/10.1002/ejsp.2420010202</b:DOI>
    <b:RefOrder>525</b:RefOrder>
  </b:Source>
  <b:Source>
    <b:Tag>Tac17</b:Tag>
    <b:SourceType>JournalArticle</b:SourceType>
    <b:Guid>{DE01F807-A078-4703-9716-7A0CFAC76CAE}</b:Guid>
    <b:Title>Is advertising for losers? An empirical study from a value creation and value capturing perspective</b:Title>
    <b:JournalName>European Management Journal</b:JournalName>
    <b:Year>2017</b:Year>
    <b:Pages>327-335</b:Pages>
    <b:Volume>35</b:Volume>
    <b:Issue>3</b:Issue>
    <b:Month>06</b:Month>
    <b:YearAccessed>2022</b:YearAccessed>
    <b:MonthAccessed>01</b:MonthAccessed>
    <b:DayAccessed>23</b:DayAccessed>
    <b:DOI>https://doi.org/10.1016/j.emj.2016.07.008</b:DOI>
    <b:Author>
      <b:Author>
        <b:NameList>
          <b:Person>
            <b:Last>Tackx</b:Last>
            <b:First>Koen</b:First>
          </b:Person>
          <b:Person>
            <b:Last>Rothenberger</b:Last>
            <b:First>Sandra </b:First>
          </b:Person>
          <b:Person>
            <b:Last>Verdin</b:Last>
            <b:First>Paul</b:First>
          </b:Person>
        </b:NameList>
      </b:Author>
    </b:Author>
    <b:RefOrder>345</b:RefOrder>
  </b:Source>
  <b:Source>
    <b:Tag>zar22</b:Tag>
    <b:SourceType>JournalArticle</b:SourceType>
    <b:Guid>{273742F6-913C-4CE3-A2D3-18D2DBBB8A5B}</b:Guid>
    <b:Title>How to target millennials as beer consumers through social responsibility? The case of Plzenský Prazdroj.</b:Title>
    <b:JournalName>Slovak Journal of Food Sciences</b:JournalName>
    <b:Year>2022</b:Year>
    <b:Pages>670-687</b:Pages>
    <b:Volume>16</b:Volume>
    <b:YearAccessed>2023</b:YearAccessed>
    <b:MonthAccessed>08</b:MonthAccessed>
    <b:DayAccessed>19</b:DayAccessed>
    <b:URL>https://web.s.ebscohost.com/abstract?site=ehost&amp;scope=site&amp;jrnl=13389971&amp;AN=161778133&amp;h=27aGVIRv%2bacaP4rYP%2fyQSqplfxq9zV%2bF5qL9h%2fiEjkF5HRQZDcfKx8ATiNZh3rDrg1ScIXG2nbOa6NFIJbJWEg%3d%3d&amp;crl=c&amp;resultLocal=ErrCrlNoResults&amp;resultNs=Ehost&amp;crlhashurl=login.</b:URL>
    <b:Author>
      <b:Author>
        <b:NameList>
          <b:Person>
            <b:Last>Szarková</b:Last>
            <b:First>Xénia</b:First>
          </b:Person>
          <b:Person>
            <b:Last>Kozáková</b:Last>
            <b:First>Jana</b:First>
          </b:Person>
          <b:Person>
            <b:Last>Savov</b:Last>
            <b:First>Radovan</b:First>
          </b:Person>
        </b:NameList>
      </b:Author>
    </b:Author>
    <b:RefOrder>186</b:RefOrder>
  </b:Source>
  <b:Source>
    <b:Tag>Swa21</b:Tag>
    <b:SourceType>JournalArticle</b:SourceType>
    <b:Guid>{DE0F8BC0-8908-402D-A637-9F8428AC7E04}</b:Guid>
    <b:Title>Impact of customers’ perceptions regarding corporate social responsibility and irresponsibility in the grocery retailing industry: The role of corporate reputation</b:Title>
    <b:JournalName>Journal of Business Research</b:JournalName>
    <b:Year>2021</b:Year>
    <b:Pages>709-721</b:Pages>
    <b:Author>
      <b:Author>
        <b:NameList>
          <b:Person>
            <b:Last>Swaen</b:Last>
            <b:First>Valérie</b:First>
          </b:Person>
          <b:Person>
            <b:Last>Demoulin</b:Last>
            <b:First>Nathalie</b:First>
          </b:Person>
          <b:Person>
            <b:Last>Pauwels-Delassus</b:Last>
            <b:First>Véronique</b:First>
          </b:Person>
        </b:NameList>
      </b:Author>
    </b:Author>
    <b:Month>07</b:Month>
    <b:Volume>131</b:Volume>
    <b:YearAccessed>2022</b:YearAccessed>
    <b:MonthAccessed>02</b:MonthAccessed>
    <b:DayAccessed>22</b:DayAccessed>
    <b:DOI>https://doi.org/10.1016/j.jbusres.2020.12.016</b:DOI>
    <b:RefOrder>380</b:RefOrder>
  </b:Source>
  <b:Source>
    <b:Tag>Sut15</b:Tag>
    <b:SourceType>JournalArticle</b:SourceType>
    <b:Guid>{36EAEB20-107A-4A0B-AA0A-682DC4B3BE02}</b:Guid>
    <b:Title>Qualitative Research: Data Collection, Analysis, and Management</b:Title>
    <b:JournalName>The Canadian Journal of Hospital Pharmacy</b:JournalName>
    <b:Year>2015</b:Year>
    <b:Pages>226-231</b:Pages>
    <b:Month>06</b:Month>
    <b:Volume>68</b:Volume>
    <b:Issue>3</b:Issue>
    <b:YearAccessed>2023</b:YearAccessed>
    <b:MonthAccessed>03</b:MonthAccessed>
    <b:DayAccessed>25</b:DayAccessed>
    <b:DOI>10.4212/cjhp.v68i3.1456</b:DOI>
    <b:Author>
      <b:Author>
        <b:NameList>
          <b:Person>
            <b:Last>Sutton</b:Last>
            <b:First>Jane</b:First>
          </b:Person>
          <b:Person>
            <b:Last>Austin</b:Last>
            <b:First>Zubin </b:First>
          </b:Person>
        </b:NameList>
      </b:Author>
    </b:Author>
    <b:RefOrder>996</b:RefOrder>
  </b:Source>
  <b:Source>
    <b:Tag>Sut13</b:Tag>
    <b:SourceType>JournalArticle</b:SourceType>
    <b:Guid>{213622FE-A14F-43A3-B7DA-1F380B3A3095}</b:Guid>
    <b:Title>A meta-analysis of the relationship between Rater Liking and Performance Ratings</b:Title>
    <b:JournalName>Human Performance</b:JournalName>
    <b:Year>2013</b:Year>
    <b:Pages>409-429</b:Pages>
    <b:Month>11</b:Month>
    <b:Volume>26</b:Volume>
    <b:Issue>05</b:Issue>
    <b:YearAccessed>2022</b:YearAccessed>
    <b:MonthAccessed>06</b:MonthAccessed>
    <b:DayAccessed>16</b:DayAccessed>
    <b:DOI>10.1080/08959285.2013.836523</b:DOI>
    <b:Author>
      <b:Author>
        <b:NameList>
          <b:Person>
            <b:Last>Sutton</b:Last>
            <b:Middle>W.</b:Middle>
            <b:First>Ashley</b:First>
          </b:Person>
          <b:Person>
            <b:Last>Baldwin</b:Last>
            <b:Middle>P.</b:Middle>
            <b:First>Sean </b:First>
          </b:Person>
          <b:Person>
            <b:Last>Wood</b:Last>
            <b:First>Lauren </b:First>
          </b:Person>
          <b:Person>
            <b:Last>Hoffman</b:Last>
            <b:Middle>James </b:Middle>
            <b:First>Brian </b:First>
          </b:Person>
        </b:NameList>
      </b:Author>
    </b:Author>
    <b:RefOrder>280</b:RefOrder>
  </b:Source>
  <b:Source>
    <b:Tag>Sus191</b:Tag>
    <b:SourceType>JournalArticle</b:SourceType>
    <b:Guid>{0FE943BB-D524-4527-ACD3-A1325DEAF539}</b:Guid>
    <b:Title>Causality in the Theory of Planned Behavior</b:Title>
    <b:JournalName>Personality and Social Psychology Bulletin</b:JournalName>
    <b:Year>2019</b:Year>
    <b:Pages>920-933</b:Pages>
    <b:Publisher>Sage</b:Publisher>
    <b:Volume>45</b:Volume>
    <b:Issue>6</b:Issue>
    <b:YearAccessed>2023</b:YearAccessed>
    <b:MonthAccessed>03</b:MonthAccessed>
    <b:DayAccessed>21</b:DayAccessed>
    <b:DOI>/doi.org/10.1177/0146167218801363</b:DOI>
    <b:Author>
      <b:Author>
        <b:NameList>
          <b:Person>
            <b:Last>Sussman</b:Last>
            <b:First>Reuven </b:First>
          </b:Person>
          <b:Person>
            <b:Last>Gifford</b:Last>
            <b:First>Robert</b:First>
          </b:Person>
        </b:NameList>
      </b:Author>
    </b:Author>
    <b:RefOrder>1088</b:RefOrder>
  </b:Source>
  <b:Source>
    <b:Tag>Sus19</b:Tag>
    <b:SourceType>JournalArticle</b:SourceType>
    <b:Guid>{69D82BB7-1A44-49B4-98A3-B0F197413A0A}</b:Guid>
    <b:Title>Causality in the Theory of Planned Behavior</b:Title>
    <b:JournalName>Personality and Social Psychology Bulletin</b:JournalName>
    <b:Year>2019</b:Year>
    <b:Pages>920-933</b:Pages>
    <b:Author>
      <b:Author>
        <b:NameList>
          <b:Person>
            <b:Last>Sussman</b:Last>
            <b:First>Reuven </b:First>
          </b:Person>
          <b:Person>
            <b:Last>Gifford</b:Last>
            <b:First>Robert</b:First>
          </b:Person>
        </b:NameList>
      </b:Author>
    </b:Author>
    <b:Volume>45</b:Volume>
    <b:Issue>6</b:Issue>
    <b:YearAccessed>2023</b:YearAccessed>
    <b:MonthAccessed>03</b:MonthAccessed>
    <b:DayAccessed>02</b:DayAccessed>
    <b:DOI>https://doi.org/10.1177/0146167218801363</b:DOI>
    <b:RefOrder>1089</b:RefOrder>
  </b:Source>
  <b:Source>
    <b:Tag>Sur20</b:Tag>
    <b:SourceType>JournalArticle</b:SourceType>
    <b:Guid>{4B08DFF1-2692-4349-B7CF-B5352DD7CA75}</b:Guid>
    <b:Title>VALIDITY AND RELIABILITY IN QUANTITATIVE RESEARCH</b:Title>
    <b:JournalName>Business &amp; Management Studies: An International Journal</b:JournalName>
    <b:Year>2020</b:Year>
    <b:Pages>2694–2726</b:Pages>
    <b:Volume>8</b:Volume>
    <b:Issue>3</b:Issue>
    <b:Month>25</b:Month>
    <b:Day>09</b:Day>
    <b:YearAccessed>2022</b:YearAccessed>
    <b:MonthAccessed>12</b:MonthAccessed>
    <b:DayAccessed>23</b:DayAccessed>
    <b:DOI>https://doi.org/10.15295/bmij.v8i3.1540</b:DOI>
    <b:Author>
      <b:Author>
        <b:NameList>
          <b:Person>
            <b:Last>Surucu </b:Last>
            <b:First>Lütfi </b:First>
          </b:Person>
          <b:Person>
            <b:Last>Maslakci  </b:Last>
            <b:First>Ahmet </b:First>
          </b:Person>
        </b:NameList>
      </b:Author>
    </b:Author>
    <b:RefOrder>924</b:RefOrder>
  </b:Source>
  <b:Source>
    <b:Tag>Sun21</b:Tag>
    <b:SourceType>JournalArticle</b:SourceType>
    <b:Guid>{6AFC94C4-AE5B-42CF-A562-F420E09FD20E}</b:Guid>
    <b:Title>Is unnatural unhealthy? Think about it: Overcoming negative halo effects from food labels</b:Title>
    <b:JournalName>Psychology &amp; Marketing</b:JournalName>
    <b:Year>2021</b:Year>
    <b:Pages>1280-1292</b:Pages>
    <b:Author>
      <b:Author>
        <b:NameList>
          <b:Person>
            <b:Last>Sundar</b:Last>
            <b:First>Aparna </b:First>
          </b:Person>
          <b:Person>
            <b:Last>Cao</b:Last>
            <b:First>Edita</b:First>
          </b:Person>
          <b:Person>
            <b:Last>Wu</b:Last>
            <b:First>Ruomeng </b:First>
          </b:Person>
          <b:Person>
            <b:Last>Kardes</b:Last>
            <b:Middle>R,</b:Middle>
            <b:First>Frank </b:First>
          </b:Person>
        </b:NameList>
      </b:Author>
    </b:Author>
    <b:Month>03</b:Month>
    <b:Day>31</b:Day>
    <b:Publisher>Wiley Online Library </b:Publisher>
    <b:Volume>38</b:Volume>
    <b:Issue>8</b:Issue>
    <b:YearAccessed>2022</b:YearAccessed>
    <b:MonthAccessed>11</b:MonthAccessed>
    <b:DayAccessed>05</b:DayAccessed>
    <b:DOI>https://doi.org/10.1002/mar.21485</b:DOI>
    <b:RefOrder>651</b:RefOrder>
  </b:Source>
  <b:Source>
    <b:Tag>Sun20</b:Tag>
    <b:SourceType>JournalArticle</b:SourceType>
    <b:Guid>{61215868-7F1D-45C8-A842-2327E2F3C4B2}</b:Guid>
    <b:Title>Understanding consumers’ intentions to purchase green products in the social media marketing context</b:Title>
    <b:JournalName>Asia Pacific Journal of Marketing and Logistics</b:JournalName>
    <b:Year>2020</b:Year>
    <b:Pages>860-878</b:Pages>
    <b:Author>
      <b:Author>
        <b:NameList>
          <b:Person>
            <b:Last>Sun</b:Last>
            <b:First>Ying</b:First>
          </b:Person>
          <b:Person>
            <b:Last>Wang</b:Last>
            <b:First>Shanyong </b:First>
          </b:Person>
        </b:NameList>
      </b:Author>
    </b:Author>
    <b:Month>04</b:Month>
    <b:Day>21</b:Day>
    <b:Volume>32</b:Volume>
    <b:Issue>04</b:Issue>
    <b:YearAccessed>2022</b:YearAccessed>
    <b:MonthAccessed>05</b:MonthAccessed>
    <b:DayAccessed>18</b:DayAccessed>
    <b:DOI>https://doi.org/10.1108/APJML-03-2019-0178</b:DOI>
    <b:RefOrder>28</b:RefOrder>
  </b:Source>
  <b:Source>
    <b:Tag>Sum06</b:Tag>
    <b:SourceType>JournalArticle</b:SourceType>
    <b:Guid>{C3766259-345A-4C8D-B0EB-DE03D83EAED6}</b:Guid>
    <b:Title>Predicting purchase intention of a controversial luxury apparel product</b:Title>
    <b:JournalName>Journal of Fashion Marketing and Management</b:JournalName>
    <b:Year>2006</b:Year>
    <b:Pages>405-419</b:Pages>
    <b:Volume>10</b:Volume>
    <b:Issue>4</b:Issue>
    <b:YearAccessed>2023</b:YearAccessed>
    <b:MonthAccessed>03</b:MonthAccessed>
    <b:DayAccessed>04</b:DayAccessed>
    <b:Author>
      <b:Author>
        <b:NameList>
          <b:Person>
            <b:Last>Summers</b:Last>
            <b:Middle>A.</b:Middle>
            <b:First>T.</b:First>
          </b:Person>
          <b:Person>
            <b:Last>Belleau</b:Last>
            <b:Middle>D</b:Middle>
            <b:First>B.</b:First>
          </b:Person>
          <b:Person>
            <b:Last>Y</b:Last>
            <b:First>Xu</b:First>
          </b:Person>
        </b:NameList>
      </b:Author>
    </b:Author>
    <b:RefOrder>564</b:RefOrder>
  </b:Source>
  <b:Source>
    <b:Tag>Sum18</b:Tag>
    <b:SourceType>InternetSite</b:SourceType>
    <b:Guid>{F4478C8D-64E1-474E-BE7D-5B3CA7583CCC}</b:Guid>
    <b:Title>Different Research Methods: Strengths and Weaknesses</b:Title>
    <b:Year>2018</b:Year>
    <b:InternetSiteTitle>The Learning Scientist</b:InternetSiteTitle>
    <b:Month>03</b:Month>
    <b:Day>08</b:Day>
    <b:URL>https://www.learningscientists.org/blog/2018/3/8-1</b:URL>
    <b:Author>
      <b:Author>
        <b:NameList>
          <b:Person>
            <b:Last>Sumeracki</b:Last>
            <b:First>Megan</b:First>
          </b:Person>
        </b:NameList>
      </b:Author>
    </b:Author>
    <b:RefOrder>777</b:RefOrder>
  </b:Source>
  <b:Source>
    <b:Tag>Sul21</b:Tag>
    <b:SourceType>JournalArticle</b:SourceType>
    <b:Guid>{750DD429-FC24-4D53-A25D-85D072ECD329}</b:Guid>
    <b:Title>How perceived communication source and food value stimulate purchase intention of organic food: An examination of the stimulus-organism-response (SOR) model</b:Title>
    <b:JournalName>Journal of Cleaner Production</b:JournalName>
    <b:Year>2021</b:Year>
    <b:Month>08</b:Month>
    <b:Day>20</b:Day>
    <b:Volume>312</b:Volume>
    <b:YearAccessed>2023</b:YearAccessed>
    <b:MonthAccessed>06</b:MonthAccessed>
    <b:DayAccessed>09</b:DayAccessed>
    <b:DOI>https://doi.org/10.1016/j.jclepro.2021.127807</b:DOI>
    <b:Author>
      <b:Author>
        <b:NameList>
          <b:Person>
            <b:Last>Sultan</b:Last>
            <b:First>Parves</b:First>
          </b:Person>
          <b:Person>
            <b:Last>Wong</b:Last>
            <b:First>Ho Yin </b:First>
          </b:Person>
          <b:Person>
            <b:Last>Azam</b:Last>
            <b:First>Md Shah </b:First>
          </b:Person>
        </b:NameList>
      </b:Author>
    </b:Author>
    <b:RefOrder>645</b:RefOrder>
  </b:Source>
  <b:Source>
    <b:Tag>Sug19</b:Tag>
    <b:SourceType>JournalArticle</b:SourceType>
    <b:Guid>{B5F3E774-B2D8-4B16-9CB9-8CAED655B97B}</b:Guid>
    <b:Title>Examining the relationship between corporate social responsibility, performance, employees’ pro-environmental behavior at work with green practices as mediator</b:Title>
    <b:JournalName>Journal of Cleaner Production</b:JournalName>
    <b:Year>2019</b:Year>
    <b:Pages>739-750</b:Pages>
    <b:Volume>232</b:Volume>
    <b:Month>09</b:Month>
    <b:Day>20</b:Day>
    <b:YearAccessed>2021</b:YearAccessed>
    <b:MonthAccessed>12</b:MonthAccessed>
    <b:DayAccessed>26</b:DayAccessed>
    <b:DOI>https://doi.org/10.1016/j.jclepro.2019.05.295</b:DOI>
    <b:Author>
      <b:Author>
        <b:NameList>
          <b:Person>
            <b:Last>Suganthi</b:Last>
            <b:First>L</b:First>
          </b:Person>
        </b:NameList>
      </b:Author>
    </b:Author>
    <b:RefOrder>14</b:RefOrder>
  </b:Source>
  <b:Source>
    <b:Tag>Sub04</b:Tag>
    <b:SourceType>JournalArticle</b:SourceType>
    <b:Guid>{19FCF659-D323-4FD7-B77B-CE1DC8472B43}</b:Guid>
    <b:Title>Effects of price premium and product type on the choice of cause‐related brands: a Singapore perspective</b:Title>
    <b:JournalName>Journal of Product &amp; Brand Management</b:JournalName>
    <b:Year>2004</b:Year>
    <b:Pages>116-124</b:Pages>
    <b:Volume>13</b:Volume>
    <b:Issue>2</b:Issue>
    <b:Author>
      <b:Author>
        <b:NameList>
          <b:Person>
            <b:Last>Subrahmanyan</b:Last>
            <b:First>Saroja</b:First>
          </b:Person>
        </b:NameList>
      </b:Author>
    </b:Author>
    <b:Month>03</b:Month>
    <b:Day>01</b:Day>
    <b:YearAccessed>2022</b:YearAccessed>
    <b:MonthAccessed>01</b:MonthAccessed>
    <b:DayAccessed>30</b:DayAccessed>
    <b:DOI>https://doi.org/10.1108/10610420410529744</b:DOI>
    <b:RefOrder>1090</b:RefOrder>
  </b:Source>
  <b:Source>
    <b:Tag>SuL20</b:Tag>
    <b:SourceType>JournalArticle</b:SourceType>
    <b:Guid>{61F3F83C-F1F9-4BF9-A021-CF46274AEC48}</b:Guid>
    <b:Title>How do tourists' attribution of destination social responsibility motives impact trust and intention to visit? The moderating role of destination reputation</b:Title>
    <b:JournalName>Tourist Management</b:JournalName>
    <b:Year>2020</b:Year>
    <b:Month>04</b:Month>
    <b:Volume>77</b:Volume>
    <b:YearAccessed>2023</b:YearAccessed>
    <b:MonthAccessed>06</b:MonthAccessed>
    <b:DayAccessed>08</b:DayAccessed>
    <b:DOI>https://doi.org/10.1016/j.tourman.2019.103970</b:DOI>
    <b:Author>
      <b:Author>
        <b:NameList>
          <b:Person>
            <b:Last>Su</b:Last>
            <b:First>Lujun </b:First>
          </b:Person>
          <b:Person>
            <b:Last>Lian</b:Last>
            <b:First>Qi</b:First>
          </b:Person>
          <b:Person>
            <b:Last>Huan</b:Last>
            <b:First>Yinghua </b:First>
          </b:Person>
        </b:NameList>
      </b:Author>
    </b:Author>
    <b:RefOrder>58</b:RefOrder>
  </b:Source>
  <b:Source>
    <b:Tag>Sto21</b:Tag>
    <b:SourceType>JournalArticle</b:SourceType>
    <b:Guid>{49E40D6E-B36E-4CE6-8069-8232089F2FD4}</b:Guid>
    <b:Title>Impact of warning labels on reducing health halo effects of nutrient content claims on breakfast cereal packages: A mixed-measures experiment</b:Title>
    <b:JournalName>Apetite </b:JournalName>
    <b:Year>2021</b:Year>
    <b:Author>
      <b:Author>
        <b:NameList>
          <b:Person>
            <b:Last>Stoltze</b:Last>
            <b:Middle>Mediano </b:Middle>
            <b:First>Fernanda </b:First>
          </b:Person>
          <b:Person>
            <b:Last>Busey</b:Last>
            <b:First>Emily </b:First>
          </b:Person>
          <b:Person>
            <b:Last>Taillie</b:Last>
            <b:Middle>Smith </b:Middle>
            <b:First>Lindsey </b:First>
          </b:Person>
          <b:Person>
            <b:Last>Carpentier</b:Last>
            <b:Middle>R Dillman</b:Middle>
            <b:First>Francesca  </b:First>
          </b:Person>
        </b:NameList>
      </b:Author>
    </b:Author>
    <b:Month>03</b:Month>
    <b:Day>28</b:Day>
    <b:Volume>163</b:Volume>
    <b:YearAccessed>2022</b:YearAccessed>
    <b:MonthAccessed>11</b:MonthAccessed>
    <b:DayAccessed>05</b:DayAccessed>
    <b:DOI>https://doi.org/10.1016/j.appet.2021.105229</b:DOI>
    <b:RefOrder>650</b:RefOrder>
  </b:Source>
  <b:Source>
    <b:Tag>Ste221</b:Tag>
    <b:SourceType>JournalArticle</b:SourceType>
    <b:Guid>{E1E2227A-C4B9-4D8A-8D8D-51414B952FC2}</b:Guid>
    <b:Title>Under the Spell of Your Smartphone: How Dependence Evokes a Halo of Trust in Advertising</b:Title>
    <b:JournalName>Journal of Promotion Management</b:JournalName>
    <b:Year>2022</b:Year>
    <b:Author>
      <b:Author>
        <b:NameList>
          <b:Person>
            <b:Last>Stewart</b:Last>
            <b:First>Kristin </b:First>
          </b:Person>
          <b:Person>
            <b:Last>Perren</b:Last>
            <b:First>Rebeca </b:First>
          </b:Person>
        </b:NameList>
      </b:Author>
    </b:Author>
    <b:Month>08</b:Month>
    <b:Day>11</b:Day>
    <b:YearAccessed>2022</b:YearAccessed>
    <b:MonthAccessed>11</b:MonthAccessed>
    <b:DayAccessed>06</b:DayAccessed>
    <b:DOI>https://doi-org.lsbu.idm.oclc.org/10.1080/10496491.2022.2108188</b:DOI>
    <b:RefOrder>1091</b:RefOrder>
  </b:Source>
  <b:Source>
    <b:Tag>Ste19</b:Tag>
    <b:SourceType>JournalArticle</b:SourceType>
    <b:Guid>{0359E457-FC3C-4EBA-B200-0488B4F81080}</b:Guid>
    <b:Title>Examining digital video advertising (DVA) effectiveness: The role of product category, product involvement, and device</b:Title>
    <b:JournalName>European Journal of Marketing</b:JournalName>
    <b:Year>2019</b:Year>
    <b:Pages>2451-2479</b:Pages>
    <b:Author>
      <b:Author>
        <b:NameList>
          <b:Person>
            <b:Last>Stewart</b:Last>
            <b:First>Kristin </b:First>
          </b:Person>
          <b:Person>
            <b:Last>Kammer-Kerwick</b:Last>
            <b:First>Matt </b:First>
          </b:Person>
          <b:Person>
            <b:Last>Auchter</b:Last>
            <b:First>Allison </b:First>
          </b:Person>
          <b:Person>
            <b:Last>Koh</b:Last>
            <b:Middle>Elizabeth </b:Middle>
            <b:First> Hyeseung </b:First>
          </b:Person>
          <b:Person>
            <b:Last>Dunn</b:Last>
            <b:First>Mary Elizabeth </b:First>
          </b:Person>
          <b:Person>
            <b:Last>Cunningham</b:Last>
            <b:First>Isabella </b:First>
          </b:Person>
        </b:NameList>
      </b:Author>
    </b:Author>
    <b:Month>04</b:Month>
    <b:Day>09</b:Day>
    <b:Publisher>Emerald Publishing Limited</b:Publisher>
    <b:Volume>53</b:Volume>
    <b:Issue>11</b:Issue>
    <b:YearAccessed>2023</b:YearAccessed>
    <b:MonthAccessed>08</b:MonthAccessed>
    <b:DayAccessed>01</b:DayAccessed>
    <b:DOI>https://doi.org/10.1108/EJM-11-2016-0619</b:DOI>
    <b:RefOrder>1092</b:RefOrder>
  </b:Source>
  <b:Source>
    <b:Tag>Ste22</b:Tag>
    <b:SourceType>JournalArticle</b:SourceType>
    <b:Guid>{73E68C72-1E1D-4A33-9ED4-11F088AC432B}</b:Guid>
    <b:Title>Methodological guidance for the conduct of mixed methods systematic reviews</b:Title>
    <b:JournalName>JBI Evidence Synthesis</b:JournalName>
    <b:Pages>2108-2118</b:Pages>
    <b:Author>
      <b:Author>
        <b:NameList>
          <b:Person>
            <b:Last>Stern</b:Last>
            <b:First>Cindy</b:First>
          </b:Person>
          <b:Person>
            <b:Last>Lizarondo</b:Last>
            <b:First>Lucylynn</b:First>
          </b:Person>
          <b:Person>
            <b:Last>Carrier</b:Last>
            <b:First>Judith</b:First>
          </b:Person>
          <b:Person>
            <b:Last>Godfrey</b:Last>
            <b:First>Christina</b:First>
          </b:Person>
          <b:Person>
            <b:Last>Rieger</b:Last>
            <b:First>Kendra</b:First>
          </b:Person>
          <b:Person>
            <b:Last>Salmond</b:Last>
            <b:First>Susan</b:First>
          </b:Person>
          <b:Person>
            <b:Last>Apóstolo</b:Last>
            <b:First>João</b:First>
          </b:Person>
          <b:Person>
            <b:Last>Kirkpatrick</b:Last>
            <b:First>Pamela</b:First>
          </b:Person>
          <b:Person>
            <b:Last>Loveday</b:Last>
            <b:First>Heather</b:First>
          </b:Person>
        </b:NameList>
      </b:Author>
    </b:Author>
    <b:Volume>18</b:Volume>
    <b:Issue>10</b:Issue>
    <b:YearAccessed>2022</b:YearAccessed>
    <b:MonthAccessed>11</b:MonthAccessed>
    <b:DayAccessed>01</b:DayAccessed>
    <b:DOI>10.11124/JBISRIR-D-19-00169</b:DOI>
    <b:Year>2020</b:Year>
    <b:RefOrder>724</b:RefOrder>
  </b:Source>
  <b:Source>
    <b:Tag>Ste09</b:Tag>
    <b:SourceType>JournalArticle</b:SourceType>
    <b:Guid>{88A19E6A-8B39-4327-80E8-6A3DA7F72F44}</b:Guid>
    <b:Title>Testing the mediating role of cognitive responses in the elaboration likelihood model</b:Title>
    <b:JournalName>Communication Studies</b:JournalName>
    <b:Year>2009</b:Year>
    <b:Pages>324-337</b:Pages>
    <b:Month>05</b:Month>
    <b:Day>22</b:Day>
    <b:Volume>52</b:Volume>
    <b:Issue>01</b:Issue>
    <b:YearAccessed>2022</b:YearAccessed>
    <b:MonthAccessed>09</b:MonthAccessed>
    <b:DayAccessed>27</b:DayAccessed>
    <b:URL>https://doi.org/10.1080/10510970109388567</b:URL>
    <b:Author>
      <b:Author>
        <b:NameList>
          <b:Person>
            <b:Last>Stephenson </b:Last>
            <b:Middle>T.</b:Middle>
            <b:First>Michael</b:First>
          </b:Person>
          <b:Person>
            <b:Last>Benoit</b:Last>
            <b:Middle>L.</b:Middle>
            <b:First>William</b:First>
          </b:Person>
          <b:Person>
            <b:Last>Tschida</b:Last>
            <b:Middle>A.</b:Middle>
            <b:First>David</b:First>
          </b:Person>
        </b:NameList>
      </b:Author>
    </b:Author>
    <b:RefOrder>523</b:RefOrder>
  </b:Source>
  <b:Source>
    <b:Tag>Sta17</b:Tag>
    <b:SourceType>JournalArticle</b:SourceType>
    <b:Guid>{D53A7B47-9486-4776-8455-9411D6C9CF32}</b:Guid>
    <b:Title>Pragmatic Truths in Organization Studies</b:Title>
    <b:JournalName>Philosophy of Management</b:JournalName>
    <b:Year>2017</b:Year>
    <b:Pages>265-278</b:Pages>
    <b:Author>
      <b:Author>
        <b:NameList>
          <b:Person>
            <b:Last>Statler</b:Last>
            <b:First>Matt </b:First>
          </b:Person>
          <b:Person>
            <b:Last>Salovaara </b:Last>
            <b:First>Perttu </b:First>
          </b:Person>
        </b:NameList>
      </b:Author>
    </b:Author>
    <b:Month>07</b:Month>
    <b:Day>04</b:Day>
    <b:Volume>16</b:Volume>
    <b:YearAccessed>2023</b:YearAccessed>
    <b:MonthAccessed>02</b:MonthAccessed>
    <b:DayAccessed>09</b:DayAccessed>
    <b:DOI>https://doi.org/10.1007/s40926-017-0068-8</b:DOI>
    <b:RefOrder>734</b:RefOrder>
  </b:Source>
  <b:Source>
    <b:Tag>Sta22</b:Tag>
    <b:SourceType>Report</b:SourceType>
    <b:Guid>{07150FA9-26F8-4DE5-BBA7-A4F3C45782FC}</b:Guid>
    <b:Title>Social media advertising and marketing worldwide</b:Title>
    <b:Year>2022</b:Year>
    <b:Publisher>Statista</b:Publisher>
    <b:Author>
      <b:Author>
        <b:NameList>
          <b:Person>
            <b:Last>Statista </b:Last>
          </b:Person>
        </b:NameList>
      </b:Author>
    </b:Author>
    <b:YearAccessed>2023</b:YearAccessed>
    <b:MonthAccessed>02</b:MonthAccessed>
    <b:DayAccessed>21</b:DayAccessed>
    <b:URL>file:///C:/Users/sadekn4/Downloads/study_id15449_social-media-marketing-worldwide.pdf</b:URL>
    <b:RefOrder>422</b:RefOrder>
  </b:Source>
  <b:Source>
    <b:Tag>Sta12</b:Tag>
    <b:SourceType>JournalArticle</b:SourceType>
    <b:Guid>{BC8419B5-784A-45D7-B1D5-12B0A58643BC}</b:Guid>
    <b:Title>The Impact of Brand Equity on Customer Acquisition, Retention, and Profit Margin</b:Title>
    <b:JournalName>Journal of Marketing </b:JournalName>
    <b:Year>2012</b:Year>
    <b:Author>
      <b:Author>
        <b:NameList>
          <b:Person>
            <b:Last>Stahl</b:Last>
            <b:First>Florian</b:First>
          </b:Person>
          <b:Person>
            <b:Last>Heitmann</b:Last>
            <b:First>Mark</b:First>
          </b:Person>
          <b:Person>
            <b:Last>Lehmann</b:Last>
            <b:Middle>R</b:Middle>
            <b:First>Donald </b:First>
          </b:Person>
          <b:Person>
            <b:Last>Neslin</b:Last>
            <b:Middle>A</b:Middle>
            <b:First>Scott</b:First>
          </b:Person>
        </b:NameList>
      </b:Author>
    </b:Author>
    <b:Month>07</b:Month>
    <b:Day>01</b:Day>
    <b:Publisher>76</b:Publisher>
    <b:Volume>4</b:Volume>
    <b:YearAccessed>2022</b:YearAccessed>
    <b:MonthAccessed>01</b:MonthAccessed>
    <b:DayAccessed>24</b:DayAccessed>
    <b:DOI>https://doi.org/10.1509/jm.10.0522</b:DOI>
    <b:RefOrder>148</b:RefOrder>
  </b:Source>
  <b:Source>
    <b:Tag>Sri15</b:Tag>
    <b:SourceType>JournalArticle</b:SourceType>
    <b:Guid>{B30A6B46-4FDC-4750-BC58-3FD238666AEF}</b:Guid>
    <b:Title>Antecedents and moderators of brand trust in the context of baby care tioletries</b:Title>
    <b:JournalName>Journal of Consumer Marketing</b:JournalName>
    <b:Year>2015</b:Year>
    <b:Pages>328-340</b:Pages>
    <b:Month>08</b:Month>
    <b:Day>10</b:Day>
    <b:Publisher>Emerald Group Publishing Limited</b:Publisher>
    <b:Volume>32</b:Volume>
    <b:Issue>05</b:Issue>
    <b:YearAccessed>2022</b:YearAccessed>
    <b:MonthAccessed>10</b:MonthAccessed>
    <b:DayAccessed>07</b:DayAccessed>
    <b:URL>https://doi.org/10.1108/JCM-09-2014-1157</b:URL>
    <b:Author>
      <b:Author>
        <b:NameList>
          <b:Person>
            <b:Last>Srivastava</b:Last>
            <b:First>Neha </b:First>
          </b:Person>
          <b:Person>
            <b:Last>Dash</b:Last>
            <b:Middle>Bhushan </b:Middle>
            <b:First>Satya </b:First>
          </b:Person>
          <b:Person>
            <b:Last>Mookerjee </b:Last>
            <b:First>Amit </b:First>
          </b:Person>
        </b:NameList>
      </b:Author>
    </b:Author>
    <b:RefOrder>1093</b:RefOrder>
  </b:Source>
  <b:Source>
    <b:Tag>Sri23</b:Tag>
    <b:SourceType>DocumentFromInternetSite</b:SourceType>
    <b:Guid>{E8A065E8-A96B-4BD2-A13A-B0A0E4D99279}</b:Guid>
    <b:Title>Sample Size Formula</b:Title>
    <b:Year>2023</b:Year>
    <b:YearAccessed>2022</b:YearAccessed>
    <b:MonthAccessed>12</b:MonthAccessed>
    <b:DayAccessed>22</b:DayAccessed>
    <b:URL>https://www.wallstreetmojo.com/sample-size-formula/</b:URL>
    <b:Author>
      <b:Author>
        <b:NameList>
          <b:Person>
            <b:Last>Srivastav</b:Last>
            <b:Middle>Kumar </b:Middle>
            <b:First>Ashish </b:First>
          </b:Person>
          <b:Person>
            <b:Last>Vaidya</b:Last>
            <b:First>Dheeraj </b:First>
          </b:Person>
        </b:NameList>
      </b:Author>
    </b:Author>
    <b:RefOrder>910</b:RefOrder>
  </b:Source>
  <b:Source>
    <b:Tag>Spe00</b:Tag>
    <b:SourceType>JournalArticle</b:SourceType>
    <b:Guid>{87E0202B-1B0A-4538-9B1F-3861C02DBC68}</b:Guid>
    <b:Title>Determinants of sports sponsorship response</b:Title>
    <b:JournalName>Journal of the Academy of Marketing Science</b:JournalName>
    <b:Year>2000</b:Year>
    <b:Pages>226-238</b:Pages>
    <b:Author>
      <b:Author>
        <b:NameList>
          <b:Person>
            <b:Last>Speed</b:Last>
            <b:First>Richard </b:First>
          </b:Person>
          <b:Person>
            <b:Last>Thompson </b:Last>
            <b:First>Peter </b:First>
          </b:Person>
        </b:NameList>
      </b:Author>
    </b:Author>
    <b:Month>03</b:Month>
    <b:Volume>28</b:Volume>
    <b:YearAccessed>2022</b:YearAccessed>
    <b:MonthAccessed>11</b:MonthAccessed>
    <b:DayAccessed>20</b:DayAccessed>
    <b:DOI>https://doi.org/10.1177/0092070300282004</b:DOI>
    <b:RefOrder>1094</b:RefOrder>
  </b:Source>
  <b:Source>
    <b:Tag>Spe04</b:Tag>
    <b:SourceType>JournalArticle</b:SourceType>
    <b:Guid>{3B144ED0-27E5-4F18-8E80-A0034FC88EAF}</b:Guid>
    <b:Title>Measuring Attitude Toward the Brand and Purchase Intentions</b:Title>
    <b:JournalName>Journal of Current Issues &amp; Research in Advertising</b:JournalName>
    <b:Year>2004</b:Year>
    <b:Pages>53-66</b:Pages>
    <b:Month>09</b:Month>
    <b:Day>1</b:Day>
    <b:Publisher>Taylor &amp; Francis Group</b:Publisher>
    <b:Volume>26</b:Volume>
    <b:Issue>2</b:Issue>
    <b:YearAccessed>2023</b:YearAccessed>
    <b:MonthAccessed>07</b:MonthAccessed>
    <b:DayAccessed>28</b:DayAccessed>
    <b:DOI>10.1080/10641734.2004.10505164</b:DOI>
    <b:Author>
      <b:Author>
        <b:NameList>
          <b:Person>
            <b:Last>Spears</b:Last>
            <b:First>Nancy</b:First>
          </b:Person>
          <b:Person>
            <b:Last>Singh</b:Last>
            <b:Middle>N.</b:Middle>
            <b:First>Surendra </b:First>
          </b:Person>
        </b:NameList>
      </b:Author>
    </b:Author>
    <b:RefOrder>235</b:RefOrder>
  </b:Source>
  <b:Source>
    <b:Tag>Son13</b:Tag>
    <b:SourceType>JournalArticle</b:SourceType>
    <b:Guid>{326173CE-DC5B-474A-8401-C0AF1ACC2442}</b:Guid>
    <b:Title>Consumers' purchase intention toward foreign brand goods</b:Title>
    <b:JournalName>Management Decision</b:JournalName>
    <b:Year>2013</b:Year>
    <b:Month>03</b:Month>
    <b:Day>01</b:Day>
    <b:Publisher>Emerald Group Publishing Limited</b:Publisher>
    <b:Volume>51</b:Volume>
    <b:Issue>2</b:Issue>
    <b:YearAccessed>2023</b:YearAccessed>
    <b:MonthAccessed>03</b:MonthAccessed>
    <b:DayAccessed>04</b:DayAccessed>
    <b:URL>https://doi.org/10.1108/00251741311301902</b:URL>
    <b:Author>
      <b:Author>
        <b:NameList>
          <b:Person>
            <b:Last>Son</b:Last>
            <b:First>Junghwa </b:First>
          </b:Person>
          <b:Person>
            <b:Last>Jin</b:Last>
            <b:First>Byoungho </b:First>
          </b:Person>
          <b:Person>
            <b:Last>George</b:Last>
            <b:First>Bobby </b:First>
          </b:Person>
        </b:NameList>
      </b:Author>
    </b:Author>
    <b:RefOrder>586</b:RefOrder>
  </b:Source>
  <b:Source>
    <b:Tag>Soh22</b:Tag>
    <b:SourceType>JournalArticle</b:SourceType>
    <b:Guid>{D09ABDFD-439B-4F3E-803B-AC426476427D}</b:Guid>
    <b:Title>Role of social media marketing activities in China’s e-commerce industry: A stimulus organism response theory context</b:Title>
    <b:JournalName>Frontiers in Psychology</b:JournalName>
    <b:Year>2022</b:Year>
    <b:Month>08</b:Month>
    <b:Day>05</b:Day>
    <b:Volume>13</b:Volume>
    <b:YearAccessed>2023</b:YearAccessed>
    <b:MonthAccessed>03</b:MonthAccessed>
    <b:DayAccessed>10</b:DayAccessed>
    <b:URL>https://www.ncbi.nlm.nih.gov/pmc/articles/PMC9389151/#</b:URL>
    <b:Author>
      <b:Author>
        <b:NameList>
          <b:Person>
            <b:Last>Sohaib</b:Last>
            <b:First>Muhammad</b:First>
          </b:Person>
          <b:Person>
            <b:Last>Safeer</b:Last>
            <b:Middle>Asif</b:Middle>
            <b:First>Ali</b:First>
          </b:Person>
          <b:Person>
            <b:Last>Majeed</b:Last>
            <b:First>Abdul</b:First>
          </b:Person>
        </b:NameList>
      </b:Author>
    </b:Author>
    <b:RefOrder>624</b:RefOrder>
  </b:Source>
  <b:Source>
    <b:Tag>Soa22</b:Tag>
    <b:SourceType>JournalArticle</b:SourceType>
    <b:Guid>{E41EE4CF-FE91-4398-8A1D-2E1E7CA68EA6}</b:Guid>
    <b:Title>Assessing the effects of COVID-19-related risk on online shopping behavior</b:Title>
    <b:JournalName>Journal of Marketing Analytics</b:JournalName>
    <b:Year>2022</b:Year>
    <b:Month>02</b:Month>
    <b:Volume>11</b:Volume>
    <b:Issue>1</b:Issue>
    <b:YearAccessed>2023</b:YearAccessed>
    <b:MonthAccessed>03</b:MonthAccessed>
    <b:DayAccessed>10</b:DayAccessed>
    <b:DOI>10.1057/s41270-022-00156-9</b:DOI>
    <b:Author>
      <b:Author>
        <b:NameList>
          <b:Person>
            <b:Last>Soares</b:Last>
            <b:Middle>Coelho </b:Middle>
            <b:First>João </b:First>
          </b:Person>
          <b:Person>
            <b:Last>Limongi</b:Last>
            <b:First>Ricardo </b:First>
          </b:Person>
          <b:Person>
            <b:Last>Henriques de Sousa Júnior</b:Last>
            <b:First>João </b:First>
          </b:Person>
          <b:Person>
            <b:Last>Santos</b:Last>
            <b:Middle>Soares </b:Middle>
            <b:First>Weverson </b:First>
          </b:Person>
        </b:NameList>
      </b:Author>
    </b:Author>
    <b:RefOrder>1095</b:RefOrder>
  </b:Source>
  <b:Source>
    <b:Tag>Sno04</b:Tag>
    <b:SourceType>JournalArticle</b:SourceType>
    <b:Guid>{55F3E007-1F21-4B84-9268-B8D40E0C1981}</b:Guid>
    <b:Title>The relationships among perceived quality, perceived risk and percieved product value</b:Title>
    <b:JournalName>Journal of Product and Brand Management</b:JournalName>
    <b:Year>2004</b:Year>
    <b:Pages>156-167</b:Pages>
    <b:Author>
      <b:Author>
        <b:NameList>
          <b:Person>
            <b:Last>Snoj</b:Last>
            <b:First>Boris </b:First>
          </b:Person>
          <b:Person>
            <b:Last>Korda</b:Last>
            <b:Middle>Pisnik </b:Middle>
            <b:First>Aleksandra </b:First>
          </b:Person>
          <b:Person>
            <b:Last>Mumel</b:Last>
            <b:First>Damijan </b:First>
          </b:Person>
        </b:NameList>
      </b:Author>
    </b:Author>
    <b:Month>05</b:Month>
    <b:Day>01</b:Day>
    <b:Volume>13</b:Volume>
    <b:Issue>03</b:Issue>
    <b:YearAccessed>2022</b:YearAccessed>
    <b:MonthAccessed>06</b:MonthAccessed>
    <b:DayAccessed>03</b:DayAccessed>
    <b:DOI>https://doi.org/10.1108/10610420410538050</b:DOI>
    <b:RefOrder>1096</b:RefOrder>
  </b:Source>
  <b:Source>
    <b:Tag>Sni141</b:Tag>
    <b:SourceType>JournalArticle</b:SourceType>
    <b:Guid>{E5CECA2B-D90E-4CC9-A03B-F0499BDB53E5}</b:Guid>
    <b:Title>Time to retire the theory of planned behaviour</b:Title>
    <b:JournalName>Health Psychology Review</b:JournalName>
    <b:Year>2014</b:Year>
    <b:Pages>1-7</b:Pages>
    <b:Month>01</b:Month>
    <b:Day>02</b:Day>
    <b:Volume>8</b:Volume>
    <b:Issue>1</b:Issue>
    <b:YearAccessed>2023</b:YearAccessed>
    <b:MonthAccessed>04</b:MonthAccessed>
    <b:DayAccessed>17</b:DayAccessed>
    <b:DOI>https://doi.org/10.1080/17437199.2013.869710</b:DOI>
    <b:Author>
      <b:Author>
        <b:NameList>
          <b:Person>
            <b:Last>Sniehotta</b:Last>
            <b:Middle>F.</b:Middle>
            <b:First>Falko </b:First>
          </b:Person>
          <b:Person>
            <b:Last>Presseau</b:Last>
            <b:First>Justin </b:First>
          </b:Person>
          <b:Person>
            <b:Last>Araújo-Soares</b:Last>
            <b:First>Vera </b:First>
          </b:Person>
        </b:NameList>
      </b:Author>
    </b:Author>
    <b:RefOrder>1034</b:RefOrder>
  </b:Source>
  <b:Source>
    <b:Tag>Sni14</b:Tag>
    <b:SourceType>JournalArticle</b:SourceType>
    <b:Guid>{30462FBC-3B39-4E3D-9B87-2F7D862DDBCB}</b:Guid>
    <b:Title>Time to retire the theory of planned</b:Title>
    <b:JournalName>Health Psychology Review</b:JournalName>
    <b:Year>2014</b:Year>
    <b:Pages>1-7</b:Pages>
    <b:Month>12</b:Month>
    <b:Day>31</b:Day>
    <b:Publisher>Routledge</b:Publisher>
    <b:Volume>8</b:Volume>
    <b:Issue>1</b:Issue>
    <b:YearAccessed>2023</b:YearAccessed>
    <b:MonthAccessed>03</b:MonthAccessed>
    <b:DayAccessed>16</b:DayAccessed>
    <b:DOI>10.1080/17437199.2013.869710 </b:DOI>
    <b:Author>
      <b:Author>
        <b:NameList>
          <b:Person>
            <b:Last>Sniehotta</b:Last>
            <b:Middle>F.</b:Middle>
            <b:First>Falko </b:First>
          </b:Person>
          <b:Person>
            <b:Last>Presseau</b:Last>
            <b:First>Justin </b:First>
          </b:Person>
          <b:Person>
            <b:Last>Araújo-Soares</b:Last>
            <b:First>Vera </b:First>
          </b:Person>
        </b:NameList>
      </b:Author>
    </b:Author>
    <b:RefOrder>579</b:RefOrder>
  </b:Source>
  <b:Source>
    <b:Tag>Smi09</b:Tag>
    <b:SourceType>JournalArticle</b:SourceType>
    <b:Guid>{BA177FB7-1F53-4604-B378-FD604532A30E}</b:Guid>
    <b:Title>Social contract theory and the ethics of deception in consumer research</b:Title>
    <b:JournalName>Journal of Consumer Psychology</b:JournalName>
    <b:Year>2009</b:Year>
    <b:Pages>486-496</b:Pages>
    <b:Month>07</b:Month>
    <b:Volume>19</b:Volume>
    <b:Issue>3</b:Issue>
    <b:YearAccessed>2023</b:YearAccessed>
    <b:MonthAccessed>02</b:MonthAccessed>
    <b:DayAccessed>17</b:DayAccessed>
    <b:DOI>https://doi.org/10.1016/j.jcps.2009.04.007</b:DOI>
    <b:Author>
      <b:Author>
        <b:NameList>
          <b:Person>
            <b:Last>Smith</b:Last>
            <b:Middle>Craig </b:Middle>
            <b:First>N. </b:First>
          </b:Person>
          <b:Person>
            <b:Last>Kimmel </b:Last>
            <b:Middle>J.</b:Middle>
            <b:First>Allan </b:First>
          </b:Person>
          <b:Person>
            <b:Last>Klein</b:Last>
            <b:Middle>Gabrielle </b:Middle>
            <b:First>Jill </b:First>
          </b:Person>
        </b:NameList>
      </b:Author>
    </b:Author>
    <b:RefOrder>540</b:RefOrder>
  </b:Source>
  <b:Source>
    <b:Tag>Smi10</b:Tag>
    <b:SourceType>JournalArticle</b:SourceType>
    <b:Guid>{9A86D34E-E10E-40A3-B627-DA4CA8EE1F47}</b:Guid>
    <b:Title>Consumer Perceptions of Corporate Social Responsibility: The CSR Halo Effect</b:Title>
    <b:JournalName>SSRN Electronic Journal</b:JournalName>
    <b:Year>2010</b:Year>
    <b:Month>03</b:Month>
    <b:Publisher>ResearchGate</b:Publisher>
    <b:YearAccessed>2022</b:YearAccessed>
    <b:MonthAccessed>11</b:MonthAccessed>
    <b:DayAccessed>06</b:DayAccessed>
    <b:DOI>10.2139/ssrn.1577000</b:DOI>
    <b:Author>
      <b:Author>
        <b:NameList>
          <b:Person>
            <b:Last>Smith</b:Last>
            <b:Middle>Craig</b:Middle>
            <b:First>N</b:First>
          </b:Person>
          <b:Person>
            <b:Last>Read</b:Last>
            <b:First>Daniel </b:First>
          </b:Person>
          <b:Person>
            <b:Last>López-Rodríguez</b:Last>
            <b:First>Sofía </b:First>
          </b:Person>
        </b:NameList>
      </b:Author>
    </b:Author>
    <b:RefOrder>659</b:RefOrder>
  </b:Source>
  <b:Source>
    <b:Tag>Smi15</b:Tag>
    <b:SourceType>JournalArticle</b:SourceType>
    <b:Guid>{488546A2-43A8-45C2-80A1-C601969A191A}</b:Guid>
    <b:Title>Associations between perceptions of e-cigarette advertising and interest in product trial amongst US adult smokers and non-smokers: results from an internet-based pilot survey</b:Title>
    <b:JournalName>Tobacco Induced Diseases </b:JournalName>
    <b:Year>2015</b:Year>
    <b:Month>06</b:Month>
    <b:Volume>14</b:Volume>
    <b:Issue>1</b:Issue>
    <b:YearAccessed>2022</b:YearAccessed>
    <b:MonthAccessed>02</b:MonthAccessed>
    <b:DayAccessed>03</b:DayAccessed>
    <b:DOI>10.1186/s12971-015-0039-6.</b:DOI>
    <b:Author>
      <b:Author>
        <b:NameList>
          <b:Person>
            <b:Last>Smith</b:Last>
            <b:Middle>M</b:Middle>
            <b:First>Danielle</b:First>
          </b:Person>
          <b:Person>
            <b:Last>Bansal-Travers</b:Last>
            <b:First>Maansi</b:First>
          </b:Person>
          <b:Person>
            <b:Last>O'Connor</b:Last>
            <b:Middle>J</b:Middle>
            <b:First>Richard</b:First>
          </b:Person>
          <b:Person>
            <b:Last>Goniewicz</b:Last>
            <b:Middle>L</b:Middle>
            <b:First>Maciej</b:First>
          </b:Person>
          <b:Person>
            <b:Last>Hyland</b:Last>
            <b:First>Andrew</b:First>
          </b:Person>
        </b:NameList>
      </b:Author>
    </b:Author>
    <b:RefOrder>167</b:RefOrder>
  </b:Source>
  <b:Source>
    <b:Tag>Sme19</b:Tag>
    <b:SourceType>JournalArticle</b:SourceType>
    <b:Guid>{260CCA15-50BA-4B31-86CE-5FA63AF8E61E}</b:Guid>
    <b:Title>Revealed preference theory: An algorithmic outlook</b:Title>
    <b:JournalName>European Journal of Operational Research</b:JournalName>
    <b:Year>2019</b:Year>
    <b:Pages>803-815</b:Pages>
    <b:Volume>272</b:Volume>
    <b:Issue>3</b:Issue>
    <b:Author>
      <b:Author>
        <b:NameList>
          <b:Person>
            <b:Last>Smeulders</b:Last>
            <b:First>Bart</b:First>
          </b:Person>
          <b:Person>
            <b:Last>Crama</b:Last>
            <b:First>Yves</b:First>
          </b:Person>
          <b:Person>
            <b:Last>Spieksma</b:Last>
            <b:Middle>C.R.</b:Middle>
            <b:First>Frits </b:First>
          </b:Person>
        </b:NameList>
      </b:Author>
    </b:Author>
    <b:Month>02</b:Month>
    <b:YearAccessed>2023</b:YearAccessed>
    <b:MonthAccessed>01</b:MonthAccessed>
    <b:DayAccessed>31</b:DayAccessed>
    <b:DOI>https://doi.org/10.1016/j.ejor.2018.04.026</b:DOI>
    <b:RefOrder>966</b:RefOrder>
  </b:Source>
  <b:Source>
    <b:Tag>Sma17</b:Tag>
    <b:SourceType>BookSection</b:SourceType>
    <b:Guid>{2E95A4F5-ED3E-4A84-A3E2-5649D2C5DF7C}</b:Guid>
    <b:Title>Chapter 12 - Nonparametric Tests</b:Title>
    <b:BookTitle>Data Literacy. How to Make your Experiments Robust and Reproducible</b:BookTitle>
    <b:Year>2017</b:Year>
    <b:Pages>157-167</b:Pages>
    <b:Publisher>Elsevier Inc.</b:Publisher>
    <b:Author>
      <b:Author>
        <b:NameList>
          <b:Person>
            <b:Last>Smalheiser</b:Last>
            <b:Middle>R,</b:Middle>
            <b:First>Neil </b:First>
          </b:Person>
        </b:NameList>
      </b:Author>
    </b:Author>
    <b:YearAccessed>2023</b:YearAccessed>
    <b:MonthAccessed>01</b:MonthAccessed>
    <b:DayAccessed>15</b:DayAccessed>
    <b:DOI>https://doi.org/10.1016/B978-0-12-811306-6.00012-9</b:DOI>
    <b:RefOrder>945</b:RefOrder>
  </b:Source>
  <b:Source>
    <b:Tag>Sir05</b:Tag>
    <b:SourceType>JournalArticle</b:SourceType>
    <b:Guid>{9CB7F525-7695-4D3E-8666-2AB044A76B59}</b:Guid>
    <b:Title>Explaining housing preference and choice: The role of self-congruity and functional congruity</b:Title>
    <b:JournalName>Journal of Housing and the Built Environment</b:JournalName>
    <b:Year>2005</b:Year>
    <b:Pages>329-347</b:Pages>
    <b:Month>11</b:Month>
    <b:Day>15</b:Day>
    <b:Volume>20</b:Volume>
    <b:YearAccessed>2023</b:YearAccessed>
    <b:MonthAccessed>03</b:MonthAccessed>
    <b:DayAccessed>18</b:DayAccessed>
    <b:DOI>https://doi.org/10.1007/s10901-005-9020-7</b:DOI>
    <b:Author>
      <b:Author>
        <b:NameList>
          <b:Person>
            <b:Last>Sirgy</b:Last>
            <b:Middle>Joseph </b:Middle>
            <b:First>M. </b:First>
          </b:Person>
          <b:Person>
            <b:Last>Grzeskowiak</b:Last>
            <b:First>Stephan </b:First>
          </b:Person>
          <b:Person>
            <b:Last>Su</b:Last>
            <b:First>Chenting</b:First>
          </b:Person>
        </b:NameList>
      </b:Author>
    </b:Author>
    <b:RefOrder>1097</b:RefOrder>
  </b:Source>
  <b:Source>
    <b:Tag>Sir85</b:Tag>
    <b:SourceType>JournalArticle</b:SourceType>
    <b:Guid>{037163BC-F935-4E1B-AC13-5CAF83D7BF69}</b:Guid>
    <b:Title>Using self-congruity and ideal congruity to predict purchase motivation</b:Title>
    <b:JournalName>Journal of Business Research</b:JournalName>
    <b:Year>1985</b:Year>
    <b:Pages>195-206</b:Pages>
    <b:Volume>13</b:Volume>
    <b:Issue>3</b:Issue>
    <b:Month>06</b:Month>
    <b:YearAccessed>2022</b:YearAccessed>
    <b:MonthAccessed>12</b:MonthAccessed>
    <b:DayAccessed>06</b:DayAccessed>
    <b:URL>https://doi.org/10.1016/0148-2963(85)90026-8</b:URL>
    <b:Author>
      <b:Author>
        <b:NameList>
          <b:Person>
            <b:Last>Sirgy</b:Last>
            <b:Middle>Joseph</b:Middle>
            <b:First>M.</b:First>
          </b:Person>
        </b:NameList>
      </b:Author>
    </b:Author>
    <b:RefOrder>1039</b:RefOrder>
  </b:Source>
  <b:Source>
    <b:Tag>Sin19</b:Tag>
    <b:SourceType>JournalArticle</b:SourceType>
    <b:Guid>{5A8B523D-C3D2-4030-B5B3-678D7170B27B}</b:Guid>
    <b:Title>Factors influencing the purchase intention of consumers towards remanufactured products: a systematic review and meta-analysis</b:Title>
    <b:JournalName>International Journal of Production Research</b:JournalName>
    <b:Year>2019</b:Year>
    <b:Pages>7289-7299</b:Pages>
    <b:Volume>57</b:Volume>
    <b:Issue>23</b:Issue>
    <b:Month>03</b:Month>
    <b:Day>29</b:Day>
    <b:YearAccessed>2021</b:YearAccessed>
    <b:MonthAccessed>12</b:MonthAccessed>
    <b:DayAccessed>26</b:DayAccessed>
    <b:DOI>https://doi.org/10.1080/00207543.2019.1598590</b:DOI>
    <b:Author>
      <b:Author>
        <b:NameList>
          <b:Person>
            <b:Last>Singhal</b:Last>
            <b:First>Deepak</b:First>
          </b:Person>
          <b:Person>
            <b:Last>Jena</b:Last>
            <b:Middle>Kumar</b:Middle>
            <b:First>Sarat</b:First>
          </b:Person>
          <b:Person>
            <b:Last>Tripathy</b:Last>
            <b:First>Sushanta</b:First>
          </b:Person>
        </b:NameList>
      </b:Author>
    </b:Author>
    <b:RefOrder>366</b:RefOrder>
  </b:Source>
  <b:Source>
    <b:Tag>Sin22</b:Tag>
    <b:SourceType>Book</b:SourceType>
    <b:Guid>{3C3B7219-DDB1-4E29-BD92-2917456DFD42}</b:Guid>
    <b:Title>Entrepreneurial Rise in the Middle East and North Africa</b:Title>
    <b:Year>2022</b:Year>
    <b:Publisher>Emerald Publishing Limited</b:Publisher>
    <b:Author>
      <b:Author>
        <b:NameList>
          <b:Person>
            <b:Last>Sindakis</b:Last>
            <b:First>Stavros</b:First>
          </b:Person>
          <b:Person>
            <b:Last>Aggarwal</b:Last>
            <b:First>Sakshi</b:First>
          </b:Person>
        </b:NameList>
      </b:Author>
    </b:Author>
    <b:YearAccessed>2023</b:YearAccessed>
    <b:MonthAccessed>02</b:MonthAccessed>
    <b:DayAccessed>18</b:DayAccessed>
    <b:DOI>https://www.emerald.com/insight/content/doi/10.1108/978-1-80071-517-220221019/full/pdf</b:DOI>
    <b:RefOrder>196</b:RefOrder>
  </b:Source>
  <b:Source>
    <b:Tag>Sim22</b:Tag>
    <b:SourceType>InternetSite</b:SourceType>
    <b:Guid>{FAC9EB41-8E37-40D5-B820-5D17E0D67C5A}</b:Guid>
    <b:Title>ANOVA (Analysis Of Variance): Definition, Types, and Examples</b:Title>
    <b:Year>2022</b:Year>
    <b:YearAccessed>2023</b:YearAccessed>
    <b:MonthAccessed>1</b:MonthAccessed>
    <b:DayAccessed>17</b:DayAccessed>
    <b:URL>https://www.simplypsychology.org/anova.html</b:URL>
    <b:Month>01</b:Month>
    <b:Day>26</b:Day>
    <b:InternetSiteTitle>Simply Psychology</b:InternetSiteTitle>
    <b:Author>
      <b:Author>
        <b:NameList>
          <b:Person>
            <b:Last>Simkus</b:Last>
            <b:First>Julia </b:First>
          </b:Person>
        </b:NameList>
      </b:Author>
    </b:Author>
    <b:RefOrder>955</b:RefOrder>
  </b:Source>
  <b:Source>
    <b:Tag>Sik23</b:Tag>
    <b:SourceType>InternetSite</b:SourceType>
    <b:Guid>{00EA7231-284A-433A-A8A3-004ECD568B38}</b:Guid>
    <b:Title>What is the FMCG industry and which Big Brands belong to it?</b:Title>
    <b:Year>2023</b:Year>
    <b:InternetSiteTitle>Foodcom</b:InternetSiteTitle>
    <b:Month>03</b:Month>
    <b:Day>10</b:Day>
    <b:URL>https://foodcom.pl/en/what-is-the-fmcg-industry-and-which-big-brands-belong-to-it/</b:URL>
    <b:Author>
      <b:Author>
        <b:NameList>
          <b:Person>
            <b:Last>Sikorska</b:Last>
            <b:First>Joanna </b:First>
          </b:Person>
        </b:NameList>
      </b:Author>
    </b:Author>
    <b:RefOrder>445</b:RefOrder>
  </b:Source>
  <b:Source>
    <b:Tag>Sie17</b:Tag>
    <b:SourceType>BookSection</b:SourceType>
    <b:Guid>{2F7BF9E0-5E03-4DFD-9EFF-5D6E54F033D5}</b:Guid>
    <b:BookTitle>Commercial Communication in the Digital Age. Information or Disinformation.</b:BookTitle>
    <b:Year>2017</b:Year>
    <b:Author>
      <b:Author>
        <b:NameList>
          <b:Person>
            <b:Last>Siegert</b:Last>
            <b:First>Gabriele </b:First>
          </b:Person>
          <b:Person>
            <b:Last>Rimscha</b:Last>
            <b:Middle>Bjørn von </b:Middle>
            <b:First>M. </b:First>
          </b:Person>
          <b:Person>
            <b:Last>Grubenmann</b:Last>
            <b:First>Stephanie </b:First>
          </b:Person>
        </b:NameList>
      </b:Author>
    </b:Author>
    <b:Volume>07</b:Volume>
    <b:YearAccessed>2022</b:YearAccessed>
    <b:MonthAccessed>10</b:MonthAccessed>
    <b:DayAccessed>01</b:DayAccessed>
    <b:URL>10.26530/oapen_628402</b:URL>
    <b:RefOrder>91</b:RefOrder>
  </b:Source>
  <b:Source>
    <b:Tag>Shu16</b:Tag>
    <b:SourceType>JournalArticle</b:SourceType>
    <b:Guid>{336A5F91-F19A-4798-A741-C7781606237B}</b:Guid>
    <b:Title>Customer commitment to luxury brands: Antecedents and consequences</b:Title>
    <b:Year>2016</b:Year>
    <b:Pages>323-331</b:Pages>
    <b:Author>
      <b:Author>
        <b:NameList>
          <b:Person>
            <b:Last>Shukla</b:Last>
            <b:First>Paurav</b:First>
          </b:Person>
          <b:Person>
            <b:Last>Banerjee</b:Last>
            <b:First>Madhumita</b:First>
          </b:Person>
          <b:Person>
            <b:Last>Singh</b:Last>
            <b:First>Jaywant</b:First>
          </b:Person>
        </b:NameList>
      </b:Author>
    </b:Author>
    <b:Month>01</b:Month>
    <b:Volume>69</b:Volume>
    <b:Issue>01</b:Issue>
    <b:YearAccessed>2022</b:YearAccessed>
    <b:MonthAccessed>03</b:MonthAccessed>
    <b:DayAccessed>06</b:DayAccessed>
    <b:DOI>https://doi.org/10.1016/j.jbusres.2015.08.004</b:DOI>
    <b:RefOrder>1098</b:RefOrder>
  </b:Source>
  <b:Source>
    <b:Tag>Sho22</b:Tag>
    <b:SourceType>JournalArticle</b:SourceType>
    <b:Guid>{86E390AD-A54B-4867-89A7-BCE5F6F95C87}</b:Guid>
    <b:Title>4.02 - Fundamentals of Measurement in Clinical Psychology</b:Title>
    <b:JournalName>Comprehensive Clinical Psychology (Second Edition)</b:JournalName>
    <b:Year>2022</b:Year>
    <b:Pages>13-35</b:Pages>
    <b:Month>04</b:Month>
    <b:Day>12</b:Day>
    <b:Volume>4</b:Volume>
    <b:YearAccessed>2023</b:YearAccessed>
    <b:MonthAccessed>02</b:MonthAccessed>
    <b:DayAccessed>11</b:DayAccessed>
    <b:DOI>https://doi.org/10.1016/B978-0-12-818697-8.00110-2</b:DOI>
    <b:Author>
      <b:Author>
        <b:NameList>
          <b:Person>
            <b:Last>Shou</b:Last>
            <b:First>Yiyun </b:First>
          </b:Person>
          <b:Person>
            <b:Last>Sellbom</b:Last>
            <b:First>Martin </b:First>
          </b:Person>
          <b:Person>
            <b:Last>Chen</b:Last>
            <b:First>Hui-Fang</b:First>
          </b:Person>
        </b:NameList>
      </b:Author>
    </b:Author>
    <b:RefOrder>766</b:RefOrder>
  </b:Source>
  <b:Source>
    <b:Tag>Shi181</b:Tag>
    <b:SourceType>JournalArticle</b:SourceType>
    <b:Guid>{FEED9E88-CFCD-45D2-A8DF-B1C09E9F2609}</b:Guid>
    <b:Title>Firm-Level Determinants of Political CSR in Emerging Economies: Evidence from India</b:Title>
    <b:JournalName>Journal of Business Ethics</b:JournalName>
    <b:Year>2018</b:Year>
    <b:Pages>673-688</b:Pages>
    <b:Month>03</b:Month>
    <b:Volume>148</b:Volume>
    <b:YearAccessed>2023</b:YearAccessed>
    <b:MonthAccessed>02</b:MonthAccessed>
    <b:DayAccessed>03</b:DayAccessed>
    <b:DOI>https://doi.org/10.1007/s10551-016-3022-0</b:DOI>
    <b:Author>
      <b:Author>
        <b:NameList>
          <b:Person>
            <b:Last>Shirodkar</b:Last>
            <b:First>Vikrant </b:First>
          </b:Person>
          <b:Person>
            <b:Last>Beddewela</b:Last>
            <b:First>Eshani </b:First>
          </b:Person>
          <b:Person>
            <b:Last>Richter</b:Last>
            <b:Middle>Henning </b:Middle>
            <b:First>Ulf </b:First>
          </b:Person>
        </b:NameList>
      </b:Author>
    </b:Author>
    <b:RefOrder>122</b:RefOrder>
  </b:Source>
  <b:Source>
    <b:Tag>Shi01</b:Tag>
    <b:SourceType>JournalArticle</b:SourceType>
    <b:Guid>{5B42A5A9-7BDC-46D5-8BE5-9D2B181FC806}</b:Guid>
    <b:Title>An online prepurchase intentions model: The role of intention to search</b:Title>
    <b:JournalName>Journal of Retailing</b:JournalName>
    <b:Year>2001</b:Year>
    <b:Pages>397-416</b:Pages>
    <b:Volume>77</b:Volume>
    <b:Issue>3</b:Issue>
    <b:YearAccessed>2023</b:YearAccessed>
    <b:MonthAccessed>03</b:MonthAccessed>
    <b:DayAccessed>04</b:DayAccessed>
    <b:DOI>https://doi.org/10.1016/S0022-4359(01)00051-3</b:DOI>
    <b:Author>
      <b:Author>
        <b:NameList>
          <b:Person>
            <b:Last>Shim </b:Last>
            <b:First>Soyeon </b:First>
          </b:Person>
          <b:Person>
            <b:Last>Eastlick</b:Last>
            <b:First>Mary Ann </b:First>
          </b:Person>
          <b:Person>
            <b:Last>Lotz </b:Last>
            <b:Middle>L.</b:Middle>
            <b:First>Sherry</b:First>
          </b:Person>
          <b:Person>
            <b:Last>Warrington</b:Last>
            <b:First>Patricia </b:First>
          </b:Person>
        </b:NameList>
      </b:Author>
    </b:Author>
    <b:RefOrder>561</b:RefOrder>
  </b:Source>
  <b:Source>
    <b:Tag>Shi18</b:Tag>
    <b:SourceType>JournalArticle</b:SourceType>
    <b:Guid>{776DB365-D2CA-48CD-9BDD-61266BF32488}</b:Guid>
    <b:Title>Understanding the Model Size Effect on SEM Fit Indices</b:Title>
    <b:JournalName>Educational and Psychological Measurement</b:JournalName>
    <b:Year>2018</b:Year>
    <b:Pages>310–334</b:Pages>
    <b:Volume>79</b:Volume>
    <b:Issue>2</b:Issue>
    <b:Month>06</b:Month>
    <b:Day>29</b:Day>
    <b:YearAccessed>2023</b:YearAccessed>
    <b:MonthAccessed>01</b:MonthAccessed>
    <b:DayAccessed>18</b:DayAccessed>
    <b:DOI>https://doi.org/10.1177/0013164418783530</b:DOI>
    <b:Author>
      <b:Author>
        <b:NameList>
          <b:Person>
            <b:Last>Shi</b:Last>
            <b:First>Dexin </b:First>
          </b:Person>
          <b:Person>
            <b:Last>Lee</b:Last>
            <b:First>Taehun </b:First>
          </b:Person>
          <b:Person>
            <b:Last>Maydeu-Olivare</b:Last>
            <b:First>Alberto </b:First>
          </b:Person>
        </b:NameList>
      </b:Author>
    </b:Author>
    <b:RefOrder>963</b:RefOrder>
  </b:Source>
  <b:Source>
    <b:Tag>She88</b:Tag>
    <b:SourceType>JournalArticle</b:SourceType>
    <b:Guid>{8D0ECD92-BFA9-4BE1-A2AF-2038EA866A5E}</b:Guid>
    <b:Title>The theory of reasoned action: a meta-analysis of past research with recommendations for modifications and future research</b:Title>
    <b:JournalName>Journal of Consumer Research</b:JournalName>
    <b:Year>1988</b:Year>
    <b:Pages>325-343</b:Pages>
    <b:Volume>15</b:Volume>
    <b:Author>
      <b:Author>
        <b:NameList>
          <b:Person>
            <b:Last>Sheppard</b:Last>
            <b:Middle>H.</b:Middle>
            <b:First>B.</b:First>
          </b:Person>
          <b:Person>
            <b:Last>Hartwick</b:Last>
            <b:First>J.</b:First>
          </b:Person>
          <b:Person>
            <b:Last>Warshaw</b:Last>
            <b:Middle>R.</b:Middle>
            <b:First>P.</b:First>
          </b:Person>
        </b:NameList>
      </b:Author>
    </b:Author>
    <b:RefOrder>559</b:RefOrder>
  </b:Source>
  <b:Source>
    <b:Tag>She03</b:Tag>
    <b:SourceType>JournalArticle</b:SourceType>
    <b:Guid>{48C962AE-0D4B-4FEF-9436-183FCC1EB110}</b:Guid>
    <b:Title>Cultural influences on Chinese consumers' intentions to purchase apparel: test and extension of the Fishbein behavioral intentional model</b:Title>
    <b:JournalName>Clothing and Textile Research Journal</b:JournalName>
    <b:Year>2003</b:Year>
    <b:Pages>89-99</b:Pages>
    <b:Volume>21</b:Volume>
    <b:Issue>2</b:Issue>
    <b:Author>
      <b:Author>
        <b:NameList>
          <b:Person>
            <b:Last>Shen</b:Last>
            <b:First>D</b:First>
          </b:Person>
          <b:Person>
            <b:Last>Dickson</b:Last>
            <b:Middle>A.</b:Middle>
            <b:First>M.</b:First>
          </b:Person>
          <b:Person>
            <b:Last>Lennon</b:Last>
            <b:First>S.</b:First>
          </b:Person>
          <b:Person>
            <b:Last>Montalto</b:Last>
            <b:First>C</b:First>
          </b:Person>
          <b:Person>
            <b:Last>Zhang</b:Last>
            <b:First>L.</b:First>
          </b:Person>
        </b:NameList>
      </b:Author>
    </b:Author>
    <b:RefOrder>563</b:RefOrder>
  </b:Source>
  <b:Source>
    <b:Tag>She13</b:Tag>
    <b:SourceType>JournalArticle</b:SourceType>
    <b:Guid>{0D85C90D-9498-47CF-8B98-3B337EE7DC7E}</b:Guid>
    <b:Title>“Nonconscious processes and health.</b:Title>
    <b:JournalName>Health Psychology</b:JournalName>
    <b:Year>2013</b:Year>
    <b:Pages>460-473</b:Pages>
    <b:Month>05</b:Month>
    <b:Volume>32</b:Volume>
    <b:Issue>05</b:Issue>
    <b:YearAccessed>2022</b:YearAccessed>
    <b:MonthAccessed>05</b:MonthAccessed>
    <b:DayAccessed>27</b:DayAccessed>
    <b:DOI>10.1037/a0029203</b:DOI>
    <b:Author>
      <b:Author>
        <b:NameList>
          <b:Person>
            <b:Last>Sheeran</b:Last>
            <b:First>Paschal </b:First>
          </b:Person>
          <b:Person>
            <b:Last>Gollwitzer</b:Last>
            <b:Middle>M.</b:Middle>
            <b:First>Peter</b:First>
          </b:Person>
          <b:Person>
            <b:Last>Bargh</b:Last>
            <b:Middle>A.</b:Middle>
            <b:First>John </b:First>
          </b:Person>
        </b:NameList>
      </b:Author>
    </b:Author>
    <b:RefOrder>1099</b:RefOrder>
  </b:Source>
  <b:Source>
    <b:Tag>Sha21</b:Tag>
    <b:SourceType>InternetSite</b:SourceType>
    <b:Guid>{1222E6D3-AA99-4529-9B1D-30B4F3358D1A}</b:Guid>
    <b:Title>Extensive Marketing Mix of Dettol with 7Ps Explained in Detail</b:Title>
    <b:Year>2021</b:Year>
    <b:InternetSiteTitle>The Digital School</b:InternetSiteTitle>
    <b:Month>09</b:Month>
    <b:Day>16</b:Day>
    <b:URL>https://iide.co/case-studies/marketing-mix-of-dettol/</b:URL>
    <b:Author>
      <b:Author>
        <b:NameList>
          <b:Person>
            <b:Last>Shastri </b:Last>
            <b:First>Aditya </b:First>
          </b:Person>
        </b:NameList>
      </b:Author>
    </b:Author>
    <b:YearAccessed>2022</b:YearAccessed>
    <b:MonthAccessed>11</b:MonthAccessed>
    <b:DayAccessed>12</b:DayAccessed>
    <b:RefOrder>1100</b:RefOrder>
  </b:Source>
  <b:Source>
    <b:Tag>Sha17</b:Tag>
    <b:SourceType>JournalArticle</b:SourceType>
    <b:Guid>{83FCE52D-0B2F-4F4B-B47B-669BA527A02C}</b:Guid>
    <b:Title>Pros and cons of different sampling techniques</b:Title>
    <b:JournalName>International Journal of Applied Research</b:JournalName>
    <b:Year>2017</b:Year>
    <b:Pages>749-752</b:Pages>
    <b:Volume>3</b:Volume>
    <b:Issue>7</b:Issue>
    <b:Author>
      <b:Author>
        <b:NameList>
          <b:Person>
            <b:Last>Sharma</b:Last>
            <b:First>Gaganpreet</b:First>
          </b:Person>
        </b:NameList>
      </b:Author>
    </b:Author>
    <b:Month>06</b:Month>
    <b:Day>24</b:Day>
    <b:YearAccessed>2022</b:YearAccessed>
    <b:MonthAccessed>01</b:MonthAccessed>
    <b:DayAccessed>31</b:DayAccessed>
    <b:RefOrder>1101</b:RefOrder>
  </b:Source>
  <b:Source>
    <b:Tag>Sha171</b:Tag>
    <b:SourceType>JournalArticle</b:SourceType>
    <b:Guid>{0F212721-1A9A-41CF-BCAA-EC98FBF0C3D0}</b:Guid>
    <b:Title>Generating consumer resonance for purchase intention on social network sites</b:Title>
    <b:JournalName>Computers in Human Behavior</b:JournalName>
    <b:Year>2017</b:Year>
    <b:Pages>18-28</b:Pages>
    <b:Month>04</b:Month>
    <b:Volume>69</b:Volume>
    <b:YearAccessed>2023</b:YearAccessed>
    <b:MonthAccessed>02</b:MonthAccessed>
    <b:DayAccessed>05</b:DayAccessed>
    <b:DOI>https://doi.org/10.1016/j.chb.2016.12.014</b:DOI>
    <b:Author>
      <b:Author>
        <b:NameList>
          <b:Person>
            <b:Last>Shang</b:Last>
            <b:Middle>S.C.</b:Middle>
            <b:First>Shari </b:First>
          </b:Person>
          <b:Person>
            <b:Last> Wu</b:Last>
            <b:First> Ya-Ling</b:First>
          </b:Person>
          <b:Person>
            <b:Last>Sie</b:Last>
            <b:First>Yi-Jhen </b:First>
          </b:Person>
        </b:NameList>
      </b:Author>
    </b:Author>
    <b:RefOrder>289</b:RefOrder>
  </b:Source>
  <b:Source>
    <b:Tag>Sha22</b:Tag>
    <b:SourceType>JournalArticle</b:SourceType>
    <b:Guid>{6D03B1A7-F626-40CB-B447-4D29DE455BBB}</b:Guid>
    <b:Title>From Corporate Social Responsibility to Consumer Social Responsibility: Evolution, Implications and Future Directions</b:Title>
    <b:JournalName>International Journal of Business and Economics</b:JournalName>
    <b:Year>2022</b:Year>
    <b:Volume>7</b:Volume>
    <b:Issue>1</b:Issue>
    <b:Author>
      <b:Author>
        <b:NameList>
          <b:Person>
            <b:Last>Shamma</b:Last>
            <b:Middle>M.</b:Middle>
            <b:First>Hamed </b:First>
          </b:Person>
        </b:NameList>
      </b:Author>
    </b:Author>
    <b:YearAccessed>2022</b:YearAccessed>
    <b:MonthAccessed>12</b:MonthAccessed>
    <b:DayAccessed>10</b:DayAccessed>
    <b:URL>https://ijbe.ielas.org/index.php/ijbe/article/view/345</b:URL>
    <b:Pages>245-269</b:Pages>
    <b:RefOrder>474</b:RefOrder>
  </b:Source>
  <b:Source>
    <b:Tag>Ser19</b:Tag>
    <b:SourceType>JournalArticle</b:SourceType>
    <b:Guid>{990F00B0-463E-4283-AD3E-9FDB04BA8334}</b:Guid>
    <b:Title>The effects of corporate social responsibility on consumer loyalty through consumer perceived value</b:Title>
    <b:JournalName>Economic Research-Ekonomska Istraživanja</b:JournalName>
    <b:Year>2019</b:Year>
    <b:Month>01</b:Month>
    <b:Day>22</b:Day>
    <b:Volume>32</b:Volume>
    <b:Issue>1</b:Issue>
    <b:YearAccessed>2023</b:YearAccessed>
    <b:MonthAccessed>02</b:MonthAccessed>
    <b:DayAccessed>28</b:DayAccessed>
    <b:DOI>https://doi.org/10.1080/1331677X.2018.1547202</b:DOI>
    <b:Author>
      <b:Author>
        <b:NameList>
          <b:Person>
            <b:Last>Servera-Francés</b:Last>
            <b:First>David </b:First>
          </b:Person>
          <b:Person>
            <b:Last>Piqueras-Tomás</b:Last>
            <b:First>Lidia </b:First>
          </b:Person>
        </b:NameList>
      </b:Author>
    </b:Author>
    <b:RefOrder>188</b:RefOrder>
  </b:Source>
  <b:Source>
    <b:Tag>Ser21</b:Tag>
    <b:SourceType>InternetSite</b:SourceType>
    <b:Guid>{2ECA9456-DBD8-4A56-97DA-BFACB0637D0A}</b:Guid>
    <b:Title>UAE tops MENA region as most active in CSR</b:Title>
    <b:Year>2021</b:Year>
    <b:Author>
      <b:Author>
        <b:NameList>
          <b:Person>
            <b:Last>Serrano</b:Last>
            <b:First>Sofia</b:First>
          </b:Person>
        </b:NameList>
      </b:Author>
    </b:Author>
    <b:Month>05</b:Month>
    <b:Day>21</b:Day>
    <b:YearAccessed>2022</b:YearAccessed>
    <b:MonthAccessed>02</b:MonthAccessed>
    <b:DayAccessed>16</b:DayAccessed>
    <b:URL>https://campaignme.com/uae-tops-mena-region-as-most-active-in-csr/</b:URL>
    <b:InternetSiteTitle>Campaign MiddleEast</b:InternetSiteTitle>
    <b:RefOrder>1102</b:RefOrder>
  </b:Source>
  <b:Source>
    <b:Tag>Ser17</b:Tag>
    <b:SourceType>JournalArticle</b:SourceType>
    <b:Guid>{C7A1711B-C238-40FF-8965-CBB846D0CE91}</b:Guid>
    <b:Title>Progress in Research on CSR and the Hotel Industry (2006-2015)</b:Title>
    <b:JournalName>Cornell Hospital Quarterly </b:JournalName>
    <b:Year>2017</b:Year>
    <b:Author>
      <b:Author>
        <b:NameList>
          <b:Person>
            <b:Last>Serra-Cantallops</b:Last>
            <b:First>Antoni</b:First>
          </b:Person>
          <b:Person>
            <b:Last>Peña-Miranda</b:Last>
            <b:Middle>D</b:Middle>
            <b:First>David </b:First>
          </b:Person>
          <b:Person>
            <b:Last>Ramón-Cardona</b:Last>
            <b:First>Jose</b:First>
          </b:Person>
          <b:Person>
            <b:Last>Martorell-Cunill</b:Last>
            <b:First>Onofre</b:First>
          </b:Person>
        </b:NameList>
      </b:Author>
    </b:Author>
    <b:Month>07</b:Month>
    <b:Day>10</b:Day>
    <b:Volume>59</b:Volume>
    <b:Issue>1</b:Issue>
    <b:YearAccessed>2022</b:YearAccessed>
    <b:MonthAccessed>02</b:MonthAccessed>
    <b:DayAccessed>01</b:DayAccessed>
    <b:DOI>https://doi.org/10.1177/1938965517719267</b:DOI>
    <b:RefOrder>1103</b:RefOrder>
  </b:Source>
  <b:Source>
    <b:Tag>Sen00</b:Tag>
    <b:SourceType>JournalArticle</b:SourceType>
    <b:Guid>{C419E75D-6D3A-4732-B3ED-761A139BF894}</b:Guid>
    <b:Title>The Effects of Analyzing Reasons for Brand Preferences: Disruption or Reinforcement?</b:Title>
    <b:JournalName>Journal of Marketing Research</b:JournalName>
    <b:Year>2000</b:Year>
    <b:Pages>318-330</b:Pages>
    <b:Author>
      <b:Author>
        <b:NameList>
          <b:Person>
            <b:Last>Sengupta</b:Last>
            <b:First>Jaideep </b:First>
          </b:Person>
          <b:Person>
            <b:Last>Fitzsimons</b:Last>
            <b:Middle>J.</b:Middle>
            <b:First>Gavan </b:First>
          </b:Person>
        </b:NameList>
      </b:Author>
    </b:Author>
    <b:Volume>37</b:Volume>
    <b:Issue>3</b:Issue>
    <b:YearAccessed>2023</b:YearAccessed>
    <b:MonthAccessed>05</b:MonthAccessed>
    <b:DayAccessed>12</b:DayAccessed>
    <b:DOI>https://doi.org/10.1509/jmkr.37.3.318.18776</b:DOI>
    <b:RefOrder>1104</b:RefOrder>
  </b:Source>
  <b:Source>
    <b:Tag>Sem19</b:Tag>
    <b:SourceType>JournalArticle</b:SourceType>
    <b:Guid>{0235EAD9-B82A-4D56-9B55-2F1BC6E978CE}</b:Guid>
    <b:Title>Personality traits of a good liar: A systematic review of the literature</b:Title>
    <b:JournalName>Personality and Individual Differences</b:JournalName>
    <b:Year>2019</b:Year>
    <b:Pages>306-316</b:Pages>
    <b:Month>09</b:Month>
    <b:Day>01</b:Day>
    <b:Publisher>ElSevier</b:Publisher>
    <b:Volume>147</b:Volume>
    <b:YearAccessed>2022</b:YearAccessed>
    <b:MonthAccessed>12</b:MonthAccessed>
    <b:DayAccessed>30</b:DayAccessed>
    <b:DOI>https://doi.org/10.1016/j.paid.2019.05.007</b:DOI>
    <b:Author>
      <b:Author>
        <b:NameList>
          <b:Person>
            <b:Last>Semrad</b:Last>
            <b:First>Monica</b:First>
          </b:Person>
          <b:Person>
            <b:Last>Scott-Parker</b:Last>
            <b:First>Bridie</b:First>
          </b:Person>
          <b:Person>
            <b:Last>Nagele</b:Last>
            <b:First>Michael</b:First>
          </b:Person>
        </b:NameList>
      </b:Author>
    </b:Author>
    <b:RefOrder>459</b:RefOrder>
  </b:Source>
  <b:Source>
    <b:Tag>Sek03</b:Tag>
    <b:SourceType>Book</b:SourceType>
    <b:Guid>{C3D05F45-2883-4304-845A-8BF178818E55}</b:Guid>
    <b:Title>Research Methods for Business</b:Title>
    <b:Year>2003</b:Year>
    <b:Publisher>John Wiley &amp; Sons, Inc</b:Publisher>
    <b:Author>
      <b:Author>
        <b:NameList>
          <b:Person>
            <b:Last>Sekaran</b:Last>
            <b:First>Uma</b:First>
          </b:Person>
        </b:NameList>
      </b:Author>
    </b:Author>
    <b:Edition>4th</b:Edition>
    <b:YearAccessed>2023</b:YearAccessed>
    <b:MonthAccessed>06</b:MonthAccessed>
    <b:DayAccessed>05</b:DayAccessed>
    <b:URL>http://196.188.170.250:8080/</b:URL>
    <b:RefOrder>942</b:RefOrder>
  </b:Source>
  <b:Source>
    <b:Tag>Seg23</b:Tag>
    <b:SourceType>JournalArticle</b:SourceType>
    <b:Guid>{DB557761-6FE1-43C8-8357-95EBDE934E6D}</b:Guid>
    <b:Title>The Anatomy of Viral Advertising: A Content Analysis of Viral Advertising from the Elaboration Likelihood Model Perspective</b:Title>
    <b:JournalName>Journal of Promotion Management</b:JournalName>
    <b:Year>2023</b:Year>
    <b:Pages>125-154</b:Pages>
    <b:Volume>29</b:Volume>
    <b:Issue>1</b:Issue>
    <b:YearAccessed>2023</b:YearAccessed>
    <b:MonthAccessed>08</b:MonthAccessed>
    <b:DayAccessed>01</b:DayAccessed>
    <b:DOI>https://doi-org.lsbu.idm.oclc.org/10.1080/10496491.2022.2108189</b:DOI>
    <b:Author>
      <b:Author>
        <b:NameList>
          <b:Person>
            <b:Last>Segev</b:Last>
            <b:First>Sigal </b:First>
          </b:Person>
          <b:Person>
            <b:Last>Fernandes</b:Last>
            <b:First>Juliana </b:First>
          </b:Person>
        </b:NameList>
      </b:Author>
    </b:Author>
    <b:RefOrder>1105</b:RefOrder>
  </b:Source>
  <b:Source>
    <b:Tag>Seb19</b:Tag>
    <b:SourceType>InternetSite</b:SourceType>
    <b:Guid>{DA869A04-6491-4764-8A47-5708D090C137}</b:Guid>
    <b:Title>Strengthening Egypt’s Refugee Programs</b:Title>
    <b:Year>2019</b:Year>
    <b:InternetSiteTitle>Wilson Center</b:InternetSiteTitle>
    <b:Month>06</b:Month>
    <b:Day>20</b:Day>
    <b:URL>https://www.wilsoncenter.org/blog-post/strengthening-egypts-refugee-programs-0</b:URL>
    <b:Author>
      <b:Author>
        <b:NameList>
          <b:Person>
            <b:Last>Sebaiee</b:Last>
            <b:First>Noha</b:First>
          </b:Person>
        </b:NameList>
      </b:Author>
    </b:Author>
    <b:RefOrder>215</b:RefOrder>
  </b:Source>
  <b:Source>
    <b:Tag>Sco12</b:Tag>
    <b:SourceType>JournalArticle</b:SourceType>
    <b:Guid>{D5BFA997-05DD-4045-95BC-442C3BD1B1D4}</b:Guid>
    <b:Title>Exploring the Philosophical Underpinnings of Research: Relating Ontology and Epistemology to the Methodology and Methods of the Scientific, Interpretive, and Critical Research Paradigms</b:Title>
    <b:Year>2012</b:Year>
    <b:JournalName>English Language Teaching</b:JournalName>
    <b:Pages>9-16</b:Pages>
    <b:Month>07</b:Month>
    <b:Day>25</b:Day>
    <b:Volume>5</b:Volume>
    <b:Issue>9</b:Issue>
    <b:YearAccessed>2023</b:YearAccessed>
    <b:MonthAccessed>02</b:MonthAccessed>
    <b:DayAccessed>09</b:DayAccessed>
    <b:DOI> http://dx.doi.org/10.5539/elt.v5n9p9</b:DOI>
    <b:Author>
      <b:Author>
        <b:NameList>
          <b:Person>
            <b:Last>Scotland</b:Last>
            <b:First>James</b:First>
          </b:Person>
        </b:NameList>
      </b:Author>
    </b:Author>
    <b:RefOrder>1106</b:RefOrder>
  </b:Source>
  <b:Source>
    <b:Tag>Sch22</b:Tag>
    <b:SourceType>JournalArticle</b:SourceType>
    <b:Guid>{4A183A08-25ED-4C81-9AFE-6C937BFFB818}</b:Guid>
    <b:Title>Understanding the Users of Alternative News Media—Media Epistemologies, News Consumption, and Media Practices</b:Title>
    <b:JournalName>Digital Journalism</b:JournalName>
    <b:Year>2022</b:Year>
    <b:Pages>853-871</b:Pages>
    <b:Month>01</b:Month>
    <b:Day>12</b:Day>
    <b:Volume>11</b:Volume>
    <b:Issue>5</b:Issue>
    <b:YearAccessed>2023</b:YearAccessed>
    <b:MonthAccessed>08</b:MonthAccessed>
    <b:DayAccessed>01</b:DayAccessed>
    <b:DOI>https://doi.org/10.1080/21670811.2021.2000454</b:DOI>
    <b:Author>
      <b:Author>
        <b:NameList>
          <b:Person>
            <b:Last>Schwarzenegger</b:Last>
            <b:First>Christian </b:First>
          </b:Person>
        </b:NameList>
      </b:Author>
    </b:Author>
    <b:RefOrder>1107</b:RefOrder>
  </b:Source>
  <b:Source>
    <b:Tag>Sch19</b:Tag>
    <b:SourceType>JournalArticle</b:SourceType>
    <b:Guid>{61FC16EB-ABAD-44C0-9925-E576C60DE67E}</b:Guid>
    <b:Title>A systematic literature review and narrative synthesis on the risks of medical discharge letters for patients’ safety</b:Title>
    <b:JournalName>BMC Health Services Research</b:JournalName>
    <b:Year>2019</b:Year>
    <b:Month>03</b:Month>
    <b:Day>12</b:Day>
    <b:Volume>158</b:Volume>
    <b:YearAccessed>2022</b:YearAccessed>
    <b:MonthAccessed>11</b:MonthAccessed>
    <b:DayAccessed>18</b:DayAccessed>
    <b:DOI>https://doi.org/10.1186/s12913-019-3989-1</b:DOI>
    <b:Author>
      <b:Author>
        <b:NameList>
          <b:Person>
            <b:Last>Schwarz</b:Last>
            <b:Middle>Maria</b:Middle>
            <b:First>Christine </b:First>
          </b:Person>
          <b:Person>
            <b:Last>Hoffmann</b:Last>
            <b:First>Magdalena </b:First>
          </b:Person>
          <b:Person>
            <b:Last>Schwarz</b:Last>
            <b:First>Petra </b:First>
          </b:Person>
          <b:Person>
            <b:Last>Kamolz</b:Last>
            <b:First>Lars-Peter </b:First>
          </b:Person>
          <b:Person>
            <b:Last>Brunner</b:Last>
            <b:First>Gernot </b:First>
          </b:Person>
          <b:Person>
            <b:Last>Sendlhofer </b:Last>
            <b:First>Gerald </b:First>
          </b:Person>
        </b:NameList>
      </b:Author>
    </b:Author>
    <b:RefOrder>461</b:RefOrder>
  </b:Source>
  <b:Source>
    <b:Tag>Sch21</b:Tag>
    <b:SourceType>InternetSite</b:SourceType>
    <b:Guid>{E47EA4D6-7241-48E8-9EDE-BA6684527458}</b:Guid>
    <b:Title>Coding in Qualitative Research</b:Title>
    <b:Year>2021</b:Year>
    <b:Month>06</b:Month>
    <b:Day>03</b:Day>
    <b:URL>https://ofe.ecu.edu/wp-content/pv-uploads/sites/277/2021/06/Coding-in-Qual-research-6.3.211.pdf</b:URL>
    <b:Author>
      <b:Author>
        <b:NameList>
          <b:Person>
            <b:Last>Schwartz</b:Last>
            <b:First>Abby</b:First>
          </b:Person>
        </b:NameList>
      </b:Author>
    </b:Author>
    <b:RefOrder>315</b:RefOrder>
  </b:Source>
  <b:Source>
    <b:Tag>Sch18</b:Tag>
    <b:SourceType>InternetSite</b:SourceType>
    <b:Guid>{DCC6E561-942F-4827-9741-11B44E464507}</b:Guid>
    <b:Title>Coca-Cola - The Wonder of Us </b:Title>
    <b:Year>2018</b:Year>
    <b:InternetSiteTitle>AdAge</b:InternetSiteTitle>
    <b:Month>02</b:Month>
    <b:Day>04</b:Day>
    <b:URL>https://adage.com/videos/cocacola-the-wonder-of-us/1444</b:URL>
    <b:Author>
      <b:Author>
        <b:NameList>
          <b:Person>
            <b:Last>Schultz </b:Last>
            <b:Middle>J</b:Middle>
            <b:First>E</b:First>
          </b:Person>
        </b:NameList>
      </b:Author>
    </b:Author>
    <b:RefOrder>219</b:RefOrder>
  </b:Source>
  <b:Source>
    <b:Tag>Sch20</b:Tag>
    <b:SourceType>JournalArticle</b:SourceType>
    <b:Guid>{97505761-0CC2-4C55-B349-D0E96819436C}</b:Guid>
    <b:Title>On the Usage of Cronbach’s Alpha to Measure Reliability of UX Scale</b:Title>
    <b:JournalName>Journal of Usability Studies</b:JournalName>
    <b:Year>2020</b:Year>
    <b:Pages>247-258</b:Pages>
    <b:Volume>15</b:Volume>
    <b:Issue>4</b:Issue>
    <b:Month>08</b:Month>
    <b:YearAccessed>2022</b:YearAccessed>
    <b:MonthAccessed>12</b:MonthAccessed>
    <b:DayAccessed>23</b:DayAccessed>
    <b:URL>https://uxpajournal.org/wp-content/uploads/sites/7/pdf/JUS_Schrepp_Aug2020.pdf</b:URL>
    <b:Author>
      <b:Author>
        <b:NameList>
          <b:Person>
            <b:Last>Schrepp</b:Last>
            <b:First>Martin </b:First>
          </b:Person>
        </b:NameList>
      </b:Author>
    </b:Author>
    <b:RefOrder>923</b:RefOrder>
  </b:Source>
  <b:Source>
    <b:Tag>Sch192</b:Tag>
    <b:SourceType>JournalArticle</b:SourceType>
    <b:Guid>{62883C24-E52A-4898-9816-E9FE8162227E}</b:Guid>
    <b:Title>Multichannel personalization: Identifying consumer preferences for product recommendations in advertisements across different media channels</b:Title>
    <b:JournalName>Journal of Retailing and Consumer Services</b:JournalName>
    <b:Year>2019</b:Year>
    <b:Pages>87-99</b:Pages>
    <b:Month>05</b:Month>
    <b:Volume>48</b:Volume>
    <b:YearAccessed>2023</b:YearAccessed>
    <b:MonthAccessed>05</b:MonthAccessed>
    <b:DayAccessed>15</b:DayAccessed>
    <b:DOI>https://doi.org/10.1016/j.jretconser.2019.02.010</b:DOI>
    <b:Author>
      <b:Author>
        <b:NameList>
          <b:Person>
            <b:Last>Schreiner</b:Last>
            <b:First>Timo </b:First>
          </b:Person>
          <b:Person>
            <b:Last>Rese</b:Last>
            <b:First>Alexandra </b:First>
          </b:Person>
          <b:Person>
            <b:Last>Baier</b:Last>
            <b:First>Daniel </b:First>
          </b:Person>
        </b:NameList>
      </b:Author>
    </b:Author>
    <b:RefOrder>49</b:RefOrder>
  </b:Source>
  <b:Source>
    <b:Tag>Sch11</b:Tag>
    <b:SourceType>BookSection</b:SourceType>
    <b:Guid>{FAF324D0-B0E1-4139-9E50-1D90EDE43360}</b:Guid>
    <b:Title>Attitude Theory</b:Title>
    <b:JournalName>Encyclopedia of consumer culture</b:JournalName>
    <b:Year>2011</b:Year>
    <b:Pages>71-73</b:Pages>
    <b:Author>
      <b:Author>
        <b:NameList>
          <b:Person>
            <b:Last>Scholderer</b:Last>
            <b:First>J.</b:First>
          </b:Person>
        </b:NameList>
      </b:Author>
      <b:Editor>
        <b:NameList>
          <b:Person>
            <b:Last>Southerton</b:Last>
            <b:First>Dale</b:First>
          </b:Person>
        </b:NameList>
      </b:Editor>
    </b:Author>
    <b:Publisher>SAGE Publications</b:Publisher>
    <b:YearAccessed>2023</b:YearAccessed>
    <b:MonthAccessed>07</b:MonthAccessed>
    <b:DayAccessed>27</b:DayAccessed>
    <b:CountryRegion>Thousand Oaks, CA</b:CountryRegion>
    <b:RefOrder>226</b:RefOrder>
  </b:Source>
  <b:Source>
    <b:Tag>Sch191</b:Tag>
    <b:SourceType>JournalArticle</b:SourceType>
    <b:Guid>{AFD6BA0B-D49D-42E1-8AC9-4065907CD684}</b:Guid>
    <b:Title>Formative Perspectives on the Relation Between CSR Communication and CSR Practices: Pathways for Walking, Talking, and T(w)alking</b:Title>
    <b:JournalName>Business &amp; Society</b:JournalName>
    <b:Year>2019</b:Year>
    <b:Pages>5-33</b:Pages>
    <b:Author>
      <b:Author>
        <b:NameList>
          <b:Person>
            <b:Last>Schoeneborn</b:Last>
            <b:First>Dennis </b:First>
          </b:Person>
          <b:Person>
            <b:Last>Morsing</b:Last>
            <b:First>Mette </b:First>
          </b:Person>
          <b:Person>
            <b:Last>Crane</b:Last>
            <b:First>Andrew </b:First>
          </b:Person>
        </b:NameList>
      </b:Author>
    </b:Author>
    <b:Month>05</b:Month>
    <b:Day>07</b:Day>
    <b:Volume>59</b:Volume>
    <b:Issue>1</b:Issue>
    <b:YearAccessed>2023</b:YearAccessed>
    <b:MonthAccessed>02</b:MonthAccessed>
    <b:DayAccessed>05</b:DayAccessed>
    <b:DOI>https://doi.org/10.1177/0007650319845091</b:DOI>
    <b:RefOrder>112</b:RefOrder>
  </b:Source>
  <b:Source>
    <b:Tag>Sch181</b:Tag>
    <b:SourceType>JournalArticle</b:SourceType>
    <b:Guid>{F4FB0506-D552-4506-85DB-ABE1170730EB}</b:Guid>
    <b:Title>Misleading Consumers with Green Advertising? An Affect–Reason–Involvement Account of Greenwashing Effects in Environmental Advertising</b:Title>
    <b:JournalName>Journal of Advertising</b:JournalName>
    <b:Year>2018</b:Year>
    <b:Pages>127-145</b:Pages>
    <b:Month>04</b:Month>
    <b:Day>16</b:Day>
    <b:Volume>47</b:Volume>
    <b:Issue>2</b:Issue>
    <b:YearAccessed>2022</b:YearAccessed>
    <b:MonthAccessed>11</b:MonthAccessed>
    <b:DayAccessed>20</b:DayAccessed>
    <b:DOI>https://doi.org/10.1080/00913367.2018.1452652</b:DOI>
    <b:Author>
      <b:Author>
        <b:NameList>
          <b:Person>
            <b:Last>Schmuck</b:Last>
            <b:First>Desirée </b:First>
          </b:Person>
          <b:Person>
            <b:Last>Matthes</b:Last>
            <b:First>Jörg </b:First>
          </b:Person>
          <b:Person>
            <b:Last>Naderer</b:Last>
            <b:First>Brigitte </b:First>
          </b:Person>
        </b:NameList>
      </b:Author>
    </b:Author>
    <b:RefOrder>1108</b:RefOrder>
  </b:Source>
  <b:Source>
    <b:Tag>Sch12</b:Tag>
    <b:SourceType>JournalArticle</b:SourceType>
    <b:Guid>{CF74F258-E37F-4C32-893F-885FCECB6A7F}</b:Guid>
    <b:Title>Managing Legitimacy in Complex and Heterogeneous Environments: Sustainable Development in a Globalized World</b:Title>
    <b:JournalName>Journal of Management Studies</b:JournalName>
    <b:Year>2012</b:Year>
    <b:Pages>259-284</b:Pages>
    <b:Author>
      <b:Author>
        <b:NameList>
          <b:Person>
            <b:Last>Scherer</b:Last>
            <b:Middle>Georg </b:Middle>
            <b:First>Andreas </b:First>
          </b:Person>
          <b:Person>
            <b:Last>Palazzo</b:Last>
            <b:First>Guido </b:First>
          </b:Person>
          <b:Person>
            <b:Last>Seidl</b:Last>
            <b:First>David </b:First>
          </b:Person>
        </b:NameList>
      </b:Author>
    </b:Author>
    <b:Month>12</b:Month>
    <b:Day>28</b:Day>
    <b:Volume>50</b:Volume>
    <b:Issue>2</b:Issue>
    <b:YearAccessed>2022</b:YearAccessed>
    <b:MonthAccessed>11</b:MonthAccessed>
    <b:DayAccessed>20</b:DayAccessed>
    <b:DOI>https://doi.org/10.1111/joms.12014</b:DOI>
    <b:RefOrder>1109</b:RefOrder>
  </b:Source>
  <b:Source>
    <b:Tag>Sch202</b:Tag>
    <b:SourceType>JournalArticle</b:SourceType>
    <b:Guid>{C8494E05-0B89-46E1-B3DB-4CD38BDB25B4}</b:Guid>
    <b:Title>Burnout Assessment Tool (BAT)—Development, Validity, and Reliability</b:Title>
    <b:JournalName>International Journal of Environmental Research and Public Health</b:JournalName>
    <b:Year>2020</b:Year>
    <b:Month>12</b:Month>
    <b:Day>18</b:Day>
    <b:Volume>14</b:Volume>
    <b:Issue>24</b:Issue>
    <b:YearAccessed>2023</b:YearAccessed>
    <b:MonthAccessed>02</b:MonthAccessed>
    <b:DayAccessed>10</b:DayAccessed>
    <b:DOI>https://doi.org/10.3390/ijerph17249495</b:DOI>
    <b:Author>
      <b:Author>
        <b:NameList>
          <b:Person>
            <b:Last>Schaufeli </b:Last>
            <b:Middle>B.</b:Middle>
            <b:First>Wilmar </b:First>
          </b:Person>
          <b:Person>
            <b:Last>Desart </b:Last>
            <b:First>Steffie </b:First>
          </b:Person>
          <b:Person>
            <b:Last>De Witte </b:Last>
            <b:First>Hans </b:First>
          </b:Person>
        </b:NameList>
      </b:Author>
    </b:Author>
    <b:RefOrder>764</b:RefOrder>
  </b:Source>
  <b:Source>
    <b:Tag>Sch201</b:Tag>
    <b:SourceType>JournalArticle</b:SourceType>
    <b:Guid>{B1671F1F-3C8A-48C7-9B70-C1879BEE69A3}</b:Guid>
    <b:Title>Talking about CSR matters: employees’ perception of and reaction to their company’s CSR communication in four different CSR domains</b:Title>
    <b:JournalName>INTERNATIONAL JOURNAL OF ADVERTISING</b:JournalName>
    <b:Year>2020</b:Year>
    <b:Pages>191-212</b:Pages>
    <b:Month>02</b:Month>
    <b:Day>01</b:Day>
    <b:Volume>39</b:Volume>
    <b:Issue>2</b:Issue>
    <b:YearAccessed>2023</b:YearAccessed>
    <b:MonthAccessed>02</b:MonthAccessed>
    <b:DayAccessed>05</b:DayAccessed>
    <b:DOI>https://doi.org/10.1080/02650487.2019.1593736</b:DOI>
    <b:Author>
      <b:Author>
        <b:NameList>
          <b:Person>
            <b:Last>Schaefer</b:Last>
            <b:Middle>Desiree</b:Middle>
            <b:First>Sarah </b:First>
          </b:Person>
          <b:Person>
            <b:Last>Terlutter</b:Last>
            <b:First>Ralf </b:First>
          </b:Person>
          <b:Person>
            <b:Last>Diehl</b:Last>
            <b:First>Sandra </b:First>
          </b:Person>
        </b:NameList>
      </b:Author>
      <b:Editor>
        <b:NameList>
          <b:Person>
            <b:Last>Francis</b:Last>
            <b:First>Taylor</b:First>
            <b:Middle>&amp;</b:Middle>
          </b:Person>
        </b:NameList>
      </b:Editor>
    </b:Author>
    <b:RefOrder>111</b:RefOrder>
  </b:Source>
  <b:Source>
    <b:Tag>Saw22</b:Tag>
    <b:SourceType>JournalArticle</b:SourceType>
    <b:Guid>{7C4803AE-8300-4E3B-A56E-6495CFF94550}</b:Guid>
    <b:Title>Marketing training strategies that pharmaceutical sales managers use to reduce unethical behavior</b:Title>
    <b:JournalName>Journal of Education and Health Promotion</b:JournalName>
    <b:Year>2022</b:Year>
    <b:Month>06</b:Month>
    <b:Day>30</b:Day>
    <b:Volume>11</b:Volume>
    <b:YearAccessed>2023</b:YearAccessed>
    <b:MonthAccessed>04</b:MonthAccessed>
    <b:DayAccessed>09</b:DayAccessed>
    <b:URL>https://www.ncbi.nlm.nih.gov/pmc/articles/PMC9393950/</b:URL>
    <b:DOI> 10.4103/jehp.jehp_1081_21</b:DOI>
    <b:Author>
      <b:Author>
        <b:NameList>
          <b:Person>
            <b:Last>Sawad</b:Last>
            <b:First>Aseel Bin </b:First>
          </b:Person>
          <b:Person>
            <b:Last>Andrews</b:Last>
            <b:First>Kate </b:First>
          </b:Person>
        </b:NameList>
      </b:Author>
    </b:Author>
    <b:RefOrder>995</b:RefOrder>
  </b:Source>
  <b:Source>
    <b:Tag>Sau15</b:Tag>
    <b:SourceType>Book</b:SourceType>
    <b:Guid>{0AF2A3B7-52A2-4E5B-B43D-FA2B010B991A}</b:Guid>
    <b:Title>Research Methods for Business Students</b:Title>
    <b:Year>2015</b:Year>
    <b:Edition>7th </b:Edition>
    <b:YearAccessed>2023</b:YearAccessed>
    <b:MonthAccessed>02</b:MonthAccessed>
    <b:DayAccessed>09</b:DayAccessed>
    <b:Author>
      <b:Author>
        <b:NameList>
          <b:Person>
            <b:Last>Saunders</b:Last>
            <b:First>Mark </b:First>
          </b:Person>
          <b:Person>
            <b:Last>Lewis</b:Last>
            <b:First>Philip </b:First>
          </b:Person>
          <b:Person>
            <b:Last>Thornhill </b:Last>
            <b:First>Adrian </b:First>
          </b:Person>
        </b:NameList>
      </b:Author>
    </b:Author>
    <b:RefOrder>748</b:RefOrder>
  </b:Source>
  <b:Source>
    <b:Tag>Sar21</b:Tag>
    <b:SourceType>JournalArticle</b:SourceType>
    <b:Guid>{113289BD-57A2-4A05-B82E-56F999758122}</b:Guid>
    <b:Title>The impact of advertising creativity on purchase intention in the airline industry: A stimulus-organism-response (S-O-R) perspective</b:Title>
    <b:JournalName>European Journal of Tourism Research</b:JournalName>
    <b:Year>2021</b:Year>
    <b:Author>
      <b:Author>
        <b:NameList>
          <b:Person>
            <b:Last>Sarılgan</b:Last>
            <b:Middle>Emre</b:Middle>
            <b:First>Ali</b:First>
          </b:Person>
          <b:Person>
            <b:Last>Akan</b:Last>
            <b:First>Şahap</b:First>
          </b:Person>
          <b:Person>
            <b:Last>Bakır</b:Last>
            <b:First>Mahmut</b:First>
          </b:Person>
          <b:Person>
            <b:Last>Süleç</b:Last>
            <b:First>Havane</b:First>
          </b:Person>
        </b:NameList>
      </b:Author>
    </b:Author>
    <b:Month>10</b:Month>
    <b:Day>20</b:Day>
    <b:Volume>30</b:Volume>
    <b:YearAccessed>2022</b:YearAccessed>
    <b:MonthAccessed>02</b:MonthAccessed>
    <b:DayAccessed>01</b:DayAccessed>
    <b:DOI>https://doi.org/10.54055/ejtr.v30i.2169</b:DOI>
    <b:RefOrder>172</b:RefOrder>
  </b:Source>
  <b:Source>
    <b:Tag>Sam19</b:Tag>
    <b:SourceType>JournalArticle</b:SourceType>
    <b:Guid>{EA2A8290-6EB9-4D77-B790-203B1C05A00F}</b:Guid>
    <b:Title>Longitudinal Determinants of Married Women’s Autonomy in Egypt</b:Title>
    <b:JournalName>Gend Place Cult.</b:JournalName>
    <b:Year>2019</b:Year>
    <b:Pages>799-820</b:Pages>
    <b:Month>05</b:Month>
    <b:Day>22</b:Day>
    <b:Volume>25</b:Volume>
    <b:Issue>6</b:Issue>
    <b:YearAccessed>2023</b:YearAccessed>
    <b:MonthAccessed>08</b:MonthAccessed>
    <b:DayAccessed>15</b:DayAccessed>
    <b:DOI>10.1080/0966369X.2018.1473346</b:DOI>
    <b:Author>
      <b:Author>
        <b:NameList>
          <b:Person>
            <b:Last>Samari</b:Last>
            <b:First>Goleen </b:First>
          </b:Person>
          <b:Person>
            <b:Last>Pebley</b:Last>
            <b:Middle>R.</b:Middle>
            <b:First>Anne </b:First>
          </b:Person>
        </b:NameList>
      </b:Author>
    </b:Author>
    <b:RefOrder>863</b:RefOrder>
  </b:Source>
  <b:Source>
    <b:Tag>Sal221</b:Tag>
    <b:SourceType>JournalArticle</b:SourceType>
    <b:Guid>{F68D92E6-390C-4779-B305-DCAD6780B35D}</b:Guid>
    <b:Title>Engaging Consumers with Environmental Sustainability Initiatives: Consumer Global–Local Identity and Global Brand Messaging</b:Title>
    <b:JournalName>Journal of Marketing Research</b:JournalName>
    <b:Year>2022</b:Year>
    <b:Author>
      <b:Author>
        <b:NameList>
          <b:Person>
            <b:Last>Salnikova</b:Last>
            <b:First>Ekaterina </b:First>
          </b:Person>
          <b:Person>
            <b:Last>Strizhakova</b:Last>
            <b:First>Yuliya </b:First>
          </b:Person>
          <b:Person>
            <b:Last>Coulter</b:Last>
            <b:Middle>A.</b:Middle>
            <b:First>Robin </b:First>
          </b:Person>
        </b:NameList>
      </b:Author>
    </b:Author>
    <b:Month>03</b:Month>
    <b:Day>29</b:Day>
    <b:YearAccessed>2022</b:YearAccessed>
    <b:MonthAccessed>05</b:MonthAccessed>
    <b:DayAccessed>08</b:DayAccessed>
    <b:DOI>https://doi.org/10.1177/00222437221078522</b:DOI>
    <b:RefOrder>1110</b:RefOrder>
  </b:Source>
  <b:Source>
    <b:Tag>Sal18</b:Tag>
    <b:SourceType>JournalArticle</b:SourceType>
    <b:Guid>{D4DCC120-EE44-47A1-B982-984A4444323F}</b:Guid>
    <b:Title>Effectiveness of CSR Advertising: The Role of Reputation, Consumer Attributions, and Emotions</b:Title>
    <b:JournalName>Corporate Social Responsibility and Environmental Management</b:JournalName>
    <b:Year>2018</b:Year>
    <b:Pages>194-208</b:Pages>
    <b:Month>04</b:Month>
    <b:Publisher>John Wiley &amp; Sons</b:Publisher>
    <b:Volume>25</b:Volume>
    <b:Issue>2</b:Issue>
    <b:YearAccessed>2023</b:YearAccessed>
    <b:MonthAccessed>02</b:MonthAccessed>
    <b:DayAccessed>18</b:DayAccessed>
    <b:DOI>https://doi.org/10.1002/csr.1453</b:DOI>
    <b:Author>
      <b:Author>
        <b:NameList>
          <b:Person>
            <b:Last>Salmones</b:Last>
            <b:Middle>García-De los </b:Middle>
            <b:First>María del Mar </b:First>
          </b:Person>
          <b:Person>
            <b:Last>Perez</b:Last>
            <b:First>Andrea </b:First>
          </b:Person>
        </b:NameList>
      </b:Author>
    </b:Author>
    <b:RefOrder>329</b:RefOrder>
  </b:Source>
  <b:Source>
    <b:Tag>Sal23</b:Tag>
    <b:SourceType>JournalArticle</b:SourceType>
    <b:Guid>{0F62E0D8-2A93-4B0B-8FF2-11589CDBD9F7}</b:Guid>
    <b:Title>A Review on the Effect of Self-congruity Dimensions on Customer’s Switching Intention</b:Title>
    <b:JournalName>IOSR Journal of Business and Management</b:JournalName>
    <b:Pages>48-53</b:Pages>
    <b:Author>
      <b:Author>
        <b:NameList>
          <b:Person>
            <b:Last>Saleki</b:Last>
            <b:First>R.</b:First>
          </b:Person>
          <b:Person>
            <b:Last>Saki</b:Last>
            <b:First>Mohsen</b:First>
          </b:Person>
          <b:Person>
            <b:Last>Nekooei</b:Last>
            <b:First>M. </b:First>
          </b:Person>
        </b:NameList>
      </b:Author>
    </b:Author>
    <b:Volume>16</b:Volume>
    <b:YearAccessed>2023</b:YearAccessed>
    <b:MonthAccessed>03</b:MonthAccessed>
    <b:DayAccessed>07</b:DayAccessed>
    <b:DOI>10.9790/487X-16224853</b:DOI>
    <b:Year>2014</b:Year>
    <b:RefOrder>1111</b:RefOrder>
  </b:Source>
  <b:Source>
    <b:Tag>Sal21</b:Tag>
    <b:SourceType>JournalArticle</b:SourceType>
    <b:Guid>{81E30902-0859-4525-9A15-ECF2E5D494DE}</b:Guid>
    <b:Title>Modified Kuppuswamy socioeconomic scale updated for the year 2021</b:Title>
    <b:JournalName>Indian Journal of Forensic and Community Medicine</b:JournalName>
    <b:Year>2021</b:Year>
    <b:Pages>1-3</b:Pages>
    <b:Author>
      <b:Author>
        <b:NameList>
          <b:Person>
            <b:Last>Saleem</b:Last>
            <b:Middle>Mohd </b:Middle>
            <b:First>Sheikh </b:First>
          </b:Person>
          <b:Person>
            <b:Last>Jan</b:Last>
            <b:Middle>Sumaya </b:Middle>
            <b:First> Shah </b:First>
          </b:Person>
        </b:NameList>
      </b:Author>
    </b:Author>
    <b:Volume>8</b:Volume>
    <b:Issue>1</b:Issue>
    <b:YearAccessed>2022</b:YearAccessed>
    <b:MonthAccessed>12</b:MonthAccessed>
    <b:DayAccessed>12</b:DayAccessed>
    <b:DOI>https://doi.org/10.18231/j.ijfcm.2021.001</b:DOI>
    <b:RefOrder>874</b:RefOrder>
  </b:Source>
  <b:Source>
    <b:Tag>Sal17</b:Tag>
    <b:SourceType>JournalArticle</b:SourceType>
    <b:Guid>{898AA5CC-3CE7-4E1B-9C04-EEFFDF443FD0}</b:Guid>
    <b:Title>Influence of Electronic Word of Mouth on Purchase Intention of Fashion Products on Social Networking Websites</b:Title>
    <b:JournalName>Pakistan Journal of Commerce and Social Sciences</b:JournalName>
    <b:Year>2017</b:Year>
    <b:Pages>597-622</b:Pages>
    <b:Author>
      <b:Author>
        <b:NameList>
          <b:Person>
            <b:Last>Saleem</b:Last>
            <b:First>Anum </b:First>
          </b:Person>
          <b:Person>
            <b:Last>Ellahi</b:Last>
            <b:First>Abida</b:First>
          </b:Person>
        </b:NameList>
      </b:Author>
    </b:Author>
    <b:Month>08</b:Month>
    <b:Volume>11</b:Volume>
    <b:Issue>2</b:Issue>
    <b:YearAccessed>2023</b:YearAccessed>
    <b:MonthAccessed>02</b:MonthAccessed>
    <b:DayAccessed>05</b:DayAccessed>
    <b:URL>https://www.researchgate.net/publication/319236209_Influence_of_Electronic_Word_of_Mouth_on_Purchase_Intention_of_Fashion_Products_on_Social_Networking_Websites</b:URL>
    <b:RefOrder>288</b:RefOrder>
  </b:Source>
  <b:Source>
    <b:Tag>Sal211</b:Tag>
    <b:SourceType>Book</b:SourceType>
    <b:Guid>{BD8DBCB2-7DD8-43A7-8226-5EA4504F5F64}</b:Guid>
    <b:Title>The Coding Manual for Qualitative Researchers</b:Title>
    <b:Year>2021</b:Year>
    <b:Publisher>SAGE Publication</b:Publisher>
    <b:Author>
      <b:Author>
        <b:NameList>
          <b:Person>
            <b:Last>Saldana</b:Last>
            <b:First>J</b:First>
          </b:Person>
        </b:NameList>
      </b:Author>
    </b:Author>
    <b:RefOrder>1003</b:RefOrder>
  </b:Source>
  <b:Source>
    <b:Tag>Sal22</b:Tag>
    <b:SourceType>JournalArticle</b:SourceType>
    <b:Guid>{C647D218-3661-4DDE-9921-3A88D7D6991A}</b:Guid>
    <b:Title>Egypt: Social Responsibility Disclosure Practices</b:Title>
    <b:JournalName>Global Practices of Corporate Social Responsibility.</b:JournalName>
    <b:Pages>325-342</b:Pages>
    <b:Author>
      <b:Author>
        <b:NameList>
          <b:Person>
            <b:Last>Salama</b:Last>
            <b:First>Aly</b:First>
          </b:Person>
        </b:NameList>
      </b:Author>
    </b:Author>
    <b:Publisher>Springer</b:Publisher>
    <b:YearAccessed>2022</b:YearAccessed>
    <b:MonthAccessed>01</b:MonthAccessed>
    <b:DayAccessed>30</b:DayAccessed>
    <b:DOI>https://doi.org/10.1007/978-3-540-68815-0_16</b:DOI>
    <b:Year>2009</b:Year>
    <b:RefOrder>45</b:RefOrder>
  </b:Source>
  <b:Source>
    <b:Tag>Sal222</b:Tag>
    <b:SourceType>JournalArticle</b:SourceType>
    <b:Guid>{84528708-7C22-4FF4-BEA1-520619D877DA}</b:Guid>
    <b:Title>CSR orientation and firm performance in the Middle Eastern and African B2B markets: The role of customer satisfaction and customer loyalty</b:Title>
    <b:JournalName>Industrial Marketing Management</b:JournalName>
    <b:Year>2022</b:Year>
    <b:Pages>1-13</b:Pages>
    <b:Volume>107</b:Volume>
    <b:Author>
      <b:Author>
        <b:NameList>
          <b:Person>
            <b:Last>Salam</b:Last>
            <b:Middle>Asif</b:Middle>
            <b:First>Mohammad </b:First>
          </b:Person>
          <b:Person>
            <b:Last>Jahed</b:Last>
            <b:Middle>Abu</b:Middle>
            <b:First>Mohammed </b:First>
          </b:Person>
          <b:Person>
            <b:Last>Palmer</b:Last>
            <b:First>Todd</b:First>
          </b:Person>
        </b:NameList>
      </b:Author>
    </b:Author>
    <b:Month>11</b:Month>
    <b:Publisher>Elsevier Inc.</b:Publisher>
    <b:YearAccessed>2022</b:YearAccessed>
    <b:MonthAccessed>12</b:MonthAccessed>
    <b:DayAccessed>07</b:DayAccessed>
    <b:DOI>10.1016/j.indmarman.2022.09.013</b:DOI>
    <b:RefOrder>35</b:RefOrder>
  </b:Source>
  <b:Source>
    <b:Tag>Pre</b:Tag>
    <b:SourceType>JournalArticle</b:SourceType>
    <b:Guid>{6D464329-D798-4A81-9D29-3A07A1DD069D}</b:Guid>
    <b:Title>Prediction of instantaneous likeability of advertisements using deep learning</b:Title>
    <b:JournalName>Cognitive Computation and Systems</b:JournalName>
    <b:Year>2021</b:Year>
    <b:Author>
      <b:Author>
        <b:NameList>
          <b:Person>
            <b:Last>Saha</b:Last>
            <b:First>Dipayan</b:First>
          </b:Person>
          <b:Person>
            <b:Last>Rahman</b:Last>
            <b:Middle>Mahbubur</b:Middle>
            <b:First>S.M.</b:First>
          </b:Person>
          <b:Person>
            <b:Last>Islam</b:Last>
            <b:Middle>Tariqul </b:Middle>
            <b:First>Mohammad </b:First>
          </b:Person>
          <b:Person>
            <b:Last>Ahmad</b:Last>
            <b:Middle>Omair</b:Middle>
            <b:First>M</b:First>
          </b:Person>
          <b:Person>
            <b:Last> Swamy</b:Last>
            <b:First>M.N.S</b:First>
          </b:Person>
        </b:NameList>
      </b:Author>
    </b:Author>
    <b:Month>03</b:Month>
    <b:Day>24</b:Day>
    <b:YearAccessed>2022</b:YearAccessed>
    <b:MonthAccessed>03</b:MonthAccessed>
    <b:DayAccessed>05</b:DayAccessed>
    <b:DOI>10.1049/ccs2.12022</b:DOI>
    <b:RefOrder>1112</b:RefOrder>
  </b:Source>
  <b:Source>
    <b:Tag>Sad17</b:Tag>
    <b:SourceType>JournalArticle</b:SourceType>
    <b:Guid>{E26F1059-4481-472A-AB7F-1E03236AF2FF}</b:Guid>
    <b:Title>Working and Women’s Empowerment in the Egyptian Household: The Type of Work and Location Matter</b:Title>
    <b:JournalName>Working Papers</b:JournalName>
    <b:Year>2017</b:Year>
    <b:Author>
      <b:Author>
        <b:NameList>
          <b:Person>
            <b:Last>Sadania</b:Last>
            <b:First>Clémentine </b:First>
          </b:Person>
        </b:NameList>
      </b:Author>
    </b:Author>
    <b:Month>05</b:Month>
    <b:Day>19</b:Day>
    <b:YearAccessed>2023</b:YearAccessed>
    <b:MonthAccessed>02</b:MonthAccessed>
    <b:DayAccessed>11</b:DayAccessed>
    <b:URL> RePEc:hal:wpaper:halshs-01525220</b:URL>
    <b:RefOrder>787</b:RefOrder>
  </b:Source>
  <b:Source>
    <b:Tag>Ryd21</b:Tag>
    <b:SourceType>JournalArticle</b:SourceType>
    <b:Guid>{2E8DB92F-7DB7-4AF3-8076-0C09E55DFB18}</b:Guid>
    <b:Title>Social Marginalization, Ethnic Threat, and Radical Right-wing Support in Sweden: A Multilevel Analysis</b:Title>
    <b:JournalName>The Department of Sociology Working Paper Series</b:JournalName>
    <b:Year>2021</b:Year>
    <b:Month>02</b:Month>
    <b:Day>20</b:Day>
    <b:YearAccessed>2023</b:YearAccessed>
    <b:MonthAccessed>03</b:MonthAccessed>
    <b:DayAccessed>17</b:DayAccessed>
    <b:DOI>https://doi.org/10.17045/sthlmuni.14040056.v1</b:DOI>
    <b:Author>
      <b:Author>
        <b:NameList>
          <b:Person>
            <b:Last>Rydgren</b:Last>
            <b:First>Jens </b:First>
          </b:Person>
          <b:Person>
            <b:Last>Tyrberg</b:Last>
            <b:First>Maria </b:First>
          </b:Person>
        </b:NameList>
      </b:Author>
    </b:Author>
    <b:RefOrder>680</b:RefOrder>
  </b:Source>
  <b:Source>
    <b:Tag>Rus04</b:Tag>
    <b:SourceType>JournalArticle</b:SourceType>
    <b:Guid>{CE14601D-4D72-452D-9885-DAECD1F6E5E8}</b:Guid>
    <b:Title>Measuring Marketing Productivity: Current Knowledge and Future Directions</b:Title>
    <b:JournalName>Journal of Marketing </b:JournalName>
    <b:Year>2004</b:Year>
    <b:Pages>Sage Journals</b:Pages>
    <b:Volume>68</b:Volume>
    <b:Issue>4</b:Issue>
    <b:Author>
      <b:Author>
        <b:NameList>
          <b:Person>
            <b:Last>Rust</b:Last>
            <b:Middle>T</b:Middle>
            <b:First>Roland </b:First>
          </b:Person>
          <b:Person>
            <b:Last>Ambler </b:Last>
            <b:First>Tim</b:First>
          </b:Person>
          <b:Person>
            <b:Last>Carpenter</b:Last>
            <b:Middle>S</b:Middle>
            <b:First>Gregory </b:First>
          </b:Person>
          <b:Person>
            <b:Last>Srivastava</b:Last>
            <b:Middle>K</b:Middle>
            <b:First>Rajendra </b:First>
          </b:Person>
        </b:NameList>
      </b:Author>
    </b:Author>
    <b:Month>10</b:Month>
    <b:Day>1</b:Day>
    <b:YearAccessed>2022</b:YearAccessed>
    <b:MonthAccessed>01</b:MonthAccessed>
    <b:DayAccessed>23</b:DayAccessed>
    <b:DOI>https://doi.org/10.1509/jmkg.68.4.76.42721</b:DOI>
    <b:RefOrder>344</b:RefOrder>
  </b:Source>
  <b:Source>
    <b:Tag>Ros14</b:Tag>
    <b:SourceType>JournalArticle</b:SourceType>
    <b:Guid>{4850B51D-B31A-4E6C-A84B-7BFB5FCF43EC}</b:Guid>
    <b:Title>Branding’ explained: Defining and measuring brand awareness and brand attitude</b:Title>
    <b:JournalName>Journal of Brand Management volume</b:JournalName>
    <b:Year>2014</b:Year>
    <b:Pages>533–540</b:Pages>
    <b:YearAccessed>2014</b:YearAccessed>
    <b:MonthAccessed>12</b:MonthAccessed>
    <b:DayAccessed>29</b:DayAccessed>
    <b:DOI>https://doi.org/10.1057/bm.2014.33</b:DOI>
    <b:Author>
      <b:Author>
        <b:NameList>
          <b:Person>
            <b:Last>Rossiter</b:Last>
            <b:Middle>R.</b:Middle>
            <b:First>John </b:First>
          </b:Person>
        </b:NameList>
      </b:Author>
    </b:Author>
    <b:RefOrder>242</b:RefOrder>
  </b:Source>
  <b:Source>
    <b:Tag>Ros17</b:Tag>
    <b:SourceType>BookSection</b:SourceType>
    <b:Guid>{7654A089-CF52-4907-BCBC-611D42FFD7C4}</b:Guid>
    <b:Title>Independent Samples T-Test</b:Title>
    <b:Year>2017</b:Year>
    <b:YearAccessed>2023</b:YearAccessed>
    <b:MonthAccessed>01</b:MonthAccessed>
    <b:DayAccessed>17</b:DayAccessed>
    <b:BookTitle>Basic and Advanced Statistical Tests</b:BookTitle>
    <b:Pages>13-16</b:Pages>
    <b:Publisher>Sense Publishers</b:Publisher>
    <b:Author>
      <b:Author>
        <b:NameList>
          <b:Person>
            <b:Last>Ross</b:Last>
            <b:First>Amanda </b:First>
          </b:Person>
          <b:Person>
            <b:Last>Willson </b:Last>
            <b:Middle>L.</b:Middle>
            <b:First>Victor </b:First>
          </b:Person>
        </b:NameList>
      </b:Author>
    </b:Author>
    <b:StateProvince>Rotterdam</b:StateProvince>
    <b:DOI>https://doi.org/10.1007/978-94-6351-086-8_3</b:DOI>
    <b:RefOrder>959</b:RefOrder>
  </b:Source>
  <b:Source>
    <b:Tag>Ros60</b:Tag>
    <b:SourceType>BookSection</b:SourceType>
    <b:Guid>{E34D8005-E501-4017-9819-DEED8291AB7D}</b:Guid>
    <b:Title>Cognitive, affective, and behavioral components of attitude</b:Title>
    <b:Year>1960</b:Year>
    <b:Publisher>Yale University Press</b:Publisher>
    <b:BookTitle>Attitude Organization and Change: An Analysis of Consistency among Attitude Components</b:BookTitle>
    <b:Pages>1-14</b:Pages>
    <b:Author>
      <b:Author>
        <b:NameList>
          <b:Person>
            <b:Last>Rosenberg</b:Last>
            <b:Middle>J.</b:Middle>
            <b:First>M.</b:First>
          </b:Person>
          <b:Person>
            <b:Last>Hovland</b:Last>
            <b:Middle>I</b:Middle>
            <b:First>C</b:First>
          </b:Person>
        </b:NameList>
      </b:Author>
    </b:Author>
    <b:RefOrder>534</b:RefOrder>
  </b:Source>
  <b:Source>
    <b:Tag>Ros201</b:Tag>
    <b:SourceType>JournalArticle</b:SourceType>
    <b:Guid>{48C0211D-C09C-4279-B30D-820E20FEEF50}</b:Guid>
    <b:Title>Contextualizing reliability and validity in qualitative research: toward more rigorous and trustworthy qualitative social science in leisure research</b:Title>
    <b:JournalName>Journal of Leisure Research</b:JournalName>
    <b:Year>2020</b:Year>
    <b:Pages>432-451</b:Pages>
    <b:Author>
      <b:Author>
        <b:NameList>
          <b:Person>
            <b:Last>Rose</b:Last>
            <b:First>Jeff </b:First>
          </b:Person>
          <b:Person>
            <b:Last>Johnson</b:Last>
            <b:Middle>W.</b:Middle>
            <b:First>Corey </b:First>
          </b:Person>
        </b:NameList>
      </b:Author>
    </b:Author>
    <b:Month>02</b:Month>
    <b:Day>10</b:Day>
    <b:Volume>51</b:Volume>
    <b:Issue>4</b:Issue>
    <b:YearAccessed>2022</b:YearAccessed>
    <b:MonthAccessed>11</b:MonthAccessed>
    <b:DayAccessed>08</b:DayAccessed>
    <b:DOI>https://doi.org/10.1080/00222216.2020.1722042</b:DOI>
    <b:RefOrder>896</b:RefOrder>
  </b:Source>
  <b:Source>
    <b:Tag>Ros20</b:Tag>
    <b:SourceType>JournalArticle</b:SourceType>
    <b:Guid>{71898A1A-1C8F-4A2A-B4E2-8F6E642695E2}</b:Guid>
    <b:Title>Contextualizing reliability and validity in qualitative research: toward more rigorous and trustworthy qualitative social science in leisure research</b:Title>
    <b:Year>2020</b:Year>
    <b:JournalName>Journal of Leisure Research</b:JournalName>
    <b:Pages>432-451</b:Pages>
    <b:Month>08</b:Month>
    <b:Day>07</b:Day>
    <b:Volume>51</b:Volume>
    <b:Issue>4</b:Issue>
    <b:YearAccessed>2022</b:YearAccessed>
    <b:MonthAccessed>10</b:MonthAccessed>
    <b:DayAccessed>21</b:DayAccessed>
    <b:DOI>10.1080/00222216.2020.1722042</b:DOI>
    <b:Author>
      <b:Author>
        <b:NameList>
          <b:Person>
            <b:Last>Rose</b:Last>
            <b:First>Jeff</b:First>
          </b:Person>
          <b:Person>
            <b:Last>Johnson</b:Last>
            <b:Middle>W</b:Middle>
            <b:First>Corey </b:First>
          </b:Person>
        </b:NameList>
      </b:Author>
    </b:Author>
    <b:RefOrder>897</b:RefOrder>
  </b:Source>
  <b:Source>
    <b:Tag>Rog08</b:Tag>
    <b:SourceType>JournalArticle</b:SourceType>
    <b:Guid>{21AB5775-40B3-4DB3-86AE-88B26FC61C26}</b:Guid>
    <b:Title>Future lock-in: future implementation increases selection of ‘should’ choices</b:Title>
    <b:JournalName>Organizational Behavior and Human Decision Processes</b:JournalName>
    <b:Year>2008</b:Year>
    <b:Pages>1-20</b:Pages>
    <b:Volume>106</b:Volume>
    <b:Issue>1</b:Issue>
    <b:Author>
      <b:Author>
        <b:NameList>
          <b:Person>
            <b:Last>Rogers</b:Last>
            <b:First>T.</b:First>
          </b:Person>
          <b:Person>
            <b:Last>Bazerman</b:Last>
            <b:First>M.</b:First>
          </b:Person>
        </b:NameList>
      </b:Author>
    </b:Author>
    <b:RefOrder>1113</b:RefOrder>
  </b:Source>
  <b:Source>
    <b:Tag>Rod20</b:Tag>
    <b:SourceType>JournalArticle</b:SourceType>
    <b:Guid>{FF632F59-21D2-475B-A422-5712ECC48EAE}</b:Guid>
    <b:Title>Editorial: How to Prevent, Detect and Control Common Method Variance in Electronic Commerce Research</b:Title>
    <b:JournalName>Journal of theoretical and applied electronic commerce research</b:JournalName>
    <b:Year>2020</b:Year>
    <b:Month>05</b:Month>
    <b:Volume>15</b:Volume>
    <b:Issue>2</b:Issue>
    <b:YearAccessed>2023</b:YearAccessed>
    <b:MonthAccessed>08</b:MonthAccessed>
    <b:DayAccessed>20</b:DayAccessed>
    <b:DOI>http://dx.doi.org/10.4067/S0718-18762020000200101</b:DOI>
    <b:Author>
      <b:Author>
        <b:NameList>
          <b:Person>
            <b:Last>Rodríguez-Ardura</b:Last>
            <b:First>Inma </b:First>
          </b:Person>
          <b:Person>
            <b:Last>Meseguer-Artola</b:Last>
            <b:First>Antoni </b:First>
          </b:Person>
        </b:NameList>
      </b:Author>
    </b:Author>
    <b:RefOrder>934</b:RefOrder>
  </b:Source>
  <b:Source>
    <b:Tag>Mic14</b:Tag>
    <b:SourceType>BookSection</b:SourceType>
    <b:Guid>{0BBC6496-33FB-479B-8F5E-22725B541E26}</b:Guid>
    <b:Title>Purposive Sampling</b:Title>
    <b:Year>2014</b:Year>
    <b:Pages>5243–5245</b:Pages>
    <b:BookTitle>Encyclopedia of Quality of Life and Well-Being Research</b:BookTitle>
    <b:Publisher>Springer</b:Publisher>
    <b:YearAccessed>2022</b:YearAccessed>
    <b:MonthAccessed>10</b:MonthAccessed>
    <b:DayAccessed>29</b:DayAccessed>
    <b:DOI>https://doi.org/10.1007/978-94-007-0753-5_2337</b:DOI>
    <b:Author>
      <b:Author>
        <b:NameList>
          <b:Person>
            <b:Last>Robinson</b:Last>
            <b:Middle>S</b:Middle>
            <b:First>Rebecca   </b:First>
          </b:Person>
        </b:NameList>
      </b:Author>
      <b:BookAuthor>
        <b:NameList>
          <b:Person>
            <b:Last>Michalos</b:Last>
            <b:Middle>C</b:Middle>
            <b:First>A</b:First>
          </b:Person>
        </b:NameList>
      </b:BookAuthor>
    </b:Author>
    <b:RefOrder>869</b:RefOrder>
  </b:Source>
  <b:Source>
    <b:Tag>Riv19</b:Tag>
    <b:SourceType>JournalArticle</b:SourceType>
    <b:Guid>{6D917B39-2043-428B-9F82-A17BEE80740D}</b:Guid>
    <b:Title>Effects of Corporate Social Responsibility on consumer brand loyalty</b:Title>
    <b:JournalName>Revista Brasileira de Gestão de Negócios</b:JournalName>
    <b:Year>2019</b:Year>
    <b:Month>07</b:Month>
    <b:Volume>21</b:Volume>
    <b:Issue>3</b:Issue>
    <b:YearAccessed>2023</b:YearAccessed>
    <b:MonthAccessed>02</b:MonthAccessed>
    <b:DayAccessed>28</b:DayAccessed>
    <b:DOI>https://doi.org/10.7819/rbgn.v21i3.4003  </b:DOI>
    <b:Author>
      <b:Author>
        <b:NameList>
          <b:Person>
            <b:Last>Rivera</b:Last>
            <b:Middle>Javier </b:Middle>
            <b:First>José </b:First>
          </b:Person>
          <b:Person>
            <b:Last>Bigne</b:Last>
            <b:First>Enrique </b:First>
          </b:Person>
          <b:Person>
            <b:Last>Curras-Perez</b:Last>
            <b:First>Rafael </b:First>
          </b:Person>
        </b:NameList>
      </b:Author>
    </b:Author>
    <b:RefOrder>189</b:RefOrder>
  </b:Source>
  <b:Source>
    <b:Tag>Dev94</b:Tag>
    <b:SourceType>JournalArticle</b:SourceType>
    <b:Guid>{E1BF52FF-29F2-4A56-A08E-1828E8A14809}</b:Guid>
    <b:Title>Developmental Processes of Cooperative Interorganizational Relationships</b:Title>
    <b:JournalName>The Academy of Management Review</b:JournalName>
    <b:Year>1994</b:Year>
    <b:Pages>90-118</b:Pages>
    <b:Volume>19</b:Volume>
    <b:Issue>1</b:Issue>
    <b:Month>01</b:Month>
    <b:Publisher> Academy of Management</b:Publisher>
    <b:YearAccessed>2022</b:YearAccessed>
    <b:MonthAccessed>12</b:MonthAccessed>
    <b:DayAccessed>06</b:DayAccessed>
    <b:URL>https://www.jstor.org/stable/258836</b:URL>
    <b:DOI>https://doi.org/10.2307/258836</b:DOI>
    <b:Author>
      <b:Author>
        <b:NameList>
          <b:Person>
            <b:Last>Ring </b:Last>
            <b:Middle>Smith </b:Middle>
            <b:First>Peter </b:First>
          </b:Person>
          <b:Person>
            <b:Last>van de Ven</b:Last>
            <b:Middle>H.</b:Middle>
            <b:First>Andrew </b:First>
          </b:Person>
        </b:NameList>
      </b:Author>
    </b:Author>
    <b:RefOrder>1114</b:RefOrder>
  </b:Source>
  <b:Source>
    <b:Tag>Rim181</b:Tag>
    <b:SourceType>JournalArticle</b:SourceType>
    <b:Guid>{F80CB1D8-81EA-4FD8-BF07-D58C52DC11C7}</b:Guid>
    <b:Title>Trust and distrust in society and public perception of CSR: a cross-cultural study</b:Title>
    <b:JournalName>Social Responsibility Journal</b:JournalName>
    <b:Year>2018</b:Year>
    <b:Pages>1-19</b:Pages>
    <b:Volume>14</b:Volume>
    <b:Issue>1</b:Issue>
    <b:Author>
      <b:Author>
        <b:NameList>
          <b:Person>
            <b:Last>Rim</b:Last>
            <b:First>Hyejoon </b:First>
          </b:Person>
          <b:Person>
            <b:Last>Dong</b:Last>
            <b:First>Chuqing </b:First>
          </b:Person>
        </b:NameList>
      </b:Author>
    </b:Author>
    <b:Month>03</b:Month>
    <b:Day>05</b:Day>
    <b:YearAccessed>2022</b:YearAccessed>
    <b:MonthAccessed>12</b:MonthAccessed>
    <b:DayAccessed>07</b:DayAccessed>
    <b:URL>https://doi.org/10.1108/SRJ-01-2017-0016</b:URL>
    <b:RefOrder>482</b:RefOrder>
  </b:Source>
  <b:Source>
    <b:Tag>Rim16</b:Tag>
    <b:SourceType>JournalArticle</b:SourceType>
    <b:Guid>{9EEB2B6B-7D9E-4ADA-A998-8ED9F365731E}</b:Guid>
    <b:Title>Dimensions of corporate social responsibility (CSR) skepticism and their impacts on public evaluations toward CSR</b:Title>
    <b:JournalName>Journal of Public Relations Research</b:JournalName>
    <b:Year>2016</b:Year>
    <b:Pages>248-267</b:Pages>
    <b:Author>
      <b:Author>
        <b:NameList>
          <b:Person>
            <b:Last>Rim</b:Last>
            <b:First>Hyejoon </b:First>
          </b:Person>
          <b:Person>
            <b:Last>Kim</b:Last>
            <b:First>Sora </b:First>
          </b:Person>
        </b:NameList>
      </b:Author>
    </b:Author>
    <b:Month>12</b:Month>
    <b:Day>20</b:Day>
    <b:Volume>28</b:Volume>
    <b:Issue>5-6</b:Issue>
    <b:YearAccessed>2023</b:YearAccessed>
    <b:MonthAccessed>02</b:MonthAccessed>
    <b:DayAccessed>27</b:DayAccessed>
    <b:DOI>https://doi.org/10.1080/1062726X.2016.1261702</b:DOI>
    <b:RefOrder>1115</b:RefOrder>
  </b:Source>
  <b:Source>
    <b:Tag>Rim18</b:Tag>
    <b:SourceType>JournalArticle</b:SourceType>
    <b:Guid>{D4E1D702-4F10-4F1C-9AE0-58AD7324B9C0}</b:Guid>
    <b:Title>Watch out when expectancy is violated: An experiment of inconsistent CSR message cueing</b:Title>
    <b:JournalName>Journal of Marketing Communications</b:JournalName>
    <b:Year>2018</b:Year>
    <b:Pages>343 -361</b:Pages>
    <b:Author>
      <b:Author>
        <b:NameList>
          <b:Person>
            <b:Last>Rim</b:Last>
            <b:First>Hyejoon</b:First>
          </b:Person>
          <b:Person>
            <b:Last> Park</b:Last>
            <b:Middle>Eun</b:Middle>
            <b:First>Young</b:First>
          </b:Person>
          <b:Person>
            <b:Last>Song</b:Last>
            <b:First>Doori</b:First>
          </b:Person>
        </b:NameList>
      </b:Author>
    </b:Author>
    <b:Month>09</b:Month>
    <b:Day>27</b:Day>
    <b:Volume>26</b:Volume>
    <b:Issue>4</b:Issue>
    <b:YearAccessed>2021</b:YearAccessed>
    <b:MonthAccessed>11</b:MonthAccessed>
    <b:DayAccessed>20</b:DayAccessed>
    <b:DOI>ttps://doi.org/10.1080/13527266.2018.1523216</b:DOI>
    <b:RefOrder>135</b:RefOrder>
  </b:Source>
  <b:Source>
    <b:Tag>Rij17</b:Tag>
    <b:SourceType>JournalArticle</b:SourceType>
    <b:Guid>{B411CF1F-88FB-49BC-8772-89BE21C72A96}</b:Guid>
    <b:Title>(I Can’t Get No) Saturation: A simulation and guidelines for sample sizes in qualitative research</b:Title>
    <b:JournalName>Plos One</b:JournalName>
    <b:Year>2017</b:Year>
    <b:Author>
      <b:Author>
        <b:NameList>
          <b:Person>
            <b:Last>Rijnsoever</b:Last>
            <b:Middle>J.</b:Middle>
            <b:First>Frank </b:First>
          </b:Person>
        </b:NameList>
      </b:Author>
    </b:Author>
    <b:Month>07</b:Month>
    <b:Day>26</b:Day>
    <b:DOI>https://doi.org/10.1371/journal.pone.0181689</b:DOI>
    <b:RefOrder>1021</b:RefOrder>
  </b:Source>
  <b:Source>
    <b:Tag>Rih21</b:Tag>
    <b:SourceType>JournalArticle</b:SourceType>
    <b:Guid>{5C754F30-B2CE-4199-90C0-2A59BA907AE7}</b:Guid>
    <b:Title>Chapter 6 - Application of Latent Growth Curve modeling to predict individual trajectories during neurofeedback treatment for tinnitus</b:Title>
    <b:JournalName>Progress in Brain Research</b:JournalName>
    <b:Year>2021</b:Year>
    <b:Pages>109-136</b:Pages>
    <b:Volume>263</b:Volume>
    <b:YearAccessed>2023</b:YearAccessed>
    <b:MonthAccessed>01</b:MonthAccessed>
    <b:DayAccessed>18</b:DayAccessed>
    <b:DOI>https://doi.org/10.1016/bs.pbr.2021.04.013</b:DOI>
    <b:Author>
      <b:Author>
        <b:NameList>
          <b:Person>
            <b:Last>Riha</b:Last>
            <b:First>Constanze</b:First>
          </b:Person>
          <b:Person>
            <b:Last>Güntensperger</b:Last>
            <b:First>Dominik</b:First>
          </b:Person>
          <b:Person>
            <b:Last>Oschwald</b:Last>
            <b:First>Jessica</b:First>
          </b:Person>
          <b:Person>
            <b:Last>Kleinjung</b:Last>
            <b:First>Tobias</b:First>
          </b:Person>
          <b:Person>
            <b:Last>Meyer</b:Last>
            <b:First>Martin</b:First>
          </b:Person>
        </b:NameList>
      </b:Author>
    </b:Author>
    <b:RefOrder>962</b:RefOrder>
  </b:Source>
  <b:Source>
    <b:Tag>Rid22</b:Tag>
    <b:SourceType>Report</b:SourceType>
    <b:Guid>{FF3E7CF4-B0E8-41C5-8ED7-D92044D0130E}</b:Guid>
    <b:Title>Total consumption of soft drinks in the United Kingdom from 2013 to 2021(in million liters)</b:Title>
    <b:Year>2022</b:Year>
    <b:Publisher>Satista </b:Publisher>
    <b:YearAccessed>2023</b:YearAccessed>
    <b:MonthAccessed>02</b:MonthAccessed>
    <b:DayAccessed>23</b:DayAccessed>
    <b:URL>https://www.statista.com/statistics/283722/total-soft-drink-consumption-volume-in-the-united-kingdom-uk/?locale=en</b:URL>
    <b:Author>
      <b:Author>
        <b:NameList>
          <b:Person>
            <b:Last>Ridder</b:Last>
            <b:First>M. </b:First>
          </b:Person>
        </b:NameList>
      </b:Author>
    </b:Author>
    <b:RefOrder>1116</b:RefOrder>
  </b:Source>
  <b:Source>
    <b:Tag>Rev14</b:Tag>
    <b:SourceType>JournalArticle</b:SourceType>
    <b:Guid>{E03752E9-9F6E-4940-85A2-53E3805B4D1B}</b:Guid>
    <b:Title>Internal Consistency Reliability</b:Title>
    <b:JournalName>Encyclopedia of Quality of Life and Well-Being Research</b:JournalName>
    <b:Year>2014</b:Year>
    <b:Pages>3305-3306</b:Pages>
    <b:Author>
      <b:Author>
        <b:NameList>
          <b:Person>
            <b:Last>Revicki</b:Last>
            <b:First>Dennis</b:First>
          </b:Person>
        </b:NameList>
      </b:Author>
    </b:Author>
    <b:Publisher>Springer, Dordrecht.</b:Publisher>
    <b:YearAccessed>2023</b:YearAccessed>
    <b:MonthAccessed>02</b:MonthAccessed>
    <b:DayAccessed>11</b:DayAccessed>
    <b:DOI>https://doi.org/10.1007/978-94-007-0753-5_1494</b:DOI>
    <b:RefOrder>768</b:RefOrder>
  </b:Source>
  <b:Source>
    <b:Tag>Rei12</b:Tag>
    <b:SourceType>JournalArticle</b:SourceType>
    <b:Guid>{1207C664-65B6-40F3-97F4-FF2E105A6873}</b:Guid>
    <b:Title>Sex in Advertising Research: A Review of Content, Effects, and Functions of Sexual Information in Consumer Advertising</b:Title>
    <b:JournalName>Annual Review of Sex Research</b:JournalName>
    <b:Year>2012</b:Year>
    <b:Pages>241-273</b:Pages>
    <b:Month>11</b:Month>
    <b:Day>15</b:Day>
    <b:Volume>13</b:Volume>
    <b:Issue>01</b:Issue>
    <b:YearAccessed>2022</b:YearAccessed>
    <b:MonthAccessed>06</b:MonthAccessed>
    <b:DayAccessed>06</b:DayAccessed>
    <b:Author>
      <b:Author>
        <b:NameList>
          <b:Person>
            <b:Last>Reichert</b:Last>
            <b:First>Tom</b:First>
          </b:Person>
        </b:NameList>
      </b:Author>
    </b:Author>
    <b:RefOrder>1117</b:RefOrder>
  </b:Source>
  <b:Source>
    <b:Tag>Ree17</b:Tag>
    <b:SourceType>Book</b:SourceType>
    <b:Guid>{D010BDF9-4D13-4A05-B881-270A24AF12AF}</b:Guid>
    <b:Title>Reality in Advertising</b:Title>
    <b:Year>2017</b:Year>
    <b:Publisher>Knopf</b:Publisher>
    <b:Author>
      <b:Author>
        <b:NameList>
          <b:Person>
            <b:Last>Reeves</b:Last>
            <b:First>Rosser</b:First>
          </b:Person>
        </b:NameList>
      </b:Author>
    </b:Author>
    <b:RefOrder>163</b:RefOrder>
  </b:Source>
  <b:Source>
    <b:Tag>REE97</b:Tag>
    <b:SourceType>JournalArticle</b:SourceType>
    <b:Guid>{5E0C9202-35FE-4E08-8A79-8E7F93D42CED}</b:Guid>
    <b:Title>In praise of duality and dualism: Rethinking agency and structure in organizational analysis</b:Title>
    <b:Year>1997</b:Year>
    <b:JournalName>Organization Studies</b:JournalName>
    <b:Pages>21-42</b:Pages>
    <b:Author>
      <b:Author>
        <b:NameList>
          <b:Person>
            <b:Last>Reed</b:Last>
            <b:Middle>I.</b:Middle>
            <b:First>Michael</b:First>
          </b:Person>
        </b:NameList>
      </b:Author>
    </b:Author>
    <b:RefOrder>732</b:RefOrder>
  </b:Source>
  <b:Source>
    <b:Tag>Rea19</b:Tag>
    <b:SourceType>JournalArticle</b:SourceType>
    <b:Guid>{2877216E-CC33-4FC6-A9F5-089AF698F65F}</b:Guid>
    <b:Title>Integrative Review of Recruitment of Research Participants Through Facebook</b:Title>
    <b:JournalName>Nursing Research</b:JournalName>
    <b:Year>2019</b:Year>
    <b:Pages>423-432</b:Pages>
    <b:Volume>68</b:Volume>
    <b:Issue>06</b:Issue>
    <b:Author>
      <b:Author>
        <b:NameList>
          <b:Person>
            <b:Last>Reagan</b:Last>
            <b:First>Louise</b:First>
          </b:Person>
          <b:Person>
            <b:Last>Nowlin</b:Last>
            <b:Middle>Y</b:Middle>
            <b:First>Sarah</b:First>
          </b:Person>
          <b:Person>
            <b:Last>Birdsall</b:Last>
            <b:Middle>B</b:Middle>
            <b:First>Stacia</b:First>
          </b:Person>
          <b:Person>
            <b:Last>Gabbay</b:Last>
            <b:First>Juliana</b:First>
          </b:Person>
          <b:Person>
            <b:Last>Vorderstrasse</b:Last>
            <b:First>Allison</b:First>
          </b:Person>
          <b:Person>
            <b:Last>Johnson</b:Last>
            <b:First>Constance</b:First>
          </b:Person>
          <b:Person>
            <b:Last>D’Eramo</b:Last>
            <b:Middle>Melkus</b:Middle>
            <b:First>Gail</b:First>
          </b:Person>
        </b:NameList>
      </b:Author>
    </b:Author>
    <b:Month>12</b:Month>
    <b:YearAccessed>2022</b:YearAccessed>
    <b:MonthAccessed>01</b:MonthAccessed>
    <b:DayAccessed>30</b:DayAccessed>
    <b:DOI> 10.1097/NNR.0000000000000385</b:DOI>
    <b:RefOrder>1118</b:RefOrder>
  </b:Source>
  <b:Source>
    <b:Tag>Ray20</b:Tag>
    <b:SourceType>Report</b:SourceType>
    <b:Guid>{152BD2F1-792C-4024-8F41-B74D4DD88BEE}</b:Guid>
    <b:Title>Information Technology Issues in Egypt</b:Title>
    <b:Year>2020</b:Year>
    <b:Publisher>The World IT Project: Global Issues in Information Technology, World Scientific Publishing Co Pte Ltd</b:Publisher>
    <b:Pages>81-92</b:Pages>
    <b:YearAccessed>2023</b:YearAccessed>
    <b:MonthAccessed>08</b:MonthAccessed>
    <b:DayAccessed>13</b:DayAccessed>
    <b:DOI>ff10.1142/9789811208645_0007ff.</b:DOI>
    <b:Author>
      <b:Author>
        <b:NameList>
          <b:Person>
            <b:Last>Raymond</b:Last>
            <b:First>Myriam </b:First>
          </b:Person>
          <b:Person>
            <b:Last>Wu</b:Last>
            <b:First>Shikui </b:First>
          </b:Person>
          <b:Person>
            <b:Last>Serenko</b:Last>
            <b:First>Alexander </b:First>
          </b:Person>
        </b:NameList>
      </b:Author>
    </b:Author>
    <b:RefOrder>850</b:RefOrder>
  </b:Source>
  <b:Source>
    <b:Tag>Raw13</b:Tag>
    <b:SourceType>JournalArticle</b:SourceType>
    <b:Guid>{0F24FF32-98BA-44FB-8964-68997C6C19CA}</b:Guid>
    <b:Title>An Introduction of Epistemology to Business Ethics: A Study of Marketing Middle-Managers</b:Title>
    <b:Year>2013</b:Year>
    <b:Pages>525-539</b:Pages>
    <b:JournalName>Journal of Business Ethics</b:JournalName>
    <b:Author>
      <b:Author>
        <b:NameList>
          <b:Person>
            <b:Last>Rawwas</b:Last>
            <b:Middle>Y.A.</b:Middle>
            <b:First>Mohammed </b:First>
          </b:Person>
          <b:Person>
            <b:Last>Arjoon</b:Last>
            <b:First>Surendra</b:First>
          </b:Person>
          <b:Person>
            <b:Last>Sidani</b:Last>
            <b:First>Yusuf</b:First>
          </b:Person>
        </b:NameList>
      </b:Author>
    </b:Author>
    <b:Volume>117</b:Volume>
    <b:Issue>3</b:Issue>
    <b:YearAccessed>2022</b:YearAccessed>
    <b:MonthAccessed>10</b:MonthAccessed>
    <b:DayAccessed>11</b:DayAccessed>
    <b:DOI>10.1007/s10551-012-1537-6.</b:DOI>
    <b:RefOrder>739</b:RefOrder>
  </b:Source>
  <b:Source>
    <b:Tag>AnI</b:Tag>
    <b:SourceType>JournalArticle</b:SourceType>
    <b:Guid>{4CC821F4-30A5-4E0B-9741-987E0E423057}</b:Guid>
    <b:Title>An Introduction of Epistemology to Business Ethics: A Study of Marketing Middle-Managers</b:Title>
    <b:JournalName>Journal of Business Ethics</b:JournalName>
    <b:Year>2013</b:Year>
    <b:Pages>525-539</b:Pages>
    <b:Author>
      <b:Author>
        <b:NameList>
          <b:Person>
            <b:Last>Rawwas</b:Last>
            <b:Middle>Y.A.</b:Middle>
            <b:First>Mohammed</b:First>
          </b:Person>
          <b:Person>
            <b:Last>Arjoon</b:Last>
            <b:First>Surendra</b:First>
          </b:Person>
          <b:Person>
            <b:Last>Sidani</b:Last>
            <b:First>Yusuf</b:First>
          </b:Person>
        </b:NameList>
      </b:Author>
    </b:Author>
    <b:Volume>117</b:Volume>
    <b:Issue>03</b:Issue>
    <b:YearAccessed>2022</b:YearAccessed>
    <b:MonthAccessed>10</b:MonthAccessed>
    <b:DayAccessed>13</b:DayAccessed>
    <b:DOI>10.1007/s10551-012-1537-6</b:DOI>
    <b:RefOrder>1119</b:RefOrder>
  </b:Source>
  <b:Source>
    <b:Tag>Rav16</b:Tag>
    <b:SourceType>JournalArticle</b:SourceType>
    <b:Guid>{FBDF7941-957C-47A1-A074-FDA011F1A9C2}</b:Guid>
    <b:Title>The Impact of Corporate Social (CSR) on Consumer Satisfaction with Reference to FMCG product</b:Title>
    <b:JournalName>International Journal for Innovative Research in Science &amp; Technology</b:JournalName>
    <b:Year>2016</b:Year>
    <b:Volume>2</b:Volume>
    <b:Issue>11</b:Issue>
    <b:Month>04</b:Month>
    <b:YearAccessed>2021</b:YearAccessed>
    <b:MonthAccessed>12</b:MonthAccessed>
    <b:DayAccessed>26</b:DayAccessed>
    <b:Author>
      <b:Author>
        <b:NameList>
          <b:Person>
            <b:Last>Ravichandran</b:Last>
            <b:First>M</b:First>
          </b:Person>
          <b:Person>
            <b:Last>Chandilyan </b:Last>
            <b:Middle>Gowtham</b:Middle>
            <b:First>S</b:First>
          </b:Person>
        </b:NameList>
      </b:Author>
    </b:Author>
    <b:RefOrder>455</b:RefOrder>
  </b:Source>
  <b:Source>
    <b:Tag>Rau21</b:Tag>
    <b:SourceType>JournalArticle</b:SourceType>
    <b:Guid>{17536D4A-FC34-48C4-AE2D-DC8D89C8E3F8}</b:Guid>
    <b:Title>Bridge the gap: Consumers’ purchase intention and behavior regarding sustainable clothing</b:Title>
    <b:JournalName>Journal of Cleaner Production</b:JournalName>
    <b:Year>2021</b:Year>
    <b:Month>01</b:Month>
    <b:Day>01</b:Day>
    <b:Volume>278</b:Volume>
    <b:YearAccessed>2023</b:YearAccessed>
    <b:MonthAccessed>04</b:MonthAccessed>
    <b:DayAccessed>30</b:DayAccessed>
    <b:URL>https://doi.org/10.1016/j.jclepro.2020.123882</b:URL>
    <b:Author>
      <b:Author>
        <b:NameList>
          <b:Person>
            <b:Last>Rausch</b:Last>
            <b:Middle>Maria </b:Middle>
            <b:First>Theresa </b:First>
          </b:Person>
          <b:Person>
            <b:Last>Kopplin</b:Last>
            <b:Middle>Siegfried </b:Middle>
            <b:First>Cristopher </b:First>
          </b:Person>
        </b:NameList>
      </b:Author>
    </b:Author>
    <b:RefOrder>555</b:RefOrder>
  </b:Source>
  <b:Source>
    <b:Tag>Rat17</b:Tag>
    <b:SourceType>JournalArticle</b:SourceType>
    <b:Guid>{BC468430-2425-489A-ACE1-5B13C444A156}</b:Guid>
    <b:Title>Correlates of e-cigarette ad awareness and likeability in U.S. young adults</b:Title>
    <b:JournalName>Tobacco Induced Diseases</b:JournalName>
    <b:Year>2017</b:Year>
    <b:Author>
      <b:Author>
        <b:NameList>
          <b:Person>
            <b:Last>Rath</b:Last>
            <b:Middle>M.</b:Middle>
            <b:First>Jessica</b:First>
          </b:Person>
          <b:Person>
            <b:Last>Teplitskaya </b:Last>
            <b:First>Lyubov </b:First>
          </b:Person>
          <b:Person>
            <b:Last>Williams</b:Last>
            <b:Middle>F</b:Middle>
            <b:First>Valerie</b:First>
          </b:Person>
          <b:Person>
            <b:Last>Pearson</b:Last>
            <b:First>Jennifer</b:First>
          </b:Person>
          <b:Person>
            <b:Last>Vallone</b:Last>
            <b:Middle>M</b:Middle>
            <b:First>Donna</b:First>
          </b:Person>
          <b:Person>
            <b:Last>Villanti</b:Last>
            <b:Middle>C </b:Middle>
            <b:First>Andrea </b:First>
          </b:Person>
        </b:NameList>
      </b:Author>
    </b:Author>
    <b:Month>04</b:Month>
    <b:Volume>15</b:Volume>
    <b:YearAccessed>2022</b:YearAccessed>
    <b:MonthAccessed>04</b:MonthAccessed>
    <b:DayAccessed>02</b:DayAccessed>
    <b:DOI>https://doi.org/10.1186/s12971-017-0125-z</b:DOI>
    <b:RefOrder>1120</b:RefOrder>
  </b:Source>
  <b:Source>
    <b:Tag>Ras17</b:Tag>
    <b:SourceType>JournalArticle</b:SourceType>
    <b:Guid>{60B2AFA0-C458-42F7-B3DB-34F54BC9CE5D}</b:Guid>
    <b:Title>The changing role of business in global society: CSR and beyond</b:Title>
    <b:Year>2017</b:Year>
    <b:Publisher>Cambridge University Press</b:Publisher>
    <b:JournalName>Corporate Social Responsibility: Strategy, Communication, Governance,</b:JournalName>
    <b:Pages>1-28</b:Pages>
    <b:YearAccessed>2023</b:YearAccessed>
    <b:MonthAccessed>02</b:MonthAccessed>
    <b:DayAccessed>24</b:DayAccessed>
    <b:URL>https://assets.cambridge.org/97811071/14876/excerpt/9781107114876_excerpt.pdf</b:URL>
    <b:Author>
      <b:Author>
        <b:NameList>
          <b:Person>
            <b:Last>Rasche</b:Last>
            <b:First>ANDREAS </b:First>
          </b:Person>
          <b:Person>
            <b:Last>Morsing </b:Last>
            <b:First>Mette</b:First>
          </b:Person>
          <b:Person>
            <b:Last>Moon</b:Last>
            <b:First>Jeremy</b:First>
          </b:Person>
        </b:NameList>
      </b:Author>
    </b:Author>
    <b:RefOrder>79</b:RefOrder>
  </b:Source>
  <b:Source>
    <b:Tag>Rao22</b:Tag>
    <b:SourceType>JournalArticle</b:SourceType>
    <b:Guid>{CC64008F-CBF2-4F2F-BC36-58C62A822F91}</b:Guid>
    <b:Title>Extending the Theory of Planned Behavior with the Self-Congruity Theory to Predict Tourists’ Pro-Environmental Behavioral Intentions: A Two-Case Study of Heritage Tourism</b:Title>
    <b:JournalName>Land</b:JournalName>
    <b:Year>2022</b:Year>
    <b:Pages>1-19</b:Pages>
    <b:Month>11</b:Month>
    <b:Day>17</b:Day>
    <b:Volume>11</b:Volume>
    <b:Issue>11</b:Issue>
    <b:YearAccessed>2023</b:YearAccessed>
    <b:MonthAccessed>03</b:MonthAccessed>
    <b:DayAccessed>09</b:DayAccessed>
    <b:DOI>https://doi.org/10.3390/land11112069</b:DOI>
    <b:Author>
      <b:Author>
        <b:NameList>
          <b:Person>
            <b:Last>Rao</b:Last>
            <b:First>Xiaojuan </b:First>
          </b:Person>
          <b:Person>
            <b:Last>Qiu </b:Last>
            <b:First>Hongliang </b:First>
          </b:Person>
          <b:Person>
            <b:Last>Morrison </b:Last>
            <b:Middle>M.</b:Middle>
            <b:First>Alastair </b:First>
          </b:Person>
          <b:Person>
            <b:Last>Wei</b:Last>
            <b:First>Wei</b:First>
          </b:Person>
        </b:NameList>
      </b:Author>
    </b:Author>
    <b:RefOrder>506</b:RefOrder>
  </b:Source>
  <b:Source>
    <b:Tag>Ran19</b:Tag>
    <b:SourceType>JournalArticle</b:SourceType>
    <b:Guid>{01725553-5636-4BC3-A143-164BEC852CAF}</b:Guid>
    <b:Title>Making cause-related corporate social responsibility (CSR) count in holiday accommodation choice</b:Title>
    <b:JournalName>Tourism Management </b:JournalName>
    <b:Year>2019</b:Year>
    <b:Pages>66-77</b:Pages>
    <b:Author>
      <b:Author>
        <b:NameList>
          <b:Person>
            <b:Last>Randle</b:Last>
            <b:First>Melanie</b:First>
          </b:Person>
          <b:Person>
            <b:Last>Kemperman</b:Last>
            <b:First>Astrid</b:First>
          </b:Person>
          <b:Person>
            <b:Last>Dolnicar</b:Last>
            <b:First>Sara</b:First>
          </b:Person>
        </b:NameList>
      </b:Author>
    </b:Author>
    <b:Month>12</b:Month>
    <b:Volume>75</b:Volume>
    <b:YearAccessed>2022</b:YearAccessed>
    <b:MonthAccessed>02</b:MonthAccessed>
    <b:DayAccessed>01</b:DayAccessed>
    <b:DOI>https://doi.org/10.1016/j.tourman.2019.05.002</b:DOI>
    <b:RefOrder>1121</b:RefOrder>
  </b:Source>
  <b:Source>
    <b:Tag>Ram19</b:Tag>
    <b:SourceType>JournalArticle</b:SourceType>
    <b:Guid>{B76BC2B9-41C8-4515-8F5C-F5B1CDABF564}</b:Guid>
    <b:Title>Consumer's response to CSR activities: Mediating role of brand image and brand attitude</b:Title>
    <b:JournalName>Corporate Social Responsibility and Environmental Management</b:JournalName>
    <b:Year>2019</b:Year>
    <b:Pages>377-387</b:Pages>
    <b:Volume>26</b:Volume>
    <b:Issue>2</b:Issue>
    <b:Author>
      <b:Author>
        <b:NameList>
          <b:Person>
            <b:Last>Ramesh</b:Last>
            <b:First>Kumar </b:First>
          </b:Person>
          <b:Person>
            <b:Last>Saha</b:Last>
            <b:First>Raiswa</b:First>
          </b:Person>
          <b:Person>
            <b:Last>Goswami</b:Last>
            <b:First>Susoban</b:First>
          </b:Person>
          <b:Person>
            <b:Last>Sekar </b:Last>
          </b:Person>
          <b:Person>
            <b:Last>Dahiya</b:Last>
            <b:First>Richa</b:First>
          </b:Person>
        </b:NameList>
      </b:Author>
    </b:Author>
    <b:Month>04</b:Month>
    <b:Publisher>Wiley Online Library </b:Publisher>
    <b:YearAccessed>2021</b:YearAccessed>
    <b:MonthAccessed>12</b:MonthAccessed>
    <b:DayAccessed>25</b:DayAccessed>
    <b:URL> https://doi.org/10.1002/csr.1689</b:URL>
    <b:RefOrder>367</b:RefOrder>
  </b:Source>
  <b:Source>
    <b:Tag>Raj20</b:Tag>
    <b:SourceType>JournalArticle</b:SourceType>
    <b:Guid>{8A36DE14-64BB-4528-AE99-115B726E7BDE}</b:Guid>
    <b:Title>In Brands We Trust? A Multicategory, Multicountry Investigation of Sensitivity of Consumers’ Trust in Brands to Marketing-Mix Activities</b:Title>
    <b:Year>2020</b:Year>
    <b:Month>02</b:Month>
    <b:JournalName>Journal of Consumer Research</b:JournalName>
    <b:Pages>651-670</b:Pages>
    <b:Volume>46</b:Volume>
    <b:Issue>05</b:Issue>
    <b:YearAccessed>2022</b:YearAccessed>
    <b:MonthAccessed>10</b:MonthAccessed>
    <b:DayAccessed>07</b:DayAccessed>
    <b:DOI>https://doi.org/10.1093/jcr/ucz026</b:DOI>
    <b:Author>
      <b:Author>
        <b:NameList>
          <b:Person>
            <b:Last>Rajavi</b:Last>
            <b:First>Koushyar </b:First>
          </b:Person>
          <b:Person>
            <b:Last>Kushwaha</b:Last>
            <b:First>Tarun </b:First>
          </b:Person>
          <b:Person>
            <b:Last>Steenkamp</b:Last>
            <b:Middle>E M </b:Middle>
            <b:First>Jan-Benedict </b:First>
          </b:Person>
        </b:NameList>
      </b:Author>
    </b:Author>
    <b:RefOrder>1122</b:RefOrder>
  </b:Source>
  <b:Source>
    <b:Tag>Raj21</b:Tag>
    <b:SourceType>JournalArticle</b:SourceType>
    <b:Guid>{4FEFA506-E432-4419-B66D-836A7FF8255F}</b:Guid>
    <b:Title>Consumer Behavior and Cognitive Theories</b:Title>
    <b:Year>2021</b:Year>
    <b:Month>07</b:Month>
    <b:Day>18</b:Day>
    <b:JournalName>Crowd-Based Business Models</b:JournalName>
    <b:Pages>197-225</b:Pages>
    <b:Publisher> Palgrave Macmillan, Cham</b:Publisher>
    <b:YearAccessed>2022</b:YearAccessed>
    <b:MonthAccessed>11</b:MonthAccessed>
    <b:DayAccessed>12</b:DayAccessed>
    <b:DOI> https://doi.org/10.1007/978-3-030-77083-9_7</b:DOI>
    <b:Author>
      <b:Author>
        <b:NameList>
          <b:Person>
            <b:Last>Rajagopal </b:Last>
          </b:Person>
        </b:NameList>
      </b:Author>
    </b:Author>
    <b:RefOrder>1123</b:RefOrder>
  </b:Source>
  <b:Source>
    <b:Tag>Raj18</b:Tag>
    <b:SourceType>JournalArticle</b:SourceType>
    <b:Guid>{64DADEE2-F127-48FC-A64D-23358A8F42EC}</b:Guid>
    <b:Title>Multi-item scale construction to measure consumers’ attitude toward advertising music</b:Title>
    <b:Year>2018</b:Year>
    <b:Month>06</b:Month>
    <b:Day>14</b:Day>
    <b:JournalName>Journal of Marketing Communications</b:JournalName>
    <b:Pages>314-327</b:Pages>
    <b:Author>
      <b:Author>
        <b:NameList>
          <b:Person>
            <b:Last>Rajaa</b:Last>
            <b:Middle>Washim</b:Middle>
            <b:First>Md</b:First>
          </b:Person>
          <b:Person>
            <b:Last>Anand</b:Last>
            <b:First>Sandip</b:First>
          </b:Person>
          <b:Person>
            <b:Last>Kumar</b:Last>
            <b:First>Ibha</b:First>
          </b:Person>
        </b:NameList>
      </b:Author>
    </b:Author>
    <b:Volume>26</b:Volume>
    <b:Issue>03</b:Issue>
    <b:YearAccessed>2022</b:YearAccessed>
    <b:MonthAccessed>04</b:MonthAccessed>
    <b:DayAccessed>01</b:DayAccessed>
    <b:DOI>https://doi.org/10.1080/13527266.2018.1471615</b:DOI>
    <b:RefOrder>1124</b:RefOrder>
  </b:Source>
  <b:Source>
    <b:Tag>Răd18</b:Tag>
    <b:SourceType>JournalArticle</b:SourceType>
    <b:Guid>{96FBDEF7-AFAE-41C3-BDA6-AA3CD476580C}</b:Guid>
    <b:Title>Econometric modelling of the consumer’s behaviour in order to develop brand management policies</b:Title>
    <b:JournalName>Economic Research-Ekonomska Istraživanja</b:JournalName>
    <b:Year>2018</b:Year>
    <b:Pages>576-591</b:Pages>
    <b:Month>03</b:Month>
    <b:Day>05</b:Day>
    <b:Volume>31</b:Volume>
    <b:Issue>1</b:Issue>
    <b:YearAccessed>2023</b:YearAccessed>
    <b:MonthAccessed>02</b:MonthAccessed>
    <b:DayAccessed>28</b:DayAccessed>
    <b:DOI>https://doi.org/10.1080/1331677X.2018.1442232</b:DOI>
    <b:Author>
      <b:Author>
        <b:NameList>
          <b:Person>
            <b:Last>Rădulescu</b:Last>
            <b:First>Corina </b:First>
          </b:Person>
          <b:Person>
            <b:Last>Hudea</b:Last>
            <b:First>Oana Simona (Caraman) </b:First>
          </b:Person>
        </b:NameList>
      </b:Author>
    </b:Author>
    <b:RefOrder>446</b:RefOrder>
  </b:Source>
  <b:Source>
    <b:Tag>Qua16</b:Tag>
    <b:SourceType>JournalArticle</b:SourceType>
    <b:Guid>{F718698B-0A81-4CA8-B546-A93B45328060}</b:Guid>
    <b:Title>Conceptualizing and measuring consumer social responsibility: a neglected aspect of consumer research</b:Title>
    <b:JournalName>International Journal of Consumer Studies</b:JournalName>
    <b:Year>2016</b:Year>
    <b:Pages>48-56</b:Pages>
    <b:Month>01</b:Month>
    <b:Volume>40</b:Volume>
    <b:Issue>01</b:Issue>
    <b:YearAccessed>2022</b:YearAccessed>
    <b:MonthAccessed>06</b:MonthAccessed>
    <b:DayAccessed>02</b:DayAccessed>
    <b:DOI>https://doi.org/10.1111/ijcs.12211</b:DOI>
    <b:Author>
      <b:Author>
        <b:NameList>
          <b:Person>
            <b:Last>Quazi</b:Last>
            <b:First>Ali </b:First>
          </b:Person>
          <b:Person>
            <b:Last>Amran</b:Last>
            <b:First>Azlan </b:First>
          </b:Person>
          <b:Person>
            <b:Last>Nejati</b:Last>
            <b:First>Mehran </b:First>
          </b:Person>
        </b:NameList>
      </b:Author>
    </b:Author>
    <b:RefOrder>1125</b:RefOrder>
  </b:Source>
  <b:Source>
    <b:Tag>Qiu22</b:Tag>
    <b:SourceType>JournalArticle</b:SourceType>
    <b:Guid>{15CDA15A-FB6E-40C9-AB5D-4AF450911F15}</b:Guid>
    <b:Title>The Effect of Destination Source Credibility on Tourist Environmentally Responsible Behavior: An Application of Stimulus-Organism-Response Theory.</b:Title>
    <b:JournalName>Journal of Sustainable Tourism</b:JournalName>
    <b:Year>2022</b:Year>
    <b:Pages>1-21</b:Pages>
    <b:Month>04</b:Month>
    <b:YearAccessed>2023</b:YearAccessed>
    <b:MonthAccessed>03</b:MonthAccessed>
    <b:DayAccessed>09</b:DayAccessed>
    <b:DOI>10.1080/09669582.2022.2067167</b:DOI>
    <b:Author>
      <b:Author>
        <b:NameList>
          <b:Person>
            <b:Last>Qiu</b:Last>
            <b:First>Hongliang </b:First>
          </b:Person>
          <b:Person>
            <b:Last>Wang</b:Last>
            <b:First>Xiongzhi </b:First>
          </b:Person>
          <b:Person>
            <b:Last>Wu</b:Last>
            <b:First>Mao-Ying </b:First>
          </b:Person>
          <b:Person>
            <b:Last>Wei</b:Last>
            <b:First>Wei </b:First>
          </b:Person>
          <b:Person>
            <b:Last>Morrison</b:Last>
            <b:Middle>Morrison</b:Middle>
            <b:First>Alastair </b:First>
          </b:Person>
          <b:Person>
            <b:Last>Kelly</b:Last>
            <b:First>Catherine </b:First>
          </b:Person>
        </b:NameList>
      </b:Author>
    </b:Author>
    <b:RefOrder>505</b:RefOrder>
  </b:Source>
  <b:Source>
    <b:Tag>Qiu221</b:Tag>
    <b:SourceType>JournalArticle</b:SourceType>
    <b:Guid>{2C519B2B-74AD-4A50-ABF3-3C555ACE2DBC}</b:Guid>
    <b:Title>The effect of destination source credibility on tourist environmentally responsible behavior: an application of stimulus-organism-response theory</b:Title>
    <b:JournalName>Journal of Sustainable Tourism</b:JournalName>
    <b:Year>2022</b:Year>
    <b:Month>04</b:Month>
    <b:Day>24</b:Day>
    <b:YearAccessed>2023</b:YearAccessed>
    <b:MonthAccessed>06</b:MonthAccessed>
    <b:DayAccessed>08</b:DayAccessed>
    <b:DOI>https://doi.org/10.1080/09669582.2022.2067167</b:DOI>
    <b:Author>
      <b:Author>
        <b:NameList>
          <b:Person>
            <b:Last>Qiu</b:Last>
            <b:First>Hongliang </b:First>
          </b:Person>
          <b:Person>
            <b:Last>Wang</b:Last>
            <b:First>Xiongzhi </b:First>
          </b:Person>
          <b:Person>
            <b:Last>Wu</b:Last>
            <b:First>Mao-Ying </b:First>
          </b:Person>
          <b:Person>
            <b:Last>Wei</b:Last>
            <b:First>Wei</b:First>
          </b:Person>
          <b:Person>
            <b:Last>Morrison</b:Last>
            <b:Middle>M.</b:Middle>
            <b:First>Alastair </b:First>
          </b:Person>
          <b:Person>
            <b:Last>Kelly</b:Last>
            <b:First>Catherine </b:First>
          </b:Person>
        </b:NameList>
      </b:Author>
    </b:Author>
    <b:RefOrder>1126</b:RefOrder>
  </b:Source>
  <b:Source>
    <b:Tag>Puz13</b:Tag>
    <b:SourceType>JournalArticle</b:SourceType>
    <b:Guid>{E6A5A886-1326-4E19-8F48-4F5A23619CF3}</b:Guid>
    <b:Title>When Humanizing Brands Goes Wrong: The Detrimental Effect of Brand Anthropomorphization amid Product Wrongdoings</b:Title>
    <b:JournalName>Journal of Marketing</b:JournalName>
    <b:Year>2013</b:Year>
    <b:Pages>81-100</b:Pages>
    <b:Author>
      <b:Author>
        <b:NameList>
          <b:Person>
            <b:Last>Puzakova</b:Last>
            <b:First>Marina </b:First>
          </b:Person>
          <b:Person>
            <b:Last>Kwak</b:Last>
            <b:First>Hyokjin </b:First>
          </b:Person>
          <b:Person>
            <b:Last>Rocereto</b:Last>
            <b:Middle>F.</b:Middle>
            <b:First>Joseph </b:First>
          </b:Person>
        </b:NameList>
      </b:Author>
    </b:Author>
    <b:Month>05</b:Month>
    <b:Day>01</b:Day>
    <b:Volume>77</b:Volume>
    <b:Issue>03</b:Issue>
    <b:YearAccessed>2022</b:YearAccessed>
    <b:MonthAccessed>07</b:MonthAccessed>
    <b:DayAccessed>16</b:DayAccessed>
    <b:DOI>https://doi.org/10.1509/jm.11.0510</b:DOI>
    <b:RefOrder>1127</b:RefOrder>
  </b:Source>
  <b:Source>
    <b:Tag>Pur21</b:Tag>
    <b:SourceType>JournalArticle</b:SourceType>
    <b:Guid>{D4A04D27-FD8E-4BC9-B1DE-45575EEFCBC4}</b:Guid>
    <b:Title>Partial Least Squares Structural Squation Modeling (PLS-SEM) Analysis for Social and Management Research : A Literature Review</b:Title>
    <b:Year>2021</b:Year>
    <b:Volume>2</b:Volume>
    <b:Pages>114-123</b:Pages>
    <b:YearAccessed>2022</b:YearAccessed>
    <b:MonthAccessed>12</b:MonthAccessed>
    <b:DayAccessed>23</b:DayAccessed>
    <b:DOI>https://doi.org/10.7777/jiemar.v2i4.168</b:DOI>
    <b:JournalName>Journal of Industrial engineering and management research</b:JournalName>
    <b:Month>08</b:Month>
    <b:Issue>4</b:Issue>
    <b:Author>
      <b:Author>
        <b:NameList>
          <b:Person>
            <b:Last>Purwanto</b:Last>
            <b:First>Agus </b:First>
          </b:Person>
          <b:Person>
            <b:Last>Sudargini</b:Last>
            <b:First>Yuli </b:First>
          </b:Person>
        </b:NameList>
      </b:Author>
    </b:Author>
    <b:RefOrder>931</b:RefOrder>
  </b:Source>
  <b:Source>
    <b:Tag>Pun14</b:Tag>
    <b:SourceType>JournalArticle</b:SourceType>
    <b:Guid>{D2821899-E82B-4BBB-A26C-F00F995B74D4}</b:Guid>
    <b:Title>Linking environmental awareness and perceived brand eco-friendliness to Brand Trust and Purchase Intention</b:Title>
    <b:JournalName>Global Business Review</b:JournalName>
    <b:Year>2014</b:Year>
    <b:Author>
      <b:Author>
        <b:NameList>
          <b:Person>
            <b:Last>Punyatoya</b:Last>
            <b:First>Plavini</b:First>
          </b:Person>
        </b:NameList>
      </b:Author>
    </b:Author>
    <b:Month>05</b:Month>
    <b:Day>06</b:Day>
    <b:Volume>15</b:Volume>
    <b:Issue>02</b:Issue>
    <b:YearAccessed>2022</b:YearAccessed>
    <b:MonthAccessed>05</b:MonthAccessed>
    <b:DayAccessed>18</b:DayAccessed>
    <b:DOI>https://doi.org/10.1177/0972150914523572</b:DOI>
    <b:RefOrder>1036</b:RefOrder>
  </b:Source>
  <b:Source>
    <b:Tag>Pun18</b:Tag>
    <b:SourceType>JournalArticle</b:SourceType>
    <b:Guid>{15E5D498-7791-4CE0-A691-36DB58EE1181}</b:Guid>
    <b:Title>The role of proximity to local and global citizens in stakeholders' moral recognition of corporate social responsibility</b:Title>
    <b:JournalName>Journal of Business Research</b:JournalName>
    <b:Year>2018</b:Year>
    <b:Pages>234-244</b:Pages>
    <b:Volume>88</b:Volume>
    <b:YearAccessed>2022</b:YearAccessed>
    <b:MonthAccessed>02</b:MonthAccessed>
    <b:DayAccessed>17</b:DayAccessed>
    <b:Author>
      <b:Author>
        <b:NameList>
          <b:Person>
            <b:Last>Puncheva-Michelotti</b:Last>
            <b:First>Petya </b:First>
          </b:Person>
          <b:Person>
            <b:Last>Hudson</b:Last>
            <b:First>Sarah</b:First>
          </b:Person>
          <b:Person>
            <b:Last>Michelotti</b:Last>
            <b:First>Marco</b:First>
          </b:Person>
        </b:NameList>
      </b:Author>
    </b:Author>
    <b:RefOrder>1128</b:RefOrder>
  </b:Source>
  <b:Source>
    <b:Tag>Prz18</b:Tag>
    <b:SourceType>JournalArticle</b:SourceType>
    <b:Guid>{CDEC5EC2-0E2F-4CA1-9E3D-77266373C27C}</b:Guid>
    <b:Title>How Can Consumer Trust in Energy Utilities be Increased? The Effectiveness of Prosocial, Proenvironmental, and Service-Oriented Investments as Signals of Trustworthiness</b:Title>
    <b:JournalName>Organization and Environment</b:JournalName>
    <b:Year>2018</b:Year>
    <b:Volume>33</b:Volume>
    <b:Issue>2</b:Issue>
    <b:Author>
      <b:Author>
        <b:NameList>
          <b:Person>
            <b:Last>Przepiorka</b:Last>
            <b:First>Wojtek</b:First>
          </b:Person>
          <b:Person>
            <b:Last>Horne</b:Last>
            <b:First>Christine</b:First>
          </b:Person>
        </b:NameList>
      </b:Author>
    </b:Author>
    <b:Month>10</b:Month>
    <b:Day>10</b:Day>
    <b:Publisher>Sage Journals</b:Publisher>
    <b:DOI>https://doi.org/10.1177/1086026618803729</b:DOI>
    <b:RefOrder>132</b:RefOrder>
  </b:Source>
  <b:Source>
    <b:Tag>Pro22</b:Tag>
    <b:SourceType>JournalArticle</b:SourceType>
    <b:Guid>{9A3EB7E4-20D5-4D9D-9417-5BA1C480B7EB}</b:Guid>
    <b:Title>Inductive/Deductive Hybrid Thematic Analysis in Mixed Methods Research</b:Title>
    <b:JournalName>Journal of Mixed Methods Research</b:JournalName>
    <b:Year>2022</b:Year>
    <b:Month>09</b:Month>
    <b:Day>20</b:Day>
    <b:YearAccessed>2022</b:YearAccessed>
    <b:MonthAccessed>12</b:MonthAccessed>
    <b:DayAccessed>23</b:DayAccessed>
    <b:DOI>https://doi.org/10.1177/1558689822112681</b:DOI>
    <b:Author>
      <b:Author>
        <b:NameList>
          <b:Person>
            <b:Last>Proudfoot</b:Last>
            <b:First>Kevin </b:First>
          </b:Person>
        </b:NameList>
      </b:Author>
    </b:Author>
    <b:RefOrder>919</b:RefOrder>
  </b:Source>
  <b:Source>
    <b:Tag>Pro20</b:Tag>
    <b:SourceType>JournalArticle</b:SourceType>
    <b:Guid>{D1816712-94ED-413E-8D92-042D12C9C4F8}</b:Guid>
    <b:Title>The reasons for the decline in popularity and prospects for the development of linear television</b:Title>
    <b:Year>2020</b:Year>
    <b:Pages>146-154</b:Pages>
    <b:JournalName>RUDN JOURNAL OF STUDIES IN LITERATURE AND JOURNALISM</b:JournalName>
    <b:Volume>25</b:Volume>
    <b:Issue>1</b:Issue>
    <b:YearAccessed>2022</b:YearAccessed>
    <b:MonthAccessed>01</b:MonthAccessed>
    <b:DayAccessed>22</b:DayAccessed>
    <b:URL>http://journals.rudn.ru/literary-criticism/article/view/23616</b:URL>
    <b:DOI>https://doi.org/10.22363/2312-9220-2020-25-1-146-154</b:DOI>
    <b:Author>
      <b:Author>
        <b:NameList>
          <b:Person>
            <b:Last>Proskurnova</b:Last>
            <b:Middle>L</b:Middle>
            <b:First>P</b:First>
          </b:Person>
        </b:NameList>
      </b:Author>
    </b:Author>
    <b:RefOrder>409</b:RefOrder>
  </b:Source>
  <b:Source>
    <b:Tag>Pro19</b:Tag>
    <b:SourceType>InternetSite</b:SourceType>
    <b:Guid>{8B531CFB-2874-48F4-B50A-73398BA1838B}</b:Guid>
    <b:Title>2018 Annual Report</b:Title>
    <b:Year>2019</b:Year>
    <b:URL>https://www.pg.com/annualreport2018/static/PG-2018-</b:URL>
    <b:Author>
      <b:Author>
        <b:NameList>
          <b:Person>
            <b:Last>Procter &amp; Gamble</b:Last>
          </b:Person>
        </b:NameList>
      </b:Author>
    </b:Author>
    <b:YearAccessed>2022</b:YearAccessed>
    <b:MonthAccessed>04</b:MonthAccessed>
    <b:DayAccessed>01</b:DayAccessed>
    <b:RefOrder>433</b:RefOrder>
  </b:Source>
  <b:Source>
    <b:Tag>Pri20</b:Tag>
    <b:SourceType>JournalArticle</b:SourceType>
    <b:Guid>{18B226D3-8EC2-4E4D-8042-46F186DAF0F2}</b:Guid>
    <b:Title>Positivist, constructivist and critical approaches to international human resource management and some future directions</b:Title>
    <b:JournalName>German Journal of Human Resource Management: Zeitschrift für Personalforschung</b:JournalName>
    <b:Year>2020</b:Year>
    <b:Pages>124-147</b:Pages>
    <b:Month>03</b:Month>
    <b:Day>01</b:Day>
    <b:Volume>34</b:Volume>
    <b:Issue>2</b:Issue>
    <b:YearAccessed>2023</b:YearAccessed>
    <b:MonthAccessed>02</b:MonthAccessed>
    <b:DayAccessed>10</b:DayAccessed>
    <b:DOI>https://doi.org/10.1177/2397002220909069</b:DOI>
    <b:Author>
      <b:Author>
        <b:NameList>
          <b:Person>
            <b:Last>Primecz </b:Last>
            <b:First>Henriett </b:First>
          </b:Person>
        </b:NameList>
      </b:Author>
    </b:Author>
    <b:RefOrder>756</b:RefOrder>
  </b:Source>
  <b:Source>
    <b:Tag>Pri18</b:Tag>
    <b:SourceType>BookSection</b:SourceType>
    <b:Guid>{235958EB-94A4-4D52-958C-546C9DE74CA7}</b:Guid>
    <b:Title>4.2 RELIABILITY AND VALIDITY OF MEASUREMENT</b:Title>
    <b:Year>2018</b:Year>
    <b:BookTitle>Research Methods in Psychology</b:BookTitle>
    <b:Publisher>PressBooks</b:Publisher>
    <b:Author>
      <b:Author>
        <b:NameList>
          <b:Person>
            <b:Last>Price</b:Last>
            <b:Middle>C.</b:Middle>
            <b:First>Paul </b:First>
          </b:Person>
          <b:Person>
            <b:Last>Jhangiani</b:Last>
            <b:Middle>S.</b:Middle>
            <b:First>Rajiv </b:First>
          </b:Person>
          <b:Person>
            <b:Last>Chiang</b:Last>
            <b:Middle>A.</b:Middle>
            <b:First> I-Chant  </b:First>
          </b:Person>
          <b:Person>
            <b:Last>Leighton</b:Last>
            <b:Middle>C.</b:Middle>
            <b:First>Dana </b:First>
          </b:Person>
          <b:Person>
            <b:Last>Cuttler</b:Last>
            <b:First>Carrie </b:First>
          </b:Person>
        </b:NameList>
      </b:Author>
    </b:Author>
    <b:YearAccessed>2022</b:YearAccessed>
    <b:MonthAccessed>11</b:MonthAccessed>
    <b:DayAccessed>08</b:DayAccessed>
    <b:URL>https://opentext.wsu.edu/carriecuttler/</b:URL>
    <b:RefOrder>762</b:RefOrder>
  </b:Source>
  <b:Source>
    <b:Tag>Pre20</b:Tag>
    <b:SourceType>JournalArticle</b:SourceType>
    <b:Guid>{6F9F3380-CDED-4BD9-8920-4A4F9FCD82EB}</b:Guid>
    <b:Title>Sustainability certifications and product preference</b:Title>
    <b:JournalName>Marketing Intelligence &amp; Planning</b:JournalName>
    <b:Year>2020</b:Year>
    <b:Pages>893-906</b:Pages>
    <b:Volume>38</b:Volume>
    <b:Issue>7</b:Issue>
    <b:Author>
      <b:Author>
        <b:NameList>
          <b:Person>
            <b:Last>Prell</b:Last>
            <b:First>Maximilian</b:First>
          </b:Person>
          <b:Person>
            <b:Last>Zanini</b:Last>
            <b:Middle>Tulio</b:Middle>
            <b:First>Marco</b:First>
          </b:Person>
          <b:Person>
            <b:Last>Caldieraro</b:Last>
            <b:First>Fabio</b:First>
          </b:Person>
          <b:Person>
            <b:Last>Migueles </b:Last>
            <b:First>Carmen</b:First>
          </b:Person>
        </b:NameList>
      </b:Author>
    </b:Author>
    <b:Month>04</b:Month>
    <b:Day>08</b:Day>
    <b:YearAccessed>2021</b:YearAccessed>
    <b:MonthAccessed>12</b:MonthAccessed>
    <b:DayAccessed>26</b:DayAccessed>
    <b:DOI>https://doi.org/10.1108/MIP-12-2019-0616</b:DOI>
    <b:RefOrder>1129</b:RefOrder>
  </b:Source>
  <b:Source>
    <b:Tag>PRN22</b:Tag>
    <b:SourceType>JournalArticle</b:SourceType>
    <b:Guid>{78934D61-D6D6-462E-965D-69919EBBC044}</b:Guid>
    <b:Title>THE BODY SHOP LAUNCHES IN-STORE REFILL PROGRAM TO CONTINUE ACTION AGAINST GLOBAL PLASTIC CRISIS</b:Title>
    <b:Year>2022</b:Year>
    <b:Month>07</b:Month>
    <b:Day>04</b:Day>
    <b:YearAccessed>2022</b:YearAccessed>
    <b:MonthAccessed>11</b:MonthAccessed>
    <b:DayAccessed>24</b:DayAccessed>
    <b:URL>https://eds.p.ebscohost.com/eds/detail/detail?vid=3&amp;sid=0e8f5731-b159-4a8f-b1e5-2069e0f9b3ed%40redis&amp;bdata=JnNpdGU9ZWRzLWxpdmU%3d#db=bwh&amp;AN=202204070800PR.NEWS.USPR.TO17033</b:URL>
    <b:Author>
      <b:Author>
        <b:NameList>
          <b:Person>
            <b:Last>PR Newswire US</b:Last>
          </b:Person>
        </b:NameList>
      </b:Author>
    </b:Author>
    <b:RefOrder>1130</b:RefOrder>
  </b:Source>
  <b:Source>
    <b:Tag>Pou20</b:Tag>
    <b:SourceType>JournalArticle</b:SourceType>
    <b:Guid>{07587136-EEC5-459A-8E86-EF77BE1D58A8}</b:Guid>
    <b:Title>Punctuated epistemology in international marketing strategy: A Whiteheadian remedy</b:Title>
    <b:Year>2020</b:Year>
    <b:JournalName>Marketing Theory</b:JournalName>
    <b:Pages>363-384</b:Pages>
    <b:Month>01</b:Month>
    <b:Day>07</b:Day>
    <b:Volume>20</b:Volume>
    <b:Issue>3</b:Issue>
    <b:YearAccessed>2022</b:YearAccessed>
    <b:MonthAccessed>10</b:MonthAccessed>
    <b:DayAccessed>11</b:DayAccessed>
    <b:DOI>https://doi.org/10.1177/1470593119897938</b:DOI>
    <b:Author>
      <b:Author>
        <b:NameList>
          <b:Person>
            <b:Last>Poulis</b:Last>
            <b:First>Konstantinos </b:First>
          </b:Person>
        </b:NameList>
      </b:Author>
    </b:Author>
    <b:RefOrder>735</b:RefOrder>
  </b:Source>
  <b:Source>
    <b:Tag>Pop06</b:Tag>
    <b:SourceType>JournalArticle</b:SourceType>
    <b:Guid>{091637B3-8EA7-4B5D-8F3C-5742F26127E8}</b:Guid>
    <b:Title>Guidance on the conduct of narrative synthesis in systematic reviews: A product from the ESRC Methods Programme</b:Title>
    <b:Year>2006</b:Year>
    <b:Month>01</b:Month>
    <b:Publisher>Lancaster University</b:Publisher>
    <b:Author>
      <b:Author>
        <b:NameList>
          <b:Person>
            <b:Last>Popay</b:Last>
            <b:First>Jennie </b:First>
          </b:Person>
          <b:Person>
            <b:Last>Roberts</b:Last>
            <b:First>Helen </b:First>
          </b:Person>
          <b:Person>
            <b:Last>Sowden</b:Last>
            <b:First>Amanda </b:First>
          </b:Person>
          <b:Person>
            <b:Last>Petticrew</b:Last>
            <b:First>Mark </b:First>
          </b:Person>
          <b:Person>
            <b:Last>Arai</b:Last>
            <b:First>Lisa </b:First>
          </b:Person>
          <b:Person>
            <b:Last>Rodgers</b:Last>
            <b:First>Mark </b:First>
          </b:Person>
          <b:Person>
            <b:Last>Britten</b:Last>
            <b:First>Nicky </b:First>
          </b:Person>
          <b:Person>
            <b:Last>Roen</b:Last>
            <b:First>Katrina </b:First>
          </b:Person>
          <b:Person>
            <b:Last>Duffy</b:Last>
            <b:First>Steven </b:First>
          </b:Person>
        </b:NameList>
      </b:Author>
    </b:Author>
    <b:RefOrder>1131</b:RefOrder>
  </b:Source>
  <b:Source>
    <b:Tag>Poo21</b:Tag>
    <b:SourceType>JournalArticle</b:SourceType>
    <b:Guid>{C89F2BCD-76BA-4955-A5E1-71B67BFF5043}</b:Guid>
    <b:Title>Rhetoric in Televised FMCG Advertisements and Its Impact on Viewers.</b:Title>
    <b:JournalName>South Asian Journal of Management</b:JournalName>
    <b:Year>2021</b:Year>
    <b:Pages>57-76</b:Pages>
    <b:Author>
      <b:Author>
        <b:NameList>
          <b:Person>
            <b:Last>Pooja</b:Last>
            <b:First>Upadhyaya</b:First>
          </b:Person>
          <b:Person>
            <b:Last>Shukla</b:Last>
            <b:First>Amit</b:First>
          </b:Person>
        </b:NameList>
      </b:Author>
    </b:Author>
    <b:Month>12</b:Month>
    <b:Volume>28</b:Volume>
    <b:Issue>04</b:Issue>
    <b:RefOrder>1132</b:RefOrder>
  </b:Source>
  <b:Source>
    <b:Tag>Pod03</b:Tag>
    <b:SourceType>JournalArticle</b:SourceType>
    <b:Guid>{ED8A0146-8B9F-478D-B734-9945C850EF3A}</b:Guid>
    <b:Title>Common method biases in behavioral research: A critical review of the literature and recommended remedies.</b:Title>
    <b:JournalName>Journal of Applied Psychology</b:JournalName>
    <b:Year>2003</b:Year>
    <b:Pages>879-903</b:Pages>
    <b:Author>
      <b:Author>
        <b:NameList>
          <b:Person>
            <b:Last>Podsakoff</b:Last>
            <b:Middle>M.</b:Middle>
            <b:First>P.</b:First>
          </b:Person>
          <b:Person>
            <b:Last>MacKenzie</b:Last>
            <b:Middle>B.</b:Middle>
            <b:First>S.</b:First>
          </b:Person>
          <b:Person>
            <b:Last>Lee</b:Last>
            <b:Middle>Y.</b:Middle>
            <b:First>J.</b:First>
          </b:Person>
          <b:Person>
            <b:Last>Podsakoff</b:Last>
            <b:Middle>P.</b:Middle>
            <b:First>N.</b:First>
          </b:Person>
        </b:NameList>
      </b:Author>
    </b:Author>
    <b:Volume>88</b:Volume>
    <b:Issue>5</b:Issue>
    <b:YearAccessed>2023</b:YearAccessed>
    <b:MonthAccessed>08</b:MonthAccessed>
    <b:DayAccessed>20</b:DayAccessed>
    <b:DOI>https://doi.org/10.1037/0021-9010.88.5.879</b:DOI>
    <b:RefOrder>932</b:RefOrder>
  </b:Source>
  <b:Source>
    <b:Tag>Ple94</b:Tag>
    <b:SourceType>JournalArticle</b:SourceType>
    <b:Guid>{B0BF43A2-E784-48FB-AC8E-D5B0300536E1}</b:Guid>
    <b:Title>Recognition versus recall</b:Title>
    <b:JournalName>Journal of Advertising Research</b:JournalName>
    <b:Year>1994</b:Year>
    <b:Volume>34</b:Volume>
    <b:Issue>03</b:Issue>
    <b:YearAccessed>2022</b:YearAccessed>
    <b:MonthAccessed>03</b:MonthAccessed>
    <b:DayAccessed>05</b:DayAccessed>
    <b:Author>
      <b:Author>
        <b:NameList>
          <b:Person>
            <b:Last>Plessis</b:Last>
            <b:First>Eric du</b:First>
          </b:Person>
        </b:NameList>
      </b:Author>
    </b:Author>
    <b:RefOrder>1133</b:RefOrder>
  </b:Source>
  <b:Source>
    <b:Tag>Pla17</b:Tag>
    <b:SourceType>JournalArticle</b:SourceType>
    <b:Guid>{4684A613-AC68-4CAD-B5A9-2DE269A4ABC9}</b:Guid>
    <b:Title>Community-based psychosocial support. For Syrian and Egyptian children in urban areas: A Case Study from Egypt.</b:Title>
    <b:Year>2017</b:Year>
    <b:URL>https://resourcecentre.savethechildren.net/pdf/pyschosocial_support_for_syrian_and_egyptian_children_in_urban_areas.pdf/</b:URL>
    <b:JournalName>Plan International</b:JournalName>
    <b:Author>
      <b:Author>
        <b:NameList>
          <b:Person>
            <b:Last>Plan International</b:Last>
          </b:Person>
        </b:NameList>
      </b:Author>
    </b:Author>
    <b:YearAccessed>2022</b:YearAccessed>
    <b:MonthAccessed>03</b:MonthAccessed>
    <b:DayAccessed>01</b:DayAccessed>
    <b:RefOrder>217</b:RefOrder>
  </b:Source>
  <b:Source>
    <b:Tag>Pin16</b:Tag>
    <b:SourceType>JournalArticle</b:SourceType>
    <b:Guid>{03518385-6D93-46F1-8409-0E16401A5212}</b:Guid>
    <b:Title>The influence of corporate social responsibility on consumers' attitudes and intentions toward genetically modified foods: evidence from Italy</b:Title>
    <b:JournalName>Journal of Cleaner Production</b:JournalName>
    <b:Year>2016</b:Year>
    <b:Pages>2861-2869</b:Pages>
    <b:Volume>112</b:Volume>
    <b:Month>01</b:Month>
    <b:YearAccessed>2021</b:YearAccessed>
    <b:MonthAccessed>12</b:MonthAccessed>
    <b:DayAccessed>19</b:DayAccessed>
    <b:DOI>https://doi.org/10.1016/j.jclepro.2015.10.008</b:DOI>
    <b:Author>
      <b:Author>
        <b:NameList>
          <b:Person>
            <b:Last>Pino</b:Last>
            <b:First>Giovanni</b:First>
          </b:Person>
          <b:Person>
            <b:Last>Amatulli</b:Last>
            <b:First>Cesare</b:First>
          </b:Person>
          <b:Person>
            <b:Last>De Angelis</b:Last>
            <b:First>Matteo</b:First>
          </b:Person>
          <b:Person>
            <b:Last>Peluso</b:Last>
            <b:Middle>M</b:Middle>
            <b:First>Alessandro</b:First>
          </b:Person>
        </b:NameList>
      </b:Author>
    </b:Author>
    <b:RefOrder>395</b:RefOrder>
  </b:Source>
  <b:Source>
    <b:Tag>Pie22</b:Tag>
    <b:SourceType>JournalArticle</b:SourceType>
    <b:Guid>{A2B95660-34EA-44D1-BA55-D83B804E82B2}</b:Guid>
    <b:Title>The Stopping Power of Advertising: Measures and Effects of Visual Complexity</b:Title>
    <b:JournalName>Journal of Marketing</b:JournalName>
    <b:Pages>48-60</b:Pages>
    <b:Volume>74</b:Volume>
    <b:Issue>05</b:Issue>
    <b:YearAccessed>2022</b:YearAccessed>
    <b:MonthAccessed>02</b:MonthAccessed>
    <b:DayAccessed>03</b:DayAccessed>
    <b:DOI>10.1509/jmkg.74.5.48</b:DOI>
    <b:Author>
      <b:Author>
        <b:NameList>
          <b:Person>
            <b:Last>Pieters</b:Last>
            <b:First>Rik</b:First>
          </b:Person>
          <b:Person>
            <b:Last>Wedel</b:Last>
            <b:First>Michel</b:First>
          </b:Person>
          <b:Person>
            <b:Last>Batra</b:Last>
            <b:First>Rajeev</b:First>
          </b:Person>
        </b:NameList>
      </b:Author>
    </b:Author>
    <b:Year>2010</b:Year>
    <b:Month>09</b:Month>
    <b:RefOrder>176</b:RefOrder>
  </b:Source>
  <b:Source>
    <b:Tag>Pic05</b:Tag>
    <b:SourceType>BookSection</b:SourceType>
    <b:Guid>{CADD559A-24C7-49E8-8B07-593BB7AC460F}</b:Guid>
    <b:Title>Attitudes and perceptions.</b:Title>
    <b:BookTitle>Organizational behavior in Health Care</b:BookTitle>
    <b:Year>2005</b:Year>
    <b:Pages>43-76</b:Pages>
    <b:Publisher>Jones and Bartlett Publishers.</b:Publisher>
    <b:Author>
      <b:Author>
        <b:NameList>
          <b:Person>
            <b:Last>Pickens</b:Last>
            <b:First>J.</b:First>
          </b:Person>
        </b:NameList>
      </b:Author>
    </b:Author>
    <b:RefOrder>1</b:RefOrder>
  </b:Source>
  <b:Source>
    <b:Tag>Pfi23</b:Tag>
    <b:SourceType>InternetSite</b:SourceType>
    <b:Guid>{35366813-496E-44FC-8811-DA8A10A1ADFD}</b:Guid>
    <b:Title>Pfizer Disaster and Humanitarian Relief</b:Title>
    <b:Year>2023</b:Year>
    <b:InternetSiteTitle>Pfizer</b:InternetSiteTitle>
    <b:URL>https://www.pfizer.com/about/responsibility/global-impact/disaster-and-humanitarian-relief</b:URL>
    <b:Author>
      <b:Author>
        <b:NameList>
          <b:Person>
            <b:Last>Pfizer</b:Last>
          </b:Person>
        </b:NameList>
      </b:Author>
    </b:Author>
    <b:RefOrder>86</b:RefOrder>
  </b:Source>
  <b:Source>
    <b:Tag>Pfe13</b:Tag>
    <b:SourceType>JournalArticle</b:SourceType>
    <b:Guid>{61B4C106-C28D-42D4-B708-A63C3F3B80AC}</b:Guid>
    <b:Title>Understanding online firestorms: Negative word-of-mouth dynamics in social media networks</b:Title>
    <b:JournalName>Journal of Marketing Communications</b:JournalName>
    <b:Year>2013</b:Year>
    <b:Pages>117-128</b:Pages>
    <b:Month>06</b:Month>
    <b:Day>10</b:Day>
    <b:Volume>20</b:Volume>
    <b:Issue>1-2</b:Issue>
    <b:YearAccessed>2023</b:YearAccessed>
    <b:MonthAccessed>05</b:MonthAccessed>
    <b:DayAccessed>31</b:DayAccessed>
    <b:DOI>https://doi.org/10.1080/13527266.2013.797778</b:DOI>
    <b:Author>
      <b:Author>
        <b:NameList>
          <b:Person>
            <b:Last>Pfeffer</b:Last>
            <b:First>J.</b:First>
          </b:Person>
          <b:Person>
            <b:Last>Zorbach</b:Last>
            <b:First>T. </b:First>
          </b:Person>
          <b:Person>
            <b:Last>Carley</b:Last>
            <b:Middle>M.</b:Middle>
            <b:First>K. </b:First>
          </b:Person>
        </b:NameList>
      </b:Author>
    </b:Author>
    <b:RefOrder>669</b:RefOrder>
  </b:Source>
  <b:Source>
    <b:Tag>Pet86</b:Tag>
    <b:SourceType>JournalArticle</b:SourceType>
    <b:Guid>{31F6ED40-DC31-4A6D-9B69-2FD6602F1E17}</b:Guid>
    <b:Title>The elaboration likelihood model of Persuasion</b:Title>
    <b:JournalName>Advances in Experimental Social Psychology</b:JournalName>
    <b:Year>1986</b:Year>
    <b:Pages>123-205</b:Pages>
    <b:Volume>19</b:Volume>
    <b:YearAccessed>2022</b:YearAccessed>
    <b:MonthAccessed>03</b:MonthAccessed>
    <b:DayAccessed>05</b:DayAccessed>
    <b:DOI>https://doi.org/10.1016/S0065-2601(08)60214-2</b:DOI>
    <b:Author>
      <b:Author>
        <b:NameList>
          <b:Person>
            <b:Last>Petty</b:Last>
            <b:Middle>E</b:Middle>
            <b:First>Richard </b:First>
          </b:Person>
          <b:Person>
            <b:Last>Cacioppo</b:Last>
            <b:Middle>T.</b:Middle>
            <b:First>Jogn</b:First>
          </b:Person>
        </b:NameList>
      </b:Author>
    </b:Author>
    <b:RefOrder>517</b:RefOrder>
  </b:Source>
  <b:Source>
    <b:Tag>Pet83</b:Tag>
    <b:SourceType>JournalArticle</b:SourceType>
    <b:Guid>{316C4DEA-CE45-42BF-98AD-42606B509D2B}</b:Guid>
    <b:Title>Central and Peripheral Routes to Advertising Effectiveness: The Moderating Role of Involvement</b:Title>
    <b:JournalName>Journal of Consumer Research</b:JournalName>
    <b:Year>1983</b:Year>
    <b:Pages>135-146</b:Pages>
    <b:Author>
      <b:Author>
        <b:NameList>
          <b:Person>
            <b:Last>Petty</b:Last>
            <b:Middle>E.</b:Middle>
            <b:First>Richard </b:First>
          </b:Person>
          <b:Person>
            <b:Last>Cacioppo</b:Last>
            <b:Middle>T.</b:Middle>
            <b:First>John </b:First>
          </b:Person>
          <b:Person>
            <b:Last>Schumann</b:Last>
            <b:First>David </b:First>
          </b:Person>
        </b:NameList>
      </b:Author>
    </b:Author>
    <b:Month>09</b:Month>
    <b:Volume>10</b:Volume>
    <b:Issue>02</b:Issue>
    <b:YearAccessed>2022</b:YearAccessed>
    <b:MonthAccessed>09</b:MonthAccessed>
    <b:DayAccessed>27</b:DayAccessed>
    <b:URL>https://www.jstor.org/stable/2488919</b:URL>
    <b:RefOrder>1134</b:RefOrder>
  </b:Source>
  <b:Source>
    <b:Tag>Pet08</b:Tag>
    <b:SourceType>JournalArticle</b:SourceType>
    <b:Guid>{C57D3920-0995-4607-AC8B-569265183B39}</b:Guid>
    <b:Title>The Theory of Reasoned Action and Food Choice</b:Title>
    <b:JournalName>Journal of International Food &amp; Agribusiness Marketing</b:JournalName>
    <b:Year>2008</b:Year>
    <b:Pages>59-87</b:Pages>
    <b:Month>09</b:Month>
    <b:Day>08</b:Day>
    <b:Volume>16</b:Volume>
    <b:Issue>1</b:Issue>
    <b:YearAccessed>2023</b:YearAccessed>
    <b:MonthAccessed>03</b:MonthAccessed>
    <b:DayAccessed>17</b:DayAccessed>
    <b:DOI>https://doi.org/10.1300/J047v16n01_05</b:DOI>
    <b:Author>
      <b:Author>
        <b:NameList>
          <b:Person>
            <b:Last>Petrovici</b:Last>
            <b:Middle>A.</b:Middle>
            <b:First>Dan </b:First>
          </b:Person>
          <b:Person>
            <b:Last>Ritson</b:Last>
            <b:First>Christopher </b:First>
          </b:Person>
          <b:Person>
            <b:Last>Ness</b:Last>
            <b:First>Mitchell </b:First>
          </b:Person>
        </b:NameList>
      </b:Author>
    </b:Author>
    <b:RefOrder>581</b:RefOrder>
  </b:Source>
  <b:Source>
    <b:Tag>Pet17</b:Tag>
    <b:SourceType>JournalArticle</b:SourceType>
    <b:Guid>{69FF1917-C18A-4C6B-B037-26DD1789FE88}</b:Guid>
    <b:Title>Qualitative Marketing Research: The State of Journal Publications</b:Title>
    <b:Year>2017</b:Year>
    <b:Volume>22</b:Volume>
    <b:Pages>2248-2287</b:Pages>
    <b:YearAccessed>2022</b:YearAccessed>
    <b:MonthAccessed>11</b:MonthAccessed>
    <b:DayAccessed>01</b:DayAccessed>
    <b:DOI>10.46743/2160-3715/2017.2481</b:DOI>
    <b:JournalName>The Qualitative Report </b:JournalName>
    <b:Month>09</b:Month>
    <b:Day>02</b:Day>
    <b:Issue>9</b:Issue>
    <b:Author>
      <b:Author>
        <b:NameList>
          <b:Person>
            <b:Last>Petrescu</b:Last>
            <b:First>Maria </b:First>
          </b:Person>
          <b:Person>
            <b:Last>Lauer</b:Last>
            <b:First>Brianna </b:First>
          </b:Person>
        </b:NameList>
      </b:Author>
    </b:Author>
    <b:RefOrder>900</b:RefOrder>
  </b:Source>
  <b:Source>
    <b:Tag>Pet21</b:Tag>
    <b:SourceType>JournalArticle</b:SourceType>
    <b:Guid>{EE5F58C9-D176-4AB5-A6A3-9E987D9F6BAC}</b:Guid>
    <b:Title>Sustainable Marketing and Consumer Support for Sustainable Businsses</b:Title>
    <b:JournalName>Sustainable Production and Consumption</b:JournalName>
    <b:Year>2021</b:Year>
    <b:Pages>157-168</b:Pages>
    <b:Volume>27</b:Volume>
    <b:Issue>2</b:Issue>
    <b:Month>07</b:Month>
    <b:YearAccessed>2021</b:YearAccessed>
    <b:MonthAccessed>12</b:MonthAccessed>
    <b:DayAccessed>26</b:DayAccessed>
    <b:DOI>10.1016/j.spc.2020.10.018</b:DOI>
    <b:Author>
      <b:Author>
        <b:NameList>
          <b:Person>
            <b:Last>Peterson</b:Last>
            <b:First>Mark</b:First>
          </b:Person>
          <b:Person>
            <b:Last>Minton</b:Last>
            <b:First>Elizabeth</b:First>
          </b:Person>
          <b:Person>
            <b:Last>Liu</b:Last>
            <b:First>Richie</b:First>
          </b:Person>
          <b:Person>
            <b:Last>Bartholomew</b:Last>
            <b:Middle>Eugene </b:Middle>
            <b:First>Darell</b:First>
          </b:Person>
        </b:NameList>
      </b:Author>
    </b:Author>
    <b:RefOrder>27</b:RefOrder>
  </b:Source>
  <b:Source>
    <b:Tag>Per22</b:Tag>
    <b:SourceType>JournalArticle</b:SourceType>
    <b:Guid>{2382FC9A-84E3-4598-A911-33D7A5F88DC8}</b:Guid>
    <b:Title>The Interpretivist Research Paradigm: A Subjective Notion of a Social Context</b:Title>
    <b:JournalName>International Journal of Academic Research in Progressive Education and Development</b:JournalName>
    <b:Year>2022</b:Year>
    <b:Pages>419-428</b:Pages>
    <b:Month>05</b:Month>
    <b:Day>25</b:Day>
    <b:Volume>11</b:Volume>
    <b:Issue>2</b:Issue>
    <b:YearAccessed>2023</b:YearAccessed>
    <b:MonthAccessed>08</b:MonthAccessed>
    <b:DayAccessed>03</b:DayAccessed>
    <b:DOI>10.6007/IJARPED/v11-i2/12938</b:DOI>
    <b:Author>
      <b:Author>
        <b:NameList>
          <b:Person>
            <b:Last>Pervin</b:Last>
            <b:First>Nasrin </b:First>
          </b:Person>
          <b:Person>
            <b:Last>Mokhtar</b:Last>
            <b:First>Mahani </b:First>
          </b:Person>
        </b:NameList>
      </b:Author>
    </b:Author>
    <b:RefOrder>754</b:RefOrder>
  </b:Source>
  <b:Source>
    <b:Tag>Per19</b:Tag>
    <b:SourceType>JournalArticle</b:SourceType>
    <b:Guid>{BF062881-F86C-425E-91B9-9805DDD21AFA}</b:Guid>
    <b:Title>ADVERTISING: FEATURES AND TYPES</b:Title>
    <b:JournalName>International Journal of Research and Development</b:JournalName>
    <b:Year>2019</b:Year>
    <b:Month>02</b:Month>
    <b:Volume>04</b:Volume>
    <b:Issue>02</b:Issue>
    <b:YearAccessed>2022</b:YearAccessed>
    <b:MonthAccessed>01</b:MonthAccessed>
    <b:DayAccessed>31</b:DayAccessed>
    <b:URL>https://eprajournals.com/jpanel/upload/529pm_2.Arul%20Perumal%20M-2900-1.pdf</b:URL>
    <b:Author>
      <b:Author>
        <b:NameList>
          <b:Person>
            <b:Last>Perumal</b:Last>
            <b:Middle>M</b:Middle>
            <b:First>Arul</b:First>
          </b:Person>
          <b:Person>
            <b:Last>Ragul</b:Last>
            <b:First>M</b:First>
          </b:Person>
        </b:NameList>
      </b:Author>
    </b:Author>
    <b:RefOrder>150</b:RefOrder>
  </b:Source>
  <b:Source>
    <b:Tag>Pér12</b:Tag>
    <b:SourceType>JournalArticle</b:SourceType>
    <b:Guid>{15EB9167-411A-4DF9-9CF7-F452B73FA1A7}</b:Guid>
    <b:Title>The development of a stakeholder-based scale for measuring corporate social responsibility in the banking industry</b:Title>
    <b:JournalName>Service Business</b:JournalName>
    <b:Year>2012</b:Year>
    <b:Month>09</b:Month>
    <b:Volume>07</b:Volume>
    <b:Issue>03</b:Issue>
    <b:YearAccessed>2022</b:YearAccessed>
    <b:MonthAccessed>06</b:MonthAccessed>
    <b:DayAccessed>02</b:DayAccessed>
    <b:DOI>10.1007/s11628-012-0171-9</b:DOI>
    <b:Author>
      <b:Author>
        <b:NameList>
          <b:Person>
            <b:Last>Pérez</b:Last>
            <b:First>Andrea </b:First>
          </b:Person>
          <b:Person>
            <b:Last>Leaniz</b:Last>
            <b:Middle>Martínez García </b:Middle>
            <b:First>Patricia </b:First>
          </b:Person>
          <b:Person>
            <b:Last>Rodríguez-del-Bosque</b:Last>
            <b:First>Ignacio </b:First>
          </b:Person>
        </b:NameList>
      </b:Author>
    </b:Author>
    <b:RefOrder>1135</b:RefOrder>
  </b:Source>
  <b:Source>
    <b:Tag>Pér17</b:Tag>
    <b:SourceType>JournalArticle</b:SourceType>
    <b:Guid>{304CC92D-7542-4279-941E-ACC495607DC9}</b:Guid>
    <b:Title>Personal traits and customer responses to CSR perceptions in the banking sector</b:Title>
    <b:JournalName>International Journal of Bank Marketing</b:JournalName>
    <b:Year>2017</b:Year>
    <b:Pages>128-146</b:Pages>
    <b:Author>
      <b:Author>
        <b:NameList>
          <b:Person>
            <b:Last>Pérez</b:Last>
            <b:First>Andrea </b:First>
          </b:Person>
          <b:Person>
            <b:Last>Rodríguez del Bosque</b:Last>
            <b:First>Ignacio </b:First>
          </b:Person>
        </b:NameList>
      </b:Author>
    </b:Author>
    <b:Month>02</b:Month>
    <b:Day>06</b:Day>
    <b:Volume>35</b:Volume>
    <b:Issue>1</b:Issue>
    <b:YearAccessed>2023</b:YearAccessed>
    <b:MonthAccessed>08</b:MonthAccessed>
    <b:DayAccessed>19</b:DayAccessed>
    <b:DOI> https://doi.org/10.1108/IJBM-02-2016-0023</b:DOI>
    <b:RefOrder>192</b:RefOrder>
  </b:Source>
  <b:Source>
    <b:Tag>Imp23</b:Tag>
    <b:SourceType>JournalArticle</b:SourceType>
    <b:Guid>{17A5AF28-ECF0-41CD-B917-2BF012D25C10}</b:Guid>
    <b:Title>Impulse buying behaviour in omnichannel retail: an approach through the stimulus-organism-response theory</b:Title>
    <b:JournalName>International Journal of Retail &amp; Distribution Management</b:JournalName>
    <b:Pages>39-58</b:Pages>
    <b:Publisher>Emerald Publishing Limited</b:Publisher>
    <b:Volume>51</b:Volume>
    <b:Issue>1</b:Issue>
    <b:YearAccessed>2023</b:YearAccessed>
    <b:DOI>https://doi.org/10.1108/IJRDM-09-2021-0394</b:DOI>
    <b:Year>2023</b:Year>
    <b:Month>01</b:Month>
    <b:Day>02</b:Day>
    <b:MonthAccessed>03</b:MonthAccessed>
    <b:DayAccessed>11</b:DayAccessed>
    <b:Author>
      <b:Author>
        <b:NameList>
          <b:Person>
            <b:Last>Pereira</b:Last>
            <b:Middle>Lisboa </b:Middle>
            <b:First>Marcelo </b:First>
          </b:Person>
          <b:Person>
            <b:Last>Petroll</b:Last>
            <b:Middle>de La Martinière </b:Middle>
            <b:First>Martin </b:First>
          </b:Person>
          <b:Person>
            <b:Last>Soares</b:Last>
            <b:Middle>Coelho </b:Middle>
            <b:First>João </b:First>
          </b:Person>
          <b:Person>
            <b:Last> Augusto de Matos</b:Last>
            <b:First>Celso</b:First>
          </b:Person>
          <b:Person>
            <b:Last>Hernani-Merino </b:Last>
            <b:First>Martin </b:First>
          </b:Person>
        </b:NameList>
      </b:Author>
    </b:Author>
    <b:RefOrder>621</b:RefOrder>
  </b:Source>
  <b:Source>
    <b:Tag>Per92</b:Tag>
    <b:SourceType>JournalArticle</b:SourceType>
    <b:Guid>{8A159C04-C585-43DE-A39A-E7EE6900FF7E}</b:Guid>
    <b:Title>A model of brand awareness and brand attitude advertising strategies.</b:Title>
    <b:JournalName>Psychology &amp; Marketing</b:JournalName>
    <b:Year>1992</b:Year>
    <b:Pages>263-274</b:Pages>
    <b:Author>
      <b:Author>
        <b:NameList>
          <b:Person>
            <b:Last>Percy</b:Last>
            <b:First>L.</b:First>
          </b:Person>
          <b:Person>
            <b:Last>Rossiter</b:Last>
            <b:First>J</b:First>
          </b:Person>
        </b:NameList>
      </b:Author>
    </b:Author>
    <b:Volume>9</b:Volume>
    <b:YearAccessed>2023</b:YearAccessed>
    <b:MonthAccessed>03</b:MonthAccessed>
    <b:DayAccessed>17</b:DayAccessed>
    <b:DOI>10.1002/mar.4220090402</b:DOI>
    <b:RefOrder>597</b:RefOrder>
  </b:Source>
  <b:Source>
    <b:Tag>Per18</b:Tag>
    <b:SourceType>InternetSite</b:SourceType>
    <b:Guid>{3FC41611-7D38-4C01-BD4E-C6E334376EC9}</b:Guid>
    <b:Title>Using Stimuli Effectively in B2B Market Research</b:Title>
    <b:Year>2018</b:Year>
    <b:InternetSiteTitle>B2B International</b:InternetSiteTitle>
    <b:Month>01</b:Month>
    <b:Day>25</b:Day>
    <b:URL>https://www.b2binternational.com/2018/01/25/using-stimuli-effectively-in-b2b-market-research/</b:URL>
    <b:Author>
      <b:Author>
        <b:NameList>
          <b:Person>
            <b:Last>Percival</b:Last>
            <b:First>Tom </b:First>
          </b:Person>
        </b:NameList>
      </b:Author>
    </b:Author>
    <b:YearAccessed>2022</b:YearAccessed>
    <b:MonthAccessed>11</b:MonthAccessed>
    <b:DayAccessed>12</b:DayAccessed>
    <b:RefOrder>802</b:RefOrder>
  </b:Source>
  <b:Source>
    <b:Tag>Pep18</b:Tag>
    <b:SourceType>JournalArticle</b:SourceType>
    <b:Guid>{DC8BAF9E-8D10-4AEA-AA1D-5BE42420B6E0}</b:Guid>
    <b:Title>A Note on Listwise Deletion versus Multiple Imputation</b:Title>
    <b:Year>2018</b:Year>
    <b:JournalName>Cambridge University Press</b:JournalName>
    <b:Pages>480-488</b:Pages>
    <b:Month>08</b:Month>
    <b:Day>03</b:Day>
    <b:Volume>26</b:Volume>
    <b:Issue>4</b:Issue>
    <b:YearAccessed>2023</b:YearAccessed>
    <b:MonthAccessed>06</b:MonthAccessed>
    <b:DayAccessed>05</b:DayAccessed>
    <b:DOI>10.1017/pan.2018.18</b:DOI>
    <b:Author>
      <b:Author>
        <b:NameList>
          <b:Person>
            <b:Last>Pepinsky</b:Last>
            <b:Middle>B.</b:Middle>
            <b:First>Thomas </b:First>
          </b:Person>
        </b:NameList>
      </b:Author>
    </b:Author>
    <b:RefOrder>916</b:RefOrder>
  </b:Source>
  <b:Source>
    <b:Tag>Pen21</b:Tag>
    <b:SourceType>JournalArticle</b:SourceType>
    <b:Guid>{561A8A24-6D9B-4BB4-AFDD-A53437A06042}</b:Guid>
    <b:Title>Shifting attention to accuracy can reduce misinformation online</b:Title>
    <b:JournalName>Nature</b:JournalName>
    <b:Year>2021</b:Year>
    <b:Pages>590-595</b:Pages>
    <b:Author>
      <b:Author>
        <b:NameList>
          <b:Person>
            <b:Last>Pennycook</b:Last>
            <b:First>Gordon </b:First>
          </b:Person>
          <b:Person>
            <b:Last>Epstein</b:Last>
            <b:First>Ziv </b:First>
          </b:Person>
          <b:Person>
            <b:Last>Mosleh</b:Last>
            <b:First>Mohsen </b:First>
          </b:Person>
          <b:Person>
            <b:Last>Arechar</b:Last>
            <b:Middle>A.</b:Middle>
            <b:First>Antonio</b:First>
          </b:Person>
          <b:Person>
            <b:Last>Eckles </b:Last>
            <b:First>Dean </b:First>
          </b:Person>
          <b:Person>
            <b:Last>Rand</b:Last>
            <b:Middle>G.</b:Middle>
            <b:First>David</b:First>
          </b:Person>
        </b:NameList>
      </b:Author>
    </b:Author>
    <b:Month>03</b:Month>
    <b:Day>17</b:Day>
    <b:YearAccessed>2022</b:YearAccessed>
    <b:MonthAccessed>06</b:MonthAccessed>
    <b:DayAccessed>03</b:DayAccessed>
    <b:URL>https://www.nature.com/articles/s41586-021-03344-2</b:URL>
    <b:RefOrder>1136</b:RefOrder>
  </b:Source>
  <b:Source>
    <b:Tag>Pen14</b:Tag>
    <b:SourceType>JournalArticle</b:SourceType>
    <b:Guid>{F5F8B0C2-8ADC-436D-A733-E5E018E156B0}</b:Guid>
    <b:Title>Application of the Stimuli-Organism-Response (S-O-R) Framework to Online Shopping Behavior</b:Title>
    <b:JournalName>Journal of Internet Commerce</b:JournalName>
    <b:Year>2014</b:Year>
    <b:Pages>159-176</b:Pages>
    <b:Month>10</b:Month>
    <b:Day>16</b:Day>
    <b:Volume>13</b:Volume>
    <b:Issue>3-4</b:Issue>
    <b:YearAccessed>2023</b:YearAccessed>
    <b:MonthAccessed>03</b:MonthAccessed>
    <b:DayAccessed>11</b:DayAccessed>
    <b:DOI>https://doi.org/10.1080/15332861.2014.944437</b:DOI>
    <b:Author>
      <b:Author>
        <b:NameList>
          <b:Person>
            <b:Last>Peng</b:Last>
            <b:First>Chen</b:First>
          </b:Person>
          <b:Person>
            <b:Last>Kim </b:Last>
            <b:Middle>Gug </b:Middle>
            <b:First>Yeong </b:First>
          </b:Person>
        </b:NameList>
      </b:Author>
    </b:Author>
    <b:RefOrder>623</b:RefOrder>
  </b:Source>
  <b:Source>
    <b:Tag>Peñ20</b:Tag>
    <b:SourceType>JournalArticle</b:SourceType>
    <b:Guid>{CF391852-70DE-4843-A806-CA46CEE35B71}</b:Guid>
    <b:Title>Purchase intention and purchase behavior online: A cross-cultural approach</b:Title>
    <b:Year>2020</b:Year>
    <b:Month>06</b:Month>
    <b:URL>https://doi.org/10.1016/j.heliyon.2020.e04284</b:URL>
    <b:JournalName>Heliyon</b:JournalName>
    <b:Author>
      <b:Author>
        <b:NameList>
          <b:Person>
            <b:Last>Peña-García</b:Last>
            <b:First>Nathalie </b:First>
          </b:Person>
          <b:Person>
            <b:Last>Gil-Saura</b:Last>
            <b:First>Irene </b:First>
          </b:Person>
          <b:Person>
            <b:Last>Rodríguez-Orejuela</b:Last>
            <b:First>Augusto </b:First>
          </b:Person>
          <b:Person>
            <b:Last>Siqueira-Junior</b:Last>
            <b:Middle>Ribamar </b:Middle>
            <b:First>José </b:First>
          </b:Person>
        </b:NameList>
      </b:Author>
    </b:Author>
    <b:Volume>6</b:Volume>
    <b:Issue>6</b:Issue>
    <b:YearAccessed>2023</b:YearAccessed>
    <b:MonthAccessed>02</b:MonthAccessed>
    <b:DayAccessed>25</b:DayAccessed>
    <b:RefOrder>363</b:RefOrder>
  </b:Source>
  <b:Source>
    <b:Tag>Pel11</b:Tag>
    <b:SourceType>JournalArticle</b:SourceType>
    <b:Guid>{94FF06E3-15F4-4F5C-99E9-31BB61A2FB3E}</b:Guid>
    <b:Title>How can corporate social responsibility activities create value for stakeholders? A systematic review</b:Title>
    <b:JournalName>Journal of the Academy of Marketiing Services</b:JournalName>
    <b:Year>2011</b:Year>
    <b:Pages>117-135</b:Pages>
    <b:Volume>39</b:Volume>
    <b:Issue>1</b:Issue>
    <b:YearAccessed>2021</b:YearAccessed>
    <b:MonthAccessed>12</b:MonthAccessed>
    <b:DayAccessed>09</b:DayAccessed>
    <b:DOI>10.1007/s11747-010-0213-6</b:DOI>
    <b:Author>
      <b:Author>
        <b:NameList>
          <b:Person>
            <b:Last>Peloza</b:Last>
            <b:First>John</b:First>
          </b:Person>
          <b:Person>
            <b:Last>Shang</b:Last>
            <b:First>Jingzhi</b:First>
          </b:Person>
        </b:NameList>
      </b:Author>
    </b:Author>
    <b:RefOrder>393</b:RefOrder>
  </b:Source>
  <b:Source>
    <b:Tag>Pel17</b:Tag>
    <b:SourceType>InternetSite</b:SourceType>
    <b:Guid>{661CBC7E-0C5D-49E5-834D-2EA3CEEFBA21}</b:Guid>
    <b:Title>Procter &amp; Gamble pumpt TV-Budget auf</b:Title>
    <b:Year>2017</b:Year>
    <b:InternetSiteTitle>WUV</b:InternetSiteTitle>
    <b:Month>02</b:Month>
    <b:Day>23</b:Day>
    <b:URL>https://www.wuv.de/Archiv/Procter-Gamble-pumpt-TV-Budget-auf</b:URL>
    <b:Author>
      <b:Author>
        <b:NameList>
          <b:Person>
            <b:Last>Pellikan</b:Last>
            <b:First>Leif </b:First>
          </b:Person>
        </b:NameList>
      </b:Author>
    </b:Author>
    <b:YearAccessed>2023</b:YearAccessed>
    <b:MonthAccessed>02</b:MonthAccessed>
    <b:DayAccessed>21</b:DayAccessed>
    <b:RefOrder>432</b:RefOrder>
  </b:Source>
  <b:Source>
    <b:Tag>Ped18</b:Tag>
    <b:SourceType>JournalArticle</b:SourceType>
    <b:Guid>{0A891BBF-4B63-466E-AE64-DCFD06270AA9}</b:Guid>
    <b:Title>Exploring the relationship between business model innovation, corporate sustainability, and organisational values within the fashion industry</b:Title>
    <b:Year>2018</b:Year>
    <b:Month>05</b:Month>
    <b:JournalName>Journal of Business Ethics</b:JournalName>
    <b:Pages>267-284</b:Pages>
    <b:Volume>142</b:Volume>
    <b:Issue>2</b:Issue>
    <b:YearAccessed>2023</b:YearAccessed>
    <b:MonthAccessed>05</b:MonthAccessed>
    <b:DayAccessed>29</b:DayAccessed>
    <b:DOI>10.1007/s10551-016-3044-7</b:DOI>
    <b:Author>
      <b:Author>
        <b:NameList>
          <b:Person>
            <b:Last>Pedersen</b:Last>
            <b:Middle>Rahbek </b:Middle>
            <b:First>Esben </b:First>
          </b:Person>
          <b:Person>
            <b:Last>Gwozdz</b:Last>
            <b:First>Wencke </b:First>
          </b:Person>
          <b:Person>
            <b:Last>Hvass</b:Last>
            <b:Middle>Kant </b:Middle>
            <b:First>Kerli </b:First>
          </b:Person>
        </b:NameList>
      </b:Author>
    </b:Author>
    <b:RefOrder>254</b:RefOrder>
  </b:Source>
  <b:Source>
    <b:Tag>Pau21</b:Tag>
    <b:SourceType>JournalArticle</b:SourceType>
    <b:Guid>{0E450FF1-1E50-4E7F-AE43-5D59CC2A7274}</b:Guid>
    <b:Title>Study on Impulse Buying Behaviour on Consumer goods</b:Title>
    <b:JournalName>International Journal of Multidisciplinary</b:JournalName>
    <b:Year>2021</b:Year>
    <b:Pages>33-36</b:Pages>
    <b:Month>05</b:Month>
    <b:Volume>6</b:Volume>
    <b:Issue>5</b:Issue>
    <b:YearAccessed>2023</b:YearAccessed>
    <b:MonthAccessed>03</b:MonthAccessed>
    <b:DayAccessed>08</b:DayAccessed>
    <b:DOI>10.31305/rrijm.2021.v06.i05.004</b:DOI>
    <b:Author>
      <b:Author>
        <b:NameList>
          <b:Person>
            <b:Last>Paul</b:Last>
            <b:First>Mareet</b:First>
          </b:Person>
        </b:NameList>
      </b:Author>
    </b:Author>
    <b:RefOrder>710</b:RefOrder>
  </b:Source>
  <b:Source>
    <b:Tag>Pat02</b:Tag>
    <b:SourceType>Book</b:SourceType>
    <b:Guid>{E2A37D50-8154-41EB-9EAB-D968DF194974}</b:Guid>
    <b:Title>Qualitative, research &amp; evaluation methods</b:Title>
    <b:Year>2002</b:Year>
    <b:Publisher>Sage publications Inc.</b:Publisher>
    <b:CountryRegion>Thousand Oaks, California</b:CountryRegion>
    <b:Author>
      <b:Author>
        <b:NameList>
          <b:Person>
            <b:Last>Patton</b:Last>
            <b:Middle>Q.</b:Middle>
            <b:First>M.</b:First>
          </b:Person>
        </b:NameList>
      </b:Author>
    </b:Author>
    <b:RefOrder>1137</b:RefOrder>
  </b:Source>
  <b:Source>
    <b:Tag>Par21</b:Tag>
    <b:SourceType>JournalArticle</b:SourceType>
    <b:Guid>{E18DD66D-89BA-4A5C-A26B-B94A40B724F1}</b:Guid>
    <b:Title>Consumers' Purchase Intention on actual Purchase Behaviour Of Organic Food Products in Batticaloa Manmunai West divisional Secretariat Area</b:Title>
    <b:JournalName>International Journal of Research</b:JournalName>
    <b:Year>2021</b:Year>
    <b:Pages>57-69</b:Pages>
    <b:Month>01</b:Month>
    <b:Volume>8</b:Volume>
    <b:Issue>1</b:Issue>
    <b:YearAccessed>2023</b:YearAccessed>
    <b:MonthAccessed>04</b:MonthAccessed>
    <b:DayAccessed>28</b:DayAccessed>
    <b:DOI>10.13140/RG.2.2.19104.10244</b:DOI>
    <b:Author>
      <b:Author>
        <b:NameList>
          <b:Person>
            <b:Last>Parkularasa</b:Last>
            <b:First>Nitharjan </b:First>
          </b:Person>
          <b:Person>
            <b:Last>Andrew</b:Last>
            <b:First>Anthony </b:First>
          </b:Person>
        </b:NameList>
      </b:Author>
    </b:Author>
    <b:RefOrder>351</b:RefOrder>
  </b:Source>
  <b:Source>
    <b:Tag>Par201</b:Tag>
    <b:SourceType>JournalArticle</b:SourceType>
    <b:Guid>{42E44A03-C2F3-4F60-83FA-E7E78B8D27AC}</b:Guid>
    <b:Title>The Positivism Paradigm of Research</b:Title>
    <b:JournalName>Academic Medicine</b:JournalName>
    <b:Year>2020</b:Year>
    <b:Pages>690-694</b:Pages>
    <b:Month>05</b:Month>
    <b:Day>01</b:Day>
    <b:Publisher>Wolters Kluwer</b:Publisher>
    <b:Volume>95</b:Volume>
    <b:Issue>5</b:Issue>
    <b:YearAccessed>2023</b:YearAccessed>
    <b:MonthAccessed>02</b:MonthAccessed>
    <b:DayAccessed>09</b:DayAccessed>
    <b:DOI>https://doi.org/10.1097/ACM.0000000000003093</b:DOI>
    <b:Author>
      <b:Author>
        <b:NameList>
          <b:Person>
            <b:Last>Park </b:Last>
            <b:Middle>Soo</b:Middle>
            <b:First>Yoon </b:First>
          </b:Person>
          <b:Person>
            <b:Last>Konge</b:Last>
            <b:First>Lars</b:First>
          </b:Person>
          <b:Person>
            <b:Last>Artino</b:Last>
            <b:Middle>R.</b:Middle>
            <b:First>Anthony</b:First>
          </b:Person>
        </b:NameList>
      </b:Author>
    </b:Author>
    <b:RefOrder>747</b:RefOrder>
  </b:Source>
  <b:Source>
    <b:Tag>Par10</b:Tag>
    <b:SourceType>JournalArticle</b:SourceType>
    <b:Guid>{7810D7B0-780C-4F39-BF38-CEB1F431CC92}</b:Guid>
    <b:Title>Consumer innovativeness and shopping styles</b:Title>
    <b:Year>2010</b:Year>
    <b:Pages>437-446</b:Pages>
    <b:Publisher>Emerald Group Publishing Limited</b:Publisher>
    <b:JournalName>Journal of Consumer Marketing</b:JournalName>
    <b:Author>
      <b:Author>
        <b:NameList>
          <b:Person>
            <b:Last>Park</b:Last>
            <b:Middle>Eun</b:Middle>
            <b:First>Ji </b:First>
          </b:Person>
          <b:Person>
            <b:Last>Yu</b:Last>
            <b:First>Jun</b:First>
          </b:Person>
          <b:Person>
            <b:Last>Zhou</b:Last>
            <b:Middle>Xin </b:Middle>
            <b:First>Joyce </b:First>
          </b:Person>
        </b:NameList>
      </b:Author>
    </b:Author>
    <b:Month>08</b:Month>
    <b:Day>03</b:Day>
    <b:Volume>27</b:Volume>
    <b:Issue>5</b:Issue>
    <b:YearAccessed>2023</b:YearAccessed>
    <b:MonthAccessed>09</b:MonthAccessed>
    <b:DayAccessed>27</b:DayAccessed>
    <b:DOI>https://doi.org/10.1108/07363761011063330</b:DOI>
    <b:RefOrder>233</b:RefOrder>
  </b:Source>
  <b:Source>
    <b:Tag>Par20</b:Tag>
    <b:SourceType>JournalArticle</b:SourceType>
    <b:Guid>{2B86041F-2D9D-4211-95B2-1F3A1610D9E0}</b:Guid>
    <b:Title>The Impact of Resource Scarcity on Price-Quality Judgments</b:Title>
    <b:JournalName>Journal of Consumer Research</b:JournalName>
    <b:Year>2020</b:Year>
    <b:Pages>1110-1124</b:Pages>
    <b:Author>
      <b:Author>
        <b:NameList>
          <b:Person>
            <b:Last>Park</b:Last>
            <b:First>Hanyong </b:First>
          </b:Person>
          <b:Person>
            <b:Last>Lalwani</b:Last>
            <b:Middle>K</b:Middle>
            <b:First>Ashok </b:First>
          </b:Person>
          <b:Person>
            <b:Last>Silvera</b:Last>
            <b:Middle>H</b:Middle>
            <b:First>David </b:First>
          </b:Person>
        </b:NameList>
      </b:Author>
    </b:Author>
    <b:Month>04</b:Month>
    <b:Volume>46</b:Volume>
    <b:Issue>06</b:Issue>
    <b:YearAccessed>2022</b:YearAccessed>
    <b:MonthAccessed>06</b:MonthAccessed>
    <b:DayAccessed>18</b:DayAccessed>
    <b:DOI>https://doi.org/10.1093/jcr/ucz031</b:DOI>
    <b:RefOrder>1035</b:RefOrder>
  </b:Source>
  <b:Source>
    <b:Tag>Par17</b:Tag>
    <b:SourceType>JournalArticle</b:SourceType>
    <b:Guid>{CE2DE4BE-88CB-4B5E-985A-858B80A43309}</b:Guid>
    <b:Title>Corporate social responsibility as a determinant of consumer loyalty: An examination of ethical standard, satisfaction, and trust</b:Title>
    <b:JournalName>Journal of Business Research</b:JournalName>
    <b:Year>2017</b:Year>
    <b:Pages>8-13</b:Pages>
    <b:Author>
      <b:Author>
        <b:NameList>
          <b:Person>
            <b:Last>Park</b:Last>
            <b:First>Eunil</b:First>
          </b:Person>
          <b:Person>
            <b:Last>Kim</b:Last>
            <b:Middle>Joon</b:Middle>
            <b:First>Ki</b:First>
          </b:Person>
          <b:Person>
            <b:Last>Kwon</b:Last>
            <b:Middle>Jib</b:Middle>
            <b:First>Sang </b:First>
          </b:Person>
        </b:NameList>
      </b:Author>
    </b:Author>
    <b:Month>07</b:Month>
    <b:Volume>76</b:Volume>
    <b:YearAccessed>2022</b:YearAccessed>
    <b:MonthAccessed>06</b:MonthAccessed>
    <b:DayAccessed>02</b:DayAccessed>
    <b:DOI>https://doi.org/10.1016/j.jbusres.2017.02.017</b:DOI>
    <b:RefOrder>182</b:RefOrder>
  </b:Source>
  <b:Source>
    <b:Tag>Pan221</b:Tag>
    <b:SourceType>JournalArticle</b:SourceType>
    <b:Guid>{2EBC38A1-F8DA-4E6D-A5FF-0A4E721939B4}</b:Guid>
    <b:Title>The Impact of Multinationalism and Solvency on Profitability of Fast-Moving Consumer Goods (FMCG) Multinational Enterprises</b:Title>
    <b:JournalName>International Research Journal of Management and Social Sciences</b:JournalName>
    <b:Year>2022</b:Year>
    <b:Month>31</b:Month>
    <b:Day>3</b:Day>
    <b:Volume>3</b:Volume>
    <b:Issue>1</b:Issue>
    <b:YearAccessed>2023</b:YearAccessed>
    <b:MonthAccessed>08</b:MonthAccessed>
    <b:DayAccessed>19</b:DayAccessed>
    <b:DOI> https://doi.org/10.53575/irjmss.v3.1(22)8.67-84</b:DOI>
    <b:Author>
      <b:Author>
        <b:NameList>
          <b:Person>
            <b:Last>Panhwar</b:Last>
            <b:First>Rubab </b:First>
          </b:Person>
          <b:Person>
            <b:Last>Pathan</b:Last>
            <b:Middle>Kamran </b:Middle>
            <b:First>Saima </b:First>
          </b:Person>
          <b:Person>
            <b:Last>Gilal</b:Last>
            <b:Middle>Akram </b:Middle>
            <b:First>Muhammad </b:First>
          </b:Person>
        </b:NameList>
      </b:Author>
    </b:Author>
    <b:RefOrder>444</b:RefOrder>
  </b:Source>
  <b:Source>
    <b:Tag>08</b:Tag>
    <b:SourceType>JournalArticle</b:SourceType>
    <b:Guid>{2BE3765B-1C45-46A9-B8FC-924139D2518C}</b:Guid>
    <b:Title>The Impact of Demonetization on the Impulse Buying Behavior of FMCG Consumers</b:Title>
    <b:JournalName>IUP Journal of Management Research</b:JournalName>
    <b:Year>2018</b:Year>
    <b:Pages>45-62</b:Pages>
    <b:Month>10</b:Month>
    <b:Volume>17</b:Volume>
    <b:Issue>4</b:Issue>
    <b:YearAccessed>2023</b:YearAccessed>
    <b:MonthAccessed>03</b:MonthAccessed>
    <b:DayAccessed>08</b:DayAccessed>
    <b:Author>
      <b:Author>
        <b:NameList>
          <b:Person>
            <b:Last>Pandya</b:Last>
            <b:Middle>Ravindrakumar</b:Middle>
            <b:First>Prashant </b:First>
          </b:Person>
          <b:Person>
            <b:Last>Pandya</b:Last>
            <b:First>Kerav</b:First>
          </b:Person>
        </b:NameList>
      </b:Author>
    </b:Author>
    <b:RefOrder>711</b:RefOrder>
  </b:Source>
  <b:Source>
    <b:Tag>Pan15</b:Tag>
    <b:SourceType>Book</b:SourceType>
    <b:Guid>{4704E63F-139A-418E-92C5-E300932F0044}</b:Guid>
    <b:Title>We Are Generation Z: How Identity, Attitudes, and Perspectives Are Shaping Our Future</b:Title>
    <b:Year>2015</b:Year>
    <b:City>Dallas</b:City>
    <b:Publisher>BrownBooks</b:Publisher>
    <b:StateProvince>Texas</b:StateProvince>
    <b:CountryRegion>USA</b:CountryRegion>
    <b:YearAccessed>2022</b:YearAccessed>
    <b:MonthAccessed>12</b:MonthAccessed>
    <b:DayAccessed>30</b:DayAccessed>
    <b:Author>
      <b:Author>
        <b:NameList>
          <b:Person>
            <b:Last>Pandit</b:Last>
            <b:First>Vivek</b:First>
          </b:Person>
        </b:NameList>
      </b:Author>
    </b:Author>
    <b:RefOrder>1138</b:RefOrder>
  </b:Source>
  <b:Source>
    <b:Tag>Pan22</b:Tag>
    <b:SourceType>JournalArticle</b:SourceType>
    <b:Guid>{72915642-496D-452B-A348-22E39283D260}</b:Guid>
    <b:Title>Packaging-influenced-purchase decision segment the bottom of the pyramid consumer marketplace? Evidence from West Bengal, India</b:Title>
    <b:JournalName>Asia Pacific Management Review</b:JournalName>
    <b:Year>2022</b:Year>
    <b:Pages>145-153</b:Pages>
    <b:Month>06</b:Month>
    <b:Volume>27</b:Volume>
    <b:Issue>2</b:Issue>
    <b:YearAccessed>2023</b:YearAccessed>
    <b:MonthAccessed>03</b:MonthAccessed>
    <b:DayAccessed>18</b:DayAccessed>
    <b:DOI>https://doi.org/10.1016/j.apmrv.2021.06.004</b:DOI>
    <b:Author>
      <b:Author>
        <b:NameList>
          <b:Person>
            <b:Last>Panda</b:Last>
            <b:First>Debadrita </b:First>
          </b:Person>
          <b:Person>
            <b:Last>Masani</b:Last>
            <b:First>Sourav </b:First>
          </b:Person>
          <b:Person>
            <b:Last>Dasgupta </b:Last>
            <b:First>Tanmoy </b:First>
          </b:Person>
        </b:NameList>
      </b:Author>
    </b:Author>
    <b:RefOrder>449</b:RefOrder>
  </b:Source>
  <b:Source>
    <b:Tag>Pal21</b:Tag>
    <b:SourceType>JournalArticle</b:SourceType>
    <b:Guid>{568BAA13-D090-456D-BAA9-614523DA5160}</b:Guid>
    <b:Title>Physical Attractiveness, Halo Effects, and Social Joining</b:Title>
    <b:JournalName>Social Science Quarterly</b:JournalName>
    <b:Year>2021</b:Year>
    <b:Pages>552-566</b:Pages>
    <b:Author>
      <b:Author>
        <b:NameList>
          <b:Person>
            <b:Last>Palmer</b:Last>
            <b:Middle>L.</b:Middle>
            <b:First>Carl</b:First>
          </b:Person>
          <b:Person>
            <b:Last>Peterson</b:Last>
            <b:Middle>Daus </b:Middle>
            <b:First>Rolfe </b:First>
          </b:Person>
        </b:NameList>
      </b:Author>
    </b:Author>
    <b:Month>01</b:Month>
    <b:Publisher>Wiley Online Library</b:Publisher>
    <b:Volume>102</b:Volume>
    <b:Issue>1</b:Issue>
    <b:YearAccessed>2022</b:YearAccessed>
    <b:MonthAccessed>11</b:MonthAccessed>
    <b:DayAccessed>05</b:DayAccessed>
    <b:DOI> https://doi.org/10.1111/ssqu.12892</b:DOI>
    <b:RefOrder>1139</b:RefOrder>
  </b:Source>
  <b:Source>
    <b:Tag>Pal16</b:Tag>
    <b:SourceType>JournalArticle</b:SourceType>
    <b:Guid>{8464B875-9B37-4203-BE13-CB0CCF36C7D2}</b:Guid>
    <b:Title>Effects of ethical ideologies and perceptions of CSR on consumer behavior</b:Title>
    <b:JournalName>Journal of Business Research</b:JournalName>
    <b:Year>2016</b:Year>
    <b:Pages>4964-4969</b:Pages>
    <b:Month>11</b:Month>
    <b:Volume>69</b:Volume>
    <b:Issue>11</b:Issue>
    <b:YearAccessed>2022</b:YearAccessed>
    <b:MonthAccessed>06</b:MonthAccessed>
    <b:DayAccessed>02</b:DayAccessed>
    <b:DOI>https://doi.org/10.1016/j.jbusres.2016.04.060</b:DOI>
    <b:Author>
      <b:Author>
        <b:NameList>
          <b:Person>
            <b:Last>Palihawadana</b:Last>
            <b:First>Dayananda</b:First>
          </b:Person>
          <b:Person>
            <b:Last>Oghazi</b:Last>
            <b:First>Pejvak</b:First>
          </b:Person>
          <b:Person>
            <b:Last>Liu</b:Last>
            <b:First>Yeyi</b:First>
          </b:Person>
        </b:NameList>
      </b:Author>
    </b:Author>
    <b:RefOrder>1140</b:RefOrder>
  </b:Source>
  <b:Source>
    <b:Tag>Oza19</b:Tag>
    <b:SourceType>JournalArticle</b:SourceType>
    <b:Guid>{69414450-E719-4C21-8979-C90103B56154}</b:Guid>
    <b:Title>Are attractive reviewers more persuasive? Examining the role of physical attractiveness in online reviews</b:Title>
    <b:JournalName>Journal of Consumer Marketing</b:JournalName>
    <b:Year>2019</b:Year>
    <b:Pages>728-739</b:Pages>
    <b:Author>
      <b:Author>
        <b:NameList>
          <b:Person>
            <b:Last>Ozanne</b:Last>
            <b:First>Marie</b:First>
          </b:Person>
          <b:Person>
            <b:Last>Liu</b:Last>
            <b:Middle>Q</b:Middle>
            <b:First>Stephanie </b:First>
          </b:Person>
          <b:Person>
            <b:Last>Mattila </b:Last>
            <b:Middle>S</b:Middle>
            <b:First>Anna</b:First>
          </b:Person>
        </b:NameList>
      </b:Author>
    </b:Author>
    <b:Month>07</b:Month>
    <b:Day>12</b:Day>
    <b:Publisher>Emerald Publishing Limited</b:Publisher>
    <b:Volume>36</b:Volume>
    <b:Issue>6</b:Issue>
    <b:YearAccessed>2023</b:YearAccessed>
    <b:MonthAccessed>06</b:MonthAccessed>
    <b:DayAccessed>02</b:DayAccessed>
    <b:DOI>https://doi.org/10.1108/JCM-02-2017-2096</b:DOI>
    <b:RefOrder>672</b:RefOrder>
  </b:Source>
  <b:Source>
    <b:Tag>Oxf22</b:Tag>
    <b:SourceType>InternetSite</b:SourceType>
    <b:Guid>{4327A70A-09A4-44B8-9424-9574A9B2D97F}</b:Guid>
    <b:Title>Will increased middle class spending fuel the Egyptian economy?</b:Title>
    <b:Year>2022</b:Year>
    <b:InternetSiteTitle>Oxford Business Group </b:InternetSiteTitle>
    <b:Month>11</b:Month>
    <b:Day>15</b:Day>
    <b:URL>https://oxfordbusinessgroup.com/reports/egypt/2022-report/economy/spending-power-household-consumption-patterns-are-expected-to-be-a-driver-of-growth-supported-by-a-burgeoning-middle-class</b:URL>
    <b:Author>
      <b:Author>
        <b:NameList>
          <b:Person>
            <b:Last>Oxford Business Group</b:Last>
          </b:Person>
        </b:NameList>
      </b:Author>
    </b:Author>
    <b:RefOrder>857</b:RefOrder>
  </b:Source>
  <b:Source>
    <b:Tag>Ove21</b:Tag>
    <b:SourceType>JournalArticle</b:SourceType>
    <b:Guid>{976C685F-A704-4B40-825C-BF9FC6B881D9}</b:Guid>
    <b:Title>Examining consumer attitudes toward CSR and CSA messages</b:Title>
    <b:JournalName>Public Relations Review</b:JournalName>
    <b:Year>2021</b:Year>
    <b:Author>
      <b:Author>
        <b:NameList>
          <b:Person>
            <b:Last>Overton</b:Last>
            <b:First>Holly</b:First>
          </b:Person>
          <b:Person>
            <b:Last>Kim</b:Last>
            <b:Middle>Kyoung</b:Middle>
            <b:First>Joon</b:First>
          </b:Person>
          <b:Person>
            <b:Last>Zhang</b:Last>
            <b:First>Nanlan</b:First>
          </b:Person>
          <b:Person>
            <b:Last>Huang</b:Last>
            <b:First>Shudan</b:First>
          </b:Person>
        </b:NameList>
      </b:Author>
    </b:Author>
    <b:Month>11</b:Month>
    <b:Volume>47</b:Volume>
    <b:Issue>4</b:Issue>
    <b:YearAccessed>2021</b:YearAccessed>
    <b:MonthAccessed>11</b:MonthAccessed>
    <b:DayAccessed>19</b:DayAccessed>
    <b:DOI>https://doi.org/10.1016/j.pubrev.2021.102095</b:DOI>
    <b:RefOrder>21</b:RefOrder>
  </b:Source>
  <b:Source>
    <b:Tag>Oua19</b:Tag>
    <b:SourceType>JournalArticle</b:SourceType>
    <b:Guid>{E1159CD9-6B86-439D-80B0-A8A28F7121C0}</b:Guid>
    <b:Title>Corporate social responsibility and intention to quit : Mediating role of organizational citizenship behavior</b:Title>
    <b:JournalName>International Journal of Productivity and Performance Management</b:JournalName>
    <b:Year>2019</b:Year>
    <b:Pages>447-465</b:Pages>
    <b:Volume>69</b:Volume>
    <b:Issue>3</b:Issue>
    <b:Author>
      <b:Author>
        <b:NameList>
          <b:Person>
            <b:Last>Ouakouak</b:Last>
            <b:Middle>Laid</b:Middle>
            <b:First>Mohammed </b:First>
          </b:Person>
          <b:Person>
            <b:Last>Arya</b:Last>
            <b:First>Bindu</b:First>
          </b:Person>
          <b:Person>
            <b:Last>Zaitouni</b:Last>
            <b:First>Michel</b:First>
          </b:Person>
        </b:NameList>
      </b:Author>
    </b:Author>
    <b:Month>12</b:Month>
    <b:Day>17</b:Day>
    <b:Publisher>Emerald Publishing Limited. </b:Publisher>
    <b:YearAccessed>2022</b:YearAccessed>
    <b:MonthAccessed>12</b:MonthAccessed>
    <b:DayAccessed>07</b:DayAccessed>
    <b:URL> http://www.emeraldinsight.com/doi/10.1108/IJPPM-02-2019-0087 </b:URL>
    <b:DOI>10.1108/IJPPM-02-2019-0087</b:DOI>
    <b:RefOrder>496</b:RefOrder>
  </b:Source>
  <b:Source>
    <b:Tag>ouY17</b:Tag>
    <b:SourceType>JournalArticle</b:SourceType>
    <b:Guid>{9AD25248-E259-45B5-9A06-A2AADDA4658C}</b:Guid>
    <b:Title>The impact of positive and negative emotions on loyalty intentions and their interactions with customer equity drivers</b:Title>
    <b:JournalName>Journal of Business Research</b:JournalName>
    <b:Year>2017</b:Year>
    <b:Pages>106-115</b:Pages>
    <b:Month>11</b:Month>
    <b:Volume>80</b:Volume>
    <b:YearAccessed>2022</b:YearAccessed>
    <b:MonthAccessed>06</b:MonthAccessed>
    <b:DayAccessed>19</b:DayAccessed>
    <b:DOI>https://doi.org/10.1016/j.jbusres.2017.07.011</b:DOI>
    <b:Author>
      <b:Author>
        <b:NameList>
          <b:Person>
            <b:Last>Ou</b:Last>
            <b:First>Yi-Chun</b:First>
          </b:Person>
          <b:Person>
            <b:Last>Verhoef</b:Last>
            <b:Middle>C.</b:Middle>
            <b:First>Peter </b:First>
          </b:Person>
        </b:NameList>
      </b:Author>
    </b:Author>
    <b:RefOrder>314</b:RefOrder>
  </b:Source>
  <b:Source>
    <b:Tag>Oth10</b:Tag>
    <b:SourceType>JournalArticle</b:SourceType>
    <b:Guid>{AD5BE2F6-FF0E-4335-828C-8BF70A723EA1}</b:Guid>
    <b:Title>Environmental disclosures of palm oil plantation companies in Malaysia: a tool for stakeholder engagement</b:Title>
    <b:JournalName>Corporate Social Responsibility and Environmental Management</b:JournalName>
    <b:Year>2010</b:Year>
    <b:Pages>52-62</b:Pages>
    <b:Volume>17</b:Volume>
    <b:Issue>1</b:Issue>
    <b:Author>
      <b:Author>
        <b:NameList>
          <b:Person>
            <b:Last>Othman</b:Last>
            <b:First>Radiah</b:First>
          </b:Person>
          <b:Person>
            <b:Last>Ameer </b:Last>
            <b:First>Rashid</b:First>
          </b:Person>
        </b:NameList>
      </b:Author>
    </b:Author>
    <b:Month>02</b:Month>
    <b:YearAccessed>2021</b:YearAccessed>
    <b:MonthAccessed>12</b:MonthAccessed>
    <b:DayAccessed>30</b:DayAccessed>
    <b:DOI> https://doi.org/10.1002/csr.218</b:DOI>
    <b:RefOrder>1141</b:RefOrder>
  </b:Source>
  <b:Source>
    <b:Tag>Oth19</b:Tag>
    <b:SourceType>JournalArticle</b:SourceType>
    <b:Guid>{93131730-94CA-402E-88C8-BE391D8E0F64}</b:Guid>
    <b:Title>A framework integrating corporate social responsibility for marketing architectural design firms in developing countries</b:Title>
    <b:JournalName>Journal of Engineering, Design and Technology</b:JournalName>
    <b:Year>2019</b:Year>
    <b:Pages>1174-1191</b:Pages>
    <b:Volume>17</b:Volume>
    <b:Issue>6</b:Issue>
    <b:Author>
      <b:Author>
        <b:NameList>
          <b:Person>
            <b:Last>Othman</b:Last>
            <b:Middle>Ahmed Ezzat </b:Middle>
            <b:First>Ayman </b:First>
          </b:Person>
          <b:Person>
            <b:Last>Hafez</b:Last>
            <b:Middle>Gamal </b:Middle>
            <b:First>Mai </b:First>
          </b:Person>
        </b:NameList>
      </b:Author>
    </b:Author>
    <b:Month>08</b:Month>
    <b:Day>01</b:Day>
    <b:YearAccessed>2022</b:YearAccessed>
    <b:MonthAccessed>12</b:MonthAccessed>
    <b:DayAccessed>07</b:DayAccessed>
    <b:URL>https://doi-org.lsbu.idm.oclc.org/10.1108/JEDT-11-2018-0202</b:URL>
    <b:RefOrder>479</b:RefOrder>
  </b:Source>
  <b:Source>
    <b:Tag>Osg23</b:Tag>
    <b:SourceType>JournalArticle</b:SourceType>
    <b:Guid>{C64512DF-3BF8-4244-A2DE-1677B400D734}</b:Guid>
    <b:Title>The principle of congruity in the prediction of attitude change.</b:Title>
    <b:JournalName>Psychological Review</b:JournalName>
    <b:Pages>42-55</b:Pages>
    <b:Volume>62</b:Volume>
    <b:Issue>1</b:Issue>
    <b:YearAccessed>2023</b:YearAccessed>
    <b:MonthAccessed>03</b:MonthAccessed>
    <b:DayAccessed>07</b:DayAccessed>
    <b:DOI>https://doi.org/10.1037/h0048153</b:DOI>
    <b:Author>
      <b:Author>
        <b:NameList>
          <b:Person>
            <b:Last>Osgood</b:Last>
            <b:Middle>E</b:Middle>
            <b:First>Charles</b:First>
          </b:Person>
          <b:Person>
            <b:Last>Tannenbaum</b:Last>
            <b:Middle>H.</b:Middle>
            <b:First>Percy</b:First>
          </b:Person>
        </b:NameList>
      </b:Author>
    </b:Author>
    <b:Year>1955</b:Year>
    <b:RefOrder>686</b:RefOrder>
  </b:Source>
  <b:Source>
    <b:Tag>Orc20</b:Tag>
    <b:SourceType>JournalArticle</b:SourceType>
    <b:Guid>{7D752278-9B40-49C8-BA09-CA3429FFFEBE}</b:Guid>
    <b:Title>Parametric or Non-parametric: Skewness to Test Normality for Mean Comparison</b:Title>
    <b:JournalName>International Journal of Assessment Tools in Education</b:JournalName>
    <b:Year>2020</b:Year>
    <b:Pages>255-265</b:Pages>
    <b:Volume>7</b:Volume>
    <b:Issue>2</b:Issue>
    <b:Month>05</b:Month>
    <b:Day>24</b:Day>
    <b:YearAccessed>2023</b:YearAccessed>
    <b:MonthAccessed>01</b:MonthAccessed>
    <b:DayAccessed>16</b:DayAccessed>
    <b:DOI>https://doi.org/10.21449/ijate.656077</b:DOI>
    <b:Author>
      <b:Author>
        <b:NameList>
          <b:Person>
            <b:Last>Orcan</b:Last>
            <b:First>Faith</b:First>
          </b:Person>
        </b:NameList>
      </b:Author>
    </b:Author>
    <b:RefOrder>949</b:RefOrder>
  </b:Source>
  <b:Source>
    <b:Tag>Ora20</b:Tag>
    <b:SourceType>JournalArticle</b:SourceType>
    <b:Guid>{0262B347-2D0E-453C-938B-EAFFCC972C7B}</b:Guid>
    <b:Title>Running field experiments using Facebook split test</b:Title>
    <b:JournalName>Journal of Business Research</b:JournalName>
    <b:Year>2020</b:Year>
    <b:Pages>189-198</b:Pages>
    <b:Author>
      <b:Author>
        <b:NameList>
          <b:Person>
            <b:Last>Orazi</b:Last>
            <b:Middle>C.</b:Middle>
            <b:First>Davide </b:First>
          </b:Person>
          <b:Person>
            <b:Last>Johnston</b:Last>
            <b:Middle>C.</b:Middle>
            <b:First>Allen </b:First>
          </b:Person>
        </b:NameList>
      </b:Author>
    </b:Author>
    <b:Volume>118</b:Volume>
    <b:YearAccessed>2022</b:YearAccessed>
    <b:MonthAccessed>06</b:MonthAccessed>
    <b:DayAccessed>05</b:DayAccessed>
    <b:DOI>https://doi.org/10.1016/j.jbusres.2020.06.053</b:DOI>
    <b:RefOrder>1142</b:RefOrder>
  </b:Source>
  <b:Source>
    <b:Tag>Ong21</b:Tag>
    <b:SourceType>JournalArticle</b:SourceType>
    <b:Guid>{94E623E4-4C9F-481B-85FC-A4684C59EB51}</b:Guid>
    <b:Title>Review or the Re view or the Reviewer? E viewer? Effects of Self-Congruity in Pr ects of Self-Congruity in Processing</b:Title>
    <b:JournalName>Travel and Tourism Research Association: Advancing Tourism</b:JournalName>
    <b:Year>2021</b:Year>
    <b:Volume>33</b:Volume>
    <b:YearAccessed>2023</b:YearAccessed>
    <b:MonthAccessed>03</b:MonthAccessed>
    <b:DayAccessed>19</b:DayAccessed>
    <b:URL>https://scholarworks.umass.edu/ttra/2021/research_papers/33</b:URL>
    <b:Author>
      <b:Author>
        <b:NameList>
          <b:Person>
            <b:Last>Ong </b:Last>
            <b:Middle>Xuan </b:Middle>
            <b:First>Yi </b:First>
          </b:Person>
          <b:Person>
            <b:Last>Ito</b:Last>
            <b:First>Naoya </b:First>
          </b:Person>
          <b:Person>
            <b:Last>Li</b:Last>
            <b:Middle>Ru</b:Middle>
            <b:First>Si </b:First>
          </b:Person>
          <b:Person>
            <b:Last>Sun</b:Last>
            <b:First>Tao</b:First>
          </b:Person>
        </b:NameList>
      </b:Author>
    </b:Author>
    <b:RefOrder>1143</b:RefOrder>
  </b:Source>
  <b:Source>
    <b:Tag>Ols78</b:Tag>
    <b:SourceType>JournalArticle</b:SourceType>
    <b:Guid>{043ED03A-4EBC-4A8F-B4FE-537844307B91}</b:Guid>
    <b:Title>Cognitive Effects of Deceptive Advertising</b:Title>
    <b:JournalName>Journal of Marketing Research</b:JournalName>
    <b:Year>1978</b:Year>
    <b:Pages>29-38</b:Pages>
    <b:Month>02</b:Month>
    <b:Volume>15</b:Volume>
    <b:Issue>1</b:Issue>
    <b:DOI>https://doi.org/10.1177/002224377801500105</b:DOI>
    <b:Author>
      <b:Author>
        <b:NameList>
          <b:Person>
            <b:Last>Olson</b:Last>
            <b:Middle>C.</b:Middle>
            <b:First>Jerry</b:First>
          </b:Person>
          <b:Person>
            <b:Last>Dover</b:Last>
            <b:Middle>A.</b:Middle>
            <b:First>Philip </b:First>
          </b:Person>
        </b:NameList>
      </b:Author>
    </b:Author>
    <b:RefOrder>594</b:RefOrder>
  </b:Source>
  <b:Source>
    <b:Tag>Ols05</b:Tag>
    <b:SourceType>JournalArticle</b:SourceType>
    <b:Guid>{E6073727-3D3D-48D5-A2A5-FA7332F07991}</b:Guid>
    <b:Title>A Critical Epistemology of Analytical Statistics: Addressing the Sceptical Realist</b:Title>
    <b:JournalName>Journal for The Theory of Social Behaviour</b:JournalName>
    <b:Year>2005</b:Year>
    <b:Pages>255-284</b:Pages>
    <b:Month>09</b:Month>
    <b:Day>09</b:Day>
    <b:Publisher>Wiley Online Library</b:Publisher>
    <b:Volume>35</b:Volume>
    <b:Issue>3</b:Issue>
    <b:YearAccessed>2023</b:YearAccessed>
    <b:MonthAccessed>02</b:MonthAccessed>
    <b:DayAccessed>10</b:DayAccessed>
    <b:DOI> https://doi.org/10.1111/j.1468-5914.2005.00279.x</b:DOI>
    <b:Author>
      <b:Author>
        <b:NameList>
          <b:Person>
            <b:Last>Olsen</b:Last>
            <b:First>Wendy</b:First>
          </b:Person>
          <b:Person>
            <b:Last>Morgan</b:Last>
            <b:First>Jamie</b:First>
          </b:Person>
        </b:NameList>
      </b:Author>
    </b:Author>
    <b:RefOrder>751</b:RefOrder>
  </b:Source>
  <b:Source>
    <b:Tag>Oli05</b:Tag>
    <b:SourceType>JournalArticle</b:SourceType>
    <b:Guid>{2389C2A0-E6D0-45CA-BE62-03421958EA2A}</b:Guid>
    <b:Title>Constraints and Opportunities with Interview Transcription: Towards Reflection in Qualitative Research</b:Title>
    <b:Year>2005</b:Year>
    <b:Month>12</b:Month>
    <b:JournalName>Social Forces</b:JournalName>
    <b:Pages>1273–1289</b:Pages>
    <b:Volume>84</b:Volume>
    <b:Issue>2</b:Issue>
    <b:YearAccessed>2023</b:YearAccessed>
    <b:MonthAccessed>03</b:MonthAccessed>
    <b:DayAccessed>25</b:DayAccessed>
    <b:DOI>https://doi.org/10.1353/sof.2006.0023</b:DOI>
    <b:Author>
      <b:Author>
        <b:NameList>
          <b:Person>
            <b:Last>Oliver </b:Last>
            <b:Middle>G.</b:Middle>
            <b:First>Daniel</b:First>
          </b:Person>
          <b:Person>
            <b:Last>Serovich</b:Last>
            <b:Middle>M.</b:Middle>
            <b:First>Julianne </b:First>
          </b:Person>
          <b:Person>
            <b:Last>Mason</b:Last>
            <b:Middle>L.</b:Middle>
            <b:First>Tina</b:First>
          </b:Person>
        </b:NameList>
      </b:Author>
    </b:Author>
    <b:RefOrder>1000</b:RefOrder>
  </b:Source>
  <b:Source>
    <b:Tag>Oka21</b:Tag>
    <b:SourceType>JournalArticle</b:SourceType>
    <b:Guid>{885C02BE-2CE1-40EA-A765-A3542EF5E08E}</b:Guid>
    <b:Title>Corporate social responsibility and financial performance: Evidence from U.S tech firms</b:Title>
    <b:JournalName>Journal of Cleaner Production</b:JournalName>
    <b:Year>2021</b:Year>
    <b:Month>04</b:Month>
    <b:Day>10</b:Day>
    <b:Publisher>ScienceDirect</b:Publisher>
    <b:Volume>292</b:Volume>
    <b:YearAccessed>2022</b:YearAccessed>
    <b:MonthAccessed>10</b:MonthAccessed>
    <b:DayAccessed>01</b:DayAccessed>
    <b:DOI>https://doi.org/10.1016/j.jclepro.2021.126078</b:DOI>
    <b:Author>
      <b:Author>
        <b:NameList>
          <b:Person>
            <b:Last>Okafor</b:Last>
            <b:First>Anthony</b:First>
          </b:Person>
          <b:Person>
            <b:Last>Adeleye</b:Last>
            <b:Middle>Ngozi</b:Middle>
            <b:First>Bosede </b:First>
          </b:Person>
          <b:Person>
            <b:Last>Adusei</b:Last>
            <b:First>Michael</b:First>
          </b:Person>
        </b:NameList>
      </b:Author>
    </b:Author>
    <b:RefOrder>1144</b:RefOrder>
  </b:Source>
  <b:Source>
    <b:Tag>Ohl22</b:Tag>
    <b:SourceType>JournalArticle</b:SourceType>
    <b:Guid>{D4F1C1BF-71AB-419A-ABFD-B64531BA8FDF}</b:Guid>
    <b:Title>A Brand Like a Friend—How Brand Likeability Influences Brand Perception</b:Title>
    <b:JournalName>International Journal of Market Research</b:JournalName>
    <b:Year>2022</b:Year>
    <b:Pages>295-305</b:Pages>
    <b:Author>
      <b:Author>
        <b:NameList>
          <b:Person>
            <b:Last>Ohlwein</b:Last>
            <b:First>Martin </b:First>
          </b:Person>
          <b:Person>
            <b:Last>Bruno</b:Last>
            <b:First>Pascal</b:First>
          </b:Person>
        </b:NameList>
      </b:Author>
    </b:Author>
    <b:Volume>64</b:Volume>
    <b:Issue>03</b:Issue>
    <b:YearAccessed>2022</b:YearAccessed>
    <b:MonthAccessed>06</b:MonthAccessed>
    <b:DayAccessed>01</b:DayAccessed>
    <b:DOI>https://doi.org/10.1177/14707853211039190</b:DOI>
    <b:RefOrder>1145</b:RefOrder>
  </b:Source>
  <b:Source>
    <b:Tag>Ohl211</b:Tag>
    <b:SourceType>JournalArticle</b:SourceType>
    <b:Guid>{BFF6F2AF-84DC-4CE0-A297-E6A50D6E19A3}</b:Guid>
    <b:Title>A Brand Like a Friend—How Brand Likeability Influences Brand Perception</b:Title>
    <b:JournalName>International Journal of Market Research</b:JournalName>
    <b:Year>2021</b:Year>
    <b:Month>08</b:Month>
    <b:Day>31</b:Day>
    <b:YearAccessed>2022</b:YearAccessed>
    <b:MonthAccessed>04</b:MonthAccessed>
    <b:DayAccessed>02</b:DayAccessed>
    <b:DOI>https://doi-org.lsbu.idm.oclc.org/10.1177/14707853211039190</b:DOI>
    <b:Author>
      <b:Author>
        <b:NameList>
          <b:Person>
            <b:Last>Ohlwein</b:Last>
            <b:First>Martin</b:First>
          </b:Person>
          <b:Person>
            <b:Last>Bruno</b:Last>
            <b:First>Pascal</b:First>
          </b:Person>
        </b:NameList>
      </b:Author>
    </b:Author>
    <b:RefOrder>1146</b:RefOrder>
  </b:Source>
  <b:Source>
    <b:Tag>Ohl21</b:Tag>
    <b:SourceType>JournalArticle</b:SourceType>
    <b:Guid>{00A0BC25-94AC-4442-94C1-C9F4F7E48324}</b:Guid>
    <b:Title>A Brand Like a Friend—How Brand Likeability Influences Brand Perception</b:Title>
    <b:JournalName>International Journal of Market Research</b:JournalName>
    <b:Year>2021</b:Year>
    <b:Author>
      <b:Author>
        <b:NameList>
          <b:Person>
            <b:Last>Ohlwein</b:Last>
            <b:First>Martin</b:First>
          </b:Person>
          <b:Person>
            <b:Last>Bruno</b:Last>
            <b:First>Pascal</b:First>
          </b:Person>
        </b:NameList>
      </b:Author>
    </b:Author>
    <b:Month>08</b:Month>
    <b:Day>31</b:Day>
    <b:YearAccessed>2022</b:YearAccessed>
    <b:MonthAccessed>03</b:MonthAccessed>
    <b:DayAccessed>06</b:DayAccessed>
    <b:DOI>https://doi.org/10.1177/14707853211039190</b:DOI>
    <b:RefOrder>38</b:RefOrder>
  </b:Source>
  <b:Source>
    <b:Tag>Ogd03</b:Tag>
    <b:SourceType>JournalArticle</b:SourceType>
    <b:Guid>{10FECD43-106D-4B41-8932-F94627FA8576}</b:Guid>
    <b:Title>Some problems with social cognition models: A pragmatic and conceptual analysis.</b:Title>
    <b:JournalName>Health Psychology</b:JournalName>
    <b:Year>2003</b:Year>
    <b:Pages>424-428</b:Pages>
    <b:Author>
      <b:Author>
        <b:NameList>
          <b:Person>
            <b:Last>Ogden</b:Last>
            <b:First>Jane</b:First>
          </b:Person>
        </b:NameList>
      </b:Author>
    </b:Author>
    <b:Volume>22</b:Volume>
    <b:Issue>4</b:Issue>
    <b:YearAccessed>2023</b:YearAccessed>
    <b:MonthAccessed>03</b:MonthAccessed>
    <b:DayAccessed>17</b:DayAccessed>
    <b:DOI>https://doi.org/10.1037/0278-6133.22.4.424</b:DOI>
    <b:RefOrder>578</b:RefOrder>
  </b:Source>
  <b:Source>
    <b:Tag>ORe12</b:Tag>
    <b:SourceType>JournalArticle</b:SourceType>
    <b:Guid>{381E4273-2077-45B9-909E-F4C5AC8DAA7D}</b:Guid>
    <b:Title>Unsatisfactory saturation: A critical exploration of the notion of saturated sample sizes in qualitative research.</b:Title>
    <b:JournalName>Qualitative Research Journal</b:JournalName>
    <b:Year>2012</b:Year>
    <b:Pages>1-8</b:Pages>
    <b:Month>05</b:Month>
    <b:Author>
      <b:Author>
        <b:NameList>
          <b:Person>
            <b:Last>O’Reilly</b:Last>
            <b:First>M</b:First>
          </b:Person>
          <b:Person>
            <b:Last>Parker </b:Last>
            <b:First>N.</b:First>
          </b:Person>
        </b:NameList>
      </b:Author>
    </b:Author>
    <b:RefOrder>1015</b:RefOrder>
  </b:Source>
  <b:Source>
    <b:Tag>Nyi20</b:Tag>
    <b:SourceType>JournalArticle</b:SourceType>
    <b:Guid>{CC1A58A6-72C2-4E84-82D2-5147C9E79AE3}</b:Guid>
    <b:Title>Using research networks to generate trustworthy qualitative public health research findings from multiple contexts</b:Title>
    <b:JournalName>BMC Medical Research Methodology</b:JournalName>
    <b:Year>2020</b:Year>
    <b:Author>
      <b:Author>
        <b:NameList>
          <b:Person>
            <b:Last>Nyirenda</b:Last>
            <b:First>Lot </b:First>
          </b:Person>
          <b:Person>
            <b:Last>Kumar</b:Last>
            <b:Middle>Bruce</b:Middle>
            <b:First>Meghan </b:First>
          </b:Person>
          <b:Person>
            <b:Last>Theobald</b:Last>
            <b:First>Sally</b:First>
          </b:Person>
          <b:Person>
            <b:Last>Sarker</b:Last>
            <b:First>Malabika </b:First>
          </b:Person>
          <b:Person>
            <b:Last>Simwing</b:Last>
            <b:First>Musonda </b:First>
          </b:Person>
          <b:Person>
            <b:Last>Kumwenda</b:Last>
            <b:First>Moses </b:First>
          </b:Person>
          <b:Person>
            <b:Last>Johnson</b:Last>
            <b:First>Cheryl </b:First>
          </b:Person>
          <b:Person>
            <b:Last>Hatzold</b:Last>
            <b:First>Karin </b:First>
          </b:Person>
          <b:Person>
            <b:Last>Corbett</b:Last>
            <b:Middle>L.</b:Middle>
            <b:First> Elizabeth </b:First>
          </b:Person>
          <b:Person>
            <b:Last>Sibanda</b:Last>
            <b:First>Euphemia </b:First>
          </b:Person>
          <b:Person>
            <b:Last>Taegtmeyer </b:Last>
            <b:First>Miriam </b:First>
          </b:Person>
        </b:NameList>
      </b:Author>
    </b:Author>
    <b:Month>01</b:Month>
    <b:Day>21</b:Day>
    <b:Volume>20</b:Volume>
    <b:YearAccessed>2023</b:YearAccessed>
    <b:MonthAccessed>02</b:MonthAccessed>
    <b:DayAccessed>11</b:DayAccessed>
    <b:DOI>https://doi.org/10.1186/s12874-019-0895-5</b:DOI>
    <b:RefOrder>893</b:RefOrder>
  </b:Source>
  <b:Source>
    <b:Tag>Ntl20</b:Tag>
    <b:SourceType>InternetSite</b:SourceType>
    <b:Guid>{8AB0941A-EF71-41F9-81CE-428BFFC2F04D}</b:Guid>
    <b:Title>Why You Need a Marketing Communication Strategy</b:Title>
    <b:Year>2020</b:Year>
    <b:InternetSiteTitle>Meltware</b:InternetSiteTitle>
    <b:Month>07</b:Month>
    <b:Day>10</b:Day>
    <b:URL>https://www.meltwater.com/en/blog/why-you-need-a-marketing-communication-strategy</b:URL>
    <b:Author>
      <b:Author>
        <b:NameList>
          <b:Person>
            <b:Last>Ntloko</b:Last>
            <b:First>Khalipha </b:First>
          </b:Person>
        </b:NameList>
      </b:Author>
    </b:Author>
    <b:RefOrder>486</b:RefOrder>
  </b:Source>
  <b:Source>
    <b:Tag>Nom20</b:Tag>
    <b:SourceType>JournalArticle</b:SourceType>
    <b:Guid>{30F6474E-FB43-4C54-83DD-5CBC24896601}</b:Guid>
    <b:Title>INVESTIGATING THE FACTORS OF CONSUMERS’ PURCHASE INTENTION TOWARDS LIFE INSURANCE IN BANGLADESH: AN APPLICATION OF THE THEORY OF Reasoned Action</b:Title>
    <b:JournalName>Asian Academy of Management Journal</b:JournalName>
    <b:Year>2020</b:Year>
    <b:Pages>135-165</b:Pages>
    <b:Month>12</b:Month>
    <b:Day>07</b:Day>
    <b:Volume>25</b:Volume>
    <b:Issue>2</b:Issue>
    <b:YearAccessed>2023</b:YearAccessed>
    <b:MonthAccessed>03</b:MonthAccessed>
    <b:DayAccessed>16</b:DayAccessed>
    <b:DOI>https://doi.org/10.21315/aamj2020.25.2.6</b:DOI>
    <b:Author>
      <b:Author>
        <b:NameList>
          <b:Person>
            <b:Last>Nomi</b:Last>
            <b:First>Marzia </b:First>
          </b:Person>
          <b:Person>
            <b:Last>Sabbir</b:Last>
            <b:First>Md. Mahiuddin </b:First>
          </b:Person>
        </b:NameList>
      </b:Author>
    </b:Author>
    <b:RefOrder>584</b:RefOrder>
  </b:Source>
  <b:Source>
    <b:Tag>Nis77</b:Tag>
    <b:SourceType>JournalArticle</b:SourceType>
    <b:Guid>{28526949-FA95-480A-AEB2-D314E08D1FB9}</b:Guid>
    <b:Title>The Halo Effect: Evidence for Unconscious Alteration of Judgments</b:Title>
    <b:JournalName>Journal of Personality and Social Psychology</b:JournalName>
    <b:Year>1977</b:Year>
    <b:Pages>250-256</b:Pages>
    <b:Author>
      <b:Author>
        <b:NameList>
          <b:Person>
            <b:Last>Nisbett</b:Last>
            <b:Middle>E.</b:Middle>
            <b:First>Richard </b:First>
          </b:Person>
          <b:Person>
            <b:Last>Wilson</b:Last>
            <b:Middle>D.</b:Middle>
            <b:First>Timothy </b:First>
          </b:Person>
        </b:NameList>
      </b:Author>
    </b:Author>
    <b:Volume>35</b:Volume>
    <b:Issue>04</b:Issue>
    <b:YearAccessed>2022</b:YearAccessed>
    <b:MonthAccessed>05</b:MonthAccessed>
    <b:DayAccessed>26</b:DayAccessed>
    <b:DOI>https://doi.org/10.1037/0022-3514.35.4.250</b:DOI>
    <b:RefOrder>665</b:RefOrder>
  </b:Source>
  <b:Source>
    <b:Tag>Nie21</b:Tag>
    <b:SourceType>JournalArticle</b:SourceType>
    <b:Guid>{80799CB0-09BD-4620-9088-2D1E354BA289}</b:Guid>
    <b:Title>Estimated televised alcohol advertising exposure in the past year and associations with past 30-day drinking behavior among American adults: results from a secondary analysis of large-scale advertising and survey data</b:Title>
    <b:JournalName>Addiction</b:JournalName>
    <b:Year>2021</b:Year>
    <b:Pages>280-289</b:Pages>
    <b:Month>02</b:Month>
    <b:Publisher>Wiley Online Library </b:Publisher>
    <b:Volume>116</b:Volume>
    <b:Issue>2</b:Issue>
    <b:YearAccessed>2023</b:YearAccessed>
    <b:MonthAccessed>02</b:MonthAccessed>
    <b:DayAccessed>21</b:DayAccessed>
    <b:DOI>https://doi.org/10.1111/add.15088</b:DOI>
    <b:Author>
      <b:Author>
        <b:NameList>
          <b:Person>
            <b:Last>Niederdeppe</b:Last>
            <b:First>Jeff </b:First>
          </b:Person>
          <b:Person>
            <b:Last>Avery</b:Last>
            <b:Middle>J.</b:Middle>
            <b:First>Rosemary </b:First>
          </b:Person>
          <b:Person>
            <b:Last>Tabor</b:Last>
            <b:First>Emmett </b:First>
          </b:Person>
          <b:Person>
            <b:Last>Lee</b:Last>
            <b:Middle>W.</b:Middle>
            <b:First>Nathaniel </b:First>
          </b:Person>
          <b:Person>
            <b:Last>Welch</b:Last>
            <b:First>Brendan </b:First>
          </b:Person>
          <b:Person>
            <b:Last>Skurka</b:Last>
            <b:First>Christofer </b:First>
          </b:Person>
        </b:NameList>
      </b:Author>
    </b:Author>
    <b:RefOrder>41</b:RefOrder>
  </b:Source>
  <b:Source>
    <b:Tag>Nic80</b:Tag>
    <b:SourceType>BookSection</b:SourceType>
    <b:Guid>{56A54341-A9FF-4E8C-A6D2-88C7EE34B131}</b:Guid>
    <b:Title>Marketing Communication and Promotion</b:Title>
    <b:Year>1980</b:Year>
    <b:Author>
      <b:Author>
        <b:NameList>
          <b:Person>
            <b:Last>Nickels</b:Last>
            <b:Middle>G.</b:Middle>
            <b:First>William  </b:First>
          </b:Person>
        </b:NameList>
      </b:Author>
    </b:Author>
    <b:BookTitle> Comminication in marketing </b:BookTitle>
    <b:RefOrder>1041</b:RefOrder>
  </b:Source>
  <b:Source>
    <b:Tag>Ngu20</b:Tag>
    <b:SourceType>JournalArticle</b:SourceType>
    <b:Guid>{4D4EA113-F161-48D3-A8D9-DDD3EF4DFE18}</b:Guid>
    <b:Title>An alternative view of the millennial green product purchase: the roles of online product review and self-image congruence”</b:Title>
    <b:JournalName>Asia Pacific Journal of Marketing and Logistics</b:JournalName>
    <b:Year>2020</b:Year>
    <b:DOI>10.1108/APJML-10-2019-0612.</b:DOI>
    <b:Author>
      <b:Author>
        <b:NameList>
          <b:Person>
            <b:Last>Nguyen</b:Last>
            <b:Middle>T.N</b:Middle>
            <b:First>Y.</b:First>
          </b:Person>
          <b:Person>
            <b:Last>Nguyen</b:Last>
            <b:Middle>V.</b:Middle>
            <b:First>H.</b:First>
          </b:Person>
        </b:NameList>
      </b:Author>
    </b:Author>
    <b:RefOrder>1029</b:RefOrder>
  </b:Source>
  <b:Source>
    <b:Tag>Ngu13</b:Tag>
    <b:SourceType>JournalArticle</b:SourceType>
    <b:Guid>{793C7501-AEC7-448B-B1DC-1F240F4F6E98}</b:Guid>
    <b:Title>A framework of brand likeability: An exploratory study of likeability in firm-level brands.</b:Title>
    <b:JournalName>Journal of Strategic Marketing</b:JournalName>
    <b:Year>2013</b:Year>
    <b:Pages>368-390</b:Pages>
    <b:Author>
      <b:Author>
        <b:NameList>
          <b:Person>
            <b:Last>Nguyen</b:Last>
            <b:First>B</b:First>
          </b:Person>
          <b:Person>
            <b:Last>Melewar</b:Last>
            <b:Middle>C.</b:Middle>
            <b:First>T.</b:First>
          </b:Person>
          <b:Person>
            <b:Last>Chen</b:Last>
            <b:First>J.</b:First>
          </b:Person>
        </b:NameList>
      </b:Author>
    </b:Author>
    <b:Month>07</b:Month>
    <b:Volume>21</b:Volume>
    <b:Issue>04</b:Issue>
    <b:YearAccessed>2022</b:YearAccessed>
    <b:MonthAccessed>04</b:MonthAccessed>
    <b:DayAccessed>02</b:DayAccessed>
    <b:DOI>10.1080/0965254X.2013.790472</b:DOI>
    <b:RefOrder>39</b:RefOrder>
  </b:Source>
  <b:Source>
    <b:Tag>Ngo21</b:Tag>
    <b:SourceType>JournalArticle</b:SourceType>
    <b:Guid>{A528B940-20FE-4C23-A682-29C485F9BF69}</b:Guid>
    <b:Title>How the Eyes Connect to the Heart: The Influence of Eye Gaze Direction on Advertising Effectiveness</b:Title>
    <b:Year>2021</b:Year>
    <b:Pages>123-146</b:Pages>
    <b:Author>
      <b:Author>
        <b:NameList>
          <b:Person>
            <b:Last>Ngoc</b:Last>
            <b:First>Rita</b:First>
          </b:Person>
          <b:Person>
            <b:Last>Patrick</b:Last>
            <b:Middle>M</b:Middle>
            <b:First>Vanessa </b:First>
          </b:Person>
        </b:NameList>
      </b:Author>
    </b:Author>
    <b:Month>06</b:Month>
    <b:Volume>48</b:Volume>
    <b:Issue>01</b:Issue>
    <b:YearAccessed>2022</b:YearAccessed>
    <b:MonthAccessed>03</b:MonthAccessed>
    <b:DayAccessed>05</b:DayAccessed>
    <b:DOI>10.1093/jcr/ucaa063</b:DOI>
    <b:RefOrder>1147</b:RefOrder>
  </b:Source>
  <b:Source>
    <b:Tag>NgS18</b:Tag>
    <b:SourceType>BookSection</b:SourceType>
    <b:Guid>{5ADF3421-EC11-4CA4-A747-E8E45B16DE72}</b:Guid>
    <b:Title>Chapter 29 Qualitative Research in Medical Education</b:Title>
    <b:Year>2018</b:Year>
    <b:BookTitle>Understanding Medical Education: Evidence, Theory, and Practice, Third Edition</b:BookTitle>
    <b:Author>
      <b:Author>
        <b:NameList>
          <b:Person>
            <b:Last>Ng</b:Last>
            <b:Middle>L.</b:Middle>
            <b:First>Stella </b:First>
          </b:Person>
          <b:Person>
            <b:Last>Baker</b:Last>
            <b:First>Lindsay</b:First>
          </b:Person>
          <b:Person>
            <b:Last>Cristancho</b:Last>
            <b:First>Sayra </b:First>
          </b:Person>
          <b:Person>
            <b:Last>Kennedy</b:Last>
            <b:Middle>J.</b:Middle>
            <b:First>Tara</b:First>
          </b:Person>
          <b:Person>
            <b:Last>Lingard</b:Last>
            <b:First>Lorelei </b:First>
          </b:Person>
        </b:NameList>
      </b:Author>
      <b:BookAuthor>
        <b:NameList>
          <b:Person>
            <b:Last>Swanwick</b:Last>
            <b:First>Tim </b:First>
          </b:Person>
          <b:Person>
            <b:Last>Forrest</b:Last>
            <b:First>Kirsty</b:First>
          </b:Person>
          <b:Person>
            <b:Last>O'Brien</b:Last>
            <b:Middle>C.</b:Middle>
            <b:First>Bridget </b:First>
          </b:Person>
        </b:NameList>
      </b:BookAuthor>
    </b:Author>
    <b:DOI> https://doi.org/10.1002/9781119373780.ch29</b:DOI>
    <b:RefOrder>985</b:RefOrder>
  </b:Source>
  <b:Source>
    <b:Tag>NgS17</b:Tag>
    <b:SourceType>JournalArticle</b:SourceType>
    <b:Guid>{641C4E19-FB2E-498A-9582-0ACF015205BF}</b:Guid>
    <b:Title>Regulatory goals in a globalized world</b:Title>
    <b:JournalName>Journal of Consumer Psychology.</b:JournalName>
    <b:Year>2017</b:Year>
    <b:Pages>270-277</b:Pages>
    <b:Month>04</b:Month>
    <b:Day>01</b:Day>
    <b:Volume>27</b:Volume>
    <b:Issue>2</b:Issue>
    <b:YearAccessed>2022</b:YearAccessed>
    <b:MonthAccessed>05</b:MonthAccessed>
    <b:DayAccessed>08</b:DayAccessed>
    <b:DOI>10.1016/j.jcps.2016.08.003</b:DOI>
    <b:Author>
      <b:Author>
        <b:NameList>
          <b:Person>
            <b:Last>Ng</b:Last>
            <b:First>S</b:First>
          </b:Person>
          <b:Person>
            <b:Last>Batra</b:Last>
            <b:First>R</b:First>
          </b:Person>
        </b:NameList>
      </b:Author>
    </b:Author>
    <b:RefOrder>1148</b:RefOrder>
  </b:Source>
  <b:Source>
    <b:Tag>New2014</b:Tag>
    <b:SourceType>JournalArticle</b:SourceType>
    <b:Guid>{40ED381F-6B33-4A38-A489-C9FF96652C45}</b:Guid>
    <b:Title>When Going Green Backfires: How Firm Intentions Shape the Evaluation of Socially Beneficial Product Enhancements</b:Title>
    <b:JournalName>Journal of Consumer Research</b:JournalName>
    <b:Year>2014</b:Year>
    <b:Pages>823-839</b:Pages>
    <b:Author>
      <b:Author>
        <b:NameList>
          <b:Person>
            <b:Last>Newman</b:Last>
            <b:Middle>E.</b:Middle>
            <b:First>George </b:First>
          </b:Person>
          <b:Person>
            <b:Last>Gorlin</b:Last>
            <b:First>Margarita</b:First>
          </b:Person>
          <b:Person>
            <b:Last>Dhar</b:Last>
            <b:First>Ravi</b:First>
          </b:Person>
        </b:NameList>
      </b:Author>
    </b:Author>
    <b:Month>10</b:Month>
    <b:Volume>41</b:Volume>
    <b:Issue>03</b:Issue>
    <b:YearAccessed>2022</b:YearAccessed>
    <b:MonthAccessed>05</b:MonthAccessed>
    <b:DayAccessed>26</b:DayAccessed>
    <b:URL>http://www.jstor.org/stable/10.1086/677841 .</b:URL>
    <b:RefOrder>306</b:RefOrder>
  </b:Source>
  <b:Source>
    <b:Tag>New31</b:Tag>
    <b:SourceType>JournalArticle</b:SourceType>
    <b:Guid>{803960F9-4FFF-4893-8802-EA9F8C2BAC9D}</b:Guid>
    <b:Title>An experiment designed to test the validity of a rating technique.</b:Title>
    <b:JournalName>Journal of Educational Psychology</b:JournalName>
    <b:Year>1931</b:Year>
    <b:Pages>279-289</b:Pages>
    <b:Author>
      <b:Author>
        <b:NameList>
          <b:Person>
            <b:Last>Newcomb</b:Last>
            <b:First>T.</b:First>
          </b:Person>
        </b:NameList>
      </b:Author>
    </b:Author>
    <b:Volume>22</b:Volume>
    <b:Issue>4</b:Issue>
    <b:DOI>https://doi.org/10.1037/h0070737</b:DOI>
    <b:RefOrder>646</b:RefOrder>
  </b:Source>
  <b:Source>
    <b:Tag>Nav23</b:Tag>
    <b:SourceType>InternetSite</b:SourceType>
    <b:Guid>{CD0A6115-2F8D-4E6F-BCDB-AE2B166B8604}</b:Guid>
    <b:Title>Growth of advertising spending worldwide from 2000 to 2024</b:Title>
    <b:Year>2023</b:Year>
    <b:InternetSiteTitle>Statista</b:InternetSiteTitle>
    <b:Month>01</b:Month>
    <b:Day>06</b:Day>
    <b:URL>https://www.statista.com/statistics/272443/growth-of-advertising-spending-worldwide/</b:URL>
    <b:Author>
      <b:Author>
        <b:NameList>
          <b:Person>
            <b:Last>Navarro</b:Last>
            <b:Middle>G</b:Middle>
            <b:First>J</b:First>
          </b:Person>
        </b:NameList>
      </b:Author>
    </b:Author>
    <b:RefOrder>37</b:RefOrder>
  </b:Source>
  <b:Source>
    <b:Tag>Nas23</b:Tag>
    <b:SourceType>JournalArticle</b:SourceType>
    <b:Guid>{74BAF7A7-34EC-4CBF-99C3-BB853A17ABDB}</b:Guid>
    <b:Title>The interviews were transcribed”, but how? Reflections on management research</b:Title>
    <b:JournalName>RAUSP Management Journal</b:JournalName>
    <b:Pages>413-429</b:Pages>
    <b:Publisher>Emerald Publishing Limited</b:Publisher>
    <b:Volume>54</b:Volume>
    <b:Issue>4</b:Issue>
    <b:YearAccessed>2023</b:YearAccessed>
    <b:MonthAccessed>03</b:MonthAccessed>
    <b:DayAccessed>25</b:DayAccessed>
    <b:DOI>https://doi.org/10.1108/RAUSP-05-2019-0092</b:DOI>
    <b:Author>
      <b:Author>
        <b:NameList>
          <b:Person>
            <b:Last>Nascimento</b:Last>
            <b:First>Leandro da Silva </b:First>
          </b:Person>
          <b:Person>
            <b:Last>Steinbruch</b:Last>
            <b:Middle>Kalil </b:Middle>
            <b:First>Fernanda </b:First>
          </b:Person>
        </b:NameList>
      </b:Author>
    </b:Author>
    <b:Year>2019</b:Year>
    <b:Month>09</b:Month>
    <b:Day>30</b:Day>
    <b:RefOrder>998</b:RefOrder>
  </b:Source>
  <b:Source>
    <b:Tag>Nan21</b:Tag>
    <b:SourceType>JournalArticle</b:SourceType>
    <b:Guid>{1CC2DED1-58E4-471E-AA8A-5A1856BF40BA}</b:Guid>
    <b:Title>DETERMINATION OF SAMPLE SIZE AND SAMPLING METHODS IN APPLIED RESEARCH</b:Title>
    <b:JournalName>Proceedings on Engineering Sciences</b:JournalName>
    <b:Year>2021</b:Year>
    <b:Pages>25-32</b:Pages>
    <b:Volume>3</b:Volume>
    <b:Issue>1</b:Issue>
    <b:Author>
      <b:Author>
        <b:NameList>
          <b:Person>
            <b:Last>Nanjundeswaraswamy</b:Last>
            <b:Middle>S</b:Middle>
            <b:First>T </b:First>
          </b:Person>
          <b:Person>
            <b:Last>Divakar </b:Last>
            <b:First>Shilpa </b:First>
          </b:Person>
        </b:NameList>
      </b:Author>
    </b:Author>
    <b:YearAccessed>2022</b:YearAccessed>
    <b:MonthAccessed>12</b:MonthAccessed>
    <b:DayAccessed>22</b:DayAccessed>
    <b:URL>https://pesjournal.net/journal/v3-n1/3.pdf</b:URL>
    <b:DOI>10.24874/PES03.01.003</b:DOI>
    <b:RefOrder>909</b:RefOrder>
  </b:Source>
  <b:Source>
    <b:Tag>Nam20</b:Tag>
    <b:SourceType>JournalArticle</b:SourceType>
    <b:Guid>{A06EBFA3-C0C9-4874-89D9-175F113AC990}</b:Guid>
    <b:Title>Cross-cultural examination of apparel online purchase intention: S-O-R paradigm</b:Title>
    <b:JournalName>Journal of Global Fashion Marketing</b:JournalName>
    <b:Year>2020</b:Year>
    <b:Pages>62-76</b:Pages>
    <b:Month>12</b:Month>
    <b:Day>01</b:Day>
    <b:Volume>12</b:Volume>
    <b:Issue>1</b:Issue>
    <b:YearAccessed>2023</b:YearAccessed>
    <b:MonthAccessed>05</b:MonthAccessed>
    <b:DayAccessed>05</b:DayAccessed>
    <b:DOI>https://doi.org/10.1080/20932685.2020.1845766</b:DOI>
    <b:Author>
      <b:Author>
        <b:NameList>
          <b:Person>
            <b:Last>Nam</b:Last>
            <b:First>Changhyun </b:First>
          </b:Person>
          <b:Person>
            <b:Last>Cho</b:Last>
            <b:First>Kyunghwa </b:First>
          </b:Person>
          <b:Person>
            <b:Last>Kim</b:Last>
            <b:Middle>Do</b:Middle>
            <b:First>Young</b:First>
          </b:Person>
        </b:NameList>
      </b:Author>
    </b:Author>
    <b:RefOrder>628</b:RefOrder>
  </b:Source>
  <b:Source>
    <b:Tag>Nai21</b:Tag>
    <b:SourceType>JournalArticle</b:SourceType>
    <b:Guid>{292A0D66-857A-481D-8E5C-7C4DF3DD6108}</b:Guid>
    <b:Title>Ethics in Advertising</b:Title>
    <b:JournalName>International Journal of Research in Engineering Technology</b:JournalName>
    <b:Year>2021</b:Year>
    <b:Month>04</b:Month>
    <b:Volume>6</b:Volume>
    <b:Issue>2</b:Issue>
    <b:YearAccessed>2022</b:YearAccessed>
    <b:MonthAccessed>01</b:MonthAccessed>
    <b:DayAccessed>24</b:DayAccessed>
    <b:URL>http://www.internationaljournalisar.org/IJRE/Volume6/Issue2/IJORE-V6I2P16.pdf</b:URL>
    <b:Author>
      <b:Author>
        <b:NameList>
          <b:Person>
            <b:Last>Nair</b:Last>
            <b:First>Ashwathi</b:First>
          </b:Person>
        </b:NameList>
      </b:Author>
    </b:Author>
    <b:RefOrder>34</b:RefOrder>
  </b:Source>
  <b:Source>
    <b:Tag>1</b:Tag>
    <b:SourceType>JournalArticle</b:SourceType>
    <b:Guid>{A4B091BD-3DB2-46D9-A02D-EE0DB51F9973}</b:Guid>
    <b:Title>Socially responsible product-positioning: Impact of halo/horns spillover on product image</b:Title>
    <b:JournalName>European Journal of Operation Research</b:JournalName>
    <b:Year>2023</b:Year>
    <b:Pages>852-863</b:Pages>
    <b:Month>07</b:Month>
    <b:Volume>308</b:Volume>
    <b:Issue>02</b:Issue>
    <b:YearAccessed>2023</b:YearAccessed>
    <b:URL>https://doi.org/10.1016/j.ejor.2022.11.045</b:URL>
    <b:Author>
      <b:Author>
        <b:NameList>
          <b:Person>
            <b:Last>Naeeni</b:Last>
            <b:Middle>Sadjady </b:Middle>
            <b:First>Hannan </b:First>
          </b:Person>
          <b:Person>
            <b:Last>Sahin</b:Last>
            <b:First>Funda </b:First>
          </b:Person>
          <b:Person>
            <b:Last>Robinson Jr.</b:Last>
            <b:Middle>Powell </b:Middle>
            <b:First>E. </b:First>
          </b:Person>
        </b:NameList>
      </b:Author>
    </b:Author>
    <b:RefOrder>654</b:RefOrder>
  </b:Source>
  <b:Source>
    <b:Tag>Nad80</b:Tag>
    <b:SourceType>JournalArticle</b:SourceType>
    <b:Guid>{46194CB6-47A2-4CDF-AE62-26CB984E2257}</b:Guid>
    <b:Title>A model for diagnosing organizational behavior</b:Title>
    <b:JournalName>Organizational Dynamics</b:JournalName>
    <b:Year>1980</b:Year>
    <b:Pages>35-51</b:Pages>
    <b:Author>
      <b:Author>
        <b:NameList>
          <b:Person>
            <b:Last>Nadler</b:Last>
            <b:Middle>A</b:Middle>
            <b:First>David</b:First>
          </b:Person>
          <b:Person>
            <b:Last>Tushman</b:Last>
            <b:Middle>L</b:Middle>
            <b:First>Michael</b:First>
          </b:Person>
        </b:NameList>
      </b:Author>
    </b:Author>
    <b:Volume>9</b:Volume>
    <b:Issue>2</b:Issue>
    <b:YearAccessed>2021</b:YearAccessed>
    <b:MonthAccessed>12</b:MonthAccessed>
    <b:DayAccessed>09</b:DayAccessed>
    <b:URL>https://doi.org/10.1016/0090-2616(80)90039-X</b:URL>
    <b:RefOrder>394</b:RefOrder>
  </b:Source>
  <b:Source>
    <b:Tag>Nab18</b:Tag>
    <b:SourceType>JournalArticle</b:SourceType>
    <b:Guid>{2BE166E0-8C6D-4666-AE55-12058E84F9CC}</b:Guid>
    <b:Title>Framing climate change: Exploring the role of emotion in generating advocacy behavior.</b:Title>
    <b:JournalName>Science Communication</b:JournalName>
    <b:Year>2018</b:Year>
    <b:Month>05</b:Month>
    <b:Day>28</b:Day>
    <b:Volume>40</b:Volume>
    <b:Issue>4</b:Issue>
    <b:YearAccessed>2023</b:YearAccessed>
    <b:MonthAccessed>02</b:MonthAccessed>
    <b:DayAccessed>18</b:DayAccessed>
    <b:DOI>https://doi.org/10.1177/1075547018776019</b:DOI>
    <b:Author>
      <b:Author>
        <b:NameList>
          <b:Person>
            <b:Last>Nabi</b:Last>
            <b:Middle>L.</b:Middle>
            <b:First>Robin </b:First>
          </b:Person>
          <b:Person>
            <b:Last>Gustafson</b:Last>
            <b:First>Abel </b:First>
          </b:Person>
          <b:Person>
            <b:Last>Jensen</b:Last>
            <b:First>Risa </b:First>
          </b:Person>
        </b:NameList>
      </b:Author>
    </b:Author>
    <b:RefOrder>331</b:RefOrder>
  </b:Source>
  <b:Source>
    <b:Tag>Mya21</b:Tag>
    <b:SourceType>JournalArticle</b:SourceType>
    <b:Guid>{B46DE73D-DA13-4B27-9275-1ACCE73D72DF}</b:Guid>
    <b:Title>Developing and validating a questionnaire to assess an individual's perceived risk of four major non-communicable diseases in Myanmar</b:Title>
    <b:JournalName>Plos One</b:JournalName>
    <b:Year>2021</b:Year>
    <b:Month>04</b:Month>
    <b:Day>27</b:Day>
    <b:Volume>16</b:Volume>
    <b:Issue>4</b:Issue>
    <b:YearAccessed>2023</b:YearAccessed>
    <b:MonthAccessed>06</b:MonthAccessed>
    <b:DayAccessed>06</b:DayAccessed>
    <b:DOI>10.1371/journal.pone.0234281</b:DOI>
    <b:Author>
      <b:Author>
        <b:NameList>
          <b:Person>
            <b:Last>Mya</b:Last>
            <b:Middle>Swa </b:Middle>
            <b:First>Kyaw </b:First>
          </b:Person>
          <b:Person>
            <b:Last>Zaw</b:Last>
            <b:Middle>Ko</b:Middle>
            <b:First>Ko</b:First>
          </b:Person>
          <b:Person>
            <b:Last>Mya</b:Last>
            <b:Middle>Mar </b:Middle>
            <b:First>Khay </b:First>
          </b:Person>
        </b:NameList>
      </b:Author>
    </b:Author>
    <b:RefOrder>921</b:RefOrder>
  </b:Source>
  <b:Source>
    <b:Tag>Mun13</b:Tag>
    <b:SourceType>JournalArticle</b:SourceType>
    <b:Guid>{54DF1E24-ADF3-4607-83B2-172E7582802D}</b:Guid>
    <b:Title>Stakeholder Preferences for Particular Corporate Social Responsibility (CSR) Activities and Social Initiatives (SIs): CSR Initiatives to Assist Corporate Strategy in Emerging and Frontier Markets</b:Title>
    <b:JournalName>Journal of Corporate Citizenship</b:JournalName>
    <b:Year>2013</b:Year>
    <b:Issue>51</b:Issue>
    <b:Month>09</b:Month>
    <b:YearAccessed>2021</b:YearAccessed>
    <b:MonthAccessed>12</b:MonthAccessed>
    <b:DayAccessed>30</b:DayAccessed>
    <b:DOI>10.9774/GLEAF.4700.2013.se.00007</b:DOI>
    <b:Author>
      <b:Author>
        <b:NameList>
          <b:Person>
            <b:Last>Munro</b:Last>
            <b:First>Virginia </b:First>
          </b:Person>
        </b:NameList>
      </b:Author>
    </b:Author>
    <b:RefOrder>1149</b:RefOrder>
  </b:Source>
  <b:Source>
    <b:Tag>Mun22</b:Tag>
    <b:SourceType>JournalArticle</b:SourceType>
    <b:Guid>{02239A0A-D708-4BF4-888B-859BB106B22B}</b:Guid>
    <b:Title>What are scoping reviews? Providing a formal definition of scoping reviews as a type of evidence synthesis</b:Title>
    <b:JournalName>JBI Evidence Synthesis</b:JournalName>
    <b:Year>2022</b:Year>
    <b:Pages>950-952</b:Pages>
    <b:Month>04</b:Month>
    <b:Volume>20</b:Volume>
    <b:Issue>4</b:Issue>
    <b:YearAccessed>2023</b:YearAccessed>
    <b:MonthAccessed>02</b:MonthAccessed>
    <b:DayAccessed>03</b:DayAccessed>
    <b:DOI>10.11124/JBIES-21-00483</b:DOI>
    <b:Author>
      <b:Author>
        <b:NameList>
          <b:Person>
            <b:Last>Munn</b:Last>
            <b:First>Zachary</b:First>
          </b:Person>
          <b:Person>
            <b:Last>Pollock</b:Last>
            <b:First>Danielle</b:First>
          </b:Person>
          <b:Person>
            <b:Last>Khalil</b:Last>
            <b:First>Hanan</b:First>
          </b:Person>
          <b:Person>
            <b:Last>Alexander</b:Last>
            <b:First>Lyndsay</b:First>
          </b:Person>
          <b:Person>
            <b:Last>Mclnerney </b:Last>
            <b:First>Patricia</b:First>
          </b:Person>
          <b:Person>
            <b:Last>Godfrey</b:Last>
            <b:Middle>M</b:Middle>
            <b:First>Christina</b:First>
          </b:Person>
          <b:Person>
            <b:Last>Peters</b:Last>
            <b:First>Micah</b:First>
          </b:Person>
          <b:Person>
            <b:Last>Tricco</b:Last>
            <b:Middle>C.</b:Middle>
            <b:First>Andrea </b:First>
          </b:Person>
        </b:NameList>
      </b:Author>
    </b:Author>
    <b:RefOrder>64</b:RefOrder>
  </b:Source>
  <b:Source>
    <b:Tag>Mum05</b:Tag>
    <b:SourceType>JournalArticle</b:SourceType>
    <b:Guid>{1DAC5E4D-2F97-42DF-B332-DA01E204D2D7}</b:Guid>
    <b:Title>An empirical investigation of Web site characteristics, consumer emotional states and on-line shopping behaviors</b:Title>
    <b:JournalName>Journal of Business Research</b:JournalName>
    <b:Year>2005</b:Year>
    <b:Pages>526-532</b:Pages>
    <b:Month>04</b:Month>
    <b:Volume>58</b:Volume>
    <b:Issue>4</b:Issue>
    <b:YearAccessed>2023</b:YearAccessed>
    <b:MonthAccessed>03</b:MonthAccessed>
    <b:DayAccessed>22</b:DayAccessed>
    <b:DOI>https://doi.org/10.1016/S0148-2963(03)00143-7</b:DOI>
    <b:Author>
      <b:Author>
        <b:NameList>
          <b:Person>
            <b:Last>Mummalaneni</b:Last>
            <b:First>Venkatapparao </b:First>
          </b:Person>
        </b:NameList>
      </b:Author>
    </b:Author>
    <b:RefOrder>634</b:RefOrder>
  </b:Source>
  <b:Source>
    <b:Tag>muk22</b:Tag>
    <b:SourceType>JournalArticle</b:SourceType>
    <b:Guid>{46A61AA4-6F46-4F9F-8F9B-3C873A43520C}</b:Guid>
    <b:Title>An integrative framework for stakeholder engagement: reconciling and integrating stakeholders' conflicting CSR priorities in management decision-making.</b:Title>
    <b:JournalName>Journal of Decision Systems</b:JournalName>
    <b:Year>2022</b:Year>
    <b:Pages>407-432</b:Pages>
    <b:Volume>31</b:Volume>
    <b:Issue>4</b:Issue>
    <b:Month>11</b:Month>
    <b:YearAccessed>2022</b:YearAccessed>
    <b:MonthAccessed>12</b:MonthAccessed>
    <b:DayAccessed>06</b:DayAccessed>
    <b:DOI>10.1080/12460125.2021.1950115</b:DOI>
    <b:Author>
      <b:Author>
        <b:NameList>
          <b:Person>
            <b:Last>Mukhtar</b:Last>
            <b:First>Syeda-Masooda</b:First>
          </b:Person>
          <b:Person>
            <b:Last>Bahormoz</b:Last>
            <b:First>Asma</b:First>
          </b:Person>
        </b:NameList>
      </b:Author>
    </b:Author>
    <b:RefOrder>495</b:RefOrder>
  </b:Source>
  <b:Source>
    <b:Tag>Muf21</b:Tag>
    <b:SourceType>JournalArticle</b:SourceType>
    <b:Guid>{3BD961D5-DFF0-4E06-96D4-EAFD17CF001D}</b:Guid>
    <b:Title>The link between corporate social responsibility and customer loyalty: Empirical evidence from the Islamic banking industry</b:Title>
    <b:Year>2021</b:Year>
    <b:Author>
      <b:Author>
        <b:NameList>
          <b:Person>
            <b:Last>Muflih</b:Last>
            <b:First>Muhammad</b:First>
          </b:Person>
        </b:NameList>
      </b:Author>
    </b:Author>
    <b:Month>07</b:Month>
    <b:Volume>61</b:Volume>
    <b:YearAccessed>2022</b:YearAccessed>
    <b:MonthAccessed>02</b:MonthAccessed>
    <b:DayAccessed>22</b:DayAccessed>
    <b:DOI>https://doi.org/10.1016/j.jretconser.2021.102558</b:DOI>
    <b:RefOrder>117</b:RefOrder>
  </b:Source>
  <b:Source>
    <b:Tag>Mos19</b:Tag>
    <b:SourceType>JournalArticle</b:SourceType>
    <b:Guid>{14D092C0-2D64-43C8-8AC8-818018047403}</b:Guid>
    <b:Title>Imputing missing values using cumulative linear regression</b:Title>
    <b:JournalName>CAAI Transactions on Intelligence Technology</b:JournalName>
    <b:Year>2019</b:Year>
    <b:Pages>182-200</b:Pages>
    <b:Author>
      <b:Author>
        <b:NameList>
          <b:Person>
            <b:Last>Mostafa</b:Last>
            <b:Middle>M.</b:Middle>
            <b:First>Samih </b:First>
          </b:Person>
        </b:NameList>
      </b:Author>
    </b:Author>
    <b:Month>08</b:Month>
    <b:Day>30</b:Day>
    <b:YearAccessed>2023</b:YearAccessed>
    <b:MonthAccessed>12</b:MonthAccessed>
    <b:DayAccessed>22</b:DayAccessed>
    <b:DOI> https://doi.org/10.1049/trit.2019.0032</b:DOI>
    <b:RefOrder>917</b:RefOrder>
  </b:Source>
  <b:Source>
    <b:Tag>Mos161</b:Tag>
    <b:SourceType>JournalArticle</b:SourceType>
    <b:Guid>{8D38DEE2-8EB2-4CF6-ABA8-2912B0EF3367}</b:Guid>
    <b:Title>Egyptian consumers' willingness to pay for carbon-labeled products: A contingent valuation analysis of socio-economic factors</b:Title>
    <b:JournalName>Journal of Cleaner Production</b:JournalName>
    <b:Year>2016</b:Year>
    <b:Pages>821-828</b:Pages>
    <b:Month>11</b:Month>
    <b:Day>01</b:Day>
    <b:Volume>135</b:Volume>
    <b:YearAccessed>2022</b:YearAccessed>
    <b:MonthAccessed>02</b:MonthAccessed>
    <b:DayAccessed>17</b:DayAccessed>
    <b:DOI>https://doi.org/10.1016/j.jclepro.2016.06.168</b:DOI>
    <b:Author>
      <b:Author>
        <b:NameList>
          <b:Person>
            <b:Last>Mostafa</b:Last>
            <b:Middle>M</b:Middle>
            <b:First>Mohamed</b:First>
          </b:Person>
        </b:NameList>
      </b:Author>
    </b:Author>
    <b:RefOrder>1150</b:RefOrder>
  </b:Source>
  <b:Source>
    <b:Tag>Mos16</b:Tag>
    <b:SourceType>InternetSite</b:SourceType>
    <b:Guid>{29CC7FBF-D624-413C-9822-B242C7D745E3}</b:Guid>
    <b:Title>Fit indices for structural equation modeling</b:Title>
    <b:Year>2016</b:Year>
    <b:YearAccessed>2023</b:YearAccessed>
    <b:MonthAccessed>01</b:MonthAccessed>
    <b:DayAccessed>18</b:DayAccessed>
    <b:URL>https://www.sicotests.com/newpsyarticle/Fit-indices-for-structural-equation-modeling</b:URL>
    <b:InternetSiteTitle>sicotests</b:InternetSiteTitle>
    <b:Month>06</b:Month>
    <b:Day>27</b:Day>
    <b:Author>
      <b:Author>
        <b:NameList>
          <b:Person>
            <b:Last>Moss</b:Last>
            <b:First>Simon</b:First>
          </b:Person>
        </b:NameList>
      </b:Author>
    </b:Author>
    <b:RefOrder>211</b:RefOrder>
  </b:Source>
  <b:Source>
    <b:Tag>Mor14</b:Tag>
    <b:SourceType>JournalArticle</b:SourceType>
    <b:Guid>{CDD3F64B-5234-46B4-B1AE-0843CC437EB0}</b:Guid>
    <b:Title>Consumers’  purchase  intentions  and  their  behaviour</b:Title>
    <b:JournalName>Foundations and Trends® in Marketing</b:JournalName>
    <b:Year>2014</b:Year>
    <b:Pages>181-230</b:Pages>
    <b:Volume>7</b:Volume>
    <b:Issue>3</b:Issue>
    <b:YearAccessed>2023</b:YearAccessed>
    <b:MonthAccessed>04</b:MonthAccessed>
    <b:DayAccessed>28</b:DayAccessed>
    <b:DOI>http://dx.doi.org/10.1561/1700000036</b:DOI>
    <b:Author>
      <b:Author>
        <b:NameList>
          <b:Person>
            <b:Last>Morwitz</b:Last>
            <b:First>Vicki</b:First>
          </b:Person>
        </b:NameList>
      </b:Author>
    </b:Author>
    <b:RefOrder>350</b:RefOrder>
  </b:Source>
  <b:Source>
    <b:Tag>Mor06</b:Tag>
    <b:SourceType>BookSection</b:SourceType>
    <b:Guid>{ED131E8E-F3CB-4BCF-A187-171954851AD5}</b:Guid>
    <b:Title>Strategic CSR communication: telling others how good you are</b:Title>
    <b:Year>2006</b:Year>
    <b:Pages>238-246</b:Pages>
    <b:BookTitle>Management Models for Corporate Social Responsibilit</b:BookTitle>
    <b:Publisher>Springerlink</b:Publisher>
    <b:Author>
      <b:Author>
        <b:NameList>
          <b:Person>
            <b:Last>Morsing </b:Last>
            <b:First>Mette</b:First>
          </b:Person>
        </b:NameList>
      </b:Author>
    </b:Author>
    <b:YearAccessed>2021</b:YearAccessed>
    <b:MonthAccessed>12</b:MonthAccessed>
    <b:DayAccessed>11</b:DayAccessed>
    <b:DOI>https://doi.org/10.1007/3-540-33247-2_29</b:DOI>
    <b:RefOrder>414</b:RefOrder>
  </b:Source>
  <b:Source>
    <b:Tag>Mor061</b:Tag>
    <b:SourceType>JournalArticle</b:SourceType>
    <b:Guid>{7675516A-24A3-4E95-A3F7-8D6FEFAF6310}</b:Guid>
    <b:Title>Corporate social responsibility communication: stakeholder information, response and involvement strategies</b:Title>
    <b:JournalName>Business Ethics, the Environment &amp; Responsibility</b:JournalName>
    <b:Year>2006</b:Year>
    <b:Pages>323-338</b:Pages>
    <b:Author>
      <b:Author>
        <b:NameList>
          <b:Person>
            <b:Last>Morsing</b:Last>
            <b:First>Mette </b:First>
          </b:Person>
          <b:Person>
            <b:Last>Schultz</b:Last>
            <b:First>Majken </b:First>
          </b:Person>
        </b:NameList>
      </b:Author>
    </b:Author>
    <b:Month>10</b:Month>
    <b:Volume>15</b:Volume>
    <b:Issue>4</b:Issue>
    <b:YearAccessed>2022</b:YearAccessed>
    <b:MonthAccessed>12</b:MonthAccessed>
    <b:DayAccessed>03</b:DayAccessed>
    <b:URL>https://doi.org/10.1111/j.1467-8608.2006.00460.x</b:URL>
    <b:RefOrder>1151</b:RefOrder>
  </b:Source>
  <b:Source>
    <b:Tag>Mor08</b:Tag>
    <b:SourceType>JournalArticle</b:SourceType>
    <b:Guid>{E40A012F-9798-4678-8FBE-61698A78F61E}</b:Guid>
    <b:Title>The ‘catch 22’ of communicating CSR: findings from a Danish study</b:Title>
    <b:JournalName>Journal of Marketing Communications</b:JournalName>
    <b:Year>2008</b:Year>
    <b:Pages>97-111</b:Pages>
    <b:Volume>14</b:Volume>
    <b:Issue>22</b:Issue>
    <b:Author>
      <b:Author>
        <b:NameList>
          <b:Person>
            <b:Last>Morsing</b:Last>
            <b:First>M</b:First>
          </b:Person>
          <b:Person>
            <b:Last>Schultz</b:Last>
            <b:First>M</b:First>
          </b:Person>
          <b:Person>
            <b:Last>Nielsen</b:Last>
            <b:First>K.U.</b:First>
          </b:Person>
        </b:NameList>
      </b:Author>
    </b:Author>
    <b:Publisher>Taylor &amp; Francis </b:Publisher>
    <b:YearAccessed>2022</b:YearAccessed>
    <b:MonthAccessed>12</b:MonthAccessed>
    <b:DayAccessed>29</b:DayAccessed>
    <b:DOI>https://doi.org/10.1080/13527260701856608</b:DOI>
    <b:RefOrder>1043</b:RefOrder>
  </b:Source>
  <b:Source>
    <b:Tag>Mor15</b:Tag>
    <b:SourceType>JournalArticle</b:SourceType>
    <b:Guid>{D43ECF7C-7996-4BB5-8D8C-E446DA48203F}</b:Guid>
    <b:Title>“Data Were Saturated . . ."</b:Title>
    <b:JournalName>Qualitative Data Research</b:JournalName>
    <b:Year>2015</b:Year>
    <b:Pages>587-588</b:Pages>
    <b:Volume>25</b:Volume>
    <b:Issue>5</b:Issue>
    <b:Author>
      <b:Author>
        <b:NameList>
          <b:Person>
            <b:Last>Morse </b:Last>
            <b:Middle>M.</b:Middle>
            <b:First>Janice</b:First>
          </b:Person>
        </b:NameList>
      </b:Author>
    </b:Author>
    <b:RefOrder>1011</b:RefOrder>
  </b:Source>
  <b:Source>
    <b:Tag>Mor95</b:Tag>
    <b:SourceType>JournalArticle</b:SourceType>
    <b:Guid>{D0853B24-1E00-4BC2-A8C6-62DC35E83B12}</b:Guid>
    <b:Title>The significance of saturation</b:Title>
    <b:JournalName>Qualitative Health Research</b:JournalName>
    <b:Year>1995</b:Year>
    <b:Pages>147-149</b:Pages>
    <b:Month>05</b:Month>
    <b:Volume>5</b:Volume>
    <b:Issue>2</b:Issue>
    <b:YearAccessed>2023</b:YearAccessed>
    <b:MonthAccessed>04</b:MonthAccessed>
    <b:DayAccessed>01</b:DayAccessed>
    <b:DOI>10.1177/104973239500500201</b:DOI>
    <b:Author>
      <b:Author>
        <b:NameList>
          <b:Person>
            <b:Last>Morse</b:Last>
            <b:Middle>M.</b:Middle>
            <b:First>Janice </b:First>
          </b:Person>
        </b:NameList>
      </b:Author>
    </b:Author>
    <b:RefOrder>1010</b:RefOrder>
  </b:Source>
  <b:Source>
    <b:Tag>Mor20</b:Tag>
    <b:SourceType>JournalArticle</b:SourceType>
    <b:Guid>{E456CD8A-DD68-4A57-A53E-3A000DA10EC0}</b:Guid>
    <b:Title>The Changing Face of Qualitative Inquiry</b:Title>
    <b:JournalName>The International Journal of Qualitative Methods</b:JournalName>
    <b:Year>2020</b:Year>
    <b:Month>04</b:Month>
    <b:Volume>19</b:Volume>
    <b:Issue>1-7</b:Issue>
    <b:YearAccessed>2022</b:YearAccessed>
    <b:MonthAccessed>11</b:MonthAccessed>
    <b:DayAccessed>08</b:DayAccessed>
    <b:DOI>10.1177/1609406920909938</b:DOI>
    <b:Author>
      <b:Author>
        <b:NameList>
          <b:Person>
            <b:Last>Morse</b:Last>
            <b:First>Janice</b:First>
          </b:Person>
        </b:NameList>
      </b:Author>
    </b:Author>
    <b:RefOrder>899</b:RefOrder>
  </b:Source>
  <b:Source>
    <b:Tag>Mør14</b:Tag>
    <b:SourceType>JournalArticle</b:SourceType>
    <b:Guid>{BEE21DD0-C5C8-4F73-B488-0733A0C9531F}</b:Guid>
    <b:Title>A within-sample investigation of test–retest reliability in choice experiment surveys with real economic incentives</b:Title>
    <b:JournalName>The Australian Journal of Agriculture and Resource Economics</b:JournalName>
    <b:Year>2014</b:Year>
    <b:Pages>375-392</b:Pages>
    <b:Author>
      <b:Author>
        <b:NameList>
          <b:Person>
            <b:Last>Mørkbak</b:Last>
            <b:Middle>Raun </b:Middle>
            <b:First>Morten </b:First>
          </b:Person>
          <b:Person>
            <b:Last>Olsen</b:Last>
            <b:Middle>Bøye </b:Middle>
            <b:First>Søren </b:First>
          </b:Person>
        </b:NameList>
      </b:Author>
    </b:Author>
    <b:Month>06</b:Month>
    <b:Day>24</b:Day>
    <b:Publisher>Wiley Online Library </b:Publisher>
    <b:Volume>59</b:Volume>
    <b:Issue>3</b:Issue>
    <b:YearAccessed>2022</b:YearAccessed>
    <b:MonthAccessed>10</b:MonthAccessed>
    <b:DayAccessed>21</b:DayAccessed>
    <b:DOI>https://doi.org/10.1111/1467-8489.12067</b:DOI>
    <b:RefOrder>817</b:RefOrder>
  </b:Source>
  <b:Source>
    <b:Tag>Mor16</b:Tag>
    <b:SourceType>JournalArticle</b:SourceType>
    <b:Guid>{10CDB4F7-88BA-493B-897D-0689AD9248B8}</b:Guid>
    <b:Title>Out of the ordinary? Appraising ISO 26000’s CSR definition</b:Title>
    <b:JournalName>International Journal of Law and Management</b:JournalName>
    <b:Year>2016</b:Year>
    <b:Pages>26-47</b:Pages>
    <b:Author>
      <b:Author>
        <b:NameList>
          <b:Person>
            <b:Last>Moratis </b:Last>
            <b:First>Lars </b:First>
          </b:Person>
        </b:NameList>
      </b:Author>
    </b:Author>
    <b:Month>02</b:Month>
    <b:Day>08</b:Day>
    <b:Publisher>Emerald Group Publishing Limited</b:Publisher>
    <b:Volume>58</b:Volume>
    <b:Issue>1</b:Issue>
    <b:YearAccessed>2021</b:YearAccessed>
    <b:MonthAccessed>10</b:MonthAccessed>
    <b:DayAccessed>10</b:DayAccessed>
    <b:DOI>https://doi-org.lsbu.idm.oclc.org/10.1108/IJLMA-12-2014-0064</b:DOI>
    <b:RefOrder>1152</b:RefOrder>
  </b:Source>
  <b:Source>
    <b:Tag>Moo19</b:Tag>
    <b:SourceType>JournalArticle</b:SourceType>
    <b:Guid>{E4C53BF0-DEE1-48B5-8756-938A52EF64CC}</b:Guid>
    <b:Title>Triangulation: A Method to Increase Validity, Reliability, and Legitimation in Clinical Research</b:Title>
    <b:JournalName>Journal of Emergency Nursing</b:JournalName>
    <b:Year>2019</b:Year>
    <b:Pages>103-105</b:Pages>
    <b:Author>
      <b:Author>
        <b:NameList>
          <b:Person>
            <b:Last>Moon</b:Last>
            <b:Middle>D.</b:Middle>
            <b:First>Michael</b:First>
          </b:Person>
        </b:NameList>
      </b:Author>
    </b:Author>
    <b:Month>01</b:Month>
    <b:Day>01</b:Day>
    <b:YearAccessed>2022</b:YearAccessed>
    <b:MonthAccessed>11</b:MonthAccessed>
    <b:DayAccessed>08</b:DayAccessed>
    <b:DOI>https://doi.org/10.1016/j.jen.2018.11.004</b:DOI>
    <b:RefOrder>1153</b:RefOrder>
  </b:Source>
  <b:Source>
    <b:Tag>Moo17</b:Tag>
    <b:SourceType>InternetSite</b:SourceType>
    <b:Guid>{01D46957-9D1E-4AB8-A51C-940A893B74DB}</b:Guid>
    <b:Title>A guide to ontology, epistemology, and philosophical perspectives for interdisciplinary researchers</b:Title>
    <b:Year>2017</b:Year>
    <b:Month>05</b:Month>
    <b:Day>02</b:Day>
    <b:YearAccessed>2022</b:YearAccessed>
    <b:MonthAccessed>10</b:MonthAccessed>
    <b:DayAccessed>09</b:DayAccessed>
    <b:URL>https://i2insights.org/2017/05/02/philosophy-for-interdisciplinarity/</b:URL>
    <b:InternetSiteTitle>Integration and Implementation Insights</b:InternetSiteTitle>
    <b:Author>
      <b:Author>
        <b:NameList>
          <b:Person>
            <b:Last>Moon</b:Last>
            <b:First>Katie</b:First>
          </b:Person>
          <b:Person>
            <b:Last>Blackman</b:Last>
            <b:First>Deborah</b:First>
          </b:Person>
        </b:NameList>
      </b:Author>
    </b:Author>
    <b:RefOrder>725</b:RefOrder>
  </b:Source>
  <b:Source>
    <b:Tag>Moo12</b:Tag>
    <b:SourceType>JournalArticle</b:SourceType>
    <b:Guid>{B1388E29-790C-4CA1-9E0F-0112CD69955C}</b:Guid>
    <b:Title>A Model to Measure the Brand Loyalty for Fast Moving Consumer Goods</b:Title>
    <b:JournalName>Journal of Social Sciences</b:JournalName>
    <b:Year>2012</b:Year>
    <b:Pages>71-85</b:Pages>
    <b:Author>
      <b:Author>
        <b:NameList>
          <b:Person>
            <b:Last>Moolla</b:Last>
            <b:Middle>I</b:Middle>
            <b:First>Ahmed</b:First>
          </b:Person>
          <b:Person>
            <b:Last>Bisschoff</b:Last>
            <b:Middle>A.</b:Middle>
            <b:First>Christo </b:First>
          </b:Person>
        </b:NameList>
      </b:Author>
    </b:Author>
    <b:Volume>31</b:Volume>
    <b:Issue>1</b:Issue>
    <b:YearAccessed>2023</b:YearAccessed>
    <b:MonthAccessed>07</b:MonthAccessed>
    <b:DayAccessed>29</b:DayAccessed>
    <b:DOI>https://doi.org/10.1080/09718923.2012.11893016</b:DOI>
    <b:RefOrder>1154</b:RefOrder>
  </b:Source>
  <b:Source>
    <b:Tag>Mol07</b:Tag>
    <b:SourceType>JournalArticle</b:SourceType>
    <b:Guid>{9723DD29-0631-4DF1-A60A-9DC8334100A8}</b:Guid>
    <b:Title>The Value of Reciprocity</b:Title>
    <b:JournalName>Social Psychology Quarterly</b:JournalName>
    <b:Year>2007</b:Year>
    <b:Pages>199-217</b:Pages>
    <b:Volume>70</b:Volume>
    <b:Issue>02</b:Issue>
    <b:Month>06</b:Month>
    <b:YearAccessed>2022</b:YearAccessed>
    <b:MonthAccessed>12</b:MonthAccessed>
    <b:DayAccessed>06</b:DayAccessed>
    <b:URL>https://doi.org/10.1177/019027250707000208</b:URL>
    <b:Author>
      <b:Author>
        <b:NameList>
          <b:Person>
            <b:Last>Molm</b:Last>
            <b:Middle>D. </b:Middle>
            <b:First>Linda </b:First>
          </b:Person>
          <b:Person>
            <b:Last>Schaefer</b:Last>
            <b:Middle>R.</b:Middle>
            <b:First>David </b:First>
          </b:Person>
          <b:Person>
            <b:Last>Collett</b:Last>
            <b:Middle>L.</b:Middle>
            <b:First>Jessica </b:First>
          </b:Person>
        </b:NameList>
      </b:Author>
    </b:Author>
    <b:RefOrder>1155</b:RefOrder>
  </b:Source>
  <b:Source>
    <b:Tag>Mol21</b:Tag>
    <b:SourceType>BookSection</b:SourceType>
    <b:Guid>{A641E4E6-4FDD-4A93-856F-76F8AA2067C6}</b:Guid>
    <b:Title>Biostatistics and Evidence-Based Medicine</b:Title>
    <b:Year>2021</b:Year>
    <b:Pages>653-661</b:Pages>
    <b:BookTitle>The Harriet Lane Handbook</b:BookTitle>
    <b:Publisher>Elsevier, Inc.</b:Publisher>
    <b:Author>
      <b:Author>
        <b:NameList>
          <b:Person>
            <b:Last>Molloy </b:Last>
            <b:First>Matthew </b:First>
          </b:Person>
        </b:NameList>
      </b:Author>
    </b:Author>
    <b:RefOrder>1156</b:RefOrder>
  </b:Source>
  <b:Source>
    <b:Tag>Möl21</b:Tag>
    <b:SourceType>JournalArticle</b:SourceType>
    <b:Guid>{9DFD6E22-FF5A-4CFA-9D19-5452F9543EE4}</b:Guid>
    <b:Title>Perceptions of green user entrepreneurs’ performance—Is sustainability an asset or a liability for innovators?</b:Title>
    <b:JournalName>Sustainability</b:JournalName>
    <b:Year>2021</b:Year>
    <b:Author>
      <b:Author>
        <b:NameList>
          <b:Person>
            <b:Last>Möller </b:Last>
            <b:First>Jana </b:First>
          </b:Person>
          <b:Person>
            <b:Last>Herm</b:Last>
            <b:First>Steffen </b:First>
          </b:Person>
        </b:NameList>
      </b:Author>
    </b:Author>
    <b:Volume>13</b:Volume>
    <b:Issue>06</b:Issue>
    <b:YearAccessed>2022</b:YearAccessed>
    <b:MonthAccessed>11</b:MonthAccessed>
    <b:DayAccessed>05</b:DayAccessed>
    <b:DOI>https://doi.org/10.3390/su13063580</b:DOI>
    <b:RefOrder>1157</b:RefOrder>
  </b:Source>
  <b:Source>
    <b:Tag>Moh171</b:Tag>
    <b:SourceType>JournalArticle</b:SourceType>
    <b:Guid>{F64EE7B0-3E2A-48C5-8839-FFB94BDF587C}</b:Guid>
    <b:Title>Brand Skill: linking brand functionality with consumer-based brand equity</b:Title>
    <b:JournalName>Journal of Product &amp; Brand Management</b:JournalName>
    <b:Year>2017</b:Year>
    <b:Pages>477-491</b:Pages>
    <b:Author>
      <b:Author>
        <b:NameList>
          <b:Person>
            <b:Last>Mohan</b:Last>
            <b:First>Mayoor</b:First>
          </b:Person>
          <b:Person>
            <b:Last>Jiménez</b:Last>
            <b:Middle>R.</b:Middle>
            <b:First>Fernando </b:First>
          </b:Person>
          <b:Person>
            <b:Last>Brown</b:Last>
            <b:Middle>P.</b:Middle>
            <b:First>Brian</b:First>
          </b:Person>
          <b:Person>
            <b:Last>Cantrell</b:Last>
            <b:First>Caley</b:First>
          </b:Person>
        </b:NameList>
      </b:Author>
    </b:Author>
    <b:Month>08</b:Month>
    <b:Day>21</b:Day>
    <b:Volume>26</b:Volume>
    <b:Issue>05</b:Issue>
    <b:YearAccessed>2022</b:YearAccessed>
    <b:MonthAccessed>06</b:MonthAccessed>
    <b:DayAccessed>15</b:DayAccessed>
    <b:DOI>https://doi-org.lsbu.idm.oclc.org/10.1108/JPBM-06-2016-1247</b:DOI>
    <b:RefOrder>55</b:RefOrder>
  </b:Source>
  <b:Source>
    <b:Tag>Mit811</b:Tag>
    <b:SourceType>JournalArticle</b:SourceType>
    <b:Guid>{1E080325-667F-42EF-88A6-12D3A009A3B7}</b:Guid>
    <b:Title>Are Product Attribute Beliefs the Only Mediator of Advertising Effects on Brand Attitude?</b:Title>
    <b:JournalName>Journal of Marketing Research</b:JournalName>
    <b:Year>1981</b:Year>
    <b:Pages>318–332</b:Pages>
    <b:Volume>18</b:Volume>
    <b:Issue>3</b:Issue>
    <b:YearAccessed>2023</b:YearAccessed>
    <b:MonthAccessed>03</b:MonthAccessed>
    <b:DayAccessed>05</b:DayAccessed>
    <b:DOI>10.1177/002224378101800306 </b:DOI>
    <b:Author>
      <b:Author>
        <b:NameList>
          <b:Person>
            <b:Last>Mitchell </b:Last>
            <b:Middle>A</b:Middle>
            <b:First>Andrew </b:First>
          </b:Person>
          <b:Person>
            <b:Last>Olson</b:Last>
            <b:Middle>C.</b:Middle>
            <b:First>Jerry </b:First>
          </b:Person>
        </b:NameList>
      </b:Author>
    </b:Author>
    <b:RefOrder>232</b:RefOrder>
  </b:Source>
  <b:Source>
    <b:Tag>Mit97</b:Tag>
    <b:SourceType>JournalArticle</b:SourceType>
    <b:Guid>{9C11D6DD-821E-49A8-B287-B8A135B27CE2}</b:Guid>
    <b:Title>Toward a theory of stakeholder identification and salience: defining the principle of who or what really counts</b:Title>
    <b:JournalName>Academy of Management Review</b:JournalName>
    <b:Year>1997</b:Year>
    <b:Pages>853-886</b:Pages>
    <b:Volume>22</b:Volume>
    <b:Issue>4</b:Issue>
    <b:YearAccessed>2022</b:YearAccessed>
    <b:MonthAccessed>12</b:MonthAccessed>
    <b:DayAccessed>06</b:DayAccessed>
    <b:Author>
      <b:Author>
        <b:NameList>
          <b:Person>
            <b:Last>Mitchell</b:Last>
            <b:Middle>K.</b:Middle>
            <b:First>R.</b:First>
          </b:Person>
          <b:Person>
            <b:Last>Agle</b:Last>
            <b:Middle>R</b:Middle>
            <b:First>B</b:First>
          </b:Person>
          <b:Person>
            <b:Last>Wood</b:Last>
            <b:Middle>J.</b:Middle>
            <b:First>D.</b:First>
          </b:Person>
        </b:NameList>
      </b:Author>
    </b:Author>
    <b:RefOrder>1158</b:RefOrder>
  </b:Source>
  <b:Source>
    <b:Tag>Mit23</b:Tag>
    <b:SourceType>JournalArticle</b:SourceType>
    <b:Guid>{29E3DEC1-E59B-4831-B40F-61065B7885EF}</b:Guid>
    <b:Title>Are product attribute beliefs the only mediator of advertising effects on brand attitude?</b:Title>
    <b:JournalName>Journal of Marketing Research</b:JournalName>
    <b:Pages>318-332</b:Pages>
    <b:Volume>18</b:Volume>
    <b:Issue>3</b:Issue>
    <b:YearAccessed>2023</b:YearAccessed>
    <b:MonthAccessed>07</b:MonthAccessed>
    <b:DayAccessed>06</b:DayAccessed>
    <b:DOI>https://doi.org/10.2307/3150973</b:DOI>
    <b:Author>
      <b:Author>
        <b:NameList>
          <b:Person>
            <b:Last>Mitchell</b:Last>
            <b:Middle>A.</b:Middle>
            <b:First>Andrew </b:First>
          </b:Person>
          <b:Person>
            <b:Last>Olson</b:Last>
            <b:Middle>C.</b:Middle>
            <b:First>Jerry </b:First>
          </b:Person>
        </b:NameList>
      </b:Author>
    </b:Author>
    <b:Year>1981</b:Year>
    <b:Month>08</b:Month>
    <b:RefOrder>225</b:RefOrder>
  </b:Source>
  <b:Source>
    <b:Tag>Mit812</b:Tag>
    <b:SourceType>JournalArticle</b:SourceType>
    <b:Guid>{5E122AA2-B7C3-4C9B-ADB2-457B5CB91D32}</b:Guid>
    <b:Title>Are Product Attribute Beliefs the Only Mediator of Advertising Effects on Brand Attitude?</b:Title>
    <b:JournalName>Journal of Marketing Research</b:JournalName>
    <b:Year>1981</b:Year>
    <b:Pages>318-332</b:Pages>
    <b:Author>
      <b:Author>
        <b:NameList>
          <b:Person>
            <b:Last>Mitchell</b:Last>
            <b:Middle>A.</b:Middle>
            <b:First>Andrew</b:First>
          </b:Person>
          <b:Person>
            <b:Last>Olson</b:Last>
            <b:Middle>C.</b:Middle>
            <b:First>Jerry</b:First>
          </b:Person>
        </b:NameList>
      </b:Author>
    </b:Author>
    <b:Volume>18</b:Volume>
    <b:Issue>3</b:Issue>
    <b:YearAccessed>2023</b:YearAccessed>
    <b:MonthAccessed>03</b:MonthAccessed>
    <b:DayAccessed>20</b:DayAccessed>
    <b:DOI>10.1177/002224378101800306</b:DOI>
    <b:RefOrder>595</b:RefOrder>
  </b:Source>
  <b:Source>
    <b:Tag>Mit81</b:Tag>
    <b:SourceType>JournalArticle</b:SourceType>
    <b:Guid>{1701244A-8FC5-49B6-A11A-0F01D0B5B484}</b:Guid>
    <b:Title>Are Product Attribute Beliefs the Only Mediator of Advertising Effects on Brand Attitude?</b:Title>
    <b:JournalName>Journal of Marketing Research </b:JournalName>
    <b:Year>1981</b:Year>
    <b:Pages>318-332</b:Pages>
    <b:Author>
      <b:Author>
        <b:NameList>
          <b:Person>
            <b:Last>Mitchell</b:Last>
            <b:Middle>A.</b:Middle>
            <b:First>Andrew</b:First>
          </b:Person>
          <b:Person>
            <b:Last>Olson</b:Last>
            <b:Middle>C.</b:Middle>
            <b:First>Jerry</b:First>
          </b:Person>
        </b:NameList>
      </b:Author>
    </b:Author>
    <b:Month>08</b:Month>
    <b:Day>01</b:Day>
    <b:Volume>18</b:Volume>
    <b:Issue>03</b:Issue>
    <b:YearAccessed>2022</b:YearAccessed>
    <b:MonthAccessed>06</b:MonthAccessed>
    <b:DayAccessed>10</b:DayAccessed>
    <b:DOI>https://doi.org/10.1177/002224378101800306</b:DOI>
    <b:RefOrder>1159</b:RefOrder>
  </b:Source>
  <b:Source>
    <b:Tag>Mis19</b:Tag>
    <b:SourceType>JournalArticle</b:SourceType>
    <b:Guid>{2E9037F8-DCDA-4B7D-9A86-7B0EAE8B0A55}</b:Guid>
    <b:Title>Descriptive Statistics and Normality Tests for Statistical Data</b:Title>
    <b:JournalName>Annals of Cardiac Anaesthesia</b:JournalName>
    <b:Year>2019</b:Year>
    <b:Pages>67-72</b:Pages>
    <b:Volume>22</b:Volume>
    <b:Issue>1</b:Issue>
    <b:Month>03</b:Month>
    <b:Publisher>National Library of Medicine </b:Publisher>
    <b:YearAccessed>2023</b:YearAccessed>
    <b:MonthAccessed>01</b:MonthAccessed>
    <b:DayAccessed>15</b:DayAccessed>
    <b:DOI>10.4103/aca.ACA_157_18</b:DOI>
    <b:Author>
      <b:Author>
        <b:NameList>
          <b:Person>
            <b:Last>Mishra</b:Last>
            <b:First>Prabhaker </b:First>
          </b:Person>
          <b:Person>
            <b:Last>Pandey</b:Last>
            <b:Middle>M</b:Middle>
            <b:First>Chandra </b:First>
          </b:Person>
          <b:Person>
            <b:Last>Singh</b:Last>
            <b:First>Uttam </b:First>
          </b:Person>
          <b:Person>
            <b:Last>Gupta</b:Last>
            <b:First>Anshul </b:First>
          </b:Person>
          <b:Person>
            <b:Last>Sahu</b:Last>
            <b:First>Chinmoy </b:First>
          </b:Person>
          <b:Person>
            <b:Last> Keshri</b:Last>
            <b:First>Amit</b:First>
          </b:Person>
        </b:NameList>
      </b:Author>
    </b:Author>
    <b:RefOrder>943</b:RefOrder>
  </b:Source>
  <b:Source>
    <b:Tag>Min22</b:Tag>
    <b:SourceType>Report</b:SourceType>
    <b:Guid>{94A0DFFE-48AA-47DC-90FB-37B672F99D8A}</b:Guid>
    <b:Title>BEAUTY AND PERSONAL CARE </b:Title>
    <b:Year>2022</b:Year>
    <b:City>U.K</b:City>
    <b:Publisher>Mintel</b:Publisher>
    <b:Author>
      <b:Author>
        <b:NameList>
          <b:Person>
            <b:Last>Mintel</b:Last>
          </b:Person>
        </b:NameList>
      </b:Author>
    </b:Author>
    <b:YearAccessed>2022</b:YearAccessed>
    <b:MonthAccessed>10</b:MonthAccessed>
    <b:DayAccessed>19</b:DayAccessed>
    <b:URL>https://vle.lsbu.ac.uk/pluginfile.php/2406226/mod_resource/content/1/Beauty%20and%20Personal%20Care%20Retailing%20%20-%20UK%20-%202022%20-%20Executive%20Summary.pdf</b:URL>
    <b:RefOrder>1160</b:RefOrder>
  </b:Source>
  <b:Source>
    <b:Tag>Min181</b:Tag>
    <b:SourceType>JournalArticle</b:SourceType>
    <b:Guid>{5EA184D6-FFFB-48AB-B952-69900E5FEA84}</b:Guid>
    <b:Title>Hedonic and pragmatic halo effects at early stages of User Experience</b:Title>
    <b:JournalName>International Journal of Human - Computer Studies</b:JournalName>
    <b:Year>2018</b:Year>
    <b:Pages>13-25</b:Pages>
    <b:Author>
      <b:Author>
        <b:NameList>
          <b:Person>
            <b:Last>Minge</b:Last>
            <b:First>Michael</b:First>
          </b:Person>
          <b:Person>
            <b:Last>Thüring</b:Last>
            <b:First>Manfred</b:First>
          </b:Person>
        </b:NameList>
      </b:Author>
    </b:Author>
    <b:Month>01</b:Month>
    <b:Volume>109</b:Volume>
    <b:YearAccessed>2022</b:YearAccessed>
    <b:MonthAccessed>11</b:MonthAccessed>
    <b:DayAccessed>06</b:DayAccessed>
    <b:URL>https://search.ebscohost.com/login.aspx?direct=true&amp;db=edselp&amp;AN=S1071581917301076&amp;site=eds-live. Acesso em: 6 nov. 2022.</b:URL>
    <b:DOI>10.1016/j.ijhcs.2017.07.007.</b:DOI>
    <b:RefOrder>1033</b:RefOrder>
  </b:Source>
  <b:Source>
    <b:Tag>Min18</b:Tag>
    <b:SourceType>JournalArticle</b:SourceType>
    <b:Guid>{B82BC9B1-E6FF-4101-B0A2-DC8CCFA543CE}</b:Guid>
    <b:Title>Hedonic and pragmatic halo effects at early stages of User Experience</b:Title>
    <b:JournalName>International Journal of Human-Computer Studies</b:JournalName>
    <b:Year>2018</b:Year>
    <b:Pages>13-25</b:Pages>
    <b:Author>
      <b:Author>
        <b:NameList>
          <b:Person>
            <b:Last>Minge</b:Last>
            <b:First>Michael</b:First>
          </b:Person>
          <b:Person>
            <b:Last>Thüring</b:Last>
            <b:First>Manfred</b:First>
          </b:Person>
        </b:NameList>
      </b:Author>
    </b:Author>
    <b:Month>01</b:Month>
    <b:Volume>109</b:Volume>
    <b:YearAccessed>2022</b:YearAccessed>
    <b:MonthAccessed>05</b:MonthAccessed>
    <b:DayAccessed>30</b:DayAccessed>
    <b:DOI>https://doi.org/10.1016/j.ijhcs.2017.07.007</b:DOI>
    <b:RefOrder>652</b:RefOrder>
  </b:Source>
  <b:Source>
    <b:Tag>Mil20</b:Tag>
    <b:SourceType>JournalArticle</b:SourceType>
    <b:Guid>{DDFD892B-BC8A-4F7E-906D-CDBFFFD43CC6}</b:Guid>
    <b:Title>CSR Reputation and Firm Performance: A Dynamic Approach</b:Title>
    <b:Year>2020</b:Year>
    <b:JournalName>Journal of Business Ethics</b:JournalName>
    <b:Pages>619-636</b:Pages>
    <b:Author>
      <b:Author>
        <b:NameList>
          <b:Person>
            <b:Last>Miller</b:Last>
            <b:Middle>R</b:Middle>
            <b:First>Stewart </b:First>
          </b:Person>
          <b:Person>
            <b:Last>Eden</b:Last>
            <b:First>Lorraine</b:First>
          </b:Person>
          <b:Person>
            <b:Last>Li</b:Last>
            <b:First>Dan</b:First>
          </b:Person>
        </b:NameList>
      </b:Author>
    </b:Author>
    <b:Volume>163</b:Volume>
    <b:YearAccessed>2022</b:YearAccessed>
    <b:MonthAccessed>02</b:MonthAccessed>
    <b:DayAccessed>16</b:DayAccessed>
    <b:DOI>https://link.springer.com/article/10.1007/s10551-018-4057-1</b:DOI>
    <b:RefOrder>125</b:RefOrder>
  </b:Source>
  <b:Source>
    <b:Tag>Mil21</b:Tag>
    <b:SourceType>JournalArticle</b:SourceType>
    <b:Guid>{046FB53D-F291-47CF-BF15-94ED5A7BBF16}</b:Guid>
    <b:Title>A Spatial Exploration of the Halo Effect in the 2016 U.S. Presidential Election</b:Title>
    <b:JournalName>Annals of the American Association of Geographers</b:JournalName>
    <b:Year>2021</b:Year>
    <b:Pages>1094-1109</b:Pages>
    <b:Volume>111</b:Volume>
    <b:Issue>4</b:Issue>
    <b:YearAccessed>2023</b:YearAccessed>
    <b:MonthAccessed>03</b:MonthAccessed>
    <b:DayAccessed>17</b:DayAccessed>
    <b:DOI>https://doi.org/10.1080/24694452.2020.1785271</b:DOI>
    <b:Author>
      <b:Author>
        <b:NameList>
          <b:Person>
            <b:Last>Miller</b:Last>
            <b:Middle>A.</b:Middle>
            <b:First>Jennifer </b:First>
          </b:Person>
          <b:Person>
            <b:Last>Grubesic</b:Last>
            <b:Middle>H.</b:Middle>
            <b:First>Tony </b:First>
          </b:Person>
        </b:NameList>
      </b:Author>
    </b:Author>
    <b:RefOrder>682</b:RefOrder>
  </b:Source>
  <b:Source>
    <b:Tag>Mil56</b:Tag>
    <b:SourceType>JournalArticle</b:SourceType>
    <b:Guid>{1F10959E-D161-4320-A1C5-F25C953BC7F7}</b:Guid>
    <b:Title>The magical number seven, plus or minus two: Some limits on our capacity for processing information.</b:Title>
    <b:JournalName>Psychological Review</b:JournalName>
    <b:Year>1956</b:Year>
    <b:Pages>81-97</b:Pages>
    <b:Author>
      <b:Author>
        <b:NameList>
          <b:Person>
            <b:Last>Miller</b:Last>
            <b:Middle>A.</b:Middle>
            <b:First>George </b:First>
          </b:Person>
        </b:NameList>
      </b:Author>
    </b:Author>
    <b:Volume>63</b:Volume>
    <b:Issue>02</b:Issue>
    <b:YearAccessed>2022</b:YearAccessed>
    <b:MonthAccessed>12</b:MonthAccessed>
    <b:DayAccessed>02</b:DayAccessed>
    <b:URL> https://doi.org/10.1037/h0043158</b:URL>
    <b:RefOrder>1161</b:RefOrder>
  </b:Source>
  <b:Source>
    <b:Tag>Mil14</b:Tag>
    <b:SourceType>Book</b:SourceType>
    <b:Guid>{1806B107-AFFE-4800-96E1-3CA55FE48B41}</b:Guid>
    <b:Title>Qualitative Data Analysis</b:Title>
    <b:Year>2014</b:Year>
    <b:City>Thousand Oaks, CA</b:City>
    <b:Publisher>Sage Publications</b:Publisher>
    <b:Edition>3rd</b:Edition>
    <b:Author>
      <b:Author>
        <b:NameList>
          <b:Person>
            <b:Last>Miles</b:Last>
            <b:First>B.</b:First>
          </b:Person>
          <b:Person>
            <b:Last>Huberman</b:Last>
            <b:First>A </b:First>
          </b:Person>
          <b:Person>
            <b:Last>Saldana</b:Last>
            <b:First>J </b:First>
          </b:Person>
        </b:NameList>
      </b:Author>
    </b:Author>
    <b:RefOrder>1007</b:RefOrder>
  </b:Source>
  <b:Source>
    <b:Tag>Mid221</b:Tag>
    <b:SourceType>InternetSite</b:SourceType>
    <b:Guid>{2506EFFD-8C88-4E38-8219-F6B6D476F474}</b:Guid>
    <b:Title>Reliability vs Validity in Research | Differences, Types &amp; Examples</b:Title>
    <b:Year>2022</b:Year>
    <b:InternetSiteTitle>Scribbr</b:InternetSiteTitle>
    <b:Month>10</b:Month>
    <b:Day>10</b:Day>
    <b:URL>https://www.scribbr.co.uk/research-methods/reliability-or-validity/</b:URL>
    <b:Author>
      <b:Author>
        <b:NameList>
          <b:Person>
            <b:Last>Middleton</b:Last>
            <b:First>Fiona </b:First>
          </b:Person>
        </b:NameList>
      </b:Author>
    </b:Author>
    <b:RefOrder>770</b:RefOrder>
  </b:Source>
  <b:Source>
    <b:Tag>Mid22</b:Tag>
    <b:SourceType>InternetSite</b:SourceType>
    <b:Guid>{3B86912C-406A-4284-8ADC-CB65C294771E}</b:Guid>
    <b:Title>Reliability vs Validity in Research | Differences, Types &amp; Examples</b:Title>
    <b:Year>2022</b:Year>
    <b:InternetSiteTitle>Scribbr</b:InternetSiteTitle>
    <b:Month>05</b:Month>
    <b:Day>03</b:Day>
    <b:URL>https://www.scribbr.co.uk/research-methods/reliability-or-validity/</b:URL>
    <b:YearAccessed>2022</b:YearAccessed>
    <b:MonthAccessed>10</b:MonthAccessed>
    <b:DayAccessed>23</b:DayAccessed>
    <b:Author>
      <b:Author>
        <b:NameList>
          <b:Person>
            <b:Last>Middleton</b:Last>
            <b:First>Fiona</b:First>
          </b:Person>
        </b:NameList>
      </b:Author>
    </b:Author>
    <b:RefOrder>782</b:RefOrder>
  </b:Source>
  <b:Source>
    <b:Tag>Men17</b:Tag>
    <b:SourceType>JournalArticle</b:SourceType>
    <b:Guid>{5913863A-E0B8-4B80-8AC6-F518E8AB70E1}</b:Guid>
    <b:Title>Examining the moderating role of personality traits in the relationship between brand trust and brand loyalty</b:Title>
    <b:JournalName>Journal of Product &amp; Brand Management</b:JournalName>
    <b:Year>2017</b:Year>
    <b:Month>08</b:Month>
    <b:Volume>26</b:Volume>
    <b:Issue>1</b:Issue>
    <b:YearAccessed>2022</b:YearAccessed>
    <b:MonthAccessed>10</b:MonthAccessed>
    <b:DayAccessed>07</b:DayAccessed>
    <b:DOI>10.1108/JPBM-05-2016-1163</b:DOI>
    <b:Author>
      <b:Author>
        <b:NameList>
          <b:Person>
            <b:Last>Menidjel</b:Last>
            <b:First>Choukri </b:First>
          </b:Person>
          <b:Person>
            <b:Last>Benhabib</b:Last>
            <b:First>Abderrezzak </b:First>
          </b:Person>
          <b:Person>
            <b:Last>Bilgihan</b:Last>
            <b:First>Anil </b:First>
          </b:Person>
        </b:NameList>
      </b:Author>
    </b:Author>
    <b:RefOrder>1162</b:RefOrder>
  </b:Source>
  <b:Source>
    <b:Tag>Men20</b:Tag>
    <b:SourceType>JournalArticle</b:SourceType>
    <b:Guid>{FB31D373-0427-4EFF-9082-BBFF499F4065}</b:Guid>
    <b:Title>Method for conducting systematic literature review and meta-analysis for environmental science research</b:Title>
    <b:JournalName>MethodsX</b:JournalName>
    <b:Year>2020</b:Year>
    <b:Author>
      <b:Author>
        <b:NameList>
          <b:Person>
            <b:Last>Mengist</b:Last>
            <b:First>Wondimagegn</b:First>
          </b:Person>
          <b:Person>
            <b:Last>Soromessa</b:Last>
            <b:First>Teshome</b:First>
          </b:Person>
          <b:Person>
            <b:Last>Legese</b:Last>
            <b:First>Gudina</b:First>
          </b:Person>
        </b:NameList>
      </b:Author>
    </b:Author>
    <b:Month>01</b:Month>
    <b:Day>27</b:Day>
    <b:Volume>7</b:Volume>
    <b:YearAccessed>2022</b:YearAccessed>
    <b:MonthAccessed>12</b:MonthAccessed>
    <b:DayAccessed>01</b:DayAccessed>
    <b:URL>https://doi.org/10.1016/j.mex.2019.100777</b:URL>
    <b:DOI>https://doi.org/10.1016/j.mex.2019.100777</b:DOI>
    <b:RefOrder>462</b:RefOrder>
  </b:Source>
  <b:Source>
    <b:Tag>Meh74</b:Tag>
    <b:SourceType>Book</b:SourceType>
    <b:Guid>{562E72C4-6097-451F-9CD0-D5F2E6856549}</b:Guid>
    <b:Title>An Approach to Environmental Psychology.</b:Title>
    <b:Year>1974</b:Year>
    <b:Publisher>The MIT Press</b:Publisher>
    <b:Author>
      <b:Author>
        <b:NameList>
          <b:Person>
            <b:Last>Mehrabian</b:Last>
            <b:First>Albert </b:First>
          </b:Person>
          <b:Person>
            <b:Last>Russell</b:Last>
            <b:Middle>A.</b:Middle>
            <b:First>James </b:First>
          </b:Person>
        </b:NameList>
      </b:Author>
    </b:Author>
    <b:RefOrder>610</b:RefOrder>
  </b:Source>
  <b:Source>
    <b:Tag>McC11</b:Tag>
    <b:SourceType>JournalArticle</b:SourceType>
    <b:Guid>{E95877A4-4787-4F1A-8A4B-6CFE198C2598}</b:Guid>
    <b:Title>Internal Consistency, Retest Reliability, and their Implications For Personality Scale Validity</b:Title>
    <b:JournalName>Personality and Social Psychology Review</b:JournalName>
    <b:Year>2011</b:Year>
    <b:Pages>28-50</b:Pages>
    <b:Month>02</b:Month>
    <b:Volume>15</b:Volume>
    <b:Issue>1</b:Issue>
    <b:YearAccessed>2023</b:YearAccessed>
    <b:MonthAccessed>02</b:MonthAccessed>
    <b:DayAccessed>11</b:DayAccessed>
    <b:DOI>10.1177/1088868310366253</b:DOI>
    <b:Author>
      <b:Author>
        <b:NameList>
          <b:Person>
            <b:Last>McCrae</b:Last>
            <b:Middle>R.</b:Middle>
            <b:First>Robert </b:First>
          </b:Person>
          <b:Person>
            <b:Last>Kurtz</b:Last>
            <b:Middle>E.</b:Middle>
            <b:First>John </b:First>
          </b:Person>
          <b:Person>
            <b:Last>Yamagata</b:Last>
            <b:First>Shinji </b:First>
          </b:Person>
          <b:Person>
            <b:Last>Terracciano</b:Last>
            <b:First>Antonio </b:First>
          </b:Person>
        </b:NameList>
      </b:Author>
    </b:Author>
    <b:RefOrder>765</b:RefOrder>
  </b:Source>
  <b:Source>
    <b:Tag>Maz17</b:Tag>
    <b:SourceType>JournalArticle</b:SourceType>
    <b:Guid>{DD47A0EB-4FFB-46B9-AEE8-DB0270011586}</b:Guid>
    <b:Title>Cultural competence in working with the Arab Australian community: a conceptual review and the experience of the Arab Council Australia (ACA) gambling help counselling service</b:Title>
    <b:JournalName>Asian Journal of Gambling Issues and Public Health</b:JournalName>
    <b:Year>2017</b:Year>
    <b:Month>12</b:Month>
    <b:Day>11</b:Day>
    <b:Volume>7</b:Volume>
    <b:Issue>1</b:Issue>
    <b:YearAccessed>2023</b:YearAccessed>
    <b:MonthAccessed>03</b:MonthAccessed>
    <b:DayAccessed>21</b:DayAccessed>
    <b:DOI>10.1186/s40405-017-0029-0</b:DOI>
    <b:Author>
      <b:Author>
        <b:NameList>
          <b:Person>
            <b:Last>Mazbouh-Moussa</b:Last>
            <b:First>Randa </b:First>
          </b:Person>
          <b:Person>
            <b:Last>Ohtsuka</b:Last>
            <b:First>Keis </b:First>
          </b:Person>
        </b:NameList>
      </b:Author>
    </b:Author>
    <b:RefOrder>526</b:RefOrder>
  </b:Source>
  <b:Source>
    <b:Tag>May04</b:Tag>
    <b:SourceType>JournalArticle</b:SourceType>
    <b:Guid>{C4301D54-D18B-447D-A1C9-CEFE04EB742F}</b:Guid>
    <b:Title>The psychological conditions of meaningfulness, safety and availability and the engagement of the human spirit at work.</b:Title>
    <b:JournalName>Journal of Occupational and Organizational Psychology</b:JournalName>
    <b:Year>2004</b:Year>
    <b:Pages>11-37</b:Pages>
    <b:Author>
      <b:Author>
        <b:NameList>
          <b:Person>
            <b:Last>May</b:Last>
            <b:Middle>R</b:Middle>
            <b:First>Douglas </b:First>
          </b:Person>
          <b:Person>
            <b:Last>Gilson</b:Last>
            <b:Middle>L</b:Middle>
            <b:First>Richard </b:First>
          </b:Person>
          <b:Person>
            <b:Last>Harter</b:Last>
            <b:Middle>M.</b:Middle>
            <b:First>Lynn</b:First>
          </b:Person>
        </b:NameList>
      </b:Author>
    </b:Author>
    <b:Volume>77</b:Volume>
    <b:Issue>01</b:Issue>
    <b:YearAccessed>2022</b:YearAccessed>
    <b:MonthAccessed>01</b:MonthAccessed>
    <b:DayAccessed>25</b:DayAccessed>
    <b:DOI>https://doi.org/10.1348/096317904322915892</b:DOI>
    <b:RefOrder>178</b:RefOrder>
  </b:Source>
  <b:Source>
    <b:Tag>May17</b:Tag>
    <b:SourceType>BookSection</b:SourceType>
    <b:Guid>{F5CE3301-F21C-496A-907A-9DC2227A3CE0}</b:Guid>
    <b:Title>Simple Descriptive Statistics</b:Title>
    <b:Year>2017</b:Year>
    <b:BookTitle>The SAGE Encyclopedia of Communication Research Methods</b:BookTitle>
    <b:Publisher>Sage Publications</b:Publisher>
    <b:Author>
      <b:Author>
        <b:NameList>
          <b:Person>
            <b:Last>May</b:Last>
            <b:First>Amy</b:First>
          </b:Person>
        </b:NameList>
      </b:Author>
    </b:Author>
    <b:Volume>1-4</b:Volume>
    <b:YearAccessed>2023</b:YearAccessed>
    <b:MonthAccessed>04</b:MonthAccessed>
    <b:DayAccessed>23</b:DayAccessed>
    <b:DOI>https://doi.org/10.4135/9781483381411</b:DOI>
    <b:RefOrder>938</b:RefOrder>
  </b:Source>
  <b:Source>
    <b:Tag>Mat01</b:Tag>
    <b:SourceType>JournalArticle</b:SourceType>
    <b:Guid>{0209F829-BD4D-497B-A2C0-A44AE68E0AC5}</b:Guid>
    <b:Title>Congruency of scent and music as a driver of in-store evaluations and behavior</b:Title>
    <b:JournalName>Journal of Retailing</b:JournalName>
    <b:Year>2001</b:Year>
    <b:Pages>273-289</b:Pages>
    <b:Volume>77</b:Volume>
    <b:Issue>2</b:Issue>
    <b:Author>
      <b:Author>
        <b:NameList>
          <b:Person>
            <b:Last>Mattila</b:Last>
            <b:Middle>S.</b:Middle>
            <b:First>A.</b:First>
          </b:Person>
          <b:Person>
            <b:Last>Wirtz</b:Last>
            <b:First>J.</b:First>
          </b:Person>
        </b:NameList>
      </b:Author>
    </b:Author>
    <b:RefOrder>636</b:RefOrder>
  </b:Source>
  <b:Source>
    <b:Tag>Mat22</b:Tag>
    <b:SourceType>JournalArticle</b:SourceType>
    <b:Guid>{33001332-E4BE-47D2-8D76-7C33E484AF41}</b:Guid>
    <b:Title>Emotional production of common sense. Advertising with an aesthetic matrix</b:Title>
    <b:JournalName>Itinera</b:JournalName>
    <b:Year>2022</b:Year>
    <b:Pages>436-449</b:Pages>
    <b:Author>
      <b:Author>
        <b:NameList>
          <b:Person>
            <b:Last>Matetich</b:Last>
            <b:First>S</b:First>
          </b:Person>
        </b:NameList>
      </b:Author>
    </b:Author>
    <b:Volume>23</b:Volume>
    <b:YearAccessed>2022</b:YearAccessed>
    <b:MonthAccessed>11</b:MonthAccessed>
    <b:DayAccessed>06</b:DayAccessed>
    <b:DOI>10.54103/2039-9251/18571</b:DOI>
    <b:RefOrder>1163</b:RefOrder>
  </b:Source>
  <b:Source>
    <b:Tag>Mar181</b:Tag>
    <b:SourceType>JournalArticle</b:SourceType>
    <b:Guid>{CD2E3AA4-72EA-48B6-8BD1-3F28A4C2C7A1}</b:Guid>
    <b:Title>How smartphone advertising influences consumers' purchase intention</b:Title>
    <b:Year>2018</b:Year>
    <b:JournalName>Journal of Business Research</b:JournalName>
    <b:Month>01</b:Month>
    <b:Volume>94</b:Volume>
    <b:Issue>2</b:Issue>
    <b:YearAccessed>2023</b:YearAccessed>
    <b:MonthAccessed>04</b:MonthAccessed>
    <b:DayAccessed>28</b:DayAccessed>
    <b:DOI>10.1016/j.jbusres.2017.12.047</b:DOI>
    <b:Author>
      <b:Author>
        <b:NameList>
          <b:Person>
            <b:Last>Martins</b:Last>
            <b:Middle>Bandeira Rodrigues </b:Middle>
            <b:First>José Luis </b:First>
          </b:Person>
          <b:Person>
            <b:Last>Costa</b:Last>
            <b:First>Catarina</b:First>
          </b:Person>
          <b:Person>
            <b:Last>Oliveira</b:Last>
            <b:First>Tiago </b:First>
          </b:Person>
          <b:Person>
            <b:Last>Gonçalves</b:Last>
            <b:First>Ramiro </b:First>
          </b:Person>
          <b:Person>
            <b:Last>Branco</b:Last>
            <b:First>Frederico </b:First>
          </b:Person>
        </b:NameList>
      </b:Author>
    </b:Author>
    <b:RefOrder>349</b:RefOrder>
  </b:Source>
  <b:Source>
    <b:Tag>Mar22</b:Tag>
    <b:SourceType>InternetSite</b:SourceType>
    <b:Guid>{16DB3874-8F03-40FE-B681-7A5380E1B143}</b:Guid>
    <b:Title>Partnering with customers in search of lost trust in the new risk environment</b:Title>
    <b:InternetSiteTitle>Deloitte</b:InternetSiteTitle>
    <b:Year>2022</b:Year>
    <b:Month>03</b:Month>
    <b:Day>11</b:Day>
    <b:URL>https://www2.deloitte.com/global/en/blog/responsible-business-blog/2022/partnering-with-customers-in-search-of-lost-trust-in-the-new-risk-environment.html</b:URL>
    <b:YearAccessed>2022</b:YearAccessed>
    <b:MonthAccessed>10</b:MonthAccessed>
    <b:DayAccessed>07</b:DayAccessed>
    <b:Author>
      <b:Author>
        <b:NameList>
          <b:Person>
            <b:Last>Martínez</b:Last>
            <b:First>Ricardo </b:First>
          </b:Person>
        </b:NameList>
      </b:Author>
    </b:Author>
    <b:RefOrder>1164</b:RefOrder>
  </b:Source>
  <b:Source>
    <b:Tag>Mar20</b:Tag>
    <b:SourceType>JournalArticle</b:SourceType>
    <b:Guid>{13F81891-8B7D-4158-978E-250DD8EFD1CF}</b:Guid>
    <b:Title>A machine learning framework for customer purchase prediction in the non-contractual setting</b:Title>
    <b:JournalName>European Journal of Operational Research</b:JournalName>
    <b:Year>2020</b:Year>
    <b:Pages>588-596</b:Pages>
    <b:Author>
      <b:Author>
        <b:NameList>
          <b:Person>
            <b:Last>Martínez</b:Last>
            <b:First>Andrés</b:First>
          </b:Person>
          <b:Person>
            <b:Last>Schmuck</b:Last>
            <b:First>Claudia</b:First>
          </b:Person>
          <b:Person>
            <b:Last>Pereverzyev Jr.</b:Last>
            <b:First>Sergiy</b:First>
          </b:Person>
          <b:Person>
            <b:Last>Pirker</b:Last>
            <b:First>Clemens</b:First>
          </b:Person>
          <b:Person>
            <b:Last>Haltmeier</b:Last>
            <b:First>Markus</b:First>
          </b:Person>
        </b:NameList>
      </b:Author>
    </b:Author>
    <b:Month>03</b:Month>
    <b:Day>16</b:Day>
    <b:Volume>281</b:Volume>
    <b:Issue>03</b:Issue>
    <b:YearAccessed>2022</b:YearAccessed>
    <b:MonthAccessed>02</b:MonthAccessed>
    <b:DayAccessed>26</b:DayAccessed>
    <b:DOI>https://doi.org/10.1016/j.ejor.2018.04.034</b:DOI>
    <b:RefOrder>346</b:RefOrder>
  </b:Source>
  <b:Source>
    <b:Tag>Mar23</b:Tag>
    <b:SourceType>JournalArticle</b:SourceType>
    <b:Guid>{F32E27D2-570B-43C6-93C6-317389409ABA}</b:Guid>
    <b:Title>A “regional halo effect”: Media use and evaluations of America's strategic relationships with five Middle East countries</b:Title>
    <b:JournalName>International Communication Gazette</b:JournalName>
    <b:Year>2023</b:Year>
    <b:Month>03</b:Month>
    <b:Day>28</b:Day>
    <b:YearAccessed>2023</b:YearAccessed>
    <b:MonthAccessed>06</b:MonthAccessed>
    <b:DayAccessed>02</b:DayAccessed>
    <b:DOI>https://doi.org/10.1177/17480485231165208</b:DOI>
    <b:Author>
      <b:Author>
        <b:NameList>
          <b:Person>
            <b:Last>Martin</b:Last>
            <b:Middle>D.</b:Middle>
            <b:First>Justin</b:First>
          </b:Person>
          <b:Person>
            <b:Last>Alkazemi</b:Last>
            <b:First>Mariam </b:First>
          </b:Person>
          <b:Person>
            <b:Last>Sharma</b:Last>
            <b:First>Krishna </b:First>
          </b:Person>
        </b:NameList>
      </b:Author>
    </b:Author>
    <b:RefOrder>674</b:RefOrder>
  </b:Source>
  <b:Source>
    <b:Tag>Mar18</b:Tag>
    <b:SourceType>JournalArticle</b:SourceType>
    <b:Guid>{13171731-5457-41CA-B2F9-DFDCC5A20882}</b:Guid>
    <b:Title>The Halo Effect: Perceptions of Diffuse Threat and SVP Vote Share</b:Title>
    <b:JournalName>World Political Science</b:JournalName>
    <b:Year>2018</b:Year>
    <b:Month>05</b:Month>
    <b:Day>04</b:Day>
    <b:Volume>14</b:Volume>
    <b:Issue>1</b:Issue>
    <b:YearAccessed>2023</b:YearAccessed>
    <b:MonthAccessed>03</b:MonthAccessed>
    <b:DayAccessed>17</b:DayAccessed>
    <b:DOI>https://doi.org/10.1515/wps-2018-0002</b:DOI>
    <b:Author>
      <b:Author>
        <b:NameList>
          <b:Person>
            <b:Last>Martig </b:Last>
            <b:First>Noemi </b:First>
          </b:Person>
          <b:Person>
            <b:Last>Bernauer</b:Last>
            <b:First>Julian </b:First>
          </b:Person>
        </b:NameList>
      </b:Author>
    </b:Author>
    <b:RefOrder>679</b:RefOrder>
  </b:Source>
  <b:Source>
    <b:Tag>Mar16</b:Tag>
    <b:SourceType>JournalArticle</b:SourceType>
    <b:Guid>{61714BF3-FAF5-4F80-8DC2-A5A9FD1DB944}</b:Guid>
    <b:Title>The use of snowball sampling for multi source organizational research: Some cause for concern</b:Title>
    <b:JournalName>Personnel Psychology</b:JournalName>
    <b:Year>2016</b:Year>
    <b:Pages>635-673</b:Pages>
    <b:Volume>70</b:Volume>
    <b:Issue>03</b:Issue>
    <b:Author>
      <b:Author>
        <b:NameList>
          <b:Person>
            <b:Last>Marcus </b:Last>
            <b:First>Bernd</b:First>
          </b:Person>
          <b:Person>
            <b:Last>Weigelt</b:Last>
            <b:First>Oliver</b:First>
          </b:Person>
          <b:Person>
            <b:Last>Hergert</b:Last>
            <b:First>Jane</b:First>
          </b:Person>
          <b:Person>
            <b:Last>Gurt</b:Last>
            <b:First>Jochen</b:First>
          </b:Person>
          <b:Person>
            <b:Last>Gelléri</b:Last>
            <b:First>Petra </b:First>
          </b:Person>
        </b:NameList>
      </b:Author>
    </b:Author>
    <b:Month>05</b:Month>
    <b:Day>04</b:Day>
    <b:YearAccessed>2022</b:YearAccessed>
    <b:MonthAccessed>01</b:MonthAccessed>
    <b:DayAccessed>30</b:DayAccessed>
    <b:DOI>https://doi.org/10.1111/peps.12169</b:DOI>
    <b:RefOrder>1165</b:RefOrder>
  </b:Source>
  <b:Source>
    <b:Tag>Mar09</b:Tag>
    <b:SourceType>JournalArticle</b:SourceType>
    <b:Guid>{8B8C9BFA-556A-4A96-94F1-FA69959231CB}</b:Guid>
    <b:Title>Consumer concern, knowledge and attitude towards counterfeit apparel products.</b:Title>
    <b:Year>2009</b:Year>
    <b:Pages>327-337</b:Pages>
    <b:JournalName>International IJC</b:JournalName>
    <b:Month>03</b:Month>
    <b:Volume>33</b:Volume>
    <b:Issue>3</b:Issue>
    <b:YearAccessed>2023</b:YearAccessed>
    <b:MonthAccessed>05</b:MonthAccessed>
    <b:DayAccessed>10</b:DayAccessed>
    <b:DOI>10.1111/j.1470-6431.2009.00748.x</b:DOI>
    <b:Author>
      <b:Author>
        <b:NameList>
          <b:Person>
            <b:Last>Marcketti</b:Last>
            <b:Middle>B.</b:Middle>
            <b:First>Sara </b:First>
          </b:Person>
          <b:Person>
            <b:Last>Shelley</b:Last>
            <b:Middle>C.</b:Middle>
            <b:First>Mack</b:First>
          </b:Person>
        </b:NameList>
      </b:Author>
    </b:Author>
    <b:RefOrder>568</b:RefOrder>
  </b:Source>
  <b:Source>
    <b:Tag>Mar21</b:Tag>
    <b:SourceType>JournalArticle</b:SourceType>
    <b:Guid>{759A67CA-54F3-4EF3-82B6-6ABEDDD5E8AB}</b:Guid>
    <b:Title>Corporate Social Responsibility As a Source of Competitive Advantage in Large Enterprise</b:Title>
    <b:JournalName>Journal of Competitiveness</b:JournalName>
    <b:Year>2021</b:Year>
    <b:Pages>113-128</b:Pages>
    <b:Author>
      <b:Author>
        <b:NameList>
          <b:Person>
            <b:Last>Marakova</b:Last>
            <b:First>Vanda</b:First>
          </b:Person>
          <b:Person>
            <b:Last>Wolak-Tuzimek</b:Last>
            <b:First>Anna</b:First>
          </b:Person>
          <b:Person>
            <b:Last>Tuckova </b:Last>
            <b:First>Zuzana</b:First>
          </b:Person>
        </b:NameList>
      </b:Author>
    </b:Author>
    <b:Month>03</b:Month>
    <b:Volume>13</b:Volume>
    <b:Issue>1</b:Issue>
    <b:YearAccessed>2021</b:YearAccessed>
    <b:MonthAccessed>11</b:MonthAccessed>
    <b:DayAccessed>28</b:DayAccessed>
    <b:DOI>https://doi.org/10.7441/joc.2021.01.07</b:DOI>
    <b:RefOrder>116</b:RefOrder>
  </b:Source>
  <b:Source>
    <b:Tag>Man11</b:Tag>
    <b:SourceType>JournalArticle</b:SourceType>
    <b:Guid>{5AD50A32-80A3-4DF5-AB19-4F9EAA3B73B1}</b:Guid>
    <b:Title>The benefits of a critical stance: A reflection on past papers on the theories of reasoned action and planned behaviour</b:Title>
    <b:JournalName>British Journal of Social Psychology</b:JournalName>
    <b:Year>2011</b:Year>
    <b:Pages>366-373</b:Pages>
    <b:Month>09</b:Month>
    <b:Day>02</b:Day>
    <b:Volume>50</b:Volume>
    <b:Issue>3</b:Issue>
    <b:YearAccessed>2023</b:YearAccessed>
    <b:MonthAccessed>03</b:MonthAccessed>
    <b:DayAccessed>16</b:DayAccessed>
    <b:DOI>https://doi.org/10.1111/j.2044-8309.2011.02043.x</b:DOI>
    <b:Author>
      <b:Author>
        <b:NameList>
          <b:Person>
            <b:Last>Manstead</b:Last>
            <b:Middle>S. R.</b:Middle>
            <b:First>Antony </b:First>
          </b:Person>
        </b:NameList>
      </b:Author>
    </b:Author>
    <b:RefOrder>576</b:RefOrder>
  </b:Source>
  <b:Source>
    <b:Tag>Man21</b:Tag>
    <b:SourceType>InternetSite</b:SourceType>
    <b:Guid>{5E862DB1-F857-4CB4-91B8-38CF92336E15}</b:Guid>
    <b:Author>
      <b:Author>
        <b:NameList>
          <b:Person>
            <b:Last>ManpowerGroup</b:Last>
          </b:Person>
        </b:NameList>
      </b:Author>
    </b:Author>
    <b:Title>Emiratisation</b:Title>
    <b:Year>2021</b:Year>
    <b:YearAccessed>2021</b:YearAccessed>
    <b:MonthAccessed>12</b:MonthAccessed>
    <b:DayAccessed>30</b:DayAccessed>
    <b:URL>https://www.emiratisation.org/about</b:URL>
    <b:RefOrder>1166</b:RefOrder>
  </b:Source>
  <b:Source>
    <b:Tag>Man18</b:Tag>
    <b:SourceType>JournalArticle</b:SourceType>
    <b:Guid>{5852D260-3B92-4AAB-A1E5-5287B2A2F4B5}</b:Guid>
    <b:Title>What and how to communicate about a corporate brand with the consumers: An exploratory study</b:Title>
    <b:JournalName>Journal of Marketing Communications</b:JournalName>
    <b:Year>2018</b:Year>
    <b:Pages>230-249</b:Pages>
    <b:Volume>24</b:Volume>
    <b:Issue>3</b:Issue>
    <b:YearAccessed>2021</b:YearAccessed>
    <b:MonthAccessed>12</b:MonthAccessed>
    <b:DayAccessed>12</b:DayAccessed>
    <b:DOI>https://doi.org/10.1080/13527266.2014.995206</b:DOI>
    <b:Author>
      <b:Author>
        <b:NameList>
          <b:Person>
            <b:Last>Mann</b:Last>
            <b:Middle>Jit Singh</b:Middle>
            <b:First>Bikran</b:First>
          </b:Person>
          <b:Person>
            <b:Last>Ghuman</b:Last>
            <b:Middle>Kaur </b:Middle>
            <b:First>Mandeep</b:First>
          </b:Person>
        </b:NameList>
      </b:Author>
    </b:Author>
    <b:RefOrder>15</b:RefOrder>
  </b:Source>
  <b:Source>
    <b:Tag>Man181</b:Tag>
    <b:SourceType>JournalArticle</b:SourceType>
    <b:Guid>{C9FDB6F3-F84B-460C-B03B-ADEE101FE655}</b:Guid>
    <b:Title>In order to understand consumer responses to CSR, companies need to consider not only external</b:Title>
    <b:JournalName>International Journal in Management and Social Science</b:JournalName>
    <b:Year>2018</b:Year>
    <b:Pages>593 - 603</b:Pages>
    <b:Volume>3</b:Volume>
    <b:Issue>7</b:Issue>
    <b:Month>06</b:Month>
    <b:Day>22</b:Day>
    <b:YearAccessed>2021</b:YearAccessed>
    <b:MonthAccessed>12</b:MonthAccessed>
    <b:DayAccessed>26</b:DayAccessed>
    <b:URL>https://www.academia.edu/38680970/Consumer_Responses_to_CSR_initiatives_with_reference_to_FMCG_Brands_Domex_and_Pampers</b:URL>
    <b:Author>
      <b:Author>
        <b:NameList>
          <b:Person>
            <b:Last>Manimalar</b:Last>
            <b:First>R</b:First>
          </b:Person>
        </b:NameList>
      </b:Author>
    </b:Author>
    <b:RefOrder>454</b:RefOrder>
  </b:Source>
  <b:Source>
    <b:Tag>Mal81</b:Tag>
    <b:SourceType>JournalArticle</b:SourceType>
    <b:Guid>{3E1E3A30-CD2F-45B5-B16C-2BAB75D82165}</b:Guid>
    <b:Title>A Scale to Measure Self-Concepts, Person Concepts, and Product Concepts</b:Title>
    <b:JournalName>Journal of Marketing Research</b:JournalName>
    <b:Year>1981</b:Year>
    <b:Pages>456-464</b:Pages>
    <b:Month>11</b:Month>
    <b:Volume>18</b:Volume>
    <b:Issue>4</b:Issue>
    <b:URL>https://www.jstor.org/stable/3151339</b:URL>
    <b:DOI>https://doi.org/10.2307/3151339</b:DOI>
    <b:Author>
      <b:Author>
        <b:NameList>
          <b:Person>
            <b:Last>Malhotra</b:Last>
            <b:Middle>J.</b:Middle>
            <b:First>Naresh </b:First>
          </b:Person>
        </b:NameList>
      </b:Author>
    </b:Author>
    <b:RefOrder>1167</b:RefOrder>
  </b:Source>
  <b:Source>
    <b:Tag>Mal01</b:Tag>
    <b:SourceType>JournalArticle</b:SourceType>
    <b:Guid>{6B28A7E9-AB39-48BB-B598-5970E4A96E73}</b:Guid>
    <b:Title>A cross‐cultural comparison of behavioral intention models: theoretical consideration and an empirical investigation</b:Title>
    <b:JournalName>International Marketing Review</b:JournalName>
    <b:Year>2001</b:Year>
    <b:Pages>235-269</b:Pages>
    <b:Volume>18</b:Volume>
    <b:Issue>3</b:Issue>
    <b:YearAccessed>2023</b:YearAccessed>
    <b:MonthAccessed>03</b:MonthAccessed>
    <b:DayAccessed>04</b:DayAccessed>
    <b:Author>
      <b:Author>
        <b:NameList>
          <b:Person>
            <b:Last>Malhotra</b:Last>
            <b:Middle>K.</b:Middle>
            <b:First>N.</b:First>
          </b:Person>
          <b:Person>
            <b:Last>McCort</b:Last>
            <b:Middle>D.</b:Middle>
            <b:First>J.</b:First>
          </b:Person>
        </b:NameList>
      </b:Author>
    </b:Author>
    <b:RefOrder>566</b:RefOrder>
  </b:Source>
  <b:Source>
    <b:Tag>Mah22</b:Tag>
    <b:SourceType>JournalArticle</b:SourceType>
    <b:Guid>{287680C3-D2DA-460A-A0B6-6433F62378EC}</b:Guid>
    <b:Title>Impact of Social media on TV Journalism: A study with reference to Twitter and Face book</b:Title>
    <b:JournalName>International Journal of Economic Perspectives</b:JournalName>
    <b:Year>2022</b:Year>
    <b:Pages>1-9</b:Pages>
    <b:Month>03</b:Month>
    <b:Volume>16</b:Volume>
    <b:Issue>3</b:Issue>
    <b:YearAccessed>2023</b:YearAccessed>
    <b:MonthAccessed>02</b:MonthAccessed>
    <b:DayAccessed>21</b:DayAccessed>
    <b:URL>http://www.ijeponline.org/index.php/journal/article/view/132</b:URL>
    <b:Author>
      <b:Author>
        <b:NameList>
          <b:Person>
            <b:Last>Mahanti</b:Last>
            <b:First>Sunita </b:First>
          </b:Person>
        </b:NameList>
      </b:Author>
    </b:Author>
    <b:RefOrder>424</b:RefOrder>
  </b:Source>
  <b:Source>
    <b:Tag>Mah11</b:Tag>
    <b:SourceType>JournalArticle</b:SourceType>
    <b:Guid>{B22FF87D-885C-4B38-80D3-33E1D98BB0AE}</b:Guid>
    <b:Title>A Longitudinal Study of Corporate Social Disclosures in a Developing Economy</b:Title>
    <b:JournalName>Journal of Business Ethics</b:JournalName>
    <b:Year>2011</b:Year>
    <b:Pages>545-558</b:Pages>
    <b:Volume>104</b:Volume>
    <b:Issue>4</b:Issue>
    <b:Month>12</b:Month>
    <b:YearAccessed>2021</b:YearAccessed>
    <b:MonthAccessed>12</b:MonthAccessed>
    <b:DayAccessed>30</b:DayAccessed>
    <b:DOI>10.1007/s10551-011-0929-3</b:DOI>
    <b:Author>
      <b:Author>
        <b:NameList>
          <b:Person>
            <b:Last>Mahadeo</b:Last>
            <b:Middle>Devi</b:Middle>
            <b:First>Jyoti</b:First>
          </b:Person>
          <b:Person>
            <b:Last>Oogarah-Hanuman</b:Last>
            <b:First>Vanisha</b:First>
          </b:Person>
          <b:Person>
            <b:Last> Soobaroyen</b:Last>
            <b:First>Teerooven</b:First>
          </b:Person>
        </b:NameList>
      </b:Author>
    </b:Author>
    <b:RefOrder>200</b:RefOrder>
  </b:Source>
  <b:Source>
    <b:Tag>Mag19</b:Tag>
    <b:SourceType>InternetSite</b:SourceType>
    <b:Guid>{E484744A-7641-489A-8320-CEEF89AB58F1}</b:Guid>
    <b:Title>Kendall Rank Correlation Explained.</b:Title>
    <b:Year>2019</b:Year>
    <b:YearAccessed>2023</b:YearAccessed>
    <b:MonthAccessed>01</b:MonthAccessed>
    <b:DayAccessed>17</b:DayAccessed>
    <b:URL>https://towardsdatascience.com/kendall-rank-correlation-explained-dee01d99c535#:~:text=Kendall%20rank%20correlation%20(non%2Dparametric)%20is%20an%20alternative%20to,and%20has%20many%20tied%20ranks.</b:URL>
    <b:InternetSiteTitle>Towards data science</b:InternetSiteTitle>
    <b:Month>06</b:Month>
    <b:Day>17</b:Day>
    <b:Author>
      <b:Author>
        <b:NameList>
          <b:Person>
            <b:Last>Magiya</b:Last>
            <b:First>Joseph </b:First>
          </b:Person>
        </b:NameList>
      </b:Author>
    </b:Author>
    <b:RefOrder>951</b:RefOrder>
  </b:Source>
  <b:Source>
    <b:Tag>Mag20</b:Tag>
    <b:SourceType>ArticleInAPeriodical</b:SourceType>
    <b:Guid>{B24AE1CD-C4E2-4063-9033-D69C1B5626A9}</b:Guid>
    <b:Title>Semi-structured interviews.</b:Title>
    <b:JournalName>Encyclopedia of personality and individual differences</b:JournalName>
    <b:Year>2020</b:Year>
    <b:Pages>4825-4830</b:Pages>
    <b:PeriodicalTitle>Encyclopedia of personality and individual differences</b:PeriodicalTitle>
    <b:Author>
      <b:Author>
        <b:NameList>
          <b:Person>
            <b:Last>Magaldi</b:Last>
            <b:First>D.</b:First>
          </b:Person>
          <b:Person>
            <b:Last>Berler</b:Last>
            <b:First>M.</b:First>
          </b:Person>
        </b:NameList>
      </b:Author>
    </b:Author>
    <b:RefOrder>1168</b:RefOrder>
  </b:Source>
  <b:Source>
    <b:Tag>Mad16</b:Tag>
    <b:SourceType>JournalArticle</b:SourceType>
    <b:Guid>{70F61D63-FC30-4D70-B734-710115A042B3}</b:Guid>
    <b:Title>Relationship between corporate social responsibility and competitive performance in Spanish SMEs: Empirical evidence from a stakeholders’ perspective</b:Title>
    <b:JournalName>Business Research Quarterly</b:JournalName>
    <b:Year>2016</b:Year>
    <b:Pages>55 - 72</b:Pages>
    <b:Month>03</b:Month>
    <b:Volume>19</b:Volume>
    <b:Issue>1</b:Issue>
    <b:YearAccessed>2021</b:YearAccessed>
    <b:MonthAccessed>11</b:MonthAccessed>
    <b:DayAccessed>28</b:DayAccessed>
    <b:DOI>https://doi.org/10.1016/j.brq.2015.06.002</b:DOI>
    <b:Author>
      <b:Author>
        <b:NameList>
          <b:Person>
            <b:Last>Madueño</b:Last>
            <b:Middle>Herrera</b:Middle>
            <b:First>Jesús</b:First>
          </b:Person>
          <b:Person>
            <b:Last>Jorge</b:Last>
            <b:Middle>Larrán</b:Middle>
            <b:First>Manuel</b:First>
          </b:Person>
          <b:Person>
            <b:Last>Conesa</b:Last>
            <b:Middle>Martínez </b:Middle>
            <b:First>Isabel </b:First>
          </b:Person>
          <b:Person>
            <b:Last>Martínez-Martínez</b:Last>
            <b:First>Domingo </b:First>
          </b:Person>
        </b:NameList>
      </b:Author>
    </b:Author>
    <b:RefOrder>115</b:RefOrder>
  </b:Source>
  <b:Source>
    <b:Tag>Mad921</b:Tag>
    <b:SourceType>JournalArticle</b:SourceType>
    <b:Guid>{6C5353D1-676C-41A0-896E-93B9B2AFEC03}</b:Guid>
    <b:Title>A Comparison of the Theory of Planned Behavior and the Theory of Reasoned Action</b:Title>
    <b:JournalName>Personality and Social Psychology Bulletin</b:JournalName>
    <b:Year>1992</b:Year>
    <b:Pages>3-9</b:Pages>
    <b:Month>02</b:Month>
    <b:Volume>18</b:Volume>
    <b:Issue>1</b:Issue>
    <b:YearAccessed>2023</b:YearAccessed>
    <b:MonthAccessed>03</b:MonthAccessed>
    <b:DayAccessed>15</b:DayAccessed>
    <b:DOI>https://doi.org/10.1177/0146167292181001</b:DOI>
    <b:Author>
      <b:Author>
        <b:NameList>
          <b:Person>
            <b:Last>Madden</b:Last>
            <b:Middle>J.</b:Middle>
            <b:First>Thomas </b:First>
          </b:Person>
          <b:Person>
            <b:Last>Ellen</b:Last>
            <b:Middle>Scholder </b:Middle>
            <b:First>Pamela </b:First>
          </b:Person>
          <b:Person>
            <b:Last>Ajzen</b:Last>
            <b:First>Icek </b:First>
          </b:Person>
        </b:NameList>
      </b:Author>
    </b:Author>
    <b:RefOrder>569</b:RefOrder>
  </b:Source>
  <b:Source>
    <b:Tag>Mad92</b:Tag>
    <b:SourceType>JournalArticle</b:SourceType>
    <b:Guid>{78AAA2F5-121D-4DC2-B20C-5C2D4859DD56}</b:Guid>
    <b:Title>A Comparison of the Theory of Planned Behavior and the Theory of Reasoned Action</b:Title>
    <b:JournalName>Personality and Social Psychology Bulletin</b:JournalName>
    <b:Year>1992</b:Year>
    <b:Pages>3-9</b:Pages>
    <b:Volume>18</b:Volume>
    <b:Issue>1</b:Issue>
    <b:YearAccessed>2023</b:YearAccessed>
    <b:MonthAccessed>03</b:MonthAccessed>
    <b:DayAccessed>04</b:DayAccessed>
    <b:DOI>https://doi.org/10.1177/0146167292181001</b:DOI>
    <b:Author>
      <b:Author>
        <b:NameList>
          <b:Person>
            <b:Last>Madden</b:Last>
            <b:Middle>J.</b:Middle>
            <b:First>Thomas </b:First>
          </b:Person>
          <b:Person>
            <b:Last>Ellen</b:Last>
            <b:Middle>Scholder </b:Middle>
            <b:First>Pamela </b:First>
          </b:Person>
          <b:Person>
            <b:Last>Ajzen</b:Last>
            <b:First>Icek </b:First>
          </b:Person>
        </b:NameList>
      </b:Author>
    </b:Author>
    <b:RefOrder>571</b:RefOrder>
  </b:Source>
  <b:Source>
    <b:Tag>Mac11</b:Tag>
    <b:SourceType>JournalArticle</b:SourceType>
    <b:Guid>{42989FB8-186E-4320-B07D-F5FF6F27BDD8}</b:Guid>
    <b:Title>A Framework for Conceptual Contributions in Marketing</b:Title>
    <b:JournalName>Journal of Marketing</b:JournalName>
    <b:Year>2011</b:Year>
    <b:Month>07</b:Month>
    <b:Day>01</b:Day>
    <b:Volume>75</b:Volume>
    <b:Issue>4</b:Issue>
    <b:YearAccessed>2023</b:YearAccessed>
    <b:MonthAccessed>03</b:MonthAccessed>
    <b:DayAccessed>02</b:DayAccessed>
    <b:DOI>https://doi.org/10.1509/jmkg.75.4.136</b:DOI>
    <b:Author>
      <b:Author>
        <b:NameList>
          <b:Person>
            <b:Last>MacInnis</b:Last>
            <b:Middle>J.</b:Middle>
            <b:First>Deborah</b:First>
          </b:Person>
        </b:NameList>
      </b:Author>
    </b:Author>
    <b:RefOrder>1169</b:RefOrder>
  </b:Source>
  <b:Source>
    <b:Tag>Machi</b:Tag>
    <b:SourceType>JournalArticle</b:SourceType>
    <b:Guid>{B608F1E0-DFD4-47DA-87C3-F117A282231F}</b:Guid>
    <b:Title>Exploring the impact of brand awareness, brand loyalty and brand attitude on purchase intention in online shopping</b:Title>
    <b:JournalName>INTERNATIONAL JOURNAL OF RESEARCH IN BUSINESS AND SOCIAL SCIENCE</b:JournalName>
    <b:Year>2022</b:Year>
    <b:Pages>176-187</b:Pages>
    <b:Author>
      <b:Author>
        <b:NameList>
          <b:Person>
            <b:Last>Machi</b:Last>
            <b:First>Lesedi </b:First>
          </b:Person>
          <b:Person>
            <b:Last>Nemavhidi</b:Last>
            <b:First>Phindulo </b:First>
          </b:Person>
          <b:Person>
            <b:Last>Chuchu</b:Last>
            <b:First>Tinashe </b:First>
          </b:Person>
          <b:Person>
            <b:Last>Nyagadza</b:Last>
            <b:First>Brighton </b:First>
          </b:Person>
          <b:Person>
            <b:Last>Venter de Villiers</b:Last>
            <b:First>Marike </b:First>
          </b:Person>
        </b:NameList>
      </b:Author>
    </b:Author>
    <b:Month>07</b:Month>
    <b:Volume>11</b:Volume>
    <b:Issue>5</b:Issue>
    <b:YearAccessed>2023</b:YearAccessed>
    <b:MonthAccessed>08</b:MonthAccessed>
    <b:DayAccessed>09</b:DayAccessed>
    <b:DOI>https://doi.org/10.20525/ijrbs.v11i5.1841</b:DOI>
    <b:RefOrder>237</b:RefOrder>
  </b:Source>
  <b:Source>
    <b:Tag>Lut83</b:Tag>
    <b:SourceType>JournalArticle</b:SourceType>
    <b:Guid>{836DD53C-2B63-4BD4-BBCE-15A956BF48C8}</b:Guid>
    <b:Title>Attitude Toward the Ad As a Mediator of Advertising Effectiveness: Determinants and Consequences</b:Title>
    <b:JournalName>Advances in Consumer Research</b:JournalName>
    <b:Year>1983</b:Year>
    <b:Pages>532-539</b:Pages>
    <b:Author>
      <b:Author>
        <b:NameList>
          <b:Person>
            <b:Last>Lutz</b:Last>
            <b:Middle>J.</b:Middle>
            <b:First>Richard </b:First>
          </b:Person>
          <b:Person>
            <b:Last>MacKenzie</b:Last>
            <b:Middle>B.</b:Middle>
            <b:First>Scott </b:First>
          </b:Person>
          <b:Person>
            <b:Last>Belch</b:Last>
            <b:Middle>E.</b:Middle>
            <b:First>George </b:First>
          </b:Person>
        </b:NameList>
      </b:Author>
    </b:Author>
    <b:Volume>10</b:Volume>
    <b:Issue>1</b:Issue>
    <b:YearAccessed>2023</b:YearAccessed>
    <b:MonthAccessed>07</b:MonthAccessed>
    <b:DayAccessed>28</b:DayAccessed>
    <b:RefOrder>241</b:RefOrder>
  </b:Source>
  <b:Source>
    <b:Tag>Luo21</b:Tag>
    <b:SourceType>JournalArticle</b:SourceType>
    <b:Guid>{F91E9483-4B86-480F-84EF-84F5C1D7CE22}</b:Guid>
    <b:Title>Construct/Factorial Validity</b:Title>
    <b:JournalName>J Pain Res</b:JournalName>
    <b:Year>2021</b:Year>
    <b:Author>
      <b:Author>
        <b:NameList>
          <b:Person>
            <b:Last>Luo</b:Last>
            <b:First>Yang</b:First>
          </b:Person>
          <b:Person>
            <b:Last>Li</b:Last>
            <b:First>Sisi</b:First>
          </b:Person>
          <b:Person>
            <b:Last>He</b:Last>
            <b:First>Jingting </b:First>
          </b:Person>
          <b:Person>
            <b:Last>Cai</b:Last>
            <b:First>Dan</b:First>
          </b:Person>
          <b:Person>
            <b:Last>Dai</b:Last>
            <b:First>Yi</b:First>
          </b:Person>
          <b:Person>
            <b:Last>Feng</b:Last>
            <b:First>Lijuan </b:First>
          </b:Person>
          <b:Person>
            <b:Last>Sun</b:Last>
            <b:First>Chengqin</b:First>
          </b:Person>
          <b:Person>
            <b:Last> Zhu</b:Last>
            <b:First>Xiaoping</b:First>
          </b:Person>
        </b:NameList>
      </b:Author>
    </b:Author>
    <b:Month>01</b:Month>
    <b:YearAccessed>2023</b:YearAccessed>
    <b:MonthAccessed>02</b:MonthAccessed>
    <b:DayAccessed>11</b:DayAccessed>
    <b:DOI>10.2147/JPR.S275227</b:DOI>
    <b:RefOrder>772</b:RefOrder>
  </b:Source>
  <b:Source>
    <b:Tag>Luo22</b:Tag>
    <b:SourceType>InternetSite</b:SourceType>
    <b:Guid>{46C314F2-7E82-4974-8D75-6D6ACAFCBF40}</b:Guid>
    <b:Title>Content Analysis | A Step-by-Step Guide with Examples</b:Title>
    <b:InternetSiteTitle>Scribbr</b:InternetSiteTitle>
    <b:Year>2022</b:Year>
    <b:Month>12</b:Month>
    <b:Day>05</b:Day>
    <b:URL>https://www.scribbr.co.uk/research-methods/content-analysis-explained/</b:URL>
    <b:Author>
      <b:Author>
        <b:NameList>
          <b:Person>
            <b:Last>Luo</b:Last>
            <b:First>Amy</b:First>
          </b:Person>
        </b:NameList>
      </b:Author>
    </b:Author>
    <b:RefOrder>984</b:RefOrder>
  </b:Source>
  <b:Source>
    <b:Tag>LuJ23</b:Tag>
    <b:SourceType>JournalArticle</b:SourceType>
    <b:Guid>{FF588D06-D1FE-485F-B3A4-61BFB030E2E5}</b:Guid>
    <b:Title>The Influence of a firm's CSR Initiatives on brand loyalty and brand image</b:Title>
    <b:JournalName>Journal of Competitiveness</b:JournalName>
    <b:Pages>106-124</b:Pages>
    <b:Author>
      <b:Author>
        <b:NameList>
          <b:Person>
            <b:Last>Lu</b:Last>
            <b:First>Jintao </b:First>
          </b:Person>
          <b:Person>
            <b:Last>Ren</b:Last>
            <b:First>Licheng </b:First>
          </b:Person>
          <b:Person>
            <b:Last>Zhang</b:Last>
            <b:First>Chong </b:First>
          </b:Person>
          <b:Person>
            <b:Last>Wang</b:Last>
            <b:First>Chunyan </b:First>
          </b:Person>
          <b:Person>
            <b:Last>Shahid</b:Last>
            <b:First>Zahra </b:First>
          </b:Person>
          <b:Person>
            <b:Last>Streimikis</b:Last>
            <b:First>Justas </b:First>
          </b:Person>
        </b:NameList>
      </b:Author>
    </b:Author>
    <b:Volume>12</b:Volume>
    <b:Issue>2</b:Issue>
    <b:YearAccessed>2023</b:YearAccessed>
    <b:MonthAccessed>05</b:MonthAccessed>
    <b:DayAccessed>15</b:DayAccessed>
    <b:DOI>https://doi.org/10.7441/joc.2020.02.07</b:DOI>
    <b:Year>2020</b:Year>
    <b:Month>05</b:Month>
    <b:RefOrder>11</b:RefOrder>
  </b:Source>
  <b:Source>
    <b:Tag>LuJ20</b:Tag>
    <b:SourceType>JournalArticle</b:SourceType>
    <b:Guid>{EF5A17EC-6D84-46BB-A72B-B4450D5783AA}</b:Guid>
    <b:Title>The influence of a firm’s CSR initiatives on brand loyalty and brand image.</b:Title>
    <b:JournalName>Journal of Competitiveness</b:JournalName>
    <b:Year>2020</b:Year>
    <b:Pages>106-124</b:Pages>
    <b:Month>05</b:Month>
    <b:Volume>12</b:Volume>
    <b:Issue>2</b:Issue>
    <b:YearAccessed>2023</b:YearAccessed>
    <b:MonthAccessed>02</b:MonthAccessed>
    <b:DayAccessed>18</b:DayAccessed>
    <b:DOI> https://doi.org/10.7441/joc.2020.02.07</b:DOI>
    <b:Author>
      <b:Author>
        <b:NameList>
          <b:Person>
            <b:Last>Lu</b:Last>
            <b:First>Jintao</b:First>
          </b:Person>
          <b:Person>
            <b:Last>Ren</b:Last>
            <b:First>Licheng </b:First>
          </b:Person>
          <b:Person>
            <b:Last>Zhang</b:Last>
            <b:First>Chong </b:First>
          </b:Person>
          <b:Person>
            <b:Last>Wang</b:Last>
            <b:First>Chunyan </b:First>
          </b:Person>
          <b:Person>
            <b:Last>Shahid</b:Last>
            <b:First>Zahra </b:First>
          </b:Person>
          <b:Person>
            <b:Last>Streimikis</b:Last>
            <b:First>Justas </b:First>
          </b:Person>
        </b:NameList>
      </b:Author>
    </b:Author>
    <b:RefOrder>222</b:RefOrder>
  </b:Source>
  <b:Source>
    <b:Tag>LuH16</b:Tag>
    <b:SourceType>JournalArticle</b:SourceType>
    <b:Guid>{3A39233A-3C62-4840-B996-5CB03B14384E}</b:Guid>
    <b:Title>The Effects of Emotional Appeals and Gain Versus Loss Framing in Communicating Sea Star Wasting Disease</b:Title>
    <b:JournalName>Science Communication</b:JournalName>
    <b:Year>2016</b:Year>
    <b:Pages>143-169</b:Pages>
    <b:Volume>38</b:Volume>
    <b:Issue>2</b:Issue>
    <b:YearAccessed>2023</b:YearAccessed>
    <b:MonthAccessed>2</b:MonthAccessed>
    <b:DayAccessed>18</b:DayAccessed>
    <b:DOI>https://doi.org/10.1177/1075547015619173</b:DOI>
    <b:Author>
      <b:Author>
        <b:NameList>
          <b:Person>
            <b:Last>Lu</b:Last>
            <b:First>Hang</b:First>
          </b:Person>
        </b:NameList>
      </b:Author>
    </b:Author>
    <b:RefOrder>330</b:RefOrder>
  </b:Source>
  <b:Source>
    <b:Tag>Lti21</b:Tag>
    <b:SourceType>JournalArticle</b:SourceType>
    <b:Guid>{ECDE0F7D-5557-4A99-8E9F-A4F8CEAD0FC4}</b:Guid>
    <b:Title>The effects of corporate governance on the customer’s recommendations: a study of the banking sector at the time of COVID-19</b:Title>
    <b:JournalName>Journal of Knowledge Management</b:JournalName>
    <b:Year>2021</b:Year>
    <b:Pages>165-191</b:Pages>
    <b:Volume>26</b:Volume>
    <b:Issue>1</b:Issue>
    <b:Month>07</b:Month>
    <b:Day>19</b:Day>
    <b:Publisher>Emerald Publishing Limited</b:Publisher>
    <b:YearAccessed>2022</b:YearAccessed>
    <b:MonthAccessed>12</b:MonthAccessed>
    <b:DayAccessed>06</b:DayAccessed>
    <b:URL>http://www.emeraldinsight.com/doi/10.1108/JKM-06-2020-0471 </b:URL>
    <b:DOI>10.1108/JKM-06-2020-0471</b:DOI>
    <b:Author>
      <b:Author>
        <b:NameList>
          <b:Person>
            <b:Last>Ltifi</b:Last>
            <b:First> Moez</b:First>
          </b:Person>
          <b:Person>
            <b:Last>Hichri</b:Last>
            <b:First>Abir</b:First>
          </b:Person>
        </b:NameList>
      </b:Author>
    </b:Author>
    <b:RefOrder>484</b:RefOrder>
  </b:Source>
  <b:Source>
    <b:Tag>Lou03</b:Tag>
    <b:SourceType>JournalArticle</b:SourceType>
    <b:Guid>{548159E5-5E66-492C-9110-EF579031A4BF}</b:Guid>
    <b:Title>Rethinking new wines: implications of local and environmentally friendly labels</b:Title>
    <b:JournalName>Food Policy</b:JournalName>
    <b:Year>2003</b:Year>
    <b:Pages>547-560</b:Pages>
    <b:Month>12</b:Month>
    <b:Volume>28</b:Volume>
    <b:Issue>5-6</b:Issue>
    <b:YearAccessed>2022</b:YearAccessed>
    <b:MonthAccessed>06</b:MonthAccessed>
    <b:DayAccessed>06</b:DayAccessed>
    <b:DOI>https://doi.org/10.1016/j.foodpol.2003.10.004</b:DOI>
    <b:Author>
      <b:Author>
        <b:NameList>
          <b:Person>
            <b:Last>Loureiro</b:Last>
            <b:Middle>L.</b:Middle>
            <b:First>Maria</b:First>
          </b:Person>
        </b:NameList>
      </b:Author>
    </b:Author>
    <b:RefOrder>1170</b:RefOrder>
  </b:Source>
  <b:Source>
    <b:Tag>Lou21</b:Tag>
    <b:SourceType>JournalArticle</b:SourceType>
    <b:Guid>{2990945A-03B9-4030-A8F1-B8A39B8AFF0C}</b:Guid>
    <b:Title>Something Social, Something Entertaining? How Digital Content Marketing Augments Consumer Experience and Brand Loyalty.</b:Title>
    <b:JournalName>Journal of Advertising</b:JournalName>
    <b:Year>2021</b:Year>
    <b:Pages>376-402</b:Pages>
    <b:Publisher>Taylor &amp; Francis </b:Publisher>
    <b:Volume>40</b:Volume>
    <b:Issue>3</b:Issue>
    <b:YearAccessed>2023</b:YearAccessed>
    <b:MonthAccessed>05</b:MonthAccessed>
    <b:DayAccessed>29</b:DayAccessed>
    <b:DOI> doi:10.1080/02650487.2020.1788311.</b:DOI>
    <b:Author>
      <b:Author>
        <b:NameList>
          <b:Person>
            <b:Last>Lou</b:Last>
            <b:First>C.</b:First>
          </b:Person>
          <b:Person>
            <b:Last>Xie</b:Last>
            <b:First>Q.</b:First>
          </b:Person>
        </b:NameList>
      </b:Author>
    </b:Author>
    <b:RefOrder>452</b:RefOrder>
  </b:Source>
  <b:Source>
    <b:Tag>Lop23</b:Tag>
    <b:SourceType>InternetSite</b:SourceType>
    <b:Guid>{11B88F6B-4613-40A6-BCA7-F77D297E09BB}</b:Guid>
    <b:Title>21 Social Media Marketing Campaigns That Show You How It’s Done</b:Title>
    <b:Year>2023</b:Year>
    <b:InternetSiteTitle>ReferralRock</b:InternetSiteTitle>
    <b:Month>03</b:Month>
    <b:Day>21</b:Day>
    <b:URL>https://referralrock.com/blog/social-marketing-campaigns/</b:URL>
    <b:Author>
      <b:Author>
        <b:NameList>
          <b:Person>
            <b:Last>Lopez</b:Last>
            <b:First>Irene </b:First>
          </b:Person>
        </b:NameList>
      </b:Author>
    </b:Author>
    <b:RefOrder>87</b:RefOrder>
  </b:Source>
  <b:Source>
    <b:Tag>Lon00</b:Tag>
    <b:SourceType>JournalArticle</b:SourceType>
    <b:Guid>{DE91A811-10C5-47A9-B107-C65F04044A26}</b:Guid>
    <b:Title>Rigour, reliability and validity in qualitative research</b:Title>
    <b:JournalName>Clinical Effectiveness in Nursing</b:JournalName>
    <b:Year>2000</b:Year>
    <b:Pages>30-37</b:Pages>
    <b:Volume>4</b:Volume>
    <b:Author>
      <b:Author>
        <b:NameList>
          <b:Person>
            <b:Last>Long</b:Last>
            <b:First>T.</b:First>
          </b:Person>
          <b:Person>
            <b:Last>Johnson</b:Last>
            <b:First>M. </b:First>
          </b:Person>
        </b:NameList>
      </b:Author>
    </b:Author>
    <b:RefOrder>1171</b:RefOrder>
  </b:Source>
  <b:Source>
    <b:Tag>Lok90</b:Tag>
    <b:SourceType>JournalArticle</b:SourceType>
    <b:Guid>{3A8C9735-A1C5-46E5-A71D-A4D6F0D3B1B2}</b:Guid>
    <b:Title>Alternative Approaches to Understanding the Determinants of Typicality</b:Title>
    <b:JournalName>Journal of Consumer Research</b:JournalName>
    <b:Year>1990</b:Year>
    <b:Pages>111-126</b:Pages>
    <b:Author>
      <b:Author>
        <b:NameList>
          <b:Person>
            <b:Last>Loken</b:Last>
            <b:First>Barbara </b:First>
          </b:Person>
          <b:Person>
            <b:Last>Ward</b:Last>
            <b:First>James</b:First>
          </b:Person>
        </b:NameList>
      </b:Author>
    </b:Author>
    <b:Month>09</b:Month>
    <b:Publisher>Oxford University Press</b:Publisher>
    <b:Volume>17</b:Volume>
    <b:Issue>2</b:Issue>
    <b:YearAccessed>2021</b:YearAccessed>
    <b:MonthAccessed>12</b:MonthAccessed>
    <b:DayAccessed>12</b:DayAccessed>
    <b:URL>https://www.jstor.org/stable/2626804</b:URL>
    <b:RefOrder>1172</b:RefOrder>
  </b:Source>
  <b:Source>
    <b:Tag>Loc191</b:Tag>
    <b:SourceType>JournalArticle</b:SourceType>
    <b:Guid>{B4AEED37-952C-40C2-ACC6-26F681210703}</b:Guid>
    <b:Title>Credible corporate social responsibility (CSR) communication predicts legitimacy: Evidence from an experimental study</b:Title>
    <b:JournalName>Corporate Communications: An International Journal</b:JournalName>
    <b:Year>2019</b:Year>
    <b:Pages>2-20</b:Pages>
    <b:Author>
      <b:Author>
        <b:NameList>
          <b:Person>
            <b:Last>Lock</b:Last>
            <b:First>Irina </b:First>
          </b:Person>
          <b:Person>
            <b:Last>Schulz-Knappe</b:Last>
            <b:First>Charlotte </b:First>
          </b:Person>
        </b:NameList>
      </b:Author>
    </b:Author>
    <b:Month>02</b:Month>
    <b:Day>04</b:Day>
    <b:Volume>24</b:Volume>
    <b:Issue>1</b:Issue>
    <b:YearAccessed>2022</b:YearAccessed>
    <b:MonthAccessed>11</b:MonthAccessed>
    <b:DayAccessed>20</b:DayAccessed>
    <b:DOI>https://doi.org/10.1108/CCIJ-07-2018-0071</b:DOI>
    <b:RefOrder>1173</b:RefOrder>
  </b:Source>
  <b:Source>
    <b:Tag>Loc19</b:Tag>
    <b:SourceType>JournalArticle</b:SourceType>
    <b:Guid>{75023F57-D344-4453-A7F6-DECEB6EA6160}</b:Guid>
    <b:Title>Credible corporate social responsibility (CSR) communication predicts legitimacy: Evidence from an experimental study</b:Title>
    <b:JournalName>Corporate Communications: An International Journal</b:JournalName>
    <b:Year>2019</b:Year>
    <b:Pages>2-22</b:Pages>
    <b:Volume>24</b:Volume>
    <b:Issue>1</b:Issue>
    <b:Author>
      <b:Author>
        <b:NameList>
          <b:Person>
            <b:Last>Lock</b:Last>
            <b:First>Irina </b:First>
          </b:Person>
          <b:Person>
            <b:Last>Schulz-Knappe </b:Last>
            <b:First>Charlotte </b:First>
          </b:Person>
        </b:NameList>
      </b:Author>
    </b:Author>
    <b:Month>02</b:Month>
    <b:Day>04</b:Day>
    <b:YearAccessed>2022</b:YearAccessed>
    <b:MonthAccessed>01</b:MonthAccessed>
    <b:DayAccessed>22</b:DayAccessed>
    <b:URL>https://doi.org/10.1108/CCIJ-07-2018-0071</b:URL>
    <b:RefOrder>119</b:RefOrder>
  </b:Source>
  <b:Source>
    <b:Tag>Loc16</b:Tag>
    <b:SourceType>JournalArticle</b:SourceType>
    <b:Guid>{E863F398-E0D3-4404-8288-AC9CB7827F56}</b:Guid>
    <b:Title>The credibility of CSR (corporate social responsibility) reports in Europe. Evidence from a quantitative content analysis in 11 countries</b:Title>
    <b:JournalName>Journal of Cleaner Production</b:JournalName>
    <b:Year>2016</b:Year>
    <b:Pages>186-200</b:Pages>
    <b:Month>05</b:Month>
    <b:Day>20</b:Day>
    <b:Volume>122</b:Volume>
    <b:YearAccessed>2022</b:YearAccessed>
    <b:MonthAccessed>05</b:MonthAccessed>
    <b:DayAccessed>11</b:DayAccessed>
    <b:DOI>https://doi.org/10.1016/j.jclepro.2016.02.060</b:DOI>
    <b:Author>
      <b:Author>
        <b:NameList>
          <b:Person>
            <b:Last>Lock</b:Last>
            <b:First>Irina</b:First>
          </b:Person>
          <b:Person>
            <b:Last>Seele</b:Last>
            <b:First>Peter</b:First>
          </b:Person>
        </b:NameList>
      </b:Author>
    </b:Author>
    <b:RefOrder>290</b:RefOrder>
  </b:Source>
  <b:Source>
    <b:Tag>Loa221</b:Tag>
    <b:SourceType>JournalArticle</b:SourceType>
    <b:Guid>{717A5A1B-78B8-4BF2-8B3F-EFAFA50A5FC7}</b:Guid>
    <b:Title>Do consumers care about companies’ efforts in greening supply chains? Analyzing the role of protected values and the halo effect in product evaluation</b:Title>
    <b:JournalName>Cleaner Logistics and Supply Chain</b:JournalName>
    <b:Year>2022</b:Year>
    <b:Author>
      <b:Author>
        <b:NameList>
          <b:Person>
            <b:Last>Loaiza-Ramírez</b:Last>
            <b:Middle>Pablo</b:Middle>
            <b:First>Juan </b:First>
          </b:Person>
          <b:Person>
            <b:Last>Moreno-Mantilla</b:Last>
            <b:Middle>Eduardo </b:Middle>
            <b:First>Carlos </b:First>
          </b:Person>
          <b:Person>
            <b:Last>Reimer</b:Last>
            <b:First>Torsten </b:First>
          </b:Person>
        </b:NameList>
      </b:Author>
    </b:Author>
    <b:Month>01</b:Month>
    <b:Day>05</b:Day>
    <b:Volume>3</b:Volume>
    <b:YearAccessed>2023</b:YearAccessed>
    <b:MonthAccessed>06</b:MonthAccessed>
    <b:DayAccessed>11</b:DayAccessed>
    <b:DOI>S2772390921000275</b:DOI>
    <b:RefOrder>1174</b:RefOrder>
  </b:Source>
  <b:Source>
    <b:Tag>Loa22</b:Tag>
    <b:SourceType>JournalArticle</b:SourceType>
    <b:Guid>{3A3CB8A5-751B-4997-AF3A-248F9931F2A5}</b:Guid>
    <b:Title>Do consumers care about companies’ efforts in greening supply chains? Analyzing the role of protected values and the halo effect in product evaluation</b:Title>
    <b:JournalName>Cleaner Logistics and Supply Chain</b:JournalName>
    <b:Year>2022</b:Year>
    <b:Month>03</b:Month>
    <b:Volume>3</b:Volume>
    <b:YearAccessed>2022</b:YearAccessed>
    <b:MonthAccessed>11</b:MonthAccessed>
    <b:DayAccessed>05</b:DayAccessed>
    <b:DOI>https://doi.org/10.1016/j.clscn.2021.100027</b:DOI>
    <b:Author>
      <b:Author>
        <b:NameList>
          <b:Person>
            <b:Last>Loaiza-Ramírez</b:Last>
            <b:Middle>Pablo</b:Middle>
            <b:First>Juan </b:First>
          </b:Person>
          <b:Person>
            <b:Last>Moreno-Mantilla</b:Last>
            <b:Middle>Eduardo</b:Middle>
            <b:First>Carlos </b:First>
          </b:Person>
          <b:Person>
            <b:Last>Reimer</b:Last>
            <b:First>Torsten</b:First>
          </b:Person>
        </b:NameList>
      </b:Author>
    </b:Author>
    <b:RefOrder>684</b:RefOrder>
  </b:Source>
  <b:Source>
    <b:Tag>Liu19</b:Tag>
    <b:SourceType>JournalArticle</b:SourceType>
    <b:Guid>{8274A31E-B3B9-4BE5-8C36-18A99A4FE3CB}</b:Guid>
    <b:Title>A Decade of Online Advertising Research: What We Learned and What We Need to Know</b:Title>
    <b:Year>2019</b:Year>
    <b:Month>02</b:Month>
    <b:Day>06</b:Day>
    <b:JournalName>Journal of Advertising</b:JournalName>
    <b:Pages>1-13</b:Pages>
    <b:Publisher>Taylor &amp; Francis Online</b:Publisher>
    <b:Volume>48</b:Volume>
    <b:Issue>1</b:Issue>
    <b:YearAccessed>2022</b:YearAccessed>
    <b:MonthAccessed>11</b:MonthAccessed>
    <b:DayAccessed>05</b:DayAccessed>
    <b:DOI>https://doi.org/10.1080/00913367.2018.1556138</b:DOI>
    <b:Author>
      <b:Author>
        <b:NameList>
          <b:Person>
            <b:Last>Liu-Thompkins</b:Last>
            <b:First>Yuping </b:First>
          </b:Person>
        </b:NameList>
      </b:Author>
    </b:Author>
    <b:RefOrder>421</b:RefOrder>
  </b:Source>
  <b:Source>
    <b:Tag>Liu10</b:Tag>
    <b:SourceType>JournalArticle</b:SourceType>
    <b:Guid>{C25A8754-FB54-4CFB-BD73-BEFF760B35FC}</b:Guid>
    <b:Title>Moderators of the negativity effect: Commitment, identification, and consumer sensitivity to corporate social performance</b:Title>
    <b:JournalName>Psychology &amp; Marketing</b:JournalName>
    <b:Year>2010</b:Year>
    <b:Pages>54-70</b:Pages>
    <b:Author>
      <b:Author>
        <b:NameList>
          <b:Person>
            <b:Last>Liu</b:Last>
            <b:First>Tsung-Chi </b:First>
          </b:Person>
          <b:Person>
            <b:Last>Wang</b:Last>
            <b:First>Chung-Yu </b:First>
          </b:Person>
          <b:Person>
            <b:Last>Wu</b:Last>
            <b:First>Li-Wei </b:First>
          </b:Person>
        </b:NameList>
      </b:Author>
    </b:Author>
    <b:Month>01</b:Month>
    <b:Day>08</b:Day>
    <b:Volume>27</b:Volume>
    <b:Issue>1</b:Issue>
    <b:YearAccessed>2022</b:YearAccessed>
    <b:MonthAccessed>11</b:MonthAccessed>
    <b:DayAccessed>20</b:DayAccessed>
    <b:DOI>https://doi.org/10.1002/mar.20319</b:DOI>
    <b:RefOrder>1175</b:RefOrder>
  </b:Source>
  <b:Source>
    <b:Tag>Liu201</b:Tag>
    <b:SourceType>JournalArticle</b:SourceType>
    <b:Guid>{2CD31F22-52CF-47D1-9157-5FFBCA976089}</b:Guid>
    <b:Title>The Theory of Reasoned Action Applied to Green Smartphones: Moderating Effect of Government Subsidies</b:Title>
    <b:JournalName>Sustainability</b:JournalName>
    <b:Year>2020</b:Year>
    <b:Month>07</b:Month>
    <b:Volume>12</b:Volume>
    <b:Issue>15</b:Issue>
    <b:YearAccessed>2023</b:YearAccessed>
    <b:MonthAccessed>05</b:MonthAccessed>
    <b:DayAccessed>05</b:DayAccessed>
    <b:DOI>10.3390/su12155979</b:DOI>
    <b:Author>
      <b:Author>
        <b:NameList>
          <b:Person>
            <b:Last>Liu</b:Last>
            <b:First>Hsiang-Te </b:First>
          </b:Person>
          <b:Person>
            <b:Last>Tsaur</b:Last>
            <b:First>Ruey-Chyn </b:First>
          </b:Person>
        </b:NameList>
      </b:Author>
    </b:Author>
    <b:RefOrder>550</b:RefOrder>
  </b:Source>
  <b:Source>
    <b:Tag>Liu191</b:Tag>
    <b:SourceType>JournalArticle</b:SourceType>
    <b:Guid>{05220621-3FB4-4433-8296-9D3846D89B7F}</b:Guid>
    <b:Title>The predictors of consumer behavior in relation to organic food in the context of food safety incidents: advancing hyper attention theory within an stimulus-organism-response model.</b:Title>
    <b:JournalName>Frontiers in Psychology</b:JournalName>
    <b:Year>2019</b:Year>
    <b:Month>11</b:Month>
    <b:Day>06</b:Day>
    <b:Volume>10</b:Volume>
    <b:YearAccessed>2023</b:YearAccessed>
    <b:MonthAccessed>03</b:MonthAccessed>
    <b:DayAccessed>10</b:DayAccessed>
    <b:DOI>https://doi.org/10.3389/fpsyg.2019.02512</b:DOI>
    <b:Author>
      <b:Author>
        <b:NameList>
          <b:Person>
            <b:Last>Liu</b:Last>
            <b:First>Chunnian </b:First>
          </b:Person>
          <b:Person>
            <b:Last>Zheng</b:Last>
            <b:First>Yan</b:First>
          </b:Person>
        </b:NameList>
      </b:Author>
    </b:Author>
    <b:RefOrder>615</b:RefOrder>
  </b:Source>
  <b:Source>
    <b:Tag>Liu20</b:Tag>
    <b:SourceType>JournalArticle</b:SourceType>
    <b:Guid>{0E5ACD65-805B-473C-96BB-609796FCA04E}</b:Guid>
    <b:Title>The impact of self-congruity and virtual interactivity on online celebrity brand equity and fans’ purchase intention</b:Title>
    <b:JournalName>Journal of Product &amp; Brand Management</b:JournalName>
    <b:Year>2020</b:Year>
    <b:Pages>783-802</b:Pages>
    <b:Author>
      <b:Author>
        <b:NameList>
          <b:Person>
            <b:Last>Liu</b:Last>
            <b:First>Chengchen </b:First>
          </b:Person>
          <b:Person>
            <b:Last>Zhang</b:Last>
            <b:First>Ya </b:First>
          </b:Person>
          <b:Person>
            <b:Last>Zhang</b:Last>
            <b:First>Jing </b:First>
          </b:Person>
        </b:NameList>
      </b:Author>
    </b:Author>
    <b:Month>09</b:Month>
    <b:Day>05</b:Day>
    <b:Volume>29</b:Volume>
    <b:Issue>06</b:Issue>
    <b:YearAccessed>2022</b:YearAccessed>
    <b:MonthAccessed>03</b:MonthAccessed>
    <b:DayAccessed>26</b:DayAccessed>
    <b:DOI>https://doi-org.lsbu.idm.oclc.org/10.1108/JPBM-11-2018-2106</b:DOI>
    <b:RefOrder>1176</b:RefOrder>
  </b:Source>
  <b:Source>
    <b:Tag>Liu16</b:Tag>
    <b:SourceType>JournalArticle</b:SourceType>
    <b:Guid>{77308B5E-B58A-48A7-BFC9-FEBEEF17835B}</b:Guid>
    <b:Title>Joint decisions on pricing and advertising of dominant manufacturer with different advantage strategies</b:Title>
    <b:Year>2016</b:Year>
    <b:Pages>97-105</b:Pages>
    <b:JournalName>International Journal of Modelling and Simulation</b:JournalName>
    <b:Author>
      <b:Author>
        <b:NameList>
          <b:Person>
            <b:Last>Liu</b:Last>
            <b:First>Bin</b:First>
          </b:Person>
          <b:Person>
            <b:Last>Zhang</b:Last>
            <b:First>Rong</b:First>
          </b:Person>
        </b:NameList>
      </b:Author>
    </b:Author>
    <b:Month>03</b:Month>
    <b:Day>23</b:Day>
    <b:YearAccessed>2022</b:YearAccessed>
    <b:MonthAccessed>02</b:MonthAccessed>
    <b:DayAccessed>01</b:DayAccessed>
    <b:DOI>I: 10.1080/02286203.2016.1194631</b:DOI>
    <b:RefOrder>171</b:RefOrder>
  </b:Source>
  <b:Source>
    <b:Tag>Lin19</b:Tag>
    <b:SourceType>JournalArticle</b:SourceType>
    <b:Guid>{3934E9C3-22F1-4B7D-A908-1D63EF3B494A}</b:Guid>
    <b:Title>Coding qualitative data: a synthesis guiding the novice</b:Title>
    <b:Year>2019</b:Year>
    <b:Month>05</b:Month>
    <b:JournalName>Qualitative Research Journal</b:JournalName>
    <b:Pages>259-270</b:Pages>
    <b:Publisher>Emerald Publishing Limited</b:Publisher>
    <b:Volume>19</b:Volume>
    <b:Issue>3</b:Issue>
    <b:YearAccessed>2023</b:YearAccessed>
    <b:MonthAccessed>03</b:MonthAccessed>
    <b:DayAccessed>29</b:DayAccessed>
    <b:DOI>https://doi.org/10.1108/QRJ-12-2018-0012</b:DOI>
    <b:Author>
      <b:Author>
        <b:NameList>
          <b:Person>
            <b:Last>Linneberg</b:Last>
            <b:Middle>Skjott </b:Middle>
            <b:First>Mai </b:First>
          </b:Person>
          <b:Person>
            <b:Last>Korsgaard </b:Last>
            <b:First>Steffen </b:First>
          </b:Person>
        </b:NameList>
      </b:Author>
    </b:Author>
    <b:RefOrder>1005</b:RefOrder>
  </b:Source>
  <b:Source>
    <b:Tag>Lin16</b:Tag>
    <b:SourceType>JournalArticle</b:SourceType>
    <b:Guid>{18FD8A0C-5DA4-43DE-B18B-EB72C257BA9D}</b:Guid>
    <b:Title>Evoking online consumer impulse buying through virtual layout schemes</b:Title>
    <b:JournalName>Behaviour &amp; Information Technology</b:JournalName>
    <b:Year>2016</b:Year>
    <b:Pages>38-56</b:Pages>
    <b:Author>
      <b:Author>
        <b:NameList>
          <b:Person>
            <b:Last>Lin</b:Last>
            <b:First>Sheng-Wei </b:First>
          </b:Person>
          <b:Person>
            <b:Last>Lo</b:Last>
            <b:Middle>Yi-Shih</b:Middle>
            <b:First>Louis  </b:First>
          </b:Person>
        </b:NameList>
      </b:Author>
    </b:Author>
    <b:Volume>35</b:Volume>
    <b:Issue>1</b:Issue>
    <b:YearAccessed>2023</b:YearAccessed>
    <b:MonthAccessed>03</b:MonthAccessed>
    <b:DayAccessed>10</b:DayAccessed>
    <b:DOI>https://doi.org/10.1080/0144929X.2015.1056546</b:DOI>
    <b:RefOrder>613</b:RefOrder>
  </b:Source>
  <b:Source>
    <b:Tag>Lin211</b:Tag>
    <b:SourceType>JournalArticle</b:SourceType>
    <b:Guid>{CA037349-DF48-4186-92A8-FF5B47FF0BB3}</b:Guid>
    <b:Title>Factors influencing consumers’ continuous purchase intention on fresh food e-commerce platforms: An organic foods-centric empirical investigation</b:Title>
    <b:JournalName>Electronic Commerce Research and Applications</b:JournalName>
    <b:Year>2021</b:Year>
    <b:Month>12</b:Month>
    <b:Volume>50</b:Volume>
    <b:YearAccessed>2023</b:YearAccessed>
    <b:MonthAccessed>06</b:MonthAccessed>
    <b:DayAccessed>09</b:DayAccessed>
    <b:DOI>https://doi.org/10.1016/j.elerap.2021.101103</b:DOI>
    <b:Author>
      <b:Author>
        <b:NameList>
          <b:Person>
            <b:Last>Lin</b:Last>
            <b:First>Jiabao </b:First>
          </b:Person>
          <b:Person>
            <b:Last>Li</b:Last>
            <b:First>Ting</b:First>
          </b:Person>
          <b:Person>
            <b:Last>Guo</b:Last>
            <b:First>Jinyuan </b:First>
          </b:Person>
        </b:NameList>
      </b:Author>
    </b:Author>
    <b:RefOrder>644</b:RefOrder>
  </b:Source>
  <b:Source>
    <b:Tag>Lin221</b:Tag>
    <b:SourceType>JournalArticle</b:SourceType>
    <b:Guid>{6C9EE719-A0A3-4224-9CA5-47CF0FF5356C}</b:Guid>
    <b:Title>The CSR Spillover Effect on Consumer Responses to Advertised Reference Price Promotion</b:Title>
    <b:JournalName>Adminstrative Sciences</b:JournalName>
    <b:Year>2022</b:Year>
    <b:Month>02</b:Month>
    <b:Day>14</b:Day>
    <b:Volume>12</b:Volume>
    <b:Issue>1</b:Issue>
    <b:YearAccessed>2023</b:YearAccessed>
    <b:MonthAccessed>03</b:MonthAccessed>
    <b:DayAccessed>07</b:DayAccessed>
    <b:DOI>https://doi.org/10.3390/admsci12010030</b:DOI>
    <b:Author>
      <b:Author>
        <b:NameList>
          <b:Person>
            <b:Last>Lin</b:Last>
            <b:First>Chih-Huang </b:First>
          </b:Person>
          <b:Person>
            <b:Last>Lii </b:Last>
            <b:First>Yuan-Shuh </b:First>
          </b:Person>
          <b:Person>
            <b:Last>Ding</b:Last>
            <b:First>May-Ching </b:First>
          </b:Person>
        </b:NameList>
      </b:Author>
    </b:Author>
    <b:RefOrder>1177</b:RefOrder>
  </b:Source>
  <b:Source>
    <b:Tag>Lin22</b:Tag>
    <b:SourceType>JournalArticle</b:SourceType>
    <b:Guid>{83AA5643-50BC-46AC-8856-14506814CADA}</b:Guid>
    <b:Title>The CSR Spillover Effect on Consumer Responses to Advertised Reference Price Promotion</b:Title>
    <b:JournalName>Administrative Sciences.</b:JournalName>
    <b:Year>2022</b:Year>
    <b:Month>2</b:Month>
    <b:Day>14</b:Day>
    <b:Volume>12</b:Volume>
    <b:Issue>1</b:Issue>
    <b:YearAccessed>2023</b:YearAccessed>
    <b:MonthAccessed>02</b:MonthAccessed>
    <b:DayAccessed>03</b:DayAccessed>
    <b:DOI>https://doi.org/10.3390/admsci12010030</b:DOI>
    <b:Author>
      <b:Author>
        <b:NameList>
          <b:Person>
            <b:Last>Lin</b:Last>
            <b:First>Chih-Huang </b:First>
          </b:Person>
          <b:Person>
            <b:Last>Lii </b:Last>
            <b:First>Yuan-Shuh </b:First>
          </b:Person>
          <b:Person>
            <b:Last>Ding</b:Last>
            <b:First>May-Ching </b:First>
          </b:Person>
        </b:NameList>
      </b:Author>
    </b:Author>
    <b:RefOrder>99</b:RefOrder>
  </b:Source>
  <b:Source>
    <b:Tag>Lin21</b:Tag>
    <b:SourceType>JournalArticle</b:SourceType>
    <b:Guid>{7BBDD4F7-B90C-47EB-BB7D-E89087CE993B}</b:Guid>
    <b:Title>Exploring Bottled Water Purchase Intention via Trust in Advertising, Product Knowledge, Consumer Beliefs and Theory of Reasoned Action</b:Title>
    <b:JournalName>Social Sciences</b:JournalName>
    <b:Year>2021</b:Year>
    <b:Month>08</b:Month>
    <b:Day>05</b:Day>
    <b:Volume>10</b:Volume>
    <b:Issue>8</b:Issue>
    <b:YearAccessed>2023</b:YearAccessed>
    <b:MonthAccessed>03</b:MonthAccessed>
    <b:DayAccessed>05</b:DayAccessed>
    <b:DOI>10.3390/socsci10080295</b:DOI>
    <b:Author>
      <b:Author>
        <b:NameList>
          <b:Person>
            <b:Last>Lin</b:Last>
            <b:Middle>A.</b:Middle>
            <b:First>Carolyn </b:First>
          </b:Person>
          <b:Person>
            <b:Last>Xu </b:Last>
            <b:First>Xiaowen </b:First>
          </b:Person>
        </b:NameList>
      </b:Author>
    </b:Author>
    <b:RefOrder>573</b:RefOrder>
  </b:Source>
  <b:Source>
    <b:Tag>Lin23</b:Tag>
    <b:SourceType>JournalArticle</b:SourceType>
    <b:Guid>{C46ECF72-0A2B-4A2B-8BA0-5A6477F0D658}</b:Guid>
    <b:Title>Exploring Bottled Water Purchase Intention via Trust in Advertising, Product Knowledge, Consumer Beliefs and Theory of Reasoned Action</b:Title>
    <b:Year>2023</b:Year>
    <b:Month>01</b:Month>
    <b:Day>21</b:Day>
    <b:JournalName>Social Sciences</b:JournalName>
    <b:Author>
      <b:Author>
        <b:NameList>
          <b:Person>
            <b:Last>Lin</b:Last>
            <b:Middle>A.</b:Middle>
            <b:First>Carolyn</b:First>
          </b:Person>
          <b:Person>
            <b:Last>Xu</b:Last>
            <b:First>Xiaowen </b:First>
          </b:Person>
        </b:NameList>
      </b:Author>
    </b:Author>
    <b:Volume>10</b:Volume>
    <b:Issue>8</b:Issue>
    <b:YearAccessed>2023</b:YearAccessed>
    <b:MonthAccessed>03</b:MonthAccessed>
    <b:DayAccessed>17</b:DayAccessed>
    <b:DOI>https://doi.org/10.3390/socsci10080295</b:DOI>
    <b:RefOrder>1178</b:RefOrder>
  </b:Source>
  <b:Source>
    <b:Tag>Lim18</b:Tag>
    <b:SourceType>JournalArticle</b:SourceType>
    <b:Guid>{59DD911E-C7A6-4DF3-ACBF-7EF235C88EBC}</b:Guid>
    <b:Title>Connecting with global consumers through corporate social responsibility initiatives: A cross-cultural investigation of congruence effects of attribution and communication styles</b:Title>
    <b:JournalName>Journal of Business Research</b:JournalName>
    <b:Year>2018</b:Year>
    <b:Pages>11-19</b:Pages>
    <b:Month>07</b:Month>
    <b:Volume>88</b:Volume>
    <b:YearAccessed>2022</b:YearAccessed>
    <b:MonthAccessed>06</b:MonthAccessed>
    <b:DayAccessed>02</b:DayAccessed>
    <b:DOI>https://doi.org/10.1016/j.jbusres.2018.03.002</b:DOI>
    <b:Author>
      <b:Author>
        <b:NameList>
          <b:Person>
            <b:Last>Lim</b:Last>
            <b:Middle>Esther</b:Middle>
            <b:First>Rachel </b:First>
          </b:Person>
          <b:Person>
            <b:Last>Sung</b:Last>
            <b:Middle>Hi</b:Middle>
            <b:First>Yoon </b:First>
          </b:Person>
          <b:Person>
            <b:Last>Lee</b:Last>
            <b:First>Wei-Na</b:First>
          </b:Person>
        </b:NameList>
      </b:Author>
    </b:Author>
    <b:RefOrder>1179</b:RefOrder>
  </b:Source>
  <b:Source>
    <b:Tag>Lig23</b:Tag>
    <b:SourceType>JournalArticle</b:SourceType>
    <b:Guid>{9B891328-BE9B-44F4-B509-39F925E1580A}</b:Guid>
    <b:Title>Opt-in e-mail marketing influence on consumer behaviour: A Stimuli–Organism–Response (S–O–R) theory perspective</b:Title>
    <b:JournalName>Cogent Business &amp; Management</b:JournalName>
    <b:Year>2023</b:Year>
    <b:Month>02</b:Month>
    <b:Day>28</b:Day>
    <b:Volume>10</b:Volume>
    <b:Issue>1</b:Issue>
    <b:YearAccessed>2023</b:YearAccessed>
    <b:MonthAccessed>03</b:MonthAccessed>
    <b:DayAccessed>11</b:DayAccessed>
    <b:DOI>https://doi.org/10.1080/23311975.2023.2184244</b:DOI>
    <b:Author>
      <b:Author>
        <b:NameList>
          <b:Person>
            <b:Last>Ligaraba</b:Last>
            <b:First>Neo </b:First>
          </b:Person>
          <b:Person>
            <b:Last>Chuchu</b:Last>
            <b:First>Tinashe </b:First>
          </b:Person>
          <b:Person>
            <b:Last>Nyagadza</b:Last>
            <b:First>Brighton </b:First>
          </b:Person>
        </b:NameList>
      </b:Author>
    </b:Author>
    <b:RefOrder>507</b:RefOrder>
  </b:Source>
  <b:Source>
    <b:Tag>Lic19</b:Tag>
    <b:SourceType>JournalArticle</b:SourceType>
    <b:Guid>{4E8546EE-3B13-4553-808A-C930DC213786}</b:Guid>
    <b:Title>Corporate Social Responsibility and Sustainable Development for Creating Value for FMCG Sector Enterprises</b:Title>
    <b:JournalName>Sustainability</b:JournalName>
    <b:Year>2019</b:Year>
    <b:Volume>11</b:Volume>
    <b:Issue>20</b:Issue>
    <b:Author>
      <b:Author>
        <b:NameList>
          <b:Person>
            <b:Last>Liczmańska-Kopcewicz</b:Last>
            <b:First>Katarzyna</b:First>
          </b:Person>
          <b:Person>
            <b:Last>Mizera</b:Last>
            <b:First>Katarzyna</b:First>
          </b:Person>
          <b:Person>
            <b:Last>Pyplacz</b:Last>
            <b:First>Paula</b:First>
          </b:Person>
        </b:NameList>
      </b:Author>
    </b:Author>
    <b:Month>10</b:Month>
    <b:Day>19</b:Day>
    <b:YearAccessed>2021</b:YearAccessed>
    <b:MonthAccessed>12</b:MonthAccessed>
    <b:DayAccessed>24</b:DayAccessed>
    <b:DOI>https://doi.org/10.3390/su11205808</b:DOI>
    <b:RefOrder>443</b:RefOrder>
  </b:Source>
  <b:Source>
    <b:Tag>Lia07</b:Tag>
    <b:SourceType>JournalArticle</b:SourceType>
    <b:Guid>{91A4FF2F-18F9-473A-8C5C-5CEF9FE08736}</b:Guid>
    <b:Title>Theory of planning behavior (TPB) and customer satisfaction in the continued use of e-service: An integrated model</b:Title>
    <b:JournalName>Computers in Human Behavior</b:JournalName>
    <b:Year>2007</b:Year>
    <b:Pages>2804-2822</b:Pages>
    <b:Month>11</b:Month>
    <b:Volume>23</b:Volume>
    <b:Issue>6</b:Issue>
    <b:YearAccessed>2923</b:YearAccessed>
    <b:MonthAccessed>05</b:MonthAccessed>
    <b:DayAccessed>03</b:DayAccessed>
    <b:DOI>https://doi.org/10.1016/j.chb.2006.05.006</b:DOI>
    <b:Author>
      <b:Author>
        <b:NameList>
          <b:Person>
            <b:Last>Liao</b:Last>
            <b:First>Chechen </b:First>
          </b:Person>
          <b:Person>
            <b:Last>Chen</b:Last>
            <b:First>Jain-Liang </b:First>
          </b:Person>
          <b:Person>
            <b:Last>Yen</b:Last>
            <b:Middle>C.</b:Middle>
            <b:First>David</b:First>
          </b:Person>
        </b:NameList>
      </b:Author>
    </b:Author>
    <b:RefOrder>552</b:RefOrder>
  </b:Source>
  <b:Source>
    <b:Tag>Lia19</b:Tag>
    <b:SourceType>JournalArticle</b:SourceType>
    <b:Guid>{16A26B56-4C6B-409C-89E8-E23BE7DF62D9}</b:Guid>
    <b:Title>Why funders invest in crowdfunding projects: Role of trust from the dual-process perspective</b:Title>
    <b:JournalName>Information &amp; Management</b:JournalName>
    <b:Year>2019</b:Year>
    <b:Pages>70-84</b:Pages>
    <b:Month>01</b:Month>
    <b:Day>01</b:Day>
    <b:Volume>56</b:Volume>
    <b:Issue>1</b:Issue>
    <b:YearAccessed>2022</b:YearAccessed>
    <b:MonthAccessed>10</b:MonthAccessed>
    <b:DayAccessed>02</b:DayAccessed>
    <b:DOI>https://doi.org/10.1016/j.im.2018.07.002</b:DOI>
    <b:Author>
      <b:Author>
        <b:NameList>
          <b:Person>
            <b:Last>Liang</b:Last>
            <b:First>Ting-Peng </b:First>
          </b:Person>
          <b:Person>
            <b:Last>Wu</b:Last>
            <b:Middle>P.J.</b:Middle>
            <b:First>Shelly </b:First>
          </b:Person>
          <b:Person>
            <b:Last>Huang</b:Last>
            <b:First>Chih-chi </b:First>
          </b:Person>
        </b:NameList>
      </b:Author>
    </b:Author>
    <b:RefOrder>1180</b:RefOrder>
  </b:Source>
  <b:Source>
    <b:Tag>Lia22</b:Tag>
    <b:SourceType>JournalArticle</b:SourceType>
    <b:Guid>{01D46DF7-17FB-45BA-9E32-2119BF95C881}</b:Guid>
    <b:Title>Should “Green” Be Precise? The Effect of Information Presentation on Purchasing Intention of Green Products</b:Title>
    <b:JournalName>Sustainability</b:JournalName>
    <b:Year>2022</b:Year>
    <b:Author>
      <b:Author>
        <b:NameList>
          <b:Person>
            <b:Last>Liang</b:Last>
            <b:First>Shichang </b:First>
          </b:Person>
          <b:Person>
            <b:Last>Zhang</b:Last>
            <b:First>Min </b:First>
          </b:Person>
          <b:Person>
            <b:Last>Chu</b:Last>
            <b:First>Yuxuan </b:First>
          </b:Person>
          <b:Person>
            <b:Last>He</b:Last>
            <b:First>Lingling </b:First>
          </b:Person>
        </b:NameList>
      </b:Author>
    </b:Author>
    <b:Month>08</b:Month>
    <b:Day>18</b:Day>
    <b:Volume>14</b:Volume>
    <b:YearAccessed>2022</b:YearAccessed>
    <b:MonthAccessed>10</b:MonthAccessed>
    <b:DayAccessed>07</b:DayAccessed>
    <b:DOI>https://doi.org/10.3390/</b:DOI>
    <b:RefOrder>1181</b:RefOrder>
  </b:Source>
  <b:Source>
    <b:Tag>Lia20</b:Tag>
    <b:SourceType>JournalArticle</b:SourceType>
    <b:Guid>{6678F6E0-42BB-4C9B-A18E-EF22FF33112C}</b:Guid>
    <b:Title>Corporate Social Responsibility and Sustainable Finance: A Review of the Literature</b:Title>
    <b:JournalName>European Corporate Governance Institute</b:JournalName>
    <b:Year>2020</b:Year>
    <b:Month>09</b:Month>
    <b:Day>28</b:Day>
    <b:YearAccessed>2023</b:YearAccessed>
    <b:MonthAccessed>05</b:MonthAccessed>
    <b:DayAccessed>14</b:DayAccessed>
    <b:DOI>https://dx.doi.org/10.2139/ssrn.3698631</b:DOI>
    <b:Author>
      <b:Author>
        <b:NameList>
          <b:Person>
            <b:Last>Liang</b:Last>
            <b:First>Hao </b:First>
          </b:Person>
          <b:Person>
            <b:Last>Renneboog</b:Last>
            <b:First>Luc </b:First>
          </b:Person>
        </b:NameList>
      </b:Author>
    </b:Author>
    <b:RefOrder>9</b:RefOrder>
  </b:Source>
  <b:Source>
    <b:Tag>LiF15</b:Tag>
    <b:SourceType>JournalArticle</b:SourceType>
    <b:Guid>{31839B25-6D25-4972-8E16-488D132198E4}</b:Guid>
    <b:Title>Brand trust in a cross-cultural context: test for robustness of an alternative measurement model</b:Title>
    <b:JournalName>Journal of Product and Brand Management</b:JournalName>
    <b:Year>2015</b:Year>
    <b:Pages>462-471</b:Pages>
    <b:Month>08</b:Month>
    <b:Day>17</b:Day>
    <b:Volume>24</b:Volume>
    <b:Issue>05</b:Issue>
    <b:YearAccessed>2022</b:YearAccessed>
    <b:MonthAccessed>06</b:MonthAccessed>
    <b:DayAccessed>02</b:DayAccessed>
    <b:DOI>https://doi-org.lsbu.idm.oclc.org/10.1108/JPBM-10-2014-0735</b:DOI>
    <b:Author>
      <b:Author>
        <b:NameList>
          <b:Person>
            <b:Last>Li</b:Last>
            <b:First>Fuan</b:First>
          </b:Person>
          <b:Person>
            <b:Last>Xu</b:Last>
            <b:First>Lan</b:First>
          </b:Person>
          <b:Person>
            <b:Last>Li</b:Last>
            <b:First>Tiger</b:First>
          </b:Person>
          <b:Person>
            <b:Last>Zhou</b:Last>
            <b:First>Nan</b:First>
          </b:Person>
        </b:NameList>
      </b:Author>
    </b:Author>
    <b:RefOrder>1182</b:RefOrder>
  </b:Source>
  <b:Source>
    <b:Tag>LiF08</b:Tag>
    <b:SourceType>JournalArticle</b:SourceType>
    <b:Guid>{5213DAD8-A3CE-4874-B8D9-48E4114F840D}</b:Guid>
    <b:Title>Brand Trust as a Second-order Factor: An Alternative Measurement Model</b:Title>
    <b:JournalName>International Journal of Market Research</b:JournalName>
    <b:Year>2008</b:Year>
    <b:Author>
      <b:Author>
        <b:NameList>
          <b:Person>
            <b:Last>Li</b:Last>
            <b:First>Fuan</b:First>
          </b:Person>
          <b:Person>
            <b:Last>Kashyap</b:Last>
            <b:First>Rajiv </b:First>
          </b:Person>
          <b:Person>
            <b:Last>Zhou</b:Last>
            <b:First>Nan </b:First>
          </b:Person>
          <b:Person>
            <b:Last>Yang</b:Last>
            <b:First>Zhilin</b:First>
          </b:Person>
        </b:NameList>
      </b:Author>
    </b:Author>
    <b:Month>11</b:Month>
    <b:Day>01</b:Day>
    <b:Volume>50</b:Volume>
    <b:Issue>06</b:Issue>
    <b:YearAccessed>2022</b:YearAccessed>
    <b:MonthAccessed>06</b:MonthAccessed>
    <b:DayAccessed>02</b:DayAccessed>
    <b:DOI>https://doi.org/10.2501/S1470785308200225</b:DOI>
    <b:RefOrder>1183</b:RefOrder>
  </b:Source>
  <b:Source>
    <b:Tag>LiD22</b:Tag>
    <b:SourceType>JournalArticle</b:SourceType>
    <b:Guid>{655DC95D-79B1-400D-BD94-51CD4BC06E05}</b:Guid>
    <b:Title>Effects of Super Bowl advertising on online brand search: ten years of insights from 2011 to 2020</b:Title>
    <b:JournalName>International Journal of Sports Marketing and Sponsorship</b:JournalName>
    <b:Year>2022</b:Year>
    <b:Pages>841-854</b:Pages>
    <b:Month>04</b:Month>
    <b:Day>28</b:Day>
    <b:Publisher>Emerald Publishing Limited</b:Publisher>
    <b:Volume>23</b:Volume>
    <b:Issue>4</b:Issue>
    <b:YearAccessed>2023</b:YearAccessed>
    <b:MonthAccessed>06</b:MonthAccessed>
    <b:DayAccessed>08</b:DayAccessed>
    <b:DOI>https://doi.org/10.1108/IJSMS-07-2021-0151</b:DOI>
    <b:Author>
      <b:Author>
        <b:NameList>
          <b:Person>
            <b:Last>Li</b:Last>
            <b:First>Dan</b:First>
          </b:Person>
          <b:Person>
            <b:Last>Watanabe</b:Last>
            <b:Middle>Masafumi </b:Middle>
            <b:First>Nicholas </b:First>
          </b:Person>
        </b:NameList>
      </b:Author>
    </b:Author>
    <b:RefOrder>267</b:RefOrder>
  </b:Source>
  <b:Source>
    <b:Tag>Lev59</b:Tag>
    <b:SourceType>JournalArticle</b:SourceType>
    <b:Guid>{50252BDB-DADE-405A-B389-53AFE5338FE4}</b:Guid>
    <b:Title>Symbols for Sale</b:Title>
    <b:JournalName>Harvard Business Review</b:JournalName>
    <b:Year>1959</b:Year>
    <b:Pages>117-124</b:Pages>
    <b:Author>
      <b:Author>
        <b:NameList>
          <b:Person>
            <b:Last>Levy</b:Last>
            <b:Middle>J.</b:Middle>
            <b:First>S.</b:First>
          </b:Person>
        </b:NameList>
      </b:Author>
    </b:Author>
    <b:Volume>37</b:Volume>
    <b:Issue>4</b:Issue>
    <b:RefOrder>707</b:RefOrder>
  </b:Source>
  <b:Source>
    <b:Tag>Lee211</b:Tag>
    <b:SourceType>JournalArticle</b:SourceType>
    <b:Guid>{A1CCDD33-1B12-4002-B7E0-0A2DE82F521E}</b:Guid>
    <b:Title>The effects of a sustainable vs conventional apparel advertisement on consumer perception of CSR image and attitude toward the brand</b:Title>
    <b:JournalName>Corporate Communications: An International Journal</b:JournalName>
    <b:Year>2021</b:Year>
    <b:Pages>388-403</b:Pages>
    <b:Month>10</b:Month>
    <b:Day>19</b:Day>
    <b:Publisher>Emerald Publishing Limited</b:Publisher>
    <b:Volume>27</b:Volume>
    <b:Issue>2</b:Issue>
    <b:YearAccessed>2023</b:YearAccessed>
    <b:MonthAccessed>05</b:MonthAccessed>
    <b:DayAccessed>29</b:DayAccessed>
    <b:DOI> https://doi.org/10.1108/CCIJ-05-2021-0051</b:DOI>
    <b:Author>
      <b:Author>
        <b:NameList>
          <b:Person>
            <b:Last>Lee</b:Last>
            <b:First>Yukyung </b:First>
          </b:Person>
          <b:Person>
            <b:Last>Lin</b:Last>
            <b:Middle>A.</b:Middle>
            <b:First>Carolyn</b:First>
          </b:Person>
        </b:NameList>
      </b:Author>
    </b:Author>
    <b:RefOrder>256</b:RefOrder>
  </b:Source>
  <b:Source>
    <b:Tag>Lee13</b:Tag>
    <b:SourceType>JournalArticle</b:SourceType>
    <b:Guid>{37E3089D-748E-4EF0-A597-647CF18FEBAC}</b:Guid>
    <b:Title>You taste what you see: Do organic labels bias taste perceptions?</b:Title>
    <b:JournalName>Food Quality and Preference</b:JournalName>
    <b:Year>2013</b:Year>
    <b:Pages>33-39</b:Pages>
    <b:Author>
      <b:Author>
        <b:NameList>
          <b:Person>
            <b:Last>Lee</b:Last>
            <b:Middle>Jenny</b:Middle>
            <b:First>Wan-Chen</b:First>
          </b:Person>
          <b:Person>
            <b:Last>Shimizu</b:Last>
            <b:First>Mitsuru</b:First>
          </b:Person>
          <b:Person>
            <b:Last>Kniffin</b:Last>
            <b:Middle>M</b:Middle>
            <b:First>Kevin</b:First>
          </b:Person>
          <b:Person>
            <b:Last>Wansink</b:Last>
            <b:First>Brian</b:First>
          </b:Person>
        </b:NameList>
      </b:Author>
    </b:Author>
    <b:Month>07</b:Month>
    <b:Volume>39</b:Volume>
    <b:Issue>1</b:Issue>
    <b:YearAccessed>2022</b:YearAccessed>
    <b:MonthAccessed>01</b:MonthAccessed>
    <b:DayAccessed>01</b:DayAccessed>
    <b:DOI>https://doi.org/10.1016/j.foodqual.2013.01.010</b:DOI>
    <b:RefOrder>647</b:RefOrder>
  </b:Source>
  <b:Source>
    <b:Tag>Lee21</b:Tag>
    <b:SourceType>JournalArticle</b:SourceType>
    <b:Guid>{7EE80CA7-0586-4257-98DA-2E490BB82F71}</b:Guid>
    <b:Title>Engaging consumers with corporate social responsibility campaigns: The roles of interactivity, psychological empowerment, and identification</b:Title>
    <b:JournalName>Journal of Business Research</b:JournalName>
    <b:Year>2021</b:Year>
    <b:Pages>507-517</b:Pages>
    <b:Month>09</b:Month>
    <b:YearAccessed>2022</b:YearAccessed>
    <b:MonthAccessed>05</b:MonthAccessed>
    <b:DayAccessed>18</b:DayAccessed>
    <b:DOI>https://doi.org/10.1016/j.jbusres.2021.05.062</b:DOI>
    <b:Author>
      <b:Author>
        <b:NameList>
          <b:Person>
            <b:Last>Lee</b:Last>
            <b:Middle>Young</b:Middle>
            <b:First>Sun </b:First>
          </b:Person>
          <b:Person>
            <b:Last>Kim</b:Last>
            <b:First>Yeuseung</b:First>
          </b:Person>
          <b:Person>
            <b:Last>Kim</b:Last>
            <b:First>Young</b:First>
          </b:Person>
        </b:NameList>
      </b:Author>
    </b:Author>
    <b:RefOrder>293</b:RefOrder>
  </b:Source>
  <b:Source>
    <b:Tag>Lee14</b:Tag>
    <b:SourceType>JournalArticle</b:SourceType>
    <b:Guid>{5855BF82-2AB9-4DC0-869D-9DBE733F740D}</b:Guid>
    <b:Title>Enhancing online brand experiences: an application of congruity theory</b:Title>
    <b:JournalName>International Journal of Hospitality Management</b:JournalName>
    <b:Year>2014</b:Year>
    <b:Pages>49-58</b:Pages>
    <b:Volume>40</b:Volume>
    <b:Issue>1</b:Issue>
    <b:YearAccessed>2023</b:YearAccessed>
    <b:MonthAccessed>03</b:MonthAccessed>
    <b:DayAccessed>07</b:DayAccessed>
    <b:Author>
      <b:Author>
        <b:NameList>
          <b:Person>
            <b:Last>Lee</b:Last>
            <b:Middle>A.</b:Middle>
            <b:First>S.</b:First>
          </b:Person>
          <b:Person>
            <b:Last>Jeong</b:Last>
            <b:First>M.</b:First>
          </b:Person>
        </b:NameList>
      </b:Author>
    </b:Author>
    <b:RefOrder>688</b:RefOrder>
  </b:Source>
  <b:Source>
    <b:Tag>Lee20</b:Tag>
    <b:SourceType>Book</b:SourceType>
    <b:Guid>{697DD625-B127-4ED7-96CE-A9DCA55AD3B0}</b:Guid>
    <b:Title>Social marketing : behavior change for social good</b:Title>
    <b:Year>2020</b:Year>
    <b:URL>https://search.library.uq.edu.au/permalink/f/l3gdeh/61UQ_ALMA21256418770003131</b:URL>
    <b:Author>
      <b:Author>
        <b:NameList>
          <b:Person>
            <b:Last>Lee</b:Last>
            <b:Middle>R.</b:Middle>
            <b:First>Nancy</b:First>
          </b:Person>
          <b:Person>
            <b:Last>Kotler</b:Last>
            <b:First>Philip</b:First>
          </b:Person>
        </b:NameList>
      </b:Author>
    </b:Author>
    <b:YearAccessed>2023</b:YearAccessed>
    <b:MonthAccessed>06</b:MonthAccessed>
    <b:DayAccessed>03</b:DayAccessed>
    <b:RefOrder>83</b:RefOrder>
  </b:Source>
  <b:Source>
    <b:Tag>Lee15</b:Tag>
    <b:SourceType>JournalArticle</b:SourceType>
    <b:Guid>{093AA6A3-DDE1-4A6F-9431-1216D9F48691}</b:Guid>
    <b:Title>The interactions of CSR, self-congruity and purchase intention among Chinese consumers</b:Title>
    <b:JournalName>Australasian Marketing Journal</b:JournalName>
    <b:Year>2015</b:Year>
    <b:Pages>19-26</b:Pages>
    <b:Author>
      <b:Author>
        <b:NameList>
          <b:Person>
            <b:Last>Lee</b:Last>
            <b:First>Jihyun </b:First>
          </b:Person>
          <b:Person>
            <b:Last>Lee</b:Last>
            <b:First>Yuri </b:First>
          </b:Person>
        </b:NameList>
      </b:Author>
    </b:Author>
    <b:Publisher>Elsevier Ltd </b:Publisher>
    <b:YearAccessed>2023</b:YearAccessed>
    <b:MonthAccessed>05</b:MonthAccessed>
    <b:DayAccessed>29</b:DayAccessed>
    <b:DOI>http://dx.doi.org/10.1016/j.ausmj.2015.01.003</b:DOI>
    <b:RefOrder>258</b:RefOrder>
  </b:Source>
  <b:Source>
    <b:Tag>Lee91</b:Tag>
    <b:SourceType>JournalArticle</b:SourceType>
    <b:Guid>{7C55C049-1649-4B15-8EEA-733BF0D3022A}</b:Guid>
    <b:Title>Cross‐cultural examination of the Fishbein behavioral intentions model</b:Title>
    <b:JournalName>Journal of International Business Studies</b:JournalName>
    <b:Year>1991</b:Year>
    <b:Pages>289-305</b:Pages>
    <b:Volume>22</b:Volume>
    <b:Issue>2</b:Issue>
    <b:YearAccessed>2023</b:YearAccessed>
    <b:MonthAccessed>03</b:MonthAccessed>
    <b:DayAccessed>03</b:DayAccessed>
    <b:URL>https://www.jstor.org/stable/155211</b:URL>
    <b:Author>
      <b:Author>
        <b:NameList>
          <b:Person>
            <b:Last>Lee</b:Last>
            <b:First>Chol </b:First>
          </b:Person>
          <b:Person>
            <b:Last>Green</b:Last>
            <b:Middle>T.</b:Middle>
            <b:First>Robert </b:First>
          </b:Person>
        </b:NameList>
      </b:Author>
    </b:Author>
    <b:RefOrder>1184</b:RefOrder>
  </b:Source>
  <b:Source>
    <b:Tag>Lee911</b:Tag>
    <b:SourceType>JournalArticle</b:SourceType>
    <b:Guid>{77A24DCF-C620-4E4E-AFCE-549E718CD377}</b:Guid>
    <b:Title>Modifying an American Consumer Behavior Model for Consumers in Confucian Culture: Model for Consumers in Confucian Culture: The Case of Fishbein Behavioral Intention Model</b:Title>
    <b:JournalName>Journal of International Consumer Marketing</b:JournalName>
    <b:Year>1991</b:Year>
    <b:Pages>27-50</b:Pages>
    <b:Volume>3</b:Volume>
    <b:Issue>1</b:Issue>
    <b:Author>
      <b:Author>
        <b:NameList>
          <b:Person>
            <b:Last>Lee</b:Last>
            <b:First>Chol</b:First>
          </b:Person>
        </b:NameList>
      </b:Author>
    </b:Author>
    <b:RefOrder>585</b:RefOrder>
  </b:Source>
  <b:Source>
    <b:Tag>Lec97</b:Tag>
    <b:SourceType>JournalArticle</b:SourceType>
    <b:Guid>{E2BD8632-05CA-4B79-8835-77C4EF3A4C8C}</b:Guid>
    <b:Title>Can Advertising Copy Make FSI Coupons More Effective?</b:Title>
    <b:JournalName>Journal of Marketing Research</b:JournalName>
    <b:Year>1997</b:Year>
    <b:Pages>473-483</b:Pages>
    <b:Author>
      <b:Author>
        <b:NameList>
          <b:Person>
            <b:Last>Leclerc</b:Last>
            <b:First>France</b:First>
          </b:Person>
          <b:Person>
            <b:Last>Little</b:Last>
            <b:Middle>D.</b:Middle>
            <b:First>John </b:First>
          </b:Person>
        </b:NameList>
      </b:Author>
    </b:Author>
    <b:Volume>34</b:Volume>
    <b:Issue>4</b:Issue>
    <b:YearAccessed>2023</b:YearAccessed>
    <b:MonthAccessed>07</b:MonthAccessed>
    <b:DayAccessed>28</b:DayAccessed>
    <b:DOI>https://doi.org/10.1177/002224379703400405</b:DOI>
    <b:RefOrder>234</b:RefOrder>
  </b:Source>
  <b:Source>
    <b:Tag>Lec19</b:Tag>
    <b:SourceType>JournalArticle</b:SourceType>
    <b:Guid>{6908F690-CB8C-4F21-B9DA-8FC3A72E4CA3}</b:Guid>
    <b:Title>Validity and reliability of the reflux symptom score</b:Title>
    <b:JournalName>The Laryngoscope</b:JournalName>
    <b:Year>2019</b:Year>
    <b:Pages>98-107</b:Pages>
    <b:Author>
      <b:Author>
        <b:NameList>
          <b:Person>
            <b:Last>Lechien</b:Last>
            <b:Middle>R.</b:Middle>
            <b:First>Jérôme </b:First>
          </b:Person>
          <b:Person>
            <b:Last>Bobin</b:Last>
            <b:First>Francois </b:First>
          </b:Person>
          <b:Person>
            <b:Last>Muls</b:Last>
            <b:First>Vinciane</b:First>
          </b:Person>
          <b:Person>
            <b:Last>Thill</b:Last>
            <b:First>Marie-Paule </b:First>
          </b:Person>
          <b:Person>
            <b:Last>Horoi</b:Last>
            <b:First>Mihaela </b:First>
          </b:Person>
          <b:Person>
            <b:Last>Ostermann</b:Last>
            <b:First>Katharina </b:First>
          </b:Person>
          <b:Person>
            <b:Last> Huet</b:Last>
            <b:First> Kathy</b:First>
          </b:Person>
          <b:Person>
            <b:Last>Harmegnies</b:Last>
            <b:First>Bernard </b:First>
          </b:Person>
          <b:Person>
            <b:Last>Dequanter </b:Last>
            <b:First>Didier </b:First>
          </b:Person>
          <b:Person>
            <b:Last>Dapri</b:Last>
            <b:First>Giovanni </b:First>
          </b:Person>
          <b:Person>
            <b:Last>Maréchal</b:Last>
            <b:First>Marie-Therese </b:First>
          </b:Person>
          <b:Person>
            <b:Last>Finck </b:Last>
            <b:First>Camille </b:First>
          </b:Person>
          <b:Person>
            <b:Last>Rodriguez</b:Last>
            <b:First>Alexandra </b:First>
          </b:Person>
          <b:Person>
            <b:Last>Saussez</b:Last>
            <b:First>Sven </b:First>
          </b:Person>
        </b:NameList>
      </b:Author>
    </b:Author>
    <b:Month>04</b:Month>
    <b:Day>14</b:Day>
    <b:Volume>130</b:Volume>
    <b:Issue>3</b:Issue>
    <b:YearAccessed>2023</b:YearAccessed>
    <b:MonthAccessed>02</b:MonthAccessed>
    <b:DayAccessed>10</b:DayAccessed>
    <b:DOI> https://doi.org/10.1002/lary.28017</b:DOI>
    <b:RefOrder>771</b:RefOrder>
  </b:Source>
  <b:Source>
    <b:Tag>Law11</b:Tag>
    <b:SourceType>JournalArticle</b:SourceType>
    <b:Guid>{00D2F270-A337-4F05-9F20-2422104FD690}</b:Guid>
    <b:Title>A theory of reasoned action model of accounting students’ career choice in public accounting practices in the post-Enron</b:Title>
    <b:JournalName>Journal of Applied Accounting</b:JournalName>
    <b:Year>2010</b:Year>
    <b:Pages>58-73</b:Pages>
    <b:Author>
      <b:Author>
        <b:NameList>
          <b:Person>
            <b:Last>Law</b:Last>
            <b:Middle>K.</b:Middle>
            <b:First>P.</b:First>
          </b:Person>
        </b:NameList>
      </b:Author>
    </b:Author>
    <b:Volume>11</b:Volume>
    <b:Issue>1</b:Issue>
    <b:YearAccessed>2023</b:YearAccessed>
    <b:MonthAccessed>03</b:MonthAccessed>
    <b:DayAccessed>16</b:DayAccessed>
    <b:DOI>https://doi.org/10.1108/09675421011050036</b:DOI>
    <b:RefOrder>547</b:RefOrder>
  </b:Source>
  <b:Source>
    <b:Tag>Lau20</b:Tag>
    <b:SourceType>JournalArticle</b:SourceType>
    <b:Guid>{53DC37F8-9351-4F94-ACAE-E5371277706D}</b:Guid>
    <b:Title>Exploring antecedents of behavioural intention and preferences in online peer-to-peer resource sharing: A Swedish university setting</b:Title>
    <b:JournalName>Sustainable Production and Consumption</b:JournalName>
    <b:Year>2020</b:Year>
    <b:Pages>47-56</b:Pages>
    <b:Author>
      <b:Author>
        <b:NameList>
          <b:Person>
            <b:Last>Laurenti</b:Last>
            <b:First>Rafael</b:First>
          </b:Person>
          <b:Person>
            <b:Last>Acuña</b:Last>
            <b:Middle>Manuel Barrios</b:Middle>
            <b:First>Fernando </b:First>
          </b:Person>
        </b:NameList>
      </b:Author>
    </b:Author>
    <b:Month>01</b:Month>
    <b:Volume>21</b:Volume>
    <b:YearAccessed>2022</b:YearAccessed>
    <b:MonthAccessed>05</b:MonthAccessed>
    <b:DayAccessed>27</b:DayAccessed>
    <b:DOI>https://doi.org/10.1016/j.spc.2019.10.002</b:DOI>
    <b:RefOrder>1185</b:RefOrder>
  </b:Source>
  <b:Source>
    <b:Tag>Lat20</b:Tag>
    <b:SourceType>JournalArticle</b:SourceType>
    <b:Guid>{F1EE9766-C297-4910-B4D3-4626E4C8B00E}</b:Guid>
    <b:Title>Impact of Social Media Advertisement on Consumer Purchase Intention with the Intermediary Effect of Brand Attitude</b:Title>
    <b:JournalName>International Journal of Innovation, Creativity and Change.</b:JournalName>
    <b:Year>2020</b:Year>
    <b:Author>
      <b:Author>
        <b:NameList>
          <b:Person>
            <b:Last>Latifa</b:Last>
            <b:First>Sadaf </b:First>
          </b:Person>
          <b:Person>
            <b:Last>Calicioglub</b:Last>
            <b:First>Cemal </b:First>
          </b:Person>
        </b:NameList>
      </b:Author>
    </b:Author>
    <b:Volume>11</b:Volume>
    <b:Issue>12</b:Issue>
    <b:YearAccessed>2023</b:YearAccessed>
    <b:MonthAccessed>02</b:MonthAccessed>
    <b:DayAccessed>21</b:DayAccessed>
    <b:URL>https://www.semanticscholar.org/paper/Impact-of-Social-Media-Advertisement-on-Consumer-of-Latifa-Calicioglub/a5426eda9e43c4d0173e87ed965a2d41d78d41d4</b:URL>
    <b:RefOrder>426</b:RefOrder>
  </b:Source>
  <b:Source>
    <b:Tag>Lat19</b:Tag>
    <b:SourceType>JournalArticle</b:SourceType>
    <b:Guid>{F49A59AC-0470-41DF-BB76-407CA30D84BD}</b:Guid>
    <b:Title>Development and validation of a multi-dimensional customer-based scale to measure perceptions of corporate social responsibility (CSR)</b:Title>
    <b:JournalName>Social Responsibility Journal</b:JournalName>
    <b:Year>2019</b:Year>
    <b:Pages>492-512</b:Pages>
    <b:Month>06</b:Month>
    <b:Day>21</b:Day>
    <b:Volume>15</b:Volume>
    <b:Issue>04</b:Issue>
    <b:YearAccessed>2022</b:YearAccessed>
    <b:MonthAccessed>06</b:MonthAccessed>
    <b:DayAccessed>02</b:DayAccessed>
    <b:DOI>10.1108/SRJ-03-2018-0080</b:DOI>
    <b:Author>
      <b:Author>
        <b:NameList>
          <b:Person>
            <b:Last>Latif</b:Last>
            <b:First>F.</b:First>
          </b:Person>
          <b:Person>
            <b:Last>Saqib</b:Last>
            <b:First>A.</b:First>
          </b:Person>
          <b:Person>
            <b:Last>Pérez</b:Last>
            <b:First>A.</b:First>
          </b:Person>
          <b:Person>
            <b:Last>Alam</b:Last>
            <b:First>W.</b:First>
          </b:Person>
        </b:NameList>
      </b:Author>
    </b:Author>
    <b:RefOrder>1186</b:RefOrder>
  </b:Source>
  <b:Source>
    <b:Tag>Las15</b:Tag>
    <b:SourceType>JournalArticle</b:SourceType>
    <b:Guid>{A4971DEA-BEF8-4384-9380-F95144E61FF6}</b:Guid>
    <b:Title>Consumer confidence in credence attributes: the role of brand trust</b:Title>
    <b:JournalName>Food Policy</b:JournalName>
    <b:Year>2015</b:Year>
    <b:Pages>99-107</b:Pages>
    <b:Author>
      <b:Author>
        <b:NameList>
          <b:Person>
            <b:Last>Lassoued</b:Last>
            <b:First>R.</b:First>
          </b:Person>
          <b:Person>
            <b:Last>Hobbs</b:Last>
            <b:Middle>E.</b:Middle>
            <b:First>J.</b:First>
          </b:Person>
        </b:NameList>
      </b:Author>
    </b:Author>
    <b:Month>04</b:Month>
    <b:Volume>52</b:Volume>
    <b:YearAccessed>2022</b:YearAccessed>
    <b:MonthAccessed>05</b:MonthAccessed>
    <b:DayAccessed>18</b:DayAccessed>
    <b:DOI>https://doi.org/10.1016/j.foodpol.2014.12.003</b:DOI>
    <b:RefOrder>285</b:RefOrder>
  </b:Source>
  <b:Source>
    <b:Tag>LaP34</b:Tag>
    <b:SourceType>JournalArticle</b:SourceType>
    <b:Guid>{81BAAB7E-1D0C-4717-8F80-9A20D2B022C7}</b:Guid>
    <b:Title>Attitudes versus Actions</b:Title>
    <b:JournalName>Social Forces</b:JournalName>
    <b:Year>1934</b:Year>
    <b:Pages>230-237</b:Pages>
    <b:Author>
      <b:Author>
        <b:NameList>
          <b:Person>
            <b:Last>LaPiere</b:Last>
            <b:Middle>T.</b:Middle>
            <b:First>Richard </b:First>
          </b:Person>
        </b:NameList>
      </b:Author>
    </b:Author>
    <b:Month>12</b:Month>
    <b:Publisher>JSTOR</b:Publisher>
    <b:Volume>13</b:Volume>
    <b:Issue>2</b:Issue>
    <b:YearAccessed>2023</b:YearAccessed>
    <b:MonthAccessed>04</b:MonthAccessed>
    <b:DayAccessed>03</b:DayAccessed>
    <b:URL>https://www.jstor.org/stable/2570339</b:URL>
    <b:DOI>https://doi.org/10.2307/2570339</b:DOI>
    <b:RefOrder>582</b:RefOrder>
  </b:Source>
  <b:Source>
    <b:Tag>Lan19</b:Tag>
    <b:SourceType>JournalArticle</b:SourceType>
    <b:Guid>{2D7E5D0B-8BDE-40AC-8F0D-5FEC654150A4}</b:Guid>
    <b:Title>Convert one outfit to more looks: factors influencing young female college consumers’ intention to purchase transformable apparel</b:Title>
    <b:JournalName>International Journal of Interdisciplinary Research</b:JournalName>
    <b:Year>2019</b:Year>
    <b:Month>09</b:Month>
    <b:Day>05</b:Day>
    <b:Volume>26</b:Volume>
    <b:YearAccessed>2023</b:YearAccessed>
    <b:MonthAccessed>05</b:MonthAccessed>
    <b:DayAccessed>05</b:DayAccessed>
    <b:DOI>https://doi.org/10.1186/s40691-019-0182-4</b:DOI>
    <b:Author>
      <b:Author>
        <b:NameList>
          <b:Person>
            <b:Last>Lang</b:Last>
            <b:First>Chunmin </b:First>
          </b:Person>
          <b:Person>
            <b:Last>Wei </b:Last>
            <b:First>Bingyue </b:First>
          </b:Person>
        </b:NameList>
      </b:Author>
    </b:Author>
    <b:RefOrder>549</b:RefOrder>
  </b:Source>
  <b:Source>
    <b:Tag>Lan09</b:Tag>
    <b:SourceType>JournalArticle</b:SourceType>
    <b:Guid>{78D0A8FB-8BC4-4E9A-BF01-024E382724FD}</b:Guid>
    <b:Title>The effects of production pacing and arousing content on the information processing of television messages</b:Title>
    <b:JournalName>Journal of Broadcasting &amp; Electronic Media</b:JournalName>
    <b:Year>2009</b:Year>
    <b:Pages>451-375</b:Pages>
    <b:Author>
      <b:Author>
        <b:NameList>
          <b:Person>
            <b:Last>Lang</b:Last>
            <b:First>Annie</b:First>
          </b:Person>
          <b:Person>
            <b:Last>Bolls</b:Last>
            <b:First>Paul</b:First>
          </b:Person>
          <b:Person>
            <b:Last> Potter</b:Last>
            <b:Middle>F.</b:Middle>
            <b:First>Robert</b:First>
          </b:Person>
          <b:Person>
            <b:Last>Kawahara</b:Last>
            <b:First>Karlynn </b:First>
          </b:Person>
        </b:NameList>
      </b:Author>
    </b:Author>
    <b:Month>05</b:Month>
    <b:Day>18</b:Day>
    <b:Volume>43</b:Volume>
    <b:Issue>04</b:Issue>
    <b:YearAccessed>2022</b:YearAccessed>
    <b:MonthAccessed>03</b:MonthAccessed>
    <b:DayAccessed>05</b:DayAccessed>
    <b:DOI>https://doi.org/10.1080/08838159909364504</b:DOI>
    <b:RefOrder>1187</b:RefOrder>
  </b:Source>
  <b:Source>
    <b:Tag>Lam23</b:Tag>
    <b:SourceType>JournalArticle</b:SourceType>
    <b:Guid>{5F6DEFCA-100D-4DF2-84F1-D1200AC4A267}</b:Guid>
    <b:Title>Epistemic Responsibility in Business: An Integrative Framework for an Epistemic Ethics</b:Title>
    <b:JournalName>Journal of Business Ethics</b:JournalName>
    <b:Year>2023</b:Year>
    <b:Pages>1-14</b:Pages>
    <b:Author>
      <b:Author>
        <b:NameList>
          <b:Person>
            <b:Last>Lamy</b:Last>
            <b:First>Erwan </b:First>
          </b:Person>
        </b:NameList>
      </b:Author>
    </b:Author>
    <b:Month>02</b:Month>
    <b:Volume>183</b:Volume>
    <b:YearAccessed>2023</b:YearAccessed>
    <b:MonthAccessed>08</b:MonthAccessed>
    <b:DayAccessed>03</b:DayAccessed>
    <b:URL>https://doi-org.lsbu.idm.oclc.org/10.1007/s10551-022-05078-1</b:URL>
    <b:RefOrder>740</b:RefOrder>
  </b:Source>
  <b:Source>
    <b:Tag>Lal20</b:Tag>
    <b:SourceType>JournalArticle</b:SourceType>
    <b:Guid>{F038BFC6-E82C-407B-AC4C-D126F8FCC0DF}</b:Guid>
    <b:Title>Return on investment in social media marketing: literature review and suggestions for future research</b:Title>
    <b:JournalName>Digital and Social Media Marketing</b:JournalName>
    <b:Year>2020</b:Year>
    <b:Pages>3-17</b:Pages>
    <b:Publisher>Springer, Cham</b:Publisher>
    <b:Author>
      <b:Author>
        <b:NameList>
          <b:Person>
            <b:Last>Lal</b:Last>
            <b:First>Banita</b:First>
          </b:Person>
          <b:Person>
            <b:Last>Ismagilova</b:Last>
            <b:First>Elvira </b:First>
          </b:Person>
          <b:Person>
            <b:Last>Dwivedi</b:Last>
            <b:Middle>K.</b:Middle>
            <b:First>Yogesh </b:First>
          </b:Person>
          <b:Person>
            <b:Last>Kwayu </b:Last>
            <b:First>Shirumisha </b:First>
          </b:Person>
        </b:NameList>
      </b:Author>
    </b:Author>
    <b:RefOrder>1188</b:RefOrder>
  </b:Source>
  <b:Source>
    <b:Tag>Kwa09</b:Tag>
    <b:SourceType>JournalArticle</b:SourceType>
    <b:Guid>{E10EEE92-3183-410E-8559-412A51022BE5}</b:Guid>
    <b:Title>Symbolic purchase in sport: the roles of self-image congruence and perceived quality</b:Title>
    <b:JournalName>Management Decision</b:JournalName>
    <b:Year>2009</b:Year>
    <b:Pages>85-99</b:Pages>
    <b:Volume>47</b:Volume>
    <b:Issue>1</b:Issue>
    <b:Author>
      <b:Author>
        <b:NameList>
          <b:Person>
            <b:Last>Kwak</b:Last>
            <b:Middle>Hee </b:Middle>
            <b:First>D. </b:First>
          </b:Person>
          <b:Person>
            <b:Last>Kang</b:Last>
            <b:Middle>H.</b:Middle>
            <b:First>J.</b:First>
          </b:Person>
        </b:NameList>
      </b:Author>
    </b:Author>
    <b:RefOrder>1026</b:RefOrder>
  </b:Source>
  <b:Source>
    <b:Tag>Kur08</b:Tag>
    <b:SourceType>JournalArticle</b:SourceType>
    <b:Guid>{9720035D-D991-4946-953F-7358D8149914}</b:Guid>
    <b:Title>The Business Case for Corporate Social Responsibility</b:Title>
    <b:Year>2008</b:Year>
    <b:Pages>83-112</b:Pages>
    <b:Month>01</b:Month>
    <b:Publisher>Oxford University Press</b:Publisher>
    <b:YearAccessed>2022</b:YearAccessed>
    <b:MonthAccessed>01</b:MonthAccessed>
    <b:DayAccessed>23</b:DayAccessed>
    <b:DOI>10.1093/oxfordhb/9780199211593.003.0004</b:DOI>
    <b:Author>
      <b:Author>
        <b:NameList>
          <b:Person>
            <b:Last>Kurucz</b:Last>
            <b:First>Elizabeth</b:First>
          </b:Person>
          <b:Person>
            <b:Last>Colbert</b:Last>
            <b:First>Barry</b:First>
          </b:Person>
          <b:Person>
            <b:Last>Wheeler</b:Last>
            <b:First>David</b:First>
          </b:Person>
        </b:NameList>
      </b:Author>
    </b:Author>
    <b:RefOrder>1189</b:RefOrder>
  </b:Source>
  <b:Source>
    <b:Tag>Kuo20</b:Tag>
    <b:SourceType>JournalArticle</b:SourceType>
    <b:Guid>{5242D8B7-3B5C-4DE1-8FCF-488FB48F70B6}</b:Guid>
    <b:Title>Companies, Meet Ethical Consumers: Strategic CSR Management to Impact Consumer Choice</b:Title>
    <b:JournalName>Journal of Business Ethics</b:JournalName>
    <b:Year>2020</b:Year>
    <b:Month>10</b:Month>
    <b:Volume>166</b:Volume>
    <b:Issue>1</b:Issue>
    <b:YearAccessed>2023</b:YearAccessed>
    <b:MonthAccessed>08</b:MonthAccessed>
    <b:DayAccessed>03</b:DayAccessed>
    <b:DOI>10.1007/s10551-019-04145-4</b:DOI>
    <b:Author>
      <b:Author>
        <b:NameList>
          <b:Person>
            <b:Last>Kuokkanen</b:Last>
            <b:First>Henri</b:First>
          </b:Person>
          <b:Person>
            <b:Last>Sun</b:Last>
            <b:Middle>X.P.</b:Middle>
            <b:First>William </b:First>
          </b:Person>
        </b:NameList>
      </b:Author>
    </b:Author>
    <b:RefOrder>26</b:RefOrder>
  </b:Source>
  <b:Source>
    <b:Tag>Kum22</b:Tag>
    <b:SourceType>InternetSite</b:SourceType>
    <b:Guid>{F549F734-45DE-4775-8616-B46D69FFA5B0}</b:Guid>
    <b:Title>Two independent samples t-tests: Formula &amp; Examples</b:Title>
    <b:Year>2022</b:Year>
    <b:YearAccessed>2023</b:YearAccessed>
    <b:MonthAccessed>01</b:MonthAccessed>
    <b:DayAccessed>17</b:DayAccessed>
    <b:URL>https://vitalflux.com/two-sample-t-test-formula-examples/</b:URL>
    <b:Month>01</b:Month>
    <b:Day>31</b:Day>
    <b:InternetSiteTitle>Data Analytics</b:InternetSiteTitle>
    <b:Author>
      <b:Author>
        <b:NameList>
          <b:Person>
            <b:Last>Kumar </b:Last>
            <b:First>Ajitesh </b:First>
          </b:Person>
        </b:NameList>
      </b:Author>
    </b:Author>
    <b:RefOrder>958</b:RefOrder>
  </b:Source>
  <b:Source>
    <b:Tag>Kum17</b:Tag>
    <b:SourceType>JournalArticle</b:SourceType>
    <b:Guid>{703DAED2-30BD-4D9D-838C-731C39537C7B}</b:Guid>
    <b:Title>Synergistic effects of social media and traditional marketing on brand sales: capturing the time-varying effects</b:Title>
    <b:JournalName>Journal of the Academy of Marketing Science</b:JournalName>
    <b:Year>2017</b:Year>
    <b:Pages>268-288</b:Pages>
    <b:Volume>45</b:Volume>
    <b:Month>03</b:Month>
    <b:YearAccessed>2023</b:YearAccessed>
    <b:MonthAccessed>02</b:MonthAccessed>
    <b:DayAccessed>21</b:DayAccessed>
    <b:DOI>https://doi.org/10.1007/s11747-016-0484-7</b:DOI>
    <b:Author>
      <b:Author>
        <b:NameList>
          <b:Person>
            <b:Last>Kumar</b:Last>
            <b:First>V</b:First>
          </b:Person>
          <b:Person>
            <b:Last>Choi</b:Last>
            <b:Middle>Brianna </b:Middle>
            <b:First>JeeWon </b:First>
          </b:Person>
          <b:Person>
            <b:Last>Greene</b:Last>
            <b:First>Mallik </b:First>
          </b:Person>
        </b:NameList>
      </b:Author>
    </b:Author>
    <b:RefOrder>1190</b:RefOrder>
  </b:Source>
  <b:Source>
    <b:Tag>Kum15</b:Tag>
    <b:SourceType>JournalArticle</b:SourceType>
    <b:Guid>{E361E15C-0515-49EB-8E0D-6FCDF3926FEB}</b:Guid>
    <b:Title>Leveraging Distribution to Maximize Firm Performance in Emerging Markets</b:Title>
    <b:Year>2015</b:Year>
    <b:JournalName>Journal of Retailing</b:JournalName>
    <b:Pages>627-643</b:Pages>
    <b:Month>12</b:Month>
    <b:Volume>91</b:Volume>
    <b:Issue>4</b:Issue>
    <b:YearAccessed>2023</b:YearAccessed>
    <b:MonthAccessed>02</b:MonthAccessed>
    <b:DayAccessed>21</b:DayAccessed>
    <b:DOI>https://doi.org/10.1016/j.jretai.2014.08.005</b:DOI>
    <b:Author>
      <b:Author>
        <b:NameList>
          <b:Person>
            <b:Last>Kumar</b:Last>
            <b:First>V</b:First>
          </b:Person>
          <b:Person>
            <b:Last>Sunder</b:Last>
            <b:First>Sarang </b:First>
          </b:Person>
          <b:Person>
            <b:Last>Sharma</b:Last>
            <b:First>Amalesh </b:First>
          </b:Person>
        </b:NameList>
      </b:Author>
    </b:Author>
    <b:RefOrder>420</b:RefOrder>
  </b:Source>
  <b:Source>
    <b:Tag>Kum21</b:Tag>
    <b:SourceType>JournalArticle</b:SourceType>
    <b:Guid>{974FC893-8D75-4F91-BCAF-600705942602}</b:Guid>
    <b:Title>What drives brand love for natural products? The moderating role of household size</b:Title>
    <b:JournalName>Journal of Retailing and Consumer Services</b:JournalName>
    <b:Year>2021</b:Year>
    <b:Month>01</b:Month>
    <b:Volume>58</b:Volume>
    <b:YearAccessed>2023</b:YearAccessed>
    <b:MonthAccessed>03</b:MonthAccessed>
    <b:DayAccessed>12</b:DayAccessed>
    <b:DOI>https://doi.org/10.1016/j.jretconser.2020.102329</b:DOI>
    <b:Author>
      <b:Author>
        <b:NameList>
          <b:Person>
            <b:Last>Kumar</b:Last>
            <b:First>Sushant </b:First>
          </b:Person>
          <b:Person>
            <b:Last>Dhir</b:Last>
            <b:First>Amandeep </b:First>
          </b:Person>
          <b:Person>
            <b:Last>Talwar</b:Last>
            <b:First>Shalini</b:First>
          </b:Person>
          <b:Person>
            <b:Last>Chakraborty</b:Last>
            <b:First>Debarun </b:First>
          </b:Person>
          <b:Person>
            <b:Last>Kaur</b:Last>
            <b:First>Puneet</b:First>
          </b:Person>
        </b:NameList>
      </b:Author>
    </b:Author>
    <b:RefOrder>641</b:RefOrder>
  </b:Source>
  <b:Source>
    <b:Tag>Kul66</b:Tag>
    <b:SourceType>JournalArticle</b:SourceType>
    <b:Guid>{55434C94-04CD-4AFD-B978-370E565AB6F6}</b:Guid>
    <b:Title>Whitehead's Epistemology</b:Title>
    <b:JournalName>Journal of the History of Philosophy</b:JournalName>
    <b:Year>1966</b:Year>
    <b:Pages>43-61</b:Pages>
    <b:Author>
      <b:Author>
        <b:NameList>
          <b:Person>
            <b:Last>Kultgen</b:Last>
            <b:Middle>H.</b:Middle>
            <b:First>John </b:First>
          </b:Person>
        </b:NameList>
      </b:Author>
    </b:Author>
    <b:Month>01</b:Month>
    <b:YearAccessed>2022</b:YearAccessed>
    <b:MonthAccessed>11</b:MonthAccessed>
    <b:DayAccessed>08</b:DayAccessed>
    <b:DOI>10.1353/hph.2008.1631</b:DOI>
    <b:RefOrder>757</b:RefOrder>
  </b:Source>
  <b:Source>
    <b:Tag>Kul17</b:Tag>
    <b:SourceType>JournalArticle</b:SourceType>
    <b:Guid>{2B8E7F8D-6F51-4155-98DD-AAFF31A0555A}</b:Guid>
    <b:Title>Where to engage in CSR? The influence of social cause proximity on attitude toward small-sized (vs large-sized) sporting goods retailers</b:Title>
    <b:JournalName>Sport, Business and Management</b:JournalName>
    <b:Year>2017</b:Year>
    <b:Pages>497-514</b:Pages>
    <b:Month>11</b:Month>
    <b:Day>07</b:Day>
    <b:Volume>07</b:Volume>
    <b:Issue>05</b:Issue>
    <b:YearAccessed>2022</b:YearAccessed>
    <b:MonthAccessed>02</b:MonthAccessed>
    <b:DayAccessed>17</b:DayAccessed>
    <b:DOI>https://doi.org/10.1108/SBM-10-2016-0065</b:DOI>
    <b:Author>
      <b:Author>
        <b:NameList>
          <b:Person>
            <b:Last>Kulczycki</b:Last>
            <b:First>Wojciech</b:First>
          </b:Person>
          <b:Person>
            <b:Last>Mikas</b:Last>
            <b:First>Santosh</b:First>
          </b:Person>
          <b:Person>
            <b:Last>Koenigstorfer</b:Last>
            <b:First>Joerg </b:First>
          </b:Person>
        </b:NameList>
      </b:Author>
    </b:Author>
    <b:RefOrder>1191</b:RefOrder>
  </b:Source>
  <b:Source>
    <b:Tag>Ksi16</b:Tag>
    <b:SourceType>JournalArticle</b:SourceType>
    <b:Guid>{65BA3BD1-FA91-4BC3-A0E2-5839950681AC}</b:Guid>
    <b:Title>The Benefits from CSR for a Company and Society</b:Title>
    <b:JournalName>Journal of Corporate Responsibility and Leadership</b:JournalName>
    <b:Year>2016</b:Year>
    <b:Pages>53 - 65</b:Pages>
    <b:Volume>3</b:Volume>
    <b:Issue>4</b:Issue>
    <b:YearAccessed>2021</b:YearAccessed>
    <b:MonthAccessed>11</b:MonthAccessed>
    <b:DayAccessed>24</b:DayAccessed>
    <b:DOI>https://doi.org/10.12775/JCRL.2016.023</b:DOI>
    <b:Author>
      <b:Author>
        <b:NameList>
          <b:Person>
            <b:Last>Księżak</b:Last>
            <b:First>Paulina</b:First>
          </b:Person>
        </b:NameList>
      </b:Author>
    </b:Author>
    <b:RefOrder>1192</b:RefOrder>
  </b:Source>
  <b:Source>
    <b:Tag>Kru21</b:Tag>
    <b:SourceType>JournalArticle</b:SourceType>
    <b:Guid>{E68DF1C3-0B9F-4B3F-B6E0-D4FA599C89CC}</b:Guid>
    <b:Title>Advancing family business science through context theorizing: The case of the Arab world</b:Title>
    <b:JournalName>Journal of Family Business Strategy</b:JournalName>
    <b:Year>2021</b:Year>
    <b:Month>03</b:Month>
    <b:Volume>12</b:Volume>
    <b:Issue>1</b:Issue>
    <b:YearAccessed>2023</b:YearAccessed>
    <b:MonthAccessed>03</b:MonthAccessed>
    <b:DayAccessed>21</b:DayAccessed>
    <b:DOI>https://doi.org/10.1016/j.jfbs.2020.100377</b:DOI>
    <b:Author>
      <b:Author>
        <b:NameList>
          <b:Person>
            <b:Last>Krueger</b:Last>
            <b:First>Norris </b:First>
          </b:Person>
          <b:Person>
            <b:Last>Bogers</b:Last>
            <b:Middle>L.A.M. </b:Middle>
            <b:First>Marcel </b:First>
          </b:Person>
          <b:Person>
            <b:Last>Labaki</b:Last>
            <b:First>Rania</b:First>
          </b:Person>
          <b:Person>
            <b:Last>Basco</b:Last>
            <b:First>Rodrigo </b:First>
          </b:Person>
        </b:NameList>
      </b:Author>
    </b:Author>
    <b:RefOrder>527</b:RefOrder>
  </b:Source>
  <b:Source>
    <b:Tag>Kri22</b:Tag>
    <b:SourceType>JournalArticle</b:SourceType>
    <b:Guid>{66C1CC50-FCB1-4DC1-A34C-E60E1C8E2BFE}</b:Guid>
    <b:Title>Capital Structure and Its Determinants—A Comparison of European Top-Rated CSR and Other Companies</b:Title>
    <b:JournalName>Journal of Risk Management</b:JournalName>
    <b:Year>2022</b:Year>
    <b:Author>
      <b:Author>
        <b:NameList>
          <b:Person>
            <b:Last>Krištofík </b:Last>
            <b:First>Peter </b:First>
          </b:Person>
          <b:Person>
            <b:Last>Medzihorský</b:Last>
            <b:First>Juraj </b:First>
          </b:Person>
          <b:Person>
            <b:Last>Musa</b:Last>
            <b:First>Hussam</b:First>
          </b:Person>
        </b:NameList>
      </b:Author>
    </b:Author>
    <b:Month>07</b:Month>
    <b:Day>22</b:Day>
    <b:Volume>15</b:Volume>
    <b:Issue>8</b:Issue>
    <b:YearAccessed>2023</b:YearAccessed>
    <b:MonthAccessed>02</b:MonthAccessed>
    <b:DayAccessed>14</b:DayAccessed>
    <b:DOI>https://doi.org/10.3390/jrfm15080325</b:DOI>
    <b:RefOrder>18</b:RefOrder>
  </b:Source>
  <b:Source>
    <b:Tag>Kri04</b:Tag>
    <b:SourceType>Book</b:SourceType>
    <b:Guid>{6039B8CF-055F-47D0-B49D-06C18D57C38A}</b:Guid>
    <b:Title>Content analysis: an introduction to its methodology</b:Title>
    <b:Year>2004</b:Year>
    <b:City>Thousand Oaks, California</b:City>
    <b:Publisher>Sage Publications Inc</b:Publisher>
    <b:Author>
      <b:Author>
        <b:NameList>
          <b:Person>
            <b:Last>Krippendorff</b:Last>
            <b:First>K. </b:First>
          </b:Person>
        </b:NameList>
      </b:Author>
    </b:Author>
    <b:RefOrder>983</b:RefOrder>
  </b:Source>
  <b:Source>
    <b:Tag>Kra95</b:Tag>
    <b:SourceType>JournalArticle</b:SourceType>
    <b:Guid>{83FD6C31-AE54-45C7-8D5F-1C5AD5C4DA96}</b:Guid>
    <b:Title>Attitudes and the Prediction of Behavior: A Meta-Analysis of the Empirical Literature</b:Title>
    <b:JournalName>Personality and Social Psychology Bulletin</b:JournalName>
    <b:Year>1995</b:Year>
    <b:Author>
      <b:Author>
        <b:NameList>
          <b:Person>
            <b:Last>Kraus</b:Last>
            <b:Middle>J. </b:Middle>
            <b:First>Stephen</b:First>
          </b:Person>
        </b:NameList>
      </b:Author>
    </b:Author>
    <b:Month>01</b:Month>
    <b:Volume>21</b:Volume>
    <b:Issue>1</b:Issue>
    <b:YearAccessed>2023</b:YearAccessed>
    <b:MonthAccessed>08</b:MonthAccessed>
    <b:DayAccessed>08</b:DayAccessed>
    <b:DOI>https://doi.org/10.1177/0146167295211007</b:DOI>
    <b:RefOrder>224</b:RefOrder>
  </b:Source>
  <b:Source>
    <b:Tag>Kot19</b:Tag>
    <b:SourceType>BookSection</b:SourceType>
    <b:Guid>{7276A355-5146-4943-AA6A-FACDCE3BAC59}</b:Guid>
    <b:Title>Chapter 4 - Classification</b:Title>
    <b:Year>2019</b:Year>
    <b:Pages>65-163</b:Pages>
    <b:BookTitle>Data Science. Concepts and Practice</b:BookTitle>
    <b:Publisher>Elsevier Inc.</b:Publisher>
    <b:Author>
      <b:Author>
        <b:NameList>
          <b:Person>
            <b:Last>Kotu</b:Last>
            <b:First>Vijay</b:First>
          </b:Person>
          <b:Person>
            <b:Last>Deshpande</b:Last>
            <b:First>Bala</b:First>
          </b:Person>
        </b:NameList>
      </b:Author>
    </b:Author>
    <b:YearAccessed>2023</b:YearAccessed>
    <b:MonthAccessed>01</b:MonthAccessed>
    <b:DayAccessed>17</b:DayAccessed>
    <b:DOI>https://doi.org/10.1016/B978-0-12-814761-0.00004-6</b:DOI>
    <b:RefOrder>953</b:RefOrder>
  </b:Source>
  <b:Source>
    <b:Tag>Kot20</b:Tag>
    <b:SourceType>Book</b:SourceType>
    <b:Guid>{C28B4D74-8AE8-4119-B609-AD22A4CCDD6C}</b:Guid>
    <b:Title>Principles of Marketing</b:Title>
    <b:Year>2020</b:Year>
    <b:Publisher>Pearson </b:Publisher>
    <b:Edition>18th</b:Edition>
    <b:YearAccessed>2022</b:YearAccessed>
    <b:MonthAccessed>10</b:MonthAccessed>
    <b:DayAccessed>06</b:DayAccessed>
    <b:URL>https://www.pearson.com/en-gb/subject-catalog/p/principles-of-marketing-global-edition/P200000004666/9781292345895</b:URL>
    <b:Author>
      <b:Author>
        <b:NameList>
          <b:Person>
            <b:Last>Kotler </b:Last>
            <b:First>Philip </b:First>
          </b:Person>
          <b:Person>
            <b:Last>Armstrong</b:Last>
            <b:First>Gary </b:First>
          </b:Person>
        </b:NameList>
      </b:Author>
    </b:Author>
    <b:RefOrder>1193</b:RefOrder>
  </b:Source>
  <b:Source>
    <b:Tag>Kot03</b:Tag>
    <b:SourceType>Book</b:SourceType>
    <b:Guid>{367FB398-A180-4F09-84B9-3412FE165C74}</b:Guid>
    <b:Title>Marketing Insights From A to Z: 80 Concepts Every Manager Needs to Know</b:Title>
    <b:Year>2003</b:Year>
    <b:Month>03</b:Month>
    <b:Day>03</b:Day>
    <b:Publisher>Wiley </b:Publisher>
    <b:Author>
      <b:Author>
        <b:NameList>
          <b:Person>
            <b:Last>Kotler </b:Last>
            <b:First>philip </b:First>
          </b:Person>
        </b:NameList>
      </b:Author>
    </b:Author>
    <b:RefOrder>1194</b:RefOrder>
  </b:Source>
  <b:Source>
    <b:Tag>Kot88</b:Tag>
    <b:SourceType>Book</b:SourceType>
    <b:Guid>{C8120A96-56EE-48D5-A856-5316018A1D0A}</b:Guid>
    <b:Title>Marketing Management: Analysis, Planning, Implementation, and Control</b:Title>
    <b:Year>1988</b:Year>
    <b:Publisher>Prentice Hall</b:Publisher>
    <b:Author>
      <b:Author>
        <b:NameList>
          <b:Person>
            <b:Last>Kotler</b:Last>
            <b:First>Philip</b:First>
          </b:Person>
        </b:NameList>
      </b:Author>
    </b:Author>
    <b:Volume>01</b:Volume>
    <b:YearAccessed>2022</b:YearAccessed>
    <b:MonthAccessed>06</b:MonthAccessed>
    <b:DayAccessed>03</b:DayAccessed>
    <b:RefOrder>1195</b:RefOrder>
  </b:Source>
  <b:Source>
    <b:Tag>Arm</b:Tag>
    <b:SourceType>BookSection</b:SourceType>
    <b:Guid>{2173652A-2E6C-4037-8C79-0B092200B653}</b:Guid>
    <b:Title>Chapter 1: Marketing: Creating and Capturing customer value</b:Title>
    <b:BookTitle>Principles of Marketing</b:BookTitle>
    <b:Publisher>Pearson Australia</b:Publisher>
    <b:Author>
      <b:Author>
        <b:NameList>
          <b:Person>
            <b:Last>Kotler</b:Last>
            <b:First>Philip</b:First>
          </b:Person>
          <b:Person>
            <b:Last>Armstrong</b:Last>
            <b:First>Gary</b:First>
          </b:Person>
          <b:Person>
            <b:Last>Harris</b:Last>
            <b:Middle>C</b:Middle>
            <b:First>lloyd</b:First>
          </b:Person>
        </b:NameList>
      </b:Author>
    </b:Author>
    <b:Year>2019</b:Year>
    <b:RefOrder>1196</b:RefOrder>
  </b:Source>
  <b:Source>
    <b:Tag>Kos18</b:Tag>
    <b:SourceType>JournalArticle</b:SourceType>
    <b:Guid>{F25461E0-B6B9-490D-8F44-97A87E2342DD}</b:Guid>
    <b:Title>A Systematic Mapping Study driven by the margin of error</b:Title>
    <b:Year>2018</b:Year>
    <b:YearAccessed>2022</b:YearAccessed>
    <b:MonthAccessed>12</b:MonthAccessed>
    <b:DayAccessed>23</b:DayAccessed>
    <b:URL>https://www.sciencedirect.com/science/article/pii/S0164121218301353</b:URL>
    <b:JournalName>Journal of Systems and Software</b:JournalName>
    <b:Pages>439-449</b:Pages>
    <b:Volume>144</b:Volume>
    <b:DOI>https://doi.org/10.1016/j.jss.2018.06.078</b:DOI>
    <b:Author>
      <b:Author>
        <b:NameList>
          <b:Person>
            <b:Last>Kosar</b:Last>
            <b:First>Tomaž</b:First>
          </b:Person>
          <b:Person>
            <b:Last>Bohra</b:Last>
            <b:First>Sudev</b:First>
          </b:Person>
          <b:Person>
            <b:Last>Mernik</b:Last>
            <b:First>Marjan</b:First>
          </b:Person>
        </b:NameList>
      </b:Author>
    </b:Author>
    <b:RefOrder>911</b:RefOrder>
  </b:Source>
  <b:Source>
    <b:Tag>Kor16</b:Tag>
    <b:SourceType>JournalArticle</b:SourceType>
    <b:Guid>{79223CEB-77E8-48DB-B234-33078AB269D2}</b:Guid>
    <b:Title>Going with the Flow: Predicting Online Purchase Intentions</b:Title>
    <b:JournalName>Journal of Computer Information Systems</b:JournalName>
    <b:Year>2016</b:Year>
    <b:Pages>25-31</b:Pages>
    <b:Month>02</b:Month>
    <b:Day>01</b:Day>
    <b:Volume>43</b:Volume>
    <b:Issue>4</b:Issue>
    <b:YearAccessed>2023</b:YearAccessed>
    <b:MonthAccessed>03</b:MonthAccessed>
    <b:DayAccessed>04</b:DayAccessed>
    <b:URL>https://www.tandfonline.com/doi/abs/10.1080/08874417.2003.11647530?casa_token=YZXVSsxON_kAAAAA:PbvI38YqxWfLsMvtTxVC6hQWDwky1xSI3SyVTCr63B9mXOgFeRYTvFAjuA6i0odloQ0-hZpXNA</b:URL>
    <b:Author>
      <b:Author>
        <b:NameList>
          <b:Person>
            <b:Last>Korzaan</b:Last>
            <b:Middle>L.</b:Middle>
            <b:First>Melinda </b:First>
          </b:Person>
        </b:NameList>
      </b:Author>
    </b:Author>
    <b:RefOrder>548</b:RefOrder>
  </b:Source>
  <b:Source>
    <b:Tag>Kor03</b:Tag>
    <b:SourceType>JournalArticle</b:SourceType>
    <b:Guid>{2053B779-8A04-476F-A669-A556EE53E5C4}</b:Guid>
    <b:Title>Going with the flow: Predicting online purchase intentions</b:Title>
    <b:JournalName>Journal of Computer Information Systems</b:JournalName>
    <b:Year>2003</b:Year>
    <b:Pages>25-31</b:Pages>
    <b:Month>06</b:Month>
    <b:Volume>43</b:Volume>
    <b:Issue>4</b:Issue>
    <b:Author>
      <b:Author>
        <b:NameList>
          <b:Person>
            <b:Last>Korzaan</b:Last>
            <b:First>Melinda</b:First>
          </b:Person>
        </b:NameList>
      </b:Author>
    </b:Author>
    <b:RefOrder>1197</b:RefOrder>
  </b:Source>
  <b:Source>
    <b:Tag>Kor21</b:Tag>
    <b:SourceType>InternetSite</b:SourceType>
    <b:Guid>{05B0BB13-7485-4314-9719-A45B15796922}</b:Guid>
    <b:Title>Towards Data Science</b:Title>
    <b:Year>2021</b:Year>
    <b:YearAccessed>2023</b:YearAccessed>
    <b:MonthAccessed>01</b:MonthAccessed>
    <b:DayAccessed>18</b:DayAccessed>
    <b:URL>https://towardsdatascience.com/structural-equation-modeling-dca298798f4d</b:URL>
    <b:Month>06</b:Month>
    <b:Day>27</b:Day>
    <b:InternetSiteTitle>Structural Equation Modeling</b:InternetSiteTitle>
    <b:Author>
      <b:Author>
        <b:NameList>
          <b:Person>
            <b:Last>Korstanje</b:Last>
            <b:First>Joos </b:First>
          </b:Person>
        </b:NameList>
      </b:Author>
    </b:Author>
    <b:RefOrder>961</b:RefOrder>
  </b:Source>
  <b:Source>
    <b:Tag>Kol18</b:Tag>
    <b:SourceType>JournalArticle</b:SourceType>
    <b:Guid>{E9D31218-49AB-45A4-8356-0092BCE5FA20}</b:Guid>
    <b:Title>A Systematic Review on Corporate Social Responsibility Literature in the Middle East: Conceptual Gaps and Challenges</b:Title>
    <b:JournalName>Current Issues in Corporate Social Responsibility</b:JournalName>
    <b:Year>2018</b:Year>
    <b:Pages>237-257</b:Pages>
    <b:Author>
      <b:Author>
        <b:NameList>
          <b:Person>
            <b:Last>Koleva</b:Last>
            <b:First>Petya</b:First>
          </b:Person>
        </b:NameList>
      </b:Author>
    </b:Author>
    <b:Month>01</b:Month>
    <b:Day>24</b:Day>
    <b:RefOrder>1198</b:RefOrder>
  </b:Source>
  <b:Source>
    <b:Tag>Kok19</b:Tag>
    <b:SourceType>JournalArticle</b:SourceType>
    <b:Guid>{A9E74EFC-6356-49ED-A648-E5BB6BB4DBB9}</b:Guid>
    <b:Title>Shopping Motives, Mall Attractiveness, and Visiting Patterns in Shopping Malls in the Middle East: A Segmentation Approach</b:Title>
    <b:JournalName>Contemporary Management Research,</b:JournalName>
    <b:Year>2019</b:Year>
    <b:Pages>1-23</b:Pages>
    <b:Month>23</b:Month>
    <b:Day>03</b:Day>
    <b:Volume>15</b:Volume>
    <b:Issue>01</b:Issue>
    <b:YearAccessed>2022</b:YearAccessed>
    <b:MonthAccessed>02</b:MonthAccessed>
    <b:DayAccessed>23</b:DayAccessed>
    <b:DOI>https://doi.org/10.7903/cmr.18625</b:DOI>
    <b:Author>
      <b:Author>
        <b:NameList>
          <b:Person>
            <b:Last>Koksal</b:Last>
            <b:First>Haluk</b:First>
          </b:Person>
        </b:NameList>
      </b:Author>
    </b:Author>
    <b:RefOrder>1199</b:RefOrder>
  </b:Source>
  <b:Source>
    <b:Tag>Kok23</b:Tag>
    <b:SourceType>JournalArticle</b:SourceType>
    <b:Guid>{2DE9450D-0A39-4526-99DD-9FD61BE53003}</b:Guid>
    <b:Title>The relationship between involvement, attitude accessibility and attitude–behaviour consistency.</b:Title>
    <b:JournalName>British Journal of Social Psychology</b:JournalName>
    <b:Pages>497-509</b:Pages>
    <b:Volume>36</b:Volume>
    <b:Issue>4</b:Issue>
    <b:YearAccessed>2023</b:YearAccessed>
    <b:MonthAccessed>03</b:MonthAccessed>
    <b:DayAccessed>03</b:DayAccessed>
    <b:DOI>https://doi.org/10.1111/j.2044-8309.1997.tb01146.x</b:DOI>
    <b:Author>
      <b:Author>
        <b:NameList>
          <b:Person>
            <b:Last>Kokkinaki</b:Last>
            <b:First>Flora</b:First>
          </b:Person>
          <b:Person>
            <b:Last>Lunt</b:Last>
            <b:First>Peter</b:First>
          </b:Person>
        </b:NameList>
      </b:Author>
    </b:Author>
    <b:Year>1997</b:Year>
    <b:RefOrder>1200</b:RefOrder>
  </b:Source>
  <b:Source>
    <b:Tag>Koa20</b:Tag>
    <b:SourceType>JournalArticle</b:SourceType>
    <b:Guid>{8D9F82BC-69C8-4EFD-B3AB-7F6551B72655}</b:Guid>
    <b:Title>Perceived social media marketing activities and consumer-based brand equity.</b:Title>
    <b:Year>2020</b:Year>
    <b:Volume>33</b:Volume>
    <b:Pages>53-72</b:Pages>
    <b:YearAccessed>2023</b:YearAccessed>
    <b:MonthAccessed>03</b:MonthAccessed>
    <b:DayAccessed>10</b:DayAccessed>
    <b:DOI>https://doi.org/10.1108/APJML-07-2019-0453</b:DOI>
    <b:JournalName>Asia Pacific Journal of Marketing and Logistics</b:JournalName>
    <b:Month>02</b:Month>
    <b:Day>19</b:Day>
    <b:Issue>1</b:Issue>
    <b:Author>
      <b:Author>
        <b:NameList>
          <b:Person>
            <b:Last>Koay</b:Last>
            <b:Middle>Yeik </b:Middle>
            <b:First>Kian </b:First>
          </b:Person>
          <b:Person>
            <b:Last>Ong</b:Last>
            <b:Middle>Lai Teik </b:Middle>
            <b:First>Derek </b:First>
          </b:Person>
          <b:Person>
            <b:Last>Khoo</b:Last>
            <b:Middle>Leng </b:Middle>
            <b:First>Kim </b:First>
          </b:Person>
          <b:Person>
            <b:Last>Yeoh</b:Last>
            <b:First>Hui Jing </b:First>
          </b:Person>
        </b:NameList>
      </b:Author>
    </b:Author>
    <b:RefOrder>612</b:RefOrder>
  </b:Source>
  <b:Source>
    <b:Tag>Kno20</b:Tag>
    <b:SourceType>JournalArticle</b:SourceType>
    <b:Guid>{5F72A8E0-05A8-486E-9B4A-209E80B2E3C0}</b:Guid>
    <b:Title>Confirmation Bias, Ingroup Bias, and Negativity Bias in Selective Exposure to Political Information</b:Title>
    <b:JournalName>Communication Research</b:JournalName>
    <b:Year>2020</b:Year>
    <b:Pages>104-124</b:Pages>
    <b:Author>
      <b:Author>
        <b:NameList>
          <b:Person>
            <b:Last>Knobloch-Westerwick</b:Last>
            <b:First>Silvia </b:First>
          </b:Person>
          <b:Person>
            <b:Last>Mothes</b:Last>
            <b:First>Cornelia </b:First>
          </b:Person>
          <b:Person>
            <b:Last>Polavin</b:Last>
            <b:First>Nick</b:First>
          </b:Person>
        </b:NameList>
      </b:Author>
    </b:Author>
    <b:Month>02</b:Month>
    <b:Day>01</b:Day>
    <b:Volume>47</b:Volume>
    <b:Issue>01</b:Issue>
    <b:YearAccessed>2022</b:YearAccessed>
    <b:MonthAccessed>06</b:MonthAccessed>
    <b:DayAccessed>05</b:DayAccessed>
    <b:DOI>https://doi.org/10.1177/0093650217719596</b:DOI>
    <b:RefOrder>1201</b:RefOrder>
  </b:Source>
  <b:Source>
    <b:Tag>Kle041</b:Tag>
    <b:SourceType>JournalArticle</b:SourceType>
    <b:Guid>{7CB22750-6237-4668-88CA-5450377C0507}</b:Guid>
    <b:Title>Corporate social responsibility and consumers’ attributions and brand evaluations in a product-harm crisis</b:Title>
    <b:JournalName>International Journal of Research in Marketing</b:JournalName>
    <b:Year>2004</b:Year>
    <b:Pages>203-217</b:Pages>
    <b:Volume>21</b:Volume>
    <b:Issue>3</b:Issue>
    <b:YearAccessed>2022</b:YearAccessed>
    <b:MonthAccessed>01</b:MonthAccessed>
    <b:DayAccessed>16</b:DayAccessed>
    <b:DOI>https://doi.org/10.1016/j.ijresmar.2003.12.003</b:DOI>
    <b:Author>
      <b:Author>
        <b:NameList>
          <b:Person>
            <b:Last>Klein</b:Last>
            <b:First>Jill</b:First>
          </b:Person>
          <b:Person>
            <b:Last>Dawar </b:Last>
            <b:First>Niraj</b:First>
          </b:Person>
        </b:NameList>
      </b:Author>
    </b:Author>
    <b:RefOrder>664</b:RefOrder>
  </b:Source>
  <b:Source>
    <b:Tag>Kle04</b:Tag>
    <b:SourceType>JournalArticle</b:SourceType>
    <b:Guid>{5D7CC4F3-4FAD-4BC7-9179-858500C56AB7}</b:Guid>
    <b:Title>Corporate social responsibility and consumers' attributions and brand evaluations in a product–harm crisis</b:Title>
    <b:JournalName>International Journal of Research in Marketing</b:JournalName>
    <b:Year>2004</b:Year>
    <b:Pages>203-217</b:Pages>
    <b:Month>09</b:Month>
    <b:Volume>21</b:Volume>
    <b:Issue>3</b:Issue>
    <b:YearAccessed>2022</b:YearAccessed>
    <b:MonthAccessed>01</b:MonthAccessed>
    <b:DayAccessed>01</b:DayAccessed>
    <b:DOI>https://doi.org/10.1016/j.ijresmar.2003.12.003</b:DOI>
    <b:Author>
      <b:Author>
        <b:NameList>
          <b:Person>
            <b:Last>Klein</b:Last>
            <b:First>Jill</b:First>
          </b:Person>
          <b:Person>
            <b:Last>Dawar</b:Last>
            <b:First>Niraj</b:First>
          </b:Person>
        </b:NameList>
      </b:Author>
    </b:Author>
    <b:RefOrder>662</b:RefOrder>
  </b:Source>
  <b:Source>
    <b:Tag>Kla20</b:Tag>
    <b:SourceType>JournalArticle</b:SourceType>
    <b:Guid>{7E72F33B-9786-44DB-80C0-977D626CC9A2}</b:Guid>
    <b:Title>To what extent do conspicuous consumption and status consumption reinforce the effect of self-image congruence on emotional brand attachment? Evidence from the Kingdom of Saudi Arabia</b:Title>
    <b:JournalName>Journal of Marketing Analytics</b:JournalName>
    <b:Year>2020</b:Year>
    <b:Pages>99-117</b:Pages>
    <b:Volume>8</b:Volume>
    <b:Author>
      <b:Author>
        <b:NameList>
          <b:Person>
            <b:Last>Klabi</b:Last>
            <b:First>Fethi</b:First>
          </b:Person>
        </b:NameList>
      </b:Author>
    </b:Author>
    <b:Month>05</b:Month>
    <b:Day>02</b:Day>
    <b:YearAccessed>2022</b:YearAccessed>
    <b:MonthAccessed>12</b:MonthAccessed>
    <b:DayAccessed>06</b:DayAccessed>
    <b:DOI>https://doi.org/10.1057/s41270-020-00073-9</b:DOI>
    <b:RefOrder>492</b:RefOrder>
  </b:Source>
  <b:Source>
    <b:Tag>Kit14</b:Tag>
    <b:SourceType>JournalArticle</b:SourceType>
    <b:Guid>{384F2AAD-ED77-4647-A1D8-00C1F39F6CFC}</b:Guid>
    <b:Title>The elaboration likelihood model: review, critique and research agenda</b:Title>
    <b:JournalName>European Journal of Marketing</b:JournalName>
    <b:Year>2014</b:Year>
    <b:Pages>2033-2050</b:Pages>
    <b:Author>
      <b:Author>
        <b:NameList>
          <b:Person>
            <b:Last>Kitchen</b:Last>
            <b:Middle>J.</b:Middle>
            <b:First>Philip </b:First>
          </b:Person>
          <b:Person>
            <b:Last>Kerr</b:Last>
            <b:First>Gayle </b:First>
          </b:Person>
          <b:Person>
            <b:Last>Schultz</b:Last>
            <b:Middle>E.</b:Middle>
            <b:First>Don </b:First>
          </b:Person>
          <b:Person>
            <b:Last>McColl</b:Last>
            <b:First>Rod </b:First>
          </b:Person>
          <b:Person>
            <b:Last>Pals</b:Last>
            <b:First>Heather </b:First>
          </b:Person>
        </b:NameList>
      </b:Author>
    </b:Author>
    <b:Month>11</b:Month>
    <b:Day>04</b:Day>
    <b:Publisher>Emerald Group Publishing Limited</b:Publisher>
    <b:Volume>48</b:Volume>
    <b:Issue>11</b:Issue>
    <b:YearAccessed>2022</b:YearAccessed>
    <b:MonthAccessed>09</b:MonthAccessed>
    <b:DayAccessed>27</b:DayAccessed>
    <b:URL>https://doi.org/10.1108/EJM-12-2011-0776</b:URL>
    <b:RefOrder>521</b:RefOrder>
  </b:Source>
  <b:Source>
    <b:Tag>Kin21</b:Tag>
    <b:SourceType>InternetSite</b:SourceType>
    <b:Guid>{6C2CB8F9-53A9-4A78-B155-FA6C3A0D8137}</b:Guid>
    <b:Title>Living in the Shadow of Men</b:Title>
    <b:InternetSiteTitle>Women of Egypt Mag</b:InternetSiteTitle>
    <b:Year>2021</b:Year>
    <b:Month>04</b:Month>
    <b:Day>24</b:Day>
    <b:URL>https://womenofegyptmag.com/2021/04/24/living-in-the-shadow-of-men/</b:URL>
    <b:Author>
      <b:Author>
        <b:NameList>
          <b:Person>
            <b:Last>Kinias</b:Last>
            <b:First>Alexandra </b:First>
          </b:Person>
        </b:NameList>
      </b:Author>
    </b:Author>
    <b:RefOrder>1202</b:RefOrder>
  </b:Source>
  <b:Source>
    <b:Tag>Kim19</b:Tag>
    <b:SourceType>JournalArticle</b:SourceType>
    <b:Guid>{35626AA6-8117-4B97-9A87-399622018415}</b:Guid>
    <b:Title>re high-fit CSR programs always better? The effects of corporate reputation and CSR fit on stakeholder responses</b:Title>
    <b:JournalName>Corporate Communications: An International Journal</b:JournalName>
    <b:Year>2019</b:Year>
    <b:Pages>471-498</b:Pages>
    <b:Author>
      <b:Author>
        <b:NameList>
          <b:Person>
            <b:Last>Kim</b:Last>
            <b:First>Yeonsoo</b:First>
          </b:Person>
          <b:Person>
            <b:Last>Ferguson</b:Last>
            <b:First>Kim</b:First>
          </b:Person>
        </b:NameList>
      </b:Author>
    </b:Author>
    <b:Month>07</b:Month>
    <b:Volume>24</b:Volume>
    <b:Issue>3</b:Issue>
    <b:YearAccessed>2021</b:YearAccessed>
    <b:MonthAccessed>11</b:MonthAccessed>
    <b:DayAccessed>30</b:DayAccessed>
    <b:DOI>https://doi-org.lsbu.idm.oclc.org/10.1108/CCIJ-05-2018-0061</b:DOI>
    <b:RefOrder>296</b:RefOrder>
  </b:Source>
  <b:Source>
    <b:Tag>Yeo19</b:Tag>
    <b:SourceType>JournalArticle</b:SourceType>
    <b:Guid>{B6FB7C24-7E50-407C-BC12-C5B554E618B6}</b:Guid>
    <b:Title>Corporate association strategies and consumer responses: The relative effectiveness of CA versus CSR communication strategy by industry type</b:Title>
    <b:JournalName>Journal of Marketing CommuniCations</b:JournalName>
    <b:Year>2019</b:Year>
    <b:Pages>204 - 227</b:Pages>
    <b:Volume>25</b:Volume>
    <b:Issue>2</b:Issue>
    <b:YearAccessed>2021</b:YearAccessed>
    <b:MonthAccessed>11</b:MonthAccessed>
    <b:DayAccessed>19</b:DayAccessed>
    <b:DOI>https://doi.org/10.1080/13527266.2017.1393766</b:DOI>
    <b:Author>
      <b:Author>
        <b:NameList>
          <b:Person>
            <b:Last>Kim</b:Last>
            <b:First>Yeonsoo</b:First>
          </b:Person>
          <b:Person>
            <b:Last>Park</b:Last>
            <b:First>Hannah</b:First>
          </b:Person>
          <b:Person>
            <b:Last>Kim</b:Last>
            <b:Middle>K.</b:Middle>
            <b:First>Jwa</b:First>
          </b:Person>
        </b:NameList>
      </b:Author>
    </b:Author>
    <b:RefOrder>134</b:RefOrder>
  </b:Source>
  <b:Source>
    <b:Tag>Kim141</b:Tag>
    <b:SourceType>JournalArticle</b:SourceType>
    <b:Guid>{BA737048-F9A3-409F-9222-B26AD458E636}</b:Guid>
    <b:Title>“Strategic communication of corporate social responsibility (CSR): effects of stated motives and corporate reputation on stakeholder responses</b:Title>
    <b:JournalName>Public Relations Review</b:JournalName>
    <b:Year>2014</b:Year>
    <b:Pages>838-840</b:Pages>
    <b:Author>
      <b:Author>
        <b:NameList>
          <b:Person>
            <b:Last>Kim</b:Last>
            <b:First>Yeonsoo</b:First>
          </b:Person>
        </b:NameList>
      </b:Author>
    </b:Author>
    <b:Month>12</b:Month>
    <b:Volume>40</b:Volume>
    <b:Issue>5</b:Issue>
    <b:YearAccessed>2021</b:YearAccessed>
    <b:MonthAccessed>12</b:MonthAccessed>
    <b:DayAccessed>11</b:DayAccessed>
    <b:DOI>https://doi.org/10.1016/j.pubrev.2014.07.005</b:DOI>
    <b:RefOrder>402</b:RefOrder>
  </b:Source>
  <b:Source>
    <b:Tag>Kim193</b:Tag>
    <b:SourceType>JournalArticle</b:SourceType>
    <b:Guid>{8E834249-8682-4158-8548-AEB4D58CEA85}</b:Guid>
    <b:Title>The Role of Public Skepticism and Distrust in the Process of CSR Communication</b:Title>
    <b:JournalName>International Journal of Business Communication</b:JournalName>
    <b:Year>2019</b:Year>
    <b:Month>08</b:Month>
    <b:Day>06</b:Day>
    <b:YearAccessed>2023</b:YearAccessed>
    <b:MonthAccessed>02</b:MonthAccessed>
    <b:DayAccessed>27</b:DayAccessed>
    <b:DOI>https://doi.org/10.1177/2329488419866888</b:DOI>
    <b:Author>
      <b:Author>
        <b:NameList>
          <b:Person>
            <b:Last>Kim</b:Last>
            <b:First>Sora</b:First>
          </b:Person>
          <b:Person>
            <b:Last>Rim</b:Last>
            <b:First>Hyejoon </b:First>
          </b:Person>
        </b:NameList>
      </b:Author>
    </b:Author>
    <b:RefOrder>401</b:RefOrder>
  </b:Source>
  <b:Source>
    <b:Tag>Kim191</b:Tag>
    <b:SourceType>JournalArticle</b:SourceType>
    <b:Guid>{0677F632-6D7F-4291-903D-E89A342F0688}</b:Guid>
    <b:Title>The process model of corporate social responsibility (CSR) communication: CSR ommunication and its Relationship with Consumers’ CSR Knowledge, Trust, and Corporate Reputation Perception</b:Title>
    <b:JournalName>Journal of Business Ethics volume</b:JournalName>
    <b:Year>2019</b:Year>
    <b:Pages>1143-1159</b:Pages>
    <b:Volume>154</b:Volume>
    <b:YearAccessed>2022</b:YearAccessed>
    <b:MonthAccessed>05</b:MonthAccessed>
    <b:DayAccessed>18</b:DayAccessed>
    <b:DOI>https://doi.org/10.1007/s10551-017-3433-6</b:DOI>
    <b:Author>
      <b:Author>
        <b:NameList>
          <b:Person>
            <b:Last>Kim</b:Last>
            <b:First>Sora</b:First>
          </b:Person>
        </b:NameList>
      </b:Author>
    </b:Author>
    <b:RefOrder>123</b:RefOrder>
  </b:Source>
  <b:Source>
    <b:Tag>Kim14</b:Tag>
    <b:SourceType>JournalArticle</b:SourceType>
    <b:Guid>{EF5AE4CA-C9DB-4A1D-BB9F-0446A65F91D9}</b:Guid>
    <b:Title>Public Expectations of CSR Communication: What and How to Communicate CSR</b:Title>
    <b:JournalName>Public Relations Journal</b:JournalName>
    <b:Year>2014</b:Year>
    <b:Author>
      <b:Author>
        <b:NameList>
          <b:Person>
            <b:Last>Kim</b:Last>
            <b:First>Sora</b:First>
          </b:Person>
          <b:Person>
            <b:Last>Ferguson</b:Last>
            <b:Middle>T</b:Middle>
            <b:First>Mary Ann</b:First>
          </b:Person>
        </b:NameList>
      </b:Author>
    </b:Author>
    <b:Volume>8</b:Volume>
    <b:Issue>3</b:Issue>
    <b:YearAccessed>2021</b:YearAccessed>
    <b:MonthAccessed>12</b:MonthAccessed>
    <b:DayAccessed>10</b:DayAccessed>
    <b:URL>https://www.bellisario.psu.edu/assets/uploads/2014KIMFERGUSON.pdf</b:URL>
    <b:RefOrder>405</b:RefOrder>
  </b:Source>
  <b:Source>
    <b:Tag>Kim</b:Tag>
    <b:SourceType>JournalArticle</b:SourceType>
    <b:Guid>{36C1D236-01DC-4A46-BAF3-E7E65FC733DE}</b:Guid>
    <b:Title>Public Expectations of CSR Communication: What and How to Communicate CSR</b:Title>
    <b:JournalName>The Public Relations Journal</b:JournalName>
    <b:Year>2014</b:Year>
    <b:Month>10</b:Month>
    <b:Publisher>ResearchGate</b:Publisher>
    <b:Volume>08</b:Volume>
    <b:Issue>03</b:Issue>
    <b:YearAccessed>2022</b:YearAccessed>
    <b:MonthAccessed>10</b:MonthAccessed>
    <b:DayAccessed>02</b:DayAccessed>
    <b:URL>https://www.researchgate.net/publication/275272287_Public_Expectations_of_CSR_Communication_What_and_How_to_Communicate_CSR</b:URL>
    <b:Author>
      <b:Author>
        <b:NameList>
          <b:Person>
            <b:Last>Kim</b:Last>
            <b:First>Sora</b:First>
          </b:Person>
          <b:Person>
            <b:Last>Ferguson</b:Last>
            <b:First>Mary</b:First>
            <b:Middle>Ann</b:Middle>
          </b:Person>
        </b:NameList>
      </b:Author>
    </b:Author>
    <b:RefOrder>375</b:RefOrder>
  </b:Source>
  <b:Source>
    <b:Tag>Kim21</b:Tag>
    <b:SourceType>JournalArticle</b:SourceType>
    <b:Guid>{9D6AF310-D5B5-406B-9869-232BF896172F}</b:Guid>
    <b:Title>Positive ripple effects of corporate leaders’ CSR donations amid COVID-19 on corporate and country reputations: Multi-level reputational benefits of CSR focusing on Bill Gates and Jack Ma</b:Title>
    <b:JournalName>Public Relations Review</b:JournalName>
    <b:Year>2021</b:Year>
    <b:Month>11</b:Month>
    <b:Volume>47</b:Volume>
    <b:Issue>4</b:Issue>
    <b:YearAccessed>2023</b:YearAccessed>
    <b:MonthAccessed>02</b:MonthAccessed>
    <b:DayAccessed>03</b:DayAccessed>
    <b:DOI>https://doi.org/10.1016/j.pubrev.2021.102073</b:DOI>
    <b:Author>
      <b:Author>
        <b:NameList>
          <b:Person>
            <b:Last>Kim</b:Last>
            <b:First>Sora</b:First>
          </b:Person>
          <b:Person>
            <b:Last>Ji</b:Last>
            <b:First>Yingru </b:First>
          </b:Person>
        </b:NameList>
      </b:Author>
    </b:Author>
    <b:RefOrder>114</b:RefOrder>
  </b:Source>
  <b:Source>
    <b:Tag>KimSora</b:Tag>
    <b:SourceType>JournalArticle</b:SourceType>
    <b:Guid>{835548EE-0C00-4EF0-8F6E-6BD1E66E6279}</b:Guid>
    <b:Title>Dimensions of effective CSR communication based on public expectations</b:Title>
    <b:JournalName>Journal of Marketing Communications</b:JournalName>
    <b:Year>2018</b:Year>
    <b:Pages>549-567</b:Pages>
    <b:Month>01</b:Month>
    <b:Publisher>ResearchGate</b:Publisher>
    <b:Volume>24</b:Volume>
    <b:Issue>06</b:Issue>
    <b:YearAccessed>2022</b:YearAccessed>
    <b:MonthAccessed>10</b:MonthAccessed>
    <b:DayAccessed>02</b:DayAccessed>
    <b:DOI>10.1080/13527266.2015.1118143</b:DOI>
    <b:Author>
      <b:Author>
        <b:NameList>
          <b:Person>
            <b:Last>Kim</b:Last>
            <b:First>Sora</b:First>
          </b:Person>
          <b:Person>
            <b:Last>Ferguson</b:Last>
            <b:First>Mary Ann </b:First>
          </b:Person>
        </b:NameList>
      </b:Author>
    </b:Author>
    <b:RefOrder>1203</b:RefOrder>
  </b:Source>
  <b:Source>
    <b:Tag>Kim17</b:Tag>
    <b:SourceType>JournalArticle</b:SourceType>
    <b:Guid>{3A459189-67A8-4F68-B9DB-30C9570A6E41}</b:Guid>
    <b:Title>Chinese consumers’ expectations of corporate communication on CSR and Sustainability</b:Title>
    <b:JournalName>Corporate Social Responsibility and Environmental Management</b:JournalName>
    <b:Year>2017</b:Year>
    <b:Pages>570-588</b:Pages>
    <b:Month>12</b:Month>
    <b:Volume>24</b:Volume>
    <b:Issue>06</b:Issue>
    <b:YearAccessed>2022</b:YearAccessed>
    <b:MonthAccessed>05</b:MonthAccessed>
    <b:DayAccessed>18</b:DayAccessed>
    <b:DOI> https://doi.org/10.1002/csr.1429</b:DOI>
    <b:Author>
      <b:Author>
        <b:NameList>
          <b:Person>
            <b:Last>Kim</b:Last>
            <b:First>Sora</b:First>
          </b:Person>
          <b:Person>
            <b:Last>Ji</b:Last>
            <b:First>Yingru</b:First>
          </b:Person>
        </b:NameList>
      </b:Author>
    </b:Author>
    <b:RefOrder>76</b:RefOrder>
  </b:Source>
  <b:Source>
    <b:Tag>Kim16</b:Tag>
    <b:SourceType>JournalArticle</b:SourceType>
    <b:Guid>{A70E19B5-6B73-4100-9933-09944D0A5EE4}</b:Guid>
    <b:Title>Cross-cultural differences in concrete and abstract corporate social responsibility (CSR) campaigns: perceived message clarity and perceived CSR as mediators</b:Title>
    <b:JournalName>International Journal of Corporate Social Responsibility </b:JournalName>
    <b:Year>2016</b:Year>
    <b:Volume>1</b:Volume>
    <b:Issue>1</b:Issue>
    <b:Month>08</b:Month>
    <b:YearAccessed>2021</b:YearAccessed>
    <b:MonthAccessed>12</b:MonthAccessed>
    <b:DayAccessed>25</b:DayAccessed>
    <b:DOI>10.1186/s40991-016-0009-1</b:DOI>
    <b:Author>
      <b:Author>
        <b:NameList>
          <b:Person>
            <b:Last>Kim</b:Last>
            <b:First>Soojung</b:First>
          </b:Person>
          <b:Person>
            <b:Last>Bae</b:Last>
            <b:First>Jiyang</b:First>
          </b:Person>
        </b:NameList>
      </b:Author>
    </b:Author>
    <b:RefOrder>368</b:RefOrder>
  </b:Source>
  <b:Source>
    <b:Tag>Kim182</b:Tag>
    <b:SourceType>JournalArticle</b:SourceType>
    <b:Guid>{0A169E9F-4380-4BA4-A70C-9AA17CB9E8D9}</b:Guid>
    <b:Title>Congruence Effects in Post-crisis CSR Communication: The Mediating Role of Attribution of Corporate Motives</b:Title>
    <b:JournalName>Journal of Business Ethics</b:JournalName>
    <b:Year>2018</b:Year>
    <b:Pages>447-463</b:Pages>
    <b:Author>
      <b:Author>
        <b:NameList>
          <b:Person>
            <b:Last>Kim</b:Last>
            <b:First>Sojung</b:First>
          </b:Person>
          <b:Person>
            <b:Last>Choi</b:Last>
            <b:Middle>Marina</b:Middle>
            <b:First>Sejung </b:First>
          </b:Person>
        </b:NameList>
      </b:Author>
    </b:Author>
    <b:Volume>153</b:Volume>
    <b:Issue>2</b:Issue>
    <b:YearAccessed>2022</b:YearAccessed>
    <b:MonthAccessed>11</b:MonthAccessed>
    <b:DayAccessed>20</b:DayAccessed>
    <b:URL>https://www.jstor.org/stable/45022826 </b:URL>
    <b:RefOrder>1204</b:RefOrder>
  </b:Source>
  <b:Source>
    <b:Tag>Kim22</b:Tag>
    <b:SourceType>InternetSite</b:SourceType>
    <b:Guid>{FB61E958-B7CF-417C-B149-7E28BA180BF9}</b:Guid>
    <b:Title>ANOVA and Kruskal-Wallis Tests, Explained</b:Title>
    <b:Year>2022</b:Year>
    <b:YearAccessed>2023</b:YearAccessed>
    <b:MonthAccessed>01</b:MonthAccessed>
    <b:DayAccessed>17</b:DayAccessed>
    <b:URL>https://towardsdatascience.com/anova-and-kruskal-wallis-tests-explained-2ad828b97125</b:URL>
    <b:InternetSiteTitle>Towards data science</b:InternetSiteTitle>
    <b:Month>10</b:Month>
    <b:Day>04</b:Day>
    <b:Author>
      <b:Author>
        <b:NameList>
          <b:Person>
            <b:Last>Kim</b:Last>
            <b:First>Seungjun </b:First>
          </b:Person>
        </b:NameList>
      </b:Author>
    </b:Author>
    <b:RefOrder>956</b:RefOrder>
  </b:Source>
  <b:Source>
    <b:Tag>Kim23</b:Tag>
    <b:SourceType>JournalArticle</b:SourceType>
    <b:Guid>{9F49D779-D0F7-4F59-9A22-8D70CB695C6C}</b:Guid>
    <b:Title>Environmental Consciousness, Purchase Intention, and Actual Purchase Behavior of Eco-Friendly Products: The Moderating Impact of Situational Context</b:Title>
    <b:JournalName>International Journal of Environmental Research and Public Health</b:JournalName>
    <b:Year>2023</b:Year>
    <b:Author>
      <b:Author>
        <b:NameList>
          <b:Person>
            <b:Last>Kim</b:Last>
            <b:First>Nayeon</b:First>
          </b:Person>
          <b:Person>
            <b:Last>Lee</b:Last>
            <b:First>Kyungtag</b:First>
          </b:Person>
        </b:NameList>
      </b:Author>
    </b:Author>
    <b:Month>03</b:Month>
    <b:Day>29</b:Day>
    <b:Volume>20</b:Volume>
    <b:Issue>7</b:Issue>
    <b:YearAccessed>2023</b:YearAccessed>
    <b:MonthAccessed>08</b:MonthAccessed>
    <b:DayAccessed>19</b:DayAccessed>
    <b:DOI>https://doi.org/10.3390/ijerph20075312</b:DOI>
    <b:RefOrder>557</b:RefOrder>
  </b:Source>
  <b:Source>
    <b:Tag>Kim20</b:Tag>
    <b:SourceType>JournalArticle</b:SourceType>
    <b:Guid>{64CA93D1-008D-4F4C-9C10-F650D57B984E}</b:Guid>
    <b:Title>Exploring consumer behavior in virtual reality tourism using an extended stimulus-organism-response model</b:Title>
    <b:JournalName>Journal of Travel Research</b:JournalName>
    <b:Year>2020</b:Year>
    <b:Pages>69-89</b:Pages>
    <b:Volume>59</b:Volume>
    <b:Issue>1</b:Issue>
    <b:Author>
      <b:Author>
        <b:NameList>
          <b:Person>
            <b:Last>Kim</b:Last>
            <b:First>M</b:First>
          </b:Person>
          <b:Person>
            <b:Last>Lee</b:Last>
            <b:First>C</b:First>
          </b:Person>
          <b:Person>
            <b:Last>Jung</b:Last>
            <b:First>T</b:First>
          </b:Person>
        </b:NameList>
      </b:Author>
    </b:Author>
    <b:RefOrder>632</b:RefOrder>
  </b:Source>
  <b:Source>
    <b:Tag>Kim15</b:Tag>
    <b:SourceType>JournalArticle</b:SourceType>
    <b:Guid>{316B6B27-AF3C-47DE-A81D-30E6B920B4CD}</b:Guid>
    <b:Title>Abstract Representations of Associated Emotions in the Human Brain</b:Title>
    <b:JournalName>The Journal of Neuroscience</b:JournalName>
    <b:Year>2015</b:Year>
    <b:Month>04</b:Month>
    <b:Day>8</b:Day>
    <b:Volume>35</b:Volume>
    <b:Issue>14</b:Issue>
    <b:YearAccessed>2021</b:YearAccessed>
    <b:MonthAccessed>10</b:MonthAccessed>
    <b:DayAccessed>12</b:DayAccessed>
    <b:DOI>10.1523/jneurosci.4059-14.2015</b:DOI>
    <b:Author>
      <b:Author>
        <b:NameList>
          <b:Person>
            <b:Last>Kim</b:Last>
            <b:First>Junsuk</b:First>
          </b:Person>
          <b:Person>
            <b:Last>Schultz</b:Last>
            <b:First>Johannes</b:First>
          </b:Person>
          <b:Person>
            <b:Last>Rohe</b:Last>
            <b:First>Tim</b:First>
          </b:Person>
          <b:Person>
            <b:Last>Wallraven</b:Last>
            <b:First>Christian</b:First>
          </b:Person>
          <b:Person>
            <b:Last>Lee</b:Last>
            <b:First>Seong-Whan</b:First>
          </b:Person>
          <b:Person>
            <b:Last> Bulthoff</b:Last>
            <b:Middle>H</b:Middle>
            <b:First>Heinrich</b:First>
          </b:Person>
        </b:NameList>
      </b:Author>
    </b:Author>
    <b:RefOrder>100</b:RefOrder>
  </b:Source>
  <b:Source>
    <b:Tag>Kim181</b:Tag>
    <b:SourceType>JournalArticle</b:SourceType>
    <b:Guid>{B5433FC1-39B6-4F72-9351-865ED865CFB8}</b:Guid>
    <b:Title>Examining public perceptions of CSR in Sport</b:Title>
    <b:JournalName>Corporate Communications An International Journal</b:JournalName>
    <b:Year>2018</b:Year>
    <b:Author>
      <b:Author>
        <b:NameList>
          <b:Person>
            <b:Last>Kim</b:Last>
            <b:Middle>J</b:Middle>
            <b:First>Joon</b:First>
          </b:Person>
          <b:Person>
            <b:Last>Overton</b:Last>
            <b:First>Hully</b:First>
          </b:Person>
          <b:Person>
            <b:Last>Hull</b:Last>
            <b:First>Kevin</b:First>
          </b:Person>
          <b:Person>
            <b:Last>Choi</b:Last>
            <b:First>Minhee</b:First>
          </b:Person>
        </b:NameList>
      </b:Author>
    </b:Author>
    <b:Month>09</b:Month>
    <b:Volume>23</b:Volume>
    <b:Issue>4</b:Issue>
    <b:YearAccessed>2021</b:YearAccessed>
    <b:MonthAccessed>11</b:MonthAccessed>
    <b:DayAccessed>28</b:DayAccessed>
    <b:DOI>10.1108/CCIJ-05-2018-0060</b:DOI>
    <b:RefOrder>1205</b:RefOrder>
  </b:Source>
  <b:Source>
    <b:Tag>Kim18</b:Tag>
    <b:SourceType>JournalArticle</b:SourceType>
    <b:Guid>{8AA5E3ED-470A-4381-BC7F-188C3AF36C8C}</b:Guid>
    <b:Title>Examining public perceptions of CSR in Sport</b:Title>
    <b:JournalName>Corporate Communications: An International Journal</b:JournalName>
    <b:Year>2018</b:Year>
    <b:Author>
      <b:Author>
        <b:NameList>
          <b:Person>
            <b:Last>Kim</b:Last>
            <b:Middle>Kyoung</b:Middle>
            <b:First>Joon</b:First>
          </b:Person>
          <b:Person>
            <b:Last>Overton </b:Last>
            <b:First>Holly</b:First>
          </b:Person>
          <b:Person>
            <b:Last>Hull</b:Last>
            <b:First>Kevin</b:First>
          </b:Person>
          <b:Person>
            <b:Last>Choi</b:Last>
            <b:First>Minhee</b:First>
          </b:Person>
        </b:NameList>
      </b:Author>
    </b:Author>
    <b:Month>09</b:Month>
    <b:Volume>23</b:Volume>
    <b:Issue>4</b:Issue>
    <b:YearAccessed>2021</b:YearAccessed>
    <b:MonthAccessed>11</b:MonthAccessed>
    <b:DayAccessed>30</b:DayAccessed>
    <b:DOI>https://doi.org/10.1108/</b:DOI>
    <b:RefOrder>376</b:RefOrder>
  </b:Source>
  <b:Source>
    <b:Tag>Kim142</b:Tag>
    <b:SourceType>JournalArticle</b:SourceType>
    <b:Guid>{8AA5D0D0-ABD2-404D-A8BC-67D05304425E}</b:Guid>
    <b:Title>A scenario-based experiment and a field study: A comparative examination for service failure and recovery</b:Title>
    <b:Year>2014</b:Year>
    <b:JournalName>International Journal of Hospitality Management</b:JournalName>
    <b:Pages>125-132</b:Pages>
    <b:Author>
      <b:Author>
        <b:NameList>
          <b:Person>
            <b:Last>Kim</b:Last>
            <b:First>Jong-Hyeong</b:First>
          </b:Person>
          <b:Person>
            <b:Last>Jang</b:Last>
            <b:First>ShooCheong </b:First>
          </b:Person>
        </b:NameList>
      </b:Author>
    </b:Author>
    <b:Volume>41</b:Volume>
    <b:YearAccessed>2022</b:YearAccessed>
    <b:MonthAccessed>05</b:MonthAccessed>
    <b:DayAccessed>15</b:DayAccessed>
    <b:DOI>http://dx.doi.org/10.1016/j.ijhm.2014.05.004</b:DOI>
    <b:RefOrder>1206</b:RefOrder>
  </b:Source>
  <b:Source>
    <b:Tag>Kim13</b:Tag>
    <b:SourceType>JournalArticle</b:SourceType>
    <b:Guid>{20AD5A12-6CF8-4638-B559-E8D44B981019}</b:Guid>
    <b:Title>Effects of reputation and website quality on online consumers' emotion, perceived risk and purchase intention: Based on the stimulus‐organism‐response model</b:Title>
    <b:JournalName>Journal of Research in Interactive Marketing</b:JournalName>
    <b:Year>2013</b:Year>
    <b:Pages>33-56</b:Pages>
    <b:Month>03</b:Month>
    <b:Day>22</b:Day>
    <b:Publisher>Emerald Group Publishing Limited</b:Publisher>
    <b:Volume>7</b:Volume>
    <b:Issue>1</b:Issue>
    <b:YearAccessed>2023</b:YearAccessed>
    <b:MonthAccessed>03</b:MonthAccessed>
    <b:DayAccessed>10</b:DayAccessed>
    <b:DOI>https://doi.org/10.1108/17505931311316734</b:DOI>
    <b:Author>
      <b:Author>
        <b:NameList>
          <b:Person>
            <b:Last>Kim</b:Last>
            <b:First>Jiyoung </b:First>
          </b:Person>
          <b:Person>
            <b:Last>Lennon</b:Last>
            <b:Middle>J.</b:Middle>
            <b:First>Sharron </b:First>
          </b:Person>
        </b:NameList>
      </b:Author>
    </b:Author>
    <b:RefOrder>633</b:RefOrder>
  </b:Source>
  <b:Source>
    <b:Tag>Kim161</b:Tag>
    <b:SourceType>JournalArticle</b:SourceType>
    <b:Guid>{3EE6103E-3C58-48CB-9153-AE5CE07267F2}</b:Guid>
    <b:Title>Psychological Underpinnings of Luxury Brand Goods repurchase intentions: Brand–self congruity, emotional attachment, and perceived level of investment made</b:Title>
    <b:JournalName>Journal of Global Scholars of Marketing Science</b:JournalName>
    <b:Year>2016</b:Year>
    <b:Pages>284-299</b:Pages>
    <b:Month>05</b:Month>
    <b:Day>19</b:Day>
    <b:Volume>26</b:Volume>
    <b:Issue>3</b:Issue>
    <b:YearAccessed>2023</b:YearAccessed>
    <b:MonthAccessed>03</b:MonthAccessed>
    <b:DayAccessed>18</b:DayAccessed>
    <b:DOI>https://doi.org/10.1080/21639159.2016.1174542</b:DOI>
    <b:Author>
      <b:Author>
        <b:NameList>
          <b:Person>
            <b:Last>Kim</b:Last>
            <b:First>Jihyun </b:First>
          </b:Person>
          <b:Person>
            <b:Last>Joung</b:Last>
            <b:First>Hyun-Mee </b:First>
          </b:Person>
        </b:NameList>
      </b:Author>
    </b:Author>
    <b:RefOrder>1207</b:RefOrder>
  </b:Source>
  <b:Source>
    <b:Tag>Kim143</b:Tag>
    <b:SourceType>JournalArticle</b:SourceType>
    <b:Guid>{593D4708-9A9A-4E38-9760-CA98B7084A6C}</b:Guid>
    <b:Title>Analysis of variance (ANOVA) comparing means of more than two groups</b:Title>
    <b:Year>2014</b:Year>
    <b:JournalName>Restorative Dentistry &amp; Endodontics</b:JournalName>
    <b:Pages>74-77</b:Pages>
    <b:Month>01</b:Month>
    <b:Day>20</b:Day>
    <b:Volume>39</b:Volume>
    <b:Issue>1</b:Issue>
    <b:YearAccessed>2023</b:YearAccessed>
    <b:MonthAccessed>06</b:MonthAccessed>
    <b:DayAccessed>05</b:DayAccessed>
    <b:DOI>10.5395/rde.2014.39.1.74</b:DOI>
    <b:Author>
      <b:Author>
        <b:NameList>
          <b:Person>
            <b:Last>Kim</b:Last>
            <b:First>Hae-Young </b:First>
          </b:Person>
        </b:NameList>
      </b:Author>
    </b:Author>
    <b:RefOrder>829</b:RefOrder>
  </b:Source>
  <b:Source>
    <b:Tag>Kil18</b:Tag>
    <b:SourceType>JournalArticle</b:SourceType>
    <b:Guid>{66222350-00B6-4887-971F-F4018571EB5A}</b:Guid>
    <b:Title>Towards understanding interindividual differences in stressor appraisals: A systematic review</b:Title>
    <b:JournalName>Personality and Individual Differences</b:JournalName>
    <b:Year>2018</b:Year>
    <b:Pages>92-100</b:Pages>
    <b:Author>
      <b:Author>
        <b:NameList>
          <b:Person>
            <b:Last>Kilby</b:Last>
            <b:Middle>J.</b:Middle>
            <b:First>Christopher </b:First>
          </b:Person>
          <b:Person>
            <b:Last>Sherman</b:Last>
            <b:Middle>A.</b:Middle>
            <b:First>Kerry </b:First>
          </b:Person>
          <b:Person>
            <b:Last>Wuthrich</b:Last>
            <b:First>Viviana</b:First>
          </b:Person>
        </b:NameList>
      </b:Author>
    </b:Author>
    <b:Month>12</b:Month>
    <b:Day>1</b:Day>
    <b:Volume>135</b:Volume>
    <b:YearAccessed>2022</b:YearAccessed>
    <b:MonthAccessed>12</b:MonthAccessed>
    <b:DayAccessed>31</b:DayAccessed>
    <b:DOI>https://doi.org/10.1016/j.paid.2018.07.001</b:DOI>
    <b:RefOrder>458</b:RefOrder>
  </b:Source>
  <b:Source>
    <b:Tag>Kha17</b:Tag>
    <b:SourceType>JournalArticle</b:SourceType>
    <b:Guid>{221E4DE9-9464-4BFA-A387-C35362D66624}</b:Guid>
    <b:Title>To Evaluate the Role of CSR (Corporate Social Responisbility) Programs on the Buying Behavior of Consumers of FMCG Sector Companies in Lucknow</b:Title>
    <b:Year>2017</b:Year>
    <b:Pages>46-50</b:Pages>
    <b:JournalName>Amity Global Business Review</b:JournalName>
    <b:Volume>12</b:Volume>
    <b:Issue>2</b:Issue>
    <b:Author>
      <b:Author>
        <b:NameList>
          <b:Person>
            <b:Last>Khan</b:Last>
            <b:Middle>Aslam</b:Middle>
            <b:First>Mohammad </b:First>
          </b:Person>
        </b:NameList>
      </b:Author>
    </b:Author>
    <b:Month>09</b:Month>
    <b:YearAccessed>2021</b:YearAccessed>
    <b:MonthAccessed>12</b:MonthAccessed>
    <b:DayAccessed>24</b:DayAccessed>
    <b:URL>https://search.ebscohost.com/login.aspx?direct=true&amp;db=buh&amp;AN=128325998&amp;site=eds-live.</b:URL>
    <b:RefOrder>1208</b:RefOrder>
  </b:Source>
  <b:Source>
    <b:Tag>Kha211</b:Tag>
    <b:SourceType>JournalArticle</b:SourceType>
    <b:Guid>{1729BB27-3E82-467E-8E8A-082113967827}</b:Guid>
    <b:Title>Guideline for Selecting Types of Reliability and Suitable Intra-Class Correlation Coefficients in Clinical Research</b:Title>
    <b:Year>2021</b:Year>
    <b:URL>https://sid.ir/paper/693795/en</b:URL>
    <b:JournalName>JOURNAL OF BIOSTATISTICS AND EPIDEMIOLOGY</b:JournalName>
    <b:Pages>305-309</b:Pages>
    <b:Author>
      <b:Author>
        <b:NameList>
          <b:Person>
            <b:Last>Khalil </b:Last>
            <b:Middle>Chenani </b:Middle>
            <b:First>Taherzadeh </b:First>
          </b:Person>
          <b:Person>
            <b:Last>Farzan</b:Last>
            <b:First>MADADIZADEH </b:First>
          </b:Person>
        </b:NameList>
      </b:Author>
    </b:Author>
    <b:Volume>7</b:Volume>
    <b:Issue>3</b:Issue>
    <b:YearAccessed>2023</b:YearAccessed>
    <b:MonthAccessed>02</b:MonthAccessed>
    <b:DayAccessed>11</b:DayAccessed>
    <b:RefOrder>763</b:RefOrder>
  </b:Source>
  <b:Source>
    <b:Tag>Kha21</b:Tag>
    <b:SourceType>JournalArticle</b:SourceType>
    <b:Guid>{0279FCB3-37EF-4740-A663-4D05928608FA}</b:Guid>
    <b:Title>The Rise of Sustainable Consumerism: Evidence from the Egyptian Generation Z</b:Title>
    <b:JournalName>Sustainability</b:JournalName>
    <b:Year>2021</b:Year>
    <b:Volume>13</b:Volume>
    <b:Issue>24</b:Issue>
    <b:Month>12</b:Month>
    <b:Day>14</b:Day>
    <b:YearAccessed>2022</b:YearAccessed>
    <b:MonthAccessed>12</b:MonthAccessed>
    <b:DayAccessed>10</b:DayAccessed>
    <b:DOI>https://doi.org/10.3390/su132413804</b:DOI>
    <b:Author>
      <b:Author>
        <b:NameList>
          <b:Person>
            <b:Last>Khalil </b:Last>
            <b:First>Salma </b:First>
          </b:Person>
          <b:Person>
            <b:Last>Ismail</b:Last>
            <b:First>Ayman </b:First>
          </b:Person>
          <b:Person>
            <b:Last>Ghalwash</b:Last>
            <b:First>Seham </b:First>
          </b:Person>
        </b:NameList>
      </b:Author>
    </b:Author>
    <b:RefOrder>51</b:RefOrder>
  </b:Source>
  <b:Source>
    <b:Tag>Kha18</b:Tag>
    <b:SourceType>JournalArticle</b:SourceType>
    <b:Guid>{751C3F8A-B7D5-43EE-9D18-6D05EE370095}</b:Guid>
    <b:Title>The Influence of Self-Congruity on Purchase</b:Title>
    <b:JournalName>International Journal of Academic Research in Business and Social Sciences</b:JournalName>
    <b:Year>2018</b:Year>
    <b:Pages>933-945</b:Pages>
    <b:Month>04</b:Month>
    <b:Day>26</b:Day>
    <b:Volume>8</b:Volume>
    <b:Issue>4</b:Issue>
    <b:YearAccessed>2023</b:YearAccessed>
    <b:MonthAccessed>03</b:MonthAccessed>
    <b:DayAccessed>19</b:DayAccessed>
    <b:URL>http://dx.doi.org/10.6007/IJARBSS/v8-i4/4122</b:URL>
    <b:DOI>10.6007/IJARBSS/v8-i4/4122</b:DOI>
    <b:Author>
      <b:Author>
        <b:NameList>
          <b:Person>
            <b:Last>Khalid</b:Last>
            <b:Middle>Rahimy </b:Middle>
            <b:First>Nor </b:First>
          </b:Person>
          <b:Person>
            <b:Last>Che Wel</b:Last>
            <b:First>Che Aniza </b:First>
          </b:Person>
          <b:Person>
            <b:Last>Mokhtaruddin</b:Last>
            <b:Middle>Akmar </b:Middle>
            <b:First>Suraya </b:First>
          </b:Person>
          <b:Person>
            <b:Last>Alam</b:Last>
            <b:Middle>Shah </b:Middle>
            <b:First>Syed </b:First>
          </b:Person>
        </b:NameList>
      </b:Author>
    </b:Author>
    <b:RefOrder>1209</b:RefOrder>
  </b:Source>
  <b:Source>
    <b:Tag>Ker12</b:Tag>
    <b:SourceType>JournalArticle</b:SourceType>
    <b:Guid>{CEED9619-0218-4FD2-ADB8-0A1F881B3BA6}</b:Guid>
    <b:Title>Brands as Intentional Agents Framework: How Perceived Intentions and Ability Can Map Brand perception</b:Title>
    <b:JournalName>Journal of Consumer Psychology</b:JournalName>
    <b:Year>2012</b:Year>
    <b:Volume>22</b:Volume>
    <b:Issue>02</b:Issue>
    <b:YearAccessed>2022</b:YearAccessed>
    <b:MonthAccessed>06</b:MonthAccessed>
    <b:DayAccessed>15</b:DayAccessed>
    <b:DOI>10.1016/j.jcps.2011.09.006</b:DOI>
    <b:Author>
      <b:Author>
        <b:NameList>
          <b:Person>
            <b:Last>Kervyn</b:Last>
            <b:First>Nicolas </b:First>
          </b:Person>
          <b:Person>
            <b:Last>Fiske</b:Last>
            <b:Middle>T.</b:Middle>
            <b:First>Susan </b:First>
          </b:Person>
          <b:Person>
            <b:Last>Malone</b:Last>
            <b:First>Chris</b:First>
          </b:Person>
        </b:NameList>
      </b:Author>
    </b:Author>
    <b:RefOrder>301</b:RefOrder>
  </b:Source>
  <b:Source>
    <b:Tag>Ker16</b:Tag>
    <b:SourceType>JournalArticle</b:SourceType>
    <b:Guid>{CB63230C-DCDF-4408-9D9F-7BD02E0A605B}</b:Guid>
    <b:Title>Halo and spillover effect illustrations for selected beneficial medical devices and drugs</b:Title>
    <b:JournalName>BMC Public Health</b:JournalName>
    <b:Year>2016</b:Year>
    <b:Author>
      <b:Author>
        <b:NameList>
          <b:Person>
            <b:Last>Kerger</b:Last>
            <b:Middle>D.</b:Middle>
            <b:First>Brent </b:First>
          </b:Person>
          <b:Person>
            <b:Last>Bernal</b:Last>
            <b:First>Autumn </b:First>
          </b:Person>
          <b:Person>
            <b:Last>Paustenbach </b:Last>
            <b:Middle>J.</b:Middle>
            <b:First>Dennis </b:First>
          </b:Person>
          <b:Person>
            <b:Last>Huntley-Fenner </b:Last>
            <b:First>Gavin </b:First>
          </b:Person>
        </b:NameList>
      </b:Author>
    </b:Author>
    <b:Month>09</b:Month>
    <b:Day>15</b:Day>
    <b:Volume>16</b:Volume>
    <b:YearAccessed>2022</b:YearAccessed>
    <b:MonthAccessed>11</b:MonthAccessed>
    <b:DayAccessed>05</b:DayAccessed>
    <b:DOI>https://doi.org/10.1186/s12889-016-3595-7</b:DOI>
    <b:RefOrder>649</b:RefOrder>
  </b:Source>
  <b:Source>
    <b:Tag>Kem01</b:Tag>
    <b:SourceType>JournalArticle</b:SourceType>
    <b:Guid>{E9A6BD5B-5471-493E-88BC-864C07B8353A}</b:Guid>
    <b:Title>Advertising's Influence on Subsequent Product Trial Processing on Subsequent Product Trial Processing</b:Title>
    <b:JournalName>Journal of Advertising</b:JournalName>
    <b:Year>2001</b:Year>
    <b:Pages>27-38</b:Pages>
    <b:Author>
      <b:Author>
        <b:NameList>
          <b:Person>
            <b:Last>Kempf</b:Last>
            <b:Middle>S</b:Middle>
            <b:First>DeAnne</b:First>
          </b:Person>
          <b:Person>
            <b:Last>Laczniak</b:Last>
            <b:Middle>K</b:Middle>
            <b:First>Russnell</b:First>
          </b:Person>
        </b:NameList>
      </b:Author>
    </b:Author>
    <b:Publisher>Taylor &amp; Francis, Ltd.</b:Publisher>
    <b:Volume>30</b:Volume>
    <b:Issue>3</b:Issue>
    <b:YearAccessed>2022</b:YearAccessed>
    <b:MonthAccessed>02</b:MonthAccessed>
    <b:DayAccessed>03</b:DayAccessed>
    <b:URL>https://www.jstor.org/stable/4189186</b:URL>
    <b:RefOrder>166</b:RefOrder>
  </b:Source>
  <b:Source>
    <b:Tag>Kel18</b:Tag>
    <b:SourceType>JournalArticle</b:SourceType>
    <b:Guid>{C0CD61BE-F4BB-4992-AEDC-03E84DEBDF4F}</b:Guid>
    <b:Title>Men Doing and Undoing Gender at Work: A Review and Research Agenda</b:Title>
    <b:Year>2018</b:Year>
    <b:Author>
      <b:Author>
        <b:NameList>
          <b:Person>
            <b:Last>Kelan</b:Last>
            <b:Middle>K.</b:Middle>
            <b:First>Elisabeth </b:First>
          </b:Person>
        </b:NameList>
      </b:Author>
    </b:Author>
    <b:JournalName>International Journal of Management Reviews</b:JournalName>
    <b:Pages>544-558</b:Pages>
    <b:Month>04</b:Month>
    <b:Volume>20</b:Volume>
    <b:Issue>02</b:Issue>
    <b:YearAccessed>2022</b:YearAccessed>
    <b:MonthAccessed>12</b:MonthAccessed>
    <b:DayAccessed>31</b:DayAccessed>
    <b:DOI>https://doi.org/10.1111/ijmr.12146</b:DOI>
    <b:RefOrder>457</b:RefOrder>
  </b:Source>
  <b:Source>
    <b:Tag>Kaw21</b:Tag>
    <b:SourceType>JournalArticle</b:SourceType>
    <b:Guid>{D1BFC64F-23DD-46D4-AF3C-8ACA38ED3226}</b:Guid>
    <b:Title>Modeling the differential effect of brand strength on the sales effect of advertising.</b:Title>
    <b:Year>2021</b:Year>
    <b:Month>08</b:Month>
    <b:Day>30</b:Day>
    <b:URL>https://doi.org/10.1080/10696679.2021.1948343</b:URL>
    <b:JournalName>Journal of Marketing Theory &amp; Practice</b:JournalName>
    <b:Pages>341-360</b:Pages>
    <b:Volume>30</b:Volume>
    <b:Issue>03</b:Issue>
    <b:YearAccessed>2022</b:YearAccessed>
    <b:MonthAccessed>10</b:MonthAccessed>
    <b:DayAccessed>01</b:DayAccessed>
    <b:Author>
      <b:Author>
        <b:NameList>
          <b:Person>
            <b:Last>Kawahara</b:Last>
            <b:First>Tatsuya </b:First>
          </b:Person>
        </b:NameList>
      </b:Author>
    </b:Author>
    <b:RefOrder>793</b:RefOrder>
  </b:Source>
  <b:Source>
    <b:Tag>Kau19</b:Tag>
    <b:SourceType>JournalArticle</b:SourceType>
    <b:Guid>{3661E4D4-B14F-44AB-BAFB-1F0EA7CCF699}</b:Guid>
    <b:Title>Pragmatism as a Research Paradigm and Its Implications for Social Work Research</b:Title>
    <b:JournalName>Social Sciences</b:JournalName>
    <b:Year>2019</b:Year>
    <b:Pages>1-17</b:Pages>
    <b:Month>09</b:Month>
    <b:Day>06</b:Day>
    <b:Volume>8</b:Volume>
    <b:Issue>9</b:Issue>
    <b:YearAccessed>2023</b:YearAccessed>
    <b:MonthAccessed>02</b:MonthAccessed>
    <b:DayAccessed>09</b:DayAccessed>
    <b:DOI>https://doi.org/10.3390/socsci8090255</b:DOI>
    <b:Author>
      <b:Author>
        <b:NameList>
          <b:Person>
            <b:Last>Kaushik</b:Last>
            <b:First>Vibha </b:First>
          </b:Person>
          <b:Person>
            <b:Last>Walsh</b:Last>
            <b:Middle>A.</b:Middle>
            <b:First>Christine </b:First>
          </b:Person>
        </b:NameList>
      </b:Author>
    </b:Author>
    <b:RefOrder>742</b:RefOrder>
  </b:Source>
  <b:Source>
    <b:Tag>Kau22</b:Tag>
    <b:SourceType>JournalArticle</b:SourceType>
    <b:Guid>{ECE3EC9E-35BA-41DB-96D4-9BF20AF19B9E}</b:Guid>
    <b:Title>The virality of advertising content</b:Title>
    <b:JournalName>Journal of Research in Interactive Marketing</b:JournalName>
    <b:Year>2022</b:Year>
    <b:Author>
      <b:Author>
        <b:NameList>
          <b:Person>
            <b:Last>Kaur</b:Last>
            <b:First>Balpreet</b:First>
          </b:Person>
          <b:Person>
            <b:Last>Paul</b:Last>
            <b:First> Justin </b:First>
          </b:Person>
          <b:Person>
            <b:Last>Sharma</b:Last>
            <b:Middle>Raj </b:Middle>
            <b:First>Rishi </b:First>
          </b:Person>
        </b:NameList>
      </b:Author>
    </b:Author>
    <b:Month>05</b:Month>
    <b:Day>02</b:Day>
    <b:YearAccessed>2022</b:YearAccessed>
    <b:MonthAccessed>05</b:MonthAccessed>
    <b:DayAccessed>22</b:DayAccessed>
    <b:DOI>https://doi.org/10.1108/JRIM-10-2021-0268</b:DOI>
    <b:RefOrder>262</b:RefOrder>
  </b:Source>
  <b:Source>
    <b:Tag>Kau16</b:Tag>
    <b:SourceType>JournalArticle</b:SourceType>
    <b:Guid>{29CC1A71-027C-4C92-8AEC-69C8859E581B}</b:Guid>
    <b:Title>Exploring behavioural branding, brand love and brand co-creation</b:Title>
    <b:JournalName>Journal of Product &amp; Brand Management</b:JournalName>
    <b:Year>2016</b:Year>
    <b:Pages>516-526</b:Pages>
    <b:Author>
      <b:Author>
        <b:NameList>
          <b:Person>
            <b:Last>Kaufmann</b:Last>
            <b:Middle>Ruediger </b:Middle>
            <b:First>Hans </b:First>
          </b:Person>
          <b:Person>
            <b:Last>Loureiro</b:Last>
            <b:Middle>Correia</b:Middle>
            <b:First>Sandra Maria </b:First>
          </b:Person>
          <b:Person>
            <b:Last>Manarioti</b:Last>
            <b:First>Agapi </b:First>
          </b:Person>
        </b:NameList>
      </b:Author>
    </b:Author>
    <b:Month>09</b:Month>
    <b:Day>19</b:Day>
    <b:Volume>25</b:Volume>
    <b:Issue>06</b:Issue>
    <b:YearAccessed>2022</b:YearAccessed>
    <b:MonthAccessed>06</b:MonthAccessed>
    <b:DayAccessed>01</b:DayAccessed>
    <b:DOI>https://doi.org/10.1108/JPBM-06-2015-0919</b:DOI>
    <b:RefOrder>1210</b:RefOrder>
  </b:Source>
  <b:Source>
    <b:Tag>Kat21</b:Tag>
    <b:SourceType>JournalArticle</b:SourceType>
    <b:Guid>{2A7996EB-1531-4C06-982F-925FC48096C2}</b:Guid>
    <b:Title>Corporate Sustainability and Financial Performance of Banks in Muslim Economies: The Role of Institutions.</b:Title>
    <b:JournalName>Journal of Public Affairs</b:JournalName>
    <b:Year>2021</b:Year>
    <b:Pages>1-10</b:Pages>
    <b:Volume>21</b:Volume>
    <b:Issue>1</b:Issue>
    <b:Author>
      <b:Author>
        <b:NameList>
          <b:Person>
            <b:Last>Kattak</b:Last>
            <b:Middle>Mudeer</b:Middle>
            <b:First>Ahmed </b:First>
          </b:Person>
        </b:NameList>
      </b:Author>
    </b:Author>
    <b:Month>02</b:Month>
    <b:Publisher>Wiley </b:Publisher>
    <b:YearAccessed>2022</b:YearAccessed>
    <b:MonthAccessed>12</b:MonthAccessed>
    <b:DayAccessed>06</b:DayAccessed>
    <b:DOI>10.1002/pa.2156</b:DOI>
    <b:RefOrder>1211</b:RefOrder>
  </b:Source>
  <b:Source>
    <b:Tag>Kar20</b:Tag>
    <b:SourceType>JournalArticle</b:SourceType>
    <b:Guid>{0C444E4C-568A-470F-814F-1405D7B6C1E9}</b:Guid>
    <b:Title>Explaining the complexity relationship of CSR and financial performance using neo-institutional theory</b:Title>
    <b:JournalName>Journal of Asian Business and Economic Studies</b:JournalName>
    <b:Year>2020</b:Year>
    <b:Author>
      <b:Author>
        <b:NameList>
          <b:Person>
            <b:Last>Karyawati</b:Last>
            <b:Middle>P</b:Middle>
            <b:First>Golrida</b:First>
          </b:Person>
          <b:Person>
            <b:Last>Subroto</b:Last>
            <b:First>Bambang</b:First>
          </b:Person>
          <b:Person>
            <b:Last>Sutrisno</b:Last>
            <b:Middle>T</b:Middle>
          </b:Person>
          <b:Person>
            <b:Last>Saraswati</b:Last>
            <b:First>Erwin</b:First>
          </b:Person>
        </b:NameList>
      </b:Author>
    </b:Author>
    <b:Month>11</b:Month>
    <b:Day>24</b:Day>
    <b:Volume>27</b:Volume>
    <b:Issue>03</b:Issue>
    <b:YearAccessed>2022</b:YearAccessed>
    <b:MonthAccessed>02</b:MonthAccessed>
    <b:DayAccessed>16</b:DayAccessed>
    <b:DOI>https://doi.org/10.1108/JABES-10-2019-0106</b:DOI>
    <b:RefOrder>1212</b:RefOrder>
  </b:Source>
  <b:Source>
    <b:Tag>Kar16</b:Tag>
    <b:SourceType>JournalArticle</b:SourceType>
    <b:Guid>{A23EC19B-6787-4B78-BA28-9F10B01C419E}</b:Guid>
    <b:Title>CSR motivation and customer extra-role behavior: Moderation of ethical corporate identity</b:Title>
    <b:JournalName>Journal of Business Research</b:JournalName>
    <b:Year>2016</b:Year>
    <b:Month>10</b:Month>
    <b:Volume>69</b:Volume>
    <b:Issue>10</b:Issue>
    <b:YearAccessed>2022</b:YearAccessed>
    <b:MonthAccessed>02</b:MonthAccessed>
    <b:DayAccessed>23</b:DayAccessed>
    <b:DOI>https://doi.org/10.1016/j.jbusres.2016.03.035</b:DOI>
    <b:Author>
      <b:Author>
        <b:NameList>
          <b:Person>
            <b:Last>Karaosmanoglu</b:Last>
            <b:First>Elif</b:First>
          </b:Person>
          <b:Person>
            <b:Last>Altinigne</b:Last>
            <b:First>Nesenur</b:First>
          </b:Person>
          <b:Person>
            <b:Last>Isiksal</b:Last>
            <b:Middle>Gamze</b:Middle>
            <b:First>Didem </b:First>
          </b:Person>
        </b:NameList>
      </b:Author>
    </b:Author>
    <b:RefOrder>1213</b:RefOrder>
  </b:Source>
  <b:Source>
    <b:Tag>Kap22</b:Tag>
    <b:SourceType>JournalArticle</b:SourceType>
    <b:Guid>{EA0EA566-8788-470D-885B-2160159CEDD1}</b:Guid>
    <b:Title>‘Natural’ Label Halo Effect</b:Title>
    <b:JournalName>Cardiometry</b:JournalName>
    <b:Year>2022</b:Year>
    <b:Pages>741-755</b:Pages>
    <b:Author>
      <b:Author>
        <b:NameList>
          <b:Person>
            <b:Last>Kapoor</b:Last>
            <b:First>Shreya </b:First>
          </b:Person>
          <b:Person>
            <b:Last>Fernandes</b:Last>
            <b:First> Semila </b:First>
          </b:Person>
          <b:Person>
            <b:Last>Punia</b:Last>
            <b:First>Suryansh </b:First>
          </b:Person>
        </b:NameList>
      </b:Author>
    </b:Author>
    <b:Month>08</b:Month>
    <b:Issue>23</b:Issue>
    <b:YearAccessed>2022</b:YearAccessed>
    <b:MonthAccessed>10</b:MonthAccessed>
    <b:DayAccessed>06</b:DayAccessed>
    <b:URL>https://eds.s.ebscohost.com/eds/pdfviewer/pdfviewer?vid=1&amp;sid=7b234050-7c40-483e-b576-5aab9aec17ca%40redis</b:URL>
    <b:RefOrder>1214</b:RefOrder>
  </b:Source>
  <b:Source>
    <b:Tag>Kao20</b:Tag>
    <b:SourceType>JournalArticle</b:SourceType>
    <b:Guid>{AF5DC333-8A93-438C-AA0B-2C4B6FB9CEE1}</b:Guid>
    <b:Title>A study on the influence of green advertising design and environmental emotion on advertising effect</b:Title>
    <b:JournalName>Journal of Cleaner Production</b:JournalName>
    <b:Year>2020</b:Year>
    <b:Month>01</b:Month>
    <b:Day>01</b:Day>
    <b:Volume>242</b:Volume>
    <b:YearAccessed>2022</b:YearAccessed>
    <b:MonthAccessed>06</b:MonthAccessed>
    <b:DayAccessed>19</b:DayAccessed>
    <b:DOI>https://doi.org/10.1016/j.jclepro.2019.118294</b:DOI>
    <b:Author>
      <b:Author>
        <b:NameList>
          <b:Person>
            <b:Last>Kao</b:Last>
            <b:First>Tsai-Feng</b:First>
          </b:Person>
          <b:Person>
            <b:Last>Du</b:Last>
            <b:First>Yi-Zhan</b:First>
          </b:Person>
        </b:NameList>
      </b:Author>
    </b:Author>
    <b:RefOrder>320</b:RefOrder>
  </b:Source>
  <b:Source>
    <b:Tag>Kan13</b:Tag>
    <b:SourceType>JournalArticle</b:SourceType>
    <b:Guid>{7ED9BBCA-0340-44EB-973F-892141518AA8}</b:Guid>
    <b:Title>What Are Consumers Afraid of? Understanding Perceived Risk toward the Consumption of Environmentally Sustainable Apparel</b:Title>
    <b:JournalName>Family and Consumer Sciences</b:JournalName>
    <b:Year>2013</b:Year>
    <b:Pages>267-283</b:Pages>
    <b:Month>02</b:Month>
    <b:Day>18</b:Day>
    <b:Volume>41</b:Volume>
    <b:Issue>3</b:Issue>
    <b:YearAccessed>2023</b:YearAccessed>
    <b:MonthAccessed>03</b:MonthAccessed>
    <b:DayAccessed>04</b:DayAccessed>
    <b:DOI>https://doi.org/10.1111/fcsr.12013</b:DOI>
    <b:Author>
      <b:Author>
        <b:NameList>
          <b:Person>
            <b:Last>Kang</b:Last>
            <b:First>Jiyun </b:First>
          </b:Person>
          <b:Person>
            <b:Last>Kim</b:Last>
            <b:First>Sang-Hoon </b:First>
          </b:Person>
        </b:NameList>
      </b:Author>
    </b:Author>
    <b:RefOrder>608</b:RefOrder>
  </b:Source>
  <b:Source>
    <b:Tag>Kan14</b:Tag>
    <b:SourceType>JournalArticle</b:SourceType>
    <b:Guid>{369C40F0-D99B-4E40-8147-D800E5B533D7}</b:Guid>
    <b:Title>Building trust between consumers and corporations: The role of consumer perceptions of transparency and social responsibility.</b:Title>
    <b:JournalName>Journal of Business Ethics</b:JournalName>
    <b:Year>2014</b:Year>
    <b:Pages>253-265</b:Pages>
    <b:Volume>125</b:Volume>
    <b:Issue>2</b:Issue>
    <b:YearAccessed>2023</b:YearAccessed>
    <b:MonthAccessed>03</b:MonthAccessed>
    <b:DayAccessed>05</b:DayAccessed>
    <b:Author>
      <b:Author>
        <b:NameList>
          <b:Person>
            <b:Last>Kang</b:Last>
            <b:First>J</b:First>
          </b:Person>
          <b:Person>
            <b:Last>Hustvedt</b:Last>
            <b:First>G.</b:First>
          </b:Person>
        </b:NameList>
      </b:Author>
    </b:Author>
    <b:RefOrder>589</b:RefOrder>
  </b:Source>
  <b:Source>
    <b:Tag>Kan21</b:Tag>
    <b:SourceType>JournalArticle</b:SourceType>
    <b:Guid>{4DA7F153-C88D-4E52-8051-AC7D74E985B5}</b:Guid>
    <b:Title>Sample size determination and power analysis using the G*Power software</b:Title>
    <b:Year>2021</b:Year>
    <b:YearAccessed>2023</b:YearAccessed>
    <b:MonthAccessed>01</b:MonthAccessed>
    <b:DayAccessed>17</b:DayAccessed>
    <b:JournalName>Journal of Educational Evaluation for Health Professions</b:JournalName>
    <b:Volume>18</b:Volume>
    <b:Month>07</b:Month>
    <b:Day>30</b:Day>
    <b:DOI>10.3352/jeehp.2021.18.17</b:DOI>
    <b:Author>
      <b:Author>
        <b:NameList>
          <b:Person>
            <b:Last>Kang</b:Last>
            <b:First>Hyun </b:First>
          </b:Person>
        </b:NameList>
      </b:Author>
      <b:Editor>
        <b:NameList>
          <b:Person>
            <b:Last>Huh</b:Last>
            <b:First>Sun </b:First>
          </b:Person>
        </b:NameList>
      </b:Editor>
    </b:Author>
    <b:RefOrder>912</b:RefOrder>
  </b:Source>
  <b:Source>
    <b:Tag>Kan17</b:Tag>
    <b:SourceType>JournalArticle</b:SourceType>
    <b:Guid>{A8BD3322-BF20-49C4-B060-1C75F73A7573}</b:Guid>
    <b:Title>Larger Stimuli Require Longer Processing Time for Perception</b:Title>
    <b:Year>2017</b:Year>
    <b:Pages>605-623</b:Pages>
    <b:Author>
      <b:Author>
        <b:NameList>
          <b:Person>
            <b:Last>Kanai</b:Last>
            <b:First>Ryota </b:First>
          </b:Person>
          <b:Person>
            <b:Last>Dalmaijer</b:Last>
            <b:Middle>S.</b:Middle>
            <b:First>Edwin </b:First>
          </b:Person>
          <b:Person>
            <b:Last>Sherman</b:Last>
            <b:Middle>T.</b:Middle>
            <b:First>Maxine </b:First>
          </b:Person>
          <b:Person>
            <b:Last>Kawakita</b:Last>
            <b:First>Genji </b:First>
          </b:Person>
          <b:Person>
            <b:Last>Paffen</b:Last>
            <b:Middle>L. E. </b:Middle>
            <b:First>Chris </b:First>
          </b:Person>
        </b:NameList>
      </b:Author>
    </b:Author>
    <b:Month>03</b:Month>
    <b:Day>06</b:Day>
    <b:Volume>46</b:Volume>
    <b:Issue>5</b:Issue>
    <b:YearAccessed>2022</b:YearAccessed>
    <b:MonthAccessed>11</b:MonthAccessed>
    <b:DayAccessed>12</b:DayAccessed>
    <b:DOI>https://doi.org/10.1177/0301006617695573</b:DOI>
    <b:RefOrder>801</b:RefOrder>
  </b:Source>
  <b:Source>
    <b:Tag>Kam20</b:Tag>
    <b:SourceType>JournalArticle</b:SourceType>
    <b:Guid>{2B705C5A-0603-4567-8B55-938D8E9076B1}</b:Guid>
    <b:Title>Examining the mediating role of celebrity endorsement in green advertisements to improve the intention of Egyptian Millennials towards environmental behaviours in tourist destinations</b:Title>
    <b:JournalName>Tourism &amp; Management Studies</b:JournalName>
    <b:Year>2020</b:Year>
    <b:Pages>7-21</b:Pages>
    <b:Volume>16</b:Volume>
    <b:Issue>4</b:Issue>
    <b:Month>05</b:Month>
    <b:Day>22</b:Day>
    <b:YearAccessed>2022</b:YearAccessed>
    <b:MonthAccessed>01</b:MonthAccessed>
    <b:DayAccessed>29</b:DayAccessed>
    <b:DOI>https://doi.org/10.18089/tms.2020.160401</b:DOI>
    <b:Author>
      <b:Author>
        <b:NameList>
          <b:Person>
            <b:Last>Kamel</b:Last>
            <b:Middle>Ahmed</b:Middle>
            <b:First>Noha</b:First>
          </b:Person>
        </b:NameList>
      </b:Author>
    </b:Author>
    <b:RefOrder>440</b:RefOrder>
  </b:Source>
  <b:Source>
    <b:Tag>Kal16</b:Tag>
    <b:SourceType>JournalArticle</b:SourceType>
    <b:Guid>{86211ACB-74AB-462B-A101-8B45167D3B18}</b:Guid>
    <b:Title>Systematic methodological review: developing a framework for a qualitative semi-structured interview guide</b:Title>
    <b:Year>2016</b:Year>
    <b:Month>12</b:Month>
    <b:Pages>2954-2965</b:Pages>
    <b:Author>
      <b:Author>
        <b:NameList>
          <b:Person>
            <b:Last>Kallio</b:Last>
            <b:First>Hanna </b:First>
          </b:Person>
          <b:Person>
            <b:Last> Pietilä</b:Last>
            <b:First>Anna-Maija</b:First>
          </b:Person>
          <b:Person>
            <b:Last>Johnson</b:Last>
            <b:First>Martin </b:First>
          </b:Person>
          <b:Person>
            <b:Last>Kangasniemi</b:Last>
            <b:First>Mari</b:First>
          </b:Person>
        </b:NameList>
      </b:Author>
    </b:Author>
    <b:JournalName>Journal of Advanced Nursing</b:JournalName>
    <b:Volume>72</b:Volume>
    <b:Issue>12</b:Issue>
    <b:YearAccessed>2022</b:YearAccessed>
    <b:MonthAccessed>05</b:MonthAccessed>
    <b:DayAccessed>25</b:DayAccessed>
    <b:DOI>10.1111/jan.13031</b:DOI>
    <b:RefOrder>1215</b:RefOrder>
  </b:Source>
  <b:Source>
    <b:Tag>Kag18</b:Tag>
    <b:SourceType>JournalArticle</b:SourceType>
    <b:Guid>{19684E64-478E-4961-98BB-5726644E87C3}</b:Guid>
    <b:Title>ROLE OF EMOTIONS IN THE FMCG BRANDING AND THEIR PURCHASE INTENTIONS</b:Title>
    <b:Year>2018</b:Year>
    <b:Month>06</b:Month>
    <b:URL>https://eds.p.ebscohost.com/eds/detail/detail?vid=0&amp;sid=50ab0ef8-fc12-4d21-80e7-5955d94c1a7e%40redis&amp;bdata=JnNpdGU9ZWRzLWxpdmU%3d#db=buh&amp;AN=139235795</b:URL>
    <b:JournalName>The Indian Journal of Management</b:JournalName>
    <b:Pages>24-28</b:Pages>
    <b:Volume>11</b:Volume>
    <b:Issue>1</b:Issue>
    <b:YearAccessed>2022</b:YearAccessed>
    <b:MonthAccessed>10</b:MonthAccessed>
    <b:DayAccessed>01</b:DayAccessed>
    <b:Author>
      <b:Author>
        <b:NameList>
          <b:Person>
            <b:Last>Kagita</b:Last>
            <b:First>Narendra</b:First>
          </b:Person>
        </b:NameList>
      </b:Author>
    </b:Author>
    <b:RefOrder>1216</b:RefOrder>
  </b:Source>
  <b:Source>
    <b:Tag>Kab20</b:Tag>
    <b:SourceType>InternetSite</b:SourceType>
    <b:Guid>{F1E5C90F-14DF-4A1C-9CE1-7B188B890BD3}</b:Guid>
    <b:Title>Should Men Give Women Pocket Money? Kholoud Ezz Thinks So</b:Title>
    <b:InternetSiteTitle>rahetbally</b:InternetSiteTitle>
    <b:Year>2020</b:Year>
    <b:Month>10</b:Month>
    <b:Day>5</b:Day>
    <b:URL>https://rahetbally.com/en/read/articles/should-men-give-women-pocket-money-kholoud-ezz-thinks-so</b:URL>
    <b:Author>
      <b:Author>
        <b:NameList>
          <b:Person>
            <b:Last>Kabil</b:Last>
            <b:First>Nada</b:First>
          </b:Person>
        </b:NameList>
      </b:Author>
    </b:Author>
    <b:RefOrder>862</b:RefOrder>
  </b:Source>
  <b:Source>
    <b:Tag>Jur17</b:Tag>
    <b:SourceType>JournalArticle</b:SourceType>
    <b:Guid>{436BC1DA-18BA-4958-B1B9-4E263FADB3F2}</b:Guid>
    <b:Title>How do virtual corporate social responsibility dialogs generate value? A case study of The Unilever Sustainable Living Lab</b:Title>
    <b:JournalName>Corporate Social Responsibility and Environmental Management</b:JournalName>
    <b:Year>2017</b:Year>
    <b:Pages>357-367</b:Pages>
    <b:Volume>24</b:Volume>
    <b:Issue>5</b:Issue>
    <b:Month>10</b:Month>
    <b:Publisher>Wiley Online Library</b:Publisher>
    <b:YearAccessed>2021</b:YearAccessed>
    <b:MonthAccessed>12</b:MonthAccessed>
    <b:DayAccessed>30</b:DayAccessed>
    <b:DOI>https://doi.org/10.1002/csr.1407</b:DOI>
    <b:Author>
      <b:Author>
        <b:NameList>
          <b:Person>
            <b:Last>Jurietti</b:Last>
            <b:First>Emanuela </b:First>
          </b:Person>
          <b:Person>
            <b:Last>Mandelli</b:Last>
            <b:First>Andreina</b:First>
          </b:Person>
          <b:Person>
            <b:Last>Fudurić</b:Last>
            <b:First>Morana</b:First>
          </b:Person>
        </b:NameList>
      </b:Author>
    </b:Author>
    <b:RefOrder>154</b:RefOrder>
  </b:Source>
  <b:Source>
    <b:Tag>Jun221</b:Tag>
    <b:SourceType>JournalArticle</b:SourceType>
    <b:Guid>{BFE69242-8A06-4D68-8A4F-4B3C2587274C}</b:Guid>
    <b:Title>The Discussions of Positivism and Interpretivism</b:Title>
    <b:JournalName>Global Academic Journal of Humanities and Social Sciences</b:JournalName>
    <b:Year>2022</b:Year>
    <b:Pages>10-14</b:Pages>
    <b:Author>
      <b:Author>
        <b:NameList>
          <b:Person>
            <b:Last>Junjie</b:Last>
            <b:First>Ma </b:First>
          </b:Person>
          <b:Person>
            <b:Last>Yingxin</b:Last>
            <b:First>Ma </b:First>
          </b:Person>
        </b:NameList>
      </b:Author>
    </b:Author>
    <b:Month>01</b:Month>
    <b:Day>19</b:Day>
    <b:Volume>4</b:Volume>
    <b:Issue>1</b:Issue>
    <b:YearAccessed>2023</b:YearAccessed>
    <b:MonthAccessed>08</b:MonthAccessed>
    <b:DayAccessed>03</b:DayAccessed>
    <b:DOI>10.36348/gajhss.2022.v04i01.002</b:DOI>
    <b:RefOrder>746</b:RefOrder>
  </b:Source>
  <b:Source>
    <b:Tag>Jun22</b:Tag>
    <b:SourceType>JournalArticle</b:SourceType>
    <b:Guid>{719E1348-CC92-4803-B1E9-F255259EBEF8}</b:Guid>
    <b:Title>The Discussions of Positivism and Interpretivism</b:Title>
    <b:JournalName>Global Academic Journal of Humanities and Social Sciences</b:JournalName>
    <b:Year>2022</b:Year>
    <b:Pages>10-14</b:Pages>
    <b:Month>02</b:Month>
    <b:Volume>4</b:Volume>
    <b:Issue>1</b:Issue>
    <b:YearAccessed>2023</b:YearAccessed>
    <b:MonthAccessed>02</b:MonthAccessed>
    <b:DayAccessed>09</b:DayAccessed>
    <b:DOI>10.36348/gajhss.2022.v04i01.002</b:DOI>
    <b:Author>
      <b:Author>
        <b:NameList>
          <b:Person>
            <b:Last>Junjie</b:Last>
            <b:First>Ma</b:First>
          </b:Person>
          <b:Person>
            <b:Last>Yingxin</b:Last>
            <b:First>Ma</b:First>
          </b:Person>
        </b:NameList>
      </b:Author>
    </b:Author>
    <b:RefOrder>753</b:RefOrder>
  </b:Source>
  <b:Source>
    <b:Tag>Jun19</b:Tag>
    <b:SourceType>JournalArticle</b:SourceType>
    <b:Guid>{B800A217-313B-4A1B-81B2-64543B4D5854}</b:Guid>
    <b:Title>Addressing the dichotomy of brand love.</b:Title>
    <b:JournalName>International Journal of Market Research</b:JournalName>
    <b:Year>2019</b:Year>
    <b:Pages>577-580</b:Pages>
    <b:Volume>61</b:Volume>
    <b:Issue>06</b:Issue>
    <b:YearAccessed>2022</b:YearAccessed>
    <b:MonthAccessed>04</b:MonthAccessed>
    <b:DayAccessed>02</b:DayAccessed>
    <b:Author>
      <b:Author>
        <b:NameList>
          <b:Person>
            <b:Last>Junaid </b:Last>
            <b:First>M</b:First>
          </b:Person>
          <b:Person>
            <b:Last>Hussain</b:Last>
            <b:First>K</b:First>
          </b:Person>
          <b:Person>
            <b:Last>Hou</b:Last>
            <b:First>F</b:First>
          </b:Person>
        </b:NameList>
      </b:Author>
    </b:Author>
    <b:RefOrder>1217</b:RefOrder>
  </b:Source>
  <b:Source>
    <b:Tag>Jos15</b:Tag>
    <b:SourceType>JournalArticle</b:SourceType>
    <b:Guid>{A7D73637-BD46-4DA9-B6EE-C7C208492D25}</b:Guid>
    <b:Title>Factors Affecting Green Purchase Behaviour and Future Research Directions</b:Title>
    <b:JournalName>International Strategic Management Review</b:JournalName>
    <b:Year>2015</b:Year>
    <b:Pages>128-143</b:Pages>
    <b:Author>
      <b:Author>
        <b:NameList>
          <b:Person>
            <b:Last>Joshi</b:Last>
            <b:First>Yatish</b:First>
          </b:Person>
          <b:Person>
            <b:Last>Rahman</b:Last>
            <b:First>Zillur </b:First>
          </b:Person>
        </b:NameList>
      </b:Author>
    </b:Author>
    <b:Month>12</b:Month>
    <b:Volume>3</b:Volume>
    <b:Issue>1-2</b:Issue>
    <b:YearAccessed>2023</b:YearAccessed>
    <b:MonthAccessed>04</b:MonthAccessed>
    <b:DayAccessed>28</b:DayAccessed>
    <b:DOI>https://doi.org/10.1016/j.ism.2015.04.001</b:DOI>
    <b:RefOrder>356</b:RefOrder>
  </b:Source>
  <b:Source>
    <b:Tag>Jos10</b:Tag>
    <b:SourceType>JournalArticle</b:SourceType>
    <b:Guid>{58B8BB58-5DD5-4340-95C6-44CC7E381BED}</b:Guid>
    <b:Title>The Direct and Indirect Effects of Advertising Spending on Firm Value</b:Title>
    <b:JournalName>Journal of Marketing</b:JournalName>
    <b:Year>2010</b:Year>
    <b:Pages>20-33</b:Pages>
    <b:Month>01</b:Month>
    <b:Volume>74</b:Volume>
    <b:Issue>1</b:Issue>
    <b:YearAccessed>2022</b:YearAccessed>
    <b:MonthAccessed>01</b:MonthAccessed>
    <b:DayAccessed>25</b:DayAccessed>
    <b:DOI>10.1509/jmkg.74.1.20</b:DOI>
    <b:Author>
      <b:Author>
        <b:NameList>
          <b:Person>
            <b:Last>Joshi</b:Last>
            <b:First>Amit</b:First>
          </b:Person>
          <b:Person>
            <b:Last>Hanssens</b:Last>
            <b:First>Dominique</b:First>
          </b:Person>
        </b:NameList>
      </b:Author>
    </b:Author>
    <b:RefOrder>158</b:RefOrder>
  </b:Source>
  <b:Source>
    <b:Tag>Jos18</b:Tag>
    <b:SourceType>JournalArticle</b:SourceType>
    <b:Guid>{35EBB080-D8E9-497D-A8E3-4182F1BDE133}</b:Guid>
    <b:Title>Chapter 13: The Direct and Indirect Effects of Advertising Spending on Firm Value</b:Title>
    <b:JournalName>Long-term Impact of Marketing</b:JournalName>
    <b:Year>2018</b:Year>
    <b:Pages>521-556</b:Pages>
    <b:Volume>74</b:Volume>
    <b:YearAccessed>2022</b:YearAccessed>
    <b:MonthAccessed>01</b:MonthAccessed>
    <b:DayAccessed>23</b:DayAccessed>
    <b:DOI>https://doi.org/10.1142/9789813229808_0013</b:DOI>
    <b:Author>
      <b:Author>
        <b:NameList>
          <b:Person>
            <b:Last>Joshi</b:Last>
            <b:First>Amit</b:First>
          </b:Person>
          <b:Person>
            <b:Last>Hanssens</b:Last>
            <b:Middle>M</b:Middle>
            <b:First>Dominique</b:First>
          </b:Person>
        </b:NameList>
      </b:Author>
    </b:Author>
    <b:RefOrder>343</b:RefOrder>
  </b:Source>
  <b:Source>
    <b:Tag>Joh10</b:Tag>
    <b:SourceType>JournalArticle</b:SourceType>
    <b:Guid>{9BD69374-620D-4C9B-AB80-70653D2D444A}</b:Guid>
    <b:Title>METHODS, TRENDS AND CONTROVERSIES IN CONTEMPORARY BENEFIT TRANSFER</b:Title>
    <b:JournalName>Journal of Economic Surveys</b:JournalName>
    <b:Year>2010</b:Year>
    <b:Pages>479-510</b:Pages>
    <b:Author>
      <b:Author>
        <b:NameList>
          <b:Person>
            <b:Last>Johnston</b:Last>
            <b:Middle>J.</b:Middle>
            <b:First>Robert </b:First>
          </b:Person>
          <b:Person>
            <b:Last>Rosenberger</b:Last>
            <b:Middle>S.</b:Middle>
            <b:First>Randall </b:First>
          </b:Person>
        </b:NameList>
      </b:Author>
    </b:Author>
    <b:Month>06</b:Month>
    <b:Day>08</b:Day>
    <b:Publisher>Wiley Online Library </b:Publisher>
    <b:Volume>24</b:Volume>
    <b:Issue>3</b:Issue>
    <b:YearAccessed>2022</b:YearAccessed>
    <b:MonthAccessed>10</b:MonthAccessed>
    <b:DayAccessed>22</b:DayAccessed>
    <b:DOI>https://doi.org/10.1111/j.1467-6419.2009.00592.x</b:DOI>
    <b:RefOrder>784</b:RefOrder>
  </b:Source>
  <b:Source>
    <b:Tag>Jin19</b:Tag>
    <b:SourceType>JournalArticle</b:SourceType>
    <b:Guid>{8C9C8532-41B1-4676-8446-9A9F7F55C4FE}</b:Guid>
    <b:Title>The halo effect of CSR activity: Types of CSR activity and negative information effects</b:Title>
    <b:JournalName>Sustainability</b:JournalName>
    <b:Year>2019</b:Year>
    <b:Author>
      <b:Author>
        <b:NameList>
          <b:Person>
            <b:Last>Jin</b:Last>
            <b:Middle>H.</b:Middle>
            <b:First>C.</b:First>
          </b:Person>
          <b:Person>
            <b:Last>Lee</b:Last>
            <b:Middle>Y.</b:Middle>
            <b:First>J.</b:First>
          </b:Person>
        </b:NameList>
      </b:Author>
    </b:Author>
    <b:Month>04</b:Month>
    <b:Day>11</b:Day>
    <b:Volume>11</b:Volume>
    <b:Issue>07</b:Issue>
    <b:YearAccessed>2022</b:YearAccessed>
    <b:MonthAccessed>05</b:MonthAccessed>
    <b:DayAccessed>26</b:DayAccessed>
    <b:DOI>https://doi.org/10.3390/su11072067</b:DOI>
    <b:RefOrder>663</b:RefOrder>
  </b:Source>
  <b:Source>
    <b:Tag>Jim21</b:Tag>
    <b:SourceType>JournalArticle</b:SourceType>
    <b:Guid>{664268C3-0940-4668-8B67-28099146DA63}</b:Guid>
    <b:Title>A systematic review and narrative synthesis of the research provisions under the Mental Capacity Act (2005) in England and Wales: Recruitment of adults with capacity and communication difficulties</b:Title>
    <b:JournalName>Plos One</b:JournalName>
    <b:Year>2021</b:Year>
    <b:Month>09</b:Month>
    <b:Day>01</b:Day>
    <b:Volume>16</b:Volume>
    <b:Issue>9</b:Issue>
    <b:YearAccessed>2022</b:YearAccessed>
    <b:MonthAccessed>11</b:MonthAccessed>
    <b:DayAccessed>18</b:DayAccessed>
    <b:DOI>https://doi.org/10.1371/journal.pone.0256697</b:DOI>
    <b:Author>
      <b:Author>
        <b:NameList>
          <b:Person>
            <b:Last>Jimoh</b:Last>
            <b:Middle>Florence </b:Middle>
            <b:First>Oluseyi </b:First>
          </b:Person>
          <b:Person>
            <b:Last>Ryan</b:Last>
            <b:First>Hayley </b:First>
          </b:Person>
          <b:Person>
            <b:Last>Killett</b:Last>
            <b:First>Anne </b:First>
          </b:Person>
          <b:Person>
            <b:Last>Shiggins</b:Last>
            <b:First>Ciara </b:First>
          </b:Person>
          <b:Person>
            <b:Last>Langdon</b:Last>
            <b:Middle>E.</b:Middle>
            <b:First>Peter </b:First>
          </b:Person>
          <b:Person>
            <b:Last>Heywood</b:Last>
            <b:First>Rob </b:First>
          </b:Person>
          <b:Person>
            <b:Last>Bunning</b:Last>
            <b:First>Karen </b:First>
          </b:Person>
        </b:NameList>
      </b:Author>
    </b:Author>
    <b:RefOrder>460</b:RefOrder>
  </b:Source>
  <b:Source>
    <b:Tag>Jim19</b:Tag>
    <b:SourceType>JournalArticle</b:SourceType>
    <b:Guid>{94FFB0B5-50DA-4CA4-AE35-FA8B69A67A4B}</b:Guid>
    <b:Title>Subject matter of videos for teens on YouTube</b:Title>
    <b:Pages>63-78</b:Pages>
    <b:Year>2019</b:Year>
    <b:JournalName>International Journal of Adolescence and Youth</b:JournalName>
    <b:Month>03</b:Month>
    <b:Volume>25</b:Volume>
    <b:Issue>2</b:Issue>
    <b:YearAccessed>2023</b:YearAccessed>
    <b:MonthAccessed>03</b:MonthAccessed>
    <b:DayAccessed>29</b:DayAccessed>
    <b:DOI>I:10.1080/02673843.2019.1590850</b:DOI>
    <b:Author>
      <b:Author>
        <b:NameList>
          <b:Person>
            <b:Last>Jiménez</b:Last>
            <b:Middle>García </b:Middle>
            <b:First>Antonio </b:First>
          </b:Person>
          <b:Person>
            <b:Last>Vozmediano</b:Last>
            <b:Middle>Montes </b:Middle>
            <b:First>Manuel </b:First>
          </b:Person>
        </b:NameList>
      </b:Author>
    </b:Author>
    <b:RefOrder>994</b:RefOrder>
  </b:Source>
  <b:Source>
    <b:Tag>Jih14</b:Tag>
    <b:SourceType>JournalArticle</b:SourceType>
    <b:Guid>{B90F8119-1731-4F42-9D1B-2FB6749BD8A6}</b:Guid>
    <b:Title>Importance of Spiritual Intelligence (SQ) and Spiritual Congruence (SC) : Factors that May Contribute to Individual's Attitude towards Purchasing Decision in Halal Cosmetic</b:Title>
    <b:JournalName>Global Journal of Human-Social Science Research</b:JournalName>
    <b:Year>2014</b:Year>
    <b:Volume>14</b:Volume>
    <b:Issue>1</b:Issue>
    <b:URL>https://oarep.usim.edu.my/jspui/handle/123456789/13055</b:URL>
    <b:Author>
      <b:Author>
        <b:NameList>
          <b:Person>
            <b:Last>Jihan</b:Last>
            <b:First>Azreen</b:First>
          </b:Person>
          <b:Person>
            <b:Last>Hashim </b:Last>
            <b:First>Che Mohd </b:First>
          </b:Person>
          <b:Person>
            <b:Last>Musa</b:Last>
            <b:First>Rosidah </b:First>
          </b:Person>
        </b:NameList>
      </b:Author>
    </b:Author>
    <b:RefOrder>1218</b:RefOrder>
  </b:Source>
  <b:Source>
    <b:Tag>Jia22</b:Tag>
    <b:SourceType>JournalArticle</b:SourceType>
    <b:Guid>{46D81460-B5D3-4FD4-82E9-9C82A75BCD37}</b:Guid>
    <b:Title>Sincere or exciting? Brand personality and argument quality on brand attitude</b:Title>
    <b:JournalName>Journal of Consumer Behaviour</b:JournalName>
    <b:Year>2022</b:Year>
    <b:Pages>1268-1279</b:Pages>
    <b:Month>12</b:Month>
    <b:Volume>21</b:Volume>
    <b:Issue>6</b:Issue>
    <b:YearAccessed>2023</b:YearAccessed>
    <b:MonthAccessed>08</b:MonthAccessed>
    <b:DayAccessed>09</b:DayAccessed>
    <b:DOI>https://doi.org/10.1002/cb.2078</b:DOI>
    <b:Author>
      <b:Author>
        <b:NameList>
          <b:Person>
            <b:Last>Jiao</b:Last>
            <b:First>Jinfeng </b:First>
          </b:Person>
          <b:Person>
            <b:Last>Levin</b:Last>
            <b:Middle>P.</b:Middle>
            <b:First>Irwin </b:First>
          </b:Person>
          <b:Person>
            <b:Last>Gaeth</b:Last>
            <b:Middle>J.</b:Middle>
            <b:First>Gary </b:First>
          </b:Person>
          <b:Person>
            <b:Last>Chatterjee</b:Last>
            <b:First>Subimal </b:First>
          </b:Person>
        </b:NameList>
      </b:Author>
    </b:Author>
    <b:RefOrder>231</b:RefOrder>
  </b:Source>
  <b:Source>
    <b:Tag>Jeo21</b:Tag>
    <b:SourceType>JournalArticle</b:SourceType>
    <b:Guid>{D55A93E6-4710-40FF-A536-FE03471851E8}</b:Guid>
    <b:Title>THE FACTORS OF SOCIAL MEDIA ADVERTISING AFFECTING CONSUMER BUYING DECISION</b:Title>
    <b:JournalName>Competition forum</b:JournalName>
    <b:Year>2021</b:Year>
    <b:Pages>69-78</b:Pages>
    <b:Volume>19</b:Volume>
    <b:Issue>2</b:Issue>
    <b:YearAccessed>2023</b:YearAccessed>
    <b:MonthAccessed>02</b:MonthAccessed>
    <b:DayAccessed>21</b:DayAccessed>
    <b:URL>https://web.s.ebscohost.com/ehost/pdfviewer/pdfviewer?vid=0&amp;sid=78cd0e7a-5e43-4668-8012-feb8bb17fa95%40redis</b:URL>
    <b:Author>
      <b:Author>
        <b:NameList>
          <b:Person>
            <b:Last>Jeon</b:Last>
            <b:First>Sua </b:First>
          </b:Person>
        </b:NameList>
      </b:Author>
    </b:Author>
    <b:RefOrder>425</b:RefOrder>
  </b:Source>
  <b:Source>
    <b:Tag>Jen20</b:Tag>
    <b:SourceType>JournalArticle</b:SourceType>
    <b:Guid>{0E105C34-9FE7-4DFA-B2C5-53B01F5DEBBE}</b:Guid>
    <b:Title>The Power of Likeability.</b:Title>
    <b:JournalName>Aalborg University</b:JournalName>
    <b:Year>2020</b:Year>
    <b:Author>
      <b:Author>
        <b:NameList>
          <b:Person>
            <b:Last>Jensen</b:Last>
            <b:Middle>Moller</b:Middle>
            <b:First>Peter</b:First>
          </b:Person>
          <b:Person>
            <b:Last>Hyldig</b:Last>
            <b:First>Mads</b:First>
          </b:Person>
        </b:NameList>
      </b:Author>
    </b:Author>
    <b:Month>05</b:Month>
    <b:Day>29</b:Day>
    <b:YearAccessed>2022</b:YearAccessed>
    <b:MonthAccessed>03</b:MonthAccessed>
    <b:DayAccessed>06</b:DayAccessed>
    <b:URL>https://projekter.aau.dk/projekter/files/334375776/Jensen__P._M.___Hyldig__M.__2020__The_Power_of_Likeability.pdf</b:URL>
    <b:RefOrder>1219</b:RefOrder>
  </b:Source>
  <b:Source>
    <b:Tag>Jav19</b:Tag>
    <b:SourceType>JournalArticle</b:SourceType>
    <b:Guid>{A8E28523-7790-465A-943F-5E070B7C2BFA}</b:Guid>
    <b:Title>Relation between Chinese consumers’ ethical perceptions and purchase intentions: A perspective on ethical company/brand management strategies</b:Title>
    <b:JournalName>Asia Pacific Journal of Marketing and Logistics</b:JournalName>
    <b:Year>2019</b:Year>
    <b:Pages>670-690</b:Pages>
    <b:Month>05</b:Month>
    <b:Day>24</b:Day>
    <b:Volume>31</b:Volume>
    <b:Issue>03</b:Issue>
    <b:YearAccessed>2022</b:YearAccessed>
    <b:MonthAccessed>05</b:MonthAccessed>
    <b:DayAccessed>18</b:DayAccessed>
    <b:DOI>https://doi.org/10.1108/APJML-10-2017-0254</b:DOI>
    <b:Author>
      <b:Author>
        <b:NameList>
          <b:Person>
            <b:Last>Javed</b:Last>
            <b:Middle>Kashif</b:Middle>
            <b:First>Muhammad </b:First>
          </b:Person>
          <b:Person>
            <b:Last>Degong</b:Last>
            <b:First>Ma </b:First>
          </b:Person>
          <b:Person>
            <b:Last>Qadeer</b:Last>
            <b:First>Talat</b:First>
          </b:Person>
        </b:NameList>
      </b:Author>
    </b:Author>
    <b:RefOrder>294</b:RefOrder>
  </b:Source>
  <b:Source>
    <b:Tag>Jar03</b:Tag>
    <b:SourceType>JournalArticle</b:SourceType>
    <b:Guid>{091472D4-4AA2-4A42-8E77-3BD650FAB645}</b:Guid>
    <b:Title>A Critical Review of Construct Indicators and Measurement Model Misspecification in Marketing and Consumer Research</b:Title>
    <b:JournalName>Journal of Consumer Research</b:JournalName>
    <b:Year>2003</b:Year>
    <b:Pages>199-218</b:Pages>
    <b:Author>
      <b:Author>
        <b:NameList>
          <b:Person>
            <b:Last>Jarvis</b:Last>
            <b:Middle>Burke </b:Middle>
            <b:First>Cheryl </b:First>
          </b:Person>
          <b:Person>
            <b:Last>MacKenzie</b:Last>
            <b:Middle>B.</b:Middle>
            <b:First>Scott  </b:First>
          </b:Person>
          <b:Person>
            <b:Last>Podsakoff</b:Last>
            <b:Middle>M. </b:Middle>
            <b:First>Philip </b:First>
          </b:Person>
        </b:NameList>
      </b:Author>
    </b:Author>
    <b:Month>09</b:Month>
    <b:Volume>30</b:Volume>
    <b:Issue>02</b:Issue>
    <b:YearAccessed>2022</b:YearAccessed>
    <b:MonthAccessed>06</b:MonthAccessed>
    <b:DayAccessed>02</b:DayAccessed>
    <b:DOI>https://doi.org/10.1086/376806</b:DOI>
    <b:RefOrder>1220</b:RefOrder>
  </b:Source>
  <b:Source>
    <b:Tag>Jan16</b:Tag>
    <b:SourceType>JournalArticle</b:SourceType>
    <b:Guid>{5004500C-1821-47F6-9558-AAEB8DD6CDDA}</b:Guid>
    <b:Title>Brand placement disclosure effects on persuasion: The moderating role of consumer self-control: Self-control and brand placement disclosure</b:Title>
    <b:JournalName>Journal of Consumer Behaviour</b:JournalName>
    <b:Year>2016</b:Year>
    <b:Month>12</b:Month>
    <b:Volume>15</b:Volume>
    <b:Issue>6</b:Issue>
    <b:YearAccessed>2023</b:YearAccessed>
    <b:MonthAccessed>07</b:MonthAccessed>
    <b:DayAccessed>28</b:DayAccessed>
    <b:DOI>10.1002/cb.1587</b:DOI>
    <b:Author>
      <b:Author>
        <b:NameList>
          <b:Person>
            <b:Last>Janssen</b:Last>
            <b:First>Loes </b:First>
          </b:Person>
          <b:Person>
            <b:Last>Fransen</b:Last>
            <b:First>Marieke </b:First>
          </b:Person>
          <b:Person>
            <b:Last>Wulff</b:Last>
            <b:First>Rebecca </b:First>
          </b:Person>
          <b:Person>
            <b:Last>Reijmersdal</b:Last>
            <b:Middle>A. van</b:Middle>
            <b:First>Eva  </b:First>
          </b:Person>
        </b:NameList>
      </b:Author>
    </b:Author>
    <b:RefOrder>246</b:RefOrder>
  </b:Source>
  <b:Source>
    <b:Tag>Jam77</b:Tag>
    <b:SourceType>JournalArticle</b:SourceType>
    <b:Guid>{305A91C9-B9D3-428A-92D1-BB8FF716579C}</b:Guid>
    <b:Title>Halo Effects and Location Preferences</b:Title>
    <b:JournalName>Advances in Consumer Research</b:JournalName>
    <b:Year>1977</b:Year>
    <b:Author>
      <b:Author>
        <b:NameList>
          <b:Person>
            <b:Last>James</b:Last>
            <b:Middle>L.</b:Middle>
            <b:First>William</b:First>
          </b:Person>
          <b:Person>
            <b:Last>Carter</b:Last>
            <b:Middle>G</b:Middle>
            <b:First>Forrest </b:First>
          </b:Person>
        </b:NameList>
      </b:Author>
    </b:Author>
    <b:RefOrder>678</b:RefOrder>
  </b:Source>
  <b:Source>
    <b:Tag>Jam201</b:Tag>
    <b:SourceType>JournalArticle</b:SourceType>
    <b:Guid>{BA1CD999-6A92-447B-8B23-AB4274BB93A7}</b:Guid>
    <b:Title>How institutions affect CSR practices in the Middle East and North Africa: A critical review</b:Title>
    <b:JournalName>Journal of World Business</b:JournalName>
    <b:Year>2020</b:Year>
    <b:Volume>55</b:Volume>
    <b:Issue>5</b:Issue>
    <b:Author>
      <b:Author>
        <b:NameList>
          <b:Person>
            <b:Last>Jamali</b:Last>
            <b:First>Dima</b:First>
          </b:Person>
          <b:Person>
            <b:Last>Tanusree</b:Last>
            <b:First>Jain</b:First>
          </b:Person>
          <b:Person>
            <b:Last>Samara</b:Last>
            <b:First>Georges</b:First>
          </b:Person>
          <b:Person>
            <b:Last>Zoghbi</b:Last>
            <b:First>Edwina</b:First>
          </b:Person>
        </b:NameList>
      </b:Author>
    </b:Author>
    <b:Month>08</b:Month>
    <b:YearAccessed>2022</b:YearAccessed>
    <b:MonthAccessed>12</b:MonthAccessed>
    <b:DayAccessed>06</b:DayAccessed>
    <b:URL>https://www.sciencedirect.com/science/article/pii/S1090951620300559)</b:URL>
    <b:DOI>https://doi.org/10.1016/j.jwb.2020.101127</b:DOI>
    <b:RefOrder>374</b:RefOrder>
  </b:Source>
  <b:Source>
    <b:Tag>Jam20</b:Tag>
    <b:SourceType>JournalArticle</b:SourceType>
    <b:Guid>{5ACE5A31-DF42-48CD-9824-5C601CC902F9}</b:Guid>
    <b:Title>How institutions affect CSR practices in the Middle East and North Africa: A critical review</b:Title>
    <b:JournalName>Journal of World Business August</b:JournalName>
    <b:Year>2020</b:Year>
    <b:Volume>55</b:Volume>
    <b:Issue>5</b:Issue>
    <b:YearAccessed>2021</b:YearAccessed>
    <b:MonthAccessed>12</b:MonthAccessed>
    <b:DayAccessed>30</b:DayAccessed>
    <b:DOI>10.1016/j.jwb.2020.101127.</b:DOI>
    <b:Author>
      <b:Author>
        <b:NameList>
          <b:Person>
            <b:Last>Jamali</b:Last>
            <b:First>Dima</b:First>
          </b:Person>
          <b:Person>
            <b:Last>Jain</b:Last>
            <b:First>Tanusree</b:First>
          </b:Person>
          <b:Person>
            <b:Last>Samara</b:Last>
            <b:First>Georges</b:First>
          </b:Person>
          <b:Person>
            <b:Last>Zoghbi</b:Last>
            <b:First>Edwina</b:First>
          </b:Person>
        </b:NameList>
      </b:Author>
    </b:Author>
    <b:RefOrder>198</b:RefOrder>
  </b:Source>
  <b:Source>
    <b:Tag>Jam18</b:Tag>
    <b:SourceType>JournalArticle</b:SourceType>
    <b:Guid>{B7C46135-C5F2-474A-9C73-0C4D4E89FEFB}</b:Guid>
    <b:Title>Corporate Social Responsibility in Developing Countries as an Emerging Field of Study.</b:Title>
    <b:JournalName> International Journal of Management Reviews</b:JournalName>
    <b:Year>2018</b:Year>
    <b:Pages>32-61</b:Pages>
    <b:Author>
      <b:Author>
        <b:NameList>
          <b:Person>
            <b:Last>Jamal</b:Last>
            <b:First>Dima</b:First>
          </b:Person>
          <b:Person>
            <b:Last>Karam</b:Last>
            <b:First>Charlotte</b:First>
          </b:Person>
        </b:NameList>
      </b:Author>
    </b:Author>
    <b:Month>01</b:Month>
    <b:Publisher>Wiley Blackwell</b:Publisher>
    <b:Volume>20</b:Volume>
    <b:Issue>1</b:Issue>
    <b:YearAccessed>2022</b:YearAccessed>
    <b:MonthAccessed>12</b:MonthAccessed>
    <b:DayAccessed>07</b:DayAccessed>
    <b:DOI>10.1111/ijmr.12112</b:DOI>
    <b:RefOrder>121</b:RefOrder>
  </b:Source>
  <b:Source>
    <b:Tag>Jac02</b:Tag>
    <b:SourceType>JournalArticle</b:SourceType>
    <b:Guid>{57D952B2-F20D-4941-A581-818177B19A8A}</b:Guid>
    <b:Title>Stimulus-Organism-Response Reconsidered: An Evolutionary Step in Modeling (Consumer) Behavior</b:Title>
    <b:JournalName>Journal of Consumer Psychology</b:JournalName>
    <b:Year>2002</b:Year>
    <b:Pages>51-57</b:Pages>
    <b:Author>
      <b:Author>
        <b:NameList>
          <b:Person>
            <b:Last>Jacoby</b:Last>
            <b:First>Jacob </b:First>
          </b:Person>
        </b:NameList>
      </b:Author>
    </b:Author>
    <b:Volume>12</b:Volume>
    <b:Issue>1</b:Issue>
    <b:YearAccessed>2023</b:YearAccessed>
    <b:MonthAccessed>03</b:MonthAccessed>
    <b:DayAccessed>12</b:DayAccessed>
    <b:DOI>https://doi.org/10.1207/S15327663JCP1201_05</b:DOI>
    <b:RefOrder>635</b:RefOrder>
  </b:Source>
  <b:Source>
    <b:Tag>Jac20</b:Tag>
    <b:SourceType>JournalArticle</b:SourceType>
    <b:Guid>{B990ACAA-EE0B-4E9D-B2A9-ACC86808AC73}</b:Guid>
    <b:Title>Attribution analysis of luxury brands: An investigation into consumer-brand congruence through conspicuous consumption</b:Title>
    <b:JournalName>Journal of Business Research</b:JournalName>
    <b:Year>2020</b:Year>
    <b:Pages>597-607</b:Pages>
    <b:Month>08</b:Month>
    <b:Volume>116</b:Volume>
    <b:YearAccessed>2023</b:YearAccessed>
    <b:MonthAccessed>03</b:MonthAccessed>
    <b:DayAccessed>08</b:DayAccessed>
    <b:DOI>https://doi.org/10.1016/j.jbusres.2019.07.007</b:DOI>
    <b:Author>
      <b:Author>
        <b:NameList>
          <b:Person>
            <b:Last>Jacob</b:Last>
            <b:First>Isaac </b:First>
          </b:Person>
          <b:Person>
            <b:Last>Khanna</b:Last>
            <b:First>Monica </b:First>
          </b:Person>
          <b:Person>
            <b:Last>Rai</b:Last>
            <b:Middle>A.</b:Middle>
            <b:First>Krupa </b:First>
          </b:Person>
        </b:NameList>
      </b:Author>
    </b:Author>
    <b:RefOrder>692</b:RefOrder>
  </b:Source>
  <b:Source>
    <b:Tag>Jac10</b:Tag>
    <b:SourceType>JournalArticle</b:SourceType>
    <b:Guid>{405C683D-65CB-4F91-A680-01A8FA450B92}</b:Guid>
    <b:Title>Attitude Importance, Forewarning of Message Content, and Resistance to Persuasion</b:Title>
    <b:JournalName>Basic and Applied Social Psychology </b:JournalName>
    <b:Year>2010</b:Year>
    <b:Pages>19-29</b:Pages>
    <b:Author>
      <b:Author>
        <b:NameList>
          <b:Person>
            <b:Last>Jacks </b:Last>
            <b:Middle>Zuwerink</b:Middle>
            <b:First>Julia </b:First>
          </b:Person>
          <b:Person>
            <b:Last>Devine</b:Last>
            <b:Middle>G</b:Middle>
            <b:First>Patricia </b:First>
          </b:Person>
        </b:NameList>
      </b:Author>
    </b:Author>
    <b:Month>06</b:Month>
    <b:Day>10</b:Day>
    <b:Volume>22</b:Volume>
    <b:Issue>1</b:Issue>
    <b:YearAccessed>2022</b:YearAccessed>
    <b:MonthAccessed>01</b:MonthAccessed>
    <b:DayAccessed>09</b:DayAccessed>
    <b:DOI>https://doi.org/10.1207/S15324834BASP2201_3</b:DOI>
    <b:RefOrder>1221</b:RefOrder>
  </b:Source>
  <b:Source>
    <b:Tag>Izo17</b:Tag>
    <b:SourceType>JournalArticle</b:SourceType>
    <b:Guid>{3464008A-D14E-47E5-8D42-D50218CA4E96}</b:Guid>
    <b:Title>Determinants of relationship quality and customer loyalty in retail banking: Evidence from Nigeria</b:Title>
    <b:JournalName>African Journal of Economic and Management Studies</b:JournalName>
    <b:Year>2017</b:Year>
    <b:Pages>186-204</b:Pages>
    <b:Month>06</b:Month>
    <b:Day>12</b:Day>
    <b:Publisher>Emerald Publishing Limited</b:Publisher>
    <b:Volume>8</b:Volume>
    <b:Issue>2</b:Issue>
    <b:YearAccessed>2023</b:YearAccessed>
    <b:MonthAccessed>03</b:MonthAccessed>
    <b:DayAccessed>10</b:DayAccessed>
    <b:DOI>https://doi.org/10.1108/AJEMS-01-2016-0011</b:DOI>
    <b:Author>
      <b:Author>
        <b:NameList>
          <b:Person>
            <b:Last>Izogo</b:Last>
            <b:Middle>Emeka </b:Middle>
            <b:First>Ernest </b:First>
          </b:Person>
          <b:Person>
            <b:Last>Reza</b:Last>
            <b:First>Abdi</b:First>
          </b:Person>
          <b:Person>
            <b:Last>Ogba</b:Last>
            <b:First>Ike-Elechi </b:First>
          </b:Person>
          <b:Person>
            <b:Last>Oraedu</b:Last>
            <b:First>Chukwunonso </b:First>
          </b:Person>
        </b:NameList>
      </b:Author>
    </b:Author>
    <b:RefOrder>617</b:RefOrder>
  </b:Source>
  <b:Source>
    <b:Tag>ISO11</b:Tag>
    <b:SourceType>JournalArticle</b:SourceType>
    <b:Guid>{B4DC0A1F-08B1-49FA-A634-8E78499A082E}</b:Guid>
    <b:Author>
      <b:Author>
        <b:NameList>
          <b:Person>
            <b:Last>ISO</b:Last>
          </b:Person>
        </b:NameList>
      </b:Author>
    </b:Author>
    <b:Title>ISO 26000 Guidance on Social Responsibility</b:Title>
    <b:Year>2011</b:Year>
    <b:YearAccessed>2021</b:YearAccessed>
    <b:MonthAccessed>10</b:MonthAccessed>
    <b:DayAccessed>08</b:DayAccessed>
    <b:URL>https://www.iso.org/files/live/sites/isoorg/files/store/en/PUB100258.pdf</b:URL>
    <b:Pages>3 - 5</b:Pages>
    <b:RefOrder>78</b:RefOrder>
  </b:Source>
  <b:Source>
    <b:Tag>Ism201</b:Tag>
    <b:SourceType>JournalArticle</b:SourceType>
    <b:Guid>{BCA154C7-B4A2-4357-B8E7-C53E7FD16CD2}</b:Guid>
    <b:Title>The effect of characteristics of source credibility on consumer behaviour: A meta-analysis</b:Title>
    <b:JournalName>Journal of Retailing and Consumer Services</b:JournalName>
    <b:Year>2020</b:Year>
    <b:Month>03</b:Month>
    <b:Volume>53</b:Volume>
    <b:YearAccessed>2023</b:YearAccessed>
    <b:MonthAccessed>02</b:MonthAccessed>
    <b:DayAccessed>05</b:DayAccessed>
    <b:DOI>https://doi.org/10.1016/j.jretconser.2019.01.005</b:DOI>
    <b:Author>
      <b:Author>
        <b:NameList>
          <b:Person>
            <b:Last>Ismagilova</b:Last>
            <b:First>Elvira </b:First>
          </b:Person>
          <b:Person>
            <b:Last>Slade </b:Last>
            <b:First>Emma </b:First>
          </b:Person>
          <b:Person>
            <b:Last>Rana</b:Last>
            <b:Middle>P.</b:Middle>
            <b:First>Nripendra </b:First>
          </b:Person>
          <b:Person>
            <b:Last>Dwivedi</b:Last>
            <b:Middle>K.</b:Middle>
            <b:First>Yogesh </b:First>
          </b:Person>
        </b:NameList>
      </b:Author>
    </b:Author>
    <b:RefOrder>287</b:RefOrder>
  </b:Source>
  <b:Source>
    <b:Tag>Ism20</b:Tag>
    <b:SourceType>JournalArticle</b:SourceType>
    <b:Guid>{394C6E07-2DC6-4B52-9255-6769A1B7AAFA}</b:Guid>
    <b:Title>The effect of characteristics of source credibility on consumer behaviour: A meta-analysis</b:Title>
    <b:JournalName>Journal of Retailing and Consumer Services</b:JournalName>
    <b:Year>2020</b:Year>
    <b:Volume>54</b:Volume>
    <b:Month>03</b:Month>
    <b:YearAccessed>2021</b:YearAccessed>
    <b:MonthAccessed>12</b:MonthAccessed>
    <b:DayAccessed>26</b:DayAccessed>
    <b:DOI>https://doi.org/10.1016/j.jretconser.2019.01.005</b:DOI>
    <b:Author>
      <b:Author>
        <b:NameList>
          <b:Person>
            <b:Last>Ismagilova</b:Last>
            <b:First>Elvira</b:First>
          </b:Person>
          <b:Person>
            <b:Last>Slade</b:Last>
            <b:First>Emma</b:First>
          </b:Person>
          <b:Person>
            <b:Last>Rana</b:Last>
            <b:Middle>P</b:Middle>
            <b:First>Nripendra </b:First>
          </b:Person>
          <b:Person>
            <b:Last>Dwived</b:Last>
            <b:Middle>K</b:Middle>
            <b:First>Yogesh</b:First>
          </b:Person>
        </b:NameList>
      </b:Author>
    </b:Author>
    <b:RefOrder>365</b:RefOrder>
  </b:Source>
  <b:Source>
    <b:Tag>Isl19</b:Tag>
    <b:SourceType>JournalArticle</b:SourceType>
    <b:Guid>{FE68DDF2-D128-4389-A744-57F7D3BDA179}</b:Guid>
    <b:Title>The impact of self-congruity (symbolic and functional) on the brand hate: A study based on self-congruity theory</b:Title>
    <b:JournalName>British Food Journal</b:JournalName>
    <b:Year>2019</b:Year>
    <b:Pages>71-88</b:Pages>
    <b:Month>05</b:Month>
    <b:Day>01</b:Day>
    <b:Publisher>Emerald Publishing Limited</b:Publisher>
    <b:Volume>121</b:Volume>
    <b:Issue>1</b:Issue>
    <b:YearAccessed>2023</b:YearAccessed>
    <b:MonthAccessed>03</b:MonthAccessed>
    <b:DayAccessed>18</b:DayAccessed>
    <b:DOI>https://doi.org/10.1108/BFJ-03-2018-0206</b:DOI>
    <b:Author>
      <b:Author>
        <b:NameList>
          <b:Person>
            <b:Last>Islam</b:Last>
            <b:First>Tahir </b:First>
          </b:Person>
          <b:Person>
            <b:Last>Attiq</b:Last>
            <b:First>Saman</b:First>
          </b:Person>
          <b:Person>
            <b:Last>Hameed</b:Last>
            <b:First>Zahid</b:First>
          </b:Person>
          <b:Person>
            <b:Last>Khokhar</b:Last>
            <b:Middle>Naz</b:Middle>
            <b:First>Munnawar </b:First>
          </b:Person>
          <b:Person>
            <b:Last>Sheikh</b:Last>
            <b:First>Zaryab </b:First>
          </b:Person>
        </b:NameList>
      </b:Author>
    </b:Author>
    <b:RefOrder>709</b:RefOrder>
  </b:Source>
  <b:Source>
    <b:Tag>Isl21</b:Tag>
    <b:SourceType>JournalArticle</b:SourceType>
    <b:Guid>{A4B30961-D54B-4DA5-9A8D-DF4092340246}</b:Guid>
    <b:Title>Corporate social reporting in the banking industry of Bangladesh: a test of legitimacy theory</b:Title>
    <b:Year>2021</b:Year>
    <b:Publisher>Emerald Publishing Limited</b:Publisher>
    <b:Author>
      <b:Author>
        <b:NameList>
          <b:Person>
            <b:Last>Islam</b:Last>
            <b:Middle>Tazul </b:Middle>
            <b:First>Mohammad </b:First>
          </b:Person>
          <b:Person>
            <b:Last>Kokubu</b:Last>
            <b:First>Katsuhiko </b:First>
          </b:Person>
          <b:Person>
            <b:Last>Nishitani</b:Last>
            <b:First>Kimitaka </b:First>
          </b:Person>
        </b:NameList>
      </b:Author>
    </b:Author>
    <b:Volume>17</b:Volume>
    <b:Pages>198-225</b:Pages>
    <b:YearAccessed>2023</b:YearAccessed>
    <b:MonthAccessed>02</b:MonthAccessed>
    <b:DayAccessed>17</b:DayAccessed>
    <b:DOI>https://doi.org/10.1108/SRJ-05-2019-0185</b:DOI>
    <b:JournalName>Social Responsibility Journal</b:JournalName>
    <b:Month>02</b:Month>
    <b:Day>25</b:Day>
    <b:Issue>2</b:Issue>
    <b:RefOrder>536</b:RefOrder>
  </b:Source>
  <b:Source>
    <b:Tag>IPS16</b:Tag>
    <b:SourceType>InternetSite</b:SourceType>
    <b:Guid>{E1B709C0-678C-4DA2-841B-B5CFE091D323}</b:Guid>
    <b:Title>94% of Egyptian Women Are Responsible for Their Household Shopping, 2016 | Ipsos</b:Title>
    <b:Year>2016</b:Year>
    <b:InternetSiteTitle>Digital Marketing Community</b:InternetSiteTitle>
    <b:URL>https://www.digitalmarketingcommunity.com/indicators/94-egyptian-women-responsible-household-shopping-2016-ipsos/</b:URL>
    <b:Author>
      <b:Author>
        <b:NameList>
          <b:Person>
            <b:Last>IPSOS</b:Last>
          </b:Person>
        </b:NameList>
      </b:Author>
    </b:Author>
    <b:RefOrder>864</b:RefOrder>
  </b:Source>
  <b:Source>
    <b:Tag>Ips22</b:Tag>
    <b:SourceType>InternetSite</b:SourceType>
    <b:Guid>{D04603E6-52C8-490F-873A-19F50207B6AC}</b:Guid>
    <b:Title>MENA 2021 Ad Spend</b:Title>
    <b:Year>2022</b:Year>
    <b:InternetSiteTitle>Ipsos</b:InternetSiteTitle>
    <b:Month>06</b:Month>
    <b:Day>28</b:Day>
    <b:URL>https://www.ipsos.com/en-sa/mena-2021-ad-spend</b:URL>
    <b:Author>
      <b:Author>
        <b:NameList>
          <b:Person>
            <b:Last>Ipsos</b:Last>
          </b:Person>
        </b:NameList>
      </b:Author>
    </b:Author>
    <b:RefOrder>450</b:RefOrder>
  </b:Source>
  <b:Source>
    <b:Tag>Inm18</b:Tag>
    <b:SourceType>JournalArticle</b:SourceType>
    <b:Guid>{90B4A3FA-D6FF-4300-8421-E9165481A0D8}</b:Guid>
    <b:Title>Our Vision for the Journal of Consumer Research: It’s All about the Consumer</b:Title>
    <b:Year>2018</b:Year>
    <b:JournalName>Journal of Consumer Research</b:JournalName>
    <b:Pages>955-959</b:Pages>
    <b:Month>02</b:Month>
    <b:Volume>44</b:Volume>
    <b:Issue>05</b:Issue>
    <b:YearAccessed>2022</b:YearAccessed>
    <b:MonthAccessed>06</b:MonthAccessed>
    <b:DayAccessed>05</b:DayAccessed>
    <b:DOI>https://doi.org/10.1093/jcr/ucx123</b:DOI>
    <b:Author>
      <b:Author>
        <b:NameList>
          <b:Person>
            <b:Last>Inman</b:Last>
            <b:Middle>Jeffrey </b:Middle>
            <b:First>J </b:First>
          </b:Person>
          <b:Person>
            <b:Last>Campbell</b:Last>
            <b:Middle>C</b:Middle>
            <b:First>Margaret </b:First>
          </b:Person>
          <b:Person>
            <b:Last>Kirmani</b:Last>
            <b:First>Amna</b:First>
          </b:Person>
          <b:Person>
            <b:Last>Price</b:Last>
            <b:Middle>L</b:Middle>
            <b:First>Linda</b:First>
          </b:Person>
        </b:NameList>
      </b:Author>
    </b:Author>
    <b:RefOrder>1222</b:RefOrder>
  </b:Source>
  <b:Source>
    <b:Tag>Ibr22</b:Tag>
    <b:SourceType>JournalArticle</b:SourceType>
    <b:Guid>{971A21FD-F746-4F95-B627-AFA5A023A5B6}</b:Guid>
    <b:Title>Recontextualising the determinants of external CSR in the services industry: A cross-cultural study</b:Title>
    <b:JournalName>Tourism Management</b:JournalName>
    <b:Year>2022</b:Year>
    <b:Volume>95</b:Volume>
    <b:Author>
      <b:Author>
        <b:NameList>
          <b:Person>
            <b:Last>Ibrahim</b:Last>
            <b:Middle>Nageh</b:Middle>
            <b:First>Mohamed </b:First>
          </b:Person>
          <b:Person>
            <b:Last>Kimbu</b:Last>
            <b:Middle>Nsom</b:Middle>
            <b:First>Albert </b:First>
          </b:Person>
        </b:NameList>
      </b:Author>
    </b:Author>
    <b:Month>11</b:Month>
    <b:Day>15</b:Day>
    <b:YearAccessed>2022</b:YearAccessed>
    <b:MonthAccessed>12</b:MonthAccessed>
    <b:DayAccessed>10</b:DayAccessed>
    <b:DOI>https://doi.org/10.1016/j.tourman.2022.104690</b:DOI>
    <b:RefOrder>499</b:RefOrder>
  </b:Source>
  <b:Source>
    <b:Tag>Ibr18</b:Tag>
    <b:SourceType>JournalArticle</b:SourceType>
    <b:Guid>{D865F5FB-2CE5-4800-A896-671F8734249F}</b:Guid>
    <b:Title>Sustainable consumption: Insights from the protection motivation (PMT), deontic justice (DJT) and construal level (CLT) theories</b:Title>
    <b:JournalName>Management Decision</b:JournalName>
    <b:Year>2018</b:Year>
    <b:Pages>610-633</b:Pages>
    <b:Volume>56</b:Volume>
    <b:Issue>3</b:Issue>
    <b:Author>
      <b:Author>
        <b:NameList>
          <b:Person>
            <b:Last>Ibrahim</b:Last>
            <b:First>Hafedh </b:First>
          </b:Person>
          <b:Person>
            <b:Last>Al-Ajlouni </b:Last>
            <b:Middle>Mohammad Q.</b:Middle>
            <b:First>Mahmoud  </b:First>
          </b:Person>
        </b:NameList>
      </b:Author>
    </b:Author>
    <b:Month>02</b:Month>
    <b:Day>15</b:Day>
    <b:Publisher>Emerald Publishing Limited</b:Publisher>
    <b:YearAccessed>2022</b:YearAccessed>
    <b:MonthAccessed>12</b:MonthAccessed>
    <b:DayAccessed>06</b:DayAccessed>
    <b:URL>https://doi.org/10.1108/MD-05-2016-0323</b:URL>
    <b:RefOrder>1223</b:RefOrder>
  </b:Source>
  <b:Source>
    <b:Tag>Ibr221</b:Tag>
    <b:SourceType>JournalArticle</b:SourceType>
    <b:Guid>{2DE36831-9B8D-414B-ADDA-87B0595D851C}</b:Guid>
    <b:Title>Key drivers of Egyptian social work researchers' low preference for using qualitative research methods in social work studies</b:Title>
    <b:JournalName>African Journal of Social Work</b:JournalName>
    <b:Year>2022</b:Year>
    <b:Pages>142-152</b:Pages>
    <b:Month>08</b:Month>
    <b:Publisher>National Association of Social Workers-Zimbabwe</b:Publisher>
    <b:Volume>12</b:Volume>
    <b:Issue>4</b:Issue>
    <b:YearAccessed>2023</b:YearAccessed>
    <b:MonthAccessed>08</b:MonthAccessed>
    <b:DayAccessed>13</b:DayAccessed>
    <b:DOI>https://africasocialwork.net/current-and-past-issues/</b:DOI>
    <b:Author>
      <b:Author>
        <b:NameList>
          <b:Person>
            <b:Last>Ibrahim</b:Last>
            <b:Middle>Thabet Helal</b:Middle>
            <b:First>Ahmed</b:First>
          </b:Person>
          <b:Person>
            <b:Last>EL Sherbiny</b:Last>
            <b:Middle>Mohamed Kamel </b:Middle>
            <b:First>Mohamed </b:First>
          </b:Person>
        </b:NameList>
      </b:Author>
    </b:Author>
    <b:RefOrder>849</b:RefOrder>
  </b:Source>
  <b:Source>
    <b:Tag>Hyl23</b:Tag>
    <b:SourceType>JournalArticle</b:SourceType>
    <b:Guid>{568864A2-0B5F-453B-9533-7F685D47B339}</b:Guid>
    <b:Title>The influence of gender, social cause, charitable support, and message appeal on Gen Y's responses to cause-related marketing.</b:Title>
    <b:JournalName>Journal of Marketing Management</b:JournalName>
    <b:Pages>100-123</b:Pages>
    <b:Month>08</b:Month>
    <b:Volume>27</b:Volume>
    <b:Issue>2</b:Issue>
    <b:YearAccessed>2023</b:YearAccessed>
    <b:MonthAccessed>08</b:MonthAccessed>
    <b:DayAccessed>19</b:DayAccessed>
    <b:DOI>10.1080/02672571003683755</b:DOI>
    <b:Author>
      <b:Author>
        <b:NameList>
          <b:Person>
            <b:Last>Hyllegard </b:Last>
            <b:Middle>H.</b:Middle>
            <b:First>Karen </b:First>
          </b:Person>
          <b:Person>
            <b:Last>Yan</b:Last>
            <b:First>Ruoh-Nan </b:First>
          </b:Person>
          <b:Person>
            <b:Last>Ogle</b:Last>
            <b:Middle>Paff </b:Middle>
            <b:First>Jennifer </b:First>
          </b:Person>
          <b:Person>
            <b:Last>Attmann</b:Last>
            <b:First>Julianne </b:First>
          </b:Person>
        </b:NameList>
      </b:Author>
    </b:Author>
    <b:Year>2010</b:Year>
    <b:Day>10</b:Day>
    <b:RefOrder>588</b:RefOrder>
  </b:Source>
  <b:Source>
    <b:Tag>Hyd21</b:Tag>
    <b:SourceType>JournalArticle</b:SourceType>
    <b:Guid>{3C8E0CD5-9619-4D9C-81FC-7E04D7EB8DCF}</b:Guid>
    <b:Title>Critical Discourse and Critical Reflection in Mezirow’s Theory of Transformative Learning: A Dialectic Between Ontology and Epistemology (and a Subtext of Reflexivity Mirroring My Own Onto-Epistemological Movement)</b:Title>
    <b:JournalName>Adult Education Quarterly</b:JournalName>
    <b:Year>2021</b:Year>
    <b:Pages>373-388</b:Pages>
    <b:Author>
      <b:Author>
        <b:NameList>
          <b:Person>
            <b:Last>Hyde</b:Last>
            <b:First>Brendan </b:First>
          </b:Person>
        </b:NameList>
      </b:Author>
    </b:Author>
    <b:Month>03</b:Month>
    <b:Day>26</b:Day>
    <b:Volume>71</b:Volume>
    <b:Issue>4</b:Issue>
    <b:YearAccessed>2023</b:YearAccessed>
    <b:MonthAccessed>02</b:MonthAccessed>
    <b:DayAccessed>10</b:DayAccessed>
    <b:DOI>https://doi.org/10.1177/07417136211003612</b:DOI>
    <b:RefOrder>755</b:RefOrder>
  </b:Source>
  <b:Source>
    <b:Tag>Hus221</b:Tag>
    <b:SourceType>JournalArticle</b:SourceType>
    <b:Guid>{77177BDE-1DF0-48E0-A79B-08626FF57942}</b:Guid>
    <b:Title>Integrating the S-O-R Model to Examine Purchase Intention Based on Instagram Sponsored Advertising</b:Title>
    <b:JournalName>Journal of Promotion Management</b:JournalName>
    <b:Year>2022</b:Year>
    <b:Pages>77-105</b:Pages>
    <b:Month>08</b:Month>
    <b:Day>08</b:Day>
    <b:Volume>29</b:Volume>
    <b:Issue>1</b:Issue>
    <b:YearAccessed>2023</b:YearAccessed>
    <b:MonthAccessed>06</b:MonthAccessed>
    <b:DayAccessed>09</b:DayAccessed>
    <b:DOI>https://doi.org/10.1080/10496491.2022.2108185</b:DOI>
    <b:Author>
      <b:Author>
        <b:NameList>
          <b:Person>
            <b:Last>Hussain</b:Last>
            <b:First>Ali</b:First>
          </b:Person>
          <b:Person>
            <b:Last>Ting</b:Last>
            <b:Middle>Hooi </b:Middle>
            <b:First>Ding </b:First>
          </b:Person>
          <b:Person>
            <b:Last>Abbasi</b:Last>
            <b:Middle>Zaib </b:Middle>
            <b:First>Amir </b:First>
          </b:Person>
        </b:NameList>
      </b:Author>
    </b:Author>
    <b:RefOrder>643</b:RefOrder>
  </b:Source>
  <b:Source>
    <b:Tag>Hus22</b:Tag>
    <b:SourceType>JournalArticle</b:SourceType>
    <b:Guid>{1D2680F7-F704-4CED-8533-BAF3D6EF7088}</b:Guid>
    <b:Title>Integrating the S-O-R Model to Examine Purchase Intention Based on Instagram Sponsored Advertising</b:Title>
    <b:JournalName>Journal of Promotion Management</b:JournalName>
    <b:Year>2022</b:Year>
    <b:Pages>77-105</b:Pages>
    <b:Month>08</b:Month>
    <b:Day>08</b:Day>
    <b:Volume>29</b:Volume>
    <b:Issue>1</b:Issue>
    <b:YearAccessed>2023</b:YearAccessed>
    <b:MonthAccessed>05</b:MonthAccessed>
    <b:DayAccessed>05</b:DayAccessed>
    <b:DOI>https://doi.org/10.1080/10496491.2022.2108185</b:DOI>
    <b:Author>
      <b:Author>
        <b:NameList>
          <b:Person>
            <b:Last>Hussain</b:Last>
            <b:First>Ali</b:First>
          </b:Person>
          <b:Person>
            <b:Last>Ting</b:Last>
            <b:Middle>Hooi </b:Middle>
            <b:First>Ding </b:First>
          </b:Person>
          <b:Person>
            <b:Last>Abbasi</b:Last>
            <b:Middle>Zaib </b:Middle>
            <b:First>Amir </b:First>
          </b:Person>
          <b:Person>
            <b:Last>Rehman</b:Last>
            <b:First>Umair </b:First>
          </b:Person>
        </b:NameList>
      </b:Author>
    </b:Author>
    <b:RefOrder>627</b:RefOrder>
  </b:Source>
  <b:Source>
    <b:Tag>Hur201</b:Tag>
    <b:SourceType>JournalArticle</b:SourceType>
    <b:Guid>{6614B935-7CB3-4BB2-87B1-28AD4E0A369C}</b:Guid>
    <b:Title>When does customer CSR perception lead to customer extra-role behaviors? The roles of customer spirituality and emotional brand attachment</b:Title>
    <b:JournalName>Journal of Brand Management</b:JournalName>
    <b:Year>2020</b:Year>
    <b:Pages>421-437</b:Pages>
    <b:Author>
      <b:Author>
        <b:NameList>
          <b:Person>
            <b:Last>Hur</b:Last>
            <b:First>Won-Moo </b:First>
          </b:Person>
          <b:Person>
            <b:Last>Moon</b:Last>
            <b:First>Tae-Won </b:First>
          </b:Person>
          <b:Person>
            <b:Last>Kim</b:Last>
            <b:First>Hanna </b:First>
          </b:Person>
        </b:NameList>
      </b:Author>
    </b:Author>
    <b:Month>07</b:Month>
    <b:Volume>27</b:Volume>
    <b:Issue>4</b:Issue>
    <b:YearAccessed>2023</b:YearAccessed>
    <b:MonthAccessed>08</b:MonthAccessed>
    <b:DayAccessed>02</b:DayAccessed>
    <b:DOI>10.1057/s41262-020-00190-x</b:DOI>
    <b:RefOrder>25</b:RefOrder>
  </b:Source>
  <b:Source>
    <b:Tag>Hur20</b:Tag>
    <b:SourceType>JournalArticle</b:SourceType>
    <b:Guid>{0AA127CD-D1CD-4D66-9DC3-B40C89AC2A77}</b:Guid>
    <b:Title>When and how does customer engagement in CSR initiatives lead to greater CSR participation? The role of CSR credibility and customer–company identification</b:Title>
    <b:JournalName>Corporate Social Responsibility and Environmental Management </b:JournalName>
    <b:Year>2020</b:Year>
    <b:Pages>1878-1891</b:Pages>
    <b:Volume>27</b:Volume>
    <b:Issue>4</b:Issue>
    <b:Author>
      <b:Author>
        <b:NameList>
          <b:Person>
            <b:Last>Hur</b:Last>
            <b:First>Won-Moo</b:First>
          </b:Person>
          <b:Person>
            <b:Last>Moon</b:Last>
            <b:First>Tae-Won</b:First>
          </b:Person>
          <b:Person>
            <b:Last>Kim</b:Last>
            <b:First>Hana</b:First>
          </b:Person>
        </b:NameList>
      </b:Author>
    </b:Author>
    <b:Month>03</b:Month>
    <b:Day>13</b:Day>
    <b:Publisher>Wiley Online Library</b:Publisher>
    <b:YearAccessed>2021</b:YearAccessed>
    <b:MonthAccessed>12</b:MonthAccessed>
    <b:DayAccessed>26</b:DayAccessed>
    <b:DOI>https://doi.org/10.1002/csr.1933</b:DOI>
    <b:RefOrder>129</b:RefOrder>
  </b:Source>
  <b:Source>
    <b:Tag>Hul08</b:Tag>
    <b:SourceType>JournalArticle</b:SourceType>
    <b:Guid>{475DE55E-C31D-4F3B-9097-71A06CC81535}</b:Guid>
    <b:Title>Firm Performance: The Interactions of Corporate Social Performance with Innovation and Industry Differentiation</b:Title>
    <b:JournalName>Strategic Management Journal</b:JournalName>
    <b:Year>2008</b:Year>
    <b:Pages>781-789</b:Pages>
    <b:Author>
      <b:Author>
        <b:NameList>
          <b:Person>
            <b:Last>Hull</b:Last>
            <b:Middle>Eiríkur</b:Middle>
            <b:First>Clyde </b:First>
          </b:Person>
          <b:Person>
            <b:Last>Rothenberg</b:Last>
            <b:First>Sandra </b:First>
          </b:Person>
        </b:NameList>
      </b:Author>
    </b:Author>
    <b:Month>02</b:Month>
    <b:Day>22</b:Day>
    <b:Volume>29</b:Volume>
    <b:Issue>7</b:Issue>
    <b:YearAccessed>2022</b:YearAccessed>
    <b:MonthAccessed>01</b:MonthAccessed>
    <b:DayAccessed>23</b:DayAccessed>
    <b:DOI>https://doi.org/10.1002/smj.675</b:DOI>
    <b:RefOrder>170</b:RefOrder>
  </b:Source>
  <b:Source>
    <b:Tag>Huh20</b:Tag>
    <b:SourceType>JournalArticle</b:SourceType>
    <b:Guid>{F03C8974-7B9D-4FB6-918F-D94D4FE7EBCF}</b:Guid>
    <b:Title>Creative Advertising Executions Encourage the Processing Advantages of Product Familiarity</b:Title>
    <b:JournalName>Journal of Current Issues &amp; Research in Advertising</b:JournalName>
    <b:Year>2020</b:Year>
    <b:Pages>206-228</b:Pages>
    <b:Month>05</b:Month>
    <b:Day>01</b:Day>
    <b:Volume>41</b:Volume>
    <b:Issue>2</b:Issue>
    <b:YearAccessed>2022</b:YearAccessed>
    <b:MonthAccessed>02</b:MonthAccessed>
    <b:DayAccessed>01</b:DayAccessed>
    <b:DOI>https://doi.org/10.1080/10641734.2020.1726842</b:DOI>
    <b:Author>
      <b:Author>
        <b:NameList>
          <b:Person>
            <b:Last>Huhmann</b:Last>
            <b:Middle>A</b:Middle>
            <b:First>Bruce</b:First>
          </b:Person>
          <b:Person>
            <b:Last>Limbu</b:Last>
            <b:Middle>B</b:Middle>
            <b:First>Yam</b:First>
          </b:Person>
        </b:NameList>
      </b:Author>
    </b:Author>
    <b:RefOrder>181</b:RefOrder>
  </b:Source>
  <b:Source>
    <b:Tag>Hua20</b:Tag>
    <b:SourceType>JournalArticle</b:SourceType>
    <b:Guid>{06A7614E-8C89-4AC4-8435-C1967118F7F6}</b:Guid>
    <b:Title>Brand image and customer loyalty: Transmitting roles of cognitive and affective brand trust.</b:Title>
    <b:JournalName>Social Behavior &amp; Personality</b:JournalName>
    <b:Year>2020</b:Year>
    <b:Pages>1-12</b:Pages>
    <b:Author>
      <b:Author>
        <b:NameList>
          <b:Person>
            <b:Last>Huang</b:Last>
            <b:First>Liang</b:First>
          </b:Person>
          <b:Person>
            <b:Last>Wang</b:Last>
            <b:First>Muning</b:First>
          </b:Person>
          <b:Person>
            <b:Last>Chen</b:Last>
            <b:First>Zhiling</b:First>
          </b:Person>
          <b:Person>
            <b:Last>Deng</b:Last>
            <b:First>Benchi</b:First>
          </b:Person>
          <b:Person>
            <b:Last>Huang</b:Last>
            <b:First>Wenfeng</b:First>
          </b:Person>
        </b:NameList>
      </b:Author>
    </b:Author>
    <b:Month>05</b:Month>
    <b:Volume>48</b:Volume>
    <b:Issue>05</b:Issue>
    <b:YearAccessed>2022</b:YearAccessed>
    <b:MonthAccessed>10</b:MonthAccessed>
    <b:DayAccessed>07</b:DayAccessed>
    <b:URL>https://search.ebscohost.com/login.aspx?direct=true&amp;db=s3h&amp;AN=143098303&amp;site=eds-live.</b:URL>
    <b:RefOrder>1224</b:RefOrder>
  </b:Source>
  <b:Source>
    <b:Tag>HuJ15</b:Tag>
    <b:SourceType>JournalArticle</b:SourceType>
    <b:Guid>{05832929-2112-487D-8910-DE4202DF7C1B}</b:Guid>
    <b:Title>Making a difference in the teamwork: Linking team prosocial motivation to team</b:Title>
    <b:JournalName>Academy of Management Journal</b:JournalName>
    <b:Year>2015</b:Year>
    <b:Pages>1102-1127</b:Pages>
    <b:Volume>58</b:Volume>
    <b:Issue>4</b:Issue>
    <b:YearAccessed>2023</b:YearAccessed>
    <b:MonthAccessed>02</b:MonthAccessed>
    <b:DayAccessed>11</b:DayAccessed>
    <b:DOI> https://doi.org/10.5465/</b:DOI>
    <b:Author>
      <b:Author>
        <b:NameList>
          <b:Person>
            <b:Last>Hu</b:Last>
            <b:First>Jia</b:First>
          </b:Person>
          <b:Person>
            <b:Last>Liden</b:Last>
            <b:Middle>C.</b:Middle>
            <b:First>Robert</b:First>
          </b:Person>
        </b:NameList>
      </b:Author>
    </b:Author>
    <b:RefOrder>773</b:RefOrder>
  </b:Source>
  <b:Source>
    <b:Tag>HuH22</b:Tag>
    <b:SourceType>JournalArticle</b:SourceType>
    <b:Guid>{D16D5028-450C-4D71-9912-D7B2941A9D10}</b:Guid>
    <b:Title>Effect of patient-provider communication on patient risk awareness: The moderating role of trust based on scenario experiment</b:Title>
    <b:JournalName>Psych Journal</b:JournalName>
    <b:Year>2022</b:Year>
    <b:Author>
      <b:Author>
        <b:NameList>
          <b:Person>
            <b:Last>Hu</b:Last>
            <b:First>Huiling</b:First>
          </b:Person>
          <b:Person>
            <b:Last>Gong</b:Last>
            <b:First>Haiyan</b:First>
          </b:Person>
          <b:Person>
            <b:Last>Wu</b:Last>
            <b:First>Xuanna</b:First>
          </b:Person>
          <b:Person>
            <b:Last>Wu</b:Last>
            <b:First>Xue</b:First>
          </b:Person>
        </b:NameList>
      </b:Author>
    </b:Author>
    <b:Month>03</b:Month>
    <b:Day>14</b:Day>
    <b:YearAccessed>2022</b:YearAccessed>
    <b:MonthAccessed>05</b:MonthAccessed>
    <b:DayAccessed>15</b:DayAccessed>
    <b:DOI>10.1002/pchj.530</b:DOI>
    <b:RefOrder>1225</b:RefOrder>
  </b:Source>
  <b:Source>
    <b:Tag>How22</b:Tag>
    <b:SourceType>InternetSite</b:SourceType>
    <b:Guid>{4A0D0017-A09E-452D-BAE4-07FA23A077B8}</b:Guid>
    <b:Title>Z-Test Simply Explained</b:Title>
    <b:Year>2022</b:Year>
    <b:YearAccessed>2023</b:YearAccessed>
    <b:MonthAccessed>02</b:MonthAccessed>
    <b:DayAccessed>05</b:DayAccessed>
    <b:URL>https://towardsdatascience.com/z-test-simply-explained-80b346e0e239</b:URL>
    <b:InternetSiteTitle>Towards Data Science</b:InternetSiteTitle>
    <b:Month>03</b:Month>
    <b:Day>08</b:Day>
    <b:Author>
      <b:Author>
        <b:NameList>
          <b:Person>
            <b:Last>Howell</b:Last>
            <b:First>Egor#</b:First>
          </b:Person>
        </b:NameList>
      </b:Author>
    </b:Author>
    <b:RefOrder>979</b:RefOrder>
  </b:Source>
  <b:Source>
    <b:Tag>How69</b:Tag>
    <b:SourceType>Book</b:SourceType>
    <b:Guid>{18CF9F5A-8FDA-423C-ADA4-314ED04D6DBB}</b:Guid>
    <b:Title>The theory of buyer behavior</b:Title>
    <b:Year>1969</b:Year>
    <b:Publisher>John Wiley &amp; Sons, Inc</b:Publisher>
    <b:Author>
      <b:Author>
        <b:NameList>
          <b:Person>
            <b:Last>Howard</b:Last>
            <b:Middle>A.</b:Middle>
            <b:First>J.</b:First>
          </b:Person>
          <b:Person>
            <b:Last>Sheth</b:Last>
            <b:Middle>N.</b:Middle>
            <b:First>J.</b:First>
          </b:Person>
        </b:NameList>
      </b:Author>
    </b:Author>
    <b:RefOrder>533</b:RefOrder>
  </b:Source>
  <b:Source>
    <b:Tag>Hot19</b:Tag>
    <b:SourceType>JournalArticle</b:SourceType>
    <b:Guid>{8E8E7351-C97A-4D96-9494-01AA051FC2DC}</b:Guid>
    <b:Title>Epistemology and social work: enhancing the integration of theory, practice and research through philosophical pragmatism</b:Title>
    <b:Year>2019</b:Year>
    <b:JournalName>European Journal of Social Work</b:JournalName>
    <b:Pages> 860-870 </b:Pages>
    <b:Volume>22</b:Volume>
    <b:Issue>5</b:Issue>
    <b:YearAccessed>2023</b:YearAccessed>
    <b:MonthAccessed>08</b:MonthAccessed>
    <b:DayAccessed>04</b:DayAccessed>
    <b:DOI>https://doi-org.lsbu.idm.oclc.org/10.1080/13691457.2018.1499613</b:DOI>
    <b:Author>
      <b:Author>
        <b:NameList>
          <b:Person>
            <b:Last>Hothersall</b:Last>
            <b:Middle>J.</b:Middle>
            <b:First>Steve </b:First>
          </b:Person>
        </b:NameList>
      </b:Author>
    </b:Author>
    <b:RefOrder>743</b:RefOrder>
  </b:Source>
  <b:Source>
    <b:Tag>Hoo08</b:Tag>
    <b:SourceType>JournalArticle</b:SourceType>
    <b:Guid>{300AB382-1F96-4AE4-AE49-3AE4997AC7C2}</b:Guid>
    <b:Title>Structural Equation Modelling: Guidelines for Determining Model Fit</b:Title>
    <b:JournalName>EJBRM</b:JournalName>
    <b:Year>2008</b:Year>
    <b:Month>09</b:Month>
    <b:Day>01</b:Day>
    <b:Publisher>Academic Conferences International Limited</b:Publisher>
    <b:Volume>6</b:Volume>
    <b:Issue>1</b:Issue>
    <b:Author>
      <b:Author>
        <b:NameList>
          <b:Person>
            <b:Last>Hooper</b:Last>
            <b:First>Daire </b:First>
          </b:Person>
          <b:Person>
            <b:Last>Coughlan</b:Last>
            <b:First>Joseph </b:First>
          </b:Person>
          <b:Person>
            <b:Last>Mullen</b:Last>
            <b:Middle>R.</b:Middle>
            <b:First>Michael </b:First>
          </b:Person>
        </b:NameList>
      </b:Author>
    </b:Author>
    <b:RefOrder>941</b:RefOrder>
  </b:Source>
  <b:Source>
    <b:Tag>Hol16</b:Tag>
    <b:SourceType>InternetSite</b:SourceType>
    <b:Guid>{7B837DCA-98AC-4EC2-948E-3B2EB0CD3FEF}</b:Guid>
    <b:Title>Branding in the Age of Social Media</b:Title>
    <b:Year>2016</b:Year>
    <b:InternetSiteTitle>Harvard Business Review</b:InternetSiteTitle>
    <b:Month>03</b:Month>
    <b:URL>https://hbr.org/2016/03/branding-in-the-age-of-social-media</b:URL>
    <b:Author>
      <b:Author>
        <b:NameList>
          <b:Person>
            <b:Last>Holt</b:Last>
            <b:First>Douglas </b:First>
          </b:Person>
        </b:NameList>
      </b:Author>
    </b:Author>
    <b:YearAccessed>2022</b:YearAccessed>
    <b:MonthAccessed>10</b:MonthAccessed>
    <b:DayAccessed>09</b:DayAccessed>
    <b:RefOrder>727</b:RefOrder>
  </b:Source>
  <b:Source>
    <b:Tag>Hol11</b:Tag>
    <b:SourceType>JournalArticle</b:SourceType>
    <b:Guid>{E2771D60-D7F0-4B04-AAB9-8F940CD6B7FA}</b:Guid>
    <b:Title>An initial test of a cognitive-emotional theory of esteem support messages.</b:Title>
    <b:JournalName>Communication Research</b:JournalName>
    <b:Year>2011</b:Year>
    <b:Pages>326-355</b:Pages>
    <b:Volume>38</b:Volume>
    <b:Issue>3</b:Issue>
    <b:YearAccessed>2023</b:YearAccessed>
    <b:MonthAccessed>03</b:MonthAccessed>
    <b:DayAccessed>06</b:DayAccessed>
    <b:DOI>10.1177/0093650210376191</b:DOI>
    <b:Author>
      <b:Author>
        <b:NameList>
          <b:Person>
            <b:Last>Holmstrom</b:Last>
            <b:Middle>J.</b:Middle>
            <b:First>Amanda </b:First>
          </b:Person>
          <b:Person>
            <b:Last>Burleson</b:Last>
            <b:Middle>R.</b:Middle>
            <b:First>Brant </b:First>
          </b:Person>
        </b:NameList>
      </b:Author>
    </b:Author>
    <b:RefOrder>532</b:RefOrder>
  </b:Source>
  <b:Source>
    <b:Tag>Hog16</b:Tag>
    <b:SourceType>JournalArticle</b:SourceType>
    <b:Guid>{2E7E3D6C-1394-4D69-8970-C03C28AF2872}</b:Guid>
    <b:Title>Social identity theory.</b:Title>
    <b:JournalName>Understanding peace and conflict through social identity theory: Contemporary global perspectives</b:JournalName>
    <b:Year>2016</b:Year>
    <b:Pages>3-17</b:Pages>
    <b:Publisher>Springer International Publishing.</b:Publisher>
    <b:DOI>https://doi.org/10.1007/978-3-319-29869-6_1</b:DOI>
    <b:Author>
      <b:Author>
        <b:NameList>
          <b:Person>
            <b:Last>Hogg</b:Last>
            <b:Middle>A.</b:Middle>
            <b:First>Michael</b:First>
          </b:Person>
        </b:NameList>
      </b:Author>
    </b:Author>
    <b:RefOrder>524</b:RefOrder>
  </b:Source>
  <b:Source>
    <b:Tag>Hof22</b:Tag>
    <b:SourceType>InternetSite</b:SourceType>
    <b:Guid>{30D1A20C-5467-4597-9206-6B357978EBCF}</b:Guid>
    <b:Year>2022</b:Year>
    <b:InternetSiteTitle>Hofstede Insights Compare Countries</b:InternetSiteTitle>
    <b:URL>https://www.hofstede-insights.com/product/compare-countries/</b:URL>
    <b:Author>
      <b:Author>
        <b:NameList>
          <b:Person>
            <b:Last>Hofstede Insights </b:Last>
          </b:Person>
        </b:NameList>
      </b:Author>
    </b:Author>
    <b:RefOrder>1226</b:RefOrder>
  </b:Source>
  <b:Source>
    <b:Tag>Hoe16</b:Tag>
    <b:SourceType>JournalArticle</b:SourceType>
    <b:Guid>{7C535761-9CA0-4B63-99E0-905B57AF9153}</b:Guid>
    <b:Title>A rhetorical model of institutional decision making/: The role of rhetoric in the formation and change of legitimacy judgments</b:Title>
    <b:JournalName>The Academy of Management Review</b:JournalName>
    <b:Year>2016</b:Year>
    <b:Pages>130-150</b:Pages>
    <b:Author>
      <b:Author>
        <b:NameList>
          <b:Person>
            <b:Last>Hoefer</b:Last>
            <b:Middle>L.</b:Middle>
            <b:First>Rolf</b:First>
          </b:Person>
          <b:Person>
            <b:Last>Green</b:Last>
            <b:Middle>E.</b:Middle>
            <b:First>Sandy </b:First>
          </b:Person>
        </b:NameList>
      </b:Author>
      <b:Editor>
        <b:NameList>
          <b:Person>
            <b:Last>JSTOR</b:Last>
          </b:Person>
        </b:NameList>
      </b:Editor>
    </b:Author>
    <b:Month>01</b:Month>
    <b:Volume>41</b:Volume>
    <b:Issue>01</b:Issue>
    <b:YearAccessed>2022</b:YearAccessed>
    <b:MonthAccessed>10</b:MonthAccessed>
    <b:DayAccessed>01</b:DayAccessed>
    <b:URL>https://www.jstor.org/stable/43699322</b:URL>
    <b:RefOrder>1227</b:RefOrder>
  </b:Source>
  <b:Source>
    <b:Tag>Hil17</b:Tag>
    <b:SourceType>JournalArticle</b:SourceType>
    <b:Guid>{53DF48D8-DAF8-4F4B-B4A1-F24E64AABE21}</b:Guid>
    <b:Title>Parallel-Forms Reliability</b:Title>
    <b:JournalName>Encyclopedia of Personality and Individual Differences</b:JournalName>
    <b:Year>2017</b:Year>
    <b:Pages>1-3</b:Pages>
    <b:Month>03</b:Month>
    <b:Day>25</b:Day>
    <b:Publisher>Springer, Cham</b:Publisher>
    <b:YearAccessed>2023</b:YearAccessed>
    <b:MonthAccessed>02</b:MonthAccessed>
    <b:DayAccessed>11</b:DayAccessed>
    <b:DOI>https://doi.org/10.1007/978-3-319-28099-8_1337-1</b:DOI>
    <b:Author>
      <b:Author>
        <b:NameList>
          <b:Person>
            <b:Last>Hilger</b:Last>
            <b:First>Norbert </b:First>
          </b:Person>
          <b:Person>
            <b:Last>Beauducel </b:Last>
            <b:First>André </b:First>
          </b:Person>
        </b:NameList>
      </b:Author>
    </b:Author>
    <b:RefOrder>767</b:RefOrder>
  </b:Source>
  <b:Source>
    <b:Tag>Hew12</b:Tag>
    <b:SourceType>JournalArticle</b:SourceType>
    <b:Guid>{D09B2F54-6354-46E6-AE69-E6813FD79CD3}</b:Guid>
    <b:Title>Factors Affecting Continuous Purchase Intention of Fashion Products on Social E-commerce: SOR Model and the Mediating Effect</b:Title>
    <b:JournalName>Entertainment Computing</b:JournalName>
    <b:Year>2021</b:Year>
    <b:Month>12</b:Month>
    <b:Volume>41</b:Volume>
    <b:Issue>4</b:Issue>
    <b:YearAccessed>2023</b:YearAccessed>
    <b:MonthAccessed>06</b:MonthAccessed>
    <b:DayAccessed>08</b:DayAccessed>
    <b:DOI>10.1016/j.entcom.2021.100474</b:DOI>
    <b:Author>
      <b:Author>
        <b:NameList>
          <b:Person>
            <b:Last>Hewei</b:Last>
            <b:First>Tian</b:First>
          </b:Person>
          <b:Person>
            <b:Last>Youngsook</b:Last>
            <b:First>Lee </b:First>
          </b:Person>
        </b:NameList>
      </b:Author>
    </b:Author>
    <b:RefOrder>642</b:RefOrder>
  </b:Source>
  <b:Source>
    <b:Tag>Heo21</b:Tag>
    <b:SourceType>JournalArticle</b:SourceType>
    <b:Guid>{1560568C-684A-4BA1-B664-8439E6EA3F7D}</b:Guid>
    <b:Title>Feeling Connected to the Cause: The Role of Perceived Social Distance on Cause Involvement and Consumer Response to CSR Communication</b:Title>
    <b:JournalName>Journalism &amp; Mass Communication Quarterly</b:JournalName>
    <b:Year>2021</b:Year>
    <b:Pages>213–236</b:Pages>
    <b:Author>
      <b:Author>
        <b:NameList>
          <b:Person>
            <b:Last>Heo</b:Last>
            <b:First>Yujin </b:First>
          </b:Person>
          <b:Person>
            <b:Last>Choi</b:Last>
            <b:First>Chang-Won </b:First>
          </b:Person>
          <b:Person>
            <b:Last>Overton</b:Last>
            <b:First>Holly </b:First>
          </b:Person>
          <b:Person>
            <b:Last>Kim</b:Last>
            <b:Middle>K.</b:Middle>
            <b:First>Joon </b:First>
          </b:Person>
          <b:Person>
            <b:Last>Zhang</b:Last>
            <b:First>Nanlan </b:First>
          </b:Person>
        </b:NameList>
      </b:Author>
    </b:Author>
    <b:Month>09</b:Month>
    <b:Day>22</b:Day>
    <b:Volume>99</b:Volume>
    <b:Issue>1</b:Issue>
    <b:YearAccessed>2023</b:YearAccessed>
    <b:MonthAccessed>08</b:MonthAccessed>
    <b:DayAccessed>19</b:DayAccessed>
    <b:DOI> https://doi-org.lsbu.idm.oclc.org/10.1177/10776990211041546</b:DOI>
    <b:RefOrder>191</b:RefOrder>
  </b:Source>
  <b:Source>
    <b:Tag>Hen22</b:Tag>
    <b:SourceType>JournalArticle</b:SourceType>
    <b:Guid>{408EC472-195A-4D24-BD19-CF2A1371A476}</b:Guid>
    <b:Title>Sample sizes for saturation in qualitative research: A systematic review of empirical tests</b:Title>
    <b:JournalName>Social Science &amp; Medicine</b:JournalName>
    <b:Year>2022</b:Year>
    <b:Month>01</b:Month>
    <b:Volume>292</b:Volume>
    <b:YearAccessed>2023</b:YearAccessed>
    <b:MonthAccessed>04</b:MonthAccessed>
    <b:DayAccessed>01</b:DayAccessed>
    <b:DOI>https://doi.org/10.1016/j.socscimed.2021.114523</b:DOI>
    <b:Author>
      <b:Author>
        <b:NameList>
          <b:Person>
            <b:Last>Hennink</b:Last>
            <b:First>Monique </b:First>
          </b:Person>
          <b:Person>
            <b:Last>Kaiser</b:Last>
            <b:Middle>N.</b:Middle>
            <b:First>Bonnie</b:First>
          </b:Person>
        </b:NameList>
      </b:Author>
    </b:Author>
    <b:RefOrder>1019</b:RefOrder>
  </b:Source>
  <b:Source>
    <b:Tag>Hen17</b:Tag>
    <b:SourceType>JournalArticle</b:SourceType>
    <b:Guid>{4AB989F3-990F-4EA3-8860-D0AB02597311}</b:Guid>
    <b:Title>Code Saturation Versus Meaning Saturation: How Many Interviews Are Enough?</b:Title>
    <b:JournalName>Qualitative Health Research</b:JournalName>
    <b:Year>2017</b:Year>
    <b:Pages>591-608</b:Pages>
    <b:YearAccessed>2023</b:YearAccessed>
    <b:MonthAccessed>04</b:MonthAccessed>
    <b:DayAccessed>01</b:DayAccessed>
    <b:DOI>10.1177/1049732316665344</b:DOI>
    <b:Author>
      <b:Author>
        <b:NameList>
          <b:Person>
            <b:Last>Hennink</b:Last>
            <b:Middle>M.</b:Middle>
            <b:First>Monique </b:First>
          </b:Person>
          <b:Person>
            <b:Last>Kaiser</b:Last>
            <b:Middle>N.</b:Middle>
            <b:First>Bonnie</b:First>
          </b:Person>
          <b:Person>
            <b:Last>Marconi</b:Last>
            <b:Middle>C.</b:Middle>
            <b:First>Vincent </b:First>
          </b:Person>
        </b:NameList>
      </b:Author>
    </b:Author>
    <b:RefOrder>1009</b:RefOrder>
  </b:Source>
  <b:Source>
    <b:Tag>HeX17</b:Tag>
    <b:SourceType>JournalArticle</b:SourceType>
    <b:Guid>{41DCD7B7-7907-4045-95C2-828C28B5B150}</b:Guid>
    <b:Title>Are Online and Offline Advertising Substitutes or Complements? Evidence from U.S. Food Industries</b:Title>
    <b:JournalName>Journal of Agricultural &amp; Food Industrial Organization</b:JournalName>
    <b:Year>2017</b:Year>
    <b:Volume>15</b:Volume>
    <b:Issue>2</b:Issue>
    <b:Month>12</b:Month>
    <b:YearAccessed>2022</b:YearAccessed>
    <b:MonthAccessed>01</b:MonthAccessed>
    <b:DayAccessed>23</b:DayAccessed>
    <b:DOI>10.1515/jafio-2017-0031</b:DOI>
    <b:Author>
      <b:Author>
        <b:NameList>
          <b:Person>
            <b:Last>He</b:Last>
            <b:First>Xi</b:First>
          </b:Person>
          <b:Person>
            <b:Last>Lopez</b:Last>
            <b:Middle>A</b:Middle>
            <b:First>Rigoberto </b:First>
          </b:Person>
          <b:Person>
            <b:Last>Liu</b:Last>
            <b:First>Yizao</b:First>
          </b:Person>
        </b:NameList>
      </b:Author>
    </b:Author>
    <b:RefOrder>1228</b:RefOrder>
  </b:Source>
  <b:Source>
    <b:Tag>HeS21</b:Tag>
    <b:SourceType>JournalArticle</b:SourceType>
    <b:Guid>{B20F4E5B-24C3-4A3E-97BA-44C54C1E409F}</b:Guid>
    <b:Title>Conceptualizing and measuring pathways for how object attachment affects willingness to pay (WTP)</b:Title>
    <b:JournalName>Current Opinion in Psychology</b:JournalName>
    <b:Year>2021</b:Year>
    <b:Pages>121-124</b:Pages>
    <b:Author>
      <b:Author>
        <b:NameList>
          <b:Person>
            <b:Last>He</b:Last>
            <b:First>Sharlene</b:First>
          </b:Person>
          <b:Person>
            <b:Last>Anderson</b:Last>
            <b:Middle>T.</b:Middle>
            <b:First>Eric</b:First>
          </b:Person>
        </b:NameList>
      </b:Author>
    </b:Author>
    <b:Month>06</b:Month>
    <b:Volume>39</b:Volume>
    <b:YearAccessed>2022</b:YearAccessed>
    <b:MonthAccessed>04</b:MonthAccessed>
    <b:DayAccessed>07</b:DayAccessed>
    <b:DOI>https://doi.org/10.1016/j.copsyc.2020.09.008</b:DOI>
    <b:RefOrder>1229</b:RefOrder>
  </b:Source>
  <b:Source>
    <b:Tag>HeQ18</b:Tag>
    <b:SourceType>JournalArticle</b:SourceType>
    <b:Guid>{CB88FA12-A273-4F7F-8549-7892668F9941}</b:Guid>
    <b:Title>The Impact of Advertising Appeals on Purchase Intention in Social Media Environment——Analysis of Intermediary</b:Title>
    <b:JournalName>Journal of Business Administration Research</b:JournalName>
    <b:Year>2018</b:Year>
    <b:Author>
      <b:Author>
        <b:NameList>
          <b:Person>
            <b:Last>He</b:Last>
            <b:First>Qian</b:First>
          </b:Person>
          <b:Person>
            <b:Last>Qu</b:Last>
            <b:First>Hongjian</b:First>
          </b:Person>
        </b:NameList>
      </b:Author>
    </b:Author>
    <b:Month>06</b:Month>
    <b:Day>14</b:Day>
    <b:Volume>7</b:Volume>
    <b:Issue>2</b:Issue>
    <b:YearAccessed>2023</b:YearAccessed>
    <b:MonthAccessed>03</b:MonthAccessed>
    <b:DayAccessed>17</b:DayAccessed>
    <b:DOI>https://doi.org/10.5430/jbar.v7n2p17</b:DOI>
    <b:RefOrder>592</b:RefOrder>
  </b:Source>
  <b:Source>
    <b:Tag>Hay19</b:Tag>
    <b:SourceType>JournalArticle</b:SourceType>
    <b:Guid>{3650AEA1-19EA-45B1-8F8A-8C9AE0BBED19}</b:Guid>
    <b:Title>Validity in Qualitative Research: A Processual Approach</b:Title>
    <b:Year>2019</b:Year>
    <b:Pages>98-112</b:Pages>
    <b:JournalName>The Qualitative Report</b:JournalName>
    <b:Month>01</b:Month>
    <b:Volume>24</b:Volume>
    <b:Issue>1</b:Issue>
    <b:YearAccessed>2022</b:YearAccessed>
    <b:MonthAccessed>11</b:MonthAccessed>
    <b:DayAccessed>08</b:DayAccessed>
    <b:DOI>10.46743/2160-3715/2019.3443</b:DOI>
    <b:Author>
      <b:Author>
        <b:NameList>
          <b:Person>
            <b:Last>Hayashi</b:Last>
            <b:First>Paulo, Jr</b:First>
          </b:Person>
          <b:Person>
            <b:Last>Abib</b:Last>
            <b:First>Gustavo</b:First>
          </b:Person>
          <b:Person>
            <b:Last>Hoppen</b:Last>
            <b:First>Norberto</b:First>
          </b:Person>
        </b:NameList>
      </b:Author>
    </b:Author>
    <b:RefOrder>895</b:RefOrder>
  </b:Source>
  <b:Source>
    <b:Tag>Cau84</b:Tag>
    <b:SourceType>JournalArticle</b:SourceType>
    <b:Guid>{2553FD7D-D39D-4861-8CC3-5B1BF941B088}</b:Guid>
    <b:Title>Causes and effects of causal attribution.</b:Title>
    <b:JournalName>Journal of Personality and Social Psychology</b:JournalName>
    <b:Year>1984</b:Year>
    <b:Pages>44-56</b:Pages>
    <b:Volume>46</b:Volume>
    <b:Issue>1</b:Issue>
    <b:YearAccessed>2022</b:YearAccessed>
    <b:MonthAccessed>11</b:MonthAccessed>
    <b:DayAccessed>20</b:DayAccessed>
    <b:DOI>https://doi.org/10.1037/0022-3514.46.1.44</b:DOI>
    <b:Author>
      <b:Author>
        <b:NameList>
          <b:Person>
            <b:Last>Hastie</b:Last>
            <b:First> Reid</b:First>
          </b:Person>
        </b:NameList>
      </b:Author>
    </b:Author>
    <b:RefOrder>1230</b:RefOrder>
  </b:Source>
  <b:Source>
    <b:Tag>Has11</b:Tag>
    <b:SourceType>JournalArticle</b:SourceType>
    <b:Guid>{05F28ABD-E7C7-4C4E-A5DF-785A76AAB0E5}</b:Guid>
    <b:Title>Deception by Implication: A Typology of Truthful but Misleading Advertising and Labeling Claims</b:Title>
    <b:Year>2011</b:Year>
    <b:JournalName>Journal of Public Policy &amp; Marketing</b:JournalName>
    <b:Volume>30</b:Volume>
    <b:Issue>2</b:Issue>
    <b:Month>09</b:Month>
    <b:Day>01</b:Day>
    <b:YearAccessed>2022</b:YearAccessed>
    <b:MonthAccessed>01</b:MonthAccessed>
    <b:DayAccessed>19</b:DayAccessed>
    <b:URL>https://doi.org/10.1509/jppm.30.2.157</b:URL>
    <b:Author>
      <b:Author>
        <b:NameList>
          <b:Person>
            <b:Last>Hastak</b:Last>
            <b:First>Manoj</b:First>
          </b:Person>
          <b:Person>
            <b:Last>Mazis</b:Last>
            <b:Middle>B</b:Middle>
            <b:First>Michael</b:First>
          </b:Person>
        </b:NameList>
      </b:Author>
    </b:Author>
    <b:RefOrder>1231</b:RefOrder>
  </b:Source>
  <b:Source>
    <b:Tag>Has21</b:Tag>
    <b:SourceType>JournalArticle</b:SourceType>
    <b:Guid>{9181E883-D799-4C68-BEA4-DEF12354B237}</b:Guid>
    <b:Title>The Insertion of Syrian Refugees in the Egyptian Labor Market: with Special Focus on Food and Resturants Sector</b:Title>
    <b:Year>2021</b:Year>
    <b:Month>06</b:Month>
    <b:URL>https://fount.aucegypt.edu/cgi/viewcontent.cgi?article=2658&amp;context=etds</b:URL>
    <b:JournalName>AUC knowledge Fountain</b:JournalName>
    <b:YearAccessed>2022</b:YearAccessed>
    <b:MonthAccessed>03</b:MonthAccessed>
    <b:DayAccessed>01</b:DayAccessed>
    <b:Author>
      <b:Author>
        <b:NameList>
          <b:Person>
            <b:Last>Hassan</b:Last>
            <b:Middle>Ali</b:Middle>
            <b:First>Mai</b:First>
          </b:Person>
        </b:NameList>
      </b:Author>
    </b:Author>
    <b:RefOrder>213</b:RefOrder>
  </b:Source>
  <b:Source>
    <b:Tag>Har041</b:Tag>
    <b:SourceType>JournalArticle</b:SourceType>
    <b:Guid>{AC1F3B14-B91D-41C7-8EA5-4C5897540109}</b:Guid>
    <b:Title>The four levels of loyalty and the pivotal role of trust: a study of online service dynamics</b:Title>
    <b:JournalName>Journal of Retailing</b:JournalName>
    <b:Year>2004</b:Year>
    <b:Pages>139-158</b:Pages>
    <b:Publisher>Elsevier Inc.</b:Publisher>
    <b:Volume>80</b:Volume>
    <b:Issue>02</b:Issue>
    <b:YearAccessed>2022</b:YearAccessed>
    <b:MonthAccessed>11</b:MonthAccessed>
    <b:DayAccessed>11</b:DayAccessed>
    <b:DOI>10.1016/j.jretai.2004.04.002</b:DOI>
    <b:Author>
      <b:Author>
        <b:NameList>
          <b:Person>
            <b:Last>Harris</b:Last>
            <b:Middle>C.</b:Middle>
            <b:First>Lloyd</b:First>
          </b:Person>
          <b:Person>
            <b:Last>Goode</b:Last>
            <b:Middle>M. H.</b:Middle>
            <b:First>Mark</b:First>
          </b:Person>
        </b:NameList>
      </b:Author>
    </b:Author>
    <b:RefOrder>835</b:RefOrder>
  </b:Source>
  <b:Source>
    <b:Tag>Har04</b:Tag>
    <b:SourceType>JournalArticle</b:SourceType>
    <b:Guid>{753E8BDD-18C0-4BDF-B59B-CA406979588B}</b:Guid>
    <b:Title>The four levels of loyalty and the pivotal role of trust: a study of online service dynamics</b:Title>
    <b:JournalName>Journal of Retailing</b:JournalName>
    <b:Year>2004</b:Year>
    <b:Pages>139-158</b:Pages>
    <b:Author>
      <b:Author>
        <b:NameList>
          <b:Person>
            <b:Last>Harris</b:Last>
            <b:Middle>C</b:Middle>
            <b:First>Lloyd</b:First>
          </b:Person>
          <b:Person>
            <b:Last>Goode</b:Last>
            <b:Middle>M. H</b:Middle>
            <b:First>Mark</b:First>
          </b:Person>
        </b:NameList>
      </b:Author>
    </b:Author>
    <b:Volume>80</b:Volume>
    <b:Issue>02</b:Issue>
    <b:YearAccessed>2022</b:YearAccessed>
    <b:MonthAccessed>06</b:MonthAccessed>
    <b:DayAccessed>13</b:DayAccessed>
    <b:DOI>https://doi.org/10.1016/j.jretai.2004.04.002</b:DOI>
    <b:RefOrder>1232</b:RefOrder>
  </b:Source>
  <b:Source>
    <b:Tag>Har17</b:Tag>
    <b:SourceType>JournalArticle</b:SourceType>
    <b:Guid>{BB63BA43-AAC2-42CF-BADA-9F6E6CF1FE77}</b:Guid>
    <b:Title>Customer engagement with tourism social media brands”, Tourism Management</b:Title>
    <b:JournalName>Tourism Management</b:JournalName>
    <b:Year>2017</b:Year>
    <b:Pages>597-609</b:Pages>
    <b:Author>
      <b:Author>
        <b:NameList>
          <b:Person>
            <b:Last>Harrigan</b:Last>
            <b:First>Paul</b:First>
          </b:Person>
          <b:Person>
            <b:Last>Evers</b:Last>
            <b:First>Uwana </b:First>
          </b:Person>
          <b:Person>
            <b:Last>Miles</b:Last>
            <b:First>Morgan</b:First>
          </b:Person>
          <b:Person>
            <b:Last>Daly</b:Last>
            <b:First>Timothy </b:First>
          </b:Person>
        </b:NameList>
      </b:Author>
    </b:Author>
    <b:Month>04</b:Month>
    <b:Volume>59</b:Volume>
    <b:YearAccessed>2023</b:YearAccessed>
    <b:MonthAccessed>07</b:MonthAccessed>
    <b:DayAccessed>29</b:DayAccessed>
    <b:DOI>https://doi.org/10.1016/j.tourman.2016.09.015</b:DOI>
    <b:RefOrder>1233</b:RefOrder>
  </b:Source>
  <b:Source>
    <b:Tag>Haq16</b:Tag>
    <b:SourceType>JournalArticle</b:SourceType>
    <b:Guid>{A1C775D9-F964-4C18-B2E5-130DE42DB13C}</b:Guid>
    <b:Title>Indirect impact of hedonic consumption and emotions on Impulse Purchase Behavior: A Double Mediation Model</b:Title>
    <b:JournalName>Journal of Management Sciences</b:JournalName>
    <b:Year>2016</b:Year>
    <b:Pages>108-122</b:Pages>
    <b:Volume>3</b:Volume>
    <b:Issue>2</b:Issue>
    <b:YearAccessed>2023</b:YearAccessed>
    <b:MonthAccessed>02</b:MonthAccessed>
    <b:DayAccessed>28</b:DayAccessed>
    <b:DOI>10.20547/jms.2014.1603202</b:DOI>
    <b:Author>
      <b:Author>
        <b:NameList>
          <b:Person>
            <b:Last>Haq</b:Last>
            <b:Middle>A.</b:Middle>
            <b:First>Mirza </b:First>
          </b:Person>
          <b:Person>
            <b:Last>Abbasi</b:Last>
            <b:First>Salman </b:First>
          </b:Person>
        </b:NameList>
      </b:Author>
    </b:Author>
    <b:RefOrder>529</b:RefOrder>
  </b:Source>
  <b:Source>
    <b:Tag>Han18</b:Tag>
    <b:SourceType>JournalArticle</b:SourceType>
    <b:Guid>{060CAD11-5999-4A57-92D4-2EB09B4697E0}</b:Guid>
    <b:Title>The value of empirical generalizations in marketing</b:Title>
    <b:JournalName>Journal of the Academy of Marketing Science</b:JournalName>
    <b:Year>2018</b:Year>
    <b:Month>01</b:Month>
    <b:Publisher>46</b:Publisher>
    <b:Volume>8</b:Volume>
    <b:YearAccessed>2023</b:YearAccessed>
    <b:MonthAccessed>02</b:MonthAccessed>
    <b:DayAccessed>22</b:DayAccessed>
    <b:DOI>https://doi.org/10.1007/s11747-017-0567-0</b:DOI>
    <b:Author>
      <b:Author>
        <b:NameList>
          <b:Person>
            <b:Last>Hanssens</b:Last>
            <b:Middle>M.</b:Middle>
            <b:First>Dominique </b:First>
          </b:Person>
        </b:NameList>
      </b:Author>
    </b:Author>
    <b:RefOrder>437</b:RefOrder>
  </b:Source>
  <b:Source>
    <b:Tag>Han05</b:Tag>
    <b:SourceType>JournalArticle</b:SourceType>
    <b:Guid>{C9F0937E-1B21-4552-98D4-19230A8A5008}</b:Guid>
    <b:Title>Market response models and marketing practice</b:Title>
    <b:JournalName>Applied Stochastic Models in Business and Industry</b:JournalName>
    <b:Year>2005</b:Year>
    <b:Pages>423-434</b:Pages>
    <b:Month>07</b:Month>
    <b:Volume>21</b:Volume>
    <b:Issue>4-5</b:Issue>
    <b:YearAccessed>2022</b:YearAccessed>
    <b:MonthAccessed>01</b:MonthAccessed>
    <b:DayAccessed>24</b:DayAccessed>
    <b:DOI>10.1002/asmb.584</b:DOI>
    <b:Author>
      <b:Author>
        <b:NameList>
          <b:Person>
            <b:Last>Hanssens</b:Last>
            <b:First>Dominique</b:First>
          </b:Person>
          <b:Person>
            <b:Last>Leeflang</b:Last>
            <b:Middle>S.H.</b:Middle>
            <b:First>Peter </b:First>
          </b:Person>
          <b:Person>
            <b:Last>Wittink</b:Last>
            <b:Middle>R</b:Middle>
            <b:First>Dick</b:First>
          </b:Person>
        </b:NameList>
      </b:Author>
    </b:Author>
    <b:RefOrder>157</b:RefOrder>
  </b:Source>
  <b:Source>
    <b:Tag>Han04</b:Tag>
    <b:SourceType>JournalArticle</b:SourceType>
    <b:Guid>{8B0852C4-F17D-477B-A249-9FC7970B4438}</b:Guid>
    <b:Title>Predicting online grocery buying intention: a comparison of the theory of reasoned action and the theory of planned behavior</b:Title>
    <b:JournalName>International Journal of Information Management</b:JournalName>
    <b:Year>2004</b:Year>
    <b:Pages>539-550</b:Pages>
    <b:Publisher>Elsevier Ltd</b:Publisher>
    <b:Volume>24</b:Volume>
    <b:YearAccessed>2023</b:YearAccessed>
    <b:MonthAccessed>03</b:MonthAccessed>
    <b:DayAccessed>04</b:DayAccessed>
    <b:DOI>10.1016/j.ijinfomgt.2004.08.004</b:DOI>
    <b:Author>
      <b:Author>
        <b:NameList>
          <b:Person>
            <b:Last>Hansen</b:Last>
            <b:First>Torben </b:First>
          </b:Person>
          <b:Person>
            <b:Last>Jensen</b:Last>
            <b:Middle>Møller </b:Middle>
            <b:First>Jan </b:First>
          </b:Person>
          <b:Person>
            <b:Last>Solgaard</b:Last>
            <b:First>Hans</b:First>
          </b:Person>
        </b:NameList>
      </b:Author>
    </b:Author>
    <b:RefOrder>572</b:RefOrder>
  </b:Source>
  <b:Source>
    <b:Tag>Han17</b:Tag>
    <b:SourceType>JournalArticle</b:SourceType>
    <b:Guid>{E80F2B5A-0D77-4E0D-87A5-9127642528E4}</b:Guid>
    <b:Title>Consumer Attitudes Toward Advertisement and Brand, Based on the Number of Endorsers and Product Involvement: An Experimental Study</b:Title>
    <b:JournalName>International Journal of Business</b:JournalName>
    <b:Year>2017</b:Year>
    <b:Author>
      <b:Author>
        <b:NameList>
          <b:Person>
            <b:Last>Handriana </b:Last>
            <b:First>Tanti</b:First>
          </b:Person>
          <b:Person>
            <b:Last>Wisandiko</b:Last>
            <b:Middle>Rahman </b:Middle>
            <b:First>Wahyu </b:First>
          </b:Person>
        </b:NameList>
      </b:Author>
    </b:Author>
    <b:Month>12</b:Month>
    <b:Day>22</b:Day>
    <b:Volume>19</b:Volume>
    <b:Issue>03</b:Issue>
    <b:YearAccessed>2022</b:YearAccessed>
    <b:MonthAccessed>06</b:MonthAccessed>
    <b:DayAccessed>10</b:DayAccessed>
    <b:DOI>10.22146/gamaijb.18338</b:DOI>
    <b:RefOrder>1234</b:RefOrder>
  </b:Source>
  <b:Source>
    <b:Tag>Ham22</b:Tag>
    <b:SourceType>JournalArticle</b:SourceType>
    <b:Guid>{3E39528F-769B-4DB7-AA7F-FA90A54E3E2A}</b:Guid>
    <b:Title>Cultural capital, self-determination theory, and cigarette warning labels in Egypt: a social marketing empirical study</b:Title>
    <b:Year>2022</b:Year>
    <b:Publisher>University of Huddersfield</b:Publisher>
    <b:URL>https://ethos.bl.uk/OrderDetails.do?uin=uk.bl.ethos.877620</b:URL>
    <b:Author>
      <b:Author>
        <b:NameList>
          <b:Person>
            <b:Last>Hamzawi</b:Last>
            <b:First>Shorouk</b:First>
          </b:Person>
        </b:NameList>
      </b:Author>
    </b:Author>
    <b:YearAccessed>2023</b:YearAccessed>
    <b:MonthAccessed>08</b:MonthAccessed>
    <b:DayAccessed>15</b:DayAccessed>
    <b:RefOrder>69</b:RefOrder>
  </b:Source>
  <b:Source>
    <b:Tag>Ham14</b:Tag>
    <b:SourceType>JournalArticle</b:SourceType>
    <b:Guid>{92839EDE-9E63-4C67-8D9C-825B461591B5}</b:Guid>
    <b:Title>Antecedents and consequences of consumers’ attitudinal dispositions toward cause-related marketing in Egypt</b:Title>
    <b:JournalName>Journal of Islamic Marketing</b:JournalName>
    <b:Year>2014</b:Year>
    <b:Pages>414-445</b:Pages>
    <b:Volume>5</b:Volume>
    <b:Issue>3</b:Issue>
    <b:YearAccessed>2022</b:YearAccessed>
    <b:MonthAccessed>01</b:MonthAccessed>
    <b:DayAccessed>29</b:DayAccessed>
    <b:DOI>10.1108/JIMA-10-2013-0076</b:DOI>
    <b:Author>
      <b:Author>
        <b:NameList>
          <b:Person>
            <b:Last>Hammad</b:Last>
            <b:First>Hadeer</b:First>
          </b:Person>
          <b:Person>
            <b:Last>El-Bassiouny</b:Last>
            <b:First>Noha</b:First>
          </b:Person>
          <b:Person>
            <b:Last>Pallab</b:Last>
            <b:First>Paul</b:First>
          </b:Person>
          <b:Person>
            <b:Last>Mukhopadhyay</b:Last>
            <b:First>Kausiki</b:First>
          </b:Person>
        </b:NameList>
      </b:Author>
    </b:Author>
    <b:RefOrder>209</b:RefOrder>
  </b:Source>
  <b:Source>
    <b:Tag>Ham20</b:Tag>
    <b:SourceType>JournalArticle</b:SourceType>
    <b:Guid>{4BD825C9-9DE0-40AF-92C3-26A796750282}</b:Guid>
    <b:Title>Rigor in Qualitative Methods: An Evaluation of Strategies Among Underrepresented Rural Communities</b:Title>
    <b:JournalName>Qualitative Health Research </b:JournalName>
    <b:Year>2020</b:Year>
    <b:Pages>196-204</b:Pages>
    <b:Author>
      <b:Author>
        <b:NameList>
          <b:Person>
            <b:Last>Hamilton</b:Last>
            <b:Middle>B.</b:Middle>
            <b:First>Jill </b:First>
          </b:Person>
        </b:NameList>
      </b:Author>
    </b:Author>
    <b:Month>01</b:Month>
    <b:Volume>30</b:Volume>
    <b:Issue>02</b:Issue>
    <b:YearAccessed>2022</b:YearAccessed>
    <b:MonthAccessed>11</b:MonthAccessed>
    <b:DayAccessed>08</b:DayAccessed>
    <b:DOI>10.1177/1049732319860267</b:DOI>
    <b:RefOrder>898</b:RefOrder>
  </b:Source>
  <b:Source>
    <b:Tag>Ham202</b:Tag>
    <b:SourceType>JournalArticle</b:SourceType>
    <b:Guid>{D3C1C827-0B3E-450F-8E31-AD6B5DC50A79}</b:Guid>
    <b:Title>The effects of CSR communication in corporate crises: Examining the role of dispositional and situational CSR skepticism in context</b:Title>
    <b:JournalName>Public Relations Review</b:JournalName>
    <b:Year>2020</b:Year>
    <b:Author>
      <b:Author>
        <b:NameList>
          <b:Person>
            <b:Last>Ham</b:Last>
            <b:First>Chang-Dae </b:First>
          </b:Person>
          <b:Person>
            <b:Last>Kim</b:Last>
            <b:First>Jeesun </b:First>
          </b:Person>
        </b:NameList>
      </b:Author>
    </b:Author>
    <b:Month>06</b:Month>
    <b:Volume>46</b:Volume>
    <b:Issue>2</b:Issue>
    <b:YearAccessed>2023</b:YearAccessed>
    <b:MonthAccessed>02</b:MonthAccessed>
    <b:DayAccessed>27</b:DayAccessed>
    <b:DOI>https://doi.org/10.1016/j.pubrev.2019.05.013</b:DOI>
    <b:RefOrder>372</b:RefOrder>
  </b:Source>
  <b:Source>
    <b:Tag>Ham201</b:Tag>
    <b:SourceType>JournalArticle</b:SourceType>
    <b:Guid>{849A253B-A060-4970-9D89-3D70F1BFF11F}</b:Guid>
    <b:Title>The effects of CSR communication in corporate crises: Examining the role of dispositional and situational CSR skepticism in context</b:Title>
    <b:JournalName>Public Relations Review</b:JournalName>
    <b:Year>2020</b:Year>
    <b:Author>
      <b:Author>
        <b:NameList>
          <b:Person>
            <b:Last>Ham</b:Last>
            <b:First>Chang-Dae</b:First>
          </b:Person>
          <b:Person>
            <b:Last>Kim</b:Last>
            <b:First>Jeesun</b:First>
          </b:Person>
        </b:NameList>
      </b:Author>
    </b:Author>
    <b:Month>06</b:Month>
    <b:Volume>46</b:Volume>
    <b:Issue>2</b:Issue>
    <b:YearAccessed>2022</b:YearAccessed>
    <b:MonthAccessed>11</b:MonthAccessed>
    <b:DayAccessed>20</b:DayAccessed>
    <b:DOI>https://doi.org/10.1016/j.pubrev.2019.05.013</b:DOI>
    <b:RefOrder>1235</b:RefOrder>
  </b:Source>
  <b:Source>
    <b:Tag>Hal19</b:Tag>
    <b:SourceType>JournalArticle</b:SourceType>
    <b:Guid>{2DA411A2-D60F-462F-937D-4993F1EB42EF}</b:Guid>
    <b:Title>Towards a conceptual understanding of sustainability-driven entrepreneurship</b:Title>
    <b:JournalName>Corporate Social Responsibility and Environmental Management</b:JournalName>
    <b:Year>2019</b:Year>
    <b:Pages>1157-1170</b:Pages>
    <b:Month>12</b:Month>
    <b:Volume>26</b:Volume>
    <b:Issue>6</b:Issue>
    <b:YearAccessed>2023</b:YearAccessed>
    <b:MonthAccessed>05</b:MonthAccessed>
    <b:DayAccessed>14</b:DayAccessed>
    <b:DOI>https://doi.org/10.1002/csr.1763</b:DOI>
    <b:Author>
      <b:Author>
        <b:NameList>
          <b:Person>
            <b:Last>Haldar</b:Last>
            <b:First>Stuti</b:First>
          </b:Person>
        </b:NameList>
      </b:Author>
    </b:Author>
    <b:RefOrder>8</b:RefOrder>
  </b:Source>
  <b:Source>
    <b:Tag>Hai21</b:Tag>
    <b:SourceType>Book</b:SourceType>
    <b:Guid>{B23D8240-45F0-4AA4-96D6-B793428289DD}</b:Guid>
    <b:Title>Partial Least Squares Structural Equation Modeling (PLS-SEM) Using R</b:Title>
    <b:Year>2021</b:Year>
    <b:Publisher>Springer Nature</b:Publisher>
    <b:YearAccessed>2022</b:YearAccessed>
    <b:MonthAccessed>12</b:MonthAccessed>
    <b:DayAccessed>23</b:DayAccessed>
    <b:URL>https://library.oapen.org/handle/20.500.12657/51463</b:URL>
    <b:DOI>10.1007/978-3-030-80519-7</b:DOI>
    <b:Author>
      <b:Author>
        <b:NameList>
          <b:Person>
            <b:Last>Hair Jr.</b:Last>
            <b:Middle>F.</b:Middle>
            <b:First>Joseph </b:First>
          </b:Person>
          <b:Person>
            <b:Last>Hult</b:Last>
            <b:Middle>M. G.</b:Middle>
            <b:First> Tomas </b:First>
          </b:Person>
          <b:Person>
            <b:Last>Ringle</b:Last>
            <b:Middle>M</b:Middle>
            <b:First>Christian </b:First>
          </b:Person>
          <b:Person>
            <b:Last>Sarstedt</b:Last>
            <b:First>Marko</b:First>
          </b:Person>
          <b:Person>
            <b:Last>Danks</b:Last>
            <b:Middle>P.</b:Middle>
            <b:First>Nicholas </b:First>
          </b:Person>
          <b:Person>
            <b:Last>Ray</b:Last>
            <b:First>Soumya</b:First>
          </b:Person>
        </b:NameList>
      </b:Author>
    </b:Author>
    <b:RefOrder>930</b:RefOrder>
  </b:Source>
  <b:Source>
    <b:Tag>Hai19</b:Tag>
    <b:SourceType>JournalArticle</b:SourceType>
    <b:Guid>{62396807-DA4F-4727-965A-418872996F0C}</b:Guid>
    <b:Title>When to use and how to report the results of PLS-SEM</b:Title>
    <b:JournalName>European Business Review</b:JournalName>
    <b:Year>2019</b:Year>
    <b:Pages>2-24</b:Pages>
    <b:Volume>31</b:Volume>
    <b:Issue>1</b:Issue>
    <b:Month>01</b:Month>
    <b:Day>14</b:Day>
    <b:Publisher>Emerald Publishing Limited</b:Publisher>
    <b:YearAccessed>2022</b:YearAccessed>
    <b:MonthAccessed>12</b:MonthAccessed>
    <b:DayAccessed>23</b:DayAccessed>
    <b:DOI>https://doi.org/10.1108/EBR-11-2018-0203</b:DOI>
    <b:Author>
      <b:Author>
        <b:NameList>
          <b:Person>
            <b:Last>Hair</b:Last>
            <b:Middle>F.</b:Middle>
            <b:First>Joseph </b:First>
          </b:Person>
          <b:Person>
            <b:Last>Risher</b:Last>
            <b:Middle>J.</b:Middle>
            <b:First>Jeffrey </b:First>
          </b:Person>
          <b:Person>
            <b:Last>Sarstedt</b:Last>
            <b:First>Marko </b:First>
          </b:Person>
          <b:Person>
            <b:Last>Ringle</b:Last>
            <b:Middle>M.</b:Middle>
            <b:First>Christian </b:First>
          </b:Person>
        </b:NameList>
      </b:Author>
    </b:Author>
    <b:RefOrder>928</b:RefOrder>
  </b:Source>
  <b:Source>
    <b:Tag>Hab18</b:Tag>
    <b:SourceType>JournalArticle</b:SourceType>
    <b:Guid>{905CDAD9-957F-4378-A0D3-496980246A45}</b:Guid>
    <b:Title>Cognitive Emotion Theory and Emotion-Action Tendency in Online</b:Title>
    <b:JournalName>Journal of Management Sciences</b:JournalName>
    <b:Year>2018</b:Year>
    <b:Pages>86-99</b:Pages>
    <b:Volume>5</b:Volume>
    <b:Issue>1</b:Issue>
    <b:YearAccessed>2023</b:YearAccessed>
    <b:MonthAccessed>02</b:MonthAccessed>
    <b:DayAccessed>28</b:DayAccessed>
    <b:URL>https://d1wqtxts1xzle7.cloudfront.net/86875337/JMS1805105-libre.pdf?1654170217=&amp;response-content-disposition=inline%3B+filename%3DCognitive_Emotion_Theory_and_Emotion_Act.pdf&amp;Expires=1677621752&amp;Signature=DI6puve2ehaEXsnfCah-3S1s8RvoxD5yrGpFpprbglAo3BkZHqQ</b:URL>
    <b:DOI>10.20547/jms.2014.1805105</b:DOI>
    <b:Author>
      <b:Author>
        <b:NameList>
          <b:Person>
            <b:Last>Habib</b:Last>
            <b:Middle>Danish </b:Middle>
            <b:First>Muhammad </b:First>
          </b:Person>
          <b:Person>
            <b:Last>Qayyum</b:Last>
            <b:First>Abdul </b:First>
          </b:Person>
        </b:NameList>
      </b:Author>
    </b:Author>
    <b:RefOrder>528</b:RefOrder>
  </b:Source>
  <b:Source>
    <b:Tag>Haa18</b:Tag>
    <b:SourceType>JournalArticle</b:SourceType>
    <b:Guid>{874C2C94-64CE-484B-98B8-089A2C1F44F1}</b:Guid>
    <b:Title>How to best promote my product? Comparing the effectiveness of sensory, functional and symbolic advertising content in food marketing</b:Title>
    <b:JournalName>British Food Journal</b:JournalName>
    <b:Year>2018</b:Year>
    <b:Pages>1792-1806</b:Pages>
    <b:Author>
      <b:Author>
        <b:NameList>
          <b:Person>
            <b:Last>Haase</b:Last>
            <b:First>Janina </b:First>
          </b:Person>
          <b:Person>
            <b:Last>Wiedmann</b:Last>
            <b:First> Klaus-Peter </b:First>
          </b:Person>
          <b:Person>
            <b:Last>Bettels</b:Last>
            <b:First>Jannick </b:First>
          </b:Person>
          <b:Person>
            <b:Last>Labenz</b:Last>
            <b:First> Franziska </b:First>
          </b:Person>
        </b:NameList>
      </b:Author>
    </b:Author>
    <b:Month>08</b:Month>
    <b:Day>16</b:Day>
    <b:Volume>120</b:Volume>
    <b:Issue>08</b:Issue>
    <b:YearAccessed>2022</b:YearAccessed>
    <b:MonthAccessed>06</b:MonthAccessed>
    <b:DayAccessed>19</b:DayAccessed>
    <b:DOI> https://doi-org.lsbu.idm.oclc.org/10.1108/BFJ-01-2018-0058</b:DOI>
    <b:RefOrder>304</b:RefOrder>
  </b:Source>
  <b:Source>
    <b:Tag>Guo17</b:Tag>
    <b:SourceType>JournalArticle</b:SourceType>
    <b:Guid>{F8F79720-D577-4055-B491-7E2108493B58}</b:Guid>
    <b:Title>Consumer ethnocentrism on product judgment and willingness to buy: A meta-analysis</b:Title>
    <b:JournalName>Social Behaviour and Personality</b:JournalName>
    <b:Year>2017</b:Year>
    <b:Pages>163-176</b:Pages>
    <b:Volume>45</b:Volume>
    <b:Issue>1</b:Issue>
    <b:Month>02</b:Month>
    <b:YearAccessed>2021</b:YearAccessed>
    <b:MonthAccessed>12</b:MonthAccessed>
    <b:DayAccessed>26</b:DayAccessed>
    <b:DOI>10.2224/sbp.5548</b:DOI>
    <b:Author>
      <b:Author>
        <b:NameList>
          <b:Person>
            <b:Last>Guo</b:Last>
            <b:First>Gongxing</b:First>
          </b:Person>
          <b:Person>
            <b:Last>Zhou</b:Last>
            <b:First>Xing</b:First>
          </b:Person>
        </b:NameList>
      </b:Author>
    </b:Author>
    <b:RefOrder>364</b:RefOrder>
  </b:Source>
  <b:Source>
    <b:Tag>Gun221</b:Tag>
    <b:SourceType>JournalArticle</b:SourceType>
    <b:Guid>{D1C01FF4-AEA2-408A-BB80-B5B41D4A1B8A}</b:Guid>
    <b:Title>Does gender moderate the purchase intention of organic foods? Theory of reasoned action</b:Title>
    <b:JournalName>Heliyon</b:JournalName>
    <b:Year>2022</b:Year>
    <b:Month>9</b:Month>
    <b:Volume>8</b:Volume>
    <b:Issue>9</b:Issue>
    <b:YearAccessed>2023</b:YearAccessed>
    <b:MonthAccessed>05</b:MonthAccessed>
    <b:DayAccessed>05</b:DayAccessed>
    <b:DOI>https://doi.org/10.1016/j.heliyon.2022.e10478</b:DOI>
    <b:Author>
      <b:Author>
        <b:NameList>
          <b:Person>
            <b:Last>Gundala</b:Last>
            <b:Middle>R.</b:Middle>
            <b:First>Raghava </b:First>
          </b:Person>
          <b:Person>
            <b:Last>Nawaz</b:Last>
            <b:First>Nishad</b:First>
          </b:Person>
          <b:Person>
            <b:Last>M</b:Last>
            <b:Middle>R</b:Middle>
            <b:First>Harindranath</b:First>
          </b:Person>
          <b:Person>
            <b:Last>Boobalan</b:Last>
            <b:First>Kirubaharan </b:First>
          </b:Person>
          <b:Person>
            <b:Last>Gajenderan </b:Last>
            <b:Middle>Kumar </b:Middle>
            <b:First>Vijaya </b:First>
          </b:Person>
        </b:NameList>
      </b:Author>
    </b:Author>
    <b:RefOrder>604</b:RefOrder>
  </b:Source>
  <b:Source>
    <b:Tag>Gun22</b:Tag>
    <b:SourceType>JournalArticle</b:SourceType>
    <b:Guid>{728251C1-1A38-4302-90E5-8FE23DD11071}</b:Guid>
    <b:Title>Does gender moderate the purchase intention of organic foods? Theory of reasoned action</b:Title>
    <b:JournalName>Heliyon</b:JournalName>
    <b:Year>2022</b:Year>
    <b:Month>08</b:Month>
    <b:Day>31</b:Day>
    <b:Volume>8</b:Volume>
    <b:Issue>9</b:Issue>
    <b:YearAccessed>2023</b:YearAccessed>
    <b:MonthAccessed>03</b:MonthAccessed>
    <b:DayAccessed>17</b:DayAccessed>
    <b:DOI>10.1016/j.heliyon.2022.e10478</b:DOI>
    <b:Author>
      <b:Author>
        <b:NameList>
          <b:Person>
            <b:Last>Gundala</b:Last>
            <b:Middle>R.</b:Middle>
            <b:First>Raghava </b:First>
          </b:Person>
          <b:Person>
            <b:Last>Nawaz</b:Last>
            <b:First>Nishad</b:First>
          </b:Person>
          <b:Person>
            <b:Last>M</b:Last>
            <b:Middle>R</b:Middle>
            <b:First>Harindranath </b:First>
          </b:Person>
          <b:Person>
            <b:Last>Boobalan</b:Last>
            <b:First>Kirubaharan </b:First>
          </b:Person>
          <b:Person>
            <b:Last>Gajenderan</b:Last>
            <b:Middle>Kumar </b:Middle>
            <b:First>Vijaya </b:First>
          </b:Person>
        </b:NameList>
      </b:Author>
    </b:Author>
    <b:RefOrder>193</b:RefOrder>
  </b:Source>
  <b:Source>
    <b:Tag>Gum20</b:Tag>
    <b:SourceType>JournalArticle</b:SourceType>
    <b:Guid>{E75AF419-1615-4E05-8CEB-E01CE8009FF1}</b:Guid>
    <b:Title>The phenomenon of brand love: A systematic literature review.</b:Title>
    <b:JournalName>Journal of Relationship Marketing</b:JournalName>
    <b:Year>2020</b:Year>
    <b:Pages>93-132</b:Pages>
    <b:Author>
      <b:Author>
        <b:NameList>
          <b:Person>
            <b:Last>Gumparthi</b:Last>
            <b:Middle>Pani </b:Middle>
            <b:First>Vivek </b:First>
          </b:Person>
          <b:Person>
            <b:Last>Patra</b:Last>
            <b:First>Sabyasachi </b:First>
          </b:Person>
        </b:NameList>
      </b:Author>
    </b:Author>
    <b:Volume>19</b:Volume>
    <b:Issue>02</b:Issue>
    <b:YearAccessed>2022</b:YearAccessed>
    <b:MonthAccessed>06</b:MonthAccessed>
    <b:DayAccessed>18</b:DayAccessed>
    <b:DOI>https://doi.org/10.1080/15332667.2019.1664871</b:DOI>
    <b:RefOrder>303</b:RefOrder>
  </b:Source>
  <b:Source>
    <b:Tag>Gue06</b:Tag>
    <b:SourceType>JournalArticle</b:SourceType>
    <b:Guid>{88536E13-1AA3-4CCC-BCA5-603D799D9820}</b:Guid>
    <b:Title>How many interviews are enough? An An experiment with data saturation and variability</b:Title>
    <b:Year>2006</b:Year>
    <b:Pages>59-82</b:Pages>
    <b:JournalName>Field Methods</b:JournalName>
    <b:Volume>18</b:Volume>
    <b:Issue>1</b:Issue>
    <b:Author>
      <b:Author>
        <b:NameList>
          <b:Person>
            <b:Last>Guest </b:Last>
            <b:First>Greg</b:First>
          </b:Person>
          <b:Person>
            <b:Last>Bunce</b:Last>
            <b:First>Arwen</b:First>
          </b:Person>
          <b:Person>
            <b:Last>Johnson</b:Last>
            <b:First>Laura</b:First>
          </b:Person>
        </b:NameList>
      </b:Author>
    </b:Author>
    <b:RefOrder>1013</b:RefOrder>
  </b:Source>
  <b:Source>
    <b:Tag>Gue20</b:Tag>
    <b:SourceType>JournalArticle</b:SourceType>
    <b:Guid>{1522ECA5-5A3C-4EFC-AFE3-27ABFAEC2E0C}</b:Guid>
    <b:Title>A simple method to assess and report thematic saturation in qualitative research</b:Title>
    <b:JournalName>Plos One</b:JournalName>
    <b:Year>2020</b:Year>
    <b:Month>05</b:Month>
    <b:Day>05</b:Day>
    <b:YearAccessed>2023</b:YearAccessed>
    <b:MonthAccessed>04</b:MonthAccessed>
    <b:DayAccessed>01</b:DayAccessed>
    <b:DOI>https://doi.org/10.1371/journal.pone.0232076</b:DOI>
    <b:Author>
      <b:Author>
        <b:NameList>
          <b:Person>
            <b:Last>Guest</b:Last>
            <b:First>Greg</b:First>
          </b:Person>
          <b:Person>
            <b:Last>Namey</b:Last>
            <b:First>Emily </b:First>
          </b:Person>
          <b:Person>
            <b:Last>Chen</b:Last>
            <b:First>Mario</b:First>
          </b:Person>
        </b:NameList>
      </b:Author>
    </b:Author>
    <b:RefOrder>1020</b:RefOrder>
  </b:Source>
  <b:Source>
    <b:Tag>Gub82</b:Tag>
    <b:SourceType>JournalArticle</b:SourceType>
    <b:Guid>{D8246B6A-4D7F-439B-8B3A-14C6FBB7E949}</b:Guid>
    <b:Title>Epistemological and methodological bases of naturalistic inquiry</b:Title>
    <b:JournalName>Educational technology research and development</b:JournalName>
    <b:Year>1982</b:Year>
    <b:Pages>233-252</b:Pages>
    <b:Author>
      <b:Author>
        <b:NameList>
          <b:Person>
            <b:Last>Guba</b:Last>
            <b:Middle>G.</b:Middle>
            <b:First>Egon </b:First>
          </b:Person>
          <b:Person>
            <b:Last>Lincoln </b:Last>
            <b:Middle>S.</b:Middle>
            <b:First>Yvonna </b:First>
          </b:Person>
        </b:NameList>
      </b:Author>
    </b:Author>
    <b:Volume>30</b:Volume>
    <b:YearAccessed>2023</b:YearAccessed>
    <b:MonthAccessed>02</b:MonthAccessed>
    <b:DayAccessed>11</b:DayAccessed>
    <b:DOI>https://doi.org/10.1007/BF02765185</b:DOI>
    <b:RefOrder>892</b:RefOrder>
  </b:Source>
  <b:Source>
    <b:Tag>Gub11</b:Tag>
    <b:SourceType>BookSection</b:SourceType>
    <b:Guid>{965B8B26-B0DA-44BA-A180-CB2E4B072A53}</b:Guid>
    <b:Title>Paradigmatic controversies, contradictions, and emerging confluences, revisited.</b:Title>
    <b:Year>2011</b:Year>
    <b:Pages>97-128</b:Pages>
    <b:BookTitle>The SAGE handbook of qualitative research</b:BookTitle>
    <b:City>London, England</b:City>
    <b:Publisher>Sage</b:Publisher>
    <b:Author>
      <b:Editor>
        <b:NameList>
          <b:Person>
            <b:Last>4th</b:Last>
          </b:Person>
        </b:NameList>
      </b:Editor>
      <b:Author>
        <b:NameList>
          <b:Person>
            <b:Last>Guba</b:Last>
            <b:Middle>G.</b:Middle>
            <b:First>Egon</b:First>
          </b:Person>
          <b:Person>
            <b:Last>Lincoln</b:Last>
            <b:Middle>S.</b:Middle>
            <b:First>Yvonna</b:First>
          </b:Person>
        </b:NameList>
      </b:Author>
    </b:Author>
    <b:RefOrder>749</b:RefOrder>
  </b:Source>
  <b:Source>
    <b:Tag>Gua95</b:Tag>
    <b:SourceType>JournalArticle</b:SourceType>
    <b:Guid>{1A5A8D8D-B04B-445A-946C-4999083D6E04}</b:Guid>
    <b:Title>Influences on Attitude-Behavior RelationshipsA Natural Experiment with Curbside Recycling</b:Title>
    <b:JournalName>Environment and Behavior</b:JournalName>
    <b:Year>1995</b:Year>
    <b:Pages>699-718</b:Pages>
    <b:Month>09</b:Month>
    <b:Volume>27</b:Volume>
    <b:Issue>5</b:Issue>
    <b:YearAccessed>2023</b:YearAccessed>
    <b:MonthAccessed>03</b:MonthAccessed>
    <b:DayAccessed>05</b:DayAccessed>
    <b:DOI>10.1177/0013916595275005</b:DOI>
    <b:Author>
      <b:Author>
        <b:NameList>
          <b:Person>
            <b:Last>Guagnano</b:Last>
            <b:Middle>A.</b:Middle>
            <b:First>Gregory </b:First>
          </b:Person>
          <b:Person>
            <b:Last>Stern</b:Last>
            <b:Middle>C.</b:Middle>
            <b:First>Paul </b:First>
          </b:Person>
          <b:Person>
            <b:Last>Dietz</b:Last>
            <b:First>Thomas </b:First>
          </b:Person>
        </b:NameList>
      </b:Author>
    </b:Author>
    <b:RefOrder>511</b:RefOrder>
  </b:Source>
  <b:Source>
    <b:Tag>Gru84</b:Tag>
    <b:SourceType>BookSection</b:SourceType>
    <b:Guid>{778ADB3F-218C-435E-9557-B273FA839EDC}</b:Guid>
    <b:Title>Managing Public Relations</b:Title>
    <b:Year>1984</b:Year>
    <b:Author>
      <b:Author>
        <b:NameList>
          <b:Person>
            <b:Last>Grunig</b:Last>
            <b:Middle>E</b:Middle>
            <b:First>James</b:First>
          </b:Person>
          <b:Person>
            <b:Last>Hunt</b:Last>
            <b:First>Todd</b:First>
          </b:Person>
        </b:NameList>
      </b:Author>
    </b:Author>
    <b:RefOrder>413</b:RefOrder>
  </b:Source>
  <b:Source>
    <b:Tag>Gro14</b:Tag>
    <b:SourceType>JournalArticle</b:SourceType>
    <b:Guid>{1D7AA4C4-5ACA-4FB8-800C-4EABED7A6BE9}</b:Guid>
    <b:Title>Sponsorship effects on brand image: The role of exposure and activity involvement</b:Title>
    <b:JournalName>Journal of Business Research</b:JournalName>
    <b:Year>2014</b:Year>
    <b:Pages>1018-1025</b:Pages>
    <b:Volume>67</b:Volume>
    <b:Issue>5</b:Issue>
    <b:Author>
      <b:Author>
        <b:NameList>
          <b:Person>
            <b:Last>Grohs</b:Last>
            <b:First>R.</b:First>
          </b:Person>
          <b:Person>
            <b:Last>Reisinger</b:Last>
            <b:First>H.</b:First>
          </b:Person>
        </b:NameList>
      </b:Author>
    </b:Author>
    <b:RefOrder>705</b:RefOrder>
  </b:Source>
  <b:Source>
    <b:Tag>Gri161</b:Tag>
    <b:SourceType>JournalArticle</b:SourceType>
    <b:Guid>{162BCB95-F429-4613-BF81-C2D7DAA47649}</b:Guid>
    <b:Title>Logo design in marketing communications: Brand logo complexity moderates exposure effects on brand recognition and brand attitude</b:Title>
    <b:Pages>256-270</b:Pages>
    <b:Year>2016</b:Year>
    <b:JournalName>Journal of Marketing Communications</b:JournalName>
    <b:Volume>22</b:Volume>
    <b:Issue>3</b:Issue>
    <b:YearAccessed>2023</b:YearAccessed>
    <b:MonthAccessed>08</b:MonthAccessed>
    <b:DayAccessed>08</b:DayAccessed>
    <b:DOI>https://doi.org/10.1080/13527266.2013.866593</b:DOI>
    <b:Author>
      <b:Author>
        <b:NameList>
          <b:Person>
            <b:Last>Grinsven</b:Last>
            <b:First>Bo van </b:First>
          </b:Person>
          <b:Person>
            <b:Last>Das</b:Last>
            <b:First>Enny </b:First>
          </b:Person>
        </b:NameList>
      </b:Author>
    </b:Author>
    <b:RefOrder>54</b:RefOrder>
  </b:Source>
  <b:Source>
    <b:Tag>Gri16</b:Tag>
    <b:SourceType>JournalArticle</b:SourceType>
    <b:Guid>{FFE9FC72-B247-493B-A678-1D1FD6E45C42}</b:Guid>
    <b:Title>The effect of purchase situation on realized pro-environmental consumer behavior</b:Title>
    <b:JournalName>Journal of Business Research</b:JournalName>
    <b:Year>2016</b:Year>
    <b:Pages>1582-1586</b:Pages>
    <b:Volume>69</b:Volume>
    <b:Issue>5</b:Issue>
    <b:YearAccessed>2023</b:YearAccessed>
    <b:MonthAccessed>03</b:MonthAccessed>
    <b:DayAccessed>05</b:DayAccessed>
    <b:Author>
      <b:Author>
        <b:NameList>
          <b:Person>
            <b:Last>Grimmer</b:Last>
            <b:First>M. </b:First>
          </b:Person>
          <b:Person>
            <b:Last>Kilburn</b:Last>
            <b:Middle>P.</b:Middle>
            <b:First>A.</b:First>
          </b:Person>
          <b:Person>
            <b:Last>Miles</b:Last>
            <b:Middle>P.</b:Middle>
            <b:First>M.</b:First>
          </b:Person>
        </b:NameList>
      </b:Author>
    </b:Author>
    <b:RefOrder>513</b:RefOrder>
  </b:Source>
  <b:Source>
    <b:Tag>Gre19</b:Tag>
    <b:SourceType>JournalArticle</b:SourceType>
    <b:Guid>{22261FF8-EAB6-4CCD-A535-C3545F0365D2}</b:Guid>
    <b:Title>In Mobile We Trust: The Effects of Mobile Versus Nonmobile Reviews on Consumer Purchase Intentions</b:Title>
    <b:JournalName>Journal of Marketing Research</b:JournalName>
    <b:Year>2019</b:Year>
    <b:Pages>791-808</b:Pages>
    <b:Author>
      <b:Author>
        <b:NameList>
          <b:Person>
            <b:Last>Grewal</b:Last>
            <b:First>Lauren</b:First>
          </b:Person>
          <b:Person>
            <b:Last>Stephen</b:Last>
            <b:Middle>T.</b:Middle>
            <b:First>Andrew</b:First>
          </b:Person>
        </b:NameList>
      </b:Author>
    </b:Author>
    <b:Month>06</b:Month>
    <b:Day>09</b:Day>
    <b:Volume>56</b:Volume>
    <b:Issue>05</b:Issue>
    <b:YearAccessed>2022</b:YearAccessed>
    <b:MonthAccessed>03</b:MonthAccessed>
    <b:DayAccessed>27</b:DayAccessed>
    <b:DOI>https://doi.org/10.1177/0022243719834514</b:DOI>
    <b:RefOrder>1236</b:RefOrder>
  </b:Source>
  <b:Source>
    <b:Tag>Gra13</b:Tag>
    <b:SourceType>JournalArticle</b:SourceType>
    <b:Guid>{F3AEA4C6-A017-43A6-8F0F-CF0AFF0B43C1}</b:Guid>
    <b:Title>Cause-Related Marketing (CRM): The Influence of Donation Proximity and Message-Framing Cues on the Less-Involved Consumer</b:Title>
    <b:JournalName>Journal of Advertising</b:JournalName>
    <b:Year>2013</b:Year>
    <b:Pages>19-33</b:Pages>
    <b:Month>05</b:Month>
    <b:Day>04</b:Day>
    <b:Volume>39</b:Volume>
    <b:Issue>09</b:Issue>
    <b:YearAccessed>2022</b:YearAccessed>
    <b:MonthAccessed>02</b:MonthAccessed>
    <b:DayAccessed>17</b:DayAccessed>
    <b:DOI>https://doi.org/10.2753/JOA0091-3367360402</b:DOI>
    <b:Author>
      <b:Author>
        <b:NameList>
          <b:Person>
            <b:Last>Grau</b:Last>
            <b:Middle>Landreth</b:Middle>
            <b:First>Stacy </b:First>
          </b:Person>
          <b:Person>
            <b:Last>Folse</b:Last>
            <b:Middle>Garretson</b:Middle>
            <b:First>Judith Anne</b:First>
          </b:Person>
        </b:NameList>
      </b:Author>
    </b:Author>
    <b:RefOrder>1237</b:RefOrder>
  </b:Source>
  <b:Source>
    <b:Tag>Gra99</b:Tag>
    <b:SourceType>JournalArticle</b:SourceType>
    <b:Guid>{CCB46ACB-8389-43EE-B012-4D26265D7013}</b:Guid>
    <b:Title>The Reality of Brands: Towards an Ontology of Marketing</b:Title>
    <b:Year>1999</b:Year>
    <b:URL>https://www.academia.edu/199012/The_Reality_of_Brands_Toward_an_Ontology_of_Marketing</b:URL>
    <b:Pages>313-360</b:Pages>
    <b:JournalName>American Journal of Economics and Sociology</b:JournalName>
    <b:Volume>58</b:Volume>
    <b:YearAccessed>2022</b:YearAccessed>
    <b:MonthAccessed>10</b:MonthAccessed>
    <b:DayAccessed>09</b:DayAccessed>
    <b:Author>
      <b:Author>
        <b:NameList>
          <b:Person>
            <b:Last>Grassl</b:Last>
            <b:First>Wolfgang</b:First>
          </b:Person>
        </b:NameList>
      </b:Author>
    </b:Author>
    <b:RefOrder>726</b:RefOrder>
  </b:Source>
  <b:Source>
    <b:Tag>Gra20</b:Tag>
    <b:SourceType>JournalArticle</b:SourceType>
    <b:Guid>{0283FDC9-5CCA-4D3E-9E3A-6B5273FF7460}</b:Guid>
    <b:Title>Does Sex Really Sell? Paradoxical Effects of Sexualization in Advertising on Product Attractiveness and Purchase Intentions</b:Title>
    <b:JournalName>Sex Roles</b:JournalName>
    <b:Year>2020</b:Year>
    <b:Pages>701-719</b:Pages>
    <b:Month>09</b:Month>
    <b:Day>23</b:Day>
    <b:Volume>84</b:Volume>
    <b:YearAccessed>2022</b:YearAccessed>
    <b:MonthAccessed>03</b:MonthAccessed>
    <b:DayAccessed>26</b:DayAccessed>
    <b:DOI>10.1007/S11199-020-01190-6</b:DOI>
    <b:Author>
      <b:Author>
        <b:NameList>
          <b:Person>
            <b:Last>Gramazio</b:Last>
            <b:First>Sarah </b:First>
          </b:Person>
          <b:Person>
            <b:Last>Cadinu</b:Last>
            <b:First>M</b:First>
          </b:Person>
          <b:Person>
            <b:Last>Guizzo</b:Last>
            <b:First>Francesca </b:First>
          </b:Person>
          <b:Person>
            <b:Last>Carnaghi</b:Last>
            <b:First>A. </b:First>
          </b:Person>
        </b:NameList>
      </b:Author>
    </b:Author>
    <b:RefOrder>1238</b:RefOrder>
  </b:Source>
  <b:Source>
    <b:Tag>Gra201</b:Tag>
    <b:SourceType>InternetSite</b:SourceType>
    <b:Guid>{EFFEF44E-970D-426C-A10C-FCA2C12F3F96}</b:Guid>
    <b:Title>10 Things to Know About Survey Experiments</b:Title>
    <b:Year>2020</b:Year>
    <b:InternetSiteTitle>egap</b:InternetSiteTitle>
    <b:URL>https://egap.org/resource/10-things-to-know-about-survey-experiments/</b:URL>
    <b:Author>
      <b:Author>
        <b:NameList>
          <b:Person>
            <b:Last>Grady</b:Last>
            <b:First>Christopher </b:First>
          </b:Person>
        </b:NameList>
      </b:Author>
    </b:Author>
    <b:RefOrder>1239</b:RefOrder>
  </b:Source>
  <b:Source>
    <b:Tag>Gra14</b:Tag>
    <b:SourceType>InternetSite</b:SourceType>
    <b:Guid>{3840CCE6-3F3F-4E00-9A2E-A0390A9E36C4}</b:Guid>
    <b:Title>when listwise deletion works for missing data</b:Title>
    <b:InternetSiteTitle>The Analysis Factor</b:InternetSiteTitle>
    <b:Year>2014</b:Year>
    <b:Month>05</b:Month>
    <b:Day>10</b:Day>
    <b:URL>https://www.theanalysisfactor.com/when-listwise-deletion-works/</b:URL>
    <b:Author>
      <b:Author>
        <b:NameList>
          <b:Person>
            <b:Last>Grace-Martin</b:Last>
            <b:First>Karen</b:First>
          </b:Person>
        </b:NameList>
      </b:Author>
    </b:Author>
    <b:RefOrder>914</b:RefOrder>
  </b:Source>
  <b:Source>
    <b:Tag>Gop23</b:Tag>
    <b:SourceType>JournalArticle</b:SourceType>
    <b:Guid>{24B4B707-779D-4337-B924-416C150D35ED}</b:Guid>
    <b:Title>Use of quasi-experimental research designs in education research: Growth, promise, and challenges.</b:Title>
    <b:JournalName>Review of Research in Education,</b:JournalName>
    <b:Pages>218-243</b:Pages>
    <b:Volume>44</b:Volume>
    <b:Issue>1</b:Issue>
    <b:YearAccessed>2023</b:YearAccessed>
    <b:MonthAccessed>02</b:MonthAccessed>
    <b:DayAccessed>12</b:DayAccessed>
    <b:DOI>10.3102/0091732X20903302</b:DOI>
    <b:Author>
      <b:Author>
        <b:NameList>
          <b:Person>
            <b:Last>Gopalan</b:Last>
            <b:First>Maithreyi </b:First>
          </b:Person>
          <b:Person>
            <b:Last>Rosinger</b:Last>
            <b:First>Kelly </b:First>
          </b:Person>
          <b:Person>
            <b:Last>Ahn</b:Last>
            <b:First>Jee Bin </b:First>
          </b:Person>
        </b:NameList>
      </b:Author>
    </b:Author>
    <b:RefOrder>827</b:RefOrder>
  </b:Source>
  <b:Source>
    <b:Tag>Gon20</b:Tag>
    <b:SourceType>JournalArticle</b:SourceType>
    <b:Guid>{9CC92363-E823-4F5A-89BC-0D1706C0F054}</b:Guid>
    <b:Title>Right evaluation of marketing stimuli with neuroscience. An electroencephalography experiment</b:Title>
    <b:Year>2020</b:Year>
    <b:Month>12</b:Month>
    <b:JournalName>Computers in Human Behavior Reports</b:JournalName>
    <b:Volume>2</b:Volume>
    <b:YearAccessed>2022</b:YearAccessed>
    <b:MonthAccessed>11</b:MonthAccessed>
    <b:DayAccessed>12</b:DayAccessed>
    <b:DOI>https://doi.org/10.1016/j.chbr.2020.100030</b:DOI>
    <b:Author>
      <b:Author>
        <b:NameList>
          <b:Person>
            <b:Last>González-Morales</b:Last>
            <b:First>Antonio</b:First>
          </b:Person>
        </b:NameList>
      </b:Author>
    </b:Author>
    <b:RefOrder>1240</b:RefOrder>
  </b:Source>
  <b:Source>
    <b:Tag>Gon22</b:Tag>
    <b:SourceType>JournalArticle</b:SourceType>
    <b:Guid>{0E33DBBC-2F75-4DBF-8B61-3B5F9727D704}</b:Guid>
    <b:Title>Effects of characteristics of in-store retail technology on customer citizenship behavior</b:Title>
    <b:JournalName>Journal of Retailing and Consumer Services</b:JournalName>
    <b:Year>2022</b:Year>
    <b:Month>03</b:Month>
    <b:Volume>65</b:Volume>
    <b:YearAccessed>2022</b:YearAccessed>
    <b:MonthAccessed>02</b:MonthAccessed>
    <b:DayAccessed>22</b:DayAccessed>
    <b:DOI>https://doi.org/10.1016/j.jretconser.2021.102488</b:DOI>
    <b:Author>
      <b:Author>
        <b:NameList>
          <b:Person>
            <b:Last>Gong</b:Last>
            <b:First>Taeshik</b:First>
          </b:Person>
          <b:Person>
            <b:Last>Wang</b:Last>
            <b:First>Chen-Ya</b:First>
          </b:Person>
          <b:Person>
            <b:Last>Lee</b:Last>
            <b:First>Kangcheol</b:First>
          </b:Person>
        </b:NameList>
      </b:Author>
    </b:Author>
    <b:RefOrder>139</b:RefOrder>
  </b:Source>
  <b:Source>
    <b:Tag>Góm23</b:Tag>
    <b:SourceType>JournalArticle</b:SourceType>
    <b:Guid>{1C02CD5C-E06A-440E-9C0B-275005510BCF}</b:Guid>
    <b:Title>The role of novel instruments of brand communication and brand image in building consumers’ brand preference and intention to visit wineries</b:Title>
    <b:JournalName>Current Psychology</b:JournalName>
    <b:Year>2023</b:Year>
    <b:Pages>12711–12727</b:Pages>
    <b:Volume>42</b:Volume>
    <b:Issue>15</b:Issue>
    <b:YearAccessed>2023</b:YearAccessed>
    <b:MonthAccessed>08</b:MonthAccessed>
    <b:DayAccessed>08</b:DayAccessed>
    <b:DOI>https://doi.org/10.1007/s12144-021-02656-w</b:DOI>
    <b:Author>
      <b:Author>
        <b:NameList>
          <b:Person>
            <b:Last>Gómez-Rico</b:Last>
            <b:First>Mar </b:First>
          </b:Person>
          <b:Person>
            <b:Last>Molina-Collado</b:Last>
            <b:First>Arturo </b:First>
          </b:Person>
          <b:Person>
            <b:Last>Santos-Vijande</b:Last>
            <b:Middle>Leticia </b:Middle>
            <b:First>María </b:First>
          </b:Person>
          <b:Person>
            <b:Last>Molina-Collado</b:Last>
            <b:Middle>Victoria </b:Middle>
            <b:First>María </b:First>
          </b:Person>
          <b:Person>
            <b:Last>Imhoff </b:Last>
            <b:First>Brian </b:First>
          </b:Person>
        </b:NameList>
      </b:Author>
    </b:Author>
    <b:RefOrder>53</b:RefOrder>
  </b:Source>
  <b:Source>
    <b:Tag>Gol18</b:Tag>
    <b:SourceType>Book</b:SourceType>
    <b:Guid>{D352BB49-4A6D-43D6-8A84-C21BEB31E8A0}</b:Guid>
    <b:Title>A Concise History of the Middle East</b:Title>
    <b:Year>2018</b:Year>
    <b:Publisher>Routledge</b:Publisher>
    <b:Edition>12</b:Edition>
    <b:Author>
      <b:Author>
        <b:NameList>
          <b:Person>
            <b:Last>Goldschmidt </b:Last>
            <b:First>Arthur</b:First>
          </b:Person>
          <b:Person>
            <b:Last>Al-Marashi</b:Last>
            <b:First>Ibrahim</b:First>
          </b:Person>
        </b:NameList>
      </b:Author>
    </b:Author>
    <b:YearAccessed>2022</b:YearAccessed>
    <b:MonthAccessed>01</b:MonthAccessed>
    <b:DayAccessed>30</b:DayAccessed>
    <b:RefOrder>1241</b:RefOrder>
  </b:Source>
  <b:Source>
    <b:Tag>Gök19</b:Tag>
    <b:SourceType>JournalArticle</b:SourceType>
    <b:Guid>{B2700667-BEFB-4D92-951F-13D77D5232A9}</b:Guid>
    <b:Title>The effect of user manual quality on customer satisfaction: The mediating effect of perceived product quality</b:Title>
    <b:JournalName>Journal of Product and Brand Management</b:JournalName>
    <b:Year>2019</b:Year>
    <b:Month>02</b:Month>
    <b:Volume>28</b:Volume>
    <b:Issue>03</b:Issue>
    <b:YearAccessed>2022</b:YearAccessed>
    <b:MonthAccessed>06</b:MonthAccessed>
    <b:DayAccessed>16</b:DayAccessed>
    <b:DOI>10.1108/JPBM-10-2018-2054</b:DOI>
    <b:Author>
      <b:Author>
        <b:NameList>
          <b:Person>
            <b:Last>Gök</b:Last>
            <b:First>Osman </b:First>
          </b:Person>
          <b:Person>
            <b:Last>Ersoy</b:Last>
            <b:First>Pervin </b:First>
          </b:Person>
          <b:Person>
            <b:Last>Börühan</b:Last>
            <b:First>Gülmüş </b:First>
          </b:Person>
        </b:NameList>
      </b:Author>
    </b:Author>
    <b:RefOrder>302</b:RefOrder>
  </b:Source>
  <b:Source>
    <b:Tag>Goe17</b:Tag>
    <b:SourceType>JournalArticle</b:SourceType>
    <b:Guid>{700099C1-65AA-4C03-AE3E-EF974EC2FBA8}</b:Guid>
    <b:Title>Effectiveness of use of Animation in Advertising: A Literature Review</b:Title>
    <b:Year>2017</b:Year>
    <b:Month>06</b:Month>
    <b:URL>https://www.semanticscholar.org/paper/Effectiveness-of-use-of-Animation-in-Advertising%3A-A-Goel-Upadhyay/555b5a942db0a0dc52bfc86a74489be23094c4ed</b:URL>
    <b:JournalName>IJSRNSC</b:JournalName>
    <b:Volume>05</b:Volume>
    <b:Issue>03</b:Issue>
    <b:YearAccessed>2022</b:YearAccessed>
    <b:MonthAccessed>02</b:MonthAccessed>
    <b:DayAccessed>01</b:DayAccessed>
    <b:Author>
      <b:Author>
        <b:NameList>
          <b:Person>
            <b:Last>Goel</b:Last>
            <b:First>D</b:First>
          </b:Person>
          <b:Person>
            <b:Last>Upadhyay</b:Last>
            <b:First>R</b:First>
          </b:Person>
        </b:NameList>
      </b:Author>
    </b:Author>
    <b:RefOrder>175</b:RefOrder>
  </b:Source>
  <b:Source>
    <b:Tag>Gob16</b:Tag>
    <b:SourceType>JournalArticle</b:SourceType>
    <b:Guid>{4935F12D-3BA7-4673-864C-3C4D7355DE1A}</b:Guid>
    <b:Title>Conceptualization of CSR Among Muslim Consumers in Dubai: Evolving from Philanthropy to Ethical and Economic Orientations</b:Title>
    <b:JournalName>Journal of Business Ethics</b:JournalName>
    <b:Year>2016</b:Year>
    <b:Pages>167-179</b:Pages>
    <b:Author>
      <b:Author>
        <b:NameList>
          <b:Person>
            <b:Last>Goby</b:Last>
            <b:Middle>Priscilla </b:Middle>
            <b:First>Valerie </b:First>
          </b:Person>
          <b:Person>
            <b:Last>Nickerson </b:Last>
            <b:First>Catherine </b:First>
          </b:Person>
        </b:NameList>
      </b:Author>
    </b:Author>
    <b:Volume>136</b:Volume>
    <b:YearAccessed>2022</b:YearAccessed>
    <b:MonthAccessed>12</b:MonthAccessed>
    <b:DayAccessed>03</b:DayAccessed>
    <b:URL>https://doi.org/10.1007/s10551-014-2521-0</b:URL>
    <b:RefOrder>204</b:RefOrder>
  </b:Source>
  <b:Source>
    <b:Tag>GoE17</b:Tag>
    <b:SourceType>JournalArticle</b:SourceType>
    <b:Guid>{F9F8C951-72C2-4543-AB0C-0C2129C01BE1}</b:Guid>
    <b:Title>What and How to Communicate CSR? The Role of CSR fit, Modality Interactivity, and Message Interactivity on Social Networking Sites</b:Title>
    <b:JournalName>Journal of Promotion Management</b:JournalName>
    <b:Year>2017</b:Year>
    <b:Pages>727-747</b:Pages>
    <b:Author>
      <b:Author>
        <b:NameList>
          <b:Person>
            <b:Last>Go</b:Last>
            <b:First>Eun</b:First>
          </b:Person>
          <b:Person>
            <b:Last>Bortree</b:Last>
            <b:Middle>Sevick</b:Middle>
            <b:First>Denise </b:First>
          </b:Person>
        </b:NameList>
      </b:Author>
    </b:Author>
    <b:Month>04</b:Month>
    <b:Day>10</b:Day>
    <b:Volume>23</b:Volume>
    <b:Issue>5</b:Issue>
    <b:YearAccessed>2021</b:YearAccessed>
    <b:MonthAccessed>11</b:MonthAccessed>
    <b:DayAccessed>20</b:DayAccessed>
    <b:DOI>https://doi.org/10.1080/10496491.2017.1297983</b:DOI>
    <b:RefOrder>133</b:RefOrder>
  </b:Source>
  <b:Source>
    <b:Tag>Giv16</b:Tag>
    <b:SourceType>Book</b:SourceType>
    <b:Guid>{D35558F7-6703-4C80-81D8-6817932A690F}</b:Guid>
    <b:Title>100 Questions (and Answers) About Qualitative Research</b:Title>
    <b:Year>2016</b:Year>
    <b:Publisher>Sage Publications</b:Publisher>
    <b:Author>
      <b:Author>
        <b:NameList>
          <b:Person>
            <b:Last>Given</b:Last>
            <b:Middle>M.</b:Middle>
            <b:First>Lisa </b:First>
          </b:Person>
        </b:NameList>
      </b:Author>
    </b:Author>
    <b:RefOrder>1014</b:RefOrder>
  </b:Source>
  <b:Source>
    <b:Tag>Gho20</b:Tag>
    <b:SourceType>JournalArticle</b:SourceType>
    <b:Guid>{D487B09D-42A4-4777-A801-71FB67FD778B}</b:Guid>
    <b:Title>The Impact of Product Quality Dimension on Consumer Satisfaction Derived from Brands: A Study on e-Rickshaw Battery Brands in India</b:Title>
    <b:JournalName>IUP Journal of Marketing Management</b:JournalName>
    <b:Year>2020</b:Year>
    <b:Pages>63-82</b:Pages>
    <b:Month>08</b:Month>
    <b:Volume>19</b:Volume>
    <b:Issue>03</b:Issue>
    <b:YearAccessed>2022</b:YearAccessed>
    <b:MonthAccessed>06</b:MonthAccessed>
    <b:DayAccessed>02</b:DayAccessed>
    <b:URL>https://eds.p.ebscohost.com/eds/pdfviewer/pdfviewer?vid=1&amp;sid=6e8915d3-f3c1-4edd-9558-2e916fa34781%40redis</b:URL>
    <b:Author>
      <b:Author>
        <b:NameList>
          <b:Person>
            <b:Last>Ghosh</b:Last>
            <b:First>Saugat </b:First>
          </b:Person>
        </b:NameList>
      </b:Author>
    </b:Author>
    <b:RefOrder>1242</b:RefOrder>
  </b:Source>
  <b:Source>
    <b:Tag>Ghi20</b:Tag>
    <b:SourceType>JournalArticle</b:SourceType>
    <b:Guid>{7FF4CE10-AEF9-4A2A-B8D9-A02367CB6CFF}</b:Guid>
    <b:Title>Disambiguating the Role of Paradigms in Mixed Methods Research</b:Title>
    <b:Year>2020</b:Year>
    <b:Pages>11-25</b:Pages>
    <b:Author>
      <b:Author>
        <b:NameList>
          <b:Person>
            <b:Last>Ghiara</b:Last>
            <b:First>Virginia </b:First>
          </b:Person>
        </b:NameList>
      </b:Author>
    </b:Author>
    <b:JournalName>Journal of Mixed Methods Research</b:JournalName>
    <b:Volume>14</b:Volume>
    <b:Issue>1</b:Issue>
    <b:YearAccessed>2023</b:YearAccessed>
    <b:MonthAccessed>08</b:MonthAccessed>
    <b:DayAccessed>04</b:DayAccessed>
    <b:DOI>https://doi.org/10.1177/1558689818819928</b:DOI>
    <b:RefOrder>745</b:RefOrder>
  </b:Source>
  <b:Source>
    <b:Tag>Gha12</b:Tag>
    <b:SourceType>JournalArticle</b:SourceType>
    <b:Guid>{A71DECF1-EC46-40D0-A46E-8C1E7A3FAE56}</b:Guid>
    <b:Title>Normality Tests for Statistical Analysis: A Guide for Non-Statisticians</b:Title>
    <b:JournalName>International Journal of Endocrinology and Metabolism</b:JournalName>
    <b:Year>2012</b:Year>
    <b:Pages>486-489</b:Pages>
    <b:Volume>10</b:Volume>
    <b:Issue>2</b:Issue>
    <b:Month>04</b:Month>
    <b:Day>20</b:Day>
    <b:YearAccessed>2023</b:YearAccessed>
    <b:MonthAccessed>01</b:MonthAccessed>
    <b:DayAccessed>17</b:DayAccessed>
    <b:DOI>10.5812/ijem.3505</b:DOI>
    <b:Author>
      <b:Author>
        <b:NameList>
          <b:Person>
            <b:Last>Ghasemi</b:Last>
            <b:First>Asghar </b:First>
          </b:Person>
          <b:Person>
            <b:Last>Zahediasl</b:Last>
            <b:First>Saleh </b:First>
          </b:Person>
        </b:NameList>
      </b:Author>
    </b:Author>
    <b:RefOrder>947</b:RefOrder>
  </b:Source>
  <b:Source>
    <b:Tag>Gha17</b:Tag>
    <b:SourceType>JournalArticle</b:SourceType>
    <b:Guid>{39A535E0-2401-4545-89A6-83E857015B7D}</b:Guid>
    <b:Title>Factors affecting active participation in B2B online communities: An empirical investigation</b:Title>
    <b:JournalName>Information &amp; Management</b:JournalName>
    <b:Year>2017</b:Year>
    <b:Pages>516-530</b:Pages>
    <b:Month>06</b:Month>
    <b:Volume>54</b:Volume>
    <b:Issue>4</b:Issue>
    <b:YearAccessed>2023</b:YearAccessed>
    <b:MonthAccessed>02</b:MonthAccessed>
    <b:DayAccessed>22</b:DayAccessed>
    <b:DOI>https://doi.org/10.1016/j.im.2016.11.004</b:DOI>
    <b:Author>
      <b:Author>
        <b:NameList>
          <b:Person>
            <b:Last>Gharib</b:Last>
            <b:Middle>Kamal </b:Middle>
            <b:First>Rebwar </b:First>
          </b:Person>
          <b:Person>
            <b:Last>Philpott</b:Last>
            <b:First>Elly </b:First>
          </b:Person>
          <b:Person>
            <b:Last>Duan</b:Last>
            <b:First>Yanqing </b:First>
          </b:Person>
        </b:NameList>
      </b:Author>
    </b:Author>
    <b:RefOrder>42</b:RefOrder>
  </b:Source>
  <b:Source>
    <b:Tag>Geo21</b:Tag>
    <b:SourceType>JournalArticle</b:SourceType>
    <b:Guid>{C449FD8A-373B-42DE-8B2A-6B6158AD5EB3}</b:Guid>
    <b:Title>Marketing strategies in communicating CSR in the Muslim market of the United Arab Emirates: insights from the banking sector</b:Title>
    <b:JournalName>Journal of Islamic Marketing</b:JournalName>
    <b:Year>2021</b:Year>
    <b:Pages>1417-1435</b:Pages>
    <b:Volume>13</b:Volume>
    <b:Issue>7</b:Issue>
    <b:Author>
      <b:Author>
        <b:NameList>
          <b:Person>
            <b:Last>Georgiadou</b:Last>
            <b:First>Effrosyni </b:First>
          </b:Person>
          <b:Person>
            <b:Last>Nickerson</b:Last>
            <b:First>Catherine </b:First>
          </b:Person>
        </b:NameList>
      </b:Author>
    </b:Author>
    <b:Month>02</b:Month>
    <b:Day>01</b:Day>
    <b:Publisher>Emerald Publishing Limited</b:Publisher>
    <b:YearAccessed>2022</b:YearAccessed>
    <b:MonthAccessed>12</b:MonthAccessed>
    <b:DayAccessed>06</b:DayAccessed>
    <b:URL>https://doi.org/10.1108/JIMA-09-2020-0274</b:URL>
    <b:RefOrder>487</b:RefOrder>
  </b:Source>
  <b:Source>
    <b:Tag>Geo22</b:Tag>
    <b:SourceType>JournalArticle</b:SourceType>
    <b:Guid>{91F15532-376A-48F2-8090-A60D142ED3BB}</b:Guid>
    <b:Title>Communicating customer-CSR expectations on corporate websites: an analysis of the banking industry in the United Arab Emirates</b:Title>
    <b:JournalName>Corporate Communications: An International Journal</b:JournalName>
    <b:Year>2022</b:Year>
    <b:Pages>654-673</b:Pages>
    <b:Volume>27</b:Volume>
    <b:Issue>4</b:Issue>
    <b:Month>05</b:Month>
    <b:Day>04</b:Day>
    <b:Publisher>Emerald Publishing Limited</b:Publisher>
    <b:YearAccessed>2022</b:YearAccessed>
    <b:MonthAccessed>12</b:MonthAccessed>
    <b:DayAccessed>04</b:DayAccessed>
    <b:URL>http://www.emeraldinsight.com/doi/10.1108/CCIJ-08-2021-0083</b:URL>
    <b:DOI>10.1108/CCIJ-08-2021-0083</b:DOI>
    <b:Author>
      <b:Author>
        <b:NameList>
          <b:Person>
            <b:Last>Georgiadou</b:Last>
            <b:First>Effrosyni</b:First>
          </b:Person>
        </b:NameList>
      </b:Author>
    </b:Author>
    <b:RefOrder>490</b:RefOrder>
  </b:Source>
  <b:Source>
    <b:Tag>Geo221</b:Tag>
    <b:SourceType>InternetSite</b:SourceType>
    <b:Guid>{B282F265-BB77-4C4C-B662-8A6B0038D852}</b:Guid>
    <b:Title>Semi-Structured Interview | Definition, Guide &amp; Examples</b:Title>
    <b:Year>2022</b:Year>
    <b:InternetSiteTitle>Scribbr</b:InternetSiteTitle>
    <b:Month>01</b:Month>
    <b:Day>27</b:Day>
    <b:URL>https://www.scribbr.com/methodology/semi-structured-interview/</b:URL>
    <b:Author>
      <b:Author>
        <b:NameList>
          <b:Person>
            <b:Last>George</b:Last>
            <b:First>Tegan</b:First>
          </b:Person>
        </b:NameList>
      </b:Author>
    </b:Author>
    <b:RefOrder>1243</b:RefOrder>
  </b:Source>
  <b:Source>
    <b:Tag>Gen17</b:Tag>
    <b:SourceType>JournalArticle</b:SourceType>
    <b:Guid>{5E96D94A-D6D0-49A9-B8AE-B74C6C36E375}</b:Guid>
    <b:Title>Consumer response to private label brands’ negative publicity: a relational effect on retailer’s store image</b:Title>
    <b:JournalName>Journal of Product and Brand management</b:JournalName>
    <b:Year>2017</b:Year>
    <b:Pages>204-222</b:Pages>
    <b:Month>04</b:Month>
    <b:Volume>26</b:Volume>
    <b:Issue>02</b:Issue>
    <b:YearAccessed>2022</b:YearAccessed>
    <b:MonthAccessed>06</b:MonthAccessed>
    <b:DayAccessed>16</b:DayAccessed>
    <b:DOI>10.1108/JPBM-05-2015-0880</b:DOI>
    <b:Author>
      <b:Author>
        <b:NameList>
          <b:Person>
            <b:Last>Gendel Guterman</b:Last>
            <b:First>Hanna</b:First>
          </b:Person>
          <b:Person>
            <b:Last>Levy</b:Last>
            <b:First>Shalom</b:First>
          </b:Person>
        </b:NameList>
      </b:Author>
    </b:Author>
    <b:RefOrder>300</b:RefOrder>
  </b:Source>
  <b:Source>
    <b:Tag>Gei23</b:Tag>
    <b:SourceType>JournalArticle</b:SourceType>
    <b:Guid>{A0BCDBD5-E2CC-483A-8AA7-39FFB6D1BA8F}</b:Guid>
    <b:Title>How religiosity influences the consumption of luxury goods: exploration of the moral halo effect</b:Title>
    <b:JournalName>European Journal of Marketing</b:JournalName>
    <b:Pages>2530-2555</b:Pages>
    <b:Publisher>Emerald Publishing Limited</b:Publisher>
    <b:Volume>53</b:Volume>
    <b:Issue>12</b:Issue>
    <b:YearAccessed>2023</b:YearAccessed>
    <b:MonthAccessed>06</b:MonthAccessed>
    <b:DayAccessed>11</b:DayAccessed>
    <b:DOI>https://doi.org/10.1108/EJM-01-2018-0016</b:DOI>
    <b:Author>
      <b:Author>
        <b:NameList>
          <b:Person>
            <b:Last>Geiger-Oneto</b:Last>
            <b:First>Stephanie </b:First>
          </b:Person>
          <b:Person>
            <b:Last>Minton</b:Last>
            <b:Middle>A.</b:Middle>
            <b:First>Elizabeth </b:First>
          </b:Person>
        </b:NameList>
      </b:Author>
    </b:Author>
    <b:Year>2019</b:Year>
    <b:Month>09</b:Month>
    <b:Day>27</b:Day>
    <b:RefOrder>1244</b:RefOrder>
  </b:Source>
  <b:Source>
    <b:Tag>Gef23</b:Tag>
    <b:SourceType>JournalArticle</b:SourceType>
    <b:Guid>{78B0CE03-BFBA-4F64-9FB1-7CCF99C03531}</b:Guid>
    <b:Title>A Practical Guide To Factorial Validity Using PLS-Graph: Tutorial And Annotated Example</b:Title>
    <b:JournalName>Communications of the Association for Information Systems</b:JournalName>
    <b:Author>
      <b:Author>
        <b:NameList>
          <b:Person>
            <b:Last>Gefen</b:Last>
            <b:First>David</b:First>
          </b:Person>
          <b:Person>
            <b:Last>Straub</b:Last>
            <b:First>Detmar </b:First>
          </b:Person>
        </b:NameList>
      </b:Author>
    </b:Author>
    <b:Volume>16</b:Volume>
    <b:YearAccessed>2023</b:YearAccessed>
    <b:MonthAccessed>07</b:MonthAccessed>
    <b:DayAccessed>27</b:DayAccessed>
    <b:DOI>https://doi.org/10.17705/1CAIS.01605</b:DOI>
    <b:Year>2005</b:Year>
    <b:RefOrder>227</b:RefOrder>
  </b:Source>
  <b:Source>
    <b:Tag>Gau17</b:Tag>
    <b:SourceType>JournalArticle</b:SourceType>
    <b:Guid>{1328B279-A5E4-4614-A4A2-F52E124F031D}</b:Guid>
    <b:Title>Corporate rhetorical strategies in the legitimation of genetically modified foods</b:Title>
    <b:JournalName>Journal of Communication Management</b:JournalName>
    <b:Year>2017</b:Year>
    <b:Pages>218-235</b:Pages>
    <b:Author>
      <b:Author>
        <b:NameList>
          <b:Person>
            <b:Last>Gauthier</b:Last>
            <b:First>Jeffrey </b:First>
          </b:Person>
          <b:Person>
            <b:Last>Kappen</b:Last>
            <b:Middle>A.</b:Middle>
            <b:First>Jeffrey </b:First>
          </b:Person>
        </b:NameList>
      </b:Author>
    </b:Author>
    <b:Month>08</b:Month>
    <b:Day>07</b:Day>
    <b:Volume>21</b:Volume>
    <b:Issue>03</b:Issue>
    <b:YearAccessed>2022</b:YearAccessed>
    <b:MonthAccessed>03</b:MonthAccessed>
    <b:DayAccessed>05</b:DayAccessed>
    <b:DOI>https://doi.org/10.1108/JCOM-10-2016-0081</b:DOI>
    <b:RefOrder>1245</b:RefOrder>
  </b:Source>
  <b:Source>
    <b:Tag>Gat12</b:Tag>
    <b:SourceType>JournalArticle</b:SourceType>
    <b:Guid>{5578D82C-17CE-4432-9AEF-7F7E2A5B648B}</b:Guid>
    <b:Title>The role of corporate social responsibility, perceived uality and corporate reputation on purchase intention: Implications for brand management</b:Title>
    <b:JournalName>Journal of brand Management</b:JournalName>
    <b:Year>2012</b:Year>
    <b:Pages>65-76</b:Pages>
    <b:Month>03</b:Month>
    <b:Day>16</b:Day>
    <b:Volume>20</b:Volume>
    <b:YearAccessed>2023</b:YearAccessed>
    <b:MonthAccessed>03</b:MonthAccessed>
    <b:DayAccessed>18</b:DayAccessed>
    <b:DOI>https://doi.org/10.1057/bm.2012.2</b:DOI>
    <b:Author>
      <b:Author>
        <b:NameList>
          <b:Person>
            <b:Last>Gatti</b:Last>
            <b:First>Lucia </b:First>
          </b:Person>
          <b:Person>
            <b:Last>Caruana</b:Last>
            <b:First>Albert </b:First>
          </b:Person>
          <b:Person>
            <b:Last>Snehota</b:Last>
            <b:First>Ivan </b:First>
          </b:Person>
        </b:NameList>
      </b:Author>
    </b:Author>
    <b:RefOrder>681</b:RefOrder>
  </b:Source>
  <b:Source>
    <b:Tag>Gar22</b:Tag>
    <b:SourceType>Book</b:SourceType>
    <b:Guid>{AF64D69E-D8E1-4A94-86C9-773DADCC31C5}</b:Guid>
    <b:Title>Doing Research in the Real World</b:Title>
    <b:Publisher>Sage Publishing</b:Publisher>
    <b:Edition>4th</b:Edition>
    <b:YearAccessed>2022</b:YearAccessed>
    <b:MonthAccessed>11</b:MonthAccessed>
    <b:DayAccessed>11</b:DayAccessed>
    <b:Author>
      <b:Author>
        <b:NameList>
          <b:Person>
            <b:Last>Gary</b:Last>
            <b:Middle>E.</b:Middle>
            <b:First>David </b:First>
          </b:Person>
        </b:NameList>
      </b:Author>
    </b:Author>
    <b:Year>2018</b:Year>
    <b:RefOrder>891</b:RefOrder>
  </b:Source>
  <b:Source>
    <b:Tag>Gar17</b:Tag>
    <b:SourceType>JournalArticle</b:SourceType>
    <b:Guid>{2AAA810B-9B82-4968-AC3E-9B2C25DB6A54}</b:Guid>
    <b:Title>Green Marketing: An Emerging Approach to Sustainable Development</b:Title>
    <b:JournalName>International Journal of Applied Agricultural Research</b:JournalName>
    <b:Year>2017</b:Year>
    <b:Pages>177-184</b:Pages>
    <b:Publisher>Research India Publications</b:Publisher>
    <b:Volume>12</b:Volume>
    <b:Issue>2</b:Issue>
    <b:YearAccessed>2023</b:YearAccessed>
    <b:MonthAccessed>05</b:MonthAccessed>
    <b:DayAccessed>14</b:DayAccessed>
    <b:URL>https://www.ripublication.com/ijaar17/ijaarv12n2_07.pdf</b:URL>
    <b:Author>
      <b:Author>
        <b:NameList>
          <b:Person>
            <b:Last>Garg</b:Last>
            <b:First>Shruti</b:First>
          </b:Person>
          <b:Person>
            <b:Last>Sharma</b:Last>
            <b:First>Vandana </b:First>
          </b:Person>
        </b:NameList>
      </b:Author>
    </b:Author>
    <b:RefOrder>4</b:RefOrder>
  </b:Source>
  <b:Source>
    <b:Tag>Gar55</b:Tag>
    <b:SourceType>JournalArticle</b:SourceType>
    <b:Guid>{99607C4C-884F-4670-9642-EAB061CA47D1}</b:Guid>
    <b:Title>The Product and the Brand.</b:Title>
    <b:JournalName>Harvard Business Review</b:JournalName>
    <b:Year>1955</b:Year>
    <b:Pages>33-39</b:Pages>
    <b:Month>04</b:Month>
    <b:Volume>30</b:Volume>
    <b:Author>
      <b:Author>
        <b:NameList>
          <b:Person>
            <b:Last>Gardener </b:Last>
            <b:Middle>B.</b:Middle>
            <b:First>B.</b:First>
          </b:Person>
          <b:Person>
            <b:Last>Levy</b:Last>
            <b:Middle>J.</b:Middle>
            <b:First>S. </b:First>
          </b:Person>
        </b:NameList>
      </b:Author>
    </b:Author>
    <b:RefOrder>1246</b:RefOrder>
  </b:Source>
  <b:Source>
    <b:Tag>Gar201</b:Tag>
    <b:SourceType>JournalArticle</b:SourceType>
    <b:Guid>{519DFB2A-FA69-4C7A-8C85-0F992D80365E}</b:Guid>
    <b:Title>Do institutional investors drive corporate transparency regarding business contribution to the sustainable development goals?</b:Title>
    <b:JournalName>Business Strategy and Environment</b:JournalName>
    <b:Year>2020</b:Year>
    <b:Pages>2019-2036</b:Pages>
    <b:Month>02</b:Month>
    <b:Day>01</b:Day>
    <b:Volume>29</b:Volume>
    <b:Issue>5</b:Issue>
    <b:YearAccessed>2023</b:YearAccessed>
    <b:MonthAccessed>02</b:MonthAccessed>
    <b:DayAccessed>17</b:DayAccessed>
    <b:URL>https://doi.org/10.1002/bse.2485</b:URL>
    <b:Author>
      <b:Author>
        <b:NameList>
          <b:Person>
            <b:Last>García-Sánchez</b:Last>
            <b:First>Isabel-María </b:First>
          </b:Person>
          <b:Person>
            <b:Last>Rodríguez-Ariza</b:Last>
            <b:First>Lázaro </b:First>
          </b:Person>
          <b:Person>
            <b:Last>Aibar-Guzmán</b:Last>
            <b:First>Beatriz </b:First>
          </b:Person>
          <b:Person>
            <b:Last>Aibar-Guzmán</b:Last>
            <b:First>Cristina </b:First>
          </b:Person>
        </b:NameList>
      </b:Author>
    </b:Author>
    <b:RefOrder>537</b:RefOrder>
  </b:Source>
  <b:Source>
    <b:Tag>Gar20</b:Tag>
    <b:SourceType>BookSection</b:SourceType>
    <b:Guid>{70F5A1B0-AF81-42C0-B010-584389FBDD5E}</b:Guid>
    <b:Title>Reinventing Television News: Innovative Formats in a Social Media Environment</b:Title>
    <b:Year>2020</b:Year>
    <b:Pages>143-155</b:Pages>
    <b:BookTitle>Journalistic Metamorphis</b:BookTitle>
    <b:Publisher>Springer Link</b:Publisher>
    <b:Author>
      <b:Author>
        <b:NameList>
          <b:Person>
            <b:Last>García-Avilés</b:Last>
            <b:Middle>A</b:Middle>
            <b:First>Jose </b:First>
          </b:Person>
        </b:NameList>
      </b:Author>
    </b:Author>
    <b:YearAccessed>2022</b:YearAccessed>
    <b:MonthAccessed>01</b:MonthAccessed>
    <b:DayAccessed>22</b:DayAccessed>
    <b:URL>https://link.springer.com/chapter/10.1007/978-3-030-36315-4_11</b:URL>
    <b:RefOrder>408</b:RefOrder>
  </b:Source>
  <b:Source>
    <b:Tag>Gal10</b:Tag>
    <b:SourceType>JournalArticle</b:SourceType>
    <b:Guid>{F178B43A-6207-406C-8EF5-2FB6FE9013A6}</b:Guid>
    <b:Title>How does corporate social responsibility benefit firms? Evidence from Australia</b:Title>
    <b:JournalName>European Business Review</b:JournalName>
    <b:Year>2010</b:Year>
    <b:Pages>411-431</b:Pages>
    <b:Author>
      <b:Author>
        <b:NameList>
          <b:Person>
            <b:Last>Gallbreath</b:Last>
            <b:First>Jeremy </b:First>
          </b:Person>
        </b:NameList>
      </b:Author>
    </b:Author>
    <b:Month>06</b:Month>
    <b:Volume>22</b:Volume>
    <b:Issue>4</b:Issue>
    <b:YearAccessed>2021</b:YearAccessed>
    <b:MonthAccessed>11</b:MonthAccessed>
    <b:DayAccessed>24</b:DayAccessed>
    <b:DOI> https://doi-org.lsbu.idm.oclc.org/10.1108/09555341011056186</b:DOI>
    <b:RefOrder>153</b:RefOrder>
  </b:Source>
  <b:Source>
    <b:Tag>Gal19</b:Tag>
    <b:SourceType>JournalArticle</b:SourceType>
    <b:Guid>{57408560-2308-44C5-B5BD-3FC2696A655C}</b:Guid>
    <b:Title>Corporate Social Responsibility and Intellectual Capital: Sources of Competitiveness and Legitimacy in Organizations’ Management Practices</b:Title>
    <b:JournalName>Sustainability</b:JournalName>
    <b:Year>2019</b:Year>
    <b:Month>10</b:Month>
    <b:Day>21</b:Day>
    <b:Volume>11</b:Volume>
    <b:Issue>20</b:Issue>
    <b:YearAccessed>2023</b:YearAccessed>
    <b:MonthAccessed>06</b:MonthAccessed>
    <b:DayAccessed>03</b:DayAccessed>
    <b:DOI>https://doi.org/10.3390/su11205843</b:DOI>
    <b:Author>
      <b:Author>
        <b:NameList>
          <b:Person>
            <b:Last>Gallardo-Vázquez</b:Last>
            <b:First>Dolores </b:First>
          </b:Person>
          <b:Person>
            <b:Last> Valdez-Juárez</b:Last>
            <b:Middle>Enrique</b:Middle>
            <b:First>Luis </b:First>
          </b:Person>
          <b:Person>
            <b:Last>Lizcano-Álvarez</b:Last>
            <b:Middle>Luis </b:Middle>
            <b:First>José </b:First>
          </b:Person>
        </b:NameList>
      </b:Author>
    </b:Author>
    <b:RefOrder>82</b:RefOrder>
  </b:Source>
  <b:Source>
    <b:Tag>Gal17</b:Tag>
    <b:SourceType>JournalArticle</b:SourceType>
    <b:Guid>{3E9CA6BC-CBFB-41CE-A8D8-2703987B350C}</b:Guid>
    <b:Title>Corporate social responsibility and financial performance relationship: a review of measurement approaches</b:Title>
    <b:JournalName>Economic Research-Ekonomska Istraživanja </b:JournalName>
    <b:Year>2017</b:Year>
    <b:Pages>676-693</b:Pages>
    <b:Author>
      <b:Author>
        <b:NameList>
          <b:Person>
            <b:Last>Galant</b:Last>
            <b:First>Adriana</b:First>
          </b:Person>
          <b:Person>
            <b:Last>Cadez</b:Last>
            <b:First>Simon</b:First>
          </b:Person>
        </b:NameList>
      </b:Author>
    </b:Author>
    <b:Month>05</b:Month>
    <b:Day>08</b:Day>
    <b:Volume>30</b:Volume>
    <b:Issue>01</b:Issue>
    <b:YearAccessed>2022</b:YearAccessed>
    <b:MonthAccessed>04</b:MonthAccessed>
    <b:DayAccessed>25</b:DayAccessed>
    <b:DOI>https://doi.org/10.1080/1331677X.2017.1313122</b:DOI>
    <b:RefOrder>1247</b:RefOrder>
  </b:Source>
  <b:Source>
    <b:Tag>Gal23</b:Tag>
    <b:SourceType>Report</b:SourceType>
    <b:Guid>{296BE0E8-10B7-4F5E-871C-F77562C22940}</b:Guid>
    <b:Title>Male labor force participation rate in Egypt 2012-2022</b:Title>
    <b:Year>2023</b:Year>
    <b:Author>
      <b:Author>
        <b:NameList>
          <b:Person>
            <b:Last>Galal</b:Last>
            <b:First>Saifaddin</b:First>
          </b:Person>
        </b:NameList>
      </b:Author>
    </b:Author>
    <b:Institution>Statista</b:Institution>
    <b:YearAccessed>2023</b:YearAccessed>
    <b:MonthAccessed>08</b:MonthAccessed>
    <b:DayAccessed>10</b:DayAccessed>
    <b:DOI>https://www.statista.com/statistics/1294939/male-labor-force-participation-rate-in-egypt/</b:DOI>
    <b:RefOrder>810</b:RefOrder>
  </b:Source>
  <b:Source>
    <b:Tag>Gab21</b:Tag>
    <b:SourceType>JournalArticle</b:SourceType>
    <b:Guid>{77F66802-07D4-4F54-8303-23A458EB5184}</b:Guid>
    <b:Title>An Analysis of the Generalizability and Stability of the Halo Effect During the COVID-19 Pandemic Outbreak</b:Title>
    <b:JournalName>Frontiers in Psychology</b:JournalName>
    <b:Year>2021</b:Year>
    <b:Month>03</b:Month>
    <b:Day>21</b:Day>
    <b:YearAccessed>2023</b:YearAccessed>
    <b:MonthAccessed>03</b:MonthAccessed>
    <b:DayAccessed>08</b:DayAccessed>
    <b:DOI>https://doi.org/10.3389/fpsyg.2021.631871</b:DOI>
    <b:Author>
      <b:Author>
        <b:NameList>
          <b:Person>
            <b:Last>Gabrieli</b:Last>
            <b:First>Giulio </b:First>
          </b:Person>
          <b:Person>
            <b:Last>Lee</b:Last>
            <b:First>Albert</b:First>
          </b:Person>
          <b:Person>
            <b:Last>Setoh</b:Last>
            <b:First>Peipei </b:First>
          </b:Person>
          <b:Person>
            <b:Last>Esposito</b:Last>
            <b:First>Gianluca </b:First>
          </b:Person>
        </b:NameList>
      </b:Author>
    </b:Author>
    <b:RefOrder>675</b:RefOrder>
  </b:Source>
  <b:Source>
    <b:Tag>Fre18</b:Tag>
    <b:SourceType>ConferenceProceedings</b:SourceType>
    <b:Guid>{6419B675-E95E-4FE9-89DB-AC59B8394D93}</b:Guid>
    <b:Title>Deep analysis in aggressive Mexican tweets</b:Title>
    <b:Year>2018</b:Year>
    <b:ConferenceName>IberEval 2018 Evaluation of Human Language Technologies for Iberian Languages Workshop 2018</b:ConferenceName>
    <b:City>Spain</b:City>
    <b:Author>
      <b:Author>
        <b:NameList>
          <b:Person>
            <b:Last>Frenda</b:Last>
            <b:First>Simona</b:First>
          </b:Person>
          <b:Person>
            <b:Last>Banerjee</b:Last>
            <b:First>Somnath </b:First>
          </b:Person>
        </b:NameList>
      </b:Author>
    </b:Author>
    <b:RefOrder>993</b:RefOrder>
  </b:Source>
  <b:Source>
    <b:Tag>Fre23</b:Tag>
    <b:SourceType>JournalArticle</b:SourceType>
    <b:Guid>{2B73C534-F46C-4785-AB76-B676E67E8EAD}</b:Guid>
    <b:Title>Corporate social responsibility and stakeholder theory: Learning from each other</b:Title>
    <b:JournalName>Emerging Issues in Management,</b:JournalName>
    <b:Pages>7-15</b:Pages>
    <b:Issue>1</b:Issue>
    <b:YearAccessed>2023</b:YearAccessed>
    <b:MonthAccessed>02</b:MonthAccessed>
    <b:DayAccessed>17</b:DayAccessed>
    <b:DOI>http://dx.doi.org/10.4468/2017.1.02freeman.dmytriyev</b:DOI>
    <b:Author>
      <b:Author>
        <b:NameList>
          <b:Person>
            <b:Last>Freeman</b:Last>
            <b:Middle>Edward </b:Middle>
            <b:First>R. </b:First>
          </b:Person>
          <b:Person>
            <b:Last>Dmytriyev</b:Last>
            <b:First>Sergiy </b:First>
          </b:Person>
        </b:NameList>
      </b:Author>
    </b:Author>
    <b:Year>2017</b:Year>
    <b:RefOrder>541</b:RefOrder>
  </b:Source>
  <b:Source>
    <b:Tag>Fre16</b:Tag>
    <b:SourceType>JournalArticle</b:SourceType>
    <b:Guid>{7AEC0548-9C29-4ED1-A858-10F80583DCD3}</b:Guid>
    <b:Title>Commentary: Corporate Social Responsibility: Deep Roots, Flourishing Growth, Promising Future</b:Title>
    <b:JournalName>Fronteirs in Psychology</b:JournalName>
    <b:Year>2016</b:Year>
    <b:Month>02</b:Month>
    <b:Day>15</b:Day>
    <b:YearAccessed>2021</b:YearAccessed>
    <b:MonthAccessed>10</b:MonthAccessed>
    <b:DayAccessed>10</b:DayAccessed>
    <b:DOI>https://doi.org/10.3389/fpsyg.2016.00129</b:DOI>
    <b:Author>
      <b:Author>
        <b:NameList>
          <b:Person>
            <b:Last>Frederick</b:Last>
            <b:Middle>C</b:Middle>
            <b:First>William</b:First>
          </b:Person>
        </b:NameList>
      </b:Author>
    </b:Author>
    <b:RefOrder>387</b:RefOrder>
  </b:Source>
  <b:Source>
    <b:Tag>Fra10</b:Tag>
    <b:SourceType>JournalArticle</b:SourceType>
    <b:Guid>{8989DD67-D61C-494C-8FF0-D6142EB8EAB2}</b:Guid>
    <b:Title>What is an adequate sample size? Operationalising data saturation for theory-driven interview studies.</b:Title>
    <b:JournalName>Psychology and Health</b:JournalName>
    <b:Year>2010</b:Year>
    <b:Pages>1229-1245</b:Pages>
    <b:Volume>25</b:Volume>
    <b:Issue>10</b:Issue>
    <b:YearAccessed>2023</b:YearAccessed>
    <b:MonthAccessed>03</b:MonthAccessed>
    <b:DayAccessed>31</b:DayAccessed>
    <b:DOI>https://doi.org/10.1080/08870440903194015</b:DOI>
    <b:Author>
      <b:Author>
        <b:NameList>
          <b:Person>
            <b:Last>Francis</b:Last>
            <b:Middle>J.</b:Middle>
            <b:First>Jill</b:First>
          </b:Person>
          <b:Person>
            <b:Last>Johnston</b:Last>
            <b:First>Marie </b:First>
          </b:Person>
          <b:Person>
            <b:Last>Robertson</b:Last>
            <b:First>Clare </b:First>
          </b:Person>
          <b:Person>
            <b:Last>Glidewell</b:Last>
            <b:First>Liz</b:First>
          </b:Person>
          <b:Person>
            <b:Last>Entwistle</b:Last>
            <b:First>Vikki </b:First>
          </b:Person>
          <b:Person>
            <b:Last>Eccles</b:Last>
            <b:Middle>P.</b:Middle>
            <b:First>Martin </b:First>
          </b:Person>
          <b:Person>
            <b:Last>Grimshaw</b:Last>
            <b:Middle>M.</b:Middle>
            <b:First>Jeremy</b:First>
          </b:Person>
        </b:NameList>
      </b:Author>
    </b:Author>
    <b:RefOrder>1016</b:RefOrder>
  </b:Source>
  <b:Source>
    <b:Tag>Fra16</b:Tag>
    <b:SourceType>JournalArticle</b:SourceType>
    <b:Guid>{5CE56A58-7CAB-4955-820A-80DE837D9F1E}</b:Guid>
    <b:Title>An integrated model of customer-brand engagement: drivers and consequences</b:Title>
    <b:JournalName>Journal of Brand Management</b:JournalName>
    <b:Year>2016</b:Year>
    <b:Pages>119-136</b:Pages>
    <b:Author>
      <b:Author>
        <b:NameList>
          <b:Person>
            <b:Last>France</b:Last>
            <b:First>C.</b:First>
          </b:Person>
          <b:Person>
            <b:Last>Merrilees</b:Last>
            <b:First>B.</b:First>
          </b:Person>
          <b:Person>
            <b:Last>Miller </b:Last>
            <b:First>D</b:First>
          </b:Person>
        </b:NameList>
      </b:Author>
    </b:Author>
    <b:Volume>23</b:Volume>
    <b:Issue>2</b:Issue>
    <b:RefOrder>691</b:RefOrder>
  </b:Source>
  <b:Source>
    <b:Tag>Fow23</b:Tag>
    <b:SourceType>JournalArticle</b:SourceType>
    <b:Guid>{72893116-A9C8-4B7B-AD7E-AAED02133625}</b:Guid>
    <b:Title>Influencer marketing: a scoping review and a look ahead</b:Title>
    <b:JournalName>Journal of Marketing Management</b:JournalName>
    <b:Year>2023</b:Year>
    <b:Month>01</b:Month>
    <b:Day>05</b:Day>
    <b:Publisher>Taylor &amp; Francis </b:Publisher>
    <b:YearAccessed>2023</b:YearAccessed>
    <b:MonthAccessed>02</b:MonthAccessed>
    <b:DayAccessed>03</b:DayAccessed>
    <b:DOI>https://doi.org/10.1080/0267257X.2022.2157038</b:DOI>
    <b:Author>
      <b:Author>
        <b:NameList>
          <b:Person>
            <b:Last>Fowler</b:Last>
            <b:First>Kendra </b:First>
          </b:Person>
          <b:Person>
            <b:Last>Thomas</b:Last>
            <b:Middle>L.</b:Middle>
            <b:First>Veronica </b:First>
          </b:Person>
        </b:NameList>
      </b:Author>
    </b:Author>
    <b:RefOrder>1248</b:RefOrder>
  </b:Source>
  <b:Source>
    <b:Tag>Fos09</b:Tag>
    <b:SourceType>JournalArticle</b:SourceType>
    <b:Guid>{1A75B716-09B8-45DD-A1C3-8330BDE5706C}</b:Guid>
    <b:Title>Masters of War: Rivals' Product Innovation and New Advertising in Mature Product Markets</b:Title>
    <b:JournalName>Management Science</b:JournalName>
    <b:Year>2009</b:Year>
    <b:Pages>181-191</b:Pages>
    <b:Month>02</b:Month>
    <b:Volume>55</b:Volume>
    <b:Issue>2</b:Issue>
    <b:YearAccessed>2022</b:YearAccessed>
    <b:MonthAccessed>01</b:MonthAccessed>
    <b:DayAccessed>25</b:DayAccessed>
    <b:DOI>https://doi.org/10.1287/mnsc.1080.0939</b:DOI>
    <b:Author>
      <b:Author>
        <b:NameList>
          <b:Person>
            <b:Last>Fosfuri </b:Last>
            <b:First>Andrea </b:First>
          </b:Person>
          <b:Person>
            <b:Last>Giarratana</b:Last>
            <b:Middle>S</b:Middle>
            <b:First>Marco</b:First>
          </b:Person>
        </b:NameList>
      </b:Author>
    </b:Author>
    <b:RefOrder>156</b:RefOrder>
  </b:Source>
  <b:Source>
    <b:Tag>For19</b:Tag>
    <b:SourceType>JournalArticle</b:SourceType>
    <b:Guid>{EE68F6F9-0305-4B2E-AF8C-D03BD9A373D1}</b:Guid>
    <b:Title>Influence of brand signature, brand awareness, brand attitude, brand reputation on hotel industry’s brand performance</b:Title>
    <b:JournalName>International Journal of Hospitality Management</b:JournalName>
    <b:Year>2019</b:Year>
    <b:Pages>271-285</b:Pages>
    <b:Author>
      <b:Author>
        <b:NameList>
          <b:Person>
            <b:Last>Foroudi</b:Last>
            <b:First>Pantea </b:First>
          </b:Person>
        </b:NameList>
      </b:Author>
    </b:Author>
    <b:Month>01</b:Month>
    <b:Volume>76</b:Volume>
    <b:YearAccessed>2023</b:YearAccessed>
    <b:MonthAccessed>07</b:MonthAccessed>
    <b:DayAccessed>06</b:DayAccessed>
    <b:DOI>https://doi.org/10.1016/j.ijhm.2018.05.016</b:DOI>
    <b:RefOrder>248</b:RefOrder>
  </b:Source>
  <b:Source>
    <b:Tag>Fol05</b:Tag>
    <b:SourceType>BookSection</b:SourceType>
    <b:Guid>{D5A023DF-F89E-43F3-8C10-FFB7D9361159}</b:Guid>
    <b:Title>What is the relationship between justice and morality</b:Title>
    <b:Year>2005</b:Year>
    <b:Pages>215-245</b:Pages>
    <b:BookTitle>Handbook of Organizational Justice</b:BookTitle>
    <b:Author>
      <b:Author>
        <b:NameList>
          <b:Person>
            <b:Last>Folger</b:Last>
            <b:First>R</b:First>
          </b:Person>
          <b:Person>
            <b:Last>Cropanzano</b:Last>
            <b:First>R.</b:First>
          </b:Person>
          <b:Person>
            <b:Last>Goldman</b:Last>
            <b:First>B.</b:First>
          </b:Person>
        </b:NameList>
      </b:Author>
    </b:Author>
    <b:RefOrder>1249</b:RefOrder>
  </b:Source>
  <b:Source>
    <b:Tag>Fol15</b:Tag>
    <b:SourceType>JournalArticle</b:SourceType>
    <b:Guid>{46947EC1-4248-4DA7-AE7D-712FCD80A0D2}</b:Guid>
    <b:Title>Using Grounded Theory Method to Capture and Analyze Health Care Experiences</b:Title>
    <b:Year>2015</b:Year>
    <b:JournalName>Health services research</b:JournalName>
    <b:Pages>1195–1210</b:Pages>
    <b:Month>08</b:Month>
    <b:Volume>50</b:Volume>
    <b:Issue>4</b:Issue>
    <b:DOI>https://doi.org/10.1111/1475-6773.12275</b:DOI>
    <b:Author>
      <b:Author>
        <b:NameList>
          <b:Person>
            <b:Last>Foley</b:Last>
            <b:First>Geraldine </b:First>
          </b:Person>
          <b:Person>
            <b:Last>Timonen</b:Last>
            <b:First>Virpi </b:First>
          </b:Person>
        </b:NameList>
      </b:Author>
    </b:Author>
    <b:RefOrder>987</b:RefOrder>
  </b:Source>
  <b:Source>
    <b:Tag>Fis75</b:Tag>
    <b:SourceType>JournalArticle</b:SourceType>
    <b:Guid>{1B2BA453-9041-4846-BEF3-4578D034E816}</b:Guid>
    <b:Title>Belief, attitude, intention and behaviour: An introduction to theory and research</b:Title>
    <b:Year>1975</b:Year>
    <b:Month>05</b:Month>
    <b:Publisher>Reading, MA: Addison-Wesley</b:Publisher>
    <b:Author>
      <b:Author>
        <b:NameList>
          <b:Person>
            <b:Last>Fishbein</b:Last>
            <b:Middle>A.</b:Middle>
            <b:First>M.</b:First>
          </b:Person>
          <b:Person>
            <b:Last>Ajzen</b:Last>
            <b:First>Icek</b:First>
          </b:Person>
        </b:NameList>
      </b:Author>
    </b:Author>
    <b:RefOrder>2</b:RefOrder>
  </b:Source>
  <b:Source>
    <b:Tag>Fis63</b:Tag>
    <b:SourceType>JournalArticle</b:SourceType>
    <b:Guid>{89ADD4E5-D4A5-4967-8586-26385D3685B6}</b:Guid>
    <b:Title>An Investigation of the Relationships between Beliefs about an Object and the Attitude toward that Object</b:Title>
    <b:JournalName>Human Relations</b:JournalName>
    <b:Year>1963</b:Year>
    <b:Pages>233–239</b:Pages>
    <b:Volume>16</b:Volume>
    <b:Issue>3</b:Issue>
    <b:YearAccessed>2023</b:YearAccessed>
    <b:MonthAccessed>03</b:MonthAccessed>
    <b:DayAccessed>05</b:DayAccessed>
    <b:DOI>https://doi.org/10.1177/001872676301600302</b:DOI>
    <b:Author>
      <b:Author>
        <b:NameList>
          <b:Person>
            <b:Last>Fishbein</b:Last>
            <b:First>M</b:First>
          </b:Person>
        </b:NameList>
      </b:Author>
    </b:Author>
    <b:RefOrder>1250</b:RefOrder>
  </b:Source>
  <b:Source>
    <b:Tag>Fin22</b:Tag>
    <b:SourceType>JournalArticle</b:SourceType>
    <b:Guid>{3E812A1B-1013-44E7-8A50-8038C49B3129}</b:Guid>
    <b:Title>A scoping review of outdoor food marketing: exposure, power and impacts on eating behaviour and health</b:Title>
    <b:JournalName>BMC Public Health </b:JournalName>
    <b:Year>2022</b:Year>
    <b:Month>07</b:Month>
    <b:Day>27</b:Day>
    <b:Volume>22</b:Volume>
    <b:YearAccessed>2023</b:YearAccessed>
    <b:MonthAccessed>02</b:MonthAccessed>
    <b:DayAccessed>03</b:DayAccessed>
    <b:DOI>https://doi.org/10.1186/s12889-022-13784-8</b:DOI>
    <b:Author>
      <b:Author>
        <b:NameList>
          <b:Person>
            <b:Last>Finlay</b:Last>
            <b:First>Amy </b:First>
          </b:Person>
          <b:Person>
            <b:Last>Robinson</b:Last>
            <b:First>Eric </b:First>
          </b:Person>
          <b:Person>
            <b:Last>Jones</b:Last>
            <b:First>Andrew </b:First>
          </b:Person>
          <b:Person>
            <b:Last>Maden</b:Last>
            <b:First>Michelle </b:First>
          </b:Person>
          <b:Person>
            <b:Last>Cerny</b:Last>
            <b:First>Caroline </b:First>
          </b:Person>
          <b:Person>
            <b:Last>Muc</b:Last>
            <b:First>Magdalena </b:First>
          </b:Person>
          <b:Person>
            <b:Last>Evans</b:Last>
            <b:First>Rebecca </b:First>
          </b:Person>
          <b:Person>
            <b:Last>Makin</b:Last>
            <b:First>Harriet </b:First>
          </b:Person>
          <b:Person>
            <b:Last>Boyland </b:Last>
            <b:First>Emma </b:First>
          </b:Person>
        </b:NameList>
      </b:Author>
    </b:Author>
    <b:RefOrder>1251</b:RefOrder>
  </b:Source>
  <b:Source>
    <b:Tag>Fin18</b:Tag>
    <b:SourceType>JournalArticle</b:SourceType>
    <b:Guid>{5DFA5DE8-EA73-4ACB-93E6-9EE0ABD6D1B2}</b:Guid>
    <b:Title>Motivation: The missing driver for theorizing about resource integration</b:Title>
    <b:JournalName>Marketing Theory</b:JournalName>
    <b:Year>2018</b:Year>
    <b:Pages>493-519</b:Pages>
    <b:Month>03</b:Month>
    <b:Day>23</b:Day>
    <b:Volume>18</b:Volume>
    <b:Issue>4</b:Issue>
    <b:YearAccessed>2023</b:YearAccessed>
    <b:MonthAccessed>02</b:MonthAccessed>
    <b:DayAccessed>17</b:DayAccessed>
    <b:DOI>https://doi.org/10.1177/1470593118764590</b:DOI>
    <b:Author>
      <b:Author>
        <b:NameList>
          <b:Person>
            <b:Last>Findsrud</b:Last>
            <b:First>Rolf </b:First>
          </b:Person>
          <b:Person>
            <b:Last>Tronvoll</b:Last>
            <b:First>Ba˚rd </b:First>
          </b:Person>
          <b:Person>
            <b:Last>Edvardsson</b:Last>
            <b:First>Bo </b:First>
          </b:Person>
        </b:NameList>
      </b:Author>
    </b:Author>
    <b:RefOrder>1252</b:RefOrder>
  </b:Source>
  <b:Source>
    <b:Tag>Fer20</b:Tag>
    <b:SourceType>JournalArticle</b:SourceType>
    <b:Guid>{E6EB58A4-6C91-4FA1-A6E2-5512D9978E66}</b:Guid>
    <b:Title>Sub-national consumer ethnocentrism and the importance of the origin of food products: an exploratory analysis</b:Title>
    <b:JournalName>British Food Journal</b:JournalName>
    <b:Year>2020</b:Year>
    <b:Pages>995-1010</b:Pages>
    <b:Volume>122</b:Volume>
    <b:Issue>3</b:Issue>
    <b:Month>02</b:Month>
    <b:Day>20</b:Day>
    <b:Publisher>Emerald Publishing Limited</b:Publisher>
    <b:YearAccessed>2021</b:YearAccessed>
    <b:MonthAccessed>12</b:MonthAccessed>
    <b:DayAccessed>26</b:DayAccessed>
    <b:DOI>https://doi.org/10.1108/BFJ-09-2019-0746</b:DOI>
    <b:Author>
      <b:Author>
        <b:NameList>
          <b:Person>
            <b:Last>Fernández-Ferrín</b:Last>
            <b:First>Pilar</b:First>
          </b:Person>
          <b:Person>
            <b:Last>Bande</b:Last>
            <b:First>Belén </b:First>
          </b:Person>
          <b:Person>
            <b:Last>Martín-Consuegra</b:Last>
            <b:First>David</b:First>
          </b:Person>
          <b:Person>
            <b:Last>Díaz</b:Last>
            <b:First>Estrella </b:First>
          </b:Person>
          <b:Person>
            <b:Last>Kastenholz</b:Last>
            <b:First>Elisabeth </b:First>
          </b:Person>
        </b:NameList>
      </b:Author>
    </b:Author>
    <b:RefOrder>1253</b:RefOrder>
  </b:Source>
  <b:Source>
    <b:Tag>Fer211</b:Tag>
    <b:SourceType>JournalArticle</b:SourceType>
    <b:Guid>{B9F373D3-E97F-41D9-8815-14C6865B68D0}</b:Guid>
    <b:Title>What drives CSR communication effectiveness on social media? A process-based theoretical framework and research agenda</b:Title>
    <b:JournalName>International Journal of Advertising</b:JournalName>
    <b:Year>2021</b:Year>
    <b:Pages>385-413</b:Pages>
    <b:Month>07</b:Month>
    <b:Day>12</b:Day>
    <b:Volume>41</b:Volume>
    <b:Issue>3</b:Issue>
    <b:YearAccessed>2023</b:YearAccessed>
    <b:MonthAccessed>04</b:MonthAccessed>
    <b:DayAccessed>16</b:DayAccessed>
    <b:DOI>https://doi.org/10.1080/02650487.2021.1947016</b:DOI>
    <b:Author>
      <b:Author>
        <b:NameList>
          <b:Person>
            <b:Last>Fernández</b:Last>
            <b:First>Paula </b:First>
          </b:Person>
          <b:Person>
            <b:Last>Hartmann</b:Last>
            <b:First>Patrick</b:First>
          </b:Person>
          <b:Person>
            <b:Last>Apaolaza</b:Last>
            <b:First>Vanessa </b:First>
          </b:Person>
        </b:NameList>
      </b:Author>
    </b:Author>
    <b:RefOrder>1032</b:RefOrder>
  </b:Source>
  <b:Source>
    <b:Tag>Fer21</b:Tag>
    <b:SourceType>JournalArticle</b:SourceType>
    <b:Guid>{FAF5B901-998A-4DB8-B04F-257FA6814ADC}</b:Guid>
    <b:Title>What drives CSR communication effectiveness on social media? A process-based theoretical framework and research agenda</b:Title>
    <b:JournalName>International Journal of Advertising</b:JournalName>
    <b:Year>2021</b:Year>
    <b:Pages>385-413</b:Pages>
    <b:Month>07</b:Month>
    <b:Day>12</b:Day>
    <b:Volume>41</b:Volume>
    <b:Issue>03</b:Issue>
    <b:YearAccessed>2023</b:YearAccessed>
    <b:MonthAccessed>02</b:MonthAccessed>
    <b:DayAccessed>03</b:DayAccessed>
    <b:URL>https://www.tandfonline.com/doi/full/10.1080/02650487.2021.1947016?casa_token=7Joq_82cxB8AAAAA%3AdrzpWq_Ur-tWlgr-BVNfUYT0ksiHeXlnHneo8kW1V8lLp23EpGywBEuvtt5ksoYCLciVlO33XY4j</b:URL>
    <b:DOI>https://doi.org/10.1080/02650487.2021.1947016</b:DOI>
    <b:Author>
      <b:Author>
        <b:NameList>
          <b:Person>
            <b:Last>Fernández</b:Last>
            <b:First>Paula </b:First>
          </b:Person>
          <b:Person>
            <b:Last>Hartmann</b:Last>
            <b:First>Patrick </b:First>
          </b:Person>
          <b:Person>
            <b:Last>Apaolaza</b:Last>
            <b:First>Vanessa </b:First>
          </b:Person>
        </b:NameList>
      </b:Author>
    </b:Author>
    <b:RefOrder>10</b:RefOrder>
  </b:Source>
  <b:Source>
    <b:Tag>Fea17</b:Tag>
    <b:SourceType>JournalArticle</b:SourceType>
    <b:Guid>{98B5F564-96DB-4993-96B7-DD52C96EC093}</b:Guid>
    <b:Title>MORE SCREENS, MORE CHOICE, MORE DIVERSE VIEWING ACTIVITY: Q2 2017 AUSTRALIAN VIDEO VIEWING REPORT</b:Title>
    <b:Year>2017</b:Year>
    <b:Month>10</b:Month>
    <b:Day>30</b:Day>
    <b:URL>https://oztam.com.au/documents/Other/Q2%202017%20AVVR_release.pdf</b:URL>
    <b:JournalName>Regional TAM, OzTAM, Nielsen</b:JournalName>
    <b:YearAccessed>2023</b:YearAccessed>
    <b:MonthAccessed>02</b:MonthAccessed>
    <b:DayAccessed>21</b:DayAccessed>
    <b:Author>
      <b:Author>
        <b:NameList>
          <b:Person>
            <b:Last>Fearn</b:Last>
            <b:First>Margaret </b:First>
          </b:Person>
          <b:Person>
            <b:Last>Helliker</b:Last>
            <b:First>Jackie </b:First>
          </b:Person>
        </b:NameList>
      </b:Author>
    </b:Author>
    <b:RefOrder>435</b:RefOrder>
  </b:Source>
  <b:Source>
    <b:Tag>Faz22</b:Tag>
    <b:SourceType>JournalArticle</b:SourceType>
    <b:Guid>{94381FA0-3FB1-4AE0-B2BA-10EB600B41FC}</b:Guid>
    <b:Title>The Impact of Consumers’ Ethnic Disidentification and Cosmopolitanism on Multicultural Advertising</b:Title>
    <b:JournalName>Journal of International Consumer Marketing</b:JournalName>
    <b:Year>2022</b:Year>
    <b:Pages>388-403</b:Pages>
    <b:Author>
      <b:Author>
        <b:NameList>
          <b:Person>
            <b:Last>Fazli-Salehi</b:Last>
            <b:First>Reza </b:First>
          </b:Person>
          <b:Person>
            <b:Last>Torres</b:Last>
            <b:Middle>M.</b:Middle>
            <b:First>Ivonne </b:First>
          </b:Person>
          <b:Person>
            <b:Last>Madadi</b:Last>
            <b:First>Rozbeh </b:First>
          </b:Person>
          <b:Person>
            <b:Last>Zúñiga</b:Last>
            <b:Middle>Ángel </b:Middle>
            <b:First>Miguel </b:First>
          </b:Person>
        </b:NameList>
      </b:Author>
    </b:Author>
    <b:Month>09</b:Month>
    <b:Day>06</b:Day>
    <b:Volume>35</b:Volume>
    <b:Issue>4</b:Issue>
    <b:YearAccessed>2023</b:YearAccessed>
    <b:MonthAccessed>08</b:MonthAccessed>
    <b:DayAccessed>09</b:DayAccessed>
    <b:DOI>https://doi-org.lsbu.idm.oclc.org/10.1080/08961530.2022.2117755</b:DOI>
    <b:RefOrder>236</b:RefOrder>
  </b:Source>
  <b:Source>
    <b:Tag>Fau17</b:Tag>
    <b:SourceType>BookSection</b:SourceType>
    <b:Guid>{C94FE40D-8D83-4D7F-BF0D-36C253737CB6}</b:Guid>
    <b:Title>Data Saturation</b:Title>
    <b:Year>2017</b:Year>
    <b:BookTitle>The International Encyclopedia of Communication Research Methods</b:BookTitle>
    <b:Publisher>John Wiley &amp; Sons, Inc.</b:Publisher>
    <b:Author>
      <b:Author>
        <b:NameList>
          <b:Person>
            <b:Last>Faulkner</b:Last>
            <b:Middle>L.</b:Middle>
            <b:First>Sandra </b:First>
          </b:Person>
          <b:Person>
            <b:Last>Trotter</b:Last>
            <b:Middle>P.</b:Middle>
            <b:First>Stormy </b:First>
          </b:Person>
        </b:NameList>
      </b:Author>
    </b:Author>
    <b:YearAccessed>2023</b:YearAccessed>
    <b:MonthAccessed>03</b:MonthAccessed>
    <b:DayAccessed>31</b:DayAccessed>
    <b:DOI>https://doi.org/10.1002/9781118901731.iecrm0060</b:DOI>
    <b:RefOrder>1012</b:RefOrder>
  </b:Source>
  <b:Source>
    <b:Tag>Fat16</b:Tag>
    <b:SourceType>JournalArticle</b:SourceType>
    <b:Guid>{32C54392-DDCC-483A-9FF9-AAFE7E9E4185}</b:Guid>
    <b:Title>Measuring consumer perception of CSR in tourism industry: Scale development and validation</b:Title>
    <b:JournalName>Journal of Hospitality and Tourism Management</b:JournalName>
    <b:Year>2016</b:Year>
    <b:Pages>39-48</b:Pages>
    <b:Author>
      <b:Author>
        <b:NameList>
          <b:Person>
            <b:Last>Fatma</b:Last>
            <b:First>Mobin</b:First>
          </b:Person>
          <b:Person>
            <b:Last>Rahman</b:Last>
            <b:First>Zillur</b:First>
          </b:Person>
          <b:Person>
            <b:Last>Khan</b:Last>
            <b:First>Imran</b:First>
          </b:Person>
        </b:NameList>
      </b:Author>
    </b:Author>
    <b:Month>06</b:Month>
    <b:Volume>27</b:Volume>
    <b:YearAccessed>2022</b:YearAccessed>
    <b:MonthAccessed>07</b:MonthAccessed>
    <b:DayAccessed>16</b:DayAccessed>
    <b:DOI>https://doi.org/10.1016/j.jhtm.2016.03.002</b:DOI>
    <b:RefOrder>1254</b:RefOrder>
  </b:Source>
  <b:Source>
    <b:Tag>Far19</b:Tag>
    <b:SourceType>JournalArticle</b:SourceType>
    <b:Guid>{F53EB84A-265C-45B4-87C5-1BF6E7B28BF9}</b:Guid>
    <b:Title>Entrepreneurial intentions: The role of individualism and collectivism in perspective of theory of planned behaviour</b:Title>
    <b:JournalName>Education + Training</b:JournalName>
    <b:Year>2019</b:Year>
    <b:Pages>984-1000</b:Pages>
    <b:Author>
      <b:Author>
        <b:NameList>
          <b:Person>
            <b:Last>Farrukh</b:Last>
            <b:First>Muhammad </b:First>
          </b:Person>
          <b:Person>
            <b:Last>Lee</b:Last>
            <b:Middle>Wai Chow </b:Middle>
            <b:First>Jason </b:First>
          </b:Person>
          <b:Person>
            <b:Last>Sajid</b:Last>
            <b:First>Muhammad </b:First>
          </b:Person>
          <b:Person>
            <b:Last> Waheed</b:Last>
            <b:First>Abdul</b:First>
          </b:Person>
        </b:NameList>
      </b:Author>
    </b:Author>
    <b:Month>08</b:Month>
    <b:Day>13</b:Day>
    <b:Publisher>Emerald Publishing Limited</b:Publisher>
    <b:Volume>61</b:Volume>
    <b:Issue>7/8</b:Issue>
    <b:YearAccessed>2023</b:YearAccessed>
    <b:MonthAccessed>03</b:MonthAccessed>
    <b:DayAccessed>02</b:DayAccessed>
    <b:DOI>https://doi.org/10.1108/ET-09-2018-0194</b:DOI>
    <b:RefOrder>1255</b:RefOrder>
  </b:Source>
  <b:Source>
    <b:Tag>Far18</b:Tag>
    <b:SourceType>JournalArticle</b:SourceType>
    <b:Guid>{7446163C-BDB7-4018-94C1-DEB87B6502CA}</b:Guid>
    <b:Title>Ethical climate, corporate social responsibility and organizational performance: evidence from the UAE public sector</b:Title>
    <b:JournalName>Social Responsibility Journal</b:JournalName>
    <b:Year>2018</b:Year>
    <b:Pages>737-752</b:Pages>
    <b:Volume>14</b:Volume>
    <b:Issue>4</b:Issue>
    <b:Author>
      <b:Author>
        <b:NameList>
          <b:Person>
            <b:Last>Farouk</b:Last>
            <b:First>Sherine </b:First>
          </b:Person>
          <b:Person>
            <b:Last>Jabeen </b:Last>
            <b:First>Fauzia </b:First>
          </b:Person>
        </b:NameList>
      </b:Author>
    </b:Author>
    <b:Month>10</b:Month>
    <b:Day>15</b:Day>
    <b:Publisher>Emerald Publishing Limited </b:Publisher>
    <b:YearAccessed>2022</b:YearAccessed>
    <b:MonthAccessed>12</b:MonthAccessed>
    <b:DayAccessed>04</b:DayAccessed>
    <b:URL>https://doi.org/10.1108/SRJ-01-2017-0002</b:URL>
    <b:RefOrder>494</b:RefOrder>
  </b:Source>
  <b:Source>
    <b:Tag>Far17</b:Tag>
    <b:SourceType>JournalArticle</b:SourceType>
    <b:Guid>{FBF5C835-3BD2-4AFC-AEA6-39AAEE7B1132}</b:Guid>
    <b:Title>The multiple pathways through which internal and external corporate social responsibility influence organizational identification and multifoci outcomes: The moderating role of cultural and social orientations</b:Title>
    <b:JournalName>Academy of Management Journal</b:JournalName>
    <b:Year>2017</b:Year>
    <b:Pages>954-985</b:Pages>
    <b:Volume>60</b:Volume>
    <b:Issue>3</b:Issue>
    <b:YearAccessed>2022</b:YearAccessed>
    <b:MonthAccessed>12</b:MonthAccessed>
    <b:DayAccessed>30</b:DayAccessed>
    <b:URL>https://doi.org/10.5465/amj.2014.0849</b:URL>
    <b:Author>
      <b:Author>
        <b:NameList>
          <b:Person>
            <b:Last>Farooq</b:Last>
            <b:First>Omer </b:First>
          </b:Person>
          <b:Person>
            <b:Last>Rupp</b:Last>
            <b:Middle>E.</b:Middle>
            <b:First>Deborah </b:First>
          </b:Person>
          <b:Person>
            <b:Last>Farooq</b:Last>
            <b:First>Mariam</b:First>
          </b:Person>
        </b:NameList>
      </b:Author>
    </b:Author>
    <b:RefOrder>1256</b:RefOrder>
  </b:Source>
  <b:Source>
    <b:Tag>Far16</b:Tag>
    <b:SourceType>JournalArticle</b:SourceType>
    <b:Guid>{6D50E1A3-BE2D-4CD0-AF1D-06E0B80E9818}</b:Guid>
    <b:Title>Illustrating the Importance of Critical Epistemology to Realize the Promise of Occupational Justice</b:Title>
    <b:Year>2016</b:Year>
    <b:Pages>234-243</b:Pages>
    <b:JournalName>OTJR: Occupational Therapy Journal of Research.</b:JournalName>
    <b:Author>
      <b:Author>
        <b:NameList>
          <b:Person>
            <b:Last>Farias</b:Last>
            <b:First>Lisette </b:First>
          </b:Person>
          <b:Person>
            <b:Last>Rudman</b:Last>
            <b:Middle>Laliberte </b:Middle>
            <b:First>Debbie </b:First>
          </b:Person>
          <b:Person>
            <b:Last>Magalhães</b:Last>
            <b:First>Lilian </b:First>
          </b:Person>
        </b:NameList>
      </b:Author>
    </b:Author>
    <b:Month>09</b:Month>
    <b:Day>19</b:Day>
    <b:Volume>36</b:Volume>
    <b:Issue>4</b:Issue>
    <b:YearAccessed>2023</b:YearAccessed>
    <b:MonthAccessed>08</b:MonthAccessed>
    <b:DayAccessed>04</b:DayAccessed>
    <b:DOI>10.1177/1539449216665561</b:DOI>
    <b:RefOrder>750</b:RefOrder>
  </b:Source>
  <b:Source>
    <b:Tag>Far171</b:Tag>
    <b:SourceType>JournalArticle</b:SourceType>
    <b:Guid>{8E02B48B-F26C-4169-AC54-EAB0144C02A4}</b:Guid>
    <b:Title>CSR Communications on Twitter: An Exploration into Stakeholder Reactions</b:Title>
    <b:JournalName>Corporate Responsibility and Digital Communities</b:JournalName>
    <b:Year>2017</b:Year>
    <b:Pages>145-163</b:Pages>
    <b:Author>
      <b:Author>
        <b:NameList>
          <b:Person>
            <b:Last>Farache</b:Last>
            <b:First>Francisca </b:First>
          </b:Person>
          <b:Person>
            <b:Last>Tetchner</b:Last>
            <b:First>Isobel </b:First>
          </b:Person>
          <b:Person>
            <b:Last>Kollat </b:Last>
            <b:First>Jana </b:First>
          </b:Person>
        </b:NameList>
      </b:Author>
    </b:Author>
    <b:Month>11</b:Month>
    <b:Day>28</b:Day>
    <b:Publisher>Palgrave Macmillan, Cham</b:Publisher>
    <b:YearAccessed>2023</b:YearAccessed>
    <b:MonthAccessed>06</b:MonthAccessed>
    <b:DayAccessed>03</b:DayAccessed>
    <b:DOI>https://doi.org/10.1007/978-3-319-63480-7_8</b:DOI>
    <b:RefOrder>97</b:RefOrder>
  </b:Source>
  <b:Source>
    <b:Tag>Fan16</b:Tag>
    <b:SourceType>JournalArticle</b:SourceType>
    <b:Guid>{03940393-B851-46AE-A826-A7C1C5774950}</b:Guid>
    <b:Title>Applications of structural equation modeling (SEM) in ecological studies: an updated review</b:Title>
    <b:Year>2016</b:Year>
    <b:YearAccessed>2023</b:YearAccessed>
    <b:MonthAccessed>01</b:MonthAccessed>
    <b:DayAccessed>18</b:DayAccessed>
    <b:JournalName>Ecological Processes</b:JournalName>
    <b:Volume>5</b:Volume>
    <b:Author>
      <b:Author>
        <b:NameList>
          <b:Person>
            <b:Last>Fan</b:Last>
            <b:First>Yi </b:First>
          </b:Person>
          <b:Person>
            <b:Last>Chen</b:Last>
            <b:First>Jiquan </b:First>
          </b:Person>
          <b:Person>
            <b:Last>Shirkey</b:Last>
            <b:First>Gabriela </b:First>
          </b:Person>
          <b:Person>
            <b:Last>John</b:Last>
            <b:First>Ranjeet </b:First>
          </b:Person>
          <b:Person>
            <b:Last>Wu</b:Last>
            <b:Middle>R.</b:Middle>
            <b:First>Susie </b:First>
          </b:Person>
          <b:Person>
            <b:Last>Park</b:Last>
            <b:First>Hogeun </b:First>
          </b:Person>
          <b:Person>
            <b:Last>Shao </b:Last>
            <b:First>Changliang </b:First>
          </b:Person>
        </b:NameList>
      </b:Author>
    </b:Author>
    <b:Month>11</b:Month>
    <b:Day>22</b:Day>
    <b:DOI>https://doi.org/10.1186/s13717-016-0063-3</b:DOI>
    <b:RefOrder>960</b:RefOrder>
  </b:Source>
  <b:Source>
    <b:Tag>Fal07</b:Tag>
    <b:SourceType>JournalArticle</b:SourceType>
    <b:Guid>{CFD3F089-123E-48EC-946E-789B69176E23}</b:Guid>
    <b:Title>Corporate social responsibility: Doing well by Doing Good</b:Title>
    <b:JournalName>Business Horizons</b:JournalName>
    <b:Year>2007</b:Year>
    <b:Pages>247-254</b:Pages>
    <b:Author>
      <b:Author>
        <b:NameList>
          <b:Person>
            <b:Last>Falck</b:Last>
            <b:First>Oliver</b:First>
          </b:Person>
          <b:Person>
            <b:Last>Heblich</b:Last>
            <b:First>Stephan</b:First>
          </b:Person>
        </b:NameList>
      </b:Author>
    </b:Author>
    <b:Month>06</b:Month>
    <b:Volume>50</b:Volume>
    <b:Issue>3</b:Issue>
    <b:YearAccessed>2021</b:YearAccessed>
    <b:MonthAccessed>11</b:MonthAccessed>
    <b:DayAccessed>28</b:DayAccessed>
    <b:DOI>https://doi.org/10.1016/j.bushor.2006.12.002</b:DOI>
    <b:RefOrder>75</b:RefOrder>
  </b:Source>
  <b:Source>
    <b:Tag>Ewi18</b:Tag>
    <b:SourceType>InternetSite</b:SourceType>
    <b:Guid>{E69BF71A-D4BD-41DB-8256-CA864A2439D8}</b:Guid>
    <b:Title>Toyota Super Bowl ads focus on mobility, Olympic partnerships</b:Title>
    <b:InternetSiteTitle>Cnet</b:InternetSiteTitle>
    <b:Year>2018</b:Year>
    <b:Month>02</b:Month>
    <b:Day>02</b:Day>
    <b:URL>https://www.cnet.com/roadshow/news/toyota-super-bowl-commercial-2018-oympics/</b:URL>
    <b:Author>
      <b:Author>
        <b:NameList>
          <b:Person>
            <b:Last>Ewing</b:Last>
            <b:First>Steven </b:First>
          </b:Person>
        </b:NameList>
      </b:Author>
    </b:Author>
    <b:RefOrder>220</b:RefOrder>
  </b:Source>
  <b:Source>
    <b:Tag>Ett20</b:Tag>
    <b:SourceType>JournalArticle</b:SourceType>
    <b:Guid>{C9F5FFD9-A146-4118-84A7-AEEF038EB453}</b:Guid>
    <b:Title>he desirability of CSR communication versus greenhushing in the hospitality industry: The customers' perspective</b:Title>
    <b:Year>2020</b:Year>
    <b:Month>06</b:Month>
    <b:Day>18</b:Day>
    <b:JournalName>Journal of Travel Research</b:JournalName>
    <b:Pages>618-638</b:Pages>
    <b:Publisher>Sage</b:Publisher>
    <b:Volume>60</b:Volume>
    <b:Issue>3</b:Issue>
    <b:YearAccessed>2023</b:YearAccessed>
    <b:MonthAccessed>06</b:MonthAccessed>
    <b:DayAccessed>03</b:DayAccessed>
    <b:DOI>https://doi.org/10.1177/0047287520930087</b:DOI>
    <b:Author>
      <b:Author>
        <b:NameList>
          <b:Person>
            <b:Last>Ettinger</b:Last>
            <b:First>Andrea</b:First>
          </b:Person>
          <b:Person>
            <b:Last>Grabner-Kräuter</b:Last>
            <b:First>Sonja </b:First>
          </b:Person>
          <b:Person>
            <b:Last>Okazaki</b:Last>
            <b:First>Shintaro </b:First>
          </b:Person>
        </b:NameList>
      </b:Author>
    </b:Author>
    <b:RefOrder>89</b:RefOrder>
  </b:Source>
  <b:Source>
    <b:Tag>Ett13</b:Tag>
    <b:SourceType>JournalArticle</b:SourceType>
    <b:Guid>{D045CEA9-37B8-486D-B2C6-50A062136B27}</b:Guid>
    <b:Title>Reasons for low levels of interactivity (Non-) interactive CSR communication in twitter</b:Title>
    <b:Year>2013</b:Year>
    <b:JournalName>Public Relations Review</b:JournalName>
    <b:Pages>606-608</b:Pages>
    <b:Author>
      <b:Author>
        <b:NameList>
          <b:Person>
            <b:Last>Etter</b:Last>
            <b:First>Michael </b:First>
          </b:Person>
        </b:NameList>
      </b:Author>
    </b:Author>
    <b:YearAccessed>2023</b:YearAccessed>
    <b:MonthAccessed>08</b:MonthAccessed>
    <b:DayAccessed>11</b:DayAccessed>
    <b:DOI>http://dx.doi.org/10.1016/j.pubrev.2013.06.003</b:DOI>
    <b:RefOrder>95</b:RefOrder>
  </b:Source>
  <b:Source>
    <b:Tag>Ert16</b:Tag>
    <b:SourceType>JournalArticle</b:SourceType>
    <b:Guid>{194799A1-2136-4B36-AF13-6B90CA90E6F5}</b:Guid>
    <b:Title>Exploring pro-environmental behaviors of consumers: an analysis of contextual factors, attitude, and behaviors</b:Title>
    <b:JournalName>Journal of Business Research</b:JournalName>
    <b:Year>2016</b:Year>
    <b:Pages>3971-3980</b:Pages>
    <b:Volume>69</b:Volume>
    <b:Issue>10</b:Issue>
    <b:YearAccessed>2023</b:YearAccessed>
    <b:MonthAccessed>03</b:MonthAccessed>
    <b:DayAccessed>05</b:DayAccessed>
    <b:Author>
      <b:Author>
        <b:NameList>
          <b:Person>
            <b:Last>Ertz</b:Last>
            <b:First>M. </b:First>
          </b:Person>
          <b:Person>
            <b:Last>Karakas</b:Last>
            <b:First>F. </b:First>
          </b:Person>
          <b:Person>
            <b:Last>Sarigöllü</b:Last>
            <b:First>E. </b:First>
          </b:Person>
        </b:NameList>
      </b:Author>
    </b:Author>
    <b:RefOrder>514</b:RefOrder>
  </b:Source>
  <b:Source>
    <b:Tag>Eps15</b:Tag>
    <b:SourceType>JournalArticle</b:SourceType>
    <b:Guid>{04F326FC-9F83-48C6-9532-0F65C49E112C}</b:Guid>
    <b:Title>Managing Social, Environmental and Financial Performance Simultaneously</b:Title>
    <b:JournalName>Long Range Planning</b:JournalName>
    <b:Year>2015</b:Year>
    <b:Pages>35-45</b:Pages>
    <b:Author>
      <b:Author>
        <b:NameList>
          <b:Person>
            <b:Last>Epstein</b:Last>
            <b:Middle>J</b:Middle>
            <b:First>Marc</b:First>
          </b:Person>
          <b:Person>
            <b:Last>RejcBuhovac</b:Last>
            <b:First>Adriana </b:First>
          </b:Person>
          <b:Person>
            <b:Last>Yuthas</b:Last>
            <b:First>Kristi</b:First>
          </b:Person>
        </b:NameList>
      </b:Author>
    </b:Author>
    <b:Month>02</b:Month>
    <b:Volume>48</b:Volume>
    <b:Issue>01</b:Issue>
    <b:YearAccessed>2022</b:YearAccessed>
    <b:MonthAccessed>04</b:MonthAccessed>
    <b:DayAccessed>25</b:DayAccessed>
    <b:DOI>/doi.org/10.1016/j.lrp.2012.11.001</b:DOI>
    <b:RefOrder>1257</b:RefOrder>
  </b:Source>
  <b:Source>
    <b:Tag>Elv13</b:Tag>
    <b:SourceType>JournalArticle</b:SourceType>
    <b:Guid>{BCA136E2-4863-4E7C-8D67-310B0F8F68C1}</b:Guid>
    <b:Title>Scepticism and corporate social responsibility communications: the influence of fit and reputation</b:Title>
    <b:JournalName>Journal of Marketing Communications</b:JournalName>
    <b:Year>2013</b:Year>
    <b:Pages>1-16</b:Pages>
    <b:Volume>19</b:Volume>
    <b:Issue>4</b:Issue>
    <b:YearAccessed>2023</b:YearAccessed>
    <b:MonthAccessed>02</b:MonthAccessed>
    <b:DayAccessed>18</b:DayAccessed>
    <b:DOI>10.1080/13527266.2011.631569</b:DOI>
    <b:Author>
      <b:Author>
        <b:NameList>
          <b:Person>
            <b:Last>Elving</b:Last>
            <b:First>Wim </b:First>
          </b:Person>
        </b:NameList>
      </b:Author>
    </b:Author>
    <b:RefOrder>369</b:RefOrder>
  </b:Source>
  <b:Source>
    <b:Tag>Elo14</b:Tag>
    <b:SourceType>JournalArticle</b:SourceType>
    <b:Guid>{CB1B7D2E-FD7E-480A-A976-25C4086D20B3}</b:Guid>
    <b:Title>Qualitative Content Analysis: A Focus on Trustworthiness</b:Title>
    <b:Year>2014</b:Year>
    <b:Month>02</b:Month>
    <b:Day>11</b:Day>
    <b:Publisher>Sage Open</b:Publisher>
    <b:Volume>4</b:Volume>
    <b:Issue>1</b:Issue>
    <b:DOI>https://doi.org/10.1177/2158244014522633</b:DOI>
    <b:Author>
      <b:Author>
        <b:NameList>
          <b:Person>
            <b:Last>Elo</b:Last>
            <b:First>Satu </b:First>
          </b:Person>
          <b:Person>
            <b:Last>Kääriäinen</b:Last>
            <b:First>Maria </b:First>
          </b:Person>
          <b:Person>
            <b:Last>Kanste</b:Last>
            <b:First>Outi </b:First>
          </b:Person>
          <b:Person>
            <b:Last>Pölkki</b:Last>
            <b:First>Tarja </b:First>
          </b:Person>
          <b:Person>
            <b:Last>Utriainen</b:Last>
            <b:First>Kati </b:First>
          </b:Person>
          <b:Person>
            <b:Last>Kyngäs</b:Last>
            <b:First>Helvi </b:First>
          </b:Person>
        </b:NameList>
      </b:Author>
    </b:Author>
    <b:RefOrder>1258</b:RefOrder>
  </b:Source>
  <b:Source>
    <b:Tag>Ell00</b:Tag>
    <b:SourceType>JournalArticle</b:SourceType>
    <b:Guid>{95DF707B-99CB-4643-AC67-69D2CDAF3D3D}</b:Guid>
    <b:Title>Charitable Programs and the Retailer: Do they mix?</b:Title>
    <b:JournalName>Journal of Retailing</b:JournalName>
    <b:Year>2000</b:Year>
    <b:Pages>393-406</b:Pages>
    <b:Author>
      <b:Author>
        <b:NameList>
          <b:Person>
            <b:Last>Ellen</b:Last>
            <b:Middle>Scholder</b:Middle>
            <b:First>Pam</b:First>
          </b:Person>
          <b:Person>
            <b:Last>Mohr</b:Last>
            <b:Middle>M</b:Middle>
            <b:First>Lois</b:First>
          </b:Person>
          <b:Person>
            <b:Last>Deborah</b:Last>
            <b:Middle>J</b:Middle>
            <b:First>Webb</b:First>
          </b:Person>
        </b:NameList>
      </b:Author>
    </b:Author>
    <b:Volume>76</b:Volume>
    <b:Issue>3</b:Issue>
    <b:YearAccessed>2021</b:YearAccessed>
    <b:MonthAccessed>10</b:MonthAccessed>
    <b:DayAccessed>10</b:DayAccessed>
    <b:DOI>10.1016/s0022-4359(00)00032-4</b:DOI>
    <b:RefOrder>1259</b:RefOrder>
  </b:Source>
  <b:Source>
    <b:Tag>Ell06</b:Tag>
    <b:SourceType>JournalArticle</b:SourceType>
    <b:Guid>{DC186581-6468-47CC-BF07-BB0DF66403B9}</b:Guid>
    <b:Title>Building corporate associations: Consumer attributions for corporate socially responsible programs</b:Title>
    <b:JournalName>Journal of the Academy of Marketing Science volume</b:JournalName>
    <b:Year>2006</b:Year>
    <b:Pages>147-157</b:Pages>
    <b:Month>03</b:Month>
    <b:Volume>34</b:Volume>
    <b:Issue>2</b:Issue>
    <b:YearAccessed>2022</b:YearAccessed>
    <b:MonthAccessed>01</b:MonthAccessed>
    <b:DayAccessed>22</b:DayAccessed>
    <b:URL>10.1177/0092070305284976</b:URL>
    <b:Author>
      <b:Author>
        <b:NameList>
          <b:Person>
            <b:Last>Ellen</b:Last>
            <b:Middle>Scholder</b:Middle>
            <b:First>Pam</b:First>
          </b:Person>
          <b:Person>
            <b:Last>Webb</b:Last>
            <b:Middle>J</b:Middle>
            <b:First>Deborah</b:First>
          </b:Person>
          <b:Person>
            <b:Last>Mohr </b:Last>
            <b:Middle>A</b:Middle>
            <b:First>Lois</b:First>
          </b:Person>
        </b:NameList>
      </b:Author>
    </b:Author>
    <b:RefOrder>152</b:RefOrder>
  </b:Source>
  <b:Source>
    <b:Tag>Elh21</b:Tag>
    <b:SourceType>JournalArticle</b:SourceType>
    <b:Guid>{6A135803-518D-4245-B31B-AA634E1AE5C7}</b:Guid>
    <b:Title>Factors affecting sustainable consumer behavior in the MENA region: A systematic review.</b:Title>
    <b:JournalName>Journal of International Consumer Marketing</b:JournalName>
    <b:Year>2021</b:Year>
    <b:Pages>256-279</b:Pages>
    <b:Month>06</b:Month>
    <b:Publisher>Taylor &amp; Francis</b:Publisher>
    <b:Volume>33</b:Volume>
    <b:Issue>3</b:Issue>
    <b:YearAccessed>2022</b:YearAccessed>
    <b:MonthAccessed>12</b:MonthAccessed>
    <b:DayAccessed>04</b:DayAccessed>
    <b:DOI>http://dx.doi.org/10.1080/08961530.2020.1781735 </b:DOI>
    <b:Author>
      <b:Author>
        <b:NameList>
          <b:Person>
            <b:Last>Elhoushy</b:Last>
            <b:First>Sayed</b:First>
          </b:Person>
          <b:Person>
            <b:Last>Lanzini</b:Last>
            <b:First>Pietro</b:First>
          </b:Person>
        </b:NameList>
      </b:Author>
    </b:Author>
    <b:RefOrder>456</b:RefOrder>
  </b:Source>
  <b:Source>
    <b:Tag>ElG20</b:Tag>
    <b:SourceType>InternetSite</b:SourceType>
    <b:Guid>{996E1D97-6CC4-41BE-9949-8204586279C1}</b:Guid>
    <b:Title>Ethyl alcohol prices soar in Cairo as supplies disappear from shelves</b:Title>
    <b:InternetSiteTitle>Ahram Online</b:InternetSiteTitle>
    <b:Year>2020</b:Year>
    <b:Month>03</b:Month>
    <b:Day>18</b:Day>
    <b:URL>https://english.ahram.org.eg/News/365480.aspx</b:URL>
    <b:Author>
      <b:Author>
        <b:NameList>
          <b:Person>
            <b:Last>El-Gundy</b:Last>
            <b:First>Zeinab </b:First>
          </b:Person>
        </b:NameList>
      </b:Author>
    </b:Author>
    <b:YearAccessed>2022</b:YearAccessed>
    <b:MonthAccessed>11</b:MonthAccessed>
    <b:DayAccessed>12</b:DayAccessed>
    <b:RefOrder>882</b:RefOrder>
  </b:Source>
  <b:Source>
    <b:Tag>ElE</b:Tag>
    <b:SourceType>Book</b:SourceType>
    <b:Guid>{D2D61E11-5B4C-4870-87FF-AFAB2FFA022E}</b:Guid>
    <b:Title>Is MENA a Region? The Scope for Regional Integration</b:Title>
    <b:JournalName>Economic and Political Impediments to Middle East Peace</b:JournalName>
    <b:Pages>70-86</b:Pages>
    <b:Author>
      <b:Author>
        <b:NameList>
          <b:Person>
            <b:Last>El-Erian </b:Last>
            <b:Middle>A.</b:Middle>
            <b:First>Mohamed </b:First>
          </b:Person>
          <b:Person>
            <b:Last>Fischer </b:Last>
            <b:First>Stanley </b:First>
          </b:Person>
        </b:NameList>
      </b:Author>
    </b:Author>
    <b:Year>2000</b:Year>
    <b:Publisher>Palgrave Macmillan, London</b:Publisher>
    <b:YearAccessed>2022</b:YearAccessed>
    <b:MonthAccessed>12</b:MonthAccessed>
    <b:DayAccessed>03</b:DayAccessed>
    <b:URL>https://doi.org/10.1057/9780333994269_5</b:URL>
    <b:RefOrder>206</b:RefOrder>
  </b:Source>
  <b:Source>
    <b:Tag>ElB08</b:Tag>
    <b:SourceType>JournalArticle</b:SourceType>
    <b:Guid>{1022752E-E63D-402E-B254-4465B8A167DC}</b:Guid>
    <b:Title>THE IMPORTANCE OF CHARACTER EDUCATION FOR TWEENS AS CONSUMERS: A Conceptual Model With Prospects for Future Research</b:Title>
    <b:Year>2008</b:Year>
    <b:JournalName>Journal of Character Education</b:JournalName>
    <b:Pages>37-61</b:Pages>
    <b:Volume>6</b:Volume>
    <b:Issue>2</b:Issue>
    <b:Author>
      <b:Author>
        <b:NameList>
          <b:Person>
            <b:Last>El-Bassiouny</b:Last>
            <b:First>Noha</b:First>
          </b:Person>
          <b:Person>
            <b:Last>Taher</b:Last>
            <b:First>Ahmed</b:First>
          </b:Person>
          <b:Person>
            <b:Last>Abou-Aish</b:Last>
            <b:Middle>M</b:Middle>
            <b:First>Ehab</b:First>
          </b:Person>
        </b:NameList>
      </b:Author>
    </b:Author>
    <b:YearAccessed>2022</b:YearAccessed>
    <b:MonthAccessed>01</b:MonthAccessed>
    <b:DayAccessed>30</b:DayAccessed>
    <b:RefOrder>1260</b:RefOrder>
  </b:Source>
  <b:Source>
    <b:Tag>ElB18</b:Tag>
    <b:SourceType>JournalArticle</b:SourceType>
    <b:Guid>{8D36A9AA-9CD6-48D8-9E7A-7939B7263001}</b:Guid>
    <b:Title>The adoption of CSR practices in Egypt: internal efficiency or external legitimation?</b:Title>
    <b:JournalName>Sustainability Accounting, Management and Policy Journal</b:JournalName>
    <b:Year>2018</b:Year>
    <b:Pages>642-665</b:Pages>
    <b:Volume>9</b:Volume>
    <b:Issue>5</b:Issue>
    <b:Author>
      <b:Author>
        <b:NameList>
          <b:Person>
            <b:Last>El-Bassiouny</b:Last>
            <b:First>Dina </b:First>
          </b:Person>
          <b:Person>
            <b:Last>Letmathe</b:Last>
            <b:First>Peter </b:First>
          </b:Person>
        </b:NameList>
      </b:Author>
    </b:Author>
    <b:Month>10</b:Month>
    <b:Day>30</b:Day>
    <b:Publisher>Emerald Publishing Limited</b:Publisher>
    <b:YearAccessed>2022</b:YearAccessed>
    <b:MonthAccessed>12</b:MonthAccessed>
    <b:DayAccessed>10</b:DayAccessed>
    <b:DOI>https://doi.org/10.1108/SAMPJ-10-2017-0126</b:DOI>
    <b:RefOrder>497</b:RefOrder>
  </b:Source>
  <b:Source>
    <b:Tag>ElB19</b:Tag>
    <b:SourceType>JournalArticle</b:SourceType>
    <b:Guid>{CC0C7B2C-1494-482D-810B-0B99F59409C7}</b:Guid>
    <b:Title>Political instability and corporate social responsibility: the case of Egypt</b:Title>
    <b:JournalName>Social Responsibility Journal</b:JournalName>
    <b:Year>2019</b:Year>
    <b:Pages>745-767</b:Pages>
    <b:Volume>16</b:Volume>
    <b:Issue>5</b:Issue>
    <b:Author>
      <b:Author>
        <b:NameList>
          <b:Person>
            <b:Last>El-Bassiouny</b:Last>
            <b:First>Dina </b:First>
          </b:Person>
          <b:Person>
            <b:Last>Letmathe </b:Last>
            <b:First>Peter </b:First>
          </b:Person>
        </b:NameList>
      </b:Author>
    </b:Author>
    <b:Month>06</b:Month>
    <b:Day>14</b:Day>
    <b:Publisher>Emerald Publishing Limited</b:Publisher>
    <b:YearAccessed>2022</b:YearAccessed>
    <b:MonthAccessed>12</b:MonthAccessed>
    <b:DayAccessed>10</b:DayAccessed>
    <b:DOI>https://doi.org/10.1108/SRJ-11-2018-0289</b:DOI>
    <b:RefOrder>476</b:RefOrder>
  </b:Source>
  <b:Source>
    <b:Tag>ElB181</b:Tag>
    <b:SourceType>JournalArticle</b:SourceType>
    <b:Guid>{B3060B9B-2E75-4C9E-A4A1-BE85F6C699BE}</b:Guid>
    <b:Title>Diversity, corporate governance and CSR reporting : A comparative analysis between top-listed firms in Egypt, Germany and the USA</b:Title>
    <b:JournalName>Management of Environmental Quality: An International Journal</b:JournalName>
    <b:Year>2018</b:Year>
    <b:Pages>116-136</b:Pages>
    <b:Volume>30</b:Volume>
    <b:Issue>1</b:Issue>
    <b:Author>
      <b:Author>
        <b:NameList>
          <b:Person>
            <b:Last>El-Bassiouny</b:Last>
            <b:First>Dina</b:First>
          </b:Person>
          <b:Person>
            <b:Last>El-Bassiouny</b:Last>
            <b:First>Noha</b:First>
          </b:Person>
        </b:NameList>
      </b:Author>
    </b:Author>
    <b:Publisher>Emerald Publishing Limited</b:Publisher>
    <b:YearAccessed>2022</b:YearAccessed>
    <b:MonthAccessed>12</b:MonthAccessed>
    <b:DayAccessed>10</b:DayAccessed>
    <b:URL>http://www.emeraldinsight.com/doi/10.1108/MEQ-12-2017-0150</b:URL>
    <b:DOI>10.1108/MEQ-12-2017-0150</b:DOI>
    <b:RefOrder>475</b:RefOrder>
  </b:Source>
  <b:Source>
    <b:Tag>ElB182</b:Tag>
    <b:SourceType>JournalArticle</b:SourceType>
    <b:Guid>{6396E6CC-D6AA-483E-8F19-46056F1AB0D4}</b:Guid>
    <b:Title>Corporate Social Responsibility (CSR) communication patterns in an emerging market : An exploratory study</b:Title>
    <b:JournalName>Journal of Organizational Change Management</b:JournalName>
    <b:Year>2018</b:Year>
    <b:Pages>795-809</b:Pages>
    <b:Volume>31</b:Volume>
    <b:Issue>4</b:Issue>
    <b:Author>
      <b:Author>
        <b:NameList>
          <b:Person>
            <b:Last>El-Bassiouny</b:Last>
            <b:First> Noha</b:First>
          </b:Person>
          <b:Person>
            <b:Last>Darrag</b:Last>
            <b:First> Menatallah</b:First>
          </b:Person>
          <b:Person>
            <b:Last>Zahran</b:Last>
            <b:First>Nada</b:First>
          </b:Person>
        </b:NameList>
      </b:Author>
    </b:Author>
    <b:Month>06</b:Month>
    <b:Day>27</b:Day>
    <b:Publisher>Emerald Publishing Limited</b:Publisher>
    <b:YearAccessed>2022</b:YearAccessed>
    <b:MonthAccessed>12</b:MonthAccessed>
    <b:DayAccessed>10</b:DayAccessed>
    <b:URL>http://www.emeraldinsight.com/doi/10.1108/JOCM-03-2017-0087</b:URL>
    <b:DOI>10.1108/JOCM-03-2017-0087</b:DOI>
    <b:RefOrder>498</b:RefOrder>
  </b:Source>
  <b:Source>
    <b:Tag>ElT19</b:Tag>
    <b:SourceType>InternetSite</b:SourceType>
    <b:Guid>{159F3400-B6C0-479A-B4CE-74B941594098}</b:Guid>
    <b:Title>Trapped in Poverty</b:Title>
    <b:Year>2019</b:Year>
    <b:InternetSiteTitle>Egypt Today</b:InternetSiteTitle>
    <b:Month>06</b:Month>
    <b:Day>15</b:Day>
    <b:URL>https://www.egypttoday.com/Article/3/71630/Trapped-in-Poverty</b:URL>
    <b:Author>
      <b:Author>
        <b:NameList>
          <b:Person>
            <b:Last>El Tawil</b:Last>
            <b:First>Noha</b:First>
          </b:Person>
        </b:NameList>
      </b:Author>
    </b:Author>
    <b:YearAccessed>2023</b:YearAccessed>
    <b:MonthAccessed>02</b:MonthAccessed>
    <b:DayAccessed>12</b:DayAccessed>
    <b:RefOrder>788</b:RefOrder>
  </b:Source>
  <b:Source>
    <b:Tag>ElS21</b:Tag>
    <b:SourceType>JournalArticle</b:SourceType>
    <b:Guid>{20F7015D-EA60-4E73-932D-8A8514317A78}</b:Guid>
    <b:Title>Antecedents of Green Purchasing Behavior in the Arabic Gulf</b:Title>
    <b:JournalName>Social Marketing Quarterly</b:JournalName>
    <b:Year>2021</b:Year>
    <b:Pages>133-149</b:Pages>
    <b:Volume>27</b:Volume>
    <b:Issue>2</b:Issue>
    <b:Author>
      <b:Author>
        <b:NameList>
          <b:Person>
            <b:Last>El Santil</b:Last>
            <b:First>Y.</b:First>
          </b:Person>
        </b:NameList>
      </b:Author>
    </b:Author>
    <b:Month>06</b:Month>
    <b:Publisher>SAGE Publications Inc.</b:Publisher>
    <b:YearAccessed>2022</b:YearAccessed>
    <b:MonthAccessed>12</b:MonthAccessed>
    <b:DayAccessed>04</b:DayAccessed>
    <b:DOI>10.1177/15245004211013467</b:DOI>
    <b:RefOrder>491</b:RefOrder>
  </b:Source>
  <b:Source>
    <b:Tag>ELH18</b:Tag>
    <b:SourceType>JournalArticle</b:SourceType>
    <b:Guid>{C573EE7F-FB9A-45E2-9F30-BE532EC7BDE1}</b:Guid>
    <b:Title>STATISTICAL ANALYSIS: INTERNAL-CONSISTENCY RELIABILITY AND CONSTRUCT VALIDITY</b:Title>
    <b:JournalName>International Journal of Quantitative and Qualitative Research Methods</b:JournalName>
    <b:Year>2018</b:Year>
    <b:Pages>46-57</b:Pages>
    <b:Month>02</b:Month>
    <b:Publisher>European Centre for Research Training and Development UK</b:Publisher>
    <b:Volume>6</b:Volume>
    <b:Issue>1</b:Issue>
    <b:YearAccessed>2022</b:YearAccessed>
    <b:MonthAccessed>11</b:MonthAccessed>
    <b:DayAccessed>08</b:DayAccessed>
    <b:URL>https://www.eajournals.org/wp-content/uploads/Statistical-Analysis-Internal-Consistency-Reliability-and-Construct-Validity.pdf</b:URL>
    <b:Author>
      <b:Author>
        <b:NameList>
          <b:Person>
            <b:Last>EL Hajjar</b:Last>
            <b:Middle>Taan </b:Middle>
            <b:First>Said </b:First>
          </b:Person>
        </b:NameList>
      </b:Author>
    </b:Author>
    <b:RefOrder>761</b:RefOrder>
  </b:Source>
  <b:Source>
    <b:Tag>ElH21</b:Tag>
    <b:SourceType>JournalArticle</b:SourceType>
    <b:Guid>{1D89021A-334C-49CC-9455-03DD646DE72C}</b:Guid>
    <b:Title>Comparative CSR decision-making in the Middle East: an exploratory study</b:Title>
    <b:JournalName>International Journal of Islamic and Middle Eastern Finance and Management</b:JournalName>
    <b:Year>2021</b:Year>
    <b:Pages>792-811</b:Pages>
    <b:Author>
      <b:Author>
        <b:NameList>
          <b:Person>
            <b:Last>El Haddad</b:Last>
            <b:First>Pierre </b:First>
          </b:Person>
          <b:Person>
            <b:Last>Bachkirov</b:Last>
            <b:Middle>Anatolievich </b:Middle>
            <b:First>Alexandre </b:First>
          </b:Person>
          <b:Person>
            <b:Last>Grishina</b:Last>
            <b:First>Olga </b:First>
          </b:Person>
        </b:NameList>
      </b:Author>
    </b:Author>
    <b:Month>03</b:Month>
    <b:Day>22</b:Day>
    <b:Publisher>Emerald Publishing Limited</b:Publisher>
    <b:Volume>14</b:Volume>
    <b:Issue>4</b:Issue>
    <b:YearAccessed>2022</b:YearAccessed>
    <b:MonthAccessed>12</b:MonthAccessed>
    <b:DayAccessed>04</b:DayAccessed>
    <b:URL>https://doi.org/10.1108/IMEFM-01-2020-0017</b:URL>
    <b:RefOrder>44</b:RefOrder>
  </b:Source>
  <b:Source>
    <b:Tag>ElG22</b:Tag>
    <b:SourceType>Report</b:SourceType>
    <b:Guid>{247D7CA7-3C4A-474D-86EF-9FD0A858514D}</b:Guid>
    <b:Title>Brands battle hard to be chosen in Africa &amp; Middle East</b:Title>
    <b:Year>2022</b:Year>
    <b:URL>https://www.kantar.com/inspiration/fmcg/brands-battle-hard-to-be-chosen-in-africa--middle-east</b:URL>
    <b:Publisher>Kantar</b:Publisher>
    <b:YearAccessed>2023</b:YearAccessed>
    <b:MonthAccessed>05</b:MonthAccessed>
    <b:DayAccessed>29</b:DayAccessed>
    <b:Author>
      <b:Author>
        <b:NameList>
          <b:Person>
            <b:Last>El Ganari</b:Last>
            <b:First>Idriss </b:First>
          </b:Person>
        </b:NameList>
      </b:Author>
    </b:Author>
    <b:RefOrder>451</b:RefOrder>
  </b:Source>
  <b:Source>
    <b:Tag>Ein19</b:Tag>
    <b:SourceType>JournalArticle</b:SourceType>
    <b:Guid>{1BD0602C-1232-4C5B-98A9-EFDD3667752C}</b:Guid>
    <b:Title>When CSR-based identification backfires: Testing the effects of CSR-related negative publicity</b:Title>
    <b:JournalName>Journal of Business Research</b:JournalName>
    <b:Year>2019</b:Year>
    <b:Pages>1-13</b:Pages>
    <b:Author>
      <b:Author>
        <b:NameList>
          <b:Person>
            <b:Last>Einwiller</b:Last>
            <b:First>Sabine</b:First>
          </b:Person>
          <b:Person>
            <b:Last>Lis</b:Last>
            <b:First>Bettina</b:First>
          </b:Person>
          <b:Person>
            <b:Last>Ruppel</b:Last>
            <b:First>Christopher</b:First>
          </b:Person>
          <b:Person>
            <b:Last>Sen</b:Last>
            <b:First>Sanka</b:First>
          </b:Person>
        </b:NameList>
      </b:Author>
    </b:Author>
    <b:Month>11</b:Month>
    <b:Publisher>Elsevier Inc. </b:Publisher>
    <b:Volume>104</b:Volume>
    <b:YearAccessed>2022</b:YearAccessed>
    <b:MonthAccessed>11</b:MonthAccessed>
    <b:DayAccessed>20</b:DayAccessed>
    <b:DOI>10.1016/j.jbusres.2019.06.036</b:DOI>
    <b:RefOrder>1261</b:RefOrder>
  </b:Source>
  <b:Source>
    <b:Tag>Eel16</b:Tag>
    <b:SourceType>BookSection</b:SourceType>
    <b:Guid>{17D2B10D-A39B-437A-AF96-975794AA6AC4}</b:Guid>
    <b:Title>Consumer Responses to Creative Media Advertising: A Literature Review</b:Title>
    <b:Year>2016</b:Year>
    <b:Month>12</b:Month>
    <b:Publisher>Emerald Publishing</b:Publisher>
    <b:YearAccessed>2023</b:YearAccessed>
    <b:MonthAccessed>03</b:MonthAccessed>
    <b:DayAccessed>16</b:DayAccessed>
    <b:DOI>10.1108/978-1-78560-313-620151001</b:DOI>
    <b:Author>
      <b:Author>
        <b:NameList>
          <b:Person>
            <b:Last>Eelen</b:Last>
            <b:First>Jiska</b:First>
          </b:Person>
          <b:Person>
            <b:Last>Rauwers</b:Last>
            <b:First>Fabienne </b:First>
          </b:Person>
          <b:Person>
            <b:Last>Wottrich</b:Last>
            <b:Middle>Miriam </b:Middle>
            <b:First>Verena </b:First>
          </b:Person>
          <b:Person>
            <b:Last>Voorveld</b:Last>
            <b:First>Hilde </b:First>
          </b:Person>
          <b:Person>
            <b:Last> van Noort</b:Last>
            <b:First>Guda</b:First>
          </b:Person>
        </b:NameList>
      </b:Author>
      <b:BookAuthor>
        <b:NameList>
          <b:Person>
            <b:Last>marketers</b:Last>
            <b:First>Advertising</b:First>
            <b:Middle>in new formats and media: Current research and implications for</b:Middle>
          </b:Person>
        </b:NameList>
      </b:BookAuthor>
      <b:Editor>
        <b:NameList>
          <b:Person>
            <b:Last>De Pelsmacker</b:Last>
            <b:First>Patrick </b:First>
          </b:Person>
        </b:NameList>
      </b:Editor>
    </b:Author>
    <b:RefOrder>1262</b:RefOrder>
  </b:Source>
  <b:Source>
    <b:Tag>Ede17</b:Tag>
    <b:SourceType>InternetSite</b:SourceType>
    <b:Guid>{51DBE36D-251F-4859-9833-CCF48A43FF6F}</b:Guid>
    <b:Year>2017</b:Year>
    <b:Author>
      <b:Author>
        <b:NameList>
          <b:Person>
            <b:Last>Edelman</b:Last>
          </b:Person>
        </b:NameList>
      </b:Author>
    </b:Author>
    <b:InternetSiteTitle>Edelman Trust Barometer </b:InternetSiteTitle>
    <b:Month>01</b:Month>
    <b:Day>21</b:Day>
    <b:URL>https://www.edelman.com/trust/2017-trust-barometer</b:URL>
    <b:RefOrder>1263</b:RefOrder>
  </b:Source>
  <b:Source>
    <b:Tag>Ede08</b:Tag>
    <b:SourceType>JournalArticle</b:SourceType>
    <b:Guid>{FBD44944-9C43-4B6F-869B-28BC00FEEF37}</b:Guid>
    <b:Title>Marketing's Impact on Firm Value: Generalizations from a Meta-Analysis</b:Title>
    <b:JournalName>Journal of Marketing Research</b:JournalName>
    <b:Year>2016</b:Year>
    <b:Volume>53</b:Volume>
    <b:Issue>4</b:Issue>
    <b:Author>
      <b:Author>
        <b:NameList>
          <b:Person>
            <b:Last>Edeling</b:Last>
            <b:First>Alexander </b:First>
          </b:Person>
          <b:Person>
            <b:Last>Fischer</b:Last>
            <b:First>Marc</b:First>
          </b:Person>
        </b:NameList>
      </b:Author>
    </b:Author>
    <b:Month>08</b:Month>
    <b:YearAccessed>2022</b:YearAccessed>
    <b:MonthAccessed>01</b:MonthAccessed>
    <b:DayAccessed>25</b:DayAccessed>
    <b:DOI>10.1509/jmr.14.0046</b:DOI>
    <b:RefOrder>147</b:RefOrder>
  </b:Source>
  <b:Source>
    <b:Tag>Eag93</b:Tag>
    <b:SourceType>JournalArticle</b:SourceType>
    <b:Guid>{41841036-6750-4165-8822-3925C0101623}</b:Guid>
    <b:Title>The psychology of attitudes</b:Title>
    <b:JournalName>Fort Worth, TX.</b:JournalName>
    <b:Year>1993</b:Year>
    <b:Author>
      <b:Author>
        <b:NameList>
          <b:Person>
            <b:Last>Eagely</b:Last>
            <b:Middle>H.</b:Middle>
            <b:First>A.</b:First>
          </b:Person>
          <b:Person>
            <b:Last>Chaiken</b:Last>
            <b:First>S.</b:First>
          </b:Person>
        </b:NameList>
      </b:Author>
    </b:Author>
    <b:Publisher>Brace Jovanovich College Publishers</b:Publisher>
    <b:RefOrder>519</b:RefOrder>
  </b:Source>
  <b:Source>
    <b:Tag>Dym17</b:Tag>
    <b:SourceType>JournalArticle</b:SourceType>
    <b:Guid>{1A34AC27-3577-4957-AD33-043BBC865EA3}</b:Guid>
    <b:Title>Expanding the magic circle – gamification as a marketplace icon</b:Title>
    <b:JournalName>Consumptions Markets and Culture</b:JournalName>
    <b:Year>2017</b:Year>
    <b:Pages>1-13</b:Pages>
    <b:Month>08</b:Month>
    <b:Volume>21</b:Volume>
    <b:Issue>04</b:Issue>
    <b:YearAccessed>2022</b:YearAccessed>
    <b:MonthAccessed>10</b:MonthAccessed>
    <b:DayAccessed>09</b:DayAccessed>
    <b:DOI>10.1080/10253866.2017.1361153</b:DOI>
    <b:Author>
      <b:Author>
        <b:NameList>
          <b:Person>
            <b:Last>Dymek</b:Last>
            <b:First>Mikolaj </b:First>
          </b:Person>
        </b:NameList>
      </b:Author>
    </b:Author>
    <b:RefOrder>729</b:RefOrder>
  </b:Source>
  <b:Source>
    <b:Tag>Dwi21</b:Tag>
    <b:SourceType>JournalArticle</b:SourceType>
    <b:Guid>{ABF4CBF0-C1B6-4345-BA33-F21051DB9546}</b:Guid>
    <b:Title>Setting the future of digital and social media marketing research: perspectives and research propositions.</b:Title>
    <b:JournalName>International Journal of Information Management</b:JournalName>
    <b:Year>2021</b:Year>
    <b:Month>08</b:Month>
    <b:Volume>59</b:Volume>
    <b:YearAccessed>2023</b:YearAccessed>
    <b:MonthAccessed>03</b:MonthAccessed>
    <b:DayAccessed>11</b:DayAccessed>
    <b:DOI>https://doi.org/10.1016/j.ijinfomgt.2020.102168</b:DOI>
    <b:Author>
      <b:Author>
        <b:NameList>
          <b:Person>
            <b:Last>Dwivedi</b:Last>
            <b:Middle>K.</b:Middle>
            <b:First>Yogesh </b:First>
          </b:Person>
          <b:Person>
            <b:Last>Ismagilova</b:Last>
            <b:First>Elvira </b:First>
          </b:Person>
          <b:Person>
            <b:Last>Hughes</b:Last>
            <b:Middle>Laurie </b:Middle>
            <b:First>D. </b:First>
          </b:Person>
          <b:Person>
            <b:Last>Carlson</b:Last>
            <b:First>Jamie </b:First>
          </b:Person>
          <b:Person>
            <b:Last>Filieri</b:Last>
            <b:First>Raffaele </b:First>
          </b:Person>
          <b:Person>
            <b:Last>Jacobson</b:Last>
            <b:First>Jenna </b:First>
          </b:Person>
          <b:Person>
            <b:Last>Jain</b:Last>
            <b:First>Varsha</b:First>
          </b:Person>
          <b:Person>
            <b:Last>Karjaluoto </b:Last>
            <b:First>Heikki </b:First>
          </b:Person>
          <b:Person>
            <b:Last>Kefi</b:Last>
            <b:First>Hajer </b:First>
          </b:Person>
          <b:Person>
            <b:Last>Krishen</b:Last>
            <b:Middle>S.</b:Middle>
            <b:First>Anjala</b:First>
          </b:Person>
          <b:Person>
            <b:Last>Kumar</b:Last>
            <b:First>Vikram</b:First>
          </b:Person>
          <b:Person>
            <b:Last>Rahman</b:Last>
            <b:Middle>M.</b:Middle>
            <b:First>Mohammad </b:First>
          </b:Person>
          <b:Person>
            <b:Last>Raman</b:Last>
            <b:First>Ramakrishnan </b:First>
          </b:Person>
          <b:Person>
            <b:Last>Rauschnabel </b:Last>
            <b:Middle>A.</b:Middle>
            <b:First>Philipp </b:First>
          </b:Person>
          <b:Person>
            <b:Last>Rowley</b:Last>
            <b:First>Jennifer </b:First>
          </b:Person>
          <b:Person>
            <b:Last>Salo</b:Last>
            <b:First>Jari</b:First>
          </b:Person>
          <b:Person>
            <b:Last>Tran </b:Last>
            <b:Middle>A.</b:Middle>
            <b:First>Gina </b:First>
          </b:Person>
          <b:Person>
            <b:Last>Wang</b:Last>
            <b:First>Yichuan </b:First>
          </b:Person>
        </b:NameList>
      </b:Author>
    </b:Author>
    <b:RefOrder>1264</b:RefOrder>
  </b:Source>
  <b:Source>
    <b:Tag>Dwi20</b:Tag>
    <b:SourceType>JournalArticle</b:SourceType>
    <b:Guid>{767949C3-9674-460A-AC8C-C76CF64E904C}</b:Guid>
    <b:Title>Editorial introduction: advances in theory and practice of digital marketing.</b:Title>
    <b:JournalName>Journal of Retailing and Consumer Services</b:JournalName>
    <b:Year>2020</b:Year>
    <b:Month>03</b:Month>
    <b:Publisher>Elsevier Ltd</b:Publisher>
    <b:Volume>53</b:Volume>
    <b:YearAccessed>2023</b:YearAccessed>
    <b:MonthAccessed>03</b:MonthAccessed>
    <b:DayAccessed>11</b:DayAccessed>
    <b:DOI>https://doi.org/10.1016/j.jretconser.2019.101909</b:DOI>
    <b:Author>
      <b:Author>
        <b:NameList>
          <b:Person>
            <b:Last>Dwivedi</b:Last>
            <b:Middle>K.</b:Middle>
            <b:First>Yogesh </b:First>
          </b:Person>
          <b:Person>
            <b:Last>Rana</b:Last>
            <b:Middle>P.</b:Middle>
            <b:First>Nripendra </b:First>
          </b:Person>
          <b:Person>
            <b:Last>Slade</b:Last>
            <b:Middle>L.</b:Middle>
            <b:First> Emma </b:First>
          </b:Person>
          <b:Person>
            <b:Last>Singh</b:Last>
            <b:First>Nitish </b:First>
          </b:Person>
          <b:Person>
            <b:Last>Kizgin</b:Last>
            <b:First>Hatice </b:First>
          </b:Person>
        </b:NameList>
      </b:Author>
    </b:Author>
    <b:RefOrder>1265</b:RefOrder>
  </b:Source>
  <b:Source>
    <b:Tag>Dwi18</b:Tag>
    <b:SourceType>JournalArticle</b:SourceType>
    <b:Guid>{0BE998FA-9261-4D84-A082-9A11D89F0C8D}</b:Guid>
    <b:Title>Consumer emotional brand attachment with social media brands and social media</b:Title>
    <b:JournalName>European Journal of Marketing</b:JournalName>
    <b:Year>2018</b:Year>
    <b:Pages>1176-1204</b:Pages>
    <b:Month>07</b:Month>
    <b:Day>17</b:Day>
    <b:Publisher>Emerald Publishing Limited </b:Publisher>
    <b:Volume>53</b:Volume>
    <b:Issue>6</b:Issue>
    <b:YearAccessed>2023</b:YearAccessed>
    <b:MonthAccessed>02</b:MonthAccessed>
    <b:DayAccessed>22</b:DayAccessed>
    <b:DOI>https://doi.org/10.1108/EJM-09-2016-0511</b:DOI>
    <b:Author>
      <b:Author>
        <b:NameList>
          <b:Person>
            <b:Last>Dwivedi</b:Last>
            <b:First>Abhishek</b:First>
          </b:Person>
          <b:Person>
            <b:Last>Johnson</b:Last>
            <b:Middle>W.</b:Middle>
            <b:First>Lester </b:First>
          </b:Person>
          <b:Person>
            <b:Last>Wilkie</b:Last>
            <b:Middle>Charles </b:Middle>
            <b:First>Dean </b:First>
          </b:Person>
        </b:NameList>
      </b:Author>
    </b:Author>
    <b:RefOrder>429</b:RefOrder>
  </b:Source>
  <b:Source>
    <b:Tag>Dut13</b:Tag>
    <b:SourceType>JournalArticle</b:SourceType>
    <b:Guid>{72ED7494-2036-4CC7-BC29-9E88166545E8}</b:Guid>
    <b:Title>CUSTOMER PERCEPTION OF CSR AND ITS IMPACT ON RETAILER EVALUATION AND PURCHASE INTENTION IN INDIA</b:Title>
    <b:JournalName>Journal of Services Research</b:JournalName>
    <b:Year>2013</b:Year>
    <b:Pages>111-134</b:Pages>
    <b:Month>09</b:Month>
    <b:Volume>13</b:Volume>
    <b:Issue>1</b:Issue>
    <b:YearAccessed>2023</b:YearAccessed>
    <b:MonthAccessed>03</b:MonthAccessed>
    <b:DayAccessed>07</b:DayAccessed>
    <b:URL>https://www.proquest.com/openview/875f65ffd0fafbb73b16a59a91424c43/1?cbl=28391&amp;pq-origsite=gscholar</b:URL>
    <b:Author>
      <b:Author>
        <b:NameList>
          <b:Person>
            <b:Last>Dutta</b:Last>
            <b:First>Kirti</b:First>
          </b:Person>
          <b:Person>
            <b:Last>Singh</b:Last>
            <b:First>Swati</b:First>
          </b:Person>
        </b:NameList>
      </b:Author>
    </b:Author>
    <b:RefOrder>668</b:RefOrder>
  </b:Source>
  <b:Source>
    <b:Tag>Dut18</b:Tag>
    <b:SourceType>JournalArticle</b:SourceType>
    <b:Guid>{E081D961-9A60-47CD-B232-38CCCC90EFF3}</b:Guid>
    <b:Title>The role of corporate social responsibility (CSR) and internal CSR communication in predicting employee engagement: Perspectives from the United Arab Emirates (UAE)</b:Title>
    <b:JournalName>Public Relations Review</b:JournalName>
    <b:Year>2018</b:Year>
    <b:Pages>453-462</b:Pages>
    <b:Month>11</b:Month>
    <b:Publisher>Elsevier Inc.</b:Publisher>
    <b:Volume>44</b:Volume>
    <b:Issue>4</b:Issue>
    <b:YearAccessed>2022</b:YearAccessed>
    <b:MonthAccessed>12</b:MonthAccessed>
    <b:DayAccessed>03</b:DayAccessed>
    <b:DOI>10.1016/j.pubrev.2018.04.001</b:DOI>
    <b:Author>
      <b:Author>
        <b:NameList>
          <b:Person>
            <b:Last>Duthler</b:Last>
            <b:First>Gaelle</b:First>
          </b:Person>
          <b:Person>
            <b:Last>Dhanesh</b:Last>
            <b:Middle>S</b:Middle>
            <b:First>Ganga </b:First>
          </b:Person>
        </b:NameList>
      </b:Author>
    </b:Author>
    <b:RefOrder>485</b:RefOrder>
  </b:Source>
  <b:Source>
    <b:Tag>Per16</b:Tag>
    <b:SourceType>JournalArticle</b:SourceType>
    <b:Guid>{86952BAD-FD90-4413-BFDF-EC043695FA8E}</b:Guid>
    <b:Title>Personality, Ideological Attitudes, and Group Identity as Predictors of Political Behavior in Majority and Minority Ethnic Groups</b:Title>
    <b:JournalName>Political Psychology</b:JournalName>
    <b:Year>2016</b:Year>
    <b:Volume>37</b:Volume>
    <b:Issue>01</b:Issue>
    <b:YearAccessed>2022</b:YearAccessed>
    <b:MonthAccessed>02</b:MonthAccessed>
    <b:DayAccessed>17</b:DayAccessed>
    <b:DOI>doi: 10.1111/pops.12222</b:DOI>
    <b:Author>
      <b:Author>
        <b:NameList>
          <b:Person>
            <b:Last>Duckitt</b:Last>
            <b:First>John</b:First>
          </b:Person>
          <b:Person>
            <b:Last>Sibley</b:Last>
            <b:Middle>G</b:Middle>
            <b:First>Chris</b:First>
          </b:Person>
        </b:NameList>
      </b:Author>
    </b:Author>
    <b:RefOrder>1266</b:RefOrder>
  </b:Source>
  <b:Source>
    <b:Tag>DuY21</b:Tag>
    <b:SourceType>JournalArticle</b:SourceType>
    <b:Guid>{9126B344-5F20-4B40-A418-F48F5AD935AF}</b:Guid>
    <b:Title>Multiple-to-multiple path analysis model</b:Title>
    <b:JournalName>PLoS One</b:JournalName>
    <b:Year>2021</b:Year>
    <b:Volume>16</b:Volume>
    <b:Issue>3</b:Issue>
    <b:Month>03</b:Month>
    <b:Day>04</b:Day>
    <b:YearAccessed>2023</b:YearAccessed>
    <b:MonthAccessed>01</b:MonthAccessed>
    <b:DayAccessed>24</b:DayAccessed>
    <b:DOI>https://doi.org/10.1371/journal.pone.0247722</b:DOI>
    <b:Author>
      <b:Author>
        <b:NameList>
          <b:Person>
            <b:Last>Du</b:Last>
            <b:First>Yujie </b:First>
          </b:Person>
          <b:Person>
            <b:Last>Du</b:Last>
            <b:First>Junli </b:First>
          </b:Person>
          <b:Person>
            <b:Last>Liu</b:Last>
            <b:First>Xi</b:First>
          </b:Person>
          <b:Person>
            <b:Last>Yuan</b:Last>
            <b:First>Zhifa </b:First>
          </b:Person>
        </b:NameList>
      </b:Author>
      <b:Editor>
        <b:NameList>
          <b:Person>
            <b:Last>Hadizadeh</b:Last>
            <b:First>Mohammadreza </b:First>
          </b:Person>
        </b:NameList>
      </b:Editor>
    </b:Author>
    <b:RefOrder>972</b:RefOrder>
  </b:Source>
  <b:Source>
    <b:Tag>DuS101</b:Tag>
    <b:SourceType>JournalArticle</b:SourceType>
    <b:Guid>{05BB0DE3-7D51-4A81-A0B5-D755B4139BE3}</b:Guid>
    <b:Title>Maximizing Business Returns to Corporate Social Responsibility (CSR): The Role of CSR Communication</b:Title>
    <b:JournalName>International Journal of Management Reviews</b:JournalName>
    <b:Year>2010</b:Year>
    <b:Pages>8-19</b:Pages>
    <b:Month>03</b:Month>
    <b:Volume>12</b:Volume>
    <b:Issue>1</b:Issue>
    <b:YearAccessed>2023</b:YearAccessed>
    <b:MonthAccessed>02</b:MonthAccessed>
    <b:DayAccessed>18</b:DayAccessed>
    <b:DOI>https://doi.org/10.1111/j.1468-2370.2009.00276.x</b:DOI>
    <b:Author>
      <b:Author>
        <b:NameList>
          <b:Person>
            <b:Last>Du</b:Last>
            <b:First>Shuili </b:First>
          </b:Person>
          <b:Person>
            <b:Last>Bhattacharya</b:Last>
            <b:Middle>B.</b:Middle>
            <b:First>C.</b:First>
          </b:Person>
          <b:Person>
            <b:Last>Sen</b:Last>
            <b:First>Sankar</b:First>
          </b:Person>
        </b:NameList>
      </b:Author>
    </b:Author>
    <b:RefOrder>308</b:RefOrder>
  </b:Source>
  <b:Source>
    <b:Tag>DuS10</b:Tag>
    <b:SourceType>JournalArticle</b:SourceType>
    <b:Guid>{9C2FB08E-02C1-492F-BCDD-B8FB541FEACA}</b:Guid>
    <b:Title>Maximizing Business Returns to Corporate Social Responsibility (CSR): The Role of CSR Communication</b:Title>
    <b:Year>2010</b:Year>
    <b:Month>01</b:Month>
    <b:Day>15</b:Day>
    <b:URL>https://doi.org/10.1111/j.1468-2370.2009.00276.x</b:URL>
    <b:JournalName>International Journal of Management Reviews</b:JournalName>
    <b:Pages>8-19</b:Pages>
    <b:Volume>12</b:Volume>
    <b:Issue>1</b:Issue>
    <b:YearAccessed>2021</b:YearAccessed>
    <b:MonthAccessed>11</b:MonthAccessed>
    <b:DayAccessed>17</b:DayAccessed>
    <b:Author>
      <b:Author>
        <b:NameList>
          <b:Person>
            <b:Last>Du</b:Last>
            <b:First>Shuili</b:First>
          </b:Person>
          <b:Person>
            <b:Last>Bhattacharya</b:Last>
            <b:First>C.B.</b:First>
          </b:Person>
          <b:Person>
            <b:Last>Sen</b:Last>
            <b:First>Sankar </b:First>
          </b:Person>
        </b:NameList>
      </b:Author>
    </b:Author>
    <b:RefOrder>124</b:RefOrder>
  </b:Source>
  <b:Source>
    <b:Tag>DuH21</b:Tag>
    <b:SourceType>JournalArticle</b:SourceType>
    <b:Guid>{EA998629-09F2-4039-B391-F595B2BF319C}</b:Guid>
    <b:Title>Distributionally-Weighted Least Squares in Structural Equation Modeling</b:Title>
    <b:JournalName>American Psychological Association</b:JournalName>
    <b:Year>2021</b:Year>
    <b:ConferenceName>Proceedings of 85th annual Meeting of the Psychometric Society and the 2020 Meeting of the International Society for Data Science and Analytics</b:ConferenceName>
    <b:YearAccessed>2023</b:YearAccessed>
    <b:MonthAccessed>01</b:MonthAccessed>
    <b:DayAccessed>23</b:DayAccessed>
    <b:DOI>https://doi.org/10.1037/met0000388</b:DOI>
    <b:Month>06</b:Month>
    <b:Day>21</b:Day>
    <b:Author>
      <b:Author>
        <b:NameList>
          <b:Person>
            <b:Last>Du</b:Last>
            <b:First>Han</b:First>
          </b:Person>
          <b:Person>
            <b:Last>Bentler</b:Last>
            <b:Middle>M.</b:Middle>
            <b:First>Peter </b:First>
          </b:Person>
        </b:NameList>
      </b:Author>
    </b:Author>
    <b:RefOrder>971</b:RefOrder>
  </b:Source>
  <b:Source>
    <b:Tag>Dro11</b:Tag>
    <b:SourceType>JournalArticle</b:SourceType>
    <b:Guid>{A82E7B40-CD88-41DF-8CC6-D0C7C49C88CE}</b:Guid>
    <b:Title>Validity and Reliability in Social Science Research</b:Title>
    <b:Year>2011</b:Year>
    <b:Month>01</b:Month>
    <b:URL>https://www.researchgate.net/publication/261473819_Validity_and_Reliability_in_Social_Science_Research</b:URL>
    <b:JournalName>International Perspectives on Higher Education Research</b:JournalName>
    <b:Pages>105-124</b:Pages>
    <b:Volume>38</b:Volume>
    <b:Issue>1</b:Issue>
    <b:YearAccessed>2022</b:YearAccessed>
    <b:MonthAccessed>10</b:MonthAccessed>
    <b:DayAccessed>28</b:DayAccessed>
    <b:Author>
      <b:Author>
        <b:NameList>
          <b:Person>
            <b:Last>Drost</b:Last>
            <b:First>Ellen </b:First>
          </b:Person>
        </b:NameList>
      </b:Author>
    </b:Author>
    <b:RefOrder>783</b:RefOrder>
  </b:Source>
  <b:Source>
    <b:Tag>Dou21</b:Tag>
    <b:SourceType>JournalArticle</b:SourceType>
    <b:Guid>{CBD5AE12-7EB1-4E3D-94E3-18187E18CDF1}</b:Guid>
    <b:Title>Social marketing-based interventions to promote healthy nutrition behaviors: a systematic review protocol</b:Title>
    <b:JournalName>Systematic Reviews</b:JournalName>
    <b:Year>2021</b:Year>
    <b:Author>
      <b:Author>
        <b:NameList>
          <b:Person>
            <b:Last>Doustmohammadian</b:Last>
            <b:First>Azam </b:First>
          </b:Person>
          <b:Person>
            <b:Last>Bazhan</b:Last>
            <b:First>Marjan </b:First>
          </b:Person>
        </b:NameList>
      </b:Author>
    </b:Author>
    <b:Month>03</b:Month>
    <b:Day>11</b:Day>
    <b:Volume>10</b:Volume>
    <b:YearAccessed>2023</b:YearAccessed>
    <b:MonthAccessed>02</b:MonthAccessed>
    <b:DayAccessed>17</b:DayAccessed>
    <b:DOI>https://doi.org/10.1186/s13643-021-01625-5</b:DOI>
    <b:RefOrder>502</b:RefOrder>
  </b:Source>
  <b:Source>
    <b:Tag>Dou11</b:Tag>
    <b:SourceType>JournalArticle</b:SourceType>
    <b:Guid>{659B6D81-0836-4B20-BBC7-E75DAEA83732}</b:Guid>
    <b:Title>Inductive theory generation: A grounded approach to business inquiry</b:Title>
    <b:Year>2011</b:Year>
    <b:JournalName>Electronic Journal on Business Research Methods</b:JournalName>
    <b:Pages>47-54</b:Pages>
    <b:Month>10</b:Month>
    <b:Volume>2</b:Volume>
    <b:Issue>1</b:Issue>
    <b:YearAccessed>2023</b:YearAccessed>
    <b:MonthAccessed>03</b:MonthAccessed>
    <b:DayAccessed>25</b:DayAccessed>
    <b:URL>https://www.researchgate.net/publication/228815666_Inductive_Theory_Generation_A_Grounded_Approach_to_Business_Inquiry</b:URL>
    <b:Author>
      <b:Author>
        <b:NameList>
          <b:Person>
            <b:Last>Douglas</b:Last>
            <b:First>David </b:First>
          </b:Person>
        </b:NameList>
      </b:Author>
    </b:Author>
    <b:RefOrder>1002</b:RefOrder>
  </b:Source>
  <b:Source>
    <b:Tag>Don12</b:Tag>
    <b:SourceType>JournalArticle</b:SourceType>
    <b:Guid>{179B98FD-2CB1-40E6-8BB9-AE08AB63D53D}</b:Guid>
    <b:Title>The Relative Effectiveness of Procedures Commonly Used in Multiple Regression Analysis for Dealing with Missing Values</b:Title>
    <b:JournalName>The Teacher's Corner</b:JournalName>
    <b:Year>2012</b:Year>
    <b:Pages>378-381</b:Pages>
    <b:Author>
      <b:Author>
        <b:NameList>
          <b:Person>
            <b:Last>Donner</b:Last>
            <b:First>Allan</b:First>
          </b:Person>
        </b:NameList>
      </b:Author>
    </b:Author>
    <b:Month>03</b:Month>
    <b:Day>30</b:Day>
    <b:Publisher>Taylor &amp; Francis</b:Publisher>
    <b:Volume>36</b:Volume>
    <b:Issue>4</b:Issue>
    <b:YearAccessed>2023</b:YearAccessed>
    <b:MonthAccessed>06</b:MonthAccessed>
    <b:DayAccessed>05</b:DayAccessed>
    <b:DOI>10.1080/00031305.1982.10483055</b:DOI>
    <b:RefOrder>918</b:RefOrder>
  </b:Source>
  <b:Source>
    <b:Tag>Don17</b:Tag>
    <b:SourceType>JournalArticle</b:SourceType>
    <b:Guid>{97B4089D-0D4E-449E-BD38-8C5FB90A13A2}</b:Guid>
    <b:Title>The CSR green halo effect on the corporate–public communication: an experimental study</b:Title>
    <b:JournalName>Asian Journal of Communication</b:JournalName>
    <b:Year>2017</b:Year>
    <b:Pages>213-230</b:Pages>
    <b:Author>
      <b:Author>
        <b:NameList>
          <b:Person>
            <b:Last>Dong</b:Last>
            <b:First>Dong</b:First>
          </b:Person>
          <b:Person>
            <b:Last>Chang</b:Last>
            <b:First>Hao-chieh</b:First>
          </b:Person>
          <b:Person>
            <b:Last>Wang</b:Last>
            <b:First>Tianjiao</b:First>
          </b:Person>
        </b:NameList>
      </b:Author>
    </b:Author>
    <b:Volume>27</b:Volume>
    <b:Issue>02</b:Issue>
    <b:YearAccessed>2022</b:YearAccessed>
    <b:MonthAccessed>11</b:MonthAccessed>
    <b:DayAccessed>06</b:DayAccessed>
    <b:DOI>https://doi.org/10.1080/01292986.2016.1257034</b:DOI>
    <b:RefOrder>1267</b:RefOrder>
  </b:Source>
  <b:Source>
    <b:Tag>Dol69</b:Tag>
    <b:SourceType>JournalArticle</b:SourceType>
    <b:Guid>{B14621C1-D2AE-42B2-8038-D101A8B77992}</b:Guid>
    <b:Title>Congruence Relationships between Self</b:Title>
    <b:JournalName>Journal of Marketing Research</b:JournalName>
    <b:Year>1969</b:Year>
    <b:Pages>80-84</b:Pages>
    <b:Volume>6</b:Volume>
    <b:Issue>1</b:Issue>
    <b:Author>
      <b:Author>
        <b:NameList>
          <b:Person>
            <b:Last>Dolich</b:Last>
            <b:Middle>J.</b:Middle>
            <b:First>I.</b:First>
          </b:Person>
        </b:NameList>
      </b:Author>
    </b:Author>
    <b:RefOrder>1268</b:RefOrder>
  </b:Source>
  <b:Source>
    <b:Tag>Dud15</b:Tag>
    <b:SourceType>JournalArticle</b:SourceType>
    <b:Guid>{2E30FE12-D224-4D73-B5BB-A9FF33CC98F9}</b:Guid>
    <b:Title>Testing the Viability of Corporate Social Advocacy as a Predictor of Purchase Intention</b:Title>
    <b:JournalName>Communications Research Report</b:JournalName>
    <b:Year>2015</b:Year>
    <b:Volume>32</b:Volume>
    <b:Issue>4</b:Issue>
    <b:Month>10</b:Month>
    <b:YearAccessed>2021</b:YearAccessed>
    <b:MonthAccessed>12</b:MonthAccessed>
    <b:DayAccessed>19</b:DayAccessed>
    <b:DOI>10.1080/08824096.2015.1089853</b:DOI>
    <b:Author>
      <b:Author>
        <b:NameList>
          <b:Person>
            <b:Last>Dodd</b:Last>
            <b:Middle>D</b:Middle>
            <b:First>Melissa </b:First>
          </b:Person>
          <b:Person>
            <b:Last>Supa</b:Last>
            <b:First>Dustin</b:First>
          </b:Person>
        </b:NameList>
      </b:Author>
    </b:Author>
    <b:RefOrder>1269</b:RefOrder>
  </b:Source>
  <b:Source>
    <b:Tag>Dod18</b:Tag>
    <b:SourceType>JournalArticle</b:SourceType>
    <b:Guid>{3C3D2BE1-FE0F-4849-AF7B-CCC3BCDBFE71}</b:Guid>
    <b:Title>lobalization, Pluralization, and Erosion: The Impact of Shifting Societal Expectations for Advocacy and Public Good</b:Title>
    <b:JournalName>Journal of Public Interest Communication</b:JournalName>
    <b:Year>2018</b:Year>
    <b:Author>
      <b:Author>
        <b:NameList>
          <b:Person>
            <b:Last>Dodd</b:Last>
            <b:First>Melissa</b:First>
          </b:Person>
        </b:NameList>
      </b:Author>
    </b:Author>
    <b:Month>09</b:Month>
    <b:Day>17</b:Day>
    <b:Volume>2</b:Volume>
    <b:Issue>2</b:Issue>
    <b:YearAccessed>2021</b:YearAccessed>
    <b:MonthAccessed>11</b:MonthAccessed>
    <b:DayAccessed>19</b:DayAccessed>
    <b:DOI>https://doi.org/10.32473/jpic.v2.i2.p221</b:DOI>
    <b:RefOrder>118</b:RefOrder>
  </b:Source>
  <b:Source>
    <b:Tag>Dod14</b:Tag>
    <b:SourceType>JournalArticle</b:SourceType>
    <b:Guid>{5B2E008C-5C8B-44A8-B8F6-0BE08B86F9A9}</b:Guid>
    <b:Title>Conceptualizing and measuring ‘‘corporate social advocacy’’ communication: Examining the impact on corporate financial performance.</b:Title>
    <b:JournalName>Journal of Public Relations</b:JournalName>
    <b:Year>2014</b:Year>
    <b:Volume>8</b:Volume>
    <b:Issue>3</b:Issue>
    <b:YearAccessed>2021</b:YearAccessed>
    <b:MonthAccessed>12</b:MonthAccessed>
    <b:DayAccessed>19</b:DayAccessed>
    <b:URL>https://www.bellisario.psu.edu/assets/uploads/2014DODDSUPA.pdf</b:URL>
    <b:Author>
      <b:Author>
        <b:NameList>
          <b:Person>
            <b:Last>Dodd</b:Last>
            <b:Middle>D</b:Middle>
            <b:First>Melissa</b:First>
          </b:Person>
          <b:Person>
            <b:Last>Supa</b:Last>
            <b:Middle>W</b:Middle>
            <b:First>Dustin</b:First>
          </b:Person>
        </b:NameList>
      </b:Author>
    </b:Author>
    <b:RefOrder>1270</b:RefOrder>
  </b:Source>
  <b:Source>
    <b:Tag>Dkh12</b:Tag>
    <b:SourceType>JournalArticle</b:SourceType>
    <b:Guid>{3628A121-6598-411B-A3D9-D6028CCA4B16}</b:Guid>
    <b:Title>The link between corporate social responsibility and financial performance: the case of the Tunisian companies</b:Title>
    <b:JournalName>Journal of Organizational Knowledge Management</b:JournalName>
    <b:Year>2012</b:Year>
    <b:Author>
      <b:Author>
        <b:NameList>
          <b:Person>
            <b:Last>Dkhili</b:Last>
            <b:First>Hichem </b:First>
          </b:Person>
          <b:Person>
            <b:Last>Ansi</b:Last>
            <b:First>Henda</b:First>
          </b:Person>
        </b:NameList>
      </b:Author>
    </b:Author>
    <b:YearAccessed>2023</b:YearAccessed>
    <b:MonthAccessed>02</b:MonthAccessed>
    <b:DayAccessed>17</b:DayAccessed>
    <b:DOI>10.5171/2012.640106</b:DOI>
    <b:RefOrder>542</b:RefOrder>
  </b:Source>
  <b:Source>
    <b:Tag>Dio21</b:Tag>
    <b:SourceType>InternetSite</b:SourceType>
    <b:Guid>{503EDADD-81C8-45CA-B6C3-4510D3570ECF}</b:Guid>
    <b:Title>HERITAGE BRANDS VS. BRANDS WITH HERITAGE</b:Title>
    <b:Year>2021</b:Year>
    <b:InternetSiteTitle>Knowledge</b:InternetSiteTitle>
    <b:Month>09</b:Month>
    <b:Day>28</b:Day>
    <b:URL>https://knowledge.essec.edu/en/video/heritage-brands-vs-brands-heritage.html#:~:text=Being%20a%20heritage%20brand%20means,communicate%20and%20market%20their%20products.</b:URL>
    <b:Author>
      <b:Author>
        <b:NameList>
          <b:Person>
            <b:Last>Dion </b:Last>
            <b:First>Delphine</b:First>
          </b:Person>
        </b:NameList>
      </b:Author>
    </b:Author>
    <b:RefOrder>790</b:RefOrder>
  </b:Source>
  <b:Source>
    <b:Tag>DiM83</b:Tag>
    <b:SourceType>JournalArticle</b:SourceType>
    <b:Guid>{A9B74396-9B65-42A0-8D4E-07C488827F92}</b:Guid>
    <b:Title>The iron cage revisited: institutional isomorphism and collective rationality in organizational fields</b:Title>
    <b:JournalName>American Sociological Review</b:JournalName>
    <b:Year>1983</b:Year>
    <b:Pages>147-160</b:Pages>
    <b:Volume>48</b:Volume>
    <b:Issue>2</b:Issue>
    <b:Author>
      <b:Author>
        <b:NameList>
          <b:Person>
            <b:Last>DiMaggio</b:Last>
            <b:First>P.J.</b:First>
          </b:Person>
          <b:Person>
            <b:Last>Powell</b:Last>
            <b:First> W.W.</b:First>
          </b:Person>
        </b:NameList>
      </b:Author>
    </b:Author>
    <b:RefOrder>1042</b:RefOrder>
  </b:Source>
  <b:Source>
    <b:Tag>Dil09</b:Tag>
    <b:SourceType>BookSection</b:SourceType>
    <b:Guid>{D88C8057-C81B-4F80-B43F-09B9AEBECE14}</b:Guid>
    <b:Title>Friends Watching Friends: American Television in Egypt.</b:Title>
    <b:Year>2009</b:Year>
    <b:URL>https://www.amazon.co.uk/Friends-Watching-American-Television-Egypt/dp/1443814261</b:URL>
    <b:Publisher>Cambridge Scholars Publishing</b:Publisher>
    <b:Author>
      <b:Author>
        <b:NameList>
          <b:Person>
            <b:Last>Dillion</b:Last>
            <b:First>Katherine </b:First>
          </b:Person>
        </b:NameList>
      </b:Author>
      <b:Editor>
        <b:NameList>
          <b:Person>
            <b:Last>1st</b:Last>
          </b:Person>
        </b:NameList>
      </b:Editor>
    </b:Author>
    <b:YearAccessed>2022</b:YearAccessed>
    <b:MonthAccessed>11</b:MonthAccessed>
    <b:DayAccessed>12</b:DayAccessed>
    <b:RefOrder>805</b:RefOrder>
  </b:Source>
  <b:Source>
    <b:Tag>Did17</b:Tag>
    <b:SourceType>JournalArticle</b:SourceType>
    <b:Guid>{0A51B6B4-80D9-4287-84C2-EEB363E848E0}</b:Guid>
    <b:Title>Exploring the role of values and norms towards consumers’ intentions to patronize retail apparel brands engaged in corporate social responsibility (CSR)</b:Title>
    <b:JournalName>Fashion and Textiles</b:JournalName>
    <b:Year>2017</b:Year>
    <b:Author>
      <b:Author>
        <b:NameList>
          <b:Person>
            <b:Last>Diddi</b:Last>
            <b:First>Sonali </b:First>
          </b:Person>
          <b:Person>
            <b:Last>Niehm</b:Last>
            <b:Middle>S.</b:Middle>
            <b:First>Linda </b:First>
          </b:Person>
        </b:NameList>
      </b:Author>
    </b:Author>
    <b:Month>02</b:Month>
    <b:Day>28</b:Day>
    <b:Volume>5</b:Volume>
    <b:YearAccessed>2023</b:YearAccessed>
    <b:MonthAccessed>08</b:MonthAccessed>
    <b:DayAccessed>19</b:DayAccessed>
    <b:DOI>https://doi.org/10.1186/s40691-017-0086-0</b:DOI>
    <b:RefOrder>587</b:RefOrder>
  </b:Source>
  <b:Source>
    <b:Tag>Dib11</b:Tag>
    <b:SourceType>JournalArticle</b:SourceType>
    <b:Guid>{26445F0C-9990-4FEE-A5C9-C3CB79FBC253}</b:Guid>
    <b:Title>Analyzing narrative data using McCormack’s lenses.</b:Title>
    <b:JournalName>Nurse Researcher</b:JournalName>
    <b:Year>2011</b:Year>
    <b:Pages>13-19</b:Pages>
    <b:Volume>18</b:Volume>
    <b:Issue>3</b:Issue>
    <b:Author>
      <b:Author>
        <b:NameList>
          <b:Person>
            <b:Last>Dibley </b:Last>
            <b:First>L.</b:First>
          </b:Person>
        </b:NameList>
      </b:Author>
    </b:Author>
    <b:RefOrder>1023</b:RefOrder>
  </b:Source>
  <b:Source>
    <b:Tag>Dia20</b:Tag>
    <b:SourceType>JournalArticle</b:SourceType>
    <b:Guid>{D5CD7D94-D9FE-4A09-95B3-8DC15BD42A25}</b:Guid>
    <b:Title>CSR actions, brand value, and Willingness to Pay a Premium Price for Luxury Brands: Does Long-Term Orientation Matter?</b:Title>
    <b:JournalName>Journal of Business Ethics</b:JournalName>
    <b:Year>2020</b:Year>
    <b:Pages>241-260</b:Pages>
    <b:Month>03</b:Month>
    <b:Day>20</b:Day>
    <b:Volume>169</b:Volume>
    <b:YearAccessed>2022</b:YearAccessed>
    <b:MonthAccessed>10</b:MonthAccessed>
    <b:DayAccessed>02</b:DayAccessed>
    <b:DOI>https://doi.org/10.1007/s10551-020-04486-5</b:DOI>
    <b:Author>
      <b:Author>
        <b:NameList>
          <b:Person>
            <b:Last>Diallo</b:Last>
            <b:Middle>Fall</b:Middle>
            <b:First>Mbaye </b:First>
          </b:Person>
          <b:Person>
            <b:Last>Mouelhi</b:Last>
            <b:Middle>Ben Dahmane </b:Middle>
            <b:First>Norchène </b:First>
          </b:Person>
          <b:Person>
            <b:Last>Gadekar</b:Last>
            <b:First>Mahesh </b:First>
          </b:Person>
          <b:Person>
            <b:Last>Schill </b:Last>
            <b:First>Marie </b:First>
          </b:Person>
        </b:NameList>
      </b:Author>
    </b:Author>
    <b:RefOrder>142</b:RefOrder>
  </b:Source>
  <b:Source>
    <b:Tag>Dia201</b:Tag>
    <b:SourceType>JournalArticle</b:SourceType>
    <b:Guid>{42E3E958-C5CD-4924-BB10-B303C323A22D}</b:Guid>
    <b:Title>Institutional complexity and CSR practices: evidence from a developing country</b:Title>
    <b:JournalName>Journal of Accounting in Emerging Economies</b:JournalName>
    <b:Year>2020</b:Year>
    <b:Pages>655-680</b:Pages>
    <b:Volume>10</b:Volume>
    <b:Issue>4</b:Issue>
    <b:Author>
      <b:Author>
        <b:NameList>
          <b:Person>
            <b:Last>Diab</b:Last>
            <b:First>Ahmed </b:First>
          </b:Person>
          <b:Person>
            <b:Last>Metwally</b:Last>
            <b:Middle>Bahyeldin Mohamed </b:Middle>
            <b:First>Abdelmoneim </b:First>
          </b:Person>
        </b:NameList>
      </b:Author>
    </b:Author>
    <b:Month>09</b:Month>
    <b:Day>17</b:Day>
    <b:Publisher>Emerald Publishing Limited</b:Publisher>
    <b:YearAccessed>2022</b:YearAccessed>
    <b:MonthAccessed>12</b:MonthAccessed>
    <b:DayAccessed>10</b:DayAccessed>
    <b:DOI>https://doi.org/10.1108/JAEE-11-2019-0214</b:DOI>
    <b:RefOrder>30</b:RefOrder>
  </b:Source>
  <b:Source>
    <b:Tag>Dho18</b:Tag>
    <b:SourceType>JournalArticle</b:SourceType>
    <b:Guid>{0C0D1248-4E1A-4663-9F84-F298366DED95}</b:Guid>
    <b:Title>Media, markets and violence</b:Title>
    <b:Year>2018</b:Year>
    <b:Month>05</b:Month>
    <b:Day>23</b:Day>
    <b:JournalName>Journal of Marketing Management</b:JournalName>
    <b:Pages>1032-1047</b:Pages>
    <b:Volume>38</b:Volume>
    <b:Issue>11-12</b:Issue>
    <b:YearAccessed>2022</b:YearAccessed>
    <b:MonthAccessed>10</b:MonthAccessed>
    <b:DayAccessed>09</b:DayAccessed>
    <b:DOI>https://doi.org/10.1080/0267257X.2018.1468612</b:DOI>
    <b:Author>
      <b:Author>
        <b:NameList>
          <b:Person>
            <b:Last>Dholakia</b:Last>
            <b:First>Nikhilesh </b:First>
          </b:Person>
          <b:Person>
            <b:Last>Reyes</b:Last>
            <b:First>Ian </b:First>
          </b:Person>
        </b:NameList>
      </b:Author>
    </b:Author>
    <b:RefOrder>728</b:RefOrder>
  </b:Source>
  <b:Source>
    <b:Tag>Dha18</b:Tag>
    <b:SourceType>JournalArticle</b:SourceType>
    <b:Guid>{1477A4C5-4BAD-4865-A0AF-EFCC2917B63A}</b:Guid>
    <b:Title>Facts Over Stories for Involved Publics: Framing Effects in CSR Messaging and the Roles of Issue Involvement, Message Elaboration, Affect, and Skepticism</b:Title>
    <b:JournalName>Management Communication Quarterly </b:JournalName>
    <b:Year>2018</b:Year>
    <b:Author>
      <b:Author>
        <b:NameList>
          <b:Person>
            <b:Last>Dhanesh</b:Last>
            <b:Middle>S.</b:Middle>
            <b:First>Ganga</b:First>
          </b:Person>
          <b:Person>
            <b:Last>Nekmat</b:Last>
            <b:First>Elmie</b:First>
          </b:Person>
        </b:NameList>
      </b:Author>
    </b:Author>
    <b:Month>08</b:Month>
    <b:Day>27</b:Day>
    <b:Volume>33</b:Volume>
    <b:Issue>01</b:Issue>
    <b:YearAccessed>2022</b:YearAccessed>
    <b:MonthAccessed>05</b:MonthAccessed>
    <b:DayAccessed>18</b:DayAccessed>
    <b:DOI>https://doi.org/10.1177/0893318918793941</b:DOI>
    <b:RefOrder>102</b:RefOrder>
  </b:Source>
  <b:Source>
    <b:Tag>Dew20</b:Tag>
    <b:SourceType>JournalArticle</b:SourceType>
    <b:Guid>{6286C819-408D-4C43-A8BF-5FF73A0CFCA3}</b:Guid>
    <b:Year>2020</b:Year>
    <b:JournalName>Gadjah Mada International Journal of Business</b:JournalName>
    <b:Pages>118-136</b:Pages>
    <b:Month>08</b:Month>
    <b:Volume>22</b:Volume>
    <b:Issue>02</b:Issue>
    <b:YearAccessed>2022</b:YearAccessed>
    <b:MonthAccessed>06</b:MonthAccessed>
    <b:DayAccessed>19</b:DayAccessed>
    <b:URL>http://journal.ugm.ac.id/gamaijb</b:URL>
    <b:Author>
      <b:Author>
        <b:NameList>
          <b:Person>
            <b:Last>Dewi</b:Last>
            <b:Middle>Janita</b:Middle>
            <b:First>Ike</b:First>
          </b:Person>
          <b:Person>
            <b:Last>Ang</b:Last>
            <b:Middle>Hoon</b:Middle>
            <b:First>Svee</b:First>
          </b:Person>
        </b:NameList>
      </b:Author>
    </b:Author>
    <b:RefOrder>305</b:RefOrder>
  </b:Source>
  <b:Source>
    <b:Tag>Dew38</b:Tag>
    <b:SourceType>Book</b:SourceType>
    <b:Guid>{5E437A9D-39BA-42C4-94F7-DB6034C8144F}</b:Guid>
    <b:Title>Logic: THE THEORY OF INQUIRY</b:Title>
    <b:Year>1938</b:Year>
    <b:Pages>7</b:Pages>
    <b:Publisher>HENRY HOLT AND COMPANY, INC</b:Publisher>
    <b:Author>
      <b:Author>
        <b:NameList>
          <b:Person>
            <b:Last>Dewey</b:Last>
            <b:First>John</b:First>
          </b:Person>
        </b:NameList>
      </b:Author>
    </b:Author>
    <b:RefOrder>741</b:RefOrder>
  </b:Source>
  <b:Source>
    <b:Tag>Dev21</b:Tag>
    <b:SourceType>JournalArticle</b:SourceType>
    <b:Guid>{BC46AD7C-119C-48BA-9FE6-718CC75BC496}</b:Guid>
    <b:Title>Cross-media externalities in advertising markets</b:Title>
    <b:JournalName>Western Economic Association International Conference</b:JournalName>
    <b:Year>2021</b:Year>
    <b:Author>
      <b:Author>
        <b:NameList>
          <b:Person>
            <b:Last>Devaux</b:Last>
            <b:First>R´emi</b:First>
          </b:Person>
          <b:Person>
            <b:Last>Bomsel</b:Last>
            <b:First>Olivier</b:First>
          </b:Person>
        </b:NameList>
      </b:Author>
    </b:Author>
    <b:Month>02</b:Month>
    <b:Day>27</b:Day>
    <b:YearAccessed>2022</b:YearAccessed>
    <b:MonthAccessed>01</b:MonthAccessed>
    <b:DayAccessed>23</b:DayAccessed>
    <b:RefOrder>1271</b:RefOrder>
  </b:Source>
  <b:Source>
    <b:Tag>Der21</b:Tag>
    <b:SourceType>JournalArticle</b:SourceType>
    <b:Guid>{EE10C058-CD40-46AD-BA67-C40D4F792D88}</b:Guid>
    <b:Title>A scoping review on consumer behaviour related to wine and health</b:Title>
    <b:JournalName>Trends in Food Science &amp; Technology</b:JournalName>
    <b:Year>2021</b:Year>
    <b:Pages>559-580</b:Pages>
    <b:Month>06</b:Month>
    <b:Volume>112</b:Volume>
    <b:YearAccessed>2023</b:YearAccessed>
    <b:MonthAccessed>02</b:MonthAccessed>
    <b:DayAccessed>03</b:DayAccessed>
    <b:DOI>https://doi.org/10.1016/j.tifs.2021.03.057</b:DOI>
    <b:Author>
      <b:Author>
        <b:NameList>
          <b:Person>
            <b:Last>Deroover</b:Last>
            <b:First>K </b:First>
          </b:Person>
          <b:Person>
            <b:Last>Siegrist</b:Last>
            <b:First>M </b:First>
          </b:Person>
          <b:Person>
            <b:Last>Brain</b:Last>
            <b:First>K </b:First>
          </b:Person>
          <b:Person>
            <b:Last>McIntyre</b:Last>
            <b:First>J </b:First>
          </b:Person>
          <b:Person>
            <b:Last>Bucher</b:Last>
            <b:First>T </b:First>
          </b:Person>
        </b:NameList>
      </b:Author>
    </b:Author>
    <b:RefOrder>1272</b:RefOrder>
  </b:Source>
  <b:Source>
    <b:Tag>DeP16</b:Tag>
    <b:SourceType>BookSection</b:SourceType>
    <b:Guid>{BD863E8A-73DA-4BE9-B778-F1A59A966016}</b:Guid>
    <b:Title>Chapter 20 - Statistical Analysis for Experimental-Type Designs</b:Title>
    <b:BookTitle>Introduction to Research. Understanding and Applying Multiple Strategies</b:BookTitle>
    <b:Year>2016</b:Year>
    <b:Pages>282-310</b:Pages>
    <b:Author>
      <b:Author>
        <b:NameList>
          <b:Person>
            <b:Last>DePoy</b:Last>
            <b:First>Elizabeth</b:First>
          </b:Person>
          <b:Person>
            <b:Last>Gitlin</b:Last>
            <b:Middle>N.</b:Middle>
            <b:First>Laura </b:First>
          </b:Person>
        </b:NameList>
      </b:Author>
    </b:Author>
    <b:YearAccessed>2023</b:YearAccessed>
    <b:MonthAccessed>01</b:MonthAccessed>
    <b:DayAccessed>16</b:DayAccessed>
    <b:DOI>https://doi.org/10.1016/B978-0-323-26171-5.00020-3</b:DOI>
    <b:RefOrder>944</b:RefOrder>
  </b:Source>
  <b:Source>
    <b:Tag>Den17</b:Tag>
    <b:SourceType>JournalArticle</b:SourceType>
    <b:Guid>{4FEFEAD8-847E-45B0-BE60-058B5BB5FFAD}</b:Guid>
    <b:Title>Media use in the Middle East 2017 - A seven-nation survey</b:Title>
    <b:JournalName>Northwestern University in Qatar</b:JournalName>
    <b:Year>2017</b:Year>
    <b:Volume>mideastmedia.org</b:Volume>
    <b:YearAccessed>2023</b:YearAccessed>
    <b:MonthAccessed>02</b:MonthAccessed>
    <b:DayAccessed>21</b:DayAccessed>
    <b:URL>https://mideastmedia.org/survey/2017/uploads/file/NUQ_Media_Use_2017_v18%20FINAL.pdf</b:URL>
    <b:Author>
      <b:Author>
        <b:NameList>
          <b:Person>
            <b:Last>Dennis</b:Last>
            <b:Middle>E.</b:Middle>
            <b:First>Everette </b:First>
          </b:Person>
          <b:Person>
            <b:Last>Martin</b:Last>
            <b:Middle>D.</b:Middle>
            <b:First>Justin </b:First>
          </b:Person>
          <b:Person>
            <b:Last> Wood</b:Last>
            <b:First>Robb</b:First>
          </b:Person>
          <b:Person>
            <b:Last> Saeed</b:Last>
            <b:First>Marium</b:First>
          </b:Person>
        </b:NameList>
      </b:Author>
    </b:Author>
    <b:RefOrder>1273</b:RefOrder>
  </b:Source>
  <b:Source>
    <b:Tag>Xin17</b:Tag>
    <b:SourceType>JournalArticle</b:SourceType>
    <b:Guid>{50915D04-55B2-4679-8145-AF44E0372A8C}</b:Guid>
    <b:Title>Consumers’ Responses to Corporate Social Responsibility Initiatives: The Mediating Role of Consumer–Company Identification</b:Title>
    <b:JournalName>Journal of Business Ethics</b:JournalName>
    <b:Year>2017</b:Year>
    <b:Pages>1-12</b:Pages>
    <b:Month>05</b:Month>
    <b:Volume>142</b:Volume>
    <b:Issue>3</b:Issue>
    <b:YearAccessed>2021</b:YearAccessed>
    <b:MonthAccessed>12</b:MonthAccessed>
    <b:DayAccessed>09</b:DayAccessed>
    <b:DOI>10.1007/s10551-015-2742-x</b:DOI>
    <b:Author>
      <b:Author>
        <b:NameList>
          <b:Person>
            <b:Last>Deng</b:Last>
            <b:First>Xinming</b:First>
          </b:Person>
          <b:Person>
            <b:Last>Xu</b:Last>
            <b:First>Yang</b:First>
          </b:Person>
        </b:NameList>
      </b:Author>
    </b:Author>
    <b:RefOrder>390</b:RefOrder>
  </b:Source>
  <b:Source>
    <b:Tag>Del21</b:Tag>
    <b:SourceType>InternetSite</b:SourceType>
    <b:Guid>{4EF2ECC9-8F57-4199-A006-8C944BD2EB39}</b:Guid>
    <b:Title>The balance of power has irreversibly shifted into the hands of the customer, and brands need to act accordingly.</b:Title>
    <b:Year>2021</b:Year>
    <b:InternetSiteTitle>MarketingWeek</b:InternetSiteTitle>
    <b:Month>11</b:Month>
    <b:Day>03</b:Day>
    <b:URL>https://www.marketingweek.com/losing-trust-costs-brands-customers/</b:URL>
    <b:Author>
      <b:Author>
        <b:NameList>
          <b:Person>
            <b:Last>Del Pozo</b:Last>
            <b:First>Alvaro </b:First>
          </b:Person>
        </b:NameList>
      </b:Author>
    </b:Author>
    <b:RefOrder>1274</b:RefOrder>
  </b:Source>
  <b:Source>
    <b:Tag>Dee19</b:Tag>
    <b:SourceType>JournalArticle</b:SourceType>
    <b:Guid>{4232CC86-8B3A-4BA2-A914-ACD9E69091EF}</b:Guid>
    <b:Title>Legitimacy theory: Despite its enduring popularity and contribution, time is right for a necessary makeover</b:Title>
    <b:JournalName>Accounting, Auditing &amp; Accountability Journal</b:JournalName>
    <b:Year>2019</b:Year>
    <b:Author>
      <b:Author>
        <b:NameList>
          <b:Person>
            <b:Last>Deegan</b:Last>
            <b:Middle>Michael </b:Middle>
            <b:First>Craig </b:First>
          </b:Person>
        </b:NameList>
      </b:Author>
    </b:Author>
    <b:Month>11</b:Month>
    <b:Day>19</b:Day>
    <b:Volume>32</b:Volume>
    <b:Issue>8</b:Issue>
    <b:YearAccessed>2023</b:YearAccessed>
    <b:MonthAccessed>02</b:MonthAccessed>
    <b:DayAccessed>17</b:DayAccessed>
    <b:URL>https://www.emerald.com/insight/content/doi/10.1108/AAAJ-08-2018-3638/full/html?casa_token=qN6-LP0zwdcAAAAA:WY-POs3vMg3B7CXk5R41k6bJ8cAY8O9Powoyue0cdU_Z_3YdSU0V1dyE_Og4fvsDkICoKt-E6fPGJjnONVx0Wg_jWldleq0JcuR2s9wpakeGbW5SWMI</b:URL>
    <b:RefOrder>539</b:RefOrder>
  </b:Source>
  <b:Source>
    <b:Tag>Dee11</b:Tag>
    <b:SourceType>Book</b:SourceType>
    <b:Guid>{72E6ACC4-BD09-4E3F-9D8B-27DB4CFC4EEA}</b:Guid>
    <b:Title>Financial accounting theory: European edition</b:Title>
    <b:Year>2011</b:Year>
    <b:Publisher>McGraw Hill</b:Publisher>
    <b:Edition>2nd </b:Edition>
    <b:YearAccessed>2023</b:YearAccessed>
    <b:MonthAccessed>02</b:MonthAccessed>
    <b:DayAccessed>17</b:DayAccessed>
    <b:Author>
      <b:Author>
        <b:NameList>
          <b:Person>
            <b:Last>Deegan</b:Last>
            <b:First>Craig </b:First>
          </b:Person>
          <b:Person>
            <b:Last>Unerman</b:Last>
            <b:First>Jeffrey</b:First>
          </b:Person>
        </b:NameList>
      </b:Author>
    </b:Author>
    <b:RefOrder>535</b:RefOrder>
  </b:Source>
  <b:Source>
    <b:Tag>Dau22</b:Tag>
    <b:SourceType>InternetSite</b:SourceType>
    <b:Guid>{296DEE77-309C-480F-A9EB-6043CF5ACDFC}</b:Guid>
    <b:Title>The 45 Most Important Advertising Statistics of 2023</b:Title>
    <b:InternetSiteTitle>smallbizgenius</b:InternetSiteTitle>
    <b:Year>2022</b:Year>
    <b:Month>12</b:Month>
    <b:Day>15</b:Day>
    <b:URL>https://www.smallbizgenius.net/by-the-numbers/advertising-statistics/</b:URL>
    <b:Author>
      <b:Author>
        <b:NameList>
          <b:Person>
            <b:Last>Dautovic</b:Last>
            <b:First>Goran </b:First>
          </b:Person>
        </b:NameList>
      </b:Author>
    </b:Author>
    <b:RefOrder>36</b:RefOrder>
  </b:Source>
  <b:Source>
    <b:Tag>Dau18</b:Tag>
    <b:SourceType>JournalArticle</b:SourceType>
    <b:Guid>{89E057AF-5B56-4FC3-800F-598BD95FC7E8}</b:Guid>
    <b:Title>Validity and reliability of instrument to measure social media skills among small and medium entrepreneurs at Pengkalan Datu River</b:Title>
    <b:JournalName>International Journal of Development and Sustainability</b:JournalName>
    <b:Year>2018</b:Year>
    <b:Pages>1026-1037</b:Pages>
    <b:Volume>7</b:Volume>
    <b:Issue>3</b:Issue>
    <b:Author>
      <b:Author>
        <b:NameList>
          <b:Person>
            <b:Last>Daud</b:Last>
            <b:Middle>Mat </b:Middle>
            <b:First>Khairul Azhar </b:First>
          </b:Person>
          <b:Person>
            <b:Last>Khidzir</b:Last>
            <b:Middle>Zulkarnaen </b:Middle>
            <b:First>Nik </b:First>
          </b:Person>
          <b:Person>
            <b:Last>Ismail</b:Last>
            <b:Middle>Rasdan </b:Middle>
            <b:First>Ahmad </b:First>
          </b:Person>
          <b:Person>
            <b:Last>Abdullah</b:Last>
            <b:Middle>Aryani </b:Middle>
            <b:First>Fadhilahanim </b:First>
          </b:Person>
        </b:NameList>
      </b:Author>
    </b:Author>
    <b:YearAccessed>2023</b:YearAccessed>
    <b:MonthAccessed>01</b:MonthAccessed>
    <b:DayAccessed>20</b:DayAccessed>
    <b:URL>https://isdsnet.com/ijds-v7n3-15.pdf</b:URL>
    <b:RefOrder>925</b:RefOrder>
  </b:Source>
  <b:Source>
    <b:Tag>Das15</b:Tag>
    <b:SourceType>JournalArticle</b:SourceType>
    <b:Guid>{D469972D-6443-4B14-A92F-12B654559A7E}</b:Guid>
    <b:Title>Linkages between self-congruity, brand familiarity, perceived quality and purchase intention: A study of fashion retail brands</b:Title>
    <b:JournalName>Journal of Global Fashion Marketing</b:JournalName>
    <b:Year>2015</b:Year>
    <b:Pages>180-193</b:Pages>
    <b:Publisher>Elsevier B.V.</b:Publisher>
    <b:Volume>6</b:Volume>
    <b:Issue>3</b:Issue>
    <b:YearAccessed>2023</b:YearAccessed>
    <b:MonthAccessed>03</b:MonthAccessed>
    <b:DayAccessed>07</b:DayAccessed>
    <b:DOI>10.1080/20932685.2015.1032316</b:DOI>
    <b:Author>
      <b:Author>
        <b:NameList>
          <b:Person>
            <b:Last>Das</b:Last>
            <b:First>G.</b:First>
          </b:Person>
        </b:NameList>
      </b:Author>
    </b:Author>
    <b:RefOrder>1025</b:RefOrder>
  </b:Source>
  <b:Source>
    <b:Tag>Daf15</b:Tag>
    <b:SourceType>ConferenceProceedings</b:SourceType>
    <b:Guid>{F2331289-53EB-4E12-B140-359DD9AEF11B}</b:Guid>
    <b:Title>Confounding in Survey Experiments</b:Title>
    <b:Year>2015</b:Year>
    <b:URL>https://www.sas.rochester.edu/psc/polmeth/papers/confounding.pdf</b:URL>
    <b:ConferenceName>annual meeting of The Society for Political Methodology</b:ConferenceName>
    <b:YearAccessed>2023</b:YearAccessed>
    <b:MonthAccessed>08</b:MonthAccessed>
    <b:DayAccessed>06</b:DayAccessed>
    <b:Author>
      <b:Author>
        <b:NameList>
          <b:Person>
            <b:Last>Dafoe</b:Last>
            <b:First>Allan </b:First>
          </b:Person>
          <b:Person>
            <b:Last>Zhang</b:Last>
            <b:First>Baobao </b:First>
          </b:Person>
          <b:Person>
            <b:Last>Caughey</b:Last>
            <b:First>Devin </b:First>
          </b:Person>
        </b:NameList>
      </b:Author>
    </b:Author>
    <b:RefOrder>1038</b:RefOrder>
  </b:Source>
  <b:Source>
    <b:Tag>Daa19</b:Tag>
    <b:SourceType>JournalArticle</b:SourceType>
    <b:Guid>{AC07F3D2-B79F-40FE-AD4D-84289DF568D8}</b:Guid>
    <b:Title>The complementarity between corporate social responsibility disclosure and institutional investor in Jordan</b:Title>
    <b:JournalName>International Journal of Islamic and Middle Eastern Finance and Management</b:JournalName>
    <b:Year>2019</b:Year>
    <b:Pages>191-215</b:Pages>
    <b:Volume>12</b:Volume>
    <b:Issue>2</b:Issue>
    <b:Author>
      <b:Author>
        <b:NameList>
          <b:Person>
            <b:Last>Daas</b:Last>
            <b:First>Abdullah </b:First>
          </b:Person>
          <b:Person>
            <b:Last>Alaraj</b:Last>
            <b:First>Reem </b:First>
          </b:Person>
        </b:NameList>
      </b:Author>
    </b:Author>
    <b:Month>06</b:Month>
    <b:Day>03</b:Day>
    <b:Publisher>Emerald Publishing Limited</b:Publisher>
    <b:YearAccessed>2023</b:YearAccessed>
    <b:MonthAccessed>01</b:MonthAccessed>
    <b:DayAccessed>09</b:DayAccessed>
    <b:DOI>https://doi.org/10.1108/IMEFM-10-2017-0272</b:DOI>
    <b:RefOrder>480</b:RefOrder>
  </b:Source>
  <b:Source>
    <b:Tag>Cza20</b:Tag>
    <b:SourceType>JournalArticle</b:SourceType>
    <b:Guid>{E2A0E258-8681-4E9F-953E-3DD38C9F7089}</b:Guid>
    <b:Title>How values of individualism and collectivism influence impulsive buying and money budgeting: the mediating role of acculturation to global consumer culture</b:Title>
    <b:JournalName>Journal of Consumer Behaviour</b:JournalName>
    <b:Year>2020</b:Year>
    <b:Pages>505-522</b:Pages>
    <b:Month>06</b:Month>
    <b:Day>29</b:Day>
    <b:Publisher>Wiley Online Library</b:Publisher>
    <b:Volume>19</b:Volume>
    <b:Issue>5</b:Issue>
    <b:YearAccessed>2023</b:YearAccessed>
    <b:MonthAccessed>03</b:MonthAccessed>
    <b:DayAccessed>08</b:DayAccessed>
    <b:DOI>https://doi.org/10.1002/cb.1833</b:DOI>
    <b:Author>
      <b:Author>
        <b:NameList>
          <b:Person>
            <b:Last>Czarnecka</b:Last>
            <b:First>Barbara </b:First>
          </b:Person>
          <b:Person>
            <b:Last>Schivinski</b:Last>
            <b:First>Bruno </b:First>
          </b:Person>
          <b:Person>
            <b:Last>Keles</b:Last>
            <b:First>Serap </b:First>
          </b:Person>
        </b:NameList>
      </b:Author>
    </b:Author>
    <b:RefOrder>1030</b:RefOrder>
  </b:Source>
  <b:Source>
    <b:Tag>Cza19</b:Tag>
    <b:SourceType>JournalArticle</b:SourceType>
    <b:Guid>{4A865FFC-B0DE-4C75-BEE3-237D33B7A4DA}</b:Guid>
    <b:Title>Do consumers acculturated to global consumer culture buy more impulsively? The moderating role of attitudes towards, and beliefs about advertising</b:Title>
    <b:JournalName>Journal of Global Marketing</b:JournalName>
    <b:Year>2019</b:Year>
    <b:Month>03</b:Month>
    <b:Volume>32</b:Volume>
    <b:Issue>6</b:Issue>
    <b:YearAccessed>2023</b:YearAccessed>
    <b:MonthAccessed>03</b:MonthAccessed>
    <b:DayAccessed>08</b:DayAccessed>
    <b:DOI>10.1080/08911762.2019.1600094</b:DOI>
    <b:Author>
      <b:Author>
        <b:NameList>
          <b:Person>
            <b:Last>Czarnecka</b:Last>
            <b:First>Barbara </b:First>
          </b:Person>
          <b:Person>
            <b:Last>Schivinski</b:Last>
            <b:First>Bruno </b:First>
          </b:Person>
        </b:NameList>
      </b:Author>
    </b:Author>
    <b:RefOrder>690</b:RefOrder>
  </b:Source>
  <b:Source>
    <b:Tag>Cza10</b:Tag>
    <b:SourceType>JournalArticle</b:SourceType>
    <b:Guid>{5D8A7F66-FB4D-4B7C-B74B-1AC3C6994E5F}</b:Guid>
    <b:Title>Study on benefit transfer in an international setting. How to improve welfare estimates in the case of the countries' income heterogeneity?</b:Title>
    <b:JournalName>Ecological Economics</b:JournalName>
    <b:Year>2010</b:Year>
    <b:Pages>2409-2416</b:Pages>
    <b:Author>
      <b:Author>
        <b:NameList>
          <b:Person>
            <b:Last>Czajkowski</b:Last>
            <b:First>Mikołaj</b:First>
          </b:Person>
          <b:Person>
            <b:Last>Ščasný</b:Last>
            <b:First>Milan</b:First>
          </b:Person>
        </b:NameList>
      </b:Author>
    </b:Author>
    <b:Month>10</b:Month>
    <b:Day>15</b:Day>
    <b:Volume>69</b:Volume>
    <b:Issue>12</b:Issue>
    <b:YearAccessed>2022</b:YearAccessed>
    <b:MonthAccessed>10</b:MonthAccessed>
    <b:DayAccessed>28</b:DayAccessed>
    <b:URL>https://www.sciencedirect.com/science/article/abs/pii/S0921800910002740</b:URL>
    <b:DOI>https://doi.org/10.1016/j.ecolecon.2010.07.008</b:DOI>
    <b:RefOrder>780</b:RefOrder>
  </b:Source>
  <b:Source>
    <b:Tag>Cut20</b:Tag>
    <b:SourceType>JournalArticle</b:SourceType>
    <b:Guid>{DBDFCC8E-10E8-45AF-BFB9-BA795CA3E001}</b:Guid>
    <b:Title>Theory and application of research principles and philosophical underpinning for a study utilising interpretative phenomenological analysis</b:Title>
    <b:JournalName>Radiography</b:JournalName>
    <b:Year>2020</b:Year>
    <b:Pages>94-102</b:Pages>
    <b:Month>05</b:Month>
    <b:Volume>26</b:Volume>
    <b:Issue>2</b:Issue>
    <b:YearAccessed>2023</b:YearAccessed>
    <b:MonthAccessed>02</b:MonthAccessed>
    <b:DayAccessed>09</b:DayAccessed>
    <b:DOI>https://doi.org/10.1016/j.radi.2019.11.092</b:DOI>
    <b:Author>
      <b:Author>
        <b:NameList>
          <b:Person>
            <b:Last>Cuthbertson</b:Last>
            <b:Middle>M.</b:Middle>
            <b:First>L.</b:First>
          </b:Person>
          <b:Person>
            <b:Last> Robb</b:Last>
            <b:Middle>A.</b:Middle>
            <b:First>Y.</b:First>
          </b:Person>
          <b:Person>
            <b:Last>Blair</b:Last>
            <b:First>S</b:First>
          </b:Person>
        </b:NameList>
      </b:Author>
    </b:Author>
    <b:RefOrder>752</b:RefOrder>
  </b:Source>
  <b:Source>
    <b:Tag>Cus12</b:Tag>
    <b:SourceType>JournalArticle</b:SourceType>
    <b:Guid>{9B2B40F4-D52F-4EF8-83D0-B3CF7A42D519}</b:Guid>
    <b:Title>Agreements and differences between Corporate Social Responsibility, Social Marketing and cause-related Marketing</b:Title>
    <b:JournalName>International Journal of Business and Social Research</b:JournalName>
    <b:Year>2012</b:Year>
    <b:Author>
      <b:Author>
        <b:NameList>
          <b:Person>
            <b:Last>Cusot</b:Last>
            <b:First>Gustavo </b:First>
          </b:Person>
          <b:Person>
            <b:Last>Falconi</b:Last>
            <b:First>Gabriela </b:First>
          </b:Person>
        </b:NameList>
      </b:Author>
    </b:Author>
    <b:Month>04</b:Month>
    <b:Volume>2</b:Volume>
    <b:Issue>2</b:Issue>
    <b:YearAccessed>2023</b:YearAccessed>
    <b:MonthAccessed>06</b:MonthAccessed>
    <b:DayAccessed>03</b:DayAccessed>
    <b:DOI>https://doi.org/10.18533/ijbsr.v2i2.192</b:DOI>
    <b:RefOrder>80</b:RefOrder>
  </b:Source>
  <b:Source>
    <b:Tag>Cui19</b:Tag>
    <b:SourceType>JournalArticle</b:SourceType>
    <b:Guid>{5411130D-416A-4B38-9DFC-2952E038747E}</b:Guid>
    <b:Title>The presentation of brand personality in English-Chinese brand name translation</b:Title>
    <b:JournalName>International Journal of Market Research,</b:JournalName>
    <b:Year>2019</b:Year>
    <b:Pages>33-49</b:Pages>
    <b:Volume>61</b:Volume>
    <b:Issue>1</b:Issue>
    <b:YearAccessed>2022</b:YearAccessed>
    <b:MonthAccessed>10</b:MonthAccessed>
    <b:DayAccessed>07</b:DayAccessed>
    <b:URL>https://doi.org/10.1177/1470785318775358</b:URL>
    <b:Author>
      <b:Author>
        <b:NameList>
          <b:Person>
            <b:Last>Cui</b:Last>
            <b:First>Ying </b:First>
          </b:Person>
        </b:NameList>
      </b:Author>
    </b:Author>
    <b:RefOrder>1275</b:RefOrder>
  </b:Source>
  <b:Source>
    <b:Tag>Cre21</b:Tag>
    <b:SourceType>Book</b:SourceType>
    <b:Guid>{07F53418-28E9-483F-BBB8-36BCB7BB3944}</b:Guid>
    <b:Title>A Concise Introduction to Mixed Methods Research</b:Title>
    <b:Year>2021</b:Year>
    <b:Publisher>SAGE Publications, Inc</b:Publisher>
    <b:Edition>2nd</b:Edition>
    <b:YearAccessed>2022</b:YearAccessed>
    <b:MonthAccessed>11</b:MonthAccessed>
    <b:DayAccessed>01</b:DayAccessed>
    <b:URL>https://us.sagepub.com/hi/nam/a-concise-introduction-to-mixed-methods-research/book266037</b:URL>
    <b:Author>
      <b:Author>
        <b:NameList>
          <b:Person>
            <b:Last>Creswell</b:Last>
            <b:Middle>W.</b:Middle>
            <b:First>John</b:First>
          </b:Person>
        </b:NameList>
      </b:Author>
    </b:Author>
    <b:RefOrder>723</b:RefOrder>
  </b:Source>
  <b:Source>
    <b:Tag>Cre18</b:Tag>
    <b:SourceType>JournalArticle</b:SourceType>
    <b:Guid>{C5B2299B-7F9C-4A13-A167-2050C9C8E73A}</b:Guid>
    <b:Title>The influence of corporate social responsibility associations on consumers’ perceptions towards global brands</b:Title>
    <b:JournalName>Journal of Strategic Marketing</b:JournalName>
    <b:Year>2018</b:Year>
    <b:Pages>679-695</b:Pages>
    <b:Author>
      <b:Author>
        <b:NameList>
          <b:Person>
            <b:Last>Crespo</b:Last>
            <b:Middle>Fernandes </b:Middle>
            <b:First>Catia </b:First>
          </b:Person>
          <b:Person>
            <b:Last>Inacio</b:Last>
            <b:First>Nicole </b:First>
          </b:Person>
        </b:NameList>
      </b:Author>
    </b:Author>
    <b:Month>05</b:Month>
    <b:Day>30</b:Day>
    <b:Volume>27</b:Volume>
    <b:Issue>8</b:Issue>
    <b:YearAccessed>2023</b:YearAccessed>
    <b:MonthAccessed>05</b:MonthAccessed>
    <b:DayAccessed>29</b:DayAccessed>
    <b:DOI>https://doi.org/10.1080/0965254X.2018.1464497</b:DOI>
    <b:RefOrder>255</b:RefOrder>
  </b:Source>
  <b:Source>
    <b:Tag>Eli17</b:Tag>
    <b:SourceType>Book</b:SourceType>
    <b:Guid>{00484379-060D-429A-B79F-C2D03ACA6DE4}</b:Guid>
    <b:Title>An introduction to fully integrated mixed methods research</b:Title>
    <b:Year>2017</b:Year>
    <b:Publisher>Sage</b:Publisher>
    <b:Author>
      <b:Author>
        <b:NameList>
          <b:Person>
            <b:Last>Creamer</b:Last>
            <b:Middle>G.</b:Middle>
            <b:First>Elizabeth</b:First>
          </b:Person>
        </b:NameList>
      </b:Author>
    </b:Author>
    <b:YearAccessed>2022</b:YearAccessed>
    <b:MonthAccessed>11</b:MonthAccessed>
    <b:DayAccessed>01</b:DayAccessed>
    <b:DOI> https://doi.org/10.4135/9781071802823</b:DOI>
    <b:RefOrder>721</b:RefOrder>
  </b:Source>
  <b:Source>
    <b:Tag>Cot21</b:Tag>
    <b:SourceType>JournalArticle</b:SourceType>
    <b:Guid>{CE6D76FB-D1D5-4BEC-9B5C-3866C7D926C8}</b:Guid>
    <b:Title>Two types of epistemic instrumentalism</b:Title>
    <b:JournalName>Epistemic Rationality</b:JournalName>
    <b:Year>2021</b:Year>
    <b:Pages>5455-5475</b:Pages>
    <b:Volume>198</b:Volume>
    <b:Issue>06</b:Issue>
    <b:YearAccessed>2022</b:YearAccessed>
    <b:MonthAccessed>10</b:MonthAccessed>
    <b:DayAccessed>13</b:DayAccessed>
    <b:DOI>10.1007/s11229-019-02415-2</b:DOI>
    <b:Author>
      <b:Author>
        <b:NameList>
          <b:Person>
            <b:Last>Cote-Bouchard </b:Last>
            <b:First>Charles </b:First>
          </b:Person>
        </b:NameList>
      </b:Author>
    </b:Author>
    <b:RefOrder>1276</b:RefOrder>
  </b:Source>
  <b:Source>
    <b:Tag>Cor14</b:Tag>
    <b:SourceType>Book</b:SourceType>
    <b:Guid>{CEF36923-E408-4225-86BF-2D459D2CCA3D}</b:Guid>
    <b:Title>Basics of Qualitative Research. Techniques and Procedures for Developing Grounded Theory</b:Title>
    <b:Year>2014</b:Year>
    <b:Publisher>SAGE Publications, Inc</b:Publisher>
    <b:StateProvince>San Jose State University</b:StateProvince>
    <b:CountryRegion>USA</b:CountryRegion>
    <b:Edition>4th</b:Edition>
    <b:Author>
      <b:Author>
        <b:NameList>
          <b:Person>
            <b:Last>Corbin</b:Last>
            <b:First>Juliet</b:First>
          </b:Person>
          <b:Person>
            <b:Last>Strauss</b:Last>
            <b:First>Anselm </b:First>
          </b:Person>
        </b:NameList>
      </b:Author>
    </b:Author>
    <b:RefOrder>986</b:RefOrder>
  </b:Source>
  <b:Source>
    <b:Tag>Cop201</b:Tag>
    <b:SourceType>JournalArticle</b:SourceType>
    <b:Guid>{2B95DF74-297F-4919-800B-5E254D4F8C95}</b:Guid>
    <b:Title>Instagram and theory of reasoned action: US consumers influence of peers online and purchase intention</b:Title>
    <b:JournalName>nternational Journal of Fashion Design, Technology and Education</b:JournalName>
    <b:Year>2020</b:Year>
    <b:Pages>265-279</b:Pages>
    <b:Month>06</b:Month>
    <b:Day>24</b:Day>
    <b:Volume>13</b:Volume>
    <b:YearAccessed>2023</b:YearAccessed>
    <b:MonthAccessed>03</b:MonthAccessed>
    <b:DayAccessed>05</b:DayAccessed>
    <b:URL>https://www.tandfonline.com/loi/tfdt20</b:URL>
    <b:DOI>https://doi.org/10.1080/17543266.2020.1783374</b:DOI>
    <b:Author>
      <b:Author>
        <b:NameList>
          <b:Person>
            <b:Last>Copeland </b:Last>
            <b:Middle>Reiter </b:Middle>
            <b:First>Lauren </b:First>
          </b:Person>
          <b:Person>
            <b:Last>Zhao</b:Last>
            <b:First>Li</b:First>
          </b:Person>
        </b:NameList>
      </b:Author>
    </b:Author>
    <b:RefOrder>1277</b:RefOrder>
  </b:Source>
  <b:Source>
    <b:Tag>Cop202</b:Tag>
    <b:SourceType>JournalArticle</b:SourceType>
    <b:Guid>{941334F4-808C-4569-BFDE-CAAFD22566A2}</b:Guid>
    <b:Title>Instagram and theory of reasoned action: US consumers influence of peers online and purchase intention</b:Title>
    <b:Year>2020</b:Year>
    <b:Pages>265-279</b:Pages>
    <b:JournalName>International Journal of Fashion Design, Technology and Education</b:JournalName>
    <b:Month>06</b:Month>
    <b:Day>24</b:Day>
    <b:Volume>13</b:Volume>
    <b:Issue>3</b:Issue>
    <b:YearAccessed>2023</b:YearAccessed>
    <b:MonthAccessed>03</b:MonthAccessed>
    <b:DayAccessed>16</b:DayAccessed>
    <b:DOI>https://doi.org/10.1080/17543266.2020.1783374</b:DOI>
    <b:Author>
      <b:Author>
        <b:NameList>
          <b:Person>
            <b:Last>Copeland</b:Last>
            <b:Middle>Reiter </b:Middle>
            <b:First>Lauren </b:First>
          </b:Person>
          <b:Person>
            <b:Last>Zhao</b:Last>
            <b:First>Li</b:First>
          </b:Person>
        </b:NameList>
      </b:Author>
    </b:Author>
    <b:RefOrder>1278</b:RefOrder>
  </b:Source>
  <b:Source>
    <b:Tag>Cop20</b:Tag>
    <b:SourceType>JournalArticle</b:SourceType>
    <b:Guid>{C2BF4B25-BB71-4E10-B3C7-72091EDE3EEE}</b:Guid>
    <b:Title>Instagram and theory of reasoned action: US consumers influence of peers online and purchase intention</b:Title>
    <b:JournalName>INTERNATIONAL JOURNAL OF FASHION DESIGN, TECHNOLOGY AND EDUCATION</b:JournalName>
    <b:Year>2020</b:Year>
    <b:Pages>265-279</b:Pages>
    <b:Month>06</b:Month>
    <b:Day>12</b:Day>
    <b:Publisher>Taylor and Francis</b:Publisher>
    <b:Volume>13</b:Volume>
    <b:Issue>3</b:Issue>
    <b:YearAccessed>2023</b:YearAccessed>
    <b:MonthAccessed>03</b:MonthAccessed>
    <b:DayAccessed>05</b:DayAccessed>
    <b:DOI>https://doi.org/10.1080/17543266.2020.1783374</b:DOI>
    <b:Author>
      <b:Author>
        <b:NameList>
          <b:Person>
            <b:Last>Copeland</b:Last>
            <b:Middle>Reiter </b:Middle>
            <b:First>Lauren </b:First>
          </b:Person>
          <b:Person>
            <b:Last>Zhao</b:Last>
            <b:First>Li </b:First>
          </b:Person>
        </b:NameList>
      </b:Author>
    </b:Author>
    <b:RefOrder>574</b:RefOrder>
  </b:Source>
  <b:Source>
    <b:Tag>Coo81</b:Tag>
    <b:SourceType>JournalArticle</b:SourceType>
    <b:Guid>{32D74BE5-742E-4E35-8412-A58155EFCF5C}</b:Guid>
    <b:Title>Ubiquitous halo.</b:Title>
    <b:JournalName>Psychological Bulletin</b:JournalName>
    <b:Year>1981</b:Year>
    <b:Pages>218-244</b:Pages>
    <b:Author>
      <b:Author>
        <b:NameList>
          <b:Person>
            <b:Last>Cooper</b:Last>
            <b:Middle>H.</b:Middle>
            <b:First>William </b:First>
          </b:Person>
        </b:NameList>
      </b:Author>
    </b:Author>
    <b:Volume>90</b:Volume>
    <b:Issue>2</b:Issue>
    <b:YearAccessed>2022</b:YearAccessed>
    <b:MonthAccessed>11</b:MonthAccessed>
    <b:DayAccessed>06</b:DayAccessed>
    <b:DOI>https://doi.org/10.1037/0033-2909.90.2.218</b:DOI>
    <b:RefOrder>657</b:RefOrder>
  </b:Source>
  <b:Source>
    <b:Tag>Coo20</b:Tag>
    <b:SourceType>JournalArticle</b:SourceType>
    <b:Guid>{BBC83034-D2FA-41EB-80AB-74851FA9379D}</b:Guid>
    <b:Title>Descriptive Statistics for Summarising Data</b:Title>
    <b:JournalName>Nature Public Health Emergency Collection</b:JournalName>
    <b:Year>2020</b:Year>
    <b:Month>05</b:Month>
    <b:Day>15</b:Day>
    <b:YearAccessed>2023</b:YearAccessed>
    <b:MonthAccessed>04</b:MonthAccessed>
    <b:DayAccessed>23</b:DayAccessed>
    <b:DOI>10.1007/978-981-15-2537-7_5</b:DOI>
    <b:Author>
      <b:Author>
        <b:NameList>
          <b:Person>
            <b:Last>Cooksey</b:Last>
            <b:Middle>W.</b:Middle>
            <b:First>Ray </b:First>
          </b:Person>
        </b:NameList>
      </b:Author>
    </b:Author>
    <b:RefOrder>939</b:RefOrder>
  </b:Source>
  <b:Source>
    <b:Tag>Coo04</b:Tag>
    <b:SourceType>JournalArticle</b:SourceType>
    <b:Guid>{31450347-9160-4C97-B305-D5F8B64B4D80}</b:Guid>
    <b:Title>The Taking of a Position: A Reinterpretation of the Elaboration Likelihood Model</b:Title>
    <b:JournalName>Journal of The Theory of Social Behaviour</b:JournalName>
    <b:Year>2004</b:Year>
    <b:Pages>315-331</b:Pages>
    <b:Author>
      <b:Author>
        <b:NameList>
          <b:Person>
            <b:Last>Cook</b:Last>
            <b:Middle>J.</b:Middle>
            <b:First>Andrew</b:First>
          </b:Person>
          <b:Person>
            <b:Last>Moore</b:Last>
            <b:First>Kevin</b:First>
          </b:Person>
          <b:Person>
            <b:Last>Steel</b:Last>
            <b:Middle>D.</b:Middle>
            <b:First>Gary</b:First>
          </b:Person>
        </b:NameList>
      </b:Author>
    </b:Author>
    <b:Month>12</b:Month>
    <b:Day>21</b:Day>
    <b:Volume>34</b:Volume>
    <b:Issue>04</b:Issue>
    <b:YearAccessed>2022</b:YearAccessed>
    <b:MonthAccessed>09</b:MonthAccessed>
    <b:DayAccessed>27</b:DayAccessed>
    <b:URL> https://doi.org/10.1111/j.1468-5914.2004.00252.x</b:URL>
    <b:RefOrder>522</b:RefOrder>
  </b:Source>
  <b:Source>
    <b:Tag>Con17</b:Tag>
    <b:SourceType>JournalArticle</b:SourceType>
    <b:Guid>{BDB8CF90-D6C6-42E2-992B-1A67EC0D6094}</b:Guid>
    <b:Title>A comparative method for themes saturation  in qualitative interviews</b:Title>
    <b:JournalName>Qualitative Research</b:JournalName>
    <b:Year>2017</b:Year>
    <b:Pages>571-588</b:Pages>
    <b:Volume>17</b:Volume>
    <b:Issue>5</b:Issue>
    <b:YearAccessed>2023</b:YearAccessed>
    <b:MonthAccessed>04</b:MonthAccessed>
    <b:DayAccessed>01</b:DayAccessed>
    <b:DOI>10.1177/1468794116686650</b:DOI>
    <b:Author>
      <b:Author>
        <b:NameList>
          <b:Person>
            <b:Last>Constantinou</b:Last>
            <b:Middle>S</b:Middle>
            <b:First>Costas </b:First>
          </b:Person>
          <b:Person>
            <b:Last>Georgiou</b:Last>
            <b:First>Maria </b:First>
          </b:Person>
          <b:Person>
            <b:Last>Perdikogianni</b:Last>
            <b:First>Maria </b:First>
          </b:Person>
        </b:NameList>
      </b:Author>
    </b:Author>
    <b:RefOrder>1018</b:RefOrder>
  </b:Source>
  <b:Source>
    <b:Tag>Col18</b:Tag>
    <b:SourceType>JournalArticle</b:SourceType>
    <b:Guid>{5650700B-3456-4391-B9AA-AC1ED7E8C02B}</b:Guid>
    <b:Title>‘Snap happy’ brands: Increasing publicity effectiveness through a snapshot aesthetic when marketing a brand on Instagram</b:Title>
    <b:JournalName>Computers in Human Behavior</b:JournalName>
    <b:Year>2018</b:Year>
    <b:Pages>34-43</b:Pages>
    <b:Author>
      <b:Author>
        <b:NameList>
          <b:Person>
            <b:Last>Colliander</b:Last>
            <b:First>Jonas </b:First>
          </b:Person>
          <b:Person>
            <b:Last>Marder</b:Last>
            <b:First>Ben </b:First>
          </b:Person>
        </b:NameList>
      </b:Author>
    </b:Author>
    <b:Month>01</b:Month>
    <b:Volume>78</b:Volume>
    <b:YearAccessed>2023</b:YearAccessed>
    <b:MonthAccessed>03</b:MonthAccessed>
    <b:DayAccessed>17</b:DayAccessed>
    <b:DOI>https://doi.org/10.1016/j.chb.2017.09.015</b:DOI>
    <b:RefOrder>596</b:RefOrder>
  </b:Source>
  <b:Source>
    <b:Tag>Col22</b:Tag>
    <b:SourceType>JournalArticle</b:SourceType>
    <b:Guid>{04340ABF-69CF-48AA-8F9E-F51EEE4B2F0D}</b:Guid>
    <b:Title>Validity and Reliability within Qualitative Research in the Caring Sciences</b:Title>
    <b:Year>2022</b:Year>
    <b:JournalName>International Journal of Caring Sciences</b:JournalName>
    <b:Pages>2041-2045</b:Pages>
    <b:Author>
      <b:Author>
        <b:NameList>
          <b:Person>
            <b:Last>Coleman</b:Last>
            <b:First>Phil </b:First>
          </b:Person>
        </b:NameList>
      </b:Author>
    </b:Author>
    <b:Month>12</b:Month>
    <b:Volume>14</b:Volume>
    <b:Issue>3</b:Issue>
    <b:YearAccessed>2022</b:YearAccessed>
    <b:MonthAccessed>11</b:MonthAccessed>
    <b:DayAccessed>11</b:DayAccessed>
    <b:URL>http://oro.open.ac.uk/81588/</b:URL>
    <b:RefOrder>890</b:RefOrder>
  </b:Source>
  <b:Source>
    <b:Tag>Coh18</b:Tag>
    <b:SourceType>Book</b:SourceType>
    <b:Guid>{EA127094-2F10-4AA6-A843-E0C130657D78}</b:Guid>
    <b:Title>Research Methods in Education</b:Title>
    <b:Year>2018</b:Year>
    <b:Publisher>Routledge. Taylor &amp; Francis Group </b:Publisher>
    <b:Author>
      <b:Author>
        <b:NameList>
          <b:Person>
            <b:Last>Cohen</b:Last>
            <b:First>Louis</b:First>
          </b:Person>
          <b:Person>
            <b:Last>Manion</b:Last>
            <b:First>Lawrence </b:First>
          </b:Person>
          <b:Person>
            <b:Last>Morrison</b:Last>
            <b:First>Keith </b:First>
          </b:Person>
        </b:NameList>
      </b:Author>
    </b:Author>
    <b:Edition>8th</b:Edition>
    <b:YearAccessed>2022</b:YearAccessed>
    <b:MonthAccessed>11</b:MonthAccessed>
    <b:DayAccessed>11</b:DayAccessed>
    <b:URL>https://www.routledge.com/Research-Methods-in-Education/Cohen-Manion-Morrison/p/book/9781138209886</b:URL>
    <b:RefOrder>889</b:RefOrder>
  </b:Source>
  <b:Source>
    <b:Tag>Coe12</b:Tag>
    <b:SourceType>JournalArticle</b:SourceType>
    <b:Guid>{7BF39FEE-9478-4EE4-9A1A-F3C9C2A0D94E}</b:Guid>
    <b:Title>Individual interviews and focus groups in patients with rheumatoid arthritis: a comparison of two qualitative methods.</b:Title>
    <b:JournalName>Quality of Life Research.</b:JournalName>
    <b:Year>2012</b:Year>
    <b:Pages>359-370</b:Pages>
    <b:Volume>21</b:Volume>
    <b:DOI>https://doi.org/10.1007/s11136-011-9943-2</b:DOI>
    <b:Author>
      <b:Author>
        <b:NameList>
          <b:Person>
            <b:Last>Coenen</b:Last>
            <b:First>Michaela </b:First>
          </b:Person>
          <b:Person>
            <b:Last>Stamm</b:Last>
            <b:Middle>A.</b:Middle>
            <b:First>Tanja </b:First>
          </b:Person>
          <b:Person>
            <b:Last>Stucki</b:Last>
            <b:First>Gerold </b:First>
          </b:Person>
          <b:Person>
            <b:Last>Cieza </b:Last>
            <b:First>Alarcos </b:First>
          </b:Person>
        </b:NameList>
      </b:Author>
    </b:Author>
    <b:RefOrder>1022</b:RefOrder>
  </b:Source>
  <b:Source>
    <b:Tag>Cla17</b:Tag>
    <b:SourceType>JournalArticle</b:SourceType>
    <b:Guid>{5BAE1044-C7A0-4AFB-AA7A-525A21B2F0EF}</b:Guid>
    <b:Title>Thematic Analysis</b:Title>
    <b:JournalName>The Journal of Positive Psychology</b:JournalName>
    <b:Year>2017</b:Year>
    <b:Pages>297-298</b:Pages>
    <b:Volume>12</b:Volume>
    <b:Issue>3</b:Issue>
    <b:Author>
      <b:Author>
        <b:NameList>
          <b:Person>
            <b:Last>Clarke</b:Last>
            <b:First>V.</b:First>
          </b:Person>
          <b:Person>
            <b:Last>Braun</b:Last>
            <b:First>V.</b:First>
          </b:Person>
        </b:NameList>
      </b:Author>
    </b:Author>
    <b:RefOrder>1279</b:RefOrder>
  </b:Source>
  <b:Source>
    <b:Tag>Chu16</b:Tag>
    <b:SourceType>JournalArticle</b:SourceType>
    <b:Guid>{EC1AB55F-FFA6-4AD5-8347-DFA0B5E09CC3}</b:Guid>
    <b:Title>Wearable technologies: The role of usefulness and visibility in smartwatch adoption</b:Title>
    <b:JournalName>Computers in Human Behavior</b:JournalName>
    <b:Year>2016</b:Year>
    <b:Pages>276-284</b:Pages>
    <b:Author>
      <b:Author>
        <b:NameList>
          <b:Person>
            <b:Last>Chuah</b:Last>
            <b:Middle>Hui-Wen </b:Middle>
            <b:First>Stephanie </b:First>
          </b:Person>
          <b:Person>
            <b:Last>Rauschnabel</b:Last>
            <b:Middle>A.</b:Middle>
            <b:First>Philipp </b:First>
          </b:Person>
          <b:Person>
            <b:Last>Krey</b:Last>
            <b:First>Nina</b:First>
          </b:Person>
          <b:Person>
            <b:Last>Nguyen</b:Last>
            <b:First>Bang </b:First>
          </b:Person>
          <b:Person>
            <b:Last>Ramayah</b:Last>
            <b:First>Thurasamy </b:First>
          </b:Person>
          <b:Person>
            <b:Last>Lade</b:Last>
            <b:First>Shwetak</b:First>
          </b:Person>
        </b:NameList>
      </b:Author>
    </b:Author>
    <b:Month>12</b:Month>
    <b:Volume>65</b:Volume>
    <b:YearAccessed>2023</b:YearAccessed>
    <b:MonthAccessed>03</b:MonthAccessed>
    <b:DayAccessed>16</b:DayAccessed>
    <b:DOI>https://doi.org/10.1016/j.chb.2016.07.047</b:DOI>
    <b:RefOrder>546</b:RefOrder>
  </b:Source>
  <b:Source>
    <b:Tag>Cho15</b:Tag>
    <b:SourceType>BookSection</b:SourceType>
    <b:Guid>{53761CA3-63D9-42D8-9877-B41884FAA520}</b:Guid>
    <b:Title>Chapter 5: Epistemic Virtues and Vices</b:Title>
    <b:Year>2015</b:Year>
    <b:Pages>91-114</b:Pages>
    <b:City>New York </b:City>
    <b:Publisher>Oxford Academic </b:Publisher>
    <b:BookTitle>The Inquiring Organization: How Organizations Acquire Knowledge and Seek Information </b:BookTitle>
    <b:Author>
      <b:Author>
        <b:NameList>
          <b:Person>
            <b:Last>Choo</b:Last>
            <b:Middle>Wei </b:Middle>
            <b:First>Chun </b:First>
          </b:Person>
        </b:NameList>
      </b:Author>
    </b:Author>
    <b:YearAccessed>2022</b:YearAccessed>
    <b:MonthAccessed>10</b:MonthAccessed>
    <b:DayAccessed>11</b:DayAccessed>
    <b:DOI>https://doi.org/10.1093/acprof:oso/9780199782031.003.0005</b:DOI>
    <b:RefOrder>738</b:RefOrder>
  </b:Source>
  <b:Source>
    <b:Tag>Cho21</b:Tag>
    <b:SourceType>JournalArticle</b:SourceType>
    <b:Guid>{E58C4F16-191E-4E9F-BD88-65DDE5D2FE4A}</b:Guid>
    <b:Title>How hedonic and perceived community benefits from employee CSR involvement drive CSR advocacy behavior to co-workers</b:Title>
    <b:JournalName>Business Ethics, the Environment &amp; Responsibility</b:JournalName>
    <b:Year>2021</b:Year>
    <b:Pages>224-238</b:Pages>
    <b:Month>11</b:Month>
    <b:Day>09</b:Day>
    <b:Volume>31</b:Volume>
    <b:Issue>1</b:Issue>
    <b:YearAccessed>2023</b:YearAccessed>
    <b:MonthAccessed>02</b:MonthAccessed>
    <b:DayAccessed>03</b:DayAccessed>
    <b:DOI>https://doi.org/10.1111/beer.12404</b:DOI>
    <b:Author>
      <b:Author>
        <b:NameList>
          <b:Person>
            <b:Last>Chomvilailuk</b:Last>
            <b:First>Rojanasak </b:First>
          </b:Person>
          <b:Person>
            <b:Last>Butcher</b:Last>
            <b:First>Ken </b:First>
          </b:Person>
        </b:NameList>
      </b:Author>
    </b:Author>
    <b:RefOrder>113</b:RefOrder>
  </b:Source>
  <b:Source>
    <b:Tag>Cho03</b:Tag>
    <b:SourceType>JournalArticle</b:SourceType>
    <b:Guid>{4C5C48C4-5831-46F2-94FC-2A7AD3ABC6B9}</b:Guid>
    <b:Title>The elaboration likelihood model of persuasion after two decades: a review of criticisms and contributions</b:Title>
    <b:JournalName>The Kentucky Journal of Communications</b:JournalName>
    <b:Year>2003</b:Year>
    <b:Pages>47-77</b:Pages>
    <b:Month>01</b:Month>
    <b:Volume>22</b:Volume>
    <b:Issue>01</b:Issue>
    <b:YearAccessed>2022</b:YearAccessed>
    <b:MonthAccessed>09</b:MonthAccessed>
    <b:DayAccessed>27</b:DayAccessed>
    <b:URL>https://www.researchgate.net/profile/Charles_Salmon/publication/259671780_The_Elaboration_Likelihood_Model_of_Persuasion_After_Two_Decades_A_Review_of_Criticisms_and_Contributions/links/5719779f08ae986b8b7b35d3/The-Elaboration-Likelihood-Model-of-Persuasi</b:URL>
    <b:Author>
      <b:Author>
        <b:NameList>
          <b:Person>
            <b:Last>Choi</b:Last>
            <b:Middle>Marina</b:Middle>
            <b:First>Sejung</b:First>
          </b:Person>
          <b:Person>
            <b:Last>Salmon</b:Last>
            <b:Middle>T.</b:Middle>
            <b:First>Charles</b:First>
          </b:Person>
        </b:NameList>
      </b:Author>
    </b:Author>
    <b:RefOrder>520</b:RefOrder>
  </b:Source>
  <b:Source>
    <b:Tag>Cho12Kim</b:Tag>
    <b:SourceType>JournalArticle</b:SourceType>
    <b:Guid>{88046867-F854-4D97-8598-B17E72A315DE}</b:Guid>
    <b:Title>Corporate social responsibility (CSR) as a halo effect in issue management: public response to negative news about pro-social local private companies</b:Title>
    <b:JournalName>Asian Journal of Communication</b:JournalName>
    <b:Year>2012</b:Year>
    <b:Pages>372-385</b:Pages>
    <b:Author>
      <b:Author>
        <b:NameList>
          <b:Person>
            <b:Last>Cho</b:Last>
            <b:First>Seungho </b:First>
          </b:Person>
          <b:Person>
            <b:Last>Kim </b:Last>
            <b:First>Yong-Chan </b:First>
          </b:Person>
        </b:NameList>
      </b:Author>
    </b:Author>
    <b:Month>06</b:Month>
    <b:Day>19</b:Day>
    <b:Volume>22</b:Volume>
    <b:Issue>04</b:Issue>
    <b:YearAccessed>2022</b:YearAccessed>
    <b:MonthAccessed>11</b:MonthAccessed>
    <b:DayAccessed>06</b:DayAccessed>
    <b:DOI>https://doi.org/10.1080/01292986.2012.681666</b:DOI>
    <b:RefOrder>658</b:RefOrder>
  </b:Source>
  <b:Source>
    <b:Tag>Cho19</b:Tag>
    <b:SourceType>JournalArticle</b:SourceType>
    <b:Guid>{12469FCD-8534-4D37-83B5-6EF88869CCE5}</b:Guid>
    <b:Title>Study on the Relationship between CSR and Financial Performance</b:Title>
    <b:JournalName>Sustainability</b:JournalName>
    <b:Year>2019</b:Year>
    <b:Author>
      <b:Author>
        <b:NameList>
          <b:Person>
            <b:Last>Cho</b:Last>
            <b:Middle>Jun</b:Middle>
            <b:First>Sang </b:First>
          </b:Person>
          <b:Person>
            <b:Last>Chung</b:Last>
            <b:Middle>Young</b:Middle>
            <b:First>Chune</b:First>
          </b:Person>
          <b:Person>
            <b:Last>Young</b:Last>
            <b:First>Jason</b:First>
          </b:Person>
        </b:NameList>
      </b:Author>
    </b:Author>
    <b:Month>01</b:Month>
    <b:Day>11</b:Day>
    <b:Volume>11</b:Volume>
    <b:Issue>02</b:Issue>
    <b:YearAccessed>2022</b:YearAccessed>
    <b:MonthAccessed>10</b:MonthAccessed>
    <b:DayAccessed>01</b:DayAccessed>
    <b:DOI> https://doi.org/10.3390/su11020343</b:DOI>
    <b:RefOrder>1280</b:RefOrder>
  </b:Source>
  <b:Source>
    <b:Tag>Chi14</b:Tag>
    <b:SourceType>JournalArticle</b:SourceType>
    <b:Guid>{875BFAC7-C616-4070-948D-8E6C415D8E9A}</b:Guid>
    <b:Title>Developing a scale to measure the situational changes in short-term study abroad programs</b:Title>
    <b:JournalName>International Journal of Research Studies in Education</b:JournalName>
    <b:Year>2014</b:Year>
    <b:Volume>3</b:Volume>
    <b:Issue>5</b:Issue>
    <b:Month>10</b:Month>
    <b:YearAccessed>2023</b:YearAccessed>
    <b:MonthAccessed>01</b:MonthAccessed>
    <b:DayAccessed>31</b:DayAccessed>
    <b:DOI>10.5861/ijrse.2014.771</b:DOI>
    <b:Author>
      <b:Author>
        <b:NameList>
          <b:Person>
            <b:Last>Ching</b:Last>
            <b:Middle>S</b:Middle>
            <b:First>Gregory </b:First>
          </b:Person>
          <b:Person>
            <b:Last>Lien</b:Last>
            <b:First>Wei-Chih </b:First>
          </b:Person>
          <b:Person>
            <b:Last>Chao</b:Last>
            <b:First>Pei-Ching </b:First>
          </b:Person>
        </b:NameList>
      </b:Author>
    </b:Author>
    <b:RefOrder>965</b:RefOrder>
  </b:Source>
  <b:Source>
    <b:Tag>Chi98</b:Tag>
    <b:SourceType>JournalArticle</b:SourceType>
    <b:Guid>{958EB2C6-6812-4951-953F-2F2A7661EA4B}</b:Guid>
    <b:Title>Commentary: Issues and Opinion on Structural Equation Modeling</b:Title>
    <b:JournalName>MIS Quarterly</b:JournalName>
    <b:Year>1998</b:Year>
    <b:Pages>vii-xvi</b:Pages>
    <b:Volume>22</b:Volume>
    <b:Issue>1</b:Issue>
    <b:YearAccessed>2022</b:YearAccessed>
    <b:MonthAccessed>12</b:MonthAccessed>
    <b:DayAccessed>23</b:DayAccessed>
    <b:URL>http://www.jstor.org/stable/249674</b:URL>
    <b:Author>
      <b:Author>
        <b:NameList>
          <b:Person>
            <b:Last>Chin</b:Last>
            <b:Middle>W,</b:Middle>
            <b:First>Wynne </b:First>
          </b:Person>
        </b:NameList>
      </b:Author>
    </b:Author>
    <b:RefOrder>1281</b:RefOrder>
  </b:Source>
  <b:Source>
    <b:Tag>Che211</b:Tag>
    <b:SourceType>JournalArticle</b:SourceType>
    <b:Guid>{84ADA3BC-79F0-43B4-93CF-A8EDBC31E390}</b:Guid>
    <b:Title>When Sustainability is Not a Liability: The Halo Effect of Marketplace Morality</b:Title>
    <b:Year>2021</b:Year>
    <b:JournalName>Society for Consumer Psychology</b:JournalName>
    <b:Pages>551-569</b:Pages>
    <b:Month>07</b:Month>
    <b:Volume>31</b:Volume>
    <b:Issue>3</b:Issue>
    <b:YearAccessed>2023</b:YearAccessed>
    <b:MonthAccessed>05</b:MonthAccessed>
    <b:DayAccessed>31</b:DayAccessed>
    <b:DOI>https://doi.org/10.1002/jcpy.1195</b:DOI>
    <b:Author>
      <b:Author>
        <b:NameList>
          <b:Person>
            <b:Last>Chernev</b:Last>
            <b:First>Alexander </b:First>
          </b:Person>
          <b:Person>
            <b:Last>Blair</b:Last>
            <b:First>Sean</b:First>
          </b:Person>
        </b:NameList>
      </b:Author>
    </b:Author>
    <b:RefOrder>666</b:RefOrder>
  </b:Source>
  <b:Source>
    <b:Tag>Che21</b:Tag>
    <b:SourceType>JournalArticle</b:SourceType>
    <b:Guid>{03151BBF-5E29-46DB-B231-DC51090AA1E8}</b:Guid>
    <b:Title>When Sustainability is Not a Liability: The Halo Effect of Marketplace Morality</b:Title>
    <b:JournalName>Journal of Consumer Psychology</b:JournalName>
    <b:Year>2021</b:Year>
    <b:Pages>551-569</b:Pages>
    <b:Month>07</b:Month>
    <b:Publisher>Society for Consumer Psychology</b:Publisher>
    <b:Volume>31</b:Volume>
    <b:Issue>3</b:Issue>
    <b:YearAccessed>2022</b:YearAccessed>
    <b:MonthAccessed>11</b:MonthAccessed>
    <b:DayAccessed>05</b:DayAccessed>
    <b:DOI> https://doi.org/10.1002/jcpy.1195</b:DOI>
    <b:Author>
      <b:Author>
        <b:NameList>
          <b:Person>
            <b:Last>Chernev</b:Last>
            <b:First>Alexander </b:First>
          </b:Person>
          <b:Person>
            <b:Last>Blair</b:Last>
            <b:First>Sean </b:First>
          </b:Person>
        </b:NameList>
      </b:Author>
    </b:Author>
    <b:RefOrder>307</b:RefOrder>
  </b:Source>
  <b:Source>
    <b:Tag>Che233</b:Tag>
    <b:SourceType>JournalArticle</b:SourceType>
    <b:Guid>{BCE4568D-F017-4B67-A614-D0C008E5139B}</b:Guid>
    <b:Title>When non-CSR-themed social media influencers endorse corporate CSR initiatives: Effects of publics’ perceived influencer characteristics and leadership</b:Title>
    <b:JournalName>Public Relations Review</b:JournalName>
    <b:Year>2023</b:Year>
    <b:Author>
      <b:Author>
        <b:NameList>
          <b:Person>
            <b:Last>Chen</b:Last>
            <b:Middle>Regina </b:Middle>
            <b:First>Yi-Ru </b:First>
          </b:Person>
          <b:Person>
            <b:Last>Hung-Baesecke</b:Last>
            <b:Middle>Flora</b:Middle>
            <b:First>Chun-Ju </b:First>
          </b:Person>
          <b:Person>
            <b:Last>Cheng</b:Last>
            <b:First>Yang </b:First>
          </b:Person>
        </b:NameList>
      </b:Author>
    </b:Author>
    <b:Month>03</b:Month>
    <b:Volume>49</b:Volume>
    <b:Issue>1</b:Issue>
    <b:YearAccessed>2023</b:YearAccessed>
    <b:MonthAccessed>06</b:MonthAccessed>
    <b:DayAccessed>03</b:DayAccessed>
    <b:DOI>https://doi.org/10.1016/j.pubrev.2023.102288</b:DOI>
    <b:RefOrder>96</b:RefOrder>
  </b:Source>
  <b:Source>
    <b:Tag>Che231</b:Tag>
    <b:SourceType>JournalArticle</b:SourceType>
    <b:Guid>{EA21089F-1486-49F2-BB5F-6F93FF5C83C8}</b:Guid>
    <b:Title>When non-CSR-themed social media influencers endorse corporate CSR initiatives: Effects of publics’ perceived influencer characteristics and leadership</b:Title>
    <b:JournalName>Public Relations Review</b:JournalName>
    <b:Year>2023</b:Year>
    <b:Month>03</b:Month>
    <b:Volume>49</b:Volume>
    <b:Issue>1</b:Issue>
    <b:YearAccessed>2023</b:YearAccessed>
    <b:MonthAccessed>02</b:MonthAccessed>
    <b:DayAccessed>14</b:DayAccessed>
    <b:DOI>https://doi.org/10.1016/j.pubrev.2023.102288</b:DOI>
    <b:Author>
      <b:Author>
        <b:NameList>
          <b:Person>
            <b:Last>Chen</b:Last>
            <b:Middle>Regina </b:Middle>
            <b:First>Yi-Ru </b:First>
          </b:Person>
          <b:Person>
            <b:Last>Hung-Baesecke</b:Last>
            <b:Middle>Flora </b:Middle>
            <b:First>Chun-Ju </b:First>
          </b:Person>
          <b:Person>
            <b:Last>Cheng</b:Last>
            <b:First>Yang </b:First>
          </b:Person>
        </b:NameList>
      </b:Author>
    </b:Author>
    <b:RefOrder>17</b:RefOrder>
  </b:Source>
  <b:Source>
    <b:Tag>Che</b:Tag>
    <b:SourceType>JournalArticle</b:SourceType>
    <b:Guid>{501F5D3B-CE52-4F1D-AD59-55D0DFA0E3A5}</b:Guid>
    <b:Title>How does channel integration affect consumers’ selection of omni-channel</b:Title>
    <b:JournalName>Sustainability</b:JournalName>
    <b:Pages>1-29</b:Pages>
    <b:City>2021</b:City>
    <b:Volume>13</b:Volume>
    <b:Issue>16</b:Issue>
    <b:Author>
      <b:Author>
        <b:NameList>
          <b:Person>
            <b:Last>Chen</b:Last>
            <b:First>Y</b:First>
          </b:Person>
          <b:Person>
            <b:Last>Chi</b:Last>
            <b:First>T</b:First>
          </b:Person>
        </b:NameList>
      </b:Author>
    </b:Author>
    <b:Year>2021</b:Year>
    <b:RefOrder>638</b:RefOrder>
  </b:Source>
  <b:Source>
    <b:Tag>Che212</b:Tag>
    <b:SourceType>JournalArticle</b:SourceType>
    <b:Guid>{B8E3B28C-A28E-4B6B-BDD8-F9D00A4A8624}</b:Guid>
    <b:Title>The halo effect of biofortification claims on taste inference and purchase intention</b:Title>
    <b:JournalName>British Food Journal</b:JournalName>
    <b:Year>2021</b:Year>
    <b:Pages>2979-2995</b:Pages>
    <b:Author>
      <b:Author>
        <b:NameList>
          <b:Person>
            <b:Last>Chen</b:Last>
            <b:First>Tong</b:First>
          </b:Person>
          <b:Person>
            <b:Last>Gabrielyan</b:Last>
            <b:First>Gnel </b:First>
          </b:Person>
          <b:Person>
            <b:Last>Shimizu</b:Last>
            <b:First>Mitsuru </b:First>
          </b:Person>
          <b:Person>
            <b:Last>Qing</b:Last>
            <b:First>Ping</b:First>
          </b:Person>
        </b:NameList>
      </b:Author>
    </b:Author>
    <b:Month>02</b:Month>
    <b:Day>22</b:Day>
    <b:Publisher>Emerald Publishing Limited</b:Publisher>
    <b:Volume>123</b:Volume>
    <b:Issue>9</b:Issue>
    <b:YearAccessed>2023</b:YearAccessed>
    <b:MonthAccessed>06</b:MonthAccessed>
    <b:DayAccessed>11</b:DayAccessed>
    <b:DOI> https://doi.org/10.1108/BFJ-07-2020-0614</b:DOI>
    <b:RefOrder>683</b:RefOrder>
  </b:Source>
  <b:Source>
    <b:Tag>Che232</b:Tag>
    <b:SourceType>JournalArticle</b:SourceType>
    <b:Guid>{479C88B3-16C8-4C6D-8E7D-DEEE795CAD65}</b:Guid>
    <b:Title>The halo effect of biofortification claims on taste inference and purchase intention</b:Title>
    <b:JournalName>British Food Journal</b:JournalName>
    <b:Pages>2979-2995</b:Pages>
    <b:Publisher>Emerald Publishing Limited</b:Publisher>
    <b:Volume>123</b:Volume>
    <b:Issue>9</b:Issue>
    <b:YearAccessed>2023</b:YearAccessed>
    <b:MonthAccessed>03</b:MonthAccessed>
    <b:DayAccessed>20</b:DayAccessed>
    <b:DOI>https://doi.org/10.1108/BFJ-07-2020-0614</b:DOI>
    <b:Author>
      <b:Author>
        <b:NameList>
          <b:Person>
            <b:Last>Chen</b:Last>
            <b:First>Tong</b:First>
          </b:Person>
          <b:Person>
            <b:Last>Gabrielyan</b:Last>
            <b:First>Gnel </b:First>
          </b:Person>
          <b:Person>
            <b:Last>Shimizu</b:Last>
            <b:First>Mitsuru </b:First>
          </b:Person>
          <b:Person>
            <b:Last>Qing</b:Last>
            <b:First>Ping</b:First>
          </b:Person>
        </b:NameList>
      </b:Author>
    </b:Author>
    <b:Year>2021</b:Year>
    <b:Month>02</b:Month>
    <b:Day>22</b:Day>
    <b:RefOrder>656</b:RefOrder>
  </b:Source>
  <b:Source>
    <b:Tag>Che10</b:Tag>
    <b:SourceType>JournalArticle</b:SourceType>
    <b:Guid>{286F81CE-3703-435A-A36A-4A3E8754A442}</b:Guid>
    <b:Title>Attitude towards the environment and green products: Consumers’ perspective</b:Title>
    <b:JournalName>Management science and engineering</b:JournalName>
    <b:Year>2010</b:Year>
    <b:Pages>27-39</b:Pages>
    <b:Volume>4</b:Volume>
    <b:Issue>2</b:Issue>
    <b:YearAccessed>2023</b:YearAccessed>
    <b:MonthAccessed>04</b:MonthAccessed>
    <b:DayAccessed>28</b:DayAccessed>
    <b:Author>
      <b:Author>
        <b:NameList>
          <b:Person>
            <b:Last>Chen</b:Last>
            <b:Middle>B</b:Middle>
            <b:First>T</b:First>
          </b:Person>
          <b:Person>
            <b:Last>Chai</b:Last>
            <b:Middle>T.</b:Middle>
            <b:First>L.</b:First>
          </b:Person>
        </b:NameList>
      </b:Author>
    </b:Author>
    <b:RefOrder>352</b:RefOrder>
  </b:Source>
  <b:Source>
    <b:Tag>Che22</b:Tag>
    <b:SourceType>InternetSite</b:SourceType>
    <b:Guid>{670468C1-6818-43BA-B1C2-D6CB1D789180}</b:Guid>
    <b:Title>Middle East and North Africa (MENA): Countries and Economy</b:Title>
    <b:Year>2022</b:Year>
    <b:InternetSiteTitle>Investopedia</b:InternetSiteTitle>
    <b:Month>09</b:Month>
    <b:Day>13</b:Day>
    <b:URL>https://www.investopedia.com/terms/m/middle-east-and-north-africa-mena.asp</b:URL>
    <b:Author>
      <b:Author>
        <b:NameList>
          <b:Person>
            <b:Last>Chen</b:Last>
            <b:First>James</b:First>
          </b:Person>
        </b:NameList>
      </b:Author>
    </b:Author>
    <b:RefOrder>464</b:RefOrder>
  </b:Source>
  <b:Source>
    <b:Tag>Che03</b:Tag>
    <b:SourceType>JournalArticle</b:SourceType>
    <b:Guid>{B5923B51-9BBF-4331-9973-24736B855E54}</b:Guid>
    <b:Title>Impact of ambient odors on mall shoppers' emotions, cognition, and spending: a test of competitive causal theories</b:Title>
    <b:JournalName>Journal of Business Research</b:JournalName>
    <b:Year>2003</b:Year>
    <b:Pages>529-539</b:Pages>
    <b:Volume>56</b:Volume>
    <b:Issue>7</b:Issue>
    <b:Author>
      <b:Author>
        <b:NameList>
          <b:Person>
            <b:Last>Chebat</b:Last>
            <b:Middle>C.</b:Middle>
            <b:First>J.</b:First>
          </b:Person>
          <b:Person>
            <b:Last>Michon</b:Last>
            <b:First>R.</b:First>
          </b:Person>
        </b:NameList>
      </b:Author>
    </b:Author>
    <b:RefOrder>637</b:RefOrder>
  </b:Source>
  <b:Source>
    <b:Tag>Che23</b:Tag>
    <b:SourceType>JournalArticle</b:SourceType>
    <b:Guid>{8F0D6C68-32D9-43DD-9391-F641E4062401}</b:Guid>
    <b:Title>Multigroup analysis of more than two groups in PLS-SEM: A review, illustration, and recommendations</b:Title>
    <b:JournalName>Journal of Business Research</b:JournalName>
    <b:Year>2023</b:Year>
    <b:Volume>156</b:Volume>
    <b:Month>02</b:Month>
    <b:YearAccessed>2023</b:YearAccessed>
    <b:MonthAccessed>01</b:MonthAccessed>
    <b:DayAccessed>24</b:DayAccessed>
    <b:DOI>https://doi.org/10.1016/j.jbusres.2022.113539</b:DOI>
    <b:Author>
      <b:Author>
        <b:NameList>
          <b:Person>
            <b:Last>Cheah</b:Last>
            <b:First>Jun-Hwa</b:First>
          </b:Person>
          <b:Person>
            <b:Last>Amaro</b:Last>
            <b:First>Suzanne</b:First>
          </b:Person>
          <b:Person>
            <b:Last>Roldán</b:Last>
            <b:Middle>L.</b:Middle>
            <b:First>José </b:First>
          </b:Person>
        </b:NameList>
      </b:Author>
    </b:Author>
    <b:RefOrder>978</b:RefOrder>
  </b:Source>
  <b:Source>
    <b:Tag>Cha21</b:Tag>
    <b:SourceType>JournalArticle</b:SourceType>
    <b:Guid>{1CFC1E8F-0733-4FED-9DAD-A697B6047A2E}</b:Guid>
    <b:Title>Impact of Advertisement on Consumer Demand</b:Title>
    <b:JournalName>International Journal of Research Publication and Reviews</b:JournalName>
    <b:Year>2021</b:Year>
    <b:Pages>10-14</b:Pages>
    <b:Month>11</b:Month>
    <b:Volume>02</b:Volume>
    <b:Issue>11</b:Issue>
    <b:YearAccessed>2022</b:YearAccessed>
    <b:MonthAccessed>10</b:MonthAccessed>
    <b:DayAccessed>01</b:DayAccessed>
    <b:URL>https://ijrpr.com/uploads/V2ISSUE11/IJRPR1702.pdf</b:URL>
    <b:Author>
      <b:Author>
        <b:NameList>
          <b:Person>
            <b:Last>Chavan</b:Last>
            <b:Middle>B.</b:Middle>
            <b:First>Y.</b:First>
          </b:Person>
          <b:Person>
            <b:Last>Deo</b:Last>
            <b:Middle>Vijay</b:Middle>
            <b:First>Trupti</b:First>
          </b:Person>
        </b:NameList>
      </b:Author>
    </b:Author>
    <b:RefOrder>383</b:RefOrder>
  </b:Source>
  <b:Source>
    <b:Tag>Cha17</b:Tag>
    <b:SourceType>BookSection</b:SourceType>
    <b:Guid>{0831BCC1-4998-4FB7-8FC4-300BD63279FF}</b:Guid>
    <b:Title>The Role of Emotions to Brand Attachment and Brand Attitude in a Retail Environment: An Extended Abstract</b:Title>
    <b:BookTitle>Developments in Marketing Science: Proceedings of the Academy of Marketing Science</b:BookTitle>
    <b:Year>2017</b:Year>
    <b:Publisher>Springer, Cham</b:Publisher>
    <b:Author>
      <b:Author>
        <b:NameList>
          <b:Person>
            <b:Last>Chatzopoulou</b:Last>
            <b:First>Evangelia </b:First>
          </b:Person>
          <b:Person>
            <b:Last>Tsogas </b:Last>
            <b:First>Markos </b:First>
          </b:Person>
        </b:NameList>
      </b:Author>
    </b:Author>
    <b:YearAccessed>2023</b:YearAccessed>
    <b:MonthAccessed>07</b:MonthAccessed>
    <b:DayAccessed>27</b:DayAccessed>
    <b:DOI>https://doi.org/10.1007/978-3-319-45596-9_10</b:DOI>
    <b:RefOrder>177</b:RefOrder>
  </b:Source>
  <b:Source>
    <b:Tag>Cha211</b:Tag>
    <b:SourceType>JournalArticle</b:SourceType>
    <b:Guid>{AFC45C26-429D-4D98-8C45-8556204A6BF6}</b:Guid>
    <b:Title>Millennials' evaluation of corporate social responsibility: The wants and needs of the largest and most ethical generation</b:Title>
    <b:JournalName>Journal of Consumer Behaviour</b:JournalName>
    <b:Year>2021</b:Year>
    <b:Pages>521-534</b:Pages>
    <b:Volume>20</b:Volume>
    <b:Issue>3</b:Issue>
    <b:YearAccessed>2023</b:YearAccessed>
    <b:MonthAccessed>08</b:MonthAccessed>
    <b:DayAccessed>02</b:DayAccessed>
    <b:DOI>https://doi.org/10.1002/cb.1882</b:DOI>
    <b:Author>
      <b:Author>
        <b:NameList>
          <b:Person>
            <b:Last>Chatzopoulou</b:Last>
            <b:First>Elena </b:First>
          </b:Person>
          <b:Person>
            <b:Last>Kiewiet</b:Last>
            <b:Middle>de</b:Middle>
            <b:First>Adrian </b:First>
          </b:Person>
        </b:NameList>
      </b:Author>
    </b:Author>
    <b:RefOrder>24</b:RefOrder>
  </b:Source>
  <b:Source>
    <b:Tag>Cha14</b:Tag>
    <b:SourceType>JournalArticle</b:SourceType>
    <b:Guid>{8973EA1C-74F7-4BC2-B27A-581DC2528FE1}</b:Guid>
    <b:Title>Novelty in Theme Park Physical Surroundings: An Application of the Stimulus–Organism–Response Paradigm</b:Title>
    <b:JournalName>Asia Pacific Journal of Tourism Research</b:JournalName>
    <b:Year>2014</b:Year>
    <b:Pages>680-699</b:Pages>
    <b:Volume>19</b:Volume>
    <b:Issue>6</b:Issue>
    <b:YearAccessed>2023</b:YearAccessed>
    <b:MonthAccessed>03</b:MonthAccessed>
    <b:DayAccessed>10</b:DayAccessed>
    <b:DOI>https://doi.org/10.1080/10941665.2013.779589</b:DOI>
    <b:Author>
      <b:Author>
        <b:NameList>
          <b:Person>
            <b:Last>Chang</b:Last>
            <b:First>Ching-Hung </b:First>
          </b:Person>
          <b:Person>
            <b:Last>Shu</b:Last>
            <b:First>Shihtung </b:First>
          </b:Person>
          <b:Person>
            <b:Last>King</b:Last>
            <b:First>Brian</b:First>
          </b:Person>
        </b:NameList>
      </b:Author>
    </b:Author>
    <b:RefOrder>631</b:RefOrder>
  </b:Source>
  <b:Source>
    <b:Tag>Cer17</b:Tag>
    <b:SourceType>JournalArticle</b:SourceType>
    <b:Guid>{D13BBB14-0604-45EC-AF98-7397008A9643}</b:Guid>
    <b:Title>When Employees Don't 'Like' Their Employers on Social Media</b:Title>
    <b:JournalName>MIT Sloan Management Review</b:JournalName>
    <b:Year>2017</b:Year>
    <b:Pages>63-70</b:Pages>
    <b:City>Cambridge</b:City>
    <b:Volume>58</b:Volume>
    <b:Issue>2</b:Issue>
    <b:YearAccessed>2023</b:YearAccessed>
    <b:MonthAccessed>05</b:MonthAccessed>
    <b:DayAccessed>31</b:DayAccessed>
    <b:URL>http://mitsmr.com/2ghz3pk</b:URL>
    <b:Author>
      <b:Author>
        <b:NameList>
          <b:Person>
            <b:Last>Cervellon</b:Last>
            <b:First>Marie-Cecile</b:First>
          </b:Person>
          <b:Person>
            <b:Last>Lirio</b:Last>
            <b:First>Pamela </b:First>
          </b:Person>
        </b:NameList>
      </b:Author>
    </b:Author>
    <b:RefOrder>430</b:RefOrder>
  </b:Source>
  <b:Source>
    <b:Tag>Cat16</b:Tag>
    <b:SourceType>JournalArticle</b:SourceType>
    <b:Guid>{E4CB396A-5C5C-44F9-8B0B-36C923249920}</b:Guid>
    <b:Title>The use of social media and people with intellectual disability A systematic review and thematic analysis</b:Title>
    <b:JournalName>Journal of Intellectual and Development Disability</b:JournalName>
    <b:Year>2016</b:Year>
    <b:Pages>125-139</b:Pages>
    <b:Volume>41</b:Volume>
    <b:Issue>2</b:Issue>
    <b:YearAccessed>2023</b:YearAccessed>
    <b:MonthAccessed>03</b:MonthAccessed>
    <b:DayAccessed>29</b:DayAccessed>
    <b:Author>
      <b:Author>
        <b:NameList>
          <b:Person>
            <b:Last>Caton</b:Last>
            <b:First>S</b:First>
          </b:Person>
          <b:Person>
            <b:Last>Chapman</b:Last>
            <b:First>M</b:First>
          </b:Person>
        </b:NameList>
      </b:Author>
    </b:Author>
    <b:RefOrder>1282</b:RefOrder>
  </b:Source>
  <b:Source>
    <b:Tag>Cast21</b:Tag>
    <b:SourceType>JournalArticle</b:SourceType>
    <b:Guid>{0A888C5B-21DA-46E1-9AAB-3A66F3CDD0F5}</b:Guid>
    <b:Title>Food marketing and gender among children and adolescents: a scoping review</b:Title>
    <b:JournalName>Nutrition Journal volume</b:JournalName>
    <b:Year>2021</b:Year>
    <b:Month>06</b:Month>
    <b:Day>07</b:Day>
    <b:Volume>20</b:Volume>
    <b:YearAccessed>2023</b:YearAccessed>
    <b:MonthAccessed>02</b:MonthAccessed>
    <b:DayAccessed>03</b:DayAccessed>
    <b:DOI>https://doi.org/10.1186/s12937-021-00706-4</b:DOI>
    <b:Author>
      <b:Author>
        <b:NameList>
          <b:Person>
            <b:Last>Castronuovo</b:Last>
            <b:First>Luciana </b:First>
          </b:Person>
          <b:Person>
            <b:Last>Guarnieri</b:Last>
            <b:First>Leila </b:First>
          </b:Person>
          <b:Person>
            <b:Last>Tiscornia</b:Last>
            <b:Middle>Victoria </b:Middle>
            <b:First>María </b:First>
          </b:Person>
          <b:Person>
            <b:Last>Allemandi </b:Last>
            <b:First>Lorena </b:First>
          </b:Person>
        </b:NameList>
      </b:Author>
    </b:Author>
    <b:RefOrder>1283</b:RefOrder>
  </b:Source>
  <b:Source>
    <b:Tag>Cas18</b:Tag>
    <b:SourceType>JournalArticle</b:SourceType>
    <b:Guid>{684DCB3D-5F35-4293-AAEC-D429E70F87E8}</b:Guid>
    <b:Title>Thematic analysis of qualitative research data: Is it as easy as it sounds?</b:Title>
    <b:Year>2018</b:Year>
    <b:JournalName>Currents in Pharmacy Teaching and Learning</b:JournalName>
    <b:Pages>807-815</b:Pages>
    <b:Month>06</b:Month>
    <b:Volume>10</b:Volume>
    <b:Issue>6</b:Issue>
    <b:YearAccessed>2023</b:YearAccessed>
    <b:MonthAccessed>03</b:MonthAccessed>
    <b:DayAccessed>24</b:DayAccessed>
    <b:DOI>https://doi.org/10.1016/j.cptl.2018.03.019</b:DOI>
    <b:Author>
      <b:Author>
        <b:NameList>
          <b:Person>
            <b:Last>Castleberry</b:Last>
            <b:First>Ashley </b:First>
          </b:Person>
          <b:Person>
            <b:Last>Nolen</b:Last>
            <b:First>Amanda</b:First>
          </b:Person>
        </b:NameList>
      </b:Author>
    </b:Author>
    <b:RefOrder>980</b:RefOrder>
  </b:Source>
  <b:Source>
    <b:Tag>Cas181</b:Tag>
    <b:SourceType>JournalArticle</b:SourceType>
    <b:Guid>{E9B45898-D85D-4F6B-8A6E-6100156318F1}</b:Guid>
    <b:Title>Thematic analysis of qualitative research data: Is it as easy as it sounds?</b:Title>
    <b:JournalName>Currents in Pharmacy Teaching and Learning</b:JournalName>
    <b:Year>2018</b:Year>
    <b:Pages>807-815</b:Pages>
    <b:Volume>10</b:Volume>
    <b:Issue>6</b:Issue>
    <b:Author>
      <b:Author>
        <b:NameList>
          <b:Person>
            <b:Last>Castleberry</b:Last>
            <b:First>A</b:First>
          </b:Person>
          <b:Person>
            <b:Last>Nolen</b:Last>
            <b:First>A.</b:First>
          </b:Person>
        </b:NameList>
      </b:Author>
    </b:Author>
    <b:RefOrder>1284</b:RefOrder>
  </b:Source>
  <b:Source>
    <b:Tag>Cas17</b:Tag>
    <b:SourceType>InternetSite</b:SourceType>
    <b:Guid>{6E078809-9551-4BA1-96BE-5DDE9D556BB1}</b:Guid>
    <b:Title>Understanding the Arab male</b:Title>
    <b:InternetSiteTitle>American Chamber of Commerce in Egypt</b:InternetSiteTitle>
    <b:Year>2017</b:Year>
    <b:Month>06</b:Month>
    <b:URL>https://www.amcham.org.eg/publications/business-monthly/issues/258/June-2017/3591/manpower</b:URL>
    <b:Author>
      <b:Author>
        <b:NameList>
          <b:Person>
            <b:Last>Cass</b:Last>
            <b:First>Amy</b:First>
          </b:Person>
        </b:NameList>
      </b:Author>
    </b:Author>
    <b:RefOrder>860</b:RefOrder>
  </b:Source>
  <b:Source>
    <b:Tag>Cas20</b:Tag>
    <b:SourceType>JournalArticle</b:SourceType>
    <b:Guid>{6FDE5C80-B037-4B28-AE2B-4FAE22B027A6}</b:Guid>
    <b:Title>Role of Trust in Adopting Consumer Social Responsible Behaviour in the Context of Water Use in Domestic Households</b:Title>
    <b:JournalName>South East European Journal of Economics and Business</b:JournalName>
    <b:Year>2020</b:Year>
    <b:Pages>1-13</b:Pages>
    <b:Month>06</b:Month>
    <b:Day>15</b:Day>
    <b:Publisher>Sciendo</b:Publisher>
    <b:Volume>15</b:Volume>
    <b:Issue>1</b:Issue>
    <b:YearAccessed>2023</b:YearAccessed>
    <b:MonthAccessed>03</b:MonthAccessed>
    <b:DayAccessed>20</b:DayAccessed>
    <b:DOI>https://doi.org/10.2478/jeb-2020-0001</b:DOI>
    <b:Author>
      <b:Author>
        <b:NameList>
          <b:Person>
            <b:Last>Caspers</b:Last>
            <b:Middle>G.W. </b:Middle>
            <b:First>Cornelis </b:First>
          </b:Person>
        </b:NameList>
      </b:Author>
    </b:Author>
    <b:RefOrder>556</b:RefOrder>
  </b:Source>
  <b:Source>
    <b:Tag>Car911</b:Tag>
    <b:SourceType>JournalArticle</b:SourceType>
    <b:Guid>{B181D66F-F04E-486B-BF9F-1D5962C31AA2}</b:Guid>
    <b:Title>The Pyramid of Corporate Social Responsibility: Toward the Moral Management</b:Title>
    <b:JournalName>Business Horizons</b:JournalName>
    <b:Year>1991</b:Year>
    <b:Pages>39-48</b:Pages>
    <b:Volume>34</b:Volume>
    <b:Issue>4</b:Issue>
    <b:YearAccessed>2022</b:YearAccessed>
    <b:MonthAccessed>12</b:MonthAccessed>
    <b:DayAccessed>07</b:DayAccessed>
    <b:DOI>10.1016/0007-6813(91)</b:DOI>
    <b:Author>
      <b:Author>
        <b:NameList>
          <b:Person>
            <b:Last>Carroll </b:Last>
            <b:Middle>B.</b:Middle>
            <b:First>A.</b:First>
          </b:Person>
        </b:NameList>
      </b:Author>
    </b:Author>
    <b:RefOrder>1285</b:RefOrder>
  </b:Source>
  <b:Source>
    <b:Tag>Car91</b:Tag>
    <b:SourceType>JournalArticle</b:SourceType>
    <b:Guid>{FDE3E9BD-3964-4DAD-A402-9EA9DCF46676}</b:Guid>
    <b:Title>The pyramid of corporate social responsibility: toward the moral management of organizational stakeholders</b:Title>
    <b:JournalName>Business Horizons</b:JournalName>
    <b:Year>1991</b:Year>
    <b:Pages>39-48</b:Pages>
    <b:Author>
      <b:Author>
        <b:NameList>
          <b:Person>
            <b:Last>Carroll</b:Last>
            <b:Middle>B.</b:Middle>
            <b:First>Archie </b:First>
          </b:Person>
        </b:NameList>
      </b:Author>
    </b:Author>
    <b:Month>08</b:Month>
    <b:Volume>34</b:Volume>
    <b:Issue>4</b:Issue>
    <b:YearAccessed>2022</b:YearAccessed>
    <b:MonthAccessed>12</b:MonthAccessed>
    <b:DayAccessed>02</b:DayAccessed>
    <b:URL>https://doi.org/10.1016/0007-6813(91)90005-G</b:URL>
    <b:RefOrder>1286</b:RefOrder>
  </b:Source>
  <b:Source>
    <b:Tag>Car19</b:Tag>
    <b:SourceType>BookSection</b:SourceType>
    <b:Guid>{AA7073FC-DC58-4DB0-B545-119B043A636D}</b:Guid>
    <b:Title>Organizational Transformation and Managing Innovation in the Fourth Industrial Revolution</b:Title>
    <b:Year>2019</b:Year>
    <b:Pages>21</b:Pages>
    <b:BookTitle>The Benefits of Social Networking Sites in Building Reputation for Enterprises</b:BookTitle>
    <b:Publisher>IGI Global</b:Publisher>
    <b:Author>
      <b:Author>
        <b:NameList>
          <b:Person>
            <b:Last>Carrillo-Durán</b:Last>
            <b:Middle>Victoria </b:Middle>
            <b:First>María </b:First>
          </b:Person>
          <b:Person>
            <b:Last>Tato-Jiménez </b:Last>
            <b:Middle>Luis</b:Middle>
            <b:First>Juan </b:First>
          </b:Person>
        </b:NameList>
      </b:Author>
    </b:Author>
    <b:YearAccessed>2022</b:YearAccessed>
    <b:MonthAccessed>10</b:MonthAccessed>
    <b:DayAccessed>01</b:DayAccessed>
    <b:DOI>10.4018/978-1-5225-7074-5.ch004</b:DOI>
    <b:RefOrder>90</b:RefOrder>
  </b:Source>
  <b:Source>
    <b:Tag>Car22</b:Tag>
    <b:SourceType>JournalArticle</b:SourceType>
    <b:Guid>{61F77285-7834-4749-99F1-A47AFB6D3290}</b:Guid>
    <b:Title>The influence of interpersonal relationships on brand-related behaviors for gifted brands</b:Title>
    <b:JournalName>Journal of Consumer Psychology</b:JournalName>
    <b:Year>2022</b:Year>
    <b:Month>06</b:Month>
    <b:Day>03</b:Day>
    <b:YearAccessed>2023</b:YearAccessed>
    <b:MonthAccessed>02</b:MonthAccessed>
    <b:DayAccessed>11</b:DayAccessed>
    <b:DOI>https://doi.org/10.1002/jcpy.1312</b:DOI>
    <b:Author>
      <b:Author>
        <b:NameList>
          <b:Person>
            <b:Last>Carnevale</b:Last>
            <b:First>Marina </b:First>
          </b:Person>
          <b:Person>
            <b:Last>Kachersky</b:Last>
            <b:First>Luke </b:First>
          </b:Person>
        </b:NameList>
      </b:Author>
    </b:Author>
    <b:RefOrder>794</b:RefOrder>
  </b:Source>
  <b:Source>
    <b:Tag>Car20</b:Tag>
    <b:SourceType>InternetSite</b:SourceType>
    <b:Guid>{548AF425-4CE0-48AD-AD3D-231A3E11490A}</b:Guid>
    <b:Title>10 Cause-Related Marketing Campaign Examples That Inspire Us</b:Title>
    <b:Year>2020</b:Year>
    <b:InternetSiteTitle>HubSpot</b:InternetSiteTitle>
    <b:Month>07</b:Month>
    <b:Day>09</b:Day>
    <b:URL>https://blog.hubspot.com/agency/5-tips-to-boost-your-next-cause-marketing-campaigns-reach</b:URL>
    <b:Author>
      <b:Author>
        <b:NameList>
          <b:Person>
            <b:Last>Carmicheal</b:Last>
            <b:First>Kayla </b:First>
          </b:Person>
        </b:NameList>
      </b:Author>
    </b:Author>
    <b:YearAccessed>2023</b:YearAccessed>
    <b:MonthAccessed>06</b:MonthAccessed>
    <b:DayAccessed>03</b:DayAccessed>
    <b:RefOrder>88</b:RefOrder>
  </b:Source>
  <b:Source>
    <b:Tag>Car09</b:Tag>
    <b:SourceType>JournalArticle</b:SourceType>
    <b:Guid>{08F84A8F-7311-4987-A9F8-D2F5940BAFB0}</b:Guid>
    <b:Title>Duration sensitivity depends on stimulus familiarity.</b:Title>
    <b:JournalName>Journal of Experimental Psychology: General,</b:JournalName>
    <b:Year>2009</b:Year>
    <b:Pages>177-186</b:Pages>
    <b:Author>
      <b:Author>
        <b:NameList>
          <b:Person>
            <b:Last>Carey </b:Last>
            <b:Middle>K.</b:Middle>
            <b:First>Morewedge</b:First>
          </b:Person>
          <b:Person>
            <b:Last>Kassam</b:Last>
            <b:Middle>S.</b:Middle>
            <b:First>Karim </b:First>
          </b:Person>
          <b:Person>
            <b:Last>Hsee</b:Last>
            <b:Middle>K.</b:Middle>
            <b:First>Christopher </b:First>
          </b:Person>
          <b:Person>
            <b:Last>Caruso</b:Last>
            <b:Middle>M.</b:Middle>
            <b:First>Eugene </b:First>
          </b:Person>
        </b:NameList>
      </b:Author>
    </b:Author>
    <b:Publisher>APA Psych Net</b:Publisher>
    <b:Volume>138</b:Volume>
    <b:Issue>2</b:Issue>
    <b:YearAccessed>2022</b:YearAccessed>
    <b:MonthAccessed>11</b:MonthAccessed>
    <b:DayAccessed>12</b:DayAccessed>
    <b:DOI>https://doi.org/10.1037/a0015219</b:DOI>
    <b:RefOrder>803</b:RefOrder>
  </b:Source>
  <b:Source>
    <b:Tag>Can15</b:Tag>
    <b:SourceType>Book</b:SourceType>
    <b:Guid>{CB6EE92E-FDAF-4D5B-BB79-D661F6860F42}</b:Guid>
    <b:Title>Assembling Consumption: Researching Actors, Networks and Markets</b:Title>
    <b:Year>2015</b:Year>
    <b:Publisher>Routledge</b:Publisher>
    <b:Author>
      <b:Author>
        <b:NameList>
          <b:Person>
            <b:Last>Canniford</b:Last>
            <b:First>Robin </b:First>
          </b:Person>
          <b:Person>
            <b:Last>Bajde</b:Last>
            <b:First>Domen </b:First>
          </b:Person>
        </b:NameList>
      </b:Author>
    </b:Author>
    <b:Edition>1st</b:Edition>
    <b:YearAccessed>2022</b:YearAccessed>
    <b:MonthAccessed>10</b:MonthAccessed>
    <b:DayAccessed>09</b:DayAccessed>
    <b:DOI>https://doi.org/10.4324/9781315743608</b:DOI>
    <b:RefOrder>730</b:RefOrder>
  </b:Source>
  <b:Source>
    <b:Tag>Cam20</b:Tag>
    <b:SourceType>JournalArticle</b:SourceType>
    <b:Guid>{3276BA78-28C6-46E3-8E83-1F51B8CB1354}</b:Guid>
    <b:Title>Purposive sampling: complex or simple? Research case examples</b:Title>
    <b:JournalName>Journal of Research in Nursing</b:JournalName>
    <b:Year>2020</b:Year>
    <b:Pages>652-661</b:Pages>
    <b:Month>06</b:Month>
    <b:Day>18</b:Day>
    <b:Publisher>Sage</b:Publisher>
    <b:Volume>25</b:Volume>
    <b:Issue>8</b:Issue>
    <b:YearAccessed>2022</b:YearAccessed>
    <b:MonthAccessed>10</b:MonthAccessed>
    <b:DayAccessed>29</b:DayAccessed>
    <b:DOI>10.1177/1744987120927206</b:DOI>
    <b:Author>
      <b:Author>
        <b:NameList>
          <b:Person>
            <b:Last>Campbell</b:Last>
            <b:First>Steve </b:First>
          </b:Person>
          <b:Person>
            <b:Last>Greenwood</b:Last>
            <b:First>Melanie </b:First>
          </b:Person>
          <b:Person>
            <b:Last>Prior</b:Last>
            <b:First>Sarah </b:First>
          </b:Person>
          <b:Person>
            <b:Last>Shearer</b:Last>
            <b:First>Toniele </b:First>
          </b:Person>
          <b:Person>
            <b:Last>Walkem</b:Last>
            <b:First>Kerrie </b:First>
          </b:Person>
          <b:Person>
            <b:Last>Young</b:Last>
            <b:First>Sarah </b:First>
          </b:Person>
          <b:Person>
            <b:Last>Bywaters</b:Last>
            <b:First>Danielle </b:First>
          </b:Person>
          <b:Person>
            <b:Last>Walker</b:Last>
            <b:First>Kim</b:First>
          </b:Person>
        </b:NameList>
      </b:Author>
    </b:Author>
    <b:RefOrder>868</b:RefOrder>
  </b:Source>
  <b:Source>
    <b:Tag>Cal15</b:Tag>
    <b:SourceType>JournalArticle</b:SourceType>
    <b:Guid>{7C7AC0CE-509A-4B9A-891F-99408C88A28C}</b:Guid>
    <b:Title>How to Capture Consumer Experiences: A Context-Specific Approach To Measuring Engagement: Predicting Consumer Behavior Across Qualitatively Different Experiences</b:Title>
    <b:JournalName>Journal of Advertising Research</b:JournalName>
    <b:Year>2015</b:Year>
    <b:Month>12</b:Month>
    <b:Volume>56</b:Volume>
    <b:Issue>1</b:Issue>
    <b:YearAccessed>2022</b:YearAccessed>
    <b:MonthAccessed>11</b:MonthAccessed>
    <b:DayAccessed>20</b:DayAccessed>
    <b:DOI>10.2501/JAR-2015-028</b:DOI>
    <b:Author>
      <b:Author>
        <b:NameList>
          <b:Person>
            <b:Last>Calder</b:Last>
            <b:Middle>J</b:Middle>
            <b:First>Bobby</b:First>
          </b:Person>
          <b:Person>
            <b:Last>Isaac</b:Last>
            <b:Middle>S.</b:Middle>
            <b:First>Mathew </b:First>
          </b:Person>
          <b:Person>
            <b:Last>Malthouse</b:Last>
            <b:Middle>C.</b:Middle>
            <b:First>Edward </b:First>
          </b:Person>
        </b:NameList>
      </b:Author>
    </b:Author>
    <b:RefOrder>416</b:RefOrder>
  </b:Source>
  <b:Source>
    <b:Tag>Cai21</b:Tag>
    <b:SourceType>JournalArticle</b:SourceType>
    <b:Guid>{B430602A-1650-407F-AD63-B2C3CF03F334}</b:Guid>
    <b:Title>Incremental Model Fit Assessment in the Case of Categorical Data: Tucker-Lewis Index for Item Response Theory Modeling</b:Title>
    <b:Year>2021</b:Year>
    <b:Month>05</b:Month>
    <b:Day>10</b:Day>
    <b:YearAccessed>2023</b:YearAccessed>
    <b:MonthAccessed>01</b:MonthAccessed>
    <b:DayAccessed>23</b:DayAccessed>
    <b:DOI>10.1007/s11121-021-01253-4</b:DOI>
    <b:Author>
      <b:Author>
        <b:NameList>
          <b:Person>
            <b:Last>Cai</b:Last>
            <b:First>Li </b:First>
          </b:Person>
          <b:Person>
            <b:Last>Chung</b:Last>
            <b:Middle>Chung</b:Middle>
            <b:First>Seung </b:First>
          </b:Person>
        </b:NameList>
      </b:Author>
    </b:Author>
    <b:RefOrder>969</b:RefOrder>
  </b:Source>
  <b:Source>
    <b:Tag>Cac86</b:Tag>
    <b:SourceType>JournalArticle</b:SourceType>
    <b:Guid>{AC1EDBCD-3015-4434-99BA-1B7DDA506D87}</b:Guid>
    <b:Title>Central and peripheral routes to persuasion: An individual difference perspective.</b:Title>
    <b:Year>1986</b:Year>
    <b:JournalName>Journal of Personality and Social Psychology</b:JournalName>
    <b:Pages>1032-1043</b:Pages>
    <b:Author>
      <b:Author>
        <b:NameList>
          <b:Person>
            <b:Last>Cacioppo</b:Last>
            <b:Middle>T</b:Middle>
            <b:First>John</b:First>
          </b:Person>
          <b:Person>
            <b:Last>Petty</b:Last>
            <b:Middle>E.</b:Middle>
            <b:First>Richard</b:First>
          </b:Person>
          <b:Person>
            <b:Last>Kao</b:Last>
            <b:Middle>Chuan </b:Middle>
            <b:First>Feng</b:First>
          </b:Person>
          <b:Person>
            <b:Last>Rodriguez</b:Last>
            <b:First>Regina</b:First>
          </b:Person>
        </b:NameList>
      </b:Author>
    </b:Author>
    <b:Volume>51</b:Volume>
    <b:Issue>05</b:Issue>
    <b:YearAccessed>2022</b:YearAccessed>
    <b:MonthAccessed>09</b:MonthAccessed>
    <b:DayAccessed>25</b:DayAccessed>
    <b:URL> https://doi.org/10.1037/0022-3514.51.5.1032</b:URL>
    <b:RefOrder>518</b:RefOrder>
  </b:Source>
  <b:Source>
    <b:Tag>Cab22</b:Tag>
    <b:SourceType>JournalArticle</b:SourceType>
    <b:Guid>{6EAA249B-562E-4FC7-A67A-6C2C46FE5619}</b:Guid>
    <b:Title>The Impact of Online Advertisement on Building a Brand and on Purchase Intention</b:Title>
    <b:JournalName>Journal of Business and Management Studies</b:JournalName>
    <b:Year>2022</b:Year>
    <b:Pages>301-312</b:Pages>
    <b:Month>04</b:Month>
    <b:Day>16</b:Day>
    <b:Volume>4</b:Volume>
    <b:Issue>2</b:Issue>
    <b:YearAccessed>2023</b:YearAccessed>
    <b:MonthAccessed>02</b:MonthAccessed>
    <b:DayAccessed>21</b:DayAccessed>
    <b:DOI>DOI:10.32996/jbms.2022.4.2.24</b:DOI>
    <b:Author>
      <b:Author>
        <b:NameList>
          <b:Person>
            <b:Last>Cabigting</b:Last>
            <b:Middle>Christian </b:Middle>
            <b:First>Xyrille </b:First>
          </b:Person>
          <b:Person>
            <b:Last>Marallag</b:Last>
            <b:Middle>Denise </b:Middle>
            <b:First>Angela </b:First>
          </b:Person>
          <b:Person>
            <b:Last>Mariano</b:Last>
            <b:Middle>Paulo </b:Middle>
            <b:First>Bryan </b:First>
          </b:Person>
          <b:Person>
            <b:Last>Grimaldo</b:Last>
            <b:Middle>R.</b:Middle>
            <b:First>Jun </b:First>
          </b:Person>
        </b:NameList>
      </b:Author>
    </b:Author>
    <b:RefOrder>427</b:RefOrder>
  </b:Source>
  <b:Source>
    <b:Tag>Bur21</b:Tag>
    <b:SourceType>JournalArticle</b:SourceType>
    <b:Guid>{F82838E2-7AE7-4AE7-A93C-3C54DDD2AC6B}</b:Guid>
    <b:Title>The influence of social media usage, self-image congruity and self-esteem on conspicuous online consumption among millennials</b:Title>
    <b:JournalName>Asia Pacific Journal of Marketing and Logistics</b:JournalName>
    <b:Year>2021</b:Year>
    <b:Pages>1255-1269</b:Pages>
    <b:Month>04</b:Month>
    <b:Day>21</b:Day>
    <b:Publisher>Emerald Publishing Limited</b:Publisher>
    <b:Volume>33</b:Volume>
    <b:Issue>5</b:Issue>
    <b:YearAccessed>2023</b:YearAccessed>
    <b:MonthAccessed>03</b:MonthAccessed>
    <b:DayAccessed>08</b:DayAccessed>
    <b:DOI>https://doi.org/10.1108/APJML-03-2020-0180</b:DOI>
    <b:Author>
      <b:Author>
        <b:NameList>
          <b:Person>
            <b:Last>Burnasheva</b:Last>
            <b:First>Regina </b:First>
          </b:Person>
          <b:Person>
            <b:Last>Suh</b:Last>
            <b:Middle>Gu </b:Middle>
            <b:First>Yong </b:First>
          </b:Person>
        </b:NameList>
      </b:Author>
    </b:Author>
    <b:RefOrder>56</b:RefOrder>
  </b:Source>
  <b:Source>
    <b:Tag>Bur95</b:Tag>
    <b:SourceType>JournalArticle</b:SourceType>
    <b:Guid>{D9F0AC3D-C3B0-4C9C-B2B1-3325F89B26B8}</b:Guid>
    <b:Title>Interpreting text: an alternative to some current forms of textual analysis in qualitative research</b:Title>
    <b:Year>1995</b:Year>
    <b:JournalName>Social Sciences in Health</b:JournalName>
    <b:Pages>236-245</b:Pages>
    <b:Volume>1</b:Volume>
    <b:Author>
      <b:Author>
        <b:NameList>
          <b:Person>
            <b:Last>Burnard</b:Last>
            <b:First>P.</b:First>
          </b:Person>
        </b:NameList>
      </b:Author>
    </b:Author>
    <b:RefOrder>1287</b:RefOrder>
  </b:Source>
  <b:Source>
    <b:Tag>Bur22</b:Tag>
    <b:SourceType>InternetSite</b:SourceType>
    <b:Guid>{C53F02D0-3B75-4C4D-9647-1E03A5681682}</b:Guid>
    <b:Title>Qualitative Coding: How to Turn Complex Data into Conclusive Insights</b:Title>
    <b:InternetSiteTitle>User Interviews</b:InternetSiteTitle>
    <b:Year>2022</b:Year>
    <b:Month>12</b:Month>
    <b:Day>09</b:Day>
    <b:URL>https://www.userinterviews.com/blog/qualitative-coding-ux-research-analysis</b:URL>
    <b:Author>
      <b:Author>
        <b:NameList>
          <b:Person>
            <b:Last>Burnam</b:Last>
            <b:First>Lizzy</b:First>
          </b:Person>
        </b:NameList>
      </b:Author>
    </b:Author>
    <b:RefOrder>1004</b:RefOrder>
  </b:Source>
  <b:Source>
    <b:Tag>Bur12</b:Tag>
    <b:SourceType>JournalArticle</b:SourceType>
    <b:Guid>{F58C74E2-239C-41DA-BA54-576829087D8A}</b:Guid>
    <b:Title>Sample size: How many is enough?</b:Title>
    <b:Year>2012</b:Year>
    <b:JournalName>Australian Critical Care</b:JournalName>
    <b:Pages>271-274</b:Pages>
    <b:Volume>25</b:Volume>
    <b:DOI>10.1016/j.aucc.2012.07.002</b:DOI>
    <b:Author>
      <b:Author>
        <b:NameList>
          <b:Person>
            <b:Last>Burmeister</b:Last>
            <b:First>E.</b:First>
          </b:Person>
          <b:Person>
            <b:Last>Aitken</b:Last>
            <b:Middle>M.</b:Middle>
            <b:First>L.</b:First>
          </b:Person>
        </b:NameList>
      </b:Author>
    </b:Author>
    <b:RefOrder>1017</b:RefOrder>
  </b:Source>
  <b:Source>
    <b:Tag>Bur181</b:Tag>
    <b:SourceType>JournalArticle</b:SourceType>
    <b:Guid>{61AB359A-7A2B-495C-A59F-358A1BFA0BFD}</b:Guid>
    <b:Title>The relative impact of corporate reputation on consumer choice: beyond a halo effect</b:Title>
    <b:JournalName>Journal of Marketing Management</b:JournalName>
    <b:Year>2018</b:Year>
    <b:Pages>1227-1257</b:Pages>
    <b:Month>11</b:Month>
    <b:Day>26</b:Day>
    <b:Volume>34</b:Volume>
    <b:Issue>13-14</b:Issue>
    <b:YearAccessed>2023</b:YearAccessed>
    <b:MonthAccessed>03</b:MonthAccessed>
    <b:DayAccessed>15</b:DayAccessed>
    <b:DOI>https://doi.org/10.1080/0267257X.2018.1546765</b:DOI>
    <b:Author>
      <b:Author>
        <b:NameList>
          <b:Person>
            <b:Last>Burke</b:Last>
            <b:Middle>F.</b:Middle>
            <b:First>Paul</b:First>
          </b:Person>
          <b:Person>
            <b:Last>Dowling</b:Last>
            <b:First>Grahame </b:First>
          </b:Person>
          <b:Person>
            <b:Last>Wei</b:Last>
            <b:First>Edward </b:First>
          </b:Person>
        </b:NameList>
      </b:Author>
    </b:Author>
    <b:RefOrder>676</b:RefOrder>
  </b:Source>
  <b:Source>
    <b:Tag>Bur18</b:Tag>
    <b:SourceType>JournalArticle</b:SourceType>
    <b:Guid>{8FB8672B-E983-43BC-805E-6754D70A6F53}</b:Guid>
    <b:Title>The relative impact of corporate reputation on consumer choice: beyond a halo effect</b:Title>
    <b:Year>2018</b:Year>
    <b:Pages>1227-1257</b:Pages>
    <b:JournalName>JOURNAL OF MARKETING MANAGEMENT</b:JournalName>
    <b:Volume>34</b:Volume>
    <b:Issue>13-14</b:Issue>
    <b:YearAccessed>2023</b:YearAccessed>
    <b:MonthAccessed>03</b:MonthAccessed>
    <b:DayAccessed>06</b:DayAccessed>
    <b:DOI>https://doi.org/10.1080/0267257X.2018.1546765</b:DOI>
    <b:Author>
      <b:Author>
        <b:NameList>
          <b:Person>
            <b:Last>Burke</b:Last>
            <b:Middle>F.</b:Middle>
            <b:First>Paul</b:First>
          </b:Person>
          <b:Person>
            <b:Last>Dowling</b:Last>
            <b:First>Grahame </b:First>
          </b:Person>
          <b:Person>
            <b:Last>Wei</b:Last>
            <b:First>Edward</b:First>
          </b:Person>
        </b:NameList>
      </b:Author>
    </b:Author>
    <b:RefOrder>667</b:RefOrder>
  </b:Source>
  <b:Source>
    <b:Tag>Bud19</b:Tag>
    <b:SourceType>JournalArticle</b:SourceType>
    <b:Guid>{AD70C17E-DBA1-4B91-8186-B4A897DD2F21}</b:Guid>
    <b:Title>The state of HRM in the Middle East: Challenges and future research agenda</b:Title>
    <b:Year>2019</b:Year>
    <b:JournalName>Asia Pacific Journal of Management</b:JournalName>
    <b:Pages>905-933</b:Pages>
    <b:Author>
      <b:Author>
        <b:NameList>
          <b:Person>
            <b:Last>Budhwar</b:Last>
            <b:First>Pawan </b:First>
          </b:Person>
          <b:Person>
            <b:Last>Pereira</b:Last>
            <b:First>Vijay </b:First>
          </b:Person>
          <b:Person>
            <b:Last>Mellahi</b:Last>
            <b:First>Kamel </b:First>
          </b:Person>
          <b:Person>
            <b:Last>Singh </b:Last>
            <b:Middle>Kumar </b:Middle>
            <b:First>Sanjay </b:First>
          </b:Person>
        </b:NameList>
      </b:Author>
    </b:Author>
    <b:Month>12</b:Month>
    <b:Volume>36</b:Volume>
    <b:YearAccessed>2023</b:YearAccessed>
    <b:MonthAccessed>02</b:MonthAccessed>
    <b:DayAccessed>18</b:DayAccessed>
    <b:DOI>https://doi.org/10.1007/s10490-018-9587-7</b:DOI>
    <b:RefOrder>197</b:RefOrder>
  </b:Source>
  <b:Source>
    <b:Tag>Buc00</b:Tag>
    <b:SourceType>JournalArticle</b:SourceType>
    <b:Guid>{EE52BC96-6B63-4ACD-B627-4EED79D5E832}</b:Guid>
    <b:Title>The politics of transcription</b:Title>
    <b:JournalName>Journal of Pragmatics</b:JournalName>
    <b:Year>2000</b:Year>
    <b:Pages>1439-1465</b:Pages>
    <b:Month>09</b:Month>
    <b:Volume>32</b:Volume>
    <b:Issue>10</b:Issue>
    <b:YearAccessed>2023</b:YearAccessed>
    <b:MonthAccessed>03</b:MonthAccessed>
    <b:DayAccessed>25</b:DayAccessed>
    <b:DOI>https://doi.org/10.1016/S0378-2166(99)00094-6</b:DOI>
    <b:Author>
      <b:Author>
        <b:NameList>
          <b:Person>
            <b:Last>Bucholtz</b:Last>
            <b:First>Mary </b:First>
          </b:Person>
        </b:NameList>
      </b:Author>
    </b:Author>
    <b:RefOrder>999</b:RefOrder>
  </b:Source>
  <b:Source>
    <b:Tag>Bsc22</b:Tag>
    <b:SourceType>JournalArticle</b:SourceType>
    <b:Guid>{2CAE1832-6367-426D-9AD7-2D5BE76594FC}</b:Guid>
    <b:Title>The sustainability halo effect: Does the provision of sustainability information of a snack affect sensory and health perception, and willingness to pay?</b:Title>
    <b:JournalName>Future Foods</b:JournalName>
    <b:Year>2022</b:Year>
    <b:Month>04</b:Month>
    <b:Day>03</b:Day>
    <b:Volume>5</b:Volume>
    <b:YearAccessed>2022</b:YearAccessed>
    <b:MonthAccessed>11</b:MonthAccessed>
    <b:DayAccessed>05</b:DayAccessed>
    <b:DOI>https://doi.org/10.1016/j.fufo.2022.100143</b:DOI>
    <b:Author>
      <b:Author>
        <b:NameList>
          <b:Person>
            <b:Last>Bschaden</b:Last>
            <b:First>Andreas </b:First>
          </b:Person>
          <b:Person>
            <b:Last>Schulz</b:Last>
            <b:First>Janina </b:First>
          </b:Person>
          <b:Person>
            <b:Last>Stroebele-Benschop</b:Last>
            <b:First>Nanette </b:First>
          </b:Person>
        </b:NameList>
      </b:Author>
    </b:Author>
    <b:RefOrder>1288</b:RefOrder>
  </b:Source>
  <b:Source>
    <b:Tag>Bry16</b:Tag>
    <b:SourceType>Book</b:SourceType>
    <b:Guid>{61360A29-C851-4E2A-80F9-69536283B382}</b:Guid>
    <b:Title>Social Research Methods.</b:Title>
    <b:Year>2016</b:Year>
    <b:Publisher>Oxford University Press</b:Publisher>
    <b:Edition>5th</b:Edition>
    <b:YearAccessed>2022</b:YearAccessed>
    <b:MonthAccessed>11</b:MonthAccessed>
    <b:DayAccessed>11</b:DayAccessed>
    <b:Author>
      <b:Author>
        <b:NameList>
          <b:Person>
            <b:Last>Bryman</b:Last>
            <b:First>Alan </b:First>
          </b:Person>
        </b:NameList>
      </b:Author>
    </b:Author>
    <b:RefOrder>901</b:RefOrder>
  </b:Source>
  <b:Source>
    <b:Tag>Bru17</b:Tag>
    <b:SourceType>BookSection</b:SourceType>
    <b:Guid>{70464F4B-F2AC-4A92-BFE6-9398A453A6C7}</b:Guid>
    <b:Title>Integrated CSR Communications</b:Title>
    <b:Year>2017</b:Year>
    <b:Pages>3-21</b:Pages>
    <b:BookTitle>Handbook of Integrated CSR Communication</b:BookTitle>
    <b:Publisher>Springer, Cham</b:Publisher>
    <b:Author>
      <b:Author>
        <b:NameList>
          <b:Person>
            <b:Last>Bruhn</b:Last>
            <b:First>Manfred </b:First>
          </b:Person>
          <b:Person>
            <b:Last>Zimmermann </b:Last>
            <b:First>Anja </b:First>
          </b:Person>
        </b:NameList>
      </b:Author>
    </b:Author>
    <b:YearAccessed>2023</b:YearAccessed>
    <b:MonthAccessed>05</b:MonthAccessed>
    <b:DayAccessed>14</b:DayAccessed>
    <b:DOI>https://doi.org/10.1007/978-3-319-44700-1_1</b:DOI>
    <b:RefOrder>1289</b:RefOrder>
  </b:Source>
  <b:Source>
    <b:Tag>Bru20</b:Tag>
    <b:SourceType>JournalArticle</b:SourceType>
    <b:Guid>{E061B34B-AF2D-4F8F-8583-5C063314FF1D}</b:Guid>
    <b:Title>Communicating Brands in Television Advertising</b:Title>
    <b:JournalName>Journal of Marketing Research</b:JournalName>
    <b:Year>2020</b:Year>
    <b:Pages>236-256</b:Pages>
    <b:Author>
      <b:Author>
        <b:NameList>
          <b:Person>
            <b:Last>Bruce</b:Last>
            <b:Middle>I</b:Middle>
            <b:First>Norris</b:First>
          </b:Person>
          <b:Person>
            <b:Last>Becker</b:Last>
            <b:First>Maren </b:First>
          </b:Person>
          <b:Person>
            <b:Last>Reinartz</b:Last>
            <b:First>Werner </b:First>
          </b:Person>
        </b:NameList>
      </b:Author>
    </b:Author>
    <b:Month>02</b:Month>
    <b:Day>13</b:Day>
    <b:Volume>57</b:Volume>
    <b:Issue>2</b:Issue>
    <b:YearAccessed>2023</b:YearAccessed>
    <b:MonthAccessed>03</b:MonthAccessed>
    <b:DayAccessed>21</b:DayAccessed>
    <b:DOI>https://doi.org/10.1177/0022243719892576</b:DOI>
    <b:RefOrder>162</b:RefOrder>
  </b:Source>
  <b:Source>
    <b:Tag>Bre89</b:Tag>
    <b:SourceType>JournalArticle</b:SourceType>
    <b:Guid>{2B35CF88-93B8-409B-BDBC-4178CBCB31D0}</b:Guid>
    <b:Title>Multimethod research: A synthesis of styles.</b:Title>
    <b:JournalName>American Psychology Association</b:JournalName>
    <b:Year>1989</b:Year>
    <b:Author>
      <b:Author>
        <b:NameList>
          <b:Person>
            <b:Last>Brewer</b:Last>
            <b:First>John</b:First>
          </b:Person>
          <b:Person>
            <b:Last>Hunter</b:Last>
            <b:First>Albert</b:First>
          </b:Person>
        </b:NameList>
      </b:Author>
    </b:Author>
    <b:Publisher> Sage Publications, Inc.</b:Publisher>
    <b:RefOrder>778</b:RefOrder>
  </b:Source>
  <b:Source>
    <b:Tag>Bre01</b:Tag>
    <b:SourceType>JournalArticle</b:SourceType>
    <b:Guid>{0855FA21-AF36-439B-86FC-50D97BA58B47}</b:Guid>
    <b:Title>Determinants of consumer attitudes and purchase intentions with regard to genetically modified foods – results of a cross‐national survey</b:Title>
    <b:JournalName>Journal of Consumer Policy</b:JournalName>
    <b:Year>2001</b:Year>
    <b:Pages>23-61</b:Pages>
    <b:Volume>24</b:Volume>
    <b:Issue>1</b:Issue>
    <b:Author>
      <b:Author>
        <b:NameList>
          <b:Person>
            <b:Last>Bredahl</b:Last>
            <b:First>L.</b:First>
          </b:Person>
        </b:NameList>
      </b:Author>
    </b:Author>
    <b:RefOrder>565</b:RefOrder>
  </b:Source>
  <b:Source>
    <b:Tag>Bra19</b:Tag>
    <b:SourceType>JournalArticle</b:SourceType>
    <b:Guid>{7C2D959E-12B9-426F-ADA0-98A994E5F93F}</b:Guid>
    <b:Title>The mediating effects of message agreement on millennials’ response to advocacy advertising</b:Title>
    <b:JournalName>Journal of Marketing Communications</b:JournalName>
    <b:Year>2019</b:Year>
    <b:Pages>856-873</b:Pages>
    <b:Author>
      <b:Author>
        <b:NameList>
          <b:Person>
            <b:Last>Bravo</b:Last>
            <b:Middle>Stacie-Ann C. </b:Middle>
            <b:First>Olivia </b:First>
          </b:Person>
          <b:Person>
            <b:Last>Lee</b:Last>
            <b:First>Jaejin </b:First>
          </b:Person>
        </b:NameList>
      </b:Author>
    </b:Author>
    <b:Month>04</b:Month>
    <b:Day>16</b:Day>
    <b:Volume>26</b:Volume>
    <b:Issue>08</b:Issue>
    <b:YearAccessed>2022</b:YearAccessed>
    <b:MonthAccessed>10</b:MonthAccessed>
    <b:DayAccessed>01</b:DayAccessed>
    <b:DOI>https://doi.org/10.1080/13527266.2019.1596969</b:DOI>
    <b:RefOrder>1290</b:RefOrder>
  </b:Source>
  <b:Source>
    <b:Tag>Bra08</b:Tag>
    <b:SourceType>JournalArticle</b:SourceType>
    <b:Guid>{32318CC3-51DD-471C-9882-E5E93D8762EC}</b:Guid>
    <b:Title>Using thematic analysis in psychology</b:Title>
    <b:JournalName>Qualitative Research in Psychology</b:JournalName>
    <b:Year>2008</b:Year>
    <b:Pages>77-101</b:Pages>
    <b:Month>07</b:Month>
    <b:Day>21</b:Day>
    <b:Volume>3</b:Volume>
    <b:Issue>2</b:Issue>
    <b:Author>
      <b:Author>
        <b:NameList>
          <b:Person>
            <b:Last>Braun</b:Last>
            <b:First>Virginia </b:First>
          </b:Person>
          <b:Person>
            <b:Last>Clarke</b:Last>
            <b:First>Victoria </b:First>
          </b:Person>
        </b:NameList>
      </b:Author>
    </b:Author>
    <b:RefOrder>991</b:RefOrder>
  </b:Source>
  <b:Source>
    <b:Tag>Bra18</b:Tag>
    <b:SourceType>JournalArticle</b:SourceType>
    <b:Guid>{DF8B7F2F-C375-4E4F-A004-D542F38828BF}</b:Guid>
    <b:Title>Reference checking for systematic reviews using Endnote</b:Title>
    <b:JournalName>Journal of the Medical Library Association JMLA</b:JournalName>
    <b:Year>2018</b:Year>
    <b:Pages>542-546</b:Pages>
    <b:Month>10</b:Month>
    <b:Publisher>ResearchGate </b:Publisher>
    <b:Volume>106</b:Volume>
    <b:Issue>4</b:Issue>
    <b:YearAccessed>2022</b:YearAccessed>
    <b:MonthAccessed>12</b:MonthAccessed>
    <b:DayAccessed>31</b:DayAccessed>
    <b:DOI>10.5195/jmla.2018.489</b:DOI>
    <b:Author>
      <b:Author>
        <b:NameList>
          <b:Person>
            <b:Last>Bramer</b:Last>
            <b:Middle>M</b:Middle>
            <b:First>Wichor </b:First>
          </b:Person>
        </b:NameList>
      </b:Author>
    </b:Author>
    <b:RefOrder>465</b:RefOrder>
  </b:Source>
  <b:Source>
    <b:Tag>Bra17</b:Tag>
    <b:SourceType>JournalArticle</b:SourceType>
    <b:Guid>{B9E072DC-AC12-4F6B-A64D-FA138BF0F6C5}</b:Guid>
    <b:Title>Employing a Qualitative Description Approach in Health Care Research</b:Title>
    <b:JournalName>Global qualitative nursing research</b:JournalName>
    <b:Year>2017</b:Year>
    <b:Author>
      <b:Author>
        <b:NameList>
          <b:Person>
            <b:Last>Bradshaw</b:Last>
            <b:First>Carmel </b:First>
          </b:Person>
          <b:Person>
            <b:Last>Atkinson</b:Last>
            <b:First>Sandra </b:First>
          </b:Person>
          <b:Person>
            <b:Last>Doody</b:Last>
            <b:First>Owen </b:First>
          </b:Person>
        </b:NameList>
      </b:Author>
    </b:Author>
    <b:Month>11</b:Month>
    <b:Day>24</b:Day>
    <b:Volume>4</b:Volume>
    <b:YearAccessed>2022</b:YearAccessed>
    <b:MonthAccessed>11</b:MonthAccessed>
    <b:DayAccessed>11</b:DayAccessed>
    <b:DOI>10.1177/2333393617742282</b:DOI>
    <b:RefOrder>737</b:RefOrder>
  </b:Source>
  <b:Source>
    <b:Tag>Boy98</b:Tag>
    <b:SourceType>Book</b:SourceType>
    <b:Guid>{194550DB-DA16-4EF7-A338-BB2B98E9F1F7}</b:Guid>
    <b:Title>Transforming Qualitative Information: Thematic Analysis and Code Development</b:Title>
    <b:Year>1998</b:Year>
    <b:City>Thousand Oaks, CA</b:City>
    <b:Publisher>Sage Publications</b:Publisher>
    <b:Author>
      <b:Author>
        <b:NameList>
          <b:Person>
            <b:Last>Boyatzis</b:Last>
            <b:First>RE </b:First>
          </b:Person>
        </b:NameList>
      </b:Author>
    </b:Author>
    <b:RefOrder>1008</b:RefOrder>
  </b:Source>
  <b:Source>
    <b:Tag>Bou77</b:Tag>
    <b:SourceType>BookSection</b:SourceType>
    <b:Guid>{80D4572F-87A7-487C-B3D4-2B1802836F99}</b:Guid>
    <b:Title>Outline of a Theory of Practice</b:Title>
    <b:Year>1977</b:Year>
    <b:Volume>16</b:Volume>
    <b:Publisher>Cambridge University Press</b:Publisher>
    <b:BookTitle>Cambridge Studies in Social and Cultural Anthropology</b:BookTitle>
    <b:Author>
      <b:Author>
        <b:NameList>
          <b:Person>
            <b:Last>Bourdieu</b:Last>
            <b:First>Pierre </b:First>
          </b:Person>
        </b:NameList>
      </b:Author>
    </b:Author>
    <b:RefOrder>1040</b:RefOrder>
  </b:Source>
  <b:Source>
    <b:Tag>Bor16</b:Tag>
    <b:SourceType>JournalArticle</b:SourceType>
    <b:Guid>{3743DD09-6D83-4A69-A1B9-66B7FF09D5FC}</b:Guid>
    <b:Title>Halo (Spillover) Effects in Social Media: Do Product Recalls of One Brand Hurt or Help Rival Brands?</b:Title>
    <b:JournalName>Journal of Marketing Research</b:JournalName>
    <b:Year>2016</b:Year>
    <b:Pages>143-160</b:Pages>
    <b:Month>04</b:Month>
    <b:Publisher>Sage Publications, Inc.</b:Publisher>
    <b:Volume>53</b:Volume>
    <b:Issue>2</b:Issue>
    <b:YearAccessed>2023</b:YearAccessed>
    <b:MonthAccessed>05</b:MonthAccessed>
    <b:DayAccessed>31</b:DayAccessed>
    <b:URL>https://www.jstor.org/stable/43832423</b:URL>
    <b:Author>
      <b:Author>
        <b:NameList>
          <b:Person>
            <b:Last>Borah</b:Last>
            <b:First>Abhishek</b:First>
          </b:Person>
          <b:Person>
            <b:Last>Tellis</b:Last>
            <b:Middle>J.</b:Middle>
            <b:First>Gerard</b:First>
          </b:Person>
        </b:NameList>
      </b:Author>
    </b:Author>
    <b:RefOrder>671</b:RefOrder>
  </b:Source>
  <b:Source>
    <b:Tag>Bon21</b:Tag>
    <b:SourceType>InternetSite</b:SourceType>
    <b:Guid>{51E15EDE-884C-474F-83BB-11959E404856}</b:Guid>
    <b:Title>Coding Qualitative Data</b:Title>
    <b:InternetSiteTitle>Geo Pol</b:InternetSiteTitle>
    <b:Year>2021</b:Year>
    <b:Month>03</b:Month>
    <b:Day>02</b:Day>
    <b:URL>https://www.geopoll.com/blog/coding-qualitative-data/</b:URL>
    <b:Author>
      <b:Author>
        <b:NameList>
          <b:Person>
            <b:Last>Bondie</b:Last>
            <b:First>Fran</b:First>
          </b:Person>
        </b:NameList>
      </b:Author>
    </b:Author>
    <b:RefOrder>1006</b:RefOrder>
  </b:Source>
  <b:Source>
    <b:Tag>Bol16</b:Tag>
    <b:SourceType>JournalArticle</b:SourceType>
    <b:Guid>{3224BED6-B3AB-455F-84C8-0E4219FEAC56}</b:Guid>
    <b:Title>A New Incremental Fit Index for General Structural Equation Models</b:Title>
    <b:Year>2016</b:Year>
    <b:YearAccessed>2023</b:YearAccessed>
    <b:MonthAccessed>01</b:MonthAccessed>
    <b:DayAccessed>31</b:DayAccessed>
    <b:JournalName>Sociological Methods &amp; Research</b:JournalName>
    <b:Volume>17</b:Volume>
    <b:Issue>3</b:Issue>
    <b:Month>06</b:Month>
    <b:Day>30</b:Day>
    <b:DOI>https://doi.org/10.1177/0049124189017003004</b:DOI>
    <b:Author>
      <b:Author>
        <b:NameList>
          <b:Person>
            <b:Last>Bollen</b:Last>
            <b:Middle>A.</b:Middle>
            <b:First>Kenneth</b:First>
          </b:Person>
        </b:NameList>
      </b:Author>
    </b:Author>
    <b:RefOrder>964</b:RefOrder>
  </b:Source>
  <b:Source>
    <b:Tag>Blo95</b:Tag>
    <b:SourceType>JournalArticle</b:SourceType>
    <b:Guid>{5CCD5DE2-758C-403C-9EDE-581BB1BE9085}</b:Guid>
    <b:Title>The complex relationship between consumer satisfaction and brand loyalty</b:Title>
    <b:JournalName>Journal of Economic Psychology</b:JournalName>
    <b:Year>1995</b:Year>
    <b:Pages>311-329</b:Pages>
    <b:Author>
      <b:Author>
        <b:NameList>
          <b:Person>
            <b:Last>Bloemer</b:Last>
            <b:First>Johanna </b:First>
          </b:Person>
          <b:Person>
            <b:Last>Kasper</b:Last>
            <b:First>HDP</b:First>
          </b:Person>
        </b:NameList>
      </b:Author>
    </b:Author>
    <b:Volume>16</b:Volume>
    <b:Issue>2</b:Issue>
    <b:YearAccessed>2023</b:YearAccessed>
    <b:MonthAccessed>07</b:MonthAccessed>
    <b:DayAccessed>29</b:DayAccessed>
    <b:DOI>https://doi-org.lsbu.idm.oclc.org/10.1016/0167-4870(95)00007-B</b:DOI>
    <b:RefOrder>1291</b:RefOrder>
  </b:Source>
  <b:Source>
    <b:Tag>Bla23</b:Tag>
    <b:SourceType>JournalArticle</b:SourceType>
    <b:Guid>{4FC1302F-D1E3-4463-B57F-238BD3A72613}</b:Guid>
    <b:Title>The influence of greenwashing practices on brand attitude: A multidimensional consumer analysis in Germany</b:Title>
    <b:JournalName>Business Strategy and the Environment</b:JournalName>
    <b:Year>2023</b:Year>
    <b:Author>
      <b:Author>
        <b:NameList>
          <b:Person>
            <b:Last>Bladt</b:Last>
            <b:First>Daniel</b:First>
          </b:Person>
          <b:Person>
            <b:Last>Capelleveen</b:Last>
            <b:First>Guido van </b:First>
          </b:Person>
          <b:Person>
            <b:Last>Yazan</b:Last>
            <b:Middle>Murat </b:Middle>
            <b:First>Devrim </b:First>
          </b:Person>
        </b:NameList>
      </b:Author>
    </b:Author>
    <b:Month>07</b:Month>
    <b:Day>14</b:Day>
    <b:Publisher>ERP Environment and John Wiley &amp; Sons Ltd.</b:Publisher>
    <b:Volume>32</b:Volume>
    <b:Issue>5</b:Issue>
    <b:YearAccessed>2023</b:YearAccessed>
    <b:MonthAccessed>07</b:MonthAccessed>
    <b:DayAccessed>28</b:DayAccessed>
    <b:DOI>https://doi.org/10.1002/bse.3496</b:DOI>
    <b:RefOrder>244</b:RefOrder>
  </b:Source>
  <b:Source>
    <b:Tag>Bis19</b:Tag>
    <b:SourceType>JournalArticle</b:SourceType>
    <b:Guid>{C56BC5BA-6AD4-4517-B907-4E2D24174FBD}</b:Guid>
    <b:Title>Measuring brand loyalty of consumers towards chicken brands in the KwaZulu-Natal Province of South Africa</b:Title>
    <b:JournalName>Journal of Business &amp; Retail Management Research</b:JournalName>
    <b:Year>2019</b:Year>
    <b:Month>10</b:Month>
    <b:Volume>14</b:Volume>
    <b:Issue>1</b:Issue>
    <b:YearAccessed>2023</b:YearAccessed>
    <b:MonthAccessed>07</b:MonthAccessed>
    <b:DayAccessed>29</b:DayAccessed>
    <b:DOI>10.24052/JBRMR/V14IS01/ART-08</b:DOI>
    <b:Author>
      <b:Author>
        <b:NameList>
          <b:Person>
            <b:Last>Bisschoff</b:Last>
            <b:Middle>A</b:Middle>
            <b:First>Christo </b:First>
          </b:Person>
          <b:Person>
            <b:Last>Schmulian</b:Last>
            <b:First>M </b:First>
          </b:Person>
        </b:NameList>
      </b:Author>
    </b:Author>
    <b:RefOrder>1292</b:RefOrder>
  </b:Source>
  <b:Source>
    <b:Tag>Bil19</b:Tag>
    <b:SourceType>JournalArticle</b:SourceType>
    <b:Guid>{1E240253-DA5C-4230-A5B1-9204B70064B1}</b:Guid>
    <b:Title>Gender wage disparities in Egypt: Evidence from ELMPS 2006 and 2012</b:Title>
    <b:JournalName>The Quarterly Review of Economics and Finance</b:JournalName>
    <b:Year>2019</b:Year>
    <b:Pages>14-23</b:Pages>
    <b:Month>08</b:Month>
    <b:Volume>73</b:Volume>
    <b:YearAccessed>2023</b:YearAccessed>
    <b:MonthAccessed>02</b:MonthAccessed>
    <b:DayAccessed>11</b:DayAccessed>
    <b:DOI>https://doi.org/10.1016/j.qref.2018.11.010</b:DOI>
    <b:Author>
      <b:Author>
        <b:NameList>
          <b:Person>
            <b:Last>Biltagy</b:Last>
            <b:First>Marwa </b:First>
          </b:Person>
        </b:NameList>
      </b:Author>
    </b:Author>
    <b:RefOrder>785</b:RefOrder>
  </b:Source>
  <b:Source>
    <b:Tag>Bia19</b:Tag>
    <b:SourceType>JournalArticle</b:SourceType>
    <b:Guid>{0ACE6013-C713-441A-9D3B-B7EB03C8B2AF}</b:Guid>
    <b:Title>The impact of perceived CSR on corporate reputation and purchase intention</b:Title>
    <b:JournalName>European Journal of Management and Business</b:JournalName>
    <b:Year>2019</b:Year>
    <b:Pages>206-221</b:Pages>
    <b:Month>10</b:Month>
    <b:Day>3</b:Day>
    <b:Volume>28</b:Volume>
    <b:Issue>3</b:Issue>
    <b:YearAccessed>2023</b:YearAccessed>
    <b:MonthAccessed>05</b:MonthAccessed>
    <b:DayAccessed>29</b:DayAccessed>
    <b:DOI>https://doi.org/10.1108/EJMBE-12-2017-0068</b:DOI>
    <b:Author>
      <b:Author>
        <b:NameList>
          <b:Person>
            <b:Last>Bianchi</b:Last>
            <b:First>Enrique </b:First>
          </b:Person>
          <b:Person>
            <b:Last>Bruno</b:Last>
            <b:Middle>Manuel </b:Middle>
            <b:First>Juan </b:First>
          </b:Person>
          <b:Person>
            <b:Last>Sarabia-Sanchez </b:Last>
            <b:Middle>J.</b:Middle>
            <b:First>Francisco </b:First>
          </b:Person>
        </b:NameList>
      </b:Author>
    </b:Author>
    <b:RefOrder>257</b:RefOrder>
  </b:Source>
  <b:Source>
    <b:Tag>Bha19</b:Tag>
    <b:SourceType>InternetSite</b:SourceType>
    <b:Guid>{FED41B01-3A0D-417B-AA98-3302378B3321}</b:Guid>
    <b:Title>What is a Low involvement product or Low involvement purchase?</b:Title>
    <b:Year>2019</b:Year>
    <b:Month>05</b:Month>
    <b:Day>11</b:Day>
    <b:URL>https://www.marketing91.com/low-involvement-product-low-involvement-purchase/</b:URL>
    <b:Author>
      <b:Author>
        <b:NameList>
          <b:Person>
            <b:Last>Bhasin</b:Last>
            <b:First>Hitesh </b:First>
          </b:Person>
        </b:NameList>
      </b:Author>
    </b:Author>
    <b:RefOrder>713</b:RefOrder>
  </b:Source>
  <b:Source>
    <b:Tag>Bha22</b:Tag>
    <b:SourceType>InternetSite</b:SourceType>
    <b:Guid>{D1B14292-D780-456A-ADAC-0958EDE0B86F}</b:Guid>
    <b:Title>Correlation Coefficient | Types, Formulas &amp; Examples</b:Title>
    <b:Year>2022</b:Year>
    <b:YearAccessed>2023</b:YearAccessed>
    <b:MonthAccessed>01</b:MonthAccessed>
    <b:DayAccessed>17</b:DayAccessed>
    <b:URL>https://www.scribbr.com/statistics/correlation-coefficient/</b:URL>
    <b:InternetSiteTitle>Scribbr</b:InternetSiteTitle>
    <b:Month>12</b:Month>
    <b:Day>5</b:Day>
    <b:Author>
      <b:Author>
        <b:NameList>
          <b:Person>
            <b:Last>Bhandari</b:Last>
            <b:First>Pritha </b:First>
          </b:Person>
        </b:NameList>
      </b:Author>
    </b:Author>
    <b:RefOrder>950</b:RefOrder>
  </b:Source>
  <b:Source>
    <b:Tag>Ber89</b:Tag>
    <b:SourceType>JournalArticle</b:SourceType>
    <b:Guid>{F02A9B58-9F46-464F-B466-8D764CE73F1D}</b:Guid>
    <b:Title>The effect of advertising on attitude accessibility, attitude confidence, and the attitude-behavior relationship</b:Title>
    <b:JournalName>Journal of Consumer Research</b:JournalName>
    <b:Year>1989</b:Year>
    <b:Pages>269-279</b:Pages>
    <b:Volume>16</b:Volume>
    <b:Issue>3</b:Issue>
    <b:YearAccessed>2023</b:YearAccessed>
    <b:MonthAccessed>07</b:MonthAccessed>
    <b:DayAccessed>28</b:DayAccessed>
    <b:DOI>https://doi.org/10.1086/209213</b:DOI>
    <b:Author>
      <b:Author>
        <b:NameList>
          <b:Person>
            <b:Last>Berger</b:Last>
            <b:Middle>E</b:Middle>
            <b:First>Ida </b:First>
          </b:Person>
          <b:Person>
            <b:Last>Mitchell</b:Last>
            <b:Middle>A.</b:Middle>
            <b:First>Andrew </b:First>
          </b:Person>
        </b:NameList>
      </b:Author>
    </b:Author>
    <b:RefOrder>243</b:RefOrder>
  </b:Source>
  <b:Source>
    <b:Tag>Bem16</b:Tag>
    <b:SourceType>BookSection</b:SourceType>
    <b:Guid>{A7072D92-A12E-4777-B056-759D4456E31D}</b:Guid>
    <b:Title>Chapter 11 - The Pig-a Endogenous Gene Mutation Assay</b:Title>
    <b:BookTitle>Genetic Toxicology Testing. A Laboratory Manual</b:BookTitle>
    <b:Year>2016</b:Year>
    <b:Pages>383-417</b:Pages>
    <b:Publisher>Elsevier Inc.</b:Publisher>
    <b:Author>
      <b:Author>
        <b:NameList>
          <b:Person>
            <b:Last>Bemis</b:Last>
            <b:Middle>C.</b:Middle>
            <b:First>Jeffrey </b:First>
          </b:Person>
          <b:Person>
            <b:Last>Avlasevich</b:Last>
            <b:Middle>L.</b:Middle>
            <b:First>Svetlana </b:First>
          </b:Person>
          <b:Person>
            <b:Last>Dertinger</b:Last>
            <b:Middle>D.</b:Middle>
            <b:First>Stephen </b:First>
          </b:Person>
        </b:NameList>
      </b:Author>
    </b:Author>
    <b:YearAccessed>2023</b:YearAccessed>
    <b:MonthAccessed>01</b:MonthAccessed>
    <b:DayAccessed>16</b:DayAccessed>
    <b:DOI>https://doi.org/10.1016/B978-0-12-800764-8.00011-2</b:DOI>
    <b:RefOrder>946</b:RefOrder>
  </b:Source>
  <b:Source>
    <b:Tag>Bei13</b:Tag>
    <b:SourceType>BookSection</b:SourceType>
    <b:Guid>{40CF7007-BD28-41C7-86AF-8211D253F5B7}</b:Guid>
    <b:Title>Cause-Related Marketing</b:Title>
    <b:Year>2013</b:Year>
    <b:BookTitle>Encyclopedia of Corporate Social Responsibility</b:BookTitle>
    <b:Pages>321-326</b:Pages>
    <b:City>Berlin, Heidelberg</b:City>
    <b:Publisher>Springer</b:Publisher>
    <b:Author>
      <b:Author>
        <b:NameList>
          <b:Person>
            <b:Last>Beise-Zee</b:Last>
            <b:First>Rian </b:First>
          </b:Person>
        </b:NameList>
      </b:Author>
    </b:Author>
    <b:YearAccessed>2023</b:YearAccessed>
    <b:MonthAccessed>06</b:MonthAccessed>
    <b:DayAccessed>03</b:DayAccessed>
    <b:DOI>https://doi.org/10.1007/978-3-642-28036-8_551</b:DOI>
    <b:RefOrder>84</b:RefOrder>
  </b:Source>
  <b:Source>
    <b:Tag>Bee07</b:Tag>
    <b:SourceType>JournalArticle</b:SourceType>
    <b:Guid>{35AFB66A-2B4E-4D44-A217-07A9E8E762A4}</b:Guid>
    <b:Title>Self-Congruity and Destination Choice</b:Title>
    <b:JournalName>Annals of Tourism Research</b:JournalName>
    <b:Year>2007</b:Year>
    <b:Pages>571-587</b:Pages>
    <b:Volume>34</b:Volume>
    <b:Issue>3</b:Issue>
    <b:Author>
      <b:Author>
        <b:NameList>
          <b:Person>
            <b:Last>Beerli</b:Last>
            <b:First>A.</b:First>
          </b:Person>
          <b:Person>
            <b:Last>G. </b:Last>
            <b:Middle>Meneses</b:Middle>
            <b:First>D.</b:First>
          </b:Person>
          <b:Person>
            <b:Last>S.</b:Last>
            <b:Middle>Gil</b:Middle>
            <b:First>M.</b:First>
          </b:Person>
        </b:NameList>
      </b:Author>
    </b:Author>
    <b:RefOrder>1293</b:RefOrder>
  </b:Source>
  <b:Source>
    <b:Tag>Bec78</b:Tag>
    <b:SourceType>JournalArticle</b:SourceType>
    <b:Guid>{B60F6171-6BB3-4158-B9AA-153CBB41AE44}</b:Guid>
    <b:Title>Halo Effects in Marketing Research: Review and Prognosis</b:Title>
    <b:JournalName>ACR North American Advances</b:JournalName>
    <b:Year>1978</b:Year>
    <b:Author>
      <b:Author>
        <b:NameList>
          <b:Person>
            <b:Last>Beckwith</b:Last>
            <b:Middle>E.</b:Middle>
            <b:First>Neil </b:First>
          </b:Person>
          <b:Person>
            <b:Last>Kassarjian</b:Last>
            <b:Middle>H.</b:Middle>
            <b:First> H. </b:First>
          </b:Person>
          <b:Person>
            <b:Last>Lehmann</b:Last>
            <b:First>D. </b:First>
          </b:Person>
        </b:NameList>
      </b:Author>
    </b:Author>
    <b:RefOrder>677</b:RefOrder>
  </b:Source>
  <b:Source>
    <b:Tag>Bec17</b:Tag>
    <b:SourceType>JournalArticle</b:SourceType>
    <b:Guid>{780EF619-38EC-4CF3-B377-61F74BFB0899}</b:Guid>
    <b:Title>Weights and importance in composite indicators: Closing the gap</b:Title>
    <b:JournalName>Ecological Indicators</b:JournalName>
    <b:Year>2017</b:Year>
    <b:Pages>12-22</b:Pages>
    <b:Volume>80</b:Volume>
    <b:Month>09</b:Month>
    <b:YearAccessed>2023</b:YearAccessed>
    <b:MonthAccessed>01</b:MonthAccessed>
    <b:DayAccessed>15</b:DayAccessed>
    <b:DOI>https://doi.org/10.1016/j.ecolind.2017.03.056</b:DOI>
    <b:Author>
      <b:Author>
        <b:NameList>
          <b:Person>
            <b:Last>Becker</b:Last>
            <b:First>William</b:First>
          </b:Person>
          <b:Person>
            <b:Last>Saisana</b:Last>
            <b:First>Michaela</b:First>
          </b:Person>
          <b:Person>
            <b:Last>Paruolo</b:Last>
            <b:First>Paolo</b:First>
          </b:Person>
          <b:Person>
            <b:Last>Vandecasteele</b:Last>
            <b:First>Ine</b:First>
          </b:Person>
        </b:NameList>
      </b:Author>
    </b:Author>
    <b:RefOrder>937</b:RefOrder>
  </b:Source>
  <b:Source>
    <b:Tag>Beck19</b:Tag>
    <b:SourceType>JournalArticle</b:SourceType>
    <b:Guid>{81C591A3-230B-4D9E-9719-325BA37761D6}</b:Guid>
    <b:Title>Does It Pay to Be Real? Understanding Authenticity in TV Advertising</b:Title>
    <b:JournalName>Journal of marketing,</b:JournalName>
    <b:Year>2019</b:Year>
    <b:Pages>24-50</b:Pages>
    <b:Publisher>Sage Publications</b:Publisher>
    <b:Volume>83</b:Volume>
    <b:Issue>1</b:Issue>
    <b:YearAccessed>2023</b:YearAccessed>
    <b:MonthAccessed>02</b:MonthAccessed>
    <b:DayAccessed>22</b:DayAccessed>
    <b:DOI>10.1177/0022242918815880</b:DOI>
    <b:Author>
      <b:Author>
        <b:NameList>
          <b:Person>
            <b:Last>Becker</b:Last>
            <b:First>Maren</b:First>
          </b:Person>
          <b:Person>
            <b:Last>Wiegand</b:Last>
            <b:First>Nico</b:First>
          </b:Person>
          <b:Person>
            <b:Last>Reinartz</b:Last>
            <b:Middle>J.</b:Middle>
            <b:First>Werner </b:First>
          </b:Person>
        </b:NameList>
      </b:Author>
    </b:Author>
    <b:RefOrder>1294</b:RefOrder>
  </b:Source>
  <b:Source>
    <b:Tag>Bec20</b:Tag>
    <b:SourceType>JournalArticle</b:SourceType>
    <b:Guid>{4DFD3850-6479-4A9A-9C1E-4B822FE14A58}</b:Guid>
    <b:Title>Satisfaction and preferences in a legality social dilemma: Does corporate social responsibility impact consumers’ behaviour?</b:Title>
    <b:JournalName>Journal of Policy Modeling</b:JournalName>
    <b:Year>2020</b:Year>
    <b:Pages>483-502</b:Pages>
    <b:Month>04</b:Month>
    <b:Volume>42</b:Volume>
    <b:Issue>2</b:Issue>
    <b:YearAccessed>2023</b:YearAccessed>
    <b:MonthAccessed>02</b:MonthAccessed>
    <b:DayAccessed>28</b:DayAccessed>
    <b:DOI>https://doi.org/10.1016/j.jpolmod.2019.07.003</b:DOI>
    <b:Author>
      <b:Author>
        <b:NameList>
          <b:Person>
            <b:Last>Becchetti</b:Last>
            <b:First>Leonardo </b:First>
          </b:Person>
          <b:Person>
            <b:Last>Corrado</b:Last>
            <b:First>Germana </b:First>
          </b:Person>
          <b:Person>
            <b:Last>Pelligra</b:Last>
            <b:First>Vittorio </b:First>
          </b:Person>
          <b:Person>
            <b:Last>Rossetti</b:Last>
            <b:First>Fiammetta </b:First>
          </b:Person>
        </b:NameList>
      </b:Author>
    </b:Author>
    <b:RefOrder>187</b:RefOrder>
  </b:Source>
  <b:Source>
    <b:Tag>Beb08</b:Tag>
    <b:SourceType>JournalArticle</b:SourceType>
    <b:Guid>{FF33EF29-67D2-45C6-8CFD-821B486B1A6C}</b:Guid>
    <b:Title>Corporate social reporting and reputation risk management.</b:Title>
    <b:JournalName>Accounting, Auditing &amp; Accountability Journal</b:JournalName>
    <b:Year>2008</b:Year>
    <b:Pages>337-361</b:Pages>
    <b:Month>03</b:Month>
    <b:Day>28</b:Day>
    <b:Publisher>Emerald Group Publishing Limited</b:Publisher>
    <b:Volume>21</b:Volume>
    <b:Issue>3</b:Issue>
    <b:YearAccessed>2023</b:YearAccessed>
    <b:MonthAccessed>02</b:MonthAccessed>
    <b:DayAccessed>17</b:DayAccessed>
    <b:DOI>https://doi.org/10.1108/09513570810863932</b:DOI>
    <b:Author>
      <b:Author>
        <b:NameList>
          <b:Person>
            <b:Last>Bebbington</b:Last>
            <b:First>Jan </b:First>
          </b:Person>
          <b:Person>
            <b:Last>Larrinaga</b:Last>
            <b:First>Carlos </b:First>
          </b:Person>
          <b:Person>
            <b:Last>Moneva</b:Last>
            <b:Middle>M.</b:Middle>
            <b:First>Jose </b:First>
          </b:Person>
        </b:NameList>
      </b:Author>
    </b:Author>
    <b:RefOrder>538</b:RefOrder>
  </b:Source>
  <b:Source>
    <b:Tag>Bau15</b:Tag>
    <b:SourceType>JournalArticle</b:SourceType>
    <b:Guid>{ACD0C153-D5DA-4EF3-8874-21FA986DFD3F}</b:Guid>
    <b:Title>The role of brand exposure and experience on brand recall Product durables vis-a-vis FMCG.</b:Title>
    <b:JournalName>Journal of Retailing and Consumer Services</b:JournalName>
    <b:Year>2015</b:Year>
    <b:Pages>21-31</b:Pages>
    <b:Author>
      <b:Author>
        <b:NameList>
          <b:Person>
            <b:Last>Baumann</b:Last>
            <b:First>Chris</b:First>
          </b:Person>
          <b:Person>
            <b:Last>Hamin</b:Last>
            <b:First>Hamin</b:First>
          </b:Person>
          <b:Person>
            <b:Last>Chong</b:Last>
            <b:First>Amy</b:First>
          </b:Person>
        </b:NameList>
      </b:Author>
    </b:Author>
    <b:Month>03</b:Month>
    <b:Volume>23</b:Volume>
    <b:YearAccessed>2022</b:YearAccessed>
    <b:MonthAccessed>10</b:MonthAccessed>
    <b:DayAccessed>07</b:DayAccessed>
    <b:URL>https://doi.org/10.1016/j.jretconser.2014.11.003</b:URL>
    <b:RefOrder>1295</b:RefOrder>
  </b:Source>
  <b:Source>
    <b:Tag>Bat221</b:Tag>
    <b:SourceType>InternetSite</b:SourceType>
    <b:Guid>{821C7338-A83D-4962-A904-AC7F310220D1}</b:Guid>
    <b:Title>More than Window-Dressing: On the Credibility of Public Statistics from Al-Sisi’s Egypt</b:Title>
    <b:InternetSiteTitle>orientxxi</b:InternetSiteTitle>
    <b:Year>2022</b:Year>
    <b:Month>01</b:Month>
    <b:Day>27</b:Day>
    <b:URL>https://orientxxi.info/magazine/more-than-window-dressing-on-the-credibility-of-public-statistics-from-al-sisi,5330</b:URL>
    <b:Author>
      <b:Author>
        <b:NameList>
          <b:Person>
            <b:Last>Batsi</b:Last>
            <b:First> Salima </b:First>
          </b:Person>
        </b:NameList>
      </b:Author>
    </b:Author>
    <b:RefOrder>852</b:RefOrder>
  </b:Source>
  <b:Source>
    <b:Tag>Bat22</b:Tag>
    <b:SourceType>JournalArticle</b:SourceType>
    <b:Guid>{160A444E-6D7E-4F13-AD76-0ABC26E6168C}</b:Guid>
    <b:Title>Examining the “attractiveness halo effect” across cultures</b:Title>
    <b:JournalName>Current Psychology</b:JournalName>
    <b:Year>2022</b:Year>
    <b:Author>
      <b:Author>
        <b:NameList>
          <b:Person>
            <b:Last>Batres</b:Last>
            <b:First>Carlota </b:First>
          </b:Person>
          <b:Person>
            <b:Last>Shiramizu </b:Last>
            <b:First>Victor </b:First>
          </b:Person>
        </b:NameList>
      </b:Author>
    </b:Author>
    <b:YearAccessed>2022</b:YearAccessed>
    <b:MonthAccessed>11</b:MonthAccessed>
    <b:DayAccessed>05</b:DayAccessed>
    <b:DOI>https://doi.org/10.1007/s12144-022-03575-0</b:DOI>
    <b:RefOrder>1296</b:RefOrder>
  </b:Source>
  <b:Source>
    <b:Tag>Bat16</b:Tag>
    <b:SourceType>JournalArticle</b:SourceType>
    <b:Guid>{7F65DC30-A50C-4F9F-B696-2A8F645E8B0A}</b:Guid>
    <b:Title>Integrating Marketing Communications: New Findings, New Lessons, and New Ideas</b:Title>
    <b:JournalName>Journal of Marketing</b:JournalName>
    <b:Year>2016</b:Year>
    <b:Author>
      <b:Author>
        <b:NameList>
          <b:Person>
            <b:Last>Batra</b:Last>
            <b:First>Rajeev </b:First>
          </b:Person>
          <b:Person>
            <b:Last>Keller</b:Last>
            <b:Middle>Lane </b:Middle>
            <b:First>Kevin </b:First>
          </b:Person>
        </b:NameList>
      </b:Author>
    </b:Author>
    <b:Month>11</b:Month>
    <b:Day>1</b:Day>
    <b:Volume>80</b:Volume>
    <b:Issue>6</b:Issue>
    <b:YearAccessed>2023</b:YearAccessed>
    <b:MonthAccessed>02</b:MonthAccessed>
    <b:DayAccessed>21</b:DayAccessed>
    <b:DOI>https://doi.org/10.1509/jm.15.0419</b:DOI>
    <b:RefOrder>40</b:RefOrder>
  </b:Source>
  <b:Source>
    <b:Tag>Bat86</b:Tag>
    <b:SourceType>JournalArticle</b:SourceType>
    <b:Guid>{A6D5D336-6FF4-4299-ACA2-4DDEEE3F4A74}</b:Guid>
    <b:Title>Affective Responses Mediating Acceptance of Advertising</b:Title>
    <b:JournalName>Journal of Consumer Research</b:JournalName>
    <b:Year>1986</b:Year>
    <b:Pages>234-249</b:Pages>
    <b:Month>09</b:Month>
    <b:Volume>13</b:Volume>
    <b:Issue>2</b:Issue>
    <b:YearAccessed>2023</b:YearAccessed>
    <b:MonthAccessed>07</b:MonthAccessed>
    <b:DayAccessed>28</b:DayAccessed>
    <b:DOI>https://doi.org/10.1086/209063</b:DOI>
    <b:Author>
      <b:Author>
        <b:NameList>
          <b:Person>
            <b:Last>Batra</b:Last>
            <b:First>Rajeev</b:First>
          </b:Person>
          <b:Person>
            <b:Last>Ray</b:Last>
            <b:Middle>L.</b:Middle>
            <b:First>Michael </b:First>
          </b:Person>
        </b:NameList>
      </b:Author>
    </b:Author>
    <b:RefOrder>245</b:RefOrder>
  </b:Source>
  <b:Source>
    <b:Tag>Bat11</b:Tag>
    <b:SourceType>JournalArticle</b:SourceType>
    <b:Guid>{1EEBE26F-9ACC-4D27-988E-5F92A78EE15E}</b:Guid>
    <b:Title>Making Benefit Transfers Work: Deriving and Testing Principles for Value Transfers for Similar and Dissimilar Sites Using a Case Study of the Non-Market Benefits of Water Quality Improvements Across Europe</b:Title>
    <b:JournalName>Environmental and Resource Economics</b:JournalName>
    <b:Year>2011</b:Year>
    <b:Pages>365-387</b:Pages>
    <b:Month>05</b:Month>
    <b:Day>11</b:Day>
    <b:Volume>50</b:Volume>
    <b:YearAccessed>2022</b:YearAccessed>
    <b:MonthAccessed>10</b:MonthAccessed>
    <b:DayAccessed>28</b:DayAccessed>
    <b:URL>https://link.springer.com/article/10.1007/s10640-011-9476-8#citeas</b:URL>
    <b:DOI>https://doi.org/10.1007/s10640-011-9476-8</b:DOI>
    <b:Author>
      <b:Author>
        <b:NameList>
          <b:Person>
            <b:Last>Bateman</b:Last>
            <b:Middle>J.</b:Middle>
            <b:First>I.</b:First>
          </b:Person>
          <b:Person>
            <b:Last>Brouwer</b:Last>
            <b:First>R. </b:First>
          </b:Person>
          <b:Person>
            <b:Last>Ferrini</b:Last>
            <b:First>S. </b:First>
          </b:Person>
          <b:Person>
            <b:Last>Schaafsma</b:Last>
            <b:First>M. </b:First>
          </b:Person>
          <b:Person>
            <b:Last>Barton</b:Last>
            <b:Middle>N.</b:Middle>
            <b:First>D. </b:First>
          </b:Person>
          <b:Person>
            <b:Last>Dubgaard</b:Last>
            <b:First>A. </b:First>
          </b:Person>
          <b:Person>
            <b:Last>Hasler</b:Last>
            <b:First>B. </b:First>
          </b:Person>
          <b:Person>
            <b:Last>Hime</b:Last>
            <b:First>S. </b:First>
          </b:Person>
          <b:Person>
            <b:Last>Liekens</b:Last>
            <b:First>I. </b:First>
          </b:Person>
          <b:Person>
            <b:Last>Navrud</b:Last>
            <b:First>S. </b:First>
          </b:Person>
          <b:Person>
            <b:Last>Nocker</b:Last>
            <b:Middle>De</b:Middle>
            <b:First>L. </b:First>
          </b:Person>
          <b:Person>
            <b:Last>Ščeponavičiūtė </b:Last>
            <b:First>R. </b:First>
          </b:Person>
          <b:Person>
            <b:Last>Semėnienė </b:Last>
            <b:First>D. </b:First>
          </b:Person>
        </b:NameList>
      </b:Author>
    </b:Author>
    <b:RefOrder>779</b:RefOrder>
  </b:Source>
  <b:Source>
    <b:Tag>Bat21</b:Tag>
    <b:SourceType>JournalArticle</b:SourceType>
    <b:Guid>{9BD2E043-C47C-4437-AF88-DF77D4B693F0}</b:Guid>
    <b:Title>A phenomenological exploration into sustainability in the foodservice industry in the MEA region</b:Title>
    <b:Year>2021</b:Year>
    <b:Publisher>Emerald Publishing Limited</b:Publisher>
    <b:JournalName>Journal of Services Marketing</b:JournalName>
    <b:Pages>918-932</b:Pages>
    <b:Month>07</b:Month>
    <b:Day>27</b:Day>
    <b:Volume>35</b:Volume>
    <b:Issue>7</b:Issue>
    <b:YearAccessed>2022</b:YearAccessed>
    <b:MonthAccessed>12</b:MonthAccessed>
    <b:DayAccessed>03</b:DayAccessed>
    <b:URL>http://www.emeraldinsight.com/doi/10.1108/JSM-06-2020-0243</b:URL>
    <b:DOI>10.1108/JSM-06-2020-0243</b:DOI>
    <b:Author>
      <b:Author>
        <b:NameList>
          <b:Person>
            <b:Last>Batat</b:Last>
            <b:First>Wided</b:First>
          </b:Person>
        </b:NameList>
      </b:Author>
    </b:Author>
    <b:RefOrder>493</b:RefOrder>
  </b:Source>
  <b:Source>
    <b:Tag>Bas17</b:Tag>
    <b:SourceType>JournalArticle</b:SourceType>
    <b:Guid>{0785FACA-0030-4EB1-A209-E63B7D315126}</b:Guid>
    <b:Title>Learning the Models of Customer Behavior: From Television Advertising to Online Marketing</b:Title>
    <b:JournalName>International Journal of Electronic Commerce</b:JournalName>
    <b:Year>2017</b:Year>
    <b:Pages>572-604</b:Pages>
    <b:Author>
      <b:Author>
        <b:NameList>
          <b:Person>
            <b:Last>Bassano</b:Last>
            <b:First>Clara</b:First>
          </b:Person>
          <b:Person>
            <b:Last>Gaeta</b:Last>
            <b:First>Matteo </b:First>
          </b:Person>
          <b:Person>
            <b:Last>Piciocchi</b:Last>
            <b:First>Paolo </b:First>
          </b:Person>
          <b:Person>
            <b:Last>Spohrer</b:Last>
            <b:Middle>C.</b:Middle>
            <b:First>James </b:First>
          </b:Person>
        </b:NameList>
      </b:Author>
    </b:Author>
    <b:Month>09</b:Month>
    <b:Day>25</b:Day>
    <b:Volume>21</b:Volume>
    <b:Issue>4</b:Issue>
    <b:YearAccessed>2023</b:YearAccessed>
    <b:MonthAccessed>03</b:MonthAccessed>
    <b:DayAccessed>20</b:DayAccessed>
    <b:DOI>https://doi.org/10.1080/10864415.2016.1355654</b:DOI>
    <b:RefOrder>161</b:RefOrder>
  </b:Source>
  <b:Source>
    <b:Tag>Bas20</b:Tag>
    <b:SourceType>JournalArticle</b:SourceType>
    <b:Guid>{A4A91A65-9A10-4364-BD40-2D691FA7AF25}</b:Guid>
    <b:Title>Experimenting with sustainable business models in fast moving consumer goods</b:Title>
    <b:JournalName>Journal of Cleaner Production</b:JournalName>
    <b:Year>2020</b:Year>
    <b:Author>
      <b:Author>
        <b:NameList>
          <b:Person>
            <b:Last>Bashir</b:Last>
            <b:First>Hussnain </b:First>
          </b:Person>
          <b:Person>
            <b:Last>Jørgensen</b:Last>
            <b:First>Sveinung </b:First>
          </b:Person>
          <b:Person>
            <b:Last>Pedersen</b:Last>
            <b:Middle> Jacob Tynes </b:Middle>
            <b:First>Lars</b:First>
          </b:Person>
          <b:Person>
            <b:Last>Skard</b:Last>
            <b:First>Siv </b:First>
          </b:Person>
        </b:NameList>
      </b:Author>
    </b:Author>
    <b:Month>10</b:Month>
    <b:Volume>270</b:Volume>
    <b:YearAccessed>2023</b:YearAccessed>
    <b:MonthAccessed>03</b:MonthAccessed>
    <b:DayAccessed>18</b:DayAccessed>
    <b:DOI>https://doi.org/10.1016/j.jclepro.2020.122302</b:DOI>
    <b:RefOrder>448</b:RefOrder>
  </b:Source>
  <b:Source>
    <b:Tag>Bar21</b:Tag>
    <b:SourceType>JournalArticle</b:SourceType>
    <b:Guid>{B76FE8D2-E57E-4B92-B756-4985A121AEA4}</b:Guid>
    <b:Title>Attribute framing in CSR communication: Doing good and spreading the word – But how?</b:Title>
    <b:JournalName>Journal of Business Research</b:JournalName>
    <b:Year>2021</b:Year>
    <b:Pages>700-708</b:Pages>
    <b:Month>07</b:Month>
    <b:Volume>131</b:Volume>
    <b:YearAccessed>2023</b:YearAccessed>
    <b:MonthAccessed>02</b:MonthAccessed>
    <b:DayAccessed>05</b:DayAccessed>
    <b:DOI>https://doi.org/10.1016/j.jbusres.2020.12.059</b:DOI>
    <b:Author>
      <b:Author>
        <b:NameList>
          <b:Person>
            <b:Last>Bartikowski</b:Last>
            <b:First>Boris </b:First>
          </b:Person>
          <b:Person>
            <b:Last>Berens</b:Last>
            <b:First>Guido </b:First>
          </b:Person>
        </b:NameList>
      </b:Author>
    </b:Author>
    <b:RefOrder>109</b:RefOrder>
  </b:Source>
  <b:Source>
    <b:Tag>Bar191</b:Tag>
    <b:SourceType>JournalArticle</b:SourceType>
    <b:Guid>{F03FC4B4-6A7E-44B2-9B4D-27DA146A6337}</b:Guid>
    <b:Title>Store atmosphere and impulse: a cross-cultural study</b:Title>
    <b:JournalName>International Journal of Retail &amp; Distribution Management</b:JournalName>
    <b:Year>2019</b:Year>
    <b:Pages>817-835</b:Pages>
    <b:Month>08</b:Month>
    <b:Day>07</b:Day>
    <b:Volume>47</b:Volume>
    <b:Issue>08</b:Issue>
    <b:YearAccessed>2023</b:YearAccessed>
    <b:MonthAccessed>03</b:MonthAccessed>
    <b:DayAccessed>10</b:DayAccessed>
    <b:DOI>https://doi.org/10.1108/IJRDM-09-2018-0209</b:DOI>
    <b:Author>
      <b:Author>
        <b:NameList>
          <b:Person>
            <b:Last>Barros</b:Last>
            <b:Middle>Bandeira Lima </b:Middle>
            <b:First>Ludmila </b:First>
          </b:Person>
          <b:Person>
            <b:Last>Petroll</b:Last>
            <b:Middle>de La Martinière </b:Middle>
            <b:First>Martin </b:First>
          </b:Person>
          <b:Person>
            <b:Last>Damacena</b:Last>
            <b:First>Cláudio </b:First>
          </b:Person>
          <b:Person>
            <b:Last>Kanoppe</b:Last>
            <b:First>Marc</b:First>
          </b:Person>
        </b:NameList>
      </b:Author>
    </b:Author>
    <b:RefOrder>630</b:RefOrder>
  </b:Source>
  <b:Source>
    <b:Tag>Bar91</b:Tag>
    <b:SourceType>JournalArticle</b:SourceType>
    <b:Guid>{35444230-D4B5-42EE-8CF4-6FF16273A0BD}</b:Guid>
    <b:Title>Firm resources and sustained competitive advantage</b:Title>
    <b:JournalName>Journal of Management </b:JournalName>
    <b:Year>1991</b:Year>
    <b:Pages>99-120</b:Pages>
    <b:Volume>17</b:Volume>
    <b:Issue>1</b:Issue>
    <b:Author>
      <b:Author>
        <b:NameList>
          <b:Person>
            <b:Last>Barney</b:Last>
            <b:First>Jay</b:First>
          </b:Person>
        </b:NameList>
      </b:Author>
    </b:Author>
    <b:Month>03</b:Month>
    <b:YearAccessed>2022</b:YearAccessed>
    <b:MonthAccessed>12</b:MonthAccessed>
    <b:DayAccessed>11</b:DayAccessed>
    <b:URL>https://doi.org/10.1177/014920639101700108</b:URL>
    <b:RefOrder>1297</b:RefOrder>
  </b:Source>
  <b:Source>
    <b:Tag>Bar192</b:Tag>
    <b:SourceType>BookSection</b:SourceType>
    <b:Guid>{0DB15B8A-2F8C-4AD2-B06E-78061092718E}</b:Guid>
    <b:Title>Transformative mixed methods research in South Africa:: Contributions to social justice</b:Title>
    <b:Year>2019</b:Year>
    <b:Pages>303-316</b:Pages>
    <b:BookTitle>Transforming Research Methods in the Social Sciences</b:BookTitle>
    <b:YearAccessed>2023</b:YearAccessed>
    <b:MonthAccessed>08</b:MonthAccessed>
    <b:DayAccessed>04</b:DayAccessed>
    <b:DOI>10.18772/22019032750.24</b:DOI>
    <b:Author>
      <b:Author>
        <b:NameList>
          <b:Person>
            <b:Last>Barnes</b:Last>
            <b:Middle>R.</b:Middle>
            <b:First>Brendon </b:First>
          </b:Person>
        </b:NameList>
      </b:Author>
    </b:Author>
    <b:RefOrder>744</b:RefOrder>
  </b:Source>
  <b:Source>
    <b:Tag>Bar19</b:Tag>
    <b:SourceType>JournalArticle</b:SourceType>
    <b:Guid>{882D7873-20E0-4E15-A75B-CCC83CE26CAE}</b:Guid>
    <b:Title>Women's political participation and intrahousehold empowerment: Evidence from the Egyptian Arab Spring</b:Title>
    <b:JournalName>Journal of Development Economics</b:JournalName>
    <b:Year>2019</b:Year>
    <b:Author>
      <b:Author>
        <b:NameList>
          <b:Person>
            <b:Last>Bargain</b:Last>
            <b:First>Olivier </b:First>
          </b:Person>
          <b:Person>
            <b:Last>Boutin</b:Last>
            <b:First>Delphine </b:First>
          </b:Person>
          <b:Person>
            <b:Last>Champeaux </b:Last>
            <b:First>Hugues </b:First>
          </b:Person>
        </b:NameList>
      </b:Author>
    </b:Author>
    <b:Month>11</b:Month>
    <b:Volume>141</b:Volume>
    <b:YearAccessed>2023</b:YearAccessed>
    <b:MonthAccessed>02</b:MonthAccessed>
    <b:DayAccessed>11</b:DayAccessed>
    <b:DOI>https://doi.org/10.1016/j.jdeveco.2019.102379</b:DOI>
    <b:RefOrder>786</b:RefOrder>
  </b:Source>
  <b:Source>
    <b:Tag>Ban18</b:Tag>
    <b:SourceType>JournalArticle</b:SourceType>
    <b:Guid>{BDED5A41-C331-4E12-9CE7-F507DC699587}</b:Guid>
    <b:Title>Impact of Food Brand Controversy on Consumers’ Attitude Toward Brand and Company</b:Title>
    <b:JournalName>Journal of Food Products Marketing</b:JournalName>
    <b:Year>2018</b:Year>
    <b:Pages>413-440</b:Pages>
    <b:Author>
      <b:Author>
        <b:NameList>
          <b:Person>
            <b:Last>Banerjee</b:Last>
            <b:First>Saikat </b:First>
          </b:Person>
        </b:NameList>
      </b:Author>
    </b:Author>
    <b:Volume>24</b:Volume>
    <b:Issue>4</b:Issue>
    <b:YearAccessed>2022</b:YearAccessed>
    <b:MonthAccessed>10</b:MonthAccessed>
    <b:DayAccessed>7</b:DayAccessed>
    <b:URL>https://doi.org/10.1080/10454446.2017.1285741</b:URL>
    <b:RefOrder>1298</b:RefOrder>
  </b:Source>
  <b:Source>
    <b:Tag>Bak22</b:Tag>
    <b:SourceType>JournalArticle</b:SourceType>
    <b:Guid>{26B955F0-B2E0-4863-92EF-EF6A6352EC5B}</b:Guid>
    <b:Title>Does intellectual capital efficiency improve the corporate social responsibility of Egyptian firms?</b:Title>
    <b:JournalName>Journal of Financial Reporting and Accounting</b:JournalName>
    <b:Year>2022</b:Year>
    <b:Pages>693-711</b:Pages>
    <b:Volume>20</b:Volume>
    <b:Issue>3/4</b:Issue>
    <b:Author>
      <b:Author>
        <b:NameList>
          <b:Person>
            <b:Last>Bakry</b:Last>
            <b:Middle>Elsayed Awad </b:Middle>
            <b:First>Ahmed </b:First>
          </b:Person>
        </b:NameList>
      </b:Author>
    </b:Author>
    <b:Month>05</b:Month>
    <b:Day>23</b:Day>
    <b:Publisher>Emerald Publishing Limited</b:Publisher>
    <b:YearAccessed>2022</b:YearAccessed>
    <b:MonthAccessed>12</b:MonthAccessed>
    <b:DayAccessed>10</b:DayAccessed>
    <b:DOI>https://doi.org/10.1108/JFRA-09-2020-0269</b:DOI>
    <b:RefOrder>500</b:RefOrder>
  </b:Source>
  <b:Source>
    <b:Tag>Bak12</b:Tag>
    <b:SourceType>JournalArticle</b:SourceType>
    <b:Guid>{142F7712-2C4A-44D7-92D9-AEB5CDFF1219}</b:Guid>
    <b:Title>How consumer shopping orientation influences perceived crowding, excitement, and stress at the mall.</b:Title>
    <b:JournalName>Journal of the Academy of Marketing Science</b:JournalName>
    <b:Year>2012</b:Year>
    <b:Pages>791-806</b:Pages>
    <b:Publisher>American Psychological Association</b:Publisher>
    <b:Volume>40</b:Volume>
    <b:Issue>6</b:Issue>
    <b:YearAccessed>2023</b:YearAccessed>
    <b:MonthAccessed>05</b:MonthAccessed>
    <b:DayAccessed>05</b:DayAccessed>
    <b:DOI> https://doi.org/10.1007/s11747-011-0284-z</b:DOI>
    <b:Author>
      <b:Author>
        <b:NameList>
          <b:Person>
            <b:Last>Baker</b:Last>
            <b:First>Julie</b:First>
          </b:Person>
          <b:Person>
            <b:Last>Wakefield</b:Last>
            <b:Middle>L.</b:Middle>
            <b:First>Kirk</b:First>
          </b:Person>
        </b:NameList>
      </b:Author>
    </b:Author>
    <b:RefOrder>626</b:RefOrder>
  </b:Source>
  <b:Source>
    <b:Tag>Bac19</b:Tag>
    <b:SourceType>JournalArticle</b:SourceType>
    <b:Guid>{C7C8A1A9-6786-4092-866E-AF6B9782AA38}</b:Guid>
    <b:Title>The halo effect created for restaurants that source food locally</b:Title>
    <b:JournalName>Journal of FoodService Business Research </b:JournalName>
    <b:Year>2019</b:Year>
    <b:Pages>209-238</b:Pages>
    <b:Publisher>Routledge Taylor &amp; Francis Group</b:Publisher>
    <b:Volume>22</b:Volume>
    <b:Issue>3</b:Issue>
    <b:YearAccessed>2022</b:YearAccessed>
    <b:MonthAccessed>11</b:MonthAccessed>
    <b:DayAccessed>05</b:DayAccessed>
    <b:DOI>https://doi.org/10.1080/15378020.2019.1592654</b:DOI>
    <b:Author>
      <b:Author>
        <b:NameList>
          <b:Person>
            <b:Last>Bacig</b:Last>
            <b:First>Malia </b:First>
          </b:Person>
          <b:Person>
            <b:Last>Young</b:Last>
            <b:Middle>A.</b:Middle>
            <b:First>Cheri </b:First>
          </b:Person>
        </b:NameList>
      </b:Author>
    </b:Author>
    <b:RefOrder>648</b:RefOrder>
  </b:Source>
  <b:Source>
    <b:Tag>Ayd14</b:Tag>
    <b:SourceType>JournalArticle</b:SourceType>
    <b:Guid>{6BD1D8EA-EB8D-451A-A8E9-1D042C8D8305}</b:Guid>
    <b:Title>The Relation between Positive Brand Emotions and Recall</b:Title>
    <b:JournalName>Online Journal of Communication and Media Technologies</b:JournalName>
    <b:Year>2014</b:Year>
    <b:Month>01</b:Month>
    <b:Volume>4</b:Volume>
    <b:Issue>1</b:Issue>
    <b:YearAccessed>2023</b:YearAccessed>
    <b:MonthAccessed>06</b:MonthAccessed>
    <b:DayAccessed>08</b:DayAccessed>
    <b:DOI>10.29333/ojcmt/2460</b:DOI>
    <b:Author>
      <b:Author>
        <b:NameList>
          <b:Person>
            <b:Last>Aydın</b:Last>
            <b:First>Duygu </b:First>
          </b:Person>
        </b:NameList>
      </b:Author>
    </b:Author>
    <b:RefOrder>266</b:RefOrder>
  </b:Source>
  <b:Source>
    <b:Tag>Awa21</b:Tag>
    <b:SourceType>JournalArticle</b:SourceType>
    <b:Guid>{1C35215C-41A5-4531-96C7-9E0E42F35F81}</b:Guid>
    <b:Title>Role of green financing and corporate social responsibility (CSR) in technological innovation and corporate environmental performance: a COVID-19 perspective</b:Title>
    <b:JournalName>China Finance Review International</b:JournalName>
    <b:Year>2021</b:Year>
    <b:Pages>297-316</b:Pages>
    <b:Volume>12</b:Volume>
    <b:Issue>2</b:Issue>
    <b:Author>
      <b:Author>
        <b:NameList>
          <b:Person>
            <b:Last>Awawdeh</b:Last>
            <b:First>Ala Eldin </b:First>
          </b:Person>
          <b:Person>
            <b:Last>Ananzeh</b:Last>
            <b:First>Mohammed </b:First>
          </b:Person>
          <b:Person>
            <b:Last>El-khateeb</b:Last>
            <b:Middle>Ibrahiem </b:Middle>
            <b:First>Ahmad </b:First>
          </b:Person>
          <b:Person>
            <b:Last>Aljumah</b:Last>
            <b:First>Ahmad </b:First>
          </b:Person>
        </b:NameList>
      </b:Author>
    </b:Author>
    <b:Month>08</b:Month>
    <b:Day>27</b:Day>
    <b:Publisher>Emerald Publishing Limited</b:Publisher>
    <b:YearAccessed>2022</b:YearAccessed>
    <b:MonthAccessed>12</b:MonthAccessed>
    <b:DayAccessed>10</b:DayAccessed>
    <b:DOI>https://doi.org/10.1108/CFRI-03-2021-0048</b:DOI>
    <b:RefOrder>501</b:RefOrder>
  </b:Source>
  <b:Source>
    <b:Tag>Aus14</b:Tag>
    <b:SourceType>JournalArticle</b:SourceType>
    <b:Guid>{17ECE9B1-B1B3-4A0F-AA7A-FD6570CF643F}</b:Guid>
    <b:Title>Qualitative research: getting started</b:Title>
    <b:JournalName>The Canadaian Journal of Hospital Pharmacy</b:JournalName>
    <b:Year>2014</b:Year>
    <b:Pages>436-440</b:Pages>
    <b:Volume>67</b:Volume>
    <b:Issue>6</b:Issue>
    <b:Author>
      <b:Author>
        <b:NameList>
          <b:Person>
            <b:Last>Austin</b:Last>
            <b:First>Z </b:First>
          </b:Person>
          <b:Person>
            <b:Last>Sutton</b:Last>
            <b:First>J </b:First>
          </b:Person>
        </b:NameList>
      </b:Author>
    </b:Author>
    <b:RefOrder>1001</b:RefOrder>
  </b:Source>
  <b:Source>
    <b:Tag>Aus18</b:Tag>
    <b:SourceType>JournalArticle</b:SourceType>
    <b:Guid>{0DBF24A7-0B44-4FFA-8AEC-C07D329414E9}</b:Guid>
    <b:Title>Redefining fit: examining CSR company-issue fit in stigmatized industries</b:Title>
    <b:JournalName>Journal of Brand Management</b:JournalName>
    <b:Year>2018</b:Year>
    <b:Author>
      <b:Author>
        <b:NameList>
          <b:Person>
            <b:Last>Austin</b:Last>
            <b:First>Lucinda </b:First>
          </b:Person>
          <b:Person>
            <b:Last>Gaither </b:Last>
            <b:Middle>Miller </b:Middle>
            <b:First>Barbara </b:First>
          </b:Person>
        </b:NameList>
      </b:Author>
    </b:Author>
    <b:Month>05</b:Month>
    <b:Day>28</b:Day>
    <b:Volume>26</b:Volume>
    <b:YearAccessed>2023</b:YearAccessed>
    <b:MonthAccessed>02</b:MonthAccessed>
    <b:DayAccessed>27</b:DayAccessed>
    <b:DOI>https://doi.org/10.1057/s41262-018-0107-3</b:DOI>
    <b:RefOrder>386</b:RefOrder>
  </b:Source>
  <b:Source>
    <b:Tag>Aup85</b:Tag>
    <b:SourceType>JournalArticle</b:SourceType>
    <b:Guid>{FDB08355-102F-4ACB-8305-8ABF2C46B04E}</b:Guid>
    <b:Title>An Empirical Examination of the Relationship between Corporate Social Responsibility and Profitability</b:Title>
    <b:Year>1985</b:Year>
    <b:Pages>446-463</b:Pages>
    <b:Publisher>Academy of Management</b:Publisher>
    <b:JournalName>The Academy of Management Journal</b:JournalName>
    <b:Volume>28</b:Volume>
    <b:Issue>2</b:Issue>
    <b:Month>06</b:Month>
    <b:YearAccessed>2022</b:YearAccessed>
    <b:MonthAccessed>12</b:MonthAccessed>
    <b:DayAccessed>08</b:DayAccessed>
    <b:URL>https://www.jstor.org/stable/256210</b:URL>
    <b:DOI>https://doi.org/10.2307/256210</b:DOI>
    <b:Author>
      <b:Author>
        <b:NameList>
          <b:Person>
            <b:Last>Aupperle</b:Last>
            <b:Middle>E.</b:Middle>
            <b:First>Kenneth </b:First>
          </b:Person>
          <b:Person>
            <b:Last>Carroll</b:Last>
            <b:Middle>B.</b:Middle>
            <b:First>Archie </b:First>
          </b:Person>
          <b:Person>
            <b:Last>Hatfield</b:Last>
            <b:Middle>D.</b:Middle>
            <b:First>John </b:First>
          </b:Person>
        </b:NameList>
      </b:Author>
    </b:Author>
    <b:RefOrder>1299</b:RefOrder>
  </b:Source>
  <b:Source>
    <b:Tag>Aug18</b:Tag>
    <b:SourceType>JournalArticle</b:SourceType>
    <b:Guid>{C99EBD8B-BE8D-49CE-A7FF-36D68E9C8E14}</b:Guid>
    <b:Title>Effects of brand attitude and eWOM on consumers’ willingness to pay in the banking industry: Mediating role of consumer-brand identification and brand equity</b:Title>
    <b:JournalName>Journal of Retailing and Consumer Services</b:JournalName>
    <b:Year>2018</b:Year>
    <b:Pages>1-10</b:Pages>
    <b:Month>05</b:Month>
    <b:Volume>42</b:Volume>
    <b:YearAccessed>2023</b:YearAccessed>
    <b:MonthAccessed>03</b:MonthAccessed>
    <b:DayAccessed>17</b:DayAccessed>
    <b:DOI>https://doi.org/10.1016/j.jretconser.2018.01.005</b:DOI>
    <b:Author>
      <b:Author>
        <b:NameList>
          <b:Person>
            <b:Last>Augusto</b:Last>
            <b:First>Mário </b:First>
          </b:Person>
          <b:Person>
            <b:Last>Torres</b:Last>
            <b:First>Pedro</b:First>
          </b:Person>
        </b:NameList>
      </b:Author>
    </b:Author>
    <b:RefOrder>1300</b:RefOrder>
  </b:Source>
  <b:Source>
    <b:Tag>Att22</b:Tag>
    <b:SourceType>JournalArticle</b:SourceType>
    <b:Guid>{49C79543-2884-4FA1-A3AC-8AAEF616BC27}</b:Guid>
    <b:Title>Wow! It’s Cool”: how brand coolness affects the customer psychological well-being through brand love and brand engagement.</b:Title>
    <b:JournalName>Frontiers in Psychology</b:JournalName>
    <b:Year>2022</b:Year>
    <b:Month>06</b:Month>
    <b:Day>28</b:Day>
    <b:Volume>13</b:Volume>
    <b:YearAccessed>2023</b:YearAccessed>
    <b:MonthAccessed>03</b:MonthAccessed>
    <b:DayAccessed>10</b:DayAccessed>
    <b:DOI>https://doi.org/10.3389/fpsyg.2022.923870</b:DOI>
    <b:Author>
      <b:Author>
        <b:NameList>
          <b:Person>
            <b:Last>Attiq</b:Last>
            <b:First>Saman</b:First>
          </b:Person>
          <b:Person>
            <b:Last>Hamid</b:Last>
            <b:Middle>Abdul </b:Middle>
            <b:First>Abu Bakar </b:First>
          </b:Person>
          <b:Person>
            <b:Last>Khokhar</b:Last>
            <b:Middle>Naz </b:Middle>
            <b:First>Munnawar </b:First>
          </b:Person>
          <b:Person>
            <b:Last>Shah</b:Last>
            <b:Middle>Jalil </b:Middle>
            <b:First>Hassan </b:First>
          </b:Person>
          <b:Person>
            <b:Last>Shahzad</b:Last>
            <b:First>Amna </b:First>
          </b:Person>
        </b:NameList>
      </b:Author>
    </b:Author>
    <b:RefOrder>614</b:RefOrder>
  </b:Source>
  <b:Source>
    <b:Tag>Asi23</b:Tag>
    <b:SourceType>JournalArticle</b:SourceType>
    <b:Guid>{E4383784-345E-4215-9FCF-AA6974FC7060}</b:Guid>
    <b:Title>Green intellectual capital and ambidextrous green innovation: The impact on environmental performance</b:Title>
    <b:JournalName>Business Strategy and the Environment</b:JournalName>
    <b:Year>2023</b:Year>
    <b:Pages>369-386</b:Pages>
    <b:Month>01</b:Month>
    <b:Volume>32</b:Volume>
    <b:Issue>1</b:Issue>
    <b:YearAccessed>2023</b:YearAccessed>
    <b:MonthAccessed>07</b:MonthAccessed>
    <b:DayAccessed>30</b:DayAccessed>
    <b:DOI> https://doi.org/10.1002/bse.3136</b:DOI>
    <b:Author>
      <b:Author>
        <b:NameList>
          <b:Person>
            <b:Last>Asiaei</b:Last>
            <b:First>Kaveh </b:First>
          </b:Person>
          <b:Person>
            <b:Last>O'Connor</b:Last>
            <b:Middle>G.</b:Middle>
            <b:First>Neale </b:First>
          </b:Person>
          <b:Person>
            <b:Last>Barani</b:Last>
            <b:First>Omid </b:First>
          </b:Person>
          <b:Person>
            <b:Last>Joshi</b:Last>
            <b:First>Mahesh </b:First>
          </b:Person>
        </b:NameList>
      </b:Author>
    </b:Author>
    <b:RefOrder>1301</b:RefOrder>
  </b:Source>
  <b:Source>
    <b:Tag>Ash2022</b:Tag>
    <b:SourceType>JournalArticle</b:SourceType>
    <b:Guid>{32D452D7-1DB8-4876-BC5A-5884EAF97584}</b:Guid>
    <b:Title>Predicting collaborative consumption behaviour: a meta-analytic path analysis on the theory of planned behaviour.</b:Title>
    <b:JournalName>European Journal of Marketing</b:JournalName>
    <b:Year>2022</b:Year>
    <b:Pages>968-1013</b:Pages>
    <b:Author>
      <b:Author>
        <b:NameList>
          <b:Person>
            <b:Last>Ashaduzzaman</b:Last>
            <b:First>Md </b:First>
          </b:Person>
          <b:Person>
            <b:Last>Jebarajakirthy</b:Last>
            <b:First>Charlies</b:First>
          </b:Person>
          <b:Person>
            <b:Last>Weaven</b:Last>
            <b:Middle>k.</b:Middle>
            <b:First>Scott</b:First>
          </b:Person>
          <b:Person>
            <b:Last>Maseeh</b:Last>
            <b:Middle>Iqbal </b:Middle>
            <b:First>Haroon </b:First>
          </b:Person>
          <b:Person>
            <b:Last>Das</b:Last>
            <b:First>Manish</b:First>
          </b:Person>
          <b:Person>
            <b:Last>Pentecost </b:Last>
            <b:First>Robin </b:First>
          </b:Person>
        </b:NameList>
      </b:Author>
    </b:Author>
    <b:Month>04</b:Month>
    <b:Day>26</b:Day>
    <b:Publisher>Emerald Publishing Limited</b:Publisher>
    <b:Volume>56</b:Volume>
    <b:Issue>4</b:Issue>
    <b:YearAccessed>2023</b:YearAccessed>
    <b:MonthAccessed>03</b:MonthAccessed>
    <b:DayAccessed>20</b:DayAccessed>
    <b:DOI>https://doi.org/10.1108/EJM-07-2020-0563</b:DOI>
    <b:RefOrder>607</b:RefOrder>
  </b:Source>
  <b:Source>
    <b:Tag>Aro19</b:Tag>
    <b:SourceType>JournalArticle</b:SourceType>
    <b:Guid>{6FCA93DE-C2D7-46EA-B169-DFA9604C5FAC}</b:Guid>
    <b:Title>Empirical study on perceived value and attitude of millennials towards social media</b:Title>
    <b:JournalName>Vision: The Journal of Business Perspective</b:JournalName>
    <b:Year>2019</b:Year>
    <b:Pages>56-69</b:Pages>
    <b:Author>
      <b:Author>
        <b:NameList>
          <b:Person>
            <b:Last>Arora</b:Last>
            <b:First>Taanika </b:First>
          </b:Person>
          <b:Person>
            <b:Last>Agarwal</b:Last>
            <b:First>Bhawna </b:First>
          </b:Person>
        </b:NameList>
      </b:Author>
    </b:Author>
    <b:Month>03</b:Month>
    <b:Day>05</b:Day>
    <b:Volume>23</b:Volume>
    <b:Issue>1</b:Issue>
    <b:YearAccessed>2023</b:YearAccessed>
    <b:MonthAccessed>02</b:MonthAccessed>
    <b:DayAccessed>21</b:DayAccessed>
    <b:DOI>https://doi.org/10.1177/0972262918821248</b:DOI>
    <b:RefOrder>419</b:RefOrder>
  </b:Source>
  <b:Source>
    <b:Tag>Aro21</b:Tag>
    <b:SourceType>JournalArticle</b:SourceType>
    <b:Guid>{F2F877FE-868C-4692-B3E8-2EB981D8001E}</b:Guid>
    <b:Title>Consumer Complaining Behavior: a Paradigmatic Review</b:Title>
    <b:JournalName>Philosophy of Management volume</b:JournalName>
    <b:Year>2021</b:Year>
    <b:Pages>113-134</b:Pages>
    <b:Author>
      <b:Author>
        <b:NameList>
          <b:Person>
            <b:Last>Arora</b:Last>
            <b:Middle>Deep </b:Middle>
            <b:First>Swapan </b:First>
          </b:Person>
          <b:Person>
            <b:Last>Chakraborty </b:Last>
            <b:First>Anirban </b:First>
          </b:Person>
        </b:NameList>
      </b:Author>
    </b:Author>
    <b:Month>06</b:Month>
    <b:Volume>20</b:Volume>
    <b:YearAccessed>2023</b:YearAccessed>
    <b:MonthAccessed>02</b:MonthAccessed>
    <b:DayAccessed>09</b:DayAccessed>
    <b:DOI>https://doi.org/10.1007/s40926-020-00148-8</b:DOI>
    <b:RefOrder>733</b:RefOrder>
  </b:Source>
  <b:Source>
    <b:Tag>Aro68</b:Tag>
    <b:SourceType>BookSection</b:SourceType>
    <b:Guid>{C5F0EB10-62D2-41A7-ABEE-5AE2230463FE}</b:Guid>
    <b:Title>Dissonance theory: Progress and problems.</b:Title>
    <b:Year>1968</b:Year>
    <b:Pages>5-27</b:Pages>
    <b:City>Rand McNally, Chicago</b:City>
    <b:BookTitle>Theories of cognitive consistency: A sourcebook</b:BookTitle>
    <b:Author>
      <b:BookAuthor>
        <b:NameList>
          <b:Person>
            <b:Last>Aronson</b:Last>
            <b:First>E.</b:First>
          </b:Person>
        </b:NameList>
      </b:BookAuthor>
      <b:Author>
        <b:NameList>
          <b:Person>
            <b:Last>Aronson</b:Last>
            <b:First>E.</b:First>
          </b:Person>
        </b:NameList>
      </b:Author>
    </b:Author>
    <b:RefOrder>689</b:RefOrder>
  </b:Source>
  <b:Source>
    <b:Tag>Ara20</b:Tag>
    <b:SourceType>InternetSite</b:SourceType>
    <b:Guid>{37A9C5B7-D529-4D87-B3F3-F6C57764AA3A}</b:Guid>
    <b:Title>The Odyssey of Living Independently as a Young Adult in Egypt</b:Title>
    <b:Year>2020</b:Year>
    <b:InternetSiteTitle>Egyptian Streets</b:InternetSiteTitle>
    <b:Month>10</b:Month>
    <b:Day>20</b:Day>
    <b:URL>https://egyptianstreets.com/2020/10/20/the-odyssey-of-living-independently-as-a-young-adult-in-egypt/</b:URL>
    <b:Author>
      <b:Author>
        <b:NameList>
          <b:Person>
            <b:Last>Aravanis</b:Last>
            <b:First>Mary</b:First>
          </b:Person>
        </b:NameList>
      </b:Author>
    </b:Author>
    <b:RefOrder>1302</b:RefOrder>
  </b:Source>
  <b:Source>
    <b:Tag>Ara16</b:Tag>
    <b:SourceType>JournalArticle</b:SourceType>
    <b:Guid>{D8C44754-B40D-452D-A16B-3E221F23B168}</b:Guid>
    <b:Title>Testing a model of user-experience with news websites</b:Title>
    <b:JournalName>Journal of The Association For Information Science and Technology</b:JournalName>
    <b:Year>2016</b:Year>
    <b:Pages>1555-1575</b:Pages>
    <b:Author>
      <b:Author>
        <b:NameList>
          <b:Person>
            <b:Last>Aranyi</b:Last>
            <b:First>Gabor </b:First>
          </b:Person>
          <b:Person>
            <b:Last>Schaik</b:Last>
            <b:Middle>Van </b:Middle>
            <b:First>Paul </b:First>
          </b:Person>
        </b:NameList>
      </b:Author>
    </b:Author>
    <b:Month>07</b:Month>
    <b:Volume>67</b:Volume>
    <b:Issue>7</b:Issue>
    <b:YearAccessed>2022</b:YearAccessed>
    <b:MonthAccessed>11</b:MonthAccessed>
    <b:DayAccessed>06</b:DayAccessed>
    <b:DOI> https://doi.org/10.1002/asi.23462</b:DOI>
    <b:RefOrder>1303</b:RefOrder>
  </b:Source>
  <b:Source>
    <b:Tag>Apa171</b:Tag>
    <b:SourceType>JournalArticle</b:SourceType>
    <b:Guid>{0EACF9C3-CB0F-41FA-A5D6-24A0E70C1374}</b:Guid>
    <b:Title>Organic label's halo effect on sensory and hedonic experience of wine: A pilot study</b:Title>
    <b:JournalName>Journal of Sensory Studies</b:JournalName>
    <b:Year>2017</b:Year>
    <b:Author>
      <b:Author>
        <b:NameList>
          <b:Person>
            <b:Last>Apaolaza</b:Last>
            <b:First>Vanessa </b:First>
          </b:Person>
          <b:Person>
            <b:Last>Hartmann</b:Last>
            <b:First>Patrick</b:First>
          </b:Person>
          <b:Person>
            <b:Last>Echebarria</b:Last>
            <b:First>Carmen </b:First>
          </b:Person>
          <b:Person>
            <b:Last>Barrutia</b:Last>
            <b:Middle>M.</b:Middle>
            <b:First>Jose </b:First>
          </b:Person>
        </b:NameList>
      </b:Author>
    </b:Author>
    <b:Month>01</b:Month>
    <b:Day>30</b:Day>
    <b:Publisher>Wiley Periodicals, Inc.</b:Publisher>
    <b:Volume>32</b:Volume>
    <b:Issue>1</b:Issue>
    <b:YearAccessed>2023</b:YearAccessed>
    <b:MonthAccessed>06</b:MonthAccessed>
    <b:DayAccessed>11</b:DayAccessed>
    <b:DOI>https://doi.org/10.1111/joss.12243</b:DOI>
    <b:RefOrder>1304</b:RefOrder>
  </b:Source>
  <b:Source>
    <b:Tag>Apa17</b:Tag>
    <b:SourceType>JournalArticle</b:SourceType>
    <b:Guid>{483DA363-D64F-447C-9AAD-6FDF82B7D41A}</b:Guid>
    <b:Title>Organic label's halo effect on sensory and hedonic experience of wine: A pilot study</b:Title>
    <b:JournalName>Journal of Sensory Studies</b:JournalName>
    <b:Year>2017</b:Year>
    <b:Month>02</b:Month>
    <b:Volume>32</b:Volume>
    <b:Issue>1</b:Issue>
    <b:DOI> https://doi.org/10.1111/joss.12243</b:DOI>
    <b:Author>
      <b:Author>
        <b:NameList>
          <b:Person>
            <b:Last>Apaolaza</b:Last>
            <b:First>Vanessa </b:First>
          </b:Person>
          <b:Person>
            <b:Last>Hartmann</b:Last>
            <b:First>Patrick</b:First>
          </b:Person>
          <b:Person>
            <b:Last>Echebarria</b:Last>
            <b:First>Carmen </b:First>
          </b:Person>
          <b:Person>
            <b:Last>Barrutia</b:Last>
            <b:Middle>M.</b:Middle>
            <b:First>Jose </b:First>
          </b:Person>
        </b:NameList>
      </b:Author>
    </b:Author>
    <b:RefOrder>655</b:RefOrder>
  </b:Source>
  <b:Source>
    <b:Tag>Ans18</b:Tag>
    <b:SourceType>JournalArticle</b:SourceType>
    <b:Guid>{C2C2F925-D2EF-4600-B131-D04B84B361AE}</b:Guid>
    <b:Title>Brand image and equity: the mediating role of brand equity drivers and moderating effects of product type and word of mouth</b:Title>
    <b:JournalName>Review of Managerial Science</b:JournalName>
    <b:Year>2018</b:Year>
    <b:Pages>969-1002</b:Pages>
    <b:Author>
      <b:Author>
        <b:NameList>
          <b:Person>
            <b:Last>Ansary</b:Last>
            <b:First>Amin</b:First>
          </b:Person>
          <b:Person>
            <b:Last>Hashim </b:Last>
            <b:Middle>Hazrul Nik </b:Middle>
            <b:First>Nik M. </b:First>
          </b:Person>
        </b:NameList>
      </b:Author>
    </b:Author>
    <b:Month>10</b:Month>
    <b:YearAccessed>2023</b:YearAccessed>
    <b:MonthAccessed>05</b:MonthAccessed>
    <b:DayAccessed>17</b:DayAccessed>
    <b:DOI> https://doi.org/10.1007/s11846-017-0235-2</b:DOI>
    <b:RefOrder>52</b:RefOrder>
  </b:Source>
  <b:Source>
    <b:Tag>And20</b:Tag>
    <b:SourceType>JournalArticle</b:SourceType>
    <b:Guid>{42352BB0-8FD7-4112-804F-FFEE37B2A130}</b:Guid>
    <b:Title>The Inconvenient Truth About Convenience and Purposive Samples</b:Title>
    <b:Year>2020</b:Year>
    <b:Pages>86-88</b:Pages>
    <b:JournalName>Indian Journal of Psychological Medicine</b:JournalName>
    <b:Month>12</b:Month>
    <b:Day>17</b:Day>
    <b:Volume>43</b:Volume>
    <b:Issue>1</b:Issue>
    <b:YearAccessed>2022</b:YearAccessed>
    <b:MonthAccessed>10</b:MonthAccessed>
    <b:DayAccessed>29</b:DayAccessed>
    <b:DOI>https://doi.org/10.1177/0253717620977000</b:DOI>
    <b:Author>
      <b:Author>
        <b:NameList>
          <b:Person>
            <b:Last>Andrade </b:Last>
            <b:First>Chittaranjan </b:First>
          </b:Person>
        </b:NameList>
      </b:Author>
    </b:Author>
    <b:RefOrder>291</b:RefOrder>
  </b:Source>
  <b:Source>
    <b:Tag>Ame19</b:Tag>
    <b:SourceType>JournalArticle</b:SourceType>
    <b:Guid>{B0D2867C-3C85-467E-A4B8-296484FF7FCB}</b:Guid>
    <b:Title>Purposive sampling in a qualitative evidence synthesis: a worked example from a synthesis on parental perceptions of vaccination communication</b:Title>
    <b:JournalName>BMC Medical Research Methodology</b:JournalName>
    <b:Year>2019</b:Year>
    <b:Author>
      <b:Author>
        <b:NameList>
          <b:Person>
            <b:Last>Ames</b:Last>
            <b:First>Heather </b:First>
          </b:Person>
          <b:Person>
            <b:Last>Glenton</b:Last>
            <b:First>Claire </b:First>
          </b:Person>
          <b:Person>
            <b:Last>Lewin </b:Last>
            <b:First>Simon </b:First>
          </b:Person>
        </b:NameList>
      </b:Author>
    </b:Author>
    <b:Month>01</b:Month>
    <b:Day>31</b:Day>
    <b:Volume>19</b:Volume>
    <b:YearAccessed>2022</b:YearAccessed>
    <b:MonthAccessed>10</b:MonthAccessed>
    <b:DayAccessed>29</b:DayAccessed>
    <b:DOI>https://doi.org/10.1186/s12874-019-0665-4</b:DOI>
    <b:RefOrder>871</b:RefOrder>
  </b:Source>
  <b:Source>
    <b:Tag>Alw14</b:Tag>
    <b:SourceType>JournalArticle</b:SourceType>
    <b:Guid>{BB30C134-C537-4A9C-9C81-E89EB4F2AA49}</b:Guid>
    <b:Title>Projecting corporate brand image and behavioral response in business schools: Cognitive or affective brand attributes?</b:Title>
    <b:JournalName>Journal of Business Research</b:JournalName>
    <b:Year>2014</b:Year>
    <b:Pages>2324-2336</b:Pages>
    <b:Month>07</b:Month>
    <b:Day>02</b:Day>
    <b:Volume>67</b:Volume>
    <b:Issue>11</b:Issue>
    <b:YearAccessed>2023</b:YearAccessed>
    <b:MonthAccessed>05</b:MonthAccessed>
    <b:DayAccessed>29</b:DayAccessed>
    <b:DOI>https://doi.org/10.1016/j.jbusres.2014.06.020</b:DOI>
    <b:Author>
      <b:Author>
        <b:NameList>
          <b:Person>
            <b:Last>Alwi</b:Last>
            <b:Middle>Faridah Syed </b:Middle>
            <b:First>Sharifah </b:First>
          </b:Person>
          <b:Person>
            <b:Last>Kitchen</b:Last>
            <b:Middle>J.</b:Middle>
            <b:First>Philip </b:First>
          </b:Person>
        </b:NameList>
      </b:Author>
    </b:Author>
    <b:RefOrder>1305</b:RefOrder>
  </b:Source>
  <b:Source>
    <b:Tag>Alv20</b:Tag>
    <b:SourceType>JournalArticle</b:SourceType>
    <b:Guid>{E4D5AC95-4AA3-4172-9CE6-3FA461474F61}</b:Guid>
    <b:Title>Corporate Social Responsibility Shaping Electronic Word of Mouth &amp; Attitude toward the Brand</b:Title>
    <b:JournalName>Elementary Education Online</b:JournalName>
    <b:Year>2020</b:Year>
    <b:Pages>4174 - 4183</b:Pages>
    <b:Volume>19</b:Volume>
    <b:Issue>04</b:Issue>
    <b:YearAccessed>2022</b:YearAccessed>
    <b:MonthAccessed>10</b:MonthAccessed>
    <b:DayAccessed>06</b:DayAccessed>
    <b:DOI>doi: 10.17051/ilkonline.2020.04.764825</b:DOI>
    <b:Author>
      <b:Author>
        <b:NameList>
          <b:Person>
            <b:Last>Alvi</b:Last>
            <b:First>Abdul Khaliq </b:First>
          </b:Person>
          <b:Person>
            <b:Last>Ullah</b:Last>
            <b:Middle>Niamat </b:Middle>
            <b:First>Muhammad </b:First>
          </b:Person>
          <b:Person>
            <b:Last>Shafaat</b:Last>
            <b:First>Zainab </b:First>
          </b:Person>
          <b:Person>
            <b:Last>Siddique</b:Last>
            <b:Middle>Abubakar </b:Middle>
            <b:First>Muhammad </b:First>
          </b:Person>
          <b:Person>
            <b:Last>Ur Rehman</b:Last>
            <b:First>Khalil </b:First>
          </b:Person>
        </b:NameList>
      </b:Author>
    </b:Author>
    <b:RefOrder>1306</b:RefOrder>
  </b:Source>
  <b:Source>
    <b:Tag>Alv03</b:Tag>
    <b:SourceType>JournalArticle</b:SourceType>
    <b:Guid>{E6BB531D-3310-477C-8AFD-CE4B79D7984F}</b:Guid>
    <b:Title>Methodology for close up studies – struggling with closeness and closure</b:Title>
    <b:JournalName>Higher Education</b:JournalName>
    <b:Year>2003</b:Year>
    <b:Pages>167-193</b:Pages>
    <b:Author>
      <b:Author>
        <b:NameList>
          <b:Person>
            <b:Last>Alvesson </b:Last>
            <b:First>Mats </b:First>
          </b:Person>
        </b:NameList>
      </b:Author>
    </b:Author>
    <b:Volume>46</b:Volume>
    <b:YearAccessed>2022</b:YearAccessed>
    <b:MonthAccessed>11</b:MonthAccessed>
    <b:DayAccessed>11</b:DayAccessed>
    <b:DOI>https://doi.org/10.1023/A:1024716513774</b:DOI>
    <b:RefOrder>894</b:RefOrder>
  </b:Source>
  <b:Source>
    <b:Tag>AlS19</b:Tag>
    <b:SourceType>JournalArticle</b:SourceType>
    <b:Guid>{131E2500-9E4F-43E5-B14B-3454598FE008}</b:Guid>
    <b:Title>CEO narcissism and corporate social responsibility: Does CEO narcissism affect CSR focus?</b:Title>
    <b:JournalName>Journal of Business Research</b:JournalName>
    <b:Year>2019</b:Year>
    <b:Pages>106-117</b:Pages>
    <b:Month>11</b:Month>
    <b:Volume>104</b:Volume>
    <b:YearAccessed>2023</b:YearAccessed>
    <b:MonthAccessed>02</b:MonthAccessed>
    <b:DayAccessed>03</b:DayAccessed>
    <b:DOI>https://doi.org/10.1016/j.jbusres.2019.07.005</b:DOI>
    <b:Author>
      <b:Author>
        <b:NameList>
          <b:Person>
            <b:Last>Al-Shammari </b:Last>
            <b:First>Marwan </b:First>
          </b:Person>
          <b:Person>
            <b:Last>Rasheed</b:Last>
            <b:First>Abdul </b:First>
          </b:Person>
          <b:Person>
            <b:Last>Al-Shammari</b:Last>
            <b:Middle>A.</b:Middle>
            <b:First>Hussam </b:First>
          </b:Person>
        </b:NameList>
      </b:Author>
    </b:Author>
    <b:RefOrder>98</b:RefOrder>
  </b:Source>
  <b:Source>
    <b:Tag>Alm19</b:Tag>
    <b:SourceType>JournalArticle</b:SourceType>
    <b:Guid>{68FACF0E-4864-42E3-AAC2-E9AAA3847F21}</b:Guid>
    <b:Title>The Antecedents of Corporate Reputation and Image and Their Impacts on Employee Commitment and Performance: The Moderating Role of CSR</b:Title>
    <b:JournalName>Corporate Reputation Review</b:JournalName>
    <b:Year>2019</b:Year>
    <b:Pages>10-25</b:Pages>
    <b:Month>02</b:Month>
    <b:Day>11</b:Day>
    <b:Volume>22</b:Volume>
    <b:Issue>1</b:Issue>
    <b:YearAccessed>2023</b:YearAccessed>
    <b:MonthAccessed>02</b:MonthAccessed>
    <b:DayAccessed>18</b:DayAccessed>
    <b:DOI>https://doi.org/10.1057/s41299-018-0053-8</b:DOI>
    <b:Author>
      <b:Author>
        <b:NameList>
          <b:Person>
            <b:Last>Almeida</b:Last>
            <b:Middle> Marques Casimiro </b:Middle>
            <b:First>Maria da Graça</b:First>
          </b:Person>
          <b:Person>
            <b:Last>Coelho </b:Last>
            <b:Middle>Fernandes Matos </b:Middle>
            <b:First>Arnaldo </b:First>
          </b:Person>
        </b:NameList>
      </b:Author>
    </b:Author>
    <b:RefOrder>221</b:RefOrder>
  </b:Source>
  <b:Source>
    <b:Tag>Alk22</b:Tag>
    <b:SourceType>JournalArticle</b:SourceType>
    <b:Guid>{2F17B63E-5384-467A-BCE2-606B7581C0C0}</b:Guid>
    <b:Title>Is the Stealth Marketing an Element of Promotion Mix? A Review of the Techniques</b:Title>
    <b:JournalName>Webology</b:JournalName>
    <b:Year>2022</b:Year>
    <b:Month>01</b:Month>
    <b:Volume>19</b:Volume>
    <b:Issue>01</b:Issue>
    <b:YearAccessed>2022</b:YearAccessed>
    <b:MonthAccessed>10</b:MonthAccessed>
    <b:DayAccessed>01</b:DayAccessed>
    <b:URL>https://www.researchgate.net/publication/358424450_Is_the_Stealth_Marketing_an_Element_of_Promotion_Mix_A_Review_of_the_Techniques</b:URL>
    <b:Author>
      <b:Author>
        <b:NameList>
          <b:Person>
            <b:Last>Alkhafagi</b:Last>
            <b:Middle>Adil Mahmood </b:Middle>
            <b:First>Yasir </b:First>
          </b:Person>
          <b:Person>
            <b:Last>Alsiede</b:Last>
            <b:First>Yarub </b:First>
          </b:Person>
        </b:NameList>
      </b:Author>
    </b:Author>
    <b:RefOrder>6</b:RefOrder>
  </b:Source>
  <b:Source>
    <b:Tag>Alk18</b:Tag>
    <b:SourceType>Book</b:SourceType>
    <b:Guid>{66B95FB7-5C74-40D2-BA03-B03CC3E7D566}</b:Guid>
    <b:Title>Entrepreneurship in the Middle East and North Africa: how investors can support and enable growth</b:Title>
    <b:Year>2018</b:Year>
    <b:Publisher>Digital Mckinsey</b:Publisher>
    <b:Author>
      <b:Author>
        <b:NameList>
          <b:Person>
            <b:Last>Alkasmi</b:Last>
            <b:Middle>J.</b:Middle>
            <b:First>Ahmad </b:First>
          </b:Person>
          <b:Person>
            <b:Last>El Hamamsy</b:Last>
            <b:First>Omar </b:First>
          </b:Person>
          <b:Person>
            <b:Last>Khoury</b:Last>
            <b:First>Luay </b:First>
          </b:Person>
          <b:Person>
            <b:Last>Syed</b:Last>
            <b:First>Abdur-Rahim </b:First>
          </b:Person>
        </b:NameList>
      </b:Author>
    </b:Author>
    <b:YearAccessed>2023</b:YearAccessed>
    <b:MonthAccessed>02</b:MonthAccessed>
    <b:DayAccessed>18</b:DayAccessed>
    <b:URL>https://www.mckinsey.com/~/media/mckinsey/featured%20insights/middle%20east%20and%20africa/how%20investors%20can%20support%20entrepreneurship%20in%20the%20middle%20east%20and%20north%20africa/mena%20entrepreneurship%20article-final%20version-for%20viewing</b:URL>
    <b:RefOrder>195</b:RefOrder>
  </b:Source>
  <b:Source>
    <b:Tag>Ali18</b:Tag>
    <b:SourceType>JournalArticle</b:SourceType>
    <b:Guid>{C28D0328-F175-4494-9A4F-1A187FDC37F4}</b:Guid>
    <b:Title>Antecedents of consumers’ Halal brand purchase intention: an integrated approach</b:Title>
    <b:JournalName>Management Decision</b:JournalName>
    <b:Year>2018</b:Year>
    <b:Pages>715-735</b:Pages>
    <b:Author>
      <b:Author>
        <b:NameList>
          <b:Person>
            <b:Last>Ali</b:Last>
            <b:First>Afzaal </b:First>
          </b:Person>
          <b:Person>
            <b:Last>Xiaoling</b:Last>
            <b:First>Guo </b:First>
          </b:Person>
          <b:Person>
            <b:Last>Sherwani</b:Last>
            <b:First>Mehkar </b:First>
          </b:Person>
          <b:Person>
            <b:Last>Ali</b:Last>
            <b:First>Adnan</b:First>
          </b:Person>
        </b:NameList>
      </b:Author>
    </b:Author>
    <b:Month>02</b:Month>
    <b:Day>14</b:Day>
    <b:Volume>56</b:Volume>
    <b:YearAccessed>2022</b:YearAccessed>
    <b:MonthAccessed>10</b:MonthAccessed>
    <b:DayAccessed>07</b:DayAccessed>
    <b:URL>https://doi.org/10.1108/MD-11-2016-0785</b:URL>
    <b:RefOrder>1307</b:RefOrder>
  </b:Source>
  <b:Source>
    <b:Tag>Alh20</b:Tag>
    <b:SourceType>JournalArticle</b:SourceType>
    <b:Guid>{35471DDD-71ED-45DF-96A8-48002AF67D91}</b:Guid>
    <b:Title>A Review of key paradigms: positivism VS interpretivism</b:Title>
    <b:JournalName>Global Academic Journal of Humanities and Social Sciences</b:JournalName>
    <b:Year>2020</b:Year>
    <b:Pages>39-43</b:Pages>
    <b:Volume>2</b:Volume>
    <b:Issue>3</b:Issue>
    <b:YearAccessed>2023</b:YearAccessed>
    <b:MonthAccessed>02</b:MonthAccessed>
    <b:DayAccessed>09</b:DayAccessed>
    <b:DOI>10.36348/gajhss.2020.v02i03.001</b:DOI>
    <b:Author>
      <b:Author>
        <b:NameList>
          <b:Person>
            <b:Last>Alharahsheh</b:Last>
            <b:Middle>Helmi </b:Middle>
            <b:First>Husam </b:First>
          </b:Person>
          <b:Person>
            <b:Last>Pius</b:Last>
            <b:First>Abraham </b:First>
          </b:Person>
        </b:NameList>
      </b:Author>
    </b:Author>
    <b:RefOrder>136</b:RefOrder>
  </b:Source>
  <b:Source>
    <b:Tag>Alf18</b:Tag>
    <b:SourceType>JournalArticle</b:SourceType>
    <b:Guid>{E0C910EF-6CFE-4A47-B268-DC45B2545BBF}</b:Guid>
    <b:Title>Young Saudi consumers and corporate social responsibility: an Islamic “CSR tree” model</b:Title>
    <b:JournalName>International Journal of Social Economics</b:JournalName>
    <b:Year>2018</b:Year>
    <b:Pages>1570-1589</b:Pages>
    <b:Author>
      <b:Author>
        <b:NameList>
          <b:Person>
            <b:Last>Alfakhri</b:Last>
            <b:First>Yazeed </b:First>
          </b:Person>
          <b:Person>
            <b:Last>Nurunnabi</b:Last>
            <b:First>Mohammad </b:First>
          </b:Person>
          <b:Person>
            <b:Last>Alfakhri </b:Last>
            <b:First>Demah </b:First>
          </b:Person>
        </b:NameList>
      </b:Author>
    </b:Author>
    <b:Month>08</b:Month>
    <b:Day>7</b:Day>
    <b:Volume>45</b:Volume>
    <b:Issue>12</b:Issue>
    <b:YearAccessed>2022</b:YearAccessed>
    <b:MonthAccessed>12</b:MonthAccessed>
    <b:DayAccessed>3</b:DayAccessed>
    <b:URL>https://doi-org.lsbu.idm.oclc.org/10.1108/IJSE-09-2017-0395</b:URL>
    <b:RefOrder>471</b:RefOrder>
  </b:Source>
  <b:Source>
    <b:Tag>Alc15</b:Tag>
    <b:SourceType>JournalArticle</b:SourceType>
    <b:Guid>{B0677604-6D42-4690-AB71-B50EC2CB39C1}</b:Guid>
    <b:Title>Media Consumer Survey 2015</b:Title>
    <b:JournalName>Australian media and digital preferences</b:JournalName>
    <b:Year>2015</b:Year>
    <b:Volume>4th</b:Volume>
    <b:YearAccessed>2023</b:YearAccessed>
    <b:MonthAccessed>02</b:MonthAccessed>
    <b:DayAccessed>21</b:DayAccessed>
    <b:URL>https://www2.deloitte.com/content/dam/Deloitte/au/Documents/technology-media-telecommunications/deloitte-au-tmt-media-consumer-survey-2015-100815.pdf</b:URL>
    <b:Author>
      <b:Author>
        <b:NameList>
          <b:Person>
            <b:Last>Alcorn</b:Last>
            <b:First>N</b:First>
          </b:Person>
          <b:Person>
            <b:Last>Buchanan</b:Last>
            <b:First>L</b:First>
          </b:Person>
          <b:Person>
            <b:Last>Smith</b:Last>
            <b:First>J.</b:First>
          </b:Person>
          <b:Person>
            <b:Last>Gregory </b:Last>
            <b:First>L.</b:First>
          </b:Person>
        </b:NameList>
      </b:Author>
    </b:Author>
    <b:RefOrder>436</b:RefOrder>
  </b:Source>
  <b:Source>
    <b:Tag>Alb17</b:Tag>
    <b:SourceType>JournalArticle</b:SourceType>
    <b:Guid>{F9E8CC8E-43EA-433C-8B48-7715178FF69F}</b:Guid>
    <b:Title>Corporate Social Responsibility: The Effect Of Green Practices In A Service Recovery</b:Title>
    <b:JournalName>Journal of Hospitality &amp; Tourism Research</b:JournalName>
    <b:Year>2017</b:Year>
    <b:Pages>41-65</b:Pages>
    <b:Volume>41</b:Volume>
    <b:Issue>1</b:Issue>
    <b:YearAccessed>2023</b:YearAccessed>
    <b:MonthAccessed>03</b:MonthAccessed>
    <b:DayAccessed>07</b:DayAccessed>
    <b:DOI>https://doi.org/10.1177/1096348013515915</b:DOI>
    <b:Author>
      <b:Author>
        <b:NameList>
          <b:Person>
            <b:Last>Albus</b:Last>
            <b:First>Heidi </b:First>
          </b:Person>
          <b:Person>
            <b:Last>Ro</b:Last>
            <b:First>Heejung </b:First>
          </b:Person>
        </b:NameList>
      </b:Author>
    </b:Author>
    <b:RefOrder>660</b:RefOrder>
  </b:Source>
  <b:Source>
    <b:Tag>Alb20</b:Tag>
    <b:SourceType>JournalArticle</b:SourceType>
    <b:Guid>{14E89DAC-A947-43D4-92E8-46E8DB5030F9}</b:Guid>
    <b:Title>Investigating the sustainability habitus: insights from Aramex’s sustainability practices and reports</b:Title>
    <b:JournalName>Meditari Accountancy Research</b:JournalName>
    <b:Year>2020</b:Year>
    <b:Pages>477-501</b:Pages>
    <b:Volume>29</b:Volume>
    <b:Issue>3</b:Issue>
    <b:Month>12</b:Month>
    <b:Day>03</b:Day>
    <b:Publisher>Emerald Publishing Limited</b:Publisher>
    <b:YearAccessed>2022</b:YearAccessed>
    <b:MonthAccessed>12</b:MonthAccessed>
    <b:DayAccessed>07</b:DayAccessed>
    <b:URL>https://doi.org/10.1108/MEDAR-08-2019-0545</b:URL>
    <b:Author>
      <b:Author>
        <b:NameList>
          <b:Person>
            <b:Last>Alberti-Alhtaybat</b:Last>
            <b:Middle>von</b:Middle>
            <b:First>Larissa  </b:First>
          </b:Person>
          <b:Person>
            <b:Last>Alhatabat</b:Last>
            <b:First>Zaidoon </b:First>
          </b:Person>
          <b:Person>
            <b:Last>Al-Htaybat</b:Last>
            <b:First>Khaldoon  </b:First>
          </b:Person>
        </b:NameList>
      </b:Author>
    </b:Author>
    <b:RefOrder>477</b:RefOrder>
  </b:Source>
  <b:Source>
    <b:Tag>Ala20</b:Tag>
    <b:SourceType>JournalArticle</b:SourceType>
    <b:Guid>{482D7008-12D8-4CAE-82E3-381791C31B69}</b:Guid>
    <b:Title>Corporate social responsibility impacts on Palestinian and Jordanian consumer purchasing</b:Title>
    <b:JournalName>International Journal of Organizational Analysis</b:JournalName>
    <b:Year>2020</b:Year>
    <b:Pages>891-919</b:Pages>
    <b:Author>
      <b:Author>
        <b:NameList>
          <b:Person>
            <b:Last>Alawamleh</b:Last>
            <b:First>Mohammad </b:First>
          </b:Person>
          <b:Person>
            <b:Last>Giacaman</b:Last>
            <b:First>Saro </b:First>
          </b:Person>
        </b:NameList>
      </b:Author>
    </b:Author>
    <b:Month>09</b:Month>
    <b:Day>23</b:Day>
    <b:Volume>29</b:Volume>
    <b:Issue>4</b:Issue>
    <b:YearAccessed>2022</b:YearAccessed>
    <b:MonthAccessed>12</b:MonthAccessed>
    <b:DayAccessed>02</b:DayAccessed>
    <b:URL>https://doi.org/10.1108/IJOA-03-2020-2109</b:URL>
    <b:RefOrder>469</b:RefOrder>
  </b:Source>
  <b:Source>
    <b:Tag>Ala201</b:Tag>
    <b:SourceType>JournalArticle</b:SourceType>
    <b:Guid>{FF0E15E6-0C86-43F5-836C-1D99448B8474}</b:Guid>
    <b:Title>Chi-square for model fit in confirmatory factor analysis</b:Title>
    <b:JournalName>Leading Global Nursing Research</b:JournalName>
    <b:Year>2020</b:Year>
    <b:Pages>2209-2211</b:Pages>
    <b:Volume>76</b:Volume>
    <b:Issue>9</b:Issue>
    <b:Month>09</b:Month>
    <b:YearAccessed>2023</b:YearAccessed>
    <b:MonthAccessed>01</b:MonthAccessed>
    <b:DayAccessed>24</b:DayAccessed>
    <b:DOI>https://doi.org/10.1111/jan.14399</b:DOI>
    <b:Author>
      <b:Author>
        <b:NameList>
          <b:Person>
            <b:Last>Alavi</b:Last>
            <b:First>Mousa </b:First>
          </b:Person>
          <b:Person>
            <b:Last>Visentin</b:Last>
            <b:Middle>C.</b:Middle>
            <b:First>Denis </b:First>
          </b:Person>
          <b:Person>
            <b:Last>Thapa</b:Last>
            <b:Middle>K.</b:Middle>
            <b:First>Deependra </b:First>
          </b:Person>
          <b:Person>
            <b:Last> Hunt</b:Last>
            <b:Middle>E.</b:Middle>
            <b:First>Glenn </b:First>
          </b:Person>
          <b:Person>
            <b:Last>Watson</b:Last>
            <b:First>Roger</b:First>
          </b:Person>
          <b:Person>
            <b:Last>Clearly</b:Last>
            <b:First>Michelle</b:First>
          </b:Person>
        </b:NameList>
      </b:Author>
    </b:Author>
    <b:RefOrder>977</b:RefOrder>
  </b:Source>
  <b:Source>
    <b:Tag>AlA18</b:Tag>
    <b:SourceType>JournalArticle</b:SourceType>
    <b:Guid>{7B96F619-4F7B-43DA-B1BA-A32FE36B5B64}</b:Guid>
    <b:Title>Researching Corporate Social Responsibility in the Middle East: The Current State and Future Directions</b:Title>
    <b:Year>2018</b:Year>
    <b:Month>02</b:Month>
    <b:JournalName>Corporate Social Responsibility and Environmental Management.</b:JournalName>
    <b:Pages>47-65</b:Pages>
    <b:Author>
      <b:Author>
        <b:NameList>
          <b:Person>
            <b:Last>Al-Abdin</b:Last>
            <b:First>A</b:First>
          </b:Person>
          <b:Person>
            <b:Last>Roy</b:Last>
            <b:First>T</b:First>
          </b:Person>
          <b:Person>
            <b:Last>Nicholson</b:Last>
            <b:Middle>D.</b:Middle>
            <b:First>J.</b:First>
          </b:Person>
        </b:NameList>
      </b:Author>
    </b:Author>
    <b:Publisher>John Wiley and Sons Ltd</b:Publisher>
    <b:Volume>25</b:Volume>
    <b:Issue>1</b:Issue>
    <b:YearAccessed>2022</b:YearAccessed>
    <b:MonthAccessed>12</b:MonthAccessed>
    <b:DayAccessed>03</b:DayAccessed>
    <b:DOI>10.1002/csr.1439</b:DOI>
    <b:RefOrder>470</b:RefOrder>
  </b:Source>
  <b:Source>
    <b:Tag>AlM19</b:Tag>
    <b:SourceType>JournalArticle</b:SourceType>
    <b:Guid>{6226410B-FFC8-4897-96D4-51FF691DCFA8}</b:Guid>
    <b:Title>Impact of corporate social responsibility on bank’s corporate image</b:Title>
    <b:JournalName>Social Responsibility Journal</b:JournalName>
    <b:Year>2019</b:Year>
    <b:Pages>710-722</b:Pages>
    <b:Month>08</b:Month>
    <b:Day>05</b:Day>
    <b:Volume>15</b:Volume>
    <b:Issue>5</b:Issue>
    <b:YearAccessed>2022</b:YearAccessed>
    <b:MonthAccessed>12</b:MonthAccessed>
    <b:DayAccessed>02</b:DayAccessed>
    <b:URL>https://doi.org/10.1108/SRJ-01-2018-0015</b:URL>
    <b:Author>
      <b:Author>
        <b:NameList>
          <b:Person>
            <b:Last>Al Mubarak</b:Last>
            <b:First>Zainab </b:First>
          </b:Person>
          <b:Person>
            <b:Last>Ben Hamed</b:Last>
            <b:First>Anji </b:First>
          </b:Person>
          <b:Person>
            <b:Last>Al Mubarak </b:Last>
            <b:First>Muneer </b:First>
          </b:Person>
        </b:NameList>
      </b:Author>
    </b:Author>
    <b:RefOrder>472</b:RefOrder>
  </b:Source>
  <b:Source>
    <b:Tag>AlH12</b:Tag>
    <b:SourceType>JournalArticle</b:SourceType>
    <b:Guid>{55CC9223-614D-4039-AB1D-2AD4ED8CEEAD}</b:Guid>
    <b:Title>Thematic analysis: A critical review of its process and evaluation</b:Title>
    <b:JournalName>West East Journal of Social Sciences</b:JournalName>
    <b:Year>2012</b:Year>
    <b:Pages>39-47</b:Pages>
    <b:Volume>1</b:Volume>
    <b:Issue>1</b:Issue>
    <b:Author>
      <b:Author>
        <b:NameList>
          <b:Person>
            <b:Last>Al Hojailan</b:Last>
            <b:Middle>I.</b:Middle>
            <b:First>M.</b:First>
          </b:Person>
        </b:NameList>
      </b:Author>
    </b:Author>
    <b:RefOrder>1308</b:RefOrder>
  </b:Source>
  <b:Source>
    <b:Tag>Akr17</b:Tag>
    <b:SourceType>JournalArticle</b:SourceType>
    <b:Guid>{886C1618-38AF-4737-AE01-9A8D527B6570}</b:Guid>
    <b:Title>Online Impulse Buying on “Double Eleven” Shopping Festival: An Empirical Investigation of Utilitarian and Hedonic Motivations.</b:Title>
    <b:JournalName>Proceedings of the Eleventh International Conference on Management Science and Engineering Management</b:JournalName>
    <b:Year>2017</b:Year>
    <b:Pages>680-692</b:Pages>
    <b:City>Cham, Switzerland,</b:City>
    <b:Publisher>Springer</b:Publisher>
    <b:YearAccessed>2023</b:YearAccessed>
    <b:MonthAccessed>03</b:MonthAccessed>
    <b:DayAccessed>05</b:DayAccessed>
    <b:Author>
      <b:Author>
        <b:NameList>
          <b:Person>
            <b:Last>Akram </b:Last>
            <b:First>U</b:First>
          </b:Person>
          <b:Person>
            <b:Last>Hui</b:Last>
            <b:First>P</b:First>
          </b:Person>
          <b:Person>
            <b:Last>Khan</b:Last>
            <b:Middle>K.</b:Middle>
            <b:First>M.</b:First>
          </b:Person>
          <b:Person>
            <b:Last>Hashim</b:Last>
            <b:First>M,</b:First>
          </b:Person>
          <b:Person>
            <b:Last>Qiu</b:Last>
            <b:First>Y</b:First>
          </b:Person>
          <b:Person>
            <b:Last>Zhang</b:Last>
            <b:First>Y</b:First>
          </b:Person>
        </b:NameList>
      </b:Author>
    </b:Author>
    <b:RefOrder>531</b:RefOrder>
  </b:Source>
  <b:Source>
    <b:Tag>Ajz86</b:Tag>
    <b:SourceType>JournalArticle</b:SourceType>
    <b:Guid>{CFF5F48D-8095-4BB0-880D-BDB14104011B}</b:Guid>
    <b:Title>Prediction of goal-directed behavior: Attitudes, intentions, and perceived behavioral control</b:Title>
    <b:JournalName>Journal of Experimental Social Psychology</b:JournalName>
    <b:Year>1986</b:Year>
    <b:Pages>453-474</b:Pages>
    <b:Month>09</b:Month>
    <b:Volume>22</b:Volume>
    <b:Issue>5</b:Issue>
    <b:YearAccessed>2023</b:YearAccessed>
    <b:MonthAccessed>03</b:MonthAccessed>
    <b:DayAccessed>17</b:DayAccessed>
    <b:DOI>https://doi.org/10.1016/0022-1031(86)90045-4</b:DOI>
    <b:Author>
      <b:Author>
        <b:NameList>
          <b:Person>
            <b:Last>Ajzen</b:Last>
            <b:First>Icek </b:First>
          </b:Person>
          <b:Person>
            <b:Last>Madden</b:Last>
            <b:Middle>J</b:Middle>
            <b:First>Thomas </b:First>
          </b:Person>
        </b:NameList>
      </b:Author>
    </b:Author>
    <b:RefOrder>570</b:RefOrder>
  </b:Source>
  <b:Source>
    <b:Tag>Ajz80</b:Tag>
    <b:SourceType>JournalArticle</b:SourceType>
    <b:Guid>{96893665-13B2-49B8-99F8-3D7DA7F4E69E}</b:Guid>
    <b:Title>Understanding attitudes and predicting social behaviour</b:Title>
    <b:Year>1980</b:Year>
    <b:Author>
      <b:Author>
        <b:NameList>
          <b:Person>
            <b:Last>Ajzen</b:Last>
            <b:First>Icek</b:First>
          </b:Person>
          <b:Person>
            <b:Last>Fishbein</b:Last>
            <b:First>M.</b:First>
          </b:Person>
        </b:NameList>
      </b:Author>
    </b:Author>
    <b:RefOrder>567</b:RefOrder>
  </b:Source>
  <b:Source>
    <b:Tag>Ice15</b:Tag>
    <b:SourceType>JournalArticle</b:SourceType>
    <b:Guid>{918E8309-3ACB-4CFB-9F90-E91A72B8E59D}</b:Guid>
    <b:Title>The theory of planned behaviour is alive and well, and not ready to retire: a commentary on Sniehotta, Presseau, and Araújo-Soares</b:Title>
    <b:JournalName>Health Psychology Review</b:JournalName>
    <b:Year>2015</b:Year>
    <b:Pages>131-137</b:Pages>
    <b:Author>
      <b:Author>
        <b:NameList>
          <b:Person>
            <b:Last>Ajzen</b:Last>
            <b:First>Icek</b:First>
          </b:Person>
        </b:NameList>
      </b:Author>
    </b:Author>
    <b:Volume>9</b:Volume>
    <b:Issue>2</b:Issue>
    <b:YearAccessed>2023</b:YearAccessed>
    <b:MonthAccessed>03</b:MonthAccessed>
    <b:DayAccessed>17</b:DayAccessed>
    <b:DOI>https://doi.org/10.1080/17437199.2014.883474</b:DOI>
    <b:RefOrder>580</b:RefOrder>
  </b:Source>
  <b:Source>
    <b:Tag>Ajz88</b:Tag>
    <b:SourceType>Book</b:SourceType>
    <b:Guid>{CA51805F-B7A5-42D1-8E66-9FEB54D9F4E0}</b:Guid>
    <b:Title>Attitudes, personality, and behavior.</b:Title>
    <b:Year>1988</b:Year>
    <b:Author>
      <b:Author>
        <b:NameList>
          <b:Person>
            <b:Last>Ajzen</b:Last>
            <b:First>Icek</b:First>
          </b:Person>
        </b:NameList>
      </b:Author>
    </b:Author>
    <b:RefOrder>558</b:RefOrder>
  </b:Source>
  <b:Source>
    <b:Tag>Ajz91</b:Tag>
    <b:SourceType>JournalArticle</b:SourceType>
    <b:Guid>{1AD3C178-E5C2-4EF1-BD74-9F5331A7EC65}</b:Guid>
    <b:Title>The theory of planned behaviour</b:Title>
    <b:JournalName>Organizational Behavior and Human Decision Processes</b:JournalName>
    <b:Year>1991</b:Year>
    <b:Pages>179-211</b:Pages>
    <b:Volume>50</b:Volume>
    <b:Issue>02</b:Issue>
    <b:Author>
      <b:Author>
        <b:NameList>
          <b:Person>
            <b:Last>Ajzen</b:Last>
            <b:First>I</b:First>
          </b:Person>
        </b:NameList>
      </b:Author>
    </b:Author>
    <b:RefOrder>554</b:RefOrder>
  </b:Source>
  <b:Source>
    <b:Tag>Aji20</b:Tag>
    <b:SourceType>JournalArticle</b:SourceType>
    <b:Guid>{1D56D58E-1CD2-4E8C-9811-7AA5995E3921}</b:Guid>
    <b:Title>Enhancing brand value using corporate social responsibility initiatives: Evidence from financial services brands in Saudi Arabia</b:Title>
    <b:JournalName>Qualitative Market Research</b:JournalName>
    <b:Year>2020</b:Year>
    <b:Pages>575-602</b:Pages>
    <b:Author>
      <b:Author>
        <b:NameList>
          <b:Person>
            <b:Last>Ajina</b:Last>
            <b:Middle>Suhail </b:Middle>
            <b:First>Ahmed </b:First>
          </b:Person>
          <b:Person>
            <b:Last>Roy</b:Last>
            <b:First>Sanjit </b:First>
          </b:Person>
          <b:Person>
            <b:Last>Nguyen</b:Last>
            <b:First>Bang </b:First>
          </b:Person>
          <b:Person>
            <b:Last>Japutra</b:Last>
            <b:First>Arnold </b:First>
          </b:Person>
          <b:Person>
            <b:Last>Al-Hajla</b:Last>
            <b:Middle>Homaid </b:Middle>
            <b:First>Ali </b:First>
          </b:Person>
        </b:NameList>
      </b:Author>
    </b:Author>
    <b:Month>12</b:Month>
    <b:Day>11</b:Day>
    <b:Volume>23</b:Volume>
    <b:Issue>4</b:Issue>
    <b:YearAccessed>2022</b:YearAccessed>
    <b:MonthAccessed>12</b:MonthAccessed>
    <b:DayAccessed>02</b:DayAccessed>
    <b:URL>https://doi-org.lsbu.idm.oclc.org/10.1108/QMR-11-2017-0145</b:URL>
    <b:RefOrder>468</b:RefOrder>
  </b:Source>
  <b:Source>
    <b:Tag>Ahm21</b:Tag>
    <b:SourceType>JournalArticle</b:SourceType>
    <b:Guid>{D22332E6-4FDD-4779-9935-1600BF9F161F}</b:Guid>
    <b:Title>Comparison of knowledge, attitude, socioeconomic burden, and mental health disorders of COVID-19 pandemic between general population and health care workers in Egypt</b:Title>
    <b:Year>2021</b:Year>
    <b:JournalName>Egypt J Neurol Psychiatr Neurosurg</b:JournalName>
    <b:Pages>25</b:Pages>
    <b:Volume>57</b:Volume>
    <b:Issue>1</b:Issue>
    <b:YearAccessed>2023</b:YearAccessed>
    <b:MonthAccessed>08</b:MonthAccessed>
    <b:DayAccessed>15</b:DayAccessed>
    <b:DOI>10.1186/s41983-021-00280-w. Epub 2021</b:DOI>
    <b:Author>
      <b:Author>
        <b:NameList>
          <b:Person>
            <b:Last>Ahmed</b:Last>
            <b:Middle>K.</b:Middle>
            <b:First>Gellan</b:First>
          </b:Person>
          <b:Person>
            <b:Last>Ramadan</b:Last>
            <b:Middle>Karam-Allah </b:Middle>
            <b:First>Haidi </b:First>
          </b:Person>
          <b:Person>
            <b:Last>Refay</b:Last>
            <b:Middle>Mohammed </b:Middle>
            <b:First>Samah </b:First>
          </b:Person>
          <b:Person>
            <b:Last>Khashbah</b:Last>
            <b:Middle>A</b:Middle>
            <b:First>Mohamed </b:First>
          </b:Person>
        </b:NameList>
      </b:Author>
    </b:Author>
    <b:RefOrder>853</b:RefOrder>
  </b:Source>
  <b:Source>
    <b:Tag>Agu19</b:Tag>
    <b:SourceType>JournalArticle</b:SourceType>
    <b:Guid>{BCDFFA9A-ED2E-466D-BF54-2C68D096EFAE}</b:Guid>
    <b:Title>Detecting Common Method Bias: Performance of the Harman's Single-Factor Test</b:Title>
    <b:JournalName>Data Base for Advances in Information Systems</b:JournalName>
    <b:Year>2019</b:Year>
    <b:Pages>45-70</b:Pages>
    <b:Month>05</b:Month>
    <b:Volume>50</b:Volume>
    <b:Issue>2</b:Issue>
    <b:YearAccessed>2023</b:YearAccessed>
    <b:MonthAccessed>08</b:MonthAccessed>
    <b:DayAccessed>20</b:DayAccessed>
    <b:DOI>10.1145/3330472.3330477</b:DOI>
    <b:Author>
      <b:Author>
        <b:NameList>
          <b:Person>
            <b:Last>Aguirre-Urreta</b:Last>
            <b:First>Miguel </b:First>
          </b:Person>
          <b:Person>
            <b:Last>Hu</b:Last>
            <b:First>Jiang</b:First>
          </b:Person>
        </b:NameList>
      </b:Author>
    </b:Author>
    <b:RefOrder>935</b:RefOrder>
  </b:Source>
  <b:Source>
    <b:Tag>Agu121</b:Tag>
    <b:SourceType>JournalArticle</b:SourceType>
    <b:Guid>{2F42AD60-AE1A-40FD-A608-4E3F55B696CE}</b:Guid>
    <b:Title>Moderators of the self-congruity effect on consumer decision-making: A meta-analysis</b:Title>
    <b:JournalName>Journal of Business Research</b:JournalName>
    <b:Year>2012</b:Year>
    <b:Pages>1179-1188</b:Pages>
    <b:Volume>65</b:Volume>
    <b:Issue>8</b:Issue>
    <b:YearAccessed>2023</b:YearAccessed>
    <b:MonthAccessed>03</b:MonthAccessed>
    <b:DayAccessed>07</b:DayAccessed>
    <b:DOI>https://doi.org/10.1016/j.jbusres.2011.07.031</b:DOI>
    <b:Author>
      <b:Author>
        <b:NameList>
          <b:Person>
            <b:Last>Aguirre-Rodriguez</b:Last>
            <b:First>Alexandra </b:First>
          </b:Person>
          <b:Person>
            <b:Last>Bosnjak</b:Last>
            <b:First>Michael </b:First>
          </b:Person>
          <b:Person>
            <b:Last>Sirgy</b:Last>
            <b:Middle>Joseph </b:Middle>
            <b:First>M. </b:First>
          </b:Person>
        </b:NameList>
      </b:Author>
    </b:Author>
    <b:RefOrder>1309</b:RefOrder>
  </b:Source>
  <b:Source>
    <b:Tag>Agu12</b:Tag>
    <b:SourceType>JournalArticle</b:SourceType>
    <b:Guid>{4073C527-9455-4744-987E-E34E3F570642}</b:Guid>
    <b:Title>What we know and don’t know about corporate social responsibility: a review and research agenda</b:Title>
    <b:JournalName>Journal of Management</b:JournalName>
    <b:Year>2012</b:Year>
    <b:Pages>932-968</b:Pages>
    <b:Volume>38</b:Volume>
    <b:Issue>4</b:Issue>
    <b:YearAccessed>2022</b:YearAccessed>
    <b:MonthAccessed>12</b:MonthAccessed>
    <b:DayAccessed>04</b:DayAccessed>
    <b:URL>https://doi.org/10.1177/0149206311436079</b:URL>
    <b:Author>
      <b:Author>
        <b:NameList>
          <b:Person>
            <b:Last>Aguinis</b:Last>
            <b:First>Herman </b:First>
          </b:Person>
          <b:Person>
            <b:Last>Glavas</b:Last>
            <b:First>Ante </b:First>
          </b:Person>
        </b:NameList>
      </b:Author>
    </b:Author>
    <b:RefOrder>1310</b:RefOrder>
  </b:Source>
  <b:Source>
    <b:Tag>Adh19</b:Tag>
    <b:SourceType>JournalArticle</b:SourceType>
    <b:Guid>{0EDA1818-FEF2-4779-AD6F-A9A7E940F42D}</b:Guid>
    <b:Title>Consumer Behavior in Low Involvement Product Purchase: A Stochastic Model</b:Title>
    <b:JournalName>Theoretical Economics Letters</b:JournalName>
    <b:Year>2019</b:Year>
    <b:Pages>424-430</b:Pages>
    <b:Month>02</b:Month>
    <b:Volume>9</b:Volume>
    <b:Issue>2</b:Issue>
    <b:YearAccessed>2023</b:YearAccessed>
    <b:MonthAccessed>02</b:MonthAccessed>
    <b:DayAccessed>17</b:DayAccessed>
    <b:DOI> 10.4236/tel.2019.92030  </b:DOI>
    <b:Author>
      <b:Author>
        <b:NameList>
          <b:Person>
            <b:Last>Adhikari</b:Last>
            <b:First>Atanu </b:First>
          </b:Person>
        </b:NameList>
      </b:Author>
    </b:Author>
    <b:RefOrder>712</b:RefOrder>
  </b:Source>
  <b:Source>
    <b:Tag>Ade21</b:Tag>
    <b:SourceType>JournalArticle</b:SourceType>
    <b:Guid>{9D23409F-2C35-4BD4-A802-68C536AF4415}</b:Guid>
    <b:Title>Mapping and Assessing Green Entrepreneurial Performance: Evidence from a Vertically Integrated Organic Beverages Supply Chain</b:Title>
    <b:JournalName>Journal of Entrepreneurship and Innovation in Emerging Economies.</b:JournalName>
    <b:Year>2021</b:Year>
    <b:Pages>78-98</b:Pages>
    <b:Volume>7</b:Volume>
    <b:Issue>1</b:Issue>
    <b:Author>
      <b:Author>
        <b:NameList>
          <b:Person>
            <b:Last>Adel</b:Last>
            <b:Middle>M.</b:Middle>
            <b:First>H.</b:First>
          </b:Person>
        </b:NameList>
      </b:Author>
    </b:Author>
    <b:Month>01</b:Month>
    <b:Publisher> Elsevier B.V.</b:Publisher>
    <b:YearAccessed>2022</b:YearAccessed>
    <b:MonthAccessed>12</b:MonthAccessed>
    <b:DayAccessed>10</b:DayAccessed>
    <b:RefOrder>1311</b:RefOrder>
  </b:Source>
  <b:Source>
    <b:Tag>Abu211</b:Tag>
    <b:SourceType>JournalArticle</b:SourceType>
    <b:Guid>{DDA7374F-1ECE-4008-85C5-A306A556AA78}</b:Guid>
    <b:Title>Corporate social responsibility and patronage intentions: The mediating effect of brand credibility.</b:Title>
    <b:JournalName>Journal of Marketing Communications</b:JournalName>
    <b:Year>2021</b:Year>
    <b:Pages>510-533</b:Pages>
    <b:Author>
      <b:Author>
        <b:NameList>
          <b:Person>
            <b:Last>Abu Zayyad</b:Last>
            <b:Middle>Hala </b:Middle>
            <b:First>Mohammed</b:First>
          </b:Person>
          <b:Person>
            <b:Last>Obeidat</b:Last>
            <b:Middle>Zaid </b:Middle>
            <b:First>Mohammad</b:First>
          </b:Person>
          <b:Person>
            <b:Last>Alshurideh</b:Last>
            <b:Middle>Muhammad </b:Middle>
            <b:First>Turki</b:First>
          </b:Person>
          <b:Person>
            <b:Last>Abuhashesh</b:Last>
            <b:First>Mohammd</b:First>
          </b:Person>
          <b:Person>
            <b:Last>Maqableh</b:Last>
            <b:First>Mahmoud</b:First>
          </b:Person>
          <b:Person>
            <b:Last>Masa'deh</b:Last>
            <b:First>Ra'ed</b:First>
          </b:Person>
        </b:NameList>
      </b:Author>
    </b:Author>
    <b:Month>08</b:Month>
    <b:Volume>27</b:Volume>
    <b:Issue>5</b:Issue>
    <b:YearAccessed>2022</b:YearAccessed>
    <b:MonthAccessed>12</b:MonthAccessed>
    <b:DayAccessed>02</b:DayAccessed>
    <b:DOI>10.1080/13527266.2020.1728565</b:DOI>
    <b:RefOrder>32</b:RefOrder>
  </b:Source>
  <b:Source>
    <b:Tag>Abu21</b:Tag>
    <b:SourceType>JournalArticle</b:SourceType>
    <b:Guid>{CEB43AF7-1C39-49FC-9431-9152F9F94488}</b:Guid>
    <b:Title>Corporate social responsibility in Islamic banks: to which extent does Abu Dhabi Islamic bank comply with the global reporting initiative standards?</b:Title>
    <b:JournalName>Journal of Islamic Accounting and Business Research</b:JournalName>
    <b:Year>2021</b:Year>
    <b:Pages>1200-1223</b:Pages>
    <b:Author>
      <b:Author>
        <b:NameList>
          <b:Person>
            <b:Last>Abu Al-Haija</b:Last>
            <b:First>Elias </b:First>
          </b:Person>
          <b:Person>
            <b:Last>Kolsi</b:Last>
            <b:Middle>Chakib </b:Middle>
            <b:First>Mohamed </b:First>
          </b:Person>
          <b:Person>
            <b:Last>Kolsi</b:Last>
            <b:Middle>Chakib </b:Middle>
            <b:First>Mohamed Chakib </b:First>
          </b:Person>
        </b:NameList>
      </b:Author>
    </b:Author>
    <b:Month>11</b:Month>
    <b:Day>04</b:Day>
    <b:Volume>12</b:Volume>
    <b:Issue>8</b:Issue>
    <b:YearAccessed>2022</b:YearAccessed>
    <b:MonthAccessed>12</b:MonthAccessed>
    <b:DayAccessed>02</b:DayAccessed>
    <b:DOI>https://doi.org/10.1108/JIABR-11-2020-0346</b:DOI>
    <b:RefOrder>483</b:RefOrder>
  </b:Source>
  <b:Source>
    <b:Tag>Abo10</b:Tag>
    <b:SourceType>JournalArticle</b:SourceType>
    <b:Guid>{A9D59034-BFAF-437B-AB49-DA01902B1256}</b:Guid>
    <b:Title>Mixed Method Research: Fundamental Issues of Design, Validity, and Reliability in Construction Research</b:Title>
    <b:JournalName>Journal of Construction Engineering and Management</b:JournalName>
    <b:Year>2010</b:Year>
    <b:Month>01</b:Month>
    <b:Volume>136</b:Volume>
    <b:Issue>1</b:Issue>
    <b:YearAccessed>2022</b:YearAccessed>
    <b:MonthAccessed>10</b:MonthAccessed>
    <b:DayAccessed>22</b:DayAccessed>
    <b:DOI>10.1061/(ASCE)CO.1943-7862.0000026</b:DOI>
    <b:Author>
      <b:Author>
        <b:NameList>
          <b:Person>
            <b:Last>Abowitz</b:Last>
            <b:Middle>A.</b:Middle>
            <b:First>Deborah </b:First>
          </b:Person>
          <b:Person>
            <b:Last>Toole</b:Last>
            <b:Middle>Michael </b:Middle>
            <b:First>T. </b:First>
          </b:Person>
        </b:NameList>
      </b:Author>
    </b:Author>
    <b:RefOrder>776</b:RefOrder>
  </b:Source>
  <b:Source>
    <b:Tag>Abo18</b:Tag>
    <b:SourceType>JournalArticle</b:SourceType>
    <b:Guid>{C24D9731-CF92-4673-97B2-E72FB983DBB1}</b:Guid>
    <b:Title>The impact of social, environmental and corporate governance disclosures on firm value: Evidence from Egypt</b:Title>
    <b:JournalName>Journal of Accounting in Emerging Economies</b:JournalName>
    <b:Year>2018</b:Year>
    <b:Pages>442-458</b:Pages>
    <b:Volume>8</b:Volume>
    <b:Issue>4</b:Issue>
    <b:Author>
      <b:Author>
        <b:NameList>
          <b:Person>
            <b:Last>Aboud</b:Last>
            <b:First>Ahmed</b:First>
          </b:Person>
          <b:Person>
            <b:Last>Diab</b:Last>
            <b:First>Ahmed</b:First>
          </b:Person>
        </b:NameList>
      </b:Author>
    </b:Author>
    <b:Month>11</b:Month>
    <b:Day>05</b:Day>
    <b:Publisher>Emerald Publishing Limited</b:Publisher>
    <b:YearAccessed>2023</b:YearAccessed>
    <b:MonthAccessed>01</b:MonthAccessed>
    <b:DayAccessed>09</b:DayAccessed>
    <b:DOI>https://doi.org/10.1108/JAEE-08-2017-0079</b:DOI>
    <b:RefOrder>1312</b:RefOrder>
  </b:Source>
  <b:Source>
    <b:Tag>Abd13</b:Tag>
    <b:SourceType>InternetSite</b:SourceType>
    <b:Guid>{082E211C-58CD-43FF-9F39-53005EA5440B}</b:Guid>
    <b:Title>Emergency and Resilience</b:Title>
    <b:Year>2013</b:Year>
    <b:InternetSiteTitle>Unicef</b:InternetSiteTitle>
    <b:URL>https://www.unicef.org/egypt/emergency-and-resilience</b:URL>
    <b:Author>
      <b:Author>
        <b:NameList>
          <b:Person>
            <b:Last>Abdelwahab</b:Last>
            <b:First>Mohamed</b:First>
          </b:Person>
        </b:NameList>
      </b:Author>
    </b:Author>
    <b:RefOrder>216</b:RefOrder>
  </b:Source>
  <b:Source>
    <b:Tag>Abd18</b:Tag>
    <b:SourceType>JournalArticle</b:SourceType>
    <b:Guid>{E3BE6058-AF5A-4DC5-AEA9-20C324773925}</b:Guid>
    <b:Title>Exploring the impact of being perceived as a socially responsible organization on employee creativity</b:Title>
    <b:JournalName>Management Decision</b:JournalName>
    <b:Year>2018</b:Year>
    <b:Pages>2325-2340</b:Pages>
    <b:Volume>56</b:Volume>
    <b:Issue>11</b:Issue>
    <b:Month>05</b:Month>
    <b:Day>29</b:Day>
    <b:Publisher>Emerald Publishing Limited</b:Publisher>
    <b:YearAccessed>2022</b:YearAccessed>
    <b:MonthAccessed>12</b:MonthAccessed>
    <b:DayAccessed>09</b:DayAccessed>
    <b:URL>http://www.emeraldinsight.com/doi/10.1108/MD-06-2017-0552 </b:URL>
    <b:DOI>10.1108/MD-06-2017-0552</b:DOI>
    <b:Author>
      <b:Author>
        <b:NameList>
          <b:Person>
            <b:Last>Abdelmotaleb</b:Last>
            <b:First>Moustafa</b:First>
          </b:Person>
          <b:Person>
            <b:Last>Metwally</b:Last>
            <b:First>Mohamed </b:First>
          </b:Person>
          <b:Person>
            <b:Last>Bahy Eldin</b:Last>
            <b:First>Abdelmoneim </b:First>
          </b:Person>
          <b:Person>
            <b:Last>Saha</b:Last>
            <b:Middle>K.</b:Middle>
            <b:First>Sudhir </b:First>
          </b:Person>
        </b:NameList>
      </b:Author>
    </b:Author>
    <b:RefOrder>488</b:RefOrder>
  </b:Source>
  <b:Source>
    <b:Tag>Abd223</b:Tag>
    <b:SourceType>JournalArticle</b:SourceType>
    <b:Guid>{295BFB4E-7855-4A46-8401-20F55E6D878A}</b:Guid>
    <b:Title>A cross cultural investigation of retailers commitment to CSR and customer citizenship behaviour: The role of ethical standard and value relevance</b:Title>
    <b:JournalName>Journal of Retailing and Consumer Services</b:JournalName>
    <b:Year>2022</b:Year>
    <b:Volume>64</b:Volume>
    <b:Author>
      <b:Author>
        <b:NameList>
          <b:Person>
            <b:Last>Abdelmoety</b:Last>
            <b:Middle>Hassan</b:Middle>
            <b:First>Ziad </b:First>
          </b:Person>
          <b:Person>
            <b:Last>Aboul-Dahab</b:Last>
            <b:First>Sameh</b:First>
          </b:Person>
          <b:Person>
            <b:Last>Agag</b:Last>
            <b:First> Gomaa</b:First>
          </b:Person>
        </b:NameList>
      </b:Author>
    </b:Author>
    <b:Month>01</b:Month>
    <b:Publisher>Elsevier Ltd</b:Publisher>
    <b:YearAccessed>2022</b:YearAccessed>
    <b:MonthAccessed>12</b:MonthAccessed>
    <b:DayAccessed>09</b:DayAccessed>
    <b:DOI>10.1016/j.jretconser.2021.102796</b:DOI>
    <b:RefOrder>489</b:RefOrder>
  </b:Source>
  <b:Source>
    <b:Tag>Abd221</b:Tag>
    <b:SourceType>JournalArticle</b:SourceType>
    <b:Guid>{994C1357-FE7A-4528-A50F-2385AB2F4A21}</b:Guid>
    <b:Title>A cross cultural investigation of retailers commitment to CSR and customer citizenship behaviour: The role of ethical standard and value relevance</b:Title>
    <b:JournalName>Journal of Retailing and Consumer Services</b:JournalName>
    <b:Year>2022</b:Year>
    <b:Month>01</b:Month>
    <b:Volume>64</b:Volume>
    <b:YearAccessed>2022</b:YearAccessed>
    <b:MonthAccessed>02</b:MonthAccessed>
    <b:DayAccessed>23</b:DayAccessed>
    <b:DOI>https://doi.org/10.1016/j.jretconser.2021.102796</b:DOI>
    <b:Author>
      <b:Author>
        <b:NameList>
          <b:Person>
            <b:Last>Abdelmoety</b:Last>
            <b:Middle>Hassan</b:Middle>
            <b:First>Ziad</b:First>
          </b:Person>
          <b:Person>
            <b:Last>Aboul-Dahab</b:Last>
            <b:First>Sameh</b:First>
          </b:Person>
          <b:Person>
            <b:Last>Agag</b:Last>
            <b:First>Gomaa</b:First>
          </b:Person>
        </b:NameList>
      </b:Author>
    </b:Author>
    <b:RefOrder>1313</b:RefOrder>
  </b:Source>
  <b:Source>
    <b:Tag>Abd22</b:Tag>
    <b:SourceType>JournalArticle</b:SourceType>
    <b:Guid>{073694AB-876C-42E3-A4D8-3D278C1F0233}</b:Guid>
    <b:Title>A cross cultural investigation of retailers commitment to CSR and customer citizenship behaviour: The role of ethical standard and value relevance</b:Title>
    <b:JournalName>Journal of Retailing and Consumer Services</b:JournalName>
    <b:Year>2022</b:Year>
    <b:Author>
      <b:Author>
        <b:NameList>
          <b:Person>
            <b:Last>Abdelmoety</b:Last>
            <b:Middle>Hassan</b:Middle>
            <b:First>Ziad</b:First>
          </b:Person>
          <b:Person>
            <b:Last>Aboul-Dahab</b:Last>
            <b:First>Sameh</b:First>
          </b:Person>
          <b:Person>
            <b:Last>Agag</b:Last>
            <b:First>Gomaa</b:First>
          </b:Person>
        </b:NameList>
      </b:Author>
    </b:Author>
    <b:Month>01</b:Month>
    <b:Volume>64</b:Volume>
    <b:YearAccessed>2022</b:YearAccessed>
    <b:MonthAccessed>02</b:MonthAccessed>
    <b:DayAccessed>22</b:DayAccessed>
    <b:DOI>https://doi.org/10.1016/j.jretconser.2021.102796</b:DOI>
    <b:RefOrder>342</b:RefOrder>
  </b:Source>
  <b:Source>
    <b:Tag>Abd222</b:Tag>
    <b:SourceType>InternetSite</b:SourceType>
    <b:Guid>{3F001D47-C1BA-471F-BE0A-DD3D8B527491}</b:Guid>
    <b:Title>Romance, drama, propaganda: The subliminal messages of Ramadan TV entertainment</b:Title>
    <b:Year>2022</b:Year>
    <b:InternetSiteTitle>The New Arab</b:InternetSiteTitle>
    <b:Month>04</b:Month>
    <b:Day>15</b:Day>
    <b:URL>https://english.alaraby.co.uk/opinion/romance-drama-propaganda-ramadan-tvs-subliminal-messages</b:URL>
    <b:Author>
      <b:Author>
        <b:NameList>
          <b:Person>
            <b:Last>Abdel-Magied</b:Last>
            <b:First>Yassmin </b:First>
          </b:Person>
        </b:NameList>
      </b:Author>
    </b:Author>
    <b:RefOrder>804</b:RefOrder>
  </b:Source>
  <b:Source>
    <b:Tag>abd17</b:Tag>
    <b:SourceType>JournalArticle</b:SourceType>
    <b:Guid>{E3EC4666-C141-4D3C-A5A0-BB7058AB32CD}</b:Guid>
    <b:Title>The Role of Women in Egyptian Agriculture</b:Title>
    <b:Year>2017</b:Year>
    <b:Month>05</b:Month>
    <b:URL>https://www.researchgate.net/publication/316854259_The_Role_of_Women_in_Egyptian_Agriculture</b:URL>
    <b:YearAccessed>2023</b:YearAccessed>
    <b:MonthAccessed>08</b:MonthAccessed>
    <b:DayAccessed>16</b:DayAccessed>
    <b:Author>
      <b:Author>
        <b:NameList>
          <b:Person>
            <b:Last>Abd El Gawad </b:Last>
            <b:First>Korany</b:First>
          </b:Person>
        </b:NameList>
      </b:Author>
    </b:Author>
    <b:RefOrder>861</b:RefOrder>
  </b:Source>
  <b:Source>
    <b:Tag>Abd20</b:Tag>
    <b:SourceType>JournalArticle</b:SourceType>
    <b:Guid>{BBDD9241-AEDF-434B-BAE3-232C845815D0}</b:Guid>
    <b:Title>The impact of celebrity endorsement on Millennials’ Purchase Intention towards Local Health and Beauty ProductThe Impact of Celebrity Endorsement on Millennials’ Purchase Intention towards Local Health and Beauty Product</b:Title>
    <b:JournalName>Advances in Business Research International Journal</b:JournalName>
    <b:Year>2020</b:Year>
    <b:Author>
      <b:Author>
        <b:NameList>
          <b:Person>
            <b:Last>Abd Aziz</b:Last>
            <b:Middle>D.</b:Middle>
            <b:First>Z.</b:First>
          </b:Person>
          <b:Person>
            <b:Last>Ariffin</b:Last>
            <b:First>Shahira </b:First>
          </b:Person>
          <b:Person>
            <b:Last>Omar</b:Last>
            <b:Middle>K.</b:Middle>
            <b:First>M.</b:First>
          </b:Person>
        </b:NameList>
      </b:Author>
    </b:Author>
    <b:Month>10</b:Month>
    <b:Day>31</b:Day>
    <b:Volume>06</b:Volume>
    <b:Issue>02</b:Issue>
    <b:YearAccessed>2022</b:YearAccessed>
    <b:MonthAccessed>03</b:MonthAccessed>
    <b:DayAccessed>05</b:DayAccessed>
    <b:DOI>https://doi.org/10.24191/abrij.v6i2.10233</b:DOI>
    <b:RefOrder>1314</b:RefOrder>
  </b:Source>
  <b:Source>
    <b:Tag>Abb22</b:Tag>
    <b:SourceType>JournalArticle</b:SourceType>
    <b:Guid>{FAA56478-A96B-465F-87EA-BC81259D3CAD}</b:Guid>
    <b:Title>Composite global indicators from survey data: the Global Economic Barometers</b:Title>
    <b:JournalName>Review of World Economics volume</b:JournalName>
    <b:Year>2022</b:Year>
    <b:Pages>917–945</b:Pages>
    <b:Volume>158</b:Volume>
    <b:Author>
      <b:Author>
        <b:NameList>
          <b:Person>
            <b:Last>Abberger</b:Last>
            <b:First>Klaus </b:First>
          </b:Person>
          <b:Person>
            <b:Last>Graff</b:Last>
            <b:First>Michael </b:First>
          </b:Person>
          <b:Person>
            <b:Last>Müller</b:Last>
            <b:First>Oliver </b:First>
          </b:Person>
          <b:Person>
            <b:Last>Sturm</b:Last>
            <b:First>Jan-Egbert </b:First>
          </b:Person>
        </b:NameList>
      </b:Author>
    </b:Author>
    <b:Month>02</b:Month>
    <b:Day>04</b:Day>
    <b:YearAccessed>2023</b:YearAccessed>
    <b:MonthAccessed>01</b:MonthAccessed>
    <b:DayAccessed>15</b:DayAccessed>
    <b:DOI>https://doi.org/10.1007/s10290-021-00449-8</b:DOI>
    <b:RefOrder>936</b:RefOrder>
  </b:Source>
  <b:Source>
    <b:Tag>Aak10</b:Tag>
    <b:SourceType>JournalArticle</b:SourceType>
    <b:Guid>{BEC5A638-C13F-4856-8116-454A67EC1354}</b:Guid>
    <b:Title>Nonprofits Are Seen as Warm and For-Profits as Competent: Firm Stereotypes Matter</b:Title>
    <b:JournalName>Journal of Consumer Research</b:JournalName>
    <b:Year>2010</b:Year>
    <b:Pages>224-237</b:Pages>
    <b:Author>
      <b:Author>
        <b:NameList>
          <b:Person>
            <b:Last>Aaker</b:Last>
            <b:First>Jennifer</b:First>
          </b:Person>
          <b:Person>
            <b:Last>Vohs</b:Last>
            <b:Middle>D.</b:Middle>
            <b:First>Kathleen </b:First>
          </b:Person>
          <b:Person>
            <b:Last>Mogilner</b:Last>
            <b:First>Cassie </b:First>
          </b:Person>
        </b:NameList>
      </b:Author>
    </b:Author>
    <b:Month>08</b:Month>
    <b:Volume>37</b:Volume>
    <b:Issue>02</b:Issue>
    <b:YearAccessed>2022</b:YearAccessed>
    <b:MonthAccessed>06</b:MonthAccessed>
    <b:DayAccessed>15</b:DayAccessed>
    <b:DOI>https://doi.org/10.1086/651566</b:DOI>
    <b:RefOrder>299</b:RefOrder>
  </b:Source>
  <b:Source>
    <b:Tag>Zhu20</b:Tag>
    <b:SourceType>JournalArticle</b:SourceType>
    <b:Guid>{D0061D23-1BCC-4EBC-9F72-01E47A6493DA}</b:Guid>
    <b:Title>Generation Y consumer online repurchase intention in Bangkok: Based on Stimulus-Organism-Response (SOR) model</b:Title>
    <b:JournalName>International Journal of Retail &amp; Distribution Management</b:JournalName>
    <b:Year>2020</b:Year>
    <b:Pages>53-69</b:Pages>
    <b:Author>
      <b:Author>
        <b:NameList>
          <b:Person>
            <b:Last> Zhu</b:Last>
            <b:First>Bing</b:First>
          </b:Person>
          <b:Person>
            <b:Last>Kowatthanakul</b:Last>
            <b:First>Suwanna </b:First>
          </b:Person>
          <b:Person>
            <b:Last>Satanasavapak </b:Last>
            <b:First>Punnaluck </b:First>
          </b:Person>
        </b:NameList>
      </b:Author>
    </b:Author>
    <b:Month>01</b:Month>
    <b:Day>14</b:Day>
    <b:Publisher>Emerald Publishing Limited</b:Publisher>
    <b:Volume>48</b:Volume>
    <b:Issue>1</b:Issue>
    <b:YearAccessed>2023</b:YearAccessed>
    <b:MonthAccessed>03</b:MonthAccessed>
    <b:DayAccessed>10</b:DayAccessed>
    <b:DOI>https://doi.org/10.1108/IJRDM-04-2018-0071</b:DOI>
    <b:RefOrder>625</b:RefOrder>
  </b:Source>
  <b:Source>
    <b:Tag>Yoo18</b:Tag>
    <b:SourceType>JournalArticle</b:SourceType>
    <b:Guid>{B090CDD5-B640-4CD2-8C77-695304DBBFD2}</b:Guid>
    <b:Title>The Effects of Corporate Social Responsibility (CSR) Fit and CSR Consistency on Company Evaluation:The Role of CSR Support</b:Title>
    <b:JournalName>Sustainability</b:JournalName>
    <b:Year>2018</b:Year>
    <b:Author>
      <b:Author>
        <b:NameList>
          <b:Person>
            <b:Last> Yoo</b:Last>
            <b:First>Dongho</b:First>
          </b:Person>
          <b:Person>
            <b:Last>Lee</b:Last>
            <b:First>Jieun</b:First>
          </b:Person>
        </b:NameList>
      </b:Author>
    </b:Author>
    <b:Month>08</b:Month>
    <b:Day>20</b:Day>
    <b:Volume>10</b:Volume>
    <b:Issue>8</b:Issue>
    <b:YearAccessed>2021</b:YearAccessed>
    <b:MonthAccessed>11</b:MonthAccessed>
    <b:DayAccessed>19</b:DayAccessed>
    <b:DOI>https://doi.org/10.3390/su10082956</b:DOI>
    <b:RefOrder>140</b:RefOrder>
  </b:Source>
  <b:Source>
    <b:Tag>Vla13</b:Tag>
    <b:SourceType>JournalArticle</b:SourceType>
    <b:Guid>{89F494AC-B2F6-4C84-92E7-E614ED477FD9}</b:Guid>
    <b:Title>Curvilinear Effects of Corporate Social Responsibility and Benevolence on Loyalty</b:Title>
    <b:JournalName>Corporate Reputation Review volume</b:JournalName>
    <b:Year>2013</b:Year>
    <b:Pages>248-262</b:Pages>
    <b:Month>10</b:Month>
    <b:Day>03</b:Day>
    <b:Volume>16</b:Volume>
    <b:Issue>4</b:Issue>
    <b:YearAccessed>2021</b:YearAccessed>
    <b:MonthAccessed>11</b:MonthAccessed>
    <b:DayAccessed>19</b:DayAccessed>
    <b:DOI>10.1057/crr.2013.15</b:DOI>
    <b:Author>
      <b:Author>
        <b:NameList>
          <b:Person>
            <b:Last> Vlachos</b:Last>
            <b:Middle>A.</b:Middle>
            <b:First>Pavlos</b:First>
          </b:Person>
          <b:Person>
            <b:Last> Krepapa</b:Last>
            <b:First>Areti</b:First>
          </b:Person>
          <b:Person>
            <b:Last>Panagopoulos</b:Last>
            <b:Middle>G.</b:Middle>
            <b:First>Nikolaos</b:First>
          </b:Person>
          <b:Person>
            <b:Last>Tsamakos</b:Last>
            <b:First>Argiris</b:First>
          </b:Person>
        </b:NameList>
      </b:Author>
    </b:Author>
    <b:RefOrder>160</b:RefOrder>
  </b:Source>
  <b:Source>
    <b:Tag>Shi19</b:Tag>
    <b:SourceType>JournalArticle</b:SourceType>
    <b:Guid>{7F2E34A0-D2D0-4437-9907-C3E69EA14AA4}</b:Guid>
    <b:Title>Understanding the Model Size Effect on SEM Fit Indices</b:Title>
    <b:JournalName>Educational and Psychological Measurement</b:JournalName>
    <b:Year>2019</b:Year>
    <b:Pages>310-334</b:Pages>
    <b:Volume>79</b:Volume>
    <b:Issue>2</b:Issue>
    <b:YearAccessed>2023</b:YearAccessed>
    <b:MonthAccessed>01</b:MonthAccessed>
    <b:DayAccessed>22</b:DayAccessed>
    <b:DOI>https://doi.org/10.1177/001316441878353</b:DOI>
    <b:Author>
      <b:Author>
        <b:NameList>
          <b:Person>
            <b:Last> Shi</b:Last>
            <b:First>Dexin</b:First>
          </b:Person>
          <b:Person>
            <b:Last>Lee</b:Last>
            <b:First>Taehun </b:First>
          </b:Person>
          <b:Person>
            <b:Last>Maydeu-Olivares</b:Last>
            <b:First>Alberto </b:First>
          </b:Person>
        </b:NameList>
      </b:Author>
    </b:Author>
    <b:RefOrder>967</b:RefOrder>
  </b:Source>
  <b:Source>
    <b:Tag>Nur20</b:Tag>
    <b:SourceType>JournalArticle</b:SourceType>
    <b:Guid>{97264F9C-620F-4160-85A1-A48BCB5AE2FA}</b:Guid>
    <b:Title>CSR in Saudi Arabia and Carroll's Pyramid: what is 'known' and 'unknown'?</b:Title>
    <b:JournalName>Journal of Marketing Communications</b:JournalName>
    <b:Year>2020</b:Year>
    <b:Pages>874-895</b:Pages>
    <b:Volume>26</b:Volume>
    <b:Issue>8</b:Issue>
    <b:Author>
      <b:Author>
        <b:NameList>
          <b:Person>
            <b:Last> Nurunnabi</b:Last>
            <b:First>Mohammad</b:First>
          </b:Person>
          <b:Person>
            <b:Last>Alfakhri</b:Last>
            <b:First>Yazeed</b:First>
          </b:Person>
          <b:Person>
            <b:Last>Alfakhri</b:Last>
            <b:Middle>H.</b:Middle>
            <b:First>Demah </b:First>
          </b:Person>
        </b:NameList>
      </b:Author>
    </b:Author>
    <b:Month>12</b:Month>
    <b:Publisher>Taylor &amp; Francis </b:Publisher>
    <b:YearAccessed>2022</b:YearAccessed>
    <b:MonthAccessed>12</b:MonthAccessed>
    <b:DayAccessed>06</b:DayAccessed>
    <b:DOI>10.1080/13527266.2019.1604560</b:DOI>
    <b:RefOrder>31</b:RefOrder>
  </b:Source>
  <b:Source>
    <b:Tag>Kot21</b:Tag>
    <b:SourceType>Book</b:SourceType>
    <b:Guid>{D0E456AF-AD28-4C2F-9608-07097B60E054}</b:Guid>
    <b:Title>Principles of marketing</b:Title>
    <b:Year>2021</b:Year>
    <b:Author>
      <b:Author>
        <b:NameList>
          <b:Person>
            <b:Last> Kotler;</b:Last>
            <b:First>Philip </b:First>
          </b:Person>
          <b:Person>
            <b:Last>Armstrong</b:Last>
            <b:First>gary</b:First>
          </b:Person>
          <b:Person>
            <b:Last>Opresnik </b:Last>
            <b:Middle>oliever</b:Middle>
            <b:First>mark</b:First>
          </b:Person>
        </b:NameList>
      </b:Author>
    </b:Author>
    <b:Edition>18</b:Edition>
    <b:YearAccessed>2022</b:YearAccessed>
    <b:MonthAccessed>10</b:MonthAccessed>
    <b:DayAccessed>6</b:DayAccessed>
    <b:URL>https://www.pearson.com/en-gb/subject-catalog/p/principles-of-marketing-global-edition/P200000004666/9781292345895</b:URL>
    <b:RefOrder>1315</b:RefOrder>
  </b:Source>
  <b:Source>
    <b:Tag>Kap221</b:Tag>
    <b:SourceType>JournalArticle</b:SourceType>
    <b:Guid>{A2DA84E1-EEC3-4445-A51F-8562BD1C99C6}</b:Guid>
    <b:Title>‘Natural’ Label Halo Effect on Consumer Buying Behavior, Purchase Intention and Willingness to Pay for Skincare Products</b:Title>
    <b:JournalName>cardiometery</b:JournalName>
    <b:Year>2022</b:Year>
    <b:Pages>741-755</b:Pages>
    <b:Issue>23</b:Issue>
    <b:Month>08</b:Month>
    <b:Author>
      <b:Author>
        <b:NameList>
          <b:Person>
            <b:Last> Kapoor</b:Last>
            <b:First>Shreya </b:First>
          </b:Person>
          <b:Person>
            <b:Last>Fernandes</b:Last>
            <b:First> Semila</b:First>
          </b:Person>
          <b:Person>
            <b:Last>Punia</b:Last>
            <b:First>Suryansh</b:First>
          </b:Person>
        </b:NameList>
      </b:Author>
    </b:Author>
    <b:YearAccessed>2022</b:YearAccessed>
    <b:MonthAccessed>10</b:MonthAccessed>
    <b:DayAccessed>12</b:DayAccessed>
    <b:URL>https://cardiometry.net/issues/no23-august-2022/natural-label-halo-effect</b:URL>
    <b:RefOrder>1316</b:RefOrder>
  </b:Source>
  <b:Source>
    <b:Tag>Ine20</b:Tag>
    <b:SourceType>JournalArticle</b:SourceType>
    <b:Guid>{A06E6CA1-6F47-4CA4-A3DA-471FB6816247}</b:Guid>
    <b:Title>CSR in developing countries – the importance of good governance and economic growth: evidence from Africa</b:Title>
    <b:JournalName>Social Responsibility Journal</b:JournalName>
    <b:Year>2020</b:Year>
    <b:Pages>226-242</b:Pages>
    <b:Volume>17</b:Volume>
    <b:Issue>02</b:Issue>
    <b:Author>
      <b:Author>
        <b:NameList>
          <b:Person>
            <b:Last> Inekwe</b:Last>
            <b:First>Murumba</b:First>
          </b:Person>
          <b:Person>
            <b:Last>Hashim</b:Last>
            <b:First>Fathyah </b:First>
          </b:Person>
          <b:Person>
            <b:Last>Yahya </b:Last>
            <b:Middle>B.</b:Middle>
            <b:First>Sofri </b:First>
          </b:Person>
        </b:NameList>
      </b:Author>
    </b:Author>
    <b:Month>02</b:Month>
    <b:Day>07</b:Day>
    <b:Publisher>Emerald Publishing Limited</b:Publisher>
    <b:YearAccessed>2022</b:YearAccessed>
    <b:MonthAccessed>12</b:MonthAccessed>
    <b:DayAccessed>06</b:DayAccessed>
    <b:URL>https://doi.org/10.1108/SRJ-10-2019-0336</b:URL>
    <b:RefOrder>481</b:RefOrder>
  </b:Source>
  <b:Source>
    <b:Tag>HuL09</b:Tag>
    <b:SourceType>JournalArticle</b:SourceType>
    <b:Guid>{6CE79212-0F62-470A-9D70-B1794738034A}</b:Guid>
    <b:Title>Cutoff criteria for fit indexes in covariance structure analysis: Conventional criteria versus new alternatives</b:Title>
    <b:JournalName>Structural Equation Modeling: A Multidisciplinary Journal</b:JournalName>
    <b:Year>2009</b:Year>
    <b:Pages>1-55</b:Pages>
    <b:Volume>6</b:Volume>
    <b:Issue>1</b:Issue>
    <b:Author>
      <b:Author>
        <b:NameList>
          <b:Person>
            <b:Last> Hu</b:Last>
            <b:First>Li‐tze</b:First>
          </b:Person>
          <b:Person>
            <b:Last>Bentler</b:Last>
            <b:Middle>M.</b:Middle>
            <b:First>Peter </b:First>
          </b:Person>
        </b:NameList>
      </b:Author>
    </b:Author>
    <b:Month>11</b:Month>
    <b:Day>03</b:Day>
    <b:YearAccessed>2022</b:YearAccessed>
    <b:MonthAccessed>12</b:MonthAccessed>
    <b:DayAccessed>23</b:DayAccessed>
    <b:DOI>https://doi.org/10.1080/10705519909540118</b:DOI>
    <b:RefOrder>929</b:RefOrder>
  </b:Source>
  <b:Source>
    <b:Tag>Hay21</b:Tag>
    <b:SourceType>JournalArticle</b:SourceType>
    <b:Guid>{5780A709-3DBE-4B12-A8D1-FC55D1674C18}</b:Guid>
    <b:Title>Processual Validity in Qualitative Research in Healthcare</b:Title>
    <b:JournalName>PubMed Central </b:JournalName>
    <b:Year>2021</b:Year>
    <b:Author>
      <b:Author>
        <b:NameList>
          <b:Person>
            <b:Last> Hayashi, Jr</b:Last>
            <b:First>Paulo</b:First>
          </b:Person>
          <b:Person>
            <b:Last>Abib</b:Last>
            <b:First>Gustavo </b:First>
          </b:Person>
          <b:Person>
            <b:Last>Hoppen</b:Last>
            <b:First>Norberto </b:First>
          </b:Person>
          <b:Person>
            <b:Last>Wolff</b:Last>
            <b:Middle>Gonçalves </b:Middle>
            <b:First> Lillian Daisy </b:First>
          </b:Person>
        </b:NameList>
      </b:Author>
    </b:Author>
    <b:Month>01</b:Month>
    <b:YearAccessed>2022</b:YearAccessed>
    <b:MonthAccessed>11</b:MonthAccessed>
    <b:DayAccessed>08</b:DayAccessed>
    <b:DOI>10.1177/00469580211060750</b:DOI>
    <b:RefOrder>774</b:RefOrder>
  </b:Source>
  <b:Source>
    <b:Tag>Alo16</b:Tag>
    <b:SourceType>JournalArticle</b:SourceType>
    <b:Guid>{59CAAF1C-D5C8-4886-AF1C-62018E3DEB61}</b:Guid>
    <b:Title>Determinants of CSR disclosure quantity and quality: Evidence from non-financial listed firms in Saudi Arabia</b:Title>
    <b:JournalName>International Journal of Disclosure and Governance</b:JournalName>
    <b:Year>2016</b:Year>
    <b:Pages>364-393</b:Pages>
    <b:Volume>13</b:Volume>
    <b:Month>11</b:Month>
    <b:Day>17</b:Day>
    <b:YearAccessed>2021</b:YearAccessed>
    <b:MonthAccessed>12</b:MonthAccessed>
    <b:DayAccessed>31</b:DayAccessed>
    <b:DOI>10.1057/jdg.2016.2</b:DOI>
    <b:Author>
      <b:Author>
        <b:NameList>
          <b:Person>
            <b:Last> Alotaibi</b:Last>
            <b:Middle>Omair</b:Middle>
            <b:First>Khaleed</b:First>
          </b:Person>
          <b:Person>
            <b:Last>Hussainey</b:Last>
            <b:First>Khaled</b:First>
          </b:Person>
        </b:NameList>
      </b:Author>
    </b:Author>
    <b:RefOrder>1317</b:RefOrder>
  </b:Source>
  <b:Source>
    <b:Tag>Bol11</b:Tag>
    <b:SourceType>JournalArticle</b:SourceType>
    <b:Guid>{243A65BC-8DB7-4333-BC4C-84378F597C79}</b:Guid>
    <b:Title>Structural equation models and the quantification of behavior</b:Title>
    <b:Year>2011</b:Year>
    <b:Month>09</b:Month>
    <b:JournalName>Proceedings of the National Academy of Sciences,</b:JournalName>
    <b:Pages>15639-15646</b:Pages>
    <b:YearAccessed>2023</b:YearAccessed>
    <b:MonthAccessed>08</b:MonthAccessed>
    <b:DayAccessed>21</b:DayAccessed>
    <b:DOI>10.1073/pnas.1010661108</b:DOI>
    <b:Author>
      <b:Author>
        <b:NameList>
          <b:Person>
            <b:Last>Bollen</b:Last>
            <b:Middle>A</b:Middle>
            <b:First>Kenneth </b:First>
          </b:Person>
          <b:Person>
            <b:Last>Noble</b:Last>
            <b:Middle>D.</b:Middle>
            <b:First>Mark</b:First>
          </b:Person>
        </b:NameList>
      </b:Author>
    </b:Author>
    <b:RefOrder>605</b:RefOrder>
  </b:Source>
  <b:Source>
    <b:Tag>Hmo22</b:Tag>
    <b:SourceType>JournalArticle</b:SourceType>
    <b:Guid>{C9286C0A-4AA5-40FC-9C79-D6A7ED7D1B41}</b:Guid>
    <b:Title>The effects of social media attributes on customer purchase intention: The mediation role of brand</b:Title>
    <b:JournalName>International Journal of Data and Network Science</b:JournalName>
    <b:Year>2022</b:Year>
    <b:Pages>1543–1556</b:Pages>
    <b:Author>
      <b:Author>
        <b:NameList>
          <b:Person>
            <b:Last>Hmoud</b:Last>
            <b:First>Hazar</b:First>
          </b:Person>
          <b:Person>
            <b:Last>Nofal</b:Last>
            <b:First>Muhamd </b:First>
          </b:Person>
          <b:Person>
            <b:Last>Yaseen</b:Last>
            <b:First>Husam</b:First>
          </b:Person>
          <b:Person>
            <b:Last>Al-Masaeed</b:Last>
            <b:First>Sultan </b:First>
          </b:Person>
          <b:Person>
            <b:Last>Al Fawwaz</b:Last>
            <b:Middle>M.</b:Middle>
            <b:First>Bader</b:First>
          </b:Person>
        </b:NameList>
      </b:Author>
    </b:Author>
    <b:YearAccessed>2023</b:YearAccessed>
    <b:MonthAccessed>08</b:MonthAccessed>
    <b:DayAccessed>21</b:DayAccessed>
    <b:DOI>10.5267/j.ijdns.2022.4.022</b:DOI>
    <b:RefOrder>606</b:RefOrder>
  </b:Source>
  <b:Source>
    <b:Tag>Kha22</b:Tag>
    <b:SourceType>JournalArticle</b:SourceType>
    <b:Guid>{D3721A18-F459-40AF-9C22-03F5C9F415C1}</b:Guid>
    <b:Title>The Slippery Slope of The Egyptian Middle Class</b:Title>
    <b:JournalName>BUC Center for Global Affairs </b:JournalName>
    <b:Year>2022</b:Year>
    <b:Month>05</b:Month>
    <b:YearAccessed>2023</b:YearAccessed>
    <b:MonthAccessed>08</b:MonthAccessed>
    <b:DayAccessed>23</b:DayAccessed>
    <b:URL>https://buc.edu.eg/wp-content/uploads/2022/07/The-Slipper-Slope.pdf</b:URL>
    <b:Author>
      <b:Author>
        <b:NameList>
          <b:Person>
            <b:Last>Khaldoun</b:Last>
            <b:First>Jouna</b:First>
          </b:Person>
        </b:NameList>
      </b:Author>
    </b:Author>
    <b:RefOrder>855</b:RefOrder>
  </b:Source>
  <b:Source>
    <b:Tag>Shu161</b:Tag>
    <b:SourceType>InternetSite</b:SourceType>
    <b:Guid>{0BBB35F1-37C9-45D6-AD2D-A7A885C958C6}</b:Guid>
    <b:Title>High inflation takes its toll on Egypt's shrinking middle class</b:Title>
    <b:Year>2016</b:Year>
    <b:InternetSiteTitle>Ahram Online</b:InternetSiteTitle>
    <b:Month>10</b:Month>
    <b:Day>23</b:Day>
    <b:URL>https://english.ahram.org.eg/NewsContent/1/0/246377/Egypt/0/High-inflation-takes-its-toll-on-Egypts-shrinking-.aspx</b:URL>
    <b:Author>
      <b:Author>
        <b:NameList>
          <b:Person>
            <b:Last>Shukrallah</b:Last>
            <b:First>Salma</b:First>
          </b:Person>
        </b:NameList>
      </b:Author>
    </b:Author>
    <b:RefOrder>856</b:RefOrder>
  </b:Source>
  <b:Source>
    <b:Tag>Tam22</b:Tag>
    <b:SourceType>InternetSite</b:SourceType>
    <b:Guid>{4C0713AA-3511-461B-BCE6-FBDCF39306ED}</b:Guid>
    <b:Title>The Arab Compound Utopia: Are We Moving Towards A Residential Bubble?</b:Title>
    <b:InternetSiteTitle>Scoop Empire</b:InternetSiteTitle>
    <b:Year>2022</b:Year>
    <b:Month>09</b:Month>
    <b:Day>12</b:Day>
    <b:URL>https://scoopempire.com/the-arab-compound-utopia-are-we-moving-towards-a-residential-bubble/</b:URL>
    <b:Author>
      <b:Author>
        <b:NameList>
          <b:Person>
            <b:Last>Taman</b:Last>
            <b:First>Ghalia</b:First>
          </b:Person>
        </b:NameList>
      </b:Author>
    </b:Author>
    <b:RefOrder>870</b:RefOrder>
  </b:Source>
  <b:Source>
    <b:Tag>All23</b:Tag>
    <b:SourceType>InternetSite</b:SourceType>
    <b:Guid>{8FD7D16A-5E87-4960-A213-E20B6CA61F07}</b:Guid>
    <b:Title>Media Landscapes</b:Title>
    <b:InternetSiteTitle>Media Landscapes</b:InternetSiteTitle>
    <b:Year>2023</b:Year>
    <b:URL>https://medialandscapes.org/country/egypt</b:URL>
    <b:Author>
      <b:Author>
        <b:NameList>
          <b:Person>
            <b:Last>Allam</b:Last>
            <b:First>Rasha</b:First>
          </b:Person>
        </b:NameList>
      </b:Author>
    </b:Author>
    <b:RefOrder>441</b:RefOrder>
  </b:Source>
  <b:Source>
    <b:Tag>BBC23</b:Tag>
    <b:SourceType>InternetSite</b:SourceType>
    <b:Guid>{FFBC6C8D-5A21-4CDF-A36D-5E8EF1AB572B}</b:Guid>
    <b:Title>Egypt media guide</b:Title>
    <b:InternetSiteTitle>BBC.com</b:InternetSiteTitle>
    <b:Year>2023</b:Year>
    <b:Month>04</b:Month>
    <b:Day>18</b:Day>
    <b:URL>https://www.bbc.com/news/world-africa-13313373</b:URL>
    <b:Author>
      <b:Author>
        <b:NameList>
          <b:Person>
            <b:Last>BBC</b:Last>
          </b:Person>
        </b:NameList>
      </b:Author>
    </b:Author>
    <b:RefOrder>442</b:RefOrder>
  </b:Source>
  <b:Source>
    <b:Tag>Mos191</b:Tag>
    <b:SourceType>JournalArticle</b:SourceType>
    <b:Guid>{4D25552D-4EBD-4123-A3C2-BE7828237430}</b:Guid>
    <b:Title>New Tendencies in Media Consumption Behavior: A Quantitative Study on the Media Habits of Egyptian Affluent Youth</b:Title>
    <b:Year>2019</b:Year>
    <b:Month>06</b:Month>
    <b:URL>https://ejsrt.journals.ekb.eg/article_145550_9f4e3334f1d0d46e8201dab08158b8d1.pdf</b:URL>
    <b:JournalName>The Scientific Journal of Radio and Television Research</b:JournalName>
    <b:Pages>29-58</b:Pages>
    <b:Author>
      <b:Author>
        <b:NameList>
          <b:Person>
            <b:Last>Mosharafa</b:Last>
            <b:First>Eman </b:First>
          </b:Person>
        </b:NameList>
      </b:Author>
    </b:Author>
    <b:YearAccessed>2023</b:YearAccessed>
    <b:MonthAccessed>08</b:MonthAccessed>
    <b:DayAccessed>23</b:DayAccessed>
    <b:RefOrder>438</b:RefOrder>
  </b:Source>
  <b:Source>
    <b:Tag>Cla20</b:Tag>
    <b:SourceType>JournalArticle</b:SourceType>
    <b:Guid>{76985782-AB9F-4A94-B8EF-055A3BB84629}</b:Guid>
    <b:Title>Launching Revolution: Social Media and the Egyptian Uprising’s First Movers</b:Title>
    <b:JournalName>British Journal of Political Science</b:JournalName>
    <b:Year>2020</b:Year>
    <b:Pages>1025 - 1045</b:Pages>
    <b:Author>
      <b:Author>
        <b:NameList>
          <b:Person>
            <b:Last>Clarke</b:Last>
            <b:First>Killian </b:First>
          </b:Person>
          <b:Person>
            <b:Last>Kocak</b:Last>
            <b:First>Korhan </b:First>
          </b:Person>
        </b:NameList>
      </b:Author>
    </b:Author>
    <b:Month>07</b:Month>
    <b:Volume>50</b:Volume>
    <b:Issue>3</b:Issue>
    <b:YearAccessed>2023</b:YearAccessed>
    <b:MonthAccessed>08</b:MonthAccessed>
    <b:DayAccessed>23</b:DayAccessed>
    <b:DOI>https://doi.org/10.1017/S0007123418000194</b:DOI>
    <b:RefOrder>439</b:RefOrder>
  </b:Source>
  <b:Source>
    <b:Tag>Kam14</b:Tag>
    <b:SourceType>JournalArticle</b:SourceType>
    <b:Guid>{CAF75177-CB08-4895-BD57-D6630C5F3097}</b:Guid>
    <b:Title>Egypt’s Ongoing Uprising and the Role of Social Media: Is there Development?</b:Title>
    <b:JournalName>Information Technology for Development,</b:JournalName>
    <b:Year>2014</b:Year>
    <b:Pages>78-91</b:Pages>
    <b:Author>
      <b:Author>
        <b:NameList>
          <b:Person>
            <b:Last>Kamel</b:Last>
            <b:Middle>H.</b:Middle>
            <b:First>Sherif</b:First>
          </b:Person>
        </b:NameList>
      </b:Author>
    </b:Author>
    <b:Publisher>Routledge. Taylor &amp; Francis Group</b:Publisher>
    <b:Volume>20</b:Volume>
    <b:Issue>1</b:Issue>
    <b:YearAccessed>2023</b:YearAccessed>
    <b:MonthAccessed>08</b:MonthAccessed>
    <b:DayAccessed>23</b:DayAccessed>
    <b:DOI>http://dx.doi.org/10.1080/02681102.2013.840948</b:DOI>
    <b:RefOrder>1318</b:RefOrder>
  </b:Source>
  <b:Source>
    <b:Tag>Sto211</b:Tag>
    <b:SourceType>InternetSite</b:SourceType>
    <b:Guid>{C014F290-0651-433C-BE73-230D5129AF16}</b:Guid>
    <b:Title>Average Egyptian family to make annual income of EGP 109k by 2025: Fitch Solutions</b:Title>
    <b:Year>2021</b:Year>
    <b:InternetSiteTitle>Daily News</b:InternetSiteTitle>
    <b:Month>04</b:Month>
    <b:Day>14</b:Day>
    <b:URL>https://www.dailynewsegypt.com/2021/04/14/average-egyptian-family-to-make-annual-income-of-egp-109k-by-2025-fitch-solutions/</b:URL>
    <b:Author>
      <b:Author>
        <b:NameList>
          <b:Person>
            <b:Last>Stohy</b:Last>
            <b:First>Alyaa</b:First>
          </b:Person>
        </b:NameList>
      </b:Author>
    </b:Author>
    <b:RefOrder>913</b:RefOrder>
  </b:Source>
  <b:Source>
    <b:Tag>Tav20</b:Tag>
    <b:SourceType>JournalArticle</b:SourceType>
    <b:Guid>{EDB12F7E-1C34-48A8-95C8-AD7462A73A2F}</b:Guid>
    <b:Title>Factor Analysis: a means for theory and instrument development in support of construct validity</b:Title>
    <b:JournalName>International Journal of Medical Education</b:JournalName>
    <b:Year>2020</b:Year>
    <b:Pages>245-247</b:Pages>
    <b:Month>11</b:Month>
    <b:Day>6</b:Day>
    <b:YearAccessed>2023</b:YearAccessed>
    <b:MonthAccessed>08</b:MonthAccessed>
    <b:DayAccessed>24</b:DayAccessed>
    <b:DOI>10.5116/ijme.5f96.0f4a</b:DOI>
    <b:Author>
      <b:Author>
        <b:NameList>
          <b:Person>
            <b:Last>Tavakol</b:Last>
            <b:First>Mohsen </b:First>
          </b:Person>
          <b:Person>
            <b:Last>Wetzel</b:Last>
            <b:First>Angela </b:First>
          </b:Person>
        </b:NameList>
      </b:Author>
    </b:Author>
    <b:RefOrder>920</b:RefOrder>
  </b:Source>
  <b:Source>
    <b:Tag>Tab18</b:Tag>
    <b:SourceType>JournalArticle</b:SourceType>
    <b:Guid>{B88BA0EC-5B1B-44D5-B08B-A8AF1C852832}</b:Guid>
    <b:Title>The Use of Cronbach’s Alpha When Developing and Reporting Research Instruments in Science Education</b:Title>
    <b:JournalName>Research in Science Education</b:JournalName>
    <b:Year>2018</b:Year>
    <b:Pages>1273-1296</b:Pages>
    <b:Volume>48</b:Volume>
    <b:YearAccessed>2023</b:YearAccessed>
    <b:MonthAccessed>08</b:MonthAccessed>
    <b:DayAccessed>24</b:DayAccessed>
    <b:DOI>10.1007/s11165-016-9602-2</b:DOI>
    <b:Author>
      <b:Author>
        <b:NameList>
          <b:Person>
            <b:Last>Taber</b:Last>
            <b:Middle>S.</b:Middle>
            <b:First>Keith </b:First>
          </b:Person>
        </b:NameList>
      </b:Author>
    </b:Author>
    <b:RefOrder>922</b:RefOrder>
  </b:Source>
  <b:Source>
    <b:Tag>Cle19</b:Tag>
    <b:SourceType>BookSection</b:SourceType>
    <b:Guid>{B74A8DEF-BC20-4E3C-8424-7E29924054FC}</b:Guid>
    <b:Title>Factor Analysis</b:Title>
    <b:Year>2019</b:Year>
    <b:Pages>433-446</b:Pages>
    <b:Author>
      <b:BookAuthor>
        <b:NameList>
          <b:Person>
            <b:Last>Clef</b:Last>
            <b:First>Thomas</b:First>
          </b:Person>
        </b:NameList>
      </b:BookAuthor>
      <b:Author>
        <b:NameList>
          <b:Person>
            <b:Last>Clef</b:Last>
            <b:First>Thomas</b:First>
          </b:Person>
        </b:NameList>
      </b:Author>
    </b:Author>
    <b:BookTitle>Applied Statistics and Multivariate Data Analysis for Business and Economics</b:BookTitle>
    <b:Publisher>Springer, Cham</b:Publisher>
    <b:YearAccessed>2023</b:YearAccessed>
    <b:MonthAccessed>08</b:MonthAccessed>
    <b:DayAccessed>24</b:DayAccessed>
    <b:DOI>https://doi.org/10.1007/978-3-030-17767-6_13</b:DOI>
    <b:RefOrder>927</b:RefOrder>
  </b:Source>
  <b:Source>
    <b:Tag>Hai09</b:Tag>
    <b:SourceType>BookSection</b:SourceType>
    <b:Guid>{D3E9ADA3-9B4D-46C0-A278-D4B479E6F8AB}</b:Guid>
    <b:BookTitle>Multivariate Data Analysis</b:BookTitle>
    <b:Year>2009</b:Year>
    <b:Author>
      <b:Author>
        <b:NameList>
          <b:Person>
            <b:Last>Hair Jr </b:Last>
            <b:Middle>F.</b:Middle>
            <b:First>Joseph </b:First>
          </b:Person>
          <b:Person>
            <b:Last>Black</b:Last>
            <b:Middle>C</b:Middle>
            <b:First>William </b:First>
          </b:Person>
          <b:Person>
            <b:Last>Babin</b:Last>
            <b:Middle>J</b:Middle>
            <b:First>Barry</b:First>
          </b:Person>
          <b:Person>
            <b:Last>Anderson</b:Last>
            <b:Middle>E.</b:Middle>
            <b:First>Rolph </b:First>
          </b:Person>
        </b:NameList>
      </b:Author>
    </b:Author>
    <b:RefOrder>926</b:RefOrder>
  </b:Source>
  <b:Source>
    <b:Tag>Mon23</b:Tag>
    <b:SourceType>InternetSite</b:SourceType>
    <b:Guid>{CED2D5BE-1DD9-406A-8F57-BC63A0F96052}</b:Guid>
    <b:Title>Egypt Leads North Africa in 2022 FDI Inflows with $11.4 bln: UNCTAD</b:Title>
    <b:Year>2023</b:Year>
    <b:InternetSiteTitle>Ahram Online</b:InternetSiteTitle>
    <b:Month>07</b:Month>
    <b:Day>06</b:Day>
    <b:URL>https://english.ahram.org.eg/NewsContent/3/12/504223/Business/Economy/Egypt-Leads-North-Africa-in--FDI-Inflows-with--bln.aspx</b:URL>
    <b:Author>
      <b:Author>
        <b:NameList>
          <b:Person>
            <b:Last>Moneim</b:Last>
            <b:Middle>A.</b:Middle>
            <b:First>Doaa</b:First>
          </b:Person>
        </b:NameList>
      </b:Author>
    </b:Author>
    <b:RefOrder>50</b:RefOrder>
  </b:Source>
  <b:Source>
    <b:Tag>Ros202</b:Tag>
    <b:SourceType>ConferenceProceedings</b:SourceType>
    <b:Guid>{2B5830C1-7C9B-44E1-86AF-E373993474D2}</b:Guid>
    <b:Title>Service Robots in the Hospitality Industry: An Exploratory Literature Review</b:Title>
    <b:Year>2020</b:Year>
    <b:Pages>174-186</b:Pages>
    <b:ConferenceName>International Conference on Exploring Services Science</b:ConferenceName>
    <b:Publisher>Springer, Cham</b:Publisher>
    <b:Author>
      <b:Author>
        <b:NameList>
          <b:Person>
            <b:Last>Rosete</b:Last>
            <b:First>Ana </b:First>
          </b:Person>
          <b:Person>
            <b:Last>Soares</b:Last>
            <b:First>Barbara </b:First>
          </b:Person>
          <b:Person>
            <b:Last>Salvadorinho</b:Last>
            <b:First>Juliana </b:First>
          </b:Person>
          <b:Person>
            <b:Last>Reis</b:Last>
            <b:First>João </b:First>
          </b:Person>
          <b:Person>
            <b:Last>Amorim </b:Last>
            <b:First>Marlene </b:First>
          </b:Person>
        </b:NameList>
      </b:Author>
    </b:Author>
    <b:Volume>377</b:Volume>
    <b:YearAccessed>2023</b:YearAccessed>
    <b:MonthAccessed>09</b:MonthAccessed>
    <b:DayAccessed>01</b:DayAccessed>
    <b:DOI>https://doi.org/10.1007/978-3-030-38724-2_13</b:DOI>
    <b:RefOrder>1319</b:RefOrder>
  </b:Source>
  <b:Source>
    <b:Tag>Mah21</b:Tag>
    <b:SourceType>JournalArticle</b:SourceType>
    <b:Guid>{B3B22157-0B2F-4778-92C1-D51EED371470}</b:Guid>
    <b:Title>Efficient recruitment with effective job advertisement: an exploratory literature review and research agenda</b:Title>
    <b:Pages>107-125</b:Pages>
    <b:Year>2021</b:Year>
    <b:JournalName>International Journal of Organization Theory &amp; Behavior</b:JournalName>
    <b:Author>
      <b:Author>
        <b:NameList>
          <b:Person>
            <b:Last>Mahjoub</b:Last>
            <b:First>Ali </b:First>
          </b:Person>
          <b:Person>
            <b:Last>Kruyen</b:Last>
            <b:Middle>Mathieu </b:Middle>
            <b:First>Peter </b:First>
          </b:Person>
        </b:NameList>
      </b:Author>
    </b:Author>
    <b:Month>03</b:Month>
    <b:Day>22</b:Day>
    <b:Volume>24</b:Volume>
    <b:Issue>2</b:Issue>
    <b:YearAccessed>2023</b:YearAccessed>
    <b:MonthAccessed>09</b:MonthAccessed>
    <b:DayAccessed>01</b:DayAccessed>
    <b:DOI>https://doi.org/10.1108/IJOTB-04-2020-0052</b:DOI>
    <b:RefOrder>1320</b:RefOrder>
  </b:Source>
  <b:Source>
    <b:Tag>Cho20</b:Tag>
    <b:SourceType>JournalArticle</b:SourceType>
    <b:Guid>{454217B0-BB04-4658-BC8B-E11BAA4A87D3}</b:Guid>
    <b:Title>Influencer Marketing: An Exploratory Study to Identify Antecedents of Consumer Behavior of Millennial</b:Title>
    <b:JournalName>Business Perspectives and Research</b:JournalName>
    <b:Year>2020</b:Year>
    <b:Pages>77-91</b:Pages>
    <b:Author>
      <b:Author>
        <b:NameList>
          <b:Person>
            <b:Last>Chopra </b:Last>
            <b:First>Anjali </b:First>
          </b:Person>
          <b:Person>
            <b:Last>Avhad</b:Last>
            <b:First>Vrushali </b:First>
          </b:Person>
          <b:Person>
            <b:Last>Jaju</b:Last>
            <b:First>Sonali </b:First>
          </b:Person>
        </b:NameList>
      </b:Author>
    </b:Author>
    <b:Month>06</b:Month>
    <b:Day>15</b:Day>
    <b:Volume>9</b:Volume>
    <b:Issue>1</b:Issue>
    <b:YearAccessed>2023</b:YearAccessed>
    <b:MonthAccessed>09</b:MonthAccessed>
    <b:DayAccessed>01</b:DayAccessed>
    <b:DOI>https://doi.org/10.1177/2278533720923486</b:DOI>
    <b:RefOrder>1321</b:RefOrder>
  </b:Source>
  <b:Source>
    <b:Tag>Zar12</b:Tag>
    <b:SourceType>JournalArticle</b:SourceType>
    <b:Guid>{942E303C-D993-4248-BE30-47DD7B5B5588}</b:Guid>
    <b:Title>Concepts and Constructs for Personal Branding: An Exploratory Literature Review Approach</b:Title>
    <b:Year>2012</b:Year>
    <b:Author>
      <b:Author>
        <b:NameList>
          <b:Person>
            <b:Last>Zarkada</b:Last>
            <b:First>Anna </b:First>
          </b:Person>
        </b:NameList>
      </b:Author>
    </b:Author>
    <b:Month>01</b:Month>
    <b:Day>28</b:Day>
    <b:YearAccessed>2023</b:YearAccessed>
    <b:MonthAccessed>09</b:MonthAccessed>
    <b:DayAccessed>01</b:DayAccessed>
    <b:DOI> http://dx.doi.org/10.2139/ssrn.1994522</b:DOI>
    <b:RefOrder>1322</b:RefOrder>
  </b:Source>
  <b:Source>
    <b:Tag>Das20</b:Tag>
    <b:SourceType>JournalArticle</b:SourceType>
    <b:Guid>{A34A5D80-912F-48CE-86D2-226D54C9B0BF}</b:Guid>
    <b:Title>Analysis of Literature Review in case of of Exploratory Research</b:Title>
    <b:Year>2020</b:Year>
    <b:Month>03</b:Month>
    <b:Day>24</b:Day>
    <b:YearAccessed>2023</b:YearAccessed>
    <b:MonthAccessed>09</b:MonthAccessed>
    <b:DayAccessed>01</b:DayAccessed>
    <b:DOI>http://dx.doi.org/10.2139/ssrn.3555628</b:DOI>
    <b:Author>
      <b:Author>
        <b:NameList>
          <b:Person>
            <b:Last>Dash</b:Last>
            <b:First>Punyashlok </b:First>
          </b:Person>
        </b:NameList>
      </b:Author>
    </b:Author>
    <b:RefOrder>61</b:RefOrder>
  </b:Source>
  <b:Source>
    <b:Tag>Xia17</b:Tag>
    <b:SourceType>JournalArticle</b:SourceType>
    <b:Guid>{D31194EA-DC48-406A-A82C-35CA3632B1F9}</b:Guid>
    <b:Title>Guidance on Conducting a Systematic Literature Review</b:Title>
    <b:JournalName>Journal of Planning Education and Research</b:JournalName>
    <b:Year>2017</b:Year>
    <b:Pages>93-112</b:Pages>
    <b:Author>
      <b:Author>
        <b:NameList>
          <b:Person>
            <b:Last>Xiao</b:Last>
            <b:First>Yu </b:First>
          </b:Person>
          <b:Person>
            <b:Last>Watson</b:Last>
            <b:First>Maria </b:First>
          </b:Person>
        </b:NameList>
      </b:Author>
    </b:Author>
    <b:Month>08</b:Month>
    <b:Day>28</b:Day>
    <b:Volume>39</b:Volume>
    <b:Issue>1</b:Issue>
    <b:YearAccessed>2023</b:YearAccessed>
    <b:MonthAccessed>09</b:MonthAccessed>
    <b:DayAccessed>02</b:DayAccessed>
    <b:DOI>https://doi.org/10.1177/0739456X17723971</b:DOI>
    <b:RefOrder>62</b:RefOrder>
  </b:Source>
  <b:Source>
    <b:Tag>Men201</b:Tag>
    <b:SourceType>JournalArticle</b:SourceType>
    <b:Guid>{E494F2E9-9A8B-4A11-8112-9B8422382D8E}</b:Guid>
    <b:Title>Method for conducting systematic literature review and meta-analysis for environmental science research</b:Title>
    <b:JournalName>MethodsX</b:JournalName>
    <b:Year>2020</b:Year>
    <b:Author>
      <b:Author>
        <b:NameList>
          <b:Person>
            <b:Last>Mengist</b:Last>
            <b:First>Wondimagegn </b:First>
          </b:Person>
          <b:Person>
            <b:Last>Soromessa</b:Last>
            <b:First>Teshome </b:First>
          </b:Person>
          <b:Person>
            <b:Last>Legese</b:Last>
            <b:First>Gudina </b:First>
          </b:Person>
        </b:NameList>
      </b:Author>
    </b:Author>
    <b:Month>01</b:Month>
    <b:Day>27</b:Day>
    <b:Volume>7</b:Volume>
    <b:YearAccessed>2023</b:YearAccessed>
    <b:MonthAccessed>09</b:MonthAccessed>
    <b:DayAccessed>02</b:DayAccessed>
    <b:DOI>https://doi.org/10.1016/j.mex.2019.100777</b:DOI>
    <b:RefOrder>63</b:RefOrder>
  </b:Source>
  <b:Source>
    <b:Tag>Par171</b:Tag>
    <b:SourceType>BookSection</b:SourceType>
    <b:Guid>{66A88018-4A60-4594-B7D2-B5D2DC129172}</b:Guid>
    <b:Title>Chapter 9 Methods for Literature Reviews</b:Title>
    <b:Year>2017</b:Year>
    <b:BookTitle>Handbook of eHealth Evaluation: An Evidence-based Approach [Internet].</b:BookTitle>
    <b:Author>
      <b:BookAuthor>
        <b:NameList>
          <b:Person>
            <b:Last>Lau</b:Last>
            <b:First>F.</b:First>
          </b:Person>
          <b:Person>
            <b:Last>Kuziemsky </b:Last>
            <b:First>C</b:First>
          </b:Person>
        </b:NameList>
      </b:BookAuthor>
      <b:Author>
        <b:NameList>
          <b:Person>
            <b:Last>Paré</b:Last>
            <b:First>Guy </b:First>
          </b:Person>
          <b:Person>
            <b:Last>Kitsiou</b:Last>
            <b:First>Spyros </b:First>
          </b:Person>
        </b:NameList>
      </b:Author>
    </b:Author>
    <b:YearAccessed>2023</b:YearAccessed>
    <b:MonthAccessed>09</b:MonthAccessed>
    <b:DayAccessed>02</b:DayAccessed>
    <b:URL>https://www.ncbi.nlm.nih.gov/books/NBK481583/</b:URL>
    <b:RefOrder>1323</b:RefOrder>
  </b:Source>
  <b:Source>
    <b:Tag>Dem23</b:Tag>
    <b:SourceType>BookSection</b:SourceType>
    <b:Guid>{F1A9A510-ECBD-4903-99E2-6842078C6068}</b:Guid>
    <b:Title>Chapter 3 - Defining and Analyzing the Problem</b:Title>
    <b:BookTitle>Behavioral Intervention Research in Hospice and Palliative Care. Building an Evidence Base</b:BookTitle>
    <b:Pages>27-39</b:Pages>
    <b:Author>
      <b:Author>
        <b:NameList>
          <b:Person>
            <b:Last>Demiris</b:Last>
            <b:First>George </b:First>
          </b:Person>
          <b:Person>
            <b:Last>Oliver</b:Last>
            <b:Middle>Parker </b:Middle>
            <b:First>Debra </b:First>
          </b:Person>
          <b:Person>
            <b:Last>Washington</b:Last>
            <b:Middle>T.</b:Middle>
            <b:First>Karla </b:First>
          </b:Person>
        </b:NameList>
      </b:Author>
    </b:Author>
    <b:YearAccessed>2023</b:YearAccessed>
    <b:MonthAccessed>09</b:MonthAccessed>
    <b:DayAccessed>02</b:DayAccessed>
    <b:DOI>https://doi.org/10.1016/B978-0-12-814449-7.00003-X</b:DOI>
    <b:Year>2019</b:Year>
    <b:RefOrder>59</b:RefOrder>
  </b:Source>
  <b:Source>
    <b:Tag>Fur21</b:Tag>
    <b:SourceType>JournalArticle</b:SourceType>
    <b:Guid>{32C54506-2043-4136-BE97-079967529E78}</b:Guid>
    <b:Title>Systematic vs. Narrative Reviews in Sport and Exercise Psychology: Is Either Approach Superior to the Other?</b:Title>
    <b:Year>2021</b:Year>
    <b:JournalName>Frontiers in Psychology</b:JournalName>
    <b:Month>07</b:Month>
    <b:Day>09</b:Day>
    <b:Volume>12</b:Volume>
    <b:YearAccessed>2023</b:YearAccessed>
    <b:MonthAccessed>09</b:MonthAccessed>
    <b:DayAccessed>02</b:DayAccessed>
    <b:URL>https://www.frontiersin.org/articles/10.3389/fpsyg.2021.685082/full</b:URL>
    <b:Author>
      <b:Author>
        <b:NameList>
          <b:Person>
            <b:Last>Furley</b:Last>
            <b:First>Philip</b:First>
          </b:Person>
          <b:Person>
            <b:Last>Goldschmied</b:Last>
            <b:First>Nadav </b:First>
          </b:Person>
        </b:NameList>
      </b:Author>
    </b:Author>
    <b:RefOrder>60</b:RefOrder>
  </b:Source>
  <b:Source>
    <b:Tag>Dzy22</b:Tag>
    <b:SourceType>JournalArticle</b:SourceType>
    <b:Guid>{BD609825-3357-4B95-B02D-2A060E35490E}</b:Guid>
    <b:Title>Outdoor thermal comfort research in transient conditions: A narrative literature review</b:Title>
    <b:JournalName>Landscape and Urban Planning</b:JournalName>
    <b:Year>2022</b:Year>
    <b:Author>
      <b:Author>
        <b:NameList>
          <b:Person>
            <b:Last>Dzyuban</b:Last>
            <b:First>Yuliya </b:First>
          </b:Person>
          <b:Person>
            <b:Last>Ching</b:Last>
            <b:Middle>N. Y.</b:Middle>
            <b:First>Graces </b:First>
          </b:Person>
          <b:Person>
            <b:Last>Yik</b:Last>
            <b:Middle>Kang </b:Middle>
            <b:First>Sin </b:First>
          </b:Person>
          <b:Person>
            <b:Last>Tan</b:Last>
            <b:Middle>J.</b:Middle>
            <b:First>Adrian </b:First>
          </b:Person>
          <b:Person>
            <b:Last>Banerjee</b:Last>
            <b:First>Shreya </b:First>
          </b:Person>
          <b:Person>
            <b:Last>Crank</b:Last>
            <b:Middle>J.</b:Middle>
            <b:First>Peter</b:First>
          </b:Person>
          <b:Person>
            <b:Last>Chow</b:Last>
            <b:Middle>T. L.</b:Middle>
            <b:First>Winston </b:First>
          </b:Person>
        </b:NameList>
      </b:Author>
    </b:Author>
    <b:Month>10</b:Month>
    <b:Volume>226</b:Volume>
    <b:YearAccessed>2023</b:YearAccessed>
    <b:MonthAccessed>09</b:MonthAccessed>
    <b:DayAccessed>02</b:DayAccessed>
    <b:DOI>https://doi.org/10.1016/j.landurbplan.2022.104496</b:DOI>
    <b:RefOrder>65</b:RefOrder>
  </b:Source>
  <b:Source>
    <b:Tag>Lop19</b:Tag>
    <b:SourceType>JournalArticle</b:SourceType>
    <b:Guid>{5EC10990-FF95-45E0-896E-96A5256C2CF8}</b:Guid>
    <b:Title>Female Gaming, Gaming Addiction, and the Role of Women Within Gaming Culture: A Narrative Literature Review</b:Title>
    <b:JournalName>Frontiers in Psychiatry</b:JournalName>
    <b:Year>2019</b:Year>
    <b:Month>07</b:Month>
    <b:Day>10</b:Day>
    <b:Volume>10</b:Volume>
    <b:YearAccessed>2023</b:YearAccessed>
    <b:MonthAccessed>09</b:MonthAccessed>
    <b:DayAccessed>02</b:DayAccessed>
    <b:DOI>https://doi.org/10.3389/fpsyt.2019.00454</b:DOI>
    <b:Author>
      <b:Author>
        <b:NameList>
          <b:Person>
            <b:Last>Lopez-Fernandez</b:Last>
            <b:First>Olatz </b:First>
          </b:Person>
          <b:Person>
            <b:Last>Williams</b:Last>
            <b:Middle>Jess</b:Middle>
            <b:First>A.</b:First>
          </b:Person>
          <b:Person>
            <b:Last>Griffiths</b:Last>
            <b:Middle>D.</b:Middle>
            <b:First>Mark </b:First>
          </b:Person>
          <b:Person>
            <b:Last>Kuss</b:Last>
            <b:Middle>J.</b:Middle>
            <b:First>Daria</b:First>
          </b:Person>
        </b:NameList>
      </b:Author>
    </b:Author>
    <b:RefOrder>66</b:RefOrder>
  </b:Source>
  <b:Source>
    <b:Tag>Pot20</b:Tag>
    <b:SourceType>JournalArticle</b:SourceType>
    <b:Guid>{CF96C169-8C2B-4C63-B275-5CA839E6410F}</b:Guid>
    <b:Title>Potential Treatments for COVID-19; a Narrative Literature Review</b:Title>
    <b:JournalName>Archives of Academic Emergency Medicine</b:JournalName>
    <b:Year>2020</b:Year>
    <b:Month>03</b:Month>
    <b:Day>21</b:Day>
    <b:Volume>8</b:Volume>
    <b:Issue>1</b:Issue>
    <b:YearAccessed>2023</b:YearAccessed>
    <b:MonthAccessed>09</b:MonthAccessed>
    <b:DayAccessed>02</b:DayAccessed>
    <b:URL>https://www.ncbi.nlm.nih.gov/pmc/articles/PMC7085862/</b:URL>
    <b:Author>
      <b:Author>
        <b:NameList>
          <b:Person>
            <b:Last>Rismanbaf</b:Last>
            <b:First>Ali</b:First>
          </b:Person>
        </b:NameList>
      </b:Author>
    </b:Author>
    <b:RefOrder>67</b:RefOrder>
  </b:Source>
  <b:Source>
    <b:Tag>ElH20</b:Tag>
    <b:SourceType>JournalArticle</b:SourceType>
    <b:Guid>{3AD51A1F-58A0-4927-B147-C6A28B691BCA}</b:Guid>
    <b:Title>Towards closing the attitude-intention-behavior gap in green consumption: A narrative review of the literature and an overview of future research directions</b:Title>
    <b:JournalName>Journal of Cleaner Production</b:JournalName>
    <b:Year>2020</b:Year>
    <b:Month>12</b:Month>
    <b:Day>01</b:Day>
    <b:Volume>275</b:Volume>
    <b:YearAccessed>2023</b:YearAccessed>
    <b:MonthAccessed>09</b:MonthAccessed>
    <b:DayAccessed>02</b:DayAccessed>
    <b:DOI>https://doi.org/10.1016/j.jclepro.2020.122556</b:DOI>
    <b:Author>
      <b:Author>
        <b:NameList>
          <b:Person>
            <b:Last>ElHaffar</b:Last>
            <b:First>Ghina</b:First>
          </b:Person>
          <b:Person>
            <b:Last>Durif</b:Last>
            <b:First>Fabien </b:First>
          </b:Person>
          <b:Person>
            <b:Last>Dubé </b:Last>
            <b:First>Laurette </b:First>
          </b:Person>
        </b:NameList>
      </b:Author>
    </b:Author>
    <b:RefOrder>68</b:RefOrder>
  </b:Source>
  <b:Source>
    <b:Tag>Lub21</b:Tag>
    <b:SourceType>JournalArticle</b:SourceType>
    <b:Guid>{DE1A0DFD-840C-45FD-9A45-993276E3E4C4}</b:Guid>
    <b:Title>Responsible consumer and lifestyle: Sustainability insights</b:Title>
    <b:JournalName>Sustainable Production and Consumption</b:JournalName>
    <b:Year>2021</b:Year>
    <b:Pages>91-101</b:Pages>
    <b:Month>01</b:Month>
    <b:Volume>25</b:Volume>
    <b:YearAccessed>2023</b:YearAccessed>
    <b:MonthAccessed>09</b:MonthAccessed>
    <b:DayAccessed>02</b:DayAccessed>
    <b:DOI>https://doi.org/10.1016/j.spc.2020.08.007</b:DOI>
    <b:Author>
      <b:Author>
        <b:NameList>
          <b:Person>
            <b:Last>Lubowiecki-Vikuk</b:Last>
            <b:First>Adrian </b:First>
          </b:Person>
          <b:Person>
            <b:Last>Dąbrowska</b:Last>
            <b:First>Anna </b:First>
          </b:Person>
          <b:Person>
            <b:Last>Machnik</b:Last>
            <b:First>Aleksandra </b:First>
          </b:Person>
        </b:NameList>
      </b:Author>
    </b:Author>
    <b:RefOrder>70</b:RefOrder>
  </b:Source>
  <b:Source>
    <b:Tag>Per20</b:Tag>
    <b:SourceType>JournalArticle</b:SourceType>
    <b:Guid>{CD430234-01D5-493A-B59B-CE2D185270D7}</b:Guid>
    <b:Title>Understanding the contribution of stakeholder collaboration towards regional destination branding: A systematic narrative literature review</b:Title>
    <b:JournalName>Journal of Hospitality and Tourism Management</b:JournalName>
    <b:Year>2020</b:Year>
    <b:Pages>250-258</b:Pages>
    <b:Month>06</b:Month>
    <b:Volume>43</b:Volume>
    <b:YearAccessed>2023</b:YearAccessed>
    <b:MonthAccessed>09</b:MonthAccessed>
    <b:DayAccessed>02</b:DayAccessed>
    <b:DOI>https://doi.org/10.1016/j.jhtm.2020.04.008</b:DOI>
    <b:Author>
      <b:Author>
        <b:NameList>
          <b:Person>
            <b:Last>Perkins</b:Last>
            <b:First>Rachel </b:First>
          </b:Person>
          <b:Person>
            <b:Last>Khoo-Lattimore</b:Last>
            <b:First>Catheryn </b:First>
          </b:Person>
          <b:Person>
            <b:Last>Arcodia</b:Last>
            <b:First>Charles </b:First>
          </b:Person>
        </b:NameList>
      </b:Author>
    </b:Author>
    <b:RefOrder>71</b:RefOrder>
  </b:Source>
  <b:Source>
    <b:Tag>Sher16</b:Tag>
    <b:SourceType>JournalArticle</b:SourceType>
    <b:Guid>{8E36EE27-9C18-4B6E-AE2F-82E5FE2EF4FA}</b:Guid>
    <b:Title>The Intention–Behavior Gap</b:Title>
    <b:JournalName>Social and Personality Psychology Compass</b:JournalName>
    <b:Year>2016</b:Year>
    <b:Pages>503-518</b:Pages>
    <b:Month>09</b:Month>
    <b:Volume>10</b:Volume>
    <b:Issue>9</b:Issue>
    <b:YearAccessed>2023</b:YearAccessed>
    <b:MonthAccessed>09</b:MonthAccessed>
    <b:DayAccessed>02</b:DayAccessed>
    <b:DOI>https://doi.org/10.1111/spc3.12265</b:DOI>
    <b:Author>
      <b:Author>
        <b:NameList>
          <b:Person>
            <b:Last>Sheeran</b:Last>
            <b:First>Paschal </b:First>
          </b:Person>
          <b:Person>
            <b:Last>Webb</b:Last>
            <b:Middle>L.</b:Middle>
            <b:First>Thomas </b:First>
          </b:Person>
        </b:NameList>
      </b:Author>
    </b:Author>
    <b:RefOrder>355</b:RefOrder>
  </b:Source>
  <b:Source>
    <b:Tag>Cha16</b:Tag>
    <b:SourceType>JournalArticle</b:SourceType>
    <b:Guid>{138DE9DE-C88B-40DE-87FA-63C086E380FF}</b:Guid>
    <b:Title>The state of online impulse-buying research: A literature</b:Title>
    <b:JournalName>Information and Management</b:JournalName>
    <b:Year>2017</b:Year>
    <b:Author>
      <b:Author>
        <b:NameList>
          <b:Person>
            <b:Last>Chan</b:Last>
            <b:Middle>K. H.</b:Middle>
            <b:First>Tommy </b:First>
          </b:Person>
          <b:Person>
            <b:Last>K.</b:Last>
            <b:Middle>M.</b:Middle>
            <b:First>Christy </b:First>
          </b:Person>
          <b:Person>
            <b:Last>Y.</b:Last>
            <b:Middle>W.</b:Middle>
            <b:First>Cheung Zach </b:First>
          </b:Person>
        </b:NameList>
      </b:Author>
    </b:Author>
    <b:Month>03</b:Month>
    <b:YearAccessed>2023</b:YearAccessed>
    <b:MonthAccessed>09</b:MonthAccessed>
    <b:DayAccessed>02</b:DayAccessed>
    <b:DOI>http://dx.doi.org/doi:10.1016/j.im.2016.06.001</b:DOI>
    <b:Pages>204-217</b:Pages>
    <b:Volume>54</b:Volume>
    <b:Issue>2</b:Issue>
    <b:RefOrder>357</b:RefOrder>
  </b:Source>
  <b:Source>
    <b:Tag>Dro14</b:Tag>
    <b:SourceType>JournalArticle</b:SourceType>
    <b:Guid>{1757C697-6390-4BA6-9BCD-89A353CA2232}</b:Guid>
    <b:Title>The effects of product involvement and impulse buying on purchase intentions in mobile text advertising</b:Title>
    <b:JournalName>Electronic Commerce Research and Applications</b:JournalName>
    <b:Year>2014</b:Year>
    <b:Pages>423-430</b:Pages>
    <b:Month>12</b:Month>
    <b:Volume>13</b:Volume>
    <b:Issue>6</b:Issue>
    <b:YearAccessed>2023</b:YearAccessed>
    <b:MonthAccessed>09</b:MonthAccessed>
    <b:DayAccessed>02</b:DayAccessed>
    <b:DOI>https://doi.org/10.1016/j.elerap.2014.08.003</b:DOI>
    <b:Author>
      <b:Author>
        <b:NameList>
          <b:Person>
            <b:Last>Drossos</b:Last>
            <b:Middle>A.</b:Middle>
            <b:First>Dimitris </b:First>
          </b:Person>
          <b:Person>
            <b:Last>Kokkinaki</b:Last>
            <b:First>Flora </b:First>
          </b:Person>
          <b:Person>
            <b:Last>Giaglis </b:Last>
            <b:Middle>M.</b:Middle>
            <b:First>George </b:First>
          </b:Person>
          <b:Person>
            <b:Last>Fouskas</b:Last>
            <b:Middle>G.</b:Middle>
            <b:First>Konstantinos </b:First>
          </b:Person>
        </b:NameList>
      </b:Author>
    </b:Author>
    <b:RefOrder>358</b:RefOrder>
  </b:Source>
  <b:Source>
    <b:Tag>Coş17</b:Tag>
    <b:SourceType>JournalArticle</b:SourceType>
    <b:Guid>{E330A502-7C44-4CB2-9AAA-D9F3D53AC163}</b:Guid>
    <b:Title>Mediating effect of environmental orientation on pro-environmental purchase intentions in a low-involvement product situation</b:Title>
    <b:JournalName>Australasian Marketing Journal (AMJ)</b:JournalName>
    <b:Year>2017</b:Year>
    <b:Pages>115-125</b:Pages>
    <b:Month>05</b:Month>
    <b:Volume>25</b:Volume>
    <b:Issue>2</b:Issue>
    <b:YearAccessed>2023</b:YearAccessed>
    <b:MonthAccessed>09</b:MonthAccessed>
    <b:DayAccessed>02</b:DayAccessed>
    <b:DOI>https://doi.org/10.1016/j.ausmj.2017.04.008</b:DOI>
    <b:Author>
      <b:Author>
        <b:NameList>
          <b:Person>
            <b:Last>Coşkun</b:Last>
            <b:First>Ayşen </b:First>
          </b:Person>
          <b:Person>
            <b:Last>Vocino</b:Last>
            <b:First>Andrea </b:First>
          </b:Person>
          <b:Person>
            <b:Last>Polonsky</b:Last>
            <b:First>Michael </b:First>
          </b:Person>
        </b:NameList>
      </b:Author>
    </b:Author>
    <b:RefOrder>360</b:RefOrder>
  </b:Source>
  <b:Source>
    <b:Tag>Szy21</b:Tag>
    <b:SourceType>JournalArticle</b:SourceType>
    <b:Guid>{8FD20CEE-5CA7-41B5-AE42-C987B8BD3A66}</b:Guid>
    <b:Title>Impulse buying in hospitality: The role of content posted by social media influencers</b:Title>
    <b:JournalName>Journal of Vacation Marketing</b:JournalName>
    <b:Year>2021</b:Year>
    <b:Pages>385-399</b:Pages>
    <b:Month>04</b:Month>
    <b:Day>01</b:Day>
    <b:Volume>27</b:Volume>
    <b:Issue>4</b:Issue>
    <b:YearAccessed>2023</b:YearAccessed>
    <b:MonthAccessed>09</b:MonthAccessed>
    <b:DayAccessed>02</b:DayAccessed>
    <b:DOI>https://doi.org/10.1177/13567667211003216</b:DOI>
    <b:Author>
      <b:Author>
        <b:NameList>
          <b:Person>
            <b:Last>Szymkowiak</b:Last>
            <b:First>Andrzej </b:First>
          </b:Person>
          <b:Person>
            <b:Last>Gaczek</b:Last>
            <b:First>Piotr </b:First>
          </b:Person>
          <b:Person>
            <b:Last>Padma</b:Last>
            <b:First>Panchapakesan </b:First>
          </b:Person>
        </b:NameList>
      </b:Author>
    </b:Author>
    <b:RefOrder>359</b:RefOrder>
  </b:Source>
  <b:Source>
    <b:Tag>Ols13</b:Tag>
    <b:SourceType>JournalArticle</b:SourceType>
    <b:Guid>{77E5B2B1-E346-419F-B601-1A622A8552FC}</b:Guid>
    <b:Title>Explaining and Articulating the Fit Construct in Sponsorship</b:Title>
    <b:JournalName>Journal of Advertising</b:JournalName>
    <b:Year>2013</b:Year>
    <b:Pages>57-70</b:Pages>
    <b:Month>05</b:Month>
    <b:Day>04</b:Day>
    <b:Volume>40</b:Volume>
    <b:Issue>1</b:Issue>
    <b:YearAccessed>2023</b:YearAccessed>
    <b:MonthAccessed>09</b:MonthAccessed>
    <b:DayAccessed>02</b:DayAccessed>
    <b:DOI>https://doi.org/10.2753/JOA0091-3367400104</b:DOI>
    <b:Author>
      <b:Author>
        <b:NameList>
          <b:Person>
            <b:Last>Olson</b:Last>
            <b:Middle>L.</b:Middle>
            <b:First>Erik</b:First>
          </b:Person>
          <b:Person>
            <b:Last>Thjømøe</b:Last>
            <b:Middle>Mathias </b:Middle>
            <b:First>Hans </b:First>
          </b:Person>
        </b:NameList>
      </b:Author>
    </b:Author>
    <b:RefOrder>1324</b:RefOrder>
  </b:Source>
  <b:Source>
    <b:Tag>Zhu19</b:Tag>
    <b:SourceType>JournalArticle</b:SourceType>
    <b:Guid>{3D131A9E-8D75-4756-87CB-352191B9EE93}</b:Guid>
    <b:Title>Using self-congruence theory to explain the interaction effects of brand type and celebrity type on consumer attitude formation</b:Title>
    <b:JournalName>Journal of Business Research</b:JournalName>
    <b:Year>2019</b:Year>
    <b:Pages>301-309</b:Pages>
    <b:Month>10</b:Month>
    <b:Volume>103</b:Volume>
    <b:YearAccessed>2023</b:YearAccessed>
    <b:MonthAccessed>09</b:MonthAccessed>
    <b:DayAccessed>02</b:DayAccessed>
    <b:DOI>https://doi.org/10.1016/j.jbusres.2019.01.055</b:DOI>
    <b:Author>
      <b:Author>
        <b:NameList>
          <b:Person>
            <b:Last>Zhu</b:Last>
            <b:First>Xiajing </b:First>
          </b:Person>
          <b:Person>
            <b:Last>Teng</b:Last>
            <b:First>Lefa</b:First>
          </b:Person>
          <b:Person>
            <b:Last>Foti</b:Last>
            <b:First>Lianne </b:First>
          </b:Person>
          <b:Person>
            <b:Last>Yuan</b:Last>
            <b:First>Yige </b:First>
          </b:Person>
        </b:NameList>
      </b:Author>
    </b:Author>
    <b:RefOrder>1325</b:RefOrder>
  </b:Source>
  <b:Source>
    <b:Tag>Que13</b:Tag>
    <b:SourceType>JournalArticle</b:SourceType>
    <b:Guid>{65339DF7-75B5-4378-9203-9FE0357745F8}</b:Guid>
    <b:Title>Determinants of Community-Based Sponsorship Impact on Self-Congruity</b:Title>
    <b:JournalName>psychology &amp; Marketing</b:JournalName>
    <b:Year>2013</b:Year>
    <b:Pages>996-1007</b:Pages>
    <b:Author>
      <b:Author>
        <b:NameList>
          <b:Person>
            <b:Last>Quester</b:Last>
            <b:First>Pascale </b:First>
          </b:Person>
          <b:Person>
            <b:Last>Plewa</b:Last>
            <b:First>Carolin </b:First>
          </b:Person>
          <b:Person>
            <b:Last>Palmer</b:Last>
            <b:First>Karen</b:First>
          </b:Person>
          <b:Person>
            <b:Last>Mazodier</b:Last>
            <b:First>Marc </b:First>
          </b:Person>
        </b:NameList>
      </b:Author>
    </b:Author>
    <b:Month>11</b:Month>
    <b:Volume>30</b:Volume>
    <b:Issue>11</b:Issue>
    <b:YearAccessed>2023</b:YearAccessed>
    <b:MonthAccessed>09</b:MonthAccessed>
    <b:DayAccessed>02</b:DayAccessed>
    <b:DOI>https://doi.org/10.1002/mar.20662</b:DOI>
    <b:RefOrder>708</b:RefOrder>
  </b:Source>
  <b:Source>
    <b:Tag>Kim194</b:Tag>
    <b:SourceType>JournalArticle</b:SourceType>
    <b:Guid>{3126A224-EB34-4786-B562-2892BDB7F165}</b:Guid>
    <b:Title>Economics or ethics? Exploring the role of CSR expectations in explaining consumers’ perceptions, motivations, and active communication behaviors about corporate misconduct</b:Title>
    <b:JournalName>Public Relations Review</b:JournalName>
    <b:Year>2019</b:Year>
    <b:Pages>76-87</b:Pages>
    <b:Month>03</b:Month>
    <b:Volume>45</b:Volume>
    <b:Issue>1</b:Issue>
    <b:YearAccessed>2023</b:YearAccessed>
    <b:MonthAccessed>09</b:MonthAccessed>
    <b:DayAccessed>02</b:DayAccessed>
    <b:DOI>https://doi.org/10.1016/j.pubrev.2018.10.011</b:DOI>
    <b:Author>
      <b:Author>
        <b:NameList>
          <b:Person>
            <b:Last>Kim</b:Last>
            <b:First>Soojin </b:First>
          </b:Person>
          <b:Person>
            <b:Last>Krishna</b:Last>
            <b:First>Arunima </b:First>
          </b:Person>
          <b:Person>
            <b:Last>Dhanesh</b:Last>
            <b:First>Ganga </b:First>
          </b:Person>
        </b:NameList>
      </b:Author>
    </b:Author>
    <b:RefOrder>20</b:RefOrder>
  </b:Source>
  <b:Source>
    <b:Tag>Uzu17</b:Tag>
    <b:SourceType>JournalArticle</b:SourceType>
    <b:Guid>{97B9E5CC-313B-4EBF-AE65-FAF80CD84C2F}</b:Guid>
    <b:Title>Engaging consumers through corporate social responsibility messages on social media: An experimental study</b:Title>
    <b:JournalName>Public Relations Review</b:JournalName>
    <b:Year>2017</b:Year>
    <b:Pages>989-997</b:Pages>
    <b:Month>12</b:Month>
    <b:Volume>43</b:Volume>
    <b:Issue>5</b:Issue>
    <b:YearAccessed>2023</b:YearAccessed>
    <b:MonthAccessed>09</b:MonthAccessed>
    <b:DayAccessed>02</b:DayAccessed>
    <b:DOI>https://doi.org/10.1016/j.pubrev.2017.03.013</b:DOI>
    <b:Author>
      <b:Author>
        <b:NameList>
          <b:Person>
            <b:Last>Uzunoğlu</b:Last>
            <b:First>Ebru </b:First>
          </b:Person>
          <b:Person>
            <b:Last>Türkel</b:Last>
            <b:First>Selin </b:First>
          </b:Person>
          <b:Person>
            <b:Last>Akyar</b:Last>
            <b:Middle>Yaman </b:Middle>
            <b:First>Burcu </b:First>
          </b:Person>
        </b:NameList>
      </b:Author>
    </b:Author>
    <b:RefOrder>22</b:RefOrder>
  </b:Source>
  <b:Source>
    <b:Tag>You221</b:Tag>
    <b:SourceType>JournalArticle</b:SourceType>
    <b:Guid>{49127C69-44C7-48CC-B610-648DCA39A1E8}</b:Guid>
    <b:Title>Measuring consumer digital engagement and political consumerism as outcomes of corporate political advocacy</b:Title>
    <b:JournalName>Public Relations Review</b:JournalName>
    <b:Year>2022</b:Year>
    <b:Author>
      <b:Author>
        <b:NameList>
          <b:Person>
            <b:Last>You</b:Last>
            <b:First>Leping</b:First>
          </b:Person>
          <b:Person>
            <b:Last>Hon</b:Last>
            <b:First>Linda</b:First>
          </b:Person>
        </b:NameList>
      </b:Author>
    </b:Author>
    <b:Month>12</b:Month>
    <b:Volume>48</b:Volume>
    <b:Issue>5</b:Issue>
    <b:YearAccessed>2023</b:YearAccessed>
    <b:MonthAccessed>09</b:MonthAccessed>
    <b:DayAccessed>02</b:DayAccessed>
    <b:DOI>https://doi.org/10.1016/j.pubrev.2022.102233</b:DOI>
    <b:RefOrder>23</b:RefOrder>
  </b:Source>
  <b:Source>
    <b:Tag>Paq13</b:Tag>
    <b:SourceType>Book</b:SourceType>
    <b:Guid>{05A3D9F6-3171-463A-92AA-897405DF2C74}</b:Guid>
    <b:Title>Measuring and Motivating Brand Advocates: The State of the Science</b:Title>
    <b:Year>2013</b:Year>
    <b:Publisher>Copernicus Marketing Consulting &amp; Research</b:Publisher>
    <b:URL>https://www.slideshare.net/afbowen/measuring-and-motivating-brand-advocates-the-state-of-the-science</b:URL>
    <b:Author>
      <b:Author>
        <b:NameList>
          <b:Person>
            <b:Last>Paquette </b:Last>
            <b:First>Eric </b:First>
          </b:Person>
          <b:Person>
            <b:Last>Clacy</b:Last>
            <b:First>Kevin</b:First>
          </b:Person>
        </b:NameList>
      </b:Author>
    </b:Author>
    <b:RefOrder>19</b:RefOrder>
  </b:Source>
  <b:Source>
    <b:Tag>Moy22</b:Tag>
    <b:SourceType>JournalArticle</b:SourceType>
    <b:Guid>{EA6486FE-EA8A-433E-9DB0-A228FB411E98}</b:Guid>
    <b:Title>An Analysis of Cause-Related and Social Marketing Strategies in the South African Sport Management</b:Title>
    <b:Year>2022</b:Year>
    <b:JournalName>SAGE Open</b:JournalName>
    <b:Month>06</b:Month>
    <b:Day>24</b:Day>
    <b:Volume>12</b:Volume>
    <b:Issue>2</b:Issue>
    <b:YearAccessed>2023</b:YearAccessed>
    <b:MonthAccessed>09</b:MonthAccessed>
    <b:DayAccessed>03</b:DayAccessed>
    <b:DOI>https://doi.org/10.1177/21582440221108181</b:DOI>
    <b:Author>
      <b:Author>
        <b:NameList>
          <b:Person>
            <b:Last>Moyo</b:Last>
            <b:First>Talent </b:First>
          </b:Person>
          <b:Person>
            <b:Last>Duffett</b:Last>
            <b:First>Rodney </b:First>
          </b:Person>
          <b:Person>
            <b:Last>Knott</b:Last>
            <b:First>Brendon </b:First>
          </b:Person>
        </b:NameList>
      </b:Author>
    </b:Author>
    <b:RefOrder>81</b:RefOrder>
  </b:Source>
  <b:Source>
    <b:Tag>Var88</b:Tag>
    <b:SourceType>JournalArticle</b:SourceType>
    <b:Guid>{6BF856FF-F842-48BC-9BD3-B9899EC60C58}</b:Guid>
    <b:Title>Cause-related marketing: A coalignment of marketing strategy and corporate philanthropy.</b:Title>
    <b:JournalName>Journal of marketing,</b:JournalName>
    <b:Year>1988</b:Year>
    <b:Pages>58-74</b:Pages>
    <b:Volume>52</b:Volume>
    <b:Issue>3</b:Issue>
    <b:YearAccessed>2023</b:YearAccessed>
    <b:MonthAccessed>09</b:MonthAccessed>
    <b:DayAccessed>03</b:DayAccessed>
    <b:DOI>10.1177/002224298805200306</b:DOI>
    <b:Author>
      <b:Author>
        <b:NameList>
          <b:Person>
            <b:Last>Varadarajan</b:Last>
            <b:Middle>R</b:Middle>
            <b:First>P</b:First>
          </b:Person>
          <b:Person>
            <b:Last>Menon</b:Last>
            <b:First>A</b:First>
          </b:Person>
        </b:NameList>
      </b:Author>
    </b:Author>
    <b:RefOrder>85</b:RefOrder>
  </b:Source>
  <b:Source>
    <b:Tag>Ora201</b:Tag>
    <b:SourceType>JournalArticle</b:SourceType>
    <b:Guid>{534197C8-E8A5-4922-80E8-8C190247BEF7}</b:Guid>
    <b:Title>“They Did Not Walk the Green Talk!:” How Information Specificity Influences Consumer Evaluations of Disconfirmed Environmental Claims</b:Title>
    <b:JournalName>Journal of Business Ethics</b:JournalName>
    <b:Year>2020</b:Year>
    <b:Pages>107-123</b:Pages>
    <b:Author>
      <b:Author>
        <b:NameList>
          <b:Person>
            <b:Last>Orazi</b:Last>
            <b:Middle>C.</b:Middle>
            <b:First>Davide </b:First>
          </b:Person>
          <b:Person>
            <b:Last>Chan </b:Last>
            <b:Middle>Y.</b:Middle>
            <b:First>Eugene </b:First>
          </b:Person>
        </b:NameList>
      </b:Author>
    </b:Author>
    <b:YearAccessed>2023</b:YearAccessed>
    <b:MonthAccessed>09</b:MonthAccessed>
    <b:DayAccessed>03</b:DayAccessed>
    <b:DOI>10.1007/s10551-018-4028-6</b:DOI>
    <b:RefOrder>373</b:RefOrder>
  </b:Source>
  <b:Source>
    <b:Tag>JiY18</b:Tag>
    <b:SourceType>ConferenceProceedings</b:SourceType>
    <b:Guid>{FDC4E21D-4FD6-4E34-B32B-C9B90FA492D6}</b:Guid>
    <b:Title>Sustainability Alliance Networks on Facebook: A Big Data Network Analysis of S&amp;P 500</b:Title>
    <b:Year>2018</b:Year>
    <b:Pages>140-153</b:Pages>
    <b:ConferenceName>International Public Relations Research Conference</b:ConferenceName>
    <b:Author>
      <b:Author>
        <b:NameList>
          <b:Person>
            <b:Last>Ji</b:Last>
            <b:Middle>Grace </b:Middle>
            <b:First>Yi </b:First>
          </b:Person>
          <b:Person>
            <b:Last>Yang</b:Last>
            <b:First>Aimei </b:First>
          </b:Person>
        </b:NameList>
      </b:Author>
    </b:Author>
    <b:YearAccessed>2023</b:YearAccessed>
    <b:MonthAccessed>09</b:MonthAccessed>
    <b:DayAccessed>03</b:DayAccessed>
    <b:DOI>10.3389/fpls.2018.00140</b:DOI>
    <b:RefOrder>126</b:RefOrder>
  </b:Source>
  <b:Source>
    <b:Tag>Lee19</b:Tag>
    <b:SourceType>JournalArticle</b:SourceType>
    <b:Guid>{B9A04462-12DF-4094-8591-2FB2DF08353C}</b:Guid>
    <b:Title>What Makes CSR Communication Lead to CSR Participation? Testing the Mediating Effects of CSR Associations, CSR Credibility, and Organization–Public Relationships</b:Title>
    <b:Pages>413-429</b:Pages>
    <b:Year>2019</b:Year>
    <b:JournalName>Journal of Business Ethics</b:JournalName>
    <b:Author>
      <b:Author>
        <b:NameList>
          <b:Person>
            <b:Last>Lee</b:Last>
            <b:Middle>Young </b:Middle>
            <b:First>Sun </b:First>
          </b:Person>
          <b:Person>
            <b:Last>Zhang</b:Last>
            <b:First>Weiwu </b:First>
          </b:Person>
          <b:Person>
            <b:Last>Abitbol </b:Last>
            <b:First>Alan </b:First>
          </b:Person>
        </b:NameList>
      </b:Author>
    </b:Author>
    <b:YearAccessed>2023</b:YearAccessed>
    <b:MonthAccessed>09</b:MonthAccessed>
    <b:DayAccessed>03</b:DayAccessed>
    <b:DOI>10.1007/s10551-017-3609-0</b:DOI>
    <b:RefOrder>127</b:RefOrder>
  </b:Source>
  <b:Source>
    <b:Tag>Rat19</b:Tag>
    <b:SourceType>JournalArticle</b:SourceType>
    <b:Guid>{2C3703DB-5D1A-49F6-B68D-D082F3B04DE0}</b:Guid>
    <b:Title>Exploring and validating social identification and social exchange-based drivers of hospitality customer loyalty</b:Title>
    <b:JournalName>International Journal of Contemporary Hospitality Management</b:JournalName>
    <b:Year>2019</b:Year>
    <b:Pages>1432-1451</b:Pages>
    <b:Month>02</b:Month>
    <b:Volume>31</b:Volume>
    <b:Issue>49</b:Issue>
    <b:YearAccessed>2023</b:YearAccessed>
    <b:MonthAccessed>09</b:MonthAccessed>
    <b:DayAccessed>03</b:DayAccessed>
    <b:DOI>10.1108/IJCHM-10-2017-0627</b:DOI>
    <b:Author>
      <b:Author>
        <b:NameList>
          <b:Person>
            <b:Last>Rather</b:Last>
            <b:Middle>A.</b:Middle>
            <b:First>R.</b:First>
          </b:Person>
          <b:Person>
            <b:Last>Hollebeek</b:Last>
            <b:Middle>D.</b:Middle>
            <b:First>L.</b:First>
          </b:Person>
        </b:NameList>
      </b:Author>
    </b:Author>
    <b:RefOrder>286</b:RefOrder>
  </b:Source>
  <b:Source>
    <b:Tag>Chr21</b:Tag>
    <b:SourceType>JournalArticle</b:SourceType>
    <b:Guid>{B4846AF6-B0B4-4F95-9280-59922E43E8D1}</b:Guid>
    <b:Title>Communicating Environmental CSR towards Consumers: The Impact of Message Content, Message Style and Praise Tactics</b:Title>
    <b:JournalName>Sustainability</b:JournalName>
    <b:Year>2021</b:Year>
    <b:Month>04</b:Month>
    <b:Day>2</b:Day>
    <b:Volume>13</b:Volume>
    <b:Issue>7</b:Issue>
    <b:YearAccessed>2023</b:YearAccessed>
    <b:MonthAccessed>09</b:MonthAccessed>
    <b:DayAccessed>03</b:DayAccessed>
    <b:DOI>https://doi.org/10.3390/su13073981</b:DOI>
    <b:Author>
      <b:Author>
        <b:NameList>
          <b:Person>
            <b:Last>Christis</b:Last>
            <b:First>Julia </b:First>
          </b:Person>
          <b:Person>
            <b:Last>Wang</b:Last>
            <b:First>Yijing </b:First>
          </b:Person>
        </b:NameList>
      </b:Author>
    </b:Author>
    <b:RefOrder>130</b:RefOrder>
  </b:Source>
  <b:Source>
    <b:Tag>Jeo19</b:Tag>
    <b:SourceType>JournalArticle</b:SourceType>
    <b:Guid>{6E30A5E7-D548-4C3A-B53C-965D8F4EFD85}</b:Guid>
    <b:Title>A study on the relationship between perceived CSR motives, authenticity and company attitudes: a comparative analysis of cause promotion and cause-related marketing</b:Title>
    <b:JournalName>Asian Journal of Sustainability and Social Responsibility volume</b:JournalName>
    <b:Year>2019</b:Year>
    <b:Month>08</b:Month>
    <b:Day>01</b:Day>
    <b:YearAccessed>2023</b:YearAccessed>
    <b:MonthAccessed>09</b:MonthAccessed>
    <b:DayAccessed>03</b:DayAccessed>
    <b:DOI>https://doi.org/10.1186/s41180-019-0028-4</b:DOI>
    <b:Author>
      <b:Author>
        <b:NameList>
          <b:Person>
            <b:Last>Jeon</b:Last>
            <b:Middle>Ah</b:Middle>
            <b:First>Min </b:First>
          </b:Person>
          <b:Person>
            <b:Last>An</b:Last>
            <b:First>Daechun </b:First>
          </b:Person>
        </b:NameList>
      </b:Author>
    </b:Author>
    <b:RefOrder>131</b:RefOrder>
  </b:Source>
  <b:Source>
    <b:Tag>AlB23</b:Tag>
    <b:SourceType>JournalArticle</b:SourceType>
    <b:Guid>{3B1988DB-1A51-4E7B-AE62-8A39599718E4}</b:Guid>
    <b:Title>The Effectiveness of Advertising Marketing in Print Media during the Covid 19 Pandemic in the Mandailing Natal Region</b:Title>
    <b:JournalName>Budapest International Research and Critics Institute-Journal (BIRCI-Journal)</b:JournalName>
    <b:Pages>879-886</b:Pages>
    <b:Volume>4</b:Volume>
    <b:Issue>1</b:Issue>
    <b:YearAccessed>2023</b:YearAccessed>
    <b:MonthAccessed>02</b:MonthAccessed>
    <b:DayAccessed>24</b:DayAccessed>
    <b:DOI>https://doi.org/10.33258/birci.v4i1.1688</b:DOI>
    <b:Author>
      <b:Author>
        <b:NameList>
          <b:Person>
            <b:Last>Al Bara</b:Last>
          </b:Person>
          <b:Person>
            <b:Last>Affandi</b:Last>
            <b:First>Faisal </b:First>
          </b:Person>
          <b:Person>
            <b:Last>Farid</b:Last>
            <b:Middle>Salman </b:Middle>
            <b:First>Ahmad </b:First>
          </b:Person>
          <b:Person>
            <b:Last>Marzuki</b:Last>
            <b:Middle>Imam</b:Middle>
            <b:First>Datuk </b:First>
          </b:Person>
        </b:NameList>
      </b:Author>
    </b:Author>
    <b:Year>2021</b:Year>
    <b:Month>02</b:Month>
    <b:RefOrder>144</b:RefOrder>
  </b:Source>
  <b:Source>
    <b:Tag>Kha23</b:Tag>
    <b:SourceType>JournalArticle</b:SourceType>
    <b:Guid>{B5CE7A52-7199-4B7E-9CCD-982FE7F017C6}</b:Guid>
    <b:Title>Does CSR committee drive the association between corporate social responsibility and firm performance? International evidence</b:Title>
    <b:JournalName>Managerial Finance</b:JournalName>
    <b:Year>2023</b:Year>
    <b:Month>04</b:Month>
    <b:Day>20</b:Day>
    <b:Publisher>Emerald Publishing Limited</b:Publisher>
    <b:YearAccessed>2023</b:YearAccessed>
    <b:MonthAccessed>09</b:MonthAccessed>
    <b:DayAccessed>04</b:DayAccessed>
    <b:DOI>https://doi.org/10.1108/MF-10-2022-0508</b:DOI>
    <b:Author>
      <b:Author>
        <b:NameList>
          <b:Person>
            <b:Last>Khan</b:Last>
            <b:First>Aamir</b:First>
          </b:Person>
          <b:Person>
            <b:Last>Afeef</b:Last>
            <b:First>Mustafa </b:First>
          </b:Person>
          <b:Person>
            <b:Last>Ilyas</b:Last>
            <b:First>Muhammad </b:First>
          </b:Person>
          <b:Person>
            <b:Last>Jan</b:Last>
            <b:First>Shahid </b:First>
          </b:Person>
        </b:NameList>
      </b:Author>
    </b:Author>
    <b:RefOrder>199</b:RefOrder>
  </b:Source>
  <b:Source>
    <b:Tag>Placeholder5</b:Tag>
    <b:SourceType>Report</b:SourceType>
    <b:Guid>{EEA3CB9A-567A-4575-97FC-89367E819108}</b:Guid>
    <b:Title>Middle East and North Africa</b:Title>
    <b:Year>2021</b:Year>
    <b:URL>https://thedocs.worldbank.org/en/doc/e1ee32f3549c5283c46ca44047843890-0280012021/original/World-Bank-2021-MENA-Regional-Update.pdf</b:URL>
    <b:Author>
      <b:Author>
        <b:NameList>
          <b:Person>
            <b:Last>World Bank Group </b:Last>
          </b:Person>
        </b:NameList>
      </b:Author>
    </b:Author>
    <b:YearAccessed>2023</b:YearAccessed>
    <b:MonthAccessed>09</b:MonthAccessed>
    <b:DayAccessed>04</b:DayAccessed>
    <b:RefOrder>207</b:RefOrder>
  </b:Source>
  <b:Source>
    <b:Tag>Abd19</b:Tag>
    <b:SourceType>JournalArticle</b:SourceType>
    <b:Guid>{FD8B1FCD-7564-428F-B339-50557FBE27A5}</b:Guid>
    <b:Title>Can CSR help achieve sustainable development? Applying a new assessment model to CSR cases from Egypt</b:Title>
    <b:JournalName>International Journal of Sociology and Social Policy</b:JournalName>
    <b:Year>2019</b:Year>
    <b:Pages>773-795</b:Pages>
    <b:Author>
      <b:Author>
        <b:NameList>
          <b:Person>
            <b:Last>Abdelhalim</b:Last>
            <b:First>Khalid </b:First>
          </b:Person>
          <b:Person>
            <b:Last>Gamal Eldin </b:Last>
            <b:First>Amani </b:First>
          </b:Person>
        </b:NameList>
      </b:Author>
    </b:Author>
    <b:Month>11</b:Month>
    <b:Day>21</b:Day>
    <b:Publisher>Emerald Publishing Limited</b:Publisher>
    <b:Volume>39</b:Volume>
    <b:Issue>10</b:Issue>
    <b:YearAccessed>2023</b:YearAccessed>
    <b:MonthAccessed>09</b:MonthAccessed>
    <b:DayAccessed>04</b:DayAccessed>
    <b:DOI>https://doi.org/10.1108/IJSSP-06-2019-0120</b:DOI>
    <b:RefOrder>208</b:RefOrder>
  </b:Source>
  <b:Source>
    <b:Tag>Osm21</b:Tag>
    <b:SourceType>JournalArticle</b:SourceType>
    <b:Guid>{0BB41C39-4DE6-4C44-9774-E6D1E1B73D51}</b:Guid>
    <b:Title>Contextualising and critically theorising corporate social responsibility reporting: Dynamics of the late Mubarak Era in Egypt</b:Title>
    <b:Year>2021</b:Year>
    <b:Volume>74</b:Volume>
    <b:Author>
      <b:Author>
        <b:NameList>
          <b:Person>
            <b:Last>Osman</b:Last>
            <b:First>Mohamed</b:First>
          </b:Person>
          <b:Person>
            <b:Last>Gallhofer</b:Last>
            <b:First>Sonja </b:First>
          </b:Person>
          <b:Person>
            <b:Last>Haslam</b:Last>
            <b:First>Jim </b:First>
          </b:Person>
        </b:NameList>
      </b:Author>
    </b:Author>
    <b:Month>01</b:Month>
    <b:YearAccessed>2023</b:YearAccessed>
    <b:MonthAccessed>09</b:MonthAccessed>
    <b:DayAccessed>05</b:DayAccessed>
    <b:DOI>https://doi.org/10.1016/j.cpa.2020.102166</b:DOI>
    <b:RefOrder>214</b:RefOrder>
  </b:Source>
  <b:Source>
    <b:Tag>Abd23</b:Tag>
    <b:SourceType>JournalArticle</b:SourceType>
    <b:Guid>{A456F9CD-CFF2-4D6F-8973-3A3A6529270A}</b:Guid>
    <b:Title>The Moderating Role of Online Social Media in the Relationship between Corporate Social Responsibility Disclosure and Investment Decisions: Evidence from Egypt</b:Title>
    <b:JournalName>International Journal of Financial Studies</b:JournalName>
    <b:Year>2023</b:Year>
    <b:Volume>11</b:Volume>
    <b:Issue>2</b:Issue>
    <b:Author>
      <b:Author>
        <b:NameList>
          <b:Person>
            <b:Last>Abdel Magid</b:Last>
            <b:First>Ahmed </b:First>
          </b:Person>
          <b:Person>
            <b:Last>Hussainey</b:Last>
            <b:First>Khaled </b:First>
          </b:Person>
          <b:Person>
            <b:Last>Andrés</b:Last>
            <b:Middle>De</b:Middle>
            <b:First>Javier </b:First>
          </b:Person>
          <b:Person>
            <b:Last>Lorca</b:Last>
            <b:First>Pedro</b:First>
          </b:Person>
        </b:NameList>
      </b:Author>
    </b:Author>
    <b:Month>04</b:Month>
    <b:Day>01</b:Day>
    <b:YearAccessed>2023</b:YearAccessed>
    <b:MonthAccessed>09</b:MonthAccessed>
    <b:DayAccessed>05</b:DayAccessed>
    <b:DOI>https://doi.org/10.3390/ijfs11020060</b:DOI>
    <b:RefOrder>423</b:RefOrder>
  </b:Source>
  <b:Source>
    <b:Tag>Kha221</b:Tag>
    <b:SourceType>JournalArticle</b:SourceType>
    <b:Guid>{09D1FD8A-8878-4D45-AEF8-DA064D82D880}</b:Guid>
    <b:Title>The impact of corporate social responsibility on corporate image in the construction industry: A case of SMEs in Egypt</b:Title>
    <b:JournalName>Journal of Sustainable Finance &amp; Investment</b:JournalName>
    <b:Year>2022</b:Year>
    <b:Pages>128-146</b:Pages>
    <b:Volume>12</b:Volume>
    <b:Issue>1</b:Issue>
    <b:YearAccessed>2023</b:YearAccessed>
    <b:MonthAccessed>09</b:MonthAccessed>
    <b:DayAccessed>05</b:DayAccessed>
    <b:DOI>10.1080/20430795.2021.1930992</b:DOI>
    <b:Author>
      <b:Author>
        <b:NameList>
          <b:Person>
            <b:Last>Khamis</b:Last>
            <b:Middle>Ibrahim </b:Middle>
            <b:First>Naglaa </b:First>
          </b:Person>
          <b:Person>
            <b:Last> Ismail</b:Last>
            <b:Middle>Khairuzzaman Wan</b:Middle>
            <b:First>Wan </b:First>
          </b:Person>
        </b:NameList>
      </b:Author>
    </b:Author>
    <b:RefOrder>278</b:RefOrder>
  </b:Source>
  <b:Source>
    <b:Tag>Ami21</b:Tag>
    <b:SourceType>JournalArticle</b:SourceType>
    <b:Guid>{247E106D-AB03-4171-9A9C-D606DE390C95}</b:Guid>
    <b:Title>CSR disclosure on Twitter: Evidence from the UK.</b:Title>
    <b:JournalName>International Journal of Accounting Information</b:JournalName>
    <b:Year>2021</b:Year>
    <b:Month>03</b:Month>
    <b:Volume>40</b:Volume>
    <b:YearAccessed>2023</b:YearAccessed>
    <b:MonthAccessed>09</b:MonthAccessed>
    <b:DayAccessed>05</b:DayAccessed>
    <b:DOI>https://doi.org/10.1016/j.accinf.2021.100500</b:DOI>
    <b:Author>
      <b:Author>
        <b:NameList>
          <b:Person>
            <b:Last>Amin</b:Last>
            <b:Middle>H.</b:Middle>
            <b:First>Marian </b:First>
          </b:Person>
          <b:Person>
            <b:Last>Mohamed</b:Last>
            <b:Middle>K. A. </b:Middle>
            <b:First>Ehab </b:First>
          </b:Person>
          <b:Person>
            <b:Last>Elragal</b:Last>
            <b:First>Ahmed </b:First>
          </b:Person>
        </b:NameList>
      </b:Author>
    </b:Author>
    <b:RefOrder>3</b:RefOrder>
  </b:Source>
  <b:Source>
    <b:Tag>Tea21</b:Tag>
    <b:SourceType>JournalArticle</b:SourceType>
    <b:Guid>{A09AFA96-C359-4B26-9543-AECFA8D737EB}</b:Guid>
    <b:Title>CSR motives on situational scepticism towards luxury brands</b:Title>
    <b:JournalName>Marketing Intelligence &amp; Planning</b:JournalName>
    <b:Year>2021</b:Year>
    <b:Pages>1-17</b:Pages>
    <b:Author>
      <b:Author>
        <b:NameList>
          <b:Person>
            <b:Last>Teah</b:Last>
            <b:First>Kevin </b:First>
          </b:Person>
          <b:Person>
            <b:Last>Sung</b:Last>
            <b:First>Billy </b:First>
          </b:Person>
          <b:Person>
            <b:Last>Phau</b:Last>
            <b:First>Ian </b:First>
          </b:Person>
        </b:NameList>
      </b:Author>
    </b:Author>
    <b:Month>08</b:Month>
    <b:Day>21</b:Day>
    <b:Publisher>Emerald Publishing Limited</b:Publisher>
    <b:Volume>40</b:Volume>
    <b:Issue>1</b:Issue>
    <b:YearAccessed>2023</b:YearAccessed>
    <b:MonthAccessed>09</b:MonthAccessed>
    <b:DayAccessed>06</b:DayAccessed>
    <b:DOI>https://doi.org/10.1108/MIP-05-2021-0143</b:DOI>
    <b:RefOrder>400</b:RefOrder>
  </b:Source>
  <b:Source>
    <b:Tag>OhH17</b:Tag>
    <b:SourceType>JournalArticle</b:SourceType>
    <b:Guid>{A72D4A17-F5E4-4F13-9E22-3A840C715637}</b:Guid>
    <b:Title>Can Sinful Firms Benefit from Advertising Their CSR Efforts? Adverse Effect of Advertising Sinful Firms’ CSR Engagements on Firm Performance</b:Title>
    <b:JournalName>Journal of Business Ethics</b:JournalName>
    <b:Year>2017</b:Year>
    <b:Pages>643–663</b:Pages>
    <b:Author>
      <b:Author>
        <b:NameList>
          <b:Person>
            <b:Last>Oh</b:Last>
            <b:First>Hannah </b:First>
          </b:Person>
          <b:Person>
            <b:Last>Bae</b:Last>
            <b:First>John </b:First>
          </b:Person>
          <b:Person>
            <b:Last>Kim</b:Last>
            <b:First>Sang-Joon </b:First>
          </b:Person>
        </b:NameList>
      </b:Author>
    </b:Author>
    <b:Volume>143</b:Volume>
    <b:YearAccessed>2023</b:YearAccessed>
    <b:MonthAccessed>09</b:MonthAccessed>
    <b:DayAccessed>06</b:DayAccessed>
    <b:DOI>https://doi.org/10.1007/s10551-016-3072-3</b:DOI>
    <b:RefOrder>398</b:RefOrder>
  </b:Source>
  <b:Source>
    <b:Tag>Kuo201</b:Tag>
    <b:SourceType>JournalArticle</b:SourceType>
    <b:Guid>{443704C2-3E2B-402B-BED3-F9231EDA326D}</b:Guid>
    <b:Title>Companies, Meet Ethical Consumers: Strategic CSR Management to Impact Consumer Choice</b:Title>
    <b:JournalName>Journal of Business Ethics</b:JournalName>
    <b:Year>2020</b:Year>
    <b:Pages>403-423</b:Pages>
    <b:Author>
      <b:Author>
        <b:NameList>
          <b:Person>
            <b:Last>Kuokkanen</b:Last>
            <b:First>Henri </b:First>
          </b:Person>
          <b:Person>
            <b:Last>Sun</b:Last>
            <b:First>William</b:First>
          </b:Person>
        </b:NameList>
      </b:Author>
    </b:Author>
    <b:Month>10</b:Month>
    <b:Volume>166</b:Volume>
    <b:YearAccessed>2023</b:YearAccessed>
    <b:MonthAccessed>09</b:MonthAccessed>
    <b:DayAccessed>06</b:DayAccessed>
    <b:DOI>https://doi.org/10.1007/s10551-019-04145-4</b:DOI>
    <b:RefOrder>370</b:RefOrder>
  </b:Source>
  <b:Source>
    <b:Tag>Tol20</b:Tag>
    <b:SourceType>JournalArticle</b:SourceType>
    <b:Guid>{394DE80B-E932-4D83-BEB1-CB4497874FF4}</b:Guid>
    <b:Title>Formal and informal institutional pressures on corporate social responsibility: A cross-country analysis</b:Title>
    <b:JournalName>Corporate Social Responsibility and Environmental Management</b:JournalName>
    <b:Year>2020</b:Year>
    <b:Pages>786-802</b:Pages>
    <b:Month>04</b:Month>
    <b:Volume>27</b:Volume>
    <b:Issue>2</b:Issue>
    <b:YearAccessed>2023</b:YearAccessed>
    <b:MonthAccessed>09</b:MonthAccessed>
    <b:DayAccessed>06</b:DayAccessed>
    <b:DOI>https://doi.org/10.1002/csr.1844</b:DOI>
    <b:Author>
      <b:Author>
        <b:NameList>
          <b:Person>
            <b:Last>Tolmie</b:Last>
            <b:Middle>Reisdorf </b:Middle>
            <b:First>Carri </b:First>
          </b:Person>
          <b:Person>
            <b:Last>Lehnert</b:Last>
            <b:First>Kevin </b:First>
          </b:Person>
          <b:Person>
            <b:Last>Zhao</b:Last>
            <b:First>Hongxin </b:First>
          </b:Person>
        </b:NameList>
      </b:Author>
    </b:Author>
    <b:RefOrder>371</b:RefOrder>
  </b:Source>
  <b:Source>
    <b:Tag>Far23</b:Tag>
    <b:SourceType>InternetSite</b:SourceType>
    <b:Guid>{39F53F5D-F82A-40E7-A652-D1BEB2199091}</b:Guid>
    <b:Title>Largest global advertisers 2021</b:Title>
    <b:InternetSiteTitle>Statista</b:InternetSiteTitle>
    <b:Year>2023</b:Year>
    <b:Month>01</b:Month>
    <b:Day>06</b:Day>
    <b:URL>https://www.statista.com/statistics/286448/largest-global-advertisers/#:~:text=In%202021%2C%20Procter%20%26%20Gamble%20won,spending%20of%204.7%20billion%20dollars.</b:URL>
    <b:Author>
      <b:Author>
        <b:NameList>
          <b:Person>
            <b:Last>Faria</b:Last>
            <b:First>Julia</b:First>
          </b:Person>
        </b:NameList>
      </b:Author>
    </b:Author>
    <b:RefOrder>381</b:RefOrder>
  </b:Source>
  <b:Source>
    <b:Tag>NZa22</b:Tag>
    <b:SourceType>InternetSite</b:SourceType>
    <b:Guid>{409B4A45-A1FB-4F9B-8B51-5861653EA52A}</b:Guid>
    <b:Title>More than meets the eye: The functional components underlying influencer marketing</b:Title>
    <b:Year>2022</b:Year>
    <b:InternetSiteTitle>Straits Research</b:InternetSiteTitle>
    <b:Month>05</b:Month>
    <b:Day>31</b:Day>
    <b:URL>https://straitsresearch.com/blog/cpg-industry-spends-on-digital-advertising#:~:text=Consumer%20packaged%20goods%20(CPG)%20companies,advertisers%2C%20food%20and%20beverage%20brands.</b:URL>
    <b:Author>
      <b:Author>
        <b:NameList>
          <b:Person>
            <b:Last>N</b:Last>
            <b:First>Zahabia</b:First>
          </b:Person>
        </b:NameList>
      </b:Author>
    </b:Author>
    <b:RefOrder>382</b:RefOrder>
  </b:Source>
  <b:Source>
    <b:Tag>Ris21</b:Tag>
    <b:SourceType>JournalArticle</b:SourceType>
    <b:Guid>{4A4F1F9A-B6AD-470F-B261-0D7A97E030C0}</b:Guid>
    <b:Title>The impact of sustainability on marketing strategy and business performance: The case of Italian fisheries</b:Title>
    <b:Year>2021</b:Year>
    <b:Month>12</b:Month>
    <b:Day>30</b:Day>
    <b:JournalName>Business Strategy and the Environment</b:JournalName>
    <b:Pages>1538-1551</b:Pages>
    <b:Volume>31</b:Volume>
    <b:Issue>4</b:Issue>
    <b:YearAccessed>2023</b:YearAccessed>
    <b:MonthAccessed>09</b:MonthAccessed>
    <b:DayAccessed>06</b:DayAccessed>
    <b:DOI>https://doi.org/10.1002/bse.2968</b:DOI>
    <b:Author>
      <b:Author>
        <b:NameList>
          <b:Person>
            <b:Last>Risitano</b:Last>
            <b:First>Marcello </b:First>
          </b:Person>
          <b:Person>
            <b:Last>Romano</b:Last>
            <b:First>Rosaria </b:First>
          </b:Person>
          <b:Person>
            <b:Last>Rusciano</b:Last>
            <b:First>Vincenzo </b:First>
          </b:Person>
          <b:Person>
            <b:Last>Civero</b:Last>
            <b:First>Gennaro </b:First>
          </b:Person>
          <b:Person>
            <b:Last>Scarpato</b:Last>
            <b:First>Debora </b:First>
          </b:Person>
        </b:NameList>
      </b:Author>
    </b:Author>
    <b:RefOrder>377</b:RefOrder>
  </b:Source>
  <b:Source>
    <b:Tag>Sil20</b:Tag>
    <b:SourceType>JournalArticle</b:SourceType>
    <b:Guid>{39A9C03F-8956-4E4C-806B-AC283691E1DE}</b:Guid>
    <b:Title>How companies evaluate the ROI of social media marketing programmes: insights from B2B and B2C</b:Title>
    <b:JournalName>Journal of Business &amp; Industrial Marketing</b:JournalName>
    <b:Year>2020</b:Year>
    <b:Pages>2097-2110</b:Pages>
    <b:Month>05</b:Month>
    <b:Day>14</b:Day>
    <b:Publisher>Emerald Publishing Limited</b:Publisher>
    <b:Volume>35</b:Volume>
    <b:Issue>12</b:Issue>
    <b:YearAccessed>2023</b:YearAccessed>
    <b:MonthAccessed>09</b:MonthAccessed>
    <b:DayAccessed>06</b:DayAccessed>
    <b:DOI>https://doi.org/10.1108/JBIM-06-2019-0291</b:DOI>
    <b:Author>
      <b:Author>
        <b:NameList>
          <b:Person>
            <b:Last>Silva</b:Last>
            <b:Middle>C.</b:Middle>
            <b:First>Susana </b:First>
          </b:Person>
          <b:Person>
            <b:Last>Duarte</b:Last>
            <b:Middle>Alexandre Oliveira </b:Middle>
            <b:First>Paulo </b:First>
          </b:Person>
          <b:Person>
            <b:Last>Almeida </b:Last>
            <b:Middle>Resende </b:Middle>
            <b:First>Sara </b:First>
          </b:Person>
        </b:NameList>
      </b:Author>
    </b:Author>
    <b:RefOrder>378</b:RefOrder>
  </b:Source>
  <b:Source>
    <b:Tag>Sin23</b:Tag>
    <b:SourceType>JournalArticle</b:SourceType>
    <b:Guid>{45611298-C563-4F07-9CD7-CE89892048EE}</b:Guid>
    <b:Title>Corporate social responsibility and behavioral intentions: A mediating mechanism of Brand Recognition</b:Title>
    <b:JournalName>Corporate social responsibility and Environmental Management</b:JournalName>
    <b:Year>2023</b:Year>
    <b:Pages>1698-1711</b:Pages>
    <b:Author>
      <b:Author>
        <b:NameList>
          <b:Person>
            <b:Last>Singh</b:Last>
            <b:First>Varsha </b:First>
          </b:Person>
          <b:Person>
            <b:Last>Kathuria</b:Last>
            <b:First>Sakshi </b:First>
          </b:Person>
          <b:Person>
            <b:Last>Puri</b:Last>
            <b:First>Deepika </b:First>
          </b:Person>
          <b:Person>
            <b:Last>Kapoor</b:Last>
            <b:First>Bharat </b:First>
          </b:Person>
        </b:NameList>
      </b:Author>
    </b:Author>
    <b:Month>01</b:Month>
    <b:Day>18</b:Day>
    <b:YearAccessed>2023</b:YearAccessed>
    <b:MonthAccessed>09</b:MonthAccessed>
    <b:DayAccessed>06</b:DayAccessed>
    <b:DOI> https://doi.org/10.1002/csr.2445</b:DOI>
    <b:RefOrder>253</b:RefOrder>
  </b:Source>
  <b:Source>
    <b:Tag>Chu19</b:Tag>
    <b:SourceType>JournalArticle</b:SourceType>
    <b:Guid>{C7A4E59C-F806-4D40-BB19-1CAA4A13F9D5}</b:Guid>
    <b:Title>Impact of consumers' corporate social responsibility-related activities in social media on brand attitude, electronic word-of-mouth intention, and purchase intention: A study of Chinese consumer behavior</b:Title>
    <b:JournalName>Journal of Consumer Behaviour</b:JournalName>
    <b:Year>2019</b:Year>
    <b:Pages>453-462</b:Pages>
    <b:Month>12</b:Month>
    <b:Day>27</b:Day>
    <b:Volume>18</b:Volume>
    <b:Issue>6</b:Issue>
    <b:YearAccessed>2023</b:YearAccessed>
    <b:MonthAccessed>09</b:MonthAccessed>
    <b:DayAccessed>07</b:DayAccessed>
    <b:DOI> https://doi.org/10.1002/cb.1784</b:DOI>
    <b:Author>
      <b:Author>
        <b:NameList>
          <b:Person>
            <b:Last>Chu</b:Last>
            <b:First>Shu-Chuan </b:First>
          </b:Person>
          <b:Person>
            <b:Last>Chen</b:Last>
            <b:First>Hsuan-Ting </b:First>
          </b:Person>
        </b:NameList>
      </b:Author>
    </b:Author>
    <b:RefOrder>229</b:RefOrder>
  </b:Source>
  <b:Source>
    <b:Tag>Muk20</b:Tag>
    <b:SourceType>JournalArticle</b:SourceType>
    <b:Guid>{45E0C0DB-4F39-4C75-89A7-0FB3FEBDB13B}</b:Guid>
    <b:Title>Brand activism: Does courting controversy help or hurt a brand?</b:Title>
    <b:JournalName>International Journal of Research in Marketing</b:JournalName>
    <b:Year>2020</b:Year>
    <b:Pages>772-788</b:Pages>
    <b:Month>12</b:Month>
    <b:Volume>37</b:Volume>
    <b:Issue>4</b:Issue>
    <b:YearAccessed>2023</b:YearAccessed>
    <b:MonthAccessed>09</b:MonthAccessed>
    <b:DayAccessed>07</b:DayAccessed>
    <b:DOI>https://doi.org/10.1016/j.ijresmar.2020.02.008</b:DOI>
    <b:Author>
      <b:Author>
        <b:NameList>
          <b:Person>
            <b:Last>Mukherjee</b:Last>
            <b:First>Sourjo </b:First>
          </b:Person>
          <b:Person>
            <b:Last>Althuizen</b:Last>
            <b:First>Niek </b:First>
          </b:Person>
        </b:NameList>
      </b:Author>
    </b:Author>
    <b:RefOrder>230</b:RefOrder>
  </b:Source>
  <b:Source>
    <b:Tag>Chi20</b:Tag>
    <b:SourceType>JournalArticle</b:SourceType>
    <b:Guid>{C80C846E-ED7A-483D-859A-424030247848}</b:Guid>
    <b:Title>The impact of endorser and brand credibility on consumers’ purchase intention: the mediating effect of attitude towards brand and brand credibility</b:Title>
    <b:JournalName>Journal of Marketing Communications</b:JournalName>
    <b:Year>2020</b:Year>
    <b:Pages>896-912</b:Pages>
    <b:Volume>26</b:Volume>
    <b:Issue>8</b:Issue>
    <b:YearAccessed>2023</b:YearAccessed>
    <b:MonthAccessed>09</b:MonthAccessed>
    <b:DayAccessed>07</b:DayAccessed>
    <b:DOI>https://doi.org/10.1080/13527266.2019.1604561</b:DOI>
    <b:Author>
      <b:Author>
        <b:NameList>
          <b:Person>
            <b:Last>Chin</b:Last>
            <b:Middle>Nie </b:Middle>
            <b:First>Phaik </b:First>
          </b:Person>
          <b:Person>
            <b:Last>Isa</b:Last>
            <b:Middle>Mohd </b:Middle>
            <b:First>Salmi </b:First>
          </b:Person>
          <b:Person>
            <b:Last>Alodin</b:Last>
            <b:First>Yasmin </b:First>
          </b:Person>
        </b:NameList>
      </b:Author>
    </b:Author>
    <b:RefOrder>228</b:RefOrder>
  </b:Source>
  <b:Source>
    <b:Tag>Raz19</b:Tag>
    <b:SourceType>JournalArticle</b:SourceType>
    <b:Guid>{A3403C14-873B-4E2B-BE28-2D9E6D959087}</b:Guid>
    <b:Title>Brand awareness as	predictors	of repurchase intention: Brand</b:Title>
    <b:JournalName>Advances	in Social Sciences Research Journal</b:JournalName>
    <b:Year>2019</b:Year>
    <b:Pages>541-554</b:Pages>
    <b:Author>
      <b:Author>
        <b:NameList>
          <b:Person>
            <b:Last>Razak</b:Last>
            <b:First>Nurlaely	</b:First>
          </b:Person>
          <b:Person>
            <b:Last>Themba</b:Last>
            <b:Middle>Syahreffy</b:Middle>
            <b:First>Orfyanny		</b:First>
          </b:Person>
          <b:Person>
            <b:Last>Sjahruddin</b:Last>
            <b:First>Herman	</b:First>
          </b:Person>
        </b:NameList>
      </b:Author>
    </b:Author>
    <b:Month>02</b:Month>
    <b:Day>25</b:Day>
    <b:Volume>6</b:Volume>
    <b:Issue>2</b:Issue>
    <b:YearAccessed>2023</b:YearAccessed>
    <b:MonthAccessed>09</b:MonthAccessed>
    <b:DayAccessed>07</b:DayAccessed>
    <b:DOI>10.14738/assrj.62.6264.</b:DOI>
    <b:RefOrder>239</b:RefOrder>
  </b:Source>
  <b:Source>
    <b:Tag>For191</b:Tag>
    <b:SourceType>JournalArticle</b:SourceType>
    <b:Guid>{D0596558-C13C-45C0-8232-871F2A85874B}</b:Guid>
    <b:Title>Influence of brand signature, brand awareness, brand attitude, brand reputation on hotel industry’s brand performance</b:Title>
    <b:JournalName>International Journal of Hospitality Management</b:JournalName>
    <b:Year>2019</b:Year>
    <b:Pages>271-285</b:Pages>
    <b:Month>01</b:Month>
    <b:Volume>76 A</b:Volume>
    <b:YearAccessed>2023</b:YearAccessed>
    <b:MonthAccessed>09</b:MonthAccessed>
    <b:DayAccessed>07</b:DayAccessed>
    <b:DOI>https://doi.org/10.1016/j.ijhm.2018.05.016</b:DOI>
    <b:Author>
      <b:Author>
        <b:NameList>
          <b:Person>
            <b:Last>Foroudi</b:Last>
            <b:First>Pantea </b:First>
          </b:Person>
        </b:NameList>
      </b:Author>
    </b:Author>
    <b:RefOrder>238</b:RefOrder>
  </b:Source>
  <b:Source>
    <b:Tag>Hwa17</b:Tag>
    <b:SourceType>JournalArticle</b:SourceType>
    <b:Guid>{521928CB-E4C8-4042-B246-21A4E0676F97}</b:Guid>
    <b:Title>First-class airline travelers’ tendency to seek uniqueness: how does it influence their purchase of expensive tickets?</b:Title>
    <b:JournalName>Journal of Travel &amp; Tourism Marketing</b:JournalName>
    <b:Year>2017</b:Year>
    <b:Pages>935-947</b:Pages>
    <b:Volume>34</b:Volume>
    <b:Issue>7</b:Issue>
    <b:YearAccessed>2023</b:YearAccessed>
    <b:MonthAccessed>09</b:MonthAccessed>
    <b:DayAccessed>07</b:DayAccessed>
    <b:DOI>https://doi.org/10.1080/10548408.2016.1251376</b:DOI>
    <b:Author>
      <b:Author>
        <b:NameList>
          <b:Person>
            <b:Last>Hwang</b:Last>
            <b:First>Jinsoo </b:First>
          </b:Person>
          <b:Person>
            <b:Last>Hyun</b:Last>
            <b:Middle>Sean </b:Middle>
            <b:First>Sunghyup </b:First>
          </b:Person>
        </b:NameList>
      </b:Author>
    </b:Author>
    <b:RefOrder>240</b:RefOrder>
  </b:Source>
  <b:Source>
    <b:Tag>Hwa21</b:Tag>
    <b:SourceType>JournalArticle</b:SourceType>
    <b:Guid>{CC39CBEE-B3D7-41C5-AA7E-7AA13704912E}</b:Guid>
    <b:Title>Human baristas and robot baristas: How does brand experience affect brand satisfaction, brand attitude, brand attachment, and brand loyalty?</b:Title>
    <b:JournalName>International Journal of Hospitality Management</b:JournalName>
    <b:Year>2021</b:Year>
    <b:Month>10</b:Month>
    <b:Volume>99</b:Volume>
    <b:YearAccessed>2023</b:YearAccessed>
    <b:MonthAccessed>09</b:MonthAccessed>
    <b:DayAccessed>07</b:DayAccessed>
    <b:DOI>https://doi.org/10.1016/j.ijhm.2021.103050</b:DOI>
    <b:Author>
      <b:Author>
        <b:NameList>
          <b:Person>
            <b:Last>Hwang</b:Last>
            <b:First>Jinsoo </b:First>
          </b:Person>
          <b:Person>
            <b:Last>Choe</b:Last>
            <b:Middle>(Jacey) </b:Middle>
            <b:First>Ja Young </b:First>
          </b:Person>
          <b:Person>
            <b:Last>Kim</b:Last>
            <b:Middle>Markham </b:Middle>
            <b:First>Heather </b:First>
          </b:Person>
          <b:Person>
            <b:Last>Kim</b:Last>
            <b:Middle>Jenny </b:Middle>
            <b:First> Jinkyung </b:First>
          </b:Person>
        </b:NameList>
      </b:Author>
    </b:Author>
    <b:RefOrder>247</b:RefOrder>
  </b:Source>
  <b:Source>
    <b:Tag>Riz20</b:Tag>
    <b:SourceType>JournalArticle</b:SourceType>
    <b:Guid>{BA7FE534-7A38-4093-9189-2E27C27CCE31}</b:Guid>
    <b:Title>Brand Experience Clustering and Depiction of Brand Satisfaction, Brand Loyalty and Emotional Confidence</b:Title>
    <b:JournalName>Foundations of Management</b:JournalName>
    <b:Year>2020</b:Year>
    <b:Pages>111 - 124</b:Pages>
    <b:Month>07</b:Month>
    <b:Day>24</b:Day>
    <b:Volume>12</b:Volume>
    <b:Issue>1</b:Issue>
    <b:YearAccessed>2032</b:YearAccessed>
    <b:MonthAccessed>09</b:MonthAccessed>
    <b:DayAccessed>07</b:DayAccessed>
    <b:DOI>https://doi.org/10.2478/fman-2020-0009</b:DOI>
    <b:Author>
      <b:Author>
        <b:NameList>
          <b:Person>
            <b:Last>Rizvi</b:Last>
            <b:Middle>H</b:Middle>
            <b:First>Wajid </b:First>
          </b:Person>
          <b:Person>
            <b:Last>Memon</b:Last>
            <b:First>Salman</b:First>
          </b:Person>
          <b:Person>
            <b:Last>Dahri</b:Last>
            <b:Middle>Samad </b:Middle>
            <b:First>Abdul </b:First>
          </b:Person>
        </b:NameList>
      </b:Author>
    </b:Author>
    <b:RefOrder>249</b:RefOrder>
  </b:Source>
  <b:Source>
    <b:Tag>Par101</b:Tag>
    <b:SourceType>JournalArticle</b:SourceType>
    <b:Guid>{9071DD22-1C94-4BDE-97CC-36D9A514A87D}</b:Guid>
    <b:Title>Brand Attachment and Brand Attitude Strength: Conceptual and Empirical Differentiation of Two Critical Brand Equity Drivers</b:Title>
    <b:JournalName>Journal of Marketing</b:JournalName>
    <b:Year>2010</b:Year>
    <b:Pages>1-17</b:Pages>
    <b:Author>
      <b:Author>
        <b:NameList>
          <b:Person>
            <b:Last>Park </b:Last>
            <b:Middle>Whan </b:Middle>
            <b:First>C. </b:First>
          </b:Person>
          <b:Person>
            <b:Last>Macinnis</b:Last>
            <b:Middle>J.</b:Middle>
            <b:First>Deborah </b:First>
          </b:Person>
          <b:Person>
            <b:Last>Priester</b:Last>
            <b:First>Joseph </b:First>
          </b:Person>
          <b:Person>
            <b:Last>Eisingerich</b:Last>
            <b:Middle>B.</b:Middle>
            <b:First>Andreas </b:First>
          </b:Person>
          <b:Person>
            <b:Last>Iacobucci</b:Last>
            <b:First>Dawn </b:First>
          </b:Person>
        </b:NameList>
      </b:Author>
    </b:Author>
    <b:Month>11</b:Month>
    <b:Day>1</b:Day>
    <b:Volume>74</b:Volume>
    <b:Issue>6</b:Issue>
    <b:YearAccessed>2023</b:YearAccessed>
    <b:MonthAccessed>09</b:MonthAccessed>
    <b:DayAccessed>07</b:DayAccessed>
    <b:DOI>https://doi.org/10.1509/jmkg.74.6.1</b:DOI>
    <b:RefOrder>1326</b:RefOrder>
  </b:Source>
  <b:Source>
    <b:Tag>Boz18</b:Tag>
    <b:SourceType>ConferenceProceedings</b:SourceType>
    <b:Guid>{9E372CF4-9130-4327-8541-3DE8A9FD0AE1}</b:Guid>
    <b:Title>The Relationship between Brand Love and Brand Attitude</b:Title>
    <b:Year>2018</b:Year>
    <b:Pages>8-9</b:Pages>
    <b:ConferenceName>The 2nd Conference on Management and Business</b:ConferenceName>
    <b:Author>
      <b:Author>
        <b:NameList>
          <b:Person>
            <b:Last>Bozbay</b:Last>
            <b:First>Zehra </b:First>
          </b:Person>
          <b:Person>
            <b:Last>Karami</b:Last>
            <b:First>Azhdar </b:First>
          </b:Person>
          <b:Person>
            <b:Last>Arghashi</b:Last>
            <b:First>Vahideh </b:First>
          </b:Person>
        </b:NameList>
      </b:Author>
    </b:Author>
    <b:YearAccessed>2023</b:YearAccessed>
    <b:MonthAccessed>09</b:MonthAccessed>
    <b:DayAccessed>07</b:DayAccessed>
    <b:URL>https://d1wqtxts1xzle7.cloudfront.net/56925842/the_relationship_between_brand_love-libre.pdf?1530709444=&amp;response-content-disposition=inline%3B+filename%3DThe_Relationship_between_Brand_Love_and.pdf&amp;Expires=1694097746&amp;Signature=M7UsWh8HUS3K5krawHXnbJ3y0~z</b:URL>
    <b:RefOrder>250</b:RefOrder>
  </b:Source>
  <b:Source>
    <b:Tag>Lee18</b:Tag>
    <b:SourceType>JournalArticle</b:SourceType>
    <b:Guid>{CFB42F0A-FFD2-4AD3-95DE-F17976ABC3D4}</b:Guid>
    <b:Title>Attributes of the coffee shop business related to customer satisfaction</b:Title>
    <b:Pages>628-641</b:Pages>
    <b:Year>2018</b:Year>
    <b:JournalName>Journal of Foodservice Business Research</b:JournalName>
    <b:Month>10</b:Month>
    <b:Day>04</b:Day>
    <b:Volume>21</b:Volume>
    <b:Issue>6</b:Issue>
    <b:YearAccessed>2023</b:YearAccessed>
    <b:MonthAccessed>09</b:MonthAccessed>
    <b:DayAccessed>07</b:DayAccessed>
    <b:DOI>https://doi.org/10.1080/15378020.2018.1524227</b:DOI>
    <b:Author>
      <b:Author>
        <b:NameList>
          <b:Person>
            <b:Last>Lee</b:Last>
            <b:Middle>Seok </b:Middle>
            <b:First>Won </b:First>
          </b:Person>
          <b:Person>
            <b:Last>Moon</b:Last>
            <b:First>Joonho </b:First>
          </b:Person>
          <b:Person>
            <b:Last>Song</b:Last>
            <b:First>Myungkeun </b:First>
          </b:Person>
        </b:NameList>
      </b:Author>
    </b:Author>
    <b:RefOrder>251</b:RefOrder>
  </b:Source>
  <b:Source>
    <b:Tag>Han181</b:Tag>
    <b:SourceType>JournalArticle</b:SourceType>
    <b:Guid>{B3A090CE-33C6-401F-99B6-630722466FCA}</b:Guid>
    <b:Title>Drivers of brand loyalty in the chain coffee shop industry</b:Title>
    <b:JournalName>International Journal of Hospitality Management</b:JournalName>
    <b:Year>2018</b:Year>
    <b:Pages>86-97</b:Pages>
    <b:Month>06</b:Month>
    <b:Volume>72</b:Volume>
    <b:YearAccessed>2023</b:YearAccessed>
    <b:MonthAccessed>09</b:MonthAccessed>
    <b:DayAccessed>07</b:DayAccessed>
    <b:DOI>https://doi.org/10.1016/j.ijhm.2017.12.011</b:DOI>
    <b:Author>
      <b:Author>
        <b:NameList>
          <b:Person>
            <b:Last>Han</b:Last>
            <b:First>Heesup </b:First>
          </b:Person>
          <b:Person>
            <b:Last>Nguyen</b:Last>
            <b:Middle>Ngoc </b:Middle>
            <b:First>Hong </b:First>
          </b:Person>
          <b:Person>
            <b:Last>Song</b:Last>
            <b:First>Hakjun </b:First>
          </b:Person>
          <b:Person>
            <b:Last>Chua</b:Last>
            <b:First>Bee-Lia </b:First>
          </b:Person>
          <b:Person>
            <b:Last>Lee </b:Last>
            <b:First>Sanghyeop </b:First>
          </b:Person>
          <b:Person>
            <b:Last>Kim</b:Last>
            <b:First>Wansoo</b:First>
          </b:Person>
        </b:NameList>
      </b:Author>
    </b:Author>
    <b:RefOrder>252</b:RefOrder>
  </b:Source>
  <b:Source>
    <b:Tag>Jin191</b:Tag>
    <b:SourceType>JournalArticle</b:SourceType>
    <b:Guid>{216BE090-3BCE-486D-93DF-0C6BA9A67842}</b:Guid>
    <b:Title>The influence of brand color identity on brand association and loyalty</b:Title>
    <b:JournalName>Journal of Product &amp; Brand Management</b:JournalName>
    <b:Year>2019</b:Year>
    <b:Pages>50-62</b:Pages>
    <b:Author>
      <b:Author>
        <b:NameList>
          <b:Person>
            <b:Last>Jin</b:Last>
            <b:First>ChangHyun </b:First>
          </b:Person>
          <b:Person>
            <b:Last>Yoon</b:Last>
            <b:First>MoonSun </b:First>
          </b:Person>
          <b:Person>
            <b:Last>Lee</b:Last>
            <b:First>JungYong </b:First>
          </b:Person>
        </b:NameList>
      </b:Author>
    </b:Author>
    <b:Month>02</b:Month>
    <b:Day>20</b:Day>
    <b:Publisher>Emerald Publishing Limited</b:Publisher>
    <b:Volume>28</b:Volume>
    <b:Issue>1</b:Issue>
    <b:YearAccessed>2023</b:YearAccessed>
    <b:MonthAccessed>09</b:MonthAccessed>
    <b:DayAccessed>07</b:DayAccessed>
    <b:DOI>https://doi.org/10.1108/JPBM-09-2017-1587</b:DOI>
    <b:RefOrder>1327</b:RefOrder>
  </b:Source>
  <b:Source>
    <b:Tag>Kol23</b:Tag>
    <b:SourceType>JournalArticle</b:SourceType>
    <b:Guid>{92640048-C2CC-4431-B3CF-05912C0B2CD2}</b:Guid>
    <b:Title>Stakeholder-oriented brand management: A Venn-diagram approach to monitor brand associations</b:Title>
    <b:JournalName>European Management Journal</b:JournalName>
    <b:Year>2023</b:Year>
    <b:Pages>437-444</b:Pages>
    <b:Month>06</b:Month>
    <b:Volume>41</b:Volume>
    <b:Issue>3</b:Issue>
    <b:YearAccessed>2023</b:YearAccessed>
    <b:MonthAccessed>09</b:MonthAccessed>
    <b:DayAccessed>07</b:DayAccessed>
    <b:DOI>https://doi.org/10.1016/j.emj.2022.03.004</b:DOI>
    <b:Author>
      <b:Author>
        <b:NameList>
          <b:Person>
            <b:Last>Koll</b:Last>
            <b:First>Oliver</b:First>
          </b:Person>
          <b:Person>
            <b:Last>Wallpach</b:Last>
            <b:Middle>von</b:Middle>
            <b:First>Sylvia </b:First>
          </b:Person>
          <b:Person>
            <b:Last>Uzelac</b:Last>
            <b:First>Borislav </b:First>
          </b:Person>
        </b:NameList>
      </b:Author>
    </b:Author>
    <b:RefOrder>1328</b:RefOrder>
  </b:Source>
  <b:Source>
    <b:Tag>Van15</b:Tag>
    <b:SourceType>JournalArticle</b:SourceType>
    <b:Guid>{F04B2991-8AC4-4E97-89E5-3F15518362CD}</b:Guid>
    <b:Title>Playing with fire: aggravating and buffering effects of ex ante CSR communication campaigns for companies facing allegations of social irresponsibility</b:Title>
    <b:JournalName>Marketing Letters</b:JournalName>
    <b:Year>2015</b:Year>
    <b:Pages>565–578</b:Pages>
    <b:Author>
      <b:Author>
        <b:NameList>
          <b:Person>
            <b:Last>Vanhamme</b:Last>
            <b:First>Joëlle </b:First>
          </b:Person>
          <b:Person>
            <b:Last>Swaen</b:Last>
            <b:First>Valérie </b:First>
          </b:Person>
          <b:Person>
            <b:Last>Berens</b:Last>
            <b:First>Guido </b:First>
          </b:Person>
          <b:Person>
            <b:Last>Janssen</b:Last>
            <b:First>Catherine </b:First>
          </b:Person>
        </b:NameList>
      </b:Author>
    </b:Author>
    <b:Month>12</b:Month>
    <b:YearAccessed>2023</b:YearAccessed>
    <b:MonthAccessed>09</b:MonthAccessed>
    <b:DayAccessed>07</b:DayAccessed>
    <b:DOI>https://doi.org/10.1007/s11002-014-9290-5</b:DOI>
    <b:RefOrder>275</b:RefOrder>
  </b:Source>
  <b:Source>
    <b:Tag>Put23</b:Tag>
    <b:SourceType>ConferenceProceedings</b:SourceType>
    <b:Guid>{733D940E-D035-45DD-AD4E-285BC51C80AC}</b:Guid>
    <b:Title>Cyber CSR Communication Strategic of the Body Shop Indonesia (Literature Study Through Official Website Of The Body Shop Indonesia)</b:Title>
    <b:ConferenceName>Proceedings of the 3rd International Conference on Transformation in Communications 2017 (IcoTiC 2017)</b:ConferenceName>
    <b:Publisher>Atlantis Press</b:Publisher>
    <b:Author>
      <b:Author>
        <b:NameList>
          <b:Person>
            <b:Last>Putra</b:Last>
            <b:Middle>Rivaldy </b:Middle>
            <b:First>Niadi </b:First>
          </b:Person>
          <b:Person>
            <b:Last>Lestari</b:Last>
            <b:Middle>Tri</b:Middle>
            <b:First>Martha </b:First>
          </b:Person>
          <b:Person>
            <b:Last>Nasionalita</b:Last>
            <b:First>Kharisma </b:First>
          </b:Person>
        </b:NameList>
      </b:Author>
    </b:Author>
    <b:YearAccessed>2023</b:YearAccessed>
    <b:MonthAccessed>09</b:MonthAccessed>
    <b:DayAccessed>07</b:DayAccessed>
    <b:URL>http://creativecommons.org/licenses/by-nc/4.0/</b:URL>
    <b:Year>2017</b:Year>
    <b:RefOrder>276</b:RefOrder>
  </b:Source>
  <b:Source>
    <b:Tag>Ver212</b:Tag>
    <b:SourceType>JournalArticle</b:SourceType>
    <b:Guid>{D67CE1CD-B34F-4125-B146-EF172E9A2314}</b:Guid>
    <b:Title>A Dynamic Review of the Emergence of Corporate Social Responsibility Communication</b:Title>
    <b:Pages>491-515</b:Pages>
    <b:Year>2021</b:Year>
    <b:JournalName>Journal of Business Ethics</b:JournalName>
    <b:Month>01</b:Month>
    <b:YearAccessed>2023</b:YearAccessed>
    <b:MonthAccessed>09</b:MonthAccessed>
    <b:DayAccessed>07</b:DayAccessed>
    <b:DOI>https://doi.org/10.1007/s10551-019-04232-6</b:DOI>
    <b:Author>
      <b:Author>
        <b:NameList>
          <b:Person>
            <b:Last>Verk</b:Last>
            <b:First>Nataša </b:First>
          </b:Person>
          <b:Person>
            <b:Last>Golob</b:Last>
            <b:First>Urša </b:First>
          </b:Person>
          <b:Person>
            <b:Last>Podnar </b:Last>
            <b:First>Klement </b:First>
          </b:Person>
        </b:NameList>
      </b:Author>
    </b:Author>
    <b:RefOrder>277</b:RefOrder>
  </b:Source>
  <b:Source>
    <b:Tag>Kan23</b:Tag>
    <b:SourceType>JournalArticle</b:SourceType>
    <b:Guid>{20034292-1E02-4AC0-B0AB-B57862B5EBCF}</b:Guid>
    <b:Title>Will consumers give us another chance to bounce back? Effects of precrisis commitments to social and product responsibility on brand resilience</b:Title>
    <b:JournalName>Journal of Product &amp; Brand Management</b:JournalName>
    <b:Year>2023</b:Year>
    <b:Pages>927-941</b:Pages>
    <b:Month>01</b:Month>
    <b:Day>20</b:Day>
    <b:Publisher>Emerald Publishing Limited</b:Publisher>
    <b:Volume>32</b:Volume>
    <b:Issue>6</b:Issue>
    <b:YearAccessed>2023</b:YearAccessed>
    <b:MonthAccessed>09</b:MonthAccessed>
    <b:DayAccessed>08</b:DayAccessed>
    <b:DOI>https://doi.org/10.1108/JPBM-03-2022-3899</b:DOI>
    <b:Author>
      <b:Author>
        <b:NameList>
          <b:Person>
            <b:Last>Kang</b:Last>
            <b:First>Jiyun </b:First>
          </b:Person>
          <b:Person>
            <b:Last>Faria</b:Last>
            <b:Middle>A.</b:Middle>
            <b:First>Amy </b:First>
          </b:Person>
          <b:Person>
            <b:Last>Lee</b:Last>
            <b:First>Judy</b:First>
          </b:Person>
          <b:Person>
            <b:Last>Choi </b:Last>
            <b:Middle>Jin</b:Middle>
            <b:First>Woo </b:First>
          </b:Person>
        </b:NameList>
      </b:Author>
    </b:Author>
    <b:RefOrder>281</b:RefOrder>
  </b:Source>
  <b:Source>
    <b:Tag>Ngy15</b:Tag>
    <b:SourceType>JournalArticle</b:SourceType>
    <b:Guid>{DC15FAB1-70D4-4FB9-9DF6-6D8314B0C9B3}</b:Guid>
    <b:Title>The Brand Likeability Scale: An Exploratory Study of Likeability in Firm-Level Brands</b:Title>
    <b:JournalName>International Journal of Market Research</b:JournalName>
    <b:Year>2015</b:Year>
    <b:Pages>777–800</b:Pages>
    <b:Month>09</b:Month>
    <b:Day>01</b:Day>
    <b:Volume>57</b:Volume>
    <b:Issue>5</b:Issue>
    <b:YearAccessed>2023</b:YearAccessed>
    <b:MonthAccessed>09</b:MonthAccessed>
    <b:DayAccessed>08</b:DayAccessed>
    <b:DOI>https://doi.org/10.2501/IJMR-2015-063</b:DOI>
    <b:Author>
      <b:Author>
        <b:NameList>
          <b:Person>
            <b:Last>Nguyen</b:Last>
            <b:First>Bang </b:First>
          </b:Person>
          <b:Person>
            <b:Last>Ekinci</b:Last>
            <b:First>Yuksel </b:First>
          </b:Person>
          <b:Person>
            <b:Last>Simkin</b:Last>
            <b:First>Lyndon </b:First>
          </b:Person>
          <b:Person>
            <b:Last>Melewar</b:Last>
            <b:First>T.C.</b:First>
          </b:Person>
        </b:NameList>
      </b:Author>
    </b:Author>
    <b:RefOrder>282</b:RefOrder>
  </b:Source>
  <b:Source>
    <b:Tag>Ott16</b:Tag>
    <b:SourceType>JournalArticle</b:SourceType>
    <b:Guid>{589220B4-D75C-4C4D-9D8C-C2200BE766A2}</b:Guid>
    <b:Title>Effect of Message Interactivity on Product Attitudes and Purchase Intentions</b:Title>
    <b:JournalName>Journal of Promotion Management</b:JournalName>
    <b:Year>2016</b:Year>
    <b:Pages>89-106</b:Pages>
    <b:Month>02</b:Month>
    <b:Day>09</b:Day>
    <b:Volume>22</b:Volume>
    <b:Issue>1</b:Issue>
    <b:YearAccessed>2023</b:YearAccessed>
    <b:MonthAccessed>09</b:MonthAccessed>
    <b:DayAccessed>08</b:DayAccessed>
    <b:DOI>https://doi-org.lsbu.idm.oclc.org/10.1080/10496491.2015.1107011</b:DOI>
    <b:Author>
      <b:Author>
        <b:NameList>
          <b:Person>
            <b:Last>Ott</b:Last>
            <b:Middle>K.</b:Middle>
            <b:First>Holly</b:First>
          </b:Person>
          <b:Person>
            <b:Last>Vafeiadis</b:Last>
            <b:First>Michail </b:First>
          </b:Person>
          <b:Person>
            <b:Last>Kumble</b:Last>
            <b:First>Sushma </b:First>
          </b:Person>
          <b:Person>
            <b:Last>Waddell</b:Last>
            <b:Middle>Franklin </b:Middle>
            <b:First>T. </b:First>
          </b:Person>
        </b:NameList>
      </b:Author>
    </b:Author>
    <b:RefOrder>283</b:RefOrder>
  </b:Source>
  <b:Source>
    <b:Tag>Lam13</b:Tag>
    <b:SourceType>JournalArticle</b:SourceType>
    <b:Guid>{E85D33D7-6941-4764-B658-567502EC2685}</b:Guid>
    <b:Title>Exploring the dynamics of antecedents to consumer–brand identification with a new brand</b:Title>
    <b:JournalName>Journal of the Academy of Marketing Science</b:JournalName>
    <b:Year>2013</b:Year>
    <b:Pages>234–252</b:Pages>
    <b:Volume>41</b:Volume>
    <b:DOI>https://doi.org/10.1007/s11747-012-0301-x</b:DOI>
    <b:Author>
      <b:Author>
        <b:NameList>
          <b:Person>
            <b:Last>Lam</b:Last>
            <b:Middle>K.</b:Middle>
            <b:First>Son </b:First>
          </b:Person>
          <b:Person>
            <b:Last>Ahearne</b:Last>
            <b:First>Michael </b:First>
          </b:Person>
          <b:Person>
            <b:Last>Mullins</b:Last>
            <b:First>Ryan </b:First>
          </b:Person>
          <b:Person>
            <b:Last>Hayati</b:Last>
            <b:First>Babak </b:First>
          </b:Person>
          <b:Person>
            <b:Last>Schillewaert </b:Last>
            <b:First>Niels </b:First>
          </b:Person>
        </b:NameList>
      </b:Author>
    </b:Author>
    <b:RefOrder>284</b:RefOrder>
  </b:Source>
  <b:Source>
    <b:Tag>Pha17</b:Tag>
    <b:SourceType>ConferenceProceedings</b:SourceType>
    <b:Guid>{501C4457-096F-429A-A540-ECAA50034D45}</b:Guid>
    <b:Title>Understanding Emotional Responses to Mobile Video Advertisements via Physiological Signal Sensing and Facial Expression Analysis</b:Title>
    <b:Year>2017</b:Year>
    <b:Pages>67-78</b:Pages>
    <b:ConferenceName>Proceedings of the 22nd International Conference on Intelligent User Interfaces</b:ConferenceName>
    <b:Author>
      <b:Author>
        <b:NameList>
          <b:Person>
            <b:Last>Pham</b:Last>
            <b:First>Phuong </b:First>
          </b:Person>
          <b:Person>
            <b:Last>Wang</b:Last>
            <b:First>Jingtao </b:First>
          </b:Person>
        </b:NameList>
      </b:Author>
    </b:Author>
    <b:YearAccessed>2023</b:YearAccessed>
    <b:MonthAccessed>09</b:MonthAccessed>
    <b:DayAccessed>08</b:DayAccessed>
    <b:DOI>10.1145/3025171.3025186</b:DOI>
    <b:RefOrder>321</b:RefOrder>
  </b:Source>
  <b:Source>
    <b:Tag>Poe19</b:Tag>
    <b:SourceType>JournalArticle</b:SourceType>
    <b:Guid>{21A3C135-31F0-485A-A54E-2CF1CC025FF8}</b:Guid>
    <b:Title>The Role of Emotions in Advertising: A Call to Action</b:Title>
    <b:Pages>81-90</b:Pages>
    <b:Year>2019</b:Year>
    <b:JournalName>Journal of Advertising</b:JournalName>
    <b:Month>04</b:Month>
    <b:Day>03</b:Day>
    <b:Volume>48</b:Volume>
    <b:Issue>1</b:Issue>
    <b:YearAccessed>2023</b:YearAccessed>
    <b:MonthAccessed>09</b:MonthAccessed>
    <b:DayAccessed>08</b:DayAccessed>
    <b:DOI>https://doi.org/10.1080/00913367.2019.1579688</b:DOI>
    <b:Author>
      <b:Author>
        <b:NameList>
          <b:Person>
            <b:Last>Poels</b:Last>
            <b:First>Karolien </b:First>
          </b:Person>
          <b:Person>
            <b:Last>Dewitte</b:Last>
            <b:First>Siegfried </b:First>
          </b:Person>
        </b:NameList>
      </b:Author>
    </b:Author>
    <b:RefOrder>322</b:RefOrder>
  </b:Source>
  <b:Source>
    <b:Tag>Kat211</b:Tag>
    <b:SourceType>JournalArticle</b:SourceType>
    <b:Guid>{E1CDD94B-4F7A-4A81-8C17-8A07C413A6E1}</b:Guid>
    <b:Title>Functional value vs emotional value: A comparative study of the values that contribute to a preference for a corporate brand</b:Title>
    <b:JournalName>International Journal of Information Management Data Insights</b:JournalName>
    <b:Year>2021</b:Year>
    <b:Month>11</b:Month>
    <b:Volume>1</b:Volume>
    <b:Issue>2</b:Issue>
    <b:YearAccessed>2023</b:YearAccessed>
    <b:MonthAccessed>09</b:MonthAccessed>
    <b:DayAccessed>08</b:DayAccessed>
    <b:DOI>10.1016/j.jjimei.2021.100024</b:DOI>
    <b:Author>
      <b:Author>
        <b:NameList>
          <b:Person>
            <b:Last>Kato</b:Last>
            <b:First>Takumi </b:First>
          </b:Person>
        </b:NameList>
      </b:Author>
    </b:Author>
    <b:RefOrder>334</b:RefOrder>
  </b:Source>
  <b:Source>
    <b:Tag>Nob08</b:Tag>
    <b:SourceType>JournalArticle</b:SourceType>
    <b:Guid>{F83FA050-7ABC-4D87-8FD4-EA07D4BCF8FD}</b:Guid>
    <b:Title>Using product design strategically to create deeper consumer connections</b:Title>
    <b:JournalName>Business Horizons</b:JournalName>
    <b:Year>2008</b:Year>
    <b:Pages>441-450</b:Pages>
    <b:Month>10</b:Month>
    <b:Volume>51</b:Volume>
    <b:Issue>5</b:Issue>
    <b:YearAccessed>2023</b:YearAccessed>
    <b:MonthAccessed>09</b:MonthAccessed>
    <b:DayAccessed>08</b:DayAccessed>
    <b:DOI>https://doi.org/10.1016/j.bushor.2008.03.006</b:DOI>
    <b:Author>
      <b:Author>
        <b:NameList>
          <b:Person>
            <b:Last>Noble</b:Last>
            <b:Middle>H.</b:Middle>
            <b:First>Charles </b:First>
          </b:Person>
          <b:Person>
            <b:Last>Kumar</b:Last>
            <b:First>Minu </b:First>
          </b:Person>
        </b:NameList>
      </b:Author>
    </b:Author>
    <b:RefOrder>335</b:RefOrder>
  </b:Source>
  <b:Source>
    <b:Tag>Pin18</b:Tag>
    <b:SourceType>JournalArticle</b:SourceType>
    <b:Guid>{5A17AF26-FC06-4B6C-8BB2-F42AC36ACE54}</b:Guid>
    <b:Title>The influence of the attributes of “Internet of Things” products on functional and emotional experiences of purchase intention</b:Title>
    <b:JournalName>Innovation and Management Review</b:JournalName>
    <b:Year>2018</b:Year>
    <b:Pages>303-320</b:Pages>
    <b:Month>08</b:Month>
    <b:Day>14</b:Day>
    <b:Publisher>Emerald Publishing Limited</b:Publisher>
    <b:Volume>15</b:Volume>
    <b:Issue>3</b:Issue>
    <b:YearAccessed>2023</b:YearAccessed>
    <b:MonthAccessed>09</b:MonthAccessed>
    <b:DayAccessed>08</b:DayAccessed>
    <b:DOI>https://doi.org/10.1108/INMR-05-2018-0028</b:DOI>
    <b:Author>
      <b:Author>
        <b:NameList>
          <b:Person>
            <b:Last>Pinochet</b:Last>
            <b:Middle> Hernan Contreras </b:Middle>
            <b:First>Luis</b:First>
          </b:Person>
          <b:Person>
            <b:Last>Lopes</b:Last>
            <b:Middle>Luiz </b:Middle>
            <b:First>Evandro </b:First>
          </b:Person>
          <b:Person>
            <b:Last>Srulzon</b:Last>
            <b:Middle>Henrique Fernandes </b:Middle>
            <b:First>Caio </b:First>
          </b:Person>
          <b:Person>
            <b:Last>Onusic </b:Last>
            <b:Middle>Massaro </b:Middle>
            <b:First>Luciana </b:First>
          </b:Person>
        </b:NameList>
      </b:Author>
    </b:Author>
    <b:RefOrder>336</b:RefOrder>
  </b:Source>
  <b:Source>
    <b:Tag>Mat14</b:Tag>
    <b:SourceType>JournalArticle</b:SourceType>
    <b:Guid>{AEF7E4CF-73D2-47EE-80C7-300CB48C0B0B}</b:Guid>
    <b:Title>Consumers' green involvement and the persuasive effects of emotional versus functional ads</b:Title>
    <b:JournalName>Journal of Business Research</b:JournalName>
    <b:Year>2014</b:Year>
    <b:Pages>1885-1893</b:Pages>
    <b:Month>09</b:Month>
    <b:Volume>67</b:Volume>
    <b:Issue>9</b:Issue>
    <b:YearAccessed>2023</b:YearAccessed>
    <b:MonthAccessed>09</b:MonthAccessed>
    <b:DayAccessed>08</b:DayAccessed>
    <b:DOI>https://doi.org/10.1016/j.jbusres.2013.11.054</b:DOI>
    <b:Author>
      <b:Author>
        <b:NameList>
          <b:Person>
            <b:Last>Matthes</b:Last>
            <b:First>Jörg </b:First>
          </b:Person>
          <b:Person>
            <b:Last>Wonneberger</b:Last>
            <b:First>Anke </b:First>
          </b:Person>
          <b:Person>
            <b:Last>Schmuck</b:Last>
            <b:First>Desirée </b:First>
          </b:Person>
        </b:NameList>
      </b:Author>
    </b:Author>
    <b:RefOrder>332</b:RefOrder>
  </b:Source>
  <b:Source>
    <b:Tag>Xia191</b:Tag>
    <b:SourceType>JournalArticle</b:SourceType>
    <b:Guid>{5A6C3DD4-D88F-4CCD-B735-8CAA79FB7234}</b:Guid>
    <b:Title>The Effects of Online Shopping Context Cues on Consumers’ Purchase Intention for Cross-Border E-Commerce Sustainability</b:Title>
    <b:JournalName>Sustainability</b:JournalName>
    <b:Year>2019</b:Year>
    <b:Month>05</b:Month>
    <b:Day>15</b:Day>
    <b:Volume>11</b:Volume>
    <b:Issue>10</b:Issue>
    <b:YearAccessed>2023</b:YearAccessed>
    <b:MonthAccessed>09</b:MonthAccessed>
    <b:DayAccessed>08</b:DayAccessed>
    <b:DOI>https://doi.org/10.3390/su11102777</b:DOI>
    <b:Author>
      <b:Author>
        <b:NameList>
          <b:Person>
            <b:Last>Xiao</b:Last>
            <b:First>Liang</b:First>
          </b:Person>
          <b:Person>
            <b:Last>Guo</b:Last>
            <b:First>Feipeng </b:First>
          </b:Person>
          <b:Person>
            <b:Last>Yu</b:Last>
            <b:First>Fumao</b:First>
          </b:Person>
          <b:Person>
            <b:Last>Liu</b:Last>
            <b:First>Shengnan </b:First>
          </b:Person>
        </b:NameList>
      </b:Author>
    </b:Author>
    <b:RefOrder>333</b:RefOrder>
  </b:Source>
  <b:Source>
    <b:Tag>18cur</b:Tag>
    <b:SourceType>JournalArticle</b:SourceType>
    <b:Guid>{E395A719-A419-4BD1-AF6A-CD246B1BC301}</b:Guid>
    <b:Title>How social, environmental, and economic CSR affects consumer-perceived value: Does perceived consumer effectiveness make a difference?</b:Title>
    <b:JournalName>Corporate Social Responsibility and environmental Management</b:JournalName>
    <b:Year>2018</b:Year>
    <b:Pages>733-747</b:Pages>
    <b:Month>10</b:Month>
    <b:Volume>25</b:Volume>
    <b:Issue>5</b:Issue>
    <b:YearAccessed>2023</b:YearAccessed>
    <b:MonthAccessed>09</b:MonthAccessed>
    <b:DayAccessed>08</b:DayAccessed>
    <b:DOI> https://doi.org/10.1002/csr.1490</b:DOI>
    <b:Author>
      <b:Author>
        <b:NameList>
          <b:Person>
            <b:Last>Currás-Pérez</b:Last>
            <b:First>Rafael </b:First>
          </b:Person>
          <b:Person>
            <b:Last>Dolz-Dolz</b:Last>
            <b:First>Consuelo </b:First>
          </b:Person>
          <b:Person>
            <b:Last>Miquel-Romero</b:Last>
            <b:Middle>J.</b:Middle>
            <b:First>María </b:First>
          </b:Person>
          <b:Person>
            <b:Last>Sánchez-García</b:Last>
            <b:First>Isabel </b:First>
          </b:Person>
        </b:NameList>
      </b:Author>
    </b:Author>
    <b:RefOrder>104</b:RefOrder>
  </b:Source>
  <b:Source>
    <b:Tag>Gre11</b:Tag>
    <b:SourceType>JournalArticle</b:SourceType>
    <b:Guid>{A16671E2-C2E9-40E7-ABD5-9393CD69A4A6}</b:Guid>
    <b:Title>How does corporate social responsibility create value for consumers?</b:Title>
    <b:JournalName>Journal of Consumer Marketing</b:JournalName>
    <b:Year>2011</b:Year>
    <b:Pages>48-56</b:Pages>
    <b:Month>01</b:Month>
    <b:Day>25</b:Day>
    <b:Publisher>Emerald Group Publishing Limited</b:Publisher>
    <b:Volume>28</b:Volume>
    <b:Issue>1</b:Issue>
    <b:YearAccessed>2023</b:YearAccessed>
    <b:MonthAccessed>09</b:MonthAccessed>
    <b:DayAccessed>08</b:DayAccessed>
    <b:DOI> https://doi.org/10.1108/07363761111101949</b:DOI>
    <b:Author>
      <b:Author>
        <b:NameList>
          <b:Person>
            <b:Last>Green</b:Last>
            <b:First>Todd </b:First>
          </b:Person>
          <b:Person>
            <b:Last>Peloza </b:Last>
            <b:First>John </b:First>
          </b:Person>
        </b:NameList>
      </b:Author>
    </b:Author>
    <b:RefOrder>338</b:RefOrder>
  </b:Source>
  <b:Source>
    <b:Tag>Pér20</b:Tag>
    <b:SourceType>JournalArticle</b:SourceType>
    <b:Guid>{734B74DE-01CC-4E35-8E2B-ACA472723B36}</b:Guid>
    <b:Title>Effects of the Type of CSR Discourse for Utilitarian and Hedonic Services</b:Title>
    <b:JournalName>Sustainability</b:JournalName>
    <b:Year>2020</b:Year>
    <b:Month>06</b:Month>
    <b:Day>12</b:Day>
    <b:Volume>12</b:Volume>
    <b:Issue>12</b:Issue>
    <b:YearAccessed>2023</b:YearAccessed>
    <b:MonthAccessed>09</b:MonthAccessed>
    <b:DayAccessed>08</b:DayAccessed>
    <b:DOI>https://doi.org/10.3390/su12124821</b:DOI>
    <b:Author>
      <b:Author>
        <b:NameList>
          <b:Person>
            <b:Last>Pérez</b:Last>
            <b:First>Andrea </b:First>
          </b:Person>
          <b:Person>
            <b:Last> los Salmones</b:Last>
            <b:Middle>Mar García de</b:Middle>
            <b:First>María del </b:First>
          </b:Person>
          <b:Person>
            <b:Last>Baraibar-Diez</b:Last>
            <b:First>Elisa </b:First>
          </b:Person>
        </b:NameList>
      </b:Author>
    </b:Author>
    <b:RefOrder>337</b:RefOrder>
  </b:Source>
  <b:Source>
    <b:Tag>Wos23</b:Tag>
    <b:SourceType>InternetSite</b:SourceType>
    <b:Guid>{CC57AD20-7C54-4B11-B0D4-D371772CE728}</b:Guid>
    <b:Title>What is the difference between sustainability, CSR and ESG in business context?</b:Title>
    <b:Year>2023</b:Year>
    <b:InternetSiteTitle>LinkedIn</b:InternetSiteTitle>
    <b:Month>03</b:Month>
    <b:Day>15</b:Day>
    <b:URL>https://www.linkedin.com/pulse/what-difference-between-sustainability-csr-esg-context-wosi%C5%84ska/</b:URL>
    <b:Author>
      <b:Author>
        <b:NameList>
          <b:Person>
            <b:Last>Wosińska</b:Last>
            <b:First>Kamila </b:First>
          </b:Person>
        </b:NameList>
      </b:Author>
    </b:Author>
    <b:RefOrder>478</b:RefOrder>
  </b:Source>
  <b:Source>
    <b:Tag>Hwa19</b:Tag>
    <b:SourceType>JournalArticle</b:SourceType>
    <b:Guid>{4DB028B6-3104-4702-8353-5721DD0FA642}</b:Guid>
    <b:Title>Building loyalty through reward programs: the influence of perceptions of fairness and brand attachment</b:Title>
    <b:Year>2019</b:Year>
    <b:Month>01</b:Month>
    <b:JournalName>International Journal of Hospitality Management</b:JournalName>
    <b:Pages>19-28</b:Pages>
    <b:Volume>76A</b:Volume>
    <b:YearAccessed>2023</b:YearAccessed>
    <b:MonthAccessed>09</b:MonthAccessed>
    <b:DayAccessed>08</b:DayAccessed>
    <b:DOI>https://doi.org/10.1016/j.ijhm.2018.03.009</b:DOI>
    <b:Author>
      <b:Author>
        <b:NameList>
          <b:Person>
            <b:Last>Hwang</b:Last>
            <b:First>Eunmin </b:First>
          </b:Person>
          <b:Person>
            <b:Last>Baloglu</b:Last>
            <b:First>Seyhmus </b:First>
          </b:Person>
          <b:Person>
            <b:Last>Tanford</b:Last>
            <b:First>Sarah </b:First>
          </b:Person>
        </b:NameList>
      </b:Author>
    </b:Author>
    <b:RefOrder>339</b:RefOrder>
  </b:Source>
  <b:Source>
    <b:Tag>Pro15</b:Tag>
    <b:SourceType>JournalArticle</b:SourceType>
    <b:Guid>{E1F235FE-5E8A-42BD-8650-7EEE2F14FDEF}</b:Guid>
    <b:Title>Competence Enhancement and Anticipated Emotion as Motivational Drivers of Brand Attachment</b:Title>
    <b:JournalName>Psychology and Marketing </b:JournalName>
    <b:Year>2015</b:Year>
    <b:Pages>934-949</b:Pages>
    <b:Author>
      <b:Author>
        <b:NameList>
          <b:Person>
            <b:Last>Proksch</b:Last>
            <b:First>Michael </b:First>
          </b:Person>
          <b:Person>
            <b:Last>Orth</b:Last>
            <b:Middle>R.</b:Middle>
            <b:First>Ulrich </b:First>
          </b:Person>
          <b:Person>
            <b:Last>Cornwell</b:Last>
            <b:Middle>Bettina </b:Middle>
            <b:First>T. </b:First>
          </b:Person>
        </b:NameList>
      </b:Author>
    </b:Author>
    <b:Month>08</b:Month>
    <b:Volume>32</b:Volume>
    <b:Issue>9</b:Issue>
    <b:YearAccessed>2023</b:YearAccessed>
    <b:MonthAccessed>09</b:MonthAccessed>
    <b:DayAccessed>08</b:DayAccessed>
    <b:DOI>https://doi.org/10.1002/mar.20828</b:DOI>
    <b:RefOrder>340</b:RefOrder>
  </b:Source>
  <b:Source>
    <b:Tag>Uga23</b:Tag>
    <b:SourceType>JournalArticle</b:SourceType>
    <b:Guid>{AC33E8A7-8DCF-4450-8D65-1005332B597E}</b:Guid>
    <b:Title>Brand attachment toward functional, symbolic and hedonic brands</b:Title>
    <b:JournalName>Journal of Fashion Marketing and Management</b:JournalName>
    <b:Year>2023</b:Year>
    <b:Pages>470-488</b:Pages>
    <b:Month>05</b:Month>
    <b:Day>03</b:Day>
    <b:Publisher>Emerald Publishing Limited</b:Publisher>
    <b:Volume>27</b:Volume>
    <b:Issue>3</b:Issue>
    <b:YearAccessed>2023</b:YearAccessed>
    <b:MonthAccessed>09</b:MonthAccessed>
    <b:DayAccessed>08</b:DayAccessed>
    <b:DOI>https://doi.org/10.1108/JFMM-09-2021-0228</b:DOI>
    <b:Author>
      <b:Author>
        <b:NameList>
          <b:Person>
            <b:Last>Ugalde</b:Last>
            <b:First>Cecilia </b:First>
          </b:Person>
          <b:Person>
            <b:Last>Vila-Lopez</b:Last>
            <b:First>Natalia </b:First>
          </b:Person>
          <b:Person>
            <b:Last> Kuster-Boluda</b:Last>
            <b:First>Ines</b:First>
          </b:Person>
        </b:NameList>
      </b:Author>
    </b:Author>
    <b:RefOrder>341</b:RefOrder>
  </b:Source>
  <b:Source>
    <b:Tag>Ani16</b:Tag>
    <b:SourceType>JournalArticle</b:SourceType>
    <b:Guid>{F38CB349-805D-431F-BD8A-C476B12AC4F2}</b:Guid>
    <b:Title>Integrating Multiple Factors Affecting Consumer Behavior Toward Organic Foods: The Role of Healthism, Hedonism, and Trust in Consumer Purchase Intentions of Organic Foods</b:Title>
    <b:JournalName>Journal of Food Products Marketing</b:JournalName>
    <b:Year>2016</b:Year>
    <b:Pages>809-823</b:Pages>
    <b:Month>06</b:Month>
    <b:Day>14</b:Day>
    <b:Volume>22</b:Volume>
    <b:Issue>7</b:Issue>
    <b:YearAccessed>2023</b:YearAccessed>
    <b:MonthAccessed>09</b:MonthAccessed>
    <b:DayAccessed>08</b:DayAccessed>
    <b:DOI>https://doi.org/10.1080/10454446.2015.1121429</b:DOI>
    <b:Author>
      <b:Author>
        <b:NameList>
          <b:Person>
            <b:Last>Anisimova</b:Last>
            <b:First>Tatiana </b:First>
          </b:Person>
        </b:NameList>
      </b:Author>
    </b:Author>
    <b:RefOrder>508</b:RefOrder>
  </b:Source>
  <b:Source>
    <b:Tag>Paç19</b:Tag>
    <b:SourceType>JournalArticle</b:SourceType>
    <b:Guid>{003FF9E9-2D65-4E65-A52C-D42A0F0D23A7}</b:Guid>
    <b:Title>A new model for testing green consumer behaviour</b:Title>
    <b:JournalName>Journal of Cleaner Production</b:JournalName>
    <b:Year>2019</b:Year>
    <b:Pages>998-1006</b:Pages>
    <b:Month>01</b:Month>
    <b:Day>10</b:Day>
    <b:Volume>207</b:Volume>
    <b:YearAccessed>2023</b:YearAccessed>
    <b:MonthAccessed>09</b:MonthAccessed>
    <b:DayAccessed>09</b:DayAccessed>
    <b:DOI>https://doi.org/10.1016/j.jclepro.2018.10.105</b:DOI>
    <b:Author>
      <b:Author>
        <b:NameList>
          <b:Person>
            <b:Last>Paço </b:Last>
            <b:Middle>do</b:Middle>
            <b:First>Arminda </b:First>
          </b:Person>
          <b:Person>
            <b:Last>Shiel </b:Last>
            <b:First>Chris </b:First>
          </b:Person>
          <b:Person>
            <b:Last>Alves</b:Last>
            <b:First>Helena </b:First>
          </b:Person>
        </b:NameList>
      </b:Author>
    </b:Author>
    <b:RefOrder>509</b:RefOrder>
  </b:Source>
  <b:Source>
    <b:Tag>Zha20</b:Tag>
    <b:SourceType>JournalArticle</b:SourceType>
    <b:Guid>{A71BFFED-77B6-4D5C-B23B-9CCE7B3CCCB4}</b:Guid>
    <b:Title>A Systematic Review of Experimental Studies Investigating the Effect of Cause-Related Marketing on Consumer Purchase Intention</b:Title>
    <b:JournalName>Sustainability</b:JournalName>
    <b:Year>2020</b:Year>
    <b:Volume>12</b:Volume>
    <b:Issue>22</b:Issue>
    <b:YearAccessed>2023</b:YearAccessed>
    <b:MonthAccessed>09</b:MonthAccessed>
    <b:DayAccessed>09</b:DayAccessed>
    <b:DOI>https://doi.org/10.3390/su12229609</b:DOI>
    <b:Author>
      <b:Author>
        <b:NameList>
          <b:Person>
            <b:Last>Zhang</b:Last>
            <b:First>Anran </b:First>
          </b:Person>
          <b:Person>
            <b:Last>Saleme</b:Last>
            <b:First>Pamela </b:First>
          </b:Person>
          <b:Person>
            <b:Last>Pang</b:Last>
            <b:First>Bo </b:First>
          </b:Person>
          <b:Person>
            <b:Last>Durl</b:Last>
            <b:First>James </b:First>
          </b:Person>
          <b:Person>
            <b:Last>Xu</b:Last>
            <b:First>Zhengliang </b:First>
          </b:Person>
        </b:NameList>
      </b:Author>
    </b:Author>
    <b:RefOrder>515</b:RefOrder>
  </b:Source>
  <b:Source>
    <b:Tag>Zha231</b:Tag>
    <b:SourceType>JournalArticle</b:SourceType>
    <b:Guid>{0BA21C16-F480-44DD-A347-F8030CA9DA6F}</b:Guid>
    <b:Title>Verifying the Effectiveness of Online Cause-Related Advertising: Fosused on Brand Relationship, Attachment, and Ethical Consumption Propensity</b:Title>
    <b:JournalName>Preprints</b:JournalName>
    <b:Year>2023</b:Year>
    <b:Month>05</b:Month>
    <b:Day>06</b:Day>
    <b:YearAccessed>2023</b:YearAccessed>
    <b:MonthAccessed>09</b:MonthAccessed>
    <b:DayAccessed>09</b:DayAccessed>
    <b:DOI>https://doi.org/10.20944/preprints202305.0399.v1</b:DOI>
    <b:Author>
      <b:Author>
        <b:NameList>
          <b:Person>
            <b:Last>Zhao</b:Last>
            <b:First>Xinsheng </b:First>
          </b:Person>
          <b:Person>
            <b:Last>Yoon</b:Last>
            <b:First>Sungjoon </b:First>
          </b:Person>
          <b:Person>
            <b:Last>Park</b:Last>
            <b:First>Yoonjoo </b:First>
          </b:Person>
        </b:NameList>
      </b:Author>
    </b:Author>
    <b:RefOrder>516</b:RefOrder>
  </b:Source>
  <b:Source>
    <b:Tag>LeeP13</b:Tag>
    <b:SourceType>JournalArticle</b:SourceType>
    <b:Guid>{D325A04B-D004-48FE-8632-0FC8ABB1A8A5}</b:Guid>
    <b:Title>Employee perception of CSR activities: Its antecedents and consequences</b:Title>
    <b:JournalName>Journal of Business Research</b:JournalName>
    <b:Year>2013</b:Year>
    <b:Pages>1716-1724</b:Pages>
    <b:Month>10</b:Month>
    <b:Volume>66</b:Volume>
    <b:Issue>10</b:Issue>
    <b:YearAccessed>2023</b:YearAccessed>
    <b:MonthAccessed>09</b:MonthAccessed>
    <b:DayAccessed>08</b:DayAccessed>
    <b:DOI>https://doi.org/10.1016/j.jbusres.2012.11.008</b:DOI>
    <b:Author>
      <b:Author>
        <b:NameList>
          <b:Person>
            <b:Last>Lee</b:Last>
            <b:Middle>Mi </b:Middle>
            <b:First>Eun </b:First>
          </b:Person>
          <b:Person>
            <b:Last>Park</b:Last>
            <b:First>Seong-Yeon </b:First>
          </b:Person>
          <b:Person>
            <b:Last>Lee</b:Last>
            <b:Middle>Jung </b:Middle>
            <b:First>Hyun </b:First>
          </b:Person>
        </b:NameList>
      </b:Author>
    </b:Author>
    <b:RefOrder>260</b:RefOrder>
  </b:Source>
  <b:Source>
    <b:Tag>Jan22</b:Tag>
    <b:SourceType>JournalArticle</b:SourceType>
    <b:Guid>{FC43C7C7-734C-430E-A594-157C5817B80E}</b:Guid>
    <b:Title>Neuroscience and CSR: Using EEG for Assessing the Effectiveness of Branded Videos Related to Environmental Issues</b:Title>
    <b:JournalName>Sustainability</b:JournalName>
    <b:Year>2022</b:Year>
    <b:Author>
      <b:Author>
        <b:NameList>
          <b:Person>
            <b:Last>Janić</b:Last>
            <b:First>Milan </b:First>
          </b:Person>
          <b:Person>
            <b:Last>Ćirović</b:Last>
            <b:First>Marko </b:First>
          </b:Person>
          <b:Person>
            <b:Last>Dimitriadis</b:Last>
            <b:First>Nikolaos </b:First>
          </b:Person>
          <b:Person>
            <b:Last>Dimitriadis</b:Last>
            <b:Middle>Jovanović </b:Middle>
            <b:First>Neda </b:First>
          </b:Person>
          <b:Person>
            <b:Last>Alevizou</b:Last>
            <b:First>Panayiota </b:First>
          </b:Person>
        </b:NameList>
      </b:Author>
    </b:Author>
    <b:Month>01</b:Month>
    <b:Day>25</b:Day>
    <b:Volume>14</b:Volume>
    <b:Issue>3</b:Issue>
    <b:Medium>2023</b:Medium>
    <b:YearAccessed>09</b:YearAccessed>
    <b:MonthAccessed>09</b:MonthAccessed>
    <b:DOI>https://doi.org/10.3390/su14031347</b:DOI>
    <b:RefOrder>269</b:RefOrder>
  </b:Source>
  <b:Source>
    <b:Tag>Lee191</b:Tag>
    <b:SourceType>JournalArticle</b:SourceType>
    <b:Guid>{020C8BE0-106C-4D19-84E5-7CCD827E613B}</b:Guid>
    <b:Title>Role of variability in cultural dimensions across generations in the context of CSR advertising in an East Asian market</b:Title>
    <b:JournalName>International Journal of Advertising</b:JournalName>
    <b:Year>2019</b:Year>
    <b:Pages>116-138</b:Pages>
    <b:Volume>30</b:Volume>
    <b:Issue>1</b:Issue>
    <b:YearAccessed>2023</b:YearAccessed>
    <b:MonthAccessed>09</b:MonthAccessed>
    <b:DayAccessed>08</b:DayAccessed>
    <b:DOI>https://doi.org/10.1080/02650487.2017.1405582</b:DOI>
    <b:Author>
      <b:Author>
        <b:NameList>
          <b:Person>
            <b:Last>Lee</b:Last>
            <b:First>Yoon-Joo </b:First>
          </b:Person>
          <b:Person>
            <b:Last>Haley</b:Last>
            <b:First>Eric</b:First>
          </b:Person>
        </b:NameList>
      </b:Author>
    </b:Author>
    <b:RefOrder>270</b:RefOrder>
  </b:Source>
  <b:Source>
    <b:Tag>Placeholder6</b:Tag>
    <b:SourceType>JournalArticle</b:SourceType>
    <b:Guid>{5D4D5836-5A78-46A7-B9DC-5F6A31791DB0}</b:Guid>
    <b:Title>Red Alert: On The Need for More Research on Corporate Social Responsibility Appeals in Advertising</b:Title>
    <b:JournalName>International Journal of Advertising</b:JournalName>
    <b:Year>2018</b:Year>
    <b:Pages>337-339</b:Pages>
    <b:Author>
      <b:Author>
        <b:NameList>
          <b:Person>
            <b:Last>Taylor</b:Last>
            <b:Middle>R.</b:Middle>
            <b:First>Charles </b:First>
          </b:Person>
        </b:NameList>
      </b:Author>
    </b:Author>
    <b:Month>04</b:Month>
    <b:Day>18</b:Day>
    <b:Volume>37</b:Volume>
    <b:Issue>3</b:Issue>
    <b:YearAccessed>2023</b:YearAccessed>
    <b:MonthAccessed>09</b:MonthAccessed>
    <b:DayAccessed>09</b:DayAccessed>
    <b:DOI>https://doi.org/10.1080/02650487.2018.1458493</b:DOI>
    <b:RefOrder>271</b:RefOrder>
  </b:Source>
  <b:Source>
    <b:Tag>Haz18</b:Tag>
    <b:SourceType>JournalArticle</b:SourceType>
    <b:Guid>{45A796A2-A7AE-4AD6-8BBB-269874E2401E}</b:Guid>
    <b:Title>The Contributions of Perceived CSR Information Substantiality Toward Consumers’ Cognitive, Affective, and Conative Responses: The Hierarchy of Effects Model Approach</b:Title>
    <b:JournalName>Clothing and Textiles Research Journal</b:JournalName>
    <b:Year>2018</b:Year>
    <b:Pages>62–77</b:Pages>
    <b:Month>01</b:Month>
    <b:Day>08</b:Day>
    <b:Volume>36</b:Volume>
    <b:Issue>2</b:Issue>
    <b:YearAccessed>2023</b:YearAccessed>
    <b:MonthAccessed>09</b:MonthAccessed>
    <b:DayAccessed>09</b:DayAccessed>
    <b:DOI>https://doi.org/10.1177/0887302X17750747</b:DOI>
    <b:Author>
      <b:Author>
        <b:NameList>
          <b:Person>
            <b:Last>Hazel </b:Last>
            <b:First>Desiree </b:First>
          </b:Person>
          <b:Person>
            <b:Last>Kang</b:Last>
            <b:First>Jiyun </b:First>
          </b:Person>
        </b:NameList>
      </b:Author>
    </b:Author>
    <b:RefOrder>259</b:RefOrder>
  </b:Source>
  <b:Source>
    <b:Tag>Dzu19</b:Tag>
    <b:SourceType>ConferenceProceedings</b:SourceType>
    <b:Guid>{D3FDFC2F-CC5D-4C3A-846C-1BB6D51EBDED}</b:Guid>
    <b:Title>The Influence of Corporate Social Responsibility (Csr) on Brand Equity, Varazdin: Varazdin Development and Entrepreneurship Agency</b:Title>
    <b:Year>2019</b:Year>
    <b:ConferenceName>49th International Scientific Conference on Economic and Social Development –""Building Resilient Society"</b:ConferenceName>
    <b:Author>
      <b:Author>
        <b:NameList>
          <b:Person>
            <b:Last>Dzupina</b:Last>
            <b:First>Milan </b:First>
          </b:Person>
          <b:Person>
            <b:Last>Koprda</b:Last>
            <b:First>Tomas </b:First>
          </b:Person>
          <b:Person>
            <b:Last>Veselei</b:Last>
            <b:First>Andrej </b:First>
          </b:Person>
        </b:NameList>
      </b:Author>
    </b:Author>
    <b:RefOrder>297</b:RefOrder>
  </b:Source>
  <b:Source>
    <b:Tag>Moo15</b:Tag>
    <b:SourceType>JournalArticle</b:SourceType>
    <b:Guid>{21C0CEFE-AD68-4B91-8648-968E33408CBA}</b:Guid>
    <b:Title>The impact of CSR on consumer-corporate connection and brand loyalty</b:Title>
    <b:Pages>518-539</b:Pages>
    <b:Year>2015</b:Year>
    <b:JournalName>International Marketing Review</b:JournalName>
    <b:Month>09</b:Month>
    <b:Volume>32</b:Volume>
    <b:Issue>5</b:Issue>
    <b:YearAccessed>2023</b:YearAccessed>
    <b:MonthAccessed>09</b:MonthAccessed>
    <b:DayAccessed>09</b:DayAccessed>
    <b:DOI>10.1108/IMR-03-2014-0089</b:DOI>
    <b:Author>
      <b:Author>
        <b:NameList>
          <b:Person>
            <b:Last>Moon</b:Last>
            <b:First>Byeong-Joon </b:First>
          </b:Person>
          <b:Person>
            <b:Last>Lee</b:Last>
            <b:Middle>W.</b:Middle>
            <b:First>Lee </b:First>
          </b:Person>
          <b:Person>
            <b:Last>Oh</b:Last>
            <b:Middle>Hoon </b:Middle>
            <b:First>Chang </b:First>
          </b:Person>
        </b:NameList>
      </b:Author>
    </b:Author>
    <b:RefOrder>298</b:RefOrder>
  </b:Source>
  <b:Source>
    <b:Tag>Mar15</b:Tag>
    <b:SourceType>JournalArticle</b:SourceType>
    <b:Guid>{1BA9480B-4463-401C-9C39-AF7DD21099E6}</b:Guid>
    <b:Title>Factors affecting consumers’ choices concerning sustainable packaging during product purchase and recycling</b:Title>
    <b:JournalName>Martinho, Graça; Pires, Ana; Portela, Gonçalo; Fonseca, Miguel  (2015). Factors affecting consumers’Resources, Conservation and Recycling</b:JournalName>
    <b:Year>2015</b:Year>
    <b:Pages>58-68</b:Pages>
    <b:Month>10</b:Month>
    <b:Volume>103</b:Volume>
    <b:YearAccessed>2023</b:YearAccessed>
    <b:MonthAccessed>09</b:MonthAccessed>
    <b:DayAccessed>10</b:DayAccessed>
    <b:DOI>https://doi.org/10.1016/j.resconrec.2015.07.012</b:DOI>
    <b:Author>
      <b:Author>
        <b:NameList>
          <b:Person>
            <b:Last>Martinho </b:Last>
            <b:First>Graça </b:First>
          </b:Person>
          <b:Person>
            <b:Last>Pires</b:Last>
            <b:First>Ana </b:First>
          </b:Person>
          <b:Person>
            <b:Last>Portela</b:Last>
            <b:First>Gonçalo </b:First>
          </b:Person>
          <b:Person>
            <b:Last>Fonseca</b:Last>
            <b:First>Miguel </b:First>
          </b:Person>
        </b:NameList>
      </b:Author>
    </b:Author>
    <b:RefOrder>600</b:RefOrder>
  </b:Source>
  <b:Source>
    <b:Tag>Boz20</b:Tag>
    <b:SourceType>JournalArticle</b:SourceType>
    <b:Guid>{D2F41723-C93E-4820-AF7A-E34C73F5DF40}</b:Guid>
    <b:Title>Consumer Considerations for the Implementation of Sustainable Packaging: A Review</b:Title>
    <b:JournalName>Sustainability</b:JournalName>
    <b:Year>2020</b:Year>
    <b:Author>
      <b:Author>
        <b:NameList>
          <b:Person>
            <b:Last>Boz</b:Last>
            <b:First>Ziynet </b:First>
          </b:Person>
          <b:Person>
            <b:Last>Korhonen</b:Last>
            <b:First>Virpi </b:First>
          </b:Person>
          <b:Person>
            <b:Last>Sand</b:Last>
            <b:Middle>Koelsch </b:Middle>
            <b:First>Claire </b:First>
          </b:Person>
        </b:NameList>
      </b:Author>
    </b:Author>
    <b:Month>03</b:Month>
    <b:Day>02</b:Day>
    <b:Volume>12</b:Volume>
    <b:Issue>6</b:Issue>
    <b:YearAccessed>2023</b:YearAccessed>
    <b:MonthAccessed>09</b:MonthAccessed>
    <b:DayAccessed>10</b:DayAccessed>
    <b:DOI>https://doi.org/10.3390/su12062192</b:DOI>
    <b:RefOrder>601</b:RefOrder>
  </b:Source>
  <b:Source>
    <b:Tag>One16</b:Tag>
    <b:SourceType>JournalArticle</b:SourceType>
    <b:Guid>{DC308B3B-71F7-4C53-A727-8167F37CF805}</b:Guid>
    <b:Title>Pro-environmental Purchasing Behavior of Consumers: The Role of Norms</b:Title>
    <b:JournalName>Social Marketing Quarterly</b:JournalName>
    <b:Year>2016</b:Year>
    <b:Author>
      <b:Author>
        <b:NameList>
          <b:Person>
            <b:Last>Onel</b:Last>
            <b:First>Naz</b:First>
          </b:Person>
        </b:NameList>
      </b:Author>
    </b:Author>
    <b:Month>10</b:Month>
    <b:Day>05</b:Day>
    <b:Volume>23</b:Volume>
    <b:Issue>2</b:Issue>
    <b:YearAccessed>2023</b:YearAccessed>
    <b:MonthAccessed>09</b:MonthAccessed>
    <b:DayAccessed>10</b:DayAccessed>
    <b:DOI>https://doi.org/10.1177/1524500416672440</b:DOI>
    <b:RefOrder>603</b:RefOrder>
  </b:Source>
  <b:Source>
    <b:Tag>Elg16</b:Tag>
    <b:SourceType>JournalArticle</b:SourceType>
    <b:Guid>{2393D212-FE1F-4853-90C9-49AB65AE8D0D}</b:Guid>
    <b:Title>CSR: retailer activities vs consumer buying decisions</b:Title>
    <b:JournalName>International Journal of Retail &amp; Distribution Management</b:JournalName>
    <b:Year>2016</b:Year>
    <b:Pages>640-657</b:Pages>
    <b:Month>06</b:Month>
    <b:Day>13</b:Day>
    <b:Publisher>Emerald Group Publishing Limited</b:Publisher>
    <b:YearAccessed>2023</b:YearAccessed>
    <b:MonthAccessed>09</b:MonthAccessed>
    <b:DayAccessed>10</b:DayAccessed>
    <b:DOI>https://doi.org/10.1108/IJRDM-10-2015-0155</b:DOI>
    <b:Author>
      <b:Author>
        <b:NameList>
          <b:Person>
            <b:Last>Elg</b:Last>
            <b:First>Ulf </b:First>
          </b:Person>
          <b:Person>
            <b:Last>Hultman</b:Last>
            <b:First>Jens </b:First>
          </b:Person>
        </b:NameList>
      </b:Author>
    </b:Author>
    <b:RefOrder>602</b:RefOrder>
  </b:Source>
  <b:Source>
    <b:Tag>Ell95</b:Tag>
    <b:SourceType>JournalArticle</b:SourceType>
    <b:Guid>{85FC06F1-778F-48AE-B9EC-ADEFCDC2CCA6}</b:Guid>
    <b:Title>Using the theory of reasoned action to understand organizational behaviour: The role of belief salience</b:Title>
    <b:JournalName>British Journal of Social Psychology</b:JournalName>
    <b:Year>1995</b:Year>
    <b:Pages>161-172</b:Pages>
    <b:Month>06</b:Month>
    <b:Volume>34</b:Volume>
    <b:Issue>2</b:Issue>
    <b:YearAccessed>2023</b:YearAccessed>
    <b:MonthAccessed>09</b:MonthAccessed>
    <b:DayAccessed>10</b:DayAccessed>
    <b:DOI>https://doi.org/10.1111/j.2044-8309.1995.tb01055.x</b:DOI>
    <b:Author>
      <b:Author>
        <b:NameList>
          <b:Person>
            <b:Last>Elliott</b:Last>
            <b:First>Richard </b:First>
          </b:Person>
          <b:Person>
            <b:Last>Jobber</b:Last>
            <b:First>David </b:First>
          </b:Person>
          <b:Person>
            <b:Last>Sharp</b:Last>
            <b:First>John </b:First>
          </b:Person>
        </b:NameList>
      </b:Author>
    </b:Author>
    <b:RefOrder>560</b:RefOrder>
  </b:Source>
  <b:Source>
    <b:Tag>Sut98</b:Tag>
    <b:SourceType>JournalArticle</b:SourceType>
    <b:Guid>{16E32306-6375-411B-8066-3184A9B2B612}</b:Guid>
    <b:Title>Predicting and Explaining Intentions and Behavior: How Well Are We Doing?</b:Title>
    <b:JournalName>Journal of Applied Social Psychology</b:JournalName>
    <b:Year>1998</b:Year>
    <b:Pages>1317-1338</b:Pages>
    <b:Author>
      <b:Author>
        <b:NameList>
          <b:Person>
            <b:Last>Sutton</b:Last>
            <b:First>Stephen </b:First>
          </b:Person>
        </b:NameList>
      </b:Author>
    </b:Author>
    <b:Month>08</b:Month>
    <b:Volume>28</b:Volume>
    <b:Issue>15</b:Issue>
    <b:YearAccessed>2023</b:YearAccessed>
    <b:MonthAccessed>09</b:MonthAccessed>
    <b:DayAccessed>10</b:DayAccessed>
    <b:DOI>https://doi.org/10.1111/j.1559-1816.1998.tb01679.x</b:DOI>
    <b:RefOrder>575</b:RefOrder>
  </b:Source>
  <b:Source>
    <b:Tag>Pat19</b:Tag>
    <b:SourceType>JournalArticle</b:SourceType>
    <b:Guid>{2CCA5968-F318-4DEA-983B-4C6D9FFEBF2B}</b:Guid>
    <b:Title>A Comparative Study of Consumers’ Purchase Intention on Different Internet Platforms</b:Title>
    <b:JournalName>Mobile Networks and Applications</b:JournalName>
    <b:Year>2019</b:Year>
    <b:Pages>145-159</b:Pages>
    <b:Month>02</b:Month>
    <b:Volume>24</b:Volume>
    <b:Issue>3</b:Issue>
    <b:YearAccessed>2023</b:YearAccessed>
    <b:MonthAccessed>09</b:MonthAccessed>
    <b:DayAccessed>10</b:DayAccessed>
    <b:DOI>10.1007/s11036-018-1139-3</b:DOI>
    <b:Author>
      <b:Author>
        <b:NameList>
          <b:Person>
            <b:Last>Patanasiri</b:Last>
            <b:First>Attasit </b:First>
          </b:Person>
          <b:Person>
            <b:Last>Krairit</b:Last>
            <b:First>Donyaprueth </b:First>
          </b:Person>
        </b:NameList>
      </b:Author>
    </b:Author>
    <b:RefOrder>620</b:RefOrder>
  </b:Source>
  <b:Source>
    <b:Tag>Jia10</b:Tag>
    <b:SourceType>JournalArticle</b:SourceType>
    <b:Guid>{70F074BF-1DE1-482F-99CC-A13626F3ABC8}</b:Guid>
    <b:Title>Effects of Interactivity on Website Involvement and Purchase Intention</b:Title>
    <b:JournalName>Journal of the Association for Information Systems</b:JournalName>
    <b:Year>2010</b:Year>
    <b:Author>
      <b:Author>
        <b:NameList>
          <b:Person>
            <b:Last>Jiang</b:Last>
            <b:First>Zhenhui </b:First>
          </b:Person>
          <b:Person>
            <b:Last>Chan</b:Last>
            <b:First>Jason </b:First>
          </b:Person>
          <b:Person>
            <b:Last>Tan</b:Last>
            <b:Middle>C. Y.</b:Middle>
            <b:First>Bernard </b:First>
          </b:Person>
          <b:Person>
            <b:Last>Chua</b:Last>
            <b:Middle>Siong </b:Middle>
            <b:First>Wei </b:First>
          </b:Person>
        </b:NameList>
      </b:Author>
    </b:Author>
    <b:Month>01</b:Month>
    <b:Volume>11</b:Volume>
    <b:Issue>1</b:Issue>
    <b:YearAccessed>2023</b:YearAccessed>
    <b:MonthAccessed>09</b:MonthAccessed>
    <b:DayAccessed>10</b:DayAccessed>
    <b:DOI>10.17705/1jais.00218</b:DOI>
    <b:RefOrder>611</b:RefOrder>
  </b:Source>
  <b:Source>
    <b:Tag>Ero01</b:Tag>
    <b:SourceType>JournalArticle</b:SourceType>
    <b:Guid>{1846CD31-532B-4ACC-893B-793849EB899D}</b:Guid>
    <b:Title>Atmospheric qualities of online retailing: A conceptual model and implications</b:Title>
    <b:JournalName>Journal of Business Research</b:JournalName>
    <b:Year>2001</b:Year>
    <b:Pages>177-184</b:Pages>
    <b:Author>
      <b:Author>
        <b:NameList>
          <b:Person>
            <b:Last>Eroglu</b:Last>
            <b:Middle>A.</b:Middle>
            <b:First>Sevgin </b:First>
          </b:Person>
          <b:Person>
            <b:Last>Machleit</b:Last>
            <b:Middle>A.</b:Middle>
            <b:First>Karen </b:First>
          </b:Person>
          <b:Person>
            <b:Last>Davis</b:Last>
            <b:Middle>M.</b:Middle>
            <b:First>Lenita </b:First>
          </b:Person>
        </b:NameList>
      </b:Author>
    </b:Author>
    <b:Month>11</b:Month>
    <b:YearAccessed>2023</b:YearAccessed>
    <b:MonthAccessed>09</b:MonthAccessed>
    <b:DayAccessed>10</b:DayAccessed>
    <b:DOI>https://doi.org/10.1016/S0148-2963(99)00087-9</b:DOI>
    <b:RefOrder>619</b:RefOrder>
  </b:Source>
  <b:Source>
    <b:Tag>Pyo22</b:Tag>
    <b:SourceType>JournalArticle</b:SourceType>
    <b:Guid>{F5C802D0-96C5-4040-B6C6-5506F25588CC}</b:Guid>
    <b:Title>The application of stimulus-organism-response (SOR) theory for studying workforce contributions in the pineapple factories in Chiang Rai.</b:Title>
    <b:JournalName>International Journal of Multidisciplinary in Management and Tourism</b:JournalName>
    <b:Year>2022</b:Year>
    <b:Month>01</b:Month>
    <b:Day>27</b:Day>
    <b:Volume>4</b:Volume>
    <b:Issue>2</b:Issue>
    <b:Author>
      <b:Author>
        <b:NameList>
          <b:Person>
            <b:Last>Pyo</b:Last>
            <b:Middle>Leng </b:Middle>
            <b:First>Nang Herk </b:First>
          </b:Person>
          <b:Person>
            <b:Last>Luang</b:Last>
            <b:Middle>Fah</b:Middle>
            <b:First>Mae </b:First>
          </b:Person>
        </b:NameList>
      </b:Author>
    </b:Author>
    <b:RefOrder>618</b:RefOrder>
  </b:Source>
  <b:Source>
    <b:Tag>Koa23</b:Tag>
    <b:SourceType>JournalArticle</b:SourceType>
    <b:Guid>{24948BD2-4328-46A6-B8BB-5D0467C211C7}</b:Guid>
    <b:Title>Perceived social media marketing activities and consumer-based brand equity : Testing a moderated mediation model</b:Title>
    <b:JournalName>Asia Pacific Journal of Marketing and Logistics</b:JournalName>
    <b:Pages>53-72</b:Pages>
    <b:Author>
      <b:Author>
        <b:NameList>
          <b:Person>
            <b:Last>Koay</b:Last>
            <b:Middle>Yeik </b:Middle>
            <b:First>Kian </b:First>
          </b:Person>
          <b:Person>
            <b:Last>Ong</b:Last>
            <b:Middle>Lai Teik </b:Middle>
            <b:First>Derek </b:First>
          </b:Person>
          <b:Person>
            <b:Last>Khoo</b:Last>
            <b:Middle>Leng </b:Middle>
            <b:First>Kim </b:First>
          </b:Person>
          <b:Person>
            <b:Last>Yeoh</b:Last>
            <b:Middle>Jing </b:Middle>
            <b:First>Hui </b:First>
          </b:Person>
        </b:NameList>
      </b:Author>
    </b:Author>
    <b:Publisher>Emerald Publishing Limited</b:Publisher>
    <b:Volume>33</b:Volume>
    <b:Issue>1</b:Issue>
    <b:YearAccessed>2023</b:YearAccessed>
    <b:MonthAccessed>09</b:MonthAccessed>
    <b:DayAccessed>10</b:DayAccessed>
    <b:DOI>https://doi.org/10.1108/APJML-07-2019-0453</b:DOI>
    <b:Year>2020</b:Year>
    <b:Month>02</b:Month>
    <b:Day>19</b:Day>
    <b:RefOrder>609</b:RefOrder>
  </b:Source>
  <b:Source>
    <b:Tag>Jac021</b:Tag>
    <b:SourceType>JournalArticle</b:SourceType>
    <b:Guid>{D275AE78-469E-4323-8CB9-57FD94D9C988}</b:Guid>
    <b:Title>Stimulus-Organism-Response Reconsidered: An Evolutionary</b:Title>
    <b:JournalName>JOURNAL OF CONSUMER PSYCHOLUGY</b:JournalName>
    <b:Year>2002</b:Year>
    <b:Pages>51-57</b:Pages>
    <b:Author>
      <b:Author>
        <b:NameList>
          <b:Person>
            <b:Last>Jacoby</b:Last>
            <b:First>Jacob </b:First>
          </b:Person>
        </b:NameList>
      </b:Author>
    </b:Author>
    <b:Volume>12</b:Volume>
    <b:Issue>1</b:Issue>
    <b:YearAccessed>2023</b:YearAccessed>
    <b:MonthAccessed>09</b:MonthAccessed>
    <b:DayAccessed>10</b:DayAccessed>
    <b:DOI>10.1207/s15327663jcp1201_05</b:DOI>
    <b:RefOrder>616</b:RefOrder>
  </b:Source>
  <b:Source>
    <b:Tag>Fes62</b:Tag>
    <b:SourceType>JournalArticle</b:SourceType>
    <b:Guid>{D3BA2D86-23F8-46BD-B183-029C1680A6C3}</b:Guid>
    <b:Title>Cognitive Dissonance</b:Title>
    <b:JournalName>Scientific American</b:JournalName>
    <b:Year>1962</b:Year>
    <b:Pages>93-106</b:Pages>
    <b:Month>10</b:Month>
    <b:Volume>207</b:Volume>
    <b:Issue>4</b:Issue>
    <b:YearAccessed>2023</b:YearAccessed>
    <b:MonthAccessed>09</b:MonthAccessed>
    <b:DayAccessed>11</b:DayAccessed>
    <b:URL>https://www.jstor.org/stable/24936719</b:URL>
    <b:Author>
      <b:Author>
        <b:NameList>
          <b:Person>
            <b:Last>Festinger </b:Last>
            <b:First>Leon</b:First>
          </b:Person>
        </b:NameList>
      </b:Author>
    </b:Author>
    <b:RefOrder>685</b:RefOrder>
  </b:Source>
  <b:Source>
    <b:Tag>Bab13</b:Tag>
    <b:SourceType>JournalArticle</b:SourceType>
    <b:Guid>{ADD11E2A-61E8-4E44-BFC7-9FB3A99AE7B5}</b:Guid>
    <b:Title>Public Health, Academic Medicine, and the Alcohol Industry’s Corporate Social Responsibility Activities</b:Title>
    <b:JournalName>American Journal of Public Health (AJPH)</b:JournalName>
    <b:Year>2013</b:Year>
    <b:Month>02</b:Month>
    <b:YearAccessed>2023</b:YearAccessed>
    <b:MonthAccessed>09</b:MonthAccessed>
    <b:DayAccessed>10</b:DayAccessed>
    <b:DOI>10.2105/AJPH.2012.300847</b:DOI>
    <b:Author>
      <b:Author>
        <b:NameList>
          <b:Person>
            <b:Last>Babor</b:Last>
            <b:Middle>S.</b:Middle>
            <b:First>Thomas </b:First>
          </b:Person>
          <b:Person>
            <b:Last>Robaina </b:Last>
            <b:First>Katherine </b:First>
          </b:Person>
        </b:NameList>
      </b:Author>
    </b:Author>
    <b:RefOrder>103</b:RefOrder>
  </b:Source>
  <b:Source>
    <b:Tag>Alv17</b:Tag>
    <b:SourceType>JournalArticle</b:SourceType>
    <b:Guid>{63D3B761-2CD8-4556-8D8A-F098C5694A0C}</b:Guid>
    <b:Title>A Scale for Measuring Consumer Perceptions of Corporate Social Responsibility Following the Sustainable Development Paradigm</b:Title>
    <b:JournalName>Journal of Business Ethics</b:JournalName>
    <b:Year>2017</b:Year>
    <b:Pages>243-262</b:Pages>
    <b:Month>01</b:Month>
    <b:Volume>140</b:Volume>
    <b:Issue>2</b:Issue>
    <b:YearAccessed>2023</b:YearAccessed>
    <b:MonthAccessed>09</b:MonthAccessed>
    <b:DayAccessed>11</b:DayAccessed>
    <b:DOI>10.1007/s10551-015-2654-9</b:DOI>
    <b:Author>
      <b:Author>
        <b:NameList>
          <b:Person>
            <b:Last>Alvarado-Herrera</b:Last>
            <b:First>Alejandro</b:First>
          </b:Person>
          <b:Person>
            <b:Last>Bigne</b:Last>
            <b:First>Enrique</b:First>
          </b:Person>
          <b:Person>
            <b:Last>Aldas-Manzano</b:Last>
            <b:First>J</b:First>
          </b:Person>
          <b:Person>
            <b:Last>Curras-Perez</b:Last>
            <b:First>Rafael</b:First>
          </b:Person>
        </b:NameList>
      </b:Author>
    </b:Author>
    <b:RefOrder>105</b:RefOrder>
  </b:Source>
  <b:Source>
    <b:Tag>Fer23</b:Tag>
    <b:SourceType>InternetSite</b:SourceType>
    <b:Guid>{EB045B9D-B03C-440D-96C7-BABA08D6AB93}</b:Guid>
    <b:Title>Corporate Social Responsibility (CSR) Explained With Examples</b:Title>
    <b:Year>2023</b:Year>
    <b:InternetSiteTitle>Investopia</b:InternetSiteTitle>
    <b:Month>07</b:Month>
    <b:Day>18</b:Day>
    <b:URL>https://www.investopedia.com/terms/c/corp-social-responsibility.asp</b:URL>
    <b:Author>
      <b:Author>
        <b:NameList>
          <b:Person>
            <b:Last>Fernando</b:Last>
            <b:First>JASON </b:First>
          </b:Person>
          <b:Person>
            <b:Last>Brock</b:Last>
            <b:First>THOMAS </b:First>
          </b:Person>
          <b:Person>
            <b:Last>Munichiello</b:Last>
            <b:First>KATRINA </b:First>
          </b:Person>
        </b:NameList>
      </b:Author>
    </b:Author>
    <b:RefOrder>106</b:RefOrder>
  </b:Source>
  <b:Source>
    <b:Tag>Hos20</b:Tag>
    <b:SourceType>JournalArticle</b:SourceType>
    <b:Guid>{E60324DE-EAA3-491C-883A-540DA9D70488}</b:Guid>
    <b:Title>The effect of corporate social responsibility (CSR) health-care services on patients’ satisfaction and loyalty – a case of Bangladesh</b:Title>
    <b:Year>2020</b:Year>
    <b:Month>04</b:Month>
    <b:Day>17</b:Day>
    <b:JournalName>Social Responsibility Journal</b:JournalName>
    <b:Pages>145-158</b:Pages>
    <b:Author>
      <b:Author>
        <b:NameList>
          <b:Person>
            <b:Last>Hossain</b:Last>
            <b:First>Md. Shamim </b:First>
          </b:Person>
          <b:Person>
            <b:Last>Yahya</b:Last>
            <b:Middle>B.</b:Middle>
            <b:First>Sofri </b:First>
          </b:Person>
          <b:Person>
            <b:Last>Khan</b:Last>
            <b:Middle>Jamal </b:Middle>
            <b:First>Mohammad </b:First>
          </b:Person>
        </b:NameList>
      </b:Author>
    </b:Author>
    <b:Publisher>Emerald Publishing Limited</b:Publisher>
    <b:Volume>16</b:Volume>
    <b:Issue>2</b:Issue>
    <b:YearAccessed>2023</b:YearAccessed>
    <b:MonthAccessed>09</b:MonthAccessed>
    <b:DayAccessed>11</b:DayAccessed>
    <b:DOI>https://doi.org/10.1108/SRJ-01-2018-0016</b:DOI>
    <b:RefOrder>107</b:RefOrder>
  </b:Source>
  <b:Source>
    <b:Tag>Ten21</b:Tag>
    <b:SourceType>JournalArticle</b:SourceType>
    <b:Guid>{1A330733-F813-43ED-AEF1-97B48CDEE1B8}</b:Guid>
    <b:Title>Corporate Social Responsibility in Public Health During the COVID-19 Pandemic: Quarantine Hotel in China</b:Title>
    <b:JournalName>Frontiers in Public Health</b:JournalName>
    <b:Year>2021</b:Year>
    <b:Month>02</b:Month>
    <b:Day>10</b:Day>
    <b:Volume>9</b:Volume>
    <b:YearAccessed>2023</b:YearAccessed>
    <b:MonthAccessed>09</b:MonthAccessed>
    <b:DayAccessed>11</b:DayAccessed>
    <b:DOI>https://doi.org/10.3389/fpubh.2021.620930</b:DOI>
    <b:Author>
      <b:Author>
        <b:NameList>
          <b:Person>
            <b:Last>Teng</b:Last>
            <b:First>Xiaodong </b:First>
          </b:Person>
          <b:Person>
            <b:Last>Teng</b:Last>
            <b:First>Yi-Man </b:First>
          </b:Person>
          <b:Person>
            <b:Last>Wu</b:Last>
            <b:First>Kun-Shan </b:First>
          </b:Person>
          <b:Person>
            <b:Last>Chang</b:Last>
            <b:First>Bao-Guang </b:First>
          </b:Person>
        </b:NameList>
      </b:Author>
    </b:Author>
    <b:RefOrder>108</b:RefOrder>
  </b:Source>
  <b:Source>
    <b:Tag>Kau14</b:Tag>
    <b:SourceType>JournalArticle</b:SourceType>
    <b:Guid>{E8C3E902-BD48-43E0-BC0F-4B2A467F13EE}</b:Guid>
    <b:Title>Software Reliability, Metrics, Reliability Improvement Using Agile Process</b:Title>
    <b:JournalName>International Journal of Innovative Science, Engineering &amp; Technology</b:JournalName>
    <b:Year>2014</b:Year>
    <b:Pages>143-147</b:Pages>
    <b:Month>05</b:Month>
    <b:Volume>1</b:Volume>
    <b:Issue>3</b:Issue>
    <b:YearAccessed>2023</b:YearAccessed>
    <b:MonthAccessed>09</b:MonthAccessed>
    <b:DayAccessed>12</b:DayAccessed>
    <b:URL>https://www.ijiset.com/v1s3/IJISET_V1_I3_24.pdf</b:URL>
    <b:Author>
      <b:Author>
        <b:NameList>
          <b:Person>
            <b:Last>Kaur</b:Last>
            <b:First>Gurpreet </b:First>
          </b:Person>
          <b:Person>
            <b:Last>Bahl</b:Last>
            <b:First>Kailash </b:First>
          </b:Person>
        </b:NameList>
      </b:Author>
    </b:Author>
    <b:RefOrder>760</b:RefOrder>
  </b:Source>
  <b:Source>
    <b:Tag>Dro111</b:Tag>
    <b:SourceType>JournalArticle</b:SourceType>
    <b:Guid>{56FEFB50-56F3-4E93-9951-530F861613BE}</b:Guid>
    <b:Title>Validity and reliability in social science research</b:Title>
    <b:JournalName>Informit</b:JournalName>
    <b:Year>2011</b:Year>
    <b:Pages>105-123</b:Pages>
    <b:InternetSiteTitle>Informit</b:InternetSiteTitle>
    <b:Month>01</b:Month>
    <b:Day>11</b:Day>
    <b:Author>
      <b:Author>
        <b:NameList>
          <b:Person>
            <b:Last>Drost</b:Last>
            <b:Middle>A</b:Middle>
            <b:First>Ellen  </b:First>
          </b:Person>
        </b:NameList>
      </b:Author>
    </b:Author>
    <b:Volume>38</b:Volume>
    <b:Issue>1</b:Issue>
    <b:YearAccessed>2023</b:YearAccessed>
    <b:MonthAccessed>09</b:MonthAccessed>
    <b:DayAccessed>12</b:DayAccessed>
    <b:RefOrder>769</b:RefOrder>
  </b:Source>
  <b:Source>
    <b:Tag>Eli23</b:Tag>
    <b:SourceType>InternetSite</b:SourceType>
    <b:Guid>{FC37AA12-FB5B-4F8F-8727-922A3840B554}</b:Guid>
    <b:Title>The 4 Types of Validity in Research Design (+3 More to Consider)</b:Title>
    <b:Year>2023</b:Year>
    <b:InternetSiteTitle>ActiveCampaign</b:InternetSiteTitle>
    <b:Month>08</b:Month>
    <b:Day>01</b:Day>
    <b:URL>https://www.activecampaign.com/blog/validity-in-research-design</b:URL>
    <b:Author>
      <b:Author>
        <b:NameList>
          <b:Person>
            <b:Last>Elias</b:Last>
            <b:First>BENYAMIN </b:First>
          </b:Person>
        </b:NameList>
      </b:Author>
    </b:Author>
    <b:RefOrder>775</b:RefOrder>
  </b:Source>
  <b:Source>
    <b:Tag>You21</b:Tag>
    <b:SourceType>JournalArticle</b:SourceType>
    <b:Guid>{A22FEDB1-9F5B-476E-81BB-5EEAE9BFE826}</b:Guid>
    <b:Title>Testing the effects of reputation, value congruence and brand identity on word-of-mouth intentions</b:Title>
    <b:Year>2021</b:Year>
    <b:Month>03</b:Month>
    <b:Day>24</b:Day>
    <b:JournalName>Journal of Communication Management</b:JournalName>
    <b:Pages>160-181</b:Pages>
    <b:Publisher>Emerald Publishing Limited</b:Publisher>
    <b:Volume>25</b:Volume>
    <b:Issue>2</b:Issue>
    <b:YearAccessed>2023</b:YearAccessed>
    <b:MonthAccessed>09</b:MonthAccessed>
    <b:DayAccessed>13</b:DayAccessed>
    <b:DOI>https://doi.org/10.1108/JCOM-10-2020-0119</b:DOI>
    <b:Author>
      <b:Author>
        <b:NameList>
          <b:Person>
            <b:Last>You</b:Last>
            <b:First>Leping </b:First>
          </b:Person>
          <b:Person>
            <b:Last>Hon</b:Last>
            <b:Middle>C</b:Middle>
            <b:First>Linda</b:First>
          </b:Person>
        </b:NameList>
      </b:Author>
    </b:Author>
    <b:RefOrder>697</b:RefOrder>
  </b:Source>
  <b:Source>
    <b:Tag>Kal99</b:Tag>
    <b:SourceType>JournalArticle</b:SourceType>
    <b:Guid>{6B2F5FE5-88FF-4F60-A43B-96B05DB9E811}</b:Guid>
    <b:Title>A test of value congruence effects</b:Title>
    <b:JournalName>Journal of organizational Behaviour</b:JournalName>
    <b:Year>1999</b:Year>
    <b:Pages>1175-1198</b:Pages>
    <b:Month>12</b:Month>
    <b:Publisher>20</b:Publisher>
    <b:Volume>7</b:Volume>
    <b:YearAccessed>2023</b:YearAccessed>
    <b:MonthAccessed>09</b:MonthAccessed>
    <b:DayAccessed>09</b:DayAccessed>
    <b:DOI>https://doi.org/10.1002/(SICI)1099-1379(199912)20:7&lt;1175::AID-JOB960&gt;3.0.CO;2-5</b:DOI>
    <b:Author>
      <b:Author>
        <b:NameList>
          <b:Person>
            <b:Last>Kalliath</b:Last>
            <b:Middle>J.</b:Middle>
            <b:First>Thomas </b:First>
          </b:Person>
          <b:Person>
            <b:Last>Bluedorn</b:Last>
            <b:Middle>C.</b:Middle>
            <b:First>Allen </b:First>
          </b:Person>
          <b:Person>
            <b:Last>Strube</b:Last>
            <b:Middle>J</b:Middle>
            <b:First>Michael </b:First>
          </b:Person>
        </b:NameList>
      </b:Author>
    </b:Author>
    <b:RefOrder>693</b:RefOrder>
  </b:Source>
  <b:Source>
    <b:Tag>Cza21</b:Tag>
    <b:SourceType>JournalArticle</b:SourceType>
    <b:Guid>{32569403-DC1A-403D-81F1-ACD308BFF9AD}</b:Guid>
    <b:Title>Individualism/collectivism and perceived consumer effectiveness: The moderating role of global–local identities in a post‐transitional European economy</b:Title>
    <b:JournalName>Journal of Consumer Behaviour</b:JournalName>
    <b:Year>2021</b:Year>
    <b:Month>09</b:Month>
    <b:Volume>21</b:Volume>
    <b:Issue>5</b:Issue>
    <b:YearAccessed>2023</b:YearAccessed>
    <b:MonthAccessed>09</b:MonthAccessed>
    <b:DayAccessed>13</b:DayAccessed>
    <b:DOI>10.1002/cb.1988</b:DOI>
    <b:Author>
      <b:Author>
        <b:NameList>
          <b:Person>
            <b:Last>Czarnecka</b:Last>
            <b:First>Barbara </b:First>
          </b:Person>
          <b:Person>
            <b:Last>Schivinski</b:Last>
            <b:First>Bruno </b:First>
          </b:Person>
        </b:NameList>
      </b:Author>
    </b:Author>
    <b:RefOrder>695</b:RefOrder>
  </b:Source>
  <b:Source>
    <b:Tag>Lee141</b:Tag>
    <b:SourceType>JournalArticle</b:SourceType>
    <b:Guid>{9E87C64E-1A52-4876-9B78-85000DA7D7D3}</b:Guid>
    <b:Title>Enhancing online brand experiences: an application of congruity theory</b:Title>
    <b:JournalName>nternational Journal of Hospitality Management</b:JournalName>
    <b:Year>2014</b:Year>
    <b:Pages>49-58</b:Pages>
    <b:Volume>40</b:Volume>
    <b:YearAccessed>2023</b:YearAccessed>
    <b:MonthAccessed>09</b:MonthAccessed>
    <b:DayAccessed>13</b:DayAccessed>
    <b:Author>
      <b:Author>
        <b:NameList>
          <b:Person>
            <b:Last>Lee</b:Last>
            <b:Middle>A.</b:Middle>
            <b:First>S.</b:First>
          </b:Person>
          <b:Person>
            <b:Last>Jeong</b:Last>
            <b:First>M.</b:First>
          </b:Person>
        </b:NameList>
      </b:Author>
    </b:Author>
    <b:RefOrder>696</b:RefOrder>
  </b:Source>
  <b:Source>
    <b:Tag>Zha08</b:Tag>
    <b:SourceType>JournalArticle</b:SourceType>
    <b:Guid>{0C06A479-8043-48DC-B245-4295CF797DFB}</b:Guid>
    <b:Title>The impact of value congruence on consumer-service brand relationships</b:Title>
    <b:JournalName>Journal of Service Research</b:JournalName>
    <b:Year>2008</b:Year>
    <b:Pages>161-178</b:Pages>
    <b:Volume>11</b:Volume>
    <b:YearAccessed>2023</b:YearAccessed>
    <b:MonthAccessed>09</b:MonthAccessed>
    <b:DayAccessed>13</b:DayAccessed>
    <b:Author>
      <b:Author>
        <b:NameList>
          <b:Person>
            <b:Last>Zhang</b:Last>
            <b:First>J.</b:First>
          </b:Person>
          <b:Person>
            <b:Last>Bloemer</b:Last>
            <b:Middle>M.</b:Middle>
            <b:First>J.</b:First>
          </b:Person>
        </b:NameList>
      </b:Author>
    </b:Author>
    <b:RefOrder>698</b:RefOrder>
  </b:Source>
  <b:Source>
    <b:Tag>Cab04</b:Tag>
    <b:SourceType>JournalArticle</b:SourceType>
    <b:Guid>{E8436458-BCBC-4223-A567-4610394210BE}</b:Guid>
    <b:Title>Complementary and supplementary fit: a theoretical and</b:Title>
    <b:JournalName>Journal of Applied Psychology</b:JournalName>
    <b:Year>2004</b:Year>
    <b:Pages>822-834</b:Pages>
    <b:Volume>89</b:Volume>
    <b:Author>
      <b:Author>
        <b:NameList>
          <b:Person>
            <b:Last>Cable</b:Last>
            <b:Middle>M.</b:Middle>
            <b:First>D.</b:First>
          </b:Person>
          <b:Person>
            <b:Last>Edwards</b:Last>
            <b:Middle>R.</b:Middle>
            <b:First>J.</b:First>
          </b:Person>
        </b:NameList>
      </b:Author>
    </b:Author>
    <b:RefOrder>701</b:RefOrder>
  </b:Source>
  <b:Source>
    <b:Tag>Fis17</b:Tag>
    <b:SourceType>BookSection</b:SourceType>
    <b:Guid>{537C07A1-CD40-4593-B190-81CF8E3A6372}</b:Guid>
    <b:Title>Perception of Product Risks</b:Title>
    <b:Year>2017</b:Year>
    <b:Pages>175-190</b:Pages>
    <b:BookTitle>Consumer Perception of Product Risks and Benefits</b:BookTitle>
    <b:City>Cham</b:City>
    <b:Publisher>Springer</b:Publisher>
    <b:Author>
      <b:Author>
        <b:NameList>
          <b:Person>
            <b:Last>Fischer</b:Last>
            <b:Middle>H.</b:Middle>
            <b:First>A.R.</b:First>
          </b:Person>
        </b:NameList>
      </b:Author>
      <b:BookAuthor>
        <b:NameList>
          <b:Person>
            <b:Last>Emilien</b:Last>
            <b:First>Gerard </b:First>
          </b:Person>
          <b:Person>
            <b:Last>Weitkunat</b:Last>
            <b:First>Rolf </b:First>
          </b:Person>
          <b:Person>
            <b:Last>Lüdicke</b:Last>
            <b:First>Frank </b:First>
          </b:Person>
        </b:NameList>
      </b:BookAuthor>
    </b:Author>
    <b:RefOrder>702</b:RefOrder>
  </b:Source>
  <b:Source>
    <b:Tag>Elb16</b:Tag>
    <b:SourceType>JournalArticle</b:SourceType>
    <b:Guid>{5D239538-2693-433B-A95A-5E9E348B2F07}</b:Guid>
    <b:Title>Customer relationship building: The role of brand attractiveness and consumer–brand identification</b:Title>
    <b:Year>2016</b:Year>
    <b:Pages>2901-2910</b:Pages>
    <b:JournalName>Journal of Business Research</b:JournalName>
    <b:Month>08</b:Month>
    <b:Volume>68</b:Volume>
    <b:Issue>8</b:Issue>
    <b:YearAccessed>2023</b:YearAccessed>
    <b:MonthAccessed>09</b:MonthAccessed>
    <b:DayAccessed>13</b:DayAccessed>
    <b:DOI>https://doi.org/10.1016/j.jbusres.2015.12.059</b:DOI>
    <b:Author>
      <b:Author>
        <b:NameList>
          <b:Person>
            <b:Last>Elbedweihy</b:Last>
            <b:Middle>M.</b:Middle>
            <b:First>Alaa </b:First>
          </b:Person>
          <b:Person>
            <b:Last>Jayawardhena</b:Last>
            <b:First>Chanaka </b:First>
          </b:Person>
          <b:Person>
            <b:Last>Elsharnouby</b:Last>
            <b:Middle>H.</b:Middle>
            <b:First>Mohamed </b:First>
          </b:Person>
          <b:Person>
            <b:Last>Elsharnouby</b:Last>
            <b:Middle>H.</b:Middle>
            <b:First>Tamer </b:First>
          </b:Person>
        </b:NameList>
      </b:Author>
    </b:Author>
    <b:RefOrder>694</b:RefOrder>
  </b:Source>
  <b:Source>
    <b:Tag>Gar171</b:Tag>
    <b:SourceType>JournalArticle</b:SourceType>
    <b:Guid>{A54F92A3-75F1-4AC1-8859-31DCB77B557E}</b:Guid>
    <b:Title>The impact of congruence between the CSR activity and the company's core business on consumer response to CSR</b:Title>
    <b:JournalName>Spanish Journal of Marketing - ESIC</b:JournalName>
    <b:Year>2017</b:Year>
    <b:Pages>26-38</b:Pages>
    <b:Month>07</b:Month>
    <b:Volume>21</b:Volume>
    <b:Issue>1</b:Issue>
    <b:YearAccessed>2023</b:YearAccessed>
    <b:MonthAccessed>09</b:MonthAccessed>
    <b:DayAccessed>13</b:DayAccessed>
    <b:DOI>https://doi.org/10.1016/j.sjme.2017.01.001</b:DOI>
    <b:Author>
      <b:Author>
        <b:NameList>
          <b:Person>
            <b:Last>García-Jiménez</b:Last>
            <b:Middle>V.</b:Middle>
            <b:First>J.</b:First>
          </b:Person>
          <b:Person>
            <b:Last>Ruiz-de-Maya</b:Last>
            <b:First>S. </b:First>
          </b:Person>
          <b:Person>
            <b:Last> López-López</b:Last>
            <b:First>I.</b:First>
          </b:Person>
        </b:NameList>
      </b:Author>
    </b:Author>
    <b:RefOrder>703</b:RefOrder>
  </b:Source>
  <b:Source>
    <b:Tag>Sen01</b:Tag>
    <b:SourceType>JournalArticle</b:SourceType>
    <b:Guid>{CDB02698-A26C-46CF-B2E2-A5D6CDAD063D}</b:Guid>
    <b:Title>Does Doing Good Always Lead to Doing Better? Consumer Reactions to Corporate Social Responsibility</b:Title>
    <b:JournalName>Journal of Marketing Research</b:JournalName>
    <b:Year>2001</b:Year>
    <b:Pages>225-243</b:Pages>
    <b:Month>05</b:Month>
    <b:Volume>38</b:Volume>
    <b:Issue>2</b:Issue>
    <b:YearAccessed>2023</b:YearAccessed>
    <b:MonthAccessed>09</b:MonthAccessed>
    <b:DayAccessed>13</b:DayAccessed>
    <b:DOI>10.1509/jmkr.38.2.225.18838</b:DOI>
    <b:Author>
      <b:Author>
        <b:NameList>
          <b:Person>
            <b:Last>Sen</b:Last>
            <b:First>Sankar</b:First>
          </b:Person>
          <b:Person>
            <b:Last>Bhattacharya</b:Last>
            <b:First>C.B. </b:First>
          </b:Person>
        </b:NameList>
      </b:Author>
    </b:Author>
    <b:RefOrder>704</b:RefOrder>
  </b:Source>
  <b:Source>
    <b:Tag>Rat191</b:Tag>
    <b:SourceType>JournalArticle</b:SourceType>
    <b:Guid>{967AD105-713C-4F3D-A54D-DF30265D5275}</b:Guid>
    <b:Title>The effects of service quality and consumer-brand value congruity on hospitality brand loyalty</b:Title>
    <b:JournalName>Anatolia</b:JournalName>
    <b:Year>2019</b:Year>
    <b:Pages>547-559</b:Pages>
    <b:Month>08</b:Month>
    <b:Day>05</b:Day>
    <b:Volume>30</b:Volume>
    <b:Issue>4</b:Issue>
    <b:YearAccessed>2023</b:YearAccessed>
    <b:MonthAccessed>09</b:MonthAccessed>
    <b:DayAccessed>13</b:DayAccessed>
    <b:DOI>https://doi.org/10.1080/13032917.2019.1650289</b:DOI>
    <b:Author>
      <b:Author>
        <b:NameList>
          <b:Person>
            <b:Last>Rather</b:Last>
            <b:Middle>Ahmad</b:Middle>
            <b:First>Raouf </b:First>
          </b:Person>
          <b:Person>
            <b:Last>Camilleri</b:Last>
            <b:Middle>Anthony </b:Middle>
            <b:First>Mark </b:First>
          </b:Person>
        </b:NameList>
      </b:Author>
    </b:Author>
    <b:RefOrder>700</b:RefOrder>
  </b:Source>
  <b:Source>
    <b:Tag>Rat22</b:Tag>
    <b:SourceType>JournalArticle</b:SourceType>
    <b:Guid>{41BC3CB0-90AC-4054-A8C0-19CC168CF552}</b:Guid>
    <b:Title>Shaping customer brand loyalty during the pandemic: The role of brand credibility, value congruence, experience, identification, and engagement</b:Title>
    <b:JournalName>Journal of Consumer Behaviour</b:JournalName>
    <b:Year>2022</b:Year>
    <b:Pages>1175-1189</b:Pages>
    <b:Author>
      <b:Author>
        <b:NameList>
          <b:Person>
            <b:Last>Rather</b:Last>
            <b:Middle>Ahmad </b:Middle>
            <b:First>Raouf </b:First>
          </b:Person>
          <b:Person>
            <b:Last>Hollebeek</b:Last>
            <b:Middle>D</b:Middle>
            <b:First>Linda</b:First>
          </b:Person>
          <b:Person>
            <b:Last>Vo-Thanh</b:Last>
            <b:First>Tan </b:First>
          </b:Person>
          <b:Person>
            <b:Last>Ramkissoon</b:Last>
            <b:First>Haywantee </b:First>
          </b:Person>
          <b:Person>
            <b:Last>Leppiman</b:Last>
            <b:First>Anu </b:First>
          </b:Person>
          <b:Person>
            <b:Last>Smith</b:Last>
            <b:First>Dale</b:First>
          </b:Person>
        </b:NameList>
      </b:Author>
    </b:Author>
    <b:Volume>21</b:Volume>
    <b:Issue>5</b:Issue>
    <b:YearAccessed>2023</b:YearAccessed>
    <b:MonthAccessed>09</b:MonthAccessed>
    <b:DayAccessed>13</b:DayAccessed>
    <b:DOI>https://doi.org/10.1002/cb.2070</b:DOI>
    <b:RefOrder>699</b:RefOrder>
  </b:Source>
  <b:Source>
    <b:Tag>Bao19</b:Tag>
    <b:SourceType>JournalArticle</b:SourceType>
    <b:Guid>{95190C2E-E742-4D4F-B96D-393742DC795A}</b:Guid>
    <b:Title>Value Congruence in Organizations: Literature Review, Theoretical Perspectives, and Future Directions</b:Title>
    <b:JournalName>ESADE Business School Research</b:JournalName>
    <b:Year>2019</b:Year>
    <b:Month>03</b:Month>
    <b:Day>12</b:Day>
    <b:YearAccessed>2023</b:YearAccessed>
    <b:MonthAccessed>09</b:MonthAccessed>
    <b:DayAccessed>13</b:DayAccessed>
    <b:URL>https://ssrn.com/abstract=2154976</b:URL>
    <b:DOI>http://dx.doi.org/10.2139/ssrn.2154976</b:DOI>
    <b:Author>
      <b:Author>
        <b:NameList>
          <b:Person>
            <b:Last>Bao</b:Last>
            <b:First>Yuanjie </b:First>
          </b:Person>
          <b:Person>
            <b:Last>Dolan</b:Last>
            <b:Middle>L.</b:Middle>
            <b:First>Simon </b:First>
          </b:Person>
          <b:Person>
            <b:Last>Tzafrir</b:Last>
            <b:Middle>S.</b:Middle>
            <b:First>Shay </b:First>
          </b:Person>
        </b:NameList>
      </b:Author>
    </b:Author>
    <b:RefOrder>706</b:RefOrder>
  </b:Source>
  <b:Source>
    <b:Tag>Bos22</b:Tag>
    <b:SourceType>InternetSite</b:SourceType>
    <b:Guid>{1DECD792-1988-4EF5-B3CB-29305251CDC4}</b:Guid>
    <b:Title>Egypt Online Marketing Guide</b:Title>
    <b:Year>2022</b:Year>
    <b:InternetSiteTitle>Istizada</b:InternetSiteTitle>
    <b:Month>01</b:Month>
    <b:Day>14</b:Day>
    <b:URL>https://istizada.com/egypt-online-marketing/</b:URL>
    <b:Author>
      <b:Author>
        <b:NameList>
          <b:Person>
            <b:Last>Boshers</b:Last>
            <b:First>Jordan </b:First>
          </b:Person>
        </b:NameList>
      </b:Author>
    </b:Author>
    <b:RefOrder>806</b:RefOrder>
  </b:Source>
  <b:Source>
    <b:Tag>Dix23</b:Tag>
    <b:SourceType>InternetSite</b:SourceType>
    <b:Guid>{585B0471-7623-4530-99F7-A29A4AB5A1D4}</b:Guid>
    <b:Title>Countries with the most Facebook users 2023</b:Title>
    <b:InternetSiteTitle>Statista</b:InternetSiteTitle>
    <b:Year>2023</b:Year>
    <b:Month>08</b:Month>
    <b:Day>29</b:Day>
    <b:URL>https://www.statista.com/statistics/268136/top-15-countries-based-on-number-of-facebook-users/</b:URL>
    <b:Author>
      <b:Author>
        <b:NameList>
          <b:Person>
            <b:Last>Dixon</b:Last>
            <b:Middle>Jo</b:Middle>
            <b:First>Stacy</b:First>
          </b:Person>
        </b:NameList>
      </b:Author>
    </b:Author>
    <b:RefOrder>809</b:RefOrder>
  </b:Source>
  <b:Source>
    <b:Tag>Sch211</b:Tag>
    <b:SourceType>BookSection</b:SourceType>
    <b:Guid>{99D579E9-0778-44D2-9FEF-AA24B0C5FD4C}</b:Guid>
    <b:Title>SURVEY EXPERIMENTS</b:Title>
    <b:Year>2021</b:Year>
    <b:BookTitle>The Routledge Handbook of Research Methods in the Study of Religion</b:BookTitle>
    <b:Author>
      <b:Editor>
        <b:NameList>
          <b:Person>
            <b:Last>2nd</b:Last>
          </b:Person>
        </b:NameList>
      </b:Editor>
      <b:Author>
        <b:NameList>
          <b:Person>
            <b:Last>Schnabel</b:Last>
            <b:First>Landon </b:First>
          </b:Person>
        </b:NameList>
      </b:Author>
      <b:BookAuthor>
        <b:NameList>
          <b:Person>
            <b:Last>Engler</b:Last>
            <b:First>Steven </b:First>
          </b:Person>
          <b:Person>
            <b:Last>Stausberg</b:Last>
            <b:First>Michael </b:First>
          </b:Person>
        </b:NameList>
      </b:BookAuthor>
    </b:Author>
    <b:YearAccessed>2023</b:YearAccessed>
    <b:MonthAccessed>09</b:MonthAccessed>
    <b:DayAccessed>14</b:DayAccessed>
    <b:DOI>https://doi.org/10.4324/9781003222491</b:DOI>
    <b:Publisher>Routledge</b:Publisher>
    <b:RefOrder>812</b:RefOrder>
  </b:Source>
  <b:Source>
    <b:Tag>Hop12</b:Tag>
    <b:SourceType>InternetSite</b:SourceType>
    <b:Guid>{4641A8D7-56F7-4BAD-8CE4-9FF426B0A48D}</b:Guid>
    <b:Title>Park Your Demographics at the End</b:Title>
    <b:Year>2012</b:Year>
    <b:InternetSiteTitle>Versta</b:InternetSiteTitle>
    <b:Month>07</b:Month>
    <b:Day>12</b:Day>
    <b:URL>https://verstaresearch.com/blog/park-your-demographics-at-the-end/</b:URL>
    <b:Author>
      <b:Author>
        <b:NameList>
          <b:Person>
            <b:Last>Hopper</b:Last>
            <b:First>Joe</b:First>
          </b:Person>
        </b:NameList>
      </b:Author>
    </b:Author>
    <b:RefOrder>845</b:RefOrder>
  </b:Source>
  <b:Source>
    <b:Tag>Tay23</b:Tag>
    <b:SourceType>InternetSite</b:SourceType>
    <b:Guid>{06B91B4D-36DD-4A42-B801-7FD1279E865F}</b:Guid>
    <b:Title>18 Demographic Survey Questions (With Examples)</b:Title>
    <b:InternetSiteTitle>Driveresearch</b:InternetSiteTitle>
    <b:Year>2023</b:Year>
    <b:Month>04</b:Month>
    <b:Day>19</b:Day>
    <b:URL>https://www.driveresearch.com/market-research-company-blog/7-types-of-demographic-questions-to-include-in-a-market-research-survey/#DemoSQ5</b:URL>
    <b:Author>
      <b:Author>
        <b:NameList>
          <b:Person>
            <b:Last>Taylor</b:Last>
            <b:First>Emily</b:First>
          </b:Person>
        </b:NameList>
      </b:Author>
    </b:Author>
    <b:RefOrder>846</b:RefOrder>
  </b:Source>
  <b:Source>
    <b:Tag>Sha201</b:Tag>
    <b:SourceType>Book</b:SourceType>
    <b:Guid>{7894443D-AAD4-4148-B9FC-08F6923BC02C}</b:Guid>
    <b:Title>The Essential Role of Language in Survey Research</b:Title>
    <b:Year>2020</b:Year>
    <b:URL>https://www.rti.org/rti-press-publication/language-survey-research/fulltext.pdf</b:URL>
    <b:Publisher>RTI International</b:Publisher>
    <b:Author>
      <b:Author>
        <b:NameList>
          <b:Person>
            <b:Last>Sha</b:Last>
            <b:First>Mandy</b:First>
          </b:Person>
          <b:Person>
            <b:Last>Gabel</b:Last>
            <b:First>Tim</b:First>
          </b:Person>
        </b:NameList>
      </b:Author>
    </b:Author>
    <b:RefOrder>867</b:RefOrder>
  </b:Source>
  <b:Source>
    <b:Tag>DuH20</b:Tag>
    <b:SourceType>JournalArticle</b:SourceType>
    <b:Guid>{5C40F3EB-4B70-4033-A5E4-D0B51668B06F}</b:Guid>
    <b:Title>Distributionally-Weighted Least Squares in Structural Equation Modeling</b:Title>
    <b:JournalName>Psychological Methods</b:JournalName>
    <b:Year>2020</b:Year>
    <b:Pages>519–540</b:Pages>
    <b:Author>
      <b:Author>
        <b:NameList>
          <b:Person>
            <b:Last>Du</b:Last>
            <b:First>Han</b:First>
          </b:Person>
          <b:Person>
            <b:Last>Bentler</b:Last>
            <b:Middle>M.</b:Middle>
            <b:First>Peter </b:First>
          </b:Person>
        </b:NameList>
      </b:Author>
    </b:Author>
    <b:ConferenceName>85th annual Meeting of the Psychometric Society</b:ConferenceName>
    <b:Volume>27</b:Volume>
    <b:YearAccessed>2023</b:YearAccessed>
    <b:MonthAccessed>09</b:MonthAccessed>
    <b:DayAccessed>17</b:DayAccessed>
    <b:DOI>https://doi.org/10.1037/met0000388</b:DOI>
    <b:Issue>4</b:Issue>
    <b:RefOrder>1329</b:RefOrder>
  </b:Source>
  <b:Source>
    <b:Tag>Cho22</b:Tag>
    <b:SourceType>JournalArticle</b:SourceType>
    <b:Guid>{3E001B3E-8270-4432-AAC0-90166A4376E3}</b:Guid>
    <b:Title>Deep Neural Networks Based on Iterative Thresholding and Projection Algorithms for Sparse LQR Control Design</b:Title>
    <b:Year>2022</b:Year>
    <b:Month>12</b:Month>
    <b:Day>06</b:Day>
    <b:YearAccessed>2023</b:YearAccessed>
    <b:MonthAccessed>09</b:MonthAccessed>
    <b:DayAccessed>17</b:DayAccessed>
    <b:DOI>https://doi.org/10.48550/arXiv.2212.02929</b:DOI>
    <b:Author>
      <b:Author>
        <b:NameList>
          <b:Person>
            <b:Last>Cho</b:Last>
            <b:First>Myung </b:First>
          </b:Person>
        </b:NameList>
      </b:Author>
    </b:Author>
    <b:RefOrder>973</b:RefOrder>
  </b:Source>
  <b:Source>
    <b:Tag>Fer231</b:Tag>
    <b:SourceType>InternetSite</b:SourceType>
    <b:Guid>{CC4F65F2-FF73-43F3-A914-14D22DF40093}</b:Guid>
    <b:Title>R-Squared: Definition, Calculation Formula, Uses, and Limitations</b:Title>
    <b:Year>2023</b:Year>
    <b:InternetSiteTitle>Investopedia</b:InternetSiteTitle>
    <b:Month>04</b:Month>
    <b:Day>08</b:Day>
    <b:URL>https://www.investopedia.com/terms/r/r-squared.asp</b:URL>
    <b:Author>
      <b:Author>
        <b:NameList>
          <b:Person>
            <b:Last>Fernando</b:Last>
            <b:First>Jason</b:First>
          </b:Person>
          <b:Person>
            <b:Last>Smith</b:Last>
            <b:First>Andy</b:First>
          </b:Person>
          <b:Person>
            <b:Last>Perez</b:Last>
            <b:First>Yarilet </b:First>
          </b:Person>
        </b:NameList>
      </b:Author>
    </b:Author>
    <b:RefOrder>974</b:RefOrder>
  </b:Source>
  <b:Source>
    <b:Tag>Abb23</b:Tag>
    <b:SourceType>InternetSite</b:SourceType>
    <b:Guid>{AACE18C8-8A3F-4F8B-BFD9-178A583CDD59}</b:Guid>
    <b:Title>What is R Squared? R2 Value Meaning and Definition</b:Title>
    <b:InternetSiteTitle>Freecodecamp</b:InternetSiteTitle>
    <b:Year>2023</b:Year>
    <b:Month>03</b:Month>
    <b:Day>28</b:Day>
    <b:URL>https://www.freecodecamp.org/news/what-is-r-squared-r2-value-meaning-and-definition/</b:URL>
    <b:Author>
      <b:Author>
        <b:NameList>
          <b:Person>
            <b:Last>Abba</b:Last>
            <b:Middle>Vincent </b:Middle>
            <b:First>Ihechikara </b:First>
          </b:Person>
        </b:NameList>
      </b:Author>
    </b:Author>
    <b:RefOrder>975</b:RefOrder>
  </b:Source>
  <b:Source>
    <b:Tag>San20</b:Tag>
    <b:SourceType>ConferenceProceedings</b:SourceType>
    <b:Guid>{F0706C3A-F1CB-4512-AF83-B38930052CA8}</b:Guid>
    <b:Title>Confirmatory Factor Analysis of the Assessment Instrument Teacher of the Escuela Politécnica National</b:Title>
    <b:Year>2020</b:Year>
    <b:ConferenceName>18th LACCEI International Multi-Conference for Engineering, Education, and Technology Virtual Edition</b:ConferenceName>
    <b:Author>
      <b:Author>
        <b:NameList>
          <b:Person>
            <b:Last>Sanchez</b:Last>
            <b:First>Tarquino </b:First>
          </b:Person>
          <b:Person>
            <b:Last>Ordóñez</b:Last>
            <b:First>Amanda </b:First>
          </b:Person>
          <b:Person>
            <b:Last>Gilar</b:Last>
            <b:First>Raquel </b:First>
          </b:Person>
          <b:Person>
            <b:Last>Castejon</b:Last>
            <b:First>Juan-Luis </b:First>
          </b:Person>
        </b:NameList>
      </b:Author>
    </b:Author>
    <b:YearAccessed>2023</b:YearAccessed>
    <b:MonthAccessed>09</b:MonthAccessed>
    <b:DayAccessed>18</b:DayAccessed>
    <b:DOI>10.18687/LACCEI2020.1.1.110</b:DOI>
    <b:RefOrder>976</b:RefOrder>
  </b:Source>
  <b:Source>
    <b:Tag>Cre17</b:Tag>
    <b:SourceType>Book</b:SourceType>
    <b:Guid>{887E0B01-EA44-4BDB-829D-43B5717A41C4}</b:Guid>
    <b:Title>Designing and Conducting Mixed Methods Research</b:Title>
    <b:Year>2017</b:Year>
    <b:Publisher>SAGE Publications, Inc</b:Publisher>
    <b:Author>
      <b:Author>
        <b:NameList>
          <b:Person>
            <b:Last>Creswell</b:Last>
            <b:Middle>W.</b:Middle>
            <b:First>John </b:First>
          </b:Person>
          <b:Person>
            <b:Last>Clark</b:Last>
            <b:Middle>Plano</b:Middle>
            <b:First>Vicki </b:First>
          </b:Person>
        </b:NameList>
      </b:Author>
    </b:Author>
    <b:Edition>3rd</b:Edition>
    <b:RefOrder>714</b:RefOrder>
  </b:Source>
  <b:Source>
    <b:Tag>Gon201</b:Tag>
    <b:SourceType>JournalArticle</b:SourceType>
    <b:Guid>{221F8875-CF6C-4AF4-B3B8-4F5527BE459E}</b:Guid>
    <b:Title>Effects of parasocial interaction, brand credibility and product involvement on celebrity endorsement on microblog</b:Title>
    <b:Year>2020</b:Year>
    <b:Publisher>Emerald Publishing Limited</b:Publisher>
    <b:JournalName>Asia Pacific Journal of Marketing and Logistics</b:JournalName>
    <b:Pages>1437-1454</b:Pages>
    <b:Author>
      <b:Author>
        <b:NameList>
          <b:Person>
            <b:Last>Gong</b:Last>
            <b:First>Wanqi</b:First>
          </b:Person>
        </b:NameList>
      </b:Author>
    </b:Author>
    <b:Month>11</b:Month>
    <b:Day>25</b:Day>
    <b:Volume>33</b:Volume>
    <b:Issue>6</b:Issue>
    <b:YearAccessed>2023</b:YearAccessed>
    <b:MonthAccessed>09</b:MonthAccessed>
    <b:DayAccessed>24</b:DayAccessed>
    <b:DOI>https://doi-org.lsbu.idm.oclc.org/10.1108/APJML-12-2019-0747</b:DOI>
    <b:RefOrder>598</b:RefOrder>
  </b:Source>
  <b:Source>
    <b:Tag>Vas18</b:Tag>
    <b:SourceType>JournalArticle</b:SourceType>
    <b:Guid>{931A05E9-188E-47A0-8E0F-16D5600FE233}</b:Guid>
    <b:Title>Effect of product involvement and brand prominence on advergamers’ brand recall and brand attitude in an emerging market context</b:Title>
    <b:JournalName>Asia Pacific Journal of Marketing and Logistics</b:JournalName>
    <b:Year>2018</b:Year>
    <b:Pages>43-61</b:Pages>
    <b:Month>01</b:Month>
    <b:Day>08</b:Day>
    <b:Publisher>Emerald Publishing Limited</b:Publisher>
    <b:Volume>30</b:Volume>
    <b:Issue>1</b:Issue>
    <b:YearAccessed>2023</b:YearAccessed>
    <b:MonthAccessed>09</b:MonthAccessed>
    <b:DayAccessed>24</b:DayAccessed>
    <b:DOI>https://doi-org.lsbu.idm.oclc.org/10.1108/APJML-01-2016-0014</b:DOI>
    <b:Author>
      <b:Author>
        <b:NameList>
          <b:Person>
            <b:Last>Vashist </b:Last>
            <b:First>Devika </b:First>
          </b:Person>
        </b:NameList>
      </b:Author>
    </b:Author>
    <b:RefOrder>599</b:RefOrder>
  </b:Source>
  <b:Source>
    <b:Tag>Hov17</b:Tag>
    <b:SourceType>ConferenceProceedings</b:SourceType>
    <b:Guid>{3224B222-C941-4E47-9F19-3D505541BFFF}</b:Guid>
    <b:Title>Modes of Theory Integration</b:Title>
    <b:Year>2017</b:Year>
    <b:ConferenceName>Hawaii International Conference on System Sciences.</b:ConferenceName>
    <b:Author>
      <b:Author>
        <b:NameList>
          <b:Person>
            <b:Last>Hovorka</b:Last>
            <b:First>D. </b:First>
          </b:Person>
          <b:Person>
            <b:Last>Larsen</b:Last>
            <b:Middle>R. T.</b:Middle>
            <b:First>Kai </b:First>
          </b:Person>
        </b:NameList>
      </b:Author>
    </b:Author>
    <b:YearAccessed>2023</b:YearAccessed>
    <b:MonthAccessed>09</b:MonthAccessed>
    <b:DayAccessed>24</b:DayAccessed>
    <b:DOI>10.24251/HICSS.2017.688</b:DOI>
    <b:RefOrder>503</b:RefOrder>
  </b:Source>
  <b:Source>
    <b:Tag>The16</b:Tag>
    <b:SourceType>JournalArticle</b:SourceType>
    <b:Guid>{602E104A-9555-4CC5-B22C-448FCD212BE7}</b:Guid>
    <b:Title>The Study of Identity As Cultural, Institutional, Organizational, and Personal Narratives: Theoretical and Empirical Integrations</b:Title>
    <b:JournalName>The Sociological Quarterly</b:JournalName>
    <b:Year>2016</b:Year>
    <b:Pages>661-688</b:Pages>
    <b:Month>12</b:Month>
    <b:Day>02</b:Day>
    <b:Volume>48</b:Volume>
    <b:Issue>4</b:Issue>
    <b:YearAccessed>2023</b:YearAccessed>
    <b:MonthAccessed>09</b:MonthAccessed>
    <b:DayAccessed>24</b:DayAccessed>
    <b:DOI>https://doi.org/10.1111/j.1533-8525.2007.00096.x</b:DOI>
    <b:Author>
      <b:Author>
        <b:NameList>
          <b:Person>
            <b:Last>Loseke</b:Last>
            <b:Middle>R.</b:Middle>
            <b:First>Donileen </b:First>
          </b:Person>
        </b:NameList>
      </b:Author>
    </b:Author>
    <b:RefOrder>504</b:RefOrder>
  </b:Source>
  <b:Source>
    <b:Tag>ElA16</b:Tag>
    <b:SourceType>JournalArticle</b:SourceType>
    <b:Guid>{1D7DAD3D-1D3C-4C29-AECC-E1F4A8EAB3C1}</b:Guid>
    <b:Title>Health risk behaviours amongst school adolescents: protocol for a mixed methods study</b:Title>
    <b:Year>2016</b:Year>
    <b:JournalName>BMC Public Health</b:JournalName>
    <b:Month>11</b:Month>
    <b:Day>29</b:Day>
    <b:Volume>16</b:Volume>
    <b:YearAccessed>2023</b:YearAccessed>
    <b:MonthAccessed>09</b:MonthAccessed>
    <b:DayAccessed>23</b:DayAccessed>
    <b:DOI>10.1186/s12889-016-3873-4</b:DOI>
    <b:Author>
      <b:Author>
        <b:NameList>
          <b:Person>
            <b:Last>El Achhab</b:Last>
            <b:First>Youness </b:First>
          </b:Person>
          <b:Person>
            <b:Last>El Ammari</b:Last>
            <b:First>Abdelghaffar </b:First>
          </b:Person>
          <b:Person>
            <b:Last>El Kazdouh</b:Last>
            <b:First>Hicham </b:First>
          </b:Person>
          <b:Person>
            <b:Last>Najdi</b:Last>
            <b:First>Adil</b:First>
          </b:Person>
          <b:Person>
            <b:Last>Berraho</b:Last>
            <b:First>Mohamed </b:First>
          </b:Person>
          <b:Person>
            <b:Last>Tachfouti</b:Last>
            <b:First>Nabil </b:First>
          </b:Person>
          <b:Person>
            <b:Last>Lamri</b:Last>
            <b:First>Driss</b:First>
          </b:Person>
          <b:Person>
            <b:Last>El Fakir</b:Last>
            <b:First>Samir</b:First>
          </b:Person>
          <b:Person>
            <b:Last>Nejjari </b:Last>
            <b:First>Chakib </b:First>
          </b:Person>
        </b:NameList>
      </b:Author>
    </b:Author>
    <b:RefOrder>718</b:RefOrder>
  </b:Source>
  <b:Source>
    <b:Tag>Öze10</b:Tag>
    <b:SourceType>JournalArticle</b:SourceType>
    <b:Guid>{26401B49-5296-4C5A-B986-61B2D15DB1D1}</b:Guid>
    <b:Title>Health risk behaviours amongst school adolescents: protocol for a mixed methods study</b:Title>
    <b:Pages>2384-2400</b:Pages>
    <b:Year>2022</b:Year>
    <b:JournalName>Psychology and Marketing</b:JournalName>
    <b:Month>10</b:Month>
    <b:Day>18</b:Day>
    <b:Volume>39</b:Volume>
    <b:Issue>12</b:Issue>
    <b:YearAccessed>2023</b:YearAccessed>
    <b:MonthAccessed>09</b:MonthAccessed>
    <b:DayAccessed>26</b:DayAccessed>
    <b:DOI>https://doi-org.lsbu.idm.oclc.org/10.1002/mar.21742</b:DOI>
    <b:Author>
      <b:Author>
        <b:NameList>
          <b:Person>
            <b:Last>Özer</b:Last>
            <b:First>Mehmet </b:First>
          </b:Person>
          <b:Person>
            <b:Last>Özer</b:Last>
            <b:First>Alper </b:First>
          </b:Person>
          <b:Person>
            <b:Last>Ekinci</b:Last>
            <b:First>Yuksel </b:First>
          </b:Person>
          <b:Person>
            <b:Last>Koçak</b:Last>
            <b:First>Akın </b:First>
          </b:Person>
        </b:NameList>
      </b:Author>
    </b:Author>
    <b:RefOrder>717</b:RefOrder>
  </b:Source>
  <b:Source>
    <b:Tag>Aro11</b:Tag>
    <b:SourceType>JournalArticle</b:SourceType>
    <b:Guid>{2FE14BFC-1C64-4599-A191-D2DBF055EECE}</b:Guid>
    <b:Title>Bundling or unbundling frequently purchased products: a mixed method approach</b:Title>
    <b:JournalName>Journal of Consumer Marketing</b:JournalName>
    <b:Year>2011</b:Year>
    <b:Pages>67-75</b:Pages>
    <b:Author>
      <b:Author>
        <b:NameList>
          <b:Person>
            <b:Last>Arora</b:Last>
            <b:First>Raj</b:First>
          </b:Person>
        </b:NameList>
      </b:Author>
    </b:Author>
    <b:Publisher>Emerald Group Publishing Limited</b:Publisher>
    <b:Volume>28</b:Volume>
    <b:Issue>1</b:Issue>
    <b:YearAccessed>2023</b:YearAccessed>
    <b:MonthAccessed>09</b:MonthAccessed>
    <b:DayAccessed>26</b:DayAccessed>
    <b:URL>https://doi-org.lsbu.idm.oclc.org/10.1108/07363761111101967</b:URL>
    <b:RefOrder>715</b:RefOrder>
  </b:Source>
  <b:Source>
    <b:Tag>Qua161</b:Tag>
    <b:SourceType>JournalArticle</b:SourceType>
    <b:Guid>{164CACFD-32AA-4686-A78A-6428BFF04B3A}</b:Guid>
    <b:Title>The effects of service quality on internet service provider customers’ behaviour: A mixed methods study</b:Title>
    <b:JournalName>Asia Pacific Journal of Marketing and Logistics</b:JournalName>
    <b:Year>2016</b:Year>
    <b:Pages>435-463</b:Pages>
    <b:Month>06</b:Month>
    <b:Day>13</b:Day>
    <b:Publisher>Emerald Group Publishing Limited</b:Publisher>
    <b:Volume>28</b:Volume>
    <b:Issue>3</b:Issue>
    <b:YearAccessed>2023</b:YearAccessed>
    <b:MonthAccessed>09</b:MonthAccessed>
    <b:DayAccessed>26</b:DayAccessed>
    <b:DOI>https://doi-org.lsbu.idm.oclc.org/10.1108/APJML-03-2015-0039</b:DOI>
    <b:Author>
      <b:Author>
        <b:NameList>
          <b:Person>
            <b:Last>Quach</b:Last>
            <b:Middle>Nguyen </b:Middle>
            <b:First>Thu </b:First>
          </b:Person>
          <b:Person>
            <b:Last>Jebarajakirthy</b:Last>
            <b:First>Charles </b:First>
          </b:Person>
          <b:Person>
            <b:Last>Thaichon</b:Last>
            <b:First>Park </b:First>
          </b:Person>
        </b:NameList>
      </b:Author>
    </b:Author>
    <b:RefOrder>716</b:RefOrder>
  </b:Source>
  <b:Source>
    <b:Tag>Aus17</b:Tag>
    <b:SourceType>BookSection</b:SourceType>
    <b:Guid>{7F479348-423A-4865-8BBE-D15953575717}</b:Guid>
    <b:Title>Facial Expressions to Evaluate Advertising: A Laboratory versus Living Room Study</b:Title>
    <b:Year>2017</b:Year>
    <b:JournalName>Advances in Advertising Research VIII</b:JournalName>
    <b:Pages>109-122</b:Pages>
    <b:YearAccessed>2023</b:YearAccessed>
    <b:MonthAccessed>10</b:MonthAccessed>
    <b:DayAccessed>07</b:DayAccessed>
    <b:DOI>https://doi.org/10.1007/978-3-658-18731-6_9</b:DOI>
    <b:BookTitle>Advances in Advertising Research VIII</b:BookTitle>
    <b:Author>
      <b:Author>
        <b:NameList>
          <b:Person>
            <b:Last>Ausin</b:Last>
            <b:Middle>Manuel</b:Middle>
            <b:First>Jose</b:First>
          </b:Person>
          <b:Person>
            <b:Last>Guixeres</b:Last>
            <b:First>Jaime </b:First>
          </b:Person>
          <b:Person>
            <b:Last>Bigné</b:Last>
            <b:First>Enrique </b:First>
          </b:Person>
          <b:Person>
            <b:Last>Alcañiz </b:Last>
            <b:First>Mariano </b:First>
          </b:Person>
        </b:NameList>
      </b:Author>
    </b:Author>
    <b:RefOrder>264</b:RefOrder>
  </b:Source>
  <b:Source>
    <b:Tag>Mad18</b:Tag>
    <b:SourceType>JournalArticle</b:SourceType>
    <b:Guid>{0DBEB321-87BC-47FC-830E-565F21CA7207}</b:Guid>
    <b:Title>The Relationship between Consumer Sentiment towards Advertising and Ad Cr tising and Ad Credibility edibility, Ad Lik , Ad Likeability eability, and A , and Attention t ttention to Ads: The case with visual Metaphors</b:Title>
    <b:Year>2018</b:Year>
    <b:Pages>51-64</b:Pages>
    <b:JournalName>Journal of Applied Marketing Theory</b:JournalName>
    <b:Author>
      <b:Author>
        <b:NameList>
          <b:Person>
            <b:Last>Madupu </b:Last>
            <b:First>Vivek </b:First>
          </b:Person>
          <b:Person>
            <b:Last>Ranganathan</b:Last>
            <b:First>Sampathkumar </b:First>
          </b:Person>
          <b:Person>
            <b:Last>Sen </b:Last>
            <b:First>Sandipan </b:First>
          </b:Person>
        </b:NameList>
      </b:Author>
    </b:Author>
    <b:Volume>8</b:Volume>
    <b:Issue>2</b:Issue>
    <b:YearAccessed>2023</b:YearAccessed>
    <b:MonthAccessed>10</b:MonthAccessed>
    <b:DayAccessed>07</b:DayAccessed>
    <b:URL>https://digitalcommons.georgiasouthern.edu/jamt/vol8/iss2/3 </b:URL>
    <b:RefOrder>265</b:RefOrder>
  </b:Source>
  <b:Source>
    <b:Tag>Com22</b:Tag>
    <b:SourceType>JournalArticle</b:SourceType>
    <b:Guid>{CB20DC27-CD0C-47EA-B63F-256C2A45DC70}</b:Guid>
    <b:Title>WHEN CONSTRUCTS BECOME OBSOLETE: A SYSTEMATIC APPROACH TO EVALUATING AND UPDATING CONSTRUCTS FOR INFORMATION SYSTEMS RESEARCH.</b:Title>
    <b:JournalName>MIS Quarterly</b:JournalName>
    <b:Year>2022</b:Year>
    <b:Pages>679-711</b:Pages>
    <b:Month>06</b:Month>
    <b:Volume>46</b:Volume>
    <b:Issue>2</b:Issue>
    <b:YearAccessed>2023</b:YearAccessed>
    <b:MonthAccessed>10</b:MonthAccessed>
    <b:DayAccessed>09</b:DayAccessed>
    <b:DOI>10.25300/MISQ/2022/15516</b:DOI>
    <b:Author>
      <b:Author>
        <b:NameList>
          <b:Person>
            <b:Last>Compeau</b:Last>
            <b:First>Deborah</b:First>
          </b:Person>
          <b:Person>
            <b:Last>Correia</b:Last>
            <b:First>John</b:First>
          </b:Person>
          <b:Person>
            <b:Last>Bennett  </b:Last>
            <b:Middle>Thatcher</b:Middle>
            <b:First>Jason</b:First>
          </b:Person>
        </b:NameList>
      </b:Author>
    </b:Author>
    <b:RefOrder>833</b:RefOrder>
  </b:Source>
  <b:Source>
    <b:Tag>Die16</b:Tag>
    <b:SourceType>JournalArticle</b:SourceType>
    <b:Guid>{310683D5-1A9D-4F2B-9735-85270AF1FC46}</b:Guid>
    <b:Title>Doing good matters to consumers: the effectiveness of humane-oriented CSR appeals in cross-cultural standardized advertising campaigns</b:Title>
    <b:JournalName>International Journal of Advertising</b:JournalName>
    <b:Year>2016</b:Year>
    <b:Pages>730-757</b:Pages>
    <b:Author>
      <b:Author>
        <b:NameList>
          <b:Person>
            <b:Last>Diehl</b:Last>
            <b:First>Sandra </b:First>
          </b:Person>
          <b:Person>
            <b:Last>Terlutter</b:Last>
            <b:First>Ralf </b:First>
          </b:Person>
          <b:Person>
            <b:Last>Mueller</b:Last>
            <b:First>Barbara </b:First>
          </b:Person>
        </b:NameList>
      </b:Author>
    </b:Author>
    <b:Volume>35</b:Volume>
    <b:Issue>4</b:Issue>
    <b:YearAccessed>2023</b:YearAccessed>
    <b:MonthAccessed>10</b:MonthAccessed>
    <b:DayAccessed>9</b:DayAccessed>
    <b:DOI>https://doi.org/10.1080/02650487.2015.1077606</b:DOI>
    <b:RefOrder>1330</b:RefOrder>
  </b:Source>
  <b:Source>
    <b:Tag>Ara18</b:Tag>
    <b:SourceType>JournalArticle</b:SourceType>
    <b:Guid>{FBEF2E17-69B5-4E90-A1B1-8FA473525FFF}</b:Guid>
    <b:Title>Communicating effectively about CSR on Twitter: The power of engaging strategies and storytelling elements</b:Title>
    <b:JournalName>Internet Research</b:JournalName>
    <b:Year>2018</b:Year>
    <b:Pages>419-431</b:Pages>
    <b:Author>
      <b:Author>
        <b:NameList>
          <b:Person>
            <b:Last>Araujo</b:Last>
            <b:First>Theo </b:First>
          </b:Person>
          <b:Person>
            <b:Last>Kollat</b:Last>
            <b:First>Jana</b:First>
          </b:Person>
        </b:NameList>
      </b:Author>
    </b:Author>
    <b:Month>04</b:Month>
    <b:Day>04</b:Day>
    <b:Publisher>Emerald Publishing Limited</b:Publisher>
    <b:Volume>28</b:Volume>
    <b:Issue>2</b:Issue>
    <b:YearAccessed>2023</b:YearAccessed>
    <b:MonthAccessed>10</b:MonthAccessed>
    <b:DayAccessed>13</b:DayAccessed>
    <b:DOI>https://doi.org/10.1108/IntR-04-2017-0172</b:DOI>
    <b:RefOrder>94</b:RefOrder>
  </b:Source>
  <b:Source>
    <b:Tag>Kim192</b:Tag>
    <b:SourceType>JournalArticle</b:SourceType>
    <b:Guid>{FEF41163-A6A9-46A2-86AA-20912F1515BE}</b:Guid>
    <b:Title>The Process Model of Corporate Social Responsibility (CSR) Communication: CSR Communication and its Relationship with Consumers’ CSR Knowledge, Trust, and Corporate Reputation Perception</b:Title>
    <b:Year>2019</b:Year>
    <b:Month>02</b:Month>
    <b:Day>28</b:Day>
    <b:JournalName>Journal of Business Ethics </b:JournalName>
    <b:Pages>1143-1159</b:Pages>
    <b:Volume>154</b:Volume>
    <b:YearAccessed>2023</b:YearAccessed>
    <b:MonthAccessed>02</b:MonthAccessed>
    <b:DayAccessed>05</b:DayAccessed>
    <b:DOI>https://doi.org/10.1007/s10551-017-3433-6</b:DOI>
    <b:Author>
      <b:Author>
        <b:NameList>
          <b:Person>
            <b:Last>Kim</b:Last>
            <b:First>Sora</b:First>
          </b:Person>
        </b:NameList>
      </b:Author>
    </b:Author>
    <b:RefOrder>110</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e2d8457-11e1-4129-a301-acca1585b570" xsi:nil="true"/>
  </documentManagement>
</p:properties>
</file>

<file path=customXml/itemProps1.xml><?xml version="1.0" encoding="utf-8"?>
<ds:datastoreItem xmlns:ds="http://schemas.openxmlformats.org/officeDocument/2006/customXml" ds:itemID="{23D4F0DA-78E0-4C6F-8F21-10AF947B7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d8457-11e1-4129-a301-acca1585b570"/>
    <ds:schemaRef ds:uri="603d5977-7acc-44db-bdfb-458c66f71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4E87A8-5FD7-4D77-BA46-D1CC29A9D18D}">
  <ds:schemaRefs>
    <ds:schemaRef ds:uri="http://schemas.openxmlformats.org/officeDocument/2006/bibliography"/>
  </ds:schemaRefs>
</ds:datastoreItem>
</file>

<file path=customXml/itemProps3.xml><?xml version="1.0" encoding="utf-8"?>
<ds:datastoreItem xmlns:ds="http://schemas.openxmlformats.org/officeDocument/2006/customXml" ds:itemID="{1F9793AF-D79F-4012-9721-FD6241ED01BC}">
  <ds:schemaRefs>
    <ds:schemaRef ds:uri="http://schemas.microsoft.com/sharepoint/v3/contenttype/forms"/>
  </ds:schemaRefs>
</ds:datastoreItem>
</file>

<file path=customXml/itemProps4.xml><?xml version="1.0" encoding="utf-8"?>
<ds:datastoreItem xmlns:ds="http://schemas.openxmlformats.org/officeDocument/2006/customXml" ds:itemID="{39805988-9472-492A-8838-9D6DCADCD931}">
  <ds:schemaRefs>
    <ds:schemaRef ds:uri="http://schemas.microsoft.com/office/2006/metadata/properties"/>
    <ds:schemaRef ds:uri="http://schemas.microsoft.com/office/infopath/2007/PartnerControls"/>
    <ds:schemaRef ds:uri="ce2d8457-11e1-4129-a301-acca1585b570"/>
  </ds:schemaRefs>
</ds:datastoreItem>
</file>

<file path=docProps/app.xml><?xml version="1.0" encoding="utf-8"?>
<Properties xmlns="http://schemas.openxmlformats.org/officeDocument/2006/extended-properties" xmlns:vt="http://schemas.openxmlformats.org/officeDocument/2006/docPropsVTypes">
  <Template>Normal.dotm</Template>
  <TotalTime>1873</TotalTime>
  <Pages>6</Pages>
  <Words>127160</Words>
  <Characters>724813</Characters>
  <Application>Microsoft Office Word</Application>
  <DocSecurity>0</DocSecurity>
  <Lines>6040</Lines>
  <Paragraphs>1700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Sadek, Nashwa Nader Saadeldin Mohamed 2</dc:creator>
  <cp:keywords/>
  <dc:description/>
  <cp:lastModifiedBy>Nashwa Nader Sadek</cp:lastModifiedBy>
  <cp:revision>13</cp:revision>
  <dcterms:created xsi:type="dcterms:W3CDTF">2024-04-24T20:25:00Z</dcterms:created>
  <dcterms:modified xsi:type="dcterms:W3CDTF">2024-04-27T18:28:00Z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0x0101001B01AB813836AA45B5F36D587870D823</vt:lpwstr>
  </property>
  <property fmtid="{D5CDD505-2E9C-101B-9397-08002B2CF9AE}" pid="3" name="GrammarlyDocumentId">
    <vt:lpwstr>c32eeed8fe405854031b8ba27cd719d12025ce41a6f2679824293d475a896def</vt:lpwstr>
  </property>
</Properties>
</file>